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3"/>
        <w:rPr>
          <w:rFonts w:ascii="Times New Roman"/>
          <w:sz w:val="22"/>
        </w:rPr>
      </w:pPr>
    </w:p>
    <w:p>
      <w:pPr>
        <w:spacing w:before="0"/>
        <w:ind w:left="299" w:right="296" w:firstLine="0"/>
        <w:jc w:val="center"/>
        <w:rPr>
          <w:rFonts w:ascii="Tahoma"/>
          <w:b/>
          <w:sz w:val="22"/>
        </w:rPr>
      </w:pPr>
      <w:r>
        <w:rPr>
          <w:rFonts w:ascii="Tahoma"/>
          <w:b/>
          <w:color w:val="008000"/>
          <w:sz w:val="22"/>
        </w:rPr>
        <w:t>LEY</w:t>
      </w:r>
      <w:r>
        <w:rPr>
          <w:rFonts w:ascii="Tahoma"/>
          <w:b/>
          <w:color w:val="008000"/>
          <w:spacing w:val="-4"/>
          <w:sz w:val="22"/>
        </w:rPr>
        <w:t> </w:t>
      </w:r>
      <w:r>
        <w:rPr>
          <w:rFonts w:ascii="Tahoma"/>
          <w:b/>
          <w:color w:val="008000"/>
          <w:sz w:val="22"/>
        </w:rPr>
        <w:t>FEDERAL</w:t>
      </w:r>
      <w:r>
        <w:rPr>
          <w:rFonts w:ascii="Tahoma"/>
          <w:b/>
          <w:color w:val="008000"/>
          <w:spacing w:val="-4"/>
          <w:sz w:val="22"/>
        </w:rPr>
        <w:t> </w:t>
      </w:r>
      <w:r>
        <w:rPr>
          <w:rFonts w:ascii="Tahoma"/>
          <w:b/>
          <w:color w:val="008000"/>
          <w:sz w:val="22"/>
        </w:rPr>
        <w:t>DEL</w:t>
      </w:r>
      <w:r>
        <w:rPr>
          <w:rFonts w:ascii="Tahoma"/>
          <w:b/>
          <w:color w:val="008000"/>
          <w:spacing w:val="-5"/>
          <w:sz w:val="22"/>
        </w:rPr>
        <w:t> </w:t>
      </w:r>
      <w:r>
        <w:rPr>
          <w:rFonts w:ascii="Tahoma"/>
          <w:b/>
          <w:color w:val="008000"/>
          <w:spacing w:val="-2"/>
          <w:sz w:val="22"/>
        </w:rPr>
        <w:t>TRABAJO</w:t>
      </w:r>
    </w:p>
    <w:p>
      <w:pPr>
        <w:spacing w:before="241"/>
        <w:ind w:left="296" w:right="296" w:firstLine="0"/>
        <w:jc w:val="center"/>
        <w:rPr>
          <w:rFonts w:ascii="Tahoma" w:hAnsi="Tahoma"/>
          <w:b/>
          <w:sz w:val="16"/>
        </w:rPr>
      </w:pPr>
      <w:r>
        <w:rPr>
          <w:rFonts w:ascii="Tahoma" w:hAnsi="Tahoma"/>
          <w:b/>
          <w:sz w:val="16"/>
        </w:rPr>
        <w:t>Nueva</w:t>
      </w:r>
      <w:r>
        <w:rPr>
          <w:rFonts w:ascii="Tahoma" w:hAnsi="Tahoma"/>
          <w:b/>
          <w:spacing w:val="-3"/>
          <w:sz w:val="16"/>
        </w:rPr>
        <w:t> </w:t>
      </w:r>
      <w:r>
        <w:rPr>
          <w:rFonts w:ascii="Tahoma" w:hAnsi="Tahoma"/>
          <w:b/>
          <w:sz w:val="16"/>
        </w:rPr>
        <w:t>Ley</w:t>
      </w:r>
      <w:r>
        <w:rPr>
          <w:rFonts w:ascii="Tahoma" w:hAnsi="Tahoma"/>
          <w:b/>
          <w:spacing w:val="-4"/>
          <w:sz w:val="16"/>
        </w:rPr>
        <w:t> </w:t>
      </w:r>
      <w:r>
        <w:rPr>
          <w:rFonts w:ascii="Tahoma" w:hAnsi="Tahoma"/>
          <w:b/>
          <w:sz w:val="16"/>
        </w:rPr>
        <w:t>publicada</w:t>
      </w:r>
      <w:r>
        <w:rPr>
          <w:rFonts w:ascii="Tahoma" w:hAnsi="Tahoma"/>
          <w:b/>
          <w:spacing w:val="-5"/>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5"/>
          <w:sz w:val="16"/>
        </w:rPr>
        <w:t> </w:t>
      </w:r>
      <w:r>
        <w:rPr>
          <w:rFonts w:ascii="Tahoma" w:hAnsi="Tahoma"/>
          <w:b/>
          <w:sz w:val="16"/>
        </w:rPr>
        <w:t>Diario</w:t>
      </w:r>
      <w:r>
        <w:rPr>
          <w:rFonts w:ascii="Tahoma" w:hAnsi="Tahoma"/>
          <w:b/>
          <w:spacing w:val="-3"/>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2"/>
          <w:sz w:val="16"/>
        </w:rPr>
        <w:t> </w:t>
      </w:r>
      <w:r>
        <w:rPr>
          <w:rFonts w:ascii="Tahoma" w:hAnsi="Tahoma"/>
          <w:b/>
          <w:sz w:val="16"/>
        </w:rPr>
        <w:t>la</w:t>
      </w:r>
      <w:r>
        <w:rPr>
          <w:rFonts w:ascii="Tahoma" w:hAnsi="Tahoma"/>
          <w:b/>
          <w:spacing w:val="-5"/>
          <w:sz w:val="16"/>
        </w:rPr>
        <w:t> </w:t>
      </w:r>
      <w:r>
        <w:rPr>
          <w:rFonts w:ascii="Tahoma" w:hAnsi="Tahoma"/>
          <w:b/>
          <w:sz w:val="16"/>
        </w:rPr>
        <w:t>Federación</w:t>
      </w:r>
      <w:r>
        <w:rPr>
          <w:rFonts w:ascii="Tahoma" w:hAnsi="Tahoma"/>
          <w:b/>
          <w:spacing w:val="-5"/>
          <w:sz w:val="16"/>
        </w:rPr>
        <w:t> </w:t>
      </w:r>
      <w:r>
        <w:rPr>
          <w:rFonts w:ascii="Tahoma" w:hAnsi="Tahoma"/>
          <w:b/>
          <w:sz w:val="16"/>
        </w:rPr>
        <w:t>el</w:t>
      </w:r>
      <w:r>
        <w:rPr>
          <w:rFonts w:ascii="Tahoma" w:hAnsi="Tahoma"/>
          <w:b/>
          <w:spacing w:val="-4"/>
          <w:sz w:val="16"/>
        </w:rPr>
        <w:t> </w:t>
      </w:r>
      <w:r>
        <w:rPr>
          <w:rFonts w:ascii="Tahoma" w:hAnsi="Tahoma"/>
          <w:b/>
          <w:sz w:val="16"/>
        </w:rPr>
        <w:t>1º</w:t>
      </w:r>
      <w:r>
        <w:rPr>
          <w:rFonts w:ascii="Tahoma" w:hAnsi="Tahoma"/>
          <w:b/>
          <w:spacing w:val="-3"/>
          <w:sz w:val="16"/>
        </w:rPr>
        <w:t> </w:t>
      </w:r>
      <w:r>
        <w:rPr>
          <w:rFonts w:ascii="Tahoma" w:hAnsi="Tahoma"/>
          <w:b/>
          <w:sz w:val="16"/>
        </w:rPr>
        <w:t>de</w:t>
      </w:r>
      <w:r>
        <w:rPr>
          <w:rFonts w:ascii="Tahoma" w:hAnsi="Tahoma"/>
          <w:b/>
          <w:spacing w:val="-2"/>
          <w:sz w:val="16"/>
        </w:rPr>
        <w:t> </w:t>
      </w:r>
      <w:r>
        <w:rPr>
          <w:rFonts w:ascii="Tahoma" w:hAnsi="Tahoma"/>
          <w:b/>
          <w:sz w:val="16"/>
        </w:rPr>
        <w:t>abril</w:t>
      </w:r>
      <w:r>
        <w:rPr>
          <w:rFonts w:ascii="Tahoma" w:hAnsi="Tahoma"/>
          <w:b/>
          <w:spacing w:val="-3"/>
          <w:sz w:val="16"/>
        </w:rPr>
        <w:t> </w:t>
      </w:r>
      <w:r>
        <w:rPr>
          <w:rFonts w:ascii="Tahoma" w:hAnsi="Tahoma"/>
          <w:b/>
          <w:sz w:val="16"/>
        </w:rPr>
        <w:t>de</w:t>
      </w:r>
      <w:r>
        <w:rPr>
          <w:rFonts w:ascii="Tahoma" w:hAnsi="Tahoma"/>
          <w:b/>
          <w:spacing w:val="-3"/>
          <w:sz w:val="16"/>
        </w:rPr>
        <w:t> </w:t>
      </w:r>
      <w:r>
        <w:rPr>
          <w:rFonts w:ascii="Tahoma" w:hAnsi="Tahoma"/>
          <w:b/>
          <w:spacing w:val="-4"/>
          <w:sz w:val="16"/>
        </w:rPr>
        <w:t>1970</w:t>
      </w:r>
    </w:p>
    <w:p>
      <w:pPr>
        <w:pStyle w:val="BodyText"/>
        <w:rPr>
          <w:rFonts w:ascii="Tahoma"/>
          <w:b/>
          <w:sz w:val="16"/>
        </w:rPr>
      </w:pPr>
    </w:p>
    <w:p>
      <w:pPr>
        <w:spacing w:line="193" w:lineRule="exact" w:before="0"/>
        <w:ind w:left="300" w:right="296" w:firstLine="0"/>
        <w:jc w:val="center"/>
        <w:rPr>
          <w:rFonts w:ascii="Tahoma"/>
          <w:b/>
          <w:sz w:val="16"/>
        </w:rPr>
      </w:pPr>
      <w:r>
        <w:rPr>
          <w:rFonts w:ascii="Tahoma"/>
          <w:b/>
          <w:sz w:val="16"/>
        </w:rPr>
        <w:t>TEXTO</w:t>
      </w:r>
      <w:r>
        <w:rPr>
          <w:rFonts w:ascii="Tahoma"/>
          <w:b/>
          <w:spacing w:val="-5"/>
          <w:sz w:val="16"/>
        </w:rPr>
        <w:t> </w:t>
      </w:r>
      <w:r>
        <w:rPr>
          <w:rFonts w:ascii="Tahoma"/>
          <w:b/>
          <w:spacing w:val="-2"/>
          <w:sz w:val="16"/>
        </w:rPr>
        <w:t>VIGENTE</w:t>
      </w:r>
    </w:p>
    <w:p>
      <w:pPr>
        <w:spacing w:line="193" w:lineRule="exact" w:before="0"/>
        <w:ind w:left="297" w:right="296" w:firstLine="0"/>
        <w:jc w:val="center"/>
        <w:rPr>
          <w:rFonts w:ascii="Tahoma" w:hAnsi="Tahoma"/>
          <w:b/>
          <w:sz w:val="16"/>
        </w:rPr>
      </w:pPr>
      <w:r>
        <w:rPr>
          <w:rFonts w:ascii="Tahoma" w:hAnsi="Tahoma"/>
          <w:b/>
          <w:color w:val="CC3300"/>
          <w:sz w:val="16"/>
        </w:rPr>
        <w:t>Última</w:t>
      </w:r>
      <w:r>
        <w:rPr>
          <w:rFonts w:ascii="Tahoma" w:hAnsi="Tahoma"/>
          <w:b/>
          <w:color w:val="CC3300"/>
          <w:spacing w:val="-8"/>
          <w:sz w:val="16"/>
        </w:rPr>
        <w:t> </w:t>
      </w:r>
      <w:r>
        <w:rPr>
          <w:rFonts w:ascii="Tahoma" w:hAnsi="Tahoma"/>
          <w:b/>
          <w:color w:val="CC3300"/>
          <w:sz w:val="16"/>
        </w:rPr>
        <w:t>reforma</w:t>
      </w:r>
      <w:r>
        <w:rPr>
          <w:rFonts w:ascii="Tahoma" w:hAnsi="Tahoma"/>
          <w:b/>
          <w:color w:val="CC3300"/>
          <w:spacing w:val="-8"/>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21-02-</w:t>
      </w:r>
      <w:r>
        <w:rPr>
          <w:rFonts w:ascii="Tahoma" w:hAnsi="Tahoma"/>
          <w:b/>
          <w:color w:val="CC3300"/>
          <w:spacing w:val="-4"/>
          <w:sz w:val="16"/>
        </w:rPr>
        <w:t>2025</w:t>
      </w:r>
    </w:p>
    <w:p>
      <w:pPr>
        <w:pStyle w:val="BodyText"/>
        <w:rPr>
          <w:rFonts w:ascii="Tahoma"/>
          <w:b/>
          <w:sz w:val="16"/>
        </w:rPr>
      </w:pPr>
    </w:p>
    <w:p>
      <w:pPr>
        <w:pStyle w:val="BodyText"/>
        <w:rPr>
          <w:rFonts w:ascii="Tahoma"/>
          <w:b/>
          <w:sz w:val="16"/>
        </w:rPr>
      </w:pPr>
    </w:p>
    <w:p>
      <w:pPr>
        <w:pStyle w:val="BodyText"/>
        <w:spacing w:before="112"/>
        <w:rPr>
          <w:rFonts w:ascii="Tahoma"/>
          <w:b/>
          <w:sz w:val="16"/>
        </w:rPr>
      </w:pPr>
    </w:p>
    <w:p>
      <w:pPr>
        <w:pStyle w:val="BodyText"/>
        <w:ind w:left="338"/>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2"/>
        </w:rPr>
        <w:t> </w:t>
      </w:r>
      <w:r>
        <w:rPr/>
        <w:t>Presidencia</w:t>
      </w:r>
      <w:r>
        <w:rPr>
          <w:spacing w:val="30"/>
        </w:rPr>
        <w:t> </w:t>
      </w:r>
      <w:r>
        <w:rPr/>
        <w:t>de</w:t>
      </w:r>
      <w:r>
        <w:rPr>
          <w:spacing w:val="32"/>
        </w:rPr>
        <w:t> </w:t>
      </w:r>
      <w:r>
        <w:rPr/>
        <w:t>la </w:t>
      </w:r>
      <w:r>
        <w:rPr>
          <w:spacing w:val="-2"/>
        </w:rPr>
        <w:t>República.</w:t>
      </w:r>
    </w:p>
    <w:p>
      <w:pPr>
        <w:pStyle w:val="BodyText"/>
        <w:spacing w:before="229"/>
        <w:ind w:left="338" w:right="342" w:firstLine="288"/>
        <w:jc w:val="both"/>
      </w:pPr>
      <w:r>
        <w:rPr>
          <w:rFonts w:ascii="Arial"/>
          <w:b/>
        </w:rPr>
        <w:t>GUSTAVO DIAZ ORDAZ</w:t>
      </w:r>
      <w:r>
        <w:rPr/>
        <w:t>, Presidente Constitucional de los Estados Unidos Mexicanos, a sus habitantes, sabed:</w:t>
      </w:r>
    </w:p>
    <w:p>
      <w:pPr>
        <w:pStyle w:val="BodyText"/>
        <w:spacing w:before="2"/>
      </w:pPr>
    </w:p>
    <w:p>
      <w:pPr>
        <w:pStyle w:val="BodyText"/>
        <w:ind w:left="626"/>
      </w:pPr>
      <w:r>
        <w:rPr/>
        <w:t>Que</w:t>
      </w:r>
      <w:r>
        <w:rPr>
          <w:spacing w:val="-6"/>
        </w:rPr>
        <w:t> </w:t>
      </w:r>
      <w:r>
        <w:rPr/>
        <w:t>el</w:t>
      </w:r>
      <w:r>
        <w:rPr>
          <w:spacing w:val="-6"/>
        </w:rPr>
        <w:t> </w:t>
      </w:r>
      <w:r>
        <w:rPr/>
        <w:t>H.</w:t>
      </w:r>
      <w:r>
        <w:rPr>
          <w:spacing w:val="-6"/>
        </w:rPr>
        <w:t> </w:t>
      </w:r>
      <w:r>
        <w:rPr/>
        <w:t>Congreso</w:t>
      </w:r>
      <w:r>
        <w:rPr>
          <w:spacing w:val="-5"/>
        </w:rPr>
        <w:t> </w:t>
      </w:r>
      <w:r>
        <w:rPr/>
        <w:t>de</w:t>
      </w:r>
      <w:r>
        <w:rPr>
          <w:spacing w:val="-3"/>
        </w:rPr>
        <w:t> </w:t>
      </w:r>
      <w:r>
        <w:rPr/>
        <w:t>la</w:t>
      </w:r>
      <w:r>
        <w:rPr>
          <w:spacing w:val="-1"/>
        </w:rPr>
        <w:t> </w:t>
      </w:r>
      <w:r>
        <w:rPr/>
        <w:t>Unión</w:t>
      </w:r>
      <w:r>
        <w:rPr>
          <w:spacing w:val="-5"/>
        </w:rPr>
        <w:t> </w:t>
      </w:r>
      <w:r>
        <w:rPr/>
        <w:t>se</w:t>
      </w:r>
      <w:r>
        <w:rPr>
          <w:spacing w:val="-5"/>
        </w:rPr>
        <w:t> </w:t>
      </w:r>
      <w:r>
        <w:rPr/>
        <w:t>ha</w:t>
      </w:r>
      <w:r>
        <w:rPr>
          <w:spacing w:val="-5"/>
        </w:rPr>
        <w:t> </w:t>
      </w:r>
      <w:r>
        <w:rPr/>
        <w:t>servido</w:t>
      </w:r>
      <w:r>
        <w:rPr>
          <w:spacing w:val="-5"/>
        </w:rPr>
        <w:t> </w:t>
      </w:r>
      <w:r>
        <w:rPr/>
        <w:t>dirigirme</w:t>
      </w:r>
      <w:r>
        <w:rPr>
          <w:spacing w:val="-6"/>
        </w:rPr>
        <w:t> </w:t>
      </w:r>
      <w:r>
        <w:rPr/>
        <w:t>el</w:t>
      </w:r>
      <w:r>
        <w:rPr>
          <w:spacing w:val="-6"/>
        </w:rPr>
        <w:t> </w:t>
      </w:r>
      <w:r>
        <w:rPr>
          <w:spacing w:val="-2"/>
        </w:rPr>
        <w:t>siguiente</w:t>
      </w:r>
    </w:p>
    <w:p>
      <w:pPr>
        <w:pStyle w:val="BodyText"/>
        <w:spacing w:before="1"/>
      </w:pPr>
    </w:p>
    <w:p>
      <w:pPr>
        <w:pStyle w:val="BodyText"/>
        <w:ind w:left="297" w:right="296"/>
        <w:jc w:val="center"/>
      </w:pPr>
      <w:r>
        <w:rPr/>
        <w:t>D</w:t>
      </w:r>
      <w:r>
        <w:rPr>
          <w:spacing w:val="-3"/>
        </w:rPr>
        <w:t> </w:t>
      </w:r>
      <w:r>
        <w:rPr/>
        <w:t>E</w:t>
      </w:r>
      <w:r>
        <w:rPr>
          <w:spacing w:val="-2"/>
        </w:rPr>
        <w:t> </w:t>
      </w:r>
      <w:r>
        <w:rPr/>
        <w:t>C</w:t>
      </w:r>
      <w:r>
        <w:rPr>
          <w:spacing w:val="-1"/>
        </w:rPr>
        <w:t> </w:t>
      </w:r>
      <w:r>
        <w:rPr/>
        <w:t>R</w:t>
      </w:r>
      <w:r>
        <w:rPr>
          <w:spacing w:val="-2"/>
        </w:rPr>
        <w:t> </w:t>
      </w:r>
      <w:r>
        <w:rPr/>
        <w:t>E T </w:t>
      </w:r>
      <w:r>
        <w:rPr>
          <w:spacing w:val="-5"/>
        </w:rPr>
        <w:t>O:</w:t>
      </w:r>
    </w:p>
    <w:p>
      <w:pPr>
        <w:pStyle w:val="BodyText"/>
        <w:spacing w:before="228"/>
        <w:ind w:left="626"/>
      </w:pPr>
      <w:r>
        <w:rPr/>
        <w:t>El</w:t>
      </w:r>
      <w:r>
        <w:rPr>
          <w:spacing w:val="-9"/>
        </w:rPr>
        <w:t> </w:t>
      </w:r>
      <w:r>
        <w:rPr/>
        <w:t>Congreso</w:t>
      </w:r>
      <w:r>
        <w:rPr>
          <w:spacing w:val="-7"/>
        </w:rPr>
        <w:t> </w:t>
      </w:r>
      <w:r>
        <w:rPr/>
        <w:t>de</w:t>
      </w:r>
      <w:r>
        <w:rPr>
          <w:spacing w:val="-6"/>
        </w:rPr>
        <w:t> </w:t>
      </w:r>
      <w:r>
        <w:rPr/>
        <w:t>los</w:t>
      </w:r>
      <w:r>
        <w:rPr>
          <w:spacing w:val="-5"/>
        </w:rPr>
        <w:t> </w:t>
      </w:r>
      <w:r>
        <w:rPr/>
        <w:t>Estados</w:t>
      </w:r>
      <w:r>
        <w:rPr>
          <w:spacing w:val="-7"/>
        </w:rPr>
        <w:t> </w:t>
      </w:r>
      <w:r>
        <w:rPr/>
        <w:t>Unidos</w:t>
      </w:r>
      <w:r>
        <w:rPr>
          <w:spacing w:val="-6"/>
        </w:rPr>
        <w:t> </w:t>
      </w:r>
      <w:r>
        <w:rPr/>
        <w:t>Mexicanos</w:t>
      </w:r>
      <w:r>
        <w:rPr>
          <w:spacing w:val="-7"/>
        </w:rPr>
        <w:t> </w:t>
      </w:r>
      <w:r>
        <w:rPr>
          <w:spacing w:val="-2"/>
        </w:rPr>
        <w:t>decreta:</w:t>
      </w:r>
    </w:p>
    <w:p>
      <w:pPr>
        <w:pStyle w:val="Heading1"/>
        <w:spacing w:line="506" w:lineRule="exact" w:before="28"/>
        <w:ind w:left="3107" w:right="3106"/>
      </w:pPr>
      <w:r>
        <w:rPr/>
        <w:t>LEY</w:t>
      </w:r>
      <w:r>
        <w:rPr>
          <w:spacing w:val="-14"/>
        </w:rPr>
        <w:t> </w:t>
      </w:r>
      <w:r>
        <w:rPr/>
        <w:t>FEDERAL</w:t>
      </w:r>
      <w:r>
        <w:rPr>
          <w:spacing w:val="-14"/>
        </w:rPr>
        <w:t> </w:t>
      </w:r>
      <w:r>
        <w:rPr/>
        <w:t>DEL</w:t>
      </w:r>
      <w:r>
        <w:rPr>
          <w:spacing w:val="-14"/>
        </w:rPr>
        <w:t> </w:t>
      </w:r>
      <w:r>
        <w:rPr/>
        <w:t>TRABAJO TITULO PRIMERO</w:t>
      </w:r>
    </w:p>
    <w:p>
      <w:pPr>
        <w:pStyle w:val="Heading2"/>
        <w:spacing w:line="198" w:lineRule="exact"/>
        <w:ind w:left="300"/>
      </w:pPr>
      <w:r>
        <w:rPr/>
        <w:t>Principios</w:t>
      </w:r>
      <w:r>
        <w:rPr>
          <w:spacing w:val="-8"/>
        </w:rPr>
        <w:t> </w:t>
      </w:r>
      <w:r>
        <w:rPr>
          <w:spacing w:val="-2"/>
        </w:rPr>
        <w:t>Generales</w:t>
      </w:r>
    </w:p>
    <w:p>
      <w:pPr>
        <w:pStyle w:val="BodyText"/>
        <w:spacing w:line="242" w:lineRule="auto" w:before="232"/>
        <w:ind w:left="338" w:right="347" w:firstLine="288"/>
        <w:jc w:val="both"/>
      </w:pPr>
      <w:bookmarkStart w:name="Artículo_1o" w:id="1"/>
      <w:bookmarkEnd w:id="1"/>
      <w:r>
        <w:rPr/>
      </w:r>
      <w:r>
        <w:rPr>
          <w:rFonts w:ascii="Arial" w:hAnsi="Arial"/>
          <w:b/>
        </w:rPr>
        <w:t>Artículo 1o.- </w:t>
      </w:r>
      <w:r>
        <w:rPr/>
        <w:t>La presente Ley es de observancia general en toda la República y rige las relaciones de trabajo comprendidas en el artículo 123, Apartado A, de la Constitución.</w:t>
      </w:r>
    </w:p>
    <w:p>
      <w:pPr>
        <w:pStyle w:val="BodyText"/>
        <w:spacing w:line="242" w:lineRule="auto" w:before="227"/>
        <w:ind w:left="338" w:right="347" w:firstLine="288"/>
        <w:jc w:val="both"/>
      </w:pPr>
      <w:bookmarkStart w:name="Artículo_2o" w:id="2"/>
      <w:bookmarkEnd w:id="2"/>
      <w:r>
        <w:rPr/>
      </w:r>
      <w:r>
        <w:rPr>
          <w:rFonts w:ascii="Arial" w:hAnsi="Arial"/>
          <w:b/>
        </w:rPr>
        <w:t>Artículo 2o.- </w:t>
      </w:r>
      <w:r>
        <w:rPr/>
        <w:t>Las normas del trabajo tienden a conseguir el equilibrio entre los factores de la producción y la justicia social, así como propiciar el trabajo digno o decente en todas las relaciones </w:t>
      </w:r>
      <w:r>
        <w:rPr>
          <w:spacing w:val="-2"/>
        </w:rPr>
        <w:t>laborales.</w:t>
      </w:r>
    </w:p>
    <w:p>
      <w:pPr>
        <w:pStyle w:val="BodyText"/>
        <w:spacing w:before="225"/>
        <w:ind w:left="338" w:right="338" w:firstLine="288"/>
        <w:jc w:val="both"/>
      </w:pPr>
      <w:r>
        <w:rPr/>
        <w:t>Se entiende por trabajo digno o decente aquél en el que se respeta plenamente la dignidad humana del trabajador; no existe discriminación por origen étnico o nacional, género, edad, discapacidad, condición social, condiciones de salud, religión, condición migratoria, opiniones, preferencias sexuales o estado civil; se tiene acceso a la seguridad social y se percibe un salario remunerador; se recibe capacitación continua para el incremento</w:t>
      </w:r>
      <w:r>
        <w:rPr>
          <w:spacing w:val="-1"/>
        </w:rPr>
        <w:t> </w:t>
      </w:r>
      <w:r>
        <w:rPr/>
        <w:t>de la productividad</w:t>
      </w:r>
      <w:r>
        <w:rPr>
          <w:spacing w:val="-1"/>
        </w:rPr>
        <w:t> </w:t>
      </w:r>
      <w:r>
        <w:rPr/>
        <w:t>con</w:t>
      </w:r>
      <w:r>
        <w:rPr>
          <w:spacing w:val="-1"/>
        </w:rPr>
        <w:t> </w:t>
      </w:r>
      <w:r>
        <w:rPr/>
        <w:t>beneficios compartidos, y</w:t>
      </w:r>
      <w:r>
        <w:rPr>
          <w:spacing w:val="-4"/>
        </w:rPr>
        <w:t> </w:t>
      </w:r>
      <w:r>
        <w:rPr/>
        <w:t>se</w:t>
      </w:r>
      <w:r>
        <w:rPr>
          <w:spacing w:val="-1"/>
        </w:rPr>
        <w:t> </w:t>
      </w:r>
      <w:r>
        <w:rPr/>
        <w:t>cuenta con condiciones óptimas de seguridad e higiene para prevenir riesgos de trabajo.</w:t>
      </w:r>
    </w:p>
    <w:p>
      <w:pPr>
        <w:pStyle w:val="BodyText"/>
      </w:pPr>
    </w:p>
    <w:p>
      <w:pPr>
        <w:pStyle w:val="BodyText"/>
        <w:ind w:left="338" w:right="343" w:firstLine="288"/>
        <w:jc w:val="both"/>
      </w:pPr>
      <w:r>
        <w:rPr/>
        <w:t>El trabajo digno o decente también incluye el respeto irrestricto a los derechos colectivos de los trabajadores, tales como la libertad de asociación, autonomía, el derecho de huelga y de contratación </w:t>
      </w:r>
      <w:r>
        <w:rPr>
          <w:spacing w:val="-2"/>
        </w:rPr>
        <w:t>colectiva.</w:t>
      </w:r>
    </w:p>
    <w:p>
      <w:pPr>
        <w:pStyle w:val="BodyText"/>
      </w:pPr>
    </w:p>
    <w:p>
      <w:pPr>
        <w:pStyle w:val="BodyText"/>
        <w:ind w:left="626"/>
      </w:pPr>
      <w:r>
        <w:rPr/>
        <w:t>Se</w:t>
      </w:r>
      <w:r>
        <w:rPr>
          <w:spacing w:val="-8"/>
        </w:rPr>
        <w:t> </w:t>
      </w:r>
      <w:r>
        <w:rPr/>
        <w:t>tutela</w:t>
      </w:r>
      <w:r>
        <w:rPr>
          <w:spacing w:val="-5"/>
        </w:rPr>
        <w:t> </w:t>
      </w:r>
      <w:r>
        <w:rPr/>
        <w:t>la</w:t>
      </w:r>
      <w:r>
        <w:rPr>
          <w:spacing w:val="-5"/>
        </w:rPr>
        <w:t> </w:t>
      </w:r>
      <w:r>
        <w:rPr/>
        <w:t>igualdad</w:t>
      </w:r>
      <w:r>
        <w:rPr>
          <w:spacing w:val="-7"/>
        </w:rPr>
        <w:t> </w:t>
      </w:r>
      <w:r>
        <w:rPr/>
        <w:t>sustantiva</w:t>
      </w:r>
      <w:r>
        <w:rPr>
          <w:spacing w:val="-6"/>
        </w:rPr>
        <w:t> </w:t>
      </w:r>
      <w:r>
        <w:rPr/>
        <w:t>o</w:t>
      </w:r>
      <w:r>
        <w:rPr>
          <w:spacing w:val="-7"/>
        </w:rPr>
        <w:t> </w:t>
      </w:r>
      <w:r>
        <w:rPr/>
        <w:t>de</w:t>
      </w:r>
      <w:r>
        <w:rPr>
          <w:spacing w:val="-5"/>
        </w:rPr>
        <w:t> </w:t>
      </w:r>
      <w:r>
        <w:rPr/>
        <w:t>hecho</w:t>
      </w:r>
      <w:r>
        <w:rPr>
          <w:spacing w:val="-7"/>
        </w:rPr>
        <w:t> </w:t>
      </w:r>
      <w:r>
        <w:rPr/>
        <w:t>de</w:t>
      </w:r>
      <w:r>
        <w:rPr>
          <w:spacing w:val="-6"/>
        </w:rPr>
        <w:t> </w:t>
      </w:r>
      <w:r>
        <w:rPr/>
        <w:t>trabajadores</w:t>
      </w:r>
      <w:r>
        <w:rPr>
          <w:spacing w:val="-3"/>
        </w:rPr>
        <w:t> </w:t>
      </w:r>
      <w:r>
        <w:rPr/>
        <w:t>y</w:t>
      </w:r>
      <w:r>
        <w:rPr>
          <w:spacing w:val="-8"/>
        </w:rPr>
        <w:t> </w:t>
      </w:r>
      <w:r>
        <w:rPr/>
        <w:t>trabajadoras</w:t>
      </w:r>
      <w:r>
        <w:rPr>
          <w:spacing w:val="-7"/>
        </w:rPr>
        <w:t> </w:t>
      </w:r>
      <w:r>
        <w:rPr/>
        <w:t>frente</w:t>
      </w:r>
      <w:r>
        <w:rPr>
          <w:spacing w:val="-5"/>
        </w:rPr>
        <w:t> </w:t>
      </w:r>
      <w:r>
        <w:rPr/>
        <w:t>al</w:t>
      </w:r>
      <w:r>
        <w:rPr>
          <w:spacing w:val="-8"/>
        </w:rPr>
        <w:t> </w:t>
      </w:r>
      <w:r>
        <w:rPr>
          <w:spacing w:val="-2"/>
        </w:rPr>
        <w:t>patrón.</w:t>
      </w:r>
    </w:p>
    <w:p>
      <w:pPr>
        <w:pStyle w:val="BodyText"/>
        <w:spacing w:before="1"/>
      </w:pPr>
    </w:p>
    <w:p>
      <w:pPr>
        <w:pStyle w:val="BodyText"/>
        <w:ind w:left="338" w:right="348" w:firstLine="288"/>
        <w:jc w:val="both"/>
      </w:pPr>
      <w:r>
        <w:rPr/>
        <w:t>La igualdad sustantiva es la que se logra eliminando la discriminación contra las mujeres que menoscaba o anula el reconocimiento, goce o ejercicio de sus derechos humanos y las libertades fundamentales en el ámbito laboral. Supone el acceso a las mismas oportunidades, considerando las diferencias biológicas, sociales y culturales de mujeres y hombres.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line="181" w:lineRule="exact"/>
        <w:jc w:val="right"/>
        <w:rPr>
          <w:rFonts w:ascii="Times New Roman" w:hAnsi="Times New Roman"/>
          <w:i/>
          <w:sz w:val="16"/>
        </w:rPr>
        <w:sectPr>
          <w:headerReference w:type="default" r:id="rId5"/>
          <w:footerReference w:type="default" r:id="rId6"/>
          <w:type w:val="continuous"/>
          <w:pgSz w:w="12240" w:h="15840"/>
          <w:pgMar w:header="724" w:footer="712" w:top="1880" w:bottom="900" w:left="1080" w:right="1080"/>
          <w:pgNumType w:start="1"/>
        </w:sectPr>
      </w:pPr>
    </w:p>
    <w:p>
      <w:pPr>
        <w:pStyle w:val="BodyText"/>
        <w:spacing w:before="61"/>
        <w:rPr>
          <w:rFonts w:ascii="Times New Roman"/>
          <w:i/>
        </w:rPr>
      </w:pPr>
    </w:p>
    <w:p>
      <w:pPr>
        <w:pStyle w:val="BodyText"/>
        <w:spacing w:line="242" w:lineRule="auto"/>
        <w:ind w:left="338" w:right="338" w:firstLine="288"/>
        <w:jc w:val="both"/>
      </w:pPr>
      <w:bookmarkStart w:name="Artículo_3o" w:id="3"/>
      <w:bookmarkEnd w:id="3"/>
      <w:r>
        <w:rPr/>
      </w:r>
      <w:r>
        <w:rPr>
          <w:rFonts w:ascii="Arial" w:hAnsi="Arial"/>
          <w:b/>
        </w:rPr>
        <w:t>Artículo 3o.- </w:t>
      </w:r>
      <w:r>
        <w:rPr/>
        <w:t>El trabajo es un derecho y un deber social. No es artículo de comercio, y exige respeto para las libertades y dignidad de quien lo presta, así como el reconocimiento a las diferencias entre hombres y</w:t>
      </w:r>
      <w:r>
        <w:rPr>
          <w:spacing w:val="-6"/>
        </w:rPr>
        <w:t> </w:t>
      </w:r>
      <w:r>
        <w:rPr/>
        <w:t>mujeres</w:t>
      </w:r>
      <w:r>
        <w:rPr>
          <w:spacing w:val="-2"/>
        </w:rPr>
        <w:t> </w:t>
      </w:r>
      <w:r>
        <w:rPr/>
        <w:t>para</w:t>
      </w:r>
      <w:r>
        <w:rPr>
          <w:spacing w:val="-4"/>
        </w:rPr>
        <w:t> </w:t>
      </w:r>
      <w:r>
        <w:rPr/>
        <w:t>obtener</w:t>
      </w:r>
      <w:r>
        <w:rPr>
          <w:spacing w:val="-4"/>
        </w:rPr>
        <w:t> </w:t>
      </w:r>
      <w:r>
        <w:rPr/>
        <w:t>su</w:t>
      </w:r>
      <w:r>
        <w:rPr>
          <w:spacing w:val="-2"/>
        </w:rPr>
        <w:t> </w:t>
      </w:r>
      <w:r>
        <w:rPr/>
        <w:t>igualdad</w:t>
      </w:r>
      <w:r>
        <w:rPr>
          <w:spacing w:val="-3"/>
        </w:rPr>
        <w:t> </w:t>
      </w:r>
      <w:r>
        <w:rPr/>
        <w:t>ante</w:t>
      </w:r>
      <w:r>
        <w:rPr>
          <w:spacing w:val="-2"/>
        </w:rPr>
        <w:t> </w:t>
      </w:r>
      <w:r>
        <w:rPr/>
        <w:t>la</w:t>
      </w:r>
      <w:r>
        <w:rPr>
          <w:spacing w:val="-2"/>
        </w:rPr>
        <w:t> </w:t>
      </w:r>
      <w:r>
        <w:rPr/>
        <w:t>ley.</w:t>
      </w:r>
      <w:r>
        <w:rPr>
          <w:spacing w:val="-2"/>
        </w:rPr>
        <w:t> </w:t>
      </w:r>
      <w:r>
        <w:rPr/>
        <w:t>Debe</w:t>
      </w:r>
      <w:r>
        <w:rPr>
          <w:spacing w:val="-2"/>
        </w:rPr>
        <w:t> </w:t>
      </w:r>
      <w:r>
        <w:rPr/>
        <w:t>efectuarse</w:t>
      </w:r>
      <w:r>
        <w:rPr>
          <w:spacing w:val="-2"/>
        </w:rPr>
        <w:t> </w:t>
      </w:r>
      <w:r>
        <w:rPr/>
        <w:t>en</w:t>
      </w:r>
      <w:r>
        <w:rPr>
          <w:spacing w:val="-5"/>
        </w:rPr>
        <w:t> </w:t>
      </w:r>
      <w:r>
        <w:rPr/>
        <w:t>condiciones</w:t>
      </w:r>
      <w:r>
        <w:rPr>
          <w:spacing w:val="-3"/>
        </w:rPr>
        <w:t> </w:t>
      </w:r>
      <w:r>
        <w:rPr/>
        <w:t>que</w:t>
      </w:r>
      <w:r>
        <w:rPr>
          <w:spacing w:val="-3"/>
        </w:rPr>
        <w:t> </w:t>
      </w:r>
      <w:r>
        <w:rPr/>
        <w:t>aseguren</w:t>
      </w:r>
      <w:r>
        <w:rPr>
          <w:spacing w:val="-2"/>
        </w:rPr>
        <w:t> </w:t>
      </w:r>
      <w:r>
        <w:rPr/>
        <w:t>la vida digna y la salud para las y los trabajadores y sus familiares dependientes.</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1" w:firstLine="288"/>
        <w:jc w:val="both"/>
      </w:pPr>
      <w:r>
        <w:rPr/>
        <w:t>No podrán establecerse condiciones que impliquen discriminación entre los trabajadores por motivo</w:t>
      </w:r>
      <w:r>
        <w:rPr>
          <w:spacing w:val="40"/>
        </w:rPr>
        <w:t> </w:t>
      </w:r>
      <w:r>
        <w:rPr/>
        <w:t>de origen étnico o nacional, género, edad, discapacidad, condición social, condiciones de salud, religión, condición migratoria, opiniones, preferencias sexuales, estado civil o cualquier otro que atente contra la dignidad humana.</w:t>
      </w:r>
    </w:p>
    <w:p>
      <w:pPr>
        <w:pStyle w:val="BodyText"/>
      </w:pPr>
    </w:p>
    <w:p>
      <w:pPr>
        <w:pStyle w:val="BodyText"/>
        <w:ind w:left="338" w:right="337" w:firstLine="288"/>
        <w:jc w:val="both"/>
      </w:pPr>
      <w:r>
        <w:rPr/>
        <w:t>No se considerarán discriminatorias las distinciones, exclusiones o preferencias que se sustenten en las calificaciones particulares que exija una labor determinada.</w:t>
      </w:r>
    </w:p>
    <w:p>
      <w:pPr>
        <w:pStyle w:val="BodyText"/>
        <w:spacing w:before="1"/>
      </w:pPr>
    </w:p>
    <w:p>
      <w:pPr>
        <w:pStyle w:val="BodyText"/>
        <w:spacing w:before="1"/>
        <w:ind w:left="338" w:right="338" w:firstLine="288"/>
        <w:jc w:val="both"/>
      </w:pPr>
      <w:r>
        <w:rPr/>
        <w:t>Es de interés social garantizar un ambiente laboral libre de discriminación y de violencia, promover y vigilar la capacitación, el adiestramiento, la formación para y en el trabajo, la certificación de competencias laborales, la productividad y la calidad en el trabajo, la sustentabilidad ambiental, así como los beneficios que éstas deban generar tanto a los trabajadores como a los patrones.</w:t>
      </w:r>
    </w:p>
    <w:p>
      <w:pPr>
        <w:spacing w:line="240" w:lineRule="auto" w:before="0"/>
        <w:ind w:left="6519" w:right="0" w:firstLine="844"/>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2"/>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2"/>
        <w:rPr>
          <w:rFonts w:ascii="Times New Roman"/>
          <w:i/>
          <w:sz w:val="16"/>
        </w:rPr>
      </w:pPr>
    </w:p>
    <w:p>
      <w:pPr>
        <w:spacing w:before="0"/>
        <w:ind w:left="626" w:right="0" w:firstLine="0"/>
        <w:jc w:val="left"/>
        <w:rPr>
          <w:sz w:val="20"/>
        </w:rPr>
      </w:pPr>
      <w:bookmarkStart w:name="Artículo_3o_Bis" w:id="4"/>
      <w:bookmarkEnd w:id="4"/>
      <w:r>
        <w:rPr/>
      </w:r>
      <w:r>
        <w:rPr>
          <w:rFonts w:ascii="Arial" w:hAnsi="Arial"/>
          <w:b/>
          <w:sz w:val="20"/>
        </w:rPr>
        <w:t>Artículo</w:t>
      </w:r>
      <w:r>
        <w:rPr>
          <w:rFonts w:ascii="Arial" w:hAnsi="Arial"/>
          <w:b/>
          <w:spacing w:val="-6"/>
          <w:sz w:val="20"/>
        </w:rPr>
        <w:t> </w:t>
      </w:r>
      <w:r>
        <w:rPr>
          <w:rFonts w:ascii="Arial" w:hAnsi="Arial"/>
          <w:b/>
          <w:sz w:val="20"/>
        </w:rPr>
        <w:t>3o.</w:t>
      </w:r>
      <w:r>
        <w:rPr>
          <w:rFonts w:ascii="Arial" w:hAnsi="Arial"/>
          <w:b/>
          <w:spacing w:val="-3"/>
          <w:sz w:val="20"/>
        </w:rPr>
        <w:t> </w:t>
      </w:r>
      <w:r>
        <w:rPr>
          <w:rFonts w:ascii="Arial" w:hAnsi="Arial"/>
          <w:b/>
          <w:sz w:val="20"/>
        </w:rPr>
        <w:t>Bis.-</w:t>
      </w:r>
      <w:r>
        <w:rPr>
          <w:rFonts w:ascii="Arial" w:hAnsi="Arial"/>
          <w:b/>
          <w:spacing w:val="-3"/>
          <w:sz w:val="20"/>
        </w:rPr>
        <w:t> </w:t>
      </w:r>
      <w:r>
        <w:rPr>
          <w:sz w:val="20"/>
        </w:rPr>
        <w:t>Para</w:t>
      </w:r>
      <w:r>
        <w:rPr>
          <w:spacing w:val="-3"/>
          <w:sz w:val="20"/>
        </w:rPr>
        <w:t> </w:t>
      </w:r>
      <w:r>
        <w:rPr>
          <w:sz w:val="20"/>
        </w:rPr>
        <w:t>efectos</w:t>
      </w:r>
      <w:r>
        <w:rPr>
          <w:spacing w:val="-5"/>
          <w:sz w:val="20"/>
        </w:rPr>
        <w:t> </w:t>
      </w:r>
      <w:r>
        <w:rPr>
          <w:sz w:val="20"/>
        </w:rPr>
        <w:t>de</w:t>
      </w:r>
      <w:r>
        <w:rPr>
          <w:spacing w:val="-7"/>
          <w:sz w:val="20"/>
        </w:rPr>
        <w:t> </w:t>
      </w:r>
      <w:r>
        <w:rPr>
          <w:sz w:val="20"/>
        </w:rPr>
        <w:t>esta</w:t>
      </w:r>
      <w:r>
        <w:rPr>
          <w:spacing w:val="-4"/>
          <w:sz w:val="20"/>
        </w:rPr>
        <w:t> </w:t>
      </w:r>
      <w:r>
        <w:rPr>
          <w:sz w:val="20"/>
        </w:rPr>
        <w:t>Ley</w:t>
      </w:r>
      <w:r>
        <w:rPr>
          <w:spacing w:val="-9"/>
          <w:sz w:val="20"/>
        </w:rPr>
        <w:t> </w:t>
      </w:r>
      <w:r>
        <w:rPr>
          <w:sz w:val="20"/>
        </w:rPr>
        <w:t>se</w:t>
      </w:r>
      <w:r>
        <w:rPr>
          <w:spacing w:val="-4"/>
          <w:sz w:val="20"/>
        </w:rPr>
        <w:t> </w:t>
      </w:r>
      <w:r>
        <w:rPr>
          <w:sz w:val="20"/>
        </w:rPr>
        <w:t>entiende</w:t>
      </w:r>
      <w:r>
        <w:rPr>
          <w:spacing w:val="-6"/>
          <w:sz w:val="20"/>
        </w:rPr>
        <w:t> </w:t>
      </w:r>
      <w:r>
        <w:rPr>
          <w:spacing w:val="-4"/>
          <w:sz w:val="20"/>
        </w:rPr>
        <w:t>por:</w:t>
      </w:r>
    </w:p>
    <w:p>
      <w:pPr>
        <w:pStyle w:val="BodyText"/>
        <w:spacing w:before="1"/>
      </w:pPr>
    </w:p>
    <w:p>
      <w:pPr>
        <w:pStyle w:val="ListParagraph"/>
        <w:numPr>
          <w:ilvl w:val="0"/>
          <w:numId w:val="1"/>
        </w:numPr>
        <w:tabs>
          <w:tab w:pos="1195" w:val="left" w:leader="none"/>
        </w:tabs>
        <w:spacing w:line="242" w:lineRule="auto" w:before="0" w:after="0"/>
        <w:ind w:left="1195" w:right="342" w:hanging="569"/>
        <w:jc w:val="both"/>
        <w:rPr>
          <w:sz w:val="20"/>
        </w:rPr>
      </w:pPr>
      <w:r>
        <w:rPr>
          <w:sz w:val="20"/>
        </w:rPr>
        <w:t>Hostigamiento, el ejercicio del poder en una relación de subordinación real de la víctima frente</w:t>
      </w:r>
      <w:r>
        <w:rPr>
          <w:spacing w:val="40"/>
          <w:sz w:val="20"/>
        </w:rPr>
        <w:t> </w:t>
      </w:r>
      <w:r>
        <w:rPr>
          <w:sz w:val="20"/>
        </w:rPr>
        <w:t>al agresor en el ámbito laboral, que se expresa en conductas verbales, físicas o ambas; y</w:t>
      </w:r>
    </w:p>
    <w:p>
      <w:pPr>
        <w:pStyle w:val="ListParagraph"/>
        <w:numPr>
          <w:ilvl w:val="0"/>
          <w:numId w:val="1"/>
        </w:numPr>
        <w:tabs>
          <w:tab w:pos="1193" w:val="left" w:leader="none"/>
          <w:tab w:pos="1195" w:val="left" w:leader="none"/>
        </w:tabs>
        <w:spacing w:line="242" w:lineRule="auto" w:before="224" w:after="0"/>
        <w:ind w:left="1195" w:right="343" w:hanging="569"/>
        <w:jc w:val="both"/>
        <w:rPr>
          <w:sz w:val="20"/>
        </w:rPr>
      </w:pPr>
      <w:r>
        <w:rPr>
          <w:sz w:val="20"/>
        </w:rPr>
        <w:t>Acoso sexual, una forma de violencia en la que, si bien no existe la subordinación, hay un ejercicio abusivo del poder que conlleva a un estado de indefensión y de riesgo para la víctima, independientemente de que se realice en uno o varios eventos.</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before="229"/>
        <w:ind w:left="626" w:right="0" w:firstLine="0"/>
        <w:jc w:val="left"/>
        <w:rPr>
          <w:sz w:val="20"/>
        </w:rPr>
      </w:pPr>
      <w:bookmarkStart w:name="Artículo_3o_Ter" w:id="5"/>
      <w:bookmarkEnd w:id="5"/>
      <w:r>
        <w:rPr/>
      </w:r>
      <w:r>
        <w:rPr>
          <w:rFonts w:ascii="Arial" w:hAnsi="Arial"/>
          <w:b/>
          <w:sz w:val="20"/>
        </w:rPr>
        <w:t>Artículo</w:t>
      </w:r>
      <w:r>
        <w:rPr>
          <w:rFonts w:ascii="Arial" w:hAnsi="Arial"/>
          <w:b/>
          <w:spacing w:val="-6"/>
          <w:sz w:val="20"/>
        </w:rPr>
        <w:t> </w:t>
      </w:r>
      <w:r>
        <w:rPr>
          <w:rFonts w:ascii="Arial" w:hAnsi="Arial"/>
          <w:b/>
          <w:sz w:val="20"/>
        </w:rPr>
        <w:t>3o.</w:t>
      </w:r>
      <w:r>
        <w:rPr>
          <w:rFonts w:ascii="Arial" w:hAnsi="Arial"/>
          <w:b/>
          <w:spacing w:val="-4"/>
          <w:sz w:val="20"/>
        </w:rPr>
        <w:t> </w:t>
      </w:r>
      <w:r>
        <w:rPr>
          <w:rFonts w:ascii="Arial" w:hAnsi="Arial"/>
          <w:b/>
          <w:sz w:val="20"/>
        </w:rPr>
        <w:t>Ter.-</w:t>
      </w:r>
      <w:r>
        <w:rPr>
          <w:rFonts w:ascii="Arial" w:hAnsi="Arial"/>
          <w:b/>
          <w:spacing w:val="-5"/>
          <w:sz w:val="20"/>
        </w:rPr>
        <w:t> </w:t>
      </w:r>
      <w:r>
        <w:rPr>
          <w:sz w:val="20"/>
        </w:rPr>
        <w:t>Para</w:t>
      </w:r>
      <w:r>
        <w:rPr>
          <w:spacing w:val="-4"/>
          <w:sz w:val="20"/>
        </w:rPr>
        <w:t> </w:t>
      </w:r>
      <w:r>
        <w:rPr>
          <w:sz w:val="20"/>
        </w:rPr>
        <w:t>efectos</w:t>
      </w:r>
      <w:r>
        <w:rPr>
          <w:spacing w:val="-5"/>
          <w:sz w:val="20"/>
        </w:rPr>
        <w:t> </w:t>
      </w:r>
      <w:r>
        <w:rPr>
          <w:sz w:val="20"/>
        </w:rPr>
        <w:t>de</w:t>
      </w:r>
      <w:r>
        <w:rPr>
          <w:spacing w:val="-8"/>
          <w:sz w:val="20"/>
        </w:rPr>
        <w:t> </w:t>
      </w:r>
      <w:r>
        <w:rPr>
          <w:sz w:val="20"/>
        </w:rPr>
        <w:t>esta</w:t>
      </w:r>
      <w:r>
        <w:rPr>
          <w:spacing w:val="-4"/>
          <w:sz w:val="20"/>
        </w:rPr>
        <w:t> </w:t>
      </w:r>
      <w:r>
        <w:rPr>
          <w:sz w:val="20"/>
        </w:rPr>
        <w:t>Ley</w:t>
      </w:r>
      <w:r>
        <w:rPr>
          <w:spacing w:val="-9"/>
          <w:sz w:val="20"/>
        </w:rPr>
        <w:t> </w:t>
      </w:r>
      <w:r>
        <w:rPr>
          <w:sz w:val="20"/>
        </w:rPr>
        <w:t>se</w:t>
      </w:r>
      <w:r>
        <w:rPr>
          <w:spacing w:val="-5"/>
          <w:sz w:val="20"/>
        </w:rPr>
        <w:t> </w:t>
      </w:r>
      <w:r>
        <w:rPr>
          <w:sz w:val="20"/>
        </w:rPr>
        <w:t>entenderá</w:t>
      </w:r>
      <w:r>
        <w:rPr>
          <w:spacing w:val="-6"/>
          <w:sz w:val="20"/>
        </w:rPr>
        <w:t> </w:t>
      </w:r>
      <w:r>
        <w:rPr>
          <w:spacing w:val="-4"/>
          <w:sz w:val="20"/>
        </w:rPr>
        <w:t>por:</w:t>
      </w:r>
    </w:p>
    <w:p>
      <w:pPr>
        <w:pStyle w:val="BodyText"/>
      </w:pPr>
    </w:p>
    <w:p>
      <w:pPr>
        <w:pStyle w:val="ListParagraph"/>
        <w:numPr>
          <w:ilvl w:val="1"/>
          <w:numId w:val="1"/>
        </w:numPr>
        <w:tabs>
          <w:tab w:pos="1195" w:val="left" w:leader="none"/>
        </w:tabs>
        <w:spacing w:line="242" w:lineRule="auto" w:before="1" w:after="0"/>
        <w:ind w:left="1195" w:right="342" w:hanging="569"/>
        <w:jc w:val="left"/>
        <w:rPr>
          <w:sz w:val="20"/>
        </w:rPr>
      </w:pPr>
      <w:r>
        <w:rPr>
          <w:rFonts w:ascii="Arial" w:hAnsi="Arial"/>
          <w:b/>
          <w:sz w:val="20"/>
        </w:rPr>
        <w:t>Autoridad</w:t>
      </w:r>
      <w:r>
        <w:rPr>
          <w:rFonts w:ascii="Arial" w:hAnsi="Arial"/>
          <w:b/>
          <w:spacing w:val="-1"/>
          <w:sz w:val="20"/>
        </w:rPr>
        <w:t> </w:t>
      </w:r>
      <w:r>
        <w:rPr>
          <w:rFonts w:ascii="Arial" w:hAnsi="Arial"/>
          <w:b/>
          <w:sz w:val="20"/>
        </w:rPr>
        <w:t>Conciliadora: </w:t>
      </w:r>
      <w:r>
        <w:rPr>
          <w:sz w:val="20"/>
        </w:rPr>
        <w:t>El</w:t>
      </w:r>
      <w:r>
        <w:rPr>
          <w:spacing w:val="-1"/>
          <w:sz w:val="20"/>
        </w:rPr>
        <w:t> </w:t>
      </w:r>
      <w:r>
        <w:rPr>
          <w:sz w:val="20"/>
        </w:rPr>
        <w:t>Centro</w:t>
      </w:r>
      <w:r>
        <w:rPr>
          <w:spacing w:val="-2"/>
          <w:sz w:val="20"/>
        </w:rPr>
        <w:t> </w:t>
      </w:r>
      <w:r>
        <w:rPr>
          <w:sz w:val="20"/>
        </w:rPr>
        <w:t>Federal</w:t>
      </w:r>
      <w:r>
        <w:rPr>
          <w:spacing w:val="-1"/>
          <w:sz w:val="20"/>
        </w:rPr>
        <w:t> </w:t>
      </w:r>
      <w:r>
        <w:rPr>
          <w:sz w:val="20"/>
        </w:rPr>
        <w:t>de Conciliación y</w:t>
      </w:r>
      <w:r>
        <w:rPr>
          <w:spacing w:val="-5"/>
          <w:sz w:val="20"/>
        </w:rPr>
        <w:t> </w:t>
      </w:r>
      <w:r>
        <w:rPr>
          <w:sz w:val="20"/>
        </w:rPr>
        <w:t>Registro</w:t>
      </w:r>
      <w:r>
        <w:rPr>
          <w:spacing w:val="-2"/>
          <w:sz w:val="20"/>
        </w:rPr>
        <w:t> </w:t>
      </w:r>
      <w:r>
        <w:rPr>
          <w:sz w:val="20"/>
        </w:rPr>
        <w:t>Laboral</w:t>
      </w:r>
      <w:r>
        <w:rPr>
          <w:spacing w:val="-1"/>
          <w:sz w:val="20"/>
        </w:rPr>
        <w:t> </w:t>
      </w:r>
      <w:r>
        <w:rPr>
          <w:sz w:val="20"/>
        </w:rPr>
        <w:t>o los Centros</w:t>
      </w:r>
      <w:r>
        <w:rPr>
          <w:spacing w:val="-1"/>
          <w:sz w:val="20"/>
        </w:rPr>
        <w:t> </w:t>
      </w:r>
      <w:r>
        <w:rPr>
          <w:sz w:val="20"/>
        </w:rPr>
        <w:t>de Conciliación de las entidades federativas, según corresponda;</w:t>
      </w:r>
    </w:p>
    <w:p>
      <w:pPr>
        <w:pStyle w:val="ListParagraph"/>
        <w:numPr>
          <w:ilvl w:val="1"/>
          <w:numId w:val="1"/>
        </w:numPr>
        <w:tabs>
          <w:tab w:pos="1195" w:val="left" w:leader="none"/>
        </w:tabs>
        <w:spacing w:line="240" w:lineRule="auto" w:before="224" w:after="0"/>
        <w:ind w:left="1195" w:right="0" w:hanging="569"/>
        <w:jc w:val="left"/>
        <w:rPr>
          <w:sz w:val="20"/>
        </w:rPr>
      </w:pPr>
      <w:r>
        <w:rPr>
          <w:rFonts w:ascii="Arial" w:hAnsi="Arial"/>
          <w:b/>
          <w:sz w:val="20"/>
        </w:rPr>
        <w:t>Autoridad</w:t>
      </w:r>
      <w:r>
        <w:rPr>
          <w:rFonts w:ascii="Arial" w:hAnsi="Arial"/>
          <w:b/>
          <w:spacing w:val="-8"/>
          <w:sz w:val="20"/>
        </w:rPr>
        <w:t> </w:t>
      </w:r>
      <w:r>
        <w:rPr>
          <w:rFonts w:ascii="Arial" w:hAnsi="Arial"/>
          <w:b/>
          <w:sz w:val="20"/>
        </w:rPr>
        <w:t>Registral:</w:t>
      </w:r>
      <w:r>
        <w:rPr>
          <w:rFonts w:ascii="Arial" w:hAnsi="Arial"/>
          <w:b/>
          <w:spacing w:val="-3"/>
          <w:sz w:val="20"/>
        </w:rPr>
        <w:t> </w:t>
      </w:r>
      <w:r>
        <w:rPr>
          <w:sz w:val="20"/>
        </w:rPr>
        <w:t>El</w:t>
      </w:r>
      <w:r>
        <w:rPr>
          <w:spacing w:val="-7"/>
          <w:sz w:val="20"/>
        </w:rPr>
        <w:t> </w:t>
      </w:r>
      <w:r>
        <w:rPr>
          <w:sz w:val="20"/>
        </w:rPr>
        <w:t>Centro</w:t>
      </w:r>
      <w:r>
        <w:rPr>
          <w:spacing w:val="-8"/>
          <w:sz w:val="20"/>
        </w:rPr>
        <w:t> </w:t>
      </w:r>
      <w:r>
        <w:rPr>
          <w:sz w:val="20"/>
        </w:rPr>
        <w:t>Federal</w:t>
      </w:r>
      <w:r>
        <w:rPr>
          <w:spacing w:val="-8"/>
          <w:sz w:val="20"/>
        </w:rPr>
        <w:t> </w:t>
      </w:r>
      <w:r>
        <w:rPr>
          <w:sz w:val="20"/>
        </w:rPr>
        <w:t>de</w:t>
      </w:r>
      <w:r>
        <w:rPr>
          <w:spacing w:val="-8"/>
          <w:sz w:val="20"/>
        </w:rPr>
        <w:t> </w:t>
      </w:r>
      <w:r>
        <w:rPr>
          <w:sz w:val="20"/>
        </w:rPr>
        <w:t>Conciliación</w:t>
      </w:r>
      <w:r>
        <w:rPr>
          <w:spacing w:val="-4"/>
          <w:sz w:val="20"/>
        </w:rPr>
        <w:t> </w:t>
      </w:r>
      <w:r>
        <w:rPr>
          <w:sz w:val="20"/>
        </w:rPr>
        <w:t>y</w:t>
      </w:r>
      <w:r>
        <w:rPr>
          <w:spacing w:val="-10"/>
          <w:sz w:val="20"/>
        </w:rPr>
        <w:t> </w:t>
      </w:r>
      <w:r>
        <w:rPr>
          <w:sz w:val="20"/>
        </w:rPr>
        <w:t>Registro</w:t>
      </w:r>
      <w:r>
        <w:rPr>
          <w:spacing w:val="-6"/>
          <w:sz w:val="20"/>
        </w:rPr>
        <w:t> </w:t>
      </w:r>
      <w:r>
        <w:rPr>
          <w:spacing w:val="-2"/>
          <w:sz w:val="20"/>
        </w:rPr>
        <w:t>Laboral;</w:t>
      </w:r>
    </w:p>
    <w:p>
      <w:pPr>
        <w:pStyle w:val="BodyText"/>
      </w:pPr>
    </w:p>
    <w:p>
      <w:pPr>
        <w:pStyle w:val="ListParagraph"/>
        <w:numPr>
          <w:ilvl w:val="1"/>
          <w:numId w:val="1"/>
        </w:numPr>
        <w:tabs>
          <w:tab w:pos="1195" w:val="left" w:leader="none"/>
        </w:tabs>
        <w:spacing w:line="242" w:lineRule="auto" w:before="1" w:after="0"/>
        <w:ind w:left="1195" w:right="344" w:hanging="569"/>
        <w:jc w:val="left"/>
        <w:rPr>
          <w:sz w:val="20"/>
        </w:rPr>
      </w:pPr>
      <w:r>
        <w:rPr>
          <w:rFonts w:ascii="Arial" w:hAnsi="Arial"/>
          <w:b/>
          <w:sz w:val="20"/>
        </w:rPr>
        <w:t>Centros de Conciliación: </w:t>
      </w:r>
      <w:r>
        <w:rPr>
          <w:sz w:val="20"/>
        </w:rPr>
        <w:t>Los Centros de conciliación de las entidades federativas o el Centro Federal de Conciliación y Registro Laboral, según corresponda;</w:t>
      </w:r>
    </w:p>
    <w:p>
      <w:pPr>
        <w:pStyle w:val="ListParagraph"/>
        <w:numPr>
          <w:ilvl w:val="1"/>
          <w:numId w:val="1"/>
        </w:numPr>
        <w:tabs>
          <w:tab w:pos="1195" w:val="left" w:leader="none"/>
        </w:tabs>
        <w:spacing w:line="240" w:lineRule="auto" w:before="226" w:after="0"/>
        <w:ind w:left="1195" w:right="0" w:hanging="569"/>
        <w:jc w:val="left"/>
        <w:rPr>
          <w:sz w:val="20"/>
        </w:rPr>
      </w:pPr>
      <w:r>
        <w:rPr>
          <w:rFonts w:ascii="Arial" w:hAnsi="Arial"/>
          <w:b/>
          <w:sz w:val="20"/>
        </w:rPr>
        <w:t>Constitución:</w:t>
      </w:r>
      <w:r>
        <w:rPr>
          <w:rFonts w:ascii="Arial" w:hAnsi="Arial"/>
          <w:b/>
          <w:spacing w:val="-7"/>
          <w:sz w:val="20"/>
        </w:rPr>
        <w:t> </w:t>
      </w:r>
      <w:r>
        <w:rPr>
          <w:sz w:val="20"/>
        </w:rPr>
        <w:t>La</w:t>
      </w:r>
      <w:r>
        <w:rPr>
          <w:spacing w:val="-9"/>
          <w:sz w:val="20"/>
        </w:rPr>
        <w:t> </w:t>
      </w:r>
      <w:r>
        <w:rPr>
          <w:sz w:val="20"/>
        </w:rPr>
        <w:t>Constitución</w:t>
      </w:r>
      <w:r>
        <w:rPr>
          <w:spacing w:val="-7"/>
          <w:sz w:val="20"/>
        </w:rPr>
        <w:t> </w:t>
      </w:r>
      <w:r>
        <w:rPr>
          <w:sz w:val="20"/>
        </w:rPr>
        <w:t>Política</w:t>
      </w:r>
      <w:r>
        <w:rPr>
          <w:spacing w:val="-9"/>
          <w:sz w:val="20"/>
        </w:rPr>
        <w:t> </w:t>
      </w:r>
      <w:r>
        <w:rPr>
          <w:sz w:val="20"/>
        </w:rPr>
        <w:t>de</w:t>
      </w:r>
      <w:r>
        <w:rPr>
          <w:spacing w:val="-8"/>
          <w:sz w:val="20"/>
        </w:rPr>
        <w:t> </w:t>
      </w:r>
      <w:r>
        <w:rPr>
          <w:sz w:val="20"/>
        </w:rPr>
        <w:t>los</w:t>
      </w:r>
      <w:r>
        <w:rPr>
          <w:spacing w:val="-7"/>
          <w:sz w:val="20"/>
        </w:rPr>
        <w:t> </w:t>
      </w:r>
      <w:r>
        <w:rPr>
          <w:sz w:val="20"/>
        </w:rPr>
        <w:t>Estados</w:t>
      </w:r>
      <w:r>
        <w:rPr>
          <w:spacing w:val="-6"/>
          <w:sz w:val="20"/>
        </w:rPr>
        <w:t> </w:t>
      </w:r>
      <w:r>
        <w:rPr>
          <w:sz w:val="20"/>
        </w:rPr>
        <w:t>Unidos</w:t>
      </w:r>
      <w:r>
        <w:rPr>
          <w:spacing w:val="-7"/>
          <w:sz w:val="20"/>
        </w:rPr>
        <w:t> </w:t>
      </w:r>
      <w:r>
        <w:rPr>
          <w:spacing w:val="-2"/>
          <w:sz w:val="20"/>
        </w:rPr>
        <w:t>Mexicanos;</w:t>
      </w:r>
    </w:p>
    <w:p>
      <w:pPr>
        <w:pStyle w:val="ListParagraph"/>
        <w:numPr>
          <w:ilvl w:val="1"/>
          <w:numId w:val="1"/>
        </w:numPr>
        <w:tabs>
          <w:tab w:pos="1195" w:val="left" w:leader="none"/>
        </w:tabs>
        <w:spacing w:line="242" w:lineRule="auto" w:before="229" w:after="0"/>
        <w:ind w:left="1195" w:right="342" w:hanging="569"/>
        <w:jc w:val="left"/>
        <w:rPr>
          <w:sz w:val="20"/>
        </w:rPr>
      </w:pPr>
      <w:r>
        <w:rPr>
          <w:rFonts w:ascii="Arial" w:hAnsi="Arial"/>
          <w:b/>
          <w:sz w:val="20"/>
        </w:rPr>
        <w:t>Día: </w:t>
      </w:r>
      <w:r>
        <w:rPr>
          <w:sz w:val="20"/>
        </w:rPr>
        <w:t>Se hace referencia a día hábil, salvo que expresamente se mencione que se trata de días </w:t>
      </w:r>
      <w:r>
        <w:rPr>
          <w:spacing w:val="-2"/>
          <w:sz w:val="20"/>
        </w:rPr>
        <w:t>naturales;</w:t>
      </w:r>
    </w:p>
    <w:p>
      <w:pPr>
        <w:pStyle w:val="ListParagraph"/>
        <w:numPr>
          <w:ilvl w:val="1"/>
          <w:numId w:val="1"/>
        </w:numPr>
        <w:tabs>
          <w:tab w:pos="1195" w:val="left" w:leader="none"/>
        </w:tabs>
        <w:spacing w:line="240" w:lineRule="auto" w:before="227" w:after="0"/>
        <w:ind w:left="1195" w:right="0" w:hanging="569"/>
        <w:jc w:val="left"/>
        <w:rPr>
          <w:sz w:val="20"/>
        </w:rPr>
      </w:pPr>
      <w:r>
        <w:rPr>
          <w:rFonts w:ascii="Arial"/>
          <w:b/>
          <w:sz w:val="20"/>
        </w:rPr>
        <w:t>Tribunal:</w:t>
      </w:r>
      <w:r>
        <w:rPr>
          <w:rFonts w:ascii="Arial"/>
          <w:b/>
          <w:spacing w:val="-6"/>
          <w:sz w:val="20"/>
        </w:rPr>
        <w:t> </w:t>
      </w:r>
      <w:r>
        <w:rPr>
          <w:sz w:val="20"/>
        </w:rPr>
        <w:t>El</w:t>
      </w:r>
      <w:r>
        <w:rPr>
          <w:spacing w:val="-8"/>
          <w:sz w:val="20"/>
        </w:rPr>
        <w:t> </w:t>
      </w:r>
      <w:r>
        <w:rPr>
          <w:sz w:val="20"/>
        </w:rPr>
        <w:t>juez</w:t>
      </w:r>
      <w:r>
        <w:rPr>
          <w:spacing w:val="-7"/>
          <w:sz w:val="20"/>
        </w:rPr>
        <w:t> </w:t>
      </w:r>
      <w:r>
        <w:rPr>
          <w:sz w:val="20"/>
        </w:rPr>
        <w:t>laboral,</w:t>
      </w:r>
      <w:r>
        <w:rPr>
          <w:spacing w:val="-2"/>
          <w:sz w:val="20"/>
        </w:rPr>
        <w:t> </w:t>
      </w:r>
      <w:r>
        <w:rPr>
          <w:spacing w:val="-10"/>
          <w:sz w:val="20"/>
        </w:rPr>
        <w:t>y</w:t>
      </w:r>
    </w:p>
    <w:p>
      <w:pPr>
        <w:pStyle w:val="ListParagraph"/>
        <w:numPr>
          <w:ilvl w:val="1"/>
          <w:numId w:val="1"/>
        </w:numPr>
        <w:tabs>
          <w:tab w:pos="1195" w:val="left" w:leader="none"/>
        </w:tabs>
        <w:spacing w:line="242" w:lineRule="auto" w:before="228" w:after="0"/>
        <w:ind w:left="1195" w:right="343" w:hanging="569"/>
        <w:jc w:val="left"/>
        <w:rPr>
          <w:sz w:val="20"/>
        </w:rPr>
      </w:pPr>
      <w:r>
        <w:rPr>
          <w:rFonts w:ascii="Arial" w:hAnsi="Arial"/>
          <w:b/>
          <w:sz w:val="20"/>
        </w:rPr>
        <w:t>Correr traslado: </w:t>
      </w:r>
      <w:r>
        <w:rPr>
          <w:sz w:val="20"/>
        </w:rPr>
        <w:t>poner a disposición de alguna de las partes algún documento o documentos en el local del Tribunal, salvo los casos previstos en esta Ley.</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firstLine="288"/>
      </w:pPr>
      <w:bookmarkStart w:name="Artículo_4o" w:id="6"/>
      <w:bookmarkEnd w:id="6"/>
      <w:r>
        <w:rPr/>
      </w:r>
      <w:r>
        <w:rPr>
          <w:rFonts w:ascii="Arial" w:hAnsi="Arial"/>
          <w:b/>
        </w:rPr>
        <w:t>Artículo</w:t>
      </w:r>
      <w:r>
        <w:rPr>
          <w:rFonts w:ascii="Arial" w:hAnsi="Arial"/>
          <w:b/>
          <w:spacing w:val="30"/>
        </w:rPr>
        <w:t> </w:t>
      </w:r>
      <w:r>
        <w:rPr>
          <w:rFonts w:ascii="Arial" w:hAnsi="Arial"/>
          <w:b/>
        </w:rPr>
        <w:t>4o.-</w:t>
      </w:r>
      <w:r>
        <w:rPr>
          <w:rFonts w:ascii="Arial" w:hAnsi="Arial"/>
          <w:b/>
          <w:spacing w:val="31"/>
        </w:rPr>
        <w:t> </w:t>
      </w:r>
      <w:r>
        <w:rPr/>
        <w:t>No</w:t>
      </w:r>
      <w:r>
        <w:rPr>
          <w:spacing w:val="30"/>
        </w:rPr>
        <w:t> </w:t>
      </w:r>
      <w:r>
        <w:rPr/>
        <w:t>se</w:t>
      </w:r>
      <w:r>
        <w:rPr>
          <w:spacing w:val="30"/>
        </w:rPr>
        <w:t> </w:t>
      </w:r>
      <w:r>
        <w:rPr/>
        <w:t>podrá</w:t>
      </w:r>
      <w:r>
        <w:rPr>
          <w:spacing w:val="32"/>
        </w:rPr>
        <w:t> </w:t>
      </w:r>
      <w:r>
        <w:rPr/>
        <w:t>impedir</w:t>
      </w:r>
      <w:r>
        <w:rPr>
          <w:spacing w:val="31"/>
        </w:rPr>
        <w:t> </w:t>
      </w:r>
      <w:r>
        <w:rPr/>
        <w:t>el</w:t>
      </w:r>
      <w:r>
        <w:rPr>
          <w:spacing w:val="29"/>
        </w:rPr>
        <w:t> </w:t>
      </w:r>
      <w:r>
        <w:rPr/>
        <w:t>trabajo</w:t>
      </w:r>
      <w:r>
        <w:rPr>
          <w:spacing w:val="30"/>
        </w:rPr>
        <w:t> </w:t>
      </w:r>
      <w:r>
        <w:rPr/>
        <w:t>a</w:t>
      </w:r>
      <w:r>
        <w:rPr>
          <w:spacing w:val="30"/>
        </w:rPr>
        <w:t> </w:t>
      </w:r>
      <w:r>
        <w:rPr/>
        <w:t>ninguna</w:t>
      </w:r>
      <w:r>
        <w:rPr>
          <w:spacing w:val="30"/>
        </w:rPr>
        <w:t> </w:t>
      </w:r>
      <w:r>
        <w:rPr/>
        <w:t>persona</w:t>
      </w:r>
      <w:r>
        <w:rPr>
          <w:spacing w:val="29"/>
        </w:rPr>
        <w:t> </w:t>
      </w:r>
      <w:r>
        <w:rPr/>
        <w:t>ni</w:t>
      </w:r>
      <w:r>
        <w:rPr>
          <w:spacing w:val="29"/>
        </w:rPr>
        <w:t> </w:t>
      </w:r>
      <w:r>
        <w:rPr/>
        <w:t>que</w:t>
      </w:r>
      <w:r>
        <w:rPr>
          <w:spacing w:val="30"/>
        </w:rPr>
        <w:t> </w:t>
      </w:r>
      <w:r>
        <w:rPr/>
        <w:t>se</w:t>
      </w:r>
      <w:r>
        <w:rPr>
          <w:spacing w:val="30"/>
        </w:rPr>
        <w:t> </w:t>
      </w:r>
      <w:r>
        <w:rPr/>
        <w:t>dedique</w:t>
      </w:r>
      <w:r>
        <w:rPr>
          <w:spacing w:val="29"/>
        </w:rPr>
        <w:t> </w:t>
      </w:r>
      <w:r>
        <w:rPr/>
        <w:t>a</w:t>
      </w:r>
      <w:r>
        <w:rPr>
          <w:spacing w:val="30"/>
        </w:rPr>
        <w:t> </w:t>
      </w:r>
      <w:r>
        <w:rPr/>
        <w:t>la</w:t>
      </w:r>
      <w:r>
        <w:rPr>
          <w:spacing w:val="30"/>
        </w:rPr>
        <w:t> </w:t>
      </w:r>
      <w:r>
        <w:rPr/>
        <w:t>profesión, industria</w:t>
      </w:r>
      <w:r>
        <w:rPr>
          <w:spacing w:val="16"/>
        </w:rPr>
        <w:t> </w:t>
      </w:r>
      <w:r>
        <w:rPr/>
        <w:t>o</w:t>
      </w:r>
      <w:r>
        <w:rPr>
          <w:spacing w:val="17"/>
        </w:rPr>
        <w:t> </w:t>
      </w:r>
      <w:r>
        <w:rPr/>
        <w:t>comercio</w:t>
      </w:r>
      <w:r>
        <w:rPr>
          <w:spacing w:val="17"/>
        </w:rPr>
        <w:t> </w:t>
      </w:r>
      <w:r>
        <w:rPr/>
        <w:t>que</w:t>
      </w:r>
      <w:r>
        <w:rPr>
          <w:spacing w:val="16"/>
        </w:rPr>
        <w:t> </w:t>
      </w:r>
      <w:r>
        <w:rPr/>
        <w:t>le</w:t>
      </w:r>
      <w:r>
        <w:rPr>
          <w:spacing w:val="17"/>
        </w:rPr>
        <w:t> </w:t>
      </w:r>
      <w:r>
        <w:rPr/>
        <w:t>acomode,</w:t>
      </w:r>
      <w:r>
        <w:rPr>
          <w:spacing w:val="16"/>
        </w:rPr>
        <w:t> </w:t>
      </w:r>
      <w:r>
        <w:rPr/>
        <w:t>siendo</w:t>
      </w:r>
      <w:r>
        <w:rPr>
          <w:spacing w:val="18"/>
        </w:rPr>
        <w:t> </w:t>
      </w:r>
      <w:r>
        <w:rPr/>
        <w:t>lícitos.</w:t>
      </w:r>
      <w:r>
        <w:rPr>
          <w:spacing w:val="19"/>
        </w:rPr>
        <w:t> </w:t>
      </w:r>
      <w:r>
        <w:rPr/>
        <w:t>El</w:t>
      </w:r>
      <w:r>
        <w:rPr>
          <w:spacing w:val="15"/>
        </w:rPr>
        <w:t> </w:t>
      </w:r>
      <w:r>
        <w:rPr/>
        <w:t>ejercicio</w:t>
      </w:r>
      <w:r>
        <w:rPr>
          <w:spacing w:val="17"/>
        </w:rPr>
        <w:t> </w:t>
      </w:r>
      <w:r>
        <w:rPr/>
        <w:t>de</w:t>
      </w:r>
      <w:r>
        <w:rPr>
          <w:spacing w:val="17"/>
        </w:rPr>
        <w:t> </w:t>
      </w:r>
      <w:r>
        <w:rPr/>
        <w:t>estos</w:t>
      </w:r>
      <w:r>
        <w:rPr>
          <w:spacing w:val="17"/>
        </w:rPr>
        <w:t> </w:t>
      </w:r>
      <w:r>
        <w:rPr/>
        <w:t>derechos</w:t>
      </w:r>
      <w:r>
        <w:rPr>
          <w:spacing w:val="17"/>
        </w:rPr>
        <w:t> </w:t>
      </w:r>
      <w:r>
        <w:rPr/>
        <w:t>sólo</w:t>
      </w:r>
      <w:r>
        <w:rPr>
          <w:spacing w:val="17"/>
        </w:rPr>
        <w:t> </w:t>
      </w:r>
      <w:r>
        <w:rPr/>
        <w:t>podrá</w:t>
      </w:r>
      <w:r>
        <w:rPr>
          <w:spacing w:val="18"/>
        </w:rPr>
        <w:t> </w:t>
      </w:r>
      <w:r>
        <w:rPr>
          <w:spacing w:val="-2"/>
        </w:rPr>
        <w:t>vedarse</w:t>
      </w:r>
    </w:p>
    <w:p>
      <w:pPr>
        <w:pStyle w:val="BodyText"/>
        <w:spacing w:after="0"/>
        <w:sectPr>
          <w:pgSz w:w="12240" w:h="15840"/>
          <w:pgMar w:header="724" w:footer="712" w:top="1880" w:bottom="900" w:left="1080" w:right="1080"/>
        </w:sectPr>
      </w:pPr>
    </w:p>
    <w:p>
      <w:pPr>
        <w:pStyle w:val="BodyText"/>
        <w:spacing w:before="65"/>
      </w:pPr>
    </w:p>
    <w:p>
      <w:pPr>
        <w:pStyle w:val="BodyText"/>
        <w:ind w:left="338" w:right="357"/>
      </w:pPr>
      <w:r>
        <w:rPr/>
        <w:t>por resolución de la autoridad competente cuando se ataquen los derechos de tercero o se ofendan los de la sociedad:</w:t>
      </w:r>
    </w:p>
    <w:p>
      <w:pPr>
        <w:pStyle w:val="ListParagraph"/>
        <w:numPr>
          <w:ilvl w:val="0"/>
          <w:numId w:val="2"/>
        </w:numPr>
        <w:tabs>
          <w:tab w:pos="1195" w:val="left" w:leader="none"/>
        </w:tabs>
        <w:spacing w:line="240" w:lineRule="auto" w:before="229" w:after="0"/>
        <w:ind w:left="1195" w:right="0" w:hanging="569"/>
        <w:jc w:val="left"/>
        <w:rPr>
          <w:sz w:val="20"/>
        </w:rPr>
      </w:pPr>
      <w:r>
        <w:rPr>
          <w:sz w:val="20"/>
        </w:rPr>
        <w:t>Se</w:t>
      </w:r>
      <w:r>
        <w:rPr>
          <w:spacing w:val="-6"/>
          <w:sz w:val="20"/>
        </w:rPr>
        <w:t> </w:t>
      </w:r>
      <w:r>
        <w:rPr>
          <w:sz w:val="20"/>
        </w:rPr>
        <w:t>atacan</w:t>
      </w:r>
      <w:r>
        <w:rPr>
          <w:spacing w:val="-6"/>
          <w:sz w:val="20"/>
        </w:rPr>
        <w:t> </w:t>
      </w:r>
      <w:r>
        <w:rPr>
          <w:sz w:val="20"/>
        </w:rPr>
        <w:t>los</w:t>
      </w:r>
      <w:r>
        <w:rPr>
          <w:spacing w:val="-3"/>
          <w:sz w:val="20"/>
        </w:rPr>
        <w:t> </w:t>
      </w:r>
      <w:r>
        <w:rPr>
          <w:sz w:val="20"/>
        </w:rPr>
        <w:t>derechos</w:t>
      </w:r>
      <w:r>
        <w:rPr>
          <w:spacing w:val="-3"/>
          <w:sz w:val="20"/>
        </w:rPr>
        <w:t> </w:t>
      </w:r>
      <w:r>
        <w:rPr>
          <w:sz w:val="20"/>
        </w:rPr>
        <w:t>de</w:t>
      </w:r>
      <w:r>
        <w:rPr>
          <w:spacing w:val="-5"/>
          <w:sz w:val="20"/>
        </w:rPr>
        <w:t> </w:t>
      </w:r>
      <w:r>
        <w:rPr>
          <w:sz w:val="20"/>
        </w:rPr>
        <w:t>tercero</w:t>
      </w:r>
      <w:r>
        <w:rPr>
          <w:spacing w:val="-6"/>
          <w:sz w:val="20"/>
        </w:rPr>
        <w:t> </w:t>
      </w:r>
      <w:r>
        <w:rPr>
          <w:sz w:val="20"/>
        </w:rPr>
        <w:t>en</w:t>
      </w:r>
      <w:r>
        <w:rPr>
          <w:spacing w:val="-5"/>
          <w:sz w:val="20"/>
        </w:rPr>
        <w:t> </w:t>
      </w:r>
      <w:r>
        <w:rPr>
          <w:sz w:val="20"/>
        </w:rPr>
        <w:t>los</w:t>
      </w:r>
      <w:r>
        <w:rPr>
          <w:spacing w:val="-5"/>
          <w:sz w:val="20"/>
        </w:rPr>
        <w:t> </w:t>
      </w:r>
      <w:r>
        <w:rPr>
          <w:sz w:val="20"/>
        </w:rPr>
        <w:t>casos</w:t>
      </w:r>
      <w:r>
        <w:rPr>
          <w:spacing w:val="-6"/>
          <w:sz w:val="20"/>
        </w:rPr>
        <w:t> </w:t>
      </w:r>
      <w:r>
        <w:rPr>
          <w:sz w:val="20"/>
        </w:rPr>
        <w:t>previstos</w:t>
      </w:r>
      <w:r>
        <w:rPr>
          <w:spacing w:val="-5"/>
          <w:sz w:val="20"/>
        </w:rPr>
        <w:t> </w:t>
      </w:r>
      <w:r>
        <w:rPr>
          <w:sz w:val="20"/>
        </w:rPr>
        <w:t>en</w:t>
      </w:r>
      <w:r>
        <w:rPr>
          <w:spacing w:val="-5"/>
          <w:sz w:val="20"/>
        </w:rPr>
        <w:t> </w:t>
      </w:r>
      <w:r>
        <w:rPr>
          <w:sz w:val="20"/>
        </w:rPr>
        <w:t>las</w:t>
      </w:r>
      <w:r>
        <w:rPr>
          <w:spacing w:val="-5"/>
          <w:sz w:val="20"/>
        </w:rPr>
        <w:t> </w:t>
      </w:r>
      <w:r>
        <w:rPr>
          <w:sz w:val="20"/>
        </w:rPr>
        <w:t>leyes</w:t>
      </w:r>
      <w:r>
        <w:rPr>
          <w:spacing w:val="-1"/>
          <w:sz w:val="20"/>
        </w:rPr>
        <w:t> </w:t>
      </w:r>
      <w:r>
        <w:rPr>
          <w:sz w:val="20"/>
        </w:rPr>
        <w:t>y</w:t>
      </w:r>
      <w:r>
        <w:rPr>
          <w:spacing w:val="-7"/>
          <w:sz w:val="20"/>
        </w:rPr>
        <w:t> </w:t>
      </w:r>
      <w:r>
        <w:rPr>
          <w:sz w:val="20"/>
        </w:rPr>
        <w:t>en</w:t>
      </w:r>
      <w:r>
        <w:rPr>
          <w:spacing w:val="-5"/>
          <w:sz w:val="20"/>
        </w:rPr>
        <w:t> </w:t>
      </w:r>
      <w:r>
        <w:rPr>
          <w:sz w:val="20"/>
        </w:rPr>
        <w:t>los</w:t>
      </w:r>
      <w:r>
        <w:rPr>
          <w:spacing w:val="-5"/>
          <w:sz w:val="20"/>
        </w:rPr>
        <w:t> </w:t>
      </w:r>
      <w:r>
        <w:rPr>
          <w:spacing w:val="-2"/>
          <w:sz w:val="20"/>
        </w:rPr>
        <w:t>siguientes:</w:t>
      </w:r>
    </w:p>
    <w:p>
      <w:pPr>
        <w:pStyle w:val="BodyText"/>
        <w:spacing w:before="1"/>
      </w:pPr>
    </w:p>
    <w:p>
      <w:pPr>
        <w:pStyle w:val="ListParagraph"/>
        <w:numPr>
          <w:ilvl w:val="1"/>
          <w:numId w:val="2"/>
        </w:numPr>
        <w:tabs>
          <w:tab w:pos="1762" w:val="left" w:leader="none"/>
        </w:tabs>
        <w:spacing w:line="240" w:lineRule="auto" w:before="0" w:after="0"/>
        <w:ind w:left="1762" w:right="346" w:hanging="567"/>
        <w:jc w:val="both"/>
        <w:rPr>
          <w:sz w:val="20"/>
        </w:rPr>
      </w:pPr>
      <w:r>
        <w:rPr>
          <w:sz w:val="20"/>
        </w:rPr>
        <w:t>Cuando se trate de sustituir o se sustituya definitivamente a un trabajador que reclame la reinstalación en su empleo sin haberse resuelto el caso por el Tribunal.</w:t>
      </w:r>
    </w:p>
    <w:p>
      <w:pPr>
        <w:spacing w:line="182" w:lineRule="exact" w:before="0"/>
        <w:ind w:left="6654" w:right="0" w:firstLine="0"/>
        <w:jc w:val="lef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30-11-2012,</w:t>
      </w:r>
      <w:r>
        <w:rPr>
          <w:rFonts w:ascii="Times New Roman"/>
          <w:i/>
          <w:color w:val="0000FF"/>
          <w:spacing w:val="-8"/>
          <w:sz w:val="16"/>
        </w:rPr>
        <w:t> </w:t>
      </w:r>
      <w:r>
        <w:rPr>
          <w:rFonts w:ascii="Times New Roman"/>
          <w:i/>
          <w:color w:val="0000FF"/>
          <w:sz w:val="16"/>
        </w:rPr>
        <w:t>01-05-</w:t>
      </w:r>
      <w:r>
        <w:rPr>
          <w:rFonts w:ascii="Times New Roman"/>
          <w:i/>
          <w:color w:val="0000FF"/>
          <w:spacing w:val="-4"/>
          <w:sz w:val="16"/>
        </w:rPr>
        <w:t>2019</w:t>
      </w:r>
    </w:p>
    <w:p>
      <w:pPr>
        <w:pStyle w:val="BodyText"/>
        <w:spacing w:before="47"/>
        <w:rPr>
          <w:rFonts w:ascii="Times New Roman"/>
          <w:i/>
          <w:sz w:val="16"/>
        </w:rPr>
      </w:pPr>
    </w:p>
    <w:p>
      <w:pPr>
        <w:pStyle w:val="ListParagraph"/>
        <w:numPr>
          <w:ilvl w:val="1"/>
          <w:numId w:val="2"/>
        </w:numPr>
        <w:tabs>
          <w:tab w:pos="1759" w:val="left" w:leader="none"/>
          <w:tab w:pos="1762" w:val="left" w:leader="none"/>
        </w:tabs>
        <w:spacing w:line="240" w:lineRule="auto" w:before="0" w:after="0"/>
        <w:ind w:left="1762" w:right="341" w:hanging="567"/>
        <w:jc w:val="both"/>
        <w:rPr>
          <w:sz w:val="20"/>
        </w:rPr>
      </w:pPr>
      <w:r>
        <w:rPr>
          <w:sz w:val="20"/>
        </w:rPr>
        <w:t>Cuando se niegue el derecho de ocupar su mismo puesto a un trabajador que haya estado separado de sus labores por causa de enfermedad o de fuerza mayor, o con permiso, al presentarse nuevamente a sus labores; y</w:t>
      </w:r>
    </w:p>
    <w:p>
      <w:pPr>
        <w:pStyle w:val="BodyText"/>
      </w:pPr>
    </w:p>
    <w:p>
      <w:pPr>
        <w:pStyle w:val="ListParagraph"/>
        <w:numPr>
          <w:ilvl w:val="0"/>
          <w:numId w:val="2"/>
        </w:numPr>
        <w:tabs>
          <w:tab w:pos="1195" w:val="left" w:leader="none"/>
        </w:tabs>
        <w:spacing w:line="240" w:lineRule="auto" w:before="0" w:after="0"/>
        <w:ind w:left="1195" w:right="0" w:hanging="569"/>
        <w:jc w:val="left"/>
        <w:rPr>
          <w:sz w:val="20"/>
        </w:rPr>
      </w:pPr>
      <w:r>
        <w:rPr>
          <w:sz w:val="20"/>
        </w:rPr>
        <w:t>Se</w:t>
      </w:r>
      <w:r>
        <w:rPr>
          <w:spacing w:val="-6"/>
          <w:sz w:val="20"/>
        </w:rPr>
        <w:t> </w:t>
      </w:r>
      <w:r>
        <w:rPr>
          <w:sz w:val="20"/>
        </w:rPr>
        <w:t>ofenden</w:t>
      </w:r>
      <w:r>
        <w:rPr>
          <w:spacing w:val="-5"/>
          <w:sz w:val="20"/>
        </w:rPr>
        <w:t> </w:t>
      </w:r>
      <w:r>
        <w:rPr>
          <w:sz w:val="20"/>
        </w:rPr>
        <w:t>los</w:t>
      </w:r>
      <w:r>
        <w:rPr>
          <w:spacing w:val="-3"/>
          <w:sz w:val="20"/>
        </w:rPr>
        <w:t> </w:t>
      </w:r>
      <w:r>
        <w:rPr>
          <w:sz w:val="20"/>
        </w:rPr>
        <w:t>derechos</w:t>
      </w:r>
      <w:r>
        <w:rPr>
          <w:spacing w:val="-3"/>
          <w:sz w:val="20"/>
        </w:rPr>
        <w:t> </w:t>
      </w:r>
      <w:r>
        <w:rPr>
          <w:sz w:val="20"/>
        </w:rPr>
        <w:t>de</w:t>
      </w:r>
      <w:r>
        <w:rPr>
          <w:spacing w:val="-6"/>
          <w:sz w:val="20"/>
        </w:rPr>
        <w:t> </w:t>
      </w:r>
      <w:r>
        <w:rPr>
          <w:sz w:val="20"/>
        </w:rPr>
        <w:t>la</w:t>
      </w:r>
      <w:r>
        <w:rPr>
          <w:spacing w:val="-4"/>
          <w:sz w:val="20"/>
        </w:rPr>
        <w:t> </w:t>
      </w:r>
      <w:r>
        <w:rPr>
          <w:sz w:val="20"/>
        </w:rPr>
        <w:t>sociedad</w:t>
      </w:r>
      <w:r>
        <w:rPr>
          <w:spacing w:val="-5"/>
          <w:sz w:val="20"/>
        </w:rPr>
        <w:t> </w:t>
      </w:r>
      <w:r>
        <w:rPr>
          <w:sz w:val="20"/>
        </w:rPr>
        <w:t>en</w:t>
      </w:r>
      <w:r>
        <w:rPr>
          <w:spacing w:val="-5"/>
          <w:sz w:val="20"/>
        </w:rPr>
        <w:t> </w:t>
      </w:r>
      <w:r>
        <w:rPr>
          <w:sz w:val="20"/>
        </w:rPr>
        <w:t>los</w:t>
      </w:r>
      <w:r>
        <w:rPr>
          <w:spacing w:val="-5"/>
          <w:sz w:val="20"/>
        </w:rPr>
        <w:t> </w:t>
      </w:r>
      <w:r>
        <w:rPr>
          <w:sz w:val="20"/>
        </w:rPr>
        <w:t>casos</w:t>
      </w:r>
      <w:r>
        <w:rPr>
          <w:spacing w:val="-3"/>
          <w:sz w:val="20"/>
        </w:rPr>
        <w:t> </w:t>
      </w:r>
      <w:r>
        <w:rPr>
          <w:sz w:val="20"/>
        </w:rPr>
        <w:t>previstos</w:t>
      </w:r>
      <w:r>
        <w:rPr>
          <w:spacing w:val="-5"/>
          <w:sz w:val="20"/>
        </w:rPr>
        <w:t> </w:t>
      </w:r>
      <w:r>
        <w:rPr>
          <w:sz w:val="20"/>
        </w:rPr>
        <w:t>en</w:t>
      </w:r>
      <w:r>
        <w:rPr>
          <w:spacing w:val="-6"/>
          <w:sz w:val="20"/>
        </w:rPr>
        <w:t> </w:t>
      </w:r>
      <w:r>
        <w:rPr>
          <w:sz w:val="20"/>
        </w:rPr>
        <w:t>las</w:t>
      </w:r>
      <w:r>
        <w:rPr>
          <w:spacing w:val="-3"/>
          <w:sz w:val="20"/>
        </w:rPr>
        <w:t> </w:t>
      </w:r>
      <w:r>
        <w:rPr>
          <w:sz w:val="20"/>
        </w:rPr>
        <w:t>leyes</w:t>
      </w:r>
      <w:r>
        <w:rPr>
          <w:spacing w:val="-1"/>
          <w:sz w:val="20"/>
        </w:rPr>
        <w:t> </w:t>
      </w:r>
      <w:r>
        <w:rPr>
          <w:sz w:val="20"/>
        </w:rPr>
        <w:t>y</w:t>
      </w:r>
      <w:r>
        <w:rPr>
          <w:spacing w:val="-9"/>
          <w:sz w:val="20"/>
        </w:rPr>
        <w:t> </w:t>
      </w:r>
      <w:r>
        <w:rPr>
          <w:sz w:val="20"/>
        </w:rPr>
        <w:t>en</w:t>
      </w:r>
      <w:r>
        <w:rPr>
          <w:spacing w:val="-4"/>
          <w:sz w:val="20"/>
        </w:rPr>
        <w:t> </w:t>
      </w:r>
      <w:r>
        <w:rPr>
          <w:sz w:val="20"/>
        </w:rPr>
        <w:t>los</w:t>
      </w:r>
      <w:r>
        <w:rPr>
          <w:spacing w:val="-5"/>
          <w:sz w:val="20"/>
        </w:rPr>
        <w:t> </w:t>
      </w:r>
      <w:r>
        <w:rPr>
          <w:spacing w:val="-2"/>
          <w:sz w:val="20"/>
        </w:rPr>
        <w:t>siguientes:</w:t>
      </w:r>
    </w:p>
    <w:p>
      <w:pPr>
        <w:pStyle w:val="BodyText"/>
        <w:spacing w:before="1"/>
      </w:pPr>
    </w:p>
    <w:p>
      <w:pPr>
        <w:pStyle w:val="ListParagraph"/>
        <w:numPr>
          <w:ilvl w:val="1"/>
          <w:numId w:val="2"/>
        </w:numPr>
        <w:tabs>
          <w:tab w:pos="1760" w:val="left" w:leader="none"/>
          <w:tab w:pos="1762" w:val="left" w:leader="none"/>
        </w:tabs>
        <w:spacing w:line="240" w:lineRule="auto" w:before="0" w:after="0"/>
        <w:ind w:left="1762" w:right="336" w:hanging="567"/>
        <w:jc w:val="both"/>
        <w:rPr>
          <w:sz w:val="20"/>
        </w:rPr>
      </w:pPr>
      <w:r>
        <w:rPr>
          <w:sz w:val="20"/>
        </w:rPr>
        <w:t>Cuando declarada una huelga en los términos que establece esta Ley, se trate de substituir o se substituya a los huelguistas en el trabajo que desempeñan, sin haberse resuelto el conflicto motivo de la huelga, salvo lo que dispone el artículo 468.</w:t>
      </w:r>
    </w:p>
    <w:p>
      <w:pPr>
        <w:pStyle w:val="ListParagraph"/>
        <w:numPr>
          <w:ilvl w:val="1"/>
          <w:numId w:val="2"/>
        </w:numPr>
        <w:tabs>
          <w:tab w:pos="1759" w:val="left" w:leader="none"/>
          <w:tab w:pos="1762" w:val="left" w:leader="none"/>
        </w:tabs>
        <w:spacing w:line="242" w:lineRule="auto" w:before="229" w:after="0"/>
        <w:ind w:left="1762" w:right="337" w:hanging="567"/>
        <w:jc w:val="both"/>
        <w:rPr>
          <w:sz w:val="20"/>
        </w:rPr>
      </w:pPr>
      <w:r>
        <w:rPr>
          <w:sz w:val="20"/>
        </w:rPr>
        <w:t>Cuando declarada una huelga en iguales términos de licitud por la mayoría de los trabajadores de una empresa, la minoría pretenda reanudar sus labores o siga</w:t>
      </w:r>
      <w:r>
        <w:rPr>
          <w:spacing w:val="40"/>
          <w:sz w:val="20"/>
        </w:rPr>
        <w:t> </w:t>
      </w:r>
      <w:r>
        <w:rPr>
          <w:spacing w:val="-2"/>
          <w:sz w:val="20"/>
        </w:rPr>
        <w:t>trabajando.</w:t>
      </w:r>
    </w:p>
    <w:p>
      <w:pPr>
        <w:pStyle w:val="BodyText"/>
        <w:spacing w:line="242" w:lineRule="auto" w:before="223"/>
        <w:ind w:left="338" w:right="357" w:firstLine="288"/>
      </w:pPr>
      <w:bookmarkStart w:name="Artículo_5o" w:id="7"/>
      <w:bookmarkEnd w:id="7"/>
      <w:r>
        <w:rPr/>
      </w:r>
      <w:r>
        <w:rPr>
          <w:rFonts w:ascii="Arial" w:hAnsi="Arial"/>
          <w:b/>
        </w:rPr>
        <w:t>Artículo 5o.- </w:t>
      </w:r>
      <w:r>
        <w:rPr/>
        <w:t>Las disposiciones de esta Ley</w:t>
      </w:r>
      <w:r>
        <w:rPr>
          <w:spacing w:val="-5"/>
        </w:rPr>
        <w:t> </w:t>
      </w:r>
      <w:r>
        <w:rPr/>
        <w:t>son de orden público por lo que no producirá efecto legal, ni impedirá el goce y el ejercicio de los derechos, sea escrita o verbal, la estipulación que establezca:</w:t>
      </w:r>
    </w:p>
    <w:p>
      <w:pPr>
        <w:pStyle w:val="ListParagraph"/>
        <w:numPr>
          <w:ilvl w:val="0"/>
          <w:numId w:val="3"/>
        </w:numPr>
        <w:tabs>
          <w:tab w:pos="1195" w:val="left" w:leader="none"/>
        </w:tabs>
        <w:spacing w:line="229" w:lineRule="exact" w:before="226" w:after="0"/>
        <w:ind w:left="1195" w:right="0" w:hanging="569"/>
        <w:jc w:val="left"/>
        <w:rPr>
          <w:sz w:val="20"/>
        </w:rPr>
      </w:pPr>
      <w:r>
        <w:rPr>
          <w:sz w:val="20"/>
        </w:rPr>
        <w:t>Trabajos</w:t>
      </w:r>
      <w:r>
        <w:rPr>
          <w:spacing w:val="-8"/>
          <w:sz w:val="20"/>
        </w:rPr>
        <w:t> </w:t>
      </w:r>
      <w:r>
        <w:rPr>
          <w:sz w:val="20"/>
        </w:rPr>
        <w:t>para</w:t>
      </w:r>
      <w:r>
        <w:rPr>
          <w:spacing w:val="-8"/>
          <w:sz w:val="20"/>
        </w:rPr>
        <w:t> </w:t>
      </w:r>
      <w:r>
        <w:rPr>
          <w:sz w:val="20"/>
        </w:rPr>
        <w:t>adolescentes</w:t>
      </w:r>
      <w:r>
        <w:rPr>
          <w:spacing w:val="-9"/>
          <w:sz w:val="20"/>
        </w:rPr>
        <w:t> </w:t>
      </w:r>
      <w:r>
        <w:rPr>
          <w:sz w:val="20"/>
        </w:rPr>
        <w:t>menores</w:t>
      </w:r>
      <w:r>
        <w:rPr>
          <w:spacing w:val="-6"/>
          <w:sz w:val="20"/>
        </w:rPr>
        <w:t> </w:t>
      </w:r>
      <w:r>
        <w:rPr>
          <w:sz w:val="20"/>
        </w:rPr>
        <w:t>de</w:t>
      </w:r>
      <w:r>
        <w:rPr>
          <w:spacing w:val="-9"/>
          <w:sz w:val="20"/>
        </w:rPr>
        <w:t> </w:t>
      </w:r>
      <w:r>
        <w:rPr>
          <w:sz w:val="20"/>
        </w:rPr>
        <w:t>quince</w:t>
      </w:r>
      <w:r>
        <w:rPr>
          <w:spacing w:val="-8"/>
          <w:sz w:val="20"/>
        </w:rPr>
        <w:t> </w:t>
      </w:r>
      <w:r>
        <w:rPr>
          <w:spacing w:val="-4"/>
          <w:sz w:val="20"/>
        </w:rPr>
        <w:t>años;</w:t>
      </w:r>
    </w:p>
    <w:p>
      <w:pPr>
        <w:spacing w:line="183"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12-06-2015,</w:t>
      </w:r>
      <w:r>
        <w:rPr>
          <w:rFonts w:ascii="Times New Roman" w:hAnsi="Times New Roman"/>
          <w:i/>
          <w:color w:val="0000FF"/>
          <w:spacing w:val="-8"/>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2"/>
        <w:rPr>
          <w:rFonts w:ascii="Times New Roman"/>
          <w:i/>
        </w:rPr>
      </w:pPr>
    </w:p>
    <w:p>
      <w:pPr>
        <w:pStyle w:val="ListParagraph"/>
        <w:numPr>
          <w:ilvl w:val="0"/>
          <w:numId w:val="3"/>
        </w:numPr>
        <w:tabs>
          <w:tab w:pos="1195" w:val="left" w:leader="none"/>
        </w:tabs>
        <w:spacing w:line="240" w:lineRule="auto" w:before="0" w:after="0"/>
        <w:ind w:left="1195" w:right="0" w:hanging="569"/>
        <w:jc w:val="left"/>
        <w:rPr>
          <w:sz w:val="20"/>
        </w:rPr>
      </w:pPr>
      <w:r>
        <w:rPr>
          <w:sz w:val="20"/>
        </w:rPr>
        <w:t>Una</w:t>
      </w:r>
      <w:r>
        <w:rPr>
          <w:spacing w:val="-8"/>
          <w:sz w:val="20"/>
        </w:rPr>
        <w:t> </w:t>
      </w:r>
      <w:r>
        <w:rPr>
          <w:sz w:val="20"/>
        </w:rPr>
        <w:t>jornada</w:t>
      </w:r>
      <w:r>
        <w:rPr>
          <w:spacing w:val="-7"/>
          <w:sz w:val="20"/>
        </w:rPr>
        <w:t> </w:t>
      </w:r>
      <w:r>
        <w:rPr>
          <w:sz w:val="20"/>
        </w:rPr>
        <w:t>mayor</w:t>
      </w:r>
      <w:r>
        <w:rPr>
          <w:spacing w:val="-6"/>
          <w:sz w:val="20"/>
        </w:rPr>
        <w:t> </w:t>
      </w:r>
      <w:r>
        <w:rPr>
          <w:sz w:val="20"/>
        </w:rPr>
        <w:t>que</w:t>
      </w:r>
      <w:r>
        <w:rPr>
          <w:spacing w:val="-6"/>
          <w:sz w:val="20"/>
        </w:rPr>
        <w:t> </w:t>
      </w:r>
      <w:r>
        <w:rPr>
          <w:sz w:val="20"/>
        </w:rPr>
        <w:t>la</w:t>
      </w:r>
      <w:r>
        <w:rPr>
          <w:spacing w:val="-4"/>
          <w:sz w:val="20"/>
        </w:rPr>
        <w:t> </w:t>
      </w:r>
      <w:r>
        <w:rPr>
          <w:sz w:val="20"/>
        </w:rPr>
        <w:t>permitida</w:t>
      </w:r>
      <w:r>
        <w:rPr>
          <w:spacing w:val="-7"/>
          <w:sz w:val="20"/>
        </w:rPr>
        <w:t> </w:t>
      </w:r>
      <w:r>
        <w:rPr>
          <w:sz w:val="20"/>
        </w:rPr>
        <w:t>por</w:t>
      </w:r>
      <w:r>
        <w:rPr>
          <w:spacing w:val="-7"/>
          <w:sz w:val="20"/>
        </w:rPr>
        <w:t> </w:t>
      </w:r>
      <w:r>
        <w:rPr>
          <w:sz w:val="20"/>
        </w:rPr>
        <w:t>esta</w:t>
      </w:r>
      <w:r>
        <w:rPr>
          <w:spacing w:val="-4"/>
          <w:sz w:val="20"/>
        </w:rPr>
        <w:t> Ley;</w:t>
      </w:r>
    </w:p>
    <w:p>
      <w:pPr>
        <w:pStyle w:val="BodyText"/>
        <w:spacing w:before="1"/>
      </w:pPr>
    </w:p>
    <w:p>
      <w:pPr>
        <w:pStyle w:val="ListParagraph"/>
        <w:numPr>
          <w:ilvl w:val="0"/>
          <w:numId w:val="3"/>
        </w:numPr>
        <w:tabs>
          <w:tab w:pos="1195" w:val="left" w:leader="none"/>
        </w:tabs>
        <w:spacing w:line="242" w:lineRule="auto" w:before="0" w:after="0"/>
        <w:ind w:left="1195" w:right="343" w:hanging="569"/>
        <w:jc w:val="left"/>
        <w:rPr>
          <w:sz w:val="20"/>
        </w:rPr>
      </w:pPr>
      <w:r>
        <w:rPr>
          <w:sz w:val="20"/>
        </w:rPr>
        <w:t>Una</w:t>
      </w:r>
      <w:r>
        <w:rPr>
          <w:spacing w:val="32"/>
          <w:sz w:val="20"/>
        </w:rPr>
        <w:t> </w:t>
      </w:r>
      <w:r>
        <w:rPr>
          <w:sz w:val="20"/>
        </w:rPr>
        <w:t>jornada</w:t>
      </w:r>
      <w:r>
        <w:rPr>
          <w:spacing w:val="32"/>
          <w:sz w:val="20"/>
        </w:rPr>
        <w:t> </w:t>
      </w:r>
      <w:r>
        <w:rPr>
          <w:sz w:val="20"/>
        </w:rPr>
        <w:t>inhumana</w:t>
      </w:r>
      <w:r>
        <w:rPr>
          <w:spacing w:val="32"/>
          <w:sz w:val="20"/>
        </w:rPr>
        <w:t> </w:t>
      </w:r>
      <w:r>
        <w:rPr>
          <w:sz w:val="20"/>
        </w:rPr>
        <w:t>por</w:t>
      </w:r>
      <w:r>
        <w:rPr>
          <w:spacing w:val="33"/>
          <w:sz w:val="20"/>
        </w:rPr>
        <w:t> </w:t>
      </w:r>
      <w:r>
        <w:rPr>
          <w:sz w:val="20"/>
        </w:rPr>
        <w:t>lo</w:t>
      </w:r>
      <w:r>
        <w:rPr>
          <w:spacing w:val="32"/>
          <w:sz w:val="20"/>
        </w:rPr>
        <w:t> </w:t>
      </w:r>
      <w:r>
        <w:rPr>
          <w:sz w:val="20"/>
        </w:rPr>
        <w:t>notoriamente</w:t>
      </w:r>
      <w:r>
        <w:rPr>
          <w:spacing w:val="32"/>
          <w:sz w:val="20"/>
        </w:rPr>
        <w:t> </w:t>
      </w:r>
      <w:r>
        <w:rPr>
          <w:sz w:val="20"/>
        </w:rPr>
        <w:t>excesiva,</w:t>
      </w:r>
      <w:r>
        <w:rPr>
          <w:spacing w:val="32"/>
          <w:sz w:val="20"/>
        </w:rPr>
        <w:t> </w:t>
      </w:r>
      <w:r>
        <w:rPr>
          <w:sz w:val="20"/>
        </w:rPr>
        <w:t>dada</w:t>
      </w:r>
      <w:r>
        <w:rPr>
          <w:spacing w:val="32"/>
          <w:sz w:val="20"/>
        </w:rPr>
        <w:t> </w:t>
      </w:r>
      <w:r>
        <w:rPr>
          <w:sz w:val="20"/>
        </w:rPr>
        <w:t>la</w:t>
      </w:r>
      <w:r>
        <w:rPr>
          <w:spacing w:val="33"/>
          <w:sz w:val="20"/>
        </w:rPr>
        <w:t> </w:t>
      </w:r>
      <w:r>
        <w:rPr>
          <w:sz w:val="20"/>
        </w:rPr>
        <w:t>índole</w:t>
      </w:r>
      <w:r>
        <w:rPr>
          <w:spacing w:val="33"/>
          <w:sz w:val="20"/>
        </w:rPr>
        <w:t> </w:t>
      </w:r>
      <w:r>
        <w:rPr>
          <w:sz w:val="20"/>
        </w:rPr>
        <w:t>del</w:t>
      </w:r>
      <w:r>
        <w:rPr>
          <w:spacing w:val="31"/>
          <w:sz w:val="20"/>
        </w:rPr>
        <w:t> </w:t>
      </w:r>
      <w:r>
        <w:rPr>
          <w:sz w:val="20"/>
        </w:rPr>
        <w:t>trabajo,</w:t>
      </w:r>
      <w:r>
        <w:rPr>
          <w:spacing w:val="32"/>
          <w:sz w:val="20"/>
        </w:rPr>
        <w:t> </w:t>
      </w:r>
      <w:r>
        <w:rPr>
          <w:sz w:val="20"/>
        </w:rPr>
        <w:t>a</w:t>
      </w:r>
      <w:r>
        <w:rPr>
          <w:spacing w:val="32"/>
          <w:sz w:val="20"/>
        </w:rPr>
        <w:t> </w:t>
      </w:r>
      <w:r>
        <w:rPr>
          <w:sz w:val="20"/>
        </w:rPr>
        <w:t>juicio</w:t>
      </w:r>
      <w:r>
        <w:rPr>
          <w:spacing w:val="32"/>
          <w:sz w:val="20"/>
        </w:rPr>
        <w:t> </w:t>
      </w:r>
      <w:r>
        <w:rPr>
          <w:sz w:val="20"/>
        </w:rPr>
        <w:t>del </w:t>
      </w:r>
      <w:r>
        <w:rPr>
          <w:spacing w:val="-2"/>
          <w:sz w:val="20"/>
        </w:rPr>
        <w:t>Tribunal;</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
        </w:numPr>
        <w:tabs>
          <w:tab w:pos="1195" w:val="left" w:leader="none"/>
        </w:tabs>
        <w:spacing w:line="229" w:lineRule="exact" w:before="0" w:after="0"/>
        <w:ind w:left="1195" w:right="0" w:hanging="569"/>
        <w:jc w:val="left"/>
        <w:rPr>
          <w:sz w:val="20"/>
        </w:rPr>
      </w:pPr>
      <w:r>
        <w:rPr>
          <w:sz w:val="20"/>
        </w:rPr>
        <w:t>Horas</w:t>
      </w:r>
      <w:r>
        <w:rPr>
          <w:spacing w:val="-7"/>
          <w:sz w:val="20"/>
        </w:rPr>
        <w:t> </w:t>
      </w:r>
      <w:r>
        <w:rPr>
          <w:sz w:val="20"/>
        </w:rPr>
        <w:t>extraordinarias</w:t>
      </w:r>
      <w:r>
        <w:rPr>
          <w:spacing w:val="-7"/>
          <w:sz w:val="20"/>
        </w:rPr>
        <w:t> </w:t>
      </w:r>
      <w:r>
        <w:rPr>
          <w:sz w:val="20"/>
        </w:rPr>
        <w:t>de</w:t>
      </w:r>
      <w:r>
        <w:rPr>
          <w:spacing w:val="-8"/>
          <w:sz w:val="20"/>
        </w:rPr>
        <w:t> </w:t>
      </w:r>
      <w:r>
        <w:rPr>
          <w:sz w:val="20"/>
        </w:rPr>
        <w:t>trabajo</w:t>
      </w:r>
      <w:r>
        <w:rPr>
          <w:spacing w:val="-8"/>
          <w:sz w:val="20"/>
        </w:rPr>
        <w:t> </w:t>
      </w:r>
      <w:r>
        <w:rPr>
          <w:sz w:val="20"/>
        </w:rPr>
        <w:t>para</w:t>
      </w:r>
      <w:r>
        <w:rPr>
          <w:spacing w:val="-6"/>
          <w:sz w:val="20"/>
        </w:rPr>
        <w:t> </w:t>
      </w:r>
      <w:r>
        <w:rPr>
          <w:sz w:val="20"/>
        </w:rPr>
        <w:t>los</w:t>
      </w:r>
      <w:r>
        <w:rPr>
          <w:spacing w:val="-7"/>
          <w:sz w:val="20"/>
        </w:rPr>
        <w:t> </w:t>
      </w:r>
      <w:r>
        <w:rPr>
          <w:sz w:val="20"/>
        </w:rPr>
        <w:t>menores</w:t>
      </w:r>
      <w:r>
        <w:rPr>
          <w:spacing w:val="-6"/>
          <w:sz w:val="20"/>
        </w:rPr>
        <w:t> </w:t>
      </w:r>
      <w:r>
        <w:rPr>
          <w:sz w:val="20"/>
        </w:rPr>
        <w:t>de</w:t>
      </w:r>
      <w:r>
        <w:rPr>
          <w:spacing w:val="-7"/>
          <w:sz w:val="20"/>
        </w:rPr>
        <w:t> </w:t>
      </w:r>
      <w:r>
        <w:rPr>
          <w:sz w:val="20"/>
        </w:rPr>
        <w:t>dieciocho</w:t>
      </w:r>
      <w:r>
        <w:rPr>
          <w:spacing w:val="-7"/>
          <w:sz w:val="20"/>
        </w:rPr>
        <w:t> </w:t>
      </w:r>
      <w:r>
        <w:rPr>
          <w:spacing w:val="-2"/>
          <w:sz w:val="20"/>
        </w:rPr>
        <w:t>años;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31-12-1974,</w:t>
      </w:r>
      <w:r>
        <w:rPr>
          <w:rFonts w:ascii="Times New Roman" w:hAnsi="Times New Roman"/>
          <w:i/>
          <w:color w:val="0000FF"/>
          <w:spacing w:val="-7"/>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7"/>
        <w:rPr>
          <w:rFonts w:ascii="Times New Roman"/>
          <w:i/>
          <w:sz w:val="16"/>
        </w:rPr>
      </w:pPr>
    </w:p>
    <w:p>
      <w:pPr>
        <w:pStyle w:val="ListParagraph"/>
        <w:numPr>
          <w:ilvl w:val="0"/>
          <w:numId w:val="3"/>
        </w:numPr>
        <w:tabs>
          <w:tab w:pos="1195" w:val="left" w:leader="none"/>
        </w:tabs>
        <w:spacing w:line="240" w:lineRule="auto" w:before="1" w:after="0"/>
        <w:ind w:left="1195" w:right="0" w:hanging="569"/>
        <w:jc w:val="left"/>
        <w:rPr>
          <w:sz w:val="20"/>
        </w:rPr>
      </w:pPr>
      <w:r>
        <w:rPr>
          <w:sz w:val="20"/>
        </w:rPr>
        <w:t>Un</w:t>
      </w:r>
      <w:r>
        <w:rPr>
          <w:spacing w:val="-8"/>
          <w:sz w:val="20"/>
        </w:rPr>
        <w:t> </w:t>
      </w:r>
      <w:r>
        <w:rPr>
          <w:sz w:val="20"/>
        </w:rPr>
        <w:t>salario</w:t>
      </w:r>
      <w:r>
        <w:rPr>
          <w:spacing w:val="-7"/>
          <w:sz w:val="20"/>
        </w:rPr>
        <w:t> </w:t>
      </w:r>
      <w:r>
        <w:rPr>
          <w:sz w:val="20"/>
        </w:rPr>
        <w:t>inferior</w:t>
      </w:r>
      <w:r>
        <w:rPr>
          <w:spacing w:val="-5"/>
          <w:sz w:val="20"/>
        </w:rPr>
        <w:t> </w:t>
      </w:r>
      <w:r>
        <w:rPr>
          <w:sz w:val="20"/>
        </w:rPr>
        <w:t>al</w:t>
      </w:r>
      <w:r>
        <w:rPr>
          <w:spacing w:val="-9"/>
          <w:sz w:val="20"/>
        </w:rPr>
        <w:t> </w:t>
      </w:r>
      <w:r>
        <w:rPr>
          <w:spacing w:val="-2"/>
          <w:sz w:val="20"/>
        </w:rPr>
        <w:t>mínimo;</w:t>
      </w:r>
    </w:p>
    <w:p>
      <w:pPr>
        <w:pStyle w:val="BodyText"/>
      </w:pPr>
    </w:p>
    <w:p>
      <w:pPr>
        <w:pStyle w:val="ListParagraph"/>
        <w:numPr>
          <w:ilvl w:val="0"/>
          <w:numId w:val="3"/>
        </w:numPr>
        <w:tabs>
          <w:tab w:pos="1195" w:val="left" w:leader="none"/>
        </w:tabs>
        <w:spacing w:line="229" w:lineRule="exact" w:before="0" w:after="0"/>
        <w:ind w:left="1195" w:right="0" w:hanging="569"/>
        <w:jc w:val="left"/>
        <w:rPr>
          <w:sz w:val="20"/>
        </w:rPr>
      </w:pPr>
      <w:r>
        <w:rPr>
          <w:sz w:val="20"/>
        </w:rPr>
        <w:t>Un</w:t>
      </w:r>
      <w:r>
        <w:rPr>
          <w:spacing w:val="-7"/>
          <w:sz w:val="20"/>
        </w:rPr>
        <w:t> </w:t>
      </w:r>
      <w:r>
        <w:rPr>
          <w:sz w:val="20"/>
        </w:rPr>
        <w:t>salario</w:t>
      </w:r>
      <w:r>
        <w:rPr>
          <w:spacing w:val="-6"/>
          <w:sz w:val="20"/>
        </w:rPr>
        <w:t> </w:t>
      </w:r>
      <w:r>
        <w:rPr>
          <w:sz w:val="20"/>
        </w:rPr>
        <w:t>que</w:t>
      </w:r>
      <w:r>
        <w:rPr>
          <w:spacing w:val="-4"/>
          <w:sz w:val="20"/>
        </w:rPr>
        <w:t> </w:t>
      </w:r>
      <w:r>
        <w:rPr>
          <w:sz w:val="20"/>
        </w:rPr>
        <w:t>no</w:t>
      </w:r>
      <w:r>
        <w:rPr>
          <w:spacing w:val="-8"/>
          <w:sz w:val="20"/>
        </w:rPr>
        <w:t> </w:t>
      </w:r>
      <w:r>
        <w:rPr>
          <w:sz w:val="20"/>
        </w:rPr>
        <w:t>sea</w:t>
      </w:r>
      <w:r>
        <w:rPr>
          <w:spacing w:val="-6"/>
          <w:sz w:val="20"/>
        </w:rPr>
        <w:t> </w:t>
      </w:r>
      <w:r>
        <w:rPr>
          <w:sz w:val="20"/>
        </w:rPr>
        <w:t>remunerador,</w:t>
      </w:r>
      <w:r>
        <w:rPr>
          <w:spacing w:val="-7"/>
          <w:sz w:val="20"/>
        </w:rPr>
        <w:t> </w:t>
      </w:r>
      <w:r>
        <w:rPr>
          <w:sz w:val="20"/>
        </w:rPr>
        <w:t>a</w:t>
      </w:r>
      <w:r>
        <w:rPr>
          <w:spacing w:val="-7"/>
          <w:sz w:val="20"/>
        </w:rPr>
        <w:t> </w:t>
      </w:r>
      <w:r>
        <w:rPr>
          <w:sz w:val="20"/>
        </w:rPr>
        <w:t>juicio</w:t>
      </w:r>
      <w:r>
        <w:rPr>
          <w:spacing w:val="-5"/>
          <w:sz w:val="20"/>
        </w:rPr>
        <w:t> </w:t>
      </w:r>
      <w:r>
        <w:rPr>
          <w:sz w:val="20"/>
        </w:rPr>
        <w:t>del</w:t>
      </w:r>
      <w:r>
        <w:rPr>
          <w:spacing w:val="-7"/>
          <w:sz w:val="20"/>
        </w:rPr>
        <w:t> </w:t>
      </w:r>
      <w:r>
        <w:rPr>
          <w:spacing w:val="-2"/>
          <w:sz w:val="20"/>
        </w:rPr>
        <w:t>Tribunal;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2"/>
        <w:rPr>
          <w:rFonts w:ascii="Times New Roman"/>
          <w:i/>
        </w:rPr>
      </w:pPr>
    </w:p>
    <w:p>
      <w:pPr>
        <w:pStyle w:val="ListParagraph"/>
        <w:numPr>
          <w:ilvl w:val="0"/>
          <w:numId w:val="3"/>
        </w:numPr>
        <w:tabs>
          <w:tab w:pos="1195" w:val="left" w:leader="none"/>
        </w:tabs>
        <w:spacing w:line="242" w:lineRule="auto" w:before="0" w:after="0"/>
        <w:ind w:left="1195" w:right="346" w:hanging="569"/>
        <w:jc w:val="left"/>
        <w:rPr>
          <w:sz w:val="20"/>
        </w:rPr>
      </w:pPr>
      <w:r>
        <w:rPr>
          <w:sz w:val="20"/>
        </w:rPr>
        <w:t>Un plazo mayor de una semana para el pago de los salarios a los obreros y a los trabajadores del campo;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3"/>
        </w:numPr>
        <w:tabs>
          <w:tab w:pos="1195" w:val="left" w:leader="none"/>
        </w:tabs>
        <w:spacing w:line="242" w:lineRule="auto" w:before="0" w:after="0"/>
        <w:ind w:left="1195" w:right="336" w:hanging="569"/>
        <w:jc w:val="left"/>
        <w:rPr>
          <w:sz w:val="20"/>
        </w:rPr>
      </w:pPr>
      <w:r>
        <w:rPr>
          <w:sz w:val="20"/>
        </w:rPr>
        <w:t>Un lugar de recreo, fonda, cantina, café, taberna o tienda, para efectuar el pago de los salarios, siempre que no se trate de trabajadores de esos establecimientos;</w:t>
      </w:r>
    </w:p>
    <w:p>
      <w:pPr>
        <w:pStyle w:val="ListParagraph"/>
        <w:numPr>
          <w:ilvl w:val="0"/>
          <w:numId w:val="3"/>
        </w:numPr>
        <w:tabs>
          <w:tab w:pos="1195" w:val="left" w:leader="none"/>
        </w:tabs>
        <w:spacing w:line="242" w:lineRule="auto" w:before="226" w:after="0"/>
        <w:ind w:left="1195" w:right="347" w:hanging="569"/>
        <w:jc w:val="left"/>
        <w:rPr>
          <w:sz w:val="20"/>
        </w:rPr>
      </w:pPr>
      <w:r>
        <w:rPr>
          <w:sz w:val="20"/>
        </w:rPr>
        <w:t>La</w:t>
      </w:r>
      <w:r>
        <w:rPr>
          <w:spacing w:val="76"/>
          <w:sz w:val="20"/>
        </w:rPr>
        <w:t> </w:t>
      </w:r>
      <w:r>
        <w:rPr>
          <w:sz w:val="20"/>
        </w:rPr>
        <w:t>obligación</w:t>
      </w:r>
      <w:r>
        <w:rPr>
          <w:spacing w:val="77"/>
          <w:sz w:val="20"/>
        </w:rPr>
        <w:t> </w:t>
      </w:r>
      <w:r>
        <w:rPr>
          <w:sz w:val="20"/>
        </w:rPr>
        <w:t>directa</w:t>
      </w:r>
      <w:r>
        <w:rPr>
          <w:spacing w:val="76"/>
          <w:sz w:val="20"/>
        </w:rPr>
        <w:t> </w:t>
      </w:r>
      <w:r>
        <w:rPr>
          <w:sz w:val="20"/>
        </w:rPr>
        <w:t>o</w:t>
      </w:r>
      <w:r>
        <w:rPr>
          <w:spacing w:val="76"/>
          <w:sz w:val="20"/>
        </w:rPr>
        <w:t> </w:t>
      </w:r>
      <w:r>
        <w:rPr>
          <w:sz w:val="20"/>
        </w:rPr>
        <w:t>indirecta</w:t>
      </w:r>
      <w:r>
        <w:rPr>
          <w:spacing w:val="76"/>
          <w:sz w:val="20"/>
        </w:rPr>
        <w:t> </w:t>
      </w:r>
      <w:r>
        <w:rPr>
          <w:sz w:val="20"/>
        </w:rPr>
        <w:t>para</w:t>
      </w:r>
      <w:r>
        <w:rPr>
          <w:spacing w:val="77"/>
          <w:sz w:val="20"/>
        </w:rPr>
        <w:t> </w:t>
      </w:r>
      <w:r>
        <w:rPr>
          <w:sz w:val="20"/>
        </w:rPr>
        <w:t>obtener</w:t>
      </w:r>
      <w:r>
        <w:rPr>
          <w:spacing w:val="77"/>
          <w:sz w:val="20"/>
        </w:rPr>
        <w:t> </w:t>
      </w:r>
      <w:r>
        <w:rPr>
          <w:sz w:val="20"/>
        </w:rPr>
        <w:t>artículos</w:t>
      </w:r>
      <w:r>
        <w:rPr>
          <w:spacing w:val="78"/>
          <w:sz w:val="20"/>
        </w:rPr>
        <w:t> </w:t>
      </w:r>
      <w:r>
        <w:rPr>
          <w:sz w:val="20"/>
        </w:rPr>
        <w:t>de</w:t>
      </w:r>
      <w:r>
        <w:rPr>
          <w:spacing w:val="76"/>
          <w:sz w:val="20"/>
        </w:rPr>
        <w:t> </w:t>
      </w:r>
      <w:r>
        <w:rPr>
          <w:sz w:val="20"/>
        </w:rPr>
        <w:t>consumo</w:t>
      </w:r>
      <w:r>
        <w:rPr>
          <w:spacing w:val="74"/>
          <w:sz w:val="20"/>
        </w:rPr>
        <w:t> </w:t>
      </w:r>
      <w:r>
        <w:rPr>
          <w:sz w:val="20"/>
        </w:rPr>
        <w:t>en</w:t>
      </w:r>
      <w:r>
        <w:rPr>
          <w:spacing w:val="76"/>
          <w:sz w:val="20"/>
        </w:rPr>
        <w:t> </w:t>
      </w:r>
      <w:r>
        <w:rPr>
          <w:sz w:val="20"/>
        </w:rPr>
        <w:t>tienda</w:t>
      </w:r>
      <w:r>
        <w:rPr>
          <w:spacing w:val="76"/>
          <w:sz w:val="20"/>
        </w:rPr>
        <w:t> </w:t>
      </w:r>
      <w:r>
        <w:rPr>
          <w:sz w:val="20"/>
        </w:rPr>
        <w:t>o</w:t>
      </w:r>
      <w:r>
        <w:rPr>
          <w:spacing w:val="76"/>
          <w:sz w:val="20"/>
        </w:rPr>
        <w:t> </w:t>
      </w:r>
      <w:r>
        <w:rPr>
          <w:sz w:val="20"/>
        </w:rPr>
        <w:t>lugar </w:t>
      </w:r>
      <w:r>
        <w:rPr>
          <w:spacing w:val="-2"/>
          <w:sz w:val="20"/>
        </w:rPr>
        <w:t>determinado;</w:t>
      </w:r>
    </w:p>
    <w:p>
      <w:pPr>
        <w:pStyle w:val="ListParagraph"/>
        <w:numPr>
          <w:ilvl w:val="0"/>
          <w:numId w:val="3"/>
        </w:numPr>
        <w:tabs>
          <w:tab w:pos="1195" w:val="left" w:leader="none"/>
        </w:tabs>
        <w:spacing w:line="240" w:lineRule="auto" w:before="225" w:after="0"/>
        <w:ind w:left="1195" w:right="0" w:hanging="569"/>
        <w:jc w:val="left"/>
        <w:rPr>
          <w:sz w:val="20"/>
        </w:rPr>
      </w:pPr>
      <w:r>
        <w:rPr>
          <w:sz w:val="20"/>
        </w:rPr>
        <w:t>La</w:t>
      </w:r>
      <w:r>
        <w:rPr>
          <w:spacing w:val="-7"/>
          <w:sz w:val="20"/>
        </w:rPr>
        <w:t> </w:t>
      </w:r>
      <w:r>
        <w:rPr>
          <w:sz w:val="20"/>
        </w:rPr>
        <w:t>facultad</w:t>
      </w:r>
      <w:r>
        <w:rPr>
          <w:spacing w:val="-5"/>
          <w:sz w:val="20"/>
        </w:rPr>
        <w:t> </w:t>
      </w:r>
      <w:r>
        <w:rPr>
          <w:sz w:val="20"/>
        </w:rPr>
        <w:t>del</w:t>
      </w:r>
      <w:r>
        <w:rPr>
          <w:spacing w:val="-5"/>
          <w:sz w:val="20"/>
        </w:rPr>
        <w:t> </w:t>
      </w:r>
      <w:r>
        <w:rPr>
          <w:sz w:val="20"/>
        </w:rPr>
        <w:t>patrón</w:t>
      </w:r>
      <w:r>
        <w:rPr>
          <w:spacing w:val="-6"/>
          <w:sz w:val="20"/>
        </w:rPr>
        <w:t> </w:t>
      </w:r>
      <w:r>
        <w:rPr>
          <w:sz w:val="20"/>
        </w:rPr>
        <w:t>de</w:t>
      </w:r>
      <w:r>
        <w:rPr>
          <w:spacing w:val="-3"/>
          <w:sz w:val="20"/>
        </w:rPr>
        <w:t> </w:t>
      </w:r>
      <w:r>
        <w:rPr>
          <w:sz w:val="20"/>
        </w:rPr>
        <w:t>retener</w:t>
      </w:r>
      <w:r>
        <w:rPr>
          <w:spacing w:val="-6"/>
          <w:sz w:val="20"/>
        </w:rPr>
        <w:t> </w:t>
      </w:r>
      <w:r>
        <w:rPr>
          <w:sz w:val="20"/>
        </w:rPr>
        <w:t>el</w:t>
      </w:r>
      <w:r>
        <w:rPr>
          <w:spacing w:val="-6"/>
          <w:sz w:val="20"/>
        </w:rPr>
        <w:t> </w:t>
      </w:r>
      <w:r>
        <w:rPr>
          <w:sz w:val="20"/>
        </w:rPr>
        <w:t>salario</w:t>
      </w:r>
      <w:r>
        <w:rPr>
          <w:spacing w:val="-6"/>
          <w:sz w:val="20"/>
        </w:rPr>
        <w:t> </w:t>
      </w:r>
      <w:r>
        <w:rPr>
          <w:sz w:val="20"/>
        </w:rPr>
        <w:t>por</w:t>
      </w:r>
      <w:r>
        <w:rPr>
          <w:spacing w:val="-5"/>
          <w:sz w:val="20"/>
        </w:rPr>
        <w:t> </w:t>
      </w:r>
      <w:r>
        <w:rPr>
          <w:sz w:val="20"/>
        </w:rPr>
        <w:t>concepto</w:t>
      </w:r>
      <w:r>
        <w:rPr>
          <w:spacing w:val="-6"/>
          <w:sz w:val="20"/>
        </w:rPr>
        <w:t> </w:t>
      </w:r>
      <w:r>
        <w:rPr>
          <w:sz w:val="20"/>
        </w:rPr>
        <w:t>de</w:t>
      </w:r>
      <w:r>
        <w:rPr>
          <w:spacing w:val="-5"/>
          <w:sz w:val="20"/>
        </w:rPr>
        <w:t> </w:t>
      </w:r>
      <w:r>
        <w:rPr>
          <w:spacing w:val="-2"/>
          <w:sz w:val="20"/>
        </w:rPr>
        <w:t>multa;</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3"/>
      </w:pPr>
    </w:p>
    <w:p>
      <w:pPr>
        <w:pStyle w:val="ListParagraph"/>
        <w:numPr>
          <w:ilvl w:val="0"/>
          <w:numId w:val="3"/>
        </w:numPr>
        <w:tabs>
          <w:tab w:pos="1195" w:val="left" w:leader="none"/>
        </w:tabs>
        <w:spacing w:line="242" w:lineRule="auto" w:before="0" w:after="0"/>
        <w:ind w:left="1195" w:right="346" w:hanging="569"/>
        <w:jc w:val="both"/>
        <w:rPr>
          <w:sz w:val="20"/>
        </w:rPr>
      </w:pPr>
      <w:r>
        <w:rPr>
          <w:sz w:val="20"/>
        </w:rPr>
        <w:t>Un</w:t>
      </w:r>
      <w:r>
        <w:rPr>
          <w:spacing w:val="-1"/>
          <w:sz w:val="20"/>
        </w:rPr>
        <w:t> </w:t>
      </w:r>
      <w:r>
        <w:rPr>
          <w:sz w:val="20"/>
        </w:rPr>
        <w:t>salario</w:t>
      </w:r>
      <w:r>
        <w:rPr>
          <w:spacing w:val="-1"/>
          <w:sz w:val="20"/>
        </w:rPr>
        <w:t> </w:t>
      </w:r>
      <w:r>
        <w:rPr>
          <w:sz w:val="20"/>
        </w:rPr>
        <w:t>menor que el que</w:t>
      </w:r>
      <w:r>
        <w:rPr>
          <w:spacing w:val="-1"/>
          <w:sz w:val="20"/>
        </w:rPr>
        <w:t> </w:t>
      </w:r>
      <w:r>
        <w:rPr>
          <w:sz w:val="20"/>
        </w:rPr>
        <w:t>se pague a otro trabajador en la</w:t>
      </w:r>
      <w:r>
        <w:rPr>
          <w:spacing w:val="-1"/>
          <w:sz w:val="20"/>
        </w:rPr>
        <w:t> </w:t>
      </w:r>
      <w:r>
        <w:rPr>
          <w:sz w:val="20"/>
        </w:rPr>
        <w:t>misma</w:t>
      </w:r>
      <w:r>
        <w:rPr>
          <w:spacing w:val="-1"/>
          <w:sz w:val="20"/>
        </w:rPr>
        <w:t> </w:t>
      </w:r>
      <w:r>
        <w:rPr>
          <w:sz w:val="20"/>
        </w:rPr>
        <w:t>empresa</w:t>
      </w:r>
      <w:r>
        <w:rPr>
          <w:spacing w:val="-1"/>
          <w:sz w:val="20"/>
        </w:rPr>
        <w:t> </w:t>
      </w:r>
      <w:r>
        <w:rPr>
          <w:sz w:val="20"/>
        </w:rPr>
        <w:t>o establecimiento por trabajo de igual eficiencia, en la misma clase de trabajo o igual jornada, por consideración de edad, sexo o nacionalidad;</w:t>
      </w:r>
    </w:p>
    <w:p>
      <w:pPr>
        <w:pStyle w:val="ListParagraph"/>
        <w:numPr>
          <w:ilvl w:val="0"/>
          <w:numId w:val="3"/>
        </w:numPr>
        <w:tabs>
          <w:tab w:pos="1193" w:val="left" w:leader="none"/>
          <w:tab w:pos="1195" w:val="left" w:leader="none"/>
        </w:tabs>
        <w:spacing w:line="240" w:lineRule="auto" w:before="225" w:after="0"/>
        <w:ind w:left="1195" w:right="343" w:hanging="569"/>
        <w:jc w:val="both"/>
        <w:rPr>
          <w:sz w:val="20"/>
        </w:rPr>
      </w:pPr>
      <w:r>
        <w:rPr>
          <w:sz w:val="20"/>
        </w:rPr>
        <w:t>Trabajo nocturno industrial o el trabajo después de las veintidós horas, para menores de dieciséis años; 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rPr>
          <w:rFonts w:ascii="Times New Roman"/>
          <w:i/>
          <w:sz w:val="16"/>
        </w:rPr>
      </w:pPr>
    </w:p>
    <w:p>
      <w:pPr>
        <w:pStyle w:val="ListParagraph"/>
        <w:numPr>
          <w:ilvl w:val="0"/>
          <w:numId w:val="3"/>
        </w:numPr>
        <w:tabs>
          <w:tab w:pos="1195" w:val="left" w:leader="none"/>
        </w:tabs>
        <w:spacing w:line="242" w:lineRule="auto" w:before="0" w:after="0"/>
        <w:ind w:left="1195" w:right="345" w:hanging="569"/>
        <w:jc w:val="left"/>
        <w:rPr>
          <w:sz w:val="20"/>
        </w:rPr>
      </w:pPr>
      <w:r>
        <w:rPr>
          <w:sz w:val="20"/>
        </w:rPr>
        <w:t>Renuncia por parte del trabajador de cualquiera de los derechos o prerrogativas consignados</w:t>
      </w:r>
      <w:r>
        <w:rPr>
          <w:spacing w:val="40"/>
          <w:sz w:val="20"/>
        </w:rPr>
        <w:t> </w:t>
      </w:r>
      <w:r>
        <w:rPr>
          <w:sz w:val="20"/>
        </w:rPr>
        <w:t>en las normas de trabajo.</w:t>
      </w:r>
    </w:p>
    <w:p>
      <w:pPr>
        <w:pStyle w:val="ListParagraph"/>
        <w:numPr>
          <w:ilvl w:val="0"/>
          <w:numId w:val="3"/>
        </w:numPr>
        <w:tabs>
          <w:tab w:pos="1195" w:val="left" w:leader="none"/>
        </w:tabs>
        <w:spacing w:line="242" w:lineRule="auto" w:before="225" w:after="0"/>
        <w:ind w:left="1195" w:right="345" w:hanging="569"/>
        <w:jc w:val="left"/>
        <w:rPr>
          <w:sz w:val="20"/>
        </w:rPr>
      </w:pPr>
      <w:r>
        <w:rPr>
          <w:sz w:val="20"/>
        </w:rPr>
        <w:t>Encubrir</w:t>
      </w:r>
      <w:r>
        <w:rPr>
          <w:spacing w:val="40"/>
          <w:sz w:val="20"/>
        </w:rPr>
        <w:t> </w:t>
      </w:r>
      <w:r>
        <w:rPr>
          <w:sz w:val="20"/>
        </w:rPr>
        <w:t>una</w:t>
      </w:r>
      <w:r>
        <w:rPr>
          <w:spacing w:val="40"/>
          <w:sz w:val="20"/>
        </w:rPr>
        <w:t> </w:t>
      </w:r>
      <w:r>
        <w:rPr>
          <w:sz w:val="20"/>
        </w:rPr>
        <w:t>relación</w:t>
      </w:r>
      <w:r>
        <w:rPr>
          <w:spacing w:val="40"/>
          <w:sz w:val="20"/>
        </w:rPr>
        <w:t> </w:t>
      </w:r>
      <w:r>
        <w:rPr>
          <w:sz w:val="20"/>
        </w:rPr>
        <w:t>laboral</w:t>
      </w:r>
      <w:r>
        <w:rPr>
          <w:spacing w:val="40"/>
          <w:sz w:val="20"/>
        </w:rPr>
        <w:t> </w:t>
      </w:r>
      <w:r>
        <w:rPr>
          <w:sz w:val="20"/>
        </w:rPr>
        <w:t>con</w:t>
      </w:r>
      <w:r>
        <w:rPr>
          <w:spacing w:val="40"/>
          <w:sz w:val="20"/>
        </w:rPr>
        <w:t> </w:t>
      </w:r>
      <w:r>
        <w:rPr>
          <w:sz w:val="20"/>
        </w:rPr>
        <w:t>actos</w:t>
      </w:r>
      <w:r>
        <w:rPr>
          <w:spacing w:val="40"/>
          <w:sz w:val="20"/>
        </w:rPr>
        <w:t> </w:t>
      </w:r>
      <w:r>
        <w:rPr>
          <w:sz w:val="20"/>
        </w:rPr>
        <w:t>jurídicos</w:t>
      </w:r>
      <w:r>
        <w:rPr>
          <w:spacing w:val="40"/>
          <w:sz w:val="20"/>
        </w:rPr>
        <w:t> </w:t>
      </w:r>
      <w:r>
        <w:rPr>
          <w:sz w:val="20"/>
        </w:rPr>
        <w:t>simulados</w:t>
      </w:r>
      <w:r>
        <w:rPr>
          <w:spacing w:val="40"/>
          <w:sz w:val="20"/>
        </w:rPr>
        <w:t> </w:t>
      </w:r>
      <w:r>
        <w:rPr>
          <w:sz w:val="20"/>
        </w:rPr>
        <w:t>para</w:t>
      </w:r>
      <w:r>
        <w:rPr>
          <w:spacing w:val="40"/>
          <w:sz w:val="20"/>
        </w:rPr>
        <w:t> </w:t>
      </w:r>
      <w:r>
        <w:rPr>
          <w:sz w:val="20"/>
        </w:rPr>
        <w:t>evitar</w:t>
      </w:r>
      <w:r>
        <w:rPr>
          <w:spacing w:val="40"/>
          <w:sz w:val="20"/>
        </w:rPr>
        <w:t> </w:t>
      </w:r>
      <w:r>
        <w:rPr>
          <w:sz w:val="20"/>
        </w:rPr>
        <w:t>el</w:t>
      </w:r>
      <w:r>
        <w:rPr>
          <w:spacing w:val="40"/>
          <w:sz w:val="20"/>
        </w:rPr>
        <w:t> </w:t>
      </w:r>
      <w:r>
        <w:rPr>
          <w:sz w:val="20"/>
        </w:rPr>
        <w:t>cumplimiento</w:t>
      </w:r>
      <w:r>
        <w:rPr>
          <w:spacing w:val="40"/>
          <w:sz w:val="20"/>
        </w:rPr>
        <w:t> </w:t>
      </w:r>
      <w:r>
        <w:rPr>
          <w:sz w:val="20"/>
        </w:rPr>
        <w:t>de obligaciones laborales y/o de seguridad social, y</w:t>
      </w:r>
    </w:p>
    <w:p>
      <w:pPr>
        <w:spacing w:line="180"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
        </w:numPr>
        <w:tabs>
          <w:tab w:pos="1195" w:val="left" w:leader="none"/>
        </w:tabs>
        <w:spacing w:line="240" w:lineRule="auto" w:before="0" w:after="0"/>
        <w:ind w:left="1195" w:right="0" w:hanging="569"/>
        <w:jc w:val="left"/>
        <w:rPr>
          <w:sz w:val="20"/>
        </w:rPr>
      </w:pPr>
      <w:r>
        <w:rPr>
          <w:sz w:val="20"/>
        </w:rPr>
        <w:t>Registrar</w:t>
      </w:r>
      <w:r>
        <w:rPr>
          <w:spacing w:val="-4"/>
          <w:sz w:val="20"/>
        </w:rPr>
        <w:t> </w:t>
      </w:r>
      <w:r>
        <w:rPr>
          <w:sz w:val="20"/>
        </w:rPr>
        <w:t>a</w:t>
      </w:r>
      <w:r>
        <w:rPr>
          <w:spacing w:val="-6"/>
          <w:sz w:val="20"/>
        </w:rPr>
        <w:t> </w:t>
      </w:r>
      <w:r>
        <w:rPr>
          <w:sz w:val="20"/>
        </w:rPr>
        <w:t>un</w:t>
      </w:r>
      <w:r>
        <w:rPr>
          <w:spacing w:val="-5"/>
          <w:sz w:val="20"/>
        </w:rPr>
        <w:t> </w:t>
      </w:r>
      <w:r>
        <w:rPr>
          <w:sz w:val="20"/>
        </w:rPr>
        <w:t>trabajador</w:t>
      </w:r>
      <w:r>
        <w:rPr>
          <w:spacing w:val="-6"/>
          <w:sz w:val="20"/>
        </w:rPr>
        <w:t> </w:t>
      </w:r>
      <w:r>
        <w:rPr>
          <w:sz w:val="20"/>
        </w:rPr>
        <w:t>con</w:t>
      </w:r>
      <w:r>
        <w:rPr>
          <w:spacing w:val="-7"/>
          <w:sz w:val="20"/>
        </w:rPr>
        <w:t> </w:t>
      </w:r>
      <w:r>
        <w:rPr>
          <w:sz w:val="20"/>
        </w:rPr>
        <w:t>un</w:t>
      </w:r>
      <w:r>
        <w:rPr>
          <w:spacing w:val="-6"/>
          <w:sz w:val="20"/>
        </w:rPr>
        <w:t> </w:t>
      </w:r>
      <w:r>
        <w:rPr>
          <w:sz w:val="20"/>
        </w:rPr>
        <w:t>salario</w:t>
      </w:r>
      <w:r>
        <w:rPr>
          <w:spacing w:val="-7"/>
          <w:sz w:val="20"/>
        </w:rPr>
        <w:t> </w:t>
      </w:r>
      <w:r>
        <w:rPr>
          <w:sz w:val="20"/>
        </w:rPr>
        <w:t>menor</w:t>
      </w:r>
      <w:r>
        <w:rPr>
          <w:spacing w:val="-6"/>
          <w:sz w:val="20"/>
        </w:rPr>
        <w:t> </w:t>
      </w:r>
      <w:r>
        <w:rPr>
          <w:sz w:val="20"/>
        </w:rPr>
        <w:t>al</w:t>
      </w:r>
      <w:r>
        <w:rPr>
          <w:spacing w:val="-7"/>
          <w:sz w:val="20"/>
        </w:rPr>
        <w:t> </w:t>
      </w:r>
      <w:r>
        <w:rPr>
          <w:sz w:val="20"/>
        </w:rPr>
        <w:t>que</w:t>
      </w:r>
      <w:r>
        <w:rPr>
          <w:spacing w:val="-5"/>
          <w:sz w:val="20"/>
        </w:rPr>
        <w:t> </w:t>
      </w:r>
      <w:r>
        <w:rPr>
          <w:sz w:val="20"/>
        </w:rPr>
        <w:t>realmente</w:t>
      </w:r>
      <w:r>
        <w:rPr>
          <w:spacing w:val="-7"/>
          <w:sz w:val="20"/>
        </w:rPr>
        <w:t> </w:t>
      </w:r>
      <w:r>
        <w:rPr>
          <w:spacing w:val="-2"/>
          <w:sz w:val="20"/>
        </w:rPr>
        <w:t>recibe.</w:t>
      </w:r>
    </w:p>
    <w:p>
      <w:pPr>
        <w:spacing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338" w:right="350" w:firstLine="288"/>
        <w:jc w:val="both"/>
      </w:pPr>
      <w:r>
        <w:rPr/>
        <w:t>En</w:t>
      </w:r>
      <w:r>
        <w:rPr>
          <w:spacing w:val="-2"/>
        </w:rPr>
        <w:t> </w:t>
      </w:r>
      <w:r>
        <w:rPr/>
        <w:t>todos</w:t>
      </w:r>
      <w:r>
        <w:rPr>
          <w:spacing w:val="-1"/>
        </w:rPr>
        <w:t> </w:t>
      </w:r>
      <w:r>
        <w:rPr/>
        <w:t>estos</w:t>
      </w:r>
      <w:r>
        <w:rPr>
          <w:spacing w:val="-1"/>
        </w:rPr>
        <w:t> </w:t>
      </w:r>
      <w:r>
        <w:rPr/>
        <w:t>casos</w:t>
      </w:r>
      <w:r>
        <w:rPr>
          <w:spacing w:val="-1"/>
        </w:rPr>
        <w:t> </w:t>
      </w:r>
      <w:r>
        <w:rPr/>
        <w:t>se</w:t>
      </w:r>
      <w:r>
        <w:rPr>
          <w:spacing w:val="-2"/>
        </w:rPr>
        <w:t> </w:t>
      </w:r>
      <w:r>
        <w:rPr/>
        <w:t>entenderá</w:t>
      </w:r>
      <w:r>
        <w:rPr>
          <w:spacing w:val="-2"/>
        </w:rPr>
        <w:t> </w:t>
      </w:r>
      <w:r>
        <w:rPr/>
        <w:t>que</w:t>
      </w:r>
      <w:r>
        <w:rPr>
          <w:spacing w:val="-2"/>
        </w:rPr>
        <w:t> </w:t>
      </w:r>
      <w:r>
        <w:rPr/>
        <w:t>rigen</w:t>
      </w:r>
      <w:r>
        <w:rPr>
          <w:spacing w:val="-2"/>
        </w:rPr>
        <w:t> </w:t>
      </w:r>
      <w:r>
        <w:rPr/>
        <w:t>la</w:t>
      </w:r>
      <w:r>
        <w:rPr>
          <w:spacing w:val="-2"/>
        </w:rPr>
        <w:t> </w:t>
      </w:r>
      <w:r>
        <w:rPr/>
        <w:t>Ley</w:t>
      </w:r>
      <w:r>
        <w:rPr>
          <w:spacing w:val="-5"/>
        </w:rPr>
        <w:t> </w:t>
      </w:r>
      <w:r>
        <w:rPr/>
        <w:t>o</w:t>
      </w:r>
      <w:r>
        <w:rPr>
          <w:spacing w:val="-2"/>
        </w:rPr>
        <w:t> </w:t>
      </w:r>
      <w:r>
        <w:rPr/>
        <w:t>las</w:t>
      </w:r>
      <w:r>
        <w:rPr>
          <w:spacing w:val="-1"/>
        </w:rPr>
        <w:t> </w:t>
      </w:r>
      <w:r>
        <w:rPr/>
        <w:t>normas</w:t>
      </w:r>
      <w:r>
        <w:rPr>
          <w:spacing w:val="-3"/>
        </w:rPr>
        <w:t> </w:t>
      </w:r>
      <w:r>
        <w:rPr/>
        <w:t>supletorias</w:t>
      </w:r>
      <w:r>
        <w:rPr>
          <w:spacing w:val="-1"/>
        </w:rPr>
        <w:t> </w:t>
      </w:r>
      <w:r>
        <w:rPr/>
        <w:t>en lugar</w:t>
      </w:r>
      <w:r>
        <w:rPr>
          <w:spacing w:val="-1"/>
        </w:rPr>
        <w:t> </w:t>
      </w:r>
      <w:r>
        <w:rPr/>
        <w:t>de</w:t>
      </w:r>
      <w:r>
        <w:rPr>
          <w:spacing w:val="-3"/>
        </w:rPr>
        <w:t> </w:t>
      </w:r>
      <w:r>
        <w:rPr/>
        <w:t>las</w:t>
      </w:r>
      <w:r>
        <w:rPr>
          <w:spacing w:val="-1"/>
        </w:rPr>
        <w:t> </w:t>
      </w:r>
      <w:r>
        <w:rPr/>
        <w:t>cláusulas </w:t>
      </w:r>
      <w:r>
        <w:rPr>
          <w:spacing w:val="-2"/>
        </w:rPr>
        <w:t>nulas.</w:t>
      </w:r>
    </w:p>
    <w:p>
      <w:pPr>
        <w:pStyle w:val="BodyText"/>
        <w:spacing w:line="242" w:lineRule="auto" w:before="226"/>
        <w:ind w:left="338" w:right="334" w:firstLine="288"/>
        <w:jc w:val="both"/>
      </w:pPr>
      <w:bookmarkStart w:name="Artículo_6o" w:id="8"/>
      <w:bookmarkEnd w:id="8"/>
      <w:r>
        <w:rPr/>
      </w:r>
      <w:r>
        <w:rPr>
          <w:rFonts w:ascii="Arial" w:hAnsi="Arial"/>
          <w:b/>
        </w:rPr>
        <w:t>Artículo</w:t>
      </w:r>
      <w:r>
        <w:rPr>
          <w:rFonts w:ascii="Arial" w:hAnsi="Arial"/>
          <w:b/>
          <w:spacing w:val="-1"/>
        </w:rPr>
        <w:t> </w:t>
      </w:r>
      <w:r>
        <w:rPr>
          <w:rFonts w:ascii="Arial" w:hAnsi="Arial"/>
          <w:b/>
        </w:rPr>
        <w:t>6o.- </w:t>
      </w:r>
      <w:r>
        <w:rPr/>
        <w:t>Las</w:t>
      </w:r>
      <w:r>
        <w:rPr>
          <w:spacing w:val="-1"/>
        </w:rPr>
        <w:t> </w:t>
      </w:r>
      <w:r>
        <w:rPr/>
        <w:t>Leyes</w:t>
      </w:r>
      <w:r>
        <w:rPr>
          <w:spacing w:val="-1"/>
        </w:rPr>
        <w:t> </w:t>
      </w:r>
      <w:r>
        <w:rPr/>
        <w:t>respectivas y</w:t>
      </w:r>
      <w:r>
        <w:rPr>
          <w:spacing w:val="-2"/>
        </w:rPr>
        <w:t> </w:t>
      </w:r>
      <w:r>
        <w:rPr/>
        <w:t>los</w:t>
      </w:r>
      <w:r>
        <w:rPr>
          <w:spacing w:val="-1"/>
        </w:rPr>
        <w:t> </w:t>
      </w:r>
      <w:r>
        <w:rPr/>
        <w:t>tratados</w:t>
      </w:r>
      <w:r>
        <w:rPr>
          <w:spacing w:val="-1"/>
        </w:rPr>
        <w:t> </w:t>
      </w:r>
      <w:r>
        <w:rPr/>
        <w:t>celebrados y</w:t>
      </w:r>
      <w:r>
        <w:rPr>
          <w:spacing w:val="-4"/>
        </w:rPr>
        <w:t> </w:t>
      </w:r>
      <w:r>
        <w:rPr/>
        <w:t>aprobados</w:t>
      </w:r>
      <w:r>
        <w:rPr>
          <w:spacing w:val="-1"/>
        </w:rPr>
        <w:t> </w:t>
      </w:r>
      <w:r>
        <w:rPr/>
        <w:t>en</w:t>
      </w:r>
      <w:r>
        <w:rPr>
          <w:spacing w:val="-1"/>
        </w:rPr>
        <w:t> </w:t>
      </w:r>
      <w:r>
        <w:rPr/>
        <w:t>los</w:t>
      </w:r>
      <w:r>
        <w:rPr>
          <w:spacing w:val="-1"/>
        </w:rPr>
        <w:t> </w:t>
      </w:r>
      <w:r>
        <w:rPr/>
        <w:t>términos</w:t>
      </w:r>
      <w:r>
        <w:rPr>
          <w:spacing w:val="-1"/>
        </w:rPr>
        <w:t> </w:t>
      </w:r>
      <w:r>
        <w:rPr/>
        <w:t>del</w:t>
      </w:r>
      <w:r>
        <w:rPr>
          <w:spacing w:val="-2"/>
        </w:rPr>
        <w:t> </w:t>
      </w:r>
      <w:r>
        <w:rPr/>
        <w:t>artículo 133</w:t>
      </w:r>
      <w:r>
        <w:rPr>
          <w:spacing w:val="-1"/>
        </w:rPr>
        <w:t> </w:t>
      </w:r>
      <w:r>
        <w:rPr/>
        <w:t>de la</w:t>
      </w:r>
      <w:r>
        <w:rPr>
          <w:spacing w:val="-1"/>
        </w:rPr>
        <w:t> </w:t>
      </w:r>
      <w:r>
        <w:rPr/>
        <w:t>Constitución</w:t>
      </w:r>
      <w:r>
        <w:rPr>
          <w:spacing w:val="-1"/>
        </w:rPr>
        <w:t> </w:t>
      </w:r>
      <w:r>
        <w:rPr/>
        <w:t>serán</w:t>
      </w:r>
      <w:r>
        <w:rPr>
          <w:spacing w:val="-3"/>
        </w:rPr>
        <w:t> </w:t>
      </w:r>
      <w:r>
        <w:rPr/>
        <w:t>aplicables a</w:t>
      </w:r>
      <w:r>
        <w:rPr>
          <w:spacing w:val="-1"/>
        </w:rPr>
        <w:t> </w:t>
      </w:r>
      <w:r>
        <w:rPr/>
        <w:t>las</w:t>
      </w:r>
      <w:r>
        <w:rPr>
          <w:spacing w:val="-2"/>
        </w:rPr>
        <w:t> </w:t>
      </w:r>
      <w:r>
        <w:rPr/>
        <w:t>relaciones</w:t>
      </w:r>
      <w:r>
        <w:rPr>
          <w:spacing w:val="-2"/>
        </w:rPr>
        <w:t> </w:t>
      </w:r>
      <w:r>
        <w:rPr/>
        <w:t>de</w:t>
      </w:r>
      <w:r>
        <w:rPr>
          <w:spacing w:val="-1"/>
        </w:rPr>
        <w:t> </w:t>
      </w:r>
      <w:r>
        <w:rPr/>
        <w:t>trabajo</w:t>
      </w:r>
      <w:r>
        <w:rPr>
          <w:spacing w:val="-3"/>
        </w:rPr>
        <w:t> </w:t>
      </w:r>
      <w:r>
        <w:rPr/>
        <w:t>en</w:t>
      </w:r>
      <w:r>
        <w:rPr>
          <w:spacing w:val="-1"/>
        </w:rPr>
        <w:t> </w:t>
      </w:r>
      <w:r>
        <w:rPr/>
        <w:t>todo</w:t>
      </w:r>
      <w:r>
        <w:rPr>
          <w:spacing w:val="-1"/>
        </w:rPr>
        <w:t> </w:t>
      </w:r>
      <w:r>
        <w:rPr/>
        <w:t>lo</w:t>
      </w:r>
      <w:r>
        <w:rPr>
          <w:spacing w:val="-1"/>
        </w:rPr>
        <w:t> </w:t>
      </w:r>
      <w:r>
        <w:rPr/>
        <w:t>que beneficien</w:t>
      </w:r>
      <w:r>
        <w:rPr>
          <w:spacing w:val="-1"/>
        </w:rPr>
        <w:t> </w:t>
      </w:r>
      <w:r>
        <w:rPr/>
        <w:t>al</w:t>
      </w:r>
      <w:r>
        <w:rPr>
          <w:spacing w:val="-2"/>
        </w:rPr>
        <w:t> </w:t>
      </w:r>
      <w:r>
        <w:rPr/>
        <w:t>trabajador, a partir de la fecha de la vigencia.</w:t>
      </w:r>
    </w:p>
    <w:p>
      <w:pPr>
        <w:pStyle w:val="BodyText"/>
        <w:spacing w:before="223"/>
        <w:ind w:left="338" w:right="340" w:firstLine="288"/>
        <w:jc w:val="both"/>
      </w:pPr>
      <w:bookmarkStart w:name="Artículo_7o" w:id="9"/>
      <w:bookmarkEnd w:id="9"/>
      <w:r>
        <w:rPr/>
      </w:r>
      <w:r>
        <w:rPr>
          <w:rFonts w:ascii="Arial" w:hAnsi="Arial"/>
          <w:b/>
        </w:rPr>
        <w:t>Artículo 7o.- </w:t>
      </w:r>
      <w:r>
        <w:rPr/>
        <w:t>En toda empresa o establecimiento, el patrón deberá emplear un noventa por ciento de trabajadores mexicanos, por lo menos. En las categorías de técnicos y profesionales, los trabajadores deberán ser mexicanos, salvo que no los haya en una especialidad determinada, en cuyo caso el patrón podrá emplear temporalmente a trabajadores extranjeros, en una proporción que no exceda del diez por ciento de los de la especialidad. El patrón y</w:t>
      </w:r>
      <w:r>
        <w:rPr>
          <w:spacing w:val="-2"/>
        </w:rPr>
        <w:t> </w:t>
      </w:r>
      <w:r>
        <w:rPr/>
        <w:t>los trabajadores extranjeros tendrán la</w:t>
      </w:r>
      <w:r>
        <w:rPr>
          <w:spacing w:val="-1"/>
        </w:rPr>
        <w:t> </w:t>
      </w:r>
      <w:r>
        <w:rPr/>
        <w:t>obligación solidaria de capacitar a trabajadores mexicanos en la especialidad de que se trate. Los médicos al servicio de las empresas deberán ser mexicanos.</w:t>
      </w:r>
    </w:p>
    <w:p>
      <w:pPr>
        <w:pStyle w:val="BodyText"/>
        <w:spacing w:before="3"/>
      </w:pPr>
    </w:p>
    <w:p>
      <w:pPr>
        <w:pStyle w:val="BodyText"/>
        <w:ind w:left="626"/>
      </w:pPr>
      <w:r>
        <w:rPr/>
        <w:t>No</w:t>
      </w:r>
      <w:r>
        <w:rPr>
          <w:spacing w:val="-8"/>
        </w:rPr>
        <w:t> </w:t>
      </w:r>
      <w:r>
        <w:rPr/>
        <w:t>es</w:t>
      </w:r>
      <w:r>
        <w:rPr>
          <w:spacing w:val="-6"/>
        </w:rPr>
        <w:t> </w:t>
      </w:r>
      <w:r>
        <w:rPr/>
        <w:t>aplicable</w:t>
      </w:r>
      <w:r>
        <w:rPr>
          <w:spacing w:val="-7"/>
        </w:rPr>
        <w:t> </w:t>
      </w:r>
      <w:r>
        <w:rPr/>
        <w:t>lo</w:t>
      </w:r>
      <w:r>
        <w:rPr>
          <w:spacing w:val="-7"/>
        </w:rPr>
        <w:t> </w:t>
      </w:r>
      <w:r>
        <w:rPr/>
        <w:t>dispuesto</w:t>
      </w:r>
      <w:r>
        <w:rPr>
          <w:spacing w:val="-8"/>
        </w:rPr>
        <w:t> </w:t>
      </w:r>
      <w:r>
        <w:rPr/>
        <w:t>en</w:t>
      </w:r>
      <w:r>
        <w:rPr>
          <w:spacing w:val="-7"/>
        </w:rPr>
        <w:t> </w:t>
      </w:r>
      <w:r>
        <w:rPr/>
        <w:t>este</w:t>
      </w:r>
      <w:r>
        <w:rPr>
          <w:spacing w:val="-8"/>
        </w:rPr>
        <w:t> </w:t>
      </w:r>
      <w:r>
        <w:rPr/>
        <w:t>artículo</w:t>
      </w:r>
      <w:r>
        <w:rPr>
          <w:spacing w:val="-5"/>
        </w:rPr>
        <w:t> </w:t>
      </w:r>
      <w:r>
        <w:rPr/>
        <w:t>a</w:t>
      </w:r>
      <w:r>
        <w:rPr>
          <w:spacing w:val="-5"/>
        </w:rPr>
        <w:t> </w:t>
      </w:r>
      <w:r>
        <w:rPr/>
        <w:t>los</w:t>
      </w:r>
      <w:r>
        <w:rPr>
          <w:spacing w:val="-7"/>
        </w:rPr>
        <w:t> </w:t>
      </w:r>
      <w:r>
        <w:rPr/>
        <w:t>directores,</w:t>
      </w:r>
      <w:r>
        <w:rPr>
          <w:spacing w:val="-7"/>
        </w:rPr>
        <w:t> </w:t>
      </w:r>
      <w:r>
        <w:rPr/>
        <w:t>administradores</w:t>
      </w:r>
      <w:r>
        <w:rPr>
          <w:spacing w:val="-2"/>
        </w:rPr>
        <w:t> </w:t>
      </w:r>
      <w:r>
        <w:rPr/>
        <w:t>y</w:t>
      </w:r>
      <w:r>
        <w:rPr>
          <w:spacing w:val="-9"/>
        </w:rPr>
        <w:t> </w:t>
      </w:r>
      <w:r>
        <w:rPr/>
        <w:t>gerentes</w:t>
      </w:r>
      <w:r>
        <w:rPr>
          <w:spacing w:val="-7"/>
        </w:rPr>
        <w:t> </w:t>
      </w:r>
      <w:r>
        <w:rPr>
          <w:spacing w:val="-2"/>
        </w:rPr>
        <w:t>generales.</w:t>
      </w:r>
    </w:p>
    <w:p>
      <w:pPr>
        <w:pStyle w:val="BodyText"/>
        <w:spacing w:before="229"/>
        <w:ind w:left="338" w:right="345" w:firstLine="288"/>
        <w:jc w:val="both"/>
      </w:pPr>
      <w:bookmarkStart w:name="Artículo_8o" w:id="10"/>
      <w:bookmarkEnd w:id="10"/>
      <w:r>
        <w:rPr/>
      </w:r>
      <w:r>
        <w:rPr>
          <w:rFonts w:ascii="Arial" w:hAnsi="Arial"/>
          <w:b/>
        </w:rPr>
        <w:t>Artículo 8o.- </w:t>
      </w:r>
      <w:r>
        <w:rPr/>
        <w:t>Trabajador es la persona física que presta a otra, física o moral, un trabajo personal </w:t>
      </w:r>
      <w:r>
        <w:rPr>
          <w:spacing w:val="-2"/>
        </w:rPr>
        <w:t>subordinado.</w:t>
      </w:r>
    </w:p>
    <w:p>
      <w:pPr>
        <w:pStyle w:val="BodyText"/>
        <w:spacing w:before="1"/>
      </w:pPr>
    </w:p>
    <w:p>
      <w:pPr>
        <w:pStyle w:val="BodyText"/>
        <w:ind w:left="338" w:right="346" w:firstLine="288"/>
        <w:jc w:val="both"/>
      </w:pPr>
      <w:r>
        <w:rPr/>
        <w:t>Para los efectos de esta disposición, se entiende por trabajo toda actividad humana, intelectual o material, independientemente del grado de preparación técnica requerido por cada profesión u oficio.</w:t>
      </w:r>
    </w:p>
    <w:p>
      <w:pPr>
        <w:pStyle w:val="BodyText"/>
        <w:spacing w:before="229"/>
        <w:ind w:left="338" w:right="339" w:firstLine="288"/>
        <w:jc w:val="both"/>
      </w:pPr>
      <w:bookmarkStart w:name="Artículo_9o" w:id="11"/>
      <w:bookmarkEnd w:id="11"/>
      <w:r>
        <w:rPr/>
      </w:r>
      <w:r>
        <w:rPr>
          <w:rFonts w:ascii="Arial" w:hAnsi="Arial"/>
          <w:b/>
        </w:rPr>
        <w:t>Artículo 9o.- </w:t>
      </w:r>
      <w:r>
        <w:rPr/>
        <w:t>La categoría de trabajador de confianza depende de la naturaleza de las funciones desempeñadas y no de la designación que se dé al puesto.</w:t>
      </w:r>
    </w:p>
    <w:p>
      <w:pPr>
        <w:pStyle w:val="BodyText"/>
        <w:spacing w:before="1"/>
      </w:pPr>
    </w:p>
    <w:p>
      <w:pPr>
        <w:pStyle w:val="BodyText"/>
        <w:spacing w:before="1"/>
        <w:ind w:left="338" w:right="334" w:firstLine="288"/>
        <w:jc w:val="both"/>
      </w:pPr>
      <w:r>
        <w:rPr/>
        <w:t>Son funciones de confianza las de dirección, inspección, vigilancia y fiscalización, cuando tengan carácter general, y las que se relacionen con trabajos personales del patrón dentro de la empresa o </w:t>
      </w:r>
      <w:r>
        <w:rPr>
          <w:spacing w:val="-2"/>
        </w:rPr>
        <w:t>establecimiento.</w:t>
      </w:r>
    </w:p>
    <w:p>
      <w:pPr>
        <w:pStyle w:val="BodyText"/>
        <w:spacing w:before="227"/>
        <w:ind w:left="626"/>
      </w:pPr>
      <w:bookmarkStart w:name="Artículo_10" w:id="12"/>
      <w:bookmarkEnd w:id="12"/>
      <w:r>
        <w:rPr/>
      </w:r>
      <w:r>
        <w:rPr>
          <w:rFonts w:ascii="Arial" w:hAnsi="Arial"/>
          <w:b/>
        </w:rPr>
        <w:t>Artículo</w:t>
      </w:r>
      <w:r>
        <w:rPr>
          <w:rFonts w:ascii="Arial" w:hAnsi="Arial"/>
          <w:b/>
          <w:spacing w:val="-5"/>
        </w:rPr>
        <w:t> </w:t>
      </w:r>
      <w:r>
        <w:rPr>
          <w:rFonts w:ascii="Arial" w:hAnsi="Arial"/>
          <w:b/>
        </w:rPr>
        <w:t>10.-</w:t>
      </w:r>
      <w:r>
        <w:rPr>
          <w:rFonts w:ascii="Arial" w:hAnsi="Arial"/>
          <w:b/>
          <w:spacing w:val="-5"/>
        </w:rPr>
        <w:t> </w:t>
      </w:r>
      <w:r>
        <w:rPr/>
        <w:t>Patrón</w:t>
      </w:r>
      <w:r>
        <w:rPr>
          <w:spacing w:val="-4"/>
        </w:rPr>
        <w:t> </w:t>
      </w:r>
      <w:r>
        <w:rPr/>
        <w:t>es</w:t>
      </w:r>
      <w:r>
        <w:rPr>
          <w:spacing w:val="-5"/>
        </w:rPr>
        <w:t> </w:t>
      </w:r>
      <w:r>
        <w:rPr/>
        <w:t>la</w:t>
      </w:r>
      <w:r>
        <w:rPr>
          <w:spacing w:val="-4"/>
        </w:rPr>
        <w:t> </w:t>
      </w:r>
      <w:r>
        <w:rPr/>
        <w:t>persona</w:t>
      </w:r>
      <w:r>
        <w:rPr>
          <w:spacing w:val="-5"/>
        </w:rPr>
        <w:t> </w:t>
      </w:r>
      <w:r>
        <w:rPr/>
        <w:t>física</w:t>
      </w:r>
      <w:r>
        <w:rPr>
          <w:spacing w:val="-6"/>
        </w:rPr>
        <w:t> </w:t>
      </w:r>
      <w:r>
        <w:rPr/>
        <w:t>o</w:t>
      </w:r>
      <w:r>
        <w:rPr>
          <w:spacing w:val="-6"/>
        </w:rPr>
        <w:t> </w:t>
      </w:r>
      <w:r>
        <w:rPr/>
        <w:t>moral</w:t>
      </w:r>
      <w:r>
        <w:rPr>
          <w:spacing w:val="-7"/>
        </w:rPr>
        <w:t> </w:t>
      </w:r>
      <w:r>
        <w:rPr/>
        <w:t>que</w:t>
      </w:r>
      <w:r>
        <w:rPr>
          <w:spacing w:val="-6"/>
        </w:rPr>
        <w:t> </w:t>
      </w:r>
      <w:r>
        <w:rPr/>
        <w:t>utiliza</w:t>
      </w:r>
      <w:r>
        <w:rPr>
          <w:spacing w:val="-5"/>
        </w:rPr>
        <w:t> </w:t>
      </w:r>
      <w:r>
        <w:rPr/>
        <w:t>los</w:t>
      </w:r>
      <w:r>
        <w:rPr>
          <w:spacing w:val="-5"/>
        </w:rPr>
        <w:t> </w:t>
      </w:r>
      <w:r>
        <w:rPr/>
        <w:t>servicios</w:t>
      </w:r>
      <w:r>
        <w:rPr>
          <w:spacing w:val="-5"/>
        </w:rPr>
        <w:t> </w:t>
      </w:r>
      <w:r>
        <w:rPr/>
        <w:t>de</w:t>
      </w:r>
      <w:r>
        <w:rPr>
          <w:spacing w:val="-6"/>
        </w:rPr>
        <w:t> </w:t>
      </w:r>
      <w:r>
        <w:rPr/>
        <w:t>uno</w:t>
      </w:r>
      <w:r>
        <w:rPr>
          <w:spacing w:val="-5"/>
        </w:rPr>
        <w:t> </w:t>
      </w:r>
      <w:r>
        <w:rPr/>
        <w:t>o</w:t>
      </w:r>
      <w:r>
        <w:rPr>
          <w:spacing w:val="-5"/>
        </w:rPr>
        <w:t> </w:t>
      </w:r>
      <w:r>
        <w:rPr/>
        <w:t>varios</w:t>
      </w:r>
      <w:r>
        <w:rPr>
          <w:spacing w:val="-5"/>
        </w:rPr>
        <w:t> </w:t>
      </w:r>
      <w:r>
        <w:rPr>
          <w:spacing w:val="-2"/>
        </w:rPr>
        <w:t>trabajadores.</w:t>
      </w:r>
    </w:p>
    <w:p>
      <w:pPr>
        <w:pStyle w:val="BodyText"/>
        <w:spacing w:before="3"/>
      </w:pPr>
    </w:p>
    <w:p>
      <w:pPr>
        <w:pStyle w:val="BodyText"/>
        <w:ind w:left="338" w:right="336" w:firstLine="288"/>
        <w:jc w:val="both"/>
      </w:pPr>
      <w:r>
        <w:rPr/>
        <w:t>Si el trabajador, conforme a lo pactado o a la costumbre, utiliza los servicios de otros trabajadores, el patrón de aquél, lo será también de éstos.</w:t>
      </w:r>
    </w:p>
    <w:p>
      <w:pPr>
        <w:pStyle w:val="BodyText"/>
        <w:spacing w:after="0"/>
        <w:jc w:val="both"/>
        <w:sectPr>
          <w:pgSz w:w="12240" w:h="15840"/>
          <w:pgMar w:header="724" w:footer="712" w:top="1880" w:bottom="900" w:left="1080" w:right="1080"/>
        </w:sectPr>
      </w:pPr>
    </w:p>
    <w:p>
      <w:pPr>
        <w:pStyle w:val="BodyText"/>
      </w:pPr>
    </w:p>
    <w:p>
      <w:pPr>
        <w:pStyle w:val="BodyText"/>
        <w:spacing w:before="63"/>
      </w:pPr>
    </w:p>
    <w:p>
      <w:pPr>
        <w:pStyle w:val="BodyText"/>
        <w:spacing w:line="242" w:lineRule="auto"/>
        <w:ind w:left="338" w:right="345" w:firstLine="288"/>
        <w:jc w:val="both"/>
      </w:pPr>
      <w:bookmarkStart w:name="Artículo_11" w:id="13"/>
      <w:bookmarkEnd w:id="13"/>
      <w:r>
        <w:rPr/>
      </w:r>
      <w:r>
        <w:rPr>
          <w:rFonts w:ascii="Arial" w:hAnsi="Arial"/>
          <w:b/>
        </w:rPr>
        <w:t>Artículo 11.- </w:t>
      </w:r>
      <w:r>
        <w:rPr/>
        <w:t>Los directores, administradores, gerentes y demás personas que ejerzan funciones de dirección o administración en la empresa o establecimiento, serán considerados representantes del patrón y en tal concepto lo obligan en sus relaciones con los trabajadores.</w:t>
      </w:r>
    </w:p>
    <w:p>
      <w:pPr>
        <w:pStyle w:val="BodyText"/>
        <w:spacing w:before="225"/>
        <w:ind w:left="338" w:right="346" w:firstLine="288"/>
        <w:jc w:val="both"/>
      </w:pPr>
      <w:bookmarkStart w:name="Artículo_12" w:id="14"/>
      <w:bookmarkEnd w:id="14"/>
      <w:r>
        <w:rPr/>
      </w:r>
      <w:r>
        <w:rPr>
          <w:rFonts w:ascii="Arial" w:hAnsi="Arial"/>
          <w:b/>
        </w:rPr>
        <w:t>Artículo 12.- </w:t>
      </w:r>
      <w:r>
        <w:rPr/>
        <w:t>Queda prohibida la subcontratación de personal, entendiéndose esta cuando una persona física o moral proporciona o pone a disposición trabajadores propios en beneficio de otra.</w:t>
      </w:r>
    </w:p>
    <w:p>
      <w:pPr>
        <w:pStyle w:val="BodyText"/>
        <w:spacing w:before="1"/>
      </w:pPr>
    </w:p>
    <w:p>
      <w:pPr>
        <w:pStyle w:val="BodyText"/>
        <w:ind w:left="338" w:right="343" w:firstLine="288"/>
        <w:jc w:val="both"/>
      </w:pPr>
      <w:r>
        <w:rPr/>
        <w:t>Las agencias de empleo o intermediarios que intervienen en el proceso de contratación de personal podrán participar en el reclutamiento, selección, entrenamiento y capacitación, entre otros. Estas no se considerarán patrones ya que este carácter lo tiene quien se beneficia de los servicios.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23-04-</w:t>
      </w:r>
      <w:r>
        <w:rPr>
          <w:rFonts w:ascii="Times New Roman" w:hAnsi="Times New Roman"/>
          <w:i/>
          <w:color w:val="0000FF"/>
          <w:spacing w:val="-4"/>
          <w:sz w:val="16"/>
        </w:rPr>
        <w:t>2021</w:t>
      </w:r>
    </w:p>
    <w:p>
      <w:pPr>
        <w:pStyle w:val="BodyText"/>
        <w:spacing w:before="48"/>
        <w:rPr>
          <w:rFonts w:ascii="Times New Roman"/>
          <w:i/>
          <w:sz w:val="16"/>
        </w:rPr>
      </w:pPr>
    </w:p>
    <w:p>
      <w:pPr>
        <w:pStyle w:val="BodyText"/>
        <w:ind w:left="338" w:right="336" w:firstLine="288"/>
        <w:jc w:val="both"/>
      </w:pPr>
      <w:bookmarkStart w:name="Artículo_13" w:id="15"/>
      <w:bookmarkEnd w:id="15"/>
      <w:r>
        <w:rPr/>
      </w:r>
      <w:r>
        <w:rPr>
          <w:rFonts w:ascii="Arial" w:hAnsi="Arial"/>
          <w:b/>
        </w:rPr>
        <w:t>Artículo 13.- </w:t>
      </w:r>
      <w:r>
        <w:rPr/>
        <w:t>Se permite la subcontratación de servicios especializados o de ejecución de obras especializadas que no formen parte del objeto social ni de la actividad económica preponderante de la beneficiaria de estos, siempre que el contratista esté registrado en el padrón público a que se refiere el artículo 15 de esta Ley.</w:t>
      </w:r>
    </w:p>
    <w:p>
      <w:pPr>
        <w:pStyle w:val="BodyText"/>
        <w:spacing w:before="2"/>
      </w:pPr>
    </w:p>
    <w:p>
      <w:pPr>
        <w:pStyle w:val="BodyText"/>
        <w:ind w:left="338" w:right="344" w:firstLine="288"/>
        <w:jc w:val="both"/>
      </w:pPr>
      <w:r>
        <w:rPr/>
        <w:t>Los servicios u obras complementarias o compartidas prestadas entre empresas de un mismo grupo empresarial, también serán considerados como especializados siempre y cuando no formen parte del objeto social ni de la actividad económica preponderante de la empresa que los reciba. Se entenderá por grupo empresarial lo establecido en el artículo 2, fracción X de la Ley del Mercado de Valores.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30-04-1970.</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23-04-</w:t>
      </w:r>
      <w:r>
        <w:rPr>
          <w:rFonts w:ascii="Times New Roman" w:hAnsi="Times New Roman"/>
          <w:i/>
          <w:color w:val="0000FF"/>
          <w:spacing w:val="-4"/>
          <w:sz w:val="16"/>
        </w:rPr>
        <w:t>2021</w:t>
      </w:r>
    </w:p>
    <w:p>
      <w:pPr>
        <w:pStyle w:val="BodyText"/>
        <w:spacing w:before="48"/>
        <w:rPr>
          <w:rFonts w:ascii="Times New Roman"/>
          <w:i/>
          <w:sz w:val="16"/>
        </w:rPr>
      </w:pPr>
    </w:p>
    <w:p>
      <w:pPr>
        <w:pStyle w:val="BodyText"/>
        <w:ind w:left="338" w:right="342" w:firstLine="288"/>
        <w:jc w:val="both"/>
      </w:pPr>
      <w:bookmarkStart w:name="Artículo_14" w:id="16"/>
      <w:bookmarkEnd w:id="16"/>
      <w:r>
        <w:rPr/>
      </w:r>
      <w:r>
        <w:rPr>
          <w:rFonts w:ascii="Arial" w:hAnsi="Arial"/>
          <w:b/>
        </w:rPr>
        <w:t>Artículo 14.- </w:t>
      </w:r>
      <w:r>
        <w:rPr/>
        <w:t>La subcontratación de servicios especializados o de ejecución de obras especializadas deberá formalizarse mediante contrato por escrito en el que se señale el objeto de los servicios a proporcionar o las obras a ejecutar, así como el número aproximado de trabajadores que participarán en el cumplimiento de dicho contrato.</w:t>
      </w:r>
    </w:p>
    <w:p>
      <w:pPr>
        <w:pStyle w:val="BodyText"/>
        <w:spacing w:before="2"/>
      </w:pPr>
    </w:p>
    <w:p>
      <w:pPr>
        <w:pStyle w:val="BodyText"/>
        <w:ind w:left="338" w:right="338" w:firstLine="288"/>
        <w:jc w:val="both"/>
      </w:pPr>
      <w:r>
        <w:rPr/>
        <w:t>La persona física o moral que subcontrate servicios especializados o la ejecución de obras especializadas con una contratista que incumpla con las obligaciones que deriven de las relaciones con sus trabajadores, será responsable solidaria en relación con los trabajadores utilizados para dichas </w:t>
      </w:r>
      <w:r>
        <w:rPr>
          <w:spacing w:val="-2"/>
        </w:rPr>
        <w:t>contrataciones.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23-04-</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338" w:right="345" w:firstLine="288"/>
        <w:jc w:val="both"/>
      </w:pPr>
      <w:bookmarkStart w:name="Artículo_15" w:id="17"/>
      <w:bookmarkEnd w:id="17"/>
      <w:r>
        <w:rPr/>
      </w:r>
      <w:r>
        <w:rPr>
          <w:rFonts w:ascii="Arial" w:hAnsi="Arial"/>
          <w:b/>
        </w:rPr>
        <w:t>Artículo 15.- </w:t>
      </w:r>
      <w:r>
        <w:rPr/>
        <w:t>Las personas físicas o morales que proporcionen los servicios de subcontratación, deberán contar con registro ante la Secretaría del Trabajo y Previsión Social. Para obtener el registro deberán acreditar estar al corriente de sus obligaciones fiscales y de seguridad social.</w:t>
      </w:r>
    </w:p>
    <w:p>
      <w:pPr>
        <w:pStyle w:val="BodyText"/>
        <w:spacing w:before="2"/>
      </w:pPr>
    </w:p>
    <w:p>
      <w:pPr>
        <w:pStyle w:val="BodyText"/>
        <w:ind w:left="626"/>
      </w:pPr>
      <w:r>
        <w:rPr/>
        <w:t>El</w:t>
      </w:r>
      <w:r>
        <w:rPr>
          <w:spacing w:val="-8"/>
        </w:rPr>
        <w:t> </w:t>
      </w:r>
      <w:r>
        <w:rPr/>
        <w:t>registro</w:t>
      </w:r>
      <w:r>
        <w:rPr>
          <w:spacing w:val="-4"/>
        </w:rPr>
        <w:t> </w:t>
      </w:r>
      <w:r>
        <w:rPr/>
        <w:t>a</w:t>
      </w:r>
      <w:r>
        <w:rPr>
          <w:spacing w:val="-6"/>
        </w:rPr>
        <w:t> </w:t>
      </w:r>
      <w:r>
        <w:rPr/>
        <w:t>que</w:t>
      </w:r>
      <w:r>
        <w:rPr>
          <w:spacing w:val="-7"/>
        </w:rPr>
        <w:t> </w:t>
      </w:r>
      <w:r>
        <w:rPr/>
        <w:t>hace</w:t>
      </w:r>
      <w:r>
        <w:rPr>
          <w:spacing w:val="-6"/>
        </w:rPr>
        <w:t> </w:t>
      </w:r>
      <w:r>
        <w:rPr/>
        <w:t>mención</w:t>
      </w:r>
      <w:r>
        <w:rPr>
          <w:spacing w:val="-7"/>
        </w:rPr>
        <w:t> </w:t>
      </w:r>
      <w:r>
        <w:rPr/>
        <w:t>este</w:t>
      </w:r>
      <w:r>
        <w:rPr>
          <w:spacing w:val="-6"/>
        </w:rPr>
        <w:t> </w:t>
      </w:r>
      <w:r>
        <w:rPr/>
        <w:t>artículo</w:t>
      </w:r>
      <w:r>
        <w:rPr>
          <w:spacing w:val="-5"/>
        </w:rPr>
        <w:t> </w:t>
      </w:r>
      <w:r>
        <w:rPr/>
        <w:t>deberá</w:t>
      </w:r>
      <w:r>
        <w:rPr>
          <w:spacing w:val="-6"/>
        </w:rPr>
        <w:t> </w:t>
      </w:r>
      <w:r>
        <w:rPr/>
        <w:t>ser</w:t>
      </w:r>
      <w:r>
        <w:rPr>
          <w:spacing w:val="-6"/>
        </w:rPr>
        <w:t> </w:t>
      </w:r>
      <w:r>
        <w:rPr/>
        <w:t>renovado</w:t>
      </w:r>
      <w:r>
        <w:rPr>
          <w:spacing w:val="-6"/>
        </w:rPr>
        <w:t> </w:t>
      </w:r>
      <w:r>
        <w:rPr/>
        <w:t>cada</w:t>
      </w:r>
      <w:r>
        <w:rPr>
          <w:spacing w:val="-6"/>
        </w:rPr>
        <w:t> </w:t>
      </w:r>
      <w:r>
        <w:rPr/>
        <w:t>tres</w:t>
      </w:r>
      <w:r>
        <w:rPr>
          <w:spacing w:val="-6"/>
        </w:rPr>
        <w:t> </w:t>
      </w:r>
      <w:r>
        <w:rPr>
          <w:spacing w:val="-2"/>
        </w:rPr>
        <w:t>años.</w:t>
      </w:r>
    </w:p>
    <w:p>
      <w:pPr>
        <w:pStyle w:val="BodyText"/>
      </w:pPr>
    </w:p>
    <w:p>
      <w:pPr>
        <w:pStyle w:val="BodyText"/>
        <w:spacing w:before="1"/>
        <w:ind w:left="338" w:right="341" w:firstLine="288"/>
        <w:jc w:val="both"/>
      </w:pPr>
      <w:r>
        <w:rPr/>
        <w:t>La Secretaría del Trabajo y Previsión Social deberá pronunciarse respecto de la solicitud de registro dentro de los veinte días posteriores a la recepción de la misma, de no hacerlo, los solicitantes podrán requerirla para que dicte la resolución correspondiente, dentro de los tres días siguientes a la presentación del requerimiento. Transcurrido dicho plazo sin que se notifique la resolución, se tendrá por efectuado el registro para los efectos legales a que dé lugar.</w:t>
      </w:r>
    </w:p>
    <w:p>
      <w:pPr>
        <w:pStyle w:val="BodyText"/>
      </w:pPr>
    </w:p>
    <w:p>
      <w:pPr>
        <w:pStyle w:val="BodyText"/>
        <w:ind w:left="338" w:right="347" w:firstLine="288"/>
        <w:jc w:val="both"/>
      </w:pPr>
      <w:r>
        <w:rPr/>
        <w:t>La Secretaría del Trabajo y Previsión Social negará o cancelará en cualquier tiempo el registro de aquellas personas físicas o morales que no cumplan con los requisitos previstos por esta Ley.</w:t>
      </w:r>
    </w:p>
    <w:p>
      <w:pPr>
        <w:pStyle w:val="BodyText"/>
        <w:spacing w:before="229"/>
        <w:ind w:left="338" w:right="346" w:firstLine="288"/>
        <w:jc w:val="both"/>
      </w:pPr>
      <w:r>
        <w:rPr/>
        <w:t>Las personas físicas o morales que obtengan el registro a que se refiere este artículo quedarán inscritas en un padrón, que deberá ser público y estar disponible en un portal de Internet.</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42" w:firstLine="288"/>
      </w:pPr>
      <w:r>
        <w:rPr/>
        <w:t>La</w:t>
      </w:r>
      <w:r>
        <w:rPr>
          <w:spacing w:val="40"/>
        </w:rPr>
        <w:t> </w:t>
      </w:r>
      <w:r>
        <w:rPr/>
        <w:t>Secretaría</w:t>
      </w:r>
      <w:r>
        <w:rPr>
          <w:spacing w:val="40"/>
        </w:rPr>
        <w:t> </w:t>
      </w:r>
      <w:r>
        <w:rPr/>
        <w:t>del</w:t>
      </w:r>
      <w:r>
        <w:rPr>
          <w:spacing w:val="40"/>
        </w:rPr>
        <w:t> </w:t>
      </w:r>
      <w:r>
        <w:rPr/>
        <w:t>Trabajo</w:t>
      </w:r>
      <w:r>
        <w:rPr>
          <w:spacing w:val="40"/>
        </w:rPr>
        <w:t> </w:t>
      </w:r>
      <w:r>
        <w:rPr/>
        <w:t>y</w:t>
      </w:r>
      <w:r>
        <w:rPr>
          <w:spacing w:val="40"/>
        </w:rPr>
        <w:t> </w:t>
      </w:r>
      <w:r>
        <w:rPr/>
        <w:t>Previsión</w:t>
      </w:r>
      <w:r>
        <w:rPr>
          <w:spacing w:val="40"/>
        </w:rPr>
        <w:t> </w:t>
      </w:r>
      <w:r>
        <w:rPr/>
        <w:t>Social</w:t>
      </w:r>
      <w:r>
        <w:rPr>
          <w:spacing w:val="40"/>
        </w:rPr>
        <w:t> </w:t>
      </w:r>
      <w:r>
        <w:rPr/>
        <w:t>expedirá</w:t>
      </w:r>
      <w:r>
        <w:rPr>
          <w:spacing w:val="40"/>
        </w:rPr>
        <w:t> </w:t>
      </w:r>
      <w:r>
        <w:rPr/>
        <w:t>las</w:t>
      </w:r>
      <w:r>
        <w:rPr>
          <w:spacing w:val="40"/>
        </w:rPr>
        <w:t> </w:t>
      </w:r>
      <w:r>
        <w:rPr/>
        <w:t>disposiciones</w:t>
      </w:r>
      <w:r>
        <w:rPr>
          <w:spacing w:val="40"/>
        </w:rPr>
        <w:t> </w:t>
      </w:r>
      <w:r>
        <w:rPr/>
        <w:t>de</w:t>
      </w:r>
      <w:r>
        <w:rPr>
          <w:spacing w:val="40"/>
        </w:rPr>
        <w:t> </w:t>
      </w:r>
      <w:r>
        <w:rPr/>
        <w:t>carácter</w:t>
      </w:r>
      <w:r>
        <w:rPr>
          <w:spacing w:val="40"/>
        </w:rPr>
        <w:t> </w:t>
      </w:r>
      <w:r>
        <w:rPr/>
        <w:t>general</w:t>
      </w:r>
      <w:r>
        <w:rPr>
          <w:spacing w:val="40"/>
        </w:rPr>
        <w:t> </w:t>
      </w:r>
      <w:r>
        <w:rPr/>
        <w:t>que determinen los procedimientos relativos al registro a que se refiere este artículo.</w:t>
      </w:r>
    </w:p>
    <w:p>
      <w:pPr>
        <w:spacing w:line="182"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21-01-1988,</w:t>
      </w:r>
      <w:r>
        <w:rPr>
          <w:rFonts w:ascii="Times New Roman" w:hAnsi="Times New Roman"/>
          <w:i/>
          <w:color w:val="0000FF"/>
          <w:spacing w:val="-7"/>
          <w:sz w:val="16"/>
        </w:rPr>
        <w:t> </w:t>
      </w:r>
      <w:r>
        <w:rPr>
          <w:rFonts w:ascii="Times New Roman" w:hAnsi="Times New Roman"/>
          <w:i/>
          <w:color w:val="0000FF"/>
          <w:sz w:val="16"/>
        </w:rPr>
        <w:t>23-04-</w:t>
      </w:r>
      <w:r>
        <w:rPr>
          <w:rFonts w:ascii="Times New Roman" w:hAnsi="Times New Roman"/>
          <w:i/>
          <w:color w:val="0000FF"/>
          <w:spacing w:val="-4"/>
          <w:sz w:val="16"/>
        </w:rPr>
        <w:t>2021</w:t>
      </w:r>
    </w:p>
    <w:p>
      <w:pPr>
        <w:pStyle w:val="BodyText"/>
        <w:spacing w:before="2"/>
        <w:rPr>
          <w:rFonts w:ascii="Times New Roman"/>
          <w:i/>
        </w:rPr>
      </w:pPr>
    </w:p>
    <w:p>
      <w:pPr>
        <w:spacing w:line="229" w:lineRule="exact" w:before="0"/>
        <w:ind w:left="626" w:right="0" w:firstLine="0"/>
        <w:jc w:val="left"/>
        <w:rPr>
          <w:sz w:val="20"/>
        </w:rPr>
      </w:pPr>
      <w:bookmarkStart w:name="Artículo_15_A" w:id="18"/>
      <w:bookmarkEnd w:id="18"/>
      <w:r>
        <w:rPr/>
      </w:r>
      <w:r>
        <w:rPr>
          <w:rFonts w:ascii="Arial" w:hAnsi="Arial"/>
          <w:b/>
          <w:sz w:val="20"/>
        </w:rPr>
        <w:t>Artículo</w:t>
      </w:r>
      <w:r>
        <w:rPr>
          <w:rFonts w:ascii="Arial" w:hAnsi="Arial"/>
          <w:b/>
          <w:spacing w:val="-6"/>
          <w:sz w:val="20"/>
        </w:rPr>
        <w:t> </w:t>
      </w:r>
      <w:r>
        <w:rPr>
          <w:rFonts w:ascii="Arial" w:hAnsi="Arial"/>
          <w:b/>
          <w:sz w:val="20"/>
        </w:rPr>
        <w:t>15-A.</w:t>
      </w:r>
      <w:r>
        <w:rPr>
          <w:rFonts w:ascii="Arial" w:hAnsi="Arial"/>
          <w:b/>
          <w:spacing w:val="-5"/>
          <w:sz w:val="20"/>
        </w:rPr>
        <w:t> </w:t>
      </w:r>
      <w:r>
        <w:rPr>
          <w:sz w:val="20"/>
        </w:rPr>
        <w:t>Se</w:t>
      </w:r>
      <w:r>
        <w:rPr>
          <w:spacing w:val="-6"/>
          <w:sz w:val="20"/>
        </w:rPr>
        <w:t> </w:t>
      </w:r>
      <w:r>
        <w:rPr>
          <w:spacing w:val="-2"/>
          <w:sz w:val="20"/>
        </w:rPr>
        <w:t>deroga.</w:t>
      </w:r>
    </w:p>
    <w:p>
      <w:pPr>
        <w:spacing w:line="183" w:lineRule="exact" w:before="0"/>
        <w:ind w:left="54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23-04-</w:t>
      </w:r>
      <w:r>
        <w:rPr>
          <w:rFonts w:ascii="Times New Roman" w:hAnsi="Times New Roman"/>
          <w:i/>
          <w:color w:val="0000FF"/>
          <w:spacing w:val="-4"/>
          <w:sz w:val="16"/>
        </w:rPr>
        <w:t>2021</w:t>
      </w:r>
    </w:p>
    <w:p>
      <w:pPr>
        <w:pStyle w:val="BodyText"/>
        <w:spacing w:before="1"/>
        <w:rPr>
          <w:rFonts w:ascii="Times New Roman"/>
          <w:i/>
        </w:rPr>
      </w:pPr>
    </w:p>
    <w:p>
      <w:pPr>
        <w:spacing w:before="0"/>
        <w:ind w:left="626" w:right="0" w:firstLine="0"/>
        <w:jc w:val="left"/>
        <w:rPr>
          <w:sz w:val="20"/>
        </w:rPr>
      </w:pPr>
      <w:bookmarkStart w:name="Artículo_15_B" w:id="19"/>
      <w:bookmarkEnd w:id="19"/>
      <w:r>
        <w:rPr/>
      </w:r>
      <w:r>
        <w:rPr>
          <w:rFonts w:ascii="Arial" w:hAnsi="Arial"/>
          <w:b/>
          <w:sz w:val="20"/>
        </w:rPr>
        <w:t>Artículo</w:t>
      </w:r>
      <w:r>
        <w:rPr>
          <w:rFonts w:ascii="Arial" w:hAnsi="Arial"/>
          <w:b/>
          <w:spacing w:val="-6"/>
          <w:sz w:val="20"/>
        </w:rPr>
        <w:t> </w:t>
      </w:r>
      <w:r>
        <w:rPr>
          <w:rFonts w:ascii="Arial" w:hAnsi="Arial"/>
          <w:b/>
          <w:sz w:val="20"/>
        </w:rPr>
        <w:t>15-B.</w:t>
      </w:r>
      <w:r>
        <w:rPr>
          <w:rFonts w:ascii="Arial" w:hAnsi="Arial"/>
          <w:b/>
          <w:spacing w:val="-4"/>
          <w:sz w:val="20"/>
        </w:rPr>
        <w:t> </w:t>
      </w:r>
      <w:r>
        <w:rPr>
          <w:sz w:val="20"/>
        </w:rPr>
        <w:t>Se</w:t>
      </w:r>
      <w:r>
        <w:rPr>
          <w:spacing w:val="-6"/>
          <w:sz w:val="20"/>
        </w:rPr>
        <w:t> </w:t>
      </w:r>
      <w:r>
        <w:rPr>
          <w:spacing w:val="-2"/>
          <w:sz w:val="20"/>
        </w:rPr>
        <w:t>deroga.</w:t>
      </w:r>
    </w:p>
    <w:p>
      <w:pPr>
        <w:spacing w:before="0"/>
        <w:ind w:left="54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23-04-</w:t>
      </w:r>
      <w:r>
        <w:rPr>
          <w:rFonts w:ascii="Times New Roman" w:hAnsi="Times New Roman"/>
          <w:i/>
          <w:color w:val="0000FF"/>
          <w:spacing w:val="-4"/>
          <w:sz w:val="16"/>
        </w:rPr>
        <w:t>2021</w:t>
      </w:r>
    </w:p>
    <w:p>
      <w:pPr>
        <w:spacing w:before="229"/>
        <w:ind w:left="626" w:right="0" w:firstLine="0"/>
        <w:jc w:val="left"/>
        <w:rPr>
          <w:sz w:val="20"/>
        </w:rPr>
      </w:pPr>
      <w:bookmarkStart w:name="Artículo_15_C" w:id="20"/>
      <w:bookmarkEnd w:id="20"/>
      <w:r>
        <w:rPr/>
      </w:r>
      <w:r>
        <w:rPr>
          <w:rFonts w:ascii="Arial" w:hAnsi="Arial"/>
          <w:b/>
          <w:sz w:val="20"/>
        </w:rPr>
        <w:t>Artículo</w:t>
      </w:r>
      <w:r>
        <w:rPr>
          <w:rFonts w:ascii="Arial" w:hAnsi="Arial"/>
          <w:b/>
          <w:spacing w:val="-6"/>
          <w:sz w:val="20"/>
        </w:rPr>
        <w:t> </w:t>
      </w:r>
      <w:r>
        <w:rPr>
          <w:rFonts w:ascii="Arial" w:hAnsi="Arial"/>
          <w:b/>
          <w:sz w:val="20"/>
        </w:rPr>
        <w:t>15-C.</w:t>
      </w:r>
      <w:r>
        <w:rPr>
          <w:rFonts w:ascii="Arial" w:hAnsi="Arial"/>
          <w:b/>
          <w:spacing w:val="-4"/>
          <w:sz w:val="20"/>
        </w:rPr>
        <w:t> </w:t>
      </w:r>
      <w:r>
        <w:rPr>
          <w:sz w:val="20"/>
        </w:rPr>
        <w:t>Se</w:t>
      </w:r>
      <w:r>
        <w:rPr>
          <w:spacing w:val="-6"/>
          <w:sz w:val="20"/>
        </w:rPr>
        <w:t> </w:t>
      </w:r>
      <w:r>
        <w:rPr>
          <w:spacing w:val="-2"/>
          <w:sz w:val="20"/>
        </w:rPr>
        <w:t>deroga.</w:t>
      </w:r>
    </w:p>
    <w:p>
      <w:pPr>
        <w:spacing w:before="1"/>
        <w:ind w:left="54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23-04-</w:t>
      </w:r>
      <w:r>
        <w:rPr>
          <w:rFonts w:ascii="Times New Roman" w:hAnsi="Times New Roman"/>
          <w:i/>
          <w:color w:val="0000FF"/>
          <w:spacing w:val="-4"/>
          <w:sz w:val="16"/>
        </w:rPr>
        <w:t>2021</w:t>
      </w:r>
    </w:p>
    <w:p>
      <w:pPr>
        <w:pStyle w:val="BodyText"/>
        <w:spacing w:before="1"/>
        <w:rPr>
          <w:rFonts w:ascii="Times New Roman"/>
          <w:i/>
        </w:rPr>
      </w:pPr>
    </w:p>
    <w:p>
      <w:pPr>
        <w:spacing w:line="229" w:lineRule="exact" w:before="1"/>
        <w:ind w:left="626" w:right="0" w:firstLine="0"/>
        <w:jc w:val="left"/>
        <w:rPr>
          <w:sz w:val="20"/>
        </w:rPr>
      </w:pPr>
      <w:bookmarkStart w:name="Artículo_15_D" w:id="21"/>
      <w:bookmarkEnd w:id="21"/>
      <w:r>
        <w:rPr/>
      </w:r>
      <w:r>
        <w:rPr>
          <w:rFonts w:ascii="Arial" w:hAnsi="Arial"/>
          <w:b/>
          <w:sz w:val="20"/>
        </w:rPr>
        <w:t>Artículo</w:t>
      </w:r>
      <w:r>
        <w:rPr>
          <w:rFonts w:ascii="Arial" w:hAnsi="Arial"/>
          <w:b/>
          <w:spacing w:val="-6"/>
          <w:sz w:val="20"/>
        </w:rPr>
        <w:t> </w:t>
      </w:r>
      <w:r>
        <w:rPr>
          <w:rFonts w:ascii="Arial" w:hAnsi="Arial"/>
          <w:b/>
          <w:sz w:val="20"/>
        </w:rPr>
        <w:t>15-D.</w:t>
      </w:r>
      <w:r>
        <w:rPr>
          <w:rFonts w:ascii="Arial" w:hAnsi="Arial"/>
          <w:b/>
          <w:spacing w:val="-4"/>
          <w:sz w:val="20"/>
        </w:rPr>
        <w:t> </w:t>
      </w:r>
      <w:r>
        <w:rPr>
          <w:sz w:val="20"/>
        </w:rPr>
        <w:t>Se</w:t>
      </w:r>
      <w:r>
        <w:rPr>
          <w:spacing w:val="-6"/>
          <w:sz w:val="20"/>
        </w:rPr>
        <w:t> </w:t>
      </w:r>
      <w:r>
        <w:rPr>
          <w:spacing w:val="-2"/>
          <w:sz w:val="20"/>
        </w:rPr>
        <w:t>deroga.</w:t>
      </w:r>
    </w:p>
    <w:p>
      <w:pPr>
        <w:spacing w:line="183" w:lineRule="exact" w:before="0"/>
        <w:ind w:left="54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23-04-</w:t>
      </w:r>
      <w:r>
        <w:rPr>
          <w:rFonts w:ascii="Times New Roman" w:hAnsi="Times New Roman"/>
          <w:i/>
          <w:color w:val="0000FF"/>
          <w:spacing w:val="-4"/>
          <w:sz w:val="16"/>
        </w:rPr>
        <w:t>2021</w:t>
      </w:r>
    </w:p>
    <w:p>
      <w:pPr>
        <w:pStyle w:val="BodyText"/>
        <w:spacing w:before="1"/>
        <w:rPr>
          <w:rFonts w:ascii="Times New Roman"/>
          <w:i/>
        </w:rPr>
      </w:pPr>
    </w:p>
    <w:p>
      <w:pPr>
        <w:pStyle w:val="BodyText"/>
        <w:ind w:left="338" w:right="343" w:firstLine="288"/>
        <w:jc w:val="both"/>
      </w:pPr>
      <w:bookmarkStart w:name="Artículo_16" w:id="22"/>
      <w:bookmarkEnd w:id="22"/>
      <w:r>
        <w:rPr/>
      </w:r>
      <w:r>
        <w:rPr>
          <w:rFonts w:ascii="Arial" w:hAnsi="Arial"/>
          <w:b/>
        </w:rPr>
        <w:t>Artículo 16.- </w:t>
      </w:r>
      <w:r>
        <w:rPr/>
        <w:t>Para los efectos de las normas de trabajo, se entiende por empresa la unidad</w:t>
      </w:r>
      <w:r>
        <w:rPr>
          <w:spacing w:val="40"/>
        </w:rPr>
        <w:t> </w:t>
      </w:r>
      <w:r>
        <w:rPr/>
        <w:t>económica de producción o distribución de bienes o servicios y por establecimiento la unidad técnica que como sucursal, agencia u otra forma semejante, sea parte integrante y contribuya a la realización de los fines de la empresa.</w:t>
      </w:r>
    </w:p>
    <w:p>
      <w:pPr>
        <w:pStyle w:val="BodyText"/>
      </w:pPr>
    </w:p>
    <w:p>
      <w:pPr>
        <w:pStyle w:val="BodyText"/>
        <w:ind w:left="338" w:right="341" w:firstLine="288"/>
        <w:jc w:val="both"/>
      </w:pPr>
      <w:bookmarkStart w:name="Artículo_17" w:id="23"/>
      <w:bookmarkEnd w:id="23"/>
      <w:r>
        <w:rPr/>
      </w:r>
      <w:r>
        <w:rPr>
          <w:rFonts w:ascii="Arial" w:hAnsi="Arial"/>
          <w:b/>
        </w:rPr>
        <w:t>Artículo 17.- </w:t>
      </w:r>
      <w:r>
        <w:rPr/>
        <w:t>A falta de disposición expresa en la Constitución, en esa Ley o en sus Reglamentos, o</w:t>
      </w:r>
      <w:r>
        <w:rPr>
          <w:spacing w:val="40"/>
        </w:rPr>
        <w:t> </w:t>
      </w:r>
      <w:r>
        <w:rPr/>
        <w:t>en los tratados a que se refiere el artículo 6o., se tomarán en consideración sus disposiciones que</w:t>
      </w:r>
      <w:r>
        <w:rPr>
          <w:spacing w:val="40"/>
        </w:rPr>
        <w:t> </w:t>
      </w:r>
      <w:r>
        <w:rPr/>
        <w:t>regulen casos semejantes, los principios generales que deriven de dichos ordenamientos, los principios generales del derecho, los principios generales de justicia social que derivan del artículo 123 de la Constitución, la jurisprudencia, la costumbre y la equidad.</w:t>
      </w:r>
    </w:p>
    <w:p>
      <w:pPr>
        <w:pStyle w:val="BodyText"/>
      </w:pPr>
    </w:p>
    <w:p>
      <w:pPr>
        <w:pStyle w:val="BodyText"/>
        <w:spacing w:line="242" w:lineRule="auto"/>
        <w:ind w:left="338" w:right="343" w:firstLine="288"/>
        <w:jc w:val="both"/>
      </w:pPr>
      <w:bookmarkStart w:name="Artículo_18" w:id="24"/>
      <w:bookmarkEnd w:id="24"/>
      <w:r>
        <w:rPr/>
      </w:r>
      <w:r>
        <w:rPr>
          <w:rFonts w:ascii="Arial" w:hAnsi="Arial"/>
          <w:b/>
        </w:rPr>
        <w:t>Artículo 18.- </w:t>
      </w:r>
      <w:r>
        <w:rPr/>
        <w:t>En la interpretación de las normas de trabajo se tomarán en consideración sus finalidades señaladas en los artículos 2o. y 3o. En caso de duda, prevalecerá la interpretación más favorable al trabajador.</w:t>
      </w:r>
    </w:p>
    <w:p>
      <w:pPr>
        <w:pStyle w:val="BodyText"/>
        <w:spacing w:line="242" w:lineRule="auto" w:before="223"/>
        <w:ind w:left="338" w:right="342" w:firstLine="288"/>
        <w:jc w:val="both"/>
      </w:pPr>
      <w:bookmarkStart w:name="Artículo_19" w:id="25"/>
      <w:bookmarkEnd w:id="25"/>
      <w:r>
        <w:rPr/>
      </w:r>
      <w:r>
        <w:rPr>
          <w:rFonts w:ascii="Arial" w:hAnsi="Arial"/>
          <w:b/>
        </w:rPr>
        <w:t>Artículo 19.- </w:t>
      </w:r>
      <w:r>
        <w:rPr/>
        <w:t>Todos los actos y actuaciones que se relacionen con la aplicación de las normas de trabajo no causarán impuesto alguno.</w:t>
      </w:r>
    </w:p>
    <w:p>
      <w:pPr>
        <w:pStyle w:val="Heading1"/>
        <w:spacing w:line="252" w:lineRule="exact" w:before="224"/>
        <w:ind w:left="298"/>
      </w:pPr>
      <w:r>
        <w:rPr/>
        <w:t>TITULO</w:t>
      </w:r>
      <w:r>
        <w:rPr>
          <w:spacing w:val="-4"/>
        </w:rPr>
        <w:t> </w:t>
      </w:r>
      <w:r>
        <w:rPr>
          <w:spacing w:val="-2"/>
        </w:rPr>
        <w:t>SEGUNDO</w:t>
      </w:r>
    </w:p>
    <w:p>
      <w:pPr>
        <w:spacing w:line="252" w:lineRule="exact" w:before="0"/>
        <w:ind w:left="297" w:right="296" w:firstLine="0"/>
        <w:jc w:val="center"/>
        <w:rPr>
          <w:rFonts w:ascii="Arial"/>
          <w:b/>
          <w:sz w:val="22"/>
        </w:rPr>
      </w:pPr>
      <w:r>
        <w:rPr>
          <w:rFonts w:ascii="Arial"/>
          <w:b/>
          <w:sz w:val="22"/>
        </w:rPr>
        <w:t>Relaciones</w:t>
      </w:r>
      <w:r>
        <w:rPr>
          <w:rFonts w:ascii="Arial"/>
          <w:b/>
          <w:spacing w:val="-9"/>
          <w:sz w:val="22"/>
        </w:rPr>
        <w:t> </w:t>
      </w:r>
      <w:r>
        <w:rPr>
          <w:rFonts w:ascii="Arial"/>
          <w:b/>
          <w:sz w:val="22"/>
        </w:rPr>
        <w:t>Individuales</w:t>
      </w:r>
      <w:r>
        <w:rPr>
          <w:rFonts w:ascii="Arial"/>
          <w:b/>
          <w:spacing w:val="-7"/>
          <w:sz w:val="22"/>
        </w:rPr>
        <w:t> </w:t>
      </w:r>
      <w:r>
        <w:rPr>
          <w:rFonts w:ascii="Arial"/>
          <w:b/>
          <w:sz w:val="22"/>
        </w:rPr>
        <w:t>de</w:t>
      </w:r>
      <w:r>
        <w:rPr>
          <w:rFonts w:ascii="Arial"/>
          <w:b/>
          <w:spacing w:val="-6"/>
          <w:sz w:val="22"/>
        </w:rPr>
        <w:t> </w:t>
      </w:r>
      <w:r>
        <w:rPr>
          <w:rFonts w:ascii="Arial"/>
          <w:b/>
          <w:spacing w:val="-2"/>
          <w:sz w:val="22"/>
        </w:rPr>
        <w:t>Trabajo</w:t>
      </w:r>
    </w:p>
    <w:p>
      <w:pPr>
        <w:pStyle w:val="BodyText"/>
        <w:spacing w:before="1"/>
        <w:rPr>
          <w:rFonts w:ascii="Arial"/>
          <w:b/>
          <w:sz w:val="22"/>
        </w:rPr>
      </w:pPr>
    </w:p>
    <w:p>
      <w:pPr>
        <w:pStyle w:val="Heading1"/>
        <w:spacing w:line="252" w:lineRule="exact"/>
      </w:pPr>
      <w:r>
        <w:rPr/>
        <w:t>CAPITULO</w:t>
      </w:r>
      <w:r>
        <w:rPr>
          <w:spacing w:val="-9"/>
        </w:rPr>
        <w:t> </w:t>
      </w:r>
      <w:r>
        <w:rPr>
          <w:spacing w:val="-12"/>
        </w:rPr>
        <w:t>I</w:t>
      </w:r>
    </w:p>
    <w:p>
      <w:pPr>
        <w:pStyle w:val="Heading2"/>
        <w:spacing w:line="252" w:lineRule="exact"/>
        <w:ind w:left="296"/>
      </w:pPr>
      <w:r>
        <w:rPr/>
        <w:t>Disposiciones</w:t>
      </w:r>
      <w:r>
        <w:rPr>
          <w:spacing w:val="-12"/>
        </w:rPr>
        <w:t> </w:t>
      </w:r>
      <w:r>
        <w:rPr>
          <w:spacing w:val="-2"/>
        </w:rPr>
        <w:t>generales</w:t>
      </w:r>
    </w:p>
    <w:p>
      <w:pPr>
        <w:pStyle w:val="BodyText"/>
        <w:spacing w:before="234"/>
        <w:ind w:left="338" w:right="347" w:firstLine="288"/>
        <w:jc w:val="both"/>
      </w:pPr>
      <w:bookmarkStart w:name="Artículo_20" w:id="26"/>
      <w:bookmarkEnd w:id="26"/>
      <w:r>
        <w:rPr/>
      </w:r>
      <w:r>
        <w:rPr>
          <w:rFonts w:ascii="Arial" w:hAnsi="Arial"/>
          <w:b/>
        </w:rPr>
        <w:t>Artículo 20.- </w:t>
      </w:r>
      <w:r>
        <w:rPr/>
        <w:t>Se entiende por relación de trabajo, cualquiera que sea el acto que le dé origen, la prestación de un trabajo personal subordinado a una persona, mediante el pago de un salario.</w:t>
      </w:r>
    </w:p>
    <w:p>
      <w:pPr>
        <w:pStyle w:val="BodyText"/>
        <w:spacing w:before="1"/>
      </w:pPr>
    </w:p>
    <w:p>
      <w:pPr>
        <w:pStyle w:val="BodyText"/>
        <w:ind w:left="338" w:right="335" w:firstLine="288"/>
        <w:jc w:val="both"/>
      </w:pPr>
      <w:r>
        <w:rPr/>
        <w:t>Contrato individual de trabajo, cualquiera que sea su forma o denominación, es aquel por virtud del cual una persona se obliga a prestar a otra un trabajo personal subordinado, mediante el pago de un </w:t>
      </w:r>
      <w:r>
        <w:rPr>
          <w:spacing w:val="-2"/>
        </w:rPr>
        <w:t>salario.</w:t>
      </w:r>
    </w:p>
    <w:p>
      <w:pPr>
        <w:pStyle w:val="BodyText"/>
        <w:spacing w:before="230"/>
        <w:ind w:left="338" w:right="350" w:firstLine="288"/>
        <w:jc w:val="both"/>
      </w:pPr>
      <w:r>
        <w:rPr/>
        <w:t>La prestación de un trabajo a que se refiere el párrafo primero y el contrato celebrado producen los mismos efectos.</w:t>
      </w:r>
    </w:p>
    <w:p>
      <w:pPr>
        <w:pStyle w:val="BodyText"/>
        <w:spacing w:line="242" w:lineRule="auto" w:before="228"/>
        <w:ind w:left="338" w:right="347" w:firstLine="288"/>
        <w:jc w:val="both"/>
      </w:pPr>
      <w:bookmarkStart w:name="Artículo_21" w:id="27"/>
      <w:bookmarkEnd w:id="27"/>
      <w:r>
        <w:rPr/>
      </w:r>
      <w:r>
        <w:rPr>
          <w:rFonts w:ascii="Arial" w:hAnsi="Arial"/>
          <w:b/>
        </w:rPr>
        <w:t>Artículo 21.- </w:t>
      </w:r>
      <w:r>
        <w:rPr/>
        <w:t>Se presumen la existencia del contrato y de la relación de trabajo entre el que presta un trabajo personal y el que lo recibe.</w:t>
      </w:r>
    </w:p>
    <w:p>
      <w:pPr>
        <w:pStyle w:val="BodyText"/>
        <w:spacing w:after="0" w:line="242" w:lineRule="auto"/>
        <w:jc w:val="both"/>
        <w:sectPr>
          <w:pgSz w:w="12240" w:h="15840"/>
          <w:pgMar w:header="724" w:footer="712" w:top="1880" w:bottom="900" w:left="1080" w:right="1080"/>
        </w:sectPr>
      </w:pPr>
    </w:p>
    <w:p>
      <w:pPr>
        <w:pStyle w:val="BodyText"/>
        <w:spacing w:before="63"/>
      </w:pPr>
    </w:p>
    <w:p>
      <w:pPr>
        <w:pStyle w:val="BodyText"/>
        <w:spacing w:line="242" w:lineRule="auto"/>
        <w:ind w:left="338" w:right="345" w:firstLine="288"/>
        <w:jc w:val="both"/>
      </w:pPr>
      <w:bookmarkStart w:name="Artículo_22" w:id="28"/>
      <w:bookmarkEnd w:id="28"/>
      <w:r>
        <w:rPr/>
      </w:r>
      <w:r>
        <w:rPr>
          <w:rFonts w:ascii="Arial" w:hAnsi="Arial"/>
          <w:b/>
        </w:rPr>
        <w:t>Artículo</w:t>
      </w:r>
      <w:r>
        <w:rPr>
          <w:rFonts w:ascii="Arial" w:hAnsi="Arial"/>
          <w:b/>
          <w:spacing w:val="-1"/>
        </w:rPr>
        <w:t> </w:t>
      </w:r>
      <w:r>
        <w:rPr>
          <w:rFonts w:ascii="Arial" w:hAnsi="Arial"/>
          <w:b/>
        </w:rPr>
        <w:t>22.</w:t>
      </w:r>
      <w:r>
        <w:rPr>
          <w:rFonts w:ascii="Arial" w:hAnsi="Arial"/>
          <w:b/>
          <w:spacing w:val="-1"/>
        </w:rPr>
        <w:t> </w:t>
      </w:r>
      <w:r>
        <w:rPr/>
        <w:t>Los</w:t>
      </w:r>
      <w:r>
        <w:rPr>
          <w:spacing w:val="-1"/>
        </w:rPr>
        <w:t> </w:t>
      </w:r>
      <w:r>
        <w:rPr/>
        <w:t>mayores de</w:t>
      </w:r>
      <w:r>
        <w:rPr>
          <w:spacing w:val="-3"/>
        </w:rPr>
        <w:t> </w:t>
      </w:r>
      <w:r>
        <w:rPr/>
        <w:t>quince años</w:t>
      </w:r>
      <w:r>
        <w:rPr>
          <w:spacing w:val="-1"/>
        </w:rPr>
        <w:t> </w:t>
      </w:r>
      <w:r>
        <w:rPr/>
        <w:t>pueden</w:t>
      </w:r>
      <w:r>
        <w:rPr>
          <w:spacing w:val="-2"/>
        </w:rPr>
        <w:t> </w:t>
      </w:r>
      <w:r>
        <w:rPr/>
        <w:t>prestar</w:t>
      </w:r>
      <w:r>
        <w:rPr>
          <w:spacing w:val="-1"/>
        </w:rPr>
        <w:t> </w:t>
      </w:r>
      <w:r>
        <w:rPr/>
        <w:t>libremente</w:t>
      </w:r>
      <w:r>
        <w:rPr>
          <w:spacing w:val="-2"/>
        </w:rPr>
        <w:t> </w:t>
      </w:r>
      <w:r>
        <w:rPr/>
        <w:t>sus</w:t>
      </w:r>
      <w:r>
        <w:rPr>
          <w:spacing w:val="-1"/>
        </w:rPr>
        <w:t> </w:t>
      </w:r>
      <w:r>
        <w:rPr/>
        <w:t>servicios</w:t>
      </w:r>
      <w:r>
        <w:rPr>
          <w:spacing w:val="-1"/>
        </w:rPr>
        <w:t> </w:t>
      </w:r>
      <w:r>
        <w:rPr/>
        <w:t>con</w:t>
      </w:r>
      <w:r>
        <w:rPr>
          <w:spacing w:val="-3"/>
        </w:rPr>
        <w:t> </w:t>
      </w:r>
      <w:r>
        <w:rPr/>
        <w:t>las limitaciones establecidas en esta Ley.</w:t>
      </w:r>
    </w:p>
    <w:p>
      <w:pPr>
        <w:pStyle w:val="BodyText"/>
        <w:spacing w:before="229"/>
        <w:ind w:left="338" w:right="346" w:firstLine="288"/>
        <w:jc w:val="both"/>
      </w:pPr>
      <w:r>
        <w:rPr/>
        <w:t>Los</w:t>
      </w:r>
      <w:r>
        <w:rPr>
          <w:spacing w:val="-3"/>
        </w:rPr>
        <w:t> </w:t>
      </w:r>
      <w:r>
        <w:rPr/>
        <w:t>mayores</w:t>
      </w:r>
      <w:r>
        <w:rPr>
          <w:spacing w:val="-2"/>
        </w:rPr>
        <w:t> </w:t>
      </w:r>
      <w:r>
        <w:rPr/>
        <w:t>de</w:t>
      </w:r>
      <w:r>
        <w:rPr>
          <w:spacing w:val="-2"/>
        </w:rPr>
        <w:t> </w:t>
      </w:r>
      <w:r>
        <w:rPr/>
        <w:t>quince y</w:t>
      </w:r>
      <w:r>
        <w:rPr>
          <w:spacing w:val="-7"/>
        </w:rPr>
        <w:t> </w:t>
      </w:r>
      <w:r>
        <w:rPr/>
        <w:t>menores de</w:t>
      </w:r>
      <w:r>
        <w:rPr>
          <w:spacing w:val="-3"/>
        </w:rPr>
        <w:t> </w:t>
      </w:r>
      <w:r>
        <w:rPr/>
        <w:t>dieciséis</w:t>
      </w:r>
      <w:r>
        <w:rPr>
          <w:spacing w:val="-1"/>
        </w:rPr>
        <w:t> </w:t>
      </w:r>
      <w:r>
        <w:rPr/>
        <w:t>necesitan</w:t>
      </w:r>
      <w:r>
        <w:rPr>
          <w:spacing w:val="-5"/>
        </w:rPr>
        <w:t> </w:t>
      </w:r>
      <w:r>
        <w:rPr/>
        <w:t>autorización</w:t>
      </w:r>
      <w:r>
        <w:rPr>
          <w:spacing w:val="-2"/>
        </w:rPr>
        <w:t> </w:t>
      </w:r>
      <w:r>
        <w:rPr/>
        <w:t>de</w:t>
      </w:r>
      <w:r>
        <w:rPr>
          <w:spacing w:val="-4"/>
        </w:rPr>
        <w:t> </w:t>
      </w:r>
      <w:r>
        <w:rPr/>
        <w:t>sus</w:t>
      </w:r>
      <w:r>
        <w:rPr>
          <w:spacing w:val="-1"/>
        </w:rPr>
        <w:t> </w:t>
      </w:r>
      <w:r>
        <w:rPr/>
        <w:t>padres</w:t>
      </w:r>
      <w:r>
        <w:rPr>
          <w:spacing w:val="-3"/>
        </w:rPr>
        <w:t> </w:t>
      </w:r>
      <w:r>
        <w:rPr/>
        <w:t>o</w:t>
      </w:r>
      <w:r>
        <w:rPr>
          <w:spacing w:val="-5"/>
        </w:rPr>
        <w:t> </w:t>
      </w:r>
      <w:r>
        <w:rPr/>
        <w:t>tutores y</w:t>
      </w:r>
      <w:r>
        <w:rPr>
          <w:spacing w:val="-5"/>
        </w:rPr>
        <w:t> </w:t>
      </w:r>
      <w:r>
        <w:rPr/>
        <w:t>a</w:t>
      </w:r>
      <w:r>
        <w:rPr>
          <w:spacing w:val="-4"/>
        </w:rPr>
        <w:t> </w:t>
      </w:r>
      <w:r>
        <w:rPr/>
        <w:t>falta de ellos, del sindicato a que pertenezcan, del Tribunal, del Inspector del Trabajo o de la Autoridad</w:t>
      </w:r>
      <w:r>
        <w:rPr>
          <w:spacing w:val="40"/>
        </w:rPr>
        <w:t> </w:t>
      </w:r>
      <w:r>
        <w:rPr>
          <w:spacing w:val="-2"/>
        </w:rPr>
        <w:t>Política.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338" w:right="357" w:firstLine="288"/>
      </w:pPr>
      <w:r>
        <w:rPr/>
        <w:t>Los menores trabajadores deben percibir el pago de sus salarios y ejercitar, en su caso, las acciones que les correspondan.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338" w:right="346" w:firstLine="288"/>
        <w:jc w:val="both"/>
      </w:pPr>
      <w:bookmarkStart w:name="Artículo_22_Bis" w:id="29"/>
      <w:bookmarkEnd w:id="29"/>
      <w:r>
        <w:rPr/>
      </w:r>
      <w:r>
        <w:rPr>
          <w:rFonts w:ascii="Arial" w:hAnsi="Arial"/>
          <w:b/>
        </w:rPr>
        <w:t>Artículo 22 Bis. </w:t>
      </w:r>
      <w:r>
        <w:rPr/>
        <w:t>Queda prohibido el trabajo de menores de quince años; no podrá utilizarse el trabajo de mayores de esta edad y menores de dieciocho años que no hayan terminado su educación básica obligatoria, salvo los casos que apruebe la autoridad laboral correspondiente en que a su juicio haya compatibilidad entre los estudios y el trabajo.</w:t>
      </w:r>
    </w:p>
    <w:p>
      <w:pPr>
        <w:spacing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338" w:right="343" w:firstLine="288"/>
        <w:jc w:val="both"/>
      </w:pPr>
      <w:bookmarkStart w:name="Artículo_23" w:id="30"/>
      <w:bookmarkEnd w:id="30"/>
      <w:r>
        <w:rPr/>
      </w:r>
      <w:r>
        <w:rPr>
          <w:rFonts w:ascii="Arial" w:hAnsi="Arial"/>
          <w:b/>
        </w:rPr>
        <w:t>Artículo 23. </w:t>
      </w:r>
      <w:r>
        <w:rPr/>
        <w:t>Cuando las autoridades del trabajo detecten trabajando a un menor</w:t>
      </w:r>
      <w:r>
        <w:rPr>
          <w:spacing w:val="-1"/>
        </w:rPr>
        <w:t> </w:t>
      </w:r>
      <w:r>
        <w:rPr/>
        <w:t>de quince años fuera del círculo familiar, ordenará que de inmediato cese en sus labores. Al patrón que incurra en esta conducta se le sancionará con la pena establecida en el artículo 995 Bis de esta Ley.</w:t>
      </w:r>
    </w:p>
    <w:p>
      <w:pPr>
        <w:pStyle w:val="BodyText"/>
        <w:spacing w:before="2"/>
      </w:pPr>
    </w:p>
    <w:p>
      <w:pPr>
        <w:pStyle w:val="BodyText"/>
        <w:ind w:left="338" w:right="350" w:firstLine="288"/>
        <w:jc w:val="both"/>
      </w:pPr>
      <w:r>
        <w:rPr/>
        <w:t>En caso de que el menor no estuviere devengando el salario que perciba un trabajador que preste los mismos servicios, el patrón deberá resarcirle las diferencias.</w:t>
      </w:r>
    </w:p>
    <w:p>
      <w:pPr>
        <w:pStyle w:val="BodyText"/>
        <w:spacing w:before="1"/>
      </w:pPr>
    </w:p>
    <w:p>
      <w:pPr>
        <w:pStyle w:val="BodyText"/>
        <w:ind w:left="338" w:right="344" w:firstLine="288"/>
        <w:jc w:val="both"/>
      </w:pPr>
      <w:r>
        <w:rPr/>
        <w:t>Queda prohibido el trabajo de menores de dieciocho años dentro del círculo familiar en cualquier tipo de</w:t>
      </w:r>
      <w:r>
        <w:rPr>
          <w:spacing w:val="-2"/>
        </w:rPr>
        <w:t> </w:t>
      </w:r>
      <w:r>
        <w:rPr/>
        <w:t>actividad que resulte peligrosa para su</w:t>
      </w:r>
      <w:r>
        <w:rPr>
          <w:spacing w:val="-1"/>
        </w:rPr>
        <w:t> </w:t>
      </w:r>
      <w:r>
        <w:rPr/>
        <w:t>salud, su</w:t>
      </w:r>
      <w:r>
        <w:rPr>
          <w:spacing w:val="-1"/>
        </w:rPr>
        <w:t> </w:t>
      </w:r>
      <w:r>
        <w:rPr/>
        <w:t>seguridad o</w:t>
      </w:r>
      <w:r>
        <w:rPr>
          <w:spacing w:val="-1"/>
        </w:rPr>
        <w:t> </w:t>
      </w:r>
      <w:r>
        <w:rPr/>
        <w:t>su moralidad,</w:t>
      </w:r>
      <w:r>
        <w:rPr>
          <w:spacing w:val="-1"/>
        </w:rPr>
        <w:t> </w:t>
      </w:r>
      <w:r>
        <w:rPr/>
        <w:t>o que</w:t>
      </w:r>
      <w:r>
        <w:rPr>
          <w:spacing w:val="-2"/>
        </w:rPr>
        <w:t> </w:t>
      </w:r>
      <w:r>
        <w:rPr/>
        <w:t>afecte el ejercicio de sus derechos y, con ello, su desarrollo integral.</w:t>
      </w:r>
    </w:p>
    <w:p>
      <w:pPr>
        <w:pStyle w:val="BodyText"/>
      </w:pPr>
    </w:p>
    <w:p>
      <w:pPr>
        <w:pStyle w:val="BodyText"/>
        <w:ind w:left="338" w:right="345" w:firstLine="288"/>
        <w:jc w:val="both"/>
      </w:pPr>
      <w:r>
        <w:rPr/>
        <w:t>Se entenderá por círculo familiar a los parientes del menor, por consanguinidad, ascendientes o colaterales; hasta el segundo grado.</w:t>
      </w:r>
    </w:p>
    <w:p>
      <w:pPr>
        <w:pStyle w:val="BodyText"/>
        <w:spacing w:before="229"/>
        <w:ind w:left="338" w:right="343" w:firstLine="288"/>
        <w:jc w:val="both"/>
      </w:pPr>
      <w:r>
        <w:rPr/>
        <w:t>Cuando los menores de dieciocho años realicen alguna actividad productiva de autoconsumo, bajo la dirección</w:t>
      </w:r>
      <w:r>
        <w:rPr>
          <w:spacing w:val="-2"/>
        </w:rPr>
        <w:t> </w:t>
      </w:r>
      <w:r>
        <w:rPr/>
        <w:t>de</w:t>
      </w:r>
      <w:r>
        <w:rPr>
          <w:spacing w:val="-2"/>
        </w:rPr>
        <w:t> </w:t>
      </w:r>
      <w:r>
        <w:rPr/>
        <w:t>integrantes de su círculo</w:t>
      </w:r>
      <w:r>
        <w:rPr>
          <w:spacing w:val="-2"/>
        </w:rPr>
        <w:t> </w:t>
      </w:r>
      <w:r>
        <w:rPr/>
        <w:t>familiar o</w:t>
      </w:r>
      <w:r>
        <w:rPr>
          <w:spacing w:val="-2"/>
        </w:rPr>
        <w:t> </w:t>
      </w:r>
      <w:r>
        <w:rPr/>
        <w:t>tutores,</w:t>
      </w:r>
      <w:r>
        <w:rPr>
          <w:spacing w:val="-2"/>
        </w:rPr>
        <w:t> </w:t>
      </w:r>
      <w:r>
        <w:rPr/>
        <w:t>éstos</w:t>
      </w:r>
      <w:r>
        <w:rPr>
          <w:spacing w:val="-1"/>
        </w:rPr>
        <w:t> </w:t>
      </w:r>
      <w:r>
        <w:rPr/>
        <w:t>tendrán la obligación</w:t>
      </w:r>
      <w:r>
        <w:rPr>
          <w:spacing w:val="-3"/>
        </w:rPr>
        <w:t> </w:t>
      </w:r>
      <w:r>
        <w:rPr/>
        <w:t>de</w:t>
      </w:r>
      <w:r>
        <w:rPr>
          <w:spacing w:val="-2"/>
        </w:rPr>
        <w:t> </w:t>
      </w:r>
      <w:r>
        <w:rPr/>
        <w:t>respetar y</w:t>
      </w:r>
      <w:r>
        <w:rPr>
          <w:spacing w:val="-5"/>
        </w:rPr>
        <w:t> </w:t>
      </w:r>
      <w:r>
        <w:rPr/>
        <w:t>proteger los derechos humanos de los menores y brindar el apoyo y las facilidades necesarias para que los mismos concluyan, por lo menos, su educación básica obligatoria.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7"/>
        <w:rPr>
          <w:rFonts w:ascii="Times New Roman"/>
          <w:i/>
          <w:sz w:val="16"/>
        </w:rPr>
      </w:pPr>
    </w:p>
    <w:p>
      <w:pPr>
        <w:pStyle w:val="BodyText"/>
        <w:spacing w:line="242" w:lineRule="auto"/>
        <w:ind w:left="338" w:right="345" w:firstLine="288"/>
        <w:jc w:val="both"/>
      </w:pPr>
      <w:bookmarkStart w:name="Artículo_24" w:id="31"/>
      <w:bookmarkEnd w:id="31"/>
      <w:r>
        <w:rPr/>
      </w:r>
      <w:r>
        <w:rPr>
          <w:rFonts w:ascii="Arial" w:hAnsi="Arial"/>
          <w:b/>
        </w:rPr>
        <w:t>Artículo 24.- </w:t>
      </w:r>
      <w:r>
        <w:rPr/>
        <w:t>Las condiciones de trabajo deben hacerse constar por escrito cuando no existan contratos colectivos aplicables. Se harán dos ejemplares, por lo menos, de los cuales quedará uno en poder de cada parte.</w:t>
      </w:r>
    </w:p>
    <w:p>
      <w:pPr>
        <w:pStyle w:val="BodyText"/>
        <w:spacing w:before="222"/>
        <w:ind w:left="626"/>
      </w:pPr>
      <w:bookmarkStart w:name="Artículo_25" w:id="32"/>
      <w:bookmarkEnd w:id="32"/>
      <w:r>
        <w:rPr/>
      </w:r>
      <w:r>
        <w:rPr>
          <w:rFonts w:ascii="Arial" w:hAnsi="Arial"/>
          <w:b/>
        </w:rPr>
        <w:t>Artículo</w:t>
      </w:r>
      <w:r>
        <w:rPr>
          <w:rFonts w:ascii="Arial" w:hAnsi="Arial"/>
          <w:b/>
          <w:spacing w:val="-7"/>
        </w:rPr>
        <w:t> </w:t>
      </w:r>
      <w:r>
        <w:rPr>
          <w:rFonts w:ascii="Arial" w:hAnsi="Arial"/>
          <w:b/>
        </w:rPr>
        <w:t>25.-</w:t>
      </w:r>
      <w:r>
        <w:rPr>
          <w:rFonts w:ascii="Arial" w:hAnsi="Arial"/>
          <w:b/>
          <w:spacing w:val="-6"/>
        </w:rPr>
        <w:t> </w:t>
      </w:r>
      <w:r>
        <w:rPr/>
        <w:t>El</w:t>
      </w:r>
      <w:r>
        <w:rPr>
          <w:spacing w:val="-8"/>
        </w:rPr>
        <w:t> </w:t>
      </w:r>
      <w:r>
        <w:rPr/>
        <w:t>escrito</w:t>
      </w:r>
      <w:r>
        <w:rPr>
          <w:spacing w:val="-6"/>
        </w:rPr>
        <w:t> </w:t>
      </w:r>
      <w:r>
        <w:rPr/>
        <w:t>en</w:t>
      </w:r>
      <w:r>
        <w:rPr>
          <w:spacing w:val="-6"/>
        </w:rPr>
        <w:t> </w:t>
      </w:r>
      <w:r>
        <w:rPr/>
        <w:t>que</w:t>
      </w:r>
      <w:r>
        <w:rPr>
          <w:spacing w:val="-7"/>
        </w:rPr>
        <w:t> </w:t>
      </w:r>
      <w:r>
        <w:rPr/>
        <w:t>consten</w:t>
      </w:r>
      <w:r>
        <w:rPr>
          <w:spacing w:val="-6"/>
        </w:rPr>
        <w:t> </w:t>
      </w:r>
      <w:r>
        <w:rPr/>
        <w:t>las</w:t>
      </w:r>
      <w:r>
        <w:rPr>
          <w:spacing w:val="-7"/>
        </w:rPr>
        <w:t> </w:t>
      </w:r>
      <w:r>
        <w:rPr/>
        <w:t>condiciones</w:t>
      </w:r>
      <w:r>
        <w:rPr>
          <w:spacing w:val="-6"/>
        </w:rPr>
        <w:t> </w:t>
      </w:r>
      <w:r>
        <w:rPr/>
        <w:t>de</w:t>
      </w:r>
      <w:r>
        <w:rPr>
          <w:spacing w:val="-8"/>
        </w:rPr>
        <w:t> </w:t>
      </w:r>
      <w:r>
        <w:rPr/>
        <w:t>trabajo</w:t>
      </w:r>
      <w:r>
        <w:rPr>
          <w:spacing w:val="-7"/>
        </w:rPr>
        <w:t> </w:t>
      </w:r>
      <w:r>
        <w:rPr/>
        <w:t>deberá</w:t>
      </w:r>
      <w:r>
        <w:rPr>
          <w:spacing w:val="-7"/>
        </w:rPr>
        <w:t> </w:t>
      </w:r>
      <w:r>
        <w:rPr>
          <w:spacing w:val="-2"/>
        </w:rPr>
        <w:t>contener:</w:t>
      </w:r>
    </w:p>
    <w:p>
      <w:pPr>
        <w:pStyle w:val="BodyText"/>
        <w:spacing w:before="2"/>
      </w:pPr>
    </w:p>
    <w:p>
      <w:pPr>
        <w:pStyle w:val="ListParagraph"/>
        <w:numPr>
          <w:ilvl w:val="0"/>
          <w:numId w:val="4"/>
        </w:numPr>
        <w:tabs>
          <w:tab w:pos="1195" w:val="left" w:leader="none"/>
        </w:tabs>
        <w:spacing w:line="242" w:lineRule="auto" w:before="0" w:after="0"/>
        <w:ind w:left="1195" w:right="344" w:hanging="569"/>
        <w:jc w:val="left"/>
        <w:rPr>
          <w:sz w:val="20"/>
        </w:rPr>
      </w:pPr>
      <w:r>
        <w:rPr>
          <w:sz w:val="20"/>
        </w:rPr>
        <w:t>Nombre, nacionalidad, edad, sexo, estado civil, Clave Única de Registro de Población, Registro Federal de Contribuyentes y domicilio del trabajador y del patrón;</w:t>
      </w:r>
    </w:p>
    <w:p>
      <w:pPr>
        <w:spacing w:line="180"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4"/>
        </w:numPr>
        <w:tabs>
          <w:tab w:pos="1195" w:val="left" w:leader="none"/>
        </w:tabs>
        <w:spacing w:line="242" w:lineRule="auto" w:before="0" w:after="0"/>
        <w:ind w:left="1195" w:right="344" w:hanging="569"/>
        <w:jc w:val="left"/>
        <w:rPr>
          <w:sz w:val="20"/>
        </w:rPr>
      </w:pPr>
      <w:r>
        <w:rPr>
          <w:sz w:val="20"/>
        </w:rPr>
        <w:t>Si</w:t>
      </w:r>
      <w:r>
        <w:rPr>
          <w:spacing w:val="24"/>
          <w:sz w:val="20"/>
        </w:rPr>
        <w:t> </w:t>
      </w:r>
      <w:r>
        <w:rPr>
          <w:sz w:val="20"/>
        </w:rPr>
        <w:t>la</w:t>
      </w:r>
      <w:r>
        <w:rPr>
          <w:spacing w:val="24"/>
          <w:sz w:val="20"/>
        </w:rPr>
        <w:t> </w:t>
      </w:r>
      <w:r>
        <w:rPr>
          <w:sz w:val="20"/>
        </w:rPr>
        <w:t>relación</w:t>
      </w:r>
      <w:r>
        <w:rPr>
          <w:spacing w:val="22"/>
          <w:sz w:val="20"/>
        </w:rPr>
        <w:t> </w:t>
      </w:r>
      <w:r>
        <w:rPr>
          <w:sz w:val="20"/>
        </w:rPr>
        <w:t>de</w:t>
      </w:r>
      <w:r>
        <w:rPr>
          <w:spacing w:val="22"/>
          <w:sz w:val="20"/>
        </w:rPr>
        <w:t> </w:t>
      </w:r>
      <w:r>
        <w:rPr>
          <w:sz w:val="20"/>
        </w:rPr>
        <w:t>trabajo</w:t>
      </w:r>
      <w:r>
        <w:rPr>
          <w:spacing w:val="22"/>
          <w:sz w:val="20"/>
        </w:rPr>
        <w:t> </w:t>
      </w:r>
      <w:r>
        <w:rPr>
          <w:sz w:val="20"/>
        </w:rPr>
        <w:t>es</w:t>
      </w:r>
      <w:r>
        <w:rPr>
          <w:spacing w:val="23"/>
          <w:sz w:val="20"/>
        </w:rPr>
        <w:t> </w:t>
      </w:r>
      <w:r>
        <w:rPr>
          <w:sz w:val="20"/>
        </w:rPr>
        <w:t>para</w:t>
      </w:r>
      <w:r>
        <w:rPr>
          <w:spacing w:val="24"/>
          <w:sz w:val="20"/>
        </w:rPr>
        <w:t> </w:t>
      </w:r>
      <w:r>
        <w:rPr>
          <w:sz w:val="20"/>
        </w:rPr>
        <w:t>obra</w:t>
      </w:r>
      <w:r>
        <w:rPr>
          <w:spacing w:val="24"/>
          <w:sz w:val="20"/>
        </w:rPr>
        <w:t> </w:t>
      </w:r>
      <w:r>
        <w:rPr>
          <w:sz w:val="20"/>
        </w:rPr>
        <w:t>o</w:t>
      </w:r>
      <w:r>
        <w:rPr>
          <w:spacing w:val="22"/>
          <w:sz w:val="20"/>
        </w:rPr>
        <w:t> </w:t>
      </w:r>
      <w:r>
        <w:rPr>
          <w:sz w:val="20"/>
        </w:rPr>
        <w:t>tiempo</w:t>
      </w:r>
      <w:r>
        <w:rPr>
          <w:spacing w:val="22"/>
          <w:sz w:val="20"/>
        </w:rPr>
        <w:t> </w:t>
      </w:r>
      <w:r>
        <w:rPr>
          <w:sz w:val="20"/>
        </w:rPr>
        <w:t>determinado,</w:t>
      </w:r>
      <w:r>
        <w:rPr>
          <w:spacing w:val="24"/>
          <w:sz w:val="20"/>
        </w:rPr>
        <w:t> </w:t>
      </w:r>
      <w:r>
        <w:rPr>
          <w:sz w:val="20"/>
        </w:rPr>
        <w:t>por</w:t>
      </w:r>
      <w:r>
        <w:rPr>
          <w:spacing w:val="25"/>
          <w:sz w:val="20"/>
        </w:rPr>
        <w:t> </w:t>
      </w:r>
      <w:r>
        <w:rPr>
          <w:sz w:val="20"/>
        </w:rPr>
        <w:t>temporada,</w:t>
      </w:r>
      <w:r>
        <w:rPr>
          <w:spacing w:val="24"/>
          <w:sz w:val="20"/>
        </w:rPr>
        <w:t> </w:t>
      </w:r>
      <w:r>
        <w:rPr>
          <w:sz w:val="20"/>
        </w:rPr>
        <w:t>de</w:t>
      </w:r>
      <w:r>
        <w:rPr>
          <w:spacing w:val="22"/>
          <w:sz w:val="20"/>
        </w:rPr>
        <w:t> </w:t>
      </w:r>
      <w:r>
        <w:rPr>
          <w:sz w:val="20"/>
        </w:rPr>
        <w:t>capacitación inicial o por tiempo indeterminado y, en su caso, si está sujeta a un periodo de prueba;</w:t>
      </w:r>
    </w:p>
    <w:p>
      <w:pPr>
        <w:spacing w:line="180"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4"/>
        <w:rPr>
          <w:rFonts w:ascii="Times New Roman"/>
          <w:i/>
          <w:sz w:val="16"/>
        </w:rPr>
      </w:pPr>
    </w:p>
    <w:p>
      <w:pPr>
        <w:pStyle w:val="ListParagraph"/>
        <w:numPr>
          <w:ilvl w:val="0"/>
          <w:numId w:val="4"/>
        </w:numPr>
        <w:tabs>
          <w:tab w:pos="1195" w:val="left" w:leader="none"/>
        </w:tabs>
        <w:spacing w:line="242" w:lineRule="auto" w:before="1" w:after="0"/>
        <w:ind w:left="1195" w:right="343" w:hanging="569"/>
        <w:jc w:val="left"/>
        <w:rPr>
          <w:sz w:val="20"/>
        </w:rPr>
      </w:pPr>
      <w:r>
        <w:rPr>
          <w:sz w:val="20"/>
        </w:rPr>
        <w:t>El</w:t>
      </w:r>
      <w:r>
        <w:rPr>
          <w:spacing w:val="26"/>
          <w:sz w:val="20"/>
        </w:rPr>
        <w:t> </w:t>
      </w:r>
      <w:r>
        <w:rPr>
          <w:sz w:val="20"/>
        </w:rPr>
        <w:t>servicio</w:t>
      </w:r>
      <w:r>
        <w:rPr>
          <w:spacing w:val="26"/>
          <w:sz w:val="20"/>
        </w:rPr>
        <w:t> </w:t>
      </w:r>
      <w:r>
        <w:rPr>
          <w:sz w:val="20"/>
        </w:rPr>
        <w:t>o</w:t>
      </w:r>
      <w:r>
        <w:rPr>
          <w:spacing w:val="26"/>
          <w:sz w:val="20"/>
        </w:rPr>
        <w:t> </w:t>
      </w:r>
      <w:r>
        <w:rPr>
          <w:sz w:val="20"/>
        </w:rPr>
        <w:t>servicios</w:t>
      </w:r>
      <w:r>
        <w:rPr>
          <w:spacing w:val="27"/>
          <w:sz w:val="20"/>
        </w:rPr>
        <w:t> </w:t>
      </w:r>
      <w:r>
        <w:rPr>
          <w:sz w:val="20"/>
        </w:rPr>
        <w:t>que</w:t>
      </w:r>
      <w:r>
        <w:rPr>
          <w:spacing w:val="28"/>
          <w:sz w:val="20"/>
        </w:rPr>
        <w:t> </w:t>
      </w:r>
      <w:r>
        <w:rPr>
          <w:sz w:val="20"/>
        </w:rPr>
        <w:t>deban</w:t>
      </w:r>
      <w:r>
        <w:rPr>
          <w:spacing w:val="26"/>
          <w:sz w:val="20"/>
        </w:rPr>
        <w:t> </w:t>
      </w:r>
      <w:r>
        <w:rPr>
          <w:sz w:val="20"/>
        </w:rPr>
        <w:t>prestarse,</w:t>
      </w:r>
      <w:r>
        <w:rPr>
          <w:spacing w:val="28"/>
          <w:sz w:val="20"/>
        </w:rPr>
        <w:t> </w:t>
      </w:r>
      <w:r>
        <w:rPr>
          <w:sz w:val="20"/>
        </w:rPr>
        <w:t>los</w:t>
      </w:r>
      <w:r>
        <w:rPr>
          <w:spacing w:val="27"/>
          <w:sz w:val="20"/>
        </w:rPr>
        <w:t> </w:t>
      </w:r>
      <w:r>
        <w:rPr>
          <w:sz w:val="20"/>
        </w:rPr>
        <w:t>que</w:t>
      </w:r>
      <w:r>
        <w:rPr>
          <w:spacing w:val="28"/>
          <w:sz w:val="20"/>
        </w:rPr>
        <w:t> </w:t>
      </w:r>
      <w:r>
        <w:rPr>
          <w:sz w:val="20"/>
        </w:rPr>
        <w:t>se</w:t>
      </w:r>
      <w:r>
        <w:rPr>
          <w:spacing w:val="26"/>
          <w:sz w:val="20"/>
        </w:rPr>
        <w:t> </w:t>
      </w:r>
      <w:r>
        <w:rPr>
          <w:sz w:val="20"/>
        </w:rPr>
        <w:t>determinarán</w:t>
      </w:r>
      <w:r>
        <w:rPr>
          <w:spacing w:val="26"/>
          <w:sz w:val="20"/>
        </w:rPr>
        <w:t> </w:t>
      </w:r>
      <w:r>
        <w:rPr>
          <w:sz w:val="20"/>
        </w:rPr>
        <w:t>con</w:t>
      </w:r>
      <w:r>
        <w:rPr>
          <w:spacing w:val="26"/>
          <w:sz w:val="20"/>
        </w:rPr>
        <w:t> </w:t>
      </w:r>
      <w:r>
        <w:rPr>
          <w:sz w:val="20"/>
        </w:rPr>
        <w:t>la</w:t>
      </w:r>
      <w:r>
        <w:rPr>
          <w:spacing w:val="29"/>
          <w:sz w:val="20"/>
        </w:rPr>
        <w:t> </w:t>
      </w:r>
      <w:r>
        <w:rPr>
          <w:sz w:val="20"/>
        </w:rPr>
        <w:t>mayor</w:t>
      </w:r>
      <w:r>
        <w:rPr>
          <w:spacing w:val="27"/>
          <w:sz w:val="20"/>
        </w:rPr>
        <w:t> </w:t>
      </w:r>
      <w:r>
        <w:rPr>
          <w:sz w:val="20"/>
        </w:rPr>
        <w:t>precisión </w:t>
      </w:r>
      <w:r>
        <w:rPr>
          <w:spacing w:val="-2"/>
          <w:sz w:val="20"/>
        </w:rPr>
        <w:t>posible;</w:t>
      </w:r>
    </w:p>
    <w:p>
      <w:pPr>
        <w:pStyle w:val="ListParagraph"/>
        <w:spacing w:after="0" w:line="242" w:lineRule="auto"/>
        <w:jc w:val="left"/>
        <w:rPr>
          <w:sz w:val="20"/>
        </w:rPr>
        <w:sectPr>
          <w:pgSz w:w="12240" w:h="15840"/>
          <w:pgMar w:header="724" w:footer="712" w:top="1880" w:bottom="900" w:left="1080" w:right="1080"/>
        </w:sectPr>
      </w:pPr>
    </w:p>
    <w:p>
      <w:pPr>
        <w:pStyle w:val="BodyText"/>
      </w:pPr>
    </w:p>
    <w:p>
      <w:pPr>
        <w:pStyle w:val="BodyText"/>
        <w:spacing w:before="63"/>
      </w:pPr>
    </w:p>
    <w:p>
      <w:pPr>
        <w:pStyle w:val="ListParagraph"/>
        <w:numPr>
          <w:ilvl w:val="0"/>
          <w:numId w:val="4"/>
        </w:numPr>
        <w:tabs>
          <w:tab w:pos="1195" w:val="left" w:leader="none"/>
        </w:tabs>
        <w:spacing w:line="240" w:lineRule="auto" w:before="0" w:after="0"/>
        <w:ind w:left="1195" w:right="0" w:hanging="569"/>
        <w:jc w:val="left"/>
        <w:rPr>
          <w:sz w:val="20"/>
        </w:rPr>
      </w:pPr>
      <w:r>
        <w:rPr>
          <w:sz w:val="20"/>
        </w:rPr>
        <w:t>El</w:t>
      </w:r>
      <w:r>
        <w:rPr>
          <w:spacing w:val="-5"/>
          <w:sz w:val="20"/>
        </w:rPr>
        <w:t> </w:t>
      </w:r>
      <w:r>
        <w:rPr>
          <w:sz w:val="20"/>
        </w:rPr>
        <w:t>lugar</w:t>
      </w:r>
      <w:r>
        <w:rPr>
          <w:spacing w:val="-5"/>
          <w:sz w:val="20"/>
        </w:rPr>
        <w:t> </w:t>
      </w:r>
      <w:r>
        <w:rPr>
          <w:sz w:val="20"/>
        </w:rPr>
        <w:t>o</w:t>
      </w:r>
      <w:r>
        <w:rPr>
          <w:spacing w:val="-4"/>
          <w:sz w:val="20"/>
        </w:rPr>
        <w:t> </w:t>
      </w:r>
      <w:r>
        <w:rPr>
          <w:sz w:val="20"/>
        </w:rPr>
        <w:t>los</w:t>
      </w:r>
      <w:r>
        <w:rPr>
          <w:spacing w:val="-5"/>
          <w:sz w:val="20"/>
        </w:rPr>
        <w:t> </w:t>
      </w:r>
      <w:r>
        <w:rPr>
          <w:sz w:val="20"/>
        </w:rPr>
        <w:t>lugares</w:t>
      </w:r>
      <w:r>
        <w:rPr>
          <w:spacing w:val="-4"/>
          <w:sz w:val="20"/>
        </w:rPr>
        <w:t> </w:t>
      </w:r>
      <w:r>
        <w:rPr>
          <w:sz w:val="20"/>
        </w:rPr>
        <w:t>donde</w:t>
      </w:r>
      <w:r>
        <w:rPr>
          <w:spacing w:val="-6"/>
          <w:sz w:val="20"/>
        </w:rPr>
        <w:t> </w:t>
      </w:r>
      <w:r>
        <w:rPr>
          <w:sz w:val="20"/>
        </w:rPr>
        <w:t>deba</w:t>
      </w:r>
      <w:r>
        <w:rPr>
          <w:spacing w:val="-6"/>
          <w:sz w:val="20"/>
        </w:rPr>
        <w:t> </w:t>
      </w:r>
      <w:r>
        <w:rPr>
          <w:sz w:val="20"/>
        </w:rPr>
        <w:t>prestarse</w:t>
      </w:r>
      <w:r>
        <w:rPr>
          <w:spacing w:val="-5"/>
          <w:sz w:val="20"/>
        </w:rPr>
        <w:t> </w:t>
      </w:r>
      <w:r>
        <w:rPr>
          <w:sz w:val="20"/>
        </w:rPr>
        <w:t>el</w:t>
      </w:r>
      <w:r>
        <w:rPr>
          <w:spacing w:val="-5"/>
          <w:sz w:val="20"/>
        </w:rPr>
        <w:t> </w:t>
      </w:r>
      <w:r>
        <w:rPr>
          <w:spacing w:val="-2"/>
          <w:sz w:val="20"/>
        </w:rPr>
        <w:t>trabajo;</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rPr>
      </w:pPr>
    </w:p>
    <w:p>
      <w:pPr>
        <w:pStyle w:val="ListParagraph"/>
        <w:numPr>
          <w:ilvl w:val="0"/>
          <w:numId w:val="4"/>
        </w:numPr>
        <w:tabs>
          <w:tab w:pos="1195" w:val="left" w:leader="none"/>
        </w:tabs>
        <w:spacing w:line="240" w:lineRule="auto" w:before="0" w:after="0"/>
        <w:ind w:left="1195" w:right="0" w:hanging="569"/>
        <w:jc w:val="left"/>
        <w:rPr>
          <w:sz w:val="20"/>
        </w:rPr>
      </w:pPr>
      <w:r>
        <w:rPr>
          <w:sz w:val="20"/>
        </w:rPr>
        <w:t>La</w:t>
      </w:r>
      <w:r>
        <w:rPr>
          <w:spacing w:val="-7"/>
          <w:sz w:val="20"/>
        </w:rPr>
        <w:t> </w:t>
      </w:r>
      <w:r>
        <w:rPr>
          <w:sz w:val="20"/>
        </w:rPr>
        <w:t>duración</w:t>
      </w:r>
      <w:r>
        <w:rPr>
          <w:spacing w:val="-5"/>
          <w:sz w:val="20"/>
        </w:rPr>
        <w:t> </w:t>
      </w:r>
      <w:r>
        <w:rPr>
          <w:sz w:val="20"/>
        </w:rPr>
        <w:t>de</w:t>
      </w:r>
      <w:r>
        <w:rPr>
          <w:spacing w:val="-3"/>
          <w:sz w:val="20"/>
        </w:rPr>
        <w:t> </w:t>
      </w:r>
      <w:r>
        <w:rPr>
          <w:sz w:val="20"/>
        </w:rPr>
        <w:t>la</w:t>
      </w:r>
      <w:r>
        <w:rPr>
          <w:spacing w:val="-3"/>
          <w:sz w:val="20"/>
        </w:rPr>
        <w:t> </w:t>
      </w:r>
      <w:r>
        <w:rPr>
          <w:spacing w:val="-2"/>
          <w:sz w:val="20"/>
        </w:rPr>
        <w:t>jornada;</w:t>
      </w:r>
    </w:p>
    <w:p>
      <w:pPr>
        <w:pStyle w:val="ListParagraph"/>
        <w:numPr>
          <w:ilvl w:val="0"/>
          <w:numId w:val="4"/>
        </w:numPr>
        <w:tabs>
          <w:tab w:pos="1195" w:val="left" w:leader="none"/>
        </w:tabs>
        <w:spacing w:line="240" w:lineRule="auto" w:before="228" w:after="0"/>
        <w:ind w:left="1195" w:right="0" w:hanging="569"/>
        <w:jc w:val="left"/>
        <w:rPr>
          <w:sz w:val="20"/>
        </w:rPr>
      </w:pPr>
      <w:r>
        <w:rPr>
          <w:sz w:val="20"/>
        </w:rPr>
        <w:t>La</w:t>
      </w:r>
      <w:r>
        <w:rPr>
          <w:spacing w:val="-5"/>
          <w:sz w:val="20"/>
        </w:rPr>
        <w:t> </w:t>
      </w:r>
      <w:r>
        <w:rPr>
          <w:sz w:val="20"/>
        </w:rPr>
        <w:t>forma</w:t>
      </w:r>
      <w:r>
        <w:rPr>
          <w:spacing w:val="-1"/>
          <w:sz w:val="20"/>
        </w:rPr>
        <w:t> </w:t>
      </w:r>
      <w:r>
        <w:rPr>
          <w:sz w:val="20"/>
        </w:rPr>
        <w:t>y</w:t>
      </w:r>
      <w:r>
        <w:rPr>
          <w:spacing w:val="-9"/>
          <w:sz w:val="20"/>
        </w:rPr>
        <w:t> </w:t>
      </w:r>
      <w:r>
        <w:rPr>
          <w:sz w:val="20"/>
        </w:rPr>
        <w:t>el</w:t>
      </w:r>
      <w:r>
        <w:rPr>
          <w:spacing w:val="-4"/>
          <w:sz w:val="20"/>
        </w:rPr>
        <w:t> </w:t>
      </w:r>
      <w:r>
        <w:rPr>
          <w:sz w:val="20"/>
        </w:rPr>
        <w:t>monto</w:t>
      </w:r>
      <w:r>
        <w:rPr>
          <w:spacing w:val="-4"/>
          <w:sz w:val="20"/>
        </w:rPr>
        <w:t> </w:t>
      </w:r>
      <w:r>
        <w:rPr>
          <w:sz w:val="20"/>
        </w:rPr>
        <w:t>del</w:t>
      </w:r>
      <w:r>
        <w:rPr>
          <w:spacing w:val="-4"/>
          <w:sz w:val="20"/>
        </w:rPr>
        <w:t> </w:t>
      </w:r>
      <w:r>
        <w:rPr>
          <w:spacing w:val="-2"/>
          <w:sz w:val="20"/>
        </w:rPr>
        <w:t>salario;</w:t>
      </w:r>
    </w:p>
    <w:p>
      <w:pPr>
        <w:pStyle w:val="BodyText"/>
        <w:spacing w:before="1"/>
      </w:pPr>
    </w:p>
    <w:p>
      <w:pPr>
        <w:pStyle w:val="ListParagraph"/>
        <w:numPr>
          <w:ilvl w:val="0"/>
          <w:numId w:val="4"/>
        </w:numPr>
        <w:tabs>
          <w:tab w:pos="1195" w:val="left" w:leader="none"/>
        </w:tabs>
        <w:spacing w:line="240" w:lineRule="auto" w:before="0" w:after="0"/>
        <w:ind w:left="1195" w:right="0" w:hanging="569"/>
        <w:jc w:val="left"/>
        <w:rPr>
          <w:sz w:val="20"/>
        </w:rPr>
      </w:pPr>
      <w:r>
        <w:rPr>
          <w:sz w:val="20"/>
        </w:rPr>
        <w:t>El</w:t>
      </w:r>
      <w:r>
        <w:rPr>
          <w:spacing w:val="-4"/>
          <w:sz w:val="20"/>
        </w:rPr>
        <w:t> </w:t>
      </w:r>
      <w:r>
        <w:rPr>
          <w:sz w:val="20"/>
        </w:rPr>
        <w:t>día y</w:t>
      </w:r>
      <w:r>
        <w:rPr>
          <w:spacing w:val="-7"/>
          <w:sz w:val="20"/>
        </w:rPr>
        <w:t> </w:t>
      </w:r>
      <w:r>
        <w:rPr>
          <w:sz w:val="20"/>
        </w:rPr>
        <w:t>el</w:t>
      </w:r>
      <w:r>
        <w:rPr>
          <w:spacing w:val="-3"/>
          <w:sz w:val="20"/>
        </w:rPr>
        <w:t> </w:t>
      </w:r>
      <w:r>
        <w:rPr>
          <w:sz w:val="20"/>
        </w:rPr>
        <w:t>lugar</w:t>
      </w:r>
      <w:r>
        <w:rPr>
          <w:spacing w:val="-4"/>
          <w:sz w:val="20"/>
        </w:rPr>
        <w:t> </w:t>
      </w:r>
      <w:r>
        <w:rPr>
          <w:sz w:val="20"/>
        </w:rPr>
        <w:t>de</w:t>
      </w:r>
      <w:r>
        <w:rPr>
          <w:spacing w:val="-2"/>
          <w:sz w:val="20"/>
        </w:rPr>
        <w:t> </w:t>
      </w:r>
      <w:r>
        <w:rPr>
          <w:sz w:val="20"/>
        </w:rPr>
        <w:t>pago</w:t>
      </w:r>
      <w:r>
        <w:rPr>
          <w:spacing w:val="-4"/>
          <w:sz w:val="20"/>
        </w:rPr>
        <w:t> </w:t>
      </w:r>
      <w:r>
        <w:rPr>
          <w:sz w:val="20"/>
        </w:rPr>
        <w:t>del</w:t>
      </w:r>
      <w:r>
        <w:rPr>
          <w:spacing w:val="-5"/>
          <w:sz w:val="20"/>
        </w:rPr>
        <w:t> </w:t>
      </w:r>
      <w:r>
        <w:rPr>
          <w:spacing w:val="-2"/>
          <w:sz w:val="20"/>
        </w:rPr>
        <w:t>salario;</w:t>
      </w:r>
    </w:p>
    <w:p>
      <w:pPr>
        <w:pStyle w:val="BodyText"/>
        <w:spacing w:before="1"/>
      </w:pPr>
    </w:p>
    <w:p>
      <w:pPr>
        <w:pStyle w:val="ListParagraph"/>
        <w:numPr>
          <w:ilvl w:val="0"/>
          <w:numId w:val="4"/>
        </w:numPr>
        <w:tabs>
          <w:tab w:pos="1193" w:val="left" w:leader="none"/>
          <w:tab w:pos="1195" w:val="left" w:leader="none"/>
        </w:tabs>
        <w:spacing w:line="240" w:lineRule="auto" w:before="0" w:after="0"/>
        <w:ind w:left="1195" w:right="343" w:hanging="569"/>
        <w:jc w:val="both"/>
        <w:rPr>
          <w:sz w:val="20"/>
        </w:rPr>
      </w:pPr>
      <w:r>
        <w:rPr>
          <w:sz w:val="20"/>
        </w:rPr>
        <w:t>La indicación de que el trabajador será capacitado o adiestrado en los términos de los planes y programas establecidos o que se establezcan en la empresa, conforme a lo dispuesto en esta Ley; y</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5"/>
        <w:rPr>
          <w:rFonts w:ascii="Times New Roman"/>
          <w:i/>
          <w:sz w:val="16"/>
        </w:rPr>
      </w:pPr>
    </w:p>
    <w:p>
      <w:pPr>
        <w:pStyle w:val="ListParagraph"/>
        <w:numPr>
          <w:ilvl w:val="0"/>
          <w:numId w:val="4"/>
        </w:numPr>
        <w:tabs>
          <w:tab w:pos="1195" w:val="left" w:leader="none"/>
        </w:tabs>
        <w:spacing w:line="242" w:lineRule="auto" w:before="0" w:after="0"/>
        <w:ind w:left="1195" w:right="344" w:hanging="569"/>
        <w:jc w:val="left"/>
        <w:rPr>
          <w:sz w:val="20"/>
        </w:rPr>
      </w:pPr>
      <w:r>
        <w:rPr>
          <w:sz w:val="20"/>
        </w:rPr>
        <w:t>Otras</w:t>
      </w:r>
      <w:r>
        <w:rPr>
          <w:spacing w:val="78"/>
          <w:sz w:val="20"/>
        </w:rPr>
        <w:t> </w:t>
      </w:r>
      <w:r>
        <w:rPr>
          <w:sz w:val="20"/>
        </w:rPr>
        <w:t>condiciones</w:t>
      </w:r>
      <w:r>
        <w:rPr>
          <w:spacing w:val="78"/>
          <w:sz w:val="20"/>
        </w:rPr>
        <w:t> </w:t>
      </w:r>
      <w:r>
        <w:rPr>
          <w:sz w:val="20"/>
        </w:rPr>
        <w:t>de</w:t>
      </w:r>
      <w:r>
        <w:rPr>
          <w:spacing w:val="77"/>
          <w:sz w:val="20"/>
        </w:rPr>
        <w:t> </w:t>
      </w:r>
      <w:r>
        <w:rPr>
          <w:sz w:val="20"/>
        </w:rPr>
        <w:t>trabajo,</w:t>
      </w:r>
      <w:r>
        <w:rPr>
          <w:spacing w:val="76"/>
          <w:sz w:val="20"/>
        </w:rPr>
        <w:t> </w:t>
      </w:r>
      <w:r>
        <w:rPr>
          <w:sz w:val="20"/>
        </w:rPr>
        <w:t>tales</w:t>
      </w:r>
      <w:r>
        <w:rPr>
          <w:spacing w:val="78"/>
          <w:sz w:val="20"/>
        </w:rPr>
        <w:t> </w:t>
      </w:r>
      <w:r>
        <w:rPr>
          <w:sz w:val="20"/>
        </w:rPr>
        <w:t>como</w:t>
      </w:r>
      <w:r>
        <w:rPr>
          <w:spacing w:val="77"/>
          <w:sz w:val="20"/>
        </w:rPr>
        <w:t> </w:t>
      </w:r>
      <w:r>
        <w:rPr>
          <w:sz w:val="20"/>
        </w:rPr>
        <w:t>días</w:t>
      </w:r>
      <w:r>
        <w:rPr>
          <w:spacing w:val="78"/>
          <w:sz w:val="20"/>
        </w:rPr>
        <w:t> </w:t>
      </w:r>
      <w:r>
        <w:rPr>
          <w:sz w:val="20"/>
        </w:rPr>
        <w:t>de</w:t>
      </w:r>
      <w:r>
        <w:rPr>
          <w:spacing w:val="77"/>
          <w:sz w:val="20"/>
        </w:rPr>
        <w:t> </w:t>
      </w:r>
      <w:r>
        <w:rPr>
          <w:sz w:val="20"/>
        </w:rPr>
        <w:t>descanso,</w:t>
      </w:r>
      <w:r>
        <w:rPr>
          <w:spacing w:val="79"/>
          <w:sz w:val="20"/>
        </w:rPr>
        <w:t> </w:t>
      </w:r>
      <w:r>
        <w:rPr>
          <w:sz w:val="20"/>
        </w:rPr>
        <w:t>vacaciones</w:t>
      </w:r>
      <w:r>
        <w:rPr>
          <w:spacing w:val="80"/>
          <w:sz w:val="20"/>
        </w:rPr>
        <w:t> </w:t>
      </w:r>
      <w:r>
        <w:rPr>
          <w:sz w:val="20"/>
        </w:rPr>
        <w:t>y</w:t>
      </w:r>
      <w:r>
        <w:rPr>
          <w:spacing w:val="76"/>
          <w:sz w:val="20"/>
        </w:rPr>
        <w:t> </w:t>
      </w:r>
      <w:r>
        <w:rPr>
          <w:sz w:val="20"/>
        </w:rPr>
        <w:t>demás</w:t>
      </w:r>
      <w:r>
        <w:rPr>
          <w:spacing w:val="78"/>
          <w:sz w:val="20"/>
        </w:rPr>
        <w:t> </w:t>
      </w:r>
      <w:r>
        <w:rPr>
          <w:sz w:val="20"/>
        </w:rPr>
        <w:t>que convengan el trabajador y el patrón.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7"/>
        <w:rPr>
          <w:rFonts w:ascii="Times New Roman"/>
          <w:i/>
          <w:sz w:val="16"/>
        </w:rPr>
      </w:pPr>
    </w:p>
    <w:p>
      <w:pPr>
        <w:pStyle w:val="ListParagraph"/>
        <w:numPr>
          <w:ilvl w:val="0"/>
          <w:numId w:val="4"/>
        </w:numPr>
        <w:tabs>
          <w:tab w:pos="1195" w:val="left" w:leader="none"/>
        </w:tabs>
        <w:spacing w:line="240" w:lineRule="auto" w:before="0" w:after="0"/>
        <w:ind w:left="1195" w:right="336" w:hanging="569"/>
        <w:jc w:val="both"/>
        <w:rPr>
          <w:sz w:val="20"/>
        </w:rPr>
      </w:pPr>
      <w:r>
        <w:rPr>
          <w:sz w:val="20"/>
        </w:rPr>
        <w:t>La designación de beneficiarios a los que refiere el artículo 501 de esta ley, para el pago de los salarios y prestaciones devengadas y no cobradas a la muerte de los trabajadores o las que se generen por su fallecimiento o desaparición derivada de un acto delincuencial.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338" w:right="345" w:firstLine="288"/>
        <w:jc w:val="both"/>
      </w:pPr>
      <w:bookmarkStart w:name="Artículo_26" w:id="33"/>
      <w:bookmarkEnd w:id="33"/>
      <w:r>
        <w:rPr/>
      </w:r>
      <w:r>
        <w:rPr>
          <w:rFonts w:ascii="Arial" w:hAnsi="Arial"/>
          <w:b/>
        </w:rPr>
        <w:t>Artículo 26.- </w:t>
      </w:r>
      <w:r>
        <w:rPr/>
        <w:t>La falta del escrito a que se refieren los artículos 24 y 25 no priva al trabajador de los derechos</w:t>
      </w:r>
      <w:r>
        <w:rPr>
          <w:spacing w:val="-1"/>
        </w:rPr>
        <w:t> </w:t>
      </w:r>
      <w:r>
        <w:rPr/>
        <w:t>que</w:t>
      </w:r>
      <w:r>
        <w:rPr>
          <w:spacing w:val="-2"/>
        </w:rPr>
        <w:t> </w:t>
      </w:r>
      <w:r>
        <w:rPr/>
        <w:t>deriven</w:t>
      </w:r>
      <w:r>
        <w:rPr>
          <w:spacing w:val="-3"/>
        </w:rPr>
        <w:t> </w:t>
      </w:r>
      <w:r>
        <w:rPr/>
        <w:t>de</w:t>
      </w:r>
      <w:r>
        <w:rPr>
          <w:spacing w:val="-2"/>
        </w:rPr>
        <w:t> </w:t>
      </w:r>
      <w:r>
        <w:rPr/>
        <w:t>las</w:t>
      </w:r>
      <w:r>
        <w:rPr>
          <w:spacing w:val="-2"/>
        </w:rPr>
        <w:t> </w:t>
      </w:r>
      <w:r>
        <w:rPr/>
        <w:t>normas</w:t>
      </w:r>
      <w:r>
        <w:rPr>
          <w:spacing w:val="-2"/>
        </w:rPr>
        <w:t> </w:t>
      </w:r>
      <w:r>
        <w:rPr/>
        <w:t>de</w:t>
      </w:r>
      <w:r>
        <w:rPr>
          <w:spacing w:val="-4"/>
        </w:rPr>
        <w:t> </w:t>
      </w:r>
      <w:r>
        <w:rPr/>
        <w:t>trabajo y</w:t>
      </w:r>
      <w:r>
        <w:rPr>
          <w:spacing w:val="-4"/>
        </w:rPr>
        <w:t> </w:t>
      </w:r>
      <w:r>
        <w:rPr/>
        <w:t>de</w:t>
      </w:r>
      <w:r>
        <w:rPr>
          <w:spacing w:val="-2"/>
        </w:rPr>
        <w:t> </w:t>
      </w:r>
      <w:r>
        <w:rPr/>
        <w:t>los</w:t>
      </w:r>
      <w:r>
        <w:rPr>
          <w:spacing w:val="-2"/>
        </w:rPr>
        <w:t> </w:t>
      </w:r>
      <w:r>
        <w:rPr/>
        <w:t>servicios</w:t>
      </w:r>
      <w:r>
        <w:rPr>
          <w:spacing w:val="-2"/>
        </w:rPr>
        <w:t> </w:t>
      </w:r>
      <w:r>
        <w:rPr/>
        <w:t>prestados,</w:t>
      </w:r>
      <w:r>
        <w:rPr>
          <w:spacing w:val="-2"/>
        </w:rPr>
        <w:t> </w:t>
      </w:r>
      <w:r>
        <w:rPr/>
        <w:t>pues se</w:t>
      </w:r>
      <w:r>
        <w:rPr>
          <w:spacing w:val="-2"/>
        </w:rPr>
        <w:t> </w:t>
      </w:r>
      <w:r>
        <w:rPr/>
        <w:t>imputará</w:t>
      </w:r>
      <w:r>
        <w:rPr>
          <w:spacing w:val="-2"/>
        </w:rPr>
        <w:t> </w:t>
      </w:r>
      <w:r>
        <w:rPr/>
        <w:t>el</w:t>
      </w:r>
      <w:r>
        <w:rPr>
          <w:spacing w:val="-2"/>
        </w:rPr>
        <w:t> </w:t>
      </w:r>
      <w:r>
        <w:rPr/>
        <w:t>patrón</w:t>
      </w:r>
      <w:r>
        <w:rPr>
          <w:spacing w:val="-2"/>
        </w:rPr>
        <w:t> </w:t>
      </w:r>
      <w:r>
        <w:rPr/>
        <w:t>la falta de esa formalidad.</w:t>
      </w:r>
    </w:p>
    <w:p>
      <w:pPr>
        <w:pStyle w:val="BodyText"/>
        <w:spacing w:line="242" w:lineRule="auto" w:before="229"/>
        <w:ind w:left="338" w:right="343" w:firstLine="288"/>
        <w:jc w:val="both"/>
      </w:pPr>
      <w:bookmarkStart w:name="Artículo_27" w:id="34"/>
      <w:bookmarkEnd w:id="34"/>
      <w:r>
        <w:rPr/>
      </w:r>
      <w:r>
        <w:rPr>
          <w:rFonts w:ascii="Arial" w:hAnsi="Arial"/>
          <w:b/>
        </w:rPr>
        <w:t>Artículo 27.- </w:t>
      </w:r>
      <w:r>
        <w:rPr/>
        <w:t>Si no se hubiese determinado el servicio o servicios que deban prestarse, el trabajador quedará obligado a desempeñar el trabajo que sea compatible con sus fuerzas, aptitudes, estado o condición y que sea del mismo género de los que formen el objeto de la empresa o establecimiento.</w:t>
      </w:r>
    </w:p>
    <w:p>
      <w:pPr>
        <w:pStyle w:val="BodyText"/>
        <w:spacing w:line="242" w:lineRule="auto" w:before="223"/>
        <w:ind w:left="338" w:right="344" w:firstLine="288"/>
        <w:jc w:val="both"/>
      </w:pPr>
      <w:bookmarkStart w:name="Artículo_28" w:id="35"/>
      <w:bookmarkEnd w:id="35"/>
      <w:r>
        <w:rPr/>
      </w:r>
      <w:r>
        <w:rPr>
          <w:rFonts w:ascii="Arial" w:hAnsi="Arial"/>
          <w:b/>
        </w:rPr>
        <w:t>Artículo 28.- </w:t>
      </w:r>
      <w:r>
        <w:rPr/>
        <w:t>En la prestación de los servicios de trabajadores mexicanos fuera de la República, contratados en territorio nacional y cuyo contrato de trabajo se rija por esta Ley, se observará lo</w:t>
      </w:r>
      <w:r>
        <w:rPr>
          <w:spacing w:val="80"/>
        </w:rPr>
        <w:t> </w:t>
      </w:r>
      <w:r>
        <w:rPr>
          <w:spacing w:val="-2"/>
        </w:rPr>
        <w:t>siguiente:</w:t>
      </w:r>
    </w:p>
    <w:p>
      <w:pPr>
        <w:pStyle w:val="ListParagraph"/>
        <w:numPr>
          <w:ilvl w:val="0"/>
          <w:numId w:val="5"/>
        </w:numPr>
        <w:tabs>
          <w:tab w:pos="1193" w:val="left" w:leader="none"/>
          <w:tab w:pos="1195" w:val="left" w:leader="none"/>
        </w:tabs>
        <w:spacing w:line="242" w:lineRule="auto" w:before="222" w:after="0"/>
        <w:ind w:left="1195" w:right="338" w:hanging="569"/>
        <w:jc w:val="both"/>
        <w:rPr>
          <w:sz w:val="20"/>
        </w:rPr>
      </w:pPr>
      <w:r>
        <w:rPr>
          <w:sz w:val="20"/>
        </w:rPr>
        <w:t>Las condiciones de trabajo se harán constar por escrito y contendrán además de las estipulaciones del artículo 25 de esta Ley, las siguientes:</w:t>
      </w:r>
    </w:p>
    <w:p>
      <w:pPr>
        <w:pStyle w:val="ListParagraph"/>
        <w:numPr>
          <w:ilvl w:val="1"/>
          <w:numId w:val="5"/>
        </w:numPr>
        <w:tabs>
          <w:tab w:pos="1761" w:val="left" w:leader="none"/>
        </w:tabs>
        <w:spacing w:line="240" w:lineRule="auto" w:before="227" w:after="0"/>
        <w:ind w:left="1761" w:right="0" w:hanging="566"/>
        <w:jc w:val="left"/>
        <w:rPr>
          <w:sz w:val="20"/>
        </w:rPr>
      </w:pPr>
      <w:r>
        <w:rPr>
          <w:sz w:val="20"/>
        </w:rPr>
        <w:t>Indicar</w:t>
      </w:r>
      <w:r>
        <w:rPr>
          <w:spacing w:val="-5"/>
          <w:sz w:val="20"/>
        </w:rPr>
        <w:t> </w:t>
      </w:r>
      <w:r>
        <w:rPr>
          <w:sz w:val="20"/>
        </w:rPr>
        <w:t>que</w:t>
      </w:r>
      <w:r>
        <w:rPr>
          <w:spacing w:val="-6"/>
          <w:sz w:val="20"/>
        </w:rPr>
        <w:t> </w:t>
      </w:r>
      <w:r>
        <w:rPr>
          <w:sz w:val="20"/>
        </w:rPr>
        <w:t>los</w:t>
      </w:r>
      <w:r>
        <w:rPr>
          <w:spacing w:val="-5"/>
          <w:sz w:val="20"/>
        </w:rPr>
        <w:t> </w:t>
      </w:r>
      <w:r>
        <w:rPr>
          <w:sz w:val="20"/>
        </w:rPr>
        <w:t>gastos</w:t>
      </w:r>
      <w:r>
        <w:rPr>
          <w:spacing w:val="-7"/>
          <w:sz w:val="20"/>
        </w:rPr>
        <w:t> </w:t>
      </w:r>
      <w:r>
        <w:rPr>
          <w:sz w:val="20"/>
        </w:rPr>
        <w:t>de</w:t>
      </w:r>
      <w:r>
        <w:rPr>
          <w:spacing w:val="-7"/>
          <w:sz w:val="20"/>
        </w:rPr>
        <w:t> </w:t>
      </w:r>
      <w:r>
        <w:rPr>
          <w:sz w:val="20"/>
        </w:rPr>
        <w:t>repatriación</w:t>
      </w:r>
      <w:r>
        <w:rPr>
          <w:spacing w:val="-8"/>
          <w:sz w:val="20"/>
        </w:rPr>
        <w:t> </w:t>
      </w:r>
      <w:r>
        <w:rPr>
          <w:sz w:val="20"/>
        </w:rPr>
        <w:t>quedan</w:t>
      </w:r>
      <w:r>
        <w:rPr>
          <w:spacing w:val="-8"/>
          <w:sz w:val="20"/>
        </w:rPr>
        <w:t> </w:t>
      </w:r>
      <w:r>
        <w:rPr>
          <w:sz w:val="20"/>
        </w:rPr>
        <w:t>a</w:t>
      </w:r>
      <w:r>
        <w:rPr>
          <w:spacing w:val="-6"/>
          <w:sz w:val="20"/>
        </w:rPr>
        <w:t> </w:t>
      </w:r>
      <w:r>
        <w:rPr>
          <w:sz w:val="20"/>
        </w:rPr>
        <w:t>cargo</w:t>
      </w:r>
      <w:r>
        <w:rPr>
          <w:spacing w:val="-5"/>
          <w:sz w:val="20"/>
        </w:rPr>
        <w:t> </w:t>
      </w:r>
      <w:r>
        <w:rPr>
          <w:sz w:val="20"/>
        </w:rPr>
        <w:t>del</w:t>
      </w:r>
      <w:r>
        <w:rPr>
          <w:spacing w:val="-7"/>
          <w:sz w:val="20"/>
        </w:rPr>
        <w:t> </w:t>
      </w:r>
      <w:r>
        <w:rPr>
          <w:sz w:val="20"/>
        </w:rPr>
        <w:t>empresario</w:t>
      </w:r>
      <w:r>
        <w:rPr>
          <w:spacing w:val="-8"/>
          <w:sz w:val="20"/>
        </w:rPr>
        <w:t> </w:t>
      </w:r>
      <w:r>
        <w:rPr>
          <w:spacing w:val="-2"/>
          <w:sz w:val="20"/>
        </w:rPr>
        <w:t>contratante;</w:t>
      </w:r>
    </w:p>
    <w:p>
      <w:pPr>
        <w:pStyle w:val="BodyText"/>
      </w:pPr>
    </w:p>
    <w:p>
      <w:pPr>
        <w:pStyle w:val="ListParagraph"/>
        <w:numPr>
          <w:ilvl w:val="1"/>
          <w:numId w:val="5"/>
        </w:numPr>
        <w:tabs>
          <w:tab w:pos="1759" w:val="left" w:leader="none"/>
          <w:tab w:pos="1762" w:val="left" w:leader="none"/>
        </w:tabs>
        <w:spacing w:line="240" w:lineRule="auto" w:before="0" w:after="0"/>
        <w:ind w:left="1762" w:right="336" w:hanging="567"/>
        <w:jc w:val="both"/>
        <w:rPr>
          <w:sz w:val="20"/>
        </w:rPr>
      </w:pPr>
      <w:r>
        <w:rPr>
          <w:sz w:val="20"/>
        </w:rPr>
        <w:t>Las condiciones de vivienda decorosa e higiénica que disfrutará el trabajador, mediante arrendamiento o cualquier otra forma;</w:t>
      </w:r>
    </w:p>
    <w:p>
      <w:pPr>
        <w:pStyle w:val="BodyText"/>
      </w:pPr>
    </w:p>
    <w:p>
      <w:pPr>
        <w:pStyle w:val="ListParagraph"/>
        <w:numPr>
          <w:ilvl w:val="1"/>
          <w:numId w:val="5"/>
        </w:numPr>
        <w:tabs>
          <w:tab w:pos="1762" w:val="left" w:leader="none"/>
        </w:tabs>
        <w:spacing w:line="242" w:lineRule="auto" w:before="0" w:after="0"/>
        <w:ind w:left="1762" w:right="345" w:hanging="567"/>
        <w:jc w:val="both"/>
        <w:rPr>
          <w:sz w:val="20"/>
        </w:rPr>
      </w:pPr>
      <w:r>
        <w:rPr>
          <w:sz w:val="20"/>
        </w:rPr>
        <w:t>La</w:t>
      </w:r>
      <w:r>
        <w:rPr>
          <w:spacing w:val="-2"/>
          <w:sz w:val="20"/>
        </w:rPr>
        <w:t> </w:t>
      </w:r>
      <w:r>
        <w:rPr>
          <w:sz w:val="20"/>
        </w:rPr>
        <w:t>forma y</w:t>
      </w:r>
      <w:r>
        <w:rPr>
          <w:spacing w:val="-7"/>
          <w:sz w:val="20"/>
        </w:rPr>
        <w:t> </w:t>
      </w:r>
      <w:r>
        <w:rPr>
          <w:sz w:val="20"/>
        </w:rPr>
        <w:t>condiciones en</w:t>
      </w:r>
      <w:r>
        <w:rPr>
          <w:spacing w:val="-2"/>
          <w:sz w:val="20"/>
        </w:rPr>
        <w:t> </w:t>
      </w:r>
      <w:r>
        <w:rPr>
          <w:sz w:val="20"/>
        </w:rPr>
        <w:t>las que</w:t>
      </w:r>
      <w:r>
        <w:rPr>
          <w:spacing w:val="-1"/>
          <w:sz w:val="20"/>
        </w:rPr>
        <w:t> </w:t>
      </w:r>
      <w:r>
        <w:rPr>
          <w:sz w:val="20"/>
        </w:rPr>
        <w:t>se</w:t>
      </w:r>
      <w:r>
        <w:rPr>
          <w:spacing w:val="-1"/>
          <w:sz w:val="20"/>
        </w:rPr>
        <w:t> </w:t>
      </w:r>
      <w:r>
        <w:rPr>
          <w:sz w:val="20"/>
        </w:rPr>
        <w:t>le</w:t>
      </w:r>
      <w:r>
        <w:rPr>
          <w:spacing w:val="-1"/>
          <w:sz w:val="20"/>
        </w:rPr>
        <w:t> </w:t>
      </w:r>
      <w:r>
        <w:rPr>
          <w:sz w:val="20"/>
        </w:rPr>
        <w:t>otorgará</w:t>
      </w:r>
      <w:r>
        <w:rPr>
          <w:spacing w:val="-1"/>
          <w:sz w:val="20"/>
        </w:rPr>
        <w:t> </w:t>
      </w:r>
      <w:r>
        <w:rPr>
          <w:sz w:val="20"/>
        </w:rPr>
        <w:t>al</w:t>
      </w:r>
      <w:r>
        <w:rPr>
          <w:spacing w:val="-2"/>
          <w:sz w:val="20"/>
        </w:rPr>
        <w:t> </w:t>
      </w:r>
      <w:r>
        <w:rPr>
          <w:sz w:val="20"/>
        </w:rPr>
        <w:t>trabajador y</w:t>
      </w:r>
      <w:r>
        <w:rPr>
          <w:spacing w:val="-4"/>
          <w:sz w:val="20"/>
        </w:rPr>
        <w:t> </w:t>
      </w:r>
      <w:r>
        <w:rPr>
          <w:sz w:val="20"/>
        </w:rPr>
        <w:t>de</w:t>
      </w:r>
      <w:r>
        <w:rPr>
          <w:spacing w:val="-2"/>
          <w:sz w:val="20"/>
        </w:rPr>
        <w:t> </w:t>
      </w:r>
      <w:r>
        <w:rPr>
          <w:sz w:val="20"/>
        </w:rPr>
        <w:t>su</w:t>
      </w:r>
      <w:r>
        <w:rPr>
          <w:spacing w:val="-1"/>
          <w:sz w:val="20"/>
        </w:rPr>
        <w:t> </w:t>
      </w:r>
      <w:r>
        <w:rPr>
          <w:sz w:val="20"/>
        </w:rPr>
        <w:t>familia,</w:t>
      </w:r>
      <w:r>
        <w:rPr>
          <w:spacing w:val="-1"/>
          <w:sz w:val="20"/>
        </w:rPr>
        <w:t> </w:t>
      </w:r>
      <w:r>
        <w:rPr>
          <w:sz w:val="20"/>
        </w:rPr>
        <w:t>en</w:t>
      </w:r>
      <w:r>
        <w:rPr>
          <w:spacing w:val="-1"/>
          <w:sz w:val="20"/>
        </w:rPr>
        <w:t> </w:t>
      </w:r>
      <w:r>
        <w:rPr>
          <w:sz w:val="20"/>
        </w:rPr>
        <w:t>su</w:t>
      </w:r>
      <w:r>
        <w:rPr>
          <w:spacing w:val="-1"/>
          <w:sz w:val="20"/>
        </w:rPr>
        <w:t> </w:t>
      </w:r>
      <w:r>
        <w:rPr>
          <w:sz w:val="20"/>
        </w:rPr>
        <w:t>caso, la atención médica correspondiente; y</w:t>
      </w:r>
    </w:p>
    <w:p>
      <w:pPr>
        <w:pStyle w:val="ListParagraph"/>
        <w:numPr>
          <w:ilvl w:val="1"/>
          <w:numId w:val="5"/>
        </w:numPr>
        <w:tabs>
          <w:tab w:pos="1759" w:val="left" w:leader="none"/>
          <w:tab w:pos="1762" w:val="left" w:leader="none"/>
        </w:tabs>
        <w:spacing w:line="240" w:lineRule="auto" w:before="226" w:after="0"/>
        <w:ind w:left="1762" w:right="334" w:hanging="567"/>
        <w:jc w:val="both"/>
        <w:rPr>
          <w:sz w:val="20"/>
        </w:rPr>
      </w:pPr>
      <w:r>
        <w:rPr>
          <w:sz w:val="20"/>
        </w:rPr>
        <w:t>Los mecanismos para informar al trabajador acerca de las autoridades consulares y diplomáticas mexicanas a las que podrá acudir en el extranjero y de las autoridades competentes del país a donde se prestarán los servicios, cuando el trabajador considere que sus derechos han sido menoscabados, a fin de ejercer la acción legal conducente;</w:t>
      </w:r>
    </w:p>
    <w:p>
      <w:pPr>
        <w:pStyle w:val="ListParagraph"/>
        <w:spacing w:after="0" w:line="240" w:lineRule="auto"/>
        <w:jc w:val="both"/>
        <w:rPr>
          <w:sz w:val="20"/>
        </w:rPr>
        <w:sectPr>
          <w:pgSz w:w="12240" w:h="15840"/>
          <w:pgMar w:header="724" w:footer="712" w:top="1880" w:bottom="900" w:left="1080" w:right="1080"/>
        </w:sectPr>
      </w:pPr>
    </w:p>
    <w:p>
      <w:pPr>
        <w:pStyle w:val="BodyText"/>
        <w:spacing w:before="63"/>
      </w:pPr>
    </w:p>
    <w:p>
      <w:pPr>
        <w:pStyle w:val="ListParagraph"/>
        <w:numPr>
          <w:ilvl w:val="0"/>
          <w:numId w:val="5"/>
        </w:numPr>
        <w:tabs>
          <w:tab w:pos="1192" w:val="left" w:leader="none"/>
          <w:tab w:pos="1195" w:val="left" w:leader="none"/>
        </w:tabs>
        <w:spacing w:line="242" w:lineRule="auto" w:before="0" w:after="0"/>
        <w:ind w:left="1195" w:right="345" w:hanging="569"/>
        <w:jc w:val="both"/>
        <w:rPr>
          <w:sz w:val="20"/>
        </w:rPr>
      </w:pPr>
      <w:r>
        <w:rPr>
          <w:sz w:val="20"/>
        </w:rPr>
        <w:t>El patrón señalará en el contrato de trabajo domicilio dentro de la República para todos los efectos legales;</w:t>
      </w:r>
    </w:p>
    <w:p>
      <w:pPr>
        <w:pStyle w:val="ListParagraph"/>
        <w:numPr>
          <w:ilvl w:val="0"/>
          <w:numId w:val="5"/>
        </w:numPr>
        <w:tabs>
          <w:tab w:pos="1191" w:val="left" w:leader="none"/>
          <w:tab w:pos="1195" w:val="left" w:leader="none"/>
        </w:tabs>
        <w:spacing w:line="242" w:lineRule="auto" w:before="227" w:after="0"/>
        <w:ind w:left="1195" w:right="344" w:hanging="569"/>
        <w:jc w:val="both"/>
        <w:rPr>
          <w:sz w:val="20"/>
        </w:rPr>
      </w:pPr>
      <w:r>
        <w:rPr>
          <w:sz w:val="20"/>
        </w:rPr>
        <w:t>El contrato de trabajo será sometido a la aprobación del Centro Federal de Conciliación y Registro Laboral, el cual, después de comprobar que éste cumple con las disposiciones a que se refieren las fracciones I y II de este artículo lo aprobará.</w:t>
      </w:r>
    </w:p>
    <w:p>
      <w:pPr>
        <w:pStyle w:val="BodyText"/>
        <w:spacing w:before="224"/>
        <w:ind w:left="1195" w:right="331"/>
        <w:jc w:val="both"/>
      </w:pPr>
      <w:r>
        <w:rPr/>
        <w:t>En caso de que el patrón no cuente con un establecimiento permanente y domicilio fiscal o de representación comercial en territorio nacional, el Centro Federal de Conciliación y Registro Laboral fijará el monto de una fianza o depósito para garantizar el cumplimiento de las obligaciones contraídas. El patrón deberá comprobar ante dicho Centro el otorgamiento de la fianza o la constitución del depósito;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5"/>
        </w:numPr>
        <w:tabs>
          <w:tab w:pos="1195" w:val="left" w:leader="none"/>
        </w:tabs>
        <w:spacing w:line="240" w:lineRule="auto" w:before="0" w:after="0"/>
        <w:ind w:left="1195" w:right="335" w:hanging="569"/>
        <w:jc w:val="both"/>
        <w:rPr>
          <w:sz w:val="20"/>
        </w:rPr>
      </w:pPr>
      <w:r>
        <w:rPr>
          <w:sz w:val="20"/>
        </w:rPr>
        <w:t>El trabajador y el patrón deberán anexar al contrato de trabajo la visa o permiso de trabajo emitido por las autoridades consulares o migratorias del país donde deban prestarse los servicios; y</w:t>
      </w:r>
    </w:p>
    <w:p>
      <w:pPr>
        <w:pStyle w:val="ListParagraph"/>
        <w:numPr>
          <w:ilvl w:val="0"/>
          <w:numId w:val="5"/>
        </w:numPr>
        <w:tabs>
          <w:tab w:pos="1195" w:val="left" w:leader="none"/>
        </w:tabs>
        <w:spacing w:line="242" w:lineRule="auto" w:before="227" w:after="0"/>
        <w:ind w:left="1195" w:right="346" w:hanging="569"/>
        <w:jc w:val="both"/>
        <w:rPr>
          <w:sz w:val="20"/>
        </w:rPr>
      </w:pPr>
      <w:r>
        <w:rPr>
          <w:sz w:val="20"/>
        </w:rPr>
        <w:t>Una</w:t>
      </w:r>
      <w:r>
        <w:rPr>
          <w:spacing w:val="-2"/>
          <w:sz w:val="20"/>
        </w:rPr>
        <w:t> </w:t>
      </w:r>
      <w:r>
        <w:rPr>
          <w:sz w:val="20"/>
        </w:rPr>
        <w:t>vez</w:t>
      </w:r>
      <w:r>
        <w:rPr>
          <w:spacing w:val="-3"/>
          <w:sz w:val="20"/>
        </w:rPr>
        <w:t> </w:t>
      </w:r>
      <w:r>
        <w:rPr>
          <w:sz w:val="20"/>
        </w:rPr>
        <w:t>que</w:t>
      </w:r>
      <w:r>
        <w:rPr>
          <w:spacing w:val="-2"/>
          <w:sz w:val="20"/>
        </w:rPr>
        <w:t> </w:t>
      </w:r>
      <w:r>
        <w:rPr>
          <w:sz w:val="20"/>
        </w:rPr>
        <w:t>el</w:t>
      </w:r>
      <w:r>
        <w:rPr>
          <w:spacing w:val="-3"/>
          <w:sz w:val="20"/>
        </w:rPr>
        <w:t> </w:t>
      </w:r>
      <w:r>
        <w:rPr>
          <w:sz w:val="20"/>
        </w:rPr>
        <w:t>patrón</w:t>
      </w:r>
      <w:r>
        <w:rPr>
          <w:spacing w:val="-2"/>
          <w:sz w:val="20"/>
        </w:rPr>
        <w:t> </w:t>
      </w:r>
      <w:r>
        <w:rPr>
          <w:sz w:val="20"/>
        </w:rPr>
        <w:t>comprueba</w:t>
      </w:r>
      <w:r>
        <w:rPr>
          <w:spacing w:val="-4"/>
          <w:sz w:val="20"/>
        </w:rPr>
        <w:t> </w:t>
      </w:r>
      <w:r>
        <w:rPr>
          <w:sz w:val="20"/>
        </w:rPr>
        <w:t>ante</w:t>
      </w:r>
      <w:r>
        <w:rPr>
          <w:spacing w:val="-2"/>
          <w:sz w:val="20"/>
        </w:rPr>
        <w:t> </w:t>
      </w:r>
      <w:r>
        <w:rPr>
          <w:sz w:val="20"/>
        </w:rPr>
        <w:t>el</w:t>
      </w:r>
      <w:r>
        <w:rPr>
          <w:spacing w:val="-3"/>
          <w:sz w:val="20"/>
        </w:rPr>
        <w:t> </w:t>
      </w:r>
      <w:r>
        <w:rPr>
          <w:sz w:val="20"/>
        </w:rPr>
        <w:t>Centro</w:t>
      </w:r>
      <w:r>
        <w:rPr>
          <w:spacing w:val="-4"/>
          <w:sz w:val="20"/>
        </w:rPr>
        <w:t> </w:t>
      </w:r>
      <w:r>
        <w:rPr>
          <w:sz w:val="20"/>
        </w:rPr>
        <w:t>Federal</w:t>
      </w:r>
      <w:r>
        <w:rPr>
          <w:spacing w:val="-5"/>
          <w:sz w:val="20"/>
        </w:rPr>
        <w:t> </w:t>
      </w:r>
      <w:r>
        <w:rPr>
          <w:sz w:val="20"/>
        </w:rPr>
        <w:t>de</w:t>
      </w:r>
      <w:r>
        <w:rPr>
          <w:spacing w:val="-4"/>
          <w:sz w:val="20"/>
        </w:rPr>
        <w:t> </w:t>
      </w:r>
      <w:r>
        <w:rPr>
          <w:sz w:val="20"/>
        </w:rPr>
        <w:t>Conciliación y</w:t>
      </w:r>
      <w:r>
        <w:rPr>
          <w:spacing w:val="-7"/>
          <w:sz w:val="20"/>
        </w:rPr>
        <w:t> </w:t>
      </w:r>
      <w:r>
        <w:rPr>
          <w:sz w:val="20"/>
        </w:rPr>
        <w:t>Registro</w:t>
      </w:r>
      <w:r>
        <w:rPr>
          <w:spacing w:val="-4"/>
          <w:sz w:val="20"/>
        </w:rPr>
        <w:t> </w:t>
      </w:r>
      <w:r>
        <w:rPr>
          <w:sz w:val="20"/>
        </w:rPr>
        <w:t>Laboral</w:t>
      </w:r>
      <w:r>
        <w:rPr>
          <w:spacing w:val="-5"/>
          <w:sz w:val="20"/>
        </w:rPr>
        <w:t> </w:t>
      </w:r>
      <w:r>
        <w:rPr>
          <w:sz w:val="20"/>
        </w:rPr>
        <w:t>que ha</w:t>
      </w:r>
      <w:r>
        <w:rPr>
          <w:spacing w:val="-3"/>
          <w:sz w:val="20"/>
        </w:rPr>
        <w:t> </w:t>
      </w:r>
      <w:r>
        <w:rPr>
          <w:sz w:val="20"/>
        </w:rPr>
        <w:t>cumplido</w:t>
      </w:r>
      <w:r>
        <w:rPr>
          <w:spacing w:val="-1"/>
          <w:sz w:val="20"/>
        </w:rPr>
        <w:t> </w:t>
      </w:r>
      <w:r>
        <w:rPr>
          <w:sz w:val="20"/>
        </w:rPr>
        <w:t>las</w:t>
      </w:r>
      <w:r>
        <w:rPr>
          <w:spacing w:val="-1"/>
          <w:sz w:val="20"/>
        </w:rPr>
        <w:t> </w:t>
      </w:r>
      <w:r>
        <w:rPr>
          <w:sz w:val="20"/>
        </w:rPr>
        <w:t>obligaciones</w:t>
      </w:r>
      <w:r>
        <w:rPr>
          <w:spacing w:val="-1"/>
          <w:sz w:val="20"/>
        </w:rPr>
        <w:t> </w:t>
      </w:r>
      <w:r>
        <w:rPr>
          <w:sz w:val="20"/>
        </w:rPr>
        <w:t>contraídas,</w:t>
      </w:r>
      <w:r>
        <w:rPr>
          <w:spacing w:val="-2"/>
          <w:sz w:val="20"/>
        </w:rPr>
        <w:t> </w:t>
      </w:r>
      <w:r>
        <w:rPr>
          <w:sz w:val="20"/>
        </w:rPr>
        <w:t>se</w:t>
      </w:r>
      <w:r>
        <w:rPr>
          <w:spacing w:val="-2"/>
          <w:sz w:val="20"/>
        </w:rPr>
        <w:t> </w:t>
      </w:r>
      <w:r>
        <w:rPr>
          <w:sz w:val="20"/>
        </w:rPr>
        <w:t>ordenará</w:t>
      </w:r>
      <w:r>
        <w:rPr>
          <w:spacing w:val="-1"/>
          <w:sz w:val="20"/>
        </w:rPr>
        <w:t> </w:t>
      </w:r>
      <w:r>
        <w:rPr>
          <w:sz w:val="20"/>
        </w:rPr>
        <w:t>la</w:t>
      </w:r>
      <w:r>
        <w:rPr>
          <w:spacing w:val="-2"/>
          <w:sz w:val="20"/>
        </w:rPr>
        <w:t> </w:t>
      </w:r>
      <w:r>
        <w:rPr>
          <w:sz w:val="20"/>
        </w:rPr>
        <w:t>cancelación</w:t>
      </w:r>
      <w:r>
        <w:rPr>
          <w:spacing w:val="-1"/>
          <w:sz w:val="20"/>
        </w:rPr>
        <w:t> </w:t>
      </w:r>
      <w:r>
        <w:rPr>
          <w:sz w:val="20"/>
        </w:rPr>
        <w:t>de</w:t>
      </w:r>
      <w:r>
        <w:rPr>
          <w:spacing w:val="-3"/>
          <w:sz w:val="20"/>
        </w:rPr>
        <w:t> </w:t>
      </w:r>
      <w:r>
        <w:rPr>
          <w:sz w:val="20"/>
        </w:rPr>
        <w:t>la</w:t>
      </w:r>
      <w:r>
        <w:rPr>
          <w:spacing w:val="-2"/>
          <w:sz w:val="20"/>
        </w:rPr>
        <w:t> </w:t>
      </w:r>
      <w:r>
        <w:rPr>
          <w:sz w:val="20"/>
        </w:rPr>
        <w:t>fianza</w:t>
      </w:r>
      <w:r>
        <w:rPr>
          <w:spacing w:val="-1"/>
          <w:sz w:val="20"/>
        </w:rPr>
        <w:t> </w:t>
      </w:r>
      <w:r>
        <w:rPr>
          <w:sz w:val="20"/>
        </w:rPr>
        <w:t>o</w:t>
      </w:r>
      <w:r>
        <w:rPr>
          <w:spacing w:val="-2"/>
          <w:sz w:val="20"/>
        </w:rPr>
        <w:t> </w:t>
      </w:r>
      <w:r>
        <w:rPr>
          <w:sz w:val="20"/>
        </w:rPr>
        <w:t>la</w:t>
      </w:r>
      <w:r>
        <w:rPr>
          <w:spacing w:val="-1"/>
          <w:sz w:val="20"/>
        </w:rPr>
        <w:t> </w:t>
      </w:r>
      <w:r>
        <w:rPr>
          <w:sz w:val="20"/>
        </w:rPr>
        <w:t>devolución del depósito que esta hubiere determinado.</w:t>
      </w:r>
    </w:p>
    <w:p>
      <w:pPr>
        <w:spacing w:line="240" w:lineRule="auto" w:before="0"/>
        <w:ind w:left="6519" w:right="0" w:firstLine="765"/>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02-07-1976,</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2"/>
        <w:rPr>
          <w:rFonts w:ascii="Times New Roman"/>
          <w:i/>
          <w:sz w:val="16"/>
        </w:rPr>
      </w:pPr>
    </w:p>
    <w:p>
      <w:pPr>
        <w:pStyle w:val="BodyText"/>
        <w:ind w:left="338" w:right="335" w:firstLine="288"/>
        <w:jc w:val="both"/>
      </w:pPr>
      <w:bookmarkStart w:name="Artículo_28_A" w:id="36"/>
      <w:bookmarkEnd w:id="36"/>
      <w:r>
        <w:rPr/>
      </w:r>
      <w:r>
        <w:rPr>
          <w:rFonts w:ascii="Arial" w:hAnsi="Arial"/>
          <w:b/>
        </w:rPr>
        <w:t>Artículo 28-A. </w:t>
      </w:r>
      <w:r>
        <w:rPr/>
        <w:t>En el caso de trabajadores mexicanos reclutados y seleccionados en México, para un empleo concreto en el exterior de duración determinada, a través de mecanismos acordados por el gobierno de México con un gobierno extranjero, se atenderá a lo dispuesto por dicho acuerdo, que en todo momento salvaguardará los derechos de los trabajadores, conforme a las bases siguientes:</w:t>
      </w:r>
    </w:p>
    <w:p>
      <w:pPr>
        <w:pStyle w:val="BodyText"/>
      </w:pPr>
    </w:p>
    <w:p>
      <w:pPr>
        <w:pStyle w:val="ListParagraph"/>
        <w:numPr>
          <w:ilvl w:val="0"/>
          <w:numId w:val="6"/>
        </w:numPr>
        <w:tabs>
          <w:tab w:pos="1193" w:val="left" w:leader="none"/>
          <w:tab w:pos="1195" w:val="left" w:leader="none"/>
        </w:tabs>
        <w:spacing w:line="242" w:lineRule="auto" w:before="0" w:after="0"/>
        <w:ind w:left="1195" w:right="343" w:hanging="569"/>
        <w:jc w:val="both"/>
        <w:rPr>
          <w:sz w:val="20"/>
        </w:rPr>
      </w:pPr>
      <w:r>
        <w:rPr>
          <w:sz w:val="20"/>
        </w:rPr>
        <w:t>Las condiciones generales de trabajo para los mexicanos en el país receptor serán dignas e iguales a las que se otorgue a los trabajadores de aquel país;</w:t>
      </w:r>
    </w:p>
    <w:p>
      <w:pPr>
        <w:pStyle w:val="ListParagraph"/>
        <w:numPr>
          <w:ilvl w:val="0"/>
          <w:numId w:val="6"/>
        </w:numPr>
        <w:tabs>
          <w:tab w:pos="1192" w:val="left" w:leader="none"/>
          <w:tab w:pos="1195" w:val="left" w:leader="none"/>
        </w:tabs>
        <w:spacing w:line="242" w:lineRule="auto" w:before="225" w:after="0"/>
        <w:ind w:left="1195" w:right="340" w:hanging="569"/>
        <w:jc w:val="both"/>
        <w:rPr>
          <w:sz w:val="20"/>
        </w:rPr>
      </w:pPr>
      <w:r>
        <w:rPr>
          <w:sz w:val="20"/>
        </w:rPr>
        <w:t>Al expedirse la visa o permiso de trabajo por la autoridad consular o migratoria del país donde se prestará el servicio, se entenderá que dicha autoridad tiene conocimiento de que se establecerá una relación laboral entre el trabajador y un patrón determinado;</w:t>
      </w:r>
    </w:p>
    <w:p>
      <w:pPr>
        <w:pStyle w:val="ListParagraph"/>
        <w:numPr>
          <w:ilvl w:val="0"/>
          <w:numId w:val="6"/>
        </w:numPr>
        <w:tabs>
          <w:tab w:pos="1191" w:val="left" w:leader="none"/>
          <w:tab w:pos="1195" w:val="left" w:leader="none"/>
        </w:tabs>
        <w:spacing w:line="240" w:lineRule="auto" w:before="224" w:after="0"/>
        <w:ind w:left="1195" w:right="344" w:hanging="569"/>
        <w:jc w:val="both"/>
        <w:rPr>
          <w:sz w:val="20"/>
        </w:rPr>
      </w:pPr>
      <w:r>
        <w:rPr>
          <w:sz w:val="20"/>
        </w:rPr>
        <w:t>Las condiciones para la repatriación, la vivienda, la seguridad social y otras prestaciones se determinarán en el acuerdo;</w:t>
      </w:r>
    </w:p>
    <w:p>
      <w:pPr>
        <w:pStyle w:val="ListParagraph"/>
        <w:numPr>
          <w:ilvl w:val="0"/>
          <w:numId w:val="6"/>
        </w:numPr>
        <w:tabs>
          <w:tab w:pos="1195" w:val="left" w:leader="none"/>
        </w:tabs>
        <w:spacing w:line="242" w:lineRule="auto" w:before="229" w:after="0"/>
        <w:ind w:left="1195" w:right="344" w:hanging="569"/>
        <w:jc w:val="both"/>
        <w:rPr>
          <w:sz w:val="20"/>
        </w:rPr>
      </w:pPr>
      <w:r>
        <w:rPr>
          <w:sz w:val="20"/>
        </w:rPr>
        <w:t>El reclutamiento y</w:t>
      </w:r>
      <w:r>
        <w:rPr>
          <w:spacing w:val="-1"/>
          <w:sz w:val="20"/>
        </w:rPr>
        <w:t> </w:t>
      </w:r>
      <w:r>
        <w:rPr>
          <w:sz w:val="20"/>
        </w:rPr>
        <w:t>la selección será organizada por la Secretaría del Trabajo y Previsión Social, a través del Servicio Nacional de Empleo, en coordinación con las autoridades estatales y municipales; y</w:t>
      </w:r>
    </w:p>
    <w:p>
      <w:pPr>
        <w:pStyle w:val="ListParagraph"/>
        <w:numPr>
          <w:ilvl w:val="0"/>
          <w:numId w:val="6"/>
        </w:numPr>
        <w:tabs>
          <w:tab w:pos="1195" w:val="left" w:leader="none"/>
        </w:tabs>
        <w:spacing w:line="242" w:lineRule="auto" w:before="223" w:after="0"/>
        <w:ind w:left="1195" w:right="336" w:hanging="569"/>
        <w:jc w:val="both"/>
        <w:rPr>
          <w:sz w:val="20"/>
        </w:rPr>
      </w:pPr>
      <w:r>
        <w:rPr>
          <w:sz w:val="20"/>
        </w:rPr>
        <w:t>Contendrá mecanismos para informar al trabajador acerca de las autoridades consulares y diplomáticas mexicanas a las que podrá acudir en el extranjero y de las autoridades competentes del país a donde se prestarán los servicios, cuando el trabajador considere que sus derechos han sido menoscabados, a fin de ejercer la acción legal conducente.</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338" w:right="336" w:firstLine="288"/>
        <w:jc w:val="both"/>
      </w:pPr>
      <w:bookmarkStart w:name="Artículo_28_B" w:id="37"/>
      <w:bookmarkEnd w:id="37"/>
      <w:r>
        <w:rPr/>
      </w:r>
      <w:r>
        <w:rPr>
          <w:rFonts w:ascii="Arial" w:hAnsi="Arial"/>
          <w:b/>
        </w:rPr>
        <w:t>Artículo 28-B. </w:t>
      </w:r>
      <w:r>
        <w:rPr/>
        <w:t>En el caso de trabajadores mexicanos reclutados y seleccionados en México, para un empleo concreto en el exterior de duración determinada, que sean colocados por entidades privadas, se observarán las normas siguientes:</w:t>
      </w:r>
    </w:p>
    <w:p>
      <w:pPr>
        <w:pStyle w:val="BodyText"/>
        <w:spacing w:after="0" w:line="242" w:lineRule="auto"/>
        <w:jc w:val="both"/>
        <w:sectPr>
          <w:pgSz w:w="12240" w:h="15840"/>
          <w:pgMar w:header="724" w:footer="712" w:top="1880" w:bottom="900" w:left="1080" w:right="1080"/>
        </w:sectPr>
      </w:pPr>
    </w:p>
    <w:p>
      <w:pPr>
        <w:pStyle w:val="BodyText"/>
        <w:spacing w:before="63"/>
      </w:pPr>
    </w:p>
    <w:p>
      <w:pPr>
        <w:pStyle w:val="ListParagraph"/>
        <w:numPr>
          <w:ilvl w:val="0"/>
          <w:numId w:val="7"/>
        </w:numPr>
        <w:tabs>
          <w:tab w:pos="807" w:val="left" w:leader="none"/>
        </w:tabs>
        <w:spacing w:line="242" w:lineRule="auto" w:before="0" w:after="0"/>
        <w:ind w:left="338" w:right="346" w:firstLine="288"/>
        <w:jc w:val="both"/>
        <w:rPr>
          <w:sz w:val="20"/>
        </w:rPr>
      </w:pPr>
      <w:r>
        <w:rPr>
          <w:sz w:val="20"/>
        </w:rPr>
        <w:t>Las agencias de colocación de trabajadores deberán estar debidamente autorizadas y registradas, según corresponda, conforme a lo dispuesto en las disposiciones legales aplicables;</w:t>
      </w:r>
    </w:p>
    <w:p>
      <w:pPr>
        <w:pStyle w:val="ListParagraph"/>
        <w:numPr>
          <w:ilvl w:val="0"/>
          <w:numId w:val="7"/>
        </w:numPr>
        <w:tabs>
          <w:tab w:pos="844" w:val="left" w:leader="none"/>
        </w:tabs>
        <w:spacing w:line="240" w:lineRule="auto" w:before="227" w:after="0"/>
        <w:ind w:left="844" w:right="0" w:hanging="218"/>
        <w:jc w:val="left"/>
        <w:rPr>
          <w:sz w:val="20"/>
        </w:rPr>
      </w:pPr>
      <w:r>
        <w:rPr>
          <w:sz w:val="20"/>
        </w:rPr>
        <w:t>Las</w:t>
      </w:r>
      <w:r>
        <w:rPr>
          <w:spacing w:val="-8"/>
          <w:sz w:val="20"/>
        </w:rPr>
        <w:t> </w:t>
      </w:r>
      <w:r>
        <w:rPr>
          <w:sz w:val="20"/>
        </w:rPr>
        <w:t>agencias</w:t>
      </w:r>
      <w:r>
        <w:rPr>
          <w:spacing w:val="-8"/>
          <w:sz w:val="20"/>
        </w:rPr>
        <w:t> </w:t>
      </w:r>
      <w:r>
        <w:rPr>
          <w:sz w:val="20"/>
        </w:rPr>
        <w:t>de</w:t>
      </w:r>
      <w:r>
        <w:rPr>
          <w:spacing w:val="-9"/>
          <w:sz w:val="20"/>
        </w:rPr>
        <w:t> </w:t>
      </w:r>
      <w:r>
        <w:rPr>
          <w:sz w:val="20"/>
        </w:rPr>
        <w:t>colocación</w:t>
      </w:r>
      <w:r>
        <w:rPr>
          <w:spacing w:val="-8"/>
          <w:sz w:val="20"/>
        </w:rPr>
        <w:t> </w:t>
      </w:r>
      <w:r>
        <w:rPr>
          <w:sz w:val="20"/>
        </w:rPr>
        <w:t>de</w:t>
      </w:r>
      <w:r>
        <w:rPr>
          <w:spacing w:val="-9"/>
          <w:sz w:val="20"/>
        </w:rPr>
        <w:t> </w:t>
      </w:r>
      <w:r>
        <w:rPr>
          <w:sz w:val="20"/>
        </w:rPr>
        <w:t>trabajadores</w:t>
      </w:r>
      <w:r>
        <w:rPr>
          <w:spacing w:val="-7"/>
          <w:sz w:val="20"/>
        </w:rPr>
        <w:t> </w:t>
      </w:r>
      <w:r>
        <w:rPr>
          <w:sz w:val="20"/>
        </w:rPr>
        <w:t>deberán</w:t>
      </w:r>
      <w:r>
        <w:rPr>
          <w:spacing w:val="-9"/>
          <w:sz w:val="20"/>
        </w:rPr>
        <w:t> </w:t>
      </w:r>
      <w:r>
        <w:rPr>
          <w:sz w:val="20"/>
        </w:rPr>
        <w:t>cerciorarse</w:t>
      </w:r>
      <w:r>
        <w:rPr>
          <w:spacing w:val="-9"/>
          <w:sz w:val="20"/>
        </w:rPr>
        <w:t> </w:t>
      </w:r>
      <w:r>
        <w:rPr>
          <w:spacing w:val="-5"/>
          <w:sz w:val="20"/>
        </w:rPr>
        <w:t>de:</w:t>
      </w:r>
    </w:p>
    <w:p>
      <w:pPr>
        <w:pStyle w:val="BodyText"/>
      </w:pPr>
    </w:p>
    <w:p>
      <w:pPr>
        <w:pStyle w:val="ListParagraph"/>
        <w:numPr>
          <w:ilvl w:val="1"/>
          <w:numId w:val="7"/>
        </w:numPr>
        <w:tabs>
          <w:tab w:pos="874" w:val="left" w:leader="none"/>
        </w:tabs>
        <w:spacing w:line="240" w:lineRule="auto" w:before="0" w:after="0"/>
        <w:ind w:left="338" w:right="338" w:firstLine="288"/>
        <w:jc w:val="both"/>
        <w:rPr>
          <w:sz w:val="20"/>
        </w:rPr>
      </w:pPr>
      <w:r>
        <w:rPr>
          <w:sz w:val="20"/>
        </w:rPr>
        <w:t>La veracidad de las condiciones generales de trabajo que se ofrecen, así como de las relativas a vivienda, seguridad social y repatriación a que estarán sujetos los trabajadores. Dichas condiciones deberán ser dignas y no implicar discriminación de cualquier tipo; y</w:t>
      </w:r>
    </w:p>
    <w:p>
      <w:pPr>
        <w:pStyle w:val="ListParagraph"/>
        <w:numPr>
          <w:ilvl w:val="1"/>
          <w:numId w:val="7"/>
        </w:numPr>
        <w:tabs>
          <w:tab w:pos="874" w:val="left" w:leader="none"/>
        </w:tabs>
        <w:spacing w:line="242" w:lineRule="auto" w:before="230" w:after="0"/>
        <w:ind w:left="338" w:right="347" w:firstLine="288"/>
        <w:jc w:val="both"/>
        <w:rPr>
          <w:sz w:val="20"/>
        </w:rPr>
      </w:pPr>
      <w:r>
        <w:rPr>
          <w:sz w:val="20"/>
        </w:rPr>
        <w:t>Que los aspirantes hayan realizado los trámites para la expedición de visa o permiso de trabajo por la autoridad consular o migratoria del país donde se prestará el servicio;</w:t>
      </w:r>
    </w:p>
    <w:p>
      <w:pPr>
        <w:pStyle w:val="ListParagraph"/>
        <w:numPr>
          <w:ilvl w:val="0"/>
          <w:numId w:val="7"/>
        </w:numPr>
        <w:tabs>
          <w:tab w:pos="913" w:val="left" w:leader="none"/>
        </w:tabs>
        <w:spacing w:line="242" w:lineRule="auto" w:before="224" w:after="0"/>
        <w:ind w:left="338" w:right="340" w:firstLine="288"/>
        <w:jc w:val="both"/>
        <w:rPr>
          <w:sz w:val="20"/>
        </w:rPr>
      </w:pPr>
      <w:r>
        <w:rPr>
          <w:sz w:val="20"/>
        </w:rPr>
        <w:t>Las agencias de colocación deberán informar a los trabajadores sobre la protección consular a la que tienen derecho y la ubicación de la Embajada o consulados mexicanos en el país que corresponda, además de las autoridades competentes a las que podrán acudir para hacer valer sus derechos en el</w:t>
      </w:r>
      <w:r>
        <w:rPr>
          <w:spacing w:val="40"/>
          <w:sz w:val="20"/>
        </w:rPr>
        <w:t> </w:t>
      </w:r>
      <w:r>
        <w:rPr>
          <w:sz w:val="20"/>
        </w:rPr>
        <w:t>país de destino.</w:t>
      </w:r>
    </w:p>
    <w:p>
      <w:pPr>
        <w:pStyle w:val="BodyText"/>
        <w:spacing w:before="223"/>
        <w:ind w:left="338" w:right="334" w:firstLine="288"/>
        <w:jc w:val="both"/>
      </w:pPr>
      <w:r>
        <w:rPr/>
        <w:t>En los casos en que los trabajadores hayan sido engañados respecto a las condiciones de trabajo ofrecidas, las agencias de colocación de trabajadores serán responsables de sufragar los gastos de repatriación respectivos.</w:t>
      </w:r>
    </w:p>
    <w:p>
      <w:pPr>
        <w:pStyle w:val="BodyText"/>
        <w:spacing w:before="2"/>
      </w:pPr>
    </w:p>
    <w:p>
      <w:pPr>
        <w:pStyle w:val="BodyText"/>
        <w:ind w:left="338" w:right="347" w:firstLine="288"/>
        <w:jc w:val="both"/>
      </w:pPr>
      <w:r>
        <w:rPr/>
        <w:t>La Inspección Federal del Trabajo vigilará el cumplimiento de las obligaciones contenidas en este </w:t>
      </w:r>
      <w:r>
        <w:rPr>
          <w:spacing w:val="-2"/>
        </w:rPr>
        <w:t>artículo.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338" w:right="339" w:firstLine="288"/>
        <w:jc w:val="both"/>
      </w:pPr>
      <w:bookmarkStart w:name="Artículo_29" w:id="38"/>
      <w:bookmarkEnd w:id="38"/>
      <w:r>
        <w:rPr/>
      </w:r>
      <w:r>
        <w:rPr>
          <w:rFonts w:ascii="Arial" w:hAnsi="Arial"/>
          <w:b/>
        </w:rPr>
        <w:t>Artículo 29.- </w:t>
      </w:r>
      <w:r>
        <w:rPr/>
        <w:t>Queda prohibida la utilización de menores de dieciocho años para la prestación de servicios fuera de la República, salvo que se trate de técnicos, profesionales, artistas, deportistas y, en general, de trabajadores especializados.</w:t>
      </w:r>
    </w:p>
    <w:p>
      <w:pPr>
        <w:pStyle w:val="BodyText"/>
        <w:spacing w:line="242" w:lineRule="auto" w:before="223"/>
        <w:ind w:left="338" w:right="337" w:firstLine="288"/>
        <w:jc w:val="both"/>
      </w:pPr>
      <w:bookmarkStart w:name="Artículo_30" w:id="39"/>
      <w:bookmarkEnd w:id="39"/>
      <w:r>
        <w:rPr/>
      </w:r>
      <w:r>
        <w:rPr>
          <w:rFonts w:ascii="Arial" w:hAnsi="Arial"/>
          <w:b/>
        </w:rPr>
        <w:t>Artículo 30.- </w:t>
      </w:r>
      <w:r>
        <w:rPr/>
        <w:t>La prestación de servicios dentro</w:t>
      </w:r>
      <w:r>
        <w:rPr>
          <w:spacing w:val="-1"/>
        </w:rPr>
        <w:t> </w:t>
      </w:r>
      <w:r>
        <w:rPr/>
        <w:t>de la República, pero en lugar diverso de la residencia habitual del trabajador y a distancia mayor de cien kilómetros, se regirá por las disposiciones contenidas en el artículo 28, fracción I, en lo que sean aplicables.</w:t>
      </w:r>
    </w:p>
    <w:p>
      <w:pPr>
        <w:pStyle w:val="BodyText"/>
        <w:spacing w:before="225"/>
        <w:ind w:left="338" w:right="337" w:firstLine="288"/>
        <w:jc w:val="both"/>
      </w:pPr>
      <w:bookmarkStart w:name="Artículo_31" w:id="40"/>
      <w:bookmarkEnd w:id="40"/>
      <w:r>
        <w:rPr/>
      </w:r>
      <w:r>
        <w:rPr>
          <w:rFonts w:ascii="Arial" w:hAnsi="Arial"/>
          <w:b/>
        </w:rPr>
        <w:t>Artículo 31.- </w:t>
      </w:r>
      <w:r>
        <w:rPr/>
        <w:t>Los contratos y las relaciones de trabajo obligan a lo expresamente pactado y a las consecuencias que sean conformes a las normas de trabajo, a la buena fe y a la equidad.</w:t>
      </w:r>
    </w:p>
    <w:p>
      <w:pPr>
        <w:pStyle w:val="BodyText"/>
        <w:spacing w:line="242" w:lineRule="auto" w:before="228"/>
        <w:ind w:left="338" w:right="344" w:firstLine="288"/>
        <w:jc w:val="both"/>
      </w:pPr>
      <w:bookmarkStart w:name="Artículo_32" w:id="41"/>
      <w:bookmarkEnd w:id="41"/>
      <w:r>
        <w:rPr/>
      </w:r>
      <w:r>
        <w:rPr>
          <w:rFonts w:ascii="Arial" w:hAnsi="Arial"/>
          <w:b/>
        </w:rPr>
        <w:t>Artículo 32.- </w:t>
      </w:r>
      <w:r>
        <w:rPr/>
        <w:t>El incumplimiento de las normas de trabajo por lo que respecta al trabajador sólo da lugar a su responsabilidad civil, sin que en ningún caso pueda hacerse coacción sobre su persona.</w:t>
      </w:r>
    </w:p>
    <w:p>
      <w:pPr>
        <w:pStyle w:val="BodyText"/>
        <w:spacing w:line="242" w:lineRule="auto" w:before="225"/>
        <w:ind w:left="338" w:right="347" w:firstLine="288"/>
        <w:jc w:val="both"/>
      </w:pPr>
      <w:bookmarkStart w:name="Artículo_33" w:id="42"/>
      <w:bookmarkEnd w:id="42"/>
      <w:r>
        <w:rPr/>
      </w:r>
      <w:r>
        <w:rPr>
          <w:rFonts w:ascii="Arial" w:hAnsi="Arial"/>
          <w:b/>
        </w:rPr>
        <w:t>Artículo 33.- </w:t>
      </w:r>
      <w:r>
        <w:rPr/>
        <w:t>Es nula la renuncia que los trabajadores hagan de los salarios devengados, de las indemnizaciones y demás prestaciones que deriven de los servicios prestados, cualquiera que sea la forma o denominación que se le dé.</w:t>
      </w:r>
    </w:p>
    <w:p>
      <w:pPr>
        <w:pStyle w:val="BodyText"/>
        <w:spacing w:before="227"/>
        <w:ind w:left="338" w:right="344" w:firstLine="288"/>
        <w:jc w:val="both"/>
      </w:pPr>
      <w:r>
        <w:rPr/>
        <w:t>Todo convenio o liquidación, para ser válido, deberá hacerse por escrito y contener una relación circunstanciada de los hechos que lo motiven y de los derechos comprendidos en él. Será ratificado ante los Centros de Conciliación o al Tribunal según corresponda, que lo aprobará siempre que no contenga renuncia de los derechos de los trabajadores.</w:t>
      </w:r>
    </w:p>
    <w:p>
      <w:pPr>
        <w:pStyle w:val="BodyText"/>
      </w:pPr>
    </w:p>
    <w:p>
      <w:pPr>
        <w:pStyle w:val="BodyText"/>
        <w:ind w:left="338" w:right="340" w:firstLine="288"/>
        <w:jc w:val="both"/>
      </w:pPr>
      <w:r>
        <w:rPr/>
        <w:t>Cuando el convenio sea celebrado sin la intervención de las autoridades, será susceptible de ser reclamada la nulidad ante el Tribunal, solamente de aquello que contenga renuncia de los derechos de</w:t>
      </w:r>
      <w:r>
        <w:rPr>
          <w:spacing w:val="40"/>
        </w:rPr>
        <w:t> </w:t>
      </w:r>
      <w:r>
        <w:rPr/>
        <w:t>los trabajadores, conservando su validez el resto de las cláusulas convenidas.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1" w:lineRule="exact"/>
        <w:jc w:val="righ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BodyText"/>
        <w:spacing w:line="242" w:lineRule="auto"/>
        <w:ind w:left="338" w:firstLine="288"/>
      </w:pPr>
      <w:bookmarkStart w:name="Artículo_34" w:id="43"/>
      <w:bookmarkEnd w:id="43"/>
      <w:r>
        <w:rPr/>
      </w:r>
      <w:r>
        <w:rPr>
          <w:rFonts w:ascii="Arial" w:hAnsi="Arial"/>
          <w:b/>
        </w:rPr>
        <w:t>Artículo</w:t>
      </w:r>
      <w:r>
        <w:rPr>
          <w:rFonts w:ascii="Arial" w:hAnsi="Arial"/>
          <w:b/>
          <w:spacing w:val="34"/>
        </w:rPr>
        <w:t> </w:t>
      </w:r>
      <w:r>
        <w:rPr>
          <w:rFonts w:ascii="Arial" w:hAnsi="Arial"/>
          <w:b/>
        </w:rPr>
        <w:t>34.-</w:t>
      </w:r>
      <w:r>
        <w:rPr>
          <w:rFonts w:ascii="Arial" w:hAnsi="Arial"/>
          <w:b/>
          <w:spacing w:val="35"/>
        </w:rPr>
        <w:t> </w:t>
      </w:r>
      <w:r>
        <w:rPr/>
        <w:t>En</w:t>
      </w:r>
      <w:r>
        <w:rPr>
          <w:spacing w:val="33"/>
        </w:rPr>
        <w:t> </w:t>
      </w:r>
      <w:r>
        <w:rPr/>
        <w:t>los</w:t>
      </w:r>
      <w:r>
        <w:rPr>
          <w:spacing w:val="32"/>
        </w:rPr>
        <w:t> </w:t>
      </w:r>
      <w:r>
        <w:rPr/>
        <w:t>convenios</w:t>
      </w:r>
      <w:r>
        <w:rPr>
          <w:spacing w:val="32"/>
        </w:rPr>
        <w:t> </w:t>
      </w:r>
      <w:r>
        <w:rPr/>
        <w:t>celebrados</w:t>
      </w:r>
      <w:r>
        <w:rPr>
          <w:spacing w:val="32"/>
        </w:rPr>
        <w:t> </w:t>
      </w:r>
      <w:r>
        <w:rPr/>
        <w:t>entre</w:t>
      </w:r>
      <w:r>
        <w:rPr>
          <w:spacing w:val="31"/>
        </w:rPr>
        <w:t> </w:t>
      </w:r>
      <w:r>
        <w:rPr/>
        <w:t>los</w:t>
      </w:r>
      <w:r>
        <w:rPr>
          <w:spacing w:val="32"/>
        </w:rPr>
        <w:t> </w:t>
      </w:r>
      <w:r>
        <w:rPr/>
        <w:t>sindicatos</w:t>
      </w:r>
      <w:r>
        <w:rPr>
          <w:spacing w:val="37"/>
        </w:rPr>
        <w:t> </w:t>
      </w:r>
      <w:r>
        <w:rPr/>
        <w:t>y</w:t>
      </w:r>
      <w:r>
        <w:rPr>
          <w:spacing w:val="30"/>
        </w:rPr>
        <w:t> </w:t>
      </w:r>
      <w:r>
        <w:rPr/>
        <w:t>los</w:t>
      </w:r>
      <w:r>
        <w:rPr>
          <w:spacing w:val="34"/>
        </w:rPr>
        <w:t> </w:t>
      </w:r>
      <w:r>
        <w:rPr/>
        <w:t>patrones</w:t>
      </w:r>
      <w:r>
        <w:rPr>
          <w:spacing w:val="32"/>
        </w:rPr>
        <w:t> </w:t>
      </w:r>
      <w:r>
        <w:rPr/>
        <w:t>que</w:t>
      </w:r>
      <w:r>
        <w:rPr>
          <w:spacing w:val="40"/>
        </w:rPr>
        <w:t> </w:t>
      </w:r>
      <w:r>
        <w:rPr/>
        <w:t>puedan</w:t>
      </w:r>
      <w:r>
        <w:rPr>
          <w:spacing w:val="33"/>
        </w:rPr>
        <w:t> </w:t>
      </w:r>
      <w:r>
        <w:rPr/>
        <w:t>afectar derechos de los trabajadores, se observarán las normas siguientes:</w:t>
      </w:r>
    </w:p>
    <w:p>
      <w:pPr>
        <w:pStyle w:val="ListParagraph"/>
        <w:numPr>
          <w:ilvl w:val="0"/>
          <w:numId w:val="8"/>
        </w:numPr>
        <w:tabs>
          <w:tab w:pos="1195" w:val="left" w:leader="none"/>
        </w:tabs>
        <w:spacing w:line="242" w:lineRule="auto" w:before="227" w:after="0"/>
        <w:ind w:left="1195" w:right="346" w:hanging="569"/>
        <w:jc w:val="left"/>
        <w:rPr>
          <w:sz w:val="20"/>
        </w:rPr>
      </w:pPr>
      <w:r>
        <w:rPr>
          <w:sz w:val="20"/>
        </w:rPr>
        <w:t>Regirán</w:t>
      </w:r>
      <w:r>
        <w:rPr>
          <w:spacing w:val="80"/>
          <w:sz w:val="20"/>
        </w:rPr>
        <w:t> </w:t>
      </w:r>
      <w:r>
        <w:rPr>
          <w:sz w:val="20"/>
        </w:rPr>
        <w:t>únicamente</w:t>
      </w:r>
      <w:r>
        <w:rPr>
          <w:spacing w:val="80"/>
          <w:sz w:val="20"/>
        </w:rPr>
        <w:t> </w:t>
      </w:r>
      <w:r>
        <w:rPr>
          <w:sz w:val="20"/>
        </w:rPr>
        <w:t>para</w:t>
      </w:r>
      <w:r>
        <w:rPr>
          <w:spacing w:val="80"/>
          <w:sz w:val="20"/>
        </w:rPr>
        <w:t> </w:t>
      </w:r>
      <w:r>
        <w:rPr>
          <w:sz w:val="20"/>
        </w:rPr>
        <w:t>el</w:t>
      </w:r>
      <w:r>
        <w:rPr>
          <w:spacing w:val="80"/>
          <w:sz w:val="20"/>
        </w:rPr>
        <w:t> </w:t>
      </w:r>
      <w:r>
        <w:rPr>
          <w:sz w:val="20"/>
        </w:rPr>
        <w:t>futuro,</w:t>
      </w:r>
      <w:r>
        <w:rPr>
          <w:spacing w:val="80"/>
          <w:sz w:val="20"/>
        </w:rPr>
        <w:t> </w:t>
      </w:r>
      <w:r>
        <w:rPr>
          <w:sz w:val="20"/>
        </w:rPr>
        <w:t>por</w:t>
      </w:r>
      <w:r>
        <w:rPr>
          <w:spacing w:val="80"/>
          <w:sz w:val="20"/>
        </w:rPr>
        <w:t> </w:t>
      </w:r>
      <w:r>
        <w:rPr>
          <w:sz w:val="20"/>
        </w:rPr>
        <w:t>lo</w:t>
      </w:r>
      <w:r>
        <w:rPr>
          <w:spacing w:val="80"/>
          <w:sz w:val="20"/>
        </w:rPr>
        <w:t> </w:t>
      </w:r>
      <w:r>
        <w:rPr>
          <w:sz w:val="20"/>
        </w:rPr>
        <w:t>que</w:t>
      </w:r>
      <w:r>
        <w:rPr>
          <w:spacing w:val="80"/>
          <w:sz w:val="20"/>
        </w:rPr>
        <w:t> </w:t>
      </w:r>
      <w:r>
        <w:rPr>
          <w:sz w:val="20"/>
        </w:rPr>
        <w:t>no</w:t>
      </w:r>
      <w:r>
        <w:rPr>
          <w:spacing w:val="80"/>
          <w:sz w:val="20"/>
        </w:rPr>
        <w:t> </w:t>
      </w:r>
      <w:r>
        <w:rPr>
          <w:sz w:val="20"/>
        </w:rPr>
        <w:t>podrán</w:t>
      </w:r>
      <w:r>
        <w:rPr>
          <w:spacing w:val="80"/>
          <w:sz w:val="20"/>
        </w:rPr>
        <w:t> </w:t>
      </w:r>
      <w:r>
        <w:rPr>
          <w:sz w:val="20"/>
        </w:rPr>
        <w:t>afectar</w:t>
      </w:r>
      <w:r>
        <w:rPr>
          <w:spacing w:val="80"/>
          <w:sz w:val="20"/>
        </w:rPr>
        <w:t> </w:t>
      </w:r>
      <w:r>
        <w:rPr>
          <w:sz w:val="20"/>
        </w:rPr>
        <w:t>las</w:t>
      </w:r>
      <w:r>
        <w:rPr>
          <w:spacing w:val="80"/>
          <w:sz w:val="20"/>
        </w:rPr>
        <w:t> </w:t>
      </w:r>
      <w:r>
        <w:rPr>
          <w:sz w:val="20"/>
        </w:rPr>
        <w:t>prestaciones</w:t>
      </w:r>
      <w:r>
        <w:rPr>
          <w:spacing w:val="80"/>
          <w:sz w:val="20"/>
        </w:rPr>
        <w:t> </w:t>
      </w:r>
      <w:r>
        <w:rPr>
          <w:sz w:val="20"/>
        </w:rPr>
        <w:t>ya </w:t>
      </w:r>
      <w:r>
        <w:rPr>
          <w:spacing w:val="-2"/>
          <w:sz w:val="20"/>
        </w:rPr>
        <w:t>devengadas;</w:t>
      </w:r>
    </w:p>
    <w:p>
      <w:pPr>
        <w:pStyle w:val="ListParagraph"/>
        <w:numPr>
          <w:ilvl w:val="0"/>
          <w:numId w:val="8"/>
        </w:numPr>
        <w:tabs>
          <w:tab w:pos="1195" w:val="left" w:leader="none"/>
        </w:tabs>
        <w:spacing w:line="240" w:lineRule="auto" w:before="224" w:after="0"/>
        <w:ind w:left="1195" w:right="0" w:hanging="569"/>
        <w:jc w:val="left"/>
        <w:rPr>
          <w:sz w:val="20"/>
        </w:rPr>
      </w:pPr>
      <w:r>
        <w:rPr>
          <w:sz w:val="20"/>
        </w:rPr>
        <w:t>No</w:t>
      </w:r>
      <w:r>
        <w:rPr>
          <w:spacing w:val="-11"/>
          <w:sz w:val="20"/>
        </w:rPr>
        <w:t> </w:t>
      </w:r>
      <w:r>
        <w:rPr>
          <w:sz w:val="20"/>
        </w:rPr>
        <w:t>podrán</w:t>
      </w:r>
      <w:r>
        <w:rPr>
          <w:spacing w:val="-10"/>
          <w:sz w:val="20"/>
        </w:rPr>
        <w:t> </w:t>
      </w:r>
      <w:r>
        <w:rPr>
          <w:sz w:val="20"/>
        </w:rPr>
        <w:t>referirse</w:t>
      </w:r>
      <w:r>
        <w:rPr>
          <w:spacing w:val="-11"/>
          <w:sz w:val="20"/>
        </w:rPr>
        <w:t> </w:t>
      </w:r>
      <w:r>
        <w:rPr>
          <w:sz w:val="20"/>
        </w:rPr>
        <w:t>a</w:t>
      </w:r>
      <w:r>
        <w:rPr>
          <w:spacing w:val="-8"/>
          <w:sz w:val="20"/>
        </w:rPr>
        <w:t> </w:t>
      </w:r>
      <w:r>
        <w:rPr>
          <w:sz w:val="20"/>
        </w:rPr>
        <w:t>trabajadores</w:t>
      </w:r>
      <w:r>
        <w:rPr>
          <w:spacing w:val="-9"/>
          <w:sz w:val="20"/>
        </w:rPr>
        <w:t> </w:t>
      </w:r>
      <w:r>
        <w:rPr>
          <w:sz w:val="20"/>
        </w:rPr>
        <w:t>individualmente</w:t>
      </w:r>
      <w:r>
        <w:rPr>
          <w:spacing w:val="-9"/>
          <w:sz w:val="20"/>
        </w:rPr>
        <w:t> </w:t>
      </w:r>
      <w:r>
        <w:rPr>
          <w:sz w:val="20"/>
        </w:rPr>
        <w:t>determinados;</w:t>
      </w:r>
      <w:r>
        <w:rPr>
          <w:spacing w:val="-8"/>
          <w:sz w:val="20"/>
        </w:rPr>
        <w:t> </w:t>
      </w:r>
      <w:r>
        <w:rPr>
          <w:spacing w:val="-10"/>
          <w:sz w:val="20"/>
        </w:rPr>
        <w:t>y</w:t>
      </w:r>
    </w:p>
    <w:p>
      <w:pPr>
        <w:pStyle w:val="BodyText"/>
      </w:pPr>
    </w:p>
    <w:p>
      <w:pPr>
        <w:pStyle w:val="ListParagraph"/>
        <w:numPr>
          <w:ilvl w:val="0"/>
          <w:numId w:val="8"/>
        </w:numPr>
        <w:tabs>
          <w:tab w:pos="1195" w:val="left" w:leader="none"/>
        </w:tabs>
        <w:spacing w:line="242" w:lineRule="auto" w:before="1" w:after="0"/>
        <w:ind w:left="1195" w:right="342" w:hanging="569"/>
        <w:jc w:val="left"/>
        <w:rPr>
          <w:sz w:val="20"/>
        </w:rPr>
      </w:pPr>
      <w:r>
        <w:rPr>
          <w:sz w:val="20"/>
        </w:rPr>
        <w:t>Cuando se</w:t>
      </w:r>
      <w:r>
        <w:rPr>
          <w:spacing w:val="20"/>
          <w:sz w:val="20"/>
        </w:rPr>
        <w:t> </w:t>
      </w:r>
      <w:r>
        <w:rPr>
          <w:sz w:val="20"/>
        </w:rPr>
        <w:t>trate</w:t>
      </w:r>
      <w:r>
        <w:rPr>
          <w:spacing w:val="20"/>
          <w:sz w:val="20"/>
        </w:rPr>
        <w:t> </w:t>
      </w:r>
      <w:r>
        <w:rPr>
          <w:sz w:val="20"/>
        </w:rPr>
        <w:t>de reducción</w:t>
      </w:r>
      <w:r>
        <w:rPr>
          <w:spacing w:val="22"/>
          <w:sz w:val="20"/>
        </w:rPr>
        <w:t> </w:t>
      </w:r>
      <w:r>
        <w:rPr>
          <w:sz w:val="20"/>
        </w:rPr>
        <w:t>de los</w:t>
      </w:r>
      <w:r>
        <w:rPr>
          <w:spacing w:val="21"/>
          <w:sz w:val="20"/>
        </w:rPr>
        <w:t> </w:t>
      </w:r>
      <w:r>
        <w:rPr>
          <w:sz w:val="20"/>
        </w:rPr>
        <w:t>trabajos,</w:t>
      </w:r>
      <w:r>
        <w:rPr>
          <w:spacing w:val="20"/>
          <w:sz w:val="20"/>
        </w:rPr>
        <w:t> </w:t>
      </w:r>
      <w:r>
        <w:rPr>
          <w:sz w:val="20"/>
        </w:rPr>
        <w:t>el reajuste se</w:t>
      </w:r>
      <w:r>
        <w:rPr>
          <w:spacing w:val="20"/>
          <w:sz w:val="20"/>
        </w:rPr>
        <w:t> </w:t>
      </w:r>
      <w:r>
        <w:rPr>
          <w:sz w:val="20"/>
        </w:rPr>
        <w:t>efectuará</w:t>
      </w:r>
      <w:r>
        <w:rPr>
          <w:spacing w:val="20"/>
          <w:sz w:val="20"/>
        </w:rPr>
        <w:t> </w:t>
      </w:r>
      <w:r>
        <w:rPr>
          <w:sz w:val="20"/>
        </w:rPr>
        <w:t>de</w:t>
      </w:r>
      <w:r>
        <w:rPr>
          <w:spacing w:val="20"/>
          <w:sz w:val="20"/>
        </w:rPr>
        <w:t> </w:t>
      </w:r>
      <w:r>
        <w:rPr>
          <w:sz w:val="20"/>
        </w:rPr>
        <w:t>conformidad</w:t>
      </w:r>
      <w:r>
        <w:rPr>
          <w:spacing w:val="20"/>
          <w:sz w:val="20"/>
        </w:rPr>
        <w:t> </w:t>
      </w:r>
      <w:r>
        <w:rPr>
          <w:sz w:val="20"/>
        </w:rPr>
        <w:t>con</w:t>
      </w:r>
      <w:r>
        <w:rPr>
          <w:spacing w:val="22"/>
          <w:sz w:val="20"/>
        </w:rPr>
        <w:t> </w:t>
      </w:r>
      <w:r>
        <w:rPr>
          <w:sz w:val="20"/>
        </w:rPr>
        <w:t>lo dispuesto en el artículo 437.</w:t>
      </w:r>
    </w:p>
    <w:p>
      <w:pPr>
        <w:pStyle w:val="Heading1"/>
        <w:spacing w:line="253" w:lineRule="exact" w:before="224"/>
      </w:pPr>
      <w:r>
        <w:rPr/>
        <w:t>CAPITULO</w:t>
      </w:r>
      <w:r>
        <w:rPr>
          <w:spacing w:val="-9"/>
        </w:rPr>
        <w:t> </w:t>
      </w:r>
      <w:r>
        <w:rPr>
          <w:spacing w:val="-7"/>
        </w:rPr>
        <w:t>II</w:t>
      </w:r>
    </w:p>
    <w:p>
      <w:pPr>
        <w:pStyle w:val="Heading2"/>
        <w:ind w:left="297"/>
      </w:pPr>
      <w:r>
        <w:rPr/>
        <w:t>Duración</w:t>
      </w:r>
      <w:r>
        <w:rPr>
          <w:spacing w:val="-5"/>
        </w:rPr>
        <w:t> </w:t>
      </w:r>
      <w:r>
        <w:rPr/>
        <w:t>de</w:t>
      </w:r>
      <w:r>
        <w:rPr>
          <w:spacing w:val="-6"/>
        </w:rPr>
        <w:t> </w:t>
      </w:r>
      <w:r>
        <w:rPr/>
        <w:t>las</w:t>
      </w:r>
      <w:r>
        <w:rPr>
          <w:spacing w:val="-6"/>
        </w:rPr>
        <w:t> </w:t>
      </w:r>
      <w:r>
        <w:rPr/>
        <w:t>relaciones</w:t>
      </w:r>
      <w:r>
        <w:rPr>
          <w:spacing w:val="-5"/>
        </w:rPr>
        <w:t> </w:t>
      </w:r>
      <w:r>
        <w:rPr/>
        <w:t>de</w:t>
      </w:r>
      <w:r>
        <w:rPr>
          <w:spacing w:val="-5"/>
        </w:rPr>
        <w:t> </w:t>
      </w:r>
      <w:r>
        <w:rPr>
          <w:spacing w:val="-2"/>
        </w:rPr>
        <w:t>trabajo</w:t>
      </w:r>
    </w:p>
    <w:p>
      <w:pPr>
        <w:pStyle w:val="BodyText"/>
        <w:spacing w:line="242" w:lineRule="auto" w:before="229"/>
        <w:ind w:left="338" w:right="339" w:firstLine="288"/>
        <w:jc w:val="both"/>
      </w:pPr>
      <w:bookmarkStart w:name="Artículo_35" w:id="44"/>
      <w:bookmarkEnd w:id="44"/>
      <w:r>
        <w:rPr/>
      </w:r>
      <w:r>
        <w:rPr>
          <w:rFonts w:ascii="Arial" w:hAnsi="Arial"/>
          <w:b/>
        </w:rPr>
        <w:t>Artículo 35. </w:t>
      </w:r>
      <w:r>
        <w:rPr/>
        <w:t>Las relaciones de trabajo pueden ser para obra o tiempo determinado, por temporada o por tiempo indeterminado y en su caso podrá estar sujeto a prueba o a capacitación inicial. A falta de estipulaciones expresas, la relación será por tiempo indeterminado.</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338" w:right="341" w:firstLine="288"/>
        <w:jc w:val="both"/>
      </w:pPr>
      <w:bookmarkStart w:name="Artículo_36" w:id="45"/>
      <w:bookmarkEnd w:id="45"/>
      <w:r>
        <w:rPr/>
      </w:r>
      <w:r>
        <w:rPr>
          <w:rFonts w:ascii="Arial" w:hAnsi="Arial"/>
          <w:b/>
        </w:rPr>
        <w:t>Artículo 36.- </w:t>
      </w:r>
      <w:r>
        <w:rPr/>
        <w:t>El señalamiento de un obra determinada puede únicamente estipularse cuando lo exija su naturaleza.</w:t>
      </w:r>
    </w:p>
    <w:p>
      <w:pPr>
        <w:pStyle w:val="BodyText"/>
        <w:spacing w:before="227"/>
        <w:ind w:left="338" w:right="342" w:firstLine="288"/>
        <w:jc w:val="both"/>
      </w:pPr>
      <w:bookmarkStart w:name="Artículo_37" w:id="46"/>
      <w:bookmarkEnd w:id="46"/>
      <w:r>
        <w:rPr/>
      </w:r>
      <w:r>
        <w:rPr>
          <w:rFonts w:ascii="Arial" w:hAnsi="Arial"/>
          <w:b/>
        </w:rPr>
        <w:t>Artículo 37.- </w:t>
      </w:r>
      <w:r>
        <w:rPr/>
        <w:t>El señalamiento de un tiempo determinado puede únicamente estipularse en los caso </w:t>
      </w:r>
      <w:r>
        <w:rPr>
          <w:spacing w:val="-2"/>
        </w:rPr>
        <w:t>siguientes:</w:t>
      </w:r>
    </w:p>
    <w:p>
      <w:pPr>
        <w:pStyle w:val="ListParagraph"/>
        <w:numPr>
          <w:ilvl w:val="0"/>
          <w:numId w:val="9"/>
        </w:numPr>
        <w:tabs>
          <w:tab w:pos="1195" w:val="left" w:leader="none"/>
        </w:tabs>
        <w:spacing w:line="240" w:lineRule="auto" w:before="229" w:after="0"/>
        <w:ind w:left="1195" w:right="0" w:hanging="569"/>
        <w:jc w:val="left"/>
        <w:rPr>
          <w:sz w:val="20"/>
        </w:rPr>
      </w:pPr>
      <w:r>
        <w:rPr>
          <w:sz w:val="20"/>
        </w:rPr>
        <w:t>Cuando</w:t>
      </w:r>
      <w:r>
        <w:rPr>
          <w:spacing w:val="-6"/>
          <w:sz w:val="20"/>
        </w:rPr>
        <w:t> </w:t>
      </w:r>
      <w:r>
        <w:rPr>
          <w:sz w:val="20"/>
        </w:rPr>
        <w:t>lo</w:t>
      </w:r>
      <w:r>
        <w:rPr>
          <w:spacing w:val="-6"/>
          <w:sz w:val="20"/>
        </w:rPr>
        <w:t> </w:t>
      </w:r>
      <w:r>
        <w:rPr>
          <w:sz w:val="20"/>
        </w:rPr>
        <w:t>exija</w:t>
      </w:r>
      <w:r>
        <w:rPr>
          <w:spacing w:val="-6"/>
          <w:sz w:val="20"/>
        </w:rPr>
        <w:t> </w:t>
      </w:r>
      <w:r>
        <w:rPr>
          <w:sz w:val="20"/>
        </w:rPr>
        <w:t>la</w:t>
      </w:r>
      <w:r>
        <w:rPr>
          <w:spacing w:val="-6"/>
          <w:sz w:val="20"/>
        </w:rPr>
        <w:t> </w:t>
      </w:r>
      <w:r>
        <w:rPr>
          <w:sz w:val="20"/>
        </w:rPr>
        <w:t>naturaleza</w:t>
      </w:r>
      <w:r>
        <w:rPr>
          <w:spacing w:val="-4"/>
          <w:sz w:val="20"/>
        </w:rPr>
        <w:t> </w:t>
      </w:r>
      <w:r>
        <w:rPr>
          <w:sz w:val="20"/>
        </w:rPr>
        <w:t>del</w:t>
      </w:r>
      <w:r>
        <w:rPr>
          <w:spacing w:val="-6"/>
          <w:sz w:val="20"/>
        </w:rPr>
        <w:t> </w:t>
      </w:r>
      <w:r>
        <w:rPr>
          <w:sz w:val="20"/>
        </w:rPr>
        <w:t>trabajo</w:t>
      </w:r>
      <w:r>
        <w:rPr>
          <w:spacing w:val="-4"/>
          <w:sz w:val="20"/>
        </w:rPr>
        <w:t> </w:t>
      </w:r>
      <w:r>
        <w:rPr>
          <w:sz w:val="20"/>
        </w:rPr>
        <w:t>que</w:t>
      </w:r>
      <w:r>
        <w:rPr>
          <w:spacing w:val="-6"/>
          <w:sz w:val="20"/>
        </w:rPr>
        <w:t> </w:t>
      </w:r>
      <w:r>
        <w:rPr>
          <w:sz w:val="20"/>
        </w:rPr>
        <w:t>se</w:t>
      </w:r>
      <w:r>
        <w:rPr>
          <w:spacing w:val="-4"/>
          <w:sz w:val="20"/>
        </w:rPr>
        <w:t> </w:t>
      </w:r>
      <w:r>
        <w:rPr>
          <w:sz w:val="20"/>
        </w:rPr>
        <w:t>va</w:t>
      </w:r>
      <w:r>
        <w:rPr>
          <w:spacing w:val="-7"/>
          <w:sz w:val="20"/>
        </w:rPr>
        <w:t> </w:t>
      </w:r>
      <w:r>
        <w:rPr>
          <w:sz w:val="20"/>
        </w:rPr>
        <w:t>a</w:t>
      </w:r>
      <w:r>
        <w:rPr>
          <w:spacing w:val="1"/>
          <w:sz w:val="20"/>
        </w:rPr>
        <w:t> </w:t>
      </w:r>
      <w:r>
        <w:rPr>
          <w:spacing w:val="-2"/>
          <w:sz w:val="20"/>
        </w:rPr>
        <w:t>prestar;</w:t>
      </w:r>
    </w:p>
    <w:p>
      <w:pPr>
        <w:pStyle w:val="BodyText"/>
        <w:spacing w:before="1"/>
      </w:pPr>
    </w:p>
    <w:p>
      <w:pPr>
        <w:pStyle w:val="ListParagraph"/>
        <w:numPr>
          <w:ilvl w:val="0"/>
          <w:numId w:val="9"/>
        </w:numPr>
        <w:tabs>
          <w:tab w:pos="1195" w:val="left" w:leader="none"/>
        </w:tabs>
        <w:spacing w:line="240" w:lineRule="auto" w:before="0" w:after="0"/>
        <w:ind w:left="1195" w:right="0" w:hanging="569"/>
        <w:jc w:val="left"/>
        <w:rPr>
          <w:sz w:val="20"/>
        </w:rPr>
      </w:pPr>
      <w:r>
        <w:rPr>
          <w:sz w:val="20"/>
        </w:rPr>
        <w:t>Cuando</w:t>
      </w:r>
      <w:r>
        <w:rPr>
          <w:spacing w:val="-10"/>
          <w:sz w:val="20"/>
        </w:rPr>
        <w:t> </w:t>
      </w:r>
      <w:r>
        <w:rPr>
          <w:sz w:val="20"/>
        </w:rPr>
        <w:t>tenga</w:t>
      </w:r>
      <w:r>
        <w:rPr>
          <w:spacing w:val="-9"/>
          <w:sz w:val="20"/>
        </w:rPr>
        <w:t> </w:t>
      </w:r>
      <w:r>
        <w:rPr>
          <w:sz w:val="20"/>
        </w:rPr>
        <w:t>por</w:t>
      </w:r>
      <w:r>
        <w:rPr>
          <w:spacing w:val="-7"/>
          <w:sz w:val="20"/>
        </w:rPr>
        <w:t> </w:t>
      </w:r>
      <w:r>
        <w:rPr>
          <w:sz w:val="20"/>
        </w:rPr>
        <w:t>objeto</w:t>
      </w:r>
      <w:r>
        <w:rPr>
          <w:spacing w:val="-7"/>
          <w:sz w:val="20"/>
        </w:rPr>
        <w:t> </w:t>
      </w:r>
      <w:r>
        <w:rPr>
          <w:sz w:val="20"/>
        </w:rPr>
        <w:t>substituir</w:t>
      </w:r>
      <w:r>
        <w:rPr>
          <w:spacing w:val="-8"/>
          <w:sz w:val="20"/>
        </w:rPr>
        <w:t> </w:t>
      </w:r>
      <w:r>
        <w:rPr>
          <w:sz w:val="20"/>
        </w:rPr>
        <w:t>temporalmente</w:t>
      </w:r>
      <w:r>
        <w:rPr>
          <w:spacing w:val="-10"/>
          <w:sz w:val="20"/>
        </w:rPr>
        <w:t> </w:t>
      </w:r>
      <w:r>
        <w:rPr>
          <w:sz w:val="20"/>
        </w:rPr>
        <w:t>a</w:t>
      </w:r>
      <w:r>
        <w:rPr>
          <w:spacing w:val="-8"/>
          <w:sz w:val="20"/>
        </w:rPr>
        <w:t> </w:t>
      </w:r>
      <w:r>
        <w:rPr>
          <w:sz w:val="20"/>
        </w:rPr>
        <w:t>otro</w:t>
      </w:r>
      <w:r>
        <w:rPr>
          <w:spacing w:val="-9"/>
          <w:sz w:val="20"/>
        </w:rPr>
        <w:t> </w:t>
      </w:r>
      <w:r>
        <w:rPr>
          <w:sz w:val="20"/>
        </w:rPr>
        <w:t>trabajador;</w:t>
      </w:r>
      <w:r>
        <w:rPr>
          <w:spacing w:val="-4"/>
          <w:sz w:val="20"/>
        </w:rPr>
        <w:t> </w:t>
      </w:r>
      <w:r>
        <w:rPr>
          <w:spacing w:val="-10"/>
          <w:sz w:val="20"/>
        </w:rPr>
        <w:t>y</w:t>
      </w:r>
    </w:p>
    <w:p>
      <w:pPr>
        <w:pStyle w:val="ListParagraph"/>
        <w:numPr>
          <w:ilvl w:val="0"/>
          <w:numId w:val="9"/>
        </w:numPr>
        <w:tabs>
          <w:tab w:pos="1195" w:val="left" w:leader="none"/>
        </w:tabs>
        <w:spacing w:line="240" w:lineRule="auto" w:before="228" w:after="0"/>
        <w:ind w:left="1195" w:right="0" w:hanging="569"/>
        <w:jc w:val="left"/>
        <w:rPr>
          <w:sz w:val="20"/>
        </w:rPr>
      </w:pPr>
      <w:r>
        <w:rPr>
          <w:sz w:val="20"/>
        </w:rPr>
        <w:t>En</w:t>
      </w:r>
      <w:r>
        <w:rPr>
          <w:spacing w:val="-5"/>
          <w:sz w:val="20"/>
        </w:rPr>
        <w:t> </w:t>
      </w:r>
      <w:r>
        <w:rPr>
          <w:sz w:val="20"/>
        </w:rPr>
        <w:t>los</w:t>
      </w:r>
      <w:r>
        <w:rPr>
          <w:spacing w:val="-5"/>
          <w:sz w:val="20"/>
        </w:rPr>
        <w:t> </w:t>
      </w:r>
      <w:r>
        <w:rPr>
          <w:sz w:val="20"/>
        </w:rPr>
        <w:t>demás</w:t>
      </w:r>
      <w:r>
        <w:rPr>
          <w:spacing w:val="-4"/>
          <w:sz w:val="20"/>
        </w:rPr>
        <w:t> </w:t>
      </w:r>
      <w:r>
        <w:rPr>
          <w:sz w:val="20"/>
        </w:rPr>
        <w:t>casos</w:t>
      </w:r>
      <w:r>
        <w:rPr>
          <w:spacing w:val="-5"/>
          <w:sz w:val="20"/>
        </w:rPr>
        <w:t> </w:t>
      </w:r>
      <w:r>
        <w:rPr>
          <w:sz w:val="20"/>
        </w:rPr>
        <w:t>previstos</w:t>
      </w:r>
      <w:r>
        <w:rPr>
          <w:spacing w:val="-5"/>
          <w:sz w:val="20"/>
        </w:rPr>
        <w:t> </w:t>
      </w:r>
      <w:r>
        <w:rPr>
          <w:sz w:val="20"/>
        </w:rPr>
        <w:t>por</w:t>
      </w:r>
      <w:r>
        <w:rPr>
          <w:spacing w:val="-5"/>
          <w:sz w:val="20"/>
        </w:rPr>
        <w:t> </w:t>
      </w:r>
      <w:r>
        <w:rPr>
          <w:sz w:val="20"/>
        </w:rPr>
        <w:t>esta</w:t>
      </w:r>
      <w:r>
        <w:rPr>
          <w:spacing w:val="-4"/>
          <w:sz w:val="20"/>
        </w:rPr>
        <w:t> Ley.</w:t>
      </w:r>
    </w:p>
    <w:p>
      <w:pPr>
        <w:pStyle w:val="BodyText"/>
        <w:spacing w:before="1"/>
      </w:pPr>
    </w:p>
    <w:p>
      <w:pPr>
        <w:pStyle w:val="BodyText"/>
        <w:spacing w:line="242" w:lineRule="auto"/>
        <w:ind w:left="338" w:right="342" w:firstLine="288"/>
        <w:jc w:val="both"/>
      </w:pPr>
      <w:bookmarkStart w:name="Artículo_38" w:id="47"/>
      <w:bookmarkEnd w:id="47"/>
      <w:r>
        <w:rPr/>
      </w:r>
      <w:r>
        <w:rPr>
          <w:rFonts w:ascii="Arial" w:hAnsi="Arial"/>
          <w:b/>
        </w:rPr>
        <w:t>Artículo 38.- </w:t>
      </w:r>
      <w:r>
        <w:rPr/>
        <w:t>Las relaciones de trabajo para la explotación de minas que carezcan de minerales costeables o para la restauración de minas abandonadas o paralizadas, pueden ser por tiempo u obra determinado o para la inversión de capital determinado.</w:t>
      </w:r>
    </w:p>
    <w:p>
      <w:pPr>
        <w:pStyle w:val="BodyText"/>
        <w:spacing w:line="242" w:lineRule="auto" w:before="222"/>
        <w:ind w:left="338" w:right="345" w:firstLine="288"/>
        <w:jc w:val="both"/>
      </w:pPr>
      <w:bookmarkStart w:name="Artículo_39" w:id="48"/>
      <w:bookmarkEnd w:id="48"/>
      <w:r>
        <w:rPr/>
      </w:r>
      <w:r>
        <w:rPr>
          <w:rFonts w:ascii="Arial" w:hAnsi="Arial"/>
          <w:b/>
        </w:rPr>
        <w:t>Artículo 39.- </w:t>
      </w:r>
      <w:r>
        <w:rPr/>
        <w:t>Si vencido el término que se hubiese fijado subsiste la materia del trabajo, la relación quedará prorrogada por todo el tiempo que perdure dicha circunstancia.</w:t>
      </w:r>
    </w:p>
    <w:p>
      <w:pPr>
        <w:pStyle w:val="BodyText"/>
        <w:spacing w:before="227"/>
        <w:ind w:left="338" w:right="342" w:firstLine="288"/>
        <w:jc w:val="both"/>
      </w:pPr>
      <w:bookmarkStart w:name="Artículo_39_A" w:id="49"/>
      <w:bookmarkEnd w:id="49"/>
      <w:r>
        <w:rPr/>
      </w:r>
      <w:r>
        <w:rPr>
          <w:rFonts w:ascii="Arial" w:hAnsi="Arial"/>
          <w:b/>
        </w:rPr>
        <w:t>Artículo 39-A. </w:t>
      </w:r>
      <w:r>
        <w:rPr/>
        <w:t>En las relaciones de trabajo por tiempo indeterminado o cuando excedan de ciento ochenta días, podrá establecerse un periodo a prueba, el cual no podrá exceder de treinta días, con el único fin de verificar que el trabajador cumple con los requisitos y conocimientos necesarios para desarrollar el trabajo que se solicita.</w:t>
      </w:r>
    </w:p>
    <w:p>
      <w:pPr>
        <w:pStyle w:val="BodyText"/>
        <w:spacing w:before="3"/>
      </w:pPr>
    </w:p>
    <w:p>
      <w:pPr>
        <w:pStyle w:val="BodyText"/>
        <w:ind w:left="338" w:right="341" w:firstLine="288"/>
        <w:jc w:val="both"/>
      </w:pPr>
      <w:r>
        <w:rPr/>
        <w:t>El periodo de prueba a que se refiere el párrafo anterior, podrá extenderse hasta ciento ochenta días, sólo cuando se trate de trabajadores para puestos de dirección, gerenciales y demás personas que ejerzan funciones de dirección o administración en la empresa o establecimiento de carácter general o para desempeñar labores técnicas o profesionales especializadas.</w:t>
      </w:r>
    </w:p>
    <w:p>
      <w:pPr>
        <w:pStyle w:val="BodyText"/>
        <w:spacing w:before="229"/>
        <w:ind w:left="338" w:right="336" w:firstLine="288"/>
        <w:jc w:val="both"/>
      </w:pPr>
      <w:r>
        <w:rPr/>
        <w:t>Durante el período de prueba el trabajador disfrutará del salario, la garantía de la seguridad social y</w:t>
      </w:r>
      <w:r>
        <w:rPr>
          <w:spacing w:val="80"/>
        </w:rPr>
        <w:t> </w:t>
      </w:r>
      <w:r>
        <w:rPr/>
        <w:t>de las prestaciones de la categoría o puesto que desempeñe. Al término del periodo de prueba, de no acreditar el trabajador que satisface los requisitos y conocimientos necesarios para desarrollar las labores,</w:t>
      </w:r>
      <w:r>
        <w:rPr>
          <w:spacing w:val="40"/>
        </w:rPr>
        <w:t> </w:t>
      </w:r>
      <w:r>
        <w:rPr/>
        <w:t>a</w:t>
      </w:r>
      <w:r>
        <w:rPr>
          <w:spacing w:val="40"/>
        </w:rPr>
        <w:t> </w:t>
      </w:r>
      <w:r>
        <w:rPr/>
        <w:t>juicio</w:t>
      </w:r>
      <w:r>
        <w:rPr>
          <w:spacing w:val="40"/>
        </w:rPr>
        <w:t> </w:t>
      </w:r>
      <w:r>
        <w:rPr/>
        <w:t>del</w:t>
      </w:r>
      <w:r>
        <w:rPr>
          <w:spacing w:val="40"/>
        </w:rPr>
        <w:t> </w:t>
      </w:r>
      <w:r>
        <w:rPr/>
        <w:t>patrón,</w:t>
      </w:r>
      <w:r>
        <w:rPr>
          <w:spacing w:val="40"/>
        </w:rPr>
        <w:t> </w:t>
      </w:r>
      <w:r>
        <w:rPr/>
        <w:t>tomando</w:t>
      </w:r>
      <w:r>
        <w:rPr>
          <w:spacing w:val="40"/>
        </w:rPr>
        <w:t> </w:t>
      </w:r>
      <w:r>
        <w:rPr/>
        <w:t>en</w:t>
      </w:r>
      <w:r>
        <w:rPr>
          <w:spacing w:val="40"/>
        </w:rPr>
        <w:t> </w:t>
      </w:r>
      <w:r>
        <w:rPr/>
        <w:t>cuenta</w:t>
      </w:r>
      <w:r>
        <w:rPr>
          <w:spacing w:val="40"/>
        </w:rPr>
        <w:t> </w:t>
      </w:r>
      <w:r>
        <w:rPr/>
        <w:t>la</w:t>
      </w:r>
      <w:r>
        <w:rPr>
          <w:spacing w:val="40"/>
        </w:rPr>
        <w:t> </w:t>
      </w:r>
      <w:r>
        <w:rPr/>
        <w:t>opinión</w:t>
      </w:r>
      <w:r>
        <w:rPr>
          <w:spacing w:val="40"/>
        </w:rPr>
        <w:t> </w:t>
      </w:r>
      <w:r>
        <w:rPr/>
        <w:t>de</w:t>
      </w:r>
      <w:r>
        <w:rPr>
          <w:spacing w:val="40"/>
        </w:rPr>
        <w:t> </w:t>
      </w:r>
      <w:r>
        <w:rPr/>
        <w:t>la</w:t>
      </w:r>
      <w:r>
        <w:rPr>
          <w:spacing w:val="40"/>
        </w:rPr>
        <w:t> </w:t>
      </w:r>
      <w:r>
        <w:rPr/>
        <w:t>Comisión</w:t>
      </w:r>
      <w:r>
        <w:rPr>
          <w:spacing w:val="40"/>
        </w:rPr>
        <w:t> </w:t>
      </w:r>
      <w:r>
        <w:rPr/>
        <w:t>Mixta</w:t>
      </w:r>
      <w:r>
        <w:rPr>
          <w:spacing w:val="40"/>
        </w:rPr>
        <w:t> </w:t>
      </w:r>
      <w:r>
        <w:rPr/>
        <w:t>de</w:t>
      </w:r>
      <w:r>
        <w:rPr>
          <w:spacing w:val="40"/>
        </w:rPr>
        <w:t> </w:t>
      </w:r>
      <w:r>
        <w:rPr/>
        <w:t>Productividad,</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pPr>
      <w:r>
        <w:rPr/>
        <w:t>Capacitación</w:t>
      </w:r>
      <w:r>
        <w:rPr>
          <w:spacing w:val="32"/>
        </w:rPr>
        <w:t> </w:t>
      </w:r>
      <w:r>
        <w:rPr/>
        <w:t>y</w:t>
      </w:r>
      <w:r>
        <w:rPr>
          <w:spacing w:val="29"/>
        </w:rPr>
        <w:t> </w:t>
      </w:r>
      <w:r>
        <w:rPr/>
        <w:t>Adiestramiento</w:t>
      </w:r>
      <w:r>
        <w:rPr>
          <w:spacing w:val="32"/>
        </w:rPr>
        <w:t> </w:t>
      </w:r>
      <w:r>
        <w:rPr/>
        <w:t>en</w:t>
      </w:r>
      <w:r>
        <w:rPr>
          <w:spacing w:val="29"/>
        </w:rPr>
        <w:t> </w:t>
      </w:r>
      <w:r>
        <w:rPr/>
        <w:t>los</w:t>
      </w:r>
      <w:r>
        <w:rPr>
          <w:spacing w:val="31"/>
        </w:rPr>
        <w:t> </w:t>
      </w:r>
      <w:r>
        <w:rPr/>
        <w:t>términos</w:t>
      </w:r>
      <w:r>
        <w:rPr>
          <w:spacing w:val="31"/>
        </w:rPr>
        <w:t> </w:t>
      </w:r>
      <w:r>
        <w:rPr/>
        <w:t>de</w:t>
      </w:r>
      <w:r>
        <w:rPr>
          <w:spacing w:val="29"/>
        </w:rPr>
        <w:t> </w:t>
      </w:r>
      <w:r>
        <w:rPr/>
        <w:t>esta</w:t>
      </w:r>
      <w:r>
        <w:rPr>
          <w:spacing w:val="29"/>
        </w:rPr>
        <w:t> </w:t>
      </w:r>
      <w:r>
        <w:rPr/>
        <w:t>Ley,</w:t>
      </w:r>
      <w:r>
        <w:rPr>
          <w:spacing w:val="30"/>
        </w:rPr>
        <w:t> </w:t>
      </w:r>
      <w:r>
        <w:rPr/>
        <w:t>así</w:t>
      </w:r>
      <w:r>
        <w:rPr>
          <w:spacing w:val="30"/>
        </w:rPr>
        <w:t> </w:t>
      </w:r>
      <w:r>
        <w:rPr/>
        <w:t>como</w:t>
      </w:r>
      <w:r>
        <w:rPr>
          <w:spacing w:val="30"/>
        </w:rPr>
        <w:t> </w:t>
      </w:r>
      <w:r>
        <w:rPr/>
        <w:t>la</w:t>
      </w:r>
      <w:r>
        <w:rPr>
          <w:spacing w:val="30"/>
        </w:rPr>
        <w:t> </w:t>
      </w:r>
      <w:r>
        <w:rPr/>
        <w:t>naturaleza</w:t>
      </w:r>
      <w:r>
        <w:rPr>
          <w:spacing w:val="30"/>
        </w:rPr>
        <w:t> </w:t>
      </w:r>
      <w:r>
        <w:rPr/>
        <w:t>de</w:t>
      </w:r>
      <w:r>
        <w:rPr>
          <w:spacing w:val="30"/>
        </w:rPr>
        <w:t> </w:t>
      </w:r>
      <w:r>
        <w:rPr/>
        <w:t>la</w:t>
      </w:r>
      <w:r>
        <w:rPr>
          <w:spacing w:val="30"/>
        </w:rPr>
        <w:t> </w:t>
      </w:r>
      <w:r>
        <w:rPr/>
        <w:t>categoría</w:t>
      </w:r>
      <w:r>
        <w:rPr>
          <w:spacing w:val="30"/>
        </w:rPr>
        <w:t> </w:t>
      </w:r>
      <w:r>
        <w:rPr/>
        <w:t>o puesto, se dará por terminada la relación de trabajo, sin responsabilidad para el patrón.</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BodyText"/>
        <w:ind w:left="338" w:right="341" w:firstLine="288"/>
        <w:jc w:val="both"/>
      </w:pPr>
      <w:bookmarkStart w:name="Artículo_39_B" w:id="50"/>
      <w:bookmarkEnd w:id="50"/>
      <w:r>
        <w:rPr/>
      </w:r>
      <w:r>
        <w:rPr>
          <w:rFonts w:ascii="Arial" w:hAnsi="Arial"/>
          <w:b/>
        </w:rPr>
        <w:t>Artículo 39-B. </w:t>
      </w:r>
      <w:r>
        <w:rPr/>
        <w:t>Se entiende por relación de trabajo para capacitación inicial, aquella por virtud de la cual un trabajador se obliga a prestar sus servicios subordinados, bajo la dirección y mando del patrón, con el fin de que adquiera los conocimientos o habilidades necesarios para la actividad para la que vaya</w:t>
      </w:r>
      <w:r>
        <w:rPr>
          <w:spacing w:val="40"/>
        </w:rPr>
        <w:t> </w:t>
      </w:r>
      <w:r>
        <w:rPr/>
        <w:t>a ser contratado.</w:t>
      </w:r>
    </w:p>
    <w:p>
      <w:pPr>
        <w:pStyle w:val="BodyText"/>
        <w:spacing w:before="2"/>
      </w:pPr>
    </w:p>
    <w:p>
      <w:pPr>
        <w:pStyle w:val="BodyText"/>
        <w:ind w:left="338" w:right="334" w:firstLine="288"/>
        <w:jc w:val="both"/>
      </w:pPr>
      <w:r>
        <w:rPr/>
        <w:t>La vigencia de la relación de trabajo a que se refiere el párrafo anterior, tendrá una duración máxima de tres meses o en su caso, hasta de seis meses sólo cuando se trate de trabajadores para puestos de dirección, gerenciales y demás personas que ejerzan funciones de dirección o administración en la empresa o establecimiento de carácter general o para desempeñar labores que requieran conocimientos profesionales especializados. Durante ese tiempo el trabajador disfrutará del salario, la garantía de la seguridad social y de las prestaciones de la categoría o puesto que desempeñe. Al término de la capacitación inicial, de no acreditar competencia el trabajador, a juicio del patrón, tomando en cuenta la opinión de la Comisión Mixta de Productividad, Capacitación y Adiestramiento en los términos de esta Ley, así como a la naturaleza de la categoría o puesto, se dará por terminada la relación de trabajo, sin responsabilidad para el patrón.</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338" w:right="346" w:firstLine="288"/>
        <w:jc w:val="both"/>
      </w:pPr>
      <w:bookmarkStart w:name="Artículo_39_C" w:id="51"/>
      <w:bookmarkEnd w:id="51"/>
      <w:r>
        <w:rPr/>
      </w:r>
      <w:r>
        <w:rPr>
          <w:rFonts w:ascii="Arial" w:hAnsi="Arial"/>
          <w:b/>
        </w:rPr>
        <w:t>Artículo 39-C. </w:t>
      </w:r>
      <w:r>
        <w:rPr/>
        <w:t>La relación de trabajo con periodo a prueba o de capacitación inicial, se hará constar por escrito garantizando la seguridad social del trabajador; en caso contrario se entenderá que es por tiempo indeterminado, y se garantizarán los derechos de seguridad social del trabajador.</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ind w:left="626"/>
      </w:pPr>
      <w:bookmarkStart w:name="Artículo_39_D" w:id="52"/>
      <w:bookmarkEnd w:id="52"/>
      <w:r>
        <w:rPr/>
      </w:r>
      <w:r>
        <w:rPr>
          <w:rFonts w:ascii="Arial" w:hAnsi="Arial"/>
          <w:b/>
        </w:rPr>
        <w:t>Artículo</w:t>
      </w:r>
      <w:r>
        <w:rPr>
          <w:rFonts w:ascii="Arial" w:hAnsi="Arial"/>
          <w:b/>
          <w:spacing w:val="-6"/>
        </w:rPr>
        <w:t> </w:t>
      </w:r>
      <w:r>
        <w:rPr>
          <w:rFonts w:ascii="Arial" w:hAnsi="Arial"/>
          <w:b/>
        </w:rPr>
        <w:t>39-D.</w:t>
      </w:r>
      <w:r>
        <w:rPr>
          <w:rFonts w:ascii="Arial" w:hAnsi="Arial"/>
          <w:b/>
          <w:spacing w:val="-7"/>
        </w:rPr>
        <w:t> </w:t>
      </w:r>
      <w:r>
        <w:rPr/>
        <w:t>Los</w:t>
      </w:r>
      <w:r>
        <w:rPr>
          <w:spacing w:val="-5"/>
        </w:rPr>
        <w:t> </w:t>
      </w:r>
      <w:r>
        <w:rPr/>
        <w:t>periodos</w:t>
      </w:r>
      <w:r>
        <w:rPr>
          <w:spacing w:val="-6"/>
        </w:rPr>
        <w:t> </w:t>
      </w:r>
      <w:r>
        <w:rPr/>
        <w:t>a</w:t>
      </w:r>
      <w:r>
        <w:rPr>
          <w:spacing w:val="-7"/>
        </w:rPr>
        <w:t> </w:t>
      </w:r>
      <w:r>
        <w:rPr/>
        <w:t>prueba</w:t>
      </w:r>
      <w:r>
        <w:rPr>
          <w:spacing w:val="-3"/>
        </w:rPr>
        <w:t> </w:t>
      </w:r>
      <w:r>
        <w:rPr/>
        <w:t>y</w:t>
      </w:r>
      <w:r>
        <w:rPr>
          <w:spacing w:val="-8"/>
        </w:rPr>
        <w:t> </w:t>
      </w:r>
      <w:r>
        <w:rPr/>
        <w:t>de</w:t>
      </w:r>
      <w:r>
        <w:rPr>
          <w:spacing w:val="-6"/>
        </w:rPr>
        <w:t> </w:t>
      </w:r>
      <w:r>
        <w:rPr/>
        <w:t>capacitación</w:t>
      </w:r>
      <w:r>
        <w:rPr>
          <w:spacing w:val="-7"/>
        </w:rPr>
        <w:t> </w:t>
      </w:r>
      <w:r>
        <w:rPr/>
        <w:t>inicial</w:t>
      </w:r>
      <w:r>
        <w:rPr>
          <w:spacing w:val="-7"/>
        </w:rPr>
        <w:t> </w:t>
      </w:r>
      <w:r>
        <w:rPr/>
        <w:t>son</w:t>
      </w:r>
      <w:r>
        <w:rPr>
          <w:spacing w:val="-5"/>
        </w:rPr>
        <w:t> </w:t>
      </w:r>
      <w:r>
        <w:rPr>
          <w:spacing w:val="-2"/>
        </w:rPr>
        <w:t>improrrogables.</w:t>
      </w:r>
    </w:p>
    <w:p>
      <w:pPr>
        <w:pStyle w:val="BodyText"/>
        <w:spacing w:before="3"/>
      </w:pPr>
    </w:p>
    <w:p>
      <w:pPr>
        <w:pStyle w:val="BodyText"/>
        <w:ind w:left="338" w:right="342" w:firstLine="288"/>
        <w:jc w:val="both"/>
      </w:pPr>
      <w:r>
        <w:rPr/>
        <w:t>Dentro de una misma empresa o establecimiento, no podrán aplicarse al mismo trabajador en forma simultánea o sucesiva periodos de prueba o de capacitación inicial, ni en más de una ocasión, ni tratándose de puestos de trabajo distintos, o de ascensos, aun cuando concluida la relación de trabajo surja otra con el mismo patrón, a efecto de garantizar los derechos de la seguridad social del trabajador.</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BodyText"/>
        <w:ind w:left="338" w:right="345" w:firstLine="288"/>
        <w:jc w:val="both"/>
      </w:pPr>
      <w:bookmarkStart w:name="Artículo_39_E" w:id="53"/>
      <w:bookmarkEnd w:id="53"/>
      <w:r>
        <w:rPr/>
      </w:r>
      <w:r>
        <w:rPr>
          <w:rFonts w:ascii="Arial" w:hAnsi="Arial"/>
          <w:b/>
        </w:rPr>
        <w:t>Artículo 39-E. </w:t>
      </w:r>
      <w:r>
        <w:rPr/>
        <w:t>Cuando concluyan los periodos a prueba o de capacitación inicial y</w:t>
      </w:r>
      <w:r>
        <w:rPr>
          <w:spacing w:val="-5"/>
        </w:rPr>
        <w:t> </w:t>
      </w:r>
      <w:r>
        <w:rPr/>
        <w:t>subsista la relación de trabajo, ésta se considerará por tiempo indeterminado y el tiempo de vigencia de aquellos se computará para efectos del cálculo de la antigüedad.</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40" w:firstLine="288"/>
        <w:jc w:val="both"/>
      </w:pPr>
      <w:bookmarkStart w:name="Artículo_39_F" w:id="54"/>
      <w:bookmarkEnd w:id="54"/>
      <w:r>
        <w:rPr/>
      </w:r>
      <w:r>
        <w:rPr>
          <w:rFonts w:ascii="Arial" w:hAnsi="Arial"/>
          <w:b/>
        </w:rPr>
        <w:t>Artículo 39-F. </w:t>
      </w:r>
      <w:r>
        <w:rPr/>
        <w:t>Las relaciones de trabajo por tiempo indeterminado serán continuas por regla general, pero podrán pactarse para labores discontinuas cuando los servicios requeridos sean para labores fijas y periódicas de carácter discontinuo, en los casos de actividades de temporada o que no exijan la prestación de servicios toda la semana, el mes o el año.</w:t>
      </w:r>
    </w:p>
    <w:p>
      <w:pPr>
        <w:pStyle w:val="BodyText"/>
        <w:spacing w:before="3"/>
      </w:pPr>
    </w:p>
    <w:p>
      <w:pPr>
        <w:pStyle w:val="BodyText"/>
        <w:ind w:left="338" w:right="339" w:firstLine="288"/>
        <w:jc w:val="both"/>
      </w:pPr>
      <w:r>
        <w:rPr/>
        <w:t>Los trabajadores que presten servicios bajo esta modalidad tienen los mismos derechos y</w:t>
      </w:r>
      <w:r>
        <w:rPr>
          <w:spacing w:val="40"/>
        </w:rPr>
        <w:t> </w:t>
      </w:r>
      <w:r>
        <w:rPr/>
        <w:t>obligaciones que los trabajadores por tiempo indeterminado, en proporción al tiempo trabajado en cada </w:t>
      </w:r>
      <w:r>
        <w:rPr>
          <w:spacing w:val="-2"/>
        </w:rPr>
        <w:t>periodo.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338" w:right="382" w:firstLine="288"/>
      </w:pPr>
      <w:bookmarkStart w:name="Artículo_40" w:id="55"/>
      <w:bookmarkEnd w:id="55"/>
      <w:r>
        <w:rPr/>
      </w:r>
      <w:r>
        <w:rPr>
          <w:rFonts w:ascii="Arial" w:hAnsi="Arial"/>
          <w:b/>
        </w:rPr>
        <w:t>Artículo 40.- </w:t>
      </w:r>
      <w:r>
        <w:rPr/>
        <w:t>Los trabajadores en ningún caso estarán obligados a prestar sus servicios por más de</w:t>
      </w:r>
      <w:r>
        <w:rPr>
          <w:spacing w:val="40"/>
        </w:rPr>
        <w:t> </w:t>
      </w:r>
      <w:r>
        <w:rPr/>
        <w:t>un año.</w:t>
      </w:r>
    </w:p>
    <w:p>
      <w:pPr>
        <w:pStyle w:val="BodyText"/>
        <w:spacing w:line="242" w:lineRule="auto" w:before="224"/>
        <w:ind w:left="338" w:firstLine="288"/>
      </w:pPr>
      <w:bookmarkStart w:name="Artículo_41" w:id="56"/>
      <w:bookmarkEnd w:id="56"/>
      <w:r>
        <w:rPr/>
      </w:r>
      <w:r>
        <w:rPr>
          <w:rFonts w:ascii="Arial" w:hAnsi="Arial"/>
          <w:b/>
        </w:rPr>
        <w:t>Artículo</w:t>
      </w:r>
      <w:r>
        <w:rPr>
          <w:rFonts w:ascii="Arial" w:hAnsi="Arial"/>
          <w:b/>
          <w:spacing w:val="40"/>
        </w:rPr>
        <w:t> </w:t>
      </w:r>
      <w:r>
        <w:rPr>
          <w:rFonts w:ascii="Arial" w:hAnsi="Arial"/>
          <w:b/>
        </w:rPr>
        <w:t>41.-</w:t>
      </w:r>
      <w:r>
        <w:rPr>
          <w:rFonts w:ascii="Arial" w:hAnsi="Arial"/>
          <w:b/>
          <w:spacing w:val="40"/>
        </w:rPr>
        <w:t> </w:t>
      </w:r>
      <w:r>
        <w:rPr/>
        <w:t>La</w:t>
      </w:r>
      <w:r>
        <w:rPr>
          <w:spacing w:val="40"/>
        </w:rPr>
        <w:t> </w:t>
      </w:r>
      <w:r>
        <w:rPr/>
        <w:t>substitución</w:t>
      </w:r>
      <w:r>
        <w:rPr>
          <w:spacing w:val="40"/>
        </w:rPr>
        <w:t> </w:t>
      </w:r>
      <w:r>
        <w:rPr/>
        <w:t>de</w:t>
      </w:r>
      <w:r>
        <w:rPr>
          <w:spacing w:val="40"/>
        </w:rPr>
        <w:t> </w:t>
      </w:r>
      <w:r>
        <w:rPr/>
        <w:t>patrón</w:t>
      </w:r>
      <w:r>
        <w:rPr>
          <w:spacing w:val="40"/>
        </w:rPr>
        <w:t> </w:t>
      </w:r>
      <w:r>
        <w:rPr/>
        <w:t>no</w:t>
      </w:r>
      <w:r>
        <w:rPr>
          <w:spacing w:val="40"/>
        </w:rPr>
        <w:t> </w:t>
      </w:r>
      <w:r>
        <w:rPr/>
        <w:t>afectará</w:t>
      </w:r>
      <w:r>
        <w:rPr>
          <w:spacing w:val="40"/>
        </w:rPr>
        <w:t> </w:t>
      </w:r>
      <w:r>
        <w:rPr/>
        <w:t>las</w:t>
      </w:r>
      <w:r>
        <w:rPr>
          <w:spacing w:val="40"/>
        </w:rPr>
        <w:t> </w:t>
      </w:r>
      <w:r>
        <w:rPr/>
        <w:t>relaciones</w:t>
      </w:r>
      <w:r>
        <w:rPr>
          <w:spacing w:val="40"/>
        </w:rPr>
        <w:t> </w:t>
      </w:r>
      <w:r>
        <w:rPr/>
        <w:t>de</w:t>
      </w:r>
      <w:r>
        <w:rPr>
          <w:spacing w:val="40"/>
        </w:rPr>
        <w:t> </w:t>
      </w:r>
      <w:r>
        <w:rPr/>
        <w:t>trabajo</w:t>
      </w:r>
      <w:r>
        <w:rPr>
          <w:spacing w:val="40"/>
        </w:rPr>
        <w:t> </w:t>
      </w:r>
      <w:r>
        <w:rPr/>
        <w:t>de</w:t>
      </w:r>
      <w:r>
        <w:rPr>
          <w:spacing w:val="40"/>
        </w:rPr>
        <w:t> </w:t>
      </w:r>
      <w:r>
        <w:rPr/>
        <w:t>la</w:t>
      </w:r>
      <w:r>
        <w:rPr>
          <w:spacing w:val="40"/>
        </w:rPr>
        <w:t> </w:t>
      </w:r>
      <w:r>
        <w:rPr/>
        <w:t>empresa</w:t>
      </w:r>
      <w:r>
        <w:rPr>
          <w:spacing w:val="40"/>
        </w:rPr>
        <w:t> </w:t>
      </w:r>
      <w:r>
        <w:rPr/>
        <w:t>o</w:t>
      </w:r>
      <w:r>
        <w:rPr>
          <w:spacing w:val="80"/>
        </w:rPr>
        <w:t> </w:t>
      </w:r>
      <w:r>
        <w:rPr/>
        <w:t>establecimiento.</w:t>
      </w:r>
      <w:r>
        <w:rPr>
          <w:spacing w:val="3"/>
        </w:rPr>
        <w:t> </w:t>
      </w:r>
      <w:r>
        <w:rPr/>
        <w:t>El</w:t>
      </w:r>
      <w:r>
        <w:rPr>
          <w:spacing w:val="2"/>
        </w:rPr>
        <w:t> </w:t>
      </w:r>
      <w:r>
        <w:rPr/>
        <w:t>patrón</w:t>
      </w:r>
      <w:r>
        <w:rPr>
          <w:spacing w:val="4"/>
        </w:rPr>
        <w:t> </w:t>
      </w:r>
      <w:r>
        <w:rPr/>
        <w:t>substituido</w:t>
      </w:r>
      <w:r>
        <w:rPr>
          <w:spacing w:val="2"/>
        </w:rPr>
        <w:t> </w:t>
      </w:r>
      <w:r>
        <w:rPr/>
        <w:t>será</w:t>
      </w:r>
      <w:r>
        <w:rPr>
          <w:spacing w:val="3"/>
        </w:rPr>
        <w:t> </w:t>
      </w:r>
      <w:r>
        <w:rPr/>
        <w:t>solidariamente</w:t>
      </w:r>
      <w:r>
        <w:rPr>
          <w:spacing w:val="2"/>
        </w:rPr>
        <w:t> </w:t>
      </w:r>
      <w:r>
        <w:rPr/>
        <w:t>responsable</w:t>
      </w:r>
      <w:r>
        <w:rPr>
          <w:spacing w:val="3"/>
        </w:rPr>
        <w:t> </w:t>
      </w:r>
      <w:r>
        <w:rPr/>
        <w:t>con</w:t>
      </w:r>
      <w:r>
        <w:rPr>
          <w:spacing w:val="3"/>
        </w:rPr>
        <w:t> </w:t>
      </w:r>
      <w:r>
        <w:rPr/>
        <w:t>el</w:t>
      </w:r>
      <w:r>
        <w:rPr>
          <w:spacing w:val="2"/>
        </w:rPr>
        <w:t> </w:t>
      </w:r>
      <w:r>
        <w:rPr/>
        <w:t>nuevo</w:t>
      </w:r>
      <w:r>
        <w:rPr>
          <w:spacing w:val="3"/>
        </w:rPr>
        <w:t> </w:t>
      </w:r>
      <w:r>
        <w:rPr/>
        <w:t>por</w:t>
      </w:r>
      <w:r>
        <w:rPr>
          <w:spacing w:val="3"/>
        </w:rPr>
        <w:t> </w:t>
      </w:r>
      <w:r>
        <w:rPr/>
        <w:t>las</w:t>
      </w:r>
      <w:r>
        <w:rPr>
          <w:spacing w:val="3"/>
        </w:rPr>
        <w:t> </w:t>
      </w:r>
      <w:r>
        <w:rPr>
          <w:spacing w:val="-2"/>
        </w:rPr>
        <w:t>obligaciones</w:t>
      </w:r>
    </w:p>
    <w:p>
      <w:pPr>
        <w:pStyle w:val="BodyText"/>
        <w:spacing w:after="0" w:line="242" w:lineRule="auto"/>
        <w:sectPr>
          <w:pgSz w:w="12240" w:h="15840"/>
          <w:pgMar w:header="724" w:footer="712" w:top="1880" w:bottom="900" w:left="1080" w:right="1080"/>
        </w:sectPr>
      </w:pPr>
    </w:p>
    <w:p>
      <w:pPr>
        <w:pStyle w:val="BodyText"/>
        <w:spacing w:before="65"/>
      </w:pPr>
    </w:p>
    <w:p>
      <w:pPr>
        <w:pStyle w:val="BodyText"/>
        <w:ind w:left="338" w:right="342"/>
      </w:pPr>
      <w:r>
        <w:rPr/>
        <w:t>derivadas de las relaciones de trabajo y de la Ley, nacidas antes de la fecha de la substitución, hasta por el término de seis meses; concluido éste, subsistirá únicamente la responsabilidad del nuevo patrón.</w:t>
      </w:r>
    </w:p>
    <w:p>
      <w:pPr>
        <w:pStyle w:val="BodyText"/>
        <w:spacing w:before="1"/>
      </w:pPr>
    </w:p>
    <w:p>
      <w:pPr>
        <w:pStyle w:val="BodyText"/>
        <w:spacing w:before="1"/>
        <w:ind w:left="338" w:firstLine="288"/>
      </w:pPr>
      <w:r>
        <w:rPr/>
        <w:t>El término de seis meses a que se refiere el párrafo anterior, se contará a partir de la fecha en que se hubiese dado aviso de la substitución al sindicato o a los trabajadores.</w:t>
      </w:r>
    </w:p>
    <w:p>
      <w:pPr>
        <w:pStyle w:val="BodyText"/>
        <w:spacing w:before="228"/>
        <w:ind w:left="338" w:firstLine="288"/>
      </w:pPr>
      <w:r>
        <w:rPr/>
        <w:t>Para que surta efectos la sustitución patronal deberán transmitirse los bienes objeto de la empresa o establecimiento al patrón sustituto.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23-04-</w:t>
      </w:r>
      <w:r>
        <w:rPr>
          <w:rFonts w:ascii="Times New Roman" w:hAnsi="Times New Roman"/>
          <w:i/>
          <w:color w:val="0000FF"/>
          <w:spacing w:val="-4"/>
          <w:sz w:val="16"/>
        </w:rPr>
        <w:t>2021</w:t>
      </w:r>
    </w:p>
    <w:p>
      <w:pPr>
        <w:pStyle w:val="BodyText"/>
        <w:spacing w:before="45"/>
        <w:rPr>
          <w:rFonts w:ascii="Times New Roman"/>
          <w:i/>
          <w:sz w:val="16"/>
        </w:rPr>
      </w:pPr>
    </w:p>
    <w:p>
      <w:pPr>
        <w:pStyle w:val="Heading1"/>
        <w:ind w:left="298"/>
      </w:pPr>
      <w:r>
        <w:rPr/>
        <w:t>CAPITULO</w:t>
      </w:r>
      <w:r>
        <w:rPr>
          <w:spacing w:val="-9"/>
        </w:rPr>
        <w:t> </w:t>
      </w:r>
      <w:r>
        <w:rPr>
          <w:spacing w:val="-5"/>
        </w:rPr>
        <w:t>III</w:t>
      </w:r>
    </w:p>
    <w:p>
      <w:pPr>
        <w:pStyle w:val="Heading2"/>
        <w:spacing w:line="252" w:lineRule="exact"/>
        <w:ind w:left="297"/>
      </w:pPr>
      <w:r>
        <w:rPr/>
        <w:t>Suspensión</w:t>
      </w:r>
      <w:r>
        <w:rPr>
          <w:spacing w:val="-6"/>
        </w:rPr>
        <w:t> </w:t>
      </w:r>
      <w:r>
        <w:rPr/>
        <w:t>de</w:t>
      </w:r>
      <w:r>
        <w:rPr>
          <w:spacing w:val="-7"/>
        </w:rPr>
        <w:t> </w:t>
      </w:r>
      <w:r>
        <w:rPr/>
        <w:t>los</w:t>
      </w:r>
      <w:r>
        <w:rPr>
          <w:spacing w:val="-7"/>
        </w:rPr>
        <w:t> </w:t>
      </w:r>
      <w:r>
        <w:rPr/>
        <w:t>efectos</w:t>
      </w:r>
      <w:r>
        <w:rPr>
          <w:spacing w:val="-4"/>
        </w:rPr>
        <w:t> </w:t>
      </w:r>
      <w:r>
        <w:rPr/>
        <w:t>de</w:t>
      </w:r>
      <w:r>
        <w:rPr>
          <w:spacing w:val="-6"/>
        </w:rPr>
        <w:t> </w:t>
      </w:r>
      <w:r>
        <w:rPr/>
        <w:t>las</w:t>
      </w:r>
      <w:r>
        <w:rPr>
          <w:spacing w:val="-6"/>
        </w:rPr>
        <w:t> </w:t>
      </w:r>
      <w:r>
        <w:rPr/>
        <w:t>relaciones</w:t>
      </w:r>
      <w:r>
        <w:rPr>
          <w:spacing w:val="-6"/>
        </w:rPr>
        <w:t> </w:t>
      </w:r>
      <w:r>
        <w:rPr/>
        <w:t>de</w:t>
      </w:r>
      <w:r>
        <w:rPr>
          <w:spacing w:val="-3"/>
        </w:rPr>
        <w:t> </w:t>
      </w:r>
      <w:r>
        <w:rPr>
          <w:spacing w:val="-2"/>
        </w:rPr>
        <w:t>trabajo</w:t>
      </w:r>
    </w:p>
    <w:p>
      <w:pPr>
        <w:pStyle w:val="BodyText"/>
        <w:spacing w:line="242" w:lineRule="auto" w:before="232"/>
        <w:ind w:left="338" w:firstLine="288"/>
      </w:pPr>
      <w:bookmarkStart w:name="Artículo_42" w:id="57"/>
      <w:bookmarkEnd w:id="57"/>
      <w:r>
        <w:rPr/>
      </w:r>
      <w:r>
        <w:rPr>
          <w:rFonts w:ascii="Arial" w:hAnsi="Arial"/>
          <w:b/>
        </w:rPr>
        <w:t>Artículo 42.- </w:t>
      </w:r>
      <w:r>
        <w:rPr/>
        <w:t>Son causas de suspensión temporal de las obligaciones de prestar el</w:t>
      </w:r>
      <w:r>
        <w:rPr>
          <w:spacing w:val="-1"/>
        </w:rPr>
        <w:t> </w:t>
      </w:r>
      <w:r>
        <w:rPr/>
        <w:t>servicio y pagar el salario, sin responsabilidad para el trabajador y el patrón:</w:t>
      </w:r>
    </w:p>
    <w:p>
      <w:pPr>
        <w:pStyle w:val="ListParagraph"/>
        <w:numPr>
          <w:ilvl w:val="0"/>
          <w:numId w:val="10"/>
        </w:numPr>
        <w:tabs>
          <w:tab w:pos="1195" w:val="left" w:leader="none"/>
        </w:tabs>
        <w:spacing w:line="240" w:lineRule="auto" w:before="226" w:after="0"/>
        <w:ind w:left="1195" w:right="0" w:hanging="569"/>
        <w:jc w:val="left"/>
        <w:rPr>
          <w:sz w:val="20"/>
        </w:rPr>
      </w:pPr>
      <w:r>
        <w:rPr>
          <w:sz w:val="20"/>
        </w:rPr>
        <w:t>La</w:t>
      </w:r>
      <w:r>
        <w:rPr>
          <w:spacing w:val="-10"/>
          <w:sz w:val="20"/>
        </w:rPr>
        <w:t> </w:t>
      </w:r>
      <w:r>
        <w:rPr>
          <w:sz w:val="20"/>
        </w:rPr>
        <w:t>enfermedad</w:t>
      </w:r>
      <w:r>
        <w:rPr>
          <w:spacing w:val="-9"/>
          <w:sz w:val="20"/>
        </w:rPr>
        <w:t> </w:t>
      </w:r>
      <w:r>
        <w:rPr>
          <w:sz w:val="20"/>
        </w:rPr>
        <w:t>contagiosa</w:t>
      </w:r>
      <w:r>
        <w:rPr>
          <w:spacing w:val="-6"/>
          <w:sz w:val="20"/>
        </w:rPr>
        <w:t> </w:t>
      </w:r>
      <w:r>
        <w:rPr>
          <w:sz w:val="20"/>
        </w:rPr>
        <w:t>del</w:t>
      </w:r>
      <w:r>
        <w:rPr>
          <w:spacing w:val="-8"/>
          <w:sz w:val="20"/>
        </w:rPr>
        <w:t> </w:t>
      </w:r>
      <w:r>
        <w:rPr>
          <w:spacing w:val="-2"/>
          <w:sz w:val="20"/>
        </w:rPr>
        <w:t>trabajador;</w:t>
      </w:r>
    </w:p>
    <w:p>
      <w:pPr>
        <w:pStyle w:val="ListParagraph"/>
        <w:numPr>
          <w:ilvl w:val="0"/>
          <w:numId w:val="10"/>
        </w:numPr>
        <w:tabs>
          <w:tab w:pos="1192" w:val="left" w:leader="none"/>
          <w:tab w:pos="1195" w:val="left" w:leader="none"/>
        </w:tabs>
        <w:spacing w:line="242" w:lineRule="auto" w:before="229" w:after="0"/>
        <w:ind w:left="1195" w:right="339" w:hanging="569"/>
        <w:jc w:val="both"/>
        <w:rPr>
          <w:sz w:val="20"/>
        </w:rPr>
      </w:pPr>
      <w:r>
        <w:rPr>
          <w:sz w:val="20"/>
        </w:rPr>
        <w:t>La incapacidad temporal ocasionada por un accidente o enfermedad que no constituya un</w:t>
      </w:r>
      <w:r>
        <w:rPr>
          <w:spacing w:val="40"/>
          <w:sz w:val="20"/>
        </w:rPr>
        <w:t> </w:t>
      </w:r>
      <w:r>
        <w:rPr>
          <w:sz w:val="20"/>
        </w:rPr>
        <w:t>riesgo de trabajo;</w:t>
      </w:r>
    </w:p>
    <w:p>
      <w:pPr>
        <w:pStyle w:val="ListParagraph"/>
        <w:numPr>
          <w:ilvl w:val="0"/>
          <w:numId w:val="10"/>
        </w:numPr>
        <w:tabs>
          <w:tab w:pos="1191" w:val="left" w:leader="none"/>
          <w:tab w:pos="1195" w:val="left" w:leader="none"/>
        </w:tabs>
        <w:spacing w:line="240" w:lineRule="auto" w:before="226" w:after="0"/>
        <w:ind w:left="1195" w:right="334" w:hanging="569"/>
        <w:jc w:val="both"/>
        <w:rPr>
          <w:sz w:val="20"/>
        </w:rPr>
      </w:pPr>
      <w:r>
        <w:rPr>
          <w:sz w:val="20"/>
        </w:rPr>
        <w:t>La prisión preventiva del trabajador seguida de sentencia absolutoria. Si el trabajador obró en defensa de la persona o de los intereses del patrón, tendrá éste la obligación de pagar los salarios que hubiese dejado de percibir aquél;</w:t>
      </w:r>
    </w:p>
    <w:p>
      <w:pPr>
        <w:pStyle w:val="ListParagraph"/>
        <w:numPr>
          <w:ilvl w:val="0"/>
          <w:numId w:val="10"/>
        </w:numPr>
        <w:tabs>
          <w:tab w:pos="1195" w:val="left" w:leader="none"/>
        </w:tabs>
        <w:spacing w:line="240" w:lineRule="auto" w:before="230" w:after="0"/>
        <w:ind w:left="1195" w:right="0" w:hanging="569"/>
        <w:jc w:val="left"/>
        <w:rPr>
          <w:sz w:val="20"/>
        </w:rPr>
      </w:pPr>
      <w:r>
        <w:rPr>
          <w:sz w:val="20"/>
        </w:rPr>
        <w:t>El</w:t>
      </w:r>
      <w:r>
        <w:rPr>
          <w:spacing w:val="-4"/>
          <w:sz w:val="20"/>
        </w:rPr>
        <w:t> </w:t>
      </w:r>
      <w:r>
        <w:rPr>
          <w:sz w:val="20"/>
        </w:rPr>
        <w:t>arresto</w:t>
      </w:r>
      <w:r>
        <w:rPr>
          <w:spacing w:val="-6"/>
          <w:sz w:val="20"/>
        </w:rPr>
        <w:t> </w:t>
      </w:r>
      <w:r>
        <w:rPr>
          <w:sz w:val="20"/>
        </w:rPr>
        <w:t>del</w:t>
      </w:r>
      <w:r>
        <w:rPr>
          <w:spacing w:val="-6"/>
          <w:sz w:val="20"/>
        </w:rPr>
        <w:t> </w:t>
      </w:r>
      <w:r>
        <w:rPr>
          <w:spacing w:val="-2"/>
          <w:sz w:val="20"/>
        </w:rPr>
        <w:t>trabajador;</w:t>
      </w:r>
    </w:p>
    <w:p>
      <w:pPr>
        <w:pStyle w:val="BodyText"/>
        <w:spacing w:before="1"/>
      </w:pPr>
    </w:p>
    <w:p>
      <w:pPr>
        <w:pStyle w:val="ListParagraph"/>
        <w:numPr>
          <w:ilvl w:val="0"/>
          <w:numId w:val="10"/>
        </w:numPr>
        <w:tabs>
          <w:tab w:pos="1195" w:val="left" w:leader="none"/>
        </w:tabs>
        <w:spacing w:line="240" w:lineRule="auto" w:before="0" w:after="0"/>
        <w:ind w:left="1195" w:right="336" w:hanging="569"/>
        <w:jc w:val="both"/>
        <w:rPr>
          <w:sz w:val="20"/>
        </w:rPr>
      </w:pPr>
      <w:r>
        <w:rPr>
          <w:sz w:val="20"/>
        </w:rPr>
        <w:t>El cumplimiento de los servicios y el desempeño de los cargos mencionados en el artículo 5o</w:t>
      </w:r>
      <w:r>
        <w:rPr>
          <w:spacing w:val="80"/>
          <w:sz w:val="20"/>
        </w:rPr>
        <w:t> </w:t>
      </w:r>
      <w:r>
        <w:rPr>
          <w:sz w:val="20"/>
        </w:rPr>
        <w:t>de la Constitución, y el de las obligaciones consignadas en el artículo 31, fracción III de la misma Constitución;</w:t>
      </w:r>
    </w:p>
    <w:p>
      <w:pPr>
        <w:pStyle w:val="ListParagraph"/>
        <w:numPr>
          <w:ilvl w:val="0"/>
          <w:numId w:val="10"/>
        </w:numPr>
        <w:tabs>
          <w:tab w:pos="1195" w:val="left" w:leader="none"/>
        </w:tabs>
        <w:spacing w:line="242" w:lineRule="auto" w:before="229" w:after="0"/>
        <w:ind w:left="1195" w:right="344" w:hanging="569"/>
        <w:jc w:val="both"/>
        <w:rPr>
          <w:sz w:val="20"/>
        </w:rPr>
      </w:pPr>
      <w:r>
        <w:rPr>
          <w:sz w:val="20"/>
        </w:rPr>
        <w:t>La designación de los trabajadores como representantes ante los organismos estatales, Comisión Nacional de los Salarios Mínimos, Comisión Nacional para la Participación de los Trabajadores en las Utilidades de las Empresas y otros semejantes;</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21-01-1988,</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0"/>
        </w:numPr>
        <w:tabs>
          <w:tab w:pos="1193" w:val="left" w:leader="none"/>
          <w:tab w:pos="1195" w:val="left" w:leader="none"/>
        </w:tabs>
        <w:spacing w:line="242" w:lineRule="auto" w:before="1" w:after="0"/>
        <w:ind w:left="1195" w:right="340" w:hanging="569"/>
        <w:jc w:val="both"/>
        <w:rPr>
          <w:sz w:val="20"/>
        </w:rPr>
      </w:pPr>
      <w:r>
        <w:rPr>
          <w:sz w:val="20"/>
        </w:rPr>
        <w:t>La Falta </w:t>
      </w:r>
      <w:r>
        <w:rPr>
          <w:rFonts w:ascii="Arial" w:hAnsi="Arial"/>
          <w:b/>
          <w:sz w:val="20"/>
        </w:rPr>
        <w:t>(sic DOF 04-06-2019) </w:t>
      </w:r>
      <w:r>
        <w:rPr>
          <w:sz w:val="20"/>
        </w:rPr>
        <w:t>de los documentos que exijan las Leyes y reglamentos, necesarios para la prestación del servicio, cuando sea imputable al trabajador;</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04-06-</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0"/>
        </w:numPr>
        <w:tabs>
          <w:tab w:pos="1193" w:val="left" w:leader="none"/>
          <w:tab w:pos="1195" w:val="left" w:leader="none"/>
        </w:tabs>
        <w:spacing w:line="242" w:lineRule="auto" w:before="0" w:after="0"/>
        <w:ind w:left="1195" w:right="346" w:hanging="569"/>
        <w:jc w:val="both"/>
        <w:rPr>
          <w:sz w:val="20"/>
        </w:rPr>
      </w:pPr>
      <w:r>
        <w:rPr>
          <w:sz w:val="20"/>
        </w:rPr>
        <w:t>La conclusión de la temporada en el caso de los trabajadores contratados bajo esta modalidad, </w:t>
      </w:r>
      <w:r>
        <w:rPr>
          <w:spacing w:val="-10"/>
          <w:sz w:val="20"/>
        </w:rPr>
        <w:t>y</w:t>
      </w:r>
    </w:p>
    <w:p>
      <w:pPr>
        <w:spacing w:line="180" w:lineRule="exact" w:before="0"/>
        <w:ind w:left="52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04-06-</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0"/>
        </w:numPr>
        <w:tabs>
          <w:tab w:pos="1195" w:val="left" w:leader="none"/>
        </w:tabs>
        <w:spacing w:line="240" w:lineRule="auto" w:before="0" w:after="0"/>
        <w:ind w:left="1195" w:right="0" w:hanging="569"/>
        <w:jc w:val="left"/>
        <w:rPr>
          <w:sz w:val="20"/>
        </w:rPr>
      </w:pPr>
      <w:r>
        <w:rPr>
          <w:sz w:val="20"/>
        </w:rPr>
        <w:t>La</w:t>
      </w:r>
      <w:r>
        <w:rPr>
          <w:spacing w:val="-7"/>
          <w:sz w:val="20"/>
        </w:rPr>
        <w:t> </w:t>
      </w:r>
      <w:r>
        <w:rPr>
          <w:sz w:val="20"/>
        </w:rPr>
        <w:t>licencia</w:t>
      </w:r>
      <w:r>
        <w:rPr>
          <w:spacing w:val="-5"/>
          <w:sz w:val="20"/>
        </w:rPr>
        <w:t> </w:t>
      </w:r>
      <w:r>
        <w:rPr>
          <w:sz w:val="20"/>
        </w:rPr>
        <w:t>a</w:t>
      </w:r>
      <w:r>
        <w:rPr>
          <w:spacing w:val="-4"/>
          <w:sz w:val="20"/>
        </w:rPr>
        <w:t> </w:t>
      </w:r>
      <w:r>
        <w:rPr>
          <w:sz w:val="20"/>
        </w:rPr>
        <w:t>que</w:t>
      </w:r>
      <w:r>
        <w:rPr>
          <w:spacing w:val="-4"/>
          <w:sz w:val="20"/>
        </w:rPr>
        <w:t> </w:t>
      </w:r>
      <w:r>
        <w:rPr>
          <w:sz w:val="20"/>
        </w:rPr>
        <w:t>se</w:t>
      </w:r>
      <w:r>
        <w:rPr>
          <w:spacing w:val="-5"/>
          <w:sz w:val="20"/>
        </w:rPr>
        <w:t> </w:t>
      </w:r>
      <w:r>
        <w:rPr>
          <w:sz w:val="20"/>
        </w:rPr>
        <w:t>refiere</w:t>
      </w:r>
      <w:r>
        <w:rPr>
          <w:spacing w:val="-4"/>
          <w:sz w:val="20"/>
        </w:rPr>
        <w:t> </w:t>
      </w:r>
      <w:r>
        <w:rPr>
          <w:sz w:val="20"/>
        </w:rPr>
        <w:t>el</w:t>
      </w:r>
      <w:r>
        <w:rPr>
          <w:spacing w:val="-4"/>
          <w:sz w:val="20"/>
        </w:rPr>
        <w:t> </w:t>
      </w:r>
      <w:r>
        <w:rPr>
          <w:sz w:val="20"/>
        </w:rPr>
        <w:t>artículo</w:t>
      </w:r>
      <w:r>
        <w:rPr>
          <w:spacing w:val="-3"/>
          <w:sz w:val="20"/>
        </w:rPr>
        <w:t> </w:t>
      </w:r>
      <w:r>
        <w:rPr>
          <w:sz w:val="20"/>
        </w:rPr>
        <w:t>140</w:t>
      </w:r>
      <w:r>
        <w:rPr>
          <w:spacing w:val="-6"/>
          <w:sz w:val="20"/>
        </w:rPr>
        <w:t> </w:t>
      </w:r>
      <w:r>
        <w:rPr>
          <w:sz w:val="20"/>
        </w:rPr>
        <w:t>Bis</w:t>
      </w:r>
      <w:r>
        <w:rPr>
          <w:spacing w:val="-4"/>
          <w:sz w:val="20"/>
        </w:rPr>
        <w:t> </w:t>
      </w:r>
      <w:r>
        <w:rPr>
          <w:sz w:val="20"/>
        </w:rPr>
        <w:t>de</w:t>
      </w:r>
      <w:r>
        <w:rPr>
          <w:spacing w:val="-4"/>
          <w:sz w:val="20"/>
        </w:rPr>
        <w:t> </w:t>
      </w:r>
      <w:r>
        <w:rPr>
          <w:sz w:val="20"/>
        </w:rPr>
        <w:t>la</w:t>
      </w:r>
      <w:r>
        <w:rPr>
          <w:spacing w:val="-4"/>
          <w:sz w:val="20"/>
        </w:rPr>
        <w:t> </w:t>
      </w:r>
      <w:r>
        <w:rPr>
          <w:sz w:val="20"/>
        </w:rPr>
        <w:t>Ley</w:t>
      </w:r>
      <w:r>
        <w:rPr>
          <w:spacing w:val="-6"/>
          <w:sz w:val="20"/>
        </w:rPr>
        <w:t> </w:t>
      </w:r>
      <w:r>
        <w:rPr>
          <w:sz w:val="20"/>
        </w:rPr>
        <w:t>del</w:t>
      </w:r>
      <w:r>
        <w:rPr>
          <w:spacing w:val="-5"/>
          <w:sz w:val="20"/>
        </w:rPr>
        <w:t> </w:t>
      </w:r>
      <w:r>
        <w:rPr>
          <w:sz w:val="20"/>
        </w:rPr>
        <w:t>Seguro</w:t>
      </w:r>
      <w:r>
        <w:rPr>
          <w:spacing w:val="-3"/>
          <w:sz w:val="20"/>
        </w:rPr>
        <w:t> </w:t>
      </w:r>
      <w:r>
        <w:rPr>
          <w:spacing w:val="-2"/>
          <w:sz w:val="20"/>
        </w:rPr>
        <w:t>Social.</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8" w:firstLine="288"/>
        <w:jc w:val="both"/>
      </w:pPr>
      <w:bookmarkStart w:name="Artículo_42_Bis" w:id="58"/>
      <w:bookmarkEnd w:id="58"/>
      <w:r>
        <w:rPr/>
      </w:r>
      <w:r>
        <w:rPr>
          <w:rFonts w:ascii="Arial" w:hAnsi="Arial"/>
          <w:b/>
        </w:rPr>
        <w:t>Artículo 42 Bis. </w:t>
      </w:r>
      <w:r>
        <w:rPr/>
        <w:t>En los casos en que las autoridades competentes emitan una declaratoria de contingencia sanitaria, conforme a las disposiciones aplicables, que implique la suspensión de las</w:t>
      </w:r>
      <w:r>
        <w:rPr>
          <w:spacing w:val="40"/>
        </w:rPr>
        <w:t> </w:t>
      </w:r>
      <w:r>
        <w:rPr/>
        <w:t>labores, se estará a lo dispuesto por el artículo 429, fracción IV de esta Ley.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rPr>
      </w:pPr>
    </w:p>
    <w:p>
      <w:pPr>
        <w:pStyle w:val="BodyText"/>
        <w:spacing w:line="229" w:lineRule="exact"/>
        <w:ind w:left="626"/>
      </w:pPr>
      <w:bookmarkStart w:name="Artículo_43" w:id="59"/>
      <w:bookmarkEnd w:id="59"/>
      <w:r>
        <w:rPr/>
      </w:r>
      <w:r>
        <w:rPr>
          <w:rFonts w:ascii="Arial" w:hAnsi="Arial"/>
          <w:b/>
        </w:rPr>
        <w:t>Artículo</w:t>
      </w:r>
      <w:r>
        <w:rPr>
          <w:rFonts w:ascii="Arial" w:hAnsi="Arial"/>
          <w:b/>
          <w:spacing w:val="-6"/>
        </w:rPr>
        <w:t> </w:t>
      </w:r>
      <w:r>
        <w:rPr>
          <w:rFonts w:ascii="Arial" w:hAnsi="Arial"/>
          <w:b/>
        </w:rPr>
        <w:t>43.</w:t>
      </w:r>
      <w:r>
        <w:rPr>
          <w:rFonts w:ascii="Arial" w:hAnsi="Arial"/>
          <w:b/>
          <w:spacing w:val="-6"/>
        </w:rPr>
        <w:t> </w:t>
      </w:r>
      <w:r>
        <w:rPr/>
        <w:t>La</w:t>
      </w:r>
      <w:r>
        <w:rPr>
          <w:spacing w:val="-6"/>
        </w:rPr>
        <w:t> </w:t>
      </w:r>
      <w:r>
        <w:rPr/>
        <w:t>suspensión</w:t>
      </w:r>
      <w:r>
        <w:rPr>
          <w:spacing w:val="-4"/>
        </w:rPr>
        <w:t> </w:t>
      </w:r>
      <w:r>
        <w:rPr/>
        <w:t>a</w:t>
      </w:r>
      <w:r>
        <w:rPr>
          <w:spacing w:val="-7"/>
        </w:rPr>
        <w:t> </w:t>
      </w:r>
      <w:r>
        <w:rPr/>
        <w:t>que</w:t>
      </w:r>
      <w:r>
        <w:rPr>
          <w:spacing w:val="-6"/>
        </w:rPr>
        <w:t> </w:t>
      </w:r>
      <w:r>
        <w:rPr/>
        <w:t>se</w:t>
      </w:r>
      <w:r>
        <w:rPr>
          <w:spacing w:val="-6"/>
        </w:rPr>
        <w:t> </w:t>
      </w:r>
      <w:r>
        <w:rPr/>
        <w:t>refiere</w:t>
      </w:r>
      <w:r>
        <w:rPr>
          <w:spacing w:val="-4"/>
        </w:rPr>
        <w:t> </w:t>
      </w:r>
      <w:r>
        <w:rPr/>
        <w:t>el</w:t>
      </w:r>
      <w:r>
        <w:rPr>
          <w:spacing w:val="-5"/>
        </w:rPr>
        <w:t> </w:t>
      </w:r>
      <w:r>
        <w:rPr/>
        <w:t>artículo</w:t>
      </w:r>
      <w:r>
        <w:rPr>
          <w:spacing w:val="-4"/>
        </w:rPr>
        <w:t> </w:t>
      </w:r>
      <w:r>
        <w:rPr/>
        <w:t>42</w:t>
      </w:r>
      <w:r>
        <w:rPr>
          <w:spacing w:val="-6"/>
        </w:rPr>
        <w:t> </w:t>
      </w:r>
      <w:r>
        <w:rPr/>
        <w:t>surtirá</w:t>
      </w:r>
      <w:r>
        <w:rPr>
          <w:spacing w:val="-4"/>
        </w:rPr>
        <w:t> </w:t>
      </w:r>
      <w:r>
        <w:rPr>
          <w:spacing w:val="-2"/>
        </w:rPr>
        <w:t>efectos: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3"/>
        <w:rPr>
          <w:rFonts w:ascii="Times New Roman"/>
          <w:i/>
        </w:rPr>
      </w:pPr>
    </w:p>
    <w:p>
      <w:pPr>
        <w:pStyle w:val="ListParagraph"/>
        <w:numPr>
          <w:ilvl w:val="0"/>
          <w:numId w:val="11"/>
        </w:numPr>
        <w:tabs>
          <w:tab w:pos="1193" w:val="left" w:leader="none"/>
          <w:tab w:pos="1195" w:val="left" w:leader="none"/>
        </w:tabs>
        <w:spacing w:line="240" w:lineRule="auto" w:before="0" w:after="0"/>
        <w:ind w:left="1195" w:right="338" w:hanging="569"/>
        <w:jc w:val="both"/>
        <w:rPr>
          <w:sz w:val="20"/>
        </w:rPr>
      </w:pPr>
      <w:r>
        <w:rPr>
          <w:sz w:val="20"/>
        </w:rPr>
        <w:t>En los casos de las fracciones I y II del artículo anterior, desde la fecha en que el patrón tenga conocimiento de la enfermedad contagiosa o de la en que se produzca la incapacidad para el trabajo, hasta que termine el período fijado por el Instituto Mexicano del</w:t>
      </w:r>
      <w:r>
        <w:rPr>
          <w:spacing w:val="18"/>
          <w:sz w:val="20"/>
        </w:rPr>
        <w:t> </w:t>
      </w:r>
      <w:r>
        <w:rPr>
          <w:sz w:val="20"/>
        </w:rPr>
        <w:t>Seguro Social o antes</w:t>
      </w:r>
      <w:r>
        <w:rPr>
          <w:spacing w:val="40"/>
          <w:sz w:val="20"/>
        </w:rPr>
        <w:t> </w:t>
      </w:r>
      <w:r>
        <w:rPr>
          <w:sz w:val="20"/>
        </w:rPr>
        <w:t>si desaparece la incapacidad para el trabajo, sin que la suspensión pueda exceder del término fijado en la Ley del Seguro Social para el tratamiento de las enfermedades que no sean consecuencia de un riesgo de trabajo;</w:t>
      </w:r>
    </w:p>
    <w:p>
      <w:pPr>
        <w:pStyle w:val="BodyText"/>
        <w:spacing w:before="1"/>
      </w:pPr>
    </w:p>
    <w:p>
      <w:pPr>
        <w:pStyle w:val="ListParagraph"/>
        <w:numPr>
          <w:ilvl w:val="0"/>
          <w:numId w:val="11"/>
        </w:numPr>
        <w:tabs>
          <w:tab w:pos="1192" w:val="left" w:leader="none"/>
          <w:tab w:pos="1195" w:val="left" w:leader="none"/>
        </w:tabs>
        <w:spacing w:line="240" w:lineRule="auto" w:before="0" w:after="0"/>
        <w:ind w:left="1195" w:right="335" w:hanging="569"/>
        <w:jc w:val="both"/>
        <w:rPr>
          <w:sz w:val="20"/>
        </w:rPr>
      </w:pPr>
      <w:r>
        <w:rPr>
          <w:sz w:val="20"/>
        </w:rPr>
        <w:t>Tratándose de las fracciones III y IV, desde el momento en que el trabajador acredite estar detenido a disposición de la autoridad judicial o administrativa, hasta la fecha en que cause ejecutoria la sentencia que lo absuelva o termine el arresto. Si obtiene su libertad provisional, deberá presentarse a trabajar en un plazo de quince días siguientes a su liberación, salvo que se le siga proceso por delitos intencionales en contra del patrón o sus compañeros de trabajo;</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11"/>
        </w:numPr>
        <w:tabs>
          <w:tab w:pos="1191" w:val="left" w:leader="none"/>
          <w:tab w:pos="1195" w:val="left" w:leader="none"/>
        </w:tabs>
        <w:spacing w:line="240" w:lineRule="auto" w:before="0" w:after="0"/>
        <w:ind w:left="1195" w:right="340" w:hanging="569"/>
        <w:jc w:val="both"/>
        <w:rPr>
          <w:sz w:val="20"/>
        </w:rPr>
      </w:pPr>
      <w:r>
        <w:rPr>
          <w:sz w:val="20"/>
        </w:rPr>
        <w:t>En los casos de las fracciones V y VI, desde la fecha en que deban prestarse los servicios o desempeñarse los cargos, hasta por un periodo de seis años;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11"/>
        </w:numPr>
        <w:tabs>
          <w:tab w:pos="1195" w:val="left" w:leader="none"/>
        </w:tabs>
        <w:spacing w:line="242" w:lineRule="auto" w:before="0" w:after="0"/>
        <w:ind w:left="1195" w:right="337" w:hanging="569"/>
        <w:jc w:val="left"/>
        <w:rPr>
          <w:sz w:val="20"/>
        </w:rPr>
      </w:pPr>
      <w:r>
        <w:rPr>
          <w:sz w:val="20"/>
        </w:rPr>
        <w:t>En</w:t>
      </w:r>
      <w:r>
        <w:rPr>
          <w:spacing w:val="20"/>
          <w:sz w:val="20"/>
        </w:rPr>
        <w:t> </w:t>
      </w:r>
      <w:r>
        <w:rPr>
          <w:sz w:val="20"/>
        </w:rPr>
        <w:t>el</w:t>
      </w:r>
      <w:r>
        <w:rPr>
          <w:spacing w:val="19"/>
          <w:sz w:val="20"/>
        </w:rPr>
        <w:t> </w:t>
      </w:r>
      <w:r>
        <w:rPr>
          <w:sz w:val="20"/>
        </w:rPr>
        <w:t>caso</w:t>
      </w:r>
      <w:r>
        <w:rPr>
          <w:spacing w:val="20"/>
          <w:sz w:val="20"/>
        </w:rPr>
        <w:t> </w:t>
      </w:r>
      <w:r>
        <w:rPr>
          <w:sz w:val="20"/>
        </w:rPr>
        <w:t>de</w:t>
      </w:r>
      <w:r>
        <w:rPr>
          <w:spacing w:val="21"/>
          <w:sz w:val="20"/>
        </w:rPr>
        <w:t> </w:t>
      </w:r>
      <w:r>
        <w:rPr>
          <w:sz w:val="20"/>
        </w:rPr>
        <w:t>la</w:t>
      </w:r>
      <w:r>
        <w:rPr>
          <w:spacing w:val="20"/>
          <w:sz w:val="20"/>
        </w:rPr>
        <w:t> </w:t>
      </w:r>
      <w:r>
        <w:rPr>
          <w:sz w:val="20"/>
        </w:rPr>
        <w:t>fracción</w:t>
      </w:r>
      <w:r>
        <w:rPr>
          <w:spacing w:val="20"/>
          <w:sz w:val="20"/>
        </w:rPr>
        <w:t> </w:t>
      </w:r>
      <w:r>
        <w:rPr>
          <w:sz w:val="20"/>
        </w:rPr>
        <w:t>VII,</w:t>
      </w:r>
      <w:r>
        <w:rPr>
          <w:spacing w:val="20"/>
          <w:sz w:val="20"/>
        </w:rPr>
        <w:t> </w:t>
      </w:r>
      <w:r>
        <w:rPr>
          <w:sz w:val="20"/>
        </w:rPr>
        <w:t>desde</w:t>
      </w:r>
      <w:r>
        <w:rPr>
          <w:spacing w:val="20"/>
          <w:sz w:val="20"/>
        </w:rPr>
        <w:t> </w:t>
      </w:r>
      <w:r>
        <w:rPr>
          <w:sz w:val="20"/>
        </w:rPr>
        <w:t>la</w:t>
      </w:r>
      <w:r>
        <w:rPr>
          <w:spacing w:val="20"/>
          <w:sz w:val="20"/>
        </w:rPr>
        <w:t> </w:t>
      </w:r>
      <w:r>
        <w:rPr>
          <w:sz w:val="20"/>
        </w:rPr>
        <w:t>fecha</w:t>
      </w:r>
      <w:r>
        <w:rPr>
          <w:spacing w:val="20"/>
          <w:sz w:val="20"/>
        </w:rPr>
        <w:t> </w:t>
      </w:r>
      <w:r>
        <w:rPr>
          <w:sz w:val="20"/>
        </w:rPr>
        <w:t>en</w:t>
      </w:r>
      <w:r>
        <w:rPr>
          <w:spacing w:val="20"/>
          <w:sz w:val="20"/>
        </w:rPr>
        <w:t> </w:t>
      </w:r>
      <w:r>
        <w:rPr>
          <w:sz w:val="20"/>
        </w:rPr>
        <w:t>que</w:t>
      </w:r>
      <w:r>
        <w:rPr>
          <w:spacing w:val="20"/>
          <w:sz w:val="20"/>
        </w:rPr>
        <w:t> </w:t>
      </w:r>
      <w:r>
        <w:rPr>
          <w:sz w:val="20"/>
        </w:rPr>
        <w:t>el</w:t>
      </w:r>
      <w:r>
        <w:rPr>
          <w:spacing w:val="18"/>
          <w:sz w:val="20"/>
        </w:rPr>
        <w:t> </w:t>
      </w:r>
      <w:r>
        <w:rPr>
          <w:sz w:val="20"/>
        </w:rPr>
        <w:t>patrón</w:t>
      </w:r>
      <w:r>
        <w:rPr>
          <w:spacing w:val="20"/>
          <w:sz w:val="20"/>
        </w:rPr>
        <w:t> </w:t>
      </w:r>
      <w:r>
        <w:rPr>
          <w:sz w:val="20"/>
        </w:rPr>
        <w:t>tenga</w:t>
      </w:r>
      <w:r>
        <w:rPr>
          <w:spacing w:val="26"/>
          <w:sz w:val="20"/>
        </w:rPr>
        <w:t> </w:t>
      </w:r>
      <w:r>
        <w:rPr>
          <w:sz w:val="20"/>
        </w:rPr>
        <w:t>conocimiento</w:t>
      </w:r>
      <w:r>
        <w:rPr>
          <w:spacing w:val="20"/>
          <w:sz w:val="20"/>
        </w:rPr>
        <w:t> </w:t>
      </w:r>
      <w:r>
        <w:rPr>
          <w:sz w:val="20"/>
        </w:rPr>
        <w:t>del</w:t>
      </w:r>
      <w:r>
        <w:rPr>
          <w:spacing w:val="20"/>
          <w:sz w:val="20"/>
        </w:rPr>
        <w:t> </w:t>
      </w:r>
      <w:r>
        <w:rPr>
          <w:sz w:val="20"/>
        </w:rPr>
        <w:t>hecho, hasta por un periodo de dos meses;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11"/>
        </w:numPr>
        <w:tabs>
          <w:tab w:pos="1195" w:val="left" w:leader="none"/>
        </w:tabs>
        <w:spacing w:line="242" w:lineRule="auto" w:before="0" w:after="0"/>
        <w:ind w:left="1195" w:right="344" w:hanging="569"/>
        <w:jc w:val="left"/>
        <w:rPr>
          <w:sz w:val="20"/>
        </w:rPr>
      </w:pPr>
      <w:r>
        <w:rPr>
          <w:sz w:val="20"/>
        </w:rPr>
        <w:t>En</w:t>
      </w:r>
      <w:r>
        <w:rPr>
          <w:spacing w:val="-2"/>
          <w:sz w:val="20"/>
        </w:rPr>
        <w:t> </w:t>
      </w:r>
      <w:r>
        <w:rPr>
          <w:sz w:val="20"/>
        </w:rPr>
        <w:t>el</w:t>
      </w:r>
      <w:r>
        <w:rPr>
          <w:spacing w:val="-2"/>
          <w:sz w:val="20"/>
        </w:rPr>
        <w:t> </w:t>
      </w:r>
      <w:r>
        <w:rPr>
          <w:sz w:val="20"/>
        </w:rPr>
        <w:t>caso</w:t>
      </w:r>
      <w:r>
        <w:rPr>
          <w:spacing w:val="-3"/>
          <w:sz w:val="20"/>
        </w:rPr>
        <w:t> </w:t>
      </w:r>
      <w:r>
        <w:rPr>
          <w:sz w:val="20"/>
        </w:rPr>
        <w:t>de</w:t>
      </w:r>
      <w:r>
        <w:rPr>
          <w:spacing w:val="-2"/>
          <w:sz w:val="20"/>
        </w:rPr>
        <w:t> </w:t>
      </w:r>
      <w:r>
        <w:rPr>
          <w:sz w:val="20"/>
        </w:rPr>
        <w:t>la</w:t>
      </w:r>
      <w:r>
        <w:rPr>
          <w:spacing w:val="-3"/>
          <w:sz w:val="20"/>
        </w:rPr>
        <w:t> </w:t>
      </w:r>
      <w:r>
        <w:rPr>
          <w:sz w:val="20"/>
        </w:rPr>
        <w:t>fracción</w:t>
      </w:r>
      <w:r>
        <w:rPr>
          <w:spacing w:val="-2"/>
          <w:sz w:val="20"/>
        </w:rPr>
        <w:t> </w:t>
      </w:r>
      <w:r>
        <w:rPr>
          <w:sz w:val="20"/>
        </w:rPr>
        <w:t>VIII,</w:t>
      </w:r>
      <w:r>
        <w:rPr>
          <w:spacing w:val="-3"/>
          <w:sz w:val="20"/>
        </w:rPr>
        <w:t> </w:t>
      </w:r>
      <w:r>
        <w:rPr>
          <w:sz w:val="20"/>
        </w:rPr>
        <w:t>desde</w:t>
      </w:r>
      <w:r>
        <w:rPr>
          <w:spacing w:val="-2"/>
          <w:sz w:val="20"/>
        </w:rPr>
        <w:t> </w:t>
      </w:r>
      <w:r>
        <w:rPr>
          <w:sz w:val="20"/>
        </w:rPr>
        <w:t>la</w:t>
      </w:r>
      <w:r>
        <w:rPr>
          <w:spacing w:val="-3"/>
          <w:sz w:val="20"/>
        </w:rPr>
        <w:t> </w:t>
      </w:r>
      <w:r>
        <w:rPr>
          <w:sz w:val="20"/>
        </w:rPr>
        <w:t>fecha</w:t>
      </w:r>
      <w:r>
        <w:rPr>
          <w:spacing w:val="-2"/>
          <w:sz w:val="20"/>
        </w:rPr>
        <w:t> </w:t>
      </w:r>
      <w:r>
        <w:rPr>
          <w:sz w:val="20"/>
        </w:rPr>
        <w:t>de</w:t>
      </w:r>
      <w:r>
        <w:rPr>
          <w:spacing w:val="-2"/>
          <w:sz w:val="20"/>
        </w:rPr>
        <w:t> </w:t>
      </w:r>
      <w:r>
        <w:rPr>
          <w:sz w:val="20"/>
        </w:rPr>
        <w:t>conclusión</w:t>
      </w:r>
      <w:r>
        <w:rPr>
          <w:spacing w:val="-2"/>
          <w:sz w:val="20"/>
        </w:rPr>
        <w:t> </w:t>
      </w:r>
      <w:r>
        <w:rPr>
          <w:sz w:val="20"/>
        </w:rPr>
        <w:t>de</w:t>
      </w:r>
      <w:r>
        <w:rPr>
          <w:spacing w:val="-2"/>
          <w:sz w:val="20"/>
        </w:rPr>
        <w:t> </w:t>
      </w:r>
      <w:r>
        <w:rPr>
          <w:sz w:val="20"/>
        </w:rPr>
        <w:t>la</w:t>
      </w:r>
      <w:r>
        <w:rPr>
          <w:spacing w:val="-2"/>
          <w:sz w:val="20"/>
        </w:rPr>
        <w:t> </w:t>
      </w:r>
      <w:r>
        <w:rPr>
          <w:sz w:val="20"/>
        </w:rPr>
        <w:t>temporada,</w:t>
      </w:r>
      <w:r>
        <w:rPr>
          <w:spacing w:val="-2"/>
          <w:sz w:val="20"/>
        </w:rPr>
        <w:t> </w:t>
      </w:r>
      <w:r>
        <w:rPr>
          <w:sz w:val="20"/>
        </w:rPr>
        <w:t>hasta</w:t>
      </w:r>
      <w:r>
        <w:rPr>
          <w:spacing w:val="-3"/>
          <w:sz w:val="20"/>
        </w:rPr>
        <w:t> </w:t>
      </w:r>
      <w:r>
        <w:rPr>
          <w:sz w:val="20"/>
        </w:rPr>
        <w:t>el</w:t>
      </w:r>
      <w:r>
        <w:rPr>
          <w:spacing w:val="-4"/>
          <w:sz w:val="20"/>
        </w:rPr>
        <w:t> </w:t>
      </w:r>
      <w:r>
        <w:rPr>
          <w:sz w:val="20"/>
        </w:rPr>
        <w:t>inicio</w:t>
      </w:r>
      <w:r>
        <w:rPr>
          <w:spacing w:val="-2"/>
          <w:sz w:val="20"/>
        </w:rPr>
        <w:t> </w:t>
      </w:r>
      <w:r>
        <w:rPr>
          <w:sz w:val="20"/>
        </w:rPr>
        <w:t>de</w:t>
      </w:r>
      <w:r>
        <w:rPr>
          <w:spacing w:val="-2"/>
          <w:sz w:val="20"/>
        </w:rPr>
        <w:t> </w:t>
      </w:r>
      <w:r>
        <w:rPr>
          <w:sz w:val="20"/>
        </w:rPr>
        <w:t>la </w:t>
      </w:r>
      <w:r>
        <w:rPr>
          <w:spacing w:val="-2"/>
          <w:sz w:val="20"/>
        </w:rPr>
        <w:t>siguiente.</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338" w:right="348" w:firstLine="288"/>
        <w:jc w:val="both"/>
      </w:pPr>
      <w:bookmarkStart w:name="Artículo_44" w:id="60"/>
      <w:bookmarkEnd w:id="60"/>
      <w:r>
        <w:rPr/>
      </w:r>
      <w:r>
        <w:rPr>
          <w:rFonts w:ascii="Arial" w:hAnsi="Arial"/>
          <w:b/>
        </w:rPr>
        <w:t>Artículo 44.- </w:t>
      </w:r>
      <w:r>
        <w:rPr/>
        <w:t>Cuando los trabajadores sean llamados para alistarse y servir en la Guardia Nacional,</w:t>
      </w:r>
      <w:r>
        <w:rPr>
          <w:spacing w:val="40"/>
        </w:rPr>
        <w:t> </w:t>
      </w:r>
      <w:r>
        <w:rPr/>
        <w:t>de</w:t>
      </w:r>
      <w:r>
        <w:rPr>
          <w:spacing w:val="-5"/>
        </w:rPr>
        <w:t> </w:t>
      </w:r>
      <w:r>
        <w:rPr/>
        <w:t>conformidad</w:t>
      </w:r>
      <w:r>
        <w:rPr>
          <w:spacing w:val="-4"/>
        </w:rPr>
        <w:t> </w:t>
      </w:r>
      <w:r>
        <w:rPr/>
        <w:t>con</w:t>
      </w:r>
      <w:r>
        <w:rPr>
          <w:spacing w:val="-2"/>
        </w:rPr>
        <w:t> </w:t>
      </w:r>
      <w:r>
        <w:rPr/>
        <w:t>lo</w:t>
      </w:r>
      <w:r>
        <w:rPr>
          <w:spacing w:val="-4"/>
        </w:rPr>
        <w:t> </w:t>
      </w:r>
      <w:r>
        <w:rPr/>
        <w:t>dispuesto</w:t>
      </w:r>
      <w:r>
        <w:rPr>
          <w:spacing w:val="-2"/>
        </w:rPr>
        <w:t> </w:t>
      </w:r>
      <w:r>
        <w:rPr/>
        <w:t>en</w:t>
      </w:r>
      <w:r>
        <w:rPr>
          <w:spacing w:val="-3"/>
        </w:rPr>
        <w:t> </w:t>
      </w:r>
      <w:r>
        <w:rPr/>
        <w:t>el</w:t>
      </w:r>
      <w:r>
        <w:rPr>
          <w:spacing w:val="-3"/>
        </w:rPr>
        <w:t> </w:t>
      </w:r>
      <w:r>
        <w:rPr/>
        <w:t>artículo</w:t>
      </w:r>
      <w:r>
        <w:rPr>
          <w:spacing w:val="-2"/>
        </w:rPr>
        <w:t> </w:t>
      </w:r>
      <w:r>
        <w:rPr/>
        <w:t>31,</w:t>
      </w:r>
      <w:r>
        <w:rPr>
          <w:spacing w:val="-2"/>
        </w:rPr>
        <w:t> </w:t>
      </w:r>
      <w:r>
        <w:rPr/>
        <w:t>fracción</w:t>
      </w:r>
      <w:r>
        <w:rPr>
          <w:spacing w:val="-5"/>
        </w:rPr>
        <w:t> </w:t>
      </w:r>
      <w:r>
        <w:rPr/>
        <w:t>III,</w:t>
      </w:r>
      <w:r>
        <w:rPr>
          <w:spacing w:val="-2"/>
        </w:rPr>
        <w:t> </w:t>
      </w:r>
      <w:r>
        <w:rPr/>
        <w:t>de</w:t>
      </w:r>
      <w:r>
        <w:rPr>
          <w:spacing w:val="-3"/>
        </w:rPr>
        <w:t> </w:t>
      </w:r>
      <w:r>
        <w:rPr/>
        <w:t>la</w:t>
      </w:r>
      <w:r>
        <w:rPr>
          <w:spacing w:val="-2"/>
        </w:rPr>
        <w:t> </w:t>
      </w:r>
      <w:r>
        <w:rPr/>
        <w:t>Constitución, el</w:t>
      </w:r>
      <w:r>
        <w:rPr>
          <w:spacing w:val="-5"/>
        </w:rPr>
        <w:t> </w:t>
      </w:r>
      <w:r>
        <w:rPr/>
        <w:t>tiempo</w:t>
      </w:r>
      <w:r>
        <w:rPr>
          <w:spacing w:val="-5"/>
        </w:rPr>
        <w:t> </w:t>
      </w:r>
      <w:r>
        <w:rPr/>
        <w:t>de</w:t>
      </w:r>
      <w:r>
        <w:rPr>
          <w:spacing w:val="-2"/>
        </w:rPr>
        <w:t> </w:t>
      </w:r>
      <w:r>
        <w:rPr/>
        <w:t>servicios</w:t>
      </w:r>
      <w:r>
        <w:rPr>
          <w:spacing w:val="-3"/>
        </w:rPr>
        <w:t> </w:t>
      </w:r>
      <w:r>
        <w:rPr/>
        <w:t>se tomará en consideración para determinar su antigüedad.</w:t>
      </w:r>
    </w:p>
    <w:p>
      <w:pPr>
        <w:spacing w:before="223"/>
        <w:ind w:left="626" w:right="0" w:firstLine="0"/>
        <w:jc w:val="left"/>
        <w:rPr>
          <w:sz w:val="20"/>
        </w:rPr>
      </w:pPr>
      <w:bookmarkStart w:name="Artículo_45" w:id="61"/>
      <w:bookmarkEnd w:id="61"/>
      <w:r>
        <w:rPr/>
      </w:r>
      <w:r>
        <w:rPr>
          <w:rFonts w:ascii="Arial" w:hAnsi="Arial"/>
          <w:b/>
          <w:sz w:val="20"/>
        </w:rPr>
        <w:t>Artículo</w:t>
      </w:r>
      <w:r>
        <w:rPr>
          <w:rFonts w:ascii="Arial" w:hAnsi="Arial"/>
          <w:b/>
          <w:spacing w:val="-6"/>
          <w:sz w:val="20"/>
        </w:rPr>
        <w:t> </w:t>
      </w:r>
      <w:r>
        <w:rPr>
          <w:rFonts w:ascii="Arial" w:hAnsi="Arial"/>
          <w:b/>
          <w:sz w:val="20"/>
        </w:rPr>
        <w:t>45.-</w:t>
      </w:r>
      <w:r>
        <w:rPr>
          <w:rFonts w:ascii="Arial" w:hAnsi="Arial"/>
          <w:b/>
          <w:spacing w:val="-5"/>
          <w:sz w:val="20"/>
        </w:rPr>
        <w:t> </w:t>
      </w:r>
      <w:r>
        <w:rPr>
          <w:sz w:val="20"/>
        </w:rPr>
        <w:t>El</w:t>
      </w:r>
      <w:r>
        <w:rPr>
          <w:spacing w:val="-6"/>
          <w:sz w:val="20"/>
        </w:rPr>
        <w:t> </w:t>
      </w:r>
      <w:r>
        <w:rPr>
          <w:sz w:val="20"/>
        </w:rPr>
        <w:t>trabajador</w:t>
      </w:r>
      <w:r>
        <w:rPr>
          <w:spacing w:val="-6"/>
          <w:sz w:val="20"/>
        </w:rPr>
        <w:t> </w:t>
      </w:r>
      <w:r>
        <w:rPr>
          <w:sz w:val="20"/>
        </w:rPr>
        <w:t>deberá</w:t>
      </w:r>
      <w:r>
        <w:rPr>
          <w:spacing w:val="-6"/>
          <w:sz w:val="20"/>
        </w:rPr>
        <w:t> </w:t>
      </w:r>
      <w:r>
        <w:rPr>
          <w:sz w:val="20"/>
        </w:rPr>
        <w:t>regresar</w:t>
      </w:r>
      <w:r>
        <w:rPr>
          <w:spacing w:val="-6"/>
          <w:sz w:val="20"/>
        </w:rPr>
        <w:t> </w:t>
      </w:r>
      <w:r>
        <w:rPr>
          <w:sz w:val="20"/>
        </w:rPr>
        <w:t>a</w:t>
      </w:r>
      <w:r>
        <w:rPr>
          <w:spacing w:val="-4"/>
          <w:sz w:val="20"/>
        </w:rPr>
        <w:t> </w:t>
      </w:r>
      <w:r>
        <w:rPr>
          <w:sz w:val="20"/>
        </w:rPr>
        <w:t>su</w:t>
      </w:r>
      <w:r>
        <w:rPr>
          <w:spacing w:val="-6"/>
          <w:sz w:val="20"/>
        </w:rPr>
        <w:t> </w:t>
      </w:r>
      <w:r>
        <w:rPr>
          <w:spacing w:val="-2"/>
          <w:sz w:val="20"/>
        </w:rPr>
        <w:t>trabajo:</w:t>
      </w:r>
    </w:p>
    <w:p>
      <w:pPr>
        <w:pStyle w:val="BodyText"/>
        <w:spacing w:before="1"/>
      </w:pPr>
    </w:p>
    <w:p>
      <w:pPr>
        <w:pStyle w:val="ListParagraph"/>
        <w:numPr>
          <w:ilvl w:val="0"/>
          <w:numId w:val="12"/>
        </w:numPr>
        <w:tabs>
          <w:tab w:pos="1193" w:val="left" w:leader="none"/>
          <w:tab w:pos="1195" w:val="left" w:leader="none"/>
        </w:tabs>
        <w:spacing w:line="242" w:lineRule="auto" w:before="0" w:after="0"/>
        <w:ind w:left="1195" w:right="345" w:hanging="569"/>
        <w:jc w:val="both"/>
        <w:rPr>
          <w:sz w:val="20"/>
        </w:rPr>
      </w:pPr>
      <w:r>
        <w:rPr>
          <w:sz w:val="20"/>
        </w:rPr>
        <w:t>En los casos de las fracciones I, II, IV y VII del artículo 42, al día siguiente de la fecha en que termine la causa de la suspensión; y</w:t>
      </w:r>
    </w:p>
    <w:p>
      <w:pPr>
        <w:pStyle w:val="ListParagraph"/>
        <w:numPr>
          <w:ilvl w:val="0"/>
          <w:numId w:val="12"/>
        </w:numPr>
        <w:tabs>
          <w:tab w:pos="1192" w:val="left" w:leader="none"/>
          <w:tab w:pos="1195" w:val="left" w:leader="none"/>
        </w:tabs>
        <w:spacing w:line="242" w:lineRule="auto" w:before="224" w:after="0"/>
        <w:ind w:left="1195" w:right="340" w:hanging="569"/>
        <w:jc w:val="both"/>
        <w:rPr>
          <w:sz w:val="20"/>
        </w:rPr>
      </w:pPr>
      <w:r>
        <w:rPr>
          <w:sz w:val="20"/>
        </w:rPr>
        <w:t>En los casos de las fracciones III, V</w:t>
      </w:r>
      <w:r>
        <w:rPr>
          <w:spacing w:val="12"/>
          <w:sz w:val="20"/>
        </w:rPr>
        <w:t> </w:t>
      </w:r>
      <w:r>
        <w:rPr>
          <w:sz w:val="20"/>
        </w:rPr>
        <w:t>y VI del artículo 42, dentro de los quince días siguientes a</w:t>
      </w:r>
      <w:r>
        <w:rPr>
          <w:spacing w:val="40"/>
          <w:sz w:val="20"/>
        </w:rPr>
        <w:t> </w:t>
      </w:r>
      <w:r>
        <w:rPr>
          <w:sz w:val="20"/>
        </w:rPr>
        <w:t>la terminación de la causa de la suspensión</w:t>
      </w:r>
    </w:p>
    <w:p>
      <w:pPr>
        <w:pStyle w:val="Heading1"/>
        <w:spacing w:before="225"/>
      </w:pPr>
      <w:r>
        <w:rPr/>
        <w:t>CAPITULO</w:t>
      </w:r>
      <w:r>
        <w:rPr>
          <w:spacing w:val="-9"/>
        </w:rPr>
        <w:t> </w:t>
      </w:r>
      <w:r>
        <w:rPr>
          <w:spacing w:val="-7"/>
        </w:rPr>
        <w:t>IV</w:t>
      </w:r>
    </w:p>
    <w:p>
      <w:pPr>
        <w:pStyle w:val="Heading2"/>
        <w:spacing w:before="1"/>
        <w:ind w:left="296"/>
      </w:pPr>
      <w:r>
        <w:rPr/>
        <w:t>Rescisión</w:t>
      </w:r>
      <w:r>
        <w:rPr>
          <w:spacing w:val="-5"/>
        </w:rPr>
        <w:t> </w:t>
      </w:r>
      <w:r>
        <w:rPr/>
        <w:t>de</w:t>
      </w:r>
      <w:r>
        <w:rPr>
          <w:spacing w:val="-8"/>
        </w:rPr>
        <w:t> </w:t>
      </w:r>
      <w:r>
        <w:rPr/>
        <w:t>las</w:t>
      </w:r>
      <w:r>
        <w:rPr>
          <w:spacing w:val="-4"/>
        </w:rPr>
        <w:t> </w:t>
      </w:r>
      <w:r>
        <w:rPr/>
        <w:t>relaciones</w:t>
      </w:r>
      <w:r>
        <w:rPr>
          <w:spacing w:val="-5"/>
        </w:rPr>
        <w:t> </w:t>
      </w:r>
      <w:r>
        <w:rPr/>
        <w:t>de</w:t>
      </w:r>
      <w:r>
        <w:rPr>
          <w:spacing w:val="-5"/>
        </w:rPr>
        <w:t> </w:t>
      </w:r>
      <w:r>
        <w:rPr>
          <w:spacing w:val="-2"/>
        </w:rPr>
        <w:t>trabajo</w:t>
      </w:r>
    </w:p>
    <w:p>
      <w:pPr>
        <w:pStyle w:val="BodyText"/>
        <w:spacing w:before="231"/>
        <w:ind w:left="338" w:right="348" w:firstLine="288"/>
        <w:jc w:val="both"/>
      </w:pPr>
      <w:bookmarkStart w:name="Artículo_46" w:id="62"/>
      <w:bookmarkEnd w:id="62"/>
      <w:r>
        <w:rPr/>
      </w:r>
      <w:r>
        <w:rPr>
          <w:rFonts w:ascii="Arial" w:hAnsi="Arial"/>
          <w:b/>
        </w:rPr>
        <w:t>Artículo 46.- </w:t>
      </w:r>
      <w:r>
        <w:rPr/>
        <w:t>El trabajador o el patrón podrá rescindir en cualquier tiempo la relación de trabajo, por causa justificada, sin incurrir en responsabilidad.</w:t>
      </w:r>
    </w:p>
    <w:p>
      <w:pPr>
        <w:pStyle w:val="BodyText"/>
      </w:pPr>
    </w:p>
    <w:p>
      <w:pPr>
        <w:pStyle w:val="BodyText"/>
        <w:ind w:left="626"/>
      </w:pPr>
      <w:bookmarkStart w:name="Artículo_47" w:id="63"/>
      <w:bookmarkEnd w:id="63"/>
      <w:r>
        <w:rPr/>
      </w:r>
      <w:r>
        <w:rPr>
          <w:rFonts w:ascii="Arial" w:hAnsi="Arial"/>
          <w:b/>
        </w:rPr>
        <w:t>Artículo</w:t>
      </w:r>
      <w:r>
        <w:rPr>
          <w:rFonts w:ascii="Arial" w:hAnsi="Arial"/>
          <w:b/>
          <w:spacing w:val="-6"/>
        </w:rPr>
        <w:t> </w:t>
      </w:r>
      <w:r>
        <w:rPr>
          <w:rFonts w:ascii="Arial" w:hAnsi="Arial"/>
          <w:b/>
        </w:rPr>
        <w:t>47.-</w:t>
      </w:r>
      <w:r>
        <w:rPr>
          <w:rFonts w:ascii="Arial" w:hAnsi="Arial"/>
          <w:b/>
          <w:spacing w:val="-6"/>
        </w:rPr>
        <w:t> </w:t>
      </w:r>
      <w:r>
        <w:rPr/>
        <w:t>Son</w:t>
      </w:r>
      <w:r>
        <w:rPr>
          <w:spacing w:val="-8"/>
        </w:rPr>
        <w:t> </w:t>
      </w:r>
      <w:r>
        <w:rPr/>
        <w:t>causas</w:t>
      </w:r>
      <w:r>
        <w:rPr>
          <w:spacing w:val="-6"/>
        </w:rPr>
        <w:t> </w:t>
      </w:r>
      <w:r>
        <w:rPr/>
        <w:t>de</w:t>
      </w:r>
      <w:r>
        <w:rPr>
          <w:spacing w:val="-6"/>
        </w:rPr>
        <w:t> </w:t>
      </w:r>
      <w:r>
        <w:rPr/>
        <w:t>rescisión</w:t>
      </w:r>
      <w:r>
        <w:rPr>
          <w:spacing w:val="-5"/>
        </w:rPr>
        <w:t> </w:t>
      </w:r>
      <w:r>
        <w:rPr/>
        <w:t>de</w:t>
      </w:r>
      <w:r>
        <w:rPr>
          <w:spacing w:val="-6"/>
        </w:rPr>
        <w:t> </w:t>
      </w:r>
      <w:r>
        <w:rPr/>
        <w:t>la</w:t>
      </w:r>
      <w:r>
        <w:rPr>
          <w:spacing w:val="-7"/>
        </w:rPr>
        <w:t> </w:t>
      </w:r>
      <w:r>
        <w:rPr/>
        <w:t>relación</w:t>
      </w:r>
      <w:r>
        <w:rPr>
          <w:spacing w:val="-6"/>
        </w:rPr>
        <w:t> </w:t>
      </w:r>
      <w:r>
        <w:rPr/>
        <w:t>de</w:t>
      </w:r>
      <w:r>
        <w:rPr>
          <w:spacing w:val="-7"/>
        </w:rPr>
        <w:t> </w:t>
      </w:r>
      <w:r>
        <w:rPr/>
        <w:t>trabajo,</w:t>
      </w:r>
      <w:r>
        <w:rPr>
          <w:spacing w:val="-5"/>
        </w:rPr>
        <w:t> </w:t>
      </w:r>
      <w:r>
        <w:rPr/>
        <w:t>sin</w:t>
      </w:r>
      <w:r>
        <w:rPr>
          <w:spacing w:val="-6"/>
        </w:rPr>
        <w:t> </w:t>
      </w:r>
      <w:r>
        <w:rPr/>
        <w:t>responsabilidad</w:t>
      </w:r>
      <w:r>
        <w:rPr>
          <w:spacing w:val="-8"/>
        </w:rPr>
        <w:t> </w:t>
      </w:r>
      <w:r>
        <w:rPr/>
        <w:t>para</w:t>
      </w:r>
      <w:r>
        <w:rPr>
          <w:spacing w:val="-7"/>
        </w:rPr>
        <w:t> </w:t>
      </w:r>
      <w:r>
        <w:rPr/>
        <w:t>el</w:t>
      </w:r>
      <w:r>
        <w:rPr>
          <w:spacing w:val="-7"/>
        </w:rPr>
        <w:t> </w:t>
      </w:r>
      <w:r>
        <w:rPr>
          <w:spacing w:val="-2"/>
        </w:rPr>
        <w:t>patrón:</w:t>
      </w:r>
    </w:p>
    <w:p>
      <w:pPr>
        <w:pStyle w:val="BodyText"/>
        <w:spacing w:before="1"/>
      </w:pPr>
    </w:p>
    <w:p>
      <w:pPr>
        <w:pStyle w:val="ListParagraph"/>
        <w:numPr>
          <w:ilvl w:val="0"/>
          <w:numId w:val="13"/>
        </w:numPr>
        <w:tabs>
          <w:tab w:pos="1193" w:val="left" w:leader="none"/>
          <w:tab w:pos="1195" w:val="left" w:leader="none"/>
        </w:tabs>
        <w:spacing w:line="240" w:lineRule="auto" w:before="0" w:after="0"/>
        <w:ind w:left="1195" w:right="341" w:hanging="569"/>
        <w:jc w:val="both"/>
        <w:rPr>
          <w:sz w:val="20"/>
        </w:rPr>
      </w:pPr>
      <w:r>
        <w:rPr>
          <w:sz w:val="20"/>
        </w:rPr>
        <w:t>Engañarlo el</w:t>
      </w:r>
      <w:r>
        <w:rPr>
          <w:spacing w:val="-1"/>
          <w:sz w:val="20"/>
        </w:rPr>
        <w:t> </w:t>
      </w:r>
      <w:r>
        <w:rPr>
          <w:sz w:val="20"/>
        </w:rPr>
        <w:t>trabajador</w:t>
      </w:r>
      <w:r>
        <w:rPr>
          <w:spacing w:val="-1"/>
          <w:sz w:val="20"/>
        </w:rPr>
        <w:t> </w:t>
      </w:r>
      <w:r>
        <w:rPr>
          <w:sz w:val="20"/>
        </w:rPr>
        <w:t>o en</w:t>
      </w:r>
      <w:r>
        <w:rPr>
          <w:spacing w:val="-2"/>
          <w:sz w:val="20"/>
        </w:rPr>
        <w:t> </w:t>
      </w:r>
      <w:r>
        <w:rPr>
          <w:sz w:val="20"/>
        </w:rPr>
        <w:t>su</w:t>
      </w:r>
      <w:r>
        <w:rPr>
          <w:spacing w:val="-2"/>
          <w:sz w:val="20"/>
        </w:rPr>
        <w:t> </w:t>
      </w:r>
      <w:r>
        <w:rPr>
          <w:sz w:val="20"/>
        </w:rPr>
        <w:t>caso, el</w:t>
      </w:r>
      <w:r>
        <w:rPr>
          <w:spacing w:val="-1"/>
          <w:sz w:val="20"/>
        </w:rPr>
        <w:t> </w:t>
      </w:r>
      <w:r>
        <w:rPr>
          <w:sz w:val="20"/>
        </w:rPr>
        <w:t>sindicato</w:t>
      </w:r>
      <w:r>
        <w:rPr>
          <w:spacing w:val="-2"/>
          <w:sz w:val="20"/>
        </w:rPr>
        <w:t> </w:t>
      </w:r>
      <w:r>
        <w:rPr>
          <w:sz w:val="20"/>
        </w:rPr>
        <w:t>que lo hubiese propuesto o</w:t>
      </w:r>
      <w:r>
        <w:rPr>
          <w:spacing w:val="-2"/>
          <w:sz w:val="20"/>
        </w:rPr>
        <w:t> </w:t>
      </w:r>
      <w:r>
        <w:rPr>
          <w:sz w:val="20"/>
        </w:rPr>
        <w:t>recomendado</w:t>
      </w:r>
      <w:r>
        <w:rPr>
          <w:spacing w:val="-2"/>
          <w:sz w:val="20"/>
        </w:rPr>
        <w:t> </w:t>
      </w:r>
      <w:r>
        <w:rPr>
          <w:sz w:val="20"/>
        </w:rPr>
        <w:t>con certificados falsos o referencias en los que se atribuyan al trabajador capacidad, aptitudes o facultades de que carezca. Esta causa de rescisión dejará de tener efecto después de treinta días de prestar sus servicios el trabajador;</w:t>
      </w:r>
    </w:p>
    <w:p>
      <w:pPr>
        <w:pStyle w:val="ListParagraph"/>
        <w:spacing w:after="0" w:line="240" w:lineRule="auto"/>
        <w:jc w:val="both"/>
        <w:rPr>
          <w:sz w:val="20"/>
        </w:rPr>
        <w:sectPr>
          <w:pgSz w:w="12240" w:h="15840"/>
          <w:pgMar w:header="724" w:footer="712" w:top="1880" w:bottom="900" w:left="1080" w:right="1080"/>
        </w:sectPr>
      </w:pPr>
    </w:p>
    <w:p>
      <w:pPr>
        <w:pStyle w:val="BodyText"/>
        <w:spacing w:before="63"/>
      </w:pPr>
    </w:p>
    <w:p>
      <w:pPr>
        <w:pStyle w:val="ListParagraph"/>
        <w:numPr>
          <w:ilvl w:val="0"/>
          <w:numId w:val="13"/>
        </w:numPr>
        <w:tabs>
          <w:tab w:pos="1192" w:val="left" w:leader="none"/>
          <w:tab w:pos="1195" w:val="left" w:leader="none"/>
        </w:tabs>
        <w:spacing w:line="242" w:lineRule="auto" w:before="0" w:after="0"/>
        <w:ind w:left="1195" w:right="342" w:hanging="569"/>
        <w:jc w:val="both"/>
        <w:rPr>
          <w:sz w:val="20"/>
        </w:rPr>
      </w:pPr>
      <w:r>
        <w:rPr>
          <w:sz w:val="20"/>
        </w:rPr>
        <w:t>Incurrir el trabajador, durante sus labores, en faltas de probidad u honradez, en actos de violencia, amagos, injurias o malos tratamientos en contra del patrón, sus familiares o del personal directivo o administrativo de la empresa o establecimiento, o en contra de clientes y proveedores del patrón, salvo que medie provocación o que obre en defensa propia;</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13"/>
        </w:numPr>
        <w:tabs>
          <w:tab w:pos="1191" w:val="left" w:leader="none"/>
          <w:tab w:pos="1195" w:val="left" w:leader="none"/>
        </w:tabs>
        <w:spacing w:line="242" w:lineRule="auto" w:before="0" w:after="0"/>
        <w:ind w:left="1195" w:right="341" w:hanging="569"/>
        <w:jc w:val="both"/>
        <w:rPr>
          <w:sz w:val="20"/>
        </w:rPr>
      </w:pPr>
      <w:r>
        <w:rPr>
          <w:sz w:val="20"/>
        </w:rPr>
        <w:t>Cometer el trabajador contra alguno de sus compañeros, cualquiera de los actos enumerados en la fracción anterior, si como consecuencia de ellos se altera la disciplina del lugar en que se desempeña el trabajo;</w:t>
      </w:r>
    </w:p>
    <w:p>
      <w:pPr>
        <w:pStyle w:val="ListParagraph"/>
        <w:numPr>
          <w:ilvl w:val="0"/>
          <w:numId w:val="13"/>
        </w:numPr>
        <w:tabs>
          <w:tab w:pos="1195" w:val="left" w:leader="none"/>
        </w:tabs>
        <w:spacing w:line="240" w:lineRule="auto" w:before="225" w:after="0"/>
        <w:ind w:left="1195" w:right="337" w:hanging="569"/>
        <w:jc w:val="both"/>
        <w:rPr>
          <w:sz w:val="20"/>
        </w:rPr>
      </w:pPr>
      <w:r>
        <w:rPr>
          <w:sz w:val="20"/>
        </w:rPr>
        <w:t>Cometer el trabajador, fuera del servicio, contra el patrón, sus familiares o personal directivo administrativo, alguno de los actos a que se refiere la fracción II, si son de tal manera graves que hagan imposible el cumplimiento de la relación de trabajo;</w:t>
      </w:r>
    </w:p>
    <w:p>
      <w:pPr>
        <w:pStyle w:val="ListParagraph"/>
        <w:numPr>
          <w:ilvl w:val="0"/>
          <w:numId w:val="13"/>
        </w:numPr>
        <w:tabs>
          <w:tab w:pos="1195" w:val="left" w:leader="none"/>
        </w:tabs>
        <w:spacing w:line="240" w:lineRule="auto" w:before="230" w:after="0"/>
        <w:ind w:left="1195" w:right="335" w:hanging="569"/>
        <w:jc w:val="both"/>
        <w:rPr>
          <w:sz w:val="20"/>
        </w:rPr>
      </w:pPr>
      <w:r>
        <w:rPr>
          <w:sz w:val="20"/>
        </w:rPr>
        <w:t>Ocasionar el trabajador, intencionalmente, perjuicios materiales durante el desempeño de las labores o</w:t>
      </w:r>
      <w:r>
        <w:rPr>
          <w:spacing w:val="-2"/>
          <w:sz w:val="20"/>
        </w:rPr>
        <w:t> </w:t>
      </w:r>
      <w:r>
        <w:rPr>
          <w:sz w:val="20"/>
        </w:rPr>
        <w:t>con motivo de ellas,</w:t>
      </w:r>
      <w:r>
        <w:rPr>
          <w:spacing w:val="-2"/>
          <w:sz w:val="20"/>
        </w:rPr>
        <w:t> </w:t>
      </w:r>
      <w:r>
        <w:rPr>
          <w:sz w:val="20"/>
        </w:rPr>
        <w:t>en los</w:t>
      </w:r>
      <w:r>
        <w:rPr>
          <w:spacing w:val="-1"/>
          <w:sz w:val="20"/>
        </w:rPr>
        <w:t> </w:t>
      </w:r>
      <w:r>
        <w:rPr>
          <w:sz w:val="20"/>
        </w:rPr>
        <w:t>edificios, obras, maquinaria, instrumentos,</w:t>
      </w:r>
      <w:r>
        <w:rPr>
          <w:spacing w:val="-2"/>
          <w:sz w:val="20"/>
        </w:rPr>
        <w:t> </w:t>
      </w:r>
      <w:r>
        <w:rPr>
          <w:sz w:val="20"/>
        </w:rPr>
        <w:t>materias</w:t>
      </w:r>
      <w:r>
        <w:rPr>
          <w:spacing w:val="-1"/>
          <w:sz w:val="20"/>
        </w:rPr>
        <w:t> </w:t>
      </w:r>
      <w:r>
        <w:rPr>
          <w:sz w:val="20"/>
        </w:rPr>
        <w:t>primas y demás objetos relacionados con el trabajo;</w:t>
      </w:r>
    </w:p>
    <w:p>
      <w:pPr>
        <w:pStyle w:val="ListParagraph"/>
        <w:numPr>
          <w:ilvl w:val="0"/>
          <w:numId w:val="13"/>
        </w:numPr>
        <w:tabs>
          <w:tab w:pos="1195" w:val="left" w:leader="none"/>
        </w:tabs>
        <w:spacing w:line="242" w:lineRule="auto" w:before="229" w:after="0"/>
        <w:ind w:left="1195" w:right="346" w:hanging="569"/>
        <w:jc w:val="both"/>
        <w:rPr>
          <w:sz w:val="20"/>
        </w:rPr>
      </w:pPr>
      <w:r>
        <w:rPr>
          <w:sz w:val="20"/>
        </w:rPr>
        <w:t>Ocasionar el trabajador los perjuicios de que habla la fracción anterior siempre que sean</w:t>
      </w:r>
      <w:r>
        <w:rPr>
          <w:spacing w:val="40"/>
          <w:sz w:val="20"/>
        </w:rPr>
        <w:t> </w:t>
      </w:r>
      <w:r>
        <w:rPr>
          <w:sz w:val="20"/>
        </w:rPr>
        <w:t>graves, sin dolo, pero con negligencia tal, que ella sea la causa única del perjuicio;</w:t>
      </w:r>
    </w:p>
    <w:p>
      <w:pPr>
        <w:pStyle w:val="ListParagraph"/>
        <w:numPr>
          <w:ilvl w:val="0"/>
          <w:numId w:val="13"/>
        </w:numPr>
        <w:tabs>
          <w:tab w:pos="1193" w:val="left" w:leader="none"/>
          <w:tab w:pos="1195" w:val="left" w:leader="none"/>
        </w:tabs>
        <w:spacing w:line="240" w:lineRule="auto" w:before="226" w:after="0"/>
        <w:ind w:left="1195" w:right="345" w:hanging="569"/>
        <w:jc w:val="both"/>
        <w:rPr>
          <w:sz w:val="20"/>
        </w:rPr>
      </w:pPr>
      <w:r>
        <w:rPr>
          <w:sz w:val="20"/>
        </w:rPr>
        <w:t>Comprometer el trabajador, por su imprudencia o descuido inexcusable, la seguridad del establecimiento o de las personas que se encuentren en él;</w:t>
      </w:r>
    </w:p>
    <w:p>
      <w:pPr>
        <w:pStyle w:val="ListParagraph"/>
        <w:numPr>
          <w:ilvl w:val="0"/>
          <w:numId w:val="13"/>
        </w:numPr>
        <w:tabs>
          <w:tab w:pos="1193" w:val="left" w:leader="none"/>
          <w:tab w:pos="1195" w:val="left" w:leader="none"/>
        </w:tabs>
        <w:spacing w:line="242" w:lineRule="auto" w:before="229" w:after="0"/>
        <w:ind w:left="1195" w:right="344" w:hanging="569"/>
        <w:jc w:val="both"/>
        <w:rPr>
          <w:sz w:val="20"/>
        </w:rPr>
      </w:pPr>
      <w:r>
        <w:rPr>
          <w:sz w:val="20"/>
        </w:rPr>
        <w:t>Cometer el trabajador actos inmorales o de hostigamiento y/o acoso sexual contra cualquier persona en el establecimiento o lugar de trabajo;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13"/>
        </w:numPr>
        <w:tabs>
          <w:tab w:pos="1195" w:val="left" w:leader="none"/>
        </w:tabs>
        <w:spacing w:line="242" w:lineRule="auto" w:before="0" w:after="0"/>
        <w:ind w:left="1195" w:right="343" w:hanging="569"/>
        <w:jc w:val="both"/>
        <w:rPr>
          <w:sz w:val="20"/>
        </w:rPr>
      </w:pPr>
      <w:r>
        <w:rPr>
          <w:sz w:val="20"/>
        </w:rPr>
        <w:t>Revelar</w:t>
      </w:r>
      <w:r>
        <w:rPr>
          <w:spacing w:val="-1"/>
          <w:sz w:val="20"/>
        </w:rPr>
        <w:t> </w:t>
      </w:r>
      <w:r>
        <w:rPr>
          <w:sz w:val="20"/>
        </w:rPr>
        <w:t>el</w:t>
      </w:r>
      <w:r>
        <w:rPr>
          <w:spacing w:val="-3"/>
          <w:sz w:val="20"/>
        </w:rPr>
        <w:t> </w:t>
      </w:r>
      <w:r>
        <w:rPr>
          <w:sz w:val="20"/>
        </w:rPr>
        <w:t>trabajador</w:t>
      </w:r>
      <w:r>
        <w:rPr>
          <w:spacing w:val="-1"/>
          <w:sz w:val="20"/>
        </w:rPr>
        <w:t> </w:t>
      </w:r>
      <w:r>
        <w:rPr>
          <w:sz w:val="20"/>
        </w:rPr>
        <w:t>los</w:t>
      </w:r>
      <w:r>
        <w:rPr>
          <w:spacing w:val="-3"/>
          <w:sz w:val="20"/>
        </w:rPr>
        <w:t> </w:t>
      </w:r>
      <w:r>
        <w:rPr>
          <w:sz w:val="20"/>
        </w:rPr>
        <w:t>secretos</w:t>
      </w:r>
      <w:r>
        <w:rPr>
          <w:spacing w:val="-3"/>
          <w:sz w:val="20"/>
        </w:rPr>
        <w:t> </w:t>
      </w:r>
      <w:r>
        <w:rPr>
          <w:sz w:val="20"/>
        </w:rPr>
        <w:t>de</w:t>
      </w:r>
      <w:r>
        <w:rPr>
          <w:spacing w:val="-2"/>
          <w:sz w:val="20"/>
        </w:rPr>
        <w:t> </w:t>
      </w:r>
      <w:r>
        <w:rPr>
          <w:sz w:val="20"/>
        </w:rPr>
        <w:t>fabricación</w:t>
      </w:r>
      <w:r>
        <w:rPr>
          <w:spacing w:val="-4"/>
          <w:sz w:val="20"/>
        </w:rPr>
        <w:t> </w:t>
      </w:r>
      <w:r>
        <w:rPr>
          <w:sz w:val="20"/>
        </w:rPr>
        <w:t>o</w:t>
      </w:r>
      <w:r>
        <w:rPr>
          <w:spacing w:val="-2"/>
          <w:sz w:val="20"/>
        </w:rPr>
        <w:t> </w:t>
      </w:r>
      <w:r>
        <w:rPr>
          <w:sz w:val="20"/>
        </w:rPr>
        <w:t>dar</w:t>
      </w:r>
      <w:r>
        <w:rPr>
          <w:spacing w:val="-1"/>
          <w:sz w:val="20"/>
        </w:rPr>
        <w:t> </w:t>
      </w:r>
      <w:r>
        <w:rPr>
          <w:sz w:val="20"/>
        </w:rPr>
        <w:t>a</w:t>
      </w:r>
      <w:r>
        <w:rPr>
          <w:spacing w:val="-4"/>
          <w:sz w:val="20"/>
        </w:rPr>
        <w:t> </w:t>
      </w:r>
      <w:r>
        <w:rPr>
          <w:sz w:val="20"/>
        </w:rPr>
        <w:t>conocer</w:t>
      </w:r>
      <w:r>
        <w:rPr>
          <w:spacing w:val="-4"/>
          <w:sz w:val="20"/>
        </w:rPr>
        <w:t> </w:t>
      </w:r>
      <w:r>
        <w:rPr>
          <w:sz w:val="20"/>
        </w:rPr>
        <w:t>asuntos</w:t>
      </w:r>
      <w:r>
        <w:rPr>
          <w:spacing w:val="-3"/>
          <w:sz w:val="20"/>
        </w:rPr>
        <w:t> </w:t>
      </w:r>
      <w:r>
        <w:rPr>
          <w:sz w:val="20"/>
        </w:rPr>
        <w:t>de</w:t>
      </w:r>
      <w:r>
        <w:rPr>
          <w:spacing w:val="-4"/>
          <w:sz w:val="20"/>
        </w:rPr>
        <w:t> </w:t>
      </w:r>
      <w:r>
        <w:rPr>
          <w:sz w:val="20"/>
        </w:rPr>
        <w:t>carácter</w:t>
      </w:r>
      <w:r>
        <w:rPr>
          <w:spacing w:val="-4"/>
          <w:sz w:val="20"/>
        </w:rPr>
        <w:t> </w:t>
      </w:r>
      <w:r>
        <w:rPr>
          <w:sz w:val="20"/>
        </w:rPr>
        <w:t>reservado, con perjuicio de la empresa;</w:t>
      </w:r>
    </w:p>
    <w:p>
      <w:pPr>
        <w:pStyle w:val="ListParagraph"/>
        <w:numPr>
          <w:ilvl w:val="0"/>
          <w:numId w:val="13"/>
        </w:numPr>
        <w:tabs>
          <w:tab w:pos="1195" w:val="left" w:leader="none"/>
        </w:tabs>
        <w:spacing w:line="242" w:lineRule="auto" w:before="227" w:after="0"/>
        <w:ind w:left="1195" w:right="337" w:hanging="569"/>
        <w:jc w:val="both"/>
        <w:rPr>
          <w:sz w:val="20"/>
        </w:rPr>
      </w:pPr>
      <w:r>
        <w:rPr>
          <w:sz w:val="20"/>
        </w:rPr>
        <w:t>Tener el trabajador más de tres faltas de asistencia en un período de treinta días, sin permiso del patrón o sin causa justificada;</w:t>
      </w:r>
    </w:p>
    <w:p>
      <w:pPr>
        <w:pStyle w:val="ListParagraph"/>
        <w:numPr>
          <w:ilvl w:val="0"/>
          <w:numId w:val="13"/>
        </w:numPr>
        <w:tabs>
          <w:tab w:pos="1195" w:val="left" w:leader="none"/>
        </w:tabs>
        <w:spacing w:line="242" w:lineRule="auto" w:before="224" w:after="0"/>
        <w:ind w:left="1195" w:right="344" w:hanging="569"/>
        <w:jc w:val="both"/>
        <w:rPr>
          <w:sz w:val="20"/>
        </w:rPr>
      </w:pPr>
      <w:r>
        <w:rPr>
          <w:sz w:val="20"/>
        </w:rPr>
        <w:t>Desobedecer el trabajador al patrón o a sus representantes, sin causa justificada, siempre que se trate del trabajo contratado;</w:t>
      </w:r>
    </w:p>
    <w:p>
      <w:pPr>
        <w:pStyle w:val="ListParagraph"/>
        <w:numPr>
          <w:ilvl w:val="0"/>
          <w:numId w:val="13"/>
        </w:numPr>
        <w:tabs>
          <w:tab w:pos="1193" w:val="left" w:leader="none"/>
          <w:tab w:pos="1195" w:val="left" w:leader="none"/>
        </w:tabs>
        <w:spacing w:line="240" w:lineRule="auto" w:before="227" w:after="0"/>
        <w:ind w:left="1195" w:right="343" w:hanging="569"/>
        <w:jc w:val="both"/>
        <w:rPr>
          <w:sz w:val="20"/>
        </w:rPr>
      </w:pPr>
      <w:r>
        <w:rPr>
          <w:sz w:val="20"/>
        </w:rPr>
        <w:t>Negarse el trabajador a adoptar las medidas preventivas o a seguir los procedimientos</w:t>
      </w:r>
      <w:r>
        <w:rPr>
          <w:spacing w:val="40"/>
          <w:sz w:val="20"/>
        </w:rPr>
        <w:t> </w:t>
      </w:r>
      <w:r>
        <w:rPr>
          <w:sz w:val="20"/>
        </w:rPr>
        <w:t>indicados para evitar accidentes o enfermedades;</w:t>
      </w:r>
    </w:p>
    <w:p>
      <w:pPr>
        <w:pStyle w:val="ListParagraph"/>
        <w:numPr>
          <w:ilvl w:val="0"/>
          <w:numId w:val="13"/>
        </w:numPr>
        <w:tabs>
          <w:tab w:pos="1193" w:val="left" w:leader="none"/>
          <w:tab w:pos="1195" w:val="left" w:leader="none"/>
        </w:tabs>
        <w:spacing w:line="242" w:lineRule="auto" w:before="228" w:after="0"/>
        <w:ind w:left="1195" w:right="340" w:hanging="569"/>
        <w:jc w:val="both"/>
        <w:rPr>
          <w:sz w:val="20"/>
        </w:rPr>
      </w:pPr>
      <w:r>
        <w:rPr>
          <w:sz w:val="20"/>
        </w:rPr>
        <w:t>Concurrir el trabajador a sus labores en estado de embriaguez o bajo la influencia de algún narcótico o droga enervante, salvo que, en este último caso, exista prescripción médica. Antes de iniciar su servicio, el trabajador deberá poner el hecho en conocimiento del patrón y presentar la prescripción suscrita por el médico;</w:t>
      </w:r>
    </w:p>
    <w:p>
      <w:pPr>
        <w:pStyle w:val="ListParagraph"/>
        <w:numPr>
          <w:ilvl w:val="0"/>
          <w:numId w:val="13"/>
        </w:numPr>
        <w:tabs>
          <w:tab w:pos="1195" w:val="left" w:leader="none"/>
        </w:tabs>
        <w:spacing w:line="242" w:lineRule="auto" w:before="222" w:after="0"/>
        <w:ind w:left="1195" w:right="338" w:hanging="569"/>
        <w:jc w:val="both"/>
        <w:rPr>
          <w:sz w:val="20"/>
        </w:rPr>
      </w:pPr>
      <w:r>
        <w:rPr>
          <w:sz w:val="20"/>
        </w:rPr>
        <w:t>La sentencia ejecutoriada que imponga al trabajador una pena de prisión, que le impida el cumplimiento de la relación de trabajo;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1195" w:right="336" w:hanging="569"/>
        <w:jc w:val="both"/>
      </w:pPr>
      <w:r>
        <w:rPr>
          <w:rFonts w:ascii="Arial" w:hAnsi="Arial"/>
          <w:b/>
        </w:rPr>
        <w:t>XIV Bis. </w:t>
      </w:r>
      <w:r>
        <w:rPr/>
        <w:t>La falta de documentos que exijan las leyes y reglamentos, necesarios para la prestación del servicio cuando sea imputable al trabajador y que exceda del periodo a que se refiere la</w:t>
      </w:r>
      <w:r>
        <w:rPr>
          <w:spacing w:val="40"/>
        </w:rPr>
        <w:t> </w:t>
      </w:r>
      <w:r>
        <w:rPr/>
        <w:t>fracción IV del artículo 43;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line="178"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3"/>
        <w:rPr>
          <w:rFonts w:ascii="Times New Roman"/>
          <w:i/>
        </w:rPr>
      </w:pPr>
    </w:p>
    <w:p>
      <w:pPr>
        <w:pStyle w:val="ListParagraph"/>
        <w:numPr>
          <w:ilvl w:val="0"/>
          <w:numId w:val="13"/>
        </w:numPr>
        <w:tabs>
          <w:tab w:pos="1195" w:val="left" w:leader="none"/>
        </w:tabs>
        <w:spacing w:line="242" w:lineRule="auto" w:before="0" w:after="0"/>
        <w:ind w:left="1195" w:right="344" w:hanging="569"/>
        <w:jc w:val="left"/>
        <w:rPr>
          <w:sz w:val="20"/>
        </w:rPr>
      </w:pPr>
      <w:r>
        <w:rPr>
          <w:sz w:val="20"/>
        </w:rPr>
        <w:t>Las</w:t>
      </w:r>
      <w:r>
        <w:rPr>
          <w:spacing w:val="37"/>
          <w:sz w:val="20"/>
        </w:rPr>
        <w:t> </w:t>
      </w:r>
      <w:r>
        <w:rPr>
          <w:sz w:val="20"/>
        </w:rPr>
        <w:t>análogas</w:t>
      </w:r>
      <w:r>
        <w:rPr>
          <w:spacing w:val="39"/>
          <w:sz w:val="20"/>
        </w:rPr>
        <w:t> </w:t>
      </w:r>
      <w:r>
        <w:rPr>
          <w:sz w:val="20"/>
        </w:rPr>
        <w:t>a</w:t>
      </w:r>
      <w:r>
        <w:rPr>
          <w:spacing w:val="36"/>
          <w:sz w:val="20"/>
        </w:rPr>
        <w:t> </w:t>
      </w:r>
      <w:r>
        <w:rPr>
          <w:sz w:val="20"/>
        </w:rPr>
        <w:t>las</w:t>
      </w:r>
      <w:r>
        <w:rPr>
          <w:spacing w:val="37"/>
          <w:sz w:val="20"/>
        </w:rPr>
        <w:t> </w:t>
      </w:r>
      <w:r>
        <w:rPr>
          <w:sz w:val="20"/>
        </w:rPr>
        <w:t>establecidas</w:t>
      </w:r>
      <w:r>
        <w:rPr>
          <w:spacing w:val="40"/>
          <w:sz w:val="20"/>
        </w:rPr>
        <w:t> </w:t>
      </w:r>
      <w:r>
        <w:rPr>
          <w:sz w:val="20"/>
        </w:rPr>
        <w:t>en</w:t>
      </w:r>
      <w:r>
        <w:rPr>
          <w:spacing w:val="38"/>
          <w:sz w:val="20"/>
        </w:rPr>
        <w:t> </w:t>
      </w:r>
      <w:r>
        <w:rPr>
          <w:sz w:val="20"/>
        </w:rPr>
        <w:t>las</w:t>
      </w:r>
      <w:r>
        <w:rPr>
          <w:spacing w:val="37"/>
          <w:sz w:val="20"/>
        </w:rPr>
        <w:t> </w:t>
      </w:r>
      <w:r>
        <w:rPr>
          <w:sz w:val="20"/>
        </w:rPr>
        <w:t>fracciones</w:t>
      </w:r>
      <w:r>
        <w:rPr>
          <w:spacing w:val="39"/>
          <w:sz w:val="20"/>
        </w:rPr>
        <w:t> </w:t>
      </w:r>
      <w:r>
        <w:rPr>
          <w:sz w:val="20"/>
        </w:rPr>
        <w:t>anteriores,</w:t>
      </w:r>
      <w:r>
        <w:rPr>
          <w:spacing w:val="36"/>
          <w:sz w:val="20"/>
        </w:rPr>
        <w:t> </w:t>
      </w:r>
      <w:r>
        <w:rPr>
          <w:sz w:val="20"/>
        </w:rPr>
        <w:t>de</w:t>
      </w:r>
      <w:r>
        <w:rPr>
          <w:spacing w:val="38"/>
          <w:sz w:val="20"/>
        </w:rPr>
        <w:t> </w:t>
      </w:r>
      <w:r>
        <w:rPr>
          <w:sz w:val="20"/>
        </w:rPr>
        <w:t>igual</w:t>
      </w:r>
      <w:r>
        <w:rPr>
          <w:spacing w:val="35"/>
          <w:sz w:val="20"/>
        </w:rPr>
        <w:t> </w:t>
      </w:r>
      <w:r>
        <w:rPr>
          <w:sz w:val="20"/>
        </w:rPr>
        <w:t>manera</w:t>
      </w:r>
      <w:r>
        <w:rPr>
          <w:spacing w:val="36"/>
          <w:sz w:val="20"/>
        </w:rPr>
        <w:t> </w:t>
      </w:r>
      <w:r>
        <w:rPr>
          <w:sz w:val="20"/>
        </w:rPr>
        <w:t>graves</w:t>
      </w:r>
      <w:r>
        <w:rPr>
          <w:spacing w:val="40"/>
          <w:sz w:val="20"/>
        </w:rPr>
        <w:t> </w:t>
      </w:r>
      <w:r>
        <w:rPr>
          <w:sz w:val="20"/>
        </w:rPr>
        <w:t>y</w:t>
      </w:r>
      <w:r>
        <w:rPr>
          <w:spacing w:val="33"/>
          <w:sz w:val="20"/>
        </w:rPr>
        <w:t> </w:t>
      </w:r>
      <w:r>
        <w:rPr>
          <w:sz w:val="20"/>
        </w:rPr>
        <w:t>de consecuencias semejantes en lo que al trabajo se refiere.</w:t>
      </w:r>
    </w:p>
    <w:p>
      <w:pPr>
        <w:pStyle w:val="BodyText"/>
        <w:spacing w:before="229"/>
        <w:ind w:left="338" w:right="346" w:firstLine="288"/>
        <w:jc w:val="both"/>
      </w:pPr>
      <w:r>
        <w:rPr/>
        <w:t>El patrón que despida a un trabajador deberá darle aviso escrito en el que refiera claramente la conducta o conductas que motivan la rescisión y la fecha o fechas en que se cometieron.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50"/>
        <w:rPr>
          <w:rFonts w:ascii="Times New Roman"/>
          <w:i/>
          <w:sz w:val="16"/>
        </w:rPr>
      </w:pPr>
    </w:p>
    <w:p>
      <w:pPr>
        <w:pStyle w:val="BodyText"/>
        <w:ind w:left="338" w:right="334" w:firstLine="288"/>
        <w:jc w:val="both"/>
      </w:pPr>
      <w:r>
        <w:rPr/>
        <w:t>El aviso deberá entregarse personalmente al trabajador en el momento mismo del despido o bien, comunicarlo al Tribunal competente, dentro de los cinco días hábiles siguientes, en cuyo caso deberá proporcionar el último domicilio que tenga registrado del trabajador a fin de que la autoridad</w:t>
      </w:r>
      <w:r>
        <w:rPr>
          <w:spacing w:val="40"/>
        </w:rPr>
        <w:t> </w:t>
      </w:r>
      <w:r>
        <w:rPr/>
        <w:t>se lo notifique en forma personal.</w:t>
      </w:r>
    </w:p>
    <w:p>
      <w:pPr>
        <w:spacing w:line="181" w:lineRule="exact" w:before="0"/>
        <w:ind w:left="454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338" w:right="357" w:firstLine="288"/>
      </w:pPr>
      <w:r>
        <w:rPr/>
        <w:t>La</w:t>
      </w:r>
      <w:r>
        <w:rPr>
          <w:spacing w:val="-1"/>
        </w:rPr>
        <w:t> </w:t>
      </w:r>
      <w:r>
        <w:rPr/>
        <w:t>prescripción</w:t>
      </w:r>
      <w:r>
        <w:rPr>
          <w:spacing w:val="-1"/>
        </w:rPr>
        <w:t> </w:t>
      </w:r>
      <w:r>
        <w:rPr/>
        <w:t>para</w:t>
      </w:r>
      <w:r>
        <w:rPr>
          <w:spacing w:val="-1"/>
        </w:rPr>
        <w:t> </w:t>
      </w:r>
      <w:r>
        <w:rPr/>
        <w:t>ejercer las acciones derivadas del</w:t>
      </w:r>
      <w:r>
        <w:rPr>
          <w:spacing w:val="-1"/>
        </w:rPr>
        <w:t> </w:t>
      </w:r>
      <w:r>
        <w:rPr/>
        <w:t>despido</w:t>
      </w:r>
      <w:r>
        <w:rPr>
          <w:spacing w:val="-1"/>
        </w:rPr>
        <w:t> </w:t>
      </w:r>
      <w:r>
        <w:rPr/>
        <w:t>no</w:t>
      </w:r>
      <w:r>
        <w:rPr>
          <w:spacing w:val="-1"/>
        </w:rPr>
        <w:t> </w:t>
      </w:r>
      <w:r>
        <w:rPr/>
        <w:t>comenzará a</w:t>
      </w:r>
      <w:r>
        <w:rPr>
          <w:spacing w:val="-1"/>
        </w:rPr>
        <w:t> </w:t>
      </w:r>
      <w:r>
        <w:rPr/>
        <w:t>correr sino</w:t>
      </w:r>
      <w:r>
        <w:rPr>
          <w:spacing w:val="-1"/>
        </w:rPr>
        <w:t> </w:t>
      </w:r>
      <w:r>
        <w:rPr/>
        <w:t>hasta</w:t>
      </w:r>
      <w:r>
        <w:rPr>
          <w:spacing w:val="-1"/>
        </w:rPr>
        <w:t> </w:t>
      </w:r>
      <w:r>
        <w:rPr/>
        <w:t>que el trabajador reciba personalmente el aviso de rescisión.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338" w:right="345" w:firstLine="288"/>
        <w:jc w:val="both"/>
      </w:pPr>
      <w:r>
        <w:rPr/>
        <w:t>La falta de aviso al trabajador personalmente o por conducto del Tribunal, por sí sola presumirá la separación no justificada, salvo prueba en contrario que acredite que el despido fue justificado.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4" w:firstLine="288"/>
        <w:jc w:val="both"/>
      </w:pPr>
      <w:bookmarkStart w:name="Artículo_48" w:id="64"/>
      <w:bookmarkEnd w:id="64"/>
      <w:r>
        <w:rPr/>
      </w:r>
      <w:r>
        <w:rPr>
          <w:rFonts w:ascii="Arial" w:hAnsi="Arial"/>
          <w:b/>
        </w:rPr>
        <w:t>Artículo</w:t>
      </w:r>
      <w:r>
        <w:rPr>
          <w:rFonts w:ascii="Arial" w:hAnsi="Arial"/>
          <w:b/>
          <w:spacing w:val="-1"/>
        </w:rPr>
        <w:t> </w:t>
      </w:r>
      <w:r>
        <w:rPr>
          <w:rFonts w:ascii="Arial" w:hAnsi="Arial"/>
          <w:b/>
        </w:rPr>
        <w:t>48.- </w:t>
      </w:r>
      <w:r>
        <w:rPr/>
        <w:t>El</w:t>
      </w:r>
      <w:r>
        <w:rPr>
          <w:spacing w:val="-3"/>
        </w:rPr>
        <w:t> </w:t>
      </w:r>
      <w:r>
        <w:rPr/>
        <w:t>trabajador podrá</w:t>
      </w:r>
      <w:r>
        <w:rPr>
          <w:spacing w:val="-2"/>
        </w:rPr>
        <w:t> </w:t>
      </w:r>
      <w:r>
        <w:rPr/>
        <w:t>solicitar</w:t>
      </w:r>
      <w:r>
        <w:rPr>
          <w:spacing w:val="-1"/>
        </w:rPr>
        <w:t> </w:t>
      </w:r>
      <w:r>
        <w:rPr/>
        <w:t>ante la</w:t>
      </w:r>
      <w:r>
        <w:rPr>
          <w:spacing w:val="-2"/>
        </w:rPr>
        <w:t> </w:t>
      </w:r>
      <w:r>
        <w:rPr/>
        <w:t>Autoridad</w:t>
      </w:r>
      <w:r>
        <w:rPr>
          <w:spacing w:val="-2"/>
        </w:rPr>
        <w:t> </w:t>
      </w:r>
      <w:r>
        <w:rPr/>
        <w:t>Conciliadora,</w:t>
      </w:r>
      <w:r>
        <w:rPr>
          <w:spacing w:val="-2"/>
        </w:rPr>
        <w:t> </w:t>
      </w:r>
      <w:r>
        <w:rPr/>
        <w:t>o</w:t>
      </w:r>
      <w:r>
        <w:rPr>
          <w:spacing w:val="-2"/>
        </w:rPr>
        <w:t> </w:t>
      </w:r>
      <w:r>
        <w:rPr/>
        <w:t>ante</w:t>
      </w:r>
      <w:r>
        <w:rPr>
          <w:spacing w:val="-2"/>
        </w:rPr>
        <w:t> </w:t>
      </w:r>
      <w:r>
        <w:rPr/>
        <w:t>el</w:t>
      </w:r>
      <w:r>
        <w:rPr>
          <w:spacing w:val="-1"/>
        </w:rPr>
        <w:t> </w:t>
      </w:r>
      <w:r>
        <w:rPr/>
        <w:t>Tribunal</w:t>
      </w:r>
      <w:r>
        <w:rPr>
          <w:spacing w:val="-3"/>
        </w:rPr>
        <w:t> </w:t>
      </w:r>
      <w:r>
        <w:rPr/>
        <w:t>si</w:t>
      </w:r>
      <w:r>
        <w:rPr>
          <w:spacing w:val="-3"/>
        </w:rPr>
        <w:t> </w:t>
      </w:r>
      <w:r>
        <w:rPr/>
        <w:t>no</w:t>
      </w:r>
      <w:r>
        <w:rPr>
          <w:spacing w:val="-3"/>
        </w:rPr>
        <w:t> </w:t>
      </w:r>
      <w:r>
        <w:rPr/>
        <w:t>existe arreglo conciliatorio, que se le reinstale en el trabajo que desempeñaba, o que se le indemnice con el importe de tres meses de salario, a razón del que corresponda a la fecha en que se realice el pago, observando previamente las disposiciones relativas al procedimiento de conciliación previsto en el</w:t>
      </w:r>
      <w:r>
        <w:rPr>
          <w:spacing w:val="40"/>
        </w:rPr>
        <w:t> </w:t>
      </w:r>
      <w:r>
        <w:rPr/>
        <w:t>artículo 684-A y subsiguientes.</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338" w:right="339" w:firstLine="288"/>
        <w:jc w:val="both"/>
      </w:pPr>
      <w:r>
        <w:rPr/>
        <w:t>Si en el juicio correspondiente no comprueba el patrón la causa de la rescisión, el trabajador tendrá derecho, además, cualquiera que hubiese sido la acción intentada, a que se le paguen los salarios vencidos computados desde la fecha del despido hasta por un período máximo de doce meses, en términos de lo preceptuado en la última parte del párrafo anterior.</w:t>
      </w:r>
    </w:p>
    <w:p>
      <w:pPr>
        <w:pStyle w:val="BodyText"/>
        <w:spacing w:before="230"/>
        <w:ind w:left="338" w:right="334" w:firstLine="288"/>
        <w:jc w:val="both"/>
      </w:pPr>
      <w:r>
        <w:rPr/>
        <w:t>Si al término del plazo señalado en el párrafo anterior no ha concluido el procedimiento o no se ha dado cumplimiento a la sentencia, se pagarán también al trabajador los intereses que se generen sobre</w:t>
      </w:r>
      <w:r>
        <w:rPr>
          <w:spacing w:val="80"/>
        </w:rPr>
        <w:t> </w:t>
      </w:r>
      <w:r>
        <w:rPr/>
        <w:t>el importe de quince meses de salario, a razón del dos por ciento mensual, capitalizable al momento del pago. Lo dispuesto en este párrafo no será aplicable para el pago de otro tipo de indemnizaciones o </w:t>
      </w:r>
      <w:r>
        <w:rPr>
          <w:spacing w:val="-2"/>
        </w:rPr>
        <w:t>prestaciones.</w:t>
      </w:r>
    </w:p>
    <w:p>
      <w:pPr>
        <w:spacing w:line="181"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6" w:firstLine="288"/>
        <w:jc w:val="both"/>
      </w:pPr>
      <w:r>
        <w:rPr/>
        <w:t>En caso de muerte del trabajador, dejarán de computarse los salarios vencidos como parte del conflicto, a partir de la fecha del fallecimiento.</w:t>
      </w:r>
    </w:p>
    <w:p>
      <w:pPr>
        <w:pStyle w:val="BodyText"/>
        <w:spacing w:before="2"/>
      </w:pPr>
    </w:p>
    <w:p>
      <w:pPr>
        <w:pStyle w:val="BodyText"/>
        <w:ind w:left="338" w:right="340" w:firstLine="288"/>
        <w:jc w:val="both"/>
      </w:pPr>
      <w:r>
        <w:rPr/>
        <w:t>Los abogados, litigantes o representantes que promuevan acciones, excepciones, incidentes, diligencias, ofrecimiento de pruebas, recursos y, en general toda actuación en forma notoriamente improcedente, con la finalidad de prolongar, dilatar u obstaculizar la sustanciación o resolución de un juicio laboral, se le impondrá una multa de 100 a 1000 veces la Unidad de Medida y Actualización.</w:t>
      </w:r>
    </w:p>
    <w:p>
      <w:pPr>
        <w:spacing w:line="181"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338" w:right="343" w:firstLine="288"/>
        <w:jc w:val="both"/>
      </w:pPr>
      <w:r>
        <w:rPr/>
        <w:t>Si la dilación es producto de omisiones o conductas irregulares de los servidores públicos, la sanción aplicable será la suspensión hasta por noventa días sin pago de salario y en caso de reincidencia la destitución del cargo,</w:t>
      </w:r>
      <w:r>
        <w:rPr>
          <w:spacing w:val="15"/>
        </w:rPr>
        <w:t> </w:t>
      </w:r>
      <w:r>
        <w:rPr/>
        <w:t>en los términos de las disposiciones aplicables.</w:t>
      </w:r>
      <w:r>
        <w:rPr>
          <w:spacing w:val="15"/>
        </w:rPr>
        <w:t> </w:t>
      </w:r>
      <w:r>
        <w:rPr/>
        <w:t>Además, en este último supuesto</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42"/>
      </w:pPr>
      <w:r>
        <w:rPr/>
        <w:t>se</w:t>
      </w:r>
      <w:r>
        <w:rPr>
          <w:spacing w:val="73"/>
        </w:rPr>
        <w:t> </w:t>
      </w:r>
      <w:r>
        <w:rPr/>
        <w:t>dará</w:t>
      </w:r>
      <w:r>
        <w:rPr>
          <w:spacing w:val="75"/>
        </w:rPr>
        <w:t> </w:t>
      </w:r>
      <w:r>
        <w:rPr/>
        <w:t>vista</w:t>
      </w:r>
      <w:r>
        <w:rPr>
          <w:spacing w:val="73"/>
        </w:rPr>
        <w:t> </w:t>
      </w:r>
      <w:r>
        <w:rPr/>
        <w:t>al</w:t>
      </w:r>
      <w:r>
        <w:rPr>
          <w:spacing w:val="72"/>
        </w:rPr>
        <w:t> </w:t>
      </w:r>
      <w:r>
        <w:rPr/>
        <w:t>Ministerio</w:t>
      </w:r>
      <w:r>
        <w:rPr>
          <w:spacing w:val="73"/>
        </w:rPr>
        <w:t> </w:t>
      </w:r>
      <w:r>
        <w:rPr/>
        <w:t>Público</w:t>
      </w:r>
      <w:r>
        <w:rPr>
          <w:spacing w:val="75"/>
        </w:rPr>
        <w:t> </w:t>
      </w:r>
      <w:r>
        <w:rPr/>
        <w:t>para</w:t>
      </w:r>
      <w:r>
        <w:rPr>
          <w:spacing w:val="75"/>
        </w:rPr>
        <w:t> </w:t>
      </w:r>
      <w:r>
        <w:rPr/>
        <w:t>que</w:t>
      </w:r>
      <w:r>
        <w:rPr>
          <w:spacing w:val="75"/>
        </w:rPr>
        <w:t> </w:t>
      </w:r>
      <w:r>
        <w:rPr/>
        <w:t>investigue</w:t>
      </w:r>
      <w:r>
        <w:rPr>
          <w:spacing w:val="75"/>
        </w:rPr>
        <w:t> </w:t>
      </w:r>
      <w:r>
        <w:rPr/>
        <w:t>la</w:t>
      </w:r>
      <w:r>
        <w:rPr>
          <w:spacing w:val="75"/>
        </w:rPr>
        <w:t> </w:t>
      </w:r>
      <w:r>
        <w:rPr/>
        <w:t>posible</w:t>
      </w:r>
      <w:r>
        <w:rPr>
          <w:spacing w:val="73"/>
        </w:rPr>
        <w:t> </w:t>
      </w:r>
      <w:r>
        <w:rPr/>
        <w:t>comisión</w:t>
      </w:r>
      <w:r>
        <w:rPr>
          <w:spacing w:val="73"/>
        </w:rPr>
        <w:t> </w:t>
      </w:r>
      <w:r>
        <w:rPr/>
        <w:t>de</w:t>
      </w:r>
      <w:r>
        <w:rPr>
          <w:spacing w:val="75"/>
        </w:rPr>
        <w:t> </w:t>
      </w:r>
      <w:r>
        <w:rPr/>
        <w:t>delitos</w:t>
      </w:r>
      <w:r>
        <w:rPr>
          <w:spacing w:val="74"/>
        </w:rPr>
        <w:t> </w:t>
      </w:r>
      <w:r>
        <w:rPr/>
        <w:t>contra</w:t>
      </w:r>
      <w:r>
        <w:rPr>
          <w:spacing w:val="75"/>
        </w:rPr>
        <w:t> </w:t>
      </w:r>
      <w:r>
        <w:rPr/>
        <w:t>la administración de justicia.</w:t>
      </w:r>
    </w:p>
    <w:p>
      <w:pPr>
        <w:pStyle w:val="BodyText"/>
        <w:spacing w:before="1"/>
      </w:pPr>
    </w:p>
    <w:p>
      <w:pPr>
        <w:pStyle w:val="BodyText"/>
        <w:spacing w:before="1"/>
        <w:ind w:left="338" w:right="338" w:firstLine="288"/>
        <w:jc w:val="both"/>
      </w:pPr>
      <w:r>
        <w:rPr/>
        <w:t>A los servidores públicos del Centro Federal de Conciliación y Registro Laboral cuando retrasen, obstruyan o influyan en el procedimiento de registros sindicales y de contratos colectivos y de reglamentos interiores de trabajo a favor o en contra de una de las partes, así como en el otorgamiento</w:t>
      </w:r>
      <w:r>
        <w:rPr>
          <w:spacing w:val="40"/>
        </w:rPr>
        <w:t> </w:t>
      </w:r>
      <w:r>
        <w:rPr/>
        <w:t>de la constancia de representatividad sin causa justificada se les impondrá una multa de 100 a 1000 veces la Unidad de Medida y Actualización. Por lo que se refiere a los servidores públicos de los Centros de Conciliación locales se le sancionará en los mismos términos, cuando en el desempeño de su función conciliatoria incurran en estas conductas.</w:t>
      </w:r>
    </w:p>
    <w:p>
      <w:pPr>
        <w:spacing w:line="237" w:lineRule="auto" w:before="0"/>
        <w:ind w:left="7347" w:right="33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before="1"/>
        <w:ind w:left="338" w:right="342" w:firstLine="288"/>
      </w:pPr>
      <w:bookmarkStart w:name="Artículo_48_Bis" w:id="65"/>
      <w:bookmarkEnd w:id="65"/>
      <w:r>
        <w:rPr/>
      </w:r>
      <w:r>
        <w:rPr>
          <w:rFonts w:ascii="Arial" w:hAnsi="Arial"/>
          <w:b/>
        </w:rPr>
        <w:t>Artículo</w:t>
      </w:r>
      <w:r>
        <w:rPr>
          <w:rFonts w:ascii="Arial" w:hAnsi="Arial"/>
          <w:b/>
          <w:spacing w:val="23"/>
        </w:rPr>
        <w:t> </w:t>
      </w:r>
      <w:r>
        <w:rPr>
          <w:rFonts w:ascii="Arial" w:hAnsi="Arial"/>
          <w:b/>
        </w:rPr>
        <w:t>48</w:t>
      </w:r>
      <w:r>
        <w:rPr>
          <w:rFonts w:ascii="Arial" w:hAnsi="Arial"/>
          <w:b/>
          <w:spacing w:val="22"/>
        </w:rPr>
        <w:t> </w:t>
      </w:r>
      <w:r>
        <w:rPr>
          <w:rFonts w:ascii="Arial" w:hAnsi="Arial"/>
          <w:b/>
        </w:rPr>
        <w:t>Bis.-</w:t>
      </w:r>
      <w:r>
        <w:rPr>
          <w:rFonts w:ascii="Arial" w:hAnsi="Arial"/>
          <w:b/>
          <w:spacing w:val="25"/>
        </w:rPr>
        <w:t> </w:t>
      </w:r>
      <w:r>
        <w:rPr/>
        <w:t>Para</w:t>
      </w:r>
      <w:r>
        <w:rPr>
          <w:spacing w:val="24"/>
        </w:rPr>
        <w:t> </w:t>
      </w:r>
      <w:r>
        <w:rPr/>
        <w:t>efectos</w:t>
      </w:r>
      <w:r>
        <w:rPr>
          <w:spacing w:val="23"/>
        </w:rPr>
        <w:t> </w:t>
      </w:r>
      <w:r>
        <w:rPr/>
        <w:t>del</w:t>
      </w:r>
      <w:r>
        <w:rPr>
          <w:spacing w:val="24"/>
        </w:rPr>
        <w:t> </w:t>
      </w:r>
      <w:r>
        <w:rPr/>
        <w:t>artículo</w:t>
      </w:r>
      <w:r>
        <w:rPr>
          <w:spacing w:val="24"/>
        </w:rPr>
        <w:t> </w:t>
      </w:r>
      <w:r>
        <w:rPr/>
        <w:t>48</w:t>
      </w:r>
      <w:r>
        <w:rPr>
          <w:spacing w:val="22"/>
        </w:rPr>
        <w:t> </w:t>
      </w:r>
      <w:r>
        <w:rPr/>
        <w:t>de</w:t>
      </w:r>
      <w:r>
        <w:rPr>
          <w:spacing w:val="22"/>
        </w:rPr>
        <w:t> </w:t>
      </w:r>
      <w:r>
        <w:rPr/>
        <w:t>esta</w:t>
      </w:r>
      <w:r>
        <w:rPr>
          <w:spacing w:val="22"/>
        </w:rPr>
        <w:t> </w:t>
      </w:r>
      <w:r>
        <w:rPr/>
        <w:t>Ley,</w:t>
      </w:r>
      <w:r>
        <w:rPr>
          <w:spacing w:val="24"/>
        </w:rPr>
        <w:t> </w:t>
      </w:r>
      <w:r>
        <w:rPr/>
        <w:t>de</w:t>
      </w:r>
      <w:r>
        <w:rPr>
          <w:spacing w:val="22"/>
        </w:rPr>
        <w:t> </w:t>
      </w:r>
      <w:r>
        <w:rPr/>
        <w:t>manera</w:t>
      </w:r>
      <w:r>
        <w:rPr>
          <w:spacing w:val="24"/>
        </w:rPr>
        <w:t> </w:t>
      </w:r>
      <w:r>
        <w:rPr/>
        <w:t>enunciativa</w:t>
      </w:r>
      <w:r>
        <w:rPr>
          <w:spacing w:val="22"/>
        </w:rPr>
        <w:t> </w:t>
      </w:r>
      <w:r>
        <w:rPr/>
        <w:t>se</w:t>
      </w:r>
      <w:r>
        <w:rPr>
          <w:spacing w:val="22"/>
        </w:rPr>
        <w:t> </w:t>
      </w:r>
      <w:r>
        <w:rPr/>
        <w:t>considerarán actuaciones notoriamente improcedentes las siguientes:</w:t>
      </w:r>
    </w:p>
    <w:p>
      <w:pPr>
        <w:pStyle w:val="ListParagraph"/>
        <w:numPr>
          <w:ilvl w:val="0"/>
          <w:numId w:val="14"/>
        </w:numPr>
        <w:tabs>
          <w:tab w:pos="986" w:val="left" w:leader="none"/>
        </w:tabs>
        <w:spacing w:line="240" w:lineRule="auto" w:before="224" w:after="0"/>
        <w:ind w:left="986" w:right="0" w:hanging="360"/>
        <w:jc w:val="left"/>
        <w:rPr>
          <w:sz w:val="20"/>
        </w:rPr>
      </w:pPr>
      <w:r>
        <w:rPr>
          <w:sz w:val="20"/>
        </w:rPr>
        <w:t>Tratándose</w:t>
      </w:r>
      <w:r>
        <w:rPr>
          <w:spacing w:val="-10"/>
          <w:sz w:val="20"/>
        </w:rPr>
        <w:t> </w:t>
      </w:r>
      <w:r>
        <w:rPr>
          <w:sz w:val="20"/>
        </w:rPr>
        <w:t>de</w:t>
      </w:r>
      <w:r>
        <w:rPr>
          <w:spacing w:val="-8"/>
          <w:sz w:val="20"/>
        </w:rPr>
        <w:t> </w:t>
      </w:r>
      <w:r>
        <w:rPr>
          <w:sz w:val="20"/>
        </w:rPr>
        <w:t>las</w:t>
      </w:r>
      <w:r>
        <w:rPr>
          <w:spacing w:val="-7"/>
          <w:sz w:val="20"/>
        </w:rPr>
        <w:t> </w:t>
      </w:r>
      <w:r>
        <w:rPr>
          <w:sz w:val="20"/>
        </w:rPr>
        <w:t>partes,</w:t>
      </w:r>
      <w:r>
        <w:rPr>
          <w:spacing w:val="-8"/>
          <w:sz w:val="20"/>
        </w:rPr>
        <w:t> </w:t>
      </w:r>
      <w:r>
        <w:rPr>
          <w:sz w:val="20"/>
        </w:rPr>
        <w:t>abogados,</w:t>
      </w:r>
      <w:r>
        <w:rPr>
          <w:spacing w:val="-8"/>
          <w:sz w:val="20"/>
        </w:rPr>
        <w:t> </w:t>
      </w:r>
      <w:r>
        <w:rPr>
          <w:sz w:val="20"/>
        </w:rPr>
        <w:t>litigantes,</w:t>
      </w:r>
      <w:r>
        <w:rPr>
          <w:spacing w:val="-9"/>
          <w:sz w:val="20"/>
        </w:rPr>
        <w:t> </w:t>
      </w:r>
      <w:r>
        <w:rPr>
          <w:sz w:val="20"/>
        </w:rPr>
        <w:t>representantes</w:t>
      </w:r>
      <w:r>
        <w:rPr>
          <w:spacing w:val="-9"/>
          <w:sz w:val="20"/>
        </w:rPr>
        <w:t> </w:t>
      </w:r>
      <w:r>
        <w:rPr>
          <w:sz w:val="20"/>
        </w:rPr>
        <w:t>o</w:t>
      </w:r>
      <w:r>
        <w:rPr>
          <w:spacing w:val="-8"/>
          <w:sz w:val="20"/>
        </w:rPr>
        <w:t> </w:t>
      </w:r>
      <w:r>
        <w:rPr>
          <w:spacing w:val="-2"/>
          <w:sz w:val="20"/>
        </w:rPr>
        <w:t>testigos:</w:t>
      </w:r>
    </w:p>
    <w:p>
      <w:pPr>
        <w:pStyle w:val="BodyText"/>
        <w:spacing w:before="1"/>
      </w:pPr>
    </w:p>
    <w:p>
      <w:pPr>
        <w:pStyle w:val="ListParagraph"/>
        <w:numPr>
          <w:ilvl w:val="1"/>
          <w:numId w:val="14"/>
        </w:numPr>
        <w:tabs>
          <w:tab w:pos="1344" w:val="left" w:leader="none"/>
          <w:tab w:pos="1346" w:val="left" w:leader="none"/>
        </w:tabs>
        <w:spacing w:line="242" w:lineRule="auto" w:before="0" w:after="0"/>
        <w:ind w:left="1346" w:right="344" w:hanging="360"/>
        <w:jc w:val="both"/>
        <w:rPr>
          <w:sz w:val="20"/>
        </w:rPr>
      </w:pPr>
      <w:r>
        <w:rPr>
          <w:sz w:val="20"/>
        </w:rPr>
        <w:t>Ofrecer algún beneficio personal, dádiva o soborno a funcionarios del Centro Federal de Conciliación y Registro Laboral, Centros de Conciliación Locales o Tribunales; así como a terceros de un procedimiento laboral;</w:t>
      </w:r>
    </w:p>
    <w:p>
      <w:pPr>
        <w:pStyle w:val="ListParagraph"/>
        <w:numPr>
          <w:ilvl w:val="1"/>
          <w:numId w:val="14"/>
        </w:numPr>
        <w:tabs>
          <w:tab w:pos="1344" w:val="left" w:leader="none"/>
        </w:tabs>
        <w:spacing w:line="240" w:lineRule="auto" w:before="222" w:after="0"/>
        <w:ind w:left="1344" w:right="0" w:hanging="358"/>
        <w:jc w:val="left"/>
        <w:rPr>
          <w:sz w:val="20"/>
        </w:rPr>
      </w:pPr>
      <w:r>
        <w:rPr>
          <w:sz w:val="20"/>
        </w:rPr>
        <w:t>Alterar</w:t>
      </w:r>
      <w:r>
        <w:rPr>
          <w:spacing w:val="-7"/>
          <w:sz w:val="20"/>
        </w:rPr>
        <w:t> </w:t>
      </w:r>
      <w:r>
        <w:rPr>
          <w:sz w:val="20"/>
        </w:rPr>
        <w:t>un</w:t>
      </w:r>
      <w:r>
        <w:rPr>
          <w:spacing w:val="-6"/>
          <w:sz w:val="20"/>
        </w:rPr>
        <w:t> </w:t>
      </w:r>
      <w:r>
        <w:rPr>
          <w:sz w:val="20"/>
        </w:rPr>
        <w:t>documento</w:t>
      </w:r>
      <w:r>
        <w:rPr>
          <w:spacing w:val="-7"/>
          <w:sz w:val="20"/>
        </w:rPr>
        <w:t> </w:t>
      </w:r>
      <w:r>
        <w:rPr>
          <w:sz w:val="20"/>
        </w:rPr>
        <w:t>firmado</w:t>
      </w:r>
      <w:r>
        <w:rPr>
          <w:spacing w:val="-8"/>
          <w:sz w:val="20"/>
        </w:rPr>
        <w:t> </w:t>
      </w:r>
      <w:r>
        <w:rPr>
          <w:sz w:val="20"/>
        </w:rPr>
        <w:t>por</w:t>
      </w:r>
      <w:r>
        <w:rPr>
          <w:spacing w:val="-7"/>
          <w:sz w:val="20"/>
        </w:rPr>
        <w:t> </w:t>
      </w:r>
      <w:r>
        <w:rPr>
          <w:sz w:val="20"/>
        </w:rPr>
        <w:t>el</w:t>
      </w:r>
      <w:r>
        <w:rPr>
          <w:spacing w:val="-6"/>
          <w:sz w:val="20"/>
        </w:rPr>
        <w:t> </w:t>
      </w:r>
      <w:r>
        <w:rPr>
          <w:sz w:val="20"/>
        </w:rPr>
        <w:t>trabajador</w:t>
      </w:r>
      <w:r>
        <w:rPr>
          <w:spacing w:val="-6"/>
          <w:sz w:val="20"/>
        </w:rPr>
        <w:t> </w:t>
      </w:r>
      <w:r>
        <w:rPr>
          <w:sz w:val="20"/>
        </w:rPr>
        <w:t>con</w:t>
      </w:r>
      <w:r>
        <w:rPr>
          <w:spacing w:val="-6"/>
          <w:sz w:val="20"/>
        </w:rPr>
        <w:t> </w:t>
      </w:r>
      <w:r>
        <w:rPr>
          <w:sz w:val="20"/>
        </w:rPr>
        <w:t>un</w:t>
      </w:r>
      <w:r>
        <w:rPr>
          <w:spacing w:val="-1"/>
          <w:sz w:val="20"/>
        </w:rPr>
        <w:t> </w:t>
      </w:r>
      <w:r>
        <w:rPr>
          <w:sz w:val="20"/>
        </w:rPr>
        <w:t>fin</w:t>
      </w:r>
      <w:r>
        <w:rPr>
          <w:spacing w:val="-7"/>
          <w:sz w:val="20"/>
        </w:rPr>
        <w:t> </w:t>
      </w:r>
      <w:r>
        <w:rPr>
          <w:sz w:val="20"/>
        </w:rPr>
        <w:t>distinto</w:t>
      </w:r>
      <w:r>
        <w:rPr>
          <w:spacing w:val="-6"/>
          <w:sz w:val="20"/>
        </w:rPr>
        <w:t> </w:t>
      </w:r>
      <w:r>
        <w:rPr>
          <w:sz w:val="20"/>
        </w:rPr>
        <w:t>para</w:t>
      </w:r>
      <w:r>
        <w:rPr>
          <w:spacing w:val="-5"/>
          <w:sz w:val="20"/>
        </w:rPr>
        <w:t> </w:t>
      </w:r>
      <w:r>
        <w:rPr>
          <w:sz w:val="20"/>
        </w:rPr>
        <w:t>incorporar</w:t>
      </w:r>
      <w:r>
        <w:rPr>
          <w:spacing w:val="-6"/>
          <w:sz w:val="20"/>
        </w:rPr>
        <w:t> </w:t>
      </w:r>
      <w:r>
        <w:rPr>
          <w:sz w:val="20"/>
        </w:rPr>
        <w:t>la</w:t>
      </w:r>
      <w:r>
        <w:rPr>
          <w:spacing w:val="-7"/>
          <w:sz w:val="20"/>
        </w:rPr>
        <w:t> </w:t>
      </w:r>
      <w:r>
        <w:rPr>
          <w:spacing w:val="-2"/>
          <w:sz w:val="20"/>
        </w:rPr>
        <w:t>renuncia;</w:t>
      </w:r>
    </w:p>
    <w:p>
      <w:pPr>
        <w:pStyle w:val="BodyText"/>
        <w:spacing w:before="1"/>
      </w:pPr>
    </w:p>
    <w:p>
      <w:pPr>
        <w:pStyle w:val="ListParagraph"/>
        <w:numPr>
          <w:ilvl w:val="1"/>
          <w:numId w:val="14"/>
        </w:numPr>
        <w:tabs>
          <w:tab w:pos="1344" w:val="left" w:leader="none"/>
          <w:tab w:pos="1346" w:val="left" w:leader="none"/>
        </w:tabs>
        <w:spacing w:line="242" w:lineRule="auto" w:before="0" w:after="0"/>
        <w:ind w:left="1346" w:right="347" w:hanging="360"/>
        <w:jc w:val="both"/>
        <w:rPr>
          <w:sz w:val="20"/>
        </w:rPr>
      </w:pPr>
      <w:r>
        <w:rPr>
          <w:sz w:val="20"/>
        </w:rPr>
        <w:t>Exigir la firma de papeles en blanco en la contratación o en cualquier momento de la relación </w:t>
      </w:r>
      <w:r>
        <w:rPr>
          <w:spacing w:val="-2"/>
          <w:sz w:val="20"/>
        </w:rPr>
        <w:t>laboral;</w:t>
      </w:r>
    </w:p>
    <w:p>
      <w:pPr>
        <w:pStyle w:val="ListParagraph"/>
        <w:numPr>
          <w:ilvl w:val="1"/>
          <w:numId w:val="14"/>
        </w:numPr>
        <w:tabs>
          <w:tab w:pos="1344" w:val="left" w:leader="none"/>
          <w:tab w:pos="1346" w:val="left" w:leader="none"/>
        </w:tabs>
        <w:spacing w:line="242" w:lineRule="auto" w:before="224" w:after="0"/>
        <w:ind w:left="1346" w:right="342" w:hanging="360"/>
        <w:jc w:val="both"/>
        <w:rPr>
          <w:sz w:val="20"/>
        </w:rPr>
      </w:pPr>
      <w:r>
        <w:rPr>
          <w:sz w:val="20"/>
        </w:rPr>
        <w:t>Presentación de hechos notoriamente</w:t>
      </w:r>
      <w:r>
        <w:rPr>
          <w:spacing w:val="-2"/>
          <w:sz w:val="20"/>
        </w:rPr>
        <w:t> </w:t>
      </w:r>
      <w:r>
        <w:rPr>
          <w:sz w:val="20"/>
        </w:rPr>
        <w:t>falsos en el</w:t>
      </w:r>
      <w:r>
        <w:rPr>
          <w:spacing w:val="-3"/>
          <w:sz w:val="20"/>
        </w:rPr>
        <w:t> </w:t>
      </w:r>
      <w:r>
        <w:rPr>
          <w:sz w:val="20"/>
        </w:rPr>
        <w:t>juicio</w:t>
      </w:r>
      <w:r>
        <w:rPr>
          <w:spacing w:val="-2"/>
          <w:sz w:val="20"/>
        </w:rPr>
        <w:t> </w:t>
      </w:r>
      <w:r>
        <w:rPr>
          <w:sz w:val="20"/>
        </w:rPr>
        <w:t>laboral, por cualquiera de las partes</w:t>
      </w:r>
      <w:r>
        <w:rPr>
          <w:spacing w:val="-1"/>
          <w:sz w:val="20"/>
        </w:rPr>
        <w:t> </w:t>
      </w:r>
      <w:r>
        <w:rPr>
          <w:sz w:val="20"/>
        </w:rPr>
        <w:t>o sus representantes, sobre el salario, la jornada de trabajo o la antigüedad de la relación de </w:t>
      </w:r>
      <w:r>
        <w:rPr>
          <w:spacing w:val="-2"/>
          <w:sz w:val="20"/>
        </w:rPr>
        <w:t>trabajo;</w:t>
      </w:r>
    </w:p>
    <w:p>
      <w:pPr>
        <w:pStyle w:val="ListParagraph"/>
        <w:numPr>
          <w:ilvl w:val="1"/>
          <w:numId w:val="14"/>
        </w:numPr>
        <w:tabs>
          <w:tab w:pos="1344" w:val="left" w:leader="none"/>
          <w:tab w:pos="1346" w:val="left" w:leader="none"/>
        </w:tabs>
        <w:spacing w:line="240" w:lineRule="auto" w:before="225" w:after="0"/>
        <w:ind w:left="1346" w:right="337" w:hanging="360"/>
        <w:jc w:val="both"/>
        <w:rPr>
          <w:sz w:val="20"/>
        </w:rPr>
      </w:pPr>
      <w:r>
        <w:rPr>
          <w:sz w:val="20"/>
        </w:rPr>
        <w:t>Negar el acceso a un establecimiento o centro de trabajo al actuario o notificador de la autoridad</w:t>
      </w:r>
      <w:r>
        <w:rPr>
          <w:spacing w:val="-3"/>
          <w:sz w:val="20"/>
        </w:rPr>
        <w:t> </w:t>
      </w:r>
      <w:r>
        <w:rPr>
          <w:sz w:val="20"/>
        </w:rPr>
        <w:t>laboral,</w:t>
      </w:r>
      <w:r>
        <w:rPr>
          <w:spacing w:val="-3"/>
          <w:sz w:val="20"/>
        </w:rPr>
        <w:t> </w:t>
      </w:r>
      <w:r>
        <w:rPr>
          <w:sz w:val="20"/>
        </w:rPr>
        <w:t>cuando</w:t>
      </w:r>
      <w:r>
        <w:rPr>
          <w:spacing w:val="-3"/>
          <w:sz w:val="20"/>
        </w:rPr>
        <w:t> </w:t>
      </w:r>
      <w:r>
        <w:rPr>
          <w:sz w:val="20"/>
        </w:rPr>
        <w:t>éste</w:t>
      </w:r>
      <w:r>
        <w:rPr>
          <w:spacing w:val="-5"/>
          <w:sz w:val="20"/>
        </w:rPr>
        <w:t> </w:t>
      </w:r>
      <w:r>
        <w:rPr>
          <w:sz w:val="20"/>
        </w:rPr>
        <w:t>solicite</w:t>
      </w:r>
      <w:r>
        <w:rPr>
          <w:spacing w:val="-4"/>
          <w:sz w:val="20"/>
        </w:rPr>
        <w:t> </w:t>
      </w:r>
      <w:r>
        <w:rPr>
          <w:sz w:val="20"/>
        </w:rPr>
        <w:t>realizar</w:t>
      </w:r>
      <w:r>
        <w:rPr>
          <w:spacing w:val="-4"/>
          <w:sz w:val="20"/>
        </w:rPr>
        <w:t> </w:t>
      </w:r>
      <w:r>
        <w:rPr>
          <w:sz w:val="20"/>
        </w:rPr>
        <w:t>una</w:t>
      </w:r>
      <w:r>
        <w:rPr>
          <w:spacing w:val="-3"/>
          <w:sz w:val="20"/>
        </w:rPr>
        <w:t> </w:t>
      </w:r>
      <w:r>
        <w:rPr>
          <w:sz w:val="20"/>
        </w:rPr>
        <w:t>notificación</w:t>
      </w:r>
      <w:r>
        <w:rPr>
          <w:spacing w:val="-4"/>
          <w:sz w:val="20"/>
        </w:rPr>
        <w:t> </w:t>
      </w:r>
      <w:r>
        <w:rPr>
          <w:sz w:val="20"/>
        </w:rPr>
        <w:t>o diligencia.</w:t>
      </w:r>
      <w:r>
        <w:rPr>
          <w:spacing w:val="-3"/>
          <w:sz w:val="20"/>
        </w:rPr>
        <w:t> </w:t>
      </w:r>
      <w:r>
        <w:rPr>
          <w:sz w:val="20"/>
        </w:rPr>
        <w:t>Asimismo,</w:t>
      </w:r>
      <w:r>
        <w:rPr>
          <w:spacing w:val="-4"/>
          <w:sz w:val="20"/>
        </w:rPr>
        <w:t> </w:t>
      </w:r>
      <w:r>
        <w:rPr>
          <w:sz w:val="20"/>
        </w:rPr>
        <w:t>negarse a</w:t>
      </w:r>
      <w:r>
        <w:rPr>
          <w:spacing w:val="-4"/>
          <w:sz w:val="20"/>
        </w:rPr>
        <w:t> </w:t>
      </w:r>
      <w:r>
        <w:rPr>
          <w:sz w:val="20"/>
        </w:rPr>
        <w:t>recibir</w:t>
      </w:r>
      <w:r>
        <w:rPr>
          <w:spacing w:val="-1"/>
          <w:sz w:val="20"/>
        </w:rPr>
        <w:t> </w:t>
      </w:r>
      <w:r>
        <w:rPr>
          <w:sz w:val="20"/>
        </w:rPr>
        <w:t>los</w:t>
      </w:r>
      <w:r>
        <w:rPr>
          <w:spacing w:val="-1"/>
          <w:sz w:val="20"/>
        </w:rPr>
        <w:t> </w:t>
      </w:r>
      <w:r>
        <w:rPr>
          <w:sz w:val="20"/>
        </w:rPr>
        <w:t>documentos</w:t>
      </w:r>
      <w:r>
        <w:rPr>
          <w:spacing w:val="-3"/>
          <w:sz w:val="20"/>
        </w:rPr>
        <w:t> </w:t>
      </w:r>
      <w:r>
        <w:rPr>
          <w:sz w:val="20"/>
        </w:rPr>
        <w:t>relativos</w:t>
      </w:r>
      <w:r>
        <w:rPr>
          <w:spacing w:val="-1"/>
          <w:sz w:val="20"/>
        </w:rPr>
        <w:t> </w:t>
      </w:r>
      <w:r>
        <w:rPr>
          <w:sz w:val="20"/>
        </w:rPr>
        <w:t>a</w:t>
      </w:r>
      <w:r>
        <w:rPr>
          <w:spacing w:val="-2"/>
          <w:sz w:val="20"/>
        </w:rPr>
        <w:t> </w:t>
      </w:r>
      <w:r>
        <w:rPr>
          <w:sz w:val="20"/>
        </w:rPr>
        <w:t>la notificación</w:t>
      </w:r>
      <w:r>
        <w:rPr>
          <w:spacing w:val="-2"/>
          <w:sz w:val="20"/>
        </w:rPr>
        <w:t> </w:t>
      </w:r>
      <w:r>
        <w:rPr>
          <w:sz w:val="20"/>
        </w:rPr>
        <w:t>ordenada</w:t>
      </w:r>
      <w:r>
        <w:rPr>
          <w:spacing w:val="-2"/>
          <w:sz w:val="20"/>
        </w:rPr>
        <w:t> </w:t>
      </w:r>
      <w:r>
        <w:rPr>
          <w:sz w:val="20"/>
        </w:rPr>
        <w:t>por</w:t>
      </w:r>
      <w:r>
        <w:rPr>
          <w:spacing w:val="-4"/>
          <w:sz w:val="20"/>
        </w:rPr>
        <w:t> </w:t>
      </w:r>
      <w:r>
        <w:rPr>
          <w:sz w:val="20"/>
        </w:rPr>
        <w:t>la</w:t>
      </w:r>
      <w:r>
        <w:rPr>
          <w:spacing w:val="-2"/>
          <w:sz w:val="20"/>
        </w:rPr>
        <w:t> </w:t>
      </w:r>
      <w:r>
        <w:rPr>
          <w:sz w:val="20"/>
        </w:rPr>
        <w:t>autoridad</w:t>
      </w:r>
      <w:r>
        <w:rPr>
          <w:spacing w:val="-2"/>
          <w:sz w:val="20"/>
        </w:rPr>
        <w:t> </w:t>
      </w:r>
      <w:r>
        <w:rPr>
          <w:sz w:val="20"/>
        </w:rPr>
        <w:t>laboral</w:t>
      </w:r>
      <w:r>
        <w:rPr>
          <w:spacing w:val="-5"/>
          <w:sz w:val="20"/>
        </w:rPr>
        <w:t> </w:t>
      </w:r>
      <w:r>
        <w:rPr>
          <w:sz w:val="20"/>
        </w:rPr>
        <w:t>cuando</w:t>
      </w:r>
      <w:r>
        <w:rPr>
          <w:spacing w:val="-4"/>
          <w:sz w:val="20"/>
        </w:rPr>
        <w:t> </w:t>
      </w:r>
      <w:r>
        <w:rPr>
          <w:sz w:val="20"/>
        </w:rPr>
        <w:t>se trate del domicilio de la razón social o de la persona física o moral buscada. También se considera conducta infractora simular con cédulas fiscales o documentación oficial de otras razones sociales, aun cuando tengan el mismo domicilio, con objeto de evadir la citación al procedimiento de conciliación prejudicial, el emplazamiento a juicio o el desahogo de una prueba, y</w:t>
      </w:r>
    </w:p>
    <w:p>
      <w:pPr>
        <w:pStyle w:val="ListParagraph"/>
        <w:numPr>
          <w:ilvl w:val="1"/>
          <w:numId w:val="14"/>
        </w:numPr>
        <w:tabs>
          <w:tab w:pos="1344" w:val="left" w:leader="none"/>
          <w:tab w:pos="1346" w:val="left" w:leader="none"/>
        </w:tabs>
        <w:spacing w:line="242" w:lineRule="auto" w:before="229" w:after="0"/>
        <w:ind w:left="1346" w:right="347" w:hanging="360"/>
        <w:jc w:val="both"/>
        <w:rPr>
          <w:sz w:val="20"/>
        </w:rPr>
      </w:pPr>
      <w:r>
        <w:rPr>
          <w:sz w:val="20"/>
        </w:rPr>
        <w:t>Demandar la titularidad de un contrato colectivo de trabajo sin tener trabajadores afiliados al sindicato que labore en el centro de trabajo de cuyo contrato se reclame.</w:t>
      </w:r>
    </w:p>
    <w:p>
      <w:pPr>
        <w:pStyle w:val="ListParagraph"/>
        <w:numPr>
          <w:ilvl w:val="0"/>
          <w:numId w:val="14"/>
        </w:numPr>
        <w:tabs>
          <w:tab w:pos="983" w:val="left" w:leader="none"/>
        </w:tabs>
        <w:spacing w:line="240" w:lineRule="auto" w:before="228" w:after="0"/>
        <w:ind w:left="983" w:right="0" w:hanging="357"/>
        <w:jc w:val="left"/>
        <w:rPr>
          <w:sz w:val="20"/>
        </w:rPr>
      </w:pPr>
      <w:r>
        <w:rPr>
          <w:sz w:val="20"/>
        </w:rPr>
        <w:t>Tratándose</w:t>
      </w:r>
      <w:r>
        <w:rPr>
          <w:spacing w:val="-11"/>
          <w:sz w:val="20"/>
        </w:rPr>
        <w:t> </w:t>
      </w:r>
      <w:r>
        <w:rPr>
          <w:sz w:val="20"/>
        </w:rPr>
        <w:t>de</w:t>
      </w:r>
      <w:r>
        <w:rPr>
          <w:spacing w:val="-9"/>
          <w:sz w:val="20"/>
        </w:rPr>
        <w:t> </w:t>
      </w:r>
      <w:r>
        <w:rPr>
          <w:sz w:val="20"/>
        </w:rPr>
        <w:t>servidores</w:t>
      </w:r>
      <w:r>
        <w:rPr>
          <w:spacing w:val="-9"/>
          <w:sz w:val="20"/>
        </w:rPr>
        <w:t> </w:t>
      </w:r>
      <w:r>
        <w:rPr>
          <w:sz w:val="20"/>
        </w:rPr>
        <w:t>públicos</w:t>
      </w:r>
      <w:r>
        <w:rPr>
          <w:spacing w:val="-9"/>
          <w:sz w:val="20"/>
        </w:rPr>
        <w:t> </w:t>
      </w:r>
      <w:r>
        <w:rPr>
          <w:sz w:val="20"/>
        </w:rPr>
        <w:t>se</w:t>
      </w:r>
      <w:r>
        <w:rPr>
          <w:spacing w:val="-11"/>
          <w:sz w:val="20"/>
        </w:rPr>
        <w:t> </w:t>
      </w:r>
      <w:r>
        <w:rPr>
          <w:sz w:val="20"/>
        </w:rPr>
        <w:t>considerarán</w:t>
      </w:r>
      <w:r>
        <w:rPr>
          <w:spacing w:val="-11"/>
          <w:sz w:val="20"/>
        </w:rPr>
        <w:t> </w:t>
      </w:r>
      <w:r>
        <w:rPr>
          <w:sz w:val="20"/>
        </w:rPr>
        <w:t>actuaciones</w:t>
      </w:r>
      <w:r>
        <w:rPr>
          <w:spacing w:val="-10"/>
          <w:sz w:val="20"/>
        </w:rPr>
        <w:t> </w:t>
      </w:r>
      <w:r>
        <w:rPr>
          <w:sz w:val="20"/>
        </w:rPr>
        <w:t>notoriamente</w:t>
      </w:r>
      <w:r>
        <w:rPr>
          <w:spacing w:val="-11"/>
          <w:sz w:val="20"/>
        </w:rPr>
        <w:t> </w:t>
      </w:r>
      <w:r>
        <w:rPr>
          <w:spacing w:val="-2"/>
          <w:sz w:val="20"/>
        </w:rPr>
        <w:t>improcedentes:</w:t>
      </w:r>
    </w:p>
    <w:p>
      <w:pPr>
        <w:pStyle w:val="ListParagraph"/>
        <w:numPr>
          <w:ilvl w:val="1"/>
          <w:numId w:val="14"/>
        </w:numPr>
        <w:tabs>
          <w:tab w:pos="1344" w:val="left" w:leader="none"/>
          <w:tab w:pos="1346" w:val="left" w:leader="none"/>
        </w:tabs>
        <w:spacing w:line="242" w:lineRule="auto" w:before="228" w:after="0"/>
        <w:ind w:left="1346" w:right="348" w:hanging="360"/>
        <w:jc w:val="both"/>
        <w:rPr>
          <w:sz w:val="20"/>
        </w:rPr>
      </w:pPr>
      <w:r>
        <w:rPr>
          <w:sz w:val="20"/>
        </w:rPr>
        <w:t>Levantar razón de una notificación haciendo constar que se constituyó en el domicilio que se le ordenó realizar la notificación, sin haberse constituido en el mismo;</w:t>
      </w:r>
    </w:p>
    <w:p>
      <w:pPr>
        <w:pStyle w:val="ListParagraph"/>
        <w:numPr>
          <w:ilvl w:val="1"/>
          <w:numId w:val="14"/>
        </w:numPr>
        <w:tabs>
          <w:tab w:pos="1344" w:val="left" w:leader="none"/>
          <w:tab w:pos="1346" w:val="left" w:leader="none"/>
        </w:tabs>
        <w:spacing w:line="242" w:lineRule="auto" w:before="227" w:after="0"/>
        <w:ind w:left="1346" w:right="336" w:hanging="360"/>
        <w:jc w:val="both"/>
        <w:rPr>
          <w:sz w:val="20"/>
        </w:rPr>
      </w:pPr>
      <w:r>
        <w:rPr>
          <w:sz w:val="20"/>
        </w:rPr>
        <w:t>Levantar razón de una notificación o cédula de emplazamiento sin que éstas se hayan </w:t>
      </w:r>
      <w:r>
        <w:rPr>
          <w:spacing w:val="-2"/>
          <w:sz w:val="20"/>
        </w:rPr>
        <w:t>realizado;</w:t>
      </w:r>
    </w:p>
    <w:p>
      <w:pPr>
        <w:pStyle w:val="ListParagraph"/>
        <w:numPr>
          <w:ilvl w:val="1"/>
          <w:numId w:val="14"/>
        </w:numPr>
        <w:tabs>
          <w:tab w:pos="1344" w:val="left" w:leader="none"/>
          <w:tab w:pos="1346" w:val="left" w:leader="none"/>
        </w:tabs>
        <w:spacing w:line="242" w:lineRule="auto" w:before="224" w:after="0"/>
        <w:ind w:left="1346" w:right="347" w:hanging="360"/>
        <w:jc w:val="both"/>
        <w:rPr>
          <w:sz w:val="20"/>
        </w:rPr>
      </w:pPr>
      <w:r>
        <w:rPr>
          <w:sz w:val="20"/>
        </w:rPr>
        <w:t>Omitir efectuar una notificación dentro del plazo establecido por la Ley u ordenado por la autoridad laboral;</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3"/>
      </w:pPr>
    </w:p>
    <w:p>
      <w:pPr>
        <w:pStyle w:val="ListParagraph"/>
        <w:numPr>
          <w:ilvl w:val="1"/>
          <w:numId w:val="14"/>
        </w:numPr>
        <w:tabs>
          <w:tab w:pos="1344" w:val="left" w:leader="none"/>
          <w:tab w:pos="1346" w:val="left" w:leader="none"/>
        </w:tabs>
        <w:spacing w:line="242" w:lineRule="auto" w:before="0" w:after="0"/>
        <w:ind w:left="1346" w:right="342" w:hanging="360"/>
        <w:jc w:val="both"/>
        <w:rPr>
          <w:sz w:val="20"/>
        </w:rPr>
      </w:pPr>
      <w:r>
        <w:rPr>
          <w:sz w:val="20"/>
        </w:rPr>
        <w:t>Dilatar de manera deliberada la notificación de una audiencia de conciliación, el emplazamiento de un</w:t>
      </w:r>
      <w:r>
        <w:rPr>
          <w:spacing w:val="-1"/>
          <w:sz w:val="20"/>
        </w:rPr>
        <w:t> </w:t>
      </w:r>
      <w:r>
        <w:rPr>
          <w:sz w:val="20"/>
        </w:rPr>
        <w:t>juicio laboral o</w:t>
      </w:r>
      <w:r>
        <w:rPr>
          <w:spacing w:val="-1"/>
          <w:sz w:val="20"/>
        </w:rPr>
        <w:t> </w:t>
      </w:r>
      <w:r>
        <w:rPr>
          <w:sz w:val="20"/>
        </w:rPr>
        <w:t>cualquier notificación personal del procedimiento laboral, para beneficiar a alguna de las partes del procedimiento o para recibir un beneficio de alguna de las partes;</w:t>
      </w:r>
    </w:p>
    <w:p>
      <w:pPr>
        <w:pStyle w:val="ListParagraph"/>
        <w:numPr>
          <w:ilvl w:val="1"/>
          <w:numId w:val="14"/>
        </w:numPr>
        <w:tabs>
          <w:tab w:pos="1344" w:val="left" w:leader="none"/>
        </w:tabs>
        <w:spacing w:line="240" w:lineRule="auto" w:before="221" w:after="0"/>
        <w:ind w:left="1344" w:right="0" w:hanging="358"/>
        <w:jc w:val="left"/>
        <w:rPr>
          <w:sz w:val="20"/>
        </w:rPr>
      </w:pPr>
      <w:r>
        <w:rPr>
          <w:sz w:val="20"/>
        </w:rPr>
        <w:t>Recibir</w:t>
      </w:r>
      <w:r>
        <w:rPr>
          <w:spacing w:val="-6"/>
          <w:sz w:val="20"/>
        </w:rPr>
        <w:t> </w:t>
      </w:r>
      <w:r>
        <w:rPr>
          <w:sz w:val="20"/>
        </w:rPr>
        <w:t>una</w:t>
      </w:r>
      <w:r>
        <w:rPr>
          <w:spacing w:val="-6"/>
          <w:sz w:val="20"/>
        </w:rPr>
        <w:t> </w:t>
      </w:r>
      <w:r>
        <w:rPr>
          <w:sz w:val="20"/>
        </w:rPr>
        <w:t>dádiva</w:t>
      </w:r>
      <w:r>
        <w:rPr>
          <w:spacing w:val="-5"/>
          <w:sz w:val="20"/>
        </w:rPr>
        <w:t> </w:t>
      </w:r>
      <w:r>
        <w:rPr>
          <w:sz w:val="20"/>
        </w:rPr>
        <w:t>de</w:t>
      </w:r>
      <w:r>
        <w:rPr>
          <w:spacing w:val="-5"/>
          <w:sz w:val="20"/>
        </w:rPr>
        <w:t> </w:t>
      </w:r>
      <w:r>
        <w:rPr>
          <w:sz w:val="20"/>
        </w:rPr>
        <w:t>alguna</w:t>
      </w:r>
      <w:r>
        <w:rPr>
          <w:spacing w:val="-7"/>
          <w:sz w:val="20"/>
        </w:rPr>
        <w:t> </w:t>
      </w:r>
      <w:r>
        <w:rPr>
          <w:sz w:val="20"/>
        </w:rPr>
        <w:t>de</w:t>
      </w:r>
      <w:r>
        <w:rPr>
          <w:spacing w:val="-6"/>
          <w:sz w:val="20"/>
        </w:rPr>
        <w:t> </w:t>
      </w:r>
      <w:r>
        <w:rPr>
          <w:sz w:val="20"/>
        </w:rPr>
        <w:t>las</w:t>
      </w:r>
      <w:r>
        <w:rPr>
          <w:spacing w:val="-6"/>
          <w:sz w:val="20"/>
        </w:rPr>
        <w:t> </w:t>
      </w:r>
      <w:r>
        <w:rPr>
          <w:sz w:val="20"/>
        </w:rPr>
        <w:t>partes</w:t>
      </w:r>
      <w:r>
        <w:rPr>
          <w:spacing w:val="-3"/>
          <w:sz w:val="20"/>
        </w:rPr>
        <w:t> </w:t>
      </w:r>
      <w:r>
        <w:rPr>
          <w:sz w:val="20"/>
        </w:rPr>
        <w:t>o</w:t>
      </w:r>
      <w:r>
        <w:rPr>
          <w:spacing w:val="-6"/>
          <w:sz w:val="20"/>
        </w:rPr>
        <w:t> </w:t>
      </w:r>
      <w:r>
        <w:rPr>
          <w:sz w:val="20"/>
        </w:rPr>
        <w:t>tercero</w:t>
      </w:r>
      <w:r>
        <w:rPr>
          <w:spacing w:val="-5"/>
          <w:sz w:val="20"/>
        </w:rPr>
        <w:t> </w:t>
      </w:r>
      <w:r>
        <w:rPr>
          <w:spacing w:val="-2"/>
          <w:sz w:val="20"/>
        </w:rPr>
        <w:t>interesado;</w:t>
      </w:r>
    </w:p>
    <w:p>
      <w:pPr>
        <w:pStyle w:val="BodyText"/>
      </w:pPr>
    </w:p>
    <w:p>
      <w:pPr>
        <w:pStyle w:val="ListParagraph"/>
        <w:numPr>
          <w:ilvl w:val="1"/>
          <w:numId w:val="14"/>
        </w:numPr>
        <w:tabs>
          <w:tab w:pos="1346" w:val="left" w:leader="none"/>
        </w:tabs>
        <w:spacing w:line="240" w:lineRule="auto" w:before="1" w:after="0"/>
        <w:ind w:left="1346" w:right="0" w:hanging="360"/>
        <w:jc w:val="left"/>
        <w:rPr>
          <w:sz w:val="20"/>
        </w:rPr>
      </w:pPr>
      <w:r>
        <w:rPr>
          <w:sz w:val="20"/>
        </w:rPr>
        <w:t>Retrasar</w:t>
      </w:r>
      <w:r>
        <w:rPr>
          <w:spacing w:val="-8"/>
          <w:sz w:val="20"/>
        </w:rPr>
        <w:t> </w:t>
      </w:r>
      <w:r>
        <w:rPr>
          <w:sz w:val="20"/>
        </w:rPr>
        <w:t>deliberadamente</w:t>
      </w:r>
      <w:r>
        <w:rPr>
          <w:spacing w:val="-9"/>
          <w:sz w:val="20"/>
        </w:rPr>
        <w:t> </w:t>
      </w:r>
      <w:r>
        <w:rPr>
          <w:sz w:val="20"/>
        </w:rPr>
        <w:t>la</w:t>
      </w:r>
      <w:r>
        <w:rPr>
          <w:spacing w:val="-7"/>
          <w:sz w:val="20"/>
        </w:rPr>
        <w:t> </w:t>
      </w:r>
      <w:r>
        <w:rPr>
          <w:sz w:val="20"/>
        </w:rPr>
        <w:t>ejecución</w:t>
      </w:r>
      <w:r>
        <w:rPr>
          <w:spacing w:val="-8"/>
          <w:sz w:val="20"/>
        </w:rPr>
        <w:t> </w:t>
      </w:r>
      <w:r>
        <w:rPr>
          <w:sz w:val="20"/>
        </w:rPr>
        <w:t>de</w:t>
      </w:r>
      <w:r>
        <w:rPr>
          <w:spacing w:val="-6"/>
          <w:sz w:val="20"/>
        </w:rPr>
        <w:t> </w:t>
      </w:r>
      <w:r>
        <w:rPr>
          <w:sz w:val="20"/>
        </w:rPr>
        <w:t>sentencias</w:t>
      </w:r>
      <w:r>
        <w:rPr>
          <w:spacing w:val="-5"/>
          <w:sz w:val="20"/>
        </w:rPr>
        <w:t> </w:t>
      </w:r>
      <w:r>
        <w:rPr>
          <w:sz w:val="20"/>
        </w:rPr>
        <w:t>y</w:t>
      </w:r>
      <w:r>
        <w:rPr>
          <w:spacing w:val="-10"/>
          <w:sz w:val="20"/>
        </w:rPr>
        <w:t> </w:t>
      </w:r>
      <w:r>
        <w:rPr>
          <w:sz w:val="20"/>
        </w:rPr>
        <w:t>convenios</w:t>
      </w:r>
      <w:r>
        <w:rPr>
          <w:spacing w:val="-5"/>
          <w:sz w:val="20"/>
        </w:rPr>
        <w:t> </w:t>
      </w:r>
      <w:r>
        <w:rPr>
          <w:sz w:val="20"/>
        </w:rPr>
        <w:t>que</w:t>
      </w:r>
      <w:r>
        <w:rPr>
          <w:spacing w:val="-7"/>
          <w:sz w:val="20"/>
        </w:rPr>
        <w:t> </w:t>
      </w:r>
      <w:r>
        <w:rPr>
          <w:sz w:val="20"/>
        </w:rPr>
        <w:t>sean</w:t>
      </w:r>
      <w:r>
        <w:rPr>
          <w:spacing w:val="-9"/>
          <w:sz w:val="20"/>
        </w:rPr>
        <w:t> </w:t>
      </w:r>
      <w:r>
        <w:rPr>
          <w:sz w:val="20"/>
        </w:rPr>
        <w:t>cosa</w:t>
      </w:r>
      <w:r>
        <w:rPr>
          <w:spacing w:val="-6"/>
          <w:sz w:val="20"/>
        </w:rPr>
        <w:t> </w:t>
      </w:r>
      <w:r>
        <w:rPr>
          <w:spacing w:val="-2"/>
          <w:sz w:val="20"/>
        </w:rPr>
        <w:t>juzgada;</w:t>
      </w:r>
    </w:p>
    <w:p>
      <w:pPr>
        <w:pStyle w:val="BodyText"/>
      </w:pPr>
    </w:p>
    <w:p>
      <w:pPr>
        <w:pStyle w:val="ListParagraph"/>
        <w:numPr>
          <w:ilvl w:val="1"/>
          <w:numId w:val="14"/>
        </w:numPr>
        <w:tabs>
          <w:tab w:pos="1344" w:val="left" w:leader="none"/>
        </w:tabs>
        <w:spacing w:line="240" w:lineRule="auto" w:before="0" w:after="0"/>
        <w:ind w:left="1344" w:right="0" w:hanging="358"/>
        <w:jc w:val="left"/>
        <w:rPr>
          <w:sz w:val="20"/>
        </w:rPr>
      </w:pPr>
      <w:r>
        <w:rPr>
          <w:sz w:val="20"/>
        </w:rPr>
        <w:t>Admitir</w:t>
      </w:r>
      <w:r>
        <w:rPr>
          <w:spacing w:val="-7"/>
          <w:sz w:val="20"/>
        </w:rPr>
        <w:t> </w:t>
      </w:r>
      <w:r>
        <w:rPr>
          <w:sz w:val="20"/>
        </w:rPr>
        <w:t>pruebas</w:t>
      </w:r>
      <w:r>
        <w:rPr>
          <w:spacing w:val="-7"/>
          <w:sz w:val="20"/>
        </w:rPr>
        <w:t> </w:t>
      </w:r>
      <w:r>
        <w:rPr>
          <w:sz w:val="20"/>
        </w:rPr>
        <w:t>no</w:t>
      </w:r>
      <w:r>
        <w:rPr>
          <w:spacing w:val="-6"/>
          <w:sz w:val="20"/>
        </w:rPr>
        <w:t> </w:t>
      </w:r>
      <w:r>
        <w:rPr>
          <w:sz w:val="20"/>
        </w:rPr>
        <w:t>relacionadas</w:t>
      </w:r>
      <w:r>
        <w:rPr>
          <w:spacing w:val="-7"/>
          <w:sz w:val="20"/>
        </w:rPr>
        <w:t> </w:t>
      </w:r>
      <w:r>
        <w:rPr>
          <w:sz w:val="20"/>
        </w:rPr>
        <w:t>con</w:t>
      </w:r>
      <w:r>
        <w:rPr>
          <w:spacing w:val="-6"/>
          <w:sz w:val="20"/>
        </w:rPr>
        <w:t> </w:t>
      </w:r>
      <w:r>
        <w:rPr>
          <w:sz w:val="20"/>
        </w:rPr>
        <w:t>la</w:t>
      </w:r>
      <w:r>
        <w:rPr>
          <w:spacing w:val="-6"/>
          <w:sz w:val="20"/>
        </w:rPr>
        <w:t> </w:t>
      </w:r>
      <w:r>
        <w:rPr>
          <w:sz w:val="20"/>
        </w:rPr>
        <w:t>litis</w:t>
      </w:r>
      <w:r>
        <w:rPr>
          <w:spacing w:val="-7"/>
          <w:sz w:val="20"/>
        </w:rPr>
        <w:t> </w:t>
      </w:r>
      <w:r>
        <w:rPr>
          <w:sz w:val="20"/>
        </w:rPr>
        <w:t>que</w:t>
      </w:r>
      <w:r>
        <w:rPr>
          <w:spacing w:val="-8"/>
          <w:sz w:val="20"/>
        </w:rPr>
        <w:t> </w:t>
      </w:r>
      <w:r>
        <w:rPr>
          <w:sz w:val="20"/>
        </w:rPr>
        <w:t>dilaten</w:t>
      </w:r>
      <w:r>
        <w:rPr>
          <w:spacing w:val="-6"/>
          <w:sz w:val="20"/>
        </w:rPr>
        <w:t> </w:t>
      </w:r>
      <w:r>
        <w:rPr>
          <w:sz w:val="20"/>
        </w:rPr>
        <w:t>el</w:t>
      </w:r>
      <w:r>
        <w:rPr>
          <w:spacing w:val="-7"/>
          <w:sz w:val="20"/>
        </w:rPr>
        <w:t> </w:t>
      </w:r>
      <w:r>
        <w:rPr>
          <w:spacing w:val="-2"/>
          <w:sz w:val="20"/>
        </w:rPr>
        <w:t>procedimiento;</w:t>
      </w:r>
    </w:p>
    <w:p>
      <w:pPr>
        <w:pStyle w:val="ListParagraph"/>
        <w:numPr>
          <w:ilvl w:val="1"/>
          <w:numId w:val="14"/>
        </w:numPr>
        <w:tabs>
          <w:tab w:pos="1344" w:val="left" w:leader="none"/>
        </w:tabs>
        <w:spacing w:line="240" w:lineRule="auto" w:before="230" w:after="0"/>
        <w:ind w:left="1344" w:right="0" w:hanging="358"/>
        <w:jc w:val="left"/>
        <w:rPr>
          <w:sz w:val="20"/>
        </w:rPr>
      </w:pPr>
      <w:r>
        <w:rPr>
          <w:sz w:val="20"/>
        </w:rPr>
        <w:t>Retrasar</w:t>
      </w:r>
      <w:r>
        <w:rPr>
          <w:spacing w:val="-7"/>
          <w:sz w:val="20"/>
        </w:rPr>
        <w:t> </w:t>
      </w:r>
      <w:r>
        <w:rPr>
          <w:sz w:val="20"/>
        </w:rPr>
        <w:t>un</w:t>
      </w:r>
      <w:r>
        <w:rPr>
          <w:spacing w:val="-4"/>
          <w:sz w:val="20"/>
        </w:rPr>
        <w:t> </w:t>
      </w:r>
      <w:r>
        <w:rPr>
          <w:sz w:val="20"/>
        </w:rPr>
        <w:t>acuerdo</w:t>
      </w:r>
      <w:r>
        <w:rPr>
          <w:spacing w:val="-6"/>
          <w:sz w:val="20"/>
        </w:rPr>
        <w:t> </w:t>
      </w:r>
      <w:r>
        <w:rPr>
          <w:sz w:val="20"/>
        </w:rPr>
        <w:t>o</w:t>
      </w:r>
      <w:r>
        <w:rPr>
          <w:spacing w:val="-7"/>
          <w:sz w:val="20"/>
        </w:rPr>
        <w:t> </w:t>
      </w:r>
      <w:r>
        <w:rPr>
          <w:sz w:val="20"/>
        </w:rPr>
        <w:t>resolución</w:t>
      </w:r>
      <w:r>
        <w:rPr>
          <w:spacing w:val="-6"/>
          <w:sz w:val="20"/>
        </w:rPr>
        <w:t> </w:t>
      </w:r>
      <w:r>
        <w:rPr>
          <w:sz w:val="20"/>
        </w:rPr>
        <w:t>más</w:t>
      </w:r>
      <w:r>
        <w:rPr>
          <w:spacing w:val="-5"/>
          <w:sz w:val="20"/>
        </w:rPr>
        <w:t> </w:t>
      </w:r>
      <w:r>
        <w:rPr>
          <w:sz w:val="20"/>
        </w:rPr>
        <w:t>de</w:t>
      </w:r>
      <w:r>
        <w:rPr>
          <w:spacing w:val="-7"/>
          <w:sz w:val="20"/>
        </w:rPr>
        <w:t> </w:t>
      </w:r>
      <w:r>
        <w:rPr>
          <w:sz w:val="20"/>
        </w:rPr>
        <w:t>ocho</w:t>
      </w:r>
      <w:r>
        <w:rPr>
          <w:spacing w:val="-6"/>
          <w:sz w:val="20"/>
        </w:rPr>
        <w:t> </w:t>
      </w:r>
      <w:r>
        <w:rPr>
          <w:sz w:val="20"/>
        </w:rPr>
        <w:t>días</w:t>
      </w:r>
      <w:r>
        <w:rPr>
          <w:spacing w:val="-5"/>
          <w:sz w:val="20"/>
        </w:rPr>
        <w:t> </w:t>
      </w:r>
      <w:r>
        <w:rPr>
          <w:sz w:val="20"/>
        </w:rPr>
        <w:t>de</w:t>
      </w:r>
      <w:r>
        <w:rPr>
          <w:spacing w:val="-4"/>
          <w:sz w:val="20"/>
        </w:rPr>
        <w:t> </w:t>
      </w:r>
      <w:r>
        <w:rPr>
          <w:sz w:val="20"/>
        </w:rPr>
        <w:t>los</w:t>
      </w:r>
      <w:r>
        <w:rPr>
          <w:spacing w:val="-5"/>
          <w:sz w:val="20"/>
        </w:rPr>
        <w:t> </w:t>
      </w:r>
      <w:r>
        <w:rPr>
          <w:sz w:val="20"/>
        </w:rPr>
        <w:t>plazos</w:t>
      </w:r>
      <w:r>
        <w:rPr>
          <w:spacing w:val="-6"/>
          <w:sz w:val="20"/>
        </w:rPr>
        <w:t> </w:t>
      </w:r>
      <w:r>
        <w:rPr>
          <w:sz w:val="20"/>
        </w:rPr>
        <w:t>establecidos</w:t>
      </w:r>
      <w:r>
        <w:rPr>
          <w:spacing w:val="-5"/>
          <w:sz w:val="20"/>
        </w:rPr>
        <w:t> </w:t>
      </w:r>
      <w:r>
        <w:rPr>
          <w:sz w:val="20"/>
        </w:rPr>
        <w:t>en</w:t>
      </w:r>
      <w:r>
        <w:rPr>
          <w:spacing w:val="-5"/>
          <w:sz w:val="20"/>
        </w:rPr>
        <w:t> </w:t>
      </w:r>
      <w:r>
        <w:rPr>
          <w:sz w:val="20"/>
        </w:rPr>
        <w:t>la</w:t>
      </w:r>
      <w:r>
        <w:rPr>
          <w:spacing w:val="-4"/>
          <w:sz w:val="20"/>
        </w:rPr>
        <w:t> ley;</w:t>
      </w:r>
    </w:p>
    <w:p>
      <w:pPr>
        <w:pStyle w:val="BodyText"/>
      </w:pPr>
    </w:p>
    <w:p>
      <w:pPr>
        <w:pStyle w:val="ListParagraph"/>
        <w:numPr>
          <w:ilvl w:val="1"/>
          <w:numId w:val="14"/>
        </w:numPr>
        <w:tabs>
          <w:tab w:pos="1344" w:val="left" w:leader="none"/>
          <w:tab w:pos="1346" w:val="left" w:leader="none"/>
        </w:tabs>
        <w:spacing w:line="242" w:lineRule="auto" w:before="0" w:after="0"/>
        <w:ind w:left="1346" w:right="347" w:hanging="360"/>
        <w:jc w:val="both"/>
        <w:rPr>
          <w:sz w:val="20"/>
        </w:rPr>
      </w:pPr>
      <w:r>
        <w:rPr>
          <w:sz w:val="20"/>
        </w:rPr>
        <w:t>Ocultar expedientes con el fin de retrasar el juicio o impedir la celebración de una audiencia o </w:t>
      </w:r>
      <w:r>
        <w:rPr>
          <w:spacing w:val="-2"/>
          <w:sz w:val="20"/>
        </w:rPr>
        <w:t>diligencia;</w:t>
      </w:r>
    </w:p>
    <w:p>
      <w:pPr>
        <w:pStyle w:val="ListParagraph"/>
        <w:numPr>
          <w:ilvl w:val="1"/>
          <w:numId w:val="14"/>
        </w:numPr>
        <w:tabs>
          <w:tab w:pos="1346" w:val="left" w:leader="none"/>
        </w:tabs>
        <w:spacing w:line="240" w:lineRule="auto" w:before="225" w:after="0"/>
        <w:ind w:left="1346" w:right="0" w:hanging="360"/>
        <w:jc w:val="left"/>
        <w:rPr>
          <w:sz w:val="20"/>
        </w:rPr>
      </w:pPr>
      <w:r>
        <w:rPr>
          <w:sz w:val="20"/>
        </w:rPr>
        <w:t>Retrasar</w:t>
      </w:r>
      <w:r>
        <w:rPr>
          <w:spacing w:val="-5"/>
          <w:sz w:val="20"/>
        </w:rPr>
        <w:t> </w:t>
      </w:r>
      <w:r>
        <w:rPr>
          <w:sz w:val="20"/>
        </w:rPr>
        <w:t>y</w:t>
      </w:r>
      <w:r>
        <w:rPr>
          <w:spacing w:val="-8"/>
          <w:sz w:val="20"/>
        </w:rPr>
        <w:t> </w:t>
      </w:r>
      <w:r>
        <w:rPr>
          <w:sz w:val="20"/>
        </w:rPr>
        <w:t>obstruir</w:t>
      </w:r>
      <w:r>
        <w:rPr>
          <w:spacing w:val="-7"/>
          <w:sz w:val="20"/>
        </w:rPr>
        <w:t> </w:t>
      </w:r>
      <w:r>
        <w:rPr>
          <w:sz w:val="20"/>
        </w:rPr>
        <w:t>la</w:t>
      </w:r>
      <w:r>
        <w:rPr>
          <w:spacing w:val="-6"/>
          <w:sz w:val="20"/>
        </w:rPr>
        <w:t> </w:t>
      </w:r>
      <w:r>
        <w:rPr>
          <w:sz w:val="20"/>
        </w:rPr>
        <w:t>entrega</w:t>
      </w:r>
      <w:r>
        <w:rPr>
          <w:spacing w:val="-8"/>
          <w:sz w:val="20"/>
        </w:rPr>
        <w:t> </w:t>
      </w:r>
      <w:r>
        <w:rPr>
          <w:sz w:val="20"/>
        </w:rPr>
        <w:t>de</w:t>
      </w:r>
      <w:r>
        <w:rPr>
          <w:spacing w:val="-7"/>
          <w:sz w:val="20"/>
        </w:rPr>
        <w:t> </w:t>
      </w:r>
      <w:r>
        <w:rPr>
          <w:sz w:val="20"/>
        </w:rPr>
        <w:t>la</w:t>
      </w:r>
      <w:r>
        <w:rPr>
          <w:spacing w:val="-8"/>
          <w:sz w:val="20"/>
        </w:rPr>
        <w:t> </w:t>
      </w:r>
      <w:r>
        <w:rPr>
          <w:sz w:val="20"/>
        </w:rPr>
        <w:t>constancia</w:t>
      </w:r>
      <w:r>
        <w:rPr>
          <w:spacing w:val="-5"/>
          <w:sz w:val="20"/>
        </w:rPr>
        <w:t> </w:t>
      </w:r>
      <w:r>
        <w:rPr>
          <w:sz w:val="20"/>
        </w:rPr>
        <w:t>de</w:t>
      </w:r>
      <w:r>
        <w:rPr>
          <w:spacing w:val="-8"/>
          <w:sz w:val="20"/>
        </w:rPr>
        <w:t> </w:t>
      </w:r>
      <w:r>
        <w:rPr>
          <w:sz w:val="20"/>
        </w:rPr>
        <w:t>representatividad</w:t>
      </w:r>
      <w:r>
        <w:rPr>
          <w:spacing w:val="-9"/>
          <w:sz w:val="20"/>
        </w:rPr>
        <w:t> </w:t>
      </w:r>
      <w:r>
        <w:rPr>
          <w:sz w:val="20"/>
        </w:rPr>
        <w:t>sin</w:t>
      </w:r>
      <w:r>
        <w:rPr>
          <w:spacing w:val="-7"/>
          <w:sz w:val="20"/>
        </w:rPr>
        <w:t> </w:t>
      </w:r>
      <w:r>
        <w:rPr>
          <w:sz w:val="20"/>
        </w:rPr>
        <w:t>causa</w:t>
      </w:r>
      <w:r>
        <w:rPr>
          <w:spacing w:val="-6"/>
          <w:sz w:val="20"/>
        </w:rPr>
        <w:t> </w:t>
      </w:r>
      <w:r>
        <w:rPr>
          <w:sz w:val="20"/>
        </w:rPr>
        <w:t>justificada,</w:t>
      </w:r>
      <w:r>
        <w:rPr>
          <w:spacing w:val="-3"/>
          <w:sz w:val="20"/>
        </w:rPr>
        <w:t> </w:t>
      </w:r>
      <w:r>
        <w:rPr>
          <w:spacing w:val="-10"/>
          <w:sz w:val="20"/>
        </w:rPr>
        <w:t>y</w:t>
      </w:r>
    </w:p>
    <w:p>
      <w:pPr>
        <w:pStyle w:val="BodyText"/>
      </w:pPr>
    </w:p>
    <w:p>
      <w:pPr>
        <w:pStyle w:val="ListParagraph"/>
        <w:numPr>
          <w:ilvl w:val="1"/>
          <w:numId w:val="14"/>
        </w:numPr>
        <w:tabs>
          <w:tab w:pos="1344" w:val="left" w:leader="none"/>
          <w:tab w:pos="1346" w:val="left" w:leader="none"/>
        </w:tabs>
        <w:spacing w:line="242" w:lineRule="auto" w:before="0" w:after="0"/>
        <w:ind w:left="1346" w:right="340" w:hanging="360"/>
        <w:jc w:val="both"/>
        <w:rPr>
          <w:sz w:val="20"/>
        </w:rPr>
      </w:pPr>
      <w:r>
        <w:rPr>
          <w:sz w:val="20"/>
        </w:rPr>
        <w:t>Negarse a recibir injustificadamente el trabajador de un organismo público o paraestatal una notificación de un Centro de Conciliación o un Tribunal, o bien obstaculizar su realización, en cuyo caso deberá darse vista al Órgano de Control Interno correspondiente, independientemente de las sanciones que se establecen en la presente Ley.</w:t>
      </w:r>
    </w:p>
    <w:p>
      <w:pPr>
        <w:pStyle w:val="BodyText"/>
        <w:spacing w:before="223"/>
        <w:ind w:left="338" w:right="337" w:firstLine="288"/>
        <w:jc w:val="both"/>
      </w:pPr>
      <w:r>
        <w:rPr/>
        <w:t>Se considera grave la conducta si la dilación es producto de omisiones o conductas irregulares de los servidores públicos; en estos casos, además de las sanciones que sean aplicables conforme a la Ley General de Responsabilidades Administrativas, se les impondrá a quienes resulten responsables una multa de 100 a 1000 veces la Unidad de Medida y Actualización, y se deberá dar vista al Ministerio Público por la posible comisión de delitos contra la administración de justicia.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3" w:firstLine="288"/>
        <w:jc w:val="both"/>
      </w:pPr>
      <w:bookmarkStart w:name="Artículo_49" w:id="66"/>
      <w:bookmarkEnd w:id="66"/>
      <w:r>
        <w:rPr/>
      </w:r>
      <w:r>
        <w:rPr>
          <w:rFonts w:ascii="Arial" w:hAnsi="Arial"/>
          <w:b/>
        </w:rPr>
        <w:t>Artículo 49.- </w:t>
      </w:r>
      <w:r>
        <w:rPr/>
        <w:t>La persona empleadora quedará eximida de la obligación de reinstalar a la persona trabajadora, mediante el pago de las indemnizaciones que se determinan en el artículo 50 en los casos </w:t>
      </w:r>
      <w:r>
        <w:rPr>
          <w:spacing w:val="-2"/>
        </w:rPr>
        <w:t>siguientes: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5"/>
        </w:numPr>
        <w:tabs>
          <w:tab w:pos="1195" w:val="left" w:leader="none"/>
        </w:tabs>
        <w:spacing w:line="240" w:lineRule="auto" w:before="0" w:after="0"/>
        <w:ind w:left="1195" w:right="0" w:hanging="569"/>
        <w:jc w:val="left"/>
        <w:rPr>
          <w:sz w:val="20"/>
        </w:rPr>
      </w:pPr>
      <w:r>
        <w:rPr>
          <w:sz w:val="20"/>
        </w:rPr>
        <w:t>Cuando</w:t>
      </w:r>
      <w:r>
        <w:rPr>
          <w:spacing w:val="-8"/>
          <w:sz w:val="20"/>
        </w:rPr>
        <w:t> </w:t>
      </w:r>
      <w:r>
        <w:rPr>
          <w:sz w:val="20"/>
        </w:rPr>
        <w:t>se</w:t>
      </w:r>
      <w:r>
        <w:rPr>
          <w:spacing w:val="-7"/>
          <w:sz w:val="20"/>
        </w:rPr>
        <w:t> </w:t>
      </w:r>
      <w:r>
        <w:rPr>
          <w:sz w:val="20"/>
        </w:rPr>
        <w:t>trate</w:t>
      </w:r>
      <w:r>
        <w:rPr>
          <w:spacing w:val="-6"/>
          <w:sz w:val="20"/>
        </w:rPr>
        <w:t> </w:t>
      </w:r>
      <w:r>
        <w:rPr>
          <w:sz w:val="20"/>
        </w:rPr>
        <w:t>de</w:t>
      </w:r>
      <w:r>
        <w:rPr>
          <w:spacing w:val="-7"/>
          <w:sz w:val="20"/>
        </w:rPr>
        <w:t> </w:t>
      </w:r>
      <w:r>
        <w:rPr>
          <w:sz w:val="20"/>
        </w:rPr>
        <w:t>trabajadores</w:t>
      </w:r>
      <w:r>
        <w:rPr>
          <w:spacing w:val="-6"/>
          <w:sz w:val="20"/>
        </w:rPr>
        <w:t> </w:t>
      </w:r>
      <w:r>
        <w:rPr>
          <w:sz w:val="20"/>
        </w:rPr>
        <w:t>que</w:t>
      </w:r>
      <w:r>
        <w:rPr>
          <w:spacing w:val="-7"/>
          <w:sz w:val="20"/>
        </w:rPr>
        <w:t> </w:t>
      </w:r>
      <w:r>
        <w:rPr>
          <w:sz w:val="20"/>
        </w:rPr>
        <w:t>tengan</w:t>
      </w:r>
      <w:r>
        <w:rPr>
          <w:spacing w:val="-6"/>
          <w:sz w:val="20"/>
        </w:rPr>
        <w:t> </w:t>
      </w:r>
      <w:r>
        <w:rPr>
          <w:sz w:val="20"/>
        </w:rPr>
        <w:t>una</w:t>
      </w:r>
      <w:r>
        <w:rPr>
          <w:spacing w:val="-8"/>
          <w:sz w:val="20"/>
        </w:rPr>
        <w:t> </w:t>
      </w:r>
      <w:r>
        <w:rPr>
          <w:sz w:val="20"/>
        </w:rPr>
        <w:t>antigüedad</w:t>
      </w:r>
      <w:r>
        <w:rPr>
          <w:spacing w:val="-7"/>
          <w:sz w:val="20"/>
        </w:rPr>
        <w:t> </w:t>
      </w:r>
      <w:r>
        <w:rPr>
          <w:sz w:val="20"/>
        </w:rPr>
        <w:t>menor</w:t>
      </w:r>
      <w:r>
        <w:rPr>
          <w:spacing w:val="-6"/>
          <w:sz w:val="20"/>
        </w:rPr>
        <w:t> </w:t>
      </w:r>
      <w:r>
        <w:rPr>
          <w:sz w:val="20"/>
        </w:rPr>
        <w:t>de</w:t>
      </w:r>
      <w:r>
        <w:rPr>
          <w:spacing w:val="-7"/>
          <w:sz w:val="20"/>
        </w:rPr>
        <w:t> </w:t>
      </w:r>
      <w:r>
        <w:rPr>
          <w:sz w:val="20"/>
        </w:rPr>
        <w:t>un</w:t>
      </w:r>
      <w:r>
        <w:rPr>
          <w:spacing w:val="-7"/>
          <w:sz w:val="20"/>
        </w:rPr>
        <w:t> </w:t>
      </w:r>
      <w:r>
        <w:rPr>
          <w:spacing w:val="-4"/>
          <w:sz w:val="20"/>
        </w:rPr>
        <w:t>año;</w:t>
      </w:r>
    </w:p>
    <w:p>
      <w:pPr>
        <w:pStyle w:val="ListParagraph"/>
        <w:numPr>
          <w:ilvl w:val="0"/>
          <w:numId w:val="15"/>
        </w:numPr>
        <w:tabs>
          <w:tab w:pos="1192" w:val="left" w:leader="none"/>
          <w:tab w:pos="1195" w:val="left" w:leader="none"/>
        </w:tabs>
        <w:spacing w:line="242" w:lineRule="auto" w:before="227" w:after="0"/>
        <w:ind w:left="1195" w:right="335" w:hanging="569"/>
        <w:jc w:val="both"/>
        <w:rPr>
          <w:sz w:val="20"/>
        </w:rPr>
      </w:pPr>
      <w:r>
        <w:rPr>
          <w:sz w:val="20"/>
        </w:rPr>
        <w:t>Si comprueba ante el Tribunal que el trabajador, por razón del trabajo que desempeña o por las características de sus labores, está en contacto directo y permanente con él y el Tribunal estima, tomando en consideración las circunstancias del caso, que no es posible el desarrollo normal de la relación de trabajo;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ListParagraph"/>
        <w:numPr>
          <w:ilvl w:val="0"/>
          <w:numId w:val="15"/>
        </w:numPr>
        <w:tabs>
          <w:tab w:pos="1195" w:val="left" w:leader="none"/>
        </w:tabs>
        <w:spacing w:line="240" w:lineRule="auto" w:before="229" w:after="0"/>
        <w:ind w:left="1195" w:right="0" w:hanging="569"/>
        <w:jc w:val="left"/>
        <w:rPr>
          <w:sz w:val="20"/>
        </w:rPr>
      </w:pPr>
      <w:r>
        <w:rPr>
          <w:sz w:val="20"/>
        </w:rPr>
        <w:t>En</w:t>
      </w:r>
      <w:r>
        <w:rPr>
          <w:spacing w:val="-5"/>
          <w:sz w:val="20"/>
        </w:rPr>
        <w:t> </w:t>
      </w:r>
      <w:r>
        <w:rPr>
          <w:sz w:val="20"/>
        </w:rPr>
        <w:t>los</w:t>
      </w:r>
      <w:r>
        <w:rPr>
          <w:spacing w:val="-6"/>
          <w:sz w:val="20"/>
        </w:rPr>
        <w:t> </w:t>
      </w:r>
      <w:r>
        <w:rPr>
          <w:sz w:val="20"/>
        </w:rPr>
        <w:t>casos</w:t>
      </w:r>
      <w:r>
        <w:rPr>
          <w:spacing w:val="-5"/>
          <w:sz w:val="20"/>
        </w:rPr>
        <w:t> </w:t>
      </w:r>
      <w:r>
        <w:rPr>
          <w:sz w:val="20"/>
        </w:rPr>
        <w:t>de</w:t>
      </w:r>
      <w:r>
        <w:rPr>
          <w:spacing w:val="-6"/>
          <w:sz w:val="20"/>
        </w:rPr>
        <w:t> </w:t>
      </w:r>
      <w:r>
        <w:rPr>
          <w:sz w:val="20"/>
        </w:rPr>
        <w:t>trabajadores</w:t>
      </w:r>
      <w:r>
        <w:rPr>
          <w:spacing w:val="-5"/>
          <w:sz w:val="20"/>
        </w:rPr>
        <w:t> </w:t>
      </w:r>
      <w:r>
        <w:rPr>
          <w:sz w:val="20"/>
        </w:rPr>
        <w:t>de</w:t>
      </w:r>
      <w:r>
        <w:rPr>
          <w:spacing w:val="-7"/>
          <w:sz w:val="20"/>
        </w:rPr>
        <w:t> </w:t>
      </w:r>
      <w:r>
        <w:rPr>
          <w:spacing w:val="-2"/>
          <w:sz w:val="20"/>
        </w:rPr>
        <w:t>confianza;</w:t>
      </w:r>
    </w:p>
    <w:p>
      <w:pPr>
        <w:pStyle w:val="BodyText"/>
        <w:spacing w:before="1"/>
      </w:pPr>
    </w:p>
    <w:p>
      <w:pPr>
        <w:pStyle w:val="ListParagraph"/>
        <w:numPr>
          <w:ilvl w:val="0"/>
          <w:numId w:val="15"/>
        </w:numPr>
        <w:tabs>
          <w:tab w:pos="1195" w:val="left" w:leader="none"/>
        </w:tabs>
        <w:spacing w:line="240" w:lineRule="auto" w:before="0" w:after="0"/>
        <w:ind w:left="1195" w:right="0" w:hanging="569"/>
        <w:jc w:val="left"/>
        <w:rPr>
          <w:sz w:val="20"/>
        </w:rPr>
      </w:pPr>
      <w:r>
        <w:rPr>
          <w:sz w:val="20"/>
        </w:rPr>
        <w:t>En</w:t>
      </w:r>
      <w:r>
        <w:rPr>
          <w:spacing w:val="-5"/>
          <w:sz w:val="20"/>
        </w:rPr>
        <w:t> </w:t>
      </w:r>
      <w:r>
        <w:rPr>
          <w:sz w:val="20"/>
        </w:rPr>
        <w:t>el</w:t>
      </w:r>
      <w:r>
        <w:rPr>
          <w:spacing w:val="-5"/>
          <w:sz w:val="20"/>
        </w:rPr>
        <w:t> </w:t>
      </w:r>
      <w:r>
        <w:rPr>
          <w:sz w:val="20"/>
        </w:rPr>
        <w:t>trabajo</w:t>
      </w:r>
      <w:r>
        <w:rPr>
          <w:spacing w:val="-5"/>
          <w:sz w:val="20"/>
        </w:rPr>
        <w:t> </w:t>
      </w:r>
      <w:r>
        <w:rPr>
          <w:sz w:val="20"/>
        </w:rPr>
        <w:t>del</w:t>
      </w:r>
      <w:r>
        <w:rPr>
          <w:spacing w:val="-3"/>
          <w:sz w:val="20"/>
        </w:rPr>
        <w:t> </w:t>
      </w:r>
      <w:r>
        <w:rPr>
          <w:spacing w:val="-2"/>
          <w:sz w:val="20"/>
        </w:rPr>
        <w:t>hogar;</w:t>
      </w:r>
    </w:p>
    <w:p>
      <w:pPr>
        <w:spacing w:before="0"/>
        <w:ind w:left="563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01-05-2019,</w:t>
      </w:r>
      <w:r>
        <w:rPr>
          <w:rFonts w:ascii="Times New Roman" w:hAnsi="Times New Roman"/>
          <w:i/>
          <w:color w:val="0000FF"/>
          <w:spacing w:val="-9"/>
          <w:sz w:val="16"/>
        </w:rPr>
        <w:t> </w:t>
      </w:r>
      <w:r>
        <w:rPr>
          <w:rFonts w:ascii="Times New Roman" w:hAnsi="Times New Roman"/>
          <w:i/>
          <w:color w:val="0000FF"/>
          <w:sz w:val="16"/>
        </w:rPr>
        <w:t>02-07-2019,</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2024</w:t>
      </w:r>
    </w:p>
    <w:p>
      <w:pPr>
        <w:pStyle w:val="ListParagraph"/>
        <w:numPr>
          <w:ilvl w:val="0"/>
          <w:numId w:val="15"/>
        </w:numPr>
        <w:tabs>
          <w:tab w:pos="1195" w:val="left" w:leader="none"/>
        </w:tabs>
        <w:spacing w:line="240" w:lineRule="auto" w:before="229" w:after="0"/>
        <w:ind w:left="1195" w:right="0" w:hanging="569"/>
        <w:jc w:val="left"/>
        <w:rPr>
          <w:sz w:val="20"/>
        </w:rPr>
      </w:pPr>
      <w:r>
        <w:rPr>
          <w:sz w:val="20"/>
        </w:rPr>
        <w:t>Cuando</w:t>
      </w:r>
      <w:r>
        <w:rPr>
          <w:spacing w:val="-10"/>
          <w:sz w:val="20"/>
        </w:rPr>
        <w:t> </w:t>
      </w:r>
      <w:r>
        <w:rPr>
          <w:sz w:val="20"/>
        </w:rPr>
        <w:t>se</w:t>
      </w:r>
      <w:r>
        <w:rPr>
          <w:spacing w:val="-9"/>
          <w:sz w:val="20"/>
        </w:rPr>
        <w:t> </w:t>
      </w:r>
      <w:r>
        <w:rPr>
          <w:sz w:val="20"/>
        </w:rPr>
        <w:t>trate</w:t>
      </w:r>
      <w:r>
        <w:rPr>
          <w:spacing w:val="-7"/>
          <w:sz w:val="20"/>
        </w:rPr>
        <w:t> </w:t>
      </w:r>
      <w:r>
        <w:rPr>
          <w:sz w:val="20"/>
        </w:rPr>
        <w:t>de</w:t>
      </w:r>
      <w:r>
        <w:rPr>
          <w:spacing w:val="-10"/>
          <w:sz w:val="20"/>
        </w:rPr>
        <w:t> </w:t>
      </w:r>
      <w:r>
        <w:rPr>
          <w:sz w:val="20"/>
        </w:rPr>
        <w:t>trabajadores</w:t>
      </w:r>
      <w:r>
        <w:rPr>
          <w:spacing w:val="-8"/>
          <w:sz w:val="20"/>
        </w:rPr>
        <w:t> </w:t>
      </w:r>
      <w:r>
        <w:rPr>
          <w:sz w:val="20"/>
        </w:rPr>
        <w:t>eventuales,</w:t>
      </w:r>
      <w:r>
        <w:rPr>
          <w:spacing w:val="-4"/>
          <w:sz w:val="20"/>
        </w:rPr>
        <w:t> </w:t>
      </w:r>
      <w:r>
        <w:rPr>
          <w:spacing w:val="-10"/>
          <w:sz w:val="20"/>
        </w:rPr>
        <w:t>y</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2024</w:t>
      </w:r>
    </w:p>
    <w:p>
      <w:pPr>
        <w:spacing w:after="0"/>
        <w:jc w:val="righ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ListParagraph"/>
        <w:numPr>
          <w:ilvl w:val="0"/>
          <w:numId w:val="15"/>
        </w:numPr>
        <w:tabs>
          <w:tab w:pos="1195" w:val="left" w:leader="none"/>
        </w:tabs>
        <w:spacing w:line="242" w:lineRule="auto" w:before="0" w:after="0"/>
        <w:ind w:left="1195" w:right="334" w:hanging="569"/>
        <w:jc w:val="both"/>
        <w:rPr>
          <w:sz w:val="20"/>
        </w:rPr>
      </w:pPr>
      <w:r>
        <w:rPr>
          <w:sz w:val="20"/>
        </w:rPr>
        <w:t>Cuando se trate de personas trabajadoras en plataformas digitales. Únicamente procederá la reinstalación obligatoria en caso de violación a derechos colectivos, tales como la libertad de asociación, autonomía sindical, el derecho de huelga y de contratación colectiva.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24-12-</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338" w:right="336" w:firstLine="288"/>
        <w:jc w:val="both"/>
      </w:pPr>
      <w:r>
        <w:rPr/>
        <w:t>Para ejercer este derecho el patrón podrá acudir al Tribunal en la vía paraprocesal contemplada en el artículo 982 de esta Ley para depositar la indemnización a que se refiere el artículo 50 de esta Ley. Para tal efecto el patrón aportará al Tribunal la información relacionada con el nombre y domicilio del trabajador, para que se le notifique dicho paraprocesal, debiendo manifestar bajo protesta de decir</w:t>
      </w:r>
      <w:r>
        <w:rPr>
          <w:spacing w:val="80"/>
        </w:rPr>
        <w:t> </w:t>
      </w:r>
      <w:r>
        <w:rPr/>
        <w:t>verdad que en el caso se actualiza alguna de las hipótesis contempladas en el presente artículo. Con el escrito</w:t>
      </w:r>
      <w:r>
        <w:rPr>
          <w:spacing w:val="-1"/>
        </w:rPr>
        <w:t> </w:t>
      </w:r>
      <w:r>
        <w:rPr/>
        <w:t>de cuenta y</w:t>
      </w:r>
      <w:r>
        <w:rPr>
          <w:spacing w:val="-2"/>
        </w:rPr>
        <w:t> </w:t>
      </w:r>
      <w:r>
        <w:rPr/>
        <w:t>desglose</w:t>
      </w:r>
      <w:r>
        <w:rPr>
          <w:spacing w:val="-1"/>
        </w:rPr>
        <w:t> </w:t>
      </w:r>
      <w:r>
        <w:rPr/>
        <w:t>del monto</w:t>
      </w:r>
      <w:r>
        <w:rPr>
          <w:spacing w:val="-1"/>
        </w:rPr>
        <w:t> </w:t>
      </w:r>
      <w:r>
        <w:rPr/>
        <w:t>de la indemnización el Tribunal</w:t>
      </w:r>
      <w:r>
        <w:rPr>
          <w:spacing w:val="-2"/>
        </w:rPr>
        <w:t> </w:t>
      </w:r>
      <w:r>
        <w:rPr/>
        <w:t>correrá</w:t>
      </w:r>
      <w:r>
        <w:rPr>
          <w:spacing w:val="-1"/>
        </w:rPr>
        <w:t> </w:t>
      </w:r>
      <w:r>
        <w:rPr/>
        <w:t>traslado</w:t>
      </w:r>
      <w:r>
        <w:rPr>
          <w:spacing w:val="-1"/>
        </w:rPr>
        <w:t> </w:t>
      </w:r>
      <w:r>
        <w:rPr/>
        <w:t>al</w:t>
      </w:r>
      <w:r>
        <w:rPr>
          <w:spacing w:val="-2"/>
        </w:rPr>
        <w:t> </w:t>
      </w:r>
      <w:r>
        <w:rPr/>
        <w:t>trabajador para su conocimiento.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338" w:right="337" w:firstLine="288"/>
        <w:jc w:val="both"/>
      </w:pPr>
      <w:r>
        <w:rPr/>
        <w:t>Si el trabajador no está de acuerdo con la procedencia o los términos de la indemnización, el trabajador tendrá a salvo sus derechos para demandar por la vía jurisdiccional la acción que</w:t>
      </w:r>
      <w:r>
        <w:rPr>
          <w:spacing w:val="40"/>
        </w:rPr>
        <w:t> </w:t>
      </w:r>
      <w:r>
        <w:rPr/>
        <w:t>corresponda; en caso</w:t>
      </w:r>
      <w:r>
        <w:rPr>
          <w:spacing w:val="-1"/>
        </w:rPr>
        <w:t> </w:t>
      </w:r>
      <w:r>
        <w:rPr/>
        <w:t>de que</w:t>
      </w:r>
      <w:r>
        <w:rPr>
          <w:spacing w:val="-2"/>
        </w:rPr>
        <w:t> </w:t>
      </w:r>
      <w:r>
        <w:rPr/>
        <w:t>en</w:t>
      </w:r>
      <w:r>
        <w:rPr>
          <w:spacing w:val="-1"/>
        </w:rPr>
        <w:t> </w:t>
      </w:r>
      <w:r>
        <w:rPr/>
        <w:t>el</w:t>
      </w:r>
      <w:r>
        <w:rPr>
          <w:spacing w:val="-2"/>
        </w:rPr>
        <w:t> </w:t>
      </w:r>
      <w:r>
        <w:rPr/>
        <w:t>juicio</w:t>
      </w:r>
      <w:r>
        <w:rPr>
          <w:spacing w:val="-1"/>
        </w:rPr>
        <w:t> </w:t>
      </w:r>
      <w:r>
        <w:rPr/>
        <w:t>se resuelva que el trabajador no</w:t>
      </w:r>
      <w:r>
        <w:rPr>
          <w:spacing w:val="-1"/>
        </w:rPr>
        <w:t> </w:t>
      </w:r>
      <w:r>
        <w:rPr/>
        <w:t>se encuentra en ninguna de las hipótesis de este artículo, el depósito de la indemnización no surtirá efecto alguno y</w:t>
      </w:r>
      <w:r>
        <w:rPr>
          <w:spacing w:val="-2"/>
        </w:rPr>
        <w:t> </w:t>
      </w:r>
      <w:r>
        <w:rPr/>
        <w:t>el Tribunal dispondrá del dinero depositado para ejecutar su sentencia. Si en dicho juicio el Tribunal resuelve que se actualiza alguna de las hipótesis contempladas en este artículo, pero el monto depositado es insuficiente para pagar la indemnización, el Tribunal condenará al patrón a pagar las diferencias e intereses </w:t>
      </w:r>
      <w:r>
        <w:rPr>
          <w:spacing w:val="-2"/>
        </w:rPr>
        <w:t>correspondientes.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626"/>
      </w:pPr>
      <w:bookmarkStart w:name="Artículo_50" w:id="67"/>
      <w:bookmarkEnd w:id="67"/>
      <w:r>
        <w:rPr/>
      </w:r>
      <w:r>
        <w:rPr>
          <w:rFonts w:ascii="Arial" w:hAnsi="Arial"/>
          <w:b/>
        </w:rPr>
        <w:t>Artículo</w:t>
      </w:r>
      <w:r>
        <w:rPr>
          <w:rFonts w:ascii="Arial" w:hAnsi="Arial"/>
          <w:b/>
          <w:spacing w:val="-7"/>
        </w:rPr>
        <w:t> </w:t>
      </w:r>
      <w:r>
        <w:rPr>
          <w:rFonts w:ascii="Arial" w:hAnsi="Arial"/>
          <w:b/>
        </w:rPr>
        <w:t>50.-</w:t>
      </w:r>
      <w:r>
        <w:rPr>
          <w:rFonts w:ascii="Arial" w:hAnsi="Arial"/>
          <w:b/>
          <w:spacing w:val="-6"/>
        </w:rPr>
        <w:t> </w:t>
      </w:r>
      <w:r>
        <w:rPr/>
        <w:t>Las</w:t>
      </w:r>
      <w:r>
        <w:rPr>
          <w:spacing w:val="-4"/>
        </w:rPr>
        <w:t> </w:t>
      </w:r>
      <w:r>
        <w:rPr/>
        <w:t>indemnizaciones</w:t>
      </w:r>
      <w:r>
        <w:rPr>
          <w:spacing w:val="-6"/>
        </w:rPr>
        <w:t> </w:t>
      </w:r>
      <w:r>
        <w:rPr/>
        <w:t>a</w:t>
      </w:r>
      <w:r>
        <w:rPr>
          <w:spacing w:val="-8"/>
        </w:rPr>
        <w:t> </w:t>
      </w:r>
      <w:r>
        <w:rPr/>
        <w:t>que</w:t>
      </w:r>
      <w:r>
        <w:rPr>
          <w:spacing w:val="-8"/>
        </w:rPr>
        <w:t> </w:t>
      </w:r>
      <w:r>
        <w:rPr/>
        <w:t>se</w:t>
      </w:r>
      <w:r>
        <w:rPr>
          <w:spacing w:val="-7"/>
        </w:rPr>
        <w:t> </w:t>
      </w:r>
      <w:r>
        <w:rPr/>
        <w:t>refiere</w:t>
      </w:r>
      <w:r>
        <w:rPr>
          <w:spacing w:val="-6"/>
        </w:rPr>
        <w:t> </w:t>
      </w:r>
      <w:r>
        <w:rPr/>
        <w:t>el</w:t>
      </w:r>
      <w:r>
        <w:rPr>
          <w:spacing w:val="-7"/>
        </w:rPr>
        <w:t> </w:t>
      </w:r>
      <w:r>
        <w:rPr/>
        <w:t>artículo</w:t>
      </w:r>
      <w:r>
        <w:rPr>
          <w:spacing w:val="-5"/>
        </w:rPr>
        <w:t> </w:t>
      </w:r>
      <w:r>
        <w:rPr/>
        <w:t>anterior</w:t>
      </w:r>
      <w:r>
        <w:rPr>
          <w:spacing w:val="-6"/>
        </w:rPr>
        <w:t> </w:t>
      </w:r>
      <w:r>
        <w:rPr>
          <w:spacing w:val="-2"/>
        </w:rPr>
        <w:t>consistirán:</w:t>
      </w:r>
    </w:p>
    <w:p>
      <w:pPr>
        <w:pStyle w:val="ListParagraph"/>
        <w:numPr>
          <w:ilvl w:val="0"/>
          <w:numId w:val="16"/>
        </w:numPr>
        <w:tabs>
          <w:tab w:pos="1193" w:val="left" w:leader="none"/>
          <w:tab w:pos="1195" w:val="left" w:leader="none"/>
        </w:tabs>
        <w:spacing w:line="242" w:lineRule="auto" w:before="229" w:after="0"/>
        <w:ind w:left="1195" w:right="339" w:hanging="569"/>
        <w:jc w:val="both"/>
        <w:rPr>
          <w:sz w:val="20"/>
        </w:rPr>
      </w:pPr>
      <w:r>
        <w:rPr>
          <w:sz w:val="20"/>
        </w:rPr>
        <w:t>Si la relación de trabajo fuere por tiempo determinado menor</w:t>
      </w:r>
      <w:r>
        <w:rPr>
          <w:spacing w:val="16"/>
          <w:sz w:val="20"/>
        </w:rPr>
        <w:t> </w:t>
      </w:r>
      <w:r>
        <w:rPr>
          <w:sz w:val="20"/>
        </w:rPr>
        <w:t>de un año, en una cantidad igual</w:t>
      </w:r>
      <w:r>
        <w:rPr>
          <w:spacing w:val="40"/>
          <w:sz w:val="20"/>
        </w:rPr>
        <w:t> </w:t>
      </w:r>
      <w:r>
        <w:rPr>
          <w:sz w:val="20"/>
        </w:rPr>
        <w:t>al importe de los salarios de la mitad del tiempo de servicios prestados; si excediera de un año, en</w:t>
      </w:r>
      <w:r>
        <w:rPr>
          <w:spacing w:val="-2"/>
          <w:sz w:val="20"/>
        </w:rPr>
        <w:t> </w:t>
      </w:r>
      <w:r>
        <w:rPr>
          <w:sz w:val="20"/>
        </w:rPr>
        <w:t>una</w:t>
      </w:r>
      <w:r>
        <w:rPr>
          <w:spacing w:val="-1"/>
          <w:sz w:val="20"/>
        </w:rPr>
        <w:t> </w:t>
      </w:r>
      <w:r>
        <w:rPr>
          <w:sz w:val="20"/>
        </w:rPr>
        <w:t>cantidad</w:t>
      </w:r>
      <w:r>
        <w:rPr>
          <w:spacing w:val="-1"/>
          <w:sz w:val="20"/>
        </w:rPr>
        <w:t> </w:t>
      </w:r>
      <w:r>
        <w:rPr>
          <w:sz w:val="20"/>
        </w:rPr>
        <w:t>igual</w:t>
      </w:r>
      <w:r>
        <w:rPr>
          <w:spacing w:val="-2"/>
          <w:sz w:val="20"/>
        </w:rPr>
        <w:t> </w:t>
      </w:r>
      <w:r>
        <w:rPr>
          <w:sz w:val="20"/>
        </w:rPr>
        <w:t>al</w:t>
      </w:r>
      <w:r>
        <w:rPr>
          <w:spacing w:val="-2"/>
          <w:sz w:val="20"/>
        </w:rPr>
        <w:t> </w:t>
      </w:r>
      <w:r>
        <w:rPr>
          <w:sz w:val="20"/>
        </w:rPr>
        <w:t>importe</w:t>
      </w:r>
      <w:r>
        <w:rPr>
          <w:spacing w:val="-1"/>
          <w:sz w:val="20"/>
        </w:rPr>
        <w:t> </w:t>
      </w:r>
      <w:r>
        <w:rPr>
          <w:sz w:val="20"/>
        </w:rPr>
        <w:t>de</w:t>
      </w:r>
      <w:r>
        <w:rPr>
          <w:spacing w:val="-1"/>
          <w:sz w:val="20"/>
        </w:rPr>
        <w:t> </w:t>
      </w:r>
      <w:r>
        <w:rPr>
          <w:sz w:val="20"/>
        </w:rPr>
        <w:t>los</w:t>
      </w:r>
      <w:r>
        <w:rPr>
          <w:spacing w:val="-2"/>
          <w:sz w:val="20"/>
        </w:rPr>
        <w:t> </w:t>
      </w:r>
      <w:r>
        <w:rPr>
          <w:sz w:val="20"/>
        </w:rPr>
        <w:t>salarios</w:t>
      </w:r>
      <w:r>
        <w:rPr>
          <w:spacing w:val="-2"/>
          <w:sz w:val="20"/>
        </w:rPr>
        <w:t> </w:t>
      </w:r>
      <w:r>
        <w:rPr>
          <w:sz w:val="20"/>
        </w:rPr>
        <w:t>de</w:t>
      </w:r>
      <w:r>
        <w:rPr>
          <w:spacing w:val="-3"/>
          <w:sz w:val="20"/>
        </w:rPr>
        <w:t> </w:t>
      </w:r>
      <w:r>
        <w:rPr>
          <w:sz w:val="20"/>
        </w:rPr>
        <w:t>seis</w:t>
      </w:r>
      <w:r>
        <w:rPr>
          <w:spacing w:val="-2"/>
          <w:sz w:val="20"/>
        </w:rPr>
        <w:t> </w:t>
      </w:r>
      <w:r>
        <w:rPr>
          <w:sz w:val="20"/>
        </w:rPr>
        <w:t>meses</w:t>
      </w:r>
      <w:r>
        <w:rPr>
          <w:spacing w:val="-2"/>
          <w:sz w:val="20"/>
        </w:rPr>
        <w:t> </w:t>
      </w:r>
      <w:r>
        <w:rPr>
          <w:sz w:val="20"/>
        </w:rPr>
        <w:t>por</w:t>
      </w:r>
      <w:r>
        <w:rPr>
          <w:spacing w:val="-2"/>
          <w:sz w:val="20"/>
        </w:rPr>
        <w:t> </w:t>
      </w:r>
      <w:r>
        <w:rPr>
          <w:sz w:val="20"/>
        </w:rPr>
        <w:t>el</w:t>
      </w:r>
      <w:r>
        <w:rPr>
          <w:spacing w:val="-2"/>
          <w:sz w:val="20"/>
        </w:rPr>
        <w:t> </w:t>
      </w:r>
      <w:r>
        <w:rPr>
          <w:sz w:val="20"/>
        </w:rPr>
        <w:t>primer</w:t>
      </w:r>
      <w:r>
        <w:rPr>
          <w:spacing w:val="-3"/>
          <w:sz w:val="20"/>
        </w:rPr>
        <w:t> </w:t>
      </w:r>
      <w:r>
        <w:rPr>
          <w:sz w:val="20"/>
        </w:rPr>
        <w:t>año</w:t>
      </w:r>
      <w:r>
        <w:rPr>
          <w:spacing w:val="-2"/>
          <w:sz w:val="20"/>
        </w:rPr>
        <w:t> </w:t>
      </w:r>
      <w:r>
        <w:rPr>
          <w:sz w:val="20"/>
        </w:rPr>
        <w:t>y</w:t>
      </w:r>
      <w:r>
        <w:rPr>
          <w:spacing w:val="-4"/>
          <w:sz w:val="20"/>
        </w:rPr>
        <w:t> </w:t>
      </w:r>
      <w:r>
        <w:rPr>
          <w:sz w:val="20"/>
        </w:rPr>
        <w:t>de</w:t>
      </w:r>
      <w:r>
        <w:rPr>
          <w:spacing w:val="-1"/>
          <w:sz w:val="20"/>
        </w:rPr>
        <w:t> </w:t>
      </w:r>
      <w:r>
        <w:rPr>
          <w:sz w:val="20"/>
        </w:rPr>
        <w:t>veinte</w:t>
      </w:r>
      <w:r>
        <w:rPr>
          <w:spacing w:val="-1"/>
          <w:sz w:val="20"/>
        </w:rPr>
        <w:t> </w:t>
      </w:r>
      <w:r>
        <w:rPr>
          <w:sz w:val="20"/>
        </w:rPr>
        <w:t>días por cada uno de los años siguientes en que hubiese prestado sus servicios;</w:t>
      </w:r>
    </w:p>
    <w:p>
      <w:pPr>
        <w:pStyle w:val="ListParagraph"/>
        <w:numPr>
          <w:ilvl w:val="0"/>
          <w:numId w:val="16"/>
        </w:numPr>
        <w:tabs>
          <w:tab w:pos="1192" w:val="left" w:leader="none"/>
          <w:tab w:pos="1195" w:val="left" w:leader="none"/>
        </w:tabs>
        <w:spacing w:line="240" w:lineRule="auto" w:before="223" w:after="0"/>
        <w:ind w:left="1195" w:right="348" w:hanging="569"/>
        <w:jc w:val="both"/>
        <w:rPr>
          <w:sz w:val="20"/>
        </w:rPr>
      </w:pPr>
      <w:r>
        <w:rPr>
          <w:sz w:val="20"/>
        </w:rPr>
        <w:t>Si la relación de trabajo fuere por tiempo indeterminado, la indemnización consistirá en veinte días de salario por cada uno de los años de servicios prestados;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16"/>
        </w:numPr>
        <w:tabs>
          <w:tab w:pos="1191" w:val="left" w:leader="none"/>
          <w:tab w:pos="1195" w:val="left" w:leader="none"/>
        </w:tabs>
        <w:spacing w:line="240" w:lineRule="auto" w:before="0" w:after="0"/>
        <w:ind w:left="1195" w:right="343" w:hanging="569"/>
        <w:jc w:val="both"/>
        <w:rPr>
          <w:sz w:val="20"/>
        </w:rPr>
      </w:pPr>
      <w:r>
        <w:rPr>
          <w:sz w:val="20"/>
        </w:rPr>
        <w:t>Además de las indemnizaciones a que se refieren las fracciones anteriores, en el importe de</w:t>
      </w:r>
      <w:r>
        <w:rPr>
          <w:spacing w:val="40"/>
          <w:sz w:val="20"/>
        </w:rPr>
        <w:t> </w:t>
      </w:r>
      <w:r>
        <w:rPr>
          <w:sz w:val="20"/>
        </w:rPr>
        <w:t>tres</w:t>
      </w:r>
      <w:r>
        <w:rPr>
          <w:spacing w:val="-2"/>
          <w:sz w:val="20"/>
        </w:rPr>
        <w:t> </w:t>
      </w:r>
      <w:r>
        <w:rPr>
          <w:sz w:val="20"/>
        </w:rPr>
        <w:t>meses</w:t>
      </w:r>
      <w:r>
        <w:rPr>
          <w:spacing w:val="-2"/>
          <w:sz w:val="20"/>
        </w:rPr>
        <w:t> </w:t>
      </w:r>
      <w:r>
        <w:rPr>
          <w:sz w:val="20"/>
        </w:rPr>
        <w:t>de</w:t>
      </w:r>
      <w:r>
        <w:rPr>
          <w:spacing w:val="-4"/>
          <w:sz w:val="20"/>
        </w:rPr>
        <w:t> </w:t>
      </w:r>
      <w:r>
        <w:rPr>
          <w:sz w:val="20"/>
        </w:rPr>
        <w:t>salario y</w:t>
      </w:r>
      <w:r>
        <w:rPr>
          <w:spacing w:val="-4"/>
          <w:sz w:val="20"/>
        </w:rPr>
        <w:t> </w:t>
      </w:r>
      <w:r>
        <w:rPr>
          <w:sz w:val="20"/>
        </w:rPr>
        <w:t>el</w:t>
      </w:r>
      <w:r>
        <w:rPr>
          <w:spacing w:val="-2"/>
          <w:sz w:val="20"/>
        </w:rPr>
        <w:t> </w:t>
      </w:r>
      <w:r>
        <w:rPr>
          <w:sz w:val="20"/>
        </w:rPr>
        <w:t>pago</w:t>
      </w:r>
      <w:r>
        <w:rPr>
          <w:spacing w:val="-1"/>
          <w:sz w:val="20"/>
        </w:rPr>
        <w:t> </w:t>
      </w:r>
      <w:r>
        <w:rPr>
          <w:sz w:val="20"/>
        </w:rPr>
        <w:t>de los</w:t>
      </w:r>
      <w:r>
        <w:rPr>
          <w:spacing w:val="-2"/>
          <w:sz w:val="20"/>
        </w:rPr>
        <w:t> </w:t>
      </w:r>
      <w:r>
        <w:rPr>
          <w:sz w:val="20"/>
        </w:rPr>
        <w:t>salarios vencidos</w:t>
      </w:r>
      <w:r>
        <w:rPr>
          <w:spacing w:val="-2"/>
          <w:sz w:val="20"/>
        </w:rPr>
        <w:t> </w:t>
      </w:r>
      <w:r>
        <w:rPr>
          <w:sz w:val="20"/>
        </w:rPr>
        <w:t>e</w:t>
      </w:r>
      <w:r>
        <w:rPr>
          <w:spacing w:val="-1"/>
          <w:sz w:val="20"/>
        </w:rPr>
        <w:t> </w:t>
      </w:r>
      <w:r>
        <w:rPr>
          <w:sz w:val="20"/>
        </w:rPr>
        <w:t>intereses,</w:t>
      </w:r>
      <w:r>
        <w:rPr>
          <w:spacing w:val="-1"/>
          <w:sz w:val="20"/>
        </w:rPr>
        <w:t> </w:t>
      </w:r>
      <w:r>
        <w:rPr>
          <w:sz w:val="20"/>
        </w:rPr>
        <w:t>en</w:t>
      </w:r>
      <w:r>
        <w:rPr>
          <w:spacing w:val="-1"/>
          <w:sz w:val="20"/>
        </w:rPr>
        <w:t> </w:t>
      </w:r>
      <w:r>
        <w:rPr>
          <w:sz w:val="20"/>
        </w:rPr>
        <w:t>su</w:t>
      </w:r>
      <w:r>
        <w:rPr>
          <w:spacing w:val="-3"/>
          <w:sz w:val="20"/>
        </w:rPr>
        <w:t> </w:t>
      </w:r>
      <w:r>
        <w:rPr>
          <w:sz w:val="20"/>
        </w:rPr>
        <w:t>caso,</w:t>
      </w:r>
      <w:r>
        <w:rPr>
          <w:spacing w:val="-1"/>
          <w:sz w:val="20"/>
        </w:rPr>
        <w:t> </w:t>
      </w:r>
      <w:r>
        <w:rPr>
          <w:sz w:val="20"/>
        </w:rPr>
        <w:t>en</w:t>
      </w:r>
      <w:r>
        <w:rPr>
          <w:spacing w:val="-1"/>
          <w:sz w:val="20"/>
        </w:rPr>
        <w:t> </w:t>
      </w:r>
      <w:r>
        <w:rPr>
          <w:sz w:val="20"/>
        </w:rPr>
        <w:t>los</w:t>
      </w:r>
      <w:r>
        <w:rPr>
          <w:spacing w:val="-2"/>
          <w:sz w:val="20"/>
        </w:rPr>
        <w:t> </w:t>
      </w:r>
      <w:r>
        <w:rPr>
          <w:sz w:val="20"/>
        </w:rPr>
        <w:t>términos previstos en el artículo 48 de esta Ley, y</w:t>
      </w:r>
    </w:p>
    <w:p>
      <w:pPr>
        <w:spacing w:line="183"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24-12-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16"/>
        </w:numPr>
        <w:tabs>
          <w:tab w:pos="1195" w:val="left" w:leader="none"/>
        </w:tabs>
        <w:spacing w:line="240" w:lineRule="auto" w:before="0" w:after="0"/>
        <w:ind w:left="1195" w:right="340" w:hanging="569"/>
        <w:jc w:val="both"/>
        <w:rPr>
          <w:sz w:val="20"/>
        </w:rPr>
      </w:pPr>
      <w:r>
        <w:rPr>
          <w:sz w:val="20"/>
        </w:rPr>
        <w:t>Para las personas trabajadoras de plataformas digitales la indemnización consistirá en tres meses de salario. Adicionalmente se pagarán veinte días de salario por cada uno de los años</w:t>
      </w:r>
      <w:r>
        <w:rPr>
          <w:spacing w:val="40"/>
          <w:sz w:val="20"/>
        </w:rPr>
        <w:t> </w:t>
      </w:r>
      <w:r>
        <w:rPr>
          <w:sz w:val="20"/>
        </w:rPr>
        <w:t>de</w:t>
      </w:r>
      <w:r>
        <w:rPr>
          <w:spacing w:val="-5"/>
          <w:sz w:val="20"/>
        </w:rPr>
        <w:t> </w:t>
      </w:r>
      <w:r>
        <w:rPr>
          <w:sz w:val="20"/>
        </w:rPr>
        <w:t>servicios</w:t>
      </w:r>
      <w:r>
        <w:rPr>
          <w:spacing w:val="-3"/>
          <w:sz w:val="20"/>
        </w:rPr>
        <w:t> </w:t>
      </w:r>
      <w:r>
        <w:rPr>
          <w:sz w:val="20"/>
        </w:rPr>
        <w:t>prestados,</w:t>
      </w:r>
      <w:r>
        <w:rPr>
          <w:spacing w:val="-2"/>
          <w:sz w:val="20"/>
        </w:rPr>
        <w:t> </w:t>
      </w:r>
      <w:r>
        <w:rPr>
          <w:sz w:val="20"/>
        </w:rPr>
        <w:t>tomando</w:t>
      </w:r>
      <w:r>
        <w:rPr>
          <w:spacing w:val="-2"/>
          <w:sz w:val="20"/>
        </w:rPr>
        <w:t> </w:t>
      </w:r>
      <w:r>
        <w:rPr>
          <w:sz w:val="20"/>
        </w:rPr>
        <w:t>en</w:t>
      </w:r>
      <w:r>
        <w:rPr>
          <w:spacing w:val="-4"/>
          <w:sz w:val="20"/>
        </w:rPr>
        <w:t> </w:t>
      </w:r>
      <w:r>
        <w:rPr>
          <w:sz w:val="20"/>
        </w:rPr>
        <w:t>cuenta</w:t>
      </w:r>
      <w:r>
        <w:rPr>
          <w:spacing w:val="-2"/>
          <w:sz w:val="20"/>
        </w:rPr>
        <w:t> </w:t>
      </w:r>
      <w:r>
        <w:rPr>
          <w:sz w:val="20"/>
        </w:rPr>
        <w:t>el</w:t>
      </w:r>
      <w:r>
        <w:rPr>
          <w:spacing w:val="-1"/>
          <w:sz w:val="20"/>
        </w:rPr>
        <w:t> </w:t>
      </w:r>
      <w:r>
        <w:rPr>
          <w:sz w:val="20"/>
        </w:rPr>
        <w:t>tiempo</w:t>
      </w:r>
      <w:r>
        <w:rPr>
          <w:spacing w:val="-5"/>
          <w:sz w:val="20"/>
        </w:rPr>
        <w:t> </w:t>
      </w:r>
      <w:r>
        <w:rPr>
          <w:sz w:val="20"/>
        </w:rPr>
        <w:t>efectivamente</w:t>
      </w:r>
      <w:r>
        <w:rPr>
          <w:spacing w:val="-5"/>
          <w:sz w:val="20"/>
        </w:rPr>
        <w:t> </w:t>
      </w:r>
      <w:r>
        <w:rPr>
          <w:sz w:val="20"/>
        </w:rPr>
        <w:t>laborado,</w:t>
      </w:r>
      <w:r>
        <w:rPr>
          <w:spacing w:val="-4"/>
          <w:sz w:val="20"/>
        </w:rPr>
        <w:t> </w:t>
      </w:r>
      <w:r>
        <w:rPr>
          <w:sz w:val="20"/>
        </w:rPr>
        <w:t>como</w:t>
      </w:r>
      <w:r>
        <w:rPr>
          <w:spacing w:val="-4"/>
          <w:sz w:val="20"/>
        </w:rPr>
        <w:t> </w:t>
      </w:r>
      <w:r>
        <w:rPr>
          <w:sz w:val="20"/>
        </w:rPr>
        <w:t>lo</w:t>
      </w:r>
      <w:r>
        <w:rPr>
          <w:spacing w:val="-4"/>
          <w:sz w:val="20"/>
        </w:rPr>
        <w:t> </w:t>
      </w:r>
      <w:r>
        <w:rPr>
          <w:sz w:val="20"/>
        </w:rPr>
        <w:t>establece el</w:t>
      </w:r>
      <w:r>
        <w:rPr>
          <w:spacing w:val="-3"/>
          <w:sz w:val="20"/>
        </w:rPr>
        <w:t> </w:t>
      </w:r>
      <w:r>
        <w:rPr>
          <w:sz w:val="20"/>
        </w:rPr>
        <w:t>artículo</w:t>
      </w:r>
      <w:r>
        <w:rPr>
          <w:spacing w:val="-2"/>
          <w:sz w:val="20"/>
        </w:rPr>
        <w:t> </w:t>
      </w:r>
      <w:r>
        <w:rPr>
          <w:sz w:val="20"/>
        </w:rPr>
        <w:t>291-D</w:t>
      </w:r>
      <w:r>
        <w:rPr>
          <w:spacing w:val="-1"/>
          <w:sz w:val="20"/>
        </w:rPr>
        <w:t> </w:t>
      </w:r>
      <w:r>
        <w:rPr>
          <w:sz w:val="20"/>
        </w:rPr>
        <w:t>del</w:t>
      </w:r>
      <w:r>
        <w:rPr>
          <w:spacing w:val="-3"/>
          <w:sz w:val="20"/>
        </w:rPr>
        <w:t> </w:t>
      </w:r>
      <w:r>
        <w:rPr>
          <w:sz w:val="20"/>
        </w:rPr>
        <w:t>mismo</w:t>
      </w:r>
      <w:r>
        <w:rPr>
          <w:spacing w:val="-5"/>
          <w:sz w:val="20"/>
        </w:rPr>
        <w:t> </w:t>
      </w:r>
      <w:r>
        <w:rPr>
          <w:sz w:val="20"/>
        </w:rPr>
        <w:t>ordenamiento y</w:t>
      </w:r>
      <w:r>
        <w:rPr>
          <w:spacing w:val="-5"/>
          <w:sz w:val="20"/>
        </w:rPr>
        <w:t> </w:t>
      </w:r>
      <w:r>
        <w:rPr>
          <w:sz w:val="20"/>
        </w:rPr>
        <w:t>los</w:t>
      </w:r>
      <w:r>
        <w:rPr>
          <w:spacing w:val="-1"/>
          <w:sz w:val="20"/>
        </w:rPr>
        <w:t> </w:t>
      </w:r>
      <w:r>
        <w:rPr>
          <w:sz w:val="20"/>
        </w:rPr>
        <w:t>salarios</w:t>
      </w:r>
      <w:r>
        <w:rPr>
          <w:spacing w:val="-1"/>
          <w:sz w:val="20"/>
        </w:rPr>
        <w:t> </w:t>
      </w:r>
      <w:r>
        <w:rPr>
          <w:sz w:val="20"/>
        </w:rPr>
        <w:t>vencidos</w:t>
      </w:r>
      <w:r>
        <w:rPr>
          <w:spacing w:val="-1"/>
          <w:sz w:val="20"/>
        </w:rPr>
        <w:t> </w:t>
      </w:r>
      <w:r>
        <w:rPr>
          <w:sz w:val="20"/>
        </w:rPr>
        <w:t>e</w:t>
      </w:r>
      <w:r>
        <w:rPr>
          <w:spacing w:val="-2"/>
          <w:sz w:val="20"/>
        </w:rPr>
        <w:t> </w:t>
      </w:r>
      <w:r>
        <w:rPr>
          <w:sz w:val="20"/>
        </w:rPr>
        <w:t>intereses,</w:t>
      </w:r>
      <w:r>
        <w:rPr>
          <w:spacing w:val="-2"/>
          <w:sz w:val="20"/>
        </w:rPr>
        <w:t> </w:t>
      </w:r>
      <w:r>
        <w:rPr>
          <w:sz w:val="20"/>
        </w:rPr>
        <w:t>en su</w:t>
      </w:r>
      <w:r>
        <w:rPr>
          <w:spacing w:val="-2"/>
          <w:sz w:val="20"/>
        </w:rPr>
        <w:t> </w:t>
      </w:r>
      <w:r>
        <w:rPr>
          <w:sz w:val="20"/>
        </w:rPr>
        <w:t>caso,</w:t>
      </w:r>
      <w:r>
        <w:rPr>
          <w:spacing w:val="-2"/>
          <w:sz w:val="20"/>
        </w:rPr>
        <w:t> </w:t>
      </w:r>
      <w:r>
        <w:rPr>
          <w:sz w:val="20"/>
        </w:rPr>
        <w:t>en</w:t>
      </w:r>
      <w:r>
        <w:rPr>
          <w:spacing w:val="-3"/>
          <w:sz w:val="20"/>
        </w:rPr>
        <w:t> </w:t>
      </w:r>
      <w:r>
        <w:rPr>
          <w:sz w:val="20"/>
        </w:rPr>
        <w:t>los términos previstos en el artículo 48 de esta Ley.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24-12-</w:t>
      </w:r>
      <w:r>
        <w:rPr>
          <w:rFonts w:ascii="Times New Roman" w:hAnsi="Times New Roman"/>
          <w:i/>
          <w:color w:val="0000FF"/>
          <w:spacing w:val="-4"/>
          <w:sz w:val="16"/>
        </w:rPr>
        <w:t>2024</w:t>
      </w:r>
    </w:p>
    <w:p>
      <w:pPr>
        <w:pStyle w:val="BodyText"/>
        <w:spacing w:before="45"/>
        <w:rPr>
          <w:rFonts w:ascii="Times New Roman"/>
          <w:i/>
          <w:sz w:val="16"/>
        </w:rPr>
      </w:pPr>
    </w:p>
    <w:p>
      <w:pPr>
        <w:pStyle w:val="BodyText"/>
        <w:ind w:left="626"/>
      </w:pPr>
      <w:bookmarkStart w:name="Artículo_51" w:id="68"/>
      <w:bookmarkEnd w:id="68"/>
      <w:r>
        <w:rPr/>
      </w:r>
      <w:r>
        <w:rPr>
          <w:rFonts w:ascii="Arial" w:hAnsi="Arial"/>
          <w:b/>
        </w:rPr>
        <w:t>Artículo</w:t>
      </w:r>
      <w:r>
        <w:rPr>
          <w:rFonts w:ascii="Arial" w:hAnsi="Arial"/>
          <w:b/>
          <w:spacing w:val="-6"/>
        </w:rPr>
        <w:t> </w:t>
      </w:r>
      <w:r>
        <w:rPr>
          <w:rFonts w:ascii="Arial" w:hAnsi="Arial"/>
          <w:b/>
        </w:rPr>
        <w:t>51.-</w:t>
      </w:r>
      <w:r>
        <w:rPr>
          <w:rFonts w:ascii="Arial" w:hAnsi="Arial"/>
          <w:b/>
          <w:spacing w:val="-6"/>
        </w:rPr>
        <w:t> </w:t>
      </w:r>
      <w:r>
        <w:rPr/>
        <w:t>Son</w:t>
      </w:r>
      <w:r>
        <w:rPr>
          <w:spacing w:val="-8"/>
        </w:rPr>
        <w:t> </w:t>
      </w:r>
      <w:r>
        <w:rPr/>
        <w:t>causas</w:t>
      </w:r>
      <w:r>
        <w:rPr>
          <w:spacing w:val="-6"/>
        </w:rPr>
        <w:t> </w:t>
      </w:r>
      <w:r>
        <w:rPr/>
        <w:t>de</w:t>
      </w:r>
      <w:r>
        <w:rPr>
          <w:spacing w:val="-6"/>
        </w:rPr>
        <w:t> </w:t>
      </w:r>
      <w:r>
        <w:rPr/>
        <w:t>rescisión</w:t>
      </w:r>
      <w:r>
        <w:rPr>
          <w:spacing w:val="-5"/>
        </w:rPr>
        <w:t> </w:t>
      </w:r>
      <w:r>
        <w:rPr/>
        <w:t>de</w:t>
      </w:r>
      <w:r>
        <w:rPr>
          <w:spacing w:val="-6"/>
        </w:rPr>
        <w:t> </w:t>
      </w:r>
      <w:r>
        <w:rPr/>
        <w:t>la</w:t>
      </w:r>
      <w:r>
        <w:rPr>
          <w:spacing w:val="-7"/>
        </w:rPr>
        <w:t> </w:t>
      </w:r>
      <w:r>
        <w:rPr/>
        <w:t>relación</w:t>
      </w:r>
      <w:r>
        <w:rPr>
          <w:spacing w:val="-6"/>
        </w:rPr>
        <w:t> </w:t>
      </w:r>
      <w:r>
        <w:rPr/>
        <w:t>de</w:t>
      </w:r>
      <w:r>
        <w:rPr>
          <w:spacing w:val="-7"/>
        </w:rPr>
        <w:t> </w:t>
      </w:r>
      <w:r>
        <w:rPr/>
        <w:t>trabajo,</w:t>
      </w:r>
      <w:r>
        <w:rPr>
          <w:spacing w:val="-5"/>
        </w:rPr>
        <w:t> </w:t>
      </w:r>
      <w:r>
        <w:rPr/>
        <w:t>sin</w:t>
      </w:r>
      <w:r>
        <w:rPr>
          <w:spacing w:val="-6"/>
        </w:rPr>
        <w:t> </w:t>
      </w:r>
      <w:r>
        <w:rPr/>
        <w:t>responsabilidad</w:t>
      </w:r>
      <w:r>
        <w:rPr>
          <w:spacing w:val="-8"/>
        </w:rPr>
        <w:t> </w:t>
      </w:r>
      <w:r>
        <w:rPr/>
        <w:t>para</w:t>
      </w:r>
      <w:r>
        <w:rPr>
          <w:spacing w:val="-7"/>
        </w:rPr>
        <w:t> </w:t>
      </w:r>
      <w:r>
        <w:rPr/>
        <w:t>el</w:t>
      </w:r>
      <w:r>
        <w:rPr>
          <w:spacing w:val="-7"/>
        </w:rPr>
        <w:t> </w:t>
      </w:r>
      <w:r>
        <w:rPr>
          <w:spacing w:val="-2"/>
        </w:rPr>
        <w:t>trabajador:</w:t>
      </w:r>
    </w:p>
    <w:p>
      <w:pPr>
        <w:pStyle w:val="BodyText"/>
        <w:spacing w:before="1"/>
      </w:pPr>
    </w:p>
    <w:p>
      <w:pPr>
        <w:pStyle w:val="ListParagraph"/>
        <w:numPr>
          <w:ilvl w:val="0"/>
          <w:numId w:val="17"/>
        </w:numPr>
        <w:tabs>
          <w:tab w:pos="1193" w:val="left" w:leader="none"/>
          <w:tab w:pos="1195" w:val="left" w:leader="none"/>
        </w:tabs>
        <w:spacing w:line="242" w:lineRule="auto" w:before="0" w:after="0"/>
        <w:ind w:left="1195" w:right="333" w:hanging="569"/>
        <w:jc w:val="both"/>
        <w:rPr>
          <w:sz w:val="20"/>
        </w:rPr>
      </w:pPr>
      <w:r>
        <w:rPr>
          <w:sz w:val="20"/>
        </w:rPr>
        <w:t>Engañarlo el patrón, o en su caso, la agrupación patronal al proponerle el trabajo, respecto de las condiciones del mismo. Esta causa de rescisión dejará de tener efecto después de treinta días de prestar sus servicios el trabajador;</w:t>
      </w:r>
    </w:p>
    <w:p>
      <w:pPr>
        <w:pStyle w:val="ListParagraph"/>
        <w:spacing w:after="0" w:line="242" w:lineRule="auto"/>
        <w:jc w:val="both"/>
        <w:rPr>
          <w:sz w:val="20"/>
        </w:rPr>
        <w:sectPr>
          <w:pgSz w:w="12240" w:h="15840"/>
          <w:pgMar w:header="724" w:footer="712" w:top="1880" w:bottom="900" w:left="1080" w:right="1080"/>
        </w:sectPr>
      </w:pPr>
    </w:p>
    <w:p>
      <w:pPr>
        <w:pStyle w:val="BodyText"/>
        <w:spacing w:before="61"/>
      </w:pPr>
    </w:p>
    <w:p>
      <w:pPr>
        <w:pStyle w:val="ListParagraph"/>
        <w:numPr>
          <w:ilvl w:val="0"/>
          <w:numId w:val="17"/>
        </w:numPr>
        <w:tabs>
          <w:tab w:pos="1192" w:val="left" w:leader="none"/>
          <w:tab w:pos="1195" w:val="left" w:leader="none"/>
        </w:tabs>
        <w:spacing w:line="242" w:lineRule="auto" w:before="0" w:after="0"/>
        <w:ind w:left="1195" w:right="334" w:hanging="569"/>
        <w:jc w:val="both"/>
        <w:rPr>
          <w:sz w:val="20"/>
        </w:rPr>
      </w:pPr>
      <w:r>
        <w:rPr>
          <w:sz w:val="20"/>
        </w:rPr>
        <w:t>Incurrir el patrón, sus familiares o cualquiera de sus representantes, dentro del servicio, en</w:t>
      </w:r>
      <w:r>
        <w:rPr>
          <w:spacing w:val="40"/>
          <w:sz w:val="20"/>
        </w:rPr>
        <w:t> </w:t>
      </w:r>
      <w:r>
        <w:rPr>
          <w:sz w:val="20"/>
        </w:rPr>
        <w:t>faltas de probidad u honradez, actos de violencia, amenazas, injurias, hostigamiento y/o acoso sexual, malos tratamientos u otros análogos, en contra del trabajador, cónyuge, padres, hijos o </w:t>
      </w:r>
      <w:r>
        <w:rPr>
          <w:spacing w:val="-2"/>
          <w:sz w:val="20"/>
        </w:rPr>
        <w:t>hermanos;</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17"/>
        </w:numPr>
        <w:tabs>
          <w:tab w:pos="1191" w:val="left" w:leader="none"/>
          <w:tab w:pos="1195" w:val="left" w:leader="none"/>
        </w:tabs>
        <w:spacing w:line="242" w:lineRule="auto" w:before="0" w:after="0"/>
        <w:ind w:left="1195" w:right="343" w:hanging="569"/>
        <w:jc w:val="both"/>
        <w:rPr>
          <w:sz w:val="20"/>
        </w:rPr>
      </w:pPr>
      <w:r>
        <w:rPr>
          <w:sz w:val="20"/>
        </w:rPr>
        <w:t>Incurrir el patrón, sus familiares o trabajadores, fuera del servicio, en los actos a que se refiere</w:t>
      </w:r>
      <w:r>
        <w:rPr>
          <w:spacing w:val="40"/>
          <w:sz w:val="20"/>
        </w:rPr>
        <w:t> </w:t>
      </w:r>
      <w:r>
        <w:rPr>
          <w:sz w:val="20"/>
        </w:rPr>
        <w:t>la fracción anterior, si son de tal manera graves que hagan imposible el cumplimiento de la relación de trabajo;</w:t>
      </w:r>
    </w:p>
    <w:p>
      <w:pPr>
        <w:pStyle w:val="ListParagraph"/>
        <w:numPr>
          <w:ilvl w:val="0"/>
          <w:numId w:val="17"/>
        </w:numPr>
        <w:tabs>
          <w:tab w:pos="1195" w:val="left" w:leader="none"/>
        </w:tabs>
        <w:spacing w:line="240" w:lineRule="auto" w:before="224" w:after="0"/>
        <w:ind w:left="1195" w:right="0" w:hanging="569"/>
        <w:jc w:val="left"/>
        <w:rPr>
          <w:sz w:val="20"/>
        </w:rPr>
      </w:pPr>
      <w:r>
        <w:rPr>
          <w:sz w:val="20"/>
        </w:rPr>
        <w:t>Reducir</w:t>
      </w:r>
      <w:r>
        <w:rPr>
          <w:spacing w:val="-5"/>
          <w:sz w:val="20"/>
        </w:rPr>
        <w:t> </w:t>
      </w:r>
      <w:r>
        <w:rPr>
          <w:sz w:val="20"/>
        </w:rPr>
        <w:t>el</w:t>
      </w:r>
      <w:r>
        <w:rPr>
          <w:spacing w:val="-6"/>
          <w:sz w:val="20"/>
        </w:rPr>
        <w:t> </w:t>
      </w:r>
      <w:r>
        <w:rPr>
          <w:sz w:val="20"/>
        </w:rPr>
        <w:t>patrón</w:t>
      </w:r>
      <w:r>
        <w:rPr>
          <w:spacing w:val="-7"/>
          <w:sz w:val="20"/>
        </w:rPr>
        <w:t> </w:t>
      </w:r>
      <w:r>
        <w:rPr>
          <w:sz w:val="20"/>
        </w:rPr>
        <w:t>el</w:t>
      </w:r>
      <w:r>
        <w:rPr>
          <w:spacing w:val="-8"/>
          <w:sz w:val="20"/>
        </w:rPr>
        <w:t> </w:t>
      </w:r>
      <w:r>
        <w:rPr>
          <w:sz w:val="20"/>
        </w:rPr>
        <w:t>salario</w:t>
      </w:r>
      <w:r>
        <w:rPr>
          <w:spacing w:val="-6"/>
          <w:sz w:val="20"/>
        </w:rPr>
        <w:t> </w:t>
      </w:r>
      <w:r>
        <w:rPr>
          <w:sz w:val="20"/>
        </w:rPr>
        <w:t>del</w:t>
      </w:r>
      <w:r>
        <w:rPr>
          <w:spacing w:val="-6"/>
          <w:sz w:val="20"/>
        </w:rPr>
        <w:t> </w:t>
      </w:r>
      <w:r>
        <w:rPr>
          <w:spacing w:val="-2"/>
          <w:sz w:val="20"/>
        </w:rPr>
        <w:t>trabajador;</w:t>
      </w:r>
    </w:p>
    <w:p>
      <w:pPr>
        <w:pStyle w:val="ListParagraph"/>
        <w:numPr>
          <w:ilvl w:val="0"/>
          <w:numId w:val="17"/>
        </w:numPr>
        <w:tabs>
          <w:tab w:pos="1195" w:val="left" w:leader="none"/>
        </w:tabs>
        <w:spacing w:line="240" w:lineRule="auto" w:before="229" w:after="0"/>
        <w:ind w:left="1195" w:right="0" w:hanging="569"/>
        <w:jc w:val="left"/>
        <w:rPr>
          <w:sz w:val="20"/>
        </w:rPr>
      </w:pPr>
      <w:r>
        <w:rPr>
          <w:sz w:val="20"/>
        </w:rPr>
        <w:t>No</w:t>
      </w:r>
      <w:r>
        <w:rPr>
          <w:spacing w:val="-7"/>
          <w:sz w:val="20"/>
        </w:rPr>
        <w:t> </w:t>
      </w:r>
      <w:r>
        <w:rPr>
          <w:sz w:val="20"/>
        </w:rPr>
        <w:t>recibir</w:t>
      </w:r>
      <w:r>
        <w:rPr>
          <w:spacing w:val="-6"/>
          <w:sz w:val="20"/>
        </w:rPr>
        <w:t> </w:t>
      </w:r>
      <w:r>
        <w:rPr>
          <w:sz w:val="20"/>
        </w:rPr>
        <w:t>el</w:t>
      </w:r>
      <w:r>
        <w:rPr>
          <w:spacing w:val="-7"/>
          <w:sz w:val="20"/>
        </w:rPr>
        <w:t> </w:t>
      </w:r>
      <w:r>
        <w:rPr>
          <w:sz w:val="20"/>
        </w:rPr>
        <w:t>salario</w:t>
      </w:r>
      <w:r>
        <w:rPr>
          <w:spacing w:val="-8"/>
          <w:sz w:val="20"/>
        </w:rPr>
        <w:t> </w:t>
      </w:r>
      <w:r>
        <w:rPr>
          <w:sz w:val="20"/>
        </w:rPr>
        <w:t>correspondiente</w:t>
      </w:r>
      <w:r>
        <w:rPr>
          <w:spacing w:val="-7"/>
          <w:sz w:val="20"/>
        </w:rPr>
        <w:t> </w:t>
      </w:r>
      <w:r>
        <w:rPr>
          <w:sz w:val="20"/>
        </w:rPr>
        <w:t>en</w:t>
      </w:r>
      <w:r>
        <w:rPr>
          <w:spacing w:val="-6"/>
          <w:sz w:val="20"/>
        </w:rPr>
        <w:t> </w:t>
      </w:r>
      <w:r>
        <w:rPr>
          <w:sz w:val="20"/>
        </w:rPr>
        <w:t>la</w:t>
      </w:r>
      <w:r>
        <w:rPr>
          <w:spacing w:val="-7"/>
          <w:sz w:val="20"/>
        </w:rPr>
        <w:t> </w:t>
      </w:r>
      <w:r>
        <w:rPr>
          <w:sz w:val="20"/>
        </w:rPr>
        <w:t>fecha</w:t>
      </w:r>
      <w:r>
        <w:rPr>
          <w:spacing w:val="-8"/>
          <w:sz w:val="20"/>
        </w:rPr>
        <w:t> </w:t>
      </w:r>
      <w:r>
        <w:rPr>
          <w:sz w:val="20"/>
        </w:rPr>
        <w:t>o</w:t>
      </w:r>
      <w:r>
        <w:rPr>
          <w:spacing w:val="-4"/>
          <w:sz w:val="20"/>
        </w:rPr>
        <w:t> </w:t>
      </w:r>
      <w:r>
        <w:rPr>
          <w:sz w:val="20"/>
        </w:rPr>
        <w:t>lugar</w:t>
      </w:r>
      <w:r>
        <w:rPr>
          <w:spacing w:val="-6"/>
          <w:sz w:val="20"/>
        </w:rPr>
        <w:t> </w:t>
      </w:r>
      <w:r>
        <w:rPr>
          <w:sz w:val="20"/>
        </w:rPr>
        <w:t>convenidos</w:t>
      </w:r>
      <w:r>
        <w:rPr>
          <w:spacing w:val="-6"/>
          <w:sz w:val="20"/>
        </w:rPr>
        <w:t> </w:t>
      </w:r>
      <w:r>
        <w:rPr>
          <w:sz w:val="20"/>
        </w:rPr>
        <w:t>o</w:t>
      </w:r>
      <w:r>
        <w:rPr>
          <w:spacing w:val="-5"/>
          <w:sz w:val="20"/>
        </w:rPr>
        <w:t> </w:t>
      </w:r>
      <w:r>
        <w:rPr>
          <w:spacing w:val="-2"/>
          <w:sz w:val="20"/>
        </w:rPr>
        <w:t>acostumbrados;</w:t>
      </w:r>
    </w:p>
    <w:p>
      <w:pPr>
        <w:pStyle w:val="BodyText"/>
        <w:spacing w:before="1"/>
      </w:pPr>
    </w:p>
    <w:p>
      <w:pPr>
        <w:pStyle w:val="ListParagraph"/>
        <w:numPr>
          <w:ilvl w:val="0"/>
          <w:numId w:val="17"/>
        </w:numPr>
        <w:tabs>
          <w:tab w:pos="1195" w:val="left" w:leader="none"/>
        </w:tabs>
        <w:spacing w:line="240" w:lineRule="auto" w:before="0" w:after="0"/>
        <w:ind w:left="1195" w:right="0" w:hanging="569"/>
        <w:jc w:val="left"/>
        <w:rPr>
          <w:sz w:val="20"/>
        </w:rPr>
      </w:pPr>
      <w:r>
        <w:rPr>
          <w:sz w:val="20"/>
        </w:rPr>
        <w:t>Sufrir</w:t>
      </w:r>
      <w:r>
        <w:rPr>
          <w:spacing w:val="-7"/>
          <w:sz w:val="20"/>
        </w:rPr>
        <w:t> </w:t>
      </w:r>
      <w:r>
        <w:rPr>
          <w:sz w:val="20"/>
        </w:rPr>
        <w:t>perjuicios</w:t>
      </w:r>
      <w:r>
        <w:rPr>
          <w:spacing w:val="-7"/>
          <w:sz w:val="20"/>
        </w:rPr>
        <w:t> </w:t>
      </w:r>
      <w:r>
        <w:rPr>
          <w:sz w:val="20"/>
        </w:rPr>
        <w:t>causados</w:t>
      </w:r>
      <w:r>
        <w:rPr>
          <w:spacing w:val="-7"/>
          <w:sz w:val="20"/>
        </w:rPr>
        <w:t> </w:t>
      </w:r>
      <w:r>
        <w:rPr>
          <w:sz w:val="20"/>
        </w:rPr>
        <w:t>maliciosamente</w:t>
      </w:r>
      <w:r>
        <w:rPr>
          <w:spacing w:val="-9"/>
          <w:sz w:val="20"/>
        </w:rPr>
        <w:t> </w:t>
      </w:r>
      <w:r>
        <w:rPr>
          <w:sz w:val="20"/>
        </w:rPr>
        <w:t>por</w:t>
      </w:r>
      <w:r>
        <w:rPr>
          <w:spacing w:val="-6"/>
          <w:sz w:val="20"/>
        </w:rPr>
        <w:t> </w:t>
      </w:r>
      <w:r>
        <w:rPr>
          <w:sz w:val="20"/>
        </w:rPr>
        <w:t>el</w:t>
      </w:r>
      <w:r>
        <w:rPr>
          <w:spacing w:val="-9"/>
          <w:sz w:val="20"/>
        </w:rPr>
        <w:t> </w:t>
      </w:r>
      <w:r>
        <w:rPr>
          <w:sz w:val="20"/>
        </w:rPr>
        <w:t>patrón,</w:t>
      </w:r>
      <w:r>
        <w:rPr>
          <w:spacing w:val="-8"/>
          <w:sz w:val="20"/>
        </w:rPr>
        <w:t> </w:t>
      </w:r>
      <w:r>
        <w:rPr>
          <w:sz w:val="20"/>
        </w:rPr>
        <w:t>en</w:t>
      </w:r>
      <w:r>
        <w:rPr>
          <w:spacing w:val="-7"/>
          <w:sz w:val="20"/>
        </w:rPr>
        <w:t> </w:t>
      </w:r>
      <w:r>
        <w:rPr>
          <w:sz w:val="20"/>
        </w:rPr>
        <w:t>sus</w:t>
      </w:r>
      <w:r>
        <w:rPr>
          <w:spacing w:val="-7"/>
          <w:sz w:val="20"/>
        </w:rPr>
        <w:t> </w:t>
      </w:r>
      <w:r>
        <w:rPr>
          <w:sz w:val="20"/>
        </w:rPr>
        <w:t>herramientas</w:t>
      </w:r>
      <w:r>
        <w:rPr>
          <w:spacing w:val="-5"/>
          <w:sz w:val="20"/>
        </w:rPr>
        <w:t> </w:t>
      </w:r>
      <w:r>
        <w:rPr>
          <w:sz w:val="20"/>
        </w:rPr>
        <w:t>o</w:t>
      </w:r>
      <w:r>
        <w:rPr>
          <w:spacing w:val="-6"/>
          <w:sz w:val="20"/>
        </w:rPr>
        <w:t> </w:t>
      </w:r>
      <w:r>
        <w:rPr>
          <w:sz w:val="20"/>
        </w:rPr>
        <w:t>útiles</w:t>
      </w:r>
      <w:r>
        <w:rPr>
          <w:spacing w:val="-7"/>
          <w:sz w:val="20"/>
        </w:rPr>
        <w:t> </w:t>
      </w:r>
      <w:r>
        <w:rPr>
          <w:sz w:val="20"/>
        </w:rPr>
        <w:t>de</w:t>
      </w:r>
      <w:r>
        <w:rPr>
          <w:spacing w:val="-6"/>
          <w:sz w:val="20"/>
        </w:rPr>
        <w:t> </w:t>
      </w:r>
      <w:r>
        <w:rPr>
          <w:spacing w:val="-2"/>
          <w:sz w:val="20"/>
        </w:rPr>
        <w:t>trabajo;</w:t>
      </w:r>
    </w:p>
    <w:p>
      <w:pPr>
        <w:pStyle w:val="ListParagraph"/>
        <w:numPr>
          <w:ilvl w:val="0"/>
          <w:numId w:val="17"/>
        </w:numPr>
        <w:tabs>
          <w:tab w:pos="1193" w:val="left" w:leader="none"/>
          <w:tab w:pos="1195" w:val="left" w:leader="none"/>
        </w:tabs>
        <w:spacing w:line="242" w:lineRule="auto" w:before="229" w:after="0"/>
        <w:ind w:left="1195" w:right="338" w:hanging="569"/>
        <w:jc w:val="both"/>
        <w:rPr>
          <w:sz w:val="20"/>
        </w:rPr>
      </w:pPr>
      <w:r>
        <w:rPr>
          <w:sz w:val="20"/>
        </w:rPr>
        <w:t>La existencia de un peligro grave para la seguridad o salud del trabajador o de su familia, ya</w:t>
      </w:r>
      <w:r>
        <w:rPr>
          <w:spacing w:val="40"/>
          <w:sz w:val="20"/>
        </w:rPr>
        <w:t> </w:t>
      </w:r>
      <w:r>
        <w:rPr>
          <w:sz w:val="20"/>
        </w:rPr>
        <w:t>sea por carecer de condiciones higiénicas el establecimiento o porque no se cumplan las medidas preventivas y de seguridad que las leyes establezcan;</w:t>
      </w:r>
    </w:p>
    <w:p>
      <w:pPr>
        <w:pStyle w:val="ListParagraph"/>
        <w:numPr>
          <w:ilvl w:val="0"/>
          <w:numId w:val="17"/>
        </w:numPr>
        <w:tabs>
          <w:tab w:pos="1193" w:val="left" w:leader="none"/>
          <w:tab w:pos="1195" w:val="left" w:leader="none"/>
        </w:tabs>
        <w:spacing w:line="242" w:lineRule="auto" w:before="225" w:after="0"/>
        <w:ind w:left="1195" w:right="342" w:hanging="569"/>
        <w:jc w:val="both"/>
        <w:rPr>
          <w:sz w:val="20"/>
        </w:rPr>
      </w:pPr>
      <w:r>
        <w:rPr>
          <w:sz w:val="20"/>
        </w:rPr>
        <w:t>Comprometer el patrón, con su imprudencia o descuido inexcusables, la seguridad del establecimiento o de las personas que se encuentren en él; y</w:t>
      </w:r>
    </w:p>
    <w:p>
      <w:pPr>
        <w:pStyle w:val="ListParagraph"/>
        <w:numPr>
          <w:ilvl w:val="0"/>
          <w:numId w:val="17"/>
        </w:numPr>
        <w:tabs>
          <w:tab w:pos="1195" w:val="left" w:leader="none"/>
        </w:tabs>
        <w:spacing w:line="242" w:lineRule="auto" w:before="224" w:after="0"/>
        <w:ind w:left="1195" w:right="347" w:hanging="569"/>
        <w:jc w:val="both"/>
        <w:rPr>
          <w:sz w:val="20"/>
        </w:rPr>
      </w:pPr>
      <w:r>
        <w:rPr>
          <w:sz w:val="20"/>
        </w:rPr>
        <w:t>Exigir la realización de actos, conductas o comportamientos que menoscaben o atenten contra la dignidad del trabajador; 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17"/>
        </w:numPr>
        <w:tabs>
          <w:tab w:pos="1195" w:val="left" w:leader="none"/>
        </w:tabs>
        <w:spacing w:line="242" w:lineRule="auto" w:before="0" w:after="0"/>
        <w:ind w:left="1195" w:right="344" w:hanging="569"/>
        <w:jc w:val="left"/>
        <w:rPr>
          <w:sz w:val="20"/>
        </w:rPr>
      </w:pPr>
      <w:r>
        <w:rPr>
          <w:sz w:val="20"/>
        </w:rPr>
        <w:t>Las</w:t>
      </w:r>
      <w:r>
        <w:rPr>
          <w:spacing w:val="37"/>
          <w:sz w:val="20"/>
        </w:rPr>
        <w:t> </w:t>
      </w:r>
      <w:r>
        <w:rPr>
          <w:sz w:val="20"/>
        </w:rPr>
        <w:t>análogas</w:t>
      </w:r>
      <w:r>
        <w:rPr>
          <w:spacing w:val="39"/>
          <w:sz w:val="20"/>
        </w:rPr>
        <w:t> </w:t>
      </w:r>
      <w:r>
        <w:rPr>
          <w:sz w:val="20"/>
        </w:rPr>
        <w:t>a</w:t>
      </w:r>
      <w:r>
        <w:rPr>
          <w:spacing w:val="36"/>
          <w:sz w:val="20"/>
        </w:rPr>
        <w:t> </w:t>
      </w:r>
      <w:r>
        <w:rPr>
          <w:sz w:val="20"/>
        </w:rPr>
        <w:t>las</w:t>
      </w:r>
      <w:r>
        <w:rPr>
          <w:spacing w:val="37"/>
          <w:sz w:val="20"/>
        </w:rPr>
        <w:t> </w:t>
      </w:r>
      <w:r>
        <w:rPr>
          <w:sz w:val="20"/>
        </w:rPr>
        <w:t>establecidas</w:t>
      </w:r>
      <w:r>
        <w:rPr>
          <w:spacing w:val="40"/>
          <w:sz w:val="20"/>
        </w:rPr>
        <w:t> </w:t>
      </w:r>
      <w:r>
        <w:rPr>
          <w:sz w:val="20"/>
        </w:rPr>
        <w:t>en</w:t>
      </w:r>
      <w:r>
        <w:rPr>
          <w:spacing w:val="38"/>
          <w:sz w:val="20"/>
        </w:rPr>
        <w:t> </w:t>
      </w:r>
      <w:r>
        <w:rPr>
          <w:sz w:val="20"/>
        </w:rPr>
        <w:t>las</w:t>
      </w:r>
      <w:r>
        <w:rPr>
          <w:spacing w:val="37"/>
          <w:sz w:val="20"/>
        </w:rPr>
        <w:t> </w:t>
      </w:r>
      <w:r>
        <w:rPr>
          <w:sz w:val="20"/>
        </w:rPr>
        <w:t>fracciones</w:t>
      </w:r>
      <w:r>
        <w:rPr>
          <w:spacing w:val="39"/>
          <w:sz w:val="20"/>
        </w:rPr>
        <w:t> </w:t>
      </w:r>
      <w:r>
        <w:rPr>
          <w:sz w:val="20"/>
        </w:rPr>
        <w:t>anteriores,</w:t>
      </w:r>
      <w:r>
        <w:rPr>
          <w:spacing w:val="36"/>
          <w:sz w:val="20"/>
        </w:rPr>
        <w:t> </w:t>
      </w:r>
      <w:r>
        <w:rPr>
          <w:sz w:val="20"/>
        </w:rPr>
        <w:t>de</w:t>
      </w:r>
      <w:r>
        <w:rPr>
          <w:spacing w:val="38"/>
          <w:sz w:val="20"/>
        </w:rPr>
        <w:t> </w:t>
      </w:r>
      <w:r>
        <w:rPr>
          <w:sz w:val="20"/>
        </w:rPr>
        <w:t>igual</w:t>
      </w:r>
      <w:r>
        <w:rPr>
          <w:spacing w:val="35"/>
          <w:sz w:val="20"/>
        </w:rPr>
        <w:t> </w:t>
      </w:r>
      <w:r>
        <w:rPr>
          <w:sz w:val="20"/>
        </w:rPr>
        <w:t>manera</w:t>
      </w:r>
      <w:r>
        <w:rPr>
          <w:spacing w:val="36"/>
          <w:sz w:val="20"/>
        </w:rPr>
        <w:t> </w:t>
      </w:r>
      <w:r>
        <w:rPr>
          <w:sz w:val="20"/>
        </w:rPr>
        <w:t>graves</w:t>
      </w:r>
      <w:r>
        <w:rPr>
          <w:spacing w:val="40"/>
          <w:sz w:val="20"/>
        </w:rPr>
        <w:t> </w:t>
      </w:r>
      <w:r>
        <w:rPr>
          <w:sz w:val="20"/>
        </w:rPr>
        <w:t>y</w:t>
      </w:r>
      <w:r>
        <w:rPr>
          <w:spacing w:val="33"/>
          <w:sz w:val="20"/>
        </w:rPr>
        <w:t> </w:t>
      </w:r>
      <w:r>
        <w:rPr>
          <w:sz w:val="20"/>
        </w:rPr>
        <w:t>de consecuencias semejantes, en lo que al trabajo se refiere.</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37" w:firstLine="288"/>
        <w:jc w:val="both"/>
      </w:pPr>
      <w:bookmarkStart w:name="Artículo_52" w:id="69"/>
      <w:bookmarkEnd w:id="69"/>
      <w:r>
        <w:rPr/>
      </w:r>
      <w:r>
        <w:rPr>
          <w:rFonts w:ascii="Arial" w:hAnsi="Arial"/>
          <w:b/>
        </w:rPr>
        <w:t>Artículo 52.- </w:t>
      </w:r>
      <w:r>
        <w:rPr/>
        <w:t>El trabajador podrá separarse de su trabajo dentro de los treinta días siguientes a la fecha en que se dé cualquiera de las causas mencionadas en el artículo anterior y tendrá derecho a que el patrón lo indemnice en los términos del artículo 50.</w:t>
      </w:r>
    </w:p>
    <w:p>
      <w:pPr>
        <w:pStyle w:val="Heading1"/>
        <w:spacing w:line="252" w:lineRule="exact" w:before="227"/>
      </w:pPr>
      <w:r>
        <w:rPr/>
        <w:t>CAPITULO</w:t>
      </w:r>
      <w:r>
        <w:rPr>
          <w:spacing w:val="-7"/>
        </w:rPr>
        <w:t> </w:t>
      </w:r>
      <w:r>
        <w:rPr>
          <w:spacing w:val="-12"/>
        </w:rPr>
        <w:t>V</w:t>
      </w:r>
    </w:p>
    <w:p>
      <w:pPr>
        <w:pStyle w:val="Heading2"/>
        <w:spacing w:line="252" w:lineRule="exact"/>
        <w:ind w:left="297"/>
      </w:pPr>
      <w:r>
        <w:rPr/>
        <w:t>Terminación</w:t>
      </w:r>
      <w:r>
        <w:rPr>
          <w:spacing w:val="-4"/>
        </w:rPr>
        <w:t> </w:t>
      </w:r>
      <w:r>
        <w:rPr/>
        <w:t>de</w:t>
      </w:r>
      <w:r>
        <w:rPr>
          <w:spacing w:val="-8"/>
        </w:rPr>
        <w:t> </w:t>
      </w:r>
      <w:r>
        <w:rPr/>
        <w:t>las</w:t>
      </w:r>
      <w:r>
        <w:rPr>
          <w:spacing w:val="-4"/>
        </w:rPr>
        <w:t> </w:t>
      </w:r>
      <w:r>
        <w:rPr/>
        <w:t>relaciones</w:t>
      </w:r>
      <w:r>
        <w:rPr>
          <w:spacing w:val="-4"/>
        </w:rPr>
        <w:t> </w:t>
      </w:r>
      <w:r>
        <w:rPr/>
        <w:t>de</w:t>
      </w:r>
      <w:r>
        <w:rPr>
          <w:spacing w:val="-5"/>
        </w:rPr>
        <w:t> </w:t>
      </w:r>
      <w:r>
        <w:rPr>
          <w:spacing w:val="-2"/>
        </w:rPr>
        <w:t>trabajo</w:t>
      </w:r>
    </w:p>
    <w:p>
      <w:pPr>
        <w:spacing w:before="232"/>
        <w:ind w:left="626" w:right="0" w:firstLine="0"/>
        <w:jc w:val="left"/>
        <w:rPr>
          <w:sz w:val="20"/>
        </w:rPr>
      </w:pPr>
      <w:bookmarkStart w:name="Artículo_53" w:id="70"/>
      <w:bookmarkEnd w:id="70"/>
      <w:r>
        <w:rPr/>
      </w:r>
      <w:r>
        <w:rPr>
          <w:rFonts w:ascii="Arial" w:hAnsi="Arial"/>
          <w:b/>
          <w:sz w:val="20"/>
        </w:rPr>
        <w:t>Artículo</w:t>
      </w:r>
      <w:r>
        <w:rPr>
          <w:rFonts w:ascii="Arial" w:hAnsi="Arial"/>
          <w:b/>
          <w:spacing w:val="-6"/>
          <w:sz w:val="20"/>
        </w:rPr>
        <w:t> </w:t>
      </w:r>
      <w:r>
        <w:rPr>
          <w:rFonts w:ascii="Arial" w:hAnsi="Arial"/>
          <w:b/>
          <w:sz w:val="20"/>
        </w:rPr>
        <w:t>53.-</w:t>
      </w:r>
      <w:r>
        <w:rPr>
          <w:rFonts w:ascii="Arial" w:hAnsi="Arial"/>
          <w:b/>
          <w:spacing w:val="-6"/>
          <w:sz w:val="20"/>
        </w:rPr>
        <w:t> </w:t>
      </w:r>
      <w:r>
        <w:rPr>
          <w:sz w:val="20"/>
        </w:rPr>
        <w:t>Son</w:t>
      </w:r>
      <w:r>
        <w:rPr>
          <w:spacing w:val="-8"/>
          <w:sz w:val="20"/>
        </w:rPr>
        <w:t> </w:t>
      </w:r>
      <w:r>
        <w:rPr>
          <w:sz w:val="20"/>
        </w:rPr>
        <w:t>causas</w:t>
      </w:r>
      <w:r>
        <w:rPr>
          <w:spacing w:val="-6"/>
          <w:sz w:val="20"/>
        </w:rPr>
        <w:t> </w:t>
      </w:r>
      <w:r>
        <w:rPr>
          <w:sz w:val="20"/>
        </w:rPr>
        <w:t>de</w:t>
      </w:r>
      <w:r>
        <w:rPr>
          <w:spacing w:val="-7"/>
          <w:sz w:val="20"/>
        </w:rPr>
        <w:t> </w:t>
      </w:r>
      <w:r>
        <w:rPr>
          <w:sz w:val="20"/>
        </w:rPr>
        <w:t>terminación</w:t>
      </w:r>
      <w:r>
        <w:rPr>
          <w:spacing w:val="-6"/>
          <w:sz w:val="20"/>
        </w:rPr>
        <w:t> </w:t>
      </w:r>
      <w:r>
        <w:rPr>
          <w:sz w:val="20"/>
        </w:rPr>
        <w:t>de</w:t>
      </w:r>
      <w:r>
        <w:rPr>
          <w:spacing w:val="-6"/>
          <w:sz w:val="20"/>
        </w:rPr>
        <w:t> </w:t>
      </w:r>
      <w:r>
        <w:rPr>
          <w:sz w:val="20"/>
        </w:rPr>
        <w:t>las</w:t>
      </w:r>
      <w:r>
        <w:rPr>
          <w:spacing w:val="-6"/>
          <w:sz w:val="20"/>
        </w:rPr>
        <w:t> </w:t>
      </w:r>
      <w:r>
        <w:rPr>
          <w:sz w:val="20"/>
        </w:rPr>
        <w:t>relaciones</w:t>
      </w:r>
      <w:r>
        <w:rPr>
          <w:spacing w:val="-6"/>
          <w:sz w:val="20"/>
        </w:rPr>
        <w:t> </w:t>
      </w:r>
      <w:r>
        <w:rPr>
          <w:sz w:val="20"/>
        </w:rPr>
        <w:t>de</w:t>
      </w:r>
      <w:r>
        <w:rPr>
          <w:spacing w:val="-6"/>
          <w:sz w:val="20"/>
        </w:rPr>
        <w:t> </w:t>
      </w:r>
      <w:r>
        <w:rPr>
          <w:spacing w:val="-2"/>
          <w:sz w:val="20"/>
        </w:rPr>
        <w:t>trabajo:</w:t>
      </w:r>
    </w:p>
    <w:p>
      <w:pPr>
        <w:pStyle w:val="BodyText"/>
      </w:pPr>
    </w:p>
    <w:p>
      <w:pPr>
        <w:pStyle w:val="ListParagraph"/>
        <w:numPr>
          <w:ilvl w:val="0"/>
          <w:numId w:val="18"/>
        </w:numPr>
        <w:tabs>
          <w:tab w:pos="1195" w:val="left" w:leader="none"/>
        </w:tabs>
        <w:spacing w:line="240" w:lineRule="auto" w:before="1" w:after="0"/>
        <w:ind w:left="1195" w:right="0" w:hanging="569"/>
        <w:jc w:val="left"/>
        <w:rPr>
          <w:sz w:val="20"/>
        </w:rPr>
      </w:pPr>
      <w:r>
        <w:rPr>
          <w:sz w:val="20"/>
        </w:rPr>
        <w:t>El</w:t>
      </w:r>
      <w:r>
        <w:rPr>
          <w:spacing w:val="-8"/>
          <w:sz w:val="20"/>
        </w:rPr>
        <w:t> </w:t>
      </w:r>
      <w:r>
        <w:rPr>
          <w:sz w:val="20"/>
        </w:rPr>
        <w:t>mutuo</w:t>
      </w:r>
      <w:r>
        <w:rPr>
          <w:spacing w:val="-7"/>
          <w:sz w:val="20"/>
        </w:rPr>
        <w:t> </w:t>
      </w:r>
      <w:r>
        <w:rPr>
          <w:sz w:val="20"/>
        </w:rPr>
        <w:t>consentimiento</w:t>
      </w:r>
      <w:r>
        <w:rPr>
          <w:spacing w:val="-6"/>
          <w:sz w:val="20"/>
        </w:rPr>
        <w:t> </w:t>
      </w:r>
      <w:r>
        <w:rPr>
          <w:sz w:val="20"/>
        </w:rPr>
        <w:t>de</w:t>
      </w:r>
      <w:r>
        <w:rPr>
          <w:spacing w:val="-7"/>
          <w:sz w:val="20"/>
        </w:rPr>
        <w:t> </w:t>
      </w:r>
      <w:r>
        <w:rPr>
          <w:sz w:val="20"/>
        </w:rPr>
        <w:t>las</w:t>
      </w:r>
      <w:r>
        <w:rPr>
          <w:spacing w:val="-4"/>
          <w:sz w:val="20"/>
        </w:rPr>
        <w:t> </w:t>
      </w:r>
      <w:r>
        <w:rPr>
          <w:spacing w:val="-2"/>
          <w:sz w:val="20"/>
        </w:rPr>
        <w:t>partes;</w:t>
      </w:r>
    </w:p>
    <w:p>
      <w:pPr>
        <w:pStyle w:val="BodyText"/>
      </w:pPr>
    </w:p>
    <w:p>
      <w:pPr>
        <w:pStyle w:val="ListParagraph"/>
        <w:numPr>
          <w:ilvl w:val="0"/>
          <w:numId w:val="18"/>
        </w:numPr>
        <w:tabs>
          <w:tab w:pos="1195" w:val="left" w:leader="none"/>
        </w:tabs>
        <w:spacing w:line="240" w:lineRule="auto" w:before="0" w:after="0"/>
        <w:ind w:left="1195" w:right="0" w:hanging="569"/>
        <w:jc w:val="left"/>
        <w:rPr>
          <w:sz w:val="20"/>
        </w:rPr>
      </w:pPr>
      <w:r>
        <w:rPr>
          <w:sz w:val="20"/>
        </w:rPr>
        <w:t>La</w:t>
      </w:r>
      <w:r>
        <w:rPr>
          <w:spacing w:val="-6"/>
          <w:sz w:val="20"/>
        </w:rPr>
        <w:t> </w:t>
      </w:r>
      <w:r>
        <w:rPr>
          <w:sz w:val="20"/>
        </w:rPr>
        <w:t>muerte</w:t>
      </w:r>
      <w:r>
        <w:rPr>
          <w:spacing w:val="-6"/>
          <w:sz w:val="20"/>
        </w:rPr>
        <w:t> </w:t>
      </w:r>
      <w:r>
        <w:rPr>
          <w:sz w:val="20"/>
        </w:rPr>
        <w:t>del</w:t>
      </w:r>
      <w:r>
        <w:rPr>
          <w:spacing w:val="-6"/>
          <w:sz w:val="20"/>
        </w:rPr>
        <w:t> </w:t>
      </w:r>
      <w:r>
        <w:rPr>
          <w:spacing w:val="-2"/>
          <w:sz w:val="20"/>
        </w:rPr>
        <w:t>trabajador;</w:t>
      </w:r>
    </w:p>
    <w:p>
      <w:pPr>
        <w:pStyle w:val="ListParagraph"/>
        <w:numPr>
          <w:ilvl w:val="0"/>
          <w:numId w:val="18"/>
        </w:numPr>
        <w:tabs>
          <w:tab w:pos="1195" w:val="left" w:leader="none"/>
        </w:tabs>
        <w:spacing w:line="242" w:lineRule="auto" w:before="229" w:after="0"/>
        <w:ind w:left="1195" w:right="343" w:hanging="569"/>
        <w:jc w:val="left"/>
        <w:rPr>
          <w:sz w:val="20"/>
        </w:rPr>
      </w:pPr>
      <w:r>
        <w:rPr>
          <w:sz w:val="20"/>
        </w:rPr>
        <w:t>La terminación de la obra o vencimiento del término o inversión del capital, de conformidad con los artículos 36, 37 y 38;</w:t>
      </w:r>
    </w:p>
    <w:p>
      <w:pPr>
        <w:pStyle w:val="ListParagraph"/>
        <w:numPr>
          <w:ilvl w:val="0"/>
          <w:numId w:val="18"/>
        </w:numPr>
        <w:tabs>
          <w:tab w:pos="1195" w:val="left" w:leader="none"/>
        </w:tabs>
        <w:spacing w:line="242" w:lineRule="auto" w:before="227" w:after="0"/>
        <w:ind w:left="1195" w:right="334" w:hanging="569"/>
        <w:jc w:val="left"/>
        <w:rPr>
          <w:sz w:val="20"/>
        </w:rPr>
      </w:pPr>
      <w:r>
        <w:rPr>
          <w:sz w:val="20"/>
        </w:rPr>
        <w:t>La</w:t>
      </w:r>
      <w:r>
        <w:rPr>
          <w:spacing w:val="25"/>
          <w:sz w:val="20"/>
        </w:rPr>
        <w:t> </w:t>
      </w:r>
      <w:r>
        <w:rPr>
          <w:sz w:val="20"/>
        </w:rPr>
        <w:t>incapacidad</w:t>
      </w:r>
      <w:r>
        <w:rPr>
          <w:spacing w:val="25"/>
          <w:sz w:val="20"/>
        </w:rPr>
        <w:t> </w:t>
      </w:r>
      <w:r>
        <w:rPr>
          <w:sz w:val="20"/>
        </w:rPr>
        <w:t>física</w:t>
      </w:r>
      <w:r>
        <w:rPr>
          <w:spacing w:val="25"/>
          <w:sz w:val="20"/>
        </w:rPr>
        <w:t> </w:t>
      </w:r>
      <w:r>
        <w:rPr>
          <w:sz w:val="20"/>
        </w:rPr>
        <w:t>o</w:t>
      </w:r>
      <w:r>
        <w:rPr>
          <w:spacing w:val="25"/>
          <w:sz w:val="20"/>
        </w:rPr>
        <w:t> </w:t>
      </w:r>
      <w:r>
        <w:rPr>
          <w:sz w:val="20"/>
        </w:rPr>
        <w:t>mental</w:t>
      </w:r>
      <w:r>
        <w:rPr>
          <w:spacing w:val="25"/>
          <w:sz w:val="20"/>
        </w:rPr>
        <w:t> </w:t>
      </w:r>
      <w:r>
        <w:rPr>
          <w:sz w:val="20"/>
        </w:rPr>
        <w:t>o</w:t>
      </w:r>
      <w:r>
        <w:rPr>
          <w:spacing w:val="27"/>
          <w:sz w:val="20"/>
        </w:rPr>
        <w:t> </w:t>
      </w:r>
      <w:r>
        <w:rPr>
          <w:sz w:val="20"/>
        </w:rPr>
        <w:t>inhabilidad</w:t>
      </w:r>
      <w:r>
        <w:rPr>
          <w:spacing w:val="25"/>
          <w:sz w:val="20"/>
        </w:rPr>
        <w:t> </w:t>
      </w:r>
      <w:r>
        <w:rPr>
          <w:sz w:val="20"/>
        </w:rPr>
        <w:t>manifiesta</w:t>
      </w:r>
      <w:r>
        <w:rPr>
          <w:spacing w:val="25"/>
          <w:sz w:val="20"/>
        </w:rPr>
        <w:t> </w:t>
      </w:r>
      <w:r>
        <w:rPr>
          <w:sz w:val="20"/>
        </w:rPr>
        <w:t>del</w:t>
      </w:r>
      <w:r>
        <w:rPr>
          <w:spacing w:val="25"/>
          <w:sz w:val="20"/>
        </w:rPr>
        <w:t> </w:t>
      </w:r>
      <w:r>
        <w:rPr>
          <w:sz w:val="20"/>
        </w:rPr>
        <w:t>trabajador,</w:t>
      </w:r>
      <w:r>
        <w:rPr>
          <w:spacing w:val="28"/>
          <w:sz w:val="20"/>
        </w:rPr>
        <w:t> </w:t>
      </w:r>
      <w:r>
        <w:rPr>
          <w:sz w:val="20"/>
        </w:rPr>
        <w:t>que</w:t>
      </w:r>
      <w:r>
        <w:rPr>
          <w:spacing w:val="27"/>
          <w:sz w:val="20"/>
        </w:rPr>
        <w:t> </w:t>
      </w:r>
      <w:r>
        <w:rPr>
          <w:sz w:val="20"/>
        </w:rPr>
        <w:t>haga</w:t>
      </w:r>
      <w:r>
        <w:rPr>
          <w:spacing w:val="25"/>
          <w:sz w:val="20"/>
        </w:rPr>
        <w:t> </w:t>
      </w:r>
      <w:r>
        <w:rPr>
          <w:sz w:val="20"/>
        </w:rPr>
        <w:t>imposible</w:t>
      </w:r>
      <w:r>
        <w:rPr>
          <w:spacing w:val="27"/>
          <w:sz w:val="20"/>
        </w:rPr>
        <w:t> </w:t>
      </w:r>
      <w:r>
        <w:rPr>
          <w:sz w:val="20"/>
        </w:rPr>
        <w:t>la prestación del trabajo; y</w:t>
      </w:r>
    </w:p>
    <w:p>
      <w:pPr>
        <w:pStyle w:val="ListParagraph"/>
        <w:numPr>
          <w:ilvl w:val="0"/>
          <w:numId w:val="18"/>
        </w:numPr>
        <w:tabs>
          <w:tab w:pos="1195" w:val="left" w:leader="none"/>
        </w:tabs>
        <w:spacing w:line="240" w:lineRule="auto" w:before="224" w:after="0"/>
        <w:ind w:left="1195" w:right="0" w:hanging="569"/>
        <w:jc w:val="left"/>
        <w:rPr>
          <w:sz w:val="20"/>
        </w:rPr>
      </w:pPr>
      <w:r>
        <w:rPr>
          <w:sz w:val="20"/>
        </w:rPr>
        <w:t>Los</w:t>
      </w:r>
      <w:r>
        <w:rPr>
          <w:spacing w:val="-5"/>
          <w:sz w:val="20"/>
        </w:rPr>
        <w:t> </w:t>
      </w:r>
      <w:r>
        <w:rPr>
          <w:sz w:val="20"/>
        </w:rPr>
        <w:t>casos</w:t>
      </w:r>
      <w:r>
        <w:rPr>
          <w:spacing w:val="-4"/>
          <w:sz w:val="20"/>
        </w:rPr>
        <w:t> </w:t>
      </w:r>
      <w:r>
        <w:rPr>
          <w:sz w:val="20"/>
        </w:rPr>
        <w:t>a</w:t>
      </w:r>
      <w:r>
        <w:rPr>
          <w:spacing w:val="-6"/>
          <w:sz w:val="20"/>
        </w:rPr>
        <w:t> </w:t>
      </w:r>
      <w:r>
        <w:rPr>
          <w:sz w:val="20"/>
        </w:rPr>
        <w:t>que</w:t>
      </w:r>
      <w:r>
        <w:rPr>
          <w:spacing w:val="-6"/>
          <w:sz w:val="20"/>
        </w:rPr>
        <w:t> </w:t>
      </w:r>
      <w:r>
        <w:rPr>
          <w:sz w:val="20"/>
        </w:rPr>
        <w:t>se</w:t>
      </w:r>
      <w:r>
        <w:rPr>
          <w:spacing w:val="-5"/>
          <w:sz w:val="20"/>
        </w:rPr>
        <w:t> </w:t>
      </w:r>
      <w:r>
        <w:rPr>
          <w:sz w:val="20"/>
        </w:rPr>
        <w:t>refiere</w:t>
      </w:r>
      <w:r>
        <w:rPr>
          <w:spacing w:val="-1"/>
          <w:sz w:val="20"/>
        </w:rPr>
        <w:t> </w:t>
      </w:r>
      <w:r>
        <w:rPr>
          <w:sz w:val="20"/>
        </w:rPr>
        <w:t>el</w:t>
      </w:r>
      <w:r>
        <w:rPr>
          <w:spacing w:val="-6"/>
          <w:sz w:val="20"/>
        </w:rPr>
        <w:t> </w:t>
      </w:r>
      <w:r>
        <w:rPr>
          <w:sz w:val="20"/>
        </w:rPr>
        <w:t>artículo</w:t>
      </w:r>
      <w:r>
        <w:rPr>
          <w:spacing w:val="-3"/>
          <w:sz w:val="20"/>
        </w:rPr>
        <w:t> </w:t>
      </w:r>
      <w:r>
        <w:rPr>
          <w:spacing w:val="-4"/>
          <w:sz w:val="20"/>
        </w:rPr>
        <w:t>434.</w:t>
      </w:r>
    </w:p>
    <w:p>
      <w:pPr>
        <w:pStyle w:val="ListParagraph"/>
        <w:spacing w:after="0" w:line="240" w:lineRule="auto"/>
        <w:jc w:val="left"/>
        <w:rPr>
          <w:sz w:val="20"/>
        </w:rPr>
        <w:sectPr>
          <w:pgSz w:w="12240" w:h="15840"/>
          <w:pgMar w:header="724" w:footer="712" w:top="1880" w:bottom="900" w:left="1080" w:right="1080"/>
        </w:sectPr>
      </w:pPr>
    </w:p>
    <w:p>
      <w:pPr>
        <w:pStyle w:val="BodyText"/>
        <w:spacing w:before="63"/>
      </w:pPr>
    </w:p>
    <w:p>
      <w:pPr>
        <w:pStyle w:val="BodyText"/>
        <w:ind w:left="338" w:right="339" w:firstLine="288"/>
        <w:jc w:val="both"/>
      </w:pPr>
      <w:bookmarkStart w:name="Artículo_54" w:id="71"/>
      <w:bookmarkEnd w:id="71"/>
      <w:r>
        <w:rPr/>
      </w:r>
      <w:r>
        <w:rPr>
          <w:rFonts w:ascii="Arial" w:hAnsi="Arial"/>
          <w:b/>
        </w:rPr>
        <w:t>Artículo 54.- </w:t>
      </w:r>
      <w:r>
        <w:rPr/>
        <w:t>En el caso de la fracción IV del artículo anterior, si la incapacidad proviene de un riesgo no profesional, el trabajador tendrá derecho a que se le pague</w:t>
      </w:r>
      <w:r>
        <w:rPr>
          <w:spacing w:val="24"/>
        </w:rPr>
        <w:t> </w:t>
      </w:r>
      <w:r>
        <w:rPr/>
        <w:t>un mes de salario y doce días por cada año de servicios, de conformidad con lo dispuesto en el artículo 162, o de ser posible, si así lo desea, a que</w:t>
      </w:r>
      <w:r>
        <w:rPr>
          <w:spacing w:val="-2"/>
        </w:rPr>
        <w:t> </w:t>
      </w:r>
      <w:r>
        <w:rPr/>
        <w:t>se le proporcione</w:t>
      </w:r>
      <w:r>
        <w:rPr>
          <w:spacing w:val="-2"/>
        </w:rPr>
        <w:t> </w:t>
      </w:r>
      <w:r>
        <w:rPr/>
        <w:t>otro empleo</w:t>
      </w:r>
      <w:r>
        <w:rPr>
          <w:spacing w:val="-3"/>
        </w:rPr>
        <w:t> </w:t>
      </w:r>
      <w:r>
        <w:rPr/>
        <w:t>compatible</w:t>
      </w:r>
      <w:r>
        <w:rPr>
          <w:spacing w:val="-2"/>
        </w:rPr>
        <w:t> </w:t>
      </w:r>
      <w:r>
        <w:rPr/>
        <w:t>con</w:t>
      </w:r>
      <w:r>
        <w:rPr>
          <w:spacing w:val="-3"/>
        </w:rPr>
        <w:t> </w:t>
      </w:r>
      <w:r>
        <w:rPr/>
        <w:t>sus aptitudes,</w:t>
      </w:r>
      <w:r>
        <w:rPr>
          <w:spacing w:val="-2"/>
        </w:rPr>
        <w:t> </w:t>
      </w:r>
      <w:r>
        <w:rPr/>
        <w:t>independientemente de las</w:t>
      </w:r>
      <w:r>
        <w:rPr>
          <w:spacing w:val="-1"/>
        </w:rPr>
        <w:t> </w:t>
      </w:r>
      <w:r>
        <w:rPr/>
        <w:t>prestaciones que le correspondan de conformidad con las leyes.</w:t>
      </w:r>
    </w:p>
    <w:p>
      <w:pPr>
        <w:pStyle w:val="BodyText"/>
      </w:pPr>
    </w:p>
    <w:p>
      <w:pPr>
        <w:pStyle w:val="BodyText"/>
        <w:spacing w:line="242" w:lineRule="auto"/>
        <w:ind w:left="338" w:right="343" w:firstLine="288"/>
        <w:jc w:val="both"/>
      </w:pPr>
      <w:bookmarkStart w:name="Artículo_55" w:id="72"/>
      <w:bookmarkEnd w:id="72"/>
      <w:r>
        <w:rPr/>
      </w:r>
      <w:r>
        <w:rPr>
          <w:rFonts w:ascii="Arial" w:hAnsi="Arial"/>
          <w:b/>
        </w:rPr>
        <w:t>Artículo 55.- </w:t>
      </w:r>
      <w:r>
        <w:rPr/>
        <w:t>Si en el juicio correspondiente no comprueba el patrón las causas de la terminación, tendrá el trabajador los derechos consignados en el artículo 48.</w:t>
      </w:r>
    </w:p>
    <w:p>
      <w:pPr>
        <w:pStyle w:val="Heading1"/>
        <w:spacing w:line="252" w:lineRule="exact" w:before="225"/>
        <w:ind w:left="294"/>
      </w:pPr>
      <w:r>
        <w:rPr/>
        <w:t>TITULO</w:t>
      </w:r>
      <w:r>
        <w:rPr>
          <w:spacing w:val="-4"/>
        </w:rPr>
        <w:t> </w:t>
      </w:r>
      <w:r>
        <w:rPr>
          <w:spacing w:val="-2"/>
        </w:rPr>
        <w:t>TERCERO</w:t>
      </w:r>
    </w:p>
    <w:p>
      <w:pPr>
        <w:spacing w:line="252" w:lineRule="exact" w:before="0"/>
        <w:ind w:left="296" w:right="296" w:firstLine="0"/>
        <w:jc w:val="center"/>
        <w:rPr>
          <w:rFonts w:ascii="Arial"/>
          <w:b/>
          <w:sz w:val="22"/>
        </w:rPr>
      </w:pPr>
      <w:r>
        <w:rPr>
          <w:rFonts w:ascii="Arial"/>
          <w:b/>
          <w:sz w:val="22"/>
        </w:rPr>
        <w:t>Condiciones</w:t>
      </w:r>
      <w:r>
        <w:rPr>
          <w:rFonts w:ascii="Arial"/>
          <w:b/>
          <w:spacing w:val="-5"/>
          <w:sz w:val="22"/>
        </w:rPr>
        <w:t> </w:t>
      </w:r>
      <w:r>
        <w:rPr>
          <w:rFonts w:ascii="Arial"/>
          <w:b/>
          <w:sz w:val="22"/>
        </w:rPr>
        <w:t>de</w:t>
      </w:r>
      <w:r>
        <w:rPr>
          <w:rFonts w:ascii="Arial"/>
          <w:b/>
          <w:spacing w:val="-6"/>
          <w:sz w:val="22"/>
        </w:rPr>
        <w:t> </w:t>
      </w:r>
      <w:r>
        <w:rPr>
          <w:rFonts w:ascii="Arial"/>
          <w:b/>
          <w:spacing w:val="-2"/>
          <w:sz w:val="22"/>
        </w:rPr>
        <w:t>Trabajo</w:t>
      </w:r>
    </w:p>
    <w:p>
      <w:pPr>
        <w:pStyle w:val="BodyText"/>
        <w:spacing w:before="1"/>
        <w:rPr>
          <w:rFonts w:ascii="Arial"/>
          <w:b/>
          <w:sz w:val="22"/>
        </w:rPr>
      </w:pPr>
    </w:p>
    <w:p>
      <w:pPr>
        <w:pStyle w:val="Heading1"/>
        <w:ind w:left="297"/>
      </w:pPr>
      <w:r>
        <w:rPr/>
        <w:t>CAPITULO</w:t>
      </w:r>
      <w:r>
        <w:rPr>
          <w:spacing w:val="-8"/>
        </w:rPr>
        <w:t> </w:t>
      </w:r>
      <w:r>
        <w:rPr>
          <w:spacing w:val="-10"/>
        </w:rPr>
        <w:t>I</w:t>
      </w:r>
    </w:p>
    <w:p>
      <w:pPr>
        <w:pStyle w:val="Heading2"/>
        <w:spacing w:before="1"/>
        <w:ind w:left="296"/>
      </w:pPr>
      <w:r>
        <w:rPr/>
        <w:t>Disposiciones</w:t>
      </w:r>
      <w:r>
        <w:rPr>
          <w:spacing w:val="-12"/>
        </w:rPr>
        <w:t> </w:t>
      </w:r>
      <w:r>
        <w:rPr>
          <w:spacing w:val="-2"/>
        </w:rPr>
        <w:t>generales</w:t>
      </w:r>
    </w:p>
    <w:p>
      <w:pPr>
        <w:pStyle w:val="BodyText"/>
        <w:spacing w:before="232"/>
        <w:ind w:left="338" w:right="337" w:firstLine="288"/>
        <w:jc w:val="both"/>
      </w:pPr>
      <w:bookmarkStart w:name="Artículo_56" w:id="73"/>
      <w:bookmarkEnd w:id="73"/>
      <w:r>
        <w:rPr/>
      </w:r>
      <w:r>
        <w:rPr>
          <w:rFonts w:ascii="Arial" w:hAnsi="Arial"/>
          <w:b/>
        </w:rPr>
        <w:t>Artículo</w:t>
      </w:r>
      <w:r>
        <w:rPr>
          <w:rFonts w:ascii="Arial" w:hAnsi="Arial"/>
          <w:b/>
          <w:spacing w:val="-1"/>
        </w:rPr>
        <w:t> </w:t>
      </w:r>
      <w:r>
        <w:rPr>
          <w:rFonts w:ascii="Arial" w:hAnsi="Arial"/>
          <w:b/>
        </w:rPr>
        <w:t>56.</w:t>
      </w:r>
      <w:r>
        <w:rPr>
          <w:rFonts w:ascii="Arial" w:hAnsi="Arial"/>
          <w:b/>
          <w:spacing w:val="-1"/>
        </w:rPr>
        <w:t> </w:t>
      </w:r>
      <w:r>
        <w:rPr/>
        <w:t>Las</w:t>
      </w:r>
      <w:r>
        <w:rPr>
          <w:spacing w:val="-3"/>
        </w:rPr>
        <w:t> </w:t>
      </w:r>
      <w:r>
        <w:rPr/>
        <w:t>condiciones</w:t>
      </w:r>
      <w:r>
        <w:rPr>
          <w:spacing w:val="-3"/>
        </w:rPr>
        <w:t> </w:t>
      </w:r>
      <w:r>
        <w:rPr/>
        <w:t>de</w:t>
      </w:r>
      <w:r>
        <w:rPr>
          <w:spacing w:val="-2"/>
        </w:rPr>
        <w:t> </w:t>
      </w:r>
      <w:r>
        <w:rPr/>
        <w:t>trabajo</w:t>
      </w:r>
      <w:r>
        <w:rPr>
          <w:spacing w:val="-4"/>
        </w:rPr>
        <w:t> </w:t>
      </w:r>
      <w:r>
        <w:rPr/>
        <w:t>basadas</w:t>
      </w:r>
      <w:r>
        <w:rPr>
          <w:spacing w:val="-1"/>
        </w:rPr>
        <w:t> </w:t>
      </w:r>
      <w:r>
        <w:rPr/>
        <w:t>en</w:t>
      </w:r>
      <w:r>
        <w:rPr>
          <w:spacing w:val="-2"/>
        </w:rPr>
        <w:t> </w:t>
      </w:r>
      <w:r>
        <w:rPr/>
        <w:t>el</w:t>
      </w:r>
      <w:r>
        <w:rPr>
          <w:spacing w:val="-5"/>
        </w:rPr>
        <w:t> </w:t>
      </w:r>
      <w:r>
        <w:rPr/>
        <w:t>principio</w:t>
      </w:r>
      <w:r>
        <w:rPr>
          <w:spacing w:val="-2"/>
        </w:rPr>
        <w:t> </w:t>
      </w:r>
      <w:r>
        <w:rPr/>
        <w:t>de</w:t>
      </w:r>
      <w:r>
        <w:rPr>
          <w:spacing w:val="-2"/>
        </w:rPr>
        <w:t> </w:t>
      </w:r>
      <w:r>
        <w:rPr/>
        <w:t>igualdad</w:t>
      </w:r>
      <w:r>
        <w:rPr>
          <w:spacing w:val="-2"/>
        </w:rPr>
        <w:t> </w:t>
      </w:r>
      <w:r>
        <w:rPr/>
        <w:t>sustantiva</w:t>
      </w:r>
      <w:r>
        <w:rPr>
          <w:spacing w:val="-2"/>
        </w:rPr>
        <w:t> </w:t>
      </w:r>
      <w:r>
        <w:rPr/>
        <w:t>entre</w:t>
      </w:r>
      <w:r>
        <w:rPr>
          <w:spacing w:val="-4"/>
        </w:rPr>
        <w:t> </w:t>
      </w:r>
      <w:r>
        <w:rPr/>
        <w:t>mujeres y hombres en ningún caso podrán ser inferiores a las fijadas en esta Ley y</w:t>
      </w:r>
      <w:r>
        <w:rPr>
          <w:spacing w:val="-1"/>
        </w:rPr>
        <w:t> </w:t>
      </w:r>
      <w:r>
        <w:rPr/>
        <w:t>deberán ser proporcionales a la importancia de los servicios e iguales para trabajos iguales, sin que puedan establecerse diferencias y/o exclusiones por motivo de origen étnico o nacionalidad, sexo, género, edad, discapacidad, condición social, condiciones de salud, religión, opiniones, preferencias sexuales, condiciones de embarazo, responsabilidades familiares o estado civil, salvo las modalidades expresamente consignadas en esta</w:t>
      </w:r>
      <w:r>
        <w:rPr>
          <w:spacing w:val="40"/>
        </w:rPr>
        <w:t> </w:t>
      </w:r>
      <w:r>
        <w:rPr>
          <w:spacing w:val="-4"/>
        </w:rPr>
        <w:t>Ley.</w:t>
      </w:r>
    </w:p>
    <w:p>
      <w:pPr>
        <w:spacing w:line="182"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338" w:right="334" w:firstLine="288"/>
        <w:jc w:val="both"/>
      </w:pPr>
      <w:bookmarkStart w:name="Artículo_56_Bis" w:id="74"/>
      <w:bookmarkEnd w:id="74"/>
      <w:r>
        <w:rPr/>
      </w:r>
      <w:r>
        <w:rPr>
          <w:rFonts w:ascii="Arial" w:hAnsi="Arial"/>
          <w:b/>
        </w:rPr>
        <w:t>Artículo</w:t>
      </w:r>
      <w:r>
        <w:rPr>
          <w:rFonts w:ascii="Arial" w:hAnsi="Arial"/>
          <w:b/>
          <w:spacing w:val="-3"/>
        </w:rPr>
        <w:t> </w:t>
      </w:r>
      <w:r>
        <w:rPr>
          <w:rFonts w:ascii="Arial" w:hAnsi="Arial"/>
          <w:b/>
        </w:rPr>
        <w:t>56</w:t>
      </w:r>
      <w:r>
        <w:rPr>
          <w:rFonts w:ascii="Arial" w:hAnsi="Arial"/>
          <w:b/>
          <w:spacing w:val="-4"/>
        </w:rPr>
        <w:t> </w:t>
      </w:r>
      <w:r>
        <w:rPr>
          <w:rFonts w:ascii="Arial" w:hAnsi="Arial"/>
          <w:b/>
        </w:rPr>
        <w:t>Bis.-</w:t>
      </w:r>
      <w:r>
        <w:rPr>
          <w:rFonts w:ascii="Arial" w:hAnsi="Arial"/>
          <w:b/>
          <w:spacing w:val="-3"/>
        </w:rPr>
        <w:t> </w:t>
      </w:r>
      <w:r>
        <w:rPr/>
        <w:t>Los</w:t>
      </w:r>
      <w:r>
        <w:rPr>
          <w:spacing w:val="-3"/>
        </w:rPr>
        <w:t> </w:t>
      </w:r>
      <w:r>
        <w:rPr/>
        <w:t>trabajadores</w:t>
      </w:r>
      <w:r>
        <w:rPr>
          <w:spacing w:val="-2"/>
        </w:rPr>
        <w:t> </w:t>
      </w:r>
      <w:r>
        <w:rPr/>
        <w:t>podrán</w:t>
      </w:r>
      <w:r>
        <w:rPr>
          <w:spacing w:val="-2"/>
        </w:rPr>
        <w:t> </w:t>
      </w:r>
      <w:r>
        <w:rPr/>
        <w:t>desempeñar</w:t>
      </w:r>
      <w:r>
        <w:rPr>
          <w:spacing w:val="-3"/>
        </w:rPr>
        <w:t> </w:t>
      </w:r>
      <w:r>
        <w:rPr/>
        <w:t>labores</w:t>
      </w:r>
      <w:r>
        <w:rPr>
          <w:spacing w:val="-3"/>
        </w:rPr>
        <w:t> </w:t>
      </w:r>
      <w:r>
        <w:rPr/>
        <w:t>o</w:t>
      </w:r>
      <w:r>
        <w:rPr>
          <w:spacing w:val="-5"/>
        </w:rPr>
        <w:t> </w:t>
      </w:r>
      <w:r>
        <w:rPr/>
        <w:t>tareas</w:t>
      </w:r>
      <w:r>
        <w:rPr>
          <w:spacing w:val="-3"/>
        </w:rPr>
        <w:t> </w:t>
      </w:r>
      <w:r>
        <w:rPr/>
        <w:t>conexas</w:t>
      </w:r>
      <w:r>
        <w:rPr>
          <w:spacing w:val="-1"/>
        </w:rPr>
        <w:t> </w:t>
      </w:r>
      <w:r>
        <w:rPr/>
        <w:t>o</w:t>
      </w:r>
      <w:r>
        <w:rPr>
          <w:spacing w:val="-4"/>
        </w:rPr>
        <w:t> </w:t>
      </w:r>
      <w:r>
        <w:rPr/>
        <w:t>complementarias</w:t>
      </w:r>
      <w:r>
        <w:rPr>
          <w:spacing w:val="-3"/>
        </w:rPr>
        <w:t> </w:t>
      </w:r>
      <w:r>
        <w:rPr/>
        <w:t>a su labor principal, por lo cual podrán recibir la compensación salarial correspondiente.</w:t>
      </w:r>
    </w:p>
    <w:p>
      <w:pPr>
        <w:pStyle w:val="BodyText"/>
        <w:spacing w:before="227"/>
        <w:ind w:left="338" w:right="338" w:firstLine="288"/>
        <w:jc w:val="both"/>
      </w:pPr>
      <w:r>
        <w:rPr/>
        <w:t>Para los efectos del párrafo anterior, se entenderán como labores o tareas conexas o complementarias, aquellas relacionadas permanente y directamente con las que estén pactadas en los contratos individuales y colectivos de trabajo o, en su caso, las que habitualmente realice el trabajador.</w:t>
      </w:r>
    </w:p>
    <w:p>
      <w:pPr>
        <w:spacing w:line="183"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338" w:right="336" w:firstLine="288"/>
        <w:jc w:val="both"/>
      </w:pPr>
      <w:bookmarkStart w:name="Artículo_57" w:id="75"/>
      <w:bookmarkEnd w:id="75"/>
      <w:r>
        <w:rPr/>
      </w:r>
      <w:r>
        <w:rPr>
          <w:rFonts w:ascii="Arial" w:hAnsi="Arial"/>
          <w:b/>
        </w:rPr>
        <w:t>Artículo 57.- </w:t>
      </w:r>
      <w:r>
        <w:rPr/>
        <w:t>El trabajador podrá solicitar al Tribunal la modificación de las condiciones de trabajo, cuando el salario no sea remunerador o sea excesiva la jornada de trabajo o concurran circunstancias económicas que la justifiquen.</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firstLine="288"/>
      </w:pPr>
      <w:r>
        <w:rPr/>
        <w:t>El</w:t>
      </w:r>
      <w:r>
        <w:rPr>
          <w:spacing w:val="80"/>
        </w:rPr>
        <w:t> </w:t>
      </w:r>
      <w:r>
        <w:rPr/>
        <w:t>patrón</w:t>
      </w:r>
      <w:r>
        <w:rPr>
          <w:spacing w:val="80"/>
        </w:rPr>
        <w:t> </w:t>
      </w:r>
      <w:r>
        <w:rPr/>
        <w:t>podrá</w:t>
      </w:r>
      <w:r>
        <w:rPr>
          <w:spacing w:val="79"/>
        </w:rPr>
        <w:t> </w:t>
      </w:r>
      <w:r>
        <w:rPr/>
        <w:t>solicitar</w:t>
      </w:r>
      <w:r>
        <w:rPr>
          <w:spacing w:val="80"/>
        </w:rPr>
        <w:t> </w:t>
      </w:r>
      <w:r>
        <w:rPr/>
        <w:t>la</w:t>
      </w:r>
      <w:r>
        <w:rPr>
          <w:spacing w:val="80"/>
        </w:rPr>
        <w:t> </w:t>
      </w:r>
      <w:r>
        <w:rPr/>
        <w:t>modificación</w:t>
      </w:r>
      <w:r>
        <w:rPr>
          <w:spacing w:val="80"/>
        </w:rPr>
        <w:t> </w:t>
      </w:r>
      <w:r>
        <w:rPr/>
        <w:t>cuando</w:t>
      </w:r>
      <w:r>
        <w:rPr>
          <w:spacing w:val="80"/>
        </w:rPr>
        <w:t> </w:t>
      </w:r>
      <w:r>
        <w:rPr/>
        <w:t>concurran</w:t>
      </w:r>
      <w:r>
        <w:rPr>
          <w:spacing w:val="80"/>
        </w:rPr>
        <w:t> </w:t>
      </w:r>
      <w:r>
        <w:rPr/>
        <w:t>circunstancias</w:t>
      </w:r>
      <w:r>
        <w:rPr>
          <w:spacing w:val="80"/>
        </w:rPr>
        <w:t> </w:t>
      </w:r>
      <w:r>
        <w:rPr/>
        <w:t>económicas</w:t>
      </w:r>
      <w:r>
        <w:rPr>
          <w:spacing w:val="80"/>
        </w:rPr>
        <w:t> </w:t>
      </w:r>
      <w:r>
        <w:rPr/>
        <w:t>que</w:t>
      </w:r>
      <w:r>
        <w:rPr>
          <w:spacing w:val="80"/>
        </w:rPr>
        <w:t> </w:t>
      </w:r>
      <w:r>
        <w:rPr/>
        <w:t>la </w:t>
      </w:r>
      <w:r>
        <w:rPr>
          <w:spacing w:val="-2"/>
        </w:rPr>
        <w:t>justifiquen.</w:t>
      </w:r>
    </w:p>
    <w:p>
      <w:pPr>
        <w:pStyle w:val="Heading1"/>
        <w:spacing w:line="252" w:lineRule="exact" w:before="227"/>
      </w:pPr>
      <w:r>
        <w:rPr/>
        <w:t>CAPITULO</w:t>
      </w:r>
      <w:r>
        <w:rPr>
          <w:spacing w:val="-9"/>
        </w:rPr>
        <w:t> </w:t>
      </w:r>
      <w:r>
        <w:rPr>
          <w:spacing w:val="-7"/>
        </w:rPr>
        <w:t>II</w:t>
      </w:r>
    </w:p>
    <w:p>
      <w:pPr>
        <w:pStyle w:val="Heading2"/>
        <w:spacing w:line="252" w:lineRule="exact"/>
        <w:ind w:left="300"/>
      </w:pPr>
      <w:r>
        <w:rPr/>
        <w:t>Jornada</w:t>
      </w:r>
      <w:r>
        <w:rPr>
          <w:spacing w:val="-2"/>
        </w:rPr>
        <w:t> </w:t>
      </w:r>
      <w:r>
        <w:rPr/>
        <w:t>de</w:t>
      </w:r>
      <w:r>
        <w:rPr>
          <w:spacing w:val="-3"/>
        </w:rPr>
        <w:t> </w:t>
      </w:r>
      <w:r>
        <w:rPr>
          <w:spacing w:val="-2"/>
        </w:rPr>
        <w:t>trabajo</w:t>
      </w:r>
    </w:p>
    <w:p>
      <w:pPr>
        <w:pStyle w:val="BodyText"/>
        <w:spacing w:before="234"/>
        <w:ind w:left="338" w:firstLine="288"/>
      </w:pPr>
      <w:bookmarkStart w:name="Artículo_58" w:id="76"/>
      <w:bookmarkEnd w:id="76"/>
      <w:r>
        <w:rPr/>
      </w:r>
      <w:r>
        <w:rPr>
          <w:rFonts w:ascii="Arial" w:hAnsi="Arial"/>
          <w:b/>
        </w:rPr>
        <w:t>Artículo</w:t>
      </w:r>
      <w:r>
        <w:rPr>
          <w:rFonts w:ascii="Arial" w:hAnsi="Arial"/>
          <w:b/>
          <w:spacing w:val="35"/>
        </w:rPr>
        <w:t> </w:t>
      </w:r>
      <w:r>
        <w:rPr>
          <w:rFonts w:ascii="Arial" w:hAnsi="Arial"/>
          <w:b/>
        </w:rPr>
        <w:t>58.-</w:t>
      </w:r>
      <w:r>
        <w:rPr>
          <w:rFonts w:ascii="Arial" w:hAnsi="Arial"/>
          <w:b/>
          <w:spacing w:val="36"/>
        </w:rPr>
        <w:t> </w:t>
      </w:r>
      <w:r>
        <w:rPr/>
        <w:t>Jornada</w:t>
      </w:r>
      <w:r>
        <w:rPr>
          <w:spacing w:val="34"/>
        </w:rPr>
        <w:t> </w:t>
      </w:r>
      <w:r>
        <w:rPr/>
        <w:t>de</w:t>
      </w:r>
      <w:r>
        <w:rPr>
          <w:spacing w:val="34"/>
        </w:rPr>
        <w:t> </w:t>
      </w:r>
      <w:r>
        <w:rPr/>
        <w:t>trabajo</w:t>
      </w:r>
      <w:r>
        <w:rPr>
          <w:spacing w:val="34"/>
        </w:rPr>
        <w:t> </w:t>
      </w:r>
      <w:r>
        <w:rPr/>
        <w:t>es</w:t>
      </w:r>
      <w:r>
        <w:rPr>
          <w:spacing w:val="35"/>
        </w:rPr>
        <w:t> </w:t>
      </w:r>
      <w:r>
        <w:rPr/>
        <w:t>el</w:t>
      </w:r>
      <w:r>
        <w:rPr>
          <w:spacing w:val="33"/>
        </w:rPr>
        <w:t> </w:t>
      </w:r>
      <w:r>
        <w:rPr/>
        <w:t>tiempo</w:t>
      </w:r>
      <w:r>
        <w:rPr>
          <w:spacing w:val="34"/>
        </w:rPr>
        <w:t> </w:t>
      </w:r>
      <w:r>
        <w:rPr/>
        <w:t>durante</w:t>
      </w:r>
      <w:r>
        <w:rPr>
          <w:spacing w:val="34"/>
        </w:rPr>
        <w:t> </w:t>
      </w:r>
      <w:r>
        <w:rPr/>
        <w:t>el</w:t>
      </w:r>
      <w:r>
        <w:rPr>
          <w:spacing w:val="33"/>
        </w:rPr>
        <w:t> </w:t>
      </w:r>
      <w:r>
        <w:rPr/>
        <w:t>cual</w:t>
      </w:r>
      <w:r>
        <w:rPr>
          <w:spacing w:val="33"/>
        </w:rPr>
        <w:t> </w:t>
      </w:r>
      <w:r>
        <w:rPr/>
        <w:t>el</w:t>
      </w:r>
      <w:r>
        <w:rPr>
          <w:spacing w:val="34"/>
        </w:rPr>
        <w:t> </w:t>
      </w:r>
      <w:r>
        <w:rPr/>
        <w:t>trabajador</w:t>
      </w:r>
      <w:r>
        <w:rPr>
          <w:spacing w:val="35"/>
        </w:rPr>
        <w:t> </w:t>
      </w:r>
      <w:r>
        <w:rPr/>
        <w:t>está</w:t>
      </w:r>
      <w:r>
        <w:rPr>
          <w:spacing w:val="34"/>
        </w:rPr>
        <w:t> </w:t>
      </w:r>
      <w:r>
        <w:rPr/>
        <w:t>a</w:t>
      </w:r>
      <w:r>
        <w:rPr>
          <w:spacing w:val="34"/>
        </w:rPr>
        <w:t> </w:t>
      </w:r>
      <w:r>
        <w:rPr/>
        <w:t>disposición</w:t>
      </w:r>
      <w:r>
        <w:rPr>
          <w:spacing w:val="34"/>
        </w:rPr>
        <w:t> </w:t>
      </w:r>
      <w:r>
        <w:rPr/>
        <w:t>del patrón para prestar su trabajo.</w:t>
      </w:r>
    </w:p>
    <w:p>
      <w:pPr>
        <w:pStyle w:val="BodyText"/>
        <w:spacing w:line="242" w:lineRule="auto" w:before="229"/>
        <w:ind w:left="338" w:firstLine="288"/>
      </w:pPr>
      <w:bookmarkStart w:name="Artículo_59" w:id="77"/>
      <w:bookmarkEnd w:id="77"/>
      <w:r>
        <w:rPr/>
      </w:r>
      <w:r>
        <w:rPr>
          <w:rFonts w:ascii="Arial" w:hAnsi="Arial"/>
          <w:b/>
        </w:rPr>
        <w:t>Artículo</w:t>
      </w:r>
      <w:r>
        <w:rPr>
          <w:rFonts w:ascii="Arial" w:hAnsi="Arial"/>
          <w:b/>
          <w:spacing w:val="35"/>
        </w:rPr>
        <w:t> </w:t>
      </w:r>
      <w:r>
        <w:rPr>
          <w:rFonts w:ascii="Arial" w:hAnsi="Arial"/>
          <w:b/>
        </w:rPr>
        <w:t>59.-</w:t>
      </w:r>
      <w:r>
        <w:rPr>
          <w:rFonts w:ascii="Arial" w:hAnsi="Arial"/>
          <w:b/>
          <w:spacing w:val="36"/>
        </w:rPr>
        <w:t> </w:t>
      </w:r>
      <w:r>
        <w:rPr/>
        <w:t>El</w:t>
      </w:r>
      <w:r>
        <w:rPr>
          <w:spacing w:val="34"/>
        </w:rPr>
        <w:t> </w:t>
      </w:r>
      <w:r>
        <w:rPr/>
        <w:t>trabajador</w:t>
      </w:r>
      <w:r>
        <w:rPr>
          <w:spacing w:val="38"/>
        </w:rPr>
        <w:t> </w:t>
      </w:r>
      <w:r>
        <w:rPr/>
        <w:t>y</w:t>
      </w:r>
      <w:r>
        <w:rPr>
          <w:spacing w:val="31"/>
        </w:rPr>
        <w:t> </w:t>
      </w:r>
      <w:r>
        <w:rPr/>
        <w:t>el</w:t>
      </w:r>
      <w:r>
        <w:rPr>
          <w:spacing w:val="33"/>
        </w:rPr>
        <w:t> </w:t>
      </w:r>
      <w:r>
        <w:rPr/>
        <w:t>patrón</w:t>
      </w:r>
      <w:r>
        <w:rPr>
          <w:spacing w:val="32"/>
        </w:rPr>
        <w:t> </w:t>
      </w:r>
      <w:r>
        <w:rPr/>
        <w:t>fijarán</w:t>
      </w:r>
      <w:r>
        <w:rPr>
          <w:spacing w:val="34"/>
        </w:rPr>
        <w:t> </w:t>
      </w:r>
      <w:r>
        <w:rPr/>
        <w:t>la</w:t>
      </w:r>
      <w:r>
        <w:rPr>
          <w:spacing w:val="32"/>
        </w:rPr>
        <w:t> </w:t>
      </w:r>
      <w:r>
        <w:rPr/>
        <w:t>duración</w:t>
      </w:r>
      <w:r>
        <w:rPr>
          <w:spacing w:val="34"/>
        </w:rPr>
        <w:t> </w:t>
      </w:r>
      <w:r>
        <w:rPr/>
        <w:t>de</w:t>
      </w:r>
      <w:r>
        <w:rPr>
          <w:spacing w:val="34"/>
        </w:rPr>
        <w:t> </w:t>
      </w:r>
      <w:r>
        <w:rPr/>
        <w:t>la</w:t>
      </w:r>
      <w:r>
        <w:rPr>
          <w:spacing w:val="32"/>
        </w:rPr>
        <w:t> </w:t>
      </w:r>
      <w:r>
        <w:rPr/>
        <w:t>jornada</w:t>
      </w:r>
      <w:r>
        <w:rPr>
          <w:spacing w:val="34"/>
        </w:rPr>
        <w:t> </w:t>
      </w:r>
      <w:r>
        <w:rPr/>
        <w:t>de</w:t>
      </w:r>
      <w:r>
        <w:rPr>
          <w:spacing w:val="34"/>
        </w:rPr>
        <w:t> </w:t>
      </w:r>
      <w:r>
        <w:rPr/>
        <w:t>trabajo,</w:t>
      </w:r>
      <w:r>
        <w:rPr>
          <w:spacing w:val="32"/>
        </w:rPr>
        <w:t> </w:t>
      </w:r>
      <w:r>
        <w:rPr/>
        <w:t>sin</w:t>
      </w:r>
      <w:r>
        <w:rPr>
          <w:spacing w:val="32"/>
        </w:rPr>
        <w:t> </w:t>
      </w:r>
      <w:r>
        <w:rPr/>
        <w:t>que</w:t>
      </w:r>
      <w:r>
        <w:rPr>
          <w:spacing w:val="34"/>
        </w:rPr>
        <w:t> </w:t>
      </w:r>
      <w:r>
        <w:rPr/>
        <w:t>pueda exceder los máximos legales.</w:t>
      </w:r>
    </w:p>
    <w:p>
      <w:pPr>
        <w:pStyle w:val="BodyText"/>
        <w:spacing w:before="227"/>
        <w:ind w:left="338" w:firstLine="288"/>
      </w:pPr>
      <w:r>
        <w:rPr/>
        <w:t>Los</w:t>
      </w:r>
      <w:r>
        <w:rPr>
          <w:spacing w:val="21"/>
        </w:rPr>
        <w:t> </w:t>
      </w:r>
      <w:r>
        <w:rPr/>
        <w:t>trabajadores</w:t>
      </w:r>
      <w:r>
        <w:rPr>
          <w:spacing w:val="25"/>
        </w:rPr>
        <w:t> </w:t>
      </w:r>
      <w:r>
        <w:rPr/>
        <w:t>y</w:t>
      </w:r>
      <w:r>
        <w:rPr>
          <w:spacing w:val="19"/>
        </w:rPr>
        <w:t> </w:t>
      </w:r>
      <w:r>
        <w:rPr/>
        <w:t>el</w:t>
      </w:r>
      <w:r>
        <w:rPr>
          <w:spacing w:val="21"/>
        </w:rPr>
        <w:t> </w:t>
      </w:r>
      <w:r>
        <w:rPr/>
        <w:t>patrón</w:t>
      </w:r>
      <w:r>
        <w:rPr>
          <w:spacing w:val="19"/>
        </w:rPr>
        <w:t> </w:t>
      </w:r>
      <w:r>
        <w:rPr/>
        <w:t>podrán</w:t>
      </w:r>
      <w:r>
        <w:rPr>
          <w:spacing w:val="20"/>
        </w:rPr>
        <w:t> </w:t>
      </w:r>
      <w:r>
        <w:rPr/>
        <w:t>repartir</w:t>
      </w:r>
      <w:r>
        <w:rPr>
          <w:spacing w:val="23"/>
        </w:rPr>
        <w:t> </w:t>
      </w:r>
      <w:r>
        <w:rPr/>
        <w:t>las</w:t>
      </w:r>
      <w:r>
        <w:rPr>
          <w:spacing w:val="23"/>
        </w:rPr>
        <w:t> </w:t>
      </w:r>
      <w:r>
        <w:rPr/>
        <w:t>horas</w:t>
      </w:r>
      <w:r>
        <w:rPr>
          <w:spacing w:val="21"/>
        </w:rPr>
        <w:t> </w:t>
      </w:r>
      <w:r>
        <w:rPr/>
        <w:t>de</w:t>
      </w:r>
      <w:r>
        <w:rPr>
          <w:spacing w:val="19"/>
        </w:rPr>
        <w:t> </w:t>
      </w:r>
      <w:r>
        <w:rPr/>
        <w:t>trabajo,</w:t>
      </w:r>
      <w:r>
        <w:rPr>
          <w:spacing w:val="22"/>
        </w:rPr>
        <w:t> </w:t>
      </w:r>
      <w:r>
        <w:rPr/>
        <w:t>a</w:t>
      </w:r>
      <w:r>
        <w:rPr>
          <w:spacing w:val="20"/>
        </w:rPr>
        <w:t> </w:t>
      </w:r>
      <w:r>
        <w:rPr/>
        <w:t>fin</w:t>
      </w:r>
      <w:r>
        <w:rPr>
          <w:spacing w:val="22"/>
        </w:rPr>
        <w:t> </w:t>
      </w:r>
      <w:r>
        <w:rPr/>
        <w:t>de</w:t>
      </w:r>
      <w:r>
        <w:rPr>
          <w:spacing w:val="20"/>
        </w:rPr>
        <w:t> </w:t>
      </w:r>
      <w:r>
        <w:rPr/>
        <w:t>permitir</w:t>
      </w:r>
      <w:r>
        <w:rPr>
          <w:spacing w:val="21"/>
        </w:rPr>
        <w:t> </w:t>
      </w:r>
      <w:r>
        <w:rPr/>
        <w:t>a</w:t>
      </w:r>
      <w:r>
        <w:rPr>
          <w:spacing w:val="20"/>
        </w:rPr>
        <w:t> </w:t>
      </w:r>
      <w:r>
        <w:rPr/>
        <w:t>los</w:t>
      </w:r>
      <w:r>
        <w:rPr>
          <w:spacing w:val="23"/>
        </w:rPr>
        <w:t> </w:t>
      </w:r>
      <w:r>
        <w:rPr/>
        <w:t>primeros</w:t>
      </w:r>
      <w:r>
        <w:rPr>
          <w:spacing w:val="21"/>
        </w:rPr>
        <w:t> </w:t>
      </w:r>
      <w:r>
        <w:rPr/>
        <w:t>el reposo del sábado en la tarde o cualquier modalidad equivalente.</w:t>
      </w:r>
    </w:p>
    <w:p>
      <w:pPr>
        <w:pStyle w:val="BodyText"/>
        <w:spacing w:before="229"/>
        <w:ind w:left="626"/>
      </w:pPr>
      <w:bookmarkStart w:name="Artículo_60" w:id="78"/>
      <w:bookmarkEnd w:id="78"/>
      <w:r>
        <w:rPr/>
      </w:r>
      <w:r>
        <w:rPr>
          <w:rFonts w:ascii="Arial" w:hAnsi="Arial"/>
          <w:b/>
        </w:rPr>
        <w:t>Artículo</w:t>
      </w:r>
      <w:r>
        <w:rPr>
          <w:rFonts w:ascii="Arial" w:hAnsi="Arial"/>
          <w:b/>
          <w:spacing w:val="-6"/>
        </w:rPr>
        <w:t> </w:t>
      </w:r>
      <w:r>
        <w:rPr>
          <w:rFonts w:ascii="Arial" w:hAnsi="Arial"/>
          <w:b/>
        </w:rPr>
        <w:t>60.-</w:t>
      </w:r>
      <w:r>
        <w:rPr>
          <w:rFonts w:ascii="Arial" w:hAnsi="Arial"/>
          <w:b/>
          <w:spacing w:val="-6"/>
        </w:rPr>
        <w:t> </w:t>
      </w:r>
      <w:r>
        <w:rPr/>
        <w:t>Jornada</w:t>
      </w:r>
      <w:r>
        <w:rPr>
          <w:spacing w:val="-8"/>
        </w:rPr>
        <w:t> </w:t>
      </w:r>
      <w:r>
        <w:rPr/>
        <w:t>diurna</w:t>
      </w:r>
      <w:r>
        <w:rPr>
          <w:spacing w:val="-7"/>
        </w:rPr>
        <w:t> </w:t>
      </w:r>
      <w:r>
        <w:rPr/>
        <w:t>es</w:t>
      </w:r>
      <w:r>
        <w:rPr>
          <w:spacing w:val="-6"/>
        </w:rPr>
        <w:t> </w:t>
      </w:r>
      <w:r>
        <w:rPr/>
        <w:t>la</w:t>
      </w:r>
      <w:r>
        <w:rPr>
          <w:spacing w:val="-7"/>
        </w:rPr>
        <w:t> </w:t>
      </w:r>
      <w:r>
        <w:rPr/>
        <w:t>comprendida</w:t>
      </w:r>
      <w:r>
        <w:rPr>
          <w:spacing w:val="-6"/>
        </w:rPr>
        <w:t> </w:t>
      </w:r>
      <w:r>
        <w:rPr/>
        <w:t>entre</w:t>
      </w:r>
      <w:r>
        <w:rPr>
          <w:spacing w:val="-7"/>
        </w:rPr>
        <w:t> </w:t>
      </w:r>
      <w:r>
        <w:rPr/>
        <w:t>las</w:t>
      </w:r>
      <w:r>
        <w:rPr>
          <w:spacing w:val="-6"/>
        </w:rPr>
        <w:t> </w:t>
      </w:r>
      <w:r>
        <w:rPr/>
        <w:t>seis</w:t>
      </w:r>
      <w:r>
        <w:rPr>
          <w:spacing w:val="-4"/>
        </w:rPr>
        <w:t> </w:t>
      </w:r>
      <w:r>
        <w:rPr/>
        <w:t>y</w:t>
      </w:r>
      <w:r>
        <w:rPr>
          <w:spacing w:val="-8"/>
        </w:rPr>
        <w:t> </w:t>
      </w:r>
      <w:r>
        <w:rPr/>
        <w:t>las</w:t>
      </w:r>
      <w:r>
        <w:rPr>
          <w:spacing w:val="-4"/>
        </w:rPr>
        <w:t> </w:t>
      </w:r>
      <w:r>
        <w:rPr/>
        <w:t>veinte</w:t>
      </w:r>
      <w:r>
        <w:rPr>
          <w:spacing w:val="-5"/>
        </w:rPr>
        <w:t> </w:t>
      </w:r>
      <w:r>
        <w:rPr>
          <w:spacing w:val="-2"/>
        </w:rPr>
        <w:t>horas.</w:t>
      </w:r>
    </w:p>
    <w:p>
      <w:pPr>
        <w:pStyle w:val="BodyText"/>
        <w:spacing w:after="0"/>
        <w:sectPr>
          <w:pgSz w:w="12240" w:h="15840"/>
          <w:pgMar w:header="724" w:footer="712" w:top="1880" w:bottom="900" w:left="1080" w:right="1080"/>
        </w:sectPr>
      </w:pPr>
    </w:p>
    <w:p>
      <w:pPr>
        <w:pStyle w:val="BodyText"/>
      </w:pPr>
    </w:p>
    <w:p>
      <w:pPr>
        <w:pStyle w:val="BodyText"/>
        <w:spacing w:before="66"/>
      </w:pPr>
    </w:p>
    <w:p>
      <w:pPr>
        <w:pStyle w:val="BodyText"/>
        <w:ind w:left="626"/>
      </w:pPr>
      <w:r>
        <w:rPr/>
        <w:t>Jornada</w:t>
      </w:r>
      <w:r>
        <w:rPr>
          <w:spacing w:val="-7"/>
        </w:rPr>
        <w:t> </w:t>
      </w:r>
      <w:r>
        <w:rPr/>
        <w:t>nocturna</w:t>
      </w:r>
      <w:r>
        <w:rPr>
          <w:spacing w:val="-7"/>
        </w:rPr>
        <w:t> </w:t>
      </w:r>
      <w:r>
        <w:rPr/>
        <w:t>es</w:t>
      </w:r>
      <w:r>
        <w:rPr>
          <w:spacing w:val="-6"/>
        </w:rPr>
        <w:t> </w:t>
      </w:r>
      <w:r>
        <w:rPr/>
        <w:t>la</w:t>
      </w:r>
      <w:r>
        <w:rPr>
          <w:spacing w:val="-7"/>
        </w:rPr>
        <w:t> </w:t>
      </w:r>
      <w:r>
        <w:rPr/>
        <w:t>comprendida</w:t>
      </w:r>
      <w:r>
        <w:rPr>
          <w:spacing w:val="-9"/>
        </w:rPr>
        <w:t> </w:t>
      </w:r>
      <w:r>
        <w:rPr/>
        <w:t>entre</w:t>
      </w:r>
      <w:r>
        <w:rPr>
          <w:spacing w:val="-5"/>
        </w:rPr>
        <w:t> </w:t>
      </w:r>
      <w:r>
        <w:rPr/>
        <w:t>las</w:t>
      </w:r>
      <w:r>
        <w:rPr>
          <w:spacing w:val="-6"/>
        </w:rPr>
        <w:t> </w:t>
      </w:r>
      <w:r>
        <w:rPr/>
        <w:t>veinte</w:t>
      </w:r>
      <w:r>
        <w:rPr>
          <w:spacing w:val="-7"/>
        </w:rPr>
        <w:t> </w:t>
      </w:r>
      <w:r>
        <w:rPr/>
        <w:t>y</w:t>
      </w:r>
      <w:r>
        <w:rPr>
          <w:spacing w:val="-8"/>
        </w:rPr>
        <w:t> </w:t>
      </w:r>
      <w:r>
        <w:rPr/>
        <w:t>las</w:t>
      </w:r>
      <w:r>
        <w:rPr>
          <w:spacing w:val="-6"/>
        </w:rPr>
        <w:t> </w:t>
      </w:r>
      <w:r>
        <w:rPr/>
        <w:t>seis</w:t>
      </w:r>
      <w:r>
        <w:rPr>
          <w:spacing w:val="-6"/>
        </w:rPr>
        <w:t> </w:t>
      </w:r>
      <w:r>
        <w:rPr>
          <w:spacing w:val="-2"/>
        </w:rPr>
        <w:t>horas.</w:t>
      </w:r>
    </w:p>
    <w:p>
      <w:pPr>
        <w:pStyle w:val="BodyText"/>
      </w:pPr>
    </w:p>
    <w:p>
      <w:pPr>
        <w:pStyle w:val="BodyText"/>
        <w:spacing w:before="1"/>
        <w:ind w:left="338" w:right="340" w:firstLine="288"/>
        <w:jc w:val="both"/>
      </w:pPr>
      <w:r>
        <w:rPr/>
        <w:t>Jornada mixta es la que comprende períodos de tiempo de las jornadas diurna y nocturna, siempre que el período nocturno sea menor de tres horas y media, pues si comprende tres y media o más, se reputará jornada nocturna.</w:t>
      </w:r>
    </w:p>
    <w:p>
      <w:pPr>
        <w:pStyle w:val="BodyText"/>
        <w:spacing w:line="242" w:lineRule="auto" w:before="226"/>
        <w:ind w:left="338" w:right="345" w:firstLine="288"/>
        <w:jc w:val="both"/>
      </w:pPr>
      <w:bookmarkStart w:name="Artículo_61" w:id="79"/>
      <w:bookmarkEnd w:id="79"/>
      <w:r>
        <w:rPr/>
      </w:r>
      <w:r>
        <w:rPr>
          <w:rFonts w:ascii="Arial" w:hAnsi="Arial"/>
          <w:b/>
        </w:rPr>
        <w:t>Artículo 61.- </w:t>
      </w:r>
      <w:r>
        <w:rPr/>
        <w:t>La duración máxima de la jornada será: ocho horas la diurna, siete la nocturna y siete horas y media la mixta.</w:t>
      </w:r>
    </w:p>
    <w:p>
      <w:pPr>
        <w:pStyle w:val="BodyText"/>
        <w:spacing w:before="227"/>
        <w:ind w:left="626"/>
      </w:pPr>
      <w:bookmarkStart w:name="Artículo_62" w:id="80"/>
      <w:bookmarkEnd w:id="80"/>
      <w:r>
        <w:rPr/>
      </w:r>
      <w:r>
        <w:rPr>
          <w:rFonts w:ascii="Arial" w:hAnsi="Arial"/>
          <w:b/>
        </w:rPr>
        <w:t>Artículo</w:t>
      </w:r>
      <w:r>
        <w:rPr>
          <w:rFonts w:ascii="Arial" w:hAnsi="Arial"/>
          <w:b/>
          <w:spacing w:val="-6"/>
        </w:rPr>
        <w:t> </w:t>
      </w:r>
      <w:r>
        <w:rPr>
          <w:rFonts w:ascii="Arial" w:hAnsi="Arial"/>
          <w:b/>
        </w:rPr>
        <w:t>62.-</w:t>
      </w:r>
      <w:r>
        <w:rPr>
          <w:rFonts w:ascii="Arial" w:hAnsi="Arial"/>
          <w:b/>
          <w:spacing w:val="-6"/>
        </w:rPr>
        <w:t> </w:t>
      </w:r>
      <w:r>
        <w:rPr/>
        <w:t>Para</w:t>
      </w:r>
      <w:r>
        <w:rPr>
          <w:spacing w:val="-7"/>
        </w:rPr>
        <w:t> </w:t>
      </w:r>
      <w:r>
        <w:rPr/>
        <w:t>fijar</w:t>
      </w:r>
      <w:r>
        <w:rPr>
          <w:spacing w:val="-5"/>
        </w:rPr>
        <w:t> </w:t>
      </w:r>
      <w:r>
        <w:rPr/>
        <w:t>la</w:t>
      </w:r>
      <w:r>
        <w:rPr>
          <w:spacing w:val="-7"/>
        </w:rPr>
        <w:t> </w:t>
      </w:r>
      <w:r>
        <w:rPr/>
        <w:t>jornada</w:t>
      </w:r>
      <w:r>
        <w:rPr>
          <w:spacing w:val="-6"/>
        </w:rPr>
        <w:t> </w:t>
      </w:r>
      <w:r>
        <w:rPr/>
        <w:t>de</w:t>
      </w:r>
      <w:r>
        <w:rPr>
          <w:spacing w:val="-7"/>
        </w:rPr>
        <w:t> </w:t>
      </w:r>
      <w:r>
        <w:rPr/>
        <w:t>trabajo</w:t>
      </w:r>
      <w:r>
        <w:rPr>
          <w:spacing w:val="-7"/>
        </w:rPr>
        <w:t> </w:t>
      </w:r>
      <w:r>
        <w:rPr/>
        <w:t>se</w:t>
      </w:r>
      <w:r>
        <w:rPr>
          <w:spacing w:val="-5"/>
        </w:rPr>
        <w:t> </w:t>
      </w:r>
      <w:r>
        <w:rPr/>
        <w:t>observará</w:t>
      </w:r>
      <w:r>
        <w:rPr>
          <w:spacing w:val="-7"/>
        </w:rPr>
        <w:t> </w:t>
      </w:r>
      <w:r>
        <w:rPr/>
        <w:t>lo</w:t>
      </w:r>
      <w:r>
        <w:rPr>
          <w:spacing w:val="-5"/>
        </w:rPr>
        <w:t> </w:t>
      </w:r>
      <w:r>
        <w:rPr/>
        <w:t>dispuesto</w:t>
      </w:r>
      <w:r>
        <w:rPr>
          <w:spacing w:val="-4"/>
        </w:rPr>
        <w:t> </w:t>
      </w:r>
      <w:r>
        <w:rPr/>
        <w:t>en</w:t>
      </w:r>
      <w:r>
        <w:rPr>
          <w:spacing w:val="-6"/>
        </w:rPr>
        <w:t> </w:t>
      </w:r>
      <w:r>
        <w:rPr/>
        <w:t>el</w:t>
      </w:r>
      <w:r>
        <w:rPr>
          <w:spacing w:val="-6"/>
        </w:rPr>
        <w:t> </w:t>
      </w:r>
      <w:r>
        <w:rPr/>
        <w:t>artículo</w:t>
      </w:r>
      <w:r>
        <w:rPr>
          <w:spacing w:val="-5"/>
        </w:rPr>
        <w:t> </w:t>
      </w:r>
      <w:r>
        <w:rPr/>
        <w:t>5o.,</w:t>
      </w:r>
      <w:r>
        <w:rPr>
          <w:spacing w:val="-5"/>
        </w:rPr>
        <w:t> </w:t>
      </w:r>
      <w:r>
        <w:rPr/>
        <w:t>fracción</w:t>
      </w:r>
      <w:r>
        <w:rPr>
          <w:spacing w:val="-7"/>
        </w:rPr>
        <w:t> </w:t>
      </w:r>
      <w:r>
        <w:rPr>
          <w:spacing w:val="-4"/>
        </w:rPr>
        <w:t>III.</w:t>
      </w:r>
    </w:p>
    <w:p>
      <w:pPr>
        <w:pStyle w:val="BodyText"/>
        <w:spacing w:line="242" w:lineRule="auto" w:before="229"/>
        <w:ind w:left="338" w:right="345" w:firstLine="288"/>
        <w:jc w:val="both"/>
      </w:pPr>
      <w:bookmarkStart w:name="Artículo_63" w:id="81"/>
      <w:bookmarkEnd w:id="81"/>
      <w:r>
        <w:rPr/>
      </w:r>
      <w:r>
        <w:rPr>
          <w:rFonts w:ascii="Arial" w:hAnsi="Arial"/>
          <w:b/>
        </w:rPr>
        <w:t>Artículo</w:t>
      </w:r>
      <w:r>
        <w:rPr>
          <w:rFonts w:ascii="Arial" w:hAnsi="Arial"/>
          <w:b/>
          <w:spacing w:val="-1"/>
        </w:rPr>
        <w:t> </w:t>
      </w:r>
      <w:r>
        <w:rPr>
          <w:rFonts w:ascii="Arial" w:hAnsi="Arial"/>
          <w:b/>
        </w:rPr>
        <w:t>63.-</w:t>
      </w:r>
      <w:r>
        <w:rPr>
          <w:rFonts w:ascii="Arial" w:hAnsi="Arial"/>
          <w:b/>
          <w:spacing w:val="-3"/>
        </w:rPr>
        <w:t> </w:t>
      </w:r>
      <w:r>
        <w:rPr/>
        <w:t>Durante</w:t>
      </w:r>
      <w:r>
        <w:rPr>
          <w:spacing w:val="-2"/>
        </w:rPr>
        <w:t> </w:t>
      </w:r>
      <w:r>
        <w:rPr/>
        <w:t>la</w:t>
      </w:r>
      <w:r>
        <w:rPr>
          <w:spacing w:val="-4"/>
        </w:rPr>
        <w:t> </w:t>
      </w:r>
      <w:r>
        <w:rPr/>
        <w:t>jornada</w:t>
      </w:r>
      <w:r>
        <w:rPr>
          <w:spacing w:val="-2"/>
        </w:rPr>
        <w:t> </w:t>
      </w:r>
      <w:r>
        <w:rPr/>
        <w:t>continua</w:t>
      </w:r>
      <w:r>
        <w:rPr>
          <w:spacing w:val="-3"/>
        </w:rPr>
        <w:t> </w:t>
      </w:r>
      <w:r>
        <w:rPr/>
        <w:t>de</w:t>
      </w:r>
      <w:r>
        <w:rPr>
          <w:spacing w:val="-3"/>
        </w:rPr>
        <w:t> </w:t>
      </w:r>
      <w:r>
        <w:rPr/>
        <w:t>trabajo</w:t>
      </w:r>
      <w:r>
        <w:rPr>
          <w:spacing w:val="-2"/>
        </w:rPr>
        <w:t> </w:t>
      </w:r>
      <w:r>
        <w:rPr/>
        <w:t>se</w:t>
      </w:r>
      <w:r>
        <w:rPr>
          <w:spacing w:val="-4"/>
        </w:rPr>
        <w:t> </w:t>
      </w:r>
      <w:r>
        <w:rPr/>
        <w:t>concederá</w:t>
      </w:r>
      <w:r>
        <w:rPr>
          <w:spacing w:val="-2"/>
        </w:rPr>
        <w:t> </w:t>
      </w:r>
      <w:r>
        <w:rPr/>
        <w:t>al</w:t>
      </w:r>
      <w:r>
        <w:rPr>
          <w:spacing w:val="-3"/>
        </w:rPr>
        <w:t> </w:t>
      </w:r>
      <w:r>
        <w:rPr/>
        <w:t>trabajador</w:t>
      </w:r>
      <w:r>
        <w:rPr>
          <w:spacing w:val="-1"/>
        </w:rPr>
        <w:t> </w:t>
      </w:r>
      <w:r>
        <w:rPr/>
        <w:t>un</w:t>
      </w:r>
      <w:r>
        <w:rPr>
          <w:spacing w:val="-4"/>
        </w:rPr>
        <w:t> </w:t>
      </w:r>
      <w:r>
        <w:rPr/>
        <w:t>descanso</w:t>
      </w:r>
      <w:r>
        <w:rPr>
          <w:spacing w:val="-4"/>
        </w:rPr>
        <w:t> </w:t>
      </w:r>
      <w:r>
        <w:rPr/>
        <w:t>de</w:t>
      </w:r>
      <w:r>
        <w:rPr>
          <w:spacing w:val="-4"/>
        </w:rPr>
        <w:t> </w:t>
      </w:r>
      <w:r>
        <w:rPr/>
        <w:t>media hora, por lo menos.</w:t>
      </w:r>
    </w:p>
    <w:p>
      <w:pPr>
        <w:pStyle w:val="BodyText"/>
        <w:spacing w:before="227"/>
        <w:ind w:left="338" w:right="340" w:firstLine="288"/>
        <w:jc w:val="both"/>
      </w:pPr>
      <w:bookmarkStart w:name="Artículo_64" w:id="82"/>
      <w:bookmarkEnd w:id="82"/>
      <w:r>
        <w:rPr/>
      </w:r>
      <w:r>
        <w:rPr>
          <w:rFonts w:ascii="Arial" w:hAnsi="Arial"/>
          <w:b/>
        </w:rPr>
        <w:t>Artículo 64.- </w:t>
      </w:r>
      <w:r>
        <w:rPr/>
        <w:t>Cuando el trabajador no pueda salir del lugar donde presta sus servicios durante las horas de reposo o de comidas, el tiempo correspondiente le será computado como tiempo efectivo de la jornada de trabajo.</w:t>
      </w:r>
    </w:p>
    <w:p>
      <w:pPr>
        <w:pStyle w:val="BodyText"/>
        <w:spacing w:line="242" w:lineRule="auto" w:before="229"/>
        <w:ind w:left="338" w:right="337" w:firstLine="288"/>
        <w:jc w:val="both"/>
      </w:pPr>
      <w:bookmarkStart w:name="Artículo_65" w:id="83"/>
      <w:bookmarkEnd w:id="83"/>
      <w:r>
        <w:rPr/>
      </w:r>
      <w:r>
        <w:rPr>
          <w:rFonts w:ascii="Arial" w:hAnsi="Arial"/>
          <w:b/>
        </w:rPr>
        <w:t>Artículo 65.- </w:t>
      </w:r>
      <w:r>
        <w:rPr/>
        <w:t>En los casos de siniestro o riesgo inminente en que peligre la vida del trabajador, de sus compañeros o del patrón, o la existencia misma de la empresa, la jornada de trabajo podrá prolongarse por el tiempo estrictamente indispensable para evitar esos males.</w:t>
      </w:r>
    </w:p>
    <w:p>
      <w:pPr>
        <w:pStyle w:val="BodyText"/>
        <w:spacing w:line="242" w:lineRule="auto" w:before="222"/>
        <w:ind w:left="338" w:right="340" w:firstLine="288"/>
        <w:jc w:val="both"/>
      </w:pPr>
      <w:bookmarkStart w:name="Artículo_66" w:id="84"/>
      <w:bookmarkEnd w:id="84"/>
      <w:r>
        <w:rPr/>
      </w:r>
      <w:r>
        <w:rPr>
          <w:rFonts w:ascii="Arial" w:hAnsi="Arial"/>
          <w:b/>
        </w:rPr>
        <w:t>Artículo 66.- </w:t>
      </w:r>
      <w:r>
        <w:rPr/>
        <w:t>Podrá también prolongarse la jornada de trabajo por circunstancias extraordinarias, sin exceder nunca de tres horas diarias ni de tres veces en una semana.</w:t>
      </w:r>
    </w:p>
    <w:p>
      <w:pPr>
        <w:pStyle w:val="BodyText"/>
        <w:spacing w:line="242" w:lineRule="auto" w:before="227"/>
        <w:ind w:left="338" w:right="348" w:firstLine="288"/>
        <w:jc w:val="both"/>
      </w:pPr>
      <w:bookmarkStart w:name="Artículo_67" w:id="85"/>
      <w:bookmarkEnd w:id="85"/>
      <w:r>
        <w:rPr/>
      </w:r>
      <w:r>
        <w:rPr>
          <w:rFonts w:ascii="Arial" w:hAnsi="Arial"/>
          <w:b/>
        </w:rPr>
        <w:t>Artículo 67.- </w:t>
      </w:r>
      <w:r>
        <w:rPr/>
        <w:t>Las horas de trabajo a que se refiere el artículo 65, se retribuirán con una cantidad igual a la que corresponda a cada una de las horas de la jornada.</w:t>
      </w:r>
    </w:p>
    <w:p>
      <w:pPr>
        <w:pStyle w:val="BodyText"/>
        <w:spacing w:before="227"/>
        <w:ind w:left="338" w:right="347" w:firstLine="288"/>
        <w:jc w:val="both"/>
      </w:pPr>
      <w:r>
        <w:rPr/>
        <w:t>Las horas de trabajo extraordinario se pagarán con un ciento por ciento más del salario que corresponda a las horas de la jornada.</w:t>
      </w:r>
    </w:p>
    <w:p>
      <w:pPr>
        <w:pStyle w:val="BodyText"/>
        <w:spacing w:line="242" w:lineRule="auto" w:before="229"/>
        <w:ind w:left="338" w:right="344" w:firstLine="288"/>
        <w:jc w:val="both"/>
      </w:pPr>
      <w:bookmarkStart w:name="Artículo_68" w:id="86"/>
      <w:bookmarkEnd w:id="86"/>
      <w:r>
        <w:rPr/>
      </w:r>
      <w:r>
        <w:rPr>
          <w:rFonts w:ascii="Arial" w:hAnsi="Arial"/>
          <w:b/>
        </w:rPr>
        <w:t>Artículo 68.- </w:t>
      </w:r>
      <w:r>
        <w:rPr/>
        <w:t>Los trabajadores no están obligados a prestar sus servicios por un tiempo mayor del permitido de este capítulo.</w:t>
      </w:r>
    </w:p>
    <w:p>
      <w:pPr>
        <w:pStyle w:val="BodyText"/>
        <w:spacing w:before="227"/>
        <w:ind w:left="338" w:right="347" w:firstLine="288"/>
        <w:jc w:val="both"/>
      </w:pPr>
      <w:r>
        <w:rPr/>
        <w:t>La prolongación del tiempo extraordinario que exceda de nueve horas a la semana, obliga al patrón a pagar al trabajador el tiempo excedente con un doscientos por ciento más del salario que corresponda a las horas de la jornada, sin perjuicio de las sanciones establecidas en esta Ley.</w:t>
      </w:r>
    </w:p>
    <w:p>
      <w:pPr>
        <w:pStyle w:val="Heading1"/>
        <w:spacing w:line="252" w:lineRule="exact" w:before="227"/>
        <w:ind w:left="298"/>
      </w:pPr>
      <w:r>
        <w:rPr/>
        <w:t>CAPITULO</w:t>
      </w:r>
      <w:r>
        <w:rPr>
          <w:spacing w:val="-9"/>
        </w:rPr>
        <w:t> </w:t>
      </w:r>
      <w:r>
        <w:rPr>
          <w:spacing w:val="-5"/>
        </w:rPr>
        <w:t>III</w:t>
      </w:r>
    </w:p>
    <w:p>
      <w:pPr>
        <w:pStyle w:val="Heading2"/>
        <w:spacing w:line="252" w:lineRule="exact"/>
        <w:ind w:left="300"/>
      </w:pPr>
      <w:r>
        <w:rPr/>
        <w:t>Días</w:t>
      </w:r>
      <w:r>
        <w:rPr>
          <w:spacing w:val="-2"/>
        </w:rPr>
        <w:t> </w:t>
      </w:r>
      <w:r>
        <w:rPr/>
        <w:t>de</w:t>
      </w:r>
      <w:r>
        <w:rPr>
          <w:spacing w:val="-2"/>
        </w:rPr>
        <w:t> descanso</w:t>
      </w:r>
    </w:p>
    <w:p>
      <w:pPr>
        <w:pStyle w:val="BodyText"/>
        <w:spacing w:line="242" w:lineRule="auto" w:before="232"/>
        <w:ind w:left="338" w:right="346" w:firstLine="288"/>
        <w:jc w:val="both"/>
      </w:pPr>
      <w:bookmarkStart w:name="Artículo_69" w:id="87"/>
      <w:bookmarkEnd w:id="87"/>
      <w:r>
        <w:rPr/>
      </w:r>
      <w:r>
        <w:rPr>
          <w:rFonts w:ascii="Arial" w:hAnsi="Arial"/>
          <w:b/>
        </w:rPr>
        <w:t>Artículo 69.- </w:t>
      </w:r>
      <w:r>
        <w:rPr/>
        <w:t>Por cada seis días de trabajo disfrutará el trabajador de un día de descanso, por lo menos, con goce de salario íntegro.</w:t>
      </w:r>
    </w:p>
    <w:p>
      <w:pPr>
        <w:pStyle w:val="BodyText"/>
        <w:spacing w:line="242" w:lineRule="auto" w:before="226"/>
        <w:ind w:left="338" w:right="341" w:firstLine="288"/>
        <w:jc w:val="both"/>
      </w:pPr>
      <w:bookmarkStart w:name="Artículo_70" w:id="88"/>
      <w:bookmarkEnd w:id="88"/>
      <w:r>
        <w:rPr/>
      </w:r>
      <w:r>
        <w:rPr>
          <w:rFonts w:ascii="Arial" w:hAnsi="Arial"/>
          <w:b/>
        </w:rPr>
        <w:t>Artículo 70.- </w:t>
      </w:r>
      <w:r>
        <w:rPr/>
        <w:t>En los trabajos que requieran una labor continua, los trabajadores y el patrón fijarán de común acuerdo los días en que los trabajadores deban disfrutar de los de descanso semanal.</w:t>
      </w:r>
    </w:p>
    <w:p>
      <w:pPr>
        <w:pStyle w:val="BodyText"/>
        <w:spacing w:line="242" w:lineRule="auto" w:before="225"/>
        <w:ind w:left="338" w:right="343" w:firstLine="288"/>
        <w:jc w:val="both"/>
      </w:pPr>
      <w:bookmarkStart w:name="Artículo_71" w:id="89"/>
      <w:bookmarkEnd w:id="89"/>
      <w:r>
        <w:rPr/>
      </w:r>
      <w:r>
        <w:rPr>
          <w:rFonts w:ascii="Arial" w:hAnsi="Arial"/>
          <w:b/>
        </w:rPr>
        <w:t>Artículo 71.- </w:t>
      </w:r>
      <w:r>
        <w:rPr/>
        <w:t>En los reglamentos de esta Ley se procurará que el día de descanso semanal sea el </w:t>
      </w:r>
      <w:r>
        <w:rPr>
          <w:spacing w:val="-2"/>
        </w:rPr>
        <w:t>domingo.</w:t>
      </w:r>
    </w:p>
    <w:p>
      <w:pPr>
        <w:pStyle w:val="BodyText"/>
        <w:spacing w:after="0" w:line="242" w:lineRule="auto"/>
        <w:jc w:val="both"/>
        <w:sectPr>
          <w:pgSz w:w="12240" w:h="15840"/>
          <w:pgMar w:header="724" w:footer="712" w:top="1880" w:bottom="900" w:left="1080" w:right="1080"/>
        </w:sectPr>
      </w:pPr>
    </w:p>
    <w:p>
      <w:pPr>
        <w:pStyle w:val="BodyText"/>
        <w:spacing w:before="65"/>
      </w:pPr>
    </w:p>
    <w:p>
      <w:pPr>
        <w:pStyle w:val="BodyText"/>
        <w:ind w:left="338" w:right="346" w:firstLine="288"/>
        <w:jc w:val="both"/>
      </w:pPr>
      <w:r>
        <w:rPr/>
        <w:t>Los trabajadores que presten servicio en día domingo tendrán derecho a una prima adicional de un veinticinco por ciento, por lo menos, sobre el salario de los días ordinarios de trabajo.</w:t>
      </w:r>
    </w:p>
    <w:p>
      <w:pPr>
        <w:pStyle w:val="BodyText"/>
        <w:spacing w:before="229"/>
        <w:ind w:left="338" w:right="338" w:firstLine="288"/>
        <w:jc w:val="both"/>
      </w:pPr>
      <w:bookmarkStart w:name="Artículo_72" w:id="90"/>
      <w:bookmarkEnd w:id="90"/>
      <w:r>
        <w:rPr/>
      </w:r>
      <w:r>
        <w:rPr>
          <w:rFonts w:ascii="Arial" w:hAnsi="Arial"/>
          <w:b/>
        </w:rPr>
        <w:t>Artículo 72.- </w:t>
      </w:r>
      <w:r>
        <w:rPr/>
        <w:t>Cuando el trabajador no preste sus servicios durante todos los días de trabajo de la semana, o cuando en el mismo día o en la misma semana preste sus servicios a varios patrones, tendrá derecho a que se le pague la parte proporcional del salario de los días de descanso, calculada sobre el salario de los días en que hubiese trabajado o sobre el que hubiese percibido de cada patrón.</w:t>
      </w:r>
    </w:p>
    <w:p>
      <w:pPr>
        <w:pStyle w:val="BodyText"/>
      </w:pPr>
    </w:p>
    <w:p>
      <w:pPr>
        <w:pStyle w:val="BodyText"/>
        <w:spacing w:line="242" w:lineRule="auto"/>
        <w:ind w:left="338" w:right="339" w:firstLine="288"/>
        <w:jc w:val="both"/>
      </w:pPr>
      <w:bookmarkStart w:name="Artículo_73" w:id="91"/>
      <w:bookmarkEnd w:id="91"/>
      <w:r>
        <w:rPr/>
      </w:r>
      <w:r>
        <w:rPr>
          <w:rFonts w:ascii="Arial" w:hAnsi="Arial"/>
          <w:b/>
        </w:rPr>
        <w:t>Artículo 73.- </w:t>
      </w:r>
      <w:r>
        <w:rPr/>
        <w:t>Los trabajadores no están obligados a prestar servicios en sus días de descanso. Si se quebranta esta disposición, el patrón pagará al trabajador, independientemente del salario que le corresponda por el descanso, un salario doble por el servicio prestado.</w:t>
      </w:r>
    </w:p>
    <w:p>
      <w:pPr>
        <w:spacing w:before="223"/>
        <w:ind w:left="626" w:right="0" w:firstLine="0"/>
        <w:jc w:val="left"/>
        <w:rPr>
          <w:sz w:val="20"/>
        </w:rPr>
      </w:pPr>
      <w:bookmarkStart w:name="Artículo_74" w:id="92"/>
      <w:bookmarkEnd w:id="92"/>
      <w:r>
        <w:rPr/>
      </w:r>
      <w:r>
        <w:rPr>
          <w:rFonts w:ascii="Arial" w:hAnsi="Arial"/>
          <w:b/>
          <w:sz w:val="20"/>
        </w:rPr>
        <w:t>Artículo</w:t>
      </w:r>
      <w:r>
        <w:rPr>
          <w:rFonts w:ascii="Arial" w:hAnsi="Arial"/>
          <w:b/>
          <w:spacing w:val="-6"/>
          <w:sz w:val="20"/>
        </w:rPr>
        <w:t> </w:t>
      </w:r>
      <w:r>
        <w:rPr>
          <w:rFonts w:ascii="Arial" w:hAnsi="Arial"/>
          <w:b/>
          <w:sz w:val="20"/>
        </w:rPr>
        <w:t>74.</w:t>
      </w:r>
      <w:r>
        <w:rPr>
          <w:rFonts w:ascii="Arial" w:hAnsi="Arial"/>
          <w:b/>
          <w:spacing w:val="-4"/>
          <w:sz w:val="20"/>
        </w:rPr>
        <w:t> </w:t>
      </w:r>
      <w:r>
        <w:rPr>
          <w:sz w:val="20"/>
        </w:rPr>
        <w:t>Son</w:t>
      </w:r>
      <w:r>
        <w:rPr>
          <w:spacing w:val="-5"/>
          <w:sz w:val="20"/>
        </w:rPr>
        <w:t> </w:t>
      </w:r>
      <w:r>
        <w:rPr>
          <w:sz w:val="20"/>
        </w:rPr>
        <w:t>días</w:t>
      </w:r>
      <w:r>
        <w:rPr>
          <w:spacing w:val="-5"/>
          <w:sz w:val="20"/>
        </w:rPr>
        <w:t> </w:t>
      </w:r>
      <w:r>
        <w:rPr>
          <w:sz w:val="20"/>
        </w:rPr>
        <w:t>de</w:t>
      </w:r>
      <w:r>
        <w:rPr>
          <w:spacing w:val="-7"/>
          <w:sz w:val="20"/>
        </w:rPr>
        <w:t> </w:t>
      </w:r>
      <w:r>
        <w:rPr>
          <w:sz w:val="20"/>
        </w:rPr>
        <w:t>descanso</w:t>
      </w:r>
      <w:r>
        <w:rPr>
          <w:spacing w:val="-6"/>
          <w:sz w:val="20"/>
        </w:rPr>
        <w:t> </w:t>
      </w:r>
      <w:r>
        <w:rPr>
          <w:spacing w:val="-2"/>
          <w:sz w:val="20"/>
        </w:rPr>
        <w:t>obligatorio:</w:t>
      </w:r>
    </w:p>
    <w:p>
      <w:pPr>
        <w:pStyle w:val="BodyText"/>
      </w:pPr>
    </w:p>
    <w:p>
      <w:pPr>
        <w:pStyle w:val="ListParagraph"/>
        <w:numPr>
          <w:ilvl w:val="0"/>
          <w:numId w:val="19"/>
        </w:numPr>
        <w:tabs>
          <w:tab w:pos="1195" w:val="left" w:leader="none"/>
        </w:tabs>
        <w:spacing w:line="240" w:lineRule="auto" w:before="1" w:after="0"/>
        <w:ind w:left="1195" w:right="0" w:hanging="569"/>
        <w:jc w:val="left"/>
        <w:rPr>
          <w:sz w:val="20"/>
        </w:rPr>
      </w:pPr>
      <w:r>
        <w:rPr>
          <w:sz w:val="20"/>
        </w:rPr>
        <w:t>El</w:t>
      </w:r>
      <w:r>
        <w:rPr>
          <w:spacing w:val="-4"/>
          <w:sz w:val="20"/>
        </w:rPr>
        <w:t> </w:t>
      </w:r>
      <w:r>
        <w:rPr>
          <w:sz w:val="20"/>
        </w:rPr>
        <w:t>1o.</w:t>
      </w:r>
      <w:r>
        <w:rPr>
          <w:spacing w:val="-3"/>
          <w:sz w:val="20"/>
        </w:rPr>
        <w:t> </w:t>
      </w:r>
      <w:r>
        <w:rPr>
          <w:sz w:val="20"/>
        </w:rPr>
        <w:t>de</w:t>
      </w:r>
      <w:r>
        <w:rPr>
          <w:spacing w:val="-5"/>
          <w:sz w:val="20"/>
        </w:rPr>
        <w:t> </w:t>
      </w:r>
      <w:r>
        <w:rPr>
          <w:spacing w:val="-2"/>
          <w:sz w:val="20"/>
        </w:rPr>
        <w:t>enero;</w:t>
      </w:r>
    </w:p>
    <w:p>
      <w:pPr>
        <w:pStyle w:val="BodyText"/>
      </w:pPr>
    </w:p>
    <w:p>
      <w:pPr>
        <w:pStyle w:val="ListParagraph"/>
        <w:numPr>
          <w:ilvl w:val="0"/>
          <w:numId w:val="19"/>
        </w:numPr>
        <w:tabs>
          <w:tab w:pos="1195" w:val="left" w:leader="none"/>
        </w:tabs>
        <w:spacing w:line="240" w:lineRule="auto" w:before="0" w:after="0"/>
        <w:ind w:left="1195" w:right="0" w:hanging="569"/>
        <w:jc w:val="left"/>
        <w:rPr>
          <w:sz w:val="20"/>
        </w:rPr>
      </w:pPr>
      <w:r>
        <w:rPr>
          <w:sz w:val="20"/>
        </w:rPr>
        <w:t>El</w:t>
      </w:r>
      <w:r>
        <w:rPr>
          <w:spacing w:val="-5"/>
          <w:sz w:val="20"/>
        </w:rPr>
        <w:t> </w:t>
      </w:r>
      <w:r>
        <w:rPr>
          <w:sz w:val="20"/>
        </w:rPr>
        <w:t>primer</w:t>
      </w:r>
      <w:r>
        <w:rPr>
          <w:spacing w:val="-6"/>
          <w:sz w:val="20"/>
        </w:rPr>
        <w:t> </w:t>
      </w:r>
      <w:r>
        <w:rPr>
          <w:sz w:val="20"/>
        </w:rPr>
        <w:t>lunes</w:t>
      </w:r>
      <w:r>
        <w:rPr>
          <w:spacing w:val="-4"/>
          <w:sz w:val="20"/>
        </w:rPr>
        <w:t> </w:t>
      </w:r>
      <w:r>
        <w:rPr>
          <w:sz w:val="20"/>
        </w:rPr>
        <w:t>de</w:t>
      </w:r>
      <w:r>
        <w:rPr>
          <w:spacing w:val="-6"/>
          <w:sz w:val="20"/>
        </w:rPr>
        <w:t> </w:t>
      </w:r>
      <w:r>
        <w:rPr>
          <w:sz w:val="20"/>
        </w:rPr>
        <w:t>febrero</w:t>
      </w:r>
      <w:r>
        <w:rPr>
          <w:spacing w:val="-3"/>
          <w:sz w:val="20"/>
        </w:rPr>
        <w:t> </w:t>
      </w:r>
      <w:r>
        <w:rPr>
          <w:sz w:val="20"/>
        </w:rPr>
        <w:t>en</w:t>
      </w:r>
      <w:r>
        <w:rPr>
          <w:spacing w:val="-7"/>
          <w:sz w:val="20"/>
        </w:rPr>
        <w:t> </w:t>
      </w:r>
      <w:r>
        <w:rPr>
          <w:sz w:val="20"/>
        </w:rPr>
        <w:t>conmemoración</w:t>
      </w:r>
      <w:r>
        <w:rPr>
          <w:spacing w:val="-6"/>
          <w:sz w:val="20"/>
        </w:rPr>
        <w:t> </w:t>
      </w:r>
      <w:r>
        <w:rPr>
          <w:sz w:val="20"/>
        </w:rPr>
        <w:t>del</w:t>
      </w:r>
      <w:r>
        <w:rPr>
          <w:spacing w:val="-5"/>
          <w:sz w:val="20"/>
        </w:rPr>
        <w:t> </w:t>
      </w:r>
      <w:r>
        <w:rPr>
          <w:sz w:val="20"/>
        </w:rPr>
        <w:t>5</w:t>
      </w:r>
      <w:r>
        <w:rPr>
          <w:spacing w:val="-5"/>
          <w:sz w:val="20"/>
        </w:rPr>
        <w:t> </w:t>
      </w:r>
      <w:r>
        <w:rPr>
          <w:sz w:val="20"/>
        </w:rPr>
        <w:t>de</w:t>
      </w:r>
      <w:r>
        <w:rPr>
          <w:spacing w:val="-6"/>
          <w:sz w:val="20"/>
        </w:rPr>
        <w:t> </w:t>
      </w:r>
      <w:r>
        <w:rPr>
          <w:spacing w:val="-2"/>
          <w:sz w:val="20"/>
        </w:rPr>
        <w:t>febrero;</w:t>
      </w:r>
    </w:p>
    <w:p>
      <w:pPr>
        <w:pStyle w:val="ListParagraph"/>
        <w:numPr>
          <w:ilvl w:val="0"/>
          <w:numId w:val="19"/>
        </w:numPr>
        <w:tabs>
          <w:tab w:pos="1195" w:val="left" w:leader="none"/>
        </w:tabs>
        <w:spacing w:line="240" w:lineRule="auto" w:before="229" w:after="0"/>
        <w:ind w:left="1195" w:right="0" w:hanging="569"/>
        <w:jc w:val="left"/>
        <w:rPr>
          <w:sz w:val="20"/>
        </w:rPr>
      </w:pPr>
      <w:r>
        <w:rPr>
          <w:sz w:val="20"/>
        </w:rPr>
        <w:t>El</w:t>
      </w:r>
      <w:r>
        <w:rPr>
          <w:spacing w:val="-7"/>
          <w:sz w:val="20"/>
        </w:rPr>
        <w:t> </w:t>
      </w:r>
      <w:r>
        <w:rPr>
          <w:sz w:val="20"/>
        </w:rPr>
        <w:t>tercer</w:t>
      </w:r>
      <w:r>
        <w:rPr>
          <w:spacing w:val="-6"/>
          <w:sz w:val="20"/>
        </w:rPr>
        <w:t> </w:t>
      </w:r>
      <w:r>
        <w:rPr>
          <w:sz w:val="20"/>
        </w:rPr>
        <w:t>lunes</w:t>
      </w:r>
      <w:r>
        <w:rPr>
          <w:spacing w:val="-3"/>
          <w:sz w:val="20"/>
        </w:rPr>
        <w:t> </w:t>
      </w:r>
      <w:r>
        <w:rPr>
          <w:sz w:val="20"/>
        </w:rPr>
        <w:t>de</w:t>
      </w:r>
      <w:r>
        <w:rPr>
          <w:spacing w:val="-6"/>
          <w:sz w:val="20"/>
        </w:rPr>
        <w:t> </w:t>
      </w:r>
      <w:r>
        <w:rPr>
          <w:sz w:val="20"/>
        </w:rPr>
        <w:t>marzo</w:t>
      </w:r>
      <w:r>
        <w:rPr>
          <w:spacing w:val="-4"/>
          <w:sz w:val="20"/>
        </w:rPr>
        <w:t> </w:t>
      </w:r>
      <w:r>
        <w:rPr>
          <w:sz w:val="20"/>
        </w:rPr>
        <w:t>en</w:t>
      </w:r>
      <w:r>
        <w:rPr>
          <w:spacing w:val="-4"/>
          <w:sz w:val="20"/>
        </w:rPr>
        <w:t> </w:t>
      </w:r>
      <w:r>
        <w:rPr>
          <w:sz w:val="20"/>
        </w:rPr>
        <w:t>conmemoración</w:t>
      </w:r>
      <w:r>
        <w:rPr>
          <w:spacing w:val="-6"/>
          <w:sz w:val="20"/>
        </w:rPr>
        <w:t> </w:t>
      </w:r>
      <w:r>
        <w:rPr>
          <w:sz w:val="20"/>
        </w:rPr>
        <w:t>del</w:t>
      </w:r>
      <w:r>
        <w:rPr>
          <w:spacing w:val="-5"/>
          <w:sz w:val="20"/>
        </w:rPr>
        <w:t> </w:t>
      </w:r>
      <w:r>
        <w:rPr>
          <w:sz w:val="20"/>
        </w:rPr>
        <w:t>21</w:t>
      </w:r>
      <w:r>
        <w:rPr>
          <w:spacing w:val="-4"/>
          <w:sz w:val="20"/>
        </w:rPr>
        <w:t> </w:t>
      </w:r>
      <w:r>
        <w:rPr>
          <w:sz w:val="20"/>
        </w:rPr>
        <w:t>de</w:t>
      </w:r>
      <w:r>
        <w:rPr>
          <w:spacing w:val="-5"/>
          <w:sz w:val="20"/>
        </w:rPr>
        <w:t> </w:t>
      </w:r>
      <w:r>
        <w:rPr>
          <w:spacing w:val="-2"/>
          <w:sz w:val="20"/>
        </w:rPr>
        <w:t>marzo;</w:t>
      </w:r>
    </w:p>
    <w:p>
      <w:pPr>
        <w:pStyle w:val="BodyText"/>
        <w:spacing w:before="1"/>
      </w:pPr>
    </w:p>
    <w:p>
      <w:pPr>
        <w:pStyle w:val="ListParagraph"/>
        <w:numPr>
          <w:ilvl w:val="0"/>
          <w:numId w:val="19"/>
        </w:numPr>
        <w:tabs>
          <w:tab w:pos="1195" w:val="left" w:leader="none"/>
        </w:tabs>
        <w:spacing w:line="240" w:lineRule="auto" w:before="0" w:after="0"/>
        <w:ind w:left="1195" w:right="0" w:hanging="569"/>
        <w:jc w:val="left"/>
        <w:rPr>
          <w:sz w:val="20"/>
        </w:rPr>
      </w:pPr>
      <w:r>
        <w:rPr>
          <w:sz w:val="20"/>
        </w:rPr>
        <w:t>El</w:t>
      </w:r>
      <w:r>
        <w:rPr>
          <w:spacing w:val="-4"/>
          <w:sz w:val="20"/>
        </w:rPr>
        <w:t> </w:t>
      </w:r>
      <w:r>
        <w:rPr>
          <w:sz w:val="20"/>
        </w:rPr>
        <w:t>1o.</w:t>
      </w:r>
      <w:r>
        <w:rPr>
          <w:spacing w:val="-3"/>
          <w:sz w:val="20"/>
        </w:rPr>
        <w:t> </w:t>
      </w:r>
      <w:r>
        <w:rPr>
          <w:sz w:val="20"/>
        </w:rPr>
        <w:t>de</w:t>
      </w:r>
      <w:r>
        <w:rPr>
          <w:spacing w:val="-5"/>
          <w:sz w:val="20"/>
        </w:rPr>
        <w:t> </w:t>
      </w:r>
      <w:r>
        <w:rPr>
          <w:spacing w:val="-2"/>
          <w:sz w:val="20"/>
        </w:rPr>
        <w:t>mayo;</w:t>
      </w:r>
    </w:p>
    <w:p>
      <w:pPr>
        <w:pStyle w:val="BodyText"/>
      </w:pPr>
    </w:p>
    <w:p>
      <w:pPr>
        <w:pStyle w:val="ListParagraph"/>
        <w:numPr>
          <w:ilvl w:val="0"/>
          <w:numId w:val="19"/>
        </w:numPr>
        <w:tabs>
          <w:tab w:pos="1195" w:val="left" w:leader="none"/>
        </w:tabs>
        <w:spacing w:line="240" w:lineRule="auto" w:before="1" w:after="0"/>
        <w:ind w:left="1195" w:right="0" w:hanging="569"/>
        <w:jc w:val="left"/>
        <w:rPr>
          <w:sz w:val="20"/>
        </w:rPr>
      </w:pPr>
      <w:r>
        <w:rPr>
          <w:sz w:val="20"/>
        </w:rPr>
        <w:t>El</w:t>
      </w:r>
      <w:r>
        <w:rPr>
          <w:spacing w:val="-3"/>
          <w:sz w:val="20"/>
        </w:rPr>
        <w:t> </w:t>
      </w:r>
      <w:r>
        <w:rPr>
          <w:sz w:val="20"/>
        </w:rPr>
        <w:t>16</w:t>
      </w:r>
      <w:r>
        <w:rPr>
          <w:spacing w:val="-3"/>
          <w:sz w:val="20"/>
        </w:rPr>
        <w:t> </w:t>
      </w:r>
      <w:r>
        <w:rPr>
          <w:sz w:val="20"/>
        </w:rPr>
        <w:t>de</w:t>
      </w:r>
      <w:r>
        <w:rPr>
          <w:spacing w:val="-3"/>
          <w:sz w:val="20"/>
        </w:rPr>
        <w:t> </w:t>
      </w:r>
      <w:r>
        <w:rPr>
          <w:spacing w:val="-2"/>
          <w:sz w:val="20"/>
        </w:rPr>
        <w:t>septiembre;</w:t>
      </w:r>
    </w:p>
    <w:p>
      <w:pPr>
        <w:pStyle w:val="ListParagraph"/>
        <w:numPr>
          <w:ilvl w:val="0"/>
          <w:numId w:val="19"/>
        </w:numPr>
        <w:tabs>
          <w:tab w:pos="1195" w:val="left" w:leader="none"/>
        </w:tabs>
        <w:spacing w:line="240" w:lineRule="auto" w:before="228" w:after="0"/>
        <w:ind w:left="1195" w:right="0" w:hanging="569"/>
        <w:jc w:val="left"/>
        <w:rPr>
          <w:sz w:val="20"/>
        </w:rPr>
      </w:pPr>
      <w:r>
        <w:rPr>
          <w:sz w:val="20"/>
        </w:rPr>
        <w:t>El</w:t>
      </w:r>
      <w:r>
        <w:rPr>
          <w:spacing w:val="-7"/>
          <w:sz w:val="20"/>
        </w:rPr>
        <w:t> </w:t>
      </w:r>
      <w:r>
        <w:rPr>
          <w:sz w:val="20"/>
        </w:rPr>
        <w:t>tercer</w:t>
      </w:r>
      <w:r>
        <w:rPr>
          <w:spacing w:val="-5"/>
          <w:sz w:val="20"/>
        </w:rPr>
        <w:t> </w:t>
      </w:r>
      <w:r>
        <w:rPr>
          <w:sz w:val="20"/>
        </w:rPr>
        <w:t>lunes</w:t>
      </w:r>
      <w:r>
        <w:rPr>
          <w:spacing w:val="-5"/>
          <w:sz w:val="20"/>
        </w:rPr>
        <w:t> </w:t>
      </w:r>
      <w:r>
        <w:rPr>
          <w:sz w:val="20"/>
        </w:rPr>
        <w:t>de</w:t>
      </w:r>
      <w:r>
        <w:rPr>
          <w:spacing w:val="-5"/>
          <w:sz w:val="20"/>
        </w:rPr>
        <w:t> </w:t>
      </w:r>
      <w:r>
        <w:rPr>
          <w:sz w:val="20"/>
        </w:rPr>
        <w:t>noviembre</w:t>
      </w:r>
      <w:r>
        <w:rPr>
          <w:spacing w:val="-6"/>
          <w:sz w:val="20"/>
        </w:rPr>
        <w:t> </w:t>
      </w:r>
      <w:r>
        <w:rPr>
          <w:sz w:val="20"/>
        </w:rPr>
        <w:t>en</w:t>
      </w:r>
      <w:r>
        <w:rPr>
          <w:spacing w:val="-5"/>
          <w:sz w:val="20"/>
        </w:rPr>
        <w:t> </w:t>
      </w:r>
      <w:r>
        <w:rPr>
          <w:sz w:val="20"/>
        </w:rPr>
        <w:t>conmemoración</w:t>
      </w:r>
      <w:r>
        <w:rPr>
          <w:spacing w:val="-7"/>
          <w:sz w:val="20"/>
        </w:rPr>
        <w:t> </w:t>
      </w:r>
      <w:r>
        <w:rPr>
          <w:sz w:val="20"/>
        </w:rPr>
        <w:t>del</w:t>
      </w:r>
      <w:r>
        <w:rPr>
          <w:spacing w:val="-6"/>
          <w:sz w:val="20"/>
        </w:rPr>
        <w:t> </w:t>
      </w:r>
      <w:r>
        <w:rPr>
          <w:sz w:val="20"/>
        </w:rPr>
        <w:t>20</w:t>
      </w:r>
      <w:r>
        <w:rPr>
          <w:spacing w:val="-6"/>
          <w:sz w:val="20"/>
        </w:rPr>
        <w:t> </w:t>
      </w:r>
      <w:r>
        <w:rPr>
          <w:sz w:val="20"/>
        </w:rPr>
        <w:t>de</w:t>
      </w:r>
      <w:r>
        <w:rPr>
          <w:spacing w:val="-3"/>
          <w:sz w:val="20"/>
        </w:rPr>
        <w:t> </w:t>
      </w:r>
      <w:r>
        <w:rPr>
          <w:spacing w:val="-2"/>
          <w:sz w:val="20"/>
        </w:rPr>
        <w:t>noviembre;</w:t>
      </w:r>
    </w:p>
    <w:p>
      <w:pPr>
        <w:pStyle w:val="BodyText"/>
        <w:spacing w:before="1"/>
      </w:pPr>
    </w:p>
    <w:p>
      <w:pPr>
        <w:pStyle w:val="ListParagraph"/>
        <w:numPr>
          <w:ilvl w:val="0"/>
          <w:numId w:val="19"/>
        </w:numPr>
        <w:tabs>
          <w:tab w:pos="1195" w:val="left" w:leader="none"/>
        </w:tabs>
        <w:spacing w:line="242" w:lineRule="auto" w:before="0" w:after="0"/>
        <w:ind w:left="1195" w:right="336" w:hanging="569"/>
        <w:jc w:val="left"/>
        <w:rPr>
          <w:sz w:val="20"/>
        </w:rPr>
      </w:pPr>
      <w:r>
        <w:rPr>
          <w:sz w:val="20"/>
        </w:rPr>
        <w:t>El 1o. de octubre de cada seis años, cuando corresponda a la transmisión del Poder Ejecutivo </w:t>
      </w:r>
      <w:r>
        <w:rPr>
          <w:spacing w:val="-2"/>
          <w:sz w:val="20"/>
        </w:rPr>
        <w:t>Federal;</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1"/>
        <w:rPr>
          <w:rFonts w:ascii="Times New Roman"/>
          <w:i/>
        </w:rPr>
      </w:pPr>
    </w:p>
    <w:p>
      <w:pPr>
        <w:pStyle w:val="ListParagraph"/>
        <w:numPr>
          <w:ilvl w:val="0"/>
          <w:numId w:val="19"/>
        </w:numPr>
        <w:tabs>
          <w:tab w:pos="1195" w:val="left" w:leader="none"/>
        </w:tabs>
        <w:spacing w:line="240" w:lineRule="auto" w:before="0" w:after="0"/>
        <w:ind w:left="1195" w:right="0" w:hanging="569"/>
        <w:jc w:val="left"/>
        <w:rPr>
          <w:sz w:val="20"/>
        </w:rPr>
      </w:pPr>
      <w:r>
        <w:rPr>
          <w:sz w:val="20"/>
        </w:rPr>
        <w:t>El</w:t>
      </w:r>
      <w:r>
        <w:rPr>
          <w:spacing w:val="-4"/>
          <w:sz w:val="20"/>
        </w:rPr>
        <w:t> </w:t>
      </w:r>
      <w:r>
        <w:rPr>
          <w:sz w:val="20"/>
        </w:rPr>
        <w:t>25</w:t>
      </w:r>
      <w:r>
        <w:rPr>
          <w:spacing w:val="-5"/>
          <w:sz w:val="20"/>
        </w:rPr>
        <w:t> </w:t>
      </w:r>
      <w:r>
        <w:rPr>
          <w:sz w:val="20"/>
        </w:rPr>
        <w:t>de</w:t>
      </w:r>
      <w:r>
        <w:rPr>
          <w:spacing w:val="-4"/>
          <w:sz w:val="20"/>
        </w:rPr>
        <w:t> </w:t>
      </w:r>
      <w:r>
        <w:rPr>
          <w:sz w:val="20"/>
        </w:rPr>
        <w:t>diciembre,</w:t>
      </w:r>
      <w:r>
        <w:rPr>
          <w:spacing w:val="-3"/>
          <w:sz w:val="20"/>
        </w:rPr>
        <w:t> </w:t>
      </w:r>
      <w:r>
        <w:rPr>
          <w:spacing w:val="-10"/>
          <w:sz w:val="20"/>
        </w:rPr>
        <w:t>y</w:t>
      </w:r>
    </w:p>
    <w:p>
      <w:pPr>
        <w:pStyle w:val="BodyText"/>
        <w:spacing w:before="1"/>
      </w:pPr>
    </w:p>
    <w:p>
      <w:pPr>
        <w:pStyle w:val="ListParagraph"/>
        <w:numPr>
          <w:ilvl w:val="0"/>
          <w:numId w:val="19"/>
        </w:numPr>
        <w:tabs>
          <w:tab w:pos="1195" w:val="left" w:leader="none"/>
        </w:tabs>
        <w:spacing w:line="242" w:lineRule="auto" w:before="0" w:after="0"/>
        <w:ind w:left="1195" w:right="346" w:hanging="569"/>
        <w:jc w:val="left"/>
        <w:rPr>
          <w:sz w:val="20"/>
        </w:rPr>
      </w:pPr>
      <w:r>
        <w:rPr>
          <w:sz w:val="20"/>
        </w:rPr>
        <w:t>El que determinen</w:t>
      </w:r>
      <w:r>
        <w:rPr>
          <w:spacing w:val="-1"/>
          <w:sz w:val="20"/>
        </w:rPr>
        <w:t> </w:t>
      </w:r>
      <w:r>
        <w:rPr>
          <w:sz w:val="20"/>
        </w:rPr>
        <w:t>las leyes federales y</w:t>
      </w:r>
      <w:r>
        <w:rPr>
          <w:spacing w:val="-1"/>
          <w:sz w:val="20"/>
        </w:rPr>
        <w:t> </w:t>
      </w:r>
      <w:r>
        <w:rPr>
          <w:sz w:val="20"/>
        </w:rPr>
        <w:t>locales electorales, en</w:t>
      </w:r>
      <w:r>
        <w:rPr>
          <w:spacing w:val="-1"/>
          <w:sz w:val="20"/>
        </w:rPr>
        <w:t> </w:t>
      </w:r>
      <w:r>
        <w:rPr>
          <w:sz w:val="20"/>
        </w:rPr>
        <w:t>el</w:t>
      </w:r>
      <w:r>
        <w:rPr>
          <w:spacing w:val="-1"/>
          <w:sz w:val="20"/>
        </w:rPr>
        <w:t> </w:t>
      </w:r>
      <w:r>
        <w:rPr>
          <w:sz w:val="20"/>
        </w:rPr>
        <w:t>caso</w:t>
      </w:r>
      <w:r>
        <w:rPr>
          <w:spacing w:val="-1"/>
          <w:sz w:val="20"/>
        </w:rPr>
        <w:t> </w:t>
      </w:r>
      <w:r>
        <w:rPr>
          <w:sz w:val="20"/>
        </w:rPr>
        <w:t>de</w:t>
      </w:r>
      <w:r>
        <w:rPr>
          <w:spacing w:val="-1"/>
          <w:sz w:val="20"/>
        </w:rPr>
        <w:t> </w:t>
      </w:r>
      <w:r>
        <w:rPr>
          <w:sz w:val="20"/>
        </w:rPr>
        <w:t>elecciones ordinarias, para efectuar la jornada electoral.</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22-12-1987,</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2006</w:t>
      </w:r>
    </w:p>
    <w:p>
      <w:pPr>
        <w:pStyle w:val="BodyText"/>
        <w:spacing w:before="47"/>
        <w:rPr>
          <w:rFonts w:ascii="Times New Roman"/>
          <w:i/>
          <w:sz w:val="16"/>
        </w:rPr>
      </w:pPr>
    </w:p>
    <w:p>
      <w:pPr>
        <w:pStyle w:val="BodyText"/>
        <w:spacing w:line="242" w:lineRule="auto"/>
        <w:ind w:left="338" w:right="342" w:firstLine="288"/>
        <w:jc w:val="both"/>
      </w:pPr>
      <w:bookmarkStart w:name="Artículo_75" w:id="93"/>
      <w:bookmarkEnd w:id="93"/>
      <w:r>
        <w:rPr/>
      </w:r>
      <w:r>
        <w:rPr>
          <w:rFonts w:ascii="Arial" w:hAnsi="Arial"/>
          <w:b/>
        </w:rPr>
        <w:t>Artículo 75.- </w:t>
      </w:r>
      <w:r>
        <w:rPr/>
        <w:t>En los casos del</w:t>
      </w:r>
      <w:r>
        <w:rPr>
          <w:spacing w:val="-1"/>
        </w:rPr>
        <w:t> </w:t>
      </w:r>
      <w:r>
        <w:rPr/>
        <w:t>artículo anterior los</w:t>
      </w:r>
      <w:r>
        <w:rPr>
          <w:spacing w:val="-1"/>
        </w:rPr>
        <w:t> </w:t>
      </w:r>
      <w:r>
        <w:rPr/>
        <w:t>trabajadores y</w:t>
      </w:r>
      <w:r>
        <w:rPr>
          <w:spacing w:val="-3"/>
        </w:rPr>
        <w:t> </w:t>
      </w:r>
      <w:r>
        <w:rPr/>
        <w:t>los</w:t>
      </w:r>
      <w:r>
        <w:rPr>
          <w:spacing w:val="-1"/>
        </w:rPr>
        <w:t> </w:t>
      </w:r>
      <w:r>
        <w:rPr/>
        <w:t>patrones</w:t>
      </w:r>
      <w:r>
        <w:rPr>
          <w:spacing w:val="-1"/>
        </w:rPr>
        <w:t> </w:t>
      </w:r>
      <w:r>
        <w:rPr/>
        <w:t>determinarán</w:t>
      </w:r>
      <w:r>
        <w:rPr>
          <w:spacing w:val="-3"/>
        </w:rPr>
        <w:t> </w:t>
      </w:r>
      <w:r>
        <w:rPr/>
        <w:t>el</w:t>
      </w:r>
      <w:r>
        <w:rPr>
          <w:spacing w:val="-1"/>
        </w:rPr>
        <w:t> </w:t>
      </w:r>
      <w:r>
        <w:rPr/>
        <w:t>número de trabajadores que deban prestar sus servicios. Si no se llega a un convenio, resolverá el Tribunal.</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338" w:right="343" w:firstLine="288"/>
        <w:jc w:val="both"/>
      </w:pPr>
      <w:r>
        <w:rPr/>
        <w:t>Los trabajadores quedarán obligados a prestar los servicios y tendrán derecho a que se les pague, independientemente del salario que les corresponda por el descanso obligatorio, un salario doble por el servicio prestado.</w:t>
      </w:r>
    </w:p>
    <w:p>
      <w:pPr>
        <w:pStyle w:val="Heading1"/>
        <w:spacing w:before="225"/>
      </w:pPr>
      <w:r>
        <w:rPr/>
        <w:t>CAPITULO</w:t>
      </w:r>
      <w:r>
        <w:rPr>
          <w:spacing w:val="-9"/>
        </w:rPr>
        <w:t> </w:t>
      </w:r>
      <w:r>
        <w:rPr>
          <w:spacing w:val="-7"/>
        </w:rPr>
        <w:t>IV</w:t>
      </w:r>
    </w:p>
    <w:p>
      <w:pPr>
        <w:pStyle w:val="Heading2"/>
        <w:spacing w:before="2"/>
        <w:ind w:left="296"/>
      </w:pPr>
      <w:r>
        <w:rPr>
          <w:spacing w:val="-2"/>
        </w:rPr>
        <w:t>Vacaciones</w:t>
      </w:r>
    </w:p>
    <w:p>
      <w:pPr>
        <w:pStyle w:val="BodyText"/>
        <w:spacing w:line="242" w:lineRule="auto" w:before="231"/>
        <w:ind w:left="338" w:right="341" w:firstLine="288"/>
        <w:jc w:val="both"/>
      </w:pPr>
      <w:bookmarkStart w:name="Artículo_76" w:id="94"/>
      <w:bookmarkEnd w:id="94"/>
      <w:r>
        <w:rPr/>
      </w:r>
      <w:r>
        <w:rPr>
          <w:rFonts w:ascii="Arial" w:hAnsi="Arial"/>
          <w:b/>
        </w:rPr>
        <w:t>Artículo 76.- </w:t>
      </w:r>
      <w:r>
        <w:rPr/>
        <w:t>Las personas trabajadoras que tengan más de un año de servicios disfrutarán de un periodo anual de vacaciones pagadas, que en ningún caso podrá ser inferior a doce días laborables, y que aumentará en dos días laborables, hasta llegar a veinte, por cada año subsecuente de servicios.</w:t>
      </w:r>
    </w:p>
    <w:p>
      <w:pPr>
        <w:pStyle w:val="BodyText"/>
        <w:spacing w:line="229" w:lineRule="exact" w:before="225"/>
        <w:ind w:left="299" w:right="296"/>
        <w:jc w:val="center"/>
      </w:pPr>
      <w:r>
        <w:rPr/>
        <w:t>A</w:t>
      </w:r>
      <w:r>
        <w:rPr>
          <w:spacing w:val="-6"/>
        </w:rPr>
        <w:t> </w:t>
      </w:r>
      <w:r>
        <w:rPr/>
        <w:t>partir</w:t>
      </w:r>
      <w:r>
        <w:rPr>
          <w:spacing w:val="-5"/>
        </w:rPr>
        <w:t> </w:t>
      </w:r>
      <w:r>
        <w:rPr/>
        <w:t>del</w:t>
      </w:r>
      <w:r>
        <w:rPr>
          <w:spacing w:val="-7"/>
        </w:rPr>
        <w:t> </w:t>
      </w:r>
      <w:r>
        <w:rPr/>
        <w:t>sexto</w:t>
      </w:r>
      <w:r>
        <w:rPr>
          <w:spacing w:val="-4"/>
        </w:rPr>
        <w:t> </w:t>
      </w:r>
      <w:r>
        <w:rPr/>
        <w:t>año,</w:t>
      </w:r>
      <w:r>
        <w:rPr>
          <w:spacing w:val="-5"/>
        </w:rPr>
        <w:t> </w:t>
      </w:r>
      <w:r>
        <w:rPr/>
        <w:t>el</w:t>
      </w:r>
      <w:r>
        <w:rPr>
          <w:spacing w:val="-7"/>
        </w:rPr>
        <w:t> </w:t>
      </w:r>
      <w:r>
        <w:rPr/>
        <w:t>periodo</w:t>
      </w:r>
      <w:r>
        <w:rPr>
          <w:spacing w:val="-4"/>
        </w:rPr>
        <w:t> </w:t>
      </w:r>
      <w:r>
        <w:rPr/>
        <w:t>de</w:t>
      </w:r>
      <w:r>
        <w:rPr>
          <w:spacing w:val="-5"/>
        </w:rPr>
        <w:t> </w:t>
      </w:r>
      <w:r>
        <w:rPr/>
        <w:t>vacaciones</w:t>
      </w:r>
      <w:r>
        <w:rPr>
          <w:spacing w:val="-5"/>
        </w:rPr>
        <w:t> </w:t>
      </w:r>
      <w:r>
        <w:rPr/>
        <w:t>aumentará</w:t>
      </w:r>
      <w:r>
        <w:rPr>
          <w:spacing w:val="-6"/>
        </w:rPr>
        <w:t> </w:t>
      </w:r>
      <w:r>
        <w:rPr/>
        <w:t>en</w:t>
      </w:r>
      <w:r>
        <w:rPr>
          <w:spacing w:val="-4"/>
        </w:rPr>
        <w:t> </w:t>
      </w:r>
      <w:r>
        <w:rPr/>
        <w:t>dos</w:t>
      </w:r>
      <w:r>
        <w:rPr>
          <w:spacing w:val="-5"/>
        </w:rPr>
        <w:t> </w:t>
      </w:r>
      <w:r>
        <w:rPr/>
        <w:t>días</w:t>
      </w:r>
      <w:r>
        <w:rPr>
          <w:spacing w:val="-5"/>
        </w:rPr>
        <w:t> </w:t>
      </w:r>
      <w:r>
        <w:rPr/>
        <w:t>por</w:t>
      </w:r>
      <w:r>
        <w:rPr>
          <w:spacing w:val="-6"/>
        </w:rPr>
        <w:t> </w:t>
      </w:r>
      <w:r>
        <w:rPr/>
        <w:t>cada</w:t>
      </w:r>
      <w:r>
        <w:rPr>
          <w:spacing w:val="-6"/>
        </w:rPr>
        <w:t> </w:t>
      </w:r>
      <w:r>
        <w:rPr/>
        <w:t>cinco</w:t>
      </w:r>
      <w:r>
        <w:rPr>
          <w:spacing w:val="-5"/>
        </w:rPr>
        <w:t> </w:t>
      </w:r>
      <w:r>
        <w:rPr/>
        <w:t>de</w:t>
      </w:r>
      <w:r>
        <w:rPr>
          <w:spacing w:val="-6"/>
        </w:rPr>
        <w:t> </w:t>
      </w:r>
      <w:r>
        <w:rPr>
          <w:spacing w:val="-2"/>
        </w:rPr>
        <w:t>servicios.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2022</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3"/>
        <w:rPr>
          <w:rFonts w:ascii="Times New Roman"/>
          <w:i/>
        </w:rPr>
      </w:pPr>
    </w:p>
    <w:p>
      <w:pPr>
        <w:pStyle w:val="BodyText"/>
        <w:spacing w:line="242" w:lineRule="auto"/>
        <w:ind w:left="338" w:right="336" w:firstLine="288"/>
        <w:jc w:val="both"/>
      </w:pPr>
      <w:bookmarkStart w:name="Artículo_77" w:id="95"/>
      <w:bookmarkEnd w:id="95"/>
      <w:r>
        <w:rPr/>
      </w:r>
      <w:r>
        <w:rPr>
          <w:rFonts w:ascii="Arial" w:hAnsi="Arial"/>
          <w:b/>
        </w:rPr>
        <w:t>Artículo</w:t>
      </w:r>
      <w:r>
        <w:rPr>
          <w:rFonts w:ascii="Arial" w:hAnsi="Arial"/>
          <w:b/>
          <w:spacing w:val="-1"/>
        </w:rPr>
        <w:t> </w:t>
      </w:r>
      <w:r>
        <w:rPr>
          <w:rFonts w:ascii="Arial" w:hAnsi="Arial"/>
          <w:b/>
        </w:rPr>
        <w:t>77.-</w:t>
      </w:r>
      <w:r>
        <w:rPr>
          <w:rFonts w:ascii="Arial" w:hAnsi="Arial"/>
          <w:b/>
          <w:spacing w:val="-1"/>
        </w:rPr>
        <w:t> </w:t>
      </w:r>
      <w:r>
        <w:rPr/>
        <w:t>Los</w:t>
      </w:r>
      <w:r>
        <w:rPr>
          <w:spacing w:val="-1"/>
        </w:rPr>
        <w:t> </w:t>
      </w:r>
      <w:r>
        <w:rPr/>
        <w:t>trabajadores</w:t>
      </w:r>
      <w:r>
        <w:rPr>
          <w:spacing w:val="-1"/>
        </w:rPr>
        <w:t> </w:t>
      </w:r>
      <w:r>
        <w:rPr/>
        <w:t>que presten</w:t>
      </w:r>
      <w:r>
        <w:rPr>
          <w:spacing w:val="-2"/>
        </w:rPr>
        <w:t> </w:t>
      </w:r>
      <w:r>
        <w:rPr/>
        <w:t>servicios</w:t>
      </w:r>
      <w:r>
        <w:rPr>
          <w:spacing w:val="-1"/>
        </w:rPr>
        <w:t> </w:t>
      </w:r>
      <w:r>
        <w:rPr/>
        <w:t>discontinuos y</w:t>
      </w:r>
      <w:r>
        <w:rPr>
          <w:spacing w:val="-2"/>
        </w:rPr>
        <w:t> </w:t>
      </w:r>
      <w:r>
        <w:rPr/>
        <w:t>los de</w:t>
      </w:r>
      <w:r>
        <w:rPr>
          <w:spacing w:val="-2"/>
        </w:rPr>
        <w:t> </w:t>
      </w:r>
      <w:r>
        <w:rPr/>
        <w:t>temporada</w:t>
      </w:r>
      <w:r>
        <w:rPr>
          <w:spacing w:val="-2"/>
        </w:rPr>
        <w:t> </w:t>
      </w:r>
      <w:r>
        <w:rPr/>
        <w:t>tendrán</w:t>
      </w:r>
      <w:r>
        <w:rPr>
          <w:spacing w:val="-2"/>
        </w:rPr>
        <w:t> </w:t>
      </w:r>
      <w:r>
        <w:rPr/>
        <w:t>derecho a un período anual de vacaciones, en proporción al número de días de trabajos en el año.</w:t>
      </w:r>
    </w:p>
    <w:p>
      <w:pPr>
        <w:pStyle w:val="BodyText"/>
        <w:spacing w:before="227"/>
        <w:ind w:left="338" w:right="339" w:firstLine="288"/>
        <w:jc w:val="both"/>
      </w:pPr>
      <w:bookmarkStart w:name="Artículo_78" w:id="96"/>
      <w:bookmarkEnd w:id="96"/>
      <w:r>
        <w:rPr/>
      </w:r>
      <w:r>
        <w:rPr>
          <w:rFonts w:ascii="Arial" w:hAnsi="Arial"/>
          <w:b/>
        </w:rPr>
        <w:t>Artículo 78.- </w:t>
      </w:r>
      <w:r>
        <w:rPr/>
        <w:t>Del total del periodo que le corresponda conforme a lo previsto en el artículo 76 de esta Ley, la persona trabajadora disfrutará de doce días de vacaciones continuos, por lo menos. Dicho</w:t>
      </w:r>
      <w:r>
        <w:rPr>
          <w:spacing w:val="40"/>
        </w:rPr>
        <w:t> </w:t>
      </w:r>
      <w:r>
        <w:rPr/>
        <w:t>periodo, a potestad de la persona trabajadora podrá ser distribuido en la forma y tiempo que así lo </w:t>
      </w:r>
      <w:r>
        <w:rPr>
          <w:spacing w:val="-2"/>
        </w:rPr>
        <w:t>requiera.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2022</w:t>
      </w:r>
    </w:p>
    <w:p>
      <w:pPr>
        <w:pStyle w:val="BodyText"/>
        <w:spacing w:before="47"/>
        <w:rPr>
          <w:rFonts w:ascii="Times New Roman"/>
          <w:i/>
          <w:sz w:val="16"/>
        </w:rPr>
      </w:pPr>
    </w:p>
    <w:p>
      <w:pPr>
        <w:pStyle w:val="BodyText"/>
        <w:ind w:left="626"/>
      </w:pPr>
      <w:bookmarkStart w:name="Artículo_79" w:id="97"/>
      <w:bookmarkEnd w:id="97"/>
      <w:r>
        <w:rPr/>
      </w:r>
      <w:r>
        <w:rPr>
          <w:rFonts w:ascii="Arial" w:hAnsi="Arial"/>
          <w:b/>
        </w:rPr>
        <w:t>Artículo</w:t>
      </w:r>
      <w:r>
        <w:rPr>
          <w:rFonts w:ascii="Arial" w:hAnsi="Arial"/>
          <w:b/>
          <w:spacing w:val="-7"/>
        </w:rPr>
        <w:t> </w:t>
      </w:r>
      <w:r>
        <w:rPr>
          <w:rFonts w:ascii="Arial" w:hAnsi="Arial"/>
          <w:b/>
        </w:rPr>
        <w:t>79.-</w:t>
      </w:r>
      <w:r>
        <w:rPr>
          <w:rFonts w:ascii="Arial" w:hAnsi="Arial"/>
          <w:b/>
          <w:spacing w:val="-6"/>
        </w:rPr>
        <w:t> </w:t>
      </w:r>
      <w:r>
        <w:rPr/>
        <w:t>Las</w:t>
      </w:r>
      <w:r>
        <w:rPr>
          <w:spacing w:val="-5"/>
        </w:rPr>
        <w:t> </w:t>
      </w:r>
      <w:r>
        <w:rPr/>
        <w:t>vacaciones</w:t>
      </w:r>
      <w:r>
        <w:rPr>
          <w:spacing w:val="-6"/>
        </w:rPr>
        <w:t> </w:t>
      </w:r>
      <w:r>
        <w:rPr/>
        <w:t>no</w:t>
      </w:r>
      <w:r>
        <w:rPr>
          <w:spacing w:val="-8"/>
        </w:rPr>
        <w:t> </w:t>
      </w:r>
      <w:r>
        <w:rPr/>
        <w:t>podrán</w:t>
      </w:r>
      <w:r>
        <w:rPr>
          <w:spacing w:val="-7"/>
        </w:rPr>
        <w:t> </w:t>
      </w:r>
      <w:r>
        <w:rPr/>
        <w:t>compensarse</w:t>
      </w:r>
      <w:r>
        <w:rPr>
          <w:spacing w:val="-7"/>
        </w:rPr>
        <w:t> </w:t>
      </w:r>
      <w:r>
        <w:rPr/>
        <w:t>con</w:t>
      </w:r>
      <w:r>
        <w:rPr>
          <w:spacing w:val="-9"/>
        </w:rPr>
        <w:t> </w:t>
      </w:r>
      <w:r>
        <w:rPr/>
        <w:t>una</w:t>
      </w:r>
      <w:r>
        <w:rPr>
          <w:spacing w:val="-7"/>
        </w:rPr>
        <w:t> </w:t>
      </w:r>
      <w:r>
        <w:rPr>
          <w:spacing w:val="-2"/>
        </w:rPr>
        <w:t>remuneración.</w:t>
      </w:r>
    </w:p>
    <w:p>
      <w:pPr>
        <w:pStyle w:val="BodyText"/>
        <w:spacing w:before="1"/>
      </w:pPr>
    </w:p>
    <w:p>
      <w:pPr>
        <w:pStyle w:val="BodyText"/>
        <w:spacing w:before="1"/>
        <w:ind w:left="338" w:right="347" w:firstLine="288"/>
        <w:jc w:val="both"/>
      </w:pPr>
      <w:r>
        <w:rPr/>
        <w:t>Si la relación de trabajo termina antes de que se cumpla el año de servicios, el trabajador tendrá derecho a una remuneración proporcionada al tiempo de servicios prestados.</w:t>
      </w:r>
    </w:p>
    <w:p>
      <w:pPr>
        <w:pStyle w:val="BodyText"/>
        <w:spacing w:before="228"/>
        <w:ind w:left="338" w:right="339" w:firstLine="288"/>
        <w:jc w:val="both"/>
      </w:pPr>
      <w:bookmarkStart w:name="Artículo_80" w:id="98"/>
      <w:bookmarkEnd w:id="98"/>
      <w:r>
        <w:rPr/>
      </w:r>
      <w:r>
        <w:rPr>
          <w:rFonts w:ascii="Arial" w:hAnsi="Arial"/>
          <w:b/>
        </w:rPr>
        <w:t>Artículo 80.- </w:t>
      </w:r>
      <w:r>
        <w:rPr/>
        <w:t>Los trabajadores tendrán derecho a una prima no menor de veinticinco por ciento sobre los salarios que les correspondan durante el período de vacaciones.</w:t>
      </w:r>
    </w:p>
    <w:p>
      <w:pPr>
        <w:pStyle w:val="BodyText"/>
        <w:spacing w:line="242" w:lineRule="auto" w:before="229"/>
        <w:ind w:left="338" w:right="338" w:firstLine="288"/>
        <w:jc w:val="both"/>
      </w:pPr>
      <w:bookmarkStart w:name="Artículo_81" w:id="99"/>
      <w:bookmarkEnd w:id="99"/>
      <w:r>
        <w:rPr/>
      </w:r>
      <w:r>
        <w:rPr>
          <w:rFonts w:ascii="Arial" w:hAnsi="Arial"/>
          <w:b/>
        </w:rPr>
        <w:t>Artículo 81.- </w:t>
      </w:r>
      <w:r>
        <w:rPr/>
        <w:t>Las vacaciones deberán concederse a los trabajadores dentro de los seis meses siguientes al cumplimiento del año de servicios. Los patrones entregarán anualmente a sus trabajadores una constancia que contenga su antigüedad y de acuerdo con ella el período de vacaciones que les corresponda y la fecha en que deberán disfrutarlo.</w:t>
      </w:r>
    </w:p>
    <w:p>
      <w:pPr>
        <w:pStyle w:val="Heading1"/>
        <w:spacing w:before="219"/>
      </w:pPr>
      <w:r>
        <w:rPr/>
        <w:t>CAPITULO</w:t>
      </w:r>
      <w:r>
        <w:rPr>
          <w:spacing w:val="-7"/>
        </w:rPr>
        <w:t> </w:t>
      </w:r>
      <w:r>
        <w:rPr>
          <w:spacing w:val="-12"/>
        </w:rPr>
        <w:t>V</w:t>
      </w:r>
    </w:p>
    <w:p>
      <w:pPr>
        <w:pStyle w:val="Heading2"/>
        <w:spacing w:before="1"/>
        <w:ind w:left="300"/>
      </w:pPr>
      <w:r>
        <w:rPr>
          <w:spacing w:val="-2"/>
        </w:rPr>
        <w:t>Salario</w:t>
      </w:r>
    </w:p>
    <w:p>
      <w:pPr>
        <w:pStyle w:val="BodyText"/>
        <w:spacing w:before="232"/>
        <w:ind w:left="626"/>
      </w:pPr>
      <w:bookmarkStart w:name="Artículo_82" w:id="100"/>
      <w:bookmarkEnd w:id="100"/>
      <w:r>
        <w:rPr/>
      </w:r>
      <w:r>
        <w:rPr>
          <w:rFonts w:ascii="Arial" w:hAnsi="Arial"/>
          <w:b/>
        </w:rPr>
        <w:t>Artículo</w:t>
      </w:r>
      <w:r>
        <w:rPr>
          <w:rFonts w:ascii="Arial" w:hAnsi="Arial"/>
          <w:b/>
          <w:spacing w:val="-6"/>
        </w:rPr>
        <w:t> </w:t>
      </w:r>
      <w:r>
        <w:rPr>
          <w:rFonts w:ascii="Arial" w:hAnsi="Arial"/>
          <w:b/>
        </w:rPr>
        <w:t>82.-</w:t>
      </w:r>
      <w:r>
        <w:rPr>
          <w:rFonts w:ascii="Arial" w:hAnsi="Arial"/>
          <w:b/>
          <w:spacing w:val="-6"/>
        </w:rPr>
        <w:t> </w:t>
      </w:r>
      <w:r>
        <w:rPr/>
        <w:t>Salario</w:t>
      </w:r>
      <w:r>
        <w:rPr>
          <w:spacing w:val="-6"/>
        </w:rPr>
        <w:t> </w:t>
      </w:r>
      <w:r>
        <w:rPr/>
        <w:t>es</w:t>
      </w:r>
      <w:r>
        <w:rPr>
          <w:spacing w:val="-6"/>
        </w:rPr>
        <w:t> </w:t>
      </w:r>
      <w:r>
        <w:rPr/>
        <w:t>la</w:t>
      </w:r>
      <w:r>
        <w:rPr>
          <w:spacing w:val="-4"/>
        </w:rPr>
        <w:t> </w:t>
      </w:r>
      <w:r>
        <w:rPr/>
        <w:t>retribución</w:t>
      </w:r>
      <w:r>
        <w:rPr>
          <w:spacing w:val="-5"/>
        </w:rPr>
        <w:t> </w:t>
      </w:r>
      <w:r>
        <w:rPr/>
        <w:t>que</w:t>
      </w:r>
      <w:r>
        <w:rPr>
          <w:spacing w:val="-7"/>
        </w:rPr>
        <w:t> </w:t>
      </w:r>
      <w:r>
        <w:rPr/>
        <w:t>debe</w:t>
      </w:r>
      <w:r>
        <w:rPr>
          <w:spacing w:val="-6"/>
        </w:rPr>
        <w:t> </w:t>
      </w:r>
      <w:r>
        <w:rPr/>
        <w:t>pagar</w:t>
      </w:r>
      <w:r>
        <w:rPr>
          <w:spacing w:val="-1"/>
        </w:rPr>
        <w:t> </w:t>
      </w:r>
      <w:r>
        <w:rPr/>
        <w:t>el</w:t>
      </w:r>
      <w:r>
        <w:rPr>
          <w:spacing w:val="-8"/>
        </w:rPr>
        <w:t> </w:t>
      </w:r>
      <w:r>
        <w:rPr/>
        <w:t>patrón</w:t>
      </w:r>
      <w:r>
        <w:rPr>
          <w:spacing w:val="-5"/>
        </w:rPr>
        <w:t> </w:t>
      </w:r>
      <w:r>
        <w:rPr/>
        <w:t>al</w:t>
      </w:r>
      <w:r>
        <w:rPr>
          <w:spacing w:val="-5"/>
        </w:rPr>
        <w:t> </w:t>
      </w:r>
      <w:r>
        <w:rPr/>
        <w:t>trabajador</w:t>
      </w:r>
      <w:r>
        <w:rPr>
          <w:spacing w:val="-6"/>
        </w:rPr>
        <w:t> </w:t>
      </w:r>
      <w:r>
        <w:rPr/>
        <w:t>por</w:t>
      </w:r>
      <w:r>
        <w:rPr>
          <w:spacing w:val="-7"/>
        </w:rPr>
        <w:t> </w:t>
      </w:r>
      <w:r>
        <w:rPr/>
        <w:t>su</w:t>
      </w:r>
      <w:r>
        <w:rPr>
          <w:spacing w:val="-6"/>
        </w:rPr>
        <w:t> </w:t>
      </w:r>
      <w:r>
        <w:rPr>
          <w:spacing w:val="-2"/>
        </w:rPr>
        <w:t>trabajo.</w:t>
      </w:r>
    </w:p>
    <w:p>
      <w:pPr>
        <w:pStyle w:val="BodyText"/>
        <w:spacing w:before="1"/>
      </w:pPr>
    </w:p>
    <w:p>
      <w:pPr>
        <w:pStyle w:val="BodyText"/>
        <w:ind w:left="338" w:right="347" w:firstLine="288"/>
        <w:jc w:val="both"/>
      </w:pPr>
      <w:bookmarkStart w:name="Artículo_83" w:id="101"/>
      <w:bookmarkEnd w:id="101"/>
      <w:r>
        <w:rPr/>
      </w:r>
      <w:r>
        <w:rPr>
          <w:rFonts w:ascii="Arial" w:hAnsi="Arial"/>
          <w:b/>
        </w:rPr>
        <w:t>Artículo 83.- </w:t>
      </w:r>
      <w:r>
        <w:rPr/>
        <w:t>El salario puede fijarse por unidad de tiempo, por unidad de obra, por comisión, a precio alzado o de cualquier otra manera.</w:t>
      </w:r>
    </w:p>
    <w:p>
      <w:pPr>
        <w:pStyle w:val="BodyText"/>
        <w:spacing w:before="1"/>
      </w:pPr>
    </w:p>
    <w:p>
      <w:pPr>
        <w:pStyle w:val="BodyText"/>
        <w:ind w:left="338" w:right="337" w:firstLine="288"/>
        <w:jc w:val="both"/>
      </w:pPr>
      <w:r>
        <w:rPr/>
        <w:t>Tratándose de salario por unidad de tiempo, se establecerá específicamente esa naturaleza. El trabajador y el patrón podrán convenir el monto, siempre que se trate de un salario remunerador, así como</w:t>
      </w:r>
      <w:r>
        <w:rPr>
          <w:spacing w:val="-3"/>
        </w:rPr>
        <w:t> </w:t>
      </w:r>
      <w:r>
        <w:rPr/>
        <w:t>el</w:t>
      </w:r>
      <w:r>
        <w:rPr>
          <w:spacing w:val="-2"/>
        </w:rPr>
        <w:t> </w:t>
      </w:r>
      <w:r>
        <w:rPr/>
        <w:t>pago</w:t>
      </w:r>
      <w:r>
        <w:rPr>
          <w:spacing w:val="-1"/>
        </w:rPr>
        <w:t> </w:t>
      </w:r>
      <w:r>
        <w:rPr/>
        <w:t>por</w:t>
      </w:r>
      <w:r>
        <w:rPr>
          <w:spacing w:val="-3"/>
        </w:rPr>
        <w:t> </w:t>
      </w:r>
      <w:r>
        <w:rPr/>
        <w:t>cada</w:t>
      </w:r>
      <w:r>
        <w:rPr>
          <w:spacing w:val="-1"/>
        </w:rPr>
        <w:t> </w:t>
      </w:r>
      <w:r>
        <w:rPr/>
        <w:t>hora</w:t>
      </w:r>
      <w:r>
        <w:rPr>
          <w:spacing w:val="-3"/>
        </w:rPr>
        <w:t> </w:t>
      </w:r>
      <w:r>
        <w:rPr/>
        <w:t>de</w:t>
      </w:r>
      <w:r>
        <w:rPr>
          <w:spacing w:val="-1"/>
        </w:rPr>
        <w:t> </w:t>
      </w:r>
      <w:r>
        <w:rPr/>
        <w:t>prestación</w:t>
      </w:r>
      <w:r>
        <w:rPr>
          <w:spacing w:val="-1"/>
        </w:rPr>
        <w:t> </w:t>
      </w:r>
      <w:r>
        <w:rPr/>
        <w:t>de</w:t>
      </w:r>
      <w:r>
        <w:rPr>
          <w:spacing w:val="-1"/>
        </w:rPr>
        <w:t> </w:t>
      </w:r>
      <w:r>
        <w:rPr/>
        <w:t>servicio,</w:t>
      </w:r>
      <w:r>
        <w:rPr>
          <w:spacing w:val="-1"/>
        </w:rPr>
        <w:t> </w:t>
      </w:r>
      <w:r>
        <w:rPr/>
        <w:t>siempre</w:t>
      </w:r>
      <w:r>
        <w:rPr>
          <w:spacing w:val="-1"/>
        </w:rPr>
        <w:t> </w:t>
      </w:r>
      <w:r>
        <w:rPr/>
        <w:t>y</w:t>
      </w:r>
      <w:r>
        <w:rPr>
          <w:spacing w:val="-4"/>
        </w:rPr>
        <w:t> </w:t>
      </w:r>
      <w:r>
        <w:rPr/>
        <w:t>cuando</w:t>
      </w:r>
      <w:r>
        <w:rPr>
          <w:spacing w:val="-1"/>
        </w:rPr>
        <w:t> </w:t>
      </w:r>
      <w:r>
        <w:rPr/>
        <w:t>no</w:t>
      </w:r>
      <w:r>
        <w:rPr>
          <w:spacing w:val="-3"/>
        </w:rPr>
        <w:t> </w:t>
      </w:r>
      <w:r>
        <w:rPr/>
        <w:t>se</w:t>
      </w:r>
      <w:r>
        <w:rPr>
          <w:spacing w:val="-1"/>
        </w:rPr>
        <w:t> </w:t>
      </w:r>
      <w:r>
        <w:rPr/>
        <w:t>exceda</w:t>
      </w:r>
      <w:r>
        <w:rPr>
          <w:spacing w:val="-1"/>
        </w:rPr>
        <w:t> </w:t>
      </w:r>
      <w:r>
        <w:rPr/>
        <w:t>la</w:t>
      </w:r>
      <w:r>
        <w:rPr>
          <w:spacing w:val="-1"/>
        </w:rPr>
        <w:t> </w:t>
      </w:r>
      <w:r>
        <w:rPr/>
        <w:t>jornada</w:t>
      </w:r>
      <w:r>
        <w:rPr>
          <w:spacing w:val="-1"/>
        </w:rPr>
        <w:t> </w:t>
      </w:r>
      <w:r>
        <w:rPr/>
        <w:t>máxima legal y se respeten los derechos laborales y de seguridad social que correspondan a la plaza de que se trate. El ingreso que perciban los trabajadores por esta modalidad, en ningún caso será inferior al que corresponda a una jornada diaria.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38" w:firstLine="288"/>
        <w:jc w:val="both"/>
      </w:pPr>
      <w:r>
        <w:rPr/>
        <w:t>Cuando el salario se fije por unidad de obra, además de especificarse la naturaleza de ésta, se hará constar la cantidad y calidad del material, el estado de la herramienta y útiles que el patrón, en su caso, proporcione para ejecutar la obra, y el tiempo por el que los pondrá a disposición del trabajador, sin que pueda exigir cantidad alguna por concepto del desgaste natural que sufra la herramienta como consecuencia del trabajo.</w:t>
      </w:r>
    </w:p>
    <w:p>
      <w:pPr>
        <w:pStyle w:val="BodyText"/>
        <w:spacing w:line="242" w:lineRule="auto" w:before="228"/>
        <w:ind w:left="338" w:right="337" w:firstLine="288"/>
        <w:jc w:val="both"/>
      </w:pPr>
      <w:bookmarkStart w:name="Artículo_84" w:id="102"/>
      <w:bookmarkEnd w:id="102"/>
      <w:r>
        <w:rPr/>
      </w:r>
      <w:r>
        <w:rPr>
          <w:rFonts w:ascii="Arial" w:hAnsi="Arial"/>
          <w:b/>
        </w:rPr>
        <w:t>Artículo 84.- </w:t>
      </w:r>
      <w:r>
        <w:rPr/>
        <w:t>El salario se integra con los pagos hechos en efectivo por cuota diaria, gratificaciones, percepciones, habitación, primas, comisiones, prestaciones en especie y cualquiera otra cantidad o prestación que se entregue al trabajador por su trabajo.</w:t>
      </w:r>
    </w:p>
    <w:p>
      <w:pPr>
        <w:pStyle w:val="BodyText"/>
        <w:spacing w:before="225"/>
        <w:ind w:left="338" w:right="335" w:firstLine="288"/>
        <w:jc w:val="both"/>
      </w:pPr>
      <w:bookmarkStart w:name="Artículo_85" w:id="103"/>
      <w:bookmarkEnd w:id="103"/>
      <w:r>
        <w:rPr/>
      </w:r>
      <w:r>
        <w:rPr>
          <w:rFonts w:ascii="Arial" w:hAnsi="Arial"/>
          <w:b/>
        </w:rPr>
        <w:t>Artículo 85.- </w:t>
      </w:r>
      <w:r>
        <w:rPr/>
        <w:t>El salario debe ser remunerador y nunca menor al fijado como mínimo de acuerdo con las disposiciones de esta Ley. Para fijar el importe del salario se tomarán en consideración la cantidad y calidad del trabajo.</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51" w:firstLine="288"/>
        <w:jc w:val="both"/>
      </w:pPr>
      <w:r>
        <w:rPr/>
        <w:t>En el salario por unidad de obra, la retribución que se pague será tal, que para un trabajo normal, en una jornada de ocho horas, dé por resultado el monto del salario mínimo, por lo menos.</w:t>
      </w:r>
    </w:p>
    <w:p>
      <w:pPr>
        <w:pStyle w:val="BodyText"/>
        <w:spacing w:before="229"/>
        <w:ind w:left="338" w:right="336" w:firstLine="288"/>
        <w:jc w:val="both"/>
      </w:pPr>
      <w:bookmarkStart w:name="Artículo_86" w:id="104"/>
      <w:bookmarkEnd w:id="104"/>
      <w:r>
        <w:rPr/>
      </w:r>
      <w:r>
        <w:rPr>
          <w:rFonts w:ascii="Arial" w:hAnsi="Arial"/>
          <w:b/>
        </w:rPr>
        <w:t>Artículo 86.- </w:t>
      </w:r>
      <w:r>
        <w:rPr/>
        <w:t>A trabajo igual, desempeñado en puesto, jornada y condiciones de eficiencia también iguales, debe corresponder salario igual; en cumplimiento de las obligaciones del Estado de reducir la brecha salarial de género se promoverán acciones para erradicar las prácticas retributivas desiguales de conformidad con lo dispuesto en la Ley General para la Igualdad entre Mujeres y Hombres.</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line="242" w:lineRule="auto" w:before="1"/>
        <w:ind w:left="338" w:right="348" w:firstLine="288"/>
        <w:jc w:val="both"/>
      </w:pPr>
      <w:bookmarkStart w:name="Artículo_87" w:id="105"/>
      <w:bookmarkEnd w:id="105"/>
      <w:r>
        <w:rPr/>
      </w:r>
      <w:r>
        <w:rPr>
          <w:rFonts w:ascii="Arial" w:hAnsi="Arial"/>
          <w:b/>
        </w:rPr>
        <w:t>Artículo 87.- </w:t>
      </w:r>
      <w:r>
        <w:rPr/>
        <w:t>Los trabajadores tendrán derecho a un aguinaldo anual que deberá pagarse antes del día veinte de diciembre, equivalente a quince días de salario, por lo menos.</w:t>
      </w:r>
    </w:p>
    <w:p>
      <w:pPr>
        <w:pStyle w:val="BodyText"/>
        <w:spacing w:before="227"/>
        <w:ind w:left="338" w:right="334" w:firstLine="288"/>
        <w:jc w:val="both"/>
      </w:pPr>
      <w:r>
        <w:rPr/>
        <w:t>Los que no hayan cumplido el año de servicios, independientemente de que se encuentren</w:t>
      </w:r>
      <w:r>
        <w:rPr>
          <w:spacing w:val="14"/>
        </w:rPr>
        <w:t> </w:t>
      </w:r>
      <w:r>
        <w:rPr/>
        <w:t>laborando o no en la fecha de liquidación del aguinaldo, tendrán derecho a que se les pague la parte proporcional del mismo, conforme al tiempo que hubieren trabajado, cualquiera que fuere éste.</w:t>
      </w:r>
    </w:p>
    <w:p>
      <w:pPr>
        <w:spacing w:line="180"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1975</w:t>
      </w:r>
    </w:p>
    <w:p>
      <w:pPr>
        <w:pStyle w:val="BodyText"/>
        <w:spacing w:before="47"/>
        <w:rPr>
          <w:rFonts w:ascii="Times New Roman"/>
          <w:i/>
          <w:sz w:val="16"/>
        </w:rPr>
      </w:pPr>
    </w:p>
    <w:p>
      <w:pPr>
        <w:pStyle w:val="BodyText"/>
        <w:spacing w:line="242" w:lineRule="auto"/>
        <w:ind w:left="338" w:right="344" w:firstLine="288"/>
        <w:jc w:val="both"/>
      </w:pPr>
      <w:bookmarkStart w:name="Artículo_88" w:id="106"/>
      <w:bookmarkEnd w:id="106"/>
      <w:r>
        <w:rPr/>
      </w:r>
      <w:r>
        <w:rPr>
          <w:rFonts w:ascii="Arial" w:hAnsi="Arial"/>
          <w:b/>
        </w:rPr>
        <w:t>Artículo 88.- </w:t>
      </w:r>
      <w:r>
        <w:rPr/>
        <w:t>Los plazos para el pago del salario nunca podrán ser mayores de una semana para las personas que desempeñan un trabajo material y de quince días para los demás trabajadores.</w:t>
      </w:r>
    </w:p>
    <w:p>
      <w:pPr>
        <w:pStyle w:val="BodyText"/>
        <w:spacing w:before="227"/>
        <w:ind w:left="338" w:right="335" w:firstLine="288"/>
        <w:jc w:val="both"/>
      </w:pPr>
      <w:bookmarkStart w:name="Artículo_89" w:id="107"/>
      <w:bookmarkEnd w:id="107"/>
      <w:r>
        <w:rPr/>
      </w:r>
      <w:r>
        <w:rPr>
          <w:rFonts w:ascii="Arial" w:hAnsi="Arial"/>
          <w:b/>
        </w:rPr>
        <w:t>Artículo 89.- </w:t>
      </w:r>
      <w:r>
        <w:rPr/>
        <w:t>Para determinar el monto de las indemnizaciones que deban pagarse a los trabajadores se tomará como base el salario correspondiente al día en que nazca el derecho a la indemnización, incluyendo en él la cuota diaria y</w:t>
      </w:r>
      <w:r>
        <w:rPr>
          <w:spacing w:val="-3"/>
        </w:rPr>
        <w:t> </w:t>
      </w:r>
      <w:r>
        <w:rPr/>
        <w:t>la parte proporcional de</w:t>
      </w:r>
      <w:r>
        <w:rPr>
          <w:spacing w:val="-1"/>
        </w:rPr>
        <w:t> </w:t>
      </w:r>
      <w:r>
        <w:rPr/>
        <w:t>las prestaciones mencionadas en</w:t>
      </w:r>
      <w:r>
        <w:rPr>
          <w:spacing w:val="-1"/>
        </w:rPr>
        <w:t> </w:t>
      </w:r>
      <w:r>
        <w:rPr/>
        <w:t>el</w:t>
      </w:r>
      <w:r>
        <w:rPr>
          <w:spacing w:val="-1"/>
        </w:rPr>
        <w:t> </w:t>
      </w:r>
      <w:r>
        <w:rPr/>
        <w:t>artículo 84.</w:t>
      </w:r>
    </w:p>
    <w:p>
      <w:pPr>
        <w:pStyle w:val="BodyText"/>
        <w:spacing w:before="1"/>
      </w:pPr>
    </w:p>
    <w:p>
      <w:pPr>
        <w:pStyle w:val="BodyText"/>
        <w:spacing w:before="1"/>
        <w:ind w:left="338" w:right="336" w:firstLine="288"/>
        <w:jc w:val="both"/>
      </w:pPr>
      <w:r>
        <w:rPr/>
        <w:t>En</w:t>
      </w:r>
      <w:r>
        <w:rPr>
          <w:spacing w:val="-1"/>
        </w:rPr>
        <w:t> </w:t>
      </w:r>
      <w:r>
        <w:rPr/>
        <w:t>los</w:t>
      </w:r>
      <w:r>
        <w:rPr>
          <w:spacing w:val="-2"/>
        </w:rPr>
        <w:t> </w:t>
      </w:r>
      <w:r>
        <w:rPr/>
        <w:t>casos de</w:t>
      </w:r>
      <w:r>
        <w:rPr>
          <w:spacing w:val="-4"/>
        </w:rPr>
        <w:t> </w:t>
      </w:r>
      <w:r>
        <w:rPr/>
        <w:t>salario</w:t>
      </w:r>
      <w:r>
        <w:rPr>
          <w:spacing w:val="-1"/>
        </w:rPr>
        <w:t> </w:t>
      </w:r>
      <w:r>
        <w:rPr/>
        <w:t>por unidad</w:t>
      </w:r>
      <w:r>
        <w:rPr>
          <w:spacing w:val="-3"/>
        </w:rPr>
        <w:t> </w:t>
      </w:r>
      <w:r>
        <w:rPr/>
        <w:t>de</w:t>
      </w:r>
      <w:r>
        <w:rPr>
          <w:spacing w:val="-3"/>
        </w:rPr>
        <w:t> </w:t>
      </w:r>
      <w:r>
        <w:rPr/>
        <w:t>obra, y</w:t>
      </w:r>
      <w:r>
        <w:rPr>
          <w:spacing w:val="-4"/>
        </w:rPr>
        <w:t> </w:t>
      </w:r>
      <w:r>
        <w:rPr/>
        <w:t>en</w:t>
      </w:r>
      <w:r>
        <w:rPr>
          <w:spacing w:val="-1"/>
        </w:rPr>
        <w:t> </w:t>
      </w:r>
      <w:r>
        <w:rPr/>
        <w:t>general,</w:t>
      </w:r>
      <w:r>
        <w:rPr>
          <w:spacing w:val="-3"/>
        </w:rPr>
        <w:t> </w:t>
      </w:r>
      <w:r>
        <w:rPr/>
        <w:t>cuando</w:t>
      </w:r>
      <w:r>
        <w:rPr>
          <w:spacing w:val="-1"/>
        </w:rPr>
        <w:t> </w:t>
      </w:r>
      <w:r>
        <w:rPr/>
        <w:t>la</w:t>
      </w:r>
      <w:r>
        <w:rPr>
          <w:spacing w:val="-3"/>
        </w:rPr>
        <w:t> </w:t>
      </w:r>
      <w:r>
        <w:rPr/>
        <w:t>retribución</w:t>
      </w:r>
      <w:r>
        <w:rPr>
          <w:spacing w:val="-3"/>
        </w:rPr>
        <w:t> </w:t>
      </w:r>
      <w:r>
        <w:rPr/>
        <w:t>sea</w:t>
      </w:r>
      <w:r>
        <w:rPr>
          <w:spacing w:val="-3"/>
        </w:rPr>
        <w:t> </w:t>
      </w:r>
      <w:r>
        <w:rPr/>
        <w:t>variable,</w:t>
      </w:r>
      <w:r>
        <w:rPr>
          <w:spacing w:val="-3"/>
        </w:rPr>
        <w:t> </w:t>
      </w:r>
      <w:r>
        <w:rPr/>
        <w:t>se</w:t>
      </w:r>
      <w:r>
        <w:rPr>
          <w:spacing w:val="-1"/>
        </w:rPr>
        <w:t> </w:t>
      </w:r>
      <w:r>
        <w:rPr/>
        <w:t>tomará como salario diario el promedio de las percepciones obtenidas en los treinta días efectivamente trabajados antes del nacimiento del derecho. Si en ese lapso hubiese habido aumento en el salario, se tomará como base el promedio de las percepciones obtenidas por el trabajador a partir de la fecha del </w:t>
      </w:r>
      <w:r>
        <w:rPr>
          <w:spacing w:val="-2"/>
        </w:rPr>
        <w:t>aumento.</w:t>
      </w:r>
    </w:p>
    <w:p>
      <w:pPr>
        <w:pStyle w:val="BodyText"/>
      </w:pPr>
    </w:p>
    <w:p>
      <w:pPr>
        <w:pStyle w:val="BodyText"/>
        <w:ind w:left="338" w:right="348" w:firstLine="288"/>
        <w:jc w:val="both"/>
      </w:pPr>
      <w:r>
        <w:rPr/>
        <w:t>Cuando el salario se fije por semana o por mes, se dividirá entre siete o entre treinta, según el caso, para determinar el salario diario.</w:t>
      </w:r>
    </w:p>
    <w:p>
      <w:pPr>
        <w:pStyle w:val="Heading1"/>
        <w:spacing w:line="252" w:lineRule="exact" w:before="227"/>
      </w:pPr>
      <w:r>
        <w:rPr/>
        <w:t>CAPITULO</w:t>
      </w:r>
      <w:r>
        <w:rPr>
          <w:spacing w:val="-7"/>
        </w:rPr>
        <w:t> VI</w:t>
      </w:r>
    </w:p>
    <w:p>
      <w:pPr>
        <w:pStyle w:val="Heading2"/>
        <w:spacing w:line="252" w:lineRule="exact"/>
        <w:ind w:left="297"/>
      </w:pPr>
      <w:r>
        <w:rPr/>
        <w:t>Salario</w:t>
      </w:r>
      <w:r>
        <w:rPr>
          <w:spacing w:val="-8"/>
        </w:rPr>
        <w:t> </w:t>
      </w:r>
      <w:r>
        <w:rPr>
          <w:spacing w:val="-2"/>
        </w:rPr>
        <w:t>mínimo</w:t>
      </w:r>
    </w:p>
    <w:p>
      <w:pPr>
        <w:pStyle w:val="BodyText"/>
        <w:spacing w:line="242" w:lineRule="auto" w:before="231"/>
        <w:ind w:left="338" w:right="357" w:firstLine="288"/>
      </w:pPr>
      <w:bookmarkStart w:name="Artículo_90" w:id="108"/>
      <w:bookmarkEnd w:id="108"/>
      <w:r>
        <w:rPr/>
      </w:r>
      <w:r>
        <w:rPr>
          <w:rFonts w:ascii="Arial" w:hAnsi="Arial"/>
          <w:b/>
        </w:rPr>
        <w:t>Artículo 90.- </w:t>
      </w:r>
      <w:r>
        <w:rPr/>
        <w:t>Salario mínimo es la cantidad menor que debe recibir en efectivo la persona trabajadora por los servicios prestados en una jornada de trabajo.</w:t>
      </w:r>
    </w:p>
    <w:p>
      <w:pPr>
        <w:pStyle w:val="BodyText"/>
        <w:spacing w:before="227"/>
        <w:ind w:left="338" w:firstLine="288"/>
      </w:pPr>
      <w:r>
        <w:rPr/>
        <w:t>El salario mínimo deberá ser suficiente para satisfacer las necesidades normales de una o un jefe de familia en el orden material, social y cultural, y para proveer a la educación obligatoria de las y los hijos.</w:t>
      </w:r>
    </w:p>
    <w:p>
      <w:pPr>
        <w:pStyle w:val="BodyText"/>
        <w:spacing w:before="1"/>
      </w:pPr>
    </w:p>
    <w:p>
      <w:pPr>
        <w:pStyle w:val="BodyText"/>
        <w:ind w:left="338" w:firstLine="288"/>
      </w:pPr>
      <w:r>
        <w:rPr/>
        <w:t>Se</w:t>
      </w:r>
      <w:r>
        <w:rPr>
          <w:spacing w:val="-5"/>
        </w:rPr>
        <w:t> </w:t>
      </w:r>
      <w:r>
        <w:rPr/>
        <w:t>considera</w:t>
      </w:r>
      <w:r>
        <w:rPr>
          <w:spacing w:val="-3"/>
        </w:rPr>
        <w:t> </w:t>
      </w:r>
      <w:r>
        <w:rPr/>
        <w:t>de</w:t>
      </w:r>
      <w:r>
        <w:rPr>
          <w:spacing w:val="-4"/>
        </w:rPr>
        <w:t> </w:t>
      </w:r>
      <w:r>
        <w:rPr/>
        <w:t>utilidad</w:t>
      </w:r>
      <w:r>
        <w:rPr>
          <w:spacing w:val="-3"/>
        </w:rPr>
        <w:t> </w:t>
      </w:r>
      <w:r>
        <w:rPr/>
        <w:t>social</w:t>
      </w:r>
      <w:r>
        <w:rPr>
          <w:spacing w:val="-4"/>
        </w:rPr>
        <w:t> </w:t>
      </w:r>
      <w:r>
        <w:rPr/>
        <w:t>el</w:t>
      </w:r>
      <w:r>
        <w:rPr>
          <w:spacing w:val="-4"/>
        </w:rPr>
        <w:t> </w:t>
      </w:r>
      <w:r>
        <w:rPr/>
        <w:t>establecimiento</w:t>
      </w:r>
      <w:r>
        <w:rPr>
          <w:spacing w:val="-3"/>
        </w:rPr>
        <w:t> </w:t>
      </w:r>
      <w:r>
        <w:rPr/>
        <w:t>de</w:t>
      </w:r>
      <w:r>
        <w:rPr>
          <w:spacing w:val="-3"/>
        </w:rPr>
        <w:t> </w:t>
      </w:r>
      <w:r>
        <w:rPr/>
        <w:t>instituciones y</w:t>
      </w:r>
      <w:r>
        <w:rPr>
          <w:spacing w:val="-7"/>
        </w:rPr>
        <w:t> </w:t>
      </w:r>
      <w:r>
        <w:rPr/>
        <w:t>medidas</w:t>
      </w:r>
      <w:r>
        <w:rPr>
          <w:spacing w:val="-4"/>
        </w:rPr>
        <w:t> </w:t>
      </w:r>
      <w:r>
        <w:rPr/>
        <w:t>que</w:t>
      </w:r>
      <w:r>
        <w:rPr>
          <w:spacing w:val="-4"/>
        </w:rPr>
        <w:t> </w:t>
      </w:r>
      <w:r>
        <w:rPr/>
        <w:t>protejan</w:t>
      </w:r>
      <w:r>
        <w:rPr>
          <w:spacing w:val="-3"/>
        </w:rPr>
        <w:t> </w:t>
      </w:r>
      <w:r>
        <w:rPr/>
        <w:t>la</w:t>
      </w:r>
      <w:r>
        <w:rPr>
          <w:spacing w:val="-3"/>
        </w:rPr>
        <w:t> </w:t>
      </w:r>
      <w:r>
        <w:rPr/>
        <w:t>capacidad adquisitiva del salario y faciliten el acceso de toda persona trabajadora a la obtención de satisfactores.</w:t>
      </w:r>
    </w:p>
    <w:p>
      <w:pPr>
        <w:pStyle w:val="BodyText"/>
        <w:spacing w:before="230"/>
        <w:ind w:left="338" w:firstLine="288"/>
      </w:pPr>
      <w:r>
        <w:rPr/>
        <w:t>La fijación anual de los salarios mínimos, o la revisión de los mismos, nunca estará por debajo de la inflación observada durante el periodo de su vigencia transcurrido.</w:t>
      </w:r>
    </w:p>
    <w:p>
      <w:pPr>
        <w:spacing w:line="182"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09-01-1974,</w:t>
      </w:r>
      <w:r>
        <w:rPr>
          <w:rFonts w:ascii="Times New Roman" w:hAnsi="Times New Roman"/>
          <w:i/>
          <w:color w:val="0000FF"/>
          <w:spacing w:val="-7"/>
          <w:sz w:val="16"/>
        </w:rPr>
        <w:t> </w:t>
      </w:r>
      <w:r>
        <w:rPr>
          <w:rFonts w:ascii="Times New Roman" w:hAnsi="Times New Roman"/>
          <w:i/>
          <w:color w:val="0000FF"/>
          <w:sz w:val="16"/>
        </w:rPr>
        <w:t>30-03-</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338" w:right="342" w:firstLine="288"/>
        <w:jc w:val="both"/>
      </w:pPr>
      <w:bookmarkStart w:name="Artículo_91" w:id="109"/>
      <w:bookmarkEnd w:id="109"/>
      <w:r>
        <w:rPr/>
      </w:r>
      <w:r>
        <w:rPr>
          <w:rFonts w:ascii="Arial" w:hAnsi="Arial"/>
          <w:b/>
        </w:rPr>
        <w:t>Artículo 91.- </w:t>
      </w:r>
      <w:r>
        <w:rPr/>
        <w:t>Los salarios mínimos podrán ser generales para una o varias áreas geográficas de aplicación, que pueden extenderse a una o más entidades federativas o profesionales, para una rama determinada de la actividad económica o para profesiones, oficios o trabajos especiales, dentro de una o varias áreas geográficas.</w:t>
      </w:r>
    </w:p>
    <w:p>
      <w:pPr>
        <w:pStyle w:val="BodyText"/>
        <w:spacing w:after="0"/>
        <w:jc w:val="both"/>
        <w:sectPr>
          <w:pgSz w:w="12240" w:h="15840"/>
          <w:pgMar w:header="724" w:footer="712" w:top="1880" w:bottom="900" w:left="1080" w:right="1080"/>
        </w:sectPr>
      </w:pPr>
    </w:p>
    <w:p>
      <w:pPr>
        <w:pStyle w:val="BodyText"/>
        <w:spacing w:before="109"/>
        <w:rPr>
          <w:sz w:val="16"/>
        </w:rPr>
      </w:pPr>
    </w:p>
    <w:p>
      <w:pPr>
        <w:spacing w:before="0"/>
        <w:ind w:left="626" w:right="0" w:firstLine="672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5"/>
        <w:rPr>
          <w:rFonts w:ascii="Times New Roman"/>
          <w:i/>
          <w:sz w:val="16"/>
        </w:rPr>
      </w:pPr>
    </w:p>
    <w:p>
      <w:pPr>
        <w:pStyle w:val="BodyText"/>
        <w:spacing w:line="242" w:lineRule="auto"/>
        <w:ind w:left="338" w:right="338" w:firstLine="288"/>
        <w:jc w:val="both"/>
      </w:pPr>
      <w:bookmarkStart w:name="Artículo_92" w:id="110"/>
      <w:bookmarkEnd w:id="110"/>
      <w:r>
        <w:rPr/>
      </w:r>
      <w:r>
        <w:rPr>
          <w:rFonts w:ascii="Arial" w:hAnsi="Arial"/>
          <w:b/>
        </w:rPr>
        <w:t>Artículo 92.- </w:t>
      </w:r>
      <w:r>
        <w:rPr/>
        <w:t>Los salarios mínimos generales regirán para todos los trabajadores del área o áreas geográficas de aplicación que se determinen, independientemente de las ramas de la actividad económica, profesiones, oficios o trabajos especiales.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5"/>
        <w:rPr>
          <w:rFonts w:ascii="Times New Roman"/>
          <w:i/>
          <w:sz w:val="16"/>
        </w:rPr>
      </w:pPr>
    </w:p>
    <w:p>
      <w:pPr>
        <w:pStyle w:val="BodyText"/>
        <w:spacing w:line="242" w:lineRule="auto"/>
        <w:ind w:left="338" w:right="338" w:firstLine="288"/>
        <w:jc w:val="both"/>
      </w:pPr>
      <w:bookmarkStart w:name="Artículo_93" w:id="111"/>
      <w:bookmarkEnd w:id="111"/>
      <w:r>
        <w:rPr/>
      </w:r>
      <w:r>
        <w:rPr>
          <w:rFonts w:ascii="Arial" w:hAnsi="Arial"/>
          <w:b/>
        </w:rPr>
        <w:t>Artículo 93.- </w:t>
      </w:r>
      <w:r>
        <w:rPr/>
        <w:t>Los salarios mínimos profesionales regirán para todos los trabajadores de las ramas de actividad económica, profesiones, oficios o trabajos especiales que se determinen dentro de una o varias áreas geográficas de aplicación.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BodyText"/>
        <w:spacing w:line="242" w:lineRule="auto"/>
        <w:ind w:left="338" w:right="339" w:firstLine="288"/>
        <w:jc w:val="both"/>
      </w:pPr>
      <w:bookmarkStart w:name="Artículo_94" w:id="112"/>
      <w:bookmarkEnd w:id="112"/>
      <w:r>
        <w:rPr/>
      </w:r>
      <w:r>
        <w:rPr>
          <w:rFonts w:ascii="Arial" w:hAnsi="Arial"/>
          <w:b/>
        </w:rPr>
        <w:t>Artículo 94.- </w:t>
      </w:r>
      <w:r>
        <w:rPr/>
        <w:t>Los salarios mínimos se fijarán por una Comisión Nacional integrada por representantes de los trabajadores, de los patrones y del gobierno, la cual podrá auxiliarse de las comisiones especiales de carácter consultivo que considere indispensables para el mejor desempeño de sus funciones.</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BodyText"/>
        <w:spacing w:line="242" w:lineRule="auto" w:before="1"/>
        <w:ind w:left="338" w:right="346" w:firstLine="288"/>
        <w:jc w:val="both"/>
      </w:pPr>
      <w:bookmarkStart w:name="Artículo_95" w:id="113"/>
      <w:bookmarkEnd w:id="113"/>
      <w:r>
        <w:rPr/>
      </w:r>
      <w:r>
        <w:rPr>
          <w:rFonts w:ascii="Arial" w:hAnsi="Arial"/>
          <w:b/>
        </w:rPr>
        <w:t>Artículo 95.- </w:t>
      </w:r>
      <w:r>
        <w:rPr/>
        <w:t>La Comisión Nacional de los Salarios Mínimos y las Comisiones Consultivas se integrarán en forma tripartita, de acuerdo a lo establecido por el Capítulo II del Título Trece de esta Ley.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24-12-1974,</w:t>
      </w:r>
      <w:r>
        <w:rPr>
          <w:rFonts w:ascii="Times New Roman" w:hAnsi="Times New Roman"/>
          <w:i/>
          <w:color w:val="0000FF"/>
          <w:spacing w:val="-7"/>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BodyText"/>
        <w:spacing w:line="242" w:lineRule="auto"/>
        <w:ind w:left="338" w:right="346" w:firstLine="288"/>
        <w:jc w:val="both"/>
      </w:pPr>
      <w:bookmarkStart w:name="Artículo_96" w:id="114"/>
      <w:bookmarkEnd w:id="114"/>
      <w:r>
        <w:rPr/>
      </w:r>
      <w:r>
        <w:rPr>
          <w:rFonts w:ascii="Arial" w:hAnsi="Arial"/>
          <w:b/>
        </w:rPr>
        <w:t>Artículo 96.- </w:t>
      </w:r>
      <w:r>
        <w:rPr/>
        <w:t>La Comisión Nacional determinará la división de la República en áreas geográficas, las que estarán constituidas por uno o más municipios en los que deba regir un mismo salario mínimo general, sin que necesariamente exista continuidad territorial entre dichos municipios.</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BodyText"/>
        <w:spacing w:line="242" w:lineRule="auto"/>
        <w:ind w:left="338" w:right="345" w:firstLine="288"/>
        <w:jc w:val="both"/>
      </w:pPr>
      <w:bookmarkStart w:name="Artículo_97" w:id="115"/>
      <w:bookmarkEnd w:id="115"/>
      <w:r>
        <w:rPr/>
      </w:r>
      <w:r>
        <w:rPr>
          <w:rFonts w:ascii="Arial" w:hAnsi="Arial"/>
          <w:b/>
        </w:rPr>
        <w:t>Artículo 97.- </w:t>
      </w:r>
      <w:r>
        <w:rPr/>
        <w:t>Los salarios mínimos no podrán ser objeto de compensación, descuento o reducción, salvo en los casos siguientes:</w:t>
      </w:r>
    </w:p>
    <w:p>
      <w:pPr>
        <w:spacing w:line="178"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24-04-1972,</w:t>
      </w:r>
      <w:r>
        <w:rPr>
          <w:rFonts w:ascii="Times New Roman" w:hAnsi="Times New Roman"/>
          <w:i/>
          <w:color w:val="0000FF"/>
          <w:spacing w:val="-8"/>
          <w:sz w:val="16"/>
        </w:rPr>
        <w:t> </w:t>
      </w:r>
      <w:r>
        <w:rPr>
          <w:rFonts w:ascii="Times New Roman" w:hAnsi="Times New Roman"/>
          <w:i/>
          <w:color w:val="0000FF"/>
          <w:sz w:val="16"/>
        </w:rPr>
        <w:t>09-01-</w:t>
      </w:r>
      <w:r>
        <w:rPr>
          <w:rFonts w:ascii="Times New Roman" w:hAnsi="Times New Roman"/>
          <w:i/>
          <w:color w:val="0000FF"/>
          <w:spacing w:val="-4"/>
          <w:sz w:val="16"/>
        </w:rPr>
        <w:t>1974</w:t>
      </w:r>
    </w:p>
    <w:p>
      <w:pPr>
        <w:pStyle w:val="BodyText"/>
        <w:spacing w:before="47"/>
        <w:rPr>
          <w:rFonts w:ascii="Times New Roman"/>
          <w:i/>
          <w:sz w:val="16"/>
        </w:rPr>
      </w:pPr>
    </w:p>
    <w:p>
      <w:pPr>
        <w:pStyle w:val="ListParagraph"/>
        <w:numPr>
          <w:ilvl w:val="0"/>
          <w:numId w:val="20"/>
        </w:numPr>
        <w:tabs>
          <w:tab w:pos="1195" w:val="left" w:leader="none"/>
        </w:tabs>
        <w:spacing w:line="242" w:lineRule="auto" w:before="1" w:after="0"/>
        <w:ind w:left="1195" w:right="345" w:hanging="569"/>
        <w:jc w:val="left"/>
        <w:rPr>
          <w:sz w:val="20"/>
        </w:rPr>
      </w:pPr>
      <w:r>
        <w:rPr>
          <w:sz w:val="20"/>
        </w:rPr>
        <w:t>Pensiones</w:t>
      </w:r>
      <w:r>
        <w:rPr>
          <w:spacing w:val="40"/>
          <w:sz w:val="20"/>
        </w:rPr>
        <w:t> </w:t>
      </w:r>
      <w:r>
        <w:rPr>
          <w:sz w:val="20"/>
        </w:rPr>
        <w:t>alimenticias</w:t>
      </w:r>
      <w:r>
        <w:rPr>
          <w:spacing w:val="40"/>
          <w:sz w:val="20"/>
        </w:rPr>
        <w:t> </w:t>
      </w:r>
      <w:r>
        <w:rPr>
          <w:sz w:val="20"/>
        </w:rPr>
        <w:t>decretadas</w:t>
      </w:r>
      <w:r>
        <w:rPr>
          <w:spacing w:val="40"/>
          <w:sz w:val="20"/>
        </w:rPr>
        <w:t> </w:t>
      </w:r>
      <w:r>
        <w:rPr>
          <w:sz w:val="20"/>
        </w:rPr>
        <w:t>por</w:t>
      </w:r>
      <w:r>
        <w:rPr>
          <w:spacing w:val="40"/>
          <w:sz w:val="20"/>
        </w:rPr>
        <w:t> </w:t>
      </w:r>
      <w:r>
        <w:rPr>
          <w:sz w:val="20"/>
        </w:rPr>
        <w:t>la</w:t>
      </w:r>
      <w:r>
        <w:rPr>
          <w:spacing w:val="40"/>
          <w:sz w:val="20"/>
        </w:rPr>
        <w:t> </w:t>
      </w:r>
      <w:r>
        <w:rPr>
          <w:sz w:val="20"/>
        </w:rPr>
        <w:t>autoridad</w:t>
      </w:r>
      <w:r>
        <w:rPr>
          <w:spacing w:val="40"/>
          <w:sz w:val="20"/>
        </w:rPr>
        <w:t> </w:t>
      </w:r>
      <w:r>
        <w:rPr>
          <w:sz w:val="20"/>
        </w:rPr>
        <w:t>competente</w:t>
      </w:r>
      <w:r>
        <w:rPr>
          <w:spacing w:val="40"/>
          <w:sz w:val="20"/>
        </w:rPr>
        <w:t> </w:t>
      </w:r>
      <w:r>
        <w:rPr>
          <w:sz w:val="20"/>
        </w:rPr>
        <w:t>en</w:t>
      </w:r>
      <w:r>
        <w:rPr>
          <w:spacing w:val="40"/>
          <w:sz w:val="20"/>
        </w:rPr>
        <w:t> </w:t>
      </w:r>
      <w:r>
        <w:rPr>
          <w:sz w:val="20"/>
        </w:rPr>
        <w:t>favor</w:t>
      </w:r>
      <w:r>
        <w:rPr>
          <w:spacing w:val="40"/>
          <w:sz w:val="20"/>
        </w:rPr>
        <w:t> </w:t>
      </w:r>
      <w:r>
        <w:rPr>
          <w:sz w:val="20"/>
        </w:rPr>
        <w:t>de</w:t>
      </w:r>
      <w:r>
        <w:rPr>
          <w:spacing w:val="40"/>
          <w:sz w:val="20"/>
        </w:rPr>
        <w:t> </w:t>
      </w:r>
      <w:r>
        <w:rPr>
          <w:sz w:val="20"/>
        </w:rPr>
        <w:t>las</w:t>
      </w:r>
      <w:r>
        <w:rPr>
          <w:spacing w:val="40"/>
          <w:sz w:val="20"/>
        </w:rPr>
        <w:t> </w:t>
      </w:r>
      <w:r>
        <w:rPr>
          <w:sz w:val="20"/>
        </w:rPr>
        <w:t>personas mencionadas en el artículo 110, fracción V; y</w:t>
      </w:r>
    </w:p>
    <w:p>
      <w:pPr>
        <w:pStyle w:val="ListParagraph"/>
        <w:numPr>
          <w:ilvl w:val="0"/>
          <w:numId w:val="20"/>
        </w:numPr>
        <w:tabs>
          <w:tab w:pos="1195" w:val="left" w:leader="none"/>
        </w:tabs>
        <w:spacing w:line="240" w:lineRule="auto" w:before="226" w:after="0"/>
        <w:ind w:left="1195" w:right="346" w:hanging="569"/>
        <w:jc w:val="left"/>
        <w:rPr>
          <w:sz w:val="20"/>
        </w:rPr>
      </w:pPr>
      <w:r>
        <w:rPr>
          <w:sz w:val="20"/>
        </w:rPr>
        <w:t>Pago de rentas a que se refiere el artículo 151. Este descuento no podrá exceder del diez por ciento del salario.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1972</w:t>
      </w:r>
    </w:p>
    <w:p>
      <w:pPr>
        <w:pStyle w:val="BodyText"/>
        <w:spacing w:before="47"/>
        <w:rPr>
          <w:rFonts w:ascii="Times New Roman"/>
          <w:i/>
          <w:sz w:val="16"/>
        </w:rPr>
      </w:pPr>
    </w:p>
    <w:p>
      <w:pPr>
        <w:pStyle w:val="ListParagraph"/>
        <w:numPr>
          <w:ilvl w:val="0"/>
          <w:numId w:val="20"/>
        </w:numPr>
        <w:tabs>
          <w:tab w:pos="1191" w:val="left" w:leader="none"/>
          <w:tab w:pos="1195" w:val="left" w:leader="none"/>
        </w:tabs>
        <w:spacing w:line="240" w:lineRule="auto" w:before="0" w:after="0"/>
        <w:ind w:left="1195" w:right="341" w:hanging="569"/>
        <w:jc w:val="both"/>
        <w:rPr>
          <w:sz w:val="20"/>
        </w:rPr>
      </w:pPr>
      <w:r>
        <w:rPr>
          <w:sz w:val="20"/>
        </w:rPr>
        <w:t>Pago</w:t>
      </w:r>
      <w:r>
        <w:rPr>
          <w:spacing w:val="-2"/>
          <w:sz w:val="20"/>
        </w:rPr>
        <w:t> </w:t>
      </w:r>
      <w:r>
        <w:rPr>
          <w:sz w:val="20"/>
        </w:rPr>
        <w:t>de</w:t>
      </w:r>
      <w:r>
        <w:rPr>
          <w:spacing w:val="-3"/>
          <w:sz w:val="20"/>
        </w:rPr>
        <w:t> </w:t>
      </w:r>
      <w:r>
        <w:rPr>
          <w:sz w:val="20"/>
        </w:rPr>
        <w:t>abonos</w:t>
      </w:r>
      <w:r>
        <w:rPr>
          <w:spacing w:val="-1"/>
          <w:sz w:val="20"/>
        </w:rPr>
        <w:t> </w:t>
      </w:r>
      <w:r>
        <w:rPr>
          <w:sz w:val="20"/>
        </w:rPr>
        <w:t>para</w:t>
      </w:r>
      <w:r>
        <w:rPr>
          <w:spacing w:val="-2"/>
          <w:sz w:val="20"/>
        </w:rPr>
        <w:t> </w:t>
      </w:r>
      <w:r>
        <w:rPr>
          <w:sz w:val="20"/>
        </w:rPr>
        <w:t>cubrir</w:t>
      </w:r>
      <w:r>
        <w:rPr>
          <w:spacing w:val="-1"/>
          <w:sz w:val="20"/>
        </w:rPr>
        <w:t> </w:t>
      </w:r>
      <w:r>
        <w:rPr>
          <w:sz w:val="20"/>
        </w:rPr>
        <w:t>préstamos</w:t>
      </w:r>
      <w:r>
        <w:rPr>
          <w:spacing w:val="-3"/>
          <w:sz w:val="20"/>
        </w:rPr>
        <w:t> </w:t>
      </w:r>
      <w:r>
        <w:rPr>
          <w:sz w:val="20"/>
        </w:rPr>
        <w:t>o</w:t>
      </w:r>
      <w:r>
        <w:rPr>
          <w:spacing w:val="-2"/>
          <w:sz w:val="20"/>
        </w:rPr>
        <w:t> </w:t>
      </w:r>
      <w:r>
        <w:rPr>
          <w:sz w:val="20"/>
        </w:rPr>
        <w:t>rentas</w:t>
      </w:r>
      <w:r>
        <w:rPr>
          <w:spacing w:val="-1"/>
          <w:sz w:val="20"/>
        </w:rPr>
        <w:t> </w:t>
      </w:r>
      <w:r>
        <w:rPr>
          <w:sz w:val="20"/>
        </w:rPr>
        <w:t>provenientes</w:t>
      </w:r>
      <w:r>
        <w:rPr>
          <w:spacing w:val="-1"/>
          <w:sz w:val="20"/>
        </w:rPr>
        <w:t> </w:t>
      </w:r>
      <w:r>
        <w:rPr>
          <w:sz w:val="20"/>
        </w:rPr>
        <w:t>del</w:t>
      </w:r>
      <w:r>
        <w:rPr>
          <w:spacing w:val="-3"/>
          <w:sz w:val="20"/>
        </w:rPr>
        <w:t> </w:t>
      </w:r>
      <w:r>
        <w:rPr>
          <w:sz w:val="20"/>
        </w:rPr>
        <w:t>Fondo</w:t>
      </w:r>
      <w:r>
        <w:rPr>
          <w:spacing w:val="-2"/>
          <w:sz w:val="20"/>
        </w:rPr>
        <w:t> </w:t>
      </w:r>
      <w:r>
        <w:rPr>
          <w:sz w:val="20"/>
        </w:rPr>
        <w:t>Nacional</w:t>
      </w:r>
      <w:r>
        <w:rPr>
          <w:spacing w:val="-1"/>
          <w:sz w:val="20"/>
        </w:rPr>
        <w:t> </w:t>
      </w:r>
      <w:r>
        <w:rPr>
          <w:sz w:val="20"/>
        </w:rPr>
        <w:t>de</w:t>
      </w:r>
      <w:r>
        <w:rPr>
          <w:spacing w:val="-3"/>
          <w:sz w:val="20"/>
        </w:rPr>
        <w:t> </w:t>
      </w:r>
      <w:r>
        <w:rPr>
          <w:sz w:val="20"/>
        </w:rPr>
        <w:t>la</w:t>
      </w:r>
      <w:r>
        <w:rPr>
          <w:spacing w:val="-2"/>
          <w:sz w:val="20"/>
        </w:rPr>
        <w:t> </w:t>
      </w:r>
      <w:r>
        <w:rPr>
          <w:sz w:val="20"/>
        </w:rPr>
        <w:t>Vivienda para los Trabajadores destinados al arrendamiento social, adquisición, construcción,</w:t>
      </w:r>
      <w:r>
        <w:rPr>
          <w:spacing w:val="40"/>
          <w:sz w:val="20"/>
        </w:rPr>
        <w:t> </w:t>
      </w:r>
      <w:r>
        <w:rPr>
          <w:sz w:val="20"/>
        </w:rPr>
        <w:t>reparación, ampliación o mejoras de vivienda o al pago de pasivos adquiridos por estos conceptos. Estos descuentos deberán haber sido aceptados libremente por la persona trabajadora y no podrán exceder el 20 por ciento del salario para préstamos y 30 por ciento del salario para rentas.</w:t>
      </w:r>
    </w:p>
    <w:p>
      <w:pPr>
        <w:spacing w:line="182" w:lineRule="exact" w:before="0"/>
        <w:ind w:left="44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24-04-1972.</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07-01-1982,</w:t>
      </w:r>
      <w:r>
        <w:rPr>
          <w:rFonts w:ascii="Times New Roman" w:hAnsi="Times New Roman"/>
          <w:i/>
          <w:color w:val="0000FF"/>
          <w:spacing w:val="-8"/>
          <w:sz w:val="16"/>
        </w:rPr>
        <w:t> </w:t>
      </w:r>
      <w:r>
        <w:rPr>
          <w:rFonts w:ascii="Times New Roman" w:hAnsi="Times New Roman"/>
          <w:i/>
          <w:color w:val="0000FF"/>
          <w:sz w:val="16"/>
        </w:rPr>
        <w:t>21-02-</w:t>
      </w:r>
      <w:r>
        <w:rPr>
          <w:rFonts w:ascii="Times New Roman" w:hAnsi="Times New Roman"/>
          <w:i/>
          <w:color w:val="0000FF"/>
          <w:spacing w:val="-4"/>
          <w:sz w:val="16"/>
        </w:rPr>
        <w:t>2025</w:t>
      </w:r>
    </w:p>
    <w:p>
      <w:pPr>
        <w:pStyle w:val="BodyText"/>
        <w:spacing w:before="48"/>
        <w:rPr>
          <w:rFonts w:ascii="Times New Roman"/>
          <w:i/>
          <w:sz w:val="16"/>
        </w:rPr>
      </w:pPr>
    </w:p>
    <w:p>
      <w:pPr>
        <w:pStyle w:val="ListParagraph"/>
        <w:numPr>
          <w:ilvl w:val="0"/>
          <w:numId w:val="20"/>
        </w:numPr>
        <w:tabs>
          <w:tab w:pos="1195" w:val="left" w:leader="none"/>
        </w:tabs>
        <w:spacing w:line="242" w:lineRule="auto" w:before="0" w:after="0"/>
        <w:ind w:left="1195" w:right="334" w:hanging="569"/>
        <w:jc w:val="both"/>
        <w:rPr>
          <w:sz w:val="20"/>
        </w:rPr>
      </w:pPr>
      <w:r>
        <w:rPr>
          <w:sz w:val="20"/>
        </w:rPr>
        <w:t>Pago</w:t>
      </w:r>
      <w:r>
        <w:rPr>
          <w:spacing w:val="-2"/>
          <w:sz w:val="20"/>
        </w:rPr>
        <w:t> </w:t>
      </w:r>
      <w:r>
        <w:rPr>
          <w:sz w:val="20"/>
        </w:rPr>
        <w:t>de</w:t>
      </w:r>
      <w:r>
        <w:rPr>
          <w:spacing w:val="-2"/>
          <w:sz w:val="20"/>
        </w:rPr>
        <w:t> </w:t>
      </w:r>
      <w:r>
        <w:rPr>
          <w:sz w:val="20"/>
        </w:rPr>
        <w:t>abonos</w:t>
      </w:r>
      <w:r>
        <w:rPr>
          <w:spacing w:val="-1"/>
          <w:sz w:val="20"/>
        </w:rPr>
        <w:t> </w:t>
      </w:r>
      <w:r>
        <w:rPr>
          <w:sz w:val="20"/>
        </w:rPr>
        <w:t>para cubrir</w:t>
      </w:r>
      <w:r>
        <w:rPr>
          <w:spacing w:val="-1"/>
          <w:sz w:val="20"/>
        </w:rPr>
        <w:t> </w:t>
      </w:r>
      <w:r>
        <w:rPr>
          <w:sz w:val="20"/>
        </w:rPr>
        <w:t>créditos</w:t>
      </w:r>
      <w:r>
        <w:rPr>
          <w:spacing w:val="-1"/>
          <w:sz w:val="20"/>
        </w:rPr>
        <w:t> </w:t>
      </w:r>
      <w:r>
        <w:rPr>
          <w:sz w:val="20"/>
        </w:rPr>
        <w:t>otorgados</w:t>
      </w:r>
      <w:r>
        <w:rPr>
          <w:spacing w:val="-1"/>
          <w:sz w:val="20"/>
        </w:rPr>
        <w:t> </w:t>
      </w:r>
      <w:r>
        <w:rPr>
          <w:sz w:val="20"/>
        </w:rPr>
        <w:t>o garantizados</w:t>
      </w:r>
      <w:r>
        <w:rPr>
          <w:spacing w:val="-1"/>
          <w:sz w:val="20"/>
        </w:rPr>
        <w:t> </w:t>
      </w:r>
      <w:r>
        <w:rPr>
          <w:sz w:val="20"/>
        </w:rPr>
        <w:t>por el</w:t>
      </w:r>
      <w:r>
        <w:rPr>
          <w:spacing w:val="-1"/>
          <w:sz w:val="20"/>
        </w:rPr>
        <w:t> </w:t>
      </w:r>
      <w:r>
        <w:rPr>
          <w:sz w:val="20"/>
        </w:rPr>
        <w:t>Instituto a que se</w:t>
      </w:r>
      <w:r>
        <w:rPr>
          <w:spacing w:val="-2"/>
          <w:sz w:val="20"/>
        </w:rPr>
        <w:t> </w:t>
      </w:r>
      <w:r>
        <w:rPr>
          <w:sz w:val="20"/>
        </w:rPr>
        <w:t>refiere el artículo 103 Bis de esta Ley, destinados a la adquisición de bienes de consumo duradero o al pago de servicios. Estos descuentos estarán precedidos de la aceptación que libremente haya hecho el trabajador y no podrán exceder del 10% del salario.</w:t>
      </w:r>
    </w:p>
    <w:p>
      <w:pPr>
        <w:spacing w:line="174" w:lineRule="exact" w:before="0"/>
        <w:ind w:left="44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09-01-1974.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02-07-1976,</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Heading1"/>
        <w:spacing w:line="252" w:lineRule="exact"/>
        <w:ind w:left="298"/>
      </w:pPr>
      <w:r>
        <w:rPr/>
        <w:t>CAPITULO</w:t>
      </w:r>
      <w:r>
        <w:rPr>
          <w:spacing w:val="-9"/>
        </w:rPr>
        <w:t> </w:t>
      </w:r>
      <w:r>
        <w:rPr>
          <w:spacing w:val="-5"/>
        </w:rPr>
        <w:t>VII</w:t>
      </w:r>
    </w:p>
    <w:p>
      <w:pPr>
        <w:pStyle w:val="Heading2"/>
        <w:spacing w:line="252" w:lineRule="exact"/>
        <w:ind w:left="297"/>
      </w:pPr>
      <w:r>
        <w:rPr/>
        <w:t>Normas</w:t>
      </w:r>
      <w:r>
        <w:rPr>
          <w:spacing w:val="-6"/>
        </w:rPr>
        <w:t> </w:t>
      </w:r>
      <w:r>
        <w:rPr/>
        <w:t>protectoras</w:t>
      </w:r>
      <w:r>
        <w:rPr>
          <w:spacing w:val="-5"/>
        </w:rPr>
        <w:t> </w:t>
      </w:r>
      <w:r>
        <w:rPr/>
        <w:t>y</w:t>
      </w:r>
      <w:r>
        <w:rPr>
          <w:spacing w:val="-9"/>
        </w:rPr>
        <w:t> </w:t>
      </w:r>
      <w:r>
        <w:rPr/>
        <w:t>privilegios</w:t>
      </w:r>
      <w:r>
        <w:rPr>
          <w:spacing w:val="-8"/>
        </w:rPr>
        <w:t> </w:t>
      </w:r>
      <w:r>
        <w:rPr/>
        <w:t>del</w:t>
      </w:r>
      <w:r>
        <w:rPr>
          <w:spacing w:val="-3"/>
        </w:rPr>
        <w:t> </w:t>
      </w:r>
      <w:r>
        <w:rPr>
          <w:spacing w:val="-2"/>
        </w:rPr>
        <w:t>salario</w:t>
      </w:r>
    </w:p>
    <w:p>
      <w:pPr>
        <w:pStyle w:val="Heading2"/>
        <w:spacing w:after="0" w:line="252" w:lineRule="exact"/>
        <w:sectPr>
          <w:pgSz w:w="12240" w:h="15840"/>
          <w:pgMar w:header="724" w:footer="712" w:top="1880" w:bottom="900" w:left="1080" w:right="1080"/>
        </w:sectPr>
      </w:pPr>
    </w:p>
    <w:p>
      <w:pPr>
        <w:pStyle w:val="BodyText"/>
        <w:spacing w:before="63"/>
        <w:rPr>
          <w:rFonts w:ascii="Arial"/>
          <w:b/>
        </w:rPr>
      </w:pPr>
    </w:p>
    <w:p>
      <w:pPr>
        <w:pStyle w:val="BodyText"/>
        <w:spacing w:line="242" w:lineRule="auto"/>
        <w:ind w:left="338" w:right="346" w:firstLine="288"/>
        <w:jc w:val="both"/>
      </w:pPr>
      <w:bookmarkStart w:name="Artículo_98" w:id="116"/>
      <w:bookmarkEnd w:id="116"/>
      <w:r>
        <w:rPr/>
      </w:r>
      <w:r>
        <w:rPr>
          <w:rFonts w:ascii="Arial" w:hAnsi="Arial"/>
          <w:b/>
        </w:rPr>
        <w:t>Artículo 98.- </w:t>
      </w:r>
      <w:r>
        <w:rPr/>
        <w:t>Los trabajadores dispondrán libremente de sus salarios. Cualquier disposición o medida que desvirtúe este derecho será nula.</w:t>
      </w:r>
    </w:p>
    <w:p>
      <w:pPr>
        <w:pStyle w:val="BodyText"/>
        <w:spacing w:line="242" w:lineRule="auto" w:before="227"/>
        <w:ind w:left="338" w:right="348" w:firstLine="288"/>
        <w:jc w:val="both"/>
      </w:pPr>
      <w:bookmarkStart w:name="Artículo_99" w:id="117"/>
      <w:bookmarkEnd w:id="117"/>
      <w:r>
        <w:rPr/>
      </w:r>
      <w:r>
        <w:rPr>
          <w:rFonts w:ascii="Arial" w:hAnsi="Arial"/>
          <w:b/>
        </w:rPr>
        <w:t>Artículo 99.- </w:t>
      </w:r>
      <w:r>
        <w:rPr/>
        <w:t>El derecho a percibir el salario es irrenunciable. Lo es igualmente el derecho a percibir los salarios devengados.</w:t>
      </w:r>
    </w:p>
    <w:p>
      <w:pPr>
        <w:pStyle w:val="BodyText"/>
        <w:spacing w:line="242" w:lineRule="auto" w:before="224"/>
        <w:ind w:left="338" w:right="343" w:firstLine="288"/>
        <w:jc w:val="both"/>
      </w:pPr>
      <w:bookmarkStart w:name="Artículo_100" w:id="118"/>
      <w:bookmarkEnd w:id="118"/>
      <w:r>
        <w:rPr/>
      </w:r>
      <w:r>
        <w:rPr>
          <w:rFonts w:ascii="Arial" w:hAnsi="Arial"/>
          <w:b/>
        </w:rPr>
        <w:t>Artículo 100.- </w:t>
      </w:r>
      <w:r>
        <w:rPr/>
        <w:t>El salario se pagará directamente al trabajador. Sólo en los casos en que esté imposibilitado para efectuar personalmente el cobro, el pago se hará a la persona que designe como apoderado mediante carta poder suscrita por dos testigos.</w:t>
      </w:r>
    </w:p>
    <w:p>
      <w:pPr>
        <w:pStyle w:val="BodyText"/>
        <w:spacing w:before="227"/>
        <w:ind w:left="338" w:right="350" w:firstLine="288"/>
        <w:jc w:val="both"/>
      </w:pPr>
      <w:r>
        <w:rPr/>
        <w:t>El pago hecho en contravención a lo dispuesto en el párrafo anterior no libera de responsabilidad al </w:t>
      </w:r>
      <w:r>
        <w:rPr>
          <w:spacing w:val="-2"/>
        </w:rPr>
        <w:t>patrón.</w:t>
      </w:r>
    </w:p>
    <w:p>
      <w:pPr>
        <w:pStyle w:val="BodyText"/>
        <w:spacing w:line="242" w:lineRule="auto" w:before="227"/>
        <w:ind w:left="338" w:right="344" w:firstLine="288"/>
        <w:jc w:val="both"/>
      </w:pPr>
      <w:bookmarkStart w:name="Artículo_101" w:id="119"/>
      <w:bookmarkEnd w:id="119"/>
      <w:r>
        <w:rPr/>
      </w:r>
      <w:r>
        <w:rPr>
          <w:rFonts w:ascii="Arial" w:hAnsi="Arial"/>
          <w:b/>
        </w:rPr>
        <w:t>Artículo 101.- </w:t>
      </w:r>
      <w:r>
        <w:rPr/>
        <w:t>El salario en efectivo deberá pagarse precisamente en moneda de curso legal, no siendo permitido hacerlo en mercancías, vales, fichas o cualquier otro signo representativo con que se pretenda substituir la moneda.</w:t>
      </w:r>
    </w:p>
    <w:p>
      <w:pPr>
        <w:pStyle w:val="BodyText"/>
        <w:spacing w:before="225"/>
        <w:ind w:left="338" w:right="342" w:firstLine="288"/>
        <w:jc w:val="both"/>
      </w:pPr>
      <w:r>
        <w:rPr/>
        <w:t>Previo consentimiento del trabajador, el pago del salario podrá efectuarse por medio de depósito en cuenta bancaria, tarjeta de débito, transferencias o cualquier otro medio electrónico. Los gastos o costos que originen estos medios alternativos de pago serán cubiertos por el patrón.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41" w:firstLine="288"/>
        <w:jc w:val="both"/>
      </w:pPr>
      <w:r>
        <w:rPr/>
        <w:t>En todos los casos, el trabajador deberá tener acceso a la información detallada de los conceptos y deducciones de pago. Los recibos de pago deberán entregarse al trabajador en forma impresa o por cualquier otro medio, sin perjuicio de que el patrón lo deba entregar en documento impreso cuando el trabajador así lo requiera.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338" w:right="341" w:firstLine="288"/>
        <w:jc w:val="both"/>
      </w:pPr>
      <w:r>
        <w:rPr/>
        <w:t>Los recibos impresos deberán contener firma autógrafa del trabajador para su validez; los recibos de pago contenidos en comprobantes fiscales digitales por Internet (CFDI) pueden sustituir a los recibos impresos; el contenido de un CFDI hará prueba si se verifica en el portal de Internet del Servicio de Administración Tributaria, en caso de ser validado se estará a lo dispuesto en la fracción I del artículo 836-D de esta Ley.</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right="344" w:firstLine="288"/>
        <w:jc w:val="both"/>
      </w:pPr>
      <w:bookmarkStart w:name="Artículo_102" w:id="120"/>
      <w:bookmarkEnd w:id="120"/>
      <w:r>
        <w:rPr/>
      </w:r>
      <w:r>
        <w:rPr>
          <w:rFonts w:ascii="Arial" w:hAnsi="Arial"/>
          <w:b/>
        </w:rPr>
        <w:t>Artículo 102.- </w:t>
      </w:r>
      <w:r>
        <w:rPr/>
        <w:t>Las prestaciones en especie deberán ser apropiadas al uso personal del trabajador y</w:t>
      </w:r>
      <w:r>
        <w:rPr>
          <w:spacing w:val="40"/>
        </w:rPr>
        <w:t> </w:t>
      </w:r>
      <w:r>
        <w:rPr/>
        <w:t>de su familia y razonablemente proporcionadas al monto del salario que se pague en efectivo.</w:t>
      </w:r>
    </w:p>
    <w:p>
      <w:pPr>
        <w:pStyle w:val="BodyText"/>
        <w:spacing w:line="242" w:lineRule="auto" w:before="224"/>
        <w:ind w:left="338" w:right="345" w:firstLine="288"/>
        <w:jc w:val="both"/>
      </w:pPr>
      <w:bookmarkStart w:name="Artículo_103" w:id="121"/>
      <w:bookmarkEnd w:id="121"/>
      <w:r>
        <w:rPr/>
      </w:r>
      <w:r>
        <w:rPr>
          <w:rFonts w:ascii="Arial" w:hAnsi="Arial"/>
          <w:b/>
        </w:rPr>
        <w:t>Artículo 103.- </w:t>
      </w:r>
      <w:r>
        <w:rPr/>
        <w:t>Los almacenes y tiendas en que se expenda ropa, comestibles y artículos para el hogar, podrán crearse por convenio entre los trabajadores y los patrones, de una o varias empresas, de conformidad con las normas siguientes:</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09-01-</w:t>
      </w:r>
      <w:r>
        <w:rPr>
          <w:rFonts w:ascii="Times New Roman" w:hAnsi="Times New Roman"/>
          <w:i/>
          <w:color w:val="0000FF"/>
          <w:spacing w:val="-4"/>
          <w:sz w:val="16"/>
        </w:rPr>
        <w:t>1974</w:t>
      </w:r>
    </w:p>
    <w:p>
      <w:pPr>
        <w:pStyle w:val="BodyText"/>
        <w:spacing w:before="45"/>
        <w:rPr>
          <w:rFonts w:ascii="Times New Roman"/>
          <w:i/>
          <w:sz w:val="16"/>
        </w:rPr>
      </w:pPr>
    </w:p>
    <w:p>
      <w:pPr>
        <w:pStyle w:val="ListParagraph"/>
        <w:numPr>
          <w:ilvl w:val="0"/>
          <w:numId w:val="21"/>
        </w:numPr>
        <w:tabs>
          <w:tab w:pos="1193" w:val="left" w:leader="none"/>
          <w:tab w:pos="1195" w:val="left" w:leader="none"/>
        </w:tabs>
        <w:spacing w:line="242" w:lineRule="auto" w:before="0" w:after="0"/>
        <w:ind w:left="1195" w:right="346" w:hanging="569"/>
        <w:jc w:val="both"/>
        <w:rPr>
          <w:sz w:val="20"/>
        </w:rPr>
      </w:pPr>
      <w:r>
        <w:rPr>
          <w:sz w:val="20"/>
        </w:rPr>
        <w:t>La adquisición de las mercancías será libre sin que pueda ejercerse coacción sobre los </w:t>
      </w:r>
      <w:r>
        <w:rPr>
          <w:spacing w:val="-2"/>
          <w:sz w:val="20"/>
        </w:rPr>
        <w:t>trabajadores;</w:t>
      </w:r>
    </w:p>
    <w:p>
      <w:pPr>
        <w:pStyle w:val="ListParagraph"/>
        <w:numPr>
          <w:ilvl w:val="0"/>
          <w:numId w:val="21"/>
        </w:numPr>
        <w:tabs>
          <w:tab w:pos="1192" w:val="left" w:leader="none"/>
          <w:tab w:pos="1195" w:val="left" w:leader="none"/>
        </w:tabs>
        <w:spacing w:line="240" w:lineRule="auto" w:before="227" w:after="0"/>
        <w:ind w:left="1195" w:right="343" w:hanging="569"/>
        <w:jc w:val="both"/>
        <w:rPr>
          <w:sz w:val="20"/>
        </w:rPr>
      </w:pPr>
      <w:r>
        <w:rPr>
          <w:sz w:val="20"/>
        </w:rPr>
        <w:t>Los precios de venta de los productos se fijarán por convenio entre los trabajadores y los patrones, y nunca podrán ser superiores a los precios oficiales y en su defecto a los corrientes en el mercado;</w:t>
      </w:r>
    </w:p>
    <w:p>
      <w:pPr>
        <w:pStyle w:val="ListParagraph"/>
        <w:numPr>
          <w:ilvl w:val="0"/>
          <w:numId w:val="21"/>
        </w:numPr>
        <w:tabs>
          <w:tab w:pos="1195" w:val="left" w:leader="none"/>
        </w:tabs>
        <w:spacing w:line="240" w:lineRule="auto" w:before="229" w:after="0"/>
        <w:ind w:left="1195" w:right="0" w:hanging="569"/>
        <w:jc w:val="left"/>
        <w:rPr>
          <w:sz w:val="20"/>
        </w:rPr>
      </w:pPr>
      <w:r>
        <w:rPr>
          <w:sz w:val="20"/>
        </w:rPr>
        <w:t>Las</w:t>
      </w:r>
      <w:r>
        <w:rPr>
          <w:spacing w:val="-6"/>
          <w:sz w:val="20"/>
        </w:rPr>
        <w:t> </w:t>
      </w:r>
      <w:r>
        <w:rPr>
          <w:sz w:val="20"/>
        </w:rPr>
        <w:t>modificaciones</w:t>
      </w:r>
      <w:r>
        <w:rPr>
          <w:spacing w:val="-6"/>
          <w:sz w:val="20"/>
        </w:rPr>
        <w:t> </w:t>
      </w:r>
      <w:r>
        <w:rPr>
          <w:sz w:val="20"/>
        </w:rPr>
        <w:t>en</w:t>
      </w:r>
      <w:r>
        <w:rPr>
          <w:spacing w:val="-7"/>
          <w:sz w:val="20"/>
        </w:rPr>
        <w:t> </w:t>
      </w:r>
      <w:r>
        <w:rPr>
          <w:sz w:val="20"/>
        </w:rPr>
        <w:t>los</w:t>
      </w:r>
      <w:r>
        <w:rPr>
          <w:spacing w:val="-6"/>
          <w:sz w:val="20"/>
        </w:rPr>
        <w:t> </w:t>
      </w:r>
      <w:r>
        <w:rPr>
          <w:sz w:val="20"/>
        </w:rPr>
        <w:t>precios</w:t>
      </w:r>
      <w:r>
        <w:rPr>
          <w:spacing w:val="-6"/>
          <w:sz w:val="20"/>
        </w:rPr>
        <w:t> </w:t>
      </w:r>
      <w:r>
        <w:rPr>
          <w:sz w:val="20"/>
        </w:rPr>
        <w:t>se</w:t>
      </w:r>
      <w:r>
        <w:rPr>
          <w:spacing w:val="-7"/>
          <w:sz w:val="20"/>
        </w:rPr>
        <w:t> </w:t>
      </w:r>
      <w:r>
        <w:rPr>
          <w:sz w:val="20"/>
        </w:rPr>
        <w:t>sujetarán</w:t>
      </w:r>
      <w:r>
        <w:rPr>
          <w:spacing w:val="-7"/>
          <w:sz w:val="20"/>
        </w:rPr>
        <w:t> </w:t>
      </w:r>
      <w:r>
        <w:rPr>
          <w:sz w:val="20"/>
        </w:rPr>
        <w:t>a</w:t>
      </w:r>
      <w:r>
        <w:rPr>
          <w:spacing w:val="-6"/>
          <w:sz w:val="20"/>
        </w:rPr>
        <w:t> </w:t>
      </w:r>
      <w:r>
        <w:rPr>
          <w:sz w:val="20"/>
        </w:rPr>
        <w:t>lo</w:t>
      </w:r>
      <w:r>
        <w:rPr>
          <w:spacing w:val="-5"/>
          <w:sz w:val="20"/>
        </w:rPr>
        <w:t> </w:t>
      </w:r>
      <w:r>
        <w:rPr>
          <w:sz w:val="20"/>
        </w:rPr>
        <w:t>dispuesto</w:t>
      </w:r>
      <w:r>
        <w:rPr>
          <w:spacing w:val="-7"/>
          <w:sz w:val="20"/>
        </w:rPr>
        <w:t> </w:t>
      </w:r>
      <w:r>
        <w:rPr>
          <w:sz w:val="20"/>
        </w:rPr>
        <w:t>en</w:t>
      </w:r>
      <w:r>
        <w:rPr>
          <w:spacing w:val="-7"/>
          <w:sz w:val="20"/>
        </w:rPr>
        <w:t> </w:t>
      </w:r>
      <w:r>
        <w:rPr>
          <w:sz w:val="20"/>
        </w:rPr>
        <w:t>la</w:t>
      </w:r>
      <w:r>
        <w:rPr>
          <w:spacing w:val="-7"/>
          <w:sz w:val="20"/>
        </w:rPr>
        <w:t> </w:t>
      </w:r>
      <w:r>
        <w:rPr>
          <w:sz w:val="20"/>
        </w:rPr>
        <w:t>fracción</w:t>
      </w:r>
      <w:r>
        <w:rPr>
          <w:spacing w:val="-8"/>
          <w:sz w:val="20"/>
        </w:rPr>
        <w:t> </w:t>
      </w:r>
      <w:r>
        <w:rPr>
          <w:sz w:val="20"/>
        </w:rPr>
        <w:t>anterior;</w:t>
      </w:r>
      <w:r>
        <w:rPr>
          <w:spacing w:val="-4"/>
          <w:sz w:val="20"/>
        </w:rPr>
        <w:t> </w:t>
      </w:r>
      <w:r>
        <w:rPr>
          <w:spacing w:val="-10"/>
          <w:sz w:val="20"/>
        </w:rPr>
        <w:t>y</w:t>
      </w:r>
    </w:p>
    <w:p>
      <w:pPr>
        <w:pStyle w:val="ListParagraph"/>
        <w:spacing w:after="0" w:line="240" w:lineRule="auto"/>
        <w:jc w:val="left"/>
        <w:rPr>
          <w:sz w:val="20"/>
        </w:rPr>
        <w:sectPr>
          <w:pgSz w:w="12240" w:h="15840"/>
          <w:pgMar w:header="724" w:footer="712" w:top="1880" w:bottom="900" w:left="1080" w:right="1080"/>
        </w:sectPr>
      </w:pPr>
    </w:p>
    <w:p>
      <w:pPr>
        <w:pStyle w:val="BodyText"/>
        <w:spacing w:before="63"/>
      </w:pPr>
    </w:p>
    <w:p>
      <w:pPr>
        <w:pStyle w:val="ListParagraph"/>
        <w:numPr>
          <w:ilvl w:val="0"/>
          <w:numId w:val="21"/>
        </w:numPr>
        <w:tabs>
          <w:tab w:pos="1195" w:val="left" w:leader="none"/>
        </w:tabs>
        <w:spacing w:line="242" w:lineRule="auto" w:before="0" w:after="0"/>
        <w:ind w:left="1195" w:right="338" w:hanging="569"/>
        <w:jc w:val="left"/>
        <w:rPr>
          <w:sz w:val="20"/>
        </w:rPr>
      </w:pPr>
      <w:r>
        <w:rPr>
          <w:sz w:val="20"/>
        </w:rPr>
        <w:t>En</w:t>
      </w:r>
      <w:r>
        <w:rPr>
          <w:spacing w:val="40"/>
          <w:sz w:val="20"/>
        </w:rPr>
        <w:t> </w:t>
      </w:r>
      <w:r>
        <w:rPr>
          <w:sz w:val="20"/>
        </w:rPr>
        <w:t>el</w:t>
      </w:r>
      <w:r>
        <w:rPr>
          <w:spacing w:val="40"/>
          <w:sz w:val="20"/>
        </w:rPr>
        <w:t> </w:t>
      </w:r>
      <w:r>
        <w:rPr>
          <w:sz w:val="20"/>
        </w:rPr>
        <w:t>convenio</w:t>
      </w:r>
      <w:r>
        <w:rPr>
          <w:spacing w:val="40"/>
          <w:sz w:val="20"/>
        </w:rPr>
        <w:t> </w:t>
      </w:r>
      <w:r>
        <w:rPr>
          <w:sz w:val="20"/>
        </w:rPr>
        <w:t>se</w:t>
      </w:r>
      <w:r>
        <w:rPr>
          <w:spacing w:val="40"/>
          <w:sz w:val="20"/>
        </w:rPr>
        <w:t> </w:t>
      </w:r>
      <w:r>
        <w:rPr>
          <w:sz w:val="20"/>
        </w:rPr>
        <w:t>determinará</w:t>
      </w:r>
      <w:r>
        <w:rPr>
          <w:spacing w:val="40"/>
          <w:sz w:val="20"/>
        </w:rPr>
        <w:t> </w:t>
      </w:r>
      <w:r>
        <w:rPr>
          <w:sz w:val="20"/>
        </w:rPr>
        <w:t>la</w:t>
      </w:r>
      <w:r>
        <w:rPr>
          <w:spacing w:val="40"/>
          <w:sz w:val="20"/>
        </w:rPr>
        <w:t> </w:t>
      </w:r>
      <w:r>
        <w:rPr>
          <w:sz w:val="20"/>
        </w:rPr>
        <w:t>participación</w:t>
      </w:r>
      <w:r>
        <w:rPr>
          <w:spacing w:val="40"/>
          <w:sz w:val="20"/>
        </w:rPr>
        <w:t> </w:t>
      </w:r>
      <w:r>
        <w:rPr>
          <w:sz w:val="20"/>
        </w:rPr>
        <w:t>que</w:t>
      </w:r>
      <w:r>
        <w:rPr>
          <w:spacing w:val="40"/>
          <w:sz w:val="20"/>
        </w:rPr>
        <w:t> </w:t>
      </w:r>
      <w:r>
        <w:rPr>
          <w:sz w:val="20"/>
        </w:rPr>
        <w:t>corresponda</w:t>
      </w:r>
      <w:r>
        <w:rPr>
          <w:spacing w:val="40"/>
          <w:sz w:val="20"/>
        </w:rPr>
        <w:t> </w:t>
      </w:r>
      <w:r>
        <w:rPr>
          <w:sz w:val="20"/>
        </w:rPr>
        <w:t>a</w:t>
      </w:r>
      <w:r>
        <w:rPr>
          <w:spacing w:val="40"/>
          <w:sz w:val="20"/>
        </w:rPr>
        <w:t> </w:t>
      </w:r>
      <w:r>
        <w:rPr>
          <w:sz w:val="20"/>
        </w:rPr>
        <w:t>los</w:t>
      </w:r>
      <w:r>
        <w:rPr>
          <w:spacing w:val="40"/>
          <w:sz w:val="20"/>
        </w:rPr>
        <w:t> </w:t>
      </w:r>
      <w:r>
        <w:rPr>
          <w:sz w:val="20"/>
        </w:rPr>
        <w:t>trabajadores</w:t>
      </w:r>
      <w:r>
        <w:rPr>
          <w:spacing w:val="40"/>
          <w:sz w:val="20"/>
        </w:rPr>
        <w:t> </w:t>
      </w:r>
      <w:r>
        <w:rPr>
          <w:sz w:val="20"/>
        </w:rPr>
        <w:t>en</w:t>
      </w:r>
      <w:r>
        <w:rPr>
          <w:spacing w:val="40"/>
          <w:sz w:val="20"/>
        </w:rPr>
        <w:t> </w:t>
      </w:r>
      <w:r>
        <w:rPr>
          <w:sz w:val="20"/>
        </w:rPr>
        <w:t>la administración y vigilancia del almacén o tienda.</w:t>
      </w:r>
    </w:p>
    <w:p>
      <w:pPr>
        <w:pStyle w:val="BodyText"/>
        <w:spacing w:line="242" w:lineRule="auto" w:before="227"/>
        <w:ind w:left="338" w:right="382" w:firstLine="288"/>
      </w:pPr>
      <w:bookmarkStart w:name="Artículo_103_Bis" w:id="122"/>
      <w:bookmarkEnd w:id="122"/>
      <w:r>
        <w:rPr/>
      </w:r>
      <w:r>
        <w:rPr>
          <w:rFonts w:ascii="Arial" w:hAnsi="Arial"/>
          <w:b/>
        </w:rPr>
        <w:t>Artículo 103 Bis.- </w:t>
      </w:r>
      <w:r>
        <w:rPr/>
        <w:t>El Instituto del Fondo Nacional para el Consumo de los Trabajadores, conforme a</w:t>
      </w:r>
      <w:r>
        <w:rPr>
          <w:spacing w:val="40"/>
        </w:rPr>
        <w:t> </w:t>
      </w:r>
      <w:r>
        <w:rPr/>
        <w:t>la Ley que lo regula, establecerá las bases para:</w:t>
      </w:r>
    </w:p>
    <w:p>
      <w:pPr>
        <w:pStyle w:val="ListParagraph"/>
        <w:numPr>
          <w:ilvl w:val="0"/>
          <w:numId w:val="22"/>
        </w:numPr>
        <w:tabs>
          <w:tab w:pos="1195" w:val="left" w:leader="none"/>
        </w:tabs>
        <w:spacing w:line="240" w:lineRule="auto" w:before="224" w:after="0"/>
        <w:ind w:left="1195" w:right="0" w:hanging="569"/>
        <w:jc w:val="left"/>
        <w:rPr>
          <w:sz w:val="20"/>
        </w:rPr>
      </w:pPr>
      <w:r>
        <w:rPr>
          <w:sz w:val="20"/>
        </w:rPr>
        <w:t>Otorgar</w:t>
      </w:r>
      <w:r>
        <w:rPr>
          <w:spacing w:val="-8"/>
          <w:sz w:val="20"/>
        </w:rPr>
        <w:t> </w:t>
      </w:r>
      <w:r>
        <w:rPr>
          <w:sz w:val="20"/>
        </w:rPr>
        <w:t>crédito</w:t>
      </w:r>
      <w:r>
        <w:rPr>
          <w:spacing w:val="-8"/>
          <w:sz w:val="20"/>
        </w:rPr>
        <w:t> </w:t>
      </w:r>
      <w:r>
        <w:rPr>
          <w:sz w:val="20"/>
        </w:rPr>
        <w:t>a</w:t>
      </w:r>
      <w:r>
        <w:rPr>
          <w:spacing w:val="-7"/>
          <w:sz w:val="20"/>
        </w:rPr>
        <w:t> </w:t>
      </w:r>
      <w:r>
        <w:rPr>
          <w:sz w:val="20"/>
        </w:rPr>
        <w:t>los</w:t>
      </w:r>
      <w:r>
        <w:rPr>
          <w:spacing w:val="-7"/>
          <w:sz w:val="20"/>
        </w:rPr>
        <w:t> </w:t>
      </w:r>
      <w:r>
        <w:rPr>
          <w:sz w:val="20"/>
        </w:rPr>
        <w:t>trabajadores,</w:t>
      </w:r>
      <w:r>
        <w:rPr>
          <w:spacing w:val="-7"/>
          <w:sz w:val="20"/>
        </w:rPr>
        <w:t> </w:t>
      </w:r>
      <w:r>
        <w:rPr>
          <w:sz w:val="20"/>
        </w:rPr>
        <w:t>procurando</w:t>
      </w:r>
      <w:r>
        <w:rPr>
          <w:spacing w:val="-8"/>
          <w:sz w:val="20"/>
        </w:rPr>
        <w:t> </w:t>
      </w:r>
      <w:r>
        <w:rPr>
          <w:sz w:val="20"/>
        </w:rPr>
        <w:t>las</w:t>
      </w:r>
      <w:r>
        <w:rPr>
          <w:spacing w:val="-7"/>
          <w:sz w:val="20"/>
        </w:rPr>
        <w:t> </w:t>
      </w:r>
      <w:r>
        <w:rPr>
          <w:sz w:val="20"/>
        </w:rPr>
        <w:t>mejores</w:t>
      </w:r>
      <w:r>
        <w:rPr>
          <w:spacing w:val="-6"/>
          <w:sz w:val="20"/>
        </w:rPr>
        <w:t> </w:t>
      </w:r>
      <w:r>
        <w:rPr>
          <w:sz w:val="20"/>
        </w:rPr>
        <w:t>condiciones</w:t>
      </w:r>
      <w:r>
        <w:rPr>
          <w:spacing w:val="-7"/>
          <w:sz w:val="20"/>
        </w:rPr>
        <w:t> </w:t>
      </w:r>
      <w:r>
        <w:rPr>
          <w:sz w:val="20"/>
        </w:rPr>
        <w:t>de</w:t>
      </w:r>
      <w:r>
        <w:rPr>
          <w:spacing w:val="-8"/>
          <w:sz w:val="20"/>
        </w:rPr>
        <w:t> </w:t>
      </w:r>
      <w:r>
        <w:rPr>
          <w:sz w:val="20"/>
        </w:rPr>
        <w:t>mercado;</w:t>
      </w:r>
      <w:r>
        <w:rPr>
          <w:spacing w:val="-5"/>
          <w:sz w:val="20"/>
        </w:rPr>
        <w:t> </w:t>
      </w:r>
      <w:r>
        <w:rPr>
          <w:spacing w:val="-10"/>
          <w:sz w:val="20"/>
        </w:rPr>
        <w:t>y</w:t>
      </w:r>
    </w:p>
    <w:p>
      <w:pPr>
        <w:pStyle w:val="BodyText"/>
      </w:pPr>
    </w:p>
    <w:p>
      <w:pPr>
        <w:pStyle w:val="ListParagraph"/>
        <w:numPr>
          <w:ilvl w:val="0"/>
          <w:numId w:val="22"/>
        </w:numPr>
        <w:tabs>
          <w:tab w:pos="1195" w:val="left" w:leader="none"/>
        </w:tabs>
        <w:spacing w:line="242" w:lineRule="auto" w:before="1" w:after="0"/>
        <w:ind w:left="1195" w:right="344" w:hanging="569"/>
        <w:jc w:val="left"/>
        <w:rPr>
          <w:sz w:val="20"/>
        </w:rPr>
      </w:pPr>
      <w:r>
        <w:rPr>
          <w:sz w:val="20"/>
        </w:rPr>
        <w:t>Facilitar el acceso de los trabajadores a los servicios financieros que promuevan su ahorro y la consolidación de su patrimonio.</w:t>
      </w:r>
    </w:p>
    <w:p>
      <w:pPr>
        <w:spacing w:line="180" w:lineRule="exact" w:before="0"/>
        <w:ind w:left="452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09-01-1974.</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02-07-1976,</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338" w:right="357" w:firstLine="288"/>
      </w:pPr>
      <w:bookmarkStart w:name="Artículo_104" w:id="123"/>
      <w:bookmarkEnd w:id="123"/>
      <w:r>
        <w:rPr/>
      </w:r>
      <w:r>
        <w:rPr>
          <w:rFonts w:ascii="Arial" w:hAnsi="Arial"/>
          <w:b/>
        </w:rPr>
        <w:t>Artículo 104.- </w:t>
      </w:r>
      <w:r>
        <w:rPr/>
        <w:t>Es nula la cesión de los salarios en favor del patrón o de terceras personas, cualquiera que sea la denominación o forma que se le dé.</w:t>
      </w:r>
    </w:p>
    <w:p>
      <w:pPr>
        <w:pStyle w:val="BodyText"/>
        <w:spacing w:before="227"/>
        <w:ind w:left="626"/>
      </w:pPr>
      <w:bookmarkStart w:name="Artículo_105" w:id="124"/>
      <w:bookmarkEnd w:id="124"/>
      <w:r>
        <w:rPr/>
      </w:r>
      <w:r>
        <w:rPr>
          <w:rFonts w:ascii="Arial" w:hAnsi="Arial"/>
          <w:b/>
        </w:rPr>
        <w:t>Artículo</w:t>
      </w:r>
      <w:r>
        <w:rPr>
          <w:rFonts w:ascii="Arial" w:hAnsi="Arial"/>
          <w:b/>
          <w:spacing w:val="-7"/>
        </w:rPr>
        <w:t> </w:t>
      </w:r>
      <w:r>
        <w:rPr>
          <w:rFonts w:ascii="Arial" w:hAnsi="Arial"/>
          <w:b/>
        </w:rPr>
        <w:t>105.-</w:t>
      </w:r>
      <w:r>
        <w:rPr>
          <w:rFonts w:ascii="Arial" w:hAnsi="Arial"/>
          <w:b/>
          <w:spacing w:val="-5"/>
        </w:rPr>
        <w:t> </w:t>
      </w:r>
      <w:r>
        <w:rPr/>
        <w:t>El</w:t>
      </w:r>
      <w:r>
        <w:rPr>
          <w:spacing w:val="-8"/>
        </w:rPr>
        <w:t> </w:t>
      </w:r>
      <w:r>
        <w:rPr/>
        <w:t>salario</w:t>
      </w:r>
      <w:r>
        <w:rPr>
          <w:spacing w:val="-7"/>
        </w:rPr>
        <w:t> </w:t>
      </w:r>
      <w:r>
        <w:rPr/>
        <w:t>de</w:t>
      </w:r>
      <w:r>
        <w:rPr>
          <w:spacing w:val="-6"/>
        </w:rPr>
        <w:t> </w:t>
      </w:r>
      <w:r>
        <w:rPr/>
        <w:t>los</w:t>
      </w:r>
      <w:r>
        <w:rPr>
          <w:spacing w:val="-6"/>
        </w:rPr>
        <w:t> </w:t>
      </w:r>
      <w:r>
        <w:rPr/>
        <w:t>trabajadores</w:t>
      </w:r>
      <w:r>
        <w:rPr>
          <w:spacing w:val="-4"/>
        </w:rPr>
        <w:t> </w:t>
      </w:r>
      <w:r>
        <w:rPr/>
        <w:t>no</w:t>
      </w:r>
      <w:r>
        <w:rPr>
          <w:spacing w:val="-8"/>
        </w:rPr>
        <w:t> </w:t>
      </w:r>
      <w:r>
        <w:rPr/>
        <w:t>será</w:t>
      </w:r>
      <w:r>
        <w:rPr>
          <w:spacing w:val="-6"/>
        </w:rPr>
        <w:t> </w:t>
      </w:r>
      <w:r>
        <w:rPr/>
        <w:t>objeto</w:t>
      </w:r>
      <w:r>
        <w:rPr>
          <w:spacing w:val="-8"/>
        </w:rPr>
        <w:t> </w:t>
      </w:r>
      <w:r>
        <w:rPr/>
        <w:t>de</w:t>
      </w:r>
      <w:r>
        <w:rPr>
          <w:spacing w:val="-8"/>
        </w:rPr>
        <w:t> </w:t>
      </w:r>
      <w:r>
        <w:rPr/>
        <w:t>compensación</w:t>
      </w:r>
      <w:r>
        <w:rPr>
          <w:spacing w:val="-1"/>
        </w:rPr>
        <w:t> </w:t>
      </w:r>
      <w:r>
        <w:rPr>
          <w:spacing w:val="-2"/>
        </w:rPr>
        <w:t>alguna.</w:t>
      </w:r>
    </w:p>
    <w:p>
      <w:pPr>
        <w:pStyle w:val="BodyText"/>
        <w:spacing w:line="242" w:lineRule="auto" w:before="228"/>
        <w:ind w:left="338" w:right="342" w:firstLine="288"/>
      </w:pPr>
      <w:bookmarkStart w:name="Artículo_106" w:id="125"/>
      <w:bookmarkEnd w:id="125"/>
      <w:r>
        <w:rPr/>
      </w:r>
      <w:r>
        <w:rPr>
          <w:rFonts w:ascii="Arial" w:hAnsi="Arial"/>
          <w:b/>
        </w:rPr>
        <w:t>Artículo 106.- </w:t>
      </w:r>
      <w:r>
        <w:rPr/>
        <w:t>La obligación del patrón de pagar el salario no se suspende, salvo en los casos y con los requisitos establecidos en esta Ley.</w:t>
      </w:r>
    </w:p>
    <w:p>
      <w:pPr>
        <w:pStyle w:val="BodyText"/>
        <w:spacing w:line="242" w:lineRule="auto" w:before="227"/>
        <w:ind w:left="338" w:right="357" w:firstLine="288"/>
      </w:pPr>
      <w:bookmarkStart w:name="Artículo_107" w:id="126"/>
      <w:bookmarkEnd w:id="126"/>
      <w:r>
        <w:rPr/>
      </w:r>
      <w:r>
        <w:rPr>
          <w:rFonts w:ascii="Arial" w:hAnsi="Arial"/>
          <w:b/>
        </w:rPr>
        <w:t>Artículo 107.- </w:t>
      </w:r>
      <w:r>
        <w:rPr/>
        <w:t>Está prohibida la imposición de multas a los trabajadores, cualquiera que sea su causa o concepto.</w:t>
      </w:r>
    </w:p>
    <w:p>
      <w:pPr>
        <w:pStyle w:val="BodyText"/>
        <w:spacing w:line="242" w:lineRule="auto" w:before="224"/>
        <w:ind w:left="338" w:firstLine="288"/>
      </w:pPr>
      <w:bookmarkStart w:name="Artículo_108" w:id="127"/>
      <w:bookmarkEnd w:id="127"/>
      <w:r>
        <w:rPr/>
      </w:r>
      <w:r>
        <w:rPr>
          <w:rFonts w:ascii="Arial" w:hAnsi="Arial"/>
          <w:b/>
        </w:rPr>
        <w:t>Artículo</w:t>
      </w:r>
      <w:r>
        <w:rPr>
          <w:rFonts w:ascii="Arial" w:hAnsi="Arial"/>
          <w:b/>
          <w:spacing w:val="40"/>
        </w:rPr>
        <w:t> </w:t>
      </w:r>
      <w:r>
        <w:rPr>
          <w:rFonts w:ascii="Arial" w:hAnsi="Arial"/>
          <w:b/>
        </w:rPr>
        <w:t>108.-</w:t>
      </w:r>
      <w:r>
        <w:rPr>
          <w:rFonts w:ascii="Arial" w:hAnsi="Arial"/>
          <w:b/>
          <w:spacing w:val="40"/>
        </w:rPr>
        <w:t> </w:t>
      </w:r>
      <w:r>
        <w:rPr/>
        <w:t>El</w:t>
      </w:r>
      <w:r>
        <w:rPr>
          <w:spacing w:val="40"/>
        </w:rPr>
        <w:t> </w:t>
      </w:r>
      <w:r>
        <w:rPr/>
        <w:t>pago</w:t>
      </w:r>
      <w:r>
        <w:rPr>
          <w:spacing w:val="40"/>
        </w:rPr>
        <w:t> </w:t>
      </w:r>
      <w:r>
        <w:rPr/>
        <w:t>del</w:t>
      </w:r>
      <w:r>
        <w:rPr>
          <w:spacing w:val="40"/>
        </w:rPr>
        <w:t> </w:t>
      </w:r>
      <w:r>
        <w:rPr/>
        <w:t>salario</w:t>
      </w:r>
      <w:r>
        <w:rPr>
          <w:spacing w:val="40"/>
        </w:rPr>
        <w:t> </w:t>
      </w:r>
      <w:r>
        <w:rPr/>
        <w:t>se</w:t>
      </w:r>
      <w:r>
        <w:rPr>
          <w:spacing w:val="40"/>
        </w:rPr>
        <w:t> </w:t>
      </w:r>
      <w:r>
        <w:rPr/>
        <w:t>efectuará</w:t>
      </w:r>
      <w:r>
        <w:rPr>
          <w:spacing w:val="40"/>
        </w:rPr>
        <w:t> </w:t>
      </w:r>
      <w:r>
        <w:rPr/>
        <w:t>en</w:t>
      </w:r>
      <w:r>
        <w:rPr>
          <w:spacing w:val="40"/>
        </w:rPr>
        <w:t> </w:t>
      </w:r>
      <w:r>
        <w:rPr/>
        <w:t>el</w:t>
      </w:r>
      <w:r>
        <w:rPr>
          <w:spacing w:val="40"/>
        </w:rPr>
        <w:t> </w:t>
      </w:r>
      <w:r>
        <w:rPr/>
        <w:t>lugar</w:t>
      </w:r>
      <w:r>
        <w:rPr>
          <w:spacing w:val="40"/>
        </w:rPr>
        <w:t> </w:t>
      </w:r>
      <w:r>
        <w:rPr/>
        <w:t>donde</w:t>
      </w:r>
      <w:r>
        <w:rPr>
          <w:spacing w:val="40"/>
        </w:rPr>
        <w:t> </w:t>
      </w:r>
      <w:r>
        <w:rPr/>
        <w:t>los</w:t>
      </w:r>
      <w:r>
        <w:rPr>
          <w:spacing w:val="40"/>
        </w:rPr>
        <w:t> </w:t>
      </w:r>
      <w:r>
        <w:rPr/>
        <w:t>trabajadores</w:t>
      </w:r>
      <w:r>
        <w:rPr>
          <w:spacing w:val="40"/>
        </w:rPr>
        <w:t> </w:t>
      </w:r>
      <w:r>
        <w:rPr/>
        <w:t>presten</w:t>
      </w:r>
      <w:r>
        <w:rPr>
          <w:spacing w:val="40"/>
        </w:rPr>
        <w:t> </w:t>
      </w:r>
      <w:r>
        <w:rPr/>
        <w:t>sus </w:t>
      </w:r>
      <w:r>
        <w:rPr>
          <w:spacing w:val="-2"/>
        </w:rPr>
        <w:t>servicios.</w:t>
      </w:r>
    </w:p>
    <w:p>
      <w:pPr>
        <w:pStyle w:val="BodyText"/>
        <w:spacing w:line="242" w:lineRule="auto" w:before="227"/>
        <w:ind w:left="338" w:right="342" w:firstLine="288"/>
      </w:pPr>
      <w:bookmarkStart w:name="Artículo_109" w:id="128"/>
      <w:bookmarkEnd w:id="128"/>
      <w:r>
        <w:rPr/>
      </w:r>
      <w:r>
        <w:rPr>
          <w:rFonts w:ascii="Arial" w:hAnsi="Arial"/>
          <w:b/>
        </w:rPr>
        <w:t>Artículo 109.- </w:t>
      </w:r>
      <w:r>
        <w:rPr/>
        <w:t>El pago deberá efectuarse en día laborable, fijado por convenio entre el trabajador y el patrón, durante las horas de trabajo o inmediatamente después de su terminación.</w:t>
      </w:r>
    </w:p>
    <w:p>
      <w:pPr>
        <w:pStyle w:val="BodyText"/>
        <w:spacing w:line="242" w:lineRule="auto" w:before="225"/>
        <w:ind w:left="338" w:right="357" w:firstLine="288"/>
      </w:pPr>
      <w:bookmarkStart w:name="Artículo_110" w:id="129"/>
      <w:bookmarkEnd w:id="129"/>
      <w:r>
        <w:rPr/>
      </w:r>
      <w:r>
        <w:rPr>
          <w:rFonts w:ascii="Arial" w:hAnsi="Arial"/>
          <w:b/>
        </w:rPr>
        <w:t>Artículo</w:t>
      </w:r>
      <w:r>
        <w:rPr>
          <w:rFonts w:ascii="Arial" w:hAnsi="Arial"/>
          <w:b/>
          <w:spacing w:val="-2"/>
        </w:rPr>
        <w:t> </w:t>
      </w:r>
      <w:r>
        <w:rPr>
          <w:rFonts w:ascii="Arial" w:hAnsi="Arial"/>
          <w:b/>
        </w:rPr>
        <w:t>110.-</w:t>
      </w:r>
      <w:r>
        <w:rPr>
          <w:rFonts w:ascii="Arial" w:hAnsi="Arial"/>
          <w:b/>
          <w:spacing w:val="-2"/>
        </w:rPr>
        <w:t> </w:t>
      </w:r>
      <w:r>
        <w:rPr/>
        <w:t>Los</w:t>
      </w:r>
      <w:r>
        <w:rPr>
          <w:spacing w:val="-2"/>
        </w:rPr>
        <w:t> </w:t>
      </w:r>
      <w:r>
        <w:rPr/>
        <w:t>descuentos</w:t>
      </w:r>
      <w:r>
        <w:rPr>
          <w:spacing w:val="-2"/>
        </w:rPr>
        <w:t> </w:t>
      </w:r>
      <w:r>
        <w:rPr/>
        <w:t>en</w:t>
      </w:r>
      <w:r>
        <w:rPr>
          <w:spacing w:val="-1"/>
        </w:rPr>
        <w:t> </w:t>
      </w:r>
      <w:r>
        <w:rPr/>
        <w:t>los</w:t>
      </w:r>
      <w:r>
        <w:rPr>
          <w:spacing w:val="-2"/>
        </w:rPr>
        <w:t> </w:t>
      </w:r>
      <w:r>
        <w:rPr/>
        <w:t>salarios</w:t>
      </w:r>
      <w:r>
        <w:rPr>
          <w:spacing w:val="-2"/>
        </w:rPr>
        <w:t> </w:t>
      </w:r>
      <w:r>
        <w:rPr/>
        <w:t>de</w:t>
      </w:r>
      <w:r>
        <w:rPr>
          <w:spacing w:val="-3"/>
        </w:rPr>
        <w:t> </w:t>
      </w:r>
      <w:r>
        <w:rPr/>
        <w:t>los</w:t>
      </w:r>
      <w:r>
        <w:rPr>
          <w:spacing w:val="-2"/>
        </w:rPr>
        <w:t> </w:t>
      </w:r>
      <w:r>
        <w:rPr/>
        <w:t>trabajadores, están</w:t>
      </w:r>
      <w:r>
        <w:rPr>
          <w:spacing w:val="-1"/>
        </w:rPr>
        <w:t> </w:t>
      </w:r>
      <w:r>
        <w:rPr/>
        <w:t>prohibidos</w:t>
      </w:r>
      <w:r>
        <w:rPr>
          <w:spacing w:val="-2"/>
        </w:rPr>
        <w:t> </w:t>
      </w:r>
      <w:r>
        <w:rPr/>
        <w:t>salvo</w:t>
      </w:r>
      <w:r>
        <w:rPr>
          <w:spacing w:val="-3"/>
        </w:rPr>
        <w:t> </w:t>
      </w:r>
      <w:r>
        <w:rPr/>
        <w:t>en</w:t>
      </w:r>
      <w:r>
        <w:rPr>
          <w:spacing w:val="-1"/>
        </w:rPr>
        <w:t> </w:t>
      </w:r>
      <w:r>
        <w:rPr/>
        <w:t>los</w:t>
      </w:r>
      <w:r>
        <w:rPr>
          <w:spacing w:val="-2"/>
        </w:rPr>
        <w:t> </w:t>
      </w:r>
      <w:r>
        <w:rPr/>
        <w:t>casos y con los requisitos siguientes: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09-01-</w:t>
      </w:r>
      <w:r>
        <w:rPr>
          <w:rFonts w:ascii="Times New Roman" w:hAnsi="Times New Roman"/>
          <w:i/>
          <w:color w:val="0000FF"/>
          <w:spacing w:val="-4"/>
          <w:sz w:val="16"/>
        </w:rPr>
        <w:t>1974</w:t>
      </w:r>
    </w:p>
    <w:p>
      <w:pPr>
        <w:pStyle w:val="BodyText"/>
        <w:spacing w:before="45"/>
        <w:rPr>
          <w:rFonts w:ascii="Times New Roman"/>
          <w:i/>
          <w:sz w:val="16"/>
        </w:rPr>
      </w:pPr>
    </w:p>
    <w:p>
      <w:pPr>
        <w:pStyle w:val="ListParagraph"/>
        <w:numPr>
          <w:ilvl w:val="0"/>
          <w:numId w:val="23"/>
        </w:numPr>
        <w:tabs>
          <w:tab w:pos="1193" w:val="left" w:leader="none"/>
          <w:tab w:pos="1195" w:val="left" w:leader="none"/>
        </w:tabs>
        <w:spacing w:line="240" w:lineRule="auto" w:before="0" w:after="0"/>
        <w:ind w:left="1195" w:right="341" w:hanging="569"/>
        <w:jc w:val="both"/>
        <w:rPr>
          <w:sz w:val="20"/>
        </w:rPr>
      </w:pPr>
      <w:r>
        <w:rPr>
          <w:sz w:val="20"/>
        </w:rPr>
        <w:t>Pago de deudas contraídas con el patrón por anticipo de salarios, pagos hechos con exceso al trabajador, errores, pérdidas, averías o adquisición de artículos producidos por la empresa o establecimiento. La cantidad exigible en ningún caso podrá ser mayor del importe de los</w:t>
      </w:r>
      <w:r>
        <w:rPr>
          <w:spacing w:val="40"/>
          <w:sz w:val="20"/>
        </w:rPr>
        <w:t> </w:t>
      </w:r>
      <w:r>
        <w:rPr>
          <w:sz w:val="20"/>
        </w:rPr>
        <w:t>salarios de un mes y el descuento será al que convengan el trabajador y el patrón, sin que pueda ser mayor del treinta por ciento del excedente del salario mínimo;</w:t>
      </w:r>
    </w:p>
    <w:p>
      <w:pPr>
        <w:pStyle w:val="BodyText"/>
      </w:pPr>
    </w:p>
    <w:p>
      <w:pPr>
        <w:pStyle w:val="ListParagraph"/>
        <w:numPr>
          <w:ilvl w:val="0"/>
          <w:numId w:val="23"/>
        </w:numPr>
        <w:tabs>
          <w:tab w:pos="1192" w:val="left" w:leader="none"/>
          <w:tab w:pos="1195" w:val="left" w:leader="none"/>
        </w:tabs>
        <w:spacing w:line="242" w:lineRule="auto" w:before="0" w:after="0"/>
        <w:ind w:left="1195" w:right="347" w:hanging="569"/>
        <w:jc w:val="both"/>
        <w:rPr>
          <w:sz w:val="20"/>
        </w:rPr>
      </w:pPr>
      <w:r>
        <w:rPr>
          <w:sz w:val="20"/>
        </w:rPr>
        <w:t>Pago de la renta a que se refiere el artículo 151 que no podrá exceder del quince por ciento del </w:t>
      </w:r>
      <w:r>
        <w:rPr>
          <w:spacing w:val="-2"/>
          <w:sz w:val="20"/>
        </w:rPr>
        <w:t>salario.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1972</w:t>
      </w:r>
    </w:p>
    <w:p>
      <w:pPr>
        <w:pStyle w:val="BodyText"/>
        <w:spacing w:before="45"/>
        <w:rPr>
          <w:rFonts w:ascii="Times New Roman"/>
          <w:i/>
          <w:sz w:val="16"/>
        </w:rPr>
      </w:pPr>
    </w:p>
    <w:p>
      <w:pPr>
        <w:pStyle w:val="ListParagraph"/>
        <w:numPr>
          <w:ilvl w:val="0"/>
          <w:numId w:val="23"/>
        </w:numPr>
        <w:tabs>
          <w:tab w:pos="1191" w:val="left" w:leader="none"/>
          <w:tab w:pos="1195" w:val="left" w:leader="none"/>
        </w:tabs>
        <w:spacing w:line="240" w:lineRule="auto" w:before="0" w:after="0"/>
        <w:ind w:left="1195" w:right="341" w:hanging="569"/>
        <w:jc w:val="both"/>
        <w:rPr>
          <w:sz w:val="20"/>
        </w:rPr>
      </w:pPr>
      <w:r>
        <w:rPr>
          <w:sz w:val="20"/>
        </w:rPr>
        <w:t>Pago</w:t>
      </w:r>
      <w:r>
        <w:rPr>
          <w:spacing w:val="-2"/>
          <w:sz w:val="20"/>
        </w:rPr>
        <w:t> </w:t>
      </w:r>
      <w:r>
        <w:rPr>
          <w:sz w:val="20"/>
        </w:rPr>
        <w:t>de</w:t>
      </w:r>
      <w:r>
        <w:rPr>
          <w:spacing w:val="-3"/>
          <w:sz w:val="20"/>
        </w:rPr>
        <w:t> </w:t>
      </w:r>
      <w:r>
        <w:rPr>
          <w:sz w:val="20"/>
        </w:rPr>
        <w:t>abonos</w:t>
      </w:r>
      <w:r>
        <w:rPr>
          <w:spacing w:val="-1"/>
          <w:sz w:val="20"/>
        </w:rPr>
        <w:t> </w:t>
      </w:r>
      <w:r>
        <w:rPr>
          <w:sz w:val="20"/>
        </w:rPr>
        <w:t>para</w:t>
      </w:r>
      <w:r>
        <w:rPr>
          <w:spacing w:val="-2"/>
          <w:sz w:val="20"/>
        </w:rPr>
        <w:t> </w:t>
      </w:r>
      <w:r>
        <w:rPr>
          <w:sz w:val="20"/>
        </w:rPr>
        <w:t>cubrir</w:t>
      </w:r>
      <w:r>
        <w:rPr>
          <w:spacing w:val="-1"/>
          <w:sz w:val="20"/>
        </w:rPr>
        <w:t> </w:t>
      </w:r>
      <w:r>
        <w:rPr>
          <w:sz w:val="20"/>
        </w:rPr>
        <w:t>préstamos</w:t>
      </w:r>
      <w:r>
        <w:rPr>
          <w:spacing w:val="-3"/>
          <w:sz w:val="20"/>
        </w:rPr>
        <w:t> </w:t>
      </w:r>
      <w:r>
        <w:rPr>
          <w:sz w:val="20"/>
        </w:rPr>
        <w:t>o</w:t>
      </w:r>
      <w:r>
        <w:rPr>
          <w:spacing w:val="-2"/>
          <w:sz w:val="20"/>
        </w:rPr>
        <w:t> </w:t>
      </w:r>
      <w:r>
        <w:rPr>
          <w:sz w:val="20"/>
        </w:rPr>
        <w:t>rentas</w:t>
      </w:r>
      <w:r>
        <w:rPr>
          <w:spacing w:val="-1"/>
          <w:sz w:val="20"/>
        </w:rPr>
        <w:t> </w:t>
      </w:r>
      <w:r>
        <w:rPr>
          <w:sz w:val="20"/>
        </w:rPr>
        <w:t>provenientes</w:t>
      </w:r>
      <w:r>
        <w:rPr>
          <w:spacing w:val="-1"/>
          <w:sz w:val="20"/>
        </w:rPr>
        <w:t> </w:t>
      </w:r>
      <w:r>
        <w:rPr>
          <w:sz w:val="20"/>
        </w:rPr>
        <w:t>del</w:t>
      </w:r>
      <w:r>
        <w:rPr>
          <w:spacing w:val="-3"/>
          <w:sz w:val="20"/>
        </w:rPr>
        <w:t> </w:t>
      </w:r>
      <w:r>
        <w:rPr>
          <w:sz w:val="20"/>
        </w:rPr>
        <w:t>Fondo</w:t>
      </w:r>
      <w:r>
        <w:rPr>
          <w:spacing w:val="-2"/>
          <w:sz w:val="20"/>
        </w:rPr>
        <w:t> </w:t>
      </w:r>
      <w:r>
        <w:rPr>
          <w:sz w:val="20"/>
        </w:rPr>
        <w:t>Nacional</w:t>
      </w:r>
      <w:r>
        <w:rPr>
          <w:spacing w:val="-1"/>
          <w:sz w:val="20"/>
        </w:rPr>
        <w:t> </w:t>
      </w:r>
      <w:r>
        <w:rPr>
          <w:sz w:val="20"/>
        </w:rPr>
        <w:t>de</w:t>
      </w:r>
      <w:r>
        <w:rPr>
          <w:spacing w:val="-3"/>
          <w:sz w:val="20"/>
        </w:rPr>
        <w:t> </w:t>
      </w:r>
      <w:r>
        <w:rPr>
          <w:sz w:val="20"/>
        </w:rPr>
        <w:t>la</w:t>
      </w:r>
      <w:r>
        <w:rPr>
          <w:spacing w:val="-2"/>
          <w:sz w:val="20"/>
        </w:rPr>
        <w:t> </w:t>
      </w:r>
      <w:r>
        <w:rPr>
          <w:sz w:val="20"/>
        </w:rPr>
        <w:t>Vivienda para los Trabajadores destinados al arrendamiento social, adquisición, construcción,</w:t>
      </w:r>
      <w:r>
        <w:rPr>
          <w:spacing w:val="40"/>
          <w:sz w:val="20"/>
        </w:rPr>
        <w:t> </w:t>
      </w:r>
      <w:r>
        <w:rPr>
          <w:sz w:val="20"/>
        </w:rPr>
        <w:t>reparación, ampliación o mejoras de vivienda o al pago de pasivos adquiridos por estos conceptos. Estos descuentos deberán haber sido aceptados libremente por la persona </w:t>
      </w:r>
      <w:r>
        <w:rPr>
          <w:spacing w:val="-2"/>
          <w:sz w:val="20"/>
        </w:rPr>
        <w:t>trabajadora.</w:t>
      </w:r>
    </w:p>
    <w:p>
      <w:pPr>
        <w:spacing w:before="0"/>
        <w:ind w:left="563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24-04-1972,</w:t>
      </w:r>
      <w:r>
        <w:rPr>
          <w:rFonts w:ascii="Times New Roman" w:hAnsi="Times New Roman"/>
          <w:i/>
          <w:color w:val="0000FF"/>
          <w:spacing w:val="-9"/>
          <w:sz w:val="16"/>
        </w:rPr>
        <w:t> </w:t>
      </w:r>
      <w:r>
        <w:rPr>
          <w:rFonts w:ascii="Times New Roman" w:hAnsi="Times New Roman"/>
          <w:i/>
          <w:color w:val="0000FF"/>
          <w:sz w:val="16"/>
        </w:rPr>
        <w:t>07-01-1982,</w:t>
      </w:r>
      <w:r>
        <w:rPr>
          <w:rFonts w:ascii="Times New Roman" w:hAnsi="Times New Roman"/>
          <w:i/>
          <w:color w:val="0000FF"/>
          <w:spacing w:val="-8"/>
          <w:sz w:val="16"/>
        </w:rPr>
        <w:t> </w:t>
      </w:r>
      <w:r>
        <w:rPr>
          <w:rFonts w:ascii="Times New Roman" w:hAnsi="Times New Roman"/>
          <w:i/>
          <w:color w:val="0000FF"/>
          <w:sz w:val="16"/>
        </w:rPr>
        <w:t>21-02-</w:t>
      </w:r>
      <w:r>
        <w:rPr>
          <w:rFonts w:ascii="Times New Roman" w:hAnsi="Times New Roman"/>
          <w:i/>
          <w:color w:val="0000FF"/>
          <w:spacing w:val="-4"/>
          <w:sz w:val="16"/>
        </w:rPr>
        <w:t>2025</w:t>
      </w:r>
    </w:p>
    <w:p>
      <w:pPr>
        <w:pStyle w:val="BodyText"/>
        <w:spacing w:before="47"/>
        <w:rPr>
          <w:rFonts w:ascii="Times New Roman"/>
          <w:i/>
          <w:sz w:val="16"/>
        </w:rPr>
      </w:pPr>
    </w:p>
    <w:p>
      <w:pPr>
        <w:pStyle w:val="ListParagraph"/>
        <w:numPr>
          <w:ilvl w:val="0"/>
          <w:numId w:val="23"/>
        </w:numPr>
        <w:tabs>
          <w:tab w:pos="1195" w:val="left" w:leader="none"/>
        </w:tabs>
        <w:spacing w:line="242" w:lineRule="auto" w:before="0" w:after="0"/>
        <w:ind w:left="1195" w:right="341" w:hanging="569"/>
        <w:jc w:val="both"/>
        <w:rPr>
          <w:sz w:val="20"/>
        </w:rPr>
      </w:pPr>
      <w:r>
        <w:rPr>
          <w:sz w:val="20"/>
        </w:rPr>
        <w:t>Pago de cuotas para la constitución y fomento de sociedades cooperativas y de cajas de</w:t>
      </w:r>
      <w:r>
        <w:rPr>
          <w:spacing w:val="40"/>
          <w:sz w:val="20"/>
        </w:rPr>
        <w:t> </w:t>
      </w:r>
      <w:r>
        <w:rPr>
          <w:sz w:val="20"/>
        </w:rPr>
        <w:t>ahorro, siempre</w:t>
      </w:r>
      <w:r>
        <w:rPr>
          <w:spacing w:val="-2"/>
          <w:sz w:val="20"/>
        </w:rPr>
        <w:t> </w:t>
      </w:r>
      <w:r>
        <w:rPr>
          <w:sz w:val="20"/>
        </w:rPr>
        <w:t>que los</w:t>
      </w:r>
      <w:r>
        <w:rPr>
          <w:spacing w:val="-1"/>
          <w:sz w:val="20"/>
        </w:rPr>
        <w:t> </w:t>
      </w:r>
      <w:r>
        <w:rPr>
          <w:sz w:val="20"/>
        </w:rPr>
        <w:t>trabajadores manifiesten expresa y</w:t>
      </w:r>
      <w:r>
        <w:rPr>
          <w:spacing w:val="-3"/>
          <w:sz w:val="20"/>
        </w:rPr>
        <w:t> </w:t>
      </w:r>
      <w:r>
        <w:rPr>
          <w:sz w:val="20"/>
        </w:rPr>
        <w:t>libremente</w:t>
      </w:r>
      <w:r>
        <w:rPr>
          <w:spacing w:val="-2"/>
          <w:sz w:val="20"/>
        </w:rPr>
        <w:t> </w:t>
      </w:r>
      <w:r>
        <w:rPr>
          <w:sz w:val="20"/>
        </w:rPr>
        <w:t>su</w:t>
      </w:r>
      <w:r>
        <w:rPr>
          <w:spacing w:val="-2"/>
          <w:sz w:val="20"/>
        </w:rPr>
        <w:t> </w:t>
      </w:r>
      <w:r>
        <w:rPr>
          <w:sz w:val="20"/>
        </w:rPr>
        <w:t>conformidad y</w:t>
      </w:r>
      <w:r>
        <w:rPr>
          <w:spacing w:val="-3"/>
          <w:sz w:val="20"/>
        </w:rPr>
        <w:t> </w:t>
      </w:r>
      <w:r>
        <w:rPr>
          <w:sz w:val="20"/>
        </w:rPr>
        <w:t>que no sean mayores del treinta por ciento del excedente del salario mínimo;</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3"/>
      </w:pPr>
    </w:p>
    <w:p>
      <w:pPr>
        <w:pStyle w:val="ListParagraph"/>
        <w:numPr>
          <w:ilvl w:val="0"/>
          <w:numId w:val="23"/>
        </w:numPr>
        <w:tabs>
          <w:tab w:pos="1195" w:val="left" w:leader="none"/>
        </w:tabs>
        <w:spacing w:line="242" w:lineRule="auto" w:before="0" w:after="0"/>
        <w:ind w:left="1195" w:right="346" w:hanging="569"/>
        <w:jc w:val="left"/>
        <w:rPr>
          <w:sz w:val="20"/>
        </w:rPr>
      </w:pPr>
      <w:r>
        <w:rPr>
          <w:sz w:val="20"/>
        </w:rPr>
        <w:t>Pago</w:t>
      </w:r>
      <w:r>
        <w:rPr>
          <w:spacing w:val="-1"/>
          <w:sz w:val="20"/>
        </w:rPr>
        <w:t> </w:t>
      </w:r>
      <w:r>
        <w:rPr>
          <w:sz w:val="20"/>
        </w:rPr>
        <w:t>de</w:t>
      </w:r>
      <w:r>
        <w:rPr>
          <w:spacing w:val="-1"/>
          <w:sz w:val="20"/>
        </w:rPr>
        <w:t> </w:t>
      </w:r>
      <w:r>
        <w:rPr>
          <w:sz w:val="20"/>
        </w:rPr>
        <w:t>pensiones alimenticias en</w:t>
      </w:r>
      <w:r>
        <w:rPr>
          <w:spacing w:val="-1"/>
          <w:sz w:val="20"/>
        </w:rPr>
        <w:t> </w:t>
      </w:r>
      <w:r>
        <w:rPr>
          <w:sz w:val="20"/>
        </w:rPr>
        <w:t>favor de</w:t>
      </w:r>
      <w:r>
        <w:rPr>
          <w:spacing w:val="-1"/>
          <w:sz w:val="20"/>
        </w:rPr>
        <w:t> </w:t>
      </w:r>
      <w:r>
        <w:rPr>
          <w:sz w:val="20"/>
        </w:rPr>
        <w:t>acreedores</w:t>
      </w:r>
      <w:r>
        <w:rPr>
          <w:spacing w:val="-2"/>
          <w:sz w:val="20"/>
        </w:rPr>
        <w:t> </w:t>
      </w:r>
      <w:r>
        <w:rPr>
          <w:sz w:val="20"/>
        </w:rPr>
        <w:t>alimentarios, decretado</w:t>
      </w:r>
      <w:r>
        <w:rPr>
          <w:spacing w:val="-1"/>
          <w:sz w:val="20"/>
        </w:rPr>
        <w:t> </w:t>
      </w:r>
      <w:r>
        <w:rPr>
          <w:sz w:val="20"/>
        </w:rPr>
        <w:t>por</w:t>
      </w:r>
      <w:r>
        <w:rPr>
          <w:spacing w:val="-2"/>
          <w:sz w:val="20"/>
        </w:rPr>
        <w:t> </w:t>
      </w:r>
      <w:r>
        <w:rPr>
          <w:sz w:val="20"/>
        </w:rPr>
        <w:t>la</w:t>
      </w:r>
      <w:r>
        <w:rPr>
          <w:spacing w:val="-1"/>
          <w:sz w:val="20"/>
        </w:rPr>
        <w:t> </w:t>
      </w:r>
      <w:r>
        <w:rPr>
          <w:sz w:val="20"/>
        </w:rPr>
        <w:t>autoridad </w:t>
      </w:r>
      <w:r>
        <w:rPr>
          <w:spacing w:val="-2"/>
          <w:sz w:val="20"/>
        </w:rPr>
        <w:t>competente.</w:t>
      </w:r>
    </w:p>
    <w:p>
      <w:pPr>
        <w:pStyle w:val="BodyText"/>
        <w:spacing w:before="229"/>
        <w:ind w:left="1195" w:right="342"/>
        <w:jc w:val="both"/>
      </w:pPr>
      <w:r>
        <w:rPr/>
        <w:t>En caso de que el trabajador deje de prestar sus servicios en el centro de trabajo, el patrón deberá informar a la autoridad jurisdiccional competente y los acreedores alimentarios tal circunstancia, dentro de los cinco días hábiles siguientes a la fecha de la terminación de la relación laboral;</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23"/>
        </w:numPr>
        <w:tabs>
          <w:tab w:pos="1195" w:val="left" w:leader="none"/>
        </w:tabs>
        <w:spacing w:line="240" w:lineRule="auto" w:before="0" w:after="0"/>
        <w:ind w:left="1195" w:right="0" w:hanging="569"/>
        <w:jc w:val="left"/>
        <w:rPr>
          <w:sz w:val="20"/>
        </w:rPr>
      </w:pPr>
      <w:r>
        <w:rPr>
          <w:sz w:val="20"/>
        </w:rPr>
        <w:t>Pago</w:t>
      </w:r>
      <w:r>
        <w:rPr>
          <w:spacing w:val="-7"/>
          <w:sz w:val="20"/>
        </w:rPr>
        <w:t> </w:t>
      </w:r>
      <w:r>
        <w:rPr>
          <w:sz w:val="20"/>
        </w:rPr>
        <w:t>de</w:t>
      </w:r>
      <w:r>
        <w:rPr>
          <w:spacing w:val="-6"/>
          <w:sz w:val="20"/>
        </w:rPr>
        <w:t> </w:t>
      </w:r>
      <w:r>
        <w:rPr>
          <w:sz w:val="20"/>
        </w:rPr>
        <w:t>las</w:t>
      </w:r>
      <w:r>
        <w:rPr>
          <w:spacing w:val="-6"/>
          <w:sz w:val="20"/>
        </w:rPr>
        <w:t> </w:t>
      </w:r>
      <w:r>
        <w:rPr>
          <w:sz w:val="20"/>
        </w:rPr>
        <w:t>cuotas</w:t>
      </w:r>
      <w:r>
        <w:rPr>
          <w:spacing w:val="-6"/>
          <w:sz w:val="20"/>
        </w:rPr>
        <w:t> </w:t>
      </w:r>
      <w:r>
        <w:rPr>
          <w:sz w:val="20"/>
        </w:rPr>
        <w:t>sindicales</w:t>
      </w:r>
      <w:r>
        <w:rPr>
          <w:spacing w:val="-6"/>
          <w:sz w:val="20"/>
        </w:rPr>
        <w:t> </w:t>
      </w:r>
      <w:r>
        <w:rPr>
          <w:sz w:val="20"/>
        </w:rPr>
        <w:t>ordinarias</w:t>
      </w:r>
      <w:r>
        <w:rPr>
          <w:spacing w:val="-4"/>
          <w:sz w:val="20"/>
        </w:rPr>
        <w:t> </w:t>
      </w:r>
      <w:r>
        <w:rPr>
          <w:sz w:val="20"/>
        </w:rPr>
        <w:t>previstas</w:t>
      </w:r>
      <w:r>
        <w:rPr>
          <w:spacing w:val="-6"/>
          <w:sz w:val="20"/>
        </w:rPr>
        <w:t> </w:t>
      </w:r>
      <w:r>
        <w:rPr>
          <w:sz w:val="20"/>
        </w:rPr>
        <w:t>en</w:t>
      </w:r>
      <w:r>
        <w:rPr>
          <w:spacing w:val="-7"/>
          <w:sz w:val="20"/>
        </w:rPr>
        <w:t> </w:t>
      </w:r>
      <w:r>
        <w:rPr>
          <w:sz w:val="20"/>
        </w:rPr>
        <w:t>los</w:t>
      </w:r>
      <w:r>
        <w:rPr>
          <w:spacing w:val="-6"/>
          <w:sz w:val="20"/>
        </w:rPr>
        <w:t> </w:t>
      </w:r>
      <w:r>
        <w:rPr>
          <w:sz w:val="20"/>
        </w:rPr>
        <w:t>estatutos</w:t>
      </w:r>
      <w:r>
        <w:rPr>
          <w:spacing w:val="-6"/>
          <w:sz w:val="20"/>
        </w:rPr>
        <w:t> </w:t>
      </w:r>
      <w:r>
        <w:rPr>
          <w:sz w:val="20"/>
        </w:rPr>
        <w:t>de</w:t>
      </w:r>
      <w:r>
        <w:rPr>
          <w:spacing w:val="-6"/>
          <w:sz w:val="20"/>
        </w:rPr>
        <w:t> </w:t>
      </w:r>
      <w:r>
        <w:rPr>
          <w:sz w:val="20"/>
        </w:rPr>
        <w:t>los</w:t>
      </w:r>
      <w:r>
        <w:rPr>
          <w:spacing w:val="-6"/>
          <w:sz w:val="20"/>
        </w:rPr>
        <w:t> </w:t>
      </w:r>
      <w:r>
        <w:rPr>
          <w:spacing w:val="-2"/>
          <w:sz w:val="20"/>
        </w:rPr>
        <w:t>sindicatos.</w:t>
      </w:r>
    </w:p>
    <w:p>
      <w:pPr>
        <w:pStyle w:val="BodyText"/>
        <w:spacing w:before="1"/>
      </w:pPr>
    </w:p>
    <w:p>
      <w:pPr>
        <w:pStyle w:val="BodyText"/>
        <w:spacing w:before="1"/>
        <w:ind w:left="1195" w:right="357"/>
      </w:pPr>
      <w:r>
        <w:rPr/>
        <w:t>El trabajador podrá manifestar por escrito su voluntad de que no se le aplique la cuota sindical, en cuyo caso el patrón no podrá descontarla;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1"/>
        <w:rPr>
          <w:rFonts w:ascii="Times New Roman"/>
          <w:i/>
          <w:sz w:val="16"/>
        </w:rPr>
      </w:pPr>
    </w:p>
    <w:p>
      <w:pPr>
        <w:pStyle w:val="ListParagraph"/>
        <w:numPr>
          <w:ilvl w:val="0"/>
          <w:numId w:val="23"/>
        </w:numPr>
        <w:tabs>
          <w:tab w:pos="1193" w:val="left" w:leader="none"/>
          <w:tab w:pos="1195" w:val="left" w:leader="none"/>
        </w:tabs>
        <w:spacing w:line="242" w:lineRule="auto" w:before="0" w:after="0"/>
        <w:ind w:left="1195" w:right="334" w:hanging="569"/>
        <w:jc w:val="both"/>
        <w:rPr>
          <w:sz w:val="20"/>
        </w:rPr>
      </w:pPr>
      <w:r>
        <w:rPr>
          <w:sz w:val="20"/>
        </w:rPr>
        <w:t>Pago de abonos para cubrir créditos garantizados por el Instituto a que</w:t>
      </w:r>
      <w:r>
        <w:rPr>
          <w:spacing w:val="-1"/>
          <w:sz w:val="20"/>
        </w:rPr>
        <w:t> </w:t>
      </w:r>
      <w:r>
        <w:rPr>
          <w:sz w:val="20"/>
        </w:rPr>
        <w:t>se refiere el artículo 103 Bis de esta Ley, destinados a la adquisición de bienes de consumo, o al pago de servicios. Estos descuentos deberán haber sido aceptados libremente por el trabajador y no podrán exceder del veinte por ciento del salario.</w:t>
      </w:r>
    </w:p>
    <w:p>
      <w:pPr>
        <w:spacing w:line="178" w:lineRule="exact" w:before="0"/>
        <w:ind w:left="52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09-01-1974.</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338" w:right="340" w:firstLine="288"/>
        <w:jc w:val="both"/>
      </w:pPr>
      <w:bookmarkStart w:name="Artículo_111" w:id="130"/>
      <w:bookmarkEnd w:id="130"/>
      <w:r>
        <w:rPr/>
      </w:r>
      <w:r>
        <w:rPr>
          <w:rFonts w:ascii="Arial" w:hAnsi="Arial"/>
          <w:b/>
        </w:rPr>
        <w:t>Artículo 111.- </w:t>
      </w:r>
      <w:r>
        <w:rPr/>
        <w:t>Las deudas contraídas por los trabajadores con sus patrones en ningún caso devengarán intereses.</w:t>
      </w:r>
    </w:p>
    <w:p>
      <w:pPr>
        <w:pStyle w:val="BodyText"/>
        <w:spacing w:before="227"/>
        <w:ind w:left="338" w:right="342" w:firstLine="288"/>
        <w:jc w:val="both"/>
      </w:pPr>
      <w:bookmarkStart w:name="Artículo_112" w:id="131"/>
      <w:bookmarkEnd w:id="131"/>
      <w:r>
        <w:rPr/>
      </w:r>
      <w:r>
        <w:rPr>
          <w:rFonts w:ascii="Arial" w:hAnsi="Arial"/>
          <w:b/>
        </w:rPr>
        <w:t>Artículo 112.- </w:t>
      </w:r>
      <w:r>
        <w:rPr/>
        <w:t>Los salarios de los trabajadores no podrán ser embargados, salvo el caso de</w:t>
      </w:r>
      <w:r>
        <w:rPr>
          <w:spacing w:val="40"/>
        </w:rPr>
        <w:t> </w:t>
      </w:r>
      <w:r>
        <w:rPr/>
        <w:t>pensiones alimenticias decretadas por la autoridad competente en beneficio de las personas señaladas en el artículo 110, fracción V.</w:t>
      </w:r>
    </w:p>
    <w:p>
      <w:pPr>
        <w:pStyle w:val="BodyText"/>
        <w:spacing w:before="2"/>
      </w:pPr>
    </w:p>
    <w:p>
      <w:pPr>
        <w:pStyle w:val="BodyText"/>
        <w:ind w:left="626"/>
      </w:pPr>
      <w:r>
        <w:rPr/>
        <w:t>Los</w:t>
      </w:r>
      <w:r>
        <w:rPr>
          <w:spacing w:val="-7"/>
        </w:rPr>
        <w:t> </w:t>
      </w:r>
      <w:r>
        <w:rPr/>
        <w:t>patrones</w:t>
      </w:r>
      <w:r>
        <w:rPr>
          <w:spacing w:val="-7"/>
        </w:rPr>
        <w:t> </w:t>
      </w:r>
      <w:r>
        <w:rPr/>
        <w:t>no</w:t>
      </w:r>
      <w:r>
        <w:rPr>
          <w:spacing w:val="-8"/>
        </w:rPr>
        <w:t> </w:t>
      </w:r>
      <w:r>
        <w:rPr/>
        <w:t>están</w:t>
      </w:r>
      <w:r>
        <w:rPr>
          <w:spacing w:val="-7"/>
        </w:rPr>
        <w:t> </w:t>
      </w:r>
      <w:r>
        <w:rPr/>
        <w:t>obligados</w:t>
      </w:r>
      <w:r>
        <w:rPr>
          <w:spacing w:val="-5"/>
        </w:rPr>
        <w:t> </w:t>
      </w:r>
      <w:r>
        <w:rPr/>
        <w:t>a</w:t>
      </w:r>
      <w:r>
        <w:rPr>
          <w:spacing w:val="-8"/>
        </w:rPr>
        <w:t> </w:t>
      </w:r>
      <w:r>
        <w:rPr/>
        <w:t>cumplir</w:t>
      </w:r>
      <w:r>
        <w:rPr>
          <w:spacing w:val="-6"/>
        </w:rPr>
        <w:t> </w:t>
      </w:r>
      <w:r>
        <w:rPr/>
        <w:t>ninguna</w:t>
      </w:r>
      <w:r>
        <w:rPr>
          <w:spacing w:val="-7"/>
        </w:rPr>
        <w:t> </w:t>
      </w:r>
      <w:r>
        <w:rPr/>
        <w:t>otra</w:t>
      </w:r>
      <w:r>
        <w:rPr>
          <w:spacing w:val="-8"/>
        </w:rPr>
        <w:t> </w:t>
      </w:r>
      <w:r>
        <w:rPr/>
        <w:t>orden</w:t>
      </w:r>
      <w:r>
        <w:rPr>
          <w:spacing w:val="-6"/>
        </w:rPr>
        <w:t> </w:t>
      </w:r>
      <w:r>
        <w:rPr/>
        <w:t>judicial</w:t>
      </w:r>
      <w:r>
        <w:rPr>
          <w:spacing w:val="-6"/>
        </w:rPr>
        <w:t> </w:t>
      </w:r>
      <w:r>
        <w:rPr/>
        <w:t>o</w:t>
      </w:r>
      <w:r>
        <w:rPr>
          <w:spacing w:val="-8"/>
        </w:rPr>
        <w:t> </w:t>
      </w:r>
      <w:r>
        <w:rPr/>
        <w:t>administrativa</w:t>
      </w:r>
      <w:r>
        <w:rPr>
          <w:spacing w:val="-6"/>
        </w:rPr>
        <w:t> </w:t>
      </w:r>
      <w:r>
        <w:rPr/>
        <w:t>de</w:t>
      </w:r>
      <w:r>
        <w:rPr>
          <w:spacing w:val="-8"/>
        </w:rPr>
        <w:t> </w:t>
      </w:r>
      <w:r>
        <w:rPr>
          <w:spacing w:val="-2"/>
        </w:rPr>
        <w:t>embargo.</w:t>
      </w:r>
    </w:p>
    <w:p>
      <w:pPr>
        <w:pStyle w:val="BodyText"/>
        <w:spacing w:before="228"/>
        <w:ind w:left="338" w:right="344" w:firstLine="288"/>
        <w:jc w:val="both"/>
      </w:pPr>
      <w:bookmarkStart w:name="Artículo_113" w:id="132"/>
      <w:bookmarkEnd w:id="132"/>
      <w:r>
        <w:rPr/>
      </w:r>
      <w:r>
        <w:rPr>
          <w:rFonts w:ascii="Arial" w:hAnsi="Arial"/>
          <w:b/>
        </w:rPr>
        <w:t>Artículo 113.- </w:t>
      </w:r>
      <w:r>
        <w:rPr/>
        <w:t>Los salarios devengados en el último año y las indemnizaciones debidas a los trabajadores son preferentes sobre cualquier otro crédito, incluidos los que disfruten de garantía real, los fiscales y los a favor del Instituto Mexicano del Seguro Social, sobre todos los bienes del patrón.</w:t>
      </w:r>
    </w:p>
    <w:p>
      <w:pPr>
        <w:pStyle w:val="BodyText"/>
        <w:spacing w:before="230"/>
        <w:ind w:left="338" w:right="334" w:firstLine="288"/>
        <w:jc w:val="both"/>
      </w:pPr>
      <w:bookmarkStart w:name="Artículo_114" w:id="133"/>
      <w:bookmarkEnd w:id="133"/>
      <w:r>
        <w:rPr/>
      </w:r>
      <w:r>
        <w:rPr>
          <w:rFonts w:ascii="Arial" w:hAnsi="Arial"/>
          <w:b/>
        </w:rPr>
        <w:t>Artículo 114.- </w:t>
      </w:r>
      <w:r>
        <w:rPr/>
        <w:t>Los trabajadores no necesitan entrar a concurso, quiebra, suspensión de pagos o sucesión. El Tribunal procederá al embargo y remate de los bienes necesarios para el pago de los salarios e indemnizaciones.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7" w:firstLine="288"/>
        <w:jc w:val="both"/>
      </w:pPr>
      <w:bookmarkStart w:name="Artículo_115" w:id="134"/>
      <w:bookmarkEnd w:id="134"/>
      <w:r>
        <w:rPr/>
      </w:r>
      <w:r>
        <w:rPr>
          <w:rFonts w:ascii="Arial" w:hAnsi="Arial"/>
          <w:b/>
        </w:rPr>
        <w:t>Artículo 115.- </w:t>
      </w:r>
      <w:r>
        <w:rPr/>
        <w:t>Los beneficiarios del trabajador fallecido tendrán derecho a percibir las prestaciones e indemnizaciones pendientes de cubrirse, ejercitar las acciones y continuar los juicios, sin necesidad de juicio sucesorio.</w:t>
      </w:r>
    </w:p>
    <w:p>
      <w:pPr>
        <w:pStyle w:val="BodyText"/>
      </w:pPr>
    </w:p>
    <w:p>
      <w:pPr>
        <w:pStyle w:val="BodyText"/>
        <w:spacing w:line="242" w:lineRule="auto"/>
        <w:ind w:left="338" w:right="346" w:firstLine="288"/>
        <w:jc w:val="both"/>
      </w:pPr>
      <w:bookmarkStart w:name="Artículo_116" w:id="135"/>
      <w:bookmarkEnd w:id="135"/>
      <w:r>
        <w:rPr/>
      </w:r>
      <w:r>
        <w:rPr>
          <w:rFonts w:ascii="Arial" w:hAnsi="Arial"/>
          <w:b/>
        </w:rPr>
        <w:t>Artículo 116.- </w:t>
      </w:r>
      <w:r>
        <w:rPr/>
        <w:t>Queda prohibido en los centros de trabajo el establecimiento de expendios de bebidas embriagantes y de casas de juego de azar y de asignación. Esta prohibición será efectiva en un radio de cuatro kilómetros de los centros de trabajo ubicados fuera de las poblaciones.</w:t>
      </w:r>
    </w:p>
    <w:p>
      <w:pPr>
        <w:pStyle w:val="BodyText"/>
        <w:spacing w:before="225"/>
        <w:ind w:left="338" w:right="334" w:firstLine="288"/>
        <w:jc w:val="both"/>
      </w:pPr>
      <w:r>
        <w:rPr/>
        <w:t>Para los efectos de esta Ley, son bebidas embriagantes aquellas cuyo contenido alcohólico exceda</w:t>
      </w:r>
      <w:r>
        <w:rPr>
          <w:spacing w:val="40"/>
        </w:rPr>
        <w:t> </w:t>
      </w:r>
      <w:r>
        <w:rPr/>
        <w:t>del cinco por ciento.</w:t>
      </w:r>
    </w:p>
    <w:p>
      <w:pPr>
        <w:pStyle w:val="Heading1"/>
        <w:spacing w:line="252" w:lineRule="exact" w:before="227"/>
        <w:ind w:left="298"/>
      </w:pPr>
      <w:r>
        <w:rPr/>
        <w:t>CAPITULO</w:t>
      </w:r>
      <w:r>
        <w:rPr>
          <w:spacing w:val="-9"/>
        </w:rPr>
        <w:t> </w:t>
      </w:r>
      <w:r>
        <w:rPr>
          <w:spacing w:val="-4"/>
        </w:rPr>
        <w:t>VIII</w:t>
      </w:r>
    </w:p>
    <w:p>
      <w:pPr>
        <w:pStyle w:val="Heading2"/>
        <w:spacing w:line="252" w:lineRule="exact"/>
        <w:ind w:left="297"/>
      </w:pPr>
      <w:r>
        <w:rPr/>
        <w:t>Participación</w:t>
      </w:r>
      <w:r>
        <w:rPr>
          <w:spacing w:val="-8"/>
        </w:rPr>
        <w:t> </w:t>
      </w:r>
      <w:r>
        <w:rPr/>
        <w:t>de</w:t>
      </w:r>
      <w:r>
        <w:rPr>
          <w:spacing w:val="-6"/>
        </w:rPr>
        <w:t> </w:t>
      </w:r>
      <w:r>
        <w:rPr/>
        <w:t>los</w:t>
      </w:r>
      <w:r>
        <w:rPr>
          <w:spacing w:val="-6"/>
        </w:rPr>
        <w:t> </w:t>
      </w:r>
      <w:r>
        <w:rPr/>
        <w:t>trabajadores</w:t>
      </w:r>
      <w:r>
        <w:rPr>
          <w:spacing w:val="-4"/>
        </w:rPr>
        <w:t> </w:t>
      </w:r>
      <w:r>
        <w:rPr/>
        <w:t>en</w:t>
      </w:r>
      <w:r>
        <w:rPr>
          <w:spacing w:val="-6"/>
        </w:rPr>
        <w:t> </w:t>
      </w:r>
      <w:r>
        <w:rPr/>
        <w:t>las</w:t>
      </w:r>
      <w:r>
        <w:rPr>
          <w:spacing w:val="-4"/>
        </w:rPr>
        <w:t> </w:t>
      </w:r>
      <w:r>
        <w:rPr/>
        <w:t>utilidades</w:t>
      </w:r>
      <w:r>
        <w:rPr>
          <w:spacing w:val="-4"/>
        </w:rPr>
        <w:t> </w:t>
      </w:r>
      <w:r>
        <w:rPr/>
        <w:t>de</w:t>
      </w:r>
      <w:r>
        <w:rPr>
          <w:spacing w:val="-6"/>
        </w:rPr>
        <w:t> </w:t>
      </w:r>
      <w:r>
        <w:rPr/>
        <w:t>las</w:t>
      </w:r>
      <w:r>
        <w:rPr>
          <w:spacing w:val="-3"/>
        </w:rPr>
        <w:t> </w:t>
      </w:r>
      <w:r>
        <w:rPr>
          <w:spacing w:val="-2"/>
        </w:rPr>
        <w:t>empresas</w:t>
      </w:r>
    </w:p>
    <w:p>
      <w:pPr>
        <w:pStyle w:val="Heading2"/>
        <w:spacing w:after="0" w:line="252" w:lineRule="exact"/>
        <w:sectPr>
          <w:pgSz w:w="12240" w:h="15840"/>
          <w:pgMar w:header="724" w:footer="712" w:top="1880" w:bottom="900" w:left="1080" w:right="1080"/>
        </w:sectPr>
      </w:pPr>
    </w:p>
    <w:p>
      <w:pPr>
        <w:pStyle w:val="BodyText"/>
        <w:rPr>
          <w:rFonts w:ascii="Arial"/>
          <w:b/>
        </w:rPr>
      </w:pPr>
    </w:p>
    <w:p>
      <w:pPr>
        <w:pStyle w:val="BodyText"/>
        <w:spacing w:before="63"/>
        <w:rPr>
          <w:rFonts w:ascii="Arial"/>
          <w:b/>
        </w:rPr>
      </w:pPr>
    </w:p>
    <w:p>
      <w:pPr>
        <w:pStyle w:val="BodyText"/>
        <w:spacing w:line="242" w:lineRule="auto"/>
        <w:ind w:left="338" w:right="341" w:firstLine="288"/>
        <w:jc w:val="both"/>
      </w:pPr>
      <w:bookmarkStart w:name="Artículo_117" w:id="136"/>
      <w:bookmarkEnd w:id="136"/>
      <w:r>
        <w:rPr/>
      </w:r>
      <w:r>
        <w:rPr>
          <w:rFonts w:ascii="Arial" w:hAnsi="Arial"/>
          <w:b/>
        </w:rPr>
        <w:t>Artículo 117.- </w:t>
      </w:r>
      <w:r>
        <w:rPr/>
        <w:t>Los trabajadores participarán en las utilidades de las empresas, de conformidad con el porcentaje que determine la Comisión Nacional para la Participación de los Trabajadores en las</w:t>
      </w:r>
      <w:r>
        <w:rPr>
          <w:spacing w:val="40"/>
        </w:rPr>
        <w:t> </w:t>
      </w:r>
      <w:r>
        <w:rPr/>
        <w:t>Utilidades de las Empresas.</w:t>
      </w:r>
    </w:p>
    <w:p>
      <w:pPr>
        <w:pStyle w:val="BodyText"/>
        <w:spacing w:before="225"/>
        <w:ind w:left="338" w:right="338" w:firstLine="288"/>
        <w:jc w:val="both"/>
      </w:pPr>
      <w:bookmarkStart w:name="Artículo_118" w:id="137"/>
      <w:bookmarkEnd w:id="137"/>
      <w:r>
        <w:rPr/>
      </w:r>
      <w:r>
        <w:rPr>
          <w:rFonts w:ascii="Arial" w:hAnsi="Arial"/>
          <w:b/>
        </w:rPr>
        <w:t>Artículo 118.- </w:t>
      </w:r>
      <w:r>
        <w:rPr/>
        <w:t>Para determinar el porcentaje a que se refiere el</w:t>
      </w:r>
      <w:r>
        <w:rPr>
          <w:spacing w:val="-1"/>
        </w:rPr>
        <w:t> </w:t>
      </w:r>
      <w:r>
        <w:rPr/>
        <w:t>artículo anterior, la Comisión Nacional practicará las investigaciones y realizará los estudios necesarios y apropiados para conocer las condiciones generales de la economía nacional y tomará en consideración la necesidad de fomentar el desarrollo industrial del país, el derecho del capital a obtener un interés razonable y la necesaria reinversión de capitales.</w:t>
      </w:r>
    </w:p>
    <w:p>
      <w:pPr>
        <w:pStyle w:val="BodyText"/>
      </w:pPr>
    </w:p>
    <w:p>
      <w:pPr>
        <w:pStyle w:val="BodyText"/>
        <w:ind w:left="338" w:right="347" w:firstLine="288"/>
        <w:jc w:val="both"/>
      </w:pPr>
      <w:bookmarkStart w:name="Artículo_119" w:id="138"/>
      <w:bookmarkEnd w:id="138"/>
      <w:r>
        <w:rPr/>
      </w:r>
      <w:r>
        <w:rPr>
          <w:rFonts w:ascii="Arial" w:hAnsi="Arial"/>
          <w:b/>
        </w:rPr>
        <w:t>Artículo 119.- </w:t>
      </w:r>
      <w:r>
        <w:rPr/>
        <w:t>La Comisión Nacional podrá revisar el porcentaje que hubiese fijado, de conformidad con lo dispuesto en el artículo 587 y siguientes.</w:t>
      </w:r>
    </w:p>
    <w:p>
      <w:pPr>
        <w:pStyle w:val="BodyText"/>
        <w:spacing w:line="242" w:lineRule="auto" w:before="230"/>
        <w:ind w:left="338" w:right="347" w:firstLine="288"/>
        <w:jc w:val="both"/>
      </w:pPr>
      <w:bookmarkStart w:name="Artículo_120" w:id="139"/>
      <w:bookmarkEnd w:id="139"/>
      <w:r>
        <w:rPr/>
      </w:r>
      <w:r>
        <w:rPr>
          <w:rFonts w:ascii="Arial" w:hAnsi="Arial"/>
          <w:b/>
        </w:rPr>
        <w:t>Artículo 120.- </w:t>
      </w:r>
      <w:r>
        <w:rPr/>
        <w:t>El Porcentaje</w:t>
      </w:r>
      <w:r>
        <w:rPr>
          <w:spacing w:val="-1"/>
        </w:rPr>
        <w:t> </w:t>
      </w:r>
      <w:r>
        <w:rPr/>
        <w:t>fijado</w:t>
      </w:r>
      <w:r>
        <w:rPr>
          <w:spacing w:val="-1"/>
        </w:rPr>
        <w:t> </w:t>
      </w:r>
      <w:r>
        <w:rPr/>
        <w:t>por la Comisión</w:t>
      </w:r>
      <w:r>
        <w:rPr>
          <w:spacing w:val="-1"/>
        </w:rPr>
        <w:t> </w:t>
      </w:r>
      <w:r>
        <w:rPr/>
        <w:t>constituye la participación que</w:t>
      </w:r>
      <w:r>
        <w:rPr>
          <w:spacing w:val="-1"/>
        </w:rPr>
        <w:t> </w:t>
      </w:r>
      <w:r>
        <w:rPr/>
        <w:t>corresponderá a los trabajadores en las utilidades de cada empresa.</w:t>
      </w:r>
    </w:p>
    <w:p>
      <w:pPr>
        <w:pStyle w:val="BodyText"/>
        <w:spacing w:before="226"/>
        <w:ind w:left="338" w:right="345" w:firstLine="288"/>
        <w:jc w:val="both"/>
      </w:pPr>
      <w:r>
        <w:rPr/>
        <w:t>Para</w:t>
      </w:r>
      <w:r>
        <w:rPr>
          <w:spacing w:val="-2"/>
        </w:rPr>
        <w:t> </w:t>
      </w:r>
      <w:r>
        <w:rPr/>
        <w:t>los</w:t>
      </w:r>
      <w:r>
        <w:rPr>
          <w:spacing w:val="-1"/>
        </w:rPr>
        <w:t> </w:t>
      </w:r>
      <w:r>
        <w:rPr/>
        <w:t>efectos</w:t>
      </w:r>
      <w:r>
        <w:rPr>
          <w:spacing w:val="-1"/>
        </w:rPr>
        <w:t> </w:t>
      </w:r>
      <w:r>
        <w:rPr/>
        <w:t>de</w:t>
      </w:r>
      <w:r>
        <w:rPr>
          <w:spacing w:val="-3"/>
        </w:rPr>
        <w:t> </w:t>
      </w:r>
      <w:r>
        <w:rPr/>
        <w:t>esta</w:t>
      </w:r>
      <w:r>
        <w:rPr>
          <w:spacing w:val="-2"/>
        </w:rPr>
        <w:t> </w:t>
      </w:r>
      <w:r>
        <w:rPr/>
        <w:t>Ley, se</w:t>
      </w:r>
      <w:r>
        <w:rPr>
          <w:spacing w:val="-2"/>
        </w:rPr>
        <w:t> </w:t>
      </w:r>
      <w:r>
        <w:rPr/>
        <w:t>considera</w:t>
      </w:r>
      <w:r>
        <w:rPr>
          <w:spacing w:val="-2"/>
        </w:rPr>
        <w:t> </w:t>
      </w:r>
      <w:r>
        <w:rPr/>
        <w:t>utilidad</w:t>
      </w:r>
      <w:r>
        <w:rPr>
          <w:spacing w:val="-2"/>
        </w:rPr>
        <w:t> </w:t>
      </w:r>
      <w:r>
        <w:rPr/>
        <w:t>en</w:t>
      </w:r>
      <w:r>
        <w:rPr>
          <w:spacing w:val="-2"/>
        </w:rPr>
        <w:t> </w:t>
      </w:r>
      <w:r>
        <w:rPr/>
        <w:t>cada</w:t>
      </w:r>
      <w:r>
        <w:rPr>
          <w:spacing w:val="-2"/>
        </w:rPr>
        <w:t> </w:t>
      </w:r>
      <w:r>
        <w:rPr/>
        <w:t>empresa</w:t>
      </w:r>
      <w:r>
        <w:rPr>
          <w:spacing w:val="-2"/>
        </w:rPr>
        <w:t> </w:t>
      </w:r>
      <w:r>
        <w:rPr/>
        <w:t>la</w:t>
      </w:r>
      <w:r>
        <w:rPr>
          <w:spacing w:val="-2"/>
        </w:rPr>
        <w:t> </w:t>
      </w:r>
      <w:r>
        <w:rPr/>
        <w:t>renta</w:t>
      </w:r>
      <w:r>
        <w:rPr>
          <w:spacing w:val="-2"/>
        </w:rPr>
        <w:t> </w:t>
      </w:r>
      <w:r>
        <w:rPr/>
        <w:t>gravable,</w:t>
      </w:r>
      <w:r>
        <w:rPr>
          <w:spacing w:val="-2"/>
        </w:rPr>
        <w:t> </w:t>
      </w:r>
      <w:r>
        <w:rPr/>
        <w:t>de</w:t>
      </w:r>
      <w:r>
        <w:rPr>
          <w:spacing w:val="-3"/>
        </w:rPr>
        <w:t> </w:t>
      </w:r>
      <w:r>
        <w:rPr/>
        <w:t>conformidad con las normas de la Ley del Impuesto sobre la Renta.</w:t>
      </w:r>
    </w:p>
    <w:p>
      <w:pPr>
        <w:pStyle w:val="BodyText"/>
        <w:spacing w:line="242" w:lineRule="auto" w:before="229"/>
        <w:ind w:left="338" w:right="339" w:firstLine="288"/>
        <w:jc w:val="both"/>
      </w:pPr>
      <w:bookmarkStart w:name="Artículo_121" w:id="140"/>
      <w:bookmarkEnd w:id="140"/>
      <w:r>
        <w:rPr/>
      </w:r>
      <w:r>
        <w:rPr>
          <w:rFonts w:ascii="Arial" w:hAnsi="Arial"/>
          <w:b/>
        </w:rPr>
        <w:t>Artículo 121.- </w:t>
      </w:r>
      <w:r>
        <w:rPr/>
        <w:t>El derecho de los trabajadores para formular objeciones a la declaración que presente el patrón a la Secretaría de Hacienda y Crédito Público, se ajustará a las normas siguientes:</w:t>
      </w:r>
    </w:p>
    <w:p>
      <w:pPr>
        <w:pStyle w:val="ListParagraph"/>
        <w:numPr>
          <w:ilvl w:val="0"/>
          <w:numId w:val="24"/>
        </w:numPr>
        <w:tabs>
          <w:tab w:pos="1056" w:val="left" w:leader="none"/>
          <w:tab w:pos="1058" w:val="left" w:leader="none"/>
        </w:tabs>
        <w:spacing w:line="240" w:lineRule="auto" w:before="224" w:after="0"/>
        <w:ind w:left="1058" w:right="336" w:hanging="432"/>
        <w:jc w:val="both"/>
        <w:rPr>
          <w:sz w:val="20"/>
        </w:rPr>
      </w:pPr>
      <w:r>
        <w:rPr>
          <w:sz w:val="20"/>
        </w:rPr>
        <w:t>El patrón, dentro de un término de diez días contado a partir de la fecha de la presentación de su declaración anual, entregará a los trabajadores copia de la misma. Los anexos que de conformidad con las disposiciones fiscales debe presentar a la Secretaría de Hacienda y Crédito Público quedarán a disposición de los trabajadores durante el término de treinta días en las oficinas de la empresa y en la propia Secretaría.</w:t>
      </w:r>
    </w:p>
    <w:p>
      <w:pPr>
        <w:pStyle w:val="BodyText"/>
        <w:spacing w:before="3"/>
      </w:pPr>
    </w:p>
    <w:p>
      <w:pPr>
        <w:pStyle w:val="BodyText"/>
        <w:ind w:left="1058" w:right="357"/>
      </w:pPr>
      <w:r>
        <w:rPr/>
        <w:t>Los trabajadores no podrán</w:t>
      </w:r>
      <w:r>
        <w:rPr>
          <w:spacing w:val="-1"/>
        </w:rPr>
        <w:t> </w:t>
      </w:r>
      <w:r>
        <w:rPr/>
        <w:t>poner en</w:t>
      </w:r>
      <w:r>
        <w:rPr>
          <w:spacing w:val="-1"/>
        </w:rPr>
        <w:t> </w:t>
      </w:r>
      <w:r>
        <w:rPr/>
        <w:t>conocimiento de</w:t>
      </w:r>
      <w:r>
        <w:rPr>
          <w:spacing w:val="-1"/>
        </w:rPr>
        <w:t> </w:t>
      </w:r>
      <w:r>
        <w:rPr/>
        <w:t>terceras personas los datos contenidos en la declaración y en sus anexos;</w:t>
      </w:r>
    </w:p>
    <w:p>
      <w:pPr>
        <w:pStyle w:val="ListParagraph"/>
        <w:numPr>
          <w:ilvl w:val="0"/>
          <w:numId w:val="24"/>
        </w:numPr>
        <w:tabs>
          <w:tab w:pos="1055" w:val="left" w:leader="none"/>
          <w:tab w:pos="1058" w:val="left" w:leader="none"/>
        </w:tabs>
        <w:spacing w:line="240" w:lineRule="auto" w:before="229" w:after="0"/>
        <w:ind w:left="1058" w:right="342" w:hanging="432"/>
        <w:jc w:val="both"/>
        <w:rPr>
          <w:sz w:val="20"/>
        </w:rPr>
      </w:pPr>
      <w:r>
        <w:rPr>
          <w:sz w:val="20"/>
        </w:rPr>
        <w:t>Dentro de los treinta días siguientes, el sindicato titular del contrato colectivo o la mayoría de los trabajadores de la empresa, podrá formular ante la Secretaría de Hacienda y Crédito Público las observaciones</w:t>
      </w:r>
      <w:r>
        <w:rPr>
          <w:spacing w:val="-3"/>
          <w:sz w:val="20"/>
        </w:rPr>
        <w:t> </w:t>
      </w:r>
      <w:r>
        <w:rPr>
          <w:sz w:val="20"/>
        </w:rPr>
        <w:t>que</w:t>
      </w:r>
      <w:r>
        <w:rPr>
          <w:spacing w:val="-5"/>
          <w:sz w:val="20"/>
        </w:rPr>
        <w:t> </w:t>
      </w:r>
      <w:r>
        <w:rPr>
          <w:sz w:val="20"/>
        </w:rPr>
        <w:t>juzgue</w:t>
      </w:r>
      <w:r>
        <w:rPr>
          <w:spacing w:val="-1"/>
          <w:sz w:val="20"/>
        </w:rPr>
        <w:t> </w:t>
      </w:r>
      <w:r>
        <w:rPr>
          <w:sz w:val="20"/>
        </w:rPr>
        <w:t>convenientes,</w:t>
      </w:r>
      <w:r>
        <w:rPr>
          <w:spacing w:val="-2"/>
          <w:sz w:val="20"/>
        </w:rPr>
        <w:t> </w:t>
      </w:r>
      <w:r>
        <w:rPr>
          <w:sz w:val="20"/>
        </w:rPr>
        <w:t>la</w:t>
      </w:r>
      <w:r>
        <w:rPr>
          <w:spacing w:val="-2"/>
          <w:sz w:val="20"/>
        </w:rPr>
        <w:t> </w:t>
      </w:r>
      <w:r>
        <w:rPr>
          <w:sz w:val="20"/>
        </w:rPr>
        <w:t>que</w:t>
      </w:r>
      <w:r>
        <w:rPr>
          <w:spacing w:val="-2"/>
          <w:sz w:val="20"/>
        </w:rPr>
        <w:t> </w:t>
      </w:r>
      <w:r>
        <w:rPr>
          <w:sz w:val="20"/>
        </w:rPr>
        <w:t>tendrá</w:t>
      </w:r>
      <w:r>
        <w:rPr>
          <w:spacing w:val="-4"/>
          <w:sz w:val="20"/>
        </w:rPr>
        <w:t> </w:t>
      </w:r>
      <w:r>
        <w:rPr>
          <w:sz w:val="20"/>
        </w:rPr>
        <w:t>la</w:t>
      </w:r>
      <w:r>
        <w:rPr>
          <w:spacing w:val="-2"/>
          <w:sz w:val="20"/>
        </w:rPr>
        <w:t> </w:t>
      </w:r>
      <w:r>
        <w:rPr>
          <w:sz w:val="20"/>
        </w:rPr>
        <w:t>obligación</w:t>
      </w:r>
      <w:r>
        <w:rPr>
          <w:spacing w:val="-4"/>
          <w:sz w:val="20"/>
        </w:rPr>
        <w:t> </w:t>
      </w:r>
      <w:r>
        <w:rPr>
          <w:sz w:val="20"/>
        </w:rPr>
        <w:t>de</w:t>
      </w:r>
      <w:r>
        <w:rPr>
          <w:spacing w:val="-4"/>
          <w:sz w:val="20"/>
        </w:rPr>
        <w:t> </w:t>
      </w:r>
      <w:r>
        <w:rPr>
          <w:sz w:val="20"/>
        </w:rPr>
        <w:t>responder</w:t>
      </w:r>
      <w:r>
        <w:rPr>
          <w:spacing w:val="-3"/>
          <w:sz w:val="20"/>
        </w:rPr>
        <w:t> </w:t>
      </w:r>
      <w:r>
        <w:rPr>
          <w:sz w:val="20"/>
        </w:rPr>
        <w:t>por</w:t>
      </w:r>
      <w:r>
        <w:rPr>
          <w:spacing w:val="-1"/>
          <w:sz w:val="20"/>
        </w:rPr>
        <w:t> </w:t>
      </w:r>
      <w:r>
        <w:rPr>
          <w:sz w:val="20"/>
        </w:rPr>
        <w:t>escrito,</w:t>
      </w:r>
      <w:r>
        <w:rPr>
          <w:spacing w:val="-2"/>
          <w:sz w:val="20"/>
        </w:rPr>
        <w:t> </w:t>
      </w:r>
      <w:r>
        <w:rPr>
          <w:sz w:val="20"/>
        </w:rPr>
        <w:t>una vez que concluyan los procedimientos de fiscalización de acuerdo a los plazos que establece el Código Fiscal de la Federación, respecto de cada una de ellas;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4"/>
        <w:rPr>
          <w:rFonts w:ascii="Times New Roman"/>
          <w:i/>
          <w:sz w:val="16"/>
        </w:rPr>
      </w:pPr>
    </w:p>
    <w:p>
      <w:pPr>
        <w:pStyle w:val="ListParagraph"/>
        <w:numPr>
          <w:ilvl w:val="0"/>
          <w:numId w:val="24"/>
        </w:numPr>
        <w:tabs>
          <w:tab w:pos="1054" w:val="left" w:leader="none"/>
          <w:tab w:pos="1058" w:val="left" w:leader="none"/>
        </w:tabs>
        <w:spacing w:line="242" w:lineRule="auto" w:before="1" w:after="0"/>
        <w:ind w:left="1058" w:right="335" w:hanging="432"/>
        <w:jc w:val="both"/>
        <w:rPr>
          <w:sz w:val="20"/>
        </w:rPr>
      </w:pPr>
      <w:r>
        <w:rPr>
          <w:sz w:val="20"/>
        </w:rPr>
        <w:t>La resolución definitiva dictada por la misma Secretaría no podrá ser recurrida por los trabajadores; y</w:t>
      </w:r>
    </w:p>
    <w:p>
      <w:pPr>
        <w:pStyle w:val="ListParagraph"/>
        <w:numPr>
          <w:ilvl w:val="0"/>
          <w:numId w:val="24"/>
        </w:numPr>
        <w:tabs>
          <w:tab w:pos="1058" w:val="left" w:leader="none"/>
        </w:tabs>
        <w:spacing w:line="240" w:lineRule="auto" w:before="226" w:after="0"/>
        <w:ind w:left="1058" w:right="340" w:hanging="432"/>
        <w:jc w:val="both"/>
        <w:rPr>
          <w:sz w:val="20"/>
        </w:rPr>
      </w:pPr>
      <w:r>
        <w:rPr>
          <w:sz w:val="20"/>
        </w:rPr>
        <w:t>Dentro de los treinta días siguientes a la resolución dictada por la Secretaría de Hacienda y Crédito Público, el patrón dará cumplimiento a la misma independientemente de que la impugne. Si como resultado de la impugnación variara a su favor el sentido de la resolución, los pagos hechos podrán deducirse de las utilidades correspondientes a los trabajadores en el siguiente </w:t>
      </w:r>
      <w:r>
        <w:rPr>
          <w:spacing w:val="-2"/>
          <w:sz w:val="20"/>
        </w:rPr>
        <w:t>ejercicio.</w:t>
      </w:r>
    </w:p>
    <w:p>
      <w:pPr>
        <w:pStyle w:val="BodyText"/>
        <w:spacing w:before="3"/>
      </w:pPr>
    </w:p>
    <w:p>
      <w:pPr>
        <w:pStyle w:val="BodyText"/>
        <w:ind w:left="1058" w:right="342"/>
      </w:pPr>
      <w:r>
        <w:rPr/>
        <w:t>Lo</w:t>
      </w:r>
      <w:r>
        <w:rPr>
          <w:spacing w:val="-3"/>
        </w:rPr>
        <w:t> </w:t>
      </w:r>
      <w:r>
        <w:rPr/>
        <w:t>anterior,</w:t>
      </w:r>
      <w:r>
        <w:rPr>
          <w:spacing w:val="-2"/>
        </w:rPr>
        <w:t> </w:t>
      </w:r>
      <w:r>
        <w:rPr/>
        <w:t>a</w:t>
      </w:r>
      <w:r>
        <w:rPr>
          <w:spacing w:val="-2"/>
        </w:rPr>
        <w:t> </w:t>
      </w:r>
      <w:r>
        <w:rPr/>
        <w:t>excepción de que</w:t>
      </w:r>
      <w:r>
        <w:rPr>
          <w:spacing w:val="-2"/>
        </w:rPr>
        <w:t> </w:t>
      </w:r>
      <w:r>
        <w:rPr/>
        <w:t>el</w:t>
      </w:r>
      <w:r>
        <w:rPr>
          <w:spacing w:val="-1"/>
        </w:rPr>
        <w:t> </w:t>
      </w:r>
      <w:r>
        <w:rPr/>
        <w:t>patrón</w:t>
      </w:r>
      <w:r>
        <w:rPr>
          <w:spacing w:val="-2"/>
        </w:rPr>
        <w:t> </w:t>
      </w:r>
      <w:r>
        <w:rPr/>
        <w:t>hubiese</w:t>
      </w:r>
      <w:r>
        <w:rPr>
          <w:spacing w:val="-2"/>
        </w:rPr>
        <w:t> </w:t>
      </w:r>
      <w:r>
        <w:rPr/>
        <w:t>obtenido</w:t>
      </w:r>
      <w:r>
        <w:rPr>
          <w:spacing w:val="-2"/>
        </w:rPr>
        <w:t> </w:t>
      </w:r>
      <w:r>
        <w:rPr/>
        <w:t>del</w:t>
      </w:r>
      <w:r>
        <w:rPr>
          <w:spacing w:val="-3"/>
        </w:rPr>
        <w:t> </w:t>
      </w:r>
      <w:r>
        <w:rPr/>
        <w:t>Tribunal,</w:t>
      </w:r>
      <w:r>
        <w:rPr>
          <w:spacing w:val="-2"/>
        </w:rPr>
        <w:t> </w:t>
      </w:r>
      <w:r>
        <w:rPr/>
        <w:t>la</w:t>
      </w:r>
      <w:r>
        <w:rPr>
          <w:spacing w:val="-2"/>
        </w:rPr>
        <w:t> </w:t>
      </w:r>
      <w:r>
        <w:rPr/>
        <w:t>suspensión</w:t>
      </w:r>
      <w:r>
        <w:rPr>
          <w:spacing w:val="-3"/>
        </w:rPr>
        <w:t> </w:t>
      </w:r>
      <w:r>
        <w:rPr/>
        <w:t>del reparto adicional de utilidades.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02-07-</w:t>
      </w:r>
      <w:r>
        <w:rPr>
          <w:rFonts w:ascii="Times New Roman" w:hAnsi="Times New Roman"/>
          <w:i/>
          <w:color w:val="0000FF"/>
          <w:spacing w:val="-4"/>
          <w:sz w:val="16"/>
        </w:rPr>
        <w:t>1976</w:t>
      </w:r>
    </w:p>
    <w:p>
      <w:pPr>
        <w:spacing w:after="0"/>
        <w:jc w:val="righ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BodyText"/>
        <w:spacing w:line="242" w:lineRule="auto"/>
        <w:ind w:left="338" w:right="343" w:firstLine="288"/>
        <w:jc w:val="both"/>
      </w:pPr>
      <w:bookmarkStart w:name="Artículo_122" w:id="141"/>
      <w:bookmarkEnd w:id="141"/>
      <w:r>
        <w:rPr/>
      </w:r>
      <w:r>
        <w:rPr>
          <w:rFonts w:ascii="Arial" w:hAnsi="Arial"/>
          <w:b/>
        </w:rPr>
        <w:t>Artículo 122.- </w:t>
      </w:r>
      <w:r>
        <w:rPr/>
        <w:t>El reparto de utilidades entre los trabajadores deberá efectuarse dentro de los sesenta días siguientes a la fecha en que deba pagarse el impuesto anual, aun cuando esté en trámite objeción de los trabajadores.</w:t>
      </w:r>
    </w:p>
    <w:p>
      <w:pPr>
        <w:pStyle w:val="BodyText"/>
        <w:spacing w:before="227"/>
        <w:ind w:left="338" w:right="334" w:firstLine="288"/>
        <w:jc w:val="both"/>
      </w:pPr>
      <w:r>
        <w:rPr/>
        <w:t>Cuando la Secretaría de Hacienda y Crédito Público aumente el monto de la utilidad gravable, sin haber mediado</w:t>
      </w:r>
      <w:r>
        <w:rPr>
          <w:spacing w:val="-1"/>
        </w:rPr>
        <w:t> </w:t>
      </w:r>
      <w:r>
        <w:rPr/>
        <w:t>objeción</w:t>
      </w:r>
      <w:r>
        <w:rPr>
          <w:spacing w:val="-2"/>
        </w:rPr>
        <w:t> </w:t>
      </w:r>
      <w:r>
        <w:rPr/>
        <w:t>de</w:t>
      </w:r>
      <w:r>
        <w:rPr>
          <w:spacing w:val="-1"/>
        </w:rPr>
        <w:t> </w:t>
      </w:r>
      <w:r>
        <w:rPr/>
        <w:t>los</w:t>
      </w:r>
      <w:r>
        <w:rPr>
          <w:spacing w:val="-2"/>
        </w:rPr>
        <w:t> </w:t>
      </w:r>
      <w:r>
        <w:rPr/>
        <w:t>trabajadores</w:t>
      </w:r>
      <w:r>
        <w:rPr>
          <w:spacing w:val="-1"/>
        </w:rPr>
        <w:t> </w:t>
      </w:r>
      <w:r>
        <w:rPr/>
        <w:t>o</w:t>
      </w:r>
      <w:r>
        <w:rPr>
          <w:spacing w:val="-1"/>
        </w:rPr>
        <w:t> </w:t>
      </w:r>
      <w:r>
        <w:rPr/>
        <w:t>haber</w:t>
      </w:r>
      <w:r>
        <w:rPr>
          <w:spacing w:val="-2"/>
        </w:rPr>
        <w:t> </w:t>
      </w:r>
      <w:r>
        <w:rPr/>
        <w:t>sido</w:t>
      </w:r>
      <w:r>
        <w:rPr>
          <w:spacing w:val="-4"/>
        </w:rPr>
        <w:t> </w:t>
      </w:r>
      <w:r>
        <w:rPr/>
        <w:t>ésta</w:t>
      </w:r>
      <w:r>
        <w:rPr>
          <w:spacing w:val="-3"/>
        </w:rPr>
        <w:t> </w:t>
      </w:r>
      <w:r>
        <w:rPr/>
        <w:t>resuelta,</w:t>
      </w:r>
      <w:r>
        <w:rPr>
          <w:spacing w:val="-3"/>
        </w:rPr>
        <w:t> </w:t>
      </w:r>
      <w:r>
        <w:rPr/>
        <w:t>el</w:t>
      </w:r>
      <w:r>
        <w:rPr>
          <w:spacing w:val="-4"/>
        </w:rPr>
        <w:t> </w:t>
      </w:r>
      <w:r>
        <w:rPr/>
        <w:t>reparto adicional</w:t>
      </w:r>
      <w:r>
        <w:rPr>
          <w:spacing w:val="-4"/>
        </w:rPr>
        <w:t> </w:t>
      </w:r>
      <w:r>
        <w:rPr/>
        <w:t>se</w:t>
      </w:r>
      <w:r>
        <w:rPr>
          <w:spacing w:val="-1"/>
        </w:rPr>
        <w:t> </w:t>
      </w:r>
      <w:r>
        <w:rPr/>
        <w:t>hará</w:t>
      </w:r>
      <w:r>
        <w:rPr>
          <w:spacing w:val="-3"/>
        </w:rPr>
        <w:t> </w:t>
      </w:r>
      <w:r>
        <w:rPr/>
        <w:t>dentro de los sesenta días siguientes a la fecha en que se notifique la resolución. Sólo en el caso de que ésta fuera</w:t>
      </w:r>
      <w:r>
        <w:rPr>
          <w:spacing w:val="-3"/>
        </w:rPr>
        <w:t> </w:t>
      </w:r>
      <w:r>
        <w:rPr/>
        <w:t>impugnada</w:t>
      </w:r>
      <w:r>
        <w:rPr>
          <w:spacing w:val="-3"/>
        </w:rPr>
        <w:t> </w:t>
      </w:r>
      <w:r>
        <w:rPr/>
        <w:t>por</w:t>
      </w:r>
      <w:r>
        <w:rPr>
          <w:spacing w:val="-3"/>
        </w:rPr>
        <w:t> </w:t>
      </w:r>
      <w:r>
        <w:rPr/>
        <w:t>el</w:t>
      </w:r>
      <w:r>
        <w:rPr>
          <w:spacing w:val="-2"/>
        </w:rPr>
        <w:t> </w:t>
      </w:r>
      <w:r>
        <w:rPr/>
        <w:t>patrón,</w:t>
      </w:r>
      <w:r>
        <w:rPr>
          <w:spacing w:val="-3"/>
        </w:rPr>
        <w:t> </w:t>
      </w:r>
      <w:r>
        <w:rPr/>
        <w:t>se</w:t>
      </w:r>
      <w:r>
        <w:rPr>
          <w:spacing w:val="-3"/>
        </w:rPr>
        <w:t> </w:t>
      </w:r>
      <w:r>
        <w:rPr/>
        <w:t>suspenderá</w:t>
      </w:r>
      <w:r>
        <w:rPr>
          <w:spacing w:val="-1"/>
        </w:rPr>
        <w:t> </w:t>
      </w:r>
      <w:r>
        <w:rPr/>
        <w:t>el</w:t>
      </w:r>
      <w:r>
        <w:rPr>
          <w:spacing w:val="-2"/>
        </w:rPr>
        <w:t> </w:t>
      </w:r>
      <w:r>
        <w:rPr/>
        <w:t>pago</w:t>
      </w:r>
      <w:r>
        <w:rPr>
          <w:spacing w:val="-1"/>
        </w:rPr>
        <w:t> </w:t>
      </w:r>
      <w:r>
        <w:rPr/>
        <w:t>del</w:t>
      </w:r>
      <w:r>
        <w:rPr>
          <w:spacing w:val="-4"/>
        </w:rPr>
        <w:t> </w:t>
      </w:r>
      <w:r>
        <w:rPr/>
        <w:t>reparto</w:t>
      </w:r>
      <w:r>
        <w:rPr>
          <w:spacing w:val="-1"/>
        </w:rPr>
        <w:t> </w:t>
      </w:r>
      <w:r>
        <w:rPr/>
        <w:t>adicional</w:t>
      </w:r>
      <w:r>
        <w:rPr>
          <w:spacing w:val="-2"/>
        </w:rPr>
        <w:t> </w:t>
      </w:r>
      <w:r>
        <w:rPr/>
        <w:t>hasta</w:t>
      </w:r>
      <w:r>
        <w:rPr>
          <w:spacing w:val="-1"/>
        </w:rPr>
        <w:t> </w:t>
      </w:r>
      <w:r>
        <w:rPr/>
        <w:t>que</w:t>
      </w:r>
      <w:r>
        <w:rPr>
          <w:spacing w:val="-1"/>
        </w:rPr>
        <w:t> </w:t>
      </w:r>
      <w:r>
        <w:rPr/>
        <w:t>la</w:t>
      </w:r>
      <w:r>
        <w:rPr>
          <w:spacing w:val="-3"/>
        </w:rPr>
        <w:t> </w:t>
      </w:r>
      <w:r>
        <w:rPr/>
        <w:t>resolución</w:t>
      </w:r>
      <w:r>
        <w:rPr>
          <w:spacing w:val="-2"/>
        </w:rPr>
        <w:t> </w:t>
      </w:r>
      <w:r>
        <w:rPr/>
        <w:t>quede firme, garantizándose el interés de los trabajadores.</w:t>
      </w:r>
    </w:p>
    <w:p>
      <w:pPr>
        <w:pStyle w:val="BodyText"/>
      </w:pPr>
    </w:p>
    <w:p>
      <w:pPr>
        <w:pStyle w:val="BodyText"/>
        <w:ind w:left="338" w:right="348" w:firstLine="288"/>
        <w:jc w:val="both"/>
      </w:pPr>
      <w:r>
        <w:rPr/>
        <w:t>El importe de las utilidades no reclamadas en el año en que sean exigibles, se agregará a la utilidad repartible del año siguiente.</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02-07-</w:t>
      </w:r>
      <w:r>
        <w:rPr>
          <w:rFonts w:ascii="Times New Roman" w:hAnsi="Times New Roman"/>
          <w:i/>
          <w:color w:val="0000FF"/>
          <w:spacing w:val="-4"/>
          <w:sz w:val="16"/>
        </w:rPr>
        <w:t>1976</w:t>
      </w:r>
    </w:p>
    <w:p>
      <w:pPr>
        <w:pStyle w:val="BodyText"/>
        <w:spacing w:before="47"/>
        <w:rPr>
          <w:rFonts w:ascii="Times New Roman"/>
          <w:i/>
          <w:sz w:val="16"/>
        </w:rPr>
      </w:pPr>
    </w:p>
    <w:p>
      <w:pPr>
        <w:pStyle w:val="BodyText"/>
        <w:ind w:left="338" w:right="338" w:firstLine="288"/>
        <w:jc w:val="both"/>
      </w:pPr>
      <w:bookmarkStart w:name="Artículo_123" w:id="142"/>
      <w:bookmarkEnd w:id="142"/>
      <w:r>
        <w:rPr/>
      </w:r>
      <w:r>
        <w:rPr>
          <w:rFonts w:ascii="Arial" w:hAnsi="Arial"/>
          <w:b/>
        </w:rPr>
        <w:t>Artículo 123.- </w:t>
      </w:r>
      <w:r>
        <w:rPr/>
        <w:t>La utilidad repartible se dividirá en dos partes iguales: la primera se repartirá por igual entre todos los trabajadores, tomando en consideración el número de días trabajados por cada uno en el año, independientemente del monto de los salarios. La segunda se repartirá en proporción al monto de</w:t>
      </w:r>
      <w:r>
        <w:rPr>
          <w:spacing w:val="40"/>
        </w:rPr>
        <w:t> </w:t>
      </w:r>
      <w:r>
        <w:rPr/>
        <w:t>los salarios devengados por el trabajo prestado durante el año.</w:t>
      </w:r>
    </w:p>
    <w:p>
      <w:pPr>
        <w:pStyle w:val="BodyText"/>
      </w:pPr>
    </w:p>
    <w:p>
      <w:pPr>
        <w:pStyle w:val="BodyText"/>
        <w:ind w:left="338" w:right="339" w:firstLine="288"/>
        <w:jc w:val="both"/>
      </w:pPr>
      <w:bookmarkStart w:name="Artículo_124" w:id="143"/>
      <w:bookmarkEnd w:id="143"/>
      <w:r>
        <w:rPr/>
      </w:r>
      <w:r>
        <w:rPr>
          <w:rFonts w:ascii="Arial" w:hAnsi="Arial"/>
          <w:b/>
        </w:rPr>
        <w:t>Artículo 124.- </w:t>
      </w:r>
      <w:r>
        <w:rPr/>
        <w:t>Para los efectos de este capítulo, se entiende por salario la cantidad que perciba cada trabajador en efectivo por cuota diaria. No se consideran como parte de él las gratificaciones, percepciones y demás prestaciones a que se refiere el artículo 84, ni las sumas que perciba el trabajador por concepto de trabajo extraordinario.</w:t>
      </w:r>
    </w:p>
    <w:p>
      <w:pPr>
        <w:pStyle w:val="BodyText"/>
        <w:spacing w:before="2"/>
      </w:pPr>
    </w:p>
    <w:p>
      <w:pPr>
        <w:pStyle w:val="BodyText"/>
        <w:ind w:left="338" w:right="337" w:firstLine="288"/>
        <w:jc w:val="both"/>
      </w:pPr>
      <w:r>
        <w:rPr/>
        <w:t>En los casos de salario por unidad de obra y</w:t>
      </w:r>
      <w:r>
        <w:rPr>
          <w:spacing w:val="-2"/>
        </w:rPr>
        <w:t> </w:t>
      </w:r>
      <w:r>
        <w:rPr/>
        <w:t>en general, cuando la retribución sea variable, se tomará como salario diario el promedio de las percepciones obtenidas en el año.</w:t>
      </w:r>
    </w:p>
    <w:p>
      <w:pPr>
        <w:pStyle w:val="BodyText"/>
        <w:spacing w:before="229"/>
        <w:ind w:left="338" w:right="341" w:firstLine="288"/>
        <w:jc w:val="both"/>
      </w:pPr>
      <w:bookmarkStart w:name="Artículo_125" w:id="144"/>
      <w:bookmarkEnd w:id="144"/>
      <w:r>
        <w:rPr/>
      </w:r>
      <w:r>
        <w:rPr>
          <w:rFonts w:ascii="Arial" w:hAnsi="Arial"/>
          <w:b/>
        </w:rPr>
        <w:t>Artículo 125.- </w:t>
      </w:r>
      <w:r>
        <w:rPr/>
        <w:t>Para determinar la participación de cada trabajador se observarán las normas </w:t>
      </w:r>
      <w:r>
        <w:rPr>
          <w:spacing w:val="-2"/>
        </w:rPr>
        <w:t>siguientes:</w:t>
      </w:r>
    </w:p>
    <w:p>
      <w:pPr>
        <w:pStyle w:val="ListParagraph"/>
        <w:numPr>
          <w:ilvl w:val="0"/>
          <w:numId w:val="25"/>
        </w:numPr>
        <w:tabs>
          <w:tab w:pos="1193" w:val="left" w:leader="none"/>
          <w:tab w:pos="1195" w:val="left" w:leader="none"/>
        </w:tabs>
        <w:spacing w:line="242" w:lineRule="auto" w:before="229" w:after="0"/>
        <w:ind w:left="1195" w:right="338" w:hanging="569"/>
        <w:jc w:val="both"/>
        <w:rPr>
          <w:sz w:val="20"/>
        </w:rPr>
      </w:pPr>
      <w:r>
        <w:rPr>
          <w:sz w:val="20"/>
        </w:rPr>
        <w:t>Una comisión integrada por igual número de representantes de los trabajadores y del patrón formulará un proyecto, que determine la participación de cada trabajador y lo fijará en lugar visible del establecimiento. A este fin, el patrón pondrá a disposición de la Comisión la lista de asistencia y de raya de los trabajadores y los demás elementos de que disponga;</w:t>
      </w:r>
    </w:p>
    <w:p>
      <w:pPr>
        <w:pStyle w:val="ListParagraph"/>
        <w:numPr>
          <w:ilvl w:val="0"/>
          <w:numId w:val="25"/>
        </w:numPr>
        <w:tabs>
          <w:tab w:pos="1192" w:val="left" w:leader="none"/>
          <w:tab w:pos="1195" w:val="left" w:leader="none"/>
        </w:tabs>
        <w:spacing w:line="242" w:lineRule="auto" w:before="220" w:after="0"/>
        <w:ind w:left="1195" w:right="347" w:hanging="569"/>
        <w:jc w:val="both"/>
        <w:rPr>
          <w:sz w:val="20"/>
        </w:rPr>
      </w:pPr>
      <w:r>
        <w:rPr>
          <w:sz w:val="20"/>
        </w:rPr>
        <w:t>Si los representantes de los trabajadores y del patrón no se ponen de acuerdo, decidirá el Inspector del Trabajo;</w:t>
      </w:r>
    </w:p>
    <w:p>
      <w:pPr>
        <w:pStyle w:val="ListParagraph"/>
        <w:numPr>
          <w:ilvl w:val="0"/>
          <w:numId w:val="25"/>
        </w:numPr>
        <w:tabs>
          <w:tab w:pos="1191" w:val="left" w:leader="none"/>
          <w:tab w:pos="1195" w:val="left" w:leader="none"/>
        </w:tabs>
        <w:spacing w:line="240" w:lineRule="auto" w:before="227" w:after="0"/>
        <w:ind w:left="1195" w:right="337" w:hanging="569"/>
        <w:jc w:val="both"/>
        <w:rPr>
          <w:sz w:val="20"/>
        </w:rPr>
      </w:pPr>
      <w:r>
        <w:rPr>
          <w:sz w:val="20"/>
        </w:rPr>
        <w:t>Los trabajadores podrán hacer las observaciones que juzguen conveniente, dentro de un término de quince días; y</w:t>
      </w:r>
    </w:p>
    <w:p>
      <w:pPr>
        <w:pStyle w:val="ListParagraph"/>
        <w:numPr>
          <w:ilvl w:val="0"/>
          <w:numId w:val="25"/>
        </w:numPr>
        <w:tabs>
          <w:tab w:pos="1195" w:val="left" w:leader="none"/>
        </w:tabs>
        <w:spacing w:line="242" w:lineRule="auto" w:before="229" w:after="0"/>
        <w:ind w:left="1195" w:right="346" w:hanging="569"/>
        <w:jc w:val="both"/>
        <w:rPr>
          <w:sz w:val="20"/>
        </w:rPr>
      </w:pPr>
      <w:r>
        <w:rPr>
          <w:sz w:val="20"/>
        </w:rPr>
        <w:t>Si se formulan objeciones, serán resueltas por la misma comisión a que se refiere la fracción I, dentro de un término de quince días.</w:t>
      </w:r>
    </w:p>
    <w:p>
      <w:pPr>
        <w:spacing w:before="227"/>
        <w:ind w:left="626" w:right="0" w:firstLine="0"/>
        <w:jc w:val="left"/>
        <w:rPr>
          <w:sz w:val="20"/>
        </w:rPr>
      </w:pPr>
      <w:bookmarkStart w:name="Artículo_126" w:id="145"/>
      <w:bookmarkEnd w:id="145"/>
      <w:r>
        <w:rPr/>
      </w:r>
      <w:r>
        <w:rPr>
          <w:rFonts w:ascii="Arial" w:hAnsi="Arial"/>
          <w:b/>
          <w:sz w:val="20"/>
        </w:rPr>
        <w:t>Artículo</w:t>
      </w:r>
      <w:r>
        <w:rPr>
          <w:rFonts w:ascii="Arial" w:hAnsi="Arial"/>
          <w:b/>
          <w:spacing w:val="-7"/>
          <w:sz w:val="20"/>
        </w:rPr>
        <w:t> </w:t>
      </w:r>
      <w:r>
        <w:rPr>
          <w:rFonts w:ascii="Arial" w:hAnsi="Arial"/>
          <w:b/>
          <w:sz w:val="20"/>
        </w:rPr>
        <w:t>126.-</w:t>
      </w:r>
      <w:r>
        <w:rPr>
          <w:rFonts w:ascii="Arial" w:hAnsi="Arial"/>
          <w:b/>
          <w:spacing w:val="-7"/>
          <w:sz w:val="20"/>
        </w:rPr>
        <w:t> </w:t>
      </w:r>
      <w:r>
        <w:rPr>
          <w:sz w:val="20"/>
        </w:rPr>
        <w:t>Quedan</w:t>
      </w:r>
      <w:r>
        <w:rPr>
          <w:spacing w:val="-8"/>
          <w:sz w:val="20"/>
        </w:rPr>
        <w:t> </w:t>
      </w:r>
      <w:r>
        <w:rPr>
          <w:sz w:val="20"/>
        </w:rPr>
        <w:t>exceptuadas</w:t>
      </w:r>
      <w:r>
        <w:rPr>
          <w:spacing w:val="-7"/>
          <w:sz w:val="20"/>
        </w:rPr>
        <w:t> </w:t>
      </w:r>
      <w:r>
        <w:rPr>
          <w:sz w:val="20"/>
        </w:rPr>
        <w:t>de</w:t>
      </w:r>
      <w:r>
        <w:rPr>
          <w:spacing w:val="-7"/>
          <w:sz w:val="20"/>
        </w:rPr>
        <w:t> </w:t>
      </w:r>
      <w:r>
        <w:rPr>
          <w:sz w:val="20"/>
        </w:rPr>
        <w:t>la</w:t>
      </w:r>
      <w:r>
        <w:rPr>
          <w:spacing w:val="-8"/>
          <w:sz w:val="20"/>
        </w:rPr>
        <w:t> </w:t>
      </w:r>
      <w:r>
        <w:rPr>
          <w:sz w:val="20"/>
        </w:rPr>
        <w:t>obligación</w:t>
      </w:r>
      <w:r>
        <w:rPr>
          <w:spacing w:val="-7"/>
          <w:sz w:val="20"/>
        </w:rPr>
        <w:t> </w:t>
      </w:r>
      <w:r>
        <w:rPr>
          <w:sz w:val="20"/>
        </w:rPr>
        <w:t>de</w:t>
      </w:r>
      <w:r>
        <w:rPr>
          <w:spacing w:val="-8"/>
          <w:sz w:val="20"/>
        </w:rPr>
        <w:t> </w:t>
      </w:r>
      <w:r>
        <w:rPr>
          <w:sz w:val="20"/>
        </w:rPr>
        <w:t>repartir</w:t>
      </w:r>
      <w:r>
        <w:rPr>
          <w:spacing w:val="-6"/>
          <w:sz w:val="20"/>
        </w:rPr>
        <w:t> </w:t>
      </w:r>
      <w:r>
        <w:rPr>
          <w:spacing w:val="-2"/>
          <w:sz w:val="20"/>
        </w:rPr>
        <w:t>utilidades:</w:t>
      </w:r>
    </w:p>
    <w:p>
      <w:pPr>
        <w:pStyle w:val="ListParagraph"/>
        <w:numPr>
          <w:ilvl w:val="0"/>
          <w:numId w:val="26"/>
        </w:numPr>
        <w:tabs>
          <w:tab w:pos="1195" w:val="left" w:leader="none"/>
        </w:tabs>
        <w:spacing w:line="240" w:lineRule="auto" w:before="229" w:after="0"/>
        <w:ind w:left="1195" w:right="0" w:hanging="569"/>
        <w:jc w:val="left"/>
        <w:rPr>
          <w:sz w:val="20"/>
        </w:rPr>
      </w:pPr>
      <w:r>
        <w:rPr>
          <w:sz w:val="20"/>
        </w:rPr>
        <w:t>Las</w:t>
      </w:r>
      <w:r>
        <w:rPr>
          <w:spacing w:val="-5"/>
          <w:sz w:val="20"/>
        </w:rPr>
        <w:t> </w:t>
      </w:r>
      <w:r>
        <w:rPr>
          <w:sz w:val="20"/>
        </w:rPr>
        <w:t>empresas</w:t>
      </w:r>
      <w:r>
        <w:rPr>
          <w:spacing w:val="-5"/>
          <w:sz w:val="20"/>
        </w:rPr>
        <w:t> </w:t>
      </w:r>
      <w:r>
        <w:rPr>
          <w:sz w:val="20"/>
        </w:rPr>
        <w:t>de</w:t>
      </w:r>
      <w:r>
        <w:rPr>
          <w:spacing w:val="-6"/>
          <w:sz w:val="20"/>
        </w:rPr>
        <w:t> </w:t>
      </w:r>
      <w:r>
        <w:rPr>
          <w:sz w:val="20"/>
        </w:rPr>
        <w:t>nueva</w:t>
      </w:r>
      <w:r>
        <w:rPr>
          <w:spacing w:val="-6"/>
          <w:sz w:val="20"/>
        </w:rPr>
        <w:t> </w:t>
      </w:r>
      <w:r>
        <w:rPr>
          <w:sz w:val="20"/>
        </w:rPr>
        <w:t>creación,</w:t>
      </w:r>
      <w:r>
        <w:rPr>
          <w:spacing w:val="-5"/>
          <w:sz w:val="20"/>
        </w:rPr>
        <w:t> </w:t>
      </w:r>
      <w:r>
        <w:rPr>
          <w:sz w:val="20"/>
        </w:rPr>
        <w:t>durante</w:t>
      </w:r>
      <w:r>
        <w:rPr>
          <w:spacing w:val="-6"/>
          <w:sz w:val="20"/>
        </w:rPr>
        <w:t> </w:t>
      </w:r>
      <w:r>
        <w:rPr>
          <w:sz w:val="20"/>
        </w:rPr>
        <w:t>el</w:t>
      </w:r>
      <w:r>
        <w:rPr>
          <w:spacing w:val="-6"/>
          <w:sz w:val="20"/>
        </w:rPr>
        <w:t> </w:t>
      </w:r>
      <w:r>
        <w:rPr>
          <w:sz w:val="20"/>
        </w:rPr>
        <w:t>primer</w:t>
      </w:r>
      <w:r>
        <w:rPr>
          <w:spacing w:val="-6"/>
          <w:sz w:val="20"/>
        </w:rPr>
        <w:t> </w:t>
      </w:r>
      <w:r>
        <w:rPr>
          <w:sz w:val="20"/>
        </w:rPr>
        <w:t>año</w:t>
      </w:r>
      <w:r>
        <w:rPr>
          <w:spacing w:val="-6"/>
          <w:sz w:val="20"/>
        </w:rPr>
        <w:t> </w:t>
      </w:r>
      <w:r>
        <w:rPr>
          <w:sz w:val="20"/>
        </w:rPr>
        <w:t>de</w:t>
      </w:r>
      <w:r>
        <w:rPr>
          <w:spacing w:val="-6"/>
          <w:sz w:val="20"/>
        </w:rPr>
        <w:t> </w:t>
      </w:r>
      <w:r>
        <w:rPr>
          <w:spacing w:val="-2"/>
          <w:sz w:val="20"/>
        </w:rPr>
        <w:t>funcionamiento;</w:t>
      </w:r>
    </w:p>
    <w:p>
      <w:pPr>
        <w:pStyle w:val="BodyText"/>
      </w:pPr>
    </w:p>
    <w:p>
      <w:pPr>
        <w:pStyle w:val="ListParagraph"/>
        <w:numPr>
          <w:ilvl w:val="0"/>
          <w:numId w:val="26"/>
        </w:numPr>
        <w:tabs>
          <w:tab w:pos="1192" w:val="left" w:leader="none"/>
          <w:tab w:pos="1195" w:val="left" w:leader="none"/>
        </w:tabs>
        <w:spacing w:line="242" w:lineRule="auto" w:before="0" w:after="0"/>
        <w:ind w:left="1195" w:right="336" w:hanging="569"/>
        <w:jc w:val="both"/>
        <w:rPr>
          <w:sz w:val="20"/>
        </w:rPr>
      </w:pPr>
      <w:r>
        <w:rPr>
          <w:sz w:val="20"/>
        </w:rPr>
        <w:t>Las</w:t>
      </w:r>
      <w:r>
        <w:rPr>
          <w:spacing w:val="-1"/>
          <w:sz w:val="20"/>
        </w:rPr>
        <w:t> </w:t>
      </w:r>
      <w:r>
        <w:rPr>
          <w:sz w:val="20"/>
        </w:rPr>
        <w:t>empresas</w:t>
      </w:r>
      <w:r>
        <w:rPr>
          <w:spacing w:val="-1"/>
          <w:sz w:val="20"/>
        </w:rPr>
        <w:t> </w:t>
      </w:r>
      <w:r>
        <w:rPr>
          <w:sz w:val="20"/>
        </w:rPr>
        <w:t>de</w:t>
      </w:r>
      <w:r>
        <w:rPr>
          <w:spacing w:val="-3"/>
          <w:sz w:val="20"/>
        </w:rPr>
        <w:t> </w:t>
      </w:r>
      <w:r>
        <w:rPr>
          <w:sz w:val="20"/>
        </w:rPr>
        <w:t>nueva</w:t>
      </w:r>
      <w:r>
        <w:rPr>
          <w:spacing w:val="-2"/>
          <w:sz w:val="20"/>
        </w:rPr>
        <w:t> </w:t>
      </w:r>
      <w:r>
        <w:rPr>
          <w:sz w:val="20"/>
        </w:rPr>
        <w:t>creación,</w:t>
      </w:r>
      <w:r>
        <w:rPr>
          <w:spacing w:val="-2"/>
          <w:sz w:val="20"/>
        </w:rPr>
        <w:t> </w:t>
      </w:r>
      <w:r>
        <w:rPr>
          <w:sz w:val="20"/>
        </w:rPr>
        <w:t>dedicadas</w:t>
      </w:r>
      <w:r>
        <w:rPr>
          <w:spacing w:val="-1"/>
          <w:sz w:val="20"/>
        </w:rPr>
        <w:t> </w:t>
      </w:r>
      <w:r>
        <w:rPr>
          <w:sz w:val="20"/>
        </w:rPr>
        <w:t>a</w:t>
      </w:r>
      <w:r>
        <w:rPr>
          <w:spacing w:val="-2"/>
          <w:sz w:val="20"/>
        </w:rPr>
        <w:t> </w:t>
      </w:r>
      <w:r>
        <w:rPr>
          <w:sz w:val="20"/>
        </w:rPr>
        <w:t>la</w:t>
      </w:r>
      <w:r>
        <w:rPr>
          <w:spacing w:val="-2"/>
          <w:sz w:val="20"/>
        </w:rPr>
        <w:t> </w:t>
      </w:r>
      <w:r>
        <w:rPr>
          <w:sz w:val="20"/>
        </w:rPr>
        <w:t>elaboración</w:t>
      </w:r>
      <w:r>
        <w:rPr>
          <w:spacing w:val="-3"/>
          <w:sz w:val="20"/>
        </w:rPr>
        <w:t> </w:t>
      </w:r>
      <w:r>
        <w:rPr>
          <w:sz w:val="20"/>
        </w:rPr>
        <w:t>de</w:t>
      </w:r>
      <w:r>
        <w:rPr>
          <w:spacing w:val="-2"/>
          <w:sz w:val="20"/>
        </w:rPr>
        <w:t> </w:t>
      </w:r>
      <w:r>
        <w:rPr>
          <w:sz w:val="20"/>
        </w:rPr>
        <w:t>un</w:t>
      </w:r>
      <w:r>
        <w:rPr>
          <w:spacing w:val="-3"/>
          <w:sz w:val="20"/>
        </w:rPr>
        <w:t> </w:t>
      </w:r>
      <w:r>
        <w:rPr>
          <w:sz w:val="20"/>
        </w:rPr>
        <w:t>producto</w:t>
      </w:r>
      <w:r>
        <w:rPr>
          <w:spacing w:val="-2"/>
          <w:sz w:val="20"/>
        </w:rPr>
        <w:t> </w:t>
      </w:r>
      <w:r>
        <w:rPr>
          <w:sz w:val="20"/>
        </w:rPr>
        <w:t>nuevo,</w:t>
      </w:r>
      <w:r>
        <w:rPr>
          <w:spacing w:val="-2"/>
          <w:sz w:val="20"/>
        </w:rPr>
        <w:t> </w:t>
      </w:r>
      <w:r>
        <w:rPr>
          <w:sz w:val="20"/>
        </w:rPr>
        <w:t>durante</w:t>
      </w:r>
      <w:r>
        <w:rPr>
          <w:spacing w:val="-2"/>
          <w:sz w:val="20"/>
        </w:rPr>
        <w:t> </w:t>
      </w:r>
      <w:r>
        <w:rPr>
          <w:sz w:val="20"/>
        </w:rPr>
        <w:t>los dos primeros años de funcionamiento. La determinación de la novedad del producto se ajustará a lo que dispongan las leyes para fomento de industrias nuevas;</w:t>
      </w:r>
    </w:p>
    <w:p>
      <w:pPr>
        <w:pStyle w:val="ListParagraph"/>
        <w:numPr>
          <w:ilvl w:val="0"/>
          <w:numId w:val="26"/>
        </w:numPr>
        <w:tabs>
          <w:tab w:pos="1195" w:val="left" w:leader="none"/>
        </w:tabs>
        <w:spacing w:line="240" w:lineRule="auto" w:before="223" w:after="0"/>
        <w:ind w:left="1195" w:right="0" w:hanging="569"/>
        <w:jc w:val="left"/>
        <w:rPr>
          <w:sz w:val="20"/>
        </w:rPr>
      </w:pPr>
      <w:r>
        <w:rPr>
          <w:sz w:val="20"/>
        </w:rPr>
        <w:t>Las</w:t>
      </w:r>
      <w:r>
        <w:rPr>
          <w:spacing w:val="-7"/>
          <w:sz w:val="20"/>
        </w:rPr>
        <w:t> </w:t>
      </w:r>
      <w:r>
        <w:rPr>
          <w:sz w:val="20"/>
        </w:rPr>
        <w:t>empresas</w:t>
      </w:r>
      <w:r>
        <w:rPr>
          <w:spacing w:val="-6"/>
          <w:sz w:val="20"/>
        </w:rPr>
        <w:t> </w:t>
      </w:r>
      <w:r>
        <w:rPr>
          <w:sz w:val="20"/>
        </w:rPr>
        <w:t>de</w:t>
      </w:r>
      <w:r>
        <w:rPr>
          <w:spacing w:val="-8"/>
          <w:sz w:val="20"/>
        </w:rPr>
        <w:t> </w:t>
      </w:r>
      <w:r>
        <w:rPr>
          <w:sz w:val="20"/>
        </w:rPr>
        <w:t>industria</w:t>
      </w:r>
      <w:r>
        <w:rPr>
          <w:spacing w:val="-3"/>
          <w:sz w:val="20"/>
        </w:rPr>
        <w:t> </w:t>
      </w:r>
      <w:r>
        <w:rPr>
          <w:sz w:val="20"/>
        </w:rPr>
        <w:t>extractiva,</w:t>
      </w:r>
      <w:r>
        <w:rPr>
          <w:spacing w:val="-7"/>
          <w:sz w:val="20"/>
        </w:rPr>
        <w:t> </w:t>
      </w:r>
      <w:r>
        <w:rPr>
          <w:sz w:val="20"/>
        </w:rPr>
        <w:t>de</w:t>
      </w:r>
      <w:r>
        <w:rPr>
          <w:spacing w:val="-7"/>
          <w:sz w:val="20"/>
        </w:rPr>
        <w:t> </w:t>
      </w:r>
      <w:r>
        <w:rPr>
          <w:sz w:val="20"/>
        </w:rPr>
        <w:t>nueva</w:t>
      </w:r>
      <w:r>
        <w:rPr>
          <w:spacing w:val="-7"/>
          <w:sz w:val="20"/>
        </w:rPr>
        <w:t> </w:t>
      </w:r>
      <w:r>
        <w:rPr>
          <w:sz w:val="20"/>
        </w:rPr>
        <w:t>creación,</w:t>
      </w:r>
      <w:r>
        <w:rPr>
          <w:spacing w:val="-7"/>
          <w:sz w:val="20"/>
        </w:rPr>
        <w:t> </w:t>
      </w:r>
      <w:r>
        <w:rPr>
          <w:sz w:val="20"/>
        </w:rPr>
        <w:t>durante</w:t>
      </w:r>
      <w:r>
        <w:rPr>
          <w:spacing w:val="-7"/>
          <w:sz w:val="20"/>
        </w:rPr>
        <w:t> </w:t>
      </w:r>
      <w:r>
        <w:rPr>
          <w:sz w:val="20"/>
        </w:rPr>
        <w:t>el</w:t>
      </w:r>
      <w:r>
        <w:rPr>
          <w:spacing w:val="-8"/>
          <w:sz w:val="20"/>
        </w:rPr>
        <w:t> </w:t>
      </w:r>
      <w:r>
        <w:rPr>
          <w:sz w:val="20"/>
        </w:rPr>
        <w:t>período</w:t>
      </w:r>
      <w:r>
        <w:rPr>
          <w:spacing w:val="-5"/>
          <w:sz w:val="20"/>
        </w:rPr>
        <w:t> </w:t>
      </w:r>
      <w:r>
        <w:rPr>
          <w:sz w:val="20"/>
        </w:rPr>
        <w:t>de</w:t>
      </w:r>
      <w:r>
        <w:rPr>
          <w:spacing w:val="-6"/>
          <w:sz w:val="20"/>
        </w:rPr>
        <w:t> </w:t>
      </w:r>
      <w:r>
        <w:rPr>
          <w:spacing w:val="-2"/>
          <w:sz w:val="20"/>
        </w:rPr>
        <w:t>exploración;</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3"/>
      </w:pPr>
    </w:p>
    <w:p>
      <w:pPr>
        <w:pStyle w:val="ListParagraph"/>
        <w:numPr>
          <w:ilvl w:val="0"/>
          <w:numId w:val="26"/>
        </w:numPr>
        <w:tabs>
          <w:tab w:pos="1195" w:val="left" w:leader="none"/>
        </w:tabs>
        <w:spacing w:line="242" w:lineRule="auto" w:before="0" w:after="0"/>
        <w:ind w:left="1195" w:right="338" w:hanging="569"/>
        <w:jc w:val="both"/>
        <w:rPr>
          <w:sz w:val="20"/>
        </w:rPr>
      </w:pPr>
      <w:r>
        <w:rPr>
          <w:sz w:val="20"/>
        </w:rPr>
        <w:t>Las instituciones de asistencia privada, reconocidas por las leyes, que con bienes de propiedad particular ejecuten actos con fines humanitarios de asistencia, sin propósitos de lucro y sin designar individualmente a los beneficiarios;</w:t>
      </w:r>
    </w:p>
    <w:p>
      <w:pPr>
        <w:pStyle w:val="ListParagraph"/>
        <w:numPr>
          <w:ilvl w:val="0"/>
          <w:numId w:val="26"/>
        </w:numPr>
        <w:tabs>
          <w:tab w:pos="1195" w:val="left" w:leader="none"/>
        </w:tabs>
        <w:spacing w:line="240" w:lineRule="auto" w:before="225" w:after="0"/>
        <w:ind w:left="1195" w:right="339" w:hanging="569"/>
        <w:jc w:val="both"/>
        <w:rPr>
          <w:sz w:val="20"/>
        </w:rPr>
      </w:pPr>
      <w:r>
        <w:rPr>
          <w:sz w:val="20"/>
        </w:rPr>
        <w:t>El Instituto Mexicano del Seguro Social y las instituciones públicas descentralizadas con fines culturales, asistenciales o de beneficencia; y</w:t>
      </w:r>
    </w:p>
    <w:p>
      <w:pPr>
        <w:pStyle w:val="ListParagraph"/>
        <w:numPr>
          <w:ilvl w:val="0"/>
          <w:numId w:val="26"/>
        </w:numPr>
        <w:tabs>
          <w:tab w:pos="1195" w:val="left" w:leader="none"/>
        </w:tabs>
        <w:spacing w:line="242" w:lineRule="auto" w:before="226" w:after="0"/>
        <w:ind w:left="1195" w:right="342" w:hanging="569"/>
        <w:jc w:val="both"/>
        <w:rPr>
          <w:sz w:val="20"/>
        </w:rPr>
      </w:pPr>
      <w:r>
        <w:rPr>
          <w:sz w:val="20"/>
        </w:rPr>
        <w:t>Las empresas que tengan un capital menor del que fije la Secretaría del Trabajo y Previsión Social por ramas de la industria, previa consulta con la Secretaría de Economía. La resolución podrá revisarse total o parcialmente, cuando existan circunstancias económicas importantes</w:t>
      </w:r>
      <w:r>
        <w:rPr>
          <w:spacing w:val="40"/>
          <w:sz w:val="20"/>
        </w:rPr>
        <w:t> </w:t>
      </w:r>
      <w:r>
        <w:rPr>
          <w:sz w:val="20"/>
        </w:rPr>
        <w:t>que lo justifiquen.</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338" w:firstLine="288"/>
      </w:pPr>
      <w:bookmarkStart w:name="Artículo_127" w:id="146"/>
      <w:bookmarkEnd w:id="146"/>
      <w:r>
        <w:rPr/>
      </w:r>
      <w:r>
        <w:rPr>
          <w:rFonts w:ascii="Arial" w:hAnsi="Arial"/>
          <w:b/>
        </w:rPr>
        <w:t>Artículo 127.- </w:t>
      </w:r>
      <w:r>
        <w:rPr/>
        <w:t>El derecho de los trabajadores a participar en el reparto de utilidades, reconocido en la Constitución Política de los Estados Unidos Mexicanos, se ajustará a las normas siguientes:</w:t>
      </w:r>
    </w:p>
    <w:p>
      <w:pPr>
        <w:spacing w:line="178"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23-04-</w:t>
      </w:r>
      <w:r>
        <w:rPr>
          <w:rFonts w:ascii="Times New Roman" w:hAnsi="Times New Roman"/>
          <w:i/>
          <w:color w:val="0000FF"/>
          <w:spacing w:val="-4"/>
          <w:sz w:val="16"/>
        </w:rPr>
        <w:t>2021</w:t>
      </w:r>
    </w:p>
    <w:p>
      <w:pPr>
        <w:pStyle w:val="BodyText"/>
        <w:spacing w:before="47"/>
        <w:rPr>
          <w:rFonts w:ascii="Times New Roman"/>
          <w:i/>
          <w:sz w:val="16"/>
        </w:rPr>
      </w:pPr>
    </w:p>
    <w:p>
      <w:pPr>
        <w:pStyle w:val="ListParagraph"/>
        <w:numPr>
          <w:ilvl w:val="0"/>
          <w:numId w:val="27"/>
        </w:numPr>
        <w:tabs>
          <w:tab w:pos="1193" w:val="left" w:leader="none"/>
          <w:tab w:pos="1195" w:val="left" w:leader="none"/>
        </w:tabs>
        <w:spacing w:line="242" w:lineRule="auto" w:before="1" w:after="0"/>
        <w:ind w:left="1195" w:right="343" w:hanging="569"/>
        <w:jc w:val="both"/>
        <w:rPr>
          <w:sz w:val="20"/>
        </w:rPr>
      </w:pPr>
      <w:r>
        <w:rPr>
          <w:sz w:val="20"/>
        </w:rPr>
        <w:t>Los directores, administradores y gerentes generales de las empresas no participarán en las </w:t>
      </w:r>
      <w:r>
        <w:rPr>
          <w:spacing w:val="-2"/>
          <w:sz w:val="20"/>
        </w:rPr>
        <w:t>utilidades;</w:t>
      </w:r>
    </w:p>
    <w:p>
      <w:pPr>
        <w:pStyle w:val="ListParagraph"/>
        <w:numPr>
          <w:ilvl w:val="0"/>
          <w:numId w:val="27"/>
        </w:numPr>
        <w:tabs>
          <w:tab w:pos="1192" w:val="left" w:leader="none"/>
          <w:tab w:pos="1195" w:val="left" w:leader="none"/>
        </w:tabs>
        <w:spacing w:line="240" w:lineRule="auto" w:before="224" w:after="0"/>
        <w:ind w:left="1195" w:right="341" w:hanging="569"/>
        <w:jc w:val="both"/>
        <w:rPr>
          <w:sz w:val="20"/>
        </w:rPr>
      </w:pPr>
      <w:r>
        <w:rPr>
          <w:sz w:val="20"/>
        </w:rPr>
        <w:t>Los demás trabajadores de confianza participarán en las utilidades de las empresas, pero si el salario que perciben es mayor del que corresponda al trabajador sindicalizado de más alto salario dentro de la empresa, o a falta de esté al trabajador de planta con la misma característica, se considerará este salario aumentado en un veinte por ciento, como salario </w:t>
      </w:r>
      <w:r>
        <w:rPr>
          <w:spacing w:val="-2"/>
          <w:sz w:val="20"/>
        </w:rPr>
        <w:t>máximo.</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02-07-</w:t>
      </w:r>
      <w:r>
        <w:rPr>
          <w:rFonts w:ascii="Times New Roman" w:hAnsi="Times New Roman"/>
          <w:i/>
          <w:color w:val="0000FF"/>
          <w:spacing w:val="-4"/>
          <w:sz w:val="16"/>
        </w:rPr>
        <w:t>1976</w:t>
      </w:r>
    </w:p>
    <w:p>
      <w:pPr>
        <w:pStyle w:val="BodyText"/>
        <w:spacing w:before="47"/>
        <w:rPr>
          <w:rFonts w:ascii="Times New Roman"/>
          <w:i/>
          <w:sz w:val="16"/>
        </w:rPr>
      </w:pPr>
    </w:p>
    <w:p>
      <w:pPr>
        <w:pStyle w:val="ListParagraph"/>
        <w:numPr>
          <w:ilvl w:val="0"/>
          <w:numId w:val="27"/>
        </w:numPr>
        <w:tabs>
          <w:tab w:pos="1191" w:val="left" w:leader="none"/>
          <w:tab w:pos="1195" w:val="left" w:leader="none"/>
        </w:tabs>
        <w:spacing w:line="242" w:lineRule="auto" w:before="1" w:after="0"/>
        <w:ind w:left="1195" w:right="341" w:hanging="569"/>
        <w:jc w:val="both"/>
        <w:rPr>
          <w:sz w:val="20"/>
        </w:rPr>
      </w:pPr>
      <w:r>
        <w:rPr>
          <w:sz w:val="20"/>
        </w:rPr>
        <w:t>El monto de la participación de los trabajadores al servicio de personas cuyos ingresos deriven exclusivamente de su trabajo, y el de los que se dediquen al cuidado de bienes que produzcan rentas o al cobro de créditos y sus intereses, no podrá exceder de un mes de salario;</w:t>
      </w:r>
    </w:p>
    <w:p>
      <w:pPr>
        <w:pStyle w:val="ListParagraph"/>
        <w:numPr>
          <w:ilvl w:val="0"/>
          <w:numId w:val="27"/>
        </w:numPr>
        <w:tabs>
          <w:tab w:pos="1195" w:val="left" w:leader="none"/>
        </w:tabs>
        <w:spacing w:line="242" w:lineRule="auto" w:before="222" w:after="0"/>
        <w:ind w:left="1195" w:right="341" w:hanging="569"/>
        <w:jc w:val="both"/>
        <w:rPr>
          <w:sz w:val="20"/>
        </w:rPr>
      </w:pPr>
      <w:r>
        <w:rPr>
          <w:sz w:val="20"/>
        </w:rPr>
        <w:t>Las madres trabajadoras, durante los períodos pre y</w:t>
      </w:r>
      <w:r>
        <w:rPr>
          <w:spacing w:val="-1"/>
          <w:sz w:val="20"/>
        </w:rPr>
        <w:t> </w:t>
      </w:r>
      <w:r>
        <w:rPr>
          <w:sz w:val="20"/>
        </w:rPr>
        <w:t>postnatales, y</w:t>
      </w:r>
      <w:r>
        <w:rPr>
          <w:spacing w:val="-1"/>
          <w:sz w:val="20"/>
        </w:rPr>
        <w:t> </w:t>
      </w:r>
      <w:r>
        <w:rPr>
          <w:sz w:val="20"/>
        </w:rPr>
        <w:t>los trabajadores víctimas de un riesgo de trabajo durante el período de incapacidad temporal, serán considerados como trabajadores en servicio activo;</w:t>
      </w:r>
    </w:p>
    <w:p>
      <w:pPr>
        <w:pStyle w:val="BodyText"/>
        <w:spacing w:before="225"/>
        <w:ind w:left="1195" w:right="342" w:hanging="569"/>
      </w:pPr>
      <w:r>
        <w:rPr>
          <w:rFonts w:ascii="Arial" w:hAnsi="Arial"/>
          <w:b/>
        </w:rPr>
        <w:t>IV Bis. </w:t>
      </w:r>
      <w:r>
        <w:rPr/>
        <w:t>Los trabajadores del establecimiento de una empresa forman parte de ella para efectos de la participación de los trabajadores en las utilidades;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27"/>
        </w:numPr>
        <w:tabs>
          <w:tab w:pos="1195" w:val="left" w:leader="none"/>
        </w:tabs>
        <w:spacing w:line="240" w:lineRule="auto" w:before="0" w:after="0"/>
        <w:ind w:left="1195" w:right="346" w:hanging="569"/>
        <w:jc w:val="both"/>
        <w:rPr>
          <w:sz w:val="20"/>
        </w:rPr>
      </w:pPr>
      <w:r>
        <w:rPr>
          <w:sz w:val="20"/>
        </w:rPr>
        <w:t>En la industria de la construcción, después de determinar qué trabajadores tienen derecho a participar en el reparto, la Comisión a que se refiere el artículo 125 adoptará las medidas que juzgue conveniente para su citación;</w:t>
      </w:r>
    </w:p>
    <w:p>
      <w:pPr>
        <w:pStyle w:val="BodyText"/>
      </w:pPr>
    </w:p>
    <w:p>
      <w:pPr>
        <w:pStyle w:val="ListParagraph"/>
        <w:numPr>
          <w:ilvl w:val="0"/>
          <w:numId w:val="27"/>
        </w:numPr>
        <w:tabs>
          <w:tab w:pos="1195" w:val="left" w:leader="none"/>
        </w:tabs>
        <w:spacing w:line="240" w:lineRule="auto" w:before="0" w:after="0"/>
        <w:ind w:left="1195" w:right="0" w:hanging="569"/>
        <w:jc w:val="left"/>
        <w:rPr>
          <w:sz w:val="20"/>
        </w:rPr>
      </w:pPr>
      <w:r>
        <w:rPr>
          <w:sz w:val="20"/>
        </w:rPr>
        <w:t>Los</w:t>
      </w:r>
      <w:r>
        <w:rPr>
          <w:spacing w:val="-7"/>
          <w:sz w:val="20"/>
        </w:rPr>
        <w:t> </w:t>
      </w:r>
      <w:r>
        <w:rPr>
          <w:sz w:val="20"/>
        </w:rPr>
        <w:t>trabajadores</w:t>
      </w:r>
      <w:r>
        <w:rPr>
          <w:spacing w:val="-6"/>
          <w:sz w:val="20"/>
        </w:rPr>
        <w:t> </w:t>
      </w:r>
      <w:r>
        <w:rPr>
          <w:sz w:val="20"/>
        </w:rPr>
        <w:t>del</w:t>
      </w:r>
      <w:r>
        <w:rPr>
          <w:spacing w:val="-7"/>
          <w:sz w:val="20"/>
        </w:rPr>
        <w:t> </w:t>
      </w:r>
      <w:r>
        <w:rPr>
          <w:sz w:val="20"/>
        </w:rPr>
        <w:t>hogar</w:t>
      </w:r>
      <w:r>
        <w:rPr>
          <w:spacing w:val="-4"/>
          <w:sz w:val="20"/>
        </w:rPr>
        <w:t> </w:t>
      </w:r>
      <w:r>
        <w:rPr>
          <w:sz w:val="20"/>
        </w:rPr>
        <w:t>no</w:t>
      </w:r>
      <w:r>
        <w:rPr>
          <w:spacing w:val="-8"/>
          <w:sz w:val="20"/>
        </w:rPr>
        <w:t> </w:t>
      </w:r>
      <w:r>
        <w:rPr>
          <w:sz w:val="20"/>
        </w:rPr>
        <w:t>participarán</w:t>
      </w:r>
      <w:r>
        <w:rPr>
          <w:spacing w:val="-7"/>
          <w:sz w:val="20"/>
        </w:rPr>
        <w:t> </w:t>
      </w:r>
      <w:r>
        <w:rPr>
          <w:sz w:val="20"/>
        </w:rPr>
        <w:t>en</w:t>
      </w:r>
      <w:r>
        <w:rPr>
          <w:spacing w:val="-6"/>
          <w:sz w:val="20"/>
        </w:rPr>
        <w:t> </w:t>
      </w:r>
      <w:r>
        <w:rPr>
          <w:sz w:val="20"/>
        </w:rPr>
        <w:t>el</w:t>
      </w:r>
      <w:r>
        <w:rPr>
          <w:spacing w:val="-8"/>
          <w:sz w:val="20"/>
        </w:rPr>
        <w:t> </w:t>
      </w:r>
      <w:r>
        <w:rPr>
          <w:sz w:val="20"/>
        </w:rPr>
        <w:t>reparto</w:t>
      </w:r>
      <w:r>
        <w:rPr>
          <w:spacing w:val="-7"/>
          <w:sz w:val="20"/>
        </w:rPr>
        <w:t> </w:t>
      </w:r>
      <w:r>
        <w:rPr>
          <w:sz w:val="20"/>
        </w:rPr>
        <w:t>de</w:t>
      </w:r>
      <w:r>
        <w:rPr>
          <w:spacing w:val="-6"/>
          <w:sz w:val="20"/>
        </w:rPr>
        <w:t> </w:t>
      </w:r>
      <w:r>
        <w:rPr>
          <w:spacing w:val="-2"/>
          <w:sz w:val="20"/>
        </w:rPr>
        <w:t>utilidades;</w:t>
      </w:r>
    </w:p>
    <w:p>
      <w:pPr>
        <w:spacing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01-05-2019,</w:t>
      </w:r>
      <w:r>
        <w:rPr>
          <w:rFonts w:ascii="Times New Roman" w:hAnsi="Times New Roman"/>
          <w:i/>
          <w:color w:val="0000FF"/>
          <w:spacing w:val="-7"/>
          <w:sz w:val="16"/>
        </w:rPr>
        <w:t> </w:t>
      </w:r>
      <w:r>
        <w:rPr>
          <w:rFonts w:ascii="Times New Roman" w:hAnsi="Times New Roman"/>
          <w:i/>
          <w:color w:val="0000FF"/>
          <w:sz w:val="16"/>
        </w:rPr>
        <w:t>24-12-</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27"/>
        </w:numPr>
        <w:tabs>
          <w:tab w:pos="1193" w:val="left" w:leader="none"/>
          <w:tab w:pos="1195" w:val="left" w:leader="none"/>
        </w:tabs>
        <w:spacing w:line="242" w:lineRule="auto" w:before="0" w:after="0"/>
        <w:ind w:left="1195" w:right="345" w:hanging="569"/>
        <w:jc w:val="both"/>
        <w:rPr>
          <w:sz w:val="20"/>
        </w:rPr>
      </w:pPr>
      <w:r>
        <w:rPr>
          <w:sz w:val="20"/>
        </w:rPr>
        <w:t>Los trabajadores eventuales tendrán derecho a participar en las utilidades de la empresa cuando hayan trabajado sesenta días durante el año, por lo menos.</w:t>
      </w:r>
    </w:p>
    <w:p>
      <w:pPr>
        <w:pStyle w:val="ListParagraph"/>
        <w:numPr>
          <w:ilvl w:val="0"/>
          <w:numId w:val="27"/>
        </w:numPr>
        <w:tabs>
          <w:tab w:pos="1193" w:val="left" w:leader="none"/>
          <w:tab w:pos="1195" w:val="left" w:leader="none"/>
        </w:tabs>
        <w:spacing w:line="242" w:lineRule="auto" w:before="227" w:after="0"/>
        <w:ind w:left="1195" w:right="344" w:hanging="569"/>
        <w:jc w:val="both"/>
        <w:rPr>
          <w:sz w:val="20"/>
        </w:rPr>
      </w:pPr>
      <w:r>
        <w:rPr>
          <w:sz w:val="20"/>
        </w:rPr>
        <w:t>El monto de la participación de utilidades tendrá como límite máximo tres meses del salario del trabajador o el promedio de la participación recibida en los últimos tres años; se aplicará el monto que resulte más favorable al trabajador, y</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23-04-2021.</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24-12-</w:t>
      </w:r>
      <w:r>
        <w:rPr>
          <w:rFonts w:ascii="Times New Roman" w:hAnsi="Times New Roman"/>
          <w:i/>
          <w:color w:val="0000FF"/>
          <w:spacing w:val="-4"/>
          <w:sz w:val="16"/>
        </w:rPr>
        <w:t>2024</w:t>
      </w:r>
    </w:p>
    <w:p>
      <w:pPr>
        <w:spacing w:after="0" w:line="176"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3"/>
        <w:rPr>
          <w:rFonts w:ascii="Times New Roman"/>
          <w:i/>
        </w:rPr>
      </w:pPr>
    </w:p>
    <w:p>
      <w:pPr>
        <w:pStyle w:val="ListParagraph"/>
        <w:numPr>
          <w:ilvl w:val="0"/>
          <w:numId w:val="27"/>
        </w:numPr>
        <w:tabs>
          <w:tab w:pos="1195" w:val="left" w:leader="none"/>
        </w:tabs>
        <w:spacing w:line="242" w:lineRule="auto" w:before="0" w:after="0"/>
        <w:ind w:left="1195" w:right="337" w:hanging="569"/>
        <w:jc w:val="both"/>
        <w:rPr>
          <w:sz w:val="20"/>
        </w:rPr>
      </w:pPr>
      <w:r>
        <w:rPr>
          <w:sz w:val="20"/>
        </w:rPr>
        <w:t>Las personas trabajadoras en plataformas digitales tendrán derecho a participar en las</w:t>
      </w:r>
      <w:r>
        <w:rPr>
          <w:spacing w:val="40"/>
          <w:sz w:val="20"/>
        </w:rPr>
        <w:t> </w:t>
      </w:r>
      <w:r>
        <w:rPr>
          <w:sz w:val="20"/>
        </w:rPr>
        <w:t>utilidades</w:t>
      </w:r>
      <w:r>
        <w:rPr>
          <w:spacing w:val="-1"/>
          <w:sz w:val="20"/>
        </w:rPr>
        <w:t> </w:t>
      </w:r>
      <w:r>
        <w:rPr>
          <w:sz w:val="20"/>
        </w:rPr>
        <w:t>de</w:t>
      </w:r>
      <w:r>
        <w:rPr>
          <w:spacing w:val="-2"/>
          <w:sz w:val="20"/>
        </w:rPr>
        <w:t> </w:t>
      </w:r>
      <w:r>
        <w:rPr>
          <w:sz w:val="20"/>
        </w:rPr>
        <w:t>la</w:t>
      </w:r>
      <w:r>
        <w:rPr>
          <w:spacing w:val="-2"/>
          <w:sz w:val="20"/>
        </w:rPr>
        <w:t> </w:t>
      </w:r>
      <w:r>
        <w:rPr>
          <w:sz w:val="20"/>
        </w:rPr>
        <w:t>empresa</w:t>
      </w:r>
      <w:r>
        <w:rPr>
          <w:spacing w:val="-2"/>
          <w:sz w:val="20"/>
        </w:rPr>
        <w:t> </w:t>
      </w:r>
      <w:r>
        <w:rPr>
          <w:sz w:val="20"/>
        </w:rPr>
        <w:t>cuando el</w:t>
      </w:r>
      <w:r>
        <w:rPr>
          <w:spacing w:val="-3"/>
          <w:sz w:val="20"/>
        </w:rPr>
        <w:t> </w:t>
      </w:r>
      <w:r>
        <w:rPr>
          <w:sz w:val="20"/>
        </w:rPr>
        <w:t>tiempo</w:t>
      </w:r>
      <w:r>
        <w:rPr>
          <w:spacing w:val="-3"/>
          <w:sz w:val="20"/>
        </w:rPr>
        <w:t> </w:t>
      </w:r>
      <w:r>
        <w:rPr>
          <w:sz w:val="20"/>
        </w:rPr>
        <w:t>efectivamente</w:t>
      </w:r>
      <w:r>
        <w:rPr>
          <w:spacing w:val="-2"/>
          <w:sz w:val="20"/>
        </w:rPr>
        <w:t> </w:t>
      </w:r>
      <w:r>
        <w:rPr>
          <w:sz w:val="20"/>
        </w:rPr>
        <w:t>laborado,</w:t>
      </w:r>
      <w:r>
        <w:rPr>
          <w:spacing w:val="-2"/>
          <w:sz w:val="20"/>
        </w:rPr>
        <w:t> </w:t>
      </w:r>
      <w:r>
        <w:rPr>
          <w:sz w:val="20"/>
        </w:rPr>
        <w:t>en</w:t>
      </w:r>
      <w:r>
        <w:rPr>
          <w:spacing w:val="-3"/>
          <w:sz w:val="20"/>
        </w:rPr>
        <w:t> </w:t>
      </w:r>
      <w:r>
        <w:rPr>
          <w:sz w:val="20"/>
        </w:rPr>
        <w:t>términos</w:t>
      </w:r>
      <w:r>
        <w:rPr>
          <w:spacing w:val="-1"/>
          <w:sz w:val="20"/>
        </w:rPr>
        <w:t> </w:t>
      </w:r>
      <w:r>
        <w:rPr>
          <w:sz w:val="20"/>
        </w:rPr>
        <w:t>del</w:t>
      </w:r>
      <w:r>
        <w:rPr>
          <w:spacing w:val="-3"/>
          <w:sz w:val="20"/>
        </w:rPr>
        <w:t> </w:t>
      </w:r>
      <w:r>
        <w:rPr>
          <w:sz w:val="20"/>
        </w:rPr>
        <w:t>artículo</w:t>
      </w:r>
      <w:r>
        <w:rPr>
          <w:spacing w:val="-2"/>
          <w:sz w:val="20"/>
        </w:rPr>
        <w:t> </w:t>
      </w:r>
      <w:r>
        <w:rPr>
          <w:sz w:val="20"/>
        </w:rPr>
        <w:t>291- D de esta Ley, sea superior a 288 horas anuales.</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24-12-</w:t>
      </w:r>
      <w:r>
        <w:rPr>
          <w:rFonts w:ascii="Times New Roman" w:hAnsi="Times New Roman"/>
          <w:i/>
          <w:color w:val="0000FF"/>
          <w:spacing w:val="-4"/>
          <w:sz w:val="16"/>
        </w:rPr>
        <w:t>2024</w:t>
      </w:r>
    </w:p>
    <w:p>
      <w:pPr>
        <w:pStyle w:val="BodyText"/>
        <w:spacing w:before="45"/>
        <w:rPr>
          <w:rFonts w:ascii="Times New Roman"/>
          <w:i/>
          <w:sz w:val="16"/>
        </w:rPr>
      </w:pPr>
    </w:p>
    <w:p>
      <w:pPr>
        <w:pStyle w:val="BodyText"/>
        <w:ind w:left="626"/>
      </w:pPr>
      <w:bookmarkStart w:name="Artículo_128" w:id="147"/>
      <w:bookmarkEnd w:id="147"/>
      <w:r>
        <w:rPr/>
      </w:r>
      <w:r>
        <w:rPr>
          <w:rFonts w:ascii="Arial" w:hAnsi="Arial"/>
          <w:b/>
        </w:rPr>
        <w:t>Artículo</w:t>
      </w:r>
      <w:r>
        <w:rPr>
          <w:rFonts w:ascii="Arial" w:hAnsi="Arial"/>
          <w:b/>
          <w:spacing w:val="-6"/>
        </w:rPr>
        <w:t> </w:t>
      </w:r>
      <w:r>
        <w:rPr>
          <w:rFonts w:ascii="Arial" w:hAnsi="Arial"/>
          <w:b/>
        </w:rPr>
        <w:t>128.-</w:t>
      </w:r>
      <w:r>
        <w:rPr>
          <w:rFonts w:ascii="Arial" w:hAnsi="Arial"/>
          <w:b/>
          <w:spacing w:val="-5"/>
        </w:rPr>
        <w:t> </w:t>
      </w:r>
      <w:r>
        <w:rPr/>
        <w:t>No</w:t>
      </w:r>
      <w:r>
        <w:rPr>
          <w:spacing w:val="-6"/>
        </w:rPr>
        <w:t> </w:t>
      </w:r>
      <w:r>
        <w:rPr/>
        <w:t>se</w:t>
      </w:r>
      <w:r>
        <w:rPr>
          <w:spacing w:val="-7"/>
        </w:rPr>
        <w:t> </w:t>
      </w:r>
      <w:r>
        <w:rPr/>
        <w:t>harán</w:t>
      </w:r>
      <w:r>
        <w:rPr>
          <w:spacing w:val="-4"/>
        </w:rPr>
        <w:t> </w:t>
      </w:r>
      <w:r>
        <w:rPr/>
        <w:t>compensaciones</w:t>
      </w:r>
      <w:r>
        <w:rPr>
          <w:spacing w:val="-5"/>
        </w:rPr>
        <w:t> </w:t>
      </w:r>
      <w:r>
        <w:rPr/>
        <w:t>de</w:t>
      </w:r>
      <w:r>
        <w:rPr>
          <w:spacing w:val="-5"/>
        </w:rPr>
        <w:t> </w:t>
      </w:r>
      <w:r>
        <w:rPr/>
        <w:t>los</w:t>
      </w:r>
      <w:r>
        <w:rPr>
          <w:spacing w:val="-3"/>
        </w:rPr>
        <w:t> </w:t>
      </w:r>
      <w:r>
        <w:rPr/>
        <w:t>años</w:t>
      </w:r>
      <w:r>
        <w:rPr>
          <w:spacing w:val="-5"/>
        </w:rPr>
        <w:t> </w:t>
      </w:r>
      <w:r>
        <w:rPr/>
        <w:t>de</w:t>
      </w:r>
      <w:r>
        <w:rPr>
          <w:spacing w:val="-7"/>
        </w:rPr>
        <w:t> </w:t>
      </w:r>
      <w:r>
        <w:rPr/>
        <w:t>pérdida</w:t>
      </w:r>
      <w:r>
        <w:rPr>
          <w:spacing w:val="-8"/>
        </w:rPr>
        <w:t> </w:t>
      </w:r>
      <w:r>
        <w:rPr/>
        <w:t>con</w:t>
      </w:r>
      <w:r>
        <w:rPr>
          <w:spacing w:val="-6"/>
        </w:rPr>
        <w:t> </w:t>
      </w:r>
      <w:r>
        <w:rPr/>
        <w:t>los</w:t>
      </w:r>
      <w:r>
        <w:rPr>
          <w:spacing w:val="-5"/>
        </w:rPr>
        <w:t> </w:t>
      </w:r>
      <w:r>
        <w:rPr/>
        <w:t>de</w:t>
      </w:r>
      <w:r>
        <w:rPr>
          <w:spacing w:val="-5"/>
        </w:rPr>
        <w:t> </w:t>
      </w:r>
      <w:r>
        <w:rPr>
          <w:spacing w:val="-2"/>
        </w:rPr>
        <w:t>ganancia.</w:t>
      </w:r>
    </w:p>
    <w:p>
      <w:pPr>
        <w:pStyle w:val="BodyText"/>
      </w:pPr>
    </w:p>
    <w:p>
      <w:pPr>
        <w:pStyle w:val="BodyText"/>
        <w:spacing w:line="242" w:lineRule="auto" w:before="1"/>
        <w:ind w:left="338" w:right="357" w:firstLine="288"/>
      </w:pPr>
      <w:bookmarkStart w:name="Artículo_129" w:id="148"/>
      <w:bookmarkEnd w:id="148"/>
      <w:r>
        <w:rPr/>
      </w:r>
      <w:r>
        <w:rPr>
          <w:rFonts w:ascii="Arial" w:hAnsi="Arial"/>
          <w:b/>
        </w:rPr>
        <w:t>Artículo 129.- </w:t>
      </w:r>
      <w:r>
        <w:rPr/>
        <w:t>La participación en las utilidades a que se refiere este capítulo no se computará como parte del salario, para los efectos de las indemnizaciones que deban pagarse a los trabajadores.</w:t>
      </w:r>
    </w:p>
    <w:p>
      <w:pPr>
        <w:pStyle w:val="BodyText"/>
        <w:spacing w:line="242" w:lineRule="auto" w:before="224"/>
        <w:ind w:left="338" w:firstLine="288"/>
      </w:pPr>
      <w:bookmarkStart w:name="Artículo_130" w:id="149"/>
      <w:bookmarkEnd w:id="149"/>
      <w:r>
        <w:rPr/>
      </w:r>
      <w:r>
        <w:rPr>
          <w:rFonts w:ascii="Arial" w:hAnsi="Arial"/>
          <w:b/>
        </w:rPr>
        <w:t>Artículo</w:t>
      </w:r>
      <w:r>
        <w:rPr>
          <w:rFonts w:ascii="Arial" w:hAnsi="Arial"/>
          <w:b/>
          <w:spacing w:val="-2"/>
        </w:rPr>
        <w:t> </w:t>
      </w:r>
      <w:r>
        <w:rPr>
          <w:rFonts w:ascii="Arial" w:hAnsi="Arial"/>
          <w:b/>
        </w:rPr>
        <w:t>130.-</w:t>
      </w:r>
      <w:r>
        <w:rPr>
          <w:rFonts w:ascii="Arial" w:hAnsi="Arial"/>
          <w:b/>
          <w:spacing w:val="-2"/>
        </w:rPr>
        <w:t> </w:t>
      </w:r>
      <w:r>
        <w:rPr/>
        <w:t>Las</w:t>
      </w:r>
      <w:r>
        <w:rPr>
          <w:spacing w:val="-2"/>
        </w:rPr>
        <w:t> </w:t>
      </w:r>
      <w:r>
        <w:rPr/>
        <w:t>cantidades</w:t>
      </w:r>
      <w:r>
        <w:rPr>
          <w:spacing w:val="-2"/>
        </w:rPr>
        <w:t> </w:t>
      </w:r>
      <w:r>
        <w:rPr/>
        <w:t>que</w:t>
      </w:r>
      <w:r>
        <w:rPr>
          <w:spacing w:val="-3"/>
        </w:rPr>
        <w:t> </w:t>
      </w:r>
      <w:r>
        <w:rPr/>
        <w:t>correspondan</w:t>
      </w:r>
      <w:r>
        <w:rPr>
          <w:spacing w:val="-3"/>
        </w:rPr>
        <w:t> </w:t>
      </w:r>
      <w:r>
        <w:rPr/>
        <w:t>a</w:t>
      </w:r>
      <w:r>
        <w:rPr>
          <w:spacing w:val="-3"/>
        </w:rPr>
        <w:t> </w:t>
      </w:r>
      <w:r>
        <w:rPr/>
        <w:t>los</w:t>
      </w:r>
      <w:r>
        <w:rPr>
          <w:spacing w:val="-2"/>
        </w:rPr>
        <w:t> </w:t>
      </w:r>
      <w:r>
        <w:rPr/>
        <w:t>trabajadores</w:t>
      </w:r>
      <w:r>
        <w:rPr>
          <w:spacing w:val="-1"/>
        </w:rPr>
        <w:t> </w:t>
      </w:r>
      <w:r>
        <w:rPr/>
        <w:t>por</w:t>
      </w:r>
      <w:r>
        <w:rPr>
          <w:spacing w:val="-2"/>
        </w:rPr>
        <w:t> </w:t>
      </w:r>
      <w:r>
        <w:rPr/>
        <w:t>concepto</w:t>
      </w:r>
      <w:r>
        <w:rPr>
          <w:spacing w:val="-3"/>
        </w:rPr>
        <w:t> </w:t>
      </w:r>
      <w:r>
        <w:rPr/>
        <w:t>de</w:t>
      </w:r>
      <w:r>
        <w:rPr>
          <w:spacing w:val="-4"/>
        </w:rPr>
        <w:t> </w:t>
      </w:r>
      <w:r>
        <w:rPr/>
        <w:t>utilidades</w:t>
      </w:r>
      <w:r>
        <w:rPr>
          <w:spacing w:val="-2"/>
        </w:rPr>
        <w:t> </w:t>
      </w:r>
      <w:r>
        <w:rPr/>
        <w:t>quedan protegidas por las normas contenidas en los artículos 98 y siguientes.</w:t>
      </w:r>
    </w:p>
    <w:p>
      <w:pPr>
        <w:pStyle w:val="BodyText"/>
        <w:spacing w:line="242" w:lineRule="auto" w:before="227"/>
        <w:ind w:left="338" w:firstLine="288"/>
      </w:pPr>
      <w:bookmarkStart w:name="Artículo_131" w:id="150"/>
      <w:bookmarkEnd w:id="150"/>
      <w:r>
        <w:rPr/>
      </w:r>
      <w:r>
        <w:rPr>
          <w:rFonts w:ascii="Arial" w:hAnsi="Arial"/>
          <w:b/>
        </w:rPr>
        <w:t>Artículo 131.-</w:t>
      </w:r>
      <w:r>
        <w:rPr>
          <w:rFonts w:ascii="Arial" w:hAnsi="Arial"/>
          <w:b/>
          <w:spacing w:val="20"/>
        </w:rPr>
        <w:t> </w:t>
      </w:r>
      <w:r>
        <w:rPr/>
        <w:t>El derecho de los trabajadores a</w:t>
      </w:r>
      <w:r>
        <w:rPr>
          <w:spacing w:val="19"/>
        </w:rPr>
        <w:t> </w:t>
      </w:r>
      <w:r>
        <w:rPr/>
        <w:t>participar en las</w:t>
      </w:r>
      <w:r>
        <w:rPr>
          <w:spacing w:val="20"/>
        </w:rPr>
        <w:t> </w:t>
      </w:r>
      <w:r>
        <w:rPr/>
        <w:t>utilidades no implica la facultad de</w:t>
      </w:r>
      <w:r>
        <w:rPr>
          <w:spacing w:val="40"/>
        </w:rPr>
        <w:t> </w:t>
      </w:r>
      <w:r>
        <w:rPr/>
        <w:t>intervenir en la dirección o administración de las empresas.</w:t>
      </w:r>
    </w:p>
    <w:p>
      <w:pPr>
        <w:pStyle w:val="Heading1"/>
        <w:spacing w:before="222"/>
        <w:ind w:left="294"/>
      </w:pPr>
      <w:r>
        <w:rPr/>
        <w:t>TITULO</w:t>
      </w:r>
      <w:r>
        <w:rPr>
          <w:spacing w:val="-4"/>
        </w:rPr>
        <w:t> </w:t>
      </w:r>
      <w:r>
        <w:rPr>
          <w:spacing w:val="-2"/>
        </w:rPr>
        <w:t>CUARTO</w:t>
      </w:r>
    </w:p>
    <w:p>
      <w:pPr>
        <w:spacing w:before="2"/>
        <w:ind w:left="296" w:right="296" w:firstLine="0"/>
        <w:jc w:val="center"/>
        <w:rPr>
          <w:rFonts w:ascii="Arial"/>
          <w:b/>
          <w:sz w:val="22"/>
        </w:rPr>
      </w:pPr>
      <w:r>
        <w:rPr>
          <w:rFonts w:ascii="Arial"/>
          <w:b/>
          <w:sz w:val="22"/>
        </w:rPr>
        <w:t>Derechos</w:t>
      </w:r>
      <w:r>
        <w:rPr>
          <w:rFonts w:ascii="Arial"/>
          <w:b/>
          <w:spacing w:val="-6"/>
          <w:sz w:val="22"/>
        </w:rPr>
        <w:t> </w:t>
      </w:r>
      <w:r>
        <w:rPr>
          <w:rFonts w:ascii="Arial"/>
          <w:b/>
          <w:sz w:val="22"/>
        </w:rPr>
        <w:t>y</w:t>
      </w:r>
      <w:r>
        <w:rPr>
          <w:rFonts w:ascii="Arial"/>
          <w:b/>
          <w:spacing w:val="-7"/>
          <w:sz w:val="22"/>
        </w:rPr>
        <w:t> </w:t>
      </w:r>
      <w:r>
        <w:rPr>
          <w:rFonts w:ascii="Arial"/>
          <w:b/>
          <w:sz w:val="22"/>
        </w:rPr>
        <w:t>Obligaciones</w:t>
      </w:r>
      <w:r>
        <w:rPr>
          <w:rFonts w:ascii="Arial"/>
          <w:b/>
          <w:spacing w:val="-4"/>
          <w:sz w:val="22"/>
        </w:rPr>
        <w:t> </w:t>
      </w:r>
      <w:r>
        <w:rPr>
          <w:rFonts w:ascii="Arial"/>
          <w:b/>
          <w:sz w:val="22"/>
        </w:rPr>
        <w:t>de</w:t>
      </w:r>
      <w:r>
        <w:rPr>
          <w:rFonts w:ascii="Arial"/>
          <w:b/>
          <w:spacing w:val="-5"/>
          <w:sz w:val="22"/>
        </w:rPr>
        <w:t> </w:t>
      </w:r>
      <w:r>
        <w:rPr>
          <w:rFonts w:ascii="Arial"/>
          <w:b/>
          <w:sz w:val="22"/>
        </w:rPr>
        <w:t>los</w:t>
      </w:r>
      <w:r>
        <w:rPr>
          <w:rFonts w:ascii="Arial"/>
          <w:b/>
          <w:spacing w:val="-4"/>
          <w:sz w:val="22"/>
        </w:rPr>
        <w:t> </w:t>
      </w:r>
      <w:r>
        <w:rPr>
          <w:rFonts w:ascii="Arial"/>
          <w:b/>
          <w:sz w:val="22"/>
        </w:rPr>
        <w:t>Trabajadores</w:t>
      </w:r>
      <w:r>
        <w:rPr>
          <w:rFonts w:ascii="Arial"/>
          <w:b/>
          <w:spacing w:val="-5"/>
          <w:sz w:val="22"/>
        </w:rPr>
        <w:t> </w:t>
      </w:r>
      <w:r>
        <w:rPr>
          <w:rFonts w:ascii="Arial"/>
          <w:b/>
          <w:sz w:val="22"/>
        </w:rPr>
        <w:t>y</w:t>
      </w:r>
      <w:r>
        <w:rPr>
          <w:rFonts w:ascii="Arial"/>
          <w:b/>
          <w:spacing w:val="-7"/>
          <w:sz w:val="22"/>
        </w:rPr>
        <w:t> </w:t>
      </w:r>
      <w:r>
        <w:rPr>
          <w:rFonts w:ascii="Arial"/>
          <w:b/>
          <w:sz w:val="22"/>
        </w:rPr>
        <w:t>de</w:t>
      </w:r>
      <w:r>
        <w:rPr>
          <w:rFonts w:ascii="Arial"/>
          <w:b/>
          <w:spacing w:val="-4"/>
          <w:sz w:val="22"/>
        </w:rPr>
        <w:t> </w:t>
      </w:r>
      <w:r>
        <w:rPr>
          <w:rFonts w:ascii="Arial"/>
          <w:b/>
          <w:sz w:val="22"/>
        </w:rPr>
        <w:t>los</w:t>
      </w:r>
      <w:r>
        <w:rPr>
          <w:rFonts w:ascii="Arial"/>
          <w:b/>
          <w:spacing w:val="-3"/>
          <w:sz w:val="22"/>
        </w:rPr>
        <w:t> </w:t>
      </w:r>
      <w:r>
        <w:rPr>
          <w:rFonts w:ascii="Arial"/>
          <w:b/>
          <w:spacing w:val="-2"/>
          <w:sz w:val="22"/>
        </w:rPr>
        <w:t>Patrones</w:t>
      </w:r>
    </w:p>
    <w:p>
      <w:pPr>
        <w:pStyle w:val="BodyText"/>
        <w:rPr>
          <w:rFonts w:ascii="Arial"/>
          <w:b/>
          <w:sz w:val="22"/>
        </w:rPr>
      </w:pPr>
    </w:p>
    <w:p>
      <w:pPr>
        <w:pStyle w:val="Heading1"/>
        <w:spacing w:line="252" w:lineRule="exact"/>
      </w:pPr>
      <w:r>
        <w:rPr/>
        <w:t>CAPITULO</w:t>
      </w:r>
      <w:r>
        <w:rPr>
          <w:spacing w:val="-9"/>
        </w:rPr>
        <w:t> </w:t>
      </w:r>
      <w:r>
        <w:rPr>
          <w:spacing w:val="-12"/>
        </w:rPr>
        <w:t>I</w:t>
      </w:r>
    </w:p>
    <w:p>
      <w:pPr>
        <w:pStyle w:val="Heading2"/>
        <w:spacing w:line="252" w:lineRule="exact"/>
        <w:ind w:left="299"/>
      </w:pPr>
      <w:r>
        <w:rPr/>
        <w:t>Obligaciones</w:t>
      </w:r>
      <w:r>
        <w:rPr>
          <w:spacing w:val="-6"/>
        </w:rPr>
        <w:t> </w:t>
      </w:r>
      <w:r>
        <w:rPr/>
        <w:t>de</w:t>
      </w:r>
      <w:r>
        <w:rPr>
          <w:spacing w:val="-6"/>
        </w:rPr>
        <w:t> </w:t>
      </w:r>
      <w:r>
        <w:rPr/>
        <w:t>los</w:t>
      </w:r>
      <w:r>
        <w:rPr>
          <w:spacing w:val="-6"/>
        </w:rPr>
        <w:t> </w:t>
      </w:r>
      <w:r>
        <w:rPr>
          <w:spacing w:val="-2"/>
        </w:rPr>
        <w:t>patrones</w:t>
      </w:r>
    </w:p>
    <w:p>
      <w:pPr>
        <w:pStyle w:val="BodyText"/>
        <w:spacing w:before="1"/>
        <w:rPr>
          <w:rFonts w:ascii="Arial"/>
          <w:b/>
        </w:rPr>
      </w:pPr>
    </w:p>
    <w:p>
      <w:pPr>
        <w:spacing w:before="1"/>
        <w:ind w:left="626" w:right="0" w:firstLine="0"/>
        <w:jc w:val="left"/>
        <w:rPr>
          <w:sz w:val="20"/>
        </w:rPr>
      </w:pPr>
      <w:bookmarkStart w:name="Artículo_132" w:id="151"/>
      <w:bookmarkEnd w:id="151"/>
      <w:r>
        <w:rPr/>
      </w:r>
      <w:r>
        <w:rPr>
          <w:rFonts w:ascii="Arial" w:hAnsi="Arial"/>
          <w:b/>
          <w:sz w:val="20"/>
        </w:rPr>
        <w:t>Artículo</w:t>
      </w:r>
      <w:r>
        <w:rPr>
          <w:rFonts w:ascii="Arial" w:hAnsi="Arial"/>
          <w:b/>
          <w:spacing w:val="-7"/>
          <w:sz w:val="20"/>
        </w:rPr>
        <w:t> </w:t>
      </w:r>
      <w:r>
        <w:rPr>
          <w:rFonts w:ascii="Arial" w:hAnsi="Arial"/>
          <w:b/>
          <w:sz w:val="20"/>
        </w:rPr>
        <w:t>132.-</w:t>
      </w:r>
      <w:r>
        <w:rPr>
          <w:rFonts w:ascii="Arial" w:hAnsi="Arial"/>
          <w:b/>
          <w:spacing w:val="-5"/>
          <w:sz w:val="20"/>
        </w:rPr>
        <w:t> </w:t>
      </w:r>
      <w:r>
        <w:rPr>
          <w:sz w:val="20"/>
        </w:rPr>
        <w:t>Son</w:t>
      </w:r>
      <w:r>
        <w:rPr>
          <w:spacing w:val="-6"/>
          <w:sz w:val="20"/>
        </w:rPr>
        <w:t> </w:t>
      </w:r>
      <w:r>
        <w:rPr>
          <w:sz w:val="20"/>
        </w:rPr>
        <w:t>obligaciones</w:t>
      </w:r>
      <w:r>
        <w:rPr>
          <w:spacing w:val="-6"/>
          <w:sz w:val="20"/>
        </w:rPr>
        <w:t> </w:t>
      </w:r>
      <w:r>
        <w:rPr>
          <w:sz w:val="20"/>
        </w:rPr>
        <w:t>de</w:t>
      </w:r>
      <w:r>
        <w:rPr>
          <w:spacing w:val="-8"/>
          <w:sz w:val="20"/>
        </w:rPr>
        <w:t> </w:t>
      </w:r>
      <w:r>
        <w:rPr>
          <w:sz w:val="20"/>
        </w:rPr>
        <w:t>las</w:t>
      </w:r>
      <w:r>
        <w:rPr>
          <w:spacing w:val="-7"/>
          <w:sz w:val="20"/>
        </w:rPr>
        <w:t> </w:t>
      </w:r>
      <w:r>
        <w:rPr>
          <w:sz w:val="20"/>
        </w:rPr>
        <w:t>personas</w:t>
      </w:r>
      <w:r>
        <w:rPr>
          <w:spacing w:val="-6"/>
          <w:sz w:val="20"/>
        </w:rPr>
        <w:t> </w:t>
      </w:r>
      <w:r>
        <w:rPr>
          <w:spacing w:val="-2"/>
          <w:sz w:val="20"/>
        </w:rPr>
        <w:t>empleadoras:</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19-12-</w:t>
      </w:r>
      <w:r>
        <w:rPr>
          <w:rFonts w:ascii="Times New Roman" w:hAnsi="Times New Roman"/>
          <w:i/>
          <w:color w:val="0000FF"/>
          <w:spacing w:val="-4"/>
          <w:sz w:val="16"/>
        </w:rPr>
        <w:t>2024</w:t>
      </w:r>
    </w:p>
    <w:p>
      <w:pPr>
        <w:pStyle w:val="BodyText"/>
        <w:tabs>
          <w:tab w:pos="1478" w:val="left" w:leader="none"/>
        </w:tabs>
        <w:spacing w:line="242" w:lineRule="auto" w:before="229"/>
        <w:ind w:left="1478" w:right="334" w:hanging="852"/>
        <w:jc w:val="both"/>
      </w:pPr>
      <w:r>
        <w:rPr>
          <w:rFonts w:ascii="Arial"/>
          <w:b/>
          <w:spacing w:val="-4"/>
        </w:rPr>
        <w:t>I.-</w:t>
      </w:r>
      <w:r>
        <w:rPr>
          <w:rFonts w:ascii="Arial"/>
          <w:b/>
        </w:rPr>
        <w:tab/>
      </w:r>
      <w:r>
        <w:rPr/>
        <w:t>Cumplir las disposiciones de las normas de trabajo aplicables a sus empresas o </w:t>
      </w:r>
      <w:r>
        <w:rPr>
          <w:spacing w:val="-2"/>
        </w:rPr>
        <w:t>establecimientos;</w:t>
      </w:r>
    </w:p>
    <w:p>
      <w:pPr>
        <w:pStyle w:val="BodyText"/>
        <w:tabs>
          <w:tab w:pos="1478" w:val="left" w:leader="none"/>
        </w:tabs>
        <w:spacing w:line="242" w:lineRule="auto" w:before="227"/>
        <w:ind w:left="1478" w:right="343" w:hanging="852"/>
        <w:jc w:val="both"/>
      </w:pPr>
      <w:r>
        <w:rPr>
          <w:rFonts w:ascii="Arial"/>
          <w:b/>
          <w:spacing w:val="-4"/>
        </w:rPr>
        <w:t>II.-</w:t>
      </w:r>
      <w:r>
        <w:rPr>
          <w:rFonts w:ascii="Arial"/>
          <w:b/>
        </w:rPr>
        <w:tab/>
      </w:r>
      <w:r>
        <w:rPr/>
        <w:t>Pagar a los trabajadores los salarios e indemnizaciones, de conformidad con las normas vigentes en la empresa o establecimiento;</w:t>
      </w:r>
    </w:p>
    <w:p>
      <w:pPr>
        <w:pStyle w:val="BodyText"/>
        <w:spacing w:before="224"/>
        <w:ind w:left="1478" w:right="337" w:hanging="852"/>
        <w:jc w:val="both"/>
      </w:pPr>
      <w:r>
        <w:rPr>
          <w:rFonts w:ascii="Arial" w:hAnsi="Arial"/>
          <w:b/>
        </w:rPr>
        <w:t>III.-</w:t>
      </w:r>
      <w:r>
        <w:rPr>
          <w:rFonts w:ascii="Arial" w:hAnsi="Arial"/>
          <w:b/>
          <w:spacing w:val="80"/>
        </w:rPr>
        <w:t>  </w:t>
      </w:r>
      <w:r>
        <w:rPr/>
        <w:t>Proporcionar</w:t>
      </w:r>
      <w:r>
        <w:rPr>
          <w:spacing w:val="40"/>
        </w:rPr>
        <w:t> </w:t>
      </w:r>
      <w:r>
        <w:rPr/>
        <w:t>oportunamente</w:t>
      </w:r>
      <w:r>
        <w:rPr>
          <w:spacing w:val="40"/>
        </w:rPr>
        <w:t> </w:t>
      </w:r>
      <w:r>
        <w:rPr/>
        <w:t>a</w:t>
      </w:r>
      <w:r>
        <w:rPr>
          <w:spacing w:val="40"/>
        </w:rPr>
        <w:t> </w:t>
      </w:r>
      <w:r>
        <w:rPr/>
        <w:t>los</w:t>
      </w:r>
      <w:r>
        <w:rPr>
          <w:spacing w:val="40"/>
        </w:rPr>
        <w:t> </w:t>
      </w:r>
      <w:r>
        <w:rPr/>
        <w:t>trabajadores</w:t>
      </w:r>
      <w:r>
        <w:rPr>
          <w:spacing w:val="40"/>
        </w:rPr>
        <w:t> </w:t>
      </w:r>
      <w:r>
        <w:rPr/>
        <w:t>los</w:t>
      </w:r>
      <w:r>
        <w:rPr>
          <w:spacing w:val="40"/>
        </w:rPr>
        <w:t> </w:t>
      </w:r>
      <w:r>
        <w:rPr/>
        <w:t>útiles,</w:t>
      </w:r>
      <w:r>
        <w:rPr>
          <w:spacing w:val="40"/>
        </w:rPr>
        <w:t> </w:t>
      </w:r>
      <w:r>
        <w:rPr/>
        <w:t>instrumentos</w:t>
      </w:r>
      <w:r>
        <w:rPr>
          <w:spacing w:val="40"/>
        </w:rPr>
        <w:t> </w:t>
      </w:r>
      <w:r>
        <w:rPr/>
        <w:t>y</w:t>
      </w:r>
      <w:r>
        <w:rPr>
          <w:spacing w:val="40"/>
        </w:rPr>
        <w:t> </w:t>
      </w:r>
      <w:r>
        <w:rPr/>
        <w:t>materiales necesarios para la ejecución del trabajo, debiendo darlos de buena calidad, en buen estado</w:t>
      </w:r>
      <w:r>
        <w:rPr>
          <w:spacing w:val="40"/>
        </w:rPr>
        <w:t> </w:t>
      </w:r>
      <w:r>
        <w:rPr/>
        <w:t>y reponerlos tan luego como dejen de ser eficientes, siempre que aquéllos no se hayan comprometido</w:t>
      </w:r>
      <w:r>
        <w:rPr>
          <w:spacing w:val="-4"/>
        </w:rPr>
        <w:t> </w:t>
      </w:r>
      <w:r>
        <w:rPr/>
        <w:t>a</w:t>
      </w:r>
      <w:r>
        <w:rPr>
          <w:spacing w:val="-1"/>
        </w:rPr>
        <w:t> </w:t>
      </w:r>
      <w:r>
        <w:rPr/>
        <w:t>usar</w:t>
      </w:r>
      <w:r>
        <w:rPr>
          <w:spacing w:val="-2"/>
        </w:rPr>
        <w:t> </w:t>
      </w:r>
      <w:r>
        <w:rPr/>
        <w:t>herramienta</w:t>
      </w:r>
      <w:r>
        <w:rPr>
          <w:spacing w:val="-3"/>
        </w:rPr>
        <w:t> </w:t>
      </w:r>
      <w:r>
        <w:rPr/>
        <w:t>propia.</w:t>
      </w:r>
      <w:r>
        <w:rPr>
          <w:spacing w:val="-1"/>
        </w:rPr>
        <w:t> </w:t>
      </w:r>
      <w:r>
        <w:rPr/>
        <w:t>El</w:t>
      </w:r>
      <w:r>
        <w:rPr>
          <w:spacing w:val="-1"/>
        </w:rPr>
        <w:t> </w:t>
      </w:r>
      <w:r>
        <w:rPr/>
        <w:t>patrón</w:t>
      </w:r>
      <w:r>
        <w:rPr>
          <w:spacing w:val="-3"/>
        </w:rPr>
        <w:t> </w:t>
      </w:r>
      <w:r>
        <w:rPr/>
        <w:t>no</w:t>
      </w:r>
      <w:r>
        <w:rPr>
          <w:spacing w:val="-1"/>
        </w:rPr>
        <w:t> </w:t>
      </w:r>
      <w:r>
        <w:rPr/>
        <w:t>podrá exigir</w:t>
      </w:r>
      <w:r>
        <w:rPr>
          <w:spacing w:val="-2"/>
        </w:rPr>
        <w:t> </w:t>
      </w:r>
      <w:r>
        <w:rPr/>
        <w:t>indemnización</w:t>
      </w:r>
      <w:r>
        <w:rPr>
          <w:spacing w:val="-1"/>
        </w:rPr>
        <w:t> </w:t>
      </w:r>
      <w:r>
        <w:rPr/>
        <w:t>alguna</w:t>
      </w:r>
      <w:r>
        <w:rPr>
          <w:spacing w:val="-1"/>
        </w:rPr>
        <w:t> </w:t>
      </w:r>
      <w:r>
        <w:rPr/>
        <w:t>por el desgaste natural que sufran los útiles, instrumentos y materiales de trabajo;</w:t>
      </w:r>
    </w:p>
    <w:p>
      <w:pPr>
        <w:pStyle w:val="BodyText"/>
      </w:pPr>
    </w:p>
    <w:p>
      <w:pPr>
        <w:pStyle w:val="BodyText"/>
        <w:spacing w:line="242" w:lineRule="auto"/>
        <w:ind w:left="1478" w:right="335" w:hanging="852"/>
        <w:jc w:val="both"/>
      </w:pPr>
      <w:r>
        <w:rPr>
          <w:rFonts w:ascii="Arial" w:hAnsi="Arial"/>
          <w:b/>
        </w:rPr>
        <w:t>IV.-</w:t>
      </w:r>
      <w:r>
        <w:rPr>
          <w:rFonts w:ascii="Arial" w:hAnsi="Arial"/>
          <w:b/>
          <w:spacing w:val="80"/>
        </w:rPr>
        <w:t>  </w:t>
      </w:r>
      <w:r>
        <w:rPr/>
        <w:t>Proporcionar</w:t>
      </w:r>
      <w:r>
        <w:rPr>
          <w:spacing w:val="40"/>
        </w:rPr>
        <w:t> </w:t>
      </w:r>
      <w:r>
        <w:rPr/>
        <w:t>local</w:t>
      </w:r>
      <w:r>
        <w:rPr>
          <w:spacing w:val="40"/>
        </w:rPr>
        <w:t> </w:t>
      </w:r>
      <w:r>
        <w:rPr/>
        <w:t>seguro</w:t>
      </w:r>
      <w:r>
        <w:rPr>
          <w:spacing w:val="40"/>
        </w:rPr>
        <w:t> </w:t>
      </w:r>
      <w:r>
        <w:rPr/>
        <w:t>para</w:t>
      </w:r>
      <w:r>
        <w:rPr>
          <w:spacing w:val="40"/>
        </w:rPr>
        <w:t> </w:t>
      </w:r>
      <w:r>
        <w:rPr/>
        <w:t>la</w:t>
      </w:r>
      <w:r>
        <w:rPr>
          <w:spacing w:val="40"/>
        </w:rPr>
        <w:t> </w:t>
      </w:r>
      <w:r>
        <w:rPr/>
        <w:t>guarda</w:t>
      </w:r>
      <w:r>
        <w:rPr>
          <w:spacing w:val="40"/>
        </w:rPr>
        <w:t> </w:t>
      </w:r>
      <w:r>
        <w:rPr/>
        <w:t>de</w:t>
      </w:r>
      <w:r>
        <w:rPr>
          <w:spacing w:val="40"/>
        </w:rPr>
        <w:t> </w:t>
      </w:r>
      <w:r>
        <w:rPr/>
        <w:t>los</w:t>
      </w:r>
      <w:r>
        <w:rPr>
          <w:spacing w:val="40"/>
        </w:rPr>
        <w:t> </w:t>
      </w:r>
      <w:r>
        <w:rPr/>
        <w:t>instrumentos</w:t>
      </w:r>
      <w:r>
        <w:rPr>
          <w:spacing w:val="40"/>
        </w:rPr>
        <w:t> </w:t>
      </w:r>
      <w:r>
        <w:rPr/>
        <w:t>y</w:t>
      </w:r>
      <w:r>
        <w:rPr>
          <w:spacing w:val="40"/>
        </w:rPr>
        <w:t> </w:t>
      </w:r>
      <w:r>
        <w:rPr/>
        <w:t>útiles</w:t>
      </w:r>
      <w:r>
        <w:rPr>
          <w:spacing w:val="40"/>
        </w:rPr>
        <w:t> </w:t>
      </w:r>
      <w:r>
        <w:rPr/>
        <w:t>de</w:t>
      </w:r>
      <w:r>
        <w:rPr>
          <w:spacing w:val="40"/>
        </w:rPr>
        <w:t> </w:t>
      </w:r>
      <w:r>
        <w:rPr/>
        <w:t>trabajo pertenecientes al trabajador, siempre que deban permanecer en el lugar en que prestan los servicios, sin que sea lícito al patrón retenerlos a título de indemnización, garantía o</w:t>
      </w:r>
      <w:r>
        <w:rPr>
          <w:spacing w:val="40"/>
        </w:rPr>
        <w:t> </w:t>
      </w:r>
      <w:r>
        <w:rPr/>
        <w:t>cualquier otro. El registro de instrumentos o útiles de trabajo deberá hacerse siempre que el trabajador lo solicite;</w:t>
      </w:r>
    </w:p>
    <w:p>
      <w:pPr>
        <w:pStyle w:val="BodyText"/>
        <w:tabs>
          <w:tab w:pos="1478" w:val="left" w:leader="none"/>
        </w:tabs>
        <w:spacing w:before="219"/>
        <w:ind w:left="1478" w:right="336" w:hanging="852"/>
        <w:jc w:val="both"/>
      </w:pPr>
      <w:r>
        <w:rPr>
          <w:rFonts w:ascii="Arial" w:hAnsi="Arial"/>
          <w:b/>
          <w:spacing w:val="-4"/>
        </w:rPr>
        <w:t>V.-</w:t>
      </w:r>
      <w:r>
        <w:rPr>
          <w:rFonts w:ascii="Arial" w:hAnsi="Arial"/>
          <w:b/>
        </w:rPr>
        <w:tab/>
      </w:r>
      <w:r>
        <w:rPr/>
        <w:t>Proveer el número suficiente de asientos o sillas con respaldo a disposición de todas las personas trabajadoras en los sectores de servicios, comercio y centros de trabajo análogos, para la ejecución de sus funciones o para el descanso periódico durante la jornada laboral. En el caso de descansos periódicos, los asientos o sillas con respaldo deberán estar ubicados en áreas específicas que para tal efecto se designen en las mismas instalaciones del lugar de trabajo. La misma disposición se observará en los establecimientos industriales cuando lo permita la naturaleza del trabajo;</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19-12-</w:t>
      </w:r>
      <w:r>
        <w:rPr>
          <w:rFonts w:ascii="Times New Roman" w:hAnsi="Times New Roman"/>
          <w:i/>
          <w:color w:val="0000FF"/>
          <w:spacing w:val="-4"/>
          <w:sz w:val="16"/>
        </w:rPr>
        <w:t>2024</w:t>
      </w:r>
    </w:p>
    <w:p>
      <w:pPr>
        <w:spacing w:after="0"/>
        <w:jc w:val="righ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BodyText"/>
        <w:spacing w:line="242" w:lineRule="auto"/>
        <w:ind w:left="1478" w:right="348" w:hanging="852"/>
        <w:jc w:val="both"/>
      </w:pPr>
      <w:r>
        <w:rPr>
          <w:rFonts w:ascii="Arial" w:hAnsi="Arial"/>
          <w:b/>
        </w:rPr>
        <w:t>VI.-</w:t>
      </w:r>
      <w:r>
        <w:rPr>
          <w:rFonts w:ascii="Arial" w:hAnsi="Arial"/>
          <w:b/>
          <w:spacing w:val="80"/>
        </w:rPr>
        <w:t>   </w:t>
      </w:r>
      <w:r>
        <w:rPr/>
        <w:t>Guardar</w:t>
      </w:r>
      <w:r>
        <w:rPr>
          <w:spacing w:val="-1"/>
        </w:rPr>
        <w:t> </w:t>
      </w:r>
      <w:r>
        <w:rPr/>
        <w:t>a los</w:t>
      </w:r>
      <w:r>
        <w:rPr>
          <w:spacing w:val="-1"/>
        </w:rPr>
        <w:t> </w:t>
      </w:r>
      <w:r>
        <w:rPr/>
        <w:t>trabajadores la debida consideración, absteniéndose de mal</w:t>
      </w:r>
      <w:r>
        <w:rPr>
          <w:spacing w:val="-3"/>
        </w:rPr>
        <w:t> </w:t>
      </w:r>
      <w:r>
        <w:rPr/>
        <w:t>trato de</w:t>
      </w:r>
      <w:r>
        <w:rPr>
          <w:spacing w:val="-2"/>
        </w:rPr>
        <w:t> </w:t>
      </w:r>
      <w:r>
        <w:rPr/>
        <w:t>palabra</w:t>
      </w:r>
      <w:r>
        <w:rPr>
          <w:spacing w:val="-2"/>
        </w:rPr>
        <w:t> </w:t>
      </w:r>
      <w:r>
        <w:rPr/>
        <w:t>o de obra;</w:t>
      </w:r>
    </w:p>
    <w:p>
      <w:pPr>
        <w:pStyle w:val="BodyText"/>
        <w:spacing w:line="242" w:lineRule="auto" w:before="227"/>
        <w:ind w:left="1478" w:right="340" w:hanging="852"/>
        <w:jc w:val="both"/>
      </w:pPr>
      <w:r>
        <w:rPr>
          <w:rFonts w:ascii="Arial" w:hAnsi="Arial"/>
          <w:b/>
        </w:rPr>
        <w:t>VII.-</w:t>
      </w:r>
      <w:r>
        <w:rPr>
          <w:rFonts w:ascii="Arial" w:hAnsi="Arial"/>
          <w:b/>
          <w:spacing w:val="80"/>
        </w:rPr>
        <w:t>   </w:t>
      </w:r>
      <w:r>
        <w:rPr/>
        <w:t>Expedir cada quince días, a solicitud de los trabajadores, una constancia escrita del número de días trabajados y del salario percibido;</w:t>
      </w:r>
    </w:p>
    <w:p>
      <w:pPr>
        <w:pStyle w:val="BodyText"/>
        <w:spacing w:line="242" w:lineRule="auto" w:before="224"/>
        <w:ind w:left="1478" w:right="344" w:hanging="852"/>
        <w:jc w:val="both"/>
      </w:pPr>
      <w:r>
        <w:rPr>
          <w:rFonts w:ascii="Arial" w:hAnsi="Arial"/>
          <w:b/>
        </w:rPr>
        <w:t>VIII.-</w:t>
      </w:r>
      <w:r>
        <w:rPr>
          <w:rFonts w:ascii="Arial" w:hAnsi="Arial"/>
          <w:b/>
          <w:spacing w:val="80"/>
          <w:w w:val="150"/>
        </w:rPr>
        <w:t>  </w:t>
      </w:r>
      <w:r>
        <w:rPr/>
        <w:t>Expedir al trabajador que lo solicite o se separe de la empresa, dentro del término de tres días, una constancia escrita relativa a sus servicios;</w:t>
      </w:r>
    </w:p>
    <w:p>
      <w:pPr>
        <w:pStyle w:val="BodyText"/>
        <w:spacing w:before="226"/>
        <w:ind w:left="1478" w:right="335" w:hanging="852"/>
        <w:jc w:val="both"/>
      </w:pPr>
      <w:r>
        <w:rPr>
          <w:rFonts w:ascii="Arial" w:hAnsi="Arial"/>
          <w:b/>
        </w:rPr>
        <w:t>IX.-</w:t>
      </w:r>
      <w:r>
        <w:rPr>
          <w:rFonts w:ascii="Arial" w:hAnsi="Arial"/>
          <w:b/>
          <w:spacing w:val="80"/>
        </w:rPr>
        <w:t>  </w:t>
      </w:r>
      <w:r>
        <w:rPr/>
        <w:t>Conceder a los trabajadores el tiempo necesario para el ejercicio del voto en las elecciones populares, los procesos de revocación de mandato y para el cumplimiento de los servicios</w:t>
      </w:r>
      <w:r>
        <w:rPr>
          <w:spacing w:val="40"/>
        </w:rPr>
        <w:t> </w:t>
      </w:r>
      <w:r>
        <w:rPr/>
        <w:t>de</w:t>
      </w:r>
      <w:r>
        <w:rPr>
          <w:spacing w:val="-3"/>
        </w:rPr>
        <w:t> </w:t>
      </w:r>
      <w:r>
        <w:rPr/>
        <w:t>jurados,</w:t>
      </w:r>
      <w:r>
        <w:rPr>
          <w:spacing w:val="-2"/>
        </w:rPr>
        <w:t> </w:t>
      </w:r>
      <w:r>
        <w:rPr/>
        <w:t>electorales y</w:t>
      </w:r>
      <w:r>
        <w:rPr>
          <w:spacing w:val="-7"/>
        </w:rPr>
        <w:t> </w:t>
      </w:r>
      <w:r>
        <w:rPr/>
        <w:t>censales,</w:t>
      </w:r>
      <w:r>
        <w:rPr>
          <w:spacing w:val="-2"/>
        </w:rPr>
        <w:t> </w:t>
      </w:r>
      <w:r>
        <w:rPr/>
        <w:t>a que</w:t>
      </w:r>
      <w:r>
        <w:rPr>
          <w:spacing w:val="-2"/>
        </w:rPr>
        <w:t> </w:t>
      </w:r>
      <w:r>
        <w:rPr/>
        <w:t>se</w:t>
      </w:r>
      <w:r>
        <w:rPr>
          <w:spacing w:val="-2"/>
        </w:rPr>
        <w:t> </w:t>
      </w:r>
      <w:r>
        <w:rPr/>
        <w:t>refiere</w:t>
      </w:r>
      <w:r>
        <w:rPr>
          <w:spacing w:val="-2"/>
        </w:rPr>
        <w:t> </w:t>
      </w:r>
      <w:r>
        <w:rPr/>
        <w:t>el artículo 5o.,</w:t>
      </w:r>
      <w:r>
        <w:rPr>
          <w:spacing w:val="-2"/>
        </w:rPr>
        <w:t> </w:t>
      </w:r>
      <w:r>
        <w:rPr/>
        <w:t>de</w:t>
      </w:r>
      <w:r>
        <w:rPr>
          <w:spacing w:val="-2"/>
        </w:rPr>
        <w:t> </w:t>
      </w:r>
      <w:r>
        <w:rPr/>
        <w:t>la Constitución,</w:t>
      </w:r>
      <w:r>
        <w:rPr>
          <w:spacing w:val="-2"/>
        </w:rPr>
        <w:t> </w:t>
      </w:r>
      <w:r>
        <w:rPr/>
        <w:t>cuando esas actividades deban cumplirse dentro de sus horas de trabajo;</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8"/>
        <w:rPr>
          <w:rFonts w:ascii="Times New Roman"/>
          <w:i/>
          <w:sz w:val="16"/>
        </w:rPr>
      </w:pPr>
    </w:p>
    <w:p>
      <w:pPr>
        <w:pStyle w:val="BodyText"/>
        <w:tabs>
          <w:tab w:pos="1478" w:val="left" w:leader="none"/>
        </w:tabs>
        <w:ind w:left="1478" w:right="336" w:hanging="852"/>
        <w:jc w:val="both"/>
      </w:pPr>
      <w:r>
        <w:rPr>
          <w:rFonts w:ascii="Arial" w:hAnsi="Arial"/>
          <w:b/>
          <w:spacing w:val="-4"/>
        </w:rPr>
        <w:t>X.-</w:t>
      </w:r>
      <w:r>
        <w:rPr>
          <w:rFonts w:ascii="Arial" w:hAnsi="Arial"/>
          <w:b/>
        </w:rPr>
        <w:tab/>
      </w:r>
      <w:r>
        <w:rPr/>
        <w:t>Permitir a los trabajadores faltar a su trabajo para desempeñar una comisión accidental o permanente de su sindicato o del Estado, siempre que avisen con la oportunidad debida y que el número de trabajadores comisionados no sea tal que perjudique la buena marcha del establecimiento. El tiempo perdido podrá descontarse al trabajador a no ser que lo</w:t>
      </w:r>
      <w:r>
        <w:rPr>
          <w:spacing w:val="40"/>
        </w:rPr>
        <w:t> </w:t>
      </w:r>
      <w:r>
        <w:rPr/>
        <w:t>compense con un tiempo igual de trabajo efectivo. Cuando la comisión sea de carácter permanente, el trabajador o trabajadores podrán volver al puesto que ocupaban, conservando</w:t>
      </w:r>
      <w:r>
        <w:rPr>
          <w:spacing w:val="-2"/>
        </w:rPr>
        <w:t> </w:t>
      </w:r>
      <w:r>
        <w:rPr/>
        <w:t>todos</w:t>
      </w:r>
      <w:r>
        <w:rPr>
          <w:spacing w:val="-1"/>
        </w:rPr>
        <w:t> </w:t>
      </w:r>
      <w:r>
        <w:rPr/>
        <w:t>sus</w:t>
      </w:r>
      <w:r>
        <w:rPr>
          <w:spacing w:val="-1"/>
        </w:rPr>
        <w:t> </w:t>
      </w:r>
      <w:r>
        <w:rPr/>
        <w:t>derechos,</w:t>
      </w:r>
      <w:r>
        <w:rPr>
          <w:spacing w:val="-2"/>
        </w:rPr>
        <w:t> </w:t>
      </w:r>
      <w:r>
        <w:rPr/>
        <w:t>siempre y</w:t>
      </w:r>
      <w:r>
        <w:rPr>
          <w:spacing w:val="-5"/>
        </w:rPr>
        <w:t> </w:t>
      </w:r>
      <w:r>
        <w:rPr/>
        <w:t>cuando</w:t>
      </w:r>
      <w:r>
        <w:rPr>
          <w:spacing w:val="-3"/>
        </w:rPr>
        <w:t> </w:t>
      </w:r>
      <w:r>
        <w:rPr/>
        <w:t>regresen a</w:t>
      </w:r>
      <w:r>
        <w:rPr>
          <w:spacing w:val="-2"/>
        </w:rPr>
        <w:t> </w:t>
      </w:r>
      <w:r>
        <w:rPr/>
        <w:t>su</w:t>
      </w:r>
      <w:r>
        <w:rPr>
          <w:spacing w:val="-2"/>
        </w:rPr>
        <w:t> </w:t>
      </w:r>
      <w:r>
        <w:rPr/>
        <w:t>trabajo dentro del</w:t>
      </w:r>
      <w:r>
        <w:rPr>
          <w:spacing w:val="-3"/>
        </w:rPr>
        <w:t> </w:t>
      </w:r>
      <w:r>
        <w:rPr/>
        <w:t>término de seis años. Los substitutos tendrán el carácter de interinos, considerándolos como de planta después de seis años;</w:t>
      </w:r>
    </w:p>
    <w:p>
      <w:pPr>
        <w:pStyle w:val="BodyText"/>
        <w:spacing w:line="242" w:lineRule="auto" w:before="229"/>
        <w:ind w:left="1478" w:right="338" w:hanging="852"/>
        <w:jc w:val="both"/>
      </w:pPr>
      <w:r>
        <w:rPr>
          <w:rFonts w:ascii="Arial" w:hAnsi="Arial"/>
          <w:b/>
        </w:rPr>
        <w:t>XI.-</w:t>
      </w:r>
      <w:r>
        <w:rPr>
          <w:rFonts w:ascii="Arial" w:hAnsi="Arial"/>
          <w:b/>
          <w:spacing w:val="80"/>
        </w:rPr>
        <w:t>  </w:t>
      </w:r>
      <w:r>
        <w:rPr/>
        <w:t>Poner en conocimiento del sindicato titular del contrato colectivo y de los trabajadores de la categoría inmediata inferior, los puestos de nueva creación, las vacantes definitivas y las temporales que deban cubrirse;</w:t>
      </w:r>
    </w:p>
    <w:p>
      <w:pPr>
        <w:pStyle w:val="BodyText"/>
        <w:spacing w:line="242" w:lineRule="auto" w:before="223"/>
        <w:ind w:left="1478" w:right="345" w:hanging="852"/>
        <w:jc w:val="both"/>
      </w:pPr>
      <w:r>
        <w:rPr>
          <w:rFonts w:ascii="Arial" w:hAnsi="Arial"/>
          <w:b/>
        </w:rPr>
        <w:t>XII.-</w:t>
      </w:r>
      <w:r>
        <w:rPr>
          <w:rFonts w:ascii="Arial" w:hAnsi="Arial"/>
          <w:b/>
          <w:spacing w:val="40"/>
        </w:rPr>
        <w:t>  </w:t>
      </w:r>
      <w:r>
        <w:rPr/>
        <w:t>Establecer y sostener las escuelas Artículo 123 Constitucional, de conformidad con lo que dispongan las leyes y la Secretaría de Educación Pública;</w:t>
      </w:r>
    </w:p>
    <w:p>
      <w:pPr>
        <w:pStyle w:val="BodyText"/>
        <w:spacing w:line="242" w:lineRule="auto" w:before="227"/>
        <w:ind w:left="1478" w:right="336" w:hanging="852"/>
        <w:jc w:val="both"/>
      </w:pPr>
      <w:r>
        <w:rPr>
          <w:rFonts w:ascii="Arial" w:hAnsi="Arial"/>
          <w:b/>
        </w:rPr>
        <w:t>XIII.-</w:t>
      </w:r>
      <w:r>
        <w:rPr>
          <w:rFonts w:ascii="Arial" w:hAnsi="Arial"/>
          <w:b/>
          <w:spacing w:val="40"/>
        </w:rPr>
        <w:t>  </w:t>
      </w:r>
      <w:r>
        <w:rPr/>
        <w:t>Colaborar con las Autoridades del Trabajo y de Educación, de conformidad con las leyes y reglamentos, a fin de lograr la alfabetización de los trabajadores;</w:t>
      </w:r>
    </w:p>
    <w:p>
      <w:pPr>
        <w:pStyle w:val="BodyText"/>
        <w:spacing w:before="224"/>
        <w:ind w:left="1478" w:right="335" w:hanging="852"/>
        <w:jc w:val="both"/>
      </w:pPr>
      <w:r>
        <w:rPr>
          <w:rFonts w:ascii="Arial" w:hAnsi="Arial"/>
          <w:b/>
        </w:rPr>
        <w:t>XIV.-</w:t>
      </w:r>
      <w:r>
        <w:rPr>
          <w:rFonts w:ascii="Arial" w:hAnsi="Arial"/>
          <w:b/>
          <w:spacing w:val="80"/>
        </w:rPr>
        <w:t>  </w:t>
      </w:r>
      <w:r>
        <w:rPr/>
        <w:t>Hacer por su cuenta, cuando empleen más de cien y menos de mil trabajadores, los gastos indispensables para sostener en forma decorosa los estudios técnicos, industriales o prácticos, en centros especiales, nacionales o extranjeros, de uno de sus trabajadores o de uno de los hijos de éstos, designado en atención a sus aptitudes, cualidades y dedicación, por los mismos trabajadores y el patrón. Cuando tengan a su servicio más de mil trabajadores deberán sostener tres becarios en las condiciones señaladas. El patrón sólo podrá cancelar la beca cuando sea reprobado el becario en el curso de un año o cuando observe mala conducta; pero en esos casos será substituido por otro. Los becarios que hayan terminado sus estudios deberán prestar sus servicios al patrón que los hubiese becado, durante un año, por lo menos;</w:t>
      </w:r>
    </w:p>
    <w:p>
      <w:pPr>
        <w:pStyle w:val="BodyText"/>
      </w:pPr>
    </w:p>
    <w:p>
      <w:pPr>
        <w:pStyle w:val="BodyText"/>
        <w:spacing w:line="242" w:lineRule="auto"/>
        <w:ind w:left="1478" w:right="337" w:hanging="852"/>
        <w:jc w:val="both"/>
      </w:pPr>
      <w:r>
        <w:rPr>
          <w:rFonts w:ascii="Arial" w:hAnsi="Arial"/>
          <w:b/>
        </w:rPr>
        <w:t>XV.-</w:t>
      </w:r>
      <w:r>
        <w:rPr>
          <w:rFonts w:ascii="Arial" w:hAnsi="Arial"/>
          <w:b/>
          <w:spacing w:val="80"/>
        </w:rPr>
        <w:t>   </w:t>
      </w:r>
      <w:r>
        <w:rPr/>
        <w:t>Proporcionar capacitación y adiestramiento a sus trabajadores, en los términos del Capítulo</w:t>
      </w:r>
      <w:r>
        <w:rPr>
          <w:spacing w:val="40"/>
        </w:rPr>
        <w:t> </w:t>
      </w:r>
      <w:r>
        <w:rPr/>
        <w:t>III Bis de este Título.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5"/>
        <w:rPr>
          <w:rFonts w:ascii="Times New Roman"/>
          <w:i/>
          <w:sz w:val="16"/>
        </w:rPr>
      </w:pPr>
    </w:p>
    <w:p>
      <w:pPr>
        <w:pStyle w:val="ListParagraph"/>
        <w:numPr>
          <w:ilvl w:val="0"/>
          <w:numId w:val="28"/>
        </w:numPr>
        <w:tabs>
          <w:tab w:pos="1476" w:val="left" w:leader="none"/>
          <w:tab w:pos="1478" w:val="left" w:leader="none"/>
        </w:tabs>
        <w:spacing w:line="242" w:lineRule="auto" w:before="0" w:after="0"/>
        <w:ind w:left="1478" w:right="337" w:hanging="852"/>
        <w:jc w:val="both"/>
        <w:rPr>
          <w:sz w:val="20"/>
        </w:rPr>
      </w:pPr>
      <w:r>
        <w:rPr>
          <w:sz w:val="20"/>
        </w:rPr>
        <w:t>Instalar y operar las fábricas, talleres, oficinas, locales y demás lugares en que deban ejecutarse las labores, de acuerdo con las disposiciones establecidas en el reglamento y las normas oficiales mexicanas en materia de seguridad, salud y medio ambiente de trabajo, a</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BodyText"/>
        <w:ind w:left="1478"/>
      </w:pPr>
      <w:r>
        <w:rPr/>
        <w:t>efecto</w:t>
      </w:r>
      <w:r>
        <w:rPr>
          <w:spacing w:val="37"/>
        </w:rPr>
        <w:t> </w:t>
      </w:r>
      <w:r>
        <w:rPr/>
        <w:t>de</w:t>
      </w:r>
      <w:r>
        <w:rPr>
          <w:spacing w:val="37"/>
        </w:rPr>
        <w:t> </w:t>
      </w:r>
      <w:r>
        <w:rPr/>
        <w:t>prevenir</w:t>
      </w:r>
      <w:r>
        <w:rPr>
          <w:spacing w:val="38"/>
        </w:rPr>
        <w:t> </w:t>
      </w:r>
      <w:r>
        <w:rPr/>
        <w:t>accidentes</w:t>
      </w:r>
      <w:r>
        <w:rPr>
          <w:spacing w:val="40"/>
        </w:rPr>
        <w:t> </w:t>
      </w:r>
      <w:r>
        <w:rPr/>
        <w:t>y</w:t>
      </w:r>
      <w:r>
        <w:rPr>
          <w:spacing w:val="34"/>
        </w:rPr>
        <w:t> </w:t>
      </w:r>
      <w:r>
        <w:rPr/>
        <w:t>enfermedades</w:t>
      </w:r>
      <w:r>
        <w:rPr>
          <w:spacing w:val="38"/>
        </w:rPr>
        <w:t> </w:t>
      </w:r>
      <w:r>
        <w:rPr/>
        <w:t>laborales.</w:t>
      </w:r>
      <w:r>
        <w:rPr>
          <w:spacing w:val="37"/>
        </w:rPr>
        <w:t> </w:t>
      </w:r>
      <w:r>
        <w:rPr/>
        <w:t>Asimismo,</w:t>
      </w:r>
      <w:r>
        <w:rPr>
          <w:spacing w:val="37"/>
        </w:rPr>
        <w:t> </w:t>
      </w:r>
      <w:r>
        <w:rPr/>
        <w:t>deberán</w:t>
      </w:r>
      <w:r>
        <w:rPr>
          <w:spacing w:val="39"/>
        </w:rPr>
        <w:t> </w:t>
      </w:r>
      <w:r>
        <w:rPr/>
        <w:t>adoptar</w:t>
      </w:r>
      <w:r>
        <w:rPr>
          <w:spacing w:val="38"/>
        </w:rPr>
        <w:t> </w:t>
      </w:r>
      <w:r>
        <w:rPr/>
        <w:t>las medidas preventivas y correctivas que determine la autoridad laboral;</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BodyText"/>
        <w:ind w:left="1478" w:hanging="852"/>
      </w:pPr>
      <w:r>
        <w:rPr>
          <w:rFonts w:ascii="Arial" w:hAnsi="Arial"/>
          <w:b/>
        </w:rPr>
        <w:t>XVI</w:t>
      </w:r>
      <w:r>
        <w:rPr>
          <w:rFonts w:ascii="Arial" w:hAnsi="Arial"/>
          <w:b/>
          <w:spacing w:val="-1"/>
        </w:rPr>
        <w:t> </w:t>
      </w:r>
      <w:r>
        <w:rPr>
          <w:rFonts w:ascii="Arial" w:hAnsi="Arial"/>
          <w:b/>
        </w:rPr>
        <w:t>Bis.</w:t>
      </w:r>
      <w:r>
        <w:rPr>
          <w:rFonts w:ascii="Arial" w:hAnsi="Arial"/>
          <w:b/>
          <w:spacing w:val="40"/>
        </w:rPr>
        <w:t> </w:t>
      </w:r>
      <w:r>
        <w:rPr/>
        <w:t>Contar,</w:t>
      </w:r>
      <w:r>
        <w:rPr>
          <w:spacing w:val="36"/>
        </w:rPr>
        <w:t> </w:t>
      </w:r>
      <w:r>
        <w:rPr/>
        <w:t>en</w:t>
      </w:r>
      <w:r>
        <w:rPr>
          <w:spacing w:val="35"/>
        </w:rPr>
        <w:t> </w:t>
      </w:r>
      <w:r>
        <w:rPr/>
        <w:t>los</w:t>
      </w:r>
      <w:r>
        <w:rPr>
          <w:spacing w:val="34"/>
        </w:rPr>
        <w:t> </w:t>
      </w:r>
      <w:r>
        <w:rPr/>
        <w:t>centros</w:t>
      </w:r>
      <w:r>
        <w:rPr>
          <w:spacing w:val="35"/>
        </w:rPr>
        <w:t> </w:t>
      </w:r>
      <w:r>
        <w:rPr/>
        <w:t>de</w:t>
      </w:r>
      <w:r>
        <w:rPr>
          <w:spacing w:val="36"/>
        </w:rPr>
        <w:t> </w:t>
      </w:r>
      <w:r>
        <w:rPr/>
        <w:t>trabajo</w:t>
      </w:r>
      <w:r>
        <w:rPr>
          <w:spacing w:val="36"/>
        </w:rPr>
        <w:t> </w:t>
      </w:r>
      <w:r>
        <w:rPr/>
        <w:t>que</w:t>
      </w:r>
      <w:r>
        <w:rPr>
          <w:spacing w:val="36"/>
        </w:rPr>
        <w:t> </w:t>
      </w:r>
      <w:r>
        <w:rPr/>
        <w:t>tengan</w:t>
      </w:r>
      <w:r>
        <w:rPr>
          <w:spacing w:val="33"/>
        </w:rPr>
        <w:t> </w:t>
      </w:r>
      <w:r>
        <w:rPr/>
        <w:t>más</w:t>
      </w:r>
      <w:r>
        <w:rPr>
          <w:spacing w:val="34"/>
        </w:rPr>
        <w:t> </w:t>
      </w:r>
      <w:r>
        <w:rPr/>
        <w:t>de</w:t>
      </w:r>
      <w:r>
        <w:rPr>
          <w:spacing w:val="33"/>
        </w:rPr>
        <w:t> </w:t>
      </w:r>
      <w:r>
        <w:rPr/>
        <w:t>50</w:t>
      </w:r>
      <w:r>
        <w:rPr>
          <w:spacing w:val="33"/>
        </w:rPr>
        <w:t> </w:t>
      </w:r>
      <w:r>
        <w:rPr/>
        <w:t>trabajadores,</w:t>
      </w:r>
      <w:r>
        <w:rPr>
          <w:spacing w:val="34"/>
        </w:rPr>
        <w:t> </w:t>
      </w:r>
      <w:r>
        <w:rPr/>
        <w:t>con</w:t>
      </w:r>
      <w:r>
        <w:rPr>
          <w:spacing w:val="35"/>
        </w:rPr>
        <w:t> </w:t>
      </w:r>
      <w:r>
        <w:rPr/>
        <w:t>instalaciones adecuadas para el acceso y desarrollo de actividades de las personas con discapacidad;</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28"/>
        </w:numPr>
        <w:tabs>
          <w:tab w:pos="1476" w:val="left" w:leader="none"/>
          <w:tab w:pos="1478" w:val="left" w:leader="none"/>
        </w:tabs>
        <w:spacing w:line="240" w:lineRule="auto" w:before="0" w:after="0"/>
        <w:ind w:left="1478" w:right="333" w:hanging="852"/>
        <w:jc w:val="both"/>
        <w:rPr>
          <w:sz w:val="20"/>
        </w:rPr>
      </w:pPr>
      <w:r>
        <w:rPr>
          <w:sz w:val="20"/>
        </w:rPr>
        <w:t>Cumplir el reglamento y las normas oficiales mexicanas en materia de seguridad, salud y medio ambiente de trabajo, así como disponer en todo tiempo de los medicamentos y materiales de curación indispensables para prestar oportuna y eficazmente los primeros </w:t>
      </w:r>
      <w:r>
        <w:rPr>
          <w:spacing w:val="-2"/>
          <w:sz w:val="20"/>
        </w:rPr>
        <w:t>auxilios;</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ListParagraph"/>
        <w:numPr>
          <w:ilvl w:val="0"/>
          <w:numId w:val="28"/>
        </w:numPr>
        <w:tabs>
          <w:tab w:pos="1476" w:val="left" w:leader="none"/>
          <w:tab w:pos="1478" w:val="left" w:leader="none"/>
        </w:tabs>
        <w:spacing w:line="240" w:lineRule="auto" w:before="0" w:after="0"/>
        <w:ind w:left="1478" w:right="343" w:hanging="852"/>
        <w:jc w:val="both"/>
        <w:rPr>
          <w:sz w:val="20"/>
        </w:rPr>
      </w:pPr>
      <w:r>
        <w:rPr>
          <w:sz w:val="20"/>
        </w:rPr>
        <w:t>Fijar visiblemente y difundir en los lugares donde se preste el trabajo, las disposiciones conducentes de los reglamentos y las normas oficiales mexicanas en materia de seguridad, salud y</w:t>
      </w:r>
      <w:r>
        <w:rPr>
          <w:spacing w:val="-7"/>
          <w:sz w:val="20"/>
        </w:rPr>
        <w:t> </w:t>
      </w:r>
      <w:r>
        <w:rPr>
          <w:sz w:val="20"/>
        </w:rPr>
        <w:t>medio</w:t>
      </w:r>
      <w:r>
        <w:rPr>
          <w:spacing w:val="-2"/>
          <w:sz w:val="20"/>
        </w:rPr>
        <w:t> </w:t>
      </w:r>
      <w:r>
        <w:rPr>
          <w:sz w:val="20"/>
        </w:rPr>
        <w:t>ambiente</w:t>
      </w:r>
      <w:r>
        <w:rPr>
          <w:spacing w:val="-2"/>
          <w:sz w:val="20"/>
        </w:rPr>
        <w:t> </w:t>
      </w:r>
      <w:r>
        <w:rPr>
          <w:sz w:val="20"/>
        </w:rPr>
        <w:t>de</w:t>
      </w:r>
      <w:r>
        <w:rPr>
          <w:spacing w:val="-2"/>
          <w:sz w:val="20"/>
        </w:rPr>
        <w:t> </w:t>
      </w:r>
      <w:r>
        <w:rPr>
          <w:sz w:val="20"/>
        </w:rPr>
        <w:t>trabajo,</w:t>
      </w:r>
      <w:r>
        <w:rPr>
          <w:spacing w:val="-2"/>
          <w:sz w:val="20"/>
        </w:rPr>
        <w:t> </w:t>
      </w:r>
      <w:r>
        <w:rPr>
          <w:sz w:val="20"/>
        </w:rPr>
        <w:t>así</w:t>
      </w:r>
      <w:r>
        <w:rPr>
          <w:spacing w:val="-4"/>
          <w:sz w:val="20"/>
        </w:rPr>
        <w:t> </w:t>
      </w:r>
      <w:r>
        <w:rPr>
          <w:sz w:val="20"/>
        </w:rPr>
        <w:t>como</w:t>
      </w:r>
      <w:r>
        <w:rPr>
          <w:spacing w:val="-4"/>
          <w:sz w:val="20"/>
        </w:rPr>
        <w:t> </w:t>
      </w:r>
      <w:r>
        <w:rPr>
          <w:sz w:val="20"/>
        </w:rPr>
        <w:t>el</w:t>
      </w:r>
      <w:r>
        <w:rPr>
          <w:spacing w:val="-3"/>
          <w:sz w:val="20"/>
        </w:rPr>
        <w:t> </w:t>
      </w:r>
      <w:r>
        <w:rPr>
          <w:sz w:val="20"/>
        </w:rPr>
        <w:t>texto</w:t>
      </w:r>
      <w:r>
        <w:rPr>
          <w:spacing w:val="-4"/>
          <w:sz w:val="20"/>
        </w:rPr>
        <w:t> </w:t>
      </w:r>
      <w:r>
        <w:rPr>
          <w:sz w:val="20"/>
        </w:rPr>
        <w:t>íntegro</w:t>
      </w:r>
      <w:r>
        <w:rPr>
          <w:spacing w:val="-1"/>
          <w:sz w:val="20"/>
        </w:rPr>
        <w:t> </w:t>
      </w:r>
      <w:r>
        <w:rPr>
          <w:sz w:val="20"/>
        </w:rPr>
        <w:t>del</w:t>
      </w:r>
      <w:r>
        <w:rPr>
          <w:spacing w:val="-3"/>
          <w:sz w:val="20"/>
        </w:rPr>
        <w:t> </w:t>
      </w:r>
      <w:r>
        <w:rPr>
          <w:sz w:val="20"/>
        </w:rPr>
        <w:t>o</w:t>
      </w:r>
      <w:r>
        <w:rPr>
          <w:spacing w:val="-2"/>
          <w:sz w:val="20"/>
        </w:rPr>
        <w:t> </w:t>
      </w:r>
      <w:r>
        <w:rPr>
          <w:sz w:val="20"/>
        </w:rPr>
        <w:t>los</w:t>
      </w:r>
      <w:r>
        <w:rPr>
          <w:spacing w:val="-1"/>
          <w:sz w:val="20"/>
        </w:rPr>
        <w:t> </w:t>
      </w:r>
      <w:r>
        <w:rPr>
          <w:sz w:val="20"/>
        </w:rPr>
        <w:t>contratos</w:t>
      </w:r>
      <w:r>
        <w:rPr>
          <w:spacing w:val="-3"/>
          <w:sz w:val="20"/>
        </w:rPr>
        <w:t> </w:t>
      </w:r>
      <w:r>
        <w:rPr>
          <w:sz w:val="20"/>
        </w:rPr>
        <w:t>colectivos</w:t>
      </w:r>
      <w:r>
        <w:rPr>
          <w:spacing w:val="-3"/>
          <w:sz w:val="20"/>
        </w:rPr>
        <w:t> </w:t>
      </w:r>
      <w:r>
        <w:rPr>
          <w:sz w:val="20"/>
        </w:rPr>
        <w:t>de trabajo que rijan en la empresa; asimismo, se deberá difundir a los trabajadores la información sobre los riesgos y peligros a los que están expuestos;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1478" w:right="343" w:hanging="852"/>
        <w:jc w:val="both"/>
      </w:pPr>
      <w:r>
        <w:rPr>
          <w:rFonts w:ascii="Arial" w:hAnsi="Arial"/>
          <w:b/>
        </w:rPr>
        <w:t>XIX.-</w:t>
      </w:r>
      <w:r>
        <w:rPr>
          <w:rFonts w:ascii="Arial" w:hAnsi="Arial"/>
          <w:b/>
          <w:spacing w:val="80"/>
          <w:w w:val="150"/>
        </w:rPr>
        <w:t> </w:t>
      </w:r>
      <w:r>
        <w:rPr/>
        <w:t>Proporcionar a sus trabajadores los medicamentos profilácticos que determine la autoridad sanitaria en los lugares donde existan enfermedades tropicales o endémicas, o cuando exista peligro de epidemia;</w:t>
      </w:r>
    </w:p>
    <w:p>
      <w:pPr>
        <w:pStyle w:val="BodyText"/>
        <w:spacing w:line="242" w:lineRule="auto" w:before="222"/>
        <w:ind w:left="1478" w:right="342" w:hanging="852"/>
        <w:jc w:val="both"/>
      </w:pPr>
      <w:r>
        <w:rPr>
          <w:rFonts w:ascii="Arial" w:hAnsi="Arial"/>
          <w:b/>
        </w:rPr>
        <w:t>XIX</w:t>
      </w:r>
      <w:r>
        <w:rPr>
          <w:rFonts w:ascii="Arial" w:hAnsi="Arial"/>
          <w:b/>
          <w:spacing w:val="-2"/>
        </w:rPr>
        <w:t> </w:t>
      </w:r>
      <w:r>
        <w:rPr>
          <w:rFonts w:ascii="Arial" w:hAnsi="Arial"/>
          <w:b/>
        </w:rPr>
        <w:t>Bis. </w:t>
      </w:r>
      <w:r>
        <w:rPr/>
        <w:t>Cumplir con las disposiciones que en caso de emergencia sanitaria fije la autoridad competente, así como proporcionar a sus trabajadores los elementos que señale dicha autoridad, para prevenir enfermedades en caso de declaratoria de contingencia sanitaria;</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ind w:left="1478" w:right="339" w:hanging="852"/>
        <w:jc w:val="both"/>
      </w:pPr>
      <w:r>
        <w:rPr>
          <w:rFonts w:ascii="Arial" w:hAnsi="Arial"/>
          <w:b/>
        </w:rPr>
        <w:t>XX.-</w:t>
      </w:r>
      <w:r>
        <w:rPr>
          <w:rFonts w:ascii="Arial" w:hAnsi="Arial"/>
          <w:b/>
          <w:spacing w:val="80"/>
        </w:rPr>
        <w:t>  </w:t>
      </w:r>
      <w:r>
        <w:rPr/>
        <w:t>Reservar, cuando la población fija de un centro rural de trabajo exceda de doscientos habitantes, un espacio de terreno no menor de cinco mil metros cuadrados para el establecimiento de mercados públicos, edificios para los servicios municipales y centros recreativos, siempre que dicho centro de trabajo esté a una distancia no menor de cinco kilómetros de la población más próxima;</w:t>
      </w:r>
    </w:p>
    <w:p>
      <w:pPr>
        <w:pStyle w:val="BodyText"/>
      </w:pPr>
    </w:p>
    <w:p>
      <w:pPr>
        <w:pStyle w:val="BodyText"/>
        <w:spacing w:line="242" w:lineRule="auto" w:before="1"/>
        <w:ind w:left="1478" w:right="337" w:hanging="852"/>
        <w:jc w:val="both"/>
      </w:pPr>
      <w:r>
        <w:rPr>
          <w:rFonts w:ascii="Arial" w:hAnsi="Arial"/>
          <w:b/>
        </w:rPr>
        <w:t>XXI.-</w:t>
      </w:r>
      <w:r>
        <w:rPr>
          <w:rFonts w:ascii="Arial" w:hAnsi="Arial"/>
          <w:b/>
          <w:spacing w:val="80"/>
        </w:rPr>
        <w:t>  </w:t>
      </w:r>
      <w:r>
        <w:rPr/>
        <w:t>Proporcionar</w:t>
      </w:r>
      <w:r>
        <w:rPr>
          <w:spacing w:val="-1"/>
        </w:rPr>
        <w:t> </w:t>
      </w:r>
      <w:r>
        <w:rPr/>
        <w:t>a los</w:t>
      </w:r>
      <w:r>
        <w:rPr>
          <w:spacing w:val="-1"/>
        </w:rPr>
        <w:t> </w:t>
      </w:r>
      <w:r>
        <w:rPr/>
        <w:t>sindicatos,</w:t>
      </w:r>
      <w:r>
        <w:rPr>
          <w:spacing w:val="-2"/>
        </w:rPr>
        <w:t> </w:t>
      </w:r>
      <w:r>
        <w:rPr/>
        <w:t>si</w:t>
      </w:r>
      <w:r>
        <w:rPr>
          <w:spacing w:val="-3"/>
        </w:rPr>
        <w:t> </w:t>
      </w:r>
      <w:r>
        <w:rPr/>
        <w:t>lo</w:t>
      </w:r>
      <w:r>
        <w:rPr>
          <w:spacing w:val="-2"/>
        </w:rPr>
        <w:t> </w:t>
      </w:r>
      <w:r>
        <w:rPr/>
        <w:t>solicitan,</w:t>
      </w:r>
      <w:r>
        <w:rPr>
          <w:spacing w:val="-2"/>
        </w:rPr>
        <w:t> </w:t>
      </w:r>
      <w:r>
        <w:rPr/>
        <w:t>en</w:t>
      </w:r>
      <w:r>
        <w:rPr>
          <w:spacing w:val="-2"/>
        </w:rPr>
        <w:t> </w:t>
      </w:r>
      <w:r>
        <w:rPr/>
        <w:t>los</w:t>
      </w:r>
      <w:r>
        <w:rPr>
          <w:spacing w:val="-1"/>
        </w:rPr>
        <w:t> </w:t>
      </w:r>
      <w:r>
        <w:rPr/>
        <w:t>centros</w:t>
      </w:r>
      <w:r>
        <w:rPr>
          <w:spacing w:val="-1"/>
        </w:rPr>
        <w:t> </w:t>
      </w:r>
      <w:r>
        <w:rPr/>
        <w:t>rurales</w:t>
      </w:r>
      <w:r>
        <w:rPr>
          <w:spacing w:val="-1"/>
        </w:rPr>
        <w:t> </w:t>
      </w:r>
      <w:r>
        <w:rPr/>
        <w:t>de trabajo,</w:t>
      </w:r>
      <w:r>
        <w:rPr>
          <w:spacing w:val="-2"/>
        </w:rPr>
        <w:t> </w:t>
      </w:r>
      <w:r>
        <w:rPr/>
        <w:t>un local</w:t>
      </w:r>
      <w:r>
        <w:rPr>
          <w:spacing w:val="-1"/>
        </w:rPr>
        <w:t> </w:t>
      </w:r>
      <w:r>
        <w:rPr/>
        <w:t>que</w:t>
      </w:r>
      <w:r>
        <w:rPr>
          <w:spacing w:val="-2"/>
        </w:rPr>
        <w:t> </w:t>
      </w:r>
      <w:r>
        <w:rPr/>
        <w:t>se encuentre desocupado para que instalen sus oficinas, cobrando la renta correspondiente. Si no existe local en las condiciones indicadas, se podrá emplear para ese fin cualquiera de los asignados para alojamiento de los trabajadores;</w:t>
      </w:r>
    </w:p>
    <w:p>
      <w:pPr>
        <w:pStyle w:val="BodyText"/>
        <w:spacing w:line="242" w:lineRule="auto" w:before="220"/>
        <w:ind w:left="1478" w:right="347" w:hanging="852"/>
        <w:jc w:val="both"/>
      </w:pPr>
      <w:r>
        <w:rPr>
          <w:rFonts w:ascii="Arial" w:hAnsi="Arial"/>
          <w:b/>
        </w:rPr>
        <w:t>XXII.-</w:t>
      </w:r>
      <w:r>
        <w:rPr>
          <w:rFonts w:ascii="Arial" w:hAnsi="Arial"/>
          <w:b/>
          <w:spacing w:val="40"/>
        </w:rPr>
        <w:t>  </w:t>
      </w:r>
      <w:r>
        <w:rPr/>
        <w:t>Hacer</w:t>
      </w:r>
      <w:r>
        <w:rPr>
          <w:spacing w:val="40"/>
        </w:rPr>
        <w:t> </w:t>
      </w:r>
      <w:r>
        <w:rPr/>
        <w:t>las</w:t>
      </w:r>
      <w:r>
        <w:rPr>
          <w:spacing w:val="40"/>
        </w:rPr>
        <w:t> </w:t>
      </w:r>
      <w:r>
        <w:rPr/>
        <w:t>deducciones</w:t>
      </w:r>
      <w:r>
        <w:rPr>
          <w:spacing w:val="40"/>
        </w:rPr>
        <w:t> </w:t>
      </w:r>
      <w:r>
        <w:rPr/>
        <w:t>que</w:t>
      </w:r>
      <w:r>
        <w:rPr>
          <w:spacing w:val="40"/>
        </w:rPr>
        <w:t> </w:t>
      </w:r>
      <w:r>
        <w:rPr/>
        <w:t>soliciten</w:t>
      </w:r>
      <w:r>
        <w:rPr>
          <w:spacing w:val="40"/>
        </w:rPr>
        <w:t> </w:t>
      </w:r>
      <w:r>
        <w:rPr/>
        <w:t>los</w:t>
      </w:r>
      <w:r>
        <w:rPr>
          <w:spacing w:val="40"/>
        </w:rPr>
        <w:t> </w:t>
      </w:r>
      <w:r>
        <w:rPr/>
        <w:t>sindicatos</w:t>
      </w:r>
      <w:r>
        <w:rPr>
          <w:spacing w:val="40"/>
        </w:rPr>
        <w:t> </w:t>
      </w:r>
      <w:r>
        <w:rPr/>
        <w:t>de</w:t>
      </w:r>
      <w:r>
        <w:rPr>
          <w:spacing w:val="40"/>
        </w:rPr>
        <w:t> </w:t>
      </w:r>
      <w:r>
        <w:rPr/>
        <w:t>las</w:t>
      </w:r>
      <w:r>
        <w:rPr>
          <w:spacing w:val="40"/>
        </w:rPr>
        <w:t> </w:t>
      </w:r>
      <w:r>
        <w:rPr/>
        <w:t>cuotas</w:t>
      </w:r>
      <w:r>
        <w:rPr>
          <w:spacing w:val="40"/>
        </w:rPr>
        <w:t> </w:t>
      </w:r>
      <w:r>
        <w:rPr/>
        <w:t>sindicales</w:t>
      </w:r>
      <w:r>
        <w:rPr>
          <w:spacing w:val="40"/>
        </w:rPr>
        <w:t> </w:t>
      </w:r>
      <w:r>
        <w:rPr/>
        <w:t>ordinarias, siempre que se compruebe que son las previstas en el artículo 110, fracción VI;</w:t>
      </w:r>
    </w:p>
    <w:p>
      <w:pPr>
        <w:pStyle w:val="BodyText"/>
        <w:spacing w:line="242" w:lineRule="auto" w:before="227"/>
        <w:ind w:left="1478" w:right="336" w:hanging="852"/>
        <w:jc w:val="both"/>
      </w:pPr>
      <w:r>
        <w:rPr>
          <w:rFonts w:ascii="Arial" w:hAnsi="Arial"/>
          <w:b/>
        </w:rPr>
        <w:t>XXIII.-</w:t>
      </w:r>
      <w:r>
        <w:rPr>
          <w:rFonts w:ascii="Arial" w:hAnsi="Arial"/>
          <w:b/>
          <w:spacing w:val="80"/>
        </w:rPr>
        <w:t> </w:t>
      </w:r>
      <w:r>
        <w:rPr/>
        <w:t>Hacer las deducciones de las cuotas para la constitución y fomento de sociedades cooperativas y de cajas de ahorro, de conformidad con lo dispuesto en el artículo 110, fracción IV;</w:t>
      </w:r>
    </w:p>
    <w:p>
      <w:pPr>
        <w:pStyle w:val="BodyText"/>
        <w:spacing w:line="242" w:lineRule="auto" w:before="223"/>
        <w:ind w:left="1478" w:right="347" w:hanging="852"/>
        <w:jc w:val="both"/>
      </w:pPr>
      <w:r>
        <w:rPr>
          <w:rFonts w:ascii="Arial" w:hAnsi="Arial"/>
          <w:b/>
        </w:rPr>
        <w:t>XXIII Bis. </w:t>
      </w:r>
      <w:r>
        <w:rPr/>
        <w:t>Hacer las deducciones y pagos correspondientes a las pensiones alimenticias previstas en la</w:t>
      </w:r>
      <w:r>
        <w:rPr>
          <w:spacing w:val="-1"/>
        </w:rPr>
        <w:t> </w:t>
      </w:r>
      <w:r>
        <w:rPr/>
        <w:t>fracción V</w:t>
      </w:r>
      <w:r>
        <w:rPr>
          <w:spacing w:val="-1"/>
        </w:rPr>
        <w:t> </w:t>
      </w:r>
      <w:r>
        <w:rPr/>
        <w:t>del</w:t>
      </w:r>
      <w:r>
        <w:rPr>
          <w:spacing w:val="-2"/>
        </w:rPr>
        <w:t> </w:t>
      </w:r>
      <w:r>
        <w:rPr/>
        <w:t>artículo 110 y</w:t>
      </w:r>
      <w:r>
        <w:rPr>
          <w:spacing w:val="-4"/>
        </w:rPr>
        <w:t> </w:t>
      </w:r>
      <w:r>
        <w:rPr/>
        <w:t>colaborar al</w:t>
      </w:r>
      <w:r>
        <w:rPr>
          <w:spacing w:val="-2"/>
        </w:rPr>
        <w:t> </w:t>
      </w:r>
      <w:r>
        <w:rPr/>
        <w:t>efecto</w:t>
      </w:r>
      <w:r>
        <w:rPr>
          <w:spacing w:val="-2"/>
        </w:rPr>
        <w:t> </w:t>
      </w:r>
      <w:r>
        <w:rPr/>
        <w:t>con la</w:t>
      </w:r>
      <w:r>
        <w:rPr>
          <w:spacing w:val="-1"/>
        </w:rPr>
        <w:t> </w:t>
      </w:r>
      <w:r>
        <w:rPr/>
        <w:t>autoridad</w:t>
      </w:r>
      <w:r>
        <w:rPr>
          <w:spacing w:val="-2"/>
        </w:rPr>
        <w:t> </w:t>
      </w:r>
      <w:r>
        <w:rPr/>
        <w:t>jurisdiccional</w:t>
      </w:r>
      <w:r>
        <w:rPr>
          <w:spacing w:val="-2"/>
        </w:rPr>
        <w:t> </w:t>
      </w:r>
      <w:r>
        <w:rPr/>
        <w:t>competente;</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4"/>
        <w:rPr>
          <w:rFonts w:ascii="Times New Roman"/>
          <w:i/>
          <w:sz w:val="16"/>
        </w:rPr>
      </w:pPr>
    </w:p>
    <w:p>
      <w:pPr>
        <w:pStyle w:val="BodyText"/>
        <w:spacing w:line="242" w:lineRule="auto" w:before="1"/>
        <w:ind w:left="1478" w:right="339" w:hanging="852"/>
        <w:jc w:val="both"/>
      </w:pPr>
      <w:r>
        <w:rPr>
          <w:rFonts w:ascii="Arial" w:hAnsi="Arial"/>
          <w:b/>
        </w:rPr>
        <w:t>XXIV.-</w:t>
      </w:r>
      <w:r>
        <w:rPr>
          <w:rFonts w:ascii="Arial" w:hAnsi="Arial"/>
          <w:b/>
          <w:spacing w:val="40"/>
        </w:rPr>
        <w:t> </w:t>
      </w:r>
      <w:r>
        <w:rPr/>
        <w:t>Permitir la inspección y vigilancia que las autoridades del trabajo practiquen en su establecimiento</w:t>
      </w:r>
      <w:r>
        <w:rPr>
          <w:spacing w:val="35"/>
        </w:rPr>
        <w:t> </w:t>
      </w:r>
      <w:r>
        <w:rPr/>
        <w:t>para</w:t>
      </w:r>
      <w:r>
        <w:rPr>
          <w:spacing w:val="34"/>
        </w:rPr>
        <w:t> </w:t>
      </w:r>
      <w:r>
        <w:rPr/>
        <w:t>cerciorarse</w:t>
      </w:r>
      <w:r>
        <w:rPr>
          <w:spacing w:val="34"/>
        </w:rPr>
        <w:t> </w:t>
      </w:r>
      <w:r>
        <w:rPr/>
        <w:t>del</w:t>
      </w:r>
      <w:r>
        <w:rPr>
          <w:spacing w:val="32"/>
        </w:rPr>
        <w:t> </w:t>
      </w:r>
      <w:r>
        <w:rPr/>
        <w:t>cumplimiento</w:t>
      </w:r>
      <w:r>
        <w:rPr>
          <w:spacing w:val="36"/>
        </w:rPr>
        <w:t> </w:t>
      </w:r>
      <w:r>
        <w:rPr/>
        <w:t>de</w:t>
      </w:r>
      <w:r>
        <w:rPr>
          <w:spacing w:val="34"/>
        </w:rPr>
        <w:t> </w:t>
      </w:r>
      <w:r>
        <w:rPr/>
        <w:t>las</w:t>
      </w:r>
      <w:r>
        <w:rPr>
          <w:spacing w:val="34"/>
        </w:rPr>
        <w:t> </w:t>
      </w:r>
      <w:r>
        <w:rPr/>
        <w:t>normas</w:t>
      </w:r>
      <w:r>
        <w:rPr>
          <w:spacing w:val="35"/>
        </w:rPr>
        <w:t> </w:t>
      </w:r>
      <w:r>
        <w:rPr/>
        <w:t>de</w:t>
      </w:r>
      <w:r>
        <w:rPr>
          <w:spacing w:val="33"/>
        </w:rPr>
        <w:t> </w:t>
      </w:r>
      <w:r>
        <w:rPr/>
        <w:t>trabajo</w:t>
      </w:r>
      <w:r>
        <w:rPr>
          <w:spacing w:val="36"/>
        </w:rPr>
        <w:t> </w:t>
      </w:r>
      <w:r>
        <w:rPr/>
        <w:t>y</w:t>
      </w:r>
      <w:r>
        <w:rPr>
          <w:spacing w:val="32"/>
        </w:rPr>
        <w:t> </w:t>
      </w:r>
      <w:r>
        <w:rPr/>
        <w:t>darles</w:t>
      </w:r>
      <w:r>
        <w:rPr>
          <w:spacing w:val="35"/>
        </w:rPr>
        <w:t> </w:t>
      </w:r>
      <w:r>
        <w:rPr>
          <w:spacing w:val="-5"/>
        </w:rPr>
        <w:t>los</w:t>
      </w:r>
    </w:p>
    <w:p>
      <w:pPr>
        <w:pStyle w:val="BodyText"/>
        <w:spacing w:after="0" w:line="242" w:lineRule="auto"/>
        <w:jc w:val="both"/>
        <w:sectPr>
          <w:pgSz w:w="12240" w:h="15840"/>
          <w:pgMar w:header="724" w:footer="712" w:top="1880" w:bottom="900" w:left="1080" w:right="1080"/>
        </w:sectPr>
      </w:pPr>
    </w:p>
    <w:p>
      <w:pPr>
        <w:pStyle w:val="BodyText"/>
        <w:spacing w:before="65"/>
      </w:pPr>
    </w:p>
    <w:p>
      <w:pPr>
        <w:pStyle w:val="BodyText"/>
        <w:ind w:left="1478" w:right="343"/>
        <w:jc w:val="both"/>
      </w:pPr>
      <w:r>
        <w:rPr/>
        <w:t>informes que a ese efecto sean indispensables, cuando lo soliciten. Los patrones podrán exigir a los inspectores o comisionados que les muestren sus credenciales y les den a conocer las instrucciones que tengan; y</w:t>
      </w:r>
    </w:p>
    <w:p>
      <w:pPr>
        <w:pStyle w:val="BodyText"/>
        <w:spacing w:line="242" w:lineRule="auto" w:before="230"/>
        <w:ind w:left="1478" w:right="339" w:hanging="852"/>
        <w:jc w:val="both"/>
      </w:pPr>
      <w:r>
        <w:rPr>
          <w:rFonts w:ascii="Arial" w:hAnsi="Arial"/>
          <w:b/>
        </w:rPr>
        <w:t>XXV.-</w:t>
      </w:r>
      <w:r>
        <w:rPr>
          <w:rFonts w:ascii="Arial" w:hAnsi="Arial"/>
          <w:b/>
          <w:spacing w:val="80"/>
        </w:rPr>
        <w:t> </w:t>
      </w:r>
      <w:r>
        <w:rPr/>
        <w:t>Contribuir al fomento de las actividades culturales y del deporte entre sus trabajadores y proporcionarles los equipos y útiles indispensables.</w:t>
      </w:r>
    </w:p>
    <w:p>
      <w:pPr>
        <w:pStyle w:val="BodyText"/>
        <w:spacing w:line="242" w:lineRule="auto" w:before="224"/>
        <w:ind w:left="1478" w:right="343" w:hanging="852"/>
        <w:jc w:val="both"/>
      </w:pPr>
      <w:r>
        <w:rPr>
          <w:rFonts w:ascii="Arial" w:hAnsi="Arial"/>
          <w:b/>
        </w:rPr>
        <w:t>XXVI.</w:t>
      </w:r>
      <w:r>
        <w:rPr>
          <w:rFonts w:ascii="Arial" w:hAnsi="Arial"/>
          <w:b/>
          <w:spacing w:val="40"/>
        </w:rPr>
        <w:t>  </w:t>
      </w:r>
      <w:r>
        <w:rPr/>
        <w:t>Hacer las deducciones previstas en las fracciones IV del artículo 97 y VII del artículo 110, enterar los</w:t>
      </w:r>
      <w:r>
        <w:rPr>
          <w:spacing w:val="-1"/>
        </w:rPr>
        <w:t> </w:t>
      </w:r>
      <w:r>
        <w:rPr/>
        <w:t>descuentos en orden de prelación, primero</w:t>
      </w:r>
      <w:r>
        <w:rPr>
          <w:spacing w:val="-4"/>
        </w:rPr>
        <w:t> </w:t>
      </w:r>
      <w:r>
        <w:rPr/>
        <w:t>al</w:t>
      </w:r>
      <w:r>
        <w:rPr>
          <w:spacing w:val="-1"/>
        </w:rPr>
        <w:t> </w:t>
      </w:r>
      <w:r>
        <w:rPr/>
        <w:t>Instituto del</w:t>
      </w:r>
      <w:r>
        <w:rPr>
          <w:spacing w:val="-3"/>
        </w:rPr>
        <w:t> </w:t>
      </w:r>
      <w:r>
        <w:rPr/>
        <w:t>Fondo</w:t>
      </w:r>
      <w:r>
        <w:rPr>
          <w:spacing w:val="-2"/>
        </w:rPr>
        <w:t> </w:t>
      </w:r>
      <w:r>
        <w:rPr/>
        <w:t>Nacional</w:t>
      </w:r>
      <w:r>
        <w:rPr>
          <w:spacing w:val="-3"/>
        </w:rPr>
        <w:t> </w:t>
      </w:r>
      <w:r>
        <w:rPr/>
        <w:t>para el Consumo de los Trabajadores y posterior a las otras instituciones. Esta obligación no convierte al patrón en deudor solidario del crédito que se haya concedido al trabajador;</w:t>
      </w:r>
    </w:p>
    <w:p>
      <w:pPr>
        <w:spacing w:line="17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adicionada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09-01-1974.</w:t>
      </w:r>
      <w:r>
        <w:rPr>
          <w:rFonts w:ascii="Times New Roman" w:hAnsi="Times New Roman"/>
          <w:i/>
          <w:color w:val="0000FF"/>
          <w:spacing w:val="-7"/>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10-01-1974.</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spacing w:line="242" w:lineRule="auto"/>
        <w:ind w:left="1478" w:right="336" w:hanging="852"/>
        <w:jc w:val="both"/>
      </w:pPr>
      <w:r>
        <w:rPr>
          <w:rFonts w:ascii="Arial" w:hAnsi="Arial"/>
          <w:b/>
        </w:rPr>
        <w:t>XXVI Bis. </w:t>
      </w:r>
      <w:r>
        <w:rPr/>
        <w:t>Afiliar al centro de trabajo al Instituto del Fondo Nacional para el Consumo de los Trabajadores, a efecto de que los trabajadores puedan ser sujetos del crédito que proporciona dicha entidad. La afiliación será gratuita para el patrón;</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tabs>
          <w:tab w:pos="1478" w:val="left" w:leader="none"/>
        </w:tabs>
        <w:ind w:left="626"/>
      </w:pPr>
      <w:r>
        <w:rPr>
          <w:rFonts w:ascii="Arial" w:hAnsi="Arial"/>
          <w:b/>
          <w:spacing w:val="-2"/>
        </w:rPr>
        <w:t>XXVII.-</w:t>
      </w:r>
      <w:r>
        <w:rPr>
          <w:rFonts w:ascii="Arial" w:hAnsi="Arial"/>
          <w:b/>
        </w:rPr>
        <w:tab/>
      </w:r>
      <w:r>
        <w:rPr/>
        <w:t>Proporcionar</w:t>
      </w:r>
      <w:r>
        <w:rPr>
          <w:spacing w:val="-6"/>
        </w:rPr>
        <w:t> </w:t>
      </w:r>
      <w:r>
        <w:rPr/>
        <w:t>a</w:t>
      </w:r>
      <w:r>
        <w:rPr>
          <w:spacing w:val="-9"/>
        </w:rPr>
        <w:t> </w:t>
      </w:r>
      <w:r>
        <w:rPr/>
        <w:t>las</w:t>
      </w:r>
      <w:r>
        <w:rPr>
          <w:spacing w:val="-7"/>
        </w:rPr>
        <w:t> </w:t>
      </w:r>
      <w:r>
        <w:rPr/>
        <w:t>mujeres</w:t>
      </w:r>
      <w:r>
        <w:rPr>
          <w:spacing w:val="-10"/>
        </w:rPr>
        <w:t> </w:t>
      </w:r>
      <w:r>
        <w:rPr/>
        <w:t>embarazadas</w:t>
      </w:r>
      <w:r>
        <w:rPr>
          <w:spacing w:val="-5"/>
        </w:rPr>
        <w:t> </w:t>
      </w:r>
      <w:r>
        <w:rPr/>
        <w:t>la</w:t>
      </w:r>
      <w:r>
        <w:rPr>
          <w:spacing w:val="-9"/>
        </w:rPr>
        <w:t> </w:t>
      </w:r>
      <w:r>
        <w:rPr/>
        <w:t>protección</w:t>
      </w:r>
      <w:r>
        <w:rPr>
          <w:spacing w:val="-6"/>
        </w:rPr>
        <w:t> </w:t>
      </w:r>
      <w:r>
        <w:rPr/>
        <w:t>que</w:t>
      </w:r>
      <w:r>
        <w:rPr>
          <w:spacing w:val="-7"/>
        </w:rPr>
        <w:t> </w:t>
      </w:r>
      <w:r>
        <w:rPr/>
        <w:t>establezcan</w:t>
      </w:r>
      <w:r>
        <w:rPr>
          <w:spacing w:val="-8"/>
        </w:rPr>
        <w:t> </w:t>
      </w:r>
      <w:r>
        <w:rPr/>
        <w:t>los</w:t>
      </w:r>
      <w:r>
        <w:rPr>
          <w:spacing w:val="-7"/>
        </w:rPr>
        <w:t> </w:t>
      </w:r>
      <w:r>
        <w:rPr>
          <w:spacing w:val="-2"/>
        </w:rPr>
        <w:t>reglamentos.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rPr>
          <w:rFonts w:ascii="Times New Roman"/>
          <w:i/>
          <w:sz w:val="16"/>
        </w:rPr>
      </w:pPr>
    </w:p>
    <w:p>
      <w:pPr>
        <w:pStyle w:val="BodyText"/>
        <w:spacing w:line="242" w:lineRule="auto"/>
        <w:ind w:left="1478" w:right="344" w:hanging="852"/>
        <w:jc w:val="both"/>
      </w:pPr>
      <w:r>
        <w:rPr>
          <w:rFonts w:ascii="Arial" w:hAnsi="Arial"/>
          <w:b/>
        </w:rPr>
        <w:t>XXVII</w:t>
      </w:r>
      <w:r>
        <w:rPr>
          <w:rFonts w:ascii="Arial" w:hAnsi="Arial"/>
          <w:b/>
          <w:spacing w:val="-2"/>
        </w:rPr>
        <w:t> </w:t>
      </w:r>
      <w:r>
        <w:rPr>
          <w:rFonts w:ascii="Arial" w:hAnsi="Arial"/>
          <w:b/>
        </w:rPr>
        <w:t>Bis.</w:t>
      </w:r>
      <w:r>
        <w:rPr>
          <w:rFonts w:ascii="Arial" w:hAnsi="Arial"/>
          <w:b/>
          <w:spacing w:val="-2"/>
        </w:rPr>
        <w:t> </w:t>
      </w:r>
      <w:r>
        <w:rPr/>
        <w:t>Otorgar</w:t>
      </w:r>
      <w:r>
        <w:rPr>
          <w:spacing w:val="-1"/>
        </w:rPr>
        <w:t> </w:t>
      </w:r>
      <w:r>
        <w:rPr/>
        <w:t>permiso</w:t>
      </w:r>
      <w:r>
        <w:rPr>
          <w:spacing w:val="-2"/>
        </w:rPr>
        <w:t> </w:t>
      </w:r>
      <w:r>
        <w:rPr/>
        <w:t>de</w:t>
      </w:r>
      <w:r>
        <w:rPr>
          <w:spacing w:val="-3"/>
        </w:rPr>
        <w:t> </w:t>
      </w:r>
      <w:r>
        <w:rPr/>
        <w:t>paternidad</w:t>
      </w:r>
      <w:r>
        <w:rPr>
          <w:spacing w:val="-2"/>
        </w:rPr>
        <w:t> </w:t>
      </w:r>
      <w:r>
        <w:rPr/>
        <w:t>de</w:t>
      </w:r>
      <w:r>
        <w:rPr>
          <w:spacing w:val="-3"/>
        </w:rPr>
        <w:t> </w:t>
      </w:r>
      <w:r>
        <w:rPr/>
        <w:t>cinco</w:t>
      </w:r>
      <w:r>
        <w:rPr>
          <w:spacing w:val="-2"/>
        </w:rPr>
        <w:t> </w:t>
      </w:r>
      <w:r>
        <w:rPr/>
        <w:t>días</w:t>
      </w:r>
      <w:r>
        <w:rPr>
          <w:spacing w:val="-1"/>
        </w:rPr>
        <w:t> </w:t>
      </w:r>
      <w:r>
        <w:rPr/>
        <w:t>laborables</w:t>
      </w:r>
      <w:r>
        <w:rPr>
          <w:spacing w:val="-1"/>
        </w:rPr>
        <w:t> </w:t>
      </w:r>
      <w:r>
        <w:rPr/>
        <w:t>con</w:t>
      </w:r>
      <w:r>
        <w:rPr>
          <w:spacing w:val="-3"/>
        </w:rPr>
        <w:t> </w:t>
      </w:r>
      <w:r>
        <w:rPr/>
        <w:t>goce de</w:t>
      </w:r>
      <w:r>
        <w:rPr>
          <w:spacing w:val="-3"/>
        </w:rPr>
        <w:t> </w:t>
      </w:r>
      <w:r>
        <w:rPr/>
        <w:t>sueldo,</w:t>
      </w:r>
      <w:r>
        <w:rPr>
          <w:spacing w:val="-2"/>
        </w:rPr>
        <w:t> </w:t>
      </w:r>
      <w:r>
        <w:rPr/>
        <w:t>a los</w:t>
      </w:r>
      <w:r>
        <w:rPr>
          <w:spacing w:val="-1"/>
        </w:rPr>
        <w:t> </w:t>
      </w:r>
      <w:r>
        <w:rPr/>
        <w:t>hombres trabajadores, por el nacimiento de sus hijos y de igual manera en el caso de la adopción de un infante;</w:t>
      </w:r>
    </w:p>
    <w:p>
      <w:pPr>
        <w:spacing w:line="179" w:lineRule="exact" w:before="0"/>
        <w:ind w:left="52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1478" w:right="347" w:hanging="852"/>
        <w:jc w:val="both"/>
      </w:pPr>
      <w:r>
        <w:rPr>
          <w:rFonts w:ascii="Arial" w:hAnsi="Arial"/>
          <w:b/>
        </w:rPr>
        <w:t>XXVIII.-</w:t>
      </w:r>
      <w:r>
        <w:rPr>
          <w:rFonts w:ascii="Arial" w:hAnsi="Arial"/>
          <w:b/>
          <w:spacing w:val="80"/>
        </w:rPr>
        <w:t> </w:t>
      </w:r>
      <w:r>
        <w:rPr/>
        <w:t>Participar</w:t>
      </w:r>
      <w:r>
        <w:rPr>
          <w:spacing w:val="-1"/>
        </w:rPr>
        <w:t> </w:t>
      </w:r>
      <w:r>
        <w:rPr/>
        <w:t>en</w:t>
      </w:r>
      <w:r>
        <w:rPr>
          <w:spacing w:val="-2"/>
        </w:rPr>
        <w:t> </w:t>
      </w:r>
      <w:r>
        <w:rPr/>
        <w:t>la</w:t>
      </w:r>
      <w:r>
        <w:rPr>
          <w:spacing w:val="-2"/>
        </w:rPr>
        <w:t> </w:t>
      </w:r>
      <w:r>
        <w:rPr/>
        <w:t>integración y</w:t>
      </w:r>
      <w:r>
        <w:rPr>
          <w:spacing w:val="-5"/>
        </w:rPr>
        <w:t> </w:t>
      </w:r>
      <w:r>
        <w:rPr/>
        <w:t>funcionamiento</w:t>
      </w:r>
      <w:r>
        <w:rPr>
          <w:spacing w:val="-2"/>
        </w:rPr>
        <w:t> </w:t>
      </w:r>
      <w:r>
        <w:rPr/>
        <w:t>de</w:t>
      </w:r>
      <w:r>
        <w:rPr>
          <w:spacing w:val="-2"/>
        </w:rPr>
        <w:t> </w:t>
      </w:r>
      <w:r>
        <w:rPr/>
        <w:t>las</w:t>
      </w:r>
      <w:r>
        <w:rPr>
          <w:spacing w:val="-1"/>
        </w:rPr>
        <w:t> </w:t>
      </w:r>
      <w:r>
        <w:rPr/>
        <w:t>Comisiones</w:t>
      </w:r>
      <w:r>
        <w:rPr>
          <w:spacing w:val="-1"/>
        </w:rPr>
        <w:t> </w:t>
      </w:r>
      <w:r>
        <w:rPr/>
        <w:t>que</w:t>
      </w:r>
      <w:r>
        <w:rPr>
          <w:spacing w:val="-2"/>
        </w:rPr>
        <w:t> </w:t>
      </w:r>
      <w:r>
        <w:rPr/>
        <w:t>deban</w:t>
      </w:r>
      <w:r>
        <w:rPr>
          <w:spacing w:val="-2"/>
        </w:rPr>
        <w:t> </w:t>
      </w:r>
      <w:r>
        <w:rPr/>
        <w:t>formarse</w:t>
      </w:r>
      <w:r>
        <w:rPr>
          <w:spacing w:val="-2"/>
        </w:rPr>
        <w:t> </w:t>
      </w:r>
      <w:r>
        <w:rPr/>
        <w:t>en</w:t>
      </w:r>
      <w:r>
        <w:rPr>
          <w:spacing w:val="-3"/>
        </w:rPr>
        <w:t> </w:t>
      </w:r>
      <w:r>
        <w:rPr/>
        <w:t>cada centro de trabajo, de acuerdo con lo establecido por esta Ley, y</w:t>
      </w:r>
    </w:p>
    <w:p>
      <w:pPr>
        <w:spacing w:line="180" w:lineRule="exact" w:before="0"/>
        <w:ind w:left="52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1478" w:right="344" w:hanging="852"/>
        <w:jc w:val="both"/>
      </w:pPr>
      <w:r>
        <w:rPr>
          <w:rFonts w:ascii="Arial" w:hAnsi="Arial"/>
          <w:b/>
        </w:rPr>
        <w:t>XXIX.-</w:t>
      </w:r>
      <w:r>
        <w:rPr>
          <w:rFonts w:ascii="Arial" w:hAnsi="Arial"/>
          <w:b/>
          <w:spacing w:val="80"/>
        </w:rPr>
        <w:t> </w:t>
      </w:r>
      <w:r>
        <w:rPr/>
        <w:t>Otorgar permiso sin goce de sueldo a las y los trabajadores declarados desaparecidos que cuenten con Declaración Especial de Ausencia, en los términos de lo establecido en la legislación especial en la materia.</w:t>
      </w:r>
    </w:p>
    <w:p>
      <w:pPr>
        <w:spacing w:line="178"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1478" w:right="357" w:hanging="852"/>
      </w:pPr>
      <w:r>
        <w:rPr>
          <w:rFonts w:ascii="Arial" w:hAnsi="Arial"/>
          <w:b/>
        </w:rPr>
        <w:t>XXIX Bis.- </w:t>
      </w:r>
      <w:r>
        <w:rPr/>
        <w:t>Otorgar las facilidades conducentes a los trabajadores respecto de las licencias expedidas por el Instituto según lo establece el artículo 140 Bis de la Ley del Seguro Social.</w:t>
      </w:r>
    </w:p>
    <w:p>
      <w:pPr>
        <w:spacing w:line="180"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04-06-</w:t>
      </w:r>
      <w:r>
        <w:rPr>
          <w:rFonts w:ascii="Times New Roman" w:hAnsi="Times New Roman"/>
          <w:i/>
          <w:color w:val="0000FF"/>
          <w:spacing w:val="-4"/>
          <w:sz w:val="16"/>
        </w:rPr>
        <w:t>2019</w:t>
      </w:r>
    </w:p>
    <w:p>
      <w:pPr>
        <w:pStyle w:val="BodyText"/>
        <w:spacing w:before="43"/>
        <w:rPr>
          <w:rFonts w:ascii="Times New Roman"/>
          <w:i/>
          <w:sz w:val="16"/>
        </w:rPr>
      </w:pPr>
    </w:p>
    <w:p>
      <w:pPr>
        <w:pStyle w:val="ListParagraph"/>
        <w:numPr>
          <w:ilvl w:val="0"/>
          <w:numId w:val="29"/>
        </w:numPr>
        <w:tabs>
          <w:tab w:pos="1476" w:val="left" w:leader="none"/>
          <w:tab w:pos="1478" w:val="left" w:leader="none"/>
        </w:tabs>
        <w:spacing w:line="242" w:lineRule="auto" w:before="0" w:after="0"/>
        <w:ind w:left="1478" w:right="337" w:hanging="852"/>
        <w:jc w:val="both"/>
        <w:rPr>
          <w:sz w:val="20"/>
        </w:rPr>
      </w:pPr>
      <w:r>
        <w:rPr>
          <w:sz w:val="20"/>
        </w:rPr>
        <w:t>Entregar a sus trabajadores de manera gratuita un ejemplar impreso del contrato colectivo</w:t>
      </w:r>
      <w:r>
        <w:rPr>
          <w:spacing w:val="40"/>
          <w:sz w:val="20"/>
        </w:rPr>
        <w:t> </w:t>
      </w:r>
      <w:r>
        <w:rPr>
          <w:sz w:val="20"/>
        </w:rPr>
        <w:t>de trabajo inicial o de su revisión dentro de los quince días siguientes a que dicho contrato sea depositado ante el Centro Federal de Conciliación y Registro Laboral; esta obligación se podrá acreditar con la firma de recibido del trabajador;</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9"/>
        </w:numPr>
        <w:tabs>
          <w:tab w:pos="1476" w:val="left" w:leader="none"/>
          <w:tab w:pos="1478" w:val="left" w:leader="none"/>
        </w:tabs>
        <w:spacing w:line="242" w:lineRule="auto" w:before="0" w:after="0"/>
        <w:ind w:left="1478" w:right="345" w:hanging="852"/>
        <w:jc w:val="both"/>
        <w:rPr>
          <w:sz w:val="20"/>
        </w:rPr>
      </w:pPr>
      <w:r>
        <w:rPr>
          <w:sz w:val="20"/>
        </w:rPr>
        <w:t>Implementar, en acuerdo con los trabajadores, un protocolo para prevenir la discriminación por razones de género y</w:t>
      </w:r>
      <w:r>
        <w:rPr>
          <w:spacing w:val="-1"/>
          <w:sz w:val="20"/>
        </w:rPr>
        <w:t> </w:t>
      </w:r>
      <w:r>
        <w:rPr>
          <w:sz w:val="20"/>
        </w:rPr>
        <w:t>atención de casos de violencia y</w:t>
      </w:r>
      <w:r>
        <w:rPr>
          <w:spacing w:val="-1"/>
          <w:sz w:val="20"/>
        </w:rPr>
        <w:t> </w:t>
      </w:r>
      <w:r>
        <w:rPr>
          <w:sz w:val="20"/>
        </w:rPr>
        <w:t>acoso u hostigamiento sexual, así como erradicar el trabajo forzoso e infantil;</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0"/>
        <w:rPr>
          <w:rFonts w:ascii="Times New Roman"/>
          <w:i/>
          <w:sz w:val="16"/>
        </w:rPr>
      </w:pPr>
    </w:p>
    <w:p>
      <w:pPr>
        <w:pStyle w:val="ListParagraph"/>
        <w:numPr>
          <w:ilvl w:val="0"/>
          <w:numId w:val="29"/>
        </w:numPr>
        <w:tabs>
          <w:tab w:pos="1476" w:val="left" w:leader="none"/>
          <w:tab w:pos="1478" w:val="left" w:leader="none"/>
        </w:tabs>
        <w:spacing w:line="242" w:lineRule="auto" w:before="1" w:after="0"/>
        <w:ind w:left="1478" w:right="333" w:hanging="852"/>
        <w:jc w:val="both"/>
        <w:rPr>
          <w:sz w:val="20"/>
        </w:rPr>
      </w:pPr>
      <w:r>
        <w:rPr>
          <w:sz w:val="20"/>
        </w:rPr>
        <w:t>Fijar y difundir en los lugares de mayor afluencia del centro de trabajo el texto fiel de la convocatoria y demás documentos que le solicite el Centro Federal de Conciliación y Registro Laboral para el desarrollo del procedimiento de consulta a que hacen referencia los artículos 390 Bis y 390 Ter,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8"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3"/>
        <w:rPr>
          <w:rFonts w:ascii="Times New Roman"/>
          <w:i/>
        </w:rPr>
      </w:pPr>
    </w:p>
    <w:p>
      <w:pPr>
        <w:pStyle w:val="ListParagraph"/>
        <w:numPr>
          <w:ilvl w:val="0"/>
          <w:numId w:val="29"/>
        </w:numPr>
        <w:tabs>
          <w:tab w:pos="1476" w:val="left" w:leader="none"/>
          <w:tab w:pos="1478" w:val="left" w:leader="none"/>
        </w:tabs>
        <w:spacing w:line="242" w:lineRule="auto" w:before="0" w:after="0"/>
        <w:ind w:left="1478" w:right="334" w:hanging="852"/>
        <w:jc w:val="both"/>
        <w:rPr>
          <w:sz w:val="20"/>
        </w:rPr>
      </w:pPr>
      <w:r>
        <w:rPr>
          <w:sz w:val="20"/>
        </w:rPr>
        <w:t>Fijar en los lugares de mayor afluencia del centro de trabajo la convocatoria que le solicite el sindicato</w:t>
      </w:r>
      <w:r>
        <w:rPr>
          <w:spacing w:val="-1"/>
          <w:sz w:val="20"/>
        </w:rPr>
        <w:t> </w:t>
      </w:r>
      <w:r>
        <w:rPr>
          <w:sz w:val="20"/>
        </w:rPr>
        <w:t>cuando</w:t>
      </w:r>
      <w:r>
        <w:rPr>
          <w:spacing w:val="-1"/>
          <w:sz w:val="20"/>
        </w:rPr>
        <w:t> </w:t>
      </w:r>
      <w:r>
        <w:rPr>
          <w:sz w:val="20"/>
        </w:rPr>
        <w:t>se</w:t>
      </w:r>
      <w:r>
        <w:rPr>
          <w:spacing w:val="-1"/>
          <w:sz w:val="20"/>
        </w:rPr>
        <w:t> </w:t>
      </w:r>
      <w:r>
        <w:rPr>
          <w:sz w:val="20"/>
        </w:rPr>
        <w:t>consulte</w:t>
      </w:r>
      <w:r>
        <w:rPr>
          <w:spacing w:val="-1"/>
          <w:sz w:val="20"/>
        </w:rPr>
        <w:t> </w:t>
      </w:r>
      <w:r>
        <w:rPr>
          <w:sz w:val="20"/>
        </w:rPr>
        <w:t>a los trabajadores el</w:t>
      </w:r>
      <w:r>
        <w:rPr>
          <w:spacing w:val="-2"/>
          <w:sz w:val="20"/>
        </w:rPr>
        <w:t> </w:t>
      </w:r>
      <w:r>
        <w:rPr>
          <w:sz w:val="20"/>
        </w:rPr>
        <w:t>contenido del</w:t>
      </w:r>
      <w:r>
        <w:rPr>
          <w:spacing w:val="-2"/>
          <w:sz w:val="20"/>
        </w:rPr>
        <w:t> </w:t>
      </w:r>
      <w:r>
        <w:rPr>
          <w:sz w:val="20"/>
        </w:rPr>
        <w:t>contrato</w:t>
      </w:r>
      <w:r>
        <w:rPr>
          <w:spacing w:val="-2"/>
          <w:sz w:val="20"/>
        </w:rPr>
        <w:t> </w:t>
      </w:r>
      <w:r>
        <w:rPr>
          <w:sz w:val="20"/>
        </w:rPr>
        <w:t>colectivo</w:t>
      </w:r>
      <w:r>
        <w:rPr>
          <w:spacing w:val="-1"/>
          <w:sz w:val="20"/>
        </w:rPr>
        <w:t> </w:t>
      </w:r>
      <w:r>
        <w:rPr>
          <w:sz w:val="20"/>
        </w:rPr>
        <w:t>de trabajo inicial o el convenio de revisión, en términos de los artículos 390 Ter y 400 Bis.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626"/>
      </w:pPr>
      <w:bookmarkStart w:name="Artículo_133" w:id="152"/>
      <w:bookmarkEnd w:id="152"/>
      <w:r>
        <w:rPr/>
      </w:r>
      <w:r>
        <w:rPr>
          <w:rFonts w:ascii="Arial" w:hAnsi="Arial"/>
          <w:b/>
        </w:rPr>
        <w:t>Artículo</w:t>
      </w:r>
      <w:r>
        <w:rPr>
          <w:rFonts w:ascii="Arial" w:hAnsi="Arial"/>
          <w:b/>
          <w:spacing w:val="-6"/>
        </w:rPr>
        <w:t> </w:t>
      </w:r>
      <w:r>
        <w:rPr>
          <w:rFonts w:ascii="Arial" w:hAnsi="Arial"/>
          <w:b/>
        </w:rPr>
        <w:t>133.-</w:t>
      </w:r>
      <w:r>
        <w:rPr>
          <w:rFonts w:ascii="Arial" w:hAnsi="Arial"/>
          <w:b/>
          <w:spacing w:val="-6"/>
        </w:rPr>
        <w:t> </w:t>
      </w:r>
      <w:r>
        <w:rPr/>
        <w:t>Queda</w:t>
      </w:r>
      <w:r>
        <w:rPr>
          <w:spacing w:val="-5"/>
        </w:rPr>
        <w:t> </w:t>
      </w:r>
      <w:r>
        <w:rPr/>
        <w:t>prohibido</w:t>
      </w:r>
      <w:r>
        <w:rPr>
          <w:spacing w:val="-6"/>
        </w:rPr>
        <w:t> </w:t>
      </w:r>
      <w:r>
        <w:rPr/>
        <w:t>a</w:t>
      </w:r>
      <w:r>
        <w:rPr>
          <w:spacing w:val="-6"/>
        </w:rPr>
        <w:t> </w:t>
      </w:r>
      <w:r>
        <w:rPr/>
        <w:t>las</w:t>
      </w:r>
      <w:r>
        <w:rPr>
          <w:spacing w:val="-6"/>
        </w:rPr>
        <w:t> </w:t>
      </w:r>
      <w:r>
        <w:rPr/>
        <w:t>personas</w:t>
      </w:r>
      <w:r>
        <w:rPr>
          <w:spacing w:val="-6"/>
        </w:rPr>
        <w:t> </w:t>
      </w:r>
      <w:r>
        <w:rPr/>
        <w:t>empleadoras</w:t>
      </w:r>
      <w:r>
        <w:rPr>
          <w:spacing w:val="-5"/>
        </w:rPr>
        <w:t> </w:t>
      </w:r>
      <w:r>
        <w:rPr/>
        <w:t>o</w:t>
      </w:r>
      <w:r>
        <w:rPr>
          <w:spacing w:val="-8"/>
        </w:rPr>
        <w:t> </w:t>
      </w:r>
      <w:r>
        <w:rPr/>
        <w:t>a</w:t>
      </w:r>
      <w:r>
        <w:rPr>
          <w:spacing w:val="-5"/>
        </w:rPr>
        <w:t> </w:t>
      </w:r>
      <w:r>
        <w:rPr/>
        <w:t>sus</w:t>
      </w:r>
      <w:r>
        <w:rPr>
          <w:spacing w:val="-6"/>
        </w:rPr>
        <w:t> </w:t>
      </w:r>
      <w:r>
        <w:rPr>
          <w:spacing w:val="-2"/>
        </w:rPr>
        <w:t>representantes:</w:t>
      </w:r>
    </w:p>
    <w:p>
      <w:pPr>
        <w:spacing w:before="1"/>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19-12-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0"/>
        </w:numPr>
        <w:tabs>
          <w:tab w:pos="1193" w:val="left" w:leader="none"/>
          <w:tab w:pos="1195" w:val="left" w:leader="none"/>
        </w:tabs>
        <w:spacing w:line="240" w:lineRule="auto" w:before="0" w:after="0"/>
        <w:ind w:left="1195" w:right="337" w:hanging="569"/>
        <w:jc w:val="both"/>
        <w:rPr>
          <w:sz w:val="20"/>
        </w:rPr>
      </w:pPr>
      <w:r>
        <w:rPr>
          <w:sz w:val="20"/>
        </w:rPr>
        <w:t>Negarse a aceptar trabajadores por razón de origen étnico o nacional, género, edad, discapacidad, condición</w:t>
      </w:r>
      <w:r>
        <w:rPr>
          <w:spacing w:val="-1"/>
          <w:sz w:val="20"/>
        </w:rPr>
        <w:t> </w:t>
      </w:r>
      <w:r>
        <w:rPr>
          <w:sz w:val="20"/>
        </w:rPr>
        <w:t>social, condiciones de</w:t>
      </w:r>
      <w:r>
        <w:rPr>
          <w:spacing w:val="-1"/>
          <w:sz w:val="20"/>
        </w:rPr>
        <w:t> </w:t>
      </w:r>
      <w:r>
        <w:rPr>
          <w:sz w:val="20"/>
        </w:rPr>
        <w:t>salud, religión,</w:t>
      </w:r>
      <w:r>
        <w:rPr>
          <w:spacing w:val="-1"/>
          <w:sz w:val="20"/>
        </w:rPr>
        <w:t> </w:t>
      </w:r>
      <w:r>
        <w:rPr>
          <w:sz w:val="20"/>
        </w:rPr>
        <w:t>opiniones, preferencias sexuales, estado civil o cualquier otro criterio que pueda dar lugar a un acto discriminatorio;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31-12-1974,</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BodyText"/>
        <w:tabs>
          <w:tab w:pos="1195" w:val="left" w:leader="none"/>
        </w:tabs>
        <w:ind w:left="626"/>
      </w:pPr>
      <w:r>
        <w:rPr>
          <w:rFonts w:ascii="Arial" w:hAnsi="Arial"/>
          <w:b/>
          <w:spacing w:val="-4"/>
        </w:rPr>
        <w:t>II.-</w:t>
      </w:r>
      <w:r>
        <w:rPr>
          <w:rFonts w:ascii="Arial" w:hAnsi="Arial"/>
          <w:b/>
        </w:rPr>
        <w:tab/>
      </w:r>
      <w:r>
        <w:rPr/>
        <w:t>Exigir</w:t>
      </w:r>
      <w:r>
        <w:rPr>
          <w:spacing w:val="-6"/>
        </w:rPr>
        <w:t> </w:t>
      </w:r>
      <w:r>
        <w:rPr/>
        <w:t>que</w:t>
      </w:r>
      <w:r>
        <w:rPr>
          <w:spacing w:val="-7"/>
        </w:rPr>
        <w:t> </w:t>
      </w:r>
      <w:r>
        <w:rPr/>
        <w:t>los</w:t>
      </w:r>
      <w:r>
        <w:rPr>
          <w:spacing w:val="-6"/>
        </w:rPr>
        <w:t> </w:t>
      </w:r>
      <w:r>
        <w:rPr/>
        <w:t>trabajadores</w:t>
      </w:r>
      <w:r>
        <w:rPr>
          <w:spacing w:val="-4"/>
        </w:rPr>
        <w:t> </w:t>
      </w:r>
      <w:r>
        <w:rPr/>
        <w:t>compren</w:t>
      </w:r>
      <w:r>
        <w:rPr>
          <w:spacing w:val="-6"/>
        </w:rPr>
        <w:t> </w:t>
      </w:r>
      <w:r>
        <w:rPr/>
        <w:t>sus</w:t>
      </w:r>
      <w:r>
        <w:rPr>
          <w:spacing w:val="-6"/>
        </w:rPr>
        <w:t> </w:t>
      </w:r>
      <w:r>
        <w:rPr/>
        <w:t>artículos</w:t>
      </w:r>
      <w:r>
        <w:rPr>
          <w:spacing w:val="-6"/>
        </w:rPr>
        <w:t> </w:t>
      </w:r>
      <w:r>
        <w:rPr/>
        <w:t>de</w:t>
      </w:r>
      <w:r>
        <w:rPr>
          <w:spacing w:val="-7"/>
        </w:rPr>
        <w:t> </w:t>
      </w:r>
      <w:r>
        <w:rPr/>
        <w:t>consumo</w:t>
      </w:r>
      <w:r>
        <w:rPr>
          <w:spacing w:val="-7"/>
        </w:rPr>
        <w:t> </w:t>
      </w:r>
      <w:r>
        <w:rPr/>
        <w:t>en</w:t>
      </w:r>
      <w:r>
        <w:rPr>
          <w:spacing w:val="-7"/>
        </w:rPr>
        <w:t> </w:t>
      </w:r>
      <w:r>
        <w:rPr/>
        <w:t>tienda</w:t>
      </w:r>
      <w:r>
        <w:rPr>
          <w:spacing w:val="-6"/>
        </w:rPr>
        <w:t> </w:t>
      </w:r>
      <w:r>
        <w:rPr/>
        <w:t>o</w:t>
      </w:r>
      <w:r>
        <w:rPr>
          <w:spacing w:val="-6"/>
        </w:rPr>
        <w:t> </w:t>
      </w:r>
      <w:r>
        <w:rPr/>
        <w:t>lugar</w:t>
      </w:r>
      <w:r>
        <w:rPr>
          <w:spacing w:val="-7"/>
        </w:rPr>
        <w:t> </w:t>
      </w:r>
      <w:r>
        <w:rPr>
          <w:spacing w:val="-2"/>
        </w:rPr>
        <w:t>determinado;</w:t>
      </w:r>
    </w:p>
    <w:p>
      <w:pPr>
        <w:pStyle w:val="BodyText"/>
        <w:tabs>
          <w:tab w:pos="1195" w:val="left" w:leader="none"/>
        </w:tabs>
        <w:spacing w:line="242" w:lineRule="auto" w:before="228"/>
        <w:ind w:left="1195" w:right="345" w:hanging="569"/>
      </w:pPr>
      <w:r>
        <w:rPr>
          <w:rFonts w:ascii="Arial" w:hAnsi="Arial"/>
          <w:b/>
          <w:spacing w:val="-2"/>
        </w:rPr>
        <w:t>III.-</w:t>
      </w:r>
      <w:r>
        <w:rPr>
          <w:rFonts w:ascii="Arial" w:hAnsi="Arial"/>
          <w:b/>
        </w:rPr>
        <w:tab/>
      </w:r>
      <w:r>
        <w:rPr/>
        <w:t>Exigir o aceptar dinero de los trabajadores como gratificación porque se les admita en el</w:t>
      </w:r>
      <w:r>
        <w:rPr>
          <w:spacing w:val="-1"/>
        </w:rPr>
        <w:t> </w:t>
      </w:r>
      <w:r>
        <w:rPr/>
        <w:t>trabajo o por cualquier otro motivo que se refiera a las condiciones de éste;</w:t>
      </w:r>
    </w:p>
    <w:p>
      <w:pPr>
        <w:pStyle w:val="ListParagraph"/>
        <w:numPr>
          <w:ilvl w:val="0"/>
          <w:numId w:val="31"/>
        </w:numPr>
        <w:tabs>
          <w:tab w:pos="1195" w:val="left" w:leader="none"/>
        </w:tabs>
        <w:spacing w:line="240" w:lineRule="auto" w:before="227" w:after="0"/>
        <w:ind w:left="1195" w:right="336" w:hanging="569"/>
        <w:jc w:val="both"/>
        <w:rPr>
          <w:sz w:val="20"/>
        </w:rPr>
      </w:pPr>
      <w:r>
        <w:rPr>
          <w:sz w:val="20"/>
        </w:rPr>
        <w:t>Obligar a los trabajadores por coacción o por cualquier otro medio, a afiliarse o retirarse del sindicato o agrupación a que pertenezcan, o a que voten por determinada candidatura, así</w:t>
      </w:r>
      <w:r>
        <w:rPr>
          <w:spacing w:val="40"/>
          <w:sz w:val="20"/>
        </w:rPr>
        <w:t> </w:t>
      </w:r>
      <w:r>
        <w:rPr>
          <w:sz w:val="20"/>
        </w:rPr>
        <w:t>como cualquier acto u omisión que atente contra su derecho a decidir quién debe</w:t>
      </w:r>
      <w:r>
        <w:rPr>
          <w:spacing w:val="40"/>
          <w:sz w:val="20"/>
        </w:rPr>
        <w:t> </w:t>
      </w:r>
      <w:r>
        <w:rPr>
          <w:sz w:val="20"/>
        </w:rPr>
        <w:t>representarlos en la negociación colectiva;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1"/>
        </w:numPr>
        <w:tabs>
          <w:tab w:pos="1195" w:val="left" w:leader="none"/>
        </w:tabs>
        <w:spacing w:line="242" w:lineRule="auto" w:before="0" w:after="0"/>
        <w:ind w:left="1195" w:right="340" w:hanging="569"/>
        <w:jc w:val="both"/>
        <w:rPr>
          <w:sz w:val="20"/>
        </w:rPr>
      </w:pPr>
      <w:r>
        <w:rPr>
          <w:sz w:val="20"/>
        </w:rPr>
        <w:t>Intervenir en cualquier forma en el régimen interno del sindicato, impedir su formación o el desarrollo de la actividad sindical, mediante represalias implícitas o explícitas contra los </w:t>
      </w:r>
      <w:r>
        <w:rPr>
          <w:spacing w:val="-2"/>
          <w:sz w:val="20"/>
        </w:rPr>
        <w:t>trabajadores;</w:t>
      </w:r>
    </w:p>
    <w:p>
      <w:pPr>
        <w:spacing w:line="179"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tabs>
          <w:tab w:pos="1195" w:val="left" w:leader="none"/>
        </w:tabs>
        <w:ind w:left="626"/>
      </w:pPr>
      <w:r>
        <w:rPr>
          <w:rFonts w:ascii="Arial"/>
          <w:b/>
          <w:spacing w:val="-4"/>
        </w:rPr>
        <w:t>VI.-</w:t>
      </w:r>
      <w:r>
        <w:rPr>
          <w:rFonts w:ascii="Arial"/>
          <w:b/>
        </w:rPr>
        <w:tab/>
      </w:r>
      <w:r>
        <w:rPr/>
        <w:t>Hacer</w:t>
      </w:r>
      <w:r>
        <w:rPr>
          <w:spacing w:val="-8"/>
        </w:rPr>
        <w:t> </w:t>
      </w:r>
      <w:r>
        <w:rPr/>
        <w:t>o</w:t>
      </w:r>
      <w:r>
        <w:rPr>
          <w:spacing w:val="-7"/>
        </w:rPr>
        <w:t> </w:t>
      </w:r>
      <w:r>
        <w:rPr/>
        <w:t>autorizar</w:t>
      </w:r>
      <w:r>
        <w:rPr>
          <w:spacing w:val="-7"/>
        </w:rPr>
        <w:t> </w:t>
      </w:r>
      <w:r>
        <w:rPr/>
        <w:t>colectas</w:t>
      </w:r>
      <w:r>
        <w:rPr>
          <w:spacing w:val="-5"/>
        </w:rPr>
        <w:t> </w:t>
      </w:r>
      <w:r>
        <w:rPr/>
        <w:t>o</w:t>
      </w:r>
      <w:r>
        <w:rPr>
          <w:spacing w:val="-7"/>
        </w:rPr>
        <w:t> </w:t>
      </w:r>
      <w:r>
        <w:rPr/>
        <w:t>suscripciones</w:t>
      </w:r>
      <w:r>
        <w:rPr>
          <w:spacing w:val="-6"/>
        </w:rPr>
        <w:t> </w:t>
      </w:r>
      <w:r>
        <w:rPr/>
        <w:t>en</w:t>
      </w:r>
      <w:r>
        <w:rPr>
          <w:spacing w:val="-7"/>
        </w:rPr>
        <w:t> </w:t>
      </w:r>
      <w:r>
        <w:rPr/>
        <w:t>los</w:t>
      </w:r>
      <w:r>
        <w:rPr>
          <w:spacing w:val="-6"/>
        </w:rPr>
        <w:t> </w:t>
      </w:r>
      <w:r>
        <w:rPr/>
        <w:t>establecimientos</w:t>
      </w:r>
      <w:r>
        <w:rPr>
          <w:spacing w:val="-5"/>
        </w:rPr>
        <w:t> </w:t>
      </w:r>
      <w:r>
        <w:rPr/>
        <w:t>y</w:t>
      </w:r>
      <w:r>
        <w:rPr>
          <w:spacing w:val="-8"/>
        </w:rPr>
        <w:t> </w:t>
      </w:r>
      <w:r>
        <w:rPr/>
        <w:t>lugares</w:t>
      </w:r>
      <w:r>
        <w:rPr>
          <w:spacing w:val="-5"/>
        </w:rPr>
        <w:t> </w:t>
      </w:r>
      <w:r>
        <w:rPr/>
        <w:t>de</w:t>
      </w:r>
      <w:r>
        <w:rPr>
          <w:spacing w:val="-6"/>
        </w:rPr>
        <w:t> </w:t>
      </w:r>
      <w:r>
        <w:rPr>
          <w:spacing w:val="-2"/>
        </w:rPr>
        <w:t>trabajo;</w:t>
      </w:r>
    </w:p>
    <w:p>
      <w:pPr>
        <w:pStyle w:val="BodyText"/>
      </w:pPr>
    </w:p>
    <w:p>
      <w:pPr>
        <w:pStyle w:val="BodyText"/>
        <w:tabs>
          <w:tab w:pos="1195" w:val="left" w:leader="none"/>
        </w:tabs>
        <w:spacing w:before="1"/>
        <w:ind w:left="626"/>
      </w:pPr>
      <w:r>
        <w:rPr>
          <w:rFonts w:ascii="Arial"/>
          <w:b/>
          <w:spacing w:val="-2"/>
        </w:rPr>
        <w:t>VII.-</w:t>
      </w:r>
      <w:r>
        <w:rPr>
          <w:rFonts w:ascii="Arial"/>
          <w:b/>
        </w:rPr>
        <w:tab/>
      </w:r>
      <w:r>
        <w:rPr/>
        <w:t>Ejecutar</w:t>
      </w:r>
      <w:r>
        <w:rPr>
          <w:spacing w:val="-7"/>
        </w:rPr>
        <w:t> </w:t>
      </w:r>
      <w:r>
        <w:rPr/>
        <w:t>cualquier</w:t>
      </w:r>
      <w:r>
        <w:rPr>
          <w:spacing w:val="-4"/>
        </w:rPr>
        <w:t> </w:t>
      </w:r>
      <w:r>
        <w:rPr/>
        <w:t>acto</w:t>
      </w:r>
      <w:r>
        <w:rPr>
          <w:spacing w:val="-9"/>
        </w:rPr>
        <w:t> </w:t>
      </w:r>
      <w:r>
        <w:rPr/>
        <w:t>que</w:t>
      </w:r>
      <w:r>
        <w:rPr>
          <w:spacing w:val="-5"/>
        </w:rPr>
        <w:t> </w:t>
      </w:r>
      <w:r>
        <w:rPr/>
        <w:t>restrinja</w:t>
      </w:r>
      <w:r>
        <w:rPr>
          <w:spacing w:val="-7"/>
        </w:rPr>
        <w:t> </w:t>
      </w:r>
      <w:r>
        <w:rPr/>
        <w:t>a</w:t>
      </w:r>
      <w:r>
        <w:rPr>
          <w:spacing w:val="-7"/>
        </w:rPr>
        <w:t> </w:t>
      </w:r>
      <w:r>
        <w:rPr/>
        <w:t>los</w:t>
      </w:r>
      <w:r>
        <w:rPr>
          <w:spacing w:val="-6"/>
        </w:rPr>
        <w:t> </w:t>
      </w:r>
      <w:r>
        <w:rPr/>
        <w:t>trabajadores</w:t>
      </w:r>
      <w:r>
        <w:rPr>
          <w:spacing w:val="-6"/>
        </w:rPr>
        <w:t> </w:t>
      </w:r>
      <w:r>
        <w:rPr/>
        <w:t>los</w:t>
      </w:r>
      <w:r>
        <w:rPr>
          <w:spacing w:val="-7"/>
        </w:rPr>
        <w:t> </w:t>
      </w:r>
      <w:r>
        <w:rPr/>
        <w:t>derechos</w:t>
      </w:r>
      <w:r>
        <w:rPr>
          <w:spacing w:val="-6"/>
        </w:rPr>
        <w:t> </w:t>
      </w:r>
      <w:r>
        <w:rPr/>
        <w:t>que</w:t>
      </w:r>
      <w:r>
        <w:rPr>
          <w:spacing w:val="-6"/>
        </w:rPr>
        <w:t> </w:t>
      </w:r>
      <w:r>
        <w:rPr/>
        <w:t>les</w:t>
      </w:r>
      <w:r>
        <w:rPr>
          <w:spacing w:val="-7"/>
        </w:rPr>
        <w:t> </w:t>
      </w:r>
      <w:r>
        <w:rPr/>
        <w:t>otorgan</w:t>
      </w:r>
      <w:r>
        <w:rPr>
          <w:spacing w:val="-8"/>
        </w:rPr>
        <w:t> </w:t>
      </w:r>
      <w:r>
        <w:rPr/>
        <w:t>las</w:t>
      </w:r>
      <w:r>
        <w:rPr>
          <w:spacing w:val="-6"/>
        </w:rPr>
        <w:t> </w:t>
      </w:r>
      <w:r>
        <w:rPr>
          <w:spacing w:val="-2"/>
        </w:rPr>
        <w:t>leyes;</w:t>
      </w:r>
    </w:p>
    <w:p>
      <w:pPr>
        <w:pStyle w:val="BodyText"/>
      </w:pPr>
    </w:p>
    <w:p>
      <w:pPr>
        <w:pStyle w:val="BodyText"/>
        <w:ind w:left="626"/>
      </w:pPr>
      <w:r>
        <w:rPr>
          <w:rFonts w:ascii="Arial" w:hAnsi="Arial"/>
          <w:b/>
        </w:rPr>
        <w:t>VIII.-</w:t>
      </w:r>
      <w:r>
        <w:rPr>
          <w:rFonts w:ascii="Arial" w:hAnsi="Arial"/>
          <w:b/>
          <w:spacing w:val="78"/>
        </w:rPr>
        <w:t> </w:t>
      </w:r>
      <w:r>
        <w:rPr/>
        <w:t>Hacer</w:t>
      </w:r>
      <w:r>
        <w:rPr>
          <w:spacing w:val="-6"/>
        </w:rPr>
        <w:t> </w:t>
      </w:r>
      <w:r>
        <w:rPr/>
        <w:t>propaganda</w:t>
      </w:r>
      <w:r>
        <w:rPr>
          <w:spacing w:val="-4"/>
        </w:rPr>
        <w:t> </w:t>
      </w:r>
      <w:r>
        <w:rPr/>
        <w:t>política</w:t>
      </w:r>
      <w:r>
        <w:rPr>
          <w:spacing w:val="-5"/>
        </w:rPr>
        <w:t> </w:t>
      </w:r>
      <w:r>
        <w:rPr/>
        <w:t>o</w:t>
      </w:r>
      <w:r>
        <w:rPr>
          <w:spacing w:val="-6"/>
        </w:rPr>
        <w:t> </w:t>
      </w:r>
      <w:r>
        <w:rPr/>
        <w:t>religiosa</w:t>
      </w:r>
      <w:r>
        <w:rPr>
          <w:spacing w:val="-6"/>
        </w:rPr>
        <w:t> </w:t>
      </w:r>
      <w:r>
        <w:rPr/>
        <w:t>dentro</w:t>
      </w:r>
      <w:r>
        <w:rPr>
          <w:spacing w:val="-5"/>
        </w:rPr>
        <w:t> </w:t>
      </w:r>
      <w:r>
        <w:rPr/>
        <w:t>del</w:t>
      </w:r>
      <w:r>
        <w:rPr>
          <w:spacing w:val="-7"/>
        </w:rPr>
        <w:t> </w:t>
      </w:r>
      <w:r>
        <w:rPr>
          <w:spacing w:val="-2"/>
        </w:rPr>
        <w:t>establecimiento;</w:t>
      </w:r>
    </w:p>
    <w:p>
      <w:pPr>
        <w:pStyle w:val="BodyText"/>
        <w:tabs>
          <w:tab w:pos="1195" w:val="left" w:leader="none"/>
        </w:tabs>
        <w:spacing w:line="242" w:lineRule="auto" w:before="229"/>
        <w:ind w:left="1195" w:right="357" w:hanging="569"/>
      </w:pPr>
      <w:r>
        <w:rPr>
          <w:rFonts w:ascii="Arial" w:hAnsi="Arial"/>
          <w:b/>
          <w:spacing w:val="-4"/>
        </w:rPr>
        <w:t>IX.-</w:t>
      </w:r>
      <w:r>
        <w:rPr>
          <w:rFonts w:ascii="Arial" w:hAnsi="Arial"/>
          <w:b/>
        </w:rPr>
        <w:tab/>
      </w:r>
      <w:r>
        <w:rPr/>
        <w:t>Emplear el sistema de poner en el índice a los trabajadores que se separen o sean separados del trabajo para que no se les vuelva a dar ocupación;</w:t>
      </w:r>
    </w:p>
    <w:p>
      <w:pPr>
        <w:pStyle w:val="ListParagraph"/>
        <w:numPr>
          <w:ilvl w:val="0"/>
          <w:numId w:val="27"/>
        </w:numPr>
        <w:tabs>
          <w:tab w:pos="1195" w:val="left" w:leader="none"/>
        </w:tabs>
        <w:spacing w:line="229" w:lineRule="exact" w:before="226" w:after="0"/>
        <w:ind w:left="1195" w:right="0" w:hanging="569"/>
        <w:jc w:val="left"/>
        <w:rPr>
          <w:sz w:val="20"/>
        </w:rPr>
      </w:pPr>
      <w:r>
        <w:rPr>
          <w:sz w:val="20"/>
        </w:rPr>
        <w:t>Portar</w:t>
      </w:r>
      <w:r>
        <w:rPr>
          <w:spacing w:val="-6"/>
          <w:sz w:val="20"/>
        </w:rPr>
        <w:t> </w:t>
      </w:r>
      <w:r>
        <w:rPr>
          <w:sz w:val="20"/>
        </w:rPr>
        <w:t>armas</w:t>
      </w:r>
      <w:r>
        <w:rPr>
          <w:spacing w:val="-5"/>
          <w:sz w:val="20"/>
        </w:rPr>
        <w:t> </w:t>
      </w:r>
      <w:r>
        <w:rPr>
          <w:sz w:val="20"/>
        </w:rPr>
        <w:t>en</w:t>
      </w:r>
      <w:r>
        <w:rPr>
          <w:spacing w:val="-7"/>
          <w:sz w:val="20"/>
        </w:rPr>
        <w:t> </w:t>
      </w:r>
      <w:r>
        <w:rPr>
          <w:sz w:val="20"/>
        </w:rPr>
        <w:t>el</w:t>
      </w:r>
      <w:r>
        <w:rPr>
          <w:spacing w:val="-8"/>
          <w:sz w:val="20"/>
        </w:rPr>
        <w:t> </w:t>
      </w:r>
      <w:r>
        <w:rPr>
          <w:sz w:val="20"/>
        </w:rPr>
        <w:t>interior</w:t>
      </w:r>
      <w:r>
        <w:rPr>
          <w:spacing w:val="-3"/>
          <w:sz w:val="20"/>
        </w:rPr>
        <w:t> </w:t>
      </w:r>
      <w:r>
        <w:rPr>
          <w:sz w:val="20"/>
        </w:rPr>
        <w:t>de</w:t>
      </w:r>
      <w:r>
        <w:rPr>
          <w:spacing w:val="-7"/>
          <w:sz w:val="20"/>
        </w:rPr>
        <w:t> </w:t>
      </w:r>
      <w:r>
        <w:rPr>
          <w:sz w:val="20"/>
        </w:rPr>
        <w:t>los</w:t>
      </w:r>
      <w:r>
        <w:rPr>
          <w:spacing w:val="-6"/>
          <w:sz w:val="20"/>
        </w:rPr>
        <w:t> </w:t>
      </w:r>
      <w:r>
        <w:rPr>
          <w:sz w:val="20"/>
        </w:rPr>
        <w:t>establecimientos</w:t>
      </w:r>
      <w:r>
        <w:rPr>
          <w:spacing w:val="-5"/>
          <w:sz w:val="20"/>
        </w:rPr>
        <w:t> </w:t>
      </w:r>
      <w:r>
        <w:rPr>
          <w:sz w:val="20"/>
        </w:rPr>
        <w:t>ubicados</w:t>
      </w:r>
      <w:r>
        <w:rPr>
          <w:spacing w:val="-6"/>
          <w:sz w:val="20"/>
        </w:rPr>
        <w:t> </w:t>
      </w:r>
      <w:r>
        <w:rPr>
          <w:sz w:val="20"/>
        </w:rPr>
        <w:t>dentro</w:t>
      </w:r>
      <w:r>
        <w:rPr>
          <w:spacing w:val="-6"/>
          <w:sz w:val="20"/>
        </w:rPr>
        <w:t> </w:t>
      </w:r>
      <w:r>
        <w:rPr>
          <w:sz w:val="20"/>
        </w:rPr>
        <w:t>de</w:t>
      </w:r>
      <w:r>
        <w:rPr>
          <w:spacing w:val="-6"/>
          <w:sz w:val="20"/>
        </w:rPr>
        <w:t> </w:t>
      </w:r>
      <w:r>
        <w:rPr>
          <w:sz w:val="20"/>
        </w:rPr>
        <w:t>las</w:t>
      </w:r>
      <w:r>
        <w:rPr>
          <w:spacing w:val="-6"/>
          <w:sz w:val="20"/>
        </w:rPr>
        <w:t> </w:t>
      </w:r>
      <w:r>
        <w:rPr>
          <w:spacing w:val="-2"/>
          <w:sz w:val="20"/>
        </w:rPr>
        <w:t>poblaciones;</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ListParagraph"/>
        <w:numPr>
          <w:ilvl w:val="0"/>
          <w:numId w:val="27"/>
        </w:numPr>
        <w:tabs>
          <w:tab w:pos="1195" w:val="left" w:leader="none"/>
        </w:tabs>
        <w:spacing w:line="242" w:lineRule="auto" w:before="0" w:after="0"/>
        <w:ind w:left="1195" w:right="344" w:hanging="569"/>
        <w:jc w:val="left"/>
        <w:rPr>
          <w:sz w:val="20"/>
        </w:rPr>
      </w:pPr>
      <w:r>
        <w:rPr>
          <w:sz w:val="20"/>
        </w:rPr>
        <w:t>Presentarse</w:t>
      </w:r>
      <w:r>
        <w:rPr>
          <w:spacing w:val="40"/>
          <w:sz w:val="20"/>
        </w:rPr>
        <w:t> </w:t>
      </w:r>
      <w:r>
        <w:rPr>
          <w:sz w:val="20"/>
        </w:rPr>
        <w:t>en</w:t>
      </w:r>
      <w:r>
        <w:rPr>
          <w:spacing w:val="40"/>
          <w:sz w:val="20"/>
        </w:rPr>
        <w:t> </w:t>
      </w:r>
      <w:r>
        <w:rPr>
          <w:sz w:val="20"/>
        </w:rPr>
        <w:t>los</w:t>
      </w:r>
      <w:r>
        <w:rPr>
          <w:spacing w:val="40"/>
          <w:sz w:val="20"/>
        </w:rPr>
        <w:t> </w:t>
      </w:r>
      <w:r>
        <w:rPr>
          <w:sz w:val="20"/>
        </w:rPr>
        <w:t>establecimientos</w:t>
      </w:r>
      <w:r>
        <w:rPr>
          <w:spacing w:val="40"/>
          <w:sz w:val="20"/>
        </w:rPr>
        <w:t> </w:t>
      </w:r>
      <w:r>
        <w:rPr>
          <w:sz w:val="20"/>
        </w:rPr>
        <w:t>en</w:t>
      </w:r>
      <w:r>
        <w:rPr>
          <w:spacing w:val="40"/>
          <w:sz w:val="20"/>
        </w:rPr>
        <w:t> </w:t>
      </w:r>
      <w:r>
        <w:rPr>
          <w:sz w:val="20"/>
        </w:rPr>
        <w:t>estado</w:t>
      </w:r>
      <w:r>
        <w:rPr>
          <w:spacing w:val="40"/>
          <w:sz w:val="20"/>
        </w:rPr>
        <w:t> </w:t>
      </w:r>
      <w:r>
        <w:rPr>
          <w:sz w:val="20"/>
        </w:rPr>
        <w:t>de</w:t>
      </w:r>
      <w:r>
        <w:rPr>
          <w:spacing w:val="40"/>
          <w:sz w:val="20"/>
        </w:rPr>
        <w:t> </w:t>
      </w:r>
      <w:r>
        <w:rPr>
          <w:sz w:val="20"/>
        </w:rPr>
        <w:t>embriaguez</w:t>
      </w:r>
      <w:r>
        <w:rPr>
          <w:spacing w:val="40"/>
          <w:sz w:val="20"/>
        </w:rPr>
        <w:t> </w:t>
      </w:r>
      <w:r>
        <w:rPr>
          <w:sz w:val="20"/>
        </w:rPr>
        <w:t>o</w:t>
      </w:r>
      <w:r>
        <w:rPr>
          <w:spacing w:val="40"/>
          <w:sz w:val="20"/>
        </w:rPr>
        <w:t> </w:t>
      </w:r>
      <w:r>
        <w:rPr>
          <w:sz w:val="20"/>
        </w:rPr>
        <w:t>bajo</w:t>
      </w:r>
      <w:r>
        <w:rPr>
          <w:spacing w:val="40"/>
          <w:sz w:val="20"/>
        </w:rPr>
        <w:t> </w:t>
      </w:r>
      <w:r>
        <w:rPr>
          <w:sz w:val="20"/>
        </w:rPr>
        <w:t>la</w:t>
      </w:r>
      <w:r>
        <w:rPr>
          <w:spacing w:val="40"/>
          <w:sz w:val="20"/>
        </w:rPr>
        <w:t> </w:t>
      </w:r>
      <w:r>
        <w:rPr>
          <w:sz w:val="20"/>
        </w:rPr>
        <w:t>influencia</w:t>
      </w:r>
      <w:r>
        <w:rPr>
          <w:spacing w:val="40"/>
          <w:sz w:val="20"/>
        </w:rPr>
        <w:t> </w:t>
      </w:r>
      <w:r>
        <w:rPr>
          <w:sz w:val="20"/>
        </w:rPr>
        <w:t>de</w:t>
      </w:r>
      <w:r>
        <w:rPr>
          <w:spacing w:val="40"/>
          <w:sz w:val="20"/>
        </w:rPr>
        <w:t> </w:t>
      </w:r>
      <w:r>
        <w:rPr>
          <w:sz w:val="20"/>
        </w:rPr>
        <w:t>un narcótico o droga enervante;</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27"/>
        </w:numPr>
        <w:tabs>
          <w:tab w:pos="1195" w:val="left" w:leader="none"/>
        </w:tabs>
        <w:spacing w:line="242" w:lineRule="auto" w:before="0" w:after="0"/>
        <w:ind w:left="1195" w:right="339" w:hanging="569"/>
        <w:jc w:val="left"/>
        <w:rPr>
          <w:sz w:val="20"/>
        </w:rPr>
      </w:pPr>
      <w:r>
        <w:rPr>
          <w:sz w:val="20"/>
        </w:rPr>
        <w:t>Realizar</w:t>
      </w:r>
      <w:r>
        <w:rPr>
          <w:spacing w:val="40"/>
          <w:sz w:val="20"/>
        </w:rPr>
        <w:t> </w:t>
      </w:r>
      <w:r>
        <w:rPr>
          <w:sz w:val="20"/>
        </w:rPr>
        <w:t>actos</w:t>
      </w:r>
      <w:r>
        <w:rPr>
          <w:spacing w:val="40"/>
          <w:sz w:val="20"/>
        </w:rPr>
        <w:t> </w:t>
      </w:r>
      <w:r>
        <w:rPr>
          <w:sz w:val="20"/>
        </w:rPr>
        <w:t>de</w:t>
      </w:r>
      <w:r>
        <w:rPr>
          <w:spacing w:val="40"/>
          <w:sz w:val="20"/>
        </w:rPr>
        <w:t> </w:t>
      </w:r>
      <w:r>
        <w:rPr>
          <w:sz w:val="20"/>
        </w:rPr>
        <w:t>hostigamiento</w:t>
      </w:r>
      <w:r>
        <w:rPr>
          <w:spacing w:val="40"/>
          <w:sz w:val="20"/>
        </w:rPr>
        <w:t> </w:t>
      </w:r>
      <w:r>
        <w:rPr>
          <w:sz w:val="20"/>
        </w:rPr>
        <w:t>y/o</w:t>
      </w:r>
      <w:r>
        <w:rPr>
          <w:spacing w:val="40"/>
          <w:sz w:val="20"/>
        </w:rPr>
        <w:t> </w:t>
      </w:r>
      <w:r>
        <w:rPr>
          <w:sz w:val="20"/>
        </w:rPr>
        <w:t>acoso</w:t>
      </w:r>
      <w:r>
        <w:rPr>
          <w:spacing w:val="40"/>
          <w:sz w:val="20"/>
        </w:rPr>
        <w:t> </w:t>
      </w:r>
      <w:r>
        <w:rPr>
          <w:sz w:val="20"/>
        </w:rPr>
        <w:t>sexual</w:t>
      </w:r>
      <w:r>
        <w:rPr>
          <w:spacing w:val="40"/>
          <w:sz w:val="20"/>
        </w:rPr>
        <w:t> </w:t>
      </w:r>
      <w:r>
        <w:rPr>
          <w:sz w:val="20"/>
        </w:rPr>
        <w:t>contra</w:t>
      </w:r>
      <w:r>
        <w:rPr>
          <w:spacing w:val="40"/>
          <w:sz w:val="20"/>
        </w:rPr>
        <w:t> </w:t>
      </w:r>
      <w:r>
        <w:rPr>
          <w:sz w:val="20"/>
        </w:rPr>
        <w:t>cualquier</w:t>
      </w:r>
      <w:r>
        <w:rPr>
          <w:spacing w:val="40"/>
          <w:sz w:val="20"/>
        </w:rPr>
        <w:t> </w:t>
      </w:r>
      <w:r>
        <w:rPr>
          <w:sz w:val="20"/>
        </w:rPr>
        <w:t>persona</w:t>
      </w:r>
      <w:r>
        <w:rPr>
          <w:spacing w:val="40"/>
          <w:sz w:val="20"/>
        </w:rPr>
        <w:t> </w:t>
      </w:r>
      <w:r>
        <w:rPr>
          <w:sz w:val="20"/>
        </w:rPr>
        <w:t>en</w:t>
      </w:r>
      <w:r>
        <w:rPr>
          <w:spacing w:val="40"/>
          <w:sz w:val="20"/>
        </w:rPr>
        <w:t> </w:t>
      </w:r>
      <w:r>
        <w:rPr>
          <w:sz w:val="20"/>
        </w:rPr>
        <w:t>el</w:t>
      </w:r>
      <w:r>
        <w:rPr>
          <w:spacing w:val="40"/>
          <w:sz w:val="20"/>
        </w:rPr>
        <w:t> </w:t>
      </w:r>
      <w:r>
        <w:rPr>
          <w:sz w:val="20"/>
        </w:rPr>
        <w:t>lugar</w:t>
      </w:r>
      <w:r>
        <w:rPr>
          <w:spacing w:val="40"/>
          <w:sz w:val="20"/>
        </w:rPr>
        <w:t> </w:t>
      </w:r>
      <w:r>
        <w:rPr>
          <w:sz w:val="20"/>
        </w:rPr>
        <w:t>de </w:t>
      </w:r>
      <w:r>
        <w:rPr>
          <w:spacing w:val="-2"/>
          <w:sz w:val="20"/>
        </w:rPr>
        <w:t>trabajo;</w:t>
      </w:r>
    </w:p>
    <w:p>
      <w:pPr>
        <w:spacing w:line="180"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27"/>
        </w:numPr>
        <w:tabs>
          <w:tab w:pos="1195" w:val="left" w:leader="none"/>
        </w:tabs>
        <w:spacing w:line="240" w:lineRule="auto" w:before="0" w:after="0"/>
        <w:ind w:left="1195" w:right="0" w:hanging="569"/>
        <w:jc w:val="left"/>
        <w:rPr>
          <w:sz w:val="20"/>
        </w:rPr>
      </w:pPr>
      <w:r>
        <w:rPr>
          <w:sz w:val="20"/>
        </w:rPr>
        <w:t>Permitir</w:t>
      </w:r>
      <w:r>
        <w:rPr>
          <w:spacing w:val="-6"/>
          <w:sz w:val="20"/>
        </w:rPr>
        <w:t> </w:t>
      </w:r>
      <w:r>
        <w:rPr>
          <w:sz w:val="20"/>
        </w:rPr>
        <w:t>o</w:t>
      </w:r>
      <w:r>
        <w:rPr>
          <w:spacing w:val="-7"/>
          <w:sz w:val="20"/>
        </w:rPr>
        <w:t> </w:t>
      </w:r>
      <w:r>
        <w:rPr>
          <w:sz w:val="20"/>
        </w:rPr>
        <w:t>tolerar</w:t>
      </w:r>
      <w:r>
        <w:rPr>
          <w:spacing w:val="-6"/>
          <w:sz w:val="20"/>
        </w:rPr>
        <w:t> </w:t>
      </w:r>
      <w:r>
        <w:rPr>
          <w:sz w:val="20"/>
        </w:rPr>
        <w:t>actos</w:t>
      </w:r>
      <w:r>
        <w:rPr>
          <w:spacing w:val="-5"/>
          <w:sz w:val="20"/>
        </w:rPr>
        <w:t> </w:t>
      </w:r>
      <w:r>
        <w:rPr>
          <w:sz w:val="20"/>
        </w:rPr>
        <w:t>de</w:t>
      </w:r>
      <w:r>
        <w:rPr>
          <w:spacing w:val="-6"/>
          <w:sz w:val="20"/>
        </w:rPr>
        <w:t> </w:t>
      </w:r>
      <w:r>
        <w:rPr>
          <w:sz w:val="20"/>
        </w:rPr>
        <w:t>hostigamiento</w:t>
      </w:r>
      <w:r>
        <w:rPr>
          <w:spacing w:val="-2"/>
          <w:sz w:val="20"/>
        </w:rPr>
        <w:t> </w:t>
      </w:r>
      <w:r>
        <w:rPr>
          <w:sz w:val="20"/>
        </w:rPr>
        <w:t>y/o</w:t>
      </w:r>
      <w:r>
        <w:rPr>
          <w:spacing w:val="-5"/>
          <w:sz w:val="20"/>
        </w:rPr>
        <w:t> </w:t>
      </w:r>
      <w:r>
        <w:rPr>
          <w:sz w:val="20"/>
        </w:rPr>
        <w:t>acoso</w:t>
      </w:r>
      <w:r>
        <w:rPr>
          <w:spacing w:val="-6"/>
          <w:sz w:val="20"/>
        </w:rPr>
        <w:t> </w:t>
      </w:r>
      <w:r>
        <w:rPr>
          <w:sz w:val="20"/>
        </w:rPr>
        <w:t>sexual</w:t>
      </w:r>
      <w:r>
        <w:rPr>
          <w:spacing w:val="-7"/>
          <w:sz w:val="20"/>
        </w:rPr>
        <w:t> </w:t>
      </w:r>
      <w:r>
        <w:rPr>
          <w:sz w:val="20"/>
        </w:rPr>
        <w:t>en</w:t>
      </w:r>
      <w:r>
        <w:rPr>
          <w:spacing w:val="-7"/>
          <w:sz w:val="20"/>
        </w:rPr>
        <w:t> </w:t>
      </w:r>
      <w:r>
        <w:rPr>
          <w:sz w:val="20"/>
        </w:rPr>
        <w:t>el</w:t>
      </w:r>
      <w:r>
        <w:rPr>
          <w:spacing w:val="-7"/>
          <w:sz w:val="20"/>
        </w:rPr>
        <w:t> </w:t>
      </w:r>
      <w:r>
        <w:rPr>
          <w:sz w:val="20"/>
        </w:rPr>
        <w:t>centro</w:t>
      </w:r>
      <w:r>
        <w:rPr>
          <w:spacing w:val="-6"/>
          <w:sz w:val="20"/>
        </w:rPr>
        <w:t> </w:t>
      </w:r>
      <w:r>
        <w:rPr>
          <w:sz w:val="20"/>
        </w:rPr>
        <w:t>de</w:t>
      </w:r>
      <w:r>
        <w:rPr>
          <w:spacing w:val="-5"/>
          <w:sz w:val="20"/>
        </w:rPr>
        <w:t> </w:t>
      </w:r>
      <w:r>
        <w:rPr>
          <w:spacing w:val="-2"/>
          <w:sz w:val="20"/>
        </w:rPr>
        <w:t>trabajo;</w:t>
      </w:r>
    </w:p>
    <w:p>
      <w:pPr>
        <w:spacing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ListParagraph"/>
        <w:numPr>
          <w:ilvl w:val="0"/>
          <w:numId w:val="27"/>
        </w:numPr>
        <w:tabs>
          <w:tab w:pos="1195" w:val="left" w:leader="none"/>
        </w:tabs>
        <w:spacing w:line="242" w:lineRule="auto" w:before="0" w:after="0"/>
        <w:ind w:left="1195" w:right="340" w:hanging="569"/>
        <w:jc w:val="left"/>
        <w:rPr>
          <w:sz w:val="20"/>
        </w:rPr>
      </w:pPr>
      <w:r>
        <w:rPr>
          <w:sz w:val="20"/>
        </w:rPr>
        <w:t>Exigir la presentación de certificados médicos de no embarazo para el ingreso, permanencia o ascenso en el empleo;</w:t>
      </w:r>
    </w:p>
    <w:p>
      <w:pPr>
        <w:spacing w:line="180" w:lineRule="exact" w:before="0"/>
        <w:ind w:left="52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0"/>
          <w:numId w:val="27"/>
        </w:numPr>
        <w:tabs>
          <w:tab w:pos="1193" w:val="left" w:leader="none"/>
          <w:tab w:pos="1195" w:val="left" w:leader="none"/>
        </w:tabs>
        <w:spacing w:line="240" w:lineRule="auto" w:before="0" w:after="0"/>
        <w:ind w:left="1195" w:right="348" w:hanging="569"/>
        <w:jc w:val="both"/>
        <w:rPr>
          <w:sz w:val="20"/>
        </w:rPr>
      </w:pPr>
      <w:r>
        <w:rPr>
          <w:sz w:val="20"/>
        </w:rPr>
        <w:t>Despedir a una trabajadora o coaccionarla directa o indirectamente para que renuncie por estar embarazada, por cambio de estado civil o por tener el cuidado de hijos menores, y</w:t>
      </w:r>
    </w:p>
    <w:p>
      <w:pPr>
        <w:spacing w:line="182" w:lineRule="exact" w:before="0"/>
        <w:ind w:left="52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0"/>
          <w:numId w:val="27"/>
        </w:numPr>
        <w:tabs>
          <w:tab w:pos="1195" w:val="left" w:leader="none"/>
        </w:tabs>
        <w:spacing w:line="240" w:lineRule="auto" w:before="1" w:after="0"/>
        <w:ind w:left="1195" w:right="342" w:hanging="569"/>
        <w:jc w:val="both"/>
        <w:rPr>
          <w:sz w:val="20"/>
        </w:rPr>
      </w:pPr>
      <w:r>
        <w:rPr>
          <w:sz w:val="20"/>
        </w:rPr>
        <w:t>Dar de baja o terminar la relación laboral de un trabajador que tenga la calidad de persona desaparecida y</w:t>
      </w:r>
      <w:r>
        <w:rPr>
          <w:spacing w:val="-4"/>
          <w:sz w:val="20"/>
        </w:rPr>
        <w:t> </w:t>
      </w:r>
      <w:r>
        <w:rPr>
          <w:sz w:val="20"/>
        </w:rPr>
        <w:t>cuente</w:t>
      </w:r>
      <w:r>
        <w:rPr>
          <w:spacing w:val="-1"/>
          <w:sz w:val="20"/>
        </w:rPr>
        <w:t> </w:t>
      </w:r>
      <w:r>
        <w:rPr>
          <w:sz w:val="20"/>
        </w:rPr>
        <w:t>con Declaración</w:t>
      </w:r>
      <w:r>
        <w:rPr>
          <w:spacing w:val="-1"/>
          <w:sz w:val="20"/>
        </w:rPr>
        <w:t> </w:t>
      </w:r>
      <w:r>
        <w:rPr>
          <w:sz w:val="20"/>
        </w:rPr>
        <w:t>Especial</w:t>
      </w:r>
      <w:r>
        <w:rPr>
          <w:spacing w:val="-1"/>
          <w:sz w:val="20"/>
        </w:rPr>
        <w:t> </w:t>
      </w:r>
      <w:r>
        <w:rPr>
          <w:sz w:val="20"/>
        </w:rPr>
        <w:t>de Ausencia, en</w:t>
      </w:r>
      <w:r>
        <w:rPr>
          <w:spacing w:val="-1"/>
          <w:sz w:val="20"/>
        </w:rPr>
        <w:t> </w:t>
      </w:r>
      <w:r>
        <w:rPr>
          <w:sz w:val="20"/>
        </w:rPr>
        <w:t>los términos de</w:t>
      </w:r>
      <w:r>
        <w:rPr>
          <w:spacing w:val="-1"/>
          <w:sz w:val="20"/>
        </w:rPr>
        <w:t> </w:t>
      </w:r>
      <w:r>
        <w:rPr>
          <w:sz w:val="20"/>
        </w:rPr>
        <w:t>lo</w:t>
      </w:r>
      <w:r>
        <w:rPr>
          <w:spacing w:val="-1"/>
          <w:sz w:val="20"/>
        </w:rPr>
        <w:t> </w:t>
      </w:r>
      <w:r>
        <w:rPr>
          <w:sz w:val="20"/>
        </w:rPr>
        <w:t>establecido en la legislación especial en la materia.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7"/>
        <w:rPr>
          <w:rFonts w:ascii="Times New Roman"/>
          <w:i/>
          <w:sz w:val="16"/>
        </w:rPr>
      </w:pPr>
    </w:p>
    <w:p>
      <w:pPr>
        <w:pStyle w:val="BodyText"/>
        <w:spacing w:line="242" w:lineRule="auto"/>
        <w:ind w:left="1195" w:hanging="569"/>
      </w:pPr>
      <w:r>
        <w:rPr>
          <w:rFonts w:ascii="Arial"/>
          <w:b/>
        </w:rPr>
        <w:t>XVII.- </w:t>
      </w:r>
      <w:r>
        <w:rPr/>
        <w:t>Realizar</w:t>
      </w:r>
      <w:r>
        <w:rPr>
          <w:spacing w:val="27"/>
        </w:rPr>
        <w:t> </w:t>
      </w:r>
      <w:r>
        <w:rPr/>
        <w:t>cualquier</w:t>
      </w:r>
      <w:r>
        <w:rPr>
          <w:spacing w:val="29"/>
        </w:rPr>
        <w:t> </w:t>
      </w:r>
      <w:r>
        <w:rPr/>
        <w:t>acto</w:t>
      </w:r>
      <w:r>
        <w:rPr>
          <w:spacing w:val="26"/>
        </w:rPr>
        <w:t> </w:t>
      </w:r>
      <w:r>
        <w:rPr/>
        <w:t>tendiente</w:t>
      </w:r>
      <w:r>
        <w:rPr>
          <w:spacing w:val="28"/>
        </w:rPr>
        <w:t> </w:t>
      </w:r>
      <w:r>
        <w:rPr/>
        <w:t>a</w:t>
      </w:r>
      <w:r>
        <w:rPr>
          <w:spacing w:val="29"/>
        </w:rPr>
        <w:t> </w:t>
      </w:r>
      <w:r>
        <w:rPr/>
        <w:t>ejercer</w:t>
      </w:r>
      <w:r>
        <w:rPr>
          <w:spacing w:val="27"/>
        </w:rPr>
        <w:t> </w:t>
      </w:r>
      <w:r>
        <w:rPr/>
        <w:t>control</w:t>
      </w:r>
      <w:r>
        <w:rPr>
          <w:spacing w:val="26"/>
        </w:rPr>
        <w:t> </w:t>
      </w:r>
      <w:r>
        <w:rPr/>
        <w:t>sobre</w:t>
      </w:r>
      <w:r>
        <w:rPr>
          <w:spacing w:val="26"/>
        </w:rPr>
        <w:t> </w:t>
      </w:r>
      <w:r>
        <w:rPr/>
        <w:t>el</w:t>
      </w:r>
      <w:r>
        <w:rPr>
          <w:spacing w:val="26"/>
        </w:rPr>
        <w:t> </w:t>
      </w:r>
      <w:r>
        <w:rPr/>
        <w:t>sindicato</w:t>
      </w:r>
      <w:r>
        <w:rPr>
          <w:spacing w:val="28"/>
        </w:rPr>
        <w:t> </w:t>
      </w:r>
      <w:r>
        <w:rPr/>
        <w:t>al</w:t>
      </w:r>
      <w:r>
        <w:rPr>
          <w:spacing w:val="27"/>
        </w:rPr>
        <w:t> </w:t>
      </w:r>
      <w:r>
        <w:rPr/>
        <w:t>que</w:t>
      </w:r>
      <w:r>
        <w:rPr>
          <w:spacing w:val="26"/>
        </w:rPr>
        <w:t> </w:t>
      </w:r>
      <w:r>
        <w:rPr/>
        <w:t>pertenezcan</w:t>
      </w:r>
      <w:r>
        <w:rPr>
          <w:spacing w:val="28"/>
        </w:rPr>
        <w:t> </w:t>
      </w:r>
      <w:r>
        <w:rPr/>
        <w:t>sus </w:t>
      </w:r>
      <w:r>
        <w:rPr>
          <w:spacing w:val="-2"/>
        </w:rPr>
        <w:t>trabajadores;</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01-05-2019.</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19-12-</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line="242" w:lineRule="auto"/>
        <w:ind w:left="1195" w:right="342" w:hanging="569"/>
      </w:pPr>
      <w:r>
        <w:rPr>
          <w:rFonts w:ascii="Arial" w:hAnsi="Arial"/>
          <w:b/>
        </w:rPr>
        <w:t>XVII Bis.- </w:t>
      </w:r>
      <w:r>
        <w:rPr/>
        <w:t>Obligar a las personas trabajadoras a permanecer de pie durante la totalidad de la jornada laboral y prohibirles tomar asiento periódicamente durante el desarrollo de sus funciones,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19-12-</w:t>
      </w:r>
      <w:r>
        <w:rPr>
          <w:rFonts w:ascii="Times New Roman" w:hAnsi="Times New Roman"/>
          <w:i/>
          <w:color w:val="0000FF"/>
          <w:spacing w:val="-4"/>
          <w:sz w:val="16"/>
        </w:rPr>
        <w:t>2024</w:t>
      </w:r>
    </w:p>
    <w:p>
      <w:pPr>
        <w:pStyle w:val="BodyText"/>
        <w:spacing w:before="1"/>
        <w:rPr>
          <w:rFonts w:ascii="Times New Roman"/>
          <w:i/>
          <w:sz w:val="12"/>
        </w:rPr>
      </w:pPr>
    </w:p>
    <w:p>
      <w:pPr>
        <w:pStyle w:val="BodyText"/>
        <w:spacing w:after="0"/>
        <w:rPr>
          <w:rFonts w:ascii="Times New Roman"/>
          <w:i/>
          <w:sz w:val="12"/>
        </w:rPr>
        <w:sectPr>
          <w:pgSz w:w="12240" w:h="15840"/>
          <w:pgMar w:header="724" w:footer="712" w:top="1880" w:bottom="900" w:left="1080" w:right="1080"/>
        </w:sectPr>
      </w:pPr>
    </w:p>
    <w:p>
      <w:pPr>
        <w:pStyle w:val="BodyText"/>
        <w:spacing w:before="93"/>
        <w:ind w:left="626"/>
      </w:pPr>
      <w:r>
        <w:rPr>
          <w:rFonts w:ascii="Arial" w:hAnsi="Arial"/>
          <w:b/>
        </w:rPr>
        <w:t>XVIII.</w:t>
      </w:r>
      <w:r>
        <w:rPr>
          <w:rFonts w:ascii="Arial" w:hAnsi="Arial"/>
          <w:b/>
          <w:spacing w:val="16"/>
        </w:rPr>
        <w:t> </w:t>
      </w:r>
      <w:r>
        <w:rPr/>
        <w:t>Las</w:t>
      </w:r>
      <w:r>
        <w:rPr>
          <w:spacing w:val="-5"/>
        </w:rPr>
        <w:t> </w:t>
      </w:r>
      <w:r>
        <w:rPr/>
        <w:t>demás</w:t>
      </w:r>
      <w:r>
        <w:rPr>
          <w:spacing w:val="-6"/>
        </w:rPr>
        <w:t> </w:t>
      </w:r>
      <w:r>
        <w:rPr/>
        <w:t>que</w:t>
      </w:r>
      <w:r>
        <w:rPr>
          <w:spacing w:val="-6"/>
        </w:rPr>
        <w:t> </w:t>
      </w:r>
      <w:r>
        <w:rPr/>
        <w:t>establezca</w:t>
      </w:r>
      <w:r>
        <w:rPr>
          <w:spacing w:val="-3"/>
        </w:rPr>
        <w:t> </w:t>
      </w:r>
      <w:r>
        <w:rPr/>
        <w:t>esta</w:t>
      </w:r>
      <w:r>
        <w:rPr>
          <w:spacing w:val="-7"/>
        </w:rPr>
        <w:t> </w:t>
      </w:r>
      <w:r>
        <w:rPr>
          <w:spacing w:val="-4"/>
        </w:rPr>
        <w:t>Ley.</w:t>
      </w:r>
    </w:p>
    <w:p>
      <w:pPr>
        <w:pStyle w:val="BodyText"/>
        <w:spacing w:before="181"/>
      </w:pPr>
    </w:p>
    <w:p>
      <w:pPr>
        <w:pStyle w:val="Heading1"/>
        <w:ind w:left="3310" w:right="1"/>
      </w:pPr>
      <w:r>
        <w:rPr/>
        <w:t>CAPITULO</w:t>
      </w:r>
      <w:r>
        <w:rPr>
          <w:spacing w:val="-9"/>
        </w:rPr>
        <w:t> </w:t>
      </w:r>
      <w:r>
        <w:rPr>
          <w:spacing w:val="-7"/>
        </w:rPr>
        <w:t>II</w:t>
      </w:r>
    </w:p>
    <w:p>
      <w:pPr>
        <w:pStyle w:val="Heading2"/>
        <w:spacing w:before="1"/>
        <w:ind w:left="3310" w:right="0"/>
      </w:pPr>
      <w:r>
        <w:rPr/>
        <w:t>Obligaciones</w:t>
      </w:r>
      <w:r>
        <w:rPr>
          <w:spacing w:val="-6"/>
        </w:rPr>
        <w:t> </w:t>
      </w:r>
      <w:r>
        <w:rPr/>
        <w:t>de</w:t>
      </w:r>
      <w:r>
        <w:rPr>
          <w:spacing w:val="-6"/>
        </w:rPr>
        <w:t> </w:t>
      </w:r>
      <w:r>
        <w:rPr/>
        <w:t>los</w:t>
      </w:r>
      <w:r>
        <w:rPr>
          <w:spacing w:val="-6"/>
        </w:rPr>
        <w:t> </w:t>
      </w:r>
      <w:r>
        <w:rPr>
          <w:spacing w:val="-2"/>
        </w:rPr>
        <w:t>trabajadores</w:t>
      </w:r>
    </w:p>
    <w:p>
      <w:pPr>
        <w:spacing w:before="232"/>
        <w:ind w:left="626" w:right="0" w:firstLine="0"/>
        <w:jc w:val="left"/>
        <w:rPr>
          <w:sz w:val="20"/>
        </w:rPr>
      </w:pPr>
      <w:bookmarkStart w:name="Artículo_134" w:id="153"/>
      <w:bookmarkEnd w:id="153"/>
      <w:r>
        <w:rPr/>
      </w:r>
      <w:r>
        <w:rPr>
          <w:rFonts w:ascii="Arial" w:hAnsi="Arial"/>
          <w:b/>
          <w:sz w:val="20"/>
        </w:rPr>
        <w:t>Artículo</w:t>
      </w:r>
      <w:r>
        <w:rPr>
          <w:rFonts w:ascii="Arial" w:hAnsi="Arial"/>
          <w:b/>
          <w:spacing w:val="-7"/>
          <w:sz w:val="20"/>
        </w:rPr>
        <w:t> </w:t>
      </w:r>
      <w:r>
        <w:rPr>
          <w:rFonts w:ascii="Arial" w:hAnsi="Arial"/>
          <w:b/>
          <w:sz w:val="20"/>
        </w:rPr>
        <w:t>134.-</w:t>
      </w:r>
      <w:r>
        <w:rPr>
          <w:rFonts w:ascii="Arial" w:hAnsi="Arial"/>
          <w:b/>
          <w:spacing w:val="-4"/>
          <w:sz w:val="20"/>
        </w:rPr>
        <w:t> </w:t>
      </w:r>
      <w:r>
        <w:rPr>
          <w:sz w:val="20"/>
        </w:rPr>
        <w:t>Son</w:t>
      </w:r>
      <w:r>
        <w:rPr>
          <w:spacing w:val="-6"/>
          <w:sz w:val="20"/>
        </w:rPr>
        <w:t> </w:t>
      </w:r>
      <w:r>
        <w:rPr>
          <w:sz w:val="20"/>
        </w:rPr>
        <w:t>obligaciones</w:t>
      </w:r>
      <w:r>
        <w:rPr>
          <w:spacing w:val="-6"/>
          <w:sz w:val="20"/>
        </w:rPr>
        <w:t> </w:t>
      </w:r>
      <w:r>
        <w:rPr>
          <w:sz w:val="20"/>
        </w:rPr>
        <w:t>de</w:t>
      </w:r>
      <w:r>
        <w:rPr>
          <w:spacing w:val="-7"/>
          <w:sz w:val="20"/>
        </w:rPr>
        <w:t> </w:t>
      </w:r>
      <w:r>
        <w:rPr>
          <w:sz w:val="20"/>
        </w:rPr>
        <w:t>los</w:t>
      </w:r>
      <w:r>
        <w:rPr>
          <w:spacing w:val="-6"/>
          <w:sz w:val="20"/>
        </w:rPr>
        <w:t> </w:t>
      </w:r>
      <w:r>
        <w:rPr>
          <w:spacing w:val="-2"/>
          <w:sz w:val="20"/>
        </w:rPr>
        <w:t>trabajadores:</w:t>
      </w:r>
    </w:p>
    <w:p>
      <w:pPr>
        <w:spacing w:line="240" w:lineRule="auto" w:before="139"/>
        <w:rPr>
          <w:sz w:val="16"/>
        </w:rPr>
      </w:pPr>
      <w:r>
        <w:rPr/>
        <w:br w:type="column"/>
      </w:r>
      <w:r>
        <w:rPr>
          <w:sz w:val="16"/>
        </w:rPr>
      </w:r>
    </w:p>
    <w:p>
      <w:pPr>
        <w:spacing w:before="0"/>
        <w:ind w:left="43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i/>
          <w:sz w:val="16"/>
        </w:rPr>
        <w:sectPr>
          <w:type w:val="continuous"/>
          <w:pgSz w:w="12240" w:h="15840"/>
          <w:pgMar w:header="724" w:footer="712" w:top="1880" w:bottom="900" w:left="1080" w:right="1080"/>
          <w:cols w:num="2" w:equalWidth="0">
            <w:col w:w="6771" w:space="40"/>
            <w:col w:w="3269"/>
          </w:cols>
        </w:sectPr>
      </w:pPr>
    </w:p>
    <w:p>
      <w:pPr>
        <w:pStyle w:val="BodyText"/>
        <w:spacing w:before="1"/>
        <w:rPr>
          <w:rFonts w:ascii="Times New Roman"/>
          <w:i/>
        </w:rPr>
      </w:pPr>
    </w:p>
    <w:p>
      <w:pPr>
        <w:pStyle w:val="BodyText"/>
        <w:tabs>
          <w:tab w:pos="1195" w:val="left" w:leader="none"/>
        </w:tabs>
        <w:ind w:left="626"/>
      </w:pPr>
      <w:r>
        <w:rPr>
          <w:rFonts w:ascii="Arial"/>
          <w:b/>
          <w:spacing w:val="-5"/>
        </w:rPr>
        <w:t>I.-</w:t>
      </w:r>
      <w:r>
        <w:rPr>
          <w:rFonts w:ascii="Arial"/>
          <w:b/>
        </w:rPr>
        <w:tab/>
      </w:r>
      <w:r>
        <w:rPr/>
        <w:t>Cumplir</w:t>
      </w:r>
      <w:r>
        <w:rPr>
          <w:spacing w:val="-6"/>
        </w:rPr>
        <w:t> </w:t>
      </w:r>
      <w:r>
        <w:rPr/>
        <w:t>las</w:t>
      </w:r>
      <w:r>
        <w:rPr>
          <w:spacing w:val="-5"/>
        </w:rPr>
        <w:t> </w:t>
      </w:r>
      <w:r>
        <w:rPr/>
        <w:t>disposiciones</w:t>
      </w:r>
      <w:r>
        <w:rPr>
          <w:spacing w:val="-5"/>
        </w:rPr>
        <w:t> </w:t>
      </w:r>
      <w:r>
        <w:rPr/>
        <w:t>de</w:t>
      </w:r>
      <w:r>
        <w:rPr>
          <w:spacing w:val="-6"/>
        </w:rPr>
        <w:t> </w:t>
      </w:r>
      <w:r>
        <w:rPr/>
        <w:t>las</w:t>
      </w:r>
      <w:r>
        <w:rPr>
          <w:spacing w:val="-4"/>
        </w:rPr>
        <w:t> </w:t>
      </w:r>
      <w:r>
        <w:rPr/>
        <w:t>normas</w:t>
      </w:r>
      <w:r>
        <w:rPr>
          <w:spacing w:val="-5"/>
        </w:rPr>
        <w:t> </w:t>
      </w:r>
      <w:r>
        <w:rPr/>
        <w:t>de</w:t>
      </w:r>
      <w:r>
        <w:rPr>
          <w:spacing w:val="-7"/>
        </w:rPr>
        <w:t> </w:t>
      </w:r>
      <w:r>
        <w:rPr/>
        <w:t>trabajo</w:t>
      </w:r>
      <w:r>
        <w:rPr>
          <w:spacing w:val="-6"/>
        </w:rPr>
        <w:t> </w:t>
      </w:r>
      <w:r>
        <w:rPr/>
        <w:t>que</w:t>
      </w:r>
      <w:r>
        <w:rPr>
          <w:spacing w:val="-7"/>
        </w:rPr>
        <w:t> </w:t>
      </w:r>
      <w:r>
        <w:rPr/>
        <w:t>les</w:t>
      </w:r>
      <w:r>
        <w:rPr>
          <w:spacing w:val="-5"/>
        </w:rPr>
        <w:t> </w:t>
      </w:r>
      <w:r>
        <w:rPr/>
        <w:t>sean</w:t>
      </w:r>
      <w:r>
        <w:rPr>
          <w:spacing w:val="-7"/>
        </w:rPr>
        <w:t> </w:t>
      </w:r>
      <w:r>
        <w:rPr>
          <w:spacing w:val="-2"/>
        </w:rPr>
        <w:t>aplicables;</w:t>
      </w:r>
    </w:p>
    <w:p>
      <w:pPr>
        <w:pStyle w:val="ListParagraph"/>
        <w:numPr>
          <w:ilvl w:val="0"/>
          <w:numId w:val="30"/>
        </w:numPr>
        <w:tabs>
          <w:tab w:pos="1192" w:val="left" w:leader="none"/>
          <w:tab w:pos="1195" w:val="left" w:leader="none"/>
        </w:tabs>
        <w:spacing w:line="242" w:lineRule="auto" w:before="228" w:after="0"/>
        <w:ind w:left="1195" w:right="341" w:hanging="569"/>
        <w:jc w:val="both"/>
        <w:rPr>
          <w:sz w:val="20"/>
        </w:rPr>
      </w:pPr>
      <w:r>
        <w:rPr>
          <w:sz w:val="20"/>
        </w:rPr>
        <w:t>Observar las disposiciones contenidas en el reglamento y las normas oficiales mexicanas en materia de seguridad, salud y medio ambiente de trabajo, así como las que indiquen los patrones para su seguridad y protección personal;</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tabs>
          <w:tab w:pos="1195" w:val="left" w:leader="none"/>
        </w:tabs>
        <w:spacing w:line="242" w:lineRule="auto"/>
        <w:ind w:left="1195" w:right="344" w:hanging="569"/>
      </w:pPr>
      <w:r>
        <w:rPr>
          <w:rFonts w:ascii="Arial" w:hAnsi="Arial"/>
          <w:b/>
          <w:spacing w:val="-2"/>
        </w:rPr>
        <w:t>III.-</w:t>
      </w:r>
      <w:r>
        <w:rPr>
          <w:rFonts w:ascii="Arial" w:hAnsi="Arial"/>
          <w:b/>
        </w:rPr>
        <w:tab/>
      </w:r>
      <w:r>
        <w:rPr/>
        <w:t>Desempeñar</w:t>
      </w:r>
      <w:r>
        <w:rPr>
          <w:spacing w:val="27"/>
        </w:rPr>
        <w:t> </w:t>
      </w:r>
      <w:r>
        <w:rPr/>
        <w:t>el</w:t>
      </w:r>
      <w:r>
        <w:rPr>
          <w:spacing w:val="25"/>
        </w:rPr>
        <w:t> </w:t>
      </w:r>
      <w:r>
        <w:rPr/>
        <w:t>servicio</w:t>
      </w:r>
      <w:r>
        <w:rPr>
          <w:spacing w:val="26"/>
        </w:rPr>
        <w:t> </w:t>
      </w:r>
      <w:r>
        <w:rPr/>
        <w:t>bajo</w:t>
      </w:r>
      <w:r>
        <w:rPr>
          <w:spacing w:val="26"/>
        </w:rPr>
        <w:t> </w:t>
      </w:r>
      <w:r>
        <w:rPr/>
        <w:t>la</w:t>
      </w:r>
      <w:r>
        <w:rPr>
          <w:spacing w:val="26"/>
        </w:rPr>
        <w:t> </w:t>
      </w:r>
      <w:r>
        <w:rPr/>
        <w:t>dirección</w:t>
      </w:r>
      <w:r>
        <w:rPr>
          <w:spacing w:val="26"/>
        </w:rPr>
        <w:t> </w:t>
      </w:r>
      <w:r>
        <w:rPr/>
        <w:t>del</w:t>
      </w:r>
      <w:r>
        <w:rPr>
          <w:spacing w:val="26"/>
        </w:rPr>
        <w:t> </w:t>
      </w:r>
      <w:r>
        <w:rPr/>
        <w:t>patrón</w:t>
      </w:r>
      <w:r>
        <w:rPr>
          <w:spacing w:val="28"/>
        </w:rPr>
        <w:t> </w:t>
      </w:r>
      <w:r>
        <w:rPr/>
        <w:t>o</w:t>
      </w:r>
      <w:r>
        <w:rPr>
          <w:spacing w:val="26"/>
        </w:rPr>
        <w:t> </w:t>
      </w:r>
      <w:r>
        <w:rPr/>
        <w:t>de</w:t>
      </w:r>
      <w:r>
        <w:rPr>
          <w:spacing w:val="26"/>
        </w:rPr>
        <w:t> </w:t>
      </w:r>
      <w:r>
        <w:rPr/>
        <w:t>su</w:t>
      </w:r>
      <w:r>
        <w:rPr>
          <w:spacing w:val="26"/>
        </w:rPr>
        <w:t> </w:t>
      </w:r>
      <w:r>
        <w:rPr/>
        <w:t>representante,</w:t>
      </w:r>
      <w:r>
        <w:rPr>
          <w:spacing w:val="26"/>
        </w:rPr>
        <w:t> </w:t>
      </w:r>
      <w:r>
        <w:rPr/>
        <w:t>a</w:t>
      </w:r>
      <w:r>
        <w:rPr>
          <w:spacing w:val="28"/>
        </w:rPr>
        <w:t> </w:t>
      </w:r>
      <w:r>
        <w:rPr/>
        <w:t>cuya</w:t>
      </w:r>
      <w:r>
        <w:rPr>
          <w:spacing w:val="26"/>
        </w:rPr>
        <w:t> </w:t>
      </w:r>
      <w:r>
        <w:rPr/>
        <w:t>autoridad estarán subordinados en todo lo concerniente al trabajo;</w:t>
      </w:r>
    </w:p>
    <w:p>
      <w:pPr>
        <w:pStyle w:val="BodyText"/>
        <w:spacing w:before="226"/>
        <w:ind w:left="1195" w:right="342" w:hanging="569"/>
        <w:jc w:val="both"/>
      </w:pPr>
      <w:r>
        <w:rPr>
          <w:rFonts w:ascii="Arial"/>
          <w:b/>
        </w:rPr>
        <w:t>IV.-</w:t>
      </w:r>
      <w:r>
        <w:rPr>
          <w:rFonts w:ascii="Arial"/>
          <w:b/>
          <w:spacing w:val="80"/>
          <w:w w:val="150"/>
        </w:rPr>
        <w:t> </w:t>
      </w:r>
      <w:r>
        <w:rPr/>
        <w:t>Ejecutar el trabajo con la intensidad, cuidado y</w:t>
      </w:r>
      <w:r>
        <w:rPr>
          <w:spacing w:val="-2"/>
        </w:rPr>
        <w:t> </w:t>
      </w:r>
      <w:r>
        <w:rPr/>
        <w:t>esmero apropiados y</w:t>
      </w:r>
      <w:r>
        <w:rPr>
          <w:spacing w:val="-2"/>
        </w:rPr>
        <w:t> </w:t>
      </w:r>
      <w:r>
        <w:rPr/>
        <w:t>en la forma,</w:t>
      </w:r>
      <w:r>
        <w:rPr>
          <w:spacing w:val="-1"/>
        </w:rPr>
        <w:t> </w:t>
      </w:r>
      <w:r>
        <w:rPr/>
        <w:t>tiempo y</w:t>
      </w:r>
      <w:r>
        <w:rPr>
          <w:spacing w:val="-2"/>
        </w:rPr>
        <w:t> </w:t>
      </w:r>
      <w:r>
        <w:rPr/>
        <w:t>lugar </w:t>
      </w:r>
      <w:r>
        <w:rPr>
          <w:spacing w:val="-2"/>
        </w:rPr>
        <w:t>convenidos;</w:t>
      </w:r>
    </w:p>
    <w:p>
      <w:pPr>
        <w:pStyle w:val="BodyText"/>
        <w:tabs>
          <w:tab w:pos="1195" w:val="left" w:leader="none"/>
        </w:tabs>
        <w:spacing w:line="242" w:lineRule="auto" w:before="229"/>
        <w:ind w:left="1195" w:right="357" w:hanging="569"/>
      </w:pPr>
      <w:r>
        <w:rPr>
          <w:rFonts w:ascii="Arial" w:hAnsi="Arial"/>
          <w:b/>
          <w:spacing w:val="-4"/>
        </w:rPr>
        <w:t>V.-</w:t>
      </w:r>
      <w:r>
        <w:rPr>
          <w:rFonts w:ascii="Arial" w:hAnsi="Arial"/>
          <w:b/>
        </w:rPr>
        <w:tab/>
      </w:r>
      <w:r>
        <w:rPr/>
        <w:t>Dar aviso inmediato al patrón, salvo caso fortuito o de fuerza mayor, de las causas justificadas que le impidan concurrir a su trabajo;</w:t>
      </w:r>
    </w:p>
    <w:p>
      <w:pPr>
        <w:pStyle w:val="BodyText"/>
        <w:spacing w:before="227"/>
        <w:ind w:left="1195" w:right="337" w:hanging="569"/>
        <w:jc w:val="both"/>
      </w:pPr>
      <w:r>
        <w:rPr>
          <w:rFonts w:ascii="Arial" w:hAnsi="Arial"/>
          <w:b/>
        </w:rPr>
        <w:t>VI.-</w:t>
      </w:r>
      <w:r>
        <w:rPr>
          <w:rFonts w:ascii="Arial" w:hAnsi="Arial"/>
          <w:b/>
          <w:spacing w:val="40"/>
        </w:rPr>
        <w:t>  </w:t>
      </w:r>
      <w:r>
        <w:rPr/>
        <w:t>Restituir</w:t>
      </w:r>
      <w:r>
        <w:rPr>
          <w:spacing w:val="35"/>
        </w:rPr>
        <w:t> </w:t>
      </w:r>
      <w:r>
        <w:rPr/>
        <w:t>al</w:t>
      </w:r>
      <w:r>
        <w:rPr>
          <w:spacing w:val="33"/>
        </w:rPr>
        <w:t> </w:t>
      </w:r>
      <w:r>
        <w:rPr/>
        <w:t>patrón</w:t>
      </w:r>
      <w:r>
        <w:rPr>
          <w:spacing w:val="34"/>
        </w:rPr>
        <w:t> </w:t>
      </w:r>
      <w:r>
        <w:rPr/>
        <w:t>los</w:t>
      </w:r>
      <w:r>
        <w:rPr>
          <w:spacing w:val="33"/>
        </w:rPr>
        <w:t> </w:t>
      </w:r>
      <w:r>
        <w:rPr/>
        <w:t>materiales</w:t>
      </w:r>
      <w:r>
        <w:rPr>
          <w:spacing w:val="35"/>
        </w:rPr>
        <w:t> </w:t>
      </w:r>
      <w:r>
        <w:rPr/>
        <w:t>no</w:t>
      </w:r>
      <w:r>
        <w:rPr>
          <w:spacing w:val="34"/>
        </w:rPr>
        <w:t> </w:t>
      </w:r>
      <w:r>
        <w:rPr/>
        <w:t>usados</w:t>
      </w:r>
      <w:r>
        <w:rPr>
          <w:spacing w:val="38"/>
        </w:rPr>
        <w:t> </w:t>
      </w:r>
      <w:r>
        <w:rPr/>
        <w:t>y conservar</w:t>
      </w:r>
      <w:r>
        <w:rPr>
          <w:spacing w:val="35"/>
        </w:rPr>
        <w:t> </w:t>
      </w:r>
      <w:r>
        <w:rPr/>
        <w:t>en</w:t>
      </w:r>
      <w:r>
        <w:rPr>
          <w:spacing w:val="34"/>
        </w:rPr>
        <w:t> </w:t>
      </w:r>
      <w:r>
        <w:rPr/>
        <w:t>buen</w:t>
      </w:r>
      <w:r>
        <w:rPr>
          <w:spacing w:val="34"/>
        </w:rPr>
        <w:t> </w:t>
      </w:r>
      <w:r>
        <w:rPr/>
        <w:t>estado</w:t>
      </w:r>
      <w:r>
        <w:rPr>
          <w:spacing w:val="34"/>
        </w:rPr>
        <w:t> </w:t>
      </w:r>
      <w:r>
        <w:rPr/>
        <w:t>los</w:t>
      </w:r>
      <w:r>
        <w:rPr>
          <w:spacing w:val="35"/>
        </w:rPr>
        <w:t> </w:t>
      </w:r>
      <w:r>
        <w:rPr/>
        <w:t>instrumentos</w:t>
      </w:r>
      <w:r>
        <w:rPr>
          <w:spacing w:val="38"/>
        </w:rPr>
        <w:t> </w:t>
      </w:r>
      <w:r>
        <w:rPr/>
        <w:t>y útiles que les haya dado para el trabajo, no siendo responsables por el deterioro que origine el uso de estos objetos, ni del ocasionado por caso fortuito, fuerza mayor, o por mala calidad o defectuosa construcción;</w:t>
      </w:r>
    </w:p>
    <w:p>
      <w:pPr>
        <w:pStyle w:val="BodyText"/>
      </w:pPr>
    </w:p>
    <w:p>
      <w:pPr>
        <w:pStyle w:val="BodyText"/>
        <w:tabs>
          <w:tab w:pos="1195" w:val="left" w:leader="none"/>
        </w:tabs>
        <w:ind w:left="626"/>
      </w:pPr>
      <w:r>
        <w:rPr>
          <w:rFonts w:ascii="Arial"/>
          <w:b/>
          <w:spacing w:val="-2"/>
        </w:rPr>
        <w:t>VII.-</w:t>
      </w:r>
      <w:r>
        <w:rPr>
          <w:rFonts w:ascii="Arial"/>
          <w:b/>
        </w:rPr>
        <w:tab/>
      </w:r>
      <w:r>
        <w:rPr/>
        <w:t>Observar</w:t>
      </w:r>
      <w:r>
        <w:rPr>
          <w:spacing w:val="-8"/>
        </w:rPr>
        <w:t> </w:t>
      </w:r>
      <w:r>
        <w:rPr/>
        <w:t>buenas</w:t>
      </w:r>
      <w:r>
        <w:rPr>
          <w:spacing w:val="-7"/>
        </w:rPr>
        <w:t> </w:t>
      </w:r>
      <w:r>
        <w:rPr/>
        <w:t>costumbres</w:t>
      </w:r>
      <w:r>
        <w:rPr>
          <w:spacing w:val="-7"/>
        </w:rPr>
        <w:t> </w:t>
      </w:r>
      <w:r>
        <w:rPr/>
        <w:t>durante</w:t>
      </w:r>
      <w:r>
        <w:rPr>
          <w:spacing w:val="-7"/>
        </w:rPr>
        <w:t> </w:t>
      </w:r>
      <w:r>
        <w:rPr/>
        <w:t>el</w:t>
      </w:r>
      <w:r>
        <w:rPr>
          <w:spacing w:val="-9"/>
        </w:rPr>
        <w:t> </w:t>
      </w:r>
      <w:r>
        <w:rPr>
          <w:spacing w:val="-2"/>
        </w:rPr>
        <w:t>servicio;</w:t>
      </w:r>
    </w:p>
    <w:p>
      <w:pPr>
        <w:pStyle w:val="BodyText"/>
        <w:spacing w:line="242" w:lineRule="auto" w:before="228"/>
        <w:ind w:left="1195" w:hanging="569"/>
      </w:pPr>
      <w:r>
        <w:rPr>
          <w:rFonts w:ascii="Arial" w:hAnsi="Arial"/>
          <w:b/>
        </w:rPr>
        <w:t>VIII.-</w:t>
      </w:r>
      <w:r>
        <w:rPr>
          <w:rFonts w:ascii="Arial" w:hAnsi="Arial"/>
          <w:b/>
          <w:spacing w:val="80"/>
        </w:rPr>
        <w:t> </w:t>
      </w:r>
      <w:r>
        <w:rPr/>
        <w:t>Prestar auxilios en cualquier tiempo que se necesiten, cuando por siniestro o riesgo inminente peligren las personas o los intereses del patrón o de sus compañeros de trabajo;</w:t>
      </w:r>
    </w:p>
    <w:p>
      <w:pPr>
        <w:pStyle w:val="BodyText"/>
        <w:spacing w:after="0" w:line="242" w:lineRule="auto"/>
        <w:sectPr>
          <w:type w:val="continuous"/>
          <w:pgSz w:w="12240" w:h="15840"/>
          <w:pgMar w:header="724" w:footer="712" w:top="1880" w:bottom="900" w:left="1080" w:right="1080"/>
        </w:sectPr>
      </w:pPr>
    </w:p>
    <w:p>
      <w:pPr>
        <w:pStyle w:val="BodyText"/>
      </w:pPr>
    </w:p>
    <w:p>
      <w:pPr>
        <w:pStyle w:val="BodyText"/>
        <w:spacing w:before="63"/>
      </w:pPr>
    </w:p>
    <w:p>
      <w:pPr>
        <w:pStyle w:val="BodyText"/>
        <w:tabs>
          <w:tab w:pos="1195" w:val="left" w:leader="none"/>
        </w:tabs>
        <w:ind w:left="626"/>
      </w:pPr>
      <w:r>
        <w:rPr>
          <w:rFonts w:ascii="Arial"/>
          <w:b/>
          <w:spacing w:val="-4"/>
        </w:rPr>
        <w:t>IX.-</w:t>
      </w:r>
      <w:r>
        <w:rPr>
          <w:rFonts w:ascii="Arial"/>
          <w:b/>
        </w:rPr>
        <w:tab/>
      </w:r>
      <w:r>
        <w:rPr/>
        <w:t>Integrar</w:t>
      </w:r>
      <w:r>
        <w:rPr>
          <w:spacing w:val="-6"/>
        </w:rPr>
        <w:t> </w:t>
      </w:r>
      <w:r>
        <w:rPr/>
        <w:t>los</w:t>
      </w:r>
      <w:r>
        <w:rPr>
          <w:spacing w:val="-7"/>
        </w:rPr>
        <w:t> </w:t>
      </w:r>
      <w:r>
        <w:rPr/>
        <w:t>organismos</w:t>
      </w:r>
      <w:r>
        <w:rPr>
          <w:spacing w:val="-7"/>
        </w:rPr>
        <w:t> </w:t>
      </w:r>
      <w:r>
        <w:rPr/>
        <w:t>que</w:t>
      </w:r>
      <w:r>
        <w:rPr>
          <w:spacing w:val="-8"/>
        </w:rPr>
        <w:t> </w:t>
      </w:r>
      <w:r>
        <w:rPr/>
        <w:t>establece</w:t>
      </w:r>
      <w:r>
        <w:rPr>
          <w:spacing w:val="-6"/>
        </w:rPr>
        <w:t> </w:t>
      </w:r>
      <w:r>
        <w:rPr/>
        <w:t>esta</w:t>
      </w:r>
      <w:r>
        <w:rPr>
          <w:spacing w:val="-9"/>
        </w:rPr>
        <w:t> </w:t>
      </w:r>
      <w:r>
        <w:rPr>
          <w:spacing w:val="-4"/>
        </w:rPr>
        <w:t>Ley;</w:t>
      </w:r>
    </w:p>
    <w:p>
      <w:pPr>
        <w:pStyle w:val="BodyText"/>
        <w:spacing w:before="1"/>
      </w:pPr>
    </w:p>
    <w:p>
      <w:pPr>
        <w:pStyle w:val="BodyText"/>
        <w:spacing w:line="242" w:lineRule="auto"/>
        <w:ind w:left="1195" w:right="343" w:hanging="569"/>
        <w:jc w:val="both"/>
      </w:pPr>
      <w:r>
        <w:rPr>
          <w:rFonts w:ascii="Arial" w:hAnsi="Arial"/>
          <w:b/>
        </w:rPr>
        <w:t>X.-</w:t>
      </w:r>
      <w:r>
        <w:rPr>
          <w:rFonts w:ascii="Arial" w:hAnsi="Arial"/>
          <w:b/>
          <w:spacing w:val="80"/>
          <w:w w:val="150"/>
        </w:rPr>
        <w:t> </w:t>
      </w:r>
      <w:r>
        <w:rPr/>
        <w:t>Someterse a los reconocimientos médicos previstos en el reglamento interior y demás normas vigentes en la empresa o establecimiento, para comprobar que no padecen alguna incapacidad o enfermedad de trabajo, contagiosa o incurable;</w:t>
      </w:r>
    </w:p>
    <w:p>
      <w:pPr>
        <w:pStyle w:val="ListParagraph"/>
        <w:numPr>
          <w:ilvl w:val="0"/>
          <w:numId w:val="32"/>
        </w:numPr>
        <w:tabs>
          <w:tab w:pos="1195" w:val="left" w:leader="none"/>
        </w:tabs>
        <w:spacing w:line="242" w:lineRule="auto" w:before="223" w:after="0"/>
        <w:ind w:left="1195" w:right="345" w:hanging="569"/>
        <w:jc w:val="both"/>
        <w:rPr>
          <w:sz w:val="20"/>
        </w:rPr>
      </w:pPr>
      <w:r>
        <w:rPr>
          <w:sz w:val="20"/>
        </w:rPr>
        <w:t>Poner en conocimiento del patrón las enfermedades contagiosas que padezcan, tan pronto como tengan conocimiento de las mismas;</w:t>
      </w:r>
    </w:p>
    <w:p>
      <w:pPr>
        <w:pStyle w:val="ListParagraph"/>
        <w:numPr>
          <w:ilvl w:val="0"/>
          <w:numId w:val="32"/>
        </w:numPr>
        <w:tabs>
          <w:tab w:pos="1193" w:val="left" w:leader="none"/>
          <w:tab w:pos="1195" w:val="left" w:leader="none"/>
        </w:tabs>
        <w:spacing w:line="242" w:lineRule="auto" w:before="226" w:after="0"/>
        <w:ind w:left="1195" w:right="335" w:hanging="569"/>
        <w:jc w:val="both"/>
        <w:rPr>
          <w:sz w:val="20"/>
        </w:rPr>
      </w:pPr>
      <w:r>
        <w:rPr>
          <w:sz w:val="20"/>
        </w:rPr>
        <w:t>Comunicar al patrón o a su representante las deficiencias que adviertan, a fin de evitar daños o perjuicios a los intereses y vidas de sus compañeros de trabajo o de los patrones; y</w:t>
      </w:r>
    </w:p>
    <w:p>
      <w:pPr>
        <w:pStyle w:val="ListParagraph"/>
        <w:numPr>
          <w:ilvl w:val="0"/>
          <w:numId w:val="32"/>
        </w:numPr>
        <w:tabs>
          <w:tab w:pos="1193" w:val="left" w:leader="none"/>
          <w:tab w:pos="1195" w:val="left" w:leader="none"/>
        </w:tabs>
        <w:spacing w:line="242" w:lineRule="auto" w:before="225" w:after="0"/>
        <w:ind w:left="1195" w:right="341" w:hanging="569"/>
        <w:jc w:val="both"/>
        <w:rPr>
          <w:sz w:val="20"/>
        </w:rPr>
      </w:pPr>
      <w:r>
        <w:rPr>
          <w:sz w:val="20"/>
        </w:rPr>
        <w:t>Guardar escrupulosamente los secretos técnicos, comerciales y</w:t>
      </w:r>
      <w:r>
        <w:rPr>
          <w:spacing w:val="-1"/>
          <w:sz w:val="20"/>
        </w:rPr>
        <w:t> </w:t>
      </w:r>
      <w:r>
        <w:rPr>
          <w:sz w:val="20"/>
        </w:rPr>
        <w:t>de</w:t>
      </w:r>
      <w:r>
        <w:rPr>
          <w:spacing w:val="-1"/>
          <w:sz w:val="20"/>
        </w:rPr>
        <w:t> </w:t>
      </w:r>
      <w:r>
        <w:rPr>
          <w:sz w:val="20"/>
        </w:rPr>
        <w:t>fabricación de los productos a</w:t>
      </w:r>
      <w:r>
        <w:rPr>
          <w:spacing w:val="-2"/>
          <w:sz w:val="20"/>
        </w:rPr>
        <w:t> </w:t>
      </w:r>
      <w:r>
        <w:rPr>
          <w:sz w:val="20"/>
        </w:rPr>
        <w:t>cuya elaboración concurran directa o indirectamente,</w:t>
      </w:r>
      <w:r>
        <w:rPr>
          <w:spacing w:val="-2"/>
          <w:sz w:val="20"/>
        </w:rPr>
        <w:t> </w:t>
      </w:r>
      <w:r>
        <w:rPr>
          <w:sz w:val="20"/>
        </w:rPr>
        <w:t>o de los</w:t>
      </w:r>
      <w:r>
        <w:rPr>
          <w:spacing w:val="-1"/>
          <w:sz w:val="20"/>
        </w:rPr>
        <w:t> </w:t>
      </w:r>
      <w:r>
        <w:rPr>
          <w:sz w:val="20"/>
        </w:rPr>
        <w:t>cuales</w:t>
      </w:r>
      <w:r>
        <w:rPr>
          <w:spacing w:val="-1"/>
          <w:sz w:val="20"/>
        </w:rPr>
        <w:t> </w:t>
      </w:r>
      <w:r>
        <w:rPr>
          <w:sz w:val="20"/>
        </w:rPr>
        <w:t>tengan conocimiento por razón del trabajo que desempeñen, así como de los asuntos administrativos reservados, cuya divulgación pueda causar perjuicios a la empresa.</w:t>
      </w:r>
    </w:p>
    <w:p>
      <w:pPr>
        <w:spacing w:before="220"/>
        <w:ind w:left="626" w:right="0" w:firstLine="0"/>
        <w:jc w:val="left"/>
        <w:rPr>
          <w:sz w:val="20"/>
        </w:rPr>
      </w:pPr>
      <w:bookmarkStart w:name="Artículo_135" w:id="154"/>
      <w:bookmarkEnd w:id="154"/>
      <w:r>
        <w:rPr/>
      </w:r>
      <w:r>
        <w:rPr>
          <w:rFonts w:ascii="Arial" w:hAnsi="Arial"/>
          <w:b/>
          <w:sz w:val="20"/>
        </w:rPr>
        <w:t>Artículo</w:t>
      </w:r>
      <w:r>
        <w:rPr>
          <w:rFonts w:ascii="Arial" w:hAnsi="Arial"/>
          <w:b/>
          <w:spacing w:val="-7"/>
          <w:sz w:val="20"/>
        </w:rPr>
        <w:t> </w:t>
      </w:r>
      <w:r>
        <w:rPr>
          <w:rFonts w:ascii="Arial" w:hAnsi="Arial"/>
          <w:b/>
          <w:sz w:val="20"/>
        </w:rPr>
        <w:t>135.-</w:t>
      </w:r>
      <w:r>
        <w:rPr>
          <w:rFonts w:ascii="Arial" w:hAnsi="Arial"/>
          <w:b/>
          <w:spacing w:val="-6"/>
          <w:sz w:val="20"/>
        </w:rPr>
        <w:t> </w:t>
      </w:r>
      <w:r>
        <w:rPr>
          <w:sz w:val="20"/>
        </w:rPr>
        <w:t>Queda</w:t>
      </w:r>
      <w:r>
        <w:rPr>
          <w:spacing w:val="-6"/>
          <w:sz w:val="20"/>
        </w:rPr>
        <w:t> </w:t>
      </w:r>
      <w:r>
        <w:rPr>
          <w:sz w:val="20"/>
        </w:rPr>
        <w:t>prohibido</w:t>
      </w:r>
      <w:r>
        <w:rPr>
          <w:spacing w:val="-7"/>
          <w:sz w:val="20"/>
        </w:rPr>
        <w:t> </w:t>
      </w:r>
      <w:r>
        <w:rPr>
          <w:sz w:val="20"/>
        </w:rPr>
        <w:t>a</w:t>
      </w:r>
      <w:r>
        <w:rPr>
          <w:spacing w:val="-6"/>
          <w:sz w:val="20"/>
        </w:rPr>
        <w:t> </w:t>
      </w:r>
      <w:r>
        <w:rPr>
          <w:sz w:val="20"/>
        </w:rPr>
        <w:t>los</w:t>
      </w:r>
      <w:r>
        <w:rPr>
          <w:spacing w:val="-7"/>
          <w:sz w:val="20"/>
        </w:rPr>
        <w:t> </w:t>
      </w:r>
      <w:r>
        <w:rPr>
          <w:spacing w:val="-2"/>
          <w:sz w:val="20"/>
        </w:rPr>
        <w:t>trabajadores:</w:t>
      </w:r>
    </w:p>
    <w:p>
      <w:pPr>
        <w:pStyle w:val="BodyText"/>
        <w:spacing w:before="1"/>
      </w:pPr>
    </w:p>
    <w:p>
      <w:pPr>
        <w:pStyle w:val="ListParagraph"/>
        <w:numPr>
          <w:ilvl w:val="0"/>
          <w:numId w:val="33"/>
        </w:numPr>
        <w:tabs>
          <w:tab w:pos="1193" w:val="left" w:leader="none"/>
          <w:tab w:pos="1195" w:val="left" w:leader="none"/>
        </w:tabs>
        <w:spacing w:line="242" w:lineRule="auto" w:before="0" w:after="0"/>
        <w:ind w:left="1195" w:right="342" w:hanging="569"/>
        <w:jc w:val="both"/>
        <w:rPr>
          <w:sz w:val="20"/>
        </w:rPr>
      </w:pPr>
      <w:r>
        <w:rPr>
          <w:sz w:val="20"/>
        </w:rPr>
        <w:t>Ejecutar cualquier acto que pueda poner en peligro su propia seguridad, la de sus compañeros de trabajo o la de terceras personas, así como la de los establecimientos o lugares en que el trabajo se desempeñe;</w:t>
      </w:r>
    </w:p>
    <w:p>
      <w:pPr>
        <w:pStyle w:val="ListParagraph"/>
        <w:numPr>
          <w:ilvl w:val="0"/>
          <w:numId w:val="33"/>
        </w:numPr>
        <w:tabs>
          <w:tab w:pos="1195" w:val="left" w:leader="none"/>
        </w:tabs>
        <w:spacing w:line="240" w:lineRule="auto" w:before="223" w:after="0"/>
        <w:ind w:left="1195" w:right="0" w:hanging="569"/>
        <w:jc w:val="left"/>
        <w:rPr>
          <w:sz w:val="20"/>
        </w:rPr>
      </w:pPr>
      <w:r>
        <w:rPr>
          <w:sz w:val="20"/>
        </w:rPr>
        <w:t>Faltar</w:t>
      </w:r>
      <w:r>
        <w:rPr>
          <w:spacing w:val="-3"/>
          <w:sz w:val="20"/>
        </w:rPr>
        <w:t> </w:t>
      </w:r>
      <w:r>
        <w:rPr>
          <w:sz w:val="20"/>
        </w:rPr>
        <w:t>al</w:t>
      </w:r>
      <w:r>
        <w:rPr>
          <w:spacing w:val="-7"/>
          <w:sz w:val="20"/>
        </w:rPr>
        <w:t> </w:t>
      </w:r>
      <w:r>
        <w:rPr>
          <w:sz w:val="20"/>
        </w:rPr>
        <w:t>trabajo</w:t>
      </w:r>
      <w:r>
        <w:rPr>
          <w:spacing w:val="-6"/>
          <w:sz w:val="20"/>
        </w:rPr>
        <w:t> </w:t>
      </w:r>
      <w:r>
        <w:rPr>
          <w:sz w:val="20"/>
        </w:rPr>
        <w:t>sin</w:t>
      </w:r>
      <w:r>
        <w:rPr>
          <w:spacing w:val="-5"/>
          <w:sz w:val="20"/>
        </w:rPr>
        <w:t> </w:t>
      </w:r>
      <w:r>
        <w:rPr>
          <w:sz w:val="20"/>
        </w:rPr>
        <w:t>causa</w:t>
      </w:r>
      <w:r>
        <w:rPr>
          <w:spacing w:val="-6"/>
          <w:sz w:val="20"/>
        </w:rPr>
        <w:t> </w:t>
      </w:r>
      <w:r>
        <w:rPr>
          <w:sz w:val="20"/>
        </w:rPr>
        <w:t>justificada</w:t>
      </w:r>
      <w:r>
        <w:rPr>
          <w:spacing w:val="-4"/>
          <w:sz w:val="20"/>
        </w:rPr>
        <w:t> </w:t>
      </w:r>
      <w:r>
        <w:rPr>
          <w:sz w:val="20"/>
        </w:rPr>
        <w:t>o</w:t>
      </w:r>
      <w:r>
        <w:rPr>
          <w:spacing w:val="-5"/>
          <w:sz w:val="20"/>
        </w:rPr>
        <w:t> </w:t>
      </w:r>
      <w:r>
        <w:rPr>
          <w:sz w:val="20"/>
        </w:rPr>
        <w:t>sin</w:t>
      </w:r>
      <w:r>
        <w:rPr>
          <w:spacing w:val="-4"/>
          <w:sz w:val="20"/>
        </w:rPr>
        <w:t> </w:t>
      </w:r>
      <w:r>
        <w:rPr>
          <w:sz w:val="20"/>
        </w:rPr>
        <w:t>permiso</w:t>
      </w:r>
      <w:r>
        <w:rPr>
          <w:spacing w:val="-6"/>
          <w:sz w:val="20"/>
        </w:rPr>
        <w:t> </w:t>
      </w:r>
      <w:r>
        <w:rPr>
          <w:sz w:val="20"/>
        </w:rPr>
        <w:t>del</w:t>
      </w:r>
      <w:r>
        <w:rPr>
          <w:spacing w:val="-5"/>
          <w:sz w:val="20"/>
        </w:rPr>
        <w:t> </w:t>
      </w:r>
      <w:r>
        <w:rPr>
          <w:spacing w:val="-2"/>
          <w:sz w:val="20"/>
        </w:rPr>
        <w:t>patrón;</w:t>
      </w:r>
    </w:p>
    <w:p>
      <w:pPr>
        <w:pStyle w:val="BodyText"/>
      </w:pPr>
    </w:p>
    <w:p>
      <w:pPr>
        <w:pStyle w:val="ListParagraph"/>
        <w:numPr>
          <w:ilvl w:val="0"/>
          <w:numId w:val="33"/>
        </w:numPr>
        <w:tabs>
          <w:tab w:pos="1195" w:val="left" w:leader="none"/>
        </w:tabs>
        <w:spacing w:line="240" w:lineRule="auto" w:before="1" w:after="0"/>
        <w:ind w:left="1195" w:right="0" w:hanging="569"/>
        <w:jc w:val="left"/>
        <w:rPr>
          <w:sz w:val="20"/>
        </w:rPr>
      </w:pPr>
      <w:r>
        <w:rPr>
          <w:sz w:val="20"/>
        </w:rPr>
        <w:t>Substraer</w:t>
      </w:r>
      <w:r>
        <w:rPr>
          <w:spacing w:val="-7"/>
          <w:sz w:val="20"/>
        </w:rPr>
        <w:t> </w:t>
      </w:r>
      <w:r>
        <w:rPr>
          <w:sz w:val="20"/>
        </w:rPr>
        <w:t>de</w:t>
      </w:r>
      <w:r>
        <w:rPr>
          <w:spacing w:val="-5"/>
          <w:sz w:val="20"/>
        </w:rPr>
        <w:t> </w:t>
      </w:r>
      <w:r>
        <w:rPr>
          <w:sz w:val="20"/>
        </w:rPr>
        <w:t>la</w:t>
      </w:r>
      <w:r>
        <w:rPr>
          <w:spacing w:val="-4"/>
          <w:sz w:val="20"/>
        </w:rPr>
        <w:t> </w:t>
      </w:r>
      <w:r>
        <w:rPr>
          <w:sz w:val="20"/>
        </w:rPr>
        <w:t>empresa</w:t>
      </w:r>
      <w:r>
        <w:rPr>
          <w:spacing w:val="-7"/>
          <w:sz w:val="20"/>
        </w:rPr>
        <w:t> </w:t>
      </w:r>
      <w:r>
        <w:rPr>
          <w:sz w:val="20"/>
        </w:rPr>
        <w:t>o</w:t>
      </w:r>
      <w:r>
        <w:rPr>
          <w:spacing w:val="-7"/>
          <w:sz w:val="20"/>
        </w:rPr>
        <w:t> </w:t>
      </w:r>
      <w:r>
        <w:rPr>
          <w:sz w:val="20"/>
        </w:rPr>
        <w:t>establecimiento</w:t>
      </w:r>
      <w:r>
        <w:rPr>
          <w:spacing w:val="-5"/>
          <w:sz w:val="20"/>
        </w:rPr>
        <w:t> </w:t>
      </w:r>
      <w:r>
        <w:rPr>
          <w:sz w:val="20"/>
        </w:rPr>
        <w:t>útiles</w:t>
      </w:r>
      <w:r>
        <w:rPr>
          <w:spacing w:val="-6"/>
          <w:sz w:val="20"/>
        </w:rPr>
        <w:t> </w:t>
      </w:r>
      <w:r>
        <w:rPr>
          <w:sz w:val="20"/>
        </w:rPr>
        <w:t>de</w:t>
      </w:r>
      <w:r>
        <w:rPr>
          <w:spacing w:val="-6"/>
          <w:sz w:val="20"/>
        </w:rPr>
        <w:t> </w:t>
      </w:r>
      <w:r>
        <w:rPr>
          <w:sz w:val="20"/>
        </w:rPr>
        <w:t>trabajo</w:t>
      </w:r>
      <w:r>
        <w:rPr>
          <w:spacing w:val="-7"/>
          <w:sz w:val="20"/>
        </w:rPr>
        <w:t> </w:t>
      </w:r>
      <w:r>
        <w:rPr>
          <w:sz w:val="20"/>
        </w:rPr>
        <w:t>o</w:t>
      </w:r>
      <w:r>
        <w:rPr>
          <w:spacing w:val="-4"/>
          <w:sz w:val="20"/>
        </w:rPr>
        <w:t> </w:t>
      </w:r>
      <w:r>
        <w:rPr>
          <w:sz w:val="20"/>
        </w:rPr>
        <w:t>materia</w:t>
      </w:r>
      <w:r>
        <w:rPr>
          <w:spacing w:val="-7"/>
          <w:sz w:val="20"/>
        </w:rPr>
        <w:t> </w:t>
      </w:r>
      <w:r>
        <w:rPr>
          <w:sz w:val="20"/>
        </w:rPr>
        <w:t>prima</w:t>
      </w:r>
      <w:r>
        <w:rPr>
          <w:spacing w:val="-6"/>
          <w:sz w:val="20"/>
        </w:rPr>
        <w:t> </w:t>
      </w:r>
      <w:r>
        <w:rPr>
          <w:sz w:val="20"/>
        </w:rPr>
        <w:t>o</w:t>
      </w:r>
      <w:r>
        <w:rPr>
          <w:spacing w:val="-8"/>
          <w:sz w:val="20"/>
        </w:rPr>
        <w:t> </w:t>
      </w:r>
      <w:r>
        <w:rPr>
          <w:spacing w:val="-2"/>
          <w:sz w:val="20"/>
        </w:rPr>
        <w:t>elaborada;</w:t>
      </w:r>
    </w:p>
    <w:p>
      <w:pPr>
        <w:pStyle w:val="BodyText"/>
        <w:spacing w:before="1"/>
      </w:pPr>
    </w:p>
    <w:p>
      <w:pPr>
        <w:pStyle w:val="ListParagraph"/>
        <w:numPr>
          <w:ilvl w:val="0"/>
          <w:numId w:val="33"/>
        </w:numPr>
        <w:tabs>
          <w:tab w:pos="1195" w:val="left" w:leader="none"/>
        </w:tabs>
        <w:spacing w:line="240" w:lineRule="auto" w:before="0" w:after="0"/>
        <w:ind w:left="1195" w:right="0" w:hanging="569"/>
        <w:jc w:val="left"/>
        <w:rPr>
          <w:sz w:val="20"/>
        </w:rPr>
      </w:pPr>
      <w:r>
        <w:rPr>
          <w:sz w:val="20"/>
        </w:rPr>
        <w:t>Presentarse</w:t>
      </w:r>
      <w:r>
        <w:rPr>
          <w:spacing w:val="-7"/>
          <w:sz w:val="20"/>
        </w:rPr>
        <w:t> </w:t>
      </w:r>
      <w:r>
        <w:rPr>
          <w:sz w:val="20"/>
        </w:rPr>
        <w:t>al</w:t>
      </w:r>
      <w:r>
        <w:rPr>
          <w:spacing w:val="-6"/>
          <w:sz w:val="20"/>
        </w:rPr>
        <w:t> </w:t>
      </w:r>
      <w:r>
        <w:rPr>
          <w:sz w:val="20"/>
        </w:rPr>
        <w:t>trabajo</w:t>
      </w:r>
      <w:r>
        <w:rPr>
          <w:spacing w:val="-6"/>
          <w:sz w:val="20"/>
        </w:rPr>
        <w:t> </w:t>
      </w:r>
      <w:r>
        <w:rPr>
          <w:sz w:val="20"/>
        </w:rPr>
        <w:t>en</w:t>
      </w:r>
      <w:r>
        <w:rPr>
          <w:spacing w:val="-6"/>
          <w:sz w:val="20"/>
        </w:rPr>
        <w:t> </w:t>
      </w:r>
      <w:r>
        <w:rPr>
          <w:sz w:val="20"/>
        </w:rPr>
        <w:t>estado</w:t>
      </w:r>
      <w:r>
        <w:rPr>
          <w:spacing w:val="-6"/>
          <w:sz w:val="20"/>
        </w:rPr>
        <w:t> </w:t>
      </w:r>
      <w:r>
        <w:rPr>
          <w:sz w:val="20"/>
        </w:rPr>
        <w:t>de</w:t>
      </w:r>
      <w:r>
        <w:rPr>
          <w:spacing w:val="-7"/>
          <w:sz w:val="20"/>
        </w:rPr>
        <w:t> </w:t>
      </w:r>
      <w:r>
        <w:rPr>
          <w:spacing w:val="-2"/>
          <w:sz w:val="20"/>
        </w:rPr>
        <w:t>embriaguez;</w:t>
      </w:r>
    </w:p>
    <w:p>
      <w:pPr>
        <w:pStyle w:val="ListParagraph"/>
        <w:numPr>
          <w:ilvl w:val="0"/>
          <w:numId w:val="33"/>
        </w:numPr>
        <w:tabs>
          <w:tab w:pos="1195" w:val="left" w:leader="none"/>
        </w:tabs>
        <w:spacing w:line="242" w:lineRule="auto" w:before="228" w:after="0"/>
        <w:ind w:left="1195" w:right="334" w:hanging="569"/>
        <w:jc w:val="both"/>
        <w:rPr>
          <w:sz w:val="20"/>
        </w:rPr>
      </w:pPr>
      <w:r>
        <w:rPr>
          <w:sz w:val="20"/>
        </w:rPr>
        <w:t>Presentarse al trabajo bajo la influencia de algún narcótico o droga enervante, salvo que exista prescripción médica. Antes de iniciar su servicio, el trabajador deberá poner el hecho en conocimiento del patrón y presentarle la prescripción suscrita por el médico;</w:t>
      </w:r>
    </w:p>
    <w:p>
      <w:pPr>
        <w:pStyle w:val="ListParagraph"/>
        <w:numPr>
          <w:ilvl w:val="0"/>
          <w:numId w:val="33"/>
        </w:numPr>
        <w:tabs>
          <w:tab w:pos="1195" w:val="left" w:leader="none"/>
        </w:tabs>
        <w:spacing w:line="240" w:lineRule="auto" w:before="225" w:after="0"/>
        <w:ind w:left="1195" w:right="337" w:hanging="569"/>
        <w:jc w:val="both"/>
        <w:rPr>
          <w:sz w:val="20"/>
        </w:rPr>
      </w:pPr>
      <w:r>
        <w:rPr>
          <w:sz w:val="20"/>
        </w:rPr>
        <w:t>Portar armas de cualquier clase durante las horas de trabajo, salvo que la naturaleza de éste lo exija. Se exceptúan de esta disposición las punzantes y punzo-cortantes que formen parte de las herramientas o útiles propios del trabajo;</w:t>
      </w:r>
    </w:p>
    <w:p>
      <w:pPr>
        <w:pStyle w:val="ListParagraph"/>
        <w:numPr>
          <w:ilvl w:val="0"/>
          <w:numId w:val="33"/>
        </w:numPr>
        <w:tabs>
          <w:tab w:pos="1195" w:val="left" w:leader="none"/>
        </w:tabs>
        <w:spacing w:line="240" w:lineRule="auto" w:before="229" w:after="0"/>
        <w:ind w:left="1195" w:right="0" w:hanging="569"/>
        <w:jc w:val="left"/>
        <w:rPr>
          <w:sz w:val="20"/>
        </w:rPr>
      </w:pPr>
      <w:r>
        <w:rPr>
          <w:sz w:val="20"/>
        </w:rPr>
        <w:t>Suspender</w:t>
      </w:r>
      <w:r>
        <w:rPr>
          <w:spacing w:val="-7"/>
          <w:sz w:val="20"/>
        </w:rPr>
        <w:t> </w:t>
      </w:r>
      <w:r>
        <w:rPr>
          <w:sz w:val="20"/>
        </w:rPr>
        <w:t>las</w:t>
      </w:r>
      <w:r>
        <w:rPr>
          <w:spacing w:val="-8"/>
          <w:sz w:val="20"/>
        </w:rPr>
        <w:t> </w:t>
      </w:r>
      <w:r>
        <w:rPr>
          <w:sz w:val="20"/>
        </w:rPr>
        <w:t>labores</w:t>
      </w:r>
      <w:r>
        <w:rPr>
          <w:spacing w:val="-7"/>
          <w:sz w:val="20"/>
        </w:rPr>
        <w:t> </w:t>
      </w:r>
      <w:r>
        <w:rPr>
          <w:sz w:val="20"/>
        </w:rPr>
        <w:t>sin</w:t>
      </w:r>
      <w:r>
        <w:rPr>
          <w:spacing w:val="-7"/>
          <w:sz w:val="20"/>
        </w:rPr>
        <w:t> </w:t>
      </w:r>
      <w:r>
        <w:rPr>
          <w:sz w:val="20"/>
        </w:rPr>
        <w:t>autorización</w:t>
      </w:r>
      <w:r>
        <w:rPr>
          <w:spacing w:val="-8"/>
          <w:sz w:val="20"/>
        </w:rPr>
        <w:t> </w:t>
      </w:r>
      <w:r>
        <w:rPr>
          <w:sz w:val="20"/>
        </w:rPr>
        <w:t>del</w:t>
      </w:r>
      <w:r>
        <w:rPr>
          <w:spacing w:val="-9"/>
          <w:sz w:val="20"/>
        </w:rPr>
        <w:t> </w:t>
      </w:r>
      <w:r>
        <w:rPr>
          <w:spacing w:val="-2"/>
          <w:sz w:val="20"/>
        </w:rPr>
        <w:t>patrón;</w:t>
      </w:r>
    </w:p>
    <w:p>
      <w:pPr>
        <w:pStyle w:val="ListParagraph"/>
        <w:numPr>
          <w:ilvl w:val="0"/>
          <w:numId w:val="33"/>
        </w:numPr>
        <w:tabs>
          <w:tab w:pos="1195" w:val="left" w:leader="none"/>
        </w:tabs>
        <w:spacing w:line="240" w:lineRule="auto" w:before="229" w:after="0"/>
        <w:ind w:left="1195" w:right="0" w:hanging="569"/>
        <w:jc w:val="left"/>
        <w:rPr>
          <w:sz w:val="20"/>
        </w:rPr>
      </w:pPr>
      <w:r>
        <w:rPr>
          <w:sz w:val="20"/>
        </w:rPr>
        <w:t>Hacer</w:t>
      </w:r>
      <w:r>
        <w:rPr>
          <w:spacing w:val="-7"/>
          <w:sz w:val="20"/>
        </w:rPr>
        <w:t> </w:t>
      </w:r>
      <w:r>
        <w:rPr>
          <w:sz w:val="20"/>
        </w:rPr>
        <w:t>colectas</w:t>
      </w:r>
      <w:r>
        <w:rPr>
          <w:spacing w:val="-5"/>
          <w:sz w:val="20"/>
        </w:rPr>
        <w:t> </w:t>
      </w:r>
      <w:r>
        <w:rPr>
          <w:sz w:val="20"/>
        </w:rPr>
        <w:t>en</w:t>
      </w:r>
      <w:r>
        <w:rPr>
          <w:spacing w:val="-5"/>
          <w:sz w:val="20"/>
        </w:rPr>
        <w:t> </w:t>
      </w:r>
      <w:r>
        <w:rPr>
          <w:sz w:val="20"/>
        </w:rPr>
        <w:t>el</w:t>
      </w:r>
      <w:r>
        <w:rPr>
          <w:spacing w:val="-6"/>
          <w:sz w:val="20"/>
        </w:rPr>
        <w:t> </w:t>
      </w:r>
      <w:r>
        <w:rPr>
          <w:sz w:val="20"/>
        </w:rPr>
        <w:t>establecimiento</w:t>
      </w:r>
      <w:r>
        <w:rPr>
          <w:spacing w:val="-7"/>
          <w:sz w:val="20"/>
        </w:rPr>
        <w:t> </w:t>
      </w:r>
      <w:r>
        <w:rPr>
          <w:sz w:val="20"/>
        </w:rPr>
        <w:t>o</w:t>
      </w:r>
      <w:r>
        <w:rPr>
          <w:spacing w:val="-4"/>
          <w:sz w:val="20"/>
        </w:rPr>
        <w:t> </w:t>
      </w:r>
      <w:r>
        <w:rPr>
          <w:sz w:val="20"/>
        </w:rPr>
        <w:t>lugar</w:t>
      </w:r>
      <w:r>
        <w:rPr>
          <w:spacing w:val="-5"/>
          <w:sz w:val="20"/>
        </w:rPr>
        <w:t> </w:t>
      </w:r>
      <w:r>
        <w:rPr>
          <w:sz w:val="20"/>
        </w:rPr>
        <w:t>de</w:t>
      </w:r>
      <w:r>
        <w:rPr>
          <w:spacing w:val="-7"/>
          <w:sz w:val="20"/>
        </w:rPr>
        <w:t> </w:t>
      </w:r>
      <w:r>
        <w:rPr>
          <w:spacing w:val="-2"/>
          <w:sz w:val="20"/>
        </w:rPr>
        <w:t>trabajo;</w:t>
      </w:r>
    </w:p>
    <w:p>
      <w:pPr>
        <w:pStyle w:val="BodyText"/>
        <w:spacing w:before="1"/>
      </w:pPr>
    </w:p>
    <w:p>
      <w:pPr>
        <w:pStyle w:val="ListParagraph"/>
        <w:numPr>
          <w:ilvl w:val="0"/>
          <w:numId w:val="33"/>
        </w:numPr>
        <w:tabs>
          <w:tab w:pos="1195" w:val="left" w:leader="none"/>
        </w:tabs>
        <w:spacing w:line="242" w:lineRule="auto" w:before="0" w:after="0"/>
        <w:ind w:left="1195" w:right="346" w:hanging="569"/>
        <w:jc w:val="both"/>
        <w:rPr>
          <w:sz w:val="20"/>
        </w:rPr>
      </w:pPr>
      <w:r>
        <w:rPr>
          <w:sz w:val="20"/>
        </w:rPr>
        <w:t>Usar los útiles y herramientas suministrados por el patrón, para objeto distinto de aquél a que están destinados;</w:t>
      </w:r>
    </w:p>
    <w:p>
      <w:pPr>
        <w:spacing w:line="180"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33"/>
        </w:numPr>
        <w:tabs>
          <w:tab w:pos="1195" w:val="left" w:leader="none"/>
        </w:tabs>
        <w:spacing w:line="240" w:lineRule="auto" w:before="0" w:after="0"/>
        <w:ind w:left="1195" w:right="0" w:hanging="569"/>
        <w:jc w:val="left"/>
        <w:rPr>
          <w:sz w:val="20"/>
        </w:rPr>
      </w:pPr>
      <w:r>
        <w:rPr>
          <w:sz w:val="20"/>
        </w:rPr>
        <w:t>Hacer</w:t>
      </w:r>
      <w:r>
        <w:rPr>
          <w:spacing w:val="-7"/>
          <w:sz w:val="20"/>
        </w:rPr>
        <w:t> </w:t>
      </w:r>
      <w:r>
        <w:rPr>
          <w:sz w:val="20"/>
        </w:rPr>
        <w:t>cualquier</w:t>
      </w:r>
      <w:r>
        <w:rPr>
          <w:spacing w:val="-7"/>
          <w:sz w:val="20"/>
        </w:rPr>
        <w:t> </w:t>
      </w:r>
      <w:r>
        <w:rPr>
          <w:sz w:val="20"/>
        </w:rPr>
        <w:t>clase</w:t>
      </w:r>
      <w:r>
        <w:rPr>
          <w:spacing w:val="-6"/>
          <w:sz w:val="20"/>
        </w:rPr>
        <w:t> </w:t>
      </w:r>
      <w:r>
        <w:rPr>
          <w:sz w:val="20"/>
        </w:rPr>
        <w:t>de</w:t>
      </w:r>
      <w:r>
        <w:rPr>
          <w:spacing w:val="-6"/>
          <w:sz w:val="20"/>
        </w:rPr>
        <w:t> </w:t>
      </w:r>
      <w:r>
        <w:rPr>
          <w:sz w:val="20"/>
        </w:rPr>
        <w:t>propaganda</w:t>
      </w:r>
      <w:r>
        <w:rPr>
          <w:spacing w:val="-7"/>
          <w:sz w:val="20"/>
        </w:rPr>
        <w:t> </w:t>
      </w:r>
      <w:r>
        <w:rPr>
          <w:sz w:val="20"/>
        </w:rPr>
        <w:t>en</w:t>
      </w:r>
      <w:r>
        <w:rPr>
          <w:spacing w:val="-7"/>
          <w:sz w:val="20"/>
        </w:rPr>
        <w:t> </w:t>
      </w:r>
      <w:r>
        <w:rPr>
          <w:sz w:val="20"/>
        </w:rPr>
        <w:t>las</w:t>
      </w:r>
      <w:r>
        <w:rPr>
          <w:spacing w:val="-6"/>
          <w:sz w:val="20"/>
        </w:rPr>
        <w:t> </w:t>
      </w:r>
      <w:r>
        <w:rPr>
          <w:sz w:val="20"/>
        </w:rPr>
        <w:t>horas</w:t>
      </w:r>
      <w:r>
        <w:rPr>
          <w:spacing w:val="-6"/>
          <w:sz w:val="20"/>
        </w:rPr>
        <w:t> </w:t>
      </w:r>
      <w:r>
        <w:rPr>
          <w:sz w:val="20"/>
        </w:rPr>
        <w:t>de</w:t>
      </w:r>
      <w:r>
        <w:rPr>
          <w:spacing w:val="-7"/>
          <w:sz w:val="20"/>
        </w:rPr>
        <w:t> </w:t>
      </w:r>
      <w:r>
        <w:rPr>
          <w:sz w:val="20"/>
        </w:rPr>
        <w:t>trabajo,</w:t>
      </w:r>
      <w:r>
        <w:rPr>
          <w:spacing w:val="-7"/>
          <w:sz w:val="20"/>
        </w:rPr>
        <w:t> </w:t>
      </w:r>
      <w:r>
        <w:rPr>
          <w:sz w:val="20"/>
        </w:rPr>
        <w:t>dentro</w:t>
      </w:r>
      <w:r>
        <w:rPr>
          <w:spacing w:val="-5"/>
          <w:sz w:val="20"/>
        </w:rPr>
        <w:t> </w:t>
      </w:r>
      <w:r>
        <w:rPr>
          <w:sz w:val="20"/>
        </w:rPr>
        <w:t>del</w:t>
      </w:r>
      <w:r>
        <w:rPr>
          <w:spacing w:val="-8"/>
          <w:sz w:val="20"/>
        </w:rPr>
        <w:t> </w:t>
      </w:r>
      <w:r>
        <w:rPr>
          <w:sz w:val="20"/>
        </w:rPr>
        <w:t>establecimiento;</w:t>
      </w:r>
      <w:r>
        <w:rPr>
          <w:spacing w:val="-5"/>
          <w:sz w:val="20"/>
        </w:rPr>
        <w:t> </w:t>
      </w:r>
      <w:r>
        <w:rPr>
          <w:spacing w:val="-10"/>
          <w:sz w:val="20"/>
        </w:rPr>
        <w:t>y</w:t>
      </w:r>
    </w:p>
    <w:p>
      <w:pPr>
        <w:spacing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33"/>
        </w:numPr>
        <w:tabs>
          <w:tab w:pos="1195" w:val="left" w:leader="none"/>
        </w:tabs>
        <w:spacing w:line="229" w:lineRule="exact" w:before="0" w:after="0"/>
        <w:ind w:left="1195" w:right="0" w:hanging="569"/>
        <w:jc w:val="left"/>
        <w:rPr>
          <w:sz w:val="20"/>
        </w:rPr>
      </w:pPr>
      <w:r>
        <w:rPr>
          <w:sz w:val="20"/>
        </w:rPr>
        <w:t>Acosar</w:t>
      </w:r>
      <w:r>
        <w:rPr>
          <w:spacing w:val="-7"/>
          <w:sz w:val="20"/>
        </w:rPr>
        <w:t> </w:t>
      </w:r>
      <w:r>
        <w:rPr>
          <w:sz w:val="20"/>
        </w:rPr>
        <w:t>sexualmente</w:t>
      </w:r>
      <w:r>
        <w:rPr>
          <w:spacing w:val="-5"/>
          <w:sz w:val="20"/>
        </w:rPr>
        <w:t> </w:t>
      </w:r>
      <w:r>
        <w:rPr>
          <w:sz w:val="20"/>
        </w:rPr>
        <w:t>a</w:t>
      </w:r>
      <w:r>
        <w:rPr>
          <w:spacing w:val="-7"/>
          <w:sz w:val="20"/>
        </w:rPr>
        <w:t> </w:t>
      </w:r>
      <w:r>
        <w:rPr>
          <w:sz w:val="20"/>
        </w:rPr>
        <w:t>cualquier</w:t>
      </w:r>
      <w:r>
        <w:rPr>
          <w:spacing w:val="-7"/>
          <w:sz w:val="20"/>
        </w:rPr>
        <w:t> </w:t>
      </w:r>
      <w:r>
        <w:rPr>
          <w:sz w:val="20"/>
        </w:rPr>
        <w:t>persona</w:t>
      </w:r>
      <w:r>
        <w:rPr>
          <w:spacing w:val="-7"/>
          <w:sz w:val="20"/>
        </w:rPr>
        <w:t> </w:t>
      </w:r>
      <w:r>
        <w:rPr>
          <w:sz w:val="20"/>
        </w:rPr>
        <w:t>o</w:t>
      </w:r>
      <w:r>
        <w:rPr>
          <w:spacing w:val="-8"/>
          <w:sz w:val="20"/>
        </w:rPr>
        <w:t> </w:t>
      </w:r>
      <w:r>
        <w:rPr>
          <w:sz w:val="20"/>
        </w:rPr>
        <w:t>realizar</w:t>
      </w:r>
      <w:r>
        <w:rPr>
          <w:spacing w:val="-6"/>
          <w:sz w:val="20"/>
        </w:rPr>
        <w:t> </w:t>
      </w:r>
      <w:r>
        <w:rPr>
          <w:sz w:val="20"/>
        </w:rPr>
        <w:t>actos</w:t>
      </w:r>
      <w:r>
        <w:rPr>
          <w:spacing w:val="-6"/>
          <w:sz w:val="20"/>
        </w:rPr>
        <w:t> </w:t>
      </w:r>
      <w:r>
        <w:rPr>
          <w:sz w:val="20"/>
        </w:rPr>
        <w:t>inmorales</w:t>
      </w:r>
      <w:r>
        <w:rPr>
          <w:spacing w:val="-6"/>
          <w:sz w:val="20"/>
        </w:rPr>
        <w:t> </w:t>
      </w:r>
      <w:r>
        <w:rPr>
          <w:sz w:val="20"/>
        </w:rPr>
        <w:t>en</w:t>
      </w:r>
      <w:r>
        <w:rPr>
          <w:spacing w:val="-6"/>
          <w:sz w:val="20"/>
        </w:rPr>
        <w:t> </w:t>
      </w:r>
      <w:r>
        <w:rPr>
          <w:sz w:val="20"/>
        </w:rPr>
        <w:t>los</w:t>
      </w:r>
      <w:r>
        <w:rPr>
          <w:spacing w:val="-4"/>
          <w:sz w:val="20"/>
        </w:rPr>
        <w:t> </w:t>
      </w:r>
      <w:r>
        <w:rPr>
          <w:sz w:val="20"/>
        </w:rPr>
        <w:t>lugares</w:t>
      </w:r>
      <w:r>
        <w:rPr>
          <w:spacing w:val="-5"/>
          <w:sz w:val="20"/>
        </w:rPr>
        <w:t> </w:t>
      </w:r>
      <w:r>
        <w:rPr>
          <w:sz w:val="20"/>
        </w:rPr>
        <w:t>de</w:t>
      </w:r>
      <w:r>
        <w:rPr>
          <w:spacing w:val="-8"/>
          <w:sz w:val="20"/>
        </w:rPr>
        <w:t> </w:t>
      </w:r>
      <w:r>
        <w:rPr>
          <w:spacing w:val="-2"/>
          <w:sz w:val="20"/>
        </w:rPr>
        <w:t>trabajo.</w:t>
      </w:r>
    </w:p>
    <w:p>
      <w:pPr>
        <w:spacing w:line="183"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Heading1"/>
        <w:spacing w:before="230"/>
        <w:ind w:left="298"/>
      </w:pPr>
      <w:r>
        <w:rPr/>
        <w:t>CAPITULO</w:t>
      </w:r>
      <w:r>
        <w:rPr>
          <w:spacing w:val="-9"/>
        </w:rPr>
        <w:t> </w:t>
      </w:r>
      <w:r>
        <w:rPr>
          <w:spacing w:val="-5"/>
        </w:rPr>
        <w:t>III</w:t>
      </w:r>
    </w:p>
    <w:p>
      <w:pPr>
        <w:pStyle w:val="Heading1"/>
        <w:spacing w:after="0"/>
        <w:sectPr>
          <w:pgSz w:w="12240" w:h="15840"/>
          <w:pgMar w:header="724" w:footer="712" w:top="1880" w:bottom="900" w:left="1080" w:right="1080"/>
        </w:sectPr>
      </w:pPr>
    </w:p>
    <w:p>
      <w:pPr>
        <w:pStyle w:val="BodyText"/>
        <w:spacing w:before="40"/>
        <w:rPr>
          <w:rFonts w:ascii="Arial"/>
          <w:b/>
          <w:sz w:val="22"/>
        </w:rPr>
      </w:pPr>
    </w:p>
    <w:p>
      <w:pPr>
        <w:pStyle w:val="Heading2"/>
        <w:ind w:left="297"/>
      </w:pPr>
      <w:r>
        <w:rPr/>
        <w:t>Habitaciones</w:t>
      </w:r>
      <w:r>
        <w:rPr>
          <w:spacing w:val="-7"/>
        </w:rPr>
        <w:t> </w:t>
      </w:r>
      <w:r>
        <w:rPr/>
        <w:t>para</w:t>
      </w:r>
      <w:r>
        <w:rPr>
          <w:spacing w:val="-6"/>
        </w:rPr>
        <w:t> </w:t>
      </w:r>
      <w:r>
        <w:rPr/>
        <w:t>los</w:t>
      </w:r>
      <w:r>
        <w:rPr>
          <w:spacing w:val="-6"/>
        </w:rPr>
        <w:t> </w:t>
      </w:r>
      <w:r>
        <w:rPr>
          <w:spacing w:val="-2"/>
        </w:rPr>
        <w:t>trabajadores</w:t>
      </w:r>
    </w:p>
    <w:p>
      <w:pPr>
        <w:pStyle w:val="BodyText"/>
        <w:spacing w:before="232"/>
        <w:ind w:left="338" w:right="341" w:firstLine="288"/>
        <w:jc w:val="both"/>
      </w:pPr>
      <w:bookmarkStart w:name="Artículo_136" w:id="155"/>
      <w:bookmarkEnd w:id="155"/>
      <w:r>
        <w:rPr/>
      </w:r>
      <w:r>
        <w:rPr>
          <w:rFonts w:ascii="Arial" w:hAnsi="Arial"/>
          <w:b/>
        </w:rPr>
        <w:t>Artículo 136.- </w:t>
      </w:r>
      <w:r>
        <w:rPr/>
        <w:t>Toda empresa agrícola, industrial, minera o de cualquier otra clase de trabajo, está obligada a proporcionar a los trabajadores habitaciones cómodas e higiénicas. Para dar cumplimiento a esta obligación, las empresas deberán aportar al Fondo Nacional de la Vivienda el cinco por ciento sobre los salarios de los trabajadores a su servicio.</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24-04-1972,</w:t>
      </w:r>
      <w:r>
        <w:rPr>
          <w:rFonts w:ascii="Times New Roman" w:hAnsi="Times New Roman"/>
          <w:i/>
          <w:color w:val="0000FF"/>
          <w:spacing w:val="-7"/>
          <w:sz w:val="16"/>
        </w:rPr>
        <w:t> </w:t>
      </w:r>
      <w:r>
        <w:rPr>
          <w:rFonts w:ascii="Times New Roman" w:hAnsi="Times New Roman"/>
          <w:i/>
          <w:color w:val="0000FF"/>
          <w:sz w:val="16"/>
        </w:rPr>
        <w:t>07-01-</w:t>
      </w:r>
      <w:r>
        <w:rPr>
          <w:rFonts w:ascii="Times New Roman" w:hAnsi="Times New Roman"/>
          <w:i/>
          <w:color w:val="0000FF"/>
          <w:spacing w:val="-4"/>
          <w:sz w:val="16"/>
        </w:rPr>
        <w:t>1982</w:t>
      </w:r>
    </w:p>
    <w:p>
      <w:pPr>
        <w:pStyle w:val="BodyText"/>
        <w:spacing w:before="43"/>
        <w:rPr>
          <w:rFonts w:ascii="Times New Roman"/>
          <w:i/>
          <w:sz w:val="16"/>
        </w:rPr>
      </w:pPr>
    </w:p>
    <w:p>
      <w:pPr>
        <w:pStyle w:val="BodyText"/>
        <w:spacing w:line="242" w:lineRule="auto"/>
        <w:ind w:left="338" w:right="341" w:firstLine="288"/>
        <w:jc w:val="both"/>
      </w:pPr>
      <w:bookmarkStart w:name="Artículo_137" w:id="156"/>
      <w:bookmarkEnd w:id="156"/>
      <w:r>
        <w:rPr/>
      </w:r>
      <w:r>
        <w:rPr>
          <w:rFonts w:ascii="Arial" w:hAnsi="Arial"/>
          <w:b/>
        </w:rPr>
        <w:t>Artículo 137.- </w:t>
      </w:r>
      <w:r>
        <w:rPr/>
        <w:t>El Fondo Nacional de la Vivienda tendrá por objeto crear sistemas de financiamiento que permitan a los trabajadores obtener crédito barato y suficiente para adquirir en propiedad habitaciones</w:t>
      </w:r>
      <w:r>
        <w:rPr>
          <w:spacing w:val="-3"/>
        </w:rPr>
        <w:t> </w:t>
      </w:r>
      <w:r>
        <w:rPr/>
        <w:t>cómodas</w:t>
      </w:r>
      <w:r>
        <w:rPr>
          <w:spacing w:val="-3"/>
        </w:rPr>
        <w:t> </w:t>
      </w:r>
      <w:r>
        <w:rPr/>
        <w:t>e</w:t>
      </w:r>
      <w:r>
        <w:rPr>
          <w:spacing w:val="-2"/>
        </w:rPr>
        <w:t> </w:t>
      </w:r>
      <w:r>
        <w:rPr/>
        <w:t>higiénicas,</w:t>
      </w:r>
      <w:r>
        <w:rPr>
          <w:spacing w:val="-2"/>
        </w:rPr>
        <w:t> </w:t>
      </w:r>
      <w:r>
        <w:rPr/>
        <w:t>para</w:t>
      </w:r>
      <w:r>
        <w:rPr>
          <w:spacing w:val="-2"/>
        </w:rPr>
        <w:t> </w:t>
      </w:r>
      <w:r>
        <w:rPr/>
        <w:t>la</w:t>
      </w:r>
      <w:r>
        <w:rPr>
          <w:spacing w:val="-2"/>
        </w:rPr>
        <w:t> </w:t>
      </w:r>
      <w:r>
        <w:rPr/>
        <w:t>construcción,</w:t>
      </w:r>
      <w:r>
        <w:rPr>
          <w:spacing w:val="-4"/>
        </w:rPr>
        <w:t> </w:t>
      </w:r>
      <w:r>
        <w:rPr/>
        <w:t>reparación,</w:t>
      </w:r>
      <w:r>
        <w:rPr>
          <w:spacing w:val="-2"/>
        </w:rPr>
        <w:t> </w:t>
      </w:r>
      <w:r>
        <w:rPr/>
        <w:t>o</w:t>
      </w:r>
      <w:r>
        <w:rPr>
          <w:spacing w:val="-5"/>
        </w:rPr>
        <w:t> </w:t>
      </w:r>
      <w:r>
        <w:rPr/>
        <w:t>mejoras</w:t>
      </w:r>
      <w:r>
        <w:rPr>
          <w:spacing w:val="-2"/>
        </w:rPr>
        <w:t> </w:t>
      </w:r>
      <w:r>
        <w:rPr/>
        <w:t>de</w:t>
      </w:r>
      <w:r>
        <w:rPr>
          <w:spacing w:val="-4"/>
        </w:rPr>
        <w:t> </w:t>
      </w:r>
      <w:r>
        <w:rPr/>
        <w:t>sus</w:t>
      </w:r>
      <w:r>
        <w:rPr>
          <w:spacing w:val="-3"/>
        </w:rPr>
        <w:t> </w:t>
      </w:r>
      <w:r>
        <w:rPr/>
        <w:t>casas</w:t>
      </w:r>
      <w:r>
        <w:rPr>
          <w:spacing w:val="-3"/>
        </w:rPr>
        <w:t> </w:t>
      </w:r>
      <w:r>
        <w:rPr/>
        <w:t>habitación y para el pago de pasivos adquiridos por estos conceptos.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1972</w:t>
      </w:r>
    </w:p>
    <w:p>
      <w:pPr>
        <w:pStyle w:val="BodyText"/>
        <w:spacing w:before="45"/>
        <w:rPr>
          <w:rFonts w:ascii="Times New Roman"/>
          <w:i/>
          <w:sz w:val="16"/>
        </w:rPr>
      </w:pPr>
    </w:p>
    <w:p>
      <w:pPr>
        <w:pStyle w:val="BodyText"/>
        <w:spacing w:line="242" w:lineRule="auto"/>
        <w:ind w:left="338" w:right="342" w:firstLine="288"/>
        <w:jc w:val="both"/>
      </w:pPr>
      <w:bookmarkStart w:name="Artículo_138" w:id="157"/>
      <w:bookmarkEnd w:id="157"/>
      <w:r>
        <w:rPr/>
      </w:r>
      <w:r>
        <w:rPr>
          <w:rFonts w:ascii="Arial" w:hAnsi="Arial"/>
          <w:b/>
        </w:rPr>
        <w:t>Artículo 138.- </w:t>
      </w:r>
      <w:r>
        <w:rPr/>
        <w:t>Los recursos del Fondo Nacional de la Vivienda serán administrados por un organismo integrado en forma tripartita por representantes del Gobierno Federal, de los trabajadores y de los </w:t>
      </w:r>
      <w:r>
        <w:rPr>
          <w:spacing w:val="-2"/>
        </w:rPr>
        <w:t>patrones.</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1972</w:t>
      </w:r>
    </w:p>
    <w:p>
      <w:pPr>
        <w:pStyle w:val="BodyText"/>
        <w:spacing w:before="45"/>
        <w:rPr>
          <w:rFonts w:ascii="Times New Roman"/>
          <w:i/>
          <w:sz w:val="16"/>
        </w:rPr>
      </w:pPr>
    </w:p>
    <w:p>
      <w:pPr>
        <w:pStyle w:val="BodyText"/>
        <w:spacing w:line="242" w:lineRule="auto"/>
        <w:ind w:left="338" w:right="342" w:firstLine="288"/>
        <w:jc w:val="both"/>
      </w:pPr>
      <w:bookmarkStart w:name="Artículo_139" w:id="158"/>
      <w:bookmarkEnd w:id="158"/>
      <w:r>
        <w:rPr/>
      </w:r>
      <w:r>
        <w:rPr>
          <w:rFonts w:ascii="Arial" w:hAnsi="Arial"/>
          <w:b/>
        </w:rPr>
        <w:t>Artículo 139.- </w:t>
      </w:r>
      <w:r>
        <w:rPr/>
        <w:t>La ley que cree dicho organismo regulará los procedimientos y formas conforme a los cuales las personas trabajadoras podrán adquirir vivienda en propiedad y obtener los créditos a que se refiere el artículo 137, así como acceder a los programas de arrendamiento social.</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24-04-1972,</w:t>
      </w:r>
      <w:r>
        <w:rPr>
          <w:rFonts w:ascii="Times New Roman" w:hAnsi="Times New Roman"/>
          <w:i/>
          <w:color w:val="0000FF"/>
          <w:spacing w:val="-7"/>
          <w:sz w:val="16"/>
        </w:rPr>
        <w:t> </w:t>
      </w:r>
      <w:r>
        <w:rPr>
          <w:rFonts w:ascii="Times New Roman" w:hAnsi="Times New Roman"/>
          <w:i/>
          <w:color w:val="0000FF"/>
          <w:sz w:val="16"/>
        </w:rPr>
        <w:t>21-02-</w:t>
      </w:r>
      <w:r>
        <w:rPr>
          <w:rFonts w:ascii="Times New Roman" w:hAnsi="Times New Roman"/>
          <w:i/>
          <w:color w:val="0000FF"/>
          <w:spacing w:val="-4"/>
          <w:sz w:val="16"/>
        </w:rPr>
        <w:t>2025</w:t>
      </w:r>
    </w:p>
    <w:p>
      <w:pPr>
        <w:pStyle w:val="BodyText"/>
        <w:spacing w:before="45"/>
        <w:rPr>
          <w:rFonts w:ascii="Times New Roman"/>
          <w:i/>
          <w:sz w:val="16"/>
        </w:rPr>
      </w:pPr>
    </w:p>
    <w:p>
      <w:pPr>
        <w:pStyle w:val="BodyText"/>
        <w:ind w:left="338" w:right="337" w:firstLine="288"/>
        <w:jc w:val="both"/>
      </w:pPr>
      <w:bookmarkStart w:name="Artículo_140" w:id="159"/>
      <w:bookmarkEnd w:id="159"/>
      <w:r>
        <w:rPr/>
      </w:r>
      <w:r>
        <w:rPr>
          <w:rFonts w:ascii="Arial" w:hAnsi="Arial"/>
          <w:b/>
        </w:rPr>
        <w:t>Artículo 140.- </w:t>
      </w:r>
      <w:r>
        <w:rPr/>
        <w:t>El organismo a que se refieren los artículos 138 y 139, tendrá a su cargo la coordinación, el financiamiento y ejecución de los programas de construcción de viviendas destinadas a ser adquiridas en propiedad por las personas trabajadoras, así como para obtener el arrendamiento</w:t>
      </w:r>
      <w:r>
        <w:rPr>
          <w:spacing w:val="40"/>
        </w:rPr>
        <w:t> </w:t>
      </w:r>
      <w:r>
        <w:rPr/>
        <w:t>social de vivienda para su habitación por las personas trabajadoras, bajo criterios sociales, sin fines de lucro o especulación comercial y considerando su nivel salarial.</w:t>
      </w:r>
    </w:p>
    <w:p>
      <w:pPr>
        <w:pStyle w:val="BodyText"/>
        <w:spacing w:before="2"/>
      </w:pPr>
    </w:p>
    <w:p>
      <w:pPr>
        <w:pStyle w:val="BodyText"/>
        <w:spacing w:before="1"/>
        <w:ind w:left="338" w:right="340" w:firstLine="288"/>
        <w:jc w:val="both"/>
      </w:pPr>
      <w:r>
        <w:rPr/>
        <w:t>Dicho organismo también intervendrá en la administración de los inmuebles y viviendas que sean de su propiedad o se encuentren bajo su administración a efecto de mantenerlas en condiciones de habitabilidad adecuada.</w:t>
      </w:r>
    </w:p>
    <w:p>
      <w:pPr>
        <w:spacing w:line="180"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24-04-1972,</w:t>
      </w:r>
      <w:r>
        <w:rPr>
          <w:rFonts w:ascii="Times New Roman" w:hAnsi="Times New Roman"/>
          <w:i/>
          <w:color w:val="0000FF"/>
          <w:spacing w:val="-7"/>
          <w:sz w:val="16"/>
        </w:rPr>
        <w:t> </w:t>
      </w:r>
      <w:r>
        <w:rPr>
          <w:rFonts w:ascii="Times New Roman" w:hAnsi="Times New Roman"/>
          <w:i/>
          <w:color w:val="0000FF"/>
          <w:sz w:val="16"/>
        </w:rPr>
        <w:t>21-02-</w:t>
      </w:r>
      <w:r>
        <w:rPr>
          <w:rFonts w:ascii="Times New Roman" w:hAnsi="Times New Roman"/>
          <w:i/>
          <w:color w:val="0000FF"/>
          <w:spacing w:val="-4"/>
          <w:sz w:val="16"/>
        </w:rPr>
        <w:t>2025</w:t>
      </w:r>
    </w:p>
    <w:p>
      <w:pPr>
        <w:pStyle w:val="BodyText"/>
        <w:spacing w:before="47"/>
        <w:rPr>
          <w:rFonts w:ascii="Times New Roman"/>
          <w:i/>
          <w:sz w:val="16"/>
        </w:rPr>
      </w:pPr>
    </w:p>
    <w:p>
      <w:pPr>
        <w:pStyle w:val="BodyText"/>
        <w:spacing w:line="242" w:lineRule="auto"/>
        <w:ind w:left="338" w:right="344" w:firstLine="288"/>
        <w:jc w:val="both"/>
      </w:pPr>
      <w:bookmarkStart w:name="Artículo_141" w:id="160"/>
      <w:bookmarkEnd w:id="160"/>
      <w:r>
        <w:rPr/>
      </w:r>
      <w:r>
        <w:rPr>
          <w:rFonts w:ascii="Arial" w:hAnsi="Arial"/>
          <w:b/>
        </w:rPr>
        <w:t>Artículo 141.- </w:t>
      </w:r>
      <w:r>
        <w:rPr/>
        <w:t>Las aportaciones al Fondo Nacional de la Vivienda son gastos de previsión social de</w:t>
      </w:r>
      <w:r>
        <w:rPr>
          <w:spacing w:val="40"/>
        </w:rPr>
        <w:t> </w:t>
      </w:r>
      <w:r>
        <w:rPr/>
        <w:t>las empresas y se aplicarán en su totalidad a constituir depósitos en favor de los trabajadores que se sujetarán a las bases siguientes:</w:t>
      </w:r>
    </w:p>
    <w:p>
      <w:pPr>
        <w:pStyle w:val="ListParagraph"/>
        <w:numPr>
          <w:ilvl w:val="0"/>
          <w:numId w:val="34"/>
        </w:numPr>
        <w:tabs>
          <w:tab w:pos="795" w:val="left" w:leader="none"/>
        </w:tabs>
        <w:spacing w:line="242" w:lineRule="auto" w:before="222" w:after="0"/>
        <w:ind w:left="338" w:right="343" w:firstLine="288"/>
        <w:jc w:val="both"/>
        <w:rPr>
          <w:sz w:val="20"/>
        </w:rPr>
      </w:pPr>
      <w:r>
        <w:rPr>
          <w:sz w:val="20"/>
        </w:rPr>
        <w:t>En los casos de incapacidad total</w:t>
      </w:r>
      <w:r>
        <w:rPr>
          <w:spacing w:val="-1"/>
          <w:sz w:val="20"/>
        </w:rPr>
        <w:t> </w:t>
      </w:r>
      <w:r>
        <w:rPr>
          <w:sz w:val="20"/>
        </w:rPr>
        <w:t>permanente, de incapacidad parcial</w:t>
      </w:r>
      <w:r>
        <w:rPr>
          <w:spacing w:val="-1"/>
          <w:sz w:val="20"/>
        </w:rPr>
        <w:t> </w:t>
      </w:r>
      <w:r>
        <w:rPr>
          <w:sz w:val="20"/>
        </w:rPr>
        <w:t>permanente, cuando ésta sea del 50% o más; de invalidez definitiva, en los términos de la Ley del Seguro Social; de jubilación; o de muerte</w:t>
      </w:r>
      <w:r>
        <w:rPr>
          <w:spacing w:val="-1"/>
          <w:sz w:val="20"/>
        </w:rPr>
        <w:t> </w:t>
      </w:r>
      <w:r>
        <w:rPr>
          <w:sz w:val="20"/>
        </w:rPr>
        <w:t>del</w:t>
      </w:r>
      <w:r>
        <w:rPr>
          <w:spacing w:val="-2"/>
          <w:sz w:val="20"/>
        </w:rPr>
        <w:t> </w:t>
      </w:r>
      <w:r>
        <w:rPr>
          <w:sz w:val="20"/>
        </w:rPr>
        <w:t>trabajador, se</w:t>
      </w:r>
      <w:r>
        <w:rPr>
          <w:spacing w:val="-1"/>
          <w:sz w:val="20"/>
        </w:rPr>
        <w:t> </w:t>
      </w:r>
      <w:r>
        <w:rPr>
          <w:sz w:val="20"/>
        </w:rPr>
        <w:t>entregará el total de los depósitos constituidos, a</w:t>
      </w:r>
      <w:r>
        <w:rPr>
          <w:spacing w:val="-1"/>
          <w:sz w:val="20"/>
        </w:rPr>
        <w:t> </w:t>
      </w:r>
      <w:r>
        <w:rPr>
          <w:sz w:val="20"/>
        </w:rPr>
        <w:t>él</w:t>
      </w:r>
      <w:r>
        <w:rPr>
          <w:spacing w:val="-2"/>
          <w:sz w:val="20"/>
        </w:rPr>
        <w:t> </w:t>
      </w:r>
      <w:r>
        <w:rPr>
          <w:sz w:val="20"/>
        </w:rPr>
        <w:t>o sus beneficiarios,</w:t>
      </w:r>
      <w:r>
        <w:rPr>
          <w:spacing w:val="-1"/>
          <w:sz w:val="20"/>
        </w:rPr>
        <w:t> </w:t>
      </w:r>
      <w:r>
        <w:rPr>
          <w:sz w:val="20"/>
        </w:rPr>
        <w:t>con</w:t>
      </w:r>
      <w:r>
        <w:rPr>
          <w:spacing w:val="-1"/>
          <w:sz w:val="20"/>
        </w:rPr>
        <w:t> </w:t>
      </w:r>
      <w:r>
        <w:rPr>
          <w:sz w:val="20"/>
        </w:rPr>
        <w:t>una cantidad adicional igual a dichos depósitos, en los términos de la Ley, a que se refiere el artículo 139;</w:t>
      </w:r>
    </w:p>
    <w:p>
      <w:pPr>
        <w:pStyle w:val="BodyText"/>
        <w:spacing w:before="226"/>
        <w:ind w:left="338" w:right="334" w:firstLine="288"/>
        <w:jc w:val="both"/>
      </w:pPr>
      <w:r>
        <w:rPr/>
        <w:t>En caso de que el trabajador tenga la calidad de persona desaparecida y cuente con Declaración Especial de Ausencia, se procederá de la misma forma observando lo establecido en la legislación especial en la materia.</w:t>
      </w:r>
    </w:p>
    <w:p>
      <w:pPr>
        <w:spacing w:line="237" w:lineRule="auto" w:before="0"/>
        <w:ind w:left="7285" w:right="333" w:firstLine="3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22-06-2018</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13-01-</w:t>
      </w:r>
      <w:r>
        <w:rPr>
          <w:rFonts w:ascii="Times New Roman" w:hAnsi="Times New Roman"/>
          <w:i/>
          <w:color w:val="0000FF"/>
          <w:spacing w:val="-4"/>
          <w:sz w:val="16"/>
        </w:rPr>
        <w:t>1986</w:t>
      </w:r>
    </w:p>
    <w:p>
      <w:pPr>
        <w:pStyle w:val="BodyText"/>
        <w:spacing w:before="46"/>
        <w:rPr>
          <w:rFonts w:ascii="Times New Roman"/>
          <w:i/>
          <w:sz w:val="16"/>
        </w:rPr>
      </w:pPr>
    </w:p>
    <w:p>
      <w:pPr>
        <w:pStyle w:val="ListParagraph"/>
        <w:numPr>
          <w:ilvl w:val="0"/>
          <w:numId w:val="34"/>
        </w:numPr>
        <w:tabs>
          <w:tab w:pos="854" w:val="left" w:leader="none"/>
        </w:tabs>
        <w:spacing w:line="242" w:lineRule="auto" w:before="0" w:after="0"/>
        <w:ind w:left="338" w:right="340" w:firstLine="288"/>
        <w:jc w:val="both"/>
        <w:rPr>
          <w:sz w:val="20"/>
        </w:rPr>
      </w:pPr>
      <w:r>
        <w:rPr>
          <w:sz w:val="20"/>
        </w:rPr>
        <w:t>Cuando la persona trabajadora deje de estar sujeto a una relación de trabajo y cuente con la edad establecida en la Ley del Seguro Social y la Ley del Instituto del Fondo Nacional de la Vivienda para los Trabajadores, tendrá derecho a que se le haga entrega del total de los depósitos que se hubieren hecho</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BodyText"/>
        <w:ind w:left="338" w:right="357"/>
      </w:pPr>
      <w:r>
        <w:rPr/>
        <w:t>a su favor o sean transferidos a la Administradora de Fondos para el Retiro según lo determine la Ley de los Sistemas de Ahorro para el Retiro.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21-02-</w:t>
      </w:r>
      <w:r>
        <w:rPr>
          <w:rFonts w:ascii="Times New Roman" w:hAnsi="Times New Roman"/>
          <w:i/>
          <w:color w:val="0000FF"/>
          <w:spacing w:val="-4"/>
          <w:sz w:val="16"/>
        </w:rPr>
        <w:t>2025</w:t>
      </w:r>
    </w:p>
    <w:p>
      <w:pPr>
        <w:pStyle w:val="BodyText"/>
        <w:spacing w:before="47"/>
        <w:rPr>
          <w:rFonts w:ascii="Times New Roman"/>
          <w:i/>
          <w:sz w:val="16"/>
        </w:rPr>
      </w:pPr>
    </w:p>
    <w:p>
      <w:pPr>
        <w:pStyle w:val="ListParagraph"/>
        <w:numPr>
          <w:ilvl w:val="0"/>
          <w:numId w:val="34"/>
        </w:numPr>
        <w:tabs>
          <w:tab w:pos="927" w:val="left" w:leader="none"/>
        </w:tabs>
        <w:spacing w:line="240" w:lineRule="auto" w:before="0" w:after="0"/>
        <w:ind w:left="338" w:right="340" w:firstLine="288"/>
        <w:jc w:val="both"/>
        <w:rPr>
          <w:sz w:val="20"/>
        </w:rPr>
      </w:pPr>
      <w:r>
        <w:rPr>
          <w:sz w:val="20"/>
        </w:rPr>
        <w:t>En caso de que el trabajador hubiere recibido crédito del Instituto, las cantidades a que tuviere derecho en los términos de las fracciones anteriores, se aplicarán a la amortización del crédito, salvo en los casos de incapacidad total permanente o de muerte, en los términos del artículo 145 si después de hacer la aplicación de dichas cantidades a la amortización del crédito quedare saldo a favor del</w:t>
      </w:r>
      <w:r>
        <w:rPr>
          <w:spacing w:val="40"/>
          <w:sz w:val="20"/>
        </w:rPr>
        <w:t> </w:t>
      </w:r>
      <w:r>
        <w:rPr>
          <w:sz w:val="20"/>
        </w:rPr>
        <w:t>trabajador se le entregará a éste el monto correspondiente.</w:t>
      </w:r>
    </w:p>
    <w:p>
      <w:pPr>
        <w:pStyle w:val="BodyText"/>
        <w:spacing w:before="2"/>
      </w:pPr>
    </w:p>
    <w:p>
      <w:pPr>
        <w:pStyle w:val="BodyText"/>
        <w:spacing w:before="1"/>
        <w:ind w:left="338" w:right="338" w:firstLine="288"/>
        <w:jc w:val="both"/>
      </w:pPr>
      <w:r>
        <w:rPr/>
        <w:t>En caso de que el trabajador tenga la calidad de persona desaparecida y cuente con Declaración Especial de Ausencia, en términos de la legislación especial en la materia, el pago del crédito solicitado deberá ser suspendido hasta en tanto no se haya localizado con o sin vida.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7"/>
        <w:rPr>
          <w:rFonts w:ascii="Times New Roman"/>
          <w:i/>
          <w:sz w:val="16"/>
        </w:rPr>
      </w:pPr>
    </w:p>
    <w:p>
      <w:pPr>
        <w:pStyle w:val="BodyText"/>
        <w:ind w:left="338" w:firstLine="288"/>
      </w:pPr>
      <w:r>
        <w:rPr/>
        <w:t>Para</w:t>
      </w:r>
      <w:r>
        <w:rPr>
          <w:spacing w:val="22"/>
        </w:rPr>
        <w:t> </w:t>
      </w:r>
      <w:r>
        <w:rPr/>
        <w:t>la devolución</w:t>
      </w:r>
      <w:r>
        <w:rPr>
          <w:spacing w:val="22"/>
        </w:rPr>
        <w:t> </w:t>
      </w:r>
      <w:r>
        <w:rPr/>
        <w:t>de</w:t>
      </w:r>
      <w:r>
        <w:rPr>
          <w:spacing w:val="21"/>
        </w:rPr>
        <w:t> </w:t>
      </w:r>
      <w:r>
        <w:rPr/>
        <w:t>los</w:t>
      </w:r>
      <w:r>
        <w:rPr>
          <w:spacing w:val="24"/>
        </w:rPr>
        <w:t> </w:t>
      </w:r>
      <w:r>
        <w:rPr/>
        <w:t>depósitos</w:t>
      </w:r>
      <w:r>
        <w:rPr>
          <w:spacing w:val="24"/>
        </w:rPr>
        <w:t> </w:t>
      </w:r>
      <w:r>
        <w:rPr/>
        <w:t>y cantidades</w:t>
      </w:r>
      <w:r>
        <w:rPr>
          <w:spacing w:val="23"/>
        </w:rPr>
        <w:t> </w:t>
      </w:r>
      <w:r>
        <w:rPr/>
        <w:t>adicionales</w:t>
      </w:r>
      <w:r>
        <w:rPr>
          <w:spacing w:val="23"/>
        </w:rPr>
        <w:t> </w:t>
      </w:r>
      <w:r>
        <w:rPr/>
        <w:t>bastará</w:t>
      </w:r>
      <w:r>
        <w:rPr>
          <w:spacing w:val="22"/>
        </w:rPr>
        <w:t> </w:t>
      </w:r>
      <w:r>
        <w:rPr/>
        <w:t>que</w:t>
      </w:r>
      <w:r>
        <w:rPr>
          <w:spacing w:val="21"/>
        </w:rPr>
        <w:t> </w:t>
      </w:r>
      <w:r>
        <w:rPr/>
        <w:t>la</w:t>
      </w:r>
      <w:r>
        <w:rPr>
          <w:spacing w:val="22"/>
        </w:rPr>
        <w:t> </w:t>
      </w:r>
      <w:r>
        <w:rPr/>
        <w:t>solicitud</w:t>
      </w:r>
      <w:r>
        <w:rPr>
          <w:spacing w:val="21"/>
        </w:rPr>
        <w:t> </w:t>
      </w:r>
      <w:r>
        <w:rPr/>
        <w:t>por</w:t>
      </w:r>
      <w:r>
        <w:rPr>
          <w:spacing w:val="23"/>
        </w:rPr>
        <w:t> </w:t>
      </w:r>
      <w:r>
        <w:rPr/>
        <w:t>escrito</w:t>
      </w:r>
      <w:r>
        <w:rPr>
          <w:spacing w:val="22"/>
        </w:rPr>
        <w:t> </w:t>
      </w:r>
      <w:r>
        <w:rPr/>
        <w:t>se acompañe con las pruebas pertinentes.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24-04-1972,</w:t>
      </w:r>
      <w:r>
        <w:rPr>
          <w:rFonts w:ascii="Times New Roman" w:hAnsi="Times New Roman"/>
          <w:i/>
          <w:color w:val="0000FF"/>
          <w:spacing w:val="-8"/>
          <w:sz w:val="16"/>
        </w:rPr>
        <w:t> </w:t>
      </w:r>
      <w:r>
        <w:rPr>
          <w:rFonts w:ascii="Times New Roman" w:hAnsi="Times New Roman"/>
          <w:i/>
          <w:color w:val="0000FF"/>
          <w:sz w:val="16"/>
        </w:rPr>
        <w:t>07-01-1982,</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1983</w:t>
      </w:r>
    </w:p>
    <w:p>
      <w:pPr>
        <w:pStyle w:val="BodyText"/>
        <w:spacing w:before="47"/>
        <w:rPr>
          <w:rFonts w:ascii="Times New Roman"/>
          <w:i/>
          <w:sz w:val="16"/>
        </w:rPr>
      </w:pPr>
    </w:p>
    <w:p>
      <w:pPr>
        <w:pStyle w:val="BodyText"/>
        <w:ind w:left="338" w:right="341" w:firstLine="288"/>
        <w:jc w:val="both"/>
      </w:pPr>
      <w:bookmarkStart w:name="Artículo_142" w:id="161"/>
      <w:bookmarkEnd w:id="161"/>
      <w:r>
        <w:rPr/>
      </w:r>
      <w:r>
        <w:rPr>
          <w:rFonts w:ascii="Arial" w:hAnsi="Arial"/>
          <w:b/>
        </w:rPr>
        <w:t>Artículo 142.- </w:t>
      </w:r>
      <w:r>
        <w:rPr/>
        <w:t>Cuando una empresa se componga de varios establecimientos, la obligación a que se refiere el Artículo 136 de esta ley se extiende a cada uno de ellos y a la empresa en su conjunto.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1972</w:t>
      </w:r>
    </w:p>
    <w:p>
      <w:pPr>
        <w:pStyle w:val="BodyText"/>
        <w:spacing w:before="47"/>
        <w:rPr>
          <w:rFonts w:ascii="Times New Roman"/>
          <w:i/>
          <w:sz w:val="16"/>
        </w:rPr>
      </w:pPr>
    </w:p>
    <w:p>
      <w:pPr>
        <w:pStyle w:val="BodyText"/>
        <w:spacing w:before="1"/>
        <w:ind w:left="338" w:right="340" w:firstLine="288"/>
        <w:jc w:val="both"/>
      </w:pPr>
      <w:bookmarkStart w:name="Artículo_143" w:id="162"/>
      <w:bookmarkEnd w:id="162"/>
      <w:r>
        <w:rPr/>
      </w:r>
      <w:r>
        <w:rPr>
          <w:rFonts w:ascii="Arial" w:hAnsi="Arial"/>
          <w:b/>
        </w:rPr>
        <w:t>Artículo 143.- </w:t>
      </w:r>
      <w:r>
        <w:rPr/>
        <w:t>Para los efectos de este Capítulo el salario a que se refiere el artículo 136 se integra con los pagos hechos en efectivo por cuota diaria, y las gratificaciones, percepciones, alimentación, habitación, primas, comisiones, prestaciones en especie y cualquier otra cantidad o prestación que se entregue al trabajador por sus servicios; no se tomarán en cuenta dada su naturaleza, los siguientes </w:t>
      </w:r>
      <w:r>
        <w:rPr>
          <w:spacing w:val="-2"/>
        </w:rPr>
        <w:t>conceptos:</w:t>
      </w:r>
    </w:p>
    <w:p>
      <w:pPr>
        <w:pStyle w:val="BodyText"/>
      </w:pPr>
    </w:p>
    <w:p>
      <w:pPr>
        <w:pStyle w:val="ListParagraph"/>
        <w:numPr>
          <w:ilvl w:val="1"/>
          <w:numId w:val="34"/>
        </w:numPr>
        <w:tabs>
          <w:tab w:pos="1195" w:val="left" w:leader="none"/>
        </w:tabs>
        <w:spacing w:line="240" w:lineRule="auto" w:before="0" w:after="0"/>
        <w:ind w:left="1195" w:right="0" w:hanging="569"/>
        <w:jc w:val="left"/>
        <w:rPr>
          <w:sz w:val="20"/>
        </w:rPr>
      </w:pPr>
      <w:r>
        <w:rPr>
          <w:sz w:val="20"/>
        </w:rPr>
        <w:t>Los</w:t>
      </w:r>
      <w:r>
        <w:rPr>
          <w:spacing w:val="-7"/>
          <w:sz w:val="20"/>
        </w:rPr>
        <w:t> </w:t>
      </w:r>
      <w:r>
        <w:rPr>
          <w:sz w:val="20"/>
        </w:rPr>
        <w:t>instrumentos</w:t>
      </w:r>
      <w:r>
        <w:rPr>
          <w:spacing w:val="-6"/>
          <w:sz w:val="20"/>
        </w:rPr>
        <w:t> </w:t>
      </w:r>
      <w:r>
        <w:rPr>
          <w:sz w:val="20"/>
        </w:rPr>
        <w:t>de</w:t>
      </w:r>
      <w:r>
        <w:rPr>
          <w:spacing w:val="-6"/>
          <w:sz w:val="20"/>
        </w:rPr>
        <w:t> </w:t>
      </w:r>
      <w:r>
        <w:rPr>
          <w:sz w:val="20"/>
        </w:rPr>
        <w:t>trabajo,</w:t>
      </w:r>
      <w:r>
        <w:rPr>
          <w:spacing w:val="-7"/>
          <w:sz w:val="20"/>
        </w:rPr>
        <w:t> </w:t>
      </w:r>
      <w:r>
        <w:rPr>
          <w:sz w:val="20"/>
        </w:rPr>
        <w:t>tales</w:t>
      </w:r>
      <w:r>
        <w:rPr>
          <w:spacing w:val="-6"/>
          <w:sz w:val="20"/>
        </w:rPr>
        <w:t> </w:t>
      </w:r>
      <w:r>
        <w:rPr>
          <w:sz w:val="20"/>
        </w:rPr>
        <w:t>como</w:t>
      </w:r>
      <w:r>
        <w:rPr>
          <w:spacing w:val="-8"/>
          <w:sz w:val="20"/>
        </w:rPr>
        <w:t> </w:t>
      </w:r>
      <w:r>
        <w:rPr>
          <w:sz w:val="20"/>
        </w:rPr>
        <w:t>herramientas,</w:t>
      </w:r>
      <w:r>
        <w:rPr>
          <w:spacing w:val="-7"/>
          <w:sz w:val="20"/>
        </w:rPr>
        <w:t> </w:t>
      </w:r>
      <w:r>
        <w:rPr>
          <w:sz w:val="20"/>
        </w:rPr>
        <w:t>ropa</w:t>
      </w:r>
      <w:r>
        <w:rPr>
          <w:spacing w:val="-4"/>
          <w:sz w:val="20"/>
        </w:rPr>
        <w:t> </w:t>
      </w:r>
      <w:r>
        <w:rPr>
          <w:sz w:val="20"/>
        </w:rPr>
        <w:t>y</w:t>
      </w:r>
      <w:r>
        <w:rPr>
          <w:spacing w:val="-9"/>
          <w:sz w:val="20"/>
        </w:rPr>
        <w:t> </w:t>
      </w:r>
      <w:r>
        <w:rPr>
          <w:sz w:val="20"/>
        </w:rPr>
        <w:t>otros</w:t>
      </w:r>
      <w:r>
        <w:rPr>
          <w:spacing w:val="-7"/>
          <w:sz w:val="20"/>
        </w:rPr>
        <w:t> </w:t>
      </w:r>
      <w:r>
        <w:rPr>
          <w:spacing w:val="-2"/>
          <w:sz w:val="20"/>
        </w:rPr>
        <w:t>similares;</w:t>
      </w:r>
    </w:p>
    <w:p>
      <w:pPr>
        <w:pStyle w:val="ListParagraph"/>
        <w:numPr>
          <w:ilvl w:val="1"/>
          <w:numId w:val="34"/>
        </w:numPr>
        <w:tabs>
          <w:tab w:pos="1193" w:val="left" w:leader="none"/>
          <w:tab w:pos="1195" w:val="left" w:leader="none"/>
        </w:tabs>
        <w:spacing w:line="242" w:lineRule="auto" w:before="228" w:after="0"/>
        <w:ind w:left="1195" w:right="344" w:hanging="569"/>
        <w:jc w:val="both"/>
        <w:rPr>
          <w:sz w:val="20"/>
        </w:rPr>
      </w:pPr>
      <w:r>
        <w:rPr>
          <w:sz w:val="20"/>
        </w:rPr>
        <w:t>El ahorro, cuando se integre por un depósito de cantidad semanaria o mensual igual del trabajador y de la empresa; y las cantidades otorgadas por el patrón para fines sociales o </w:t>
      </w:r>
      <w:r>
        <w:rPr>
          <w:spacing w:val="-2"/>
          <w:sz w:val="20"/>
        </w:rPr>
        <w:t>sindicales;</w:t>
      </w:r>
    </w:p>
    <w:p>
      <w:pPr>
        <w:pStyle w:val="ListParagraph"/>
        <w:numPr>
          <w:ilvl w:val="1"/>
          <w:numId w:val="34"/>
        </w:numPr>
        <w:tabs>
          <w:tab w:pos="1195" w:val="left" w:leader="none"/>
        </w:tabs>
        <w:spacing w:line="240" w:lineRule="auto" w:before="225" w:after="0"/>
        <w:ind w:left="1195" w:right="343" w:hanging="569"/>
        <w:jc w:val="both"/>
        <w:rPr>
          <w:sz w:val="20"/>
        </w:rPr>
      </w:pPr>
      <w:r>
        <w:rPr>
          <w:sz w:val="20"/>
        </w:rPr>
        <w:t>Las aportaciones al Instituto de Fondo Nacional de la Vivienda para los Trabajadores y las participaciones en las utilidades de las empresas;</w:t>
      </w:r>
    </w:p>
    <w:p>
      <w:pPr>
        <w:pStyle w:val="ListParagraph"/>
        <w:numPr>
          <w:ilvl w:val="1"/>
          <w:numId w:val="34"/>
        </w:numPr>
        <w:tabs>
          <w:tab w:pos="1193" w:val="left" w:leader="none"/>
          <w:tab w:pos="1195" w:val="left" w:leader="none"/>
        </w:tabs>
        <w:spacing w:line="242" w:lineRule="auto" w:before="229" w:after="0"/>
        <w:ind w:left="1195" w:right="341" w:hanging="569"/>
        <w:jc w:val="both"/>
        <w:rPr>
          <w:sz w:val="20"/>
        </w:rPr>
      </w:pPr>
      <w:r>
        <w:rPr>
          <w:sz w:val="20"/>
        </w:rPr>
        <w:t>La alimentación y la habitación cuando no se proporcionen gratuitamente al trabajador, así</w:t>
      </w:r>
      <w:r>
        <w:rPr>
          <w:spacing w:val="40"/>
          <w:sz w:val="20"/>
        </w:rPr>
        <w:t> </w:t>
      </w:r>
      <w:r>
        <w:rPr>
          <w:sz w:val="20"/>
        </w:rPr>
        <w:t>como las despensas;</w:t>
      </w:r>
    </w:p>
    <w:p>
      <w:pPr>
        <w:pStyle w:val="ListParagraph"/>
        <w:numPr>
          <w:ilvl w:val="1"/>
          <w:numId w:val="34"/>
        </w:numPr>
        <w:tabs>
          <w:tab w:pos="1195" w:val="left" w:leader="none"/>
        </w:tabs>
        <w:spacing w:line="240" w:lineRule="auto" w:before="227" w:after="0"/>
        <w:ind w:left="1195" w:right="0" w:hanging="569"/>
        <w:jc w:val="left"/>
        <w:rPr>
          <w:sz w:val="20"/>
        </w:rPr>
      </w:pPr>
      <w:r>
        <w:rPr>
          <w:sz w:val="20"/>
        </w:rPr>
        <w:t>Los</w:t>
      </w:r>
      <w:r>
        <w:rPr>
          <w:spacing w:val="-6"/>
          <w:sz w:val="20"/>
        </w:rPr>
        <w:t> </w:t>
      </w:r>
      <w:r>
        <w:rPr>
          <w:sz w:val="20"/>
        </w:rPr>
        <w:t>premios</w:t>
      </w:r>
      <w:r>
        <w:rPr>
          <w:spacing w:val="-5"/>
          <w:sz w:val="20"/>
        </w:rPr>
        <w:t> </w:t>
      </w:r>
      <w:r>
        <w:rPr>
          <w:sz w:val="20"/>
        </w:rPr>
        <w:t>por</w:t>
      </w:r>
      <w:r>
        <w:rPr>
          <w:spacing w:val="-5"/>
          <w:sz w:val="20"/>
        </w:rPr>
        <w:t> </w:t>
      </w:r>
      <w:r>
        <w:rPr>
          <w:spacing w:val="-2"/>
          <w:sz w:val="20"/>
        </w:rPr>
        <w:t>asistencia;</w:t>
      </w:r>
    </w:p>
    <w:p>
      <w:pPr>
        <w:pStyle w:val="ListParagraph"/>
        <w:numPr>
          <w:ilvl w:val="1"/>
          <w:numId w:val="34"/>
        </w:numPr>
        <w:tabs>
          <w:tab w:pos="1193" w:val="left" w:leader="none"/>
          <w:tab w:pos="1195" w:val="left" w:leader="none"/>
        </w:tabs>
        <w:spacing w:line="242" w:lineRule="auto" w:before="229" w:after="0"/>
        <w:ind w:left="1195" w:right="343" w:hanging="569"/>
        <w:jc w:val="both"/>
        <w:rPr>
          <w:sz w:val="20"/>
        </w:rPr>
      </w:pPr>
      <w:r>
        <w:rPr>
          <w:sz w:val="20"/>
        </w:rPr>
        <w:t>Los pagos por tiempo extraordinario, salvo cuando este tipo de servicios esté pactado en forma de tiempo fijo;</w:t>
      </w:r>
    </w:p>
    <w:p>
      <w:pPr>
        <w:pStyle w:val="ListParagraph"/>
        <w:numPr>
          <w:ilvl w:val="1"/>
          <w:numId w:val="34"/>
        </w:numPr>
        <w:tabs>
          <w:tab w:pos="1193" w:val="left" w:leader="none"/>
          <w:tab w:pos="1195" w:val="left" w:leader="none"/>
        </w:tabs>
        <w:spacing w:line="242" w:lineRule="auto" w:before="226" w:after="0"/>
        <w:ind w:left="1195" w:right="346" w:hanging="569"/>
        <w:jc w:val="both"/>
        <w:rPr>
          <w:sz w:val="20"/>
        </w:rPr>
      </w:pPr>
      <w:r>
        <w:rPr>
          <w:sz w:val="20"/>
        </w:rPr>
        <w:t>Las cuotas al Instituto Mexicano del Seguro Social a cargo del trabajador que cubran las </w:t>
      </w:r>
      <w:r>
        <w:rPr>
          <w:spacing w:val="-2"/>
          <w:sz w:val="20"/>
        </w:rPr>
        <w:t>empresas.</w:t>
      </w:r>
    </w:p>
    <w:p>
      <w:pPr>
        <w:spacing w:line="178"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24-04-1972,</w:t>
      </w:r>
      <w:r>
        <w:rPr>
          <w:rFonts w:ascii="Times New Roman" w:hAnsi="Times New Roman"/>
          <w:i/>
          <w:color w:val="0000FF"/>
          <w:spacing w:val="-7"/>
          <w:sz w:val="16"/>
        </w:rPr>
        <w:t> </w:t>
      </w:r>
      <w:r>
        <w:rPr>
          <w:rFonts w:ascii="Times New Roman" w:hAnsi="Times New Roman"/>
          <w:i/>
          <w:color w:val="0000FF"/>
          <w:sz w:val="16"/>
        </w:rPr>
        <w:t>07-01-</w:t>
      </w:r>
      <w:r>
        <w:rPr>
          <w:rFonts w:ascii="Times New Roman" w:hAnsi="Times New Roman"/>
          <w:i/>
          <w:color w:val="0000FF"/>
          <w:spacing w:val="-4"/>
          <w:sz w:val="16"/>
        </w:rPr>
        <w:t>1982</w:t>
      </w:r>
    </w:p>
    <w:p>
      <w:pPr>
        <w:pStyle w:val="BodyText"/>
        <w:spacing w:before="47"/>
        <w:rPr>
          <w:rFonts w:ascii="Times New Roman"/>
          <w:i/>
          <w:sz w:val="16"/>
        </w:rPr>
      </w:pPr>
    </w:p>
    <w:p>
      <w:pPr>
        <w:pStyle w:val="BodyText"/>
        <w:spacing w:line="242" w:lineRule="auto"/>
        <w:ind w:left="338" w:right="342" w:firstLine="288"/>
      </w:pPr>
      <w:bookmarkStart w:name="Artículo_144" w:id="163"/>
      <w:bookmarkEnd w:id="163"/>
      <w:r>
        <w:rPr/>
      </w:r>
      <w:r>
        <w:rPr>
          <w:rFonts w:ascii="Arial" w:hAnsi="Arial"/>
          <w:b/>
        </w:rPr>
        <w:t>Artículo 144.- </w:t>
      </w:r>
      <w:r>
        <w:rPr/>
        <w:t>Se tendrá como salario máximo para el pago de las aportaciones el equivalente a diez veces el salario mínimo general del área geográfica de aplicación que corresponda.</w:t>
      </w:r>
    </w:p>
    <w:p>
      <w:pPr>
        <w:spacing w:line="178"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24-04-1972,</w:t>
      </w:r>
      <w:r>
        <w:rPr>
          <w:rFonts w:ascii="Times New Roman" w:hAnsi="Times New Roman"/>
          <w:i/>
          <w:color w:val="0000FF"/>
          <w:spacing w:val="-7"/>
          <w:sz w:val="16"/>
        </w:rPr>
        <w:t> </w:t>
      </w:r>
      <w:r>
        <w:rPr>
          <w:rFonts w:ascii="Times New Roman" w:hAnsi="Times New Roman"/>
          <w:i/>
          <w:color w:val="0000FF"/>
          <w:sz w:val="16"/>
        </w:rPr>
        <w:t>21-01-</w:t>
      </w:r>
      <w:r>
        <w:rPr>
          <w:rFonts w:ascii="Times New Roman" w:hAnsi="Times New Roman"/>
          <w:i/>
          <w:color w:val="0000FF"/>
          <w:spacing w:val="-4"/>
          <w:sz w:val="16"/>
        </w:rPr>
        <w:t>1988</w:t>
      </w:r>
    </w:p>
    <w:p>
      <w:pPr>
        <w:spacing w:after="0" w:line="178" w:lineRule="exact"/>
        <w:jc w:val="lef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BodyText"/>
        <w:spacing w:line="242" w:lineRule="auto"/>
        <w:ind w:left="338" w:right="341" w:firstLine="288"/>
        <w:jc w:val="both"/>
      </w:pPr>
      <w:bookmarkStart w:name="Artículo_145" w:id="164"/>
      <w:bookmarkEnd w:id="164"/>
      <w:r>
        <w:rPr/>
      </w:r>
      <w:r>
        <w:rPr>
          <w:rFonts w:ascii="Arial" w:hAnsi="Arial"/>
          <w:b/>
        </w:rPr>
        <w:t>Artículo 145.- </w:t>
      </w:r>
      <w:r>
        <w:rPr/>
        <w:t>Los créditos que se otorguen por el organismo que administre el Fondo Nacional de la Vivienda, estarán cubiertos por un seguro, para los casos de incapacidad total permanente o de muerte, que libere al</w:t>
      </w:r>
      <w:r>
        <w:rPr>
          <w:spacing w:val="-1"/>
        </w:rPr>
        <w:t> </w:t>
      </w:r>
      <w:r>
        <w:rPr/>
        <w:t>trabajador</w:t>
      </w:r>
      <w:r>
        <w:rPr>
          <w:spacing w:val="-1"/>
        </w:rPr>
        <w:t> </w:t>
      </w:r>
      <w:r>
        <w:rPr/>
        <w:t>o a sus</w:t>
      </w:r>
      <w:r>
        <w:rPr>
          <w:spacing w:val="-1"/>
        </w:rPr>
        <w:t> </w:t>
      </w:r>
      <w:r>
        <w:rPr/>
        <w:t>beneficiarios</w:t>
      </w:r>
      <w:r>
        <w:rPr>
          <w:spacing w:val="-1"/>
        </w:rPr>
        <w:t> </w:t>
      </w:r>
      <w:r>
        <w:rPr/>
        <w:t>de las</w:t>
      </w:r>
      <w:r>
        <w:rPr>
          <w:spacing w:val="-1"/>
        </w:rPr>
        <w:t> </w:t>
      </w:r>
      <w:r>
        <w:rPr/>
        <w:t>obligaciones, gravámenes</w:t>
      </w:r>
      <w:r>
        <w:rPr>
          <w:spacing w:val="-1"/>
        </w:rPr>
        <w:t> </w:t>
      </w:r>
      <w:r>
        <w:rPr/>
        <w:t>o limitaciones</w:t>
      </w:r>
      <w:r>
        <w:rPr>
          <w:spacing w:val="-1"/>
        </w:rPr>
        <w:t> </w:t>
      </w:r>
      <w:r>
        <w:rPr/>
        <w:t>de dominio a favor del citado organismo, derivadas de esos créditos.</w:t>
      </w:r>
    </w:p>
    <w:p>
      <w:pPr>
        <w:pStyle w:val="BodyText"/>
        <w:spacing w:before="225"/>
        <w:ind w:left="338" w:right="345" w:firstLine="288"/>
        <w:jc w:val="both"/>
      </w:pPr>
      <w:r>
        <w:rPr/>
        <w:t>Para tales efectos, se entenderá por incapacidad total permanente la pérdida de facultades o</w:t>
      </w:r>
      <w:r>
        <w:rPr>
          <w:spacing w:val="40"/>
        </w:rPr>
        <w:t> </w:t>
      </w:r>
      <w:r>
        <w:rPr/>
        <w:t>aptitudes de una persona, que la imposibiliten para desempeñar cualquier trabajo por el resto de su vida, cualquiera que sea la naturaleza del riesgo que la haya producido.</w:t>
      </w:r>
    </w:p>
    <w:p>
      <w:pPr>
        <w:pStyle w:val="BodyText"/>
        <w:spacing w:before="229"/>
        <w:ind w:left="338" w:right="338" w:firstLine="288"/>
        <w:jc w:val="both"/>
      </w:pPr>
      <w:r>
        <w:rPr/>
        <w:t>Tratándose de los casos de incapacidad parcial permanente, cuando ésta sea del 50% o más, o invalidez definitiva, se liberará al trabajador acreditado del adeudo, los gravámenes o limitaciones de dominio a favor del Instituto, siempre y cuando no sea sujeto de una nueva relación de trabajo por un período mínimo de dos años, lapso durante el cual gozará de una prórroga sin causa de intereses, para</w:t>
      </w:r>
      <w:r>
        <w:rPr>
          <w:spacing w:val="40"/>
        </w:rPr>
        <w:t> </w:t>
      </w:r>
      <w:r>
        <w:rPr/>
        <w:t>el pago de su crédito. La existencia de cualquiera de estos supuestos deberá comprobarse ante el Instituto del Fondo Nacional de la Vivienda para los Trabajadores, dentro del mes siguiente a la fecha en que se determinen.</w:t>
      </w:r>
    </w:p>
    <w:p>
      <w:pPr>
        <w:pStyle w:val="BodyText"/>
        <w:spacing w:before="230"/>
        <w:ind w:left="338" w:right="331" w:firstLine="288"/>
        <w:jc w:val="both"/>
      </w:pPr>
      <w:r>
        <w:rPr/>
        <w:t>En los casos en que la persona trabajadora incapacitada que, durante el periodo señalado en el párrafo anterior, haya adquirido una nueva relación de trabajo y pierda esta, podría reiniciar el trámite de su</w:t>
      </w:r>
      <w:r>
        <w:rPr>
          <w:spacing w:val="-1"/>
        </w:rPr>
        <w:t> </w:t>
      </w:r>
      <w:r>
        <w:rPr/>
        <w:t>cancelación</w:t>
      </w:r>
      <w:r>
        <w:rPr>
          <w:spacing w:val="-2"/>
        </w:rPr>
        <w:t> </w:t>
      </w:r>
      <w:r>
        <w:rPr/>
        <w:t>del</w:t>
      </w:r>
      <w:r>
        <w:rPr>
          <w:spacing w:val="-2"/>
        </w:rPr>
        <w:t> </w:t>
      </w:r>
      <w:r>
        <w:rPr/>
        <w:t>crédito ante el</w:t>
      </w:r>
      <w:r>
        <w:rPr>
          <w:spacing w:val="-2"/>
        </w:rPr>
        <w:t> </w:t>
      </w:r>
      <w:r>
        <w:rPr/>
        <w:t>Instituto</w:t>
      </w:r>
      <w:r>
        <w:rPr>
          <w:spacing w:val="-1"/>
        </w:rPr>
        <w:t> </w:t>
      </w:r>
      <w:r>
        <w:rPr/>
        <w:t>cuantas veces le</w:t>
      </w:r>
      <w:r>
        <w:rPr>
          <w:spacing w:val="-1"/>
        </w:rPr>
        <w:t> </w:t>
      </w:r>
      <w:r>
        <w:rPr/>
        <w:t>resulte</w:t>
      </w:r>
      <w:r>
        <w:rPr>
          <w:spacing w:val="-1"/>
        </w:rPr>
        <w:t> </w:t>
      </w:r>
      <w:r>
        <w:rPr/>
        <w:t>necesario,</w:t>
      </w:r>
      <w:r>
        <w:rPr>
          <w:spacing w:val="-1"/>
        </w:rPr>
        <w:t> </w:t>
      </w:r>
      <w:r>
        <w:rPr/>
        <w:t>siempre</w:t>
      </w:r>
      <w:r>
        <w:rPr>
          <w:spacing w:val="-1"/>
        </w:rPr>
        <w:t> </w:t>
      </w:r>
      <w:r>
        <w:rPr/>
        <w:t>que</w:t>
      </w:r>
      <w:r>
        <w:rPr>
          <w:spacing w:val="-1"/>
        </w:rPr>
        <w:t> </w:t>
      </w:r>
      <w:r>
        <w:rPr/>
        <w:t>no</w:t>
      </w:r>
      <w:r>
        <w:rPr>
          <w:spacing w:val="-2"/>
        </w:rPr>
        <w:t> </w:t>
      </w:r>
      <w:r>
        <w:rPr/>
        <w:t>se</w:t>
      </w:r>
      <w:r>
        <w:rPr>
          <w:spacing w:val="-1"/>
        </w:rPr>
        <w:t> </w:t>
      </w:r>
      <w:r>
        <w:rPr/>
        <w:t>revoque la determinación de su incapacidad en los términos de la Ley del Seguro Social.</w:t>
      </w:r>
    </w:p>
    <w:p>
      <w:pPr>
        <w:spacing w:before="0"/>
        <w:ind w:left="6519" w:right="0" w:firstLine="80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21-02-2025</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24-04-1972,</w:t>
      </w:r>
      <w:r>
        <w:rPr>
          <w:rFonts w:ascii="Times New Roman" w:hAnsi="Times New Roman"/>
          <w:i/>
          <w:color w:val="0000FF"/>
          <w:spacing w:val="-7"/>
          <w:sz w:val="16"/>
        </w:rPr>
        <w:t> </w:t>
      </w:r>
      <w:r>
        <w:rPr>
          <w:rFonts w:ascii="Times New Roman" w:hAnsi="Times New Roman"/>
          <w:i/>
          <w:color w:val="0000FF"/>
          <w:sz w:val="16"/>
        </w:rPr>
        <w:t>13-01-</w:t>
      </w:r>
      <w:r>
        <w:rPr>
          <w:rFonts w:ascii="Times New Roman" w:hAnsi="Times New Roman"/>
          <w:i/>
          <w:color w:val="0000FF"/>
          <w:spacing w:val="-4"/>
          <w:sz w:val="16"/>
        </w:rPr>
        <w:t>1986</w:t>
      </w:r>
    </w:p>
    <w:p>
      <w:pPr>
        <w:pStyle w:val="BodyText"/>
        <w:spacing w:before="44"/>
        <w:rPr>
          <w:rFonts w:ascii="Times New Roman"/>
          <w:i/>
          <w:sz w:val="16"/>
        </w:rPr>
      </w:pPr>
    </w:p>
    <w:p>
      <w:pPr>
        <w:pStyle w:val="BodyText"/>
        <w:spacing w:before="1"/>
        <w:ind w:left="338" w:right="343" w:firstLine="288"/>
        <w:jc w:val="both"/>
      </w:pPr>
      <w:bookmarkStart w:name="Artículo_146" w:id="165"/>
      <w:bookmarkEnd w:id="165"/>
      <w:r>
        <w:rPr/>
      </w:r>
      <w:r>
        <w:rPr>
          <w:rFonts w:ascii="Arial" w:hAnsi="Arial"/>
          <w:b/>
        </w:rPr>
        <w:t>Artículo 146.- </w:t>
      </w:r>
      <w:r>
        <w:rPr/>
        <w:t>Las</w:t>
      </w:r>
      <w:r>
        <w:rPr>
          <w:spacing w:val="-2"/>
        </w:rPr>
        <w:t> </w:t>
      </w:r>
      <w:r>
        <w:rPr/>
        <w:t>personas</w:t>
      </w:r>
      <w:r>
        <w:rPr>
          <w:spacing w:val="-2"/>
        </w:rPr>
        <w:t> </w:t>
      </w:r>
      <w:r>
        <w:rPr/>
        <w:t>trabajadoras</w:t>
      </w:r>
      <w:r>
        <w:rPr>
          <w:spacing w:val="-1"/>
        </w:rPr>
        <w:t> </w:t>
      </w:r>
      <w:r>
        <w:rPr/>
        <w:t>que</w:t>
      </w:r>
      <w:r>
        <w:rPr>
          <w:spacing w:val="-3"/>
        </w:rPr>
        <w:t> </w:t>
      </w:r>
      <w:r>
        <w:rPr/>
        <w:t>se</w:t>
      </w:r>
      <w:r>
        <w:rPr>
          <w:spacing w:val="-1"/>
        </w:rPr>
        <w:t> </w:t>
      </w:r>
      <w:r>
        <w:rPr/>
        <w:t>hayan</w:t>
      </w:r>
      <w:r>
        <w:rPr>
          <w:spacing w:val="-3"/>
        </w:rPr>
        <w:t> </w:t>
      </w:r>
      <w:r>
        <w:rPr/>
        <w:t>inscrito</w:t>
      </w:r>
      <w:r>
        <w:rPr>
          <w:spacing w:val="-1"/>
        </w:rPr>
        <w:t> </w:t>
      </w:r>
      <w:r>
        <w:rPr/>
        <w:t>voluntariamente</w:t>
      </w:r>
      <w:r>
        <w:rPr>
          <w:spacing w:val="-1"/>
        </w:rPr>
        <w:t> </w:t>
      </w:r>
      <w:r>
        <w:rPr/>
        <w:t>al</w:t>
      </w:r>
      <w:r>
        <w:rPr>
          <w:spacing w:val="-4"/>
        </w:rPr>
        <w:t> </w:t>
      </w:r>
      <w:r>
        <w:rPr/>
        <w:t>régimen</w:t>
      </w:r>
      <w:r>
        <w:rPr>
          <w:spacing w:val="-4"/>
        </w:rPr>
        <w:t> </w:t>
      </w:r>
      <w:r>
        <w:rPr/>
        <w:t>obligatorio de la Ley del Seguro Social, podrán realizar aportaciones al Fondo Nacional de la Vivienda, que les permitan obtener un crédito barato y suficiente, conforme lo determine el organismo a que se refiere el artículo 138 de esta Ley.</w:t>
      </w:r>
    </w:p>
    <w:p>
      <w:pPr>
        <w:spacing w:line="183" w:lineRule="exact" w:before="0"/>
        <w:ind w:left="56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24-04-1972,</w:t>
      </w:r>
      <w:r>
        <w:rPr>
          <w:rFonts w:ascii="Times New Roman" w:hAnsi="Times New Roman"/>
          <w:i/>
          <w:color w:val="0000FF"/>
          <w:spacing w:val="-8"/>
          <w:sz w:val="16"/>
        </w:rPr>
        <w:t> </w:t>
      </w:r>
      <w:r>
        <w:rPr>
          <w:rFonts w:ascii="Times New Roman" w:hAnsi="Times New Roman"/>
          <w:i/>
          <w:color w:val="0000FF"/>
          <w:sz w:val="16"/>
        </w:rPr>
        <w:t>01-05-2019,</w:t>
      </w:r>
      <w:r>
        <w:rPr>
          <w:rFonts w:ascii="Times New Roman" w:hAnsi="Times New Roman"/>
          <w:i/>
          <w:color w:val="0000FF"/>
          <w:spacing w:val="-8"/>
          <w:sz w:val="16"/>
        </w:rPr>
        <w:t> </w:t>
      </w:r>
      <w:r>
        <w:rPr>
          <w:rFonts w:ascii="Times New Roman" w:hAnsi="Times New Roman"/>
          <w:i/>
          <w:color w:val="0000FF"/>
          <w:sz w:val="16"/>
        </w:rPr>
        <w:t>29-11-</w:t>
      </w:r>
      <w:r>
        <w:rPr>
          <w:rFonts w:ascii="Times New Roman" w:hAnsi="Times New Roman"/>
          <w:i/>
          <w:color w:val="0000FF"/>
          <w:spacing w:val="-4"/>
          <w:sz w:val="16"/>
        </w:rPr>
        <w:t>2023</w:t>
      </w:r>
    </w:p>
    <w:p>
      <w:pPr>
        <w:pStyle w:val="BodyText"/>
        <w:spacing w:before="47"/>
        <w:rPr>
          <w:rFonts w:ascii="Times New Roman"/>
          <w:i/>
          <w:sz w:val="16"/>
        </w:rPr>
      </w:pPr>
    </w:p>
    <w:p>
      <w:pPr>
        <w:pStyle w:val="BodyText"/>
        <w:ind w:left="338" w:right="345" w:firstLine="288"/>
        <w:jc w:val="both"/>
      </w:pPr>
      <w:bookmarkStart w:name="Artículo_147" w:id="166"/>
      <w:bookmarkEnd w:id="166"/>
      <w:r>
        <w:rPr/>
      </w:r>
      <w:r>
        <w:rPr>
          <w:rFonts w:ascii="Arial" w:hAnsi="Arial"/>
          <w:b/>
        </w:rPr>
        <w:t>Artículo 147.- </w:t>
      </w:r>
      <w:r>
        <w:rPr/>
        <w:t>El Ejecutivo Federal, previo estudio y dictamen del organismo que se constituya para administrar</w:t>
      </w:r>
      <w:r>
        <w:rPr>
          <w:spacing w:val="-1"/>
        </w:rPr>
        <w:t> </w:t>
      </w:r>
      <w:r>
        <w:rPr/>
        <w:t>los</w:t>
      </w:r>
      <w:r>
        <w:rPr>
          <w:spacing w:val="-1"/>
        </w:rPr>
        <w:t> </w:t>
      </w:r>
      <w:r>
        <w:rPr/>
        <w:t>recursos</w:t>
      </w:r>
      <w:r>
        <w:rPr>
          <w:spacing w:val="-1"/>
        </w:rPr>
        <w:t> </w:t>
      </w:r>
      <w:r>
        <w:rPr/>
        <w:t>del</w:t>
      </w:r>
      <w:r>
        <w:rPr>
          <w:spacing w:val="-1"/>
        </w:rPr>
        <w:t> </w:t>
      </w:r>
      <w:r>
        <w:rPr/>
        <w:t>Fondo</w:t>
      </w:r>
      <w:r>
        <w:rPr>
          <w:spacing w:val="-2"/>
        </w:rPr>
        <w:t> </w:t>
      </w:r>
      <w:r>
        <w:rPr/>
        <w:t>Nacional</w:t>
      </w:r>
      <w:r>
        <w:rPr>
          <w:spacing w:val="-1"/>
        </w:rPr>
        <w:t> </w:t>
      </w:r>
      <w:r>
        <w:rPr/>
        <w:t>de la Vivienda, determinará</w:t>
      </w:r>
      <w:r>
        <w:rPr>
          <w:spacing w:val="-2"/>
        </w:rPr>
        <w:t> </w:t>
      </w:r>
      <w:r>
        <w:rPr/>
        <w:t>las modalidades y</w:t>
      </w:r>
      <w:r>
        <w:rPr>
          <w:spacing w:val="-5"/>
        </w:rPr>
        <w:t> </w:t>
      </w:r>
      <w:r>
        <w:rPr/>
        <w:t>fechas</w:t>
      </w:r>
      <w:r>
        <w:rPr>
          <w:spacing w:val="-1"/>
        </w:rPr>
        <w:t> </w:t>
      </w:r>
      <w:r>
        <w:rPr/>
        <w:t>en</w:t>
      </w:r>
      <w:r>
        <w:rPr>
          <w:spacing w:val="-2"/>
        </w:rPr>
        <w:t> </w:t>
      </w:r>
      <w:r>
        <w:rPr/>
        <w:t>que incorporarán al régimen establecido por este capítulo:</w:t>
      </w:r>
    </w:p>
    <w:p>
      <w:pPr>
        <w:pStyle w:val="ListParagraph"/>
        <w:numPr>
          <w:ilvl w:val="2"/>
          <w:numId w:val="34"/>
        </w:numPr>
        <w:tabs>
          <w:tab w:pos="1195" w:val="left" w:leader="none"/>
        </w:tabs>
        <w:spacing w:line="240" w:lineRule="auto" w:before="229" w:after="0"/>
        <w:ind w:left="1195" w:right="0" w:hanging="569"/>
        <w:jc w:val="left"/>
        <w:rPr>
          <w:sz w:val="20"/>
        </w:rPr>
      </w:pPr>
      <w:r>
        <w:rPr>
          <w:sz w:val="20"/>
        </w:rPr>
        <w:t>Los</w:t>
      </w:r>
      <w:r>
        <w:rPr>
          <w:spacing w:val="-10"/>
          <w:sz w:val="20"/>
        </w:rPr>
        <w:t> </w:t>
      </w:r>
      <w:r>
        <w:rPr>
          <w:sz w:val="20"/>
        </w:rPr>
        <w:t>deportistas</w:t>
      </w:r>
      <w:r>
        <w:rPr>
          <w:spacing w:val="-10"/>
          <w:sz w:val="20"/>
        </w:rPr>
        <w:t> </w:t>
      </w:r>
      <w:r>
        <w:rPr>
          <w:sz w:val="20"/>
        </w:rPr>
        <w:t>profesionales</w:t>
      </w:r>
      <w:r>
        <w:rPr>
          <w:spacing w:val="-8"/>
          <w:sz w:val="20"/>
        </w:rPr>
        <w:t> </w:t>
      </w:r>
      <w:r>
        <w:rPr>
          <w:spacing w:val="-10"/>
          <w:sz w:val="20"/>
        </w:rPr>
        <w:t>y</w:t>
      </w:r>
    </w:p>
    <w:p>
      <w:pPr>
        <w:pStyle w:val="BodyText"/>
        <w:rPr>
          <w:sz w:val="12"/>
        </w:rPr>
      </w:pPr>
    </w:p>
    <w:p>
      <w:pPr>
        <w:pStyle w:val="BodyText"/>
        <w:spacing w:after="0"/>
        <w:rPr>
          <w:sz w:val="12"/>
        </w:rPr>
        <w:sectPr>
          <w:pgSz w:w="12240" w:h="15840"/>
          <w:pgMar w:header="724" w:footer="712" w:top="1880" w:bottom="900" w:left="1080" w:right="1080"/>
        </w:sectPr>
      </w:pPr>
    </w:p>
    <w:p>
      <w:pPr>
        <w:pStyle w:val="ListParagraph"/>
        <w:numPr>
          <w:ilvl w:val="2"/>
          <w:numId w:val="34"/>
        </w:numPr>
        <w:tabs>
          <w:tab w:pos="1195" w:val="left" w:leader="none"/>
        </w:tabs>
        <w:spacing w:line="240" w:lineRule="auto" w:before="93" w:after="0"/>
        <w:ind w:left="1195" w:right="0" w:hanging="569"/>
        <w:jc w:val="left"/>
        <w:rPr>
          <w:sz w:val="20"/>
        </w:rPr>
      </w:pPr>
      <w:r>
        <w:rPr>
          <w:sz w:val="20"/>
        </w:rPr>
        <w:t>Cualquier</w:t>
      </w:r>
      <w:r>
        <w:rPr>
          <w:spacing w:val="-8"/>
          <w:sz w:val="20"/>
        </w:rPr>
        <w:t> </w:t>
      </w:r>
      <w:r>
        <w:rPr>
          <w:sz w:val="20"/>
        </w:rPr>
        <w:t>otro</w:t>
      </w:r>
      <w:r>
        <w:rPr>
          <w:spacing w:val="-5"/>
          <w:sz w:val="20"/>
        </w:rPr>
        <w:t> </w:t>
      </w:r>
      <w:r>
        <w:rPr>
          <w:sz w:val="20"/>
        </w:rPr>
        <w:t>tipo</w:t>
      </w:r>
      <w:r>
        <w:rPr>
          <w:spacing w:val="-6"/>
          <w:sz w:val="20"/>
        </w:rPr>
        <w:t> </w:t>
      </w:r>
      <w:r>
        <w:rPr>
          <w:sz w:val="20"/>
        </w:rPr>
        <w:t>o</w:t>
      </w:r>
      <w:r>
        <w:rPr>
          <w:spacing w:val="-8"/>
          <w:sz w:val="20"/>
        </w:rPr>
        <w:t> </w:t>
      </w:r>
      <w:r>
        <w:rPr>
          <w:sz w:val="20"/>
        </w:rPr>
        <w:t>modalidad</w:t>
      </w:r>
      <w:r>
        <w:rPr>
          <w:spacing w:val="-5"/>
          <w:sz w:val="20"/>
        </w:rPr>
        <w:t> </w:t>
      </w:r>
      <w:r>
        <w:rPr>
          <w:sz w:val="20"/>
        </w:rPr>
        <w:t>de</w:t>
      </w:r>
      <w:r>
        <w:rPr>
          <w:spacing w:val="-8"/>
          <w:sz w:val="20"/>
        </w:rPr>
        <w:t> </w:t>
      </w:r>
      <w:r>
        <w:rPr>
          <w:sz w:val="20"/>
        </w:rPr>
        <w:t>personas</w:t>
      </w:r>
      <w:r>
        <w:rPr>
          <w:spacing w:val="-7"/>
          <w:sz w:val="20"/>
        </w:rPr>
        <w:t> </w:t>
      </w:r>
      <w:r>
        <w:rPr>
          <w:spacing w:val="-2"/>
          <w:sz w:val="20"/>
        </w:rPr>
        <w:t>trabajadoras.</w:t>
      </w:r>
    </w:p>
    <w:p>
      <w:pPr>
        <w:spacing w:line="240" w:lineRule="auto" w:before="137"/>
        <w:rPr>
          <w:sz w:val="16"/>
        </w:rPr>
      </w:pPr>
      <w:r>
        <w:rPr/>
        <w:br w:type="column"/>
      </w:r>
      <w:r>
        <w:rPr>
          <w:sz w:val="16"/>
        </w:rPr>
      </w:r>
    </w:p>
    <w:p>
      <w:pPr>
        <w:spacing w:before="0"/>
        <w:ind w:left="689" w:right="0" w:hanging="63"/>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21-02-2025</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24-04-</w:t>
      </w:r>
      <w:r>
        <w:rPr>
          <w:rFonts w:ascii="Times New Roman" w:hAnsi="Times New Roman"/>
          <w:i/>
          <w:color w:val="0000FF"/>
          <w:spacing w:val="-4"/>
          <w:sz w:val="16"/>
        </w:rPr>
        <w:t>1972</w:t>
      </w:r>
    </w:p>
    <w:p>
      <w:pPr>
        <w:spacing w:after="0"/>
        <w:jc w:val="left"/>
        <w:rPr>
          <w:rFonts w:ascii="Times New Roman" w:hAnsi="Times New Roman"/>
          <w:i/>
          <w:sz w:val="16"/>
        </w:rPr>
        <w:sectPr>
          <w:type w:val="continuous"/>
          <w:pgSz w:w="12240" w:h="15840"/>
          <w:pgMar w:header="724" w:footer="712" w:top="1880" w:bottom="900" w:left="1080" w:right="1080"/>
          <w:cols w:num="2" w:equalWidth="0">
            <w:col w:w="6393" w:space="265"/>
            <w:col w:w="3422"/>
          </w:cols>
        </w:sectPr>
      </w:pPr>
    </w:p>
    <w:p>
      <w:pPr>
        <w:pStyle w:val="BodyText"/>
        <w:spacing w:before="2"/>
        <w:rPr>
          <w:rFonts w:ascii="Times New Roman"/>
          <w:i/>
        </w:rPr>
      </w:pPr>
    </w:p>
    <w:p>
      <w:pPr>
        <w:pStyle w:val="BodyText"/>
        <w:ind w:left="338" w:right="342" w:firstLine="288"/>
        <w:jc w:val="both"/>
      </w:pPr>
      <w:bookmarkStart w:name="Artículo_148" w:id="167"/>
      <w:bookmarkEnd w:id="167"/>
      <w:r>
        <w:rPr/>
      </w:r>
      <w:r>
        <w:rPr>
          <w:rFonts w:ascii="Arial" w:hAnsi="Arial"/>
          <w:b/>
        </w:rPr>
        <w:t>Artículo 148.- </w:t>
      </w:r>
      <w:r>
        <w:rPr/>
        <w:t>El Ejecutivo Federal podrá establecer modalidades para facilitar la aportación de las empresas que tengan un capital o un ingreso inferior a los mínimos que el propio Ejecutivo determine. Estas resoluciones podrán revisarse total o parcialmente cuando a su juicio existan circunstancias que lo </w:t>
      </w:r>
      <w:r>
        <w:rPr>
          <w:spacing w:val="-2"/>
        </w:rPr>
        <w:t>justifiquen.</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1972</w:t>
      </w:r>
    </w:p>
    <w:p>
      <w:pPr>
        <w:pStyle w:val="BodyText"/>
        <w:spacing w:before="45"/>
        <w:rPr>
          <w:rFonts w:ascii="Times New Roman"/>
          <w:i/>
          <w:sz w:val="16"/>
        </w:rPr>
      </w:pPr>
    </w:p>
    <w:p>
      <w:pPr>
        <w:pStyle w:val="BodyText"/>
        <w:ind w:left="338" w:right="337" w:firstLine="288"/>
        <w:jc w:val="both"/>
      </w:pPr>
      <w:bookmarkStart w:name="Artículo_149" w:id="168"/>
      <w:bookmarkEnd w:id="168"/>
      <w:r>
        <w:rPr/>
      </w:r>
      <w:r>
        <w:rPr>
          <w:rFonts w:ascii="Arial" w:hAnsi="Arial"/>
          <w:b/>
        </w:rPr>
        <w:t>Artículo 149.- </w:t>
      </w:r>
      <w:r>
        <w:rPr/>
        <w:t>El organismo que se cree para administrar los recursos del Fondo Nacional de la Vivienda, determinará las sumas que se asignarán al financiamiento de programas de casas habitación destinadas a ser adquiridas en propiedad por los trabajadores y los que se aplicarán para la adquisición, construcción, reparación o mejoras de dichas casas, así como para el pago de pasivos adquiridos por estos conceptos.</w:t>
      </w:r>
    </w:p>
    <w:p>
      <w:pPr>
        <w:pStyle w:val="BodyText"/>
        <w:spacing w:before="2"/>
      </w:pPr>
    </w:p>
    <w:p>
      <w:pPr>
        <w:pStyle w:val="BodyText"/>
        <w:ind w:left="338" w:right="346" w:firstLine="288"/>
        <w:jc w:val="both"/>
      </w:pPr>
      <w:r>
        <w:rPr/>
        <w:t>Al efectuar la aplicación de recursos, se distribuirán equitativamente entre las distintas regiones y localidades del país, así como entre las diversas empresas o grupos de trabajadores.</w:t>
      </w:r>
    </w:p>
    <w:p>
      <w:pPr>
        <w:pStyle w:val="BodyText"/>
        <w:spacing w:after="0"/>
        <w:jc w:val="both"/>
        <w:sectPr>
          <w:type w:val="continuous"/>
          <w:pgSz w:w="12240" w:h="15840"/>
          <w:pgMar w:header="724" w:footer="712" w:top="1880" w:bottom="900" w:left="1080" w:right="1080"/>
        </w:sectPr>
      </w:pPr>
    </w:p>
    <w:p>
      <w:pPr>
        <w:pStyle w:val="BodyText"/>
      </w:pPr>
    </w:p>
    <w:p>
      <w:pPr>
        <w:pStyle w:val="BodyText"/>
        <w:spacing w:before="66"/>
      </w:pPr>
    </w:p>
    <w:p>
      <w:pPr>
        <w:pStyle w:val="BodyText"/>
        <w:ind w:left="338" w:right="346" w:firstLine="288"/>
        <w:jc w:val="both"/>
      </w:pPr>
      <w:r>
        <w:rPr/>
        <w:t>Para el</w:t>
      </w:r>
      <w:r>
        <w:rPr>
          <w:spacing w:val="-1"/>
        </w:rPr>
        <w:t> </w:t>
      </w:r>
      <w:r>
        <w:rPr/>
        <w:t>otorgamiento individual</w:t>
      </w:r>
      <w:r>
        <w:rPr>
          <w:spacing w:val="-3"/>
        </w:rPr>
        <w:t> </w:t>
      </w:r>
      <w:r>
        <w:rPr/>
        <w:t>de</w:t>
      </w:r>
      <w:r>
        <w:rPr>
          <w:spacing w:val="-2"/>
        </w:rPr>
        <w:t> </w:t>
      </w:r>
      <w:r>
        <w:rPr/>
        <w:t>los</w:t>
      </w:r>
      <w:r>
        <w:rPr>
          <w:spacing w:val="-1"/>
        </w:rPr>
        <w:t> </w:t>
      </w:r>
      <w:r>
        <w:rPr/>
        <w:t>créditos</w:t>
      </w:r>
      <w:r>
        <w:rPr>
          <w:spacing w:val="-1"/>
        </w:rPr>
        <w:t> </w:t>
      </w:r>
      <w:r>
        <w:rPr/>
        <w:t>se procederá en caso</w:t>
      </w:r>
      <w:r>
        <w:rPr>
          <w:spacing w:val="-2"/>
        </w:rPr>
        <w:t> </w:t>
      </w:r>
      <w:r>
        <w:rPr/>
        <w:t>necesario conforme</w:t>
      </w:r>
      <w:r>
        <w:rPr>
          <w:spacing w:val="-2"/>
        </w:rPr>
        <w:t> </w:t>
      </w:r>
      <w:r>
        <w:rPr/>
        <w:t>a</w:t>
      </w:r>
      <w:r>
        <w:rPr>
          <w:spacing w:val="-2"/>
        </w:rPr>
        <w:t> </w:t>
      </w:r>
      <w:r>
        <w:rPr/>
        <w:t>un sistema de sorteos, en los términos que establezca la ley a que se refiere el artículo 139.</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1972</w:t>
      </w:r>
    </w:p>
    <w:p>
      <w:pPr>
        <w:pStyle w:val="BodyText"/>
        <w:spacing w:before="43"/>
        <w:rPr>
          <w:rFonts w:ascii="Times New Roman"/>
          <w:i/>
          <w:sz w:val="16"/>
        </w:rPr>
      </w:pPr>
    </w:p>
    <w:p>
      <w:pPr>
        <w:pStyle w:val="BodyText"/>
        <w:spacing w:line="242" w:lineRule="auto"/>
        <w:ind w:left="338" w:right="344" w:firstLine="288"/>
        <w:jc w:val="both"/>
      </w:pPr>
      <w:bookmarkStart w:name="Artículo_150" w:id="169"/>
      <w:bookmarkEnd w:id="169"/>
      <w:r>
        <w:rPr/>
      </w:r>
      <w:r>
        <w:rPr>
          <w:rFonts w:ascii="Arial" w:hAnsi="Arial"/>
          <w:b/>
        </w:rPr>
        <w:t>Artículo 150.- </w:t>
      </w:r>
      <w:r>
        <w:rPr/>
        <w:t>Cuando las empresas proporcionen a sus trabajadores casa en comodato o arrendamiento no están exentas de contribuir al Fondo Nacional de la Vivienda, en los términos del artículo 136. Tampoco quedarán exentas de esta aportación respecto de aquellos trabajadores que</w:t>
      </w:r>
      <w:r>
        <w:rPr>
          <w:spacing w:val="40"/>
        </w:rPr>
        <w:t> </w:t>
      </w:r>
      <w:r>
        <w:rPr/>
        <w:t>hayan sido favorecidos por créditos del fondo.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1972</w:t>
      </w:r>
    </w:p>
    <w:p>
      <w:pPr>
        <w:pStyle w:val="BodyText"/>
        <w:spacing w:before="45"/>
        <w:rPr>
          <w:rFonts w:ascii="Times New Roman"/>
          <w:i/>
          <w:sz w:val="16"/>
        </w:rPr>
      </w:pPr>
    </w:p>
    <w:p>
      <w:pPr>
        <w:pStyle w:val="BodyText"/>
        <w:spacing w:line="242" w:lineRule="auto"/>
        <w:ind w:left="338" w:right="344" w:firstLine="288"/>
        <w:jc w:val="both"/>
      </w:pPr>
      <w:bookmarkStart w:name="Artículo_151" w:id="170"/>
      <w:bookmarkEnd w:id="170"/>
      <w:r>
        <w:rPr/>
      </w:r>
      <w:r>
        <w:rPr>
          <w:rFonts w:ascii="Arial" w:hAnsi="Arial"/>
          <w:b/>
        </w:rPr>
        <w:t>Artículo 151.-</w:t>
      </w:r>
      <w:r>
        <w:rPr>
          <w:rFonts w:ascii="Arial" w:hAnsi="Arial"/>
          <w:b/>
          <w:spacing w:val="-1"/>
        </w:rPr>
        <w:t> </w:t>
      </w:r>
      <w:r>
        <w:rPr/>
        <w:t>Cuando las habitaciones se den en arrendamiento a los trabajadores,</w:t>
      </w:r>
      <w:r>
        <w:rPr>
          <w:spacing w:val="-2"/>
        </w:rPr>
        <w:t> </w:t>
      </w:r>
      <w:r>
        <w:rPr/>
        <w:t>la renta no podrá exceder del medio por ciento mensual del valor catastral de la finca y se observarán las normas </w:t>
      </w:r>
      <w:r>
        <w:rPr>
          <w:spacing w:val="-2"/>
        </w:rPr>
        <w:t>siguientes:</w:t>
      </w:r>
    </w:p>
    <w:p>
      <w:pPr>
        <w:pStyle w:val="ListParagraph"/>
        <w:numPr>
          <w:ilvl w:val="0"/>
          <w:numId w:val="35"/>
        </w:numPr>
        <w:tabs>
          <w:tab w:pos="1195" w:val="left" w:leader="none"/>
        </w:tabs>
        <w:spacing w:line="242" w:lineRule="auto" w:before="223" w:after="0"/>
        <w:ind w:left="1195" w:right="348" w:hanging="569"/>
        <w:jc w:val="left"/>
        <w:rPr>
          <w:sz w:val="20"/>
        </w:rPr>
      </w:pPr>
      <w:r>
        <w:rPr>
          <w:sz w:val="20"/>
        </w:rPr>
        <w:t>Las</w:t>
      </w:r>
      <w:r>
        <w:rPr>
          <w:spacing w:val="40"/>
          <w:sz w:val="20"/>
        </w:rPr>
        <w:t> </w:t>
      </w:r>
      <w:r>
        <w:rPr>
          <w:sz w:val="20"/>
        </w:rPr>
        <w:t>empresas</w:t>
      </w:r>
      <w:r>
        <w:rPr>
          <w:spacing w:val="40"/>
          <w:sz w:val="20"/>
        </w:rPr>
        <w:t> </w:t>
      </w:r>
      <w:r>
        <w:rPr>
          <w:sz w:val="20"/>
        </w:rPr>
        <w:t>están</w:t>
      </w:r>
      <w:r>
        <w:rPr>
          <w:spacing w:val="40"/>
          <w:sz w:val="20"/>
        </w:rPr>
        <w:t> </w:t>
      </w:r>
      <w:r>
        <w:rPr>
          <w:sz w:val="20"/>
        </w:rPr>
        <w:t>obligadas</w:t>
      </w:r>
      <w:r>
        <w:rPr>
          <w:spacing w:val="40"/>
          <w:sz w:val="20"/>
        </w:rPr>
        <w:t> </w:t>
      </w:r>
      <w:r>
        <w:rPr>
          <w:sz w:val="20"/>
        </w:rPr>
        <w:t>a</w:t>
      </w:r>
      <w:r>
        <w:rPr>
          <w:spacing w:val="40"/>
          <w:sz w:val="20"/>
        </w:rPr>
        <w:t> </w:t>
      </w:r>
      <w:r>
        <w:rPr>
          <w:sz w:val="20"/>
        </w:rPr>
        <w:t>mantenerlas</w:t>
      </w:r>
      <w:r>
        <w:rPr>
          <w:spacing w:val="40"/>
          <w:sz w:val="20"/>
        </w:rPr>
        <w:t> </w:t>
      </w:r>
      <w:r>
        <w:rPr>
          <w:sz w:val="20"/>
        </w:rPr>
        <w:t>en</w:t>
      </w:r>
      <w:r>
        <w:rPr>
          <w:spacing w:val="40"/>
          <w:sz w:val="20"/>
        </w:rPr>
        <w:t> </w:t>
      </w:r>
      <w:r>
        <w:rPr>
          <w:sz w:val="20"/>
        </w:rPr>
        <w:t>condiciones</w:t>
      </w:r>
      <w:r>
        <w:rPr>
          <w:spacing w:val="40"/>
          <w:sz w:val="20"/>
        </w:rPr>
        <w:t> </w:t>
      </w:r>
      <w:r>
        <w:rPr>
          <w:sz w:val="20"/>
        </w:rPr>
        <w:t>de</w:t>
      </w:r>
      <w:r>
        <w:rPr>
          <w:spacing w:val="40"/>
          <w:sz w:val="20"/>
        </w:rPr>
        <w:t> </w:t>
      </w:r>
      <w:r>
        <w:rPr>
          <w:sz w:val="20"/>
        </w:rPr>
        <w:t>habitabilidad</w:t>
      </w:r>
      <w:r>
        <w:rPr>
          <w:spacing w:val="40"/>
          <w:sz w:val="20"/>
        </w:rPr>
        <w:t> </w:t>
      </w:r>
      <w:r>
        <w:rPr>
          <w:sz w:val="20"/>
        </w:rPr>
        <w:t>y</w:t>
      </w:r>
      <w:r>
        <w:rPr>
          <w:spacing w:val="40"/>
          <w:sz w:val="20"/>
        </w:rPr>
        <w:t> </w:t>
      </w:r>
      <w:r>
        <w:rPr>
          <w:sz w:val="20"/>
        </w:rPr>
        <w:t>a</w:t>
      </w:r>
      <w:r>
        <w:rPr>
          <w:spacing w:val="40"/>
          <w:sz w:val="20"/>
        </w:rPr>
        <w:t> </w:t>
      </w:r>
      <w:r>
        <w:rPr>
          <w:sz w:val="20"/>
        </w:rPr>
        <w:t>hacer</w:t>
      </w:r>
      <w:r>
        <w:rPr>
          <w:spacing w:val="40"/>
          <w:sz w:val="20"/>
        </w:rPr>
        <w:t> </w:t>
      </w:r>
      <w:r>
        <w:rPr>
          <w:sz w:val="20"/>
        </w:rPr>
        <w:t>oportunamente las reparaciones necesarias y convenientes:</w:t>
      </w:r>
    </w:p>
    <w:p>
      <w:pPr>
        <w:pStyle w:val="ListParagraph"/>
        <w:numPr>
          <w:ilvl w:val="0"/>
          <w:numId w:val="35"/>
        </w:numPr>
        <w:tabs>
          <w:tab w:pos="1195" w:val="left" w:leader="none"/>
        </w:tabs>
        <w:spacing w:line="240" w:lineRule="auto" w:before="226" w:after="0"/>
        <w:ind w:left="1195" w:right="0" w:hanging="569"/>
        <w:jc w:val="left"/>
        <w:rPr>
          <w:sz w:val="20"/>
        </w:rPr>
      </w:pPr>
      <w:r>
        <w:rPr>
          <w:sz w:val="20"/>
        </w:rPr>
        <w:t>Los</w:t>
      </w:r>
      <w:r>
        <w:rPr>
          <w:spacing w:val="-10"/>
          <w:sz w:val="20"/>
        </w:rPr>
        <w:t> </w:t>
      </w:r>
      <w:r>
        <w:rPr>
          <w:sz w:val="20"/>
        </w:rPr>
        <w:t>trabajadores</w:t>
      </w:r>
      <w:r>
        <w:rPr>
          <w:spacing w:val="-10"/>
          <w:sz w:val="20"/>
        </w:rPr>
        <w:t> </w:t>
      </w:r>
      <w:r>
        <w:rPr>
          <w:sz w:val="20"/>
        </w:rPr>
        <w:t>tienen</w:t>
      </w:r>
      <w:r>
        <w:rPr>
          <w:spacing w:val="-10"/>
          <w:sz w:val="20"/>
        </w:rPr>
        <w:t> </w:t>
      </w:r>
      <w:r>
        <w:rPr>
          <w:sz w:val="20"/>
        </w:rPr>
        <w:t>las</w:t>
      </w:r>
      <w:r>
        <w:rPr>
          <w:spacing w:val="-8"/>
          <w:sz w:val="20"/>
        </w:rPr>
        <w:t> </w:t>
      </w:r>
      <w:r>
        <w:rPr>
          <w:sz w:val="20"/>
        </w:rPr>
        <w:t>obligaciones</w:t>
      </w:r>
      <w:r>
        <w:rPr>
          <w:spacing w:val="-10"/>
          <w:sz w:val="20"/>
        </w:rPr>
        <w:t> </w:t>
      </w:r>
      <w:r>
        <w:rPr>
          <w:spacing w:val="-2"/>
          <w:sz w:val="20"/>
        </w:rPr>
        <w:t>siguientes:</w:t>
      </w:r>
    </w:p>
    <w:p>
      <w:pPr>
        <w:pStyle w:val="BodyText"/>
        <w:spacing w:before="1"/>
      </w:pPr>
    </w:p>
    <w:p>
      <w:pPr>
        <w:pStyle w:val="ListParagraph"/>
        <w:numPr>
          <w:ilvl w:val="1"/>
          <w:numId w:val="35"/>
        </w:numPr>
        <w:tabs>
          <w:tab w:pos="1761" w:val="left" w:leader="none"/>
        </w:tabs>
        <w:spacing w:line="240" w:lineRule="auto" w:before="0" w:after="0"/>
        <w:ind w:left="1761" w:right="0" w:hanging="566"/>
        <w:jc w:val="left"/>
        <w:rPr>
          <w:sz w:val="20"/>
        </w:rPr>
      </w:pPr>
      <w:r>
        <w:rPr>
          <w:sz w:val="20"/>
        </w:rPr>
        <w:t>Pagar</w:t>
      </w:r>
      <w:r>
        <w:rPr>
          <w:spacing w:val="-6"/>
          <w:sz w:val="20"/>
        </w:rPr>
        <w:t> </w:t>
      </w:r>
      <w:r>
        <w:rPr>
          <w:sz w:val="20"/>
        </w:rPr>
        <w:t>las</w:t>
      </w:r>
      <w:r>
        <w:rPr>
          <w:spacing w:val="-5"/>
          <w:sz w:val="20"/>
        </w:rPr>
        <w:t> </w:t>
      </w:r>
      <w:r>
        <w:rPr>
          <w:spacing w:val="-2"/>
          <w:sz w:val="20"/>
        </w:rPr>
        <w:t>rentas.</w:t>
      </w:r>
    </w:p>
    <w:p>
      <w:pPr>
        <w:pStyle w:val="ListParagraph"/>
        <w:numPr>
          <w:ilvl w:val="1"/>
          <w:numId w:val="35"/>
        </w:numPr>
        <w:tabs>
          <w:tab w:pos="1761" w:val="left" w:leader="none"/>
        </w:tabs>
        <w:spacing w:line="240" w:lineRule="auto" w:before="229" w:after="0"/>
        <w:ind w:left="1761" w:right="0" w:hanging="566"/>
        <w:jc w:val="left"/>
        <w:rPr>
          <w:sz w:val="20"/>
        </w:rPr>
      </w:pPr>
      <w:r>
        <w:rPr>
          <w:sz w:val="20"/>
        </w:rPr>
        <w:t>Cuidar</w:t>
      </w:r>
      <w:r>
        <w:rPr>
          <w:spacing w:val="-6"/>
          <w:sz w:val="20"/>
        </w:rPr>
        <w:t> </w:t>
      </w:r>
      <w:r>
        <w:rPr>
          <w:sz w:val="20"/>
        </w:rPr>
        <w:t>de</w:t>
      </w:r>
      <w:r>
        <w:rPr>
          <w:spacing w:val="-5"/>
          <w:sz w:val="20"/>
        </w:rPr>
        <w:t> </w:t>
      </w:r>
      <w:r>
        <w:rPr>
          <w:sz w:val="20"/>
        </w:rPr>
        <w:t>la</w:t>
      </w:r>
      <w:r>
        <w:rPr>
          <w:spacing w:val="-4"/>
          <w:sz w:val="20"/>
        </w:rPr>
        <w:t> </w:t>
      </w:r>
      <w:r>
        <w:rPr>
          <w:sz w:val="20"/>
        </w:rPr>
        <w:t>habitación</w:t>
      </w:r>
      <w:r>
        <w:rPr>
          <w:spacing w:val="-4"/>
          <w:sz w:val="20"/>
        </w:rPr>
        <w:t> </w:t>
      </w:r>
      <w:r>
        <w:rPr>
          <w:sz w:val="20"/>
        </w:rPr>
        <w:t>como</w:t>
      </w:r>
      <w:r>
        <w:rPr>
          <w:spacing w:val="-6"/>
          <w:sz w:val="20"/>
        </w:rPr>
        <w:t> </w:t>
      </w:r>
      <w:r>
        <w:rPr>
          <w:sz w:val="20"/>
        </w:rPr>
        <w:t>si</w:t>
      </w:r>
      <w:r>
        <w:rPr>
          <w:spacing w:val="-8"/>
          <w:sz w:val="20"/>
        </w:rPr>
        <w:t> </w:t>
      </w:r>
      <w:r>
        <w:rPr>
          <w:sz w:val="20"/>
        </w:rPr>
        <w:t>fuera</w:t>
      </w:r>
      <w:r>
        <w:rPr>
          <w:spacing w:val="-6"/>
          <w:sz w:val="20"/>
        </w:rPr>
        <w:t> </w:t>
      </w:r>
      <w:r>
        <w:rPr>
          <w:spacing w:val="-2"/>
          <w:sz w:val="20"/>
        </w:rPr>
        <w:t>propia.</w:t>
      </w:r>
    </w:p>
    <w:p>
      <w:pPr>
        <w:pStyle w:val="BodyText"/>
      </w:pPr>
    </w:p>
    <w:p>
      <w:pPr>
        <w:pStyle w:val="ListParagraph"/>
        <w:numPr>
          <w:ilvl w:val="1"/>
          <w:numId w:val="35"/>
        </w:numPr>
        <w:tabs>
          <w:tab w:pos="1761" w:val="left" w:leader="none"/>
        </w:tabs>
        <w:spacing w:line="240" w:lineRule="auto" w:before="0" w:after="0"/>
        <w:ind w:left="1761" w:right="0" w:hanging="566"/>
        <w:jc w:val="left"/>
        <w:rPr>
          <w:sz w:val="20"/>
        </w:rPr>
      </w:pPr>
      <w:r>
        <w:rPr>
          <w:sz w:val="20"/>
        </w:rPr>
        <w:t>Poner</w:t>
      </w:r>
      <w:r>
        <w:rPr>
          <w:spacing w:val="-7"/>
          <w:sz w:val="20"/>
        </w:rPr>
        <w:t> </w:t>
      </w:r>
      <w:r>
        <w:rPr>
          <w:sz w:val="20"/>
        </w:rPr>
        <w:t>en</w:t>
      </w:r>
      <w:r>
        <w:rPr>
          <w:spacing w:val="-6"/>
          <w:sz w:val="20"/>
        </w:rPr>
        <w:t> </w:t>
      </w:r>
      <w:r>
        <w:rPr>
          <w:sz w:val="20"/>
        </w:rPr>
        <w:t>conocimiento</w:t>
      </w:r>
      <w:r>
        <w:rPr>
          <w:spacing w:val="-5"/>
          <w:sz w:val="20"/>
        </w:rPr>
        <w:t> </w:t>
      </w:r>
      <w:r>
        <w:rPr>
          <w:sz w:val="20"/>
        </w:rPr>
        <w:t>de</w:t>
      </w:r>
      <w:r>
        <w:rPr>
          <w:spacing w:val="-6"/>
          <w:sz w:val="20"/>
        </w:rPr>
        <w:t> </w:t>
      </w:r>
      <w:r>
        <w:rPr>
          <w:sz w:val="20"/>
        </w:rPr>
        <w:t>la</w:t>
      </w:r>
      <w:r>
        <w:rPr>
          <w:spacing w:val="-6"/>
          <w:sz w:val="20"/>
        </w:rPr>
        <w:t> </w:t>
      </w:r>
      <w:r>
        <w:rPr>
          <w:sz w:val="20"/>
        </w:rPr>
        <w:t>empresa</w:t>
      </w:r>
      <w:r>
        <w:rPr>
          <w:spacing w:val="-7"/>
          <w:sz w:val="20"/>
        </w:rPr>
        <w:t> </w:t>
      </w:r>
      <w:r>
        <w:rPr>
          <w:sz w:val="20"/>
        </w:rPr>
        <w:t>los</w:t>
      </w:r>
      <w:r>
        <w:rPr>
          <w:spacing w:val="-5"/>
          <w:sz w:val="20"/>
        </w:rPr>
        <w:t> </w:t>
      </w:r>
      <w:r>
        <w:rPr>
          <w:sz w:val="20"/>
        </w:rPr>
        <w:t>defectos</w:t>
      </w:r>
      <w:r>
        <w:rPr>
          <w:spacing w:val="-6"/>
          <w:sz w:val="20"/>
        </w:rPr>
        <w:t> </w:t>
      </w:r>
      <w:r>
        <w:rPr>
          <w:sz w:val="20"/>
        </w:rPr>
        <w:t>o</w:t>
      </w:r>
      <w:r>
        <w:rPr>
          <w:spacing w:val="-5"/>
          <w:sz w:val="20"/>
        </w:rPr>
        <w:t> </w:t>
      </w:r>
      <w:r>
        <w:rPr>
          <w:sz w:val="20"/>
        </w:rPr>
        <w:t>deterioros</w:t>
      </w:r>
      <w:r>
        <w:rPr>
          <w:spacing w:val="-5"/>
          <w:sz w:val="20"/>
        </w:rPr>
        <w:t> </w:t>
      </w:r>
      <w:r>
        <w:rPr>
          <w:sz w:val="20"/>
        </w:rPr>
        <w:t>que</w:t>
      </w:r>
      <w:r>
        <w:rPr>
          <w:spacing w:val="-5"/>
          <w:sz w:val="20"/>
        </w:rPr>
        <w:t> </w:t>
      </w:r>
      <w:r>
        <w:rPr>
          <w:spacing w:val="-2"/>
          <w:sz w:val="20"/>
        </w:rPr>
        <w:t>observen.</w:t>
      </w:r>
    </w:p>
    <w:p>
      <w:pPr>
        <w:pStyle w:val="BodyText"/>
        <w:spacing w:before="1"/>
      </w:pPr>
    </w:p>
    <w:p>
      <w:pPr>
        <w:pStyle w:val="ListParagraph"/>
        <w:numPr>
          <w:ilvl w:val="1"/>
          <w:numId w:val="35"/>
        </w:numPr>
        <w:tabs>
          <w:tab w:pos="1762" w:val="left" w:leader="none"/>
        </w:tabs>
        <w:spacing w:line="240" w:lineRule="auto" w:before="0" w:after="0"/>
        <w:ind w:left="1762" w:right="341" w:hanging="567"/>
        <w:jc w:val="left"/>
        <w:rPr>
          <w:sz w:val="20"/>
        </w:rPr>
      </w:pPr>
      <w:r>
        <w:rPr>
          <w:sz w:val="20"/>
        </w:rPr>
        <w:t>Desocupar</w:t>
      </w:r>
      <w:r>
        <w:rPr>
          <w:spacing w:val="27"/>
          <w:sz w:val="20"/>
        </w:rPr>
        <w:t> </w:t>
      </w:r>
      <w:r>
        <w:rPr>
          <w:sz w:val="20"/>
        </w:rPr>
        <w:t>las</w:t>
      </w:r>
      <w:r>
        <w:rPr>
          <w:spacing w:val="25"/>
          <w:sz w:val="20"/>
        </w:rPr>
        <w:t> </w:t>
      </w:r>
      <w:r>
        <w:rPr>
          <w:sz w:val="20"/>
        </w:rPr>
        <w:t>habitaciones</w:t>
      </w:r>
      <w:r>
        <w:rPr>
          <w:spacing w:val="25"/>
          <w:sz w:val="20"/>
        </w:rPr>
        <w:t> </w:t>
      </w:r>
      <w:r>
        <w:rPr>
          <w:sz w:val="20"/>
        </w:rPr>
        <w:t>a</w:t>
      </w:r>
      <w:r>
        <w:rPr>
          <w:spacing w:val="24"/>
          <w:sz w:val="20"/>
        </w:rPr>
        <w:t> </w:t>
      </w:r>
      <w:r>
        <w:rPr>
          <w:sz w:val="20"/>
        </w:rPr>
        <w:t>la</w:t>
      </w:r>
      <w:r>
        <w:rPr>
          <w:spacing w:val="26"/>
          <w:sz w:val="20"/>
        </w:rPr>
        <w:t> </w:t>
      </w:r>
      <w:r>
        <w:rPr>
          <w:sz w:val="20"/>
        </w:rPr>
        <w:t>terminación</w:t>
      </w:r>
      <w:r>
        <w:rPr>
          <w:spacing w:val="26"/>
          <w:sz w:val="20"/>
        </w:rPr>
        <w:t> </w:t>
      </w:r>
      <w:r>
        <w:rPr>
          <w:sz w:val="20"/>
        </w:rPr>
        <w:t>de</w:t>
      </w:r>
      <w:r>
        <w:rPr>
          <w:spacing w:val="26"/>
          <w:sz w:val="20"/>
        </w:rPr>
        <w:t> </w:t>
      </w:r>
      <w:r>
        <w:rPr>
          <w:sz w:val="20"/>
        </w:rPr>
        <w:t>las</w:t>
      </w:r>
      <w:r>
        <w:rPr>
          <w:spacing w:val="25"/>
          <w:sz w:val="20"/>
        </w:rPr>
        <w:t> </w:t>
      </w:r>
      <w:r>
        <w:rPr>
          <w:sz w:val="20"/>
        </w:rPr>
        <w:t>relaciones</w:t>
      </w:r>
      <w:r>
        <w:rPr>
          <w:spacing w:val="27"/>
          <w:sz w:val="20"/>
        </w:rPr>
        <w:t> </w:t>
      </w:r>
      <w:r>
        <w:rPr>
          <w:sz w:val="20"/>
        </w:rPr>
        <w:t>de</w:t>
      </w:r>
      <w:r>
        <w:rPr>
          <w:spacing w:val="24"/>
          <w:sz w:val="20"/>
        </w:rPr>
        <w:t> </w:t>
      </w:r>
      <w:r>
        <w:rPr>
          <w:sz w:val="20"/>
        </w:rPr>
        <w:t>trabajo</w:t>
      </w:r>
      <w:r>
        <w:rPr>
          <w:spacing w:val="26"/>
          <w:sz w:val="20"/>
        </w:rPr>
        <w:t> </w:t>
      </w:r>
      <w:r>
        <w:rPr>
          <w:sz w:val="20"/>
        </w:rPr>
        <w:t>dentro</w:t>
      </w:r>
      <w:r>
        <w:rPr>
          <w:spacing w:val="24"/>
          <w:sz w:val="20"/>
        </w:rPr>
        <w:t> </w:t>
      </w:r>
      <w:r>
        <w:rPr>
          <w:sz w:val="20"/>
        </w:rPr>
        <w:t>de</w:t>
      </w:r>
      <w:r>
        <w:rPr>
          <w:spacing w:val="26"/>
          <w:sz w:val="20"/>
        </w:rPr>
        <w:t> </w:t>
      </w:r>
      <w:r>
        <w:rPr>
          <w:sz w:val="20"/>
        </w:rPr>
        <w:t>un término de cuarenta y cinco días y</w:t>
      </w:r>
    </w:p>
    <w:p>
      <w:pPr>
        <w:pStyle w:val="ListParagraph"/>
        <w:numPr>
          <w:ilvl w:val="0"/>
          <w:numId w:val="35"/>
        </w:numPr>
        <w:tabs>
          <w:tab w:pos="1195" w:val="left" w:leader="none"/>
        </w:tabs>
        <w:spacing w:line="240" w:lineRule="auto" w:before="229" w:after="0"/>
        <w:ind w:left="1195" w:right="0" w:hanging="569"/>
        <w:jc w:val="left"/>
        <w:rPr>
          <w:sz w:val="20"/>
        </w:rPr>
      </w:pPr>
      <w:r>
        <w:rPr>
          <w:sz w:val="20"/>
        </w:rPr>
        <w:t>Está</w:t>
      </w:r>
      <w:r>
        <w:rPr>
          <w:spacing w:val="-8"/>
          <w:sz w:val="20"/>
        </w:rPr>
        <w:t> </w:t>
      </w:r>
      <w:r>
        <w:rPr>
          <w:sz w:val="20"/>
        </w:rPr>
        <w:t>prohibido</w:t>
      </w:r>
      <w:r>
        <w:rPr>
          <w:spacing w:val="-6"/>
          <w:sz w:val="20"/>
        </w:rPr>
        <w:t> </w:t>
      </w:r>
      <w:r>
        <w:rPr>
          <w:sz w:val="20"/>
        </w:rPr>
        <w:t>a</w:t>
      </w:r>
      <w:r>
        <w:rPr>
          <w:spacing w:val="-6"/>
          <w:sz w:val="20"/>
        </w:rPr>
        <w:t> </w:t>
      </w:r>
      <w:r>
        <w:rPr>
          <w:sz w:val="20"/>
        </w:rPr>
        <w:t>los</w:t>
      </w:r>
      <w:r>
        <w:rPr>
          <w:spacing w:val="-5"/>
          <w:sz w:val="20"/>
        </w:rPr>
        <w:t> </w:t>
      </w:r>
      <w:r>
        <w:rPr>
          <w:spacing w:val="-2"/>
          <w:sz w:val="20"/>
        </w:rPr>
        <w:t>trabajadores:</w:t>
      </w:r>
    </w:p>
    <w:p>
      <w:pPr>
        <w:pStyle w:val="BodyText"/>
        <w:spacing w:before="1"/>
      </w:pPr>
    </w:p>
    <w:p>
      <w:pPr>
        <w:pStyle w:val="ListParagraph"/>
        <w:numPr>
          <w:ilvl w:val="1"/>
          <w:numId w:val="35"/>
        </w:numPr>
        <w:tabs>
          <w:tab w:pos="1761" w:val="left" w:leader="none"/>
        </w:tabs>
        <w:spacing w:line="240" w:lineRule="auto" w:before="0" w:after="0"/>
        <w:ind w:left="1761" w:right="0" w:hanging="566"/>
        <w:jc w:val="left"/>
        <w:rPr>
          <w:sz w:val="20"/>
        </w:rPr>
      </w:pPr>
      <w:r>
        <w:rPr>
          <w:sz w:val="20"/>
        </w:rPr>
        <w:t>Usar</w:t>
      </w:r>
      <w:r>
        <w:rPr>
          <w:spacing w:val="-7"/>
          <w:sz w:val="20"/>
        </w:rPr>
        <w:t> </w:t>
      </w:r>
      <w:r>
        <w:rPr>
          <w:sz w:val="20"/>
        </w:rPr>
        <w:t>la</w:t>
      </w:r>
      <w:r>
        <w:rPr>
          <w:spacing w:val="-6"/>
          <w:sz w:val="20"/>
        </w:rPr>
        <w:t> </w:t>
      </w:r>
      <w:r>
        <w:rPr>
          <w:sz w:val="20"/>
        </w:rPr>
        <w:t>habitación</w:t>
      </w:r>
      <w:r>
        <w:rPr>
          <w:spacing w:val="-5"/>
          <w:sz w:val="20"/>
        </w:rPr>
        <w:t> </w:t>
      </w:r>
      <w:r>
        <w:rPr>
          <w:sz w:val="20"/>
        </w:rPr>
        <w:t>para</w:t>
      </w:r>
      <w:r>
        <w:rPr>
          <w:spacing w:val="-7"/>
          <w:sz w:val="20"/>
        </w:rPr>
        <w:t> </w:t>
      </w:r>
      <w:r>
        <w:rPr>
          <w:sz w:val="20"/>
        </w:rPr>
        <w:t>fines</w:t>
      </w:r>
      <w:r>
        <w:rPr>
          <w:spacing w:val="-5"/>
          <w:sz w:val="20"/>
        </w:rPr>
        <w:t> </w:t>
      </w:r>
      <w:r>
        <w:rPr>
          <w:sz w:val="20"/>
        </w:rPr>
        <w:t>distintos</w:t>
      </w:r>
      <w:r>
        <w:rPr>
          <w:spacing w:val="-5"/>
          <w:sz w:val="20"/>
        </w:rPr>
        <w:t> </w:t>
      </w:r>
      <w:r>
        <w:rPr>
          <w:sz w:val="20"/>
        </w:rPr>
        <w:t>de</w:t>
      </w:r>
      <w:r>
        <w:rPr>
          <w:spacing w:val="-5"/>
          <w:sz w:val="20"/>
        </w:rPr>
        <w:t> </w:t>
      </w:r>
      <w:r>
        <w:rPr>
          <w:sz w:val="20"/>
        </w:rPr>
        <w:t>los</w:t>
      </w:r>
      <w:r>
        <w:rPr>
          <w:spacing w:val="-5"/>
          <w:sz w:val="20"/>
        </w:rPr>
        <w:t> </w:t>
      </w:r>
      <w:r>
        <w:rPr>
          <w:sz w:val="20"/>
        </w:rPr>
        <w:t>señalados</w:t>
      </w:r>
      <w:r>
        <w:rPr>
          <w:spacing w:val="-5"/>
          <w:sz w:val="20"/>
        </w:rPr>
        <w:t> </w:t>
      </w:r>
      <w:r>
        <w:rPr>
          <w:sz w:val="20"/>
        </w:rPr>
        <w:t>en</w:t>
      </w:r>
      <w:r>
        <w:rPr>
          <w:spacing w:val="-8"/>
          <w:sz w:val="20"/>
        </w:rPr>
        <w:t> </w:t>
      </w:r>
      <w:r>
        <w:rPr>
          <w:sz w:val="20"/>
        </w:rPr>
        <w:t>este</w:t>
      </w:r>
      <w:r>
        <w:rPr>
          <w:spacing w:val="-6"/>
          <w:sz w:val="20"/>
        </w:rPr>
        <w:t> </w:t>
      </w:r>
      <w:r>
        <w:rPr>
          <w:spacing w:val="-2"/>
          <w:sz w:val="20"/>
        </w:rPr>
        <w:t>capítulo.</w:t>
      </w:r>
    </w:p>
    <w:p>
      <w:pPr>
        <w:pStyle w:val="ListParagraph"/>
        <w:numPr>
          <w:ilvl w:val="1"/>
          <w:numId w:val="35"/>
        </w:numPr>
        <w:tabs>
          <w:tab w:pos="1761" w:val="left" w:leader="none"/>
        </w:tabs>
        <w:spacing w:line="240" w:lineRule="auto" w:before="229" w:after="0"/>
        <w:ind w:left="1761" w:right="0" w:hanging="566"/>
        <w:jc w:val="left"/>
        <w:rPr>
          <w:sz w:val="20"/>
        </w:rPr>
      </w:pPr>
      <w:r>
        <w:rPr>
          <w:sz w:val="20"/>
        </w:rPr>
        <w:t>Subarrendar</w:t>
      </w:r>
      <w:r>
        <w:rPr>
          <w:spacing w:val="-9"/>
          <w:sz w:val="20"/>
        </w:rPr>
        <w:t> </w:t>
      </w:r>
      <w:r>
        <w:rPr>
          <w:sz w:val="20"/>
        </w:rPr>
        <w:t>las</w:t>
      </w:r>
      <w:r>
        <w:rPr>
          <w:spacing w:val="-8"/>
          <w:sz w:val="20"/>
        </w:rPr>
        <w:t> </w:t>
      </w:r>
      <w:r>
        <w:rPr>
          <w:spacing w:val="-2"/>
          <w:sz w:val="20"/>
        </w:rPr>
        <w:t>habitaciones.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24-04-</w:t>
      </w:r>
      <w:r>
        <w:rPr>
          <w:rFonts w:ascii="Times New Roman" w:hAnsi="Times New Roman"/>
          <w:i/>
          <w:color w:val="0000FF"/>
          <w:spacing w:val="-4"/>
          <w:sz w:val="16"/>
        </w:rPr>
        <w:t>1972</w:t>
      </w:r>
    </w:p>
    <w:p>
      <w:pPr>
        <w:pStyle w:val="BodyText"/>
        <w:spacing w:before="1"/>
        <w:rPr>
          <w:rFonts w:ascii="Times New Roman"/>
          <w:i/>
        </w:rPr>
      </w:pPr>
    </w:p>
    <w:p>
      <w:pPr>
        <w:pStyle w:val="BodyText"/>
        <w:ind w:left="338" w:right="334" w:firstLine="288"/>
        <w:jc w:val="both"/>
      </w:pPr>
      <w:bookmarkStart w:name="Artículo_152" w:id="171"/>
      <w:bookmarkEnd w:id="171"/>
      <w:r>
        <w:rPr/>
      </w:r>
      <w:r>
        <w:rPr>
          <w:rFonts w:ascii="Arial" w:hAnsi="Arial"/>
          <w:b/>
        </w:rPr>
        <w:t>Artículo</w:t>
      </w:r>
      <w:r>
        <w:rPr>
          <w:rFonts w:ascii="Arial" w:hAnsi="Arial"/>
          <w:b/>
          <w:spacing w:val="-2"/>
        </w:rPr>
        <w:t> </w:t>
      </w:r>
      <w:r>
        <w:rPr>
          <w:rFonts w:ascii="Arial" w:hAnsi="Arial"/>
          <w:b/>
        </w:rPr>
        <w:t>152.-</w:t>
      </w:r>
      <w:r>
        <w:rPr>
          <w:rFonts w:ascii="Arial" w:hAnsi="Arial"/>
          <w:b/>
          <w:spacing w:val="-4"/>
        </w:rPr>
        <w:t> </w:t>
      </w:r>
      <w:r>
        <w:rPr/>
        <w:t>Los</w:t>
      </w:r>
      <w:r>
        <w:rPr>
          <w:spacing w:val="-1"/>
        </w:rPr>
        <w:t> </w:t>
      </w:r>
      <w:r>
        <w:rPr/>
        <w:t>trabajadores</w:t>
      </w:r>
      <w:r>
        <w:rPr>
          <w:spacing w:val="-3"/>
        </w:rPr>
        <w:t> </w:t>
      </w:r>
      <w:r>
        <w:rPr/>
        <w:t>tendrán</w:t>
      </w:r>
      <w:r>
        <w:rPr>
          <w:spacing w:val="-3"/>
        </w:rPr>
        <w:t> </w:t>
      </w:r>
      <w:r>
        <w:rPr/>
        <w:t>derecho</w:t>
      </w:r>
      <w:r>
        <w:rPr>
          <w:spacing w:val="-4"/>
        </w:rPr>
        <w:t> </w:t>
      </w:r>
      <w:r>
        <w:rPr/>
        <w:t>a</w:t>
      </w:r>
      <w:r>
        <w:rPr>
          <w:spacing w:val="-3"/>
        </w:rPr>
        <w:t> </w:t>
      </w:r>
      <w:r>
        <w:rPr/>
        <w:t>ejercitar</w:t>
      </w:r>
      <w:r>
        <w:rPr>
          <w:spacing w:val="-5"/>
        </w:rPr>
        <w:t> </w:t>
      </w:r>
      <w:r>
        <w:rPr/>
        <w:t>ante</w:t>
      </w:r>
      <w:r>
        <w:rPr>
          <w:spacing w:val="-3"/>
        </w:rPr>
        <w:t> </w:t>
      </w:r>
      <w:r>
        <w:rPr/>
        <w:t>el</w:t>
      </w:r>
      <w:r>
        <w:rPr>
          <w:spacing w:val="-4"/>
        </w:rPr>
        <w:t> </w:t>
      </w:r>
      <w:r>
        <w:rPr/>
        <w:t>Tribunal las</w:t>
      </w:r>
      <w:r>
        <w:rPr>
          <w:spacing w:val="-2"/>
        </w:rPr>
        <w:t> </w:t>
      </w:r>
      <w:r>
        <w:rPr/>
        <w:t>acciones</w:t>
      </w:r>
      <w:r>
        <w:rPr>
          <w:spacing w:val="-2"/>
        </w:rPr>
        <w:t> </w:t>
      </w:r>
      <w:r>
        <w:rPr/>
        <w:t>individuales y colectivas que deriven del incumplimiento de las obligaciones impuestas en este capítulo.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338" w:right="344" w:firstLine="288"/>
        <w:jc w:val="both"/>
      </w:pPr>
      <w:bookmarkStart w:name="Artículo_153" w:id="172"/>
      <w:bookmarkEnd w:id="172"/>
      <w:r>
        <w:rPr/>
      </w:r>
      <w:r>
        <w:rPr>
          <w:rFonts w:ascii="Arial" w:hAnsi="Arial"/>
          <w:b/>
        </w:rPr>
        <w:t>Artículo 153.- </w:t>
      </w:r>
      <w:r>
        <w:rPr/>
        <w:t>Las empresas tendrán derecho a ejercitar ante el Tribunal, las acciones que les correspondan en contra de los trabajadores por incumplimiento de las obligaciones que les impone este </w:t>
      </w:r>
      <w:r>
        <w:rPr>
          <w:spacing w:val="-2"/>
        </w:rPr>
        <w:t>capítulo.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Heading2"/>
        <w:ind w:left="297"/>
      </w:pPr>
      <w:r>
        <w:rPr/>
        <w:t>Capítulo</w:t>
      </w:r>
      <w:r>
        <w:rPr>
          <w:spacing w:val="-5"/>
        </w:rPr>
        <w:t> </w:t>
      </w:r>
      <w:r>
        <w:rPr/>
        <w:t>III</w:t>
      </w:r>
      <w:r>
        <w:rPr>
          <w:spacing w:val="-3"/>
        </w:rPr>
        <w:t> </w:t>
      </w:r>
      <w:r>
        <w:rPr>
          <w:spacing w:val="-5"/>
        </w:rPr>
        <w:t>BIS</w:t>
      </w:r>
    </w:p>
    <w:p>
      <w:pPr>
        <w:spacing w:line="252" w:lineRule="exact" w:before="0"/>
        <w:ind w:left="296" w:right="296"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la</w:t>
      </w:r>
      <w:r>
        <w:rPr>
          <w:rFonts w:ascii="Arial" w:hAnsi="Arial"/>
          <w:b/>
          <w:spacing w:val="-4"/>
          <w:sz w:val="22"/>
        </w:rPr>
        <w:t> </w:t>
      </w:r>
      <w:r>
        <w:rPr>
          <w:rFonts w:ascii="Arial" w:hAnsi="Arial"/>
          <w:b/>
          <w:sz w:val="22"/>
        </w:rPr>
        <w:t>Productividad,</w:t>
      </w:r>
      <w:r>
        <w:rPr>
          <w:rFonts w:ascii="Arial" w:hAnsi="Arial"/>
          <w:b/>
          <w:spacing w:val="-3"/>
          <w:sz w:val="22"/>
        </w:rPr>
        <w:t> </w:t>
      </w:r>
      <w:r>
        <w:rPr>
          <w:rFonts w:ascii="Arial" w:hAnsi="Arial"/>
          <w:b/>
          <w:sz w:val="22"/>
        </w:rPr>
        <w:t>Formación</w:t>
      </w:r>
      <w:r>
        <w:rPr>
          <w:rFonts w:ascii="Arial" w:hAnsi="Arial"/>
          <w:b/>
          <w:spacing w:val="-7"/>
          <w:sz w:val="22"/>
        </w:rPr>
        <w:t> </w:t>
      </w:r>
      <w:r>
        <w:rPr>
          <w:rFonts w:ascii="Arial" w:hAnsi="Arial"/>
          <w:b/>
          <w:sz w:val="22"/>
        </w:rPr>
        <w:t>y</w:t>
      </w:r>
      <w:r>
        <w:rPr>
          <w:rFonts w:ascii="Arial" w:hAnsi="Arial"/>
          <w:b/>
          <w:spacing w:val="-7"/>
          <w:sz w:val="22"/>
        </w:rPr>
        <w:t> </w:t>
      </w:r>
      <w:r>
        <w:rPr>
          <w:rFonts w:ascii="Arial" w:hAnsi="Arial"/>
          <w:b/>
          <w:sz w:val="22"/>
        </w:rPr>
        <w:t>Capacitación</w:t>
      </w:r>
      <w:r>
        <w:rPr>
          <w:rFonts w:ascii="Arial" w:hAnsi="Arial"/>
          <w:b/>
          <w:spacing w:val="-4"/>
          <w:sz w:val="22"/>
        </w:rPr>
        <w:t> </w:t>
      </w:r>
      <w:r>
        <w:rPr>
          <w:rFonts w:ascii="Arial" w:hAnsi="Arial"/>
          <w:b/>
          <w:sz w:val="22"/>
        </w:rPr>
        <w:t>de</w:t>
      </w:r>
      <w:r>
        <w:rPr>
          <w:rFonts w:ascii="Arial" w:hAnsi="Arial"/>
          <w:b/>
          <w:spacing w:val="-6"/>
          <w:sz w:val="22"/>
        </w:rPr>
        <w:t> </w:t>
      </w:r>
      <w:r>
        <w:rPr>
          <w:rFonts w:ascii="Arial" w:hAnsi="Arial"/>
          <w:b/>
          <w:sz w:val="22"/>
        </w:rPr>
        <w:t>los</w:t>
      </w:r>
      <w:r>
        <w:rPr>
          <w:rFonts w:ascii="Arial" w:hAnsi="Arial"/>
          <w:b/>
          <w:spacing w:val="-4"/>
          <w:sz w:val="22"/>
        </w:rPr>
        <w:t> </w:t>
      </w:r>
      <w:r>
        <w:rPr>
          <w:rFonts w:ascii="Arial" w:hAnsi="Arial"/>
          <w:b/>
          <w:spacing w:val="-2"/>
          <w:sz w:val="22"/>
        </w:rPr>
        <w:t>Trabajadores</w:t>
      </w:r>
    </w:p>
    <w:p>
      <w:pPr>
        <w:spacing w:before="1"/>
        <w:ind w:left="4373"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338" w:right="342" w:firstLine="288"/>
        <w:jc w:val="both"/>
      </w:pPr>
      <w:bookmarkStart w:name="Artículo_153_A" w:id="173"/>
      <w:bookmarkEnd w:id="173"/>
      <w:r>
        <w:rPr/>
      </w:r>
      <w:r>
        <w:rPr>
          <w:rFonts w:ascii="Arial" w:hAnsi="Arial"/>
          <w:b/>
        </w:rPr>
        <w:t>Artículo 153-A. </w:t>
      </w:r>
      <w:r>
        <w:rPr/>
        <w:t>Los patrones tienen la obligación de proporcionar a todos los trabajadores, y éstos a recibir, la capacitación o el adiestramiento en su trabajo que le permita elevar su nivel de vida, su competencia laboral y su productividad, conforme a los planes y programas formulados, de común acuerdo, por el patrón y el sindicato o la mayoría de sus trabajadores.</w:t>
      </w:r>
    </w:p>
    <w:p>
      <w:pPr>
        <w:pStyle w:val="BodyText"/>
        <w:spacing w:after="0" w:line="242" w:lineRule="auto"/>
        <w:jc w:val="both"/>
        <w:sectPr>
          <w:pgSz w:w="12240" w:h="15840"/>
          <w:pgMar w:header="724" w:footer="712" w:top="1880" w:bottom="900" w:left="1080" w:right="1080"/>
        </w:sectPr>
      </w:pPr>
    </w:p>
    <w:p>
      <w:pPr>
        <w:pStyle w:val="BodyText"/>
        <w:spacing w:before="65"/>
      </w:pPr>
    </w:p>
    <w:p>
      <w:pPr>
        <w:pStyle w:val="BodyText"/>
        <w:ind w:left="338" w:right="340" w:firstLine="288"/>
        <w:jc w:val="both"/>
      </w:pPr>
      <w:r>
        <w:rPr/>
        <w:t>Para dar cumplimiento a la obligación que, conforme al párrafo anterior les corresponde, los patrones podrán convenir con los trabajadores en que la capacitación o adiestramiento se proporcione a éstos dentro de la misma empresa o fuera de ella, por conducto de personal propio, instructores especialmente contratados, instituciones, escuelas u organismos especializados, o bien mediante adhesión a los sistemas generales que se establezcan.</w:t>
      </w:r>
    </w:p>
    <w:p>
      <w:pPr>
        <w:pStyle w:val="BodyText"/>
      </w:pPr>
    </w:p>
    <w:p>
      <w:pPr>
        <w:pStyle w:val="BodyText"/>
        <w:ind w:left="338" w:right="338" w:firstLine="288"/>
        <w:jc w:val="both"/>
      </w:pPr>
      <w:r>
        <w:rPr/>
        <w:t>Las instituciones, escuelas u organismos especializados, así como los instructores independientes</w:t>
      </w:r>
      <w:r>
        <w:rPr>
          <w:spacing w:val="40"/>
        </w:rPr>
        <w:t> </w:t>
      </w:r>
      <w:r>
        <w:rPr/>
        <w:t>que deseen impartir formación, capacitación o adiestramiento, así como su personal docente, deberán estar autorizados y registrados por la Secretaría del Trabajo y Previsión Social.</w:t>
      </w:r>
    </w:p>
    <w:p>
      <w:pPr>
        <w:pStyle w:val="BodyText"/>
        <w:spacing w:before="2"/>
      </w:pPr>
    </w:p>
    <w:p>
      <w:pPr>
        <w:pStyle w:val="BodyText"/>
        <w:ind w:left="338" w:right="342" w:firstLine="288"/>
        <w:jc w:val="both"/>
      </w:pPr>
      <w:r>
        <w:rPr/>
        <w:t>Los cursos y programas de capacitación o adiestramiento, así como los programas para elevar la productividad de la empresa, podrán formularse respecto de cada establecimiento, una empresa, varias de ellas o respecto a una rama industrial o actividad determinada.</w:t>
      </w:r>
    </w:p>
    <w:p>
      <w:pPr>
        <w:pStyle w:val="BodyText"/>
      </w:pPr>
    </w:p>
    <w:p>
      <w:pPr>
        <w:pStyle w:val="BodyText"/>
        <w:ind w:left="338" w:right="334" w:firstLine="288"/>
        <w:jc w:val="both"/>
      </w:pPr>
      <w:r>
        <w:rPr/>
        <w:t>La capacitación o adiestramiento a que se refiere este artículo y demás relativos, deberá impartirse al trabajador durante las horas de su jornada de trabajo; salvo que, atendiendo a la naturaleza de los servicios, patrón y trabajador convengan que podrá impartirse de otra manera; así como en el caso en que el trabajador desee capacitarse en una actividad distinta a la de la ocupación que desempeñe, en cuyo supuesto, la capacitación se realizará fuera de la jornada de trabajo.</w:t>
      </w:r>
    </w:p>
    <w:p>
      <w:pPr>
        <w:spacing w:line="181"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41" w:firstLine="288"/>
        <w:jc w:val="both"/>
      </w:pPr>
      <w:bookmarkStart w:name="Artículo_153_B" w:id="174"/>
      <w:bookmarkEnd w:id="174"/>
      <w:r>
        <w:rPr/>
      </w:r>
      <w:r>
        <w:rPr>
          <w:rFonts w:ascii="Arial" w:hAnsi="Arial"/>
          <w:b/>
        </w:rPr>
        <w:t>Artículo 153-B. </w:t>
      </w:r>
      <w:r>
        <w:rPr/>
        <w:t>La</w:t>
      </w:r>
      <w:r>
        <w:rPr>
          <w:spacing w:val="-1"/>
        </w:rPr>
        <w:t> </w:t>
      </w:r>
      <w:r>
        <w:rPr/>
        <w:t>capacitación</w:t>
      </w:r>
      <w:r>
        <w:rPr>
          <w:spacing w:val="-1"/>
        </w:rPr>
        <w:t> </w:t>
      </w:r>
      <w:r>
        <w:rPr/>
        <w:t>tendrá por objeto preparar a</w:t>
      </w:r>
      <w:r>
        <w:rPr>
          <w:spacing w:val="-1"/>
        </w:rPr>
        <w:t> </w:t>
      </w:r>
      <w:r>
        <w:rPr/>
        <w:t>los trabajadores de nueva</w:t>
      </w:r>
      <w:r>
        <w:rPr>
          <w:spacing w:val="-1"/>
        </w:rPr>
        <w:t> </w:t>
      </w:r>
      <w:r>
        <w:rPr/>
        <w:t>contratación y a los demás interesados en ocupar las vacantes o puestos de nueva creación.</w:t>
      </w:r>
    </w:p>
    <w:p>
      <w:pPr>
        <w:pStyle w:val="BodyText"/>
        <w:spacing w:before="1"/>
      </w:pPr>
    </w:p>
    <w:p>
      <w:pPr>
        <w:pStyle w:val="BodyText"/>
        <w:spacing w:before="1"/>
        <w:ind w:left="338" w:right="338" w:firstLine="288"/>
        <w:jc w:val="both"/>
      </w:pPr>
      <w:r>
        <w:rPr/>
        <w:t>Podrá formar parte de los programas de capacitación el apoyo que el patrón preste a los trabajadores para iniciar, continuar o completar ciclos escolares de los niveles básicos, medio o superior.</w:t>
      </w:r>
    </w:p>
    <w:p>
      <w:pPr>
        <w:spacing w:line="182"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spacing w:before="0"/>
        <w:ind w:left="626" w:right="0" w:firstLine="0"/>
        <w:jc w:val="left"/>
        <w:rPr>
          <w:sz w:val="20"/>
        </w:rPr>
      </w:pPr>
      <w:bookmarkStart w:name="Artículo_153_C" w:id="175"/>
      <w:bookmarkEnd w:id="175"/>
      <w:r>
        <w:rPr/>
      </w:r>
      <w:r>
        <w:rPr>
          <w:rFonts w:ascii="Arial" w:hAnsi="Arial"/>
          <w:b/>
          <w:sz w:val="20"/>
        </w:rPr>
        <w:t>Artículo</w:t>
      </w:r>
      <w:r>
        <w:rPr>
          <w:rFonts w:ascii="Arial" w:hAnsi="Arial"/>
          <w:b/>
          <w:spacing w:val="-8"/>
          <w:sz w:val="20"/>
        </w:rPr>
        <w:t> </w:t>
      </w:r>
      <w:r>
        <w:rPr>
          <w:rFonts w:ascii="Arial" w:hAnsi="Arial"/>
          <w:b/>
          <w:sz w:val="20"/>
        </w:rPr>
        <w:t>153-C.</w:t>
      </w:r>
      <w:r>
        <w:rPr>
          <w:rFonts w:ascii="Arial" w:hAnsi="Arial"/>
          <w:b/>
          <w:spacing w:val="-6"/>
          <w:sz w:val="20"/>
        </w:rPr>
        <w:t> </w:t>
      </w:r>
      <w:r>
        <w:rPr>
          <w:sz w:val="20"/>
        </w:rPr>
        <w:t>El</w:t>
      </w:r>
      <w:r>
        <w:rPr>
          <w:spacing w:val="-8"/>
          <w:sz w:val="20"/>
        </w:rPr>
        <w:t> </w:t>
      </w:r>
      <w:r>
        <w:rPr>
          <w:sz w:val="20"/>
        </w:rPr>
        <w:t>adiestramiento</w:t>
      </w:r>
      <w:r>
        <w:rPr>
          <w:spacing w:val="-9"/>
          <w:sz w:val="20"/>
        </w:rPr>
        <w:t> </w:t>
      </w:r>
      <w:r>
        <w:rPr>
          <w:sz w:val="20"/>
        </w:rPr>
        <w:t>tendrá</w:t>
      </w:r>
      <w:r>
        <w:rPr>
          <w:spacing w:val="-8"/>
          <w:sz w:val="20"/>
        </w:rPr>
        <w:t> </w:t>
      </w:r>
      <w:r>
        <w:rPr>
          <w:sz w:val="20"/>
        </w:rPr>
        <w:t>por</w:t>
      </w:r>
      <w:r>
        <w:rPr>
          <w:spacing w:val="-6"/>
          <w:sz w:val="20"/>
        </w:rPr>
        <w:t> </w:t>
      </w:r>
      <w:r>
        <w:rPr>
          <w:spacing w:val="-2"/>
          <w:sz w:val="20"/>
        </w:rPr>
        <w:t>objeto:</w:t>
      </w:r>
    </w:p>
    <w:p>
      <w:pPr>
        <w:pStyle w:val="BodyText"/>
        <w:spacing w:before="1"/>
      </w:pPr>
    </w:p>
    <w:p>
      <w:pPr>
        <w:pStyle w:val="ListParagraph"/>
        <w:numPr>
          <w:ilvl w:val="0"/>
          <w:numId w:val="36"/>
        </w:numPr>
        <w:tabs>
          <w:tab w:pos="1193" w:val="left" w:leader="none"/>
          <w:tab w:pos="1195" w:val="left" w:leader="none"/>
        </w:tabs>
        <w:spacing w:line="242" w:lineRule="auto" w:before="0" w:after="0"/>
        <w:ind w:left="1195" w:right="342" w:hanging="569"/>
        <w:jc w:val="both"/>
        <w:rPr>
          <w:sz w:val="20"/>
        </w:rPr>
      </w:pPr>
      <w:r>
        <w:rPr>
          <w:sz w:val="20"/>
        </w:rPr>
        <w:t>Actualizar y perfeccionar los conocimientos y habilidades de los trabajadores y proporcionarles información para que puedan aplicar en sus actividades las nuevas tecnologías que los empresarios deben implementar para incrementar la productividad en las empresas;</w:t>
      </w:r>
    </w:p>
    <w:p>
      <w:pPr>
        <w:pStyle w:val="ListParagraph"/>
        <w:numPr>
          <w:ilvl w:val="0"/>
          <w:numId w:val="36"/>
        </w:numPr>
        <w:tabs>
          <w:tab w:pos="1192" w:val="left" w:leader="none"/>
          <w:tab w:pos="1195" w:val="left" w:leader="none"/>
        </w:tabs>
        <w:spacing w:line="242" w:lineRule="auto" w:before="222" w:after="0"/>
        <w:ind w:left="1195" w:right="333" w:hanging="569"/>
        <w:jc w:val="both"/>
        <w:rPr>
          <w:sz w:val="20"/>
        </w:rPr>
      </w:pPr>
      <w:r>
        <w:rPr>
          <w:sz w:val="20"/>
        </w:rPr>
        <w:t>Hacer del conocimiento de los trabajadores sobre los riesgos y peligros a que están expuestos durante el desempeño de sus labores, así como las disposiciones contenidas en el reglamento</w:t>
      </w:r>
      <w:r>
        <w:rPr>
          <w:spacing w:val="40"/>
          <w:sz w:val="20"/>
        </w:rPr>
        <w:t> </w:t>
      </w:r>
      <w:r>
        <w:rPr>
          <w:sz w:val="20"/>
        </w:rPr>
        <w:t>y las normas oficiales mexicanas en materia de seguridad, salud y medio ambiente de trabajo que les son aplicables, para prevenir riesgos de trabajo;</w:t>
      </w:r>
    </w:p>
    <w:p>
      <w:pPr>
        <w:pStyle w:val="ListParagraph"/>
        <w:numPr>
          <w:ilvl w:val="0"/>
          <w:numId w:val="36"/>
        </w:numPr>
        <w:tabs>
          <w:tab w:pos="1195" w:val="left" w:leader="none"/>
        </w:tabs>
        <w:spacing w:line="240" w:lineRule="auto" w:before="221" w:after="0"/>
        <w:ind w:left="1195" w:right="0" w:hanging="569"/>
        <w:jc w:val="left"/>
        <w:rPr>
          <w:sz w:val="20"/>
        </w:rPr>
      </w:pPr>
      <w:r>
        <w:rPr>
          <w:sz w:val="20"/>
        </w:rPr>
        <w:t>Incrementar</w:t>
      </w:r>
      <w:r>
        <w:rPr>
          <w:spacing w:val="-11"/>
          <w:sz w:val="20"/>
        </w:rPr>
        <w:t> </w:t>
      </w:r>
      <w:r>
        <w:rPr>
          <w:sz w:val="20"/>
        </w:rPr>
        <w:t>la</w:t>
      </w:r>
      <w:r>
        <w:rPr>
          <w:spacing w:val="-10"/>
          <w:sz w:val="20"/>
        </w:rPr>
        <w:t> </w:t>
      </w:r>
      <w:r>
        <w:rPr>
          <w:sz w:val="20"/>
        </w:rPr>
        <w:t>productividad;</w:t>
      </w:r>
      <w:r>
        <w:rPr>
          <w:spacing w:val="-8"/>
          <w:sz w:val="20"/>
        </w:rPr>
        <w:t> </w:t>
      </w:r>
      <w:r>
        <w:rPr>
          <w:spacing w:val="-10"/>
          <w:sz w:val="20"/>
        </w:rPr>
        <w:t>y</w:t>
      </w:r>
    </w:p>
    <w:p>
      <w:pPr>
        <w:pStyle w:val="BodyText"/>
      </w:pPr>
    </w:p>
    <w:p>
      <w:pPr>
        <w:pStyle w:val="ListParagraph"/>
        <w:numPr>
          <w:ilvl w:val="0"/>
          <w:numId w:val="36"/>
        </w:numPr>
        <w:tabs>
          <w:tab w:pos="1195" w:val="left" w:leader="none"/>
        </w:tabs>
        <w:spacing w:line="242" w:lineRule="auto" w:before="1" w:after="0"/>
        <w:ind w:left="1195" w:right="343" w:hanging="569"/>
        <w:jc w:val="both"/>
        <w:rPr>
          <w:sz w:val="20"/>
        </w:rPr>
      </w:pPr>
      <w:r>
        <w:rPr>
          <w:sz w:val="20"/>
        </w:rPr>
        <w:t>En general mejorar el nivel educativo, la competencia laboral y las habilidades de los </w:t>
      </w:r>
      <w:r>
        <w:rPr>
          <w:spacing w:val="-2"/>
          <w:sz w:val="20"/>
        </w:rPr>
        <w:t>trabajadores.</w:t>
      </w:r>
    </w:p>
    <w:p>
      <w:pPr>
        <w:spacing w:line="178"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rPr>
      </w:pPr>
    </w:p>
    <w:p>
      <w:pPr>
        <w:pStyle w:val="BodyText"/>
        <w:ind w:left="626"/>
      </w:pPr>
      <w:bookmarkStart w:name="Artículo_153_D" w:id="176"/>
      <w:bookmarkEnd w:id="176"/>
      <w:r>
        <w:rPr/>
      </w:r>
      <w:r>
        <w:rPr>
          <w:rFonts w:ascii="Arial" w:hAnsi="Arial"/>
          <w:b/>
        </w:rPr>
        <w:t>Artículo</w:t>
      </w:r>
      <w:r>
        <w:rPr>
          <w:rFonts w:ascii="Arial" w:hAnsi="Arial"/>
          <w:b/>
          <w:spacing w:val="-1"/>
        </w:rPr>
        <w:t> </w:t>
      </w:r>
      <w:r>
        <w:rPr>
          <w:rFonts w:ascii="Arial" w:hAnsi="Arial"/>
          <w:b/>
        </w:rPr>
        <w:t>153-D.</w:t>
      </w:r>
      <w:r>
        <w:rPr>
          <w:rFonts w:ascii="Arial" w:hAnsi="Arial"/>
          <w:b/>
          <w:spacing w:val="2"/>
        </w:rPr>
        <w:t> </w:t>
      </w:r>
      <w:r>
        <w:rPr/>
        <w:t>Los trabajadores</w:t>
      </w:r>
      <w:r>
        <w:rPr>
          <w:spacing w:val="-1"/>
        </w:rPr>
        <w:t> </w:t>
      </w:r>
      <w:r>
        <w:rPr/>
        <w:t>a</w:t>
      </w:r>
      <w:r>
        <w:rPr>
          <w:spacing w:val="1"/>
        </w:rPr>
        <w:t> </w:t>
      </w:r>
      <w:r>
        <w:rPr/>
        <w:t>quienes se imparta</w:t>
      </w:r>
      <w:r>
        <w:rPr>
          <w:spacing w:val="-1"/>
        </w:rPr>
        <w:t> </w:t>
      </w:r>
      <w:r>
        <w:rPr/>
        <w:t>capacitación</w:t>
      </w:r>
      <w:r>
        <w:rPr>
          <w:spacing w:val="-2"/>
        </w:rPr>
        <w:t> </w:t>
      </w:r>
      <w:r>
        <w:rPr/>
        <w:t>o</w:t>
      </w:r>
      <w:r>
        <w:rPr>
          <w:spacing w:val="1"/>
        </w:rPr>
        <w:t> </w:t>
      </w:r>
      <w:r>
        <w:rPr/>
        <w:t>adiestramiento</w:t>
      </w:r>
      <w:r>
        <w:rPr>
          <w:spacing w:val="1"/>
        </w:rPr>
        <w:t> </w:t>
      </w:r>
      <w:r>
        <w:rPr/>
        <w:t>están</w:t>
      </w:r>
      <w:r>
        <w:rPr>
          <w:spacing w:val="-1"/>
        </w:rPr>
        <w:t> </w:t>
      </w:r>
      <w:r>
        <w:rPr>
          <w:spacing w:val="-2"/>
        </w:rPr>
        <w:t>obligados</w:t>
      </w:r>
    </w:p>
    <w:p>
      <w:pPr>
        <w:pStyle w:val="BodyText"/>
        <w:spacing w:before="3"/>
        <w:ind w:left="338"/>
      </w:pPr>
      <w:r>
        <w:rPr>
          <w:spacing w:val="-5"/>
        </w:rPr>
        <w:t>a:</w:t>
      </w:r>
    </w:p>
    <w:p>
      <w:pPr>
        <w:pStyle w:val="ListParagraph"/>
        <w:numPr>
          <w:ilvl w:val="0"/>
          <w:numId w:val="37"/>
        </w:numPr>
        <w:tabs>
          <w:tab w:pos="1195" w:val="left" w:leader="none"/>
        </w:tabs>
        <w:spacing w:line="240" w:lineRule="auto" w:before="228" w:after="0"/>
        <w:ind w:left="1195" w:right="345" w:hanging="569"/>
        <w:jc w:val="left"/>
        <w:rPr>
          <w:sz w:val="20"/>
        </w:rPr>
      </w:pPr>
      <w:r>
        <w:rPr>
          <w:sz w:val="20"/>
        </w:rPr>
        <w:t>Asistir puntualmente a los cursos, sesiones de grupo y demás actividades que formen parte del proceso de capacitación o adiestramiento;</w:t>
      </w:r>
    </w:p>
    <w:p>
      <w:pPr>
        <w:pStyle w:val="ListParagraph"/>
        <w:numPr>
          <w:ilvl w:val="0"/>
          <w:numId w:val="37"/>
        </w:numPr>
        <w:tabs>
          <w:tab w:pos="1195" w:val="left" w:leader="none"/>
        </w:tabs>
        <w:spacing w:line="242" w:lineRule="auto" w:before="229" w:after="0"/>
        <w:ind w:left="1195" w:right="341" w:hanging="569"/>
        <w:jc w:val="left"/>
        <w:rPr>
          <w:sz w:val="20"/>
        </w:rPr>
      </w:pPr>
      <w:r>
        <w:rPr>
          <w:sz w:val="20"/>
        </w:rPr>
        <w:t>Atender</w:t>
      </w:r>
      <w:r>
        <w:rPr>
          <w:spacing w:val="40"/>
          <w:sz w:val="20"/>
        </w:rPr>
        <w:t> </w:t>
      </w:r>
      <w:r>
        <w:rPr>
          <w:sz w:val="20"/>
        </w:rPr>
        <w:t>las</w:t>
      </w:r>
      <w:r>
        <w:rPr>
          <w:spacing w:val="40"/>
          <w:sz w:val="20"/>
        </w:rPr>
        <w:t> </w:t>
      </w:r>
      <w:r>
        <w:rPr>
          <w:sz w:val="20"/>
        </w:rPr>
        <w:t>indicaciones</w:t>
      </w:r>
      <w:r>
        <w:rPr>
          <w:spacing w:val="40"/>
          <w:sz w:val="20"/>
        </w:rPr>
        <w:t> </w:t>
      </w:r>
      <w:r>
        <w:rPr>
          <w:sz w:val="20"/>
        </w:rPr>
        <w:t>de</w:t>
      </w:r>
      <w:r>
        <w:rPr>
          <w:spacing w:val="40"/>
          <w:sz w:val="20"/>
        </w:rPr>
        <w:t> </w:t>
      </w:r>
      <w:r>
        <w:rPr>
          <w:sz w:val="20"/>
        </w:rPr>
        <w:t>las</w:t>
      </w:r>
      <w:r>
        <w:rPr>
          <w:spacing w:val="40"/>
          <w:sz w:val="20"/>
        </w:rPr>
        <w:t> </w:t>
      </w:r>
      <w:r>
        <w:rPr>
          <w:sz w:val="20"/>
        </w:rPr>
        <w:t>personas</w:t>
      </w:r>
      <w:r>
        <w:rPr>
          <w:spacing w:val="40"/>
          <w:sz w:val="20"/>
        </w:rPr>
        <w:t> </w:t>
      </w:r>
      <w:r>
        <w:rPr>
          <w:sz w:val="20"/>
        </w:rPr>
        <w:t>que</w:t>
      </w:r>
      <w:r>
        <w:rPr>
          <w:spacing w:val="40"/>
          <w:sz w:val="20"/>
        </w:rPr>
        <w:t> </w:t>
      </w:r>
      <w:r>
        <w:rPr>
          <w:sz w:val="20"/>
        </w:rPr>
        <w:t>impartan</w:t>
      </w:r>
      <w:r>
        <w:rPr>
          <w:spacing w:val="40"/>
          <w:sz w:val="20"/>
        </w:rPr>
        <w:t> </w:t>
      </w:r>
      <w:r>
        <w:rPr>
          <w:sz w:val="20"/>
        </w:rPr>
        <w:t>la</w:t>
      </w:r>
      <w:r>
        <w:rPr>
          <w:spacing w:val="40"/>
          <w:sz w:val="20"/>
        </w:rPr>
        <w:t> </w:t>
      </w:r>
      <w:r>
        <w:rPr>
          <w:sz w:val="20"/>
        </w:rPr>
        <w:t>capacitación</w:t>
      </w:r>
      <w:r>
        <w:rPr>
          <w:spacing w:val="40"/>
          <w:sz w:val="20"/>
        </w:rPr>
        <w:t> </w:t>
      </w:r>
      <w:r>
        <w:rPr>
          <w:sz w:val="20"/>
        </w:rPr>
        <w:t>o</w:t>
      </w:r>
      <w:r>
        <w:rPr>
          <w:spacing w:val="40"/>
          <w:sz w:val="20"/>
        </w:rPr>
        <w:t> </w:t>
      </w:r>
      <w:r>
        <w:rPr>
          <w:sz w:val="20"/>
        </w:rPr>
        <w:t>adiestramiento,</w:t>
      </w:r>
      <w:r>
        <w:rPr>
          <w:spacing w:val="40"/>
          <w:sz w:val="20"/>
        </w:rPr>
        <w:t> </w:t>
      </w:r>
      <w:r>
        <w:rPr>
          <w:sz w:val="20"/>
        </w:rPr>
        <w:t>y cumplir con los programas respectivos; y</w:t>
      </w:r>
    </w:p>
    <w:p>
      <w:pPr>
        <w:pStyle w:val="ListParagraph"/>
        <w:spacing w:after="0" w:line="242" w:lineRule="auto"/>
        <w:jc w:val="left"/>
        <w:rPr>
          <w:sz w:val="20"/>
        </w:rPr>
        <w:sectPr>
          <w:pgSz w:w="12240" w:h="15840"/>
          <w:pgMar w:header="724" w:footer="712" w:top="1880" w:bottom="900" w:left="1080" w:right="1080"/>
        </w:sectPr>
      </w:pPr>
    </w:p>
    <w:p>
      <w:pPr>
        <w:pStyle w:val="BodyText"/>
      </w:pPr>
    </w:p>
    <w:p>
      <w:pPr>
        <w:pStyle w:val="BodyText"/>
        <w:spacing w:before="63"/>
      </w:pPr>
    </w:p>
    <w:p>
      <w:pPr>
        <w:pStyle w:val="ListParagraph"/>
        <w:numPr>
          <w:ilvl w:val="0"/>
          <w:numId w:val="37"/>
        </w:numPr>
        <w:tabs>
          <w:tab w:pos="1195" w:val="left" w:leader="none"/>
        </w:tabs>
        <w:spacing w:line="242" w:lineRule="auto" w:before="0" w:after="0"/>
        <w:ind w:left="1195" w:right="341" w:hanging="569"/>
        <w:jc w:val="left"/>
        <w:rPr>
          <w:sz w:val="20"/>
        </w:rPr>
      </w:pPr>
      <w:r>
        <w:rPr>
          <w:sz w:val="20"/>
        </w:rPr>
        <w:t>Presentar los exámenes de evaluación de conocimientos y de aptitud o de competencia laboral que sean requeridos.</w:t>
      </w:r>
    </w:p>
    <w:p>
      <w:pPr>
        <w:spacing w:line="181"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338" w:right="335" w:firstLine="288"/>
        <w:jc w:val="both"/>
      </w:pPr>
      <w:bookmarkStart w:name="Artículo_153_E" w:id="177"/>
      <w:bookmarkEnd w:id="177"/>
      <w:r>
        <w:rPr/>
      </w:r>
      <w:r>
        <w:rPr>
          <w:rFonts w:ascii="Arial" w:hAnsi="Arial"/>
          <w:b/>
        </w:rPr>
        <w:t>Artículo 153-E. </w:t>
      </w:r>
      <w:r>
        <w:rPr/>
        <w:t>En las empresas que tengan más de 50 trabajadores se constituirán Comisiones Mixtas de Capacitación, Adiestramiento y Productividad, integradas por igual número de representantes de los trabajadores y de los patrones, y serán las encargadas de:</w:t>
      </w:r>
    </w:p>
    <w:p>
      <w:pPr>
        <w:pStyle w:val="ListParagraph"/>
        <w:numPr>
          <w:ilvl w:val="0"/>
          <w:numId w:val="38"/>
        </w:numPr>
        <w:tabs>
          <w:tab w:pos="1193" w:val="left" w:leader="none"/>
          <w:tab w:pos="1195" w:val="left" w:leader="none"/>
        </w:tabs>
        <w:spacing w:line="242" w:lineRule="auto" w:before="224" w:after="0"/>
        <w:ind w:left="1195" w:right="339" w:hanging="569"/>
        <w:jc w:val="both"/>
        <w:rPr>
          <w:sz w:val="20"/>
        </w:rPr>
      </w:pPr>
      <w:r>
        <w:rPr>
          <w:sz w:val="20"/>
        </w:rPr>
        <w:t>Vigilar, instrumentar, operar y mejorar los sistemas y los programas de capacitación y </w:t>
      </w:r>
      <w:r>
        <w:rPr>
          <w:spacing w:val="-2"/>
          <w:sz w:val="20"/>
        </w:rPr>
        <w:t>adiestramiento;</w:t>
      </w:r>
    </w:p>
    <w:p>
      <w:pPr>
        <w:pStyle w:val="ListParagraph"/>
        <w:numPr>
          <w:ilvl w:val="0"/>
          <w:numId w:val="38"/>
        </w:numPr>
        <w:tabs>
          <w:tab w:pos="1192" w:val="left" w:leader="none"/>
          <w:tab w:pos="1195" w:val="left" w:leader="none"/>
        </w:tabs>
        <w:spacing w:line="242" w:lineRule="auto" w:before="225" w:after="0"/>
        <w:ind w:left="1195" w:right="337" w:hanging="569"/>
        <w:jc w:val="both"/>
        <w:rPr>
          <w:sz w:val="20"/>
        </w:rPr>
      </w:pPr>
      <w:r>
        <w:rPr>
          <w:sz w:val="20"/>
        </w:rPr>
        <w:t>Proponer</w:t>
      </w:r>
      <w:r>
        <w:rPr>
          <w:spacing w:val="-1"/>
          <w:sz w:val="20"/>
        </w:rPr>
        <w:t> </w:t>
      </w:r>
      <w:r>
        <w:rPr>
          <w:sz w:val="20"/>
        </w:rPr>
        <w:t>los</w:t>
      </w:r>
      <w:r>
        <w:rPr>
          <w:spacing w:val="-1"/>
          <w:sz w:val="20"/>
        </w:rPr>
        <w:t> </w:t>
      </w:r>
      <w:r>
        <w:rPr>
          <w:sz w:val="20"/>
        </w:rPr>
        <w:t>cambios</w:t>
      </w:r>
      <w:r>
        <w:rPr>
          <w:spacing w:val="-1"/>
          <w:sz w:val="20"/>
        </w:rPr>
        <w:t> </w:t>
      </w:r>
      <w:r>
        <w:rPr>
          <w:sz w:val="20"/>
        </w:rPr>
        <w:t>necesarios</w:t>
      </w:r>
      <w:r>
        <w:rPr>
          <w:spacing w:val="-1"/>
          <w:sz w:val="20"/>
        </w:rPr>
        <w:t> </w:t>
      </w:r>
      <w:r>
        <w:rPr>
          <w:sz w:val="20"/>
        </w:rPr>
        <w:t>en</w:t>
      </w:r>
      <w:r>
        <w:rPr>
          <w:spacing w:val="-3"/>
          <w:sz w:val="20"/>
        </w:rPr>
        <w:t> </w:t>
      </w:r>
      <w:r>
        <w:rPr>
          <w:sz w:val="20"/>
        </w:rPr>
        <w:t>la</w:t>
      </w:r>
      <w:r>
        <w:rPr>
          <w:spacing w:val="-2"/>
          <w:sz w:val="20"/>
        </w:rPr>
        <w:t> </w:t>
      </w:r>
      <w:r>
        <w:rPr>
          <w:sz w:val="20"/>
        </w:rPr>
        <w:t>maquinaria,</w:t>
      </w:r>
      <w:r>
        <w:rPr>
          <w:spacing w:val="-2"/>
          <w:sz w:val="20"/>
        </w:rPr>
        <w:t> </w:t>
      </w:r>
      <w:r>
        <w:rPr>
          <w:sz w:val="20"/>
        </w:rPr>
        <w:t>los equipos,</w:t>
      </w:r>
      <w:r>
        <w:rPr>
          <w:spacing w:val="-2"/>
          <w:sz w:val="20"/>
        </w:rPr>
        <w:t> </w:t>
      </w:r>
      <w:r>
        <w:rPr>
          <w:sz w:val="20"/>
        </w:rPr>
        <w:t>la</w:t>
      </w:r>
      <w:r>
        <w:rPr>
          <w:spacing w:val="-2"/>
          <w:sz w:val="20"/>
        </w:rPr>
        <w:t> </w:t>
      </w:r>
      <w:r>
        <w:rPr>
          <w:sz w:val="20"/>
        </w:rPr>
        <w:t>organización</w:t>
      </w:r>
      <w:r>
        <w:rPr>
          <w:spacing w:val="-3"/>
          <w:sz w:val="20"/>
        </w:rPr>
        <w:t> </w:t>
      </w:r>
      <w:r>
        <w:rPr>
          <w:sz w:val="20"/>
        </w:rPr>
        <w:t>del</w:t>
      </w:r>
      <w:r>
        <w:rPr>
          <w:spacing w:val="-3"/>
          <w:sz w:val="20"/>
        </w:rPr>
        <w:t> </w:t>
      </w:r>
      <w:r>
        <w:rPr>
          <w:sz w:val="20"/>
        </w:rPr>
        <w:t>trabajo y</w:t>
      </w:r>
      <w:r>
        <w:rPr>
          <w:spacing w:val="-5"/>
          <w:sz w:val="20"/>
        </w:rPr>
        <w:t> </w:t>
      </w:r>
      <w:r>
        <w:rPr>
          <w:sz w:val="20"/>
        </w:rPr>
        <w:t>las relaciones</w:t>
      </w:r>
      <w:r>
        <w:rPr>
          <w:spacing w:val="-2"/>
          <w:sz w:val="20"/>
        </w:rPr>
        <w:t> </w:t>
      </w:r>
      <w:r>
        <w:rPr>
          <w:sz w:val="20"/>
        </w:rPr>
        <w:t>laborales,</w:t>
      </w:r>
      <w:r>
        <w:rPr>
          <w:spacing w:val="-3"/>
          <w:sz w:val="20"/>
        </w:rPr>
        <w:t> </w:t>
      </w:r>
      <w:r>
        <w:rPr>
          <w:sz w:val="20"/>
        </w:rPr>
        <w:t>de</w:t>
      </w:r>
      <w:r>
        <w:rPr>
          <w:spacing w:val="-3"/>
          <w:sz w:val="20"/>
        </w:rPr>
        <w:t> </w:t>
      </w:r>
      <w:r>
        <w:rPr>
          <w:sz w:val="20"/>
        </w:rPr>
        <w:t>conformidad</w:t>
      </w:r>
      <w:r>
        <w:rPr>
          <w:spacing w:val="-3"/>
          <w:sz w:val="20"/>
        </w:rPr>
        <w:t> </w:t>
      </w:r>
      <w:r>
        <w:rPr>
          <w:sz w:val="20"/>
        </w:rPr>
        <w:t>con</w:t>
      </w:r>
      <w:r>
        <w:rPr>
          <w:spacing w:val="-4"/>
          <w:sz w:val="20"/>
        </w:rPr>
        <w:t> </w:t>
      </w:r>
      <w:r>
        <w:rPr>
          <w:sz w:val="20"/>
        </w:rPr>
        <w:t>las</w:t>
      </w:r>
      <w:r>
        <w:rPr>
          <w:spacing w:val="-2"/>
          <w:sz w:val="20"/>
        </w:rPr>
        <w:t> </w:t>
      </w:r>
      <w:r>
        <w:rPr>
          <w:sz w:val="20"/>
        </w:rPr>
        <w:t>mejores</w:t>
      </w:r>
      <w:r>
        <w:rPr>
          <w:spacing w:val="-3"/>
          <w:sz w:val="20"/>
        </w:rPr>
        <w:t> </w:t>
      </w:r>
      <w:r>
        <w:rPr>
          <w:sz w:val="20"/>
        </w:rPr>
        <w:t>prácticas</w:t>
      </w:r>
      <w:r>
        <w:rPr>
          <w:spacing w:val="-2"/>
          <w:sz w:val="20"/>
        </w:rPr>
        <w:t> </w:t>
      </w:r>
      <w:r>
        <w:rPr>
          <w:sz w:val="20"/>
        </w:rPr>
        <w:t>tecnológicas y</w:t>
      </w:r>
      <w:r>
        <w:rPr>
          <w:spacing w:val="-4"/>
          <w:sz w:val="20"/>
        </w:rPr>
        <w:t> </w:t>
      </w:r>
      <w:r>
        <w:rPr>
          <w:sz w:val="20"/>
        </w:rPr>
        <w:t>organizativas</w:t>
      </w:r>
      <w:r>
        <w:rPr>
          <w:spacing w:val="-2"/>
          <w:sz w:val="20"/>
        </w:rPr>
        <w:t> </w:t>
      </w:r>
      <w:r>
        <w:rPr>
          <w:sz w:val="20"/>
        </w:rPr>
        <w:t>que incrementen la productividad en función de su grado de desarrollo actual;</w:t>
      </w:r>
    </w:p>
    <w:p>
      <w:pPr>
        <w:pStyle w:val="ListParagraph"/>
        <w:numPr>
          <w:ilvl w:val="0"/>
          <w:numId w:val="38"/>
        </w:numPr>
        <w:tabs>
          <w:tab w:pos="1191" w:val="left" w:leader="none"/>
          <w:tab w:pos="1195" w:val="left" w:leader="none"/>
        </w:tabs>
        <w:spacing w:line="242" w:lineRule="auto" w:before="223" w:after="0"/>
        <w:ind w:left="1195" w:right="337" w:hanging="569"/>
        <w:jc w:val="both"/>
        <w:rPr>
          <w:sz w:val="20"/>
        </w:rPr>
      </w:pPr>
      <w:r>
        <w:rPr>
          <w:sz w:val="20"/>
        </w:rPr>
        <w:t>Proponer las medidas acordadas por el Comité Nacional y los Comités Estatales de Productividad a que se refieren los artículos 153-K y 153-Q, con el propósito de impulsar la capacitación, medir y elevar la productividad, así como garantizar el reparto equitativo de sus </w:t>
      </w:r>
      <w:r>
        <w:rPr>
          <w:spacing w:val="-2"/>
          <w:sz w:val="20"/>
        </w:rPr>
        <w:t>beneficios;</w:t>
      </w:r>
    </w:p>
    <w:p>
      <w:pPr>
        <w:pStyle w:val="ListParagraph"/>
        <w:numPr>
          <w:ilvl w:val="0"/>
          <w:numId w:val="38"/>
        </w:numPr>
        <w:tabs>
          <w:tab w:pos="1195" w:val="left" w:leader="none"/>
        </w:tabs>
        <w:spacing w:line="240" w:lineRule="auto" w:before="223" w:after="0"/>
        <w:ind w:left="1195" w:right="0" w:hanging="569"/>
        <w:jc w:val="left"/>
        <w:rPr>
          <w:sz w:val="20"/>
        </w:rPr>
      </w:pPr>
      <w:r>
        <w:rPr>
          <w:sz w:val="20"/>
        </w:rPr>
        <w:t>Vigilar</w:t>
      </w:r>
      <w:r>
        <w:rPr>
          <w:spacing w:val="-8"/>
          <w:sz w:val="20"/>
        </w:rPr>
        <w:t> </w:t>
      </w:r>
      <w:r>
        <w:rPr>
          <w:sz w:val="20"/>
        </w:rPr>
        <w:t>el</w:t>
      </w:r>
      <w:r>
        <w:rPr>
          <w:spacing w:val="-8"/>
          <w:sz w:val="20"/>
        </w:rPr>
        <w:t> </w:t>
      </w:r>
      <w:r>
        <w:rPr>
          <w:sz w:val="20"/>
        </w:rPr>
        <w:t>cumplimiento</w:t>
      </w:r>
      <w:r>
        <w:rPr>
          <w:spacing w:val="-9"/>
          <w:sz w:val="20"/>
        </w:rPr>
        <w:t> </w:t>
      </w:r>
      <w:r>
        <w:rPr>
          <w:sz w:val="20"/>
        </w:rPr>
        <w:t>de</w:t>
      </w:r>
      <w:r>
        <w:rPr>
          <w:spacing w:val="-8"/>
          <w:sz w:val="20"/>
        </w:rPr>
        <w:t> </w:t>
      </w:r>
      <w:r>
        <w:rPr>
          <w:sz w:val="20"/>
        </w:rPr>
        <w:t>los</w:t>
      </w:r>
      <w:r>
        <w:rPr>
          <w:spacing w:val="-7"/>
          <w:sz w:val="20"/>
        </w:rPr>
        <w:t> </w:t>
      </w:r>
      <w:r>
        <w:rPr>
          <w:sz w:val="20"/>
        </w:rPr>
        <w:t>acuerdos</w:t>
      </w:r>
      <w:r>
        <w:rPr>
          <w:spacing w:val="-6"/>
          <w:sz w:val="20"/>
        </w:rPr>
        <w:t> </w:t>
      </w:r>
      <w:r>
        <w:rPr>
          <w:sz w:val="20"/>
        </w:rPr>
        <w:t>de</w:t>
      </w:r>
      <w:r>
        <w:rPr>
          <w:spacing w:val="-8"/>
          <w:sz w:val="20"/>
        </w:rPr>
        <w:t> </w:t>
      </w:r>
      <w:r>
        <w:rPr>
          <w:sz w:val="20"/>
        </w:rPr>
        <w:t>productividad;</w:t>
      </w:r>
      <w:r>
        <w:rPr>
          <w:spacing w:val="-4"/>
          <w:sz w:val="20"/>
        </w:rPr>
        <w:t> </w:t>
      </w:r>
      <w:r>
        <w:rPr>
          <w:spacing w:val="-10"/>
          <w:sz w:val="20"/>
        </w:rPr>
        <w:t>y</w:t>
      </w:r>
    </w:p>
    <w:p>
      <w:pPr>
        <w:pStyle w:val="ListParagraph"/>
        <w:numPr>
          <w:ilvl w:val="0"/>
          <w:numId w:val="38"/>
        </w:numPr>
        <w:tabs>
          <w:tab w:pos="1195" w:val="left" w:leader="none"/>
        </w:tabs>
        <w:spacing w:line="242" w:lineRule="auto" w:before="228" w:after="0"/>
        <w:ind w:left="1195" w:right="345" w:hanging="569"/>
        <w:jc w:val="both"/>
        <w:rPr>
          <w:sz w:val="20"/>
        </w:rPr>
      </w:pPr>
      <w:r>
        <w:rPr>
          <w:sz w:val="20"/>
        </w:rPr>
        <w:t>Resolver las objeciones que, en su caso, presenten los trabajadores con motivo de la distribución de los beneficios de la productividad.</w:t>
      </w:r>
    </w:p>
    <w:p>
      <w:pPr>
        <w:pStyle w:val="BodyText"/>
        <w:spacing w:before="229"/>
        <w:ind w:left="338" w:right="334" w:firstLine="288"/>
        <w:jc w:val="both"/>
      </w:pPr>
      <w:r>
        <w:rPr/>
        <w:t>Para el caso de las micro y pequeñas empresas, que son aquellas que cuentan con hasta 50 trabajadores, la Secretaría del Trabajo y Previsión Social y la Secretaría de Economía estarán obligadas</w:t>
      </w:r>
      <w:r>
        <w:rPr>
          <w:spacing w:val="40"/>
        </w:rPr>
        <w:t> </w:t>
      </w:r>
      <w:r>
        <w:rPr/>
        <w:t>a incentivar su productividad mediante la dotación de los programas a que se refiere el artículo 153-J, así como la capacitación relacionada con los mismos. Para tal efecto, con el apoyo de las instituciones académicas relacionadas con los temas de los programas referidos, convocarán</w:t>
      </w:r>
      <w:r>
        <w:rPr>
          <w:spacing w:val="40"/>
        </w:rPr>
        <w:t> </w:t>
      </w:r>
      <w:r>
        <w:rPr/>
        <w:t>en razón de su rama, sector, entidad federativa o región a los micro y pequeños empresarios, a los trabajadores y sindicatos que laboran en dichas empresas.</w:t>
      </w:r>
    </w:p>
    <w:p>
      <w:pPr>
        <w:spacing w:line="180"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338" w:right="339" w:firstLine="288"/>
        <w:jc w:val="both"/>
      </w:pPr>
      <w:bookmarkStart w:name="Artículo_153_F" w:id="178"/>
      <w:bookmarkEnd w:id="178"/>
      <w:r>
        <w:rPr/>
      </w:r>
      <w:r>
        <w:rPr>
          <w:rFonts w:ascii="Arial" w:hAnsi="Arial"/>
          <w:b/>
        </w:rPr>
        <w:t>Artículo 153-F. </w:t>
      </w:r>
      <w:r>
        <w:rPr/>
        <w:t>Las autoridades laborales cuidarán que las Comisiones Mixtas de Capacitación, Adiestramiento y Productividad se integren y funcionen oportuna y normalmente, vigilando el cumplimiento de sus obligaciones.</w:t>
      </w:r>
    </w:p>
    <w:p>
      <w:pPr>
        <w:spacing w:line="178"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39" w:firstLine="288"/>
        <w:jc w:val="both"/>
      </w:pPr>
      <w:bookmarkStart w:name="Artículo_153_F_Bis" w:id="179"/>
      <w:bookmarkEnd w:id="179"/>
      <w:r>
        <w:rPr/>
      </w:r>
      <w:r>
        <w:rPr>
          <w:rFonts w:ascii="Arial" w:hAnsi="Arial"/>
          <w:b/>
        </w:rPr>
        <w:t>Artículo 153-F Bis. </w:t>
      </w:r>
      <w:r>
        <w:rPr/>
        <w:t>Los patrones deberán conservar a disposición de la Secretaría del Trabajo y Previsión Social y la Secretaría de Economía, los planes y programas de capacitación, adiestramiento y productividad que se haya acordado establecer, o en su caso, las modificaciones que se hayan</w:t>
      </w:r>
      <w:r>
        <w:rPr>
          <w:spacing w:val="40"/>
        </w:rPr>
        <w:t> </w:t>
      </w:r>
      <w:r>
        <w:rPr/>
        <w:t>convenido acerca de planes y programas ya implantados.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338" w:right="357" w:firstLine="288"/>
      </w:pPr>
      <w:bookmarkStart w:name="Artículo_153_G" w:id="180"/>
      <w:bookmarkEnd w:id="180"/>
      <w:r>
        <w:rPr/>
      </w:r>
      <w:r>
        <w:rPr>
          <w:rFonts w:ascii="Arial" w:hAnsi="Arial"/>
          <w:b/>
        </w:rPr>
        <w:t>Artículo 153-G. </w:t>
      </w:r>
      <w:r>
        <w:rPr/>
        <w:t>El registro de que trata el tercer párrafo del artículo 153-A se otorgará a las personas o instituciones que satisfagan los siguientes requisitos:</w:t>
      </w:r>
    </w:p>
    <w:p>
      <w:pPr>
        <w:pStyle w:val="ListParagraph"/>
        <w:numPr>
          <w:ilvl w:val="0"/>
          <w:numId w:val="39"/>
        </w:numPr>
        <w:tabs>
          <w:tab w:pos="1195" w:val="left" w:leader="none"/>
        </w:tabs>
        <w:spacing w:line="242" w:lineRule="auto" w:before="224" w:after="0"/>
        <w:ind w:left="1195" w:right="337" w:hanging="569"/>
        <w:jc w:val="left"/>
        <w:rPr>
          <w:sz w:val="20"/>
        </w:rPr>
      </w:pPr>
      <w:r>
        <w:rPr>
          <w:sz w:val="20"/>
        </w:rPr>
        <w:t>Comprobar</w:t>
      </w:r>
      <w:r>
        <w:rPr>
          <w:spacing w:val="71"/>
          <w:sz w:val="20"/>
        </w:rPr>
        <w:t> </w:t>
      </w:r>
      <w:r>
        <w:rPr>
          <w:sz w:val="20"/>
        </w:rPr>
        <w:t>que</w:t>
      </w:r>
      <w:r>
        <w:rPr>
          <w:spacing w:val="72"/>
          <w:sz w:val="20"/>
        </w:rPr>
        <w:t> </w:t>
      </w:r>
      <w:r>
        <w:rPr>
          <w:sz w:val="20"/>
        </w:rPr>
        <w:t>quienes</w:t>
      </w:r>
      <w:r>
        <w:rPr>
          <w:spacing w:val="74"/>
          <w:sz w:val="20"/>
        </w:rPr>
        <w:t> </w:t>
      </w:r>
      <w:r>
        <w:rPr>
          <w:sz w:val="20"/>
        </w:rPr>
        <w:t>capacitarán</w:t>
      </w:r>
      <w:r>
        <w:rPr>
          <w:spacing w:val="72"/>
          <w:sz w:val="20"/>
        </w:rPr>
        <w:t> </w:t>
      </w:r>
      <w:r>
        <w:rPr>
          <w:sz w:val="20"/>
        </w:rPr>
        <w:t>o</w:t>
      </w:r>
      <w:r>
        <w:rPr>
          <w:spacing w:val="72"/>
          <w:sz w:val="20"/>
        </w:rPr>
        <w:t> </w:t>
      </w:r>
      <w:r>
        <w:rPr>
          <w:sz w:val="20"/>
        </w:rPr>
        <w:t>adiestrarán</w:t>
      </w:r>
      <w:r>
        <w:rPr>
          <w:spacing w:val="72"/>
          <w:sz w:val="20"/>
        </w:rPr>
        <w:t> </w:t>
      </w:r>
      <w:r>
        <w:rPr>
          <w:sz w:val="20"/>
        </w:rPr>
        <w:t>a</w:t>
      </w:r>
      <w:r>
        <w:rPr>
          <w:spacing w:val="72"/>
          <w:sz w:val="20"/>
        </w:rPr>
        <w:t> </w:t>
      </w:r>
      <w:r>
        <w:rPr>
          <w:sz w:val="20"/>
        </w:rPr>
        <w:t>los</w:t>
      </w:r>
      <w:r>
        <w:rPr>
          <w:spacing w:val="73"/>
          <w:sz w:val="20"/>
        </w:rPr>
        <w:t> </w:t>
      </w:r>
      <w:r>
        <w:rPr>
          <w:sz w:val="20"/>
        </w:rPr>
        <w:t>trabajadores,</w:t>
      </w:r>
      <w:r>
        <w:rPr>
          <w:spacing w:val="80"/>
          <w:sz w:val="20"/>
        </w:rPr>
        <w:t> </w:t>
      </w:r>
      <w:r>
        <w:rPr>
          <w:sz w:val="20"/>
        </w:rPr>
        <w:t>están</w:t>
      </w:r>
      <w:r>
        <w:rPr>
          <w:spacing w:val="71"/>
          <w:sz w:val="20"/>
        </w:rPr>
        <w:t> </w:t>
      </w:r>
      <w:r>
        <w:rPr>
          <w:sz w:val="20"/>
        </w:rPr>
        <w:t>preparados profesionalmente en la rama industrial o actividad en que impartirán sus conocimientos;</w:t>
      </w:r>
    </w:p>
    <w:p>
      <w:pPr>
        <w:pStyle w:val="ListParagraph"/>
        <w:spacing w:after="0" w:line="242" w:lineRule="auto"/>
        <w:jc w:val="left"/>
        <w:rPr>
          <w:sz w:val="20"/>
        </w:rPr>
        <w:sectPr>
          <w:pgSz w:w="12240" w:h="15840"/>
          <w:pgMar w:header="724" w:footer="712" w:top="1880" w:bottom="900" w:left="1080" w:right="1080"/>
        </w:sectPr>
      </w:pPr>
    </w:p>
    <w:p>
      <w:pPr>
        <w:pStyle w:val="BodyText"/>
        <w:spacing w:before="63"/>
      </w:pPr>
    </w:p>
    <w:p>
      <w:pPr>
        <w:pStyle w:val="ListParagraph"/>
        <w:numPr>
          <w:ilvl w:val="0"/>
          <w:numId w:val="39"/>
        </w:numPr>
        <w:tabs>
          <w:tab w:pos="1192" w:val="left" w:leader="none"/>
          <w:tab w:pos="1195" w:val="left" w:leader="none"/>
        </w:tabs>
        <w:spacing w:line="242" w:lineRule="auto" w:before="0" w:after="0"/>
        <w:ind w:left="1195" w:right="336" w:hanging="569"/>
        <w:jc w:val="both"/>
        <w:rPr>
          <w:sz w:val="20"/>
        </w:rPr>
      </w:pPr>
      <w:r>
        <w:rPr>
          <w:sz w:val="20"/>
        </w:rPr>
        <w:t>Acreditar satisfactoriamente, a juicio de la Secretaría del Trabajo y Previsión Social, tener conocimientos bastantes sobre los procedimientos tecnológicos propios de la rama industrial o actividad en la que pretendan impartir dicha capacitación o adiestramiento; y</w:t>
      </w:r>
    </w:p>
    <w:p>
      <w:pPr>
        <w:pStyle w:val="ListParagraph"/>
        <w:numPr>
          <w:ilvl w:val="0"/>
          <w:numId w:val="39"/>
        </w:numPr>
        <w:tabs>
          <w:tab w:pos="1191" w:val="left" w:leader="none"/>
          <w:tab w:pos="1195" w:val="left" w:leader="none"/>
        </w:tabs>
        <w:spacing w:line="242" w:lineRule="auto" w:before="225" w:after="0"/>
        <w:ind w:left="1195" w:right="346" w:hanging="569"/>
        <w:jc w:val="both"/>
        <w:rPr>
          <w:sz w:val="20"/>
        </w:rPr>
      </w:pPr>
      <w:r>
        <w:rPr>
          <w:sz w:val="20"/>
        </w:rPr>
        <w:t>No estar ligadas con personas o instituciones que propaguen algún credo religioso, en los términos de la prohibición establecida por la fracción IV del Artículo 3o. Constitucional.</w:t>
      </w:r>
    </w:p>
    <w:p>
      <w:pPr>
        <w:pStyle w:val="BodyText"/>
        <w:spacing w:before="226"/>
        <w:ind w:left="338" w:right="342" w:firstLine="288"/>
      </w:pPr>
      <w:r>
        <w:rPr/>
        <w:t>El registro concedido en los términos de este artículo podrá ser revocado cuando se contravengan las disposiciones de esta Ley.</w:t>
      </w:r>
    </w:p>
    <w:p>
      <w:pPr>
        <w:pStyle w:val="BodyText"/>
        <w:spacing w:before="1"/>
      </w:pPr>
    </w:p>
    <w:p>
      <w:pPr>
        <w:pStyle w:val="BodyText"/>
        <w:spacing w:before="1"/>
        <w:ind w:left="338" w:firstLine="288"/>
      </w:pPr>
      <w:r>
        <w:rPr/>
        <w:t>En</w:t>
      </w:r>
      <w:r>
        <w:rPr>
          <w:spacing w:val="20"/>
        </w:rPr>
        <w:t> </w:t>
      </w:r>
      <w:r>
        <w:rPr/>
        <w:t>el procedimiento</w:t>
      </w:r>
      <w:r>
        <w:rPr>
          <w:spacing w:val="19"/>
        </w:rPr>
        <w:t> </w:t>
      </w:r>
      <w:r>
        <w:rPr/>
        <w:t>de</w:t>
      </w:r>
      <w:r>
        <w:rPr>
          <w:spacing w:val="19"/>
        </w:rPr>
        <w:t> </w:t>
      </w:r>
      <w:r>
        <w:rPr/>
        <w:t>revocación,</w:t>
      </w:r>
      <w:r>
        <w:rPr>
          <w:spacing w:val="20"/>
        </w:rPr>
        <w:t> </w:t>
      </w:r>
      <w:r>
        <w:rPr/>
        <w:t>el afectado</w:t>
      </w:r>
      <w:r>
        <w:rPr>
          <w:spacing w:val="19"/>
        </w:rPr>
        <w:t> </w:t>
      </w:r>
      <w:r>
        <w:rPr/>
        <w:t>podrá ofrecer pruebas</w:t>
      </w:r>
      <w:r>
        <w:rPr>
          <w:spacing w:val="23"/>
        </w:rPr>
        <w:t> </w:t>
      </w:r>
      <w:r>
        <w:rPr/>
        <w:t>y alegar</w:t>
      </w:r>
      <w:r>
        <w:rPr>
          <w:spacing w:val="21"/>
        </w:rPr>
        <w:t> </w:t>
      </w:r>
      <w:r>
        <w:rPr/>
        <w:t>lo</w:t>
      </w:r>
      <w:r>
        <w:rPr>
          <w:spacing w:val="19"/>
        </w:rPr>
        <w:t> </w:t>
      </w:r>
      <w:r>
        <w:rPr/>
        <w:t>que a</w:t>
      </w:r>
      <w:r>
        <w:rPr>
          <w:spacing w:val="19"/>
        </w:rPr>
        <w:t> </w:t>
      </w:r>
      <w:r>
        <w:rPr/>
        <w:t>su</w:t>
      </w:r>
      <w:r>
        <w:rPr>
          <w:spacing w:val="20"/>
        </w:rPr>
        <w:t> </w:t>
      </w:r>
      <w:r>
        <w:rPr/>
        <w:t>derecho </w:t>
      </w:r>
      <w:r>
        <w:rPr>
          <w:spacing w:val="-2"/>
        </w:rPr>
        <w:t>convenga.</w:t>
      </w:r>
    </w:p>
    <w:p>
      <w:pPr>
        <w:spacing w:line="180"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35" w:firstLine="288"/>
        <w:jc w:val="both"/>
      </w:pPr>
      <w:bookmarkStart w:name="Artículo_153_H" w:id="181"/>
      <w:bookmarkEnd w:id="181"/>
      <w:r>
        <w:rPr/>
      </w:r>
      <w:r>
        <w:rPr>
          <w:rFonts w:ascii="Arial" w:hAnsi="Arial"/>
          <w:b/>
        </w:rPr>
        <w:t>Artículo 153-H. </w:t>
      </w:r>
      <w:r>
        <w:rPr/>
        <w:t>Los planes y</w:t>
      </w:r>
      <w:r>
        <w:rPr>
          <w:spacing w:val="-3"/>
        </w:rPr>
        <w:t> </w:t>
      </w:r>
      <w:r>
        <w:rPr/>
        <w:t>programas de capacitación y</w:t>
      </w:r>
      <w:r>
        <w:rPr>
          <w:spacing w:val="-3"/>
        </w:rPr>
        <w:t> </w:t>
      </w:r>
      <w:r>
        <w:rPr/>
        <w:t>adiestramiento se elaborarán dentro de los sesenta días hábiles siguientes a que inicien las operaciones en el centro de trabajo y deberán cumplir</w:t>
      </w:r>
      <w:r>
        <w:rPr>
          <w:spacing w:val="40"/>
        </w:rPr>
        <w:t> </w:t>
      </w:r>
      <w:r>
        <w:rPr/>
        <w:t>los requisitos siguientes:</w:t>
      </w:r>
    </w:p>
    <w:p>
      <w:pPr>
        <w:pStyle w:val="ListParagraph"/>
        <w:numPr>
          <w:ilvl w:val="0"/>
          <w:numId w:val="40"/>
        </w:numPr>
        <w:tabs>
          <w:tab w:pos="1195" w:val="left" w:leader="none"/>
        </w:tabs>
        <w:spacing w:line="242" w:lineRule="auto" w:before="229" w:after="0"/>
        <w:ind w:left="1195" w:right="348" w:hanging="569"/>
        <w:jc w:val="left"/>
        <w:rPr>
          <w:sz w:val="20"/>
        </w:rPr>
      </w:pPr>
      <w:r>
        <w:rPr>
          <w:sz w:val="20"/>
        </w:rPr>
        <w:t>Referirse a periodos no mayores de dos años, salvo la capacitación a que se refiere el</w:t>
      </w:r>
      <w:r>
        <w:rPr>
          <w:spacing w:val="-1"/>
          <w:sz w:val="20"/>
        </w:rPr>
        <w:t> </w:t>
      </w:r>
      <w:r>
        <w:rPr>
          <w:sz w:val="20"/>
        </w:rPr>
        <w:t>segundo párrafo del artículo 153-B;</w:t>
      </w:r>
    </w:p>
    <w:p>
      <w:pPr>
        <w:pStyle w:val="ListParagraph"/>
        <w:numPr>
          <w:ilvl w:val="0"/>
          <w:numId w:val="40"/>
        </w:numPr>
        <w:tabs>
          <w:tab w:pos="1195" w:val="left" w:leader="none"/>
        </w:tabs>
        <w:spacing w:line="240" w:lineRule="auto" w:before="227" w:after="0"/>
        <w:ind w:left="1195" w:right="0" w:hanging="569"/>
        <w:jc w:val="left"/>
        <w:rPr>
          <w:sz w:val="20"/>
        </w:rPr>
      </w:pPr>
      <w:r>
        <w:rPr>
          <w:sz w:val="20"/>
        </w:rPr>
        <w:t>Comprender</w:t>
      </w:r>
      <w:r>
        <w:rPr>
          <w:spacing w:val="-7"/>
          <w:sz w:val="20"/>
        </w:rPr>
        <w:t> </w:t>
      </w:r>
      <w:r>
        <w:rPr>
          <w:sz w:val="20"/>
        </w:rPr>
        <w:t>todos</w:t>
      </w:r>
      <w:r>
        <w:rPr>
          <w:spacing w:val="-6"/>
          <w:sz w:val="20"/>
        </w:rPr>
        <w:t> </w:t>
      </w:r>
      <w:r>
        <w:rPr>
          <w:sz w:val="20"/>
        </w:rPr>
        <w:t>los</w:t>
      </w:r>
      <w:r>
        <w:rPr>
          <w:spacing w:val="-6"/>
          <w:sz w:val="20"/>
        </w:rPr>
        <w:t> </w:t>
      </w:r>
      <w:r>
        <w:rPr>
          <w:sz w:val="20"/>
        </w:rPr>
        <w:t>puestos</w:t>
      </w:r>
      <w:r>
        <w:rPr>
          <w:spacing w:val="-4"/>
          <w:sz w:val="20"/>
        </w:rPr>
        <w:t> </w:t>
      </w:r>
      <w:r>
        <w:rPr>
          <w:sz w:val="20"/>
        </w:rPr>
        <w:t>y</w:t>
      </w:r>
      <w:r>
        <w:rPr>
          <w:spacing w:val="-10"/>
          <w:sz w:val="20"/>
        </w:rPr>
        <w:t> </w:t>
      </w:r>
      <w:r>
        <w:rPr>
          <w:sz w:val="20"/>
        </w:rPr>
        <w:t>niveles</w:t>
      </w:r>
      <w:r>
        <w:rPr>
          <w:spacing w:val="-6"/>
          <w:sz w:val="20"/>
        </w:rPr>
        <w:t> </w:t>
      </w:r>
      <w:r>
        <w:rPr>
          <w:sz w:val="20"/>
        </w:rPr>
        <w:t>existentes</w:t>
      </w:r>
      <w:r>
        <w:rPr>
          <w:spacing w:val="-2"/>
          <w:sz w:val="20"/>
        </w:rPr>
        <w:t> </w:t>
      </w:r>
      <w:r>
        <w:rPr>
          <w:sz w:val="20"/>
        </w:rPr>
        <w:t>en</w:t>
      </w:r>
      <w:r>
        <w:rPr>
          <w:spacing w:val="-5"/>
          <w:sz w:val="20"/>
        </w:rPr>
        <w:t> </w:t>
      </w:r>
      <w:r>
        <w:rPr>
          <w:sz w:val="20"/>
        </w:rPr>
        <w:t>la</w:t>
      </w:r>
      <w:r>
        <w:rPr>
          <w:spacing w:val="-5"/>
          <w:sz w:val="20"/>
        </w:rPr>
        <w:t> </w:t>
      </w:r>
      <w:r>
        <w:rPr>
          <w:spacing w:val="-2"/>
          <w:sz w:val="20"/>
        </w:rPr>
        <w:t>empresa;</w:t>
      </w:r>
    </w:p>
    <w:p>
      <w:pPr>
        <w:pStyle w:val="ListParagraph"/>
        <w:numPr>
          <w:ilvl w:val="0"/>
          <w:numId w:val="40"/>
        </w:numPr>
        <w:tabs>
          <w:tab w:pos="1195" w:val="left" w:leader="none"/>
        </w:tabs>
        <w:spacing w:line="242" w:lineRule="auto" w:before="228" w:after="0"/>
        <w:ind w:left="1195" w:right="348" w:hanging="569"/>
        <w:jc w:val="left"/>
        <w:rPr>
          <w:sz w:val="20"/>
        </w:rPr>
      </w:pPr>
      <w:r>
        <w:rPr>
          <w:sz w:val="20"/>
        </w:rPr>
        <w:t>Precisar</w:t>
      </w:r>
      <w:r>
        <w:rPr>
          <w:spacing w:val="-1"/>
          <w:sz w:val="20"/>
        </w:rPr>
        <w:t> </w:t>
      </w:r>
      <w:r>
        <w:rPr>
          <w:sz w:val="20"/>
        </w:rPr>
        <w:t>las</w:t>
      </w:r>
      <w:r>
        <w:rPr>
          <w:spacing w:val="-1"/>
          <w:sz w:val="20"/>
        </w:rPr>
        <w:t> </w:t>
      </w:r>
      <w:r>
        <w:rPr>
          <w:sz w:val="20"/>
        </w:rPr>
        <w:t>etapas</w:t>
      </w:r>
      <w:r>
        <w:rPr>
          <w:spacing w:val="-1"/>
          <w:sz w:val="20"/>
        </w:rPr>
        <w:t> </w:t>
      </w:r>
      <w:r>
        <w:rPr>
          <w:sz w:val="20"/>
        </w:rPr>
        <w:t>durante las</w:t>
      </w:r>
      <w:r>
        <w:rPr>
          <w:spacing w:val="-1"/>
          <w:sz w:val="20"/>
        </w:rPr>
        <w:t> </w:t>
      </w:r>
      <w:r>
        <w:rPr>
          <w:sz w:val="20"/>
        </w:rPr>
        <w:t>cuales</w:t>
      </w:r>
      <w:r>
        <w:rPr>
          <w:spacing w:val="-1"/>
          <w:sz w:val="20"/>
        </w:rPr>
        <w:t> </w:t>
      </w:r>
      <w:r>
        <w:rPr>
          <w:sz w:val="20"/>
        </w:rPr>
        <w:t>se</w:t>
      </w:r>
      <w:r>
        <w:rPr>
          <w:spacing w:val="-2"/>
          <w:sz w:val="20"/>
        </w:rPr>
        <w:t> </w:t>
      </w:r>
      <w:r>
        <w:rPr>
          <w:sz w:val="20"/>
        </w:rPr>
        <w:t>impartirá</w:t>
      </w:r>
      <w:r>
        <w:rPr>
          <w:spacing w:val="-2"/>
          <w:sz w:val="20"/>
        </w:rPr>
        <w:t> </w:t>
      </w:r>
      <w:r>
        <w:rPr>
          <w:sz w:val="20"/>
        </w:rPr>
        <w:t>la</w:t>
      </w:r>
      <w:r>
        <w:rPr>
          <w:spacing w:val="-2"/>
          <w:sz w:val="20"/>
        </w:rPr>
        <w:t> </w:t>
      </w:r>
      <w:r>
        <w:rPr>
          <w:sz w:val="20"/>
        </w:rPr>
        <w:t>capacitación y</w:t>
      </w:r>
      <w:r>
        <w:rPr>
          <w:spacing w:val="-3"/>
          <w:sz w:val="20"/>
        </w:rPr>
        <w:t> </w:t>
      </w:r>
      <w:r>
        <w:rPr>
          <w:sz w:val="20"/>
        </w:rPr>
        <w:t>el</w:t>
      </w:r>
      <w:r>
        <w:rPr>
          <w:spacing w:val="-1"/>
          <w:sz w:val="20"/>
        </w:rPr>
        <w:t> </w:t>
      </w:r>
      <w:r>
        <w:rPr>
          <w:sz w:val="20"/>
        </w:rPr>
        <w:t>adiestramiento al</w:t>
      </w:r>
      <w:r>
        <w:rPr>
          <w:spacing w:val="-3"/>
          <w:sz w:val="20"/>
        </w:rPr>
        <w:t> </w:t>
      </w:r>
      <w:r>
        <w:rPr>
          <w:sz w:val="20"/>
        </w:rPr>
        <w:t>total</w:t>
      </w:r>
      <w:r>
        <w:rPr>
          <w:spacing w:val="-3"/>
          <w:sz w:val="20"/>
        </w:rPr>
        <w:t> </w:t>
      </w:r>
      <w:r>
        <w:rPr>
          <w:sz w:val="20"/>
        </w:rPr>
        <w:t>de los trabajadores de la empresa;</w:t>
      </w:r>
    </w:p>
    <w:p>
      <w:pPr>
        <w:pStyle w:val="ListParagraph"/>
        <w:numPr>
          <w:ilvl w:val="0"/>
          <w:numId w:val="40"/>
        </w:numPr>
        <w:tabs>
          <w:tab w:pos="1195" w:val="left" w:leader="none"/>
        </w:tabs>
        <w:spacing w:line="242" w:lineRule="auto" w:before="227" w:after="0"/>
        <w:ind w:left="1195" w:right="345" w:hanging="569"/>
        <w:jc w:val="left"/>
        <w:rPr>
          <w:sz w:val="20"/>
        </w:rPr>
      </w:pPr>
      <w:r>
        <w:rPr>
          <w:sz w:val="20"/>
        </w:rPr>
        <w:t>Señalar el procedimiento de selección, a través del cual se establecerá el orden en que serán capacitados los trabajadores de un mismo puesto y categoría; y</w:t>
      </w:r>
    </w:p>
    <w:p>
      <w:pPr>
        <w:pStyle w:val="ListParagraph"/>
        <w:numPr>
          <w:ilvl w:val="0"/>
          <w:numId w:val="40"/>
        </w:numPr>
        <w:tabs>
          <w:tab w:pos="1195" w:val="left" w:leader="none"/>
        </w:tabs>
        <w:spacing w:line="242" w:lineRule="auto" w:before="225" w:after="0"/>
        <w:ind w:left="1195" w:right="344" w:hanging="569"/>
        <w:jc w:val="left"/>
        <w:rPr>
          <w:sz w:val="20"/>
        </w:rPr>
      </w:pPr>
      <w:r>
        <w:rPr>
          <w:sz w:val="20"/>
        </w:rPr>
        <w:t>Deberán</w:t>
      </w:r>
      <w:r>
        <w:rPr>
          <w:spacing w:val="-5"/>
          <w:sz w:val="20"/>
        </w:rPr>
        <w:t> </w:t>
      </w:r>
      <w:r>
        <w:rPr>
          <w:sz w:val="20"/>
        </w:rPr>
        <w:t>basarse</w:t>
      </w:r>
      <w:r>
        <w:rPr>
          <w:spacing w:val="-5"/>
          <w:sz w:val="20"/>
        </w:rPr>
        <w:t> </w:t>
      </w:r>
      <w:r>
        <w:rPr>
          <w:sz w:val="20"/>
        </w:rPr>
        <w:t>en</w:t>
      </w:r>
      <w:r>
        <w:rPr>
          <w:spacing w:val="-3"/>
          <w:sz w:val="20"/>
        </w:rPr>
        <w:t> </w:t>
      </w:r>
      <w:r>
        <w:rPr>
          <w:sz w:val="20"/>
        </w:rPr>
        <w:t>normas</w:t>
      </w:r>
      <w:r>
        <w:rPr>
          <w:spacing w:val="-4"/>
          <w:sz w:val="20"/>
        </w:rPr>
        <w:t> </w:t>
      </w:r>
      <w:r>
        <w:rPr>
          <w:sz w:val="20"/>
        </w:rPr>
        <w:t>técnicas</w:t>
      </w:r>
      <w:r>
        <w:rPr>
          <w:spacing w:val="-2"/>
          <w:sz w:val="20"/>
        </w:rPr>
        <w:t> </w:t>
      </w:r>
      <w:r>
        <w:rPr>
          <w:sz w:val="20"/>
        </w:rPr>
        <w:t>de</w:t>
      </w:r>
      <w:r>
        <w:rPr>
          <w:spacing w:val="-5"/>
          <w:sz w:val="20"/>
        </w:rPr>
        <w:t> </w:t>
      </w:r>
      <w:r>
        <w:rPr>
          <w:sz w:val="20"/>
        </w:rPr>
        <w:t>competencia</w:t>
      </w:r>
      <w:r>
        <w:rPr>
          <w:spacing w:val="-3"/>
          <w:sz w:val="20"/>
        </w:rPr>
        <w:t> </w:t>
      </w:r>
      <w:r>
        <w:rPr>
          <w:sz w:val="20"/>
        </w:rPr>
        <w:t>laboral,</w:t>
      </w:r>
      <w:r>
        <w:rPr>
          <w:spacing w:val="-3"/>
          <w:sz w:val="20"/>
        </w:rPr>
        <w:t> </w:t>
      </w:r>
      <w:r>
        <w:rPr>
          <w:sz w:val="20"/>
        </w:rPr>
        <w:t>si</w:t>
      </w:r>
      <w:r>
        <w:rPr>
          <w:spacing w:val="-4"/>
          <w:sz w:val="20"/>
        </w:rPr>
        <w:t> </w:t>
      </w:r>
      <w:r>
        <w:rPr>
          <w:sz w:val="20"/>
        </w:rPr>
        <w:t>las</w:t>
      </w:r>
      <w:r>
        <w:rPr>
          <w:spacing w:val="-2"/>
          <w:sz w:val="20"/>
        </w:rPr>
        <w:t> </w:t>
      </w:r>
      <w:r>
        <w:rPr>
          <w:sz w:val="20"/>
        </w:rPr>
        <w:t>hubiere</w:t>
      </w:r>
      <w:r>
        <w:rPr>
          <w:spacing w:val="-2"/>
          <w:sz w:val="20"/>
        </w:rPr>
        <w:t> </w:t>
      </w:r>
      <w:r>
        <w:rPr>
          <w:sz w:val="20"/>
        </w:rPr>
        <w:t>para</w:t>
      </w:r>
      <w:r>
        <w:rPr>
          <w:spacing w:val="-3"/>
          <w:sz w:val="20"/>
        </w:rPr>
        <w:t> </w:t>
      </w:r>
      <w:r>
        <w:rPr>
          <w:sz w:val="20"/>
        </w:rPr>
        <w:t>los</w:t>
      </w:r>
      <w:r>
        <w:rPr>
          <w:spacing w:val="-4"/>
          <w:sz w:val="20"/>
        </w:rPr>
        <w:t> </w:t>
      </w:r>
      <w:r>
        <w:rPr>
          <w:sz w:val="20"/>
        </w:rPr>
        <w:t>puestos</w:t>
      </w:r>
      <w:r>
        <w:rPr>
          <w:spacing w:val="-4"/>
          <w:sz w:val="20"/>
        </w:rPr>
        <w:t> </w:t>
      </w:r>
      <w:r>
        <w:rPr>
          <w:sz w:val="20"/>
        </w:rPr>
        <w:t>de trabajo de que se trate.</w:t>
      </w:r>
    </w:p>
    <w:p>
      <w:pPr>
        <w:spacing w:line="180"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ind w:left="338" w:right="338" w:firstLine="288"/>
        <w:jc w:val="both"/>
      </w:pPr>
      <w:bookmarkStart w:name="Artículo_153_I" w:id="182"/>
      <w:bookmarkEnd w:id="182"/>
      <w:r>
        <w:rPr/>
      </w:r>
      <w:r>
        <w:rPr>
          <w:rFonts w:ascii="Arial" w:hAnsi="Arial"/>
          <w:b/>
        </w:rPr>
        <w:t>Artículo 153-I. </w:t>
      </w:r>
      <w:r>
        <w:rPr/>
        <w:t>Se entiende por productividad, para efectos de esta Ley, el resultado de optimizar los factores humanos,</w:t>
      </w:r>
      <w:r>
        <w:rPr>
          <w:spacing w:val="-2"/>
        </w:rPr>
        <w:t> </w:t>
      </w:r>
      <w:r>
        <w:rPr/>
        <w:t>materiales, financieros, tecnológicos y</w:t>
      </w:r>
      <w:r>
        <w:rPr>
          <w:spacing w:val="-3"/>
        </w:rPr>
        <w:t> </w:t>
      </w:r>
      <w:r>
        <w:rPr/>
        <w:t>organizacionales que concurren en la empresa, en la rama o en el sector para la elaboración de bienes o</w:t>
      </w:r>
      <w:r>
        <w:rPr>
          <w:spacing w:val="40"/>
        </w:rPr>
        <w:t> </w:t>
      </w:r>
      <w:r>
        <w:rPr/>
        <w:t>la prestación de servicios, con el fin de promover a nivel sectorial, estatal, regional, nacional e internacional, y acorde con el mercado al que</w:t>
      </w:r>
      <w:r>
        <w:rPr>
          <w:spacing w:val="40"/>
        </w:rPr>
        <w:t> </w:t>
      </w:r>
      <w:r>
        <w:rPr/>
        <w:t>tiene</w:t>
      </w:r>
      <w:r>
        <w:rPr>
          <w:spacing w:val="40"/>
        </w:rPr>
        <w:t> </w:t>
      </w:r>
      <w:r>
        <w:rPr/>
        <w:t>acceso,</w:t>
      </w:r>
      <w:r>
        <w:rPr>
          <w:spacing w:val="-1"/>
        </w:rPr>
        <w:t> </w:t>
      </w:r>
      <w:r>
        <w:rPr/>
        <w:t>su</w:t>
      </w:r>
      <w:r>
        <w:rPr>
          <w:spacing w:val="-1"/>
        </w:rPr>
        <w:t> </w:t>
      </w:r>
      <w:r>
        <w:rPr/>
        <w:t>competitividad y</w:t>
      </w:r>
      <w:r>
        <w:rPr>
          <w:spacing w:val="-4"/>
        </w:rPr>
        <w:t> </w:t>
      </w:r>
      <w:r>
        <w:rPr/>
        <w:t>sustentabilidad,</w:t>
      </w:r>
      <w:r>
        <w:rPr>
          <w:spacing w:val="-1"/>
        </w:rPr>
        <w:t> </w:t>
      </w:r>
      <w:r>
        <w:rPr/>
        <w:t>mejorar su</w:t>
      </w:r>
      <w:r>
        <w:rPr>
          <w:spacing w:val="-1"/>
        </w:rPr>
        <w:t> </w:t>
      </w:r>
      <w:r>
        <w:rPr/>
        <w:t>capacidad,</w:t>
      </w:r>
      <w:r>
        <w:rPr>
          <w:spacing w:val="-1"/>
        </w:rPr>
        <w:t> </w:t>
      </w:r>
      <w:r>
        <w:rPr/>
        <w:t>su</w:t>
      </w:r>
      <w:r>
        <w:rPr>
          <w:spacing w:val="-1"/>
        </w:rPr>
        <w:t> </w:t>
      </w:r>
      <w:r>
        <w:rPr/>
        <w:t>tecnología y</w:t>
      </w:r>
      <w:r>
        <w:rPr>
          <w:spacing w:val="-4"/>
        </w:rPr>
        <w:t> </w:t>
      </w:r>
      <w:r>
        <w:rPr/>
        <w:t>su</w:t>
      </w:r>
      <w:r>
        <w:rPr>
          <w:spacing w:val="-1"/>
        </w:rPr>
        <w:t> </w:t>
      </w:r>
      <w:r>
        <w:rPr/>
        <w:t>organización, e incrementar los ingresos, el bienestar de los trabajadores y distribuir equitativamente sus beneficios.</w:t>
      </w:r>
    </w:p>
    <w:p>
      <w:pPr>
        <w:pStyle w:val="BodyText"/>
        <w:spacing w:before="2"/>
      </w:pPr>
    </w:p>
    <w:p>
      <w:pPr>
        <w:pStyle w:val="BodyText"/>
        <w:spacing w:before="1"/>
        <w:ind w:left="338" w:right="347" w:firstLine="288"/>
        <w:jc w:val="both"/>
      </w:pPr>
      <w:r>
        <w:rPr/>
        <w:t>Al establecimiento de los acuerdos y sistemas para medir e incrementar la productividad, concurrirán los patrones, trabajadores, sindicatos, gobiernos y academia.</w:t>
      </w:r>
    </w:p>
    <w:p>
      <w:pPr>
        <w:spacing w:line="182"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338" w:right="344" w:firstLine="288"/>
        <w:jc w:val="both"/>
      </w:pPr>
      <w:bookmarkStart w:name="Artículo_153_J" w:id="183"/>
      <w:bookmarkEnd w:id="183"/>
      <w:r>
        <w:rPr/>
      </w:r>
      <w:r>
        <w:rPr>
          <w:rFonts w:ascii="Arial" w:hAnsi="Arial"/>
          <w:b/>
        </w:rPr>
        <w:t>Artículo 153-J. </w:t>
      </w:r>
      <w:r>
        <w:rPr/>
        <w:t>Para elevar la productividad en las empresas, incluidas las micro y pequeñas empresas, se elaborarán programas que tendrán por objeto:</w:t>
      </w:r>
    </w:p>
    <w:p>
      <w:pPr>
        <w:pStyle w:val="ListParagraph"/>
        <w:numPr>
          <w:ilvl w:val="0"/>
          <w:numId w:val="41"/>
        </w:numPr>
        <w:tabs>
          <w:tab w:pos="1195" w:val="left" w:leader="none"/>
        </w:tabs>
        <w:spacing w:line="240" w:lineRule="auto" w:before="227" w:after="0"/>
        <w:ind w:left="1195" w:right="0" w:hanging="569"/>
        <w:jc w:val="left"/>
        <w:rPr>
          <w:sz w:val="20"/>
        </w:rPr>
      </w:pPr>
      <w:r>
        <w:rPr>
          <w:sz w:val="20"/>
        </w:rPr>
        <w:t>Hacer</w:t>
      </w:r>
      <w:r>
        <w:rPr>
          <w:spacing w:val="-7"/>
          <w:sz w:val="20"/>
        </w:rPr>
        <w:t> </w:t>
      </w:r>
      <w:r>
        <w:rPr>
          <w:sz w:val="20"/>
        </w:rPr>
        <w:t>un</w:t>
      </w:r>
      <w:r>
        <w:rPr>
          <w:spacing w:val="-4"/>
          <w:sz w:val="20"/>
        </w:rPr>
        <w:t> </w:t>
      </w:r>
      <w:r>
        <w:rPr>
          <w:sz w:val="20"/>
        </w:rPr>
        <w:t>diagnóstico</w:t>
      </w:r>
      <w:r>
        <w:rPr>
          <w:spacing w:val="-6"/>
          <w:sz w:val="20"/>
        </w:rPr>
        <w:t> </w:t>
      </w:r>
      <w:r>
        <w:rPr>
          <w:sz w:val="20"/>
        </w:rPr>
        <w:t>objetivo</w:t>
      </w:r>
      <w:r>
        <w:rPr>
          <w:spacing w:val="-4"/>
          <w:sz w:val="20"/>
        </w:rPr>
        <w:t> </w:t>
      </w:r>
      <w:r>
        <w:rPr>
          <w:sz w:val="20"/>
        </w:rPr>
        <w:t>de</w:t>
      </w:r>
      <w:r>
        <w:rPr>
          <w:spacing w:val="-5"/>
          <w:sz w:val="20"/>
        </w:rPr>
        <w:t> </w:t>
      </w:r>
      <w:r>
        <w:rPr>
          <w:sz w:val="20"/>
        </w:rPr>
        <w:t>la</w:t>
      </w:r>
      <w:r>
        <w:rPr>
          <w:spacing w:val="-6"/>
          <w:sz w:val="20"/>
        </w:rPr>
        <w:t> </w:t>
      </w:r>
      <w:r>
        <w:rPr>
          <w:sz w:val="20"/>
        </w:rPr>
        <w:t>situación</w:t>
      </w:r>
      <w:r>
        <w:rPr>
          <w:spacing w:val="-7"/>
          <w:sz w:val="20"/>
        </w:rPr>
        <w:t> </w:t>
      </w:r>
      <w:r>
        <w:rPr>
          <w:sz w:val="20"/>
        </w:rPr>
        <w:t>de</w:t>
      </w:r>
      <w:r>
        <w:rPr>
          <w:spacing w:val="-6"/>
          <w:sz w:val="20"/>
        </w:rPr>
        <w:t> </w:t>
      </w:r>
      <w:r>
        <w:rPr>
          <w:sz w:val="20"/>
        </w:rPr>
        <w:t>las</w:t>
      </w:r>
      <w:r>
        <w:rPr>
          <w:spacing w:val="-5"/>
          <w:sz w:val="20"/>
        </w:rPr>
        <w:t> </w:t>
      </w:r>
      <w:r>
        <w:rPr>
          <w:sz w:val="20"/>
        </w:rPr>
        <w:t>empresas</w:t>
      </w:r>
      <w:r>
        <w:rPr>
          <w:spacing w:val="-5"/>
          <w:sz w:val="20"/>
        </w:rPr>
        <w:t> </w:t>
      </w:r>
      <w:r>
        <w:rPr>
          <w:sz w:val="20"/>
        </w:rPr>
        <w:t>en</w:t>
      </w:r>
      <w:r>
        <w:rPr>
          <w:spacing w:val="-9"/>
          <w:sz w:val="20"/>
        </w:rPr>
        <w:t> </w:t>
      </w:r>
      <w:r>
        <w:rPr>
          <w:sz w:val="20"/>
        </w:rPr>
        <w:t>materia</w:t>
      </w:r>
      <w:r>
        <w:rPr>
          <w:spacing w:val="-6"/>
          <w:sz w:val="20"/>
        </w:rPr>
        <w:t> </w:t>
      </w:r>
      <w:r>
        <w:rPr>
          <w:sz w:val="20"/>
        </w:rPr>
        <w:t>de</w:t>
      </w:r>
      <w:r>
        <w:rPr>
          <w:spacing w:val="-4"/>
          <w:sz w:val="20"/>
        </w:rPr>
        <w:t> </w:t>
      </w:r>
      <w:r>
        <w:rPr>
          <w:spacing w:val="-2"/>
          <w:sz w:val="20"/>
        </w:rPr>
        <w:t>productividad;</w:t>
      </w:r>
    </w:p>
    <w:p>
      <w:pPr>
        <w:pStyle w:val="ListParagraph"/>
        <w:numPr>
          <w:ilvl w:val="0"/>
          <w:numId w:val="41"/>
        </w:numPr>
        <w:tabs>
          <w:tab w:pos="1195" w:val="left" w:leader="none"/>
        </w:tabs>
        <w:spacing w:line="242" w:lineRule="auto" w:before="228" w:after="0"/>
        <w:ind w:left="1195" w:right="344" w:hanging="569"/>
        <w:jc w:val="left"/>
        <w:rPr>
          <w:sz w:val="20"/>
        </w:rPr>
      </w:pPr>
      <w:r>
        <w:rPr>
          <w:sz w:val="20"/>
        </w:rPr>
        <w:t>Proporcionar a las empresas estudios sobre las mejores prácticas tecnológicas y organizativas que incrementen su nivel actual de productividad en función de su grado de desarrollo;</w:t>
      </w:r>
    </w:p>
    <w:p>
      <w:pPr>
        <w:pStyle w:val="ListParagraph"/>
        <w:spacing w:after="0" w:line="242" w:lineRule="auto"/>
        <w:jc w:val="left"/>
        <w:rPr>
          <w:sz w:val="20"/>
        </w:rPr>
        <w:sectPr>
          <w:pgSz w:w="12240" w:h="15840"/>
          <w:pgMar w:header="724" w:footer="712" w:top="1880" w:bottom="900" w:left="1080" w:right="1080"/>
        </w:sectPr>
      </w:pPr>
    </w:p>
    <w:p>
      <w:pPr>
        <w:pStyle w:val="BodyText"/>
        <w:spacing w:before="63"/>
      </w:pPr>
    </w:p>
    <w:p>
      <w:pPr>
        <w:pStyle w:val="ListParagraph"/>
        <w:numPr>
          <w:ilvl w:val="0"/>
          <w:numId w:val="41"/>
        </w:numPr>
        <w:tabs>
          <w:tab w:pos="1191" w:val="left" w:leader="none"/>
          <w:tab w:pos="1195" w:val="left" w:leader="none"/>
        </w:tabs>
        <w:spacing w:line="242" w:lineRule="auto" w:before="0" w:after="0"/>
        <w:ind w:left="1195" w:right="343" w:hanging="569"/>
        <w:jc w:val="both"/>
        <w:rPr>
          <w:sz w:val="20"/>
        </w:rPr>
      </w:pPr>
      <w:r>
        <w:rPr>
          <w:sz w:val="20"/>
        </w:rPr>
        <w:t>Adecuar las condiciones materiales, organizativas, tecnológicas y financieras que permitan aumentar la productividad;</w:t>
      </w:r>
    </w:p>
    <w:p>
      <w:pPr>
        <w:pStyle w:val="ListParagraph"/>
        <w:numPr>
          <w:ilvl w:val="0"/>
          <w:numId w:val="41"/>
        </w:numPr>
        <w:tabs>
          <w:tab w:pos="1195" w:val="left" w:leader="none"/>
        </w:tabs>
        <w:spacing w:line="242" w:lineRule="auto" w:before="227" w:after="0"/>
        <w:ind w:left="1195" w:right="345" w:hanging="569"/>
        <w:jc w:val="both"/>
        <w:rPr>
          <w:sz w:val="20"/>
        </w:rPr>
      </w:pPr>
      <w:r>
        <w:rPr>
          <w:sz w:val="20"/>
        </w:rPr>
        <w:t>Proponer</w:t>
      </w:r>
      <w:r>
        <w:rPr>
          <w:spacing w:val="-3"/>
          <w:sz w:val="20"/>
        </w:rPr>
        <w:t> </w:t>
      </w:r>
      <w:r>
        <w:rPr>
          <w:sz w:val="20"/>
        </w:rPr>
        <w:t>programas</w:t>
      </w:r>
      <w:r>
        <w:rPr>
          <w:spacing w:val="-3"/>
          <w:sz w:val="20"/>
        </w:rPr>
        <w:t> </w:t>
      </w:r>
      <w:r>
        <w:rPr>
          <w:sz w:val="20"/>
        </w:rPr>
        <w:t>gubernamentales</w:t>
      </w:r>
      <w:r>
        <w:rPr>
          <w:spacing w:val="-3"/>
          <w:sz w:val="20"/>
        </w:rPr>
        <w:t> </w:t>
      </w:r>
      <w:r>
        <w:rPr>
          <w:sz w:val="20"/>
        </w:rPr>
        <w:t>de</w:t>
      </w:r>
      <w:r>
        <w:rPr>
          <w:spacing w:val="-4"/>
          <w:sz w:val="20"/>
        </w:rPr>
        <w:t> </w:t>
      </w:r>
      <w:r>
        <w:rPr>
          <w:sz w:val="20"/>
        </w:rPr>
        <w:t>financiamiento,</w:t>
      </w:r>
      <w:r>
        <w:rPr>
          <w:spacing w:val="-4"/>
          <w:sz w:val="20"/>
        </w:rPr>
        <w:t> </w:t>
      </w:r>
      <w:r>
        <w:rPr>
          <w:sz w:val="20"/>
        </w:rPr>
        <w:t>asesoría,</w:t>
      </w:r>
      <w:r>
        <w:rPr>
          <w:spacing w:val="-4"/>
          <w:sz w:val="20"/>
        </w:rPr>
        <w:t> </w:t>
      </w:r>
      <w:r>
        <w:rPr>
          <w:sz w:val="20"/>
        </w:rPr>
        <w:t>apoyo y</w:t>
      </w:r>
      <w:r>
        <w:rPr>
          <w:spacing w:val="-7"/>
          <w:sz w:val="20"/>
        </w:rPr>
        <w:t> </w:t>
      </w:r>
      <w:r>
        <w:rPr>
          <w:sz w:val="20"/>
        </w:rPr>
        <w:t>certificación</w:t>
      </w:r>
      <w:r>
        <w:rPr>
          <w:spacing w:val="-5"/>
          <w:sz w:val="20"/>
        </w:rPr>
        <w:t> </w:t>
      </w:r>
      <w:r>
        <w:rPr>
          <w:sz w:val="20"/>
        </w:rPr>
        <w:t>para</w:t>
      </w:r>
      <w:r>
        <w:rPr>
          <w:spacing w:val="-2"/>
          <w:sz w:val="20"/>
        </w:rPr>
        <w:t> </w:t>
      </w:r>
      <w:r>
        <w:rPr>
          <w:sz w:val="20"/>
        </w:rPr>
        <w:t>el aumento de la productividad;</w:t>
      </w:r>
    </w:p>
    <w:p>
      <w:pPr>
        <w:pStyle w:val="ListParagraph"/>
        <w:numPr>
          <w:ilvl w:val="0"/>
          <w:numId w:val="41"/>
        </w:numPr>
        <w:tabs>
          <w:tab w:pos="1195" w:val="left" w:leader="none"/>
        </w:tabs>
        <w:spacing w:line="240" w:lineRule="auto" w:before="224" w:after="0"/>
        <w:ind w:left="1195" w:right="0" w:hanging="569"/>
        <w:jc w:val="left"/>
        <w:rPr>
          <w:sz w:val="20"/>
        </w:rPr>
      </w:pPr>
      <w:r>
        <w:rPr>
          <w:sz w:val="20"/>
        </w:rPr>
        <w:t>Mejorar</w:t>
      </w:r>
      <w:r>
        <w:rPr>
          <w:spacing w:val="-8"/>
          <w:sz w:val="20"/>
        </w:rPr>
        <w:t> </w:t>
      </w:r>
      <w:r>
        <w:rPr>
          <w:sz w:val="20"/>
        </w:rPr>
        <w:t>los</w:t>
      </w:r>
      <w:r>
        <w:rPr>
          <w:spacing w:val="-7"/>
          <w:sz w:val="20"/>
        </w:rPr>
        <w:t> </w:t>
      </w:r>
      <w:r>
        <w:rPr>
          <w:sz w:val="20"/>
        </w:rPr>
        <w:t>sistemas</w:t>
      </w:r>
      <w:r>
        <w:rPr>
          <w:spacing w:val="-7"/>
          <w:sz w:val="20"/>
        </w:rPr>
        <w:t> </w:t>
      </w:r>
      <w:r>
        <w:rPr>
          <w:sz w:val="20"/>
        </w:rPr>
        <w:t>de</w:t>
      </w:r>
      <w:r>
        <w:rPr>
          <w:spacing w:val="-9"/>
          <w:sz w:val="20"/>
        </w:rPr>
        <w:t> </w:t>
      </w:r>
      <w:r>
        <w:rPr>
          <w:sz w:val="20"/>
        </w:rPr>
        <w:t>coordinación</w:t>
      </w:r>
      <w:r>
        <w:rPr>
          <w:spacing w:val="-8"/>
          <w:sz w:val="20"/>
        </w:rPr>
        <w:t> </w:t>
      </w:r>
      <w:r>
        <w:rPr>
          <w:sz w:val="20"/>
        </w:rPr>
        <w:t>entre</w:t>
      </w:r>
      <w:r>
        <w:rPr>
          <w:spacing w:val="-9"/>
          <w:sz w:val="20"/>
        </w:rPr>
        <w:t> </w:t>
      </w:r>
      <w:r>
        <w:rPr>
          <w:sz w:val="20"/>
        </w:rPr>
        <w:t>trabajadores,</w:t>
      </w:r>
      <w:r>
        <w:rPr>
          <w:spacing w:val="-8"/>
          <w:sz w:val="20"/>
        </w:rPr>
        <w:t> </w:t>
      </w:r>
      <w:r>
        <w:rPr>
          <w:sz w:val="20"/>
        </w:rPr>
        <w:t>empresa,</w:t>
      </w:r>
      <w:r>
        <w:rPr>
          <w:spacing w:val="-8"/>
          <w:sz w:val="20"/>
        </w:rPr>
        <w:t> </w:t>
      </w:r>
      <w:r>
        <w:rPr>
          <w:sz w:val="20"/>
        </w:rPr>
        <w:t>gobiernos</w:t>
      </w:r>
      <w:r>
        <w:rPr>
          <w:spacing w:val="-3"/>
          <w:sz w:val="20"/>
        </w:rPr>
        <w:t> </w:t>
      </w:r>
      <w:r>
        <w:rPr>
          <w:sz w:val="20"/>
        </w:rPr>
        <w:t>y</w:t>
      </w:r>
      <w:r>
        <w:rPr>
          <w:spacing w:val="-11"/>
          <w:sz w:val="20"/>
        </w:rPr>
        <w:t> </w:t>
      </w:r>
      <w:r>
        <w:rPr>
          <w:spacing w:val="-2"/>
          <w:sz w:val="20"/>
        </w:rPr>
        <w:t>academia;</w:t>
      </w:r>
    </w:p>
    <w:p>
      <w:pPr>
        <w:pStyle w:val="BodyText"/>
      </w:pPr>
    </w:p>
    <w:p>
      <w:pPr>
        <w:pStyle w:val="ListParagraph"/>
        <w:numPr>
          <w:ilvl w:val="0"/>
          <w:numId w:val="41"/>
        </w:numPr>
        <w:tabs>
          <w:tab w:pos="1195" w:val="left" w:leader="none"/>
        </w:tabs>
        <w:spacing w:line="242" w:lineRule="auto" w:before="1" w:after="0"/>
        <w:ind w:left="1195" w:right="340" w:hanging="569"/>
        <w:jc w:val="both"/>
        <w:rPr>
          <w:sz w:val="20"/>
        </w:rPr>
      </w:pPr>
      <w:r>
        <w:rPr>
          <w:sz w:val="20"/>
        </w:rPr>
        <w:t>Establecer compromisos para elevar la productividad por parte de los empresarios,</w:t>
      </w:r>
      <w:r>
        <w:rPr>
          <w:spacing w:val="40"/>
          <w:sz w:val="20"/>
        </w:rPr>
        <w:t> </w:t>
      </w:r>
      <w:r>
        <w:rPr>
          <w:sz w:val="20"/>
        </w:rPr>
        <w:t>trabajadores, sindicatos, gobiernos y academia;</w:t>
      </w:r>
    </w:p>
    <w:p>
      <w:pPr>
        <w:pStyle w:val="ListParagraph"/>
        <w:numPr>
          <w:ilvl w:val="0"/>
          <w:numId w:val="41"/>
        </w:numPr>
        <w:tabs>
          <w:tab w:pos="1195" w:val="left" w:leader="none"/>
        </w:tabs>
        <w:spacing w:line="240" w:lineRule="auto" w:before="226" w:after="0"/>
        <w:ind w:left="1195" w:right="0" w:hanging="569"/>
        <w:jc w:val="left"/>
        <w:rPr>
          <w:sz w:val="20"/>
        </w:rPr>
      </w:pPr>
      <w:r>
        <w:rPr>
          <w:sz w:val="20"/>
        </w:rPr>
        <w:t>Evaluar</w:t>
      </w:r>
      <w:r>
        <w:rPr>
          <w:spacing w:val="-9"/>
          <w:sz w:val="20"/>
        </w:rPr>
        <w:t> </w:t>
      </w:r>
      <w:r>
        <w:rPr>
          <w:sz w:val="20"/>
        </w:rPr>
        <w:t>periódicamente</w:t>
      </w:r>
      <w:r>
        <w:rPr>
          <w:spacing w:val="-9"/>
          <w:sz w:val="20"/>
        </w:rPr>
        <w:t> </w:t>
      </w:r>
      <w:r>
        <w:rPr>
          <w:sz w:val="20"/>
        </w:rPr>
        <w:t>el</w:t>
      </w:r>
      <w:r>
        <w:rPr>
          <w:spacing w:val="-4"/>
          <w:sz w:val="20"/>
        </w:rPr>
        <w:t> </w:t>
      </w:r>
      <w:r>
        <w:rPr>
          <w:sz w:val="20"/>
        </w:rPr>
        <w:t>desarrollo</w:t>
      </w:r>
      <w:r>
        <w:rPr>
          <w:spacing w:val="-5"/>
          <w:sz w:val="20"/>
        </w:rPr>
        <w:t> </w:t>
      </w:r>
      <w:r>
        <w:rPr>
          <w:sz w:val="20"/>
        </w:rPr>
        <w:t>y</w:t>
      </w:r>
      <w:r>
        <w:rPr>
          <w:spacing w:val="-10"/>
          <w:sz w:val="20"/>
        </w:rPr>
        <w:t> </w:t>
      </w:r>
      <w:r>
        <w:rPr>
          <w:sz w:val="20"/>
        </w:rPr>
        <w:t>cumplimiento</w:t>
      </w:r>
      <w:r>
        <w:rPr>
          <w:spacing w:val="-9"/>
          <w:sz w:val="20"/>
        </w:rPr>
        <w:t> </w:t>
      </w:r>
      <w:r>
        <w:rPr>
          <w:sz w:val="20"/>
        </w:rPr>
        <w:t>de</w:t>
      </w:r>
      <w:r>
        <w:rPr>
          <w:spacing w:val="-8"/>
          <w:sz w:val="20"/>
        </w:rPr>
        <w:t> </w:t>
      </w:r>
      <w:r>
        <w:rPr>
          <w:sz w:val="20"/>
        </w:rPr>
        <w:t>los</w:t>
      </w:r>
      <w:r>
        <w:rPr>
          <w:spacing w:val="-6"/>
          <w:sz w:val="20"/>
        </w:rPr>
        <w:t> </w:t>
      </w:r>
      <w:r>
        <w:rPr>
          <w:spacing w:val="-2"/>
          <w:sz w:val="20"/>
        </w:rPr>
        <w:t>programas;</w:t>
      </w:r>
    </w:p>
    <w:p>
      <w:pPr>
        <w:pStyle w:val="ListParagraph"/>
        <w:numPr>
          <w:ilvl w:val="0"/>
          <w:numId w:val="41"/>
        </w:numPr>
        <w:tabs>
          <w:tab w:pos="1195" w:val="left" w:leader="none"/>
        </w:tabs>
        <w:spacing w:line="240" w:lineRule="auto" w:before="229" w:after="0"/>
        <w:ind w:left="1195" w:right="0" w:hanging="569"/>
        <w:jc w:val="left"/>
        <w:rPr>
          <w:sz w:val="20"/>
        </w:rPr>
      </w:pPr>
      <w:r>
        <w:rPr>
          <w:sz w:val="20"/>
        </w:rPr>
        <w:t>Mejorar</w:t>
      </w:r>
      <w:r>
        <w:rPr>
          <w:spacing w:val="-6"/>
          <w:sz w:val="20"/>
        </w:rPr>
        <w:t> </w:t>
      </w:r>
      <w:r>
        <w:rPr>
          <w:sz w:val="20"/>
        </w:rPr>
        <w:t>las</w:t>
      </w:r>
      <w:r>
        <w:rPr>
          <w:spacing w:val="-6"/>
          <w:sz w:val="20"/>
        </w:rPr>
        <w:t> </w:t>
      </w:r>
      <w:r>
        <w:rPr>
          <w:sz w:val="20"/>
        </w:rPr>
        <w:t>condiciones</w:t>
      </w:r>
      <w:r>
        <w:rPr>
          <w:spacing w:val="-6"/>
          <w:sz w:val="20"/>
        </w:rPr>
        <w:t> </w:t>
      </w:r>
      <w:r>
        <w:rPr>
          <w:sz w:val="20"/>
        </w:rPr>
        <w:t>de</w:t>
      </w:r>
      <w:r>
        <w:rPr>
          <w:spacing w:val="-6"/>
          <w:sz w:val="20"/>
        </w:rPr>
        <w:t> </w:t>
      </w:r>
      <w:r>
        <w:rPr>
          <w:sz w:val="20"/>
        </w:rPr>
        <w:t>trabajo,</w:t>
      </w:r>
      <w:r>
        <w:rPr>
          <w:spacing w:val="-7"/>
          <w:sz w:val="20"/>
        </w:rPr>
        <w:t> </w:t>
      </w:r>
      <w:r>
        <w:rPr>
          <w:sz w:val="20"/>
        </w:rPr>
        <w:t>así</w:t>
      </w:r>
      <w:r>
        <w:rPr>
          <w:spacing w:val="-7"/>
          <w:sz w:val="20"/>
        </w:rPr>
        <w:t> </w:t>
      </w:r>
      <w:r>
        <w:rPr>
          <w:sz w:val="20"/>
        </w:rPr>
        <w:t>como</w:t>
      </w:r>
      <w:r>
        <w:rPr>
          <w:spacing w:val="-7"/>
          <w:sz w:val="20"/>
        </w:rPr>
        <w:t> </w:t>
      </w:r>
      <w:r>
        <w:rPr>
          <w:sz w:val="20"/>
        </w:rPr>
        <w:t>las</w:t>
      </w:r>
      <w:r>
        <w:rPr>
          <w:spacing w:val="-6"/>
          <w:sz w:val="20"/>
        </w:rPr>
        <w:t> </w:t>
      </w:r>
      <w:r>
        <w:rPr>
          <w:sz w:val="20"/>
        </w:rPr>
        <w:t>medidas</w:t>
      </w:r>
      <w:r>
        <w:rPr>
          <w:spacing w:val="-6"/>
          <w:sz w:val="20"/>
        </w:rPr>
        <w:t> </w:t>
      </w:r>
      <w:r>
        <w:rPr>
          <w:sz w:val="20"/>
        </w:rPr>
        <w:t>de</w:t>
      </w:r>
      <w:r>
        <w:rPr>
          <w:spacing w:val="-6"/>
          <w:sz w:val="20"/>
        </w:rPr>
        <w:t> </w:t>
      </w:r>
      <w:r>
        <w:rPr>
          <w:sz w:val="20"/>
        </w:rPr>
        <w:t>Seguridad</w:t>
      </w:r>
      <w:r>
        <w:rPr>
          <w:spacing w:val="-7"/>
          <w:sz w:val="20"/>
        </w:rPr>
        <w:t> </w:t>
      </w:r>
      <w:r>
        <w:rPr>
          <w:sz w:val="20"/>
        </w:rPr>
        <w:t>e</w:t>
      </w:r>
      <w:r>
        <w:rPr>
          <w:spacing w:val="-5"/>
          <w:sz w:val="20"/>
        </w:rPr>
        <w:t> </w:t>
      </w:r>
      <w:r>
        <w:rPr>
          <w:spacing w:val="-2"/>
          <w:sz w:val="20"/>
        </w:rPr>
        <w:t>Higiene;</w:t>
      </w:r>
    </w:p>
    <w:p>
      <w:pPr>
        <w:pStyle w:val="BodyText"/>
        <w:spacing w:before="1"/>
      </w:pPr>
    </w:p>
    <w:p>
      <w:pPr>
        <w:pStyle w:val="ListParagraph"/>
        <w:numPr>
          <w:ilvl w:val="0"/>
          <w:numId w:val="41"/>
        </w:numPr>
        <w:tabs>
          <w:tab w:pos="1195" w:val="left" w:leader="none"/>
        </w:tabs>
        <w:spacing w:line="240" w:lineRule="auto" w:before="0" w:after="0"/>
        <w:ind w:left="1195" w:right="342" w:hanging="569"/>
        <w:jc w:val="both"/>
        <w:rPr>
          <w:sz w:val="20"/>
        </w:rPr>
      </w:pPr>
      <w:r>
        <w:rPr>
          <w:sz w:val="20"/>
        </w:rPr>
        <w:t>Implementar sistemas que permitan determinar en forma y monto apropiados los incentivos, bonos o comisiones derivados de la contribución de los trabajadores a la elevación de la productividad que se acuerde con los sindicatos y los trabajadores; y</w:t>
      </w:r>
    </w:p>
    <w:p>
      <w:pPr>
        <w:pStyle w:val="ListParagraph"/>
        <w:numPr>
          <w:ilvl w:val="0"/>
          <w:numId w:val="41"/>
        </w:numPr>
        <w:tabs>
          <w:tab w:pos="1195" w:val="left" w:leader="none"/>
        </w:tabs>
        <w:spacing w:line="240" w:lineRule="auto" w:before="229" w:after="0"/>
        <w:ind w:left="1195" w:right="0" w:hanging="569"/>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se</w:t>
      </w:r>
      <w:r>
        <w:rPr>
          <w:spacing w:val="-5"/>
          <w:sz w:val="20"/>
        </w:rPr>
        <w:t> </w:t>
      </w:r>
      <w:r>
        <w:rPr>
          <w:sz w:val="20"/>
        </w:rPr>
        <w:t>acuerden</w:t>
      </w:r>
      <w:r>
        <w:rPr>
          <w:spacing w:val="-5"/>
          <w:sz w:val="20"/>
        </w:rPr>
        <w:t> </w:t>
      </w:r>
      <w:r>
        <w:rPr>
          <w:sz w:val="20"/>
        </w:rPr>
        <w:t>y</w:t>
      </w:r>
      <w:r>
        <w:rPr>
          <w:spacing w:val="-9"/>
          <w:sz w:val="20"/>
        </w:rPr>
        <w:t> </w:t>
      </w:r>
      <w:r>
        <w:rPr>
          <w:sz w:val="20"/>
        </w:rPr>
        <w:t>se</w:t>
      </w:r>
      <w:r>
        <w:rPr>
          <w:spacing w:val="-5"/>
          <w:sz w:val="20"/>
        </w:rPr>
        <w:t> </w:t>
      </w:r>
      <w:r>
        <w:rPr>
          <w:sz w:val="20"/>
        </w:rPr>
        <w:t>consideren</w:t>
      </w:r>
      <w:r>
        <w:rPr>
          <w:spacing w:val="-4"/>
          <w:sz w:val="20"/>
        </w:rPr>
        <w:t> </w:t>
      </w:r>
      <w:r>
        <w:rPr>
          <w:spacing w:val="-2"/>
          <w:sz w:val="20"/>
        </w:rPr>
        <w:t>pertinentes.</w:t>
      </w:r>
    </w:p>
    <w:p>
      <w:pPr>
        <w:pStyle w:val="BodyText"/>
        <w:spacing w:before="3"/>
      </w:pPr>
    </w:p>
    <w:p>
      <w:pPr>
        <w:pStyle w:val="BodyText"/>
        <w:spacing w:before="1"/>
        <w:ind w:left="338" w:right="338" w:firstLine="288"/>
        <w:jc w:val="both"/>
      </w:pPr>
      <w:r>
        <w:rPr/>
        <w:t>Los programas establecidos en este artículo podrán formularse respecto de varias empresas, por actividad o servicio, una o varias ramas industriales o de servicios, por entidades federativas, región o a nivel nacional.</w:t>
      </w:r>
    </w:p>
    <w:p>
      <w:pPr>
        <w:spacing w:line="180"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40" w:firstLine="288"/>
        <w:jc w:val="both"/>
      </w:pPr>
      <w:bookmarkStart w:name="Artículo_153_K" w:id="184"/>
      <w:bookmarkEnd w:id="184"/>
      <w:r>
        <w:rPr/>
      </w:r>
      <w:r>
        <w:rPr>
          <w:rFonts w:ascii="Arial" w:hAnsi="Arial"/>
          <w:b/>
        </w:rPr>
        <w:t>Artículo 153-K.- </w:t>
      </w:r>
      <w:r>
        <w:rPr/>
        <w:t>La Secretaría del Trabajo y Previsión Social en conjunto con la Secretaría de Economía, convocarán a los patrones, sindicatos, trabajadores e instituciones académicas para que constituyan el Comité Nacional de Concertación y Productividad, que tendrán el carácter de órgano consultivo y auxiliar del Ejecutivo Federal y de la planta productiva.</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ind w:left="338" w:right="342" w:firstLine="288"/>
      </w:pPr>
      <w:r>
        <w:rPr/>
        <w:t>El</w:t>
      </w:r>
      <w:r>
        <w:rPr>
          <w:spacing w:val="-2"/>
        </w:rPr>
        <w:t> </w:t>
      </w:r>
      <w:r>
        <w:rPr/>
        <w:t>Comité</w:t>
      </w:r>
      <w:r>
        <w:rPr>
          <w:spacing w:val="-1"/>
        </w:rPr>
        <w:t> </w:t>
      </w:r>
      <w:r>
        <w:rPr/>
        <w:t>Nacional de</w:t>
      </w:r>
      <w:r>
        <w:rPr>
          <w:spacing w:val="-2"/>
        </w:rPr>
        <w:t> </w:t>
      </w:r>
      <w:r>
        <w:rPr/>
        <w:t>Concertación y</w:t>
      </w:r>
      <w:r>
        <w:rPr>
          <w:spacing w:val="-4"/>
        </w:rPr>
        <w:t> </w:t>
      </w:r>
      <w:r>
        <w:rPr/>
        <w:t>Productividad</w:t>
      </w:r>
      <w:r>
        <w:rPr>
          <w:spacing w:val="-2"/>
        </w:rPr>
        <w:t> </w:t>
      </w:r>
      <w:r>
        <w:rPr/>
        <w:t>se</w:t>
      </w:r>
      <w:r>
        <w:rPr>
          <w:spacing w:val="-1"/>
        </w:rPr>
        <w:t> </w:t>
      </w:r>
      <w:r>
        <w:rPr/>
        <w:t>reunirá</w:t>
      </w:r>
      <w:r>
        <w:rPr>
          <w:spacing w:val="-1"/>
        </w:rPr>
        <w:t> </w:t>
      </w:r>
      <w:r>
        <w:rPr/>
        <w:t>por lo</w:t>
      </w:r>
      <w:r>
        <w:rPr>
          <w:spacing w:val="-1"/>
        </w:rPr>
        <w:t> </w:t>
      </w:r>
      <w:r>
        <w:rPr/>
        <w:t>menos cada</w:t>
      </w:r>
      <w:r>
        <w:rPr>
          <w:spacing w:val="-1"/>
        </w:rPr>
        <w:t> </w:t>
      </w:r>
      <w:r>
        <w:rPr/>
        <w:t>dos meses y tendrá las facultades que enseguida se enumeran: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42"/>
        </w:numPr>
        <w:tabs>
          <w:tab w:pos="1193" w:val="left" w:leader="none"/>
          <w:tab w:pos="1195" w:val="left" w:leader="none"/>
        </w:tabs>
        <w:spacing w:line="240" w:lineRule="auto" w:before="0" w:after="0"/>
        <w:ind w:left="1195" w:right="338" w:hanging="569"/>
        <w:jc w:val="both"/>
        <w:rPr>
          <w:sz w:val="20"/>
        </w:rPr>
      </w:pPr>
      <w:r>
        <w:rPr>
          <w:sz w:val="20"/>
        </w:rPr>
        <w:t>Realizar el diagnóstico nacional e internacional de los requerimientos necesarios para elevar la productividad y la competitividad en cada sector y rama de la producción, impulsar la capacitación y el adiestramiento, así como la inversión en el equipo y la forma de organización que se requiera para aumentar la productividad, proponiendo planes por rama, y vincular los salarios a la calificación y competencias adquiridas, así como a la evolución de la productividad de la empresa en función de las mejores prácticas tecnológicas y organizativas que</w:t>
      </w:r>
      <w:r>
        <w:rPr>
          <w:spacing w:val="40"/>
          <w:sz w:val="20"/>
        </w:rPr>
        <w:t> </w:t>
      </w:r>
      <w:r>
        <w:rPr>
          <w:sz w:val="20"/>
        </w:rPr>
        <w:t>incrementen la productividad tomando en cuenta su grado de desarrollo actual;</w:t>
      </w:r>
    </w:p>
    <w:p>
      <w:pPr>
        <w:pStyle w:val="ListParagraph"/>
        <w:numPr>
          <w:ilvl w:val="0"/>
          <w:numId w:val="42"/>
        </w:numPr>
        <w:tabs>
          <w:tab w:pos="1192" w:val="left" w:leader="none"/>
          <w:tab w:pos="1195" w:val="left" w:leader="none"/>
        </w:tabs>
        <w:spacing w:line="242" w:lineRule="auto" w:before="229" w:after="0"/>
        <w:ind w:left="1195" w:right="341" w:hanging="569"/>
        <w:jc w:val="both"/>
        <w:rPr>
          <w:sz w:val="20"/>
        </w:rPr>
      </w:pPr>
      <w:r>
        <w:rPr>
          <w:sz w:val="20"/>
        </w:rPr>
        <w:t>Colaborar en la elaboración y actualización permanente del Catálogo Nacional de Ocupaciones y en los estudios sobre las características de la tecnología, maquinaria y</w:t>
      </w:r>
      <w:r>
        <w:rPr>
          <w:spacing w:val="-3"/>
          <w:sz w:val="20"/>
        </w:rPr>
        <w:t> </w:t>
      </w:r>
      <w:r>
        <w:rPr>
          <w:sz w:val="20"/>
        </w:rPr>
        <w:t>equipo en existencia y uso, así como de las competencias laborales requeridas en las actividades correspondientes a las ramas industriales o de servicios;</w:t>
      </w:r>
    </w:p>
    <w:p>
      <w:pPr>
        <w:pStyle w:val="ListParagraph"/>
        <w:numPr>
          <w:ilvl w:val="0"/>
          <w:numId w:val="42"/>
        </w:numPr>
        <w:tabs>
          <w:tab w:pos="1191" w:val="left" w:leader="none"/>
          <w:tab w:pos="1195" w:val="left" w:leader="none"/>
        </w:tabs>
        <w:spacing w:line="242" w:lineRule="auto" w:before="221" w:after="0"/>
        <w:ind w:left="1195" w:right="342" w:hanging="569"/>
        <w:jc w:val="both"/>
        <w:rPr>
          <w:sz w:val="20"/>
        </w:rPr>
      </w:pPr>
      <w:r>
        <w:rPr>
          <w:sz w:val="20"/>
        </w:rPr>
        <w:t>Sugerir alternativas tecnológicas y de organización del trabajo para elevar la productividad en función de las mejores prácticas y en correspondencia con el nivel de desarrollo de las </w:t>
      </w:r>
      <w:r>
        <w:rPr>
          <w:spacing w:val="-2"/>
          <w:sz w:val="20"/>
        </w:rPr>
        <w:t>empresas;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3"/>
      </w:pPr>
    </w:p>
    <w:p>
      <w:pPr>
        <w:pStyle w:val="ListParagraph"/>
        <w:numPr>
          <w:ilvl w:val="0"/>
          <w:numId w:val="42"/>
        </w:numPr>
        <w:tabs>
          <w:tab w:pos="1195" w:val="left" w:leader="none"/>
        </w:tabs>
        <w:spacing w:line="242" w:lineRule="auto" w:before="0" w:after="0"/>
        <w:ind w:left="1195" w:right="343" w:hanging="569"/>
        <w:jc w:val="both"/>
        <w:rPr>
          <w:sz w:val="20"/>
        </w:rPr>
      </w:pPr>
      <w:r>
        <w:rPr>
          <w:sz w:val="20"/>
        </w:rPr>
        <w:t>Formular recomendaciones de planes y programas de capacitación y adiestramiento que permitan elevar la productividad;</w:t>
      </w:r>
    </w:p>
    <w:p>
      <w:pPr>
        <w:pStyle w:val="ListParagraph"/>
        <w:numPr>
          <w:ilvl w:val="0"/>
          <w:numId w:val="42"/>
        </w:numPr>
        <w:tabs>
          <w:tab w:pos="1195" w:val="left" w:leader="none"/>
        </w:tabs>
        <w:spacing w:line="242" w:lineRule="auto" w:before="227" w:after="0"/>
        <w:ind w:left="1195" w:right="346" w:hanging="569"/>
        <w:jc w:val="both"/>
        <w:rPr>
          <w:sz w:val="20"/>
        </w:rPr>
      </w:pPr>
      <w:r>
        <w:rPr>
          <w:sz w:val="20"/>
        </w:rPr>
        <w:t>Estudiar mecanismos y</w:t>
      </w:r>
      <w:r>
        <w:rPr>
          <w:spacing w:val="-1"/>
          <w:sz w:val="20"/>
        </w:rPr>
        <w:t> </w:t>
      </w:r>
      <w:r>
        <w:rPr>
          <w:sz w:val="20"/>
        </w:rPr>
        <w:t>nuevas formas de remuneración que vinculen los salarios y, en general el ingreso de los trabajadores, a los beneficios de la productividad;</w:t>
      </w:r>
    </w:p>
    <w:p>
      <w:pPr>
        <w:pStyle w:val="ListParagraph"/>
        <w:numPr>
          <w:ilvl w:val="0"/>
          <w:numId w:val="42"/>
        </w:numPr>
        <w:tabs>
          <w:tab w:pos="1195" w:val="left" w:leader="none"/>
        </w:tabs>
        <w:spacing w:line="242" w:lineRule="auto" w:before="224" w:after="0"/>
        <w:ind w:left="1195" w:right="335" w:hanging="569"/>
        <w:jc w:val="both"/>
        <w:rPr>
          <w:sz w:val="20"/>
        </w:rPr>
      </w:pPr>
      <w:r>
        <w:rPr>
          <w:sz w:val="20"/>
        </w:rPr>
        <w:t>Evaluar los efectos de las acciones de capacitación y adiestramiento en la productividad dentro de las ramas industriales o actividades específicas de que se trate;</w:t>
      </w:r>
    </w:p>
    <w:p>
      <w:pPr>
        <w:pStyle w:val="ListParagraph"/>
        <w:numPr>
          <w:ilvl w:val="0"/>
          <w:numId w:val="42"/>
        </w:numPr>
        <w:tabs>
          <w:tab w:pos="1193" w:val="left" w:leader="none"/>
          <w:tab w:pos="1195" w:val="left" w:leader="none"/>
        </w:tabs>
        <w:spacing w:line="240" w:lineRule="auto" w:before="226" w:after="0"/>
        <w:ind w:left="1195" w:right="337" w:hanging="569"/>
        <w:jc w:val="both"/>
        <w:rPr>
          <w:sz w:val="20"/>
        </w:rPr>
      </w:pPr>
      <w:r>
        <w:rPr>
          <w:sz w:val="20"/>
        </w:rPr>
        <w:t>Proponer a la Secretaría del Trabajo y Previsión Social la expedición de normas técnicas de competencia laboral y, en su caso, los procedimientos para su evaluación, acreditación y certificación, respecto de aquellas actividades productivas en las que no exista una norma </w:t>
      </w:r>
      <w:r>
        <w:rPr>
          <w:spacing w:val="-2"/>
          <w:sz w:val="20"/>
        </w:rPr>
        <w:t>determinada;</w:t>
      </w:r>
    </w:p>
    <w:p>
      <w:pPr>
        <w:pStyle w:val="BodyText"/>
        <w:spacing w:before="1"/>
      </w:pPr>
    </w:p>
    <w:p>
      <w:pPr>
        <w:pStyle w:val="ListParagraph"/>
        <w:numPr>
          <w:ilvl w:val="0"/>
          <w:numId w:val="42"/>
        </w:numPr>
        <w:tabs>
          <w:tab w:pos="1193" w:val="left" w:leader="none"/>
          <w:tab w:pos="1195" w:val="left" w:leader="none"/>
        </w:tabs>
        <w:spacing w:line="242" w:lineRule="auto" w:before="0" w:after="0"/>
        <w:ind w:left="1195" w:right="344" w:hanging="569"/>
        <w:jc w:val="both"/>
        <w:rPr>
          <w:sz w:val="20"/>
        </w:rPr>
      </w:pPr>
      <w:r>
        <w:rPr>
          <w:sz w:val="20"/>
        </w:rPr>
        <w:t>Gestionar ante la autoridad laboral el registro de las constancias relativas a conocimientos o habilidades de los trabajadores que hayan satisfecho los requisitos legales exigidos para tal </w:t>
      </w:r>
      <w:r>
        <w:rPr>
          <w:spacing w:val="-2"/>
          <w:sz w:val="20"/>
        </w:rPr>
        <w:t>efecto;</w:t>
      </w:r>
    </w:p>
    <w:p>
      <w:pPr>
        <w:pStyle w:val="ListParagraph"/>
        <w:numPr>
          <w:ilvl w:val="0"/>
          <w:numId w:val="42"/>
        </w:numPr>
        <w:tabs>
          <w:tab w:pos="1195" w:val="left" w:leader="none"/>
        </w:tabs>
        <w:spacing w:line="240" w:lineRule="auto" w:before="222" w:after="0"/>
        <w:ind w:left="1195" w:right="0" w:hanging="569"/>
        <w:jc w:val="left"/>
        <w:rPr>
          <w:sz w:val="20"/>
        </w:rPr>
      </w:pPr>
      <w:r>
        <w:rPr>
          <w:sz w:val="20"/>
        </w:rPr>
        <w:t>Elaborar</w:t>
      </w:r>
      <w:r>
        <w:rPr>
          <w:spacing w:val="-4"/>
          <w:sz w:val="20"/>
        </w:rPr>
        <w:t> </w:t>
      </w:r>
      <w:r>
        <w:rPr>
          <w:sz w:val="20"/>
        </w:rPr>
        <w:t>e</w:t>
      </w:r>
      <w:r>
        <w:rPr>
          <w:spacing w:val="-7"/>
          <w:sz w:val="20"/>
        </w:rPr>
        <w:t> </w:t>
      </w:r>
      <w:r>
        <w:rPr>
          <w:sz w:val="20"/>
        </w:rPr>
        <w:t>implementar</w:t>
      </w:r>
      <w:r>
        <w:rPr>
          <w:spacing w:val="-7"/>
          <w:sz w:val="20"/>
        </w:rPr>
        <w:t> </w:t>
      </w:r>
      <w:r>
        <w:rPr>
          <w:sz w:val="20"/>
        </w:rPr>
        <w:t>los</w:t>
      </w:r>
      <w:r>
        <w:rPr>
          <w:spacing w:val="-4"/>
          <w:sz w:val="20"/>
        </w:rPr>
        <w:t> </w:t>
      </w:r>
      <w:r>
        <w:rPr>
          <w:sz w:val="20"/>
        </w:rPr>
        <w:t>programas</w:t>
      </w:r>
      <w:r>
        <w:rPr>
          <w:spacing w:val="-6"/>
          <w:sz w:val="20"/>
        </w:rPr>
        <w:t> </w:t>
      </w:r>
      <w:r>
        <w:rPr>
          <w:sz w:val="20"/>
        </w:rPr>
        <w:t>a</w:t>
      </w:r>
      <w:r>
        <w:rPr>
          <w:spacing w:val="-7"/>
          <w:sz w:val="20"/>
        </w:rPr>
        <w:t> </w:t>
      </w:r>
      <w:r>
        <w:rPr>
          <w:sz w:val="20"/>
        </w:rPr>
        <w:t>que</w:t>
      </w:r>
      <w:r>
        <w:rPr>
          <w:spacing w:val="-5"/>
          <w:sz w:val="20"/>
        </w:rPr>
        <w:t> </w:t>
      </w:r>
      <w:r>
        <w:rPr>
          <w:sz w:val="20"/>
        </w:rPr>
        <w:t>hace</w:t>
      </w:r>
      <w:r>
        <w:rPr>
          <w:spacing w:val="-7"/>
          <w:sz w:val="20"/>
        </w:rPr>
        <w:t> </w:t>
      </w:r>
      <w:r>
        <w:rPr>
          <w:sz w:val="20"/>
        </w:rPr>
        <w:t>referencia</w:t>
      </w:r>
      <w:r>
        <w:rPr>
          <w:spacing w:val="-6"/>
          <w:sz w:val="20"/>
        </w:rPr>
        <w:t> </w:t>
      </w:r>
      <w:r>
        <w:rPr>
          <w:sz w:val="20"/>
        </w:rPr>
        <w:t>el</w:t>
      </w:r>
      <w:r>
        <w:rPr>
          <w:spacing w:val="-6"/>
          <w:sz w:val="20"/>
        </w:rPr>
        <w:t> </w:t>
      </w:r>
      <w:r>
        <w:rPr>
          <w:sz w:val="20"/>
        </w:rPr>
        <w:t>artículo</w:t>
      </w:r>
      <w:r>
        <w:rPr>
          <w:spacing w:val="-5"/>
          <w:sz w:val="20"/>
        </w:rPr>
        <w:t> </w:t>
      </w:r>
      <w:r>
        <w:rPr>
          <w:spacing w:val="-2"/>
          <w:sz w:val="20"/>
        </w:rPr>
        <w:t>anterior;</w:t>
      </w:r>
    </w:p>
    <w:p>
      <w:pPr>
        <w:pStyle w:val="BodyText"/>
        <w:spacing w:before="1"/>
      </w:pPr>
    </w:p>
    <w:p>
      <w:pPr>
        <w:pStyle w:val="ListParagraph"/>
        <w:numPr>
          <w:ilvl w:val="0"/>
          <w:numId w:val="42"/>
        </w:numPr>
        <w:tabs>
          <w:tab w:pos="1195" w:val="left" w:leader="none"/>
        </w:tabs>
        <w:spacing w:line="240" w:lineRule="auto" w:before="0" w:after="0"/>
        <w:ind w:left="1195" w:right="0" w:hanging="569"/>
        <w:jc w:val="left"/>
        <w:rPr>
          <w:sz w:val="20"/>
        </w:rPr>
      </w:pPr>
      <w:r>
        <w:rPr>
          <w:sz w:val="20"/>
        </w:rPr>
        <w:t>Participar</w:t>
      </w:r>
      <w:r>
        <w:rPr>
          <w:spacing w:val="-5"/>
          <w:sz w:val="20"/>
        </w:rPr>
        <w:t> </w:t>
      </w:r>
      <w:r>
        <w:rPr>
          <w:sz w:val="20"/>
        </w:rPr>
        <w:t>en</w:t>
      </w:r>
      <w:r>
        <w:rPr>
          <w:spacing w:val="-7"/>
          <w:sz w:val="20"/>
        </w:rPr>
        <w:t> </w:t>
      </w:r>
      <w:r>
        <w:rPr>
          <w:sz w:val="20"/>
        </w:rPr>
        <w:t>la</w:t>
      </w:r>
      <w:r>
        <w:rPr>
          <w:spacing w:val="-8"/>
          <w:sz w:val="20"/>
        </w:rPr>
        <w:t> </w:t>
      </w:r>
      <w:r>
        <w:rPr>
          <w:sz w:val="20"/>
        </w:rPr>
        <w:t>elaboración</w:t>
      </w:r>
      <w:r>
        <w:rPr>
          <w:spacing w:val="-5"/>
          <w:sz w:val="20"/>
        </w:rPr>
        <w:t> </w:t>
      </w:r>
      <w:r>
        <w:rPr>
          <w:sz w:val="20"/>
        </w:rPr>
        <w:t>del</w:t>
      </w:r>
      <w:r>
        <w:rPr>
          <w:spacing w:val="-7"/>
          <w:sz w:val="20"/>
        </w:rPr>
        <w:t> </w:t>
      </w:r>
      <w:r>
        <w:rPr>
          <w:sz w:val="20"/>
        </w:rPr>
        <w:t>Plan</w:t>
      </w:r>
      <w:r>
        <w:rPr>
          <w:spacing w:val="-7"/>
          <w:sz w:val="20"/>
        </w:rPr>
        <w:t> </w:t>
      </w:r>
      <w:r>
        <w:rPr>
          <w:sz w:val="20"/>
        </w:rPr>
        <w:t>Nacional</w:t>
      </w:r>
      <w:r>
        <w:rPr>
          <w:spacing w:val="-8"/>
          <w:sz w:val="20"/>
        </w:rPr>
        <w:t> </w:t>
      </w:r>
      <w:r>
        <w:rPr>
          <w:sz w:val="20"/>
        </w:rPr>
        <w:t>de</w:t>
      </w:r>
      <w:r>
        <w:rPr>
          <w:spacing w:val="-8"/>
          <w:sz w:val="20"/>
        </w:rPr>
        <w:t> </w:t>
      </w:r>
      <w:r>
        <w:rPr>
          <w:spacing w:val="-2"/>
          <w:sz w:val="20"/>
        </w:rPr>
        <w:t>Desarrollo;</w:t>
      </w:r>
    </w:p>
    <w:p>
      <w:pPr>
        <w:pStyle w:val="BodyText"/>
        <w:spacing w:before="1"/>
      </w:pPr>
    </w:p>
    <w:p>
      <w:pPr>
        <w:pStyle w:val="ListParagraph"/>
        <w:numPr>
          <w:ilvl w:val="0"/>
          <w:numId w:val="42"/>
        </w:numPr>
        <w:tabs>
          <w:tab w:pos="1195" w:val="left" w:leader="none"/>
        </w:tabs>
        <w:spacing w:line="240" w:lineRule="auto" w:before="0" w:after="0"/>
        <w:ind w:left="1195" w:right="345" w:hanging="569"/>
        <w:jc w:val="both"/>
        <w:rPr>
          <w:sz w:val="20"/>
        </w:rPr>
      </w:pPr>
      <w:r>
        <w:rPr>
          <w:sz w:val="20"/>
        </w:rPr>
        <w:t>Emitir opinión y sugerir el destino y aplicación de recursos presupuestales orientados al incremento de la productividad; y</w:t>
      </w:r>
    </w:p>
    <w:p>
      <w:pPr>
        <w:pStyle w:val="ListParagraph"/>
        <w:numPr>
          <w:ilvl w:val="0"/>
          <w:numId w:val="42"/>
        </w:numPr>
        <w:tabs>
          <w:tab w:pos="1193" w:val="left" w:leader="none"/>
          <w:tab w:pos="1195" w:val="left" w:leader="none"/>
        </w:tabs>
        <w:spacing w:line="242" w:lineRule="auto" w:before="227" w:after="0"/>
        <w:ind w:left="1195" w:right="342" w:hanging="569"/>
        <w:jc w:val="both"/>
        <w:rPr>
          <w:sz w:val="20"/>
        </w:rPr>
      </w:pPr>
      <w:r>
        <w:rPr>
          <w:sz w:val="20"/>
        </w:rPr>
        <w:t>Emitir opinión respecto del desempeño en los procedimientos de conciliación y proponer metodologías que impulsen su eficacia y reduzcan la conflictividad laboral, con el fin de contribuir al fortalecimiento de los mecanismos alternativos;</w:t>
      </w:r>
    </w:p>
    <w:p>
      <w:pPr>
        <w:spacing w:line="178"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42"/>
        </w:numPr>
        <w:tabs>
          <w:tab w:pos="1193" w:val="left" w:leader="none"/>
          <w:tab w:pos="1195" w:val="left" w:leader="none"/>
        </w:tabs>
        <w:spacing w:line="242" w:lineRule="auto" w:before="0" w:after="0"/>
        <w:ind w:left="1195" w:right="340" w:hanging="569"/>
        <w:jc w:val="both"/>
        <w:rPr>
          <w:sz w:val="20"/>
        </w:rPr>
      </w:pPr>
      <w:r>
        <w:rPr>
          <w:sz w:val="20"/>
        </w:rPr>
        <w:t>Realizar diagnósticos sobre el desempeño de los trámites de registro y legitimación sindical, y sugerir cursos de acción que brinden mayor certeza, transparencia y confiabilidad de las actuaciones de la autoridad registral en materia de acreditación de representatividad sindical;</w:t>
      </w:r>
    </w:p>
    <w:p>
      <w:pPr>
        <w:spacing w:line="176"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42"/>
        </w:numPr>
        <w:tabs>
          <w:tab w:pos="1195" w:val="left" w:leader="none"/>
        </w:tabs>
        <w:spacing w:line="242" w:lineRule="auto" w:before="0" w:after="0"/>
        <w:ind w:left="1195" w:right="341" w:hanging="569"/>
        <w:jc w:val="both"/>
        <w:rPr>
          <w:sz w:val="20"/>
        </w:rPr>
      </w:pPr>
      <w:r>
        <w:rPr>
          <w:sz w:val="20"/>
        </w:rPr>
        <w:t>Realizar diagnósticos respecto de los procedimientos de legitimación y depósito de contratos colectivos de trabajo y su impacto en la productividad de las empresas; asimismo, emitir propuestas para promover la negociación colectiva;</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42"/>
        </w:numPr>
        <w:tabs>
          <w:tab w:pos="1195" w:val="left" w:leader="none"/>
        </w:tabs>
        <w:spacing w:line="240" w:lineRule="auto" w:before="0" w:after="0"/>
        <w:ind w:left="1195" w:right="0" w:hanging="569"/>
        <w:jc w:val="left"/>
        <w:rPr>
          <w:sz w:val="20"/>
        </w:rPr>
      </w:pPr>
      <w:r>
        <w:rPr>
          <w:sz w:val="20"/>
        </w:rPr>
        <w:t>Promover</w:t>
      </w:r>
      <w:r>
        <w:rPr>
          <w:spacing w:val="-8"/>
          <w:sz w:val="20"/>
        </w:rPr>
        <w:t> </w:t>
      </w:r>
      <w:r>
        <w:rPr>
          <w:sz w:val="20"/>
        </w:rPr>
        <w:t>el</w:t>
      </w:r>
      <w:r>
        <w:rPr>
          <w:spacing w:val="-7"/>
          <w:sz w:val="20"/>
        </w:rPr>
        <w:t> </w:t>
      </w:r>
      <w:r>
        <w:rPr>
          <w:sz w:val="20"/>
        </w:rPr>
        <w:t>diálogo</w:t>
      </w:r>
      <w:r>
        <w:rPr>
          <w:spacing w:val="-9"/>
          <w:sz w:val="20"/>
        </w:rPr>
        <w:t> </w:t>
      </w:r>
      <w:r>
        <w:rPr>
          <w:sz w:val="20"/>
        </w:rPr>
        <w:t>social</w:t>
      </w:r>
      <w:r>
        <w:rPr>
          <w:spacing w:val="-5"/>
          <w:sz w:val="20"/>
        </w:rPr>
        <w:t> </w:t>
      </w:r>
      <w:r>
        <w:rPr>
          <w:sz w:val="20"/>
        </w:rPr>
        <w:t>y</w:t>
      </w:r>
      <w:r>
        <w:rPr>
          <w:spacing w:val="-9"/>
          <w:sz w:val="20"/>
        </w:rPr>
        <w:t> </w:t>
      </w:r>
      <w:r>
        <w:rPr>
          <w:sz w:val="20"/>
        </w:rPr>
        <w:t>productivo,</w:t>
      </w:r>
      <w:r>
        <w:rPr>
          <w:spacing w:val="-4"/>
          <w:sz w:val="20"/>
        </w:rPr>
        <w:t> </w:t>
      </w:r>
      <w:r>
        <w:rPr>
          <w:spacing w:val="-10"/>
          <w:sz w:val="20"/>
        </w:rPr>
        <w:t>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rPr>
      </w:pPr>
    </w:p>
    <w:p>
      <w:pPr>
        <w:pStyle w:val="ListParagraph"/>
        <w:numPr>
          <w:ilvl w:val="0"/>
          <w:numId w:val="42"/>
        </w:numPr>
        <w:tabs>
          <w:tab w:pos="1194" w:val="left" w:leader="none"/>
        </w:tabs>
        <w:spacing w:line="240" w:lineRule="auto" w:before="0" w:after="0"/>
        <w:ind w:left="1194" w:right="0" w:hanging="568"/>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se</w:t>
      </w:r>
      <w:r>
        <w:rPr>
          <w:spacing w:val="-5"/>
          <w:sz w:val="20"/>
        </w:rPr>
        <w:t> </w:t>
      </w:r>
      <w:r>
        <w:rPr>
          <w:sz w:val="20"/>
        </w:rPr>
        <w:t>establezcan</w:t>
      </w:r>
      <w:r>
        <w:rPr>
          <w:spacing w:val="-7"/>
          <w:sz w:val="20"/>
        </w:rPr>
        <w:t> </w:t>
      </w:r>
      <w:r>
        <w:rPr>
          <w:sz w:val="20"/>
        </w:rPr>
        <w:t>en</w:t>
      </w:r>
      <w:r>
        <w:rPr>
          <w:spacing w:val="-6"/>
          <w:sz w:val="20"/>
        </w:rPr>
        <w:t> </w:t>
      </w:r>
      <w:r>
        <w:rPr>
          <w:sz w:val="20"/>
        </w:rPr>
        <w:t>esta</w:t>
      </w:r>
      <w:r>
        <w:rPr>
          <w:spacing w:val="-3"/>
          <w:sz w:val="20"/>
        </w:rPr>
        <w:t> </w:t>
      </w:r>
      <w:r>
        <w:rPr>
          <w:sz w:val="20"/>
        </w:rPr>
        <w:t>y</w:t>
      </w:r>
      <w:r>
        <w:rPr>
          <w:spacing w:val="-10"/>
          <w:sz w:val="20"/>
        </w:rPr>
        <w:t> </w:t>
      </w:r>
      <w:r>
        <w:rPr>
          <w:sz w:val="20"/>
        </w:rPr>
        <w:t>otras</w:t>
      </w:r>
      <w:r>
        <w:rPr>
          <w:spacing w:val="-4"/>
          <w:sz w:val="20"/>
        </w:rPr>
        <w:t> </w:t>
      </w:r>
      <w:r>
        <w:rPr>
          <w:sz w:val="20"/>
        </w:rPr>
        <w:t>disposiciones</w:t>
      </w:r>
      <w:r>
        <w:rPr>
          <w:spacing w:val="-5"/>
          <w:sz w:val="20"/>
        </w:rPr>
        <w:t> </w:t>
      </w:r>
      <w:r>
        <w:rPr>
          <w:spacing w:val="-2"/>
          <w:sz w:val="20"/>
        </w:rPr>
        <w:t>normativas.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338" w:firstLine="288"/>
      </w:pPr>
      <w:r>
        <w:rPr/>
        <w:t>Las</w:t>
      </w:r>
      <w:r>
        <w:rPr>
          <w:spacing w:val="31"/>
        </w:rPr>
        <w:t> </w:t>
      </w:r>
      <w:r>
        <w:rPr/>
        <w:t>recomendaciones</w:t>
      </w:r>
      <w:r>
        <w:rPr>
          <w:spacing w:val="31"/>
        </w:rPr>
        <w:t> </w:t>
      </w:r>
      <w:r>
        <w:rPr/>
        <w:t>que</w:t>
      </w:r>
      <w:r>
        <w:rPr>
          <w:spacing w:val="32"/>
        </w:rPr>
        <w:t> </w:t>
      </w:r>
      <w:r>
        <w:rPr/>
        <w:t>emita</w:t>
      </w:r>
      <w:r>
        <w:rPr>
          <w:spacing w:val="29"/>
        </w:rPr>
        <w:t> </w:t>
      </w:r>
      <w:r>
        <w:rPr/>
        <w:t>el</w:t>
      </w:r>
      <w:r>
        <w:rPr>
          <w:spacing w:val="29"/>
        </w:rPr>
        <w:t> </w:t>
      </w:r>
      <w:r>
        <w:rPr/>
        <w:t>Comité</w:t>
      </w:r>
      <w:r>
        <w:rPr>
          <w:spacing w:val="29"/>
        </w:rPr>
        <w:t> </w:t>
      </w:r>
      <w:r>
        <w:rPr/>
        <w:t>serán</w:t>
      </w:r>
      <w:r>
        <w:rPr>
          <w:spacing w:val="30"/>
        </w:rPr>
        <w:t> </w:t>
      </w:r>
      <w:r>
        <w:rPr/>
        <w:t>tomadas</w:t>
      </w:r>
      <w:r>
        <w:rPr>
          <w:spacing w:val="31"/>
        </w:rPr>
        <w:t> </w:t>
      </w:r>
      <w:r>
        <w:rPr/>
        <w:t>en</w:t>
      </w:r>
      <w:r>
        <w:rPr>
          <w:spacing w:val="29"/>
        </w:rPr>
        <w:t> </w:t>
      </w:r>
      <w:r>
        <w:rPr/>
        <w:t>cuenta</w:t>
      </w:r>
      <w:r>
        <w:rPr>
          <w:spacing w:val="32"/>
        </w:rPr>
        <w:t> </w:t>
      </w:r>
      <w:r>
        <w:rPr/>
        <w:t>en</w:t>
      </w:r>
      <w:r>
        <w:rPr>
          <w:spacing w:val="29"/>
        </w:rPr>
        <w:t> </w:t>
      </w:r>
      <w:r>
        <w:rPr/>
        <w:t>el</w:t>
      </w:r>
      <w:r>
        <w:rPr>
          <w:spacing w:val="29"/>
        </w:rPr>
        <w:t> </w:t>
      </w:r>
      <w:r>
        <w:rPr/>
        <w:t>diseño</w:t>
      </w:r>
      <w:r>
        <w:rPr>
          <w:spacing w:val="30"/>
        </w:rPr>
        <w:t> </w:t>
      </w:r>
      <w:r>
        <w:rPr/>
        <w:t>de</w:t>
      </w:r>
      <w:r>
        <w:rPr>
          <w:spacing w:val="32"/>
        </w:rPr>
        <w:t> </w:t>
      </w:r>
      <w:r>
        <w:rPr/>
        <w:t>las</w:t>
      </w:r>
      <w:r>
        <w:rPr>
          <w:spacing w:val="31"/>
        </w:rPr>
        <w:t> </w:t>
      </w:r>
      <w:r>
        <w:rPr/>
        <w:t>políticas públicas, en el ámbito que corresponda, y serán dadas a conocer públicamente.</w:t>
      </w:r>
    </w:p>
    <w:p>
      <w:pPr>
        <w:spacing w:line="240" w:lineRule="auto" w:before="0"/>
        <w:ind w:left="4529" w:right="0" w:firstLine="279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30-12-1983,</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2"/>
        <w:rPr>
          <w:rFonts w:ascii="Times New Roman"/>
          <w:i/>
          <w:sz w:val="16"/>
        </w:rPr>
      </w:pPr>
    </w:p>
    <w:p>
      <w:pPr>
        <w:pStyle w:val="BodyText"/>
        <w:spacing w:line="242" w:lineRule="auto"/>
        <w:ind w:left="338" w:firstLine="288"/>
      </w:pPr>
      <w:bookmarkStart w:name="Artículo_153_L" w:id="185"/>
      <w:bookmarkEnd w:id="185"/>
      <w:r>
        <w:rPr/>
      </w:r>
      <w:r>
        <w:rPr>
          <w:rFonts w:ascii="Arial" w:hAnsi="Arial"/>
          <w:b/>
        </w:rPr>
        <w:t>Artículo</w:t>
      </w:r>
      <w:r>
        <w:rPr>
          <w:rFonts w:ascii="Arial" w:hAnsi="Arial"/>
          <w:b/>
          <w:spacing w:val="71"/>
        </w:rPr>
        <w:t> </w:t>
      </w:r>
      <w:r>
        <w:rPr>
          <w:rFonts w:ascii="Arial" w:hAnsi="Arial"/>
          <w:b/>
        </w:rPr>
        <w:t>153-L.</w:t>
      </w:r>
      <w:r>
        <w:rPr>
          <w:rFonts w:ascii="Arial" w:hAnsi="Arial"/>
          <w:b/>
          <w:spacing w:val="73"/>
        </w:rPr>
        <w:t> </w:t>
      </w:r>
      <w:r>
        <w:rPr/>
        <w:t>El</w:t>
      </w:r>
      <w:r>
        <w:rPr>
          <w:spacing w:val="72"/>
        </w:rPr>
        <w:t> </w:t>
      </w:r>
      <w:r>
        <w:rPr/>
        <w:t>Titular</w:t>
      </w:r>
      <w:r>
        <w:rPr>
          <w:spacing w:val="71"/>
        </w:rPr>
        <w:t> </w:t>
      </w:r>
      <w:r>
        <w:rPr/>
        <w:t>del</w:t>
      </w:r>
      <w:r>
        <w:rPr>
          <w:spacing w:val="72"/>
        </w:rPr>
        <w:t> </w:t>
      </w:r>
      <w:r>
        <w:rPr/>
        <w:t>Ejecutivo</w:t>
      </w:r>
      <w:r>
        <w:rPr>
          <w:spacing w:val="70"/>
        </w:rPr>
        <w:t> </w:t>
      </w:r>
      <w:r>
        <w:rPr/>
        <w:t>Federal</w:t>
      </w:r>
      <w:r>
        <w:rPr>
          <w:spacing w:val="70"/>
        </w:rPr>
        <w:t> </w:t>
      </w:r>
      <w:r>
        <w:rPr/>
        <w:t>fijará</w:t>
      </w:r>
      <w:r>
        <w:rPr>
          <w:spacing w:val="71"/>
        </w:rPr>
        <w:t> </w:t>
      </w:r>
      <w:r>
        <w:rPr/>
        <w:t>las</w:t>
      </w:r>
      <w:r>
        <w:rPr>
          <w:spacing w:val="71"/>
        </w:rPr>
        <w:t> </w:t>
      </w:r>
      <w:r>
        <w:rPr/>
        <w:t>bases</w:t>
      </w:r>
      <w:r>
        <w:rPr>
          <w:spacing w:val="71"/>
        </w:rPr>
        <w:t> </w:t>
      </w:r>
      <w:r>
        <w:rPr/>
        <w:t>para</w:t>
      </w:r>
      <w:r>
        <w:rPr>
          <w:spacing w:val="70"/>
        </w:rPr>
        <w:t> </w:t>
      </w:r>
      <w:r>
        <w:rPr/>
        <w:t>determinar</w:t>
      </w:r>
      <w:r>
        <w:rPr>
          <w:spacing w:val="71"/>
        </w:rPr>
        <w:t> </w:t>
      </w:r>
      <w:r>
        <w:rPr/>
        <w:t>la</w:t>
      </w:r>
      <w:r>
        <w:rPr>
          <w:spacing w:val="73"/>
        </w:rPr>
        <w:t> </w:t>
      </w:r>
      <w:r>
        <w:rPr/>
        <w:t>forma</w:t>
      </w:r>
      <w:r>
        <w:rPr>
          <w:spacing w:val="70"/>
        </w:rPr>
        <w:t> </w:t>
      </w:r>
      <w:r>
        <w:rPr/>
        <w:t>de designación</w:t>
      </w:r>
      <w:r>
        <w:rPr>
          <w:spacing w:val="23"/>
        </w:rPr>
        <w:t> </w:t>
      </w:r>
      <w:r>
        <w:rPr/>
        <w:t>de</w:t>
      </w:r>
      <w:r>
        <w:rPr>
          <w:spacing w:val="22"/>
        </w:rPr>
        <w:t> </w:t>
      </w:r>
      <w:r>
        <w:rPr/>
        <w:t>los</w:t>
      </w:r>
      <w:r>
        <w:rPr>
          <w:spacing w:val="24"/>
        </w:rPr>
        <w:t> </w:t>
      </w:r>
      <w:r>
        <w:rPr/>
        <w:t>miembros</w:t>
      </w:r>
      <w:r>
        <w:rPr>
          <w:spacing w:val="24"/>
        </w:rPr>
        <w:t> </w:t>
      </w:r>
      <w:r>
        <w:rPr/>
        <w:t>de</w:t>
      </w:r>
      <w:r>
        <w:rPr>
          <w:spacing w:val="23"/>
        </w:rPr>
        <w:t> </w:t>
      </w:r>
      <w:r>
        <w:rPr/>
        <w:t>la</w:t>
      </w:r>
      <w:r>
        <w:rPr>
          <w:spacing w:val="26"/>
        </w:rPr>
        <w:t> </w:t>
      </w:r>
      <w:r>
        <w:rPr/>
        <w:t>Comisión</w:t>
      </w:r>
      <w:r>
        <w:rPr>
          <w:spacing w:val="23"/>
        </w:rPr>
        <w:t> </w:t>
      </w:r>
      <w:r>
        <w:rPr/>
        <w:t>Nacional</w:t>
      </w:r>
      <w:r>
        <w:rPr>
          <w:spacing w:val="25"/>
        </w:rPr>
        <w:t> </w:t>
      </w:r>
      <w:r>
        <w:rPr/>
        <w:t>de</w:t>
      </w:r>
      <w:r>
        <w:rPr>
          <w:spacing w:val="23"/>
        </w:rPr>
        <w:t> </w:t>
      </w:r>
      <w:r>
        <w:rPr/>
        <w:t>Concertación</w:t>
      </w:r>
      <w:r>
        <w:rPr>
          <w:spacing w:val="28"/>
        </w:rPr>
        <w:t> </w:t>
      </w:r>
      <w:r>
        <w:rPr/>
        <w:t>y</w:t>
      </w:r>
      <w:r>
        <w:rPr>
          <w:spacing w:val="26"/>
        </w:rPr>
        <w:t> </w:t>
      </w:r>
      <w:r>
        <w:rPr/>
        <w:t>Productividad,</w:t>
      </w:r>
      <w:r>
        <w:rPr>
          <w:spacing w:val="25"/>
        </w:rPr>
        <w:t> </w:t>
      </w:r>
      <w:r>
        <w:rPr/>
        <w:t>así</w:t>
      </w:r>
      <w:r>
        <w:rPr>
          <w:spacing w:val="23"/>
        </w:rPr>
        <w:t> </w:t>
      </w:r>
      <w:r>
        <w:rPr/>
        <w:t>como</w:t>
      </w:r>
      <w:r>
        <w:rPr>
          <w:spacing w:val="23"/>
        </w:rPr>
        <w:t> </w:t>
      </w:r>
      <w:r>
        <w:rPr>
          <w:spacing w:val="-5"/>
        </w:rPr>
        <w:t>las</w:t>
      </w:r>
    </w:p>
    <w:p>
      <w:pPr>
        <w:pStyle w:val="BodyText"/>
        <w:spacing w:after="0" w:line="242" w:lineRule="auto"/>
        <w:sectPr>
          <w:pgSz w:w="12240" w:h="15840"/>
          <w:pgMar w:header="724" w:footer="712" w:top="1880" w:bottom="900" w:left="1080" w:right="1080"/>
        </w:sectPr>
      </w:pPr>
    </w:p>
    <w:p>
      <w:pPr>
        <w:pStyle w:val="BodyText"/>
        <w:spacing w:before="65"/>
      </w:pPr>
    </w:p>
    <w:p>
      <w:pPr>
        <w:pStyle w:val="BodyText"/>
        <w:ind w:left="338"/>
      </w:pPr>
      <w:r>
        <w:rPr/>
        <w:t>relativas</w:t>
      </w:r>
      <w:r>
        <w:rPr>
          <w:spacing w:val="66"/>
        </w:rPr>
        <w:t> </w:t>
      </w:r>
      <w:r>
        <w:rPr/>
        <w:t>a</w:t>
      </w:r>
      <w:r>
        <w:rPr>
          <w:spacing w:val="40"/>
        </w:rPr>
        <w:t> </w:t>
      </w:r>
      <w:r>
        <w:rPr/>
        <w:t>su</w:t>
      </w:r>
      <w:r>
        <w:rPr>
          <w:spacing w:val="40"/>
        </w:rPr>
        <w:t> </w:t>
      </w:r>
      <w:r>
        <w:rPr/>
        <w:t>organización</w:t>
      </w:r>
      <w:r>
        <w:rPr>
          <w:spacing w:val="67"/>
        </w:rPr>
        <w:t> </w:t>
      </w:r>
      <w:r>
        <w:rPr/>
        <w:t>y</w:t>
      </w:r>
      <w:r>
        <w:rPr>
          <w:spacing w:val="40"/>
        </w:rPr>
        <w:t> </w:t>
      </w:r>
      <w:r>
        <w:rPr/>
        <w:t>funcionamiento.</w:t>
      </w:r>
      <w:r>
        <w:rPr>
          <w:spacing w:val="40"/>
        </w:rPr>
        <w:t> </w:t>
      </w:r>
      <w:r>
        <w:rPr/>
        <w:t>Sujetándose</w:t>
      </w:r>
      <w:r>
        <w:rPr>
          <w:spacing w:val="40"/>
        </w:rPr>
        <w:t> </w:t>
      </w:r>
      <w:r>
        <w:rPr/>
        <w:t>a</w:t>
      </w:r>
      <w:r>
        <w:rPr>
          <w:spacing w:val="67"/>
        </w:rPr>
        <w:t> </w:t>
      </w:r>
      <w:r>
        <w:rPr/>
        <w:t>los</w:t>
      </w:r>
      <w:r>
        <w:rPr>
          <w:spacing w:val="66"/>
        </w:rPr>
        <w:t> </w:t>
      </w:r>
      <w:r>
        <w:rPr/>
        <w:t>principios</w:t>
      </w:r>
      <w:r>
        <w:rPr>
          <w:spacing w:val="68"/>
        </w:rPr>
        <w:t> </w:t>
      </w:r>
      <w:r>
        <w:rPr/>
        <w:t>de</w:t>
      </w:r>
      <w:r>
        <w:rPr>
          <w:spacing w:val="40"/>
        </w:rPr>
        <w:t> </w:t>
      </w:r>
      <w:r>
        <w:rPr/>
        <w:t>representatividad</w:t>
      </w:r>
      <w:r>
        <w:rPr>
          <w:spacing w:val="67"/>
        </w:rPr>
        <w:t> </w:t>
      </w:r>
      <w:r>
        <w:rPr/>
        <w:t>e inclusión en su integración.</w:t>
      </w:r>
    </w:p>
    <w:p>
      <w:pPr>
        <w:pStyle w:val="BodyText"/>
        <w:spacing w:before="1"/>
      </w:pPr>
    </w:p>
    <w:p>
      <w:pPr>
        <w:pStyle w:val="BodyText"/>
        <w:spacing w:before="1"/>
        <w:ind w:left="338" w:firstLine="288"/>
      </w:pPr>
      <w:r>
        <w:rPr/>
        <w:t>En la toma de decisiones de la Comisión Nacional de Concertación y Productividad se privilegiará el </w:t>
      </w:r>
      <w:r>
        <w:rPr>
          <w:spacing w:val="-2"/>
        </w:rPr>
        <w:t>consenso.</w:t>
      </w:r>
    </w:p>
    <w:p>
      <w:pPr>
        <w:spacing w:line="180" w:lineRule="exact" w:before="0"/>
        <w:ind w:left="452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right="338" w:firstLine="288"/>
        <w:jc w:val="both"/>
      </w:pPr>
      <w:bookmarkStart w:name="Artículo_153_M" w:id="186"/>
      <w:bookmarkEnd w:id="186"/>
      <w:r>
        <w:rPr/>
      </w:r>
      <w:r>
        <w:rPr>
          <w:rFonts w:ascii="Arial" w:hAnsi="Arial"/>
          <w:b/>
        </w:rPr>
        <w:t>Artículo 153-M.- </w:t>
      </w:r>
      <w:r>
        <w:rPr/>
        <w:t>En los contratos colectivos deberán incluirse cláusulas relativas a la obligación patronal de proporcionar capacitación y adiestramiento a los trabajadores, conforme a planes y</w:t>
      </w:r>
      <w:r>
        <w:rPr>
          <w:spacing w:val="40"/>
        </w:rPr>
        <w:t> </w:t>
      </w:r>
      <w:r>
        <w:rPr/>
        <w:t>programas que satisfagan los requisitos establecidos en este Capítulo.</w:t>
      </w:r>
    </w:p>
    <w:p>
      <w:pPr>
        <w:pStyle w:val="BodyText"/>
        <w:spacing w:before="225"/>
        <w:ind w:left="338" w:right="339" w:firstLine="288"/>
        <w:jc w:val="both"/>
      </w:pPr>
      <w:r>
        <w:rPr/>
        <w:t>Además, podrá consignarse en los propios contratos el procedimiento conforme al cual el patrón capacitará y adiestrará a quienes pretendan ingresar a laborar en la empresa, tomando en cuenta, en su caso, la cláusula de admisión.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5"/>
        <w:rPr>
          <w:rFonts w:ascii="Times New Roman"/>
          <w:i/>
          <w:sz w:val="16"/>
        </w:rPr>
      </w:pPr>
    </w:p>
    <w:p>
      <w:pPr>
        <w:pStyle w:val="BodyText"/>
        <w:spacing w:line="242" w:lineRule="auto"/>
        <w:ind w:left="338" w:right="341" w:firstLine="288"/>
        <w:jc w:val="both"/>
      </w:pPr>
      <w:bookmarkStart w:name="Artículo_153_N" w:id="187"/>
      <w:bookmarkEnd w:id="187"/>
      <w:r>
        <w:rPr/>
      </w:r>
      <w:r>
        <w:rPr>
          <w:rFonts w:ascii="Arial" w:hAnsi="Arial"/>
          <w:b/>
        </w:rPr>
        <w:t>Artículo 153-N.</w:t>
      </w:r>
      <w:r>
        <w:rPr/>
        <w:t>- Para su funcionamiento la Comisión Nacional de Concertación y Productividad establecerá subcomisiones sectoriales, por rama de actividad, estatales, regionales y las conducentes para cumplir con sus facultades.</w:t>
      </w:r>
    </w:p>
    <w:p>
      <w:pPr>
        <w:spacing w:line="178" w:lineRule="exact" w:before="0"/>
        <w:ind w:left="452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626" w:right="0" w:firstLine="0"/>
        <w:jc w:val="left"/>
        <w:rPr>
          <w:sz w:val="20"/>
        </w:rPr>
      </w:pPr>
      <w:bookmarkStart w:name="Artículo_153_O" w:id="188"/>
      <w:bookmarkEnd w:id="188"/>
      <w:r>
        <w:rPr/>
      </w:r>
      <w:r>
        <w:rPr>
          <w:rFonts w:ascii="Arial" w:hAnsi="Arial"/>
          <w:b/>
          <w:sz w:val="20"/>
        </w:rPr>
        <w:t>Artículo</w:t>
      </w:r>
      <w:r>
        <w:rPr>
          <w:rFonts w:ascii="Arial" w:hAnsi="Arial"/>
          <w:b/>
          <w:spacing w:val="-6"/>
          <w:sz w:val="20"/>
        </w:rPr>
        <w:t> </w:t>
      </w:r>
      <w:r>
        <w:rPr>
          <w:rFonts w:ascii="Arial" w:hAnsi="Arial"/>
          <w:b/>
          <w:sz w:val="20"/>
        </w:rPr>
        <w:t>153-O.</w:t>
      </w:r>
      <w:r>
        <w:rPr>
          <w:rFonts w:ascii="Arial" w:hAnsi="Arial"/>
          <w:b/>
          <w:spacing w:val="-7"/>
          <w:sz w:val="20"/>
        </w:rPr>
        <w:t> </w:t>
      </w:r>
      <w:r>
        <w:rPr>
          <w:sz w:val="20"/>
        </w:rPr>
        <w:t>(Se</w:t>
      </w:r>
      <w:r>
        <w:rPr>
          <w:spacing w:val="-6"/>
          <w:sz w:val="20"/>
        </w:rPr>
        <w:t> </w:t>
      </w:r>
      <w:r>
        <w:rPr>
          <w:spacing w:val="-2"/>
          <w:sz w:val="20"/>
        </w:rPr>
        <w:t>deroga).</w:t>
      </w:r>
    </w:p>
    <w:p>
      <w:pPr>
        <w:spacing w:before="0"/>
        <w:ind w:left="54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rPr>
      </w:pPr>
    </w:p>
    <w:p>
      <w:pPr>
        <w:spacing w:line="229" w:lineRule="exact" w:before="0"/>
        <w:ind w:left="626" w:right="0" w:firstLine="0"/>
        <w:jc w:val="left"/>
        <w:rPr>
          <w:sz w:val="20"/>
        </w:rPr>
      </w:pPr>
      <w:bookmarkStart w:name="Artículo_153_P" w:id="189"/>
      <w:bookmarkEnd w:id="189"/>
      <w:r>
        <w:rPr/>
      </w:r>
      <w:r>
        <w:rPr>
          <w:rFonts w:ascii="Arial" w:hAnsi="Arial"/>
          <w:b/>
          <w:sz w:val="20"/>
        </w:rPr>
        <w:t>Artículo</w:t>
      </w:r>
      <w:r>
        <w:rPr>
          <w:rFonts w:ascii="Arial" w:hAnsi="Arial"/>
          <w:b/>
          <w:spacing w:val="-7"/>
          <w:sz w:val="20"/>
        </w:rPr>
        <w:t> </w:t>
      </w:r>
      <w:r>
        <w:rPr>
          <w:rFonts w:ascii="Arial" w:hAnsi="Arial"/>
          <w:b/>
          <w:sz w:val="20"/>
        </w:rPr>
        <w:t>153-P.</w:t>
      </w:r>
      <w:r>
        <w:rPr>
          <w:rFonts w:ascii="Arial" w:hAnsi="Arial"/>
          <w:b/>
          <w:spacing w:val="-7"/>
          <w:sz w:val="20"/>
        </w:rPr>
        <w:t> </w:t>
      </w:r>
      <w:r>
        <w:rPr>
          <w:sz w:val="20"/>
        </w:rPr>
        <w:t>(Se</w:t>
      </w:r>
      <w:r>
        <w:rPr>
          <w:spacing w:val="-5"/>
          <w:sz w:val="20"/>
        </w:rPr>
        <w:t> </w:t>
      </w:r>
      <w:r>
        <w:rPr>
          <w:spacing w:val="-2"/>
          <w:sz w:val="20"/>
        </w:rPr>
        <w:t>deroga).</w:t>
      </w:r>
    </w:p>
    <w:p>
      <w:pPr>
        <w:spacing w:line="183" w:lineRule="exact" w:before="0"/>
        <w:ind w:left="347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30-12-1983.</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2"/>
        <w:rPr>
          <w:rFonts w:ascii="Times New Roman"/>
          <w:i/>
        </w:rPr>
      </w:pPr>
    </w:p>
    <w:p>
      <w:pPr>
        <w:pStyle w:val="BodyText"/>
        <w:spacing w:line="242" w:lineRule="auto"/>
        <w:ind w:left="338" w:firstLine="288"/>
      </w:pPr>
      <w:bookmarkStart w:name="Artículo_153_Q" w:id="190"/>
      <w:bookmarkEnd w:id="190"/>
      <w:r>
        <w:rPr/>
      </w:r>
      <w:r>
        <w:rPr>
          <w:rFonts w:ascii="Arial" w:hAnsi="Arial"/>
          <w:b/>
        </w:rPr>
        <w:t>Artículo</w:t>
      </w:r>
      <w:r>
        <w:rPr>
          <w:rFonts w:ascii="Arial" w:hAnsi="Arial"/>
          <w:b/>
          <w:spacing w:val="40"/>
        </w:rPr>
        <w:t> </w:t>
      </w:r>
      <w:r>
        <w:rPr>
          <w:rFonts w:ascii="Arial" w:hAnsi="Arial"/>
          <w:b/>
        </w:rPr>
        <w:t>153-Q.-</w:t>
      </w:r>
      <w:r>
        <w:rPr>
          <w:rFonts w:ascii="Arial" w:hAnsi="Arial"/>
          <w:b/>
          <w:spacing w:val="40"/>
        </w:rPr>
        <w:t> </w:t>
      </w:r>
      <w:r>
        <w:rPr/>
        <w:t>A</w:t>
      </w:r>
      <w:r>
        <w:rPr>
          <w:spacing w:val="40"/>
        </w:rPr>
        <w:t> </w:t>
      </w:r>
      <w:r>
        <w:rPr/>
        <w:t>nivel</w:t>
      </w:r>
      <w:r>
        <w:rPr>
          <w:spacing w:val="40"/>
        </w:rPr>
        <w:t> </w:t>
      </w:r>
      <w:r>
        <w:rPr/>
        <w:t>de</w:t>
      </w:r>
      <w:r>
        <w:rPr>
          <w:spacing w:val="40"/>
        </w:rPr>
        <w:t> </w:t>
      </w:r>
      <w:r>
        <w:rPr/>
        <w:t>las</w:t>
      </w:r>
      <w:r>
        <w:rPr>
          <w:spacing w:val="40"/>
        </w:rPr>
        <w:t> </w:t>
      </w:r>
      <w:r>
        <w:rPr/>
        <w:t>entidades</w:t>
      </w:r>
      <w:r>
        <w:rPr>
          <w:spacing w:val="40"/>
        </w:rPr>
        <w:t> </w:t>
      </w:r>
      <w:r>
        <w:rPr/>
        <w:t>federativas</w:t>
      </w:r>
      <w:r>
        <w:rPr>
          <w:spacing w:val="40"/>
        </w:rPr>
        <w:t> </w:t>
      </w:r>
      <w:r>
        <w:rPr/>
        <w:t>se</w:t>
      </w:r>
      <w:r>
        <w:rPr>
          <w:spacing w:val="40"/>
        </w:rPr>
        <w:t> </w:t>
      </w:r>
      <w:r>
        <w:rPr/>
        <w:t>establecerán</w:t>
      </w:r>
      <w:r>
        <w:rPr>
          <w:spacing w:val="40"/>
        </w:rPr>
        <w:t> </w:t>
      </w:r>
      <w:r>
        <w:rPr/>
        <w:t>Comisiones</w:t>
      </w:r>
      <w:r>
        <w:rPr>
          <w:spacing w:val="40"/>
        </w:rPr>
        <w:t> </w:t>
      </w:r>
      <w:r>
        <w:rPr/>
        <w:t>Estatales</w:t>
      </w:r>
      <w:r>
        <w:rPr>
          <w:spacing w:val="40"/>
        </w:rPr>
        <w:t> </w:t>
      </w:r>
      <w:r>
        <w:rPr/>
        <w:t>de Concertación y Productividad.</w:t>
      </w:r>
    </w:p>
    <w:p>
      <w:pPr>
        <w:pStyle w:val="BodyText"/>
        <w:spacing w:before="227"/>
        <w:ind w:left="338" w:firstLine="288"/>
      </w:pPr>
      <w:r>
        <w:rPr/>
        <w:t>Será</w:t>
      </w:r>
      <w:r>
        <w:rPr>
          <w:spacing w:val="40"/>
        </w:rPr>
        <w:t> </w:t>
      </w:r>
      <w:r>
        <w:rPr/>
        <w:t>aplicable</w:t>
      </w:r>
      <w:r>
        <w:rPr>
          <w:spacing w:val="40"/>
        </w:rPr>
        <w:t> </w:t>
      </w:r>
      <w:r>
        <w:rPr/>
        <w:t>a</w:t>
      </w:r>
      <w:r>
        <w:rPr>
          <w:spacing w:val="40"/>
        </w:rPr>
        <w:t> </w:t>
      </w:r>
      <w:r>
        <w:rPr/>
        <w:t>las</w:t>
      </w:r>
      <w:r>
        <w:rPr>
          <w:spacing w:val="40"/>
        </w:rPr>
        <w:t> </w:t>
      </w:r>
      <w:r>
        <w:rPr/>
        <w:t>Comisiones</w:t>
      </w:r>
      <w:r>
        <w:rPr>
          <w:spacing w:val="40"/>
        </w:rPr>
        <w:t> </w:t>
      </w:r>
      <w:r>
        <w:rPr/>
        <w:t>Estatales</w:t>
      </w:r>
      <w:r>
        <w:rPr>
          <w:spacing w:val="40"/>
        </w:rPr>
        <w:t> </w:t>
      </w:r>
      <w:r>
        <w:rPr/>
        <w:t>de</w:t>
      </w:r>
      <w:r>
        <w:rPr>
          <w:spacing w:val="40"/>
        </w:rPr>
        <w:t> </w:t>
      </w:r>
      <w:r>
        <w:rPr/>
        <w:t>Concertación</w:t>
      </w:r>
      <w:r>
        <w:rPr>
          <w:spacing w:val="40"/>
        </w:rPr>
        <w:t> </w:t>
      </w:r>
      <w:r>
        <w:rPr/>
        <w:t>y</w:t>
      </w:r>
      <w:r>
        <w:rPr>
          <w:spacing w:val="40"/>
        </w:rPr>
        <w:t> </w:t>
      </w:r>
      <w:r>
        <w:rPr/>
        <w:t>Productividad,</w:t>
      </w:r>
      <w:r>
        <w:rPr>
          <w:spacing w:val="40"/>
        </w:rPr>
        <w:t> </w:t>
      </w:r>
      <w:r>
        <w:rPr/>
        <w:t>en</w:t>
      </w:r>
      <w:r>
        <w:rPr>
          <w:spacing w:val="40"/>
        </w:rPr>
        <w:t> </w:t>
      </w:r>
      <w:r>
        <w:rPr/>
        <w:t>el</w:t>
      </w:r>
      <w:r>
        <w:rPr>
          <w:spacing w:val="40"/>
        </w:rPr>
        <w:t> </w:t>
      </w:r>
      <w:r>
        <w:rPr/>
        <w:t>ámbito</w:t>
      </w:r>
      <w:r>
        <w:rPr>
          <w:spacing w:val="40"/>
        </w:rPr>
        <w:t> </w:t>
      </w:r>
      <w:r>
        <w:rPr/>
        <w:t>de</w:t>
      </w:r>
      <w:r>
        <w:rPr>
          <w:spacing w:val="40"/>
        </w:rPr>
        <w:t> </w:t>
      </w:r>
      <w:r>
        <w:rPr/>
        <w:t>las entidades federativas,</w:t>
      </w:r>
      <w:r>
        <w:rPr>
          <w:spacing w:val="-1"/>
        </w:rPr>
        <w:t> </w:t>
      </w:r>
      <w:r>
        <w:rPr/>
        <w:t>lo establecido</w:t>
      </w:r>
      <w:r>
        <w:rPr>
          <w:spacing w:val="-1"/>
        </w:rPr>
        <w:t> </w:t>
      </w:r>
      <w:r>
        <w:rPr/>
        <w:t>en los artículos 153-I,</w:t>
      </w:r>
      <w:r>
        <w:rPr>
          <w:spacing w:val="-1"/>
        </w:rPr>
        <w:t> </w:t>
      </w:r>
      <w:r>
        <w:rPr/>
        <w:t>153-J,</w:t>
      </w:r>
      <w:r>
        <w:rPr>
          <w:spacing w:val="-1"/>
        </w:rPr>
        <w:t> </w:t>
      </w:r>
      <w:r>
        <w:rPr/>
        <w:t>153-K, 153-L,</w:t>
      </w:r>
      <w:r>
        <w:rPr>
          <w:spacing w:val="-1"/>
        </w:rPr>
        <w:t> </w:t>
      </w:r>
      <w:r>
        <w:rPr/>
        <w:t>153-N y</w:t>
      </w:r>
      <w:r>
        <w:rPr>
          <w:spacing w:val="-2"/>
        </w:rPr>
        <w:t> </w:t>
      </w:r>
      <w:r>
        <w:rPr/>
        <w:t>demás relativos.</w:t>
      </w:r>
    </w:p>
    <w:p>
      <w:pPr>
        <w:spacing w:line="182" w:lineRule="exact" w:before="0"/>
        <w:ind w:left="37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30-12-1983,</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line="229" w:lineRule="exact" w:before="0"/>
        <w:ind w:left="626" w:right="0" w:firstLine="0"/>
        <w:jc w:val="left"/>
        <w:rPr>
          <w:sz w:val="20"/>
        </w:rPr>
      </w:pPr>
      <w:bookmarkStart w:name="Artículo_153_R" w:id="191"/>
      <w:bookmarkEnd w:id="191"/>
      <w:r>
        <w:rPr/>
      </w:r>
      <w:r>
        <w:rPr>
          <w:rFonts w:ascii="Arial" w:hAnsi="Arial"/>
          <w:b/>
          <w:sz w:val="20"/>
        </w:rPr>
        <w:t>Artículo</w:t>
      </w:r>
      <w:r>
        <w:rPr>
          <w:rFonts w:ascii="Arial" w:hAnsi="Arial"/>
          <w:b/>
          <w:spacing w:val="-6"/>
          <w:sz w:val="20"/>
        </w:rPr>
        <w:t> </w:t>
      </w:r>
      <w:r>
        <w:rPr>
          <w:rFonts w:ascii="Arial" w:hAnsi="Arial"/>
          <w:b/>
          <w:sz w:val="20"/>
        </w:rPr>
        <w:t>153-R.</w:t>
      </w:r>
      <w:r>
        <w:rPr>
          <w:rFonts w:ascii="Arial" w:hAnsi="Arial"/>
          <w:b/>
          <w:spacing w:val="-7"/>
          <w:sz w:val="20"/>
        </w:rPr>
        <w:t> </w:t>
      </w:r>
      <w:r>
        <w:rPr>
          <w:sz w:val="20"/>
        </w:rPr>
        <w:t>(Se</w:t>
      </w:r>
      <w:r>
        <w:rPr>
          <w:spacing w:val="-7"/>
          <w:sz w:val="20"/>
        </w:rPr>
        <w:t> </w:t>
      </w:r>
      <w:r>
        <w:rPr>
          <w:spacing w:val="-2"/>
          <w:sz w:val="20"/>
        </w:rPr>
        <w:t>deroga).</w:t>
      </w:r>
    </w:p>
    <w:p>
      <w:pPr>
        <w:spacing w:line="183" w:lineRule="exact" w:before="0"/>
        <w:ind w:left="54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rPr>
      </w:pPr>
    </w:p>
    <w:p>
      <w:pPr>
        <w:pStyle w:val="BodyText"/>
        <w:spacing w:before="1"/>
        <w:ind w:left="338" w:right="340" w:firstLine="288"/>
        <w:jc w:val="both"/>
      </w:pPr>
      <w:bookmarkStart w:name="Artículo_153_S" w:id="192"/>
      <w:bookmarkEnd w:id="192"/>
      <w:r>
        <w:rPr/>
      </w:r>
      <w:r>
        <w:rPr>
          <w:rFonts w:ascii="Arial" w:hAnsi="Arial"/>
          <w:b/>
        </w:rPr>
        <w:t>Artículo 153-S. </w:t>
      </w:r>
      <w:r>
        <w:rPr/>
        <w:t>Cuando el patrón no dé cumplimiento a la obligación de conservar a disposición de la Secretaría del</w:t>
      </w:r>
      <w:r>
        <w:rPr>
          <w:spacing w:val="-1"/>
        </w:rPr>
        <w:t> </w:t>
      </w:r>
      <w:r>
        <w:rPr/>
        <w:t>Trabajo y</w:t>
      </w:r>
      <w:r>
        <w:rPr>
          <w:spacing w:val="-3"/>
        </w:rPr>
        <w:t> </w:t>
      </w:r>
      <w:r>
        <w:rPr/>
        <w:t>Previsión Social</w:t>
      </w:r>
      <w:r>
        <w:rPr>
          <w:spacing w:val="-1"/>
        </w:rPr>
        <w:t> </w:t>
      </w:r>
      <w:r>
        <w:rPr/>
        <w:t>los planes y programas de capacitación y</w:t>
      </w:r>
      <w:r>
        <w:rPr>
          <w:spacing w:val="-5"/>
        </w:rPr>
        <w:t> </w:t>
      </w:r>
      <w:r>
        <w:rPr/>
        <w:t>adiestramiento, en los términos del artículo 153-N, o cuando dichos planes y programas no se lleven a la práctica, será sancionado conforme a lo dispuesto en esta Ley, sin perjuicio de que, en cualquiera de los dos casos, la propia Secretaría adopte las medidas pertinentes para que el patrón cumpla con la obligación de que se </w:t>
      </w:r>
      <w:r>
        <w:rPr>
          <w:spacing w:val="-2"/>
        </w:rPr>
        <w:t>trata.</w:t>
      </w:r>
    </w:p>
    <w:p>
      <w:pPr>
        <w:spacing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ind w:left="338" w:right="338" w:firstLine="288"/>
        <w:jc w:val="both"/>
      </w:pPr>
      <w:bookmarkStart w:name="Artículo_153_T" w:id="193"/>
      <w:bookmarkEnd w:id="193"/>
      <w:r>
        <w:rPr/>
      </w:r>
      <w:r>
        <w:rPr>
          <w:rFonts w:ascii="Arial" w:hAnsi="Arial"/>
          <w:b/>
        </w:rPr>
        <w:t>Artículo 153-T.- </w:t>
      </w:r>
      <w:r>
        <w:rPr/>
        <w:t>Los trabajadores que hayan sido aprobados en los exámenes de capacitación y adiestramiento en los términos de este Capítulo, tendrán derecho a que la entidad instructora les expida las constancias respectivas, mismas que, autentificadas por la Comisión Mixta de Capacitación y Adiestramiento de la Empresa, se harán del conocimiento de la Secretaría del Trabajo y</w:t>
      </w:r>
      <w:r>
        <w:rPr>
          <w:spacing w:val="-3"/>
        </w:rPr>
        <w:t> </w:t>
      </w:r>
      <w:r>
        <w:rPr/>
        <w:t>Previsión Social, por conducto del correspondiente Comité Nacional o, a falta de éste, a través de las autoridades del trabajo a fin de que la propia Secretaría las registre y las tome en cuenta al formular el padrón de trabajadores capacitados que corresponda, en los términos de la fracción IV del artículo 539.</w:t>
      </w:r>
    </w:p>
    <w:p>
      <w:pPr>
        <w:spacing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1983</w:t>
      </w:r>
    </w:p>
    <w:p>
      <w:pPr>
        <w:spacing w:after="0"/>
        <w:jc w:val="lef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BodyText"/>
        <w:ind w:left="338" w:right="337" w:firstLine="288"/>
        <w:jc w:val="both"/>
      </w:pPr>
      <w:bookmarkStart w:name="Artículo_153_U" w:id="194"/>
      <w:bookmarkEnd w:id="194"/>
      <w:r>
        <w:rPr/>
      </w:r>
      <w:r>
        <w:rPr>
          <w:rFonts w:ascii="Arial" w:hAnsi="Arial"/>
          <w:b/>
        </w:rPr>
        <w:t>Artículo 153-U. </w:t>
      </w:r>
      <w:r>
        <w:rPr/>
        <w:t>Cuando implantado un programa de capacitación, un trabajador se niegue a recibir ésta, por considerar que tiene los conocimientos necesarios para el desempeño de su puesto y del inmediato superior, deberá acreditar documentalmente dicha capacidad mediante el correspondiente certificado de competencia laboral o presentar y aprobar, ante la entidad instructora, el examen de suficiencia respectivo.</w:t>
      </w:r>
    </w:p>
    <w:p>
      <w:pPr>
        <w:pStyle w:val="BodyText"/>
        <w:spacing w:before="2"/>
      </w:pPr>
    </w:p>
    <w:p>
      <w:pPr>
        <w:pStyle w:val="BodyText"/>
        <w:ind w:left="338" w:right="335" w:firstLine="288"/>
        <w:jc w:val="both"/>
      </w:pPr>
      <w:r>
        <w:rPr/>
        <w:t>En este último caso, se extenderá a dicho trabajador la constancia de competencias o de habilidades </w:t>
      </w:r>
      <w:r>
        <w:rPr>
          <w:spacing w:val="-2"/>
        </w:rPr>
        <w:t>laborales.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28-04-1978.</w:t>
      </w:r>
      <w:r>
        <w:rPr>
          <w:rFonts w:ascii="Times New Roman" w:hAnsi="Times New Roman"/>
          <w:i/>
          <w:color w:val="0000FF"/>
          <w:spacing w:val="-4"/>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30-12-1983.</w:t>
      </w:r>
      <w:r>
        <w:rPr>
          <w:rFonts w:ascii="Times New Roman" w:hAnsi="Times New Roman"/>
          <w:i/>
          <w:color w:val="0000FF"/>
          <w:spacing w:val="-6"/>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13-04-1984.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45" w:firstLine="288"/>
      </w:pPr>
      <w:bookmarkStart w:name="Artículo_153_V" w:id="195"/>
      <w:bookmarkEnd w:id="195"/>
      <w:r>
        <w:rPr/>
      </w:r>
      <w:r>
        <w:rPr>
          <w:rFonts w:ascii="Arial" w:hAnsi="Arial"/>
          <w:b/>
        </w:rPr>
        <w:t>Artículo</w:t>
      </w:r>
      <w:r>
        <w:rPr>
          <w:rFonts w:ascii="Arial" w:hAnsi="Arial"/>
          <w:b/>
          <w:spacing w:val="23"/>
        </w:rPr>
        <w:t> </w:t>
      </w:r>
      <w:r>
        <w:rPr>
          <w:rFonts w:ascii="Arial" w:hAnsi="Arial"/>
          <w:b/>
        </w:rPr>
        <w:t>153-V</w:t>
      </w:r>
      <w:r>
        <w:rPr/>
        <w:t>.</w:t>
      </w:r>
      <w:r>
        <w:rPr>
          <w:spacing w:val="24"/>
        </w:rPr>
        <w:t> </w:t>
      </w:r>
      <w:r>
        <w:rPr/>
        <w:t>La</w:t>
      </w:r>
      <w:r>
        <w:rPr>
          <w:spacing w:val="22"/>
        </w:rPr>
        <w:t> </w:t>
      </w:r>
      <w:r>
        <w:rPr/>
        <w:t>constancia</w:t>
      </w:r>
      <w:r>
        <w:rPr>
          <w:spacing w:val="22"/>
        </w:rPr>
        <w:t> </w:t>
      </w:r>
      <w:r>
        <w:rPr/>
        <w:t>de</w:t>
      </w:r>
      <w:r>
        <w:rPr>
          <w:spacing w:val="22"/>
        </w:rPr>
        <w:t> </w:t>
      </w:r>
      <w:r>
        <w:rPr/>
        <w:t>competencias</w:t>
      </w:r>
      <w:r>
        <w:rPr>
          <w:spacing w:val="23"/>
        </w:rPr>
        <w:t> </w:t>
      </w:r>
      <w:r>
        <w:rPr/>
        <w:t>o</w:t>
      </w:r>
      <w:r>
        <w:rPr>
          <w:spacing w:val="24"/>
        </w:rPr>
        <w:t> </w:t>
      </w:r>
      <w:r>
        <w:rPr/>
        <w:t>de</w:t>
      </w:r>
      <w:r>
        <w:rPr>
          <w:spacing w:val="22"/>
        </w:rPr>
        <w:t> </w:t>
      </w:r>
      <w:r>
        <w:rPr/>
        <w:t>habilidades</w:t>
      </w:r>
      <w:r>
        <w:rPr>
          <w:spacing w:val="25"/>
        </w:rPr>
        <w:t> </w:t>
      </w:r>
      <w:r>
        <w:rPr/>
        <w:t>laborales</w:t>
      </w:r>
      <w:r>
        <w:rPr>
          <w:spacing w:val="23"/>
        </w:rPr>
        <w:t> </w:t>
      </w:r>
      <w:r>
        <w:rPr/>
        <w:t>es</w:t>
      </w:r>
      <w:r>
        <w:rPr>
          <w:spacing w:val="23"/>
        </w:rPr>
        <w:t> </w:t>
      </w:r>
      <w:r>
        <w:rPr/>
        <w:t>el</w:t>
      </w:r>
      <w:r>
        <w:rPr>
          <w:spacing w:val="21"/>
        </w:rPr>
        <w:t> </w:t>
      </w:r>
      <w:r>
        <w:rPr/>
        <w:t>documento</w:t>
      </w:r>
      <w:r>
        <w:rPr>
          <w:spacing w:val="22"/>
        </w:rPr>
        <w:t> </w:t>
      </w:r>
      <w:r>
        <w:rPr/>
        <w:t>con</w:t>
      </w:r>
      <w:r>
        <w:rPr>
          <w:spacing w:val="22"/>
        </w:rPr>
        <w:t> </w:t>
      </w:r>
      <w:r>
        <w:rPr/>
        <w:t>el cual el trabajador acreditará haber llevado y aprobado un curso de capacitación.</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50"/>
        <w:rPr>
          <w:rFonts w:ascii="Times New Roman"/>
          <w:i/>
          <w:sz w:val="16"/>
        </w:rPr>
      </w:pPr>
    </w:p>
    <w:p>
      <w:pPr>
        <w:pStyle w:val="BodyText"/>
        <w:spacing w:before="1"/>
        <w:ind w:left="338" w:right="382" w:firstLine="288"/>
      </w:pPr>
      <w:r>
        <w:rPr/>
        <w:t>Las empresas están obligadas a enviar a la Secretaría del Trabajo y Previsión Social para su registro</w:t>
      </w:r>
      <w:r>
        <w:rPr>
          <w:spacing w:val="40"/>
        </w:rPr>
        <w:t> </w:t>
      </w:r>
      <w:r>
        <w:rPr/>
        <w:t>y control, listas de las constancias que se hayan expedido a sus trabajadores.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1983</w:t>
      </w:r>
    </w:p>
    <w:p>
      <w:pPr>
        <w:pStyle w:val="BodyText"/>
        <w:spacing w:before="49"/>
        <w:rPr>
          <w:rFonts w:ascii="Times New Roman"/>
          <w:i/>
          <w:sz w:val="16"/>
        </w:rPr>
      </w:pPr>
    </w:p>
    <w:p>
      <w:pPr>
        <w:pStyle w:val="BodyText"/>
        <w:spacing w:before="1"/>
        <w:ind w:left="338" w:right="343" w:firstLine="288"/>
        <w:jc w:val="both"/>
      </w:pPr>
      <w:r>
        <w:rPr/>
        <w:t>Las constancias de que se trata surtirán plenos efectos, para fines de ascenso, dentro de la empresa en que se haya proporcionado la capacitación o adiestramiento.</w:t>
      </w:r>
    </w:p>
    <w:p>
      <w:pPr>
        <w:spacing w:line="180" w:lineRule="exact" w:before="0"/>
        <w:ind w:left="0" w:right="335"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30-11-2012:</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5"/>
          <w:sz w:val="16"/>
        </w:rPr>
        <w:t> </w:t>
      </w:r>
      <w:r>
        <w:rPr>
          <w:rFonts w:ascii="Times New Roman" w:hAnsi="Times New Roman"/>
          <w:i/>
          <w:color w:val="585858"/>
          <w:spacing w:val="-2"/>
          <w:sz w:val="16"/>
        </w:rPr>
        <w:t>cuarto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8"/>
        <w:rPr>
          <w:rFonts w:ascii="Times New Roman"/>
          <w:i/>
          <w:sz w:val="16"/>
        </w:rPr>
      </w:pPr>
    </w:p>
    <w:p>
      <w:pPr>
        <w:pStyle w:val="BodyText"/>
        <w:ind w:left="338" w:right="336" w:firstLine="288"/>
        <w:jc w:val="both"/>
      </w:pPr>
      <w:bookmarkStart w:name="Artículo_153_W" w:id="196"/>
      <w:bookmarkEnd w:id="196"/>
      <w:r>
        <w:rPr/>
      </w:r>
      <w:r>
        <w:rPr>
          <w:rFonts w:ascii="Arial" w:hAnsi="Arial"/>
          <w:b/>
        </w:rPr>
        <w:t>Artículo 153-W.- </w:t>
      </w:r>
      <w:r>
        <w:rPr/>
        <w:t>Los certificados, diplomas, títulos o grados que expidan el Estado, sus organismos descentralizados o los particulares con reconocimiento de validez oficial de estudios, a quienes hayan concluido un tipo de educación con carácter terminal, serán inscritos en los registros de que trata el artículo 539, fracción IV, cuando el puesto y categoría correspondientes figuren en el Catálogo Nacional de Ocupaciones o sean similares a los incluidos en él.</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4"/>
        <w:rPr>
          <w:rFonts w:ascii="Times New Roman"/>
          <w:i/>
          <w:sz w:val="16"/>
        </w:rPr>
      </w:pPr>
    </w:p>
    <w:p>
      <w:pPr>
        <w:pStyle w:val="BodyText"/>
        <w:spacing w:line="242" w:lineRule="auto" w:before="1"/>
        <w:ind w:left="338" w:right="337" w:firstLine="288"/>
        <w:jc w:val="both"/>
      </w:pPr>
      <w:bookmarkStart w:name="Artículo_153_X" w:id="197"/>
      <w:bookmarkEnd w:id="197"/>
      <w:r>
        <w:rPr/>
      </w:r>
      <w:r>
        <w:rPr>
          <w:rFonts w:ascii="Arial" w:hAnsi="Arial"/>
          <w:b/>
        </w:rPr>
        <w:t>Artículo 153-X.- </w:t>
      </w:r>
      <w:r>
        <w:rPr/>
        <w:t>Los trabajadores y patrones tendrán derecho a ejercitar ante los Tribunales las acciones individuales y</w:t>
      </w:r>
      <w:r>
        <w:rPr>
          <w:spacing w:val="-5"/>
        </w:rPr>
        <w:t> </w:t>
      </w:r>
      <w:r>
        <w:rPr/>
        <w:t>colectivas</w:t>
      </w:r>
      <w:r>
        <w:rPr>
          <w:spacing w:val="-1"/>
        </w:rPr>
        <w:t> </w:t>
      </w:r>
      <w:r>
        <w:rPr/>
        <w:t>que</w:t>
      </w:r>
      <w:r>
        <w:rPr>
          <w:spacing w:val="-2"/>
        </w:rPr>
        <w:t> </w:t>
      </w:r>
      <w:r>
        <w:rPr/>
        <w:t>deriven de la obligación</w:t>
      </w:r>
      <w:r>
        <w:rPr>
          <w:spacing w:val="-3"/>
        </w:rPr>
        <w:t> </w:t>
      </w:r>
      <w:r>
        <w:rPr/>
        <w:t>de</w:t>
      </w:r>
      <w:r>
        <w:rPr>
          <w:spacing w:val="-2"/>
        </w:rPr>
        <w:t> </w:t>
      </w:r>
      <w:r>
        <w:rPr/>
        <w:t>capacitación o adiestramiento</w:t>
      </w:r>
      <w:r>
        <w:rPr>
          <w:spacing w:val="-2"/>
        </w:rPr>
        <w:t> </w:t>
      </w:r>
      <w:r>
        <w:rPr/>
        <w:t>impuesta en este capítulo.</w:t>
      </w:r>
    </w:p>
    <w:p>
      <w:pPr>
        <w:spacing w:line="178"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3"/>
        <w:rPr>
          <w:rFonts w:ascii="Times New Roman"/>
          <w:i/>
          <w:sz w:val="16"/>
        </w:rPr>
      </w:pPr>
    </w:p>
    <w:p>
      <w:pPr>
        <w:pStyle w:val="Heading1"/>
      </w:pPr>
      <w:r>
        <w:rPr/>
        <w:t>CAPITULO</w:t>
      </w:r>
      <w:r>
        <w:rPr>
          <w:spacing w:val="-9"/>
        </w:rPr>
        <w:t> </w:t>
      </w:r>
      <w:r>
        <w:rPr>
          <w:spacing w:val="-7"/>
        </w:rPr>
        <w:t>IV</w:t>
      </w:r>
    </w:p>
    <w:p>
      <w:pPr>
        <w:pStyle w:val="Heading2"/>
        <w:spacing w:before="1"/>
        <w:ind w:left="295"/>
      </w:pPr>
      <w:r>
        <w:rPr/>
        <w:t>Derechos</w:t>
      </w:r>
      <w:r>
        <w:rPr>
          <w:spacing w:val="-5"/>
        </w:rPr>
        <w:t> </w:t>
      </w:r>
      <w:r>
        <w:rPr/>
        <w:t>de</w:t>
      </w:r>
      <w:r>
        <w:rPr>
          <w:spacing w:val="-4"/>
        </w:rPr>
        <w:t> </w:t>
      </w:r>
      <w:r>
        <w:rPr/>
        <w:t>preferencia,</w:t>
      </w:r>
      <w:r>
        <w:rPr>
          <w:spacing w:val="-4"/>
        </w:rPr>
        <w:t> </w:t>
      </w:r>
      <w:r>
        <w:rPr/>
        <w:t>antigüedad</w:t>
      </w:r>
      <w:r>
        <w:rPr>
          <w:spacing w:val="-7"/>
        </w:rPr>
        <w:t> </w:t>
      </w:r>
      <w:r>
        <w:rPr/>
        <w:t>y</w:t>
      </w:r>
      <w:r>
        <w:rPr>
          <w:spacing w:val="-8"/>
        </w:rPr>
        <w:t> </w:t>
      </w:r>
      <w:r>
        <w:rPr>
          <w:spacing w:val="-2"/>
        </w:rPr>
        <w:t>ascenso</w:t>
      </w:r>
    </w:p>
    <w:p>
      <w:pPr>
        <w:pStyle w:val="BodyText"/>
        <w:spacing w:before="232"/>
        <w:ind w:left="338" w:right="339" w:firstLine="288"/>
        <w:jc w:val="both"/>
      </w:pPr>
      <w:bookmarkStart w:name="Artículo_154" w:id="198"/>
      <w:bookmarkEnd w:id="198"/>
      <w:r>
        <w:rPr/>
      </w:r>
      <w:r>
        <w:rPr>
          <w:rFonts w:ascii="Arial" w:hAnsi="Arial"/>
          <w:b/>
        </w:rPr>
        <w:t>Artículo 154. </w:t>
      </w:r>
      <w:r>
        <w:rPr/>
        <w:t>Los patrones estarán obligados a preferir, en igualdad de circunstancias, a los trabajadores mexicanos respecto de quienes no lo sean, a quienes les hayan servido satisfactoriamente por mayor tiempo, a quienes no teniendo ninguna otra fuente de ingreso económico tengan a su cargo una familia,</w:t>
      </w:r>
      <w:r>
        <w:rPr>
          <w:spacing w:val="-1"/>
        </w:rPr>
        <w:t> </w:t>
      </w:r>
      <w:r>
        <w:rPr/>
        <w:t>a los que hayan</w:t>
      </w:r>
      <w:r>
        <w:rPr>
          <w:spacing w:val="-1"/>
        </w:rPr>
        <w:t> </w:t>
      </w:r>
      <w:r>
        <w:rPr/>
        <w:t>terminado su educación básica obligatoria, a los capacitados respecto de los que no lo sean, a los que tengan mayor aptitud y conocimientos para realizar un trabajo y a los sindicalizados respecto de quienes no lo estén.</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before="1"/>
        <w:ind w:left="338" w:right="339" w:firstLine="288"/>
        <w:jc w:val="both"/>
      </w:pPr>
      <w:r>
        <w:rPr/>
        <w:t>Si existe contrato colectivo y éste contiene cláusula de admisión, la preferencia para ocupar las vacantes o puestos de nueva creación se regirá por lo que disponga el contrato colectivo y el estatuto </w:t>
      </w:r>
      <w:r>
        <w:rPr>
          <w:spacing w:val="-2"/>
        </w:rPr>
        <w:t>sindical.</w:t>
      </w:r>
    </w:p>
    <w:p>
      <w:pPr>
        <w:pStyle w:val="BodyText"/>
        <w:spacing w:before="1"/>
      </w:pPr>
    </w:p>
    <w:p>
      <w:pPr>
        <w:pStyle w:val="BodyText"/>
        <w:ind w:left="338" w:right="336" w:firstLine="288"/>
        <w:jc w:val="both"/>
      </w:pPr>
      <w:r>
        <w:rPr/>
        <w:t>Se entiende por sindicalizado a todo trabajador que se encuentre agremiado a cualquier organización sindical legalmente constituida.</w:t>
      </w:r>
    </w:p>
    <w:p>
      <w:pPr>
        <w:spacing w:line="180"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31-12-1974,</w:t>
      </w:r>
      <w:r>
        <w:rPr>
          <w:rFonts w:ascii="Times New Roman" w:hAnsi="Times New Roman"/>
          <w:i/>
          <w:color w:val="0000FF"/>
          <w:spacing w:val="-7"/>
          <w:sz w:val="16"/>
        </w:rPr>
        <w:t> </w:t>
      </w:r>
      <w:r>
        <w:rPr>
          <w:rFonts w:ascii="Times New Roman" w:hAnsi="Times New Roman"/>
          <w:i/>
          <w:color w:val="0000FF"/>
          <w:sz w:val="16"/>
        </w:rPr>
        <w:t>02-07-</w:t>
      </w:r>
      <w:r>
        <w:rPr>
          <w:rFonts w:ascii="Times New Roman" w:hAnsi="Times New Roman"/>
          <w:i/>
          <w:color w:val="0000FF"/>
          <w:spacing w:val="-4"/>
          <w:sz w:val="16"/>
        </w:rPr>
        <w:t>1976</w:t>
      </w:r>
    </w:p>
    <w:p>
      <w:pPr>
        <w:spacing w:after="0" w:line="180" w:lineRule="exact"/>
        <w:jc w:val="lef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BodyText"/>
        <w:ind w:left="338" w:right="336" w:firstLine="288"/>
        <w:jc w:val="both"/>
      </w:pPr>
      <w:bookmarkStart w:name="Artículo_155" w:id="199"/>
      <w:bookmarkEnd w:id="199"/>
      <w:r>
        <w:rPr/>
      </w:r>
      <w:r>
        <w:rPr>
          <w:rFonts w:ascii="Arial" w:hAnsi="Arial"/>
          <w:b/>
        </w:rPr>
        <w:t>Artículo 155.- </w:t>
      </w:r>
      <w:r>
        <w:rPr/>
        <w:t>Los trabajadores que se encuentren en los casos del artículo anterior y que aspiren a un puesto vacante o de nueva creación, deberán presentar una solicitud a la empresa o establecimiento indicando su domicilio y nacionalidad, si tienen a su cargo una familia y quienes dependen económicamente</w:t>
      </w:r>
      <w:r>
        <w:rPr>
          <w:spacing w:val="-2"/>
        </w:rPr>
        <w:t> </w:t>
      </w:r>
      <w:r>
        <w:rPr/>
        <w:t>de</w:t>
      </w:r>
      <w:r>
        <w:rPr>
          <w:spacing w:val="-3"/>
        </w:rPr>
        <w:t> </w:t>
      </w:r>
      <w:r>
        <w:rPr/>
        <w:t>ellos</w:t>
      </w:r>
      <w:r>
        <w:rPr>
          <w:spacing w:val="-1"/>
        </w:rPr>
        <w:t> </w:t>
      </w:r>
      <w:r>
        <w:rPr/>
        <w:t>si</w:t>
      </w:r>
      <w:r>
        <w:rPr>
          <w:spacing w:val="-3"/>
        </w:rPr>
        <w:t> </w:t>
      </w:r>
      <w:r>
        <w:rPr/>
        <w:t>prestaron</w:t>
      </w:r>
      <w:r>
        <w:rPr>
          <w:spacing w:val="-2"/>
        </w:rPr>
        <w:t> </w:t>
      </w:r>
      <w:r>
        <w:rPr/>
        <w:t>servicio</w:t>
      </w:r>
      <w:r>
        <w:rPr>
          <w:spacing w:val="-2"/>
        </w:rPr>
        <w:t> </w:t>
      </w:r>
      <w:r>
        <w:rPr/>
        <w:t>con</w:t>
      </w:r>
      <w:r>
        <w:rPr>
          <w:spacing w:val="-3"/>
        </w:rPr>
        <w:t> </w:t>
      </w:r>
      <w:r>
        <w:rPr/>
        <w:t>anterioridad y</w:t>
      </w:r>
      <w:r>
        <w:rPr>
          <w:spacing w:val="-5"/>
        </w:rPr>
        <w:t> </w:t>
      </w:r>
      <w:r>
        <w:rPr/>
        <w:t>por</w:t>
      </w:r>
      <w:r>
        <w:rPr>
          <w:spacing w:val="-1"/>
        </w:rPr>
        <w:t> </w:t>
      </w:r>
      <w:r>
        <w:rPr/>
        <w:t>qué</w:t>
      </w:r>
      <w:r>
        <w:rPr>
          <w:spacing w:val="-2"/>
        </w:rPr>
        <w:t> </w:t>
      </w:r>
      <w:r>
        <w:rPr/>
        <w:t>tiempo,</w:t>
      </w:r>
      <w:r>
        <w:rPr>
          <w:spacing w:val="-2"/>
        </w:rPr>
        <w:t> </w:t>
      </w:r>
      <w:r>
        <w:rPr/>
        <w:t>la</w:t>
      </w:r>
      <w:r>
        <w:rPr>
          <w:spacing w:val="-2"/>
        </w:rPr>
        <w:t> </w:t>
      </w:r>
      <w:r>
        <w:rPr/>
        <w:t>naturaleza</w:t>
      </w:r>
      <w:r>
        <w:rPr>
          <w:spacing w:val="-2"/>
        </w:rPr>
        <w:t> </w:t>
      </w:r>
      <w:r>
        <w:rPr/>
        <w:t>del</w:t>
      </w:r>
      <w:r>
        <w:rPr>
          <w:spacing w:val="-3"/>
        </w:rPr>
        <w:t> </w:t>
      </w:r>
      <w:r>
        <w:rPr/>
        <w:t>trabajo que desempeñaron y la denominación del sindicato a que pertenezcan, a fin de que sean llamados al ocurrir alguna vacante o crearse algún puesto nuevo; o presentarse a la empresa o establecimiento al momento de ocurrir la vacante o de crearse el puesto, comprobando la causa en que funden su solicitud.</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rPr>
          <w:rFonts w:ascii="Times New Roman"/>
          <w:i/>
          <w:sz w:val="16"/>
        </w:rPr>
      </w:pPr>
    </w:p>
    <w:p>
      <w:pPr>
        <w:pStyle w:val="BodyText"/>
        <w:spacing w:before="1"/>
        <w:ind w:left="338" w:right="336" w:firstLine="288"/>
        <w:jc w:val="both"/>
      </w:pPr>
      <w:bookmarkStart w:name="Artículo_156" w:id="200"/>
      <w:bookmarkEnd w:id="200"/>
      <w:r>
        <w:rPr/>
      </w:r>
      <w:r>
        <w:rPr>
          <w:rFonts w:ascii="Arial" w:hAnsi="Arial"/>
          <w:b/>
        </w:rPr>
        <w:t>Artículo 156.- </w:t>
      </w:r>
      <w:r>
        <w:rPr/>
        <w:t>De no existir contrato colectivo o no contener el celebrado la cláusula de admisión, serán aplicables las disposiciones contenidas en el primer</w:t>
      </w:r>
      <w:r>
        <w:rPr>
          <w:spacing w:val="-1"/>
        </w:rPr>
        <w:t> </w:t>
      </w:r>
      <w:r>
        <w:rPr/>
        <w:t>párrafo del artículo 154, a los trabajadores que habitualmente, sin tener el carácter de trabajadores de planta, prestan servicios en una empresa o establecimiento, supliendo las vacantes transitorias o temporales y a los que desempeñen trabajos extraordinarios o para obra determinada, que no constituyan una actividad normal o permanente de la </w:t>
      </w:r>
      <w:r>
        <w:rPr>
          <w:spacing w:val="-2"/>
        </w:rPr>
        <w:t>empresa.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02-07-</w:t>
      </w:r>
      <w:r>
        <w:rPr>
          <w:rFonts w:ascii="Times New Roman" w:hAnsi="Times New Roman"/>
          <w:i/>
          <w:color w:val="0000FF"/>
          <w:spacing w:val="-4"/>
          <w:sz w:val="16"/>
        </w:rPr>
        <w:t>1976</w:t>
      </w:r>
    </w:p>
    <w:p>
      <w:pPr>
        <w:pStyle w:val="BodyText"/>
        <w:spacing w:before="47"/>
        <w:rPr>
          <w:rFonts w:ascii="Times New Roman"/>
          <w:i/>
          <w:sz w:val="16"/>
        </w:rPr>
      </w:pPr>
    </w:p>
    <w:p>
      <w:pPr>
        <w:pStyle w:val="BodyText"/>
        <w:spacing w:line="242" w:lineRule="auto"/>
        <w:ind w:left="338" w:right="339" w:firstLine="288"/>
        <w:jc w:val="both"/>
      </w:pPr>
      <w:bookmarkStart w:name="Artículo_157" w:id="201"/>
      <w:bookmarkEnd w:id="201"/>
      <w:r>
        <w:rPr/>
      </w:r>
      <w:r>
        <w:rPr>
          <w:rFonts w:ascii="Arial" w:hAnsi="Arial"/>
          <w:b/>
        </w:rPr>
        <w:t>Artículo 157.- </w:t>
      </w:r>
      <w:r>
        <w:rPr/>
        <w:t>El incumplimiento de las obligaciones contenidas en los artículos 154 y</w:t>
      </w:r>
      <w:r>
        <w:rPr>
          <w:spacing w:val="-3"/>
        </w:rPr>
        <w:t> </w:t>
      </w:r>
      <w:r>
        <w:rPr/>
        <w:t>156 da derecho al trabajador para solicitar ante el Tribunal, a su elección, que se le otorgue el puesto correspondiente o se le indemnice con el importe de tres meses de salario. Tendrá además derecho a que se le paguen los salarios e intereses, en su caso, a que se refiere el párrafo segundo del artículo 48.</w:t>
      </w:r>
    </w:p>
    <w:p>
      <w:pPr>
        <w:spacing w:line="17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before="1"/>
        <w:ind w:left="338" w:right="346" w:firstLine="288"/>
        <w:jc w:val="both"/>
      </w:pPr>
      <w:bookmarkStart w:name="Artículo_158" w:id="202"/>
      <w:bookmarkEnd w:id="202"/>
      <w:r>
        <w:rPr/>
      </w:r>
      <w:r>
        <w:rPr>
          <w:rFonts w:ascii="Arial" w:hAnsi="Arial"/>
          <w:b/>
        </w:rPr>
        <w:t>Artículo 158.- </w:t>
      </w:r>
      <w:r>
        <w:rPr/>
        <w:t>Los trabajadores de planta y los mencionados en el artículo 156 tienen derecho en</w:t>
      </w:r>
      <w:r>
        <w:rPr>
          <w:spacing w:val="40"/>
        </w:rPr>
        <w:t> </w:t>
      </w:r>
      <w:r>
        <w:rPr/>
        <w:t>cada empresa o establecimiento a que se determine su antigüedad.</w:t>
      </w:r>
    </w:p>
    <w:p>
      <w:pPr>
        <w:pStyle w:val="BodyText"/>
        <w:spacing w:before="226"/>
        <w:ind w:left="338" w:right="339" w:firstLine="288"/>
        <w:jc w:val="both"/>
      </w:pPr>
      <w:r>
        <w:rPr/>
        <w:t>Una comisión integrada con representantes de los trabajadores y del patrón formulará el cuadro general de las antigüedades, distribuido por categorías de cada profesión u oficio y ordenará se le dé publicidad. Los trabajadores inconformes podrán formular objeciones ante la comisión y recurrir la resolución ante el Tribunal.</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0"/>
        <w:rPr>
          <w:rFonts w:ascii="Times New Roman"/>
          <w:i/>
          <w:sz w:val="16"/>
        </w:rPr>
      </w:pPr>
    </w:p>
    <w:p>
      <w:pPr>
        <w:pStyle w:val="BodyText"/>
        <w:spacing w:line="242" w:lineRule="auto" w:before="1"/>
        <w:ind w:left="338" w:right="342" w:firstLine="288"/>
        <w:jc w:val="both"/>
      </w:pPr>
      <w:bookmarkStart w:name="Artículo_159" w:id="203"/>
      <w:bookmarkEnd w:id="203"/>
      <w:r>
        <w:rPr/>
      </w:r>
      <w:r>
        <w:rPr>
          <w:rFonts w:ascii="Arial" w:hAnsi="Arial"/>
          <w:b/>
        </w:rPr>
        <w:t>Artículo 159. </w:t>
      </w:r>
      <w:r>
        <w:rPr/>
        <w:t>Las vacantes definitivas, las provisionales con duración mayor de treinta días y los puestos de nueva creación, serán cubiertos por el trabajador que tenga la categoría o rango inmediato inferior, así como mayor capacitación, con mayor antigüedad, demuestre mayor aptitud, acredite mayor productividad y sea apto para el puesto.</w:t>
      </w:r>
    </w:p>
    <w:p>
      <w:pPr>
        <w:spacing w:line="178" w:lineRule="exact" w:before="0"/>
        <w:ind w:left="56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31-12-1974,</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338" w:right="338" w:firstLine="288"/>
        <w:jc w:val="both"/>
      </w:pPr>
      <w:bookmarkStart w:name="Artículo_160" w:id="204"/>
      <w:bookmarkEnd w:id="204"/>
      <w:r>
        <w:rPr/>
      </w:r>
      <w:r>
        <w:rPr>
          <w:rFonts w:ascii="Arial" w:hAnsi="Arial"/>
          <w:b/>
        </w:rPr>
        <w:t>Artículo 160.- </w:t>
      </w:r>
      <w:r>
        <w:rPr/>
        <w:t>Cuando se trate de vacantes menores de treinta días, se estará a lo dispuesto en el párrafo primero del artículo anterior.</w:t>
      </w:r>
    </w:p>
    <w:p>
      <w:pPr>
        <w:pStyle w:val="BodyText"/>
        <w:spacing w:line="242" w:lineRule="auto" w:before="224"/>
        <w:ind w:left="338" w:right="346" w:firstLine="288"/>
        <w:jc w:val="both"/>
      </w:pPr>
      <w:bookmarkStart w:name="Artículo_161" w:id="205"/>
      <w:bookmarkEnd w:id="205"/>
      <w:r>
        <w:rPr/>
      </w:r>
      <w:r>
        <w:rPr>
          <w:rFonts w:ascii="Arial" w:hAnsi="Arial"/>
          <w:b/>
        </w:rPr>
        <w:t>Artículo 161.- </w:t>
      </w:r>
      <w:r>
        <w:rPr/>
        <w:t>Cuando la relación de trabajo haya tenido una duración de más de veinte años, el patrón sólo podrá rescindirla por alguna de las causas señaladas en el artículo 47, que sea particularmente grave o que haga imposible su continuación, pero se le impondrá al trabajador la corrección disciplinaria que corresponda, respetando los derechos que deriven de su antigüedad.</w:t>
      </w:r>
    </w:p>
    <w:p>
      <w:pPr>
        <w:pStyle w:val="BodyText"/>
        <w:spacing w:before="226"/>
        <w:ind w:left="338" w:right="341" w:firstLine="288"/>
        <w:jc w:val="both"/>
      </w:pPr>
      <w:r>
        <w:rPr/>
        <w:t>La repetición de la falta o la comisión de otra u otras, que constituyan una causa legal de rescisión, deja sin efecto la disposición anterior.</w:t>
      </w:r>
    </w:p>
    <w:p>
      <w:pPr>
        <w:pStyle w:val="BodyText"/>
        <w:spacing w:line="242" w:lineRule="auto" w:before="227"/>
        <w:ind w:left="338" w:right="341" w:firstLine="288"/>
        <w:jc w:val="both"/>
      </w:pPr>
      <w:bookmarkStart w:name="Artículo_162" w:id="206"/>
      <w:bookmarkEnd w:id="206"/>
      <w:r>
        <w:rPr/>
      </w:r>
      <w:r>
        <w:rPr>
          <w:rFonts w:ascii="Arial" w:hAnsi="Arial"/>
          <w:b/>
        </w:rPr>
        <w:t>Artículo 162.- </w:t>
      </w:r>
      <w:r>
        <w:rPr/>
        <w:t>Los trabajadores de planta tienen derecho a una prima de antigüedad, de conformidad con las normas siguientes:</w:t>
      </w:r>
    </w:p>
    <w:p>
      <w:pPr>
        <w:pStyle w:val="ListParagraph"/>
        <w:numPr>
          <w:ilvl w:val="0"/>
          <w:numId w:val="43"/>
        </w:numPr>
        <w:tabs>
          <w:tab w:pos="1195" w:val="left" w:leader="none"/>
        </w:tabs>
        <w:spacing w:line="240" w:lineRule="auto" w:before="226" w:after="0"/>
        <w:ind w:left="1195" w:right="339" w:hanging="569"/>
        <w:jc w:val="left"/>
        <w:rPr>
          <w:sz w:val="20"/>
        </w:rPr>
      </w:pPr>
      <w:r>
        <w:rPr>
          <w:sz w:val="20"/>
        </w:rPr>
        <w:t>La</w:t>
      </w:r>
      <w:r>
        <w:rPr>
          <w:spacing w:val="36"/>
          <w:sz w:val="20"/>
        </w:rPr>
        <w:t> </w:t>
      </w:r>
      <w:r>
        <w:rPr>
          <w:sz w:val="20"/>
        </w:rPr>
        <w:t>prima</w:t>
      </w:r>
      <w:r>
        <w:rPr>
          <w:spacing w:val="37"/>
          <w:sz w:val="20"/>
        </w:rPr>
        <w:t> </w:t>
      </w:r>
      <w:r>
        <w:rPr>
          <w:sz w:val="20"/>
        </w:rPr>
        <w:t>de</w:t>
      </w:r>
      <w:r>
        <w:rPr>
          <w:spacing w:val="36"/>
          <w:sz w:val="20"/>
        </w:rPr>
        <w:t> </w:t>
      </w:r>
      <w:r>
        <w:rPr>
          <w:sz w:val="20"/>
        </w:rPr>
        <w:t>antigüedad</w:t>
      </w:r>
      <w:r>
        <w:rPr>
          <w:spacing w:val="37"/>
          <w:sz w:val="20"/>
        </w:rPr>
        <w:t> </w:t>
      </w:r>
      <w:r>
        <w:rPr>
          <w:sz w:val="20"/>
        </w:rPr>
        <w:t>consistirá</w:t>
      </w:r>
      <w:r>
        <w:rPr>
          <w:spacing w:val="39"/>
          <w:sz w:val="20"/>
        </w:rPr>
        <w:t> </w:t>
      </w:r>
      <w:r>
        <w:rPr>
          <w:sz w:val="20"/>
        </w:rPr>
        <w:t>en</w:t>
      </w:r>
      <w:r>
        <w:rPr>
          <w:spacing w:val="39"/>
          <w:sz w:val="20"/>
        </w:rPr>
        <w:t> </w:t>
      </w:r>
      <w:r>
        <w:rPr>
          <w:sz w:val="20"/>
        </w:rPr>
        <w:t>el</w:t>
      </w:r>
      <w:r>
        <w:rPr>
          <w:spacing w:val="38"/>
          <w:sz w:val="20"/>
        </w:rPr>
        <w:t> </w:t>
      </w:r>
      <w:r>
        <w:rPr>
          <w:sz w:val="20"/>
        </w:rPr>
        <w:t>importe</w:t>
      </w:r>
      <w:r>
        <w:rPr>
          <w:spacing w:val="37"/>
          <w:sz w:val="20"/>
        </w:rPr>
        <w:t> </w:t>
      </w:r>
      <w:r>
        <w:rPr>
          <w:sz w:val="20"/>
        </w:rPr>
        <w:t>de</w:t>
      </w:r>
      <w:r>
        <w:rPr>
          <w:spacing w:val="39"/>
          <w:sz w:val="20"/>
        </w:rPr>
        <w:t> </w:t>
      </w:r>
      <w:r>
        <w:rPr>
          <w:sz w:val="20"/>
        </w:rPr>
        <w:t>doce</w:t>
      </w:r>
      <w:r>
        <w:rPr>
          <w:spacing w:val="37"/>
          <w:sz w:val="20"/>
        </w:rPr>
        <w:t> </w:t>
      </w:r>
      <w:r>
        <w:rPr>
          <w:sz w:val="20"/>
        </w:rPr>
        <w:t>días</w:t>
      </w:r>
      <w:r>
        <w:rPr>
          <w:spacing w:val="38"/>
          <w:sz w:val="20"/>
        </w:rPr>
        <w:t> </w:t>
      </w:r>
      <w:r>
        <w:rPr>
          <w:sz w:val="20"/>
        </w:rPr>
        <w:t>de</w:t>
      </w:r>
      <w:r>
        <w:rPr>
          <w:spacing w:val="37"/>
          <w:sz w:val="20"/>
        </w:rPr>
        <w:t> </w:t>
      </w:r>
      <w:r>
        <w:rPr>
          <w:sz w:val="20"/>
        </w:rPr>
        <w:t>salario,</w:t>
      </w:r>
      <w:r>
        <w:rPr>
          <w:spacing w:val="39"/>
          <w:sz w:val="20"/>
        </w:rPr>
        <w:t> </w:t>
      </w:r>
      <w:r>
        <w:rPr>
          <w:sz w:val="20"/>
        </w:rPr>
        <w:t>por</w:t>
      </w:r>
      <w:r>
        <w:rPr>
          <w:spacing w:val="40"/>
          <w:sz w:val="20"/>
        </w:rPr>
        <w:t> </w:t>
      </w:r>
      <w:r>
        <w:rPr>
          <w:sz w:val="20"/>
        </w:rPr>
        <w:t>cada</w:t>
      </w:r>
      <w:r>
        <w:rPr>
          <w:spacing w:val="37"/>
          <w:sz w:val="20"/>
        </w:rPr>
        <w:t> </w:t>
      </w:r>
      <w:r>
        <w:rPr>
          <w:sz w:val="20"/>
        </w:rPr>
        <w:t>año</w:t>
      </w:r>
      <w:r>
        <w:rPr>
          <w:spacing w:val="39"/>
          <w:sz w:val="20"/>
        </w:rPr>
        <w:t> </w:t>
      </w:r>
      <w:r>
        <w:rPr>
          <w:sz w:val="20"/>
        </w:rPr>
        <w:t>de </w:t>
      </w:r>
      <w:r>
        <w:rPr>
          <w:spacing w:val="-2"/>
          <w:sz w:val="20"/>
        </w:rPr>
        <w:t>servicios;</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3"/>
      </w:pPr>
    </w:p>
    <w:p>
      <w:pPr>
        <w:pStyle w:val="ListParagraph"/>
        <w:numPr>
          <w:ilvl w:val="0"/>
          <w:numId w:val="43"/>
        </w:numPr>
        <w:tabs>
          <w:tab w:pos="1195" w:val="left" w:leader="none"/>
        </w:tabs>
        <w:spacing w:line="240" w:lineRule="auto" w:before="0" w:after="0"/>
        <w:ind w:left="1195" w:right="0" w:hanging="569"/>
        <w:jc w:val="left"/>
        <w:rPr>
          <w:sz w:val="20"/>
        </w:rPr>
      </w:pPr>
      <w:r>
        <w:rPr>
          <w:sz w:val="20"/>
        </w:rPr>
        <w:t>Para</w:t>
      </w:r>
      <w:r>
        <w:rPr>
          <w:spacing w:val="-4"/>
          <w:sz w:val="20"/>
        </w:rPr>
        <w:t> </w:t>
      </w:r>
      <w:r>
        <w:rPr>
          <w:sz w:val="20"/>
        </w:rPr>
        <w:t>determinar</w:t>
      </w:r>
      <w:r>
        <w:rPr>
          <w:spacing w:val="-5"/>
          <w:sz w:val="20"/>
        </w:rPr>
        <w:t> </w:t>
      </w:r>
      <w:r>
        <w:rPr>
          <w:sz w:val="20"/>
        </w:rPr>
        <w:t>el</w:t>
      </w:r>
      <w:r>
        <w:rPr>
          <w:spacing w:val="-7"/>
          <w:sz w:val="20"/>
        </w:rPr>
        <w:t> </w:t>
      </w:r>
      <w:r>
        <w:rPr>
          <w:sz w:val="20"/>
        </w:rPr>
        <w:t>monto</w:t>
      </w:r>
      <w:r>
        <w:rPr>
          <w:spacing w:val="-7"/>
          <w:sz w:val="20"/>
        </w:rPr>
        <w:t> </w:t>
      </w:r>
      <w:r>
        <w:rPr>
          <w:sz w:val="20"/>
        </w:rPr>
        <w:t>del</w:t>
      </w:r>
      <w:r>
        <w:rPr>
          <w:spacing w:val="-6"/>
          <w:sz w:val="20"/>
        </w:rPr>
        <w:t> </w:t>
      </w:r>
      <w:r>
        <w:rPr>
          <w:sz w:val="20"/>
        </w:rPr>
        <w:t>salario,</w:t>
      </w:r>
      <w:r>
        <w:rPr>
          <w:spacing w:val="-6"/>
          <w:sz w:val="20"/>
        </w:rPr>
        <w:t> </w:t>
      </w:r>
      <w:r>
        <w:rPr>
          <w:sz w:val="20"/>
        </w:rPr>
        <w:t>se</w:t>
      </w:r>
      <w:r>
        <w:rPr>
          <w:spacing w:val="-6"/>
          <w:sz w:val="20"/>
        </w:rPr>
        <w:t> </w:t>
      </w:r>
      <w:r>
        <w:rPr>
          <w:sz w:val="20"/>
        </w:rPr>
        <w:t>estará</w:t>
      </w:r>
      <w:r>
        <w:rPr>
          <w:spacing w:val="-5"/>
          <w:sz w:val="20"/>
        </w:rPr>
        <w:t> </w:t>
      </w:r>
      <w:r>
        <w:rPr>
          <w:sz w:val="20"/>
        </w:rPr>
        <w:t>a</w:t>
      </w:r>
      <w:r>
        <w:rPr>
          <w:spacing w:val="-4"/>
          <w:sz w:val="20"/>
        </w:rPr>
        <w:t> </w:t>
      </w:r>
      <w:r>
        <w:rPr>
          <w:sz w:val="20"/>
        </w:rPr>
        <w:t>lo</w:t>
      </w:r>
      <w:r>
        <w:rPr>
          <w:spacing w:val="-4"/>
          <w:sz w:val="20"/>
        </w:rPr>
        <w:t> </w:t>
      </w:r>
      <w:r>
        <w:rPr>
          <w:sz w:val="20"/>
        </w:rPr>
        <w:t>dispuesto</w:t>
      </w:r>
      <w:r>
        <w:rPr>
          <w:spacing w:val="-4"/>
          <w:sz w:val="20"/>
        </w:rPr>
        <w:t> </w:t>
      </w:r>
      <w:r>
        <w:rPr>
          <w:sz w:val="20"/>
        </w:rPr>
        <w:t>en</w:t>
      </w:r>
      <w:r>
        <w:rPr>
          <w:spacing w:val="-5"/>
          <w:sz w:val="20"/>
        </w:rPr>
        <w:t> </w:t>
      </w:r>
      <w:r>
        <w:rPr>
          <w:sz w:val="20"/>
        </w:rPr>
        <w:t>los</w:t>
      </w:r>
      <w:r>
        <w:rPr>
          <w:spacing w:val="-5"/>
          <w:sz w:val="20"/>
        </w:rPr>
        <w:t> </w:t>
      </w:r>
      <w:r>
        <w:rPr>
          <w:sz w:val="20"/>
        </w:rPr>
        <w:t>artículos</w:t>
      </w:r>
      <w:r>
        <w:rPr>
          <w:spacing w:val="-5"/>
          <w:sz w:val="20"/>
        </w:rPr>
        <w:t> </w:t>
      </w:r>
      <w:r>
        <w:rPr>
          <w:sz w:val="20"/>
        </w:rPr>
        <w:t>485</w:t>
      </w:r>
      <w:r>
        <w:rPr>
          <w:spacing w:val="-3"/>
          <w:sz w:val="20"/>
        </w:rPr>
        <w:t> </w:t>
      </w:r>
      <w:r>
        <w:rPr>
          <w:sz w:val="20"/>
        </w:rPr>
        <w:t>y</w:t>
      </w:r>
      <w:r>
        <w:rPr>
          <w:spacing w:val="-7"/>
          <w:sz w:val="20"/>
        </w:rPr>
        <w:t> </w:t>
      </w:r>
      <w:r>
        <w:rPr>
          <w:spacing w:val="-4"/>
          <w:sz w:val="20"/>
        </w:rPr>
        <w:t>486;</w:t>
      </w:r>
    </w:p>
    <w:p>
      <w:pPr>
        <w:pStyle w:val="BodyText"/>
        <w:spacing w:before="1"/>
      </w:pPr>
    </w:p>
    <w:p>
      <w:pPr>
        <w:pStyle w:val="ListParagraph"/>
        <w:numPr>
          <w:ilvl w:val="0"/>
          <w:numId w:val="43"/>
        </w:numPr>
        <w:tabs>
          <w:tab w:pos="1191" w:val="left" w:leader="none"/>
          <w:tab w:pos="1195" w:val="left" w:leader="none"/>
        </w:tabs>
        <w:spacing w:line="240" w:lineRule="auto" w:before="0" w:after="0"/>
        <w:ind w:left="1195" w:right="339" w:hanging="569"/>
        <w:jc w:val="both"/>
        <w:rPr>
          <w:sz w:val="20"/>
        </w:rPr>
      </w:pPr>
      <w:r>
        <w:rPr>
          <w:sz w:val="20"/>
        </w:rPr>
        <w:t>La prima de antigüedad se pagará a los trabajadores que se separen voluntariamente de su empleo, siempre que hayan cumplido quince años de servicios, por lo menos. Asimismo se pagará a los que se separen por causa justificada y a los que sean separados de su empleo, independientemente de la justificación o injustificación del despido;</w:t>
      </w:r>
    </w:p>
    <w:p>
      <w:pPr>
        <w:pStyle w:val="BodyText"/>
      </w:pPr>
    </w:p>
    <w:p>
      <w:pPr>
        <w:pStyle w:val="ListParagraph"/>
        <w:numPr>
          <w:ilvl w:val="0"/>
          <w:numId w:val="43"/>
        </w:numPr>
        <w:tabs>
          <w:tab w:pos="1195" w:val="left" w:leader="none"/>
        </w:tabs>
        <w:spacing w:line="242" w:lineRule="auto" w:before="0" w:after="0"/>
        <w:ind w:left="1195" w:right="343" w:hanging="569"/>
        <w:jc w:val="both"/>
        <w:rPr>
          <w:sz w:val="20"/>
        </w:rPr>
      </w:pPr>
      <w:r>
        <w:rPr>
          <w:sz w:val="20"/>
        </w:rPr>
        <w:t>Para el</w:t>
      </w:r>
      <w:r>
        <w:rPr>
          <w:spacing w:val="-1"/>
          <w:sz w:val="20"/>
        </w:rPr>
        <w:t> </w:t>
      </w:r>
      <w:r>
        <w:rPr>
          <w:sz w:val="20"/>
        </w:rPr>
        <w:t>pago</w:t>
      </w:r>
      <w:r>
        <w:rPr>
          <w:spacing w:val="-2"/>
          <w:sz w:val="20"/>
        </w:rPr>
        <w:t> </w:t>
      </w:r>
      <w:r>
        <w:rPr>
          <w:sz w:val="20"/>
        </w:rPr>
        <w:t>de</w:t>
      </w:r>
      <w:r>
        <w:rPr>
          <w:spacing w:val="-2"/>
          <w:sz w:val="20"/>
        </w:rPr>
        <w:t> </w:t>
      </w:r>
      <w:r>
        <w:rPr>
          <w:sz w:val="20"/>
        </w:rPr>
        <w:t>la</w:t>
      </w:r>
      <w:r>
        <w:rPr>
          <w:spacing w:val="-2"/>
          <w:sz w:val="20"/>
        </w:rPr>
        <w:t> </w:t>
      </w:r>
      <w:r>
        <w:rPr>
          <w:sz w:val="20"/>
        </w:rPr>
        <w:t>prima</w:t>
      </w:r>
      <w:r>
        <w:rPr>
          <w:spacing w:val="-2"/>
          <w:sz w:val="20"/>
        </w:rPr>
        <w:t> </w:t>
      </w:r>
      <w:r>
        <w:rPr>
          <w:sz w:val="20"/>
        </w:rPr>
        <w:t>en</w:t>
      </w:r>
      <w:r>
        <w:rPr>
          <w:spacing w:val="-3"/>
          <w:sz w:val="20"/>
        </w:rPr>
        <w:t> </w:t>
      </w:r>
      <w:r>
        <w:rPr>
          <w:sz w:val="20"/>
        </w:rPr>
        <w:t>los</w:t>
      </w:r>
      <w:r>
        <w:rPr>
          <w:spacing w:val="-1"/>
          <w:sz w:val="20"/>
        </w:rPr>
        <w:t> </w:t>
      </w:r>
      <w:r>
        <w:rPr>
          <w:sz w:val="20"/>
        </w:rPr>
        <w:t>casos de</w:t>
      </w:r>
      <w:r>
        <w:rPr>
          <w:spacing w:val="-3"/>
          <w:sz w:val="20"/>
        </w:rPr>
        <w:t> </w:t>
      </w:r>
      <w:r>
        <w:rPr>
          <w:sz w:val="20"/>
        </w:rPr>
        <w:t>retiro voluntario de los</w:t>
      </w:r>
      <w:r>
        <w:rPr>
          <w:spacing w:val="-1"/>
          <w:sz w:val="20"/>
        </w:rPr>
        <w:t> </w:t>
      </w:r>
      <w:r>
        <w:rPr>
          <w:sz w:val="20"/>
        </w:rPr>
        <w:t>trabajadores,</w:t>
      </w:r>
      <w:r>
        <w:rPr>
          <w:spacing w:val="-2"/>
          <w:sz w:val="20"/>
        </w:rPr>
        <w:t> </w:t>
      </w:r>
      <w:r>
        <w:rPr>
          <w:sz w:val="20"/>
        </w:rPr>
        <w:t>se observarán las normas siguientes:</w:t>
      </w:r>
    </w:p>
    <w:p>
      <w:pPr>
        <w:pStyle w:val="ListParagraph"/>
        <w:numPr>
          <w:ilvl w:val="1"/>
          <w:numId w:val="43"/>
        </w:numPr>
        <w:tabs>
          <w:tab w:pos="1760" w:val="left" w:leader="none"/>
          <w:tab w:pos="1762" w:val="left" w:leader="none"/>
        </w:tabs>
        <w:spacing w:line="240" w:lineRule="auto" w:before="227" w:after="0"/>
        <w:ind w:left="1762" w:right="339" w:hanging="567"/>
        <w:jc w:val="both"/>
        <w:rPr>
          <w:sz w:val="20"/>
        </w:rPr>
      </w:pPr>
      <w:r>
        <w:rPr>
          <w:sz w:val="20"/>
        </w:rPr>
        <w:t>Si el número de trabajadores que se retire dentro del término de un año no excede del diez por ciento del total de los trabajadores de la empresa o establecimiento, o de los de una categoría determinada, el pago se hará en el momento del retiro.</w:t>
      </w:r>
    </w:p>
    <w:p>
      <w:pPr>
        <w:pStyle w:val="ListParagraph"/>
        <w:numPr>
          <w:ilvl w:val="1"/>
          <w:numId w:val="43"/>
        </w:numPr>
        <w:tabs>
          <w:tab w:pos="1759" w:val="left" w:leader="none"/>
          <w:tab w:pos="1762" w:val="left" w:leader="none"/>
        </w:tabs>
        <w:spacing w:line="240" w:lineRule="auto" w:before="229" w:after="0"/>
        <w:ind w:left="1762" w:right="338" w:hanging="567"/>
        <w:jc w:val="both"/>
        <w:rPr>
          <w:sz w:val="20"/>
        </w:rPr>
      </w:pPr>
      <w:r>
        <w:rPr>
          <w:sz w:val="20"/>
        </w:rPr>
        <w:t>Si el número de trabajadores que se retire excede del diez por ciento, se pagará a los</w:t>
      </w:r>
      <w:r>
        <w:rPr>
          <w:spacing w:val="80"/>
          <w:sz w:val="20"/>
        </w:rPr>
        <w:t> </w:t>
      </w:r>
      <w:r>
        <w:rPr>
          <w:sz w:val="20"/>
        </w:rPr>
        <w:t>que primeramente se retiren y podrá diferirse para el año siguiente el pago a los trabajadores que excedan de dicho porcentaje.</w:t>
      </w:r>
    </w:p>
    <w:p>
      <w:pPr>
        <w:pStyle w:val="ListParagraph"/>
        <w:numPr>
          <w:ilvl w:val="1"/>
          <w:numId w:val="43"/>
        </w:numPr>
        <w:tabs>
          <w:tab w:pos="1760" w:val="left" w:leader="none"/>
          <w:tab w:pos="1762" w:val="left" w:leader="none"/>
        </w:tabs>
        <w:spacing w:line="242" w:lineRule="auto" w:before="230" w:after="0"/>
        <w:ind w:left="1762" w:right="346" w:hanging="567"/>
        <w:jc w:val="both"/>
        <w:rPr>
          <w:sz w:val="20"/>
        </w:rPr>
      </w:pPr>
      <w:r>
        <w:rPr>
          <w:sz w:val="20"/>
        </w:rPr>
        <w:t>Si el retiro se efectúa al mismo tiempo por un número de trabajadores mayor del porcentaje mencionado, se cubrirá la prima a los que tengan mayor antigüedad y podrá diferirse</w:t>
      </w:r>
      <w:r>
        <w:rPr>
          <w:spacing w:val="-3"/>
          <w:sz w:val="20"/>
        </w:rPr>
        <w:t> </w:t>
      </w:r>
      <w:r>
        <w:rPr>
          <w:sz w:val="20"/>
        </w:rPr>
        <w:t>para</w:t>
      </w:r>
      <w:r>
        <w:rPr>
          <w:spacing w:val="-1"/>
          <w:sz w:val="20"/>
        </w:rPr>
        <w:t> </w:t>
      </w:r>
      <w:r>
        <w:rPr>
          <w:sz w:val="20"/>
        </w:rPr>
        <w:t>el</w:t>
      </w:r>
      <w:r>
        <w:rPr>
          <w:spacing w:val="-2"/>
          <w:sz w:val="20"/>
        </w:rPr>
        <w:t> </w:t>
      </w:r>
      <w:r>
        <w:rPr>
          <w:sz w:val="20"/>
        </w:rPr>
        <w:t>año</w:t>
      </w:r>
      <w:r>
        <w:rPr>
          <w:spacing w:val="-3"/>
          <w:sz w:val="20"/>
        </w:rPr>
        <w:t> </w:t>
      </w:r>
      <w:r>
        <w:rPr>
          <w:sz w:val="20"/>
        </w:rPr>
        <w:t>siguiente</w:t>
      </w:r>
      <w:r>
        <w:rPr>
          <w:spacing w:val="-4"/>
          <w:sz w:val="20"/>
        </w:rPr>
        <w:t> </w:t>
      </w:r>
      <w:r>
        <w:rPr>
          <w:sz w:val="20"/>
        </w:rPr>
        <w:t>el</w:t>
      </w:r>
      <w:r>
        <w:rPr>
          <w:spacing w:val="-4"/>
          <w:sz w:val="20"/>
        </w:rPr>
        <w:t> </w:t>
      </w:r>
      <w:r>
        <w:rPr>
          <w:sz w:val="20"/>
        </w:rPr>
        <w:t>pago</w:t>
      </w:r>
      <w:r>
        <w:rPr>
          <w:spacing w:val="-2"/>
          <w:sz w:val="20"/>
        </w:rPr>
        <w:t> </w:t>
      </w:r>
      <w:r>
        <w:rPr>
          <w:sz w:val="20"/>
        </w:rPr>
        <w:t>de</w:t>
      </w:r>
      <w:r>
        <w:rPr>
          <w:spacing w:val="-2"/>
          <w:sz w:val="20"/>
        </w:rPr>
        <w:t> </w:t>
      </w:r>
      <w:r>
        <w:rPr>
          <w:sz w:val="20"/>
        </w:rPr>
        <w:t>la</w:t>
      </w:r>
      <w:r>
        <w:rPr>
          <w:spacing w:val="-2"/>
          <w:sz w:val="20"/>
        </w:rPr>
        <w:t> </w:t>
      </w:r>
      <w:r>
        <w:rPr>
          <w:sz w:val="20"/>
        </w:rPr>
        <w:t>que</w:t>
      </w:r>
      <w:r>
        <w:rPr>
          <w:spacing w:val="-3"/>
          <w:sz w:val="20"/>
        </w:rPr>
        <w:t> </w:t>
      </w:r>
      <w:r>
        <w:rPr>
          <w:sz w:val="20"/>
        </w:rPr>
        <w:t>corresponda</w:t>
      </w:r>
      <w:r>
        <w:rPr>
          <w:spacing w:val="-2"/>
          <w:sz w:val="20"/>
        </w:rPr>
        <w:t> </w:t>
      </w:r>
      <w:r>
        <w:rPr>
          <w:sz w:val="20"/>
        </w:rPr>
        <w:t>a</w:t>
      </w:r>
      <w:r>
        <w:rPr>
          <w:spacing w:val="-2"/>
          <w:sz w:val="20"/>
        </w:rPr>
        <w:t> </w:t>
      </w:r>
      <w:r>
        <w:rPr>
          <w:sz w:val="20"/>
        </w:rPr>
        <w:t>los</w:t>
      </w:r>
      <w:r>
        <w:rPr>
          <w:spacing w:val="-2"/>
          <w:sz w:val="20"/>
        </w:rPr>
        <w:t> </w:t>
      </w:r>
      <w:r>
        <w:rPr>
          <w:sz w:val="20"/>
        </w:rPr>
        <w:t>restantes</w:t>
      </w:r>
      <w:r>
        <w:rPr>
          <w:spacing w:val="-2"/>
          <w:sz w:val="20"/>
        </w:rPr>
        <w:t> </w:t>
      </w:r>
      <w:r>
        <w:rPr>
          <w:sz w:val="20"/>
        </w:rPr>
        <w:t>trabajadores;</w:t>
      </w:r>
    </w:p>
    <w:p>
      <w:pPr>
        <w:spacing w:line="176" w:lineRule="exact" w:before="0"/>
        <w:ind w:left="0" w:right="333" w:firstLine="0"/>
        <w:jc w:val="right"/>
        <w:rPr>
          <w:rFonts w:ascii="Times New Roman"/>
          <w:i/>
          <w:sz w:val="16"/>
        </w:rPr>
      </w:pPr>
      <w:r>
        <w:rPr>
          <w:rFonts w:ascii="Times New Roman"/>
          <w:i/>
          <w:color w:val="0000FF"/>
          <w:sz w:val="16"/>
        </w:rPr>
        <w:t>Fe</w:t>
      </w:r>
      <w:r>
        <w:rPr>
          <w:rFonts w:ascii="Times New Roman"/>
          <w:i/>
          <w:color w:val="0000FF"/>
          <w:spacing w:val="-6"/>
          <w:sz w:val="16"/>
        </w:rPr>
        <w:t> </w:t>
      </w:r>
      <w:r>
        <w:rPr>
          <w:rFonts w:ascii="Times New Roman"/>
          <w:i/>
          <w:color w:val="0000FF"/>
          <w:sz w:val="16"/>
        </w:rPr>
        <w:t>de</w:t>
      </w:r>
      <w:r>
        <w:rPr>
          <w:rFonts w:ascii="Times New Roman"/>
          <w:i/>
          <w:color w:val="0000FF"/>
          <w:spacing w:val="-4"/>
          <w:sz w:val="16"/>
        </w:rPr>
        <w:t> </w:t>
      </w:r>
      <w:r>
        <w:rPr>
          <w:rFonts w:ascii="Times New Roman"/>
          <w:i/>
          <w:color w:val="0000FF"/>
          <w:sz w:val="16"/>
        </w:rPr>
        <w:t>erratas</w:t>
      </w:r>
      <w:r>
        <w:rPr>
          <w:rFonts w:ascii="Times New Roman"/>
          <w:i/>
          <w:color w:val="0000FF"/>
          <w:spacing w:val="-5"/>
          <w:sz w:val="16"/>
        </w:rPr>
        <w:t> </w:t>
      </w:r>
      <w:r>
        <w:rPr>
          <w:rFonts w:ascii="Times New Roman"/>
          <w:i/>
          <w:color w:val="0000FF"/>
          <w:sz w:val="16"/>
        </w:rPr>
        <w:t>al</w:t>
      </w:r>
      <w:r>
        <w:rPr>
          <w:rFonts w:ascii="Times New Roman"/>
          <w:i/>
          <w:color w:val="0000FF"/>
          <w:spacing w:val="-3"/>
          <w:sz w:val="16"/>
        </w:rPr>
        <w:t> </w:t>
      </w:r>
      <w:r>
        <w:rPr>
          <w:rFonts w:ascii="Times New Roman"/>
          <w:i/>
          <w:color w:val="0000FF"/>
          <w:sz w:val="16"/>
        </w:rPr>
        <w:t>inciso</w:t>
      </w:r>
      <w:r>
        <w:rPr>
          <w:rFonts w:ascii="Times New Roman"/>
          <w:i/>
          <w:color w:val="0000FF"/>
          <w:spacing w:val="-4"/>
          <w:sz w:val="16"/>
        </w:rPr>
        <w:t> </w:t>
      </w:r>
      <w:r>
        <w:rPr>
          <w:rFonts w:ascii="Times New Roman"/>
          <w:i/>
          <w:color w:val="0000FF"/>
          <w:sz w:val="16"/>
        </w:rPr>
        <w:t>DOF</w:t>
      </w:r>
      <w:r>
        <w:rPr>
          <w:rFonts w:ascii="Times New Roman"/>
          <w:i/>
          <w:color w:val="0000FF"/>
          <w:spacing w:val="-2"/>
          <w:sz w:val="16"/>
        </w:rPr>
        <w:t> </w:t>
      </w:r>
      <w:r>
        <w:rPr>
          <w:rFonts w:ascii="Times New Roman"/>
          <w:i/>
          <w:color w:val="0000FF"/>
          <w:sz w:val="16"/>
        </w:rPr>
        <w:t>05-06-</w:t>
      </w:r>
      <w:r>
        <w:rPr>
          <w:rFonts w:ascii="Times New Roman"/>
          <w:i/>
          <w:color w:val="0000FF"/>
          <w:spacing w:val="-4"/>
          <w:sz w:val="16"/>
        </w:rPr>
        <w:t>1970</w:t>
      </w:r>
    </w:p>
    <w:p>
      <w:pPr>
        <w:pStyle w:val="BodyText"/>
        <w:spacing w:before="47"/>
        <w:rPr>
          <w:rFonts w:ascii="Times New Roman"/>
          <w:i/>
          <w:sz w:val="16"/>
        </w:rPr>
      </w:pPr>
    </w:p>
    <w:p>
      <w:pPr>
        <w:pStyle w:val="ListParagraph"/>
        <w:numPr>
          <w:ilvl w:val="0"/>
          <w:numId w:val="43"/>
        </w:numPr>
        <w:tabs>
          <w:tab w:pos="1195" w:val="left" w:leader="none"/>
        </w:tabs>
        <w:spacing w:line="242" w:lineRule="auto" w:before="0" w:after="0"/>
        <w:ind w:left="1195" w:right="345" w:hanging="569"/>
        <w:jc w:val="both"/>
        <w:rPr>
          <w:sz w:val="20"/>
        </w:rPr>
      </w:pPr>
      <w:r>
        <w:rPr>
          <w:sz w:val="20"/>
        </w:rPr>
        <w:t>En caso de muerte del trabajador, cualquiera que sea su antigüedad, la prima que corresponda se pagará a las personas mencionadas en el artículo 501; y</w:t>
      </w:r>
    </w:p>
    <w:p>
      <w:pPr>
        <w:pStyle w:val="ListParagraph"/>
        <w:numPr>
          <w:ilvl w:val="0"/>
          <w:numId w:val="43"/>
        </w:numPr>
        <w:tabs>
          <w:tab w:pos="1195" w:val="left" w:leader="none"/>
        </w:tabs>
        <w:spacing w:line="240" w:lineRule="auto" w:before="227" w:after="0"/>
        <w:ind w:left="1195" w:right="343" w:hanging="569"/>
        <w:jc w:val="both"/>
        <w:rPr>
          <w:sz w:val="20"/>
        </w:rPr>
      </w:pPr>
      <w:r>
        <w:rPr>
          <w:sz w:val="20"/>
        </w:rPr>
        <w:t>La prima de antigüedad a que se refiere este artículo se cubrirá a los trabajadores o a sus beneficiarios, independientemente de cualquier otra prestación que les corresponda.</w:t>
      </w:r>
    </w:p>
    <w:p>
      <w:pPr>
        <w:pStyle w:val="Heading1"/>
        <w:spacing w:before="227"/>
      </w:pPr>
      <w:r>
        <w:rPr/>
        <w:t>CAPITULO</w:t>
      </w:r>
      <w:r>
        <w:rPr>
          <w:spacing w:val="-7"/>
        </w:rPr>
        <w:t> </w:t>
      </w:r>
      <w:r>
        <w:rPr>
          <w:spacing w:val="-12"/>
        </w:rPr>
        <w:t>V</w:t>
      </w:r>
    </w:p>
    <w:p>
      <w:pPr>
        <w:pStyle w:val="Heading2"/>
        <w:spacing w:before="1"/>
        <w:ind w:left="298"/>
      </w:pPr>
      <w:r>
        <w:rPr/>
        <w:t>Invenciones</w:t>
      </w:r>
      <w:r>
        <w:rPr>
          <w:spacing w:val="-5"/>
        </w:rPr>
        <w:t> </w:t>
      </w:r>
      <w:r>
        <w:rPr/>
        <w:t>de</w:t>
      </w:r>
      <w:r>
        <w:rPr>
          <w:spacing w:val="-6"/>
        </w:rPr>
        <w:t> </w:t>
      </w:r>
      <w:r>
        <w:rPr/>
        <w:t>los</w:t>
      </w:r>
      <w:r>
        <w:rPr>
          <w:spacing w:val="-6"/>
        </w:rPr>
        <w:t> </w:t>
      </w:r>
      <w:r>
        <w:rPr>
          <w:spacing w:val="-2"/>
        </w:rPr>
        <w:t>trabajadores</w:t>
      </w:r>
    </w:p>
    <w:p>
      <w:pPr>
        <w:pStyle w:val="BodyText"/>
        <w:spacing w:line="242" w:lineRule="auto" w:before="232"/>
        <w:ind w:left="338" w:firstLine="288"/>
      </w:pPr>
      <w:bookmarkStart w:name="Artículo_163" w:id="207"/>
      <w:bookmarkEnd w:id="207"/>
      <w:r>
        <w:rPr/>
      </w:r>
      <w:r>
        <w:rPr>
          <w:rFonts w:ascii="Arial" w:hAnsi="Arial"/>
          <w:b/>
        </w:rPr>
        <w:t>Artículo</w:t>
      </w:r>
      <w:r>
        <w:rPr>
          <w:rFonts w:ascii="Arial" w:hAnsi="Arial"/>
          <w:b/>
          <w:spacing w:val="40"/>
        </w:rPr>
        <w:t> </w:t>
      </w:r>
      <w:r>
        <w:rPr>
          <w:rFonts w:ascii="Arial" w:hAnsi="Arial"/>
          <w:b/>
        </w:rPr>
        <w:t>163.-</w:t>
      </w:r>
      <w:r>
        <w:rPr>
          <w:rFonts w:ascii="Arial" w:hAnsi="Arial"/>
          <w:b/>
          <w:spacing w:val="40"/>
        </w:rPr>
        <w:t> </w:t>
      </w:r>
      <w:r>
        <w:rPr/>
        <w:t>La</w:t>
      </w:r>
      <w:r>
        <w:rPr>
          <w:spacing w:val="40"/>
        </w:rPr>
        <w:t> </w:t>
      </w:r>
      <w:r>
        <w:rPr/>
        <w:t>atribución</w:t>
      </w:r>
      <w:r>
        <w:rPr>
          <w:spacing w:val="40"/>
        </w:rPr>
        <w:t> </w:t>
      </w:r>
      <w:r>
        <w:rPr/>
        <w:t>de</w:t>
      </w:r>
      <w:r>
        <w:rPr>
          <w:spacing w:val="40"/>
        </w:rPr>
        <w:t> </w:t>
      </w:r>
      <w:r>
        <w:rPr/>
        <w:t>los</w:t>
      </w:r>
      <w:r>
        <w:rPr>
          <w:spacing w:val="40"/>
        </w:rPr>
        <w:t> </w:t>
      </w:r>
      <w:r>
        <w:rPr/>
        <w:t>derechos</w:t>
      </w:r>
      <w:r>
        <w:rPr>
          <w:spacing w:val="40"/>
        </w:rPr>
        <w:t> </w:t>
      </w:r>
      <w:r>
        <w:rPr/>
        <w:t>al</w:t>
      </w:r>
      <w:r>
        <w:rPr>
          <w:spacing w:val="40"/>
        </w:rPr>
        <w:t> </w:t>
      </w:r>
      <w:r>
        <w:rPr/>
        <w:t>nombre</w:t>
      </w:r>
      <w:r>
        <w:rPr>
          <w:spacing w:val="40"/>
        </w:rPr>
        <w:t> </w:t>
      </w:r>
      <w:r>
        <w:rPr/>
        <w:t>y</w:t>
      </w:r>
      <w:r>
        <w:rPr>
          <w:spacing w:val="40"/>
        </w:rPr>
        <w:t> </w:t>
      </w:r>
      <w:r>
        <w:rPr/>
        <w:t>a</w:t>
      </w:r>
      <w:r>
        <w:rPr>
          <w:spacing w:val="40"/>
        </w:rPr>
        <w:t> </w:t>
      </w:r>
      <w:r>
        <w:rPr/>
        <w:t>la</w:t>
      </w:r>
      <w:r>
        <w:rPr>
          <w:spacing w:val="40"/>
        </w:rPr>
        <w:t> </w:t>
      </w:r>
      <w:r>
        <w:rPr/>
        <w:t>propiedad</w:t>
      </w:r>
      <w:r>
        <w:rPr>
          <w:spacing w:val="40"/>
        </w:rPr>
        <w:t> </w:t>
      </w:r>
      <w:r>
        <w:rPr/>
        <w:t>y</w:t>
      </w:r>
      <w:r>
        <w:rPr>
          <w:spacing w:val="40"/>
        </w:rPr>
        <w:t> </w:t>
      </w:r>
      <w:r>
        <w:rPr/>
        <w:t>explotación</w:t>
      </w:r>
      <w:r>
        <w:rPr>
          <w:spacing w:val="40"/>
        </w:rPr>
        <w:t> </w:t>
      </w:r>
      <w:r>
        <w:rPr/>
        <w:t>de</w:t>
      </w:r>
      <w:r>
        <w:rPr>
          <w:spacing w:val="40"/>
        </w:rPr>
        <w:t> </w:t>
      </w:r>
      <w:r>
        <w:rPr/>
        <w:t>las</w:t>
      </w:r>
      <w:r>
        <w:rPr>
          <w:spacing w:val="40"/>
        </w:rPr>
        <w:t> </w:t>
      </w:r>
      <w:r>
        <w:rPr/>
        <w:t>invenciones realizadas en la empresa, se regirá por las normas siguientes:</w:t>
      </w:r>
    </w:p>
    <w:p>
      <w:pPr>
        <w:pStyle w:val="ListParagraph"/>
        <w:numPr>
          <w:ilvl w:val="0"/>
          <w:numId w:val="44"/>
        </w:numPr>
        <w:tabs>
          <w:tab w:pos="1195" w:val="left" w:leader="none"/>
        </w:tabs>
        <w:spacing w:line="240" w:lineRule="auto" w:before="224" w:after="0"/>
        <w:ind w:left="1195" w:right="0" w:hanging="569"/>
        <w:jc w:val="left"/>
        <w:rPr>
          <w:sz w:val="20"/>
        </w:rPr>
      </w:pPr>
      <w:r>
        <w:rPr>
          <w:sz w:val="20"/>
        </w:rPr>
        <w:t>El</w:t>
      </w:r>
      <w:r>
        <w:rPr>
          <w:spacing w:val="-5"/>
          <w:sz w:val="20"/>
        </w:rPr>
        <w:t> </w:t>
      </w:r>
      <w:r>
        <w:rPr>
          <w:sz w:val="20"/>
        </w:rPr>
        <w:t>inventor</w:t>
      </w:r>
      <w:r>
        <w:rPr>
          <w:spacing w:val="-6"/>
          <w:sz w:val="20"/>
        </w:rPr>
        <w:t> </w:t>
      </w:r>
      <w:r>
        <w:rPr>
          <w:sz w:val="20"/>
        </w:rPr>
        <w:t>tendrá</w:t>
      </w:r>
      <w:r>
        <w:rPr>
          <w:spacing w:val="-4"/>
          <w:sz w:val="20"/>
        </w:rPr>
        <w:t> </w:t>
      </w:r>
      <w:r>
        <w:rPr>
          <w:sz w:val="20"/>
        </w:rPr>
        <w:t>derecho</w:t>
      </w:r>
      <w:r>
        <w:rPr>
          <w:spacing w:val="-4"/>
          <w:sz w:val="20"/>
        </w:rPr>
        <w:t> </w:t>
      </w:r>
      <w:r>
        <w:rPr>
          <w:sz w:val="20"/>
        </w:rPr>
        <w:t>a</w:t>
      </w:r>
      <w:r>
        <w:rPr>
          <w:spacing w:val="-6"/>
          <w:sz w:val="20"/>
        </w:rPr>
        <w:t> </w:t>
      </w:r>
      <w:r>
        <w:rPr>
          <w:sz w:val="20"/>
        </w:rPr>
        <w:t>que</w:t>
      </w:r>
      <w:r>
        <w:rPr>
          <w:spacing w:val="-6"/>
          <w:sz w:val="20"/>
        </w:rPr>
        <w:t> </w:t>
      </w:r>
      <w:r>
        <w:rPr>
          <w:sz w:val="20"/>
        </w:rPr>
        <w:t>su</w:t>
      </w:r>
      <w:r>
        <w:rPr>
          <w:spacing w:val="-5"/>
          <w:sz w:val="20"/>
        </w:rPr>
        <w:t> </w:t>
      </w:r>
      <w:r>
        <w:rPr>
          <w:sz w:val="20"/>
        </w:rPr>
        <w:t>nombre</w:t>
      </w:r>
      <w:r>
        <w:rPr>
          <w:spacing w:val="-6"/>
          <w:sz w:val="20"/>
        </w:rPr>
        <w:t> </w:t>
      </w:r>
      <w:r>
        <w:rPr>
          <w:sz w:val="20"/>
        </w:rPr>
        <w:t>figure</w:t>
      </w:r>
      <w:r>
        <w:rPr>
          <w:spacing w:val="-6"/>
          <w:sz w:val="20"/>
        </w:rPr>
        <w:t> </w:t>
      </w:r>
      <w:r>
        <w:rPr>
          <w:sz w:val="20"/>
        </w:rPr>
        <w:t>como</w:t>
      </w:r>
      <w:r>
        <w:rPr>
          <w:spacing w:val="-6"/>
          <w:sz w:val="20"/>
        </w:rPr>
        <w:t> </w:t>
      </w:r>
      <w:r>
        <w:rPr>
          <w:sz w:val="20"/>
        </w:rPr>
        <w:t>autor</w:t>
      </w:r>
      <w:r>
        <w:rPr>
          <w:spacing w:val="-4"/>
          <w:sz w:val="20"/>
        </w:rPr>
        <w:t> </w:t>
      </w:r>
      <w:r>
        <w:rPr>
          <w:sz w:val="20"/>
        </w:rPr>
        <w:t>de</w:t>
      </w:r>
      <w:r>
        <w:rPr>
          <w:spacing w:val="-7"/>
          <w:sz w:val="20"/>
        </w:rPr>
        <w:t> </w:t>
      </w:r>
      <w:r>
        <w:rPr>
          <w:sz w:val="20"/>
        </w:rPr>
        <w:t>la</w:t>
      </w:r>
      <w:r>
        <w:rPr>
          <w:spacing w:val="-6"/>
          <w:sz w:val="20"/>
        </w:rPr>
        <w:t> </w:t>
      </w:r>
      <w:r>
        <w:rPr>
          <w:spacing w:val="-2"/>
          <w:sz w:val="20"/>
        </w:rPr>
        <w:t>invención;</w:t>
      </w:r>
    </w:p>
    <w:p>
      <w:pPr>
        <w:spacing w:before="0"/>
        <w:ind w:left="0" w:right="3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erratas</w:t>
      </w:r>
      <w:r>
        <w:rPr>
          <w:rFonts w:ascii="Times New Roman" w:hAnsi="Times New Roman"/>
          <w:i/>
          <w:color w:val="0000FF"/>
          <w:spacing w:val="-4"/>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3"/>
          <w:sz w:val="16"/>
        </w:rPr>
        <w:t> </w:t>
      </w:r>
      <w:r>
        <w:rPr>
          <w:rFonts w:ascii="Times New Roman" w:hAnsi="Times New Roman"/>
          <w:i/>
          <w:color w:val="0000FF"/>
          <w:sz w:val="16"/>
        </w:rPr>
        <w:t>fracción</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30-04-</w:t>
      </w:r>
      <w:r>
        <w:rPr>
          <w:rFonts w:ascii="Times New Roman" w:hAnsi="Times New Roman"/>
          <w:i/>
          <w:color w:val="0000FF"/>
          <w:spacing w:val="-4"/>
          <w:sz w:val="16"/>
        </w:rPr>
        <w:t>1970</w:t>
      </w:r>
    </w:p>
    <w:p>
      <w:pPr>
        <w:pStyle w:val="BodyText"/>
        <w:spacing w:before="45"/>
        <w:rPr>
          <w:rFonts w:ascii="Times New Roman"/>
          <w:i/>
          <w:sz w:val="16"/>
        </w:rPr>
      </w:pPr>
    </w:p>
    <w:p>
      <w:pPr>
        <w:pStyle w:val="ListParagraph"/>
        <w:numPr>
          <w:ilvl w:val="0"/>
          <w:numId w:val="44"/>
        </w:numPr>
        <w:tabs>
          <w:tab w:pos="1192" w:val="left" w:leader="none"/>
          <w:tab w:pos="1195" w:val="left" w:leader="none"/>
        </w:tabs>
        <w:spacing w:line="240" w:lineRule="auto" w:before="0" w:after="0"/>
        <w:ind w:left="1195" w:right="339" w:hanging="569"/>
        <w:jc w:val="both"/>
        <w:rPr>
          <w:sz w:val="20"/>
        </w:rPr>
      </w:pPr>
      <w:r>
        <w:rPr>
          <w:sz w:val="20"/>
        </w:rPr>
        <w:t>Cuando el trabajador se dedique a trabajos de investigación o de perfeccionamiento de los procedimientos utilizados en la empresa, por cuenta de ésta la propiedad de la invención y el derecho a la explotación de la patente corresponderán al patrón. El inventor, independientemente del salario que hubiese percibido, tendrá derecho a una compensación complementaria,</w:t>
      </w:r>
      <w:r>
        <w:rPr>
          <w:spacing w:val="-2"/>
          <w:sz w:val="20"/>
        </w:rPr>
        <w:t> </w:t>
      </w:r>
      <w:r>
        <w:rPr>
          <w:sz w:val="20"/>
        </w:rPr>
        <w:t>que</w:t>
      </w:r>
      <w:r>
        <w:rPr>
          <w:spacing w:val="-4"/>
          <w:sz w:val="20"/>
        </w:rPr>
        <w:t> </w:t>
      </w:r>
      <w:r>
        <w:rPr>
          <w:sz w:val="20"/>
        </w:rPr>
        <w:t>se</w:t>
      </w:r>
      <w:r>
        <w:rPr>
          <w:spacing w:val="-4"/>
          <w:sz w:val="20"/>
        </w:rPr>
        <w:t> </w:t>
      </w:r>
      <w:r>
        <w:rPr>
          <w:sz w:val="20"/>
        </w:rPr>
        <w:t>fijará</w:t>
      </w:r>
      <w:r>
        <w:rPr>
          <w:spacing w:val="-4"/>
          <w:sz w:val="20"/>
        </w:rPr>
        <w:t> </w:t>
      </w:r>
      <w:r>
        <w:rPr>
          <w:sz w:val="20"/>
        </w:rPr>
        <w:t>por</w:t>
      </w:r>
      <w:r>
        <w:rPr>
          <w:spacing w:val="-4"/>
          <w:sz w:val="20"/>
        </w:rPr>
        <w:t> </w:t>
      </w:r>
      <w:r>
        <w:rPr>
          <w:sz w:val="20"/>
        </w:rPr>
        <w:t>convenio</w:t>
      </w:r>
      <w:r>
        <w:rPr>
          <w:spacing w:val="-2"/>
          <w:sz w:val="20"/>
        </w:rPr>
        <w:t> </w:t>
      </w:r>
      <w:r>
        <w:rPr>
          <w:sz w:val="20"/>
        </w:rPr>
        <w:t>de</w:t>
      </w:r>
      <w:r>
        <w:rPr>
          <w:spacing w:val="-2"/>
          <w:sz w:val="20"/>
        </w:rPr>
        <w:t> </w:t>
      </w:r>
      <w:r>
        <w:rPr>
          <w:sz w:val="20"/>
        </w:rPr>
        <w:t>las</w:t>
      </w:r>
      <w:r>
        <w:rPr>
          <w:spacing w:val="-1"/>
          <w:sz w:val="20"/>
        </w:rPr>
        <w:t> </w:t>
      </w:r>
      <w:r>
        <w:rPr>
          <w:sz w:val="20"/>
        </w:rPr>
        <w:t>partes</w:t>
      </w:r>
      <w:r>
        <w:rPr>
          <w:spacing w:val="-3"/>
          <w:sz w:val="20"/>
        </w:rPr>
        <w:t> </w:t>
      </w:r>
      <w:r>
        <w:rPr>
          <w:sz w:val="20"/>
        </w:rPr>
        <w:t>o</w:t>
      </w:r>
      <w:r>
        <w:rPr>
          <w:spacing w:val="-2"/>
          <w:sz w:val="20"/>
        </w:rPr>
        <w:t> </w:t>
      </w:r>
      <w:r>
        <w:rPr>
          <w:sz w:val="20"/>
        </w:rPr>
        <w:t>por</w:t>
      </w:r>
      <w:r>
        <w:rPr>
          <w:spacing w:val="-3"/>
          <w:sz w:val="20"/>
        </w:rPr>
        <w:t> </w:t>
      </w:r>
      <w:r>
        <w:rPr>
          <w:sz w:val="20"/>
        </w:rPr>
        <w:t>el</w:t>
      </w:r>
      <w:r>
        <w:rPr>
          <w:spacing w:val="-5"/>
          <w:sz w:val="20"/>
        </w:rPr>
        <w:t> </w:t>
      </w:r>
      <w:r>
        <w:rPr>
          <w:sz w:val="20"/>
        </w:rPr>
        <w:t>Tribunal</w:t>
      </w:r>
      <w:r>
        <w:rPr>
          <w:spacing w:val="-3"/>
          <w:sz w:val="20"/>
        </w:rPr>
        <w:t> </w:t>
      </w:r>
      <w:r>
        <w:rPr>
          <w:sz w:val="20"/>
        </w:rPr>
        <w:t>cuando</w:t>
      </w:r>
      <w:r>
        <w:rPr>
          <w:spacing w:val="-2"/>
          <w:sz w:val="20"/>
        </w:rPr>
        <w:t> </w:t>
      </w:r>
      <w:r>
        <w:rPr>
          <w:sz w:val="20"/>
        </w:rPr>
        <w:t>la</w:t>
      </w:r>
      <w:r>
        <w:rPr>
          <w:spacing w:val="-2"/>
          <w:sz w:val="20"/>
        </w:rPr>
        <w:t> </w:t>
      </w:r>
      <w:r>
        <w:rPr>
          <w:sz w:val="20"/>
        </w:rPr>
        <w:t>importancia de la invención y los beneficios que puedan reportar al patrón no guarden proporción con el salario percibido por el inventor, y</w:t>
      </w:r>
    </w:p>
    <w:p>
      <w:pPr>
        <w:spacing w:before="1"/>
        <w:ind w:left="4921"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30-04-1970.</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44"/>
        </w:numPr>
        <w:tabs>
          <w:tab w:pos="1191" w:val="left" w:leader="none"/>
          <w:tab w:pos="1195" w:val="left" w:leader="none"/>
        </w:tabs>
        <w:spacing w:line="240" w:lineRule="auto" w:before="1" w:after="0"/>
        <w:ind w:left="1195" w:right="334" w:hanging="569"/>
        <w:jc w:val="both"/>
        <w:rPr>
          <w:sz w:val="20"/>
        </w:rPr>
      </w:pPr>
      <w:r>
        <w:rPr>
          <w:sz w:val="20"/>
        </w:rPr>
        <w:t>En</w:t>
      </w:r>
      <w:r>
        <w:rPr>
          <w:spacing w:val="-2"/>
          <w:sz w:val="20"/>
        </w:rPr>
        <w:t> </w:t>
      </w:r>
      <w:r>
        <w:rPr>
          <w:sz w:val="20"/>
        </w:rPr>
        <w:t>cualquier</w:t>
      </w:r>
      <w:r>
        <w:rPr>
          <w:spacing w:val="-1"/>
          <w:sz w:val="20"/>
        </w:rPr>
        <w:t> </w:t>
      </w:r>
      <w:r>
        <w:rPr>
          <w:sz w:val="20"/>
        </w:rPr>
        <w:t>otro</w:t>
      </w:r>
      <w:r>
        <w:rPr>
          <w:spacing w:val="-2"/>
          <w:sz w:val="20"/>
        </w:rPr>
        <w:t> </w:t>
      </w:r>
      <w:r>
        <w:rPr>
          <w:sz w:val="20"/>
        </w:rPr>
        <w:t>caso,</w:t>
      </w:r>
      <w:r>
        <w:rPr>
          <w:spacing w:val="-2"/>
          <w:sz w:val="20"/>
        </w:rPr>
        <w:t> </w:t>
      </w:r>
      <w:r>
        <w:rPr>
          <w:sz w:val="20"/>
        </w:rPr>
        <w:t>la</w:t>
      </w:r>
      <w:r>
        <w:rPr>
          <w:spacing w:val="-2"/>
          <w:sz w:val="20"/>
        </w:rPr>
        <w:t> </w:t>
      </w:r>
      <w:r>
        <w:rPr>
          <w:sz w:val="20"/>
        </w:rPr>
        <w:t>propiedad</w:t>
      </w:r>
      <w:r>
        <w:rPr>
          <w:spacing w:val="-2"/>
          <w:sz w:val="20"/>
        </w:rPr>
        <w:t> </w:t>
      </w:r>
      <w:r>
        <w:rPr>
          <w:sz w:val="20"/>
        </w:rPr>
        <w:t>de</w:t>
      </w:r>
      <w:r>
        <w:rPr>
          <w:spacing w:val="-2"/>
          <w:sz w:val="20"/>
        </w:rPr>
        <w:t> </w:t>
      </w:r>
      <w:r>
        <w:rPr>
          <w:sz w:val="20"/>
        </w:rPr>
        <w:t>la invención</w:t>
      </w:r>
      <w:r>
        <w:rPr>
          <w:spacing w:val="-3"/>
          <w:sz w:val="20"/>
        </w:rPr>
        <w:t> </w:t>
      </w:r>
      <w:r>
        <w:rPr>
          <w:sz w:val="20"/>
        </w:rPr>
        <w:t>corresponderá</w:t>
      </w:r>
      <w:r>
        <w:rPr>
          <w:spacing w:val="-2"/>
          <w:sz w:val="20"/>
        </w:rPr>
        <w:t> </w:t>
      </w:r>
      <w:r>
        <w:rPr>
          <w:sz w:val="20"/>
        </w:rPr>
        <w:t>a la</w:t>
      </w:r>
      <w:r>
        <w:rPr>
          <w:spacing w:val="-2"/>
          <w:sz w:val="20"/>
        </w:rPr>
        <w:t> </w:t>
      </w:r>
      <w:r>
        <w:rPr>
          <w:sz w:val="20"/>
        </w:rPr>
        <w:t>persona</w:t>
      </w:r>
      <w:r>
        <w:rPr>
          <w:spacing w:val="-3"/>
          <w:sz w:val="20"/>
        </w:rPr>
        <w:t> </w:t>
      </w:r>
      <w:r>
        <w:rPr>
          <w:sz w:val="20"/>
        </w:rPr>
        <w:t>o personas</w:t>
      </w:r>
      <w:r>
        <w:rPr>
          <w:spacing w:val="-1"/>
          <w:sz w:val="20"/>
        </w:rPr>
        <w:t> </w:t>
      </w:r>
      <w:r>
        <w:rPr>
          <w:sz w:val="20"/>
        </w:rPr>
        <w:t>que la realizaron, pero el patrón tendrá un derecho preferente, en igualdad de circunstancias, al uso exclusivo o a la adquisición de la invención y de las correspondientes patentes.</w:t>
      </w:r>
    </w:p>
    <w:p>
      <w:pPr>
        <w:pStyle w:val="Heading1"/>
        <w:spacing w:before="227"/>
        <w:ind w:left="295"/>
      </w:pPr>
      <w:r>
        <w:rPr/>
        <w:t>TITULO</w:t>
      </w:r>
      <w:r>
        <w:rPr>
          <w:spacing w:val="-4"/>
        </w:rPr>
        <w:t> </w:t>
      </w:r>
      <w:r>
        <w:rPr>
          <w:spacing w:val="-2"/>
        </w:rPr>
        <w:t>QUINTO</w:t>
      </w:r>
    </w:p>
    <w:p>
      <w:pPr>
        <w:pStyle w:val="Heading1"/>
        <w:spacing w:after="0"/>
        <w:sectPr>
          <w:pgSz w:w="12240" w:h="15840"/>
          <w:pgMar w:header="724" w:footer="712" w:top="1880" w:bottom="900" w:left="1080" w:right="1080"/>
        </w:sectPr>
      </w:pPr>
    </w:p>
    <w:p>
      <w:pPr>
        <w:pStyle w:val="BodyText"/>
        <w:spacing w:before="40"/>
        <w:rPr>
          <w:rFonts w:ascii="Arial"/>
          <w:b/>
          <w:sz w:val="22"/>
        </w:rPr>
      </w:pPr>
    </w:p>
    <w:p>
      <w:pPr>
        <w:pStyle w:val="Heading2"/>
        <w:ind w:left="300"/>
      </w:pPr>
      <w:r>
        <w:rPr/>
        <w:t>Trabajo</w:t>
      </w:r>
      <w:r>
        <w:rPr>
          <w:spacing w:val="-4"/>
        </w:rPr>
        <w:t> </w:t>
      </w:r>
      <w:r>
        <w:rPr/>
        <w:t>de</w:t>
      </w:r>
      <w:r>
        <w:rPr>
          <w:spacing w:val="-3"/>
        </w:rPr>
        <w:t> </w:t>
      </w:r>
      <w:r>
        <w:rPr/>
        <w:t>las</w:t>
      </w:r>
      <w:r>
        <w:rPr>
          <w:spacing w:val="-5"/>
        </w:rPr>
        <w:t> </w:t>
      </w:r>
      <w:r>
        <w:rPr>
          <w:spacing w:val="-2"/>
        </w:rPr>
        <w:t>Mujeres</w:t>
      </w:r>
    </w:p>
    <w:p>
      <w:pPr>
        <w:spacing w:before="1"/>
        <w:ind w:left="627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Título</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31-12-</w:t>
      </w:r>
      <w:r>
        <w:rPr>
          <w:rFonts w:ascii="Times New Roman" w:hAnsi="Times New Roman"/>
          <w:i/>
          <w:color w:val="0000FF"/>
          <w:spacing w:val="-4"/>
          <w:sz w:val="16"/>
        </w:rPr>
        <w:t>1974</w:t>
      </w:r>
    </w:p>
    <w:p>
      <w:pPr>
        <w:spacing w:line="183" w:lineRule="exact" w:before="0"/>
        <w:ind w:left="1145" w:right="0" w:firstLine="0"/>
        <w:jc w:val="lef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31-12-1974:</w:t>
      </w:r>
      <w:r>
        <w:rPr>
          <w:rFonts w:ascii="Times New Roman" w:hAnsi="Times New Roman"/>
          <w:i/>
          <w:color w:val="585858"/>
          <w:spacing w:val="-6"/>
          <w:sz w:val="16"/>
        </w:rPr>
        <w:t> </w:t>
      </w:r>
      <w:r>
        <w:rPr>
          <w:rFonts w:ascii="Times New Roman" w:hAnsi="Times New Roman"/>
          <w:i/>
          <w:color w:val="585858"/>
          <w:sz w:val="16"/>
        </w:rPr>
        <w:t>Suprimió</w:t>
      </w:r>
      <w:r>
        <w:rPr>
          <w:rFonts w:ascii="Times New Roman" w:hAnsi="Times New Roman"/>
          <w:i/>
          <w:color w:val="585858"/>
          <w:spacing w:val="-5"/>
          <w:sz w:val="16"/>
        </w:rPr>
        <w:t> </w:t>
      </w:r>
      <w:r>
        <w:rPr>
          <w:rFonts w:ascii="Times New Roman" w:hAnsi="Times New Roman"/>
          <w:i/>
          <w:color w:val="585858"/>
          <w:sz w:val="16"/>
        </w:rPr>
        <w:t>de</w:t>
      </w:r>
      <w:r>
        <w:rPr>
          <w:rFonts w:ascii="Times New Roman" w:hAnsi="Times New Roman"/>
          <w:i/>
          <w:color w:val="585858"/>
          <w:spacing w:val="-5"/>
          <w:sz w:val="16"/>
        </w:rPr>
        <w:t> </w:t>
      </w:r>
      <w:r>
        <w:rPr>
          <w:rFonts w:ascii="Times New Roman" w:hAnsi="Times New Roman"/>
          <w:i/>
          <w:color w:val="585858"/>
          <w:sz w:val="16"/>
        </w:rPr>
        <w:t>este</w:t>
      </w:r>
      <w:r>
        <w:rPr>
          <w:rFonts w:ascii="Times New Roman" w:hAnsi="Times New Roman"/>
          <w:i/>
          <w:color w:val="585858"/>
          <w:spacing w:val="-3"/>
          <w:sz w:val="16"/>
        </w:rPr>
        <w:t> </w:t>
      </w:r>
      <w:r>
        <w:rPr>
          <w:rFonts w:ascii="Times New Roman" w:hAnsi="Times New Roman"/>
          <w:i/>
          <w:color w:val="585858"/>
          <w:sz w:val="16"/>
        </w:rPr>
        <w:t>Título</w:t>
      </w:r>
      <w:r>
        <w:rPr>
          <w:rFonts w:ascii="Times New Roman" w:hAnsi="Times New Roman"/>
          <w:i/>
          <w:color w:val="585858"/>
          <w:spacing w:val="-5"/>
          <w:sz w:val="16"/>
        </w:rPr>
        <w:t> </w:t>
      </w:r>
      <w:r>
        <w:rPr>
          <w:rFonts w:ascii="Times New Roman" w:hAnsi="Times New Roman"/>
          <w:i/>
          <w:color w:val="585858"/>
          <w:sz w:val="16"/>
        </w:rPr>
        <w:t>los</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Capítulos</w:t>
      </w:r>
      <w:r>
        <w:rPr>
          <w:rFonts w:ascii="Times New Roman" w:hAnsi="Times New Roman"/>
          <w:i/>
          <w:color w:val="585858"/>
          <w:spacing w:val="-5"/>
          <w:sz w:val="16"/>
        </w:rPr>
        <w:t> </w:t>
      </w:r>
      <w:r>
        <w:rPr>
          <w:rFonts w:ascii="Times New Roman" w:hAnsi="Times New Roman"/>
          <w:i/>
          <w:color w:val="585858"/>
          <w:sz w:val="16"/>
        </w:rPr>
        <w:t>I</w:t>
      </w:r>
      <w:r>
        <w:rPr>
          <w:rFonts w:ascii="Times New Roman" w:hAnsi="Times New Roman"/>
          <w:i/>
          <w:color w:val="585858"/>
          <w:spacing w:val="-5"/>
          <w:sz w:val="16"/>
        </w:rPr>
        <w:t> </w:t>
      </w:r>
      <w:r>
        <w:rPr>
          <w:rFonts w:ascii="Times New Roman" w:hAnsi="Times New Roman"/>
          <w:i/>
          <w:color w:val="585858"/>
          <w:sz w:val="16"/>
        </w:rPr>
        <w:t>“Trabajo</w:t>
      </w:r>
      <w:r>
        <w:rPr>
          <w:rFonts w:ascii="Times New Roman" w:hAnsi="Times New Roman"/>
          <w:i/>
          <w:color w:val="585858"/>
          <w:spacing w:val="-5"/>
          <w:sz w:val="16"/>
        </w:rPr>
        <w:t> </w:t>
      </w:r>
      <w:r>
        <w:rPr>
          <w:rFonts w:ascii="Times New Roman" w:hAnsi="Times New Roman"/>
          <w:i/>
          <w:color w:val="585858"/>
          <w:sz w:val="16"/>
        </w:rPr>
        <w:t>de</w:t>
      </w:r>
      <w:r>
        <w:rPr>
          <w:rFonts w:ascii="Times New Roman" w:hAnsi="Times New Roman"/>
          <w:i/>
          <w:color w:val="585858"/>
          <w:spacing w:val="-5"/>
          <w:sz w:val="16"/>
        </w:rPr>
        <w:t> </w:t>
      </w:r>
      <w:r>
        <w:rPr>
          <w:rFonts w:ascii="Times New Roman" w:hAnsi="Times New Roman"/>
          <w:i/>
          <w:color w:val="585858"/>
          <w:sz w:val="16"/>
        </w:rPr>
        <w:t>las</w:t>
      </w:r>
      <w:r>
        <w:rPr>
          <w:rFonts w:ascii="Times New Roman" w:hAnsi="Times New Roman"/>
          <w:i/>
          <w:color w:val="585858"/>
          <w:spacing w:val="-6"/>
          <w:sz w:val="16"/>
        </w:rPr>
        <w:t> </w:t>
      </w:r>
      <w:r>
        <w:rPr>
          <w:rFonts w:ascii="Times New Roman" w:hAnsi="Times New Roman"/>
          <w:i/>
          <w:color w:val="585858"/>
          <w:sz w:val="16"/>
        </w:rPr>
        <w:t>Mujeres”</w:t>
      </w:r>
      <w:r>
        <w:rPr>
          <w:rFonts w:ascii="Times New Roman" w:hAnsi="Times New Roman"/>
          <w:i/>
          <w:color w:val="585858"/>
          <w:spacing w:val="-5"/>
          <w:sz w:val="16"/>
        </w:rPr>
        <w:t> </w:t>
      </w:r>
      <w:r>
        <w:rPr>
          <w:rFonts w:ascii="Times New Roman" w:hAnsi="Times New Roman"/>
          <w:i/>
          <w:color w:val="585858"/>
          <w:sz w:val="16"/>
        </w:rPr>
        <w:t>y</w:t>
      </w:r>
      <w:r>
        <w:rPr>
          <w:rFonts w:ascii="Times New Roman" w:hAnsi="Times New Roman"/>
          <w:i/>
          <w:color w:val="585858"/>
          <w:spacing w:val="-3"/>
          <w:sz w:val="16"/>
        </w:rPr>
        <w:t> </w:t>
      </w:r>
      <w:r>
        <w:rPr>
          <w:rFonts w:ascii="Times New Roman" w:hAnsi="Times New Roman"/>
          <w:i/>
          <w:color w:val="585858"/>
          <w:sz w:val="16"/>
        </w:rPr>
        <w:t>II</w:t>
      </w:r>
      <w:r>
        <w:rPr>
          <w:rFonts w:ascii="Times New Roman" w:hAnsi="Times New Roman"/>
          <w:i/>
          <w:color w:val="585858"/>
          <w:spacing w:val="-5"/>
          <w:sz w:val="16"/>
        </w:rPr>
        <w:t> </w:t>
      </w:r>
      <w:r>
        <w:rPr>
          <w:rFonts w:ascii="Times New Roman" w:hAnsi="Times New Roman"/>
          <w:i/>
          <w:color w:val="585858"/>
          <w:sz w:val="16"/>
        </w:rPr>
        <w:t>“Trabajo</w:t>
      </w:r>
      <w:r>
        <w:rPr>
          <w:rFonts w:ascii="Times New Roman" w:hAnsi="Times New Roman"/>
          <w:i/>
          <w:color w:val="585858"/>
          <w:spacing w:val="-4"/>
          <w:sz w:val="16"/>
        </w:rPr>
        <w:t> </w:t>
      </w:r>
      <w:r>
        <w:rPr>
          <w:rFonts w:ascii="Times New Roman" w:hAnsi="Times New Roman"/>
          <w:i/>
          <w:color w:val="585858"/>
          <w:sz w:val="16"/>
        </w:rPr>
        <w:t>de</w:t>
      </w:r>
      <w:r>
        <w:rPr>
          <w:rFonts w:ascii="Times New Roman" w:hAnsi="Times New Roman"/>
          <w:i/>
          <w:color w:val="585858"/>
          <w:spacing w:val="-6"/>
          <w:sz w:val="16"/>
        </w:rPr>
        <w:t> </w:t>
      </w:r>
      <w:r>
        <w:rPr>
          <w:rFonts w:ascii="Times New Roman" w:hAnsi="Times New Roman"/>
          <w:i/>
          <w:color w:val="585858"/>
          <w:sz w:val="16"/>
        </w:rPr>
        <w:t>los</w:t>
      </w:r>
      <w:r>
        <w:rPr>
          <w:rFonts w:ascii="Times New Roman" w:hAnsi="Times New Roman"/>
          <w:i/>
          <w:color w:val="585858"/>
          <w:spacing w:val="-5"/>
          <w:sz w:val="16"/>
        </w:rPr>
        <w:t> </w:t>
      </w:r>
      <w:r>
        <w:rPr>
          <w:rFonts w:ascii="Times New Roman" w:hAnsi="Times New Roman"/>
          <w:i/>
          <w:color w:val="585858"/>
          <w:spacing w:val="-2"/>
          <w:sz w:val="16"/>
        </w:rPr>
        <w:t>Menores”</w:t>
      </w:r>
    </w:p>
    <w:p>
      <w:pPr>
        <w:pStyle w:val="BodyText"/>
        <w:spacing w:before="47"/>
        <w:rPr>
          <w:rFonts w:ascii="Times New Roman"/>
          <w:i/>
          <w:sz w:val="16"/>
        </w:rPr>
      </w:pPr>
    </w:p>
    <w:p>
      <w:pPr>
        <w:pStyle w:val="BodyText"/>
        <w:ind w:left="338" w:right="344" w:firstLine="288"/>
        <w:jc w:val="both"/>
      </w:pPr>
      <w:bookmarkStart w:name="Artículo_164" w:id="208"/>
      <w:bookmarkEnd w:id="208"/>
      <w:r>
        <w:rPr/>
      </w:r>
      <w:r>
        <w:rPr>
          <w:rFonts w:ascii="Arial" w:hAnsi="Arial"/>
          <w:b/>
        </w:rPr>
        <w:t>Artículo 164.- </w:t>
      </w:r>
      <w:r>
        <w:rPr/>
        <w:t>Las mujeres disfrutan de los mismos derechos y tienen las mismas obligaciones que</w:t>
      </w:r>
      <w:r>
        <w:rPr>
          <w:spacing w:val="40"/>
        </w:rPr>
        <w:t> </w:t>
      </w:r>
      <w:r>
        <w:rPr/>
        <w:t>los hombres, garantía que se establece en lo general y específicamente en función de la protección de</w:t>
      </w:r>
      <w:r>
        <w:rPr>
          <w:spacing w:val="40"/>
        </w:rPr>
        <w:t> </w:t>
      </w:r>
      <w:r>
        <w:rPr/>
        <w:t>las trabajadoras y trabajadores con responsabilidades familiares, asegurando la igualdad de trato y </w:t>
      </w:r>
      <w:r>
        <w:rPr>
          <w:spacing w:val="-2"/>
        </w:rPr>
        <w:t>oportunidades.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right="346" w:firstLine="288"/>
        <w:jc w:val="both"/>
      </w:pPr>
      <w:bookmarkStart w:name="Artículo_165" w:id="209"/>
      <w:bookmarkEnd w:id="209"/>
      <w:r>
        <w:rPr/>
      </w:r>
      <w:r>
        <w:rPr>
          <w:rFonts w:ascii="Arial" w:hAnsi="Arial"/>
          <w:b/>
        </w:rPr>
        <w:t>Artículo 165.- </w:t>
      </w:r>
      <w:r>
        <w:rPr/>
        <w:t>Las modalidades que se consignan en este capítulo tienen como propósito fundamental, la protección de la maternidad.</w:t>
      </w:r>
    </w:p>
    <w:p>
      <w:pPr>
        <w:pStyle w:val="BodyText"/>
        <w:spacing w:before="225"/>
        <w:ind w:left="338" w:right="335" w:firstLine="288"/>
        <w:jc w:val="both"/>
      </w:pPr>
      <w:bookmarkStart w:name="Artículo_166" w:id="210"/>
      <w:bookmarkEnd w:id="210"/>
      <w:r>
        <w:rPr/>
      </w:r>
      <w:r>
        <w:rPr>
          <w:rFonts w:ascii="Arial" w:hAnsi="Arial"/>
          <w:b/>
        </w:rPr>
        <w:t>Artículo 166.- </w:t>
      </w:r>
      <w:r>
        <w:rPr/>
        <w:t>Cuando se ponga en peligro la salud de la mujer, o la del producto, ya sea durante el estado de gestación o el de lactancia y sin que sufra perjuicio en su salario, prestaciones y derechos, no se podrá utilizar su trabajo en labores insalubres o peligrosas, trabajo nocturno industrial, en establecimientos comerciales o de servicio después de las diez de la noche, así como en horas </w:t>
      </w:r>
      <w:r>
        <w:rPr>
          <w:spacing w:val="-2"/>
        </w:rPr>
        <w:t>extraordinarias.</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rPr>
          <w:rFonts w:ascii="Times New Roman"/>
          <w:i/>
          <w:sz w:val="16"/>
        </w:rPr>
      </w:pPr>
    </w:p>
    <w:p>
      <w:pPr>
        <w:pStyle w:val="BodyText"/>
        <w:ind w:left="338" w:right="336" w:firstLine="288"/>
        <w:jc w:val="both"/>
      </w:pPr>
      <w:bookmarkStart w:name="Artículo_167" w:id="211"/>
      <w:bookmarkEnd w:id="211"/>
      <w:r>
        <w:rPr/>
      </w:r>
      <w:r>
        <w:rPr>
          <w:rFonts w:ascii="Arial" w:hAnsi="Arial"/>
          <w:b/>
        </w:rPr>
        <w:t>Artículo 167.- </w:t>
      </w:r>
      <w:r>
        <w:rPr/>
        <w:t>Para los efectos de este título, son labores peligrosas o insalubres las que, por la naturaleza del trabajo, por las condiciones físicas, químicas y biológicas del medio en que se presta, o</w:t>
      </w:r>
      <w:r>
        <w:rPr>
          <w:spacing w:val="40"/>
        </w:rPr>
        <w:t> </w:t>
      </w:r>
      <w:r>
        <w:rPr/>
        <w:t>por</w:t>
      </w:r>
      <w:r>
        <w:rPr>
          <w:spacing w:val="-2"/>
        </w:rPr>
        <w:t> </w:t>
      </w:r>
      <w:r>
        <w:rPr/>
        <w:t>la</w:t>
      </w:r>
      <w:r>
        <w:rPr>
          <w:spacing w:val="-3"/>
        </w:rPr>
        <w:t> </w:t>
      </w:r>
      <w:r>
        <w:rPr/>
        <w:t>composición</w:t>
      </w:r>
      <w:r>
        <w:rPr>
          <w:spacing w:val="-1"/>
        </w:rPr>
        <w:t> </w:t>
      </w:r>
      <w:r>
        <w:rPr/>
        <w:t>de</w:t>
      </w:r>
      <w:r>
        <w:rPr>
          <w:spacing w:val="-1"/>
        </w:rPr>
        <w:t> </w:t>
      </w:r>
      <w:r>
        <w:rPr/>
        <w:t>la</w:t>
      </w:r>
      <w:r>
        <w:rPr>
          <w:spacing w:val="-3"/>
        </w:rPr>
        <w:t> </w:t>
      </w:r>
      <w:r>
        <w:rPr/>
        <w:t>materia</w:t>
      </w:r>
      <w:r>
        <w:rPr>
          <w:spacing w:val="-1"/>
        </w:rPr>
        <w:t> </w:t>
      </w:r>
      <w:r>
        <w:rPr/>
        <w:t>prima</w:t>
      </w:r>
      <w:r>
        <w:rPr>
          <w:spacing w:val="-3"/>
        </w:rPr>
        <w:t> </w:t>
      </w:r>
      <w:r>
        <w:rPr/>
        <w:t>que</w:t>
      </w:r>
      <w:r>
        <w:rPr>
          <w:spacing w:val="-3"/>
        </w:rPr>
        <w:t> </w:t>
      </w:r>
      <w:r>
        <w:rPr/>
        <w:t>se</w:t>
      </w:r>
      <w:r>
        <w:rPr>
          <w:spacing w:val="-1"/>
        </w:rPr>
        <w:t> </w:t>
      </w:r>
      <w:r>
        <w:rPr/>
        <w:t>utilice,</w:t>
      </w:r>
      <w:r>
        <w:rPr>
          <w:spacing w:val="-1"/>
        </w:rPr>
        <w:t> </w:t>
      </w:r>
      <w:r>
        <w:rPr/>
        <w:t>son</w:t>
      </w:r>
      <w:r>
        <w:rPr>
          <w:spacing w:val="-4"/>
        </w:rPr>
        <w:t> </w:t>
      </w:r>
      <w:r>
        <w:rPr/>
        <w:t>capaces de</w:t>
      </w:r>
      <w:r>
        <w:rPr>
          <w:spacing w:val="-1"/>
        </w:rPr>
        <w:t> </w:t>
      </w:r>
      <w:r>
        <w:rPr/>
        <w:t>actuar sobre</w:t>
      </w:r>
      <w:r>
        <w:rPr>
          <w:spacing w:val="-3"/>
        </w:rPr>
        <w:t> </w:t>
      </w:r>
      <w:r>
        <w:rPr/>
        <w:t>la</w:t>
      </w:r>
      <w:r>
        <w:rPr>
          <w:spacing w:val="-1"/>
        </w:rPr>
        <w:t> </w:t>
      </w:r>
      <w:r>
        <w:rPr/>
        <w:t>vida y</w:t>
      </w:r>
      <w:r>
        <w:rPr>
          <w:spacing w:val="-4"/>
        </w:rPr>
        <w:t> </w:t>
      </w:r>
      <w:r>
        <w:rPr/>
        <w:t>la</w:t>
      </w:r>
      <w:r>
        <w:rPr>
          <w:spacing w:val="-3"/>
        </w:rPr>
        <w:t> </w:t>
      </w:r>
      <w:r>
        <w:rPr/>
        <w:t>salud</w:t>
      </w:r>
      <w:r>
        <w:rPr>
          <w:spacing w:val="-1"/>
        </w:rPr>
        <w:t> </w:t>
      </w:r>
      <w:r>
        <w:rPr/>
        <w:t>física y mental de la mujer en estado de gestación, o del producto.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9"/>
        <w:rPr>
          <w:rFonts w:ascii="Times New Roman"/>
          <w:i/>
          <w:sz w:val="16"/>
        </w:rPr>
      </w:pPr>
    </w:p>
    <w:p>
      <w:pPr>
        <w:pStyle w:val="BodyText"/>
        <w:spacing w:before="1"/>
        <w:ind w:left="338" w:right="341" w:firstLine="288"/>
        <w:jc w:val="both"/>
      </w:pPr>
      <w:r>
        <w:rPr/>
        <w:t>Los reglamentos que se expidan determinarán los trabajos que quedan comprendidos en la definición </w:t>
      </w:r>
      <w:r>
        <w:rPr>
          <w:spacing w:val="-2"/>
        </w:rPr>
        <w:t>anterior.</w:t>
      </w:r>
    </w:p>
    <w:p>
      <w:pPr>
        <w:pStyle w:val="BodyText"/>
        <w:spacing w:line="242" w:lineRule="auto" w:before="226"/>
        <w:ind w:left="338" w:right="335" w:firstLine="288"/>
        <w:jc w:val="both"/>
      </w:pPr>
      <w:bookmarkStart w:name="Artículo_168" w:id="212"/>
      <w:bookmarkEnd w:id="212"/>
      <w:r>
        <w:rPr/>
      </w:r>
      <w:r>
        <w:rPr>
          <w:rFonts w:ascii="Arial" w:hAnsi="Arial"/>
          <w:b/>
        </w:rPr>
        <w:t>Artículo 168. </w:t>
      </w:r>
      <w:r>
        <w:rPr/>
        <w:t>En caso de que las autoridades competentes emitan una declaratoria de contingencia sanitaria, conforme a las disposiciones aplicables, no podrá utilizarse el trabajo de mujeres en periodos</w:t>
      </w:r>
      <w:r>
        <w:rPr>
          <w:spacing w:val="40"/>
        </w:rPr>
        <w:t> </w:t>
      </w:r>
      <w:r>
        <w:rPr/>
        <w:t>de gestación o de lactancia. Las trabajadoras que se encuentren en este supuesto, no sufrirán perjuicio en su salario, prestaciones y derechos.</w:t>
      </w:r>
    </w:p>
    <w:p>
      <w:pPr>
        <w:pStyle w:val="BodyText"/>
        <w:spacing w:before="223"/>
        <w:ind w:left="338" w:right="346" w:firstLine="288"/>
        <w:jc w:val="both"/>
      </w:pPr>
      <w:r>
        <w:rPr/>
        <w:t>Cuando con motivo de la declaratoria de contingencia sanitaria se ordene la suspensión general de labores, a las mujeres en periodos de gestación o de lactancia les será aplicable lo dispuesto por el artículo 429, fracción IV de esta Ley.</w:t>
      </w:r>
    </w:p>
    <w:p>
      <w:pPr>
        <w:spacing w:line="183" w:lineRule="exact" w:before="0"/>
        <w:ind w:left="543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31-12-1974.</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before="229"/>
        <w:ind w:left="626" w:right="0" w:firstLine="0"/>
        <w:jc w:val="left"/>
        <w:rPr>
          <w:sz w:val="20"/>
        </w:rPr>
      </w:pPr>
      <w:bookmarkStart w:name="Artículo_169" w:id="213"/>
      <w:bookmarkEnd w:id="213"/>
      <w:r>
        <w:rPr/>
      </w:r>
      <w:r>
        <w:rPr>
          <w:rFonts w:ascii="Arial" w:hAnsi="Arial"/>
          <w:b/>
          <w:sz w:val="20"/>
        </w:rPr>
        <w:t>Artículo</w:t>
      </w:r>
      <w:r>
        <w:rPr>
          <w:rFonts w:ascii="Arial" w:hAnsi="Arial"/>
          <w:b/>
          <w:spacing w:val="-6"/>
          <w:sz w:val="20"/>
        </w:rPr>
        <w:t> </w:t>
      </w:r>
      <w:r>
        <w:rPr>
          <w:rFonts w:ascii="Arial" w:hAnsi="Arial"/>
          <w:b/>
          <w:sz w:val="20"/>
        </w:rPr>
        <w:t>169.-</w:t>
      </w:r>
      <w:r>
        <w:rPr>
          <w:rFonts w:ascii="Arial" w:hAnsi="Arial"/>
          <w:b/>
          <w:spacing w:val="-5"/>
          <w:sz w:val="20"/>
        </w:rPr>
        <w:t> </w:t>
      </w:r>
      <w:r>
        <w:rPr>
          <w:sz w:val="20"/>
        </w:rPr>
        <w:t>(Se</w:t>
      </w:r>
      <w:r>
        <w:rPr>
          <w:spacing w:val="-7"/>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1"/>
        <w:rPr>
          <w:rFonts w:ascii="Times New Roman"/>
          <w:i/>
        </w:rPr>
      </w:pPr>
    </w:p>
    <w:p>
      <w:pPr>
        <w:spacing w:before="0"/>
        <w:ind w:left="626" w:right="0" w:firstLine="0"/>
        <w:jc w:val="left"/>
        <w:rPr>
          <w:sz w:val="20"/>
        </w:rPr>
      </w:pPr>
      <w:bookmarkStart w:name="Artículo_170" w:id="214"/>
      <w:bookmarkEnd w:id="214"/>
      <w:r>
        <w:rPr/>
      </w:r>
      <w:r>
        <w:rPr>
          <w:rFonts w:ascii="Arial" w:hAnsi="Arial"/>
          <w:b/>
          <w:sz w:val="20"/>
        </w:rPr>
        <w:t>Artículo</w:t>
      </w:r>
      <w:r>
        <w:rPr>
          <w:rFonts w:ascii="Arial" w:hAnsi="Arial"/>
          <w:b/>
          <w:spacing w:val="-8"/>
          <w:sz w:val="20"/>
        </w:rPr>
        <w:t> </w:t>
      </w:r>
      <w:r>
        <w:rPr>
          <w:rFonts w:ascii="Arial" w:hAnsi="Arial"/>
          <w:b/>
          <w:sz w:val="20"/>
        </w:rPr>
        <w:t>170.-</w:t>
      </w:r>
      <w:r>
        <w:rPr>
          <w:rFonts w:ascii="Arial" w:hAnsi="Arial"/>
          <w:b/>
          <w:spacing w:val="-8"/>
          <w:sz w:val="20"/>
        </w:rPr>
        <w:t> </w:t>
      </w:r>
      <w:r>
        <w:rPr>
          <w:sz w:val="20"/>
        </w:rPr>
        <w:t>Las</w:t>
      </w:r>
      <w:r>
        <w:rPr>
          <w:spacing w:val="-8"/>
          <w:sz w:val="20"/>
        </w:rPr>
        <w:t> </w:t>
      </w:r>
      <w:r>
        <w:rPr>
          <w:sz w:val="20"/>
        </w:rPr>
        <w:t>madres</w:t>
      </w:r>
      <w:r>
        <w:rPr>
          <w:spacing w:val="-8"/>
          <w:sz w:val="20"/>
        </w:rPr>
        <w:t> </w:t>
      </w:r>
      <w:r>
        <w:rPr>
          <w:sz w:val="20"/>
        </w:rPr>
        <w:t>trabajadoras</w:t>
      </w:r>
      <w:r>
        <w:rPr>
          <w:spacing w:val="-7"/>
          <w:sz w:val="20"/>
        </w:rPr>
        <w:t> </w:t>
      </w:r>
      <w:r>
        <w:rPr>
          <w:sz w:val="20"/>
        </w:rPr>
        <w:t>tendrán</w:t>
      </w:r>
      <w:r>
        <w:rPr>
          <w:spacing w:val="-7"/>
          <w:sz w:val="20"/>
        </w:rPr>
        <w:t> </w:t>
      </w:r>
      <w:r>
        <w:rPr>
          <w:sz w:val="20"/>
        </w:rPr>
        <w:t>los</w:t>
      </w:r>
      <w:r>
        <w:rPr>
          <w:spacing w:val="-8"/>
          <w:sz w:val="20"/>
        </w:rPr>
        <w:t> </w:t>
      </w:r>
      <w:r>
        <w:rPr>
          <w:sz w:val="20"/>
        </w:rPr>
        <w:t>siguientes</w:t>
      </w:r>
      <w:r>
        <w:rPr>
          <w:spacing w:val="-6"/>
          <w:sz w:val="20"/>
        </w:rPr>
        <w:t> </w:t>
      </w:r>
      <w:r>
        <w:rPr>
          <w:spacing w:val="-2"/>
          <w:sz w:val="20"/>
        </w:rPr>
        <w:t>derechos:</w:t>
      </w:r>
    </w:p>
    <w:p>
      <w:pPr>
        <w:pStyle w:val="ListParagraph"/>
        <w:numPr>
          <w:ilvl w:val="0"/>
          <w:numId w:val="45"/>
        </w:numPr>
        <w:tabs>
          <w:tab w:pos="1193" w:val="left" w:leader="none"/>
          <w:tab w:pos="1195" w:val="left" w:leader="none"/>
        </w:tabs>
        <w:spacing w:line="242" w:lineRule="auto" w:before="229" w:after="0"/>
        <w:ind w:left="1195" w:right="334" w:hanging="569"/>
        <w:jc w:val="both"/>
        <w:rPr>
          <w:sz w:val="20"/>
        </w:rPr>
      </w:pPr>
      <w:r>
        <w:rPr>
          <w:sz w:val="20"/>
        </w:rPr>
        <w:t>Durante el período del embarazo, no realizarán trabajos que exijan esfuerzos considerables y signifiquen un peligro para su salud en relación con la gestación, tales como levantar, tirar o empujar grandes pesos, que produzcan trepidación, estar de pie durante largo tiempo o que actúen o puedan alterar su estado psíquico y nervioso;</w:t>
      </w:r>
    </w:p>
    <w:p>
      <w:pPr>
        <w:spacing w:line="174" w:lineRule="exact" w:before="0"/>
        <w:ind w:left="518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31-12-1974.</w:t>
      </w:r>
      <w:r>
        <w:rPr>
          <w:rFonts w:ascii="Times New Roman" w:hAnsi="Times New Roman"/>
          <w:i/>
          <w:color w:val="0000FF"/>
          <w:spacing w:val="-6"/>
          <w:sz w:val="16"/>
        </w:rPr>
        <w:t> </w:t>
      </w: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09-01-</w:t>
      </w:r>
      <w:r>
        <w:rPr>
          <w:rFonts w:ascii="Times New Roman" w:hAnsi="Times New Roman"/>
          <w:i/>
          <w:color w:val="0000FF"/>
          <w:spacing w:val="-4"/>
          <w:sz w:val="16"/>
        </w:rPr>
        <w:t>1975</w:t>
      </w:r>
    </w:p>
    <w:p>
      <w:pPr>
        <w:pStyle w:val="BodyText"/>
        <w:spacing w:before="48"/>
        <w:rPr>
          <w:rFonts w:ascii="Times New Roman"/>
          <w:i/>
          <w:sz w:val="16"/>
        </w:rPr>
      </w:pPr>
    </w:p>
    <w:p>
      <w:pPr>
        <w:pStyle w:val="ListParagraph"/>
        <w:numPr>
          <w:ilvl w:val="0"/>
          <w:numId w:val="45"/>
        </w:numPr>
        <w:tabs>
          <w:tab w:pos="1192" w:val="left" w:leader="none"/>
          <w:tab w:pos="1195" w:val="left" w:leader="none"/>
        </w:tabs>
        <w:spacing w:line="240" w:lineRule="auto" w:before="0" w:after="0"/>
        <w:ind w:left="1195" w:right="334" w:hanging="569"/>
        <w:jc w:val="both"/>
        <w:rPr>
          <w:sz w:val="20"/>
        </w:rPr>
      </w:pPr>
      <w:r>
        <w:rPr>
          <w:sz w:val="20"/>
        </w:rPr>
        <w:t>Disfrutarán de un descanso de seis semanas anteriores y seis posteriores al parto. A solicitud expresa de la trabajadora, previa autorización escrita del médico de la institución de seguridad social que le corresponda o, en su caso, del servicio de salud que otorgue el patrón, tomando</w:t>
      </w:r>
      <w:r>
        <w:rPr>
          <w:spacing w:val="40"/>
          <w:sz w:val="20"/>
        </w:rPr>
        <w:t> </w:t>
      </w:r>
      <w:r>
        <w:rPr>
          <w:sz w:val="20"/>
        </w:rPr>
        <w:t>en cuenta la opinión del</w:t>
      </w:r>
      <w:r>
        <w:rPr>
          <w:spacing w:val="14"/>
          <w:sz w:val="20"/>
        </w:rPr>
        <w:t> </w:t>
      </w:r>
      <w:r>
        <w:rPr>
          <w:sz w:val="20"/>
        </w:rPr>
        <w:t>patrón</w:t>
      </w:r>
      <w:r>
        <w:rPr>
          <w:spacing w:val="17"/>
          <w:sz w:val="20"/>
        </w:rPr>
        <w:t> </w:t>
      </w:r>
      <w:r>
        <w:rPr>
          <w:sz w:val="20"/>
        </w:rPr>
        <w:t>y la</w:t>
      </w:r>
      <w:r>
        <w:rPr>
          <w:spacing w:val="15"/>
          <w:sz w:val="20"/>
        </w:rPr>
        <w:t> </w:t>
      </w:r>
      <w:r>
        <w:rPr>
          <w:sz w:val="20"/>
        </w:rPr>
        <w:t>naturaleza</w:t>
      </w:r>
      <w:r>
        <w:rPr>
          <w:spacing w:val="15"/>
          <w:sz w:val="20"/>
        </w:rPr>
        <w:t> </w:t>
      </w:r>
      <w:r>
        <w:rPr>
          <w:sz w:val="20"/>
        </w:rPr>
        <w:t>del</w:t>
      </w:r>
      <w:r>
        <w:rPr>
          <w:spacing w:val="14"/>
          <w:sz w:val="20"/>
        </w:rPr>
        <w:t> </w:t>
      </w:r>
      <w:r>
        <w:rPr>
          <w:sz w:val="20"/>
        </w:rPr>
        <w:t>trabajo que desempeñe, se</w:t>
      </w:r>
      <w:r>
        <w:rPr>
          <w:spacing w:val="15"/>
          <w:sz w:val="20"/>
        </w:rPr>
        <w:t> </w:t>
      </w:r>
      <w:r>
        <w:rPr>
          <w:sz w:val="20"/>
        </w:rPr>
        <w:t>podrá transferir</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195" w:right="336"/>
        <w:jc w:val="both"/>
      </w:pPr>
      <w:r>
        <w:rPr/>
        <w:t>hasta cuatro de las seis semanas de descanso previas al parto para después del mismo. En caso de que los hijos hayan nacido con cualquier tipo de discapacidad o requieran atención médica hospitalaria, el descanso podrá ser de hasta ocho semanas posteriores al parto, previa presentación del certificado médico correspondiente.</w:t>
      </w:r>
    </w:p>
    <w:p>
      <w:pPr>
        <w:pStyle w:val="BodyText"/>
        <w:spacing w:before="2"/>
      </w:pPr>
    </w:p>
    <w:p>
      <w:pPr>
        <w:pStyle w:val="BodyText"/>
        <w:ind w:left="1195" w:right="333"/>
        <w:jc w:val="both"/>
      </w:pPr>
      <w:r>
        <w:rPr/>
        <w:t>En caso de que se presente autorización de médicos particulares, ésta deberá contener el nombre y número de cédula profesional de quien los expida, la fecha y el estado médico de la </w:t>
      </w:r>
      <w:r>
        <w:rPr>
          <w:spacing w:val="-2"/>
        </w:rPr>
        <w:t>trabajadora.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1195" w:hanging="569"/>
      </w:pPr>
      <w:r>
        <w:rPr>
          <w:rFonts w:ascii="Arial" w:hAnsi="Arial"/>
          <w:b/>
        </w:rPr>
        <w:t>II Bis. </w:t>
      </w:r>
      <w:r>
        <w:rPr/>
        <w:t>En caso de adopción de un infante disfrutarán de un descanso de seis semanas con goce de</w:t>
      </w:r>
      <w:r>
        <w:rPr>
          <w:spacing w:val="40"/>
        </w:rPr>
        <w:t> </w:t>
      </w:r>
      <w:r>
        <w:rPr/>
        <w:t>sueldo, posteriores al día en que lo reciban;</w:t>
      </w:r>
    </w:p>
    <w:p>
      <w:pPr>
        <w:spacing w:line="183"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ListParagraph"/>
        <w:numPr>
          <w:ilvl w:val="0"/>
          <w:numId w:val="45"/>
        </w:numPr>
        <w:tabs>
          <w:tab w:pos="1191" w:val="left" w:leader="none"/>
          <w:tab w:pos="1195" w:val="left" w:leader="none"/>
        </w:tabs>
        <w:spacing w:line="240" w:lineRule="auto" w:before="0" w:after="0"/>
        <w:ind w:left="1195" w:right="343" w:hanging="569"/>
        <w:jc w:val="both"/>
        <w:rPr>
          <w:sz w:val="20"/>
        </w:rPr>
      </w:pPr>
      <w:r>
        <w:rPr>
          <w:sz w:val="20"/>
        </w:rPr>
        <w:t>Los períodos de descanso a que se refiere la fracción anterior se prorrogarán por el tiempo necesario en el caso de que se encuentren imposibilitadas para trabajar a causa del embarazo</w:t>
      </w:r>
      <w:r>
        <w:rPr>
          <w:spacing w:val="40"/>
          <w:sz w:val="20"/>
        </w:rPr>
        <w:t> </w:t>
      </w:r>
      <w:r>
        <w:rPr>
          <w:sz w:val="20"/>
        </w:rPr>
        <w:t>o del parto;</w:t>
      </w:r>
    </w:p>
    <w:p>
      <w:pPr>
        <w:pStyle w:val="ListParagraph"/>
        <w:numPr>
          <w:ilvl w:val="0"/>
          <w:numId w:val="45"/>
        </w:numPr>
        <w:tabs>
          <w:tab w:pos="1195" w:val="left" w:leader="none"/>
        </w:tabs>
        <w:spacing w:line="240" w:lineRule="auto" w:before="229" w:after="0"/>
        <w:ind w:left="1195" w:right="338" w:hanging="569"/>
        <w:jc w:val="both"/>
        <w:rPr>
          <w:sz w:val="20"/>
        </w:rPr>
      </w:pPr>
      <w:r>
        <w:rPr>
          <w:sz w:val="20"/>
        </w:rPr>
        <w:t>En el período de lactancia hasta por el término máximo de seis meses, tendrán dos reposos extraordinarios por día, de media hora cada uno, para alimentar a sus hijos, en lugar adecuado e higiénico que designe la empresa, o bien, cuando esto no sea posible, previo acuerdo con el patrón se reducirá en una hora su jornada de trabajo durante el período señalado;</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45"/>
        </w:numPr>
        <w:tabs>
          <w:tab w:pos="1195" w:val="left" w:leader="none"/>
        </w:tabs>
        <w:spacing w:line="240" w:lineRule="auto" w:before="0" w:after="0"/>
        <w:ind w:left="1195" w:right="336" w:hanging="569"/>
        <w:jc w:val="both"/>
        <w:rPr>
          <w:sz w:val="20"/>
        </w:rPr>
      </w:pPr>
      <w:r>
        <w:rPr>
          <w:sz w:val="20"/>
        </w:rPr>
        <w:t>Durante los períodos de descanso a que se refiere la fracción II, percibirán su salario íntegro.</w:t>
      </w:r>
      <w:r>
        <w:rPr>
          <w:spacing w:val="40"/>
          <w:sz w:val="20"/>
        </w:rPr>
        <w:t> </w:t>
      </w:r>
      <w:r>
        <w:rPr>
          <w:sz w:val="20"/>
        </w:rPr>
        <w:t>En los casos de prórroga mencionados en la fracción III, tendrán derecho al cincuenta por</w:t>
      </w:r>
      <w:r>
        <w:rPr>
          <w:spacing w:val="40"/>
          <w:sz w:val="20"/>
        </w:rPr>
        <w:t> </w:t>
      </w:r>
      <w:r>
        <w:rPr>
          <w:sz w:val="20"/>
        </w:rPr>
        <w:t>ciento de su salario por un período no mayor de sesenta días;</w:t>
      </w:r>
    </w:p>
    <w:p>
      <w:pPr>
        <w:pStyle w:val="BodyText"/>
      </w:pPr>
    </w:p>
    <w:p>
      <w:pPr>
        <w:pStyle w:val="ListParagraph"/>
        <w:numPr>
          <w:ilvl w:val="0"/>
          <w:numId w:val="45"/>
        </w:numPr>
        <w:tabs>
          <w:tab w:pos="1195" w:val="left" w:leader="none"/>
        </w:tabs>
        <w:spacing w:line="242" w:lineRule="auto" w:before="0" w:after="0"/>
        <w:ind w:left="1195" w:right="341" w:hanging="569"/>
        <w:jc w:val="both"/>
        <w:rPr>
          <w:sz w:val="20"/>
        </w:rPr>
      </w:pPr>
      <w:r>
        <w:rPr>
          <w:sz w:val="20"/>
        </w:rPr>
        <w:t>A regresar al puesto que desempeñaban, siempre que no haya transcurrido más de un año de</w:t>
      </w:r>
      <w:r>
        <w:rPr>
          <w:spacing w:val="40"/>
          <w:sz w:val="20"/>
        </w:rPr>
        <w:t> </w:t>
      </w:r>
      <w:r>
        <w:rPr>
          <w:sz w:val="20"/>
        </w:rPr>
        <w:t>la fecha del parto; y</w:t>
      </w:r>
    </w:p>
    <w:p>
      <w:pPr>
        <w:pStyle w:val="ListParagraph"/>
        <w:numPr>
          <w:ilvl w:val="0"/>
          <w:numId w:val="45"/>
        </w:numPr>
        <w:tabs>
          <w:tab w:pos="1195" w:val="left" w:leader="none"/>
        </w:tabs>
        <w:spacing w:line="240" w:lineRule="auto" w:before="227" w:after="0"/>
        <w:ind w:left="1195" w:right="0" w:hanging="569"/>
        <w:jc w:val="left"/>
        <w:rPr>
          <w:sz w:val="20"/>
        </w:rPr>
      </w:pPr>
      <w:r>
        <w:rPr>
          <w:sz w:val="20"/>
        </w:rPr>
        <w:t>A</w:t>
      </w:r>
      <w:r>
        <w:rPr>
          <w:spacing w:val="-7"/>
          <w:sz w:val="20"/>
        </w:rPr>
        <w:t> </w:t>
      </w:r>
      <w:r>
        <w:rPr>
          <w:sz w:val="20"/>
        </w:rPr>
        <w:t>que</w:t>
      </w:r>
      <w:r>
        <w:rPr>
          <w:spacing w:val="-6"/>
          <w:sz w:val="20"/>
        </w:rPr>
        <w:t> </w:t>
      </w:r>
      <w:r>
        <w:rPr>
          <w:sz w:val="20"/>
        </w:rPr>
        <w:t>se</w:t>
      </w:r>
      <w:r>
        <w:rPr>
          <w:spacing w:val="-6"/>
          <w:sz w:val="20"/>
        </w:rPr>
        <w:t> </w:t>
      </w:r>
      <w:r>
        <w:rPr>
          <w:sz w:val="20"/>
        </w:rPr>
        <w:t>computen</w:t>
      </w:r>
      <w:r>
        <w:rPr>
          <w:spacing w:val="-5"/>
          <w:sz w:val="20"/>
        </w:rPr>
        <w:t> </w:t>
      </w:r>
      <w:r>
        <w:rPr>
          <w:sz w:val="20"/>
        </w:rPr>
        <w:t>en</w:t>
      </w:r>
      <w:r>
        <w:rPr>
          <w:spacing w:val="-7"/>
          <w:sz w:val="20"/>
        </w:rPr>
        <w:t> </w:t>
      </w:r>
      <w:r>
        <w:rPr>
          <w:sz w:val="20"/>
        </w:rPr>
        <w:t>su</w:t>
      </w:r>
      <w:r>
        <w:rPr>
          <w:spacing w:val="-4"/>
          <w:sz w:val="20"/>
        </w:rPr>
        <w:t> </w:t>
      </w:r>
      <w:r>
        <w:rPr>
          <w:sz w:val="20"/>
        </w:rPr>
        <w:t>antigüedad</w:t>
      </w:r>
      <w:r>
        <w:rPr>
          <w:spacing w:val="-5"/>
          <w:sz w:val="20"/>
        </w:rPr>
        <w:t> </w:t>
      </w:r>
      <w:r>
        <w:rPr>
          <w:sz w:val="20"/>
        </w:rPr>
        <w:t>los</w:t>
      </w:r>
      <w:r>
        <w:rPr>
          <w:spacing w:val="-5"/>
          <w:sz w:val="20"/>
        </w:rPr>
        <w:t> </w:t>
      </w:r>
      <w:r>
        <w:rPr>
          <w:sz w:val="20"/>
        </w:rPr>
        <w:t>períodos</w:t>
      </w:r>
      <w:r>
        <w:rPr>
          <w:spacing w:val="-5"/>
          <w:sz w:val="20"/>
        </w:rPr>
        <w:t> </w:t>
      </w:r>
      <w:r>
        <w:rPr>
          <w:sz w:val="20"/>
        </w:rPr>
        <w:t>pre</w:t>
      </w:r>
      <w:r>
        <w:rPr>
          <w:spacing w:val="-5"/>
          <w:sz w:val="20"/>
        </w:rPr>
        <w:t> </w:t>
      </w:r>
      <w:r>
        <w:rPr>
          <w:sz w:val="20"/>
        </w:rPr>
        <w:t>y</w:t>
      </w:r>
      <w:r>
        <w:rPr>
          <w:spacing w:val="-7"/>
          <w:sz w:val="20"/>
        </w:rPr>
        <w:t> </w:t>
      </w:r>
      <w:r>
        <w:rPr>
          <w:spacing w:val="-2"/>
          <w:sz w:val="20"/>
        </w:rPr>
        <w:t>postnatales.</w:t>
      </w:r>
    </w:p>
    <w:p>
      <w:pPr>
        <w:pStyle w:val="BodyText"/>
        <w:spacing w:line="242" w:lineRule="auto" w:before="224"/>
        <w:ind w:left="338" w:right="338" w:firstLine="288"/>
        <w:jc w:val="both"/>
      </w:pPr>
      <w:bookmarkStart w:name="Artículo_170_Bis" w:id="215"/>
      <w:bookmarkEnd w:id="215"/>
      <w:r>
        <w:rPr/>
      </w:r>
      <w:r>
        <w:rPr>
          <w:rFonts w:ascii="Arial" w:hAnsi="Arial"/>
          <w:b/>
        </w:rPr>
        <w:t>Artículo 170 Bis.- </w:t>
      </w:r>
      <w:r>
        <w:rPr/>
        <w:t>Los padres o madres de menores diagnosticados con cualquier tipo de cáncer, gozarán de la licencia a que se refiere el artículo 140 Bis de la Ley del Seguro Social, en los términos referidos, con la intención de acompañar a los mencionados pacientes en sus correspondientes tratamientos médicos.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04-06-</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firstLine="288"/>
      </w:pPr>
      <w:bookmarkStart w:name="Artículo_171" w:id="216"/>
      <w:bookmarkEnd w:id="216"/>
      <w:r>
        <w:rPr/>
      </w:r>
      <w:r>
        <w:rPr>
          <w:rFonts w:ascii="Arial" w:hAnsi="Arial"/>
          <w:b/>
        </w:rPr>
        <w:t>Artículo</w:t>
      </w:r>
      <w:r>
        <w:rPr>
          <w:rFonts w:ascii="Arial" w:hAnsi="Arial"/>
          <w:b/>
          <w:spacing w:val="25"/>
        </w:rPr>
        <w:t> </w:t>
      </w:r>
      <w:r>
        <w:rPr>
          <w:rFonts w:ascii="Arial" w:hAnsi="Arial"/>
          <w:b/>
        </w:rPr>
        <w:t>171.-</w:t>
      </w:r>
      <w:r>
        <w:rPr>
          <w:rFonts w:ascii="Arial" w:hAnsi="Arial"/>
          <w:b/>
          <w:spacing w:val="25"/>
        </w:rPr>
        <w:t> </w:t>
      </w:r>
      <w:r>
        <w:rPr/>
        <w:t>Los</w:t>
      </w:r>
      <w:r>
        <w:rPr>
          <w:spacing w:val="25"/>
        </w:rPr>
        <w:t> </w:t>
      </w:r>
      <w:r>
        <w:rPr/>
        <w:t>servicios</w:t>
      </w:r>
      <w:r>
        <w:rPr>
          <w:spacing w:val="25"/>
        </w:rPr>
        <w:t> </w:t>
      </w:r>
      <w:r>
        <w:rPr/>
        <w:t>de</w:t>
      </w:r>
      <w:r>
        <w:rPr>
          <w:spacing w:val="24"/>
        </w:rPr>
        <w:t> </w:t>
      </w:r>
      <w:r>
        <w:rPr/>
        <w:t>guardería</w:t>
      </w:r>
      <w:r>
        <w:rPr>
          <w:spacing w:val="24"/>
        </w:rPr>
        <w:t> </w:t>
      </w:r>
      <w:r>
        <w:rPr/>
        <w:t>infantil</w:t>
      </w:r>
      <w:r>
        <w:rPr>
          <w:spacing w:val="24"/>
        </w:rPr>
        <w:t> </w:t>
      </w:r>
      <w:r>
        <w:rPr/>
        <w:t>se</w:t>
      </w:r>
      <w:r>
        <w:rPr>
          <w:spacing w:val="26"/>
        </w:rPr>
        <w:t> </w:t>
      </w:r>
      <w:r>
        <w:rPr/>
        <w:t>prestarán</w:t>
      </w:r>
      <w:r>
        <w:rPr>
          <w:spacing w:val="26"/>
        </w:rPr>
        <w:t> </w:t>
      </w:r>
      <w:r>
        <w:rPr/>
        <w:t>por</w:t>
      </w:r>
      <w:r>
        <w:rPr>
          <w:spacing w:val="31"/>
        </w:rPr>
        <w:t> </w:t>
      </w:r>
      <w:r>
        <w:rPr/>
        <w:t>el</w:t>
      </w:r>
      <w:r>
        <w:rPr>
          <w:spacing w:val="24"/>
        </w:rPr>
        <w:t> </w:t>
      </w:r>
      <w:r>
        <w:rPr/>
        <w:t>Instituto</w:t>
      </w:r>
      <w:r>
        <w:rPr>
          <w:spacing w:val="26"/>
        </w:rPr>
        <w:t> </w:t>
      </w:r>
      <w:r>
        <w:rPr/>
        <w:t>Mexicano</w:t>
      </w:r>
      <w:r>
        <w:rPr>
          <w:spacing w:val="24"/>
        </w:rPr>
        <w:t> </w:t>
      </w:r>
      <w:r>
        <w:rPr/>
        <w:t>del</w:t>
      </w:r>
      <w:r>
        <w:rPr>
          <w:spacing w:val="26"/>
        </w:rPr>
        <w:t> </w:t>
      </w:r>
      <w:r>
        <w:rPr/>
        <w:t>Seguro Social, de conformidad con su Ley y disposiciones reglamentarias.</w:t>
      </w:r>
    </w:p>
    <w:p>
      <w:pPr>
        <w:pStyle w:val="BodyText"/>
        <w:spacing w:line="242" w:lineRule="auto" w:before="224"/>
        <w:ind w:left="338" w:firstLine="288"/>
      </w:pPr>
      <w:bookmarkStart w:name="Artículo_172" w:id="217"/>
      <w:bookmarkEnd w:id="217"/>
      <w:r>
        <w:rPr/>
      </w:r>
      <w:r>
        <w:rPr>
          <w:rFonts w:ascii="Arial" w:hAnsi="Arial"/>
          <w:b/>
        </w:rPr>
        <w:t>Artículo 172.- </w:t>
      </w:r>
      <w:r>
        <w:rPr/>
        <w:t>En los establecimientos en que trabajen mujeres, el patrón debe mantener un número suficiente de asientos o sillas a disposición de las madres trabajadoras.</w:t>
      </w:r>
    </w:p>
    <w:p>
      <w:pPr>
        <w:pStyle w:val="Heading1"/>
        <w:spacing w:before="226"/>
        <w:ind w:left="297"/>
      </w:pPr>
      <w:r>
        <w:rPr/>
        <w:t>TITULO</w:t>
      </w:r>
      <w:r>
        <w:rPr>
          <w:spacing w:val="-8"/>
        </w:rPr>
        <w:t> </w:t>
      </w:r>
      <w:r>
        <w:rPr/>
        <w:t>QUINTO</w:t>
      </w:r>
      <w:r>
        <w:rPr>
          <w:spacing w:val="-5"/>
        </w:rPr>
        <w:t> BIS</w:t>
      </w:r>
    </w:p>
    <w:p>
      <w:pPr>
        <w:pStyle w:val="Heading2"/>
        <w:spacing w:before="1"/>
        <w:ind w:left="297"/>
      </w:pPr>
      <w:r>
        <w:rPr/>
        <w:t>Trabajo</w:t>
      </w:r>
      <w:r>
        <w:rPr>
          <w:spacing w:val="-4"/>
        </w:rPr>
        <w:t> </w:t>
      </w:r>
      <w:r>
        <w:rPr/>
        <w:t>de</w:t>
      </w:r>
      <w:r>
        <w:rPr>
          <w:spacing w:val="-3"/>
        </w:rPr>
        <w:t> </w:t>
      </w:r>
      <w:r>
        <w:rPr/>
        <w:t>los</w:t>
      </w:r>
      <w:r>
        <w:rPr>
          <w:spacing w:val="-5"/>
        </w:rPr>
        <w:t> </w:t>
      </w:r>
      <w:r>
        <w:rPr>
          <w:spacing w:val="-2"/>
        </w:rPr>
        <w:t>Menores</w:t>
      </w:r>
    </w:p>
    <w:p>
      <w:pPr>
        <w:spacing w:before="1"/>
        <w:ind w:left="0" w:right="333"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rPr>
          <w:rFonts w:ascii="Times New Roman"/>
          <w:i/>
          <w:sz w:val="16"/>
        </w:rPr>
      </w:pPr>
    </w:p>
    <w:p>
      <w:pPr>
        <w:pStyle w:val="BodyText"/>
        <w:spacing w:line="242" w:lineRule="auto"/>
        <w:ind w:left="338" w:firstLine="288"/>
      </w:pPr>
      <w:bookmarkStart w:name="Artículo_173" w:id="218"/>
      <w:bookmarkEnd w:id="218"/>
      <w:r>
        <w:rPr/>
      </w:r>
      <w:r>
        <w:rPr>
          <w:rFonts w:ascii="Arial" w:hAnsi="Arial"/>
          <w:b/>
        </w:rPr>
        <w:t>Artículo</w:t>
      </w:r>
      <w:r>
        <w:rPr>
          <w:rFonts w:ascii="Arial" w:hAnsi="Arial"/>
          <w:b/>
          <w:spacing w:val="34"/>
        </w:rPr>
        <w:t> </w:t>
      </w:r>
      <w:r>
        <w:rPr>
          <w:rFonts w:ascii="Arial" w:hAnsi="Arial"/>
          <w:b/>
        </w:rPr>
        <w:t>173.-</w:t>
      </w:r>
      <w:r>
        <w:rPr>
          <w:rFonts w:ascii="Arial" w:hAnsi="Arial"/>
          <w:b/>
          <w:spacing w:val="35"/>
        </w:rPr>
        <w:t> </w:t>
      </w:r>
      <w:r>
        <w:rPr/>
        <w:t>El</w:t>
      </w:r>
      <w:r>
        <w:rPr>
          <w:spacing w:val="33"/>
        </w:rPr>
        <w:t> </w:t>
      </w:r>
      <w:r>
        <w:rPr/>
        <w:t>trabajo</w:t>
      </w:r>
      <w:r>
        <w:rPr>
          <w:spacing w:val="33"/>
        </w:rPr>
        <w:t> </w:t>
      </w:r>
      <w:r>
        <w:rPr/>
        <w:t>de</w:t>
      </w:r>
      <w:r>
        <w:rPr>
          <w:spacing w:val="33"/>
        </w:rPr>
        <w:t> </w:t>
      </w:r>
      <w:r>
        <w:rPr/>
        <w:t>los</w:t>
      </w:r>
      <w:r>
        <w:rPr>
          <w:spacing w:val="32"/>
        </w:rPr>
        <w:t> </w:t>
      </w:r>
      <w:r>
        <w:rPr/>
        <w:t>menores</w:t>
      </w:r>
      <w:r>
        <w:rPr>
          <w:spacing w:val="35"/>
        </w:rPr>
        <w:t> </w:t>
      </w:r>
      <w:r>
        <w:rPr/>
        <w:t>queda</w:t>
      </w:r>
      <w:r>
        <w:rPr>
          <w:spacing w:val="33"/>
        </w:rPr>
        <w:t> </w:t>
      </w:r>
      <w:r>
        <w:rPr/>
        <w:t>sujeto</w:t>
      </w:r>
      <w:r>
        <w:rPr>
          <w:spacing w:val="33"/>
        </w:rPr>
        <w:t> </w:t>
      </w:r>
      <w:r>
        <w:rPr/>
        <w:t>a</w:t>
      </w:r>
      <w:r>
        <w:rPr>
          <w:spacing w:val="33"/>
        </w:rPr>
        <w:t> </w:t>
      </w:r>
      <w:r>
        <w:rPr/>
        <w:t>vigilancia</w:t>
      </w:r>
      <w:r>
        <w:rPr>
          <w:spacing w:val="36"/>
        </w:rPr>
        <w:t> </w:t>
      </w:r>
      <w:r>
        <w:rPr/>
        <w:t>y</w:t>
      </w:r>
      <w:r>
        <w:rPr>
          <w:spacing w:val="30"/>
        </w:rPr>
        <w:t> </w:t>
      </w:r>
      <w:r>
        <w:rPr/>
        <w:t>protección</w:t>
      </w:r>
      <w:r>
        <w:rPr>
          <w:spacing w:val="33"/>
        </w:rPr>
        <w:t> </w:t>
      </w:r>
      <w:r>
        <w:rPr/>
        <w:t>especiales</w:t>
      </w:r>
      <w:r>
        <w:rPr>
          <w:spacing w:val="34"/>
        </w:rPr>
        <w:t> </w:t>
      </w:r>
      <w:r>
        <w:rPr/>
        <w:t>de</w:t>
      </w:r>
      <w:r>
        <w:rPr>
          <w:spacing w:val="33"/>
        </w:rPr>
        <w:t> </w:t>
      </w:r>
      <w:r>
        <w:rPr/>
        <w:t>las autoridades del trabajo tanto federales como locales.</w:t>
      </w:r>
    </w:p>
    <w:p>
      <w:pPr>
        <w:pStyle w:val="BodyText"/>
        <w:spacing w:after="0" w:line="242" w:lineRule="auto"/>
        <w:sectPr>
          <w:pgSz w:w="12240" w:h="15840"/>
          <w:pgMar w:header="724" w:footer="712" w:top="1880" w:bottom="900" w:left="1080" w:right="1080"/>
        </w:sectPr>
      </w:pPr>
    </w:p>
    <w:p>
      <w:pPr>
        <w:pStyle w:val="BodyText"/>
        <w:spacing w:before="65"/>
      </w:pPr>
    </w:p>
    <w:p>
      <w:pPr>
        <w:pStyle w:val="BodyText"/>
        <w:ind w:left="338" w:right="345" w:firstLine="288"/>
        <w:jc w:val="both"/>
      </w:pPr>
      <w:r>
        <w:rPr/>
        <w:t>La Secretaría del Trabajo y Previsión Social en coordinación con las autoridades del trabajo en las entidades federativas, desarrollarán programas que permitan identificar y erradicar el trabajo infantil.</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BodyText"/>
        <w:ind w:left="338" w:right="337" w:firstLine="288"/>
        <w:jc w:val="both"/>
      </w:pPr>
      <w:bookmarkStart w:name="Artículo_174" w:id="219"/>
      <w:bookmarkEnd w:id="219"/>
      <w:r>
        <w:rPr/>
      </w:r>
      <w:r>
        <w:rPr>
          <w:rFonts w:ascii="Arial" w:hAnsi="Arial"/>
          <w:b/>
        </w:rPr>
        <w:t>Artículo 174. </w:t>
      </w:r>
      <w:r>
        <w:rPr/>
        <w:t>Los mayores de quince y menores de dieciocho años, deberán obtener un certificado médico que acredite su aptitud para el trabajo y someterse a los exámenes médicos que periódicamente ordenen</w:t>
      </w:r>
      <w:r>
        <w:rPr>
          <w:spacing w:val="-1"/>
        </w:rPr>
        <w:t> </w:t>
      </w:r>
      <w:r>
        <w:rPr/>
        <w:t>las autoridades laborales correspondientes. Sin estos requisitos, ningún</w:t>
      </w:r>
      <w:r>
        <w:rPr>
          <w:spacing w:val="-1"/>
        </w:rPr>
        <w:t> </w:t>
      </w:r>
      <w:r>
        <w:rPr/>
        <w:t>patrón</w:t>
      </w:r>
      <w:r>
        <w:rPr>
          <w:spacing w:val="-1"/>
        </w:rPr>
        <w:t> </w:t>
      </w:r>
      <w:r>
        <w:rPr/>
        <w:t>podrá utilizar sus </w:t>
      </w:r>
      <w:r>
        <w:rPr>
          <w:spacing w:val="-2"/>
        </w:rPr>
        <w:t>servicios.</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5"/>
        <w:rPr>
          <w:rFonts w:ascii="Times New Roman"/>
          <w:i/>
          <w:sz w:val="16"/>
        </w:rPr>
      </w:pPr>
    </w:p>
    <w:p>
      <w:pPr>
        <w:pStyle w:val="BodyText"/>
        <w:ind w:left="626"/>
      </w:pPr>
      <w:bookmarkStart w:name="Artículo_175" w:id="220"/>
      <w:bookmarkEnd w:id="220"/>
      <w:r>
        <w:rPr/>
      </w:r>
      <w:r>
        <w:rPr>
          <w:rFonts w:ascii="Arial" w:hAnsi="Arial"/>
          <w:b/>
        </w:rPr>
        <w:t>Artículo</w:t>
      </w:r>
      <w:r>
        <w:rPr>
          <w:rFonts w:ascii="Arial" w:hAnsi="Arial"/>
          <w:b/>
          <w:spacing w:val="-6"/>
        </w:rPr>
        <w:t> </w:t>
      </w:r>
      <w:r>
        <w:rPr>
          <w:rFonts w:ascii="Arial" w:hAnsi="Arial"/>
          <w:b/>
        </w:rPr>
        <w:t>175.</w:t>
      </w:r>
      <w:r>
        <w:rPr>
          <w:rFonts w:ascii="Arial" w:hAnsi="Arial"/>
          <w:b/>
          <w:spacing w:val="-6"/>
        </w:rPr>
        <w:t> </w:t>
      </w:r>
      <w:r>
        <w:rPr/>
        <w:t>Queda</w:t>
      </w:r>
      <w:r>
        <w:rPr>
          <w:spacing w:val="-7"/>
        </w:rPr>
        <w:t> </w:t>
      </w:r>
      <w:r>
        <w:rPr/>
        <w:t>prohibida</w:t>
      </w:r>
      <w:r>
        <w:rPr>
          <w:spacing w:val="-7"/>
        </w:rPr>
        <w:t> </w:t>
      </w:r>
      <w:r>
        <w:rPr/>
        <w:t>la</w:t>
      </w:r>
      <w:r>
        <w:rPr>
          <w:spacing w:val="-7"/>
        </w:rPr>
        <w:t> </w:t>
      </w:r>
      <w:r>
        <w:rPr/>
        <w:t>utilización</w:t>
      </w:r>
      <w:r>
        <w:rPr>
          <w:spacing w:val="-7"/>
        </w:rPr>
        <w:t> </w:t>
      </w:r>
      <w:r>
        <w:rPr/>
        <w:t>del</w:t>
      </w:r>
      <w:r>
        <w:rPr>
          <w:spacing w:val="-7"/>
        </w:rPr>
        <w:t> </w:t>
      </w:r>
      <w:r>
        <w:rPr/>
        <w:t>trabajo</w:t>
      </w:r>
      <w:r>
        <w:rPr>
          <w:spacing w:val="-7"/>
        </w:rPr>
        <w:t> </w:t>
      </w:r>
      <w:r>
        <w:rPr/>
        <w:t>de</w:t>
      </w:r>
      <w:r>
        <w:rPr>
          <w:spacing w:val="-5"/>
        </w:rPr>
        <w:t> </w:t>
      </w:r>
      <w:r>
        <w:rPr/>
        <w:t>los</w:t>
      </w:r>
      <w:r>
        <w:rPr>
          <w:spacing w:val="-6"/>
        </w:rPr>
        <w:t> </w:t>
      </w:r>
      <w:r>
        <w:rPr/>
        <w:t>menores</w:t>
      </w:r>
      <w:r>
        <w:rPr>
          <w:spacing w:val="-5"/>
        </w:rPr>
        <w:t> </w:t>
      </w:r>
      <w:r>
        <w:rPr/>
        <w:t>de</w:t>
      </w:r>
      <w:r>
        <w:rPr>
          <w:spacing w:val="-6"/>
        </w:rPr>
        <w:t> </w:t>
      </w:r>
      <w:r>
        <w:rPr/>
        <w:t>dieciocho</w:t>
      </w:r>
      <w:r>
        <w:rPr>
          <w:spacing w:val="-8"/>
        </w:rPr>
        <w:t> </w:t>
      </w:r>
      <w:r>
        <w:rPr>
          <w:spacing w:val="-2"/>
        </w:rPr>
        <w:t>años:</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8"/>
        <w:rPr>
          <w:rFonts w:ascii="Times New Roman"/>
          <w:i/>
          <w:sz w:val="16"/>
        </w:rPr>
      </w:pPr>
    </w:p>
    <w:p>
      <w:pPr>
        <w:pStyle w:val="ListParagraph"/>
        <w:numPr>
          <w:ilvl w:val="0"/>
          <w:numId w:val="46"/>
        </w:numPr>
        <w:tabs>
          <w:tab w:pos="1195" w:val="left" w:leader="none"/>
        </w:tabs>
        <w:spacing w:line="240" w:lineRule="auto" w:before="0" w:after="0"/>
        <w:ind w:left="1195" w:right="0" w:hanging="569"/>
        <w:jc w:val="left"/>
        <w:rPr>
          <w:sz w:val="20"/>
        </w:rPr>
      </w:pPr>
      <w:r>
        <w:rPr>
          <w:sz w:val="20"/>
        </w:rPr>
        <w:t>En</w:t>
      </w:r>
      <w:r>
        <w:rPr>
          <w:spacing w:val="-7"/>
          <w:sz w:val="20"/>
        </w:rPr>
        <w:t> </w:t>
      </w:r>
      <w:r>
        <w:rPr>
          <w:sz w:val="20"/>
        </w:rPr>
        <w:t>establecimientos</w:t>
      </w:r>
      <w:r>
        <w:rPr>
          <w:spacing w:val="-6"/>
          <w:sz w:val="20"/>
        </w:rPr>
        <w:t> </w:t>
      </w:r>
      <w:r>
        <w:rPr>
          <w:sz w:val="20"/>
        </w:rPr>
        <w:t>no</w:t>
      </w:r>
      <w:r>
        <w:rPr>
          <w:spacing w:val="-6"/>
          <w:sz w:val="20"/>
        </w:rPr>
        <w:t> </w:t>
      </w:r>
      <w:r>
        <w:rPr>
          <w:sz w:val="20"/>
        </w:rPr>
        <w:t>industriales</w:t>
      </w:r>
      <w:r>
        <w:rPr>
          <w:spacing w:val="-6"/>
          <w:sz w:val="20"/>
        </w:rPr>
        <w:t> </w:t>
      </w:r>
      <w:r>
        <w:rPr>
          <w:sz w:val="20"/>
        </w:rPr>
        <w:t>después</w:t>
      </w:r>
      <w:r>
        <w:rPr>
          <w:spacing w:val="-6"/>
          <w:sz w:val="20"/>
        </w:rPr>
        <w:t> </w:t>
      </w:r>
      <w:r>
        <w:rPr>
          <w:sz w:val="20"/>
        </w:rPr>
        <w:t>de</w:t>
      </w:r>
      <w:r>
        <w:rPr>
          <w:spacing w:val="-4"/>
          <w:sz w:val="20"/>
        </w:rPr>
        <w:t> </w:t>
      </w:r>
      <w:r>
        <w:rPr>
          <w:sz w:val="20"/>
        </w:rPr>
        <w:t>las</w:t>
      </w:r>
      <w:r>
        <w:rPr>
          <w:spacing w:val="-4"/>
          <w:sz w:val="20"/>
        </w:rPr>
        <w:t> </w:t>
      </w:r>
      <w:r>
        <w:rPr>
          <w:sz w:val="20"/>
        </w:rPr>
        <w:t>diez</w:t>
      </w:r>
      <w:r>
        <w:rPr>
          <w:spacing w:val="-8"/>
          <w:sz w:val="20"/>
        </w:rPr>
        <w:t> </w:t>
      </w:r>
      <w:r>
        <w:rPr>
          <w:sz w:val="20"/>
        </w:rPr>
        <w:t>de</w:t>
      </w:r>
      <w:r>
        <w:rPr>
          <w:spacing w:val="-5"/>
          <w:sz w:val="20"/>
        </w:rPr>
        <w:t> </w:t>
      </w:r>
      <w:r>
        <w:rPr>
          <w:sz w:val="20"/>
        </w:rPr>
        <w:t>la</w:t>
      </w:r>
      <w:r>
        <w:rPr>
          <w:spacing w:val="-7"/>
          <w:sz w:val="20"/>
        </w:rPr>
        <w:t> </w:t>
      </w:r>
      <w:r>
        <w:rPr>
          <w:spacing w:val="-2"/>
          <w:sz w:val="20"/>
        </w:rPr>
        <w:t>noche;</w:t>
      </w:r>
    </w:p>
    <w:p>
      <w:pPr>
        <w:pStyle w:val="ListParagraph"/>
        <w:numPr>
          <w:ilvl w:val="0"/>
          <w:numId w:val="46"/>
        </w:numPr>
        <w:tabs>
          <w:tab w:pos="1192" w:val="left" w:leader="none"/>
          <w:tab w:pos="1195" w:val="left" w:leader="none"/>
        </w:tabs>
        <w:spacing w:line="242" w:lineRule="auto" w:before="228" w:after="0"/>
        <w:ind w:left="1195" w:right="345" w:hanging="569"/>
        <w:jc w:val="both"/>
        <w:rPr>
          <w:sz w:val="20"/>
        </w:rPr>
      </w:pPr>
      <w:r>
        <w:rPr>
          <w:sz w:val="20"/>
        </w:rPr>
        <w:t>En expendios de bebidas embriagantes de consumo inmediato, cantinas o tabernas y centros de vicio;</w:t>
      </w:r>
    </w:p>
    <w:p>
      <w:pPr>
        <w:pStyle w:val="ListParagraph"/>
        <w:numPr>
          <w:ilvl w:val="0"/>
          <w:numId w:val="46"/>
        </w:numPr>
        <w:tabs>
          <w:tab w:pos="1195" w:val="left" w:leader="none"/>
        </w:tabs>
        <w:spacing w:line="240" w:lineRule="auto" w:before="227" w:after="0"/>
        <w:ind w:left="1195" w:right="0" w:hanging="569"/>
        <w:jc w:val="left"/>
        <w:rPr>
          <w:sz w:val="20"/>
        </w:rPr>
      </w:pPr>
      <w:r>
        <w:rPr>
          <w:sz w:val="20"/>
        </w:rPr>
        <w:t>En</w:t>
      </w:r>
      <w:r>
        <w:rPr>
          <w:spacing w:val="-8"/>
          <w:sz w:val="20"/>
        </w:rPr>
        <w:t> </w:t>
      </w:r>
      <w:r>
        <w:rPr>
          <w:sz w:val="20"/>
        </w:rPr>
        <w:t>trabajos</w:t>
      </w:r>
      <w:r>
        <w:rPr>
          <w:spacing w:val="-6"/>
          <w:sz w:val="20"/>
        </w:rPr>
        <w:t> </w:t>
      </w:r>
      <w:r>
        <w:rPr>
          <w:sz w:val="20"/>
        </w:rPr>
        <w:t>susceptibles</w:t>
      </w:r>
      <w:r>
        <w:rPr>
          <w:spacing w:val="-7"/>
          <w:sz w:val="20"/>
        </w:rPr>
        <w:t> </w:t>
      </w:r>
      <w:r>
        <w:rPr>
          <w:sz w:val="20"/>
        </w:rPr>
        <w:t>de</w:t>
      </w:r>
      <w:r>
        <w:rPr>
          <w:spacing w:val="-5"/>
          <w:sz w:val="20"/>
        </w:rPr>
        <w:t> </w:t>
      </w:r>
      <w:r>
        <w:rPr>
          <w:sz w:val="20"/>
        </w:rPr>
        <w:t>afectar</w:t>
      </w:r>
      <w:r>
        <w:rPr>
          <w:spacing w:val="-8"/>
          <w:sz w:val="20"/>
        </w:rPr>
        <w:t> </w:t>
      </w:r>
      <w:r>
        <w:rPr>
          <w:sz w:val="20"/>
        </w:rPr>
        <w:t>su</w:t>
      </w:r>
      <w:r>
        <w:rPr>
          <w:spacing w:val="-7"/>
          <w:sz w:val="20"/>
        </w:rPr>
        <w:t> </w:t>
      </w:r>
      <w:r>
        <w:rPr>
          <w:sz w:val="20"/>
        </w:rPr>
        <w:t>moralidad</w:t>
      </w:r>
      <w:r>
        <w:rPr>
          <w:spacing w:val="-6"/>
          <w:sz w:val="20"/>
        </w:rPr>
        <w:t> </w:t>
      </w:r>
      <w:r>
        <w:rPr>
          <w:sz w:val="20"/>
        </w:rPr>
        <w:t>o</w:t>
      </w:r>
      <w:r>
        <w:rPr>
          <w:spacing w:val="-7"/>
          <w:sz w:val="20"/>
        </w:rPr>
        <w:t> </w:t>
      </w:r>
      <w:r>
        <w:rPr>
          <w:sz w:val="20"/>
        </w:rPr>
        <w:t>buenas</w:t>
      </w:r>
      <w:r>
        <w:rPr>
          <w:spacing w:val="-6"/>
          <w:sz w:val="20"/>
        </w:rPr>
        <w:t> </w:t>
      </w:r>
      <w:r>
        <w:rPr>
          <w:sz w:val="20"/>
        </w:rPr>
        <w:t>costumbres;</w:t>
      </w:r>
      <w:r>
        <w:rPr>
          <w:spacing w:val="-6"/>
          <w:sz w:val="20"/>
        </w:rPr>
        <w:t> </w:t>
      </w:r>
      <w:r>
        <w:rPr>
          <w:spacing w:val="-10"/>
          <w:sz w:val="20"/>
        </w:rPr>
        <w:t>y</w:t>
      </w:r>
    </w:p>
    <w:p>
      <w:pPr>
        <w:pStyle w:val="ListParagraph"/>
        <w:numPr>
          <w:ilvl w:val="0"/>
          <w:numId w:val="46"/>
        </w:numPr>
        <w:tabs>
          <w:tab w:pos="1195" w:val="left" w:leader="none"/>
        </w:tabs>
        <w:spacing w:line="242" w:lineRule="auto" w:before="227" w:after="0"/>
        <w:ind w:left="1195" w:right="337" w:hanging="569"/>
        <w:jc w:val="both"/>
        <w:rPr>
          <w:sz w:val="20"/>
        </w:rPr>
      </w:pPr>
      <w:r>
        <w:rPr>
          <w:sz w:val="20"/>
        </w:rPr>
        <w:t>En</w:t>
      </w:r>
      <w:r>
        <w:rPr>
          <w:spacing w:val="-3"/>
          <w:sz w:val="20"/>
        </w:rPr>
        <w:t> </w:t>
      </w:r>
      <w:r>
        <w:rPr>
          <w:sz w:val="20"/>
        </w:rPr>
        <w:t>labores</w:t>
      </w:r>
      <w:r>
        <w:rPr>
          <w:spacing w:val="-2"/>
          <w:sz w:val="20"/>
        </w:rPr>
        <w:t> </w:t>
      </w:r>
      <w:r>
        <w:rPr>
          <w:sz w:val="20"/>
        </w:rPr>
        <w:t>peligrosas</w:t>
      </w:r>
      <w:r>
        <w:rPr>
          <w:spacing w:val="-2"/>
          <w:sz w:val="20"/>
        </w:rPr>
        <w:t> </w:t>
      </w:r>
      <w:r>
        <w:rPr>
          <w:sz w:val="20"/>
        </w:rPr>
        <w:t>o</w:t>
      </w:r>
      <w:r>
        <w:rPr>
          <w:spacing w:val="-3"/>
          <w:sz w:val="20"/>
        </w:rPr>
        <w:t> </w:t>
      </w:r>
      <w:r>
        <w:rPr>
          <w:sz w:val="20"/>
        </w:rPr>
        <w:t>insalubres</w:t>
      </w:r>
      <w:r>
        <w:rPr>
          <w:spacing w:val="-3"/>
          <w:sz w:val="20"/>
        </w:rPr>
        <w:t> </w:t>
      </w:r>
      <w:r>
        <w:rPr>
          <w:sz w:val="20"/>
        </w:rPr>
        <w:t>que,</w:t>
      </w:r>
      <w:r>
        <w:rPr>
          <w:spacing w:val="-3"/>
          <w:sz w:val="20"/>
        </w:rPr>
        <w:t> </w:t>
      </w:r>
      <w:r>
        <w:rPr>
          <w:sz w:val="20"/>
        </w:rPr>
        <w:t>por</w:t>
      </w:r>
      <w:r>
        <w:rPr>
          <w:spacing w:val="-2"/>
          <w:sz w:val="20"/>
        </w:rPr>
        <w:t> </w:t>
      </w:r>
      <w:r>
        <w:rPr>
          <w:sz w:val="20"/>
        </w:rPr>
        <w:t>la</w:t>
      </w:r>
      <w:r>
        <w:rPr>
          <w:spacing w:val="-3"/>
          <w:sz w:val="20"/>
        </w:rPr>
        <w:t> </w:t>
      </w:r>
      <w:r>
        <w:rPr>
          <w:sz w:val="20"/>
        </w:rPr>
        <w:t>naturaleza</w:t>
      </w:r>
      <w:r>
        <w:rPr>
          <w:spacing w:val="-3"/>
          <w:sz w:val="20"/>
        </w:rPr>
        <w:t> </w:t>
      </w:r>
      <w:r>
        <w:rPr>
          <w:sz w:val="20"/>
        </w:rPr>
        <w:t>del</w:t>
      </w:r>
      <w:r>
        <w:rPr>
          <w:spacing w:val="-5"/>
          <w:sz w:val="20"/>
        </w:rPr>
        <w:t> </w:t>
      </w:r>
      <w:r>
        <w:rPr>
          <w:sz w:val="20"/>
        </w:rPr>
        <w:t>trabajo,</w:t>
      </w:r>
      <w:r>
        <w:rPr>
          <w:spacing w:val="-3"/>
          <w:sz w:val="20"/>
        </w:rPr>
        <w:t> </w:t>
      </w:r>
      <w:r>
        <w:rPr>
          <w:sz w:val="20"/>
        </w:rPr>
        <w:t>por</w:t>
      </w:r>
      <w:r>
        <w:rPr>
          <w:spacing w:val="-2"/>
          <w:sz w:val="20"/>
        </w:rPr>
        <w:t> </w:t>
      </w:r>
      <w:r>
        <w:rPr>
          <w:sz w:val="20"/>
        </w:rPr>
        <w:t>las</w:t>
      </w:r>
      <w:r>
        <w:rPr>
          <w:spacing w:val="-4"/>
          <w:sz w:val="20"/>
        </w:rPr>
        <w:t> </w:t>
      </w:r>
      <w:r>
        <w:rPr>
          <w:sz w:val="20"/>
        </w:rPr>
        <w:t>condiciones</w:t>
      </w:r>
      <w:r>
        <w:rPr>
          <w:spacing w:val="-4"/>
          <w:sz w:val="20"/>
        </w:rPr>
        <w:t> </w:t>
      </w:r>
      <w:r>
        <w:rPr>
          <w:sz w:val="20"/>
        </w:rPr>
        <w:t>físicas, químicas o biológicas del medio en que se presta, o por la composición de la materia prima que se utiliza, son capaces de actuar sobre la vida, el desarrollo y la salud física y mental de los menores, en términos de lo previsto en el artículo 176 de esta Ley.</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338" w:right="340" w:firstLine="288"/>
        <w:jc w:val="both"/>
      </w:pPr>
      <w:r>
        <w:rPr/>
        <w:t>En caso de declaratoria de contingencia sanitaria y siempre que así lo determine la autoridad competente, no podrá utilizarse el trabajo de menores de dieciocho años. Los trabajadores que se encuentren en este supuesto, no sufrirán perjuicio en su salario, prestaciones y derechos.</w:t>
      </w:r>
    </w:p>
    <w:p>
      <w:pPr>
        <w:spacing w:line="183"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7"/>
        <w:rPr>
          <w:rFonts w:ascii="Times New Roman"/>
          <w:i/>
          <w:sz w:val="16"/>
        </w:rPr>
      </w:pPr>
    </w:p>
    <w:p>
      <w:pPr>
        <w:pStyle w:val="BodyText"/>
        <w:spacing w:before="1"/>
        <w:ind w:left="338" w:right="341" w:firstLine="288"/>
        <w:jc w:val="both"/>
      </w:pPr>
      <w:r>
        <w:rPr/>
        <w:t>Cuando con motivo de la declaratoria de contingencia sanitaria se ordene la suspensión general de labores, a los menores de dieciocho años les será aplicable lo dispuesto por el artículo 429, fracción IV</w:t>
      </w:r>
      <w:r>
        <w:rPr>
          <w:spacing w:val="40"/>
        </w:rPr>
        <w:t> </w:t>
      </w:r>
      <w:r>
        <w:rPr/>
        <w:t>de esta Ley.</w:t>
      </w:r>
    </w:p>
    <w:p>
      <w:pPr>
        <w:spacing w:before="0"/>
        <w:ind w:left="7347" w:right="333" w:firstLine="1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12-06-2015</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4"/>
        <w:rPr>
          <w:rFonts w:ascii="Times New Roman"/>
          <w:i/>
          <w:sz w:val="16"/>
        </w:rPr>
      </w:pPr>
    </w:p>
    <w:p>
      <w:pPr>
        <w:pStyle w:val="BodyText"/>
        <w:ind w:left="338" w:right="337" w:firstLine="288"/>
        <w:jc w:val="both"/>
      </w:pPr>
      <w:bookmarkStart w:name="Artículo_175_Bis" w:id="221"/>
      <w:bookmarkEnd w:id="221"/>
      <w:r>
        <w:rPr/>
      </w:r>
      <w:r>
        <w:rPr>
          <w:rFonts w:ascii="Arial" w:hAnsi="Arial"/>
          <w:b/>
        </w:rPr>
        <w:t>Artículo</w:t>
      </w:r>
      <w:r>
        <w:rPr>
          <w:rFonts w:ascii="Arial" w:hAnsi="Arial"/>
          <w:b/>
          <w:spacing w:val="-1"/>
        </w:rPr>
        <w:t> </w:t>
      </w:r>
      <w:r>
        <w:rPr>
          <w:rFonts w:ascii="Arial" w:hAnsi="Arial"/>
          <w:b/>
        </w:rPr>
        <w:t>175</w:t>
      </w:r>
      <w:r>
        <w:rPr>
          <w:rFonts w:ascii="Arial" w:hAnsi="Arial"/>
          <w:b/>
          <w:spacing w:val="-1"/>
        </w:rPr>
        <w:t> </w:t>
      </w:r>
      <w:r>
        <w:rPr>
          <w:rFonts w:ascii="Arial" w:hAnsi="Arial"/>
          <w:b/>
        </w:rPr>
        <w:t>Bis.</w:t>
      </w:r>
      <w:r>
        <w:rPr>
          <w:rFonts w:ascii="Arial" w:hAnsi="Arial"/>
          <w:b/>
          <w:spacing w:val="-1"/>
        </w:rPr>
        <w:t> </w:t>
      </w:r>
      <w:r>
        <w:rPr/>
        <w:t>Para</w:t>
      </w:r>
      <w:r>
        <w:rPr>
          <w:spacing w:val="-1"/>
        </w:rPr>
        <w:t> </w:t>
      </w:r>
      <w:r>
        <w:rPr/>
        <w:t>los</w:t>
      </w:r>
      <w:r>
        <w:rPr>
          <w:spacing w:val="-1"/>
        </w:rPr>
        <w:t> </w:t>
      </w:r>
      <w:r>
        <w:rPr/>
        <w:t>efectos</w:t>
      </w:r>
      <w:r>
        <w:rPr>
          <w:spacing w:val="-1"/>
        </w:rPr>
        <w:t> </w:t>
      </w:r>
      <w:r>
        <w:rPr/>
        <w:t>de</w:t>
      </w:r>
      <w:r>
        <w:rPr>
          <w:spacing w:val="-2"/>
        </w:rPr>
        <w:t> </w:t>
      </w:r>
      <w:r>
        <w:rPr/>
        <w:t>este</w:t>
      </w:r>
      <w:r>
        <w:rPr>
          <w:spacing w:val="-1"/>
        </w:rPr>
        <w:t> </w:t>
      </w:r>
      <w:r>
        <w:rPr/>
        <w:t>capítulo,</w:t>
      </w:r>
      <w:r>
        <w:rPr>
          <w:spacing w:val="-1"/>
        </w:rPr>
        <w:t> </w:t>
      </w:r>
      <w:r>
        <w:rPr/>
        <w:t>no se</w:t>
      </w:r>
      <w:r>
        <w:rPr>
          <w:spacing w:val="-1"/>
        </w:rPr>
        <w:t> </w:t>
      </w:r>
      <w:r>
        <w:rPr/>
        <w:t>considerará</w:t>
      </w:r>
      <w:r>
        <w:rPr>
          <w:spacing w:val="-1"/>
        </w:rPr>
        <w:t> </w:t>
      </w:r>
      <w:r>
        <w:rPr/>
        <w:t>trabajo las actividades</w:t>
      </w:r>
      <w:r>
        <w:rPr>
          <w:spacing w:val="-1"/>
        </w:rPr>
        <w:t> </w:t>
      </w:r>
      <w:r>
        <w:rPr/>
        <w:t>que</w:t>
      </w:r>
      <w:r>
        <w:rPr>
          <w:spacing w:val="-2"/>
        </w:rPr>
        <w:t> </w:t>
      </w:r>
      <w:r>
        <w:rPr/>
        <w:t>bajo la supervisión, el cuidado y la responsabilidad de los padres, tutores o quienes ejerzan la patria potestad, realicen los menores de quince años relacionadas con la creación artística, el desarrollo científico, deportivo o de talento, la ejecución musical o la interpretación artística en cualquiera de sus manifestaciones, cuando se sujeten a las siguientes reglas:</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5"/>
        <w:rPr>
          <w:rFonts w:ascii="Times New Roman"/>
          <w:i/>
          <w:sz w:val="16"/>
        </w:rPr>
      </w:pPr>
    </w:p>
    <w:p>
      <w:pPr>
        <w:pStyle w:val="ListParagraph"/>
        <w:numPr>
          <w:ilvl w:val="1"/>
          <w:numId w:val="46"/>
        </w:numPr>
        <w:tabs>
          <w:tab w:pos="1056" w:val="left" w:leader="none"/>
          <w:tab w:pos="1058" w:val="left" w:leader="none"/>
        </w:tabs>
        <w:spacing w:line="240" w:lineRule="auto" w:before="0" w:after="0"/>
        <w:ind w:left="1058" w:right="338" w:hanging="432"/>
        <w:jc w:val="both"/>
        <w:rPr>
          <w:sz w:val="20"/>
        </w:rPr>
      </w:pPr>
      <w:r>
        <w:rPr>
          <w:sz w:val="20"/>
        </w:rPr>
        <w:t>La</w:t>
      </w:r>
      <w:r>
        <w:rPr>
          <w:spacing w:val="-4"/>
          <w:sz w:val="20"/>
        </w:rPr>
        <w:t> </w:t>
      </w:r>
      <w:r>
        <w:rPr>
          <w:sz w:val="20"/>
        </w:rPr>
        <w:t>relación</w:t>
      </w:r>
      <w:r>
        <w:rPr>
          <w:spacing w:val="-1"/>
          <w:sz w:val="20"/>
        </w:rPr>
        <w:t> </w:t>
      </w:r>
      <w:r>
        <w:rPr>
          <w:sz w:val="20"/>
        </w:rPr>
        <w:t>establecida</w:t>
      </w:r>
      <w:r>
        <w:rPr>
          <w:spacing w:val="-1"/>
          <w:sz w:val="20"/>
        </w:rPr>
        <w:t> </w:t>
      </w:r>
      <w:r>
        <w:rPr>
          <w:sz w:val="20"/>
        </w:rPr>
        <w:t>con</w:t>
      </w:r>
      <w:r>
        <w:rPr>
          <w:spacing w:val="-1"/>
          <w:sz w:val="20"/>
        </w:rPr>
        <w:t> </w:t>
      </w:r>
      <w:r>
        <w:rPr>
          <w:sz w:val="20"/>
        </w:rPr>
        <w:t>el</w:t>
      </w:r>
      <w:r>
        <w:rPr>
          <w:spacing w:val="-2"/>
          <w:sz w:val="20"/>
        </w:rPr>
        <w:t> </w:t>
      </w:r>
      <w:r>
        <w:rPr>
          <w:sz w:val="20"/>
        </w:rPr>
        <w:t>solicitante</w:t>
      </w:r>
      <w:r>
        <w:rPr>
          <w:spacing w:val="-3"/>
          <w:sz w:val="20"/>
        </w:rPr>
        <w:t> </w:t>
      </w:r>
      <w:r>
        <w:rPr>
          <w:sz w:val="20"/>
        </w:rPr>
        <w:t>deberá</w:t>
      </w:r>
      <w:r>
        <w:rPr>
          <w:spacing w:val="-3"/>
          <w:sz w:val="20"/>
        </w:rPr>
        <w:t> </w:t>
      </w:r>
      <w:r>
        <w:rPr>
          <w:sz w:val="20"/>
        </w:rPr>
        <w:t>constar</w:t>
      </w:r>
      <w:r>
        <w:rPr>
          <w:spacing w:val="-3"/>
          <w:sz w:val="20"/>
        </w:rPr>
        <w:t> </w:t>
      </w:r>
      <w:r>
        <w:rPr>
          <w:sz w:val="20"/>
        </w:rPr>
        <w:t>por escrito y</w:t>
      </w:r>
      <w:r>
        <w:rPr>
          <w:spacing w:val="-4"/>
          <w:sz w:val="20"/>
        </w:rPr>
        <w:t> </w:t>
      </w:r>
      <w:r>
        <w:rPr>
          <w:sz w:val="20"/>
        </w:rPr>
        <w:t>contendrá</w:t>
      </w:r>
      <w:r>
        <w:rPr>
          <w:spacing w:val="-3"/>
          <w:sz w:val="20"/>
        </w:rPr>
        <w:t> </w:t>
      </w:r>
      <w:r>
        <w:rPr>
          <w:sz w:val="20"/>
        </w:rPr>
        <w:t>el</w:t>
      </w:r>
      <w:r>
        <w:rPr>
          <w:spacing w:val="-4"/>
          <w:sz w:val="20"/>
        </w:rPr>
        <w:t> </w:t>
      </w:r>
      <w:r>
        <w:rPr>
          <w:sz w:val="20"/>
        </w:rPr>
        <w:t>consentimiento expreso que en nombre del menor manifiesten los padres, tutores o quienes ejerzan la patria potestad, así como la incorporación del compromiso que asuma el solicitante de respetar a favor del mismo menor los derechos que la Constitución, los convenios internacionales y las leyes federales y locales reconozcan a favor de la niñez;</w:t>
      </w:r>
    </w:p>
    <w:p>
      <w:pPr>
        <w:pStyle w:val="BodyText"/>
      </w:pPr>
    </w:p>
    <w:p>
      <w:pPr>
        <w:pStyle w:val="ListParagraph"/>
        <w:numPr>
          <w:ilvl w:val="1"/>
          <w:numId w:val="46"/>
        </w:numPr>
        <w:tabs>
          <w:tab w:pos="1056" w:val="left" w:leader="none"/>
          <w:tab w:pos="1058" w:val="left" w:leader="none"/>
        </w:tabs>
        <w:spacing w:line="242" w:lineRule="auto" w:before="0" w:after="0"/>
        <w:ind w:left="1058" w:right="338" w:hanging="432"/>
        <w:jc w:val="both"/>
        <w:rPr>
          <w:sz w:val="20"/>
        </w:rPr>
      </w:pPr>
      <w:r>
        <w:rPr>
          <w:sz w:val="20"/>
        </w:rPr>
        <w:t>Las actividades que realice el menor no podrán interferir con su educación, esparcimiento y recreación en los términos que establezca el derecho aplicable, tampoco implicarán riesgo para su integridad o salud y en todo caso, incentivarán el desarrollo de sus habilidades y talentos; y</w:t>
      </w:r>
    </w:p>
    <w:p>
      <w:pPr>
        <w:pStyle w:val="ListParagraph"/>
        <w:spacing w:after="0" w:line="242" w:lineRule="auto"/>
        <w:jc w:val="both"/>
        <w:rPr>
          <w:sz w:val="20"/>
        </w:rPr>
        <w:sectPr>
          <w:pgSz w:w="12240" w:h="15840"/>
          <w:pgMar w:header="724" w:footer="712" w:top="1880" w:bottom="900" w:left="1080" w:right="1080"/>
        </w:sectPr>
      </w:pPr>
    </w:p>
    <w:p>
      <w:pPr>
        <w:pStyle w:val="BodyText"/>
        <w:spacing w:before="63"/>
      </w:pPr>
    </w:p>
    <w:p>
      <w:pPr>
        <w:pStyle w:val="ListParagraph"/>
        <w:numPr>
          <w:ilvl w:val="1"/>
          <w:numId w:val="46"/>
        </w:numPr>
        <w:tabs>
          <w:tab w:pos="1058" w:val="left" w:leader="none"/>
        </w:tabs>
        <w:spacing w:line="242" w:lineRule="auto" w:before="0" w:after="0"/>
        <w:ind w:left="1058" w:right="345" w:hanging="432"/>
        <w:jc w:val="left"/>
        <w:rPr>
          <w:sz w:val="20"/>
        </w:rPr>
      </w:pPr>
      <w:r>
        <w:rPr>
          <w:sz w:val="20"/>
        </w:rPr>
        <w:t>Las contraprestaciones que reciba el</w:t>
      </w:r>
      <w:r>
        <w:rPr>
          <w:spacing w:val="-1"/>
          <w:sz w:val="20"/>
        </w:rPr>
        <w:t> </w:t>
      </w:r>
      <w:r>
        <w:rPr>
          <w:sz w:val="20"/>
        </w:rPr>
        <w:t>menor por las actividades que realice nunca serán menores a las que por concepto de salario recibiría un mayor de quince y menor de dieciocho años.</w:t>
      </w:r>
    </w:p>
    <w:p>
      <w:pPr>
        <w:spacing w:line="240" w:lineRule="auto" w:before="0"/>
        <w:ind w:left="7302" w:right="333" w:firstLine="177"/>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12-06-2015</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2"/>
        <w:rPr>
          <w:rFonts w:ascii="Times New Roman"/>
          <w:i/>
          <w:sz w:val="16"/>
        </w:rPr>
      </w:pPr>
    </w:p>
    <w:p>
      <w:pPr>
        <w:pStyle w:val="BodyText"/>
        <w:spacing w:line="242" w:lineRule="auto"/>
        <w:ind w:left="338" w:right="344" w:firstLine="288"/>
        <w:jc w:val="both"/>
      </w:pPr>
      <w:bookmarkStart w:name="Artículo_176" w:id="222"/>
      <w:bookmarkEnd w:id="222"/>
      <w:r>
        <w:rPr/>
      </w:r>
      <w:r>
        <w:rPr>
          <w:rFonts w:ascii="Arial" w:hAnsi="Arial"/>
          <w:b/>
        </w:rPr>
        <w:t>Artículo 176.- </w:t>
      </w:r>
      <w:r>
        <w:rPr/>
        <w:t>Para los efectos del trabajo de los menores, además de lo que dispongan las Leyes, reglamentos y normas aplicables, se considerarán, como labores peligrosas o insalubres, las que </w:t>
      </w:r>
      <w:r>
        <w:rPr>
          <w:spacing w:val="-2"/>
        </w:rPr>
        <w:t>impliquen: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ListParagraph"/>
        <w:numPr>
          <w:ilvl w:val="2"/>
          <w:numId w:val="46"/>
        </w:numPr>
        <w:tabs>
          <w:tab w:pos="1195" w:val="left" w:leader="none"/>
        </w:tabs>
        <w:spacing w:line="240" w:lineRule="auto" w:before="229" w:after="0"/>
        <w:ind w:left="1195" w:right="0" w:hanging="569"/>
        <w:jc w:val="left"/>
        <w:rPr>
          <w:sz w:val="20"/>
        </w:rPr>
      </w:pPr>
      <w:r>
        <w:rPr>
          <w:sz w:val="20"/>
        </w:rPr>
        <w:t>Exposición</w:t>
      </w:r>
      <w:r>
        <w:rPr>
          <w:spacing w:val="-12"/>
          <w:sz w:val="20"/>
        </w:rPr>
        <w:t> </w:t>
      </w:r>
      <w:r>
        <w:rPr>
          <w:spacing w:val="-5"/>
          <w:sz w:val="20"/>
        </w:rPr>
        <w:t>a:</w:t>
      </w:r>
    </w:p>
    <w:p>
      <w:pPr>
        <w:pStyle w:val="BodyText"/>
      </w:pPr>
    </w:p>
    <w:p>
      <w:pPr>
        <w:pStyle w:val="ListParagraph"/>
        <w:numPr>
          <w:ilvl w:val="3"/>
          <w:numId w:val="46"/>
        </w:numPr>
        <w:tabs>
          <w:tab w:pos="1760" w:val="left" w:leader="none"/>
          <w:tab w:pos="1762" w:val="left" w:leader="none"/>
        </w:tabs>
        <w:spacing w:line="242" w:lineRule="auto" w:before="1" w:after="0"/>
        <w:ind w:left="1762" w:right="345" w:hanging="567"/>
        <w:jc w:val="both"/>
        <w:rPr>
          <w:sz w:val="20"/>
        </w:rPr>
      </w:pPr>
      <w:r>
        <w:rPr>
          <w:sz w:val="20"/>
        </w:rPr>
        <w:t>Ruido, vibraciones, radiaciones ionizantes y no ionizantes infrarrojas o ultravioletas, condiciones térmicas elevadas o abatidas o presiones ambientales anormales.</w:t>
      </w:r>
    </w:p>
    <w:p>
      <w:pPr>
        <w:pStyle w:val="ListParagraph"/>
        <w:numPr>
          <w:ilvl w:val="3"/>
          <w:numId w:val="46"/>
        </w:numPr>
        <w:tabs>
          <w:tab w:pos="1761" w:val="left" w:leader="none"/>
        </w:tabs>
        <w:spacing w:line="240" w:lineRule="auto" w:before="224" w:after="0"/>
        <w:ind w:left="1761" w:right="0" w:hanging="566"/>
        <w:jc w:val="left"/>
        <w:rPr>
          <w:sz w:val="20"/>
        </w:rPr>
      </w:pPr>
      <w:r>
        <w:rPr>
          <w:sz w:val="20"/>
        </w:rPr>
        <w:t>Agentes</w:t>
      </w:r>
      <w:r>
        <w:rPr>
          <w:spacing w:val="-9"/>
          <w:sz w:val="20"/>
        </w:rPr>
        <w:t> </w:t>
      </w:r>
      <w:r>
        <w:rPr>
          <w:sz w:val="20"/>
        </w:rPr>
        <w:t>químicos</w:t>
      </w:r>
      <w:r>
        <w:rPr>
          <w:spacing w:val="-9"/>
          <w:sz w:val="20"/>
        </w:rPr>
        <w:t> </w:t>
      </w:r>
      <w:r>
        <w:rPr>
          <w:sz w:val="20"/>
        </w:rPr>
        <w:t>contaminantes</w:t>
      </w:r>
      <w:r>
        <w:rPr>
          <w:spacing w:val="-9"/>
          <w:sz w:val="20"/>
        </w:rPr>
        <w:t> </w:t>
      </w:r>
      <w:r>
        <w:rPr>
          <w:sz w:val="20"/>
        </w:rPr>
        <w:t>del</w:t>
      </w:r>
      <w:r>
        <w:rPr>
          <w:spacing w:val="-11"/>
          <w:sz w:val="20"/>
        </w:rPr>
        <w:t> </w:t>
      </w:r>
      <w:r>
        <w:rPr>
          <w:sz w:val="20"/>
        </w:rPr>
        <w:t>ambiente</w:t>
      </w:r>
      <w:r>
        <w:rPr>
          <w:spacing w:val="-10"/>
          <w:sz w:val="20"/>
        </w:rPr>
        <w:t> </w:t>
      </w:r>
      <w:r>
        <w:rPr>
          <w:spacing w:val="-2"/>
          <w:sz w:val="20"/>
        </w:rPr>
        <w:t>laboral.</w:t>
      </w:r>
    </w:p>
    <w:p>
      <w:pPr>
        <w:pStyle w:val="BodyText"/>
        <w:spacing w:before="1"/>
      </w:pPr>
    </w:p>
    <w:p>
      <w:pPr>
        <w:pStyle w:val="ListParagraph"/>
        <w:numPr>
          <w:ilvl w:val="3"/>
          <w:numId w:val="46"/>
        </w:numPr>
        <w:tabs>
          <w:tab w:pos="1761" w:val="left" w:leader="none"/>
        </w:tabs>
        <w:spacing w:line="240" w:lineRule="auto" w:before="0" w:after="0"/>
        <w:ind w:left="1761" w:right="0" w:hanging="566"/>
        <w:jc w:val="left"/>
        <w:rPr>
          <w:sz w:val="20"/>
        </w:rPr>
      </w:pPr>
      <w:r>
        <w:rPr>
          <w:sz w:val="20"/>
        </w:rPr>
        <w:t>Residuos</w:t>
      </w:r>
      <w:r>
        <w:rPr>
          <w:spacing w:val="-10"/>
          <w:sz w:val="20"/>
        </w:rPr>
        <w:t> </w:t>
      </w:r>
      <w:r>
        <w:rPr>
          <w:sz w:val="20"/>
        </w:rPr>
        <w:t>peligrosos,</w:t>
      </w:r>
      <w:r>
        <w:rPr>
          <w:spacing w:val="-9"/>
          <w:sz w:val="20"/>
        </w:rPr>
        <w:t> </w:t>
      </w:r>
      <w:r>
        <w:rPr>
          <w:sz w:val="20"/>
        </w:rPr>
        <w:t>agentes</w:t>
      </w:r>
      <w:r>
        <w:rPr>
          <w:spacing w:val="-9"/>
          <w:sz w:val="20"/>
        </w:rPr>
        <w:t> </w:t>
      </w:r>
      <w:r>
        <w:rPr>
          <w:sz w:val="20"/>
        </w:rPr>
        <w:t>biológicos</w:t>
      </w:r>
      <w:r>
        <w:rPr>
          <w:spacing w:val="-9"/>
          <w:sz w:val="20"/>
        </w:rPr>
        <w:t> </w:t>
      </w:r>
      <w:r>
        <w:rPr>
          <w:sz w:val="20"/>
        </w:rPr>
        <w:t>o</w:t>
      </w:r>
      <w:r>
        <w:rPr>
          <w:spacing w:val="-9"/>
          <w:sz w:val="20"/>
        </w:rPr>
        <w:t> </w:t>
      </w:r>
      <w:r>
        <w:rPr>
          <w:sz w:val="20"/>
        </w:rPr>
        <w:t>enfermedades</w:t>
      </w:r>
      <w:r>
        <w:rPr>
          <w:spacing w:val="-9"/>
          <w:sz w:val="20"/>
        </w:rPr>
        <w:t> </w:t>
      </w:r>
      <w:r>
        <w:rPr>
          <w:sz w:val="20"/>
        </w:rPr>
        <w:t>infecto</w:t>
      </w:r>
      <w:r>
        <w:rPr>
          <w:spacing w:val="-10"/>
          <w:sz w:val="20"/>
        </w:rPr>
        <w:t> </w:t>
      </w:r>
      <w:r>
        <w:rPr>
          <w:spacing w:val="-2"/>
          <w:sz w:val="20"/>
        </w:rPr>
        <w:t>contagiosas.</w:t>
      </w:r>
    </w:p>
    <w:p>
      <w:pPr>
        <w:pStyle w:val="BodyText"/>
        <w:spacing w:before="1"/>
      </w:pPr>
    </w:p>
    <w:p>
      <w:pPr>
        <w:pStyle w:val="ListParagraph"/>
        <w:numPr>
          <w:ilvl w:val="3"/>
          <w:numId w:val="46"/>
        </w:numPr>
        <w:tabs>
          <w:tab w:pos="1761" w:val="left" w:leader="none"/>
        </w:tabs>
        <w:spacing w:line="240" w:lineRule="auto" w:before="0" w:after="0"/>
        <w:ind w:left="1761" w:right="0" w:hanging="566"/>
        <w:jc w:val="left"/>
        <w:rPr>
          <w:sz w:val="20"/>
        </w:rPr>
      </w:pPr>
      <w:r>
        <w:rPr>
          <w:sz w:val="20"/>
        </w:rPr>
        <w:t>Fauna</w:t>
      </w:r>
      <w:r>
        <w:rPr>
          <w:spacing w:val="-7"/>
          <w:sz w:val="20"/>
        </w:rPr>
        <w:t> </w:t>
      </w:r>
      <w:r>
        <w:rPr>
          <w:sz w:val="20"/>
        </w:rPr>
        <w:t>peligrosa</w:t>
      </w:r>
      <w:r>
        <w:rPr>
          <w:spacing w:val="-7"/>
          <w:sz w:val="20"/>
        </w:rPr>
        <w:t> </w:t>
      </w:r>
      <w:r>
        <w:rPr>
          <w:sz w:val="20"/>
        </w:rPr>
        <w:t>o</w:t>
      </w:r>
      <w:r>
        <w:rPr>
          <w:spacing w:val="-8"/>
          <w:sz w:val="20"/>
        </w:rPr>
        <w:t> </w:t>
      </w:r>
      <w:r>
        <w:rPr>
          <w:sz w:val="20"/>
        </w:rPr>
        <w:t>flora</w:t>
      </w:r>
      <w:r>
        <w:rPr>
          <w:spacing w:val="-4"/>
          <w:sz w:val="20"/>
        </w:rPr>
        <w:t> </w:t>
      </w:r>
      <w:r>
        <w:rPr>
          <w:spacing w:val="-2"/>
          <w:sz w:val="20"/>
        </w:rPr>
        <w:t>nociva.</w:t>
      </w:r>
    </w:p>
    <w:p>
      <w:pPr>
        <w:pStyle w:val="ListParagraph"/>
        <w:numPr>
          <w:ilvl w:val="2"/>
          <w:numId w:val="46"/>
        </w:numPr>
        <w:tabs>
          <w:tab w:pos="1195" w:val="left" w:leader="none"/>
        </w:tabs>
        <w:spacing w:line="240" w:lineRule="auto" w:before="228" w:after="0"/>
        <w:ind w:left="1195" w:right="0" w:hanging="569"/>
        <w:jc w:val="left"/>
        <w:rPr>
          <w:sz w:val="20"/>
        </w:rPr>
      </w:pPr>
      <w:r>
        <w:rPr>
          <w:spacing w:val="-2"/>
          <w:sz w:val="20"/>
        </w:rPr>
        <w:t>Labores:</w:t>
      </w:r>
    </w:p>
    <w:p>
      <w:pPr>
        <w:pStyle w:val="BodyText"/>
        <w:spacing w:before="1"/>
      </w:pPr>
    </w:p>
    <w:p>
      <w:pPr>
        <w:pStyle w:val="ListParagraph"/>
        <w:numPr>
          <w:ilvl w:val="3"/>
          <w:numId w:val="46"/>
        </w:numPr>
        <w:tabs>
          <w:tab w:pos="1761" w:val="left" w:leader="none"/>
        </w:tabs>
        <w:spacing w:line="240" w:lineRule="auto" w:before="0" w:after="0"/>
        <w:ind w:left="1761" w:right="0" w:hanging="566"/>
        <w:jc w:val="left"/>
        <w:rPr>
          <w:sz w:val="20"/>
        </w:rPr>
      </w:pPr>
      <w:r>
        <w:rPr>
          <w:sz w:val="20"/>
        </w:rPr>
        <w:t>Nocturnas</w:t>
      </w:r>
      <w:r>
        <w:rPr>
          <w:spacing w:val="-6"/>
          <w:sz w:val="20"/>
        </w:rPr>
        <w:t> </w:t>
      </w:r>
      <w:r>
        <w:rPr>
          <w:sz w:val="20"/>
        </w:rPr>
        <w:t>industriales</w:t>
      </w:r>
      <w:r>
        <w:rPr>
          <w:spacing w:val="-7"/>
          <w:sz w:val="20"/>
        </w:rPr>
        <w:t> </w:t>
      </w:r>
      <w:r>
        <w:rPr>
          <w:sz w:val="20"/>
        </w:rPr>
        <w:t>o</w:t>
      </w:r>
      <w:r>
        <w:rPr>
          <w:spacing w:val="-6"/>
          <w:sz w:val="20"/>
        </w:rPr>
        <w:t> </w:t>
      </w:r>
      <w:r>
        <w:rPr>
          <w:sz w:val="20"/>
        </w:rPr>
        <w:t>el</w:t>
      </w:r>
      <w:r>
        <w:rPr>
          <w:spacing w:val="-7"/>
          <w:sz w:val="20"/>
        </w:rPr>
        <w:t> </w:t>
      </w:r>
      <w:r>
        <w:rPr>
          <w:sz w:val="20"/>
        </w:rPr>
        <w:t>trabajo</w:t>
      </w:r>
      <w:r>
        <w:rPr>
          <w:spacing w:val="-8"/>
          <w:sz w:val="20"/>
        </w:rPr>
        <w:t> </w:t>
      </w:r>
      <w:r>
        <w:rPr>
          <w:sz w:val="20"/>
        </w:rPr>
        <w:t>después</w:t>
      </w:r>
      <w:r>
        <w:rPr>
          <w:spacing w:val="-5"/>
          <w:sz w:val="20"/>
        </w:rPr>
        <w:t> </w:t>
      </w:r>
      <w:r>
        <w:rPr>
          <w:sz w:val="20"/>
        </w:rPr>
        <w:t>de</w:t>
      </w:r>
      <w:r>
        <w:rPr>
          <w:spacing w:val="-7"/>
          <w:sz w:val="20"/>
        </w:rPr>
        <w:t> </w:t>
      </w:r>
      <w:r>
        <w:rPr>
          <w:sz w:val="20"/>
        </w:rPr>
        <w:t>las</w:t>
      </w:r>
      <w:r>
        <w:rPr>
          <w:spacing w:val="-7"/>
          <w:sz w:val="20"/>
        </w:rPr>
        <w:t> </w:t>
      </w:r>
      <w:r>
        <w:rPr>
          <w:sz w:val="20"/>
        </w:rPr>
        <w:t>veintidós</w:t>
      </w:r>
      <w:r>
        <w:rPr>
          <w:spacing w:val="-6"/>
          <w:sz w:val="20"/>
        </w:rPr>
        <w:t> </w:t>
      </w:r>
      <w:r>
        <w:rPr>
          <w:spacing w:val="-2"/>
          <w:sz w:val="20"/>
        </w:rPr>
        <w:t>horas.</w:t>
      </w:r>
    </w:p>
    <w:p>
      <w:pPr>
        <w:pStyle w:val="BodyText"/>
        <w:spacing w:before="1"/>
      </w:pPr>
    </w:p>
    <w:p>
      <w:pPr>
        <w:pStyle w:val="ListParagraph"/>
        <w:numPr>
          <w:ilvl w:val="3"/>
          <w:numId w:val="46"/>
        </w:numPr>
        <w:tabs>
          <w:tab w:pos="1761" w:val="left" w:leader="none"/>
        </w:tabs>
        <w:spacing w:line="240" w:lineRule="auto" w:before="0" w:after="0"/>
        <w:ind w:left="1761" w:right="0" w:hanging="566"/>
        <w:jc w:val="left"/>
        <w:rPr>
          <w:sz w:val="20"/>
        </w:rPr>
      </w:pPr>
      <w:r>
        <w:rPr>
          <w:sz w:val="20"/>
        </w:rPr>
        <w:t>De</w:t>
      </w:r>
      <w:r>
        <w:rPr>
          <w:spacing w:val="-8"/>
          <w:sz w:val="20"/>
        </w:rPr>
        <w:t> </w:t>
      </w:r>
      <w:r>
        <w:rPr>
          <w:sz w:val="20"/>
        </w:rPr>
        <w:t>rescate,</w:t>
      </w:r>
      <w:r>
        <w:rPr>
          <w:spacing w:val="-8"/>
          <w:sz w:val="20"/>
        </w:rPr>
        <w:t> </w:t>
      </w:r>
      <w:r>
        <w:rPr>
          <w:sz w:val="20"/>
        </w:rPr>
        <w:t>salvamento</w:t>
      </w:r>
      <w:r>
        <w:rPr>
          <w:spacing w:val="-6"/>
          <w:sz w:val="20"/>
        </w:rPr>
        <w:t> </w:t>
      </w:r>
      <w:r>
        <w:rPr>
          <w:sz w:val="20"/>
        </w:rPr>
        <w:t>y</w:t>
      </w:r>
      <w:r>
        <w:rPr>
          <w:spacing w:val="-8"/>
          <w:sz w:val="20"/>
        </w:rPr>
        <w:t> </w:t>
      </w:r>
      <w:r>
        <w:rPr>
          <w:sz w:val="20"/>
        </w:rPr>
        <w:t>brigadas</w:t>
      </w:r>
      <w:r>
        <w:rPr>
          <w:spacing w:val="-7"/>
          <w:sz w:val="20"/>
        </w:rPr>
        <w:t> </w:t>
      </w:r>
      <w:r>
        <w:rPr>
          <w:sz w:val="20"/>
        </w:rPr>
        <w:t>contra</w:t>
      </w:r>
      <w:r>
        <w:rPr>
          <w:spacing w:val="-8"/>
          <w:sz w:val="20"/>
        </w:rPr>
        <w:t> </w:t>
      </w:r>
      <w:r>
        <w:rPr>
          <w:spacing w:val="-2"/>
          <w:sz w:val="20"/>
        </w:rPr>
        <w:t>siniestros.</w:t>
      </w:r>
    </w:p>
    <w:p>
      <w:pPr>
        <w:pStyle w:val="ListParagraph"/>
        <w:numPr>
          <w:ilvl w:val="3"/>
          <w:numId w:val="46"/>
        </w:numPr>
        <w:tabs>
          <w:tab w:pos="1761" w:val="left" w:leader="none"/>
        </w:tabs>
        <w:spacing w:line="240" w:lineRule="auto" w:before="229" w:after="0"/>
        <w:ind w:left="1761" w:right="0" w:hanging="566"/>
        <w:jc w:val="left"/>
        <w:rPr>
          <w:sz w:val="20"/>
        </w:rPr>
      </w:pPr>
      <w:r>
        <w:rPr>
          <w:sz w:val="20"/>
        </w:rPr>
        <w:t>En</w:t>
      </w:r>
      <w:r>
        <w:rPr>
          <w:spacing w:val="-6"/>
          <w:sz w:val="20"/>
        </w:rPr>
        <w:t> </w:t>
      </w:r>
      <w:r>
        <w:rPr>
          <w:sz w:val="20"/>
        </w:rPr>
        <w:t>altura</w:t>
      </w:r>
      <w:r>
        <w:rPr>
          <w:spacing w:val="-6"/>
          <w:sz w:val="20"/>
        </w:rPr>
        <w:t> </w:t>
      </w:r>
      <w:r>
        <w:rPr>
          <w:sz w:val="20"/>
        </w:rPr>
        <w:t>o</w:t>
      </w:r>
      <w:r>
        <w:rPr>
          <w:spacing w:val="-5"/>
          <w:sz w:val="20"/>
        </w:rPr>
        <w:t> </w:t>
      </w:r>
      <w:r>
        <w:rPr>
          <w:sz w:val="20"/>
        </w:rPr>
        <w:t>espacios</w:t>
      </w:r>
      <w:r>
        <w:rPr>
          <w:spacing w:val="-5"/>
          <w:sz w:val="20"/>
        </w:rPr>
        <w:t> </w:t>
      </w:r>
      <w:r>
        <w:rPr>
          <w:spacing w:val="-2"/>
          <w:sz w:val="20"/>
        </w:rPr>
        <w:t>confinados.</w:t>
      </w:r>
    </w:p>
    <w:p>
      <w:pPr>
        <w:pStyle w:val="BodyText"/>
        <w:spacing w:before="1"/>
      </w:pPr>
    </w:p>
    <w:p>
      <w:pPr>
        <w:pStyle w:val="ListParagraph"/>
        <w:numPr>
          <w:ilvl w:val="3"/>
          <w:numId w:val="46"/>
        </w:numPr>
        <w:tabs>
          <w:tab w:pos="1760" w:val="left" w:leader="none"/>
          <w:tab w:pos="1762" w:val="left" w:leader="none"/>
        </w:tabs>
        <w:spacing w:line="242" w:lineRule="auto" w:before="0" w:after="0"/>
        <w:ind w:left="1762" w:right="345" w:hanging="567"/>
        <w:jc w:val="both"/>
        <w:rPr>
          <w:sz w:val="20"/>
        </w:rPr>
      </w:pPr>
      <w:r>
        <w:rPr>
          <w:sz w:val="20"/>
        </w:rPr>
        <w:t>En las cuales se operen equipos y procesos críticos donde se manejen sustancias químicas peligrosas que puedan ocasionar accidentes mayores.</w:t>
      </w:r>
    </w:p>
    <w:p>
      <w:pPr>
        <w:pStyle w:val="ListParagraph"/>
        <w:numPr>
          <w:ilvl w:val="3"/>
          <w:numId w:val="46"/>
        </w:numPr>
        <w:tabs>
          <w:tab w:pos="1761" w:val="left" w:leader="none"/>
        </w:tabs>
        <w:spacing w:line="240" w:lineRule="auto" w:before="224" w:after="0"/>
        <w:ind w:left="1761" w:right="0" w:hanging="566"/>
        <w:jc w:val="left"/>
        <w:rPr>
          <w:sz w:val="20"/>
        </w:rPr>
      </w:pPr>
      <w:r>
        <w:rPr>
          <w:sz w:val="20"/>
        </w:rPr>
        <w:t>De</w:t>
      </w:r>
      <w:r>
        <w:rPr>
          <w:spacing w:val="-7"/>
          <w:sz w:val="20"/>
        </w:rPr>
        <w:t> </w:t>
      </w:r>
      <w:r>
        <w:rPr>
          <w:sz w:val="20"/>
        </w:rPr>
        <w:t>soldadura</w:t>
      </w:r>
      <w:r>
        <w:rPr>
          <w:spacing w:val="-2"/>
          <w:sz w:val="20"/>
        </w:rPr>
        <w:t> </w:t>
      </w:r>
      <w:r>
        <w:rPr>
          <w:sz w:val="20"/>
        </w:rPr>
        <w:t>y</w:t>
      </w:r>
      <w:r>
        <w:rPr>
          <w:spacing w:val="-10"/>
          <w:sz w:val="20"/>
        </w:rPr>
        <w:t> </w:t>
      </w:r>
      <w:r>
        <w:rPr>
          <w:spacing w:val="-2"/>
          <w:sz w:val="20"/>
        </w:rPr>
        <w:t>corte.</w:t>
      </w:r>
    </w:p>
    <w:p>
      <w:pPr>
        <w:pStyle w:val="BodyText"/>
        <w:spacing w:before="1"/>
      </w:pPr>
    </w:p>
    <w:p>
      <w:pPr>
        <w:pStyle w:val="ListParagraph"/>
        <w:numPr>
          <w:ilvl w:val="3"/>
          <w:numId w:val="46"/>
        </w:numPr>
        <w:tabs>
          <w:tab w:pos="1760" w:val="left" w:leader="none"/>
          <w:tab w:pos="1762" w:val="left" w:leader="none"/>
        </w:tabs>
        <w:spacing w:line="242" w:lineRule="auto" w:before="0" w:after="0"/>
        <w:ind w:left="1762" w:right="345" w:hanging="567"/>
        <w:jc w:val="both"/>
        <w:rPr>
          <w:sz w:val="20"/>
        </w:rPr>
      </w:pPr>
      <w:r>
        <w:rPr>
          <w:sz w:val="20"/>
        </w:rPr>
        <w:t>En condiciones climáticas extremas en campo abierto, que los expongan a deshidratación, golpe de calor, hipotermia o congelación.</w:t>
      </w:r>
    </w:p>
    <w:p>
      <w:pPr>
        <w:pStyle w:val="ListParagraph"/>
        <w:numPr>
          <w:ilvl w:val="3"/>
          <w:numId w:val="46"/>
        </w:numPr>
        <w:tabs>
          <w:tab w:pos="1761" w:val="left" w:leader="none"/>
        </w:tabs>
        <w:spacing w:line="240" w:lineRule="auto" w:before="224" w:after="0"/>
        <w:ind w:left="1761" w:right="0" w:hanging="566"/>
        <w:jc w:val="left"/>
        <w:rPr>
          <w:sz w:val="20"/>
        </w:rPr>
      </w:pPr>
      <w:r>
        <w:rPr>
          <w:sz w:val="20"/>
        </w:rPr>
        <w:t>En</w:t>
      </w:r>
      <w:r>
        <w:rPr>
          <w:spacing w:val="-6"/>
          <w:sz w:val="20"/>
        </w:rPr>
        <w:t> </w:t>
      </w:r>
      <w:r>
        <w:rPr>
          <w:sz w:val="20"/>
        </w:rPr>
        <w:t>vialidades</w:t>
      </w:r>
      <w:r>
        <w:rPr>
          <w:spacing w:val="-6"/>
          <w:sz w:val="20"/>
        </w:rPr>
        <w:t> </w:t>
      </w:r>
      <w:r>
        <w:rPr>
          <w:sz w:val="20"/>
        </w:rPr>
        <w:t>con</w:t>
      </w:r>
      <w:r>
        <w:rPr>
          <w:spacing w:val="-6"/>
          <w:sz w:val="20"/>
        </w:rPr>
        <w:t> </w:t>
      </w:r>
      <w:r>
        <w:rPr>
          <w:sz w:val="20"/>
        </w:rPr>
        <w:t>amplio</w:t>
      </w:r>
      <w:r>
        <w:rPr>
          <w:spacing w:val="-6"/>
          <w:sz w:val="20"/>
        </w:rPr>
        <w:t> </w:t>
      </w:r>
      <w:r>
        <w:rPr>
          <w:sz w:val="20"/>
        </w:rPr>
        <w:t>volumen</w:t>
      </w:r>
      <w:r>
        <w:rPr>
          <w:spacing w:val="-8"/>
          <w:sz w:val="20"/>
        </w:rPr>
        <w:t> </w:t>
      </w:r>
      <w:r>
        <w:rPr>
          <w:sz w:val="20"/>
        </w:rPr>
        <w:t>de</w:t>
      </w:r>
      <w:r>
        <w:rPr>
          <w:spacing w:val="-8"/>
          <w:sz w:val="20"/>
        </w:rPr>
        <w:t> </w:t>
      </w:r>
      <w:r>
        <w:rPr>
          <w:sz w:val="20"/>
        </w:rPr>
        <w:t>tránsito</w:t>
      </w:r>
      <w:r>
        <w:rPr>
          <w:spacing w:val="-7"/>
          <w:sz w:val="20"/>
        </w:rPr>
        <w:t> </w:t>
      </w:r>
      <w:r>
        <w:rPr>
          <w:sz w:val="20"/>
        </w:rPr>
        <w:t>vehicular</w:t>
      </w:r>
      <w:r>
        <w:rPr>
          <w:spacing w:val="-6"/>
          <w:sz w:val="20"/>
        </w:rPr>
        <w:t> </w:t>
      </w:r>
      <w:r>
        <w:rPr>
          <w:sz w:val="20"/>
        </w:rPr>
        <w:t>(vías</w:t>
      </w:r>
      <w:r>
        <w:rPr>
          <w:spacing w:val="-7"/>
          <w:sz w:val="20"/>
        </w:rPr>
        <w:t> </w:t>
      </w:r>
      <w:r>
        <w:rPr>
          <w:spacing w:val="-2"/>
          <w:sz w:val="20"/>
        </w:rPr>
        <w:t>primarias).</w:t>
      </w:r>
    </w:p>
    <w:p>
      <w:pPr>
        <w:pStyle w:val="ListParagraph"/>
        <w:numPr>
          <w:ilvl w:val="3"/>
          <w:numId w:val="46"/>
        </w:numPr>
        <w:tabs>
          <w:tab w:pos="1760" w:val="left" w:leader="none"/>
          <w:tab w:pos="1762" w:val="left" w:leader="none"/>
        </w:tabs>
        <w:spacing w:line="242" w:lineRule="auto" w:before="229" w:after="0"/>
        <w:ind w:left="1762" w:right="342" w:hanging="567"/>
        <w:jc w:val="both"/>
        <w:rPr>
          <w:sz w:val="20"/>
        </w:rPr>
      </w:pPr>
      <w:r>
        <w:rPr>
          <w:sz w:val="20"/>
        </w:rPr>
        <w:t>Agrícolas, forestales, de aserrado, silvícolas, de caza y pesca, que impliquen el uso de químicos, manejo de maquinaria, vehículos pesados, y los que determine la autoridad </w:t>
      </w:r>
      <w:r>
        <w:rPr>
          <w:spacing w:val="-2"/>
          <w:sz w:val="20"/>
        </w:rPr>
        <w:t>competente;</w:t>
      </w:r>
    </w:p>
    <w:p>
      <w:pPr>
        <w:spacing w:line="178"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05-04-</w:t>
      </w:r>
      <w:r>
        <w:rPr>
          <w:rFonts w:ascii="Times New Roman"/>
          <w:i/>
          <w:color w:val="0000FF"/>
          <w:spacing w:val="-4"/>
          <w:sz w:val="16"/>
        </w:rPr>
        <w:t>2022</w:t>
      </w:r>
    </w:p>
    <w:p>
      <w:pPr>
        <w:pStyle w:val="BodyText"/>
        <w:spacing w:before="48"/>
        <w:rPr>
          <w:rFonts w:ascii="Times New Roman"/>
          <w:i/>
          <w:sz w:val="16"/>
        </w:rPr>
      </w:pPr>
    </w:p>
    <w:p>
      <w:pPr>
        <w:pStyle w:val="ListParagraph"/>
        <w:numPr>
          <w:ilvl w:val="3"/>
          <w:numId w:val="46"/>
        </w:numPr>
        <w:tabs>
          <w:tab w:pos="1762" w:val="left" w:leader="none"/>
        </w:tabs>
        <w:spacing w:line="242" w:lineRule="auto" w:before="0" w:after="0"/>
        <w:ind w:left="1762" w:right="346" w:hanging="567"/>
        <w:jc w:val="left"/>
        <w:rPr>
          <w:sz w:val="20"/>
        </w:rPr>
      </w:pPr>
      <w:r>
        <w:rPr>
          <w:sz w:val="20"/>
        </w:rPr>
        <w:t>Productivas de las industrias gasera, del cemento, minera, del hierro y el acero, petrolera y nuclear.</w:t>
      </w:r>
    </w:p>
    <w:p>
      <w:pPr>
        <w:pStyle w:val="ListParagraph"/>
        <w:numPr>
          <w:ilvl w:val="3"/>
          <w:numId w:val="46"/>
        </w:numPr>
        <w:tabs>
          <w:tab w:pos="1761" w:val="left" w:leader="none"/>
        </w:tabs>
        <w:spacing w:line="240" w:lineRule="auto" w:before="226" w:after="0"/>
        <w:ind w:left="1761" w:right="0" w:hanging="566"/>
        <w:jc w:val="left"/>
        <w:rPr>
          <w:sz w:val="20"/>
        </w:rPr>
      </w:pPr>
      <w:r>
        <w:rPr>
          <w:sz w:val="20"/>
        </w:rPr>
        <w:t>Productivas</w:t>
      </w:r>
      <w:r>
        <w:rPr>
          <w:spacing w:val="-8"/>
          <w:sz w:val="20"/>
        </w:rPr>
        <w:t> </w:t>
      </w:r>
      <w:r>
        <w:rPr>
          <w:sz w:val="20"/>
        </w:rPr>
        <w:t>de</w:t>
      </w:r>
      <w:r>
        <w:rPr>
          <w:spacing w:val="-8"/>
          <w:sz w:val="20"/>
        </w:rPr>
        <w:t> </w:t>
      </w:r>
      <w:r>
        <w:rPr>
          <w:sz w:val="20"/>
        </w:rPr>
        <w:t>las</w:t>
      </w:r>
      <w:r>
        <w:rPr>
          <w:spacing w:val="-6"/>
          <w:sz w:val="20"/>
        </w:rPr>
        <w:t> </w:t>
      </w:r>
      <w:r>
        <w:rPr>
          <w:sz w:val="20"/>
        </w:rPr>
        <w:t>industrias</w:t>
      </w:r>
      <w:r>
        <w:rPr>
          <w:spacing w:val="-7"/>
          <w:sz w:val="20"/>
        </w:rPr>
        <w:t> </w:t>
      </w:r>
      <w:r>
        <w:rPr>
          <w:sz w:val="20"/>
        </w:rPr>
        <w:t>ladrillera,</w:t>
      </w:r>
      <w:r>
        <w:rPr>
          <w:spacing w:val="-7"/>
          <w:sz w:val="20"/>
        </w:rPr>
        <w:t> </w:t>
      </w:r>
      <w:r>
        <w:rPr>
          <w:sz w:val="20"/>
        </w:rPr>
        <w:t>vidriera,</w:t>
      </w:r>
      <w:r>
        <w:rPr>
          <w:spacing w:val="-9"/>
          <w:sz w:val="20"/>
        </w:rPr>
        <w:t> </w:t>
      </w:r>
      <w:r>
        <w:rPr>
          <w:sz w:val="20"/>
        </w:rPr>
        <w:t>cerámica</w:t>
      </w:r>
      <w:r>
        <w:rPr>
          <w:spacing w:val="-7"/>
          <w:sz w:val="20"/>
        </w:rPr>
        <w:t> </w:t>
      </w:r>
      <w:r>
        <w:rPr>
          <w:sz w:val="20"/>
        </w:rPr>
        <w:t>y</w:t>
      </w:r>
      <w:r>
        <w:rPr>
          <w:spacing w:val="-11"/>
          <w:sz w:val="20"/>
        </w:rPr>
        <w:t> </w:t>
      </w:r>
      <w:r>
        <w:rPr>
          <w:spacing w:val="-2"/>
          <w:sz w:val="20"/>
        </w:rPr>
        <w:t>cerera.</w:t>
      </w:r>
    </w:p>
    <w:p>
      <w:pPr>
        <w:pStyle w:val="ListParagraph"/>
        <w:numPr>
          <w:ilvl w:val="3"/>
          <w:numId w:val="46"/>
        </w:numPr>
        <w:tabs>
          <w:tab w:pos="1761" w:val="left" w:leader="none"/>
        </w:tabs>
        <w:spacing w:line="240" w:lineRule="auto" w:before="229" w:after="0"/>
        <w:ind w:left="1761" w:right="0" w:hanging="566"/>
        <w:jc w:val="left"/>
        <w:rPr>
          <w:sz w:val="20"/>
        </w:rPr>
      </w:pPr>
      <w:r>
        <w:rPr>
          <w:sz w:val="20"/>
        </w:rPr>
        <w:t>Productivas</w:t>
      </w:r>
      <w:r>
        <w:rPr>
          <w:spacing w:val="-8"/>
          <w:sz w:val="20"/>
        </w:rPr>
        <w:t> </w:t>
      </w:r>
      <w:r>
        <w:rPr>
          <w:sz w:val="20"/>
        </w:rPr>
        <w:t>de</w:t>
      </w:r>
      <w:r>
        <w:rPr>
          <w:spacing w:val="-8"/>
          <w:sz w:val="20"/>
        </w:rPr>
        <w:t> </w:t>
      </w:r>
      <w:r>
        <w:rPr>
          <w:sz w:val="20"/>
        </w:rPr>
        <w:t>la</w:t>
      </w:r>
      <w:r>
        <w:rPr>
          <w:spacing w:val="-6"/>
          <w:sz w:val="20"/>
        </w:rPr>
        <w:t> </w:t>
      </w:r>
      <w:r>
        <w:rPr>
          <w:sz w:val="20"/>
        </w:rPr>
        <w:t>industria</w:t>
      </w:r>
      <w:r>
        <w:rPr>
          <w:spacing w:val="-5"/>
          <w:sz w:val="20"/>
        </w:rPr>
        <w:t> </w:t>
      </w:r>
      <w:r>
        <w:rPr>
          <w:spacing w:val="-2"/>
          <w:sz w:val="20"/>
        </w:rPr>
        <w:t>tabacalera.</w:t>
      </w:r>
    </w:p>
    <w:p>
      <w:pPr>
        <w:pStyle w:val="BodyText"/>
      </w:pPr>
    </w:p>
    <w:p>
      <w:pPr>
        <w:pStyle w:val="ListParagraph"/>
        <w:numPr>
          <w:ilvl w:val="3"/>
          <w:numId w:val="46"/>
        </w:numPr>
        <w:tabs>
          <w:tab w:pos="1762" w:val="left" w:leader="none"/>
        </w:tabs>
        <w:spacing w:line="242" w:lineRule="auto" w:before="1" w:after="0"/>
        <w:ind w:left="1762" w:right="340" w:hanging="567"/>
        <w:jc w:val="left"/>
        <w:rPr>
          <w:sz w:val="20"/>
        </w:rPr>
      </w:pPr>
      <w:r>
        <w:rPr>
          <w:sz w:val="20"/>
        </w:rPr>
        <w:t>Relacionadas</w:t>
      </w:r>
      <w:r>
        <w:rPr>
          <w:spacing w:val="80"/>
          <w:sz w:val="20"/>
        </w:rPr>
        <w:t> </w:t>
      </w:r>
      <w:r>
        <w:rPr>
          <w:sz w:val="20"/>
        </w:rPr>
        <w:t>con</w:t>
      </w:r>
      <w:r>
        <w:rPr>
          <w:spacing w:val="80"/>
          <w:sz w:val="20"/>
        </w:rPr>
        <w:t> </w:t>
      </w:r>
      <w:r>
        <w:rPr>
          <w:sz w:val="20"/>
        </w:rPr>
        <w:t>la</w:t>
      </w:r>
      <w:r>
        <w:rPr>
          <w:spacing w:val="80"/>
          <w:sz w:val="20"/>
        </w:rPr>
        <w:t> </w:t>
      </w:r>
      <w:r>
        <w:rPr>
          <w:sz w:val="20"/>
        </w:rPr>
        <w:t>generación,</w:t>
      </w:r>
      <w:r>
        <w:rPr>
          <w:spacing w:val="80"/>
          <w:sz w:val="20"/>
        </w:rPr>
        <w:t> </w:t>
      </w:r>
      <w:r>
        <w:rPr>
          <w:sz w:val="20"/>
        </w:rPr>
        <w:t>transmisión</w:t>
      </w:r>
      <w:r>
        <w:rPr>
          <w:spacing w:val="80"/>
          <w:sz w:val="20"/>
        </w:rPr>
        <w:t> </w:t>
      </w:r>
      <w:r>
        <w:rPr>
          <w:sz w:val="20"/>
        </w:rPr>
        <w:t>y</w:t>
      </w:r>
      <w:r>
        <w:rPr>
          <w:spacing w:val="80"/>
          <w:sz w:val="20"/>
        </w:rPr>
        <w:t> </w:t>
      </w:r>
      <w:r>
        <w:rPr>
          <w:sz w:val="20"/>
        </w:rPr>
        <w:t>distribución</w:t>
      </w:r>
      <w:r>
        <w:rPr>
          <w:spacing w:val="80"/>
          <w:sz w:val="20"/>
        </w:rPr>
        <w:t> </w:t>
      </w:r>
      <w:r>
        <w:rPr>
          <w:sz w:val="20"/>
        </w:rPr>
        <w:t>de</w:t>
      </w:r>
      <w:r>
        <w:rPr>
          <w:spacing w:val="80"/>
          <w:sz w:val="20"/>
        </w:rPr>
        <w:t> </w:t>
      </w:r>
      <w:r>
        <w:rPr>
          <w:sz w:val="20"/>
        </w:rPr>
        <w:t>electricidad</w:t>
      </w:r>
      <w:r>
        <w:rPr>
          <w:spacing w:val="80"/>
          <w:sz w:val="20"/>
        </w:rPr>
        <w:t> </w:t>
      </w:r>
      <w:r>
        <w:rPr>
          <w:sz w:val="20"/>
        </w:rPr>
        <w:t>y</w:t>
      </w:r>
      <w:r>
        <w:rPr>
          <w:spacing w:val="80"/>
          <w:sz w:val="20"/>
        </w:rPr>
        <w:t> </w:t>
      </w:r>
      <w:r>
        <w:rPr>
          <w:sz w:val="20"/>
        </w:rPr>
        <w:t>el</w:t>
      </w:r>
      <w:r>
        <w:rPr>
          <w:spacing w:val="40"/>
          <w:sz w:val="20"/>
        </w:rPr>
        <w:t> </w:t>
      </w:r>
      <w:r>
        <w:rPr>
          <w:sz w:val="20"/>
        </w:rPr>
        <w:t>mantenimiento de instalaciones eléctricas.</w:t>
      </w:r>
    </w:p>
    <w:p>
      <w:pPr>
        <w:pStyle w:val="ListParagraph"/>
        <w:spacing w:after="0" w:line="242" w:lineRule="auto"/>
        <w:jc w:val="left"/>
        <w:rPr>
          <w:sz w:val="20"/>
        </w:rPr>
        <w:sectPr>
          <w:pgSz w:w="12240" w:h="15840"/>
          <w:pgMar w:header="724" w:footer="712" w:top="1880" w:bottom="900" w:left="1080" w:right="1080"/>
        </w:sectPr>
      </w:pPr>
    </w:p>
    <w:p>
      <w:pPr>
        <w:pStyle w:val="BodyText"/>
      </w:pPr>
    </w:p>
    <w:p>
      <w:pPr>
        <w:pStyle w:val="BodyText"/>
        <w:spacing w:before="63"/>
      </w:pPr>
    </w:p>
    <w:p>
      <w:pPr>
        <w:pStyle w:val="ListParagraph"/>
        <w:numPr>
          <w:ilvl w:val="3"/>
          <w:numId w:val="46"/>
        </w:numPr>
        <w:tabs>
          <w:tab w:pos="1761" w:val="left" w:leader="none"/>
        </w:tabs>
        <w:spacing w:line="240" w:lineRule="auto" w:before="0" w:after="0"/>
        <w:ind w:left="1761" w:right="0" w:hanging="566"/>
        <w:jc w:val="left"/>
        <w:rPr>
          <w:sz w:val="20"/>
        </w:rPr>
      </w:pPr>
      <w:r>
        <w:rPr>
          <w:sz w:val="20"/>
        </w:rPr>
        <w:t>En</w:t>
      </w:r>
      <w:r>
        <w:rPr>
          <w:spacing w:val="-5"/>
          <w:sz w:val="20"/>
        </w:rPr>
        <w:t> </w:t>
      </w:r>
      <w:r>
        <w:rPr>
          <w:sz w:val="20"/>
        </w:rPr>
        <w:t>obras</w:t>
      </w:r>
      <w:r>
        <w:rPr>
          <w:spacing w:val="-3"/>
          <w:sz w:val="20"/>
        </w:rPr>
        <w:t> </w:t>
      </w:r>
      <w:r>
        <w:rPr>
          <w:sz w:val="20"/>
        </w:rPr>
        <w:t>de</w:t>
      </w:r>
      <w:r>
        <w:rPr>
          <w:spacing w:val="-2"/>
          <w:sz w:val="20"/>
        </w:rPr>
        <w:t> construcción.</w:t>
      </w:r>
    </w:p>
    <w:p>
      <w:pPr>
        <w:pStyle w:val="BodyText"/>
        <w:spacing w:before="1"/>
      </w:pPr>
    </w:p>
    <w:p>
      <w:pPr>
        <w:pStyle w:val="ListParagraph"/>
        <w:numPr>
          <w:ilvl w:val="3"/>
          <w:numId w:val="46"/>
        </w:numPr>
        <w:tabs>
          <w:tab w:pos="1762" w:val="left" w:leader="none"/>
        </w:tabs>
        <w:spacing w:line="242" w:lineRule="auto" w:before="0" w:after="0"/>
        <w:ind w:left="1762" w:right="348" w:hanging="567"/>
        <w:jc w:val="left"/>
        <w:rPr>
          <w:sz w:val="20"/>
        </w:rPr>
      </w:pPr>
      <w:r>
        <w:rPr>
          <w:sz w:val="20"/>
        </w:rPr>
        <w:t>Que</w:t>
      </w:r>
      <w:r>
        <w:rPr>
          <w:spacing w:val="-4"/>
          <w:sz w:val="20"/>
        </w:rPr>
        <w:t> </w:t>
      </w:r>
      <w:r>
        <w:rPr>
          <w:sz w:val="20"/>
        </w:rPr>
        <w:t>tengan</w:t>
      </w:r>
      <w:r>
        <w:rPr>
          <w:spacing w:val="-4"/>
          <w:sz w:val="20"/>
        </w:rPr>
        <w:t> </w:t>
      </w:r>
      <w:r>
        <w:rPr>
          <w:sz w:val="20"/>
        </w:rPr>
        <w:t>responsabilidad</w:t>
      </w:r>
      <w:r>
        <w:rPr>
          <w:spacing w:val="-3"/>
          <w:sz w:val="20"/>
        </w:rPr>
        <w:t> </w:t>
      </w:r>
      <w:r>
        <w:rPr>
          <w:sz w:val="20"/>
        </w:rPr>
        <w:t>directa</w:t>
      </w:r>
      <w:r>
        <w:rPr>
          <w:spacing w:val="-1"/>
          <w:sz w:val="20"/>
        </w:rPr>
        <w:t> </w:t>
      </w:r>
      <w:r>
        <w:rPr>
          <w:sz w:val="20"/>
        </w:rPr>
        <w:t>sobre</w:t>
      </w:r>
      <w:r>
        <w:rPr>
          <w:spacing w:val="-1"/>
          <w:sz w:val="20"/>
        </w:rPr>
        <w:t> </w:t>
      </w:r>
      <w:r>
        <w:rPr>
          <w:sz w:val="20"/>
        </w:rPr>
        <w:t>el</w:t>
      </w:r>
      <w:r>
        <w:rPr>
          <w:spacing w:val="-2"/>
          <w:sz w:val="20"/>
        </w:rPr>
        <w:t> </w:t>
      </w:r>
      <w:r>
        <w:rPr>
          <w:sz w:val="20"/>
        </w:rPr>
        <w:t>cuidado</w:t>
      </w:r>
      <w:r>
        <w:rPr>
          <w:spacing w:val="-1"/>
          <w:sz w:val="20"/>
        </w:rPr>
        <w:t> </w:t>
      </w:r>
      <w:r>
        <w:rPr>
          <w:sz w:val="20"/>
        </w:rPr>
        <w:t>de</w:t>
      </w:r>
      <w:r>
        <w:rPr>
          <w:spacing w:val="-1"/>
          <w:sz w:val="20"/>
        </w:rPr>
        <w:t> </w:t>
      </w:r>
      <w:r>
        <w:rPr>
          <w:sz w:val="20"/>
        </w:rPr>
        <w:t>personas o</w:t>
      </w:r>
      <w:r>
        <w:rPr>
          <w:spacing w:val="-1"/>
          <w:sz w:val="20"/>
        </w:rPr>
        <w:t> </w:t>
      </w:r>
      <w:r>
        <w:rPr>
          <w:sz w:val="20"/>
        </w:rPr>
        <w:t>la</w:t>
      </w:r>
      <w:r>
        <w:rPr>
          <w:spacing w:val="-1"/>
          <w:sz w:val="20"/>
        </w:rPr>
        <w:t> </w:t>
      </w:r>
      <w:r>
        <w:rPr>
          <w:sz w:val="20"/>
        </w:rPr>
        <w:t>custodia de</w:t>
      </w:r>
      <w:r>
        <w:rPr>
          <w:spacing w:val="-1"/>
          <w:sz w:val="20"/>
        </w:rPr>
        <w:t> </w:t>
      </w:r>
      <w:r>
        <w:rPr>
          <w:sz w:val="20"/>
        </w:rPr>
        <w:t>bienes y valores.</w:t>
      </w:r>
    </w:p>
    <w:p>
      <w:pPr>
        <w:pStyle w:val="ListParagraph"/>
        <w:numPr>
          <w:ilvl w:val="3"/>
          <w:numId w:val="46"/>
        </w:numPr>
        <w:tabs>
          <w:tab w:pos="1762" w:val="left" w:leader="none"/>
        </w:tabs>
        <w:spacing w:line="242" w:lineRule="auto" w:before="224" w:after="0"/>
        <w:ind w:left="1762" w:right="341" w:hanging="567"/>
        <w:jc w:val="left"/>
        <w:rPr>
          <w:sz w:val="20"/>
        </w:rPr>
      </w:pPr>
      <w:r>
        <w:rPr>
          <w:sz w:val="20"/>
        </w:rPr>
        <w:t>Con alto grado de dificultad; en apremio de tiempo; que demandan alta responsabilidad,</w:t>
      </w:r>
      <w:r>
        <w:rPr>
          <w:spacing w:val="40"/>
          <w:sz w:val="20"/>
        </w:rPr>
        <w:t> </w:t>
      </w:r>
      <w:r>
        <w:rPr>
          <w:sz w:val="20"/>
        </w:rPr>
        <w:t>o que requieren de concentración y atención sostenidas.</w:t>
      </w:r>
    </w:p>
    <w:p>
      <w:pPr>
        <w:pStyle w:val="ListParagraph"/>
        <w:numPr>
          <w:ilvl w:val="3"/>
          <w:numId w:val="46"/>
        </w:numPr>
        <w:tabs>
          <w:tab w:pos="1762" w:val="left" w:leader="none"/>
        </w:tabs>
        <w:spacing w:line="242" w:lineRule="auto" w:before="227" w:after="0"/>
        <w:ind w:left="1762" w:right="347" w:hanging="567"/>
        <w:jc w:val="left"/>
        <w:rPr>
          <w:sz w:val="20"/>
        </w:rPr>
      </w:pPr>
      <w:r>
        <w:rPr>
          <w:sz w:val="20"/>
        </w:rPr>
        <w:t>Relativas</w:t>
      </w:r>
      <w:r>
        <w:rPr>
          <w:spacing w:val="40"/>
          <w:sz w:val="20"/>
        </w:rPr>
        <w:t> </w:t>
      </w:r>
      <w:r>
        <w:rPr>
          <w:sz w:val="20"/>
        </w:rPr>
        <w:t>a</w:t>
      </w:r>
      <w:r>
        <w:rPr>
          <w:spacing w:val="40"/>
          <w:sz w:val="20"/>
        </w:rPr>
        <w:t> </w:t>
      </w:r>
      <w:r>
        <w:rPr>
          <w:sz w:val="20"/>
        </w:rPr>
        <w:t>la</w:t>
      </w:r>
      <w:r>
        <w:rPr>
          <w:spacing w:val="40"/>
          <w:sz w:val="20"/>
        </w:rPr>
        <w:t> </w:t>
      </w:r>
      <w:r>
        <w:rPr>
          <w:sz w:val="20"/>
        </w:rPr>
        <w:t>operación,</w:t>
      </w:r>
      <w:r>
        <w:rPr>
          <w:spacing w:val="40"/>
          <w:sz w:val="20"/>
        </w:rPr>
        <w:t> </w:t>
      </w:r>
      <w:r>
        <w:rPr>
          <w:sz w:val="20"/>
        </w:rPr>
        <w:t>revisión,</w:t>
      </w:r>
      <w:r>
        <w:rPr>
          <w:spacing w:val="40"/>
          <w:sz w:val="20"/>
        </w:rPr>
        <w:t> </w:t>
      </w:r>
      <w:r>
        <w:rPr>
          <w:sz w:val="20"/>
        </w:rPr>
        <w:t>mantenimiento</w:t>
      </w:r>
      <w:r>
        <w:rPr>
          <w:spacing w:val="40"/>
          <w:sz w:val="20"/>
        </w:rPr>
        <w:t> </w:t>
      </w:r>
      <w:r>
        <w:rPr>
          <w:sz w:val="20"/>
        </w:rPr>
        <w:t>y</w:t>
      </w:r>
      <w:r>
        <w:rPr>
          <w:spacing w:val="40"/>
          <w:sz w:val="20"/>
        </w:rPr>
        <w:t> </w:t>
      </w:r>
      <w:r>
        <w:rPr>
          <w:sz w:val="20"/>
        </w:rPr>
        <w:t>pruebas</w:t>
      </w:r>
      <w:r>
        <w:rPr>
          <w:spacing w:val="40"/>
          <w:sz w:val="20"/>
        </w:rPr>
        <w:t> </w:t>
      </w:r>
      <w:r>
        <w:rPr>
          <w:sz w:val="20"/>
        </w:rPr>
        <w:t>de</w:t>
      </w:r>
      <w:r>
        <w:rPr>
          <w:spacing w:val="40"/>
          <w:sz w:val="20"/>
        </w:rPr>
        <w:t> </w:t>
      </w:r>
      <w:r>
        <w:rPr>
          <w:sz w:val="20"/>
        </w:rPr>
        <w:t>recipientes</w:t>
      </w:r>
      <w:r>
        <w:rPr>
          <w:spacing w:val="40"/>
          <w:sz w:val="20"/>
        </w:rPr>
        <w:t> </w:t>
      </w:r>
      <w:r>
        <w:rPr>
          <w:sz w:val="20"/>
        </w:rPr>
        <w:t>sujetos</w:t>
      </w:r>
      <w:r>
        <w:rPr>
          <w:spacing w:val="40"/>
          <w:sz w:val="20"/>
        </w:rPr>
        <w:t> </w:t>
      </w:r>
      <w:r>
        <w:rPr>
          <w:sz w:val="20"/>
        </w:rPr>
        <w:t>a presión, recipientes criogénicos y generadores de vapor o calderas.</w:t>
      </w:r>
    </w:p>
    <w:p>
      <w:pPr>
        <w:pStyle w:val="ListParagraph"/>
        <w:numPr>
          <w:ilvl w:val="3"/>
          <w:numId w:val="46"/>
        </w:numPr>
        <w:tabs>
          <w:tab w:pos="1761" w:val="left" w:leader="none"/>
        </w:tabs>
        <w:spacing w:line="240" w:lineRule="auto" w:before="225" w:after="0"/>
        <w:ind w:left="1761" w:right="0" w:hanging="566"/>
        <w:jc w:val="left"/>
        <w:rPr>
          <w:sz w:val="20"/>
        </w:rPr>
      </w:pPr>
      <w:r>
        <w:rPr>
          <w:sz w:val="20"/>
        </w:rPr>
        <w:t>En</w:t>
      </w:r>
      <w:r>
        <w:rPr>
          <w:spacing w:val="-5"/>
          <w:sz w:val="20"/>
        </w:rPr>
        <w:t> </w:t>
      </w:r>
      <w:r>
        <w:rPr>
          <w:spacing w:val="-2"/>
          <w:sz w:val="20"/>
        </w:rPr>
        <w:t>buques.</w:t>
      </w:r>
    </w:p>
    <w:p>
      <w:pPr>
        <w:pStyle w:val="BodyText"/>
        <w:spacing w:before="1"/>
      </w:pPr>
    </w:p>
    <w:p>
      <w:pPr>
        <w:pStyle w:val="ListParagraph"/>
        <w:numPr>
          <w:ilvl w:val="3"/>
          <w:numId w:val="46"/>
        </w:numPr>
        <w:tabs>
          <w:tab w:pos="1761" w:val="left" w:leader="none"/>
        </w:tabs>
        <w:spacing w:line="240" w:lineRule="auto" w:before="0" w:after="0"/>
        <w:ind w:left="1761" w:right="0" w:hanging="566"/>
        <w:jc w:val="left"/>
        <w:rPr>
          <w:sz w:val="20"/>
        </w:rPr>
      </w:pPr>
      <w:r>
        <w:rPr>
          <w:sz w:val="20"/>
        </w:rPr>
        <w:t>En</w:t>
      </w:r>
      <w:r>
        <w:rPr>
          <w:spacing w:val="-5"/>
          <w:sz w:val="20"/>
        </w:rPr>
        <w:t> </w:t>
      </w:r>
      <w:r>
        <w:rPr>
          <w:spacing w:val="-2"/>
          <w:sz w:val="20"/>
        </w:rPr>
        <w:t>minas.</w:t>
      </w:r>
    </w:p>
    <w:p>
      <w:pPr>
        <w:pStyle w:val="BodyText"/>
      </w:pPr>
    </w:p>
    <w:p>
      <w:pPr>
        <w:pStyle w:val="ListParagraph"/>
        <w:numPr>
          <w:ilvl w:val="3"/>
          <w:numId w:val="46"/>
        </w:numPr>
        <w:tabs>
          <w:tab w:pos="1761" w:val="left" w:leader="none"/>
        </w:tabs>
        <w:spacing w:line="240" w:lineRule="auto" w:before="1" w:after="0"/>
        <w:ind w:left="1761" w:right="0" w:hanging="566"/>
        <w:jc w:val="left"/>
        <w:rPr>
          <w:sz w:val="20"/>
        </w:rPr>
      </w:pPr>
      <w:r>
        <w:rPr>
          <w:sz w:val="20"/>
        </w:rPr>
        <w:t>Submarinas</w:t>
      </w:r>
      <w:r>
        <w:rPr>
          <w:spacing w:val="-4"/>
          <w:sz w:val="20"/>
        </w:rPr>
        <w:t> </w:t>
      </w:r>
      <w:r>
        <w:rPr>
          <w:sz w:val="20"/>
        </w:rPr>
        <w:t>y</w:t>
      </w:r>
      <w:r>
        <w:rPr>
          <w:spacing w:val="-11"/>
          <w:sz w:val="20"/>
        </w:rPr>
        <w:t> </w:t>
      </w:r>
      <w:r>
        <w:rPr>
          <w:spacing w:val="-2"/>
          <w:sz w:val="20"/>
        </w:rPr>
        <w:t>subterráneas.</w:t>
      </w:r>
    </w:p>
    <w:p>
      <w:pPr>
        <w:pStyle w:val="ListParagraph"/>
        <w:numPr>
          <w:ilvl w:val="3"/>
          <w:numId w:val="46"/>
        </w:numPr>
        <w:tabs>
          <w:tab w:pos="1761" w:val="left" w:leader="none"/>
        </w:tabs>
        <w:spacing w:line="240" w:lineRule="auto" w:before="228" w:after="0"/>
        <w:ind w:left="1761" w:right="0" w:hanging="566"/>
        <w:jc w:val="left"/>
        <w:rPr>
          <w:sz w:val="20"/>
        </w:rPr>
      </w:pPr>
      <w:r>
        <w:rPr>
          <w:sz w:val="20"/>
        </w:rPr>
        <w:t>Trabajos</w:t>
      </w:r>
      <w:r>
        <w:rPr>
          <w:spacing w:val="-9"/>
          <w:sz w:val="20"/>
        </w:rPr>
        <w:t> </w:t>
      </w:r>
      <w:r>
        <w:rPr>
          <w:sz w:val="20"/>
        </w:rPr>
        <w:t>ambulantes,</w:t>
      </w:r>
      <w:r>
        <w:rPr>
          <w:spacing w:val="-9"/>
          <w:sz w:val="20"/>
        </w:rPr>
        <w:t> </w:t>
      </w:r>
      <w:r>
        <w:rPr>
          <w:sz w:val="20"/>
        </w:rPr>
        <w:t>salvo</w:t>
      </w:r>
      <w:r>
        <w:rPr>
          <w:spacing w:val="-8"/>
          <w:sz w:val="20"/>
        </w:rPr>
        <w:t> </w:t>
      </w:r>
      <w:r>
        <w:rPr>
          <w:sz w:val="20"/>
        </w:rPr>
        <w:t>autorización</w:t>
      </w:r>
      <w:r>
        <w:rPr>
          <w:spacing w:val="-9"/>
          <w:sz w:val="20"/>
        </w:rPr>
        <w:t> </w:t>
      </w:r>
      <w:r>
        <w:rPr>
          <w:sz w:val="20"/>
        </w:rPr>
        <w:t>especial</w:t>
      </w:r>
      <w:r>
        <w:rPr>
          <w:spacing w:val="-8"/>
          <w:sz w:val="20"/>
        </w:rPr>
        <w:t> </w:t>
      </w:r>
      <w:r>
        <w:rPr>
          <w:sz w:val="20"/>
        </w:rPr>
        <w:t>de</w:t>
      </w:r>
      <w:r>
        <w:rPr>
          <w:spacing w:val="-8"/>
          <w:sz w:val="20"/>
        </w:rPr>
        <w:t> </w:t>
      </w:r>
      <w:r>
        <w:rPr>
          <w:sz w:val="20"/>
        </w:rPr>
        <w:t>la</w:t>
      </w:r>
      <w:r>
        <w:rPr>
          <w:spacing w:val="-8"/>
          <w:sz w:val="20"/>
        </w:rPr>
        <w:t> </w:t>
      </w:r>
      <w:r>
        <w:rPr>
          <w:sz w:val="20"/>
        </w:rPr>
        <w:t>Inspección</w:t>
      </w:r>
      <w:r>
        <w:rPr>
          <w:spacing w:val="-9"/>
          <w:sz w:val="20"/>
        </w:rPr>
        <w:t> </w:t>
      </w:r>
      <w:r>
        <w:rPr>
          <w:sz w:val="20"/>
        </w:rPr>
        <w:t>de</w:t>
      </w:r>
      <w:r>
        <w:rPr>
          <w:spacing w:val="-8"/>
          <w:sz w:val="20"/>
        </w:rPr>
        <w:t> </w:t>
      </w:r>
      <w:r>
        <w:rPr>
          <w:spacing w:val="-2"/>
          <w:sz w:val="20"/>
        </w:rPr>
        <w:t>Trabajo.</w:t>
      </w:r>
    </w:p>
    <w:p>
      <w:pPr>
        <w:pStyle w:val="BodyText"/>
        <w:spacing w:before="1"/>
      </w:pPr>
    </w:p>
    <w:p>
      <w:pPr>
        <w:pStyle w:val="ListParagraph"/>
        <w:numPr>
          <w:ilvl w:val="2"/>
          <w:numId w:val="46"/>
        </w:numPr>
        <w:tabs>
          <w:tab w:pos="1191" w:val="left" w:leader="none"/>
          <w:tab w:pos="1195" w:val="left" w:leader="none"/>
        </w:tabs>
        <w:spacing w:line="242" w:lineRule="auto" w:before="0" w:after="0"/>
        <w:ind w:left="1195" w:right="342" w:hanging="569"/>
        <w:jc w:val="both"/>
        <w:rPr>
          <w:sz w:val="20"/>
        </w:rPr>
      </w:pPr>
      <w:r>
        <w:rPr>
          <w:sz w:val="20"/>
        </w:rPr>
        <w:t>Esfuerzo físico moderado y pesado; cargas superiores a los siete kilogramos; posturas</w:t>
      </w:r>
      <w:r>
        <w:rPr>
          <w:spacing w:val="40"/>
          <w:sz w:val="20"/>
        </w:rPr>
        <w:t> </w:t>
      </w:r>
      <w:r>
        <w:rPr>
          <w:sz w:val="20"/>
        </w:rPr>
        <w:t>forzadas, o con movimientos repetitivos por períodos prolongados, que alteren su sistema </w:t>
      </w:r>
      <w:r>
        <w:rPr>
          <w:spacing w:val="-2"/>
          <w:sz w:val="20"/>
        </w:rPr>
        <w:t>musculo-esquelético.</w:t>
      </w:r>
    </w:p>
    <w:p>
      <w:pPr>
        <w:pStyle w:val="ListParagraph"/>
        <w:numPr>
          <w:ilvl w:val="2"/>
          <w:numId w:val="46"/>
        </w:numPr>
        <w:tabs>
          <w:tab w:pos="1195" w:val="left" w:leader="none"/>
        </w:tabs>
        <w:spacing w:line="240" w:lineRule="auto" w:before="222" w:after="0"/>
        <w:ind w:left="1195" w:right="0" w:hanging="569"/>
        <w:jc w:val="left"/>
        <w:rPr>
          <w:sz w:val="20"/>
        </w:rPr>
      </w:pPr>
      <w:r>
        <w:rPr>
          <w:sz w:val="20"/>
        </w:rPr>
        <w:t>Manejo,</w:t>
      </w:r>
      <w:r>
        <w:rPr>
          <w:spacing w:val="-8"/>
          <w:sz w:val="20"/>
        </w:rPr>
        <w:t> </w:t>
      </w:r>
      <w:r>
        <w:rPr>
          <w:sz w:val="20"/>
        </w:rPr>
        <w:t>transporte,</w:t>
      </w:r>
      <w:r>
        <w:rPr>
          <w:spacing w:val="-7"/>
          <w:sz w:val="20"/>
        </w:rPr>
        <w:t> </w:t>
      </w:r>
      <w:r>
        <w:rPr>
          <w:sz w:val="20"/>
        </w:rPr>
        <w:t>almacenamiento</w:t>
      </w:r>
      <w:r>
        <w:rPr>
          <w:spacing w:val="-11"/>
          <w:sz w:val="20"/>
        </w:rPr>
        <w:t> </w:t>
      </w:r>
      <w:r>
        <w:rPr>
          <w:sz w:val="20"/>
        </w:rPr>
        <w:t>o</w:t>
      </w:r>
      <w:r>
        <w:rPr>
          <w:spacing w:val="-7"/>
          <w:sz w:val="20"/>
        </w:rPr>
        <w:t> </w:t>
      </w:r>
      <w:r>
        <w:rPr>
          <w:sz w:val="20"/>
        </w:rPr>
        <w:t>despacho</w:t>
      </w:r>
      <w:r>
        <w:rPr>
          <w:spacing w:val="-10"/>
          <w:sz w:val="20"/>
        </w:rPr>
        <w:t> </w:t>
      </w:r>
      <w:r>
        <w:rPr>
          <w:sz w:val="20"/>
        </w:rPr>
        <w:t>de</w:t>
      </w:r>
      <w:r>
        <w:rPr>
          <w:spacing w:val="-9"/>
          <w:sz w:val="20"/>
        </w:rPr>
        <w:t> </w:t>
      </w:r>
      <w:r>
        <w:rPr>
          <w:sz w:val="20"/>
        </w:rPr>
        <w:t>sustancias</w:t>
      </w:r>
      <w:r>
        <w:rPr>
          <w:spacing w:val="-7"/>
          <w:sz w:val="20"/>
        </w:rPr>
        <w:t> </w:t>
      </w:r>
      <w:r>
        <w:rPr>
          <w:sz w:val="20"/>
        </w:rPr>
        <w:t>químicas</w:t>
      </w:r>
      <w:r>
        <w:rPr>
          <w:spacing w:val="-8"/>
          <w:sz w:val="20"/>
        </w:rPr>
        <w:t> </w:t>
      </w:r>
      <w:r>
        <w:rPr>
          <w:spacing w:val="-2"/>
          <w:sz w:val="20"/>
        </w:rPr>
        <w:t>peligrosas.</w:t>
      </w:r>
    </w:p>
    <w:p>
      <w:pPr>
        <w:pStyle w:val="BodyText"/>
        <w:spacing w:before="1"/>
      </w:pPr>
    </w:p>
    <w:p>
      <w:pPr>
        <w:pStyle w:val="ListParagraph"/>
        <w:numPr>
          <w:ilvl w:val="2"/>
          <w:numId w:val="46"/>
        </w:numPr>
        <w:tabs>
          <w:tab w:pos="1195" w:val="left" w:leader="none"/>
        </w:tabs>
        <w:spacing w:line="242" w:lineRule="auto" w:before="0" w:after="0"/>
        <w:ind w:left="1195" w:right="334" w:hanging="569"/>
        <w:jc w:val="both"/>
        <w:rPr>
          <w:sz w:val="20"/>
        </w:rPr>
      </w:pPr>
      <w:r>
        <w:rPr>
          <w:sz w:val="20"/>
        </w:rPr>
        <w:t>Manejo, operación y mantenimiento de maquinaria, equipo o herramientas mecánicas, eléctricas, neumáticas o motorizadas, que puedan generar amputaciones, fracturas o lesiones </w:t>
      </w:r>
      <w:r>
        <w:rPr>
          <w:spacing w:val="-2"/>
          <w:sz w:val="20"/>
        </w:rPr>
        <w:t>graves.</w:t>
      </w:r>
    </w:p>
    <w:p>
      <w:pPr>
        <w:pStyle w:val="ListParagraph"/>
        <w:numPr>
          <w:ilvl w:val="2"/>
          <w:numId w:val="46"/>
        </w:numPr>
        <w:tabs>
          <w:tab w:pos="1195" w:val="left" w:leader="none"/>
        </w:tabs>
        <w:spacing w:line="240" w:lineRule="auto" w:before="223" w:after="0"/>
        <w:ind w:left="1195" w:right="0" w:hanging="569"/>
        <w:jc w:val="left"/>
        <w:rPr>
          <w:sz w:val="20"/>
        </w:rPr>
      </w:pPr>
      <w:r>
        <w:rPr>
          <w:sz w:val="20"/>
        </w:rPr>
        <w:t>Manejo</w:t>
      </w:r>
      <w:r>
        <w:rPr>
          <w:spacing w:val="-8"/>
          <w:sz w:val="20"/>
        </w:rPr>
        <w:t> </w:t>
      </w:r>
      <w:r>
        <w:rPr>
          <w:sz w:val="20"/>
        </w:rPr>
        <w:t>de</w:t>
      </w:r>
      <w:r>
        <w:rPr>
          <w:spacing w:val="-8"/>
          <w:sz w:val="20"/>
        </w:rPr>
        <w:t> </w:t>
      </w:r>
      <w:r>
        <w:rPr>
          <w:sz w:val="20"/>
        </w:rPr>
        <w:t>vehículos</w:t>
      </w:r>
      <w:r>
        <w:rPr>
          <w:spacing w:val="-8"/>
          <w:sz w:val="20"/>
        </w:rPr>
        <w:t> </w:t>
      </w:r>
      <w:r>
        <w:rPr>
          <w:sz w:val="20"/>
        </w:rPr>
        <w:t>motorizados,</w:t>
      </w:r>
      <w:r>
        <w:rPr>
          <w:spacing w:val="-9"/>
          <w:sz w:val="20"/>
        </w:rPr>
        <w:t> </w:t>
      </w:r>
      <w:r>
        <w:rPr>
          <w:sz w:val="20"/>
        </w:rPr>
        <w:t>incluido</w:t>
      </w:r>
      <w:r>
        <w:rPr>
          <w:spacing w:val="-10"/>
          <w:sz w:val="20"/>
        </w:rPr>
        <w:t> </w:t>
      </w:r>
      <w:r>
        <w:rPr>
          <w:sz w:val="20"/>
        </w:rPr>
        <w:t>su</w:t>
      </w:r>
      <w:r>
        <w:rPr>
          <w:spacing w:val="-8"/>
          <w:sz w:val="20"/>
        </w:rPr>
        <w:t> </w:t>
      </w:r>
      <w:r>
        <w:rPr>
          <w:sz w:val="20"/>
        </w:rPr>
        <w:t>mantenimiento</w:t>
      </w:r>
      <w:r>
        <w:rPr>
          <w:spacing w:val="-10"/>
          <w:sz w:val="20"/>
        </w:rPr>
        <w:t> </w:t>
      </w:r>
      <w:r>
        <w:rPr>
          <w:sz w:val="20"/>
        </w:rPr>
        <w:t>mecánico</w:t>
      </w:r>
      <w:r>
        <w:rPr>
          <w:spacing w:val="-7"/>
          <w:sz w:val="20"/>
        </w:rPr>
        <w:t> </w:t>
      </w:r>
      <w:r>
        <w:rPr>
          <w:sz w:val="20"/>
        </w:rPr>
        <w:t>y</w:t>
      </w:r>
      <w:r>
        <w:rPr>
          <w:spacing w:val="-12"/>
          <w:sz w:val="20"/>
        </w:rPr>
        <w:t> </w:t>
      </w:r>
      <w:r>
        <w:rPr>
          <w:spacing w:val="-2"/>
          <w:sz w:val="20"/>
        </w:rPr>
        <w:t>eléctrico.</w:t>
      </w:r>
    </w:p>
    <w:p>
      <w:pPr>
        <w:pStyle w:val="BodyText"/>
      </w:pPr>
    </w:p>
    <w:p>
      <w:pPr>
        <w:pStyle w:val="ListParagraph"/>
        <w:numPr>
          <w:ilvl w:val="2"/>
          <w:numId w:val="46"/>
        </w:numPr>
        <w:tabs>
          <w:tab w:pos="1195" w:val="left" w:leader="none"/>
        </w:tabs>
        <w:spacing w:line="240" w:lineRule="auto" w:before="1" w:after="0"/>
        <w:ind w:left="1195" w:right="0" w:hanging="569"/>
        <w:jc w:val="left"/>
        <w:rPr>
          <w:sz w:val="20"/>
        </w:rPr>
      </w:pPr>
      <w:r>
        <w:rPr>
          <w:sz w:val="20"/>
        </w:rPr>
        <w:t>Uso</w:t>
      </w:r>
      <w:r>
        <w:rPr>
          <w:spacing w:val="-9"/>
          <w:sz w:val="20"/>
        </w:rPr>
        <w:t> </w:t>
      </w:r>
      <w:r>
        <w:rPr>
          <w:sz w:val="20"/>
        </w:rPr>
        <w:t>de</w:t>
      </w:r>
      <w:r>
        <w:rPr>
          <w:spacing w:val="-7"/>
          <w:sz w:val="20"/>
        </w:rPr>
        <w:t> </w:t>
      </w:r>
      <w:r>
        <w:rPr>
          <w:sz w:val="20"/>
        </w:rPr>
        <w:t>herramientas</w:t>
      </w:r>
      <w:r>
        <w:rPr>
          <w:spacing w:val="-7"/>
          <w:sz w:val="20"/>
        </w:rPr>
        <w:t> </w:t>
      </w:r>
      <w:r>
        <w:rPr>
          <w:sz w:val="20"/>
        </w:rPr>
        <w:t>manuales</w:t>
      </w:r>
      <w:r>
        <w:rPr>
          <w:spacing w:val="-8"/>
          <w:sz w:val="20"/>
        </w:rPr>
        <w:t> </w:t>
      </w:r>
      <w:r>
        <w:rPr>
          <w:sz w:val="20"/>
        </w:rPr>
        <w:t>punzo</w:t>
      </w:r>
      <w:r>
        <w:rPr>
          <w:spacing w:val="-8"/>
          <w:sz w:val="20"/>
        </w:rPr>
        <w:t> </w:t>
      </w:r>
      <w:r>
        <w:rPr>
          <w:spacing w:val="-2"/>
          <w:sz w:val="20"/>
        </w:rPr>
        <w:t>cortantes.</w:t>
      </w:r>
    </w:p>
    <w:p>
      <w:pPr>
        <w:pStyle w:val="BodyText"/>
        <w:spacing w:before="3"/>
      </w:pPr>
    </w:p>
    <w:p>
      <w:pPr>
        <w:pStyle w:val="BodyText"/>
        <w:ind w:left="338" w:right="341" w:firstLine="288"/>
        <w:jc w:val="both"/>
      </w:pPr>
      <w:r>
        <w:rPr/>
        <w:t>Las actividades previstas en este artículo, para los menores de dieciocho años y mayores de dieciséis años de edad, se sujetarán a los términos y condiciones consagrados en la Constitución Política de los Estados Unidos Mexicanos, en las leyes y los Tratados Internacionales de los que el Estado Mexicano sea parte.</w:t>
      </w:r>
    </w:p>
    <w:p>
      <w:pPr>
        <w:spacing w:line="181"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5"/>
        <w:rPr>
          <w:rFonts w:ascii="Times New Roman"/>
          <w:i/>
          <w:sz w:val="16"/>
        </w:rPr>
      </w:pPr>
    </w:p>
    <w:p>
      <w:pPr>
        <w:pStyle w:val="BodyText"/>
        <w:spacing w:line="242" w:lineRule="auto"/>
        <w:ind w:left="338" w:right="341" w:firstLine="288"/>
        <w:jc w:val="both"/>
      </w:pPr>
      <w:bookmarkStart w:name="Artículo_177" w:id="223"/>
      <w:bookmarkEnd w:id="223"/>
      <w:r>
        <w:rPr/>
      </w:r>
      <w:r>
        <w:rPr>
          <w:rFonts w:ascii="Arial" w:hAnsi="Arial"/>
          <w:b/>
        </w:rPr>
        <w:t>Artículo</w:t>
      </w:r>
      <w:r>
        <w:rPr>
          <w:rFonts w:ascii="Arial" w:hAnsi="Arial"/>
          <w:b/>
          <w:spacing w:val="-1"/>
        </w:rPr>
        <w:t> </w:t>
      </w:r>
      <w:r>
        <w:rPr>
          <w:rFonts w:ascii="Arial" w:hAnsi="Arial"/>
          <w:b/>
        </w:rPr>
        <w:t>177.-</w:t>
      </w:r>
      <w:r>
        <w:rPr>
          <w:rFonts w:ascii="Arial" w:hAnsi="Arial"/>
          <w:b/>
          <w:spacing w:val="-1"/>
        </w:rPr>
        <w:t> </w:t>
      </w:r>
      <w:r>
        <w:rPr/>
        <w:t>La</w:t>
      </w:r>
      <w:r>
        <w:rPr>
          <w:spacing w:val="-3"/>
        </w:rPr>
        <w:t> </w:t>
      </w:r>
      <w:r>
        <w:rPr/>
        <w:t>jornada de</w:t>
      </w:r>
      <w:r>
        <w:rPr>
          <w:spacing w:val="-2"/>
        </w:rPr>
        <w:t> </w:t>
      </w:r>
      <w:r>
        <w:rPr/>
        <w:t>trabajo</w:t>
      </w:r>
      <w:r>
        <w:rPr>
          <w:spacing w:val="-2"/>
        </w:rPr>
        <w:t> </w:t>
      </w:r>
      <w:r>
        <w:rPr/>
        <w:t>de</w:t>
      </w:r>
      <w:r>
        <w:rPr>
          <w:spacing w:val="-2"/>
        </w:rPr>
        <w:t> </w:t>
      </w:r>
      <w:r>
        <w:rPr/>
        <w:t>los</w:t>
      </w:r>
      <w:r>
        <w:rPr>
          <w:spacing w:val="-1"/>
        </w:rPr>
        <w:t> </w:t>
      </w:r>
      <w:r>
        <w:rPr/>
        <w:t>menores de</w:t>
      </w:r>
      <w:r>
        <w:rPr>
          <w:spacing w:val="-3"/>
        </w:rPr>
        <w:t> </w:t>
      </w:r>
      <w:r>
        <w:rPr/>
        <w:t>dieciséis</w:t>
      </w:r>
      <w:r>
        <w:rPr>
          <w:spacing w:val="-1"/>
        </w:rPr>
        <w:t> </w:t>
      </w:r>
      <w:r>
        <w:rPr/>
        <w:t>años</w:t>
      </w:r>
      <w:r>
        <w:rPr>
          <w:spacing w:val="-1"/>
        </w:rPr>
        <w:t> </w:t>
      </w:r>
      <w:r>
        <w:rPr/>
        <w:t>no</w:t>
      </w:r>
      <w:r>
        <w:rPr>
          <w:spacing w:val="-3"/>
        </w:rPr>
        <w:t> </w:t>
      </w:r>
      <w:r>
        <w:rPr/>
        <w:t>podrá exceder</w:t>
      </w:r>
      <w:r>
        <w:rPr>
          <w:spacing w:val="-1"/>
        </w:rPr>
        <w:t> </w:t>
      </w:r>
      <w:r>
        <w:rPr/>
        <w:t>de</w:t>
      </w:r>
      <w:r>
        <w:rPr>
          <w:spacing w:val="-3"/>
        </w:rPr>
        <w:t> </w:t>
      </w:r>
      <w:r>
        <w:rPr/>
        <w:t>seis</w:t>
      </w:r>
      <w:r>
        <w:rPr>
          <w:spacing w:val="-1"/>
        </w:rPr>
        <w:t> </w:t>
      </w:r>
      <w:r>
        <w:rPr/>
        <w:t>horas diarias y</w:t>
      </w:r>
      <w:r>
        <w:rPr>
          <w:spacing w:val="-1"/>
        </w:rPr>
        <w:t> </w:t>
      </w:r>
      <w:r>
        <w:rPr/>
        <w:t>deberán dividirse en períodos máximos de tres horas. Entre los distintos períodos de la jornada, disfrutarán de reposos de una hora por lo menos.</w:t>
      </w:r>
    </w:p>
    <w:p>
      <w:pPr>
        <w:pStyle w:val="BodyText"/>
        <w:spacing w:before="225"/>
        <w:ind w:left="338" w:right="336" w:firstLine="288"/>
        <w:jc w:val="both"/>
      </w:pPr>
      <w:bookmarkStart w:name="Artículo_178" w:id="224"/>
      <w:bookmarkEnd w:id="224"/>
      <w:r>
        <w:rPr/>
      </w:r>
      <w:r>
        <w:rPr>
          <w:rFonts w:ascii="Arial" w:hAnsi="Arial"/>
          <w:b/>
        </w:rPr>
        <w:t>Artículo 178. </w:t>
      </w:r>
      <w:r>
        <w:rPr/>
        <w:t>Queda prohibida la utilización del trabajo de los menores de dieciocho años, en horas extraordinarias y en los días domingos y de descanso obligatorio. En caso de violación de esta prohibición, las horas extraordinarias se pagarán con un doscientos por ciento más del salario que corresponda a las horas de la jornada, y el salario de los días domingos y de descanso obligatorio, de conformidad con lo dispuesto en los artículos 73 y 75.</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4"/>
        <w:rPr>
          <w:rFonts w:ascii="Times New Roman"/>
          <w:i/>
          <w:sz w:val="16"/>
        </w:rPr>
      </w:pPr>
    </w:p>
    <w:p>
      <w:pPr>
        <w:pStyle w:val="BodyText"/>
        <w:spacing w:line="242" w:lineRule="auto" w:before="1"/>
        <w:ind w:left="338" w:firstLine="288"/>
      </w:pPr>
      <w:bookmarkStart w:name="Artículo_179" w:id="225"/>
      <w:bookmarkEnd w:id="225"/>
      <w:r>
        <w:rPr/>
      </w:r>
      <w:r>
        <w:rPr>
          <w:rFonts w:ascii="Arial" w:hAnsi="Arial"/>
          <w:b/>
        </w:rPr>
        <w:t>Artículo</w:t>
      </w:r>
      <w:r>
        <w:rPr>
          <w:rFonts w:ascii="Arial" w:hAnsi="Arial"/>
          <w:b/>
          <w:spacing w:val="40"/>
        </w:rPr>
        <w:t> </w:t>
      </w:r>
      <w:r>
        <w:rPr>
          <w:rFonts w:ascii="Arial" w:hAnsi="Arial"/>
          <w:b/>
        </w:rPr>
        <w:t>179.</w:t>
      </w:r>
      <w:r>
        <w:rPr>
          <w:rFonts w:ascii="Arial" w:hAnsi="Arial"/>
          <w:b/>
          <w:spacing w:val="40"/>
        </w:rPr>
        <w:t> </w:t>
      </w:r>
      <w:r>
        <w:rPr/>
        <w:t>Los</w:t>
      </w:r>
      <w:r>
        <w:rPr>
          <w:spacing w:val="40"/>
        </w:rPr>
        <w:t> </w:t>
      </w:r>
      <w:r>
        <w:rPr/>
        <w:t>menores</w:t>
      </w:r>
      <w:r>
        <w:rPr>
          <w:spacing w:val="40"/>
        </w:rPr>
        <w:t> </w:t>
      </w:r>
      <w:r>
        <w:rPr/>
        <w:t>de</w:t>
      </w:r>
      <w:r>
        <w:rPr>
          <w:spacing w:val="40"/>
        </w:rPr>
        <w:t> </w:t>
      </w:r>
      <w:r>
        <w:rPr/>
        <w:t>dieciocho</w:t>
      </w:r>
      <w:r>
        <w:rPr>
          <w:spacing w:val="40"/>
        </w:rPr>
        <w:t> </w:t>
      </w:r>
      <w:r>
        <w:rPr/>
        <w:t>años,</w:t>
      </w:r>
      <w:r>
        <w:rPr>
          <w:spacing w:val="40"/>
        </w:rPr>
        <w:t> </w:t>
      </w:r>
      <w:r>
        <w:rPr/>
        <w:t>disfrutarán</w:t>
      </w:r>
      <w:r>
        <w:rPr>
          <w:spacing w:val="40"/>
        </w:rPr>
        <w:t> </w:t>
      </w:r>
      <w:r>
        <w:rPr/>
        <w:t>de</w:t>
      </w:r>
      <w:r>
        <w:rPr>
          <w:spacing w:val="40"/>
        </w:rPr>
        <w:t> </w:t>
      </w:r>
      <w:r>
        <w:rPr/>
        <w:t>un</w:t>
      </w:r>
      <w:r>
        <w:rPr>
          <w:spacing w:val="40"/>
        </w:rPr>
        <w:t> </w:t>
      </w:r>
      <w:r>
        <w:rPr/>
        <w:t>período</w:t>
      </w:r>
      <w:r>
        <w:rPr>
          <w:spacing w:val="40"/>
        </w:rPr>
        <w:t> </w:t>
      </w:r>
      <w:r>
        <w:rPr/>
        <w:t>anual</w:t>
      </w:r>
      <w:r>
        <w:rPr>
          <w:spacing w:val="40"/>
        </w:rPr>
        <w:t> </w:t>
      </w:r>
      <w:r>
        <w:rPr/>
        <w:t>de</w:t>
      </w:r>
      <w:r>
        <w:rPr>
          <w:spacing w:val="40"/>
        </w:rPr>
        <w:t> </w:t>
      </w:r>
      <w:r>
        <w:rPr/>
        <w:t>vacaciones</w:t>
      </w:r>
      <w:r>
        <w:rPr>
          <w:spacing w:val="40"/>
        </w:rPr>
        <w:t> </w:t>
      </w:r>
      <w:r>
        <w:rPr/>
        <w:t>pagadas de dieciocho días laborables, por lo menos.</w:t>
      </w:r>
    </w:p>
    <w:p>
      <w:pPr>
        <w:pStyle w:val="BodyText"/>
        <w:spacing w:after="0" w:line="242" w:lineRule="auto"/>
        <w:sectPr>
          <w:pgSz w:w="12240" w:h="15840"/>
          <w:pgMar w:header="724" w:footer="712" w:top="1880" w:bottom="900" w:left="1080" w:right="1080"/>
        </w:sectPr>
      </w:pPr>
    </w:p>
    <w:p>
      <w:pPr>
        <w:pStyle w:val="BodyText"/>
        <w:spacing w:before="109"/>
        <w:rPr>
          <w:sz w:val="16"/>
        </w:rPr>
      </w:pPr>
    </w:p>
    <w:p>
      <w:pPr>
        <w:spacing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626"/>
      </w:pPr>
      <w:bookmarkStart w:name="Artículo_180" w:id="226"/>
      <w:bookmarkEnd w:id="226"/>
      <w:r>
        <w:rPr/>
      </w:r>
      <w:r>
        <w:rPr>
          <w:rFonts w:ascii="Arial" w:hAnsi="Arial"/>
          <w:b/>
        </w:rPr>
        <w:t>Artículo</w:t>
      </w:r>
      <w:r>
        <w:rPr>
          <w:rFonts w:ascii="Arial" w:hAnsi="Arial"/>
          <w:b/>
          <w:spacing w:val="-7"/>
        </w:rPr>
        <w:t> </w:t>
      </w:r>
      <w:r>
        <w:rPr>
          <w:rFonts w:ascii="Arial" w:hAnsi="Arial"/>
          <w:b/>
        </w:rPr>
        <w:t>180.</w:t>
      </w:r>
      <w:r>
        <w:rPr>
          <w:rFonts w:ascii="Arial" w:hAnsi="Arial"/>
          <w:b/>
          <w:spacing w:val="-5"/>
        </w:rPr>
        <w:t> </w:t>
      </w:r>
      <w:r>
        <w:rPr/>
        <w:t>Los</w:t>
      </w:r>
      <w:r>
        <w:rPr>
          <w:spacing w:val="-6"/>
        </w:rPr>
        <w:t> </w:t>
      </w:r>
      <w:r>
        <w:rPr/>
        <w:t>patrones</w:t>
      </w:r>
      <w:r>
        <w:rPr>
          <w:spacing w:val="-7"/>
        </w:rPr>
        <w:t> </w:t>
      </w:r>
      <w:r>
        <w:rPr/>
        <w:t>que</w:t>
      </w:r>
      <w:r>
        <w:rPr>
          <w:spacing w:val="-5"/>
        </w:rPr>
        <w:t> </w:t>
      </w:r>
      <w:r>
        <w:rPr/>
        <w:t>tengan</w:t>
      </w:r>
      <w:r>
        <w:rPr>
          <w:spacing w:val="-6"/>
        </w:rPr>
        <w:t> </w:t>
      </w:r>
      <w:r>
        <w:rPr/>
        <w:t>a</w:t>
      </w:r>
      <w:r>
        <w:rPr>
          <w:spacing w:val="-7"/>
        </w:rPr>
        <w:t> </w:t>
      </w:r>
      <w:r>
        <w:rPr/>
        <w:t>su</w:t>
      </w:r>
      <w:r>
        <w:rPr>
          <w:spacing w:val="-7"/>
        </w:rPr>
        <w:t> </w:t>
      </w:r>
      <w:r>
        <w:rPr/>
        <w:t>servicio</w:t>
      </w:r>
      <w:r>
        <w:rPr>
          <w:spacing w:val="-8"/>
        </w:rPr>
        <w:t> </w:t>
      </w:r>
      <w:r>
        <w:rPr/>
        <w:t>menores</w:t>
      </w:r>
      <w:r>
        <w:rPr>
          <w:spacing w:val="-5"/>
        </w:rPr>
        <w:t> </w:t>
      </w:r>
      <w:r>
        <w:rPr/>
        <w:t>de</w:t>
      </w:r>
      <w:r>
        <w:rPr>
          <w:spacing w:val="-8"/>
        </w:rPr>
        <w:t> </w:t>
      </w:r>
      <w:r>
        <w:rPr/>
        <w:t>dieciocho</w:t>
      </w:r>
      <w:r>
        <w:rPr>
          <w:spacing w:val="-8"/>
        </w:rPr>
        <w:t> </w:t>
      </w:r>
      <w:r>
        <w:rPr/>
        <w:t>años,</w:t>
      </w:r>
      <w:r>
        <w:rPr>
          <w:spacing w:val="-6"/>
        </w:rPr>
        <w:t> </w:t>
      </w:r>
      <w:r>
        <w:rPr/>
        <w:t>están</w:t>
      </w:r>
      <w:r>
        <w:rPr>
          <w:spacing w:val="-8"/>
        </w:rPr>
        <w:t> </w:t>
      </w:r>
      <w:r>
        <w:rPr/>
        <w:t>obligados</w:t>
      </w:r>
      <w:r>
        <w:rPr>
          <w:spacing w:val="-6"/>
        </w:rPr>
        <w:t> </w:t>
      </w:r>
      <w:r>
        <w:rPr>
          <w:spacing w:val="-5"/>
        </w:rPr>
        <w:t>a:</w:t>
      </w:r>
    </w:p>
    <w:p>
      <w:pPr>
        <w:spacing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5"/>
        <w:rPr>
          <w:rFonts w:ascii="Times New Roman"/>
          <w:i/>
          <w:sz w:val="16"/>
        </w:rPr>
      </w:pPr>
    </w:p>
    <w:p>
      <w:pPr>
        <w:pStyle w:val="ListParagraph"/>
        <w:numPr>
          <w:ilvl w:val="0"/>
          <w:numId w:val="47"/>
        </w:numPr>
        <w:tabs>
          <w:tab w:pos="1195" w:val="left" w:leader="none"/>
        </w:tabs>
        <w:spacing w:line="240" w:lineRule="auto" w:before="0" w:after="0"/>
        <w:ind w:left="1195" w:right="0" w:hanging="569"/>
        <w:jc w:val="left"/>
        <w:rPr>
          <w:sz w:val="20"/>
        </w:rPr>
      </w:pPr>
      <w:r>
        <w:rPr>
          <w:sz w:val="20"/>
        </w:rPr>
        <w:t>Exigir</w:t>
      </w:r>
      <w:r>
        <w:rPr>
          <w:spacing w:val="-6"/>
          <w:sz w:val="20"/>
        </w:rPr>
        <w:t> </w:t>
      </w:r>
      <w:r>
        <w:rPr>
          <w:sz w:val="20"/>
        </w:rPr>
        <w:t>que</w:t>
      </w:r>
      <w:r>
        <w:rPr>
          <w:spacing w:val="-7"/>
          <w:sz w:val="20"/>
        </w:rPr>
        <w:t> </w:t>
      </w:r>
      <w:r>
        <w:rPr>
          <w:sz w:val="20"/>
        </w:rPr>
        <w:t>se</w:t>
      </w:r>
      <w:r>
        <w:rPr>
          <w:spacing w:val="-7"/>
          <w:sz w:val="20"/>
        </w:rPr>
        <w:t> </w:t>
      </w:r>
      <w:r>
        <w:rPr>
          <w:sz w:val="20"/>
        </w:rPr>
        <w:t>les</w:t>
      </w:r>
      <w:r>
        <w:rPr>
          <w:spacing w:val="-6"/>
          <w:sz w:val="20"/>
        </w:rPr>
        <w:t> </w:t>
      </w:r>
      <w:r>
        <w:rPr>
          <w:sz w:val="20"/>
        </w:rPr>
        <w:t>exhiban</w:t>
      </w:r>
      <w:r>
        <w:rPr>
          <w:spacing w:val="-7"/>
          <w:sz w:val="20"/>
        </w:rPr>
        <w:t> </w:t>
      </w:r>
      <w:r>
        <w:rPr>
          <w:sz w:val="20"/>
        </w:rPr>
        <w:t>los</w:t>
      </w:r>
      <w:r>
        <w:rPr>
          <w:spacing w:val="-6"/>
          <w:sz w:val="20"/>
        </w:rPr>
        <w:t> </w:t>
      </w:r>
      <w:r>
        <w:rPr>
          <w:sz w:val="20"/>
        </w:rPr>
        <w:t>certificados</w:t>
      </w:r>
      <w:r>
        <w:rPr>
          <w:spacing w:val="-6"/>
          <w:sz w:val="20"/>
        </w:rPr>
        <w:t> </w:t>
      </w:r>
      <w:r>
        <w:rPr>
          <w:sz w:val="20"/>
        </w:rPr>
        <w:t>médicos</w:t>
      </w:r>
      <w:r>
        <w:rPr>
          <w:spacing w:val="-6"/>
          <w:sz w:val="20"/>
        </w:rPr>
        <w:t> </w:t>
      </w:r>
      <w:r>
        <w:rPr>
          <w:sz w:val="20"/>
        </w:rPr>
        <w:t>que</w:t>
      </w:r>
      <w:r>
        <w:rPr>
          <w:spacing w:val="-5"/>
          <w:sz w:val="20"/>
        </w:rPr>
        <w:t> </w:t>
      </w:r>
      <w:r>
        <w:rPr>
          <w:sz w:val="20"/>
        </w:rPr>
        <w:t>acrediten</w:t>
      </w:r>
      <w:r>
        <w:rPr>
          <w:spacing w:val="-6"/>
          <w:sz w:val="20"/>
        </w:rPr>
        <w:t> </w:t>
      </w:r>
      <w:r>
        <w:rPr>
          <w:sz w:val="20"/>
        </w:rPr>
        <w:t>que</w:t>
      </w:r>
      <w:r>
        <w:rPr>
          <w:spacing w:val="-6"/>
          <w:sz w:val="20"/>
        </w:rPr>
        <w:t> </w:t>
      </w:r>
      <w:r>
        <w:rPr>
          <w:sz w:val="20"/>
        </w:rPr>
        <w:t>están</w:t>
      </w:r>
      <w:r>
        <w:rPr>
          <w:spacing w:val="-6"/>
          <w:sz w:val="20"/>
        </w:rPr>
        <w:t> </w:t>
      </w:r>
      <w:r>
        <w:rPr>
          <w:sz w:val="20"/>
        </w:rPr>
        <w:t>aptos</w:t>
      </w:r>
      <w:r>
        <w:rPr>
          <w:spacing w:val="-4"/>
          <w:sz w:val="20"/>
        </w:rPr>
        <w:t> </w:t>
      </w:r>
      <w:r>
        <w:rPr>
          <w:sz w:val="20"/>
        </w:rPr>
        <w:t>para</w:t>
      </w:r>
      <w:r>
        <w:rPr>
          <w:spacing w:val="-7"/>
          <w:sz w:val="20"/>
        </w:rPr>
        <w:t> </w:t>
      </w:r>
      <w:r>
        <w:rPr>
          <w:sz w:val="20"/>
        </w:rPr>
        <w:t>el</w:t>
      </w:r>
      <w:r>
        <w:rPr>
          <w:spacing w:val="-8"/>
          <w:sz w:val="20"/>
        </w:rPr>
        <w:t> </w:t>
      </w:r>
      <w:r>
        <w:rPr>
          <w:spacing w:val="-2"/>
          <w:sz w:val="20"/>
        </w:rPr>
        <w:t>trabajo;</w:t>
      </w:r>
    </w:p>
    <w:p>
      <w:pPr>
        <w:pStyle w:val="BodyText"/>
        <w:spacing w:before="1"/>
      </w:pPr>
    </w:p>
    <w:p>
      <w:pPr>
        <w:pStyle w:val="ListParagraph"/>
        <w:numPr>
          <w:ilvl w:val="0"/>
          <w:numId w:val="47"/>
        </w:numPr>
        <w:tabs>
          <w:tab w:pos="1192" w:val="left" w:leader="none"/>
          <w:tab w:pos="1195" w:val="left" w:leader="none"/>
        </w:tabs>
        <w:spacing w:line="240" w:lineRule="auto" w:before="0" w:after="0"/>
        <w:ind w:left="1195" w:right="333" w:hanging="569"/>
        <w:jc w:val="both"/>
        <w:rPr>
          <w:sz w:val="20"/>
        </w:rPr>
      </w:pPr>
      <w:r>
        <w:rPr>
          <w:sz w:val="20"/>
        </w:rPr>
        <w:t>Llevar y tener a disposición de la autoridad competente, registros y documentación comprobatoria, en donde se indique el nombre y apellidos, la fecha de nacimiento o la edad de los menores de dieciocho años empleados por ellos, clase de trabajo, horario, salario y demás condiciones generales de trabajo; así mismo, dichos registros deberán incluir la información correspondiente de aquéllos que reciban orientación, capacitación o formación profesional en sus empresas.</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5"/>
        <w:rPr>
          <w:rFonts w:ascii="Times New Roman"/>
          <w:i/>
          <w:sz w:val="16"/>
        </w:rPr>
      </w:pPr>
    </w:p>
    <w:p>
      <w:pPr>
        <w:pStyle w:val="ListParagraph"/>
        <w:numPr>
          <w:ilvl w:val="0"/>
          <w:numId w:val="47"/>
        </w:numPr>
        <w:tabs>
          <w:tab w:pos="1195" w:val="left" w:leader="none"/>
        </w:tabs>
        <w:spacing w:line="242" w:lineRule="auto" w:before="0" w:after="0"/>
        <w:ind w:left="1195" w:right="342" w:hanging="569"/>
        <w:jc w:val="left"/>
        <w:rPr>
          <w:sz w:val="20"/>
        </w:rPr>
      </w:pPr>
      <w:r>
        <w:rPr>
          <w:sz w:val="20"/>
        </w:rPr>
        <w:t>Distribuir</w:t>
      </w:r>
      <w:r>
        <w:rPr>
          <w:spacing w:val="23"/>
          <w:sz w:val="20"/>
        </w:rPr>
        <w:t> </w:t>
      </w:r>
      <w:r>
        <w:rPr>
          <w:sz w:val="20"/>
        </w:rPr>
        <w:t>el</w:t>
      </w:r>
      <w:r>
        <w:rPr>
          <w:spacing w:val="21"/>
          <w:sz w:val="20"/>
        </w:rPr>
        <w:t> </w:t>
      </w:r>
      <w:r>
        <w:rPr>
          <w:sz w:val="20"/>
        </w:rPr>
        <w:t>trabajo</w:t>
      </w:r>
      <w:r>
        <w:rPr>
          <w:spacing w:val="22"/>
          <w:sz w:val="20"/>
        </w:rPr>
        <w:t> </w:t>
      </w:r>
      <w:r>
        <w:rPr>
          <w:sz w:val="20"/>
        </w:rPr>
        <w:t>a</w:t>
      </w:r>
      <w:r>
        <w:rPr>
          <w:spacing w:val="22"/>
          <w:sz w:val="20"/>
        </w:rPr>
        <w:t> </w:t>
      </w:r>
      <w:r>
        <w:rPr>
          <w:sz w:val="20"/>
        </w:rPr>
        <w:t>fin</w:t>
      </w:r>
      <w:r>
        <w:rPr>
          <w:spacing w:val="22"/>
          <w:sz w:val="20"/>
        </w:rPr>
        <w:t> </w:t>
      </w:r>
      <w:r>
        <w:rPr>
          <w:sz w:val="20"/>
        </w:rPr>
        <w:t>de</w:t>
      </w:r>
      <w:r>
        <w:rPr>
          <w:spacing w:val="22"/>
          <w:sz w:val="20"/>
        </w:rPr>
        <w:t> </w:t>
      </w:r>
      <w:r>
        <w:rPr>
          <w:sz w:val="20"/>
        </w:rPr>
        <w:t>que</w:t>
      </w:r>
      <w:r>
        <w:rPr>
          <w:spacing w:val="24"/>
          <w:sz w:val="20"/>
        </w:rPr>
        <w:t> </w:t>
      </w:r>
      <w:r>
        <w:rPr>
          <w:sz w:val="20"/>
        </w:rPr>
        <w:t>dispongan</w:t>
      </w:r>
      <w:r>
        <w:rPr>
          <w:spacing w:val="24"/>
          <w:sz w:val="20"/>
        </w:rPr>
        <w:t> </w:t>
      </w:r>
      <w:r>
        <w:rPr>
          <w:sz w:val="20"/>
        </w:rPr>
        <w:t>del</w:t>
      </w:r>
      <w:r>
        <w:rPr>
          <w:spacing w:val="24"/>
          <w:sz w:val="20"/>
        </w:rPr>
        <w:t> </w:t>
      </w:r>
      <w:r>
        <w:rPr>
          <w:sz w:val="20"/>
        </w:rPr>
        <w:t>tiempo</w:t>
      </w:r>
      <w:r>
        <w:rPr>
          <w:spacing w:val="22"/>
          <w:sz w:val="20"/>
        </w:rPr>
        <w:t> </w:t>
      </w:r>
      <w:r>
        <w:rPr>
          <w:sz w:val="20"/>
        </w:rPr>
        <w:t>necesario</w:t>
      </w:r>
      <w:r>
        <w:rPr>
          <w:spacing w:val="22"/>
          <w:sz w:val="20"/>
        </w:rPr>
        <w:t> </w:t>
      </w:r>
      <w:r>
        <w:rPr>
          <w:sz w:val="20"/>
        </w:rPr>
        <w:t>para</w:t>
      </w:r>
      <w:r>
        <w:rPr>
          <w:spacing w:val="22"/>
          <w:sz w:val="20"/>
        </w:rPr>
        <w:t> </w:t>
      </w:r>
      <w:r>
        <w:rPr>
          <w:sz w:val="20"/>
        </w:rPr>
        <w:t>cumplir</w:t>
      </w:r>
      <w:r>
        <w:rPr>
          <w:spacing w:val="23"/>
          <w:sz w:val="20"/>
        </w:rPr>
        <w:t> </w:t>
      </w:r>
      <w:r>
        <w:rPr>
          <w:sz w:val="20"/>
        </w:rPr>
        <w:t>sus</w:t>
      </w:r>
      <w:r>
        <w:rPr>
          <w:spacing w:val="23"/>
          <w:sz w:val="20"/>
        </w:rPr>
        <w:t> </w:t>
      </w:r>
      <w:r>
        <w:rPr>
          <w:sz w:val="20"/>
        </w:rPr>
        <w:t>programas </w:t>
      </w:r>
      <w:r>
        <w:rPr>
          <w:spacing w:val="-2"/>
          <w:sz w:val="20"/>
        </w:rPr>
        <w:t>escolares;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5"/>
        <w:rPr>
          <w:rFonts w:ascii="Times New Roman"/>
          <w:i/>
          <w:sz w:val="16"/>
        </w:rPr>
      </w:pPr>
    </w:p>
    <w:p>
      <w:pPr>
        <w:pStyle w:val="ListParagraph"/>
        <w:numPr>
          <w:ilvl w:val="0"/>
          <w:numId w:val="47"/>
        </w:numPr>
        <w:tabs>
          <w:tab w:pos="1195" w:val="left" w:leader="none"/>
        </w:tabs>
        <w:spacing w:line="240" w:lineRule="auto" w:before="0" w:after="0"/>
        <w:ind w:left="1195" w:right="0" w:hanging="569"/>
        <w:jc w:val="left"/>
        <w:rPr>
          <w:sz w:val="20"/>
        </w:rPr>
      </w:pPr>
      <w:r>
        <w:rPr>
          <w:sz w:val="20"/>
        </w:rPr>
        <w:t>Proporcionarles</w:t>
      </w:r>
      <w:r>
        <w:rPr>
          <w:spacing w:val="-8"/>
          <w:sz w:val="20"/>
        </w:rPr>
        <w:t> </w:t>
      </w:r>
      <w:r>
        <w:rPr>
          <w:sz w:val="20"/>
        </w:rPr>
        <w:t>capacitación</w:t>
      </w:r>
      <w:r>
        <w:rPr>
          <w:spacing w:val="-5"/>
          <w:sz w:val="20"/>
        </w:rPr>
        <w:t> </w:t>
      </w:r>
      <w:r>
        <w:rPr>
          <w:sz w:val="20"/>
        </w:rPr>
        <w:t>y</w:t>
      </w:r>
      <w:r>
        <w:rPr>
          <w:spacing w:val="-11"/>
          <w:sz w:val="20"/>
        </w:rPr>
        <w:t> </w:t>
      </w:r>
      <w:r>
        <w:rPr>
          <w:sz w:val="20"/>
        </w:rPr>
        <w:t>adiestramiento</w:t>
      </w:r>
      <w:r>
        <w:rPr>
          <w:spacing w:val="-7"/>
          <w:sz w:val="20"/>
        </w:rPr>
        <w:t> </w:t>
      </w:r>
      <w:r>
        <w:rPr>
          <w:sz w:val="20"/>
        </w:rPr>
        <w:t>en</w:t>
      </w:r>
      <w:r>
        <w:rPr>
          <w:spacing w:val="-8"/>
          <w:sz w:val="20"/>
        </w:rPr>
        <w:t> </w:t>
      </w:r>
      <w:r>
        <w:rPr>
          <w:sz w:val="20"/>
        </w:rPr>
        <w:t>los</w:t>
      </w:r>
      <w:r>
        <w:rPr>
          <w:spacing w:val="-7"/>
          <w:sz w:val="20"/>
        </w:rPr>
        <w:t> </w:t>
      </w:r>
      <w:r>
        <w:rPr>
          <w:sz w:val="20"/>
        </w:rPr>
        <w:t>términos</w:t>
      </w:r>
      <w:r>
        <w:rPr>
          <w:spacing w:val="-8"/>
          <w:sz w:val="20"/>
        </w:rPr>
        <w:t> </w:t>
      </w:r>
      <w:r>
        <w:rPr>
          <w:sz w:val="20"/>
        </w:rPr>
        <w:t>de</w:t>
      </w:r>
      <w:r>
        <w:rPr>
          <w:spacing w:val="-10"/>
          <w:sz w:val="20"/>
        </w:rPr>
        <w:t> </w:t>
      </w:r>
      <w:r>
        <w:rPr>
          <w:sz w:val="20"/>
        </w:rPr>
        <w:t>esta</w:t>
      </w:r>
      <w:r>
        <w:rPr>
          <w:spacing w:val="-9"/>
          <w:sz w:val="20"/>
        </w:rPr>
        <w:t> </w:t>
      </w:r>
      <w:r>
        <w:rPr>
          <w:sz w:val="20"/>
        </w:rPr>
        <w:t>Ley;</w:t>
      </w:r>
      <w:r>
        <w:rPr>
          <w:spacing w:val="-5"/>
          <w:sz w:val="20"/>
        </w:rPr>
        <w:t> 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7"/>
        <w:rPr>
          <w:rFonts w:ascii="Times New Roman"/>
          <w:i/>
          <w:sz w:val="16"/>
        </w:rPr>
      </w:pPr>
    </w:p>
    <w:p>
      <w:pPr>
        <w:pStyle w:val="ListParagraph"/>
        <w:numPr>
          <w:ilvl w:val="0"/>
          <w:numId w:val="47"/>
        </w:numPr>
        <w:tabs>
          <w:tab w:pos="1195" w:val="left" w:leader="none"/>
        </w:tabs>
        <w:spacing w:line="229" w:lineRule="exact" w:before="0" w:after="0"/>
        <w:ind w:left="1195" w:right="0" w:hanging="569"/>
        <w:jc w:val="left"/>
        <w:rPr>
          <w:sz w:val="20"/>
        </w:rPr>
      </w:pPr>
      <w:r>
        <w:rPr>
          <w:sz w:val="20"/>
        </w:rPr>
        <w:t>Proporcionar</w:t>
      </w:r>
      <w:r>
        <w:rPr>
          <w:spacing w:val="-5"/>
          <w:sz w:val="20"/>
        </w:rPr>
        <w:t> </w:t>
      </w:r>
      <w:r>
        <w:rPr>
          <w:sz w:val="20"/>
        </w:rPr>
        <w:t>a</w:t>
      </w:r>
      <w:r>
        <w:rPr>
          <w:spacing w:val="-7"/>
          <w:sz w:val="20"/>
        </w:rPr>
        <w:t> </w:t>
      </w:r>
      <w:r>
        <w:rPr>
          <w:sz w:val="20"/>
        </w:rPr>
        <w:t>las</w:t>
      </w:r>
      <w:r>
        <w:rPr>
          <w:spacing w:val="-6"/>
          <w:sz w:val="20"/>
        </w:rPr>
        <w:t> </w:t>
      </w:r>
      <w:r>
        <w:rPr>
          <w:sz w:val="20"/>
        </w:rPr>
        <w:t>autoridades</w:t>
      </w:r>
      <w:r>
        <w:rPr>
          <w:spacing w:val="-7"/>
          <w:sz w:val="20"/>
        </w:rPr>
        <w:t> </w:t>
      </w:r>
      <w:r>
        <w:rPr>
          <w:sz w:val="20"/>
        </w:rPr>
        <w:t>del</w:t>
      </w:r>
      <w:r>
        <w:rPr>
          <w:spacing w:val="-8"/>
          <w:sz w:val="20"/>
        </w:rPr>
        <w:t> </w:t>
      </w:r>
      <w:r>
        <w:rPr>
          <w:sz w:val="20"/>
        </w:rPr>
        <w:t>trabajo</w:t>
      </w:r>
      <w:r>
        <w:rPr>
          <w:spacing w:val="-7"/>
          <w:sz w:val="20"/>
        </w:rPr>
        <w:t> </w:t>
      </w:r>
      <w:r>
        <w:rPr>
          <w:sz w:val="20"/>
        </w:rPr>
        <w:t>los</w:t>
      </w:r>
      <w:r>
        <w:rPr>
          <w:spacing w:val="-6"/>
          <w:sz w:val="20"/>
        </w:rPr>
        <w:t> </w:t>
      </w:r>
      <w:r>
        <w:rPr>
          <w:sz w:val="20"/>
        </w:rPr>
        <w:t>informes</w:t>
      </w:r>
      <w:r>
        <w:rPr>
          <w:spacing w:val="-8"/>
          <w:sz w:val="20"/>
        </w:rPr>
        <w:t> </w:t>
      </w:r>
      <w:r>
        <w:rPr>
          <w:sz w:val="20"/>
        </w:rPr>
        <w:t>que</w:t>
      </w:r>
      <w:r>
        <w:rPr>
          <w:spacing w:val="-7"/>
          <w:sz w:val="20"/>
        </w:rPr>
        <w:t> </w:t>
      </w:r>
      <w:r>
        <w:rPr>
          <w:spacing w:val="-2"/>
          <w:sz w:val="20"/>
        </w:rPr>
        <w:t>soliciten.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Heading1"/>
        <w:spacing w:before="230"/>
        <w:ind w:left="295"/>
      </w:pPr>
      <w:r>
        <w:rPr/>
        <w:t>TITULO</w:t>
      </w:r>
      <w:r>
        <w:rPr>
          <w:spacing w:val="-4"/>
        </w:rPr>
        <w:t> SEXTO</w:t>
      </w:r>
    </w:p>
    <w:p>
      <w:pPr>
        <w:spacing w:before="1"/>
        <w:ind w:left="297" w:right="296" w:firstLine="0"/>
        <w:jc w:val="center"/>
        <w:rPr>
          <w:rFonts w:ascii="Arial"/>
          <w:b/>
          <w:sz w:val="22"/>
        </w:rPr>
      </w:pPr>
      <w:r>
        <w:rPr>
          <w:rFonts w:ascii="Arial"/>
          <w:b/>
          <w:sz w:val="22"/>
        </w:rPr>
        <w:t>Trabajos</w:t>
      </w:r>
      <w:r>
        <w:rPr>
          <w:rFonts w:ascii="Arial"/>
          <w:b/>
          <w:spacing w:val="-10"/>
          <w:sz w:val="22"/>
        </w:rPr>
        <w:t> </w:t>
      </w:r>
      <w:r>
        <w:rPr>
          <w:rFonts w:ascii="Arial"/>
          <w:b/>
          <w:spacing w:val="-2"/>
          <w:sz w:val="22"/>
        </w:rPr>
        <w:t>Especiales</w:t>
      </w:r>
    </w:p>
    <w:p>
      <w:pPr>
        <w:pStyle w:val="Heading1"/>
        <w:spacing w:before="252"/>
      </w:pPr>
      <w:r>
        <w:rPr/>
        <w:t>CAPITULO</w:t>
      </w:r>
      <w:r>
        <w:rPr>
          <w:spacing w:val="-9"/>
        </w:rPr>
        <w:t> </w:t>
      </w:r>
      <w:r>
        <w:rPr>
          <w:spacing w:val="-12"/>
        </w:rPr>
        <w:t>I</w:t>
      </w:r>
    </w:p>
    <w:p>
      <w:pPr>
        <w:pStyle w:val="Heading2"/>
        <w:spacing w:before="1"/>
        <w:ind w:left="296"/>
      </w:pPr>
      <w:r>
        <w:rPr/>
        <w:t>Disposiciones</w:t>
      </w:r>
      <w:r>
        <w:rPr>
          <w:spacing w:val="-12"/>
        </w:rPr>
        <w:t> </w:t>
      </w:r>
      <w:r>
        <w:rPr>
          <w:spacing w:val="-2"/>
        </w:rPr>
        <w:t>generales</w:t>
      </w:r>
    </w:p>
    <w:p>
      <w:pPr>
        <w:pStyle w:val="BodyText"/>
        <w:spacing w:line="242" w:lineRule="auto" w:before="231"/>
        <w:ind w:left="338" w:right="357" w:firstLine="288"/>
      </w:pPr>
      <w:bookmarkStart w:name="Artículo_181" w:id="227"/>
      <w:bookmarkEnd w:id="227"/>
      <w:r>
        <w:rPr/>
      </w:r>
      <w:r>
        <w:rPr>
          <w:rFonts w:ascii="Arial" w:hAnsi="Arial"/>
          <w:b/>
        </w:rPr>
        <w:t>Artículo 181.- </w:t>
      </w:r>
      <w:r>
        <w:rPr/>
        <w:t>Los trabajos especiales se rigen por las normas de este Título y por las generales de</w:t>
      </w:r>
      <w:r>
        <w:rPr>
          <w:spacing w:val="40"/>
        </w:rPr>
        <w:t> </w:t>
      </w:r>
      <w:r>
        <w:rPr/>
        <w:t>esta Ley en cuanto no las contraríen.</w:t>
      </w:r>
    </w:p>
    <w:p>
      <w:pPr>
        <w:pStyle w:val="Heading1"/>
        <w:spacing w:line="252" w:lineRule="exact" w:before="225"/>
      </w:pPr>
      <w:r>
        <w:rPr/>
        <w:t>CAPITULO</w:t>
      </w:r>
      <w:r>
        <w:rPr>
          <w:spacing w:val="-9"/>
        </w:rPr>
        <w:t> </w:t>
      </w:r>
      <w:r>
        <w:rPr>
          <w:spacing w:val="-7"/>
        </w:rPr>
        <w:t>II</w:t>
      </w:r>
    </w:p>
    <w:p>
      <w:pPr>
        <w:pStyle w:val="Heading2"/>
        <w:spacing w:line="252" w:lineRule="exact"/>
        <w:ind w:left="296"/>
      </w:pPr>
      <w:r>
        <w:rPr/>
        <w:t>Trabajadores</w:t>
      </w:r>
      <w:r>
        <w:rPr>
          <w:spacing w:val="-7"/>
        </w:rPr>
        <w:t> </w:t>
      </w:r>
      <w:r>
        <w:rPr/>
        <w:t>de</w:t>
      </w:r>
      <w:r>
        <w:rPr>
          <w:spacing w:val="-7"/>
        </w:rPr>
        <w:t> </w:t>
      </w:r>
      <w:r>
        <w:rPr>
          <w:spacing w:val="-2"/>
        </w:rPr>
        <w:t>confianza</w:t>
      </w:r>
    </w:p>
    <w:p>
      <w:pPr>
        <w:pStyle w:val="BodyText"/>
        <w:spacing w:line="242" w:lineRule="auto" w:before="232"/>
        <w:ind w:left="338" w:right="341" w:firstLine="288"/>
        <w:jc w:val="both"/>
      </w:pPr>
      <w:bookmarkStart w:name="Artículo_182" w:id="228"/>
      <w:bookmarkEnd w:id="228"/>
      <w:r>
        <w:rPr/>
      </w:r>
      <w:r>
        <w:rPr>
          <w:rFonts w:ascii="Arial" w:hAnsi="Arial"/>
          <w:b/>
        </w:rPr>
        <w:t>Artículo 182.- </w:t>
      </w:r>
      <w:r>
        <w:rPr/>
        <w:t>Las condiciones de trabajo de los trabajadores de confianza serán proporcionadas a la naturaleza e importancia de los servicios que presten y no podrán ser inferiores a las que rijan para trabajos semejantes dentro de la empresa o establecimiento.</w:t>
      </w:r>
    </w:p>
    <w:p>
      <w:pPr>
        <w:pStyle w:val="BodyText"/>
        <w:spacing w:line="242" w:lineRule="auto" w:before="222"/>
        <w:ind w:left="338" w:right="343" w:firstLine="288"/>
        <w:jc w:val="both"/>
      </w:pPr>
      <w:bookmarkStart w:name="Artículo_183" w:id="229"/>
      <w:bookmarkEnd w:id="229"/>
      <w:r>
        <w:rPr/>
      </w:r>
      <w:r>
        <w:rPr>
          <w:rFonts w:ascii="Arial" w:hAnsi="Arial"/>
          <w:b/>
        </w:rPr>
        <w:t>Artículo 183.- </w:t>
      </w:r>
      <w:r>
        <w:rPr/>
        <w:t>Los trabajadores de confianza no podrán formar parte de los sindicatos de los demás trabajadores, ni serán tomados en consideración en los recuentos que se efectúen para determinar la mayoría en los casos de huelga, ni podrán ser representantes de los trabajadores en los organismos que se integren de conformidad con las disposiciones de esta Ley.</w:t>
      </w:r>
    </w:p>
    <w:p>
      <w:pPr>
        <w:pStyle w:val="BodyText"/>
        <w:spacing w:before="223"/>
        <w:ind w:left="338" w:right="340" w:firstLine="288"/>
        <w:jc w:val="both"/>
      </w:pPr>
      <w:r>
        <w:rPr/>
        <w:t>Dichos trabajadores de confianza tampoco podrán participar en las pruebas de recuento dentro de los conflictos de titularidad del contrato colectivo de trabajo ni intervenir en las consultas para la firma o revisión de contratos colectivos de trabajo a que hace referencia el artículo 390 Ter, fracción II, de esta </w:t>
      </w:r>
      <w:r>
        <w:rPr>
          <w:spacing w:val="-4"/>
        </w:rPr>
        <w:t>Ley.</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4" w:lineRule="exact"/>
        <w:jc w:val="righ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BodyText"/>
        <w:spacing w:line="242" w:lineRule="auto"/>
        <w:ind w:left="338" w:right="337" w:firstLine="288"/>
        <w:jc w:val="both"/>
      </w:pPr>
      <w:bookmarkStart w:name="Artículo_184" w:id="230"/>
      <w:bookmarkEnd w:id="230"/>
      <w:r>
        <w:rPr/>
      </w:r>
      <w:r>
        <w:rPr>
          <w:rFonts w:ascii="Arial" w:hAnsi="Arial"/>
          <w:b/>
        </w:rPr>
        <w:t>Artículo 184.- </w:t>
      </w:r>
      <w:r>
        <w:rPr/>
        <w:t>Las condiciones de trabajo contenidas en el contrato colectivo que rija en la empresa o establecimiento se extenderán</w:t>
      </w:r>
      <w:r>
        <w:rPr>
          <w:spacing w:val="-3"/>
        </w:rPr>
        <w:t> </w:t>
      </w:r>
      <w:r>
        <w:rPr/>
        <w:t>a los</w:t>
      </w:r>
      <w:r>
        <w:rPr>
          <w:spacing w:val="-1"/>
        </w:rPr>
        <w:t> </w:t>
      </w:r>
      <w:r>
        <w:rPr/>
        <w:t>trabajadores de confianza, salvo disposición en</w:t>
      </w:r>
      <w:r>
        <w:rPr>
          <w:spacing w:val="-3"/>
        </w:rPr>
        <w:t> </w:t>
      </w:r>
      <w:r>
        <w:rPr/>
        <w:t>contrario</w:t>
      </w:r>
      <w:r>
        <w:rPr>
          <w:spacing w:val="-2"/>
        </w:rPr>
        <w:t> </w:t>
      </w:r>
      <w:r>
        <w:rPr/>
        <w:t>consignada en el mismo contrato colectivo.</w:t>
      </w:r>
    </w:p>
    <w:p>
      <w:pPr>
        <w:pStyle w:val="BodyText"/>
        <w:spacing w:before="225"/>
        <w:ind w:left="338" w:right="334" w:firstLine="288"/>
        <w:jc w:val="both"/>
      </w:pPr>
      <w:bookmarkStart w:name="Artículo_185" w:id="231"/>
      <w:bookmarkEnd w:id="231"/>
      <w:r>
        <w:rPr/>
      </w:r>
      <w:r>
        <w:rPr>
          <w:rFonts w:ascii="Arial" w:hAnsi="Arial"/>
          <w:b/>
        </w:rPr>
        <w:t>Artículo 185.- </w:t>
      </w:r>
      <w:r>
        <w:rPr/>
        <w:t>El patrón podrá rescindir la relación de trabajo si existe un motivo razonable de pérdida de la confianza, aun cuando no coincida con las causas justificadas de rescisión a que se refiere el artículo 47.</w:t>
      </w:r>
    </w:p>
    <w:p>
      <w:pPr>
        <w:pStyle w:val="BodyText"/>
        <w:spacing w:before="1"/>
      </w:pPr>
    </w:p>
    <w:p>
      <w:pPr>
        <w:pStyle w:val="BodyText"/>
        <w:ind w:left="338" w:right="345" w:firstLine="288"/>
        <w:jc w:val="both"/>
      </w:pPr>
      <w:r>
        <w:rPr/>
        <w:t>El trabajador de confianza podrá ejercitar las acciones a que se refiere el capítulo IV del Título Segundo de esta Ley.</w:t>
      </w:r>
    </w:p>
    <w:p>
      <w:pPr>
        <w:pStyle w:val="BodyText"/>
        <w:spacing w:before="229"/>
        <w:ind w:left="338" w:right="345" w:firstLine="288"/>
        <w:jc w:val="both"/>
      </w:pPr>
      <w:bookmarkStart w:name="Artículo_186" w:id="232"/>
      <w:bookmarkEnd w:id="232"/>
      <w:r>
        <w:rPr/>
      </w:r>
      <w:r>
        <w:rPr>
          <w:rFonts w:ascii="Arial" w:hAnsi="Arial"/>
          <w:b/>
        </w:rPr>
        <w:t>Artículo 186.- </w:t>
      </w:r>
      <w:r>
        <w:rPr/>
        <w:t>En el caso a que se refiere el artículo anterior, si el trabajador de confianza hubiese sido promovido en un puesto de planta, volverá a él, salvo que exista causa justificada para su </w:t>
      </w:r>
      <w:r>
        <w:rPr>
          <w:spacing w:val="-2"/>
        </w:rPr>
        <w:t>separación.</w:t>
      </w:r>
    </w:p>
    <w:p>
      <w:pPr>
        <w:pStyle w:val="Heading1"/>
        <w:spacing w:line="252" w:lineRule="exact" w:before="228"/>
        <w:ind w:left="298"/>
      </w:pPr>
      <w:r>
        <w:rPr/>
        <w:t>CAPITULO</w:t>
      </w:r>
      <w:r>
        <w:rPr>
          <w:spacing w:val="-9"/>
        </w:rPr>
        <w:t> </w:t>
      </w:r>
      <w:r>
        <w:rPr>
          <w:spacing w:val="-5"/>
        </w:rPr>
        <w:t>III</w:t>
      </w:r>
    </w:p>
    <w:p>
      <w:pPr>
        <w:pStyle w:val="Heading2"/>
        <w:spacing w:line="252" w:lineRule="exact"/>
        <w:ind w:left="298"/>
      </w:pPr>
      <w:r>
        <w:rPr/>
        <w:t>Trabajadores</w:t>
      </w:r>
      <w:r>
        <w:rPr>
          <w:spacing w:val="-5"/>
        </w:rPr>
        <w:t> </w:t>
      </w:r>
      <w:r>
        <w:rPr/>
        <w:t>de</w:t>
      </w:r>
      <w:r>
        <w:rPr>
          <w:spacing w:val="-5"/>
        </w:rPr>
        <w:t> </w:t>
      </w:r>
      <w:r>
        <w:rPr/>
        <w:t>los</w:t>
      </w:r>
      <w:r>
        <w:rPr>
          <w:spacing w:val="-5"/>
        </w:rPr>
        <w:t> </w:t>
      </w:r>
      <w:r>
        <w:rPr>
          <w:spacing w:val="-2"/>
        </w:rPr>
        <w:t>buques</w:t>
      </w:r>
    </w:p>
    <w:p>
      <w:pPr>
        <w:pStyle w:val="BodyText"/>
        <w:spacing w:line="242" w:lineRule="auto" w:before="231"/>
        <w:ind w:left="338" w:right="343" w:firstLine="288"/>
        <w:jc w:val="both"/>
      </w:pPr>
      <w:bookmarkStart w:name="Artículo_187" w:id="233"/>
      <w:bookmarkEnd w:id="233"/>
      <w:r>
        <w:rPr/>
      </w:r>
      <w:r>
        <w:rPr>
          <w:rFonts w:ascii="Arial" w:hAnsi="Arial"/>
          <w:b/>
        </w:rPr>
        <w:t>Artículo 187.- </w:t>
      </w:r>
      <w:r>
        <w:rPr/>
        <w:t>Las disposiciones de este capítulo se aplican a los trabajadores de los buques, comprendiéndose dentro de esta denominación cualquier clase de barco o embarcación que ostente bandera mexicana.</w:t>
      </w:r>
    </w:p>
    <w:p>
      <w:pPr>
        <w:pStyle w:val="BodyText"/>
        <w:spacing w:before="225"/>
        <w:ind w:left="338" w:right="341" w:firstLine="288"/>
        <w:jc w:val="both"/>
      </w:pPr>
      <w:bookmarkStart w:name="Artículo_188" w:id="234"/>
      <w:bookmarkEnd w:id="234"/>
      <w:r>
        <w:rPr/>
      </w:r>
      <w:r>
        <w:rPr>
          <w:rFonts w:ascii="Arial" w:hAnsi="Arial"/>
          <w:b/>
        </w:rPr>
        <w:t>Artículo 188.- </w:t>
      </w:r>
      <w:r>
        <w:rPr/>
        <w:t>Están sujetos a las disposiciones de este capítulo, los capitanes y oficiales de cubierta</w:t>
      </w:r>
      <w:r>
        <w:rPr>
          <w:spacing w:val="40"/>
        </w:rPr>
        <w:t> </w:t>
      </w:r>
      <w:r>
        <w:rPr/>
        <w:t>y máquinas, los sobrecargos y contadores, los radiotelegrafistas, contramaestres, dragadores, marineros y personal de cámara y cocina, los que sean considerados como trabajadores por las leyes y disposiciones sobre comunicaciones por agua, y en general, todas las personas que desempeñen a</w:t>
      </w:r>
      <w:r>
        <w:rPr>
          <w:spacing w:val="40"/>
        </w:rPr>
        <w:t> </w:t>
      </w:r>
      <w:r>
        <w:rPr/>
        <w:t>bordo algún trabajo por cuenta del armador, naviero o fletador.</w:t>
      </w:r>
    </w:p>
    <w:p>
      <w:pPr>
        <w:pStyle w:val="BodyText"/>
        <w:spacing w:before="1"/>
      </w:pPr>
    </w:p>
    <w:p>
      <w:pPr>
        <w:pStyle w:val="BodyText"/>
        <w:spacing w:line="242" w:lineRule="auto"/>
        <w:ind w:left="338" w:right="345" w:firstLine="288"/>
        <w:jc w:val="both"/>
      </w:pPr>
      <w:bookmarkStart w:name="Artículo_189" w:id="235"/>
      <w:bookmarkEnd w:id="235"/>
      <w:r>
        <w:rPr/>
      </w:r>
      <w:r>
        <w:rPr>
          <w:rFonts w:ascii="Arial" w:hAnsi="Arial"/>
          <w:b/>
        </w:rPr>
        <w:t>Artículo 189.- </w:t>
      </w:r>
      <w:r>
        <w:rPr/>
        <w:t>Los trabajadores de los buques deberán tener la calidad de mexicanos por nacimiento que no adquieran otra nacionalidad y estar en pleno goce y ejercicio de sus derechos civiles y políticos.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23-01-</w:t>
      </w:r>
      <w:r>
        <w:rPr>
          <w:rFonts w:ascii="Times New Roman" w:hAnsi="Times New Roman"/>
          <w:i/>
          <w:color w:val="0000FF"/>
          <w:spacing w:val="-4"/>
          <w:sz w:val="16"/>
        </w:rPr>
        <w:t>1998</w:t>
      </w:r>
    </w:p>
    <w:p>
      <w:pPr>
        <w:pStyle w:val="BodyText"/>
        <w:spacing w:before="47"/>
        <w:rPr>
          <w:rFonts w:ascii="Times New Roman"/>
          <w:i/>
          <w:sz w:val="16"/>
        </w:rPr>
      </w:pPr>
    </w:p>
    <w:p>
      <w:pPr>
        <w:pStyle w:val="BodyText"/>
        <w:spacing w:line="242" w:lineRule="auto"/>
        <w:ind w:left="338" w:right="344" w:firstLine="288"/>
        <w:jc w:val="both"/>
      </w:pPr>
      <w:bookmarkStart w:name="Artículo_190" w:id="236"/>
      <w:bookmarkEnd w:id="236"/>
      <w:r>
        <w:rPr/>
      </w:r>
      <w:r>
        <w:rPr>
          <w:rFonts w:ascii="Arial" w:hAnsi="Arial"/>
          <w:b/>
        </w:rPr>
        <w:t>Artículo 190.- </w:t>
      </w:r>
      <w:r>
        <w:rPr/>
        <w:t>Los capitanes, entendiéndose como tales a quienes ejercen el mando directo de un buque, tienen con respecto a los demás trabajadores la calidad de representantes del patrón.</w:t>
      </w:r>
    </w:p>
    <w:p>
      <w:pPr>
        <w:pStyle w:val="BodyText"/>
        <w:spacing w:line="242" w:lineRule="auto" w:before="224"/>
        <w:ind w:left="338" w:right="339" w:firstLine="288"/>
        <w:jc w:val="both"/>
      </w:pPr>
      <w:bookmarkStart w:name="Artículo_191" w:id="237"/>
      <w:bookmarkEnd w:id="237"/>
      <w:r>
        <w:rPr/>
      </w:r>
      <w:r>
        <w:rPr>
          <w:rFonts w:ascii="Arial" w:hAnsi="Arial"/>
          <w:b/>
        </w:rPr>
        <w:t>Artículo 191. </w:t>
      </w:r>
      <w:r>
        <w:rPr/>
        <w:t>Queda prohibido el trabajo a que se refiere este capítulo a los menores de dieciséis</w:t>
      </w:r>
      <w:r>
        <w:rPr>
          <w:spacing w:val="40"/>
        </w:rPr>
        <w:t> </w:t>
      </w:r>
      <w:r>
        <w:rPr/>
        <w:t>años y el de los menores de dieciocho en calidad de pañoleros o fogoneros.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5"/>
        <w:rPr>
          <w:rFonts w:ascii="Times New Roman"/>
          <w:i/>
          <w:sz w:val="16"/>
        </w:rPr>
      </w:pPr>
    </w:p>
    <w:p>
      <w:pPr>
        <w:pStyle w:val="BodyText"/>
        <w:spacing w:line="242" w:lineRule="auto"/>
        <w:ind w:left="338" w:right="335" w:firstLine="288"/>
        <w:jc w:val="both"/>
      </w:pPr>
      <w:bookmarkStart w:name="Artículo_192" w:id="238"/>
      <w:bookmarkEnd w:id="238"/>
      <w:r>
        <w:rPr/>
      </w:r>
      <w:r>
        <w:rPr>
          <w:rFonts w:ascii="Arial" w:hAnsi="Arial"/>
          <w:b/>
        </w:rPr>
        <w:t>Artículo 192.- </w:t>
      </w:r>
      <w:r>
        <w:rPr/>
        <w:t>No se considera relación de trabajo el convenio que celebre a bordo el capitán de un buque con personas que se hayan introducido a él y que tengan por objeto devengar, con servicios personales, el importe del pasaje, salvo lo dispuesto en el artículo siguiente.</w:t>
      </w:r>
    </w:p>
    <w:p>
      <w:pPr>
        <w:pStyle w:val="BodyText"/>
        <w:spacing w:before="227"/>
        <w:ind w:left="338" w:right="337" w:firstLine="288"/>
        <w:jc w:val="both"/>
      </w:pPr>
      <w:r>
        <w:rPr/>
        <w:t>Tampoco se considerará relación de trabajo el convenio celebrado</w:t>
      </w:r>
      <w:r>
        <w:rPr>
          <w:spacing w:val="40"/>
        </w:rPr>
        <w:t> </w:t>
      </w:r>
      <w:r>
        <w:rPr/>
        <w:t>en los términos del párrafo</w:t>
      </w:r>
      <w:r>
        <w:rPr>
          <w:spacing w:val="40"/>
        </w:rPr>
        <w:t> </w:t>
      </w:r>
      <w:r>
        <w:rPr/>
        <w:t>anterior, con los mexicanos que deban repatriarse, a solicitud del Cónsul respectivo.</w:t>
      </w:r>
    </w:p>
    <w:p>
      <w:pPr>
        <w:pStyle w:val="BodyText"/>
        <w:spacing w:line="242" w:lineRule="auto" w:before="227"/>
        <w:ind w:left="338" w:right="340" w:firstLine="288"/>
        <w:jc w:val="both"/>
      </w:pPr>
      <w:bookmarkStart w:name="Artículo_193" w:id="239"/>
      <w:bookmarkEnd w:id="239"/>
      <w:r>
        <w:rPr/>
      </w:r>
      <w:r>
        <w:rPr>
          <w:rFonts w:ascii="Arial" w:hAnsi="Arial"/>
          <w:b/>
        </w:rPr>
        <w:t>Artículo</w:t>
      </w:r>
      <w:r>
        <w:rPr>
          <w:rFonts w:ascii="Arial" w:hAnsi="Arial"/>
          <w:b/>
          <w:spacing w:val="-1"/>
        </w:rPr>
        <w:t> </w:t>
      </w:r>
      <w:r>
        <w:rPr>
          <w:rFonts w:ascii="Arial" w:hAnsi="Arial"/>
          <w:b/>
        </w:rPr>
        <w:t>193.-</w:t>
      </w:r>
      <w:r>
        <w:rPr>
          <w:rFonts w:ascii="Arial" w:hAnsi="Arial"/>
          <w:b/>
          <w:spacing w:val="-1"/>
        </w:rPr>
        <w:t> </w:t>
      </w:r>
      <w:r>
        <w:rPr/>
        <w:t>Las</w:t>
      </w:r>
      <w:r>
        <w:rPr>
          <w:spacing w:val="-1"/>
        </w:rPr>
        <w:t> </w:t>
      </w:r>
      <w:r>
        <w:rPr/>
        <w:t>personas</w:t>
      </w:r>
      <w:r>
        <w:rPr>
          <w:spacing w:val="-1"/>
        </w:rPr>
        <w:t> </w:t>
      </w:r>
      <w:r>
        <w:rPr/>
        <w:t>que</w:t>
      </w:r>
      <w:r>
        <w:rPr>
          <w:spacing w:val="-2"/>
        </w:rPr>
        <w:t> </w:t>
      </w:r>
      <w:r>
        <w:rPr/>
        <w:t>presten</w:t>
      </w:r>
      <w:r>
        <w:rPr>
          <w:spacing w:val="-3"/>
        </w:rPr>
        <w:t> </w:t>
      </w:r>
      <w:r>
        <w:rPr/>
        <w:t>sus</w:t>
      </w:r>
      <w:r>
        <w:rPr>
          <w:spacing w:val="-1"/>
        </w:rPr>
        <w:t> </w:t>
      </w:r>
      <w:r>
        <w:rPr/>
        <w:t>servicios</w:t>
      </w:r>
      <w:r>
        <w:rPr>
          <w:spacing w:val="-1"/>
        </w:rPr>
        <w:t> </w:t>
      </w:r>
      <w:r>
        <w:rPr/>
        <w:t>a</w:t>
      </w:r>
      <w:r>
        <w:rPr>
          <w:spacing w:val="-2"/>
        </w:rPr>
        <w:t> </w:t>
      </w:r>
      <w:r>
        <w:rPr/>
        <w:t>bordo</w:t>
      </w:r>
      <w:r>
        <w:rPr>
          <w:spacing w:val="-3"/>
        </w:rPr>
        <w:t> </w:t>
      </w:r>
      <w:r>
        <w:rPr/>
        <w:t>exclusivamente</w:t>
      </w:r>
      <w:r>
        <w:rPr>
          <w:spacing w:val="-2"/>
        </w:rPr>
        <w:t> </w:t>
      </w:r>
      <w:r>
        <w:rPr/>
        <w:t>por</w:t>
      </w:r>
      <w:r>
        <w:rPr>
          <w:spacing w:val="-1"/>
        </w:rPr>
        <w:t> </w:t>
      </w:r>
      <w:r>
        <w:rPr/>
        <w:t>el</w:t>
      </w:r>
      <w:r>
        <w:rPr>
          <w:spacing w:val="-3"/>
        </w:rPr>
        <w:t> </w:t>
      </w:r>
      <w:r>
        <w:rPr/>
        <w:t>tiempo</w:t>
      </w:r>
      <w:r>
        <w:rPr>
          <w:spacing w:val="-3"/>
        </w:rPr>
        <w:t> </w:t>
      </w:r>
      <w:r>
        <w:rPr/>
        <w:t>en</w:t>
      </w:r>
      <w:r>
        <w:rPr>
          <w:spacing w:val="-3"/>
        </w:rPr>
        <w:t> </w:t>
      </w:r>
      <w:r>
        <w:rPr/>
        <w:t>que</w:t>
      </w:r>
      <w:r>
        <w:rPr>
          <w:spacing w:val="-2"/>
        </w:rPr>
        <w:t> </w:t>
      </w:r>
      <w:r>
        <w:rPr/>
        <w:t>el buque se encuentre en puerto, quedan sujetas a las disposiciones del presente capítulo en lo que sean </w:t>
      </w:r>
      <w:r>
        <w:rPr>
          <w:spacing w:val="-2"/>
        </w:rPr>
        <w:t>aplicables.</w:t>
      </w:r>
    </w:p>
    <w:p>
      <w:pPr>
        <w:pStyle w:val="BodyText"/>
        <w:spacing w:before="227"/>
        <w:ind w:left="338" w:right="334" w:firstLine="288"/>
        <w:jc w:val="both"/>
      </w:pPr>
      <w:r>
        <w:rPr/>
        <w:t>Cuando los buques se hagan a la mar sin que hayan podido desembarcar las personas a que se refiere</w:t>
      </w:r>
      <w:r>
        <w:rPr>
          <w:spacing w:val="-3"/>
        </w:rPr>
        <w:t> </w:t>
      </w:r>
      <w:r>
        <w:rPr/>
        <w:t>el</w:t>
      </w:r>
      <w:r>
        <w:rPr>
          <w:spacing w:val="-3"/>
        </w:rPr>
        <w:t> </w:t>
      </w:r>
      <w:r>
        <w:rPr/>
        <w:t>párrafo</w:t>
      </w:r>
      <w:r>
        <w:rPr>
          <w:spacing w:val="-3"/>
        </w:rPr>
        <w:t> </w:t>
      </w:r>
      <w:r>
        <w:rPr/>
        <w:t>anterior,</w:t>
      </w:r>
      <w:r>
        <w:rPr>
          <w:spacing w:val="-2"/>
        </w:rPr>
        <w:t> </w:t>
      </w:r>
      <w:r>
        <w:rPr/>
        <w:t>serán</w:t>
      </w:r>
      <w:r>
        <w:rPr>
          <w:spacing w:val="-3"/>
        </w:rPr>
        <w:t> </w:t>
      </w:r>
      <w:r>
        <w:rPr/>
        <w:t>considerados</w:t>
      </w:r>
      <w:r>
        <w:rPr>
          <w:spacing w:val="-2"/>
        </w:rPr>
        <w:t> </w:t>
      </w:r>
      <w:r>
        <w:rPr/>
        <w:t>trabajadores</w:t>
      </w:r>
      <w:r>
        <w:rPr>
          <w:spacing w:val="-1"/>
        </w:rPr>
        <w:t> </w:t>
      </w:r>
      <w:r>
        <w:rPr/>
        <w:t>hasta</w:t>
      </w:r>
      <w:r>
        <w:rPr>
          <w:spacing w:val="-3"/>
        </w:rPr>
        <w:t> </w:t>
      </w:r>
      <w:r>
        <w:rPr/>
        <w:t>que</w:t>
      </w:r>
      <w:r>
        <w:rPr>
          <w:spacing w:val="-3"/>
        </w:rPr>
        <w:t> </w:t>
      </w:r>
      <w:r>
        <w:rPr/>
        <w:t>se</w:t>
      </w:r>
      <w:r>
        <w:rPr>
          <w:spacing w:val="-3"/>
        </w:rPr>
        <w:t> </w:t>
      </w:r>
      <w:r>
        <w:rPr/>
        <w:t>restituyan</w:t>
      </w:r>
      <w:r>
        <w:rPr>
          <w:spacing w:val="-3"/>
        </w:rPr>
        <w:t> </w:t>
      </w:r>
      <w:r>
        <w:rPr/>
        <w:t>a</w:t>
      </w:r>
      <w:r>
        <w:rPr>
          <w:spacing w:val="-3"/>
        </w:rPr>
        <w:t> </w:t>
      </w:r>
      <w:r>
        <w:rPr/>
        <w:t>su lugar</w:t>
      </w:r>
      <w:r>
        <w:rPr>
          <w:spacing w:val="-2"/>
        </w:rPr>
        <w:t> </w:t>
      </w:r>
      <w:r>
        <w:rPr/>
        <w:t>de</w:t>
      </w:r>
      <w:r>
        <w:rPr>
          <w:spacing w:val="-3"/>
        </w:rPr>
        <w:t> </w:t>
      </w:r>
      <w:r>
        <w:rPr/>
        <w:t>origen, y tendrán los derechos y obligaciones que se consignan en este capítulo.</w:t>
      </w:r>
    </w:p>
    <w:p>
      <w:pPr>
        <w:pStyle w:val="BodyText"/>
        <w:spacing w:after="0"/>
        <w:jc w:val="both"/>
        <w:sectPr>
          <w:pgSz w:w="12240" w:h="15840"/>
          <w:pgMar w:header="724" w:footer="712" w:top="1880" w:bottom="900" w:left="1080" w:right="1080"/>
        </w:sectPr>
      </w:pPr>
    </w:p>
    <w:p>
      <w:pPr>
        <w:pStyle w:val="BodyText"/>
      </w:pPr>
    </w:p>
    <w:p>
      <w:pPr>
        <w:pStyle w:val="BodyText"/>
        <w:spacing w:before="63"/>
      </w:pPr>
    </w:p>
    <w:p>
      <w:pPr>
        <w:pStyle w:val="BodyText"/>
        <w:spacing w:line="242" w:lineRule="auto"/>
        <w:ind w:left="338" w:right="342" w:firstLine="288"/>
        <w:jc w:val="both"/>
      </w:pPr>
      <w:bookmarkStart w:name="Artículo_194" w:id="240"/>
      <w:bookmarkEnd w:id="240"/>
      <w:r>
        <w:rPr/>
      </w:r>
      <w:r>
        <w:rPr>
          <w:rFonts w:ascii="Arial" w:hAnsi="Arial"/>
          <w:b/>
        </w:rPr>
        <w:t>Artículo 194.- </w:t>
      </w:r>
      <w:r>
        <w:rPr/>
        <w:t>Las condiciones de trabajo se harán constar por escrito. Un ejemplar quedará en poder de cada parte, otro se remitirá a la Capitanía del Puerto o al Cónsul mexicano más cercano, y el cuarto a la Inspección del Trabajo del lugar donde se estipularon.</w:t>
      </w:r>
    </w:p>
    <w:p>
      <w:pPr>
        <w:spacing w:before="225"/>
        <w:ind w:left="626" w:right="0" w:firstLine="0"/>
        <w:jc w:val="left"/>
        <w:rPr>
          <w:sz w:val="20"/>
        </w:rPr>
      </w:pPr>
      <w:bookmarkStart w:name="Artículo_195" w:id="241"/>
      <w:bookmarkEnd w:id="241"/>
      <w:r>
        <w:rPr/>
      </w:r>
      <w:r>
        <w:rPr>
          <w:rFonts w:ascii="Arial" w:hAnsi="Arial"/>
          <w:b/>
          <w:sz w:val="20"/>
        </w:rPr>
        <w:t>Artículo</w:t>
      </w:r>
      <w:r>
        <w:rPr>
          <w:rFonts w:ascii="Arial" w:hAnsi="Arial"/>
          <w:b/>
          <w:spacing w:val="-6"/>
          <w:sz w:val="20"/>
        </w:rPr>
        <w:t> </w:t>
      </w:r>
      <w:r>
        <w:rPr>
          <w:rFonts w:ascii="Arial" w:hAnsi="Arial"/>
          <w:b/>
          <w:sz w:val="20"/>
        </w:rPr>
        <w:t>195.-</w:t>
      </w:r>
      <w:r>
        <w:rPr>
          <w:rFonts w:ascii="Arial" w:hAnsi="Arial"/>
          <w:b/>
          <w:spacing w:val="-3"/>
          <w:sz w:val="20"/>
        </w:rPr>
        <w:t> </w:t>
      </w:r>
      <w:r>
        <w:rPr>
          <w:sz w:val="20"/>
        </w:rPr>
        <w:t>El</w:t>
      </w:r>
      <w:r>
        <w:rPr>
          <w:spacing w:val="-5"/>
          <w:sz w:val="20"/>
        </w:rPr>
        <w:t> </w:t>
      </w:r>
      <w:r>
        <w:rPr>
          <w:sz w:val="20"/>
        </w:rPr>
        <w:t>escrito</w:t>
      </w:r>
      <w:r>
        <w:rPr>
          <w:spacing w:val="-7"/>
          <w:sz w:val="20"/>
        </w:rPr>
        <w:t> </w:t>
      </w:r>
      <w:r>
        <w:rPr>
          <w:sz w:val="20"/>
        </w:rPr>
        <w:t>a</w:t>
      </w:r>
      <w:r>
        <w:rPr>
          <w:spacing w:val="-4"/>
          <w:sz w:val="20"/>
        </w:rPr>
        <w:t> </w:t>
      </w:r>
      <w:r>
        <w:rPr>
          <w:sz w:val="20"/>
        </w:rPr>
        <w:t>que</w:t>
      </w:r>
      <w:r>
        <w:rPr>
          <w:spacing w:val="-6"/>
          <w:sz w:val="20"/>
        </w:rPr>
        <w:t> </w:t>
      </w:r>
      <w:r>
        <w:rPr>
          <w:sz w:val="20"/>
        </w:rPr>
        <w:t>se</w:t>
      </w:r>
      <w:r>
        <w:rPr>
          <w:spacing w:val="-6"/>
          <w:sz w:val="20"/>
        </w:rPr>
        <w:t> </w:t>
      </w:r>
      <w:r>
        <w:rPr>
          <w:sz w:val="20"/>
        </w:rPr>
        <w:t>refiere</w:t>
      </w:r>
      <w:r>
        <w:rPr>
          <w:spacing w:val="-6"/>
          <w:sz w:val="20"/>
        </w:rPr>
        <w:t> </w:t>
      </w:r>
      <w:r>
        <w:rPr>
          <w:sz w:val="20"/>
        </w:rPr>
        <w:t>el</w:t>
      </w:r>
      <w:r>
        <w:rPr>
          <w:spacing w:val="-6"/>
          <w:sz w:val="20"/>
        </w:rPr>
        <w:t> </w:t>
      </w:r>
      <w:r>
        <w:rPr>
          <w:sz w:val="20"/>
        </w:rPr>
        <w:t>artículo</w:t>
      </w:r>
      <w:r>
        <w:rPr>
          <w:spacing w:val="-4"/>
          <w:sz w:val="20"/>
        </w:rPr>
        <w:t> </w:t>
      </w:r>
      <w:r>
        <w:rPr>
          <w:sz w:val="20"/>
        </w:rPr>
        <w:t>anterior</w:t>
      </w:r>
      <w:r>
        <w:rPr>
          <w:spacing w:val="-6"/>
          <w:sz w:val="20"/>
        </w:rPr>
        <w:t> </w:t>
      </w:r>
      <w:r>
        <w:rPr>
          <w:spacing w:val="-2"/>
          <w:sz w:val="20"/>
        </w:rPr>
        <w:t>contendrá:</w:t>
      </w:r>
    </w:p>
    <w:p>
      <w:pPr>
        <w:pStyle w:val="ListParagraph"/>
        <w:numPr>
          <w:ilvl w:val="0"/>
          <w:numId w:val="48"/>
        </w:numPr>
        <w:tabs>
          <w:tab w:pos="1195" w:val="left" w:leader="none"/>
        </w:tabs>
        <w:spacing w:line="240" w:lineRule="auto" w:before="229" w:after="0"/>
        <w:ind w:left="1195" w:right="0" w:hanging="569"/>
        <w:jc w:val="left"/>
        <w:rPr>
          <w:sz w:val="20"/>
        </w:rPr>
      </w:pPr>
      <w:r>
        <w:rPr>
          <w:sz w:val="20"/>
        </w:rPr>
        <w:t>Lugar</w:t>
      </w:r>
      <w:r>
        <w:rPr>
          <w:spacing w:val="-1"/>
          <w:sz w:val="20"/>
        </w:rPr>
        <w:t> </w:t>
      </w:r>
      <w:r>
        <w:rPr>
          <w:sz w:val="20"/>
        </w:rPr>
        <w:t>y</w:t>
      </w:r>
      <w:r>
        <w:rPr>
          <w:spacing w:val="-8"/>
          <w:sz w:val="20"/>
        </w:rPr>
        <w:t> </w:t>
      </w:r>
      <w:r>
        <w:rPr>
          <w:sz w:val="20"/>
        </w:rPr>
        <w:t>fecha</w:t>
      </w:r>
      <w:r>
        <w:rPr>
          <w:spacing w:val="-4"/>
          <w:sz w:val="20"/>
        </w:rPr>
        <w:t> </w:t>
      </w:r>
      <w:r>
        <w:rPr>
          <w:sz w:val="20"/>
        </w:rPr>
        <w:t>de</w:t>
      </w:r>
      <w:r>
        <w:rPr>
          <w:spacing w:val="-6"/>
          <w:sz w:val="20"/>
        </w:rPr>
        <w:t> </w:t>
      </w:r>
      <w:r>
        <w:rPr>
          <w:sz w:val="20"/>
        </w:rPr>
        <w:t>su</w:t>
      </w:r>
      <w:r>
        <w:rPr>
          <w:spacing w:val="-5"/>
          <w:sz w:val="20"/>
        </w:rPr>
        <w:t> </w:t>
      </w:r>
      <w:r>
        <w:rPr>
          <w:spacing w:val="-2"/>
          <w:sz w:val="20"/>
        </w:rPr>
        <w:t>celebración;</w:t>
      </w:r>
    </w:p>
    <w:p>
      <w:pPr>
        <w:pStyle w:val="BodyText"/>
      </w:pPr>
    </w:p>
    <w:p>
      <w:pPr>
        <w:pStyle w:val="ListParagraph"/>
        <w:numPr>
          <w:ilvl w:val="0"/>
          <w:numId w:val="48"/>
        </w:numPr>
        <w:tabs>
          <w:tab w:pos="1195" w:val="left" w:leader="none"/>
        </w:tabs>
        <w:spacing w:line="240" w:lineRule="auto" w:before="0" w:after="0"/>
        <w:ind w:left="1195" w:right="0" w:hanging="569"/>
        <w:jc w:val="left"/>
        <w:rPr>
          <w:sz w:val="20"/>
        </w:rPr>
      </w:pPr>
      <w:r>
        <w:rPr>
          <w:sz w:val="20"/>
        </w:rPr>
        <w:t>Nombre,</w:t>
      </w:r>
      <w:r>
        <w:rPr>
          <w:spacing w:val="-7"/>
          <w:sz w:val="20"/>
        </w:rPr>
        <w:t> </w:t>
      </w:r>
      <w:r>
        <w:rPr>
          <w:sz w:val="20"/>
        </w:rPr>
        <w:t>nacionalidad,</w:t>
      </w:r>
      <w:r>
        <w:rPr>
          <w:spacing w:val="-7"/>
          <w:sz w:val="20"/>
        </w:rPr>
        <w:t> </w:t>
      </w:r>
      <w:r>
        <w:rPr>
          <w:sz w:val="20"/>
        </w:rPr>
        <w:t>edad,</w:t>
      </w:r>
      <w:r>
        <w:rPr>
          <w:spacing w:val="-6"/>
          <w:sz w:val="20"/>
        </w:rPr>
        <w:t> </w:t>
      </w:r>
      <w:r>
        <w:rPr>
          <w:sz w:val="20"/>
        </w:rPr>
        <w:t>sexo,</w:t>
      </w:r>
      <w:r>
        <w:rPr>
          <w:spacing w:val="-7"/>
          <w:sz w:val="20"/>
        </w:rPr>
        <w:t> </w:t>
      </w:r>
      <w:r>
        <w:rPr>
          <w:sz w:val="20"/>
        </w:rPr>
        <w:t>estado</w:t>
      </w:r>
      <w:r>
        <w:rPr>
          <w:spacing w:val="-6"/>
          <w:sz w:val="20"/>
        </w:rPr>
        <w:t> </w:t>
      </w:r>
      <w:r>
        <w:rPr>
          <w:sz w:val="20"/>
        </w:rPr>
        <w:t>civil,</w:t>
      </w:r>
      <w:r>
        <w:rPr>
          <w:spacing w:val="-3"/>
          <w:sz w:val="20"/>
        </w:rPr>
        <w:t> </w:t>
      </w:r>
      <w:r>
        <w:rPr>
          <w:sz w:val="20"/>
        </w:rPr>
        <w:t>y</w:t>
      </w:r>
      <w:r>
        <w:rPr>
          <w:spacing w:val="-8"/>
          <w:sz w:val="20"/>
        </w:rPr>
        <w:t> </w:t>
      </w:r>
      <w:r>
        <w:rPr>
          <w:sz w:val="20"/>
        </w:rPr>
        <w:t>domicilio</w:t>
      </w:r>
      <w:r>
        <w:rPr>
          <w:spacing w:val="-6"/>
          <w:sz w:val="20"/>
        </w:rPr>
        <w:t> </w:t>
      </w:r>
      <w:r>
        <w:rPr>
          <w:sz w:val="20"/>
        </w:rPr>
        <w:t>del</w:t>
      </w:r>
      <w:r>
        <w:rPr>
          <w:spacing w:val="-8"/>
          <w:sz w:val="20"/>
        </w:rPr>
        <w:t> </w:t>
      </w:r>
      <w:r>
        <w:rPr>
          <w:sz w:val="20"/>
        </w:rPr>
        <w:t>trabajador</w:t>
      </w:r>
      <w:r>
        <w:rPr>
          <w:spacing w:val="-4"/>
          <w:sz w:val="20"/>
        </w:rPr>
        <w:t> </w:t>
      </w:r>
      <w:r>
        <w:rPr>
          <w:sz w:val="20"/>
        </w:rPr>
        <w:t>y</w:t>
      </w:r>
      <w:r>
        <w:rPr>
          <w:spacing w:val="-7"/>
          <w:sz w:val="20"/>
        </w:rPr>
        <w:t> </w:t>
      </w:r>
      <w:r>
        <w:rPr>
          <w:sz w:val="20"/>
        </w:rPr>
        <w:t>del</w:t>
      </w:r>
      <w:r>
        <w:rPr>
          <w:spacing w:val="-8"/>
          <w:sz w:val="20"/>
        </w:rPr>
        <w:t> </w:t>
      </w:r>
      <w:r>
        <w:rPr>
          <w:spacing w:val="-2"/>
          <w:sz w:val="20"/>
        </w:rPr>
        <w:t>patrón;</w:t>
      </w:r>
    </w:p>
    <w:p>
      <w:pPr>
        <w:pStyle w:val="BodyText"/>
        <w:spacing w:before="1"/>
      </w:pPr>
    </w:p>
    <w:p>
      <w:pPr>
        <w:pStyle w:val="ListParagraph"/>
        <w:numPr>
          <w:ilvl w:val="0"/>
          <w:numId w:val="48"/>
        </w:numPr>
        <w:tabs>
          <w:tab w:pos="1195" w:val="left" w:leader="none"/>
        </w:tabs>
        <w:spacing w:line="240" w:lineRule="auto" w:before="0" w:after="0"/>
        <w:ind w:left="1195" w:right="0" w:hanging="569"/>
        <w:jc w:val="left"/>
        <w:rPr>
          <w:sz w:val="20"/>
        </w:rPr>
      </w:pPr>
      <w:r>
        <w:rPr>
          <w:sz w:val="20"/>
        </w:rPr>
        <w:t>Mención</w:t>
      </w:r>
      <w:r>
        <w:rPr>
          <w:spacing w:val="-6"/>
          <w:sz w:val="20"/>
        </w:rPr>
        <w:t> </w:t>
      </w:r>
      <w:r>
        <w:rPr>
          <w:sz w:val="20"/>
        </w:rPr>
        <w:t>del</w:t>
      </w:r>
      <w:r>
        <w:rPr>
          <w:spacing w:val="-5"/>
          <w:sz w:val="20"/>
        </w:rPr>
        <w:t> </w:t>
      </w:r>
      <w:r>
        <w:rPr>
          <w:sz w:val="20"/>
        </w:rPr>
        <w:t>buque</w:t>
      </w:r>
      <w:r>
        <w:rPr>
          <w:spacing w:val="-4"/>
          <w:sz w:val="20"/>
        </w:rPr>
        <w:t> </w:t>
      </w:r>
      <w:r>
        <w:rPr>
          <w:sz w:val="20"/>
        </w:rPr>
        <w:t>o</w:t>
      </w:r>
      <w:r>
        <w:rPr>
          <w:spacing w:val="-6"/>
          <w:sz w:val="20"/>
        </w:rPr>
        <w:t> </w:t>
      </w:r>
      <w:r>
        <w:rPr>
          <w:sz w:val="20"/>
        </w:rPr>
        <w:t>buques</w:t>
      </w:r>
      <w:r>
        <w:rPr>
          <w:spacing w:val="-5"/>
          <w:sz w:val="20"/>
        </w:rPr>
        <w:t> </w:t>
      </w:r>
      <w:r>
        <w:rPr>
          <w:sz w:val="20"/>
        </w:rPr>
        <w:t>a</w:t>
      </w:r>
      <w:r>
        <w:rPr>
          <w:spacing w:val="-7"/>
          <w:sz w:val="20"/>
        </w:rPr>
        <w:t> </w:t>
      </w:r>
      <w:r>
        <w:rPr>
          <w:sz w:val="20"/>
        </w:rPr>
        <w:t>bordo</w:t>
      </w:r>
      <w:r>
        <w:rPr>
          <w:spacing w:val="-6"/>
          <w:sz w:val="20"/>
        </w:rPr>
        <w:t> </w:t>
      </w:r>
      <w:r>
        <w:rPr>
          <w:sz w:val="20"/>
        </w:rPr>
        <w:t>de</w:t>
      </w:r>
      <w:r>
        <w:rPr>
          <w:spacing w:val="-5"/>
          <w:sz w:val="20"/>
        </w:rPr>
        <w:t> </w:t>
      </w:r>
      <w:r>
        <w:rPr>
          <w:sz w:val="20"/>
        </w:rPr>
        <w:t>los</w:t>
      </w:r>
      <w:r>
        <w:rPr>
          <w:spacing w:val="-6"/>
          <w:sz w:val="20"/>
        </w:rPr>
        <w:t> </w:t>
      </w:r>
      <w:r>
        <w:rPr>
          <w:sz w:val="20"/>
        </w:rPr>
        <w:t>cuales</w:t>
      </w:r>
      <w:r>
        <w:rPr>
          <w:spacing w:val="-5"/>
          <w:sz w:val="20"/>
        </w:rPr>
        <w:t> </w:t>
      </w:r>
      <w:r>
        <w:rPr>
          <w:sz w:val="20"/>
        </w:rPr>
        <w:t>se</w:t>
      </w:r>
      <w:r>
        <w:rPr>
          <w:spacing w:val="-4"/>
          <w:sz w:val="20"/>
        </w:rPr>
        <w:t> </w:t>
      </w:r>
      <w:r>
        <w:rPr>
          <w:sz w:val="20"/>
        </w:rPr>
        <w:t>prestarán</w:t>
      </w:r>
      <w:r>
        <w:rPr>
          <w:spacing w:val="-4"/>
          <w:sz w:val="20"/>
        </w:rPr>
        <w:t> </w:t>
      </w:r>
      <w:r>
        <w:rPr>
          <w:sz w:val="20"/>
        </w:rPr>
        <w:t>los</w:t>
      </w:r>
      <w:r>
        <w:rPr>
          <w:spacing w:val="-5"/>
          <w:sz w:val="20"/>
        </w:rPr>
        <w:t> </w:t>
      </w:r>
      <w:r>
        <w:rPr>
          <w:spacing w:val="-2"/>
          <w:sz w:val="20"/>
        </w:rPr>
        <w:t>servicios;</w:t>
      </w:r>
    </w:p>
    <w:p>
      <w:pPr>
        <w:pStyle w:val="ListParagraph"/>
        <w:numPr>
          <w:ilvl w:val="0"/>
          <w:numId w:val="48"/>
        </w:numPr>
        <w:tabs>
          <w:tab w:pos="1195" w:val="left" w:leader="none"/>
        </w:tabs>
        <w:spacing w:line="240" w:lineRule="auto" w:before="229" w:after="0"/>
        <w:ind w:left="1195" w:right="0" w:hanging="569"/>
        <w:jc w:val="left"/>
        <w:rPr>
          <w:sz w:val="20"/>
        </w:rPr>
      </w:pPr>
      <w:r>
        <w:rPr>
          <w:sz w:val="20"/>
        </w:rPr>
        <w:t>Si</w:t>
      </w:r>
      <w:r>
        <w:rPr>
          <w:spacing w:val="-7"/>
          <w:sz w:val="20"/>
        </w:rPr>
        <w:t> </w:t>
      </w:r>
      <w:r>
        <w:rPr>
          <w:sz w:val="20"/>
        </w:rPr>
        <w:t>se</w:t>
      </w:r>
      <w:r>
        <w:rPr>
          <w:spacing w:val="-6"/>
          <w:sz w:val="20"/>
        </w:rPr>
        <w:t> </w:t>
      </w:r>
      <w:r>
        <w:rPr>
          <w:sz w:val="20"/>
        </w:rPr>
        <w:t>celebra</w:t>
      </w:r>
      <w:r>
        <w:rPr>
          <w:spacing w:val="-6"/>
          <w:sz w:val="20"/>
        </w:rPr>
        <w:t> </w:t>
      </w:r>
      <w:r>
        <w:rPr>
          <w:sz w:val="20"/>
        </w:rPr>
        <w:t>por</w:t>
      </w:r>
      <w:r>
        <w:rPr>
          <w:spacing w:val="-6"/>
          <w:sz w:val="20"/>
        </w:rPr>
        <w:t> </w:t>
      </w:r>
      <w:r>
        <w:rPr>
          <w:sz w:val="20"/>
        </w:rPr>
        <w:t>tiempo</w:t>
      </w:r>
      <w:r>
        <w:rPr>
          <w:spacing w:val="-7"/>
          <w:sz w:val="20"/>
        </w:rPr>
        <w:t> </w:t>
      </w:r>
      <w:r>
        <w:rPr>
          <w:sz w:val="20"/>
        </w:rPr>
        <w:t>determinado,</w:t>
      </w:r>
      <w:r>
        <w:rPr>
          <w:spacing w:val="-6"/>
          <w:sz w:val="20"/>
        </w:rPr>
        <w:t> </w:t>
      </w:r>
      <w:r>
        <w:rPr>
          <w:sz w:val="20"/>
        </w:rPr>
        <w:t>por</w:t>
      </w:r>
      <w:r>
        <w:rPr>
          <w:spacing w:val="-6"/>
          <w:sz w:val="20"/>
        </w:rPr>
        <w:t> </w:t>
      </w:r>
      <w:r>
        <w:rPr>
          <w:sz w:val="20"/>
        </w:rPr>
        <w:t>tiempo</w:t>
      </w:r>
      <w:r>
        <w:rPr>
          <w:spacing w:val="-7"/>
          <w:sz w:val="20"/>
        </w:rPr>
        <w:t> </w:t>
      </w:r>
      <w:r>
        <w:rPr>
          <w:sz w:val="20"/>
        </w:rPr>
        <w:t>indeterminado</w:t>
      </w:r>
      <w:r>
        <w:rPr>
          <w:spacing w:val="-6"/>
          <w:sz w:val="20"/>
        </w:rPr>
        <w:t> </w:t>
      </w:r>
      <w:r>
        <w:rPr>
          <w:sz w:val="20"/>
        </w:rPr>
        <w:t>o</w:t>
      </w:r>
      <w:r>
        <w:rPr>
          <w:spacing w:val="-7"/>
          <w:sz w:val="20"/>
        </w:rPr>
        <w:t> </w:t>
      </w:r>
      <w:r>
        <w:rPr>
          <w:sz w:val="20"/>
        </w:rPr>
        <w:t>por</w:t>
      </w:r>
      <w:r>
        <w:rPr>
          <w:spacing w:val="-6"/>
          <w:sz w:val="20"/>
        </w:rPr>
        <w:t> </w:t>
      </w:r>
      <w:r>
        <w:rPr>
          <w:sz w:val="20"/>
        </w:rPr>
        <w:t>viaje</w:t>
      </w:r>
      <w:r>
        <w:rPr>
          <w:spacing w:val="-4"/>
          <w:sz w:val="20"/>
        </w:rPr>
        <w:t> </w:t>
      </w:r>
      <w:r>
        <w:rPr>
          <w:sz w:val="20"/>
        </w:rPr>
        <w:t>o</w:t>
      </w:r>
      <w:r>
        <w:rPr>
          <w:spacing w:val="-6"/>
          <w:sz w:val="20"/>
        </w:rPr>
        <w:t> </w:t>
      </w:r>
      <w:r>
        <w:rPr>
          <w:spacing w:val="-2"/>
          <w:sz w:val="20"/>
        </w:rPr>
        <w:t>viajes;</w:t>
      </w:r>
    </w:p>
    <w:p>
      <w:pPr>
        <w:pStyle w:val="BodyText"/>
        <w:spacing w:before="1"/>
      </w:pPr>
    </w:p>
    <w:p>
      <w:pPr>
        <w:pStyle w:val="ListParagraph"/>
        <w:numPr>
          <w:ilvl w:val="0"/>
          <w:numId w:val="48"/>
        </w:numPr>
        <w:tabs>
          <w:tab w:pos="1195" w:val="left" w:leader="none"/>
        </w:tabs>
        <w:spacing w:line="240" w:lineRule="auto" w:before="0" w:after="0"/>
        <w:ind w:left="1195" w:right="0" w:hanging="569"/>
        <w:jc w:val="left"/>
        <w:rPr>
          <w:sz w:val="20"/>
        </w:rPr>
      </w:pPr>
      <w:r>
        <w:rPr>
          <w:sz w:val="20"/>
        </w:rPr>
        <w:t>El</w:t>
      </w:r>
      <w:r>
        <w:rPr>
          <w:spacing w:val="-8"/>
          <w:sz w:val="20"/>
        </w:rPr>
        <w:t> </w:t>
      </w:r>
      <w:r>
        <w:rPr>
          <w:sz w:val="20"/>
        </w:rPr>
        <w:t>servicio</w:t>
      </w:r>
      <w:r>
        <w:rPr>
          <w:spacing w:val="-7"/>
          <w:sz w:val="20"/>
        </w:rPr>
        <w:t> </w:t>
      </w:r>
      <w:r>
        <w:rPr>
          <w:sz w:val="20"/>
        </w:rPr>
        <w:t>que</w:t>
      </w:r>
      <w:r>
        <w:rPr>
          <w:spacing w:val="-8"/>
          <w:sz w:val="20"/>
        </w:rPr>
        <w:t> </w:t>
      </w:r>
      <w:r>
        <w:rPr>
          <w:sz w:val="20"/>
        </w:rPr>
        <w:t>deba</w:t>
      </w:r>
      <w:r>
        <w:rPr>
          <w:spacing w:val="-7"/>
          <w:sz w:val="20"/>
        </w:rPr>
        <w:t> </w:t>
      </w:r>
      <w:r>
        <w:rPr>
          <w:sz w:val="20"/>
        </w:rPr>
        <w:t>prestarse,</w:t>
      </w:r>
      <w:r>
        <w:rPr>
          <w:spacing w:val="-7"/>
          <w:sz w:val="20"/>
        </w:rPr>
        <w:t> </w:t>
      </w:r>
      <w:r>
        <w:rPr>
          <w:sz w:val="20"/>
        </w:rPr>
        <w:t>especificándolo</w:t>
      </w:r>
      <w:r>
        <w:rPr>
          <w:spacing w:val="-7"/>
          <w:sz w:val="20"/>
        </w:rPr>
        <w:t> </w:t>
      </w:r>
      <w:r>
        <w:rPr>
          <w:sz w:val="20"/>
        </w:rPr>
        <w:t>con</w:t>
      </w:r>
      <w:r>
        <w:rPr>
          <w:spacing w:val="-7"/>
          <w:sz w:val="20"/>
        </w:rPr>
        <w:t> </w:t>
      </w:r>
      <w:r>
        <w:rPr>
          <w:sz w:val="20"/>
        </w:rPr>
        <w:t>la</w:t>
      </w:r>
      <w:r>
        <w:rPr>
          <w:spacing w:val="-5"/>
          <w:sz w:val="20"/>
        </w:rPr>
        <w:t> </w:t>
      </w:r>
      <w:r>
        <w:rPr>
          <w:sz w:val="20"/>
        </w:rPr>
        <w:t>mayor</w:t>
      </w:r>
      <w:r>
        <w:rPr>
          <w:spacing w:val="-7"/>
          <w:sz w:val="20"/>
        </w:rPr>
        <w:t> </w:t>
      </w:r>
      <w:r>
        <w:rPr>
          <w:spacing w:val="-2"/>
          <w:sz w:val="20"/>
        </w:rPr>
        <w:t>precisión;</w:t>
      </w:r>
    </w:p>
    <w:p>
      <w:pPr>
        <w:pStyle w:val="ListParagraph"/>
        <w:numPr>
          <w:ilvl w:val="0"/>
          <w:numId w:val="48"/>
        </w:numPr>
        <w:tabs>
          <w:tab w:pos="1195" w:val="left" w:leader="none"/>
        </w:tabs>
        <w:spacing w:line="240" w:lineRule="auto" w:before="228" w:after="0"/>
        <w:ind w:left="1195" w:right="0" w:hanging="569"/>
        <w:jc w:val="left"/>
        <w:rPr>
          <w:sz w:val="20"/>
        </w:rPr>
      </w:pPr>
      <w:r>
        <w:rPr>
          <w:sz w:val="20"/>
        </w:rPr>
        <w:t>La</w:t>
      </w:r>
      <w:r>
        <w:rPr>
          <w:spacing w:val="-8"/>
          <w:sz w:val="20"/>
        </w:rPr>
        <w:t> </w:t>
      </w:r>
      <w:r>
        <w:rPr>
          <w:sz w:val="20"/>
        </w:rPr>
        <w:t>distribución</w:t>
      </w:r>
      <w:r>
        <w:rPr>
          <w:spacing w:val="-4"/>
          <w:sz w:val="20"/>
        </w:rPr>
        <w:t> </w:t>
      </w:r>
      <w:r>
        <w:rPr>
          <w:sz w:val="20"/>
        </w:rPr>
        <w:t>de</w:t>
      </w:r>
      <w:r>
        <w:rPr>
          <w:spacing w:val="-6"/>
          <w:sz w:val="20"/>
        </w:rPr>
        <w:t> </w:t>
      </w:r>
      <w:r>
        <w:rPr>
          <w:sz w:val="20"/>
        </w:rPr>
        <w:t>las</w:t>
      </w:r>
      <w:r>
        <w:rPr>
          <w:spacing w:val="-5"/>
          <w:sz w:val="20"/>
        </w:rPr>
        <w:t> </w:t>
      </w:r>
      <w:r>
        <w:rPr>
          <w:sz w:val="20"/>
        </w:rPr>
        <w:t>horas</w:t>
      </w:r>
      <w:r>
        <w:rPr>
          <w:spacing w:val="-3"/>
          <w:sz w:val="20"/>
        </w:rPr>
        <w:t> </w:t>
      </w:r>
      <w:r>
        <w:rPr>
          <w:sz w:val="20"/>
        </w:rPr>
        <w:t>de</w:t>
      </w:r>
      <w:r>
        <w:rPr>
          <w:spacing w:val="-7"/>
          <w:sz w:val="20"/>
        </w:rPr>
        <w:t> </w:t>
      </w:r>
      <w:r>
        <w:rPr>
          <w:spacing w:val="-2"/>
          <w:sz w:val="20"/>
        </w:rPr>
        <w:t>jornada;</w:t>
      </w:r>
    </w:p>
    <w:p>
      <w:pPr>
        <w:pStyle w:val="BodyText"/>
        <w:spacing w:before="1"/>
      </w:pPr>
    </w:p>
    <w:p>
      <w:pPr>
        <w:pStyle w:val="ListParagraph"/>
        <w:numPr>
          <w:ilvl w:val="0"/>
          <w:numId w:val="48"/>
        </w:numPr>
        <w:tabs>
          <w:tab w:pos="1195" w:val="left" w:leader="none"/>
        </w:tabs>
        <w:spacing w:line="240" w:lineRule="auto" w:before="0" w:after="0"/>
        <w:ind w:left="1195" w:right="0" w:hanging="569"/>
        <w:jc w:val="left"/>
        <w:rPr>
          <w:sz w:val="20"/>
        </w:rPr>
      </w:pPr>
      <w:r>
        <w:rPr>
          <w:sz w:val="20"/>
        </w:rPr>
        <w:t>El</w:t>
      </w:r>
      <w:r>
        <w:rPr>
          <w:spacing w:val="-5"/>
          <w:sz w:val="20"/>
        </w:rPr>
        <w:t> </w:t>
      </w:r>
      <w:r>
        <w:rPr>
          <w:sz w:val="20"/>
        </w:rPr>
        <w:t>monto</w:t>
      </w:r>
      <w:r>
        <w:rPr>
          <w:spacing w:val="-5"/>
          <w:sz w:val="20"/>
        </w:rPr>
        <w:t> </w:t>
      </w:r>
      <w:r>
        <w:rPr>
          <w:sz w:val="20"/>
        </w:rPr>
        <w:t>de</w:t>
      </w:r>
      <w:r>
        <w:rPr>
          <w:spacing w:val="-4"/>
          <w:sz w:val="20"/>
        </w:rPr>
        <w:t> </w:t>
      </w:r>
      <w:r>
        <w:rPr>
          <w:sz w:val="20"/>
        </w:rPr>
        <w:t>los</w:t>
      </w:r>
      <w:r>
        <w:rPr>
          <w:spacing w:val="-3"/>
          <w:sz w:val="20"/>
        </w:rPr>
        <w:t> </w:t>
      </w:r>
      <w:r>
        <w:rPr>
          <w:spacing w:val="-2"/>
          <w:sz w:val="20"/>
        </w:rPr>
        <w:t>salarios;</w:t>
      </w:r>
    </w:p>
    <w:p>
      <w:pPr>
        <w:pStyle w:val="BodyText"/>
        <w:spacing w:before="1"/>
      </w:pPr>
    </w:p>
    <w:p>
      <w:pPr>
        <w:pStyle w:val="ListParagraph"/>
        <w:numPr>
          <w:ilvl w:val="0"/>
          <w:numId w:val="48"/>
        </w:numPr>
        <w:tabs>
          <w:tab w:pos="1195" w:val="left" w:leader="none"/>
        </w:tabs>
        <w:spacing w:line="240" w:lineRule="auto" w:before="0" w:after="0"/>
        <w:ind w:left="1195" w:right="0" w:hanging="569"/>
        <w:jc w:val="left"/>
        <w:rPr>
          <w:sz w:val="20"/>
        </w:rPr>
      </w:pPr>
      <w:r>
        <w:rPr>
          <w:sz w:val="20"/>
        </w:rPr>
        <w:t>El</w:t>
      </w:r>
      <w:r>
        <w:rPr>
          <w:spacing w:val="-7"/>
          <w:sz w:val="20"/>
        </w:rPr>
        <w:t> </w:t>
      </w:r>
      <w:r>
        <w:rPr>
          <w:sz w:val="20"/>
        </w:rPr>
        <w:t>alojamiento</w:t>
      </w:r>
      <w:r>
        <w:rPr>
          <w:spacing w:val="-3"/>
          <w:sz w:val="20"/>
        </w:rPr>
        <w:t> </w:t>
      </w:r>
      <w:r>
        <w:rPr>
          <w:sz w:val="20"/>
        </w:rPr>
        <w:t>y</w:t>
      </w:r>
      <w:r>
        <w:rPr>
          <w:spacing w:val="-8"/>
          <w:sz w:val="20"/>
        </w:rPr>
        <w:t> </w:t>
      </w:r>
      <w:r>
        <w:rPr>
          <w:sz w:val="20"/>
        </w:rPr>
        <w:t>los</w:t>
      </w:r>
      <w:r>
        <w:rPr>
          <w:spacing w:val="-6"/>
          <w:sz w:val="20"/>
        </w:rPr>
        <w:t> </w:t>
      </w:r>
      <w:r>
        <w:rPr>
          <w:sz w:val="20"/>
        </w:rPr>
        <w:t>alimentos</w:t>
      </w:r>
      <w:r>
        <w:rPr>
          <w:spacing w:val="-6"/>
          <w:sz w:val="20"/>
        </w:rPr>
        <w:t> </w:t>
      </w:r>
      <w:r>
        <w:rPr>
          <w:sz w:val="20"/>
        </w:rPr>
        <w:t>que</w:t>
      </w:r>
      <w:r>
        <w:rPr>
          <w:spacing w:val="-7"/>
          <w:sz w:val="20"/>
        </w:rPr>
        <w:t> </w:t>
      </w:r>
      <w:r>
        <w:rPr>
          <w:sz w:val="20"/>
        </w:rPr>
        <w:t>se</w:t>
      </w:r>
      <w:r>
        <w:rPr>
          <w:spacing w:val="-6"/>
          <w:sz w:val="20"/>
        </w:rPr>
        <w:t> </w:t>
      </w:r>
      <w:r>
        <w:rPr>
          <w:sz w:val="20"/>
        </w:rPr>
        <w:t>suministrarán</w:t>
      </w:r>
      <w:r>
        <w:rPr>
          <w:spacing w:val="-7"/>
          <w:sz w:val="20"/>
        </w:rPr>
        <w:t> </w:t>
      </w:r>
      <w:r>
        <w:rPr>
          <w:sz w:val="20"/>
        </w:rPr>
        <w:t>al</w:t>
      </w:r>
      <w:r>
        <w:rPr>
          <w:spacing w:val="-8"/>
          <w:sz w:val="20"/>
        </w:rPr>
        <w:t> </w:t>
      </w:r>
      <w:r>
        <w:rPr>
          <w:spacing w:val="-2"/>
          <w:sz w:val="20"/>
        </w:rPr>
        <w:t>trabajador;</w:t>
      </w:r>
    </w:p>
    <w:p>
      <w:pPr>
        <w:pStyle w:val="ListParagraph"/>
        <w:numPr>
          <w:ilvl w:val="0"/>
          <w:numId w:val="48"/>
        </w:numPr>
        <w:tabs>
          <w:tab w:pos="1195" w:val="left" w:leader="none"/>
        </w:tabs>
        <w:spacing w:line="240" w:lineRule="auto" w:before="229" w:after="0"/>
        <w:ind w:left="1195" w:right="0" w:hanging="569"/>
        <w:jc w:val="left"/>
        <w:rPr>
          <w:sz w:val="20"/>
        </w:rPr>
      </w:pPr>
      <w:r>
        <w:rPr>
          <w:sz w:val="20"/>
        </w:rPr>
        <w:t>El</w:t>
      </w:r>
      <w:r>
        <w:rPr>
          <w:spacing w:val="-5"/>
          <w:sz w:val="20"/>
        </w:rPr>
        <w:t> </w:t>
      </w:r>
      <w:r>
        <w:rPr>
          <w:sz w:val="20"/>
        </w:rPr>
        <w:t>período</w:t>
      </w:r>
      <w:r>
        <w:rPr>
          <w:spacing w:val="-7"/>
          <w:sz w:val="20"/>
        </w:rPr>
        <w:t> </w:t>
      </w:r>
      <w:r>
        <w:rPr>
          <w:sz w:val="20"/>
        </w:rPr>
        <w:t>anual</w:t>
      </w:r>
      <w:r>
        <w:rPr>
          <w:spacing w:val="-6"/>
          <w:sz w:val="20"/>
        </w:rPr>
        <w:t> </w:t>
      </w:r>
      <w:r>
        <w:rPr>
          <w:sz w:val="20"/>
        </w:rPr>
        <w:t>de</w:t>
      </w:r>
      <w:r>
        <w:rPr>
          <w:spacing w:val="-4"/>
          <w:sz w:val="20"/>
        </w:rPr>
        <w:t> </w:t>
      </w:r>
      <w:r>
        <w:rPr>
          <w:spacing w:val="-2"/>
          <w:sz w:val="20"/>
        </w:rPr>
        <w:t>vacaciones;</w:t>
      </w:r>
    </w:p>
    <w:p>
      <w:pPr>
        <w:pStyle w:val="BodyText"/>
      </w:pPr>
    </w:p>
    <w:p>
      <w:pPr>
        <w:pStyle w:val="ListParagraph"/>
        <w:numPr>
          <w:ilvl w:val="0"/>
          <w:numId w:val="48"/>
        </w:numPr>
        <w:tabs>
          <w:tab w:pos="1195" w:val="left" w:leader="none"/>
        </w:tabs>
        <w:spacing w:line="240" w:lineRule="auto" w:before="0" w:after="0"/>
        <w:ind w:left="1195" w:right="0" w:hanging="569"/>
        <w:jc w:val="left"/>
        <w:rPr>
          <w:sz w:val="20"/>
        </w:rPr>
      </w:pPr>
      <w:r>
        <w:rPr>
          <w:sz w:val="20"/>
        </w:rPr>
        <w:t>Los</w:t>
      </w:r>
      <w:r>
        <w:rPr>
          <w:spacing w:val="-7"/>
          <w:sz w:val="20"/>
        </w:rPr>
        <w:t> </w:t>
      </w:r>
      <w:r>
        <w:rPr>
          <w:sz w:val="20"/>
        </w:rPr>
        <w:t>derechos</w:t>
      </w:r>
      <w:r>
        <w:rPr>
          <w:spacing w:val="-6"/>
          <w:sz w:val="20"/>
        </w:rPr>
        <w:t> </w:t>
      </w:r>
      <w:r>
        <w:rPr>
          <w:sz w:val="20"/>
        </w:rPr>
        <w:t>y</w:t>
      </w:r>
      <w:r>
        <w:rPr>
          <w:spacing w:val="-8"/>
          <w:sz w:val="20"/>
        </w:rPr>
        <w:t> </w:t>
      </w:r>
      <w:r>
        <w:rPr>
          <w:sz w:val="20"/>
        </w:rPr>
        <w:t>obligaciones</w:t>
      </w:r>
      <w:r>
        <w:rPr>
          <w:spacing w:val="-7"/>
          <w:sz w:val="20"/>
        </w:rPr>
        <w:t> </w:t>
      </w:r>
      <w:r>
        <w:rPr>
          <w:sz w:val="20"/>
        </w:rPr>
        <w:t>del</w:t>
      </w:r>
      <w:r>
        <w:rPr>
          <w:spacing w:val="-9"/>
          <w:sz w:val="20"/>
        </w:rPr>
        <w:t> </w:t>
      </w:r>
      <w:r>
        <w:rPr>
          <w:spacing w:val="-2"/>
          <w:sz w:val="20"/>
        </w:rPr>
        <w:t>trabajador;</w:t>
      </w:r>
    </w:p>
    <w:p>
      <w:pPr>
        <w:pStyle w:val="BodyText"/>
        <w:spacing w:before="1"/>
      </w:pPr>
    </w:p>
    <w:p>
      <w:pPr>
        <w:pStyle w:val="ListParagraph"/>
        <w:numPr>
          <w:ilvl w:val="0"/>
          <w:numId w:val="48"/>
        </w:numPr>
        <w:tabs>
          <w:tab w:pos="1195" w:val="left" w:leader="none"/>
        </w:tabs>
        <w:spacing w:line="240" w:lineRule="auto" w:before="1" w:after="0"/>
        <w:ind w:left="1195" w:right="0" w:hanging="569"/>
        <w:jc w:val="left"/>
        <w:rPr>
          <w:sz w:val="20"/>
        </w:rPr>
      </w:pPr>
      <w:r>
        <w:rPr>
          <w:sz w:val="20"/>
        </w:rPr>
        <w:t>El</w:t>
      </w:r>
      <w:r>
        <w:rPr>
          <w:spacing w:val="-7"/>
          <w:sz w:val="20"/>
        </w:rPr>
        <w:t> </w:t>
      </w:r>
      <w:r>
        <w:rPr>
          <w:sz w:val="20"/>
        </w:rPr>
        <w:t>porcentaje</w:t>
      </w:r>
      <w:r>
        <w:rPr>
          <w:spacing w:val="-7"/>
          <w:sz w:val="20"/>
        </w:rPr>
        <w:t> </w:t>
      </w:r>
      <w:r>
        <w:rPr>
          <w:sz w:val="20"/>
        </w:rPr>
        <w:t>que</w:t>
      </w:r>
      <w:r>
        <w:rPr>
          <w:spacing w:val="-7"/>
          <w:sz w:val="20"/>
        </w:rPr>
        <w:t> </w:t>
      </w:r>
      <w:r>
        <w:rPr>
          <w:sz w:val="20"/>
        </w:rPr>
        <w:t>percibirán</w:t>
      </w:r>
      <w:r>
        <w:rPr>
          <w:spacing w:val="-7"/>
          <w:sz w:val="20"/>
        </w:rPr>
        <w:t> </w:t>
      </w:r>
      <w:r>
        <w:rPr>
          <w:sz w:val="20"/>
        </w:rPr>
        <w:t>los</w:t>
      </w:r>
      <w:r>
        <w:rPr>
          <w:spacing w:val="-6"/>
          <w:sz w:val="20"/>
        </w:rPr>
        <w:t> </w:t>
      </w:r>
      <w:r>
        <w:rPr>
          <w:sz w:val="20"/>
        </w:rPr>
        <w:t>trabajadores</w:t>
      </w:r>
      <w:r>
        <w:rPr>
          <w:spacing w:val="-5"/>
          <w:sz w:val="20"/>
        </w:rPr>
        <w:t> </w:t>
      </w:r>
      <w:r>
        <w:rPr>
          <w:sz w:val="20"/>
        </w:rPr>
        <w:t>cuando</w:t>
      </w:r>
      <w:r>
        <w:rPr>
          <w:spacing w:val="-6"/>
          <w:sz w:val="20"/>
        </w:rPr>
        <w:t> </w:t>
      </w:r>
      <w:r>
        <w:rPr>
          <w:sz w:val="20"/>
        </w:rPr>
        <w:t>se</w:t>
      </w:r>
      <w:r>
        <w:rPr>
          <w:spacing w:val="-7"/>
          <w:sz w:val="20"/>
        </w:rPr>
        <w:t> </w:t>
      </w:r>
      <w:r>
        <w:rPr>
          <w:sz w:val="20"/>
        </w:rPr>
        <w:t>trate</w:t>
      </w:r>
      <w:r>
        <w:rPr>
          <w:spacing w:val="-8"/>
          <w:sz w:val="20"/>
        </w:rPr>
        <w:t> </w:t>
      </w:r>
      <w:r>
        <w:rPr>
          <w:sz w:val="20"/>
        </w:rPr>
        <w:t>de</w:t>
      </w:r>
      <w:r>
        <w:rPr>
          <w:spacing w:val="-7"/>
          <w:sz w:val="20"/>
        </w:rPr>
        <w:t> </w:t>
      </w:r>
      <w:r>
        <w:rPr>
          <w:sz w:val="20"/>
        </w:rPr>
        <w:t>dar</w:t>
      </w:r>
      <w:r>
        <w:rPr>
          <w:spacing w:val="-7"/>
          <w:sz w:val="20"/>
        </w:rPr>
        <w:t> </w:t>
      </w:r>
      <w:r>
        <w:rPr>
          <w:sz w:val="20"/>
        </w:rPr>
        <w:t>salvamento</w:t>
      </w:r>
      <w:r>
        <w:rPr>
          <w:spacing w:val="-5"/>
          <w:sz w:val="20"/>
        </w:rPr>
        <w:t> </w:t>
      </w:r>
      <w:r>
        <w:rPr>
          <w:sz w:val="20"/>
        </w:rPr>
        <w:t>a</w:t>
      </w:r>
      <w:r>
        <w:rPr>
          <w:spacing w:val="-7"/>
          <w:sz w:val="20"/>
        </w:rPr>
        <w:t> </w:t>
      </w:r>
      <w:r>
        <w:rPr>
          <w:sz w:val="20"/>
        </w:rPr>
        <w:t>otro</w:t>
      </w:r>
      <w:r>
        <w:rPr>
          <w:spacing w:val="-6"/>
          <w:sz w:val="20"/>
        </w:rPr>
        <w:t> </w:t>
      </w:r>
      <w:r>
        <w:rPr>
          <w:sz w:val="20"/>
        </w:rPr>
        <w:t>buque;</w:t>
      </w:r>
      <w:r>
        <w:rPr>
          <w:spacing w:val="-2"/>
          <w:sz w:val="20"/>
        </w:rPr>
        <w:t> </w:t>
      </w:r>
      <w:r>
        <w:rPr>
          <w:spacing w:val="-10"/>
          <w:sz w:val="20"/>
        </w:rPr>
        <w:t>y</w:t>
      </w:r>
    </w:p>
    <w:p>
      <w:pPr>
        <w:pStyle w:val="ListParagraph"/>
        <w:numPr>
          <w:ilvl w:val="0"/>
          <w:numId w:val="48"/>
        </w:numPr>
        <w:tabs>
          <w:tab w:pos="1195" w:val="left" w:leader="none"/>
        </w:tabs>
        <w:spacing w:line="240" w:lineRule="auto" w:before="228" w:after="0"/>
        <w:ind w:left="1195" w:right="0" w:hanging="569"/>
        <w:jc w:val="left"/>
        <w:rPr>
          <w:sz w:val="20"/>
        </w:rPr>
      </w:pPr>
      <w:r>
        <w:rPr>
          <w:sz w:val="20"/>
        </w:rPr>
        <w:t>Las</w:t>
      </w:r>
      <w:r>
        <w:rPr>
          <w:spacing w:val="-9"/>
          <w:sz w:val="20"/>
        </w:rPr>
        <w:t> </w:t>
      </w:r>
      <w:r>
        <w:rPr>
          <w:sz w:val="20"/>
        </w:rPr>
        <w:t>demás</w:t>
      </w:r>
      <w:r>
        <w:rPr>
          <w:spacing w:val="-8"/>
          <w:sz w:val="20"/>
        </w:rPr>
        <w:t> </w:t>
      </w:r>
      <w:r>
        <w:rPr>
          <w:sz w:val="20"/>
        </w:rPr>
        <w:t>estipulaciones</w:t>
      </w:r>
      <w:r>
        <w:rPr>
          <w:spacing w:val="-6"/>
          <w:sz w:val="20"/>
        </w:rPr>
        <w:t> </w:t>
      </w:r>
      <w:r>
        <w:rPr>
          <w:sz w:val="20"/>
        </w:rPr>
        <w:t>que</w:t>
      </w:r>
      <w:r>
        <w:rPr>
          <w:spacing w:val="-9"/>
          <w:sz w:val="20"/>
        </w:rPr>
        <w:t> </w:t>
      </w:r>
      <w:r>
        <w:rPr>
          <w:sz w:val="20"/>
        </w:rPr>
        <w:t>convengan</w:t>
      </w:r>
      <w:r>
        <w:rPr>
          <w:spacing w:val="-8"/>
          <w:sz w:val="20"/>
        </w:rPr>
        <w:t> </w:t>
      </w:r>
      <w:r>
        <w:rPr>
          <w:sz w:val="20"/>
        </w:rPr>
        <w:t>las</w:t>
      </w:r>
      <w:r>
        <w:rPr>
          <w:spacing w:val="-8"/>
          <w:sz w:val="20"/>
        </w:rPr>
        <w:t> </w:t>
      </w:r>
      <w:r>
        <w:rPr>
          <w:spacing w:val="-2"/>
          <w:sz w:val="20"/>
        </w:rPr>
        <w:t>partes.</w:t>
      </w:r>
    </w:p>
    <w:p>
      <w:pPr>
        <w:pStyle w:val="BodyText"/>
        <w:spacing w:before="1"/>
      </w:pPr>
    </w:p>
    <w:p>
      <w:pPr>
        <w:pStyle w:val="BodyText"/>
        <w:spacing w:line="242" w:lineRule="auto"/>
        <w:ind w:left="338" w:right="340" w:firstLine="288"/>
        <w:jc w:val="both"/>
      </w:pPr>
      <w:bookmarkStart w:name="Artículo_196" w:id="242"/>
      <w:bookmarkEnd w:id="242"/>
      <w:r>
        <w:rPr/>
      </w:r>
      <w:r>
        <w:rPr>
          <w:rFonts w:ascii="Arial" w:hAnsi="Arial"/>
          <w:b/>
        </w:rPr>
        <w:t>Artículo</w:t>
      </w:r>
      <w:r>
        <w:rPr>
          <w:rFonts w:ascii="Arial" w:hAnsi="Arial"/>
          <w:b/>
          <w:spacing w:val="-1"/>
        </w:rPr>
        <w:t> </w:t>
      </w:r>
      <w:r>
        <w:rPr>
          <w:rFonts w:ascii="Arial" w:hAnsi="Arial"/>
          <w:b/>
        </w:rPr>
        <w:t>196.-</w:t>
      </w:r>
      <w:r>
        <w:rPr>
          <w:rFonts w:ascii="Arial" w:hAnsi="Arial"/>
          <w:b/>
          <w:spacing w:val="-1"/>
        </w:rPr>
        <w:t> </w:t>
      </w:r>
      <w:r>
        <w:rPr/>
        <w:t>La</w:t>
      </w:r>
      <w:r>
        <w:rPr>
          <w:spacing w:val="-2"/>
        </w:rPr>
        <w:t> </w:t>
      </w:r>
      <w:r>
        <w:rPr/>
        <w:t>relación de</w:t>
      </w:r>
      <w:r>
        <w:rPr>
          <w:spacing w:val="-3"/>
        </w:rPr>
        <w:t> </w:t>
      </w:r>
      <w:r>
        <w:rPr/>
        <w:t>trabajo</w:t>
      </w:r>
      <w:r>
        <w:rPr>
          <w:spacing w:val="-2"/>
        </w:rPr>
        <w:t> </w:t>
      </w:r>
      <w:r>
        <w:rPr/>
        <w:t>por viaje</w:t>
      </w:r>
      <w:r>
        <w:rPr>
          <w:spacing w:val="-2"/>
        </w:rPr>
        <w:t> </w:t>
      </w:r>
      <w:r>
        <w:rPr/>
        <w:t>comprenderá el</w:t>
      </w:r>
      <w:r>
        <w:rPr>
          <w:spacing w:val="-3"/>
        </w:rPr>
        <w:t> </w:t>
      </w:r>
      <w:r>
        <w:rPr/>
        <w:t>término</w:t>
      </w:r>
      <w:r>
        <w:rPr>
          <w:spacing w:val="-3"/>
        </w:rPr>
        <w:t> </w:t>
      </w:r>
      <w:r>
        <w:rPr/>
        <w:t>contado</w:t>
      </w:r>
      <w:r>
        <w:rPr>
          <w:spacing w:val="-2"/>
        </w:rPr>
        <w:t> </w:t>
      </w:r>
      <w:r>
        <w:rPr/>
        <w:t>desde</w:t>
      </w:r>
      <w:r>
        <w:rPr>
          <w:spacing w:val="-3"/>
        </w:rPr>
        <w:t> </w:t>
      </w:r>
      <w:r>
        <w:rPr/>
        <w:t>el</w:t>
      </w:r>
      <w:r>
        <w:rPr>
          <w:spacing w:val="-3"/>
        </w:rPr>
        <w:t> </w:t>
      </w:r>
      <w:r>
        <w:rPr/>
        <w:t>embarque</w:t>
      </w:r>
      <w:r>
        <w:rPr>
          <w:spacing w:val="-2"/>
        </w:rPr>
        <w:t> </w:t>
      </w:r>
      <w:r>
        <w:rPr/>
        <w:t>del trabajador hasta concluir la descarga del buque o el desembarque de pasajeros en el puerto que se </w:t>
      </w:r>
      <w:r>
        <w:rPr>
          <w:spacing w:val="-2"/>
        </w:rPr>
        <w:t>convenga.</w:t>
      </w:r>
    </w:p>
    <w:p>
      <w:pPr>
        <w:pStyle w:val="BodyText"/>
        <w:spacing w:before="225"/>
        <w:ind w:left="338" w:right="345" w:firstLine="288"/>
        <w:jc w:val="both"/>
      </w:pPr>
      <w:r>
        <w:rPr/>
        <w:t>Si es por tiempo determinado o indeterminado se fijará el puerto al que deba ser restituido el trabajador, y a falta de ello, se tendrá por señalado el del lugar donde se le tomó.</w:t>
      </w:r>
    </w:p>
    <w:p>
      <w:pPr>
        <w:pStyle w:val="BodyText"/>
        <w:spacing w:line="242" w:lineRule="auto" w:before="229"/>
        <w:ind w:left="338" w:right="342" w:firstLine="288"/>
        <w:jc w:val="both"/>
      </w:pPr>
      <w:bookmarkStart w:name="Artículo_197" w:id="243"/>
      <w:bookmarkEnd w:id="243"/>
      <w:r>
        <w:rPr/>
      </w:r>
      <w:r>
        <w:rPr>
          <w:rFonts w:ascii="Arial" w:hAnsi="Arial"/>
          <w:b/>
        </w:rPr>
        <w:t>Artículo 197.- </w:t>
      </w:r>
      <w:r>
        <w:rPr/>
        <w:t>Para la prestación de servicios de trabajadores mexicanos en buques extranjeros se observará lo dispuesto en el artículo 28.</w:t>
      </w:r>
    </w:p>
    <w:p>
      <w:pPr>
        <w:pStyle w:val="BodyText"/>
        <w:spacing w:line="242" w:lineRule="auto" w:before="224"/>
        <w:ind w:left="338" w:right="345" w:firstLine="288"/>
        <w:jc w:val="both"/>
      </w:pPr>
      <w:bookmarkStart w:name="Artículo_198" w:id="244"/>
      <w:bookmarkEnd w:id="244"/>
      <w:r>
        <w:rPr/>
      </w:r>
      <w:r>
        <w:rPr>
          <w:rFonts w:ascii="Arial" w:hAnsi="Arial"/>
          <w:b/>
        </w:rPr>
        <w:t>Artículo 198.- </w:t>
      </w:r>
      <w:r>
        <w:rPr/>
        <w:t>Cuando el buque se encuentre en el mar y la naturaleza del trabajo no permita el descanso semanal, se aplicará lo dispuesto en el artículo 73.</w:t>
      </w:r>
    </w:p>
    <w:p>
      <w:pPr>
        <w:pStyle w:val="BodyText"/>
        <w:spacing w:before="227"/>
        <w:ind w:left="338" w:right="342" w:firstLine="288"/>
        <w:jc w:val="both"/>
      </w:pPr>
      <w:bookmarkStart w:name="Artículo_199" w:id="245"/>
      <w:bookmarkEnd w:id="245"/>
      <w:r>
        <w:rPr/>
      </w:r>
      <w:r>
        <w:rPr>
          <w:rFonts w:ascii="Arial" w:hAnsi="Arial"/>
          <w:b/>
        </w:rPr>
        <w:t>Artículo 199.- </w:t>
      </w:r>
      <w:r>
        <w:rPr/>
        <w:t>Los trabajadores tienen derecho a un período mínimo de doce días laborables de vacaciones anuales pagadas, que se aumentará en dos días laborables, hasta llegar a veinticuatro, por cada año subsecuente de servicios. Con posterioridad se aumentará el período de vacaciones en dos días por cada cinco años de servicios.</w:t>
      </w:r>
    </w:p>
    <w:p>
      <w:pPr>
        <w:pStyle w:val="BodyText"/>
        <w:spacing w:before="2"/>
      </w:pPr>
    </w:p>
    <w:p>
      <w:pPr>
        <w:pStyle w:val="BodyText"/>
        <w:ind w:left="338" w:right="340" w:firstLine="288"/>
        <w:jc w:val="both"/>
      </w:pPr>
      <w:r>
        <w:rPr/>
        <w:t>Las vacaciones deberán disfrutarse en tierra, pudiendo fraccionarse cuando lo exija la continuidad del </w:t>
      </w:r>
      <w:r>
        <w:rPr>
          <w:spacing w:val="-2"/>
        </w:rPr>
        <w:t>trabajo.</w:t>
      </w:r>
    </w:p>
    <w:p>
      <w:pPr>
        <w:pStyle w:val="BodyText"/>
        <w:spacing w:after="0"/>
        <w:jc w:val="both"/>
        <w:sectPr>
          <w:pgSz w:w="12240" w:h="15840"/>
          <w:pgMar w:header="724" w:footer="712" w:top="1880" w:bottom="900" w:left="1080" w:right="1080"/>
        </w:sectPr>
      </w:pPr>
    </w:p>
    <w:p>
      <w:pPr>
        <w:pStyle w:val="BodyText"/>
        <w:spacing w:before="63"/>
      </w:pPr>
    </w:p>
    <w:p>
      <w:pPr>
        <w:pStyle w:val="BodyText"/>
        <w:spacing w:line="242" w:lineRule="auto"/>
        <w:ind w:left="338" w:right="347" w:firstLine="288"/>
        <w:jc w:val="both"/>
      </w:pPr>
      <w:bookmarkStart w:name="Artículo_200" w:id="246"/>
      <w:bookmarkEnd w:id="246"/>
      <w:r>
        <w:rPr/>
      </w:r>
      <w:r>
        <w:rPr>
          <w:rFonts w:ascii="Arial" w:hAnsi="Arial"/>
          <w:b/>
        </w:rPr>
        <w:t>Artículo 200.- </w:t>
      </w:r>
      <w:r>
        <w:rPr/>
        <w:t>No es violatoria del principio de igualdad de salario la disposición que estipule salarios distintos para trabajo igual, si se presta en buques de diversas categorías.</w:t>
      </w:r>
    </w:p>
    <w:p>
      <w:pPr>
        <w:pStyle w:val="BodyText"/>
        <w:spacing w:line="242" w:lineRule="auto" w:before="227"/>
        <w:ind w:left="338" w:right="343" w:firstLine="288"/>
        <w:jc w:val="both"/>
      </w:pPr>
      <w:bookmarkStart w:name="Artículo_201" w:id="247"/>
      <w:bookmarkEnd w:id="247"/>
      <w:r>
        <w:rPr/>
      </w:r>
      <w:r>
        <w:rPr>
          <w:rFonts w:ascii="Arial" w:hAnsi="Arial"/>
          <w:b/>
        </w:rPr>
        <w:t>Artículo 201.- </w:t>
      </w:r>
      <w:r>
        <w:rPr/>
        <w:t>A elección de los trabajadores, los salarios podrán pagarse en el equivalente en moneda extranjera, al tipo oficial de cambio que rija en la fecha en que se cobren, cuando el buque se encuentre en puerto extranjero.</w:t>
      </w:r>
    </w:p>
    <w:p>
      <w:pPr>
        <w:pStyle w:val="BodyText"/>
        <w:spacing w:line="242" w:lineRule="auto" w:before="222"/>
        <w:ind w:left="338" w:right="344" w:firstLine="288"/>
        <w:jc w:val="both"/>
      </w:pPr>
      <w:bookmarkStart w:name="Artículo_202" w:id="248"/>
      <w:bookmarkEnd w:id="248"/>
      <w:r>
        <w:rPr/>
      </w:r>
      <w:r>
        <w:rPr>
          <w:rFonts w:ascii="Arial" w:hAnsi="Arial"/>
          <w:b/>
        </w:rPr>
        <w:t>Artículo 202.- </w:t>
      </w:r>
      <w:r>
        <w:rPr/>
        <w:t>Los trabajadores por viaje tienen derecho a un aumento proporcional de salarios en caso de prolongación o retardo del mismo.</w:t>
      </w:r>
    </w:p>
    <w:p>
      <w:pPr>
        <w:pStyle w:val="BodyText"/>
        <w:spacing w:before="229"/>
        <w:ind w:left="626"/>
      </w:pPr>
      <w:r>
        <w:rPr/>
        <w:t>Los</w:t>
      </w:r>
      <w:r>
        <w:rPr>
          <w:spacing w:val="-6"/>
        </w:rPr>
        <w:t> </w:t>
      </w:r>
      <w:r>
        <w:rPr/>
        <w:t>salarios</w:t>
      </w:r>
      <w:r>
        <w:rPr>
          <w:spacing w:val="-6"/>
        </w:rPr>
        <w:t> </w:t>
      </w:r>
      <w:r>
        <w:rPr/>
        <w:t>no</w:t>
      </w:r>
      <w:r>
        <w:rPr>
          <w:spacing w:val="-6"/>
        </w:rPr>
        <w:t> </w:t>
      </w:r>
      <w:r>
        <w:rPr/>
        <w:t>podrán</w:t>
      </w:r>
      <w:r>
        <w:rPr>
          <w:spacing w:val="-7"/>
        </w:rPr>
        <w:t> </w:t>
      </w:r>
      <w:r>
        <w:rPr/>
        <w:t>reducirse</w:t>
      </w:r>
      <w:r>
        <w:rPr>
          <w:spacing w:val="-6"/>
        </w:rPr>
        <w:t> </w:t>
      </w:r>
      <w:r>
        <w:rPr/>
        <w:t>si</w:t>
      </w:r>
      <w:r>
        <w:rPr>
          <w:spacing w:val="-8"/>
        </w:rPr>
        <w:t> </w:t>
      </w:r>
      <w:r>
        <w:rPr/>
        <w:t>se</w:t>
      </w:r>
      <w:r>
        <w:rPr>
          <w:spacing w:val="-6"/>
        </w:rPr>
        <w:t> </w:t>
      </w:r>
      <w:r>
        <w:rPr/>
        <w:t>abrevia</w:t>
      </w:r>
      <w:r>
        <w:rPr>
          <w:spacing w:val="-5"/>
        </w:rPr>
        <w:t> </w:t>
      </w:r>
      <w:r>
        <w:rPr/>
        <w:t>el</w:t>
      </w:r>
      <w:r>
        <w:rPr>
          <w:spacing w:val="-6"/>
        </w:rPr>
        <w:t> </w:t>
      </w:r>
      <w:r>
        <w:rPr/>
        <w:t>viaje,</w:t>
      </w:r>
      <w:r>
        <w:rPr>
          <w:spacing w:val="-5"/>
        </w:rPr>
        <w:t> </w:t>
      </w:r>
      <w:r>
        <w:rPr/>
        <w:t>cualquiera</w:t>
      </w:r>
      <w:r>
        <w:rPr>
          <w:spacing w:val="-6"/>
        </w:rPr>
        <w:t> </w:t>
      </w:r>
      <w:r>
        <w:rPr/>
        <w:t>que</w:t>
      </w:r>
      <w:r>
        <w:rPr>
          <w:spacing w:val="-7"/>
        </w:rPr>
        <w:t> </w:t>
      </w:r>
      <w:r>
        <w:rPr/>
        <w:t>sea</w:t>
      </w:r>
      <w:r>
        <w:rPr>
          <w:spacing w:val="-5"/>
        </w:rPr>
        <w:t> </w:t>
      </w:r>
      <w:r>
        <w:rPr/>
        <w:t>la</w:t>
      </w:r>
      <w:r>
        <w:rPr>
          <w:spacing w:val="-5"/>
        </w:rPr>
        <w:t> </w:t>
      </w:r>
      <w:r>
        <w:rPr>
          <w:spacing w:val="-2"/>
        </w:rPr>
        <w:t>causa.</w:t>
      </w:r>
    </w:p>
    <w:p>
      <w:pPr>
        <w:pStyle w:val="BodyText"/>
        <w:spacing w:before="227"/>
        <w:ind w:left="338" w:right="336" w:firstLine="288"/>
        <w:jc w:val="both"/>
      </w:pPr>
      <w:bookmarkStart w:name="Artículo_203" w:id="249"/>
      <w:bookmarkEnd w:id="249"/>
      <w:r>
        <w:rPr/>
      </w:r>
      <w:r>
        <w:rPr>
          <w:rFonts w:ascii="Arial" w:hAnsi="Arial"/>
          <w:b/>
        </w:rPr>
        <w:t>Artículo 203.- </w:t>
      </w:r>
      <w:r>
        <w:rPr/>
        <w:t>Los salarios y las indemnizaciones de los trabajadores disfrutan de la preferencia consignada en</w:t>
      </w:r>
      <w:r>
        <w:rPr>
          <w:spacing w:val="-1"/>
        </w:rPr>
        <w:t> </w:t>
      </w:r>
      <w:r>
        <w:rPr/>
        <w:t>el artículo 113,</w:t>
      </w:r>
      <w:r>
        <w:rPr>
          <w:spacing w:val="-1"/>
        </w:rPr>
        <w:t> </w:t>
      </w:r>
      <w:r>
        <w:rPr/>
        <w:t>sobre el buque,</w:t>
      </w:r>
      <w:r>
        <w:rPr>
          <w:spacing w:val="-1"/>
        </w:rPr>
        <w:t> </w:t>
      </w:r>
      <w:r>
        <w:rPr/>
        <w:t>sus máquinas, aparejos, pertrechos y</w:t>
      </w:r>
      <w:r>
        <w:rPr>
          <w:spacing w:val="-4"/>
        </w:rPr>
        <w:t> </w:t>
      </w:r>
      <w:r>
        <w:rPr/>
        <w:t>fletes. A este efecto, el propietario del buque es solidariamente responsable con el patrón por los salarios e indemnizaciones de los trabajadores. Cuando concurran créditos de trabajo procedentes de diferentes viajes, tendrán preferencia los del último.</w:t>
      </w:r>
    </w:p>
    <w:p>
      <w:pPr>
        <w:spacing w:before="230"/>
        <w:ind w:left="626" w:right="0" w:firstLine="0"/>
        <w:jc w:val="left"/>
        <w:rPr>
          <w:sz w:val="20"/>
        </w:rPr>
      </w:pPr>
      <w:bookmarkStart w:name="Artículo_204" w:id="250"/>
      <w:bookmarkEnd w:id="250"/>
      <w:r>
        <w:rPr/>
      </w:r>
      <w:r>
        <w:rPr>
          <w:rFonts w:ascii="Arial" w:hAnsi="Arial"/>
          <w:b/>
          <w:sz w:val="20"/>
        </w:rPr>
        <w:t>Artículo</w:t>
      </w:r>
      <w:r>
        <w:rPr>
          <w:rFonts w:ascii="Arial" w:hAnsi="Arial"/>
          <w:b/>
          <w:spacing w:val="-9"/>
          <w:sz w:val="20"/>
        </w:rPr>
        <w:t> </w:t>
      </w:r>
      <w:r>
        <w:rPr>
          <w:rFonts w:ascii="Arial" w:hAnsi="Arial"/>
          <w:b/>
          <w:sz w:val="20"/>
        </w:rPr>
        <w:t>204.-</w:t>
      </w:r>
      <w:r>
        <w:rPr>
          <w:rFonts w:ascii="Arial" w:hAnsi="Arial"/>
          <w:b/>
          <w:spacing w:val="-8"/>
          <w:sz w:val="20"/>
        </w:rPr>
        <w:t> </w:t>
      </w:r>
      <w:r>
        <w:rPr>
          <w:sz w:val="20"/>
        </w:rPr>
        <w:t>Los</w:t>
      </w:r>
      <w:r>
        <w:rPr>
          <w:spacing w:val="-8"/>
          <w:sz w:val="20"/>
        </w:rPr>
        <w:t> </w:t>
      </w:r>
      <w:r>
        <w:rPr>
          <w:sz w:val="20"/>
        </w:rPr>
        <w:t>patrones</w:t>
      </w:r>
      <w:r>
        <w:rPr>
          <w:spacing w:val="-9"/>
          <w:sz w:val="20"/>
        </w:rPr>
        <w:t> </w:t>
      </w:r>
      <w:r>
        <w:rPr>
          <w:sz w:val="20"/>
        </w:rPr>
        <w:t>tienen</w:t>
      </w:r>
      <w:r>
        <w:rPr>
          <w:spacing w:val="-8"/>
          <w:sz w:val="20"/>
        </w:rPr>
        <w:t> </w:t>
      </w:r>
      <w:r>
        <w:rPr>
          <w:sz w:val="20"/>
        </w:rPr>
        <w:t>las</w:t>
      </w:r>
      <w:r>
        <w:rPr>
          <w:spacing w:val="-8"/>
          <w:sz w:val="20"/>
        </w:rPr>
        <w:t> </w:t>
      </w:r>
      <w:r>
        <w:rPr>
          <w:sz w:val="20"/>
        </w:rPr>
        <w:t>obligaciones</w:t>
      </w:r>
      <w:r>
        <w:rPr>
          <w:spacing w:val="-7"/>
          <w:sz w:val="20"/>
        </w:rPr>
        <w:t> </w:t>
      </w:r>
      <w:r>
        <w:rPr>
          <w:sz w:val="20"/>
        </w:rPr>
        <w:t>especiales</w:t>
      </w:r>
      <w:r>
        <w:rPr>
          <w:spacing w:val="-8"/>
          <w:sz w:val="20"/>
        </w:rPr>
        <w:t> </w:t>
      </w:r>
      <w:r>
        <w:rPr>
          <w:spacing w:val="-2"/>
          <w:sz w:val="20"/>
        </w:rPr>
        <w:t>siguientes:</w:t>
      </w:r>
    </w:p>
    <w:p>
      <w:pPr>
        <w:pStyle w:val="BodyText"/>
      </w:pPr>
    </w:p>
    <w:p>
      <w:pPr>
        <w:pStyle w:val="ListParagraph"/>
        <w:numPr>
          <w:ilvl w:val="0"/>
          <w:numId w:val="49"/>
        </w:numPr>
        <w:tabs>
          <w:tab w:pos="1195" w:val="left" w:leader="none"/>
        </w:tabs>
        <w:spacing w:line="240" w:lineRule="auto" w:before="1" w:after="0"/>
        <w:ind w:left="1195" w:right="0" w:hanging="569"/>
        <w:jc w:val="left"/>
        <w:rPr>
          <w:sz w:val="20"/>
        </w:rPr>
      </w:pPr>
      <w:r>
        <w:rPr>
          <w:sz w:val="20"/>
        </w:rPr>
        <w:t>Proporcionar</w:t>
      </w:r>
      <w:r>
        <w:rPr>
          <w:spacing w:val="-8"/>
          <w:sz w:val="20"/>
        </w:rPr>
        <w:t> </w:t>
      </w:r>
      <w:r>
        <w:rPr>
          <w:sz w:val="20"/>
        </w:rPr>
        <w:t>abordo</w:t>
      </w:r>
      <w:r>
        <w:rPr>
          <w:spacing w:val="-10"/>
          <w:sz w:val="20"/>
        </w:rPr>
        <w:t> </w:t>
      </w:r>
      <w:r>
        <w:rPr>
          <w:sz w:val="20"/>
        </w:rPr>
        <w:t>alojamientos</w:t>
      </w:r>
      <w:r>
        <w:rPr>
          <w:spacing w:val="-9"/>
          <w:sz w:val="20"/>
        </w:rPr>
        <w:t> </w:t>
      </w:r>
      <w:r>
        <w:rPr>
          <w:sz w:val="20"/>
        </w:rPr>
        <w:t>cómodos</w:t>
      </w:r>
      <w:r>
        <w:rPr>
          <w:spacing w:val="-9"/>
          <w:sz w:val="20"/>
        </w:rPr>
        <w:t> </w:t>
      </w:r>
      <w:r>
        <w:rPr>
          <w:sz w:val="20"/>
        </w:rPr>
        <w:t>e</w:t>
      </w:r>
      <w:r>
        <w:rPr>
          <w:spacing w:val="-11"/>
          <w:sz w:val="20"/>
        </w:rPr>
        <w:t> </w:t>
      </w:r>
      <w:r>
        <w:rPr>
          <w:spacing w:val="-2"/>
          <w:sz w:val="20"/>
        </w:rPr>
        <w:t>higiénicos;</w:t>
      </w:r>
    </w:p>
    <w:p>
      <w:pPr>
        <w:pStyle w:val="BodyText"/>
      </w:pPr>
    </w:p>
    <w:p>
      <w:pPr>
        <w:pStyle w:val="ListParagraph"/>
        <w:numPr>
          <w:ilvl w:val="0"/>
          <w:numId w:val="49"/>
        </w:numPr>
        <w:tabs>
          <w:tab w:pos="1192" w:val="left" w:leader="none"/>
          <w:tab w:pos="1195" w:val="left" w:leader="none"/>
        </w:tabs>
        <w:spacing w:line="240" w:lineRule="auto" w:before="0" w:after="0"/>
        <w:ind w:left="1195" w:right="347" w:hanging="569"/>
        <w:jc w:val="both"/>
        <w:rPr>
          <w:sz w:val="20"/>
        </w:rPr>
      </w:pPr>
      <w:r>
        <w:rPr>
          <w:sz w:val="20"/>
        </w:rPr>
        <w:t>Proporcionar alimentación sana, abundante y nutritiva a los trabajadores de buques dedicados al servicio de altura y cabotaje y de dragado;</w:t>
      </w:r>
    </w:p>
    <w:p>
      <w:pPr>
        <w:pStyle w:val="ListParagraph"/>
        <w:numPr>
          <w:ilvl w:val="0"/>
          <w:numId w:val="49"/>
        </w:numPr>
        <w:tabs>
          <w:tab w:pos="1191" w:val="left" w:leader="none"/>
          <w:tab w:pos="1195" w:val="left" w:leader="none"/>
        </w:tabs>
        <w:spacing w:line="242" w:lineRule="auto" w:before="229" w:after="0"/>
        <w:ind w:left="1195" w:right="342" w:hanging="569"/>
        <w:jc w:val="both"/>
        <w:rPr>
          <w:sz w:val="20"/>
        </w:rPr>
      </w:pPr>
      <w:r>
        <w:rPr>
          <w:sz w:val="20"/>
        </w:rPr>
        <w:t>Proporcionar alojamiento y alimentos cuando el buque sea llevado a puerto extranjero para reparaciones y sus condiciones no permitan la permanencia a bordo. Esta misma obligación subsistirá en puerto nacional cuando no sea el del lugar donde se tomó al trabajador. La habitación y los alimentos se proporcionarán sin costo para el trabajador;</w:t>
      </w:r>
    </w:p>
    <w:p>
      <w:pPr>
        <w:pStyle w:val="ListParagraph"/>
        <w:numPr>
          <w:ilvl w:val="0"/>
          <w:numId w:val="49"/>
        </w:numPr>
        <w:tabs>
          <w:tab w:pos="1195" w:val="left" w:leader="none"/>
        </w:tabs>
        <w:spacing w:line="242" w:lineRule="auto" w:before="221" w:after="0"/>
        <w:ind w:left="1195" w:right="343" w:hanging="569"/>
        <w:jc w:val="both"/>
        <w:rPr>
          <w:sz w:val="20"/>
        </w:rPr>
      </w:pPr>
      <w:r>
        <w:rPr>
          <w:sz w:val="20"/>
        </w:rPr>
        <w:t>Pagar los costos de la situación de fondos a los familiares de los trabajadores, cuando el buque se encuentre en el extranjero;</w:t>
      </w:r>
    </w:p>
    <w:p>
      <w:pPr>
        <w:pStyle w:val="ListParagraph"/>
        <w:numPr>
          <w:ilvl w:val="0"/>
          <w:numId w:val="49"/>
        </w:numPr>
        <w:tabs>
          <w:tab w:pos="1195" w:val="left" w:leader="none"/>
        </w:tabs>
        <w:spacing w:line="240" w:lineRule="auto" w:before="227" w:after="0"/>
        <w:ind w:left="1195" w:right="337" w:hanging="569"/>
        <w:jc w:val="both"/>
        <w:rPr>
          <w:sz w:val="20"/>
        </w:rPr>
      </w:pPr>
      <w:r>
        <w:rPr>
          <w:sz w:val="20"/>
        </w:rPr>
        <w:t>Conceder a los trabajadores el tiempo necesario para el ejercicio del voto en las elecciones populares y los procesos de revocación de mandato, siempre que la seguridad del buque lo permita y no se entorpezca su salida en la fecha y hora fijadas;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0"/>
          <w:numId w:val="49"/>
        </w:numPr>
        <w:tabs>
          <w:tab w:pos="1195" w:val="left" w:leader="none"/>
        </w:tabs>
        <w:spacing w:line="240" w:lineRule="auto" w:before="0" w:after="0"/>
        <w:ind w:left="1195" w:right="346" w:hanging="569"/>
        <w:jc w:val="left"/>
        <w:rPr>
          <w:sz w:val="20"/>
        </w:rPr>
      </w:pPr>
      <w:r>
        <w:rPr>
          <w:sz w:val="20"/>
        </w:rPr>
        <w:t>Permitir a los trabajadores que falten a sus labores para desempeñar comisiones del Estado o de su sindicato, en las mismas condiciones a que se refiere la fracción anterior;</w:t>
      </w:r>
    </w:p>
    <w:p>
      <w:pPr>
        <w:pStyle w:val="ListParagraph"/>
        <w:numPr>
          <w:ilvl w:val="0"/>
          <w:numId w:val="49"/>
        </w:numPr>
        <w:tabs>
          <w:tab w:pos="1195" w:val="left" w:leader="none"/>
        </w:tabs>
        <w:spacing w:line="242" w:lineRule="auto" w:before="229" w:after="0"/>
        <w:ind w:left="1195" w:right="344" w:hanging="569"/>
        <w:jc w:val="left"/>
        <w:rPr>
          <w:sz w:val="20"/>
        </w:rPr>
      </w:pPr>
      <w:r>
        <w:rPr>
          <w:sz w:val="20"/>
        </w:rPr>
        <w:t>Proporcionar la alimentación y alojamiento, tratamiento médico y</w:t>
      </w:r>
      <w:r>
        <w:rPr>
          <w:spacing w:val="-1"/>
          <w:sz w:val="20"/>
        </w:rPr>
        <w:t> </w:t>
      </w:r>
      <w:r>
        <w:rPr>
          <w:sz w:val="20"/>
        </w:rPr>
        <w:t>medicamentos y otros medios terapéuticos, en los casos de enfermedades, cualquiera que sea su naturaleza;</w:t>
      </w:r>
    </w:p>
    <w:p>
      <w:pPr>
        <w:pStyle w:val="ListParagraph"/>
        <w:numPr>
          <w:ilvl w:val="0"/>
          <w:numId w:val="49"/>
        </w:numPr>
        <w:tabs>
          <w:tab w:pos="1195" w:val="left" w:leader="none"/>
        </w:tabs>
        <w:spacing w:line="240" w:lineRule="auto" w:before="227" w:after="0"/>
        <w:ind w:left="1195" w:right="345" w:hanging="569"/>
        <w:jc w:val="left"/>
        <w:rPr>
          <w:sz w:val="20"/>
        </w:rPr>
      </w:pPr>
      <w:r>
        <w:rPr>
          <w:sz w:val="20"/>
        </w:rPr>
        <w:t>Llevar</w:t>
      </w:r>
      <w:r>
        <w:rPr>
          <w:spacing w:val="30"/>
          <w:sz w:val="20"/>
        </w:rPr>
        <w:t> </w:t>
      </w:r>
      <w:r>
        <w:rPr>
          <w:sz w:val="20"/>
        </w:rPr>
        <w:t>a</w:t>
      </w:r>
      <w:r>
        <w:rPr>
          <w:spacing w:val="31"/>
          <w:sz w:val="20"/>
        </w:rPr>
        <w:t> </w:t>
      </w:r>
      <w:r>
        <w:rPr>
          <w:sz w:val="20"/>
        </w:rPr>
        <w:t>bordo</w:t>
      </w:r>
      <w:r>
        <w:rPr>
          <w:spacing w:val="29"/>
          <w:sz w:val="20"/>
        </w:rPr>
        <w:t> </w:t>
      </w:r>
      <w:r>
        <w:rPr>
          <w:sz w:val="20"/>
        </w:rPr>
        <w:t>el</w:t>
      </w:r>
      <w:r>
        <w:rPr>
          <w:spacing w:val="30"/>
          <w:sz w:val="20"/>
        </w:rPr>
        <w:t> </w:t>
      </w:r>
      <w:r>
        <w:rPr>
          <w:sz w:val="20"/>
        </w:rPr>
        <w:t>personal</w:t>
      </w:r>
      <w:r>
        <w:rPr>
          <w:spacing w:val="32"/>
          <w:sz w:val="20"/>
        </w:rPr>
        <w:t> </w:t>
      </w:r>
      <w:r>
        <w:rPr>
          <w:sz w:val="20"/>
        </w:rPr>
        <w:t>y</w:t>
      </w:r>
      <w:r>
        <w:rPr>
          <w:spacing w:val="25"/>
          <w:sz w:val="20"/>
        </w:rPr>
        <w:t> </w:t>
      </w:r>
      <w:r>
        <w:rPr>
          <w:sz w:val="20"/>
        </w:rPr>
        <w:t>material</w:t>
      </w:r>
      <w:r>
        <w:rPr>
          <w:spacing w:val="28"/>
          <w:sz w:val="20"/>
        </w:rPr>
        <w:t> </w:t>
      </w:r>
      <w:r>
        <w:rPr>
          <w:sz w:val="20"/>
        </w:rPr>
        <w:t>de</w:t>
      </w:r>
      <w:r>
        <w:rPr>
          <w:spacing w:val="29"/>
          <w:sz w:val="20"/>
        </w:rPr>
        <w:t> </w:t>
      </w:r>
      <w:r>
        <w:rPr>
          <w:sz w:val="20"/>
        </w:rPr>
        <w:t>curación</w:t>
      </w:r>
      <w:r>
        <w:rPr>
          <w:spacing w:val="29"/>
          <w:sz w:val="20"/>
        </w:rPr>
        <w:t> </w:t>
      </w:r>
      <w:r>
        <w:rPr>
          <w:sz w:val="20"/>
        </w:rPr>
        <w:t>que</w:t>
      </w:r>
      <w:r>
        <w:rPr>
          <w:spacing w:val="28"/>
          <w:sz w:val="20"/>
        </w:rPr>
        <w:t> </w:t>
      </w:r>
      <w:r>
        <w:rPr>
          <w:sz w:val="20"/>
        </w:rPr>
        <w:t>establezcan</w:t>
      </w:r>
      <w:r>
        <w:rPr>
          <w:spacing w:val="30"/>
          <w:sz w:val="20"/>
        </w:rPr>
        <w:t> </w:t>
      </w:r>
      <w:r>
        <w:rPr>
          <w:sz w:val="20"/>
        </w:rPr>
        <w:t>las</w:t>
      </w:r>
      <w:r>
        <w:rPr>
          <w:spacing w:val="32"/>
          <w:sz w:val="20"/>
        </w:rPr>
        <w:t> </w:t>
      </w:r>
      <w:r>
        <w:rPr>
          <w:sz w:val="20"/>
        </w:rPr>
        <w:t>leyes</w:t>
      </w:r>
      <w:r>
        <w:rPr>
          <w:spacing w:val="32"/>
          <w:sz w:val="20"/>
        </w:rPr>
        <w:t> </w:t>
      </w:r>
      <w:r>
        <w:rPr>
          <w:sz w:val="20"/>
        </w:rPr>
        <w:t>y</w:t>
      </w:r>
      <w:r>
        <w:rPr>
          <w:spacing w:val="28"/>
          <w:sz w:val="20"/>
        </w:rPr>
        <w:t> </w:t>
      </w:r>
      <w:r>
        <w:rPr>
          <w:sz w:val="20"/>
        </w:rPr>
        <w:t>disposiciones sobre comunicaciones por agua;</w:t>
      </w:r>
    </w:p>
    <w:p>
      <w:pPr>
        <w:pStyle w:val="ListParagraph"/>
        <w:numPr>
          <w:ilvl w:val="0"/>
          <w:numId w:val="49"/>
        </w:numPr>
        <w:tabs>
          <w:tab w:pos="1195" w:val="left" w:leader="none"/>
        </w:tabs>
        <w:spacing w:line="242" w:lineRule="auto" w:before="229" w:after="0"/>
        <w:ind w:left="1195" w:right="347" w:hanging="569"/>
        <w:jc w:val="left"/>
        <w:rPr>
          <w:sz w:val="20"/>
        </w:rPr>
      </w:pPr>
      <w:r>
        <w:rPr>
          <w:sz w:val="20"/>
        </w:rPr>
        <w:t>Repatriar o trasladar al lugar convenido a los trabajadores, salvo los casos de separación por</w:t>
      </w:r>
      <w:r>
        <w:rPr>
          <w:spacing w:val="40"/>
          <w:sz w:val="20"/>
        </w:rPr>
        <w:t> </w:t>
      </w:r>
      <w:r>
        <w:rPr>
          <w:sz w:val="20"/>
        </w:rPr>
        <w:t>causas no imputables al patrón; y</w:t>
      </w:r>
    </w:p>
    <w:p>
      <w:pPr>
        <w:pStyle w:val="ListParagraph"/>
        <w:numPr>
          <w:ilvl w:val="0"/>
          <w:numId w:val="49"/>
        </w:numPr>
        <w:tabs>
          <w:tab w:pos="1195" w:val="left" w:leader="none"/>
        </w:tabs>
        <w:spacing w:line="240" w:lineRule="auto" w:before="227" w:after="0"/>
        <w:ind w:left="1195" w:right="345" w:hanging="569"/>
        <w:jc w:val="left"/>
        <w:rPr>
          <w:sz w:val="20"/>
        </w:rPr>
      </w:pPr>
      <w:r>
        <w:rPr>
          <w:sz w:val="20"/>
        </w:rPr>
        <w:t>Informar a la Capitanía del Puerto correspondiente, dentro de las veinticuatro horas de haber</w:t>
      </w:r>
      <w:r>
        <w:rPr>
          <w:spacing w:val="80"/>
          <w:sz w:val="20"/>
        </w:rPr>
        <w:t> </w:t>
      </w:r>
      <w:r>
        <w:rPr>
          <w:sz w:val="20"/>
        </w:rPr>
        <w:t>sido declarado a libre plática, de los accidentes de trabajo ocurridos abordo. Si el buque llega a</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BodyText"/>
        <w:ind w:left="1195"/>
      </w:pPr>
      <w:r>
        <w:rPr/>
        <w:t>puerto</w:t>
      </w:r>
      <w:r>
        <w:rPr>
          <w:spacing w:val="37"/>
        </w:rPr>
        <w:t> </w:t>
      </w:r>
      <w:r>
        <w:rPr/>
        <w:t>extranjero,</w:t>
      </w:r>
      <w:r>
        <w:rPr>
          <w:spacing w:val="35"/>
        </w:rPr>
        <w:t> </w:t>
      </w:r>
      <w:r>
        <w:rPr/>
        <w:t>el</w:t>
      </w:r>
      <w:r>
        <w:rPr>
          <w:spacing w:val="36"/>
        </w:rPr>
        <w:t> </w:t>
      </w:r>
      <w:r>
        <w:rPr/>
        <w:t>informe</w:t>
      </w:r>
      <w:r>
        <w:rPr>
          <w:spacing w:val="34"/>
        </w:rPr>
        <w:t> </w:t>
      </w:r>
      <w:r>
        <w:rPr/>
        <w:t>se</w:t>
      </w:r>
      <w:r>
        <w:rPr>
          <w:spacing w:val="34"/>
        </w:rPr>
        <w:t> </w:t>
      </w:r>
      <w:r>
        <w:rPr/>
        <w:t>rendirá</w:t>
      </w:r>
      <w:r>
        <w:rPr>
          <w:spacing w:val="37"/>
        </w:rPr>
        <w:t> </w:t>
      </w:r>
      <w:r>
        <w:rPr/>
        <w:t>al</w:t>
      </w:r>
      <w:r>
        <w:rPr>
          <w:spacing w:val="34"/>
        </w:rPr>
        <w:t> </w:t>
      </w:r>
      <w:r>
        <w:rPr/>
        <w:t>Cónsul</w:t>
      </w:r>
      <w:r>
        <w:rPr>
          <w:spacing w:val="38"/>
        </w:rPr>
        <w:t> </w:t>
      </w:r>
      <w:r>
        <w:rPr/>
        <w:t>mexicano</w:t>
      </w:r>
      <w:r>
        <w:rPr>
          <w:spacing w:val="37"/>
        </w:rPr>
        <w:t> </w:t>
      </w:r>
      <w:r>
        <w:rPr/>
        <w:t>o</w:t>
      </w:r>
      <w:r>
        <w:rPr>
          <w:spacing w:val="40"/>
        </w:rPr>
        <w:t> </w:t>
      </w:r>
      <w:r>
        <w:rPr/>
        <w:t>en</w:t>
      </w:r>
      <w:r>
        <w:rPr>
          <w:spacing w:val="34"/>
        </w:rPr>
        <w:t> </w:t>
      </w:r>
      <w:r>
        <w:rPr/>
        <w:t>su</w:t>
      </w:r>
      <w:r>
        <w:rPr>
          <w:spacing w:val="37"/>
        </w:rPr>
        <w:t> </w:t>
      </w:r>
      <w:r>
        <w:rPr/>
        <w:t>defecto,</w:t>
      </w:r>
      <w:r>
        <w:rPr>
          <w:spacing w:val="35"/>
        </w:rPr>
        <w:t> </w:t>
      </w:r>
      <w:r>
        <w:rPr/>
        <w:t>al</w:t>
      </w:r>
      <w:r>
        <w:rPr>
          <w:spacing w:val="34"/>
        </w:rPr>
        <w:t> </w:t>
      </w:r>
      <w:r>
        <w:rPr/>
        <w:t>capitán</w:t>
      </w:r>
      <w:r>
        <w:rPr>
          <w:spacing w:val="37"/>
        </w:rPr>
        <w:t> </w:t>
      </w:r>
      <w:r>
        <w:rPr/>
        <w:t>del primer puerto nacional que toque.</w:t>
      </w:r>
    </w:p>
    <w:p>
      <w:pPr>
        <w:pStyle w:val="BodyText"/>
        <w:spacing w:before="229"/>
        <w:ind w:left="338" w:right="334" w:firstLine="288"/>
        <w:jc w:val="both"/>
      </w:pPr>
      <w:bookmarkStart w:name="Artículo_205" w:id="251"/>
      <w:bookmarkEnd w:id="251"/>
      <w:r>
        <w:rPr/>
      </w:r>
      <w:r>
        <w:rPr>
          <w:rFonts w:ascii="Arial" w:hAnsi="Arial"/>
          <w:b/>
        </w:rPr>
        <w:t>Artículo 205.- </w:t>
      </w:r>
      <w:r>
        <w:rPr/>
        <w:t>Los trabajadores están especialmente obligados a respetar y realizar las instrucciones</w:t>
      </w:r>
      <w:r>
        <w:rPr>
          <w:spacing w:val="40"/>
        </w:rPr>
        <w:t> </w:t>
      </w:r>
      <w:r>
        <w:rPr/>
        <w:t>y prácticas destinadas a prevenir riesgos del mar, las que se efectuarán en los términos que determinen las leyes y disposiciones sobre comunicaciones por agua. Los capitanes y oficiales obrarán, en estos casos, como representantes de la autoridad y no como representantes de los patrones.</w:t>
      </w:r>
    </w:p>
    <w:p>
      <w:pPr>
        <w:pStyle w:val="BodyText"/>
      </w:pPr>
    </w:p>
    <w:p>
      <w:pPr>
        <w:pStyle w:val="BodyText"/>
        <w:spacing w:line="242" w:lineRule="auto"/>
        <w:ind w:left="338" w:right="340" w:firstLine="288"/>
        <w:jc w:val="both"/>
      </w:pPr>
      <w:bookmarkStart w:name="Artículo_206" w:id="252"/>
      <w:bookmarkEnd w:id="252"/>
      <w:r>
        <w:rPr/>
      </w:r>
      <w:r>
        <w:rPr>
          <w:rFonts w:ascii="Arial" w:hAnsi="Arial"/>
          <w:b/>
        </w:rPr>
        <w:t>Artículo 206.- </w:t>
      </w:r>
      <w:r>
        <w:rPr/>
        <w:t>Queda prohibido en los expendios de a bordo proporcionar, sin permiso del capitán, bebidas embriagantes a los trabajadores, así como que éstos introduzcan a los buques tales efectos.</w:t>
      </w:r>
    </w:p>
    <w:p>
      <w:pPr>
        <w:pStyle w:val="BodyText"/>
        <w:spacing w:before="229"/>
        <w:ind w:left="338" w:right="348" w:firstLine="288"/>
        <w:jc w:val="both"/>
      </w:pPr>
      <w:r>
        <w:rPr/>
        <w:t>Queda</w:t>
      </w:r>
      <w:r>
        <w:rPr>
          <w:spacing w:val="-1"/>
        </w:rPr>
        <w:t> </w:t>
      </w:r>
      <w:r>
        <w:rPr/>
        <w:t>igualmente</w:t>
      </w:r>
      <w:r>
        <w:rPr>
          <w:spacing w:val="-3"/>
        </w:rPr>
        <w:t> </w:t>
      </w:r>
      <w:r>
        <w:rPr/>
        <w:t>prohibido</w:t>
      </w:r>
      <w:r>
        <w:rPr>
          <w:spacing w:val="-3"/>
        </w:rPr>
        <w:t> </w:t>
      </w:r>
      <w:r>
        <w:rPr/>
        <w:t>a</w:t>
      </w:r>
      <w:r>
        <w:rPr>
          <w:spacing w:val="-3"/>
        </w:rPr>
        <w:t> </w:t>
      </w:r>
      <w:r>
        <w:rPr/>
        <w:t>los</w:t>
      </w:r>
      <w:r>
        <w:rPr>
          <w:spacing w:val="-2"/>
        </w:rPr>
        <w:t> </w:t>
      </w:r>
      <w:r>
        <w:rPr/>
        <w:t>trabajadores</w:t>
      </w:r>
      <w:r>
        <w:rPr>
          <w:spacing w:val="-2"/>
        </w:rPr>
        <w:t> </w:t>
      </w:r>
      <w:r>
        <w:rPr/>
        <w:t>introducir</w:t>
      </w:r>
      <w:r>
        <w:rPr>
          <w:spacing w:val="-2"/>
        </w:rPr>
        <w:t> </w:t>
      </w:r>
      <w:r>
        <w:rPr/>
        <w:t>drogas y</w:t>
      </w:r>
      <w:r>
        <w:rPr>
          <w:spacing w:val="-6"/>
        </w:rPr>
        <w:t> </w:t>
      </w:r>
      <w:r>
        <w:rPr/>
        <w:t>enervantes,</w:t>
      </w:r>
      <w:r>
        <w:rPr>
          <w:spacing w:val="-3"/>
        </w:rPr>
        <w:t> </w:t>
      </w:r>
      <w:r>
        <w:rPr/>
        <w:t>salvo</w:t>
      </w:r>
      <w:r>
        <w:rPr>
          <w:spacing w:val="-3"/>
        </w:rPr>
        <w:t> </w:t>
      </w:r>
      <w:r>
        <w:rPr/>
        <w:t>lo</w:t>
      </w:r>
      <w:r>
        <w:rPr>
          <w:spacing w:val="-3"/>
        </w:rPr>
        <w:t> </w:t>
      </w:r>
      <w:r>
        <w:rPr/>
        <w:t>dispuesto</w:t>
      </w:r>
      <w:r>
        <w:rPr>
          <w:spacing w:val="-3"/>
        </w:rPr>
        <w:t> </w:t>
      </w:r>
      <w:r>
        <w:rPr/>
        <w:t>en</w:t>
      </w:r>
      <w:r>
        <w:rPr>
          <w:spacing w:val="-3"/>
        </w:rPr>
        <w:t> </w:t>
      </w:r>
      <w:r>
        <w:rPr/>
        <w:t>el artículo 208, fracción III.</w:t>
      </w:r>
    </w:p>
    <w:p>
      <w:pPr>
        <w:pStyle w:val="BodyText"/>
        <w:spacing w:line="242" w:lineRule="auto" w:before="227"/>
        <w:ind w:left="338" w:right="345" w:firstLine="288"/>
        <w:jc w:val="both"/>
      </w:pPr>
      <w:bookmarkStart w:name="Artículo_207" w:id="253"/>
      <w:bookmarkEnd w:id="253"/>
      <w:r>
        <w:rPr/>
      </w:r>
      <w:r>
        <w:rPr>
          <w:rFonts w:ascii="Arial" w:hAnsi="Arial"/>
          <w:b/>
        </w:rPr>
        <w:t>Artículo 207.- </w:t>
      </w:r>
      <w:r>
        <w:rPr/>
        <w:t>El amarre temporal de un buque que, autorizado por el Tribunal, no da por terminadas las relaciones de trabajo, sólo suspende sus efectos hasta que el buque vuelva al servicio.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626"/>
      </w:pPr>
      <w:r>
        <w:rPr/>
        <w:t>Las</w:t>
      </w:r>
      <w:r>
        <w:rPr>
          <w:spacing w:val="-6"/>
        </w:rPr>
        <w:t> </w:t>
      </w:r>
      <w:r>
        <w:rPr/>
        <w:t>reparaciones</w:t>
      </w:r>
      <w:r>
        <w:rPr>
          <w:spacing w:val="-6"/>
        </w:rPr>
        <w:t> </w:t>
      </w:r>
      <w:r>
        <w:rPr/>
        <w:t>a</w:t>
      </w:r>
      <w:r>
        <w:rPr>
          <w:spacing w:val="-4"/>
        </w:rPr>
        <w:t> </w:t>
      </w:r>
      <w:r>
        <w:rPr/>
        <w:t>los</w:t>
      </w:r>
      <w:r>
        <w:rPr>
          <w:spacing w:val="-6"/>
        </w:rPr>
        <w:t> </w:t>
      </w:r>
      <w:r>
        <w:rPr/>
        <w:t>buques</w:t>
      </w:r>
      <w:r>
        <w:rPr>
          <w:spacing w:val="-6"/>
        </w:rPr>
        <w:t> </w:t>
      </w:r>
      <w:r>
        <w:rPr/>
        <w:t>no</w:t>
      </w:r>
      <w:r>
        <w:rPr>
          <w:spacing w:val="-7"/>
        </w:rPr>
        <w:t> </w:t>
      </w:r>
      <w:r>
        <w:rPr/>
        <w:t>se</w:t>
      </w:r>
      <w:r>
        <w:rPr>
          <w:spacing w:val="-5"/>
        </w:rPr>
        <w:t> </w:t>
      </w:r>
      <w:r>
        <w:rPr/>
        <w:t>considerarán</w:t>
      </w:r>
      <w:r>
        <w:rPr>
          <w:spacing w:val="-5"/>
        </w:rPr>
        <w:t> </w:t>
      </w:r>
      <w:r>
        <w:rPr/>
        <w:t>como</w:t>
      </w:r>
      <w:r>
        <w:rPr>
          <w:spacing w:val="-6"/>
        </w:rPr>
        <w:t> </w:t>
      </w:r>
      <w:r>
        <w:rPr/>
        <w:t>amarre</w:t>
      </w:r>
      <w:r>
        <w:rPr>
          <w:spacing w:val="-7"/>
        </w:rPr>
        <w:t> </w:t>
      </w:r>
      <w:r>
        <w:rPr>
          <w:spacing w:val="-2"/>
        </w:rPr>
        <w:t>temporal.</w:t>
      </w:r>
    </w:p>
    <w:p>
      <w:pPr>
        <w:pStyle w:val="BodyText"/>
        <w:spacing w:before="228"/>
        <w:ind w:left="626"/>
      </w:pPr>
      <w:bookmarkStart w:name="Artículo_208" w:id="254"/>
      <w:bookmarkEnd w:id="254"/>
      <w:r>
        <w:rPr/>
      </w:r>
      <w:r>
        <w:rPr>
          <w:rFonts w:ascii="Arial" w:hAnsi="Arial"/>
          <w:b/>
        </w:rPr>
        <w:t>Artículo</w:t>
      </w:r>
      <w:r>
        <w:rPr>
          <w:rFonts w:ascii="Arial" w:hAnsi="Arial"/>
          <w:b/>
          <w:spacing w:val="-7"/>
        </w:rPr>
        <w:t> </w:t>
      </w:r>
      <w:r>
        <w:rPr>
          <w:rFonts w:ascii="Arial" w:hAnsi="Arial"/>
          <w:b/>
        </w:rPr>
        <w:t>208.-</w:t>
      </w:r>
      <w:r>
        <w:rPr>
          <w:rFonts w:ascii="Arial" w:hAnsi="Arial"/>
          <w:b/>
          <w:spacing w:val="-5"/>
        </w:rPr>
        <w:t> </w:t>
      </w:r>
      <w:r>
        <w:rPr/>
        <w:t>Son</w:t>
      </w:r>
      <w:r>
        <w:rPr>
          <w:spacing w:val="-5"/>
        </w:rPr>
        <w:t> </w:t>
      </w:r>
      <w:r>
        <w:rPr/>
        <w:t>causas</w:t>
      </w:r>
      <w:r>
        <w:rPr>
          <w:spacing w:val="-5"/>
        </w:rPr>
        <w:t> </w:t>
      </w:r>
      <w:r>
        <w:rPr/>
        <w:t>especiales</w:t>
      </w:r>
      <w:r>
        <w:rPr>
          <w:spacing w:val="-6"/>
        </w:rPr>
        <w:t> </w:t>
      </w:r>
      <w:r>
        <w:rPr/>
        <w:t>de</w:t>
      </w:r>
      <w:r>
        <w:rPr>
          <w:spacing w:val="-8"/>
        </w:rPr>
        <w:t> </w:t>
      </w:r>
      <w:r>
        <w:rPr/>
        <w:t>rescisión</w:t>
      </w:r>
      <w:r>
        <w:rPr>
          <w:spacing w:val="-7"/>
        </w:rPr>
        <w:t> </w:t>
      </w:r>
      <w:r>
        <w:rPr/>
        <w:t>de</w:t>
      </w:r>
      <w:r>
        <w:rPr>
          <w:spacing w:val="-6"/>
        </w:rPr>
        <w:t> </w:t>
      </w:r>
      <w:r>
        <w:rPr/>
        <w:t>las</w:t>
      </w:r>
      <w:r>
        <w:rPr>
          <w:spacing w:val="-6"/>
        </w:rPr>
        <w:t> </w:t>
      </w:r>
      <w:r>
        <w:rPr/>
        <w:t>relaciones</w:t>
      </w:r>
      <w:r>
        <w:rPr>
          <w:spacing w:val="-5"/>
        </w:rPr>
        <w:t> </w:t>
      </w:r>
      <w:r>
        <w:rPr/>
        <w:t>de</w:t>
      </w:r>
      <w:r>
        <w:rPr>
          <w:spacing w:val="-8"/>
        </w:rPr>
        <w:t> </w:t>
      </w:r>
      <w:r>
        <w:rPr>
          <w:spacing w:val="-2"/>
        </w:rPr>
        <w:t>trabajo:</w:t>
      </w:r>
    </w:p>
    <w:p>
      <w:pPr>
        <w:pStyle w:val="ListParagraph"/>
        <w:numPr>
          <w:ilvl w:val="0"/>
          <w:numId w:val="50"/>
        </w:numPr>
        <w:tabs>
          <w:tab w:pos="1193" w:val="left" w:leader="none"/>
          <w:tab w:pos="1195" w:val="left" w:leader="none"/>
        </w:tabs>
        <w:spacing w:line="242" w:lineRule="auto" w:before="229" w:after="0"/>
        <w:ind w:left="1195" w:right="346" w:hanging="569"/>
        <w:jc w:val="both"/>
        <w:rPr>
          <w:sz w:val="20"/>
        </w:rPr>
      </w:pPr>
      <w:r>
        <w:rPr>
          <w:sz w:val="20"/>
        </w:rPr>
        <w:t>La falta de asistencia del trabajador a bordo a la hora convenida para la salida o que presentándose, desembarque y no haga el viaje;</w:t>
      </w:r>
    </w:p>
    <w:p>
      <w:pPr>
        <w:pStyle w:val="ListParagraph"/>
        <w:numPr>
          <w:ilvl w:val="0"/>
          <w:numId w:val="50"/>
        </w:numPr>
        <w:tabs>
          <w:tab w:pos="1192" w:val="left" w:leader="none"/>
          <w:tab w:pos="1195" w:val="left" w:leader="none"/>
        </w:tabs>
        <w:spacing w:line="242" w:lineRule="auto" w:before="226" w:after="0"/>
        <w:ind w:left="1195" w:right="345" w:hanging="569"/>
        <w:jc w:val="both"/>
        <w:rPr>
          <w:sz w:val="20"/>
        </w:rPr>
      </w:pPr>
      <w:r>
        <w:rPr>
          <w:sz w:val="20"/>
        </w:rPr>
        <w:t>Encontrarse el trabajador en estado de embriaguez en horas de servicio mientras el</w:t>
      </w:r>
      <w:r>
        <w:rPr>
          <w:spacing w:val="-1"/>
          <w:sz w:val="20"/>
        </w:rPr>
        <w:t> </w:t>
      </w:r>
      <w:r>
        <w:rPr>
          <w:sz w:val="20"/>
        </w:rPr>
        <w:t>buque esté en puerto, al salir el buque o durante la navegación;</w:t>
      </w:r>
    </w:p>
    <w:p>
      <w:pPr>
        <w:pStyle w:val="ListParagraph"/>
        <w:numPr>
          <w:ilvl w:val="0"/>
          <w:numId w:val="50"/>
        </w:numPr>
        <w:tabs>
          <w:tab w:pos="1195" w:val="left" w:leader="none"/>
        </w:tabs>
        <w:spacing w:line="240" w:lineRule="auto" w:before="225" w:after="0"/>
        <w:ind w:left="1195" w:right="0" w:hanging="569"/>
        <w:jc w:val="left"/>
        <w:rPr>
          <w:sz w:val="20"/>
        </w:rPr>
      </w:pPr>
      <w:r>
        <w:rPr>
          <w:sz w:val="20"/>
        </w:rPr>
        <w:t>Usar</w:t>
      </w:r>
      <w:r>
        <w:rPr>
          <w:spacing w:val="-8"/>
          <w:sz w:val="20"/>
        </w:rPr>
        <w:t> </w:t>
      </w:r>
      <w:r>
        <w:rPr>
          <w:sz w:val="20"/>
        </w:rPr>
        <w:t>narcóticos</w:t>
      </w:r>
      <w:r>
        <w:rPr>
          <w:spacing w:val="-6"/>
          <w:sz w:val="20"/>
        </w:rPr>
        <w:t> </w:t>
      </w:r>
      <w:r>
        <w:rPr>
          <w:sz w:val="20"/>
        </w:rPr>
        <w:t>o</w:t>
      </w:r>
      <w:r>
        <w:rPr>
          <w:spacing w:val="-5"/>
          <w:sz w:val="20"/>
        </w:rPr>
        <w:t> </w:t>
      </w:r>
      <w:r>
        <w:rPr>
          <w:sz w:val="20"/>
        </w:rPr>
        <w:t>drogas</w:t>
      </w:r>
      <w:r>
        <w:rPr>
          <w:spacing w:val="-6"/>
          <w:sz w:val="20"/>
        </w:rPr>
        <w:t> </w:t>
      </w:r>
      <w:r>
        <w:rPr>
          <w:sz w:val="20"/>
        </w:rPr>
        <w:t>enervantes</w:t>
      </w:r>
      <w:r>
        <w:rPr>
          <w:spacing w:val="-7"/>
          <w:sz w:val="20"/>
        </w:rPr>
        <w:t> </w:t>
      </w:r>
      <w:r>
        <w:rPr>
          <w:sz w:val="20"/>
        </w:rPr>
        <w:t>durante</w:t>
      </w:r>
      <w:r>
        <w:rPr>
          <w:spacing w:val="-7"/>
          <w:sz w:val="20"/>
        </w:rPr>
        <w:t> </w:t>
      </w:r>
      <w:r>
        <w:rPr>
          <w:sz w:val="20"/>
        </w:rPr>
        <w:t>su</w:t>
      </w:r>
      <w:r>
        <w:rPr>
          <w:spacing w:val="-7"/>
          <w:sz w:val="20"/>
        </w:rPr>
        <w:t> </w:t>
      </w:r>
      <w:r>
        <w:rPr>
          <w:sz w:val="20"/>
        </w:rPr>
        <w:t>permanencia</w:t>
      </w:r>
      <w:r>
        <w:rPr>
          <w:spacing w:val="-7"/>
          <w:sz w:val="20"/>
        </w:rPr>
        <w:t> </w:t>
      </w:r>
      <w:r>
        <w:rPr>
          <w:sz w:val="20"/>
        </w:rPr>
        <w:t>a</w:t>
      </w:r>
      <w:r>
        <w:rPr>
          <w:spacing w:val="-5"/>
          <w:sz w:val="20"/>
        </w:rPr>
        <w:t> </w:t>
      </w:r>
      <w:r>
        <w:rPr>
          <w:sz w:val="20"/>
        </w:rPr>
        <w:t>bordo,</w:t>
      </w:r>
      <w:r>
        <w:rPr>
          <w:spacing w:val="-7"/>
          <w:sz w:val="20"/>
        </w:rPr>
        <w:t> </w:t>
      </w:r>
      <w:r>
        <w:rPr>
          <w:sz w:val="20"/>
        </w:rPr>
        <w:t>sin</w:t>
      </w:r>
      <w:r>
        <w:rPr>
          <w:spacing w:val="-7"/>
          <w:sz w:val="20"/>
        </w:rPr>
        <w:t> </w:t>
      </w:r>
      <w:r>
        <w:rPr>
          <w:sz w:val="20"/>
        </w:rPr>
        <w:t>prescripción</w:t>
      </w:r>
      <w:r>
        <w:rPr>
          <w:spacing w:val="-8"/>
          <w:sz w:val="20"/>
        </w:rPr>
        <w:t> </w:t>
      </w:r>
      <w:r>
        <w:rPr>
          <w:spacing w:val="-2"/>
          <w:sz w:val="20"/>
        </w:rPr>
        <w:t>médica.</w:t>
      </w:r>
    </w:p>
    <w:p>
      <w:pPr>
        <w:pStyle w:val="BodyText"/>
        <w:spacing w:before="3"/>
      </w:pPr>
    </w:p>
    <w:p>
      <w:pPr>
        <w:pStyle w:val="BodyText"/>
        <w:ind w:left="1195" w:right="379"/>
      </w:pPr>
      <w:r>
        <w:rPr/>
        <w:t>Al subir a bordo, el trabajador deberá poner el hecho en conocimiento del patrón y presentarle</w:t>
      </w:r>
      <w:r>
        <w:rPr>
          <w:spacing w:val="40"/>
        </w:rPr>
        <w:t> </w:t>
      </w:r>
      <w:r>
        <w:rPr/>
        <w:t>la prescripción suscrita por el médico;</w:t>
      </w:r>
    </w:p>
    <w:p>
      <w:pPr>
        <w:pStyle w:val="ListParagraph"/>
        <w:numPr>
          <w:ilvl w:val="0"/>
          <w:numId w:val="50"/>
        </w:numPr>
        <w:tabs>
          <w:tab w:pos="1195" w:val="left" w:leader="none"/>
        </w:tabs>
        <w:spacing w:line="240" w:lineRule="auto" w:before="229" w:after="0"/>
        <w:ind w:left="1195" w:right="331" w:hanging="569"/>
        <w:jc w:val="both"/>
        <w:rPr>
          <w:sz w:val="20"/>
        </w:rPr>
      </w:pPr>
      <w:r>
        <w:rPr>
          <w:sz w:val="20"/>
        </w:rPr>
        <w:t>La insubordinación y la desobediencia a las órdenes del capitán del buque en su carácter de </w:t>
      </w:r>
      <w:r>
        <w:rPr>
          <w:spacing w:val="-2"/>
          <w:sz w:val="20"/>
        </w:rPr>
        <w:t>autoridad;</w:t>
      </w:r>
    </w:p>
    <w:p>
      <w:pPr>
        <w:pStyle w:val="ListParagraph"/>
        <w:numPr>
          <w:ilvl w:val="0"/>
          <w:numId w:val="50"/>
        </w:numPr>
        <w:tabs>
          <w:tab w:pos="1195" w:val="left" w:leader="none"/>
        </w:tabs>
        <w:spacing w:line="242" w:lineRule="auto" w:before="229" w:after="0"/>
        <w:ind w:left="1195" w:right="346" w:hanging="569"/>
        <w:jc w:val="both"/>
        <w:rPr>
          <w:sz w:val="20"/>
        </w:rPr>
      </w:pPr>
      <w:r>
        <w:rPr>
          <w:sz w:val="20"/>
        </w:rPr>
        <w:t>La cancelación o la revocación definitiva de los certificados de aptitud o de las libretas de mar exigidos por las leyes y reglamentos;</w:t>
      </w:r>
    </w:p>
    <w:p>
      <w:pPr>
        <w:pStyle w:val="ListParagraph"/>
        <w:numPr>
          <w:ilvl w:val="0"/>
          <w:numId w:val="50"/>
        </w:numPr>
        <w:tabs>
          <w:tab w:pos="1195" w:val="left" w:leader="none"/>
        </w:tabs>
        <w:spacing w:line="242" w:lineRule="auto" w:before="224" w:after="0"/>
        <w:ind w:left="1195" w:right="344" w:hanging="569"/>
        <w:jc w:val="both"/>
        <w:rPr>
          <w:sz w:val="20"/>
        </w:rPr>
      </w:pPr>
      <w:r>
        <w:rPr>
          <w:sz w:val="20"/>
        </w:rPr>
        <w:t>La violación de las leyes en materia de importación o exportación de mercancías en el desempeño de sus servicios; y</w:t>
      </w:r>
    </w:p>
    <w:p>
      <w:pPr>
        <w:pStyle w:val="ListParagraph"/>
        <w:numPr>
          <w:ilvl w:val="0"/>
          <w:numId w:val="50"/>
        </w:numPr>
        <w:tabs>
          <w:tab w:pos="1193" w:val="left" w:leader="none"/>
          <w:tab w:pos="1195" w:val="left" w:leader="none"/>
        </w:tabs>
        <w:spacing w:line="240" w:lineRule="auto" w:before="227" w:after="0"/>
        <w:ind w:left="1195" w:right="338" w:hanging="569"/>
        <w:jc w:val="both"/>
        <w:rPr>
          <w:sz w:val="20"/>
        </w:rPr>
      </w:pPr>
      <w:r>
        <w:rPr>
          <w:sz w:val="20"/>
        </w:rPr>
        <w:t>La ejecución, en el desempeño del trabajo por parte del trabajador, de cualquier acto o la omisión intencional o negligencia que pueda poner en peligro su seguridad o la de los demás trabajadores, de los pasajeros o de terceras personas, o que dañe, perjudique o ponga en peligro los bienes del patrón o de terceros.</w:t>
      </w:r>
    </w:p>
    <w:p>
      <w:pPr>
        <w:pStyle w:val="BodyText"/>
      </w:pPr>
    </w:p>
    <w:p>
      <w:pPr>
        <w:pStyle w:val="BodyText"/>
        <w:spacing w:line="242" w:lineRule="auto"/>
        <w:ind w:left="338" w:right="347" w:firstLine="288"/>
        <w:jc w:val="both"/>
      </w:pPr>
      <w:bookmarkStart w:name="Artículo_209" w:id="255"/>
      <w:bookmarkEnd w:id="255"/>
      <w:r>
        <w:rPr/>
      </w:r>
      <w:r>
        <w:rPr>
          <w:rFonts w:ascii="Arial" w:hAnsi="Arial"/>
          <w:b/>
        </w:rPr>
        <w:t>Artículo 209.- </w:t>
      </w:r>
      <w:r>
        <w:rPr/>
        <w:t>La terminación de las relaciones de trabajo de los trabajadores se sujetará a las</w:t>
      </w:r>
      <w:r>
        <w:rPr>
          <w:spacing w:val="40"/>
        </w:rPr>
        <w:t> </w:t>
      </w:r>
      <w:r>
        <w:rPr/>
        <w:t>normas siguientes:</w:t>
      </w:r>
    </w:p>
    <w:p>
      <w:pPr>
        <w:pStyle w:val="ListParagraph"/>
        <w:numPr>
          <w:ilvl w:val="0"/>
          <w:numId w:val="51"/>
        </w:numPr>
        <w:tabs>
          <w:tab w:pos="1193" w:val="left" w:leader="none"/>
          <w:tab w:pos="1195" w:val="left" w:leader="none"/>
        </w:tabs>
        <w:spacing w:line="240" w:lineRule="auto" w:before="227" w:after="0"/>
        <w:ind w:left="1195" w:right="338" w:hanging="569"/>
        <w:jc w:val="both"/>
        <w:rPr>
          <w:sz w:val="20"/>
        </w:rPr>
      </w:pPr>
      <w:r>
        <w:rPr>
          <w:sz w:val="20"/>
        </w:rPr>
        <w:t>Cuando falten diez días o menos para su vencimiento y se pretenda hacer un nuevo viaje que exceda en duración a este término, podrán los trabajadores pedir la terminación de las relaciones de trabajo, dando aviso con tres días de anticipación al de la salida del buque;</w:t>
      </w:r>
    </w:p>
    <w:p>
      <w:pPr>
        <w:pStyle w:val="ListParagraph"/>
        <w:spacing w:after="0" w:line="240" w:lineRule="auto"/>
        <w:jc w:val="both"/>
        <w:rPr>
          <w:sz w:val="20"/>
        </w:rPr>
        <w:sectPr>
          <w:pgSz w:w="12240" w:h="15840"/>
          <w:pgMar w:header="724" w:footer="712" w:top="1880" w:bottom="900" w:left="1080" w:right="1080"/>
        </w:sectPr>
      </w:pPr>
    </w:p>
    <w:p>
      <w:pPr>
        <w:pStyle w:val="BodyText"/>
      </w:pPr>
    </w:p>
    <w:p>
      <w:pPr>
        <w:pStyle w:val="BodyText"/>
        <w:spacing w:before="63"/>
      </w:pPr>
    </w:p>
    <w:p>
      <w:pPr>
        <w:pStyle w:val="ListParagraph"/>
        <w:numPr>
          <w:ilvl w:val="0"/>
          <w:numId w:val="51"/>
        </w:numPr>
        <w:tabs>
          <w:tab w:pos="1192" w:val="left" w:leader="none"/>
          <w:tab w:pos="1195" w:val="left" w:leader="none"/>
        </w:tabs>
        <w:spacing w:line="242" w:lineRule="auto" w:before="0" w:after="0"/>
        <w:ind w:left="1195" w:right="341" w:hanging="569"/>
        <w:jc w:val="both"/>
        <w:rPr>
          <w:sz w:val="20"/>
        </w:rPr>
      </w:pPr>
      <w:r>
        <w:rPr>
          <w:sz w:val="20"/>
        </w:rPr>
        <w:t>Las relaciones de trabajo no pueden darse por terminadas cuando el buque esté en el mar o cuando estando en</w:t>
      </w:r>
      <w:r>
        <w:rPr>
          <w:spacing w:val="-2"/>
          <w:sz w:val="20"/>
        </w:rPr>
        <w:t> </w:t>
      </w:r>
      <w:r>
        <w:rPr>
          <w:sz w:val="20"/>
        </w:rPr>
        <w:t>puerto se</w:t>
      </w:r>
      <w:r>
        <w:rPr>
          <w:spacing w:val="-2"/>
          <w:sz w:val="20"/>
        </w:rPr>
        <w:t> </w:t>
      </w:r>
      <w:r>
        <w:rPr>
          <w:sz w:val="20"/>
        </w:rPr>
        <w:t>intente la terminación dentro de las veinticuatro</w:t>
      </w:r>
      <w:r>
        <w:rPr>
          <w:spacing w:val="-2"/>
          <w:sz w:val="20"/>
        </w:rPr>
        <w:t> </w:t>
      </w:r>
      <w:r>
        <w:rPr>
          <w:sz w:val="20"/>
        </w:rPr>
        <w:t>horas</w:t>
      </w:r>
      <w:r>
        <w:rPr>
          <w:spacing w:val="-1"/>
          <w:sz w:val="20"/>
        </w:rPr>
        <w:t> </w:t>
      </w:r>
      <w:r>
        <w:rPr>
          <w:sz w:val="20"/>
        </w:rPr>
        <w:t>anteriores a su salida, a menos que en este último caso se cambie el destino final del buque;</w:t>
      </w:r>
    </w:p>
    <w:p>
      <w:pPr>
        <w:pStyle w:val="ListParagraph"/>
        <w:numPr>
          <w:ilvl w:val="0"/>
          <w:numId w:val="51"/>
        </w:numPr>
        <w:tabs>
          <w:tab w:pos="1191" w:val="left" w:leader="none"/>
          <w:tab w:pos="1195" w:val="left" w:leader="none"/>
        </w:tabs>
        <w:spacing w:line="240" w:lineRule="auto" w:before="225" w:after="0"/>
        <w:ind w:left="1195" w:right="343" w:hanging="569"/>
        <w:jc w:val="both"/>
        <w:rPr>
          <w:sz w:val="20"/>
        </w:rPr>
      </w:pPr>
      <w:r>
        <w:rPr>
          <w:sz w:val="20"/>
        </w:rPr>
        <w:t>Tampoco pueden darse por terminadas las relaciones de trabajo cuando el buque esté en el extranjero, en lugares despoblados o en puerto, siempre que en este último caso</w:t>
      </w:r>
      <w:r>
        <w:rPr>
          <w:spacing w:val="-2"/>
          <w:sz w:val="20"/>
        </w:rPr>
        <w:t> </w:t>
      </w:r>
      <w:r>
        <w:rPr>
          <w:sz w:val="20"/>
        </w:rPr>
        <w:t>se exponga al buque a cualquier riesgo por mal tiempo u otras circunstancias;</w:t>
      </w:r>
    </w:p>
    <w:p>
      <w:pPr>
        <w:pStyle w:val="ListParagraph"/>
        <w:numPr>
          <w:ilvl w:val="0"/>
          <w:numId w:val="51"/>
        </w:numPr>
        <w:tabs>
          <w:tab w:pos="1195" w:val="left" w:leader="none"/>
        </w:tabs>
        <w:spacing w:line="242" w:lineRule="auto" w:before="229" w:after="0"/>
        <w:ind w:left="1195" w:right="345" w:hanging="569"/>
        <w:jc w:val="both"/>
        <w:rPr>
          <w:sz w:val="20"/>
        </w:rPr>
      </w:pPr>
      <w:r>
        <w:rPr>
          <w:sz w:val="20"/>
        </w:rPr>
        <w:t>Cuando</w:t>
      </w:r>
      <w:r>
        <w:rPr>
          <w:spacing w:val="-1"/>
          <w:sz w:val="20"/>
        </w:rPr>
        <w:t> </w:t>
      </w:r>
      <w:r>
        <w:rPr>
          <w:sz w:val="20"/>
        </w:rPr>
        <w:t>las relaciones</w:t>
      </w:r>
      <w:r>
        <w:rPr>
          <w:spacing w:val="-2"/>
          <w:sz w:val="20"/>
        </w:rPr>
        <w:t> </w:t>
      </w:r>
      <w:r>
        <w:rPr>
          <w:sz w:val="20"/>
        </w:rPr>
        <w:t>de</w:t>
      </w:r>
      <w:r>
        <w:rPr>
          <w:spacing w:val="-3"/>
          <w:sz w:val="20"/>
        </w:rPr>
        <w:t> </w:t>
      </w:r>
      <w:r>
        <w:rPr>
          <w:sz w:val="20"/>
        </w:rPr>
        <w:t>trabajo</w:t>
      </w:r>
      <w:r>
        <w:rPr>
          <w:spacing w:val="-3"/>
          <w:sz w:val="20"/>
        </w:rPr>
        <w:t> </w:t>
      </w:r>
      <w:r>
        <w:rPr>
          <w:sz w:val="20"/>
        </w:rPr>
        <w:t>sean</w:t>
      </w:r>
      <w:r>
        <w:rPr>
          <w:spacing w:val="-1"/>
          <w:sz w:val="20"/>
        </w:rPr>
        <w:t> </w:t>
      </w:r>
      <w:r>
        <w:rPr>
          <w:sz w:val="20"/>
        </w:rPr>
        <w:t>por tiempo</w:t>
      </w:r>
      <w:r>
        <w:rPr>
          <w:spacing w:val="-3"/>
          <w:sz w:val="20"/>
        </w:rPr>
        <w:t> </w:t>
      </w:r>
      <w:r>
        <w:rPr>
          <w:sz w:val="20"/>
        </w:rPr>
        <w:t>indeterminado, el</w:t>
      </w:r>
      <w:r>
        <w:rPr>
          <w:spacing w:val="-2"/>
          <w:sz w:val="20"/>
        </w:rPr>
        <w:t> </w:t>
      </w:r>
      <w:r>
        <w:rPr>
          <w:sz w:val="20"/>
        </w:rPr>
        <w:t>trabajador deberá</w:t>
      </w:r>
      <w:r>
        <w:rPr>
          <w:spacing w:val="-1"/>
          <w:sz w:val="20"/>
        </w:rPr>
        <w:t> </w:t>
      </w:r>
      <w:r>
        <w:rPr>
          <w:sz w:val="20"/>
        </w:rPr>
        <w:t>dar aviso al armador, naviero o fletador con setenta y dos horas de anticipación;</w:t>
      </w:r>
    </w:p>
    <w:p>
      <w:pPr>
        <w:pStyle w:val="ListParagraph"/>
        <w:numPr>
          <w:ilvl w:val="0"/>
          <w:numId w:val="51"/>
        </w:numPr>
        <w:tabs>
          <w:tab w:pos="1195" w:val="left" w:leader="none"/>
        </w:tabs>
        <w:spacing w:line="240" w:lineRule="auto" w:before="225" w:after="0"/>
        <w:ind w:left="1195" w:right="335" w:hanging="569"/>
        <w:jc w:val="both"/>
        <w:rPr>
          <w:sz w:val="20"/>
        </w:rPr>
      </w:pPr>
      <w:r>
        <w:rPr>
          <w:sz w:val="20"/>
        </w:rPr>
        <w:t>Cuando</w:t>
      </w:r>
      <w:r>
        <w:rPr>
          <w:spacing w:val="-3"/>
          <w:sz w:val="20"/>
        </w:rPr>
        <w:t> </w:t>
      </w:r>
      <w:r>
        <w:rPr>
          <w:sz w:val="20"/>
        </w:rPr>
        <w:t>el</w:t>
      </w:r>
      <w:r>
        <w:rPr>
          <w:spacing w:val="-3"/>
          <w:sz w:val="20"/>
        </w:rPr>
        <w:t> </w:t>
      </w:r>
      <w:r>
        <w:rPr>
          <w:sz w:val="20"/>
        </w:rPr>
        <w:t>buque</w:t>
      </w:r>
      <w:r>
        <w:rPr>
          <w:spacing w:val="-2"/>
          <w:sz w:val="20"/>
        </w:rPr>
        <w:t> </w:t>
      </w:r>
      <w:r>
        <w:rPr>
          <w:sz w:val="20"/>
        </w:rPr>
        <w:t>se</w:t>
      </w:r>
      <w:r>
        <w:rPr>
          <w:spacing w:val="-2"/>
          <w:sz w:val="20"/>
        </w:rPr>
        <w:t> </w:t>
      </w:r>
      <w:r>
        <w:rPr>
          <w:sz w:val="20"/>
        </w:rPr>
        <w:t>pierda</w:t>
      </w:r>
      <w:r>
        <w:rPr>
          <w:spacing w:val="-2"/>
          <w:sz w:val="20"/>
        </w:rPr>
        <w:t> </w:t>
      </w:r>
      <w:r>
        <w:rPr>
          <w:sz w:val="20"/>
        </w:rPr>
        <w:t>por</w:t>
      </w:r>
      <w:r>
        <w:rPr>
          <w:spacing w:val="-1"/>
          <w:sz w:val="20"/>
        </w:rPr>
        <w:t> </w:t>
      </w:r>
      <w:r>
        <w:rPr>
          <w:sz w:val="20"/>
        </w:rPr>
        <w:t>apresamiento</w:t>
      </w:r>
      <w:r>
        <w:rPr>
          <w:spacing w:val="-2"/>
          <w:sz w:val="20"/>
        </w:rPr>
        <w:t> </w:t>
      </w:r>
      <w:r>
        <w:rPr>
          <w:sz w:val="20"/>
        </w:rPr>
        <w:t>o</w:t>
      </w:r>
      <w:r>
        <w:rPr>
          <w:spacing w:val="-2"/>
          <w:sz w:val="20"/>
        </w:rPr>
        <w:t> </w:t>
      </w:r>
      <w:r>
        <w:rPr>
          <w:sz w:val="20"/>
        </w:rPr>
        <w:t>siniestro,</w:t>
      </w:r>
      <w:r>
        <w:rPr>
          <w:spacing w:val="-4"/>
          <w:sz w:val="20"/>
        </w:rPr>
        <w:t> </w:t>
      </w:r>
      <w:r>
        <w:rPr>
          <w:sz w:val="20"/>
        </w:rPr>
        <w:t>se</w:t>
      </w:r>
      <w:r>
        <w:rPr>
          <w:spacing w:val="-2"/>
          <w:sz w:val="20"/>
        </w:rPr>
        <w:t> </w:t>
      </w:r>
      <w:r>
        <w:rPr>
          <w:sz w:val="20"/>
        </w:rPr>
        <w:t>darán</w:t>
      </w:r>
      <w:r>
        <w:rPr>
          <w:spacing w:val="-2"/>
          <w:sz w:val="20"/>
        </w:rPr>
        <w:t> </w:t>
      </w:r>
      <w:r>
        <w:rPr>
          <w:sz w:val="20"/>
        </w:rPr>
        <w:t>por</w:t>
      </w:r>
      <w:r>
        <w:rPr>
          <w:spacing w:val="-1"/>
          <w:sz w:val="20"/>
        </w:rPr>
        <w:t> </w:t>
      </w:r>
      <w:r>
        <w:rPr>
          <w:sz w:val="20"/>
        </w:rPr>
        <w:t>terminadas</w:t>
      </w:r>
      <w:r>
        <w:rPr>
          <w:spacing w:val="-3"/>
          <w:sz w:val="20"/>
        </w:rPr>
        <w:t> </w:t>
      </w:r>
      <w:r>
        <w:rPr>
          <w:sz w:val="20"/>
        </w:rPr>
        <w:t>las</w:t>
      </w:r>
      <w:r>
        <w:rPr>
          <w:spacing w:val="-3"/>
          <w:sz w:val="20"/>
        </w:rPr>
        <w:t> </w:t>
      </w:r>
      <w:r>
        <w:rPr>
          <w:sz w:val="20"/>
        </w:rPr>
        <w:t>relaciones de trabajo, quedando obligado el armador, naviero o fletador, a repatriar a los trabajadores y a cubrir el importe de los salarios hasta su restitución al puerto de destino o al que se haya señalado en el contrato y el de las demás prestaciones a que tuviesen derecho. Los trabajadores y el patrón podrán convenir en que se proporcione a aquéllos un trabajo de la misma categoría en otro buque del patrón; si no se llega a un convenio tendrán derecho los trabajadores a que se les indemnice de conformidad con lo dispuesto en el artículo 436; y</w:t>
      </w:r>
    </w:p>
    <w:p>
      <w:pPr>
        <w:pStyle w:val="BodyText"/>
        <w:spacing w:before="1"/>
      </w:pPr>
    </w:p>
    <w:p>
      <w:pPr>
        <w:pStyle w:val="ListParagraph"/>
        <w:numPr>
          <w:ilvl w:val="0"/>
          <w:numId w:val="51"/>
        </w:numPr>
        <w:tabs>
          <w:tab w:pos="1195" w:val="left" w:leader="none"/>
        </w:tabs>
        <w:spacing w:line="240" w:lineRule="auto" w:before="0" w:after="0"/>
        <w:ind w:left="1195" w:right="338" w:hanging="569"/>
        <w:jc w:val="both"/>
        <w:rPr>
          <w:sz w:val="20"/>
        </w:rPr>
      </w:pPr>
      <w:r>
        <w:rPr>
          <w:sz w:val="20"/>
        </w:rPr>
        <w:t>El cambio de nacionalidad de un buque mexicano es causa de terminación de las relaciones de trabajo.</w:t>
      </w:r>
      <w:r>
        <w:rPr>
          <w:spacing w:val="-2"/>
          <w:sz w:val="20"/>
        </w:rPr>
        <w:t> </w:t>
      </w:r>
      <w:r>
        <w:rPr>
          <w:sz w:val="20"/>
        </w:rPr>
        <w:t>El</w:t>
      </w:r>
      <w:r>
        <w:rPr>
          <w:spacing w:val="-3"/>
          <w:sz w:val="20"/>
        </w:rPr>
        <w:t> </w:t>
      </w:r>
      <w:r>
        <w:rPr>
          <w:sz w:val="20"/>
        </w:rPr>
        <w:t>armador,</w:t>
      </w:r>
      <w:r>
        <w:rPr>
          <w:spacing w:val="-4"/>
          <w:sz w:val="20"/>
        </w:rPr>
        <w:t> </w:t>
      </w:r>
      <w:r>
        <w:rPr>
          <w:sz w:val="20"/>
        </w:rPr>
        <w:t>naviero</w:t>
      </w:r>
      <w:r>
        <w:rPr>
          <w:spacing w:val="-4"/>
          <w:sz w:val="20"/>
        </w:rPr>
        <w:t> </w:t>
      </w:r>
      <w:r>
        <w:rPr>
          <w:sz w:val="20"/>
        </w:rPr>
        <w:t>o</w:t>
      </w:r>
      <w:r>
        <w:rPr>
          <w:spacing w:val="-2"/>
          <w:sz w:val="20"/>
        </w:rPr>
        <w:t> </w:t>
      </w:r>
      <w:r>
        <w:rPr>
          <w:sz w:val="20"/>
        </w:rPr>
        <w:t>fletador,</w:t>
      </w:r>
      <w:r>
        <w:rPr>
          <w:spacing w:val="-4"/>
          <w:sz w:val="20"/>
        </w:rPr>
        <w:t> </w:t>
      </w:r>
      <w:r>
        <w:rPr>
          <w:sz w:val="20"/>
        </w:rPr>
        <w:t>queda</w:t>
      </w:r>
      <w:r>
        <w:rPr>
          <w:spacing w:val="-2"/>
          <w:sz w:val="20"/>
        </w:rPr>
        <w:t> </w:t>
      </w:r>
      <w:r>
        <w:rPr>
          <w:sz w:val="20"/>
        </w:rPr>
        <w:t>obligado</w:t>
      </w:r>
      <w:r>
        <w:rPr>
          <w:spacing w:val="-4"/>
          <w:sz w:val="20"/>
        </w:rPr>
        <w:t> </w:t>
      </w:r>
      <w:r>
        <w:rPr>
          <w:sz w:val="20"/>
        </w:rPr>
        <w:t>a</w:t>
      </w:r>
      <w:r>
        <w:rPr>
          <w:spacing w:val="-2"/>
          <w:sz w:val="20"/>
        </w:rPr>
        <w:t> </w:t>
      </w:r>
      <w:r>
        <w:rPr>
          <w:sz w:val="20"/>
        </w:rPr>
        <w:t>repatriar</w:t>
      </w:r>
      <w:r>
        <w:rPr>
          <w:spacing w:val="-1"/>
          <w:sz w:val="20"/>
        </w:rPr>
        <w:t> </w:t>
      </w:r>
      <w:r>
        <w:rPr>
          <w:sz w:val="20"/>
        </w:rPr>
        <w:t>a</w:t>
      </w:r>
      <w:r>
        <w:rPr>
          <w:spacing w:val="-2"/>
          <w:sz w:val="20"/>
        </w:rPr>
        <w:t> </w:t>
      </w:r>
      <w:r>
        <w:rPr>
          <w:sz w:val="20"/>
        </w:rPr>
        <w:t>los</w:t>
      </w:r>
      <w:r>
        <w:rPr>
          <w:spacing w:val="-3"/>
          <w:sz w:val="20"/>
        </w:rPr>
        <w:t> </w:t>
      </w:r>
      <w:r>
        <w:rPr>
          <w:sz w:val="20"/>
        </w:rPr>
        <w:t>trabajadores</w:t>
      </w:r>
      <w:r>
        <w:rPr>
          <w:spacing w:val="-1"/>
          <w:sz w:val="20"/>
        </w:rPr>
        <w:t> </w:t>
      </w:r>
      <w:r>
        <w:rPr>
          <w:sz w:val="20"/>
        </w:rPr>
        <w:t>y</w:t>
      </w:r>
      <w:r>
        <w:rPr>
          <w:spacing w:val="-4"/>
          <w:sz w:val="20"/>
        </w:rPr>
        <w:t> </w:t>
      </w:r>
      <w:r>
        <w:rPr>
          <w:sz w:val="20"/>
        </w:rPr>
        <w:t>a</w:t>
      </w:r>
      <w:r>
        <w:rPr>
          <w:spacing w:val="-4"/>
          <w:sz w:val="20"/>
        </w:rPr>
        <w:t> </w:t>
      </w:r>
      <w:r>
        <w:rPr>
          <w:sz w:val="20"/>
        </w:rPr>
        <w:t>cubrir</w:t>
      </w:r>
      <w:r>
        <w:rPr>
          <w:spacing w:val="-3"/>
          <w:sz w:val="20"/>
        </w:rPr>
        <w:t> </w:t>
      </w:r>
      <w:r>
        <w:rPr>
          <w:sz w:val="20"/>
        </w:rPr>
        <w:t>el importe de los salarios y prestaciones a que se refiere el párrafo primero de la fracción anterior. Los trabajadores y el patrón podrán convenir en que se proporcione a aquéllos un trabajo de la misma categoría en otro buque del patrón; si no se llega a un convenio, tendrán derecho los trabajadores a que se les indemnice de conformidad con lo dispuesto en el artículo 50.</w:t>
      </w:r>
    </w:p>
    <w:p>
      <w:pPr>
        <w:pStyle w:val="BodyText"/>
        <w:spacing w:before="1"/>
      </w:pPr>
    </w:p>
    <w:p>
      <w:pPr>
        <w:pStyle w:val="BodyText"/>
        <w:ind w:left="338" w:right="338" w:firstLine="288"/>
        <w:jc w:val="both"/>
      </w:pPr>
      <w:bookmarkStart w:name="Artículo_210" w:id="256"/>
      <w:bookmarkEnd w:id="256"/>
      <w:r>
        <w:rPr/>
      </w:r>
      <w:r>
        <w:rPr>
          <w:rFonts w:ascii="Arial" w:hAnsi="Arial"/>
          <w:b/>
        </w:rPr>
        <w:t>Artículo 210.- </w:t>
      </w:r>
      <w:r>
        <w:rPr/>
        <w:t>En los casos de la fracción V del artículo anterior, si los trabajadores convienen en efectuar trabajos encaminados a la recuperación de los restos del buque o de la carga, se les pagarán sus salarios por los días que trabajen. Si el valor de los objetos salvados excede del importe de los salarios, tendrán derecho los trabajadores a una bonificación adicional, en proporción a los esfuerzos desarrollados y a los peligros arrostrados para el salvamento, la que se fijará por acuerdo de las partes o por decisión del Tribunal, que oirá previamente el parecer de la autoridad marítima.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3" w:firstLine="288"/>
        <w:jc w:val="both"/>
      </w:pPr>
      <w:bookmarkStart w:name="Artículo_211" w:id="257"/>
      <w:bookmarkEnd w:id="257"/>
      <w:r>
        <w:rPr/>
      </w:r>
      <w:r>
        <w:rPr>
          <w:rFonts w:ascii="Arial" w:hAnsi="Arial"/>
          <w:b/>
        </w:rPr>
        <w:t>Artículo 211.- </w:t>
      </w:r>
      <w:r>
        <w:rPr/>
        <w:t>El Reglamento Interior de Trabajo, depositado ante la Autoridad Registral prevista en esta Ley, deberá registrarse en la Capitanía de Puerto.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5" w:firstLine="288"/>
        <w:jc w:val="both"/>
      </w:pPr>
      <w:r>
        <w:rPr/>
        <w:t>Las violaciones al reglamento se denunciarán al Inspector del Trabajo, quien, previa averiguación, las pondrá en conocimiento de la autoridad del trabajo, juntamente con la opinión del Capitán de Puerto.</w:t>
      </w:r>
    </w:p>
    <w:p>
      <w:pPr>
        <w:pStyle w:val="BodyText"/>
        <w:spacing w:before="229"/>
        <w:ind w:left="338" w:right="341" w:firstLine="288"/>
        <w:jc w:val="both"/>
      </w:pPr>
      <w:bookmarkStart w:name="Artículo_212" w:id="258"/>
      <w:bookmarkEnd w:id="258"/>
      <w:r>
        <w:rPr/>
      </w:r>
      <w:r>
        <w:rPr>
          <w:rFonts w:ascii="Arial" w:hAnsi="Arial"/>
          <w:b/>
        </w:rPr>
        <w:t>Artículo 212.- </w:t>
      </w:r>
      <w:r>
        <w:rPr/>
        <w:t>Corresponde a la Inspección del Trabajo vigilar el cumplimiento de las leyes y demás normas de trabajo, atendiendo a las leyes y disposiciones sobre comunicaciones por agua, cuando los buques estén en puerto.</w:t>
      </w:r>
    </w:p>
    <w:p>
      <w:pPr>
        <w:pStyle w:val="BodyText"/>
      </w:pPr>
    </w:p>
    <w:p>
      <w:pPr>
        <w:pStyle w:val="BodyText"/>
        <w:spacing w:line="242" w:lineRule="auto"/>
        <w:ind w:left="338" w:right="349" w:firstLine="288"/>
        <w:jc w:val="both"/>
      </w:pPr>
      <w:bookmarkStart w:name="Artículo_213" w:id="259"/>
      <w:bookmarkEnd w:id="259"/>
      <w:r>
        <w:rPr/>
      </w:r>
      <w:r>
        <w:rPr>
          <w:rFonts w:ascii="Arial" w:hAnsi="Arial"/>
          <w:b/>
        </w:rPr>
        <w:t>Artículo 213.- </w:t>
      </w:r>
      <w:r>
        <w:rPr/>
        <w:t>En el tráfico interior o fluvial regirán las disposiciones de este capítulo, con las modalidades siguientes:</w:t>
      </w:r>
    </w:p>
    <w:p>
      <w:pPr>
        <w:pStyle w:val="ListParagraph"/>
        <w:numPr>
          <w:ilvl w:val="0"/>
          <w:numId w:val="52"/>
        </w:numPr>
        <w:tabs>
          <w:tab w:pos="1193" w:val="left" w:leader="none"/>
          <w:tab w:pos="1195" w:val="left" w:leader="none"/>
        </w:tabs>
        <w:spacing w:line="240" w:lineRule="auto" w:before="226" w:after="0"/>
        <w:ind w:left="1195" w:right="337" w:hanging="569"/>
        <w:jc w:val="both"/>
        <w:rPr>
          <w:sz w:val="20"/>
        </w:rPr>
      </w:pPr>
      <w:r>
        <w:rPr>
          <w:sz w:val="20"/>
        </w:rPr>
        <w:t>Si la descarga dura más de veinticuatro horas en el punto en que termina la relación de trabajo, se considerará concluida ésta al expirar ese plazo, contado desde el momento en que fondee o atraque el buque;</w:t>
      </w:r>
    </w:p>
    <w:p>
      <w:pPr>
        <w:pStyle w:val="ListParagraph"/>
        <w:spacing w:after="0" w:line="240" w:lineRule="auto"/>
        <w:jc w:val="both"/>
        <w:rPr>
          <w:sz w:val="20"/>
        </w:rPr>
        <w:sectPr>
          <w:pgSz w:w="12240" w:h="15840"/>
          <w:pgMar w:header="724" w:footer="712" w:top="1880" w:bottom="900" w:left="1080" w:right="1080"/>
        </w:sectPr>
      </w:pPr>
    </w:p>
    <w:p>
      <w:pPr>
        <w:pStyle w:val="BodyText"/>
        <w:spacing w:before="63"/>
      </w:pPr>
    </w:p>
    <w:p>
      <w:pPr>
        <w:pStyle w:val="ListParagraph"/>
        <w:numPr>
          <w:ilvl w:val="0"/>
          <w:numId w:val="52"/>
        </w:numPr>
        <w:tabs>
          <w:tab w:pos="1192" w:val="left" w:leader="none"/>
          <w:tab w:pos="1195" w:val="left" w:leader="none"/>
        </w:tabs>
        <w:spacing w:line="240" w:lineRule="auto" w:before="0" w:after="0"/>
        <w:ind w:left="1195" w:right="334" w:hanging="569"/>
        <w:jc w:val="both"/>
        <w:rPr>
          <w:sz w:val="20"/>
        </w:rPr>
      </w:pPr>
      <w:r>
        <w:rPr>
          <w:sz w:val="20"/>
        </w:rPr>
        <w:t>La</w:t>
      </w:r>
      <w:r>
        <w:rPr>
          <w:spacing w:val="-3"/>
          <w:sz w:val="20"/>
        </w:rPr>
        <w:t> </w:t>
      </w:r>
      <w:r>
        <w:rPr>
          <w:sz w:val="20"/>
        </w:rPr>
        <w:t>alimentación</w:t>
      </w:r>
      <w:r>
        <w:rPr>
          <w:spacing w:val="-3"/>
          <w:sz w:val="20"/>
        </w:rPr>
        <w:t> </w:t>
      </w:r>
      <w:r>
        <w:rPr>
          <w:sz w:val="20"/>
        </w:rPr>
        <w:t>de</w:t>
      </w:r>
      <w:r>
        <w:rPr>
          <w:spacing w:val="-2"/>
          <w:sz w:val="20"/>
        </w:rPr>
        <w:t> </w:t>
      </w:r>
      <w:r>
        <w:rPr>
          <w:sz w:val="20"/>
        </w:rPr>
        <w:t>los</w:t>
      </w:r>
      <w:r>
        <w:rPr>
          <w:spacing w:val="-1"/>
          <w:sz w:val="20"/>
        </w:rPr>
        <w:t> </w:t>
      </w:r>
      <w:r>
        <w:rPr>
          <w:sz w:val="20"/>
        </w:rPr>
        <w:t>trabajadores por</w:t>
      </w:r>
      <w:r>
        <w:rPr>
          <w:spacing w:val="-1"/>
          <w:sz w:val="20"/>
        </w:rPr>
        <w:t> </w:t>
      </w:r>
      <w:r>
        <w:rPr>
          <w:sz w:val="20"/>
        </w:rPr>
        <w:t>cuenta</w:t>
      </w:r>
      <w:r>
        <w:rPr>
          <w:spacing w:val="-2"/>
          <w:sz w:val="20"/>
        </w:rPr>
        <w:t> </w:t>
      </w:r>
      <w:r>
        <w:rPr>
          <w:sz w:val="20"/>
        </w:rPr>
        <w:t>de</w:t>
      </w:r>
      <w:r>
        <w:rPr>
          <w:spacing w:val="-3"/>
          <w:sz w:val="20"/>
        </w:rPr>
        <w:t> </w:t>
      </w:r>
      <w:r>
        <w:rPr>
          <w:sz w:val="20"/>
        </w:rPr>
        <w:t>los</w:t>
      </w:r>
      <w:r>
        <w:rPr>
          <w:spacing w:val="-1"/>
          <w:sz w:val="20"/>
        </w:rPr>
        <w:t> </w:t>
      </w:r>
      <w:r>
        <w:rPr>
          <w:sz w:val="20"/>
        </w:rPr>
        <w:t>patrones</w:t>
      </w:r>
      <w:r>
        <w:rPr>
          <w:spacing w:val="-1"/>
          <w:sz w:val="20"/>
        </w:rPr>
        <w:t> </w:t>
      </w:r>
      <w:r>
        <w:rPr>
          <w:sz w:val="20"/>
        </w:rPr>
        <w:t>es</w:t>
      </w:r>
      <w:r>
        <w:rPr>
          <w:spacing w:val="-1"/>
          <w:sz w:val="20"/>
        </w:rPr>
        <w:t> </w:t>
      </w:r>
      <w:r>
        <w:rPr>
          <w:sz w:val="20"/>
        </w:rPr>
        <w:t>obligatoria, aun</w:t>
      </w:r>
      <w:r>
        <w:rPr>
          <w:spacing w:val="-2"/>
          <w:sz w:val="20"/>
        </w:rPr>
        <w:t> </w:t>
      </w:r>
      <w:r>
        <w:rPr>
          <w:sz w:val="20"/>
        </w:rPr>
        <w:t>cuando no</w:t>
      </w:r>
      <w:r>
        <w:rPr>
          <w:spacing w:val="-3"/>
          <w:sz w:val="20"/>
        </w:rPr>
        <w:t> </w:t>
      </w:r>
      <w:r>
        <w:rPr>
          <w:sz w:val="20"/>
        </w:rPr>
        <w:t>se estipule en los contratos, si a bordo se proporciona a los pasajeros; y en todo caso, cuando se trate de buques que naveguen por seis horas o más, o que navegando menos de ese tiempo, suspendan la navegación en lugares despoblados en los que sea imposible a los trabajadores proveerse de alimentos;</w:t>
      </w:r>
    </w:p>
    <w:p>
      <w:pPr>
        <w:pStyle w:val="BodyText"/>
      </w:pPr>
    </w:p>
    <w:p>
      <w:pPr>
        <w:pStyle w:val="ListParagraph"/>
        <w:numPr>
          <w:ilvl w:val="0"/>
          <w:numId w:val="52"/>
        </w:numPr>
        <w:tabs>
          <w:tab w:pos="1191" w:val="left" w:leader="none"/>
          <w:tab w:pos="1195" w:val="left" w:leader="none"/>
        </w:tabs>
        <w:spacing w:line="242" w:lineRule="auto" w:before="0" w:after="0"/>
        <w:ind w:left="1195" w:right="340" w:hanging="569"/>
        <w:jc w:val="both"/>
        <w:rPr>
          <w:sz w:val="20"/>
        </w:rPr>
      </w:pPr>
      <w:r>
        <w:rPr>
          <w:sz w:val="20"/>
        </w:rPr>
        <w:t>La</w:t>
      </w:r>
      <w:r>
        <w:rPr>
          <w:spacing w:val="-3"/>
          <w:sz w:val="20"/>
        </w:rPr>
        <w:t> </w:t>
      </w:r>
      <w:r>
        <w:rPr>
          <w:sz w:val="20"/>
        </w:rPr>
        <w:t>permanencia</w:t>
      </w:r>
      <w:r>
        <w:rPr>
          <w:spacing w:val="-2"/>
          <w:sz w:val="20"/>
        </w:rPr>
        <w:t> </w:t>
      </w:r>
      <w:r>
        <w:rPr>
          <w:sz w:val="20"/>
        </w:rPr>
        <w:t>obligada</w:t>
      </w:r>
      <w:r>
        <w:rPr>
          <w:spacing w:val="-3"/>
          <w:sz w:val="20"/>
        </w:rPr>
        <w:t> </w:t>
      </w:r>
      <w:r>
        <w:rPr>
          <w:sz w:val="20"/>
        </w:rPr>
        <w:t>a bordo</w:t>
      </w:r>
      <w:r>
        <w:rPr>
          <w:spacing w:val="-3"/>
          <w:sz w:val="20"/>
        </w:rPr>
        <w:t> </w:t>
      </w:r>
      <w:r>
        <w:rPr>
          <w:sz w:val="20"/>
        </w:rPr>
        <w:t>se</w:t>
      </w:r>
      <w:r>
        <w:rPr>
          <w:spacing w:val="-2"/>
          <w:sz w:val="20"/>
        </w:rPr>
        <w:t> </w:t>
      </w:r>
      <w:r>
        <w:rPr>
          <w:sz w:val="20"/>
        </w:rPr>
        <w:t>considera</w:t>
      </w:r>
      <w:r>
        <w:rPr>
          <w:spacing w:val="-2"/>
          <w:sz w:val="20"/>
        </w:rPr>
        <w:t> </w:t>
      </w:r>
      <w:r>
        <w:rPr>
          <w:sz w:val="20"/>
        </w:rPr>
        <w:t>como</w:t>
      </w:r>
      <w:r>
        <w:rPr>
          <w:spacing w:val="-2"/>
          <w:sz w:val="20"/>
        </w:rPr>
        <w:t> </w:t>
      </w:r>
      <w:r>
        <w:rPr>
          <w:sz w:val="20"/>
        </w:rPr>
        <w:t>tiempo</w:t>
      </w:r>
      <w:r>
        <w:rPr>
          <w:spacing w:val="-3"/>
          <w:sz w:val="20"/>
        </w:rPr>
        <w:t> </w:t>
      </w:r>
      <w:r>
        <w:rPr>
          <w:sz w:val="20"/>
        </w:rPr>
        <w:t>de</w:t>
      </w:r>
      <w:r>
        <w:rPr>
          <w:spacing w:val="-3"/>
          <w:sz w:val="20"/>
        </w:rPr>
        <w:t> </w:t>
      </w:r>
      <w:r>
        <w:rPr>
          <w:sz w:val="20"/>
        </w:rPr>
        <w:t>trabajo,</w:t>
      </w:r>
      <w:r>
        <w:rPr>
          <w:spacing w:val="-2"/>
          <w:sz w:val="20"/>
        </w:rPr>
        <w:t> </w:t>
      </w:r>
      <w:r>
        <w:rPr>
          <w:sz w:val="20"/>
        </w:rPr>
        <w:t>a</w:t>
      </w:r>
      <w:r>
        <w:rPr>
          <w:spacing w:val="-2"/>
          <w:sz w:val="20"/>
        </w:rPr>
        <w:t> </w:t>
      </w:r>
      <w:r>
        <w:rPr>
          <w:sz w:val="20"/>
        </w:rPr>
        <w:t>menos</w:t>
      </w:r>
      <w:r>
        <w:rPr>
          <w:spacing w:val="-1"/>
          <w:sz w:val="20"/>
        </w:rPr>
        <w:t> </w:t>
      </w:r>
      <w:r>
        <w:rPr>
          <w:sz w:val="20"/>
        </w:rPr>
        <w:t>que</w:t>
      </w:r>
      <w:r>
        <w:rPr>
          <w:spacing w:val="-2"/>
          <w:sz w:val="20"/>
        </w:rPr>
        <w:t> </w:t>
      </w:r>
      <w:r>
        <w:rPr>
          <w:sz w:val="20"/>
        </w:rPr>
        <w:t>el</w:t>
      </w:r>
      <w:r>
        <w:rPr>
          <w:spacing w:val="-3"/>
          <w:sz w:val="20"/>
        </w:rPr>
        <w:t> </w:t>
      </w:r>
      <w:r>
        <w:rPr>
          <w:sz w:val="20"/>
        </w:rPr>
        <w:t>período de descanso sea de cuatro horas o más, que exista para el trabajador la imposibilidad material de abandonar el buque o que el abandono carezca de objeto por tratarse de lugares despoblados; y</w:t>
      </w:r>
    </w:p>
    <w:p>
      <w:pPr>
        <w:pStyle w:val="ListParagraph"/>
        <w:numPr>
          <w:ilvl w:val="0"/>
          <w:numId w:val="52"/>
        </w:numPr>
        <w:tabs>
          <w:tab w:pos="1195" w:val="left" w:leader="none"/>
        </w:tabs>
        <w:spacing w:line="240" w:lineRule="auto" w:before="223" w:after="0"/>
        <w:ind w:left="1195" w:right="0" w:hanging="569"/>
        <w:jc w:val="left"/>
        <w:rPr>
          <w:sz w:val="20"/>
        </w:rPr>
      </w:pPr>
      <w:r>
        <w:rPr>
          <w:sz w:val="20"/>
        </w:rPr>
        <w:t>El</w:t>
      </w:r>
      <w:r>
        <w:rPr>
          <w:spacing w:val="-7"/>
          <w:sz w:val="20"/>
        </w:rPr>
        <w:t> </w:t>
      </w:r>
      <w:r>
        <w:rPr>
          <w:sz w:val="20"/>
        </w:rPr>
        <w:t>descanso</w:t>
      </w:r>
      <w:r>
        <w:rPr>
          <w:spacing w:val="-8"/>
          <w:sz w:val="20"/>
        </w:rPr>
        <w:t> </w:t>
      </w:r>
      <w:r>
        <w:rPr>
          <w:sz w:val="20"/>
        </w:rPr>
        <w:t>semanal</w:t>
      </w:r>
      <w:r>
        <w:rPr>
          <w:spacing w:val="-9"/>
          <w:sz w:val="20"/>
        </w:rPr>
        <w:t> </w:t>
      </w:r>
      <w:r>
        <w:rPr>
          <w:sz w:val="20"/>
        </w:rPr>
        <w:t>será</w:t>
      </w:r>
      <w:r>
        <w:rPr>
          <w:spacing w:val="-3"/>
          <w:sz w:val="20"/>
        </w:rPr>
        <w:t> </w:t>
      </w:r>
      <w:r>
        <w:rPr>
          <w:sz w:val="20"/>
        </w:rPr>
        <w:t>forzosamente</w:t>
      </w:r>
      <w:r>
        <w:rPr>
          <w:spacing w:val="-9"/>
          <w:sz w:val="20"/>
        </w:rPr>
        <w:t> </w:t>
      </w:r>
      <w:r>
        <w:rPr>
          <w:sz w:val="20"/>
        </w:rPr>
        <w:t>en</w:t>
      </w:r>
      <w:r>
        <w:rPr>
          <w:spacing w:val="-8"/>
          <w:sz w:val="20"/>
        </w:rPr>
        <w:t> </w:t>
      </w:r>
      <w:r>
        <w:rPr>
          <w:spacing w:val="-2"/>
          <w:sz w:val="20"/>
        </w:rPr>
        <w:t>tierra.</w:t>
      </w:r>
    </w:p>
    <w:p>
      <w:pPr>
        <w:pStyle w:val="BodyText"/>
        <w:spacing w:line="242" w:lineRule="auto" w:before="229"/>
        <w:ind w:left="338" w:right="344" w:firstLine="288"/>
        <w:jc w:val="both"/>
      </w:pPr>
      <w:bookmarkStart w:name="Artículo_214" w:id="260"/>
      <w:bookmarkEnd w:id="260"/>
      <w:r>
        <w:rPr/>
      </w:r>
      <w:r>
        <w:rPr>
          <w:rFonts w:ascii="Arial" w:hAnsi="Arial"/>
          <w:b/>
        </w:rPr>
        <w:t>Artículo 214.- </w:t>
      </w:r>
      <w:r>
        <w:rPr/>
        <w:t>El Ejecutivo Federal determinará la forma de sostener y mejorar los servicios de la</w:t>
      </w:r>
      <w:r>
        <w:rPr>
          <w:spacing w:val="40"/>
        </w:rPr>
        <w:t> </w:t>
      </w:r>
      <w:r>
        <w:rPr/>
        <w:t>Casa del Marino y fijará las aportaciones de los patrones.</w:t>
      </w:r>
    </w:p>
    <w:p>
      <w:pPr>
        <w:pStyle w:val="Heading1"/>
        <w:spacing w:line="252" w:lineRule="exact" w:before="225"/>
      </w:pPr>
      <w:r>
        <w:rPr/>
        <w:t>CAPITULO</w:t>
      </w:r>
      <w:r>
        <w:rPr>
          <w:spacing w:val="-9"/>
        </w:rPr>
        <w:t> </w:t>
      </w:r>
      <w:r>
        <w:rPr>
          <w:spacing w:val="-7"/>
        </w:rPr>
        <w:t>IV</w:t>
      </w:r>
    </w:p>
    <w:p>
      <w:pPr>
        <w:pStyle w:val="Heading2"/>
        <w:spacing w:line="252" w:lineRule="exact"/>
        <w:ind w:left="300"/>
      </w:pPr>
      <w:r>
        <w:rPr/>
        <w:t>Trabajo</w:t>
      </w:r>
      <w:r>
        <w:rPr>
          <w:spacing w:val="-6"/>
        </w:rPr>
        <w:t> </w:t>
      </w:r>
      <w:r>
        <w:rPr/>
        <w:t>de</w:t>
      </w:r>
      <w:r>
        <w:rPr>
          <w:spacing w:val="-5"/>
        </w:rPr>
        <w:t> </w:t>
      </w:r>
      <w:r>
        <w:rPr/>
        <w:t>las</w:t>
      </w:r>
      <w:r>
        <w:rPr>
          <w:spacing w:val="-6"/>
        </w:rPr>
        <w:t> </w:t>
      </w:r>
      <w:r>
        <w:rPr/>
        <w:t>tripulaciones</w:t>
      </w:r>
      <w:r>
        <w:rPr>
          <w:spacing w:val="-5"/>
        </w:rPr>
        <w:t> </w:t>
      </w:r>
      <w:r>
        <w:rPr>
          <w:spacing w:val="-2"/>
        </w:rPr>
        <w:t>aeronáuticas</w:t>
      </w:r>
    </w:p>
    <w:p>
      <w:pPr>
        <w:pStyle w:val="BodyText"/>
        <w:spacing w:line="242" w:lineRule="auto" w:before="231"/>
        <w:ind w:left="338" w:right="339" w:firstLine="288"/>
        <w:jc w:val="both"/>
      </w:pPr>
      <w:bookmarkStart w:name="Artículo_215" w:id="261"/>
      <w:bookmarkEnd w:id="261"/>
      <w:r>
        <w:rPr/>
      </w:r>
      <w:r>
        <w:rPr>
          <w:rFonts w:ascii="Arial" w:hAnsi="Arial"/>
          <w:b/>
        </w:rPr>
        <w:t>Artículo 215.- </w:t>
      </w:r>
      <w:r>
        <w:rPr/>
        <w:t>Las disposiciones de este capítulo se aplican al trabajo de las tripulaciones de las aeronaves civiles que ostenten matrícula mexicana. Tienen como finalidad, además de la prevista en el artículo</w:t>
      </w:r>
      <w:r>
        <w:rPr>
          <w:spacing w:val="-2"/>
        </w:rPr>
        <w:t> </w:t>
      </w:r>
      <w:r>
        <w:rPr/>
        <w:t>2o,</w:t>
      </w:r>
      <w:r>
        <w:rPr>
          <w:spacing w:val="-2"/>
        </w:rPr>
        <w:t> </w:t>
      </w:r>
      <w:r>
        <w:rPr/>
        <w:t>garantizar</w:t>
      </w:r>
      <w:r>
        <w:rPr>
          <w:spacing w:val="-1"/>
        </w:rPr>
        <w:t> </w:t>
      </w:r>
      <w:r>
        <w:rPr/>
        <w:t>la</w:t>
      </w:r>
      <w:r>
        <w:rPr>
          <w:spacing w:val="-2"/>
        </w:rPr>
        <w:t> </w:t>
      </w:r>
      <w:r>
        <w:rPr/>
        <w:t>seguridad</w:t>
      </w:r>
      <w:r>
        <w:rPr>
          <w:spacing w:val="-3"/>
        </w:rPr>
        <w:t> </w:t>
      </w:r>
      <w:r>
        <w:rPr/>
        <w:t>de las</w:t>
      </w:r>
      <w:r>
        <w:rPr>
          <w:spacing w:val="-1"/>
        </w:rPr>
        <w:t> </w:t>
      </w:r>
      <w:r>
        <w:rPr/>
        <w:t>operaciones</w:t>
      </w:r>
      <w:r>
        <w:rPr>
          <w:spacing w:val="-1"/>
        </w:rPr>
        <w:t> </w:t>
      </w:r>
      <w:r>
        <w:rPr/>
        <w:t>aeronáuticas, y</w:t>
      </w:r>
      <w:r>
        <w:rPr>
          <w:spacing w:val="-5"/>
        </w:rPr>
        <w:t> </w:t>
      </w:r>
      <w:r>
        <w:rPr/>
        <w:t>son</w:t>
      </w:r>
      <w:r>
        <w:rPr>
          <w:spacing w:val="-2"/>
        </w:rPr>
        <w:t> </w:t>
      </w:r>
      <w:r>
        <w:rPr/>
        <w:t>irrenunciables</w:t>
      </w:r>
      <w:r>
        <w:rPr>
          <w:spacing w:val="-1"/>
        </w:rPr>
        <w:t> </w:t>
      </w:r>
      <w:r>
        <w:rPr/>
        <w:t>en</w:t>
      </w:r>
      <w:r>
        <w:rPr>
          <w:spacing w:val="-3"/>
        </w:rPr>
        <w:t> </w:t>
      </w:r>
      <w:r>
        <w:rPr/>
        <w:t>la</w:t>
      </w:r>
      <w:r>
        <w:rPr>
          <w:spacing w:val="-2"/>
        </w:rPr>
        <w:t> </w:t>
      </w:r>
      <w:r>
        <w:rPr/>
        <w:t>medida</w:t>
      </w:r>
      <w:r>
        <w:rPr>
          <w:spacing w:val="-3"/>
        </w:rPr>
        <w:t> </w:t>
      </w:r>
      <w:r>
        <w:rPr/>
        <w:t>en que correspondan a este propósito.</w:t>
      </w:r>
    </w:p>
    <w:p>
      <w:pPr>
        <w:pStyle w:val="BodyText"/>
        <w:spacing w:line="242" w:lineRule="auto" w:before="220"/>
        <w:ind w:left="338" w:right="337" w:firstLine="288"/>
        <w:jc w:val="both"/>
      </w:pPr>
      <w:bookmarkStart w:name="Artículo_216" w:id="262"/>
      <w:bookmarkEnd w:id="262"/>
      <w:r>
        <w:rPr/>
      </w:r>
      <w:r>
        <w:rPr>
          <w:rFonts w:ascii="Arial" w:hAnsi="Arial"/>
          <w:b/>
        </w:rPr>
        <w:t>Artículo 216.- </w:t>
      </w:r>
      <w:r>
        <w:rPr/>
        <w:t>Los tripulantes deben tener la calidad de mexicanos por nacimiento que no adquieran otra nacionalidad y estar en pleno goce y ejercicio de sus derechos civiles y políticos.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23-01-</w:t>
      </w:r>
      <w:r>
        <w:rPr>
          <w:rFonts w:ascii="Times New Roman" w:hAnsi="Times New Roman"/>
          <w:i/>
          <w:color w:val="0000FF"/>
          <w:spacing w:val="-4"/>
          <w:sz w:val="16"/>
        </w:rPr>
        <w:t>1998</w:t>
      </w:r>
    </w:p>
    <w:p>
      <w:pPr>
        <w:pStyle w:val="BodyText"/>
        <w:spacing w:before="48"/>
        <w:rPr>
          <w:rFonts w:ascii="Times New Roman"/>
          <w:i/>
          <w:sz w:val="16"/>
        </w:rPr>
      </w:pPr>
    </w:p>
    <w:p>
      <w:pPr>
        <w:pStyle w:val="BodyText"/>
        <w:ind w:left="338" w:right="349" w:firstLine="288"/>
        <w:jc w:val="both"/>
      </w:pPr>
      <w:bookmarkStart w:name="Artículo_217" w:id="263"/>
      <w:bookmarkEnd w:id="263"/>
      <w:r>
        <w:rPr/>
      </w:r>
      <w:r>
        <w:rPr>
          <w:rFonts w:ascii="Arial" w:hAnsi="Arial"/>
          <w:b/>
        </w:rPr>
        <w:t>Artículo 217.- </w:t>
      </w:r>
      <w:r>
        <w:rPr/>
        <w:t>Las relaciones de trabajo a que se refiere este capítulo se regirán por las leyes mexicanas, independientemente del lugar en donde vayan a prestarse los servicios.</w:t>
      </w:r>
    </w:p>
    <w:p>
      <w:pPr>
        <w:pStyle w:val="BodyText"/>
        <w:spacing w:line="242" w:lineRule="auto" w:before="229"/>
        <w:ind w:left="338" w:right="346" w:firstLine="288"/>
        <w:jc w:val="both"/>
      </w:pPr>
      <w:bookmarkStart w:name="Artículo_218" w:id="264"/>
      <w:bookmarkEnd w:id="264"/>
      <w:r>
        <w:rPr/>
      </w:r>
      <w:r>
        <w:rPr>
          <w:rFonts w:ascii="Arial" w:hAnsi="Arial"/>
          <w:b/>
        </w:rPr>
        <w:t>Artículo 218.- </w:t>
      </w:r>
      <w:r>
        <w:rPr/>
        <w:t>Deberán considerarse miembros de las tripulaciones aeronáuticas, de acuerdo con las disposiciones legales y técnicas correspondientes:</w:t>
      </w:r>
    </w:p>
    <w:p>
      <w:pPr>
        <w:pStyle w:val="ListParagraph"/>
        <w:numPr>
          <w:ilvl w:val="0"/>
          <w:numId w:val="53"/>
        </w:numPr>
        <w:tabs>
          <w:tab w:pos="1195" w:val="left" w:leader="none"/>
        </w:tabs>
        <w:spacing w:line="240" w:lineRule="auto" w:before="227" w:after="0"/>
        <w:ind w:left="1195" w:right="0" w:hanging="569"/>
        <w:jc w:val="left"/>
        <w:rPr>
          <w:sz w:val="20"/>
        </w:rPr>
      </w:pPr>
      <w:r>
        <w:rPr>
          <w:sz w:val="20"/>
        </w:rPr>
        <w:t>El</w:t>
      </w:r>
      <w:r>
        <w:rPr>
          <w:spacing w:val="-6"/>
          <w:sz w:val="20"/>
        </w:rPr>
        <w:t> </w:t>
      </w:r>
      <w:r>
        <w:rPr>
          <w:sz w:val="20"/>
        </w:rPr>
        <w:t>piloto</w:t>
      </w:r>
      <w:r>
        <w:rPr>
          <w:spacing w:val="-4"/>
          <w:sz w:val="20"/>
        </w:rPr>
        <w:t> </w:t>
      </w:r>
      <w:r>
        <w:rPr>
          <w:sz w:val="20"/>
        </w:rPr>
        <w:t>al</w:t>
      </w:r>
      <w:r>
        <w:rPr>
          <w:spacing w:val="-8"/>
          <w:sz w:val="20"/>
        </w:rPr>
        <w:t> </w:t>
      </w:r>
      <w:r>
        <w:rPr>
          <w:sz w:val="20"/>
        </w:rPr>
        <w:t>mando</w:t>
      </w:r>
      <w:r>
        <w:rPr>
          <w:spacing w:val="-7"/>
          <w:sz w:val="20"/>
        </w:rPr>
        <w:t> </w:t>
      </w:r>
      <w:r>
        <w:rPr>
          <w:sz w:val="20"/>
        </w:rPr>
        <w:t>de</w:t>
      </w:r>
      <w:r>
        <w:rPr>
          <w:spacing w:val="-5"/>
          <w:sz w:val="20"/>
        </w:rPr>
        <w:t> </w:t>
      </w:r>
      <w:r>
        <w:rPr>
          <w:sz w:val="20"/>
        </w:rPr>
        <w:t>la</w:t>
      </w:r>
      <w:r>
        <w:rPr>
          <w:spacing w:val="-5"/>
          <w:sz w:val="20"/>
        </w:rPr>
        <w:t> </w:t>
      </w:r>
      <w:r>
        <w:rPr>
          <w:sz w:val="20"/>
        </w:rPr>
        <w:t>aeronave</w:t>
      </w:r>
      <w:r>
        <w:rPr>
          <w:spacing w:val="-6"/>
          <w:sz w:val="20"/>
        </w:rPr>
        <w:t> </w:t>
      </w:r>
      <w:r>
        <w:rPr>
          <w:sz w:val="20"/>
        </w:rPr>
        <w:t>(Comandante</w:t>
      </w:r>
      <w:r>
        <w:rPr>
          <w:spacing w:val="-6"/>
          <w:sz w:val="20"/>
        </w:rPr>
        <w:t> </w:t>
      </w:r>
      <w:r>
        <w:rPr>
          <w:sz w:val="20"/>
        </w:rPr>
        <w:t>o</w:t>
      </w:r>
      <w:r>
        <w:rPr>
          <w:spacing w:val="-6"/>
          <w:sz w:val="20"/>
        </w:rPr>
        <w:t> </w:t>
      </w:r>
      <w:r>
        <w:rPr>
          <w:spacing w:val="-2"/>
          <w:sz w:val="20"/>
        </w:rPr>
        <w:t>Capitán);</w:t>
      </w:r>
    </w:p>
    <w:p>
      <w:pPr>
        <w:pStyle w:val="ListParagraph"/>
        <w:numPr>
          <w:ilvl w:val="0"/>
          <w:numId w:val="53"/>
        </w:numPr>
        <w:tabs>
          <w:tab w:pos="1195" w:val="left" w:leader="none"/>
        </w:tabs>
        <w:spacing w:line="240" w:lineRule="auto" w:before="228" w:after="0"/>
        <w:ind w:left="1195" w:right="0" w:hanging="569"/>
        <w:jc w:val="left"/>
        <w:rPr>
          <w:sz w:val="20"/>
        </w:rPr>
      </w:pPr>
      <w:r>
        <w:rPr>
          <w:sz w:val="20"/>
        </w:rPr>
        <w:t>Los</w:t>
      </w:r>
      <w:r>
        <w:rPr>
          <w:spacing w:val="-8"/>
          <w:sz w:val="20"/>
        </w:rPr>
        <w:t> </w:t>
      </w:r>
      <w:r>
        <w:rPr>
          <w:sz w:val="20"/>
        </w:rPr>
        <w:t>oficiales</w:t>
      </w:r>
      <w:r>
        <w:rPr>
          <w:spacing w:val="-8"/>
          <w:sz w:val="20"/>
        </w:rPr>
        <w:t> </w:t>
      </w:r>
      <w:r>
        <w:rPr>
          <w:sz w:val="20"/>
        </w:rPr>
        <w:t>que</w:t>
      </w:r>
      <w:r>
        <w:rPr>
          <w:spacing w:val="-8"/>
          <w:sz w:val="20"/>
        </w:rPr>
        <w:t> </w:t>
      </w:r>
      <w:r>
        <w:rPr>
          <w:sz w:val="20"/>
        </w:rPr>
        <w:t>desarrollen</w:t>
      </w:r>
      <w:r>
        <w:rPr>
          <w:spacing w:val="-9"/>
          <w:sz w:val="20"/>
        </w:rPr>
        <w:t> </w:t>
      </w:r>
      <w:r>
        <w:rPr>
          <w:sz w:val="20"/>
        </w:rPr>
        <w:t>labores</w:t>
      </w:r>
      <w:r>
        <w:rPr>
          <w:spacing w:val="-8"/>
          <w:sz w:val="20"/>
        </w:rPr>
        <w:t> </w:t>
      </w:r>
      <w:r>
        <w:rPr>
          <w:spacing w:val="-2"/>
          <w:sz w:val="20"/>
        </w:rPr>
        <w:t>análogas;</w:t>
      </w:r>
    </w:p>
    <w:p>
      <w:pPr>
        <w:pStyle w:val="BodyText"/>
        <w:spacing w:before="1"/>
      </w:pPr>
    </w:p>
    <w:p>
      <w:pPr>
        <w:pStyle w:val="ListParagraph"/>
        <w:numPr>
          <w:ilvl w:val="0"/>
          <w:numId w:val="53"/>
        </w:numPr>
        <w:tabs>
          <w:tab w:pos="1195" w:val="left" w:leader="none"/>
        </w:tabs>
        <w:spacing w:line="240" w:lineRule="auto" w:before="0" w:after="0"/>
        <w:ind w:left="1195" w:right="0" w:hanging="569"/>
        <w:jc w:val="left"/>
        <w:rPr>
          <w:sz w:val="20"/>
        </w:rPr>
      </w:pPr>
      <w:r>
        <w:rPr>
          <w:sz w:val="20"/>
        </w:rPr>
        <w:t>El</w:t>
      </w:r>
      <w:r>
        <w:rPr>
          <w:spacing w:val="-8"/>
          <w:sz w:val="20"/>
        </w:rPr>
        <w:t> </w:t>
      </w:r>
      <w:r>
        <w:rPr>
          <w:sz w:val="20"/>
        </w:rPr>
        <w:t>navegante;</w:t>
      </w:r>
      <w:r>
        <w:rPr>
          <w:spacing w:val="-4"/>
          <w:sz w:val="20"/>
        </w:rPr>
        <w:t> </w:t>
      </w:r>
      <w:r>
        <w:rPr>
          <w:spacing w:val="-10"/>
          <w:sz w:val="20"/>
        </w:rPr>
        <w:t>y</w:t>
      </w:r>
    </w:p>
    <w:p>
      <w:pPr>
        <w:pStyle w:val="ListParagraph"/>
        <w:numPr>
          <w:ilvl w:val="0"/>
          <w:numId w:val="53"/>
        </w:numPr>
        <w:tabs>
          <w:tab w:pos="1195" w:val="left" w:leader="none"/>
        </w:tabs>
        <w:spacing w:line="240" w:lineRule="auto" w:before="228" w:after="0"/>
        <w:ind w:left="1195" w:right="0" w:hanging="569"/>
        <w:jc w:val="left"/>
        <w:rPr>
          <w:sz w:val="20"/>
        </w:rPr>
      </w:pPr>
      <w:r>
        <w:rPr>
          <w:sz w:val="20"/>
        </w:rPr>
        <w:t>Los</w:t>
      </w:r>
      <w:r>
        <w:rPr>
          <w:spacing w:val="-6"/>
          <w:sz w:val="20"/>
        </w:rPr>
        <w:t> </w:t>
      </w:r>
      <w:r>
        <w:rPr>
          <w:spacing w:val="-2"/>
          <w:sz w:val="20"/>
        </w:rPr>
        <w:t>sobrecargos.</w:t>
      </w:r>
    </w:p>
    <w:p>
      <w:pPr>
        <w:pStyle w:val="BodyText"/>
        <w:spacing w:before="2"/>
      </w:pPr>
    </w:p>
    <w:p>
      <w:pPr>
        <w:pStyle w:val="BodyText"/>
        <w:spacing w:line="242" w:lineRule="auto"/>
        <w:ind w:left="338" w:right="340" w:firstLine="288"/>
        <w:jc w:val="both"/>
      </w:pPr>
      <w:bookmarkStart w:name="Artículo_219" w:id="265"/>
      <w:bookmarkEnd w:id="265"/>
      <w:r>
        <w:rPr/>
      </w:r>
      <w:r>
        <w:rPr>
          <w:rFonts w:ascii="Arial" w:hAnsi="Arial"/>
          <w:b/>
        </w:rPr>
        <w:t>Artículo 219.- </w:t>
      </w:r>
      <w:r>
        <w:rPr/>
        <w:t>Serán considerados representantes del patrón, por la naturaleza de las funciones que desempeñan, los gerentes de operación o superintendentes de vuelos, jefes de adiestramiento, jefes de pilotos,</w:t>
      </w:r>
      <w:r>
        <w:rPr>
          <w:spacing w:val="-3"/>
        </w:rPr>
        <w:t> </w:t>
      </w:r>
      <w:r>
        <w:rPr/>
        <w:t>pilotos</w:t>
      </w:r>
      <w:r>
        <w:rPr>
          <w:spacing w:val="-2"/>
        </w:rPr>
        <w:t> </w:t>
      </w:r>
      <w:r>
        <w:rPr/>
        <w:t>instructores</w:t>
      </w:r>
      <w:r>
        <w:rPr>
          <w:spacing w:val="-1"/>
        </w:rPr>
        <w:t> </w:t>
      </w:r>
      <w:r>
        <w:rPr/>
        <w:t>o</w:t>
      </w:r>
      <w:r>
        <w:rPr>
          <w:spacing w:val="-3"/>
        </w:rPr>
        <w:t> </w:t>
      </w:r>
      <w:r>
        <w:rPr/>
        <w:t>asesores, y</w:t>
      </w:r>
      <w:r>
        <w:rPr>
          <w:spacing w:val="-6"/>
        </w:rPr>
        <w:t> </w:t>
      </w:r>
      <w:r>
        <w:rPr/>
        <w:t>cualesquiera otros</w:t>
      </w:r>
      <w:r>
        <w:rPr>
          <w:spacing w:val="-2"/>
        </w:rPr>
        <w:t> </w:t>
      </w:r>
      <w:r>
        <w:rPr/>
        <w:t>funcionarios</w:t>
      </w:r>
      <w:r>
        <w:rPr>
          <w:spacing w:val="-2"/>
        </w:rPr>
        <w:t> </w:t>
      </w:r>
      <w:r>
        <w:rPr/>
        <w:t>que</w:t>
      </w:r>
      <w:r>
        <w:rPr>
          <w:spacing w:val="-1"/>
        </w:rPr>
        <w:t> </w:t>
      </w:r>
      <w:r>
        <w:rPr/>
        <w:t>aun</w:t>
      </w:r>
      <w:r>
        <w:rPr>
          <w:spacing w:val="-1"/>
        </w:rPr>
        <w:t> </w:t>
      </w:r>
      <w:r>
        <w:rPr/>
        <w:t>cuando</w:t>
      </w:r>
      <w:r>
        <w:rPr>
          <w:spacing w:val="-3"/>
        </w:rPr>
        <w:t> </w:t>
      </w:r>
      <w:r>
        <w:rPr/>
        <w:t>tengan</w:t>
      </w:r>
      <w:r>
        <w:rPr>
          <w:spacing w:val="-4"/>
        </w:rPr>
        <w:t> </w:t>
      </w:r>
      <w:r>
        <w:rPr/>
        <w:t>diversas denominaciones de cargos, realicen funciones análogas a las anteriores.</w:t>
      </w:r>
    </w:p>
    <w:p>
      <w:pPr>
        <w:pStyle w:val="BodyText"/>
        <w:spacing w:before="223"/>
        <w:ind w:left="338" w:right="346" w:firstLine="288"/>
        <w:jc w:val="both"/>
      </w:pPr>
      <w:r>
        <w:rPr/>
        <w:t>Los titulares de las categorías citadas serán designados por el patrón y podrán figurar como pilotos al mando, sin perjuicio de los derechos correspondientes de los pilotos de planta, siempre y</w:t>
      </w:r>
      <w:r>
        <w:rPr>
          <w:spacing w:val="-3"/>
        </w:rPr>
        <w:t> </w:t>
      </w:r>
      <w:r>
        <w:rPr/>
        <w:t>cuando reúnan los requisitos que la Ley de Vías Generales de Comunicación y sus reglamentos, consignen al respecto.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30-04-</w:t>
      </w:r>
      <w:r>
        <w:rPr>
          <w:rFonts w:ascii="Times New Roman" w:hAnsi="Times New Roman"/>
          <w:i/>
          <w:color w:val="0000FF"/>
          <w:spacing w:val="-4"/>
          <w:sz w:val="16"/>
        </w:rPr>
        <w:t>1970</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BodyText"/>
        <w:ind w:left="338" w:right="338" w:firstLine="288"/>
        <w:jc w:val="both"/>
      </w:pPr>
      <w:bookmarkStart w:name="Artículo_220" w:id="266"/>
      <w:bookmarkEnd w:id="266"/>
      <w:r>
        <w:rPr/>
      </w:r>
      <w:r>
        <w:rPr>
          <w:rFonts w:ascii="Arial" w:hAnsi="Arial"/>
          <w:b/>
        </w:rPr>
        <w:t>Artículo 220.- </w:t>
      </w:r>
      <w:r>
        <w:rPr/>
        <w:t>El piloto al mando de una aeronave es responsable de la conducción y</w:t>
      </w:r>
      <w:r>
        <w:rPr>
          <w:spacing w:val="-2"/>
        </w:rPr>
        <w:t> </w:t>
      </w:r>
      <w:r>
        <w:rPr/>
        <w:t>seguridad de la misma durante el tiempo efectivo de vuelo, y tiene a su cargo la dirección, el cuidado, el orden y la seguridad de la tripulación, de los pasajeros, del equipaje y de la carga y correo que aquélla transporte. Las responsabilidades y atribuciones que confiere a los comandantes la Ley de Vías Generales de Comunicación y</w:t>
      </w:r>
      <w:r>
        <w:rPr>
          <w:spacing w:val="-4"/>
        </w:rPr>
        <w:t> </w:t>
      </w:r>
      <w:r>
        <w:rPr/>
        <w:t>sus reglamentos,</w:t>
      </w:r>
      <w:r>
        <w:rPr>
          <w:spacing w:val="-1"/>
        </w:rPr>
        <w:t> </w:t>
      </w:r>
      <w:r>
        <w:rPr/>
        <w:t>no</w:t>
      </w:r>
      <w:r>
        <w:rPr>
          <w:spacing w:val="-2"/>
        </w:rPr>
        <w:t> </w:t>
      </w:r>
      <w:r>
        <w:rPr/>
        <w:t>podrán ser reducidas ni</w:t>
      </w:r>
      <w:r>
        <w:rPr>
          <w:spacing w:val="-2"/>
        </w:rPr>
        <w:t> </w:t>
      </w:r>
      <w:r>
        <w:rPr/>
        <w:t>modificadas por el</w:t>
      </w:r>
      <w:r>
        <w:rPr>
          <w:spacing w:val="-2"/>
        </w:rPr>
        <w:t> </w:t>
      </w:r>
      <w:r>
        <w:rPr/>
        <w:t>ejercicio</w:t>
      </w:r>
      <w:r>
        <w:rPr>
          <w:spacing w:val="-1"/>
        </w:rPr>
        <w:t> </w:t>
      </w:r>
      <w:r>
        <w:rPr/>
        <w:t>de los derechos y obligaciones que les corresponden conforme a las normas de trabajo.</w:t>
      </w:r>
    </w:p>
    <w:p>
      <w:pPr>
        <w:pStyle w:val="BodyText"/>
      </w:pPr>
    </w:p>
    <w:p>
      <w:pPr>
        <w:pStyle w:val="BodyText"/>
        <w:spacing w:line="242" w:lineRule="auto"/>
        <w:ind w:left="338" w:right="334" w:firstLine="288"/>
        <w:jc w:val="both"/>
      </w:pPr>
      <w:bookmarkStart w:name="Artículo_221" w:id="267"/>
      <w:bookmarkEnd w:id="267"/>
      <w:r>
        <w:rPr/>
      </w:r>
      <w:r>
        <w:rPr>
          <w:rFonts w:ascii="Arial" w:hAnsi="Arial"/>
          <w:b/>
        </w:rPr>
        <w:t>Artículo</w:t>
      </w:r>
      <w:r>
        <w:rPr>
          <w:rFonts w:ascii="Arial" w:hAnsi="Arial"/>
          <w:b/>
          <w:spacing w:val="-1"/>
        </w:rPr>
        <w:t> </w:t>
      </w:r>
      <w:r>
        <w:rPr>
          <w:rFonts w:ascii="Arial" w:hAnsi="Arial"/>
          <w:b/>
        </w:rPr>
        <w:t>221.- </w:t>
      </w:r>
      <w:r>
        <w:rPr/>
        <w:t>Para la</w:t>
      </w:r>
      <w:r>
        <w:rPr>
          <w:spacing w:val="-2"/>
        </w:rPr>
        <w:t> </w:t>
      </w:r>
      <w:r>
        <w:rPr/>
        <w:t>determinación de las</w:t>
      </w:r>
      <w:r>
        <w:rPr>
          <w:spacing w:val="-1"/>
        </w:rPr>
        <w:t> </w:t>
      </w:r>
      <w:r>
        <w:rPr/>
        <w:t>jornadas de</w:t>
      </w:r>
      <w:r>
        <w:rPr>
          <w:spacing w:val="-3"/>
        </w:rPr>
        <w:t> </w:t>
      </w:r>
      <w:r>
        <w:rPr/>
        <w:t>trabajo,</w:t>
      </w:r>
      <w:r>
        <w:rPr>
          <w:spacing w:val="-2"/>
        </w:rPr>
        <w:t> </w:t>
      </w:r>
      <w:r>
        <w:rPr/>
        <w:t>se considerarán las</w:t>
      </w:r>
      <w:r>
        <w:rPr>
          <w:spacing w:val="-1"/>
        </w:rPr>
        <w:t> </w:t>
      </w:r>
      <w:r>
        <w:rPr/>
        <w:t>tablas de salida y puesta del sol, con relación al lugar más cercano al en que se encuentre la aeronave en vuelo.</w:t>
      </w:r>
    </w:p>
    <w:p>
      <w:pPr>
        <w:pStyle w:val="BodyText"/>
        <w:spacing w:before="227"/>
        <w:ind w:left="338" w:right="339" w:firstLine="288"/>
        <w:jc w:val="both"/>
      </w:pPr>
      <w:bookmarkStart w:name="Artículo_222" w:id="268"/>
      <w:bookmarkEnd w:id="268"/>
      <w:r>
        <w:rPr/>
      </w:r>
      <w:r>
        <w:rPr>
          <w:rFonts w:ascii="Arial" w:hAnsi="Arial"/>
          <w:b/>
        </w:rPr>
        <w:t>Artículo 222.- </w:t>
      </w:r>
      <w:r>
        <w:rPr/>
        <w:t>Por tiempo efectivo de vuelo se entiende el comprendido desde que una aeronave comienza a moverse por su propio impulso, o es remolcada para tomar posición de despegue, hasta que se detiene al terminar el vuelo.</w:t>
      </w:r>
    </w:p>
    <w:p>
      <w:pPr>
        <w:pStyle w:val="BodyText"/>
      </w:pPr>
    </w:p>
    <w:p>
      <w:pPr>
        <w:pStyle w:val="BodyText"/>
        <w:spacing w:line="242" w:lineRule="auto"/>
        <w:ind w:left="338" w:right="336" w:firstLine="288"/>
        <w:jc w:val="both"/>
      </w:pPr>
      <w:bookmarkStart w:name="Artículo_223" w:id="269"/>
      <w:bookmarkEnd w:id="269"/>
      <w:r>
        <w:rPr/>
      </w:r>
      <w:r>
        <w:rPr>
          <w:rFonts w:ascii="Arial" w:hAnsi="Arial"/>
          <w:b/>
        </w:rPr>
        <w:t>Artículo 223.- </w:t>
      </w:r>
      <w:r>
        <w:rPr/>
        <w:t>El tiempo total de servicios que deben prestar los tripulantes, considerado el equipo</w:t>
      </w:r>
      <w:r>
        <w:rPr>
          <w:spacing w:val="40"/>
        </w:rPr>
        <w:t> </w:t>
      </w:r>
      <w:r>
        <w:rPr/>
        <w:t>que se utilice, se fijará en el contrato de trabajo y comprenderá solamente el tiempo efectivo de vuelo, el de ruta y el de servicios de reserva, sin que pueda exceder de ciento ochenta horas mensuales.</w:t>
      </w:r>
    </w:p>
    <w:p>
      <w:pPr>
        <w:pStyle w:val="BodyText"/>
        <w:spacing w:line="242" w:lineRule="auto" w:before="222"/>
        <w:ind w:left="338" w:right="341" w:firstLine="288"/>
        <w:jc w:val="both"/>
      </w:pPr>
      <w:bookmarkStart w:name="Artículo_224" w:id="270"/>
      <w:bookmarkEnd w:id="270"/>
      <w:r>
        <w:rPr/>
      </w:r>
      <w:r>
        <w:rPr>
          <w:rFonts w:ascii="Arial" w:hAnsi="Arial"/>
          <w:b/>
        </w:rPr>
        <w:t>Artículo 224.- </w:t>
      </w:r>
      <w:r>
        <w:rPr/>
        <w:t>El tiempo efectivo de vuelo que mensualmente podrán trabajar los tripulantes se fijará en los contratos de trabajo, tomando en consideración las características del equipo que se utilice, sin</w:t>
      </w:r>
      <w:r>
        <w:rPr>
          <w:spacing w:val="40"/>
        </w:rPr>
        <w:t> </w:t>
      </w:r>
      <w:r>
        <w:rPr/>
        <w:t>que pueda exceder de noventa horas.</w:t>
      </w:r>
    </w:p>
    <w:p>
      <w:pPr>
        <w:pStyle w:val="BodyText"/>
        <w:spacing w:before="225"/>
        <w:ind w:left="338" w:right="344" w:firstLine="288"/>
        <w:jc w:val="both"/>
      </w:pPr>
      <w:bookmarkStart w:name="Artículo_225" w:id="271"/>
      <w:bookmarkEnd w:id="271"/>
      <w:r>
        <w:rPr/>
      </w:r>
      <w:r>
        <w:rPr>
          <w:rFonts w:ascii="Arial" w:hAnsi="Arial"/>
          <w:b/>
        </w:rPr>
        <w:t>Artículo 225.- </w:t>
      </w:r>
      <w:r>
        <w:rPr/>
        <w:t>El tiempo efectivo de vuelo de los tripulantes no excederá de ocho horas en la jornada diurna, de siete en la nocturna y de siete y media en la mixta, salvo que se les conceda un período de descanso horizontal, antes de cumplir o al cumplir dichas jornadas, igual al tiempo volado. El tiempo excedente al señalado será extraordinario.</w:t>
      </w:r>
    </w:p>
    <w:p>
      <w:pPr>
        <w:pStyle w:val="BodyText"/>
      </w:pPr>
    </w:p>
    <w:p>
      <w:pPr>
        <w:pStyle w:val="BodyText"/>
        <w:spacing w:line="242" w:lineRule="auto"/>
        <w:ind w:left="338" w:right="342" w:firstLine="288"/>
        <w:jc w:val="both"/>
      </w:pPr>
      <w:bookmarkStart w:name="Artículo_226" w:id="272"/>
      <w:bookmarkEnd w:id="272"/>
      <w:r>
        <w:rPr/>
      </w:r>
      <w:r>
        <w:rPr>
          <w:rFonts w:ascii="Arial" w:hAnsi="Arial"/>
          <w:b/>
        </w:rPr>
        <w:t>Artículo 226.- </w:t>
      </w:r>
      <w:r>
        <w:rPr/>
        <w:t>Las jornadas de los tripulantes se ajustarán a las necesidades del servicio y podrán principiar a cualquiera hora del día o de la noche.</w:t>
      </w:r>
    </w:p>
    <w:p>
      <w:pPr>
        <w:pStyle w:val="BodyText"/>
        <w:spacing w:line="242" w:lineRule="auto" w:before="224"/>
        <w:ind w:left="338" w:right="343" w:firstLine="288"/>
        <w:jc w:val="both"/>
      </w:pPr>
      <w:bookmarkStart w:name="Artículo_227" w:id="273"/>
      <w:bookmarkEnd w:id="273"/>
      <w:r>
        <w:rPr/>
      </w:r>
      <w:r>
        <w:rPr>
          <w:rFonts w:ascii="Arial" w:hAnsi="Arial"/>
          <w:b/>
        </w:rPr>
        <w:t>Artículo 227.- </w:t>
      </w:r>
      <w:r>
        <w:rPr/>
        <w:t>Cuando las necesidades del servicio o las características de las rutas en operación lo requieran, el tiempo total de servicios de los tripulantes será repartido en forma convencional durante la jornada correspondiente.</w:t>
      </w:r>
    </w:p>
    <w:p>
      <w:pPr>
        <w:pStyle w:val="BodyText"/>
        <w:spacing w:before="225"/>
        <w:ind w:left="338" w:right="339" w:firstLine="288"/>
        <w:jc w:val="both"/>
      </w:pPr>
      <w:bookmarkStart w:name="Artículo_228" w:id="274"/>
      <w:bookmarkEnd w:id="274"/>
      <w:r>
        <w:rPr/>
      </w:r>
      <w:r>
        <w:rPr>
          <w:rFonts w:ascii="Arial" w:hAnsi="Arial"/>
          <w:b/>
        </w:rPr>
        <w:t>Artículo 228.- </w:t>
      </w:r>
      <w:r>
        <w:rPr/>
        <w:t>Los tripulantes no podrán interrumpir un servicio de vuelo durante su trayecto, por vencimiento de la jornada de trabajo. En caso de que alcancen el límite de su jornada durante el vuelo o en un aeropuerto que no</w:t>
      </w:r>
      <w:r>
        <w:rPr>
          <w:spacing w:val="-1"/>
        </w:rPr>
        <w:t> </w:t>
      </w:r>
      <w:r>
        <w:rPr/>
        <w:t>sea el de destino</w:t>
      </w:r>
      <w:r>
        <w:rPr>
          <w:spacing w:val="-1"/>
        </w:rPr>
        <w:t> </w:t>
      </w:r>
      <w:r>
        <w:rPr/>
        <w:t>final, tendrán la obligación de terminarlo</w:t>
      </w:r>
      <w:r>
        <w:rPr>
          <w:spacing w:val="-1"/>
        </w:rPr>
        <w:t> </w:t>
      </w:r>
      <w:r>
        <w:rPr/>
        <w:t>si no</w:t>
      </w:r>
      <w:r>
        <w:rPr>
          <w:spacing w:val="-1"/>
        </w:rPr>
        <w:t> </w:t>
      </w:r>
      <w:r>
        <w:rPr/>
        <w:t>requiere más de tres horas. Si requiere mayor tiempo, serán relevados o suspenderán el vuelo en el aeropuerto más próximo del trayecto.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30-04-</w:t>
      </w:r>
      <w:r>
        <w:rPr>
          <w:rFonts w:ascii="Times New Roman" w:hAnsi="Times New Roman"/>
          <w:i/>
          <w:color w:val="0000FF"/>
          <w:spacing w:val="-4"/>
          <w:sz w:val="16"/>
        </w:rPr>
        <w:t>1970</w:t>
      </w:r>
    </w:p>
    <w:p>
      <w:pPr>
        <w:pStyle w:val="BodyText"/>
        <w:spacing w:before="47"/>
        <w:rPr>
          <w:rFonts w:ascii="Times New Roman"/>
          <w:i/>
          <w:sz w:val="16"/>
        </w:rPr>
      </w:pPr>
    </w:p>
    <w:p>
      <w:pPr>
        <w:pStyle w:val="BodyText"/>
        <w:spacing w:line="242" w:lineRule="auto"/>
        <w:ind w:left="338" w:firstLine="288"/>
      </w:pPr>
      <w:bookmarkStart w:name="Artículo_229" w:id="275"/>
      <w:bookmarkEnd w:id="275"/>
      <w:r>
        <w:rPr/>
      </w:r>
      <w:r>
        <w:rPr>
          <w:rFonts w:ascii="Arial" w:hAnsi="Arial"/>
          <w:b/>
        </w:rPr>
        <w:t>Artículo</w:t>
      </w:r>
      <w:r>
        <w:rPr>
          <w:rFonts w:ascii="Arial" w:hAnsi="Arial"/>
          <w:b/>
          <w:spacing w:val="40"/>
        </w:rPr>
        <w:t> </w:t>
      </w:r>
      <w:r>
        <w:rPr>
          <w:rFonts w:ascii="Arial" w:hAnsi="Arial"/>
          <w:b/>
        </w:rPr>
        <w:t>229.-</w:t>
      </w:r>
      <w:r>
        <w:rPr>
          <w:rFonts w:ascii="Arial" w:hAnsi="Arial"/>
          <w:b/>
          <w:spacing w:val="40"/>
        </w:rPr>
        <w:t> </w:t>
      </w:r>
      <w:r>
        <w:rPr/>
        <w:t>Cuando</w:t>
      </w:r>
      <w:r>
        <w:rPr>
          <w:spacing w:val="39"/>
        </w:rPr>
        <w:t> </w:t>
      </w:r>
      <w:r>
        <w:rPr/>
        <w:t>se</w:t>
      </w:r>
      <w:r>
        <w:rPr>
          <w:spacing w:val="40"/>
        </w:rPr>
        <w:t> </w:t>
      </w:r>
      <w:r>
        <w:rPr/>
        <w:t>use</w:t>
      </w:r>
      <w:r>
        <w:rPr>
          <w:spacing w:val="39"/>
        </w:rPr>
        <w:t> </w:t>
      </w:r>
      <w:r>
        <w:rPr/>
        <w:t>equipo</w:t>
      </w:r>
      <w:r>
        <w:rPr>
          <w:spacing w:val="39"/>
        </w:rPr>
        <w:t> </w:t>
      </w:r>
      <w:r>
        <w:rPr/>
        <w:t>a</w:t>
      </w:r>
      <w:r>
        <w:rPr>
          <w:spacing w:val="39"/>
        </w:rPr>
        <w:t> </w:t>
      </w:r>
      <w:r>
        <w:rPr/>
        <w:t>reacción</w:t>
      </w:r>
      <w:r>
        <w:rPr>
          <w:spacing w:val="39"/>
        </w:rPr>
        <w:t> </w:t>
      </w:r>
      <w:r>
        <w:rPr/>
        <w:t>podrá</w:t>
      </w:r>
      <w:r>
        <w:rPr>
          <w:spacing w:val="39"/>
        </w:rPr>
        <w:t> </w:t>
      </w:r>
      <w:r>
        <w:rPr/>
        <w:t>reducirse</w:t>
      </w:r>
      <w:r>
        <w:rPr>
          <w:spacing w:val="39"/>
        </w:rPr>
        <w:t> </w:t>
      </w:r>
      <w:r>
        <w:rPr/>
        <w:t>la</w:t>
      </w:r>
      <w:r>
        <w:rPr>
          <w:spacing w:val="40"/>
        </w:rPr>
        <w:t> </w:t>
      </w:r>
      <w:r>
        <w:rPr/>
        <w:t>duración</w:t>
      </w:r>
      <w:r>
        <w:rPr>
          <w:spacing w:val="40"/>
        </w:rPr>
        <w:t> </w:t>
      </w:r>
      <w:r>
        <w:rPr/>
        <w:t>del</w:t>
      </w:r>
      <w:r>
        <w:rPr>
          <w:spacing w:val="39"/>
        </w:rPr>
        <w:t> </w:t>
      </w:r>
      <w:r>
        <w:rPr/>
        <w:t>tiempo</w:t>
      </w:r>
      <w:r>
        <w:rPr>
          <w:spacing w:val="39"/>
        </w:rPr>
        <w:t> </w:t>
      </w:r>
      <w:r>
        <w:rPr/>
        <w:t>total</w:t>
      </w:r>
      <w:r>
        <w:rPr>
          <w:spacing w:val="39"/>
        </w:rPr>
        <w:t> </w:t>
      </w:r>
      <w:r>
        <w:rPr/>
        <w:t>de servicios señalado en este capítulo.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05-06-</w:t>
      </w:r>
      <w:r>
        <w:rPr>
          <w:rFonts w:ascii="Times New Roman" w:hAnsi="Times New Roman"/>
          <w:i/>
          <w:color w:val="0000FF"/>
          <w:spacing w:val="-4"/>
          <w:sz w:val="16"/>
        </w:rPr>
        <w:t>1970</w:t>
      </w:r>
    </w:p>
    <w:p>
      <w:pPr>
        <w:pStyle w:val="BodyText"/>
        <w:spacing w:before="45"/>
        <w:rPr>
          <w:rFonts w:ascii="Times New Roman"/>
          <w:i/>
          <w:sz w:val="16"/>
        </w:rPr>
      </w:pPr>
    </w:p>
    <w:p>
      <w:pPr>
        <w:pStyle w:val="BodyText"/>
        <w:spacing w:line="242" w:lineRule="auto"/>
        <w:ind w:left="338" w:right="343" w:firstLine="288"/>
        <w:jc w:val="both"/>
      </w:pPr>
      <w:bookmarkStart w:name="Artículo_230" w:id="276"/>
      <w:bookmarkEnd w:id="276"/>
      <w:r>
        <w:rPr/>
      </w:r>
      <w:r>
        <w:rPr>
          <w:rFonts w:ascii="Arial" w:hAnsi="Arial"/>
          <w:b/>
        </w:rPr>
        <w:t>Artículo 230.- </w:t>
      </w:r>
      <w:r>
        <w:rPr/>
        <w:t>Cuando por necesidades del servicio los tripulantes excedan su tiempo total de servicios, percibirán por cada hora extra un ciento por ciento más del salario correspondiente. El tiempo excedente, calculado y pagado en los términos de este artículo, no será objeto de nuevo pago.</w:t>
      </w:r>
    </w:p>
    <w:p>
      <w:pPr>
        <w:pStyle w:val="BodyText"/>
        <w:spacing w:before="224"/>
        <w:ind w:left="338" w:right="342" w:firstLine="288"/>
        <w:jc w:val="both"/>
      </w:pPr>
      <w:bookmarkStart w:name="Artículo_231" w:id="277"/>
      <w:bookmarkEnd w:id="277"/>
      <w:r>
        <w:rPr/>
      </w:r>
      <w:r>
        <w:rPr>
          <w:rFonts w:ascii="Arial" w:hAnsi="Arial"/>
          <w:b/>
        </w:rPr>
        <w:t>Artículo 231.- </w:t>
      </w:r>
      <w:r>
        <w:rPr/>
        <w:t>Las tripulaciones están obligadas a prolongar su jornada de trabajo en los vuelos de auxilio, búsqueda o salvamento. Las horas excedentes se retribuirán en la forma prevista en el párrafo primero del artículo 67.</w:t>
      </w:r>
    </w:p>
    <w:p>
      <w:pPr>
        <w:pStyle w:val="BodyText"/>
        <w:spacing w:after="0"/>
        <w:jc w:val="both"/>
        <w:sectPr>
          <w:pgSz w:w="12240" w:h="15840"/>
          <w:pgMar w:header="724" w:footer="712" w:top="1880" w:bottom="900" w:left="1080" w:right="1080"/>
        </w:sectPr>
      </w:pPr>
    </w:p>
    <w:p>
      <w:pPr>
        <w:pStyle w:val="BodyText"/>
        <w:spacing w:before="63"/>
      </w:pPr>
    </w:p>
    <w:p>
      <w:pPr>
        <w:pStyle w:val="BodyText"/>
        <w:spacing w:line="242" w:lineRule="auto"/>
        <w:ind w:left="338" w:right="338" w:firstLine="288"/>
        <w:jc w:val="both"/>
      </w:pPr>
      <w:bookmarkStart w:name="Artículo_232" w:id="278"/>
      <w:bookmarkEnd w:id="278"/>
      <w:r>
        <w:rPr/>
      </w:r>
      <w:r>
        <w:rPr>
          <w:rFonts w:ascii="Arial" w:hAnsi="Arial"/>
          <w:b/>
        </w:rPr>
        <w:t>Artículo 232.- </w:t>
      </w:r>
      <w:r>
        <w:rPr/>
        <w:t>Los Tripulantes que presten servicios en los días de descanso obligatorio tendrán derecho a la retribución consignada en el artículo 75. Se exceptúan los casos de terminación de un servicio que no exceda de la primera hora y media de dichos días, en los que únicamente percibirán el importe de un día de salario adicional.</w:t>
      </w:r>
    </w:p>
    <w:p>
      <w:pPr>
        <w:pStyle w:val="BodyText"/>
        <w:spacing w:before="225"/>
        <w:ind w:left="338" w:right="347" w:firstLine="288"/>
        <w:jc w:val="both"/>
      </w:pPr>
      <w:r>
        <w:rPr/>
        <w:t>Para los efectos de este artículo, los días se iniciarán a las cero horas y terminarán a las veinticuatro, tiempo oficial del lugar de la base de residencia.</w:t>
      </w:r>
    </w:p>
    <w:p>
      <w:pPr>
        <w:pStyle w:val="BodyText"/>
        <w:spacing w:line="242" w:lineRule="auto" w:before="227"/>
        <w:ind w:left="338" w:right="343" w:firstLine="288"/>
        <w:jc w:val="both"/>
      </w:pPr>
      <w:bookmarkStart w:name="Artículo_233" w:id="279"/>
      <w:bookmarkEnd w:id="279"/>
      <w:r>
        <w:rPr/>
      </w:r>
      <w:r>
        <w:rPr>
          <w:rFonts w:ascii="Arial" w:hAnsi="Arial"/>
          <w:b/>
        </w:rPr>
        <w:t>Artículo 233.- </w:t>
      </w:r>
      <w:r>
        <w:rPr/>
        <w:t>Los tripulantes tienen derecho a un período anual de vacaciones de treinta días de calendario, no acumulables. Este período podrá disfrutarse semestralmente en forma proporcional, y se aumentará en un día por cada año de servicios, sin que exceda de sesenta días de calendario.</w:t>
      </w:r>
    </w:p>
    <w:p>
      <w:pPr>
        <w:pStyle w:val="BodyText"/>
        <w:spacing w:line="242" w:lineRule="auto" w:before="223"/>
        <w:ind w:left="338" w:right="346" w:firstLine="288"/>
        <w:jc w:val="both"/>
      </w:pPr>
      <w:bookmarkStart w:name="Artículo_234" w:id="280"/>
      <w:bookmarkEnd w:id="280"/>
      <w:r>
        <w:rPr/>
      </w:r>
      <w:r>
        <w:rPr>
          <w:rFonts w:ascii="Arial" w:hAnsi="Arial"/>
          <w:b/>
        </w:rPr>
        <w:t>Artículo 234.- </w:t>
      </w:r>
      <w:r>
        <w:rPr/>
        <w:t>No es violatoria del principio de igualdad de salario la disposición que estipule salarios distintos para trabajo igual, si éste se presta en aeronaves de diversa categoría o en diferentes rutas, y</w:t>
      </w:r>
      <w:r>
        <w:rPr>
          <w:spacing w:val="-3"/>
        </w:rPr>
        <w:t> </w:t>
      </w:r>
      <w:r>
        <w:rPr/>
        <w:t>la que establezca primas de antigüedad.</w:t>
      </w:r>
    </w:p>
    <w:p>
      <w:pPr>
        <w:pStyle w:val="BodyText"/>
        <w:spacing w:before="224"/>
        <w:ind w:left="338" w:right="342" w:firstLine="288"/>
        <w:jc w:val="both"/>
      </w:pPr>
      <w:bookmarkStart w:name="Artículo_235" w:id="281"/>
      <w:bookmarkEnd w:id="281"/>
      <w:r>
        <w:rPr/>
      </w:r>
      <w:r>
        <w:rPr>
          <w:rFonts w:ascii="Arial" w:hAnsi="Arial"/>
          <w:b/>
        </w:rPr>
        <w:t>Artículo 235.- </w:t>
      </w:r>
      <w:r>
        <w:rPr/>
        <w:t>El salario de los tripulantes se pagará, incluyendo las asignaciones adicionales correspondientes, los días quince y último de cada mes. Las percepciones por concepto de tiempo de vuelo nocturno y de tiempo extraordinario, en la primera quincena del mes siguiente al en que se hayan realizado; y el importe de los días de descanso obligatorio, en la quincena inmediata a aquella en que se hayan trabajado.</w:t>
      </w:r>
    </w:p>
    <w:p>
      <w:pPr>
        <w:pStyle w:val="BodyText"/>
        <w:spacing w:before="3"/>
      </w:pPr>
    </w:p>
    <w:p>
      <w:pPr>
        <w:pStyle w:val="BodyText"/>
        <w:ind w:left="338" w:right="338" w:firstLine="288"/>
        <w:jc w:val="both"/>
      </w:pPr>
      <w:r>
        <w:rPr/>
        <w:t>Los pagos, sea cualquiera su concepto, se harán en moneda nacional y en el lugar de residencia del tripulante, salvo pacto en contrario.</w:t>
      </w:r>
    </w:p>
    <w:p>
      <w:pPr>
        <w:spacing w:before="226"/>
        <w:ind w:left="626" w:right="0" w:firstLine="0"/>
        <w:jc w:val="left"/>
        <w:rPr>
          <w:sz w:val="20"/>
        </w:rPr>
      </w:pPr>
      <w:bookmarkStart w:name="Artículo_236" w:id="282"/>
      <w:bookmarkEnd w:id="282"/>
      <w:r>
        <w:rPr/>
      </w:r>
      <w:r>
        <w:rPr>
          <w:rFonts w:ascii="Arial" w:hAnsi="Arial"/>
          <w:b/>
          <w:sz w:val="20"/>
        </w:rPr>
        <w:t>Artículo</w:t>
      </w:r>
      <w:r>
        <w:rPr>
          <w:rFonts w:ascii="Arial" w:hAnsi="Arial"/>
          <w:b/>
          <w:spacing w:val="-9"/>
          <w:sz w:val="20"/>
        </w:rPr>
        <w:t> </w:t>
      </w:r>
      <w:r>
        <w:rPr>
          <w:rFonts w:ascii="Arial" w:hAnsi="Arial"/>
          <w:b/>
          <w:sz w:val="20"/>
        </w:rPr>
        <w:t>236.-</w:t>
      </w:r>
      <w:r>
        <w:rPr>
          <w:rFonts w:ascii="Arial" w:hAnsi="Arial"/>
          <w:b/>
          <w:spacing w:val="-8"/>
          <w:sz w:val="20"/>
        </w:rPr>
        <w:t> </w:t>
      </w:r>
      <w:r>
        <w:rPr>
          <w:sz w:val="20"/>
        </w:rPr>
        <w:t>Los</w:t>
      </w:r>
      <w:r>
        <w:rPr>
          <w:spacing w:val="-8"/>
          <w:sz w:val="20"/>
        </w:rPr>
        <w:t> </w:t>
      </w:r>
      <w:r>
        <w:rPr>
          <w:sz w:val="20"/>
        </w:rPr>
        <w:t>patrones</w:t>
      </w:r>
      <w:r>
        <w:rPr>
          <w:spacing w:val="-9"/>
          <w:sz w:val="20"/>
        </w:rPr>
        <w:t> </w:t>
      </w:r>
      <w:r>
        <w:rPr>
          <w:sz w:val="20"/>
        </w:rPr>
        <w:t>tienen</w:t>
      </w:r>
      <w:r>
        <w:rPr>
          <w:spacing w:val="-8"/>
          <w:sz w:val="20"/>
        </w:rPr>
        <w:t> </w:t>
      </w:r>
      <w:r>
        <w:rPr>
          <w:sz w:val="20"/>
        </w:rPr>
        <w:t>las</w:t>
      </w:r>
      <w:r>
        <w:rPr>
          <w:spacing w:val="-8"/>
          <w:sz w:val="20"/>
        </w:rPr>
        <w:t> </w:t>
      </w:r>
      <w:r>
        <w:rPr>
          <w:sz w:val="20"/>
        </w:rPr>
        <w:t>obligaciones</w:t>
      </w:r>
      <w:r>
        <w:rPr>
          <w:spacing w:val="-7"/>
          <w:sz w:val="20"/>
        </w:rPr>
        <w:t> </w:t>
      </w:r>
      <w:r>
        <w:rPr>
          <w:sz w:val="20"/>
        </w:rPr>
        <w:t>especiales</w:t>
      </w:r>
      <w:r>
        <w:rPr>
          <w:spacing w:val="-8"/>
          <w:sz w:val="20"/>
        </w:rPr>
        <w:t> </w:t>
      </w:r>
      <w:r>
        <w:rPr>
          <w:spacing w:val="-2"/>
          <w:sz w:val="20"/>
        </w:rPr>
        <w:t>siguientes:</w:t>
      </w:r>
    </w:p>
    <w:p>
      <w:pPr>
        <w:pStyle w:val="BodyText"/>
        <w:spacing w:before="1"/>
      </w:pPr>
    </w:p>
    <w:p>
      <w:pPr>
        <w:pStyle w:val="ListParagraph"/>
        <w:numPr>
          <w:ilvl w:val="0"/>
          <w:numId w:val="54"/>
        </w:numPr>
        <w:tabs>
          <w:tab w:pos="1193" w:val="left" w:leader="none"/>
          <w:tab w:pos="1195" w:val="left" w:leader="none"/>
        </w:tabs>
        <w:spacing w:line="240" w:lineRule="auto" w:before="1" w:after="0"/>
        <w:ind w:left="1195" w:right="344" w:hanging="569"/>
        <w:jc w:val="both"/>
        <w:rPr>
          <w:sz w:val="20"/>
        </w:rPr>
      </w:pPr>
      <w:r>
        <w:rPr>
          <w:sz w:val="20"/>
        </w:rPr>
        <w:t>Proporcionar alimentación, alojamiento y transportación a los tripulantes por todo el tiempo que permanezcan fuera de su base por razones del servicio. El pago se hará de conformidad con</w:t>
      </w:r>
      <w:r>
        <w:rPr>
          <w:spacing w:val="40"/>
          <w:sz w:val="20"/>
        </w:rPr>
        <w:t> </w:t>
      </w:r>
      <w:r>
        <w:rPr>
          <w:sz w:val="20"/>
        </w:rPr>
        <w:t>las normas siguientes:</w:t>
      </w:r>
    </w:p>
    <w:p>
      <w:pPr>
        <w:pStyle w:val="ListParagraph"/>
        <w:numPr>
          <w:ilvl w:val="1"/>
          <w:numId w:val="54"/>
        </w:numPr>
        <w:tabs>
          <w:tab w:pos="1760" w:val="left" w:leader="none"/>
          <w:tab w:pos="1762" w:val="left" w:leader="none"/>
        </w:tabs>
        <w:spacing w:line="240" w:lineRule="auto" w:before="229" w:after="0"/>
        <w:ind w:left="1762" w:right="333" w:hanging="567"/>
        <w:jc w:val="both"/>
        <w:rPr>
          <w:sz w:val="20"/>
        </w:rPr>
      </w:pPr>
      <w:r>
        <w:rPr>
          <w:sz w:val="20"/>
        </w:rPr>
        <w:t>En las estaciones previamente designadas, o en las de pernoctación extraordinaria, la transportación se hará en automóvil y el alojamiento será cubierto directamente por el patrón. La transportación</w:t>
      </w:r>
      <w:r>
        <w:rPr>
          <w:spacing w:val="-2"/>
          <w:sz w:val="20"/>
        </w:rPr>
        <w:t> </w:t>
      </w:r>
      <w:r>
        <w:rPr>
          <w:sz w:val="20"/>
        </w:rPr>
        <w:t>se</w:t>
      </w:r>
      <w:r>
        <w:rPr>
          <w:spacing w:val="-2"/>
          <w:sz w:val="20"/>
        </w:rPr>
        <w:t> </w:t>
      </w:r>
      <w:r>
        <w:rPr>
          <w:sz w:val="20"/>
        </w:rPr>
        <w:t>proporcionará</w:t>
      </w:r>
      <w:r>
        <w:rPr>
          <w:spacing w:val="-2"/>
          <w:sz w:val="20"/>
        </w:rPr>
        <w:t> </w:t>
      </w:r>
      <w:r>
        <w:rPr>
          <w:sz w:val="20"/>
        </w:rPr>
        <w:t>entre los</w:t>
      </w:r>
      <w:r>
        <w:rPr>
          <w:spacing w:val="-1"/>
          <w:sz w:val="20"/>
        </w:rPr>
        <w:t> </w:t>
      </w:r>
      <w:r>
        <w:rPr>
          <w:sz w:val="20"/>
        </w:rPr>
        <w:t>aeropuertos y</w:t>
      </w:r>
      <w:r>
        <w:rPr>
          <w:spacing w:val="-3"/>
          <w:sz w:val="20"/>
        </w:rPr>
        <w:t> </w:t>
      </w:r>
      <w:r>
        <w:rPr>
          <w:sz w:val="20"/>
        </w:rPr>
        <w:t>el</w:t>
      </w:r>
      <w:r>
        <w:rPr>
          <w:spacing w:val="-1"/>
          <w:sz w:val="20"/>
        </w:rPr>
        <w:t> </w:t>
      </w:r>
      <w:r>
        <w:rPr>
          <w:sz w:val="20"/>
        </w:rPr>
        <w:t>lugar de alojamiento y viceversa, excepto en aquellos lugares de base permanente de residencia de los </w:t>
      </w:r>
      <w:r>
        <w:rPr>
          <w:spacing w:val="-2"/>
          <w:sz w:val="20"/>
        </w:rPr>
        <w:t>tripulantes.</w:t>
      </w:r>
    </w:p>
    <w:p>
      <w:pPr>
        <w:pStyle w:val="BodyText"/>
      </w:pPr>
    </w:p>
    <w:p>
      <w:pPr>
        <w:pStyle w:val="ListParagraph"/>
        <w:numPr>
          <w:ilvl w:val="1"/>
          <w:numId w:val="54"/>
        </w:numPr>
        <w:tabs>
          <w:tab w:pos="1759" w:val="left" w:leader="none"/>
          <w:tab w:pos="1762" w:val="left" w:leader="none"/>
        </w:tabs>
        <w:spacing w:line="240" w:lineRule="auto" w:before="0" w:after="0"/>
        <w:ind w:left="1762" w:right="336" w:hanging="567"/>
        <w:jc w:val="both"/>
        <w:rPr>
          <w:sz w:val="20"/>
        </w:rPr>
      </w:pPr>
      <w:r>
        <w:rPr>
          <w:sz w:val="20"/>
        </w:rPr>
        <w:t>Cuando los alimentos no puedan tomarse a bordo, los tripulantes percibirán una asignación en efectivo, que se fijará según el número de comidas que deban hacerse en cada viaje o en los lugares de pernoctación extraordinaria. El monto de estas asignaciones se fijará de común acuerdo;</w:t>
      </w:r>
    </w:p>
    <w:p>
      <w:pPr>
        <w:pStyle w:val="BodyText"/>
      </w:pPr>
    </w:p>
    <w:p>
      <w:pPr>
        <w:pStyle w:val="ListParagraph"/>
        <w:numPr>
          <w:ilvl w:val="0"/>
          <w:numId w:val="54"/>
        </w:numPr>
        <w:tabs>
          <w:tab w:pos="1192" w:val="left" w:leader="none"/>
          <w:tab w:pos="1195" w:val="left" w:leader="none"/>
        </w:tabs>
        <w:spacing w:line="242" w:lineRule="auto" w:before="0" w:after="0"/>
        <w:ind w:left="1195" w:right="341" w:hanging="569"/>
        <w:jc w:val="both"/>
        <w:rPr>
          <w:sz w:val="20"/>
        </w:rPr>
      </w:pPr>
      <w:r>
        <w:rPr>
          <w:sz w:val="20"/>
        </w:rPr>
        <w:t>Pagar a los tripulantes los gastos de traslado, incluyendo los del cónyuge y</w:t>
      </w:r>
      <w:r>
        <w:rPr>
          <w:spacing w:val="-3"/>
          <w:sz w:val="20"/>
        </w:rPr>
        <w:t> </w:t>
      </w:r>
      <w:r>
        <w:rPr>
          <w:sz w:val="20"/>
        </w:rPr>
        <w:t>familiares de primer grado que dependan económicamente de ellos, del menaje de casa y efectos personales, cuando sean</w:t>
      </w:r>
      <w:r>
        <w:rPr>
          <w:spacing w:val="-1"/>
          <w:sz w:val="20"/>
        </w:rPr>
        <w:t> </w:t>
      </w:r>
      <w:r>
        <w:rPr>
          <w:sz w:val="20"/>
        </w:rPr>
        <w:t>cambiados de</w:t>
      </w:r>
      <w:r>
        <w:rPr>
          <w:spacing w:val="-1"/>
          <w:sz w:val="20"/>
        </w:rPr>
        <w:t> </w:t>
      </w:r>
      <w:r>
        <w:rPr>
          <w:sz w:val="20"/>
        </w:rPr>
        <w:t>su base de residencia. El monto</w:t>
      </w:r>
      <w:r>
        <w:rPr>
          <w:spacing w:val="-1"/>
          <w:sz w:val="20"/>
        </w:rPr>
        <w:t> </w:t>
      </w:r>
      <w:r>
        <w:rPr>
          <w:sz w:val="20"/>
        </w:rPr>
        <w:t>de estos gastos se fijará</w:t>
      </w:r>
      <w:r>
        <w:rPr>
          <w:spacing w:val="-1"/>
          <w:sz w:val="20"/>
        </w:rPr>
        <w:t> </w:t>
      </w:r>
      <w:r>
        <w:rPr>
          <w:sz w:val="20"/>
        </w:rPr>
        <w:t>de</w:t>
      </w:r>
      <w:r>
        <w:rPr>
          <w:spacing w:val="-2"/>
          <w:sz w:val="20"/>
        </w:rPr>
        <w:t> </w:t>
      </w:r>
      <w:r>
        <w:rPr>
          <w:sz w:val="20"/>
        </w:rPr>
        <w:t>común </w:t>
      </w:r>
      <w:r>
        <w:rPr>
          <w:spacing w:val="-2"/>
          <w:sz w:val="20"/>
        </w:rPr>
        <w:t>acuerdo;</w:t>
      </w:r>
    </w:p>
    <w:p>
      <w:pPr>
        <w:pStyle w:val="ListParagraph"/>
        <w:numPr>
          <w:ilvl w:val="0"/>
          <w:numId w:val="54"/>
        </w:numPr>
        <w:tabs>
          <w:tab w:pos="1191" w:val="left" w:leader="none"/>
          <w:tab w:pos="1195" w:val="left" w:leader="none"/>
        </w:tabs>
        <w:spacing w:line="242" w:lineRule="auto" w:before="221" w:after="0"/>
        <w:ind w:left="1195" w:right="345" w:hanging="569"/>
        <w:jc w:val="both"/>
        <w:rPr>
          <w:sz w:val="20"/>
        </w:rPr>
      </w:pPr>
      <w:r>
        <w:rPr>
          <w:sz w:val="20"/>
        </w:rPr>
        <w:t>Repatriar o trasladar al lugar de contratación a los tripulantes cuya aeronave se destruya o inutilice fuera de ese lugar, pagándoles sus salarios y los gastos de viaje; y</w:t>
      </w:r>
    </w:p>
    <w:p>
      <w:pPr>
        <w:pStyle w:val="ListParagraph"/>
        <w:numPr>
          <w:ilvl w:val="0"/>
          <w:numId w:val="54"/>
        </w:numPr>
        <w:tabs>
          <w:tab w:pos="1195" w:val="left" w:leader="none"/>
        </w:tabs>
        <w:spacing w:line="240" w:lineRule="auto" w:before="226" w:after="0"/>
        <w:ind w:left="1195" w:right="336" w:hanging="569"/>
        <w:jc w:val="both"/>
        <w:rPr>
          <w:sz w:val="20"/>
        </w:rPr>
      </w:pPr>
      <w:r>
        <w:rPr>
          <w:sz w:val="20"/>
        </w:rPr>
        <w:t>Conceder los permisos a que se refiere el artículo 132 fracciones IX y X, siempre que no se ponga en peligro la seguridad de la aeronave o se imposibilite su salida en la fecha y hora previamente señaladas.</w:t>
      </w:r>
    </w:p>
    <w:p>
      <w:pPr>
        <w:pStyle w:val="ListParagraph"/>
        <w:spacing w:after="0" w:line="240" w:lineRule="auto"/>
        <w:jc w:val="both"/>
        <w:rPr>
          <w:sz w:val="20"/>
        </w:rPr>
        <w:sectPr>
          <w:pgSz w:w="12240" w:h="15840"/>
          <w:pgMar w:header="724" w:footer="712" w:top="1880" w:bottom="900" w:left="1080" w:right="1080"/>
        </w:sectPr>
      </w:pPr>
    </w:p>
    <w:p>
      <w:pPr>
        <w:pStyle w:val="BodyText"/>
      </w:pPr>
    </w:p>
    <w:p>
      <w:pPr>
        <w:pStyle w:val="BodyText"/>
        <w:spacing w:before="63"/>
      </w:pPr>
    </w:p>
    <w:p>
      <w:pPr>
        <w:pStyle w:val="BodyText"/>
        <w:spacing w:line="242" w:lineRule="auto"/>
        <w:ind w:left="338" w:right="349" w:firstLine="288"/>
        <w:jc w:val="both"/>
      </w:pPr>
      <w:bookmarkStart w:name="Artículo_237" w:id="283"/>
      <w:bookmarkEnd w:id="283"/>
      <w:r>
        <w:rPr/>
      </w:r>
      <w:r>
        <w:rPr>
          <w:rFonts w:ascii="Arial" w:hAnsi="Arial"/>
          <w:b/>
        </w:rPr>
        <w:t>Artículo 237.- </w:t>
      </w:r>
      <w:r>
        <w:rPr/>
        <w:t>Los tripulantes, en la medida que les corresponda, tienen las obligaciones especiales </w:t>
      </w:r>
      <w:r>
        <w:rPr>
          <w:spacing w:val="-2"/>
        </w:rPr>
        <w:t>siguientes:</w:t>
      </w:r>
    </w:p>
    <w:p>
      <w:pPr>
        <w:pStyle w:val="ListParagraph"/>
        <w:numPr>
          <w:ilvl w:val="0"/>
          <w:numId w:val="55"/>
        </w:numPr>
        <w:tabs>
          <w:tab w:pos="1193" w:val="left" w:leader="none"/>
          <w:tab w:pos="1195" w:val="left" w:leader="none"/>
        </w:tabs>
        <w:spacing w:line="240" w:lineRule="auto" w:before="227" w:after="0"/>
        <w:ind w:left="1195" w:right="335" w:hanging="569"/>
        <w:jc w:val="both"/>
        <w:rPr>
          <w:sz w:val="20"/>
        </w:rPr>
      </w:pPr>
      <w:r>
        <w:rPr>
          <w:sz w:val="20"/>
        </w:rPr>
        <w:t>Cuidar que en las aeronaves a su cargo no se transporte pasajeros o efectos ajenos a los intereses del patrón sin el cumplimiento de los requisitos correspondientes, ni artículos prohibidos por la ley, a menos que se cuente con el permiso de las autoridades </w:t>
      </w:r>
      <w:r>
        <w:rPr>
          <w:spacing w:val="-2"/>
          <w:sz w:val="20"/>
        </w:rPr>
        <w:t>correspondientes;</w:t>
      </w:r>
    </w:p>
    <w:p>
      <w:pPr>
        <w:pStyle w:val="ListParagraph"/>
        <w:numPr>
          <w:ilvl w:val="0"/>
          <w:numId w:val="55"/>
        </w:numPr>
        <w:tabs>
          <w:tab w:pos="1192" w:val="left" w:leader="none"/>
          <w:tab w:pos="1195" w:val="left" w:leader="none"/>
        </w:tabs>
        <w:spacing w:line="242" w:lineRule="auto" w:before="230" w:after="0"/>
        <w:ind w:left="1195" w:right="344" w:hanging="569"/>
        <w:jc w:val="both"/>
        <w:rPr>
          <w:sz w:val="20"/>
        </w:rPr>
      </w:pPr>
      <w:r>
        <w:rPr>
          <w:sz w:val="20"/>
        </w:rPr>
        <w:t>Conservar en vigor sus licencias, pasaportes, visas y documentos que se requieran legalmente para el desempeño de su trabajo;</w:t>
      </w:r>
    </w:p>
    <w:p>
      <w:pPr>
        <w:pStyle w:val="ListParagraph"/>
        <w:numPr>
          <w:ilvl w:val="0"/>
          <w:numId w:val="55"/>
        </w:numPr>
        <w:tabs>
          <w:tab w:pos="1191" w:val="left" w:leader="none"/>
          <w:tab w:pos="1195" w:val="left" w:leader="none"/>
        </w:tabs>
        <w:spacing w:line="242" w:lineRule="auto" w:before="224" w:after="0"/>
        <w:ind w:left="1195" w:right="343" w:hanging="569"/>
        <w:jc w:val="both"/>
        <w:rPr>
          <w:sz w:val="20"/>
        </w:rPr>
      </w:pPr>
      <w:r>
        <w:rPr>
          <w:sz w:val="20"/>
        </w:rPr>
        <w:t>Presentarse a cubrir los servicios que tengan asignados con la anticipación y en la forma que establezcan su contrato y el reglamento interior de trabajo, salvo causa justificada;</w:t>
      </w:r>
    </w:p>
    <w:p>
      <w:pPr>
        <w:pStyle w:val="ListParagraph"/>
        <w:numPr>
          <w:ilvl w:val="0"/>
          <w:numId w:val="55"/>
        </w:numPr>
        <w:tabs>
          <w:tab w:pos="1195" w:val="left" w:leader="none"/>
        </w:tabs>
        <w:spacing w:line="242" w:lineRule="auto" w:before="227" w:after="0"/>
        <w:ind w:left="1195" w:right="343" w:hanging="569"/>
        <w:jc w:val="both"/>
        <w:rPr>
          <w:sz w:val="20"/>
        </w:rPr>
      </w:pPr>
      <w:r>
        <w:rPr>
          <w:sz w:val="20"/>
        </w:rPr>
        <w:t>Someterse, cuando menos dos veces al año, a los exámenes médicos periódicos que prevengan las leyes, los reglamentos y los contratos de trabajo;</w:t>
      </w:r>
    </w:p>
    <w:p>
      <w:pPr>
        <w:pStyle w:val="ListParagraph"/>
        <w:numPr>
          <w:ilvl w:val="0"/>
          <w:numId w:val="55"/>
        </w:numPr>
        <w:tabs>
          <w:tab w:pos="1195" w:val="left" w:leader="none"/>
        </w:tabs>
        <w:spacing w:line="242" w:lineRule="auto" w:before="224" w:after="0"/>
        <w:ind w:left="1195" w:right="342" w:hanging="569"/>
        <w:jc w:val="both"/>
        <w:rPr>
          <w:sz w:val="20"/>
        </w:rPr>
      </w:pPr>
      <w:r>
        <w:rPr>
          <w:sz w:val="20"/>
        </w:rPr>
        <w:t>Someterse a los adiestramientos que establezca el patrón, según las necesidades del servicio,</w:t>
      </w:r>
      <w:r>
        <w:rPr>
          <w:spacing w:val="40"/>
          <w:sz w:val="20"/>
        </w:rPr>
        <w:t> </w:t>
      </w:r>
      <w:r>
        <w:rPr>
          <w:sz w:val="20"/>
        </w:rPr>
        <w:t>a fin de conservar o incrementar su eficiencia para ascensos o utilización de equipo con nuevas características técnicas y operar éste al obtener la capacidad requerida;</w:t>
      </w:r>
    </w:p>
    <w:p>
      <w:pPr>
        <w:pStyle w:val="ListParagraph"/>
        <w:numPr>
          <w:ilvl w:val="0"/>
          <w:numId w:val="55"/>
        </w:numPr>
        <w:tabs>
          <w:tab w:pos="1195" w:val="left" w:leader="none"/>
        </w:tabs>
        <w:spacing w:line="240" w:lineRule="auto" w:before="225" w:after="0"/>
        <w:ind w:left="1195" w:right="343" w:hanging="569"/>
        <w:jc w:val="both"/>
        <w:rPr>
          <w:sz w:val="20"/>
        </w:rPr>
      </w:pPr>
      <w:r>
        <w:rPr>
          <w:sz w:val="20"/>
        </w:rPr>
        <w:t>Planear, preparar y realizar cada vuelo, con estricto apego a las leyes, reglamentos y demás disposiciones</w:t>
      </w:r>
      <w:r>
        <w:rPr>
          <w:spacing w:val="-1"/>
          <w:sz w:val="20"/>
        </w:rPr>
        <w:t> </w:t>
      </w:r>
      <w:r>
        <w:rPr>
          <w:sz w:val="20"/>
        </w:rPr>
        <w:t>dictadas</w:t>
      </w:r>
      <w:r>
        <w:rPr>
          <w:spacing w:val="-1"/>
          <w:sz w:val="20"/>
        </w:rPr>
        <w:t> </w:t>
      </w:r>
      <w:r>
        <w:rPr>
          <w:sz w:val="20"/>
        </w:rPr>
        <w:t>o aprobadas</w:t>
      </w:r>
      <w:r>
        <w:rPr>
          <w:spacing w:val="-1"/>
          <w:sz w:val="20"/>
        </w:rPr>
        <w:t> </w:t>
      </w:r>
      <w:r>
        <w:rPr>
          <w:sz w:val="20"/>
        </w:rPr>
        <w:t>por la Secretaría</w:t>
      </w:r>
      <w:r>
        <w:rPr>
          <w:spacing w:val="-2"/>
          <w:sz w:val="20"/>
        </w:rPr>
        <w:t> </w:t>
      </w:r>
      <w:r>
        <w:rPr>
          <w:sz w:val="20"/>
        </w:rPr>
        <w:t>de</w:t>
      </w:r>
      <w:r>
        <w:rPr>
          <w:spacing w:val="-2"/>
          <w:sz w:val="20"/>
        </w:rPr>
        <w:t> </w:t>
      </w:r>
      <w:r>
        <w:rPr>
          <w:sz w:val="20"/>
        </w:rPr>
        <w:t>Comunicaciones y</w:t>
      </w:r>
      <w:r>
        <w:rPr>
          <w:spacing w:val="-5"/>
          <w:sz w:val="20"/>
        </w:rPr>
        <w:t> </w:t>
      </w:r>
      <w:r>
        <w:rPr>
          <w:sz w:val="20"/>
        </w:rPr>
        <w:t>Transportes y</w:t>
      </w:r>
      <w:r>
        <w:rPr>
          <w:spacing w:val="-3"/>
          <w:sz w:val="20"/>
        </w:rPr>
        <w:t> </w:t>
      </w:r>
      <w:r>
        <w:rPr>
          <w:sz w:val="20"/>
        </w:rPr>
        <w:t>por el </w:t>
      </w:r>
      <w:r>
        <w:rPr>
          <w:spacing w:val="-2"/>
          <w:sz w:val="20"/>
        </w:rPr>
        <w:t>patrón;</w:t>
      </w:r>
    </w:p>
    <w:p>
      <w:pPr>
        <w:pStyle w:val="ListParagraph"/>
        <w:numPr>
          <w:ilvl w:val="0"/>
          <w:numId w:val="55"/>
        </w:numPr>
        <w:tabs>
          <w:tab w:pos="1193" w:val="left" w:leader="none"/>
          <w:tab w:pos="1195" w:val="left" w:leader="none"/>
        </w:tabs>
        <w:spacing w:line="242" w:lineRule="auto" w:before="229" w:after="0"/>
        <w:ind w:left="1195" w:right="337" w:hanging="569"/>
        <w:jc w:val="both"/>
        <w:rPr>
          <w:sz w:val="20"/>
        </w:rPr>
      </w:pPr>
      <w:r>
        <w:rPr>
          <w:sz w:val="20"/>
        </w:rPr>
        <w:t>Cerciorarse, antes de iniciar un viaje, de que la aeronave satisface los requisitos legales y reglamentarios, las condiciones necesarias de seguridad, y que ha sido debidamente equipada, aprovisionada y avituallada;</w:t>
      </w:r>
    </w:p>
    <w:p>
      <w:pPr>
        <w:pStyle w:val="ListParagraph"/>
        <w:numPr>
          <w:ilvl w:val="0"/>
          <w:numId w:val="55"/>
        </w:numPr>
        <w:tabs>
          <w:tab w:pos="1193" w:val="left" w:leader="none"/>
          <w:tab w:pos="1195" w:val="left" w:leader="none"/>
        </w:tabs>
        <w:spacing w:line="242" w:lineRule="auto" w:before="223" w:after="0"/>
        <w:ind w:left="1195" w:right="333" w:hanging="569"/>
        <w:jc w:val="both"/>
        <w:rPr>
          <w:sz w:val="20"/>
        </w:rPr>
      </w:pPr>
      <w:r>
        <w:rPr>
          <w:sz w:val="20"/>
        </w:rPr>
        <w:t>Observar las indicaciones técnicas que en materia de seguridad de tránsito aéreo boletine el patrón o dicten las autoridades respectivas en el aeropuerto base o en las estaciones foráneas;</w:t>
      </w:r>
    </w:p>
    <w:p>
      <w:pPr>
        <w:pStyle w:val="ListParagraph"/>
        <w:numPr>
          <w:ilvl w:val="0"/>
          <w:numId w:val="55"/>
        </w:numPr>
        <w:tabs>
          <w:tab w:pos="1195" w:val="left" w:leader="none"/>
        </w:tabs>
        <w:spacing w:line="240" w:lineRule="auto" w:before="227" w:after="0"/>
        <w:ind w:left="1195" w:right="338" w:hanging="569"/>
        <w:jc w:val="both"/>
        <w:rPr>
          <w:sz w:val="20"/>
        </w:rPr>
      </w:pPr>
      <w:r>
        <w:rPr>
          <w:sz w:val="20"/>
        </w:rPr>
        <w:t>Dar aviso al patrón y, en su caso, a las autoridades competentes, utilizando los medios de comunicación más rápidos de que dispongan, en caso de presentarse en vuelo cualquier situación de emergencia, o cuando ocurra un accidente;</w:t>
      </w:r>
    </w:p>
    <w:p>
      <w:pPr>
        <w:pStyle w:val="ListParagraph"/>
        <w:numPr>
          <w:ilvl w:val="0"/>
          <w:numId w:val="55"/>
        </w:numPr>
        <w:tabs>
          <w:tab w:pos="1195" w:val="left" w:leader="none"/>
        </w:tabs>
        <w:spacing w:line="240" w:lineRule="auto" w:before="229" w:after="0"/>
        <w:ind w:left="1195" w:right="0" w:hanging="569"/>
        <w:jc w:val="left"/>
        <w:rPr>
          <w:sz w:val="20"/>
        </w:rPr>
      </w:pPr>
      <w:r>
        <w:rPr>
          <w:sz w:val="20"/>
        </w:rPr>
        <w:t>Efectuar</w:t>
      </w:r>
      <w:r>
        <w:rPr>
          <w:spacing w:val="-7"/>
          <w:sz w:val="20"/>
        </w:rPr>
        <w:t> </w:t>
      </w:r>
      <w:r>
        <w:rPr>
          <w:sz w:val="20"/>
        </w:rPr>
        <w:t>vuelos</w:t>
      </w:r>
      <w:r>
        <w:rPr>
          <w:spacing w:val="-6"/>
          <w:sz w:val="20"/>
        </w:rPr>
        <w:t> </w:t>
      </w:r>
      <w:r>
        <w:rPr>
          <w:sz w:val="20"/>
        </w:rPr>
        <w:t>de</w:t>
      </w:r>
      <w:r>
        <w:rPr>
          <w:spacing w:val="-6"/>
          <w:sz w:val="20"/>
        </w:rPr>
        <w:t> </w:t>
      </w:r>
      <w:r>
        <w:rPr>
          <w:sz w:val="20"/>
        </w:rPr>
        <w:t>auxilio,</w:t>
      </w:r>
      <w:r>
        <w:rPr>
          <w:spacing w:val="-5"/>
          <w:sz w:val="20"/>
        </w:rPr>
        <w:t> </w:t>
      </w:r>
      <w:r>
        <w:rPr>
          <w:sz w:val="20"/>
        </w:rPr>
        <w:t>búsqueda</w:t>
      </w:r>
      <w:r>
        <w:rPr>
          <w:spacing w:val="-6"/>
          <w:sz w:val="20"/>
        </w:rPr>
        <w:t> </w:t>
      </w:r>
      <w:r>
        <w:rPr>
          <w:sz w:val="20"/>
        </w:rPr>
        <w:t>o</w:t>
      </w:r>
      <w:r>
        <w:rPr>
          <w:spacing w:val="-7"/>
          <w:sz w:val="20"/>
        </w:rPr>
        <w:t> </w:t>
      </w:r>
      <w:r>
        <w:rPr>
          <w:sz w:val="20"/>
        </w:rPr>
        <w:t>salvamento</w:t>
      </w:r>
      <w:r>
        <w:rPr>
          <w:spacing w:val="-8"/>
          <w:sz w:val="20"/>
        </w:rPr>
        <w:t> </w:t>
      </w:r>
      <w:r>
        <w:rPr>
          <w:sz w:val="20"/>
        </w:rPr>
        <w:t>en</w:t>
      </w:r>
      <w:r>
        <w:rPr>
          <w:spacing w:val="-5"/>
          <w:sz w:val="20"/>
        </w:rPr>
        <w:t> </w:t>
      </w:r>
      <w:r>
        <w:rPr>
          <w:sz w:val="20"/>
        </w:rPr>
        <w:t>cualquier</w:t>
      </w:r>
      <w:r>
        <w:rPr>
          <w:spacing w:val="-7"/>
          <w:sz w:val="20"/>
        </w:rPr>
        <w:t> </w:t>
      </w:r>
      <w:r>
        <w:rPr>
          <w:sz w:val="20"/>
        </w:rPr>
        <w:t>tiempo</w:t>
      </w:r>
      <w:r>
        <w:rPr>
          <w:spacing w:val="-6"/>
          <w:sz w:val="20"/>
        </w:rPr>
        <w:t> </w:t>
      </w:r>
      <w:r>
        <w:rPr>
          <w:sz w:val="20"/>
        </w:rPr>
        <w:t>y</w:t>
      </w:r>
      <w:r>
        <w:rPr>
          <w:spacing w:val="-10"/>
          <w:sz w:val="20"/>
        </w:rPr>
        <w:t> </w:t>
      </w:r>
      <w:r>
        <w:rPr>
          <w:sz w:val="20"/>
        </w:rPr>
        <w:t>lugar</w:t>
      </w:r>
      <w:r>
        <w:rPr>
          <w:spacing w:val="-6"/>
          <w:sz w:val="20"/>
        </w:rPr>
        <w:t> </w:t>
      </w:r>
      <w:r>
        <w:rPr>
          <w:sz w:val="20"/>
        </w:rPr>
        <w:t>que</w:t>
      </w:r>
      <w:r>
        <w:rPr>
          <w:spacing w:val="-8"/>
          <w:sz w:val="20"/>
        </w:rPr>
        <w:t> </w:t>
      </w:r>
      <w:r>
        <w:rPr>
          <w:sz w:val="20"/>
        </w:rPr>
        <w:t>se</w:t>
      </w:r>
      <w:r>
        <w:rPr>
          <w:spacing w:val="-7"/>
          <w:sz w:val="20"/>
        </w:rPr>
        <w:t> </w:t>
      </w:r>
      <w:r>
        <w:rPr>
          <w:spacing w:val="-2"/>
          <w:sz w:val="20"/>
        </w:rPr>
        <w:t>requiera;</w:t>
      </w:r>
    </w:p>
    <w:p>
      <w:pPr>
        <w:pStyle w:val="BodyText"/>
        <w:spacing w:before="1"/>
      </w:pPr>
    </w:p>
    <w:p>
      <w:pPr>
        <w:pStyle w:val="ListParagraph"/>
        <w:numPr>
          <w:ilvl w:val="0"/>
          <w:numId w:val="55"/>
        </w:numPr>
        <w:tabs>
          <w:tab w:pos="1195" w:val="left" w:leader="none"/>
        </w:tabs>
        <w:spacing w:line="240" w:lineRule="auto" w:before="0" w:after="0"/>
        <w:ind w:left="1195" w:right="337" w:hanging="569"/>
        <w:jc w:val="both"/>
        <w:rPr>
          <w:sz w:val="20"/>
        </w:rPr>
      </w:pPr>
      <w:r>
        <w:rPr>
          <w:sz w:val="20"/>
        </w:rPr>
        <w:t>Tratándose de los pilotos al mando de la aeronave, anotar en la bitácora, con exactitud y bajo</w:t>
      </w:r>
      <w:r>
        <w:rPr>
          <w:spacing w:val="40"/>
          <w:sz w:val="20"/>
        </w:rPr>
        <w:t> </w:t>
      </w:r>
      <w:r>
        <w:rPr>
          <w:sz w:val="20"/>
        </w:rPr>
        <w:t>su responsabilidad, los datos exigidos por las disposiciones legales relativas y hacer, cuando proceda, la distribución del tiempo de servicio de los demás miembros de la tripulación;</w:t>
      </w:r>
    </w:p>
    <w:p>
      <w:pPr>
        <w:pStyle w:val="BodyText"/>
      </w:pPr>
    </w:p>
    <w:p>
      <w:pPr>
        <w:pStyle w:val="ListParagraph"/>
        <w:numPr>
          <w:ilvl w:val="0"/>
          <w:numId w:val="55"/>
        </w:numPr>
        <w:tabs>
          <w:tab w:pos="1193" w:val="left" w:leader="none"/>
          <w:tab w:pos="1195" w:val="left" w:leader="none"/>
        </w:tabs>
        <w:spacing w:line="242" w:lineRule="auto" w:before="0" w:after="0"/>
        <w:ind w:left="1195" w:right="339" w:hanging="569"/>
        <w:jc w:val="both"/>
        <w:rPr>
          <w:sz w:val="20"/>
        </w:rPr>
      </w:pPr>
      <w:r>
        <w:rPr>
          <w:sz w:val="20"/>
        </w:rPr>
        <w:t>Rendir los informes, formular las declaraciones y manifestaciones y firmar la documentación</w:t>
      </w:r>
      <w:r>
        <w:rPr>
          <w:spacing w:val="40"/>
          <w:sz w:val="20"/>
        </w:rPr>
        <w:t> </w:t>
      </w:r>
      <w:r>
        <w:rPr>
          <w:sz w:val="20"/>
        </w:rPr>
        <w:t>que en relación con cada vuelo exijan las leyes, reglamentos y</w:t>
      </w:r>
      <w:r>
        <w:rPr>
          <w:spacing w:val="-3"/>
          <w:sz w:val="20"/>
        </w:rPr>
        <w:t> </w:t>
      </w:r>
      <w:r>
        <w:rPr>
          <w:sz w:val="20"/>
        </w:rPr>
        <w:t>demás disposiciones aplicables; </w:t>
      </w:r>
      <w:r>
        <w:rPr>
          <w:spacing w:val="-10"/>
          <w:sz w:val="20"/>
        </w:rPr>
        <w:t>y</w:t>
      </w:r>
    </w:p>
    <w:p>
      <w:pPr>
        <w:pStyle w:val="ListParagraph"/>
        <w:numPr>
          <w:ilvl w:val="0"/>
          <w:numId w:val="55"/>
        </w:numPr>
        <w:tabs>
          <w:tab w:pos="1193" w:val="left" w:leader="none"/>
          <w:tab w:pos="1195" w:val="left" w:leader="none"/>
        </w:tabs>
        <w:spacing w:line="242" w:lineRule="auto" w:before="222" w:after="0"/>
        <w:ind w:left="1195" w:right="344" w:hanging="569"/>
        <w:jc w:val="both"/>
        <w:rPr>
          <w:sz w:val="20"/>
        </w:rPr>
      </w:pPr>
      <w:r>
        <w:rPr>
          <w:sz w:val="20"/>
        </w:rPr>
        <w:t>Poner en conocimiento del patrón al terminar el vuelo, los defectos mecánicos o técnicos que adviertan o presuman existen en la aeronave.</w:t>
      </w:r>
    </w:p>
    <w:p>
      <w:pPr>
        <w:pStyle w:val="BodyText"/>
        <w:spacing w:before="227"/>
        <w:ind w:left="338" w:right="339" w:firstLine="288"/>
        <w:jc w:val="both"/>
      </w:pPr>
      <w:bookmarkStart w:name="Artículo_238" w:id="284"/>
      <w:bookmarkEnd w:id="284"/>
      <w:r>
        <w:rPr/>
      </w:r>
      <w:r>
        <w:rPr>
          <w:rFonts w:ascii="Arial" w:hAnsi="Arial"/>
          <w:b/>
        </w:rPr>
        <w:t>Artículo 238.- </w:t>
      </w:r>
      <w:r>
        <w:rPr/>
        <w:t>Cuando por cualquier causa un miembro de la tripulación técnica hubiese dejado de volar durante 21 días o más, el tripulante deberá someterse al adiestramiento correspondiente a la categoría</w:t>
      </w:r>
      <w:r>
        <w:rPr>
          <w:spacing w:val="30"/>
        </w:rPr>
        <w:t> </w:t>
      </w:r>
      <w:r>
        <w:rPr/>
        <w:t>que</w:t>
      </w:r>
      <w:r>
        <w:rPr>
          <w:spacing w:val="29"/>
        </w:rPr>
        <w:t> </w:t>
      </w:r>
      <w:r>
        <w:rPr/>
        <w:t>tenía</w:t>
      </w:r>
      <w:r>
        <w:rPr>
          <w:spacing w:val="28"/>
        </w:rPr>
        <w:t> </w:t>
      </w:r>
      <w:r>
        <w:rPr/>
        <w:t>en</w:t>
      </w:r>
      <w:r>
        <w:rPr>
          <w:spacing w:val="29"/>
        </w:rPr>
        <w:t> </w:t>
      </w:r>
      <w:r>
        <w:rPr/>
        <w:t>el</w:t>
      </w:r>
      <w:r>
        <w:rPr>
          <w:spacing w:val="31"/>
        </w:rPr>
        <w:t> </w:t>
      </w:r>
      <w:r>
        <w:rPr/>
        <w:t>momento</w:t>
      </w:r>
      <w:r>
        <w:rPr>
          <w:spacing w:val="28"/>
        </w:rPr>
        <w:t> </w:t>
      </w:r>
      <w:r>
        <w:rPr/>
        <w:t>de</w:t>
      </w:r>
      <w:r>
        <w:rPr>
          <w:spacing w:val="29"/>
        </w:rPr>
        <w:t> </w:t>
      </w:r>
      <w:r>
        <w:rPr/>
        <w:t>la</w:t>
      </w:r>
      <w:r>
        <w:rPr>
          <w:spacing w:val="29"/>
        </w:rPr>
        <w:t> </w:t>
      </w:r>
      <w:r>
        <w:rPr/>
        <w:t>suspensión</w:t>
      </w:r>
      <w:r>
        <w:rPr>
          <w:spacing w:val="30"/>
        </w:rPr>
        <w:t> </w:t>
      </w:r>
      <w:r>
        <w:rPr/>
        <w:t>y</w:t>
      </w:r>
      <w:r>
        <w:rPr>
          <w:spacing w:val="26"/>
        </w:rPr>
        <w:t> </w:t>
      </w:r>
      <w:r>
        <w:rPr/>
        <w:t>comprobar</w:t>
      </w:r>
      <w:r>
        <w:rPr>
          <w:spacing w:val="30"/>
        </w:rPr>
        <w:t> </w:t>
      </w:r>
      <w:r>
        <w:rPr/>
        <w:t>que</w:t>
      </w:r>
      <w:r>
        <w:rPr>
          <w:spacing w:val="29"/>
        </w:rPr>
        <w:t> </w:t>
      </w:r>
      <w:r>
        <w:rPr/>
        <w:t>posee</w:t>
      </w:r>
      <w:r>
        <w:rPr>
          <w:spacing w:val="30"/>
        </w:rPr>
        <w:t> </w:t>
      </w:r>
      <w:r>
        <w:rPr/>
        <w:t>la</w:t>
      </w:r>
      <w:r>
        <w:rPr>
          <w:spacing w:val="29"/>
        </w:rPr>
        <w:t> </w:t>
      </w:r>
      <w:r>
        <w:rPr/>
        <w:t>capacidad</w:t>
      </w:r>
      <w:r>
        <w:rPr>
          <w:spacing w:val="29"/>
        </w:rPr>
        <w:t> </w:t>
      </w:r>
      <w:r>
        <w:rPr/>
        <w:t>técnica</w:t>
      </w:r>
      <w:r>
        <w:rPr>
          <w:spacing w:val="33"/>
        </w:rPr>
        <w:t> </w:t>
      </w:r>
      <w:r>
        <w:rPr>
          <w:spacing w:val="-10"/>
        </w:rPr>
        <w:t>y</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42"/>
      </w:pPr>
      <w:r>
        <w:rPr/>
        <w:t>práctica</w:t>
      </w:r>
      <w:r>
        <w:rPr>
          <w:spacing w:val="-2"/>
        </w:rPr>
        <w:t> </w:t>
      </w:r>
      <w:r>
        <w:rPr/>
        <w:t>requerida para el</w:t>
      </w:r>
      <w:r>
        <w:rPr>
          <w:spacing w:val="-1"/>
        </w:rPr>
        <w:t> </w:t>
      </w:r>
      <w:r>
        <w:rPr/>
        <w:t>desempeño y</w:t>
      </w:r>
      <w:r>
        <w:rPr>
          <w:spacing w:val="-2"/>
        </w:rPr>
        <w:t> </w:t>
      </w:r>
      <w:r>
        <w:rPr/>
        <w:t>reanudación de</w:t>
      </w:r>
      <w:r>
        <w:rPr>
          <w:spacing w:val="-2"/>
        </w:rPr>
        <w:t> </w:t>
      </w:r>
      <w:r>
        <w:rPr/>
        <w:t>su trabajo, en los términos</w:t>
      </w:r>
      <w:r>
        <w:rPr>
          <w:spacing w:val="-1"/>
        </w:rPr>
        <w:t> </w:t>
      </w:r>
      <w:r>
        <w:rPr/>
        <w:t>que establezca la Ley de Vías Generales de Comunicación y sus reglamentos.</w:t>
      </w:r>
    </w:p>
    <w:p>
      <w:pPr>
        <w:pStyle w:val="BodyText"/>
        <w:spacing w:before="229"/>
        <w:ind w:left="626"/>
      </w:pPr>
      <w:bookmarkStart w:name="Artículo_239" w:id="285"/>
      <w:bookmarkEnd w:id="285"/>
      <w:r>
        <w:rPr/>
      </w:r>
      <w:r>
        <w:rPr>
          <w:rFonts w:ascii="Arial" w:hAnsi="Arial"/>
          <w:b/>
        </w:rPr>
        <w:t>Artículo</w:t>
      </w:r>
      <w:r>
        <w:rPr>
          <w:rFonts w:ascii="Arial" w:hAnsi="Arial"/>
          <w:b/>
          <w:spacing w:val="-8"/>
        </w:rPr>
        <w:t> </w:t>
      </w:r>
      <w:r>
        <w:rPr>
          <w:rFonts w:ascii="Arial" w:hAnsi="Arial"/>
          <w:b/>
        </w:rPr>
        <w:t>239.-</w:t>
      </w:r>
      <w:r>
        <w:rPr>
          <w:rFonts w:ascii="Arial" w:hAnsi="Arial"/>
          <w:b/>
          <w:spacing w:val="-6"/>
        </w:rPr>
        <w:t> </w:t>
      </w:r>
      <w:r>
        <w:rPr/>
        <w:t>El</w:t>
      </w:r>
      <w:r>
        <w:rPr>
          <w:spacing w:val="-8"/>
        </w:rPr>
        <w:t> </w:t>
      </w:r>
      <w:r>
        <w:rPr/>
        <w:t>escalafón</w:t>
      </w:r>
      <w:r>
        <w:rPr>
          <w:spacing w:val="-7"/>
        </w:rPr>
        <w:t> </w:t>
      </w:r>
      <w:r>
        <w:rPr/>
        <w:t>de</w:t>
      </w:r>
      <w:r>
        <w:rPr>
          <w:spacing w:val="-8"/>
        </w:rPr>
        <w:t> </w:t>
      </w:r>
      <w:r>
        <w:rPr/>
        <w:t>las</w:t>
      </w:r>
      <w:r>
        <w:rPr>
          <w:spacing w:val="-7"/>
        </w:rPr>
        <w:t> </w:t>
      </w:r>
      <w:r>
        <w:rPr/>
        <w:t>tripulaciones</w:t>
      </w:r>
      <w:r>
        <w:rPr>
          <w:spacing w:val="-8"/>
        </w:rPr>
        <w:t> </w:t>
      </w:r>
      <w:r>
        <w:rPr/>
        <w:t>aeronáuticas</w:t>
      </w:r>
      <w:r>
        <w:rPr>
          <w:spacing w:val="-8"/>
        </w:rPr>
        <w:t> </w:t>
      </w:r>
      <w:r>
        <w:rPr/>
        <w:t>tomará</w:t>
      </w:r>
      <w:r>
        <w:rPr>
          <w:spacing w:val="-8"/>
        </w:rPr>
        <w:t> </w:t>
      </w:r>
      <w:r>
        <w:rPr/>
        <w:t>en</w:t>
      </w:r>
      <w:r>
        <w:rPr>
          <w:spacing w:val="-10"/>
        </w:rPr>
        <w:t> </w:t>
      </w:r>
      <w:r>
        <w:rPr>
          <w:spacing w:val="-2"/>
        </w:rPr>
        <w:t>consideración:</w:t>
      </w:r>
    </w:p>
    <w:p>
      <w:pPr>
        <w:pStyle w:val="BodyText"/>
        <w:spacing w:before="1"/>
      </w:pPr>
    </w:p>
    <w:p>
      <w:pPr>
        <w:pStyle w:val="ListParagraph"/>
        <w:numPr>
          <w:ilvl w:val="0"/>
          <w:numId w:val="56"/>
        </w:numPr>
        <w:tabs>
          <w:tab w:pos="1193" w:val="left" w:leader="none"/>
          <w:tab w:pos="1195" w:val="left" w:leader="none"/>
        </w:tabs>
        <w:spacing w:line="240" w:lineRule="auto" w:before="0" w:after="0"/>
        <w:ind w:left="1195" w:right="345" w:hanging="569"/>
        <w:jc w:val="both"/>
        <w:rPr>
          <w:sz w:val="20"/>
        </w:rPr>
      </w:pPr>
      <w:r>
        <w:rPr>
          <w:sz w:val="20"/>
        </w:rPr>
        <w:t>La capacidad técnica, física y mental del interesado, referida al equipo que corresponda al puesto de ascenso;</w:t>
      </w:r>
    </w:p>
    <w:p>
      <w:pPr>
        <w:pStyle w:val="ListParagraph"/>
        <w:numPr>
          <w:ilvl w:val="0"/>
          <w:numId w:val="56"/>
        </w:numPr>
        <w:tabs>
          <w:tab w:pos="1192" w:val="left" w:leader="none"/>
          <w:tab w:pos="1195" w:val="left" w:leader="none"/>
        </w:tabs>
        <w:spacing w:line="242" w:lineRule="auto" w:before="229" w:after="0"/>
        <w:ind w:left="1195" w:right="336" w:hanging="569"/>
        <w:jc w:val="both"/>
        <w:rPr>
          <w:sz w:val="20"/>
        </w:rPr>
      </w:pPr>
      <w:r>
        <w:rPr>
          <w:sz w:val="20"/>
        </w:rPr>
        <w:t>La experiencia previa, determinada, según la especialidad, por las horas de vuelo registradas ante la autoridad competente o por las instrucciones y práctica en el caso de los tripulantes que no tengan obligación de registrar dichas horas de vuelo; y</w:t>
      </w:r>
    </w:p>
    <w:p>
      <w:pPr>
        <w:pStyle w:val="ListParagraph"/>
        <w:numPr>
          <w:ilvl w:val="0"/>
          <w:numId w:val="56"/>
        </w:numPr>
        <w:tabs>
          <w:tab w:pos="1195" w:val="left" w:leader="none"/>
        </w:tabs>
        <w:spacing w:line="240" w:lineRule="auto" w:before="223" w:after="0"/>
        <w:ind w:left="1195" w:right="0" w:hanging="569"/>
        <w:jc w:val="left"/>
        <w:rPr>
          <w:sz w:val="20"/>
        </w:rPr>
      </w:pPr>
      <w:r>
        <w:rPr>
          <w:sz w:val="20"/>
        </w:rPr>
        <w:t>La</w:t>
      </w:r>
      <w:r>
        <w:rPr>
          <w:spacing w:val="-9"/>
          <w:sz w:val="20"/>
        </w:rPr>
        <w:t> </w:t>
      </w:r>
      <w:r>
        <w:rPr>
          <w:sz w:val="20"/>
        </w:rPr>
        <w:t>antigüedad,</w:t>
      </w:r>
      <w:r>
        <w:rPr>
          <w:spacing w:val="-6"/>
          <w:sz w:val="20"/>
        </w:rPr>
        <w:t> </w:t>
      </w:r>
      <w:r>
        <w:rPr>
          <w:sz w:val="20"/>
        </w:rPr>
        <w:t>en</w:t>
      </w:r>
      <w:r>
        <w:rPr>
          <w:spacing w:val="-7"/>
          <w:sz w:val="20"/>
        </w:rPr>
        <w:t> </w:t>
      </w:r>
      <w:r>
        <w:rPr>
          <w:sz w:val="20"/>
        </w:rPr>
        <w:t>igualdad</w:t>
      </w:r>
      <w:r>
        <w:rPr>
          <w:spacing w:val="-6"/>
          <w:sz w:val="20"/>
        </w:rPr>
        <w:t> </w:t>
      </w:r>
      <w:r>
        <w:rPr>
          <w:sz w:val="20"/>
        </w:rPr>
        <w:t>de</w:t>
      </w:r>
      <w:r>
        <w:rPr>
          <w:spacing w:val="-9"/>
          <w:sz w:val="20"/>
        </w:rPr>
        <w:t> </w:t>
      </w:r>
      <w:r>
        <w:rPr>
          <w:spacing w:val="-2"/>
          <w:sz w:val="20"/>
        </w:rPr>
        <w:t>condiciones.</w:t>
      </w:r>
    </w:p>
    <w:p>
      <w:pPr>
        <w:pStyle w:val="BodyText"/>
      </w:pPr>
    </w:p>
    <w:p>
      <w:pPr>
        <w:pStyle w:val="BodyText"/>
        <w:spacing w:line="242" w:lineRule="auto" w:before="1"/>
        <w:ind w:left="338" w:right="339" w:firstLine="288"/>
        <w:jc w:val="both"/>
      </w:pPr>
      <w:bookmarkStart w:name="Artículo_240" w:id="286"/>
      <w:bookmarkEnd w:id="286"/>
      <w:r>
        <w:rPr/>
      </w:r>
      <w:r>
        <w:rPr>
          <w:rFonts w:ascii="Arial" w:hAnsi="Arial"/>
          <w:b/>
        </w:rPr>
        <w:t>Artículo 240.- </w:t>
      </w:r>
      <w:r>
        <w:rPr/>
        <w:t>El tripulante interesado en una promoción de su especialidad, deberá sustentar y aprobar el programa de adiestramiento respectivo, y obtener la licencia requerida para cada especialidad por la Secretaría de Comunicaciones y Transportes.</w:t>
      </w:r>
    </w:p>
    <w:p>
      <w:pPr>
        <w:pStyle w:val="BodyText"/>
        <w:spacing w:line="242" w:lineRule="auto" w:before="222"/>
        <w:ind w:left="338" w:right="344" w:firstLine="288"/>
        <w:jc w:val="both"/>
      </w:pPr>
      <w:bookmarkStart w:name="Artículo_241" w:id="287"/>
      <w:bookmarkEnd w:id="287"/>
      <w:r>
        <w:rPr/>
      </w:r>
      <w:r>
        <w:rPr>
          <w:rFonts w:ascii="Arial" w:hAnsi="Arial"/>
          <w:b/>
        </w:rPr>
        <w:t>Artículo 241.- </w:t>
      </w:r>
      <w:r>
        <w:rPr/>
        <w:t>En el caso de operación de equipo con características técnicas distintas del que se venía utilizando, el tripulante y el patrón fijarán las condiciones de trabajo.</w:t>
      </w:r>
    </w:p>
    <w:p>
      <w:pPr>
        <w:spacing w:before="227"/>
        <w:ind w:left="626" w:right="0" w:firstLine="0"/>
        <w:jc w:val="left"/>
        <w:rPr>
          <w:sz w:val="20"/>
        </w:rPr>
      </w:pPr>
      <w:bookmarkStart w:name="Artículo_242" w:id="288"/>
      <w:bookmarkEnd w:id="288"/>
      <w:r>
        <w:rPr/>
      </w:r>
      <w:r>
        <w:rPr>
          <w:rFonts w:ascii="Arial" w:hAnsi="Arial"/>
          <w:b/>
          <w:sz w:val="20"/>
        </w:rPr>
        <w:t>Artículo</w:t>
      </w:r>
      <w:r>
        <w:rPr>
          <w:rFonts w:ascii="Arial" w:hAnsi="Arial"/>
          <w:b/>
          <w:spacing w:val="-7"/>
          <w:sz w:val="20"/>
        </w:rPr>
        <w:t> </w:t>
      </w:r>
      <w:r>
        <w:rPr>
          <w:rFonts w:ascii="Arial" w:hAnsi="Arial"/>
          <w:b/>
          <w:sz w:val="20"/>
        </w:rPr>
        <w:t>242.-</w:t>
      </w:r>
      <w:r>
        <w:rPr>
          <w:rFonts w:ascii="Arial" w:hAnsi="Arial"/>
          <w:b/>
          <w:spacing w:val="-6"/>
          <w:sz w:val="20"/>
        </w:rPr>
        <w:t> </w:t>
      </w:r>
      <w:r>
        <w:rPr>
          <w:sz w:val="20"/>
        </w:rPr>
        <w:t>Queda</w:t>
      </w:r>
      <w:r>
        <w:rPr>
          <w:spacing w:val="-6"/>
          <w:sz w:val="20"/>
        </w:rPr>
        <w:t> </w:t>
      </w:r>
      <w:r>
        <w:rPr>
          <w:sz w:val="20"/>
        </w:rPr>
        <w:t>prohibido</w:t>
      </w:r>
      <w:r>
        <w:rPr>
          <w:spacing w:val="-7"/>
          <w:sz w:val="20"/>
        </w:rPr>
        <w:t> </w:t>
      </w:r>
      <w:r>
        <w:rPr>
          <w:sz w:val="20"/>
        </w:rPr>
        <w:t>a</w:t>
      </w:r>
      <w:r>
        <w:rPr>
          <w:spacing w:val="-6"/>
          <w:sz w:val="20"/>
        </w:rPr>
        <w:t> </w:t>
      </w:r>
      <w:r>
        <w:rPr>
          <w:sz w:val="20"/>
        </w:rPr>
        <w:t>los</w:t>
      </w:r>
      <w:r>
        <w:rPr>
          <w:spacing w:val="-7"/>
          <w:sz w:val="20"/>
        </w:rPr>
        <w:t> </w:t>
      </w:r>
      <w:r>
        <w:rPr>
          <w:spacing w:val="-2"/>
          <w:sz w:val="20"/>
        </w:rPr>
        <w:t>tripulantes:</w:t>
      </w:r>
    </w:p>
    <w:p>
      <w:pPr>
        <w:pStyle w:val="ListParagraph"/>
        <w:numPr>
          <w:ilvl w:val="0"/>
          <w:numId w:val="57"/>
        </w:numPr>
        <w:tabs>
          <w:tab w:pos="1193" w:val="left" w:leader="none"/>
          <w:tab w:pos="1195" w:val="left" w:leader="none"/>
        </w:tabs>
        <w:spacing w:line="242" w:lineRule="auto" w:before="228" w:after="0"/>
        <w:ind w:left="1195" w:right="340" w:hanging="569"/>
        <w:jc w:val="both"/>
        <w:rPr>
          <w:sz w:val="20"/>
        </w:rPr>
      </w:pPr>
      <w:r>
        <w:rPr>
          <w:sz w:val="20"/>
        </w:rPr>
        <w:t>Ingerir bebidas alcohólicas durante la prestación del servicio y en las veinticuatro horas anteriores a la iniciación de los vuelos que tengan asignados;</w:t>
      </w:r>
    </w:p>
    <w:p>
      <w:pPr>
        <w:pStyle w:val="ListParagraph"/>
        <w:numPr>
          <w:ilvl w:val="0"/>
          <w:numId w:val="57"/>
        </w:numPr>
        <w:tabs>
          <w:tab w:pos="1192" w:val="left" w:leader="none"/>
          <w:tab w:pos="1195" w:val="left" w:leader="none"/>
        </w:tabs>
        <w:spacing w:line="242" w:lineRule="auto" w:before="227" w:after="0"/>
        <w:ind w:left="1195" w:right="342" w:hanging="569"/>
        <w:jc w:val="both"/>
        <w:rPr>
          <w:sz w:val="20"/>
        </w:rPr>
      </w:pPr>
      <w:r>
        <w:rPr>
          <w:sz w:val="20"/>
        </w:rPr>
        <w:t>Usar narcóticos o drogas enervantes dentro o fuera de sus horas de trabajo, sin prescripción de un especialista en medicina de aviación. Antes de iniciar su servicio, el trabajador deberá poner el hecho en conocimiento del patrón y presentarle la prescripción suscrita por el médico; y</w:t>
      </w:r>
    </w:p>
    <w:p>
      <w:pPr>
        <w:pStyle w:val="ListParagraph"/>
        <w:numPr>
          <w:ilvl w:val="0"/>
          <w:numId w:val="57"/>
        </w:numPr>
        <w:tabs>
          <w:tab w:pos="1191" w:val="left" w:leader="none"/>
          <w:tab w:pos="1195" w:val="left" w:leader="none"/>
        </w:tabs>
        <w:spacing w:line="242" w:lineRule="auto" w:before="222" w:after="0"/>
        <w:ind w:left="1195" w:right="345" w:hanging="569"/>
        <w:jc w:val="both"/>
        <w:rPr>
          <w:sz w:val="20"/>
        </w:rPr>
      </w:pPr>
      <w:r>
        <w:rPr>
          <w:sz w:val="20"/>
        </w:rPr>
        <w:t>Ejecutar como tripulantes algún vuelo que disminuya sus posibilidades físicas y legales de realizar vuelos al servicio de su patrón.</w:t>
      </w:r>
    </w:p>
    <w:p>
      <w:pPr>
        <w:pStyle w:val="BodyText"/>
        <w:spacing w:before="227"/>
        <w:ind w:left="338" w:right="345" w:firstLine="288"/>
        <w:jc w:val="both"/>
      </w:pPr>
      <w:bookmarkStart w:name="Artículo_243" w:id="289"/>
      <w:bookmarkEnd w:id="289"/>
      <w:r>
        <w:rPr/>
      </w:r>
      <w:r>
        <w:rPr>
          <w:rFonts w:ascii="Arial" w:hAnsi="Arial"/>
          <w:b/>
        </w:rPr>
        <w:t>Artículo 243.- </w:t>
      </w:r>
      <w:r>
        <w:rPr/>
        <w:t>Es causa</w:t>
      </w:r>
      <w:r>
        <w:rPr>
          <w:spacing w:val="-1"/>
        </w:rPr>
        <w:t> </w:t>
      </w:r>
      <w:r>
        <w:rPr/>
        <w:t>especial</w:t>
      </w:r>
      <w:r>
        <w:rPr>
          <w:spacing w:val="-1"/>
        </w:rPr>
        <w:t> </w:t>
      </w:r>
      <w:r>
        <w:rPr/>
        <w:t>de</w:t>
      </w:r>
      <w:r>
        <w:rPr>
          <w:spacing w:val="-1"/>
        </w:rPr>
        <w:t> </w:t>
      </w:r>
      <w:r>
        <w:rPr/>
        <w:t>suspensión</w:t>
      </w:r>
      <w:r>
        <w:rPr>
          <w:spacing w:val="-1"/>
        </w:rPr>
        <w:t> </w:t>
      </w:r>
      <w:r>
        <w:rPr/>
        <w:t>de</w:t>
      </w:r>
      <w:r>
        <w:rPr>
          <w:spacing w:val="-1"/>
        </w:rPr>
        <w:t> </w:t>
      </w:r>
      <w:r>
        <w:rPr/>
        <w:t>las relaciones de</w:t>
      </w:r>
      <w:r>
        <w:rPr>
          <w:spacing w:val="-1"/>
        </w:rPr>
        <w:t> </w:t>
      </w:r>
      <w:r>
        <w:rPr/>
        <w:t>trabajo,</w:t>
      </w:r>
      <w:r>
        <w:rPr>
          <w:spacing w:val="-1"/>
        </w:rPr>
        <w:t> </w:t>
      </w:r>
      <w:r>
        <w:rPr/>
        <w:t>sin responsabilidad</w:t>
      </w:r>
      <w:r>
        <w:rPr>
          <w:spacing w:val="-1"/>
        </w:rPr>
        <w:t> </w:t>
      </w:r>
      <w:r>
        <w:rPr/>
        <w:t>para el patrón, la suspensión transitoria de las licencias respectivas, de los pasaportes, visas y demás documentos exigidos por las leyes nacionales y extranjeras cuando sea imputable al tripulante.</w:t>
      </w:r>
    </w:p>
    <w:p>
      <w:pPr>
        <w:pStyle w:val="BodyText"/>
        <w:spacing w:before="229"/>
        <w:ind w:left="626"/>
      </w:pPr>
      <w:bookmarkStart w:name="Artículo_244" w:id="290"/>
      <w:bookmarkEnd w:id="290"/>
      <w:r>
        <w:rPr/>
      </w:r>
      <w:r>
        <w:rPr>
          <w:rFonts w:ascii="Arial" w:hAnsi="Arial"/>
          <w:b/>
        </w:rPr>
        <w:t>Artículo</w:t>
      </w:r>
      <w:r>
        <w:rPr>
          <w:rFonts w:ascii="Arial" w:hAnsi="Arial"/>
          <w:b/>
          <w:spacing w:val="-7"/>
        </w:rPr>
        <w:t> </w:t>
      </w:r>
      <w:r>
        <w:rPr>
          <w:rFonts w:ascii="Arial" w:hAnsi="Arial"/>
          <w:b/>
        </w:rPr>
        <w:t>244.-</w:t>
      </w:r>
      <w:r>
        <w:rPr>
          <w:rFonts w:ascii="Arial" w:hAnsi="Arial"/>
          <w:b/>
          <w:spacing w:val="-5"/>
        </w:rPr>
        <w:t> </w:t>
      </w:r>
      <w:r>
        <w:rPr/>
        <w:t>Son</w:t>
      </w:r>
      <w:r>
        <w:rPr>
          <w:spacing w:val="-5"/>
        </w:rPr>
        <w:t> </w:t>
      </w:r>
      <w:r>
        <w:rPr/>
        <w:t>causas</w:t>
      </w:r>
      <w:r>
        <w:rPr>
          <w:spacing w:val="-5"/>
        </w:rPr>
        <w:t> </w:t>
      </w:r>
      <w:r>
        <w:rPr/>
        <w:t>especiales</w:t>
      </w:r>
      <w:r>
        <w:rPr>
          <w:spacing w:val="-7"/>
        </w:rPr>
        <w:t> </w:t>
      </w:r>
      <w:r>
        <w:rPr/>
        <w:t>de</w:t>
      </w:r>
      <w:r>
        <w:rPr>
          <w:spacing w:val="-7"/>
        </w:rPr>
        <w:t> </w:t>
      </w:r>
      <w:r>
        <w:rPr/>
        <w:t>terminación</w:t>
      </w:r>
      <w:r>
        <w:rPr>
          <w:spacing w:val="-6"/>
        </w:rPr>
        <w:t> </w:t>
      </w:r>
      <w:r>
        <w:rPr/>
        <w:t>o</w:t>
      </w:r>
      <w:r>
        <w:rPr>
          <w:spacing w:val="-7"/>
        </w:rPr>
        <w:t> </w:t>
      </w:r>
      <w:r>
        <w:rPr/>
        <w:t>rescisión</w:t>
      </w:r>
      <w:r>
        <w:rPr>
          <w:spacing w:val="-6"/>
        </w:rPr>
        <w:t> </w:t>
      </w:r>
      <w:r>
        <w:rPr/>
        <w:t>de</w:t>
      </w:r>
      <w:r>
        <w:rPr>
          <w:spacing w:val="-6"/>
        </w:rPr>
        <w:t> </w:t>
      </w:r>
      <w:r>
        <w:rPr/>
        <w:t>las</w:t>
      </w:r>
      <w:r>
        <w:rPr>
          <w:spacing w:val="-7"/>
        </w:rPr>
        <w:t> </w:t>
      </w:r>
      <w:r>
        <w:rPr/>
        <w:t>relaciones</w:t>
      </w:r>
      <w:r>
        <w:rPr>
          <w:spacing w:val="-6"/>
        </w:rPr>
        <w:t> </w:t>
      </w:r>
      <w:r>
        <w:rPr/>
        <w:t>de</w:t>
      </w:r>
      <w:r>
        <w:rPr>
          <w:spacing w:val="-9"/>
        </w:rPr>
        <w:t> </w:t>
      </w:r>
      <w:r>
        <w:rPr>
          <w:spacing w:val="-2"/>
        </w:rPr>
        <w:t>trabajo:</w:t>
      </w:r>
    </w:p>
    <w:p>
      <w:pPr>
        <w:pStyle w:val="BodyText"/>
        <w:spacing w:before="1"/>
      </w:pPr>
    </w:p>
    <w:p>
      <w:pPr>
        <w:pStyle w:val="ListParagraph"/>
        <w:numPr>
          <w:ilvl w:val="0"/>
          <w:numId w:val="58"/>
        </w:numPr>
        <w:tabs>
          <w:tab w:pos="1195" w:val="left" w:leader="none"/>
        </w:tabs>
        <w:spacing w:line="240" w:lineRule="auto" w:before="0" w:after="0"/>
        <w:ind w:left="1195" w:right="0" w:hanging="569"/>
        <w:jc w:val="left"/>
        <w:rPr>
          <w:sz w:val="20"/>
        </w:rPr>
      </w:pPr>
      <w:r>
        <w:rPr>
          <w:sz w:val="20"/>
        </w:rPr>
        <w:t>La</w:t>
      </w:r>
      <w:r>
        <w:rPr>
          <w:spacing w:val="-9"/>
          <w:sz w:val="20"/>
        </w:rPr>
        <w:t> </w:t>
      </w:r>
      <w:r>
        <w:rPr>
          <w:sz w:val="20"/>
        </w:rPr>
        <w:t>cancelación</w:t>
      </w:r>
      <w:r>
        <w:rPr>
          <w:spacing w:val="-9"/>
          <w:sz w:val="20"/>
        </w:rPr>
        <w:t> </w:t>
      </w:r>
      <w:r>
        <w:rPr>
          <w:sz w:val="20"/>
        </w:rPr>
        <w:t>o</w:t>
      </w:r>
      <w:r>
        <w:rPr>
          <w:spacing w:val="-6"/>
          <w:sz w:val="20"/>
        </w:rPr>
        <w:t> </w:t>
      </w:r>
      <w:r>
        <w:rPr>
          <w:sz w:val="20"/>
        </w:rPr>
        <w:t>revocación</w:t>
      </w:r>
      <w:r>
        <w:rPr>
          <w:spacing w:val="-8"/>
          <w:sz w:val="20"/>
        </w:rPr>
        <w:t> </w:t>
      </w:r>
      <w:r>
        <w:rPr>
          <w:sz w:val="20"/>
        </w:rPr>
        <w:t>definitiva</w:t>
      </w:r>
      <w:r>
        <w:rPr>
          <w:spacing w:val="-6"/>
          <w:sz w:val="20"/>
        </w:rPr>
        <w:t> </w:t>
      </w:r>
      <w:r>
        <w:rPr>
          <w:sz w:val="20"/>
        </w:rPr>
        <w:t>de</w:t>
      </w:r>
      <w:r>
        <w:rPr>
          <w:spacing w:val="-7"/>
          <w:sz w:val="20"/>
        </w:rPr>
        <w:t> </w:t>
      </w:r>
      <w:r>
        <w:rPr>
          <w:sz w:val="20"/>
        </w:rPr>
        <w:t>los</w:t>
      </w:r>
      <w:r>
        <w:rPr>
          <w:spacing w:val="-7"/>
          <w:sz w:val="20"/>
        </w:rPr>
        <w:t> </w:t>
      </w:r>
      <w:r>
        <w:rPr>
          <w:sz w:val="20"/>
        </w:rPr>
        <w:t>documentos</w:t>
      </w:r>
      <w:r>
        <w:rPr>
          <w:spacing w:val="-7"/>
          <w:sz w:val="20"/>
        </w:rPr>
        <w:t> </w:t>
      </w:r>
      <w:r>
        <w:rPr>
          <w:sz w:val="20"/>
        </w:rPr>
        <w:t>especificados</w:t>
      </w:r>
      <w:r>
        <w:rPr>
          <w:spacing w:val="-7"/>
          <w:sz w:val="20"/>
        </w:rPr>
        <w:t> </w:t>
      </w:r>
      <w:r>
        <w:rPr>
          <w:sz w:val="20"/>
        </w:rPr>
        <w:t>en</w:t>
      </w:r>
      <w:r>
        <w:rPr>
          <w:spacing w:val="-7"/>
          <w:sz w:val="20"/>
        </w:rPr>
        <w:t> </w:t>
      </w:r>
      <w:r>
        <w:rPr>
          <w:sz w:val="20"/>
        </w:rPr>
        <w:t>el</w:t>
      </w:r>
      <w:r>
        <w:rPr>
          <w:spacing w:val="-7"/>
          <w:sz w:val="20"/>
        </w:rPr>
        <w:t> </w:t>
      </w:r>
      <w:r>
        <w:rPr>
          <w:sz w:val="20"/>
        </w:rPr>
        <w:t>artículo</w:t>
      </w:r>
      <w:r>
        <w:rPr>
          <w:spacing w:val="-1"/>
          <w:sz w:val="20"/>
        </w:rPr>
        <w:t> </w:t>
      </w:r>
      <w:r>
        <w:rPr>
          <w:spacing w:val="-2"/>
          <w:sz w:val="20"/>
        </w:rPr>
        <w:t>anterior;</w:t>
      </w:r>
    </w:p>
    <w:p>
      <w:pPr>
        <w:pStyle w:val="ListParagraph"/>
        <w:numPr>
          <w:ilvl w:val="0"/>
          <w:numId w:val="58"/>
        </w:numPr>
        <w:tabs>
          <w:tab w:pos="1192" w:val="left" w:leader="none"/>
          <w:tab w:pos="1195" w:val="left" w:leader="none"/>
        </w:tabs>
        <w:spacing w:line="242" w:lineRule="auto" w:before="229" w:after="0"/>
        <w:ind w:left="1195" w:right="342" w:hanging="569"/>
        <w:jc w:val="both"/>
        <w:rPr>
          <w:sz w:val="20"/>
        </w:rPr>
      </w:pPr>
      <w:r>
        <w:rPr>
          <w:sz w:val="20"/>
        </w:rPr>
        <w:t>Encontrarse el</w:t>
      </w:r>
      <w:r>
        <w:rPr>
          <w:spacing w:val="-1"/>
          <w:sz w:val="20"/>
        </w:rPr>
        <w:t> </w:t>
      </w:r>
      <w:r>
        <w:rPr>
          <w:sz w:val="20"/>
        </w:rPr>
        <w:t>tripulante en estado de embriaguez, dentro de las veinticuatro horas anteriores a la iniciación del vuelo que tenga asignado o durante el transcurso del mismo;</w:t>
      </w:r>
    </w:p>
    <w:p>
      <w:pPr>
        <w:pStyle w:val="ListParagraph"/>
        <w:numPr>
          <w:ilvl w:val="0"/>
          <w:numId w:val="58"/>
        </w:numPr>
        <w:tabs>
          <w:tab w:pos="1191" w:val="left" w:leader="none"/>
          <w:tab w:pos="1195" w:val="left" w:leader="none"/>
        </w:tabs>
        <w:spacing w:line="242" w:lineRule="auto" w:before="227" w:after="0"/>
        <w:ind w:left="1195" w:right="336" w:hanging="569"/>
        <w:jc w:val="both"/>
        <w:rPr>
          <w:sz w:val="20"/>
        </w:rPr>
      </w:pPr>
      <w:r>
        <w:rPr>
          <w:sz w:val="20"/>
        </w:rPr>
        <w:t>Encontrarse el tripulante, en cualquier tiempo, bajo la influencia de narcóticos o drogas enervantes salvo lo dispuesto en el artículo 242, fracción II;</w:t>
      </w:r>
    </w:p>
    <w:p>
      <w:pPr>
        <w:pStyle w:val="ListParagraph"/>
        <w:numPr>
          <w:ilvl w:val="0"/>
          <w:numId w:val="58"/>
        </w:numPr>
        <w:tabs>
          <w:tab w:pos="1195" w:val="left" w:leader="none"/>
        </w:tabs>
        <w:spacing w:line="242" w:lineRule="auto" w:before="224" w:after="0"/>
        <w:ind w:left="1195" w:right="346" w:hanging="569"/>
        <w:jc w:val="both"/>
        <w:rPr>
          <w:sz w:val="20"/>
        </w:rPr>
      </w:pPr>
      <w:r>
        <w:rPr>
          <w:sz w:val="20"/>
        </w:rPr>
        <w:t>La violación de las leyes en materia de importación o exportación de mercancías, en el desempeño de sus servicios;</w:t>
      </w:r>
    </w:p>
    <w:p>
      <w:pPr>
        <w:pStyle w:val="ListParagraph"/>
        <w:numPr>
          <w:ilvl w:val="0"/>
          <w:numId w:val="58"/>
        </w:numPr>
        <w:tabs>
          <w:tab w:pos="1195" w:val="left" w:leader="none"/>
        </w:tabs>
        <w:spacing w:line="242" w:lineRule="auto" w:before="227" w:after="0"/>
        <w:ind w:left="1195" w:right="341" w:hanging="569"/>
        <w:jc w:val="both"/>
        <w:rPr>
          <w:sz w:val="20"/>
        </w:rPr>
      </w:pPr>
      <w:r>
        <w:rPr>
          <w:sz w:val="20"/>
        </w:rPr>
        <w:t>La negativa del tripulante, sin causa justificada, a ejecutar vuelos de auxilio, búsqueda o salvamento, o iniciar o proseguir el servicio de vuelo que le haya sido asignado;</w:t>
      </w:r>
    </w:p>
    <w:p>
      <w:pPr>
        <w:pStyle w:val="ListParagraph"/>
        <w:spacing w:after="0" w:line="242" w:lineRule="auto"/>
        <w:jc w:val="both"/>
        <w:rPr>
          <w:sz w:val="20"/>
        </w:rPr>
        <w:sectPr>
          <w:pgSz w:w="12240" w:h="15840"/>
          <w:pgMar w:header="724" w:footer="712" w:top="1880" w:bottom="900" w:left="1080" w:right="1080"/>
        </w:sectPr>
      </w:pPr>
    </w:p>
    <w:p>
      <w:pPr>
        <w:pStyle w:val="BodyText"/>
        <w:spacing w:before="63"/>
      </w:pPr>
    </w:p>
    <w:p>
      <w:pPr>
        <w:pStyle w:val="ListParagraph"/>
        <w:numPr>
          <w:ilvl w:val="0"/>
          <w:numId w:val="58"/>
        </w:numPr>
        <w:tabs>
          <w:tab w:pos="1195" w:val="left" w:leader="none"/>
        </w:tabs>
        <w:spacing w:line="242" w:lineRule="auto" w:before="0" w:after="0"/>
        <w:ind w:left="1195" w:right="340" w:hanging="569"/>
        <w:jc w:val="both"/>
        <w:rPr>
          <w:sz w:val="20"/>
        </w:rPr>
      </w:pPr>
      <w:r>
        <w:rPr>
          <w:sz w:val="20"/>
        </w:rPr>
        <w:t>La negativa del tripulante a cursar los programas de adiestramiento que según las necesidades del servicio establezca el patrón, cuando sean indispensables para conservar o incrementar su eficiencia, para ascensos o para operar equipo con nuevas características técnicas;</w:t>
      </w:r>
    </w:p>
    <w:p>
      <w:pPr>
        <w:pStyle w:val="ListParagraph"/>
        <w:numPr>
          <w:ilvl w:val="0"/>
          <w:numId w:val="58"/>
        </w:numPr>
        <w:tabs>
          <w:tab w:pos="1193" w:val="left" w:leader="none"/>
          <w:tab w:pos="1195" w:val="left" w:leader="none"/>
        </w:tabs>
        <w:spacing w:line="240" w:lineRule="auto" w:before="225" w:after="0"/>
        <w:ind w:left="1195" w:right="336" w:hanging="569"/>
        <w:jc w:val="both"/>
        <w:rPr>
          <w:sz w:val="20"/>
        </w:rPr>
      </w:pPr>
      <w:r>
        <w:rPr>
          <w:sz w:val="20"/>
        </w:rPr>
        <w:t>La ejecución, en el desempeño del trabajo, por parte del tripulante, de cualquier acto o la omisión</w:t>
      </w:r>
      <w:r>
        <w:rPr>
          <w:spacing w:val="-5"/>
          <w:sz w:val="20"/>
        </w:rPr>
        <w:t> </w:t>
      </w:r>
      <w:r>
        <w:rPr>
          <w:sz w:val="20"/>
        </w:rPr>
        <w:t>intencional</w:t>
      </w:r>
      <w:r>
        <w:rPr>
          <w:spacing w:val="-3"/>
          <w:sz w:val="20"/>
        </w:rPr>
        <w:t> </w:t>
      </w:r>
      <w:r>
        <w:rPr>
          <w:sz w:val="20"/>
        </w:rPr>
        <w:t>o</w:t>
      </w:r>
      <w:r>
        <w:rPr>
          <w:spacing w:val="-2"/>
          <w:sz w:val="20"/>
        </w:rPr>
        <w:t> </w:t>
      </w:r>
      <w:r>
        <w:rPr>
          <w:sz w:val="20"/>
        </w:rPr>
        <w:t>negligencia</w:t>
      </w:r>
      <w:r>
        <w:rPr>
          <w:spacing w:val="-4"/>
          <w:sz w:val="20"/>
        </w:rPr>
        <w:t> </w:t>
      </w:r>
      <w:r>
        <w:rPr>
          <w:sz w:val="20"/>
        </w:rPr>
        <w:t>que</w:t>
      </w:r>
      <w:r>
        <w:rPr>
          <w:spacing w:val="-3"/>
          <w:sz w:val="20"/>
        </w:rPr>
        <w:t> </w:t>
      </w:r>
      <w:r>
        <w:rPr>
          <w:sz w:val="20"/>
        </w:rPr>
        <w:t>pueda</w:t>
      </w:r>
      <w:r>
        <w:rPr>
          <w:spacing w:val="-2"/>
          <w:sz w:val="20"/>
        </w:rPr>
        <w:t> </w:t>
      </w:r>
      <w:r>
        <w:rPr>
          <w:sz w:val="20"/>
        </w:rPr>
        <w:t>poner</w:t>
      </w:r>
      <w:r>
        <w:rPr>
          <w:spacing w:val="-1"/>
          <w:sz w:val="20"/>
        </w:rPr>
        <w:t> </w:t>
      </w:r>
      <w:r>
        <w:rPr>
          <w:sz w:val="20"/>
        </w:rPr>
        <w:t>en</w:t>
      </w:r>
      <w:r>
        <w:rPr>
          <w:spacing w:val="-2"/>
          <w:sz w:val="20"/>
        </w:rPr>
        <w:t> </w:t>
      </w:r>
      <w:r>
        <w:rPr>
          <w:sz w:val="20"/>
        </w:rPr>
        <w:t>peligro</w:t>
      </w:r>
      <w:r>
        <w:rPr>
          <w:spacing w:val="-4"/>
          <w:sz w:val="20"/>
        </w:rPr>
        <w:t> </w:t>
      </w:r>
      <w:r>
        <w:rPr>
          <w:sz w:val="20"/>
        </w:rPr>
        <w:t>su</w:t>
      </w:r>
      <w:r>
        <w:rPr>
          <w:spacing w:val="-4"/>
          <w:sz w:val="20"/>
        </w:rPr>
        <w:t> </w:t>
      </w:r>
      <w:r>
        <w:rPr>
          <w:sz w:val="20"/>
        </w:rPr>
        <w:t>seguridad</w:t>
      </w:r>
      <w:r>
        <w:rPr>
          <w:spacing w:val="-2"/>
          <w:sz w:val="20"/>
        </w:rPr>
        <w:t> </w:t>
      </w:r>
      <w:r>
        <w:rPr>
          <w:sz w:val="20"/>
        </w:rPr>
        <w:t>o</w:t>
      </w:r>
      <w:r>
        <w:rPr>
          <w:spacing w:val="-2"/>
          <w:sz w:val="20"/>
        </w:rPr>
        <w:t> </w:t>
      </w:r>
      <w:r>
        <w:rPr>
          <w:sz w:val="20"/>
        </w:rPr>
        <w:t>la</w:t>
      </w:r>
      <w:r>
        <w:rPr>
          <w:spacing w:val="-2"/>
          <w:sz w:val="20"/>
        </w:rPr>
        <w:t> </w:t>
      </w:r>
      <w:r>
        <w:rPr>
          <w:sz w:val="20"/>
        </w:rPr>
        <w:t>de</w:t>
      </w:r>
      <w:r>
        <w:rPr>
          <w:spacing w:val="-4"/>
          <w:sz w:val="20"/>
        </w:rPr>
        <w:t> </w:t>
      </w:r>
      <w:r>
        <w:rPr>
          <w:sz w:val="20"/>
        </w:rPr>
        <w:t>los</w:t>
      </w:r>
      <w:r>
        <w:rPr>
          <w:spacing w:val="-3"/>
          <w:sz w:val="20"/>
        </w:rPr>
        <w:t> </w:t>
      </w:r>
      <w:r>
        <w:rPr>
          <w:sz w:val="20"/>
        </w:rPr>
        <w:t>miembros de la tripulación, de los pasajeros o de terceras personas, o que dañe, perjudique o ponga en peligro los bienes del patrón o de terceros; y</w:t>
      </w:r>
    </w:p>
    <w:p>
      <w:pPr>
        <w:pStyle w:val="ListParagraph"/>
        <w:numPr>
          <w:ilvl w:val="0"/>
          <w:numId w:val="58"/>
        </w:numPr>
        <w:tabs>
          <w:tab w:pos="1193" w:val="left" w:leader="none"/>
          <w:tab w:pos="1195" w:val="left" w:leader="none"/>
        </w:tabs>
        <w:spacing w:line="242" w:lineRule="auto" w:before="229" w:after="0"/>
        <w:ind w:left="1195" w:right="342" w:hanging="569"/>
        <w:jc w:val="both"/>
        <w:rPr>
          <w:sz w:val="20"/>
        </w:rPr>
      </w:pPr>
      <w:r>
        <w:rPr>
          <w:sz w:val="20"/>
        </w:rPr>
        <w:t>El incumplimiento de las obligaciones señaladas en el artículo 237 y la violación de la prohibición consignada en el artículo 242, fracción III.</w:t>
      </w:r>
    </w:p>
    <w:p>
      <w:pPr>
        <w:pStyle w:val="BodyText"/>
        <w:spacing w:line="242" w:lineRule="auto" w:before="225"/>
        <w:ind w:left="338" w:right="341" w:firstLine="288"/>
        <w:jc w:val="both"/>
      </w:pPr>
      <w:bookmarkStart w:name="Artículo_245" w:id="291"/>
      <w:bookmarkEnd w:id="291"/>
      <w:r>
        <w:rPr/>
      </w:r>
      <w:r>
        <w:rPr>
          <w:rFonts w:ascii="Arial" w:hAnsi="Arial"/>
          <w:b/>
        </w:rPr>
        <w:t>Artículo 245.- </w:t>
      </w:r>
      <w:r>
        <w:rPr/>
        <w:t>La Autoridad Registral, previamente a la aprobación del reglamento interior de trabajo, recabará la opinión de la Secretaría de Comunicaciones y Transportes a fin de que en el mismo se observen las disposiciones de la Ley de Vías Generales de Comunicaciones y sus reglamentos.</w:t>
      </w:r>
    </w:p>
    <w:p>
      <w:pPr>
        <w:spacing w:line="178"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36" w:firstLine="288"/>
        <w:jc w:val="both"/>
      </w:pPr>
      <w:bookmarkStart w:name="Artículo_245_Bis" w:id="292"/>
      <w:bookmarkEnd w:id="292"/>
      <w:r>
        <w:rPr/>
      </w:r>
      <w:r>
        <w:rPr>
          <w:rFonts w:ascii="Arial" w:hAnsi="Arial"/>
          <w:b/>
        </w:rPr>
        <w:t>Artículo 245 Bis.- </w:t>
      </w:r>
      <w:r>
        <w:rPr/>
        <w:t>La existencia de un contrato colectivo de trabajo que abarque a la totalidad de trabajadores no será impedimento para que coexista con otro pacto sindical celebrado con un sindicato gremial de pilotos o sobrecargos, si la mayoría de los trabajadores de la misma profesión manifiestan su voto a favor del sindicato gremial.</w:t>
      </w:r>
    </w:p>
    <w:p>
      <w:pPr>
        <w:pStyle w:val="BodyText"/>
        <w:spacing w:before="223"/>
        <w:ind w:left="338" w:right="338" w:firstLine="288"/>
        <w:jc w:val="both"/>
      </w:pPr>
      <w:r>
        <w:rPr/>
        <w:t>El sindicato gremial que afilie pilotos o sobrecargos podrá demandar la titularidad de un contrato que abarque la totalidad de trabajadores, por lo que hace al gremio que represente. La pérdida de la mayoría declarada por los Tribunales, después de consultar a los trabajadores del gremio en disputa mediante voto personal, libre, directo y secreto, produce la de la titularidad del contrato colectivo de trabajo.</w:t>
      </w:r>
    </w:p>
    <w:p>
      <w:pPr>
        <w:spacing w:line="183"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Heading1"/>
        <w:spacing w:before="228"/>
      </w:pPr>
      <w:r>
        <w:rPr/>
        <w:t>CAPITULO</w:t>
      </w:r>
      <w:r>
        <w:rPr>
          <w:spacing w:val="-7"/>
        </w:rPr>
        <w:t> </w:t>
      </w:r>
      <w:r>
        <w:rPr>
          <w:spacing w:val="-12"/>
        </w:rPr>
        <w:t>V</w:t>
      </w:r>
    </w:p>
    <w:p>
      <w:pPr>
        <w:pStyle w:val="Heading2"/>
        <w:spacing w:before="1"/>
        <w:ind w:left="299"/>
      </w:pPr>
      <w:r>
        <w:rPr/>
        <w:t>Trabajo</w:t>
      </w:r>
      <w:r>
        <w:rPr>
          <w:spacing w:val="-9"/>
        </w:rPr>
        <w:t> </w:t>
      </w:r>
      <w:r>
        <w:rPr>
          <w:spacing w:val="-2"/>
        </w:rPr>
        <w:t>ferrocarrilero</w:t>
      </w:r>
    </w:p>
    <w:p>
      <w:pPr>
        <w:spacing w:before="231"/>
        <w:ind w:left="626" w:right="0" w:firstLine="0"/>
        <w:jc w:val="left"/>
        <w:rPr>
          <w:sz w:val="20"/>
        </w:rPr>
      </w:pPr>
      <w:bookmarkStart w:name="Artículo_246" w:id="293"/>
      <w:bookmarkEnd w:id="293"/>
      <w:r>
        <w:rPr/>
      </w:r>
      <w:r>
        <w:rPr>
          <w:rFonts w:ascii="Arial" w:hAnsi="Arial"/>
          <w:b/>
          <w:sz w:val="20"/>
        </w:rPr>
        <w:t>Artículo</w:t>
      </w:r>
      <w:r>
        <w:rPr>
          <w:rFonts w:ascii="Arial" w:hAnsi="Arial"/>
          <w:b/>
          <w:spacing w:val="-8"/>
          <w:sz w:val="20"/>
        </w:rPr>
        <w:t> </w:t>
      </w:r>
      <w:r>
        <w:rPr>
          <w:rFonts w:ascii="Arial" w:hAnsi="Arial"/>
          <w:b/>
          <w:sz w:val="20"/>
        </w:rPr>
        <w:t>246.-</w:t>
      </w:r>
      <w:r>
        <w:rPr>
          <w:rFonts w:ascii="Arial" w:hAnsi="Arial"/>
          <w:b/>
          <w:spacing w:val="-8"/>
          <w:sz w:val="20"/>
        </w:rPr>
        <w:t> </w:t>
      </w:r>
      <w:r>
        <w:rPr>
          <w:sz w:val="20"/>
        </w:rPr>
        <w:t>Los</w:t>
      </w:r>
      <w:r>
        <w:rPr>
          <w:spacing w:val="-8"/>
          <w:sz w:val="20"/>
        </w:rPr>
        <w:t> </w:t>
      </w:r>
      <w:r>
        <w:rPr>
          <w:sz w:val="20"/>
        </w:rPr>
        <w:t>trabajadores</w:t>
      </w:r>
      <w:r>
        <w:rPr>
          <w:spacing w:val="-7"/>
          <w:sz w:val="20"/>
        </w:rPr>
        <w:t> </w:t>
      </w:r>
      <w:r>
        <w:rPr>
          <w:sz w:val="20"/>
        </w:rPr>
        <w:t>ferrocarrileros</w:t>
      </w:r>
      <w:r>
        <w:rPr>
          <w:spacing w:val="-7"/>
          <w:sz w:val="20"/>
        </w:rPr>
        <w:t> </w:t>
      </w:r>
      <w:r>
        <w:rPr>
          <w:sz w:val="20"/>
        </w:rPr>
        <w:t>deberán</w:t>
      </w:r>
      <w:r>
        <w:rPr>
          <w:spacing w:val="-9"/>
          <w:sz w:val="20"/>
        </w:rPr>
        <w:t> </w:t>
      </w:r>
      <w:r>
        <w:rPr>
          <w:sz w:val="20"/>
        </w:rPr>
        <w:t>ser</w:t>
      </w:r>
      <w:r>
        <w:rPr>
          <w:spacing w:val="-8"/>
          <w:sz w:val="20"/>
        </w:rPr>
        <w:t> </w:t>
      </w:r>
      <w:r>
        <w:rPr>
          <w:spacing w:val="-2"/>
          <w:sz w:val="20"/>
        </w:rPr>
        <w:t>mexicanos.</w:t>
      </w:r>
    </w:p>
    <w:p>
      <w:pPr>
        <w:pStyle w:val="BodyText"/>
        <w:spacing w:before="1"/>
      </w:pPr>
    </w:p>
    <w:p>
      <w:pPr>
        <w:pStyle w:val="BodyText"/>
        <w:ind w:left="338" w:right="344" w:firstLine="288"/>
        <w:jc w:val="both"/>
      </w:pPr>
      <w:bookmarkStart w:name="Artículo_247" w:id="294"/>
      <w:bookmarkEnd w:id="294"/>
      <w:r>
        <w:rPr/>
      </w:r>
      <w:r>
        <w:rPr>
          <w:rFonts w:ascii="Arial" w:hAnsi="Arial"/>
          <w:b/>
        </w:rPr>
        <w:t>Artículo 247.- </w:t>
      </w:r>
      <w:r>
        <w:rPr/>
        <w:t>En los contratos colectivos se podrá determinar el personal de confianza, tomando en consideración lo dispuesto en el artículo 9o.</w:t>
      </w:r>
    </w:p>
    <w:p>
      <w:pPr>
        <w:pStyle w:val="BodyText"/>
        <w:spacing w:line="242" w:lineRule="auto" w:before="229"/>
        <w:ind w:left="338" w:right="346" w:firstLine="288"/>
        <w:jc w:val="both"/>
      </w:pPr>
      <w:bookmarkStart w:name="Artículo_248" w:id="295"/>
      <w:bookmarkEnd w:id="295"/>
      <w:r>
        <w:rPr/>
      </w:r>
      <w:r>
        <w:rPr>
          <w:rFonts w:ascii="Arial" w:hAnsi="Arial"/>
          <w:b/>
        </w:rPr>
        <w:t>Artículo</w:t>
      </w:r>
      <w:r>
        <w:rPr>
          <w:rFonts w:ascii="Arial" w:hAnsi="Arial"/>
          <w:b/>
          <w:spacing w:val="-1"/>
        </w:rPr>
        <w:t> </w:t>
      </w:r>
      <w:r>
        <w:rPr>
          <w:rFonts w:ascii="Arial" w:hAnsi="Arial"/>
          <w:b/>
        </w:rPr>
        <w:t>248.-</w:t>
      </w:r>
      <w:r>
        <w:rPr>
          <w:rFonts w:ascii="Arial" w:hAnsi="Arial"/>
          <w:b/>
          <w:spacing w:val="-3"/>
        </w:rPr>
        <w:t> </w:t>
      </w:r>
      <w:r>
        <w:rPr/>
        <w:t>En</w:t>
      </w:r>
      <w:r>
        <w:rPr>
          <w:spacing w:val="-2"/>
        </w:rPr>
        <w:t> </w:t>
      </w:r>
      <w:r>
        <w:rPr/>
        <w:t>los</w:t>
      </w:r>
      <w:r>
        <w:rPr>
          <w:spacing w:val="-3"/>
        </w:rPr>
        <w:t> </w:t>
      </w:r>
      <w:r>
        <w:rPr/>
        <w:t>contratos</w:t>
      </w:r>
      <w:r>
        <w:rPr>
          <w:spacing w:val="-3"/>
        </w:rPr>
        <w:t> </w:t>
      </w:r>
      <w:r>
        <w:rPr/>
        <w:t>colectivos</w:t>
      </w:r>
      <w:r>
        <w:rPr>
          <w:spacing w:val="-3"/>
        </w:rPr>
        <w:t> </w:t>
      </w:r>
      <w:r>
        <w:rPr/>
        <w:t>se</w:t>
      </w:r>
      <w:r>
        <w:rPr>
          <w:spacing w:val="-2"/>
        </w:rPr>
        <w:t> </w:t>
      </w:r>
      <w:r>
        <w:rPr/>
        <w:t>podrá</w:t>
      </w:r>
      <w:r>
        <w:rPr>
          <w:spacing w:val="-2"/>
        </w:rPr>
        <w:t> </w:t>
      </w:r>
      <w:r>
        <w:rPr/>
        <w:t>estipular</w:t>
      </w:r>
      <w:r>
        <w:rPr>
          <w:spacing w:val="-1"/>
        </w:rPr>
        <w:t> </w:t>
      </w:r>
      <w:r>
        <w:rPr/>
        <w:t>que</w:t>
      </w:r>
      <w:r>
        <w:rPr>
          <w:spacing w:val="-4"/>
        </w:rPr>
        <w:t> </w:t>
      </w:r>
      <w:r>
        <w:rPr/>
        <w:t>los</w:t>
      </w:r>
      <w:r>
        <w:rPr>
          <w:spacing w:val="-3"/>
        </w:rPr>
        <w:t> </w:t>
      </w:r>
      <w:r>
        <w:rPr/>
        <w:t>trabajadores</w:t>
      </w:r>
      <w:r>
        <w:rPr>
          <w:spacing w:val="-3"/>
        </w:rPr>
        <w:t> </w:t>
      </w:r>
      <w:r>
        <w:rPr/>
        <w:t>trenistas</w:t>
      </w:r>
      <w:r>
        <w:rPr>
          <w:spacing w:val="-3"/>
        </w:rPr>
        <w:t> </w:t>
      </w:r>
      <w:r>
        <w:rPr/>
        <w:t>presten</w:t>
      </w:r>
      <w:r>
        <w:rPr>
          <w:spacing w:val="-5"/>
        </w:rPr>
        <w:t> </w:t>
      </w:r>
      <w:r>
        <w:rPr/>
        <w:t>sus servicios sobre la base de viajes en una sola o en dos direcciones.</w:t>
      </w:r>
    </w:p>
    <w:p>
      <w:pPr>
        <w:pStyle w:val="BodyText"/>
        <w:spacing w:line="242" w:lineRule="auto" w:before="224"/>
        <w:ind w:left="338" w:right="336" w:firstLine="288"/>
        <w:jc w:val="both"/>
      </w:pPr>
      <w:bookmarkStart w:name="Artículo_249" w:id="296"/>
      <w:bookmarkEnd w:id="296"/>
      <w:r>
        <w:rPr/>
      </w:r>
      <w:r>
        <w:rPr>
          <w:rFonts w:ascii="Arial" w:hAnsi="Arial"/>
          <w:b/>
        </w:rPr>
        <w:t>Artículo 249.- </w:t>
      </w:r>
      <w:r>
        <w:rPr/>
        <w:t>Cuando algún trabajador esté próximo a cumplir los términos de jubilación determinados en los contratos colectivos, la relación de trabajo sólo podrá rescindirse por causas particularmente graves que hagan imposible su continuación, de conformidad con las disposiciones contenidas en los contratos colectivos. A falta de disposiciones expresas se estará a lo dispuesto en el artículo 161.</w:t>
      </w:r>
    </w:p>
    <w:p>
      <w:pPr>
        <w:pStyle w:val="BodyText"/>
        <w:spacing w:line="242" w:lineRule="auto" w:before="219"/>
        <w:ind w:left="338" w:right="345" w:firstLine="288"/>
        <w:jc w:val="both"/>
      </w:pPr>
      <w:bookmarkStart w:name="Artículo_250" w:id="297"/>
      <w:bookmarkEnd w:id="297"/>
      <w:r>
        <w:rPr/>
      </w:r>
      <w:r>
        <w:rPr>
          <w:rFonts w:ascii="Arial" w:hAnsi="Arial"/>
          <w:b/>
        </w:rPr>
        <w:t>Artículo 250.- </w:t>
      </w:r>
      <w:r>
        <w:rPr/>
        <w:t>No es causa de rescisión de las relaciones de trabajo ni de pérdida de los derechos, la circunstancia de que los trabajadores, por fuerza mayor, queden aislados de sus jefes, si continúan en sus puestos.</w:t>
      </w:r>
    </w:p>
    <w:p>
      <w:pPr>
        <w:pStyle w:val="BodyText"/>
        <w:spacing w:before="228"/>
        <w:ind w:left="338" w:right="342" w:firstLine="288"/>
        <w:jc w:val="both"/>
      </w:pPr>
      <w:r>
        <w:rPr/>
        <w:t>Si en las mismas condiciones los abandonan, volverán a ocuparlos al desaparecer las causas que motivaron el abandono. En estos casos, se harán previamente las investigaciones respectivas, con intervención de los representantes del sindicato y de la empresa, y si de ellas resulta responsabilidad a los</w:t>
      </w:r>
      <w:r>
        <w:rPr>
          <w:spacing w:val="75"/>
        </w:rPr>
        <w:t> </w:t>
      </w:r>
      <w:r>
        <w:rPr/>
        <w:t>trabajadores</w:t>
      </w:r>
      <w:r>
        <w:rPr>
          <w:spacing w:val="75"/>
        </w:rPr>
        <w:t> </w:t>
      </w:r>
      <w:r>
        <w:rPr/>
        <w:t>afectados,</w:t>
      </w:r>
      <w:r>
        <w:rPr>
          <w:spacing w:val="74"/>
        </w:rPr>
        <w:t> </w:t>
      </w:r>
      <w:r>
        <w:rPr/>
        <w:t>o</w:t>
      </w:r>
      <w:r>
        <w:rPr>
          <w:spacing w:val="74"/>
        </w:rPr>
        <w:t> </w:t>
      </w:r>
      <w:r>
        <w:rPr/>
        <w:t>se</w:t>
      </w:r>
      <w:r>
        <w:rPr>
          <w:spacing w:val="74"/>
        </w:rPr>
        <w:t> </w:t>
      </w:r>
      <w:r>
        <w:rPr/>
        <w:t>comprueba</w:t>
      </w:r>
      <w:r>
        <w:rPr>
          <w:spacing w:val="74"/>
        </w:rPr>
        <w:t> </w:t>
      </w:r>
      <w:r>
        <w:rPr/>
        <w:t>que</w:t>
      </w:r>
      <w:r>
        <w:rPr>
          <w:spacing w:val="76"/>
        </w:rPr>
        <w:t> </w:t>
      </w:r>
      <w:r>
        <w:rPr/>
        <w:t>voluntariamente</w:t>
      </w:r>
      <w:r>
        <w:rPr>
          <w:spacing w:val="74"/>
        </w:rPr>
        <w:t> </w:t>
      </w:r>
      <w:r>
        <w:rPr/>
        <w:t>descuidaron</w:t>
      </w:r>
      <w:r>
        <w:rPr>
          <w:spacing w:val="74"/>
        </w:rPr>
        <w:t> </w:t>
      </w:r>
      <w:r>
        <w:rPr/>
        <w:t>o</w:t>
      </w:r>
      <w:r>
        <w:rPr>
          <w:spacing w:val="74"/>
        </w:rPr>
        <w:t> </w:t>
      </w:r>
      <w:r>
        <w:rPr/>
        <w:t>perjudicaron</w:t>
      </w:r>
      <w:r>
        <w:rPr>
          <w:spacing w:val="74"/>
        </w:rPr>
        <w:t> </w:t>
      </w:r>
      <w:r>
        <w:rPr/>
        <w:t>los</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44"/>
        <w:jc w:val="both"/>
      </w:pPr>
      <w:r>
        <w:rPr/>
        <w:t>intereses de la empresa, serán separados de sus empleos. Los trabajadores que hayan ocupado los puestos abandonados tendrán la categoría de interinos, y al ser reinstalados los titulares continuarán trabajando en los empleos que tenían con anterioridad o en los que queden vacantes.</w:t>
      </w:r>
    </w:p>
    <w:p>
      <w:pPr>
        <w:pStyle w:val="BodyText"/>
        <w:spacing w:before="230"/>
        <w:ind w:left="338" w:right="339" w:firstLine="288"/>
        <w:jc w:val="both"/>
      </w:pPr>
      <w:bookmarkStart w:name="Artículo_251" w:id="298"/>
      <w:bookmarkEnd w:id="298"/>
      <w:r>
        <w:rPr/>
      </w:r>
      <w:r>
        <w:rPr>
          <w:rFonts w:ascii="Arial" w:hAnsi="Arial"/>
          <w:b/>
        </w:rPr>
        <w:t>Artículo 251.- </w:t>
      </w:r>
      <w:r>
        <w:rPr/>
        <w:t>Los trabajadores que hayan sido separados por reducción de personal o de puestos, aun cuando reciban las indemnizaciones que en derecho procedan, seguirán conservando los derechos que hayan adquirido antes de su separación, para regresar a sus puestos, si éstos vuelven a crearse y también para que se les llame</w:t>
      </w:r>
      <w:r>
        <w:rPr>
          <w:spacing w:val="-1"/>
        </w:rPr>
        <w:t> </w:t>
      </w:r>
      <w:r>
        <w:rPr/>
        <w:t>al servicio en el ramo de trabajo de donde salieron, siempre que continúen perteneciendo a los sindicatos que celebraron los contratos colectivos.</w:t>
      </w:r>
    </w:p>
    <w:p>
      <w:pPr>
        <w:pStyle w:val="BodyText"/>
        <w:spacing w:line="242" w:lineRule="auto" w:before="230"/>
        <w:ind w:left="338" w:right="345" w:firstLine="288"/>
        <w:jc w:val="both"/>
      </w:pPr>
      <w:bookmarkStart w:name="Artículo_252" w:id="299"/>
      <w:bookmarkEnd w:id="299"/>
      <w:r>
        <w:rPr/>
      </w:r>
      <w:r>
        <w:rPr>
          <w:rFonts w:ascii="Arial" w:hAnsi="Arial"/>
          <w:b/>
        </w:rPr>
        <w:t>Artículo 252.- </w:t>
      </w:r>
      <w:r>
        <w:rPr/>
        <w:t>Las jornadas de los trabajadores se ajustarán a las necesidades del servicio y podrán principiar en cualquier hora del día o de la noche.</w:t>
      </w:r>
    </w:p>
    <w:p>
      <w:pPr>
        <w:pStyle w:val="BodyText"/>
        <w:spacing w:line="242" w:lineRule="auto" w:before="225"/>
        <w:ind w:left="338" w:right="348" w:firstLine="288"/>
        <w:jc w:val="both"/>
      </w:pPr>
      <w:bookmarkStart w:name="Artículo_253" w:id="300"/>
      <w:bookmarkEnd w:id="300"/>
      <w:r>
        <w:rPr/>
      </w:r>
      <w:r>
        <w:rPr>
          <w:rFonts w:ascii="Arial" w:hAnsi="Arial"/>
          <w:b/>
        </w:rPr>
        <w:t>Artículo 253.- </w:t>
      </w:r>
      <w:r>
        <w:rPr/>
        <w:t>No es violatorio del principio de igualdad de salario la fijación de salarios distintos para trabajo igual, si éste se presta en líneas o ramales de diversa importancia.</w:t>
      </w:r>
    </w:p>
    <w:p>
      <w:pPr>
        <w:spacing w:before="226"/>
        <w:ind w:left="626" w:right="0" w:firstLine="0"/>
        <w:jc w:val="left"/>
        <w:rPr>
          <w:sz w:val="20"/>
        </w:rPr>
      </w:pPr>
      <w:bookmarkStart w:name="Artículo_254" w:id="301"/>
      <w:bookmarkEnd w:id="301"/>
      <w:r>
        <w:rPr/>
      </w:r>
      <w:r>
        <w:rPr>
          <w:rFonts w:ascii="Arial" w:hAnsi="Arial"/>
          <w:b/>
          <w:sz w:val="20"/>
        </w:rPr>
        <w:t>Artículo</w:t>
      </w:r>
      <w:r>
        <w:rPr>
          <w:rFonts w:ascii="Arial" w:hAnsi="Arial"/>
          <w:b/>
          <w:spacing w:val="-7"/>
          <w:sz w:val="20"/>
        </w:rPr>
        <w:t> </w:t>
      </w:r>
      <w:r>
        <w:rPr>
          <w:rFonts w:ascii="Arial" w:hAnsi="Arial"/>
          <w:b/>
          <w:sz w:val="20"/>
        </w:rPr>
        <w:t>254.-</w:t>
      </w:r>
      <w:r>
        <w:rPr>
          <w:rFonts w:ascii="Arial" w:hAnsi="Arial"/>
          <w:b/>
          <w:spacing w:val="-6"/>
          <w:sz w:val="20"/>
        </w:rPr>
        <w:t> </w:t>
      </w:r>
      <w:r>
        <w:rPr>
          <w:sz w:val="20"/>
        </w:rPr>
        <w:t>Queda</w:t>
      </w:r>
      <w:r>
        <w:rPr>
          <w:spacing w:val="-5"/>
          <w:sz w:val="20"/>
        </w:rPr>
        <w:t> </w:t>
      </w:r>
      <w:r>
        <w:rPr>
          <w:sz w:val="20"/>
        </w:rPr>
        <w:t>prohibido</w:t>
      </w:r>
      <w:r>
        <w:rPr>
          <w:spacing w:val="-8"/>
          <w:sz w:val="20"/>
        </w:rPr>
        <w:t> </w:t>
      </w:r>
      <w:r>
        <w:rPr>
          <w:sz w:val="20"/>
        </w:rPr>
        <w:t>a</w:t>
      </w:r>
      <w:r>
        <w:rPr>
          <w:spacing w:val="-6"/>
          <w:sz w:val="20"/>
        </w:rPr>
        <w:t> </w:t>
      </w:r>
      <w:r>
        <w:rPr>
          <w:sz w:val="20"/>
        </w:rPr>
        <w:t>los</w:t>
      </w:r>
      <w:r>
        <w:rPr>
          <w:spacing w:val="-5"/>
          <w:sz w:val="20"/>
        </w:rPr>
        <w:t> </w:t>
      </w:r>
      <w:r>
        <w:rPr>
          <w:spacing w:val="-2"/>
          <w:sz w:val="20"/>
        </w:rPr>
        <w:t>trabajadores:</w:t>
      </w:r>
    </w:p>
    <w:p>
      <w:pPr>
        <w:pStyle w:val="ListParagraph"/>
        <w:numPr>
          <w:ilvl w:val="0"/>
          <w:numId w:val="59"/>
        </w:numPr>
        <w:tabs>
          <w:tab w:pos="1193" w:val="left" w:leader="none"/>
          <w:tab w:pos="1195" w:val="left" w:leader="none"/>
        </w:tabs>
        <w:spacing w:line="242" w:lineRule="auto" w:before="229" w:after="0"/>
        <w:ind w:left="1195" w:right="341" w:hanging="569"/>
        <w:jc w:val="both"/>
        <w:rPr>
          <w:sz w:val="20"/>
        </w:rPr>
      </w:pPr>
      <w:r>
        <w:rPr>
          <w:sz w:val="20"/>
        </w:rPr>
        <w:t>El consumo de bebidas embriagantes, y su tráfico durante el desempeño de sus labores, por cuenta ajena a la empresa;</w:t>
      </w:r>
    </w:p>
    <w:p>
      <w:pPr>
        <w:pStyle w:val="ListParagraph"/>
        <w:numPr>
          <w:ilvl w:val="0"/>
          <w:numId w:val="59"/>
        </w:numPr>
        <w:tabs>
          <w:tab w:pos="1192" w:val="left" w:leader="none"/>
          <w:tab w:pos="1195" w:val="left" w:leader="none"/>
        </w:tabs>
        <w:spacing w:line="240" w:lineRule="auto" w:before="226" w:after="0"/>
        <w:ind w:left="1195" w:right="344" w:hanging="569"/>
        <w:jc w:val="both"/>
        <w:rPr>
          <w:sz w:val="20"/>
        </w:rPr>
      </w:pPr>
      <w:r>
        <w:rPr>
          <w:sz w:val="20"/>
        </w:rPr>
        <w:t>El consumo de narcóticos o drogas enervantes, salvo que exista prescripción médica. Antes de iniciar el servicio, el trabajador deberá poner el hecho en conocimiento del patrón y presentarle la prescripción suscrita por el médico; y</w:t>
      </w:r>
    </w:p>
    <w:p>
      <w:pPr>
        <w:pStyle w:val="ListParagraph"/>
        <w:numPr>
          <w:ilvl w:val="0"/>
          <w:numId w:val="59"/>
        </w:numPr>
        <w:tabs>
          <w:tab w:pos="1195" w:val="left" w:leader="none"/>
        </w:tabs>
        <w:spacing w:line="240" w:lineRule="auto" w:before="229" w:after="0"/>
        <w:ind w:left="1195" w:right="0" w:hanging="569"/>
        <w:jc w:val="left"/>
        <w:rPr>
          <w:sz w:val="20"/>
        </w:rPr>
      </w:pPr>
      <w:r>
        <w:rPr>
          <w:sz w:val="20"/>
        </w:rPr>
        <w:t>El</w:t>
      </w:r>
      <w:r>
        <w:rPr>
          <w:spacing w:val="-6"/>
          <w:sz w:val="20"/>
        </w:rPr>
        <w:t> </w:t>
      </w:r>
      <w:r>
        <w:rPr>
          <w:sz w:val="20"/>
        </w:rPr>
        <w:t>tráfico</w:t>
      </w:r>
      <w:r>
        <w:rPr>
          <w:spacing w:val="-5"/>
          <w:sz w:val="20"/>
        </w:rPr>
        <w:t> </w:t>
      </w:r>
      <w:r>
        <w:rPr>
          <w:sz w:val="20"/>
        </w:rPr>
        <w:t>de</w:t>
      </w:r>
      <w:r>
        <w:rPr>
          <w:spacing w:val="-3"/>
          <w:sz w:val="20"/>
        </w:rPr>
        <w:t> </w:t>
      </w:r>
      <w:r>
        <w:rPr>
          <w:sz w:val="20"/>
        </w:rPr>
        <w:t>drogas</w:t>
      </w:r>
      <w:r>
        <w:rPr>
          <w:spacing w:val="-2"/>
          <w:sz w:val="20"/>
        </w:rPr>
        <w:t> enervantes.</w:t>
      </w:r>
    </w:p>
    <w:p>
      <w:pPr>
        <w:pStyle w:val="BodyText"/>
        <w:spacing w:before="2"/>
      </w:pPr>
    </w:p>
    <w:p>
      <w:pPr>
        <w:pStyle w:val="BodyText"/>
        <w:ind w:left="626"/>
      </w:pPr>
      <w:bookmarkStart w:name="Artículo_255" w:id="302"/>
      <w:bookmarkEnd w:id="302"/>
      <w:r>
        <w:rPr/>
      </w:r>
      <w:r>
        <w:rPr>
          <w:rFonts w:ascii="Arial" w:hAnsi="Arial"/>
          <w:b/>
        </w:rPr>
        <w:t>Artículo</w:t>
      </w:r>
      <w:r>
        <w:rPr>
          <w:rFonts w:ascii="Arial" w:hAnsi="Arial"/>
          <w:b/>
          <w:spacing w:val="-7"/>
        </w:rPr>
        <w:t> </w:t>
      </w:r>
      <w:r>
        <w:rPr>
          <w:rFonts w:ascii="Arial" w:hAnsi="Arial"/>
          <w:b/>
        </w:rPr>
        <w:t>255.-</w:t>
      </w:r>
      <w:r>
        <w:rPr>
          <w:rFonts w:ascii="Arial" w:hAnsi="Arial"/>
          <w:b/>
          <w:spacing w:val="-5"/>
        </w:rPr>
        <w:t> </w:t>
      </w:r>
      <w:r>
        <w:rPr/>
        <w:t>Son</w:t>
      </w:r>
      <w:r>
        <w:rPr>
          <w:spacing w:val="-5"/>
        </w:rPr>
        <w:t> </w:t>
      </w:r>
      <w:r>
        <w:rPr/>
        <w:t>causas</w:t>
      </w:r>
      <w:r>
        <w:rPr>
          <w:spacing w:val="-5"/>
        </w:rPr>
        <w:t> </w:t>
      </w:r>
      <w:r>
        <w:rPr/>
        <w:t>especiales</w:t>
      </w:r>
      <w:r>
        <w:rPr>
          <w:spacing w:val="-6"/>
        </w:rPr>
        <w:t> </w:t>
      </w:r>
      <w:r>
        <w:rPr/>
        <w:t>de</w:t>
      </w:r>
      <w:r>
        <w:rPr>
          <w:spacing w:val="-8"/>
        </w:rPr>
        <w:t> </w:t>
      </w:r>
      <w:r>
        <w:rPr/>
        <w:t>rescisión</w:t>
      </w:r>
      <w:r>
        <w:rPr>
          <w:spacing w:val="-7"/>
        </w:rPr>
        <w:t> </w:t>
      </w:r>
      <w:r>
        <w:rPr/>
        <w:t>de</w:t>
      </w:r>
      <w:r>
        <w:rPr>
          <w:spacing w:val="-6"/>
        </w:rPr>
        <w:t> </w:t>
      </w:r>
      <w:r>
        <w:rPr/>
        <w:t>las</w:t>
      </w:r>
      <w:r>
        <w:rPr>
          <w:spacing w:val="-6"/>
        </w:rPr>
        <w:t> </w:t>
      </w:r>
      <w:r>
        <w:rPr/>
        <w:t>relaciones</w:t>
      </w:r>
      <w:r>
        <w:rPr>
          <w:spacing w:val="-5"/>
        </w:rPr>
        <w:t> </w:t>
      </w:r>
      <w:r>
        <w:rPr/>
        <w:t>de</w:t>
      </w:r>
      <w:r>
        <w:rPr>
          <w:spacing w:val="-8"/>
        </w:rPr>
        <w:t> </w:t>
      </w:r>
      <w:r>
        <w:rPr>
          <w:spacing w:val="-2"/>
        </w:rPr>
        <w:t>trabajo:</w:t>
      </w:r>
    </w:p>
    <w:p>
      <w:pPr>
        <w:pStyle w:val="ListParagraph"/>
        <w:numPr>
          <w:ilvl w:val="0"/>
          <w:numId w:val="60"/>
        </w:numPr>
        <w:tabs>
          <w:tab w:pos="1193" w:val="left" w:leader="none"/>
          <w:tab w:pos="1195" w:val="left" w:leader="none"/>
        </w:tabs>
        <w:spacing w:line="242" w:lineRule="auto" w:before="228" w:after="0"/>
        <w:ind w:left="1195" w:right="343" w:hanging="569"/>
        <w:jc w:val="both"/>
        <w:rPr>
          <w:sz w:val="20"/>
        </w:rPr>
      </w:pPr>
      <w:r>
        <w:rPr>
          <w:sz w:val="20"/>
        </w:rPr>
        <w:t>La recepción de carga o pasaje fuera de los lugares señalados por la empresa para estos fines; </w:t>
      </w:r>
      <w:r>
        <w:rPr>
          <w:spacing w:val="-10"/>
          <w:sz w:val="20"/>
        </w:rPr>
        <w:t>y</w:t>
      </w:r>
    </w:p>
    <w:p>
      <w:pPr>
        <w:pStyle w:val="ListParagraph"/>
        <w:numPr>
          <w:ilvl w:val="0"/>
          <w:numId w:val="60"/>
        </w:numPr>
        <w:tabs>
          <w:tab w:pos="1195" w:val="left" w:leader="none"/>
        </w:tabs>
        <w:spacing w:line="240" w:lineRule="auto" w:before="227" w:after="0"/>
        <w:ind w:left="1195" w:right="0" w:hanging="569"/>
        <w:jc w:val="left"/>
        <w:rPr>
          <w:sz w:val="20"/>
        </w:rPr>
      </w:pPr>
      <w:r>
        <w:rPr>
          <w:sz w:val="20"/>
        </w:rPr>
        <w:t>La</w:t>
      </w:r>
      <w:r>
        <w:rPr>
          <w:spacing w:val="-8"/>
          <w:sz w:val="20"/>
        </w:rPr>
        <w:t> </w:t>
      </w:r>
      <w:r>
        <w:rPr>
          <w:sz w:val="20"/>
        </w:rPr>
        <w:t>negativa</w:t>
      </w:r>
      <w:r>
        <w:rPr>
          <w:spacing w:val="-7"/>
          <w:sz w:val="20"/>
        </w:rPr>
        <w:t> </w:t>
      </w:r>
      <w:r>
        <w:rPr>
          <w:sz w:val="20"/>
        </w:rPr>
        <w:t>a</w:t>
      </w:r>
      <w:r>
        <w:rPr>
          <w:spacing w:val="-5"/>
          <w:sz w:val="20"/>
        </w:rPr>
        <w:t> </w:t>
      </w:r>
      <w:r>
        <w:rPr>
          <w:sz w:val="20"/>
        </w:rPr>
        <w:t>efectuar</w:t>
      </w:r>
      <w:r>
        <w:rPr>
          <w:spacing w:val="-6"/>
          <w:sz w:val="20"/>
        </w:rPr>
        <w:t> </w:t>
      </w:r>
      <w:r>
        <w:rPr>
          <w:sz w:val="20"/>
        </w:rPr>
        <w:t>el</w:t>
      </w:r>
      <w:r>
        <w:rPr>
          <w:spacing w:val="-6"/>
          <w:sz w:val="20"/>
        </w:rPr>
        <w:t> </w:t>
      </w:r>
      <w:r>
        <w:rPr>
          <w:sz w:val="20"/>
        </w:rPr>
        <w:t>viaje</w:t>
      </w:r>
      <w:r>
        <w:rPr>
          <w:spacing w:val="-7"/>
          <w:sz w:val="20"/>
        </w:rPr>
        <w:t> </w:t>
      </w:r>
      <w:r>
        <w:rPr>
          <w:sz w:val="20"/>
        </w:rPr>
        <w:t>contratado</w:t>
      </w:r>
      <w:r>
        <w:rPr>
          <w:spacing w:val="-6"/>
          <w:sz w:val="20"/>
        </w:rPr>
        <w:t> </w:t>
      </w:r>
      <w:r>
        <w:rPr>
          <w:sz w:val="20"/>
        </w:rPr>
        <w:t>o</w:t>
      </w:r>
      <w:r>
        <w:rPr>
          <w:spacing w:val="-6"/>
          <w:sz w:val="20"/>
        </w:rPr>
        <w:t> </w:t>
      </w:r>
      <w:r>
        <w:rPr>
          <w:sz w:val="20"/>
        </w:rPr>
        <w:t>su</w:t>
      </w:r>
      <w:r>
        <w:rPr>
          <w:spacing w:val="-5"/>
          <w:sz w:val="20"/>
        </w:rPr>
        <w:t> </w:t>
      </w:r>
      <w:r>
        <w:rPr>
          <w:sz w:val="20"/>
        </w:rPr>
        <w:t>interrupción,</w:t>
      </w:r>
      <w:r>
        <w:rPr>
          <w:spacing w:val="-7"/>
          <w:sz w:val="20"/>
        </w:rPr>
        <w:t> </w:t>
      </w:r>
      <w:r>
        <w:rPr>
          <w:sz w:val="20"/>
        </w:rPr>
        <w:t>sin</w:t>
      </w:r>
      <w:r>
        <w:rPr>
          <w:spacing w:val="-7"/>
          <w:sz w:val="20"/>
        </w:rPr>
        <w:t> </w:t>
      </w:r>
      <w:r>
        <w:rPr>
          <w:sz w:val="20"/>
        </w:rPr>
        <w:t>causa</w:t>
      </w:r>
      <w:r>
        <w:rPr>
          <w:spacing w:val="-7"/>
          <w:sz w:val="20"/>
        </w:rPr>
        <w:t> </w:t>
      </w:r>
      <w:r>
        <w:rPr>
          <w:spacing w:val="-2"/>
          <w:sz w:val="20"/>
        </w:rPr>
        <w:t>justificada.</w:t>
      </w:r>
    </w:p>
    <w:p>
      <w:pPr>
        <w:pStyle w:val="Heading1"/>
        <w:spacing w:line="252" w:lineRule="exact" w:before="229"/>
      </w:pPr>
      <w:r>
        <w:rPr/>
        <w:t>CAPITULO</w:t>
      </w:r>
      <w:r>
        <w:rPr>
          <w:spacing w:val="-7"/>
        </w:rPr>
        <w:t> VI</w:t>
      </w:r>
    </w:p>
    <w:p>
      <w:pPr>
        <w:pStyle w:val="Heading2"/>
        <w:spacing w:line="252" w:lineRule="exact"/>
        <w:ind w:left="298"/>
      </w:pPr>
      <w:r>
        <w:rPr/>
        <w:t>Trabajo</w:t>
      </w:r>
      <w:r>
        <w:rPr>
          <w:spacing w:val="-5"/>
        </w:rPr>
        <w:t> </w:t>
      </w:r>
      <w:r>
        <w:rPr/>
        <w:t>de</w:t>
      </w:r>
      <w:r>
        <w:rPr>
          <w:spacing w:val="-5"/>
        </w:rPr>
        <w:t> </w:t>
      </w:r>
      <w:r>
        <w:rPr>
          <w:spacing w:val="-2"/>
        </w:rPr>
        <w:t>autotransportes</w:t>
      </w:r>
    </w:p>
    <w:p>
      <w:pPr>
        <w:pStyle w:val="BodyText"/>
        <w:spacing w:before="231"/>
        <w:ind w:left="338" w:right="338" w:firstLine="288"/>
        <w:jc w:val="both"/>
      </w:pPr>
      <w:bookmarkStart w:name="Artículo_256" w:id="303"/>
      <w:bookmarkEnd w:id="303"/>
      <w:r>
        <w:rPr/>
      </w:r>
      <w:r>
        <w:rPr>
          <w:rFonts w:ascii="Arial" w:hAnsi="Arial"/>
          <w:b/>
        </w:rPr>
        <w:t>Artículo 256.- </w:t>
      </w:r>
      <w:r>
        <w:rPr/>
        <w:t>Las relaciones entre los choferes, conductores, operadores, cobradores y demás trabajadores que prestan servicios a bordo de autotransportes de</w:t>
      </w:r>
      <w:r>
        <w:rPr>
          <w:spacing w:val="-1"/>
        </w:rPr>
        <w:t> </w:t>
      </w:r>
      <w:r>
        <w:rPr/>
        <w:t>servicio</w:t>
      </w:r>
      <w:r>
        <w:rPr>
          <w:spacing w:val="-1"/>
        </w:rPr>
        <w:t> </w:t>
      </w:r>
      <w:r>
        <w:rPr/>
        <w:t>público,</w:t>
      </w:r>
      <w:r>
        <w:rPr>
          <w:spacing w:val="-1"/>
        </w:rPr>
        <w:t> </w:t>
      </w:r>
      <w:r>
        <w:rPr/>
        <w:t>de</w:t>
      </w:r>
      <w:r>
        <w:rPr>
          <w:spacing w:val="-1"/>
        </w:rPr>
        <w:t> </w:t>
      </w:r>
      <w:r>
        <w:rPr/>
        <w:t>pasajeros,</w:t>
      </w:r>
      <w:r>
        <w:rPr>
          <w:spacing w:val="-1"/>
        </w:rPr>
        <w:t> </w:t>
      </w:r>
      <w:r>
        <w:rPr/>
        <w:t>de</w:t>
      </w:r>
      <w:r>
        <w:rPr>
          <w:spacing w:val="-1"/>
        </w:rPr>
        <w:t> </w:t>
      </w:r>
      <w:r>
        <w:rPr/>
        <w:t>carga o mixtos, foráneos o urbanos, tales como autobuses, camiones, camionetas o automóviles, y los propietarios o permisionarios de los vehículos, son relaciones de trabajo y quedan sujetas a las disposiciones de este capítulo.</w:t>
      </w:r>
    </w:p>
    <w:p>
      <w:pPr>
        <w:pStyle w:val="BodyText"/>
        <w:spacing w:before="3"/>
      </w:pPr>
    </w:p>
    <w:p>
      <w:pPr>
        <w:pStyle w:val="BodyText"/>
        <w:ind w:left="338" w:right="345" w:firstLine="288"/>
        <w:jc w:val="both"/>
      </w:pPr>
      <w:r>
        <w:rPr/>
        <w:t>La</w:t>
      </w:r>
      <w:r>
        <w:rPr>
          <w:spacing w:val="-4"/>
        </w:rPr>
        <w:t> </w:t>
      </w:r>
      <w:r>
        <w:rPr/>
        <w:t>estipulación</w:t>
      </w:r>
      <w:r>
        <w:rPr>
          <w:spacing w:val="-2"/>
        </w:rPr>
        <w:t> </w:t>
      </w:r>
      <w:r>
        <w:rPr/>
        <w:t>que</w:t>
      </w:r>
      <w:r>
        <w:rPr>
          <w:spacing w:val="-3"/>
        </w:rPr>
        <w:t> </w:t>
      </w:r>
      <w:r>
        <w:rPr/>
        <w:t>en</w:t>
      </w:r>
      <w:r>
        <w:rPr>
          <w:spacing w:val="-3"/>
        </w:rPr>
        <w:t> </w:t>
      </w:r>
      <w:r>
        <w:rPr/>
        <w:t>cualquier</w:t>
      </w:r>
      <w:r>
        <w:rPr>
          <w:spacing w:val="-3"/>
        </w:rPr>
        <w:t> </w:t>
      </w:r>
      <w:r>
        <w:rPr/>
        <w:t>forma</w:t>
      </w:r>
      <w:r>
        <w:rPr>
          <w:spacing w:val="-3"/>
        </w:rPr>
        <w:t> </w:t>
      </w:r>
      <w:r>
        <w:rPr/>
        <w:t>desvirtúe</w:t>
      </w:r>
      <w:r>
        <w:rPr>
          <w:spacing w:val="-2"/>
        </w:rPr>
        <w:t> </w:t>
      </w:r>
      <w:r>
        <w:rPr/>
        <w:t>lo</w:t>
      </w:r>
      <w:r>
        <w:rPr>
          <w:spacing w:val="-3"/>
        </w:rPr>
        <w:t> </w:t>
      </w:r>
      <w:r>
        <w:rPr/>
        <w:t>dispuesto</w:t>
      </w:r>
      <w:r>
        <w:rPr>
          <w:spacing w:val="-2"/>
        </w:rPr>
        <w:t> </w:t>
      </w:r>
      <w:r>
        <w:rPr/>
        <w:t>en</w:t>
      </w:r>
      <w:r>
        <w:rPr>
          <w:spacing w:val="-2"/>
        </w:rPr>
        <w:t> </w:t>
      </w:r>
      <w:r>
        <w:rPr/>
        <w:t>el</w:t>
      </w:r>
      <w:r>
        <w:rPr>
          <w:spacing w:val="-4"/>
        </w:rPr>
        <w:t> </w:t>
      </w:r>
      <w:r>
        <w:rPr/>
        <w:t>párrafo</w:t>
      </w:r>
      <w:r>
        <w:rPr>
          <w:spacing w:val="-3"/>
        </w:rPr>
        <w:t> </w:t>
      </w:r>
      <w:r>
        <w:rPr/>
        <w:t>anterior,</w:t>
      </w:r>
      <w:r>
        <w:rPr>
          <w:spacing w:val="-3"/>
        </w:rPr>
        <w:t> </w:t>
      </w:r>
      <w:r>
        <w:rPr/>
        <w:t>no</w:t>
      </w:r>
      <w:r>
        <w:rPr>
          <w:spacing w:val="-2"/>
        </w:rPr>
        <w:t> </w:t>
      </w:r>
      <w:r>
        <w:rPr/>
        <w:t>produce</w:t>
      </w:r>
      <w:r>
        <w:rPr>
          <w:spacing w:val="-3"/>
        </w:rPr>
        <w:t> </w:t>
      </w:r>
      <w:r>
        <w:rPr/>
        <w:t>ningún efecto legal ni impide el ejercicio de los derechos que deriven de los servicios prestados.</w:t>
      </w:r>
    </w:p>
    <w:p>
      <w:pPr>
        <w:pStyle w:val="BodyText"/>
        <w:spacing w:before="229"/>
        <w:ind w:left="338" w:right="340" w:firstLine="288"/>
        <w:jc w:val="both"/>
      </w:pPr>
      <w:bookmarkStart w:name="Artículo_257" w:id="304"/>
      <w:bookmarkEnd w:id="304"/>
      <w:r>
        <w:rPr/>
      </w:r>
      <w:r>
        <w:rPr>
          <w:rFonts w:ascii="Arial" w:hAnsi="Arial"/>
          <w:b/>
        </w:rPr>
        <w:t>Artículo 257.- </w:t>
      </w:r>
      <w:r>
        <w:rPr/>
        <w:t>El salario se fijará por día, por viaje, por boletos vendidos o por circuito o kilómetros recorridos y</w:t>
      </w:r>
      <w:r>
        <w:rPr>
          <w:spacing w:val="-2"/>
        </w:rPr>
        <w:t> </w:t>
      </w:r>
      <w:r>
        <w:rPr/>
        <w:t>consistirá en una cantidad fija, o en una prima sobre los ingresos o la cantidad que exceda a un</w:t>
      </w:r>
      <w:r>
        <w:rPr>
          <w:spacing w:val="-2"/>
        </w:rPr>
        <w:t> </w:t>
      </w:r>
      <w:r>
        <w:rPr/>
        <w:t>ingreso determinado,</w:t>
      </w:r>
      <w:r>
        <w:rPr>
          <w:spacing w:val="-1"/>
        </w:rPr>
        <w:t> </w:t>
      </w:r>
      <w:r>
        <w:rPr/>
        <w:t>o en</w:t>
      </w:r>
      <w:r>
        <w:rPr>
          <w:spacing w:val="-2"/>
        </w:rPr>
        <w:t> </w:t>
      </w:r>
      <w:r>
        <w:rPr/>
        <w:t>dos o</w:t>
      </w:r>
      <w:r>
        <w:rPr>
          <w:spacing w:val="-1"/>
        </w:rPr>
        <w:t> </w:t>
      </w:r>
      <w:r>
        <w:rPr/>
        <w:t>más de</w:t>
      </w:r>
      <w:r>
        <w:rPr>
          <w:spacing w:val="-2"/>
        </w:rPr>
        <w:t> </w:t>
      </w:r>
      <w:r>
        <w:rPr/>
        <w:t>estas modalidades,</w:t>
      </w:r>
      <w:r>
        <w:rPr>
          <w:spacing w:val="-1"/>
        </w:rPr>
        <w:t> </w:t>
      </w:r>
      <w:r>
        <w:rPr/>
        <w:t>sin</w:t>
      </w:r>
      <w:r>
        <w:rPr>
          <w:spacing w:val="-1"/>
        </w:rPr>
        <w:t> </w:t>
      </w:r>
      <w:r>
        <w:rPr/>
        <w:t>que</w:t>
      </w:r>
      <w:r>
        <w:rPr>
          <w:spacing w:val="-1"/>
        </w:rPr>
        <w:t> </w:t>
      </w:r>
      <w:r>
        <w:rPr/>
        <w:t>en</w:t>
      </w:r>
      <w:r>
        <w:rPr>
          <w:spacing w:val="-1"/>
        </w:rPr>
        <w:t> </w:t>
      </w:r>
      <w:r>
        <w:rPr/>
        <w:t>ningún</w:t>
      </w:r>
      <w:r>
        <w:rPr>
          <w:spacing w:val="-1"/>
        </w:rPr>
        <w:t> </w:t>
      </w:r>
      <w:r>
        <w:rPr/>
        <w:t>caso</w:t>
      </w:r>
      <w:r>
        <w:rPr>
          <w:spacing w:val="-1"/>
        </w:rPr>
        <w:t> </w:t>
      </w:r>
      <w:r>
        <w:rPr/>
        <w:t>pueda ser inferior al salario mínimo.</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57" w:firstLine="288"/>
      </w:pPr>
      <w:r>
        <w:rPr/>
        <w:t>Cuando el salario se fije por viaje, los trabajadores tienen derecho a un aumento proporcional en caso de prolongación o retardo del término normal del viaje por causa que no les sea imputable.</w:t>
      </w:r>
    </w:p>
    <w:p>
      <w:pPr>
        <w:pStyle w:val="BodyText"/>
        <w:spacing w:before="1"/>
      </w:pPr>
    </w:p>
    <w:p>
      <w:pPr>
        <w:pStyle w:val="BodyText"/>
        <w:spacing w:before="1"/>
        <w:ind w:left="626"/>
      </w:pPr>
      <w:r>
        <w:rPr/>
        <w:t>Los</w:t>
      </w:r>
      <w:r>
        <w:rPr>
          <w:spacing w:val="-6"/>
        </w:rPr>
        <w:t> </w:t>
      </w:r>
      <w:r>
        <w:rPr/>
        <w:t>salarios</w:t>
      </w:r>
      <w:r>
        <w:rPr>
          <w:spacing w:val="-6"/>
        </w:rPr>
        <w:t> </w:t>
      </w:r>
      <w:r>
        <w:rPr/>
        <w:t>no</w:t>
      </w:r>
      <w:r>
        <w:rPr>
          <w:spacing w:val="-6"/>
        </w:rPr>
        <w:t> </w:t>
      </w:r>
      <w:r>
        <w:rPr/>
        <w:t>podrán</w:t>
      </w:r>
      <w:r>
        <w:rPr>
          <w:spacing w:val="-7"/>
        </w:rPr>
        <w:t> </w:t>
      </w:r>
      <w:r>
        <w:rPr/>
        <w:t>reducirse</w:t>
      </w:r>
      <w:r>
        <w:rPr>
          <w:spacing w:val="-6"/>
        </w:rPr>
        <w:t> </w:t>
      </w:r>
      <w:r>
        <w:rPr/>
        <w:t>si</w:t>
      </w:r>
      <w:r>
        <w:rPr>
          <w:spacing w:val="-8"/>
        </w:rPr>
        <w:t> </w:t>
      </w:r>
      <w:r>
        <w:rPr/>
        <w:t>se</w:t>
      </w:r>
      <w:r>
        <w:rPr>
          <w:spacing w:val="-6"/>
        </w:rPr>
        <w:t> </w:t>
      </w:r>
      <w:r>
        <w:rPr/>
        <w:t>abrevia</w:t>
      </w:r>
      <w:r>
        <w:rPr>
          <w:spacing w:val="-5"/>
        </w:rPr>
        <w:t> </w:t>
      </w:r>
      <w:r>
        <w:rPr/>
        <w:t>el</w:t>
      </w:r>
      <w:r>
        <w:rPr>
          <w:spacing w:val="-6"/>
        </w:rPr>
        <w:t> </w:t>
      </w:r>
      <w:r>
        <w:rPr/>
        <w:t>viaje,</w:t>
      </w:r>
      <w:r>
        <w:rPr>
          <w:spacing w:val="-5"/>
        </w:rPr>
        <w:t> </w:t>
      </w:r>
      <w:r>
        <w:rPr/>
        <w:t>cualquiera</w:t>
      </w:r>
      <w:r>
        <w:rPr>
          <w:spacing w:val="-6"/>
        </w:rPr>
        <w:t> </w:t>
      </w:r>
      <w:r>
        <w:rPr/>
        <w:t>que</w:t>
      </w:r>
      <w:r>
        <w:rPr>
          <w:spacing w:val="-7"/>
        </w:rPr>
        <w:t> </w:t>
      </w:r>
      <w:r>
        <w:rPr/>
        <w:t>sea</w:t>
      </w:r>
      <w:r>
        <w:rPr>
          <w:spacing w:val="-5"/>
        </w:rPr>
        <w:t> </w:t>
      </w:r>
      <w:r>
        <w:rPr/>
        <w:t>la</w:t>
      </w:r>
      <w:r>
        <w:rPr>
          <w:spacing w:val="-5"/>
        </w:rPr>
        <w:t> </w:t>
      </w:r>
      <w:r>
        <w:rPr>
          <w:spacing w:val="-2"/>
        </w:rPr>
        <w:t>causa.</w:t>
      </w:r>
    </w:p>
    <w:p>
      <w:pPr>
        <w:pStyle w:val="BodyText"/>
      </w:pPr>
    </w:p>
    <w:p>
      <w:pPr>
        <w:pStyle w:val="BodyText"/>
        <w:ind w:left="338" w:right="342" w:firstLine="288"/>
      </w:pPr>
      <w:r>
        <w:rPr/>
        <w:t>En los transportes urbanos o de circuito, los trabajadores tienen derecho a que se les pague el salario en los casos de interrupción del servicio, por causas que no les sean imputables.</w:t>
      </w:r>
    </w:p>
    <w:p>
      <w:pPr>
        <w:pStyle w:val="BodyText"/>
        <w:spacing w:before="229"/>
        <w:ind w:left="338" w:firstLine="288"/>
      </w:pPr>
      <w:r>
        <w:rPr/>
        <w:t>No es violatoria del principio de igualdad de salario la disposición que estipula salarios distintos para trabajo igual, si éste se presta en líneas o servicios de diversa categoría.</w:t>
      </w:r>
    </w:p>
    <w:p>
      <w:pPr>
        <w:pStyle w:val="BodyText"/>
        <w:spacing w:before="229"/>
        <w:ind w:left="338" w:firstLine="288"/>
      </w:pPr>
      <w:bookmarkStart w:name="Artículo_258" w:id="305"/>
      <w:bookmarkEnd w:id="305"/>
      <w:r>
        <w:rPr/>
      </w:r>
      <w:r>
        <w:rPr>
          <w:rFonts w:ascii="Arial" w:hAnsi="Arial"/>
          <w:b/>
        </w:rPr>
        <w:t>Artículo</w:t>
      </w:r>
      <w:r>
        <w:rPr>
          <w:rFonts w:ascii="Arial" w:hAnsi="Arial"/>
          <w:b/>
          <w:spacing w:val="-1"/>
        </w:rPr>
        <w:t> </w:t>
      </w:r>
      <w:r>
        <w:rPr>
          <w:rFonts w:ascii="Arial" w:hAnsi="Arial"/>
          <w:b/>
        </w:rPr>
        <w:t>258.-</w:t>
      </w:r>
      <w:r>
        <w:rPr>
          <w:rFonts w:ascii="Arial" w:hAnsi="Arial"/>
          <w:b/>
          <w:spacing w:val="-1"/>
        </w:rPr>
        <w:t> </w:t>
      </w:r>
      <w:r>
        <w:rPr/>
        <w:t>Para</w:t>
      </w:r>
      <w:r>
        <w:rPr>
          <w:spacing w:val="-2"/>
        </w:rPr>
        <w:t> </w:t>
      </w:r>
      <w:r>
        <w:rPr/>
        <w:t>determinar</w:t>
      </w:r>
      <w:r>
        <w:rPr>
          <w:spacing w:val="-1"/>
        </w:rPr>
        <w:t> </w:t>
      </w:r>
      <w:r>
        <w:rPr/>
        <w:t>el</w:t>
      </w:r>
      <w:r>
        <w:rPr>
          <w:spacing w:val="-3"/>
        </w:rPr>
        <w:t> </w:t>
      </w:r>
      <w:r>
        <w:rPr/>
        <w:t>salario de</w:t>
      </w:r>
      <w:r>
        <w:rPr>
          <w:spacing w:val="-3"/>
        </w:rPr>
        <w:t> </w:t>
      </w:r>
      <w:r>
        <w:rPr/>
        <w:t>los</w:t>
      </w:r>
      <w:r>
        <w:rPr>
          <w:spacing w:val="-1"/>
        </w:rPr>
        <w:t> </w:t>
      </w:r>
      <w:r>
        <w:rPr/>
        <w:t>días</w:t>
      </w:r>
      <w:r>
        <w:rPr>
          <w:spacing w:val="-1"/>
        </w:rPr>
        <w:t> </w:t>
      </w:r>
      <w:r>
        <w:rPr/>
        <w:t>de</w:t>
      </w:r>
      <w:r>
        <w:rPr>
          <w:spacing w:val="-2"/>
        </w:rPr>
        <w:t> </w:t>
      </w:r>
      <w:r>
        <w:rPr/>
        <w:t>descanso</w:t>
      </w:r>
      <w:r>
        <w:rPr>
          <w:spacing w:val="-2"/>
        </w:rPr>
        <w:t> </w:t>
      </w:r>
      <w:r>
        <w:rPr/>
        <w:t>se</w:t>
      </w:r>
      <w:r>
        <w:rPr>
          <w:spacing w:val="-2"/>
        </w:rPr>
        <w:t> </w:t>
      </w:r>
      <w:r>
        <w:rPr/>
        <w:t>aumentará</w:t>
      </w:r>
      <w:r>
        <w:rPr>
          <w:spacing w:val="-2"/>
        </w:rPr>
        <w:t> </w:t>
      </w:r>
      <w:r>
        <w:rPr/>
        <w:t>el</w:t>
      </w:r>
      <w:r>
        <w:rPr>
          <w:spacing w:val="-3"/>
        </w:rPr>
        <w:t> </w:t>
      </w:r>
      <w:r>
        <w:rPr/>
        <w:t>que</w:t>
      </w:r>
      <w:r>
        <w:rPr>
          <w:spacing w:val="-3"/>
        </w:rPr>
        <w:t> </w:t>
      </w:r>
      <w:r>
        <w:rPr/>
        <w:t>perciban por</w:t>
      </w:r>
      <w:r>
        <w:rPr>
          <w:spacing w:val="-1"/>
        </w:rPr>
        <w:t> </w:t>
      </w:r>
      <w:r>
        <w:rPr/>
        <w:t>el trabajo realizado en la semana, con un dieciséis sesenta y seis por ciento.</w:t>
      </w:r>
    </w:p>
    <w:p>
      <w:pPr>
        <w:pStyle w:val="BodyText"/>
        <w:spacing w:line="242" w:lineRule="auto" w:before="230"/>
        <w:ind w:left="338" w:firstLine="288"/>
      </w:pPr>
      <w:bookmarkStart w:name="Artículo_259" w:id="306"/>
      <w:bookmarkEnd w:id="306"/>
      <w:r>
        <w:rPr/>
      </w:r>
      <w:r>
        <w:rPr>
          <w:rFonts w:ascii="Arial" w:hAnsi="Arial"/>
          <w:b/>
        </w:rPr>
        <w:t>Artículo</w:t>
      </w:r>
      <w:r>
        <w:rPr>
          <w:rFonts w:ascii="Arial" w:hAnsi="Arial"/>
          <w:b/>
          <w:spacing w:val="80"/>
        </w:rPr>
        <w:t> </w:t>
      </w:r>
      <w:r>
        <w:rPr>
          <w:rFonts w:ascii="Arial" w:hAnsi="Arial"/>
          <w:b/>
        </w:rPr>
        <w:t>259.-</w:t>
      </w:r>
      <w:r>
        <w:rPr>
          <w:rFonts w:ascii="Arial" w:hAnsi="Arial"/>
          <w:b/>
          <w:spacing w:val="80"/>
        </w:rPr>
        <w:t> </w:t>
      </w:r>
      <w:r>
        <w:rPr/>
        <w:t>Para</w:t>
      </w:r>
      <w:r>
        <w:rPr>
          <w:spacing w:val="80"/>
        </w:rPr>
        <w:t> </w:t>
      </w:r>
      <w:r>
        <w:rPr/>
        <w:t>determinar</w:t>
      </w:r>
      <w:r>
        <w:rPr>
          <w:spacing w:val="80"/>
        </w:rPr>
        <w:t> </w:t>
      </w:r>
      <w:r>
        <w:rPr/>
        <w:t>el</w:t>
      </w:r>
      <w:r>
        <w:rPr>
          <w:spacing w:val="80"/>
        </w:rPr>
        <w:t> </w:t>
      </w:r>
      <w:r>
        <w:rPr/>
        <w:t>monto</w:t>
      </w:r>
      <w:r>
        <w:rPr>
          <w:spacing w:val="80"/>
        </w:rPr>
        <w:t> </w:t>
      </w:r>
      <w:r>
        <w:rPr/>
        <w:t>del</w:t>
      </w:r>
      <w:r>
        <w:rPr>
          <w:spacing w:val="80"/>
        </w:rPr>
        <w:t> </w:t>
      </w:r>
      <w:r>
        <w:rPr/>
        <w:t>salario</w:t>
      </w:r>
      <w:r>
        <w:rPr>
          <w:spacing w:val="80"/>
        </w:rPr>
        <w:t> </w:t>
      </w:r>
      <w:r>
        <w:rPr/>
        <w:t>de</w:t>
      </w:r>
      <w:r>
        <w:rPr>
          <w:spacing w:val="80"/>
        </w:rPr>
        <w:t> </w:t>
      </w:r>
      <w:r>
        <w:rPr/>
        <w:t>los</w:t>
      </w:r>
      <w:r>
        <w:rPr>
          <w:spacing w:val="80"/>
        </w:rPr>
        <w:t> </w:t>
      </w:r>
      <w:r>
        <w:rPr/>
        <w:t>días</w:t>
      </w:r>
      <w:r>
        <w:rPr>
          <w:spacing w:val="80"/>
        </w:rPr>
        <w:t> </w:t>
      </w:r>
      <w:r>
        <w:rPr/>
        <w:t>de</w:t>
      </w:r>
      <w:r>
        <w:rPr>
          <w:spacing w:val="80"/>
        </w:rPr>
        <w:t> </w:t>
      </w:r>
      <w:r>
        <w:rPr/>
        <w:t>vacaciones</w:t>
      </w:r>
      <w:r>
        <w:rPr>
          <w:spacing w:val="80"/>
        </w:rPr>
        <w:t> </w:t>
      </w:r>
      <w:r>
        <w:rPr/>
        <w:t>y</w:t>
      </w:r>
      <w:r>
        <w:rPr>
          <w:spacing w:val="80"/>
        </w:rPr>
        <w:t> </w:t>
      </w:r>
      <w:r>
        <w:rPr/>
        <w:t>de</w:t>
      </w:r>
      <w:r>
        <w:rPr>
          <w:spacing w:val="80"/>
        </w:rPr>
        <w:t> </w:t>
      </w:r>
      <w:r>
        <w:rPr/>
        <w:t>las</w:t>
      </w:r>
      <w:r>
        <w:rPr>
          <w:spacing w:val="40"/>
        </w:rPr>
        <w:t> </w:t>
      </w:r>
      <w:r>
        <w:rPr/>
        <w:t>indemnizaciones, se estará a lo dispuesto en el párrafo segundo del artículo 89.</w:t>
      </w:r>
    </w:p>
    <w:p>
      <w:pPr>
        <w:pStyle w:val="BodyText"/>
        <w:spacing w:line="242" w:lineRule="auto" w:before="224"/>
        <w:ind w:left="338" w:firstLine="288"/>
      </w:pPr>
      <w:bookmarkStart w:name="Artículo_260" w:id="307"/>
      <w:bookmarkEnd w:id="307"/>
      <w:r>
        <w:rPr/>
      </w:r>
      <w:r>
        <w:rPr>
          <w:rFonts w:ascii="Arial" w:hAnsi="Arial"/>
          <w:b/>
        </w:rPr>
        <w:t>Artículo</w:t>
      </w:r>
      <w:r>
        <w:rPr>
          <w:rFonts w:ascii="Arial" w:hAnsi="Arial"/>
          <w:b/>
          <w:spacing w:val="40"/>
        </w:rPr>
        <w:t> </w:t>
      </w:r>
      <w:r>
        <w:rPr>
          <w:rFonts w:ascii="Arial" w:hAnsi="Arial"/>
          <w:b/>
        </w:rPr>
        <w:t>260.-</w:t>
      </w:r>
      <w:r>
        <w:rPr>
          <w:rFonts w:ascii="Arial" w:hAnsi="Arial"/>
          <w:b/>
          <w:spacing w:val="40"/>
        </w:rPr>
        <w:t> </w:t>
      </w:r>
      <w:r>
        <w:rPr/>
        <w:t>El</w:t>
      </w:r>
      <w:r>
        <w:rPr>
          <w:spacing w:val="40"/>
        </w:rPr>
        <w:t> </w:t>
      </w:r>
      <w:r>
        <w:rPr/>
        <w:t>propietario</w:t>
      </w:r>
      <w:r>
        <w:rPr>
          <w:spacing w:val="40"/>
        </w:rPr>
        <w:t> </w:t>
      </w:r>
      <w:r>
        <w:rPr/>
        <w:t>del</w:t>
      </w:r>
      <w:r>
        <w:rPr>
          <w:spacing w:val="40"/>
        </w:rPr>
        <w:t> </w:t>
      </w:r>
      <w:r>
        <w:rPr/>
        <w:t>vehículo</w:t>
      </w:r>
      <w:r>
        <w:rPr>
          <w:spacing w:val="40"/>
        </w:rPr>
        <w:t> </w:t>
      </w:r>
      <w:r>
        <w:rPr/>
        <w:t>y</w:t>
      </w:r>
      <w:r>
        <w:rPr>
          <w:spacing w:val="40"/>
        </w:rPr>
        <w:t> </w:t>
      </w:r>
      <w:r>
        <w:rPr/>
        <w:t>el</w:t>
      </w:r>
      <w:r>
        <w:rPr>
          <w:spacing w:val="40"/>
        </w:rPr>
        <w:t> </w:t>
      </w:r>
      <w:r>
        <w:rPr/>
        <w:t>concesionario</w:t>
      </w:r>
      <w:r>
        <w:rPr>
          <w:spacing w:val="40"/>
        </w:rPr>
        <w:t> </w:t>
      </w:r>
      <w:r>
        <w:rPr/>
        <w:t>o</w:t>
      </w:r>
      <w:r>
        <w:rPr>
          <w:spacing w:val="40"/>
        </w:rPr>
        <w:t> </w:t>
      </w:r>
      <w:r>
        <w:rPr/>
        <w:t>permisionario</w:t>
      </w:r>
      <w:r>
        <w:rPr>
          <w:spacing w:val="40"/>
        </w:rPr>
        <w:t> </w:t>
      </w:r>
      <w:r>
        <w:rPr/>
        <w:t>son</w:t>
      </w:r>
      <w:r>
        <w:rPr>
          <w:spacing w:val="40"/>
        </w:rPr>
        <w:t> </w:t>
      </w:r>
      <w:r>
        <w:rPr/>
        <w:t>solidariamente responsables de las obligaciones derivadas de las relaciones de trabajo y de la ley.</w:t>
      </w:r>
    </w:p>
    <w:p>
      <w:pPr>
        <w:spacing w:before="226"/>
        <w:ind w:left="626" w:right="0" w:firstLine="0"/>
        <w:jc w:val="left"/>
        <w:rPr>
          <w:sz w:val="20"/>
        </w:rPr>
      </w:pPr>
      <w:bookmarkStart w:name="Artículo_261" w:id="308"/>
      <w:bookmarkEnd w:id="308"/>
      <w:r>
        <w:rPr/>
      </w:r>
      <w:r>
        <w:rPr>
          <w:rFonts w:ascii="Arial" w:hAnsi="Arial"/>
          <w:b/>
          <w:sz w:val="20"/>
        </w:rPr>
        <w:t>Artículo</w:t>
      </w:r>
      <w:r>
        <w:rPr>
          <w:rFonts w:ascii="Arial" w:hAnsi="Arial"/>
          <w:b/>
          <w:spacing w:val="-7"/>
          <w:sz w:val="20"/>
        </w:rPr>
        <w:t> </w:t>
      </w:r>
      <w:r>
        <w:rPr>
          <w:rFonts w:ascii="Arial" w:hAnsi="Arial"/>
          <w:b/>
          <w:sz w:val="20"/>
        </w:rPr>
        <w:t>261.-</w:t>
      </w:r>
      <w:r>
        <w:rPr>
          <w:rFonts w:ascii="Arial" w:hAnsi="Arial"/>
          <w:b/>
          <w:spacing w:val="-6"/>
          <w:sz w:val="20"/>
        </w:rPr>
        <w:t> </w:t>
      </w:r>
      <w:r>
        <w:rPr>
          <w:sz w:val="20"/>
        </w:rPr>
        <w:t>Queda</w:t>
      </w:r>
      <w:r>
        <w:rPr>
          <w:spacing w:val="-6"/>
          <w:sz w:val="20"/>
        </w:rPr>
        <w:t> </w:t>
      </w:r>
      <w:r>
        <w:rPr>
          <w:sz w:val="20"/>
        </w:rPr>
        <w:t>prohibido</w:t>
      </w:r>
      <w:r>
        <w:rPr>
          <w:spacing w:val="-7"/>
          <w:sz w:val="20"/>
        </w:rPr>
        <w:t> </w:t>
      </w:r>
      <w:r>
        <w:rPr>
          <w:sz w:val="20"/>
        </w:rPr>
        <w:t>a</w:t>
      </w:r>
      <w:r>
        <w:rPr>
          <w:spacing w:val="-6"/>
          <w:sz w:val="20"/>
        </w:rPr>
        <w:t> </w:t>
      </w:r>
      <w:r>
        <w:rPr>
          <w:sz w:val="20"/>
        </w:rPr>
        <w:t>los</w:t>
      </w:r>
      <w:r>
        <w:rPr>
          <w:spacing w:val="-7"/>
          <w:sz w:val="20"/>
        </w:rPr>
        <w:t> </w:t>
      </w:r>
      <w:r>
        <w:rPr>
          <w:spacing w:val="-2"/>
          <w:sz w:val="20"/>
        </w:rPr>
        <w:t>trabajadores:</w:t>
      </w:r>
    </w:p>
    <w:p>
      <w:pPr>
        <w:pStyle w:val="BodyText"/>
        <w:spacing w:before="1"/>
      </w:pPr>
    </w:p>
    <w:p>
      <w:pPr>
        <w:pStyle w:val="ListParagraph"/>
        <w:numPr>
          <w:ilvl w:val="0"/>
          <w:numId w:val="61"/>
        </w:numPr>
        <w:tabs>
          <w:tab w:pos="1193" w:val="left" w:leader="none"/>
          <w:tab w:pos="1195" w:val="left" w:leader="none"/>
        </w:tabs>
        <w:spacing w:line="240" w:lineRule="auto" w:before="0" w:after="0"/>
        <w:ind w:left="1195" w:right="345" w:hanging="569"/>
        <w:jc w:val="both"/>
        <w:rPr>
          <w:sz w:val="20"/>
        </w:rPr>
      </w:pPr>
      <w:r>
        <w:rPr>
          <w:sz w:val="20"/>
        </w:rPr>
        <w:t>El</w:t>
      </w:r>
      <w:r>
        <w:rPr>
          <w:spacing w:val="-3"/>
          <w:sz w:val="20"/>
        </w:rPr>
        <w:t> </w:t>
      </w:r>
      <w:r>
        <w:rPr>
          <w:sz w:val="20"/>
        </w:rPr>
        <w:t>uso de</w:t>
      </w:r>
      <w:r>
        <w:rPr>
          <w:spacing w:val="-3"/>
          <w:sz w:val="20"/>
        </w:rPr>
        <w:t> </w:t>
      </w:r>
      <w:r>
        <w:rPr>
          <w:sz w:val="20"/>
        </w:rPr>
        <w:t>bebidas</w:t>
      </w:r>
      <w:r>
        <w:rPr>
          <w:spacing w:val="-1"/>
          <w:sz w:val="20"/>
        </w:rPr>
        <w:t> </w:t>
      </w:r>
      <w:r>
        <w:rPr>
          <w:sz w:val="20"/>
        </w:rPr>
        <w:t>alcohólicas</w:t>
      </w:r>
      <w:r>
        <w:rPr>
          <w:spacing w:val="-1"/>
          <w:sz w:val="20"/>
        </w:rPr>
        <w:t> </w:t>
      </w:r>
      <w:r>
        <w:rPr>
          <w:sz w:val="20"/>
        </w:rPr>
        <w:t>durante</w:t>
      </w:r>
      <w:r>
        <w:rPr>
          <w:spacing w:val="-2"/>
          <w:sz w:val="20"/>
        </w:rPr>
        <w:t> </w:t>
      </w:r>
      <w:r>
        <w:rPr>
          <w:sz w:val="20"/>
        </w:rPr>
        <w:t>la</w:t>
      </w:r>
      <w:r>
        <w:rPr>
          <w:spacing w:val="-2"/>
          <w:sz w:val="20"/>
        </w:rPr>
        <w:t> </w:t>
      </w:r>
      <w:r>
        <w:rPr>
          <w:sz w:val="20"/>
        </w:rPr>
        <w:t>prestación</w:t>
      </w:r>
      <w:r>
        <w:rPr>
          <w:spacing w:val="-3"/>
          <w:sz w:val="20"/>
        </w:rPr>
        <w:t> </w:t>
      </w:r>
      <w:r>
        <w:rPr>
          <w:sz w:val="20"/>
        </w:rPr>
        <w:t>del</w:t>
      </w:r>
      <w:r>
        <w:rPr>
          <w:spacing w:val="-3"/>
          <w:sz w:val="20"/>
        </w:rPr>
        <w:t> </w:t>
      </w:r>
      <w:r>
        <w:rPr>
          <w:sz w:val="20"/>
        </w:rPr>
        <w:t>servicio y</w:t>
      </w:r>
      <w:r>
        <w:rPr>
          <w:spacing w:val="-5"/>
          <w:sz w:val="20"/>
        </w:rPr>
        <w:t> </w:t>
      </w:r>
      <w:r>
        <w:rPr>
          <w:sz w:val="20"/>
        </w:rPr>
        <w:t>en las</w:t>
      </w:r>
      <w:r>
        <w:rPr>
          <w:spacing w:val="-1"/>
          <w:sz w:val="20"/>
        </w:rPr>
        <w:t> </w:t>
      </w:r>
      <w:r>
        <w:rPr>
          <w:sz w:val="20"/>
        </w:rPr>
        <w:t>doce</w:t>
      </w:r>
      <w:r>
        <w:rPr>
          <w:spacing w:val="-2"/>
          <w:sz w:val="20"/>
        </w:rPr>
        <w:t> </w:t>
      </w:r>
      <w:r>
        <w:rPr>
          <w:sz w:val="20"/>
        </w:rPr>
        <w:t>horas</w:t>
      </w:r>
      <w:r>
        <w:rPr>
          <w:spacing w:val="-1"/>
          <w:sz w:val="20"/>
        </w:rPr>
        <w:t> </w:t>
      </w:r>
      <w:r>
        <w:rPr>
          <w:sz w:val="20"/>
        </w:rPr>
        <w:t>anteriores a su iniciación;</w:t>
      </w:r>
    </w:p>
    <w:p>
      <w:pPr>
        <w:pStyle w:val="ListParagraph"/>
        <w:numPr>
          <w:ilvl w:val="0"/>
          <w:numId w:val="61"/>
        </w:numPr>
        <w:tabs>
          <w:tab w:pos="1192" w:val="left" w:leader="none"/>
          <w:tab w:pos="1195" w:val="left" w:leader="none"/>
        </w:tabs>
        <w:spacing w:line="242" w:lineRule="auto" w:before="229" w:after="0"/>
        <w:ind w:left="1195" w:right="343" w:hanging="569"/>
        <w:jc w:val="both"/>
        <w:rPr>
          <w:sz w:val="20"/>
        </w:rPr>
      </w:pPr>
      <w:r>
        <w:rPr>
          <w:sz w:val="20"/>
        </w:rPr>
        <w:t>Usar narcóticos o drogas enervantes dentro o fuera de sus horas de trabajo, sin prescripción médica. Antes de iniciar el servicio, el trabajador deberá poner el hecho en conocimiento del patrón y presentarle la prescripción suscrita por el médico; y</w:t>
      </w:r>
    </w:p>
    <w:p>
      <w:pPr>
        <w:pStyle w:val="ListParagraph"/>
        <w:numPr>
          <w:ilvl w:val="0"/>
          <w:numId w:val="61"/>
        </w:numPr>
        <w:tabs>
          <w:tab w:pos="1195" w:val="left" w:leader="none"/>
        </w:tabs>
        <w:spacing w:line="240" w:lineRule="auto" w:before="223" w:after="0"/>
        <w:ind w:left="1195" w:right="0" w:hanging="569"/>
        <w:jc w:val="left"/>
        <w:rPr>
          <w:sz w:val="20"/>
        </w:rPr>
      </w:pPr>
      <w:r>
        <w:rPr>
          <w:sz w:val="20"/>
        </w:rPr>
        <w:t>Recibir</w:t>
      </w:r>
      <w:r>
        <w:rPr>
          <w:spacing w:val="-6"/>
          <w:sz w:val="20"/>
        </w:rPr>
        <w:t> </w:t>
      </w:r>
      <w:r>
        <w:rPr>
          <w:sz w:val="20"/>
        </w:rPr>
        <w:t>carga</w:t>
      </w:r>
      <w:r>
        <w:rPr>
          <w:spacing w:val="-7"/>
          <w:sz w:val="20"/>
        </w:rPr>
        <w:t> </w:t>
      </w:r>
      <w:r>
        <w:rPr>
          <w:sz w:val="20"/>
        </w:rPr>
        <w:t>o</w:t>
      </w:r>
      <w:r>
        <w:rPr>
          <w:spacing w:val="-5"/>
          <w:sz w:val="20"/>
        </w:rPr>
        <w:t> </w:t>
      </w:r>
      <w:r>
        <w:rPr>
          <w:sz w:val="20"/>
        </w:rPr>
        <w:t>pasaje</w:t>
      </w:r>
      <w:r>
        <w:rPr>
          <w:spacing w:val="-6"/>
          <w:sz w:val="20"/>
        </w:rPr>
        <w:t> </w:t>
      </w:r>
      <w:r>
        <w:rPr>
          <w:sz w:val="20"/>
        </w:rPr>
        <w:t>fuera</w:t>
      </w:r>
      <w:r>
        <w:rPr>
          <w:spacing w:val="-7"/>
          <w:sz w:val="20"/>
        </w:rPr>
        <w:t> </w:t>
      </w:r>
      <w:r>
        <w:rPr>
          <w:sz w:val="20"/>
        </w:rPr>
        <w:t>de</w:t>
      </w:r>
      <w:r>
        <w:rPr>
          <w:spacing w:val="-4"/>
          <w:sz w:val="20"/>
        </w:rPr>
        <w:t> </w:t>
      </w:r>
      <w:r>
        <w:rPr>
          <w:sz w:val="20"/>
        </w:rPr>
        <w:t>los</w:t>
      </w:r>
      <w:r>
        <w:rPr>
          <w:spacing w:val="-4"/>
          <w:sz w:val="20"/>
        </w:rPr>
        <w:t> </w:t>
      </w:r>
      <w:r>
        <w:rPr>
          <w:sz w:val="20"/>
        </w:rPr>
        <w:t>lugares</w:t>
      </w:r>
      <w:r>
        <w:rPr>
          <w:spacing w:val="-5"/>
          <w:sz w:val="20"/>
        </w:rPr>
        <w:t> </w:t>
      </w:r>
      <w:r>
        <w:rPr>
          <w:sz w:val="20"/>
        </w:rPr>
        <w:t>señalados</w:t>
      </w:r>
      <w:r>
        <w:rPr>
          <w:spacing w:val="-4"/>
          <w:sz w:val="20"/>
        </w:rPr>
        <w:t> </w:t>
      </w:r>
      <w:r>
        <w:rPr>
          <w:sz w:val="20"/>
        </w:rPr>
        <w:t>por</w:t>
      </w:r>
      <w:r>
        <w:rPr>
          <w:spacing w:val="-6"/>
          <w:sz w:val="20"/>
        </w:rPr>
        <w:t> </w:t>
      </w:r>
      <w:r>
        <w:rPr>
          <w:sz w:val="20"/>
        </w:rPr>
        <w:t>la</w:t>
      </w:r>
      <w:r>
        <w:rPr>
          <w:spacing w:val="-4"/>
          <w:sz w:val="20"/>
        </w:rPr>
        <w:t> </w:t>
      </w:r>
      <w:r>
        <w:rPr>
          <w:sz w:val="20"/>
        </w:rPr>
        <w:t>empresa</w:t>
      </w:r>
      <w:r>
        <w:rPr>
          <w:spacing w:val="-7"/>
          <w:sz w:val="20"/>
        </w:rPr>
        <w:t> </w:t>
      </w:r>
      <w:r>
        <w:rPr>
          <w:sz w:val="20"/>
        </w:rPr>
        <w:t>para</w:t>
      </w:r>
      <w:r>
        <w:rPr>
          <w:spacing w:val="-7"/>
          <w:sz w:val="20"/>
        </w:rPr>
        <w:t> </w:t>
      </w:r>
      <w:r>
        <w:rPr>
          <w:sz w:val="20"/>
        </w:rPr>
        <w:t>esos</w:t>
      </w:r>
      <w:r>
        <w:rPr>
          <w:spacing w:val="-5"/>
          <w:sz w:val="20"/>
        </w:rPr>
        <w:t> </w:t>
      </w:r>
      <w:r>
        <w:rPr>
          <w:spacing w:val="-2"/>
          <w:sz w:val="20"/>
        </w:rPr>
        <w:t>fines.</w:t>
      </w:r>
    </w:p>
    <w:p>
      <w:pPr>
        <w:pStyle w:val="BodyText"/>
        <w:spacing w:before="1"/>
      </w:pPr>
    </w:p>
    <w:p>
      <w:pPr>
        <w:pStyle w:val="BodyText"/>
        <w:ind w:left="626"/>
      </w:pPr>
      <w:bookmarkStart w:name="Artículo_262" w:id="309"/>
      <w:bookmarkEnd w:id="309"/>
      <w:r>
        <w:rPr/>
      </w:r>
      <w:r>
        <w:rPr>
          <w:rFonts w:ascii="Arial" w:hAnsi="Arial"/>
          <w:b/>
        </w:rPr>
        <w:t>Artículo</w:t>
      </w:r>
      <w:r>
        <w:rPr>
          <w:rFonts w:ascii="Arial" w:hAnsi="Arial"/>
          <w:b/>
          <w:spacing w:val="-9"/>
        </w:rPr>
        <w:t> </w:t>
      </w:r>
      <w:r>
        <w:rPr>
          <w:rFonts w:ascii="Arial" w:hAnsi="Arial"/>
          <w:b/>
        </w:rPr>
        <w:t>262.-</w:t>
      </w:r>
      <w:r>
        <w:rPr>
          <w:rFonts w:ascii="Arial" w:hAnsi="Arial"/>
          <w:b/>
          <w:spacing w:val="-9"/>
        </w:rPr>
        <w:t> </w:t>
      </w:r>
      <w:r>
        <w:rPr/>
        <w:t>Los</w:t>
      </w:r>
      <w:r>
        <w:rPr>
          <w:spacing w:val="-9"/>
        </w:rPr>
        <w:t> </w:t>
      </w:r>
      <w:r>
        <w:rPr/>
        <w:t>trabajadores</w:t>
      </w:r>
      <w:r>
        <w:rPr>
          <w:spacing w:val="-8"/>
        </w:rPr>
        <w:t> </w:t>
      </w:r>
      <w:r>
        <w:rPr/>
        <w:t>tienen</w:t>
      </w:r>
      <w:r>
        <w:rPr>
          <w:spacing w:val="-8"/>
        </w:rPr>
        <w:t> </w:t>
      </w:r>
      <w:r>
        <w:rPr/>
        <w:t>las</w:t>
      </w:r>
      <w:r>
        <w:rPr>
          <w:spacing w:val="-8"/>
        </w:rPr>
        <w:t> </w:t>
      </w:r>
      <w:r>
        <w:rPr/>
        <w:t>obligaciones</w:t>
      </w:r>
      <w:r>
        <w:rPr>
          <w:spacing w:val="-9"/>
        </w:rPr>
        <w:t> </w:t>
      </w:r>
      <w:r>
        <w:rPr/>
        <w:t>especiales</w:t>
      </w:r>
      <w:r>
        <w:rPr>
          <w:spacing w:val="-9"/>
        </w:rPr>
        <w:t> </w:t>
      </w:r>
      <w:r>
        <w:rPr>
          <w:spacing w:val="-2"/>
        </w:rPr>
        <w:t>siguientes:</w:t>
      </w:r>
    </w:p>
    <w:p>
      <w:pPr>
        <w:pStyle w:val="BodyText"/>
      </w:pPr>
    </w:p>
    <w:p>
      <w:pPr>
        <w:pStyle w:val="ListParagraph"/>
        <w:numPr>
          <w:ilvl w:val="0"/>
          <w:numId w:val="62"/>
        </w:numPr>
        <w:tabs>
          <w:tab w:pos="1195" w:val="left" w:leader="none"/>
        </w:tabs>
        <w:spacing w:line="240" w:lineRule="auto" w:before="1" w:after="0"/>
        <w:ind w:left="1195" w:right="0" w:hanging="569"/>
        <w:jc w:val="left"/>
        <w:rPr>
          <w:sz w:val="20"/>
        </w:rPr>
      </w:pPr>
      <w:r>
        <w:rPr>
          <w:sz w:val="20"/>
        </w:rPr>
        <w:t>Tratar</w:t>
      </w:r>
      <w:r>
        <w:rPr>
          <w:spacing w:val="-4"/>
          <w:sz w:val="20"/>
        </w:rPr>
        <w:t> </w:t>
      </w:r>
      <w:r>
        <w:rPr>
          <w:sz w:val="20"/>
        </w:rPr>
        <w:t>al</w:t>
      </w:r>
      <w:r>
        <w:rPr>
          <w:spacing w:val="-6"/>
          <w:sz w:val="20"/>
        </w:rPr>
        <w:t> </w:t>
      </w:r>
      <w:r>
        <w:rPr>
          <w:sz w:val="20"/>
        </w:rPr>
        <w:t>pasaje</w:t>
      </w:r>
      <w:r>
        <w:rPr>
          <w:spacing w:val="-4"/>
          <w:sz w:val="20"/>
        </w:rPr>
        <w:t> </w:t>
      </w:r>
      <w:r>
        <w:rPr>
          <w:sz w:val="20"/>
        </w:rPr>
        <w:t>con</w:t>
      </w:r>
      <w:r>
        <w:rPr>
          <w:spacing w:val="-5"/>
          <w:sz w:val="20"/>
        </w:rPr>
        <w:t> </w:t>
      </w:r>
      <w:r>
        <w:rPr>
          <w:sz w:val="20"/>
        </w:rPr>
        <w:t>cortesía</w:t>
      </w:r>
      <w:r>
        <w:rPr>
          <w:spacing w:val="-2"/>
          <w:sz w:val="20"/>
        </w:rPr>
        <w:t> </w:t>
      </w:r>
      <w:r>
        <w:rPr>
          <w:sz w:val="20"/>
        </w:rPr>
        <w:t>y</w:t>
      </w:r>
      <w:r>
        <w:rPr>
          <w:spacing w:val="-6"/>
          <w:sz w:val="20"/>
        </w:rPr>
        <w:t> </w:t>
      </w:r>
      <w:r>
        <w:rPr>
          <w:sz w:val="20"/>
        </w:rPr>
        <w:t>esmero</w:t>
      </w:r>
      <w:r>
        <w:rPr>
          <w:spacing w:val="-3"/>
          <w:sz w:val="20"/>
        </w:rPr>
        <w:t> </w:t>
      </w:r>
      <w:r>
        <w:rPr>
          <w:sz w:val="20"/>
        </w:rPr>
        <w:t>y</w:t>
      </w:r>
      <w:r>
        <w:rPr>
          <w:spacing w:val="-8"/>
          <w:sz w:val="20"/>
        </w:rPr>
        <w:t> </w:t>
      </w:r>
      <w:r>
        <w:rPr>
          <w:sz w:val="20"/>
        </w:rPr>
        <w:t>a</w:t>
      </w:r>
      <w:r>
        <w:rPr>
          <w:spacing w:val="-4"/>
          <w:sz w:val="20"/>
        </w:rPr>
        <w:t> </w:t>
      </w:r>
      <w:r>
        <w:rPr>
          <w:sz w:val="20"/>
        </w:rPr>
        <w:t>la</w:t>
      </w:r>
      <w:r>
        <w:rPr>
          <w:spacing w:val="-5"/>
          <w:sz w:val="20"/>
        </w:rPr>
        <w:t> </w:t>
      </w:r>
      <w:r>
        <w:rPr>
          <w:sz w:val="20"/>
        </w:rPr>
        <w:t>carga</w:t>
      </w:r>
      <w:r>
        <w:rPr>
          <w:spacing w:val="-5"/>
          <w:sz w:val="20"/>
        </w:rPr>
        <w:t> </w:t>
      </w:r>
      <w:r>
        <w:rPr>
          <w:sz w:val="20"/>
        </w:rPr>
        <w:t>con</w:t>
      </w:r>
      <w:r>
        <w:rPr>
          <w:spacing w:val="-4"/>
          <w:sz w:val="20"/>
        </w:rPr>
        <w:t> </w:t>
      </w:r>
      <w:r>
        <w:rPr>
          <w:spacing w:val="-2"/>
          <w:sz w:val="20"/>
        </w:rPr>
        <w:t>precaución;</w:t>
      </w:r>
    </w:p>
    <w:p>
      <w:pPr>
        <w:pStyle w:val="ListParagraph"/>
        <w:numPr>
          <w:ilvl w:val="0"/>
          <w:numId w:val="62"/>
        </w:numPr>
        <w:tabs>
          <w:tab w:pos="1192" w:val="left" w:leader="none"/>
          <w:tab w:pos="1195" w:val="left" w:leader="none"/>
        </w:tabs>
        <w:spacing w:line="242" w:lineRule="auto" w:before="228" w:after="0"/>
        <w:ind w:left="1195" w:right="337" w:hanging="569"/>
        <w:jc w:val="both"/>
        <w:rPr>
          <w:sz w:val="20"/>
        </w:rPr>
      </w:pPr>
      <w:r>
        <w:rPr>
          <w:sz w:val="20"/>
        </w:rPr>
        <w:t>Someterse a los exámenes médicos periódicos que prevengan las leyes y demás normas de </w:t>
      </w:r>
      <w:r>
        <w:rPr>
          <w:spacing w:val="-2"/>
          <w:sz w:val="20"/>
        </w:rPr>
        <w:t>trabajo;</w:t>
      </w:r>
    </w:p>
    <w:p>
      <w:pPr>
        <w:pStyle w:val="ListParagraph"/>
        <w:numPr>
          <w:ilvl w:val="0"/>
          <w:numId w:val="62"/>
        </w:numPr>
        <w:tabs>
          <w:tab w:pos="1191" w:val="left" w:leader="none"/>
          <w:tab w:pos="1195" w:val="left" w:leader="none"/>
        </w:tabs>
        <w:spacing w:line="242" w:lineRule="auto" w:before="227" w:after="0"/>
        <w:ind w:left="1195" w:right="344" w:hanging="569"/>
        <w:jc w:val="both"/>
        <w:rPr>
          <w:sz w:val="20"/>
        </w:rPr>
      </w:pPr>
      <w:r>
        <w:rPr>
          <w:sz w:val="20"/>
        </w:rPr>
        <w:t>Cuidar el buen funcionamiento de los vehículos e informar al patrón de cualquier desperfecto que observen;</w:t>
      </w:r>
    </w:p>
    <w:p>
      <w:pPr>
        <w:pStyle w:val="ListParagraph"/>
        <w:numPr>
          <w:ilvl w:val="0"/>
          <w:numId w:val="62"/>
        </w:numPr>
        <w:tabs>
          <w:tab w:pos="1195" w:val="left" w:leader="none"/>
        </w:tabs>
        <w:spacing w:line="242" w:lineRule="auto" w:before="224" w:after="0"/>
        <w:ind w:left="1195" w:right="334" w:hanging="569"/>
        <w:jc w:val="both"/>
        <w:rPr>
          <w:sz w:val="20"/>
        </w:rPr>
      </w:pPr>
      <w:r>
        <w:rPr>
          <w:sz w:val="20"/>
        </w:rPr>
        <w:t>Hacer durante el viaje las reparaciones de emergencia que permitan sus conocimientos, la herramienta y las refacciones de que dispongan. Si no es posible hacer las reparaciones, pero</w:t>
      </w:r>
      <w:r>
        <w:rPr>
          <w:spacing w:val="40"/>
          <w:sz w:val="20"/>
        </w:rPr>
        <w:t> </w:t>
      </w:r>
      <w:r>
        <w:rPr>
          <w:sz w:val="20"/>
        </w:rPr>
        <w:t>el vehículo puede continuar circulando, conducirlo hasta el poblado más próximo o hasta el</w:t>
      </w:r>
      <w:r>
        <w:rPr>
          <w:spacing w:val="40"/>
          <w:sz w:val="20"/>
        </w:rPr>
        <w:t> </w:t>
      </w:r>
      <w:r>
        <w:rPr>
          <w:sz w:val="20"/>
        </w:rPr>
        <w:t>lugar señalado para su reparación; y</w:t>
      </w:r>
    </w:p>
    <w:p>
      <w:pPr>
        <w:pStyle w:val="ListParagraph"/>
        <w:numPr>
          <w:ilvl w:val="0"/>
          <w:numId w:val="62"/>
        </w:numPr>
        <w:tabs>
          <w:tab w:pos="1195" w:val="left" w:leader="none"/>
        </w:tabs>
        <w:spacing w:line="242" w:lineRule="auto" w:before="221" w:after="0"/>
        <w:ind w:left="1195" w:right="342" w:hanging="569"/>
        <w:jc w:val="both"/>
        <w:rPr>
          <w:sz w:val="20"/>
        </w:rPr>
      </w:pPr>
      <w:r>
        <w:rPr>
          <w:sz w:val="20"/>
        </w:rPr>
        <w:t>Observar los reglamentos de tránsito y</w:t>
      </w:r>
      <w:r>
        <w:rPr>
          <w:spacing w:val="-1"/>
          <w:sz w:val="20"/>
        </w:rPr>
        <w:t> </w:t>
      </w:r>
      <w:r>
        <w:rPr>
          <w:sz w:val="20"/>
        </w:rPr>
        <w:t>las indicaciones técnicas que dicten las autoridades o el </w:t>
      </w:r>
      <w:r>
        <w:rPr>
          <w:spacing w:val="-2"/>
          <w:sz w:val="20"/>
        </w:rPr>
        <w:t>patrón.</w:t>
      </w:r>
    </w:p>
    <w:p>
      <w:pPr>
        <w:spacing w:before="227"/>
        <w:ind w:left="626" w:right="0" w:firstLine="0"/>
        <w:jc w:val="left"/>
        <w:rPr>
          <w:sz w:val="20"/>
        </w:rPr>
      </w:pPr>
      <w:bookmarkStart w:name="Artículo_263" w:id="310"/>
      <w:bookmarkEnd w:id="310"/>
      <w:r>
        <w:rPr/>
      </w:r>
      <w:r>
        <w:rPr>
          <w:rFonts w:ascii="Arial" w:hAnsi="Arial"/>
          <w:b/>
          <w:sz w:val="20"/>
        </w:rPr>
        <w:t>Artículo</w:t>
      </w:r>
      <w:r>
        <w:rPr>
          <w:rFonts w:ascii="Arial" w:hAnsi="Arial"/>
          <w:b/>
          <w:spacing w:val="-9"/>
          <w:sz w:val="20"/>
        </w:rPr>
        <w:t> </w:t>
      </w:r>
      <w:r>
        <w:rPr>
          <w:rFonts w:ascii="Arial" w:hAnsi="Arial"/>
          <w:b/>
          <w:sz w:val="20"/>
        </w:rPr>
        <w:t>263.-</w:t>
      </w:r>
      <w:r>
        <w:rPr>
          <w:rFonts w:ascii="Arial" w:hAnsi="Arial"/>
          <w:b/>
          <w:spacing w:val="-8"/>
          <w:sz w:val="20"/>
        </w:rPr>
        <w:t> </w:t>
      </w:r>
      <w:r>
        <w:rPr>
          <w:sz w:val="20"/>
        </w:rPr>
        <w:t>Los</w:t>
      </w:r>
      <w:r>
        <w:rPr>
          <w:spacing w:val="-8"/>
          <w:sz w:val="20"/>
        </w:rPr>
        <w:t> </w:t>
      </w:r>
      <w:r>
        <w:rPr>
          <w:sz w:val="20"/>
        </w:rPr>
        <w:t>patrones</w:t>
      </w:r>
      <w:r>
        <w:rPr>
          <w:spacing w:val="-9"/>
          <w:sz w:val="20"/>
        </w:rPr>
        <w:t> </w:t>
      </w:r>
      <w:r>
        <w:rPr>
          <w:sz w:val="20"/>
        </w:rPr>
        <w:t>tienen</w:t>
      </w:r>
      <w:r>
        <w:rPr>
          <w:spacing w:val="-8"/>
          <w:sz w:val="20"/>
        </w:rPr>
        <w:t> </w:t>
      </w:r>
      <w:r>
        <w:rPr>
          <w:sz w:val="20"/>
        </w:rPr>
        <w:t>las</w:t>
      </w:r>
      <w:r>
        <w:rPr>
          <w:spacing w:val="-8"/>
          <w:sz w:val="20"/>
        </w:rPr>
        <w:t> </w:t>
      </w:r>
      <w:r>
        <w:rPr>
          <w:sz w:val="20"/>
        </w:rPr>
        <w:t>obligaciones</w:t>
      </w:r>
      <w:r>
        <w:rPr>
          <w:spacing w:val="-7"/>
          <w:sz w:val="20"/>
        </w:rPr>
        <w:t> </w:t>
      </w:r>
      <w:r>
        <w:rPr>
          <w:sz w:val="20"/>
        </w:rPr>
        <w:t>especiales</w:t>
      </w:r>
      <w:r>
        <w:rPr>
          <w:spacing w:val="-8"/>
          <w:sz w:val="20"/>
        </w:rPr>
        <w:t> </w:t>
      </w:r>
      <w:r>
        <w:rPr>
          <w:spacing w:val="-2"/>
          <w:sz w:val="20"/>
        </w:rPr>
        <w:t>siguientes:</w:t>
      </w:r>
    </w:p>
    <w:p>
      <w:pPr>
        <w:pStyle w:val="BodyText"/>
      </w:pPr>
    </w:p>
    <w:p>
      <w:pPr>
        <w:pStyle w:val="ListParagraph"/>
        <w:numPr>
          <w:ilvl w:val="0"/>
          <w:numId w:val="63"/>
        </w:numPr>
        <w:tabs>
          <w:tab w:pos="1193" w:val="left" w:leader="none"/>
          <w:tab w:pos="1195" w:val="left" w:leader="none"/>
        </w:tabs>
        <w:spacing w:line="240" w:lineRule="auto" w:before="0" w:after="0"/>
        <w:ind w:left="1195" w:right="336" w:hanging="569"/>
        <w:jc w:val="both"/>
        <w:rPr>
          <w:sz w:val="20"/>
        </w:rPr>
      </w:pPr>
      <w:r>
        <w:rPr>
          <w:sz w:val="20"/>
        </w:rPr>
        <w:t>En los transportes foráneos pagar los gastos de hospedaje y alimentación de los trabajadores, cuando se prolongue o retarde el viaje por causa que no sea imputable a éstos;</w:t>
      </w:r>
    </w:p>
    <w:p>
      <w:pPr>
        <w:pStyle w:val="ListParagraph"/>
        <w:spacing w:after="0" w:line="240" w:lineRule="auto"/>
        <w:jc w:val="both"/>
        <w:rPr>
          <w:sz w:val="20"/>
        </w:rPr>
        <w:sectPr>
          <w:pgSz w:w="12240" w:h="15840"/>
          <w:pgMar w:header="724" w:footer="712" w:top="1880" w:bottom="900" w:left="1080" w:right="1080"/>
        </w:sectPr>
      </w:pPr>
    </w:p>
    <w:p>
      <w:pPr>
        <w:pStyle w:val="BodyText"/>
      </w:pPr>
    </w:p>
    <w:p>
      <w:pPr>
        <w:pStyle w:val="BodyText"/>
        <w:spacing w:before="63"/>
      </w:pPr>
    </w:p>
    <w:p>
      <w:pPr>
        <w:pStyle w:val="ListParagraph"/>
        <w:numPr>
          <w:ilvl w:val="0"/>
          <w:numId w:val="63"/>
        </w:numPr>
        <w:tabs>
          <w:tab w:pos="1192" w:val="left" w:leader="none"/>
          <w:tab w:pos="1195" w:val="left" w:leader="none"/>
        </w:tabs>
        <w:spacing w:line="242" w:lineRule="auto" w:before="0" w:after="0"/>
        <w:ind w:left="1195" w:right="343" w:hanging="569"/>
        <w:jc w:val="both"/>
        <w:rPr>
          <w:sz w:val="20"/>
        </w:rPr>
      </w:pPr>
      <w:r>
        <w:rPr>
          <w:sz w:val="20"/>
        </w:rPr>
        <w:t>Hacer las reparaciones para garantizar el buen funcionamiento del vehículo y la seguridad de los trabajadores, usuarios y público en general;</w:t>
      </w:r>
    </w:p>
    <w:p>
      <w:pPr>
        <w:pStyle w:val="ListParagraph"/>
        <w:numPr>
          <w:ilvl w:val="0"/>
          <w:numId w:val="63"/>
        </w:numPr>
        <w:tabs>
          <w:tab w:pos="1191" w:val="left" w:leader="none"/>
          <w:tab w:pos="1195" w:val="left" w:leader="none"/>
        </w:tabs>
        <w:spacing w:line="242" w:lineRule="auto" w:before="227" w:after="0"/>
        <w:ind w:left="1195" w:right="345" w:hanging="569"/>
        <w:jc w:val="both"/>
        <w:rPr>
          <w:sz w:val="20"/>
        </w:rPr>
      </w:pPr>
      <w:r>
        <w:rPr>
          <w:sz w:val="20"/>
        </w:rPr>
        <w:t>Dotar a los vehículos de la herramienta y refacciones indispensables para las reparaciones de emergencia; y</w:t>
      </w:r>
    </w:p>
    <w:p>
      <w:pPr>
        <w:pStyle w:val="ListParagraph"/>
        <w:numPr>
          <w:ilvl w:val="0"/>
          <w:numId w:val="63"/>
        </w:numPr>
        <w:tabs>
          <w:tab w:pos="1195" w:val="left" w:leader="none"/>
        </w:tabs>
        <w:spacing w:line="242" w:lineRule="auto" w:before="224" w:after="0"/>
        <w:ind w:left="1195" w:right="343" w:hanging="569"/>
        <w:jc w:val="both"/>
        <w:rPr>
          <w:sz w:val="20"/>
        </w:rPr>
      </w:pPr>
      <w:r>
        <w:rPr>
          <w:sz w:val="20"/>
        </w:rPr>
        <w:t>Observar las disposiciones de los Reglamentos de Tránsito sobre condiciones de funcionamiento y seguridad de los vehículos.</w:t>
      </w:r>
    </w:p>
    <w:p>
      <w:pPr>
        <w:pStyle w:val="BodyText"/>
        <w:spacing w:before="227"/>
        <w:ind w:left="626"/>
      </w:pPr>
      <w:bookmarkStart w:name="Artículo_264" w:id="311"/>
      <w:bookmarkEnd w:id="311"/>
      <w:r>
        <w:rPr/>
      </w:r>
      <w:r>
        <w:rPr>
          <w:rFonts w:ascii="Arial" w:hAnsi="Arial"/>
          <w:b/>
        </w:rPr>
        <w:t>Artículo</w:t>
      </w:r>
      <w:r>
        <w:rPr>
          <w:rFonts w:ascii="Arial" w:hAnsi="Arial"/>
          <w:b/>
          <w:spacing w:val="-7"/>
        </w:rPr>
        <w:t> </w:t>
      </w:r>
      <w:r>
        <w:rPr>
          <w:rFonts w:ascii="Arial" w:hAnsi="Arial"/>
          <w:b/>
        </w:rPr>
        <w:t>264.-</w:t>
      </w:r>
      <w:r>
        <w:rPr>
          <w:rFonts w:ascii="Arial" w:hAnsi="Arial"/>
          <w:b/>
          <w:spacing w:val="-4"/>
        </w:rPr>
        <w:t> </w:t>
      </w:r>
      <w:r>
        <w:rPr/>
        <w:t>Son</w:t>
      </w:r>
      <w:r>
        <w:rPr>
          <w:spacing w:val="-5"/>
        </w:rPr>
        <w:t> </w:t>
      </w:r>
      <w:r>
        <w:rPr/>
        <w:t>causas</w:t>
      </w:r>
      <w:r>
        <w:rPr>
          <w:spacing w:val="-5"/>
        </w:rPr>
        <w:t> </w:t>
      </w:r>
      <w:r>
        <w:rPr/>
        <w:t>especiales</w:t>
      </w:r>
      <w:r>
        <w:rPr>
          <w:spacing w:val="-6"/>
        </w:rPr>
        <w:t> </w:t>
      </w:r>
      <w:r>
        <w:rPr/>
        <w:t>de</w:t>
      </w:r>
      <w:r>
        <w:rPr>
          <w:spacing w:val="-7"/>
        </w:rPr>
        <w:t> </w:t>
      </w:r>
      <w:r>
        <w:rPr/>
        <w:t>rescisión</w:t>
      </w:r>
      <w:r>
        <w:rPr>
          <w:spacing w:val="-7"/>
        </w:rPr>
        <w:t> </w:t>
      </w:r>
      <w:r>
        <w:rPr/>
        <w:t>de</w:t>
      </w:r>
      <w:r>
        <w:rPr>
          <w:spacing w:val="-6"/>
        </w:rPr>
        <w:t> </w:t>
      </w:r>
      <w:r>
        <w:rPr/>
        <w:t>las</w:t>
      </w:r>
      <w:r>
        <w:rPr>
          <w:spacing w:val="-6"/>
        </w:rPr>
        <w:t> </w:t>
      </w:r>
      <w:r>
        <w:rPr/>
        <w:t>relaciones</w:t>
      </w:r>
      <w:r>
        <w:rPr>
          <w:spacing w:val="-4"/>
        </w:rPr>
        <w:t> </w:t>
      </w:r>
      <w:r>
        <w:rPr/>
        <w:t>de</w:t>
      </w:r>
      <w:r>
        <w:rPr>
          <w:spacing w:val="-8"/>
        </w:rPr>
        <w:t> </w:t>
      </w:r>
      <w:r>
        <w:rPr>
          <w:spacing w:val="-2"/>
        </w:rPr>
        <w:t>trabajo:</w:t>
      </w:r>
    </w:p>
    <w:p>
      <w:pPr>
        <w:pStyle w:val="ListParagraph"/>
        <w:numPr>
          <w:ilvl w:val="0"/>
          <w:numId w:val="64"/>
        </w:numPr>
        <w:tabs>
          <w:tab w:pos="1193" w:val="left" w:leader="none"/>
          <w:tab w:pos="1195" w:val="left" w:leader="none"/>
        </w:tabs>
        <w:spacing w:line="242" w:lineRule="auto" w:before="229" w:after="0"/>
        <w:ind w:left="1195" w:right="339" w:hanging="569"/>
        <w:jc w:val="both"/>
        <w:rPr>
          <w:sz w:val="20"/>
        </w:rPr>
      </w:pPr>
      <w:r>
        <w:rPr>
          <w:sz w:val="20"/>
        </w:rPr>
        <w:t>La negativa a efectuar el viaje contratado o su interrupción sin causa justificada. Será considerada en todo caso causa justificada la circunstancia de que el vehículo no reúna las condiciones de seguridad indispensables para garantizar la vida de los trabajadores, usuarios y del público en general; y</w:t>
      </w:r>
    </w:p>
    <w:p>
      <w:pPr>
        <w:pStyle w:val="ListParagraph"/>
        <w:numPr>
          <w:ilvl w:val="0"/>
          <w:numId w:val="64"/>
        </w:numPr>
        <w:tabs>
          <w:tab w:pos="1192" w:val="left" w:leader="none"/>
          <w:tab w:pos="1195" w:val="left" w:leader="none"/>
        </w:tabs>
        <w:spacing w:line="242" w:lineRule="auto" w:before="220" w:after="0"/>
        <w:ind w:left="1195" w:right="345" w:hanging="569"/>
        <w:jc w:val="both"/>
        <w:rPr>
          <w:sz w:val="20"/>
        </w:rPr>
      </w:pPr>
      <w:r>
        <w:rPr>
          <w:sz w:val="20"/>
        </w:rPr>
        <w:t>La disminución importante y reiterada del volumen de ingresos, salvo que concurran circunstancias justificadas.</w:t>
      </w:r>
    </w:p>
    <w:p>
      <w:pPr>
        <w:pStyle w:val="Heading1"/>
        <w:spacing w:before="225"/>
        <w:ind w:left="298"/>
      </w:pPr>
      <w:r>
        <w:rPr/>
        <w:t>CAPITULO</w:t>
      </w:r>
      <w:r>
        <w:rPr>
          <w:spacing w:val="-9"/>
        </w:rPr>
        <w:t> </w:t>
      </w:r>
      <w:r>
        <w:rPr>
          <w:spacing w:val="-5"/>
        </w:rPr>
        <w:t>VII</w:t>
      </w:r>
    </w:p>
    <w:p>
      <w:pPr>
        <w:pStyle w:val="Heading2"/>
        <w:spacing w:before="1"/>
        <w:ind w:left="297"/>
      </w:pPr>
      <w:r>
        <w:rPr/>
        <w:t>Trabajo</w:t>
      </w:r>
      <w:r>
        <w:rPr>
          <w:spacing w:val="-6"/>
        </w:rPr>
        <w:t> </w:t>
      </w:r>
      <w:r>
        <w:rPr/>
        <w:t>de</w:t>
      </w:r>
      <w:r>
        <w:rPr>
          <w:spacing w:val="-4"/>
        </w:rPr>
        <w:t> </w:t>
      </w:r>
      <w:r>
        <w:rPr/>
        <w:t>maniobras</w:t>
      </w:r>
      <w:r>
        <w:rPr>
          <w:spacing w:val="-8"/>
        </w:rPr>
        <w:t> </w:t>
      </w:r>
      <w:r>
        <w:rPr/>
        <w:t>de</w:t>
      </w:r>
      <w:r>
        <w:rPr>
          <w:spacing w:val="-4"/>
        </w:rPr>
        <w:t> </w:t>
      </w:r>
      <w:r>
        <w:rPr/>
        <w:t>servicio</w:t>
      </w:r>
      <w:r>
        <w:rPr>
          <w:spacing w:val="-6"/>
        </w:rPr>
        <w:t> </w:t>
      </w:r>
      <w:r>
        <w:rPr/>
        <w:t>público</w:t>
      </w:r>
      <w:r>
        <w:rPr>
          <w:spacing w:val="-4"/>
        </w:rPr>
        <w:t> </w:t>
      </w:r>
      <w:r>
        <w:rPr/>
        <w:t>en</w:t>
      </w:r>
      <w:r>
        <w:rPr>
          <w:spacing w:val="-9"/>
        </w:rPr>
        <w:t> </w:t>
      </w:r>
      <w:r>
        <w:rPr/>
        <w:t>zonas</w:t>
      </w:r>
      <w:r>
        <w:rPr>
          <w:spacing w:val="-4"/>
        </w:rPr>
        <w:t> </w:t>
      </w:r>
      <w:r>
        <w:rPr/>
        <w:t>bajo</w:t>
      </w:r>
      <w:r>
        <w:rPr>
          <w:spacing w:val="-4"/>
        </w:rPr>
        <w:t> </w:t>
      </w:r>
      <w:r>
        <w:rPr/>
        <w:t>jurisdicción</w:t>
      </w:r>
      <w:r>
        <w:rPr>
          <w:spacing w:val="-6"/>
        </w:rPr>
        <w:t> </w:t>
      </w:r>
      <w:r>
        <w:rPr>
          <w:spacing w:val="-2"/>
        </w:rPr>
        <w:t>federal</w:t>
      </w:r>
    </w:p>
    <w:p>
      <w:pPr>
        <w:pStyle w:val="BodyText"/>
        <w:spacing w:before="232"/>
        <w:ind w:left="338" w:right="345" w:firstLine="288"/>
        <w:jc w:val="both"/>
      </w:pPr>
      <w:bookmarkStart w:name="Artículo_265" w:id="312"/>
      <w:bookmarkEnd w:id="312"/>
      <w:r>
        <w:rPr/>
      </w:r>
      <w:r>
        <w:rPr>
          <w:rFonts w:ascii="Arial" w:hAnsi="Arial"/>
          <w:b/>
        </w:rPr>
        <w:t>Artículo 265.- </w:t>
      </w:r>
      <w:r>
        <w:rPr/>
        <w:t>Las disposiciones de este capítulo se aplican al trabajo de maniobras de servicio público de carga, descarga, estiba, desestiba, alijo, chequeo, pilotaje o practicaje, amarre, acarreo, almacenaje y transbordo de carga y equipaje, que se efectúe a bordo de buques o en tierra, en los puertos, vías navegables, estaciones de ferrocarril y demás zonas bajo jurisdicción federal, al que se desarrolle en lanchas para prácticos, y a los trabajos complementarios o conexos.</w:t>
      </w:r>
    </w:p>
    <w:p>
      <w:pPr>
        <w:spacing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30-05-</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338" w:right="342" w:firstLine="288"/>
        <w:jc w:val="both"/>
      </w:pPr>
      <w:bookmarkStart w:name="Artículo_266" w:id="313"/>
      <w:bookmarkEnd w:id="313"/>
      <w:r>
        <w:rPr/>
      </w:r>
      <w:r>
        <w:rPr>
          <w:rFonts w:ascii="Arial" w:hAnsi="Arial"/>
          <w:b/>
        </w:rPr>
        <w:t>Artículo 266.- </w:t>
      </w:r>
      <w:r>
        <w:rPr/>
        <w:t>En los contratos colectivos se determinarán las maniobras objeto de los mismos, distinguiéndose de las que correspondan a otros trabajadores.</w:t>
      </w:r>
    </w:p>
    <w:p>
      <w:pPr>
        <w:pStyle w:val="BodyText"/>
        <w:spacing w:line="229" w:lineRule="exact" w:before="226"/>
        <w:ind w:left="626"/>
      </w:pPr>
      <w:bookmarkStart w:name="Artículo_267" w:id="314"/>
      <w:bookmarkEnd w:id="314"/>
      <w:r>
        <w:rPr/>
      </w:r>
      <w:r>
        <w:rPr>
          <w:rFonts w:ascii="Arial" w:hAnsi="Arial"/>
          <w:b/>
        </w:rPr>
        <w:t>Artículo</w:t>
      </w:r>
      <w:r>
        <w:rPr>
          <w:rFonts w:ascii="Arial" w:hAnsi="Arial"/>
          <w:b/>
          <w:spacing w:val="-6"/>
        </w:rPr>
        <w:t> </w:t>
      </w:r>
      <w:r>
        <w:rPr>
          <w:rFonts w:ascii="Arial" w:hAnsi="Arial"/>
          <w:b/>
        </w:rPr>
        <w:t>267.</w:t>
      </w:r>
      <w:r>
        <w:rPr>
          <w:rFonts w:ascii="Arial" w:hAnsi="Arial"/>
          <w:b/>
          <w:spacing w:val="-3"/>
        </w:rPr>
        <w:t> </w:t>
      </w:r>
      <w:r>
        <w:rPr/>
        <w:t>No</w:t>
      </w:r>
      <w:r>
        <w:rPr>
          <w:spacing w:val="-7"/>
        </w:rPr>
        <w:t> </w:t>
      </w:r>
      <w:r>
        <w:rPr/>
        <w:t>podrá</w:t>
      </w:r>
      <w:r>
        <w:rPr>
          <w:spacing w:val="-4"/>
        </w:rPr>
        <w:t> </w:t>
      </w:r>
      <w:r>
        <w:rPr/>
        <w:t>utilizarse</w:t>
      </w:r>
      <w:r>
        <w:rPr>
          <w:spacing w:val="-6"/>
        </w:rPr>
        <w:t> </w:t>
      </w:r>
      <w:r>
        <w:rPr/>
        <w:t>el</w:t>
      </w:r>
      <w:r>
        <w:rPr>
          <w:spacing w:val="-7"/>
        </w:rPr>
        <w:t> </w:t>
      </w:r>
      <w:r>
        <w:rPr/>
        <w:t>trabajo</w:t>
      </w:r>
      <w:r>
        <w:rPr>
          <w:spacing w:val="-7"/>
        </w:rPr>
        <w:t> </w:t>
      </w:r>
      <w:r>
        <w:rPr/>
        <w:t>de</w:t>
      </w:r>
      <w:r>
        <w:rPr>
          <w:spacing w:val="-6"/>
        </w:rPr>
        <w:t> </w:t>
      </w:r>
      <w:r>
        <w:rPr/>
        <w:t>los</w:t>
      </w:r>
      <w:r>
        <w:rPr>
          <w:spacing w:val="-5"/>
        </w:rPr>
        <w:t> </w:t>
      </w:r>
      <w:r>
        <w:rPr/>
        <w:t>menores</w:t>
      </w:r>
      <w:r>
        <w:rPr>
          <w:spacing w:val="-5"/>
        </w:rPr>
        <w:t> </w:t>
      </w:r>
      <w:r>
        <w:rPr/>
        <w:t>de</w:t>
      </w:r>
      <w:r>
        <w:rPr>
          <w:spacing w:val="-7"/>
        </w:rPr>
        <w:t> </w:t>
      </w:r>
      <w:r>
        <w:rPr/>
        <w:t>dieciocho</w:t>
      </w:r>
      <w:r>
        <w:rPr>
          <w:spacing w:val="-2"/>
        </w:rPr>
        <w:t> años.</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8"/>
        <w:rPr>
          <w:rFonts w:ascii="Times New Roman"/>
          <w:i/>
          <w:sz w:val="16"/>
        </w:rPr>
      </w:pPr>
    </w:p>
    <w:p>
      <w:pPr>
        <w:pStyle w:val="BodyText"/>
        <w:spacing w:line="242" w:lineRule="auto"/>
        <w:ind w:left="338" w:right="341" w:firstLine="288"/>
        <w:jc w:val="both"/>
      </w:pPr>
      <w:bookmarkStart w:name="Artículo_268" w:id="315"/>
      <w:bookmarkEnd w:id="315"/>
      <w:r>
        <w:rPr/>
      </w:r>
      <w:r>
        <w:rPr>
          <w:rFonts w:ascii="Arial" w:hAnsi="Arial"/>
          <w:b/>
        </w:rPr>
        <w:t>Artículo 268.- </w:t>
      </w:r>
      <w:r>
        <w:rPr/>
        <w:t>Son patrones las empresas navieras y las de maniobras, los armadores y fletadores,</w:t>
      </w:r>
      <w:r>
        <w:rPr>
          <w:spacing w:val="40"/>
        </w:rPr>
        <w:t> </w:t>
      </w:r>
      <w:r>
        <w:rPr/>
        <w:t>los consignatarios, los agentes aduanales, y demás personas que ordenen los trabajos.</w:t>
      </w:r>
    </w:p>
    <w:p>
      <w:pPr>
        <w:pStyle w:val="BodyText"/>
        <w:spacing w:line="242" w:lineRule="auto" w:before="224"/>
        <w:ind w:left="338" w:right="343" w:firstLine="288"/>
        <w:jc w:val="both"/>
      </w:pPr>
      <w:bookmarkStart w:name="Artículo_269" w:id="316"/>
      <w:bookmarkEnd w:id="316"/>
      <w:r>
        <w:rPr/>
      </w:r>
      <w:r>
        <w:rPr>
          <w:rFonts w:ascii="Arial" w:hAnsi="Arial"/>
          <w:b/>
        </w:rPr>
        <w:t>Artículo 269.- </w:t>
      </w:r>
      <w:r>
        <w:rPr/>
        <w:t>Las personas a que se refiere el artículo anterior, que en forma conjunta ordenen los trabajos comprendidos en este capítulo, son solidariamente responsables por los salarios e indemnizaciones que correspondan a los trabajadores, por los trabajos realizados.</w:t>
      </w:r>
    </w:p>
    <w:p>
      <w:pPr>
        <w:pStyle w:val="BodyText"/>
        <w:spacing w:line="242" w:lineRule="auto" w:before="225"/>
        <w:ind w:left="338" w:right="346" w:firstLine="288"/>
        <w:jc w:val="both"/>
      </w:pPr>
      <w:bookmarkStart w:name="Artículo_270" w:id="317"/>
      <w:bookmarkEnd w:id="317"/>
      <w:r>
        <w:rPr/>
      </w:r>
      <w:r>
        <w:rPr>
          <w:rFonts w:ascii="Arial" w:hAnsi="Arial"/>
          <w:b/>
        </w:rPr>
        <w:t>Artículo 270.- </w:t>
      </w:r>
      <w:r>
        <w:rPr/>
        <w:t>El salario puede fijarse por unidad de tiempo, por unidad de obra, por peso de los</w:t>
      </w:r>
      <w:r>
        <w:rPr>
          <w:spacing w:val="40"/>
        </w:rPr>
        <w:t> </w:t>
      </w:r>
      <w:r>
        <w:rPr/>
        <w:t>bultos o de cualquiera otra manera.</w:t>
      </w:r>
    </w:p>
    <w:p>
      <w:pPr>
        <w:pStyle w:val="BodyText"/>
        <w:spacing w:before="227"/>
        <w:ind w:left="338" w:right="336" w:firstLine="288"/>
        <w:jc w:val="both"/>
      </w:pPr>
      <w:r>
        <w:rPr/>
        <w:t>Si intervienen varios trabajadores en una maniobra, el salario se distribuirá entre ellos de conformidad con sus categorías y en la proporción en que participen.</w:t>
      </w:r>
    </w:p>
    <w:p>
      <w:pPr>
        <w:pStyle w:val="BodyText"/>
        <w:spacing w:line="242" w:lineRule="auto" w:before="229"/>
        <w:ind w:left="338" w:right="345" w:firstLine="288"/>
        <w:jc w:val="both"/>
      </w:pPr>
      <w:bookmarkStart w:name="Artículo_271" w:id="318"/>
      <w:bookmarkEnd w:id="318"/>
      <w:r>
        <w:rPr/>
      </w:r>
      <w:r>
        <w:rPr>
          <w:rFonts w:ascii="Arial" w:hAnsi="Arial"/>
          <w:b/>
        </w:rPr>
        <w:t>Artículo 271.- </w:t>
      </w:r>
      <w:r>
        <w:rPr/>
        <w:t>El salario se pagará directamente al trabajador, de conformidad con lo dispuesto en el artículo 100.</w:t>
      </w:r>
    </w:p>
    <w:p>
      <w:pPr>
        <w:pStyle w:val="BodyText"/>
        <w:spacing w:after="0" w:line="242" w:lineRule="auto"/>
        <w:jc w:val="both"/>
        <w:sectPr>
          <w:pgSz w:w="12240" w:h="15840"/>
          <w:pgMar w:header="724" w:footer="712" w:top="1880" w:bottom="900" w:left="1080" w:right="1080"/>
        </w:sectPr>
      </w:pPr>
    </w:p>
    <w:p>
      <w:pPr>
        <w:pStyle w:val="BodyText"/>
        <w:spacing w:before="65"/>
      </w:pPr>
    </w:p>
    <w:p>
      <w:pPr>
        <w:pStyle w:val="BodyText"/>
        <w:ind w:left="338" w:right="342" w:firstLine="288"/>
      </w:pPr>
      <w:r>
        <w:rPr/>
        <w:t>El pago hecho a organizaciones, cualquiera que sea su naturaleza, o a intermediarios, para que a su vez hagan el pago a los trabajadores, no libera de responsabilidad a los patrones.</w:t>
      </w:r>
    </w:p>
    <w:p>
      <w:pPr>
        <w:pStyle w:val="BodyText"/>
        <w:spacing w:line="242" w:lineRule="auto" w:before="229"/>
        <w:ind w:left="338" w:firstLine="288"/>
      </w:pPr>
      <w:bookmarkStart w:name="Artículo_272" w:id="319"/>
      <w:bookmarkEnd w:id="319"/>
      <w:r>
        <w:rPr/>
      </w:r>
      <w:r>
        <w:rPr>
          <w:rFonts w:ascii="Arial" w:hAnsi="Arial"/>
          <w:b/>
        </w:rPr>
        <w:t>Artículo</w:t>
      </w:r>
      <w:r>
        <w:rPr>
          <w:rFonts w:ascii="Arial" w:hAnsi="Arial"/>
          <w:b/>
          <w:spacing w:val="29"/>
        </w:rPr>
        <w:t> </w:t>
      </w:r>
      <w:r>
        <w:rPr>
          <w:rFonts w:ascii="Arial" w:hAnsi="Arial"/>
          <w:b/>
        </w:rPr>
        <w:t>272.-</w:t>
      </w:r>
      <w:r>
        <w:rPr>
          <w:rFonts w:ascii="Arial" w:hAnsi="Arial"/>
          <w:b/>
          <w:spacing w:val="30"/>
        </w:rPr>
        <w:t> </w:t>
      </w:r>
      <w:r>
        <w:rPr/>
        <w:t>Los</w:t>
      </w:r>
      <w:r>
        <w:rPr>
          <w:spacing w:val="30"/>
        </w:rPr>
        <w:t> </w:t>
      </w:r>
      <w:r>
        <w:rPr/>
        <w:t>trabajadores</w:t>
      </w:r>
      <w:r>
        <w:rPr>
          <w:spacing w:val="30"/>
        </w:rPr>
        <w:t> </w:t>
      </w:r>
      <w:r>
        <w:rPr/>
        <w:t>tienen</w:t>
      </w:r>
      <w:r>
        <w:rPr>
          <w:spacing w:val="29"/>
        </w:rPr>
        <w:t> </w:t>
      </w:r>
      <w:r>
        <w:rPr/>
        <w:t>derecho</w:t>
      </w:r>
      <w:r>
        <w:rPr>
          <w:spacing w:val="28"/>
        </w:rPr>
        <w:t> </w:t>
      </w:r>
      <w:r>
        <w:rPr/>
        <w:t>a</w:t>
      </w:r>
      <w:r>
        <w:rPr>
          <w:spacing w:val="29"/>
        </w:rPr>
        <w:t> </w:t>
      </w:r>
      <w:r>
        <w:rPr/>
        <w:t>que</w:t>
      </w:r>
      <w:r>
        <w:rPr>
          <w:spacing w:val="29"/>
        </w:rPr>
        <w:t> </w:t>
      </w:r>
      <w:r>
        <w:rPr/>
        <w:t>el</w:t>
      </w:r>
      <w:r>
        <w:rPr>
          <w:spacing w:val="28"/>
        </w:rPr>
        <w:t> </w:t>
      </w:r>
      <w:r>
        <w:rPr/>
        <w:t>salario</w:t>
      </w:r>
      <w:r>
        <w:rPr>
          <w:spacing w:val="28"/>
        </w:rPr>
        <w:t> </w:t>
      </w:r>
      <w:r>
        <w:rPr/>
        <w:t>diario</w:t>
      </w:r>
      <w:r>
        <w:rPr>
          <w:spacing w:val="29"/>
        </w:rPr>
        <w:t> </w:t>
      </w:r>
      <w:r>
        <w:rPr/>
        <w:t>se</w:t>
      </w:r>
      <w:r>
        <w:rPr>
          <w:spacing w:val="29"/>
        </w:rPr>
        <w:t> </w:t>
      </w:r>
      <w:r>
        <w:rPr/>
        <w:t>aumente</w:t>
      </w:r>
      <w:r>
        <w:rPr>
          <w:spacing w:val="28"/>
        </w:rPr>
        <w:t> </w:t>
      </w:r>
      <w:r>
        <w:rPr/>
        <w:t>en</w:t>
      </w:r>
      <w:r>
        <w:rPr>
          <w:spacing w:val="29"/>
        </w:rPr>
        <w:t> </w:t>
      </w:r>
      <w:r>
        <w:rPr/>
        <w:t>un</w:t>
      </w:r>
      <w:r>
        <w:rPr>
          <w:spacing w:val="28"/>
        </w:rPr>
        <w:t> </w:t>
      </w:r>
      <w:r>
        <w:rPr/>
        <w:t>dieciséis sesenta y seis por ciento como salario del día de descanso.</w:t>
      </w:r>
    </w:p>
    <w:p>
      <w:pPr>
        <w:pStyle w:val="BodyText"/>
        <w:spacing w:before="227"/>
        <w:ind w:left="338" w:firstLine="288"/>
      </w:pPr>
      <w:r>
        <w:rPr/>
        <w:t>Asimismo,</w:t>
      </w:r>
      <w:r>
        <w:rPr>
          <w:spacing w:val="40"/>
        </w:rPr>
        <w:t> </w:t>
      </w:r>
      <w:r>
        <w:rPr/>
        <w:t>se</w:t>
      </w:r>
      <w:r>
        <w:rPr>
          <w:spacing w:val="40"/>
        </w:rPr>
        <w:t> </w:t>
      </w:r>
      <w:r>
        <w:rPr/>
        <w:t>aumentará</w:t>
      </w:r>
      <w:r>
        <w:rPr>
          <w:spacing w:val="63"/>
        </w:rPr>
        <w:t> </w:t>
      </w:r>
      <w:r>
        <w:rPr/>
        <w:t>el</w:t>
      </w:r>
      <w:r>
        <w:rPr>
          <w:spacing w:val="40"/>
        </w:rPr>
        <w:t> </w:t>
      </w:r>
      <w:r>
        <w:rPr/>
        <w:t>salario</w:t>
      </w:r>
      <w:r>
        <w:rPr>
          <w:spacing w:val="40"/>
        </w:rPr>
        <w:t> </w:t>
      </w:r>
      <w:r>
        <w:rPr/>
        <w:t>diario,</w:t>
      </w:r>
      <w:r>
        <w:rPr>
          <w:spacing w:val="40"/>
        </w:rPr>
        <w:t> </w:t>
      </w:r>
      <w:r>
        <w:rPr/>
        <w:t>en</w:t>
      </w:r>
      <w:r>
        <w:rPr>
          <w:spacing w:val="63"/>
        </w:rPr>
        <w:t> </w:t>
      </w:r>
      <w:r>
        <w:rPr/>
        <w:t>la</w:t>
      </w:r>
      <w:r>
        <w:rPr>
          <w:spacing w:val="63"/>
        </w:rPr>
        <w:t> </w:t>
      </w:r>
      <w:r>
        <w:rPr/>
        <w:t>proporción</w:t>
      </w:r>
      <w:r>
        <w:rPr>
          <w:spacing w:val="40"/>
        </w:rPr>
        <w:t> </w:t>
      </w:r>
      <w:r>
        <w:rPr/>
        <w:t>que</w:t>
      </w:r>
      <w:r>
        <w:rPr>
          <w:spacing w:val="40"/>
        </w:rPr>
        <w:t> </w:t>
      </w:r>
      <w:r>
        <w:rPr/>
        <w:t>corresponda,</w:t>
      </w:r>
      <w:r>
        <w:rPr>
          <w:spacing w:val="40"/>
        </w:rPr>
        <w:t> </w:t>
      </w:r>
      <w:r>
        <w:rPr/>
        <w:t>para</w:t>
      </w:r>
      <w:r>
        <w:rPr>
          <w:spacing w:val="63"/>
        </w:rPr>
        <w:t> </w:t>
      </w:r>
      <w:r>
        <w:rPr/>
        <w:t>el</w:t>
      </w:r>
      <w:r>
        <w:rPr>
          <w:spacing w:val="62"/>
        </w:rPr>
        <w:t> </w:t>
      </w:r>
      <w:r>
        <w:rPr/>
        <w:t>pago</w:t>
      </w:r>
      <w:r>
        <w:rPr>
          <w:spacing w:val="63"/>
        </w:rPr>
        <w:t> </w:t>
      </w:r>
      <w:r>
        <w:rPr/>
        <w:t>de </w:t>
      </w:r>
      <w:r>
        <w:rPr>
          <w:spacing w:val="-2"/>
        </w:rPr>
        <w:t>vacaciones.</w:t>
      </w:r>
    </w:p>
    <w:p>
      <w:pPr>
        <w:pStyle w:val="BodyText"/>
        <w:spacing w:line="242" w:lineRule="auto" w:before="229"/>
        <w:ind w:left="338" w:firstLine="288"/>
      </w:pPr>
      <w:bookmarkStart w:name="Artículo_273" w:id="320"/>
      <w:bookmarkEnd w:id="320"/>
      <w:r>
        <w:rPr/>
      </w:r>
      <w:r>
        <w:rPr>
          <w:rFonts w:ascii="Arial" w:hAnsi="Arial"/>
          <w:b/>
        </w:rPr>
        <w:t>Artículo</w:t>
      </w:r>
      <w:r>
        <w:rPr>
          <w:rFonts w:ascii="Arial" w:hAnsi="Arial"/>
          <w:b/>
          <w:spacing w:val="-1"/>
        </w:rPr>
        <w:t> </w:t>
      </w:r>
      <w:r>
        <w:rPr>
          <w:rFonts w:ascii="Arial" w:hAnsi="Arial"/>
          <w:b/>
        </w:rPr>
        <w:t>273.-</w:t>
      </w:r>
      <w:r>
        <w:rPr>
          <w:rFonts w:ascii="Arial" w:hAnsi="Arial"/>
          <w:b/>
          <w:spacing w:val="-1"/>
        </w:rPr>
        <w:t> </w:t>
      </w:r>
      <w:r>
        <w:rPr/>
        <w:t>En</w:t>
      </w:r>
      <w:r>
        <w:rPr>
          <w:spacing w:val="-2"/>
        </w:rPr>
        <w:t> </w:t>
      </w:r>
      <w:r>
        <w:rPr/>
        <w:t>la</w:t>
      </w:r>
      <w:r>
        <w:rPr>
          <w:spacing w:val="-2"/>
        </w:rPr>
        <w:t> </w:t>
      </w:r>
      <w:r>
        <w:rPr/>
        <w:t>determinación</w:t>
      </w:r>
      <w:r>
        <w:rPr>
          <w:spacing w:val="-3"/>
        </w:rPr>
        <w:t> </w:t>
      </w:r>
      <w:r>
        <w:rPr/>
        <w:t>de</w:t>
      </w:r>
      <w:r>
        <w:rPr>
          <w:spacing w:val="-3"/>
        </w:rPr>
        <w:t> </w:t>
      </w:r>
      <w:r>
        <w:rPr/>
        <w:t>la</w:t>
      </w:r>
      <w:r>
        <w:rPr>
          <w:spacing w:val="-2"/>
        </w:rPr>
        <w:t> </w:t>
      </w:r>
      <w:r>
        <w:rPr/>
        <w:t>antigüedad</w:t>
      </w:r>
      <w:r>
        <w:rPr>
          <w:spacing w:val="-2"/>
        </w:rPr>
        <w:t> </w:t>
      </w:r>
      <w:r>
        <w:rPr/>
        <w:t>de</w:t>
      </w:r>
      <w:r>
        <w:rPr>
          <w:spacing w:val="-3"/>
        </w:rPr>
        <w:t> </w:t>
      </w:r>
      <w:r>
        <w:rPr/>
        <w:t>los</w:t>
      </w:r>
      <w:r>
        <w:rPr>
          <w:spacing w:val="-1"/>
        </w:rPr>
        <w:t> </w:t>
      </w:r>
      <w:r>
        <w:rPr/>
        <w:t>trabajadores, y</w:t>
      </w:r>
      <w:r>
        <w:rPr>
          <w:spacing w:val="-5"/>
        </w:rPr>
        <w:t> </w:t>
      </w:r>
      <w:r>
        <w:rPr/>
        <w:t>del</w:t>
      </w:r>
      <w:r>
        <w:rPr>
          <w:spacing w:val="-3"/>
        </w:rPr>
        <w:t> </w:t>
      </w:r>
      <w:r>
        <w:rPr/>
        <w:t>orden</w:t>
      </w:r>
      <w:r>
        <w:rPr>
          <w:spacing w:val="-2"/>
        </w:rPr>
        <w:t> </w:t>
      </w:r>
      <w:r>
        <w:rPr/>
        <w:t>en</w:t>
      </w:r>
      <w:r>
        <w:rPr>
          <w:spacing w:val="-2"/>
        </w:rPr>
        <w:t> </w:t>
      </w:r>
      <w:r>
        <w:rPr/>
        <w:t>que</w:t>
      </w:r>
      <w:r>
        <w:rPr>
          <w:spacing w:val="-2"/>
        </w:rPr>
        <w:t> </w:t>
      </w:r>
      <w:r>
        <w:rPr/>
        <w:t>deben</w:t>
      </w:r>
      <w:r>
        <w:rPr>
          <w:spacing w:val="-2"/>
        </w:rPr>
        <w:t> </w:t>
      </w:r>
      <w:r>
        <w:rPr/>
        <w:t>ser utilizados sus servicios, se observarán las normas siguientes:</w:t>
      </w:r>
    </w:p>
    <w:p>
      <w:pPr>
        <w:pStyle w:val="ListParagraph"/>
        <w:numPr>
          <w:ilvl w:val="0"/>
          <w:numId w:val="65"/>
        </w:numPr>
        <w:tabs>
          <w:tab w:pos="1193" w:val="left" w:leader="none"/>
          <w:tab w:pos="1195" w:val="left" w:leader="none"/>
        </w:tabs>
        <w:spacing w:line="242" w:lineRule="auto" w:before="224" w:after="0"/>
        <w:ind w:left="1195" w:right="345" w:hanging="569"/>
        <w:jc w:val="both"/>
        <w:rPr>
          <w:sz w:val="20"/>
        </w:rPr>
      </w:pPr>
      <w:r>
        <w:rPr>
          <w:sz w:val="20"/>
        </w:rPr>
        <w:t>La antigüedad se computará a partir de la fecha en que principió el trabajador a prestar sus servicios al patrón;</w:t>
      </w:r>
    </w:p>
    <w:p>
      <w:pPr>
        <w:pStyle w:val="ListParagraph"/>
        <w:numPr>
          <w:ilvl w:val="0"/>
          <w:numId w:val="65"/>
        </w:numPr>
        <w:tabs>
          <w:tab w:pos="1192" w:val="left" w:leader="none"/>
          <w:tab w:pos="1195" w:val="left" w:leader="none"/>
        </w:tabs>
        <w:spacing w:line="240" w:lineRule="auto" w:before="227" w:after="0"/>
        <w:ind w:left="1195" w:right="344" w:hanging="569"/>
        <w:jc w:val="both"/>
        <w:rPr>
          <w:sz w:val="20"/>
        </w:rPr>
      </w:pPr>
      <w:r>
        <w:rPr>
          <w:sz w:val="20"/>
        </w:rPr>
        <w:t>En los contratos colectivos podrá establecerse la antigüedad de cada trabajador. El trabajador inconforme podrá solicitar al Tribunal que rectifique su antigüedad. Si no existen contratos colectivos o falta en ellos la determinación, la antigüedad se fijará de conformidad con lo dispuesto en el artículo 158, y</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65"/>
        </w:numPr>
        <w:tabs>
          <w:tab w:pos="1191" w:val="left" w:leader="none"/>
          <w:tab w:pos="1195" w:val="left" w:leader="none"/>
        </w:tabs>
        <w:spacing w:line="240" w:lineRule="auto" w:before="0" w:after="0"/>
        <w:ind w:left="1195" w:right="341" w:hanging="569"/>
        <w:jc w:val="both"/>
        <w:rPr>
          <w:sz w:val="20"/>
        </w:rPr>
      </w:pPr>
      <w:r>
        <w:rPr>
          <w:sz w:val="20"/>
        </w:rPr>
        <w:t>La distribución del trabajo se hará de conformidad con la antigüedad que corresponda a cada trabajador. En los contratos colectivos se determinarán las modalidades que se estime conveniente para la distribución del trabajo.</w:t>
      </w:r>
    </w:p>
    <w:p>
      <w:pPr>
        <w:pStyle w:val="BodyText"/>
        <w:spacing w:line="242" w:lineRule="auto" w:before="229"/>
        <w:ind w:left="338" w:right="341" w:firstLine="288"/>
        <w:jc w:val="both"/>
      </w:pPr>
      <w:bookmarkStart w:name="Artículo_274" w:id="321"/>
      <w:bookmarkEnd w:id="321"/>
      <w:r>
        <w:rPr/>
      </w:r>
      <w:r>
        <w:rPr>
          <w:rFonts w:ascii="Arial" w:hAnsi="Arial"/>
          <w:b/>
        </w:rPr>
        <w:t>Artículo 274.- </w:t>
      </w:r>
      <w:r>
        <w:rPr/>
        <w:t>Los sindicatos proporcionarán a los patrones una lista pormenorizada que contenga el nombre y la categoría de los trabajadores que deben realizar las maniobras, en cada caso.</w:t>
      </w:r>
    </w:p>
    <w:p>
      <w:pPr>
        <w:pStyle w:val="BodyText"/>
        <w:spacing w:line="242" w:lineRule="auto" w:before="225"/>
        <w:ind w:left="338" w:right="343" w:firstLine="288"/>
        <w:jc w:val="both"/>
      </w:pPr>
      <w:bookmarkStart w:name="Artículo_275" w:id="322"/>
      <w:bookmarkEnd w:id="322"/>
      <w:r>
        <w:rPr/>
      </w:r>
      <w:r>
        <w:rPr>
          <w:rFonts w:ascii="Arial" w:hAnsi="Arial"/>
          <w:b/>
        </w:rPr>
        <w:t>Artículo 275.- </w:t>
      </w:r>
      <w:r>
        <w:rPr/>
        <w:t>Los trabajadores no pueden hacerse substituir en la prestación del servicio. Si se quebranta esta prohibición, el substituto tiene derecho a que se le pague la totalidad del salario que corresponda al trabajo desempeñado y a que el pago se haga de conformidad con lo dispuesto en el artículo 100.</w:t>
      </w:r>
    </w:p>
    <w:p>
      <w:pPr>
        <w:pStyle w:val="BodyText"/>
        <w:spacing w:before="223"/>
        <w:ind w:left="338" w:right="343" w:firstLine="288"/>
        <w:jc w:val="both"/>
      </w:pPr>
      <w:bookmarkStart w:name="Artículo_276" w:id="323"/>
      <w:bookmarkEnd w:id="323"/>
      <w:r>
        <w:rPr/>
      </w:r>
      <w:r>
        <w:rPr>
          <w:rFonts w:ascii="Arial" w:hAnsi="Arial"/>
          <w:b/>
        </w:rPr>
        <w:t>Artículo 276.- </w:t>
      </w:r>
      <w:r>
        <w:rPr/>
        <w:t>Para el</w:t>
      </w:r>
      <w:r>
        <w:rPr>
          <w:spacing w:val="-1"/>
        </w:rPr>
        <w:t> </w:t>
      </w:r>
      <w:r>
        <w:rPr/>
        <w:t>pago</w:t>
      </w:r>
      <w:r>
        <w:rPr>
          <w:spacing w:val="-2"/>
        </w:rPr>
        <w:t> </w:t>
      </w:r>
      <w:r>
        <w:rPr/>
        <w:t>de indemnizaciones en los</w:t>
      </w:r>
      <w:r>
        <w:rPr>
          <w:spacing w:val="-1"/>
        </w:rPr>
        <w:t> </w:t>
      </w:r>
      <w:r>
        <w:rPr/>
        <w:t>casos</w:t>
      </w:r>
      <w:r>
        <w:rPr>
          <w:spacing w:val="-1"/>
        </w:rPr>
        <w:t> </w:t>
      </w:r>
      <w:r>
        <w:rPr/>
        <w:t>de riesgos</w:t>
      </w:r>
      <w:r>
        <w:rPr>
          <w:spacing w:val="-1"/>
        </w:rPr>
        <w:t> </w:t>
      </w:r>
      <w:r>
        <w:rPr/>
        <w:t>de</w:t>
      </w:r>
      <w:r>
        <w:rPr>
          <w:spacing w:val="-2"/>
        </w:rPr>
        <w:t> </w:t>
      </w:r>
      <w:r>
        <w:rPr/>
        <w:t>trabajo,</w:t>
      </w:r>
      <w:r>
        <w:rPr>
          <w:spacing w:val="-2"/>
        </w:rPr>
        <w:t> </w:t>
      </w:r>
      <w:r>
        <w:rPr/>
        <w:t>se observarán las normas siguientes:</w:t>
      </w:r>
    </w:p>
    <w:p>
      <w:pPr>
        <w:pStyle w:val="ListParagraph"/>
        <w:numPr>
          <w:ilvl w:val="0"/>
          <w:numId w:val="66"/>
        </w:numPr>
        <w:tabs>
          <w:tab w:pos="816" w:val="left" w:leader="none"/>
        </w:tabs>
        <w:spacing w:line="242" w:lineRule="auto" w:before="229" w:after="0"/>
        <w:ind w:left="338" w:right="345" w:firstLine="288"/>
        <w:jc w:val="both"/>
        <w:rPr>
          <w:sz w:val="20"/>
        </w:rPr>
      </w:pPr>
      <w:r>
        <w:rPr>
          <w:sz w:val="20"/>
        </w:rPr>
        <w:t>Si el riesgo produce incapacidad, el pago se hará de conformidad con lo dispuesto en el artículo</w:t>
      </w:r>
      <w:r>
        <w:rPr>
          <w:spacing w:val="40"/>
          <w:sz w:val="20"/>
        </w:rPr>
        <w:t> </w:t>
      </w:r>
      <w:r>
        <w:rPr>
          <w:spacing w:val="-4"/>
          <w:sz w:val="20"/>
        </w:rPr>
        <w:t>483;</w:t>
      </w:r>
    </w:p>
    <w:p>
      <w:pPr>
        <w:pStyle w:val="ListParagraph"/>
        <w:numPr>
          <w:ilvl w:val="0"/>
          <w:numId w:val="66"/>
        </w:numPr>
        <w:tabs>
          <w:tab w:pos="844" w:val="left" w:leader="none"/>
        </w:tabs>
        <w:spacing w:line="240" w:lineRule="auto" w:before="224" w:after="0"/>
        <w:ind w:left="844" w:right="0" w:hanging="218"/>
        <w:jc w:val="left"/>
        <w:rPr>
          <w:sz w:val="20"/>
        </w:rPr>
      </w:pPr>
      <w:r>
        <w:rPr>
          <w:sz w:val="20"/>
        </w:rPr>
        <w:t>El</w:t>
      </w:r>
      <w:r>
        <w:rPr>
          <w:spacing w:val="-8"/>
          <w:sz w:val="20"/>
        </w:rPr>
        <w:t> </w:t>
      </w:r>
      <w:r>
        <w:rPr>
          <w:sz w:val="20"/>
        </w:rPr>
        <w:t>patrón</w:t>
      </w:r>
      <w:r>
        <w:rPr>
          <w:spacing w:val="-4"/>
          <w:sz w:val="20"/>
        </w:rPr>
        <w:t> </w:t>
      </w:r>
      <w:r>
        <w:rPr>
          <w:sz w:val="20"/>
        </w:rPr>
        <w:t>bajo</w:t>
      </w:r>
      <w:r>
        <w:rPr>
          <w:spacing w:val="-6"/>
          <w:sz w:val="20"/>
        </w:rPr>
        <w:t> </w:t>
      </w:r>
      <w:r>
        <w:rPr>
          <w:sz w:val="20"/>
        </w:rPr>
        <w:t>cuya</w:t>
      </w:r>
      <w:r>
        <w:rPr>
          <w:spacing w:val="-5"/>
          <w:sz w:val="20"/>
        </w:rPr>
        <w:t> </w:t>
      </w:r>
      <w:r>
        <w:rPr>
          <w:sz w:val="20"/>
        </w:rPr>
        <w:t>autoridad</w:t>
      </w:r>
      <w:r>
        <w:rPr>
          <w:spacing w:val="-6"/>
          <w:sz w:val="20"/>
        </w:rPr>
        <w:t> </w:t>
      </w:r>
      <w:r>
        <w:rPr>
          <w:sz w:val="20"/>
        </w:rPr>
        <w:t>se</w:t>
      </w:r>
      <w:r>
        <w:rPr>
          <w:spacing w:val="-6"/>
          <w:sz w:val="20"/>
        </w:rPr>
        <w:t> </w:t>
      </w:r>
      <w:r>
        <w:rPr>
          <w:sz w:val="20"/>
        </w:rPr>
        <w:t>prestó</w:t>
      </w:r>
      <w:r>
        <w:rPr>
          <w:spacing w:val="-7"/>
          <w:sz w:val="20"/>
        </w:rPr>
        <w:t> </w:t>
      </w:r>
      <w:r>
        <w:rPr>
          <w:sz w:val="20"/>
        </w:rPr>
        <w:t>el</w:t>
      </w:r>
      <w:r>
        <w:rPr>
          <w:spacing w:val="-7"/>
          <w:sz w:val="20"/>
        </w:rPr>
        <w:t> </w:t>
      </w:r>
      <w:r>
        <w:rPr>
          <w:sz w:val="20"/>
        </w:rPr>
        <w:t>trabajo,</w:t>
      </w:r>
      <w:r>
        <w:rPr>
          <w:spacing w:val="-6"/>
          <w:sz w:val="20"/>
        </w:rPr>
        <w:t> </w:t>
      </w:r>
      <w:r>
        <w:rPr>
          <w:sz w:val="20"/>
        </w:rPr>
        <w:t>será</w:t>
      </w:r>
      <w:r>
        <w:rPr>
          <w:spacing w:val="-6"/>
          <w:sz w:val="20"/>
        </w:rPr>
        <w:t> </w:t>
      </w:r>
      <w:r>
        <w:rPr>
          <w:sz w:val="20"/>
        </w:rPr>
        <w:t>responsable</w:t>
      </w:r>
      <w:r>
        <w:rPr>
          <w:spacing w:val="-7"/>
          <w:sz w:val="20"/>
        </w:rPr>
        <w:t> </w:t>
      </w:r>
      <w:r>
        <w:rPr>
          <w:sz w:val="20"/>
        </w:rPr>
        <w:t>de</w:t>
      </w:r>
      <w:r>
        <w:rPr>
          <w:spacing w:val="-1"/>
          <w:sz w:val="20"/>
        </w:rPr>
        <w:t> </w:t>
      </w:r>
      <w:r>
        <w:rPr>
          <w:sz w:val="20"/>
        </w:rPr>
        <w:t>los</w:t>
      </w:r>
      <w:r>
        <w:rPr>
          <w:spacing w:val="-5"/>
          <w:sz w:val="20"/>
        </w:rPr>
        <w:t> </w:t>
      </w:r>
      <w:r>
        <w:rPr>
          <w:sz w:val="20"/>
        </w:rPr>
        <w:t>accidentes</w:t>
      </w:r>
      <w:r>
        <w:rPr>
          <w:spacing w:val="-5"/>
          <w:sz w:val="20"/>
        </w:rPr>
        <w:t> </w:t>
      </w:r>
      <w:r>
        <w:rPr>
          <w:sz w:val="20"/>
        </w:rPr>
        <w:t>de</w:t>
      </w:r>
      <w:r>
        <w:rPr>
          <w:spacing w:val="-8"/>
          <w:sz w:val="20"/>
        </w:rPr>
        <w:t> </w:t>
      </w:r>
      <w:r>
        <w:rPr>
          <w:sz w:val="20"/>
        </w:rPr>
        <w:t>trabajo;</w:t>
      </w:r>
      <w:r>
        <w:rPr>
          <w:spacing w:val="-2"/>
          <w:sz w:val="20"/>
        </w:rPr>
        <w:t> </w:t>
      </w:r>
      <w:r>
        <w:rPr>
          <w:spacing w:val="-10"/>
          <w:sz w:val="20"/>
        </w:rPr>
        <w:t>y</w:t>
      </w:r>
    </w:p>
    <w:p>
      <w:pPr>
        <w:pStyle w:val="BodyText"/>
        <w:spacing w:before="1"/>
      </w:pPr>
    </w:p>
    <w:p>
      <w:pPr>
        <w:pStyle w:val="ListParagraph"/>
        <w:numPr>
          <w:ilvl w:val="0"/>
          <w:numId w:val="66"/>
        </w:numPr>
        <w:tabs>
          <w:tab w:pos="954" w:val="left" w:leader="none"/>
        </w:tabs>
        <w:spacing w:line="242" w:lineRule="auto" w:before="0" w:after="0"/>
        <w:ind w:left="338" w:right="347" w:firstLine="288"/>
        <w:jc w:val="both"/>
        <w:rPr>
          <w:sz w:val="20"/>
        </w:rPr>
      </w:pPr>
      <w:r>
        <w:rPr>
          <w:sz w:val="20"/>
        </w:rPr>
        <w:t>Si se trata de enfermedades de trabajo, cada patrón que hubiese utilizado los servicios del trabajador durante 90 días, por lo menos, en los tres años anteriores a la fecha en que se determine el grado de incapacidad para el trabajo, contribuirá en la proporción en que hubiese utilizado los servicios.</w:t>
      </w:r>
    </w:p>
    <w:p>
      <w:pPr>
        <w:pStyle w:val="BodyText"/>
        <w:spacing w:before="225"/>
        <w:ind w:left="338" w:right="341" w:firstLine="288"/>
        <w:jc w:val="both"/>
      </w:pPr>
      <w:r>
        <w:rPr/>
        <w:t>El</w:t>
      </w:r>
      <w:r>
        <w:rPr>
          <w:spacing w:val="-3"/>
        </w:rPr>
        <w:t> </w:t>
      </w:r>
      <w:r>
        <w:rPr/>
        <w:t>trabajador</w:t>
      </w:r>
      <w:r>
        <w:rPr>
          <w:spacing w:val="-1"/>
        </w:rPr>
        <w:t> </w:t>
      </w:r>
      <w:r>
        <w:rPr/>
        <w:t>podrá</w:t>
      </w:r>
      <w:r>
        <w:rPr>
          <w:spacing w:val="-2"/>
        </w:rPr>
        <w:t> </w:t>
      </w:r>
      <w:r>
        <w:rPr/>
        <w:t>ejercitar</w:t>
      </w:r>
      <w:r>
        <w:rPr>
          <w:spacing w:val="-1"/>
        </w:rPr>
        <w:t> </w:t>
      </w:r>
      <w:r>
        <w:rPr/>
        <w:t>la</w:t>
      </w:r>
      <w:r>
        <w:rPr>
          <w:spacing w:val="-2"/>
        </w:rPr>
        <w:t> </w:t>
      </w:r>
      <w:r>
        <w:rPr/>
        <w:t>acción</w:t>
      </w:r>
      <w:r>
        <w:rPr>
          <w:spacing w:val="-3"/>
        </w:rPr>
        <w:t> </w:t>
      </w:r>
      <w:r>
        <w:rPr/>
        <w:t>de</w:t>
      </w:r>
      <w:r>
        <w:rPr>
          <w:spacing w:val="-3"/>
        </w:rPr>
        <w:t> </w:t>
      </w:r>
      <w:r>
        <w:rPr/>
        <w:t>pago</w:t>
      </w:r>
      <w:r>
        <w:rPr>
          <w:spacing w:val="-2"/>
        </w:rPr>
        <w:t> </w:t>
      </w:r>
      <w:r>
        <w:rPr/>
        <w:t>de</w:t>
      </w:r>
      <w:r>
        <w:rPr>
          <w:spacing w:val="-2"/>
        </w:rPr>
        <w:t> </w:t>
      </w:r>
      <w:r>
        <w:rPr/>
        <w:t>la indemnización</w:t>
      </w:r>
      <w:r>
        <w:rPr>
          <w:spacing w:val="-3"/>
        </w:rPr>
        <w:t> </w:t>
      </w:r>
      <w:r>
        <w:rPr/>
        <w:t>contra</w:t>
      </w:r>
      <w:r>
        <w:rPr>
          <w:spacing w:val="-2"/>
        </w:rPr>
        <w:t> </w:t>
      </w:r>
      <w:r>
        <w:rPr/>
        <w:t>cualquiera</w:t>
      </w:r>
      <w:r>
        <w:rPr>
          <w:spacing w:val="-2"/>
        </w:rPr>
        <w:t> </w:t>
      </w:r>
      <w:r>
        <w:rPr/>
        <w:t>de</w:t>
      </w:r>
      <w:r>
        <w:rPr>
          <w:spacing w:val="-3"/>
        </w:rPr>
        <w:t> </w:t>
      </w:r>
      <w:r>
        <w:rPr/>
        <w:t>los</w:t>
      </w:r>
      <w:r>
        <w:rPr>
          <w:spacing w:val="-1"/>
        </w:rPr>
        <w:t> </w:t>
      </w:r>
      <w:r>
        <w:rPr/>
        <w:t>patrones</w:t>
      </w:r>
      <w:r>
        <w:rPr>
          <w:spacing w:val="-1"/>
        </w:rPr>
        <w:t> </w:t>
      </w:r>
      <w:r>
        <w:rPr/>
        <w:t>a que se refiere el párrafo anterior, pero el demandado podrá llamar a juicio a los demás o repetir contra </w:t>
      </w:r>
      <w:r>
        <w:rPr>
          <w:spacing w:val="-2"/>
        </w:rPr>
        <w:t>ellos.</w:t>
      </w:r>
    </w:p>
    <w:p>
      <w:pPr>
        <w:pStyle w:val="BodyText"/>
        <w:spacing w:before="229"/>
        <w:ind w:left="338" w:right="343" w:firstLine="288"/>
        <w:jc w:val="both"/>
      </w:pPr>
      <w:bookmarkStart w:name="Artículo_277" w:id="324"/>
      <w:bookmarkEnd w:id="324"/>
      <w:r>
        <w:rPr/>
      </w:r>
      <w:r>
        <w:rPr>
          <w:rFonts w:ascii="Arial" w:hAnsi="Arial"/>
          <w:b/>
        </w:rPr>
        <w:t>Artículo 277.- </w:t>
      </w:r>
      <w:r>
        <w:rPr/>
        <w:t>En los contratos colectivos podrá estipularse que los patrones cubran un porcentaje sobre los salarios, a fin de que se constituya un fondo de pensiones de jubilación o de invalidez que no sea consecuencia de un riesgo de trabajo. En los estatutos del sindicato o en un reglamento especial aprobado por la asamblea, se determinarán los requisitos para el otorgamiento de las pensiones.</w:t>
      </w:r>
    </w:p>
    <w:p>
      <w:pPr>
        <w:pStyle w:val="BodyText"/>
        <w:spacing w:after="0"/>
        <w:jc w:val="both"/>
        <w:sectPr>
          <w:pgSz w:w="12240" w:h="15840"/>
          <w:pgMar w:header="724" w:footer="712" w:top="1880" w:bottom="900" w:left="1080" w:right="1080"/>
        </w:sectPr>
      </w:pPr>
    </w:p>
    <w:p>
      <w:pPr>
        <w:pStyle w:val="BodyText"/>
      </w:pPr>
    </w:p>
    <w:p>
      <w:pPr>
        <w:pStyle w:val="BodyText"/>
        <w:spacing w:before="66"/>
      </w:pPr>
    </w:p>
    <w:p>
      <w:pPr>
        <w:pStyle w:val="BodyText"/>
        <w:ind w:left="338" w:right="337" w:firstLine="288"/>
        <w:jc w:val="both"/>
      </w:pPr>
      <w:r>
        <w:rPr/>
        <w:t>Las cantidades correspondientes se entregarán por los patrones al Instituto Mexicano del Seguro Social y en caso de que éste no acepte, a la institución bancaria que se señale en el contrato colectivo.</w:t>
      </w:r>
      <w:r>
        <w:rPr>
          <w:spacing w:val="40"/>
        </w:rPr>
        <w:t> </w:t>
      </w:r>
      <w:r>
        <w:rPr/>
        <w:t>La institución cubrirá las pensiones previa aprobación del Tribunal.</w:t>
      </w:r>
    </w:p>
    <w:p>
      <w:pPr>
        <w:spacing w:line="183"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39" w:firstLine="288"/>
        <w:jc w:val="both"/>
      </w:pPr>
      <w:bookmarkStart w:name="Artículo_278" w:id="325"/>
      <w:bookmarkEnd w:id="325"/>
      <w:r>
        <w:rPr/>
      </w:r>
      <w:r>
        <w:rPr>
          <w:rFonts w:ascii="Arial" w:hAnsi="Arial"/>
          <w:b/>
        </w:rPr>
        <w:t>Artículo 278.- </w:t>
      </w:r>
      <w:r>
        <w:rPr/>
        <w:t>En los contratos colectivos podrá estipularse la constitución de un fondo afecto al pago de responsabilidades por concepto de pérdidas o averías. La cantidad correspondiente se entregará a la institución bancaria nacional que se señale en el contrato colectivo, la que cubrirá los pagos correspondientes por convenio entre el sindicato y el patrón, o mediante resolución del Tribunal.</w:t>
      </w:r>
    </w:p>
    <w:p>
      <w:pPr>
        <w:spacing w:line="174"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338" w:right="333" w:firstLine="288"/>
        <w:jc w:val="both"/>
      </w:pPr>
      <w:r>
        <w:rPr/>
        <w:t>Alcanzado el monto del fondo, no se harán nuevas aportaciones, salvo para reponer las cantidades que se paguen.</w:t>
      </w:r>
    </w:p>
    <w:p>
      <w:pPr>
        <w:pStyle w:val="Heading1"/>
        <w:spacing w:line="252" w:lineRule="exact" w:before="227"/>
        <w:ind w:left="298"/>
      </w:pPr>
      <w:r>
        <w:rPr/>
        <w:t>CAPITULO</w:t>
      </w:r>
      <w:r>
        <w:rPr>
          <w:spacing w:val="-9"/>
        </w:rPr>
        <w:t> </w:t>
      </w:r>
      <w:r>
        <w:rPr>
          <w:spacing w:val="-4"/>
        </w:rPr>
        <w:t>VIII</w:t>
      </w:r>
    </w:p>
    <w:p>
      <w:pPr>
        <w:pStyle w:val="Heading2"/>
        <w:spacing w:line="252" w:lineRule="exact"/>
        <w:ind w:left="301"/>
      </w:pPr>
      <w:r>
        <w:rPr/>
        <w:t>Personas</w:t>
      </w:r>
      <w:r>
        <w:rPr>
          <w:spacing w:val="-9"/>
        </w:rPr>
        <w:t> </w:t>
      </w:r>
      <w:r>
        <w:rPr/>
        <w:t>Trabajadoras</w:t>
      </w:r>
      <w:r>
        <w:rPr>
          <w:spacing w:val="-6"/>
        </w:rPr>
        <w:t> </w:t>
      </w:r>
      <w:r>
        <w:rPr/>
        <w:t>del</w:t>
      </w:r>
      <w:r>
        <w:rPr>
          <w:spacing w:val="-7"/>
        </w:rPr>
        <w:t> </w:t>
      </w:r>
      <w:r>
        <w:rPr>
          <w:spacing w:val="-2"/>
        </w:rPr>
        <w:t>Campo</w:t>
      </w:r>
    </w:p>
    <w:p>
      <w:pPr>
        <w:spacing w:before="1"/>
        <w:ind w:left="609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338" w:right="344" w:firstLine="288"/>
        <w:jc w:val="both"/>
      </w:pPr>
      <w:bookmarkStart w:name="Artículo_279" w:id="326"/>
      <w:bookmarkEnd w:id="326"/>
      <w:r>
        <w:rPr/>
      </w:r>
      <w:r>
        <w:rPr>
          <w:rFonts w:ascii="Arial" w:hAnsi="Arial"/>
          <w:b/>
        </w:rPr>
        <w:t>Artículo</w:t>
      </w:r>
      <w:r>
        <w:rPr>
          <w:rFonts w:ascii="Arial" w:hAnsi="Arial"/>
          <w:b/>
          <w:spacing w:val="-2"/>
        </w:rPr>
        <w:t> </w:t>
      </w:r>
      <w:r>
        <w:rPr>
          <w:rFonts w:ascii="Arial" w:hAnsi="Arial"/>
          <w:b/>
        </w:rPr>
        <w:t>279.</w:t>
      </w:r>
      <w:r>
        <w:rPr>
          <w:rFonts w:ascii="Arial" w:hAnsi="Arial"/>
          <w:b/>
          <w:spacing w:val="-2"/>
        </w:rPr>
        <w:t> </w:t>
      </w:r>
      <w:r>
        <w:rPr/>
        <w:t>Personas</w:t>
      </w:r>
      <w:r>
        <w:rPr>
          <w:spacing w:val="-2"/>
        </w:rPr>
        <w:t> </w:t>
      </w:r>
      <w:r>
        <w:rPr/>
        <w:t>trabajadoras</w:t>
      </w:r>
      <w:r>
        <w:rPr>
          <w:spacing w:val="-1"/>
        </w:rPr>
        <w:t> </w:t>
      </w:r>
      <w:r>
        <w:rPr/>
        <w:t>del</w:t>
      </w:r>
      <w:r>
        <w:rPr>
          <w:spacing w:val="-4"/>
        </w:rPr>
        <w:t> </w:t>
      </w:r>
      <w:r>
        <w:rPr/>
        <w:t>campo</w:t>
      </w:r>
      <w:r>
        <w:rPr>
          <w:spacing w:val="-4"/>
        </w:rPr>
        <w:t> </w:t>
      </w:r>
      <w:r>
        <w:rPr/>
        <w:t>son</w:t>
      </w:r>
      <w:r>
        <w:rPr>
          <w:spacing w:val="-4"/>
        </w:rPr>
        <w:t> </w:t>
      </w:r>
      <w:r>
        <w:rPr/>
        <w:t>las</w:t>
      </w:r>
      <w:r>
        <w:rPr>
          <w:spacing w:val="-2"/>
        </w:rPr>
        <w:t> </w:t>
      </w:r>
      <w:r>
        <w:rPr/>
        <w:t>personas</w:t>
      </w:r>
      <w:r>
        <w:rPr>
          <w:spacing w:val="-2"/>
        </w:rPr>
        <w:t> </w:t>
      </w:r>
      <w:r>
        <w:rPr/>
        <w:t>físicas</w:t>
      </w:r>
      <w:r>
        <w:rPr>
          <w:spacing w:val="-2"/>
        </w:rPr>
        <w:t> </w:t>
      </w:r>
      <w:r>
        <w:rPr/>
        <w:t>que</w:t>
      </w:r>
      <w:r>
        <w:rPr>
          <w:spacing w:val="-3"/>
        </w:rPr>
        <w:t> </w:t>
      </w:r>
      <w:r>
        <w:rPr/>
        <w:t>realizan</w:t>
      </w:r>
      <w:r>
        <w:rPr>
          <w:spacing w:val="-1"/>
        </w:rPr>
        <w:t> </w:t>
      </w:r>
      <w:r>
        <w:rPr/>
        <w:t>labores</w:t>
      </w:r>
      <w:r>
        <w:rPr>
          <w:spacing w:val="-1"/>
        </w:rPr>
        <w:t> </w:t>
      </w:r>
      <w:r>
        <w:rPr/>
        <w:t>dirigidas a la obtención de alimentos o productos primarios a través de la realización de diversas tareas agrícolas, hortícolas, ganaderas, forestales, acuícolas, avícolas, apícolas u otras semejantes, siempre que éstas no sean sometidas a algún tipo de proceso industrial y en tanto se desarrollen en ámbitos rurales.</w:t>
      </w:r>
    </w:p>
    <w:p>
      <w:pPr>
        <w:pStyle w:val="BodyText"/>
        <w:spacing w:before="2"/>
      </w:pPr>
    </w:p>
    <w:p>
      <w:pPr>
        <w:pStyle w:val="BodyText"/>
        <w:ind w:left="338" w:right="342" w:firstLine="288"/>
        <w:jc w:val="both"/>
      </w:pPr>
      <w:r>
        <w:rPr/>
        <w:t>No se considerarán personas trabajadoras del campo quienes laboren en empresas agrícolas, hortícolas, ganaderas, forestales, acuícolas, avícolas, apícolas u otras semejantes que adquieran productos de medio rural, para realizar actividades de empaque, reempaque, exposición, venta o para su transformación a través de algún proceso que modifique su estado natural.</w:t>
      </w:r>
    </w:p>
    <w:p>
      <w:pPr>
        <w:pStyle w:val="BodyText"/>
      </w:pPr>
    </w:p>
    <w:p>
      <w:pPr>
        <w:pStyle w:val="BodyText"/>
        <w:ind w:left="626"/>
      </w:pPr>
      <w:r>
        <w:rPr/>
        <w:t>Las</w:t>
      </w:r>
      <w:r>
        <w:rPr>
          <w:spacing w:val="-8"/>
        </w:rPr>
        <w:t> </w:t>
      </w:r>
      <w:r>
        <w:rPr/>
        <w:t>personas</w:t>
      </w:r>
      <w:r>
        <w:rPr>
          <w:spacing w:val="-8"/>
        </w:rPr>
        <w:t> </w:t>
      </w:r>
      <w:r>
        <w:rPr/>
        <w:t>trabajadoras</w:t>
      </w:r>
      <w:r>
        <w:rPr>
          <w:spacing w:val="-6"/>
        </w:rPr>
        <w:t> </w:t>
      </w:r>
      <w:r>
        <w:rPr/>
        <w:t>del</w:t>
      </w:r>
      <w:r>
        <w:rPr>
          <w:spacing w:val="-9"/>
        </w:rPr>
        <w:t> </w:t>
      </w:r>
      <w:r>
        <w:rPr/>
        <w:t>campo</w:t>
      </w:r>
      <w:r>
        <w:rPr>
          <w:spacing w:val="-9"/>
        </w:rPr>
        <w:t> </w:t>
      </w:r>
      <w:r>
        <w:rPr/>
        <w:t>podrán</w:t>
      </w:r>
      <w:r>
        <w:rPr>
          <w:spacing w:val="-9"/>
        </w:rPr>
        <w:t> </w:t>
      </w:r>
      <w:r>
        <w:rPr/>
        <w:t>ser</w:t>
      </w:r>
      <w:r>
        <w:rPr>
          <w:spacing w:val="-6"/>
        </w:rPr>
        <w:t> </w:t>
      </w:r>
      <w:r>
        <w:rPr/>
        <w:t>permanentes</w:t>
      </w:r>
      <w:r>
        <w:rPr>
          <w:spacing w:val="-7"/>
        </w:rPr>
        <w:t> </w:t>
      </w:r>
      <w:r>
        <w:rPr/>
        <w:t>o</w:t>
      </w:r>
      <w:r>
        <w:rPr>
          <w:spacing w:val="-10"/>
        </w:rPr>
        <w:t> </w:t>
      </w:r>
      <w:r>
        <w:rPr>
          <w:spacing w:val="-2"/>
        </w:rPr>
        <w:t>temporales.</w:t>
      </w:r>
    </w:p>
    <w:p>
      <w:pPr>
        <w:pStyle w:val="BodyText"/>
        <w:spacing w:before="1"/>
      </w:pPr>
    </w:p>
    <w:p>
      <w:pPr>
        <w:pStyle w:val="BodyText"/>
        <w:ind w:left="338" w:right="340" w:firstLine="288"/>
        <w:jc w:val="both"/>
      </w:pPr>
      <w:r>
        <w:rPr/>
        <w:t>Todas las personas trabajadoras del campo, cualquiera que sea la modalidad de contratación, tienen derecho a acceder a la seguridad social.</w:t>
      </w:r>
    </w:p>
    <w:p>
      <w:pPr>
        <w:spacing w:line="180"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line="242" w:lineRule="auto"/>
        <w:ind w:left="338" w:right="342" w:firstLine="288"/>
      </w:pPr>
      <w:bookmarkStart w:name="Artículo_279_Bis" w:id="327"/>
      <w:bookmarkEnd w:id="327"/>
      <w:r>
        <w:rPr/>
      </w:r>
      <w:r>
        <w:rPr>
          <w:rFonts w:ascii="Arial" w:hAnsi="Arial"/>
          <w:b/>
        </w:rPr>
        <w:t>Artículo 279 Bis.- </w:t>
      </w:r>
      <w:r>
        <w:rPr/>
        <w:t>Persona trabajadora del campo es aquella contratada por tiempo indeterminado, o la prestación de sus servicios es de forma continua.</w:t>
      </w:r>
    </w:p>
    <w:p>
      <w:pPr>
        <w:spacing w:line="178"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line="242" w:lineRule="auto"/>
        <w:ind w:left="338" w:right="337" w:firstLine="288"/>
        <w:jc w:val="both"/>
      </w:pPr>
      <w:bookmarkStart w:name="Artículo_279_Ter" w:id="328"/>
      <w:bookmarkEnd w:id="328"/>
      <w:r>
        <w:rPr/>
      </w:r>
      <w:r>
        <w:rPr>
          <w:rFonts w:ascii="Arial" w:hAnsi="Arial"/>
          <w:b/>
        </w:rPr>
        <w:t>Artículo 279 Ter.- </w:t>
      </w:r>
      <w:r>
        <w:rPr/>
        <w:t>La persona trabajadora del campo temporal es aquella persona que es contratada por obra, tiempo determinado o por temporada, conforme a la naturaleza o necesidades propias de las actividades comprendidas dentro de este Capítulo.</w:t>
      </w:r>
    </w:p>
    <w:p>
      <w:pPr>
        <w:pStyle w:val="BodyText"/>
        <w:spacing w:before="225"/>
        <w:ind w:left="338" w:right="343" w:firstLine="288"/>
        <w:jc w:val="both"/>
      </w:pPr>
      <w:r>
        <w:rPr/>
        <w:t>Este</w:t>
      </w:r>
      <w:r>
        <w:rPr>
          <w:spacing w:val="-3"/>
        </w:rPr>
        <w:t> </w:t>
      </w:r>
      <w:r>
        <w:rPr/>
        <w:t>esquema</w:t>
      </w:r>
      <w:r>
        <w:rPr>
          <w:spacing w:val="-3"/>
        </w:rPr>
        <w:t> </w:t>
      </w:r>
      <w:r>
        <w:rPr/>
        <w:t>de</w:t>
      </w:r>
      <w:r>
        <w:rPr>
          <w:spacing w:val="-4"/>
        </w:rPr>
        <w:t> </w:t>
      </w:r>
      <w:r>
        <w:rPr/>
        <w:t>trabajo</w:t>
      </w:r>
      <w:r>
        <w:rPr>
          <w:spacing w:val="-3"/>
        </w:rPr>
        <w:t> </w:t>
      </w:r>
      <w:r>
        <w:rPr/>
        <w:t>comprende</w:t>
      </w:r>
      <w:r>
        <w:rPr>
          <w:spacing w:val="-4"/>
        </w:rPr>
        <w:t> </w:t>
      </w:r>
      <w:r>
        <w:rPr/>
        <w:t>las</w:t>
      </w:r>
      <w:r>
        <w:rPr>
          <w:spacing w:val="-2"/>
        </w:rPr>
        <w:t> </w:t>
      </w:r>
      <w:r>
        <w:rPr/>
        <w:t>personas</w:t>
      </w:r>
      <w:r>
        <w:rPr>
          <w:spacing w:val="-2"/>
        </w:rPr>
        <w:t> </w:t>
      </w:r>
      <w:r>
        <w:rPr/>
        <w:t>trabajadoras</w:t>
      </w:r>
      <w:r>
        <w:rPr>
          <w:spacing w:val="-1"/>
        </w:rPr>
        <w:t> </w:t>
      </w:r>
      <w:r>
        <w:rPr/>
        <w:t>del</w:t>
      </w:r>
      <w:r>
        <w:rPr>
          <w:spacing w:val="-4"/>
        </w:rPr>
        <w:t> </w:t>
      </w:r>
      <w:r>
        <w:rPr/>
        <w:t>campo</w:t>
      </w:r>
      <w:r>
        <w:rPr>
          <w:spacing w:val="-4"/>
        </w:rPr>
        <w:t> </w:t>
      </w:r>
      <w:r>
        <w:rPr/>
        <w:t>denominados</w:t>
      </w:r>
      <w:r>
        <w:rPr>
          <w:spacing w:val="-2"/>
        </w:rPr>
        <w:t> </w:t>
      </w:r>
      <w:r>
        <w:rPr/>
        <w:t>estacionales, eventuales, jornaleras y jornaleras migrantes.</w:t>
      </w:r>
    </w:p>
    <w:p>
      <w:pPr>
        <w:spacing w:line="183"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43"/>
        <w:rPr>
          <w:rFonts w:ascii="Times New Roman"/>
          <w:i/>
          <w:sz w:val="16"/>
        </w:rPr>
      </w:pPr>
    </w:p>
    <w:p>
      <w:pPr>
        <w:pStyle w:val="BodyText"/>
        <w:spacing w:line="242" w:lineRule="auto"/>
        <w:ind w:left="338" w:right="339" w:firstLine="288"/>
        <w:jc w:val="both"/>
      </w:pPr>
      <w:bookmarkStart w:name="Artículo_279_Quáter" w:id="329"/>
      <w:bookmarkEnd w:id="329"/>
      <w:r>
        <w:rPr/>
      </w:r>
      <w:r>
        <w:rPr>
          <w:rFonts w:ascii="Arial" w:hAnsi="Arial"/>
          <w:b/>
        </w:rPr>
        <w:t>Artículo 279 Quáter.- </w:t>
      </w:r>
      <w:r>
        <w:rPr/>
        <w:t>La persona empleadora deberá llevar un padrón especial de las personas trabajadoras del campo temporales para registrar la acumulación del tiempo contratado, a fin de establecer la antigüedad en el trabajo y, con base en la suma de éste, calcular las prestaciones y derechos derivados del tiempo sumado de trabajo.</w:t>
      </w:r>
    </w:p>
    <w:p>
      <w:pPr>
        <w:spacing w:line="178"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01-05-2019.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2024</w:t>
      </w:r>
    </w:p>
    <w:p>
      <w:pPr>
        <w:spacing w:after="0" w:line="178" w:lineRule="exact"/>
        <w:jc w:val="lef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BodyText"/>
        <w:spacing w:line="242" w:lineRule="auto"/>
        <w:ind w:left="338" w:right="335" w:firstLine="288"/>
        <w:jc w:val="both"/>
      </w:pPr>
      <w:bookmarkStart w:name="Artículo_280" w:id="330"/>
      <w:bookmarkEnd w:id="330"/>
      <w:r>
        <w:rPr/>
      </w:r>
      <w:r>
        <w:rPr>
          <w:rFonts w:ascii="Arial" w:hAnsi="Arial"/>
          <w:b/>
        </w:rPr>
        <w:t>Artículo 280.- </w:t>
      </w:r>
      <w:r>
        <w:rPr/>
        <w:t>La persona trabajadora temporal del campo que labore en forma continua por un periodo mayor a veintisiete semanas para una o varias personas empleadoras, tiene a su favor la presunción de ser persona trabajadora del campo permanente.</w:t>
      </w:r>
    </w:p>
    <w:p>
      <w:pPr>
        <w:pStyle w:val="BodyText"/>
        <w:spacing w:before="227"/>
        <w:ind w:left="338" w:right="334" w:firstLine="288"/>
        <w:jc w:val="both"/>
      </w:pPr>
      <w:r>
        <w:rPr/>
        <w:t>La persona empleadora deberá llevar un registro especial de las personas trabajadoras del campo temporales que contrate cada año y exhibirlo ante las autoridades del trabajo cuando sea requerido para </w:t>
      </w:r>
      <w:r>
        <w:rPr>
          <w:spacing w:val="-2"/>
        </w:rPr>
        <w:t>ello.</w:t>
      </w:r>
    </w:p>
    <w:p>
      <w:pPr>
        <w:pStyle w:val="BodyText"/>
        <w:spacing w:before="229"/>
        <w:ind w:left="338" w:right="336" w:firstLine="288"/>
        <w:jc w:val="both"/>
      </w:pPr>
      <w:r>
        <w:rPr/>
        <w:t>Al final de la obra, el tiempo determinado o la temporada, la persona empleadora deberá pagar a la persona trabajadora del campo las partes proporcionales que correspondan por concepto de vacaciones, prima vacacional, aguinaldo y cualquier otra prestación a la que tenga derecho, y deberá entregar una constancia a cada persona trabajadora del campo en la que se señalen los días laborados y los salarios totales devengados, la antigüedad acumulada hasta esa fecha, así como las retenciones y aportaciones por concepto de seguridad social.</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45"/>
        <w:rPr>
          <w:rFonts w:ascii="Times New Roman"/>
          <w:i/>
          <w:sz w:val="16"/>
        </w:rPr>
      </w:pPr>
    </w:p>
    <w:p>
      <w:pPr>
        <w:pStyle w:val="BodyText"/>
        <w:spacing w:line="242" w:lineRule="auto"/>
        <w:ind w:left="338" w:right="336" w:firstLine="288"/>
        <w:jc w:val="both"/>
      </w:pPr>
      <w:bookmarkStart w:name="Artículo_280_Bis" w:id="331"/>
      <w:bookmarkEnd w:id="331"/>
      <w:r>
        <w:rPr/>
      </w:r>
      <w:r>
        <w:rPr>
          <w:rFonts w:ascii="Arial" w:hAnsi="Arial"/>
          <w:b/>
        </w:rPr>
        <w:t>Artículo 280 Bis.- </w:t>
      </w:r>
      <w:r>
        <w:rPr/>
        <w:t>La Comisión Nacional de los Salarios Mínimos fijará los salarios mínimos profesionales de las personas trabajadoras del campo, debiendo tomar en consideración, entre otras, las circunstancias siguientes: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67"/>
        </w:numPr>
        <w:tabs>
          <w:tab w:pos="1195" w:val="left" w:leader="none"/>
        </w:tabs>
        <w:spacing w:line="242" w:lineRule="auto" w:before="0" w:after="0"/>
        <w:ind w:left="1195" w:right="337" w:hanging="569"/>
        <w:jc w:val="left"/>
        <w:rPr>
          <w:sz w:val="20"/>
        </w:rPr>
      </w:pPr>
      <w:r>
        <w:rPr>
          <w:sz w:val="20"/>
        </w:rPr>
        <w:t>La naturaleza esencial de los trabajos para la seguridad</w:t>
      </w:r>
      <w:r>
        <w:rPr>
          <w:spacing w:val="27"/>
          <w:sz w:val="20"/>
        </w:rPr>
        <w:t> </w:t>
      </w:r>
      <w:r>
        <w:rPr>
          <w:sz w:val="20"/>
        </w:rPr>
        <w:t>y soberanía alimentaria del país, así</w:t>
      </w:r>
      <w:r>
        <w:rPr>
          <w:spacing w:val="40"/>
          <w:sz w:val="20"/>
        </w:rPr>
        <w:t> </w:t>
      </w:r>
      <w:r>
        <w:rPr>
          <w:sz w:val="20"/>
        </w:rPr>
        <w:t>como la cantidad y calidad de éstos;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1"/>
        <w:rPr>
          <w:rFonts w:ascii="Times New Roman"/>
          <w:i/>
        </w:rPr>
      </w:pPr>
    </w:p>
    <w:p>
      <w:pPr>
        <w:pStyle w:val="ListParagraph"/>
        <w:numPr>
          <w:ilvl w:val="0"/>
          <w:numId w:val="67"/>
        </w:numPr>
        <w:tabs>
          <w:tab w:pos="1195" w:val="left" w:leader="none"/>
        </w:tabs>
        <w:spacing w:line="240" w:lineRule="auto" w:before="0" w:after="0"/>
        <w:ind w:left="1195" w:right="0" w:hanging="569"/>
        <w:jc w:val="left"/>
        <w:rPr>
          <w:sz w:val="20"/>
        </w:rPr>
      </w:pPr>
      <w:r>
        <w:rPr>
          <w:sz w:val="20"/>
        </w:rPr>
        <w:t>El</w:t>
      </w:r>
      <w:r>
        <w:rPr>
          <w:spacing w:val="-7"/>
          <w:sz w:val="20"/>
        </w:rPr>
        <w:t> </w:t>
      </w:r>
      <w:r>
        <w:rPr>
          <w:sz w:val="20"/>
        </w:rPr>
        <w:t>desgate</w:t>
      </w:r>
      <w:r>
        <w:rPr>
          <w:spacing w:val="-7"/>
          <w:sz w:val="20"/>
        </w:rPr>
        <w:t> </w:t>
      </w:r>
      <w:r>
        <w:rPr>
          <w:sz w:val="20"/>
        </w:rPr>
        <w:t>físico</w:t>
      </w:r>
      <w:r>
        <w:rPr>
          <w:spacing w:val="-8"/>
          <w:sz w:val="20"/>
        </w:rPr>
        <w:t> </w:t>
      </w:r>
      <w:r>
        <w:rPr>
          <w:sz w:val="20"/>
        </w:rPr>
        <w:t>ocasionado</w:t>
      </w:r>
      <w:r>
        <w:rPr>
          <w:spacing w:val="-7"/>
          <w:sz w:val="20"/>
        </w:rPr>
        <w:t> </w:t>
      </w:r>
      <w:r>
        <w:rPr>
          <w:sz w:val="20"/>
        </w:rPr>
        <w:t>por</w:t>
      </w:r>
      <w:r>
        <w:rPr>
          <w:spacing w:val="-5"/>
          <w:sz w:val="20"/>
        </w:rPr>
        <w:t> </w:t>
      </w:r>
      <w:r>
        <w:rPr>
          <w:sz w:val="20"/>
        </w:rPr>
        <w:t>las</w:t>
      </w:r>
      <w:r>
        <w:rPr>
          <w:spacing w:val="-7"/>
          <w:sz w:val="20"/>
        </w:rPr>
        <w:t> </w:t>
      </w:r>
      <w:r>
        <w:rPr>
          <w:sz w:val="20"/>
        </w:rPr>
        <w:t>condiciones</w:t>
      </w:r>
      <w:r>
        <w:rPr>
          <w:spacing w:val="-6"/>
          <w:sz w:val="20"/>
        </w:rPr>
        <w:t> </w:t>
      </w:r>
      <w:r>
        <w:rPr>
          <w:sz w:val="20"/>
        </w:rPr>
        <w:t>del</w:t>
      </w:r>
      <w:r>
        <w:rPr>
          <w:spacing w:val="-7"/>
          <w:sz w:val="20"/>
        </w:rPr>
        <w:t> </w:t>
      </w:r>
      <w:r>
        <w:rPr>
          <w:sz w:val="20"/>
        </w:rPr>
        <w:t>trabajo,</w:t>
      </w:r>
      <w:r>
        <w:rPr>
          <w:spacing w:val="-4"/>
          <w:sz w:val="20"/>
        </w:rPr>
        <w:t> </w:t>
      </w:r>
      <w:r>
        <w:rPr>
          <w:spacing w:val="-10"/>
          <w:sz w:val="20"/>
        </w:rPr>
        <w:t>y</w:t>
      </w:r>
    </w:p>
    <w:p>
      <w:pPr>
        <w:pStyle w:val="ListParagraph"/>
        <w:numPr>
          <w:ilvl w:val="0"/>
          <w:numId w:val="67"/>
        </w:numPr>
        <w:tabs>
          <w:tab w:pos="1191" w:val="left" w:leader="none"/>
          <w:tab w:pos="1195" w:val="left" w:leader="none"/>
        </w:tabs>
        <w:spacing w:line="242" w:lineRule="auto" w:before="225" w:after="0"/>
        <w:ind w:left="1195" w:right="334" w:hanging="569"/>
        <w:jc w:val="both"/>
        <w:rPr>
          <w:sz w:val="20"/>
        </w:rPr>
      </w:pPr>
      <w:r>
        <w:rPr>
          <w:sz w:val="20"/>
        </w:rPr>
        <w:t>Los salarios y prestaciones percibidas por las personas trabajadoras del campo de establecimientos y empresas dedicadas a la producción de productos en las actividades a que se refiere este Capítulo, donde las personas trabajadoras del campo estén suficientemente </w:t>
      </w:r>
      <w:r>
        <w:rPr>
          <w:spacing w:val="-2"/>
          <w:sz w:val="20"/>
        </w:rPr>
        <w:t>organizadas.</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338" w:right="345" w:firstLine="288"/>
        <w:jc w:val="both"/>
      </w:pPr>
      <w:r>
        <w:rPr/>
        <w:t>La persona empleadora podrá convenir con la persona trabajadora del campo una retribución superior al salario mínimo profesional siempre que no se exceda la jornada máxima legal.</w:t>
      </w:r>
    </w:p>
    <w:p>
      <w:pPr>
        <w:spacing w:line="182" w:lineRule="exact" w:before="0"/>
        <w:ind w:left="7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338" w:right="337" w:firstLine="288"/>
        <w:jc w:val="both"/>
      </w:pPr>
      <w:r>
        <w:rPr/>
        <w:t>Cuando el salario se determine por unidad de obra, la persona empleadora estará obligada a garantizar la dación de trabajo en cantidad adecuada y a responder por la supresión o reducción del trabajo, en estos casos la persona empleadora garantizará el pago de por lo menos el salario mínimo </w:t>
      </w:r>
      <w:r>
        <w:rPr>
          <w:spacing w:val="-2"/>
        </w:rPr>
        <w:t>profesional.</w:t>
      </w:r>
    </w:p>
    <w:p>
      <w:pPr>
        <w:spacing w:line="240" w:lineRule="auto" w:before="0"/>
        <w:ind w:left="7302" w:right="333" w:firstLine="1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24-01-2024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338" w:right="337" w:firstLine="288"/>
        <w:jc w:val="both"/>
      </w:pPr>
      <w:bookmarkStart w:name="Artículo_281" w:id="332"/>
      <w:bookmarkEnd w:id="332"/>
      <w:r>
        <w:rPr/>
      </w:r>
      <w:r>
        <w:rPr>
          <w:rFonts w:ascii="Arial" w:hAnsi="Arial"/>
          <w:b/>
        </w:rPr>
        <w:t>Artículo 281.- </w:t>
      </w:r>
      <w:r>
        <w:rPr/>
        <w:t>Cuando existan contratos de arrendamiento, el propietario del predio es solidariamente responsable con el arrendatario, si este no dispone de elementos propios suficientes para cumplir las obligaciones que deriven de las relaciones con sus trabajadores.</w:t>
      </w:r>
    </w:p>
    <w:p>
      <w:pPr>
        <w:pStyle w:val="BodyText"/>
        <w:spacing w:before="2"/>
      </w:pPr>
    </w:p>
    <w:p>
      <w:pPr>
        <w:pStyle w:val="BodyText"/>
        <w:ind w:left="338" w:right="343" w:firstLine="288"/>
        <w:jc w:val="both"/>
      </w:pPr>
      <w:r>
        <w:rPr/>
        <w:t>Si existieren contratos de aparcería, el propietario del predio y el aparcero serán solidariamente </w:t>
      </w:r>
      <w:r>
        <w:rPr>
          <w:spacing w:val="-2"/>
        </w:rPr>
        <w:t>responsables.</w:t>
      </w:r>
    </w:p>
    <w:p>
      <w:pPr>
        <w:pStyle w:val="BodyText"/>
        <w:spacing w:line="242" w:lineRule="auto" w:before="227"/>
        <w:ind w:left="338" w:right="337" w:firstLine="288"/>
        <w:jc w:val="both"/>
      </w:pPr>
      <w:bookmarkStart w:name="Artículo_282" w:id="333"/>
      <w:bookmarkEnd w:id="333"/>
      <w:r>
        <w:rPr/>
      </w:r>
      <w:r>
        <w:rPr>
          <w:rFonts w:ascii="Arial" w:hAnsi="Arial"/>
          <w:b/>
        </w:rPr>
        <w:t>Artículo 282.- </w:t>
      </w:r>
      <w:r>
        <w:rPr/>
        <w:t>El trabajo del campo deberá fijarse mediante contrato por escrito, siempre que una persona se obligue frente a otra a realizar actos, ejecutar obras o prestar servicios en las actividades a que se refiere este Capítulo, de manera subordinada y mediante el pago de un salario.</w:t>
      </w:r>
    </w:p>
    <w:p>
      <w:pPr>
        <w:pStyle w:val="BodyText"/>
        <w:spacing w:after="0" w:line="242" w:lineRule="auto"/>
        <w:jc w:val="both"/>
        <w:sectPr>
          <w:pgSz w:w="12240" w:h="15840"/>
          <w:pgMar w:header="724" w:footer="712" w:top="1880" w:bottom="900" w:left="1080" w:right="1080"/>
        </w:sectPr>
      </w:pPr>
    </w:p>
    <w:p>
      <w:pPr>
        <w:pStyle w:val="BodyText"/>
      </w:pPr>
    </w:p>
    <w:p>
      <w:pPr>
        <w:pStyle w:val="BodyText"/>
        <w:spacing w:before="66"/>
      </w:pPr>
    </w:p>
    <w:p>
      <w:pPr>
        <w:pStyle w:val="BodyText"/>
        <w:ind w:left="338" w:right="335" w:firstLine="288"/>
        <w:jc w:val="both"/>
      </w:pPr>
      <w:r>
        <w:rPr/>
        <w:t>Las condiciones de trabajo deberán constar en dicho contrato, observándose lo dispuesto en el artículo 25 y lo señalado en este Capítulo. Además, dichas condiciones de trabajo establecerán los mecanismos acordados para informar a las personas trabajadoras del campo acerca de las autoridades del trabajo y servicios sociales a las que se podrán acudir cuando la persona trabajadora del campo considere que sus derechos han sido menoscabados, a fin de ejercer la acción legal conducente.</w:t>
      </w:r>
    </w:p>
    <w:p>
      <w:pPr>
        <w:pStyle w:val="BodyText"/>
      </w:pPr>
    </w:p>
    <w:p>
      <w:pPr>
        <w:pStyle w:val="BodyText"/>
        <w:ind w:left="338" w:right="335" w:firstLine="288"/>
        <w:jc w:val="both"/>
      </w:pPr>
      <w:r>
        <w:rPr/>
        <w:t>Todas las personas trabajadoras del campo deberán contar con un ejemplar del contrato de trabajo.</w:t>
      </w:r>
      <w:r>
        <w:rPr>
          <w:spacing w:val="40"/>
        </w:rPr>
        <w:t> </w:t>
      </w:r>
      <w:r>
        <w:rPr/>
        <w:t>La falta del escrito del contrato de trabajo no priva a las personas trabajadoras del campo de los</w:t>
      </w:r>
      <w:r>
        <w:rPr>
          <w:spacing w:val="80"/>
        </w:rPr>
        <w:t> </w:t>
      </w:r>
      <w:r>
        <w:rPr/>
        <w:t>derechos que deriven por los servicios prestados, y será imputable a la persona empleadora la falta de esa formalidad.</w:t>
      </w:r>
    </w:p>
    <w:p>
      <w:pPr>
        <w:pStyle w:val="BodyText"/>
      </w:pPr>
    </w:p>
    <w:p>
      <w:pPr>
        <w:pStyle w:val="BodyText"/>
        <w:ind w:left="338" w:right="345" w:firstLine="288"/>
        <w:jc w:val="both"/>
      </w:pPr>
      <w:r>
        <w:rPr/>
        <w:t>Las personas empleadoras de servicios especializados que intervienen en el proceso de contratación de personal a través del reclutamiento y selección no se considerarán personas empleadoras, este carácter lo tiene quien se beneficia de los servicios.</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45"/>
        <w:rPr>
          <w:rFonts w:ascii="Times New Roman"/>
          <w:i/>
          <w:sz w:val="16"/>
        </w:rPr>
      </w:pPr>
    </w:p>
    <w:p>
      <w:pPr>
        <w:pStyle w:val="BodyText"/>
        <w:spacing w:line="242" w:lineRule="auto"/>
        <w:ind w:left="338" w:firstLine="288"/>
      </w:pPr>
      <w:bookmarkStart w:name="Artículo_283" w:id="334"/>
      <w:bookmarkEnd w:id="334"/>
      <w:r>
        <w:rPr/>
      </w:r>
      <w:r>
        <w:rPr>
          <w:rFonts w:ascii="Arial" w:hAnsi="Arial"/>
          <w:b/>
        </w:rPr>
        <w:t>Artículo</w:t>
      </w:r>
      <w:r>
        <w:rPr>
          <w:rFonts w:ascii="Arial" w:hAnsi="Arial"/>
          <w:b/>
          <w:spacing w:val="27"/>
        </w:rPr>
        <w:t> </w:t>
      </w:r>
      <w:r>
        <w:rPr>
          <w:rFonts w:ascii="Arial" w:hAnsi="Arial"/>
          <w:b/>
        </w:rPr>
        <w:t>283.-</w:t>
      </w:r>
      <w:r>
        <w:rPr>
          <w:rFonts w:ascii="Arial" w:hAnsi="Arial"/>
          <w:b/>
          <w:spacing w:val="28"/>
        </w:rPr>
        <w:t> </w:t>
      </w:r>
      <w:r>
        <w:rPr/>
        <w:t>En</w:t>
      </w:r>
      <w:r>
        <w:rPr>
          <w:spacing w:val="26"/>
        </w:rPr>
        <w:t> </w:t>
      </w:r>
      <w:r>
        <w:rPr/>
        <w:t>materia</w:t>
      </w:r>
      <w:r>
        <w:rPr>
          <w:spacing w:val="24"/>
        </w:rPr>
        <w:t> </w:t>
      </w:r>
      <w:r>
        <w:rPr/>
        <w:t>de</w:t>
      </w:r>
      <w:r>
        <w:rPr>
          <w:spacing w:val="26"/>
        </w:rPr>
        <w:t> </w:t>
      </w:r>
      <w:r>
        <w:rPr/>
        <w:t>seguridad</w:t>
      </w:r>
      <w:r>
        <w:rPr>
          <w:spacing w:val="28"/>
        </w:rPr>
        <w:t> </w:t>
      </w:r>
      <w:r>
        <w:rPr/>
        <w:t>y</w:t>
      </w:r>
      <w:r>
        <w:rPr>
          <w:spacing w:val="24"/>
        </w:rPr>
        <w:t> </w:t>
      </w:r>
      <w:r>
        <w:rPr/>
        <w:t>salud,</w:t>
      </w:r>
      <w:r>
        <w:rPr>
          <w:spacing w:val="26"/>
        </w:rPr>
        <w:t> </w:t>
      </w:r>
      <w:r>
        <w:rPr/>
        <w:t>las</w:t>
      </w:r>
      <w:r>
        <w:rPr>
          <w:spacing w:val="25"/>
        </w:rPr>
        <w:t> </w:t>
      </w:r>
      <w:r>
        <w:rPr/>
        <w:t>personas</w:t>
      </w:r>
      <w:r>
        <w:rPr>
          <w:spacing w:val="25"/>
        </w:rPr>
        <w:t> </w:t>
      </w:r>
      <w:r>
        <w:rPr/>
        <w:t>empleadoras</w:t>
      </w:r>
      <w:r>
        <w:rPr>
          <w:spacing w:val="27"/>
        </w:rPr>
        <w:t> </w:t>
      </w:r>
      <w:r>
        <w:rPr/>
        <w:t>tienen</w:t>
      </w:r>
      <w:r>
        <w:rPr>
          <w:spacing w:val="26"/>
        </w:rPr>
        <w:t> </w:t>
      </w:r>
      <w:r>
        <w:rPr/>
        <w:t>las</w:t>
      </w:r>
      <w:r>
        <w:rPr>
          <w:spacing w:val="25"/>
        </w:rPr>
        <w:t> </w:t>
      </w:r>
      <w:r>
        <w:rPr/>
        <w:t>obligaciones especiales siguientes: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68"/>
        </w:numPr>
        <w:tabs>
          <w:tab w:pos="1193" w:val="left" w:leader="none"/>
          <w:tab w:pos="1195" w:val="left" w:leader="none"/>
        </w:tabs>
        <w:spacing w:line="242" w:lineRule="auto" w:before="0" w:after="0"/>
        <w:ind w:left="1195" w:right="336" w:hanging="569"/>
        <w:jc w:val="both"/>
        <w:rPr>
          <w:sz w:val="20"/>
        </w:rPr>
      </w:pPr>
      <w:r>
        <w:rPr>
          <w:sz w:val="20"/>
        </w:rPr>
        <w:t>Pagar los salarios precisamente en el lugar donde preste el trabajador sus servicios y en períodos de tiempo que no excedan de una semana;</w:t>
      </w:r>
    </w:p>
    <w:p>
      <w:pPr>
        <w:pStyle w:val="ListParagraph"/>
        <w:numPr>
          <w:ilvl w:val="0"/>
          <w:numId w:val="68"/>
        </w:numPr>
        <w:tabs>
          <w:tab w:pos="1200" w:val="left" w:leader="none"/>
          <w:tab w:pos="1202" w:val="left" w:leader="none"/>
        </w:tabs>
        <w:spacing w:line="240" w:lineRule="auto" w:before="226" w:after="0"/>
        <w:ind w:left="1202" w:right="337" w:hanging="576"/>
        <w:jc w:val="both"/>
        <w:rPr>
          <w:sz w:val="20"/>
        </w:rPr>
      </w:pPr>
      <w:r>
        <w:rPr>
          <w:sz w:val="20"/>
        </w:rPr>
        <w:t>Proveer gratuitamente habitaciones a las personas trabajadoras del campo y, en su caso, a su familia o dependientes económicos que lo acompañen. Dichas habitaciones deberán cumplir con los requerimientos mínimos de construcción, seguridad e higiene que garanticen un adecuado estándar de habitabilidad en condiciones dignas. En todos los casos las habitaciones deberán contar con piso firme, agua potable, baños, regaderas, lavaderos y comedores. En su caso, proveer de un predio individual o colectivo para la cría de animales de corral;</w:t>
      </w:r>
    </w:p>
    <w:p>
      <w:pPr>
        <w:spacing w:before="1"/>
        <w:ind w:left="563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01-05-2019,</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68"/>
        </w:numPr>
        <w:tabs>
          <w:tab w:pos="1198" w:val="left" w:leader="none"/>
          <w:tab w:pos="1202" w:val="left" w:leader="none"/>
        </w:tabs>
        <w:spacing w:line="242" w:lineRule="auto" w:before="0" w:after="0"/>
        <w:ind w:left="1202" w:right="338" w:hanging="576"/>
        <w:jc w:val="both"/>
        <w:rPr>
          <w:sz w:val="20"/>
        </w:rPr>
      </w:pPr>
      <w:r>
        <w:rPr>
          <w:sz w:val="20"/>
        </w:rPr>
        <w:t>Mantener las habitaciones en condiciones dignas y de habitabilidad, haciendo, en su caso, las reparaciones necesarias y convenientes;</w:t>
      </w:r>
    </w:p>
    <w:p>
      <w:pPr>
        <w:spacing w:line="180"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43"/>
        <w:rPr>
          <w:rFonts w:ascii="Times New Roman"/>
          <w:i/>
          <w:sz w:val="16"/>
        </w:rPr>
      </w:pPr>
    </w:p>
    <w:p>
      <w:pPr>
        <w:pStyle w:val="ListParagraph"/>
        <w:numPr>
          <w:ilvl w:val="0"/>
          <w:numId w:val="68"/>
        </w:numPr>
        <w:tabs>
          <w:tab w:pos="1202" w:val="left" w:leader="none"/>
        </w:tabs>
        <w:spacing w:line="242" w:lineRule="auto" w:before="0" w:after="0"/>
        <w:ind w:left="1202" w:right="339" w:hanging="576"/>
        <w:jc w:val="both"/>
        <w:rPr>
          <w:sz w:val="20"/>
        </w:rPr>
      </w:pPr>
      <w:r>
        <w:rPr>
          <w:sz w:val="20"/>
        </w:rPr>
        <w:t>Proporcionar a las personas trabajadoras del campo, durante la jornada de trabajo,</w:t>
      </w:r>
      <w:r>
        <w:rPr>
          <w:spacing w:val="40"/>
          <w:sz w:val="20"/>
        </w:rPr>
        <w:t> </w:t>
      </w:r>
      <w:r>
        <w:rPr>
          <w:sz w:val="20"/>
        </w:rPr>
        <w:t>alimentación sana, suficiente y variada; agua apta para consumo y uso humano, en cantidad suficiente</w:t>
      </w:r>
      <w:r>
        <w:rPr>
          <w:spacing w:val="-1"/>
          <w:sz w:val="20"/>
        </w:rPr>
        <w:t> </w:t>
      </w:r>
      <w:r>
        <w:rPr>
          <w:sz w:val="20"/>
        </w:rPr>
        <w:t>y</w:t>
      </w:r>
      <w:r>
        <w:rPr>
          <w:spacing w:val="-8"/>
          <w:sz w:val="20"/>
        </w:rPr>
        <w:t> </w:t>
      </w:r>
      <w:r>
        <w:rPr>
          <w:sz w:val="20"/>
        </w:rPr>
        <w:t>servicios</w:t>
      </w:r>
      <w:r>
        <w:rPr>
          <w:spacing w:val="-4"/>
          <w:sz w:val="20"/>
        </w:rPr>
        <w:t> </w:t>
      </w:r>
      <w:r>
        <w:rPr>
          <w:sz w:val="20"/>
        </w:rPr>
        <w:t>sanitarios</w:t>
      </w:r>
      <w:r>
        <w:rPr>
          <w:spacing w:val="-4"/>
          <w:sz w:val="20"/>
        </w:rPr>
        <w:t> </w:t>
      </w:r>
      <w:r>
        <w:rPr>
          <w:sz w:val="20"/>
        </w:rPr>
        <w:t>adecuados</w:t>
      </w:r>
      <w:r>
        <w:rPr>
          <w:spacing w:val="-4"/>
          <w:sz w:val="20"/>
        </w:rPr>
        <w:t> </w:t>
      </w:r>
      <w:r>
        <w:rPr>
          <w:sz w:val="20"/>
        </w:rPr>
        <w:t>e</w:t>
      </w:r>
      <w:r>
        <w:rPr>
          <w:spacing w:val="-3"/>
          <w:sz w:val="20"/>
        </w:rPr>
        <w:t> </w:t>
      </w:r>
      <w:r>
        <w:rPr>
          <w:sz w:val="20"/>
        </w:rPr>
        <w:t>independientes</w:t>
      </w:r>
      <w:r>
        <w:rPr>
          <w:spacing w:val="-4"/>
          <w:sz w:val="20"/>
        </w:rPr>
        <w:t> </w:t>
      </w:r>
      <w:r>
        <w:rPr>
          <w:sz w:val="20"/>
        </w:rPr>
        <w:t>a</w:t>
      </w:r>
      <w:r>
        <w:rPr>
          <w:spacing w:val="-3"/>
          <w:sz w:val="20"/>
        </w:rPr>
        <w:t> </w:t>
      </w:r>
      <w:r>
        <w:rPr>
          <w:sz w:val="20"/>
        </w:rPr>
        <w:t>cada</w:t>
      </w:r>
      <w:r>
        <w:rPr>
          <w:spacing w:val="-3"/>
          <w:sz w:val="20"/>
        </w:rPr>
        <w:t> </w:t>
      </w:r>
      <w:r>
        <w:rPr>
          <w:sz w:val="20"/>
        </w:rPr>
        <w:t>sexo,</w:t>
      </w:r>
      <w:r>
        <w:rPr>
          <w:spacing w:val="-5"/>
          <w:sz w:val="20"/>
        </w:rPr>
        <w:t> </w:t>
      </w:r>
      <w:r>
        <w:rPr>
          <w:sz w:val="20"/>
        </w:rPr>
        <w:t>en</w:t>
      </w:r>
      <w:r>
        <w:rPr>
          <w:spacing w:val="-5"/>
          <w:sz w:val="20"/>
        </w:rPr>
        <w:t> </w:t>
      </w:r>
      <w:r>
        <w:rPr>
          <w:sz w:val="20"/>
        </w:rPr>
        <w:t>cantidad</w:t>
      </w:r>
      <w:r>
        <w:rPr>
          <w:spacing w:val="-5"/>
          <w:sz w:val="20"/>
        </w:rPr>
        <w:t> </w:t>
      </w:r>
      <w:r>
        <w:rPr>
          <w:sz w:val="20"/>
        </w:rPr>
        <w:t>suficiente y proporcional al número de personas;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68"/>
        </w:numPr>
        <w:tabs>
          <w:tab w:pos="1195" w:val="left" w:leader="none"/>
        </w:tabs>
        <w:spacing w:line="242" w:lineRule="auto" w:before="0" w:after="0"/>
        <w:ind w:left="1195" w:right="343" w:hanging="569"/>
        <w:jc w:val="both"/>
        <w:rPr>
          <w:sz w:val="20"/>
        </w:rPr>
      </w:pPr>
      <w:r>
        <w:rPr>
          <w:sz w:val="20"/>
        </w:rPr>
        <w:t>Mantener en el lugar de trabajo los medicamentos y material de curación, así como los</w:t>
      </w:r>
      <w:r>
        <w:rPr>
          <w:spacing w:val="40"/>
          <w:sz w:val="20"/>
        </w:rPr>
        <w:t> </w:t>
      </w:r>
      <w:r>
        <w:rPr>
          <w:sz w:val="20"/>
        </w:rPr>
        <w:t>antídotos necesarios, a</w:t>
      </w:r>
      <w:r>
        <w:rPr>
          <w:spacing w:val="-1"/>
          <w:sz w:val="20"/>
        </w:rPr>
        <w:t> </w:t>
      </w:r>
      <w:r>
        <w:rPr>
          <w:sz w:val="20"/>
        </w:rPr>
        <w:t>fin de</w:t>
      </w:r>
      <w:r>
        <w:rPr>
          <w:spacing w:val="-1"/>
          <w:sz w:val="20"/>
        </w:rPr>
        <w:t> </w:t>
      </w:r>
      <w:r>
        <w:rPr>
          <w:sz w:val="20"/>
        </w:rPr>
        <w:t>proporcionar primeros auxilios a</w:t>
      </w:r>
      <w:r>
        <w:rPr>
          <w:spacing w:val="-1"/>
          <w:sz w:val="20"/>
        </w:rPr>
        <w:t> </w:t>
      </w:r>
      <w:r>
        <w:rPr>
          <w:sz w:val="20"/>
        </w:rPr>
        <w:t>los trabajadores, a sus familiares o dependientes económicos que los acompañen, así como adiestrar personal que los preste;</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68"/>
        </w:numPr>
        <w:tabs>
          <w:tab w:pos="1202" w:val="left" w:leader="none"/>
        </w:tabs>
        <w:spacing w:line="242" w:lineRule="auto" w:before="0" w:after="0"/>
        <w:ind w:left="1202" w:right="342" w:hanging="576"/>
        <w:jc w:val="both"/>
        <w:rPr>
          <w:sz w:val="20"/>
        </w:rPr>
      </w:pPr>
      <w:r>
        <w:rPr>
          <w:sz w:val="20"/>
        </w:rPr>
        <w:t>Trasladar a las personas trabajadoras del campo y a sus familiares que los acompañen a los servicios médicos del Instituto Mexicano del Seguro Social. En aquellos lugares donde el Instituto</w:t>
      </w:r>
      <w:r>
        <w:rPr>
          <w:spacing w:val="-3"/>
          <w:sz w:val="20"/>
        </w:rPr>
        <w:t> </w:t>
      </w:r>
      <w:r>
        <w:rPr>
          <w:sz w:val="20"/>
        </w:rPr>
        <w:t>no</w:t>
      </w:r>
      <w:r>
        <w:rPr>
          <w:spacing w:val="-3"/>
          <w:sz w:val="20"/>
        </w:rPr>
        <w:t> </w:t>
      </w:r>
      <w:r>
        <w:rPr>
          <w:sz w:val="20"/>
        </w:rPr>
        <w:t>cuente</w:t>
      </w:r>
      <w:r>
        <w:rPr>
          <w:spacing w:val="-4"/>
          <w:sz w:val="20"/>
        </w:rPr>
        <w:t> </w:t>
      </w:r>
      <w:r>
        <w:rPr>
          <w:sz w:val="20"/>
        </w:rPr>
        <w:t>con</w:t>
      </w:r>
      <w:r>
        <w:rPr>
          <w:spacing w:val="-3"/>
          <w:sz w:val="20"/>
        </w:rPr>
        <w:t> </w:t>
      </w:r>
      <w:r>
        <w:rPr>
          <w:sz w:val="20"/>
        </w:rPr>
        <w:t>instalaciones, la</w:t>
      </w:r>
      <w:r>
        <w:rPr>
          <w:spacing w:val="-1"/>
          <w:sz w:val="20"/>
        </w:rPr>
        <w:t> </w:t>
      </w:r>
      <w:r>
        <w:rPr>
          <w:sz w:val="20"/>
        </w:rPr>
        <w:t>persona</w:t>
      </w:r>
      <w:r>
        <w:rPr>
          <w:spacing w:val="-3"/>
          <w:sz w:val="20"/>
        </w:rPr>
        <w:t> </w:t>
      </w:r>
      <w:r>
        <w:rPr>
          <w:sz w:val="20"/>
        </w:rPr>
        <w:t>empleadora</w:t>
      </w:r>
      <w:r>
        <w:rPr>
          <w:spacing w:val="-3"/>
          <w:sz w:val="20"/>
        </w:rPr>
        <w:t> </w:t>
      </w:r>
      <w:r>
        <w:rPr>
          <w:sz w:val="20"/>
        </w:rPr>
        <w:t>deberá</w:t>
      </w:r>
      <w:r>
        <w:rPr>
          <w:spacing w:val="-1"/>
          <w:sz w:val="20"/>
        </w:rPr>
        <w:t> </w:t>
      </w:r>
      <w:r>
        <w:rPr>
          <w:sz w:val="20"/>
        </w:rPr>
        <w:t>proporcionar</w:t>
      </w:r>
      <w:r>
        <w:rPr>
          <w:spacing w:val="-2"/>
          <w:sz w:val="20"/>
        </w:rPr>
        <w:t> </w:t>
      </w:r>
      <w:r>
        <w:rPr>
          <w:sz w:val="20"/>
        </w:rPr>
        <w:t>gratuitamente asistencia médica. También tendrán las obligaciones a</w:t>
      </w:r>
      <w:r>
        <w:rPr>
          <w:spacing w:val="-1"/>
          <w:sz w:val="20"/>
        </w:rPr>
        <w:t> </w:t>
      </w:r>
      <w:r>
        <w:rPr>
          <w:sz w:val="20"/>
        </w:rPr>
        <w:t>que se refiere el artículo 504, fracción</w:t>
      </w:r>
      <w:r>
        <w:rPr>
          <w:spacing w:val="-1"/>
          <w:sz w:val="20"/>
        </w:rPr>
        <w:t> </w:t>
      </w:r>
      <w:r>
        <w:rPr>
          <w:sz w:val="20"/>
        </w:rPr>
        <w:t>II;</w:t>
      </w:r>
    </w:p>
    <w:p>
      <w:pPr>
        <w:spacing w:line="17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2024</w:t>
      </w:r>
    </w:p>
    <w:p>
      <w:pPr>
        <w:spacing w:after="0" w:line="174" w:lineRule="exact"/>
        <w:jc w:val="righ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ListParagraph"/>
        <w:numPr>
          <w:ilvl w:val="0"/>
          <w:numId w:val="68"/>
        </w:numPr>
        <w:tabs>
          <w:tab w:pos="1200" w:val="left" w:leader="none"/>
          <w:tab w:pos="1202" w:val="left" w:leader="none"/>
        </w:tabs>
        <w:spacing w:line="240" w:lineRule="auto" w:before="0" w:after="0"/>
        <w:ind w:left="1202" w:right="342" w:hanging="576"/>
        <w:jc w:val="both"/>
        <w:rPr>
          <w:sz w:val="20"/>
        </w:rPr>
      </w:pPr>
      <w:r>
        <w:rPr>
          <w:sz w:val="20"/>
        </w:rPr>
        <w:t>Proporcionar gratuitamente a la persona trabajadora del campo, a sus familiares o</w:t>
      </w:r>
      <w:r>
        <w:rPr>
          <w:spacing w:val="40"/>
          <w:sz w:val="20"/>
        </w:rPr>
        <w:t> </w:t>
      </w:r>
      <w:r>
        <w:rPr>
          <w:sz w:val="20"/>
        </w:rPr>
        <w:t>dependientes económicos que los acompañen medicamentos y material de curación en los casos de enfermedades tropicales, endémicas y propias de la región y pagar a las personas trabajadoras del campo que resulten incapacitados, el setenta y cinco por ciento de los salarios hasta por noventa días. Las personas trabajadoras del campo temporales disfrutarán de esta prestación por el tiempo que dure la relación laboral.</w:t>
      </w:r>
    </w:p>
    <w:p>
      <w:pPr>
        <w:pStyle w:val="BodyText"/>
        <w:spacing w:before="3"/>
      </w:pPr>
    </w:p>
    <w:p>
      <w:pPr>
        <w:pStyle w:val="BodyText"/>
        <w:ind w:left="1202" w:right="339"/>
        <w:jc w:val="both"/>
      </w:pPr>
      <w:r>
        <w:rPr/>
        <w:t>Las personas trabajadoras del campo que sean jornaleros migrantes también deberán contar con un seguro de vida para sus traslados desde sus hogares de origen a los centros de trabajo y posteriormente a su retorno;</w:t>
      </w:r>
    </w:p>
    <w:p>
      <w:pPr>
        <w:spacing w:line="183" w:lineRule="exact" w:before="0"/>
        <w:ind w:left="457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ListParagraph"/>
        <w:numPr>
          <w:ilvl w:val="0"/>
          <w:numId w:val="68"/>
        </w:numPr>
        <w:tabs>
          <w:tab w:pos="1202" w:val="left" w:leader="none"/>
        </w:tabs>
        <w:spacing w:line="240" w:lineRule="auto" w:before="229" w:after="0"/>
        <w:ind w:left="1202" w:right="0" w:hanging="576"/>
        <w:jc w:val="left"/>
        <w:rPr>
          <w:sz w:val="20"/>
        </w:rPr>
      </w:pPr>
      <w:r>
        <w:rPr>
          <w:spacing w:val="-2"/>
          <w:sz w:val="20"/>
        </w:rPr>
        <w:t>Derogada</w:t>
      </w:r>
    </w:p>
    <w:p>
      <w:pPr>
        <w:spacing w:before="1"/>
        <w:ind w:left="463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5"/>
          <w:sz w:val="16"/>
        </w:rPr>
        <w:t> </w:t>
      </w:r>
      <w:r>
        <w:rPr>
          <w:rFonts w:ascii="Times New Roman" w:hAnsi="Times New Roman"/>
          <w:i/>
          <w:color w:val="0000FF"/>
          <w:sz w:val="16"/>
        </w:rPr>
        <w:t>Derogada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ListParagraph"/>
        <w:numPr>
          <w:ilvl w:val="0"/>
          <w:numId w:val="68"/>
        </w:numPr>
        <w:tabs>
          <w:tab w:pos="1195" w:val="left" w:leader="none"/>
        </w:tabs>
        <w:spacing w:line="240" w:lineRule="auto" w:before="229" w:after="0"/>
        <w:ind w:left="1195" w:right="0" w:hanging="569"/>
        <w:jc w:val="left"/>
        <w:rPr>
          <w:sz w:val="20"/>
        </w:rPr>
      </w:pPr>
      <w:r>
        <w:rPr>
          <w:sz w:val="20"/>
        </w:rPr>
        <w:t>Fomentar</w:t>
      </w:r>
      <w:r>
        <w:rPr>
          <w:spacing w:val="-7"/>
          <w:sz w:val="20"/>
        </w:rPr>
        <w:t> </w:t>
      </w:r>
      <w:r>
        <w:rPr>
          <w:sz w:val="20"/>
        </w:rPr>
        <w:t>la</w:t>
      </w:r>
      <w:r>
        <w:rPr>
          <w:spacing w:val="-7"/>
          <w:sz w:val="20"/>
        </w:rPr>
        <w:t> </w:t>
      </w:r>
      <w:r>
        <w:rPr>
          <w:sz w:val="20"/>
        </w:rPr>
        <w:t>creación</w:t>
      </w:r>
      <w:r>
        <w:rPr>
          <w:spacing w:val="-6"/>
          <w:sz w:val="20"/>
        </w:rPr>
        <w:t> </w:t>
      </w:r>
      <w:r>
        <w:rPr>
          <w:sz w:val="20"/>
        </w:rPr>
        <w:t>de</w:t>
      </w:r>
      <w:r>
        <w:rPr>
          <w:spacing w:val="-7"/>
          <w:sz w:val="20"/>
        </w:rPr>
        <w:t> </w:t>
      </w:r>
      <w:r>
        <w:rPr>
          <w:sz w:val="20"/>
        </w:rPr>
        <w:t>cooperativas</w:t>
      </w:r>
      <w:r>
        <w:rPr>
          <w:spacing w:val="-6"/>
          <w:sz w:val="20"/>
        </w:rPr>
        <w:t> </w:t>
      </w:r>
      <w:r>
        <w:rPr>
          <w:sz w:val="20"/>
        </w:rPr>
        <w:t>de</w:t>
      </w:r>
      <w:r>
        <w:rPr>
          <w:spacing w:val="-4"/>
          <w:sz w:val="20"/>
        </w:rPr>
        <w:t> </w:t>
      </w:r>
      <w:r>
        <w:rPr>
          <w:sz w:val="20"/>
        </w:rPr>
        <w:t>consumo</w:t>
      </w:r>
      <w:r>
        <w:rPr>
          <w:spacing w:val="-7"/>
          <w:sz w:val="20"/>
        </w:rPr>
        <w:t> </w:t>
      </w:r>
      <w:r>
        <w:rPr>
          <w:sz w:val="20"/>
        </w:rPr>
        <w:t>entre</w:t>
      </w:r>
      <w:r>
        <w:rPr>
          <w:spacing w:val="-6"/>
          <w:sz w:val="20"/>
        </w:rPr>
        <w:t> </w:t>
      </w:r>
      <w:r>
        <w:rPr>
          <w:sz w:val="20"/>
        </w:rPr>
        <w:t>los</w:t>
      </w:r>
      <w:r>
        <w:rPr>
          <w:spacing w:val="-6"/>
          <w:sz w:val="20"/>
        </w:rPr>
        <w:t> </w:t>
      </w:r>
      <w:r>
        <w:rPr>
          <w:spacing w:val="-2"/>
          <w:sz w:val="20"/>
        </w:rPr>
        <w:t>trabajadores;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68"/>
        </w:numPr>
        <w:tabs>
          <w:tab w:pos="1202" w:val="left" w:leader="none"/>
        </w:tabs>
        <w:spacing w:line="240" w:lineRule="auto" w:before="0" w:after="0"/>
        <w:ind w:left="1202" w:right="342" w:hanging="576"/>
        <w:jc w:val="both"/>
        <w:rPr>
          <w:sz w:val="20"/>
        </w:rPr>
      </w:pPr>
      <w:r>
        <w:rPr>
          <w:sz w:val="20"/>
        </w:rPr>
        <w:t>Fomentar la educación entre las personas trabajadoras del campo y sus familiares. En el caso de las personas trabajadoras del campo se deberá fomentar la educación con pertinencia cultural y lingüística para personas adultas a través de los diversos tipos y modalidades de estudio para erradicar el rezago educativo y el analfabetismo. En el caso de los hijos de las personas trabajadoras del campo se deberá fomentar la educación obligatoria.</w:t>
      </w:r>
    </w:p>
    <w:p>
      <w:pPr>
        <w:pStyle w:val="BodyText"/>
        <w:spacing w:before="3"/>
      </w:pPr>
    </w:p>
    <w:p>
      <w:pPr>
        <w:pStyle w:val="BodyText"/>
        <w:ind w:left="1202" w:right="342"/>
        <w:jc w:val="both"/>
      </w:pPr>
      <w:r>
        <w:rPr/>
        <w:t>Cuando las actividades a que se refiere este Capítulo se sitúen fuera de las poblaciones, la persona empleadora deberá establecer y sostener escuelas de conformidad con lo previsto en el artículo 82 de la Ley General de Educación.</w:t>
      </w:r>
    </w:p>
    <w:p>
      <w:pPr>
        <w:pStyle w:val="BodyText"/>
        <w:spacing w:before="229"/>
        <w:ind w:left="1202" w:right="344"/>
        <w:jc w:val="both"/>
      </w:pPr>
      <w:r>
        <w:rPr/>
        <w:t>Las autoridades educativas de las entidades federativas podrán celebrar con las personas empleadoras, convenios para el cumplimiento de dicha obligación.</w:t>
      </w:r>
    </w:p>
    <w:p>
      <w:pPr>
        <w:pStyle w:val="BodyText"/>
        <w:spacing w:before="1"/>
      </w:pPr>
    </w:p>
    <w:p>
      <w:pPr>
        <w:pStyle w:val="BodyText"/>
        <w:spacing w:before="1"/>
        <w:ind w:left="1202" w:right="339"/>
        <w:jc w:val="both"/>
      </w:pPr>
      <w:r>
        <w:rPr/>
        <w:t>Cuando las actividades a que se refiere este Capítulo se sitúen cerca o en las poblaciones, el Estado</w:t>
      </w:r>
      <w:r>
        <w:rPr>
          <w:spacing w:val="-2"/>
        </w:rPr>
        <w:t> </w:t>
      </w:r>
      <w:r>
        <w:rPr/>
        <w:t>garantizará</w:t>
      </w:r>
      <w:r>
        <w:rPr>
          <w:spacing w:val="-4"/>
        </w:rPr>
        <w:t> </w:t>
      </w:r>
      <w:r>
        <w:rPr/>
        <w:t>en</w:t>
      </w:r>
      <w:r>
        <w:rPr>
          <w:spacing w:val="-2"/>
        </w:rPr>
        <w:t> </w:t>
      </w:r>
      <w:r>
        <w:rPr/>
        <w:t>todo</w:t>
      </w:r>
      <w:r>
        <w:rPr>
          <w:spacing w:val="-2"/>
        </w:rPr>
        <w:t> </w:t>
      </w:r>
      <w:r>
        <w:rPr/>
        <w:t>momento,</w:t>
      </w:r>
      <w:r>
        <w:rPr>
          <w:spacing w:val="-4"/>
        </w:rPr>
        <w:t> </w:t>
      </w:r>
      <w:r>
        <w:rPr/>
        <w:t>el</w:t>
      </w:r>
      <w:r>
        <w:rPr>
          <w:spacing w:val="-5"/>
        </w:rPr>
        <w:t> </w:t>
      </w:r>
      <w:r>
        <w:rPr/>
        <w:t>acceso</w:t>
      </w:r>
      <w:r>
        <w:rPr>
          <w:spacing w:val="-2"/>
        </w:rPr>
        <w:t> </w:t>
      </w:r>
      <w:r>
        <w:rPr/>
        <w:t>a</w:t>
      </w:r>
      <w:r>
        <w:rPr>
          <w:spacing w:val="-4"/>
        </w:rPr>
        <w:t> </w:t>
      </w:r>
      <w:r>
        <w:rPr/>
        <w:t>la</w:t>
      </w:r>
      <w:r>
        <w:rPr>
          <w:spacing w:val="-4"/>
        </w:rPr>
        <w:t> </w:t>
      </w:r>
      <w:r>
        <w:rPr/>
        <w:t>educación</w:t>
      </w:r>
      <w:r>
        <w:rPr>
          <w:spacing w:val="-4"/>
        </w:rPr>
        <w:t> </w:t>
      </w:r>
      <w:r>
        <w:rPr/>
        <w:t>obligatoria</w:t>
      </w:r>
      <w:r>
        <w:rPr>
          <w:spacing w:val="-2"/>
        </w:rPr>
        <w:t> </w:t>
      </w:r>
      <w:r>
        <w:rPr/>
        <w:t>de</w:t>
      </w:r>
      <w:r>
        <w:rPr>
          <w:spacing w:val="-3"/>
        </w:rPr>
        <w:t> </w:t>
      </w:r>
      <w:r>
        <w:rPr/>
        <w:t>los</w:t>
      </w:r>
      <w:r>
        <w:rPr>
          <w:spacing w:val="-1"/>
        </w:rPr>
        <w:t> </w:t>
      </w:r>
      <w:r>
        <w:rPr/>
        <w:t>hijos</w:t>
      </w:r>
      <w:r>
        <w:rPr>
          <w:spacing w:val="-3"/>
        </w:rPr>
        <w:t> </w:t>
      </w:r>
      <w:r>
        <w:rPr/>
        <w:t>e</w:t>
      </w:r>
      <w:r>
        <w:rPr>
          <w:spacing w:val="-5"/>
        </w:rPr>
        <w:t> </w:t>
      </w:r>
      <w:r>
        <w:rPr/>
        <w:t>hijas</w:t>
      </w:r>
      <w:r>
        <w:rPr>
          <w:spacing w:val="-3"/>
        </w:rPr>
        <w:t> </w:t>
      </w:r>
      <w:r>
        <w:rPr/>
        <w:t>de las personas trabajadoras del campo migrantes en escuelas con condiciones físicas y de equipamiento, así como con personal docente con el perfil profesional adecuado que permita proporcionar educación con equidad, inclusión, pertinencia cultural y lingüística.</w:t>
      </w:r>
    </w:p>
    <w:p>
      <w:pPr>
        <w:pStyle w:val="BodyText"/>
        <w:spacing w:before="227"/>
        <w:ind w:left="1202" w:right="339"/>
        <w:jc w:val="both"/>
      </w:pPr>
      <w:r>
        <w:rPr/>
        <w:t>Las autoridades educativas reconocerán los estudios que, en un mismo ciclo escolar, realicen los</w:t>
      </w:r>
      <w:r>
        <w:rPr>
          <w:spacing w:val="-3"/>
        </w:rPr>
        <w:t> </w:t>
      </w:r>
      <w:r>
        <w:rPr/>
        <w:t>hijos</w:t>
      </w:r>
      <w:r>
        <w:rPr>
          <w:spacing w:val="-3"/>
        </w:rPr>
        <w:t> </w:t>
      </w:r>
      <w:r>
        <w:rPr/>
        <w:t>e</w:t>
      </w:r>
      <w:r>
        <w:rPr>
          <w:spacing w:val="-5"/>
        </w:rPr>
        <w:t> </w:t>
      </w:r>
      <w:r>
        <w:rPr/>
        <w:t>hijas</w:t>
      </w:r>
      <w:r>
        <w:rPr>
          <w:spacing w:val="-3"/>
        </w:rPr>
        <w:t> </w:t>
      </w:r>
      <w:r>
        <w:rPr/>
        <w:t>de</w:t>
      </w:r>
      <w:r>
        <w:rPr>
          <w:spacing w:val="-3"/>
        </w:rPr>
        <w:t> </w:t>
      </w:r>
      <w:r>
        <w:rPr/>
        <w:t>las</w:t>
      </w:r>
      <w:r>
        <w:rPr>
          <w:spacing w:val="-3"/>
        </w:rPr>
        <w:t> </w:t>
      </w:r>
      <w:r>
        <w:rPr/>
        <w:t>personas</w:t>
      </w:r>
      <w:r>
        <w:rPr>
          <w:spacing w:val="-3"/>
        </w:rPr>
        <w:t> </w:t>
      </w:r>
      <w:r>
        <w:rPr/>
        <w:t>trabajadoras</w:t>
      </w:r>
      <w:r>
        <w:rPr>
          <w:spacing w:val="-3"/>
        </w:rPr>
        <w:t> </w:t>
      </w:r>
      <w:r>
        <w:rPr/>
        <w:t>del</w:t>
      </w:r>
      <w:r>
        <w:rPr>
          <w:spacing w:val="-5"/>
        </w:rPr>
        <w:t> </w:t>
      </w:r>
      <w:r>
        <w:rPr/>
        <w:t>campo</w:t>
      </w:r>
      <w:r>
        <w:rPr>
          <w:spacing w:val="-5"/>
        </w:rPr>
        <w:t> </w:t>
      </w:r>
      <w:r>
        <w:rPr/>
        <w:t>tanto</w:t>
      </w:r>
      <w:r>
        <w:rPr>
          <w:spacing w:val="-3"/>
        </w:rPr>
        <w:t> </w:t>
      </w:r>
      <w:r>
        <w:rPr/>
        <w:t>en</w:t>
      </w:r>
      <w:r>
        <w:rPr>
          <w:spacing w:val="-5"/>
        </w:rPr>
        <w:t> </w:t>
      </w:r>
      <w:r>
        <w:rPr/>
        <w:t>sus</w:t>
      </w:r>
      <w:r>
        <w:rPr>
          <w:spacing w:val="-1"/>
        </w:rPr>
        <w:t> </w:t>
      </w:r>
      <w:r>
        <w:rPr/>
        <w:t>lugares</w:t>
      </w:r>
      <w:r>
        <w:rPr>
          <w:spacing w:val="-2"/>
        </w:rPr>
        <w:t> </w:t>
      </w:r>
      <w:r>
        <w:rPr/>
        <w:t>de origen</w:t>
      </w:r>
      <w:r>
        <w:rPr>
          <w:spacing w:val="-4"/>
        </w:rPr>
        <w:t> </w:t>
      </w:r>
      <w:r>
        <w:rPr/>
        <w:t>como</w:t>
      </w:r>
      <w:r>
        <w:rPr>
          <w:spacing w:val="-4"/>
        </w:rPr>
        <w:t> </w:t>
      </w:r>
      <w:r>
        <w:rPr/>
        <w:t>en sus centros de trabajo. Asimismo, las autoridades educativas definirán mecanismos de seguimiento que aseguren la continuidad de los estudios en sus comunidades de origen y en</w:t>
      </w:r>
      <w:r>
        <w:rPr>
          <w:spacing w:val="40"/>
        </w:rPr>
        <w:t> </w:t>
      </w:r>
      <w:r>
        <w:rPr/>
        <w:t>los centros de trabajo.</w:t>
      </w:r>
    </w:p>
    <w:p>
      <w:pPr>
        <w:pStyle w:val="BodyText"/>
        <w:spacing w:before="1"/>
      </w:pPr>
    </w:p>
    <w:p>
      <w:pPr>
        <w:pStyle w:val="BodyText"/>
        <w:ind w:left="1202" w:right="337"/>
        <w:jc w:val="both"/>
      </w:pPr>
      <w:r>
        <w:rPr/>
        <w:t>En todo caso, la educación que se brinde responderá a la diversidad lingüística, regional y sociocultural del país, además de las características y necesidades de este sector de la población por lo que deberá ser de carácter intercultural y plurilingüe;</w:t>
      </w:r>
    </w:p>
    <w:p>
      <w:pPr>
        <w:spacing w:line="183" w:lineRule="exact" w:before="0"/>
        <w:ind w:left="52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68"/>
        </w:numPr>
        <w:tabs>
          <w:tab w:pos="1195" w:val="left" w:leader="none"/>
        </w:tabs>
        <w:spacing w:line="242" w:lineRule="auto" w:before="0" w:after="0"/>
        <w:ind w:left="1195" w:right="345" w:hanging="569"/>
        <w:jc w:val="both"/>
        <w:rPr>
          <w:sz w:val="20"/>
        </w:rPr>
      </w:pPr>
      <w:r>
        <w:rPr>
          <w:sz w:val="20"/>
        </w:rPr>
        <w:t>Proporcionar a los trabajadores en forma gratuita, transporte cómodo y seguro de las zonas habitacionales a</w:t>
      </w:r>
      <w:r>
        <w:rPr>
          <w:spacing w:val="-1"/>
          <w:sz w:val="20"/>
        </w:rPr>
        <w:t> </w:t>
      </w:r>
      <w:r>
        <w:rPr>
          <w:sz w:val="20"/>
        </w:rPr>
        <w:t>los lugares</w:t>
      </w:r>
      <w:r>
        <w:rPr>
          <w:spacing w:val="-2"/>
          <w:sz w:val="20"/>
        </w:rPr>
        <w:t> </w:t>
      </w:r>
      <w:r>
        <w:rPr>
          <w:sz w:val="20"/>
        </w:rPr>
        <w:t>de</w:t>
      </w:r>
      <w:r>
        <w:rPr>
          <w:spacing w:val="-3"/>
          <w:sz w:val="20"/>
        </w:rPr>
        <w:t> </w:t>
      </w:r>
      <w:r>
        <w:rPr>
          <w:sz w:val="20"/>
        </w:rPr>
        <w:t>trabajo y</w:t>
      </w:r>
      <w:r>
        <w:rPr>
          <w:spacing w:val="-3"/>
          <w:sz w:val="20"/>
        </w:rPr>
        <w:t> </w:t>
      </w:r>
      <w:r>
        <w:rPr>
          <w:sz w:val="20"/>
        </w:rPr>
        <w:t>viceversa.</w:t>
      </w:r>
      <w:r>
        <w:rPr>
          <w:spacing w:val="-1"/>
          <w:sz w:val="20"/>
        </w:rPr>
        <w:t> </w:t>
      </w:r>
      <w:r>
        <w:rPr>
          <w:sz w:val="20"/>
        </w:rPr>
        <w:t>El</w:t>
      </w:r>
      <w:r>
        <w:rPr>
          <w:spacing w:val="-2"/>
          <w:sz w:val="20"/>
        </w:rPr>
        <w:t> </w:t>
      </w:r>
      <w:r>
        <w:rPr>
          <w:sz w:val="20"/>
        </w:rPr>
        <w:t>patrón</w:t>
      </w:r>
      <w:r>
        <w:rPr>
          <w:spacing w:val="-1"/>
          <w:sz w:val="20"/>
        </w:rPr>
        <w:t> </w:t>
      </w:r>
      <w:r>
        <w:rPr>
          <w:sz w:val="20"/>
        </w:rPr>
        <w:t>podrá emplear</w:t>
      </w:r>
      <w:r>
        <w:rPr>
          <w:spacing w:val="-2"/>
          <w:sz w:val="20"/>
        </w:rPr>
        <w:t> </w:t>
      </w:r>
      <w:r>
        <w:rPr>
          <w:sz w:val="20"/>
        </w:rPr>
        <w:t>sus propios</w:t>
      </w:r>
      <w:r>
        <w:rPr>
          <w:spacing w:val="-2"/>
          <w:sz w:val="20"/>
        </w:rPr>
        <w:t> </w:t>
      </w:r>
      <w:r>
        <w:rPr>
          <w:sz w:val="20"/>
        </w:rPr>
        <w:t>medios o pagar el servicio para que el trabajador haga uso de un trasporte público adecuado;</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BodyText"/>
        <w:ind w:left="1202" w:right="334" w:hanging="8"/>
        <w:jc w:val="both"/>
      </w:pPr>
      <w:r>
        <w:rPr/>
        <w:t>Si la persona trabajadora del campo fuere contratada para residir temporalmente en</w:t>
      </w:r>
      <w:r>
        <w:rPr>
          <w:spacing w:val="27"/>
        </w:rPr>
        <w:t> </w:t>
      </w:r>
      <w:r>
        <w:rPr/>
        <w:t>el centro</w:t>
      </w:r>
      <w:r>
        <w:rPr>
          <w:spacing w:val="40"/>
        </w:rPr>
        <w:t> </w:t>
      </w:r>
      <w:r>
        <w:rPr/>
        <w:t>de trabajo, en un lugar distinto donde tiene su residencia habitual, la persona empleadora</w:t>
      </w:r>
      <w:r>
        <w:rPr>
          <w:spacing w:val="40"/>
        </w:rPr>
        <w:t> </w:t>
      </w:r>
      <w:r>
        <w:rPr/>
        <w:t>tendrá a su cargo el traslado seguro y cómodo de aquélla, el de su grupo familiar y las pertenencias de todos ellos, desde el lugar de contratación al de ejecución del contrato cuando se iniciare la relación y de regreso al terminarse el vínculo;</w:t>
      </w:r>
    </w:p>
    <w:p>
      <w:pPr>
        <w:spacing w:line="240" w:lineRule="auto" w:before="0"/>
        <w:ind w:left="7242" w:right="333" w:firstLine="7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24-01-2024</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68"/>
        </w:numPr>
        <w:tabs>
          <w:tab w:pos="1195" w:val="left" w:leader="none"/>
        </w:tabs>
        <w:spacing w:line="229" w:lineRule="exact" w:before="1" w:after="0"/>
        <w:ind w:left="1195" w:right="0" w:hanging="569"/>
        <w:jc w:val="left"/>
        <w:rPr>
          <w:sz w:val="20"/>
        </w:rPr>
      </w:pPr>
      <w:r>
        <w:rPr>
          <w:sz w:val="20"/>
        </w:rPr>
        <w:t>Utilizar</w:t>
      </w:r>
      <w:r>
        <w:rPr>
          <w:spacing w:val="-8"/>
          <w:sz w:val="20"/>
        </w:rPr>
        <w:t> </w:t>
      </w:r>
      <w:r>
        <w:rPr>
          <w:sz w:val="20"/>
        </w:rPr>
        <w:t>los</w:t>
      </w:r>
      <w:r>
        <w:rPr>
          <w:spacing w:val="-7"/>
          <w:sz w:val="20"/>
        </w:rPr>
        <w:t> </w:t>
      </w:r>
      <w:r>
        <w:rPr>
          <w:sz w:val="20"/>
        </w:rPr>
        <w:t>servicios</w:t>
      </w:r>
      <w:r>
        <w:rPr>
          <w:spacing w:val="-7"/>
          <w:sz w:val="20"/>
        </w:rPr>
        <w:t> </w:t>
      </w:r>
      <w:r>
        <w:rPr>
          <w:sz w:val="20"/>
        </w:rPr>
        <w:t>de</w:t>
      </w:r>
      <w:r>
        <w:rPr>
          <w:spacing w:val="-8"/>
          <w:sz w:val="20"/>
        </w:rPr>
        <w:t> </w:t>
      </w:r>
      <w:r>
        <w:rPr>
          <w:sz w:val="20"/>
        </w:rPr>
        <w:t>un</w:t>
      </w:r>
      <w:r>
        <w:rPr>
          <w:spacing w:val="-6"/>
          <w:sz w:val="20"/>
        </w:rPr>
        <w:t> </w:t>
      </w:r>
      <w:r>
        <w:rPr>
          <w:sz w:val="20"/>
        </w:rPr>
        <w:t>intérprete</w:t>
      </w:r>
      <w:r>
        <w:rPr>
          <w:spacing w:val="-7"/>
          <w:sz w:val="20"/>
        </w:rPr>
        <w:t> </w:t>
      </w:r>
      <w:r>
        <w:rPr>
          <w:sz w:val="20"/>
        </w:rPr>
        <w:t>cuando</w:t>
      </w:r>
      <w:r>
        <w:rPr>
          <w:spacing w:val="-7"/>
          <w:sz w:val="20"/>
        </w:rPr>
        <w:t> </w:t>
      </w:r>
      <w:r>
        <w:rPr>
          <w:sz w:val="20"/>
        </w:rPr>
        <w:t>los</w:t>
      </w:r>
      <w:r>
        <w:rPr>
          <w:spacing w:val="-7"/>
          <w:sz w:val="20"/>
        </w:rPr>
        <w:t> </w:t>
      </w:r>
      <w:r>
        <w:rPr>
          <w:sz w:val="20"/>
        </w:rPr>
        <w:t>trabajadores</w:t>
      </w:r>
      <w:r>
        <w:rPr>
          <w:spacing w:val="-6"/>
          <w:sz w:val="20"/>
        </w:rPr>
        <w:t> </w:t>
      </w:r>
      <w:r>
        <w:rPr>
          <w:sz w:val="20"/>
        </w:rPr>
        <w:t>no</w:t>
      </w:r>
      <w:r>
        <w:rPr>
          <w:spacing w:val="-8"/>
          <w:sz w:val="20"/>
        </w:rPr>
        <w:t> </w:t>
      </w:r>
      <w:r>
        <w:rPr>
          <w:sz w:val="20"/>
        </w:rPr>
        <w:t>hablen</w:t>
      </w:r>
      <w:r>
        <w:rPr>
          <w:spacing w:val="-7"/>
          <w:sz w:val="20"/>
        </w:rPr>
        <w:t> </w:t>
      </w:r>
      <w:r>
        <w:rPr>
          <w:sz w:val="20"/>
        </w:rPr>
        <w:t>español;</w:t>
      </w:r>
      <w:r>
        <w:rPr>
          <w:spacing w:val="-6"/>
          <w:sz w:val="20"/>
        </w:rPr>
        <w:t> </w:t>
      </w:r>
      <w:r>
        <w:rPr>
          <w:spacing w:val="-10"/>
          <w:sz w:val="20"/>
        </w:rPr>
        <w:t>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1"/>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68"/>
        </w:numPr>
        <w:tabs>
          <w:tab w:pos="1202" w:val="left" w:leader="none"/>
        </w:tabs>
        <w:spacing w:line="242" w:lineRule="auto" w:before="0" w:after="0"/>
        <w:ind w:left="1202" w:right="342" w:hanging="576"/>
        <w:jc w:val="both"/>
        <w:rPr>
          <w:sz w:val="20"/>
        </w:rPr>
      </w:pPr>
      <w:r>
        <w:rPr>
          <w:sz w:val="20"/>
        </w:rPr>
        <w:t>Brindar servicios de guardería a los hijos e hijas de las personas trabajadoras del campo, durante todo el tiempo que dure la jornada laboral, independientemente del esquema de </w:t>
      </w:r>
      <w:r>
        <w:rPr>
          <w:spacing w:val="-2"/>
          <w:sz w:val="20"/>
        </w:rPr>
        <w:t>contratación.</w:t>
      </w:r>
    </w:p>
    <w:p>
      <w:pPr>
        <w:pStyle w:val="BodyText"/>
        <w:spacing w:before="225"/>
        <w:ind w:left="1202" w:right="342"/>
        <w:jc w:val="both"/>
      </w:pPr>
      <w:r>
        <w:rPr/>
        <w:t>En aquellos lugares donde el Instituto Mexicano del Seguro Social no cuente con instalaciones, la persona empleadora deberá habilitar espacios con instalaciones y mobiliario seguros e higiénicos, así como contar con personal capacitado y autorizado por las autoridades </w:t>
      </w:r>
      <w:r>
        <w:rPr>
          <w:spacing w:val="-2"/>
        </w:rPr>
        <w:t>competentes.</w:t>
      </w:r>
    </w:p>
    <w:p>
      <w:pPr>
        <w:pStyle w:val="BodyText"/>
      </w:pPr>
    </w:p>
    <w:p>
      <w:pPr>
        <w:pStyle w:val="BodyText"/>
        <w:ind w:left="1202" w:right="343"/>
        <w:jc w:val="both"/>
      </w:pPr>
      <w:r>
        <w:rPr/>
        <w:t>Este servicio deberá atender a los niños y niñas que aún no han cumplido la edad escolar y también, en contra turno, a los que asisten a la escuela hasta cubrir la jornada laboral de las personas trabajadoras del campo a cuyo cargo se encuentren;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68"/>
        </w:numPr>
        <w:tabs>
          <w:tab w:pos="1200" w:val="left" w:leader="none"/>
          <w:tab w:pos="1202" w:val="left" w:leader="none"/>
        </w:tabs>
        <w:spacing w:line="242" w:lineRule="auto" w:before="0" w:after="0"/>
        <w:ind w:left="1202" w:right="344" w:hanging="576"/>
        <w:jc w:val="both"/>
        <w:rPr>
          <w:sz w:val="20"/>
        </w:rPr>
      </w:pPr>
      <w:r>
        <w:rPr>
          <w:sz w:val="20"/>
        </w:rPr>
        <w:t>Capacitar y</w:t>
      </w:r>
      <w:r>
        <w:rPr>
          <w:spacing w:val="-5"/>
          <w:sz w:val="20"/>
        </w:rPr>
        <w:t> </w:t>
      </w:r>
      <w:r>
        <w:rPr>
          <w:sz w:val="20"/>
        </w:rPr>
        <w:t>adiestrar</w:t>
      </w:r>
      <w:r>
        <w:rPr>
          <w:spacing w:val="-4"/>
          <w:sz w:val="20"/>
        </w:rPr>
        <w:t> </w:t>
      </w:r>
      <w:r>
        <w:rPr>
          <w:sz w:val="20"/>
        </w:rPr>
        <w:t>sobre</w:t>
      </w:r>
      <w:r>
        <w:rPr>
          <w:spacing w:val="-1"/>
          <w:sz w:val="20"/>
        </w:rPr>
        <w:t> </w:t>
      </w:r>
      <w:r>
        <w:rPr>
          <w:sz w:val="20"/>
        </w:rPr>
        <w:t>el</w:t>
      </w:r>
      <w:r>
        <w:rPr>
          <w:spacing w:val="-3"/>
          <w:sz w:val="20"/>
        </w:rPr>
        <w:t> </w:t>
      </w:r>
      <w:r>
        <w:rPr>
          <w:sz w:val="20"/>
        </w:rPr>
        <w:t>uso</w:t>
      </w:r>
      <w:r>
        <w:rPr>
          <w:spacing w:val="-2"/>
          <w:sz w:val="20"/>
        </w:rPr>
        <w:t> </w:t>
      </w:r>
      <w:r>
        <w:rPr>
          <w:sz w:val="20"/>
        </w:rPr>
        <w:t>correcto</w:t>
      </w:r>
      <w:r>
        <w:rPr>
          <w:spacing w:val="-2"/>
          <w:sz w:val="20"/>
        </w:rPr>
        <w:t> </w:t>
      </w:r>
      <w:r>
        <w:rPr>
          <w:sz w:val="20"/>
        </w:rPr>
        <w:t>del</w:t>
      </w:r>
      <w:r>
        <w:rPr>
          <w:spacing w:val="-3"/>
          <w:sz w:val="20"/>
        </w:rPr>
        <w:t> </w:t>
      </w:r>
      <w:r>
        <w:rPr>
          <w:sz w:val="20"/>
        </w:rPr>
        <w:t>equipo</w:t>
      </w:r>
      <w:r>
        <w:rPr>
          <w:spacing w:val="-1"/>
          <w:sz w:val="20"/>
        </w:rPr>
        <w:t> </w:t>
      </w:r>
      <w:r>
        <w:rPr>
          <w:sz w:val="20"/>
        </w:rPr>
        <w:t>de</w:t>
      </w:r>
      <w:r>
        <w:rPr>
          <w:spacing w:val="-3"/>
          <w:sz w:val="20"/>
        </w:rPr>
        <w:t> </w:t>
      </w:r>
      <w:r>
        <w:rPr>
          <w:sz w:val="20"/>
        </w:rPr>
        <w:t>protección</w:t>
      </w:r>
      <w:r>
        <w:rPr>
          <w:spacing w:val="-2"/>
          <w:sz w:val="20"/>
        </w:rPr>
        <w:t> </w:t>
      </w:r>
      <w:r>
        <w:rPr>
          <w:sz w:val="20"/>
        </w:rPr>
        <w:t>personal</w:t>
      </w:r>
      <w:r>
        <w:rPr>
          <w:spacing w:val="-5"/>
          <w:sz w:val="20"/>
        </w:rPr>
        <w:t> </w:t>
      </w:r>
      <w:r>
        <w:rPr>
          <w:sz w:val="20"/>
        </w:rPr>
        <w:t>cuando</w:t>
      </w:r>
      <w:r>
        <w:rPr>
          <w:spacing w:val="-2"/>
          <w:sz w:val="20"/>
        </w:rPr>
        <w:t> </w:t>
      </w:r>
      <w:r>
        <w:rPr>
          <w:sz w:val="20"/>
        </w:rPr>
        <w:t>la</w:t>
      </w:r>
      <w:r>
        <w:rPr>
          <w:spacing w:val="-2"/>
          <w:sz w:val="20"/>
        </w:rPr>
        <w:t> </w:t>
      </w:r>
      <w:r>
        <w:rPr>
          <w:sz w:val="20"/>
        </w:rPr>
        <w:t>persona trabajadora del campo debiere realizar tareas peligrosas para su salud. Dicha capacitación deberá realizarse en la lengua indígena o en el idioma de la persona trabajadora.</w:t>
      </w:r>
    </w:p>
    <w:p>
      <w:pPr>
        <w:pStyle w:val="BodyText"/>
        <w:spacing w:before="228"/>
        <w:ind w:left="1202" w:right="332"/>
        <w:jc w:val="both"/>
      </w:pPr>
      <w:r>
        <w:rPr/>
        <w:t>Lo anterior también será aplicable cuando el trabajo implique la realización de procesos o manipulación de agroquímicos, sustancias tóxicas, irritantes o agresivas en cualquiera de sus </w:t>
      </w:r>
      <w:r>
        <w:rPr>
          <w:spacing w:val="-2"/>
        </w:rPr>
        <w:t>formas;</w:t>
      </w:r>
    </w:p>
    <w:p>
      <w:pPr>
        <w:spacing w:line="180" w:lineRule="exact" w:before="0"/>
        <w:ind w:left="52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01-05-2019.</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68"/>
        </w:numPr>
        <w:tabs>
          <w:tab w:pos="1200" w:val="left" w:leader="none"/>
          <w:tab w:pos="1202" w:val="left" w:leader="none"/>
        </w:tabs>
        <w:spacing w:line="240" w:lineRule="auto" w:before="0" w:after="0"/>
        <w:ind w:left="1202" w:right="337" w:hanging="576"/>
        <w:jc w:val="both"/>
        <w:rPr>
          <w:sz w:val="20"/>
        </w:rPr>
      </w:pPr>
      <w:r>
        <w:rPr>
          <w:sz w:val="20"/>
        </w:rPr>
        <w:t>Proveer el equipo de seguridad y de protección personal cuando por la operación propia del trabajo, fuere necesario su uso y</w:t>
      </w:r>
      <w:r>
        <w:rPr>
          <w:spacing w:val="-2"/>
          <w:sz w:val="20"/>
        </w:rPr>
        <w:t> </w:t>
      </w:r>
      <w:r>
        <w:rPr>
          <w:sz w:val="20"/>
        </w:rPr>
        <w:t>cuando la persona trabajadora del campo realizare tareas a la intemperie, en caso de lluvia, terrenos anegados u otras situaciones similares.</w:t>
      </w:r>
    </w:p>
    <w:p>
      <w:pPr>
        <w:pStyle w:val="BodyText"/>
        <w:spacing w:before="2"/>
      </w:pPr>
    </w:p>
    <w:p>
      <w:pPr>
        <w:pStyle w:val="BodyText"/>
        <w:ind w:left="1202" w:right="337"/>
        <w:jc w:val="both"/>
      </w:pPr>
      <w:r>
        <w:rPr/>
        <w:t>En el caso de actividades que impliquen el manejo de agroquímicos o cualquier otra sustancia química peligrosa, incluyendo el lavado de los equipos, envases y de la ropa de trabajo, deberá proporcionarse el equipo de protección personal indicado en la etiqueta u hoja de seguridad, además de supervisar su uso correcto, y mantener el equipo en condiciones de funcionamiento </w:t>
      </w:r>
      <w:r>
        <w:rPr>
          <w:spacing w:val="-2"/>
        </w:rPr>
        <w:t>seguro;</w:t>
      </w:r>
    </w:p>
    <w:p>
      <w:pPr>
        <w:spacing w:line="181"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0"/>
          <w:numId w:val="68"/>
        </w:numPr>
        <w:tabs>
          <w:tab w:pos="1200" w:val="left" w:leader="none"/>
          <w:tab w:pos="1202" w:val="left" w:leader="none"/>
        </w:tabs>
        <w:spacing w:line="240" w:lineRule="auto" w:before="0" w:after="0"/>
        <w:ind w:left="1202" w:right="337" w:hanging="576"/>
        <w:jc w:val="both"/>
        <w:rPr>
          <w:sz w:val="20"/>
        </w:rPr>
      </w:pPr>
      <w:r>
        <w:rPr>
          <w:sz w:val="20"/>
        </w:rPr>
        <w:t>Hacer observar el descanso, pausas y limitaciones a la duración de la jornada y adoptar las medidas</w:t>
      </w:r>
      <w:r>
        <w:rPr>
          <w:spacing w:val="-3"/>
          <w:sz w:val="20"/>
        </w:rPr>
        <w:t> </w:t>
      </w:r>
      <w:r>
        <w:rPr>
          <w:sz w:val="20"/>
        </w:rPr>
        <w:t>que,</w:t>
      </w:r>
      <w:r>
        <w:rPr>
          <w:spacing w:val="-4"/>
          <w:sz w:val="20"/>
        </w:rPr>
        <w:t> </w:t>
      </w:r>
      <w:r>
        <w:rPr>
          <w:sz w:val="20"/>
        </w:rPr>
        <w:t>según</w:t>
      </w:r>
      <w:r>
        <w:rPr>
          <w:spacing w:val="-2"/>
          <w:sz w:val="20"/>
        </w:rPr>
        <w:t> </w:t>
      </w:r>
      <w:r>
        <w:rPr>
          <w:sz w:val="20"/>
        </w:rPr>
        <w:t>el</w:t>
      </w:r>
      <w:r>
        <w:rPr>
          <w:spacing w:val="-5"/>
          <w:sz w:val="20"/>
        </w:rPr>
        <w:t> </w:t>
      </w:r>
      <w:r>
        <w:rPr>
          <w:sz w:val="20"/>
        </w:rPr>
        <w:t>tipo de</w:t>
      </w:r>
      <w:r>
        <w:rPr>
          <w:spacing w:val="-5"/>
          <w:sz w:val="20"/>
        </w:rPr>
        <w:t> </w:t>
      </w:r>
      <w:r>
        <w:rPr>
          <w:sz w:val="20"/>
        </w:rPr>
        <w:t>trabajo,</w:t>
      </w:r>
      <w:r>
        <w:rPr>
          <w:spacing w:val="-2"/>
          <w:sz w:val="20"/>
        </w:rPr>
        <w:t> </w:t>
      </w:r>
      <w:r>
        <w:rPr>
          <w:sz w:val="20"/>
        </w:rPr>
        <w:t>la</w:t>
      </w:r>
      <w:r>
        <w:rPr>
          <w:spacing w:val="-4"/>
          <w:sz w:val="20"/>
        </w:rPr>
        <w:t> </w:t>
      </w:r>
      <w:r>
        <w:rPr>
          <w:sz w:val="20"/>
        </w:rPr>
        <w:t>experiencia y</w:t>
      </w:r>
      <w:r>
        <w:rPr>
          <w:spacing w:val="-3"/>
          <w:sz w:val="20"/>
        </w:rPr>
        <w:t> </w:t>
      </w:r>
      <w:r>
        <w:rPr>
          <w:sz w:val="20"/>
        </w:rPr>
        <w:t>la</w:t>
      </w:r>
      <w:r>
        <w:rPr>
          <w:spacing w:val="-2"/>
          <w:sz w:val="20"/>
        </w:rPr>
        <w:t> </w:t>
      </w:r>
      <w:r>
        <w:rPr>
          <w:sz w:val="20"/>
        </w:rPr>
        <w:t>técnica</w:t>
      </w:r>
      <w:r>
        <w:rPr>
          <w:spacing w:val="-2"/>
          <w:sz w:val="20"/>
        </w:rPr>
        <w:t> </w:t>
      </w:r>
      <w:r>
        <w:rPr>
          <w:sz w:val="20"/>
        </w:rPr>
        <w:t>sean</w:t>
      </w:r>
      <w:r>
        <w:rPr>
          <w:spacing w:val="-4"/>
          <w:sz w:val="20"/>
        </w:rPr>
        <w:t> </w:t>
      </w:r>
      <w:r>
        <w:rPr>
          <w:sz w:val="20"/>
        </w:rPr>
        <w:t>necesarias para</w:t>
      </w:r>
      <w:r>
        <w:rPr>
          <w:spacing w:val="-4"/>
          <w:sz w:val="20"/>
        </w:rPr>
        <w:t> </w:t>
      </w:r>
      <w:r>
        <w:rPr>
          <w:sz w:val="20"/>
        </w:rPr>
        <w:t>tutelar</w:t>
      </w:r>
      <w:r>
        <w:rPr>
          <w:spacing w:val="-1"/>
          <w:sz w:val="20"/>
        </w:rPr>
        <w:t> </w:t>
      </w:r>
      <w:r>
        <w:rPr>
          <w:sz w:val="20"/>
        </w:rPr>
        <w:t>la integridad física y la dignidad de las personas trabajadoras del campo, debiendo evitar los efectos perniciosos de las tareas riesgosas o determinantes de vejez o agotamiento prematuro;</w:t>
      </w:r>
    </w:p>
    <w:p>
      <w:pPr>
        <w:spacing w:line="183"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68"/>
        </w:numPr>
        <w:tabs>
          <w:tab w:pos="1200" w:val="left" w:leader="none"/>
          <w:tab w:pos="1202" w:val="left" w:leader="none"/>
        </w:tabs>
        <w:spacing w:line="242" w:lineRule="auto" w:before="0" w:after="0"/>
        <w:ind w:left="1202" w:right="344" w:hanging="576"/>
        <w:jc w:val="both"/>
        <w:rPr>
          <w:sz w:val="20"/>
        </w:rPr>
      </w:pPr>
      <w:r>
        <w:rPr>
          <w:sz w:val="20"/>
        </w:rPr>
        <w:t>En el manejo de sustancias peligrosas químicas o biológicas, sus residuos o envases que los </w:t>
      </w:r>
      <w:r>
        <w:rPr>
          <w:spacing w:val="-2"/>
          <w:sz w:val="20"/>
        </w:rPr>
        <w:t>contengan:</w:t>
      </w:r>
    </w:p>
    <w:p>
      <w:pPr>
        <w:pStyle w:val="ListParagraph"/>
        <w:spacing w:after="0" w:line="242" w:lineRule="auto"/>
        <w:jc w:val="both"/>
        <w:rPr>
          <w:sz w:val="20"/>
        </w:rPr>
        <w:sectPr>
          <w:pgSz w:w="12240" w:h="15840"/>
          <w:pgMar w:header="724" w:footer="712" w:top="1880" w:bottom="900" w:left="1080" w:right="1080"/>
        </w:sectPr>
      </w:pPr>
    </w:p>
    <w:p>
      <w:pPr>
        <w:pStyle w:val="BodyText"/>
        <w:spacing w:before="63"/>
      </w:pPr>
    </w:p>
    <w:p>
      <w:pPr>
        <w:pStyle w:val="ListParagraph"/>
        <w:numPr>
          <w:ilvl w:val="1"/>
          <w:numId w:val="68"/>
        </w:numPr>
        <w:tabs>
          <w:tab w:pos="1632" w:val="left" w:leader="none"/>
          <w:tab w:pos="1634" w:val="left" w:leader="none"/>
        </w:tabs>
        <w:spacing w:line="242" w:lineRule="auto" w:before="0" w:after="0"/>
        <w:ind w:left="1634" w:right="345" w:hanging="432"/>
        <w:jc w:val="both"/>
        <w:rPr>
          <w:sz w:val="20"/>
        </w:rPr>
      </w:pPr>
      <w:r>
        <w:rPr>
          <w:sz w:val="20"/>
        </w:rPr>
        <w:t>Aplicar únicamente agroquímicos con Registro Sanitario de Plaguicidas y Nutrientes Vegetales vigente, no caducos, en las dosis recomendadas y sin mezclar productos incompatibles, según lo establecido en las etiquetas;</w:t>
      </w:r>
    </w:p>
    <w:p>
      <w:pPr>
        <w:pStyle w:val="ListParagraph"/>
        <w:numPr>
          <w:ilvl w:val="1"/>
          <w:numId w:val="68"/>
        </w:numPr>
        <w:tabs>
          <w:tab w:pos="1634" w:val="left" w:leader="none"/>
        </w:tabs>
        <w:spacing w:line="240" w:lineRule="auto" w:before="225" w:after="0"/>
        <w:ind w:left="1634" w:right="341" w:hanging="432"/>
        <w:jc w:val="both"/>
        <w:rPr>
          <w:sz w:val="20"/>
        </w:rPr>
      </w:pPr>
      <w:r>
        <w:rPr>
          <w:sz w:val="20"/>
        </w:rPr>
        <w:t>Verificar que todos los envases que contienen agroquímicos cuenten con la etiqueta original, y contar con las hojas de datos de seguridad impresas de cada uno de los agroquímicos y sustancias químicas que se utilicen;</w:t>
      </w:r>
    </w:p>
    <w:p>
      <w:pPr>
        <w:pStyle w:val="ListParagraph"/>
        <w:numPr>
          <w:ilvl w:val="1"/>
          <w:numId w:val="68"/>
        </w:numPr>
        <w:tabs>
          <w:tab w:pos="1632" w:val="left" w:leader="none"/>
          <w:tab w:pos="1634" w:val="left" w:leader="none"/>
        </w:tabs>
        <w:spacing w:line="242" w:lineRule="auto" w:before="229" w:after="0"/>
        <w:ind w:left="1634" w:right="338" w:hanging="432"/>
        <w:jc w:val="both"/>
        <w:rPr>
          <w:sz w:val="20"/>
        </w:rPr>
      </w:pPr>
      <w:r>
        <w:rPr>
          <w:sz w:val="20"/>
        </w:rPr>
        <w:t>Señalizar las áreas de almacenamiento, manejo, de mezclado o llenado de sustancias químicas o</w:t>
      </w:r>
      <w:r>
        <w:rPr>
          <w:spacing w:val="-1"/>
          <w:sz w:val="20"/>
        </w:rPr>
        <w:t> </w:t>
      </w:r>
      <w:r>
        <w:rPr>
          <w:sz w:val="20"/>
        </w:rPr>
        <w:t>biológicas, así como</w:t>
      </w:r>
      <w:r>
        <w:rPr>
          <w:spacing w:val="-1"/>
          <w:sz w:val="20"/>
        </w:rPr>
        <w:t> </w:t>
      </w:r>
      <w:r>
        <w:rPr>
          <w:sz w:val="20"/>
        </w:rPr>
        <w:t>de</w:t>
      </w:r>
      <w:r>
        <w:rPr>
          <w:spacing w:val="-1"/>
          <w:sz w:val="20"/>
        </w:rPr>
        <w:t> </w:t>
      </w:r>
      <w:r>
        <w:rPr>
          <w:sz w:val="20"/>
        </w:rPr>
        <w:t>los envases que</w:t>
      </w:r>
      <w:r>
        <w:rPr>
          <w:spacing w:val="-1"/>
          <w:sz w:val="20"/>
        </w:rPr>
        <w:t> </w:t>
      </w:r>
      <w:r>
        <w:rPr>
          <w:sz w:val="20"/>
        </w:rPr>
        <w:t>hubieran</w:t>
      </w:r>
      <w:r>
        <w:rPr>
          <w:spacing w:val="-1"/>
          <w:sz w:val="20"/>
        </w:rPr>
        <w:t> </w:t>
      </w:r>
      <w:r>
        <w:rPr>
          <w:sz w:val="20"/>
        </w:rPr>
        <w:t>contenido</w:t>
      </w:r>
      <w:r>
        <w:rPr>
          <w:spacing w:val="-1"/>
          <w:sz w:val="20"/>
        </w:rPr>
        <w:t> </w:t>
      </w:r>
      <w:r>
        <w:rPr>
          <w:sz w:val="20"/>
        </w:rPr>
        <w:t>dichas sustancias, </w:t>
      </w:r>
      <w:r>
        <w:rPr>
          <w:spacing w:val="-10"/>
          <w:sz w:val="20"/>
        </w:rPr>
        <w:t>y</w:t>
      </w:r>
    </w:p>
    <w:p>
      <w:pPr>
        <w:pStyle w:val="ListParagraph"/>
        <w:numPr>
          <w:ilvl w:val="1"/>
          <w:numId w:val="68"/>
        </w:numPr>
        <w:tabs>
          <w:tab w:pos="1634" w:val="left" w:leader="none"/>
        </w:tabs>
        <w:spacing w:line="242" w:lineRule="auto" w:before="223" w:after="0"/>
        <w:ind w:left="1634" w:right="344" w:hanging="432"/>
        <w:jc w:val="both"/>
        <w:rPr>
          <w:sz w:val="20"/>
        </w:rPr>
      </w:pPr>
      <w:r>
        <w:rPr>
          <w:sz w:val="20"/>
        </w:rPr>
        <w:t>Observar las demás disposiciones de conformidad con las disposiciones legales</w:t>
      </w:r>
      <w:r>
        <w:rPr>
          <w:spacing w:val="80"/>
          <w:sz w:val="20"/>
        </w:rPr>
        <w:t> </w:t>
      </w:r>
      <w:r>
        <w:rPr>
          <w:spacing w:val="-2"/>
          <w:sz w:val="20"/>
        </w:rPr>
        <w:t>aplicables;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68"/>
        </w:numPr>
        <w:tabs>
          <w:tab w:pos="1200" w:val="left" w:leader="none"/>
          <w:tab w:pos="1202" w:val="left" w:leader="none"/>
        </w:tabs>
        <w:spacing w:line="242" w:lineRule="auto" w:before="0" w:after="0"/>
        <w:ind w:left="1202" w:right="345" w:hanging="576"/>
        <w:jc w:val="both"/>
        <w:rPr>
          <w:sz w:val="20"/>
        </w:rPr>
      </w:pPr>
      <w:r>
        <w:rPr>
          <w:sz w:val="20"/>
        </w:rPr>
        <w:t>Identificar</w:t>
      </w:r>
      <w:r>
        <w:rPr>
          <w:spacing w:val="-4"/>
          <w:sz w:val="20"/>
        </w:rPr>
        <w:t> </w:t>
      </w:r>
      <w:r>
        <w:rPr>
          <w:sz w:val="20"/>
        </w:rPr>
        <w:t>plenamente</w:t>
      </w:r>
      <w:r>
        <w:rPr>
          <w:spacing w:val="-5"/>
          <w:sz w:val="20"/>
        </w:rPr>
        <w:t> </w:t>
      </w:r>
      <w:r>
        <w:rPr>
          <w:sz w:val="20"/>
        </w:rPr>
        <w:t>por</w:t>
      </w:r>
      <w:r>
        <w:rPr>
          <w:spacing w:val="-2"/>
          <w:sz w:val="20"/>
        </w:rPr>
        <w:t> </w:t>
      </w:r>
      <w:r>
        <w:rPr>
          <w:sz w:val="20"/>
        </w:rPr>
        <w:t>escrito</w:t>
      </w:r>
      <w:r>
        <w:rPr>
          <w:spacing w:val="-3"/>
          <w:sz w:val="20"/>
        </w:rPr>
        <w:t> </w:t>
      </w:r>
      <w:r>
        <w:rPr>
          <w:sz w:val="20"/>
        </w:rPr>
        <w:t>los</w:t>
      </w:r>
      <w:r>
        <w:rPr>
          <w:spacing w:val="-3"/>
          <w:sz w:val="20"/>
        </w:rPr>
        <w:t> </w:t>
      </w:r>
      <w:r>
        <w:rPr>
          <w:sz w:val="20"/>
        </w:rPr>
        <w:t>posibles</w:t>
      </w:r>
      <w:r>
        <w:rPr>
          <w:spacing w:val="-2"/>
          <w:sz w:val="20"/>
        </w:rPr>
        <w:t> </w:t>
      </w:r>
      <w:r>
        <w:rPr>
          <w:sz w:val="20"/>
        </w:rPr>
        <w:t>peligros</w:t>
      </w:r>
      <w:r>
        <w:rPr>
          <w:spacing w:val="-3"/>
          <w:sz w:val="20"/>
        </w:rPr>
        <w:t> </w:t>
      </w:r>
      <w:r>
        <w:rPr>
          <w:sz w:val="20"/>
        </w:rPr>
        <w:t>derivados</w:t>
      </w:r>
      <w:r>
        <w:rPr>
          <w:spacing w:val="-2"/>
          <w:sz w:val="20"/>
        </w:rPr>
        <w:t> </w:t>
      </w:r>
      <w:r>
        <w:rPr>
          <w:sz w:val="20"/>
        </w:rPr>
        <w:t>de</w:t>
      </w:r>
      <w:r>
        <w:rPr>
          <w:spacing w:val="-3"/>
          <w:sz w:val="20"/>
        </w:rPr>
        <w:t> </w:t>
      </w:r>
      <w:r>
        <w:rPr>
          <w:sz w:val="20"/>
        </w:rPr>
        <w:t>las</w:t>
      </w:r>
      <w:r>
        <w:rPr>
          <w:spacing w:val="-3"/>
          <w:sz w:val="20"/>
        </w:rPr>
        <w:t> </w:t>
      </w:r>
      <w:r>
        <w:rPr>
          <w:sz w:val="20"/>
        </w:rPr>
        <w:t>actividades</w:t>
      </w:r>
      <w:r>
        <w:rPr>
          <w:spacing w:val="-2"/>
          <w:sz w:val="20"/>
        </w:rPr>
        <w:t> </w:t>
      </w:r>
      <w:r>
        <w:rPr>
          <w:sz w:val="20"/>
        </w:rPr>
        <w:t>y</w:t>
      </w:r>
      <w:r>
        <w:rPr>
          <w:spacing w:val="-5"/>
          <w:sz w:val="20"/>
        </w:rPr>
        <w:t> </w:t>
      </w:r>
      <w:r>
        <w:rPr>
          <w:sz w:val="20"/>
        </w:rPr>
        <w:t>de</w:t>
      </w:r>
      <w:r>
        <w:rPr>
          <w:spacing w:val="-3"/>
          <w:sz w:val="20"/>
        </w:rPr>
        <w:t> </w:t>
      </w:r>
      <w:r>
        <w:rPr>
          <w:sz w:val="20"/>
        </w:rPr>
        <w:t>lugares en que se llevan a cabo éstas, para ello, se deberá considerar, al menos, los aspectos </w:t>
      </w:r>
      <w:r>
        <w:rPr>
          <w:spacing w:val="-2"/>
          <w:sz w:val="20"/>
        </w:rPr>
        <w:t>siguientes:</w:t>
      </w:r>
    </w:p>
    <w:p>
      <w:pPr>
        <w:pStyle w:val="ListParagraph"/>
        <w:numPr>
          <w:ilvl w:val="1"/>
          <w:numId w:val="68"/>
        </w:numPr>
        <w:tabs>
          <w:tab w:pos="1634" w:val="left" w:leader="none"/>
        </w:tabs>
        <w:spacing w:line="240" w:lineRule="auto" w:before="224" w:after="0"/>
        <w:ind w:left="1634" w:right="0" w:hanging="432"/>
        <w:jc w:val="left"/>
        <w:rPr>
          <w:sz w:val="20"/>
        </w:rPr>
      </w:pPr>
      <w:r>
        <w:rPr>
          <w:sz w:val="20"/>
        </w:rPr>
        <w:t>La</w:t>
      </w:r>
      <w:r>
        <w:rPr>
          <w:spacing w:val="-8"/>
          <w:sz w:val="20"/>
        </w:rPr>
        <w:t> </w:t>
      </w:r>
      <w:r>
        <w:rPr>
          <w:sz w:val="20"/>
        </w:rPr>
        <w:t>exposición</w:t>
      </w:r>
      <w:r>
        <w:rPr>
          <w:spacing w:val="-6"/>
          <w:sz w:val="20"/>
        </w:rPr>
        <w:t> </w:t>
      </w:r>
      <w:r>
        <w:rPr>
          <w:sz w:val="20"/>
        </w:rPr>
        <w:t>a</w:t>
      </w:r>
      <w:r>
        <w:rPr>
          <w:spacing w:val="-6"/>
          <w:sz w:val="20"/>
        </w:rPr>
        <w:t> </w:t>
      </w:r>
      <w:r>
        <w:rPr>
          <w:sz w:val="20"/>
        </w:rPr>
        <w:t>agroquímicos</w:t>
      </w:r>
      <w:r>
        <w:rPr>
          <w:spacing w:val="-5"/>
          <w:sz w:val="20"/>
        </w:rPr>
        <w:t> </w:t>
      </w:r>
      <w:r>
        <w:rPr>
          <w:sz w:val="20"/>
        </w:rPr>
        <w:t>o</w:t>
      </w:r>
      <w:r>
        <w:rPr>
          <w:spacing w:val="-8"/>
          <w:sz w:val="20"/>
        </w:rPr>
        <w:t> </w:t>
      </w:r>
      <w:r>
        <w:rPr>
          <w:sz w:val="20"/>
        </w:rPr>
        <w:t>cualquier</w:t>
      </w:r>
      <w:r>
        <w:rPr>
          <w:spacing w:val="-6"/>
          <w:sz w:val="20"/>
        </w:rPr>
        <w:t> </w:t>
      </w:r>
      <w:r>
        <w:rPr>
          <w:sz w:val="20"/>
        </w:rPr>
        <w:t>otra</w:t>
      </w:r>
      <w:r>
        <w:rPr>
          <w:spacing w:val="-7"/>
          <w:sz w:val="20"/>
        </w:rPr>
        <w:t> </w:t>
      </w:r>
      <w:r>
        <w:rPr>
          <w:sz w:val="20"/>
        </w:rPr>
        <w:t>sustancia</w:t>
      </w:r>
      <w:r>
        <w:rPr>
          <w:spacing w:val="-6"/>
          <w:sz w:val="20"/>
        </w:rPr>
        <w:t> </w:t>
      </w:r>
      <w:r>
        <w:rPr>
          <w:sz w:val="20"/>
        </w:rPr>
        <w:t>química</w:t>
      </w:r>
      <w:r>
        <w:rPr>
          <w:spacing w:val="-6"/>
          <w:sz w:val="20"/>
        </w:rPr>
        <w:t> </w:t>
      </w:r>
      <w:r>
        <w:rPr>
          <w:spacing w:val="-2"/>
          <w:sz w:val="20"/>
        </w:rPr>
        <w:t>peligrosa;</w:t>
      </w:r>
    </w:p>
    <w:p>
      <w:pPr>
        <w:pStyle w:val="ListParagraph"/>
        <w:numPr>
          <w:ilvl w:val="1"/>
          <w:numId w:val="68"/>
        </w:numPr>
        <w:tabs>
          <w:tab w:pos="1634" w:val="left" w:leader="none"/>
        </w:tabs>
        <w:spacing w:line="242" w:lineRule="auto" w:before="229" w:after="0"/>
        <w:ind w:left="1634" w:right="343" w:hanging="432"/>
        <w:jc w:val="both"/>
        <w:rPr>
          <w:sz w:val="20"/>
        </w:rPr>
      </w:pPr>
      <w:r>
        <w:rPr>
          <w:sz w:val="20"/>
        </w:rPr>
        <w:t>La operación, manejo, revisión, transporte o mantenimiento de tractores, maquinaria agrícola, equipos, vehículos y herramientas;</w:t>
      </w:r>
    </w:p>
    <w:p>
      <w:pPr>
        <w:pStyle w:val="ListParagraph"/>
        <w:numPr>
          <w:ilvl w:val="1"/>
          <w:numId w:val="68"/>
        </w:numPr>
        <w:tabs>
          <w:tab w:pos="1632" w:val="left" w:leader="none"/>
          <w:tab w:pos="1634" w:val="left" w:leader="none"/>
        </w:tabs>
        <w:spacing w:line="242" w:lineRule="auto" w:before="227" w:after="0"/>
        <w:ind w:left="1634" w:right="344" w:hanging="432"/>
        <w:jc w:val="both"/>
        <w:rPr>
          <w:sz w:val="20"/>
        </w:rPr>
      </w:pPr>
      <w:r>
        <w:rPr>
          <w:sz w:val="20"/>
        </w:rPr>
        <w:t>Los trabajos en alturas y espacios confinados, incluyendo silos y tanques de almacenamiento de productos agrícolas;</w:t>
      </w:r>
    </w:p>
    <w:p>
      <w:pPr>
        <w:pStyle w:val="ListParagraph"/>
        <w:numPr>
          <w:ilvl w:val="1"/>
          <w:numId w:val="68"/>
        </w:numPr>
        <w:tabs>
          <w:tab w:pos="1634" w:val="left" w:leader="none"/>
        </w:tabs>
        <w:spacing w:line="240" w:lineRule="auto" w:before="224" w:after="0"/>
        <w:ind w:left="1634" w:right="0" w:hanging="432"/>
        <w:jc w:val="left"/>
        <w:rPr>
          <w:sz w:val="20"/>
        </w:rPr>
      </w:pPr>
      <w:r>
        <w:rPr>
          <w:sz w:val="20"/>
        </w:rPr>
        <w:t>El</w:t>
      </w:r>
      <w:r>
        <w:rPr>
          <w:spacing w:val="-7"/>
          <w:sz w:val="20"/>
        </w:rPr>
        <w:t> </w:t>
      </w:r>
      <w:r>
        <w:rPr>
          <w:sz w:val="20"/>
        </w:rPr>
        <w:t>manejo</w:t>
      </w:r>
      <w:r>
        <w:rPr>
          <w:spacing w:val="-6"/>
          <w:sz w:val="20"/>
        </w:rPr>
        <w:t> </w:t>
      </w:r>
      <w:r>
        <w:rPr>
          <w:sz w:val="20"/>
        </w:rPr>
        <w:t>manual</w:t>
      </w:r>
      <w:r>
        <w:rPr>
          <w:spacing w:val="-4"/>
          <w:sz w:val="20"/>
        </w:rPr>
        <w:t> </w:t>
      </w:r>
      <w:r>
        <w:rPr>
          <w:sz w:val="20"/>
        </w:rPr>
        <w:t>de</w:t>
      </w:r>
      <w:r>
        <w:rPr>
          <w:spacing w:val="-7"/>
          <w:sz w:val="20"/>
        </w:rPr>
        <w:t> </w:t>
      </w:r>
      <w:r>
        <w:rPr>
          <w:sz w:val="20"/>
        </w:rPr>
        <w:t>cargas</w:t>
      </w:r>
      <w:r>
        <w:rPr>
          <w:spacing w:val="-3"/>
          <w:sz w:val="20"/>
        </w:rPr>
        <w:t> </w:t>
      </w:r>
      <w:r>
        <w:rPr>
          <w:sz w:val="20"/>
        </w:rPr>
        <w:t>y</w:t>
      </w:r>
      <w:r>
        <w:rPr>
          <w:spacing w:val="-8"/>
          <w:sz w:val="20"/>
        </w:rPr>
        <w:t> </w:t>
      </w:r>
      <w:r>
        <w:rPr>
          <w:sz w:val="20"/>
        </w:rPr>
        <w:t>otros</w:t>
      </w:r>
      <w:r>
        <w:rPr>
          <w:spacing w:val="-5"/>
          <w:sz w:val="20"/>
        </w:rPr>
        <w:t> </w:t>
      </w:r>
      <w:r>
        <w:rPr>
          <w:sz w:val="20"/>
        </w:rPr>
        <w:t>factores</w:t>
      </w:r>
      <w:r>
        <w:rPr>
          <w:spacing w:val="-4"/>
          <w:sz w:val="20"/>
        </w:rPr>
        <w:t> </w:t>
      </w:r>
      <w:r>
        <w:rPr>
          <w:sz w:val="20"/>
        </w:rPr>
        <w:t>de</w:t>
      </w:r>
      <w:r>
        <w:rPr>
          <w:spacing w:val="-4"/>
          <w:sz w:val="20"/>
        </w:rPr>
        <w:t> </w:t>
      </w:r>
      <w:r>
        <w:rPr>
          <w:sz w:val="20"/>
        </w:rPr>
        <w:t>riesgo</w:t>
      </w:r>
      <w:r>
        <w:rPr>
          <w:spacing w:val="-4"/>
          <w:sz w:val="20"/>
        </w:rPr>
        <w:t> </w:t>
      </w:r>
      <w:r>
        <w:rPr>
          <w:spacing w:val="-2"/>
          <w:sz w:val="20"/>
        </w:rPr>
        <w:t>ergonómico;</w:t>
      </w:r>
    </w:p>
    <w:p>
      <w:pPr>
        <w:pStyle w:val="BodyText"/>
        <w:spacing w:before="1"/>
      </w:pPr>
    </w:p>
    <w:p>
      <w:pPr>
        <w:pStyle w:val="ListParagraph"/>
        <w:numPr>
          <w:ilvl w:val="1"/>
          <w:numId w:val="68"/>
        </w:numPr>
        <w:tabs>
          <w:tab w:pos="1634" w:val="left" w:leader="none"/>
        </w:tabs>
        <w:spacing w:line="240" w:lineRule="auto" w:before="0" w:after="0"/>
        <w:ind w:left="1634" w:right="0" w:hanging="432"/>
        <w:jc w:val="left"/>
        <w:rPr>
          <w:sz w:val="20"/>
        </w:rPr>
      </w:pPr>
      <w:r>
        <w:rPr>
          <w:sz w:val="20"/>
        </w:rPr>
        <w:t>La</w:t>
      </w:r>
      <w:r>
        <w:rPr>
          <w:spacing w:val="-9"/>
          <w:sz w:val="20"/>
        </w:rPr>
        <w:t> </w:t>
      </w:r>
      <w:r>
        <w:rPr>
          <w:sz w:val="20"/>
        </w:rPr>
        <w:t>exposición</w:t>
      </w:r>
      <w:r>
        <w:rPr>
          <w:spacing w:val="-7"/>
          <w:sz w:val="20"/>
        </w:rPr>
        <w:t> </w:t>
      </w:r>
      <w:r>
        <w:rPr>
          <w:sz w:val="20"/>
        </w:rPr>
        <w:t>a</w:t>
      </w:r>
      <w:r>
        <w:rPr>
          <w:spacing w:val="-8"/>
          <w:sz w:val="20"/>
        </w:rPr>
        <w:t> </w:t>
      </w:r>
      <w:r>
        <w:rPr>
          <w:sz w:val="20"/>
        </w:rPr>
        <w:t>ruido,</w:t>
      </w:r>
      <w:r>
        <w:rPr>
          <w:spacing w:val="-6"/>
          <w:sz w:val="20"/>
        </w:rPr>
        <w:t> </w:t>
      </w:r>
      <w:r>
        <w:rPr>
          <w:sz w:val="20"/>
        </w:rPr>
        <w:t>vibraciones</w:t>
      </w:r>
      <w:r>
        <w:rPr>
          <w:spacing w:val="-3"/>
          <w:sz w:val="20"/>
        </w:rPr>
        <w:t> </w:t>
      </w:r>
      <w:r>
        <w:rPr>
          <w:sz w:val="20"/>
        </w:rPr>
        <w:t>y</w:t>
      </w:r>
      <w:r>
        <w:rPr>
          <w:spacing w:val="-10"/>
          <w:sz w:val="20"/>
        </w:rPr>
        <w:t> </w:t>
      </w:r>
      <w:r>
        <w:rPr>
          <w:sz w:val="20"/>
        </w:rPr>
        <w:t>radiación</w:t>
      </w:r>
      <w:r>
        <w:rPr>
          <w:spacing w:val="-9"/>
          <w:sz w:val="20"/>
        </w:rPr>
        <w:t> </w:t>
      </w:r>
      <w:r>
        <w:rPr>
          <w:spacing w:val="-2"/>
          <w:sz w:val="20"/>
        </w:rPr>
        <w:t>solar;</w:t>
      </w:r>
    </w:p>
    <w:p>
      <w:pPr>
        <w:pStyle w:val="BodyText"/>
        <w:spacing w:before="1"/>
      </w:pPr>
    </w:p>
    <w:p>
      <w:pPr>
        <w:pStyle w:val="ListParagraph"/>
        <w:numPr>
          <w:ilvl w:val="1"/>
          <w:numId w:val="68"/>
        </w:numPr>
        <w:tabs>
          <w:tab w:pos="1632" w:val="left" w:leader="none"/>
          <w:tab w:pos="1634" w:val="left" w:leader="none"/>
        </w:tabs>
        <w:spacing w:line="240" w:lineRule="auto" w:before="0" w:after="0"/>
        <w:ind w:left="1634" w:right="343" w:hanging="432"/>
        <w:jc w:val="both"/>
        <w:rPr>
          <w:sz w:val="20"/>
        </w:rPr>
      </w:pPr>
      <w:r>
        <w:rPr>
          <w:sz w:val="20"/>
        </w:rPr>
        <w:t>La exposición a polvos generados en actividades como el arado de la tierra, la producción de diversos granos, legumbres y otros productos agrícolas; el envasado y traslado de los </w:t>
      </w:r>
      <w:r>
        <w:rPr>
          <w:spacing w:val="-2"/>
          <w:sz w:val="20"/>
        </w:rPr>
        <w:t>cultivos;</w:t>
      </w:r>
    </w:p>
    <w:p>
      <w:pPr>
        <w:pStyle w:val="ListParagraph"/>
        <w:numPr>
          <w:ilvl w:val="1"/>
          <w:numId w:val="68"/>
        </w:numPr>
        <w:tabs>
          <w:tab w:pos="1634" w:val="left" w:leader="none"/>
        </w:tabs>
        <w:spacing w:line="242" w:lineRule="auto" w:before="229" w:after="0"/>
        <w:ind w:left="1634" w:right="346" w:hanging="432"/>
        <w:jc w:val="both"/>
        <w:rPr>
          <w:sz w:val="20"/>
        </w:rPr>
      </w:pPr>
      <w:r>
        <w:rPr>
          <w:sz w:val="20"/>
        </w:rPr>
        <w:t>Los peligros biológicos, tales como flora y fauna nociva, así como riesgo de contraer enfermedades por picadura o mordedura de insectos o animales transmisores de éstas;</w:t>
      </w:r>
    </w:p>
    <w:p>
      <w:pPr>
        <w:pStyle w:val="ListParagraph"/>
        <w:numPr>
          <w:ilvl w:val="1"/>
          <w:numId w:val="68"/>
        </w:numPr>
        <w:tabs>
          <w:tab w:pos="1634" w:val="left" w:leader="none"/>
        </w:tabs>
        <w:spacing w:line="242" w:lineRule="auto" w:before="224" w:after="0"/>
        <w:ind w:left="1634" w:right="346" w:hanging="432"/>
        <w:jc w:val="both"/>
        <w:rPr>
          <w:sz w:val="20"/>
        </w:rPr>
      </w:pPr>
      <w:r>
        <w:rPr>
          <w:sz w:val="20"/>
        </w:rPr>
        <w:t>Las condiciones ambientales extremas, así como exposición a descargas eléctricas </w:t>
      </w:r>
      <w:r>
        <w:rPr>
          <w:spacing w:val="-2"/>
          <w:sz w:val="20"/>
        </w:rPr>
        <w:t>atmosféricas;</w:t>
      </w:r>
    </w:p>
    <w:p>
      <w:pPr>
        <w:pStyle w:val="ListParagraph"/>
        <w:numPr>
          <w:ilvl w:val="1"/>
          <w:numId w:val="68"/>
        </w:numPr>
        <w:tabs>
          <w:tab w:pos="1634" w:val="left" w:leader="none"/>
        </w:tabs>
        <w:spacing w:line="242" w:lineRule="auto" w:before="227" w:after="0"/>
        <w:ind w:left="1634" w:right="342" w:hanging="432"/>
        <w:jc w:val="both"/>
        <w:rPr>
          <w:sz w:val="20"/>
        </w:rPr>
      </w:pPr>
      <w:r>
        <w:rPr>
          <w:sz w:val="20"/>
        </w:rPr>
        <w:t>La generación de electricidad estática y el riesgo de incendio y/o explosión en silos y tanques de almacenamiento de productos agrícolas, y</w:t>
      </w:r>
    </w:p>
    <w:p>
      <w:pPr>
        <w:pStyle w:val="ListParagraph"/>
        <w:numPr>
          <w:ilvl w:val="1"/>
          <w:numId w:val="68"/>
        </w:numPr>
        <w:tabs>
          <w:tab w:pos="1634" w:val="left" w:leader="none"/>
        </w:tabs>
        <w:spacing w:line="242" w:lineRule="auto" w:before="225" w:after="0"/>
        <w:ind w:left="1634" w:right="344" w:hanging="432"/>
        <w:jc w:val="both"/>
        <w:rPr>
          <w:sz w:val="20"/>
        </w:rPr>
      </w:pPr>
      <w:r>
        <w:rPr>
          <w:sz w:val="20"/>
        </w:rPr>
        <w:t>Los factores de riesgo psicosocial que pudieran afectar a las personas trabajadoras del </w:t>
      </w:r>
      <w:r>
        <w:rPr>
          <w:spacing w:val="-2"/>
          <w:sz w:val="20"/>
        </w:rPr>
        <w:t>campo;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68"/>
        </w:numPr>
        <w:tabs>
          <w:tab w:pos="1200" w:val="left" w:leader="none"/>
          <w:tab w:pos="1202" w:val="left" w:leader="none"/>
        </w:tabs>
        <w:spacing w:line="240" w:lineRule="auto" w:before="0" w:after="0"/>
        <w:ind w:left="1202" w:right="338" w:hanging="576"/>
        <w:jc w:val="both"/>
        <w:rPr>
          <w:sz w:val="20"/>
        </w:rPr>
      </w:pPr>
      <w:r>
        <w:rPr>
          <w:sz w:val="20"/>
        </w:rPr>
        <w:t>Observar las disposiciones aplicables de las normas oficiales mexicanas en materia de seguridad y salud en el trabajo, especialmente, en el caso de las mujeres, mujeres embarazadas o en lactancia y la prohibición de exponer a las personas menores de edad a riesgos para la salud.</w:t>
      </w:r>
    </w:p>
    <w:p>
      <w:pPr>
        <w:pStyle w:val="ListParagraph"/>
        <w:spacing w:after="0" w:line="240" w:lineRule="auto"/>
        <w:jc w:val="both"/>
        <w:rPr>
          <w:sz w:val="20"/>
        </w:rPr>
        <w:sectPr>
          <w:pgSz w:w="12240" w:h="15840"/>
          <w:pgMar w:header="724" w:footer="712" w:top="1880" w:bottom="900" w:left="1080" w:right="1080"/>
        </w:sectPr>
      </w:pPr>
    </w:p>
    <w:p>
      <w:pPr>
        <w:pStyle w:val="BodyText"/>
      </w:pPr>
    </w:p>
    <w:p>
      <w:pPr>
        <w:pStyle w:val="BodyText"/>
        <w:spacing w:before="66"/>
      </w:pPr>
    </w:p>
    <w:p>
      <w:pPr>
        <w:pStyle w:val="BodyText"/>
        <w:ind w:left="1202" w:right="343"/>
        <w:jc w:val="both"/>
      </w:pPr>
      <w:r>
        <w:rPr/>
        <w:t>La persona trabajadora podrá rehusarse a la prestación del trabajo, sin que ello le ocasione pérdida o disminución del salario, cuando exista peligro inminente de daño para su seguridad y su salud.</w:t>
      </w:r>
    </w:p>
    <w:p>
      <w:pPr>
        <w:pStyle w:val="BodyText"/>
        <w:spacing w:before="1"/>
      </w:pPr>
    </w:p>
    <w:p>
      <w:pPr>
        <w:pStyle w:val="BodyText"/>
        <w:ind w:left="1202" w:right="334"/>
        <w:jc w:val="both"/>
      </w:pPr>
      <w:r>
        <w:rPr/>
        <w:t>El Instituto Mexicano del Seguro Social podrá celebrar convenio con las personas empleadoras para el cumplimiento de las obligaciones señaladas en las fracciones VI, VII, primer párrafo, y XIII del presente artículo, conforme a las disposiciones aplicables de la Ley del Seguro Social.</w:t>
      </w:r>
    </w:p>
    <w:p>
      <w:pPr>
        <w:spacing w:line="180"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48"/>
        <w:rPr>
          <w:rFonts w:ascii="Times New Roman"/>
          <w:i/>
          <w:sz w:val="16"/>
        </w:rPr>
      </w:pPr>
    </w:p>
    <w:p>
      <w:pPr>
        <w:pStyle w:val="BodyText"/>
        <w:ind w:left="338" w:right="336" w:firstLine="288"/>
        <w:jc w:val="both"/>
      </w:pPr>
      <w:bookmarkStart w:name="Artículo_283_Bis" w:id="335"/>
      <w:bookmarkEnd w:id="335"/>
      <w:r>
        <w:rPr/>
      </w:r>
      <w:r>
        <w:rPr>
          <w:rFonts w:ascii="Arial" w:hAnsi="Arial"/>
          <w:b/>
        </w:rPr>
        <w:t>Artículo 283 Bis.- </w:t>
      </w:r>
      <w:r>
        <w:rPr/>
        <w:t>Las personas trabajadoras del campo tienen derecho a capacitarse en los programas que se implementen para el desarrollo de sus aptitudes y conocimientos y que tengan como propósito una progresiva mejora de las condiciones de trabajo en la actividad productiva en la que </w:t>
      </w:r>
      <w:r>
        <w:rPr>
          <w:spacing w:val="-2"/>
        </w:rPr>
        <w:t>laboran.</w:t>
      </w:r>
    </w:p>
    <w:p>
      <w:pPr>
        <w:pStyle w:val="BodyText"/>
        <w:spacing w:before="2"/>
      </w:pPr>
    </w:p>
    <w:p>
      <w:pPr>
        <w:pStyle w:val="BodyText"/>
        <w:spacing w:before="1"/>
        <w:ind w:left="338" w:right="333" w:firstLine="288"/>
        <w:jc w:val="both"/>
      </w:pPr>
      <w:r>
        <w:rPr/>
        <w:t>La persona empleadora deberá garantizar a las personas trabajadoras del campo el acceso equitativo a los esquemas de formación o certificación de competencias laborales que implemente, con independencia de su género, lengua indígena, categoría o cualquier otro parámetro. Las acciones derivadas de estos esquemas se llevarán a cabo dentro o fuera del horario de trabajo, según las características e implementación de aquéllos. En el caso de serlo dentro del horario de trabajo, el tiempo durante el cual las personas trabajadoras del campo asistan a actividades,</w:t>
      </w:r>
      <w:r>
        <w:rPr>
          <w:spacing w:val="40"/>
        </w:rPr>
        <w:t> </w:t>
      </w:r>
      <w:r>
        <w:rPr/>
        <w:t>será considerado como</w:t>
      </w:r>
      <w:r>
        <w:rPr>
          <w:spacing w:val="40"/>
        </w:rPr>
        <w:t> </w:t>
      </w:r>
      <w:r>
        <w:rPr/>
        <w:t>tiempo de trabajo para todos los efectos.</w:t>
      </w:r>
    </w:p>
    <w:p>
      <w:pPr>
        <w:pStyle w:val="BodyText"/>
        <w:spacing w:line="229" w:lineRule="exact" w:before="228"/>
        <w:ind w:left="626"/>
      </w:pPr>
      <w:r>
        <w:rPr/>
        <w:t>La</w:t>
      </w:r>
      <w:r>
        <w:rPr>
          <w:spacing w:val="-10"/>
        </w:rPr>
        <w:t> </w:t>
      </w:r>
      <w:r>
        <w:rPr/>
        <w:t>persona</w:t>
      </w:r>
      <w:r>
        <w:rPr>
          <w:spacing w:val="-8"/>
        </w:rPr>
        <w:t> </w:t>
      </w:r>
      <w:r>
        <w:rPr/>
        <w:t>empleadora</w:t>
      </w:r>
      <w:r>
        <w:rPr>
          <w:spacing w:val="-9"/>
        </w:rPr>
        <w:t> </w:t>
      </w:r>
      <w:r>
        <w:rPr/>
        <w:t>reconocerá</w:t>
      </w:r>
      <w:r>
        <w:rPr>
          <w:spacing w:val="-8"/>
        </w:rPr>
        <w:t> </w:t>
      </w:r>
      <w:r>
        <w:rPr/>
        <w:t>la</w:t>
      </w:r>
      <w:r>
        <w:rPr>
          <w:spacing w:val="-7"/>
        </w:rPr>
        <w:t> </w:t>
      </w:r>
      <w:r>
        <w:rPr/>
        <w:t>especialidad</w:t>
      </w:r>
      <w:r>
        <w:rPr>
          <w:spacing w:val="-9"/>
        </w:rPr>
        <w:t> </w:t>
      </w:r>
      <w:r>
        <w:rPr/>
        <w:t>de</w:t>
      </w:r>
      <w:r>
        <w:rPr>
          <w:spacing w:val="-8"/>
        </w:rPr>
        <w:t> </w:t>
      </w:r>
      <w:r>
        <w:rPr/>
        <w:t>las</w:t>
      </w:r>
      <w:r>
        <w:rPr>
          <w:spacing w:val="-8"/>
        </w:rPr>
        <w:t> </w:t>
      </w:r>
      <w:r>
        <w:rPr/>
        <w:t>personas</w:t>
      </w:r>
      <w:r>
        <w:rPr>
          <w:spacing w:val="-8"/>
        </w:rPr>
        <w:t> </w:t>
      </w:r>
      <w:r>
        <w:rPr/>
        <w:t>trabajadoras</w:t>
      </w:r>
      <w:r>
        <w:rPr>
          <w:spacing w:val="-6"/>
        </w:rPr>
        <w:t> </w:t>
      </w:r>
      <w:r>
        <w:rPr/>
        <w:t>del</w:t>
      </w:r>
      <w:r>
        <w:rPr>
          <w:spacing w:val="-10"/>
        </w:rPr>
        <w:t> </w:t>
      </w:r>
      <w:r>
        <w:rPr>
          <w:spacing w:val="-2"/>
        </w:rPr>
        <w:t>campo.</w:t>
      </w:r>
    </w:p>
    <w:p>
      <w:pPr>
        <w:spacing w:line="183"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338" w:right="335" w:firstLine="288"/>
        <w:jc w:val="both"/>
      </w:pPr>
      <w:bookmarkStart w:name="Artículo_283_Ter" w:id="336"/>
      <w:bookmarkEnd w:id="336"/>
      <w:r>
        <w:rPr/>
      </w:r>
      <w:r>
        <w:rPr>
          <w:rFonts w:ascii="Arial" w:hAnsi="Arial"/>
          <w:b/>
        </w:rPr>
        <w:t>Artículo 283 Ter.- </w:t>
      </w:r>
      <w:r>
        <w:rPr/>
        <w:t>La persona empleadora deberá promover un ambiente laboral libre de discriminación y de violencia, favoreciendo la igualdad sustantiva a través de la promoción y fortalecimiento del reconocimiento de la diversidad cultural indígena y afromexicana, goce o ejercicio de los derechos humanos y las libertades fundamentales en el ámbito laboral de las personas trabajadoras del campo.</w:t>
      </w:r>
    </w:p>
    <w:p>
      <w:pPr>
        <w:pStyle w:val="BodyText"/>
        <w:spacing w:before="3"/>
      </w:pPr>
    </w:p>
    <w:p>
      <w:pPr>
        <w:pStyle w:val="BodyText"/>
        <w:ind w:left="338" w:right="336" w:firstLine="288"/>
        <w:jc w:val="both"/>
      </w:pPr>
      <w:r>
        <w:rPr/>
        <w:t>La persona empleadora deberá respetar los descansos pre y postnatales de las trabajadoras embarazadas. Se deberán establecer las garantías y condiciones adecuadas dentro del espacio de trabajo para el ejercicio de la lactancia infantil mediante la instalación de salas de lactancia en términos</w:t>
      </w:r>
      <w:r>
        <w:rPr>
          <w:spacing w:val="40"/>
        </w:rPr>
        <w:t> </w:t>
      </w:r>
      <w:r>
        <w:rPr/>
        <w:t>de la presente Ley.</w:t>
      </w:r>
    </w:p>
    <w:p>
      <w:pPr>
        <w:pStyle w:val="BodyText"/>
      </w:pPr>
    </w:p>
    <w:p>
      <w:pPr>
        <w:pStyle w:val="BodyText"/>
        <w:ind w:left="338" w:right="342" w:firstLine="288"/>
        <w:jc w:val="both"/>
      </w:pPr>
      <w:r>
        <w:rPr/>
        <w:t>La trabajadora del campo temporal tendrá estabilidad en su empleo durante la gestación y hasta el término del puerperio.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1"/>
        <w:rPr>
          <w:rFonts w:ascii="Times New Roman"/>
          <w:i/>
        </w:rPr>
      </w:pPr>
    </w:p>
    <w:p>
      <w:pPr>
        <w:spacing w:before="0"/>
        <w:ind w:left="626" w:right="0" w:firstLine="0"/>
        <w:jc w:val="left"/>
        <w:rPr>
          <w:sz w:val="20"/>
        </w:rPr>
      </w:pPr>
      <w:bookmarkStart w:name="Artículo_284" w:id="337"/>
      <w:bookmarkEnd w:id="337"/>
      <w:r>
        <w:rPr/>
      </w:r>
      <w:r>
        <w:rPr>
          <w:rFonts w:ascii="Arial" w:hAnsi="Arial"/>
          <w:b/>
          <w:sz w:val="20"/>
        </w:rPr>
        <w:t>Artículo</w:t>
      </w:r>
      <w:r>
        <w:rPr>
          <w:rFonts w:ascii="Arial" w:hAnsi="Arial"/>
          <w:b/>
          <w:spacing w:val="-7"/>
          <w:sz w:val="20"/>
        </w:rPr>
        <w:t> </w:t>
      </w:r>
      <w:r>
        <w:rPr>
          <w:rFonts w:ascii="Arial" w:hAnsi="Arial"/>
          <w:b/>
          <w:sz w:val="20"/>
        </w:rPr>
        <w:t>284.-</w:t>
      </w:r>
      <w:r>
        <w:rPr>
          <w:rFonts w:ascii="Arial" w:hAnsi="Arial"/>
          <w:b/>
          <w:spacing w:val="-7"/>
          <w:sz w:val="20"/>
        </w:rPr>
        <w:t> </w:t>
      </w:r>
      <w:r>
        <w:rPr>
          <w:sz w:val="20"/>
        </w:rPr>
        <w:t>Queda</w:t>
      </w:r>
      <w:r>
        <w:rPr>
          <w:spacing w:val="-5"/>
          <w:sz w:val="20"/>
        </w:rPr>
        <w:t> </w:t>
      </w:r>
      <w:r>
        <w:rPr>
          <w:sz w:val="20"/>
        </w:rPr>
        <w:t>prohibido</w:t>
      </w:r>
      <w:r>
        <w:rPr>
          <w:spacing w:val="-8"/>
          <w:sz w:val="20"/>
        </w:rPr>
        <w:t> </w:t>
      </w:r>
      <w:r>
        <w:rPr>
          <w:sz w:val="20"/>
        </w:rPr>
        <w:t>a</w:t>
      </w:r>
      <w:r>
        <w:rPr>
          <w:spacing w:val="-7"/>
          <w:sz w:val="20"/>
        </w:rPr>
        <w:t> </w:t>
      </w:r>
      <w:r>
        <w:rPr>
          <w:sz w:val="20"/>
        </w:rPr>
        <w:t>las</w:t>
      </w:r>
      <w:r>
        <w:rPr>
          <w:spacing w:val="-6"/>
          <w:sz w:val="20"/>
        </w:rPr>
        <w:t> </w:t>
      </w:r>
      <w:r>
        <w:rPr>
          <w:sz w:val="20"/>
        </w:rPr>
        <w:t>personas</w:t>
      </w:r>
      <w:r>
        <w:rPr>
          <w:spacing w:val="-7"/>
          <w:sz w:val="20"/>
        </w:rPr>
        <w:t> </w:t>
      </w:r>
      <w:r>
        <w:rPr>
          <w:spacing w:val="-2"/>
          <w:sz w:val="20"/>
        </w:rPr>
        <w:t>empleadoras:</w:t>
      </w:r>
    </w:p>
    <w:p>
      <w:pPr>
        <w:pStyle w:val="ListParagraph"/>
        <w:numPr>
          <w:ilvl w:val="0"/>
          <w:numId w:val="69"/>
        </w:numPr>
        <w:tabs>
          <w:tab w:pos="1200" w:val="left" w:leader="none"/>
          <w:tab w:pos="1202" w:val="left" w:leader="none"/>
        </w:tabs>
        <w:spacing w:line="242" w:lineRule="auto" w:before="229" w:after="0"/>
        <w:ind w:left="1202" w:right="342" w:hanging="576"/>
        <w:jc w:val="both"/>
        <w:rPr>
          <w:sz w:val="20"/>
        </w:rPr>
      </w:pPr>
      <w:r>
        <w:rPr>
          <w:sz w:val="20"/>
        </w:rPr>
        <w:t>Establecer o permitir expendios de bebidas embriagantes y de casas de juego de azar en el centro de trabajo o en la zona de habitaciones de las personas trabajadoras del campo;</w:t>
      </w:r>
    </w:p>
    <w:p>
      <w:pPr>
        <w:pStyle w:val="ListParagraph"/>
        <w:numPr>
          <w:ilvl w:val="0"/>
          <w:numId w:val="69"/>
        </w:numPr>
        <w:tabs>
          <w:tab w:pos="1202" w:val="left" w:leader="none"/>
        </w:tabs>
        <w:spacing w:line="240" w:lineRule="auto" w:before="227" w:after="0"/>
        <w:ind w:left="1202" w:right="0" w:hanging="576"/>
        <w:jc w:val="left"/>
        <w:rPr>
          <w:sz w:val="20"/>
        </w:rPr>
      </w:pPr>
      <w:r>
        <w:rPr>
          <w:sz w:val="20"/>
        </w:rPr>
        <w:t>Impedir</w:t>
      </w:r>
      <w:r>
        <w:rPr>
          <w:spacing w:val="-7"/>
          <w:sz w:val="20"/>
        </w:rPr>
        <w:t> </w:t>
      </w:r>
      <w:r>
        <w:rPr>
          <w:sz w:val="20"/>
        </w:rPr>
        <w:t>la</w:t>
      </w:r>
      <w:r>
        <w:rPr>
          <w:spacing w:val="-7"/>
          <w:sz w:val="20"/>
        </w:rPr>
        <w:t> </w:t>
      </w:r>
      <w:r>
        <w:rPr>
          <w:sz w:val="20"/>
        </w:rPr>
        <w:t>entrada</w:t>
      </w:r>
      <w:r>
        <w:rPr>
          <w:spacing w:val="-8"/>
          <w:sz w:val="20"/>
        </w:rPr>
        <w:t> </w:t>
      </w:r>
      <w:r>
        <w:rPr>
          <w:sz w:val="20"/>
        </w:rPr>
        <w:t>a</w:t>
      </w:r>
      <w:r>
        <w:rPr>
          <w:spacing w:val="-6"/>
          <w:sz w:val="20"/>
        </w:rPr>
        <w:t> </w:t>
      </w:r>
      <w:r>
        <w:rPr>
          <w:sz w:val="20"/>
        </w:rPr>
        <w:t>los</w:t>
      </w:r>
      <w:r>
        <w:rPr>
          <w:spacing w:val="-5"/>
          <w:sz w:val="20"/>
        </w:rPr>
        <w:t> </w:t>
      </w:r>
      <w:r>
        <w:rPr>
          <w:sz w:val="20"/>
        </w:rPr>
        <w:t>vendedores</w:t>
      </w:r>
      <w:r>
        <w:rPr>
          <w:spacing w:val="-5"/>
          <w:sz w:val="20"/>
        </w:rPr>
        <w:t> </w:t>
      </w:r>
      <w:r>
        <w:rPr>
          <w:sz w:val="20"/>
        </w:rPr>
        <w:t>de</w:t>
      </w:r>
      <w:r>
        <w:rPr>
          <w:spacing w:val="-6"/>
          <w:sz w:val="20"/>
        </w:rPr>
        <w:t> </w:t>
      </w:r>
      <w:r>
        <w:rPr>
          <w:sz w:val="20"/>
        </w:rPr>
        <w:t>mercancías</w:t>
      </w:r>
      <w:r>
        <w:rPr>
          <w:spacing w:val="-7"/>
          <w:sz w:val="20"/>
        </w:rPr>
        <w:t> </w:t>
      </w:r>
      <w:r>
        <w:rPr>
          <w:sz w:val="20"/>
        </w:rPr>
        <w:t>o</w:t>
      </w:r>
      <w:r>
        <w:rPr>
          <w:spacing w:val="-8"/>
          <w:sz w:val="20"/>
        </w:rPr>
        <w:t> </w:t>
      </w:r>
      <w:r>
        <w:rPr>
          <w:sz w:val="20"/>
        </w:rPr>
        <w:t>cobrarles</w:t>
      </w:r>
      <w:r>
        <w:rPr>
          <w:spacing w:val="-6"/>
          <w:sz w:val="20"/>
        </w:rPr>
        <w:t> </w:t>
      </w:r>
      <w:r>
        <w:rPr>
          <w:sz w:val="20"/>
        </w:rPr>
        <w:t>alguna</w:t>
      </w:r>
      <w:r>
        <w:rPr>
          <w:spacing w:val="-9"/>
          <w:sz w:val="20"/>
        </w:rPr>
        <w:t> </w:t>
      </w:r>
      <w:r>
        <w:rPr>
          <w:spacing w:val="-2"/>
          <w:sz w:val="20"/>
        </w:rPr>
        <w:t>cuota;</w:t>
      </w:r>
    </w:p>
    <w:p>
      <w:pPr>
        <w:pStyle w:val="BodyText"/>
      </w:pPr>
    </w:p>
    <w:p>
      <w:pPr>
        <w:pStyle w:val="ListParagraph"/>
        <w:numPr>
          <w:ilvl w:val="0"/>
          <w:numId w:val="69"/>
        </w:numPr>
        <w:tabs>
          <w:tab w:pos="1198" w:val="left" w:leader="none"/>
          <w:tab w:pos="1202" w:val="left" w:leader="none"/>
        </w:tabs>
        <w:spacing w:line="240" w:lineRule="auto" w:before="1" w:after="0"/>
        <w:ind w:left="1202" w:right="340" w:hanging="576"/>
        <w:jc w:val="both"/>
        <w:rPr>
          <w:sz w:val="20"/>
        </w:rPr>
      </w:pPr>
      <w:r>
        <w:rPr>
          <w:sz w:val="20"/>
        </w:rPr>
        <w:t>Impedir a las personas trabajadoras la crianza de animales de corral en el predio individual o colectivo destinado a tal fin, a menos que ésta perjudique los cultivos o cualquier otra actividad que se realice en las propias instalaciones del centro de trabajo;</w:t>
      </w:r>
    </w:p>
    <w:p>
      <w:pPr>
        <w:pStyle w:val="ListParagraph"/>
        <w:spacing w:after="0" w:line="240" w:lineRule="auto"/>
        <w:jc w:val="both"/>
        <w:rPr>
          <w:sz w:val="20"/>
        </w:rPr>
        <w:sectPr>
          <w:pgSz w:w="12240" w:h="15840"/>
          <w:pgMar w:header="724" w:footer="712" w:top="1880" w:bottom="900" w:left="1080" w:right="1080"/>
        </w:sectPr>
      </w:pPr>
    </w:p>
    <w:p>
      <w:pPr>
        <w:pStyle w:val="BodyText"/>
        <w:spacing w:before="63"/>
      </w:pPr>
    </w:p>
    <w:p>
      <w:pPr>
        <w:pStyle w:val="ListParagraph"/>
        <w:numPr>
          <w:ilvl w:val="0"/>
          <w:numId w:val="69"/>
        </w:numPr>
        <w:tabs>
          <w:tab w:pos="1202" w:val="left" w:leader="none"/>
        </w:tabs>
        <w:spacing w:line="242" w:lineRule="auto" w:before="0" w:after="0"/>
        <w:ind w:left="1202" w:right="343" w:hanging="576"/>
        <w:jc w:val="both"/>
        <w:rPr>
          <w:sz w:val="20"/>
        </w:rPr>
      </w:pPr>
      <w:r>
        <w:rPr>
          <w:sz w:val="20"/>
        </w:rPr>
        <w:t>Utilizar los servicios de las personas menores de dieciocho años de edad en los términos previstos en esta Ley;</w:t>
      </w:r>
    </w:p>
    <w:p>
      <w:pPr>
        <w:pStyle w:val="ListParagraph"/>
        <w:numPr>
          <w:ilvl w:val="0"/>
          <w:numId w:val="69"/>
        </w:numPr>
        <w:tabs>
          <w:tab w:pos="1202" w:val="left" w:leader="none"/>
        </w:tabs>
        <w:spacing w:line="242" w:lineRule="auto" w:before="227" w:after="0"/>
        <w:ind w:left="1202" w:right="345" w:hanging="576"/>
        <w:jc w:val="both"/>
        <w:rPr>
          <w:sz w:val="20"/>
        </w:rPr>
      </w:pPr>
      <w:r>
        <w:rPr>
          <w:sz w:val="20"/>
        </w:rPr>
        <w:t>Pagar salarios inferiores a las mujeres, con excepción de las reducciones que correspondan debido a la duración de la jornada;</w:t>
      </w:r>
    </w:p>
    <w:p>
      <w:pPr>
        <w:pStyle w:val="ListParagraph"/>
        <w:numPr>
          <w:ilvl w:val="0"/>
          <w:numId w:val="69"/>
        </w:numPr>
        <w:tabs>
          <w:tab w:pos="1202" w:val="left" w:leader="none"/>
        </w:tabs>
        <w:spacing w:line="242" w:lineRule="auto" w:before="224" w:after="0"/>
        <w:ind w:left="1202" w:right="348" w:hanging="576"/>
        <w:jc w:val="both"/>
        <w:rPr>
          <w:sz w:val="20"/>
        </w:rPr>
      </w:pPr>
      <w:r>
        <w:rPr>
          <w:sz w:val="20"/>
        </w:rPr>
        <w:t>Obligar o permitir que las personas trabajadoras del campo lleven a sus hijos e hijas, menores de edad a trabajar con ellos y ellas, y</w:t>
      </w:r>
    </w:p>
    <w:p>
      <w:pPr>
        <w:pStyle w:val="ListParagraph"/>
        <w:numPr>
          <w:ilvl w:val="0"/>
          <w:numId w:val="69"/>
        </w:numPr>
        <w:tabs>
          <w:tab w:pos="1200" w:val="left" w:leader="none"/>
          <w:tab w:pos="1202" w:val="left" w:leader="none"/>
        </w:tabs>
        <w:spacing w:line="242" w:lineRule="auto" w:before="226" w:after="0"/>
        <w:ind w:left="1202" w:right="346" w:hanging="576"/>
        <w:jc w:val="both"/>
        <w:rPr>
          <w:sz w:val="20"/>
        </w:rPr>
      </w:pPr>
      <w:r>
        <w:rPr>
          <w:sz w:val="20"/>
        </w:rPr>
        <w:t>Pagar el salario con mercancías, vales, fichas, cualquier otro signo representativo distinto a la moneda de curso legal en el país o con bebidas embriagantes.</w:t>
      </w:r>
    </w:p>
    <w:p>
      <w:pPr>
        <w:spacing w:line="178"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48"/>
        <w:rPr>
          <w:rFonts w:ascii="Times New Roman"/>
          <w:i/>
          <w:sz w:val="16"/>
        </w:rPr>
      </w:pPr>
    </w:p>
    <w:p>
      <w:pPr>
        <w:pStyle w:val="BodyText"/>
        <w:ind w:left="338" w:right="341" w:firstLine="288"/>
        <w:jc w:val="both"/>
      </w:pPr>
      <w:bookmarkStart w:name="Artículo_284_Bis" w:id="338"/>
      <w:bookmarkEnd w:id="338"/>
      <w:r>
        <w:rPr/>
      </w:r>
      <w:r>
        <w:rPr>
          <w:rFonts w:ascii="Arial" w:hAnsi="Arial"/>
          <w:b/>
        </w:rPr>
        <w:t>Artículo 284 Bis.- </w:t>
      </w:r>
      <w:r>
        <w:rPr/>
        <w:t>Las y los Inspectores del Trabajo tienen la atribución y deber de realizar visitas de inspección por lo menos una vez al año y en temporada o estación de producción para constatar el</w:t>
      </w:r>
      <w:r>
        <w:rPr>
          <w:spacing w:val="40"/>
        </w:rPr>
        <w:t> </w:t>
      </w:r>
      <w:r>
        <w:rPr/>
        <w:t>debido cumplimiento de las obligaciones establecidas en el presente Capítulo, y de manera especial, el cumplimiento de las siguientes:</w:t>
      </w:r>
    </w:p>
    <w:p>
      <w:pPr>
        <w:pStyle w:val="BodyText"/>
      </w:pPr>
    </w:p>
    <w:p>
      <w:pPr>
        <w:pStyle w:val="ListParagraph"/>
        <w:numPr>
          <w:ilvl w:val="0"/>
          <w:numId w:val="70"/>
        </w:numPr>
        <w:tabs>
          <w:tab w:pos="1200" w:val="left" w:leader="none"/>
          <w:tab w:pos="1202" w:val="left" w:leader="none"/>
        </w:tabs>
        <w:spacing w:line="242" w:lineRule="auto" w:before="0" w:after="0"/>
        <w:ind w:left="1202" w:right="346" w:hanging="576"/>
        <w:jc w:val="both"/>
        <w:rPr>
          <w:sz w:val="20"/>
        </w:rPr>
      </w:pPr>
      <w:r>
        <w:rPr>
          <w:sz w:val="20"/>
        </w:rPr>
        <w:t>Verificar que el trabajo del campo se realice en adecuadas condiciones en materia de capacitación y adiestramiento y de seguridad y salud;</w:t>
      </w:r>
    </w:p>
    <w:p>
      <w:pPr>
        <w:pStyle w:val="ListParagraph"/>
        <w:numPr>
          <w:ilvl w:val="0"/>
          <w:numId w:val="70"/>
        </w:numPr>
        <w:tabs>
          <w:tab w:pos="1202" w:val="left" w:leader="none"/>
        </w:tabs>
        <w:spacing w:line="240" w:lineRule="auto" w:before="227" w:after="0"/>
        <w:ind w:left="1202" w:right="0" w:hanging="576"/>
        <w:jc w:val="left"/>
        <w:rPr>
          <w:sz w:val="20"/>
        </w:rPr>
      </w:pPr>
      <w:r>
        <w:rPr>
          <w:sz w:val="20"/>
        </w:rPr>
        <w:t>Vigilar</w:t>
      </w:r>
      <w:r>
        <w:rPr>
          <w:spacing w:val="-7"/>
          <w:sz w:val="20"/>
        </w:rPr>
        <w:t> </w:t>
      </w:r>
      <w:r>
        <w:rPr>
          <w:sz w:val="20"/>
        </w:rPr>
        <w:t>que</w:t>
      </w:r>
      <w:r>
        <w:rPr>
          <w:spacing w:val="-6"/>
          <w:sz w:val="20"/>
        </w:rPr>
        <w:t> </w:t>
      </w:r>
      <w:r>
        <w:rPr>
          <w:sz w:val="20"/>
        </w:rPr>
        <w:t>los</w:t>
      </w:r>
      <w:r>
        <w:rPr>
          <w:spacing w:val="-6"/>
          <w:sz w:val="20"/>
        </w:rPr>
        <w:t> </w:t>
      </w:r>
      <w:r>
        <w:rPr>
          <w:sz w:val="20"/>
        </w:rPr>
        <w:t>salarios</w:t>
      </w:r>
      <w:r>
        <w:rPr>
          <w:spacing w:val="-6"/>
          <w:sz w:val="20"/>
        </w:rPr>
        <w:t> </w:t>
      </w:r>
      <w:r>
        <w:rPr>
          <w:sz w:val="20"/>
        </w:rPr>
        <w:t>no</w:t>
      </w:r>
      <w:r>
        <w:rPr>
          <w:spacing w:val="-6"/>
          <w:sz w:val="20"/>
        </w:rPr>
        <w:t> </w:t>
      </w:r>
      <w:r>
        <w:rPr>
          <w:sz w:val="20"/>
        </w:rPr>
        <w:t>sean</w:t>
      </w:r>
      <w:r>
        <w:rPr>
          <w:spacing w:val="-5"/>
          <w:sz w:val="20"/>
        </w:rPr>
        <w:t> </w:t>
      </w:r>
      <w:r>
        <w:rPr>
          <w:sz w:val="20"/>
        </w:rPr>
        <w:t>inferiores</w:t>
      </w:r>
      <w:r>
        <w:rPr>
          <w:spacing w:val="-5"/>
          <w:sz w:val="20"/>
        </w:rPr>
        <w:t> </w:t>
      </w:r>
      <w:r>
        <w:rPr>
          <w:sz w:val="20"/>
        </w:rPr>
        <w:t>a</w:t>
      </w:r>
      <w:r>
        <w:rPr>
          <w:spacing w:val="-5"/>
          <w:sz w:val="20"/>
        </w:rPr>
        <w:t> </w:t>
      </w:r>
      <w:r>
        <w:rPr>
          <w:sz w:val="20"/>
        </w:rPr>
        <w:t>los</w:t>
      </w:r>
      <w:r>
        <w:rPr>
          <w:spacing w:val="-4"/>
          <w:sz w:val="20"/>
        </w:rPr>
        <w:t> </w:t>
      </w:r>
      <w:r>
        <w:rPr>
          <w:sz w:val="20"/>
        </w:rPr>
        <w:t>determinados</w:t>
      </w:r>
      <w:r>
        <w:rPr>
          <w:spacing w:val="-5"/>
          <w:sz w:val="20"/>
        </w:rPr>
        <w:t> </w:t>
      </w:r>
      <w:r>
        <w:rPr>
          <w:sz w:val="20"/>
        </w:rPr>
        <w:t>conforme</w:t>
      </w:r>
      <w:r>
        <w:rPr>
          <w:spacing w:val="-7"/>
          <w:sz w:val="20"/>
        </w:rPr>
        <w:t> </w:t>
      </w:r>
      <w:r>
        <w:rPr>
          <w:sz w:val="20"/>
        </w:rPr>
        <w:t>a</w:t>
      </w:r>
      <w:r>
        <w:rPr>
          <w:spacing w:val="-7"/>
          <w:sz w:val="20"/>
        </w:rPr>
        <w:t> </w:t>
      </w:r>
      <w:r>
        <w:rPr>
          <w:sz w:val="20"/>
        </w:rPr>
        <w:t>esta</w:t>
      </w:r>
      <w:r>
        <w:rPr>
          <w:spacing w:val="-7"/>
          <w:sz w:val="20"/>
        </w:rPr>
        <w:t> </w:t>
      </w:r>
      <w:r>
        <w:rPr>
          <w:spacing w:val="-4"/>
          <w:sz w:val="20"/>
        </w:rPr>
        <w:t>Ley;</w:t>
      </w:r>
    </w:p>
    <w:p>
      <w:pPr>
        <w:pStyle w:val="ListParagraph"/>
        <w:numPr>
          <w:ilvl w:val="0"/>
          <w:numId w:val="70"/>
        </w:numPr>
        <w:tabs>
          <w:tab w:pos="1202" w:val="left" w:leader="none"/>
        </w:tabs>
        <w:spacing w:line="240" w:lineRule="auto" w:before="228" w:after="0"/>
        <w:ind w:left="1202" w:right="0" w:hanging="576"/>
        <w:jc w:val="left"/>
        <w:rPr>
          <w:sz w:val="20"/>
        </w:rPr>
      </w:pPr>
      <w:r>
        <w:rPr>
          <w:sz w:val="20"/>
        </w:rPr>
        <w:t>Verificar</w:t>
      </w:r>
      <w:r>
        <w:rPr>
          <w:spacing w:val="-6"/>
          <w:sz w:val="20"/>
        </w:rPr>
        <w:t> </w:t>
      </w:r>
      <w:r>
        <w:rPr>
          <w:sz w:val="20"/>
        </w:rPr>
        <w:t>que</w:t>
      </w:r>
      <w:r>
        <w:rPr>
          <w:spacing w:val="-7"/>
          <w:sz w:val="20"/>
        </w:rPr>
        <w:t> </w:t>
      </w:r>
      <w:r>
        <w:rPr>
          <w:sz w:val="20"/>
        </w:rPr>
        <w:t>no</w:t>
      </w:r>
      <w:r>
        <w:rPr>
          <w:spacing w:val="-6"/>
          <w:sz w:val="20"/>
        </w:rPr>
        <w:t> </w:t>
      </w:r>
      <w:r>
        <w:rPr>
          <w:sz w:val="20"/>
        </w:rPr>
        <w:t>se</w:t>
      </w:r>
      <w:r>
        <w:rPr>
          <w:spacing w:val="-5"/>
          <w:sz w:val="20"/>
        </w:rPr>
        <w:t> </w:t>
      </w:r>
      <w:r>
        <w:rPr>
          <w:sz w:val="20"/>
        </w:rPr>
        <w:t>utilicen</w:t>
      </w:r>
      <w:r>
        <w:rPr>
          <w:spacing w:val="-4"/>
          <w:sz w:val="20"/>
        </w:rPr>
        <w:t> </w:t>
      </w:r>
      <w:r>
        <w:rPr>
          <w:sz w:val="20"/>
        </w:rPr>
        <w:t>los</w:t>
      </w:r>
      <w:r>
        <w:rPr>
          <w:spacing w:val="-5"/>
          <w:sz w:val="20"/>
        </w:rPr>
        <w:t> </w:t>
      </w:r>
      <w:r>
        <w:rPr>
          <w:sz w:val="20"/>
        </w:rPr>
        <w:t>servicios</w:t>
      </w:r>
      <w:r>
        <w:rPr>
          <w:spacing w:val="-5"/>
          <w:sz w:val="20"/>
        </w:rPr>
        <w:t> </w:t>
      </w:r>
      <w:r>
        <w:rPr>
          <w:sz w:val="20"/>
        </w:rPr>
        <w:t>de</w:t>
      </w:r>
      <w:r>
        <w:rPr>
          <w:spacing w:val="-5"/>
          <w:sz w:val="20"/>
        </w:rPr>
        <w:t> </w:t>
      </w:r>
      <w:r>
        <w:rPr>
          <w:sz w:val="20"/>
        </w:rPr>
        <w:t>niñas</w:t>
      </w:r>
      <w:r>
        <w:rPr>
          <w:spacing w:val="-3"/>
          <w:sz w:val="20"/>
        </w:rPr>
        <w:t> </w:t>
      </w:r>
      <w:r>
        <w:rPr>
          <w:sz w:val="20"/>
        </w:rPr>
        <w:t>y</w:t>
      </w:r>
      <w:r>
        <w:rPr>
          <w:spacing w:val="-7"/>
          <w:sz w:val="20"/>
        </w:rPr>
        <w:t> </w:t>
      </w:r>
      <w:r>
        <w:rPr>
          <w:sz w:val="20"/>
        </w:rPr>
        <w:t>niños</w:t>
      </w:r>
      <w:r>
        <w:rPr>
          <w:spacing w:val="-6"/>
          <w:sz w:val="20"/>
        </w:rPr>
        <w:t> </w:t>
      </w:r>
      <w:r>
        <w:rPr>
          <w:sz w:val="20"/>
        </w:rPr>
        <w:t>menores</w:t>
      </w:r>
      <w:r>
        <w:rPr>
          <w:spacing w:val="-4"/>
          <w:sz w:val="20"/>
        </w:rPr>
        <w:t> </w:t>
      </w:r>
      <w:r>
        <w:rPr>
          <w:sz w:val="20"/>
        </w:rPr>
        <w:t>de</w:t>
      </w:r>
      <w:r>
        <w:rPr>
          <w:spacing w:val="-7"/>
          <w:sz w:val="20"/>
        </w:rPr>
        <w:t> </w:t>
      </w:r>
      <w:r>
        <w:rPr>
          <w:spacing w:val="-2"/>
          <w:sz w:val="20"/>
        </w:rPr>
        <w:t>edad;</w:t>
      </w:r>
    </w:p>
    <w:p>
      <w:pPr>
        <w:pStyle w:val="BodyText"/>
        <w:spacing w:before="1"/>
      </w:pPr>
    </w:p>
    <w:p>
      <w:pPr>
        <w:pStyle w:val="ListParagraph"/>
        <w:numPr>
          <w:ilvl w:val="0"/>
          <w:numId w:val="70"/>
        </w:numPr>
        <w:tabs>
          <w:tab w:pos="1202" w:val="left" w:leader="none"/>
        </w:tabs>
        <w:spacing w:line="242" w:lineRule="auto" w:before="0" w:after="0"/>
        <w:ind w:left="1202" w:right="341" w:hanging="576"/>
        <w:jc w:val="both"/>
        <w:rPr>
          <w:sz w:val="20"/>
        </w:rPr>
      </w:pPr>
      <w:r>
        <w:rPr>
          <w:sz w:val="20"/>
        </w:rPr>
        <w:t>Verificar que se proporcione a las personas trabajadoras del campo habitaciones, transporte y educación para sus hijos e hijas;</w:t>
      </w:r>
    </w:p>
    <w:p>
      <w:pPr>
        <w:pStyle w:val="ListParagraph"/>
        <w:numPr>
          <w:ilvl w:val="0"/>
          <w:numId w:val="70"/>
        </w:numPr>
        <w:tabs>
          <w:tab w:pos="1202" w:val="left" w:leader="none"/>
        </w:tabs>
        <w:spacing w:line="240" w:lineRule="auto" w:before="225" w:after="0"/>
        <w:ind w:left="1202" w:right="341" w:hanging="576"/>
        <w:jc w:val="both"/>
        <w:rPr>
          <w:sz w:val="20"/>
        </w:rPr>
      </w:pPr>
      <w:r>
        <w:rPr>
          <w:sz w:val="20"/>
        </w:rPr>
        <w:t>Verificar que los contratos de trabajo se hagan constar por escrito y que se establezcan los mecanismos</w:t>
      </w:r>
      <w:r>
        <w:rPr>
          <w:spacing w:val="-3"/>
          <w:sz w:val="20"/>
        </w:rPr>
        <w:t> </w:t>
      </w:r>
      <w:r>
        <w:rPr>
          <w:sz w:val="20"/>
        </w:rPr>
        <w:t>para</w:t>
      </w:r>
      <w:r>
        <w:rPr>
          <w:spacing w:val="-4"/>
          <w:sz w:val="20"/>
        </w:rPr>
        <w:t> </w:t>
      </w:r>
      <w:r>
        <w:rPr>
          <w:sz w:val="20"/>
        </w:rPr>
        <w:t>informar</w:t>
      </w:r>
      <w:r>
        <w:rPr>
          <w:spacing w:val="-6"/>
          <w:sz w:val="20"/>
        </w:rPr>
        <w:t> </w:t>
      </w:r>
      <w:r>
        <w:rPr>
          <w:sz w:val="20"/>
        </w:rPr>
        <w:t>a</w:t>
      </w:r>
      <w:r>
        <w:rPr>
          <w:spacing w:val="-4"/>
          <w:sz w:val="20"/>
        </w:rPr>
        <w:t> </w:t>
      </w:r>
      <w:r>
        <w:rPr>
          <w:sz w:val="20"/>
        </w:rPr>
        <w:t>las</w:t>
      </w:r>
      <w:r>
        <w:rPr>
          <w:spacing w:val="-1"/>
          <w:sz w:val="20"/>
        </w:rPr>
        <w:t> </w:t>
      </w:r>
      <w:r>
        <w:rPr>
          <w:sz w:val="20"/>
        </w:rPr>
        <w:t>personas</w:t>
      </w:r>
      <w:r>
        <w:rPr>
          <w:spacing w:val="-1"/>
          <w:sz w:val="20"/>
        </w:rPr>
        <w:t> </w:t>
      </w:r>
      <w:r>
        <w:rPr>
          <w:sz w:val="20"/>
        </w:rPr>
        <w:t>trabajadoras</w:t>
      </w:r>
      <w:r>
        <w:rPr>
          <w:spacing w:val="-3"/>
          <w:sz w:val="20"/>
        </w:rPr>
        <w:t> </w:t>
      </w:r>
      <w:r>
        <w:rPr>
          <w:sz w:val="20"/>
        </w:rPr>
        <w:t>del</w:t>
      </w:r>
      <w:r>
        <w:rPr>
          <w:spacing w:val="-5"/>
          <w:sz w:val="20"/>
        </w:rPr>
        <w:t> </w:t>
      </w:r>
      <w:r>
        <w:rPr>
          <w:sz w:val="20"/>
        </w:rPr>
        <w:t>campo</w:t>
      </w:r>
      <w:r>
        <w:rPr>
          <w:spacing w:val="-5"/>
          <w:sz w:val="20"/>
        </w:rPr>
        <w:t> </w:t>
      </w:r>
      <w:r>
        <w:rPr>
          <w:sz w:val="20"/>
        </w:rPr>
        <w:t>acerca</w:t>
      </w:r>
      <w:r>
        <w:rPr>
          <w:spacing w:val="-4"/>
          <w:sz w:val="20"/>
        </w:rPr>
        <w:t> </w:t>
      </w:r>
      <w:r>
        <w:rPr>
          <w:sz w:val="20"/>
        </w:rPr>
        <w:t>de</w:t>
      </w:r>
      <w:r>
        <w:rPr>
          <w:spacing w:val="-4"/>
          <w:sz w:val="20"/>
        </w:rPr>
        <w:t> </w:t>
      </w:r>
      <w:r>
        <w:rPr>
          <w:sz w:val="20"/>
        </w:rPr>
        <w:t>las</w:t>
      </w:r>
      <w:r>
        <w:rPr>
          <w:spacing w:val="-1"/>
          <w:sz w:val="20"/>
        </w:rPr>
        <w:t> </w:t>
      </w:r>
      <w:r>
        <w:rPr>
          <w:sz w:val="20"/>
        </w:rPr>
        <w:t>autoridades</w:t>
      </w:r>
      <w:r>
        <w:rPr>
          <w:spacing w:val="-3"/>
          <w:sz w:val="20"/>
        </w:rPr>
        <w:t> </w:t>
      </w:r>
      <w:r>
        <w:rPr>
          <w:sz w:val="20"/>
        </w:rPr>
        <w:t>del trabajo</w:t>
      </w:r>
      <w:r>
        <w:rPr>
          <w:spacing w:val="-1"/>
          <w:sz w:val="20"/>
        </w:rPr>
        <w:t> </w:t>
      </w:r>
      <w:r>
        <w:rPr>
          <w:sz w:val="20"/>
        </w:rPr>
        <w:t>y</w:t>
      </w:r>
      <w:r>
        <w:rPr>
          <w:spacing w:val="-7"/>
          <w:sz w:val="20"/>
        </w:rPr>
        <w:t> </w:t>
      </w:r>
      <w:r>
        <w:rPr>
          <w:sz w:val="20"/>
        </w:rPr>
        <w:t>servicios</w:t>
      </w:r>
      <w:r>
        <w:rPr>
          <w:spacing w:val="-3"/>
          <w:sz w:val="20"/>
        </w:rPr>
        <w:t> </w:t>
      </w:r>
      <w:r>
        <w:rPr>
          <w:sz w:val="20"/>
        </w:rPr>
        <w:t>sociales</w:t>
      </w:r>
      <w:r>
        <w:rPr>
          <w:spacing w:val="-1"/>
          <w:sz w:val="20"/>
        </w:rPr>
        <w:t> </w:t>
      </w:r>
      <w:r>
        <w:rPr>
          <w:sz w:val="20"/>
        </w:rPr>
        <w:t>a</w:t>
      </w:r>
      <w:r>
        <w:rPr>
          <w:spacing w:val="-4"/>
          <w:sz w:val="20"/>
        </w:rPr>
        <w:t> </w:t>
      </w:r>
      <w:r>
        <w:rPr>
          <w:sz w:val="20"/>
        </w:rPr>
        <w:t>las</w:t>
      </w:r>
      <w:r>
        <w:rPr>
          <w:spacing w:val="-1"/>
          <w:sz w:val="20"/>
        </w:rPr>
        <w:t> </w:t>
      </w:r>
      <w:r>
        <w:rPr>
          <w:sz w:val="20"/>
        </w:rPr>
        <w:t>que</w:t>
      </w:r>
      <w:r>
        <w:rPr>
          <w:spacing w:val="-2"/>
          <w:sz w:val="20"/>
        </w:rPr>
        <w:t> </w:t>
      </w:r>
      <w:r>
        <w:rPr>
          <w:sz w:val="20"/>
        </w:rPr>
        <w:t>se</w:t>
      </w:r>
      <w:r>
        <w:rPr>
          <w:spacing w:val="-4"/>
          <w:sz w:val="20"/>
        </w:rPr>
        <w:t> </w:t>
      </w:r>
      <w:r>
        <w:rPr>
          <w:sz w:val="20"/>
        </w:rPr>
        <w:t>podrán</w:t>
      </w:r>
      <w:r>
        <w:rPr>
          <w:spacing w:val="-2"/>
          <w:sz w:val="20"/>
        </w:rPr>
        <w:t> </w:t>
      </w:r>
      <w:r>
        <w:rPr>
          <w:sz w:val="20"/>
        </w:rPr>
        <w:t>acudir</w:t>
      </w:r>
      <w:r>
        <w:rPr>
          <w:spacing w:val="-1"/>
          <w:sz w:val="20"/>
        </w:rPr>
        <w:t> </w:t>
      </w:r>
      <w:r>
        <w:rPr>
          <w:sz w:val="20"/>
        </w:rPr>
        <w:t>cuando</w:t>
      </w:r>
      <w:r>
        <w:rPr>
          <w:spacing w:val="-2"/>
          <w:sz w:val="20"/>
        </w:rPr>
        <w:t> </w:t>
      </w:r>
      <w:r>
        <w:rPr>
          <w:sz w:val="20"/>
        </w:rPr>
        <w:t>la</w:t>
      </w:r>
      <w:r>
        <w:rPr>
          <w:spacing w:val="-2"/>
          <w:sz w:val="20"/>
        </w:rPr>
        <w:t> </w:t>
      </w:r>
      <w:r>
        <w:rPr>
          <w:sz w:val="20"/>
        </w:rPr>
        <w:t>persona</w:t>
      </w:r>
      <w:r>
        <w:rPr>
          <w:spacing w:val="-5"/>
          <w:sz w:val="20"/>
        </w:rPr>
        <w:t> </w:t>
      </w:r>
      <w:r>
        <w:rPr>
          <w:sz w:val="20"/>
        </w:rPr>
        <w:t>trabajadora</w:t>
      </w:r>
      <w:r>
        <w:rPr>
          <w:spacing w:val="-4"/>
          <w:sz w:val="20"/>
        </w:rPr>
        <w:t> </w:t>
      </w:r>
      <w:r>
        <w:rPr>
          <w:sz w:val="20"/>
        </w:rPr>
        <w:t>del</w:t>
      </w:r>
      <w:r>
        <w:rPr>
          <w:spacing w:val="-5"/>
          <w:sz w:val="20"/>
        </w:rPr>
        <w:t> </w:t>
      </w:r>
      <w:r>
        <w:rPr>
          <w:sz w:val="20"/>
        </w:rPr>
        <w:t>campo considere que sus derechos han sido menoscabados, a fin de ejercer la acción legal conducente, y</w:t>
      </w:r>
    </w:p>
    <w:p>
      <w:pPr>
        <w:pStyle w:val="BodyText"/>
      </w:pPr>
    </w:p>
    <w:p>
      <w:pPr>
        <w:pStyle w:val="ListParagraph"/>
        <w:numPr>
          <w:ilvl w:val="0"/>
          <w:numId w:val="70"/>
        </w:numPr>
        <w:tabs>
          <w:tab w:pos="1202" w:val="left" w:leader="none"/>
        </w:tabs>
        <w:spacing w:line="240" w:lineRule="auto" w:before="0" w:after="0"/>
        <w:ind w:left="1202" w:right="0" w:hanging="576"/>
        <w:jc w:val="left"/>
        <w:rPr>
          <w:sz w:val="20"/>
        </w:rPr>
      </w:pPr>
      <w:r>
        <w:rPr>
          <w:sz w:val="20"/>
        </w:rPr>
        <w:t>Verificar</w:t>
      </w:r>
      <w:r>
        <w:rPr>
          <w:spacing w:val="-8"/>
          <w:sz w:val="20"/>
        </w:rPr>
        <w:t> </w:t>
      </w:r>
      <w:r>
        <w:rPr>
          <w:sz w:val="20"/>
        </w:rPr>
        <w:t>el</w:t>
      </w:r>
      <w:r>
        <w:rPr>
          <w:spacing w:val="-9"/>
          <w:sz w:val="20"/>
        </w:rPr>
        <w:t> </w:t>
      </w:r>
      <w:r>
        <w:rPr>
          <w:sz w:val="20"/>
        </w:rPr>
        <w:t>cumplimiento</w:t>
      </w:r>
      <w:r>
        <w:rPr>
          <w:spacing w:val="-9"/>
          <w:sz w:val="20"/>
        </w:rPr>
        <w:t> </w:t>
      </w:r>
      <w:r>
        <w:rPr>
          <w:sz w:val="20"/>
        </w:rPr>
        <w:t>de</w:t>
      </w:r>
      <w:r>
        <w:rPr>
          <w:spacing w:val="-7"/>
          <w:sz w:val="20"/>
        </w:rPr>
        <w:t> </w:t>
      </w:r>
      <w:r>
        <w:rPr>
          <w:sz w:val="20"/>
        </w:rPr>
        <w:t>cualquier</w:t>
      </w:r>
      <w:r>
        <w:rPr>
          <w:spacing w:val="-8"/>
          <w:sz w:val="20"/>
        </w:rPr>
        <w:t> </w:t>
      </w:r>
      <w:r>
        <w:rPr>
          <w:sz w:val="20"/>
        </w:rPr>
        <w:t>otra</w:t>
      </w:r>
      <w:r>
        <w:rPr>
          <w:spacing w:val="-6"/>
          <w:sz w:val="20"/>
        </w:rPr>
        <w:t> </w:t>
      </w:r>
      <w:r>
        <w:rPr>
          <w:sz w:val="20"/>
        </w:rPr>
        <w:t>disposición</w:t>
      </w:r>
      <w:r>
        <w:rPr>
          <w:spacing w:val="-6"/>
          <w:sz w:val="20"/>
        </w:rPr>
        <w:t> </w:t>
      </w:r>
      <w:r>
        <w:rPr>
          <w:sz w:val="20"/>
        </w:rPr>
        <w:t>protectora</w:t>
      </w:r>
      <w:r>
        <w:rPr>
          <w:spacing w:val="-6"/>
          <w:sz w:val="20"/>
        </w:rPr>
        <w:t> </w:t>
      </w:r>
      <w:r>
        <w:rPr>
          <w:sz w:val="20"/>
        </w:rPr>
        <w:t>del</w:t>
      </w:r>
      <w:r>
        <w:rPr>
          <w:spacing w:val="-9"/>
          <w:sz w:val="20"/>
        </w:rPr>
        <w:t> </w:t>
      </w:r>
      <w:r>
        <w:rPr>
          <w:sz w:val="20"/>
        </w:rPr>
        <w:t>trabajo</w:t>
      </w:r>
      <w:r>
        <w:rPr>
          <w:spacing w:val="-8"/>
          <w:sz w:val="20"/>
        </w:rPr>
        <w:t> </w:t>
      </w:r>
      <w:r>
        <w:rPr>
          <w:sz w:val="20"/>
        </w:rPr>
        <w:t>del</w:t>
      </w:r>
      <w:r>
        <w:rPr>
          <w:spacing w:val="-8"/>
          <w:sz w:val="20"/>
        </w:rPr>
        <w:t> </w:t>
      </w:r>
      <w:r>
        <w:rPr>
          <w:spacing w:val="-2"/>
          <w:sz w:val="20"/>
        </w:rPr>
        <w:t>campo.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Heading1"/>
        <w:spacing w:line="252" w:lineRule="exact" w:before="229"/>
      </w:pPr>
      <w:r>
        <w:rPr/>
        <w:t>CAPITULO</w:t>
      </w:r>
      <w:r>
        <w:rPr>
          <w:spacing w:val="-9"/>
        </w:rPr>
        <w:t> </w:t>
      </w:r>
      <w:r>
        <w:rPr>
          <w:spacing w:val="-7"/>
        </w:rPr>
        <w:t>IX</w:t>
      </w:r>
    </w:p>
    <w:p>
      <w:pPr>
        <w:pStyle w:val="Heading2"/>
        <w:spacing w:line="252" w:lineRule="exact"/>
        <w:ind w:left="300"/>
      </w:pPr>
      <w:r>
        <w:rPr/>
        <w:t>Agentes</w:t>
      </w:r>
      <w:r>
        <w:rPr>
          <w:spacing w:val="-4"/>
        </w:rPr>
        <w:t> </w:t>
      </w:r>
      <w:r>
        <w:rPr/>
        <w:t>de</w:t>
      </w:r>
      <w:r>
        <w:rPr>
          <w:spacing w:val="-4"/>
        </w:rPr>
        <w:t> </w:t>
      </w:r>
      <w:r>
        <w:rPr/>
        <w:t>comercio</w:t>
      </w:r>
      <w:r>
        <w:rPr>
          <w:spacing w:val="-2"/>
        </w:rPr>
        <w:t> </w:t>
      </w:r>
      <w:r>
        <w:rPr/>
        <w:t>y</w:t>
      </w:r>
      <w:r>
        <w:rPr>
          <w:spacing w:val="-6"/>
        </w:rPr>
        <w:t> </w:t>
      </w:r>
      <w:r>
        <w:rPr/>
        <w:t>otros</w:t>
      </w:r>
      <w:r>
        <w:rPr>
          <w:spacing w:val="-6"/>
        </w:rPr>
        <w:t> </w:t>
      </w:r>
      <w:r>
        <w:rPr>
          <w:spacing w:val="-2"/>
        </w:rPr>
        <w:t>semejantes</w:t>
      </w:r>
    </w:p>
    <w:p>
      <w:pPr>
        <w:pStyle w:val="BodyText"/>
        <w:spacing w:line="242" w:lineRule="auto" w:before="228"/>
        <w:ind w:left="338" w:right="343" w:firstLine="288"/>
        <w:jc w:val="both"/>
      </w:pPr>
      <w:bookmarkStart w:name="Artículo_285" w:id="339"/>
      <w:bookmarkEnd w:id="339"/>
      <w:r>
        <w:rPr/>
      </w:r>
      <w:r>
        <w:rPr>
          <w:rFonts w:ascii="Arial" w:hAnsi="Arial"/>
          <w:b/>
        </w:rPr>
        <w:t>Artículo 285.- </w:t>
      </w:r>
      <w:r>
        <w:rPr/>
        <w:t>Los agentes de comercio, de seguros, los vendedores, viajantes, propagandistas o impulsores de ventas y otros semejantes, son trabajadores de la empresa o empresas a las que presten sus</w:t>
      </w:r>
      <w:r>
        <w:rPr>
          <w:spacing w:val="-3"/>
        </w:rPr>
        <w:t> </w:t>
      </w:r>
      <w:r>
        <w:rPr/>
        <w:t>servicios,</w:t>
      </w:r>
      <w:r>
        <w:rPr>
          <w:spacing w:val="-4"/>
        </w:rPr>
        <w:t> </w:t>
      </w:r>
      <w:r>
        <w:rPr/>
        <w:t>cuando</w:t>
      </w:r>
      <w:r>
        <w:rPr>
          <w:spacing w:val="-2"/>
        </w:rPr>
        <w:t> </w:t>
      </w:r>
      <w:r>
        <w:rPr/>
        <w:t>su</w:t>
      </w:r>
      <w:r>
        <w:rPr>
          <w:spacing w:val="-4"/>
        </w:rPr>
        <w:t> </w:t>
      </w:r>
      <w:r>
        <w:rPr/>
        <w:t>actividad</w:t>
      </w:r>
      <w:r>
        <w:rPr>
          <w:spacing w:val="-5"/>
        </w:rPr>
        <w:t> </w:t>
      </w:r>
      <w:r>
        <w:rPr/>
        <w:t>sea permanente,</w:t>
      </w:r>
      <w:r>
        <w:rPr>
          <w:spacing w:val="-4"/>
        </w:rPr>
        <w:t> </w:t>
      </w:r>
      <w:r>
        <w:rPr/>
        <w:t>salvo</w:t>
      </w:r>
      <w:r>
        <w:rPr>
          <w:spacing w:val="-2"/>
        </w:rPr>
        <w:t> </w:t>
      </w:r>
      <w:r>
        <w:rPr/>
        <w:t>que</w:t>
      </w:r>
      <w:r>
        <w:rPr>
          <w:spacing w:val="-2"/>
        </w:rPr>
        <w:t> </w:t>
      </w:r>
      <w:r>
        <w:rPr/>
        <w:t>no</w:t>
      </w:r>
      <w:r>
        <w:rPr>
          <w:spacing w:val="-4"/>
        </w:rPr>
        <w:t> </w:t>
      </w:r>
      <w:r>
        <w:rPr/>
        <w:t>ejecuten</w:t>
      </w:r>
      <w:r>
        <w:rPr>
          <w:spacing w:val="-2"/>
        </w:rPr>
        <w:t> </w:t>
      </w:r>
      <w:r>
        <w:rPr/>
        <w:t>personalmente</w:t>
      </w:r>
      <w:r>
        <w:rPr>
          <w:spacing w:val="-5"/>
        </w:rPr>
        <w:t> </w:t>
      </w:r>
      <w:r>
        <w:rPr/>
        <w:t>el</w:t>
      </w:r>
      <w:r>
        <w:rPr>
          <w:spacing w:val="-5"/>
        </w:rPr>
        <w:t> </w:t>
      </w:r>
      <w:r>
        <w:rPr/>
        <w:t>trabajo</w:t>
      </w:r>
      <w:r>
        <w:rPr>
          <w:spacing w:val="-2"/>
        </w:rPr>
        <w:t> </w:t>
      </w:r>
      <w:r>
        <w:rPr/>
        <w:t>o</w:t>
      </w:r>
      <w:r>
        <w:rPr>
          <w:spacing w:val="-2"/>
        </w:rPr>
        <w:t> </w:t>
      </w:r>
      <w:r>
        <w:rPr/>
        <w:t>que únicamente intervengan en operaciones aisladas.</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338" w:firstLine="288"/>
      </w:pPr>
      <w:bookmarkStart w:name="Artículo_286" w:id="340"/>
      <w:bookmarkEnd w:id="340"/>
      <w:r>
        <w:rPr/>
      </w:r>
      <w:r>
        <w:rPr>
          <w:rFonts w:ascii="Arial" w:hAnsi="Arial"/>
          <w:b/>
        </w:rPr>
        <w:t>Artículo</w:t>
      </w:r>
      <w:r>
        <w:rPr>
          <w:rFonts w:ascii="Arial" w:hAnsi="Arial"/>
          <w:b/>
          <w:spacing w:val="33"/>
        </w:rPr>
        <w:t> </w:t>
      </w:r>
      <w:r>
        <w:rPr>
          <w:rFonts w:ascii="Arial" w:hAnsi="Arial"/>
          <w:b/>
        </w:rPr>
        <w:t>286.-</w:t>
      </w:r>
      <w:r>
        <w:rPr>
          <w:rFonts w:ascii="Arial" w:hAnsi="Arial"/>
          <w:b/>
          <w:spacing w:val="35"/>
        </w:rPr>
        <w:t> </w:t>
      </w:r>
      <w:r>
        <w:rPr/>
        <w:t>El</w:t>
      </w:r>
      <w:r>
        <w:rPr>
          <w:spacing w:val="34"/>
        </w:rPr>
        <w:t> </w:t>
      </w:r>
      <w:r>
        <w:rPr/>
        <w:t>salario</w:t>
      </w:r>
      <w:r>
        <w:rPr>
          <w:spacing w:val="35"/>
        </w:rPr>
        <w:t> </w:t>
      </w:r>
      <w:r>
        <w:rPr/>
        <w:t>a</w:t>
      </w:r>
      <w:r>
        <w:rPr>
          <w:spacing w:val="32"/>
        </w:rPr>
        <w:t> </w:t>
      </w:r>
      <w:r>
        <w:rPr/>
        <w:t>comisión</w:t>
      </w:r>
      <w:r>
        <w:rPr>
          <w:spacing w:val="32"/>
        </w:rPr>
        <w:t> </w:t>
      </w:r>
      <w:r>
        <w:rPr/>
        <w:t>puede</w:t>
      </w:r>
      <w:r>
        <w:rPr>
          <w:spacing w:val="34"/>
        </w:rPr>
        <w:t> </w:t>
      </w:r>
      <w:r>
        <w:rPr/>
        <w:t>comprender</w:t>
      </w:r>
      <w:r>
        <w:rPr>
          <w:spacing w:val="33"/>
        </w:rPr>
        <w:t> </w:t>
      </w:r>
      <w:r>
        <w:rPr/>
        <w:t>una</w:t>
      </w:r>
      <w:r>
        <w:rPr>
          <w:spacing w:val="34"/>
        </w:rPr>
        <w:t> </w:t>
      </w:r>
      <w:r>
        <w:rPr/>
        <w:t>prima</w:t>
      </w:r>
      <w:r>
        <w:rPr>
          <w:spacing w:val="32"/>
        </w:rPr>
        <w:t> </w:t>
      </w:r>
      <w:r>
        <w:rPr/>
        <w:t>sobre</w:t>
      </w:r>
      <w:r>
        <w:rPr>
          <w:spacing w:val="32"/>
        </w:rPr>
        <w:t> </w:t>
      </w:r>
      <w:r>
        <w:rPr/>
        <w:t>el</w:t>
      </w:r>
      <w:r>
        <w:rPr>
          <w:spacing w:val="34"/>
        </w:rPr>
        <w:t> </w:t>
      </w:r>
      <w:r>
        <w:rPr/>
        <w:t>valor</w:t>
      </w:r>
      <w:r>
        <w:rPr>
          <w:spacing w:val="34"/>
        </w:rPr>
        <w:t> </w:t>
      </w:r>
      <w:r>
        <w:rPr/>
        <w:t>de</w:t>
      </w:r>
      <w:r>
        <w:rPr>
          <w:spacing w:val="34"/>
        </w:rPr>
        <w:t> </w:t>
      </w:r>
      <w:r>
        <w:rPr/>
        <w:t>la</w:t>
      </w:r>
      <w:r>
        <w:rPr>
          <w:spacing w:val="32"/>
        </w:rPr>
        <w:t> </w:t>
      </w:r>
      <w:r>
        <w:rPr/>
        <w:t>mercancía vendida o colocada, sobre el pago inicial o sobre los pagos periódicos, o dos o las tres de dichas primas.</w:t>
      </w:r>
    </w:p>
    <w:p>
      <w:pPr>
        <w:pStyle w:val="BodyText"/>
        <w:spacing w:before="227"/>
        <w:ind w:left="338" w:firstLine="288"/>
      </w:pPr>
      <w:bookmarkStart w:name="Artículo_287" w:id="341"/>
      <w:bookmarkEnd w:id="341"/>
      <w:r>
        <w:rPr/>
      </w:r>
      <w:r>
        <w:rPr>
          <w:rFonts w:ascii="Arial" w:hAnsi="Arial"/>
          <w:b/>
        </w:rPr>
        <w:t>Artículo 287.- </w:t>
      </w:r>
      <w:r>
        <w:rPr/>
        <w:t>Para determinar el momento en que nace el derecho de los trabajadores a percibir las primas, se observarán las normas siguientes:</w:t>
      </w:r>
    </w:p>
    <w:p>
      <w:pPr>
        <w:pStyle w:val="BodyText"/>
        <w:spacing w:after="0"/>
        <w:sectPr>
          <w:pgSz w:w="12240" w:h="15840"/>
          <w:pgMar w:header="724" w:footer="712" w:top="1880" w:bottom="900" w:left="1080" w:right="1080"/>
        </w:sectPr>
      </w:pPr>
    </w:p>
    <w:p>
      <w:pPr>
        <w:pStyle w:val="BodyText"/>
        <w:spacing w:before="63"/>
      </w:pPr>
    </w:p>
    <w:p>
      <w:pPr>
        <w:pStyle w:val="ListParagraph"/>
        <w:numPr>
          <w:ilvl w:val="0"/>
          <w:numId w:val="71"/>
        </w:numPr>
        <w:tabs>
          <w:tab w:pos="1195" w:val="left" w:leader="none"/>
        </w:tabs>
        <w:spacing w:line="242" w:lineRule="auto" w:before="0" w:after="0"/>
        <w:ind w:left="1195" w:right="345" w:hanging="569"/>
        <w:jc w:val="left"/>
        <w:rPr>
          <w:sz w:val="20"/>
        </w:rPr>
      </w:pPr>
      <w:r>
        <w:rPr>
          <w:sz w:val="20"/>
        </w:rPr>
        <w:t>Si se</w:t>
      </w:r>
      <w:r>
        <w:rPr>
          <w:spacing w:val="17"/>
          <w:sz w:val="20"/>
        </w:rPr>
        <w:t> </w:t>
      </w:r>
      <w:r>
        <w:rPr>
          <w:sz w:val="20"/>
        </w:rPr>
        <w:t>fija</w:t>
      </w:r>
      <w:r>
        <w:rPr>
          <w:spacing w:val="16"/>
          <w:sz w:val="20"/>
        </w:rPr>
        <w:t> </w:t>
      </w:r>
      <w:r>
        <w:rPr>
          <w:sz w:val="20"/>
        </w:rPr>
        <w:t>una prima única,</w:t>
      </w:r>
      <w:r>
        <w:rPr>
          <w:spacing w:val="17"/>
          <w:sz w:val="20"/>
        </w:rPr>
        <w:t> </w:t>
      </w:r>
      <w:r>
        <w:rPr>
          <w:sz w:val="20"/>
        </w:rPr>
        <w:t>en</w:t>
      </w:r>
      <w:r>
        <w:rPr>
          <w:spacing w:val="17"/>
          <w:sz w:val="20"/>
        </w:rPr>
        <w:t> </w:t>
      </w:r>
      <w:r>
        <w:rPr>
          <w:sz w:val="20"/>
        </w:rPr>
        <w:t>el</w:t>
      </w:r>
      <w:r>
        <w:rPr>
          <w:spacing w:val="16"/>
          <w:sz w:val="20"/>
        </w:rPr>
        <w:t> </w:t>
      </w:r>
      <w:r>
        <w:rPr>
          <w:sz w:val="20"/>
        </w:rPr>
        <w:t>momento en</w:t>
      </w:r>
      <w:r>
        <w:rPr>
          <w:spacing w:val="17"/>
          <w:sz w:val="20"/>
        </w:rPr>
        <w:t> </w:t>
      </w:r>
      <w:r>
        <w:rPr>
          <w:sz w:val="20"/>
        </w:rPr>
        <w:t>que</w:t>
      </w:r>
      <w:r>
        <w:rPr>
          <w:spacing w:val="17"/>
          <w:sz w:val="20"/>
        </w:rPr>
        <w:t> </w:t>
      </w:r>
      <w:r>
        <w:rPr>
          <w:sz w:val="20"/>
        </w:rPr>
        <w:t>se</w:t>
      </w:r>
      <w:r>
        <w:rPr>
          <w:spacing w:val="17"/>
          <w:sz w:val="20"/>
        </w:rPr>
        <w:t> </w:t>
      </w:r>
      <w:r>
        <w:rPr>
          <w:sz w:val="20"/>
        </w:rPr>
        <w:t>perfeccione</w:t>
      </w:r>
      <w:r>
        <w:rPr>
          <w:spacing w:val="17"/>
          <w:sz w:val="20"/>
        </w:rPr>
        <w:t> </w:t>
      </w:r>
      <w:r>
        <w:rPr>
          <w:sz w:val="20"/>
        </w:rPr>
        <w:t>la</w:t>
      </w:r>
      <w:r>
        <w:rPr>
          <w:spacing w:val="17"/>
          <w:sz w:val="20"/>
        </w:rPr>
        <w:t> </w:t>
      </w:r>
      <w:r>
        <w:rPr>
          <w:sz w:val="20"/>
        </w:rPr>
        <w:t>operación</w:t>
      </w:r>
      <w:r>
        <w:rPr>
          <w:spacing w:val="17"/>
          <w:sz w:val="20"/>
        </w:rPr>
        <w:t> </w:t>
      </w:r>
      <w:r>
        <w:rPr>
          <w:sz w:val="20"/>
        </w:rPr>
        <w:t>que</w:t>
      </w:r>
      <w:r>
        <w:rPr>
          <w:spacing w:val="17"/>
          <w:sz w:val="20"/>
        </w:rPr>
        <w:t> </w:t>
      </w:r>
      <w:r>
        <w:rPr>
          <w:sz w:val="20"/>
        </w:rPr>
        <w:t>le</w:t>
      </w:r>
      <w:r>
        <w:rPr>
          <w:spacing w:val="17"/>
          <w:sz w:val="20"/>
        </w:rPr>
        <w:t> </w:t>
      </w:r>
      <w:r>
        <w:rPr>
          <w:sz w:val="20"/>
        </w:rPr>
        <w:t>sirva de base; y</w:t>
      </w:r>
    </w:p>
    <w:p>
      <w:pPr>
        <w:pStyle w:val="ListParagraph"/>
        <w:numPr>
          <w:ilvl w:val="0"/>
          <w:numId w:val="71"/>
        </w:numPr>
        <w:tabs>
          <w:tab w:pos="1195" w:val="left" w:leader="none"/>
        </w:tabs>
        <w:spacing w:line="240" w:lineRule="auto" w:before="227" w:after="0"/>
        <w:ind w:left="1195" w:right="0" w:hanging="569"/>
        <w:jc w:val="left"/>
        <w:rPr>
          <w:sz w:val="20"/>
        </w:rPr>
      </w:pPr>
      <w:r>
        <w:rPr>
          <w:sz w:val="20"/>
        </w:rPr>
        <w:t>Si</w:t>
      </w:r>
      <w:r>
        <w:rPr>
          <w:spacing w:val="-7"/>
          <w:sz w:val="20"/>
        </w:rPr>
        <w:t> </w:t>
      </w:r>
      <w:r>
        <w:rPr>
          <w:sz w:val="20"/>
        </w:rPr>
        <w:t>se</w:t>
      </w:r>
      <w:r>
        <w:rPr>
          <w:spacing w:val="-5"/>
          <w:sz w:val="20"/>
        </w:rPr>
        <w:t> </w:t>
      </w:r>
      <w:r>
        <w:rPr>
          <w:sz w:val="20"/>
        </w:rPr>
        <w:t>fijan</w:t>
      </w:r>
      <w:r>
        <w:rPr>
          <w:spacing w:val="-5"/>
          <w:sz w:val="20"/>
        </w:rPr>
        <w:t> </w:t>
      </w:r>
      <w:r>
        <w:rPr>
          <w:sz w:val="20"/>
        </w:rPr>
        <w:t>las</w:t>
      </w:r>
      <w:r>
        <w:rPr>
          <w:spacing w:val="-3"/>
          <w:sz w:val="20"/>
        </w:rPr>
        <w:t> </w:t>
      </w:r>
      <w:r>
        <w:rPr>
          <w:sz w:val="20"/>
        </w:rPr>
        <w:t>primas</w:t>
      </w:r>
      <w:r>
        <w:rPr>
          <w:spacing w:val="-4"/>
          <w:sz w:val="20"/>
        </w:rPr>
        <w:t> </w:t>
      </w:r>
      <w:r>
        <w:rPr>
          <w:sz w:val="20"/>
        </w:rPr>
        <w:t>sobre</w:t>
      </w:r>
      <w:r>
        <w:rPr>
          <w:spacing w:val="-6"/>
          <w:sz w:val="20"/>
        </w:rPr>
        <w:t> </w:t>
      </w:r>
      <w:r>
        <w:rPr>
          <w:sz w:val="20"/>
        </w:rPr>
        <w:t>los</w:t>
      </w:r>
      <w:r>
        <w:rPr>
          <w:spacing w:val="-4"/>
          <w:sz w:val="20"/>
        </w:rPr>
        <w:t> </w:t>
      </w:r>
      <w:r>
        <w:rPr>
          <w:sz w:val="20"/>
        </w:rPr>
        <w:t>pagos</w:t>
      </w:r>
      <w:r>
        <w:rPr>
          <w:spacing w:val="-5"/>
          <w:sz w:val="20"/>
        </w:rPr>
        <w:t> </w:t>
      </w:r>
      <w:r>
        <w:rPr>
          <w:sz w:val="20"/>
        </w:rPr>
        <w:t>periódicos,</w:t>
      </w:r>
      <w:r>
        <w:rPr>
          <w:spacing w:val="-5"/>
          <w:sz w:val="20"/>
        </w:rPr>
        <w:t> </w:t>
      </w:r>
      <w:r>
        <w:rPr>
          <w:sz w:val="20"/>
        </w:rPr>
        <w:t>en</w:t>
      </w:r>
      <w:r>
        <w:rPr>
          <w:spacing w:val="-6"/>
          <w:sz w:val="20"/>
        </w:rPr>
        <w:t> </w:t>
      </w:r>
      <w:r>
        <w:rPr>
          <w:sz w:val="20"/>
        </w:rPr>
        <w:t>el</w:t>
      </w:r>
      <w:r>
        <w:rPr>
          <w:spacing w:val="-4"/>
          <w:sz w:val="20"/>
        </w:rPr>
        <w:t> </w:t>
      </w:r>
      <w:r>
        <w:rPr>
          <w:sz w:val="20"/>
        </w:rPr>
        <w:t>momento</w:t>
      </w:r>
      <w:r>
        <w:rPr>
          <w:spacing w:val="-7"/>
          <w:sz w:val="20"/>
        </w:rPr>
        <w:t> </w:t>
      </w:r>
      <w:r>
        <w:rPr>
          <w:sz w:val="20"/>
        </w:rPr>
        <w:t>en</w:t>
      </w:r>
      <w:r>
        <w:rPr>
          <w:spacing w:val="-6"/>
          <w:sz w:val="20"/>
        </w:rPr>
        <w:t> </w:t>
      </w:r>
      <w:r>
        <w:rPr>
          <w:sz w:val="20"/>
        </w:rPr>
        <w:t>que</w:t>
      </w:r>
      <w:r>
        <w:rPr>
          <w:spacing w:val="-4"/>
          <w:sz w:val="20"/>
        </w:rPr>
        <w:t> </w:t>
      </w:r>
      <w:r>
        <w:rPr>
          <w:sz w:val="20"/>
        </w:rPr>
        <w:t>éstos</w:t>
      </w:r>
      <w:r>
        <w:rPr>
          <w:spacing w:val="-4"/>
          <w:sz w:val="20"/>
        </w:rPr>
        <w:t> </w:t>
      </w:r>
      <w:r>
        <w:rPr>
          <w:sz w:val="20"/>
        </w:rPr>
        <w:t>se</w:t>
      </w:r>
      <w:r>
        <w:rPr>
          <w:spacing w:val="-4"/>
          <w:sz w:val="20"/>
        </w:rPr>
        <w:t> </w:t>
      </w:r>
      <w:r>
        <w:rPr>
          <w:spacing w:val="-2"/>
          <w:sz w:val="20"/>
        </w:rPr>
        <w:t>hagan.</w:t>
      </w:r>
    </w:p>
    <w:p>
      <w:pPr>
        <w:pStyle w:val="BodyText"/>
      </w:pPr>
    </w:p>
    <w:p>
      <w:pPr>
        <w:pStyle w:val="BodyText"/>
        <w:ind w:left="338" w:right="339" w:firstLine="288"/>
        <w:jc w:val="both"/>
      </w:pPr>
      <w:bookmarkStart w:name="Artículo_288" w:id="342"/>
      <w:bookmarkEnd w:id="342"/>
      <w:r>
        <w:rPr/>
      </w:r>
      <w:r>
        <w:rPr>
          <w:rFonts w:ascii="Arial" w:hAnsi="Arial"/>
          <w:b/>
        </w:rPr>
        <w:t>Artículo 288.- </w:t>
      </w:r>
      <w:r>
        <w:rPr/>
        <w:t>Las primas que correspondan a los trabajadores no podrán retenerse ni descontarse si posteriormente se deja sin efecto la operación que les sirvió de base.</w:t>
      </w:r>
    </w:p>
    <w:p>
      <w:pPr>
        <w:pStyle w:val="BodyText"/>
        <w:spacing w:line="242" w:lineRule="auto" w:before="229"/>
        <w:ind w:left="338" w:right="343" w:firstLine="288"/>
        <w:jc w:val="both"/>
      </w:pPr>
      <w:bookmarkStart w:name="Artículo_289" w:id="343"/>
      <w:bookmarkEnd w:id="343"/>
      <w:r>
        <w:rPr/>
      </w:r>
      <w:r>
        <w:rPr>
          <w:rFonts w:ascii="Arial" w:hAnsi="Arial"/>
          <w:b/>
        </w:rPr>
        <w:t>Artículo 289.- </w:t>
      </w:r>
      <w:r>
        <w:rPr/>
        <w:t>Para determinar el monto del salario diario se tomará como base el promedio que resulte de los salarios del último año o del total de los percibidos si el trabajador no cumplió un año de </w:t>
      </w:r>
      <w:r>
        <w:rPr>
          <w:spacing w:val="-2"/>
        </w:rPr>
        <w:t>servicios.</w:t>
      </w:r>
    </w:p>
    <w:p>
      <w:pPr>
        <w:pStyle w:val="BodyText"/>
        <w:spacing w:line="242" w:lineRule="auto" w:before="223"/>
        <w:ind w:left="338" w:right="345" w:firstLine="288"/>
        <w:jc w:val="both"/>
      </w:pPr>
      <w:bookmarkStart w:name="Artículo_290" w:id="344"/>
      <w:bookmarkEnd w:id="344"/>
      <w:r>
        <w:rPr/>
      </w:r>
      <w:r>
        <w:rPr>
          <w:rFonts w:ascii="Arial" w:hAnsi="Arial"/>
          <w:b/>
        </w:rPr>
        <w:t>Artículo 290.- </w:t>
      </w:r>
      <w:r>
        <w:rPr/>
        <w:t>Los trabajadores no podrán ser removidos de la zona o ruta que se les haya asignado, sin su consentimiento.</w:t>
      </w:r>
    </w:p>
    <w:p>
      <w:pPr>
        <w:pStyle w:val="BodyText"/>
        <w:spacing w:line="242" w:lineRule="auto" w:before="227"/>
        <w:ind w:left="338" w:right="334" w:firstLine="288"/>
        <w:jc w:val="both"/>
      </w:pPr>
      <w:bookmarkStart w:name="Artículo_291" w:id="345"/>
      <w:bookmarkEnd w:id="345"/>
      <w:r>
        <w:rPr/>
      </w:r>
      <w:r>
        <w:rPr>
          <w:rFonts w:ascii="Arial" w:hAnsi="Arial"/>
          <w:b/>
        </w:rPr>
        <w:t>Artículo 291.- </w:t>
      </w:r>
      <w:r>
        <w:rPr/>
        <w:t>Es causa especial de rescisión de las relaciones de trabajo la disminución importante y reiterada del volumen de las operaciones, salvo que concurran circunstancias justificativas.</w:t>
      </w:r>
    </w:p>
    <w:p>
      <w:pPr>
        <w:pStyle w:val="Heading1"/>
        <w:spacing w:before="222"/>
        <w:ind w:left="297"/>
      </w:pPr>
      <w:r>
        <w:rPr/>
        <w:t>CAPITULO</w:t>
      </w:r>
      <w:r>
        <w:rPr>
          <w:spacing w:val="-4"/>
        </w:rPr>
        <w:t> </w:t>
      </w:r>
      <w:r>
        <w:rPr/>
        <w:t>IX</w:t>
      </w:r>
      <w:r>
        <w:rPr>
          <w:spacing w:val="-3"/>
        </w:rPr>
        <w:t> </w:t>
      </w:r>
      <w:r>
        <w:rPr>
          <w:spacing w:val="-5"/>
        </w:rPr>
        <w:t>BIS</w:t>
      </w:r>
    </w:p>
    <w:p>
      <w:pPr>
        <w:spacing w:before="2"/>
        <w:ind w:left="294" w:right="296" w:firstLine="0"/>
        <w:jc w:val="center"/>
        <w:rPr>
          <w:rFonts w:ascii="Arial"/>
          <w:b/>
          <w:sz w:val="22"/>
        </w:rPr>
      </w:pPr>
      <w:r>
        <w:rPr>
          <w:rFonts w:ascii="Arial"/>
          <w:b/>
          <w:sz w:val="22"/>
        </w:rPr>
        <w:t>TRABAJO</w:t>
      </w:r>
      <w:r>
        <w:rPr>
          <w:rFonts w:ascii="Arial"/>
          <w:b/>
          <w:spacing w:val="-8"/>
          <w:sz w:val="22"/>
        </w:rPr>
        <w:t> </w:t>
      </w:r>
      <w:r>
        <w:rPr>
          <w:rFonts w:ascii="Arial"/>
          <w:b/>
          <w:sz w:val="22"/>
        </w:rPr>
        <w:t>EN</w:t>
      </w:r>
      <w:r>
        <w:rPr>
          <w:rFonts w:ascii="Arial"/>
          <w:b/>
          <w:spacing w:val="-8"/>
          <w:sz w:val="22"/>
        </w:rPr>
        <w:t> </w:t>
      </w:r>
      <w:r>
        <w:rPr>
          <w:rFonts w:ascii="Arial"/>
          <w:b/>
          <w:sz w:val="22"/>
        </w:rPr>
        <w:t>PLATAFORMAS</w:t>
      </w:r>
      <w:r>
        <w:rPr>
          <w:rFonts w:ascii="Arial"/>
          <w:b/>
          <w:spacing w:val="-7"/>
          <w:sz w:val="22"/>
        </w:rPr>
        <w:t> </w:t>
      </w:r>
      <w:r>
        <w:rPr>
          <w:rFonts w:ascii="Arial"/>
          <w:b/>
          <w:spacing w:val="-2"/>
          <w:sz w:val="22"/>
        </w:rPr>
        <w:t>DIGITALES</w:t>
      </w:r>
    </w:p>
    <w:p>
      <w:pPr>
        <w:spacing w:before="0"/>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24-12-</w:t>
      </w:r>
      <w:r>
        <w:rPr>
          <w:rFonts w:ascii="Times New Roman" w:hAnsi="Times New Roman"/>
          <w:i/>
          <w:color w:val="0000FF"/>
          <w:spacing w:val="-4"/>
          <w:sz w:val="16"/>
        </w:rPr>
        <w:t>2024</w:t>
      </w:r>
    </w:p>
    <w:p>
      <w:pPr>
        <w:pStyle w:val="BodyText"/>
        <w:spacing w:before="48"/>
        <w:rPr>
          <w:rFonts w:ascii="Times New Roman"/>
          <w:i/>
          <w:sz w:val="16"/>
        </w:rPr>
      </w:pPr>
    </w:p>
    <w:p>
      <w:pPr>
        <w:pStyle w:val="BodyText"/>
        <w:ind w:left="338" w:right="343" w:firstLine="288"/>
        <w:jc w:val="both"/>
      </w:pPr>
      <w:bookmarkStart w:name="Artículo_291_A" w:id="346"/>
      <w:bookmarkEnd w:id="346"/>
      <w:r>
        <w:rPr/>
      </w:r>
      <w:r>
        <w:rPr>
          <w:rFonts w:ascii="Arial" w:hAnsi="Arial"/>
          <w:b/>
        </w:rPr>
        <w:t>Artículo 291-A.- </w:t>
      </w:r>
      <w:r>
        <w:rPr/>
        <w:t>Es una relación laboral subordinada que consiste en el desempeño de actividades remuneradas que requieran la presencia física de la persona trabajadora para la prestación del servicio, las cuales son gestionadas por una persona física o moral en favor de terceros a través de una</w:t>
      </w:r>
      <w:r>
        <w:rPr>
          <w:spacing w:val="40"/>
        </w:rPr>
        <w:t> </w:t>
      </w:r>
      <w:r>
        <w:rPr/>
        <w:t>plataforma digital, utilizando las tecnologías de la información y la comunicación para ejercer el mando y la supervisión sobre la persona trabajadora.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2024</w:t>
      </w:r>
    </w:p>
    <w:p>
      <w:pPr>
        <w:pStyle w:val="BodyText"/>
        <w:spacing w:before="44"/>
        <w:rPr>
          <w:rFonts w:ascii="Times New Roman"/>
          <w:i/>
          <w:sz w:val="16"/>
        </w:rPr>
      </w:pPr>
    </w:p>
    <w:p>
      <w:pPr>
        <w:pStyle w:val="BodyText"/>
        <w:spacing w:line="242" w:lineRule="auto" w:before="1"/>
        <w:ind w:left="338" w:right="335" w:firstLine="288"/>
        <w:jc w:val="both"/>
      </w:pPr>
      <w:bookmarkStart w:name="Artículo_291_B" w:id="347"/>
      <w:bookmarkEnd w:id="347"/>
      <w:r>
        <w:rPr/>
      </w:r>
      <w:r>
        <w:rPr>
          <w:rFonts w:ascii="Arial" w:hAnsi="Arial"/>
          <w:b/>
        </w:rPr>
        <w:t>Artículo 291-B.- </w:t>
      </w:r>
      <w:r>
        <w:rPr/>
        <w:t>Se entenderá por plataforma digital al conjunto de mecanismos, aplicaciones informáticas,</w:t>
      </w:r>
      <w:r>
        <w:rPr>
          <w:spacing w:val="-1"/>
        </w:rPr>
        <w:t> </w:t>
      </w:r>
      <w:r>
        <w:rPr/>
        <w:t>sistemas y</w:t>
      </w:r>
      <w:r>
        <w:rPr>
          <w:spacing w:val="-4"/>
        </w:rPr>
        <w:t> </w:t>
      </w:r>
      <w:r>
        <w:rPr/>
        <w:t>dispositivos que asignan tareas,</w:t>
      </w:r>
      <w:r>
        <w:rPr>
          <w:spacing w:val="-1"/>
        </w:rPr>
        <w:t> </w:t>
      </w:r>
      <w:r>
        <w:rPr/>
        <w:t>servicios, obras, trabajos o</w:t>
      </w:r>
      <w:r>
        <w:rPr>
          <w:spacing w:val="-1"/>
        </w:rPr>
        <w:t> </w:t>
      </w:r>
      <w:r>
        <w:rPr/>
        <w:t>similares a personas trabajadoras en favor de terceros, considerando el uso de las tecnologías de la información y la comunicación definidas en el artículo 330-A de esta Ley.</w:t>
      </w:r>
    </w:p>
    <w:p>
      <w:pPr>
        <w:pStyle w:val="BodyText"/>
        <w:spacing w:before="223"/>
        <w:ind w:left="338" w:right="342" w:firstLine="288"/>
        <w:jc w:val="both"/>
      </w:pPr>
      <w:r>
        <w:rPr/>
        <w:t>Los usuarios, consumidores o beneficiarios de tareas, servicios, obras o trabajos que se oferten a través de aplicaciones informáticas, no serán considerados patrones, ni responsables solidarios de personas trabajadoras en plataformas digitales o similares, ya que dicho carácter lo tendrá la persona física o moral que gestione o administre los servicios a través de la misma.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338" w:right="337" w:firstLine="288"/>
        <w:jc w:val="both"/>
      </w:pPr>
      <w:bookmarkStart w:name="Artículo_291_C" w:id="348"/>
      <w:bookmarkEnd w:id="348"/>
      <w:r>
        <w:rPr/>
      </w:r>
      <w:r>
        <w:rPr>
          <w:rFonts w:ascii="Arial" w:hAnsi="Arial"/>
          <w:b/>
        </w:rPr>
        <w:t>Artículo 291-C.- </w:t>
      </w:r>
      <w:r>
        <w:rPr/>
        <w:t>La persona trabajadora de plataformas digitales será quien preste servicios personales, remunerados y subordinados, bajo</w:t>
      </w:r>
      <w:r>
        <w:rPr>
          <w:spacing w:val="-1"/>
        </w:rPr>
        <w:t> </w:t>
      </w:r>
      <w:r>
        <w:rPr/>
        <w:t>el mando y</w:t>
      </w:r>
      <w:r>
        <w:rPr>
          <w:spacing w:val="-4"/>
        </w:rPr>
        <w:t> </w:t>
      </w:r>
      <w:r>
        <w:rPr/>
        <w:t>supervisión de una persona</w:t>
      </w:r>
      <w:r>
        <w:rPr>
          <w:spacing w:val="-1"/>
        </w:rPr>
        <w:t> </w:t>
      </w:r>
      <w:r>
        <w:rPr/>
        <w:t>física o</w:t>
      </w:r>
      <w:r>
        <w:rPr>
          <w:spacing w:val="-1"/>
        </w:rPr>
        <w:t> </w:t>
      </w:r>
      <w:r>
        <w:rPr/>
        <w:t>moral que ofrece servicios a terceros, a través de una plataforma digital, y genere ingresos netos mensuales equivalentes a por lo menos un salario mínimo mensual de la Ciudad de México por su trabajo, independientemente del tiempo efectivamente trabajado.</w:t>
      </w:r>
    </w:p>
    <w:p>
      <w:pPr>
        <w:pStyle w:val="BodyText"/>
        <w:spacing w:before="3"/>
      </w:pPr>
    </w:p>
    <w:p>
      <w:pPr>
        <w:pStyle w:val="BodyText"/>
        <w:ind w:left="338" w:right="337" w:firstLine="288"/>
        <w:jc w:val="both"/>
      </w:pPr>
      <w:r>
        <w:rPr/>
        <w:t>Las personas trabajadoras que presten servicios a través de plataformas digitales serán consideradas trabajadoras independientes, si al final de cada mes no alcanzan a generar la percepción mencionada. Sin embargo, en dicho periodo y durante el tiempo efectivamente trabajado, se les extenderán los derechos estipulados en este capítulo, con la excepción de lo dispuesto en las fracciones V relativa a la retención y</w:t>
      </w:r>
      <w:r>
        <w:rPr>
          <w:spacing w:val="-4"/>
        </w:rPr>
        <w:t> </w:t>
      </w:r>
      <w:r>
        <w:rPr/>
        <w:t>entero de</w:t>
      </w:r>
      <w:r>
        <w:rPr>
          <w:spacing w:val="-2"/>
        </w:rPr>
        <w:t> </w:t>
      </w:r>
      <w:r>
        <w:rPr/>
        <w:t>cuotas de</w:t>
      </w:r>
      <w:r>
        <w:rPr>
          <w:spacing w:val="-2"/>
        </w:rPr>
        <w:t> </w:t>
      </w:r>
      <w:r>
        <w:rPr/>
        <w:t>seguridad</w:t>
      </w:r>
      <w:r>
        <w:rPr>
          <w:spacing w:val="-1"/>
        </w:rPr>
        <w:t> </w:t>
      </w:r>
      <w:r>
        <w:rPr/>
        <w:t>social y</w:t>
      </w:r>
      <w:r>
        <w:rPr>
          <w:spacing w:val="-4"/>
        </w:rPr>
        <w:t> </w:t>
      </w:r>
      <w:r>
        <w:rPr/>
        <w:t>VI del artículo</w:t>
      </w:r>
      <w:r>
        <w:rPr>
          <w:spacing w:val="-1"/>
        </w:rPr>
        <w:t> </w:t>
      </w:r>
      <w:r>
        <w:rPr/>
        <w:t>291-K. En todos los casos,</w:t>
      </w:r>
      <w:r>
        <w:rPr>
          <w:spacing w:val="-1"/>
        </w:rPr>
        <w:t> </w:t>
      </w:r>
      <w:r>
        <w:rPr/>
        <w:t>las personas físicas y morales que administren plataformas digitales, serán responsables del pago del aseguramiento</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pPr>
      <w:r>
        <w:rPr/>
        <w:t>en</w:t>
      </w:r>
      <w:r>
        <w:rPr>
          <w:spacing w:val="40"/>
        </w:rPr>
        <w:t> </w:t>
      </w:r>
      <w:r>
        <w:rPr/>
        <w:t>el</w:t>
      </w:r>
      <w:r>
        <w:rPr>
          <w:spacing w:val="40"/>
        </w:rPr>
        <w:t> </w:t>
      </w:r>
      <w:r>
        <w:rPr/>
        <w:t>régimen</w:t>
      </w:r>
      <w:r>
        <w:rPr>
          <w:spacing w:val="40"/>
        </w:rPr>
        <w:t> </w:t>
      </w:r>
      <w:r>
        <w:rPr/>
        <w:t>del</w:t>
      </w:r>
      <w:r>
        <w:rPr>
          <w:spacing w:val="40"/>
        </w:rPr>
        <w:t> </w:t>
      </w:r>
      <w:r>
        <w:rPr/>
        <w:t>seguro</w:t>
      </w:r>
      <w:r>
        <w:rPr>
          <w:spacing w:val="40"/>
        </w:rPr>
        <w:t> </w:t>
      </w:r>
      <w:r>
        <w:rPr/>
        <w:t>social</w:t>
      </w:r>
      <w:r>
        <w:rPr>
          <w:spacing w:val="40"/>
        </w:rPr>
        <w:t> </w:t>
      </w:r>
      <w:r>
        <w:rPr/>
        <w:t>cuando</w:t>
      </w:r>
      <w:r>
        <w:rPr>
          <w:spacing w:val="40"/>
        </w:rPr>
        <w:t> </w:t>
      </w:r>
      <w:r>
        <w:rPr/>
        <w:t>ocurra</w:t>
      </w:r>
      <w:r>
        <w:rPr>
          <w:spacing w:val="40"/>
        </w:rPr>
        <w:t> </w:t>
      </w:r>
      <w:r>
        <w:rPr/>
        <w:t>un</w:t>
      </w:r>
      <w:r>
        <w:rPr>
          <w:spacing w:val="40"/>
        </w:rPr>
        <w:t> </w:t>
      </w:r>
      <w:r>
        <w:rPr/>
        <w:t>riesgo</w:t>
      </w:r>
      <w:r>
        <w:rPr>
          <w:spacing w:val="40"/>
        </w:rPr>
        <w:t> </w:t>
      </w:r>
      <w:r>
        <w:rPr/>
        <w:t>de</w:t>
      </w:r>
      <w:r>
        <w:rPr>
          <w:spacing w:val="40"/>
        </w:rPr>
        <w:t> </w:t>
      </w:r>
      <w:r>
        <w:rPr/>
        <w:t>trabajo</w:t>
      </w:r>
      <w:r>
        <w:rPr>
          <w:spacing w:val="40"/>
        </w:rPr>
        <w:t> </w:t>
      </w:r>
      <w:r>
        <w:rPr/>
        <w:t>durante</w:t>
      </w:r>
      <w:r>
        <w:rPr>
          <w:spacing w:val="40"/>
        </w:rPr>
        <w:t> </w:t>
      </w:r>
      <w:r>
        <w:rPr/>
        <w:t>el</w:t>
      </w:r>
      <w:r>
        <w:rPr>
          <w:spacing w:val="40"/>
        </w:rPr>
        <w:t> </w:t>
      </w:r>
      <w:r>
        <w:rPr/>
        <w:t>tiempo</w:t>
      </w:r>
      <w:r>
        <w:rPr>
          <w:spacing w:val="40"/>
        </w:rPr>
        <w:t> </w:t>
      </w:r>
      <w:r>
        <w:rPr/>
        <w:t>de</w:t>
      </w:r>
      <w:r>
        <w:rPr>
          <w:spacing w:val="40"/>
        </w:rPr>
        <w:t> </w:t>
      </w:r>
      <w:r>
        <w:rPr/>
        <w:t>trabajo</w:t>
      </w:r>
      <w:r>
        <w:rPr>
          <w:spacing w:val="40"/>
        </w:rPr>
        <w:t> </w:t>
      </w:r>
      <w:r>
        <w:rPr/>
        <w:t>efectivamente laborado.</w:t>
      </w:r>
    </w:p>
    <w:p>
      <w:pPr>
        <w:pStyle w:val="BodyText"/>
        <w:spacing w:before="1"/>
      </w:pPr>
    </w:p>
    <w:p>
      <w:pPr>
        <w:pStyle w:val="BodyText"/>
        <w:spacing w:before="1"/>
        <w:ind w:left="338" w:right="337" w:firstLine="288"/>
        <w:jc w:val="both"/>
      </w:pPr>
      <w:r>
        <w:rPr/>
        <w:t>Si la persona trabajadora de plataformas digitales deja de tener actividad por un periodo consecutivo de 30 días naturales, se entenderá terminada la relación laboral automáticamente, sin que proceda responsabilidad o indemnización por parte del empleador. En el caso en el que dicha persona vuelva a cumplir con las condiciones para ser una persona trabajadora de plataformas digitales, se entenderá como el inicio de una nueva relación laboral.</w:t>
      </w:r>
    </w:p>
    <w:p>
      <w:pPr>
        <w:pStyle w:val="BodyText"/>
        <w:spacing w:before="230"/>
        <w:ind w:left="338" w:right="335" w:firstLine="288"/>
        <w:jc w:val="both"/>
      </w:pPr>
      <w:r>
        <w:rPr/>
        <w:t>Para el caso del cálculo e integración del salario, se atenderá a lo dispuesto en el artículo 291-F de la presente Ley.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2024</w:t>
      </w:r>
    </w:p>
    <w:p>
      <w:pPr>
        <w:pStyle w:val="BodyText"/>
        <w:spacing w:before="48"/>
        <w:rPr>
          <w:rFonts w:ascii="Times New Roman"/>
          <w:i/>
          <w:sz w:val="16"/>
        </w:rPr>
      </w:pPr>
    </w:p>
    <w:p>
      <w:pPr>
        <w:pStyle w:val="BodyText"/>
        <w:spacing w:line="242" w:lineRule="auto"/>
        <w:ind w:left="338" w:right="336" w:firstLine="288"/>
        <w:jc w:val="both"/>
      </w:pPr>
      <w:bookmarkStart w:name="Artículo_291_D" w:id="349"/>
      <w:bookmarkEnd w:id="349"/>
      <w:r>
        <w:rPr/>
      </w:r>
      <w:r>
        <w:rPr>
          <w:rFonts w:ascii="Arial" w:hAnsi="Arial"/>
          <w:b/>
        </w:rPr>
        <w:t>Artículo 291-D.- </w:t>
      </w:r>
      <w:r>
        <w:rPr/>
        <w:t>El trabajo en plataformas digitales será primordialmente flexible y discontinuo, por lo que se entenderá que existe relación laboral durante el tiempo efectivamente laborado por la persona trabajadora de plataforma digital.</w:t>
      </w:r>
    </w:p>
    <w:p>
      <w:pPr>
        <w:pStyle w:val="BodyText"/>
        <w:spacing w:before="224"/>
        <w:ind w:left="338" w:right="341" w:firstLine="288"/>
        <w:jc w:val="both"/>
      </w:pPr>
      <w:r>
        <w:rPr/>
        <w:t>Se entenderá por tiempo de trabajo efectivamente laborado el comprendido desde que la persona trabajadora acepta prestar una tarea, servicio, obra o trabajo en la plataforma digital, hasta el momento</w:t>
      </w:r>
      <w:r>
        <w:rPr>
          <w:spacing w:val="40"/>
        </w:rPr>
        <w:t> </w:t>
      </w:r>
      <w:r>
        <w:rPr/>
        <w:t>en el que dicha prestación concluye definitivamente.</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2024</w:t>
      </w:r>
    </w:p>
    <w:p>
      <w:pPr>
        <w:pStyle w:val="BodyText"/>
        <w:spacing w:before="45"/>
        <w:rPr>
          <w:rFonts w:ascii="Times New Roman"/>
          <w:i/>
          <w:sz w:val="16"/>
        </w:rPr>
      </w:pPr>
    </w:p>
    <w:p>
      <w:pPr>
        <w:pStyle w:val="BodyText"/>
        <w:spacing w:line="242" w:lineRule="auto"/>
        <w:ind w:left="338" w:right="337" w:firstLine="288"/>
        <w:jc w:val="both"/>
      </w:pPr>
      <w:bookmarkStart w:name="Artículo_291_E" w:id="350"/>
      <w:bookmarkEnd w:id="350"/>
      <w:r>
        <w:rPr/>
      </w:r>
      <w:r>
        <w:rPr>
          <w:rFonts w:ascii="Arial" w:hAnsi="Arial"/>
          <w:b/>
        </w:rPr>
        <w:t>Artículo 291-E.- </w:t>
      </w:r>
      <w:r>
        <w:rPr/>
        <w:t>El tiempo de trabajo destinado para la plataforma será definido por la persona trabajadora y tendrá completa libertad para determinarse sin horarios fijos, pudiendo conectarse y desconectarse a discreción cuando así lo requiera.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2024</w:t>
      </w:r>
    </w:p>
    <w:p>
      <w:pPr>
        <w:pStyle w:val="BodyText"/>
        <w:spacing w:before="45"/>
        <w:rPr>
          <w:rFonts w:ascii="Times New Roman"/>
          <w:i/>
          <w:sz w:val="16"/>
        </w:rPr>
      </w:pPr>
    </w:p>
    <w:p>
      <w:pPr>
        <w:pStyle w:val="BodyText"/>
        <w:spacing w:line="242" w:lineRule="auto"/>
        <w:ind w:left="338" w:right="339" w:firstLine="288"/>
        <w:jc w:val="both"/>
      </w:pPr>
      <w:bookmarkStart w:name="Artículo_291_F" w:id="351"/>
      <w:bookmarkEnd w:id="351"/>
      <w:r>
        <w:rPr/>
      </w:r>
      <w:r>
        <w:rPr>
          <w:rFonts w:ascii="Arial" w:hAnsi="Arial"/>
          <w:b/>
        </w:rPr>
        <w:t>Artículo 291-F.- </w:t>
      </w:r>
      <w:r>
        <w:rPr/>
        <w:t>El salario en el trabajo en plataformas se fijará por tarea, servicio, obra o trabajo realizado. En atención a la naturaleza flexible del trabajo, dicho pago contemplará el proporcional de día de</w:t>
      </w:r>
      <w:r>
        <w:rPr>
          <w:spacing w:val="-3"/>
        </w:rPr>
        <w:t> </w:t>
      </w:r>
      <w:r>
        <w:rPr/>
        <w:t>descanso semanal,</w:t>
      </w:r>
      <w:r>
        <w:rPr>
          <w:spacing w:val="-2"/>
        </w:rPr>
        <w:t> </w:t>
      </w:r>
      <w:r>
        <w:rPr/>
        <w:t>vacaciones,</w:t>
      </w:r>
      <w:r>
        <w:rPr>
          <w:spacing w:val="-2"/>
        </w:rPr>
        <w:t> </w:t>
      </w:r>
      <w:r>
        <w:rPr/>
        <w:t>prima</w:t>
      </w:r>
      <w:r>
        <w:rPr>
          <w:spacing w:val="-2"/>
        </w:rPr>
        <w:t> </w:t>
      </w:r>
      <w:r>
        <w:rPr/>
        <w:t>vacacional, aguinaldo y</w:t>
      </w:r>
      <w:r>
        <w:rPr>
          <w:spacing w:val="-3"/>
        </w:rPr>
        <w:t> </w:t>
      </w:r>
      <w:r>
        <w:rPr/>
        <w:t>horas</w:t>
      </w:r>
      <w:r>
        <w:rPr>
          <w:spacing w:val="-1"/>
        </w:rPr>
        <w:t> </w:t>
      </w:r>
      <w:r>
        <w:rPr/>
        <w:t>extras,</w:t>
      </w:r>
      <w:r>
        <w:rPr>
          <w:spacing w:val="-2"/>
        </w:rPr>
        <w:t> </w:t>
      </w:r>
      <w:r>
        <w:rPr/>
        <w:t>sin que proceda</w:t>
      </w:r>
      <w:r>
        <w:rPr>
          <w:spacing w:val="-2"/>
        </w:rPr>
        <w:t> </w:t>
      </w:r>
      <w:r>
        <w:rPr/>
        <w:t>el</w:t>
      </w:r>
      <w:r>
        <w:rPr>
          <w:spacing w:val="-3"/>
        </w:rPr>
        <w:t> </w:t>
      </w:r>
      <w:r>
        <w:rPr/>
        <w:t>pago</w:t>
      </w:r>
      <w:r>
        <w:rPr>
          <w:spacing w:val="-3"/>
        </w:rPr>
        <w:t> </w:t>
      </w:r>
      <w:r>
        <w:rPr/>
        <w:t>o reconocimiento de algún valor adicional por cualquiera de esos conceptos.</w:t>
      </w:r>
    </w:p>
    <w:p>
      <w:pPr>
        <w:pStyle w:val="BodyText"/>
        <w:spacing w:before="223"/>
        <w:ind w:left="338" w:right="338" w:firstLine="288"/>
        <w:jc w:val="both"/>
      </w:pPr>
      <w:r>
        <w:rPr/>
        <w:t>Para efectos del cálculo de cuotas de seguridad social, no se considerarán como parte integrante del salario base de cotización los montos que las personas trabajadoras de plataformas digitales reciban por concepto de propinas.</w:t>
      </w:r>
    </w:p>
    <w:p>
      <w:pPr>
        <w:pStyle w:val="BodyText"/>
        <w:spacing w:before="1"/>
      </w:pPr>
    </w:p>
    <w:p>
      <w:pPr>
        <w:pStyle w:val="BodyText"/>
        <w:spacing w:before="1"/>
        <w:ind w:left="338" w:right="333" w:firstLine="288"/>
        <w:jc w:val="both"/>
      </w:pPr>
      <w:r>
        <w:rPr/>
        <w:t>La Secretaría del Trabajo y Previsión Social expedirá las disposiciones de carácter general que determinen los procedimientos relativos al cálculo del ingreso neto al que se refiere el artículo 291-C de esta Ley.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338" w:right="337" w:firstLine="288"/>
        <w:jc w:val="both"/>
      </w:pPr>
      <w:bookmarkStart w:name="Artículo_291_G" w:id="352"/>
      <w:bookmarkEnd w:id="352"/>
      <w:r>
        <w:rPr/>
      </w:r>
      <w:r>
        <w:rPr>
          <w:rFonts w:ascii="Arial" w:hAnsi="Arial"/>
          <w:b/>
        </w:rPr>
        <w:t>Artículo 291-G.- </w:t>
      </w:r>
      <w:r>
        <w:rPr/>
        <w:t>El trabajo en plataformas digitales deberá fijarse mediante un contrato que será distinto</w:t>
      </w:r>
      <w:r>
        <w:rPr>
          <w:spacing w:val="-1"/>
        </w:rPr>
        <w:t> </w:t>
      </w:r>
      <w:r>
        <w:rPr/>
        <w:t>de los</w:t>
      </w:r>
      <w:r>
        <w:rPr>
          <w:spacing w:val="-2"/>
        </w:rPr>
        <w:t> </w:t>
      </w:r>
      <w:r>
        <w:rPr/>
        <w:t>términos y</w:t>
      </w:r>
      <w:r>
        <w:rPr>
          <w:spacing w:val="-6"/>
        </w:rPr>
        <w:t> </w:t>
      </w:r>
      <w:r>
        <w:rPr/>
        <w:t>condiciones</w:t>
      </w:r>
      <w:r>
        <w:rPr>
          <w:spacing w:val="-2"/>
        </w:rPr>
        <w:t> </w:t>
      </w:r>
      <w:r>
        <w:rPr/>
        <w:t>de</w:t>
      </w:r>
      <w:r>
        <w:rPr>
          <w:spacing w:val="-1"/>
        </w:rPr>
        <w:t> </w:t>
      </w:r>
      <w:r>
        <w:rPr/>
        <w:t>la</w:t>
      </w:r>
      <w:r>
        <w:rPr>
          <w:spacing w:val="-1"/>
        </w:rPr>
        <w:t> </w:t>
      </w:r>
      <w:r>
        <w:rPr/>
        <w:t>prestación</w:t>
      </w:r>
      <w:r>
        <w:rPr>
          <w:spacing w:val="-1"/>
        </w:rPr>
        <w:t> </w:t>
      </w:r>
      <w:r>
        <w:rPr/>
        <w:t>del</w:t>
      </w:r>
      <w:r>
        <w:rPr>
          <w:spacing w:val="-2"/>
        </w:rPr>
        <w:t> </w:t>
      </w:r>
      <w:r>
        <w:rPr/>
        <w:t>servicio</w:t>
      </w:r>
      <w:r>
        <w:rPr>
          <w:spacing w:val="-1"/>
        </w:rPr>
        <w:t> </w:t>
      </w:r>
      <w:r>
        <w:rPr/>
        <w:t>en la</w:t>
      </w:r>
      <w:r>
        <w:rPr>
          <w:spacing w:val="-1"/>
        </w:rPr>
        <w:t> </w:t>
      </w:r>
      <w:r>
        <w:rPr/>
        <w:t>plataforma y</w:t>
      </w:r>
      <w:r>
        <w:rPr>
          <w:spacing w:val="-4"/>
        </w:rPr>
        <w:t> </w:t>
      </w:r>
      <w:r>
        <w:rPr/>
        <w:t>podrá ser firmado</w:t>
      </w:r>
      <w:r>
        <w:rPr>
          <w:spacing w:val="-3"/>
        </w:rPr>
        <w:t> </w:t>
      </w:r>
      <w:r>
        <w:rPr/>
        <w:t>de manera</w:t>
      </w:r>
      <w:r>
        <w:rPr>
          <w:spacing w:val="-1"/>
        </w:rPr>
        <w:t> </w:t>
      </w:r>
      <w:r>
        <w:rPr/>
        <w:t>digital. El</w:t>
      </w:r>
      <w:r>
        <w:rPr>
          <w:spacing w:val="-2"/>
        </w:rPr>
        <w:t> </w:t>
      </w:r>
      <w:r>
        <w:rPr/>
        <w:t>modelo</w:t>
      </w:r>
      <w:r>
        <w:rPr>
          <w:spacing w:val="-1"/>
        </w:rPr>
        <w:t> </w:t>
      </w:r>
      <w:r>
        <w:rPr/>
        <w:t>de</w:t>
      </w:r>
      <w:r>
        <w:rPr>
          <w:spacing w:val="-1"/>
        </w:rPr>
        <w:t> </w:t>
      </w:r>
      <w:r>
        <w:rPr/>
        <w:t>contrato</w:t>
      </w:r>
      <w:r>
        <w:rPr>
          <w:spacing w:val="-1"/>
        </w:rPr>
        <w:t> </w:t>
      </w:r>
      <w:r>
        <w:rPr/>
        <w:t>será autorizado y</w:t>
      </w:r>
      <w:r>
        <w:rPr>
          <w:spacing w:val="-2"/>
        </w:rPr>
        <w:t> </w:t>
      </w:r>
      <w:r>
        <w:rPr/>
        <w:t>registrado</w:t>
      </w:r>
      <w:r>
        <w:rPr>
          <w:spacing w:val="-1"/>
        </w:rPr>
        <w:t> </w:t>
      </w:r>
      <w:r>
        <w:rPr/>
        <w:t>por el Centro</w:t>
      </w:r>
      <w:r>
        <w:rPr>
          <w:spacing w:val="-1"/>
        </w:rPr>
        <w:t> </w:t>
      </w:r>
      <w:r>
        <w:rPr/>
        <w:t>Federal</w:t>
      </w:r>
      <w:r>
        <w:rPr>
          <w:spacing w:val="-2"/>
        </w:rPr>
        <w:t> </w:t>
      </w:r>
      <w:r>
        <w:rPr/>
        <w:t>de</w:t>
      </w:r>
      <w:r>
        <w:rPr>
          <w:spacing w:val="-1"/>
        </w:rPr>
        <w:t> </w:t>
      </w:r>
      <w:r>
        <w:rPr/>
        <w:t>Conciliación y Registro Laboral.</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2024</w:t>
      </w:r>
    </w:p>
    <w:p>
      <w:pPr>
        <w:pStyle w:val="BodyText"/>
        <w:spacing w:before="45"/>
        <w:rPr>
          <w:rFonts w:ascii="Times New Roman"/>
          <w:i/>
          <w:sz w:val="16"/>
        </w:rPr>
      </w:pPr>
    </w:p>
    <w:p>
      <w:pPr>
        <w:pStyle w:val="BodyText"/>
        <w:spacing w:line="242" w:lineRule="auto"/>
        <w:ind w:left="338" w:right="382" w:firstLine="288"/>
      </w:pPr>
      <w:bookmarkStart w:name="Artículo_291_H" w:id="353"/>
      <w:bookmarkEnd w:id="353"/>
      <w:r>
        <w:rPr/>
      </w:r>
      <w:r>
        <w:rPr>
          <w:rFonts w:ascii="Arial" w:hAnsi="Arial"/>
          <w:b/>
        </w:rPr>
        <w:t>Artículo 291-H.- </w:t>
      </w:r>
      <w:r>
        <w:rPr/>
        <w:t>Además de lo establecido en el artículo 25 de esta Ley, el contrato al que se refiere</w:t>
      </w:r>
      <w:r>
        <w:rPr>
          <w:spacing w:val="40"/>
        </w:rPr>
        <w:t> </w:t>
      </w:r>
      <w:r>
        <w:rPr/>
        <w:t>el artículo 291-G, contendrá lo siguiente:</w:t>
      </w:r>
    </w:p>
    <w:p>
      <w:pPr>
        <w:pStyle w:val="ListParagraph"/>
        <w:numPr>
          <w:ilvl w:val="0"/>
          <w:numId w:val="72"/>
        </w:numPr>
        <w:tabs>
          <w:tab w:pos="1202" w:val="left" w:leader="none"/>
        </w:tabs>
        <w:spacing w:line="240" w:lineRule="auto" w:before="226" w:after="0"/>
        <w:ind w:left="1202" w:right="0" w:hanging="576"/>
        <w:jc w:val="left"/>
        <w:rPr>
          <w:sz w:val="20"/>
        </w:rPr>
      </w:pPr>
      <w:r>
        <w:rPr>
          <w:sz w:val="20"/>
        </w:rPr>
        <w:t>Nombre,</w:t>
      </w:r>
      <w:r>
        <w:rPr>
          <w:spacing w:val="-7"/>
          <w:sz w:val="20"/>
        </w:rPr>
        <w:t> </w:t>
      </w:r>
      <w:r>
        <w:rPr>
          <w:sz w:val="20"/>
        </w:rPr>
        <w:t>nacionalidad,</w:t>
      </w:r>
      <w:r>
        <w:rPr>
          <w:spacing w:val="-6"/>
          <w:sz w:val="20"/>
        </w:rPr>
        <w:t> </w:t>
      </w:r>
      <w:r>
        <w:rPr>
          <w:sz w:val="20"/>
        </w:rPr>
        <w:t>edad,</w:t>
      </w:r>
      <w:r>
        <w:rPr>
          <w:spacing w:val="-5"/>
          <w:sz w:val="20"/>
        </w:rPr>
        <w:t> </w:t>
      </w:r>
      <w:r>
        <w:rPr>
          <w:sz w:val="20"/>
        </w:rPr>
        <w:t>sexo</w:t>
      </w:r>
      <w:r>
        <w:rPr>
          <w:spacing w:val="-3"/>
          <w:sz w:val="20"/>
        </w:rPr>
        <w:t> </w:t>
      </w:r>
      <w:r>
        <w:rPr>
          <w:sz w:val="20"/>
        </w:rPr>
        <w:t>y</w:t>
      </w:r>
      <w:r>
        <w:rPr>
          <w:spacing w:val="-9"/>
          <w:sz w:val="20"/>
        </w:rPr>
        <w:t> </w:t>
      </w:r>
      <w:r>
        <w:rPr>
          <w:sz w:val="20"/>
        </w:rPr>
        <w:t>domicilio</w:t>
      </w:r>
      <w:r>
        <w:rPr>
          <w:spacing w:val="-7"/>
          <w:sz w:val="20"/>
        </w:rPr>
        <w:t> </w:t>
      </w:r>
      <w:r>
        <w:rPr>
          <w:sz w:val="20"/>
        </w:rPr>
        <w:t>de</w:t>
      </w:r>
      <w:r>
        <w:rPr>
          <w:spacing w:val="-6"/>
          <w:sz w:val="20"/>
        </w:rPr>
        <w:t> </w:t>
      </w:r>
      <w:r>
        <w:rPr>
          <w:sz w:val="20"/>
        </w:rPr>
        <w:t>las</w:t>
      </w:r>
      <w:r>
        <w:rPr>
          <w:spacing w:val="-6"/>
          <w:sz w:val="20"/>
        </w:rPr>
        <w:t> </w:t>
      </w:r>
      <w:r>
        <w:rPr>
          <w:spacing w:val="-2"/>
          <w:sz w:val="20"/>
        </w:rPr>
        <w:t>partes;</w:t>
      </w:r>
    </w:p>
    <w:p>
      <w:pPr>
        <w:pStyle w:val="BodyText"/>
        <w:spacing w:before="1"/>
      </w:pPr>
    </w:p>
    <w:p>
      <w:pPr>
        <w:pStyle w:val="ListParagraph"/>
        <w:numPr>
          <w:ilvl w:val="0"/>
          <w:numId w:val="72"/>
        </w:numPr>
        <w:tabs>
          <w:tab w:pos="1202" w:val="left" w:leader="none"/>
        </w:tabs>
        <w:spacing w:line="240" w:lineRule="auto" w:before="0" w:after="0"/>
        <w:ind w:left="1202" w:right="0" w:hanging="576"/>
        <w:jc w:val="left"/>
        <w:rPr>
          <w:sz w:val="20"/>
        </w:rPr>
      </w:pPr>
      <w:r>
        <w:rPr>
          <w:sz w:val="20"/>
        </w:rPr>
        <w:t>Naturaleza</w:t>
      </w:r>
      <w:r>
        <w:rPr>
          <w:spacing w:val="-5"/>
          <w:sz w:val="20"/>
        </w:rPr>
        <w:t> </w:t>
      </w:r>
      <w:r>
        <w:rPr>
          <w:sz w:val="20"/>
        </w:rPr>
        <w:t>y</w:t>
      </w:r>
      <w:r>
        <w:rPr>
          <w:spacing w:val="-11"/>
          <w:sz w:val="20"/>
        </w:rPr>
        <w:t> </w:t>
      </w:r>
      <w:r>
        <w:rPr>
          <w:sz w:val="20"/>
        </w:rPr>
        <w:t>características</w:t>
      </w:r>
      <w:r>
        <w:rPr>
          <w:spacing w:val="-7"/>
          <w:sz w:val="20"/>
        </w:rPr>
        <w:t> </w:t>
      </w:r>
      <w:r>
        <w:rPr>
          <w:sz w:val="20"/>
        </w:rPr>
        <w:t>del</w:t>
      </w:r>
      <w:r>
        <w:rPr>
          <w:spacing w:val="-10"/>
          <w:sz w:val="20"/>
        </w:rPr>
        <w:t> </w:t>
      </w:r>
      <w:r>
        <w:rPr>
          <w:spacing w:val="-2"/>
          <w:sz w:val="20"/>
        </w:rPr>
        <w:t>trabajo;</w:t>
      </w:r>
    </w:p>
    <w:p>
      <w:pPr>
        <w:pStyle w:val="ListParagraph"/>
        <w:spacing w:after="0" w:line="240" w:lineRule="auto"/>
        <w:jc w:val="left"/>
        <w:rPr>
          <w:sz w:val="20"/>
        </w:rPr>
        <w:sectPr>
          <w:pgSz w:w="12240" w:h="15840"/>
          <w:pgMar w:header="724" w:footer="712" w:top="1880" w:bottom="900" w:left="1080" w:right="1080"/>
        </w:sectPr>
      </w:pPr>
    </w:p>
    <w:p>
      <w:pPr>
        <w:pStyle w:val="BodyText"/>
        <w:spacing w:before="63"/>
      </w:pPr>
    </w:p>
    <w:p>
      <w:pPr>
        <w:pStyle w:val="ListParagraph"/>
        <w:numPr>
          <w:ilvl w:val="0"/>
          <w:numId w:val="72"/>
        </w:numPr>
        <w:tabs>
          <w:tab w:pos="1198" w:val="left" w:leader="none"/>
          <w:tab w:pos="1202" w:val="left" w:leader="none"/>
        </w:tabs>
        <w:spacing w:line="242" w:lineRule="auto" w:before="0" w:after="0"/>
        <w:ind w:left="1202" w:right="334" w:hanging="576"/>
        <w:jc w:val="both"/>
        <w:rPr>
          <w:sz w:val="20"/>
        </w:rPr>
      </w:pPr>
      <w:r>
        <w:rPr>
          <w:sz w:val="20"/>
        </w:rPr>
        <w:t>Determinación del sistema de contabilización de ingresos generados y de tiempo efectivamente </w:t>
      </w:r>
      <w:r>
        <w:rPr>
          <w:spacing w:val="-2"/>
          <w:sz w:val="20"/>
        </w:rPr>
        <w:t>laborado;</w:t>
      </w:r>
    </w:p>
    <w:p>
      <w:pPr>
        <w:pStyle w:val="ListParagraph"/>
        <w:numPr>
          <w:ilvl w:val="0"/>
          <w:numId w:val="72"/>
        </w:numPr>
        <w:tabs>
          <w:tab w:pos="1202" w:val="left" w:leader="none"/>
        </w:tabs>
        <w:spacing w:line="242" w:lineRule="auto" w:before="227" w:after="0"/>
        <w:ind w:left="1202" w:right="336" w:hanging="576"/>
        <w:jc w:val="both"/>
        <w:rPr>
          <w:sz w:val="20"/>
        </w:rPr>
      </w:pPr>
      <w:r>
        <w:rPr>
          <w:sz w:val="20"/>
        </w:rPr>
        <w:t>El equipo e insumos de trabajo que en su caso se proporciona a la persona trabajadora, incluyendo lo relacionado con obligaciones de seguridad y salud en el trabajo para esta </w:t>
      </w:r>
      <w:r>
        <w:rPr>
          <w:spacing w:val="-2"/>
          <w:sz w:val="20"/>
        </w:rPr>
        <w:t>modalidad;</w:t>
      </w:r>
    </w:p>
    <w:p>
      <w:pPr>
        <w:pStyle w:val="ListParagraph"/>
        <w:numPr>
          <w:ilvl w:val="0"/>
          <w:numId w:val="72"/>
        </w:numPr>
        <w:tabs>
          <w:tab w:pos="1202" w:val="left" w:leader="none"/>
        </w:tabs>
        <w:spacing w:line="242" w:lineRule="auto" w:before="222" w:after="0"/>
        <w:ind w:left="1202" w:right="342" w:hanging="576"/>
        <w:jc w:val="both"/>
        <w:rPr>
          <w:sz w:val="20"/>
        </w:rPr>
      </w:pPr>
      <w:r>
        <w:rPr>
          <w:sz w:val="20"/>
        </w:rPr>
        <w:t>El</w:t>
      </w:r>
      <w:r>
        <w:rPr>
          <w:spacing w:val="-1"/>
          <w:sz w:val="20"/>
        </w:rPr>
        <w:t> </w:t>
      </w:r>
      <w:r>
        <w:rPr>
          <w:sz w:val="20"/>
        </w:rPr>
        <w:t>porcentaje</w:t>
      </w:r>
      <w:r>
        <w:rPr>
          <w:spacing w:val="-2"/>
          <w:sz w:val="20"/>
        </w:rPr>
        <w:t> </w:t>
      </w:r>
      <w:r>
        <w:rPr>
          <w:sz w:val="20"/>
        </w:rPr>
        <w:t>del</w:t>
      </w:r>
      <w:r>
        <w:rPr>
          <w:spacing w:val="-1"/>
          <w:sz w:val="20"/>
        </w:rPr>
        <w:t> </w:t>
      </w:r>
      <w:r>
        <w:rPr>
          <w:sz w:val="20"/>
        </w:rPr>
        <w:t>monto</w:t>
      </w:r>
      <w:r>
        <w:rPr>
          <w:spacing w:val="-2"/>
          <w:sz w:val="20"/>
        </w:rPr>
        <w:t> </w:t>
      </w:r>
      <w:r>
        <w:rPr>
          <w:sz w:val="20"/>
        </w:rPr>
        <w:t>o método</w:t>
      </w:r>
      <w:r>
        <w:rPr>
          <w:spacing w:val="-2"/>
          <w:sz w:val="20"/>
        </w:rPr>
        <w:t> </w:t>
      </w:r>
      <w:r>
        <w:rPr>
          <w:sz w:val="20"/>
        </w:rPr>
        <w:t>que el</w:t>
      </w:r>
      <w:r>
        <w:rPr>
          <w:spacing w:val="-3"/>
          <w:sz w:val="20"/>
        </w:rPr>
        <w:t> </w:t>
      </w:r>
      <w:r>
        <w:rPr>
          <w:sz w:val="20"/>
        </w:rPr>
        <w:t>patrón pagará</w:t>
      </w:r>
      <w:r>
        <w:rPr>
          <w:spacing w:val="-2"/>
          <w:sz w:val="20"/>
        </w:rPr>
        <w:t> </w:t>
      </w:r>
      <w:r>
        <w:rPr>
          <w:sz w:val="20"/>
        </w:rPr>
        <w:t>a la persona</w:t>
      </w:r>
      <w:r>
        <w:rPr>
          <w:spacing w:val="-2"/>
          <w:sz w:val="20"/>
        </w:rPr>
        <w:t> </w:t>
      </w:r>
      <w:r>
        <w:rPr>
          <w:sz w:val="20"/>
        </w:rPr>
        <w:t>trabajadora de plataformas digitales por cada tarea, servicio, obra o trabajo, además del porcentaje o monto que puedan recibir por concepto de bonos, en caso que los hubiere;</w:t>
      </w:r>
    </w:p>
    <w:p>
      <w:pPr>
        <w:pStyle w:val="ListParagraph"/>
        <w:numPr>
          <w:ilvl w:val="0"/>
          <w:numId w:val="72"/>
        </w:numPr>
        <w:tabs>
          <w:tab w:pos="1202" w:val="left" w:leader="none"/>
        </w:tabs>
        <w:spacing w:line="240" w:lineRule="auto" w:before="225" w:after="0"/>
        <w:ind w:left="1202" w:right="337" w:hanging="576"/>
        <w:jc w:val="both"/>
        <w:rPr>
          <w:sz w:val="20"/>
        </w:rPr>
      </w:pPr>
      <w:r>
        <w:rPr>
          <w:sz w:val="20"/>
        </w:rPr>
        <w:t>Los mecanismos de contacto y de supervisión, entre la plataforma y las personas trabajadoras, </w:t>
      </w:r>
      <w:r>
        <w:rPr>
          <w:spacing w:val="-10"/>
          <w:sz w:val="20"/>
        </w:rPr>
        <w:t>y</w:t>
      </w:r>
    </w:p>
    <w:p>
      <w:pPr>
        <w:pStyle w:val="ListParagraph"/>
        <w:numPr>
          <w:ilvl w:val="0"/>
          <w:numId w:val="72"/>
        </w:numPr>
        <w:tabs>
          <w:tab w:pos="1202" w:val="left" w:leader="none"/>
        </w:tabs>
        <w:spacing w:line="240" w:lineRule="auto" w:before="229" w:after="0"/>
        <w:ind w:left="1202" w:right="0" w:hanging="576"/>
        <w:jc w:val="left"/>
        <w:rPr>
          <w:sz w:val="20"/>
        </w:rPr>
      </w:pPr>
      <w:r>
        <w:rPr>
          <w:sz w:val="20"/>
        </w:rPr>
        <w:t>Otras</w:t>
      </w:r>
      <w:r>
        <w:rPr>
          <w:spacing w:val="-6"/>
          <w:sz w:val="20"/>
        </w:rPr>
        <w:t> </w:t>
      </w:r>
      <w:r>
        <w:rPr>
          <w:sz w:val="20"/>
        </w:rPr>
        <w:t>condiciones</w:t>
      </w:r>
      <w:r>
        <w:rPr>
          <w:spacing w:val="-4"/>
          <w:sz w:val="20"/>
        </w:rPr>
        <w:t> </w:t>
      </w:r>
      <w:r>
        <w:rPr>
          <w:sz w:val="20"/>
        </w:rPr>
        <w:t>de</w:t>
      </w:r>
      <w:r>
        <w:rPr>
          <w:spacing w:val="-8"/>
          <w:sz w:val="20"/>
        </w:rPr>
        <w:t> </w:t>
      </w:r>
      <w:r>
        <w:rPr>
          <w:sz w:val="20"/>
        </w:rPr>
        <w:t>trabajo</w:t>
      </w:r>
      <w:r>
        <w:rPr>
          <w:spacing w:val="-6"/>
          <w:sz w:val="20"/>
        </w:rPr>
        <w:t> </w:t>
      </w:r>
      <w:r>
        <w:rPr>
          <w:sz w:val="20"/>
        </w:rPr>
        <w:t>que</w:t>
      </w:r>
      <w:r>
        <w:rPr>
          <w:spacing w:val="-7"/>
          <w:sz w:val="20"/>
        </w:rPr>
        <w:t> </w:t>
      </w:r>
      <w:r>
        <w:rPr>
          <w:sz w:val="20"/>
        </w:rPr>
        <w:t>se</w:t>
      </w:r>
      <w:r>
        <w:rPr>
          <w:spacing w:val="-7"/>
          <w:sz w:val="20"/>
        </w:rPr>
        <w:t> </w:t>
      </w:r>
      <w:r>
        <w:rPr>
          <w:spacing w:val="-2"/>
          <w:sz w:val="20"/>
        </w:rPr>
        <w:t>convengan.</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2024</w:t>
      </w:r>
    </w:p>
    <w:p>
      <w:pPr>
        <w:pStyle w:val="BodyText"/>
        <w:spacing w:line="242" w:lineRule="auto" w:before="229"/>
        <w:ind w:left="338" w:right="343" w:firstLine="288"/>
        <w:jc w:val="both"/>
      </w:pPr>
      <w:bookmarkStart w:name="Artículo_291_I" w:id="354"/>
      <w:bookmarkEnd w:id="354"/>
      <w:r>
        <w:rPr/>
      </w:r>
      <w:r>
        <w:rPr>
          <w:rFonts w:ascii="Arial" w:hAnsi="Arial"/>
          <w:b/>
        </w:rPr>
        <w:t>Artículo 291-I.- </w:t>
      </w:r>
      <w:r>
        <w:rPr/>
        <w:t>Las personas trabajadoras en plataformas digitales disfrutarán de</w:t>
      </w:r>
      <w:r>
        <w:rPr>
          <w:spacing w:val="-1"/>
        </w:rPr>
        <w:t> </w:t>
      </w:r>
      <w:r>
        <w:rPr/>
        <w:t>todos los derechos, incluyendo los colectivos reconocidos por la presente Ley, para lo cual las empresas de plataformas digitales deberán establecer mecanismos que garanticen su ejercicio pleno.</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2024</w:t>
      </w:r>
    </w:p>
    <w:p>
      <w:pPr>
        <w:pStyle w:val="BodyText"/>
        <w:spacing w:before="45"/>
        <w:rPr>
          <w:rFonts w:ascii="Times New Roman"/>
          <w:i/>
          <w:sz w:val="16"/>
        </w:rPr>
      </w:pPr>
    </w:p>
    <w:p>
      <w:pPr>
        <w:pStyle w:val="BodyText"/>
        <w:ind w:left="338" w:right="338" w:firstLine="288"/>
        <w:jc w:val="both"/>
      </w:pPr>
      <w:bookmarkStart w:name="Artículo_291_J" w:id="355"/>
      <w:bookmarkEnd w:id="355"/>
      <w:r>
        <w:rPr/>
      </w:r>
      <w:r>
        <w:rPr>
          <w:rFonts w:ascii="Arial" w:hAnsi="Arial"/>
          <w:b/>
        </w:rPr>
        <w:t>Artículo 291-J.- </w:t>
      </w:r>
      <w:r>
        <w:rPr/>
        <w:t>Las reglas para la asignación de tareas, servicios, obras o trabajos, a través de algoritmos</w:t>
      </w:r>
      <w:r>
        <w:rPr>
          <w:spacing w:val="-1"/>
        </w:rPr>
        <w:t> </w:t>
      </w:r>
      <w:r>
        <w:rPr/>
        <w:t>o</w:t>
      </w:r>
      <w:r>
        <w:rPr>
          <w:spacing w:val="-2"/>
        </w:rPr>
        <w:t> </w:t>
      </w:r>
      <w:r>
        <w:rPr/>
        <w:t>mecanismos</w:t>
      </w:r>
      <w:r>
        <w:rPr>
          <w:spacing w:val="-1"/>
        </w:rPr>
        <w:t> </w:t>
      </w:r>
      <w:r>
        <w:rPr/>
        <w:t>análogos</w:t>
      </w:r>
      <w:r>
        <w:rPr>
          <w:spacing w:val="-1"/>
        </w:rPr>
        <w:t> </w:t>
      </w:r>
      <w:r>
        <w:rPr/>
        <w:t>deberán</w:t>
      </w:r>
      <w:r>
        <w:rPr>
          <w:spacing w:val="-2"/>
        </w:rPr>
        <w:t> </w:t>
      </w:r>
      <w:r>
        <w:rPr/>
        <w:t>ser</w:t>
      </w:r>
      <w:r>
        <w:rPr>
          <w:spacing w:val="-1"/>
        </w:rPr>
        <w:t> </w:t>
      </w:r>
      <w:r>
        <w:rPr/>
        <w:t>transparentes,</w:t>
      </w:r>
      <w:r>
        <w:rPr>
          <w:spacing w:val="-2"/>
        </w:rPr>
        <w:t> </w:t>
      </w:r>
      <w:r>
        <w:rPr/>
        <w:t>claras y</w:t>
      </w:r>
      <w:r>
        <w:rPr>
          <w:spacing w:val="-5"/>
        </w:rPr>
        <w:t> </w:t>
      </w:r>
      <w:r>
        <w:rPr/>
        <w:t>conocidas por</w:t>
      </w:r>
      <w:r>
        <w:rPr>
          <w:spacing w:val="-1"/>
        </w:rPr>
        <w:t> </w:t>
      </w:r>
      <w:r>
        <w:rPr/>
        <w:t>todas</w:t>
      </w:r>
      <w:r>
        <w:rPr>
          <w:spacing w:val="-1"/>
        </w:rPr>
        <w:t> </w:t>
      </w:r>
      <w:r>
        <w:rPr/>
        <w:t>las</w:t>
      </w:r>
      <w:r>
        <w:rPr>
          <w:spacing w:val="-1"/>
        </w:rPr>
        <w:t> </w:t>
      </w:r>
      <w:r>
        <w:rPr/>
        <w:t>personas trabajadoras en plataformas digitales. Se entenderá por algoritmo el uso de sistemas de toma de decisiones que permitan ejercer de manera automatizada o análoga el mando y supervisión sobre la persona trabajadora de plataforma digital. Los prestadores de servicios en plataformas digitales deberán elaborar un documento de política de gestión algorítmica del trabajo que informe a las personas trabajadoras, utilizando un lenguaje sencillo y claro, y evitando el uso de frases inexactas, ambiguas o vagas, los elementos utilizados por los algoritmos para la toma de decisiones que puedan afectar la relación laboral. Dicho documento deberá contener lo siguiente:</w:t>
      </w:r>
    </w:p>
    <w:p>
      <w:pPr>
        <w:pStyle w:val="BodyText"/>
        <w:spacing w:before="2"/>
      </w:pPr>
    </w:p>
    <w:p>
      <w:pPr>
        <w:pStyle w:val="ListParagraph"/>
        <w:numPr>
          <w:ilvl w:val="0"/>
          <w:numId w:val="73"/>
        </w:numPr>
        <w:tabs>
          <w:tab w:pos="1200" w:val="left" w:leader="none"/>
          <w:tab w:pos="1202" w:val="left" w:leader="none"/>
        </w:tabs>
        <w:spacing w:line="240" w:lineRule="auto" w:before="0" w:after="0"/>
        <w:ind w:left="1202" w:right="344" w:hanging="576"/>
        <w:jc w:val="both"/>
        <w:rPr>
          <w:sz w:val="20"/>
        </w:rPr>
      </w:pPr>
      <w:r>
        <w:rPr>
          <w:sz w:val="20"/>
        </w:rPr>
        <w:t>Las consecuencias del cumplimiento o incumplimiento de instrucciones otorgadas a las personas trabajadoras, incluyendo las expectativas en tiempos de espera, traslado y</w:t>
      </w:r>
      <w:r>
        <w:rPr>
          <w:spacing w:val="-2"/>
          <w:sz w:val="20"/>
        </w:rPr>
        <w:t> </w:t>
      </w:r>
      <w:r>
        <w:rPr>
          <w:sz w:val="20"/>
        </w:rPr>
        <w:t>prestación de los servicios, obras, trabajos o análogos;</w:t>
      </w:r>
    </w:p>
    <w:p>
      <w:pPr>
        <w:pStyle w:val="ListParagraph"/>
        <w:numPr>
          <w:ilvl w:val="0"/>
          <w:numId w:val="73"/>
        </w:numPr>
        <w:tabs>
          <w:tab w:pos="1200" w:val="left" w:leader="none"/>
          <w:tab w:pos="1202" w:val="left" w:leader="none"/>
        </w:tabs>
        <w:spacing w:line="242" w:lineRule="auto" w:before="229" w:after="0"/>
        <w:ind w:left="1202" w:right="346" w:hanging="576"/>
        <w:jc w:val="both"/>
        <w:rPr>
          <w:sz w:val="20"/>
        </w:rPr>
      </w:pPr>
      <w:r>
        <w:rPr>
          <w:sz w:val="20"/>
        </w:rPr>
        <w:t>Las consecuencias e impacto de calificaciones otorgadas por terceros a las tareas, servicios, obras, trabajos o análogos proporcionados por las personas trabajadoras;</w:t>
      </w:r>
    </w:p>
    <w:p>
      <w:pPr>
        <w:pStyle w:val="ListParagraph"/>
        <w:numPr>
          <w:ilvl w:val="0"/>
          <w:numId w:val="73"/>
        </w:numPr>
        <w:tabs>
          <w:tab w:pos="1198" w:val="left" w:leader="none"/>
          <w:tab w:pos="1202" w:val="left" w:leader="none"/>
        </w:tabs>
        <w:spacing w:line="242" w:lineRule="auto" w:before="224" w:after="0"/>
        <w:ind w:left="1202" w:right="334" w:hanging="576"/>
        <w:jc w:val="both"/>
        <w:rPr>
          <w:sz w:val="20"/>
        </w:rPr>
      </w:pPr>
      <w:r>
        <w:rPr>
          <w:sz w:val="20"/>
        </w:rPr>
        <w:t>Los incentivos y penalizaciones utilizados para incidir en la intensidad, calidad, frecuencia, tiempo o ritmo del trabajo;</w:t>
      </w:r>
    </w:p>
    <w:p>
      <w:pPr>
        <w:pStyle w:val="ListParagraph"/>
        <w:numPr>
          <w:ilvl w:val="0"/>
          <w:numId w:val="73"/>
        </w:numPr>
        <w:tabs>
          <w:tab w:pos="1202" w:val="left" w:leader="none"/>
        </w:tabs>
        <w:spacing w:line="240" w:lineRule="auto" w:before="227" w:after="0"/>
        <w:ind w:left="1202" w:right="337" w:hanging="576"/>
        <w:jc w:val="both"/>
        <w:rPr>
          <w:sz w:val="20"/>
        </w:rPr>
      </w:pPr>
      <w:r>
        <w:rPr>
          <w:sz w:val="20"/>
        </w:rPr>
        <w:t>En su caso, la existencia de categorías cuya pertenencia incida en sentido positivo o negativo en la asignación de tareas, servicios, obras, trabajos o análogos y las características o reglas generales de dichas categorías, y</w:t>
      </w:r>
    </w:p>
    <w:p>
      <w:pPr>
        <w:pStyle w:val="BodyText"/>
      </w:pPr>
    </w:p>
    <w:p>
      <w:pPr>
        <w:pStyle w:val="ListParagraph"/>
        <w:numPr>
          <w:ilvl w:val="0"/>
          <w:numId w:val="73"/>
        </w:numPr>
        <w:tabs>
          <w:tab w:pos="1202" w:val="left" w:leader="none"/>
        </w:tabs>
        <w:spacing w:line="242" w:lineRule="auto" w:before="0" w:after="0"/>
        <w:ind w:left="1202" w:right="342" w:hanging="576"/>
        <w:jc w:val="both"/>
        <w:rPr>
          <w:sz w:val="20"/>
        </w:rPr>
      </w:pPr>
      <w:r>
        <w:rPr>
          <w:sz w:val="20"/>
        </w:rPr>
        <w:t>Otros criterios que podrán ser tomados en cuenta para la toma de decisiones del algoritmo, incluyendo aquellas que tengan consecuencias para el acceso o restricción a futuras tareas, bonos o sanciones y que permitan reducir la asimetría en la información con la que cuenta la persona trabajadora con motivo de su labor.</w:t>
      </w:r>
    </w:p>
    <w:p>
      <w:pPr>
        <w:pStyle w:val="BodyText"/>
        <w:spacing w:before="223"/>
        <w:ind w:left="338" w:right="341" w:firstLine="288"/>
        <w:jc w:val="both"/>
      </w:pPr>
      <w:r>
        <w:rPr/>
        <w:t>La política de gestión algorítmica del trabajo formará parte del contrato de trabajo de plataformas digitales</w:t>
      </w:r>
      <w:r>
        <w:rPr>
          <w:spacing w:val="25"/>
        </w:rPr>
        <w:t> </w:t>
      </w:r>
      <w:r>
        <w:rPr/>
        <w:t>y</w:t>
      </w:r>
      <w:r>
        <w:rPr>
          <w:spacing w:val="19"/>
        </w:rPr>
        <w:t> </w:t>
      </w:r>
      <w:r>
        <w:rPr/>
        <w:t>deberá</w:t>
      </w:r>
      <w:r>
        <w:rPr>
          <w:spacing w:val="22"/>
        </w:rPr>
        <w:t> </w:t>
      </w:r>
      <w:r>
        <w:rPr/>
        <w:t>ser</w:t>
      </w:r>
      <w:r>
        <w:rPr>
          <w:spacing w:val="20"/>
        </w:rPr>
        <w:t> </w:t>
      </w:r>
      <w:r>
        <w:rPr/>
        <w:t>conocido</w:t>
      </w:r>
      <w:r>
        <w:rPr>
          <w:spacing w:val="21"/>
        </w:rPr>
        <w:t> </w:t>
      </w:r>
      <w:r>
        <w:rPr/>
        <w:t>por</w:t>
      </w:r>
      <w:r>
        <w:rPr>
          <w:spacing w:val="23"/>
        </w:rPr>
        <w:t> </w:t>
      </w:r>
      <w:r>
        <w:rPr/>
        <w:t>todas</w:t>
      </w:r>
      <w:r>
        <w:rPr>
          <w:spacing w:val="23"/>
        </w:rPr>
        <w:t> </w:t>
      </w:r>
      <w:r>
        <w:rPr/>
        <w:t>las</w:t>
      </w:r>
      <w:r>
        <w:rPr>
          <w:spacing w:val="23"/>
        </w:rPr>
        <w:t> </w:t>
      </w:r>
      <w:r>
        <w:rPr/>
        <w:t>personas</w:t>
      </w:r>
      <w:r>
        <w:rPr>
          <w:spacing w:val="21"/>
        </w:rPr>
        <w:t> </w:t>
      </w:r>
      <w:r>
        <w:rPr/>
        <w:t>trabajadoras</w:t>
      </w:r>
      <w:r>
        <w:rPr>
          <w:spacing w:val="24"/>
        </w:rPr>
        <w:t> </w:t>
      </w:r>
      <w:r>
        <w:rPr/>
        <w:t>al</w:t>
      </w:r>
      <w:r>
        <w:rPr>
          <w:spacing w:val="21"/>
        </w:rPr>
        <w:t> </w:t>
      </w:r>
      <w:r>
        <w:rPr/>
        <w:t>inicio</w:t>
      </w:r>
      <w:r>
        <w:rPr>
          <w:spacing w:val="22"/>
        </w:rPr>
        <w:t> </w:t>
      </w:r>
      <w:r>
        <w:rPr/>
        <w:t>de</w:t>
      </w:r>
      <w:r>
        <w:rPr>
          <w:spacing w:val="20"/>
        </w:rPr>
        <w:t> </w:t>
      </w:r>
      <w:r>
        <w:rPr/>
        <w:t>la</w:t>
      </w:r>
      <w:r>
        <w:rPr>
          <w:spacing w:val="20"/>
        </w:rPr>
        <w:t> </w:t>
      </w:r>
      <w:r>
        <w:rPr/>
        <w:t>relación</w:t>
      </w:r>
      <w:r>
        <w:rPr>
          <w:spacing w:val="21"/>
        </w:rPr>
        <w:t> </w:t>
      </w:r>
      <w:r>
        <w:rPr/>
        <w:t>laboral,</w:t>
      </w:r>
      <w:r>
        <w:rPr>
          <w:spacing w:val="22"/>
        </w:rPr>
        <w:t> </w:t>
      </w:r>
      <w:r>
        <w:rPr/>
        <w:t>así</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34"/>
        <w:jc w:val="both"/>
      </w:pPr>
      <w:r>
        <w:rPr/>
        <w:t>como</w:t>
      </w:r>
      <w:r>
        <w:rPr>
          <w:spacing w:val="-1"/>
        </w:rPr>
        <w:t> </w:t>
      </w:r>
      <w:r>
        <w:rPr/>
        <w:t>de manera</w:t>
      </w:r>
      <w:r>
        <w:rPr>
          <w:spacing w:val="-1"/>
        </w:rPr>
        <w:t> </w:t>
      </w:r>
      <w:r>
        <w:rPr/>
        <w:t>inmediata en caso que existan cambios en los elementos antes descritos en el presente artículo,</w:t>
      </w:r>
      <w:r>
        <w:rPr>
          <w:spacing w:val="-2"/>
        </w:rPr>
        <w:t> </w:t>
      </w:r>
      <w:r>
        <w:rPr/>
        <w:t>mismos</w:t>
      </w:r>
      <w:r>
        <w:rPr>
          <w:spacing w:val="-1"/>
        </w:rPr>
        <w:t> </w:t>
      </w:r>
      <w:r>
        <w:rPr/>
        <w:t>que</w:t>
      </w:r>
      <w:r>
        <w:rPr>
          <w:spacing w:val="-2"/>
        </w:rPr>
        <w:t> </w:t>
      </w:r>
      <w:r>
        <w:rPr/>
        <w:t>deberán</w:t>
      </w:r>
      <w:r>
        <w:rPr>
          <w:spacing w:val="-3"/>
        </w:rPr>
        <w:t> </w:t>
      </w:r>
      <w:r>
        <w:rPr/>
        <w:t>ser</w:t>
      </w:r>
      <w:r>
        <w:rPr>
          <w:spacing w:val="-1"/>
        </w:rPr>
        <w:t> </w:t>
      </w:r>
      <w:r>
        <w:rPr/>
        <w:t>aceptados</w:t>
      </w:r>
      <w:r>
        <w:rPr>
          <w:spacing w:val="-1"/>
        </w:rPr>
        <w:t> </w:t>
      </w:r>
      <w:r>
        <w:rPr/>
        <w:t>por</w:t>
      </w:r>
      <w:r>
        <w:rPr>
          <w:spacing w:val="-1"/>
        </w:rPr>
        <w:t> </w:t>
      </w:r>
      <w:r>
        <w:rPr/>
        <w:t>cada trabajador, y</w:t>
      </w:r>
      <w:r>
        <w:rPr>
          <w:spacing w:val="-5"/>
        </w:rPr>
        <w:t> </w:t>
      </w:r>
      <w:r>
        <w:rPr/>
        <w:t>explicados</w:t>
      </w:r>
      <w:r>
        <w:rPr>
          <w:spacing w:val="-1"/>
        </w:rPr>
        <w:t> </w:t>
      </w:r>
      <w:r>
        <w:rPr/>
        <w:t>de manera</w:t>
      </w:r>
      <w:r>
        <w:rPr>
          <w:spacing w:val="-2"/>
        </w:rPr>
        <w:t> </w:t>
      </w:r>
      <w:r>
        <w:rPr/>
        <w:t>clara y</w:t>
      </w:r>
      <w:r>
        <w:rPr>
          <w:spacing w:val="-8"/>
        </w:rPr>
        <w:t> </w:t>
      </w:r>
      <w:r>
        <w:rPr/>
        <w:t>sencilla. El algoritmo deberá ser razonable en sus requisitos y elementos, atendiendo a las condiciones objetivas del trabajo y no poner en riesgo la salud e integridad del trabajador, ni ser factor de discriminación en su </w:t>
      </w:r>
      <w:r>
        <w:rPr>
          <w:spacing w:val="-2"/>
        </w:rPr>
        <w:t>contra.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line="242" w:lineRule="auto"/>
        <w:ind w:left="338" w:right="344" w:firstLine="288"/>
        <w:jc w:val="both"/>
      </w:pPr>
      <w:bookmarkStart w:name="Artículo_291_K" w:id="356"/>
      <w:bookmarkEnd w:id="356"/>
      <w:r>
        <w:rPr/>
      </w:r>
      <w:r>
        <w:rPr>
          <w:rFonts w:ascii="Arial" w:hAnsi="Arial"/>
          <w:b/>
        </w:rPr>
        <w:t>Artículo 291-K.- </w:t>
      </w:r>
      <w:r>
        <w:rPr/>
        <w:t>En cualquier caso, las personas físicas y morales que administren o gestionen servicios a través de plataformas digitales, en su carácter de patrón, tendrán las obligaciones especiales </w:t>
      </w:r>
      <w:r>
        <w:rPr>
          <w:spacing w:val="-2"/>
        </w:rPr>
        <w:t>siguientes:</w:t>
      </w:r>
    </w:p>
    <w:p>
      <w:pPr>
        <w:pStyle w:val="ListParagraph"/>
        <w:numPr>
          <w:ilvl w:val="0"/>
          <w:numId w:val="74"/>
        </w:numPr>
        <w:tabs>
          <w:tab w:pos="1202" w:val="left" w:leader="none"/>
        </w:tabs>
        <w:spacing w:line="240" w:lineRule="auto" w:before="222" w:after="0"/>
        <w:ind w:left="1202" w:right="0" w:hanging="576"/>
        <w:jc w:val="left"/>
        <w:rPr>
          <w:sz w:val="20"/>
        </w:rPr>
      </w:pPr>
      <w:r>
        <w:rPr>
          <w:sz w:val="20"/>
        </w:rPr>
        <w:t>Pagar</w:t>
      </w:r>
      <w:r>
        <w:rPr>
          <w:spacing w:val="-7"/>
          <w:sz w:val="20"/>
        </w:rPr>
        <w:t> </w:t>
      </w:r>
      <w:r>
        <w:rPr>
          <w:sz w:val="20"/>
        </w:rPr>
        <w:t>los</w:t>
      </w:r>
      <w:r>
        <w:rPr>
          <w:spacing w:val="-5"/>
          <w:sz w:val="20"/>
        </w:rPr>
        <w:t> </w:t>
      </w:r>
      <w:r>
        <w:rPr>
          <w:sz w:val="20"/>
        </w:rPr>
        <w:t>trabajos</w:t>
      </w:r>
      <w:r>
        <w:rPr>
          <w:spacing w:val="-5"/>
          <w:sz w:val="20"/>
        </w:rPr>
        <w:t> </w:t>
      </w:r>
      <w:r>
        <w:rPr>
          <w:sz w:val="20"/>
        </w:rPr>
        <w:t>derivados</w:t>
      </w:r>
      <w:r>
        <w:rPr>
          <w:spacing w:val="-2"/>
          <w:sz w:val="20"/>
        </w:rPr>
        <w:t> </w:t>
      </w:r>
      <w:r>
        <w:rPr>
          <w:sz w:val="20"/>
        </w:rPr>
        <w:t>de</w:t>
      </w:r>
      <w:r>
        <w:rPr>
          <w:spacing w:val="-7"/>
          <w:sz w:val="20"/>
        </w:rPr>
        <w:t> </w:t>
      </w:r>
      <w:r>
        <w:rPr>
          <w:sz w:val="20"/>
        </w:rPr>
        <w:t>los</w:t>
      </w:r>
      <w:r>
        <w:rPr>
          <w:spacing w:val="-6"/>
          <w:sz w:val="20"/>
        </w:rPr>
        <w:t> </w:t>
      </w:r>
      <w:r>
        <w:rPr>
          <w:sz w:val="20"/>
        </w:rPr>
        <w:t>servicios</w:t>
      </w:r>
      <w:r>
        <w:rPr>
          <w:spacing w:val="-5"/>
          <w:sz w:val="20"/>
        </w:rPr>
        <w:t> </w:t>
      </w:r>
      <w:r>
        <w:rPr>
          <w:sz w:val="20"/>
        </w:rPr>
        <w:t>otorgados,</w:t>
      </w:r>
      <w:r>
        <w:rPr>
          <w:spacing w:val="-6"/>
          <w:sz w:val="20"/>
        </w:rPr>
        <w:t> </w:t>
      </w:r>
      <w:r>
        <w:rPr>
          <w:sz w:val="20"/>
        </w:rPr>
        <w:t>en</w:t>
      </w:r>
      <w:r>
        <w:rPr>
          <w:spacing w:val="-6"/>
          <w:sz w:val="20"/>
        </w:rPr>
        <w:t> </w:t>
      </w:r>
      <w:r>
        <w:rPr>
          <w:sz w:val="20"/>
        </w:rPr>
        <w:t>un</w:t>
      </w:r>
      <w:r>
        <w:rPr>
          <w:spacing w:val="-6"/>
          <w:sz w:val="20"/>
        </w:rPr>
        <w:t> </w:t>
      </w:r>
      <w:r>
        <w:rPr>
          <w:sz w:val="20"/>
        </w:rPr>
        <w:t>plazo</w:t>
      </w:r>
      <w:r>
        <w:rPr>
          <w:spacing w:val="-6"/>
          <w:sz w:val="20"/>
        </w:rPr>
        <w:t> </w:t>
      </w:r>
      <w:r>
        <w:rPr>
          <w:sz w:val="20"/>
        </w:rPr>
        <w:t>no</w:t>
      </w:r>
      <w:r>
        <w:rPr>
          <w:spacing w:val="-6"/>
          <w:sz w:val="20"/>
        </w:rPr>
        <w:t> </w:t>
      </w:r>
      <w:r>
        <w:rPr>
          <w:sz w:val="20"/>
        </w:rPr>
        <w:t>mayor</w:t>
      </w:r>
      <w:r>
        <w:rPr>
          <w:spacing w:val="-6"/>
          <w:sz w:val="20"/>
        </w:rPr>
        <w:t> </w:t>
      </w:r>
      <w:r>
        <w:rPr>
          <w:sz w:val="20"/>
        </w:rPr>
        <w:t>a</w:t>
      </w:r>
      <w:r>
        <w:rPr>
          <w:spacing w:val="-5"/>
          <w:sz w:val="20"/>
        </w:rPr>
        <w:t> </w:t>
      </w:r>
      <w:r>
        <w:rPr>
          <w:sz w:val="20"/>
        </w:rPr>
        <w:t>una</w:t>
      </w:r>
      <w:r>
        <w:rPr>
          <w:spacing w:val="-6"/>
          <w:sz w:val="20"/>
        </w:rPr>
        <w:t> </w:t>
      </w:r>
      <w:r>
        <w:rPr>
          <w:spacing w:val="-2"/>
          <w:sz w:val="20"/>
        </w:rPr>
        <w:t>semana;</w:t>
      </w:r>
    </w:p>
    <w:p>
      <w:pPr>
        <w:pStyle w:val="BodyText"/>
        <w:spacing w:before="2"/>
      </w:pPr>
    </w:p>
    <w:p>
      <w:pPr>
        <w:pStyle w:val="ListParagraph"/>
        <w:numPr>
          <w:ilvl w:val="0"/>
          <w:numId w:val="74"/>
        </w:numPr>
        <w:tabs>
          <w:tab w:pos="1202" w:val="left" w:leader="none"/>
        </w:tabs>
        <w:spacing w:line="240" w:lineRule="auto" w:before="0" w:after="0"/>
        <w:ind w:left="1202" w:right="0" w:hanging="576"/>
        <w:jc w:val="left"/>
        <w:rPr>
          <w:sz w:val="20"/>
        </w:rPr>
      </w:pPr>
      <w:r>
        <w:rPr>
          <w:sz w:val="20"/>
        </w:rPr>
        <w:t>Establecer</w:t>
      </w:r>
      <w:r>
        <w:rPr>
          <w:spacing w:val="-8"/>
          <w:sz w:val="20"/>
        </w:rPr>
        <w:t> </w:t>
      </w:r>
      <w:r>
        <w:rPr>
          <w:sz w:val="20"/>
        </w:rPr>
        <w:t>mecanismos</w:t>
      </w:r>
      <w:r>
        <w:rPr>
          <w:spacing w:val="-6"/>
          <w:sz w:val="20"/>
        </w:rPr>
        <w:t> </w:t>
      </w:r>
      <w:r>
        <w:rPr>
          <w:sz w:val="20"/>
        </w:rPr>
        <w:t>para</w:t>
      </w:r>
      <w:r>
        <w:rPr>
          <w:spacing w:val="-7"/>
          <w:sz w:val="20"/>
        </w:rPr>
        <w:t> </w:t>
      </w:r>
      <w:r>
        <w:rPr>
          <w:sz w:val="20"/>
        </w:rPr>
        <w:t>llevar</w:t>
      </w:r>
      <w:r>
        <w:rPr>
          <w:spacing w:val="-7"/>
          <w:sz w:val="20"/>
        </w:rPr>
        <w:t> </w:t>
      </w:r>
      <w:r>
        <w:rPr>
          <w:sz w:val="20"/>
        </w:rPr>
        <w:t>registro</w:t>
      </w:r>
      <w:r>
        <w:rPr>
          <w:spacing w:val="-8"/>
          <w:sz w:val="20"/>
        </w:rPr>
        <w:t> </w:t>
      </w:r>
      <w:r>
        <w:rPr>
          <w:sz w:val="20"/>
        </w:rPr>
        <w:t>de</w:t>
      </w:r>
      <w:r>
        <w:rPr>
          <w:spacing w:val="-5"/>
          <w:sz w:val="20"/>
        </w:rPr>
        <w:t> </w:t>
      </w:r>
      <w:r>
        <w:rPr>
          <w:sz w:val="20"/>
        </w:rPr>
        <w:t>las</w:t>
      </w:r>
      <w:r>
        <w:rPr>
          <w:spacing w:val="-5"/>
          <w:sz w:val="20"/>
        </w:rPr>
        <w:t> </w:t>
      </w:r>
      <w:r>
        <w:rPr>
          <w:sz w:val="20"/>
        </w:rPr>
        <w:t>horas</w:t>
      </w:r>
      <w:r>
        <w:rPr>
          <w:spacing w:val="-6"/>
          <w:sz w:val="20"/>
        </w:rPr>
        <w:t> </w:t>
      </w:r>
      <w:r>
        <w:rPr>
          <w:sz w:val="20"/>
        </w:rPr>
        <w:t>trabajadas</w:t>
      </w:r>
      <w:r>
        <w:rPr>
          <w:spacing w:val="-4"/>
          <w:sz w:val="20"/>
        </w:rPr>
        <w:t> </w:t>
      </w:r>
      <w:r>
        <w:rPr>
          <w:sz w:val="20"/>
        </w:rPr>
        <w:t>y</w:t>
      </w:r>
      <w:r>
        <w:rPr>
          <w:spacing w:val="-10"/>
          <w:sz w:val="20"/>
        </w:rPr>
        <w:t> </w:t>
      </w:r>
      <w:r>
        <w:rPr>
          <w:sz w:val="20"/>
        </w:rPr>
        <w:t>tiempos</w:t>
      </w:r>
      <w:r>
        <w:rPr>
          <w:spacing w:val="-7"/>
          <w:sz w:val="20"/>
        </w:rPr>
        <w:t> </w:t>
      </w:r>
      <w:r>
        <w:rPr>
          <w:sz w:val="20"/>
        </w:rPr>
        <w:t>de</w:t>
      </w:r>
      <w:r>
        <w:rPr>
          <w:spacing w:val="-6"/>
          <w:sz w:val="20"/>
        </w:rPr>
        <w:t> </w:t>
      </w:r>
      <w:r>
        <w:rPr>
          <w:spacing w:val="-2"/>
          <w:sz w:val="20"/>
        </w:rPr>
        <w:t>espera;</w:t>
      </w:r>
    </w:p>
    <w:p>
      <w:pPr>
        <w:pStyle w:val="BodyText"/>
        <w:spacing w:before="1"/>
      </w:pPr>
    </w:p>
    <w:p>
      <w:pPr>
        <w:pStyle w:val="ListParagraph"/>
        <w:numPr>
          <w:ilvl w:val="0"/>
          <w:numId w:val="74"/>
        </w:numPr>
        <w:tabs>
          <w:tab w:pos="1198" w:val="left" w:leader="none"/>
          <w:tab w:pos="1202" w:val="left" w:leader="none"/>
        </w:tabs>
        <w:spacing w:line="240" w:lineRule="auto" w:before="0" w:after="0"/>
        <w:ind w:left="1202" w:right="338" w:hanging="576"/>
        <w:jc w:val="both"/>
        <w:rPr>
          <w:sz w:val="20"/>
        </w:rPr>
      </w:pPr>
      <w:r>
        <w:rPr>
          <w:sz w:val="20"/>
        </w:rPr>
        <w:t>Emitir semanalmente recibos de pagos realizados donde se haga constar el número de tareas, servicios, obras o trabajos realizados, el tiempo efectivamente trabajado, el tiempo durante el que la persona trabajadora está a disposición de la plataforma para la asignación de una tarea, servicio, obra o trabajo, las retenciones legales que en su caso apliquen y demás conceptos análogos que resulten procedentes;</w:t>
      </w:r>
    </w:p>
    <w:p>
      <w:pPr>
        <w:pStyle w:val="BodyText"/>
      </w:pPr>
    </w:p>
    <w:p>
      <w:pPr>
        <w:pStyle w:val="ListParagraph"/>
        <w:numPr>
          <w:ilvl w:val="0"/>
          <w:numId w:val="74"/>
        </w:numPr>
        <w:tabs>
          <w:tab w:pos="1202" w:val="left" w:leader="none"/>
        </w:tabs>
        <w:spacing w:line="240" w:lineRule="auto" w:before="0" w:after="0"/>
        <w:ind w:left="1202" w:right="343" w:hanging="576"/>
        <w:jc w:val="both"/>
        <w:rPr>
          <w:sz w:val="20"/>
        </w:rPr>
      </w:pPr>
      <w:r>
        <w:rPr>
          <w:sz w:val="20"/>
        </w:rPr>
        <w:t>Implementar mecanismos que garanticen la seguridad de la información y datos personales de las personas trabajadoras utilizados desde la plataforma, así como el ejercicio de los derechos de Acceso, Rectificación, Cancelación, Oposición y Portabilidad de estos, en términos de la legislación aplicable;</w:t>
      </w:r>
    </w:p>
    <w:p>
      <w:pPr>
        <w:pStyle w:val="ListParagraph"/>
        <w:numPr>
          <w:ilvl w:val="0"/>
          <w:numId w:val="74"/>
        </w:numPr>
        <w:tabs>
          <w:tab w:pos="1202" w:val="left" w:leader="none"/>
        </w:tabs>
        <w:spacing w:line="240" w:lineRule="auto" w:before="230" w:after="0"/>
        <w:ind w:left="1202" w:right="344" w:hanging="576"/>
        <w:jc w:val="both"/>
        <w:rPr>
          <w:sz w:val="20"/>
        </w:rPr>
      </w:pPr>
      <w:r>
        <w:rPr>
          <w:sz w:val="20"/>
        </w:rPr>
        <w:t>Inscribir a las personas trabajadoras en plataformas digitales ante el Instituto Mexicano del Seguro Social y, en su caso, determinar, retener y enterar el pago de cuotas obrero patronales en los términos que establezcan las disposiciones en la materia;</w:t>
      </w:r>
    </w:p>
    <w:p>
      <w:pPr>
        <w:pStyle w:val="ListParagraph"/>
        <w:numPr>
          <w:ilvl w:val="0"/>
          <w:numId w:val="74"/>
        </w:numPr>
        <w:tabs>
          <w:tab w:pos="1202" w:val="left" w:leader="none"/>
        </w:tabs>
        <w:spacing w:line="242" w:lineRule="auto" w:before="229" w:after="0"/>
        <w:ind w:left="1202" w:right="345" w:hanging="576"/>
        <w:jc w:val="both"/>
        <w:rPr>
          <w:sz w:val="20"/>
        </w:rPr>
      </w:pPr>
      <w:r>
        <w:rPr>
          <w:sz w:val="20"/>
        </w:rPr>
        <w:t>Realizar las aportaciones correspondientes al Fondo Nacional de la Vivienda para los Trabajadores, en términos de la legislación aplicable;</w:t>
      </w:r>
    </w:p>
    <w:p>
      <w:pPr>
        <w:pStyle w:val="ListParagraph"/>
        <w:numPr>
          <w:ilvl w:val="0"/>
          <w:numId w:val="74"/>
        </w:numPr>
        <w:tabs>
          <w:tab w:pos="1200" w:val="left" w:leader="none"/>
          <w:tab w:pos="1202" w:val="left" w:leader="none"/>
        </w:tabs>
        <w:spacing w:line="240" w:lineRule="auto" w:before="227" w:after="0"/>
        <w:ind w:left="1202" w:right="346" w:hanging="576"/>
        <w:jc w:val="both"/>
        <w:rPr>
          <w:sz w:val="20"/>
        </w:rPr>
      </w:pPr>
      <w:r>
        <w:rPr>
          <w:sz w:val="20"/>
        </w:rPr>
        <w:t>Establecer mecanismos de adiestramiento, capacitación y asesoría necesarios para garantizar la adaptación y el uso adecuado de las plataformas digitales, además de otros materiales, insumos o herramientas necesarias para su trabajo, cuando así se convenga;</w:t>
      </w:r>
    </w:p>
    <w:p>
      <w:pPr>
        <w:pStyle w:val="ListParagraph"/>
        <w:numPr>
          <w:ilvl w:val="0"/>
          <w:numId w:val="74"/>
        </w:numPr>
        <w:tabs>
          <w:tab w:pos="1202" w:val="left" w:leader="none"/>
        </w:tabs>
        <w:spacing w:line="242" w:lineRule="auto" w:before="229" w:after="0"/>
        <w:ind w:left="1202" w:right="347" w:hanging="576"/>
        <w:jc w:val="both"/>
        <w:rPr>
          <w:sz w:val="20"/>
        </w:rPr>
      </w:pPr>
      <w:r>
        <w:rPr>
          <w:sz w:val="20"/>
        </w:rPr>
        <w:t>Informar sobre las medidas de seguridad y salud en el trabajo que deberán considerar las personas trabajadoras de plataformas en el ejercicio de sus labores;</w:t>
      </w:r>
    </w:p>
    <w:p>
      <w:pPr>
        <w:pStyle w:val="ListParagraph"/>
        <w:numPr>
          <w:ilvl w:val="0"/>
          <w:numId w:val="74"/>
        </w:numPr>
        <w:tabs>
          <w:tab w:pos="1202" w:val="left" w:leader="none"/>
        </w:tabs>
        <w:spacing w:line="242" w:lineRule="auto" w:before="224" w:after="0"/>
        <w:ind w:left="1202" w:right="337" w:hanging="576"/>
        <w:jc w:val="both"/>
        <w:rPr>
          <w:sz w:val="20"/>
        </w:rPr>
      </w:pPr>
      <w:r>
        <w:rPr>
          <w:sz w:val="20"/>
        </w:rPr>
        <w:t>Establecer mecanismos específicos de</w:t>
      </w:r>
      <w:r>
        <w:rPr>
          <w:spacing w:val="-1"/>
          <w:sz w:val="20"/>
        </w:rPr>
        <w:t> </w:t>
      </w:r>
      <w:r>
        <w:rPr>
          <w:sz w:val="20"/>
        </w:rPr>
        <w:t>atención y</w:t>
      </w:r>
      <w:r>
        <w:rPr>
          <w:spacing w:val="-3"/>
          <w:sz w:val="20"/>
        </w:rPr>
        <w:t> </w:t>
      </w:r>
      <w:r>
        <w:rPr>
          <w:sz w:val="20"/>
        </w:rPr>
        <w:t>seguimiento</w:t>
      </w:r>
      <w:r>
        <w:rPr>
          <w:spacing w:val="-1"/>
          <w:sz w:val="20"/>
        </w:rPr>
        <w:t> </w:t>
      </w:r>
      <w:r>
        <w:rPr>
          <w:sz w:val="20"/>
        </w:rPr>
        <w:t>de</w:t>
      </w:r>
      <w:r>
        <w:rPr>
          <w:spacing w:val="-1"/>
          <w:sz w:val="20"/>
        </w:rPr>
        <w:t> </w:t>
      </w:r>
      <w:r>
        <w:rPr>
          <w:sz w:val="20"/>
        </w:rPr>
        <w:t>quejas o</w:t>
      </w:r>
      <w:r>
        <w:rPr>
          <w:spacing w:val="-1"/>
          <w:sz w:val="20"/>
        </w:rPr>
        <w:t> </w:t>
      </w:r>
      <w:r>
        <w:rPr>
          <w:sz w:val="20"/>
        </w:rPr>
        <w:t>denuncias, respecto de faltas de probidad u honradez, actos de violencia laboral o violencia sexual, actos de violencia, amenazas, injurias, hostigamiento o acoso sexual, malos tratamientos, actos discriminatorios u otros similares, en contra de las personas trabajadoras en plataformas digitales con motivo de su trabajo;</w:t>
      </w:r>
    </w:p>
    <w:p>
      <w:pPr>
        <w:pStyle w:val="ListParagraph"/>
        <w:numPr>
          <w:ilvl w:val="0"/>
          <w:numId w:val="74"/>
        </w:numPr>
        <w:tabs>
          <w:tab w:pos="1202" w:val="left" w:leader="none"/>
        </w:tabs>
        <w:spacing w:line="242" w:lineRule="auto" w:before="220" w:after="0"/>
        <w:ind w:left="1202" w:right="337" w:hanging="576"/>
        <w:jc w:val="both"/>
        <w:rPr>
          <w:sz w:val="20"/>
        </w:rPr>
      </w:pPr>
      <w:r>
        <w:rPr>
          <w:sz w:val="20"/>
        </w:rPr>
        <w:t>Informar a las personas trabajadoras en plataformas digitales el pago que recibirán por cada tarea, servicio, obra o trabajo, desglosando los conceptos aplicables en la integración del pago, </w:t>
      </w:r>
      <w:r>
        <w:rPr>
          <w:spacing w:val="-10"/>
          <w:sz w:val="20"/>
        </w:rPr>
        <w:t>y</w:t>
      </w:r>
    </w:p>
    <w:p>
      <w:pPr>
        <w:pStyle w:val="ListParagraph"/>
        <w:numPr>
          <w:ilvl w:val="0"/>
          <w:numId w:val="74"/>
        </w:numPr>
        <w:tabs>
          <w:tab w:pos="1202" w:val="left" w:leader="none"/>
        </w:tabs>
        <w:spacing w:line="240" w:lineRule="auto" w:before="224" w:after="0"/>
        <w:ind w:left="1202" w:right="348" w:hanging="576"/>
        <w:jc w:val="both"/>
        <w:rPr>
          <w:sz w:val="20"/>
        </w:rPr>
      </w:pPr>
      <w:r>
        <w:rPr>
          <w:sz w:val="20"/>
        </w:rPr>
        <w:t>Proporcionar toda la información que le requieran las autoridades laborales y de cualquier otro tipo, en relación con la prestación de servicios a través de plataformas digitales, incluyendo, en su caso, los datos de terceros que presten servicios a través de las plataformas digitales.</w:t>
      </w:r>
    </w:p>
    <w:p>
      <w:pPr>
        <w:pStyle w:val="ListParagraph"/>
        <w:spacing w:after="0" w:line="240" w:lineRule="auto"/>
        <w:jc w:val="both"/>
        <w:rPr>
          <w:sz w:val="20"/>
        </w:rPr>
        <w:sectPr>
          <w:pgSz w:w="12240" w:h="15840"/>
          <w:pgMar w:header="724" w:footer="712" w:top="1880" w:bottom="900" w:left="1080" w:right="1080"/>
        </w:sectPr>
      </w:pPr>
    </w:p>
    <w:p>
      <w:pPr>
        <w:pStyle w:val="BodyText"/>
        <w:spacing w:before="109"/>
        <w:rPr>
          <w:sz w:val="16"/>
        </w:rPr>
      </w:pP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line="242" w:lineRule="auto"/>
        <w:ind w:left="338" w:firstLine="288"/>
      </w:pPr>
      <w:bookmarkStart w:name="Artículo_291_L" w:id="357"/>
      <w:bookmarkEnd w:id="357"/>
      <w:r>
        <w:rPr/>
      </w:r>
      <w:r>
        <w:rPr>
          <w:rFonts w:ascii="Arial" w:hAnsi="Arial"/>
          <w:b/>
        </w:rPr>
        <w:t>Artículo</w:t>
      </w:r>
      <w:r>
        <w:rPr>
          <w:rFonts w:ascii="Arial" w:hAnsi="Arial"/>
          <w:b/>
          <w:spacing w:val="80"/>
        </w:rPr>
        <w:t> </w:t>
      </w:r>
      <w:r>
        <w:rPr>
          <w:rFonts w:ascii="Arial" w:hAnsi="Arial"/>
          <w:b/>
        </w:rPr>
        <w:t>291-L.-</w:t>
      </w:r>
      <w:r>
        <w:rPr>
          <w:rFonts w:ascii="Arial" w:hAnsi="Arial"/>
          <w:b/>
          <w:spacing w:val="80"/>
        </w:rPr>
        <w:t> </w:t>
      </w:r>
      <w:r>
        <w:rPr/>
        <w:t>Las</w:t>
      </w:r>
      <w:r>
        <w:rPr>
          <w:spacing w:val="80"/>
        </w:rPr>
        <w:t> </w:t>
      </w:r>
      <w:r>
        <w:rPr/>
        <w:t>personas</w:t>
      </w:r>
      <w:r>
        <w:rPr>
          <w:spacing w:val="80"/>
        </w:rPr>
        <w:t> </w:t>
      </w:r>
      <w:r>
        <w:rPr/>
        <w:t>trabajadoras</w:t>
      </w:r>
      <w:r>
        <w:rPr>
          <w:spacing w:val="80"/>
        </w:rPr>
        <w:t> </w:t>
      </w:r>
      <w:r>
        <w:rPr/>
        <w:t>en</w:t>
      </w:r>
      <w:r>
        <w:rPr>
          <w:spacing w:val="80"/>
        </w:rPr>
        <w:t> </w:t>
      </w:r>
      <w:r>
        <w:rPr/>
        <w:t>plataformas</w:t>
      </w:r>
      <w:r>
        <w:rPr>
          <w:spacing w:val="80"/>
        </w:rPr>
        <w:t> </w:t>
      </w:r>
      <w:r>
        <w:rPr/>
        <w:t>digitales,</w:t>
      </w:r>
      <w:r>
        <w:rPr>
          <w:spacing w:val="80"/>
        </w:rPr>
        <w:t> </w:t>
      </w:r>
      <w:r>
        <w:rPr/>
        <w:t>tienen</w:t>
      </w:r>
      <w:r>
        <w:rPr>
          <w:spacing w:val="80"/>
        </w:rPr>
        <w:t> </w:t>
      </w:r>
      <w:r>
        <w:rPr/>
        <w:t>las</w:t>
      </w:r>
      <w:r>
        <w:rPr>
          <w:spacing w:val="80"/>
        </w:rPr>
        <w:t> </w:t>
      </w:r>
      <w:r>
        <w:rPr/>
        <w:t>obligaciones especiales siguientes:</w:t>
      </w:r>
    </w:p>
    <w:p>
      <w:pPr>
        <w:pStyle w:val="ListParagraph"/>
        <w:numPr>
          <w:ilvl w:val="0"/>
          <w:numId w:val="75"/>
        </w:numPr>
        <w:tabs>
          <w:tab w:pos="1200" w:val="left" w:leader="none"/>
          <w:tab w:pos="1202" w:val="left" w:leader="none"/>
        </w:tabs>
        <w:spacing w:line="242" w:lineRule="auto" w:before="224" w:after="0"/>
        <w:ind w:left="1202" w:right="339" w:hanging="576"/>
        <w:jc w:val="both"/>
        <w:rPr>
          <w:sz w:val="20"/>
        </w:rPr>
      </w:pPr>
      <w:r>
        <w:rPr>
          <w:sz w:val="20"/>
        </w:rPr>
        <w:t>Conducirse con apego a las disposiciones en materia de seguridad y salud en el trabajo, así como de seguridad vial, en su caso, de acuerdo con la normativa vigente y las establecidas por el patrón;</w:t>
      </w:r>
    </w:p>
    <w:p>
      <w:pPr>
        <w:pStyle w:val="ListParagraph"/>
        <w:numPr>
          <w:ilvl w:val="0"/>
          <w:numId w:val="75"/>
        </w:numPr>
        <w:tabs>
          <w:tab w:pos="1200" w:val="left" w:leader="none"/>
          <w:tab w:pos="1202" w:val="left" w:leader="none"/>
        </w:tabs>
        <w:spacing w:line="242" w:lineRule="auto" w:before="225" w:after="0"/>
        <w:ind w:left="1202" w:right="344" w:hanging="576"/>
        <w:jc w:val="both"/>
        <w:rPr>
          <w:sz w:val="20"/>
        </w:rPr>
      </w:pPr>
      <w:r>
        <w:rPr>
          <w:sz w:val="20"/>
        </w:rPr>
        <w:t>Poner el mayor cuidado en la guarda, conservación y entrega de insumos, las tareas, servicios, obras o trabajos mandatados durante el tiempo efectivamente trabajado;</w:t>
      </w:r>
    </w:p>
    <w:p>
      <w:pPr>
        <w:pStyle w:val="ListParagraph"/>
        <w:numPr>
          <w:ilvl w:val="0"/>
          <w:numId w:val="75"/>
        </w:numPr>
        <w:tabs>
          <w:tab w:pos="1198" w:val="left" w:leader="none"/>
          <w:tab w:pos="1202" w:val="left" w:leader="none"/>
        </w:tabs>
        <w:spacing w:line="242" w:lineRule="auto" w:before="225" w:after="0"/>
        <w:ind w:left="1202" w:right="346" w:hanging="576"/>
        <w:jc w:val="both"/>
        <w:rPr>
          <w:sz w:val="20"/>
        </w:rPr>
      </w:pPr>
      <w:r>
        <w:rPr>
          <w:sz w:val="20"/>
        </w:rPr>
        <w:t>Recibir, entregar y prestar las tareas, servicios, obras o trabajos aceptados a través de la plataforma digital en los horarios, condiciones y lugares convenidos;</w:t>
      </w:r>
    </w:p>
    <w:p>
      <w:pPr>
        <w:pStyle w:val="ListParagraph"/>
        <w:numPr>
          <w:ilvl w:val="0"/>
          <w:numId w:val="75"/>
        </w:numPr>
        <w:tabs>
          <w:tab w:pos="1202" w:val="left" w:leader="none"/>
        </w:tabs>
        <w:spacing w:line="240" w:lineRule="auto" w:before="227" w:after="0"/>
        <w:ind w:left="1202" w:right="340" w:hanging="576"/>
        <w:jc w:val="both"/>
        <w:rPr>
          <w:sz w:val="20"/>
        </w:rPr>
      </w:pPr>
      <w:r>
        <w:rPr>
          <w:sz w:val="20"/>
        </w:rPr>
        <w:t>Atender y</w:t>
      </w:r>
      <w:r>
        <w:rPr>
          <w:spacing w:val="-7"/>
          <w:sz w:val="20"/>
        </w:rPr>
        <w:t> </w:t>
      </w:r>
      <w:r>
        <w:rPr>
          <w:sz w:val="20"/>
        </w:rPr>
        <w:t>utilizar los</w:t>
      </w:r>
      <w:r>
        <w:rPr>
          <w:spacing w:val="-3"/>
          <w:sz w:val="20"/>
        </w:rPr>
        <w:t> </w:t>
      </w:r>
      <w:r>
        <w:rPr>
          <w:sz w:val="20"/>
        </w:rPr>
        <w:t>mecanismos</w:t>
      </w:r>
      <w:r>
        <w:rPr>
          <w:spacing w:val="-1"/>
          <w:sz w:val="20"/>
        </w:rPr>
        <w:t> </w:t>
      </w:r>
      <w:r>
        <w:rPr>
          <w:sz w:val="20"/>
        </w:rPr>
        <w:t>y</w:t>
      </w:r>
      <w:r>
        <w:rPr>
          <w:spacing w:val="-10"/>
          <w:sz w:val="20"/>
        </w:rPr>
        <w:t> </w:t>
      </w:r>
      <w:r>
        <w:rPr>
          <w:sz w:val="20"/>
        </w:rPr>
        <w:t>sistemas</w:t>
      </w:r>
      <w:r>
        <w:rPr>
          <w:spacing w:val="-3"/>
          <w:sz w:val="20"/>
        </w:rPr>
        <w:t> </w:t>
      </w:r>
      <w:r>
        <w:rPr>
          <w:sz w:val="20"/>
        </w:rPr>
        <w:t>de</w:t>
      </w:r>
      <w:r>
        <w:rPr>
          <w:spacing w:val="-3"/>
          <w:sz w:val="20"/>
        </w:rPr>
        <w:t> </w:t>
      </w:r>
      <w:r>
        <w:rPr>
          <w:sz w:val="20"/>
        </w:rPr>
        <w:t>las</w:t>
      </w:r>
      <w:r>
        <w:rPr>
          <w:spacing w:val="-3"/>
          <w:sz w:val="20"/>
        </w:rPr>
        <w:t> </w:t>
      </w:r>
      <w:r>
        <w:rPr>
          <w:sz w:val="20"/>
        </w:rPr>
        <w:t>plataformas</w:t>
      </w:r>
      <w:r>
        <w:rPr>
          <w:spacing w:val="-3"/>
          <w:sz w:val="20"/>
        </w:rPr>
        <w:t> </w:t>
      </w:r>
      <w:r>
        <w:rPr>
          <w:sz w:val="20"/>
        </w:rPr>
        <w:t>digitales</w:t>
      </w:r>
      <w:r>
        <w:rPr>
          <w:spacing w:val="-3"/>
          <w:sz w:val="20"/>
        </w:rPr>
        <w:t> </w:t>
      </w:r>
      <w:r>
        <w:rPr>
          <w:sz w:val="20"/>
        </w:rPr>
        <w:t>para</w:t>
      </w:r>
      <w:r>
        <w:rPr>
          <w:spacing w:val="-4"/>
          <w:sz w:val="20"/>
        </w:rPr>
        <w:t> </w:t>
      </w:r>
      <w:r>
        <w:rPr>
          <w:sz w:val="20"/>
        </w:rPr>
        <w:t>el</w:t>
      </w:r>
      <w:r>
        <w:rPr>
          <w:spacing w:val="-3"/>
          <w:sz w:val="20"/>
        </w:rPr>
        <w:t> </w:t>
      </w:r>
      <w:r>
        <w:rPr>
          <w:sz w:val="20"/>
        </w:rPr>
        <w:t>seguimiento</w:t>
      </w:r>
      <w:r>
        <w:rPr>
          <w:spacing w:val="-2"/>
          <w:sz w:val="20"/>
        </w:rPr>
        <w:t> </w:t>
      </w:r>
      <w:r>
        <w:rPr>
          <w:sz w:val="20"/>
        </w:rPr>
        <w:t>de la conexión y de las horas laboradas, así como en su caso para la comunicación con la </w:t>
      </w:r>
      <w:r>
        <w:rPr>
          <w:spacing w:val="-2"/>
          <w:sz w:val="20"/>
        </w:rPr>
        <w:t>plataforma;</w:t>
      </w:r>
    </w:p>
    <w:p>
      <w:pPr>
        <w:pStyle w:val="ListParagraph"/>
        <w:numPr>
          <w:ilvl w:val="0"/>
          <w:numId w:val="75"/>
        </w:numPr>
        <w:tabs>
          <w:tab w:pos="1202" w:val="left" w:leader="none"/>
        </w:tabs>
        <w:spacing w:line="242" w:lineRule="auto" w:before="229" w:after="0"/>
        <w:ind w:left="1202" w:right="335" w:hanging="576"/>
        <w:jc w:val="both"/>
        <w:rPr>
          <w:sz w:val="20"/>
        </w:rPr>
      </w:pPr>
      <w:r>
        <w:rPr>
          <w:sz w:val="20"/>
        </w:rPr>
        <w:t>En su caso, aportar los instrumentos necesarios para la correcta entrega de las tareas, servicios, obras o trabajos instruidos por el patrón;</w:t>
      </w:r>
    </w:p>
    <w:p>
      <w:pPr>
        <w:pStyle w:val="ListParagraph"/>
        <w:numPr>
          <w:ilvl w:val="0"/>
          <w:numId w:val="75"/>
        </w:numPr>
        <w:tabs>
          <w:tab w:pos="1202" w:val="left" w:leader="none"/>
        </w:tabs>
        <w:spacing w:line="242" w:lineRule="auto" w:before="224" w:after="0"/>
        <w:ind w:left="1202" w:right="347" w:hanging="576"/>
        <w:jc w:val="both"/>
        <w:rPr>
          <w:sz w:val="20"/>
        </w:rPr>
      </w:pPr>
      <w:r>
        <w:rPr>
          <w:sz w:val="20"/>
        </w:rPr>
        <w:t>Atender las políticas y mecanismos de protección de datos utilizados en el desempeño de sus actividades, así como las restricciones sobre su uso, y</w:t>
      </w:r>
    </w:p>
    <w:p>
      <w:pPr>
        <w:pStyle w:val="ListParagraph"/>
        <w:numPr>
          <w:ilvl w:val="0"/>
          <w:numId w:val="75"/>
        </w:numPr>
        <w:tabs>
          <w:tab w:pos="1200" w:val="left" w:leader="none"/>
          <w:tab w:pos="1202" w:val="left" w:leader="none"/>
        </w:tabs>
        <w:spacing w:line="242" w:lineRule="auto" w:before="225" w:after="0"/>
        <w:ind w:left="1202" w:right="340" w:hanging="576"/>
        <w:jc w:val="both"/>
        <w:rPr>
          <w:sz w:val="20"/>
        </w:rPr>
      </w:pPr>
      <w:r>
        <w:rPr>
          <w:sz w:val="20"/>
        </w:rPr>
        <w:t>Conducirse con probidad, honradez y abstenerse de realizar prácticas de discriminación, violencia laboral, hostigamiento y acoso sexual u otros análogos, durante y con motivo del </w:t>
      </w:r>
      <w:r>
        <w:rPr>
          <w:spacing w:val="-2"/>
          <w:sz w:val="20"/>
        </w:rPr>
        <w:t>trabajo.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line="242" w:lineRule="auto"/>
        <w:ind w:left="338" w:right="338" w:firstLine="288"/>
        <w:jc w:val="both"/>
      </w:pPr>
      <w:bookmarkStart w:name="Artículo_291_M" w:id="358"/>
      <w:bookmarkEnd w:id="358"/>
      <w:r>
        <w:rPr/>
      </w:r>
      <w:r>
        <w:rPr>
          <w:rFonts w:ascii="Arial" w:hAnsi="Arial"/>
          <w:b/>
        </w:rPr>
        <w:t>Artículo 291-M.- </w:t>
      </w:r>
      <w:r>
        <w:rPr/>
        <w:t>Además de las causas establecidas en el artículo 47 de esta Ley, se podrá rescindir la relación laboral, sin responsabilidad para el patrón, en los siguientes supuestos:</w:t>
      </w:r>
    </w:p>
    <w:p>
      <w:pPr>
        <w:pStyle w:val="ListParagraph"/>
        <w:numPr>
          <w:ilvl w:val="0"/>
          <w:numId w:val="76"/>
        </w:numPr>
        <w:tabs>
          <w:tab w:pos="1202" w:val="left" w:leader="none"/>
        </w:tabs>
        <w:spacing w:line="240" w:lineRule="auto" w:before="224" w:after="0"/>
        <w:ind w:left="1202" w:right="0" w:hanging="576"/>
        <w:jc w:val="left"/>
        <w:rPr>
          <w:sz w:val="20"/>
        </w:rPr>
      </w:pPr>
      <w:r>
        <w:rPr>
          <w:sz w:val="20"/>
        </w:rPr>
        <w:t>Presentar</w:t>
      </w:r>
      <w:r>
        <w:rPr>
          <w:spacing w:val="-7"/>
          <w:sz w:val="20"/>
        </w:rPr>
        <w:t> </w:t>
      </w:r>
      <w:r>
        <w:rPr>
          <w:sz w:val="20"/>
        </w:rPr>
        <w:t>documentación</w:t>
      </w:r>
      <w:r>
        <w:rPr>
          <w:spacing w:val="-7"/>
          <w:sz w:val="20"/>
        </w:rPr>
        <w:t> </w:t>
      </w:r>
      <w:r>
        <w:rPr>
          <w:sz w:val="20"/>
        </w:rPr>
        <w:t>falsa</w:t>
      </w:r>
      <w:r>
        <w:rPr>
          <w:spacing w:val="-6"/>
          <w:sz w:val="20"/>
        </w:rPr>
        <w:t> </w:t>
      </w:r>
      <w:r>
        <w:rPr>
          <w:sz w:val="20"/>
        </w:rPr>
        <w:t>al</w:t>
      </w:r>
      <w:r>
        <w:rPr>
          <w:spacing w:val="-8"/>
          <w:sz w:val="20"/>
        </w:rPr>
        <w:t> </w:t>
      </w:r>
      <w:r>
        <w:rPr>
          <w:sz w:val="20"/>
        </w:rPr>
        <w:t>realizar</w:t>
      </w:r>
      <w:r>
        <w:rPr>
          <w:spacing w:val="-6"/>
          <w:sz w:val="20"/>
        </w:rPr>
        <w:t> </w:t>
      </w:r>
      <w:r>
        <w:rPr>
          <w:sz w:val="20"/>
        </w:rPr>
        <w:t>el</w:t>
      </w:r>
      <w:r>
        <w:rPr>
          <w:spacing w:val="-8"/>
          <w:sz w:val="20"/>
        </w:rPr>
        <w:t> </w:t>
      </w:r>
      <w:r>
        <w:rPr>
          <w:sz w:val="20"/>
        </w:rPr>
        <w:t>registro</w:t>
      </w:r>
      <w:r>
        <w:rPr>
          <w:spacing w:val="-4"/>
          <w:sz w:val="20"/>
        </w:rPr>
        <w:t> </w:t>
      </w:r>
      <w:r>
        <w:rPr>
          <w:sz w:val="20"/>
        </w:rPr>
        <w:t>de</w:t>
      </w:r>
      <w:r>
        <w:rPr>
          <w:spacing w:val="-7"/>
          <w:sz w:val="20"/>
        </w:rPr>
        <w:t> </w:t>
      </w:r>
      <w:r>
        <w:rPr>
          <w:sz w:val="20"/>
        </w:rPr>
        <w:t>datos</w:t>
      </w:r>
      <w:r>
        <w:rPr>
          <w:spacing w:val="-6"/>
          <w:sz w:val="20"/>
        </w:rPr>
        <w:t> </w:t>
      </w:r>
      <w:r>
        <w:rPr>
          <w:sz w:val="20"/>
        </w:rPr>
        <w:t>en</w:t>
      </w:r>
      <w:r>
        <w:rPr>
          <w:spacing w:val="-5"/>
          <w:sz w:val="20"/>
        </w:rPr>
        <w:t> </w:t>
      </w:r>
      <w:r>
        <w:rPr>
          <w:sz w:val="20"/>
        </w:rPr>
        <w:t>la</w:t>
      </w:r>
      <w:r>
        <w:rPr>
          <w:spacing w:val="-5"/>
          <w:sz w:val="20"/>
        </w:rPr>
        <w:t> </w:t>
      </w:r>
      <w:r>
        <w:rPr>
          <w:sz w:val="20"/>
        </w:rPr>
        <w:t>plataforma</w:t>
      </w:r>
      <w:r>
        <w:rPr>
          <w:spacing w:val="-7"/>
          <w:sz w:val="20"/>
        </w:rPr>
        <w:t> </w:t>
      </w:r>
      <w:r>
        <w:rPr>
          <w:spacing w:val="-2"/>
          <w:sz w:val="20"/>
        </w:rPr>
        <w:t>digital;</w:t>
      </w:r>
    </w:p>
    <w:p>
      <w:pPr>
        <w:pStyle w:val="BodyText"/>
        <w:spacing w:before="1"/>
      </w:pPr>
    </w:p>
    <w:p>
      <w:pPr>
        <w:pStyle w:val="ListParagraph"/>
        <w:numPr>
          <w:ilvl w:val="0"/>
          <w:numId w:val="76"/>
        </w:numPr>
        <w:tabs>
          <w:tab w:pos="1200" w:val="left" w:leader="none"/>
          <w:tab w:pos="1202" w:val="left" w:leader="none"/>
        </w:tabs>
        <w:spacing w:line="242" w:lineRule="auto" w:before="0" w:after="0"/>
        <w:ind w:left="1202" w:right="343" w:hanging="576"/>
        <w:jc w:val="both"/>
        <w:rPr>
          <w:sz w:val="20"/>
        </w:rPr>
      </w:pPr>
      <w:r>
        <w:rPr>
          <w:sz w:val="20"/>
        </w:rPr>
        <w:t>Comprometer, por su imprudencia o descuido inexcusable, la seguridad, o la privacidad de la persona usuaria o cliente de la plataforma digital;</w:t>
      </w:r>
    </w:p>
    <w:p>
      <w:pPr>
        <w:pStyle w:val="ListParagraph"/>
        <w:numPr>
          <w:ilvl w:val="0"/>
          <w:numId w:val="76"/>
        </w:numPr>
        <w:tabs>
          <w:tab w:pos="1198" w:val="left" w:leader="none"/>
          <w:tab w:pos="1202" w:val="left" w:leader="none"/>
        </w:tabs>
        <w:spacing w:line="242" w:lineRule="auto" w:before="224" w:after="0"/>
        <w:ind w:left="1202" w:right="343" w:hanging="576"/>
        <w:jc w:val="both"/>
        <w:rPr>
          <w:sz w:val="20"/>
        </w:rPr>
      </w:pPr>
      <w:r>
        <w:rPr>
          <w:sz w:val="20"/>
        </w:rPr>
        <w:t>Incurrir en faltas de probidad u honradez, actos de violencia, amenazas, injurias, hostigamiento y/o acoso sexual, malos tratamientos, actos discriminatorios u otros análogos, durante y con motivo de su trabajo, y</w:t>
      </w:r>
    </w:p>
    <w:p>
      <w:pPr>
        <w:pStyle w:val="ListParagraph"/>
        <w:numPr>
          <w:ilvl w:val="0"/>
          <w:numId w:val="76"/>
        </w:numPr>
        <w:tabs>
          <w:tab w:pos="1202" w:val="left" w:leader="none"/>
        </w:tabs>
        <w:spacing w:line="240" w:lineRule="auto" w:before="225" w:after="0"/>
        <w:ind w:left="1202" w:right="338" w:hanging="576"/>
        <w:jc w:val="both"/>
        <w:rPr>
          <w:sz w:val="20"/>
        </w:rPr>
      </w:pPr>
      <w:r>
        <w:rPr>
          <w:sz w:val="20"/>
        </w:rPr>
        <w:t>Incurrir de manera reiterada en incumplimiento de las tareas, servicios, obras o trabajos aceptados</w:t>
      </w:r>
      <w:r>
        <w:rPr>
          <w:spacing w:val="-1"/>
          <w:sz w:val="20"/>
        </w:rPr>
        <w:t> </w:t>
      </w:r>
      <w:r>
        <w:rPr>
          <w:sz w:val="20"/>
        </w:rPr>
        <w:t>por</w:t>
      </w:r>
      <w:r>
        <w:rPr>
          <w:spacing w:val="-1"/>
          <w:sz w:val="20"/>
        </w:rPr>
        <w:t> </w:t>
      </w:r>
      <w:r>
        <w:rPr>
          <w:sz w:val="20"/>
        </w:rPr>
        <w:t>la persona</w:t>
      </w:r>
      <w:r>
        <w:rPr>
          <w:spacing w:val="-3"/>
          <w:sz w:val="20"/>
        </w:rPr>
        <w:t> </w:t>
      </w:r>
      <w:r>
        <w:rPr>
          <w:sz w:val="20"/>
        </w:rPr>
        <w:t>trabajadora,</w:t>
      </w:r>
      <w:r>
        <w:rPr>
          <w:spacing w:val="-2"/>
          <w:sz w:val="20"/>
        </w:rPr>
        <w:t> </w:t>
      </w:r>
      <w:r>
        <w:rPr>
          <w:sz w:val="20"/>
        </w:rPr>
        <w:t>así como</w:t>
      </w:r>
      <w:r>
        <w:rPr>
          <w:spacing w:val="-2"/>
          <w:sz w:val="20"/>
        </w:rPr>
        <w:t> </w:t>
      </w:r>
      <w:r>
        <w:rPr>
          <w:sz w:val="20"/>
        </w:rPr>
        <w:t>de</w:t>
      </w:r>
      <w:r>
        <w:rPr>
          <w:spacing w:val="-3"/>
          <w:sz w:val="20"/>
        </w:rPr>
        <w:t> </w:t>
      </w:r>
      <w:r>
        <w:rPr>
          <w:sz w:val="20"/>
        </w:rPr>
        <w:t>las instrucciones</w:t>
      </w:r>
      <w:r>
        <w:rPr>
          <w:spacing w:val="-1"/>
          <w:sz w:val="20"/>
        </w:rPr>
        <w:t> </w:t>
      </w:r>
      <w:r>
        <w:rPr>
          <w:sz w:val="20"/>
        </w:rPr>
        <w:t>relacionadas con</w:t>
      </w:r>
      <w:r>
        <w:rPr>
          <w:spacing w:val="-3"/>
          <w:sz w:val="20"/>
        </w:rPr>
        <w:t> </w:t>
      </w:r>
      <w:r>
        <w:rPr>
          <w:sz w:val="20"/>
        </w:rPr>
        <w:t>el</w:t>
      </w:r>
      <w:r>
        <w:rPr>
          <w:spacing w:val="-3"/>
          <w:sz w:val="20"/>
        </w:rPr>
        <w:t> </w:t>
      </w:r>
      <w:r>
        <w:rPr>
          <w:sz w:val="20"/>
        </w:rPr>
        <w:t>trabajo sin causa justificada.</w:t>
      </w:r>
    </w:p>
    <w:p>
      <w:pPr>
        <w:pStyle w:val="BodyText"/>
        <w:spacing w:before="2"/>
      </w:pPr>
    </w:p>
    <w:p>
      <w:pPr>
        <w:pStyle w:val="BodyText"/>
        <w:ind w:left="338" w:right="347" w:firstLine="288"/>
        <w:jc w:val="both"/>
      </w:pPr>
      <w:r>
        <w:rPr/>
        <w:t>Para el caso de las fracciones I a III del presente artículo, la rescisión podrá surtir efectos inmediatos, previa notificación escrita o digital al trabajador.</w:t>
      </w:r>
    </w:p>
    <w:p>
      <w:pPr>
        <w:pStyle w:val="BodyText"/>
        <w:spacing w:before="2"/>
      </w:pPr>
    </w:p>
    <w:p>
      <w:pPr>
        <w:pStyle w:val="BodyText"/>
        <w:ind w:left="338" w:right="339" w:firstLine="288"/>
        <w:jc w:val="both"/>
      </w:pPr>
      <w:r>
        <w:rPr/>
        <w:t>Para el caso de la fracción IV, se deberá avisar a la persona trabajadora con al menos tres días de anticipación, previo agotamiento de los mecanismos de revisión establecidos por la empresa de plataforma digital en términos del artículo 291-P de la presente Ley.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2024</w:t>
      </w:r>
    </w:p>
    <w:p>
      <w:pPr>
        <w:spacing w:after="0" w:line="180"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3"/>
        <w:rPr>
          <w:rFonts w:ascii="Times New Roman"/>
          <w:i/>
        </w:rPr>
      </w:pPr>
    </w:p>
    <w:p>
      <w:pPr>
        <w:pStyle w:val="BodyText"/>
        <w:spacing w:line="242" w:lineRule="auto"/>
        <w:ind w:left="338" w:right="343" w:firstLine="288"/>
        <w:jc w:val="both"/>
      </w:pPr>
      <w:bookmarkStart w:name="Artículo_291_N" w:id="359"/>
      <w:bookmarkEnd w:id="359"/>
      <w:r>
        <w:rPr/>
      </w:r>
      <w:r>
        <w:rPr>
          <w:rFonts w:ascii="Arial" w:hAnsi="Arial"/>
          <w:b/>
        </w:rPr>
        <w:t>Artículo 291-N.- </w:t>
      </w:r>
      <w:r>
        <w:rPr/>
        <w:t>Para efectos de cálculo en las indemnizaciones a las que se refiere el artículo 50 de la presente Ley, se computará como salario el promedio de lo ingresado por la persona trabajadora en la plataforma digital en los últimos seis meses.</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2024</w:t>
      </w:r>
    </w:p>
    <w:p>
      <w:pPr>
        <w:pStyle w:val="BodyText"/>
        <w:spacing w:before="45"/>
        <w:rPr>
          <w:rFonts w:ascii="Times New Roman"/>
          <w:i/>
          <w:sz w:val="16"/>
        </w:rPr>
      </w:pPr>
    </w:p>
    <w:p>
      <w:pPr>
        <w:pStyle w:val="BodyText"/>
        <w:spacing w:line="242" w:lineRule="auto"/>
        <w:ind w:left="338" w:right="344" w:firstLine="288"/>
        <w:jc w:val="both"/>
      </w:pPr>
      <w:bookmarkStart w:name="Artículo_291_O" w:id="360"/>
      <w:bookmarkEnd w:id="360"/>
      <w:r>
        <w:rPr/>
      </w:r>
      <w:r>
        <w:rPr>
          <w:rFonts w:ascii="Arial" w:hAnsi="Arial"/>
          <w:b/>
        </w:rPr>
        <w:t>Artículo 291-O.- </w:t>
      </w:r>
      <w:r>
        <w:rPr/>
        <w:t>No será imputable a las personas trabajadoras ni podrá limitarse o prohibirse la conexión, vinculación o acceso a la plataforma digital, cuando se incumpla la entrega o prestación de un servicio bajo cualquiera de los siguientes supuestos:</w:t>
      </w:r>
    </w:p>
    <w:p>
      <w:pPr>
        <w:pStyle w:val="ListParagraph"/>
        <w:numPr>
          <w:ilvl w:val="0"/>
          <w:numId w:val="77"/>
        </w:numPr>
        <w:tabs>
          <w:tab w:pos="1200" w:val="left" w:leader="none"/>
          <w:tab w:pos="1202" w:val="left" w:leader="none"/>
        </w:tabs>
        <w:spacing w:line="240" w:lineRule="auto" w:before="224" w:after="0"/>
        <w:ind w:left="1202" w:right="344" w:hanging="576"/>
        <w:jc w:val="both"/>
        <w:rPr>
          <w:sz w:val="20"/>
        </w:rPr>
      </w:pPr>
      <w:r>
        <w:rPr>
          <w:sz w:val="20"/>
        </w:rPr>
        <w:t>El engaño de la empresa de plataforma digital a la persona trabajadora para que incurra en algún error y con esto verse afectado su trabajo;</w:t>
      </w:r>
    </w:p>
    <w:p>
      <w:pPr>
        <w:pStyle w:val="BodyText"/>
      </w:pPr>
    </w:p>
    <w:p>
      <w:pPr>
        <w:pStyle w:val="ListParagraph"/>
        <w:numPr>
          <w:ilvl w:val="0"/>
          <w:numId w:val="77"/>
        </w:numPr>
        <w:tabs>
          <w:tab w:pos="1200" w:val="left" w:leader="none"/>
          <w:tab w:pos="1202" w:val="left" w:leader="none"/>
        </w:tabs>
        <w:spacing w:line="242" w:lineRule="auto" w:before="0" w:after="0"/>
        <w:ind w:left="1202" w:right="336" w:hanging="576"/>
        <w:jc w:val="both"/>
        <w:rPr>
          <w:sz w:val="20"/>
        </w:rPr>
      </w:pPr>
      <w:r>
        <w:rPr>
          <w:sz w:val="20"/>
        </w:rPr>
        <w:t>La existencia de un peligro grave para la seguridad o salud del trabajador en el desempeño de su trabajo;</w:t>
      </w:r>
    </w:p>
    <w:p>
      <w:pPr>
        <w:pStyle w:val="ListParagraph"/>
        <w:numPr>
          <w:ilvl w:val="0"/>
          <w:numId w:val="77"/>
        </w:numPr>
        <w:tabs>
          <w:tab w:pos="1198" w:val="left" w:leader="none"/>
          <w:tab w:pos="1202" w:val="left" w:leader="none"/>
        </w:tabs>
        <w:spacing w:line="242" w:lineRule="auto" w:before="224" w:after="0"/>
        <w:ind w:left="1202" w:right="345" w:hanging="576"/>
        <w:jc w:val="both"/>
        <w:rPr>
          <w:sz w:val="20"/>
        </w:rPr>
      </w:pPr>
      <w:r>
        <w:rPr>
          <w:sz w:val="20"/>
        </w:rPr>
        <w:t>La no aceptación de nuevas tareas, servicios, obras o trabajos por no recibir el salario correspondiente en la fecha y forma convenidas o acostumbradas;</w:t>
      </w:r>
    </w:p>
    <w:p>
      <w:pPr>
        <w:pStyle w:val="ListParagraph"/>
        <w:numPr>
          <w:ilvl w:val="0"/>
          <w:numId w:val="77"/>
        </w:numPr>
        <w:tabs>
          <w:tab w:pos="1202" w:val="left" w:leader="none"/>
        </w:tabs>
        <w:spacing w:line="242" w:lineRule="auto" w:before="227" w:after="0"/>
        <w:ind w:left="1202" w:right="337" w:hanging="576"/>
        <w:jc w:val="both"/>
        <w:rPr>
          <w:sz w:val="20"/>
        </w:rPr>
      </w:pPr>
      <w:r>
        <w:rPr>
          <w:sz w:val="20"/>
        </w:rPr>
        <w:t>Comprometer la empresa de plataforma digital con su imprudencia, omisión o descuido inexcusables, la seguridad de las personas trabajadoras o de las personas usuarias o clientes de la plataforma digital, y</w:t>
      </w:r>
    </w:p>
    <w:p>
      <w:pPr>
        <w:pStyle w:val="ListParagraph"/>
        <w:numPr>
          <w:ilvl w:val="0"/>
          <w:numId w:val="77"/>
        </w:numPr>
        <w:tabs>
          <w:tab w:pos="1202" w:val="left" w:leader="none"/>
        </w:tabs>
        <w:spacing w:line="242" w:lineRule="auto" w:before="222" w:after="0"/>
        <w:ind w:left="1202" w:right="341" w:hanging="576"/>
        <w:jc w:val="both"/>
        <w:rPr>
          <w:sz w:val="20"/>
        </w:rPr>
      </w:pPr>
      <w:r>
        <w:rPr>
          <w:sz w:val="20"/>
        </w:rPr>
        <w:t>La no aceptación de tareas, servicios, obras o trabajos cuando el ingreso ofrecido sea desproporcionadamente bajo o no</w:t>
      </w:r>
      <w:r>
        <w:rPr>
          <w:spacing w:val="-1"/>
          <w:sz w:val="20"/>
        </w:rPr>
        <w:t> </w:t>
      </w:r>
      <w:r>
        <w:rPr>
          <w:sz w:val="20"/>
        </w:rPr>
        <w:t>cubra los costos operativos, de tiempo y</w:t>
      </w:r>
      <w:r>
        <w:rPr>
          <w:spacing w:val="-1"/>
          <w:sz w:val="20"/>
        </w:rPr>
        <w:t> </w:t>
      </w:r>
      <w:r>
        <w:rPr>
          <w:sz w:val="20"/>
        </w:rPr>
        <w:t>esfuerzo, afectando negativamente a la persona trabajadora.</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2024</w:t>
      </w:r>
    </w:p>
    <w:p>
      <w:pPr>
        <w:pStyle w:val="BodyText"/>
        <w:spacing w:before="45"/>
        <w:rPr>
          <w:rFonts w:ascii="Times New Roman"/>
          <w:i/>
          <w:sz w:val="16"/>
        </w:rPr>
      </w:pPr>
    </w:p>
    <w:p>
      <w:pPr>
        <w:pStyle w:val="BodyText"/>
        <w:ind w:left="338" w:right="339" w:firstLine="288"/>
        <w:jc w:val="both"/>
      </w:pPr>
      <w:bookmarkStart w:name="Artículo_291_P" w:id="361"/>
      <w:bookmarkEnd w:id="361"/>
      <w:r>
        <w:rPr/>
      </w:r>
      <w:r>
        <w:rPr>
          <w:rFonts w:ascii="Arial" w:hAnsi="Arial"/>
          <w:b/>
        </w:rPr>
        <w:t>Artículo 291-P.- </w:t>
      </w:r>
      <w:r>
        <w:rPr/>
        <w:t>Las personas físicas y morales que administren plataformas digitales, pondrán a disposición de las personas trabajadoras mecanismos para la atención y revisión de decisiones que afecten o interrumpan la conexión, vinculación o acceso a la plataforma digital y deberán garantizar que dichos mecanismos sean gestionados por personal con autonomía y poder de revisión sobre dichas decisiones y no por algoritmos o mecanismos similares.</w:t>
      </w:r>
    </w:p>
    <w:p>
      <w:pPr>
        <w:pStyle w:val="BodyText"/>
        <w:spacing w:before="2"/>
      </w:pPr>
    </w:p>
    <w:p>
      <w:pPr>
        <w:pStyle w:val="BodyText"/>
        <w:spacing w:before="1"/>
        <w:ind w:left="338" w:right="337" w:firstLine="288"/>
        <w:jc w:val="both"/>
      </w:pPr>
      <w:r>
        <w:rPr/>
        <w:t>Será nula toda rescisión, limitante o prohibición en la conexión, vinculación o acceso a la plataforma</w:t>
      </w:r>
      <w:r>
        <w:rPr>
          <w:spacing w:val="40"/>
        </w:rPr>
        <w:t> </w:t>
      </w:r>
      <w:r>
        <w:rPr/>
        <w:t>en</w:t>
      </w:r>
      <w:r>
        <w:rPr>
          <w:spacing w:val="-2"/>
        </w:rPr>
        <w:t> </w:t>
      </w:r>
      <w:r>
        <w:rPr/>
        <w:t>la</w:t>
      </w:r>
      <w:r>
        <w:rPr>
          <w:spacing w:val="-2"/>
        </w:rPr>
        <w:t> </w:t>
      </w:r>
      <w:r>
        <w:rPr/>
        <w:t>que</w:t>
      </w:r>
      <w:r>
        <w:rPr>
          <w:spacing w:val="-2"/>
        </w:rPr>
        <w:t> </w:t>
      </w:r>
      <w:r>
        <w:rPr/>
        <w:t>no</w:t>
      </w:r>
      <w:r>
        <w:rPr>
          <w:spacing w:val="-2"/>
        </w:rPr>
        <w:t> </w:t>
      </w:r>
      <w:r>
        <w:rPr/>
        <w:t>se</w:t>
      </w:r>
      <w:r>
        <w:rPr>
          <w:spacing w:val="-3"/>
        </w:rPr>
        <w:t> </w:t>
      </w:r>
      <w:r>
        <w:rPr/>
        <w:t>entregue</w:t>
      </w:r>
      <w:r>
        <w:rPr>
          <w:spacing w:val="-2"/>
        </w:rPr>
        <w:t> </w:t>
      </w:r>
      <w:r>
        <w:rPr/>
        <w:t>un</w:t>
      </w:r>
      <w:r>
        <w:rPr>
          <w:spacing w:val="-3"/>
        </w:rPr>
        <w:t> </w:t>
      </w:r>
      <w:r>
        <w:rPr/>
        <w:t>aviso</w:t>
      </w:r>
      <w:r>
        <w:rPr>
          <w:spacing w:val="-2"/>
        </w:rPr>
        <w:t> </w:t>
      </w:r>
      <w:r>
        <w:rPr/>
        <w:t>escrito,</w:t>
      </w:r>
      <w:r>
        <w:rPr>
          <w:spacing w:val="-2"/>
        </w:rPr>
        <w:t> </w:t>
      </w:r>
      <w:r>
        <w:rPr/>
        <w:t>de</w:t>
      </w:r>
      <w:r>
        <w:rPr>
          <w:spacing w:val="-2"/>
        </w:rPr>
        <w:t> </w:t>
      </w:r>
      <w:r>
        <w:rPr/>
        <w:t>forma</w:t>
      </w:r>
      <w:r>
        <w:rPr>
          <w:spacing w:val="-3"/>
        </w:rPr>
        <w:t> </w:t>
      </w:r>
      <w:r>
        <w:rPr/>
        <w:t>análoga</w:t>
      </w:r>
      <w:r>
        <w:rPr>
          <w:spacing w:val="-2"/>
        </w:rPr>
        <w:t> </w:t>
      </w:r>
      <w:r>
        <w:rPr/>
        <w:t>o</w:t>
      </w:r>
      <w:r>
        <w:rPr>
          <w:spacing w:val="-2"/>
        </w:rPr>
        <w:t> </w:t>
      </w:r>
      <w:r>
        <w:rPr/>
        <w:t>a</w:t>
      </w:r>
      <w:r>
        <w:rPr>
          <w:spacing w:val="-3"/>
        </w:rPr>
        <w:t> </w:t>
      </w:r>
      <w:r>
        <w:rPr/>
        <w:t>través de</w:t>
      </w:r>
      <w:r>
        <w:rPr>
          <w:spacing w:val="-2"/>
        </w:rPr>
        <w:t> </w:t>
      </w:r>
      <w:r>
        <w:rPr/>
        <w:t>la</w:t>
      </w:r>
      <w:r>
        <w:rPr>
          <w:spacing w:val="-2"/>
        </w:rPr>
        <w:t> </w:t>
      </w:r>
      <w:r>
        <w:rPr/>
        <w:t>plataforma</w:t>
      </w:r>
      <w:r>
        <w:rPr>
          <w:spacing w:val="-3"/>
        </w:rPr>
        <w:t> </w:t>
      </w:r>
      <w:r>
        <w:rPr/>
        <w:t>digital,</w:t>
      </w:r>
      <w:r>
        <w:rPr>
          <w:spacing w:val="-3"/>
        </w:rPr>
        <w:t> </w:t>
      </w:r>
      <w:r>
        <w:rPr/>
        <w:t>que</w:t>
      </w:r>
      <w:r>
        <w:rPr>
          <w:spacing w:val="-4"/>
        </w:rPr>
        <w:t> </w:t>
      </w:r>
      <w:r>
        <w:rPr/>
        <w:t>refiera inmediatamente y de manera clara la conducta o las conductas que motivan la decisión.</w:t>
      </w:r>
    </w:p>
    <w:p>
      <w:pPr>
        <w:pStyle w:val="BodyText"/>
        <w:spacing w:before="229"/>
        <w:ind w:left="338" w:right="343" w:firstLine="288"/>
        <w:jc w:val="both"/>
      </w:pPr>
      <w:r>
        <w:rPr/>
        <w:t>Este aviso deberá ir acompañado del reporte detallado con datos de tareas, servicios, obras o trabajos,</w:t>
      </w:r>
      <w:r>
        <w:rPr>
          <w:spacing w:val="-1"/>
        </w:rPr>
        <w:t> </w:t>
      </w:r>
      <w:r>
        <w:rPr/>
        <w:t>así como</w:t>
      </w:r>
      <w:r>
        <w:rPr>
          <w:spacing w:val="-1"/>
        </w:rPr>
        <w:t> </w:t>
      </w:r>
      <w:r>
        <w:rPr/>
        <w:t>fecha</w:t>
      </w:r>
      <w:r>
        <w:rPr>
          <w:spacing w:val="-2"/>
        </w:rPr>
        <w:t> </w:t>
      </w:r>
      <w:r>
        <w:rPr/>
        <w:t>o fechas</w:t>
      </w:r>
      <w:r>
        <w:rPr>
          <w:spacing w:val="-1"/>
        </w:rPr>
        <w:t> </w:t>
      </w:r>
      <w:r>
        <w:rPr/>
        <w:t>de conexión,</w:t>
      </w:r>
      <w:r>
        <w:rPr>
          <w:spacing w:val="-1"/>
        </w:rPr>
        <w:t> </w:t>
      </w:r>
      <w:r>
        <w:rPr/>
        <w:t>tiempo</w:t>
      </w:r>
      <w:r>
        <w:rPr>
          <w:spacing w:val="-2"/>
        </w:rPr>
        <w:t> </w:t>
      </w:r>
      <w:r>
        <w:rPr/>
        <w:t>de</w:t>
      </w:r>
      <w:r>
        <w:rPr>
          <w:spacing w:val="-2"/>
        </w:rPr>
        <w:t> </w:t>
      </w:r>
      <w:r>
        <w:rPr/>
        <w:t>conexión, observaciones y</w:t>
      </w:r>
      <w:r>
        <w:rPr>
          <w:spacing w:val="-4"/>
        </w:rPr>
        <w:t> </w:t>
      </w:r>
      <w:r>
        <w:rPr/>
        <w:t>calificaciones</w:t>
      </w:r>
      <w:r>
        <w:rPr>
          <w:spacing w:val="-1"/>
        </w:rPr>
        <w:t> </w:t>
      </w:r>
      <w:r>
        <w:rPr/>
        <w:t>de los servicios prestados por la persona trabajadora.</w:t>
      </w:r>
    </w:p>
    <w:p>
      <w:pPr>
        <w:pStyle w:val="BodyText"/>
        <w:spacing w:before="1"/>
      </w:pPr>
    </w:p>
    <w:p>
      <w:pPr>
        <w:pStyle w:val="BodyText"/>
        <w:spacing w:before="1"/>
        <w:ind w:left="338" w:right="349" w:firstLine="288"/>
        <w:jc w:val="both"/>
      </w:pPr>
      <w:r>
        <w:rPr/>
        <w:t>En caso de no llegar a un acuerdo o solución, las partes deberán acudir ante las autoridades conciliatorias, conforme a lo previsto en el artículo 684-B de esta Ley.</w:t>
      </w:r>
    </w:p>
    <w:p>
      <w:pPr>
        <w:spacing w:line="180"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line="242" w:lineRule="auto"/>
        <w:ind w:left="338" w:right="335" w:firstLine="288"/>
        <w:jc w:val="both"/>
      </w:pPr>
      <w:bookmarkStart w:name="Artículo_291_Q" w:id="362"/>
      <w:bookmarkEnd w:id="362"/>
      <w:r>
        <w:rPr/>
      </w:r>
      <w:r>
        <w:rPr>
          <w:rFonts w:ascii="Arial" w:hAnsi="Arial"/>
          <w:b/>
        </w:rPr>
        <w:t>Artículo 291-Q.- </w:t>
      </w:r>
      <w:r>
        <w:rPr/>
        <w:t>Será causa especial de terminación de la relación de trabajo, la deshabilitación o cierre de la empresa de plataforma digital por causa justificada</w:t>
      </w:r>
      <w:r>
        <w:rPr>
          <w:spacing w:val="40"/>
        </w:rPr>
        <w:t> </w:t>
      </w:r>
      <w:r>
        <w:rPr/>
        <w:t>y previo aviso a las personas</w:t>
      </w:r>
      <w:r>
        <w:rPr>
          <w:spacing w:val="40"/>
        </w:rPr>
        <w:t> </w:t>
      </w:r>
      <w:r>
        <w:rPr>
          <w:spacing w:val="-2"/>
        </w:rPr>
        <w:t>trabajadoras.</w:t>
      </w:r>
    </w:p>
    <w:p>
      <w:pPr>
        <w:pStyle w:val="BodyText"/>
        <w:spacing w:before="225"/>
        <w:ind w:left="338" w:right="345" w:firstLine="288"/>
        <w:jc w:val="both"/>
      </w:pPr>
      <w:r>
        <w:rPr/>
        <w:t>El aviso deberá darse en un plazo no menor a quince días, contados a partir que el patrón tuvo conocimiento de la causa justificada de la deshabilitación o cierre de la plataforma digital.</w:t>
      </w:r>
    </w:p>
    <w:p>
      <w:pPr>
        <w:spacing w:line="182"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2024</w:t>
      </w:r>
    </w:p>
    <w:p>
      <w:pPr>
        <w:spacing w:after="0" w:line="182" w:lineRule="exact"/>
        <w:jc w:val="lef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59"/>
        <w:rPr>
          <w:rFonts w:ascii="Times New Roman"/>
          <w:i/>
        </w:rPr>
      </w:pPr>
    </w:p>
    <w:p>
      <w:pPr>
        <w:pStyle w:val="BodyText"/>
        <w:spacing w:line="242" w:lineRule="auto"/>
        <w:ind w:left="338" w:right="338" w:firstLine="288"/>
        <w:jc w:val="both"/>
      </w:pPr>
      <w:bookmarkStart w:name="Artículo_291_R" w:id="363"/>
      <w:bookmarkEnd w:id="363"/>
      <w:r>
        <w:rPr/>
      </w:r>
      <w:r>
        <w:rPr>
          <w:rFonts w:ascii="Arial" w:hAnsi="Arial"/>
          <w:b/>
        </w:rPr>
        <w:t>Artículo 291-R.- </w:t>
      </w:r>
      <w:r>
        <w:rPr/>
        <w:t>Las empresas de plataformas digitales deberán observar una perspectiva de género que proteja a las personas trabajadoras de actos de discriminación, violencia laboral, violencia sexual, acoso u hostigamiento con motivo de su trabajo, y que permita conciliar el trabajo con la vida personal y </w:t>
      </w:r>
      <w:r>
        <w:rPr>
          <w:spacing w:val="-2"/>
        </w:rPr>
        <w:t>familiar.</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2024</w:t>
      </w:r>
    </w:p>
    <w:p>
      <w:pPr>
        <w:pStyle w:val="BodyText"/>
        <w:spacing w:before="1"/>
        <w:rPr>
          <w:rFonts w:ascii="Times New Roman"/>
          <w:i/>
        </w:rPr>
      </w:pPr>
    </w:p>
    <w:p>
      <w:pPr>
        <w:spacing w:before="0"/>
        <w:ind w:left="626" w:right="0" w:firstLine="0"/>
        <w:jc w:val="left"/>
        <w:rPr>
          <w:sz w:val="20"/>
        </w:rPr>
      </w:pPr>
      <w:bookmarkStart w:name="Artículo_291_S" w:id="364"/>
      <w:bookmarkEnd w:id="364"/>
      <w:r>
        <w:rPr/>
      </w:r>
      <w:r>
        <w:rPr>
          <w:rFonts w:ascii="Arial" w:hAnsi="Arial"/>
          <w:b/>
          <w:sz w:val="20"/>
        </w:rPr>
        <w:t>Artículo</w:t>
      </w:r>
      <w:r>
        <w:rPr>
          <w:rFonts w:ascii="Arial" w:hAnsi="Arial"/>
          <w:b/>
          <w:spacing w:val="-8"/>
          <w:sz w:val="20"/>
        </w:rPr>
        <w:t> </w:t>
      </w:r>
      <w:r>
        <w:rPr>
          <w:rFonts w:ascii="Arial" w:hAnsi="Arial"/>
          <w:b/>
          <w:sz w:val="20"/>
        </w:rPr>
        <w:t>291-S.-</w:t>
      </w:r>
      <w:r>
        <w:rPr>
          <w:rFonts w:ascii="Arial" w:hAnsi="Arial"/>
          <w:b/>
          <w:spacing w:val="-7"/>
          <w:sz w:val="20"/>
        </w:rPr>
        <w:t> </w:t>
      </w:r>
      <w:r>
        <w:rPr>
          <w:sz w:val="20"/>
        </w:rPr>
        <w:t>Las</w:t>
      </w:r>
      <w:r>
        <w:rPr>
          <w:spacing w:val="-8"/>
          <w:sz w:val="20"/>
        </w:rPr>
        <w:t> </w:t>
      </w:r>
      <w:r>
        <w:rPr>
          <w:sz w:val="20"/>
        </w:rPr>
        <w:t>empresas</w:t>
      </w:r>
      <w:r>
        <w:rPr>
          <w:spacing w:val="-7"/>
          <w:sz w:val="20"/>
        </w:rPr>
        <w:t> </w:t>
      </w:r>
      <w:r>
        <w:rPr>
          <w:sz w:val="20"/>
        </w:rPr>
        <w:t>de</w:t>
      </w:r>
      <w:r>
        <w:rPr>
          <w:spacing w:val="-10"/>
          <w:sz w:val="20"/>
        </w:rPr>
        <w:t> </w:t>
      </w:r>
      <w:r>
        <w:rPr>
          <w:sz w:val="20"/>
        </w:rPr>
        <w:t>plataformas</w:t>
      </w:r>
      <w:r>
        <w:rPr>
          <w:spacing w:val="-7"/>
          <w:sz w:val="20"/>
        </w:rPr>
        <w:t> </w:t>
      </w:r>
      <w:r>
        <w:rPr>
          <w:sz w:val="20"/>
        </w:rPr>
        <w:t>digitales</w:t>
      </w:r>
      <w:r>
        <w:rPr>
          <w:spacing w:val="-7"/>
          <w:sz w:val="20"/>
        </w:rPr>
        <w:t> </w:t>
      </w:r>
      <w:r>
        <w:rPr>
          <w:sz w:val="20"/>
        </w:rPr>
        <w:t>tienen</w:t>
      </w:r>
      <w:r>
        <w:rPr>
          <w:spacing w:val="-7"/>
          <w:sz w:val="20"/>
        </w:rPr>
        <w:t> </w:t>
      </w:r>
      <w:r>
        <w:rPr>
          <w:spacing w:val="-2"/>
          <w:sz w:val="20"/>
        </w:rPr>
        <w:t>prohibido:</w:t>
      </w:r>
    </w:p>
    <w:p>
      <w:pPr>
        <w:pStyle w:val="BodyText"/>
        <w:spacing w:before="1"/>
      </w:pPr>
    </w:p>
    <w:p>
      <w:pPr>
        <w:pStyle w:val="ListParagraph"/>
        <w:numPr>
          <w:ilvl w:val="0"/>
          <w:numId w:val="78"/>
        </w:numPr>
        <w:tabs>
          <w:tab w:pos="1202" w:val="left" w:leader="none"/>
        </w:tabs>
        <w:spacing w:line="242" w:lineRule="auto" w:before="0" w:after="0"/>
        <w:ind w:left="1202" w:right="337" w:hanging="576"/>
        <w:jc w:val="left"/>
        <w:rPr>
          <w:sz w:val="20"/>
        </w:rPr>
      </w:pPr>
      <w:r>
        <w:rPr>
          <w:sz w:val="20"/>
        </w:rPr>
        <w:t>El cobro a las personas trabajadoras por la inscripción, uso, separación o conceptos similares, relacionados con la relación laboral;</w:t>
      </w:r>
    </w:p>
    <w:p>
      <w:pPr>
        <w:pStyle w:val="ListParagraph"/>
        <w:numPr>
          <w:ilvl w:val="0"/>
          <w:numId w:val="78"/>
        </w:numPr>
        <w:tabs>
          <w:tab w:pos="1202" w:val="left" w:leader="none"/>
        </w:tabs>
        <w:spacing w:line="240" w:lineRule="auto" w:before="225" w:after="0"/>
        <w:ind w:left="1202" w:right="0" w:hanging="576"/>
        <w:jc w:val="left"/>
        <w:rPr>
          <w:sz w:val="20"/>
        </w:rPr>
      </w:pPr>
      <w:r>
        <w:rPr>
          <w:sz w:val="20"/>
        </w:rPr>
        <w:t>El</w:t>
      </w:r>
      <w:r>
        <w:rPr>
          <w:spacing w:val="-7"/>
          <w:sz w:val="20"/>
        </w:rPr>
        <w:t> </w:t>
      </w:r>
      <w:r>
        <w:rPr>
          <w:sz w:val="20"/>
        </w:rPr>
        <w:t>trabajo</w:t>
      </w:r>
      <w:r>
        <w:rPr>
          <w:spacing w:val="-5"/>
          <w:sz w:val="20"/>
        </w:rPr>
        <w:t> </w:t>
      </w:r>
      <w:r>
        <w:rPr>
          <w:sz w:val="20"/>
        </w:rPr>
        <w:t>de</w:t>
      </w:r>
      <w:r>
        <w:rPr>
          <w:spacing w:val="-7"/>
          <w:sz w:val="20"/>
        </w:rPr>
        <w:t> </w:t>
      </w:r>
      <w:r>
        <w:rPr>
          <w:sz w:val="20"/>
        </w:rPr>
        <w:t>personas</w:t>
      </w:r>
      <w:r>
        <w:rPr>
          <w:spacing w:val="-5"/>
          <w:sz w:val="20"/>
        </w:rPr>
        <w:t> </w:t>
      </w:r>
      <w:r>
        <w:rPr>
          <w:sz w:val="20"/>
        </w:rPr>
        <w:t>menores</w:t>
      </w:r>
      <w:r>
        <w:rPr>
          <w:spacing w:val="-4"/>
          <w:sz w:val="20"/>
        </w:rPr>
        <w:t> </w:t>
      </w:r>
      <w:r>
        <w:rPr>
          <w:sz w:val="20"/>
        </w:rPr>
        <w:t>de</w:t>
      </w:r>
      <w:r>
        <w:rPr>
          <w:spacing w:val="-7"/>
          <w:sz w:val="20"/>
        </w:rPr>
        <w:t> </w:t>
      </w:r>
      <w:r>
        <w:rPr>
          <w:spacing w:val="-4"/>
          <w:sz w:val="20"/>
        </w:rPr>
        <w:t>edad;</w:t>
      </w:r>
    </w:p>
    <w:p>
      <w:pPr>
        <w:pStyle w:val="BodyText"/>
      </w:pPr>
    </w:p>
    <w:p>
      <w:pPr>
        <w:pStyle w:val="ListParagraph"/>
        <w:numPr>
          <w:ilvl w:val="0"/>
          <w:numId w:val="78"/>
        </w:numPr>
        <w:tabs>
          <w:tab w:pos="1202" w:val="left" w:leader="none"/>
        </w:tabs>
        <w:spacing w:line="242" w:lineRule="auto" w:before="1" w:after="0"/>
        <w:ind w:left="1202" w:right="348" w:hanging="576"/>
        <w:jc w:val="left"/>
        <w:rPr>
          <w:sz w:val="20"/>
        </w:rPr>
      </w:pPr>
      <w:r>
        <w:rPr>
          <w:sz w:val="20"/>
        </w:rPr>
        <w:t>La</w:t>
      </w:r>
      <w:r>
        <w:rPr>
          <w:spacing w:val="-1"/>
          <w:sz w:val="20"/>
        </w:rPr>
        <w:t> </w:t>
      </w:r>
      <w:r>
        <w:rPr>
          <w:sz w:val="20"/>
        </w:rPr>
        <w:t>retención de dinero a las personas trabajadoras adicional a los conceptos establecidos en la </w:t>
      </w:r>
      <w:r>
        <w:rPr>
          <w:spacing w:val="-4"/>
          <w:sz w:val="20"/>
        </w:rPr>
        <w:t>ley;</w:t>
      </w:r>
    </w:p>
    <w:p>
      <w:pPr>
        <w:pStyle w:val="ListParagraph"/>
        <w:numPr>
          <w:ilvl w:val="0"/>
          <w:numId w:val="78"/>
        </w:numPr>
        <w:tabs>
          <w:tab w:pos="1202" w:val="left" w:leader="none"/>
        </w:tabs>
        <w:spacing w:line="242" w:lineRule="auto" w:before="224" w:after="0"/>
        <w:ind w:left="1202" w:right="338" w:hanging="576"/>
        <w:jc w:val="left"/>
        <w:rPr>
          <w:sz w:val="20"/>
        </w:rPr>
      </w:pPr>
      <w:r>
        <w:rPr>
          <w:sz w:val="20"/>
        </w:rPr>
        <w:t>Establecer</w:t>
      </w:r>
      <w:r>
        <w:rPr>
          <w:spacing w:val="-4"/>
          <w:sz w:val="20"/>
        </w:rPr>
        <w:t> </w:t>
      </w:r>
      <w:r>
        <w:rPr>
          <w:sz w:val="20"/>
        </w:rPr>
        <w:t>restricciones</w:t>
      </w:r>
      <w:r>
        <w:rPr>
          <w:spacing w:val="-3"/>
          <w:sz w:val="20"/>
        </w:rPr>
        <w:t> </w:t>
      </w:r>
      <w:r>
        <w:rPr>
          <w:sz w:val="20"/>
        </w:rPr>
        <w:t>de</w:t>
      </w:r>
      <w:r>
        <w:rPr>
          <w:spacing w:val="-2"/>
          <w:sz w:val="20"/>
        </w:rPr>
        <w:t> </w:t>
      </w:r>
      <w:r>
        <w:rPr>
          <w:sz w:val="20"/>
        </w:rPr>
        <w:t>conexión</w:t>
      </w:r>
      <w:r>
        <w:rPr>
          <w:spacing w:val="-2"/>
          <w:sz w:val="20"/>
        </w:rPr>
        <w:t> </w:t>
      </w:r>
      <w:r>
        <w:rPr>
          <w:sz w:val="20"/>
        </w:rPr>
        <w:t>a</w:t>
      </w:r>
      <w:r>
        <w:rPr>
          <w:spacing w:val="-2"/>
          <w:sz w:val="20"/>
        </w:rPr>
        <w:t> </w:t>
      </w:r>
      <w:r>
        <w:rPr>
          <w:sz w:val="20"/>
        </w:rPr>
        <w:t>las</w:t>
      </w:r>
      <w:r>
        <w:rPr>
          <w:spacing w:val="-3"/>
          <w:sz w:val="20"/>
        </w:rPr>
        <w:t> </w:t>
      </w:r>
      <w:r>
        <w:rPr>
          <w:sz w:val="20"/>
        </w:rPr>
        <w:t>personas</w:t>
      </w:r>
      <w:r>
        <w:rPr>
          <w:spacing w:val="-1"/>
          <w:sz w:val="20"/>
        </w:rPr>
        <w:t> </w:t>
      </w:r>
      <w:r>
        <w:rPr>
          <w:sz w:val="20"/>
        </w:rPr>
        <w:t>trabajadoras</w:t>
      </w:r>
      <w:r>
        <w:rPr>
          <w:spacing w:val="-2"/>
          <w:sz w:val="20"/>
        </w:rPr>
        <w:t> </w:t>
      </w:r>
      <w:r>
        <w:rPr>
          <w:sz w:val="20"/>
        </w:rPr>
        <w:t>en</w:t>
      </w:r>
      <w:r>
        <w:rPr>
          <w:spacing w:val="-2"/>
          <w:sz w:val="20"/>
        </w:rPr>
        <w:t> </w:t>
      </w:r>
      <w:r>
        <w:rPr>
          <w:sz w:val="20"/>
        </w:rPr>
        <w:t>plataformas</w:t>
      </w:r>
      <w:r>
        <w:rPr>
          <w:spacing w:val="-6"/>
          <w:sz w:val="20"/>
        </w:rPr>
        <w:t> </w:t>
      </w:r>
      <w:r>
        <w:rPr>
          <w:sz w:val="20"/>
        </w:rPr>
        <w:t>digitales,</w:t>
      </w:r>
      <w:r>
        <w:rPr>
          <w:spacing w:val="-2"/>
          <w:sz w:val="20"/>
        </w:rPr>
        <w:t> </w:t>
      </w:r>
      <w:r>
        <w:rPr>
          <w:sz w:val="20"/>
        </w:rPr>
        <w:t>salvo en los casos que establece el artículo 291-M de esta Ley;</w:t>
      </w:r>
    </w:p>
    <w:p>
      <w:pPr>
        <w:pStyle w:val="ListParagraph"/>
        <w:numPr>
          <w:ilvl w:val="0"/>
          <w:numId w:val="78"/>
        </w:numPr>
        <w:tabs>
          <w:tab w:pos="1202" w:val="left" w:leader="none"/>
        </w:tabs>
        <w:spacing w:line="242" w:lineRule="auto" w:before="227" w:after="0"/>
        <w:ind w:left="1202" w:right="346" w:hanging="576"/>
        <w:jc w:val="left"/>
        <w:rPr>
          <w:sz w:val="20"/>
        </w:rPr>
      </w:pPr>
      <w:r>
        <w:rPr>
          <w:sz w:val="20"/>
        </w:rPr>
        <w:t>El</w:t>
      </w:r>
      <w:r>
        <w:rPr>
          <w:spacing w:val="-1"/>
          <w:sz w:val="20"/>
        </w:rPr>
        <w:t> </w:t>
      </w:r>
      <w:r>
        <w:rPr>
          <w:sz w:val="20"/>
        </w:rPr>
        <w:t>encubrimiento o la</w:t>
      </w:r>
      <w:r>
        <w:rPr>
          <w:spacing w:val="-2"/>
          <w:sz w:val="20"/>
        </w:rPr>
        <w:t> </w:t>
      </w:r>
      <w:r>
        <w:rPr>
          <w:sz w:val="20"/>
        </w:rPr>
        <w:t>simulación que busque desvirtuar</w:t>
      </w:r>
      <w:r>
        <w:rPr>
          <w:spacing w:val="-1"/>
          <w:sz w:val="20"/>
        </w:rPr>
        <w:t> </w:t>
      </w:r>
      <w:r>
        <w:rPr>
          <w:sz w:val="20"/>
        </w:rPr>
        <w:t>el vínculo laboral</w:t>
      </w:r>
      <w:r>
        <w:rPr>
          <w:spacing w:val="-1"/>
          <w:sz w:val="20"/>
        </w:rPr>
        <w:t> </w:t>
      </w:r>
      <w:r>
        <w:rPr>
          <w:sz w:val="20"/>
        </w:rPr>
        <w:t>mediante</w:t>
      </w:r>
      <w:r>
        <w:rPr>
          <w:spacing w:val="-3"/>
          <w:sz w:val="20"/>
        </w:rPr>
        <w:t> </w:t>
      </w:r>
      <w:r>
        <w:rPr>
          <w:sz w:val="20"/>
        </w:rPr>
        <w:t>contratos</w:t>
      </w:r>
      <w:r>
        <w:rPr>
          <w:spacing w:val="-1"/>
          <w:sz w:val="20"/>
        </w:rPr>
        <w:t> </w:t>
      </w:r>
      <w:r>
        <w:rPr>
          <w:sz w:val="20"/>
        </w:rPr>
        <w:t>de carácter civil, mercantil u otros;</w:t>
      </w:r>
    </w:p>
    <w:p>
      <w:pPr>
        <w:pStyle w:val="ListParagraph"/>
        <w:numPr>
          <w:ilvl w:val="0"/>
          <w:numId w:val="78"/>
        </w:numPr>
        <w:tabs>
          <w:tab w:pos="1202" w:val="left" w:leader="none"/>
        </w:tabs>
        <w:spacing w:line="242" w:lineRule="auto" w:before="224" w:after="0"/>
        <w:ind w:left="1202" w:right="345" w:hanging="576"/>
        <w:jc w:val="left"/>
        <w:rPr>
          <w:sz w:val="20"/>
        </w:rPr>
      </w:pPr>
      <w:r>
        <w:rPr>
          <w:sz w:val="20"/>
        </w:rPr>
        <w:t>La</w:t>
      </w:r>
      <w:r>
        <w:rPr>
          <w:spacing w:val="35"/>
          <w:sz w:val="20"/>
        </w:rPr>
        <w:t> </w:t>
      </w:r>
      <w:r>
        <w:rPr>
          <w:sz w:val="20"/>
        </w:rPr>
        <w:t>prestación</w:t>
      </w:r>
      <w:r>
        <w:rPr>
          <w:spacing w:val="36"/>
          <w:sz w:val="20"/>
        </w:rPr>
        <w:t> </w:t>
      </w:r>
      <w:r>
        <w:rPr>
          <w:sz w:val="20"/>
        </w:rPr>
        <w:t>de</w:t>
      </w:r>
      <w:r>
        <w:rPr>
          <w:spacing w:val="35"/>
          <w:sz w:val="20"/>
        </w:rPr>
        <w:t> </w:t>
      </w:r>
      <w:r>
        <w:rPr>
          <w:sz w:val="20"/>
        </w:rPr>
        <w:t>servicios</w:t>
      </w:r>
      <w:r>
        <w:rPr>
          <w:spacing w:val="37"/>
          <w:sz w:val="20"/>
        </w:rPr>
        <w:t> </w:t>
      </w:r>
      <w:r>
        <w:rPr>
          <w:sz w:val="20"/>
        </w:rPr>
        <w:t>de</w:t>
      </w:r>
      <w:r>
        <w:rPr>
          <w:spacing w:val="35"/>
          <w:sz w:val="20"/>
        </w:rPr>
        <w:t> </w:t>
      </w:r>
      <w:r>
        <w:rPr>
          <w:sz w:val="20"/>
        </w:rPr>
        <w:t>puesta</w:t>
      </w:r>
      <w:r>
        <w:rPr>
          <w:spacing w:val="36"/>
          <w:sz w:val="20"/>
        </w:rPr>
        <w:t> </w:t>
      </w:r>
      <w:r>
        <w:rPr>
          <w:sz w:val="20"/>
        </w:rPr>
        <w:t>a</w:t>
      </w:r>
      <w:r>
        <w:rPr>
          <w:spacing w:val="38"/>
          <w:sz w:val="20"/>
        </w:rPr>
        <w:t> </w:t>
      </w:r>
      <w:r>
        <w:rPr>
          <w:sz w:val="20"/>
        </w:rPr>
        <w:t>disposición</w:t>
      </w:r>
      <w:r>
        <w:rPr>
          <w:spacing w:val="36"/>
          <w:sz w:val="20"/>
        </w:rPr>
        <w:t> </w:t>
      </w:r>
      <w:r>
        <w:rPr>
          <w:sz w:val="20"/>
        </w:rPr>
        <w:t>de</w:t>
      </w:r>
      <w:r>
        <w:rPr>
          <w:spacing w:val="35"/>
          <w:sz w:val="20"/>
        </w:rPr>
        <w:t> </w:t>
      </w:r>
      <w:r>
        <w:rPr>
          <w:sz w:val="20"/>
        </w:rPr>
        <w:t>personal</w:t>
      </w:r>
      <w:r>
        <w:rPr>
          <w:spacing w:val="35"/>
          <w:sz w:val="20"/>
        </w:rPr>
        <w:t> </w:t>
      </w:r>
      <w:r>
        <w:rPr>
          <w:sz w:val="20"/>
        </w:rPr>
        <w:t>propio</w:t>
      </w:r>
      <w:r>
        <w:rPr>
          <w:spacing w:val="36"/>
          <w:sz w:val="20"/>
        </w:rPr>
        <w:t> </w:t>
      </w:r>
      <w:r>
        <w:rPr>
          <w:sz w:val="20"/>
        </w:rPr>
        <w:t>en</w:t>
      </w:r>
      <w:r>
        <w:rPr>
          <w:spacing w:val="35"/>
          <w:sz w:val="20"/>
        </w:rPr>
        <w:t> </w:t>
      </w:r>
      <w:r>
        <w:rPr>
          <w:sz w:val="20"/>
        </w:rPr>
        <w:t>beneficio</w:t>
      </w:r>
      <w:r>
        <w:rPr>
          <w:spacing w:val="36"/>
          <w:sz w:val="20"/>
        </w:rPr>
        <w:t> </w:t>
      </w:r>
      <w:r>
        <w:rPr>
          <w:sz w:val="20"/>
        </w:rPr>
        <w:t>de</w:t>
      </w:r>
      <w:r>
        <w:rPr>
          <w:spacing w:val="35"/>
          <w:sz w:val="20"/>
        </w:rPr>
        <w:t> </w:t>
      </w:r>
      <w:r>
        <w:rPr>
          <w:sz w:val="20"/>
        </w:rPr>
        <w:t>otra persona física o moral, y</w:t>
      </w:r>
    </w:p>
    <w:p>
      <w:pPr>
        <w:pStyle w:val="ListParagraph"/>
        <w:numPr>
          <w:ilvl w:val="0"/>
          <w:numId w:val="78"/>
        </w:numPr>
        <w:tabs>
          <w:tab w:pos="1202" w:val="left" w:leader="none"/>
        </w:tabs>
        <w:spacing w:line="242" w:lineRule="auto" w:before="226" w:after="0"/>
        <w:ind w:left="1202" w:right="347" w:hanging="576"/>
        <w:jc w:val="left"/>
        <w:rPr>
          <w:sz w:val="20"/>
        </w:rPr>
      </w:pPr>
      <w:r>
        <w:rPr>
          <w:sz w:val="20"/>
        </w:rPr>
        <w:t>Manipular el ingreso de las personas trabajadoras para evitar su calificación como trabajadores subordinados de plataformas digitales.</w:t>
      </w:r>
    </w:p>
    <w:p>
      <w:pPr>
        <w:spacing w:line="179"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338" w:right="344" w:firstLine="288"/>
        <w:jc w:val="both"/>
      </w:pPr>
      <w:bookmarkStart w:name="Artículo_291_T" w:id="365"/>
      <w:bookmarkEnd w:id="365"/>
      <w:r>
        <w:rPr/>
      </w:r>
      <w:r>
        <w:rPr>
          <w:rFonts w:ascii="Arial" w:hAnsi="Arial"/>
          <w:b/>
        </w:rPr>
        <w:t>Artículo 291-T.- </w:t>
      </w:r>
      <w:r>
        <w:rPr/>
        <w:t>Queda prohibido transferir a las personas trabajadoras que se encuentren sujetas a una relación laboral tradicional a un esquema de trabajo en plataformas digitales, con el fin de buscar desvirtuar el vínculo laboral, los derechos asociados con el mismo o con el objeto de reducir las cargas fiscales, de seguridad social o laborales que se desprendan de la relación de trabajo.</w:t>
      </w:r>
    </w:p>
    <w:p>
      <w:pPr>
        <w:spacing w:line="183"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before="1"/>
        <w:ind w:left="338" w:right="340" w:firstLine="288"/>
        <w:jc w:val="both"/>
      </w:pPr>
      <w:bookmarkStart w:name="Artículo_291_U" w:id="366"/>
      <w:bookmarkEnd w:id="366"/>
      <w:r>
        <w:rPr/>
      </w:r>
      <w:r>
        <w:rPr>
          <w:rFonts w:ascii="Arial" w:hAnsi="Arial"/>
          <w:b/>
        </w:rPr>
        <w:t>Artículo 291-U.- </w:t>
      </w:r>
      <w:r>
        <w:rPr/>
        <w:t>Las empresas de plataformas digitales podrán contratar a personas trabajadoras</w:t>
      </w:r>
      <w:r>
        <w:rPr>
          <w:spacing w:val="40"/>
        </w:rPr>
        <w:t> </w:t>
      </w:r>
      <w:r>
        <w:rPr/>
        <w:t>bajo esquemas laborales continuos y tradicionales, a quienes les serán aplicables las disposiciones correspondientes de la ley respectiva.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2024</w:t>
      </w:r>
    </w:p>
    <w:p>
      <w:pPr>
        <w:pStyle w:val="BodyText"/>
        <w:spacing w:before="45"/>
        <w:rPr>
          <w:rFonts w:ascii="Times New Roman"/>
          <w:i/>
          <w:sz w:val="16"/>
        </w:rPr>
      </w:pPr>
    </w:p>
    <w:p>
      <w:pPr>
        <w:pStyle w:val="Heading1"/>
        <w:spacing w:line="252" w:lineRule="exact"/>
      </w:pPr>
      <w:r>
        <w:rPr/>
        <w:t>CAPITULO</w:t>
      </w:r>
      <w:r>
        <w:rPr>
          <w:spacing w:val="-7"/>
        </w:rPr>
        <w:t> </w:t>
      </w:r>
      <w:r>
        <w:rPr>
          <w:spacing w:val="-12"/>
        </w:rPr>
        <w:t>X</w:t>
      </w:r>
    </w:p>
    <w:p>
      <w:pPr>
        <w:pStyle w:val="Heading2"/>
        <w:spacing w:line="252" w:lineRule="exact"/>
        <w:ind w:left="297"/>
      </w:pPr>
      <w:r>
        <w:rPr/>
        <w:t>Deportistas</w:t>
      </w:r>
      <w:r>
        <w:rPr>
          <w:spacing w:val="-7"/>
        </w:rPr>
        <w:t> </w:t>
      </w:r>
      <w:r>
        <w:rPr>
          <w:spacing w:val="-2"/>
        </w:rPr>
        <w:t>profesionales</w:t>
      </w:r>
    </w:p>
    <w:p>
      <w:pPr>
        <w:pStyle w:val="BodyText"/>
        <w:spacing w:before="2"/>
        <w:rPr>
          <w:rFonts w:ascii="Arial"/>
          <w:b/>
        </w:rPr>
      </w:pPr>
    </w:p>
    <w:p>
      <w:pPr>
        <w:pStyle w:val="BodyText"/>
        <w:spacing w:line="242" w:lineRule="auto"/>
        <w:ind w:left="338" w:right="347" w:firstLine="288"/>
        <w:jc w:val="both"/>
      </w:pPr>
      <w:bookmarkStart w:name="Artículo_292" w:id="367"/>
      <w:bookmarkEnd w:id="367"/>
      <w:r>
        <w:rPr/>
      </w:r>
      <w:r>
        <w:rPr>
          <w:rFonts w:ascii="Arial" w:hAnsi="Arial"/>
          <w:b/>
        </w:rPr>
        <w:t>Artículo 292.- </w:t>
      </w:r>
      <w:r>
        <w:rPr/>
        <w:t>Las disposiciones de este capítulo se aplican a los deportistas profesionales, tales como jugadores de fútbol, baseball, frontón, box, luchadores y otros semejantes.</w:t>
      </w:r>
    </w:p>
    <w:p>
      <w:pPr>
        <w:pStyle w:val="BodyText"/>
        <w:spacing w:before="227"/>
        <w:ind w:left="338" w:right="334" w:firstLine="288"/>
        <w:jc w:val="both"/>
      </w:pPr>
      <w:bookmarkStart w:name="Artículo_293" w:id="368"/>
      <w:bookmarkEnd w:id="368"/>
      <w:r>
        <w:rPr/>
      </w:r>
      <w:r>
        <w:rPr>
          <w:rFonts w:ascii="Arial" w:hAnsi="Arial"/>
          <w:b/>
        </w:rPr>
        <w:t>Artículo 293.- </w:t>
      </w:r>
      <w:r>
        <w:rPr/>
        <w:t>Las relaciones de trabajo pueden ser por tiempo determinado, por tiempo indeterminado, para una o varias temporadas o para la celebración de uno o varios eventos o funciones. A falta de estipulaciones expresas, la relación será por tiempo indeterminado.</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40" w:firstLine="288"/>
        <w:jc w:val="both"/>
      </w:pPr>
      <w:r>
        <w:rPr/>
        <w:t>Si vencido el término o concluida la temporada no se estipula un nuevo término de duración u otra modalidad, y el trabajador continúa prestando sus servicios, la relación continuará por tiempo </w:t>
      </w:r>
      <w:r>
        <w:rPr>
          <w:spacing w:val="-2"/>
        </w:rPr>
        <w:t>indeterminado.</w:t>
      </w:r>
    </w:p>
    <w:p>
      <w:pPr>
        <w:pStyle w:val="BodyText"/>
        <w:spacing w:line="242" w:lineRule="auto" w:before="230"/>
        <w:ind w:left="338" w:right="345" w:firstLine="288"/>
        <w:jc w:val="both"/>
      </w:pPr>
      <w:bookmarkStart w:name="Artículo_294" w:id="369"/>
      <w:bookmarkEnd w:id="369"/>
      <w:r>
        <w:rPr/>
      </w:r>
      <w:r>
        <w:rPr>
          <w:rFonts w:ascii="Arial" w:hAnsi="Arial"/>
          <w:b/>
        </w:rPr>
        <w:t>Artículo 294.- </w:t>
      </w:r>
      <w:r>
        <w:rPr/>
        <w:t>El salario podrá estipularse por unidad de tiempo, para uno o varios eventos o funciones, o para una o varias temporadas.</w:t>
      </w:r>
    </w:p>
    <w:p>
      <w:pPr>
        <w:pStyle w:val="BodyText"/>
        <w:spacing w:line="242" w:lineRule="auto" w:before="224"/>
        <w:ind w:left="338" w:right="346" w:firstLine="288"/>
        <w:jc w:val="both"/>
      </w:pPr>
      <w:bookmarkStart w:name="Artículo_295" w:id="370"/>
      <w:bookmarkEnd w:id="370"/>
      <w:r>
        <w:rPr/>
      </w:r>
      <w:r>
        <w:rPr>
          <w:rFonts w:ascii="Arial" w:hAnsi="Arial"/>
          <w:b/>
        </w:rPr>
        <w:t>Artículo 295.- </w:t>
      </w:r>
      <w:r>
        <w:rPr/>
        <w:t>Los deportistas profesionales no podrán ser transferidos a otra empresa o club, sin su </w:t>
      </w:r>
      <w:r>
        <w:rPr>
          <w:spacing w:val="-2"/>
        </w:rPr>
        <w:t>consentimiento.</w:t>
      </w:r>
    </w:p>
    <w:p>
      <w:pPr>
        <w:pStyle w:val="BodyText"/>
        <w:spacing w:before="226"/>
        <w:ind w:left="626"/>
      </w:pPr>
      <w:bookmarkStart w:name="Artículo_296" w:id="371"/>
      <w:bookmarkEnd w:id="371"/>
      <w:r>
        <w:rPr/>
      </w:r>
      <w:r>
        <w:rPr>
          <w:rFonts w:ascii="Arial" w:hAnsi="Arial"/>
          <w:b/>
        </w:rPr>
        <w:t>Artículo</w:t>
      </w:r>
      <w:r>
        <w:rPr>
          <w:rFonts w:ascii="Arial" w:hAnsi="Arial"/>
          <w:b/>
          <w:spacing w:val="-6"/>
        </w:rPr>
        <w:t> </w:t>
      </w:r>
      <w:r>
        <w:rPr>
          <w:rFonts w:ascii="Arial" w:hAnsi="Arial"/>
          <w:b/>
        </w:rPr>
        <w:t>296.-</w:t>
      </w:r>
      <w:r>
        <w:rPr>
          <w:rFonts w:ascii="Arial" w:hAnsi="Arial"/>
          <w:b/>
          <w:spacing w:val="-5"/>
        </w:rPr>
        <w:t> </w:t>
      </w:r>
      <w:r>
        <w:rPr/>
        <w:t>La</w:t>
      </w:r>
      <w:r>
        <w:rPr>
          <w:spacing w:val="-7"/>
        </w:rPr>
        <w:t> </w:t>
      </w:r>
      <w:r>
        <w:rPr/>
        <w:t>prima</w:t>
      </w:r>
      <w:r>
        <w:rPr>
          <w:spacing w:val="-6"/>
        </w:rPr>
        <w:t> </w:t>
      </w:r>
      <w:r>
        <w:rPr/>
        <w:t>por</w:t>
      </w:r>
      <w:r>
        <w:rPr>
          <w:spacing w:val="-6"/>
        </w:rPr>
        <w:t> </w:t>
      </w:r>
      <w:r>
        <w:rPr/>
        <w:t>transferencia</w:t>
      </w:r>
      <w:r>
        <w:rPr>
          <w:spacing w:val="-7"/>
        </w:rPr>
        <w:t> </w:t>
      </w:r>
      <w:r>
        <w:rPr/>
        <w:t>de</w:t>
      </w:r>
      <w:r>
        <w:rPr>
          <w:spacing w:val="-6"/>
        </w:rPr>
        <w:t> </w:t>
      </w:r>
      <w:r>
        <w:rPr/>
        <w:t>jugadores</w:t>
      </w:r>
      <w:r>
        <w:rPr>
          <w:spacing w:val="-4"/>
        </w:rPr>
        <w:t> </w:t>
      </w:r>
      <w:r>
        <w:rPr/>
        <w:t>se</w:t>
      </w:r>
      <w:r>
        <w:rPr>
          <w:spacing w:val="-6"/>
        </w:rPr>
        <w:t> </w:t>
      </w:r>
      <w:r>
        <w:rPr/>
        <w:t>sujetará</w:t>
      </w:r>
      <w:r>
        <w:rPr>
          <w:spacing w:val="-6"/>
        </w:rPr>
        <w:t> </w:t>
      </w:r>
      <w:r>
        <w:rPr/>
        <w:t>a</w:t>
      </w:r>
      <w:r>
        <w:rPr>
          <w:spacing w:val="-6"/>
        </w:rPr>
        <w:t> </w:t>
      </w:r>
      <w:r>
        <w:rPr/>
        <w:t>las</w:t>
      </w:r>
      <w:r>
        <w:rPr>
          <w:spacing w:val="-3"/>
        </w:rPr>
        <w:t> </w:t>
      </w:r>
      <w:r>
        <w:rPr/>
        <w:t>normas</w:t>
      </w:r>
      <w:r>
        <w:rPr>
          <w:spacing w:val="-6"/>
        </w:rPr>
        <w:t> </w:t>
      </w:r>
      <w:r>
        <w:rPr>
          <w:spacing w:val="-2"/>
        </w:rPr>
        <w:t>siguientes:</w:t>
      </w:r>
    </w:p>
    <w:p>
      <w:pPr>
        <w:pStyle w:val="ListParagraph"/>
        <w:numPr>
          <w:ilvl w:val="0"/>
          <w:numId w:val="79"/>
        </w:numPr>
        <w:tabs>
          <w:tab w:pos="1193" w:val="left" w:leader="none"/>
          <w:tab w:pos="1195" w:val="left" w:leader="none"/>
        </w:tabs>
        <w:spacing w:line="242" w:lineRule="auto" w:before="229" w:after="0"/>
        <w:ind w:left="1195" w:right="344" w:hanging="569"/>
        <w:jc w:val="both"/>
        <w:rPr>
          <w:sz w:val="20"/>
        </w:rPr>
      </w:pPr>
      <w:r>
        <w:rPr>
          <w:sz w:val="20"/>
        </w:rPr>
        <w:t>La</w:t>
      </w:r>
      <w:r>
        <w:rPr>
          <w:spacing w:val="-3"/>
          <w:sz w:val="20"/>
        </w:rPr>
        <w:t> </w:t>
      </w:r>
      <w:r>
        <w:rPr>
          <w:sz w:val="20"/>
        </w:rPr>
        <w:t>empresa</w:t>
      </w:r>
      <w:r>
        <w:rPr>
          <w:spacing w:val="-2"/>
          <w:sz w:val="20"/>
        </w:rPr>
        <w:t> </w:t>
      </w:r>
      <w:r>
        <w:rPr>
          <w:sz w:val="20"/>
        </w:rPr>
        <w:t>o</w:t>
      </w:r>
      <w:r>
        <w:rPr>
          <w:spacing w:val="-1"/>
          <w:sz w:val="20"/>
        </w:rPr>
        <w:t> </w:t>
      </w:r>
      <w:r>
        <w:rPr>
          <w:sz w:val="20"/>
        </w:rPr>
        <w:t>club dará a</w:t>
      </w:r>
      <w:r>
        <w:rPr>
          <w:spacing w:val="-2"/>
          <w:sz w:val="20"/>
        </w:rPr>
        <w:t> </w:t>
      </w:r>
      <w:r>
        <w:rPr>
          <w:sz w:val="20"/>
        </w:rPr>
        <w:t>conocer a</w:t>
      </w:r>
      <w:r>
        <w:rPr>
          <w:spacing w:val="-2"/>
          <w:sz w:val="20"/>
        </w:rPr>
        <w:t> </w:t>
      </w:r>
      <w:r>
        <w:rPr>
          <w:sz w:val="20"/>
        </w:rPr>
        <w:t>los</w:t>
      </w:r>
      <w:r>
        <w:rPr>
          <w:spacing w:val="-1"/>
          <w:sz w:val="20"/>
        </w:rPr>
        <w:t> </w:t>
      </w:r>
      <w:r>
        <w:rPr>
          <w:sz w:val="20"/>
        </w:rPr>
        <w:t>deportistas</w:t>
      </w:r>
      <w:r>
        <w:rPr>
          <w:spacing w:val="-1"/>
          <w:sz w:val="20"/>
        </w:rPr>
        <w:t> </w:t>
      </w:r>
      <w:r>
        <w:rPr>
          <w:sz w:val="20"/>
        </w:rPr>
        <w:t>profesionales</w:t>
      </w:r>
      <w:r>
        <w:rPr>
          <w:spacing w:val="-1"/>
          <w:sz w:val="20"/>
        </w:rPr>
        <w:t> </w:t>
      </w:r>
      <w:r>
        <w:rPr>
          <w:sz w:val="20"/>
        </w:rPr>
        <w:t>el</w:t>
      </w:r>
      <w:r>
        <w:rPr>
          <w:spacing w:val="-3"/>
          <w:sz w:val="20"/>
        </w:rPr>
        <w:t> </w:t>
      </w:r>
      <w:r>
        <w:rPr>
          <w:sz w:val="20"/>
        </w:rPr>
        <w:t>reglamento o cláusulas</w:t>
      </w:r>
      <w:r>
        <w:rPr>
          <w:spacing w:val="-1"/>
          <w:sz w:val="20"/>
        </w:rPr>
        <w:t> </w:t>
      </w:r>
      <w:r>
        <w:rPr>
          <w:sz w:val="20"/>
        </w:rPr>
        <w:t>que la contengan;</w:t>
      </w:r>
    </w:p>
    <w:p>
      <w:pPr>
        <w:pStyle w:val="ListParagraph"/>
        <w:numPr>
          <w:ilvl w:val="0"/>
          <w:numId w:val="79"/>
        </w:numPr>
        <w:tabs>
          <w:tab w:pos="1192" w:val="left" w:leader="none"/>
          <w:tab w:pos="1195" w:val="left" w:leader="none"/>
        </w:tabs>
        <w:spacing w:line="240" w:lineRule="auto" w:before="227" w:after="0"/>
        <w:ind w:left="1195" w:right="338" w:hanging="569"/>
        <w:jc w:val="both"/>
        <w:rPr>
          <w:sz w:val="20"/>
        </w:rPr>
      </w:pPr>
      <w:r>
        <w:rPr>
          <w:sz w:val="20"/>
        </w:rPr>
        <w:t>El monto de la prima se determinará por acuerdo entre el deportista profesional y la empresa o club, y se tomarán en consideración la categoría de los eventos o funciones, la de los equipos, la del deportista profesional y su antigüedad en la empresa o club; y</w:t>
      </w:r>
    </w:p>
    <w:p>
      <w:pPr>
        <w:pStyle w:val="ListParagraph"/>
        <w:numPr>
          <w:ilvl w:val="0"/>
          <w:numId w:val="79"/>
        </w:numPr>
        <w:tabs>
          <w:tab w:pos="1191" w:val="left" w:leader="none"/>
          <w:tab w:pos="1195" w:val="left" w:leader="none"/>
        </w:tabs>
        <w:spacing w:line="242" w:lineRule="auto" w:before="229" w:after="0"/>
        <w:ind w:left="1195" w:right="338" w:hanging="569"/>
        <w:jc w:val="both"/>
        <w:rPr>
          <w:sz w:val="20"/>
        </w:rPr>
      </w:pPr>
      <w:r>
        <w:rPr>
          <w:sz w:val="20"/>
        </w:rPr>
        <w:t>La participación del deportista profesional en la prima será de un veinticinco por ciento, por lo menos. Si el porcentaje fijado es inferior al cincuenta por ciento, se aumentará en un cinco por ciento por cada año de servicios, hasta llegar al cincuenta por ciento, por lo menos.</w:t>
      </w:r>
    </w:p>
    <w:p>
      <w:pPr>
        <w:pStyle w:val="BodyText"/>
        <w:spacing w:line="242" w:lineRule="auto" w:before="223"/>
        <w:ind w:left="338" w:right="348" w:firstLine="288"/>
        <w:jc w:val="both"/>
      </w:pPr>
      <w:bookmarkStart w:name="Artículo_297" w:id="372"/>
      <w:bookmarkEnd w:id="372"/>
      <w:r>
        <w:rPr/>
      </w:r>
      <w:r>
        <w:rPr>
          <w:rFonts w:ascii="Arial" w:hAnsi="Arial"/>
          <w:b/>
        </w:rPr>
        <w:t>Artículo 297.- </w:t>
      </w:r>
      <w:r>
        <w:rPr/>
        <w:t>No</w:t>
      </w:r>
      <w:r>
        <w:rPr>
          <w:spacing w:val="-1"/>
        </w:rPr>
        <w:t> </w:t>
      </w:r>
      <w:r>
        <w:rPr/>
        <w:t>es</w:t>
      </w:r>
      <w:r>
        <w:rPr>
          <w:spacing w:val="-2"/>
        </w:rPr>
        <w:t> </w:t>
      </w:r>
      <w:r>
        <w:rPr/>
        <w:t>violatoria</w:t>
      </w:r>
      <w:r>
        <w:rPr>
          <w:spacing w:val="-1"/>
        </w:rPr>
        <w:t> </w:t>
      </w:r>
      <w:r>
        <w:rPr/>
        <w:t>del</w:t>
      </w:r>
      <w:r>
        <w:rPr>
          <w:spacing w:val="-4"/>
        </w:rPr>
        <w:t> </w:t>
      </w:r>
      <w:r>
        <w:rPr/>
        <w:t>principio</w:t>
      </w:r>
      <w:r>
        <w:rPr>
          <w:spacing w:val="-1"/>
        </w:rPr>
        <w:t> </w:t>
      </w:r>
      <w:r>
        <w:rPr/>
        <w:t>de</w:t>
      </w:r>
      <w:r>
        <w:rPr>
          <w:spacing w:val="-1"/>
        </w:rPr>
        <w:t> </w:t>
      </w:r>
      <w:r>
        <w:rPr/>
        <w:t>igualdad</w:t>
      </w:r>
      <w:r>
        <w:rPr>
          <w:spacing w:val="-3"/>
        </w:rPr>
        <w:t> </w:t>
      </w:r>
      <w:r>
        <w:rPr/>
        <w:t>de</w:t>
      </w:r>
      <w:r>
        <w:rPr>
          <w:spacing w:val="-1"/>
        </w:rPr>
        <w:t> </w:t>
      </w:r>
      <w:r>
        <w:rPr/>
        <w:t>salarios la</w:t>
      </w:r>
      <w:r>
        <w:rPr>
          <w:spacing w:val="-1"/>
        </w:rPr>
        <w:t> </w:t>
      </w:r>
      <w:r>
        <w:rPr/>
        <w:t>disposición</w:t>
      </w:r>
      <w:r>
        <w:rPr>
          <w:spacing w:val="-1"/>
        </w:rPr>
        <w:t> </w:t>
      </w:r>
      <w:r>
        <w:rPr/>
        <w:t>que</w:t>
      </w:r>
      <w:r>
        <w:rPr>
          <w:spacing w:val="-1"/>
        </w:rPr>
        <w:t> </w:t>
      </w:r>
      <w:r>
        <w:rPr/>
        <w:t>estipule</w:t>
      </w:r>
      <w:r>
        <w:rPr>
          <w:spacing w:val="-3"/>
        </w:rPr>
        <w:t> </w:t>
      </w:r>
      <w:r>
        <w:rPr/>
        <w:t>salarios distintos para trabajos iguales, por razón de la categoría de los eventos o funciones, de la de los equipos o de la de los jugadores.</w:t>
      </w:r>
    </w:p>
    <w:p>
      <w:pPr>
        <w:pStyle w:val="BodyText"/>
        <w:spacing w:before="225"/>
        <w:ind w:left="626"/>
      </w:pPr>
      <w:bookmarkStart w:name="Artículo_298" w:id="373"/>
      <w:bookmarkEnd w:id="373"/>
      <w:r>
        <w:rPr/>
      </w:r>
      <w:r>
        <w:rPr>
          <w:rFonts w:ascii="Arial" w:hAnsi="Arial"/>
          <w:b/>
        </w:rPr>
        <w:t>Artículo</w:t>
      </w:r>
      <w:r>
        <w:rPr>
          <w:rFonts w:ascii="Arial" w:hAnsi="Arial"/>
          <w:b/>
          <w:spacing w:val="-10"/>
        </w:rPr>
        <w:t> </w:t>
      </w:r>
      <w:r>
        <w:rPr>
          <w:rFonts w:ascii="Arial" w:hAnsi="Arial"/>
          <w:b/>
        </w:rPr>
        <w:t>298.-</w:t>
      </w:r>
      <w:r>
        <w:rPr>
          <w:rFonts w:ascii="Arial" w:hAnsi="Arial"/>
          <w:b/>
          <w:spacing w:val="-9"/>
        </w:rPr>
        <w:t> </w:t>
      </w:r>
      <w:r>
        <w:rPr/>
        <w:t>Los</w:t>
      </w:r>
      <w:r>
        <w:rPr>
          <w:spacing w:val="-9"/>
        </w:rPr>
        <w:t> </w:t>
      </w:r>
      <w:r>
        <w:rPr/>
        <w:t>deportistas</w:t>
      </w:r>
      <w:r>
        <w:rPr>
          <w:spacing w:val="-9"/>
        </w:rPr>
        <w:t> </w:t>
      </w:r>
      <w:r>
        <w:rPr/>
        <w:t>profesionales</w:t>
      </w:r>
      <w:r>
        <w:rPr>
          <w:spacing w:val="-9"/>
        </w:rPr>
        <w:t> </w:t>
      </w:r>
      <w:r>
        <w:rPr/>
        <w:t>tienen</w:t>
      </w:r>
      <w:r>
        <w:rPr>
          <w:spacing w:val="-8"/>
        </w:rPr>
        <w:t> </w:t>
      </w:r>
      <w:r>
        <w:rPr/>
        <w:t>las</w:t>
      </w:r>
      <w:r>
        <w:rPr>
          <w:spacing w:val="-7"/>
        </w:rPr>
        <w:t> </w:t>
      </w:r>
      <w:r>
        <w:rPr/>
        <w:t>obligaciones</w:t>
      </w:r>
      <w:r>
        <w:rPr>
          <w:spacing w:val="-9"/>
        </w:rPr>
        <w:t> </w:t>
      </w:r>
      <w:r>
        <w:rPr/>
        <w:t>especiales</w:t>
      </w:r>
      <w:r>
        <w:rPr>
          <w:spacing w:val="-9"/>
        </w:rPr>
        <w:t> </w:t>
      </w:r>
      <w:r>
        <w:rPr>
          <w:spacing w:val="-2"/>
        </w:rPr>
        <w:t>siguientes:</w:t>
      </w:r>
    </w:p>
    <w:p>
      <w:pPr>
        <w:pStyle w:val="ListParagraph"/>
        <w:numPr>
          <w:ilvl w:val="0"/>
          <w:numId w:val="80"/>
        </w:numPr>
        <w:tabs>
          <w:tab w:pos="1195" w:val="left" w:leader="none"/>
        </w:tabs>
        <w:spacing w:line="240" w:lineRule="auto" w:before="228" w:after="0"/>
        <w:ind w:left="1195" w:right="0" w:hanging="569"/>
        <w:jc w:val="left"/>
        <w:rPr>
          <w:sz w:val="20"/>
        </w:rPr>
      </w:pPr>
      <w:r>
        <w:rPr>
          <w:sz w:val="20"/>
        </w:rPr>
        <w:t>Someterse</w:t>
      </w:r>
      <w:r>
        <w:rPr>
          <w:spacing w:val="-6"/>
          <w:sz w:val="20"/>
        </w:rPr>
        <w:t> </w:t>
      </w:r>
      <w:r>
        <w:rPr>
          <w:sz w:val="20"/>
        </w:rPr>
        <w:t>a</w:t>
      </w:r>
      <w:r>
        <w:rPr>
          <w:spacing w:val="-6"/>
          <w:sz w:val="20"/>
        </w:rPr>
        <w:t> </w:t>
      </w:r>
      <w:r>
        <w:rPr>
          <w:sz w:val="20"/>
        </w:rPr>
        <w:t>la</w:t>
      </w:r>
      <w:r>
        <w:rPr>
          <w:spacing w:val="-5"/>
          <w:sz w:val="20"/>
        </w:rPr>
        <w:t> </w:t>
      </w:r>
      <w:r>
        <w:rPr>
          <w:sz w:val="20"/>
        </w:rPr>
        <w:t>disciplina</w:t>
      </w:r>
      <w:r>
        <w:rPr>
          <w:spacing w:val="-4"/>
          <w:sz w:val="20"/>
        </w:rPr>
        <w:t> </w:t>
      </w:r>
      <w:r>
        <w:rPr>
          <w:sz w:val="20"/>
        </w:rPr>
        <w:t>de</w:t>
      </w:r>
      <w:r>
        <w:rPr>
          <w:spacing w:val="-5"/>
          <w:sz w:val="20"/>
        </w:rPr>
        <w:t> </w:t>
      </w:r>
      <w:r>
        <w:rPr>
          <w:sz w:val="20"/>
        </w:rPr>
        <w:t>la</w:t>
      </w:r>
      <w:r>
        <w:rPr>
          <w:spacing w:val="-1"/>
          <w:sz w:val="20"/>
        </w:rPr>
        <w:t> </w:t>
      </w:r>
      <w:r>
        <w:rPr>
          <w:sz w:val="20"/>
        </w:rPr>
        <w:t>empresa</w:t>
      </w:r>
      <w:r>
        <w:rPr>
          <w:spacing w:val="-5"/>
          <w:sz w:val="20"/>
        </w:rPr>
        <w:t> </w:t>
      </w:r>
      <w:r>
        <w:rPr>
          <w:sz w:val="20"/>
        </w:rPr>
        <w:t>o</w:t>
      </w:r>
      <w:r>
        <w:rPr>
          <w:spacing w:val="-7"/>
          <w:sz w:val="20"/>
        </w:rPr>
        <w:t> </w:t>
      </w:r>
      <w:r>
        <w:rPr>
          <w:spacing w:val="-4"/>
          <w:sz w:val="20"/>
        </w:rPr>
        <w:t>club;</w:t>
      </w:r>
    </w:p>
    <w:p>
      <w:pPr>
        <w:pStyle w:val="BodyText"/>
        <w:spacing w:before="1"/>
      </w:pPr>
    </w:p>
    <w:p>
      <w:pPr>
        <w:pStyle w:val="ListParagraph"/>
        <w:numPr>
          <w:ilvl w:val="0"/>
          <w:numId w:val="80"/>
        </w:numPr>
        <w:tabs>
          <w:tab w:pos="1192" w:val="left" w:leader="none"/>
          <w:tab w:pos="1195" w:val="left" w:leader="none"/>
        </w:tabs>
        <w:spacing w:line="242" w:lineRule="auto" w:before="0" w:after="0"/>
        <w:ind w:left="1195" w:right="343" w:hanging="569"/>
        <w:jc w:val="both"/>
        <w:rPr>
          <w:sz w:val="20"/>
        </w:rPr>
      </w:pPr>
      <w:r>
        <w:rPr>
          <w:sz w:val="20"/>
        </w:rPr>
        <w:t>Concurrir a las prácticas de preparación y adiestramiento en el lugar y a la hora señalados por</w:t>
      </w:r>
      <w:r>
        <w:rPr>
          <w:spacing w:val="40"/>
          <w:sz w:val="20"/>
        </w:rPr>
        <w:t> </w:t>
      </w:r>
      <w:r>
        <w:rPr>
          <w:sz w:val="20"/>
        </w:rPr>
        <w:t>la empresa o club y concentrarse para los eventos o funciones;</w:t>
      </w:r>
    </w:p>
    <w:p>
      <w:pPr>
        <w:pStyle w:val="ListParagraph"/>
        <w:numPr>
          <w:ilvl w:val="0"/>
          <w:numId w:val="80"/>
        </w:numPr>
        <w:tabs>
          <w:tab w:pos="1191" w:val="left" w:leader="none"/>
          <w:tab w:pos="1195" w:val="left" w:leader="none"/>
        </w:tabs>
        <w:spacing w:line="240" w:lineRule="auto" w:before="227" w:after="0"/>
        <w:ind w:left="1195" w:right="336" w:hanging="569"/>
        <w:jc w:val="both"/>
        <w:rPr>
          <w:sz w:val="20"/>
        </w:rPr>
      </w:pPr>
      <w:r>
        <w:rPr>
          <w:sz w:val="20"/>
        </w:rPr>
        <w:t>Efectuar los viajes para los eventos o funciones de conformidad con las disposiciones de la empresa o club. Los gastos de transportación, hospedaje y alimentación serán por cuenta de la empresa o club; y</w:t>
      </w:r>
    </w:p>
    <w:p>
      <w:pPr>
        <w:pStyle w:val="ListParagraph"/>
        <w:numPr>
          <w:ilvl w:val="0"/>
          <w:numId w:val="80"/>
        </w:numPr>
        <w:tabs>
          <w:tab w:pos="1195" w:val="left" w:leader="none"/>
        </w:tabs>
        <w:spacing w:line="242" w:lineRule="auto" w:before="229" w:after="0"/>
        <w:ind w:left="1195" w:right="343" w:hanging="569"/>
        <w:jc w:val="both"/>
        <w:rPr>
          <w:sz w:val="20"/>
        </w:rPr>
      </w:pPr>
      <w:r>
        <w:rPr>
          <w:sz w:val="20"/>
        </w:rPr>
        <w:t>Respetar los reglamentos locales, nacionales e internacionales que rijan la práctica de los </w:t>
      </w:r>
      <w:r>
        <w:rPr>
          <w:spacing w:val="-2"/>
          <w:sz w:val="20"/>
        </w:rPr>
        <w:t>deportes.</w:t>
      </w:r>
    </w:p>
    <w:p>
      <w:pPr>
        <w:pStyle w:val="BodyText"/>
        <w:spacing w:line="242" w:lineRule="auto" w:before="224"/>
        <w:ind w:left="338" w:right="347" w:firstLine="288"/>
        <w:jc w:val="both"/>
      </w:pPr>
      <w:bookmarkStart w:name="Artículo_299" w:id="374"/>
      <w:bookmarkEnd w:id="374"/>
      <w:r>
        <w:rPr/>
      </w:r>
      <w:r>
        <w:rPr>
          <w:rFonts w:ascii="Arial" w:hAnsi="Arial"/>
          <w:b/>
        </w:rPr>
        <w:t>Artículo 299.- </w:t>
      </w:r>
      <w:r>
        <w:rPr/>
        <w:t>Queda prohibido a los deportistas profesionales todo maltrato de palabra o de obra a los jueces o árbitros de los eventos, a sus compañeros y a los jugadores contrincantes.</w:t>
      </w:r>
    </w:p>
    <w:p>
      <w:pPr>
        <w:pStyle w:val="BodyText"/>
      </w:pPr>
    </w:p>
    <w:p>
      <w:pPr>
        <w:pStyle w:val="BodyText"/>
        <w:ind w:left="338" w:right="339" w:firstLine="288"/>
        <w:jc w:val="both"/>
      </w:pPr>
      <w:r>
        <w:rPr/>
        <w:t>En los deportes que impliquen una contienda personal, los contendientes deberán abstenerse de todo acto prohibido por los reglamentos.</w:t>
      </w:r>
    </w:p>
    <w:p>
      <w:pPr>
        <w:spacing w:before="226"/>
        <w:ind w:left="626" w:right="0" w:firstLine="0"/>
        <w:jc w:val="left"/>
        <w:rPr>
          <w:sz w:val="20"/>
        </w:rPr>
      </w:pPr>
      <w:bookmarkStart w:name="Artículo_300" w:id="375"/>
      <w:bookmarkEnd w:id="375"/>
      <w:r>
        <w:rPr/>
      </w:r>
      <w:r>
        <w:rPr>
          <w:rFonts w:ascii="Arial" w:hAnsi="Arial"/>
          <w:b/>
          <w:sz w:val="20"/>
        </w:rPr>
        <w:t>Artículo</w:t>
      </w:r>
      <w:r>
        <w:rPr>
          <w:rFonts w:ascii="Arial" w:hAnsi="Arial"/>
          <w:b/>
          <w:spacing w:val="-7"/>
          <w:sz w:val="20"/>
        </w:rPr>
        <w:t> </w:t>
      </w:r>
      <w:r>
        <w:rPr>
          <w:rFonts w:ascii="Arial" w:hAnsi="Arial"/>
          <w:b/>
          <w:sz w:val="20"/>
        </w:rPr>
        <w:t>300.-</w:t>
      </w:r>
      <w:r>
        <w:rPr>
          <w:rFonts w:ascii="Arial" w:hAnsi="Arial"/>
          <w:b/>
          <w:spacing w:val="-6"/>
          <w:sz w:val="20"/>
        </w:rPr>
        <w:t> </w:t>
      </w:r>
      <w:r>
        <w:rPr>
          <w:sz w:val="20"/>
        </w:rPr>
        <w:t>Son</w:t>
      </w:r>
      <w:r>
        <w:rPr>
          <w:spacing w:val="-6"/>
          <w:sz w:val="20"/>
        </w:rPr>
        <w:t> </w:t>
      </w:r>
      <w:r>
        <w:rPr>
          <w:sz w:val="20"/>
        </w:rPr>
        <w:t>obligaciones</w:t>
      </w:r>
      <w:r>
        <w:rPr>
          <w:spacing w:val="-7"/>
          <w:sz w:val="20"/>
        </w:rPr>
        <w:t> </w:t>
      </w:r>
      <w:r>
        <w:rPr>
          <w:sz w:val="20"/>
        </w:rPr>
        <w:t>especiales</w:t>
      </w:r>
      <w:r>
        <w:rPr>
          <w:spacing w:val="-7"/>
          <w:sz w:val="20"/>
        </w:rPr>
        <w:t> </w:t>
      </w:r>
      <w:r>
        <w:rPr>
          <w:sz w:val="20"/>
        </w:rPr>
        <w:t>de</w:t>
      </w:r>
      <w:r>
        <w:rPr>
          <w:spacing w:val="-8"/>
          <w:sz w:val="20"/>
        </w:rPr>
        <w:t> </w:t>
      </w:r>
      <w:r>
        <w:rPr>
          <w:sz w:val="20"/>
        </w:rPr>
        <w:t>los</w:t>
      </w:r>
      <w:r>
        <w:rPr>
          <w:spacing w:val="-7"/>
          <w:sz w:val="20"/>
        </w:rPr>
        <w:t> </w:t>
      </w:r>
      <w:r>
        <w:rPr>
          <w:spacing w:val="-2"/>
          <w:sz w:val="20"/>
        </w:rPr>
        <w:t>patrones:</w:t>
      </w:r>
    </w:p>
    <w:p>
      <w:pPr>
        <w:pStyle w:val="BodyText"/>
        <w:spacing w:before="1"/>
      </w:pPr>
    </w:p>
    <w:p>
      <w:pPr>
        <w:pStyle w:val="ListParagraph"/>
        <w:numPr>
          <w:ilvl w:val="0"/>
          <w:numId w:val="81"/>
        </w:numPr>
        <w:tabs>
          <w:tab w:pos="1195" w:val="left" w:leader="none"/>
        </w:tabs>
        <w:spacing w:line="240" w:lineRule="auto" w:before="0" w:after="0"/>
        <w:ind w:left="1195" w:right="0" w:hanging="569"/>
        <w:jc w:val="left"/>
        <w:rPr>
          <w:sz w:val="20"/>
        </w:rPr>
      </w:pPr>
      <w:r>
        <w:rPr>
          <w:sz w:val="20"/>
        </w:rPr>
        <w:t>Organizar</w:t>
      </w:r>
      <w:r>
        <w:rPr>
          <w:spacing w:val="-5"/>
          <w:sz w:val="20"/>
        </w:rPr>
        <w:t> </w:t>
      </w:r>
      <w:r>
        <w:rPr>
          <w:sz w:val="20"/>
        </w:rPr>
        <w:t>y</w:t>
      </w:r>
      <w:r>
        <w:rPr>
          <w:spacing w:val="-11"/>
          <w:sz w:val="20"/>
        </w:rPr>
        <w:t> </w:t>
      </w:r>
      <w:r>
        <w:rPr>
          <w:sz w:val="20"/>
        </w:rPr>
        <w:t>mantener</w:t>
      </w:r>
      <w:r>
        <w:rPr>
          <w:spacing w:val="-9"/>
          <w:sz w:val="20"/>
        </w:rPr>
        <w:t> </w:t>
      </w:r>
      <w:r>
        <w:rPr>
          <w:sz w:val="20"/>
        </w:rPr>
        <w:t>un</w:t>
      </w:r>
      <w:r>
        <w:rPr>
          <w:spacing w:val="-8"/>
          <w:sz w:val="20"/>
        </w:rPr>
        <w:t> </w:t>
      </w:r>
      <w:r>
        <w:rPr>
          <w:sz w:val="20"/>
        </w:rPr>
        <w:t>servicio</w:t>
      </w:r>
      <w:r>
        <w:rPr>
          <w:spacing w:val="-9"/>
          <w:sz w:val="20"/>
        </w:rPr>
        <w:t> </w:t>
      </w:r>
      <w:r>
        <w:rPr>
          <w:sz w:val="20"/>
        </w:rPr>
        <w:t>médico</w:t>
      </w:r>
      <w:r>
        <w:rPr>
          <w:spacing w:val="-8"/>
          <w:sz w:val="20"/>
        </w:rPr>
        <w:t> </w:t>
      </w:r>
      <w:r>
        <w:rPr>
          <w:sz w:val="20"/>
        </w:rPr>
        <w:t>que</w:t>
      </w:r>
      <w:r>
        <w:rPr>
          <w:spacing w:val="-9"/>
          <w:sz w:val="20"/>
        </w:rPr>
        <w:t> </w:t>
      </w:r>
      <w:r>
        <w:rPr>
          <w:sz w:val="20"/>
        </w:rPr>
        <w:t>practique</w:t>
      </w:r>
      <w:r>
        <w:rPr>
          <w:spacing w:val="-8"/>
          <w:sz w:val="20"/>
        </w:rPr>
        <w:t> </w:t>
      </w:r>
      <w:r>
        <w:rPr>
          <w:sz w:val="20"/>
        </w:rPr>
        <w:t>reconocimientos</w:t>
      </w:r>
      <w:r>
        <w:rPr>
          <w:spacing w:val="-8"/>
          <w:sz w:val="20"/>
        </w:rPr>
        <w:t> </w:t>
      </w:r>
      <w:r>
        <w:rPr>
          <w:sz w:val="20"/>
        </w:rPr>
        <w:t>periódicos;</w:t>
      </w:r>
      <w:r>
        <w:rPr>
          <w:spacing w:val="-7"/>
          <w:sz w:val="20"/>
        </w:rPr>
        <w:t> </w:t>
      </w:r>
      <w:r>
        <w:rPr>
          <w:spacing w:val="-10"/>
          <w:sz w:val="20"/>
        </w:rPr>
        <w:t>y</w:t>
      </w:r>
    </w:p>
    <w:p>
      <w:pPr>
        <w:pStyle w:val="BodyText"/>
        <w:spacing w:before="1"/>
      </w:pPr>
    </w:p>
    <w:p>
      <w:pPr>
        <w:pStyle w:val="ListParagraph"/>
        <w:numPr>
          <w:ilvl w:val="0"/>
          <w:numId w:val="81"/>
        </w:numPr>
        <w:tabs>
          <w:tab w:pos="1192" w:val="left" w:leader="none"/>
          <w:tab w:pos="1195" w:val="left" w:leader="none"/>
        </w:tabs>
        <w:spacing w:line="240" w:lineRule="auto" w:before="0" w:after="0"/>
        <w:ind w:left="1195" w:right="340" w:hanging="569"/>
        <w:jc w:val="both"/>
        <w:rPr>
          <w:sz w:val="20"/>
        </w:rPr>
      </w:pPr>
      <w:r>
        <w:rPr>
          <w:sz w:val="20"/>
        </w:rPr>
        <w:t>Conceder a los trabajadores un día de descanso a la semana. No es aplicable a los deportistas profesionales la disposición contenida en el párrafo segundo del artículo 71.</w:t>
      </w:r>
    </w:p>
    <w:p>
      <w:pPr>
        <w:pStyle w:val="ListParagraph"/>
        <w:spacing w:after="0" w:line="240" w:lineRule="auto"/>
        <w:jc w:val="both"/>
        <w:rPr>
          <w:sz w:val="20"/>
        </w:rPr>
        <w:sectPr>
          <w:pgSz w:w="12240" w:h="15840"/>
          <w:pgMar w:header="724" w:footer="712" w:top="1880" w:bottom="900" w:left="1080" w:right="1080"/>
        </w:sectPr>
      </w:pPr>
    </w:p>
    <w:p>
      <w:pPr>
        <w:pStyle w:val="BodyText"/>
      </w:pPr>
    </w:p>
    <w:p>
      <w:pPr>
        <w:pStyle w:val="BodyText"/>
        <w:spacing w:before="63"/>
      </w:pPr>
    </w:p>
    <w:p>
      <w:pPr>
        <w:pStyle w:val="BodyText"/>
        <w:spacing w:line="242" w:lineRule="auto"/>
        <w:ind w:left="338" w:firstLine="288"/>
      </w:pPr>
      <w:bookmarkStart w:name="Artículo_301" w:id="376"/>
      <w:bookmarkEnd w:id="376"/>
      <w:r>
        <w:rPr/>
      </w:r>
      <w:r>
        <w:rPr>
          <w:rFonts w:ascii="Arial" w:hAnsi="Arial"/>
          <w:b/>
        </w:rPr>
        <w:t>Artículo</w:t>
      </w:r>
      <w:r>
        <w:rPr>
          <w:rFonts w:ascii="Arial" w:hAnsi="Arial"/>
          <w:b/>
          <w:spacing w:val="34"/>
        </w:rPr>
        <w:t> </w:t>
      </w:r>
      <w:r>
        <w:rPr>
          <w:rFonts w:ascii="Arial" w:hAnsi="Arial"/>
          <w:b/>
        </w:rPr>
        <w:t>301.-</w:t>
      </w:r>
      <w:r>
        <w:rPr>
          <w:rFonts w:ascii="Arial" w:hAnsi="Arial"/>
          <w:b/>
          <w:spacing w:val="34"/>
        </w:rPr>
        <w:t> </w:t>
      </w:r>
      <w:r>
        <w:rPr/>
        <w:t>Queda</w:t>
      </w:r>
      <w:r>
        <w:rPr>
          <w:spacing w:val="33"/>
        </w:rPr>
        <w:t> </w:t>
      </w:r>
      <w:r>
        <w:rPr/>
        <w:t>prohibido</w:t>
      </w:r>
      <w:r>
        <w:rPr>
          <w:spacing w:val="33"/>
        </w:rPr>
        <w:t> </w:t>
      </w:r>
      <w:r>
        <w:rPr/>
        <w:t>a</w:t>
      </w:r>
      <w:r>
        <w:rPr>
          <w:spacing w:val="35"/>
        </w:rPr>
        <w:t> </w:t>
      </w:r>
      <w:r>
        <w:rPr/>
        <w:t>los</w:t>
      </w:r>
      <w:r>
        <w:rPr>
          <w:spacing w:val="34"/>
        </w:rPr>
        <w:t> </w:t>
      </w:r>
      <w:r>
        <w:rPr/>
        <w:t>patrones</w:t>
      </w:r>
      <w:r>
        <w:rPr>
          <w:spacing w:val="34"/>
        </w:rPr>
        <w:t> </w:t>
      </w:r>
      <w:r>
        <w:rPr/>
        <w:t>exigir</w:t>
      </w:r>
      <w:r>
        <w:rPr>
          <w:spacing w:val="34"/>
        </w:rPr>
        <w:t> </w:t>
      </w:r>
      <w:r>
        <w:rPr/>
        <w:t>de</w:t>
      </w:r>
      <w:r>
        <w:rPr>
          <w:spacing w:val="33"/>
        </w:rPr>
        <w:t> </w:t>
      </w:r>
      <w:r>
        <w:rPr/>
        <w:t>los</w:t>
      </w:r>
      <w:r>
        <w:rPr>
          <w:spacing w:val="34"/>
        </w:rPr>
        <w:t> </w:t>
      </w:r>
      <w:r>
        <w:rPr/>
        <w:t>deportistas</w:t>
      </w:r>
      <w:r>
        <w:rPr>
          <w:spacing w:val="34"/>
        </w:rPr>
        <w:t> </w:t>
      </w:r>
      <w:r>
        <w:rPr/>
        <w:t>un</w:t>
      </w:r>
      <w:r>
        <w:rPr>
          <w:spacing w:val="33"/>
        </w:rPr>
        <w:t> </w:t>
      </w:r>
      <w:r>
        <w:rPr/>
        <w:t>esfuerzo</w:t>
      </w:r>
      <w:r>
        <w:rPr>
          <w:spacing w:val="33"/>
        </w:rPr>
        <w:t> </w:t>
      </w:r>
      <w:r>
        <w:rPr/>
        <w:t>excesivo</w:t>
      </w:r>
      <w:r>
        <w:rPr>
          <w:spacing w:val="33"/>
        </w:rPr>
        <w:t> </w:t>
      </w:r>
      <w:r>
        <w:rPr/>
        <w:t>que pueda poner en peligro su salud o su vida.</w:t>
      </w:r>
    </w:p>
    <w:p>
      <w:pPr>
        <w:pStyle w:val="BodyText"/>
        <w:spacing w:line="242" w:lineRule="auto" w:before="227"/>
        <w:ind w:left="338" w:firstLine="288"/>
      </w:pPr>
      <w:bookmarkStart w:name="Artículo_302" w:id="377"/>
      <w:bookmarkEnd w:id="377"/>
      <w:r>
        <w:rPr/>
      </w:r>
      <w:r>
        <w:rPr>
          <w:rFonts w:ascii="Arial" w:hAnsi="Arial"/>
          <w:b/>
        </w:rPr>
        <w:t>Artículo</w:t>
      </w:r>
      <w:r>
        <w:rPr>
          <w:rFonts w:ascii="Arial" w:hAnsi="Arial"/>
          <w:b/>
          <w:spacing w:val="34"/>
        </w:rPr>
        <w:t> </w:t>
      </w:r>
      <w:r>
        <w:rPr>
          <w:rFonts w:ascii="Arial" w:hAnsi="Arial"/>
          <w:b/>
        </w:rPr>
        <w:t>302.-</w:t>
      </w:r>
      <w:r>
        <w:rPr>
          <w:rFonts w:ascii="Arial" w:hAnsi="Arial"/>
          <w:b/>
          <w:spacing w:val="35"/>
        </w:rPr>
        <w:t> </w:t>
      </w:r>
      <w:r>
        <w:rPr/>
        <w:t>Las</w:t>
      </w:r>
      <w:r>
        <w:rPr>
          <w:spacing w:val="34"/>
        </w:rPr>
        <w:t> </w:t>
      </w:r>
      <w:r>
        <w:rPr/>
        <w:t>sanciones</w:t>
      </w:r>
      <w:r>
        <w:rPr>
          <w:spacing w:val="35"/>
        </w:rPr>
        <w:t> </w:t>
      </w:r>
      <w:r>
        <w:rPr/>
        <w:t>a</w:t>
      </w:r>
      <w:r>
        <w:rPr>
          <w:spacing w:val="36"/>
        </w:rPr>
        <w:t> </w:t>
      </w:r>
      <w:r>
        <w:rPr/>
        <w:t>los</w:t>
      </w:r>
      <w:r>
        <w:rPr>
          <w:spacing w:val="34"/>
        </w:rPr>
        <w:t> </w:t>
      </w:r>
      <w:r>
        <w:rPr/>
        <w:t>deportistas</w:t>
      </w:r>
      <w:r>
        <w:rPr>
          <w:spacing w:val="34"/>
        </w:rPr>
        <w:t> </w:t>
      </w:r>
      <w:r>
        <w:rPr/>
        <w:t>profesionales</w:t>
      </w:r>
      <w:r>
        <w:rPr>
          <w:spacing w:val="34"/>
        </w:rPr>
        <w:t> </w:t>
      </w:r>
      <w:r>
        <w:rPr/>
        <w:t>se</w:t>
      </w:r>
      <w:r>
        <w:rPr>
          <w:spacing w:val="36"/>
        </w:rPr>
        <w:t> </w:t>
      </w:r>
      <w:r>
        <w:rPr/>
        <w:t>aplicarán</w:t>
      </w:r>
      <w:r>
        <w:rPr>
          <w:spacing w:val="33"/>
        </w:rPr>
        <w:t> </w:t>
      </w:r>
      <w:r>
        <w:rPr/>
        <w:t>de</w:t>
      </w:r>
      <w:r>
        <w:rPr>
          <w:spacing w:val="36"/>
        </w:rPr>
        <w:t> </w:t>
      </w:r>
      <w:r>
        <w:rPr/>
        <w:t>conformidad</w:t>
      </w:r>
      <w:r>
        <w:rPr>
          <w:spacing w:val="33"/>
        </w:rPr>
        <w:t> </w:t>
      </w:r>
      <w:r>
        <w:rPr/>
        <w:t>con</w:t>
      </w:r>
      <w:r>
        <w:rPr>
          <w:spacing w:val="35"/>
        </w:rPr>
        <w:t> </w:t>
      </w:r>
      <w:r>
        <w:rPr/>
        <w:t>los reglamentos a que se refiere el artículo 298, fracción IV.</w:t>
      </w:r>
    </w:p>
    <w:p>
      <w:pPr>
        <w:pStyle w:val="BodyText"/>
        <w:spacing w:before="224"/>
        <w:ind w:left="626"/>
      </w:pPr>
      <w:bookmarkStart w:name="Artículo_303" w:id="378"/>
      <w:bookmarkEnd w:id="378"/>
      <w:r>
        <w:rPr/>
      </w:r>
      <w:r>
        <w:rPr>
          <w:rFonts w:ascii="Arial" w:hAnsi="Arial"/>
          <w:b/>
        </w:rPr>
        <w:t>Artículo</w:t>
      </w:r>
      <w:r>
        <w:rPr>
          <w:rFonts w:ascii="Arial" w:hAnsi="Arial"/>
          <w:b/>
          <w:spacing w:val="-7"/>
        </w:rPr>
        <w:t> </w:t>
      </w:r>
      <w:r>
        <w:rPr>
          <w:rFonts w:ascii="Arial" w:hAnsi="Arial"/>
          <w:b/>
        </w:rPr>
        <w:t>303.-</w:t>
      </w:r>
      <w:r>
        <w:rPr>
          <w:rFonts w:ascii="Arial" w:hAnsi="Arial"/>
          <w:b/>
          <w:spacing w:val="-5"/>
        </w:rPr>
        <w:t> </w:t>
      </w:r>
      <w:r>
        <w:rPr/>
        <w:t>Son</w:t>
      </w:r>
      <w:r>
        <w:rPr>
          <w:spacing w:val="-6"/>
        </w:rPr>
        <w:t> </w:t>
      </w:r>
      <w:r>
        <w:rPr/>
        <w:t>causas</w:t>
      </w:r>
      <w:r>
        <w:rPr>
          <w:spacing w:val="-5"/>
        </w:rPr>
        <w:t> </w:t>
      </w:r>
      <w:r>
        <w:rPr/>
        <w:t>especiales</w:t>
      </w:r>
      <w:r>
        <w:rPr>
          <w:spacing w:val="-7"/>
        </w:rPr>
        <w:t> </w:t>
      </w:r>
      <w:r>
        <w:rPr/>
        <w:t>de</w:t>
      </w:r>
      <w:r>
        <w:rPr>
          <w:spacing w:val="-7"/>
        </w:rPr>
        <w:t> </w:t>
      </w:r>
      <w:r>
        <w:rPr/>
        <w:t>rescisión</w:t>
      </w:r>
      <w:r>
        <w:rPr>
          <w:spacing w:val="-6"/>
        </w:rPr>
        <w:t> </w:t>
      </w:r>
      <w:r>
        <w:rPr/>
        <w:t>y</w:t>
      </w:r>
      <w:r>
        <w:rPr>
          <w:spacing w:val="-9"/>
        </w:rPr>
        <w:t> </w:t>
      </w:r>
      <w:r>
        <w:rPr/>
        <w:t>terminación</w:t>
      </w:r>
      <w:r>
        <w:rPr>
          <w:spacing w:val="-6"/>
        </w:rPr>
        <w:t> </w:t>
      </w:r>
      <w:r>
        <w:rPr/>
        <w:t>de</w:t>
      </w:r>
      <w:r>
        <w:rPr>
          <w:spacing w:val="-7"/>
        </w:rPr>
        <w:t> </w:t>
      </w:r>
      <w:r>
        <w:rPr/>
        <w:t>las</w:t>
      </w:r>
      <w:r>
        <w:rPr>
          <w:spacing w:val="-7"/>
        </w:rPr>
        <w:t> </w:t>
      </w:r>
      <w:r>
        <w:rPr/>
        <w:t>relaciones</w:t>
      </w:r>
      <w:r>
        <w:rPr>
          <w:spacing w:val="-4"/>
        </w:rPr>
        <w:t> </w:t>
      </w:r>
      <w:r>
        <w:rPr/>
        <w:t>de</w:t>
      </w:r>
      <w:r>
        <w:rPr>
          <w:spacing w:val="-2"/>
        </w:rPr>
        <w:t> trabajo;</w:t>
      </w:r>
    </w:p>
    <w:p>
      <w:pPr>
        <w:pStyle w:val="BodyText"/>
        <w:spacing w:before="1"/>
      </w:pPr>
    </w:p>
    <w:p>
      <w:pPr>
        <w:pStyle w:val="ListParagraph"/>
        <w:numPr>
          <w:ilvl w:val="0"/>
          <w:numId w:val="82"/>
        </w:numPr>
        <w:tabs>
          <w:tab w:pos="1195" w:val="left" w:leader="none"/>
        </w:tabs>
        <w:spacing w:line="240" w:lineRule="auto" w:before="0" w:after="0"/>
        <w:ind w:left="1195" w:right="0" w:hanging="569"/>
        <w:jc w:val="left"/>
        <w:rPr>
          <w:sz w:val="20"/>
        </w:rPr>
      </w:pPr>
      <w:r>
        <w:rPr>
          <w:sz w:val="20"/>
        </w:rPr>
        <w:t>La</w:t>
      </w:r>
      <w:r>
        <w:rPr>
          <w:spacing w:val="-9"/>
          <w:sz w:val="20"/>
        </w:rPr>
        <w:t> </w:t>
      </w:r>
      <w:r>
        <w:rPr>
          <w:sz w:val="20"/>
        </w:rPr>
        <w:t>indisciplina</w:t>
      </w:r>
      <w:r>
        <w:rPr>
          <w:spacing w:val="-9"/>
          <w:sz w:val="20"/>
        </w:rPr>
        <w:t> </w:t>
      </w:r>
      <w:r>
        <w:rPr>
          <w:sz w:val="20"/>
        </w:rPr>
        <w:t>grave</w:t>
      </w:r>
      <w:r>
        <w:rPr>
          <w:spacing w:val="-6"/>
          <w:sz w:val="20"/>
        </w:rPr>
        <w:t> </w:t>
      </w:r>
      <w:r>
        <w:rPr>
          <w:sz w:val="20"/>
        </w:rPr>
        <w:t>o</w:t>
      </w:r>
      <w:r>
        <w:rPr>
          <w:spacing w:val="-8"/>
          <w:sz w:val="20"/>
        </w:rPr>
        <w:t> </w:t>
      </w:r>
      <w:r>
        <w:rPr>
          <w:sz w:val="20"/>
        </w:rPr>
        <w:t>las</w:t>
      </w:r>
      <w:r>
        <w:rPr>
          <w:spacing w:val="-7"/>
          <w:sz w:val="20"/>
        </w:rPr>
        <w:t> </w:t>
      </w:r>
      <w:r>
        <w:rPr>
          <w:sz w:val="20"/>
        </w:rPr>
        <w:t>faltas</w:t>
      </w:r>
      <w:r>
        <w:rPr>
          <w:spacing w:val="-7"/>
          <w:sz w:val="20"/>
        </w:rPr>
        <w:t> </w:t>
      </w:r>
      <w:r>
        <w:rPr>
          <w:sz w:val="20"/>
        </w:rPr>
        <w:t>repetidas</w:t>
      </w:r>
      <w:r>
        <w:rPr>
          <w:spacing w:val="-6"/>
          <w:sz w:val="20"/>
        </w:rPr>
        <w:t> </w:t>
      </w:r>
      <w:r>
        <w:rPr>
          <w:sz w:val="20"/>
        </w:rPr>
        <w:t>de</w:t>
      </w:r>
      <w:r>
        <w:rPr>
          <w:spacing w:val="-7"/>
          <w:sz w:val="20"/>
        </w:rPr>
        <w:t> </w:t>
      </w:r>
      <w:r>
        <w:rPr>
          <w:sz w:val="20"/>
        </w:rPr>
        <w:t>indisciplina;</w:t>
      </w:r>
      <w:r>
        <w:rPr>
          <w:spacing w:val="-4"/>
          <w:sz w:val="20"/>
        </w:rPr>
        <w:t> </w:t>
      </w:r>
      <w:r>
        <w:rPr>
          <w:spacing w:val="-10"/>
          <w:sz w:val="20"/>
        </w:rPr>
        <w:t>y</w:t>
      </w:r>
    </w:p>
    <w:p>
      <w:pPr>
        <w:pStyle w:val="BodyText"/>
        <w:spacing w:before="1"/>
      </w:pPr>
    </w:p>
    <w:p>
      <w:pPr>
        <w:pStyle w:val="ListParagraph"/>
        <w:numPr>
          <w:ilvl w:val="0"/>
          <w:numId w:val="82"/>
        </w:numPr>
        <w:tabs>
          <w:tab w:pos="1195" w:val="left" w:leader="none"/>
        </w:tabs>
        <w:spacing w:line="240" w:lineRule="auto" w:before="0" w:after="0"/>
        <w:ind w:left="1195" w:right="0" w:hanging="569"/>
        <w:jc w:val="left"/>
        <w:rPr>
          <w:sz w:val="20"/>
        </w:rPr>
      </w:pPr>
      <w:r>
        <w:rPr>
          <w:sz w:val="20"/>
        </w:rPr>
        <w:t>La</w:t>
      </w:r>
      <w:r>
        <w:rPr>
          <w:spacing w:val="-7"/>
          <w:sz w:val="20"/>
        </w:rPr>
        <w:t> </w:t>
      </w:r>
      <w:r>
        <w:rPr>
          <w:sz w:val="20"/>
        </w:rPr>
        <w:t>pérdida</w:t>
      </w:r>
      <w:r>
        <w:rPr>
          <w:spacing w:val="-6"/>
          <w:sz w:val="20"/>
        </w:rPr>
        <w:t> </w:t>
      </w:r>
      <w:r>
        <w:rPr>
          <w:sz w:val="20"/>
        </w:rPr>
        <w:t>de</w:t>
      </w:r>
      <w:r>
        <w:rPr>
          <w:spacing w:val="-6"/>
          <w:sz w:val="20"/>
        </w:rPr>
        <w:t> </w:t>
      </w:r>
      <w:r>
        <w:rPr>
          <w:spacing w:val="-2"/>
          <w:sz w:val="20"/>
        </w:rPr>
        <w:t>facultades.</w:t>
      </w:r>
    </w:p>
    <w:p>
      <w:pPr>
        <w:pStyle w:val="Heading1"/>
        <w:spacing w:before="227"/>
      </w:pPr>
      <w:r>
        <w:rPr/>
        <w:t>CAPITULO</w:t>
      </w:r>
      <w:r>
        <w:rPr>
          <w:spacing w:val="-7"/>
        </w:rPr>
        <w:t> XI</w:t>
      </w:r>
    </w:p>
    <w:p>
      <w:pPr>
        <w:pStyle w:val="Heading2"/>
        <w:spacing w:before="1"/>
        <w:ind w:left="297"/>
      </w:pPr>
      <w:r>
        <w:rPr/>
        <w:t>Trabajadores</w:t>
      </w:r>
      <w:r>
        <w:rPr>
          <w:spacing w:val="-7"/>
        </w:rPr>
        <w:t> </w:t>
      </w:r>
      <w:r>
        <w:rPr/>
        <w:t>actores</w:t>
      </w:r>
      <w:r>
        <w:rPr>
          <w:spacing w:val="-6"/>
        </w:rPr>
        <w:t> </w:t>
      </w:r>
      <w:r>
        <w:rPr/>
        <w:t>y</w:t>
      </w:r>
      <w:r>
        <w:rPr>
          <w:spacing w:val="-7"/>
        </w:rPr>
        <w:t> </w:t>
      </w:r>
      <w:r>
        <w:rPr>
          <w:spacing w:val="-2"/>
        </w:rPr>
        <w:t>músicos</w:t>
      </w:r>
    </w:p>
    <w:p>
      <w:pPr>
        <w:pStyle w:val="BodyText"/>
        <w:spacing w:before="232"/>
        <w:ind w:left="338" w:right="333" w:firstLine="288"/>
        <w:jc w:val="both"/>
      </w:pPr>
      <w:bookmarkStart w:name="Artículo_304" w:id="379"/>
      <w:bookmarkEnd w:id="379"/>
      <w:r>
        <w:rPr/>
      </w:r>
      <w:r>
        <w:rPr>
          <w:rFonts w:ascii="Arial" w:hAnsi="Arial"/>
          <w:b/>
        </w:rPr>
        <w:t>Artículo</w:t>
      </w:r>
      <w:r>
        <w:rPr>
          <w:rFonts w:ascii="Arial" w:hAnsi="Arial"/>
          <w:b/>
          <w:spacing w:val="-1"/>
        </w:rPr>
        <w:t> </w:t>
      </w:r>
      <w:r>
        <w:rPr>
          <w:rFonts w:ascii="Arial" w:hAnsi="Arial"/>
          <w:b/>
        </w:rPr>
        <w:t>304.-</w:t>
      </w:r>
      <w:r>
        <w:rPr>
          <w:rFonts w:ascii="Arial" w:hAnsi="Arial"/>
          <w:b/>
          <w:spacing w:val="-1"/>
        </w:rPr>
        <w:t> </w:t>
      </w:r>
      <w:r>
        <w:rPr/>
        <w:t>Las</w:t>
      </w:r>
      <w:r>
        <w:rPr>
          <w:spacing w:val="-1"/>
        </w:rPr>
        <w:t> </w:t>
      </w:r>
      <w:r>
        <w:rPr/>
        <w:t>disposiciones</w:t>
      </w:r>
      <w:r>
        <w:rPr>
          <w:spacing w:val="-3"/>
        </w:rPr>
        <w:t> </w:t>
      </w:r>
      <w:r>
        <w:rPr/>
        <w:t>de</w:t>
      </w:r>
      <w:r>
        <w:rPr>
          <w:spacing w:val="-2"/>
        </w:rPr>
        <w:t> </w:t>
      </w:r>
      <w:r>
        <w:rPr/>
        <w:t>este</w:t>
      </w:r>
      <w:r>
        <w:rPr>
          <w:spacing w:val="-2"/>
        </w:rPr>
        <w:t> </w:t>
      </w:r>
      <w:r>
        <w:rPr/>
        <w:t>capítulo</w:t>
      </w:r>
      <w:r>
        <w:rPr>
          <w:spacing w:val="-4"/>
        </w:rPr>
        <w:t> </w:t>
      </w:r>
      <w:r>
        <w:rPr/>
        <w:t>se</w:t>
      </w:r>
      <w:r>
        <w:rPr>
          <w:spacing w:val="-2"/>
        </w:rPr>
        <w:t> </w:t>
      </w:r>
      <w:r>
        <w:rPr/>
        <w:t>aplican</w:t>
      </w:r>
      <w:r>
        <w:rPr>
          <w:spacing w:val="-2"/>
        </w:rPr>
        <w:t> </w:t>
      </w:r>
      <w:r>
        <w:rPr/>
        <w:t>a</w:t>
      </w:r>
      <w:r>
        <w:rPr>
          <w:spacing w:val="-4"/>
        </w:rPr>
        <w:t> </w:t>
      </w:r>
      <w:r>
        <w:rPr/>
        <w:t>los</w:t>
      </w:r>
      <w:r>
        <w:rPr>
          <w:spacing w:val="-3"/>
        </w:rPr>
        <w:t> </w:t>
      </w:r>
      <w:r>
        <w:rPr/>
        <w:t>trabajadores</w:t>
      </w:r>
      <w:r>
        <w:rPr>
          <w:spacing w:val="-3"/>
        </w:rPr>
        <w:t> </w:t>
      </w:r>
      <w:r>
        <w:rPr/>
        <w:t>actores</w:t>
      </w:r>
      <w:r>
        <w:rPr>
          <w:spacing w:val="-1"/>
        </w:rPr>
        <w:t> </w:t>
      </w:r>
      <w:r>
        <w:rPr/>
        <w:t>y</w:t>
      </w:r>
      <w:r>
        <w:rPr>
          <w:spacing w:val="-5"/>
        </w:rPr>
        <w:t> </w:t>
      </w:r>
      <w:r>
        <w:rPr/>
        <w:t>a</w:t>
      </w:r>
      <w:r>
        <w:rPr>
          <w:spacing w:val="-2"/>
        </w:rPr>
        <w:t> </w:t>
      </w:r>
      <w:r>
        <w:rPr/>
        <w:t>los</w:t>
      </w:r>
      <w:r>
        <w:rPr>
          <w:spacing w:val="-1"/>
        </w:rPr>
        <w:t> </w:t>
      </w:r>
      <w:r>
        <w:rPr/>
        <w:t>músicos que actúen en teatros, cines, centros nocturnos o de variedades, circos, radio y televisión, salas de doblaje y grabación, o en cualquier otro local donde se transmita o fotografíe la imagen del actor o del músico o se transmita o quede grabada la voz o la música, cualquiera que sea el procedimiento que se </w:t>
      </w:r>
      <w:r>
        <w:rPr>
          <w:spacing w:val="-4"/>
        </w:rPr>
        <w:t>use.</w:t>
      </w:r>
    </w:p>
    <w:p>
      <w:pPr>
        <w:pStyle w:val="BodyText"/>
      </w:pPr>
    </w:p>
    <w:p>
      <w:pPr>
        <w:pStyle w:val="BodyText"/>
        <w:ind w:left="338" w:right="343" w:firstLine="288"/>
        <w:jc w:val="both"/>
      </w:pPr>
      <w:bookmarkStart w:name="Artículo_305" w:id="380"/>
      <w:bookmarkEnd w:id="380"/>
      <w:r>
        <w:rPr/>
      </w:r>
      <w:r>
        <w:rPr>
          <w:rFonts w:ascii="Arial" w:hAnsi="Arial"/>
          <w:b/>
        </w:rPr>
        <w:t>Artículo 305.- </w:t>
      </w:r>
      <w:r>
        <w:rPr/>
        <w:t>Las relaciones de trabajo pueden ser por tiempo determinado o por tiempo indeterminado, para</w:t>
      </w:r>
      <w:r>
        <w:rPr>
          <w:spacing w:val="-1"/>
        </w:rPr>
        <w:t> </w:t>
      </w:r>
      <w:r>
        <w:rPr/>
        <w:t>varias temporadas</w:t>
      </w:r>
      <w:r>
        <w:rPr>
          <w:spacing w:val="-2"/>
        </w:rPr>
        <w:t> </w:t>
      </w:r>
      <w:r>
        <w:rPr/>
        <w:t>o</w:t>
      </w:r>
      <w:r>
        <w:rPr>
          <w:spacing w:val="-2"/>
        </w:rPr>
        <w:t> </w:t>
      </w:r>
      <w:r>
        <w:rPr/>
        <w:t>para</w:t>
      </w:r>
      <w:r>
        <w:rPr>
          <w:spacing w:val="-2"/>
        </w:rPr>
        <w:t> </w:t>
      </w:r>
      <w:r>
        <w:rPr/>
        <w:t>la</w:t>
      </w:r>
      <w:r>
        <w:rPr>
          <w:spacing w:val="-2"/>
        </w:rPr>
        <w:t> </w:t>
      </w:r>
      <w:r>
        <w:rPr/>
        <w:t>celebración</w:t>
      </w:r>
      <w:r>
        <w:rPr>
          <w:spacing w:val="-1"/>
        </w:rPr>
        <w:t> </w:t>
      </w:r>
      <w:r>
        <w:rPr/>
        <w:t>de</w:t>
      </w:r>
      <w:r>
        <w:rPr>
          <w:spacing w:val="-3"/>
        </w:rPr>
        <w:t> </w:t>
      </w:r>
      <w:r>
        <w:rPr/>
        <w:t>una</w:t>
      </w:r>
      <w:r>
        <w:rPr>
          <w:spacing w:val="-1"/>
        </w:rPr>
        <w:t> </w:t>
      </w:r>
      <w:r>
        <w:rPr/>
        <w:t>o</w:t>
      </w:r>
      <w:r>
        <w:rPr>
          <w:spacing w:val="-2"/>
        </w:rPr>
        <w:t> </w:t>
      </w:r>
      <w:r>
        <w:rPr/>
        <w:t>varias</w:t>
      </w:r>
      <w:r>
        <w:rPr>
          <w:spacing w:val="-2"/>
        </w:rPr>
        <w:t> </w:t>
      </w:r>
      <w:r>
        <w:rPr/>
        <w:t>funciones,</w:t>
      </w:r>
      <w:r>
        <w:rPr>
          <w:spacing w:val="-2"/>
        </w:rPr>
        <w:t> </w:t>
      </w:r>
      <w:r>
        <w:rPr/>
        <w:t>representaciones o actuaciones.</w:t>
      </w:r>
    </w:p>
    <w:p>
      <w:pPr>
        <w:pStyle w:val="BodyText"/>
        <w:spacing w:before="1"/>
      </w:pPr>
    </w:p>
    <w:p>
      <w:pPr>
        <w:pStyle w:val="BodyText"/>
        <w:spacing w:before="1"/>
        <w:ind w:left="626"/>
      </w:pPr>
      <w:r>
        <w:rPr/>
        <w:t>No</w:t>
      </w:r>
      <w:r>
        <w:rPr>
          <w:spacing w:val="-7"/>
        </w:rPr>
        <w:t> </w:t>
      </w:r>
      <w:r>
        <w:rPr/>
        <w:t>es</w:t>
      </w:r>
      <w:r>
        <w:rPr>
          <w:spacing w:val="-6"/>
        </w:rPr>
        <w:t> </w:t>
      </w:r>
      <w:r>
        <w:rPr/>
        <w:t>aplicable</w:t>
      </w:r>
      <w:r>
        <w:rPr>
          <w:spacing w:val="-7"/>
        </w:rPr>
        <w:t> </w:t>
      </w:r>
      <w:r>
        <w:rPr/>
        <w:t>la</w:t>
      </w:r>
      <w:r>
        <w:rPr>
          <w:spacing w:val="-6"/>
        </w:rPr>
        <w:t> </w:t>
      </w:r>
      <w:r>
        <w:rPr/>
        <w:t>disposición</w:t>
      </w:r>
      <w:r>
        <w:rPr>
          <w:spacing w:val="-8"/>
        </w:rPr>
        <w:t> </w:t>
      </w:r>
      <w:r>
        <w:rPr/>
        <w:t>contenida</w:t>
      </w:r>
      <w:r>
        <w:rPr>
          <w:spacing w:val="-6"/>
        </w:rPr>
        <w:t> </w:t>
      </w:r>
      <w:r>
        <w:rPr/>
        <w:t>en</w:t>
      </w:r>
      <w:r>
        <w:rPr>
          <w:spacing w:val="-6"/>
        </w:rPr>
        <w:t> </w:t>
      </w:r>
      <w:r>
        <w:rPr/>
        <w:t>el</w:t>
      </w:r>
      <w:r>
        <w:rPr>
          <w:spacing w:val="-6"/>
        </w:rPr>
        <w:t> </w:t>
      </w:r>
      <w:r>
        <w:rPr/>
        <w:t>artículo</w:t>
      </w:r>
      <w:r>
        <w:rPr>
          <w:spacing w:val="-5"/>
        </w:rPr>
        <w:t> 39.</w:t>
      </w:r>
    </w:p>
    <w:p>
      <w:pPr>
        <w:pStyle w:val="BodyText"/>
        <w:spacing w:line="242" w:lineRule="auto" w:before="228"/>
        <w:ind w:left="338" w:right="348" w:firstLine="288"/>
        <w:jc w:val="both"/>
      </w:pPr>
      <w:bookmarkStart w:name="Artículo_306" w:id="381"/>
      <w:bookmarkEnd w:id="381"/>
      <w:r>
        <w:rPr/>
      </w:r>
      <w:r>
        <w:rPr>
          <w:rFonts w:ascii="Arial" w:hAnsi="Arial"/>
          <w:b/>
        </w:rPr>
        <w:t>Artículo 306.- </w:t>
      </w:r>
      <w:r>
        <w:rPr/>
        <w:t>El</w:t>
      </w:r>
      <w:r>
        <w:rPr>
          <w:spacing w:val="-1"/>
        </w:rPr>
        <w:t> </w:t>
      </w:r>
      <w:r>
        <w:rPr/>
        <w:t>salario podrá</w:t>
      </w:r>
      <w:r>
        <w:rPr>
          <w:spacing w:val="-2"/>
        </w:rPr>
        <w:t> </w:t>
      </w:r>
      <w:r>
        <w:rPr/>
        <w:t>estipularse por unidad de</w:t>
      </w:r>
      <w:r>
        <w:rPr>
          <w:spacing w:val="-3"/>
        </w:rPr>
        <w:t> </w:t>
      </w:r>
      <w:r>
        <w:rPr/>
        <w:t>tiempo,</w:t>
      </w:r>
      <w:r>
        <w:rPr>
          <w:spacing w:val="-2"/>
        </w:rPr>
        <w:t> </w:t>
      </w:r>
      <w:r>
        <w:rPr/>
        <w:t>para una</w:t>
      </w:r>
      <w:r>
        <w:rPr>
          <w:spacing w:val="-2"/>
        </w:rPr>
        <w:t> </w:t>
      </w:r>
      <w:r>
        <w:rPr/>
        <w:t>o varias</w:t>
      </w:r>
      <w:r>
        <w:rPr>
          <w:spacing w:val="-1"/>
        </w:rPr>
        <w:t> </w:t>
      </w:r>
      <w:r>
        <w:rPr/>
        <w:t>temporadas</w:t>
      </w:r>
      <w:r>
        <w:rPr>
          <w:spacing w:val="-1"/>
        </w:rPr>
        <w:t> </w:t>
      </w:r>
      <w:r>
        <w:rPr/>
        <w:t>o para una o varias funciones, representaciones o actuaciones.</w:t>
      </w:r>
    </w:p>
    <w:p>
      <w:pPr>
        <w:pStyle w:val="BodyText"/>
        <w:spacing w:line="242" w:lineRule="auto" w:before="225"/>
        <w:ind w:left="338" w:right="343" w:firstLine="288"/>
        <w:jc w:val="both"/>
      </w:pPr>
      <w:bookmarkStart w:name="Artículo_307" w:id="382"/>
      <w:bookmarkEnd w:id="382"/>
      <w:r>
        <w:rPr/>
      </w:r>
      <w:r>
        <w:rPr>
          <w:rFonts w:ascii="Arial" w:hAnsi="Arial"/>
          <w:b/>
        </w:rPr>
        <w:t>Artículo 307.- </w:t>
      </w:r>
      <w:r>
        <w:rPr/>
        <w:t>No es violatoria del principio de igualdad de salario, la disposición que estipule salarios distintos para trabajos iguales, por razón de la categoría de las funciones, representaciones o actuaciones, o de la de los trabajadores actores y músicos.</w:t>
      </w:r>
    </w:p>
    <w:p>
      <w:pPr>
        <w:pStyle w:val="BodyText"/>
        <w:spacing w:line="242" w:lineRule="auto" w:before="222"/>
        <w:ind w:left="338" w:right="346" w:firstLine="288"/>
        <w:jc w:val="both"/>
      </w:pPr>
      <w:bookmarkStart w:name="Artículo_308" w:id="383"/>
      <w:bookmarkEnd w:id="383"/>
      <w:r>
        <w:rPr/>
      </w:r>
      <w:r>
        <w:rPr>
          <w:rFonts w:ascii="Arial" w:hAnsi="Arial"/>
          <w:b/>
        </w:rPr>
        <w:t>Artículo 308.- </w:t>
      </w:r>
      <w:r>
        <w:rPr/>
        <w:t>Para la prestación de servicios de los trabajadores actores o músicos fuera de la República, se observarán, además de las normas contenidas en el artículo 28, las disposiciones </w:t>
      </w:r>
      <w:r>
        <w:rPr>
          <w:spacing w:val="-2"/>
        </w:rPr>
        <w:t>siguientes:</w:t>
      </w:r>
    </w:p>
    <w:p>
      <w:pPr>
        <w:pStyle w:val="ListParagraph"/>
        <w:numPr>
          <w:ilvl w:val="0"/>
          <w:numId w:val="83"/>
        </w:numPr>
        <w:tabs>
          <w:tab w:pos="1195" w:val="left" w:leader="none"/>
        </w:tabs>
        <w:spacing w:line="242" w:lineRule="auto" w:before="225" w:after="0"/>
        <w:ind w:left="1195" w:right="338" w:hanging="569"/>
        <w:jc w:val="left"/>
        <w:rPr>
          <w:sz w:val="20"/>
        </w:rPr>
      </w:pPr>
      <w:r>
        <w:rPr>
          <w:sz w:val="20"/>
        </w:rPr>
        <w:t>Deberá hacerse un anticipo del</w:t>
      </w:r>
      <w:r>
        <w:rPr>
          <w:spacing w:val="-3"/>
          <w:sz w:val="20"/>
        </w:rPr>
        <w:t> </w:t>
      </w:r>
      <w:r>
        <w:rPr>
          <w:sz w:val="20"/>
        </w:rPr>
        <w:t>salario por el</w:t>
      </w:r>
      <w:r>
        <w:rPr>
          <w:spacing w:val="-1"/>
          <w:sz w:val="20"/>
        </w:rPr>
        <w:t> </w:t>
      </w:r>
      <w:r>
        <w:rPr>
          <w:sz w:val="20"/>
        </w:rPr>
        <w:t>tiempo</w:t>
      </w:r>
      <w:r>
        <w:rPr>
          <w:spacing w:val="-3"/>
          <w:sz w:val="20"/>
        </w:rPr>
        <w:t> </w:t>
      </w:r>
      <w:r>
        <w:rPr>
          <w:sz w:val="20"/>
        </w:rPr>
        <w:t>contratado de un veinticinco por</w:t>
      </w:r>
      <w:r>
        <w:rPr>
          <w:spacing w:val="-1"/>
          <w:sz w:val="20"/>
        </w:rPr>
        <w:t> </w:t>
      </w:r>
      <w:r>
        <w:rPr>
          <w:sz w:val="20"/>
        </w:rPr>
        <w:t>ciento,</w:t>
      </w:r>
      <w:r>
        <w:rPr>
          <w:spacing w:val="-2"/>
          <w:sz w:val="20"/>
        </w:rPr>
        <w:t> </w:t>
      </w:r>
      <w:r>
        <w:rPr>
          <w:sz w:val="20"/>
        </w:rPr>
        <w:t>por lo menos; y</w:t>
      </w:r>
    </w:p>
    <w:p>
      <w:pPr>
        <w:pStyle w:val="ListParagraph"/>
        <w:numPr>
          <w:ilvl w:val="0"/>
          <w:numId w:val="83"/>
        </w:numPr>
        <w:tabs>
          <w:tab w:pos="1195" w:val="left" w:leader="none"/>
        </w:tabs>
        <w:spacing w:line="240" w:lineRule="auto" w:before="225" w:after="0"/>
        <w:ind w:left="1195" w:right="0" w:hanging="569"/>
        <w:jc w:val="left"/>
        <w:rPr>
          <w:sz w:val="20"/>
        </w:rPr>
      </w:pPr>
      <w:r>
        <w:rPr>
          <w:sz w:val="20"/>
        </w:rPr>
        <w:t>Deberá</w:t>
      </w:r>
      <w:r>
        <w:rPr>
          <w:spacing w:val="-6"/>
          <w:sz w:val="20"/>
        </w:rPr>
        <w:t> </w:t>
      </w:r>
      <w:r>
        <w:rPr>
          <w:sz w:val="20"/>
        </w:rPr>
        <w:t>garantizarse</w:t>
      </w:r>
      <w:r>
        <w:rPr>
          <w:spacing w:val="-5"/>
          <w:sz w:val="20"/>
        </w:rPr>
        <w:t> </w:t>
      </w:r>
      <w:r>
        <w:rPr>
          <w:sz w:val="20"/>
        </w:rPr>
        <w:t>el</w:t>
      </w:r>
      <w:r>
        <w:rPr>
          <w:spacing w:val="-6"/>
          <w:sz w:val="20"/>
        </w:rPr>
        <w:t> </w:t>
      </w:r>
      <w:r>
        <w:rPr>
          <w:sz w:val="20"/>
        </w:rPr>
        <w:t>pasaje</w:t>
      </w:r>
      <w:r>
        <w:rPr>
          <w:spacing w:val="-8"/>
          <w:sz w:val="20"/>
        </w:rPr>
        <w:t> </w:t>
      </w:r>
      <w:r>
        <w:rPr>
          <w:sz w:val="20"/>
        </w:rPr>
        <w:t>de</w:t>
      </w:r>
      <w:r>
        <w:rPr>
          <w:spacing w:val="-5"/>
          <w:sz w:val="20"/>
        </w:rPr>
        <w:t> </w:t>
      </w:r>
      <w:r>
        <w:rPr>
          <w:sz w:val="20"/>
        </w:rPr>
        <w:t>ida</w:t>
      </w:r>
      <w:r>
        <w:rPr>
          <w:spacing w:val="-4"/>
          <w:sz w:val="20"/>
        </w:rPr>
        <w:t> </w:t>
      </w:r>
      <w:r>
        <w:rPr>
          <w:sz w:val="20"/>
        </w:rPr>
        <w:t>y</w:t>
      </w:r>
      <w:r>
        <w:rPr>
          <w:spacing w:val="-9"/>
          <w:sz w:val="20"/>
        </w:rPr>
        <w:t> </w:t>
      </w:r>
      <w:r>
        <w:rPr>
          <w:spacing w:val="-2"/>
          <w:sz w:val="20"/>
        </w:rPr>
        <w:t>regreso.</w:t>
      </w:r>
    </w:p>
    <w:p>
      <w:pPr>
        <w:pStyle w:val="BodyText"/>
      </w:pPr>
    </w:p>
    <w:p>
      <w:pPr>
        <w:pStyle w:val="BodyText"/>
        <w:spacing w:line="242" w:lineRule="auto"/>
        <w:ind w:left="338" w:right="339" w:firstLine="288"/>
        <w:jc w:val="both"/>
      </w:pPr>
      <w:bookmarkStart w:name="Artículo_309" w:id="384"/>
      <w:bookmarkEnd w:id="384"/>
      <w:r>
        <w:rPr/>
      </w:r>
      <w:r>
        <w:rPr>
          <w:rFonts w:ascii="Arial" w:hAnsi="Arial"/>
          <w:b/>
        </w:rPr>
        <w:t>Artículo 309.- </w:t>
      </w:r>
      <w:r>
        <w:rPr/>
        <w:t>La prestación de servicios dentro de la República, en lugar diverso de la residencia del trabajador actor o músico, se regirá por las disposiciones contenidas en el artículo anterior, en lo que</w:t>
      </w:r>
      <w:r>
        <w:rPr>
          <w:spacing w:val="40"/>
        </w:rPr>
        <w:t> </w:t>
      </w:r>
      <w:r>
        <w:rPr/>
        <w:t>sean aplicables.</w:t>
      </w:r>
    </w:p>
    <w:p>
      <w:pPr>
        <w:pStyle w:val="BodyText"/>
        <w:spacing w:line="242" w:lineRule="auto" w:before="223"/>
        <w:ind w:left="338" w:right="334" w:firstLine="288"/>
        <w:jc w:val="both"/>
      </w:pPr>
      <w:bookmarkStart w:name="Artículo_310" w:id="385"/>
      <w:bookmarkEnd w:id="385"/>
      <w:r>
        <w:rPr/>
      </w:r>
      <w:r>
        <w:rPr>
          <w:rFonts w:ascii="Arial" w:hAnsi="Arial"/>
          <w:b/>
        </w:rPr>
        <w:t>Artículo 310.- </w:t>
      </w:r>
      <w:r>
        <w:rPr/>
        <w:t>Cuando la naturaleza del trabajo lo requiera, los patrones estarán obligados a proporcionar a los trabajadores actores y músicos camerinos cómodos, higiénicos y seguros, en el local donde se preste el servicio.</w:t>
      </w:r>
    </w:p>
    <w:p>
      <w:pPr>
        <w:pStyle w:val="BodyText"/>
        <w:spacing w:after="0" w:line="242" w:lineRule="auto"/>
        <w:jc w:val="both"/>
        <w:sectPr>
          <w:pgSz w:w="12240" w:h="15840"/>
          <w:pgMar w:header="724" w:footer="712" w:top="1880" w:bottom="900" w:left="1080" w:right="1080"/>
        </w:sectPr>
      </w:pPr>
    </w:p>
    <w:p>
      <w:pPr>
        <w:pStyle w:val="BodyText"/>
        <w:spacing w:before="40"/>
        <w:rPr>
          <w:sz w:val="22"/>
        </w:rPr>
      </w:pPr>
    </w:p>
    <w:p>
      <w:pPr>
        <w:pStyle w:val="Heading1"/>
        <w:spacing w:line="252" w:lineRule="exact"/>
        <w:ind w:left="298"/>
      </w:pPr>
      <w:r>
        <w:rPr/>
        <w:t>CAPITULO</w:t>
      </w:r>
      <w:r>
        <w:rPr>
          <w:spacing w:val="-9"/>
        </w:rPr>
        <w:t> </w:t>
      </w:r>
      <w:r>
        <w:rPr>
          <w:spacing w:val="-5"/>
        </w:rPr>
        <w:t>XII</w:t>
      </w:r>
    </w:p>
    <w:p>
      <w:pPr>
        <w:pStyle w:val="Heading2"/>
        <w:spacing w:line="252" w:lineRule="exact"/>
        <w:ind w:left="297"/>
      </w:pPr>
      <w:r>
        <w:rPr/>
        <w:t>Trabajo</w:t>
      </w:r>
      <w:r>
        <w:rPr>
          <w:spacing w:val="-5"/>
        </w:rPr>
        <w:t> </w:t>
      </w:r>
      <w:r>
        <w:rPr/>
        <w:t>a</w:t>
      </w:r>
      <w:r>
        <w:rPr>
          <w:spacing w:val="-3"/>
        </w:rPr>
        <w:t> </w:t>
      </w:r>
      <w:r>
        <w:rPr>
          <w:spacing w:val="-2"/>
        </w:rPr>
        <w:t>domicilio</w:t>
      </w:r>
    </w:p>
    <w:p>
      <w:pPr>
        <w:pStyle w:val="BodyText"/>
        <w:spacing w:line="242" w:lineRule="auto" w:before="232"/>
        <w:ind w:left="338" w:right="338" w:firstLine="288"/>
        <w:jc w:val="both"/>
      </w:pPr>
      <w:bookmarkStart w:name="Artículo_311" w:id="386"/>
      <w:bookmarkEnd w:id="386"/>
      <w:r>
        <w:rPr/>
      </w:r>
      <w:r>
        <w:rPr>
          <w:rFonts w:ascii="Arial" w:hAnsi="Arial"/>
          <w:b/>
        </w:rPr>
        <w:t>Artículo 311.- </w:t>
      </w:r>
      <w:r>
        <w:rPr/>
        <w:t>Trabajo a domicilio es el que se ejecuta habitualmente para un patrón, en el domicilio del trabajador o en un local libremente elegido por él, sin vigilancia ni dirección inmediata de quien proporciona el trabajo.</w:t>
      </w:r>
    </w:p>
    <w:p>
      <w:pPr>
        <w:pStyle w:val="BodyText"/>
        <w:spacing w:before="225"/>
        <w:ind w:left="338" w:right="349" w:firstLine="288"/>
        <w:jc w:val="both"/>
      </w:pPr>
      <w:r>
        <w:rPr/>
        <w:t>Si el trabajo se ejecuta en condiciones distintas de las señaladas en este artículo se regirá por las disposiciones generales de esta Ley.</w:t>
      </w:r>
    </w:p>
    <w:p>
      <w:pPr>
        <w:spacing w:line="182"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338" w:right="347" w:firstLine="288"/>
        <w:jc w:val="both"/>
      </w:pPr>
      <w:bookmarkStart w:name="Artículo_312" w:id="387"/>
      <w:bookmarkEnd w:id="387"/>
      <w:r>
        <w:rPr/>
      </w:r>
      <w:r>
        <w:rPr>
          <w:rFonts w:ascii="Arial" w:hAnsi="Arial"/>
          <w:b/>
        </w:rPr>
        <w:t>Artículo 312.- </w:t>
      </w:r>
      <w:r>
        <w:rPr/>
        <w:t>El convenio por virtud del cual el patrón venda materias primas u objetos a un trabajador para que éste los transforme o confeccione en su domicilio y posteriormente los venda al mismo patrón, y cualquier otro convenio u operación semejante, constituye trabajo a domicilio.</w:t>
      </w:r>
    </w:p>
    <w:p>
      <w:pPr>
        <w:pStyle w:val="BodyText"/>
      </w:pPr>
    </w:p>
    <w:p>
      <w:pPr>
        <w:pStyle w:val="BodyText"/>
        <w:spacing w:line="242" w:lineRule="auto"/>
        <w:ind w:left="338" w:right="346" w:firstLine="288"/>
        <w:jc w:val="both"/>
      </w:pPr>
      <w:bookmarkStart w:name="Artículo_313" w:id="388"/>
      <w:bookmarkEnd w:id="388"/>
      <w:r>
        <w:rPr/>
      </w:r>
      <w:r>
        <w:rPr>
          <w:rFonts w:ascii="Arial" w:hAnsi="Arial"/>
          <w:b/>
        </w:rPr>
        <w:t>Artículo 313.- </w:t>
      </w:r>
      <w:r>
        <w:rPr/>
        <w:t>Trabajador a domicilio es la persona que trabaja personalmente o con la ayuda de miembros de su familia para un patrón.</w:t>
      </w:r>
    </w:p>
    <w:p>
      <w:pPr>
        <w:pStyle w:val="BodyText"/>
        <w:spacing w:line="242" w:lineRule="auto" w:before="224"/>
        <w:ind w:left="338" w:right="346" w:firstLine="288"/>
        <w:jc w:val="both"/>
      </w:pPr>
      <w:bookmarkStart w:name="Artículo_314" w:id="389"/>
      <w:bookmarkEnd w:id="389"/>
      <w:r>
        <w:rPr/>
      </w:r>
      <w:r>
        <w:rPr>
          <w:rFonts w:ascii="Arial" w:hAnsi="Arial"/>
          <w:b/>
        </w:rPr>
        <w:t>Artículo 314.- </w:t>
      </w:r>
      <w:r>
        <w:rPr/>
        <w:t>Son patrones las personas que dan trabajo a domicilio, sea que suministren o no los útiles o materiales de trabajo y cualquiera que sea la forma de la remuneración.</w:t>
      </w:r>
    </w:p>
    <w:p>
      <w:pPr>
        <w:pStyle w:val="BodyText"/>
        <w:spacing w:line="242" w:lineRule="auto" w:before="227"/>
        <w:ind w:left="338" w:right="350" w:firstLine="288"/>
        <w:jc w:val="both"/>
      </w:pPr>
      <w:bookmarkStart w:name="Artículo_315" w:id="390"/>
      <w:bookmarkEnd w:id="390"/>
      <w:r>
        <w:rPr/>
      </w:r>
      <w:r>
        <w:rPr>
          <w:rFonts w:ascii="Arial" w:hAnsi="Arial"/>
          <w:b/>
        </w:rPr>
        <w:t>Artículo 315.- </w:t>
      </w:r>
      <w:r>
        <w:rPr/>
        <w:t>La simultaneidad de patrones no priva al trabajador a domicilio de los derechos que le concede este capítulo.</w:t>
      </w:r>
    </w:p>
    <w:p>
      <w:pPr>
        <w:pStyle w:val="BodyText"/>
        <w:spacing w:line="242" w:lineRule="auto" w:before="224"/>
        <w:ind w:left="338" w:right="341" w:firstLine="288"/>
        <w:jc w:val="both"/>
      </w:pPr>
      <w:bookmarkStart w:name="Artículo_316" w:id="391"/>
      <w:bookmarkEnd w:id="391"/>
      <w:r>
        <w:rPr/>
      </w:r>
      <w:r>
        <w:rPr>
          <w:rFonts w:ascii="Arial" w:hAnsi="Arial"/>
          <w:b/>
        </w:rPr>
        <w:t>Artículo 316.- </w:t>
      </w:r>
      <w:r>
        <w:rPr/>
        <w:t>Queda prohibida la utilización de intermediarios. En el caso de la empresa que aproveche o venda los productos del trabajo a domicilio, regirá lo dispuesto en el artículo 13.</w:t>
      </w:r>
    </w:p>
    <w:p>
      <w:pPr>
        <w:pStyle w:val="BodyText"/>
        <w:spacing w:before="227"/>
        <w:ind w:left="338" w:right="342" w:firstLine="288"/>
        <w:jc w:val="both"/>
      </w:pPr>
      <w:bookmarkStart w:name="Artículo_317" w:id="392"/>
      <w:bookmarkEnd w:id="392"/>
      <w:r>
        <w:rPr/>
      </w:r>
      <w:r>
        <w:rPr>
          <w:rFonts w:ascii="Arial" w:hAnsi="Arial"/>
          <w:b/>
        </w:rPr>
        <w:t>Artículo 317.- </w:t>
      </w:r>
      <w:r>
        <w:rPr/>
        <w:t>Los patrones que den trabajo a domicilio deberán inscribirse previamente en el</w:t>
      </w:r>
      <w:r>
        <w:rPr>
          <w:spacing w:val="40"/>
        </w:rPr>
        <w:t> </w:t>
      </w:r>
      <w:r>
        <w:rPr/>
        <w:t>Registro de patrones del trabajo a domicilio, que funcionará en la Inspección del Trabajo. En el registro constará el nombre y el domicilio del patrón para el que se ejecutará el trabajo y los demás datos que señalen los reglamentos respectivos.</w:t>
      </w:r>
    </w:p>
    <w:p>
      <w:pPr>
        <w:pStyle w:val="BodyText"/>
      </w:pPr>
    </w:p>
    <w:p>
      <w:pPr>
        <w:pStyle w:val="BodyText"/>
        <w:spacing w:line="242" w:lineRule="auto"/>
        <w:ind w:left="338" w:right="344" w:firstLine="288"/>
        <w:jc w:val="both"/>
      </w:pPr>
      <w:bookmarkStart w:name="Artículo_318" w:id="393"/>
      <w:bookmarkEnd w:id="393"/>
      <w:r>
        <w:rPr/>
      </w:r>
      <w:r>
        <w:rPr>
          <w:rFonts w:ascii="Arial" w:hAnsi="Arial"/>
          <w:b/>
        </w:rPr>
        <w:t>Artículo 318.- </w:t>
      </w:r>
      <w:r>
        <w:rPr/>
        <w:t>Las condiciones de trabajo se harán constar por escrito. Cada una de las partes conservará un ejemplar y el otro será entregado a la Inspección del Trabajo. El escrito contendrá:</w:t>
      </w:r>
    </w:p>
    <w:p>
      <w:pPr>
        <w:pStyle w:val="ListParagraph"/>
        <w:numPr>
          <w:ilvl w:val="0"/>
          <w:numId w:val="84"/>
        </w:numPr>
        <w:tabs>
          <w:tab w:pos="1195" w:val="left" w:leader="none"/>
        </w:tabs>
        <w:spacing w:line="240" w:lineRule="auto" w:before="224" w:after="0"/>
        <w:ind w:left="1195" w:right="0" w:hanging="569"/>
        <w:jc w:val="left"/>
        <w:rPr>
          <w:sz w:val="20"/>
        </w:rPr>
      </w:pPr>
      <w:r>
        <w:rPr>
          <w:sz w:val="20"/>
        </w:rPr>
        <w:t>Nombre,</w:t>
      </w:r>
      <w:r>
        <w:rPr>
          <w:spacing w:val="-7"/>
          <w:sz w:val="20"/>
        </w:rPr>
        <w:t> </w:t>
      </w:r>
      <w:r>
        <w:rPr>
          <w:sz w:val="20"/>
        </w:rPr>
        <w:t>nacionalidad,</w:t>
      </w:r>
      <w:r>
        <w:rPr>
          <w:spacing w:val="-7"/>
          <w:sz w:val="20"/>
        </w:rPr>
        <w:t> </w:t>
      </w:r>
      <w:r>
        <w:rPr>
          <w:sz w:val="20"/>
        </w:rPr>
        <w:t>edad,</w:t>
      </w:r>
      <w:r>
        <w:rPr>
          <w:spacing w:val="-6"/>
          <w:sz w:val="20"/>
        </w:rPr>
        <w:t> </w:t>
      </w:r>
      <w:r>
        <w:rPr>
          <w:sz w:val="20"/>
        </w:rPr>
        <w:t>sexo,</w:t>
      </w:r>
      <w:r>
        <w:rPr>
          <w:spacing w:val="-7"/>
          <w:sz w:val="20"/>
        </w:rPr>
        <w:t> </w:t>
      </w:r>
      <w:r>
        <w:rPr>
          <w:sz w:val="20"/>
        </w:rPr>
        <w:t>estado</w:t>
      </w:r>
      <w:r>
        <w:rPr>
          <w:spacing w:val="-7"/>
          <w:sz w:val="20"/>
        </w:rPr>
        <w:t> </w:t>
      </w:r>
      <w:r>
        <w:rPr>
          <w:sz w:val="20"/>
        </w:rPr>
        <w:t>civil</w:t>
      </w:r>
      <w:r>
        <w:rPr>
          <w:spacing w:val="-3"/>
          <w:sz w:val="20"/>
        </w:rPr>
        <w:t> </w:t>
      </w:r>
      <w:r>
        <w:rPr>
          <w:sz w:val="20"/>
        </w:rPr>
        <w:t>y</w:t>
      </w:r>
      <w:r>
        <w:rPr>
          <w:spacing w:val="-7"/>
          <w:sz w:val="20"/>
        </w:rPr>
        <w:t> </w:t>
      </w:r>
      <w:r>
        <w:rPr>
          <w:sz w:val="20"/>
        </w:rPr>
        <w:t>domicilio</w:t>
      </w:r>
      <w:r>
        <w:rPr>
          <w:spacing w:val="-7"/>
          <w:sz w:val="20"/>
        </w:rPr>
        <w:t> </w:t>
      </w:r>
      <w:r>
        <w:rPr>
          <w:sz w:val="20"/>
        </w:rPr>
        <w:t>del</w:t>
      </w:r>
      <w:r>
        <w:rPr>
          <w:spacing w:val="-7"/>
          <w:sz w:val="20"/>
        </w:rPr>
        <w:t> </w:t>
      </w:r>
      <w:r>
        <w:rPr>
          <w:sz w:val="20"/>
        </w:rPr>
        <w:t>trabajador</w:t>
      </w:r>
      <w:r>
        <w:rPr>
          <w:spacing w:val="-4"/>
          <w:sz w:val="20"/>
        </w:rPr>
        <w:t> </w:t>
      </w:r>
      <w:r>
        <w:rPr>
          <w:sz w:val="20"/>
        </w:rPr>
        <w:t>y</w:t>
      </w:r>
      <w:r>
        <w:rPr>
          <w:spacing w:val="-8"/>
          <w:sz w:val="20"/>
        </w:rPr>
        <w:t> </w:t>
      </w:r>
      <w:r>
        <w:rPr>
          <w:sz w:val="20"/>
        </w:rPr>
        <w:t>del</w:t>
      </w:r>
      <w:r>
        <w:rPr>
          <w:spacing w:val="-7"/>
          <w:sz w:val="20"/>
        </w:rPr>
        <w:t> </w:t>
      </w:r>
      <w:r>
        <w:rPr>
          <w:spacing w:val="-2"/>
          <w:sz w:val="20"/>
        </w:rPr>
        <w:t>patrón;</w:t>
      </w:r>
    </w:p>
    <w:p>
      <w:pPr>
        <w:pStyle w:val="BodyText"/>
        <w:spacing w:before="1"/>
      </w:pPr>
    </w:p>
    <w:p>
      <w:pPr>
        <w:pStyle w:val="ListParagraph"/>
        <w:numPr>
          <w:ilvl w:val="0"/>
          <w:numId w:val="84"/>
        </w:numPr>
        <w:tabs>
          <w:tab w:pos="1195" w:val="left" w:leader="none"/>
        </w:tabs>
        <w:spacing w:line="240" w:lineRule="auto" w:before="0" w:after="0"/>
        <w:ind w:left="1195" w:right="0" w:hanging="569"/>
        <w:jc w:val="left"/>
        <w:rPr>
          <w:sz w:val="20"/>
        </w:rPr>
      </w:pPr>
      <w:r>
        <w:rPr>
          <w:sz w:val="20"/>
        </w:rPr>
        <w:t>Local</w:t>
      </w:r>
      <w:r>
        <w:rPr>
          <w:spacing w:val="-7"/>
          <w:sz w:val="20"/>
        </w:rPr>
        <w:t> </w:t>
      </w:r>
      <w:r>
        <w:rPr>
          <w:sz w:val="20"/>
        </w:rPr>
        <w:t>donde</w:t>
      </w:r>
      <w:r>
        <w:rPr>
          <w:spacing w:val="-8"/>
          <w:sz w:val="20"/>
        </w:rPr>
        <w:t> </w:t>
      </w:r>
      <w:r>
        <w:rPr>
          <w:sz w:val="20"/>
        </w:rPr>
        <w:t>se</w:t>
      </w:r>
      <w:r>
        <w:rPr>
          <w:spacing w:val="-5"/>
          <w:sz w:val="20"/>
        </w:rPr>
        <w:t> </w:t>
      </w:r>
      <w:r>
        <w:rPr>
          <w:sz w:val="20"/>
        </w:rPr>
        <w:t>ejecutará</w:t>
      </w:r>
      <w:r>
        <w:rPr>
          <w:spacing w:val="-5"/>
          <w:sz w:val="20"/>
        </w:rPr>
        <w:t> </w:t>
      </w:r>
      <w:r>
        <w:rPr>
          <w:sz w:val="20"/>
        </w:rPr>
        <w:t>el</w:t>
      </w:r>
      <w:r>
        <w:rPr>
          <w:spacing w:val="-7"/>
          <w:sz w:val="20"/>
        </w:rPr>
        <w:t> </w:t>
      </w:r>
      <w:r>
        <w:rPr>
          <w:spacing w:val="-2"/>
          <w:sz w:val="20"/>
        </w:rPr>
        <w:t>trabajo;</w:t>
      </w:r>
    </w:p>
    <w:p>
      <w:pPr>
        <w:pStyle w:val="BodyText"/>
        <w:spacing w:before="1"/>
      </w:pPr>
    </w:p>
    <w:p>
      <w:pPr>
        <w:pStyle w:val="ListParagraph"/>
        <w:numPr>
          <w:ilvl w:val="0"/>
          <w:numId w:val="84"/>
        </w:numPr>
        <w:tabs>
          <w:tab w:pos="1195" w:val="left" w:leader="none"/>
        </w:tabs>
        <w:spacing w:line="240" w:lineRule="auto" w:before="0" w:after="0"/>
        <w:ind w:left="1195" w:right="0" w:hanging="569"/>
        <w:jc w:val="left"/>
        <w:rPr>
          <w:sz w:val="20"/>
        </w:rPr>
      </w:pPr>
      <w:r>
        <w:rPr>
          <w:sz w:val="20"/>
        </w:rPr>
        <w:t>Naturaleza,</w:t>
      </w:r>
      <w:r>
        <w:rPr>
          <w:spacing w:val="-9"/>
          <w:sz w:val="20"/>
        </w:rPr>
        <w:t> </w:t>
      </w:r>
      <w:r>
        <w:rPr>
          <w:sz w:val="20"/>
        </w:rPr>
        <w:t>calidad</w:t>
      </w:r>
      <w:r>
        <w:rPr>
          <w:spacing w:val="-6"/>
          <w:sz w:val="20"/>
        </w:rPr>
        <w:t> </w:t>
      </w:r>
      <w:r>
        <w:rPr>
          <w:sz w:val="20"/>
        </w:rPr>
        <w:t>y</w:t>
      </w:r>
      <w:r>
        <w:rPr>
          <w:spacing w:val="-11"/>
          <w:sz w:val="20"/>
        </w:rPr>
        <w:t> </w:t>
      </w:r>
      <w:r>
        <w:rPr>
          <w:sz w:val="20"/>
        </w:rPr>
        <w:t>cantidad</w:t>
      </w:r>
      <w:r>
        <w:rPr>
          <w:spacing w:val="-7"/>
          <w:sz w:val="20"/>
        </w:rPr>
        <w:t> </w:t>
      </w:r>
      <w:r>
        <w:rPr>
          <w:sz w:val="20"/>
        </w:rPr>
        <w:t>del</w:t>
      </w:r>
      <w:r>
        <w:rPr>
          <w:spacing w:val="-8"/>
          <w:sz w:val="20"/>
        </w:rPr>
        <w:t> </w:t>
      </w:r>
      <w:r>
        <w:rPr>
          <w:spacing w:val="-2"/>
          <w:sz w:val="20"/>
        </w:rPr>
        <w:t>trabajo;</w:t>
      </w:r>
    </w:p>
    <w:p>
      <w:pPr>
        <w:pStyle w:val="ListParagraph"/>
        <w:numPr>
          <w:ilvl w:val="0"/>
          <w:numId w:val="84"/>
        </w:numPr>
        <w:tabs>
          <w:tab w:pos="1195" w:val="left" w:leader="none"/>
        </w:tabs>
        <w:spacing w:line="240" w:lineRule="auto" w:before="228" w:after="0"/>
        <w:ind w:left="1195" w:right="0" w:hanging="569"/>
        <w:jc w:val="left"/>
        <w:rPr>
          <w:sz w:val="20"/>
        </w:rPr>
      </w:pPr>
      <w:r>
        <w:rPr>
          <w:sz w:val="20"/>
        </w:rPr>
        <w:t>Monto</w:t>
      </w:r>
      <w:r>
        <w:rPr>
          <w:spacing w:val="-6"/>
          <w:sz w:val="20"/>
        </w:rPr>
        <w:t> </w:t>
      </w:r>
      <w:r>
        <w:rPr>
          <w:sz w:val="20"/>
        </w:rPr>
        <w:t>del</w:t>
      </w:r>
      <w:r>
        <w:rPr>
          <w:spacing w:val="-6"/>
          <w:sz w:val="20"/>
        </w:rPr>
        <w:t> </w:t>
      </w:r>
      <w:r>
        <w:rPr>
          <w:sz w:val="20"/>
        </w:rPr>
        <w:t>salario</w:t>
      </w:r>
      <w:r>
        <w:rPr>
          <w:spacing w:val="-3"/>
          <w:sz w:val="20"/>
        </w:rPr>
        <w:t> </w:t>
      </w:r>
      <w:r>
        <w:rPr>
          <w:sz w:val="20"/>
        </w:rPr>
        <w:t>y</w:t>
      </w:r>
      <w:r>
        <w:rPr>
          <w:spacing w:val="-8"/>
          <w:sz w:val="20"/>
        </w:rPr>
        <w:t> </w:t>
      </w:r>
      <w:r>
        <w:rPr>
          <w:sz w:val="20"/>
        </w:rPr>
        <w:t>fecha</w:t>
      </w:r>
      <w:r>
        <w:rPr>
          <w:spacing w:val="-3"/>
          <w:sz w:val="20"/>
        </w:rPr>
        <w:t> </w:t>
      </w:r>
      <w:r>
        <w:rPr>
          <w:sz w:val="20"/>
        </w:rPr>
        <w:t>y</w:t>
      </w:r>
      <w:r>
        <w:rPr>
          <w:spacing w:val="-6"/>
          <w:sz w:val="20"/>
        </w:rPr>
        <w:t> </w:t>
      </w:r>
      <w:r>
        <w:rPr>
          <w:sz w:val="20"/>
        </w:rPr>
        <w:t>lugar</w:t>
      </w:r>
      <w:r>
        <w:rPr>
          <w:spacing w:val="-5"/>
          <w:sz w:val="20"/>
        </w:rPr>
        <w:t> </w:t>
      </w:r>
      <w:r>
        <w:rPr>
          <w:sz w:val="20"/>
        </w:rPr>
        <w:t>de</w:t>
      </w:r>
      <w:r>
        <w:rPr>
          <w:spacing w:val="-4"/>
          <w:sz w:val="20"/>
        </w:rPr>
        <w:t> </w:t>
      </w:r>
      <w:r>
        <w:rPr>
          <w:sz w:val="20"/>
        </w:rPr>
        <w:t>pago;</w:t>
      </w:r>
      <w:r>
        <w:rPr>
          <w:spacing w:val="-1"/>
          <w:sz w:val="20"/>
        </w:rPr>
        <w:t> </w:t>
      </w:r>
      <w:r>
        <w:rPr>
          <w:spacing w:val="-10"/>
          <w:sz w:val="20"/>
        </w:rPr>
        <w:t>y</w:t>
      </w:r>
    </w:p>
    <w:p>
      <w:pPr>
        <w:pStyle w:val="BodyText"/>
        <w:spacing w:before="1"/>
      </w:pPr>
    </w:p>
    <w:p>
      <w:pPr>
        <w:pStyle w:val="ListParagraph"/>
        <w:numPr>
          <w:ilvl w:val="0"/>
          <w:numId w:val="84"/>
        </w:numPr>
        <w:tabs>
          <w:tab w:pos="1195" w:val="left" w:leader="none"/>
        </w:tabs>
        <w:spacing w:line="240" w:lineRule="auto" w:before="1" w:after="0"/>
        <w:ind w:left="1195" w:right="0" w:hanging="569"/>
        <w:jc w:val="left"/>
        <w:rPr>
          <w:sz w:val="20"/>
        </w:rPr>
      </w:pPr>
      <w:r>
        <w:rPr>
          <w:sz w:val="20"/>
        </w:rPr>
        <w:t>Las</w:t>
      </w:r>
      <w:r>
        <w:rPr>
          <w:spacing w:val="-9"/>
          <w:sz w:val="20"/>
        </w:rPr>
        <w:t> </w:t>
      </w:r>
      <w:r>
        <w:rPr>
          <w:sz w:val="20"/>
        </w:rPr>
        <w:t>demás</w:t>
      </w:r>
      <w:r>
        <w:rPr>
          <w:spacing w:val="-8"/>
          <w:sz w:val="20"/>
        </w:rPr>
        <w:t> </w:t>
      </w:r>
      <w:r>
        <w:rPr>
          <w:sz w:val="20"/>
        </w:rPr>
        <w:t>estipulaciones</w:t>
      </w:r>
      <w:r>
        <w:rPr>
          <w:spacing w:val="-6"/>
          <w:sz w:val="20"/>
        </w:rPr>
        <w:t> </w:t>
      </w:r>
      <w:r>
        <w:rPr>
          <w:sz w:val="20"/>
        </w:rPr>
        <w:t>que</w:t>
      </w:r>
      <w:r>
        <w:rPr>
          <w:spacing w:val="-9"/>
          <w:sz w:val="20"/>
        </w:rPr>
        <w:t> </w:t>
      </w:r>
      <w:r>
        <w:rPr>
          <w:sz w:val="20"/>
        </w:rPr>
        <w:t>convengan</w:t>
      </w:r>
      <w:r>
        <w:rPr>
          <w:spacing w:val="-8"/>
          <w:sz w:val="20"/>
        </w:rPr>
        <w:t> </w:t>
      </w:r>
      <w:r>
        <w:rPr>
          <w:sz w:val="20"/>
        </w:rPr>
        <w:t>las</w:t>
      </w:r>
      <w:r>
        <w:rPr>
          <w:spacing w:val="-8"/>
          <w:sz w:val="20"/>
        </w:rPr>
        <w:t> </w:t>
      </w:r>
      <w:r>
        <w:rPr>
          <w:spacing w:val="-2"/>
          <w:sz w:val="20"/>
        </w:rPr>
        <w:t>partes.</w:t>
      </w:r>
    </w:p>
    <w:p>
      <w:pPr>
        <w:pStyle w:val="BodyText"/>
      </w:pPr>
    </w:p>
    <w:p>
      <w:pPr>
        <w:pStyle w:val="BodyText"/>
        <w:ind w:left="338" w:right="331" w:firstLine="288"/>
        <w:jc w:val="both"/>
      </w:pPr>
      <w:bookmarkStart w:name="Artículo_319" w:id="394"/>
      <w:bookmarkEnd w:id="394"/>
      <w:r>
        <w:rPr/>
      </w:r>
      <w:r>
        <w:rPr>
          <w:rFonts w:ascii="Arial" w:hAnsi="Arial"/>
          <w:b/>
        </w:rPr>
        <w:t>Artículo 319.- </w:t>
      </w:r>
      <w:r>
        <w:rPr/>
        <w:t>El escrito a que</w:t>
      </w:r>
      <w:r>
        <w:rPr>
          <w:spacing w:val="-1"/>
        </w:rPr>
        <w:t> </w:t>
      </w:r>
      <w:r>
        <w:rPr/>
        <w:t>se refiere</w:t>
      </w:r>
      <w:r>
        <w:rPr>
          <w:spacing w:val="-1"/>
        </w:rPr>
        <w:t> </w:t>
      </w:r>
      <w:r>
        <w:rPr/>
        <w:t>el</w:t>
      </w:r>
      <w:r>
        <w:rPr>
          <w:spacing w:val="-2"/>
        </w:rPr>
        <w:t> </w:t>
      </w:r>
      <w:r>
        <w:rPr/>
        <w:t>artículo anterior deberá</w:t>
      </w:r>
      <w:r>
        <w:rPr>
          <w:spacing w:val="-1"/>
        </w:rPr>
        <w:t> </w:t>
      </w:r>
      <w:r>
        <w:rPr/>
        <w:t>entregarse por el</w:t>
      </w:r>
      <w:r>
        <w:rPr>
          <w:spacing w:val="-2"/>
        </w:rPr>
        <w:t> </w:t>
      </w:r>
      <w:r>
        <w:rPr/>
        <w:t>patrón,</w:t>
      </w:r>
      <w:r>
        <w:rPr>
          <w:spacing w:val="-1"/>
        </w:rPr>
        <w:t> </w:t>
      </w:r>
      <w:r>
        <w:rPr/>
        <w:t>dentro de un término de tres días hábiles, a la Inspección del Trabajo, la cual, dentro de igual término, procederá a revisarlo bajo su más estricta responsabilidad. En caso de que no estuviese ajustado a la Ley, la Inspección del Trabajo, dentro de tres días, hará a las partes las observaciones correspondientes, a fin</w:t>
      </w:r>
      <w:r>
        <w:rPr>
          <w:spacing w:val="80"/>
        </w:rPr>
        <w:t> </w:t>
      </w:r>
      <w:r>
        <w:rPr/>
        <w:t>de que hagan las modificaciones respectivas. El patrón deberá presentarlo nuevamente a la misma Inspección del Trabajo.</w:t>
      </w:r>
    </w:p>
    <w:p>
      <w:pPr>
        <w:pStyle w:val="BodyText"/>
        <w:spacing w:after="0"/>
        <w:jc w:val="both"/>
        <w:sectPr>
          <w:pgSz w:w="12240" w:h="15840"/>
          <w:pgMar w:header="724" w:footer="712" w:top="1880" w:bottom="900" w:left="1080" w:right="1080"/>
        </w:sectPr>
      </w:pPr>
    </w:p>
    <w:p>
      <w:pPr>
        <w:pStyle w:val="BodyText"/>
        <w:spacing w:before="63"/>
      </w:pPr>
    </w:p>
    <w:p>
      <w:pPr>
        <w:pStyle w:val="BodyText"/>
        <w:spacing w:line="242" w:lineRule="auto"/>
        <w:ind w:left="338" w:right="344" w:firstLine="288"/>
        <w:jc w:val="both"/>
      </w:pPr>
      <w:bookmarkStart w:name="Artículo_320" w:id="395"/>
      <w:bookmarkEnd w:id="395"/>
      <w:r>
        <w:rPr/>
      </w:r>
      <w:r>
        <w:rPr>
          <w:rFonts w:ascii="Arial" w:hAnsi="Arial"/>
          <w:b/>
        </w:rPr>
        <w:t>Artículo 320.- </w:t>
      </w:r>
      <w:r>
        <w:rPr/>
        <w:t>Los patrones están obligados a llevar un Libro de registro de trabajadores a domicilio, autorizado por la Inspección del Trabajo, en el que constarán los datos siguientes:</w:t>
      </w:r>
    </w:p>
    <w:p>
      <w:pPr>
        <w:pStyle w:val="ListParagraph"/>
        <w:numPr>
          <w:ilvl w:val="0"/>
          <w:numId w:val="85"/>
        </w:numPr>
        <w:tabs>
          <w:tab w:pos="1195" w:val="left" w:leader="none"/>
        </w:tabs>
        <w:spacing w:line="242" w:lineRule="auto" w:before="227" w:after="0"/>
        <w:ind w:left="1195" w:right="348" w:hanging="569"/>
        <w:jc w:val="left"/>
        <w:rPr>
          <w:sz w:val="20"/>
        </w:rPr>
      </w:pPr>
      <w:r>
        <w:rPr>
          <w:sz w:val="20"/>
        </w:rPr>
        <w:t>Nombre,</w:t>
      </w:r>
      <w:r>
        <w:rPr>
          <w:spacing w:val="40"/>
          <w:sz w:val="20"/>
        </w:rPr>
        <w:t> </w:t>
      </w:r>
      <w:r>
        <w:rPr>
          <w:sz w:val="20"/>
        </w:rPr>
        <w:t>nacionalidad,</w:t>
      </w:r>
      <w:r>
        <w:rPr>
          <w:spacing w:val="40"/>
          <w:sz w:val="20"/>
        </w:rPr>
        <w:t> </w:t>
      </w:r>
      <w:r>
        <w:rPr>
          <w:sz w:val="20"/>
        </w:rPr>
        <w:t>edad,</w:t>
      </w:r>
      <w:r>
        <w:rPr>
          <w:spacing w:val="40"/>
          <w:sz w:val="20"/>
        </w:rPr>
        <w:t> </w:t>
      </w:r>
      <w:r>
        <w:rPr>
          <w:sz w:val="20"/>
        </w:rPr>
        <w:t>sexo,</w:t>
      </w:r>
      <w:r>
        <w:rPr>
          <w:spacing w:val="40"/>
          <w:sz w:val="20"/>
        </w:rPr>
        <w:t> </w:t>
      </w:r>
      <w:r>
        <w:rPr>
          <w:sz w:val="20"/>
        </w:rPr>
        <w:t>estado</w:t>
      </w:r>
      <w:r>
        <w:rPr>
          <w:spacing w:val="40"/>
          <w:sz w:val="20"/>
        </w:rPr>
        <w:t> </w:t>
      </w:r>
      <w:r>
        <w:rPr>
          <w:sz w:val="20"/>
        </w:rPr>
        <w:t>civil</w:t>
      </w:r>
      <w:r>
        <w:rPr>
          <w:spacing w:val="40"/>
          <w:sz w:val="20"/>
        </w:rPr>
        <w:t> </w:t>
      </w:r>
      <w:r>
        <w:rPr>
          <w:sz w:val="20"/>
        </w:rPr>
        <w:t>del</w:t>
      </w:r>
      <w:r>
        <w:rPr>
          <w:spacing w:val="40"/>
          <w:sz w:val="20"/>
        </w:rPr>
        <w:t> </w:t>
      </w:r>
      <w:r>
        <w:rPr>
          <w:sz w:val="20"/>
        </w:rPr>
        <w:t>trabajador</w:t>
      </w:r>
      <w:r>
        <w:rPr>
          <w:spacing w:val="40"/>
          <w:sz w:val="20"/>
        </w:rPr>
        <w:t> </w:t>
      </w:r>
      <w:r>
        <w:rPr>
          <w:sz w:val="20"/>
        </w:rPr>
        <w:t>y</w:t>
      </w:r>
      <w:r>
        <w:rPr>
          <w:spacing w:val="40"/>
          <w:sz w:val="20"/>
        </w:rPr>
        <w:t> </w:t>
      </w:r>
      <w:r>
        <w:rPr>
          <w:sz w:val="20"/>
        </w:rPr>
        <w:t>domicilio</w:t>
      </w:r>
      <w:r>
        <w:rPr>
          <w:spacing w:val="40"/>
          <w:sz w:val="20"/>
        </w:rPr>
        <w:t> </w:t>
      </w:r>
      <w:r>
        <w:rPr>
          <w:sz w:val="20"/>
        </w:rPr>
        <w:t>o</w:t>
      </w:r>
      <w:r>
        <w:rPr>
          <w:spacing w:val="40"/>
          <w:sz w:val="20"/>
        </w:rPr>
        <w:t> </w:t>
      </w:r>
      <w:r>
        <w:rPr>
          <w:sz w:val="20"/>
        </w:rPr>
        <w:t>local</w:t>
      </w:r>
      <w:r>
        <w:rPr>
          <w:spacing w:val="40"/>
          <w:sz w:val="20"/>
        </w:rPr>
        <w:t> </w:t>
      </w:r>
      <w:r>
        <w:rPr>
          <w:sz w:val="20"/>
        </w:rPr>
        <w:t>donde</w:t>
      </w:r>
      <w:r>
        <w:rPr>
          <w:spacing w:val="40"/>
          <w:sz w:val="20"/>
        </w:rPr>
        <w:t> </w:t>
      </w:r>
      <w:r>
        <w:rPr>
          <w:sz w:val="20"/>
        </w:rPr>
        <w:t>se ejecute el trabajo;</w:t>
      </w:r>
    </w:p>
    <w:p>
      <w:pPr>
        <w:pStyle w:val="ListParagraph"/>
        <w:numPr>
          <w:ilvl w:val="0"/>
          <w:numId w:val="85"/>
        </w:numPr>
        <w:tabs>
          <w:tab w:pos="1195" w:val="left" w:leader="none"/>
        </w:tabs>
        <w:spacing w:line="240" w:lineRule="auto" w:before="224" w:after="0"/>
        <w:ind w:left="1195" w:right="0" w:hanging="569"/>
        <w:jc w:val="left"/>
        <w:rPr>
          <w:sz w:val="20"/>
        </w:rPr>
      </w:pPr>
      <w:r>
        <w:rPr>
          <w:sz w:val="20"/>
        </w:rPr>
        <w:t>Días</w:t>
      </w:r>
      <w:r>
        <w:rPr>
          <w:spacing w:val="-3"/>
          <w:sz w:val="20"/>
        </w:rPr>
        <w:t> </w:t>
      </w:r>
      <w:r>
        <w:rPr>
          <w:sz w:val="20"/>
        </w:rPr>
        <w:t>y</w:t>
      </w:r>
      <w:r>
        <w:rPr>
          <w:spacing w:val="-6"/>
          <w:sz w:val="20"/>
        </w:rPr>
        <w:t> </w:t>
      </w:r>
      <w:r>
        <w:rPr>
          <w:sz w:val="20"/>
        </w:rPr>
        <w:t>horario</w:t>
      </w:r>
      <w:r>
        <w:rPr>
          <w:spacing w:val="-6"/>
          <w:sz w:val="20"/>
        </w:rPr>
        <w:t> </w:t>
      </w:r>
      <w:r>
        <w:rPr>
          <w:sz w:val="20"/>
        </w:rPr>
        <w:t>para</w:t>
      </w:r>
      <w:r>
        <w:rPr>
          <w:spacing w:val="-5"/>
          <w:sz w:val="20"/>
        </w:rPr>
        <w:t> </w:t>
      </w:r>
      <w:r>
        <w:rPr>
          <w:sz w:val="20"/>
        </w:rPr>
        <w:t>la</w:t>
      </w:r>
      <w:r>
        <w:rPr>
          <w:spacing w:val="-6"/>
          <w:sz w:val="20"/>
        </w:rPr>
        <w:t> </w:t>
      </w:r>
      <w:r>
        <w:rPr>
          <w:sz w:val="20"/>
        </w:rPr>
        <w:t>entrega</w:t>
      </w:r>
      <w:r>
        <w:rPr>
          <w:spacing w:val="-1"/>
          <w:sz w:val="20"/>
        </w:rPr>
        <w:t> </w:t>
      </w:r>
      <w:r>
        <w:rPr>
          <w:sz w:val="20"/>
        </w:rPr>
        <w:t>y</w:t>
      </w:r>
      <w:r>
        <w:rPr>
          <w:spacing w:val="-8"/>
          <w:sz w:val="20"/>
        </w:rPr>
        <w:t> </w:t>
      </w:r>
      <w:r>
        <w:rPr>
          <w:sz w:val="20"/>
        </w:rPr>
        <w:t>recepción</w:t>
      </w:r>
      <w:r>
        <w:rPr>
          <w:spacing w:val="-5"/>
          <w:sz w:val="20"/>
        </w:rPr>
        <w:t> </w:t>
      </w:r>
      <w:r>
        <w:rPr>
          <w:sz w:val="20"/>
        </w:rPr>
        <w:t>del</w:t>
      </w:r>
      <w:r>
        <w:rPr>
          <w:spacing w:val="-4"/>
          <w:sz w:val="20"/>
        </w:rPr>
        <w:t> </w:t>
      </w:r>
      <w:r>
        <w:rPr>
          <w:sz w:val="20"/>
        </w:rPr>
        <w:t>trabajo</w:t>
      </w:r>
      <w:r>
        <w:rPr>
          <w:spacing w:val="-4"/>
          <w:sz w:val="20"/>
        </w:rPr>
        <w:t> </w:t>
      </w:r>
      <w:r>
        <w:rPr>
          <w:sz w:val="20"/>
        </w:rPr>
        <w:t>y</w:t>
      </w:r>
      <w:r>
        <w:rPr>
          <w:spacing w:val="-6"/>
          <w:sz w:val="20"/>
        </w:rPr>
        <w:t> </w:t>
      </w:r>
      <w:r>
        <w:rPr>
          <w:sz w:val="20"/>
        </w:rPr>
        <w:t>para</w:t>
      </w:r>
      <w:r>
        <w:rPr>
          <w:spacing w:val="-6"/>
          <w:sz w:val="20"/>
        </w:rPr>
        <w:t> </w:t>
      </w:r>
      <w:r>
        <w:rPr>
          <w:sz w:val="20"/>
        </w:rPr>
        <w:t>el</w:t>
      </w:r>
      <w:r>
        <w:rPr>
          <w:spacing w:val="-6"/>
          <w:sz w:val="20"/>
        </w:rPr>
        <w:t> </w:t>
      </w:r>
      <w:r>
        <w:rPr>
          <w:sz w:val="20"/>
        </w:rPr>
        <w:t>pago</w:t>
      </w:r>
      <w:r>
        <w:rPr>
          <w:spacing w:val="-5"/>
          <w:sz w:val="20"/>
        </w:rPr>
        <w:t> </w:t>
      </w:r>
      <w:r>
        <w:rPr>
          <w:sz w:val="20"/>
        </w:rPr>
        <w:t>de</w:t>
      </w:r>
      <w:r>
        <w:rPr>
          <w:spacing w:val="-4"/>
          <w:sz w:val="20"/>
        </w:rPr>
        <w:t> </w:t>
      </w:r>
      <w:r>
        <w:rPr>
          <w:sz w:val="20"/>
        </w:rPr>
        <w:t>los</w:t>
      </w:r>
      <w:r>
        <w:rPr>
          <w:spacing w:val="-4"/>
          <w:sz w:val="20"/>
        </w:rPr>
        <w:t> </w:t>
      </w:r>
      <w:r>
        <w:rPr>
          <w:spacing w:val="-2"/>
          <w:sz w:val="20"/>
        </w:rPr>
        <w:t>salarios;</w:t>
      </w:r>
    </w:p>
    <w:p>
      <w:pPr>
        <w:pStyle w:val="BodyText"/>
      </w:pPr>
    </w:p>
    <w:p>
      <w:pPr>
        <w:pStyle w:val="ListParagraph"/>
        <w:numPr>
          <w:ilvl w:val="0"/>
          <w:numId w:val="85"/>
        </w:numPr>
        <w:tabs>
          <w:tab w:pos="1195" w:val="left" w:leader="none"/>
        </w:tabs>
        <w:spacing w:line="240" w:lineRule="auto" w:before="1" w:after="0"/>
        <w:ind w:left="1195" w:right="0" w:hanging="569"/>
        <w:jc w:val="left"/>
        <w:rPr>
          <w:sz w:val="20"/>
        </w:rPr>
      </w:pPr>
      <w:r>
        <w:rPr>
          <w:sz w:val="20"/>
        </w:rPr>
        <w:t>Naturaleza,</w:t>
      </w:r>
      <w:r>
        <w:rPr>
          <w:spacing w:val="-9"/>
          <w:sz w:val="20"/>
        </w:rPr>
        <w:t> </w:t>
      </w:r>
      <w:r>
        <w:rPr>
          <w:sz w:val="20"/>
        </w:rPr>
        <w:t>calidad</w:t>
      </w:r>
      <w:r>
        <w:rPr>
          <w:spacing w:val="-6"/>
          <w:sz w:val="20"/>
        </w:rPr>
        <w:t> </w:t>
      </w:r>
      <w:r>
        <w:rPr>
          <w:sz w:val="20"/>
        </w:rPr>
        <w:t>y</w:t>
      </w:r>
      <w:r>
        <w:rPr>
          <w:spacing w:val="-11"/>
          <w:sz w:val="20"/>
        </w:rPr>
        <w:t> </w:t>
      </w:r>
      <w:r>
        <w:rPr>
          <w:sz w:val="20"/>
        </w:rPr>
        <w:t>cantidad</w:t>
      </w:r>
      <w:r>
        <w:rPr>
          <w:spacing w:val="-7"/>
          <w:sz w:val="20"/>
        </w:rPr>
        <w:t> </w:t>
      </w:r>
      <w:r>
        <w:rPr>
          <w:sz w:val="20"/>
        </w:rPr>
        <w:t>del</w:t>
      </w:r>
      <w:r>
        <w:rPr>
          <w:spacing w:val="-8"/>
          <w:sz w:val="20"/>
        </w:rPr>
        <w:t> </w:t>
      </w:r>
      <w:r>
        <w:rPr>
          <w:spacing w:val="-2"/>
          <w:sz w:val="20"/>
        </w:rPr>
        <w:t>trabajo;</w:t>
      </w:r>
    </w:p>
    <w:p>
      <w:pPr>
        <w:pStyle w:val="BodyText"/>
      </w:pPr>
    </w:p>
    <w:p>
      <w:pPr>
        <w:pStyle w:val="ListParagraph"/>
        <w:numPr>
          <w:ilvl w:val="0"/>
          <w:numId w:val="85"/>
        </w:numPr>
        <w:tabs>
          <w:tab w:pos="1195" w:val="left" w:leader="none"/>
        </w:tabs>
        <w:spacing w:line="242" w:lineRule="auto" w:before="0" w:after="0"/>
        <w:ind w:left="1195" w:right="331" w:hanging="569"/>
        <w:jc w:val="left"/>
        <w:rPr>
          <w:sz w:val="20"/>
        </w:rPr>
      </w:pPr>
      <w:r>
        <w:rPr>
          <w:sz w:val="20"/>
        </w:rPr>
        <w:t>Materiales</w:t>
      </w:r>
      <w:r>
        <w:rPr>
          <w:spacing w:val="23"/>
          <w:sz w:val="20"/>
        </w:rPr>
        <w:t> </w:t>
      </w:r>
      <w:r>
        <w:rPr>
          <w:sz w:val="20"/>
        </w:rPr>
        <w:t>y útiles</w:t>
      </w:r>
      <w:r>
        <w:rPr>
          <w:spacing w:val="21"/>
          <w:sz w:val="20"/>
        </w:rPr>
        <w:t> </w:t>
      </w:r>
      <w:r>
        <w:rPr>
          <w:sz w:val="20"/>
        </w:rPr>
        <w:t>que</w:t>
      </w:r>
      <w:r>
        <w:rPr>
          <w:spacing w:val="20"/>
          <w:sz w:val="20"/>
        </w:rPr>
        <w:t> </w:t>
      </w:r>
      <w:r>
        <w:rPr>
          <w:sz w:val="20"/>
        </w:rPr>
        <w:t>en</w:t>
      </w:r>
      <w:r>
        <w:rPr>
          <w:spacing w:val="22"/>
          <w:sz w:val="20"/>
        </w:rPr>
        <w:t> </w:t>
      </w:r>
      <w:r>
        <w:rPr>
          <w:sz w:val="20"/>
        </w:rPr>
        <w:t>cada</w:t>
      </w:r>
      <w:r>
        <w:rPr>
          <w:spacing w:val="20"/>
          <w:sz w:val="20"/>
        </w:rPr>
        <w:t> </w:t>
      </w:r>
      <w:r>
        <w:rPr>
          <w:sz w:val="20"/>
        </w:rPr>
        <w:t>ocasión</w:t>
      </w:r>
      <w:r>
        <w:rPr>
          <w:spacing w:val="19"/>
          <w:sz w:val="20"/>
        </w:rPr>
        <w:t> </w:t>
      </w:r>
      <w:r>
        <w:rPr>
          <w:sz w:val="20"/>
        </w:rPr>
        <w:t>se</w:t>
      </w:r>
      <w:r>
        <w:rPr>
          <w:spacing w:val="20"/>
          <w:sz w:val="20"/>
        </w:rPr>
        <w:t> </w:t>
      </w:r>
      <w:r>
        <w:rPr>
          <w:sz w:val="20"/>
        </w:rPr>
        <w:t>proporcionen</w:t>
      </w:r>
      <w:r>
        <w:rPr>
          <w:spacing w:val="20"/>
          <w:sz w:val="20"/>
        </w:rPr>
        <w:t> </w:t>
      </w:r>
      <w:r>
        <w:rPr>
          <w:sz w:val="20"/>
        </w:rPr>
        <w:t>al</w:t>
      </w:r>
      <w:r>
        <w:rPr>
          <w:spacing w:val="19"/>
          <w:sz w:val="20"/>
        </w:rPr>
        <w:t> </w:t>
      </w:r>
      <w:r>
        <w:rPr>
          <w:sz w:val="20"/>
        </w:rPr>
        <w:t>trabajador,</w:t>
      </w:r>
      <w:r>
        <w:rPr>
          <w:spacing w:val="23"/>
          <w:sz w:val="20"/>
        </w:rPr>
        <w:t> </w:t>
      </w:r>
      <w:r>
        <w:rPr>
          <w:sz w:val="20"/>
        </w:rPr>
        <w:t>valor</w:t>
      </w:r>
      <w:r>
        <w:rPr>
          <w:spacing w:val="20"/>
          <w:sz w:val="20"/>
        </w:rPr>
        <w:t> </w:t>
      </w:r>
      <w:r>
        <w:rPr>
          <w:sz w:val="20"/>
        </w:rPr>
        <w:t>de</w:t>
      </w:r>
      <w:r>
        <w:rPr>
          <w:spacing w:val="22"/>
          <w:sz w:val="20"/>
        </w:rPr>
        <w:t> </w:t>
      </w:r>
      <w:r>
        <w:rPr>
          <w:sz w:val="20"/>
        </w:rPr>
        <w:t>los</w:t>
      </w:r>
      <w:r>
        <w:rPr>
          <w:spacing w:val="21"/>
          <w:sz w:val="20"/>
        </w:rPr>
        <w:t> </w:t>
      </w:r>
      <w:r>
        <w:rPr>
          <w:sz w:val="20"/>
        </w:rPr>
        <w:t>mismos</w:t>
      </w:r>
      <w:r>
        <w:rPr>
          <w:spacing w:val="21"/>
          <w:sz w:val="20"/>
        </w:rPr>
        <w:t> </w:t>
      </w:r>
      <w:r>
        <w:rPr>
          <w:sz w:val="20"/>
        </w:rPr>
        <w:t>y forma de pago de los objetos perdidos o deteriorados por culpa del trabajador;</w:t>
      </w:r>
    </w:p>
    <w:p>
      <w:pPr>
        <w:pStyle w:val="ListParagraph"/>
        <w:numPr>
          <w:ilvl w:val="0"/>
          <w:numId w:val="85"/>
        </w:numPr>
        <w:tabs>
          <w:tab w:pos="1195" w:val="left" w:leader="none"/>
        </w:tabs>
        <w:spacing w:line="240" w:lineRule="auto" w:before="225" w:after="0"/>
        <w:ind w:left="1195" w:right="0" w:hanging="569"/>
        <w:jc w:val="left"/>
        <w:rPr>
          <w:sz w:val="20"/>
        </w:rPr>
      </w:pPr>
      <w:r>
        <w:rPr>
          <w:sz w:val="20"/>
        </w:rPr>
        <w:t>Forma</w:t>
      </w:r>
      <w:r>
        <w:rPr>
          <w:spacing w:val="-4"/>
          <w:sz w:val="20"/>
        </w:rPr>
        <w:t> </w:t>
      </w:r>
      <w:r>
        <w:rPr>
          <w:sz w:val="20"/>
        </w:rPr>
        <w:t>y</w:t>
      </w:r>
      <w:r>
        <w:rPr>
          <w:spacing w:val="-8"/>
          <w:sz w:val="20"/>
        </w:rPr>
        <w:t> </w:t>
      </w:r>
      <w:r>
        <w:rPr>
          <w:sz w:val="20"/>
        </w:rPr>
        <w:t>monto</w:t>
      </w:r>
      <w:r>
        <w:rPr>
          <w:spacing w:val="-6"/>
          <w:sz w:val="20"/>
        </w:rPr>
        <w:t> </w:t>
      </w:r>
      <w:r>
        <w:rPr>
          <w:sz w:val="20"/>
        </w:rPr>
        <w:t>del</w:t>
      </w:r>
      <w:r>
        <w:rPr>
          <w:spacing w:val="-6"/>
          <w:sz w:val="20"/>
        </w:rPr>
        <w:t> </w:t>
      </w:r>
      <w:r>
        <w:rPr>
          <w:sz w:val="20"/>
        </w:rPr>
        <w:t>salario;</w:t>
      </w:r>
      <w:r>
        <w:rPr>
          <w:spacing w:val="-4"/>
          <w:sz w:val="20"/>
        </w:rPr>
        <w:t> </w:t>
      </w:r>
      <w:r>
        <w:rPr>
          <w:spacing w:val="-10"/>
          <w:sz w:val="20"/>
        </w:rPr>
        <w:t>y</w:t>
      </w:r>
    </w:p>
    <w:p>
      <w:pPr>
        <w:pStyle w:val="BodyText"/>
        <w:spacing w:before="1"/>
      </w:pPr>
    </w:p>
    <w:p>
      <w:pPr>
        <w:pStyle w:val="ListParagraph"/>
        <w:numPr>
          <w:ilvl w:val="0"/>
          <w:numId w:val="85"/>
        </w:numPr>
        <w:tabs>
          <w:tab w:pos="1195" w:val="left" w:leader="none"/>
        </w:tabs>
        <w:spacing w:line="240" w:lineRule="auto" w:before="0" w:after="0"/>
        <w:ind w:left="1195" w:right="0" w:hanging="569"/>
        <w:jc w:val="left"/>
        <w:rPr>
          <w:sz w:val="20"/>
        </w:rPr>
      </w:pPr>
      <w:r>
        <w:rPr>
          <w:sz w:val="20"/>
        </w:rPr>
        <w:t>Los</w:t>
      </w:r>
      <w:r>
        <w:rPr>
          <w:spacing w:val="-6"/>
          <w:sz w:val="20"/>
        </w:rPr>
        <w:t> </w:t>
      </w:r>
      <w:r>
        <w:rPr>
          <w:sz w:val="20"/>
        </w:rPr>
        <w:t>demás</w:t>
      </w:r>
      <w:r>
        <w:rPr>
          <w:spacing w:val="-5"/>
          <w:sz w:val="20"/>
        </w:rPr>
        <w:t> </w:t>
      </w:r>
      <w:r>
        <w:rPr>
          <w:sz w:val="20"/>
        </w:rPr>
        <w:t>datos</w:t>
      </w:r>
      <w:r>
        <w:rPr>
          <w:spacing w:val="-5"/>
          <w:sz w:val="20"/>
        </w:rPr>
        <w:t> </w:t>
      </w:r>
      <w:r>
        <w:rPr>
          <w:sz w:val="20"/>
        </w:rPr>
        <w:t>que</w:t>
      </w:r>
      <w:r>
        <w:rPr>
          <w:spacing w:val="-7"/>
          <w:sz w:val="20"/>
        </w:rPr>
        <w:t> </w:t>
      </w:r>
      <w:r>
        <w:rPr>
          <w:sz w:val="20"/>
        </w:rPr>
        <w:t>señalen</w:t>
      </w:r>
      <w:r>
        <w:rPr>
          <w:spacing w:val="-7"/>
          <w:sz w:val="20"/>
        </w:rPr>
        <w:t> </w:t>
      </w:r>
      <w:r>
        <w:rPr>
          <w:sz w:val="20"/>
        </w:rPr>
        <w:t>los</w:t>
      </w:r>
      <w:r>
        <w:rPr>
          <w:spacing w:val="-6"/>
          <w:sz w:val="20"/>
        </w:rPr>
        <w:t> </w:t>
      </w:r>
      <w:r>
        <w:rPr>
          <w:spacing w:val="-2"/>
          <w:sz w:val="20"/>
        </w:rPr>
        <w:t>reglamentos.</w:t>
      </w:r>
    </w:p>
    <w:p>
      <w:pPr>
        <w:pStyle w:val="BodyText"/>
        <w:spacing w:before="1"/>
      </w:pPr>
    </w:p>
    <w:p>
      <w:pPr>
        <w:pStyle w:val="BodyText"/>
        <w:ind w:left="626"/>
      </w:pPr>
      <w:r>
        <w:rPr/>
        <w:t>Los</w:t>
      </w:r>
      <w:r>
        <w:rPr>
          <w:spacing w:val="-7"/>
        </w:rPr>
        <w:t> </w:t>
      </w:r>
      <w:r>
        <w:rPr/>
        <w:t>libros</w:t>
      </w:r>
      <w:r>
        <w:rPr>
          <w:spacing w:val="-6"/>
        </w:rPr>
        <w:t> </w:t>
      </w:r>
      <w:r>
        <w:rPr/>
        <w:t>estarán</w:t>
      </w:r>
      <w:r>
        <w:rPr>
          <w:spacing w:val="-8"/>
        </w:rPr>
        <w:t> </w:t>
      </w:r>
      <w:r>
        <w:rPr/>
        <w:t>permanentemente</w:t>
      </w:r>
      <w:r>
        <w:rPr>
          <w:spacing w:val="-8"/>
        </w:rPr>
        <w:t> </w:t>
      </w:r>
      <w:r>
        <w:rPr/>
        <w:t>a</w:t>
      </w:r>
      <w:r>
        <w:rPr>
          <w:spacing w:val="-8"/>
        </w:rPr>
        <w:t> </w:t>
      </w:r>
      <w:r>
        <w:rPr/>
        <w:t>disposición</w:t>
      </w:r>
      <w:r>
        <w:rPr>
          <w:spacing w:val="-5"/>
        </w:rPr>
        <w:t> </w:t>
      </w:r>
      <w:r>
        <w:rPr/>
        <w:t>de</w:t>
      </w:r>
      <w:r>
        <w:rPr>
          <w:spacing w:val="-7"/>
        </w:rPr>
        <w:t> </w:t>
      </w:r>
      <w:r>
        <w:rPr/>
        <w:t>la</w:t>
      </w:r>
      <w:r>
        <w:rPr>
          <w:spacing w:val="-8"/>
        </w:rPr>
        <w:t> </w:t>
      </w:r>
      <w:r>
        <w:rPr/>
        <w:t>Inspección</w:t>
      </w:r>
      <w:r>
        <w:rPr>
          <w:spacing w:val="-8"/>
        </w:rPr>
        <w:t> </w:t>
      </w:r>
      <w:r>
        <w:rPr/>
        <w:t>del</w:t>
      </w:r>
      <w:r>
        <w:rPr>
          <w:spacing w:val="-8"/>
        </w:rPr>
        <w:t> </w:t>
      </w:r>
      <w:r>
        <w:rPr>
          <w:spacing w:val="-2"/>
        </w:rPr>
        <w:t>Trabajo.</w:t>
      </w:r>
    </w:p>
    <w:p>
      <w:pPr>
        <w:pStyle w:val="BodyText"/>
        <w:spacing w:line="242" w:lineRule="auto" w:before="228"/>
        <w:ind w:left="338" w:right="338" w:firstLine="288"/>
        <w:jc w:val="both"/>
      </w:pPr>
      <w:bookmarkStart w:name="Artículo_321" w:id="396"/>
      <w:bookmarkEnd w:id="396"/>
      <w:r>
        <w:rPr/>
      </w:r>
      <w:r>
        <w:rPr>
          <w:rFonts w:ascii="Arial" w:hAnsi="Arial"/>
          <w:b/>
        </w:rPr>
        <w:t>Artículo 321.- </w:t>
      </w:r>
      <w:r>
        <w:rPr/>
        <w:t>Los patrones entregarán gratuitamente a sus trabajadores a domicilio una libreta</w:t>
      </w:r>
      <w:r>
        <w:rPr>
          <w:spacing w:val="40"/>
        </w:rPr>
        <w:t> </w:t>
      </w:r>
      <w:r>
        <w:rPr/>
        <w:t>foliada y autorizada por la Inspección del Trabajo, que se denominará Libreta de trabajo a domicilio y en</w:t>
      </w:r>
      <w:r>
        <w:rPr>
          <w:spacing w:val="40"/>
        </w:rPr>
        <w:t> </w:t>
      </w:r>
      <w:r>
        <w:rPr/>
        <w:t>la que se anotarán los datos a que se refieren las fracciones I, II y V del artículo anterior, y en cada ocasión que se proporcione trabajo, los mencionados en la fracción IV del mismo artículo.</w:t>
      </w:r>
    </w:p>
    <w:p>
      <w:pPr>
        <w:pStyle w:val="BodyText"/>
        <w:spacing w:before="223"/>
        <w:ind w:left="338" w:right="349" w:firstLine="288"/>
        <w:jc w:val="both"/>
      </w:pPr>
      <w:r>
        <w:rPr/>
        <w:t>La falta de libreta no priva al trabajador de los derechos que le correspondan de conformidad con las disposiciones de esta Ley.</w:t>
      </w:r>
    </w:p>
    <w:p>
      <w:pPr>
        <w:pStyle w:val="BodyText"/>
        <w:spacing w:before="230"/>
        <w:ind w:left="338" w:right="343" w:firstLine="288"/>
        <w:jc w:val="both"/>
      </w:pPr>
      <w:bookmarkStart w:name="Artículo_322" w:id="397"/>
      <w:bookmarkEnd w:id="397"/>
      <w:r>
        <w:rPr/>
      </w:r>
      <w:r>
        <w:rPr>
          <w:rFonts w:ascii="Arial" w:hAnsi="Arial"/>
          <w:b/>
        </w:rPr>
        <w:t>Artículo 322.- </w:t>
      </w:r>
      <w:r>
        <w:rPr/>
        <w:t>La Comisión Nacional de los Salarios Mínimos fijará los salarios mínimos profesionales de los diferentes trabajos a domicilio, debiendo tomar en consideración, entre otras, las circunstancias </w:t>
      </w:r>
      <w:r>
        <w:rPr>
          <w:spacing w:val="-2"/>
        </w:rPr>
        <w:t>siguientes: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1"/>
        <w:rPr>
          <w:rFonts w:ascii="Times New Roman"/>
          <w:i/>
        </w:rPr>
      </w:pPr>
    </w:p>
    <w:p>
      <w:pPr>
        <w:pStyle w:val="ListParagraph"/>
        <w:numPr>
          <w:ilvl w:val="0"/>
          <w:numId w:val="86"/>
        </w:numPr>
        <w:tabs>
          <w:tab w:pos="1195" w:val="left" w:leader="none"/>
        </w:tabs>
        <w:spacing w:line="240" w:lineRule="auto" w:before="0" w:after="0"/>
        <w:ind w:left="1195" w:right="0" w:hanging="569"/>
        <w:jc w:val="left"/>
        <w:rPr>
          <w:sz w:val="20"/>
        </w:rPr>
      </w:pPr>
      <w:r>
        <w:rPr>
          <w:sz w:val="20"/>
        </w:rPr>
        <w:t>La</w:t>
      </w:r>
      <w:r>
        <w:rPr>
          <w:spacing w:val="-8"/>
          <w:sz w:val="20"/>
        </w:rPr>
        <w:t> </w:t>
      </w:r>
      <w:r>
        <w:rPr>
          <w:sz w:val="20"/>
        </w:rPr>
        <w:t>naturaleza</w:t>
      </w:r>
      <w:r>
        <w:rPr>
          <w:spacing w:val="-2"/>
          <w:sz w:val="20"/>
        </w:rPr>
        <w:t> </w:t>
      </w:r>
      <w:r>
        <w:rPr>
          <w:sz w:val="20"/>
        </w:rPr>
        <w:t>y</w:t>
      </w:r>
      <w:r>
        <w:rPr>
          <w:spacing w:val="-9"/>
          <w:sz w:val="20"/>
        </w:rPr>
        <w:t> </w:t>
      </w:r>
      <w:r>
        <w:rPr>
          <w:sz w:val="20"/>
        </w:rPr>
        <w:t>calidad</w:t>
      </w:r>
      <w:r>
        <w:rPr>
          <w:spacing w:val="-6"/>
          <w:sz w:val="20"/>
        </w:rPr>
        <w:t> </w:t>
      </w:r>
      <w:r>
        <w:rPr>
          <w:sz w:val="20"/>
        </w:rPr>
        <w:t>de</w:t>
      </w:r>
      <w:r>
        <w:rPr>
          <w:spacing w:val="-5"/>
          <w:sz w:val="20"/>
        </w:rPr>
        <w:t> </w:t>
      </w:r>
      <w:r>
        <w:rPr>
          <w:sz w:val="20"/>
        </w:rPr>
        <w:t>los</w:t>
      </w:r>
      <w:r>
        <w:rPr>
          <w:spacing w:val="-5"/>
          <w:sz w:val="20"/>
        </w:rPr>
        <w:t> </w:t>
      </w:r>
      <w:r>
        <w:rPr>
          <w:spacing w:val="-2"/>
          <w:sz w:val="20"/>
        </w:rPr>
        <w:t>trabajos:</w:t>
      </w:r>
    </w:p>
    <w:p>
      <w:pPr>
        <w:pStyle w:val="ListParagraph"/>
        <w:numPr>
          <w:ilvl w:val="0"/>
          <w:numId w:val="86"/>
        </w:numPr>
        <w:tabs>
          <w:tab w:pos="1195" w:val="left" w:leader="none"/>
        </w:tabs>
        <w:spacing w:line="240" w:lineRule="auto" w:before="229" w:after="0"/>
        <w:ind w:left="1195" w:right="0" w:hanging="569"/>
        <w:jc w:val="left"/>
        <w:rPr>
          <w:sz w:val="20"/>
        </w:rPr>
      </w:pPr>
      <w:r>
        <w:rPr>
          <w:sz w:val="20"/>
        </w:rPr>
        <w:t>El</w:t>
      </w:r>
      <w:r>
        <w:rPr>
          <w:spacing w:val="-8"/>
          <w:sz w:val="20"/>
        </w:rPr>
        <w:t> </w:t>
      </w:r>
      <w:r>
        <w:rPr>
          <w:sz w:val="20"/>
        </w:rPr>
        <w:t>tiempo</w:t>
      </w:r>
      <w:r>
        <w:rPr>
          <w:spacing w:val="-7"/>
          <w:sz w:val="20"/>
        </w:rPr>
        <w:t> </w:t>
      </w:r>
      <w:r>
        <w:rPr>
          <w:sz w:val="20"/>
        </w:rPr>
        <w:t>promedio</w:t>
      </w:r>
      <w:r>
        <w:rPr>
          <w:spacing w:val="-6"/>
          <w:sz w:val="20"/>
        </w:rPr>
        <w:t> </w:t>
      </w:r>
      <w:r>
        <w:rPr>
          <w:sz w:val="20"/>
        </w:rPr>
        <w:t>para</w:t>
      </w:r>
      <w:r>
        <w:rPr>
          <w:spacing w:val="-5"/>
          <w:sz w:val="20"/>
        </w:rPr>
        <w:t> </w:t>
      </w:r>
      <w:r>
        <w:rPr>
          <w:sz w:val="20"/>
        </w:rPr>
        <w:t>la</w:t>
      </w:r>
      <w:r>
        <w:rPr>
          <w:spacing w:val="-4"/>
          <w:sz w:val="20"/>
        </w:rPr>
        <w:t> </w:t>
      </w:r>
      <w:r>
        <w:rPr>
          <w:sz w:val="20"/>
        </w:rPr>
        <w:t>elaboración</w:t>
      </w:r>
      <w:r>
        <w:rPr>
          <w:spacing w:val="-8"/>
          <w:sz w:val="20"/>
        </w:rPr>
        <w:t> </w:t>
      </w:r>
      <w:r>
        <w:rPr>
          <w:sz w:val="20"/>
        </w:rPr>
        <w:t>de</w:t>
      </w:r>
      <w:r>
        <w:rPr>
          <w:spacing w:val="-6"/>
          <w:sz w:val="20"/>
        </w:rPr>
        <w:t> </w:t>
      </w:r>
      <w:r>
        <w:rPr>
          <w:sz w:val="20"/>
        </w:rPr>
        <w:t>los</w:t>
      </w:r>
      <w:r>
        <w:rPr>
          <w:spacing w:val="-5"/>
          <w:sz w:val="20"/>
        </w:rPr>
        <w:t> </w:t>
      </w:r>
      <w:r>
        <w:rPr>
          <w:spacing w:val="-2"/>
          <w:sz w:val="20"/>
        </w:rPr>
        <w:t>productos;</w:t>
      </w:r>
    </w:p>
    <w:p>
      <w:pPr>
        <w:pStyle w:val="BodyText"/>
      </w:pPr>
    </w:p>
    <w:p>
      <w:pPr>
        <w:pStyle w:val="ListParagraph"/>
        <w:numPr>
          <w:ilvl w:val="0"/>
          <w:numId w:val="86"/>
        </w:numPr>
        <w:tabs>
          <w:tab w:pos="1195" w:val="left" w:leader="none"/>
        </w:tabs>
        <w:spacing w:line="242" w:lineRule="auto" w:before="0" w:after="0"/>
        <w:ind w:left="1195" w:right="342" w:hanging="569"/>
        <w:jc w:val="left"/>
        <w:rPr>
          <w:sz w:val="20"/>
        </w:rPr>
      </w:pPr>
      <w:r>
        <w:rPr>
          <w:sz w:val="20"/>
        </w:rPr>
        <w:t>Los salarios y</w:t>
      </w:r>
      <w:r>
        <w:rPr>
          <w:spacing w:val="-5"/>
          <w:sz w:val="20"/>
        </w:rPr>
        <w:t> </w:t>
      </w:r>
      <w:r>
        <w:rPr>
          <w:sz w:val="20"/>
        </w:rPr>
        <w:t>prestaciones percibidos por</w:t>
      </w:r>
      <w:r>
        <w:rPr>
          <w:spacing w:val="-1"/>
          <w:sz w:val="20"/>
        </w:rPr>
        <w:t> </w:t>
      </w:r>
      <w:r>
        <w:rPr>
          <w:sz w:val="20"/>
        </w:rPr>
        <w:t>los</w:t>
      </w:r>
      <w:r>
        <w:rPr>
          <w:spacing w:val="-1"/>
          <w:sz w:val="20"/>
        </w:rPr>
        <w:t> </w:t>
      </w:r>
      <w:r>
        <w:rPr>
          <w:sz w:val="20"/>
        </w:rPr>
        <w:t>trabajadores de</w:t>
      </w:r>
      <w:r>
        <w:rPr>
          <w:spacing w:val="-2"/>
          <w:sz w:val="20"/>
        </w:rPr>
        <w:t> </w:t>
      </w:r>
      <w:r>
        <w:rPr>
          <w:sz w:val="20"/>
        </w:rPr>
        <w:t>establecimientos y</w:t>
      </w:r>
      <w:r>
        <w:rPr>
          <w:spacing w:val="-2"/>
          <w:sz w:val="20"/>
        </w:rPr>
        <w:t> </w:t>
      </w:r>
      <w:r>
        <w:rPr>
          <w:sz w:val="20"/>
        </w:rPr>
        <w:t>empresas</w:t>
      </w:r>
      <w:r>
        <w:rPr>
          <w:spacing w:val="-1"/>
          <w:sz w:val="20"/>
        </w:rPr>
        <w:t> </w:t>
      </w:r>
      <w:r>
        <w:rPr>
          <w:sz w:val="20"/>
        </w:rPr>
        <w:t>que elaboren los mismos o semejantes productos; y</w:t>
      </w:r>
    </w:p>
    <w:p>
      <w:pPr>
        <w:pStyle w:val="ListParagraph"/>
        <w:numPr>
          <w:ilvl w:val="0"/>
          <w:numId w:val="86"/>
        </w:numPr>
        <w:tabs>
          <w:tab w:pos="1195" w:val="left" w:leader="none"/>
        </w:tabs>
        <w:spacing w:line="240" w:lineRule="auto" w:before="225" w:after="0"/>
        <w:ind w:left="1195" w:right="0" w:hanging="569"/>
        <w:jc w:val="left"/>
        <w:rPr>
          <w:sz w:val="20"/>
        </w:rPr>
      </w:pPr>
      <w:r>
        <w:rPr>
          <w:sz w:val="20"/>
        </w:rPr>
        <w:t>Los</w:t>
      </w:r>
      <w:r>
        <w:rPr>
          <w:spacing w:val="-6"/>
          <w:sz w:val="20"/>
        </w:rPr>
        <w:t> </w:t>
      </w:r>
      <w:r>
        <w:rPr>
          <w:sz w:val="20"/>
        </w:rPr>
        <w:t>precios</w:t>
      </w:r>
      <w:r>
        <w:rPr>
          <w:spacing w:val="-5"/>
          <w:sz w:val="20"/>
        </w:rPr>
        <w:t> </w:t>
      </w:r>
      <w:r>
        <w:rPr>
          <w:sz w:val="20"/>
        </w:rPr>
        <w:t>corrientes</w:t>
      </w:r>
      <w:r>
        <w:rPr>
          <w:spacing w:val="-5"/>
          <w:sz w:val="20"/>
        </w:rPr>
        <w:t> </w:t>
      </w:r>
      <w:r>
        <w:rPr>
          <w:sz w:val="20"/>
        </w:rPr>
        <w:t>en</w:t>
      </w:r>
      <w:r>
        <w:rPr>
          <w:spacing w:val="-6"/>
          <w:sz w:val="20"/>
        </w:rPr>
        <w:t> </w:t>
      </w:r>
      <w:r>
        <w:rPr>
          <w:sz w:val="20"/>
        </w:rPr>
        <w:t>el</w:t>
      </w:r>
      <w:r>
        <w:rPr>
          <w:spacing w:val="-5"/>
          <w:sz w:val="20"/>
        </w:rPr>
        <w:t> </w:t>
      </w:r>
      <w:r>
        <w:rPr>
          <w:sz w:val="20"/>
        </w:rPr>
        <w:t>mercado</w:t>
      </w:r>
      <w:r>
        <w:rPr>
          <w:spacing w:val="-6"/>
          <w:sz w:val="20"/>
        </w:rPr>
        <w:t> </w:t>
      </w:r>
      <w:r>
        <w:rPr>
          <w:sz w:val="20"/>
        </w:rPr>
        <w:t>de</w:t>
      </w:r>
      <w:r>
        <w:rPr>
          <w:spacing w:val="-4"/>
          <w:sz w:val="20"/>
        </w:rPr>
        <w:t> </w:t>
      </w:r>
      <w:r>
        <w:rPr>
          <w:sz w:val="20"/>
        </w:rPr>
        <w:t>los</w:t>
      </w:r>
      <w:r>
        <w:rPr>
          <w:spacing w:val="-6"/>
          <w:sz w:val="20"/>
        </w:rPr>
        <w:t> </w:t>
      </w:r>
      <w:r>
        <w:rPr>
          <w:sz w:val="20"/>
        </w:rPr>
        <w:t>productos</w:t>
      </w:r>
      <w:r>
        <w:rPr>
          <w:spacing w:val="-3"/>
          <w:sz w:val="20"/>
        </w:rPr>
        <w:t> </w:t>
      </w:r>
      <w:r>
        <w:rPr>
          <w:sz w:val="20"/>
        </w:rPr>
        <w:t>del</w:t>
      </w:r>
      <w:r>
        <w:rPr>
          <w:spacing w:val="-5"/>
          <w:sz w:val="20"/>
        </w:rPr>
        <w:t> </w:t>
      </w:r>
      <w:r>
        <w:rPr>
          <w:sz w:val="20"/>
        </w:rPr>
        <w:t>trabajo</w:t>
      </w:r>
      <w:r>
        <w:rPr>
          <w:spacing w:val="-5"/>
          <w:sz w:val="20"/>
        </w:rPr>
        <w:t> </w:t>
      </w:r>
      <w:r>
        <w:rPr>
          <w:sz w:val="20"/>
        </w:rPr>
        <w:t>a</w:t>
      </w:r>
      <w:r>
        <w:rPr>
          <w:spacing w:val="-6"/>
          <w:sz w:val="20"/>
        </w:rPr>
        <w:t> </w:t>
      </w:r>
      <w:r>
        <w:rPr>
          <w:spacing w:val="-2"/>
          <w:sz w:val="20"/>
        </w:rPr>
        <w:t>domicilio.</w:t>
      </w:r>
    </w:p>
    <w:p>
      <w:pPr>
        <w:pStyle w:val="BodyText"/>
        <w:spacing w:before="3"/>
      </w:pPr>
    </w:p>
    <w:p>
      <w:pPr>
        <w:pStyle w:val="BodyText"/>
        <w:ind w:left="338" w:firstLine="288"/>
      </w:pPr>
      <w:r>
        <w:rPr/>
        <w:t>Los</w:t>
      </w:r>
      <w:r>
        <w:rPr>
          <w:spacing w:val="30"/>
        </w:rPr>
        <w:t> </w:t>
      </w:r>
      <w:r>
        <w:rPr/>
        <w:t>libros</w:t>
      </w:r>
      <w:r>
        <w:rPr>
          <w:spacing w:val="33"/>
        </w:rPr>
        <w:t> </w:t>
      </w:r>
      <w:r>
        <w:rPr/>
        <w:t>a</w:t>
      </w:r>
      <w:r>
        <w:rPr>
          <w:spacing w:val="29"/>
        </w:rPr>
        <w:t> </w:t>
      </w:r>
      <w:r>
        <w:rPr/>
        <w:t>que</w:t>
      </w:r>
      <w:r>
        <w:rPr>
          <w:spacing w:val="28"/>
        </w:rPr>
        <w:t> </w:t>
      </w:r>
      <w:r>
        <w:rPr/>
        <w:t>se</w:t>
      </w:r>
      <w:r>
        <w:rPr>
          <w:spacing w:val="31"/>
        </w:rPr>
        <w:t> </w:t>
      </w:r>
      <w:r>
        <w:rPr/>
        <w:t>refiere</w:t>
      </w:r>
      <w:r>
        <w:rPr>
          <w:spacing w:val="29"/>
        </w:rPr>
        <w:t> </w:t>
      </w:r>
      <w:r>
        <w:rPr/>
        <w:t>el</w:t>
      </w:r>
      <w:r>
        <w:rPr>
          <w:spacing w:val="28"/>
        </w:rPr>
        <w:t> </w:t>
      </w:r>
      <w:r>
        <w:rPr/>
        <w:t>artículo</w:t>
      </w:r>
      <w:r>
        <w:rPr>
          <w:spacing w:val="31"/>
        </w:rPr>
        <w:t> </w:t>
      </w:r>
      <w:r>
        <w:rPr/>
        <w:t>320</w:t>
      </w:r>
      <w:r>
        <w:rPr>
          <w:spacing w:val="29"/>
        </w:rPr>
        <w:t> </w:t>
      </w:r>
      <w:r>
        <w:rPr/>
        <w:t>estarán</w:t>
      </w:r>
      <w:r>
        <w:rPr>
          <w:spacing w:val="31"/>
        </w:rPr>
        <w:t> </w:t>
      </w:r>
      <w:r>
        <w:rPr/>
        <w:t>permanentemente</w:t>
      </w:r>
      <w:r>
        <w:rPr>
          <w:spacing w:val="28"/>
        </w:rPr>
        <w:t> </w:t>
      </w:r>
      <w:r>
        <w:rPr/>
        <w:t>a</w:t>
      </w:r>
      <w:r>
        <w:rPr>
          <w:spacing w:val="31"/>
        </w:rPr>
        <w:t> </w:t>
      </w:r>
      <w:r>
        <w:rPr/>
        <w:t>disposición</w:t>
      </w:r>
      <w:r>
        <w:rPr>
          <w:spacing w:val="31"/>
        </w:rPr>
        <w:t> </w:t>
      </w:r>
      <w:r>
        <w:rPr/>
        <w:t>de</w:t>
      </w:r>
      <w:r>
        <w:rPr>
          <w:spacing w:val="31"/>
        </w:rPr>
        <w:t> </w:t>
      </w:r>
      <w:r>
        <w:rPr/>
        <w:t>la</w:t>
      </w:r>
      <w:r>
        <w:rPr>
          <w:spacing w:val="31"/>
        </w:rPr>
        <w:t> </w:t>
      </w:r>
      <w:r>
        <w:rPr/>
        <w:t>Comisión Nacional de los Salarios Mínimos.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5"/>
        <w:rPr>
          <w:rFonts w:ascii="Times New Roman"/>
          <w:i/>
          <w:sz w:val="16"/>
        </w:rPr>
      </w:pPr>
    </w:p>
    <w:p>
      <w:pPr>
        <w:pStyle w:val="BodyText"/>
        <w:spacing w:line="242" w:lineRule="auto"/>
        <w:ind w:left="338" w:firstLine="288"/>
      </w:pPr>
      <w:bookmarkStart w:name="Artículo_323" w:id="398"/>
      <w:bookmarkEnd w:id="398"/>
      <w:r>
        <w:rPr/>
      </w:r>
      <w:r>
        <w:rPr>
          <w:rFonts w:ascii="Arial" w:hAnsi="Arial"/>
          <w:b/>
        </w:rPr>
        <w:t>Artículo</w:t>
      </w:r>
      <w:r>
        <w:rPr>
          <w:rFonts w:ascii="Arial" w:hAnsi="Arial"/>
          <w:b/>
          <w:spacing w:val="34"/>
        </w:rPr>
        <w:t> </w:t>
      </w:r>
      <w:r>
        <w:rPr>
          <w:rFonts w:ascii="Arial" w:hAnsi="Arial"/>
          <w:b/>
        </w:rPr>
        <w:t>323.-</w:t>
      </w:r>
      <w:r>
        <w:rPr>
          <w:rFonts w:ascii="Arial" w:hAnsi="Arial"/>
          <w:b/>
          <w:spacing w:val="35"/>
        </w:rPr>
        <w:t> </w:t>
      </w:r>
      <w:r>
        <w:rPr/>
        <w:t>Los</w:t>
      </w:r>
      <w:r>
        <w:rPr>
          <w:spacing w:val="35"/>
        </w:rPr>
        <w:t> </w:t>
      </w:r>
      <w:r>
        <w:rPr/>
        <w:t>salarios</w:t>
      </w:r>
      <w:r>
        <w:rPr>
          <w:spacing w:val="35"/>
        </w:rPr>
        <w:t> </w:t>
      </w:r>
      <w:r>
        <w:rPr/>
        <w:t>de</w:t>
      </w:r>
      <w:r>
        <w:rPr>
          <w:spacing w:val="33"/>
        </w:rPr>
        <w:t> </w:t>
      </w:r>
      <w:r>
        <w:rPr/>
        <w:t>los</w:t>
      </w:r>
      <w:r>
        <w:rPr>
          <w:spacing w:val="34"/>
        </w:rPr>
        <w:t> </w:t>
      </w:r>
      <w:r>
        <w:rPr/>
        <w:t>trabajadores</w:t>
      </w:r>
      <w:r>
        <w:rPr>
          <w:spacing w:val="35"/>
        </w:rPr>
        <w:t> </w:t>
      </w:r>
      <w:r>
        <w:rPr/>
        <w:t>a</w:t>
      </w:r>
      <w:r>
        <w:rPr>
          <w:spacing w:val="33"/>
        </w:rPr>
        <w:t> </w:t>
      </w:r>
      <w:r>
        <w:rPr/>
        <w:t>domicilio</w:t>
      </w:r>
      <w:r>
        <w:rPr>
          <w:spacing w:val="33"/>
        </w:rPr>
        <w:t> </w:t>
      </w:r>
      <w:r>
        <w:rPr/>
        <w:t>no</w:t>
      </w:r>
      <w:r>
        <w:rPr>
          <w:spacing w:val="33"/>
        </w:rPr>
        <w:t> </w:t>
      </w:r>
      <w:r>
        <w:rPr/>
        <w:t>podrán</w:t>
      </w:r>
      <w:r>
        <w:rPr>
          <w:spacing w:val="33"/>
        </w:rPr>
        <w:t> </w:t>
      </w:r>
      <w:r>
        <w:rPr/>
        <w:t>ser</w:t>
      </w:r>
      <w:r>
        <w:rPr>
          <w:spacing w:val="33"/>
        </w:rPr>
        <w:t> </w:t>
      </w:r>
      <w:r>
        <w:rPr/>
        <w:t>menores</w:t>
      </w:r>
      <w:r>
        <w:rPr>
          <w:spacing w:val="35"/>
        </w:rPr>
        <w:t> </w:t>
      </w:r>
      <w:r>
        <w:rPr/>
        <w:t>de</w:t>
      </w:r>
      <w:r>
        <w:rPr>
          <w:spacing w:val="33"/>
        </w:rPr>
        <w:t> </w:t>
      </w:r>
      <w:r>
        <w:rPr/>
        <w:t>los</w:t>
      </w:r>
      <w:r>
        <w:rPr>
          <w:spacing w:val="34"/>
        </w:rPr>
        <w:t> </w:t>
      </w:r>
      <w:r>
        <w:rPr/>
        <w:t>que</w:t>
      </w:r>
      <w:r>
        <w:rPr>
          <w:spacing w:val="33"/>
        </w:rPr>
        <w:t> </w:t>
      </w:r>
      <w:r>
        <w:rPr/>
        <w:t>se paguen por trabajos semejantes en la empresa o establecimiento para el que se realice el trabajo.</w:t>
      </w:r>
    </w:p>
    <w:p>
      <w:pPr>
        <w:spacing w:before="226"/>
        <w:ind w:left="626" w:right="0" w:firstLine="0"/>
        <w:jc w:val="left"/>
        <w:rPr>
          <w:sz w:val="20"/>
        </w:rPr>
      </w:pPr>
      <w:bookmarkStart w:name="Artículo_324" w:id="399"/>
      <w:bookmarkEnd w:id="399"/>
      <w:r>
        <w:rPr/>
      </w:r>
      <w:r>
        <w:rPr>
          <w:rFonts w:ascii="Arial" w:hAnsi="Arial"/>
          <w:b/>
          <w:sz w:val="20"/>
        </w:rPr>
        <w:t>Artículo</w:t>
      </w:r>
      <w:r>
        <w:rPr>
          <w:rFonts w:ascii="Arial" w:hAnsi="Arial"/>
          <w:b/>
          <w:spacing w:val="-8"/>
          <w:sz w:val="20"/>
        </w:rPr>
        <w:t> </w:t>
      </w:r>
      <w:r>
        <w:rPr>
          <w:rFonts w:ascii="Arial" w:hAnsi="Arial"/>
          <w:b/>
          <w:sz w:val="20"/>
        </w:rPr>
        <w:t>324.-</w:t>
      </w:r>
      <w:r>
        <w:rPr>
          <w:rFonts w:ascii="Arial" w:hAnsi="Arial"/>
          <w:b/>
          <w:spacing w:val="-8"/>
          <w:sz w:val="20"/>
        </w:rPr>
        <w:t> </w:t>
      </w:r>
      <w:r>
        <w:rPr>
          <w:sz w:val="20"/>
        </w:rPr>
        <w:t>Los</w:t>
      </w:r>
      <w:r>
        <w:rPr>
          <w:spacing w:val="-8"/>
          <w:sz w:val="20"/>
        </w:rPr>
        <w:t> </w:t>
      </w:r>
      <w:r>
        <w:rPr>
          <w:sz w:val="20"/>
        </w:rPr>
        <w:t>patrones</w:t>
      </w:r>
      <w:r>
        <w:rPr>
          <w:spacing w:val="-8"/>
          <w:sz w:val="20"/>
        </w:rPr>
        <w:t> </w:t>
      </w:r>
      <w:r>
        <w:rPr>
          <w:sz w:val="20"/>
        </w:rPr>
        <w:t>tienen</w:t>
      </w:r>
      <w:r>
        <w:rPr>
          <w:spacing w:val="-8"/>
          <w:sz w:val="20"/>
        </w:rPr>
        <w:t> </w:t>
      </w:r>
      <w:r>
        <w:rPr>
          <w:sz w:val="20"/>
        </w:rPr>
        <w:t>las</w:t>
      </w:r>
      <w:r>
        <w:rPr>
          <w:spacing w:val="-7"/>
          <w:sz w:val="20"/>
        </w:rPr>
        <w:t> </w:t>
      </w:r>
      <w:r>
        <w:rPr>
          <w:sz w:val="20"/>
        </w:rPr>
        <w:t>obligaciones</w:t>
      </w:r>
      <w:r>
        <w:rPr>
          <w:spacing w:val="-6"/>
          <w:sz w:val="20"/>
        </w:rPr>
        <w:t> </w:t>
      </w:r>
      <w:r>
        <w:rPr>
          <w:sz w:val="20"/>
        </w:rPr>
        <w:t>especiales</w:t>
      </w:r>
      <w:r>
        <w:rPr>
          <w:spacing w:val="-8"/>
          <w:sz w:val="20"/>
        </w:rPr>
        <w:t> </w:t>
      </w:r>
      <w:r>
        <w:rPr>
          <w:spacing w:val="-2"/>
          <w:sz w:val="20"/>
        </w:rPr>
        <w:t>siguientes:</w:t>
      </w:r>
    </w:p>
    <w:p>
      <w:pPr>
        <w:pStyle w:val="ListParagraph"/>
        <w:numPr>
          <w:ilvl w:val="0"/>
          <w:numId w:val="87"/>
        </w:numPr>
        <w:tabs>
          <w:tab w:pos="1195" w:val="left" w:leader="none"/>
        </w:tabs>
        <w:spacing w:line="242" w:lineRule="auto" w:before="229" w:after="0"/>
        <w:ind w:left="1195" w:right="345" w:hanging="569"/>
        <w:jc w:val="left"/>
        <w:rPr>
          <w:sz w:val="20"/>
        </w:rPr>
      </w:pPr>
      <w:r>
        <w:rPr>
          <w:sz w:val="20"/>
        </w:rPr>
        <w:t>Fijar</w:t>
      </w:r>
      <w:r>
        <w:rPr>
          <w:spacing w:val="39"/>
          <w:sz w:val="20"/>
        </w:rPr>
        <w:t> </w:t>
      </w:r>
      <w:r>
        <w:rPr>
          <w:sz w:val="20"/>
        </w:rPr>
        <w:t>las</w:t>
      </w:r>
      <w:r>
        <w:rPr>
          <w:spacing w:val="39"/>
          <w:sz w:val="20"/>
        </w:rPr>
        <w:t> </w:t>
      </w:r>
      <w:r>
        <w:rPr>
          <w:sz w:val="20"/>
        </w:rPr>
        <w:t>tarifas</w:t>
      </w:r>
      <w:r>
        <w:rPr>
          <w:spacing w:val="39"/>
          <w:sz w:val="20"/>
        </w:rPr>
        <w:t> </w:t>
      </w:r>
      <w:r>
        <w:rPr>
          <w:sz w:val="20"/>
        </w:rPr>
        <w:t>de</w:t>
      </w:r>
      <w:r>
        <w:rPr>
          <w:spacing w:val="38"/>
          <w:sz w:val="20"/>
        </w:rPr>
        <w:t> </w:t>
      </w:r>
      <w:r>
        <w:rPr>
          <w:sz w:val="20"/>
        </w:rPr>
        <w:t>salarios</w:t>
      </w:r>
      <w:r>
        <w:rPr>
          <w:spacing w:val="40"/>
          <w:sz w:val="20"/>
        </w:rPr>
        <w:t> </w:t>
      </w:r>
      <w:r>
        <w:rPr>
          <w:sz w:val="20"/>
        </w:rPr>
        <w:t>en</w:t>
      </w:r>
      <w:r>
        <w:rPr>
          <w:spacing w:val="38"/>
          <w:sz w:val="20"/>
        </w:rPr>
        <w:t> </w:t>
      </w:r>
      <w:r>
        <w:rPr>
          <w:sz w:val="20"/>
        </w:rPr>
        <w:t>lugar</w:t>
      </w:r>
      <w:r>
        <w:rPr>
          <w:spacing w:val="39"/>
          <w:sz w:val="20"/>
        </w:rPr>
        <w:t> </w:t>
      </w:r>
      <w:r>
        <w:rPr>
          <w:sz w:val="20"/>
        </w:rPr>
        <w:t>visible</w:t>
      </w:r>
      <w:r>
        <w:rPr>
          <w:spacing w:val="40"/>
          <w:sz w:val="20"/>
        </w:rPr>
        <w:t> </w:t>
      </w:r>
      <w:r>
        <w:rPr>
          <w:sz w:val="20"/>
        </w:rPr>
        <w:t>de</w:t>
      </w:r>
      <w:r>
        <w:rPr>
          <w:spacing w:val="40"/>
          <w:sz w:val="20"/>
        </w:rPr>
        <w:t> </w:t>
      </w:r>
      <w:r>
        <w:rPr>
          <w:sz w:val="20"/>
        </w:rPr>
        <w:t>los</w:t>
      </w:r>
      <w:r>
        <w:rPr>
          <w:spacing w:val="39"/>
          <w:sz w:val="20"/>
        </w:rPr>
        <w:t> </w:t>
      </w:r>
      <w:r>
        <w:rPr>
          <w:sz w:val="20"/>
        </w:rPr>
        <w:t>locales</w:t>
      </w:r>
      <w:r>
        <w:rPr>
          <w:spacing w:val="39"/>
          <w:sz w:val="20"/>
        </w:rPr>
        <w:t> </w:t>
      </w:r>
      <w:r>
        <w:rPr>
          <w:sz w:val="20"/>
        </w:rPr>
        <w:t>donde</w:t>
      </w:r>
      <w:r>
        <w:rPr>
          <w:spacing w:val="38"/>
          <w:sz w:val="20"/>
        </w:rPr>
        <w:t> </w:t>
      </w:r>
      <w:r>
        <w:rPr>
          <w:sz w:val="20"/>
        </w:rPr>
        <w:t>proporcionen</w:t>
      </w:r>
      <w:r>
        <w:rPr>
          <w:spacing w:val="38"/>
          <w:sz w:val="20"/>
        </w:rPr>
        <w:t> </w:t>
      </w:r>
      <w:r>
        <w:rPr>
          <w:sz w:val="20"/>
        </w:rPr>
        <w:t>o</w:t>
      </w:r>
      <w:r>
        <w:rPr>
          <w:spacing w:val="38"/>
          <w:sz w:val="20"/>
        </w:rPr>
        <w:t> </w:t>
      </w:r>
      <w:r>
        <w:rPr>
          <w:sz w:val="20"/>
        </w:rPr>
        <w:t>reciban</w:t>
      </w:r>
      <w:r>
        <w:rPr>
          <w:spacing w:val="38"/>
          <w:sz w:val="20"/>
        </w:rPr>
        <w:t> </w:t>
      </w:r>
      <w:r>
        <w:rPr>
          <w:sz w:val="20"/>
        </w:rPr>
        <w:t>el </w:t>
      </w:r>
      <w:r>
        <w:rPr>
          <w:spacing w:val="-2"/>
          <w:sz w:val="20"/>
        </w:rPr>
        <w:t>trabajo;</w:t>
      </w:r>
    </w:p>
    <w:p>
      <w:pPr>
        <w:pStyle w:val="ListParagraph"/>
        <w:spacing w:after="0" w:line="242" w:lineRule="auto"/>
        <w:jc w:val="left"/>
        <w:rPr>
          <w:sz w:val="20"/>
        </w:rPr>
        <w:sectPr>
          <w:pgSz w:w="12240" w:h="15840"/>
          <w:pgMar w:header="724" w:footer="712" w:top="1880" w:bottom="900" w:left="1080" w:right="1080"/>
        </w:sectPr>
      </w:pPr>
    </w:p>
    <w:p>
      <w:pPr>
        <w:pStyle w:val="BodyText"/>
        <w:spacing w:before="63"/>
      </w:pPr>
    </w:p>
    <w:p>
      <w:pPr>
        <w:pStyle w:val="ListParagraph"/>
        <w:numPr>
          <w:ilvl w:val="0"/>
          <w:numId w:val="87"/>
        </w:numPr>
        <w:tabs>
          <w:tab w:pos="1195" w:val="left" w:leader="none"/>
        </w:tabs>
        <w:spacing w:line="240" w:lineRule="auto" w:before="0" w:after="0"/>
        <w:ind w:left="1195" w:right="0" w:hanging="569"/>
        <w:jc w:val="left"/>
        <w:rPr>
          <w:sz w:val="20"/>
        </w:rPr>
      </w:pPr>
      <w:r>
        <w:rPr>
          <w:sz w:val="20"/>
        </w:rPr>
        <w:t>Proporcionar</w:t>
      </w:r>
      <w:r>
        <w:rPr>
          <w:spacing w:val="-4"/>
          <w:sz w:val="20"/>
        </w:rPr>
        <w:t> </w:t>
      </w:r>
      <w:r>
        <w:rPr>
          <w:sz w:val="20"/>
        </w:rPr>
        <w:t>los</w:t>
      </w:r>
      <w:r>
        <w:rPr>
          <w:spacing w:val="-6"/>
          <w:sz w:val="20"/>
        </w:rPr>
        <w:t> </w:t>
      </w:r>
      <w:r>
        <w:rPr>
          <w:sz w:val="20"/>
        </w:rPr>
        <w:t>materiales</w:t>
      </w:r>
      <w:r>
        <w:rPr>
          <w:spacing w:val="-4"/>
          <w:sz w:val="20"/>
        </w:rPr>
        <w:t> </w:t>
      </w:r>
      <w:r>
        <w:rPr>
          <w:sz w:val="20"/>
        </w:rPr>
        <w:t>y</w:t>
      </w:r>
      <w:r>
        <w:rPr>
          <w:spacing w:val="-9"/>
          <w:sz w:val="20"/>
        </w:rPr>
        <w:t> </w:t>
      </w:r>
      <w:r>
        <w:rPr>
          <w:sz w:val="20"/>
        </w:rPr>
        <w:t>útiles</w:t>
      </w:r>
      <w:r>
        <w:rPr>
          <w:spacing w:val="-6"/>
          <w:sz w:val="20"/>
        </w:rPr>
        <w:t> </w:t>
      </w:r>
      <w:r>
        <w:rPr>
          <w:sz w:val="20"/>
        </w:rPr>
        <w:t>de</w:t>
      </w:r>
      <w:r>
        <w:rPr>
          <w:spacing w:val="-4"/>
          <w:sz w:val="20"/>
        </w:rPr>
        <w:t> </w:t>
      </w:r>
      <w:r>
        <w:rPr>
          <w:sz w:val="20"/>
        </w:rPr>
        <w:t>trabajo</w:t>
      </w:r>
      <w:r>
        <w:rPr>
          <w:spacing w:val="-5"/>
          <w:sz w:val="20"/>
        </w:rPr>
        <w:t> </w:t>
      </w:r>
      <w:r>
        <w:rPr>
          <w:sz w:val="20"/>
        </w:rPr>
        <w:t>en</w:t>
      </w:r>
      <w:r>
        <w:rPr>
          <w:spacing w:val="-6"/>
          <w:sz w:val="20"/>
        </w:rPr>
        <w:t> </w:t>
      </w:r>
      <w:r>
        <w:rPr>
          <w:sz w:val="20"/>
        </w:rPr>
        <w:t>las</w:t>
      </w:r>
      <w:r>
        <w:rPr>
          <w:spacing w:val="-6"/>
          <w:sz w:val="20"/>
        </w:rPr>
        <w:t> </w:t>
      </w:r>
      <w:r>
        <w:rPr>
          <w:sz w:val="20"/>
        </w:rPr>
        <w:t>fechas</w:t>
      </w:r>
      <w:r>
        <w:rPr>
          <w:spacing w:val="-3"/>
          <w:sz w:val="20"/>
        </w:rPr>
        <w:t> </w:t>
      </w:r>
      <w:r>
        <w:rPr>
          <w:sz w:val="20"/>
        </w:rPr>
        <w:t>y</w:t>
      </w:r>
      <w:r>
        <w:rPr>
          <w:spacing w:val="-10"/>
          <w:sz w:val="20"/>
        </w:rPr>
        <w:t> </w:t>
      </w:r>
      <w:r>
        <w:rPr>
          <w:sz w:val="20"/>
        </w:rPr>
        <w:t>horas</w:t>
      </w:r>
      <w:r>
        <w:rPr>
          <w:spacing w:val="-4"/>
          <w:sz w:val="20"/>
        </w:rPr>
        <w:t> </w:t>
      </w:r>
      <w:r>
        <w:rPr>
          <w:spacing w:val="-2"/>
          <w:sz w:val="20"/>
        </w:rPr>
        <w:t>convenidos;</w:t>
      </w:r>
    </w:p>
    <w:p>
      <w:pPr>
        <w:pStyle w:val="BodyText"/>
        <w:spacing w:before="1"/>
      </w:pPr>
    </w:p>
    <w:p>
      <w:pPr>
        <w:pStyle w:val="ListParagraph"/>
        <w:numPr>
          <w:ilvl w:val="0"/>
          <w:numId w:val="87"/>
        </w:numPr>
        <w:tabs>
          <w:tab w:pos="1195" w:val="left" w:leader="none"/>
        </w:tabs>
        <w:spacing w:line="240" w:lineRule="auto" w:before="0" w:after="0"/>
        <w:ind w:left="1195" w:right="0" w:hanging="569"/>
        <w:jc w:val="left"/>
        <w:rPr>
          <w:sz w:val="20"/>
        </w:rPr>
      </w:pPr>
      <w:r>
        <w:rPr>
          <w:sz w:val="20"/>
        </w:rPr>
        <w:t>Recibir</w:t>
      </w:r>
      <w:r>
        <w:rPr>
          <w:spacing w:val="-6"/>
          <w:sz w:val="20"/>
        </w:rPr>
        <w:t> </w:t>
      </w:r>
      <w:r>
        <w:rPr>
          <w:sz w:val="20"/>
        </w:rPr>
        <w:t>oportunamente</w:t>
      </w:r>
      <w:r>
        <w:rPr>
          <w:spacing w:val="-5"/>
          <w:sz w:val="20"/>
        </w:rPr>
        <w:t> </w:t>
      </w:r>
      <w:r>
        <w:rPr>
          <w:sz w:val="20"/>
        </w:rPr>
        <w:t>el</w:t>
      </w:r>
      <w:r>
        <w:rPr>
          <w:spacing w:val="-8"/>
          <w:sz w:val="20"/>
        </w:rPr>
        <w:t> </w:t>
      </w:r>
      <w:r>
        <w:rPr>
          <w:sz w:val="20"/>
        </w:rPr>
        <w:t>trabajo</w:t>
      </w:r>
      <w:r>
        <w:rPr>
          <w:spacing w:val="-3"/>
          <w:sz w:val="20"/>
        </w:rPr>
        <w:t> </w:t>
      </w:r>
      <w:r>
        <w:rPr>
          <w:sz w:val="20"/>
        </w:rPr>
        <w:t>y</w:t>
      </w:r>
      <w:r>
        <w:rPr>
          <w:spacing w:val="-7"/>
          <w:sz w:val="20"/>
        </w:rPr>
        <w:t> </w:t>
      </w:r>
      <w:r>
        <w:rPr>
          <w:sz w:val="20"/>
        </w:rPr>
        <w:t>pagar</w:t>
      </w:r>
      <w:r>
        <w:rPr>
          <w:spacing w:val="-4"/>
          <w:sz w:val="20"/>
        </w:rPr>
        <w:t> </w:t>
      </w:r>
      <w:r>
        <w:rPr>
          <w:sz w:val="20"/>
        </w:rPr>
        <w:t>los</w:t>
      </w:r>
      <w:r>
        <w:rPr>
          <w:spacing w:val="-5"/>
          <w:sz w:val="20"/>
        </w:rPr>
        <w:t> </w:t>
      </w:r>
      <w:r>
        <w:rPr>
          <w:sz w:val="20"/>
        </w:rPr>
        <w:t>salarios</w:t>
      </w:r>
      <w:r>
        <w:rPr>
          <w:spacing w:val="-4"/>
          <w:sz w:val="20"/>
        </w:rPr>
        <w:t> </w:t>
      </w:r>
      <w:r>
        <w:rPr>
          <w:sz w:val="20"/>
        </w:rPr>
        <w:t>en</w:t>
      </w:r>
      <w:r>
        <w:rPr>
          <w:spacing w:val="-7"/>
          <w:sz w:val="20"/>
        </w:rPr>
        <w:t> </w:t>
      </w:r>
      <w:r>
        <w:rPr>
          <w:sz w:val="20"/>
        </w:rPr>
        <w:t>la</w:t>
      </w:r>
      <w:r>
        <w:rPr>
          <w:spacing w:val="-5"/>
          <w:sz w:val="20"/>
        </w:rPr>
        <w:t> </w:t>
      </w:r>
      <w:r>
        <w:rPr>
          <w:sz w:val="20"/>
        </w:rPr>
        <w:t>forma</w:t>
      </w:r>
      <w:r>
        <w:rPr>
          <w:spacing w:val="-5"/>
          <w:sz w:val="20"/>
        </w:rPr>
        <w:t> </w:t>
      </w:r>
      <w:r>
        <w:rPr>
          <w:sz w:val="20"/>
        </w:rPr>
        <w:t>y</w:t>
      </w:r>
      <w:r>
        <w:rPr>
          <w:spacing w:val="-9"/>
          <w:sz w:val="20"/>
        </w:rPr>
        <w:t> </w:t>
      </w:r>
      <w:r>
        <w:rPr>
          <w:sz w:val="20"/>
        </w:rPr>
        <w:t>fechas</w:t>
      </w:r>
      <w:r>
        <w:rPr>
          <w:spacing w:val="-6"/>
          <w:sz w:val="20"/>
        </w:rPr>
        <w:t> </w:t>
      </w:r>
      <w:r>
        <w:rPr>
          <w:spacing w:val="-2"/>
          <w:sz w:val="20"/>
        </w:rPr>
        <w:t>estipuladas;</w:t>
      </w:r>
    </w:p>
    <w:p>
      <w:pPr>
        <w:pStyle w:val="BodyText"/>
      </w:pPr>
    </w:p>
    <w:p>
      <w:pPr>
        <w:pStyle w:val="ListParagraph"/>
        <w:numPr>
          <w:ilvl w:val="0"/>
          <w:numId w:val="87"/>
        </w:numPr>
        <w:tabs>
          <w:tab w:pos="1195" w:val="left" w:leader="none"/>
        </w:tabs>
        <w:spacing w:line="242" w:lineRule="auto" w:before="1" w:after="0"/>
        <w:ind w:left="1195" w:right="345" w:hanging="569"/>
        <w:jc w:val="left"/>
        <w:rPr>
          <w:sz w:val="20"/>
        </w:rPr>
      </w:pPr>
      <w:r>
        <w:rPr>
          <w:sz w:val="20"/>
        </w:rPr>
        <w:t>Hacer constar en la libreta de cada trabajador, al momento de recibir el trabajo, las pérdidas o deficiencias que resulten, no pudiendo hacerse ninguna reclamación posterior; y</w:t>
      </w:r>
    </w:p>
    <w:p>
      <w:pPr>
        <w:pStyle w:val="ListParagraph"/>
        <w:numPr>
          <w:ilvl w:val="0"/>
          <w:numId w:val="87"/>
        </w:numPr>
        <w:tabs>
          <w:tab w:pos="1195" w:val="left" w:leader="none"/>
        </w:tabs>
        <w:spacing w:line="242" w:lineRule="auto" w:before="224" w:after="0"/>
        <w:ind w:left="1195" w:right="341" w:hanging="569"/>
        <w:jc w:val="left"/>
        <w:rPr>
          <w:sz w:val="20"/>
        </w:rPr>
      </w:pPr>
      <w:r>
        <w:rPr>
          <w:sz w:val="20"/>
        </w:rPr>
        <w:t>Proporcionar a los Inspectores y a la Comisión Nacional de los Salarios Mínimos los informes</w:t>
      </w:r>
      <w:r>
        <w:rPr>
          <w:spacing w:val="40"/>
          <w:sz w:val="20"/>
        </w:rPr>
        <w:t> </w:t>
      </w:r>
      <w:r>
        <w:rPr>
          <w:sz w:val="20"/>
        </w:rPr>
        <w:t>que le soliciten.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5"/>
        <w:rPr>
          <w:rFonts w:ascii="Times New Roman"/>
          <w:i/>
          <w:sz w:val="16"/>
        </w:rPr>
      </w:pPr>
    </w:p>
    <w:p>
      <w:pPr>
        <w:pStyle w:val="BodyText"/>
        <w:spacing w:line="242" w:lineRule="auto"/>
        <w:ind w:left="338" w:right="345" w:firstLine="288"/>
      </w:pPr>
      <w:bookmarkStart w:name="Artículo_325" w:id="400"/>
      <w:bookmarkEnd w:id="400"/>
      <w:r>
        <w:rPr/>
      </w:r>
      <w:r>
        <w:rPr>
          <w:rFonts w:ascii="Arial" w:hAnsi="Arial"/>
          <w:b/>
        </w:rPr>
        <w:t>Artículo</w:t>
      </w:r>
      <w:r>
        <w:rPr>
          <w:rFonts w:ascii="Arial" w:hAnsi="Arial"/>
          <w:b/>
          <w:spacing w:val="-1"/>
        </w:rPr>
        <w:t> </w:t>
      </w:r>
      <w:r>
        <w:rPr>
          <w:rFonts w:ascii="Arial" w:hAnsi="Arial"/>
          <w:b/>
        </w:rPr>
        <w:t>325.-</w:t>
      </w:r>
      <w:r>
        <w:rPr>
          <w:rFonts w:ascii="Arial" w:hAnsi="Arial"/>
          <w:b/>
          <w:spacing w:val="-1"/>
        </w:rPr>
        <w:t> </w:t>
      </w:r>
      <w:r>
        <w:rPr/>
        <w:t>La</w:t>
      </w:r>
      <w:r>
        <w:rPr>
          <w:spacing w:val="-2"/>
        </w:rPr>
        <w:t> </w:t>
      </w:r>
      <w:r>
        <w:rPr/>
        <w:t>falta de</w:t>
      </w:r>
      <w:r>
        <w:rPr>
          <w:spacing w:val="-3"/>
        </w:rPr>
        <w:t> </w:t>
      </w:r>
      <w:r>
        <w:rPr/>
        <w:t>cumplimiento</w:t>
      </w:r>
      <w:r>
        <w:rPr>
          <w:spacing w:val="-2"/>
        </w:rPr>
        <w:t> </w:t>
      </w:r>
      <w:r>
        <w:rPr/>
        <w:t>puntual</w:t>
      </w:r>
      <w:r>
        <w:rPr>
          <w:spacing w:val="-3"/>
        </w:rPr>
        <w:t> </w:t>
      </w:r>
      <w:r>
        <w:rPr/>
        <w:t>de</w:t>
      </w:r>
      <w:r>
        <w:rPr>
          <w:spacing w:val="-2"/>
        </w:rPr>
        <w:t> </w:t>
      </w:r>
      <w:r>
        <w:rPr/>
        <w:t>las obligaciones</w:t>
      </w:r>
      <w:r>
        <w:rPr>
          <w:spacing w:val="-1"/>
        </w:rPr>
        <w:t> </w:t>
      </w:r>
      <w:r>
        <w:rPr/>
        <w:t>mencionadas en</w:t>
      </w:r>
      <w:r>
        <w:rPr>
          <w:spacing w:val="-3"/>
        </w:rPr>
        <w:t> </w:t>
      </w:r>
      <w:r>
        <w:rPr/>
        <w:t>las</w:t>
      </w:r>
      <w:r>
        <w:rPr>
          <w:spacing w:val="-1"/>
        </w:rPr>
        <w:t> </w:t>
      </w:r>
      <w:r>
        <w:rPr/>
        <w:t>fracciones</w:t>
      </w:r>
      <w:r>
        <w:rPr>
          <w:spacing w:val="-1"/>
        </w:rPr>
        <w:t> </w:t>
      </w:r>
      <w:r>
        <w:rPr/>
        <w:t>II y III del artículo anterior, dará derecho al trabajador a domicilio a una indemnización por el tiempo perdido.</w:t>
      </w:r>
    </w:p>
    <w:p>
      <w:pPr>
        <w:pStyle w:val="BodyText"/>
        <w:spacing w:before="227"/>
        <w:ind w:left="626"/>
      </w:pPr>
      <w:bookmarkStart w:name="Artículo_326" w:id="401"/>
      <w:bookmarkEnd w:id="401"/>
      <w:r>
        <w:rPr/>
      </w:r>
      <w:r>
        <w:rPr>
          <w:rFonts w:ascii="Arial" w:hAnsi="Arial"/>
          <w:b/>
        </w:rPr>
        <w:t>Artículo</w:t>
      </w:r>
      <w:r>
        <w:rPr>
          <w:rFonts w:ascii="Arial" w:hAnsi="Arial"/>
          <w:b/>
          <w:spacing w:val="-8"/>
        </w:rPr>
        <w:t> </w:t>
      </w:r>
      <w:r>
        <w:rPr>
          <w:rFonts w:ascii="Arial" w:hAnsi="Arial"/>
          <w:b/>
        </w:rPr>
        <w:t>326.-</w:t>
      </w:r>
      <w:r>
        <w:rPr>
          <w:rFonts w:ascii="Arial" w:hAnsi="Arial"/>
          <w:b/>
          <w:spacing w:val="-8"/>
        </w:rPr>
        <w:t> </w:t>
      </w:r>
      <w:r>
        <w:rPr/>
        <w:t>Los</w:t>
      </w:r>
      <w:r>
        <w:rPr>
          <w:spacing w:val="-8"/>
        </w:rPr>
        <w:t> </w:t>
      </w:r>
      <w:r>
        <w:rPr/>
        <w:t>trabajadores</w:t>
      </w:r>
      <w:r>
        <w:rPr>
          <w:spacing w:val="-7"/>
        </w:rPr>
        <w:t> </w:t>
      </w:r>
      <w:r>
        <w:rPr/>
        <w:t>a</w:t>
      </w:r>
      <w:r>
        <w:rPr>
          <w:spacing w:val="-10"/>
        </w:rPr>
        <w:t> </w:t>
      </w:r>
      <w:r>
        <w:rPr/>
        <w:t>domicilio</w:t>
      </w:r>
      <w:r>
        <w:rPr>
          <w:spacing w:val="-8"/>
        </w:rPr>
        <w:t> </w:t>
      </w:r>
      <w:r>
        <w:rPr/>
        <w:t>tienen</w:t>
      </w:r>
      <w:r>
        <w:rPr>
          <w:spacing w:val="-7"/>
        </w:rPr>
        <w:t> </w:t>
      </w:r>
      <w:r>
        <w:rPr/>
        <w:t>las</w:t>
      </w:r>
      <w:r>
        <w:rPr>
          <w:spacing w:val="-7"/>
        </w:rPr>
        <w:t> </w:t>
      </w:r>
      <w:r>
        <w:rPr/>
        <w:t>obligaciones</w:t>
      </w:r>
      <w:r>
        <w:rPr>
          <w:spacing w:val="-8"/>
        </w:rPr>
        <w:t> </w:t>
      </w:r>
      <w:r>
        <w:rPr/>
        <w:t>especiales</w:t>
      </w:r>
      <w:r>
        <w:rPr>
          <w:spacing w:val="-7"/>
        </w:rPr>
        <w:t> </w:t>
      </w:r>
      <w:r>
        <w:rPr>
          <w:spacing w:val="-2"/>
        </w:rPr>
        <w:t>siguientes:</w:t>
      </w:r>
    </w:p>
    <w:p>
      <w:pPr>
        <w:pStyle w:val="ListParagraph"/>
        <w:numPr>
          <w:ilvl w:val="0"/>
          <w:numId w:val="88"/>
        </w:numPr>
        <w:tabs>
          <w:tab w:pos="1193" w:val="left" w:leader="none"/>
          <w:tab w:pos="1195" w:val="left" w:leader="none"/>
        </w:tabs>
        <w:spacing w:line="242" w:lineRule="auto" w:before="228" w:after="0"/>
        <w:ind w:left="1195" w:right="338" w:hanging="569"/>
        <w:jc w:val="both"/>
        <w:rPr>
          <w:sz w:val="20"/>
        </w:rPr>
      </w:pPr>
      <w:r>
        <w:rPr>
          <w:sz w:val="20"/>
        </w:rPr>
        <w:t>Poner el mayor cuidado en la guarda y conservación de los materiales y útiles que reciban del </w:t>
      </w:r>
      <w:r>
        <w:rPr>
          <w:spacing w:val="-2"/>
          <w:sz w:val="20"/>
        </w:rPr>
        <w:t>patrón;</w:t>
      </w:r>
    </w:p>
    <w:p>
      <w:pPr>
        <w:pStyle w:val="ListParagraph"/>
        <w:numPr>
          <w:ilvl w:val="0"/>
          <w:numId w:val="88"/>
        </w:numPr>
        <w:tabs>
          <w:tab w:pos="1195" w:val="left" w:leader="none"/>
        </w:tabs>
        <w:spacing w:line="240" w:lineRule="auto" w:before="227" w:after="0"/>
        <w:ind w:left="1195" w:right="0" w:hanging="569"/>
        <w:jc w:val="left"/>
        <w:rPr>
          <w:sz w:val="20"/>
        </w:rPr>
      </w:pPr>
      <w:r>
        <w:rPr>
          <w:sz w:val="20"/>
        </w:rPr>
        <w:t>Elaborar</w:t>
      </w:r>
      <w:r>
        <w:rPr>
          <w:spacing w:val="-5"/>
          <w:sz w:val="20"/>
        </w:rPr>
        <w:t> </w:t>
      </w:r>
      <w:r>
        <w:rPr>
          <w:sz w:val="20"/>
        </w:rPr>
        <w:t>los</w:t>
      </w:r>
      <w:r>
        <w:rPr>
          <w:spacing w:val="-6"/>
          <w:sz w:val="20"/>
        </w:rPr>
        <w:t> </w:t>
      </w:r>
      <w:r>
        <w:rPr>
          <w:sz w:val="20"/>
        </w:rPr>
        <w:t>productos</w:t>
      </w:r>
      <w:r>
        <w:rPr>
          <w:spacing w:val="-7"/>
          <w:sz w:val="20"/>
        </w:rPr>
        <w:t> </w:t>
      </w:r>
      <w:r>
        <w:rPr>
          <w:sz w:val="20"/>
        </w:rPr>
        <w:t>de</w:t>
      </w:r>
      <w:r>
        <w:rPr>
          <w:spacing w:val="-7"/>
          <w:sz w:val="20"/>
        </w:rPr>
        <w:t> </w:t>
      </w:r>
      <w:r>
        <w:rPr>
          <w:sz w:val="20"/>
        </w:rPr>
        <w:t>acuerdo</w:t>
      </w:r>
      <w:r>
        <w:rPr>
          <w:spacing w:val="-8"/>
          <w:sz w:val="20"/>
        </w:rPr>
        <w:t> </w:t>
      </w:r>
      <w:r>
        <w:rPr>
          <w:sz w:val="20"/>
        </w:rPr>
        <w:t>con</w:t>
      </w:r>
      <w:r>
        <w:rPr>
          <w:spacing w:val="-7"/>
          <w:sz w:val="20"/>
        </w:rPr>
        <w:t> </w:t>
      </w:r>
      <w:r>
        <w:rPr>
          <w:sz w:val="20"/>
        </w:rPr>
        <w:t>la</w:t>
      </w:r>
      <w:r>
        <w:rPr>
          <w:spacing w:val="-5"/>
          <w:sz w:val="20"/>
        </w:rPr>
        <w:t> </w:t>
      </w:r>
      <w:r>
        <w:rPr>
          <w:sz w:val="20"/>
        </w:rPr>
        <w:t>calidad</w:t>
      </w:r>
      <w:r>
        <w:rPr>
          <w:spacing w:val="-7"/>
          <w:sz w:val="20"/>
        </w:rPr>
        <w:t> </w:t>
      </w:r>
      <w:r>
        <w:rPr>
          <w:sz w:val="20"/>
        </w:rPr>
        <w:t>convenida</w:t>
      </w:r>
      <w:r>
        <w:rPr>
          <w:spacing w:val="-4"/>
          <w:sz w:val="20"/>
        </w:rPr>
        <w:t> </w:t>
      </w:r>
      <w:r>
        <w:rPr>
          <w:sz w:val="20"/>
        </w:rPr>
        <w:t>y</w:t>
      </w:r>
      <w:r>
        <w:rPr>
          <w:spacing w:val="-10"/>
          <w:sz w:val="20"/>
        </w:rPr>
        <w:t> </w:t>
      </w:r>
      <w:r>
        <w:rPr>
          <w:spacing w:val="-2"/>
          <w:sz w:val="20"/>
        </w:rPr>
        <w:t>acostumbrada;</w:t>
      </w:r>
    </w:p>
    <w:p>
      <w:pPr>
        <w:pStyle w:val="BodyText"/>
        <w:spacing w:before="1"/>
      </w:pPr>
    </w:p>
    <w:p>
      <w:pPr>
        <w:pStyle w:val="ListParagraph"/>
        <w:numPr>
          <w:ilvl w:val="0"/>
          <w:numId w:val="88"/>
        </w:numPr>
        <w:tabs>
          <w:tab w:pos="1195" w:val="left" w:leader="none"/>
        </w:tabs>
        <w:spacing w:line="240" w:lineRule="auto" w:before="0" w:after="0"/>
        <w:ind w:left="1195" w:right="0" w:hanging="569"/>
        <w:jc w:val="left"/>
        <w:rPr>
          <w:sz w:val="20"/>
        </w:rPr>
      </w:pPr>
      <w:r>
        <w:rPr>
          <w:sz w:val="20"/>
        </w:rPr>
        <w:t>Recibir</w:t>
      </w:r>
      <w:r>
        <w:rPr>
          <w:spacing w:val="-4"/>
          <w:sz w:val="20"/>
        </w:rPr>
        <w:t> </w:t>
      </w:r>
      <w:r>
        <w:rPr>
          <w:sz w:val="20"/>
        </w:rPr>
        <w:t>y</w:t>
      </w:r>
      <w:r>
        <w:rPr>
          <w:spacing w:val="-7"/>
          <w:sz w:val="20"/>
        </w:rPr>
        <w:t> </w:t>
      </w:r>
      <w:r>
        <w:rPr>
          <w:sz w:val="20"/>
        </w:rPr>
        <w:t>entregar</w:t>
      </w:r>
      <w:r>
        <w:rPr>
          <w:spacing w:val="-5"/>
          <w:sz w:val="20"/>
        </w:rPr>
        <w:t> </w:t>
      </w:r>
      <w:r>
        <w:rPr>
          <w:sz w:val="20"/>
        </w:rPr>
        <w:t>el</w:t>
      </w:r>
      <w:r>
        <w:rPr>
          <w:spacing w:val="-7"/>
          <w:sz w:val="20"/>
        </w:rPr>
        <w:t> </w:t>
      </w:r>
      <w:r>
        <w:rPr>
          <w:sz w:val="20"/>
        </w:rPr>
        <w:t>trabajo</w:t>
      </w:r>
      <w:r>
        <w:rPr>
          <w:spacing w:val="-6"/>
          <w:sz w:val="20"/>
        </w:rPr>
        <w:t> </w:t>
      </w:r>
      <w:r>
        <w:rPr>
          <w:sz w:val="20"/>
        </w:rPr>
        <w:t>en</w:t>
      </w:r>
      <w:r>
        <w:rPr>
          <w:spacing w:val="-5"/>
          <w:sz w:val="20"/>
        </w:rPr>
        <w:t> </w:t>
      </w:r>
      <w:r>
        <w:rPr>
          <w:sz w:val="20"/>
        </w:rPr>
        <w:t>los</w:t>
      </w:r>
      <w:r>
        <w:rPr>
          <w:spacing w:val="-5"/>
          <w:sz w:val="20"/>
        </w:rPr>
        <w:t> </w:t>
      </w:r>
      <w:r>
        <w:rPr>
          <w:sz w:val="20"/>
        </w:rPr>
        <w:t>días</w:t>
      </w:r>
      <w:r>
        <w:rPr>
          <w:spacing w:val="-3"/>
          <w:sz w:val="20"/>
        </w:rPr>
        <w:t> </w:t>
      </w:r>
      <w:r>
        <w:rPr>
          <w:sz w:val="20"/>
        </w:rPr>
        <w:t>y</w:t>
      </w:r>
      <w:r>
        <w:rPr>
          <w:spacing w:val="-7"/>
          <w:sz w:val="20"/>
        </w:rPr>
        <w:t> </w:t>
      </w:r>
      <w:r>
        <w:rPr>
          <w:sz w:val="20"/>
        </w:rPr>
        <w:t>horas</w:t>
      </w:r>
      <w:r>
        <w:rPr>
          <w:spacing w:val="-6"/>
          <w:sz w:val="20"/>
        </w:rPr>
        <w:t> </w:t>
      </w:r>
      <w:r>
        <w:rPr>
          <w:sz w:val="20"/>
        </w:rPr>
        <w:t>convenidos;</w:t>
      </w:r>
      <w:r>
        <w:rPr>
          <w:spacing w:val="-4"/>
          <w:sz w:val="20"/>
        </w:rPr>
        <w:t> </w:t>
      </w:r>
      <w:r>
        <w:rPr>
          <w:spacing w:val="-10"/>
          <w:sz w:val="20"/>
        </w:rPr>
        <w:t>y</w:t>
      </w:r>
    </w:p>
    <w:p>
      <w:pPr>
        <w:pStyle w:val="ListParagraph"/>
        <w:numPr>
          <w:ilvl w:val="0"/>
          <w:numId w:val="88"/>
        </w:numPr>
        <w:tabs>
          <w:tab w:pos="1195" w:val="left" w:leader="none"/>
        </w:tabs>
        <w:spacing w:line="242" w:lineRule="auto" w:before="228" w:after="0"/>
        <w:ind w:left="1195" w:right="340" w:hanging="569"/>
        <w:jc w:val="both"/>
        <w:rPr>
          <w:sz w:val="20"/>
        </w:rPr>
      </w:pPr>
      <w:r>
        <w:rPr>
          <w:sz w:val="20"/>
        </w:rPr>
        <w:t>Indemnizar al patrón por la pérdida o deterioro que por su culpa sufran los materiales y útiles que reciban. La responsabilidad del trabajador a domicilio se rige por la disposición contenida</w:t>
      </w:r>
      <w:r>
        <w:rPr>
          <w:spacing w:val="40"/>
          <w:sz w:val="20"/>
        </w:rPr>
        <w:t> </w:t>
      </w:r>
      <w:r>
        <w:rPr>
          <w:sz w:val="20"/>
        </w:rPr>
        <w:t>en el artículo 110, fracción I.</w:t>
      </w:r>
    </w:p>
    <w:p>
      <w:pPr>
        <w:pStyle w:val="BodyText"/>
        <w:spacing w:before="225"/>
        <w:ind w:left="338" w:firstLine="288"/>
      </w:pPr>
      <w:bookmarkStart w:name="Artículo_327" w:id="402"/>
      <w:bookmarkEnd w:id="402"/>
      <w:r>
        <w:rPr/>
      </w:r>
      <w:r>
        <w:rPr>
          <w:rFonts w:ascii="Arial" w:hAnsi="Arial"/>
          <w:b/>
        </w:rPr>
        <w:t>Artículo</w:t>
      </w:r>
      <w:r>
        <w:rPr>
          <w:rFonts w:ascii="Arial" w:hAnsi="Arial"/>
          <w:b/>
          <w:spacing w:val="30"/>
        </w:rPr>
        <w:t> </w:t>
      </w:r>
      <w:r>
        <w:rPr>
          <w:rFonts w:ascii="Arial" w:hAnsi="Arial"/>
          <w:b/>
        </w:rPr>
        <w:t>327.-</w:t>
      </w:r>
      <w:r>
        <w:rPr>
          <w:rFonts w:ascii="Arial" w:hAnsi="Arial"/>
          <w:b/>
          <w:spacing w:val="31"/>
        </w:rPr>
        <w:t> </w:t>
      </w:r>
      <w:r>
        <w:rPr/>
        <w:t>También</w:t>
      </w:r>
      <w:r>
        <w:rPr>
          <w:spacing w:val="29"/>
        </w:rPr>
        <w:t> </w:t>
      </w:r>
      <w:r>
        <w:rPr/>
        <w:t>tienen</w:t>
      </w:r>
      <w:r>
        <w:rPr>
          <w:spacing w:val="31"/>
        </w:rPr>
        <w:t> </w:t>
      </w:r>
      <w:r>
        <w:rPr/>
        <w:t>el</w:t>
      </w:r>
      <w:r>
        <w:rPr>
          <w:spacing w:val="29"/>
        </w:rPr>
        <w:t> </w:t>
      </w:r>
      <w:r>
        <w:rPr/>
        <w:t>derecho</w:t>
      </w:r>
      <w:r>
        <w:rPr>
          <w:spacing w:val="32"/>
        </w:rPr>
        <w:t> </w:t>
      </w:r>
      <w:r>
        <w:rPr/>
        <w:t>de</w:t>
      </w:r>
      <w:r>
        <w:rPr>
          <w:spacing w:val="32"/>
        </w:rPr>
        <w:t> </w:t>
      </w:r>
      <w:r>
        <w:rPr/>
        <w:t>que</w:t>
      </w:r>
      <w:r>
        <w:rPr>
          <w:spacing w:val="32"/>
        </w:rPr>
        <w:t> </w:t>
      </w:r>
      <w:r>
        <w:rPr/>
        <w:t>en</w:t>
      </w:r>
      <w:r>
        <w:rPr>
          <w:spacing w:val="30"/>
        </w:rPr>
        <w:t> </w:t>
      </w:r>
      <w:r>
        <w:rPr/>
        <w:t>la</w:t>
      </w:r>
      <w:r>
        <w:rPr>
          <w:spacing w:val="30"/>
        </w:rPr>
        <w:t> </w:t>
      </w:r>
      <w:r>
        <w:rPr/>
        <w:t>semana</w:t>
      </w:r>
      <w:r>
        <w:rPr>
          <w:spacing w:val="30"/>
        </w:rPr>
        <w:t> </w:t>
      </w:r>
      <w:r>
        <w:rPr/>
        <w:t>que</w:t>
      </w:r>
      <w:r>
        <w:rPr>
          <w:spacing w:val="30"/>
        </w:rPr>
        <w:t> </w:t>
      </w:r>
      <w:r>
        <w:rPr/>
        <w:t>corresponda</w:t>
      </w:r>
      <w:r>
        <w:rPr>
          <w:spacing w:val="30"/>
        </w:rPr>
        <w:t> </w:t>
      </w:r>
      <w:r>
        <w:rPr/>
        <w:t>se</w:t>
      </w:r>
      <w:r>
        <w:rPr>
          <w:spacing w:val="32"/>
        </w:rPr>
        <w:t> </w:t>
      </w:r>
      <w:r>
        <w:rPr/>
        <w:t>les</w:t>
      </w:r>
      <w:r>
        <w:rPr>
          <w:spacing w:val="31"/>
        </w:rPr>
        <w:t> </w:t>
      </w:r>
      <w:r>
        <w:rPr/>
        <w:t>pague</w:t>
      </w:r>
      <w:r>
        <w:rPr>
          <w:spacing w:val="32"/>
        </w:rPr>
        <w:t> </w:t>
      </w:r>
      <w:r>
        <w:rPr/>
        <w:t>el salario del día de descanso obligatorio.</w:t>
      </w:r>
    </w:p>
    <w:p>
      <w:pPr>
        <w:pStyle w:val="BodyText"/>
        <w:spacing w:line="242" w:lineRule="auto" w:before="229"/>
        <w:ind w:left="338" w:firstLine="288"/>
      </w:pPr>
      <w:bookmarkStart w:name="Artículo_328" w:id="403"/>
      <w:bookmarkEnd w:id="403"/>
      <w:r>
        <w:rPr/>
      </w:r>
      <w:r>
        <w:rPr>
          <w:rFonts w:ascii="Arial" w:hAnsi="Arial"/>
          <w:b/>
        </w:rPr>
        <w:t>Artículo 328.- </w:t>
      </w:r>
      <w:r>
        <w:rPr/>
        <w:t>Los trabajadores a domicilio tienen derecho a vacaciones anuales. Para determinar el importe del salario correspondiente se estará a lo dispuesto en el párrafo segundo del artículo 89.</w:t>
      </w:r>
    </w:p>
    <w:p>
      <w:pPr>
        <w:pStyle w:val="BodyText"/>
        <w:spacing w:before="227"/>
        <w:ind w:left="338" w:firstLine="288"/>
      </w:pPr>
      <w:bookmarkStart w:name="Artículo_329" w:id="404"/>
      <w:bookmarkEnd w:id="404"/>
      <w:r>
        <w:rPr/>
      </w:r>
      <w:r>
        <w:rPr>
          <w:rFonts w:ascii="Arial" w:hAnsi="Arial"/>
          <w:b/>
        </w:rPr>
        <w:t>Artículo</w:t>
      </w:r>
      <w:r>
        <w:rPr>
          <w:rFonts w:ascii="Arial" w:hAnsi="Arial"/>
          <w:b/>
          <w:spacing w:val="40"/>
        </w:rPr>
        <w:t> </w:t>
      </w:r>
      <w:r>
        <w:rPr>
          <w:rFonts w:ascii="Arial" w:hAnsi="Arial"/>
          <w:b/>
        </w:rPr>
        <w:t>329.-</w:t>
      </w:r>
      <w:r>
        <w:rPr>
          <w:rFonts w:ascii="Arial" w:hAnsi="Arial"/>
          <w:b/>
          <w:spacing w:val="40"/>
        </w:rPr>
        <w:t> </w:t>
      </w:r>
      <w:r>
        <w:rPr/>
        <w:t>El</w:t>
      </w:r>
      <w:r>
        <w:rPr>
          <w:spacing w:val="40"/>
        </w:rPr>
        <w:t> </w:t>
      </w:r>
      <w:r>
        <w:rPr/>
        <w:t>trabajador</w:t>
      </w:r>
      <w:r>
        <w:rPr>
          <w:spacing w:val="40"/>
        </w:rPr>
        <w:t> </w:t>
      </w:r>
      <w:r>
        <w:rPr/>
        <w:t>a</w:t>
      </w:r>
      <w:r>
        <w:rPr>
          <w:spacing w:val="40"/>
        </w:rPr>
        <w:t> </w:t>
      </w:r>
      <w:r>
        <w:rPr/>
        <w:t>domicilio</w:t>
      </w:r>
      <w:r>
        <w:rPr>
          <w:spacing w:val="40"/>
        </w:rPr>
        <w:t> </w:t>
      </w:r>
      <w:r>
        <w:rPr/>
        <w:t>al</w:t>
      </w:r>
      <w:r>
        <w:rPr>
          <w:spacing w:val="40"/>
        </w:rPr>
        <w:t> </w:t>
      </w:r>
      <w:r>
        <w:rPr/>
        <w:t>que</w:t>
      </w:r>
      <w:r>
        <w:rPr>
          <w:spacing w:val="40"/>
        </w:rPr>
        <w:t> </w:t>
      </w:r>
      <w:r>
        <w:rPr/>
        <w:t>se</w:t>
      </w:r>
      <w:r>
        <w:rPr>
          <w:spacing w:val="40"/>
        </w:rPr>
        <w:t> </w:t>
      </w:r>
      <w:r>
        <w:rPr/>
        <w:t>le</w:t>
      </w:r>
      <w:r>
        <w:rPr>
          <w:spacing w:val="40"/>
        </w:rPr>
        <w:t> </w:t>
      </w:r>
      <w:r>
        <w:rPr/>
        <w:t>deje</w:t>
      </w:r>
      <w:r>
        <w:rPr>
          <w:spacing w:val="40"/>
        </w:rPr>
        <w:t> </w:t>
      </w:r>
      <w:r>
        <w:rPr/>
        <w:t>de</w:t>
      </w:r>
      <w:r>
        <w:rPr>
          <w:spacing w:val="40"/>
        </w:rPr>
        <w:t> </w:t>
      </w:r>
      <w:r>
        <w:rPr/>
        <w:t>dar</w:t>
      </w:r>
      <w:r>
        <w:rPr>
          <w:spacing w:val="40"/>
        </w:rPr>
        <w:t> </w:t>
      </w:r>
      <w:r>
        <w:rPr/>
        <w:t>el</w:t>
      </w:r>
      <w:r>
        <w:rPr>
          <w:spacing w:val="40"/>
        </w:rPr>
        <w:t> </w:t>
      </w:r>
      <w:r>
        <w:rPr/>
        <w:t>trabajo,</w:t>
      </w:r>
      <w:r>
        <w:rPr>
          <w:spacing w:val="40"/>
        </w:rPr>
        <w:t> </w:t>
      </w:r>
      <w:r>
        <w:rPr/>
        <w:t>tendrá</w:t>
      </w:r>
      <w:r>
        <w:rPr>
          <w:spacing w:val="40"/>
        </w:rPr>
        <w:t> </w:t>
      </w:r>
      <w:r>
        <w:rPr/>
        <w:t>los</w:t>
      </w:r>
      <w:r>
        <w:rPr>
          <w:spacing w:val="40"/>
        </w:rPr>
        <w:t> </w:t>
      </w:r>
      <w:r>
        <w:rPr/>
        <w:t>derechos consignados en el artículo 48.</w:t>
      </w:r>
    </w:p>
    <w:p>
      <w:pPr>
        <w:pStyle w:val="BodyText"/>
        <w:spacing w:before="229"/>
        <w:ind w:left="626"/>
      </w:pPr>
      <w:bookmarkStart w:name="Artículo_330" w:id="405"/>
      <w:bookmarkEnd w:id="405"/>
      <w:r>
        <w:rPr/>
      </w:r>
      <w:r>
        <w:rPr>
          <w:rFonts w:ascii="Arial" w:hAnsi="Arial"/>
          <w:b/>
        </w:rPr>
        <w:t>Artículo</w:t>
      </w:r>
      <w:r>
        <w:rPr>
          <w:rFonts w:ascii="Arial" w:hAnsi="Arial"/>
          <w:b/>
          <w:spacing w:val="-8"/>
        </w:rPr>
        <w:t> </w:t>
      </w:r>
      <w:r>
        <w:rPr>
          <w:rFonts w:ascii="Arial" w:hAnsi="Arial"/>
          <w:b/>
        </w:rPr>
        <w:t>330.-</w:t>
      </w:r>
      <w:r>
        <w:rPr>
          <w:rFonts w:ascii="Arial" w:hAnsi="Arial"/>
          <w:b/>
          <w:spacing w:val="-7"/>
        </w:rPr>
        <w:t> </w:t>
      </w:r>
      <w:r>
        <w:rPr/>
        <w:t>Los</w:t>
      </w:r>
      <w:r>
        <w:rPr>
          <w:spacing w:val="-8"/>
        </w:rPr>
        <w:t> </w:t>
      </w:r>
      <w:r>
        <w:rPr/>
        <w:t>Inspectores</w:t>
      </w:r>
      <w:r>
        <w:rPr>
          <w:spacing w:val="-7"/>
        </w:rPr>
        <w:t> </w:t>
      </w:r>
      <w:r>
        <w:rPr/>
        <w:t>del</w:t>
      </w:r>
      <w:r>
        <w:rPr>
          <w:spacing w:val="-8"/>
        </w:rPr>
        <w:t> </w:t>
      </w:r>
      <w:r>
        <w:rPr/>
        <w:t>Trabajo</w:t>
      </w:r>
      <w:r>
        <w:rPr>
          <w:spacing w:val="-8"/>
        </w:rPr>
        <w:t> </w:t>
      </w:r>
      <w:r>
        <w:rPr/>
        <w:t>tienen</w:t>
      </w:r>
      <w:r>
        <w:rPr>
          <w:spacing w:val="-7"/>
        </w:rPr>
        <w:t> </w:t>
      </w:r>
      <w:r>
        <w:rPr/>
        <w:t>las</w:t>
      </w:r>
      <w:r>
        <w:rPr>
          <w:spacing w:val="-5"/>
        </w:rPr>
        <w:t> </w:t>
      </w:r>
      <w:r>
        <w:rPr/>
        <w:t>atribuciones</w:t>
      </w:r>
      <w:r>
        <w:rPr>
          <w:spacing w:val="-6"/>
        </w:rPr>
        <w:t> </w:t>
      </w:r>
      <w:r>
        <w:rPr/>
        <w:t>y</w:t>
      </w:r>
      <w:r>
        <w:rPr>
          <w:spacing w:val="-9"/>
        </w:rPr>
        <w:t> </w:t>
      </w:r>
      <w:r>
        <w:rPr/>
        <w:t>deberes</w:t>
      </w:r>
      <w:r>
        <w:rPr>
          <w:spacing w:val="-7"/>
        </w:rPr>
        <w:t> </w:t>
      </w:r>
      <w:r>
        <w:rPr/>
        <w:t>especiales</w:t>
      </w:r>
      <w:r>
        <w:rPr>
          <w:spacing w:val="-7"/>
        </w:rPr>
        <w:t> </w:t>
      </w:r>
      <w:r>
        <w:rPr>
          <w:spacing w:val="-2"/>
        </w:rPr>
        <w:t>siguientes:</w:t>
      </w:r>
    </w:p>
    <w:p>
      <w:pPr>
        <w:pStyle w:val="BodyText"/>
      </w:pPr>
    </w:p>
    <w:p>
      <w:pPr>
        <w:pStyle w:val="ListParagraph"/>
        <w:numPr>
          <w:ilvl w:val="0"/>
          <w:numId w:val="89"/>
        </w:numPr>
        <w:tabs>
          <w:tab w:pos="1193" w:val="left" w:leader="none"/>
          <w:tab w:pos="1195" w:val="left" w:leader="none"/>
        </w:tabs>
        <w:spacing w:line="240" w:lineRule="auto" w:before="1" w:after="0"/>
        <w:ind w:left="1195" w:right="340" w:hanging="569"/>
        <w:jc w:val="both"/>
        <w:rPr>
          <w:sz w:val="20"/>
        </w:rPr>
      </w:pPr>
      <w:r>
        <w:rPr>
          <w:sz w:val="20"/>
        </w:rPr>
        <w:t>Comprobar si las personas que proporcionan trabajo a domicilio se encuentran inscritas en el Registro de Patrones. En caso de que no lo estén, les ordenarán que se registren, apercibiéndolas que de no hacerlo en un término no mayor de 10 días, se les aplicarán las sanciones que señala esta Ley;</w:t>
      </w:r>
    </w:p>
    <w:p>
      <w:pPr>
        <w:pStyle w:val="BodyText"/>
      </w:pPr>
    </w:p>
    <w:p>
      <w:pPr>
        <w:pStyle w:val="ListParagraph"/>
        <w:numPr>
          <w:ilvl w:val="0"/>
          <w:numId w:val="89"/>
        </w:numPr>
        <w:tabs>
          <w:tab w:pos="1192" w:val="left" w:leader="none"/>
          <w:tab w:pos="1195" w:val="left" w:leader="none"/>
        </w:tabs>
        <w:spacing w:line="242" w:lineRule="auto" w:before="0" w:after="0"/>
        <w:ind w:left="1195" w:right="347" w:hanging="569"/>
        <w:jc w:val="both"/>
        <w:rPr>
          <w:sz w:val="20"/>
        </w:rPr>
      </w:pPr>
      <w:r>
        <w:rPr>
          <w:sz w:val="20"/>
        </w:rPr>
        <w:t>Comprobar si se llevan correctamente y se encuentran al día los Libros de registro de trabajadores a domicilio y las Libretas de trabajo a domicilio;</w:t>
      </w:r>
    </w:p>
    <w:p>
      <w:pPr>
        <w:pStyle w:val="ListParagraph"/>
        <w:numPr>
          <w:ilvl w:val="0"/>
          <w:numId w:val="89"/>
        </w:numPr>
        <w:tabs>
          <w:tab w:pos="1191" w:val="left" w:leader="none"/>
          <w:tab w:pos="1195" w:val="left" w:leader="none"/>
        </w:tabs>
        <w:spacing w:line="242" w:lineRule="auto" w:before="224" w:after="0"/>
        <w:ind w:left="1195" w:right="330" w:hanging="569"/>
        <w:jc w:val="both"/>
        <w:rPr>
          <w:sz w:val="20"/>
        </w:rPr>
      </w:pPr>
      <w:r>
        <w:rPr>
          <w:sz w:val="20"/>
        </w:rPr>
        <w:t>Vigilar que la tarifa de salarios se fije en lugar visible de los locales en donde se reciba y proporcione el trabajo;</w:t>
      </w:r>
    </w:p>
    <w:p>
      <w:pPr>
        <w:pStyle w:val="ListParagraph"/>
        <w:numPr>
          <w:ilvl w:val="0"/>
          <w:numId w:val="89"/>
        </w:numPr>
        <w:tabs>
          <w:tab w:pos="1195" w:val="left" w:leader="none"/>
        </w:tabs>
        <w:spacing w:line="240" w:lineRule="auto" w:before="227" w:after="0"/>
        <w:ind w:left="1195" w:right="0" w:hanging="569"/>
        <w:jc w:val="left"/>
        <w:rPr>
          <w:sz w:val="20"/>
        </w:rPr>
      </w:pPr>
      <w:r>
        <w:rPr>
          <w:sz w:val="20"/>
        </w:rPr>
        <w:t>Verificar</w:t>
      </w:r>
      <w:r>
        <w:rPr>
          <w:spacing w:val="-7"/>
          <w:sz w:val="20"/>
        </w:rPr>
        <w:t> </w:t>
      </w:r>
      <w:r>
        <w:rPr>
          <w:sz w:val="20"/>
        </w:rPr>
        <w:t>si</w:t>
      </w:r>
      <w:r>
        <w:rPr>
          <w:spacing w:val="-5"/>
          <w:sz w:val="20"/>
        </w:rPr>
        <w:t> </w:t>
      </w:r>
      <w:r>
        <w:rPr>
          <w:sz w:val="20"/>
        </w:rPr>
        <w:t>los</w:t>
      </w:r>
      <w:r>
        <w:rPr>
          <w:spacing w:val="-5"/>
          <w:sz w:val="20"/>
        </w:rPr>
        <w:t> </w:t>
      </w:r>
      <w:r>
        <w:rPr>
          <w:sz w:val="20"/>
        </w:rPr>
        <w:t>salarios</w:t>
      </w:r>
      <w:r>
        <w:rPr>
          <w:spacing w:val="-5"/>
          <w:sz w:val="20"/>
        </w:rPr>
        <w:t> </w:t>
      </w:r>
      <w:r>
        <w:rPr>
          <w:sz w:val="20"/>
        </w:rPr>
        <w:t>se</w:t>
      </w:r>
      <w:r>
        <w:rPr>
          <w:spacing w:val="-4"/>
          <w:sz w:val="20"/>
        </w:rPr>
        <w:t> </w:t>
      </w:r>
      <w:r>
        <w:rPr>
          <w:sz w:val="20"/>
        </w:rPr>
        <w:t>pagan</w:t>
      </w:r>
      <w:r>
        <w:rPr>
          <w:spacing w:val="-5"/>
          <w:sz w:val="20"/>
        </w:rPr>
        <w:t> </w:t>
      </w:r>
      <w:r>
        <w:rPr>
          <w:sz w:val="20"/>
        </w:rPr>
        <w:t>de</w:t>
      </w:r>
      <w:r>
        <w:rPr>
          <w:spacing w:val="-5"/>
          <w:sz w:val="20"/>
        </w:rPr>
        <w:t> </w:t>
      </w:r>
      <w:r>
        <w:rPr>
          <w:sz w:val="20"/>
        </w:rPr>
        <w:t>acuerdo</w:t>
      </w:r>
      <w:r>
        <w:rPr>
          <w:spacing w:val="-6"/>
          <w:sz w:val="20"/>
        </w:rPr>
        <w:t> </w:t>
      </w:r>
      <w:r>
        <w:rPr>
          <w:sz w:val="20"/>
        </w:rPr>
        <w:t>con</w:t>
      </w:r>
      <w:r>
        <w:rPr>
          <w:spacing w:val="-5"/>
          <w:sz w:val="20"/>
        </w:rPr>
        <w:t> </w:t>
      </w:r>
      <w:r>
        <w:rPr>
          <w:sz w:val="20"/>
        </w:rPr>
        <w:t>la</w:t>
      </w:r>
      <w:r>
        <w:rPr>
          <w:spacing w:val="-6"/>
          <w:sz w:val="20"/>
        </w:rPr>
        <w:t> </w:t>
      </w:r>
      <w:r>
        <w:rPr>
          <w:sz w:val="20"/>
        </w:rPr>
        <w:t>tarifa</w:t>
      </w:r>
      <w:r>
        <w:rPr>
          <w:spacing w:val="-6"/>
          <w:sz w:val="20"/>
        </w:rPr>
        <w:t> </w:t>
      </w:r>
      <w:r>
        <w:rPr>
          <w:spacing w:val="-2"/>
          <w:sz w:val="20"/>
        </w:rPr>
        <w:t>respectiva;</w:t>
      </w:r>
    </w:p>
    <w:p>
      <w:pPr>
        <w:pStyle w:val="ListParagraph"/>
        <w:numPr>
          <w:ilvl w:val="0"/>
          <w:numId w:val="89"/>
        </w:numPr>
        <w:tabs>
          <w:tab w:pos="1195" w:val="left" w:leader="none"/>
        </w:tabs>
        <w:spacing w:line="242" w:lineRule="auto" w:before="228" w:after="0"/>
        <w:ind w:left="1195" w:right="346" w:hanging="569"/>
        <w:jc w:val="both"/>
        <w:rPr>
          <w:sz w:val="20"/>
        </w:rPr>
      </w:pPr>
      <w:r>
        <w:rPr>
          <w:sz w:val="20"/>
        </w:rPr>
        <w:t>Vigilar que los salarios no sean inferiores a los que se paguen en la empresa al trabajador </w:t>
      </w:r>
      <w:r>
        <w:rPr>
          <w:spacing w:val="-2"/>
          <w:sz w:val="20"/>
        </w:rPr>
        <w:t>similar;</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3"/>
      </w:pPr>
    </w:p>
    <w:p>
      <w:pPr>
        <w:pStyle w:val="ListParagraph"/>
        <w:numPr>
          <w:ilvl w:val="0"/>
          <w:numId w:val="89"/>
        </w:numPr>
        <w:tabs>
          <w:tab w:pos="1195" w:val="left" w:leader="none"/>
        </w:tabs>
        <w:spacing w:line="242" w:lineRule="auto" w:before="0" w:after="0"/>
        <w:ind w:left="1195" w:right="342" w:hanging="569"/>
        <w:jc w:val="left"/>
        <w:rPr>
          <w:sz w:val="20"/>
        </w:rPr>
      </w:pPr>
      <w:r>
        <w:rPr>
          <w:sz w:val="20"/>
        </w:rPr>
        <w:t>Practicar</w:t>
      </w:r>
      <w:r>
        <w:rPr>
          <w:spacing w:val="35"/>
          <w:sz w:val="20"/>
        </w:rPr>
        <w:t> </w:t>
      </w:r>
      <w:r>
        <w:rPr>
          <w:sz w:val="20"/>
        </w:rPr>
        <w:t>visitas</w:t>
      </w:r>
      <w:r>
        <w:rPr>
          <w:spacing w:val="35"/>
          <w:sz w:val="20"/>
        </w:rPr>
        <w:t> </w:t>
      </w:r>
      <w:r>
        <w:rPr>
          <w:sz w:val="20"/>
        </w:rPr>
        <w:t>en</w:t>
      </w:r>
      <w:r>
        <w:rPr>
          <w:spacing w:val="34"/>
          <w:sz w:val="20"/>
        </w:rPr>
        <w:t> </w:t>
      </w:r>
      <w:r>
        <w:rPr>
          <w:sz w:val="20"/>
        </w:rPr>
        <w:t>los</w:t>
      </w:r>
      <w:r>
        <w:rPr>
          <w:spacing w:val="33"/>
          <w:sz w:val="20"/>
        </w:rPr>
        <w:t> </w:t>
      </w:r>
      <w:r>
        <w:rPr>
          <w:sz w:val="20"/>
        </w:rPr>
        <w:t>locales</w:t>
      </w:r>
      <w:r>
        <w:rPr>
          <w:spacing w:val="35"/>
          <w:sz w:val="20"/>
        </w:rPr>
        <w:t> </w:t>
      </w:r>
      <w:r>
        <w:rPr>
          <w:sz w:val="20"/>
        </w:rPr>
        <w:t>donde</w:t>
      </w:r>
      <w:r>
        <w:rPr>
          <w:spacing w:val="34"/>
          <w:sz w:val="20"/>
        </w:rPr>
        <w:t> </w:t>
      </w:r>
      <w:r>
        <w:rPr>
          <w:sz w:val="20"/>
        </w:rPr>
        <w:t>se</w:t>
      </w:r>
      <w:r>
        <w:rPr>
          <w:spacing w:val="34"/>
          <w:sz w:val="20"/>
        </w:rPr>
        <w:t> </w:t>
      </w:r>
      <w:r>
        <w:rPr>
          <w:sz w:val="20"/>
        </w:rPr>
        <w:t>ejecute</w:t>
      </w:r>
      <w:r>
        <w:rPr>
          <w:spacing w:val="34"/>
          <w:sz w:val="20"/>
        </w:rPr>
        <w:t> </w:t>
      </w:r>
      <w:r>
        <w:rPr>
          <w:sz w:val="20"/>
        </w:rPr>
        <w:t>el</w:t>
      </w:r>
      <w:r>
        <w:rPr>
          <w:spacing w:val="31"/>
          <w:sz w:val="20"/>
        </w:rPr>
        <w:t> </w:t>
      </w:r>
      <w:r>
        <w:rPr>
          <w:sz w:val="20"/>
        </w:rPr>
        <w:t>trabajo,</w:t>
      </w:r>
      <w:r>
        <w:rPr>
          <w:spacing w:val="34"/>
          <w:sz w:val="20"/>
        </w:rPr>
        <w:t> </w:t>
      </w:r>
      <w:r>
        <w:rPr>
          <w:sz w:val="20"/>
        </w:rPr>
        <w:t>para</w:t>
      </w:r>
      <w:r>
        <w:rPr>
          <w:spacing w:val="34"/>
          <w:sz w:val="20"/>
        </w:rPr>
        <w:t> </w:t>
      </w:r>
      <w:r>
        <w:rPr>
          <w:sz w:val="20"/>
        </w:rPr>
        <w:t>vigilar</w:t>
      </w:r>
      <w:r>
        <w:rPr>
          <w:spacing w:val="33"/>
          <w:sz w:val="20"/>
        </w:rPr>
        <w:t> </w:t>
      </w:r>
      <w:r>
        <w:rPr>
          <w:sz w:val="20"/>
        </w:rPr>
        <w:t>que</w:t>
      </w:r>
      <w:r>
        <w:rPr>
          <w:spacing w:val="34"/>
          <w:sz w:val="20"/>
        </w:rPr>
        <w:t> </w:t>
      </w:r>
      <w:r>
        <w:rPr>
          <w:sz w:val="20"/>
        </w:rPr>
        <w:t>se</w:t>
      </w:r>
      <w:r>
        <w:rPr>
          <w:spacing w:val="34"/>
          <w:sz w:val="20"/>
        </w:rPr>
        <w:t> </w:t>
      </w:r>
      <w:r>
        <w:rPr>
          <w:sz w:val="20"/>
        </w:rPr>
        <w:t>cumplan</w:t>
      </w:r>
      <w:r>
        <w:rPr>
          <w:spacing w:val="34"/>
          <w:sz w:val="20"/>
        </w:rPr>
        <w:t> </w:t>
      </w:r>
      <w:r>
        <w:rPr>
          <w:sz w:val="20"/>
        </w:rPr>
        <w:t>las disposiciones sobre higiene y seguridad; y</w:t>
      </w:r>
    </w:p>
    <w:p>
      <w:pPr>
        <w:pStyle w:val="ListParagraph"/>
        <w:numPr>
          <w:ilvl w:val="0"/>
          <w:numId w:val="89"/>
        </w:numPr>
        <w:tabs>
          <w:tab w:pos="1195" w:val="left" w:leader="none"/>
        </w:tabs>
        <w:spacing w:line="242" w:lineRule="auto" w:before="227" w:after="0"/>
        <w:ind w:left="1195" w:right="343" w:hanging="569"/>
        <w:jc w:val="left"/>
        <w:rPr>
          <w:sz w:val="20"/>
        </w:rPr>
      </w:pPr>
      <w:r>
        <w:rPr>
          <w:sz w:val="20"/>
        </w:rPr>
        <w:t>Informar</w:t>
      </w:r>
      <w:r>
        <w:rPr>
          <w:spacing w:val="40"/>
          <w:sz w:val="20"/>
        </w:rPr>
        <w:t> </w:t>
      </w:r>
      <w:r>
        <w:rPr>
          <w:sz w:val="20"/>
        </w:rPr>
        <w:t>a</w:t>
      </w:r>
      <w:r>
        <w:rPr>
          <w:spacing w:val="40"/>
          <w:sz w:val="20"/>
        </w:rPr>
        <w:t> </w:t>
      </w:r>
      <w:r>
        <w:rPr>
          <w:sz w:val="20"/>
        </w:rPr>
        <w:t>la</w:t>
      </w:r>
      <w:r>
        <w:rPr>
          <w:spacing w:val="40"/>
          <w:sz w:val="20"/>
        </w:rPr>
        <w:t> </w:t>
      </w:r>
      <w:r>
        <w:rPr>
          <w:sz w:val="20"/>
        </w:rPr>
        <w:t>Comisión</w:t>
      </w:r>
      <w:r>
        <w:rPr>
          <w:spacing w:val="40"/>
          <w:sz w:val="20"/>
        </w:rPr>
        <w:t> </w:t>
      </w:r>
      <w:r>
        <w:rPr>
          <w:sz w:val="20"/>
        </w:rPr>
        <w:t>Nacional</w:t>
      </w:r>
      <w:r>
        <w:rPr>
          <w:spacing w:val="40"/>
          <w:sz w:val="20"/>
        </w:rPr>
        <w:t> </w:t>
      </w:r>
      <w:r>
        <w:rPr>
          <w:sz w:val="20"/>
        </w:rPr>
        <w:t>de</w:t>
      </w:r>
      <w:r>
        <w:rPr>
          <w:spacing w:val="40"/>
          <w:sz w:val="20"/>
        </w:rPr>
        <w:t> </w:t>
      </w:r>
      <w:r>
        <w:rPr>
          <w:sz w:val="20"/>
        </w:rPr>
        <w:t>los</w:t>
      </w:r>
      <w:r>
        <w:rPr>
          <w:spacing w:val="40"/>
          <w:sz w:val="20"/>
        </w:rPr>
        <w:t> </w:t>
      </w:r>
      <w:r>
        <w:rPr>
          <w:sz w:val="20"/>
        </w:rPr>
        <w:t>Salarios</w:t>
      </w:r>
      <w:r>
        <w:rPr>
          <w:spacing w:val="40"/>
          <w:sz w:val="20"/>
        </w:rPr>
        <w:t> </w:t>
      </w:r>
      <w:r>
        <w:rPr>
          <w:sz w:val="20"/>
        </w:rPr>
        <w:t>Mínimos</w:t>
      </w:r>
      <w:r>
        <w:rPr>
          <w:spacing w:val="40"/>
          <w:sz w:val="20"/>
        </w:rPr>
        <w:t> </w:t>
      </w:r>
      <w:r>
        <w:rPr>
          <w:sz w:val="20"/>
        </w:rPr>
        <w:t>las</w:t>
      </w:r>
      <w:r>
        <w:rPr>
          <w:spacing w:val="40"/>
          <w:sz w:val="20"/>
        </w:rPr>
        <w:t> </w:t>
      </w:r>
      <w:r>
        <w:rPr>
          <w:sz w:val="20"/>
        </w:rPr>
        <w:t>diferencias</w:t>
      </w:r>
      <w:r>
        <w:rPr>
          <w:spacing w:val="40"/>
          <w:sz w:val="20"/>
        </w:rPr>
        <w:t> </w:t>
      </w:r>
      <w:r>
        <w:rPr>
          <w:sz w:val="20"/>
        </w:rPr>
        <w:t>de</w:t>
      </w:r>
      <w:r>
        <w:rPr>
          <w:spacing w:val="40"/>
          <w:sz w:val="20"/>
        </w:rPr>
        <w:t> </w:t>
      </w:r>
      <w:r>
        <w:rPr>
          <w:sz w:val="20"/>
        </w:rPr>
        <w:t>salarios</w:t>
      </w:r>
      <w:r>
        <w:rPr>
          <w:spacing w:val="40"/>
          <w:sz w:val="20"/>
        </w:rPr>
        <w:t> </w:t>
      </w:r>
      <w:r>
        <w:rPr>
          <w:sz w:val="20"/>
        </w:rPr>
        <w:t>que adviertan, en relación con los que se paguen a trabajadores que ejecuten trabajos similares.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Heading1"/>
        <w:spacing w:line="252" w:lineRule="exact" w:before="229"/>
        <w:ind w:left="300"/>
      </w:pPr>
      <w:r>
        <w:rPr/>
        <w:t>CAPÍTULO</w:t>
      </w:r>
      <w:r>
        <w:rPr>
          <w:spacing w:val="-6"/>
        </w:rPr>
        <w:t> </w:t>
      </w:r>
      <w:r>
        <w:rPr/>
        <w:t>XII</w:t>
      </w:r>
      <w:r>
        <w:rPr>
          <w:spacing w:val="-2"/>
        </w:rPr>
        <w:t> </w:t>
      </w:r>
      <w:r>
        <w:rPr>
          <w:spacing w:val="-5"/>
        </w:rPr>
        <w:t>BIS</w:t>
      </w:r>
    </w:p>
    <w:p>
      <w:pPr>
        <w:pStyle w:val="Heading2"/>
        <w:spacing w:line="252" w:lineRule="exact"/>
        <w:ind w:left="296"/>
      </w:pPr>
      <w:r>
        <w:rPr>
          <w:spacing w:val="-2"/>
        </w:rPr>
        <w:t>Teletrabajo</w:t>
      </w:r>
    </w:p>
    <w:p>
      <w:pPr>
        <w:spacing w:before="4"/>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229"/>
        <w:ind w:left="338" w:right="330" w:firstLine="288"/>
        <w:jc w:val="both"/>
      </w:pPr>
      <w:bookmarkStart w:name="Artículo_330_A" w:id="406"/>
      <w:bookmarkEnd w:id="406"/>
      <w:r>
        <w:rPr/>
      </w:r>
      <w:r>
        <w:rPr>
          <w:rFonts w:ascii="Arial" w:hAnsi="Arial"/>
          <w:b/>
        </w:rPr>
        <w:t>Artículo 330-A.- </w:t>
      </w:r>
      <w:r>
        <w:rPr/>
        <w:t>El teletrabajo es una forma de organización laboral subordinada que consiste en el desempeño de actividades remuneradas, en lugares distintos al establecimiento o establecimientos del patrón, por lo que no se requiere la presencia física de la persona trabajadora bajo la modalidad de teletrabajo, en el centro de trabajo, utilizando primordialmente las tecnologías de la información y comunicación, para el contacto y mando entre la persona trabajadora bajo la modalidad de teletrabajo y</w:t>
      </w:r>
      <w:r>
        <w:rPr>
          <w:spacing w:val="80"/>
        </w:rPr>
        <w:t> </w:t>
      </w:r>
      <w:r>
        <w:rPr/>
        <w:t>el patrón.</w:t>
      </w:r>
    </w:p>
    <w:p>
      <w:pPr>
        <w:pStyle w:val="BodyText"/>
        <w:spacing w:before="3"/>
      </w:pPr>
    </w:p>
    <w:p>
      <w:pPr>
        <w:pStyle w:val="BodyText"/>
        <w:ind w:left="338" w:right="343" w:firstLine="288"/>
        <w:jc w:val="both"/>
      </w:pPr>
      <w:r>
        <w:rPr/>
        <w:t>La persona trabajadora bajo la modalidad de teletrabajo será quien preste sus servicios personal, remunerado y subordinado en lugar distinto a las instalaciones de la empresa o fuente de trabajo del patrón y utilice las tecnologías de la información y la comunicación.</w:t>
      </w:r>
    </w:p>
    <w:p>
      <w:pPr>
        <w:pStyle w:val="BodyText"/>
        <w:spacing w:before="229"/>
        <w:ind w:left="338" w:right="337" w:firstLine="288"/>
        <w:jc w:val="both"/>
      </w:pPr>
      <w:r>
        <w:rPr/>
        <w:t>Para efectos de la modalidad de teletrabajo, se entenderá por tecnologías de la información y la comunicación, al conjunto de servicios, infraestructura, redes, software, aplicaciones informáticas y dispositivos que tienen como propósito facilitar las tareas y funciones en los centros de trabajo, así como las que se necesitan para la gestión y transformación de la información, en particular los componentes tecnológicos que permiten crear, modificar, almacenar, proteger y recuperar esa información.</w:t>
      </w:r>
    </w:p>
    <w:p>
      <w:pPr>
        <w:pStyle w:val="BodyText"/>
        <w:spacing w:before="1"/>
      </w:pPr>
    </w:p>
    <w:p>
      <w:pPr>
        <w:pStyle w:val="BodyText"/>
        <w:ind w:left="338" w:right="343" w:firstLine="288"/>
        <w:jc w:val="both"/>
      </w:pPr>
      <w:r>
        <w:rPr/>
        <w:t>Se</w:t>
      </w:r>
      <w:r>
        <w:rPr>
          <w:spacing w:val="-2"/>
        </w:rPr>
        <w:t> </w:t>
      </w:r>
      <w:r>
        <w:rPr/>
        <w:t>regirán por las disposiciones del</w:t>
      </w:r>
      <w:r>
        <w:rPr>
          <w:spacing w:val="-1"/>
        </w:rPr>
        <w:t> </w:t>
      </w:r>
      <w:r>
        <w:rPr/>
        <w:t>presente Capítulo las</w:t>
      </w:r>
      <w:r>
        <w:rPr>
          <w:spacing w:val="-1"/>
        </w:rPr>
        <w:t> </w:t>
      </w:r>
      <w:r>
        <w:rPr/>
        <w:t>relaciones</w:t>
      </w:r>
      <w:r>
        <w:rPr>
          <w:spacing w:val="-1"/>
        </w:rPr>
        <w:t> </w:t>
      </w:r>
      <w:r>
        <w:rPr/>
        <w:t>laborales que</w:t>
      </w:r>
      <w:r>
        <w:rPr>
          <w:spacing w:val="-2"/>
        </w:rPr>
        <w:t> </w:t>
      </w:r>
      <w:r>
        <w:rPr/>
        <w:t>se desarrollen</w:t>
      </w:r>
      <w:r>
        <w:rPr>
          <w:spacing w:val="-2"/>
        </w:rPr>
        <w:t> </w:t>
      </w:r>
      <w:r>
        <w:rPr/>
        <w:t>más del cuarenta por ciento del tiempo en el domicilio de la persona trabajadora bajo la modalidad de teletrabajo, o en el domicilio elegido por ésta.</w:t>
      </w:r>
    </w:p>
    <w:p>
      <w:pPr>
        <w:pStyle w:val="BodyText"/>
        <w:spacing w:before="1"/>
      </w:pPr>
    </w:p>
    <w:p>
      <w:pPr>
        <w:pStyle w:val="BodyText"/>
        <w:spacing w:line="228" w:lineRule="exact" w:before="1"/>
        <w:ind w:left="626"/>
      </w:pPr>
      <w:r>
        <w:rPr/>
        <w:t>No</w:t>
      </w:r>
      <w:r>
        <w:rPr>
          <w:spacing w:val="-8"/>
        </w:rPr>
        <w:t> </w:t>
      </w:r>
      <w:r>
        <w:rPr/>
        <w:t>será</w:t>
      </w:r>
      <w:r>
        <w:rPr>
          <w:spacing w:val="-7"/>
        </w:rPr>
        <w:t> </w:t>
      </w:r>
      <w:r>
        <w:rPr/>
        <w:t>considerado</w:t>
      </w:r>
      <w:r>
        <w:rPr>
          <w:spacing w:val="-8"/>
        </w:rPr>
        <w:t> </w:t>
      </w:r>
      <w:r>
        <w:rPr/>
        <w:t>teletrabajo</w:t>
      </w:r>
      <w:r>
        <w:rPr>
          <w:spacing w:val="-7"/>
        </w:rPr>
        <w:t> </w:t>
      </w:r>
      <w:r>
        <w:rPr/>
        <w:t>aquel</w:t>
      </w:r>
      <w:r>
        <w:rPr>
          <w:spacing w:val="-8"/>
        </w:rPr>
        <w:t> </w:t>
      </w:r>
      <w:r>
        <w:rPr/>
        <w:t>que</w:t>
      </w:r>
      <w:r>
        <w:rPr>
          <w:spacing w:val="-8"/>
        </w:rPr>
        <w:t> </w:t>
      </w:r>
      <w:r>
        <w:rPr/>
        <w:t>se</w:t>
      </w:r>
      <w:r>
        <w:rPr>
          <w:spacing w:val="-5"/>
        </w:rPr>
        <w:t> </w:t>
      </w:r>
      <w:r>
        <w:rPr/>
        <w:t>realice</w:t>
      </w:r>
      <w:r>
        <w:rPr>
          <w:spacing w:val="-5"/>
        </w:rPr>
        <w:t> </w:t>
      </w:r>
      <w:r>
        <w:rPr/>
        <w:t>de</w:t>
      </w:r>
      <w:r>
        <w:rPr>
          <w:spacing w:val="-8"/>
        </w:rPr>
        <w:t> </w:t>
      </w:r>
      <w:r>
        <w:rPr/>
        <w:t>forma</w:t>
      </w:r>
      <w:r>
        <w:rPr>
          <w:spacing w:val="-7"/>
        </w:rPr>
        <w:t> </w:t>
      </w:r>
      <w:r>
        <w:rPr/>
        <w:t>ocasional</w:t>
      </w:r>
      <w:r>
        <w:rPr>
          <w:spacing w:val="-6"/>
        </w:rPr>
        <w:t> </w:t>
      </w:r>
      <w:r>
        <w:rPr/>
        <w:t>o</w:t>
      </w:r>
      <w:r>
        <w:rPr>
          <w:spacing w:val="-7"/>
        </w:rPr>
        <w:t> </w:t>
      </w:r>
      <w:r>
        <w:rPr>
          <w:spacing w:val="-2"/>
        </w:rPr>
        <w:t>esporádica.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338" w:right="346" w:firstLine="288"/>
        <w:jc w:val="both"/>
      </w:pPr>
      <w:bookmarkStart w:name="Artículo_330_B" w:id="407"/>
      <w:bookmarkEnd w:id="407"/>
      <w:r>
        <w:rPr/>
      </w:r>
      <w:r>
        <w:rPr>
          <w:rFonts w:ascii="Arial" w:hAnsi="Arial"/>
          <w:b/>
        </w:rPr>
        <w:t>Artículo 330-B.- </w:t>
      </w:r>
      <w:r>
        <w:rPr/>
        <w:t>Las condiciones de trabajo se harán constar por escrito mediante un contrato y</w:t>
      </w:r>
      <w:r>
        <w:rPr>
          <w:spacing w:val="-2"/>
        </w:rPr>
        <w:t> </w:t>
      </w:r>
      <w:r>
        <w:rPr/>
        <w:t>cada una de las partes conservará un ejemplar. Además de lo establecido en el artículo 25 de esta Ley, el contrato contendrá:</w:t>
      </w:r>
    </w:p>
    <w:p>
      <w:pPr>
        <w:pStyle w:val="ListParagraph"/>
        <w:numPr>
          <w:ilvl w:val="0"/>
          <w:numId w:val="90"/>
        </w:numPr>
        <w:tabs>
          <w:tab w:pos="1058" w:val="left" w:leader="none"/>
        </w:tabs>
        <w:spacing w:line="240" w:lineRule="auto" w:before="229" w:after="0"/>
        <w:ind w:left="1058" w:right="0" w:hanging="432"/>
        <w:jc w:val="left"/>
        <w:rPr>
          <w:sz w:val="20"/>
        </w:rPr>
      </w:pPr>
      <w:r>
        <w:rPr>
          <w:sz w:val="20"/>
        </w:rPr>
        <w:t>Nombre,</w:t>
      </w:r>
      <w:r>
        <w:rPr>
          <w:spacing w:val="-7"/>
          <w:sz w:val="20"/>
        </w:rPr>
        <w:t> </w:t>
      </w:r>
      <w:r>
        <w:rPr>
          <w:sz w:val="20"/>
        </w:rPr>
        <w:t>nacionalidad,</w:t>
      </w:r>
      <w:r>
        <w:rPr>
          <w:spacing w:val="-6"/>
          <w:sz w:val="20"/>
        </w:rPr>
        <w:t> </w:t>
      </w:r>
      <w:r>
        <w:rPr>
          <w:sz w:val="20"/>
        </w:rPr>
        <w:t>edad,</w:t>
      </w:r>
      <w:r>
        <w:rPr>
          <w:spacing w:val="-5"/>
          <w:sz w:val="20"/>
        </w:rPr>
        <w:t> </w:t>
      </w:r>
      <w:r>
        <w:rPr>
          <w:sz w:val="20"/>
        </w:rPr>
        <w:t>sexo</w:t>
      </w:r>
      <w:r>
        <w:rPr>
          <w:spacing w:val="-3"/>
          <w:sz w:val="20"/>
        </w:rPr>
        <w:t> </w:t>
      </w:r>
      <w:r>
        <w:rPr>
          <w:sz w:val="20"/>
        </w:rPr>
        <w:t>y</w:t>
      </w:r>
      <w:r>
        <w:rPr>
          <w:spacing w:val="-9"/>
          <w:sz w:val="20"/>
        </w:rPr>
        <w:t> </w:t>
      </w:r>
      <w:r>
        <w:rPr>
          <w:sz w:val="20"/>
        </w:rPr>
        <w:t>domicilio</w:t>
      </w:r>
      <w:r>
        <w:rPr>
          <w:spacing w:val="-7"/>
          <w:sz w:val="20"/>
        </w:rPr>
        <w:t> </w:t>
      </w:r>
      <w:r>
        <w:rPr>
          <w:sz w:val="20"/>
        </w:rPr>
        <w:t>de</w:t>
      </w:r>
      <w:r>
        <w:rPr>
          <w:spacing w:val="-6"/>
          <w:sz w:val="20"/>
        </w:rPr>
        <w:t> </w:t>
      </w:r>
      <w:r>
        <w:rPr>
          <w:sz w:val="20"/>
        </w:rPr>
        <w:t>las</w:t>
      </w:r>
      <w:r>
        <w:rPr>
          <w:spacing w:val="-6"/>
          <w:sz w:val="20"/>
        </w:rPr>
        <w:t> </w:t>
      </w:r>
      <w:r>
        <w:rPr>
          <w:spacing w:val="-2"/>
          <w:sz w:val="20"/>
        </w:rPr>
        <w:t>partes;</w:t>
      </w:r>
    </w:p>
    <w:p>
      <w:pPr>
        <w:pStyle w:val="BodyText"/>
        <w:spacing w:before="1"/>
      </w:pPr>
    </w:p>
    <w:p>
      <w:pPr>
        <w:pStyle w:val="ListParagraph"/>
        <w:numPr>
          <w:ilvl w:val="0"/>
          <w:numId w:val="90"/>
        </w:numPr>
        <w:tabs>
          <w:tab w:pos="1058" w:val="left" w:leader="none"/>
        </w:tabs>
        <w:spacing w:line="240" w:lineRule="auto" w:before="0" w:after="0"/>
        <w:ind w:left="1058" w:right="0" w:hanging="432"/>
        <w:jc w:val="left"/>
        <w:rPr>
          <w:sz w:val="20"/>
        </w:rPr>
      </w:pPr>
      <w:r>
        <w:rPr>
          <w:sz w:val="20"/>
        </w:rPr>
        <w:t>Naturaleza</w:t>
      </w:r>
      <w:r>
        <w:rPr>
          <w:spacing w:val="-6"/>
          <w:sz w:val="20"/>
        </w:rPr>
        <w:t> </w:t>
      </w:r>
      <w:r>
        <w:rPr>
          <w:sz w:val="20"/>
        </w:rPr>
        <w:t>y</w:t>
      </w:r>
      <w:r>
        <w:rPr>
          <w:spacing w:val="-11"/>
          <w:sz w:val="20"/>
        </w:rPr>
        <w:t> </w:t>
      </w:r>
      <w:r>
        <w:rPr>
          <w:sz w:val="20"/>
        </w:rPr>
        <w:t>características</w:t>
      </w:r>
      <w:r>
        <w:rPr>
          <w:spacing w:val="-7"/>
          <w:sz w:val="20"/>
        </w:rPr>
        <w:t> </w:t>
      </w:r>
      <w:r>
        <w:rPr>
          <w:sz w:val="20"/>
        </w:rPr>
        <w:t>del</w:t>
      </w:r>
      <w:r>
        <w:rPr>
          <w:spacing w:val="-10"/>
          <w:sz w:val="20"/>
        </w:rPr>
        <w:t> </w:t>
      </w:r>
      <w:r>
        <w:rPr>
          <w:spacing w:val="-2"/>
          <w:sz w:val="20"/>
        </w:rPr>
        <w:t>trabajo;</w:t>
      </w:r>
    </w:p>
    <w:p>
      <w:pPr>
        <w:pStyle w:val="ListParagraph"/>
        <w:numPr>
          <w:ilvl w:val="0"/>
          <w:numId w:val="90"/>
        </w:numPr>
        <w:tabs>
          <w:tab w:pos="1058" w:val="left" w:leader="none"/>
        </w:tabs>
        <w:spacing w:line="240" w:lineRule="auto" w:before="229" w:after="0"/>
        <w:ind w:left="1058" w:right="0" w:hanging="432"/>
        <w:jc w:val="left"/>
        <w:rPr>
          <w:sz w:val="20"/>
        </w:rPr>
      </w:pPr>
      <w:r>
        <w:rPr>
          <w:sz w:val="20"/>
        </w:rPr>
        <w:t>Monto</w:t>
      </w:r>
      <w:r>
        <w:rPr>
          <w:spacing w:val="-5"/>
          <w:sz w:val="20"/>
        </w:rPr>
        <w:t> </w:t>
      </w:r>
      <w:r>
        <w:rPr>
          <w:sz w:val="20"/>
        </w:rPr>
        <w:t>del</w:t>
      </w:r>
      <w:r>
        <w:rPr>
          <w:spacing w:val="-6"/>
          <w:sz w:val="20"/>
        </w:rPr>
        <w:t> </w:t>
      </w:r>
      <w:r>
        <w:rPr>
          <w:sz w:val="20"/>
        </w:rPr>
        <w:t>salario,</w:t>
      </w:r>
      <w:r>
        <w:rPr>
          <w:spacing w:val="-5"/>
          <w:sz w:val="20"/>
        </w:rPr>
        <w:t> </w:t>
      </w:r>
      <w:r>
        <w:rPr>
          <w:sz w:val="20"/>
        </w:rPr>
        <w:t>fecha</w:t>
      </w:r>
      <w:r>
        <w:rPr>
          <w:spacing w:val="-1"/>
          <w:sz w:val="20"/>
        </w:rPr>
        <w:t> </w:t>
      </w:r>
      <w:r>
        <w:rPr>
          <w:sz w:val="20"/>
        </w:rPr>
        <w:t>y</w:t>
      </w:r>
      <w:r>
        <w:rPr>
          <w:spacing w:val="-7"/>
          <w:sz w:val="20"/>
        </w:rPr>
        <w:t> </w:t>
      </w:r>
      <w:r>
        <w:rPr>
          <w:sz w:val="20"/>
        </w:rPr>
        <w:t>lugar</w:t>
      </w:r>
      <w:r>
        <w:rPr>
          <w:spacing w:val="-5"/>
          <w:sz w:val="20"/>
        </w:rPr>
        <w:t> </w:t>
      </w:r>
      <w:r>
        <w:rPr>
          <w:sz w:val="20"/>
        </w:rPr>
        <w:t>o</w:t>
      </w:r>
      <w:r>
        <w:rPr>
          <w:spacing w:val="-5"/>
          <w:sz w:val="20"/>
        </w:rPr>
        <w:t> </w:t>
      </w:r>
      <w:r>
        <w:rPr>
          <w:sz w:val="20"/>
        </w:rPr>
        <w:t>forma</w:t>
      </w:r>
      <w:r>
        <w:rPr>
          <w:spacing w:val="-4"/>
          <w:sz w:val="20"/>
        </w:rPr>
        <w:t> </w:t>
      </w:r>
      <w:r>
        <w:rPr>
          <w:sz w:val="20"/>
        </w:rPr>
        <w:t>de</w:t>
      </w:r>
      <w:r>
        <w:rPr>
          <w:spacing w:val="-5"/>
          <w:sz w:val="20"/>
        </w:rPr>
        <w:t> </w:t>
      </w:r>
      <w:r>
        <w:rPr>
          <w:spacing w:val="-4"/>
          <w:sz w:val="20"/>
        </w:rPr>
        <w:t>pago;</w:t>
      </w:r>
    </w:p>
    <w:p>
      <w:pPr>
        <w:pStyle w:val="BodyText"/>
        <w:spacing w:before="1"/>
      </w:pPr>
    </w:p>
    <w:p>
      <w:pPr>
        <w:pStyle w:val="ListParagraph"/>
        <w:numPr>
          <w:ilvl w:val="0"/>
          <w:numId w:val="90"/>
        </w:numPr>
        <w:tabs>
          <w:tab w:pos="1058" w:val="left" w:leader="none"/>
        </w:tabs>
        <w:spacing w:line="242" w:lineRule="auto" w:before="0" w:after="0"/>
        <w:ind w:left="1058" w:right="342" w:hanging="432"/>
        <w:jc w:val="left"/>
        <w:rPr>
          <w:sz w:val="20"/>
        </w:rPr>
      </w:pPr>
      <w:r>
        <w:rPr>
          <w:sz w:val="20"/>
        </w:rPr>
        <w:t>El equipo</w:t>
      </w:r>
      <w:r>
        <w:rPr>
          <w:spacing w:val="22"/>
          <w:sz w:val="20"/>
        </w:rPr>
        <w:t> </w:t>
      </w:r>
      <w:r>
        <w:rPr>
          <w:sz w:val="20"/>
        </w:rPr>
        <w:t>e insumos de trabajo,</w:t>
      </w:r>
      <w:r>
        <w:rPr>
          <w:spacing w:val="22"/>
          <w:sz w:val="20"/>
        </w:rPr>
        <w:t> </w:t>
      </w:r>
      <w:r>
        <w:rPr>
          <w:sz w:val="20"/>
        </w:rPr>
        <w:t>incluyendo</w:t>
      </w:r>
      <w:r>
        <w:rPr>
          <w:spacing w:val="22"/>
          <w:sz w:val="20"/>
        </w:rPr>
        <w:t> </w:t>
      </w:r>
      <w:r>
        <w:rPr>
          <w:sz w:val="20"/>
        </w:rPr>
        <w:t>el relacionado con las obligaciones de seguridad</w:t>
      </w:r>
      <w:r>
        <w:rPr>
          <w:spacing w:val="24"/>
          <w:sz w:val="20"/>
        </w:rPr>
        <w:t> </w:t>
      </w:r>
      <w:r>
        <w:rPr>
          <w:sz w:val="20"/>
        </w:rPr>
        <w:t>y salud que se entregan a la persona trabajadora bajo la modalidad de teletrabajo;</w:t>
      </w:r>
    </w:p>
    <w:p>
      <w:pPr>
        <w:pStyle w:val="ListParagraph"/>
        <w:numPr>
          <w:ilvl w:val="0"/>
          <w:numId w:val="90"/>
        </w:numPr>
        <w:tabs>
          <w:tab w:pos="1058" w:val="left" w:leader="none"/>
        </w:tabs>
        <w:spacing w:line="240" w:lineRule="auto" w:before="227" w:after="0"/>
        <w:ind w:left="1058" w:right="347" w:hanging="432"/>
        <w:jc w:val="left"/>
        <w:rPr>
          <w:sz w:val="20"/>
        </w:rPr>
      </w:pPr>
      <w:r>
        <w:rPr>
          <w:sz w:val="20"/>
        </w:rPr>
        <w:t>La</w:t>
      </w:r>
      <w:r>
        <w:rPr>
          <w:spacing w:val="36"/>
          <w:sz w:val="20"/>
        </w:rPr>
        <w:t> </w:t>
      </w:r>
      <w:r>
        <w:rPr>
          <w:sz w:val="20"/>
        </w:rPr>
        <w:t>descripción</w:t>
      </w:r>
      <w:r>
        <w:rPr>
          <w:spacing w:val="40"/>
          <w:sz w:val="20"/>
        </w:rPr>
        <w:t> </w:t>
      </w:r>
      <w:r>
        <w:rPr>
          <w:sz w:val="20"/>
        </w:rPr>
        <w:t>y</w:t>
      </w:r>
      <w:r>
        <w:rPr>
          <w:spacing w:val="31"/>
          <w:sz w:val="20"/>
        </w:rPr>
        <w:t> </w:t>
      </w:r>
      <w:r>
        <w:rPr>
          <w:sz w:val="20"/>
        </w:rPr>
        <w:t>monto</w:t>
      </w:r>
      <w:r>
        <w:rPr>
          <w:spacing w:val="36"/>
          <w:sz w:val="20"/>
        </w:rPr>
        <w:t> </w:t>
      </w:r>
      <w:r>
        <w:rPr>
          <w:sz w:val="20"/>
        </w:rPr>
        <w:t>que</w:t>
      </w:r>
      <w:r>
        <w:rPr>
          <w:spacing w:val="36"/>
          <w:sz w:val="20"/>
        </w:rPr>
        <w:t> </w:t>
      </w:r>
      <w:r>
        <w:rPr>
          <w:sz w:val="20"/>
        </w:rPr>
        <w:t>el</w:t>
      </w:r>
      <w:r>
        <w:rPr>
          <w:spacing w:val="37"/>
          <w:sz w:val="20"/>
        </w:rPr>
        <w:t> </w:t>
      </w:r>
      <w:r>
        <w:rPr>
          <w:sz w:val="20"/>
        </w:rPr>
        <w:t>patrón</w:t>
      </w:r>
      <w:r>
        <w:rPr>
          <w:spacing w:val="36"/>
          <w:sz w:val="20"/>
        </w:rPr>
        <w:t> </w:t>
      </w:r>
      <w:r>
        <w:rPr>
          <w:sz w:val="20"/>
        </w:rPr>
        <w:t>pagará</w:t>
      </w:r>
      <w:r>
        <w:rPr>
          <w:spacing w:val="36"/>
          <w:sz w:val="20"/>
        </w:rPr>
        <w:t> </w:t>
      </w:r>
      <w:r>
        <w:rPr>
          <w:sz w:val="20"/>
        </w:rPr>
        <w:t>a</w:t>
      </w:r>
      <w:r>
        <w:rPr>
          <w:spacing w:val="36"/>
          <w:sz w:val="20"/>
        </w:rPr>
        <w:t> </w:t>
      </w:r>
      <w:r>
        <w:rPr>
          <w:sz w:val="20"/>
        </w:rPr>
        <w:t>la</w:t>
      </w:r>
      <w:r>
        <w:rPr>
          <w:spacing w:val="36"/>
          <w:sz w:val="20"/>
        </w:rPr>
        <w:t> </w:t>
      </w:r>
      <w:r>
        <w:rPr>
          <w:sz w:val="20"/>
        </w:rPr>
        <w:t>persona</w:t>
      </w:r>
      <w:r>
        <w:rPr>
          <w:spacing w:val="36"/>
          <w:sz w:val="20"/>
        </w:rPr>
        <w:t> </w:t>
      </w:r>
      <w:r>
        <w:rPr>
          <w:sz w:val="20"/>
        </w:rPr>
        <w:t>trabajadora</w:t>
      </w:r>
      <w:r>
        <w:rPr>
          <w:spacing w:val="36"/>
          <w:sz w:val="20"/>
        </w:rPr>
        <w:t> </w:t>
      </w:r>
      <w:r>
        <w:rPr>
          <w:sz w:val="20"/>
        </w:rPr>
        <w:t>bajo</w:t>
      </w:r>
      <w:r>
        <w:rPr>
          <w:spacing w:val="36"/>
          <w:sz w:val="20"/>
        </w:rPr>
        <w:t> </w:t>
      </w:r>
      <w:r>
        <w:rPr>
          <w:sz w:val="20"/>
        </w:rPr>
        <w:t>la</w:t>
      </w:r>
      <w:r>
        <w:rPr>
          <w:spacing w:val="36"/>
          <w:sz w:val="20"/>
        </w:rPr>
        <w:t> </w:t>
      </w:r>
      <w:r>
        <w:rPr>
          <w:sz w:val="20"/>
        </w:rPr>
        <w:t>modalidad</w:t>
      </w:r>
      <w:r>
        <w:rPr>
          <w:spacing w:val="36"/>
          <w:sz w:val="20"/>
        </w:rPr>
        <w:t> </w:t>
      </w:r>
      <w:r>
        <w:rPr>
          <w:sz w:val="20"/>
        </w:rPr>
        <w:t>de teletrabajo por concepto de pago de servicios en el domicilio relacionados con el teletrabajo;</w:t>
      </w:r>
    </w:p>
    <w:p>
      <w:pPr>
        <w:pStyle w:val="ListParagraph"/>
        <w:spacing w:after="0" w:line="240" w:lineRule="auto"/>
        <w:jc w:val="left"/>
        <w:rPr>
          <w:sz w:val="20"/>
        </w:rPr>
        <w:sectPr>
          <w:pgSz w:w="12240" w:h="15840"/>
          <w:pgMar w:header="724" w:footer="712" w:top="1880" w:bottom="900" w:left="1080" w:right="1080"/>
        </w:sectPr>
      </w:pPr>
    </w:p>
    <w:p>
      <w:pPr>
        <w:pStyle w:val="BodyText"/>
        <w:spacing w:before="63"/>
      </w:pPr>
    </w:p>
    <w:p>
      <w:pPr>
        <w:pStyle w:val="ListParagraph"/>
        <w:numPr>
          <w:ilvl w:val="0"/>
          <w:numId w:val="90"/>
        </w:numPr>
        <w:tabs>
          <w:tab w:pos="1058" w:val="left" w:leader="none"/>
        </w:tabs>
        <w:spacing w:line="242" w:lineRule="auto" w:before="0" w:after="0"/>
        <w:ind w:left="1058" w:right="347" w:hanging="432"/>
        <w:jc w:val="left"/>
        <w:rPr>
          <w:sz w:val="20"/>
        </w:rPr>
      </w:pPr>
      <w:r>
        <w:rPr>
          <w:sz w:val="20"/>
        </w:rPr>
        <w:t>Los mecanismos de contacto y supervisión entre las partes, así como la duración y distribución</w:t>
      </w:r>
      <w:r>
        <w:rPr>
          <w:spacing w:val="40"/>
          <w:sz w:val="20"/>
        </w:rPr>
        <w:t> </w:t>
      </w:r>
      <w:r>
        <w:rPr>
          <w:sz w:val="20"/>
        </w:rPr>
        <w:t>de horarios, siempre que no excedan los máximos legales, y</w:t>
      </w:r>
    </w:p>
    <w:p>
      <w:pPr>
        <w:pStyle w:val="ListParagraph"/>
        <w:numPr>
          <w:ilvl w:val="0"/>
          <w:numId w:val="90"/>
        </w:numPr>
        <w:tabs>
          <w:tab w:pos="1057" w:val="left" w:leader="none"/>
        </w:tabs>
        <w:spacing w:line="240" w:lineRule="auto" w:before="227" w:after="0"/>
        <w:ind w:left="1057" w:right="0" w:hanging="431"/>
        <w:jc w:val="left"/>
        <w:rPr>
          <w:sz w:val="20"/>
        </w:rPr>
      </w:pPr>
      <w:r>
        <w:rPr>
          <w:sz w:val="20"/>
        </w:rPr>
        <w:t>Las</w:t>
      </w:r>
      <w:r>
        <w:rPr>
          <w:spacing w:val="-9"/>
          <w:sz w:val="20"/>
        </w:rPr>
        <w:t> </w:t>
      </w:r>
      <w:r>
        <w:rPr>
          <w:sz w:val="20"/>
        </w:rPr>
        <w:t>demás</w:t>
      </w:r>
      <w:r>
        <w:rPr>
          <w:spacing w:val="-8"/>
          <w:sz w:val="20"/>
        </w:rPr>
        <w:t> </w:t>
      </w:r>
      <w:r>
        <w:rPr>
          <w:sz w:val="20"/>
        </w:rPr>
        <w:t>estipulaciones</w:t>
      </w:r>
      <w:r>
        <w:rPr>
          <w:spacing w:val="-6"/>
          <w:sz w:val="20"/>
        </w:rPr>
        <w:t> </w:t>
      </w:r>
      <w:r>
        <w:rPr>
          <w:sz w:val="20"/>
        </w:rPr>
        <w:t>que</w:t>
      </w:r>
      <w:r>
        <w:rPr>
          <w:spacing w:val="-9"/>
          <w:sz w:val="20"/>
        </w:rPr>
        <w:t> </w:t>
      </w:r>
      <w:r>
        <w:rPr>
          <w:sz w:val="20"/>
        </w:rPr>
        <w:t>convengan</w:t>
      </w:r>
      <w:r>
        <w:rPr>
          <w:spacing w:val="-8"/>
          <w:sz w:val="20"/>
        </w:rPr>
        <w:t> </w:t>
      </w:r>
      <w:r>
        <w:rPr>
          <w:sz w:val="20"/>
        </w:rPr>
        <w:t>las</w:t>
      </w:r>
      <w:r>
        <w:rPr>
          <w:spacing w:val="-8"/>
          <w:sz w:val="20"/>
        </w:rPr>
        <w:t> </w:t>
      </w:r>
      <w:r>
        <w:rPr>
          <w:spacing w:val="-2"/>
          <w:sz w:val="20"/>
        </w:rPr>
        <w:t>partes.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line="242" w:lineRule="auto" w:before="229"/>
        <w:ind w:left="338" w:right="346" w:firstLine="288"/>
        <w:jc w:val="both"/>
      </w:pPr>
      <w:bookmarkStart w:name="Artículo_330_C" w:id="408"/>
      <w:bookmarkEnd w:id="408"/>
      <w:r>
        <w:rPr/>
      </w:r>
      <w:r>
        <w:rPr>
          <w:rFonts w:ascii="Arial" w:hAnsi="Arial"/>
          <w:b/>
        </w:rPr>
        <w:t>Artículo 330-C.- </w:t>
      </w:r>
      <w:r>
        <w:rPr/>
        <w:t>La modalidad de teletrabajo formará parte del contrato colectivo de trabajo, que en</w:t>
      </w:r>
      <w:r>
        <w:rPr>
          <w:spacing w:val="40"/>
        </w:rPr>
        <w:t> </w:t>
      </w:r>
      <w:r>
        <w:rPr/>
        <w:t>su caso exista entre sindicatos y empresas, y deberá entregarse gratuitamente una copia de estos contratos a cada una de las personas trabajadoras que desempeñen sus labores bajo esta modalidad.</w:t>
      </w:r>
    </w:p>
    <w:p>
      <w:pPr>
        <w:pStyle w:val="BodyText"/>
        <w:spacing w:before="227"/>
        <w:ind w:left="338" w:right="341" w:firstLine="288"/>
        <w:jc w:val="both"/>
      </w:pPr>
      <w:r>
        <w:rPr/>
        <w:t>Asimismo, deberán de facilitar los mecanismos de comunicación y difusión a distancia con los que cuente el centro de trabajo, incluyendo el correo electrónico u otros, con el fin de garantizar que las personas trabajadoras bajo la modalidad de teletrabajo tengan conocimiento de los procedimientos de libertad sindical y negociación colectiva, como lo establecen las obligaciones previstas en las fracciones XXXII y XXXIII del artículo 132 de la presente Ley.</w:t>
      </w:r>
    </w:p>
    <w:p>
      <w:pPr>
        <w:spacing w:line="180"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7"/>
        <w:rPr>
          <w:rFonts w:ascii="Times New Roman"/>
          <w:i/>
          <w:sz w:val="16"/>
        </w:rPr>
      </w:pPr>
    </w:p>
    <w:p>
      <w:pPr>
        <w:pStyle w:val="BodyText"/>
        <w:spacing w:line="242" w:lineRule="auto"/>
        <w:ind w:left="338" w:right="343" w:firstLine="288"/>
        <w:jc w:val="both"/>
      </w:pPr>
      <w:bookmarkStart w:name="Artículo_330_D" w:id="409"/>
      <w:bookmarkEnd w:id="409"/>
      <w:r>
        <w:rPr/>
      </w:r>
      <w:r>
        <w:rPr>
          <w:rFonts w:ascii="Arial" w:hAnsi="Arial"/>
          <w:b/>
        </w:rPr>
        <w:t>Artículo 330-D.- </w:t>
      </w:r>
      <w:r>
        <w:rPr/>
        <w:t>Los patrones que no cuenten con un contrato colectivo de trabajo deberán incluir el teletrabajo en su reglamento interior de trabajo, y establecer mecanismos que garanticen la vinculación y contacto entre las personas trabajadoras que desempeñen sus labores bajo esta modalidad.</w:t>
      </w:r>
    </w:p>
    <w:p>
      <w:pPr>
        <w:spacing w:line="176"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7"/>
        <w:rPr>
          <w:rFonts w:ascii="Times New Roman"/>
          <w:i/>
          <w:sz w:val="16"/>
        </w:rPr>
      </w:pPr>
    </w:p>
    <w:p>
      <w:pPr>
        <w:pStyle w:val="BodyText"/>
        <w:spacing w:line="242" w:lineRule="auto" w:before="1"/>
        <w:ind w:left="338" w:right="345" w:firstLine="288"/>
        <w:jc w:val="both"/>
      </w:pPr>
      <w:bookmarkStart w:name="Artículo_330_E" w:id="410"/>
      <w:bookmarkEnd w:id="410"/>
      <w:r>
        <w:rPr/>
      </w:r>
      <w:r>
        <w:rPr>
          <w:rFonts w:ascii="Arial" w:hAnsi="Arial"/>
          <w:b/>
        </w:rPr>
        <w:t>Artículo 330-E.- </w:t>
      </w:r>
      <w:r>
        <w:rPr/>
        <w:t>En modalidad de teletrabajo, los patrones tendrán las obligaciones especiales </w:t>
      </w:r>
      <w:r>
        <w:rPr>
          <w:spacing w:val="-2"/>
        </w:rPr>
        <w:t>siguientes:</w:t>
      </w:r>
    </w:p>
    <w:p>
      <w:pPr>
        <w:pStyle w:val="ListParagraph"/>
        <w:numPr>
          <w:ilvl w:val="0"/>
          <w:numId w:val="91"/>
        </w:numPr>
        <w:tabs>
          <w:tab w:pos="1056" w:val="left" w:leader="none"/>
          <w:tab w:pos="1058" w:val="left" w:leader="none"/>
        </w:tabs>
        <w:spacing w:line="240" w:lineRule="auto" w:before="226" w:after="0"/>
        <w:ind w:left="1058" w:right="339" w:hanging="432"/>
        <w:jc w:val="both"/>
        <w:rPr>
          <w:sz w:val="20"/>
        </w:rPr>
      </w:pPr>
      <w:r>
        <w:rPr>
          <w:sz w:val="20"/>
        </w:rPr>
        <w:t>Proporcionar, instalar y encargarse del mantenimiento de los equipos necesarios para el teletrabajo como equipo de cómputo, sillas ergonómicas, impresoras, entre otros;</w:t>
      </w:r>
    </w:p>
    <w:p>
      <w:pPr>
        <w:pStyle w:val="ListParagraph"/>
        <w:numPr>
          <w:ilvl w:val="0"/>
          <w:numId w:val="91"/>
        </w:numPr>
        <w:tabs>
          <w:tab w:pos="1058" w:val="left" w:leader="none"/>
        </w:tabs>
        <w:spacing w:line="240" w:lineRule="auto" w:before="229" w:after="0"/>
        <w:ind w:left="1058" w:right="0" w:hanging="432"/>
        <w:jc w:val="left"/>
        <w:rPr>
          <w:sz w:val="20"/>
        </w:rPr>
      </w:pPr>
      <w:r>
        <w:rPr>
          <w:sz w:val="20"/>
        </w:rPr>
        <w:t>Recibir</w:t>
      </w:r>
      <w:r>
        <w:rPr>
          <w:spacing w:val="-6"/>
          <w:sz w:val="20"/>
        </w:rPr>
        <w:t> </w:t>
      </w:r>
      <w:r>
        <w:rPr>
          <w:sz w:val="20"/>
        </w:rPr>
        <w:t>oportunamente</w:t>
      </w:r>
      <w:r>
        <w:rPr>
          <w:spacing w:val="-5"/>
          <w:sz w:val="20"/>
        </w:rPr>
        <w:t> </w:t>
      </w:r>
      <w:r>
        <w:rPr>
          <w:sz w:val="20"/>
        </w:rPr>
        <w:t>el</w:t>
      </w:r>
      <w:r>
        <w:rPr>
          <w:spacing w:val="-8"/>
          <w:sz w:val="20"/>
        </w:rPr>
        <w:t> </w:t>
      </w:r>
      <w:r>
        <w:rPr>
          <w:sz w:val="20"/>
        </w:rPr>
        <w:t>trabajo</w:t>
      </w:r>
      <w:r>
        <w:rPr>
          <w:spacing w:val="-3"/>
          <w:sz w:val="20"/>
        </w:rPr>
        <w:t> </w:t>
      </w:r>
      <w:r>
        <w:rPr>
          <w:sz w:val="20"/>
        </w:rPr>
        <w:t>y</w:t>
      </w:r>
      <w:r>
        <w:rPr>
          <w:spacing w:val="-9"/>
          <w:sz w:val="20"/>
        </w:rPr>
        <w:t> </w:t>
      </w:r>
      <w:r>
        <w:rPr>
          <w:sz w:val="20"/>
        </w:rPr>
        <w:t>pagar</w:t>
      </w:r>
      <w:r>
        <w:rPr>
          <w:spacing w:val="-4"/>
          <w:sz w:val="20"/>
        </w:rPr>
        <w:t> </w:t>
      </w:r>
      <w:r>
        <w:rPr>
          <w:sz w:val="20"/>
        </w:rPr>
        <w:t>los</w:t>
      </w:r>
      <w:r>
        <w:rPr>
          <w:spacing w:val="-6"/>
          <w:sz w:val="20"/>
        </w:rPr>
        <w:t> </w:t>
      </w:r>
      <w:r>
        <w:rPr>
          <w:sz w:val="20"/>
        </w:rPr>
        <w:t>salarios</w:t>
      </w:r>
      <w:r>
        <w:rPr>
          <w:spacing w:val="-4"/>
          <w:sz w:val="20"/>
        </w:rPr>
        <w:t> </w:t>
      </w:r>
      <w:r>
        <w:rPr>
          <w:sz w:val="20"/>
        </w:rPr>
        <w:t>en</w:t>
      </w:r>
      <w:r>
        <w:rPr>
          <w:spacing w:val="-7"/>
          <w:sz w:val="20"/>
        </w:rPr>
        <w:t> </w:t>
      </w:r>
      <w:r>
        <w:rPr>
          <w:sz w:val="20"/>
        </w:rPr>
        <w:t>la</w:t>
      </w:r>
      <w:r>
        <w:rPr>
          <w:spacing w:val="-5"/>
          <w:sz w:val="20"/>
        </w:rPr>
        <w:t> </w:t>
      </w:r>
      <w:r>
        <w:rPr>
          <w:sz w:val="20"/>
        </w:rPr>
        <w:t>forma</w:t>
      </w:r>
      <w:r>
        <w:rPr>
          <w:spacing w:val="-5"/>
          <w:sz w:val="20"/>
        </w:rPr>
        <w:t> </w:t>
      </w:r>
      <w:r>
        <w:rPr>
          <w:sz w:val="20"/>
        </w:rPr>
        <w:t>y</w:t>
      </w:r>
      <w:r>
        <w:rPr>
          <w:spacing w:val="-9"/>
          <w:sz w:val="20"/>
        </w:rPr>
        <w:t> </w:t>
      </w:r>
      <w:r>
        <w:rPr>
          <w:sz w:val="20"/>
        </w:rPr>
        <w:t>fechas</w:t>
      </w:r>
      <w:r>
        <w:rPr>
          <w:spacing w:val="-6"/>
          <w:sz w:val="20"/>
        </w:rPr>
        <w:t> </w:t>
      </w:r>
      <w:r>
        <w:rPr>
          <w:spacing w:val="-2"/>
          <w:sz w:val="20"/>
        </w:rPr>
        <w:t>estipuladas;</w:t>
      </w:r>
    </w:p>
    <w:p>
      <w:pPr>
        <w:pStyle w:val="BodyText"/>
        <w:spacing w:before="1"/>
      </w:pPr>
    </w:p>
    <w:p>
      <w:pPr>
        <w:pStyle w:val="ListParagraph"/>
        <w:numPr>
          <w:ilvl w:val="0"/>
          <w:numId w:val="91"/>
        </w:numPr>
        <w:tabs>
          <w:tab w:pos="1054" w:val="left" w:leader="none"/>
          <w:tab w:pos="1058" w:val="left" w:leader="none"/>
        </w:tabs>
        <w:spacing w:line="242" w:lineRule="auto" w:before="0" w:after="0"/>
        <w:ind w:left="1058" w:right="342" w:hanging="432"/>
        <w:jc w:val="both"/>
        <w:rPr>
          <w:sz w:val="20"/>
        </w:rPr>
      </w:pPr>
      <w:r>
        <w:rPr>
          <w:sz w:val="20"/>
        </w:rPr>
        <w:t>Asumir</w:t>
      </w:r>
      <w:r>
        <w:rPr>
          <w:spacing w:val="-1"/>
          <w:sz w:val="20"/>
        </w:rPr>
        <w:t> </w:t>
      </w:r>
      <w:r>
        <w:rPr>
          <w:sz w:val="20"/>
        </w:rPr>
        <w:t>los</w:t>
      </w:r>
      <w:r>
        <w:rPr>
          <w:spacing w:val="-1"/>
          <w:sz w:val="20"/>
        </w:rPr>
        <w:t> </w:t>
      </w:r>
      <w:r>
        <w:rPr>
          <w:sz w:val="20"/>
        </w:rPr>
        <w:t>costos</w:t>
      </w:r>
      <w:r>
        <w:rPr>
          <w:spacing w:val="-1"/>
          <w:sz w:val="20"/>
        </w:rPr>
        <w:t> </w:t>
      </w:r>
      <w:r>
        <w:rPr>
          <w:sz w:val="20"/>
        </w:rPr>
        <w:t>derivados</w:t>
      </w:r>
      <w:r>
        <w:rPr>
          <w:spacing w:val="-1"/>
          <w:sz w:val="20"/>
        </w:rPr>
        <w:t> </w:t>
      </w:r>
      <w:r>
        <w:rPr>
          <w:sz w:val="20"/>
        </w:rPr>
        <w:t>del</w:t>
      </w:r>
      <w:r>
        <w:rPr>
          <w:spacing w:val="-3"/>
          <w:sz w:val="20"/>
        </w:rPr>
        <w:t> </w:t>
      </w:r>
      <w:r>
        <w:rPr>
          <w:sz w:val="20"/>
        </w:rPr>
        <w:t>trabajo</w:t>
      </w:r>
      <w:r>
        <w:rPr>
          <w:spacing w:val="-2"/>
          <w:sz w:val="20"/>
        </w:rPr>
        <w:t> </w:t>
      </w:r>
      <w:r>
        <w:rPr>
          <w:sz w:val="20"/>
        </w:rPr>
        <w:t>a través</w:t>
      </w:r>
      <w:r>
        <w:rPr>
          <w:spacing w:val="-1"/>
          <w:sz w:val="20"/>
        </w:rPr>
        <w:t> </w:t>
      </w:r>
      <w:r>
        <w:rPr>
          <w:sz w:val="20"/>
        </w:rPr>
        <w:t>de la modalidad</w:t>
      </w:r>
      <w:r>
        <w:rPr>
          <w:spacing w:val="-2"/>
          <w:sz w:val="20"/>
        </w:rPr>
        <w:t> </w:t>
      </w:r>
      <w:r>
        <w:rPr>
          <w:sz w:val="20"/>
        </w:rPr>
        <w:t>de teletrabajo,</w:t>
      </w:r>
      <w:r>
        <w:rPr>
          <w:spacing w:val="-2"/>
          <w:sz w:val="20"/>
        </w:rPr>
        <w:t> </w:t>
      </w:r>
      <w:r>
        <w:rPr>
          <w:sz w:val="20"/>
        </w:rPr>
        <w:t>incluyendo, en</w:t>
      </w:r>
      <w:r>
        <w:rPr>
          <w:spacing w:val="-3"/>
          <w:sz w:val="20"/>
        </w:rPr>
        <w:t> </w:t>
      </w:r>
      <w:r>
        <w:rPr>
          <w:sz w:val="20"/>
        </w:rPr>
        <w:t>su caso, el pago de servicios de telecomunicación y la parte proporcional de electricidad;</w:t>
      </w:r>
    </w:p>
    <w:p>
      <w:pPr>
        <w:pStyle w:val="ListParagraph"/>
        <w:numPr>
          <w:ilvl w:val="0"/>
          <w:numId w:val="91"/>
        </w:numPr>
        <w:tabs>
          <w:tab w:pos="1058" w:val="left" w:leader="none"/>
        </w:tabs>
        <w:spacing w:line="242" w:lineRule="auto" w:before="224" w:after="0"/>
        <w:ind w:left="1058" w:right="344" w:hanging="432"/>
        <w:jc w:val="both"/>
        <w:rPr>
          <w:sz w:val="20"/>
        </w:rPr>
      </w:pPr>
      <w:r>
        <w:rPr>
          <w:sz w:val="20"/>
        </w:rPr>
        <w:t>Llevar registro de los insumos entregados a las personas trabajadoras bajo la modalidad de teletrabajo, en cumplimiento a las disposiciones en materia de seguridad y salud en el trabajo establecidas por la Secretaría del Trabajo y Previsión Social;</w:t>
      </w:r>
    </w:p>
    <w:p>
      <w:pPr>
        <w:pStyle w:val="ListParagraph"/>
        <w:numPr>
          <w:ilvl w:val="0"/>
          <w:numId w:val="91"/>
        </w:numPr>
        <w:tabs>
          <w:tab w:pos="1058" w:val="left" w:leader="none"/>
        </w:tabs>
        <w:spacing w:line="242" w:lineRule="auto" w:before="223" w:after="0"/>
        <w:ind w:left="1058" w:right="346" w:hanging="432"/>
        <w:jc w:val="both"/>
        <w:rPr>
          <w:sz w:val="20"/>
        </w:rPr>
      </w:pPr>
      <w:r>
        <w:rPr>
          <w:sz w:val="20"/>
        </w:rPr>
        <w:t>Implementar mecanismos que preserven la seguridad de la información y datos utilizados por las personas trabajadoras en la modalidad de teletrabajo;</w:t>
      </w:r>
    </w:p>
    <w:p>
      <w:pPr>
        <w:pStyle w:val="ListParagraph"/>
        <w:numPr>
          <w:ilvl w:val="0"/>
          <w:numId w:val="91"/>
        </w:numPr>
        <w:tabs>
          <w:tab w:pos="1058" w:val="left" w:leader="none"/>
        </w:tabs>
        <w:spacing w:line="242" w:lineRule="auto" w:before="226" w:after="0"/>
        <w:ind w:left="1058" w:right="345" w:hanging="432"/>
        <w:jc w:val="both"/>
        <w:rPr>
          <w:sz w:val="20"/>
        </w:rPr>
      </w:pPr>
      <w:r>
        <w:rPr>
          <w:sz w:val="20"/>
        </w:rPr>
        <w:t>Respetar el derecho a la desconexión de las personas trabajadoras en la modalidad de teletrabajo al término de la jornada laboral;</w:t>
      </w:r>
    </w:p>
    <w:p>
      <w:pPr>
        <w:pStyle w:val="ListParagraph"/>
        <w:numPr>
          <w:ilvl w:val="0"/>
          <w:numId w:val="91"/>
        </w:numPr>
        <w:tabs>
          <w:tab w:pos="1058" w:val="left" w:leader="none"/>
        </w:tabs>
        <w:spacing w:line="242" w:lineRule="auto" w:before="225" w:after="0"/>
        <w:ind w:left="1058" w:right="338" w:hanging="432"/>
        <w:jc w:val="both"/>
        <w:rPr>
          <w:sz w:val="20"/>
        </w:rPr>
      </w:pPr>
      <w:r>
        <w:rPr>
          <w:sz w:val="20"/>
        </w:rPr>
        <w:t>Inscribir a las personas trabajadoras en la modalidad de teletrabajo al régimen obligatorio de la seguridad social, y</w:t>
      </w:r>
    </w:p>
    <w:p>
      <w:pPr>
        <w:pStyle w:val="ListParagraph"/>
        <w:numPr>
          <w:ilvl w:val="0"/>
          <w:numId w:val="91"/>
        </w:numPr>
        <w:tabs>
          <w:tab w:pos="1056" w:val="left" w:leader="none"/>
          <w:tab w:pos="1058" w:val="left" w:leader="none"/>
        </w:tabs>
        <w:spacing w:line="240" w:lineRule="auto" w:before="227" w:after="0"/>
        <w:ind w:left="1058" w:right="343" w:hanging="432"/>
        <w:jc w:val="both"/>
        <w:rPr>
          <w:sz w:val="20"/>
        </w:rPr>
      </w:pPr>
      <w:r>
        <w:rPr>
          <w:sz w:val="20"/>
        </w:rPr>
        <w:t>Establecer los mecanismos de capacitación y asesoría necesarios para garantizar la adaptación, aprendizaje y el uso adecuado de las tecnologías de la información de las personas trabajadoras en la modalidad de teletrabajo, con especial énfasis en aquellas que cambien de modalidad presencial a teletrabajo.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BodyText"/>
        <w:spacing w:line="242" w:lineRule="auto"/>
        <w:ind w:left="338" w:right="347" w:firstLine="288"/>
        <w:jc w:val="both"/>
      </w:pPr>
      <w:bookmarkStart w:name="Artículo_330_F" w:id="411"/>
      <w:bookmarkEnd w:id="411"/>
      <w:r>
        <w:rPr/>
      </w:r>
      <w:r>
        <w:rPr>
          <w:rFonts w:ascii="Arial" w:hAnsi="Arial"/>
          <w:b/>
        </w:rPr>
        <w:t>Artículo 330-F.- </w:t>
      </w:r>
      <w:r>
        <w:rPr/>
        <w:t>Las personas trabajadoras en la modalidad de teletrabajo tienen las obligaciones especiales siguientes:</w:t>
      </w:r>
    </w:p>
    <w:p>
      <w:pPr>
        <w:pStyle w:val="ListParagraph"/>
        <w:numPr>
          <w:ilvl w:val="0"/>
          <w:numId w:val="92"/>
        </w:numPr>
        <w:tabs>
          <w:tab w:pos="1058" w:val="left" w:leader="none"/>
        </w:tabs>
        <w:spacing w:line="242" w:lineRule="auto" w:before="227" w:after="0"/>
        <w:ind w:left="1058" w:right="346" w:hanging="432"/>
        <w:jc w:val="left"/>
        <w:rPr>
          <w:sz w:val="20"/>
        </w:rPr>
      </w:pPr>
      <w:r>
        <w:rPr>
          <w:sz w:val="20"/>
        </w:rPr>
        <w:t>Tener</w:t>
      </w:r>
      <w:r>
        <w:rPr>
          <w:spacing w:val="35"/>
          <w:sz w:val="20"/>
        </w:rPr>
        <w:t> </w:t>
      </w:r>
      <w:r>
        <w:rPr>
          <w:sz w:val="20"/>
        </w:rPr>
        <w:t>el</w:t>
      </w:r>
      <w:r>
        <w:rPr>
          <w:spacing w:val="33"/>
          <w:sz w:val="20"/>
        </w:rPr>
        <w:t> </w:t>
      </w:r>
      <w:r>
        <w:rPr>
          <w:sz w:val="20"/>
        </w:rPr>
        <w:t>mayor</w:t>
      </w:r>
      <w:r>
        <w:rPr>
          <w:spacing w:val="35"/>
          <w:sz w:val="20"/>
        </w:rPr>
        <w:t> </w:t>
      </w:r>
      <w:r>
        <w:rPr>
          <w:sz w:val="20"/>
        </w:rPr>
        <w:t>cuidado</w:t>
      </w:r>
      <w:r>
        <w:rPr>
          <w:spacing w:val="34"/>
          <w:sz w:val="20"/>
        </w:rPr>
        <w:t> </w:t>
      </w:r>
      <w:r>
        <w:rPr>
          <w:sz w:val="20"/>
        </w:rPr>
        <w:t>en</w:t>
      </w:r>
      <w:r>
        <w:rPr>
          <w:spacing w:val="34"/>
          <w:sz w:val="20"/>
        </w:rPr>
        <w:t> </w:t>
      </w:r>
      <w:r>
        <w:rPr>
          <w:sz w:val="20"/>
        </w:rPr>
        <w:t>la</w:t>
      </w:r>
      <w:r>
        <w:rPr>
          <w:spacing w:val="37"/>
          <w:sz w:val="20"/>
        </w:rPr>
        <w:t> </w:t>
      </w:r>
      <w:r>
        <w:rPr>
          <w:sz w:val="20"/>
        </w:rPr>
        <w:t>guarda</w:t>
      </w:r>
      <w:r>
        <w:rPr>
          <w:spacing w:val="39"/>
          <w:sz w:val="20"/>
        </w:rPr>
        <w:t> </w:t>
      </w:r>
      <w:r>
        <w:rPr>
          <w:sz w:val="20"/>
        </w:rPr>
        <w:t>y</w:t>
      </w:r>
      <w:r>
        <w:rPr>
          <w:spacing w:val="31"/>
          <w:sz w:val="20"/>
        </w:rPr>
        <w:t> </w:t>
      </w:r>
      <w:r>
        <w:rPr>
          <w:sz w:val="20"/>
        </w:rPr>
        <w:t>conservación</w:t>
      </w:r>
      <w:r>
        <w:rPr>
          <w:spacing w:val="34"/>
          <w:sz w:val="20"/>
        </w:rPr>
        <w:t> </w:t>
      </w:r>
      <w:r>
        <w:rPr>
          <w:sz w:val="20"/>
        </w:rPr>
        <w:t>de</w:t>
      </w:r>
      <w:r>
        <w:rPr>
          <w:spacing w:val="36"/>
          <w:sz w:val="20"/>
        </w:rPr>
        <w:t> </w:t>
      </w:r>
      <w:r>
        <w:rPr>
          <w:sz w:val="20"/>
        </w:rPr>
        <w:t>los</w:t>
      </w:r>
      <w:r>
        <w:rPr>
          <w:spacing w:val="38"/>
          <w:sz w:val="20"/>
        </w:rPr>
        <w:t> </w:t>
      </w:r>
      <w:r>
        <w:rPr>
          <w:sz w:val="20"/>
        </w:rPr>
        <w:t>equipos,</w:t>
      </w:r>
      <w:r>
        <w:rPr>
          <w:spacing w:val="35"/>
          <w:sz w:val="20"/>
        </w:rPr>
        <w:t> </w:t>
      </w:r>
      <w:r>
        <w:rPr>
          <w:sz w:val="20"/>
        </w:rPr>
        <w:t>materiales</w:t>
      </w:r>
      <w:r>
        <w:rPr>
          <w:spacing w:val="38"/>
          <w:sz w:val="20"/>
        </w:rPr>
        <w:t> </w:t>
      </w:r>
      <w:r>
        <w:rPr>
          <w:sz w:val="20"/>
        </w:rPr>
        <w:t>y</w:t>
      </w:r>
      <w:r>
        <w:rPr>
          <w:spacing w:val="31"/>
          <w:sz w:val="20"/>
        </w:rPr>
        <w:t> </w:t>
      </w:r>
      <w:r>
        <w:rPr>
          <w:sz w:val="20"/>
        </w:rPr>
        <w:t>útiles</w:t>
      </w:r>
      <w:r>
        <w:rPr>
          <w:spacing w:val="35"/>
          <w:sz w:val="20"/>
        </w:rPr>
        <w:t> </w:t>
      </w:r>
      <w:r>
        <w:rPr>
          <w:sz w:val="20"/>
        </w:rPr>
        <w:t>que reciban del patrón;</w:t>
      </w:r>
    </w:p>
    <w:p>
      <w:pPr>
        <w:pStyle w:val="ListParagraph"/>
        <w:numPr>
          <w:ilvl w:val="0"/>
          <w:numId w:val="92"/>
        </w:numPr>
        <w:tabs>
          <w:tab w:pos="1058" w:val="left" w:leader="none"/>
        </w:tabs>
        <w:spacing w:line="242" w:lineRule="auto" w:before="224" w:after="0"/>
        <w:ind w:left="1058" w:right="346" w:hanging="432"/>
        <w:jc w:val="left"/>
        <w:rPr>
          <w:sz w:val="20"/>
        </w:rPr>
      </w:pPr>
      <w:r>
        <w:rPr>
          <w:sz w:val="20"/>
        </w:rPr>
        <w:t>Informar</w:t>
      </w:r>
      <w:r>
        <w:rPr>
          <w:spacing w:val="80"/>
          <w:sz w:val="20"/>
        </w:rPr>
        <w:t> </w:t>
      </w:r>
      <w:r>
        <w:rPr>
          <w:sz w:val="20"/>
        </w:rPr>
        <w:t>con</w:t>
      </w:r>
      <w:r>
        <w:rPr>
          <w:spacing w:val="80"/>
          <w:sz w:val="20"/>
        </w:rPr>
        <w:t> </w:t>
      </w:r>
      <w:r>
        <w:rPr>
          <w:sz w:val="20"/>
        </w:rPr>
        <w:t>oportunidad</w:t>
      </w:r>
      <w:r>
        <w:rPr>
          <w:spacing w:val="80"/>
          <w:sz w:val="20"/>
        </w:rPr>
        <w:t> </w:t>
      </w:r>
      <w:r>
        <w:rPr>
          <w:sz w:val="20"/>
        </w:rPr>
        <w:t>sobre</w:t>
      </w:r>
      <w:r>
        <w:rPr>
          <w:spacing w:val="80"/>
          <w:sz w:val="20"/>
        </w:rPr>
        <w:t> </w:t>
      </w:r>
      <w:r>
        <w:rPr>
          <w:sz w:val="20"/>
        </w:rPr>
        <w:t>los</w:t>
      </w:r>
      <w:r>
        <w:rPr>
          <w:spacing w:val="80"/>
          <w:sz w:val="20"/>
        </w:rPr>
        <w:t> </w:t>
      </w:r>
      <w:r>
        <w:rPr>
          <w:sz w:val="20"/>
        </w:rPr>
        <w:t>costos</w:t>
      </w:r>
      <w:r>
        <w:rPr>
          <w:spacing w:val="80"/>
          <w:sz w:val="20"/>
        </w:rPr>
        <w:t> </w:t>
      </w:r>
      <w:r>
        <w:rPr>
          <w:sz w:val="20"/>
        </w:rPr>
        <w:t>pactados</w:t>
      </w:r>
      <w:r>
        <w:rPr>
          <w:spacing w:val="80"/>
          <w:sz w:val="20"/>
        </w:rPr>
        <w:t> </w:t>
      </w:r>
      <w:r>
        <w:rPr>
          <w:sz w:val="20"/>
        </w:rPr>
        <w:t>para</w:t>
      </w:r>
      <w:r>
        <w:rPr>
          <w:spacing w:val="80"/>
          <w:sz w:val="20"/>
        </w:rPr>
        <w:t> </w:t>
      </w:r>
      <w:r>
        <w:rPr>
          <w:sz w:val="20"/>
        </w:rPr>
        <w:t>el</w:t>
      </w:r>
      <w:r>
        <w:rPr>
          <w:spacing w:val="80"/>
          <w:sz w:val="20"/>
        </w:rPr>
        <w:t> </w:t>
      </w:r>
      <w:r>
        <w:rPr>
          <w:sz w:val="20"/>
        </w:rPr>
        <w:t>uso</w:t>
      </w:r>
      <w:r>
        <w:rPr>
          <w:spacing w:val="80"/>
          <w:sz w:val="20"/>
        </w:rPr>
        <w:t> </w:t>
      </w:r>
      <w:r>
        <w:rPr>
          <w:sz w:val="20"/>
        </w:rPr>
        <w:t>de</w:t>
      </w:r>
      <w:r>
        <w:rPr>
          <w:spacing w:val="80"/>
          <w:sz w:val="20"/>
        </w:rPr>
        <w:t> </w:t>
      </w:r>
      <w:r>
        <w:rPr>
          <w:sz w:val="20"/>
        </w:rPr>
        <w:t>los</w:t>
      </w:r>
      <w:r>
        <w:rPr>
          <w:spacing w:val="80"/>
          <w:sz w:val="20"/>
        </w:rPr>
        <w:t> </w:t>
      </w:r>
      <w:r>
        <w:rPr>
          <w:sz w:val="20"/>
        </w:rPr>
        <w:t>servicios</w:t>
      </w:r>
      <w:r>
        <w:rPr>
          <w:spacing w:val="80"/>
          <w:sz w:val="20"/>
        </w:rPr>
        <w:t> </w:t>
      </w:r>
      <w:r>
        <w:rPr>
          <w:sz w:val="20"/>
        </w:rPr>
        <w:t>de</w:t>
      </w:r>
      <w:r>
        <w:rPr>
          <w:spacing w:val="40"/>
          <w:sz w:val="20"/>
        </w:rPr>
        <w:t> </w:t>
      </w:r>
      <w:r>
        <w:rPr>
          <w:sz w:val="20"/>
        </w:rPr>
        <w:t>telecomunicaciones y del consumo de electricidad, derivados del teletrabajo;</w:t>
      </w:r>
    </w:p>
    <w:p>
      <w:pPr>
        <w:pStyle w:val="ListParagraph"/>
        <w:numPr>
          <w:ilvl w:val="0"/>
          <w:numId w:val="92"/>
        </w:numPr>
        <w:tabs>
          <w:tab w:pos="1058" w:val="left" w:leader="none"/>
        </w:tabs>
        <w:spacing w:line="242" w:lineRule="auto" w:before="226" w:after="0"/>
        <w:ind w:left="1058" w:right="346" w:hanging="432"/>
        <w:jc w:val="left"/>
        <w:rPr>
          <w:sz w:val="20"/>
        </w:rPr>
      </w:pPr>
      <w:r>
        <w:rPr>
          <w:sz w:val="20"/>
        </w:rPr>
        <w:t>Obedecer</w:t>
      </w:r>
      <w:r>
        <w:rPr>
          <w:spacing w:val="34"/>
          <w:sz w:val="20"/>
        </w:rPr>
        <w:t> </w:t>
      </w:r>
      <w:r>
        <w:rPr>
          <w:sz w:val="20"/>
        </w:rPr>
        <w:t>y</w:t>
      </w:r>
      <w:r>
        <w:rPr>
          <w:spacing w:val="26"/>
          <w:sz w:val="20"/>
        </w:rPr>
        <w:t> </w:t>
      </w:r>
      <w:r>
        <w:rPr>
          <w:sz w:val="20"/>
        </w:rPr>
        <w:t>conducirse</w:t>
      </w:r>
      <w:r>
        <w:rPr>
          <w:spacing w:val="30"/>
          <w:sz w:val="20"/>
        </w:rPr>
        <w:t> </w:t>
      </w:r>
      <w:r>
        <w:rPr>
          <w:sz w:val="20"/>
        </w:rPr>
        <w:t>con</w:t>
      </w:r>
      <w:r>
        <w:rPr>
          <w:spacing w:val="30"/>
          <w:sz w:val="20"/>
        </w:rPr>
        <w:t> </w:t>
      </w:r>
      <w:r>
        <w:rPr>
          <w:sz w:val="20"/>
        </w:rPr>
        <w:t>apego</w:t>
      </w:r>
      <w:r>
        <w:rPr>
          <w:spacing w:val="32"/>
          <w:sz w:val="20"/>
        </w:rPr>
        <w:t> </w:t>
      </w:r>
      <w:r>
        <w:rPr>
          <w:sz w:val="20"/>
        </w:rPr>
        <w:t>a</w:t>
      </w:r>
      <w:r>
        <w:rPr>
          <w:spacing w:val="32"/>
          <w:sz w:val="20"/>
        </w:rPr>
        <w:t> </w:t>
      </w:r>
      <w:r>
        <w:rPr>
          <w:sz w:val="20"/>
        </w:rPr>
        <w:t>las</w:t>
      </w:r>
      <w:r>
        <w:rPr>
          <w:spacing w:val="33"/>
          <w:sz w:val="20"/>
        </w:rPr>
        <w:t> </w:t>
      </w:r>
      <w:r>
        <w:rPr>
          <w:sz w:val="20"/>
        </w:rPr>
        <w:t>disposiciones</w:t>
      </w:r>
      <w:r>
        <w:rPr>
          <w:spacing w:val="31"/>
          <w:sz w:val="20"/>
        </w:rPr>
        <w:t> </w:t>
      </w:r>
      <w:r>
        <w:rPr>
          <w:sz w:val="20"/>
        </w:rPr>
        <w:t>en</w:t>
      </w:r>
      <w:r>
        <w:rPr>
          <w:spacing w:val="29"/>
          <w:sz w:val="20"/>
        </w:rPr>
        <w:t> </w:t>
      </w:r>
      <w:r>
        <w:rPr>
          <w:sz w:val="20"/>
        </w:rPr>
        <w:t>materia</w:t>
      </w:r>
      <w:r>
        <w:rPr>
          <w:spacing w:val="32"/>
          <w:sz w:val="20"/>
        </w:rPr>
        <w:t> </w:t>
      </w:r>
      <w:r>
        <w:rPr>
          <w:sz w:val="20"/>
        </w:rPr>
        <w:t>de</w:t>
      </w:r>
      <w:r>
        <w:rPr>
          <w:spacing w:val="31"/>
          <w:sz w:val="20"/>
        </w:rPr>
        <w:t> </w:t>
      </w:r>
      <w:r>
        <w:rPr>
          <w:sz w:val="20"/>
        </w:rPr>
        <w:t>seguridad</w:t>
      </w:r>
      <w:r>
        <w:rPr>
          <w:spacing w:val="32"/>
          <w:sz w:val="20"/>
        </w:rPr>
        <w:t> </w:t>
      </w:r>
      <w:r>
        <w:rPr>
          <w:sz w:val="20"/>
        </w:rPr>
        <w:t>y</w:t>
      </w:r>
      <w:r>
        <w:rPr>
          <w:spacing w:val="26"/>
          <w:sz w:val="20"/>
        </w:rPr>
        <w:t> </w:t>
      </w:r>
      <w:r>
        <w:rPr>
          <w:sz w:val="20"/>
        </w:rPr>
        <w:t>salud</w:t>
      </w:r>
      <w:r>
        <w:rPr>
          <w:spacing w:val="32"/>
          <w:sz w:val="20"/>
        </w:rPr>
        <w:t> </w:t>
      </w:r>
      <w:r>
        <w:rPr>
          <w:sz w:val="20"/>
        </w:rPr>
        <w:t>en</w:t>
      </w:r>
      <w:r>
        <w:rPr>
          <w:spacing w:val="32"/>
          <w:sz w:val="20"/>
        </w:rPr>
        <w:t> </w:t>
      </w:r>
      <w:r>
        <w:rPr>
          <w:sz w:val="20"/>
        </w:rPr>
        <w:t>el trabajo establecidas por el patrón;</w:t>
      </w:r>
    </w:p>
    <w:p>
      <w:pPr>
        <w:pStyle w:val="ListParagraph"/>
        <w:numPr>
          <w:ilvl w:val="0"/>
          <w:numId w:val="92"/>
        </w:numPr>
        <w:tabs>
          <w:tab w:pos="1057" w:val="left" w:leader="none"/>
        </w:tabs>
        <w:spacing w:line="240" w:lineRule="auto" w:before="225" w:after="0"/>
        <w:ind w:left="1057" w:right="0" w:hanging="431"/>
        <w:jc w:val="left"/>
        <w:rPr>
          <w:sz w:val="20"/>
        </w:rPr>
      </w:pPr>
      <w:r>
        <w:rPr>
          <w:sz w:val="20"/>
        </w:rPr>
        <w:t>Atender</w:t>
      </w:r>
      <w:r>
        <w:rPr>
          <w:spacing w:val="-3"/>
          <w:sz w:val="20"/>
        </w:rPr>
        <w:t> </w:t>
      </w:r>
      <w:r>
        <w:rPr>
          <w:sz w:val="20"/>
        </w:rPr>
        <w:t>y</w:t>
      </w:r>
      <w:r>
        <w:rPr>
          <w:spacing w:val="-9"/>
          <w:sz w:val="20"/>
        </w:rPr>
        <w:t> </w:t>
      </w:r>
      <w:r>
        <w:rPr>
          <w:sz w:val="20"/>
        </w:rPr>
        <w:t>utilizar</w:t>
      </w:r>
      <w:r>
        <w:rPr>
          <w:spacing w:val="-6"/>
          <w:sz w:val="20"/>
        </w:rPr>
        <w:t> </w:t>
      </w:r>
      <w:r>
        <w:rPr>
          <w:sz w:val="20"/>
        </w:rPr>
        <w:t>los</w:t>
      </w:r>
      <w:r>
        <w:rPr>
          <w:spacing w:val="-6"/>
          <w:sz w:val="20"/>
        </w:rPr>
        <w:t> </w:t>
      </w:r>
      <w:r>
        <w:rPr>
          <w:sz w:val="20"/>
        </w:rPr>
        <w:t>mecanismos</w:t>
      </w:r>
      <w:r>
        <w:rPr>
          <w:spacing w:val="-4"/>
          <w:sz w:val="20"/>
        </w:rPr>
        <w:t> </w:t>
      </w:r>
      <w:r>
        <w:rPr>
          <w:sz w:val="20"/>
        </w:rPr>
        <w:t>y</w:t>
      </w:r>
      <w:r>
        <w:rPr>
          <w:spacing w:val="-12"/>
          <w:sz w:val="20"/>
        </w:rPr>
        <w:t> </w:t>
      </w:r>
      <w:r>
        <w:rPr>
          <w:sz w:val="20"/>
        </w:rPr>
        <w:t>sistemas</w:t>
      </w:r>
      <w:r>
        <w:rPr>
          <w:spacing w:val="-6"/>
          <w:sz w:val="20"/>
        </w:rPr>
        <w:t> </w:t>
      </w:r>
      <w:r>
        <w:rPr>
          <w:sz w:val="20"/>
        </w:rPr>
        <w:t>operativos</w:t>
      </w:r>
      <w:r>
        <w:rPr>
          <w:spacing w:val="-5"/>
          <w:sz w:val="20"/>
        </w:rPr>
        <w:t> </w:t>
      </w:r>
      <w:r>
        <w:rPr>
          <w:sz w:val="20"/>
        </w:rPr>
        <w:t>para</w:t>
      </w:r>
      <w:r>
        <w:rPr>
          <w:spacing w:val="-5"/>
          <w:sz w:val="20"/>
        </w:rPr>
        <w:t> </w:t>
      </w:r>
      <w:r>
        <w:rPr>
          <w:sz w:val="20"/>
        </w:rPr>
        <w:t>la</w:t>
      </w:r>
      <w:r>
        <w:rPr>
          <w:spacing w:val="-7"/>
          <w:sz w:val="20"/>
        </w:rPr>
        <w:t> </w:t>
      </w:r>
      <w:r>
        <w:rPr>
          <w:sz w:val="20"/>
        </w:rPr>
        <w:t>supervisión</w:t>
      </w:r>
      <w:r>
        <w:rPr>
          <w:spacing w:val="-6"/>
          <w:sz w:val="20"/>
        </w:rPr>
        <w:t> </w:t>
      </w:r>
      <w:r>
        <w:rPr>
          <w:sz w:val="20"/>
        </w:rPr>
        <w:t>de</w:t>
      </w:r>
      <w:r>
        <w:rPr>
          <w:spacing w:val="-7"/>
          <w:sz w:val="20"/>
        </w:rPr>
        <w:t> </w:t>
      </w:r>
      <w:r>
        <w:rPr>
          <w:sz w:val="20"/>
        </w:rPr>
        <w:t>sus</w:t>
      </w:r>
      <w:r>
        <w:rPr>
          <w:spacing w:val="-6"/>
          <w:sz w:val="20"/>
        </w:rPr>
        <w:t> </w:t>
      </w:r>
      <w:r>
        <w:rPr>
          <w:sz w:val="20"/>
        </w:rPr>
        <w:t>actividades,</w:t>
      </w:r>
      <w:r>
        <w:rPr>
          <w:spacing w:val="-2"/>
          <w:sz w:val="20"/>
        </w:rPr>
        <w:t> </w:t>
      </w:r>
      <w:r>
        <w:rPr>
          <w:spacing w:val="-10"/>
          <w:sz w:val="20"/>
        </w:rPr>
        <w:t>y</w:t>
      </w:r>
    </w:p>
    <w:p>
      <w:pPr>
        <w:pStyle w:val="BodyText"/>
        <w:spacing w:before="1"/>
      </w:pPr>
    </w:p>
    <w:p>
      <w:pPr>
        <w:pStyle w:val="ListParagraph"/>
        <w:numPr>
          <w:ilvl w:val="0"/>
          <w:numId w:val="92"/>
        </w:numPr>
        <w:tabs>
          <w:tab w:pos="1058" w:val="left" w:leader="none"/>
        </w:tabs>
        <w:spacing w:line="242" w:lineRule="auto" w:before="0" w:after="0"/>
        <w:ind w:left="1058" w:right="347" w:hanging="432"/>
        <w:jc w:val="left"/>
        <w:rPr>
          <w:sz w:val="20"/>
        </w:rPr>
      </w:pPr>
      <w:r>
        <w:rPr>
          <w:sz w:val="20"/>
        </w:rPr>
        <w:t>Atender</w:t>
      </w:r>
      <w:r>
        <w:rPr>
          <w:spacing w:val="23"/>
          <w:sz w:val="20"/>
        </w:rPr>
        <w:t> </w:t>
      </w:r>
      <w:r>
        <w:rPr>
          <w:sz w:val="20"/>
        </w:rPr>
        <w:t>las</w:t>
      </w:r>
      <w:r>
        <w:rPr>
          <w:spacing w:val="23"/>
          <w:sz w:val="20"/>
        </w:rPr>
        <w:t> </w:t>
      </w:r>
      <w:r>
        <w:rPr>
          <w:sz w:val="20"/>
        </w:rPr>
        <w:t>políticas</w:t>
      </w:r>
      <w:r>
        <w:rPr>
          <w:spacing w:val="25"/>
          <w:sz w:val="20"/>
        </w:rPr>
        <w:t> </w:t>
      </w:r>
      <w:r>
        <w:rPr>
          <w:sz w:val="20"/>
        </w:rPr>
        <w:t>y mecanismos de protección</w:t>
      </w:r>
      <w:r>
        <w:rPr>
          <w:spacing w:val="22"/>
          <w:sz w:val="20"/>
        </w:rPr>
        <w:t> </w:t>
      </w:r>
      <w:r>
        <w:rPr>
          <w:sz w:val="20"/>
        </w:rPr>
        <w:t>de datos utilizados</w:t>
      </w:r>
      <w:r>
        <w:rPr>
          <w:spacing w:val="23"/>
          <w:sz w:val="20"/>
        </w:rPr>
        <w:t> </w:t>
      </w:r>
      <w:r>
        <w:rPr>
          <w:sz w:val="20"/>
        </w:rPr>
        <w:t>en el desempeño de sus actividades, así como las restricciones sobre su uso y almacenamiento.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7"/>
        <w:rPr>
          <w:rFonts w:ascii="Times New Roman"/>
          <w:i/>
          <w:sz w:val="16"/>
        </w:rPr>
      </w:pPr>
    </w:p>
    <w:p>
      <w:pPr>
        <w:pStyle w:val="BodyText"/>
        <w:spacing w:line="242" w:lineRule="auto" w:before="1"/>
        <w:ind w:left="338" w:right="336" w:firstLine="288"/>
        <w:jc w:val="both"/>
      </w:pPr>
      <w:bookmarkStart w:name="Artículo_330_G" w:id="412"/>
      <w:bookmarkEnd w:id="412"/>
      <w:r>
        <w:rPr/>
      </w:r>
      <w:r>
        <w:rPr>
          <w:rFonts w:ascii="Arial" w:hAnsi="Arial"/>
          <w:b/>
        </w:rPr>
        <w:t>Artículo 330-G.- </w:t>
      </w:r>
      <w:r>
        <w:rPr/>
        <w:t>El cambio en la modalidad de presencial a teletrabajo, deberá ser voluntario y establecido por escrito conforme al presente Capítulo, salvo casos de fuerza mayor debidamente </w:t>
      </w:r>
      <w:r>
        <w:rPr>
          <w:spacing w:val="-2"/>
        </w:rPr>
        <w:t>acreditada.</w:t>
      </w:r>
    </w:p>
    <w:p>
      <w:pPr>
        <w:pStyle w:val="BodyText"/>
        <w:spacing w:before="224"/>
        <w:ind w:left="338" w:right="334" w:firstLine="288"/>
        <w:jc w:val="both"/>
      </w:pPr>
      <w:r>
        <w:rPr/>
        <w:t>En todo caso, cuando se dé un cambio a la modalidad de teletrabajo las partes tendrán el derecho de reversibilidad a la modalidad presencial, para lo cual podrán pactar los mecanismos, procesos y tiempos necesarios para hacer válida su voluntad de retorno a dicha modalidad.</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5"/>
        <w:rPr>
          <w:rFonts w:ascii="Times New Roman"/>
          <w:i/>
          <w:sz w:val="16"/>
        </w:rPr>
      </w:pPr>
    </w:p>
    <w:p>
      <w:pPr>
        <w:pStyle w:val="BodyText"/>
        <w:ind w:left="338" w:right="339" w:firstLine="288"/>
        <w:jc w:val="both"/>
      </w:pPr>
      <w:bookmarkStart w:name="Artículo_330_H" w:id="413"/>
      <w:bookmarkEnd w:id="413"/>
      <w:r>
        <w:rPr/>
      </w:r>
      <w:r>
        <w:rPr>
          <w:rFonts w:ascii="Arial" w:hAnsi="Arial"/>
          <w:b/>
        </w:rPr>
        <w:t>Artículo 330-H.- </w:t>
      </w:r>
      <w:r>
        <w:rPr/>
        <w:t>El patrón debe promover el equilibrio de la relación laboral de las personas trabajadoras en la modalidad de teletrabajo, a fin de que gocen de un trabajo digno o decente y de igualdad de trato en cuanto a remuneración, capacitación, formación, seguridad social, acceso a mejores oportunidades laborales y demás condiciones que ampara el artículo 2o. de la presente Ley a los trabajadores presenciales que prestan sus servicios en la sede de la empresa. Asimismo, deberá observar una perspectiva de género que permita conciliar la vida personal y la disponibilidad de las personas trabajadoras bajo la modalidad de teletrabajo en la jornada laboral.</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8"/>
        <w:rPr>
          <w:rFonts w:ascii="Times New Roman"/>
          <w:i/>
          <w:sz w:val="16"/>
        </w:rPr>
      </w:pPr>
    </w:p>
    <w:p>
      <w:pPr>
        <w:pStyle w:val="BodyText"/>
        <w:ind w:left="338" w:right="343" w:firstLine="288"/>
        <w:jc w:val="both"/>
      </w:pPr>
      <w:bookmarkStart w:name="Artículo_330_I" w:id="414"/>
      <w:bookmarkEnd w:id="414"/>
      <w:r>
        <w:rPr/>
      </w:r>
      <w:r>
        <w:rPr>
          <w:rFonts w:ascii="Arial" w:hAnsi="Arial"/>
          <w:b/>
        </w:rPr>
        <w:t>Artículo 330-I.- </w:t>
      </w:r>
      <w:r>
        <w:rPr/>
        <w:t>Los mecanismos, sistemas operativos y</w:t>
      </w:r>
      <w:r>
        <w:rPr>
          <w:spacing w:val="-4"/>
        </w:rPr>
        <w:t> </w:t>
      </w:r>
      <w:r>
        <w:rPr/>
        <w:t>cualquier tecnología utilizada para supervisar el teletrabajo deberán ser proporcionales a su objetivo, garantizando el derecho a la intimidad de las personas trabajadoras bajo la modalidad de teletrabajo, y respetando el marco jurídico aplicable en materia de protección de datos personales.</w:t>
      </w:r>
    </w:p>
    <w:p>
      <w:pPr>
        <w:pStyle w:val="BodyText"/>
        <w:spacing w:before="2"/>
      </w:pPr>
    </w:p>
    <w:p>
      <w:pPr>
        <w:pStyle w:val="BodyText"/>
        <w:ind w:left="338" w:right="347" w:firstLine="288"/>
        <w:jc w:val="both"/>
      </w:pPr>
      <w:r>
        <w:rPr/>
        <w:t>Solamente podrán utilizarse cámaras de video y micrófonos para supervisar el teletrabajo de manera extraordinaria,</w:t>
      </w:r>
      <w:r>
        <w:rPr>
          <w:spacing w:val="-1"/>
        </w:rPr>
        <w:t> </w:t>
      </w:r>
      <w:r>
        <w:rPr/>
        <w:t>o cuando la naturaleza de las funciones desempeñadas por la persona trabajadora bajo la modalidad de teletrabajo lo requiera.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338" w:right="339" w:firstLine="288"/>
        <w:jc w:val="both"/>
      </w:pPr>
      <w:bookmarkStart w:name="Artículo_330_J" w:id="415"/>
      <w:bookmarkEnd w:id="415"/>
      <w:r>
        <w:rPr/>
      </w:r>
      <w:r>
        <w:rPr>
          <w:rFonts w:ascii="Arial" w:hAnsi="Arial"/>
          <w:b/>
        </w:rPr>
        <w:t>Artículo 330-J.- </w:t>
      </w:r>
      <w:r>
        <w:rPr/>
        <w:t>Las condiciones especiales de seguridad y salud para los trabajos desarrollados al amparo del presente Capítulo serán establecidas por la Secretaría del Trabajo y Previsión Social en una Norma Oficial Mexicana, misma que deberá considerar a los factores ergonómicos, psicosociales, y otros riesgos que pudieran causar efectos adversos para la vida, integridad física o salud de las personas trabajadoras que se desempeñen en la modalidad de teletrabajo.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4"/>
        <w:rPr>
          <w:rFonts w:ascii="Times New Roman"/>
          <w:i/>
          <w:sz w:val="16"/>
        </w:rPr>
      </w:pPr>
    </w:p>
    <w:p>
      <w:pPr>
        <w:pStyle w:val="BodyText"/>
        <w:spacing w:before="1"/>
        <w:ind w:left="626"/>
      </w:pPr>
      <w:bookmarkStart w:name="Artículo_330_K" w:id="416"/>
      <w:bookmarkEnd w:id="416"/>
      <w:r>
        <w:rPr/>
      </w:r>
      <w:r>
        <w:rPr>
          <w:rFonts w:ascii="Arial" w:hAnsi="Arial"/>
          <w:b/>
        </w:rPr>
        <w:t>Artículo</w:t>
      </w:r>
      <w:r>
        <w:rPr>
          <w:rFonts w:ascii="Arial" w:hAnsi="Arial"/>
          <w:b/>
          <w:spacing w:val="-8"/>
        </w:rPr>
        <w:t> </w:t>
      </w:r>
      <w:r>
        <w:rPr>
          <w:rFonts w:ascii="Arial" w:hAnsi="Arial"/>
          <w:b/>
        </w:rPr>
        <w:t>330-K.-</w:t>
      </w:r>
      <w:r>
        <w:rPr>
          <w:rFonts w:ascii="Arial" w:hAnsi="Arial"/>
          <w:b/>
          <w:spacing w:val="-7"/>
        </w:rPr>
        <w:t> </w:t>
      </w:r>
      <w:r>
        <w:rPr/>
        <w:t>Los</w:t>
      </w:r>
      <w:r>
        <w:rPr>
          <w:spacing w:val="-7"/>
        </w:rPr>
        <w:t> </w:t>
      </w:r>
      <w:r>
        <w:rPr/>
        <w:t>Inspectores</w:t>
      </w:r>
      <w:r>
        <w:rPr>
          <w:spacing w:val="-8"/>
        </w:rPr>
        <w:t> </w:t>
      </w:r>
      <w:r>
        <w:rPr/>
        <w:t>del</w:t>
      </w:r>
      <w:r>
        <w:rPr>
          <w:spacing w:val="-9"/>
        </w:rPr>
        <w:t> </w:t>
      </w:r>
      <w:r>
        <w:rPr/>
        <w:t>Trabajo</w:t>
      </w:r>
      <w:r>
        <w:rPr>
          <w:spacing w:val="-8"/>
        </w:rPr>
        <w:t> </w:t>
      </w:r>
      <w:r>
        <w:rPr/>
        <w:t>tienen</w:t>
      </w:r>
      <w:r>
        <w:rPr>
          <w:spacing w:val="-6"/>
        </w:rPr>
        <w:t> </w:t>
      </w:r>
      <w:r>
        <w:rPr/>
        <w:t>las</w:t>
      </w:r>
      <w:r>
        <w:rPr>
          <w:spacing w:val="-8"/>
        </w:rPr>
        <w:t> </w:t>
      </w:r>
      <w:r>
        <w:rPr/>
        <w:t>atribuciones</w:t>
      </w:r>
      <w:r>
        <w:rPr>
          <w:spacing w:val="-5"/>
        </w:rPr>
        <w:t> </w:t>
      </w:r>
      <w:r>
        <w:rPr/>
        <w:t>y</w:t>
      </w:r>
      <w:r>
        <w:rPr>
          <w:spacing w:val="-9"/>
        </w:rPr>
        <w:t> </w:t>
      </w:r>
      <w:r>
        <w:rPr/>
        <w:t>deberes</w:t>
      </w:r>
      <w:r>
        <w:rPr>
          <w:spacing w:val="-7"/>
        </w:rPr>
        <w:t> </w:t>
      </w:r>
      <w:r>
        <w:rPr/>
        <w:t>especiales</w:t>
      </w:r>
      <w:r>
        <w:rPr>
          <w:spacing w:val="-7"/>
        </w:rPr>
        <w:t> </w:t>
      </w:r>
      <w:r>
        <w:rPr>
          <w:spacing w:val="-2"/>
        </w:rPr>
        <w:t>siguientes:</w:t>
      </w:r>
    </w:p>
    <w:p>
      <w:pPr>
        <w:pStyle w:val="BodyText"/>
        <w:spacing w:after="0"/>
        <w:sectPr>
          <w:pgSz w:w="12240" w:h="15840"/>
          <w:pgMar w:header="724" w:footer="712" w:top="1880" w:bottom="900" w:left="1080" w:right="1080"/>
        </w:sectPr>
      </w:pPr>
    </w:p>
    <w:p>
      <w:pPr>
        <w:pStyle w:val="BodyText"/>
      </w:pPr>
    </w:p>
    <w:p>
      <w:pPr>
        <w:pStyle w:val="BodyText"/>
        <w:spacing w:before="63"/>
      </w:pPr>
    </w:p>
    <w:p>
      <w:pPr>
        <w:pStyle w:val="ListParagraph"/>
        <w:numPr>
          <w:ilvl w:val="0"/>
          <w:numId w:val="93"/>
        </w:numPr>
        <w:tabs>
          <w:tab w:pos="1056" w:val="left" w:leader="none"/>
          <w:tab w:pos="1058" w:val="left" w:leader="none"/>
        </w:tabs>
        <w:spacing w:line="242" w:lineRule="auto" w:before="0" w:after="0"/>
        <w:ind w:left="1058" w:right="337" w:hanging="432"/>
        <w:jc w:val="both"/>
        <w:rPr>
          <w:sz w:val="20"/>
        </w:rPr>
      </w:pPr>
      <w:r>
        <w:rPr>
          <w:sz w:val="20"/>
        </w:rPr>
        <w:t>Comprobar que los patrones lleven registro de los insumos entregados a las personas trabajadoras en la modalidad de teletrabajo, en cumplimiento a las obligaciones de seguridad y salud en el trabajo;</w:t>
      </w:r>
    </w:p>
    <w:p>
      <w:pPr>
        <w:pStyle w:val="ListParagraph"/>
        <w:numPr>
          <w:ilvl w:val="0"/>
          <w:numId w:val="93"/>
        </w:numPr>
        <w:tabs>
          <w:tab w:pos="1055" w:val="left" w:leader="none"/>
          <w:tab w:pos="1058" w:val="left" w:leader="none"/>
        </w:tabs>
        <w:spacing w:line="240" w:lineRule="auto" w:before="225" w:after="0"/>
        <w:ind w:left="1058" w:right="347" w:hanging="432"/>
        <w:jc w:val="both"/>
        <w:rPr>
          <w:sz w:val="20"/>
        </w:rPr>
      </w:pPr>
      <w:r>
        <w:rPr>
          <w:sz w:val="20"/>
        </w:rPr>
        <w:t>Vigilar que los salarios no sean inferiores a los que se paguen en la empresa al trabajador presencial con funciones iguales o similares;</w:t>
      </w:r>
    </w:p>
    <w:p>
      <w:pPr>
        <w:pStyle w:val="ListParagraph"/>
        <w:numPr>
          <w:ilvl w:val="0"/>
          <w:numId w:val="93"/>
        </w:numPr>
        <w:tabs>
          <w:tab w:pos="1054" w:val="left" w:leader="none"/>
          <w:tab w:pos="1058" w:val="left" w:leader="none"/>
        </w:tabs>
        <w:spacing w:line="242" w:lineRule="auto" w:before="229" w:after="0"/>
        <w:ind w:left="1058" w:right="340" w:hanging="432"/>
        <w:jc w:val="both"/>
        <w:rPr>
          <w:sz w:val="20"/>
        </w:rPr>
      </w:pPr>
      <w:r>
        <w:rPr>
          <w:sz w:val="20"/>
        </w:rPr>
        <w:t>Constatar el debido cumplimiento de las obligaciones especiales establecidas en el presente </w:t>
      </w:r>
      <w:r>
        <w:rPr>
          <w:spacing w:val="-2"/>
          <w:sz w:val="20"/>
        </w:rPr>
        <w:t>Capítulo.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3"/>
        <w:rPr>
          <w:rFonts w:ascii="Times New Roman"/>
          <w:i/>
          <w:sz w:val="16"/>
        </w:rPr>
      </w:pPr>
    </w:p>
    <w:p>
      <w:pPr>
        <w:pStyle w:val="Heading1"/>
        <w:ind w:left="298"/>
      </w:pPr>
      <w:r>
        <w:rPr/>
        <w:t>CAPITULO</w:t>
      </w:r>
      <w:r>
        <w:rPr>
          <w:spacing w:val="-9"/>
        </w:rPr>
        <w:t> </w:t>
      </w:r>
      <w:r>
        <w:rPr>
          <w:spacing w:val="-4"/>
        </w:rPr>
        <w:t>XIII</w:t>
      </w:r>
    </w:p>
    <w:p>
      <w:pPr>
        <w:pStyle w:val="Heading2"/>
        <w:spacing w:before="2"/>
        <w:ind w:left="300"/>
      </w:pPr>
      <w:r>
        <w:rPr/>
        <w:t>Personas</w:t>
      </w:r>
      <w:r>
        <w:rPr>
          <w:spacing w:val="-7"/>
        </w:rPr>
        <w:t> </w:t>
      </w:r>
      <w:r>
        <w:rPr/>
        <w:t>Trabajadoras</w:t>
      </w:r>
      <w:r>
        <w:rPr>
          <w:spacing w:val="-6"/>
        </w:rPr>
        <w:t> </w:t>
      </w:r>
      <w:r>
        <w:rPr/>
        <w:t>del</w:t>
      </w:r>
      <w:r>
        <w:rPr>
          <w:spacing w:val="-7"/>
        </w:rPr>
        <w:t> </w:t>
      </w:r>
      <w:r>
        <w:rPr>
          <w:spacing w:val="-4"/>
        </w:rPr>
        <w:t>Hogar</w:t>
      </w:r>
    </w:p>
    <w:p>
      <w:pPr>
        <w:spacing w:before="1"/>
        <w:ind w:left="5266"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9"/>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01-05-2019,</w:t>
      </w:r>
      <w:r>
        <w:rPr>
          <w:rFonts w:ascii="Times New Roman" w:hAnsi="Times New Roman"/>
          <w:i/>
          <w:color w:val="0000FF"/>
          <w:spacing w:val="-9"/>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4"/>
        <w:rPr>
          <w:rFonts w:ascii="Times New Roman"/>
          <w:i/>
          <w:sz w:val="16"/>
        </w:rPr>
      </w:pPr>
    </w:p>
    <w:p>
      <w:pPr>
        <w:pStyle w:val="BodyText"/>
        <w:spacing w:line="242" w:lineRule="auto" w:before="1"/>
        <w:ind w:left="338" w:right="337" w:firstLine="288"/>
        <w:jc w:val="both"/>
      </w:pPr>
      <w:bookmarkStart w:name="Artículo_331" w:id="417"/>
      <w:bookmarkEnd w:id="417"/>
      <w:r>
        <w:rPr/>
      </w:r>
      <w:r>
        <w:rPr>
          <w:rFonts w:ascii="Arial" w:hAnsi="Arial"/>
          <w:b/>
        </w:rPr>
        <w:t>Artículo 331.- </w:t>
      </w:r>
      <w:r>
        <w:rPr/>
        <w:t>Persona trabajadora del hogar es aquella que de manera remunerada realice actividades de</w:t>
      </w:r>
      <w:r>
        <w:rPr>
          <w:spacing w:val="-4"/>
        </w:rPr>
        <w:t> </w:t>
      </w:r>
      <w:r>
        <w:rPr/>
        <w:t>cuidados,</w:t>
      </w:r>
      <w:r>
        <w:rPr>
          <w:spacing w:val="-1"/>
        </w:rPr>
        <w:t> </w:t>
      </w:r>
      <w:r>
        <w:rPr/>
        <w:t>aseo,</w:t>
      </w:r>
      <w:r>
        <w:rPr>
          <w:spacing w:val="-3"/>
        </w:rPr>
        <w:t> </w:t>
      </w:r>
      <w:r>
        <w:rPr/>
        <w:t>asistencia</w:t>
      </w:r>
      <w:r>
        <w:rPr>
          <w:spacing w:val="-3"/>
        </w:rPr>
        <w:t> </w:t>
      </w:r>
      <w:r>
        <w:rPr/>
        <w:t>o</w:t>
      </w:r>
      <w:r>
        <w:rPr>
          <w:spacing w:val="-1"/>
        </w:rPr>
        <w:t> </w:t>
      </w:r>
      <w:r>
        <w:rPr/>
        <w:t>cualquier otra</w:t>
      </w:r>
      <w:r>
        <w:rPr>
          <w:spacing w:val="-3"/>
        </w:rPr>
        <w:t> </w:t>
      </w:r>
      <w:r>
        <w:rPr/>
        <w:t>actividad</w:t>
      </w:r>
      <w:r>
        <w:rPr>
          <w:spacing w:val="-2"/>
        </w:rPr>
        <w:t> </w:t>
      </w:r>
      <w:r>
        <w:rPr/>
        <w:t>inherente</w:t>
      </w:r>
      <w:r>
        <w:rPr>
          <w:spacing w:val="-1"/>
        </w:rPr>
        <w:t> </w:t>
      </w:r>
      <w:r>
        <w:rPr/>
        <w:t>al</w:t>
      </w:r>
      <w:r>
        <w:rPr>
          <w:spacing w:val="-2"/>
        </w:rPr>
        <w:t> </w:t>
      </w:r>
      <w:r>
        <w:rPr/>
        <w:t>hogar en</w:t>
      </w:r>
      <w:r>
        <w:rPr>
          <w:spacing w:val="-1"/>
        </w:rPr>
        <w:t> </w:t>
      </w:r>
      <w:r>
        <w:rPr/>
        <w:t>el</w:t>
      </w:r>
      <w:r>
        <w:rPr>
          <w:spacing w:val="-4"/>
        </w:rPr>
        <w:t> </w:t>
      </w:r>
      <w:r>
        <w:rPr/>
        <w:t>marco</w:t>
      </w:r>
      <w:r>
        <w:rPr>
          <w:spacing w:val="-3"/>
        </w:rPr>
        <w:t> </w:t>
      </w:r>
      <w:r>
        <w:rPr/>
        <w:t>de</w:t>
      </w:r>
      <w:r>
        <w:rPr>
          <w:spacing w:val="-3"/>
        </w:rPr>
        <w:t> </w:t>
      </w:r>
      <w:r>
        <w:rPr/>
        <w:t>una relación laboral que no importe para la persona empleadora beneficio económico directo, conforme a las horas diarias o jornadas semanales establecidas en la ley, en cualquiera de las siguientes modalidades:</w:t>
      </w:r>
    </w:p>
    <w:p>
      <w:pPr>
        <w:pStyle w:val="ListParagraph"/>
        <w:numPr>
          <w:ilvl w:val="0"/>
          <w:numId w:val="94"/>
        </w:numPr>
        <w:tabs>
          <w:tab w:pos="1195" w:val="left" w:leader="none"/>
        </w:tabs>
        <w:spacing w:line="240" w:lineRule="auto" w:before="222" w:after="0"/>
        <w:ind w:left="1195" w:right="344" w:hanging="569"/>
        <w:jc w:val="left"/>
        <w:rPr>
          <w:sz w:val="20"/>
        </w:rPr>
      </w:pPr>
      <w:r>
        <w:rPr>
          <w:sz w:val="20"/>
        </w:rPr>
        <w:t>Personas</w:t>
      </w:r>
      <w:r>
        <w:rPr>
          <w:spacing w:val="26"/>
          <w:sz w:val="20"/>
        </w:rPr>
        <w:t> </w:t>
      </w:r>
      <w:r>
        <w:rPr>
          <w:sz w:val="20"/>
        </w:rPr>
        <w:t>trabajadoras</w:t>
      </w:r>
      <w:r>
        <w:rPr>
          <w:spacing w:val="27"/>
          <w:sz w:val="20"/>
        </w:rPr>
        <w:t> </w:t>
      </w:r>
      <w:r>
        <w:rPr>
          <w:sz w:val="20"/>
        </w:rPr>
        <w:t>del</w:t>
      </w:r>
      <w:r>
        <w:rPr>
          <w:spacing w:val="24"/>
          <w:sz w:val="20"/>
        </w:rPr>
        <w:t> </w:t>
      </w:r>
      <w:r>
        <w:rPr>
          <w:sz w:val="20"/>
        </w:rPr>
        <w:t>hogar</w:t>
      </w:r>
      <w:r>
        <w:rPr>
          <w:spacing w:val="26"/>
          <w:sz w:val="20"/>
        </w:rPr>
        <w:t> </w:t>
      </w:r>
      <w:r>
        <w:rPr>
          <w:sz w:val="20"/>
        </w:rPr>
        <w:t>que</w:t>
      </w:r>
      <w:r>
        <w:rPr>
          <w:spacing w:val="25"/>
          <w:sz w:val="20"/>
        </w:rPr>
        <w:t> </w:t>
      </w:r>
      <w:r>
        <w:rPr>
          <w:sz w:val="20"/>
        </w:rPr>
        <w:t>trabajen</w:t>
      </w:r>
      <w:r>
        <w:rPr>
          <w:spacing w:val="25"/>
          <w:sz w:val="20"/>
        </w:rPr>
        <w:t> </w:t>
      </w:r>
      <w:r>
        <w:rPr>
          <w:sz w:val="20"/>
        </w:rPr>
        <w:t>para</w:t>
      </w:r>
      <w:r>
        <w:rPr>
          <w:spacing w:val="27"/>
          <w:sz w:val="20"/>
        </w:rPr>
        <w:t> </w:t>
      </w:r>
      <w:r>
        <w:rPr>
          <w:sz w:val="20"/>
        </w:rPr>
        <w:t>una</w:t>
      </w:r>
      <w:r>
        <w:rPr>
          <w:spacing w:val="25"/>
          <w:sz w:val="20"/>
        </w:rPr>
        <w:t> </w:t>
      </w:r>
      <w:r>
        <w:rPr>
          <w:sz w:val="20"/>
        </w:rPr>
        <w:t>persona</w:t>
      </w:r>
      <w:r>
        <w:rPr>
          <w:spacing w:val="25"/>
          <w:sz w:val="20"/>
        </w:rPr>
        <w:t> </w:t>
      </w:r>
      <w:r>
        <w:rPr>
          <w:sz w:val="20"/>
        </w:rPr>
        <w:t>empleadora</w:t>
      </w:r>
      <w:r>
        <w:rPr>
          <w:spacing w:val="27"/>
          <w:sz w:val="20"/>
        </w:rPr>
        <w:t> </w:t>
      </w:r>
      <w:r>
        <w:rPr>
          <w:sz w:val="20"/>
        </w:rPr>
        <w:t>y</w:t>
      </w:r>
      <w:r>
        <w:rPr>
          <w:spacing w:val="23"/>
          <w:sz w:val="20"/>
        </w:rPr>
        <w:t> </w:t>
      </w:r>
      <w:r>
        <w:rPr>
          <w:sz w:val="20"/>
        </w:rPr>
        <w:t>residan</w:t>
      </w:r>
      <w:r>
        <w:rPr>
          <w:spacing w:val="23"/>
          <w:sz w:val="20"/>
        </w:rPr>
        <w:t> </w:t>
      </w:r>
      <w:r>
        <w:rPr>
          <w:sz w:val="20"/>
        </w:rPr>
        <w:t>en</w:t>
      </w:r>
      <w:r>
        <w:rPr>
          <w:spacing w:val="25"/>
          <w:sz w:val="20"/>
        </w:rPr>
        <w:t> </w:t>
      </w:r>
      <w:r>
        <w:rPr>
          <w:sz w:val="20"/>
        </w:rPr>
        <w:t>el domicilio donde realice sus actividades.</w:t>
      </w:r>
    </w:p>
    <w:p>
      <w:pPr>
        <w:pStyle w:val="ListParagraph"/>
        <w:numPr>
          <w:ilvl w:val="0"/>
          <w:numId w:val="94"/>
        </w:numPr>
        <w:tabs>
          <w:tab w:pos="1195" w:val="left" w:leader="none"/>
        </w:tabs>
        <w:spacing w:line="242" w:lineRule="auto" w:before="229" w:after="0"/>
        <w:ind w:left="1195" w:right="341" w:hanging="569"/>
        <w:jc w:val="left"/>
        <w:rPr>
          <w:sz w:val="20"/>
        </w:rPr>
      </w:pPr>
      <w:r>
        <w:rPr>
          <w:sz w:val="20"/>
        </w:rPr>
        <w:t>Personas trabajadoras del hogar que trabajen para una persona empleadora y que no residan en el domicilio donde realice sus actividades.</w:t>
      </w:r>
    </w:p>
    <w:p>
      <w:pPr>
        <w:pStyle w:val="ListParagraph"/>
        <w:numPr>
          <w:ilvl w:val="0"/>
          <w:numId w:val="94"/>
        </w:numPr>
        <w:tabs>
          <w:tab w:pos="1195" w:val="left" w:leader="none"/>
        </w:tabs>
        <w:spacing w:line="240" w:lineRule="auto" w:before="227" w:after="0"/>
        <w:ind w:left="1195" w:right="347" w:hanging="569"/>
        <w:jc w:val="left"/>
        <w:rPr>
          <w:sz w:val="20"/>
        </w:rPr>
      </w:pPr>
      <w:r>
        <w:rPr>
          <w:sz w:val="20"/>
        </w:rPr>
        <w:t>Personas trabajadoras del hogar que trabajen para diferentes personas empleadoras y que no residan en el domicilio de ninguna de ellas.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01-05-2019,</w:t>
      </w:r>
      <w:r>
        <w:rPr>
          <w:rFonts w:ascii="Times New Roman" w:hAnsi="Times New Roman"/>
          <w:i/>
          <w:color w:val="0000FF"/>
          <w:spacing w:val="-8"/>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right="345" w:firstLine="288"/>
      </w:pPr>
      <w:bookmarkStart w:name="Artículo_331_Bis" w:id="418"/>
      <w:bookmarkEnd w:id="418"/>
      <w:r>
        <w:rPr/>
      </w:r>
      <w:r>
        <w:rPr>
          <w:rFonts w:ascii="Arial" w:hAnsi="Arial"/>
          <w:b/>
        </w:rPr>
        <w:t>Artículo</w:t>
      </w:r>
      <w:r>
        <w:rPr>
          <w:rFonts w:ascii="Arial" w:hAnsi="Arial"/>
          <w:b/>
          <w:spacing w:val="-2"/>
        </w:rPr>
        <w:t> </w:t>
      </w:r>
      <w:r>
        <w:rPr>
          <w:rFonts w:ascii="Arial" w:hAnsi="Arial"/>
          <w:b/>
        </w:rPr>
        <w:t>331</w:t>
      </w:r>
      <w:r>
        <w:rPr>
          <w:rFonts w:ascii="Arial" w:hAnsi="Arial"/>
          <w:b/>
          <w:spacing w:val="-3"/>
        </w:rPr>
        <w:t> </w:t>
      </w:r>
      <w:r>
        <w:rPr>
          <w:rFonts w:ascii="Arial" w:hAnsi="Arial"/>
          <w:b/>
        </w:rPr>
        <w:t>Bis.-</w:t>
      </w:r>
      <w:r>
        <w:rPr>
          <w:rFonts w:ascii="Arial" w:hAnsi="Arial"/>
          <w:b/>
          <w:spacing w:val="-2"/>
        </w:rPr>
        <w:t> </w:t>
      </w:r>
      <w:r>
        <w:rPr/>
        <w:t>Queda</w:t>
      </w:r>
      <w:r>
        <w:rPr>
          <w:spacing w:val="-1"/>
        </w:rPr>
        <w:t> </w:t>
      </w:r>
      <w:r>
        <w:rPr/>
        <w:t>prohibida</w:t>
      </w:r>
      <w:r>
        <w:rPr>
          <w:spacing w:val="-4"/>
        </w:rPr>
        <w:t> </w:t>
      </w:r>
      <w:r>
        <w:rPr/>
        <w:t>la</w:t>
      </w:r>
      <w:r>
        <w:rPr>
          <w:spacing w:val="-3"/>
        </w:rPr>
        <w:t> </w:t>
      </w:r>
      <w:r>
        <w:rPr/>
        <w:t>contratación</w:t>
      </w:r>
      <w:r>
        <w:rPr>
          <w:spacing w:val="-1"/>
        </w:rPr>
        <w:t> </w:t>
      </w:r>
      <w:r>
        <w:rPr/>
        <w:t>para</w:t>
      </w:r>
      <w:r>
        <w:rPr>
          <w:spacing w:val="-3"/>
        </w:rPr>
        <w:t> </w:t>
      </w:r>
      <w:r>
        <w:rPr/>
        <w:t>el</w:t>
      </w:r>
      <w:r>
        <w:rPr>
          <w:spacing w:val="-4"/>
        </w:rPr>
        <w:t> </w:t>
      </w:r>
      <w:r>
        <w:rPr/>
        <w:t>trabajo</w:t>
      </w:r>
      <w:r>
        <w:rPr>
          <w:spacing w:val="-3"/>
        </w:rPr>
        <w:t> </w:t>
      </w:r>
      <w:r>
        <w:rPr/>
        <w:t>del</w:t>
      </w:r>
      <w:r>
        <w:rPr>
          <w:spacing w:val="-4"/>
        </w:rPr>
        <w:t> </w:t>
      </w:r>
      <w:r>
        <w:rPr/>
        <w:t>hogar</w:t>
      </w:r>
      <w:r>
        <w:rPr>
          <w:spacing w:val="-2"/>
        </w:rPr>
        <w:t> </w:t>
      </w:r>
      <w:r>
        <w:rPr/>
        <w:t>de</w:t>
      </w:r>
      <w:r>
        <w:rPr>
          <w:spacing w:val="-1"/>
        </w:rPr>
        <w:t> </w:t>
      </w:r>
      <w:r>
        <w:rPr/>
        <w:t>adolescentes</w:t>
      </w:r>
      <w:r>
        <w:rPr>
          <w:spacing w:val="-2"/>
        </w:rPr>
        <w:t> </w:t>
      </w:r>
      <w:r>
        <w:rPr/>
        <w:t>menores de quince años de edad.</w:t>
      </w:r>
    </w:p>
    <w:p>
      <w:pPr>
        <w:pStyle w:val="BodyText"/>
        <w:spacing w:before="227"/>
        <w:ind w:left="626"/>
      </w:pPr>
      <w:r>
        <w:rPr/>
        <w:t>Tratándose</w:t>
      </w:r>
      <w:r>
        <w:rPr>
          <w:spacing w:val="-8"/>
        </w:rPr>
        <w:t> </w:t>
      </w:r>
      <w:r>
        <w:rPr/>
        <w:t>de</w:t>
      </w:r>
      <w:r>
        <w:rPr>
          <w:spacing w:val="-6"/>
        </w:rPr>
        <w:t> </w:t>
      </w:r>
      <w:r>
        <w:rPr/>
        <w:t>adolescentes</w:t>
      </w:r>
      <w:r>
        <w:rPr>
          <w:spacing w:val="-9"/>
        </w:rPr>
        <w:t> </w:t>
      </w:r>
      <w:r>
        <w:rPr/>
        <w:t>mayores</w:t>
      </w:r>
      <w:r>
        <w:rPr>
          <w:spacing w:val="-6"/>
        </w:rPr>
        <w:t> </w:t>
      </w:r>
      <w:r>
        <w:rPr/>
        <w:t>de</w:t>
      </w:r>
      <w:r>
        <w:rPr>
          <w:spacing w:val="-7"/>
        </w:rPr>
        <w:t> </w:t>
      </w:r>
      <w:r>
        <w:rPr/>
        <w:t>quince</w:t>
      </w:r>
      <w:r>
        <w:rPr>
          <w:spacing w:val="-8"/>
        </w:rPr>
        <w:t> </w:t>
      </w:r>
      <w:r>
        <w:rPr/>
        <w:t>años,</w:t>
      </w:r>
      <w:r>
        <w:rPr>
          <w:spacing w:val="-6"/>
        </w:rPr>
        <w:t> </w:t>
      </w:r>
      <w:r>
        <w:rPr/>
        <w:t>para</w:t>
      </w:r>
      <w:r>
        <w:rPr>
          <w:spacing w:val="-8"/>
        </w:rPr>
        <w:t> </w:t>
      </w:r>
      <w:r>
        <w:rPr/>
        <w:t>su</w:t>
      </w:r>
      <w:r>
        <w:rPr>
          <w:spacing w:val="-8"/>
        </w:rPr>
        <w:t> </w:t>
      </w:r>
      <w:r>
        <w:rPr/>
        <w:t>contratación</w:t>
      </w:r>
      <w:r>
        <w:rPr>
          <w:spacing w:val="-7"/>
        </w:rPr>
        <w:t> </w:t>
      </w:r>
      <w:r>
        <w:rPr/>
        <w:t>el</w:t>
      </w:r>
      <w:r>
        <w:rPr>
          <w:spacing w:val="-7"/>
        </w:rPr>
        <w:t> </w:t>
      </w:r>
      <w:r>
        <w:rPr/>
        <w:t>patrón</w:t>
      </w:r>
      <w:r>
        <w:rPr>
          <w:spacing w:val="-9"/>
        </w:rPr>
        <w:t> </w:t>
      </w:r>
      <w:r>
        <w:rPr>
          <w:spacing w:val="-2"/>
        </w:rPr>
        <w:t>deberá:</w:t>
      </w:r>
    </w:p>
    <w:p>
      <w:pPr>
        <w:pStyle w:val="ListParagraph"/>
        <w:numPr>
          <w:ilvl w:val="0"/>
          <w:numId w:val="95"/>
        </w:numPr>
        <w:tabs>
          <w:tab w:pos="1193" w:val="left" w:leader="none"/>
          <w:tab w:pos="1195" w:val="left" w:leader="none"/>
        </w:tabs>
        <w:spacing w:line="242" w:lineRule="auto" w:before="228" w:after="0"/>
        <w:ind w:left="1195" w:right="346" w:hanging="569"/>
        <w:jc w:val="both"/>
        <w:rPr>
          <w:sz w:val="20"/>
        </w:rPr>
      </w:pPr>
      <w:r>
        <w:rPr>
          <w:sz w:val="20"/>
        </w:rPr>
        <w:t>Solicitar certificado médico expedido por una institución de salud pública por lo menos dos veces al año.</w:t>
      </w:r>
    </w:p>
    <w:p>
      <w:pPr>
        <w:pStyle w:val="ListParagraph"/>
        <w:numPr>
          <w:ilvl w:val="0"/>
          <w:numId w:val="95"/>
        </w:numPr>
        <w:tabs>
          <w:tab w:pos="1192" w:val="left" w:leader="none"/>
          <w:tab w:pos="1195" w:val="left" w:leader="none"/>
        </w:tabs>
        <w:spacing w:line="242" w:lineRule="auto" w:before="224" w:after="0"/>
        <w:ind w:left="1195" w:right="348" w:hanging="569"/>
        <w:jc w:val="both"/>
        <w:rPr>
          <w:sz w:val="20"/>
        </w:rPr>
      </w:pPr>
      <w:r>
        <w:rPr>
          <w:sz w:val="20"/>
        </w:rPr>
        <w:t>Fijar jornadas laborales que no excedan, bajo ninguna circunstancia, las seis (6) horas diarias de labor y treinta y seis (36) horas semanales.</w:t>
      </w:r>
    </w:p>
    <w:p>
      <w:pPr>
        <w:pStyle w:val="ListParagraph"/>
        <w:numPr>
          <w:ilvl w:val="0"/>
          <w:numId w:val="95"/>
        </w:numPr>
        <w:tabs>
          <w:tab w:pos="1191" w:val="left" w:leader="none"/>
          <w:tab w:pos="1195" w:val="left" w:leader="none"/>
        </w:tabs>
        <w:spacing w:line="240" w:lineRule="auto" w:before="227" w:after="0"/>
        <w:ind w:left="1195" w:right="345" w:hanging="569"/>
        <w:jc w:val="both"/>
        <w:rPr>
          <w:sz w:val="20"/>
        </w:rPr>
      </w:pPr>
      <w:r>
        <w:rPr>
          <w:sz w:val="20"/>
        </w:rPr>
        <w:t>Evitar la contratación de personas adolescentes mayores de quince años que no hayan concluido cuando menos la educación secundaria, a excepción de que la persona empleadora se haga cargo de que finalice la misma.</w:t>
      </w:r>
    </w:p>
    <w:p>
      <w:pPr>
        <w:pStyle w:val="BodyText"/>
        <w:spacing w:before="2"/>
      </w:pPr>
    </w:p>
    <w:p>
      <w:pPr>
        <w:pStyle w:val="BodyText"/>
        <w:ind w:left="338" w:right="357" w:firstLine="288"/>
      </w:pPr>
      <w:r>
        <w:rPr/>
        <w:t>En el caso en el que la adolescente habite en el domicilio en donde realiza sus actividades</w:t>
      </w:r>
      <w:r>
        <w:rPr>
          <w:spacing w:val="19"/>
        </w:rPr>
        <w:t> </w:t>
      </w:r>
      <w:r>
        <w:rPr/>
        <w:t>y preste</w:t>
      </w:r>
      <w:r>
        <w:rPr>
          <w:spacing w:val="40"/>
        </w:rPr>
        <w:t> </w:t>
      </w:r>
      <w:r>
        <w:rPr/>
        <w:t>sus servicios para una sola persona, deberá garantizarse que el espacio en donde pernocte sea seguro.</w:t>
      </w:r>
    </w:p>
    <w:p>
      <w:pPr>
        <w:pStyle w:val="BodyText"/>
        <w:spacing w:before="1"/>
      </w:pPr>
    </w:p>
    <w:p>
      <w:pPr>
        <w:pStyle w:val="BodyText"/>
        <w:spacing w:line="228" w:lineRule="exact" w:before="1"/>
        <w:ind w:left="626"/>
      </w:pPr>
      <w:r>
        <w:rPr/>
        <w:t>Todo</w:t>
      </w:r>
      <w:r>
        <w:rPr>
          <w:spacing w:val="-6"/>
        </w:rPr>
        <w:t> </w:t>
      </w:r>
      <w:r>
        <w:rPr/>
        <w:t>lo</w:t>
      </w:r>
      <w:r>
        <w:rPr>
          <w:spacing w:val="-6"/>
        </w:rPr>
        <w:t> </w:t>
      </w:r>
      <w:r>
        <w:rPr/>
        <w:t>dispuesto</w:t>
      </w:r>
      <w:r>
        <w:rPr>
          <w:spacing w:val="-7"/>
        </w:rPr>
        <w:t> </w:t>
      </w:r>
      <w:r>
        <w:rPr/>
        <w:t>en</w:t>
      </w:r>
      <w:r>
        <w:rPr>
          <w:spacing w:val="-6"/>
        </w:rPr>
        <w:t> </w:t>
      </w:r>
      <w:r>
        <w:rPr/>
        <w:t>este</w:t>
      </w:r>
      <w:r>
        <w:rPr>
          <w:spacing w:val="-3"/>
        </w:rPr>
        <w:t> </w:t>
      </w:r>
      <w:r>
        <w:rPr/>
        <w:t>artículo</w:t>
      </w:r>
      <w:r>
        <w:rPr>
          <w:spacing w:val="-4"/>
        </w:rPr>
        <w:t> </w:t>
      </w:r>
      <w:r>
        <w:rPr/>
        <w:t>queda</w:t>
      </w:r>
      <w:r>
        <w:rPr>
          <w:spacing w:val="-7"/>
        </w:rPr>
        <w:t> </w:t>
      </w:r>
      <w:r>
        <w:rPr/>
        <w:t>sujeto</w:t>
      </w:r>
      <w:r>
        <w:rPr>
          <w:spacing w:val="-6"/>
        </w:rPr>
        <w:t> </w:t>
      </w:r>
      <w:r>
        <w:rPr/>
        <w:t>a</w:t>
      </w:r>
      <w:r>
        <w:rPr>
          <w:spacing w:val="-5"/>
        </w:rPr>
        <w:t> </w:t>
      </w:r>
      <w:r>
        <w:rPr/>
        <w:t>la</w:t>
      </w:r>
      <w:r>
        <w:rPr>
          <w:spacing w:val="-6"/>
        </w:rPr>
        <w:t> </w:t>
      </w:r>
      <w:r>
        <w:rPr/>
        <w:t>supervisión</w:t>
      </w:r>
      <w:r>
        <w:rPr>
          <w:spacing w:val="-7"/>
        </w:rPr>
        <w:t> </w:t>
      </w:r>
      <w:r>
        <w:rPr/>
        <w:t>de</w:t>
      </w:r>
      <w:r>
        <w:rPr>
          <w:spacing w:val="-6"/>
        </w:rPr>
        <w:t> </w:t>
      </w:r>
      <w:r>
        <w:rPr/>
        <w:t>la</w:t>
      </w:r>
      <w:r>
        <w:rPr>
          <w:spacing w:val="-6"/>
        </w:rPr>
        <w:t> </w:t>
      </w:r>
      <w:r>
        <w:rPr/>
        <w:t>autoridad</w:t>
      </w:r>
      <w:r>
        <w:rPr>
          <w:spacing w:val="-4"/>
        </w:rPr>
        <w:t> </w:t>
      </w:r>
      <w:r>
        <w:rPr/>
        <w:t>laboral</w:t>
      </w:r>
      <w:r>
        <w:rPr>
          <w:spacing w:val="-7"/>
        </w:rPr>
        <w:t> </w:t>
      </w:r>
      <w:r>
        <w:rPr>
          <w:spacing w:val="-2"/>
        </w:rPr>
        <w:t>competente.</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w:t>
      </w:r>
      <w:r>
        <w:rPr>
          <w:rFonts w:ascii="Times New Roman" w:hAnsi="Times New Roman"/>
          <w:i/>
          <w:color w:val="0000FF"/>
          <w:spacing w:val="-4"/>
          <w:sz w:val="16"/>
        </w:rPr>
        <w:t>2019</w:t>
      </w:r>
    </w:p>
    <w:p>
      <w:pPr>
        <w:spacing w:after="0" w:line="182" w:lineRule="exact"/>
        <w:jc w:val="righ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BodyText"/>
        <w:spacing w:line="242" w:lineRule="auto"/>
        <w:ind w:left="338" w:right="342" w:firstLine="288"/>
        <w:jc w:val="both"/>
      </w:pPr>
      <w:bookmarkStart w:name="Artículo_331_Ter" w:id="419"/>
      <w:bookmarkEnd w:id="419"/>
      <w:r>
        <w:rPr/>
      </w:r>
      <w:r>
        <w:rPr>
          <w:rFonts w:ascii="Arial" w:hAnsi="Arial"/>
          <w:b/>
        </w:rPr>
        <w:t>Artículo 331 Ter.- </w:t>
      </w:r>
      <w:r>
        <w:rPr/>
        <w:t>El trabajo del hogar deberá fijarse mediante contrato por escrito, de conformidad con la legislación nacional o con convenios colectivos, que incluya como mínimo:</w:t>
      </w:r>
    </w:p>
    <w:p>
      <w:pPr>
        <w:pStyle w:val="ListParagraph"/>
        <w:numPr>
          <w:ilvl w:val="0"/>
          <w:numId w:val="96"/>
        </w:numPr>
        <w:tabs>
          <w:tab w:pos="1195" w:val="left" w:leader="none"/>
        </w:tabs>
        <w:spacing w:line="240" w:lineRule="auto" w:before="227" w:after="0"/>
        <w:ind w:left="1195" w:right="0" w:hanging="569"/>
        <w:jc w:val="left"/>
        <w:rPr>
          <w:sz w:val="20"/>
        </w:rPr>
      </w:pPr>
      <w:r>
        <w:rPr>
          <w:sz w:val="20"/>
        </w:rPr>
        <w:t>El</w:t>
      </w:r>
      <w:r>
        <w:rPr>
          <w:spacing w:val="-6"/>
          <w:sz w:val="20"/>
        </w:rPr>
        <w:t> </w:t>
      </w:r>
      <w:r>
        <w:rPr>
          <w:sz w:val="20"/>
        </w:rPr>
        <w:t>nombre</w:t>
      </w:r>
      <w:r>
        <w:rPr>
          <w:spacing w:val="-4"/>
          <w:sz w:val="20"/>
        </w:rPr>
        <w:t> </w:t>
      </w:r>
      <w:r>
        <w:rPr>
          <w:sz w:val="20"/>
        </w:rPr>
        <w:t>y</w:t>
      </w:r>
      <w:r>
        <w:rPr>
          <w:spacing w:val="-9"/>
          <w:sz w:val="20"/>
        </w:rPr>
        <w:t> </w:t>
      </w:r>
      <w:r>
        <w:rPr>
          <w:sz w:val="20"/>
        </w:rPr>
        <w:t>apellidos</w:t>
      </w:r>
      <w:r>
        <w:rPr>
          <w:spacing w:val="-6"/>
          <w:sz w:val="20"/>
        </w:rPr>
        <w:t> </w:t>
      </w:r>
      <w:r>
        <w:rPr>
          <w:sz w:val="20"/>
        </w:rPr>
        <w:t>de</w:t>
      </w:r>
      <w:r>
        <w:rPr>
          <w:spacing w:val="-6"/>
          <w:sz w:val="20"/>
        </w:rPr>
        <w:t> </w:t>
      </w:r>
      <w:r>
        <w:rPr>
          <w:sz w:val="20"/>
        </w:rPr>
        <w:t>la</w:t>
      </w:r>
      <w:r>
        <w:rPr>
          <w:spacing w:val="-5"/>
          <w:sz w:val="20"/>
        </w:rPr>
        <w:t> </w:t>
      </w:r>
      <w:r>
        <w:rPr>
          <w:sz w:val="20"/>
        </w:rPr>
        <w:t>persona</w:t>
      </w:r>
      <w:r>
        <w:rPr>
          <w:spacing w:val="-5"/>
          <w:sz w:val="20"/>
        </w:rPr>
        <w:t> </w:t>
      </w:r>
      <w:r>
        <w:rPr>
          <w:sz w:val="20"/>
        </w:rPr>
        <w:t>empleadora</w:t>
      </w:r>
      <w:r>
        <w:rPr>
          <w:spacing w:val="-5"/>
          <w:sz w:val="20"/>
        </w:rPr>
        <w:t> </w:t>
      </w:r>
      <w:r>
        <w:rPr>
          <w:sz w:val="20"/>
        </w:rPr>
        <w:t>y</w:t>
      </w:r>
      <w:r>
        <w:rPr>
          <w:spacing w:val="-7"/>
          <w:sz w:val="20"/>
        </w:rPr>
        <w:t> </w:t>
      </w:r>
      <w:r>
        <w:rPr>
          <w:sz w:val="20"/>
        </w:rPr>
        <w:t>de</w:t>
      </w:r>
      <w:r>
        <w:rPr>
          <w:spacing w:val="-6"/>
          <w:sz w:val="20"/>
        </w:rPr>
        <w:t> </w:t>
      </w:r>
      <w:r>
        <w:rPr>
          <w:sz w:val="20"/>
        </w:rPr>
        <w:t>la</w:t>
      </w:r>
      <w:r>
        <w:rPr>
          <w:spacing w:val="-6"/>
          <w:sz w:val="20"/>
        </w:rPr>
        <w:t> </w:t>
      </w:r>
      <w:r>
        <w:rPr>
          <w:sz w:val="20"/>
        </w:rPr>
        <w:t>persona</w:t>
      </w:r>
      <w:r>
        <w:rPr>
          <w:spacing w:val="-7"/>
          <w:sz w:val="20"/>
        </w:rPr>
        <w:t> </w:t>
      </w:r>
      <w:r>
        <w:rPr>
          <w:sz w:val="20"/>
        </w:rPr>
        <w:t>trabajadora</w:t>
      </w:r>
      <w:r>
        <w:rPr>
          <w:spacing w:val="-4"/>
          <w:sz w:val="20"/>
        </w:rPr>
        <w:t> </w:t>
      </w:r>
      <w:r>
        <w:rPr>
          <w:sz w:val="20"/>
        </w:rPr>
        <w:t>del</w:t>
      </w:r>
      <w:r>
        <w:rPr>
          <w:spacing w:val="-7"/>
          <w:sz w:val="20"/>
        </w:rPr>
        <w:t> </w:t>
      </w:r>
      <w:r>
        <w:rPr>
          <w:spacing w:val="-2"/>
          <w:sz w:val="20"/>
        </w:rPr>
        <w:t>hogar;</w:t>
      </w:r>
    </w:p>
    <w:p>
      <w:pPr>
        <w:pStyle w:val="BodyText"/>
      </w:pPr>
    </w:p>
    <w:p>
      <w:pPr>
        <w:pStyle w:val="ListParagraph"/>
        <w:numPr>
          <w:ilvl w:val="0"/>
          <w:numId w:val="96"/>
        </w:numPr>
        <w:tabs>
          <w:tab w:pos="1195" w:val="left" w:leader="none"/>
        </w:tabs>
        <w:spacing w:line="240" w:lineRule="auto" w:before="0" w:after="0"/>
        <w:ind w:left="1195" w:right="0" w:hanging="569"/>
        <w:jc w:val="left"/>
        <w:rPr>
          <w:sz w:val="20"/>
        </w:rPr>
      </w:pPr>
      <w:r>
        <w:rPr>
          <w:sz w:val="20"/>
        </w:rPr>
        <w:t>La</w:t>
      </w:r>
      <w:r>
        <w:rPr>
          <w:spacing w:val="-8"/>
          <w:sz w:val="20"/>
        </w:rPr>
        <w:t> </w:t>
      </w:r>
      <w:r>
        <w:rPr>
          <w:sz w:val="20"/>
        </w:rPr>
        <w:t>dirección</w:t>
      </w:r>
      <w:r>
        <w:rPr>
          <w:spacing w:val="-5"/>
          <w:sz w:val="20"/>
        </w:rPr>
        <w:t> </w:t>
      </w:r>
      <w:r>
        <w:rPr>
          <w:sz w:val="20"/>
        </w:rPr>
        <w:t>del</w:t>
      </w:r>
      <w:r>
        <w:rPr>
          <w:spacing w:val="-7"/>
          <w:sz w:val="20"/>
        </w:rPr>
        <w:t> </w:t>
      </w:r>
      <w:r>
        <w:rPr>
          <w:sz w:val="20"/>
        </w:rPr>
        <w:t>lugar</w:t>
      </w:r>
      <w:r>
        <w:rPr>
          <w:spacing w:val="-4"/>
          <w:sz w:val="20"/>
        </w:rPr>
        <w:t> </w:t>
      </w:r>
      <w:r>
        <w:rPr>
          <w:sz w:val="20"/>
        </w:rPr>
        <w:t>de</w:t>
      </w:r>
      <w:r>
        <w:rPr>
          <w:spacing w:val="-8"/>
          <w:sz w:val="20"/>
        </w:rPr>
        <w:t> </w:t>
      </w:r>
      <w:r>
        <w:rPr>
          <w:sz w:val="20"/>
        </w:rPr>
        <w:t>trabajo</w:t>
      </w:r>
      <w:r>
        <w:rPr>
          <w:spacing w:val="-6"/>
          <w:sz w:val="20"/>
        </w:rPr>
        <w:t> </w:t>
      </w:r>
      <w:r>
        <w:rPr>
          <w:spacing w:val="-2"/>
          <w:sz w:val="20"/>
        </w:rPr>
        <w:t>habitual;</w:t>
      </w:r>
    </w:p>
    <w:p>
      <w:pPr>
        <w:pStyle w:val="ListParagraph"/>
        <w:numPr>
          <w:ilvl w:val="0"/>
          <w:numId w:val="96"/>
        </w:numPr>
        <w:tabs>
          <w:tab w:pos="1191" w:val="left" w:leader="none"/>
          <w:tab w:pos="1195" w:val="left" w:leader="none"/>
        </w:tabs>
        <w:spacing w:line="242" w:lineRule="auto" w:before="229" w:after="0"/>
        <w:ind w:left="1195" w:right="346" w:hanging="569"/>
        <w:jc w:val="both"/>
        <w:rPr>
          <w:sz w:val="20"/>
        </w:rPr>
      </w:pPr>
      <w:r>
        <w:rPr>
          <w:sz w:val="20"/>
        </w:rPr>
        <w:t>La fecha de inicio del contrato y, cuando éste se suscriba para un período específico, su </w:t>
      </w:r>
      <w:r>
        <w:rPr>
          <w:spacing w:val="-2"/>
          <w:sz w:val="20"/>
        </w:rPr>
        <w:t>duración;</w:t>
      </w:r>
    </w:p>
    <w:p>
      <w:pPr>
        <w:pStyle w:val="ListParagraph"/>
        <w:numPr>
          <w:ilvl w:val="0"/>
          <w:numId w:val="96"/>
        </w:numPr>
        <w:tabs>
          <w:tab w:pos="1195" w:val="left" w:leader="none"/>
        </w:tabs>
        <w:spacing w:line="240" w:lineRule="auto" w:before="226" w:after="0"/>
        <w:ind w:left="1195" w:right="0" w:hanging="569"/>
        <w:jc w:val="left"/>
        <w:rPr>
          <w:sz w:val="20"/>
        </w:rPr>
      </w:pPr>
      <w:r>
        <w:rPr>
          <w:sz w:val="20"/>
        </w:rPr>
        <w:t>El</w:t>
      </w:r>
      <w:r>
        <w:rPr>
          <w:spacing w:val="-7"/>
          <w:sz w:val="20"/>
        </w:rPr>
        <w:t> </w:t>
      </w:r>
      <w:r>
        <w:rPr>
          <w:sz w:val="20"/>
        </w:rPr>
        <w:t>tipo</w:t>
      </w:r>
      <w:r>
        <w:rPr>
          <w:spacing w:val="-5"/>
          <w:sz w:val="20"/>
        </w:rPr>
        <w:t> </w:t>
      </w:r>
      <w:r>
        <w:rPr>
          <w:sz w:val="20"/>
        </w:rPr>
        <w:t>de</w:t>
      </w:r>
      <w:r>
        <w:rPr>
          <w:spacing w:val="-3"/>
          <w:sz w:val="20"/>
        </w:rPr>
        <w:t> </w:t>
      </w:r>
      <w:r>
        <w:rPr>
          <w:sz w:val="20"/>
        </w:rPr>
        <w:t>trabajo</w:t>
      </w:r>
      <w:r>
        <w:rPr>
          <w:spacing w:val="-5"/>
          <w:sz w:val="20"/>
        </w:rPr>
        <w:t> </w:t>
      </w:r>
      <w:r>
        <w:rPr>
          <w:sz w:val="20"/>
        </w:rPr>
        <w:t>por</w:t>
      </w:r>
      <w:r>
        <w:rPr>
          <w:spacing w:val="-6"/>
          <w:sz w:val="20"/>
        </w:rPr>
        <w:t> </w:t>
      </w:r>
      <w:r>
        <w:rPr>
          <w:spacing w:val="-2"/>
          <w:sz w:val="20"/>
        </w:rPr>
        <w:t>realizar;</w:t>
      </w:r>
    </w:p>
    <w:p>
      <w:pPr>
        <w:pStyle w:val="ListParagraph"/>
        <w:numPr>
          <w:ilvl w:val="0"/>
          <w:numId w:val="96"/>
        </w:numPr>
        <w:tabs>
          <w:tab w:pos="1195" w:val="left" w:leader="none"/>
        </w:tabs>
        <w:spacing w:line="240" w:lineRule="auto" w:before="229" w:after="0"/>
        <w:ind w:left="1195" w:right="0" w:hanging="569"/>
        <w:jc w:val="left"/>
        <w:rPr>
          <w:sz w:val="20"/>
        </w:rPr>
      </w:pPr>
      <w:r>
        <w:rPr>
          <w:sz w:val="20"/>
        </w:rPr>
        <w:t>La</w:t>
      </w:r>
      <w:r>
        <w:rPr>
          <w:spacing w:val="-7"/>
          <w:sz w:val="20"/>
        </w:rPr>
        <w:t> </w:t>
      </w:r>
      <w:r>
        <w:rPr>
          <w:sz w:val="20"/>
        </w:rPr>
        <w:t>remuneración,</w:t>
      </w:r>
      <w:r>
        <w:rPr>
          <w:spacing w:val="-6"/>
          <w:sz w:val="20"/>
        </w:rPr>
        <w:t> </w:t>
      </w:r>
      <w:r>
        <w:rPr>
          <w:sz w:val="20"/>
        </w:rPr>
        <w:t>el</w:t>
      </w:r>
      <w:r>
        <w:rPr>
          <w:spacing w:val="-7"/>
          <w:sz w:val="20"/>
        </w:rPr>
        <w:t> </w:t>
      </w:r>
      <w:r>
        <w:rPr>
          <w:sz w:val="20"/>
        </w:rPr>
        <w:t>método</w:t>
      </w:r>
      <w:r>
        <w:rPr>
          <w:spacing w:val="-6"/>
          <w:sz w:val="20"/>
        </w:rPr>
        <w:t> </w:t>
      </w:r>
      <w:r>
        <w:rPr>
          <w:sz w:val="20"/>
        </w:rPr>
        <w:t>de</w:t>
      </w:r>
      <w:r>
        <w:rPr>
          <w:spacing w:val="-7"/>
          <w:sz w:val="20"/>
        </w:rPr>
        <w:t> </w:t>
      </w:r>
      <w:r>
        <w:rPr>
          <w:sz w:val="20"/>
        </w:rPr>
        <w:t>cálculo</w:t>
      </w:r>
      <w:r>
        <w:rPr>
          <w:spacing w:val="-6"/>
          <w:sz w:val="20"/>
        </w:rPr>
        <w:t> </w:t>
      </w:r>
      <w:r>
        <w:rPr>
          <w:sz w:val="20"/>
        </w:rPr>
        <w:t>de</w:t>
      </w:r>
      <w:r>
        <w:rPr>
          <w:spacing w:val="-5"/>
          <w:sz w:val="20"/>
        </w:rPr>
        <w:t> </w:t>
      </w:r>
      <w:r>
        <w:rPr>
          <w:sz w:val="20"/>
        </w:rPr>
        <w:t>la</w:t>
      </w:r>
      <w:r>
        <w:rPr>
          <w:spacing w:val="-6"/>
          <w:sz w:val="20"/>
        </w:rPr>
        <w:t> </w:t>
      </w:r>
      <w:r>
        <w:rPr>
          <w:sz w:val="20"/>
        </w:rPr>
        <w:t>misma</w:t>
      </w:r>
      <w:r>
        <w:rPr>
          <w:spacing w:val="-4"/>
          <w:sz w:val="20"/>
        </w:rPr>
        <w:t> </w:t>
      </w:r>
      <w:r>
        <w:rPr>
          <w:sz w:val="20"/>
        </w:rPr>
        <w:t>y</w:t>
      </w:r>
      <w:r>
        <w:rPr>
          <w:spacing w:val="-10"/>
          <w:sz w:val="20"/>
        </w:rPr>
        <w:t> </w:t>
      </w:r>
      <w:r>
        <w:rPr>
          <w:sz w:val="20"/>
        </w:rPr>
        <w:t>la</w:t>
      </w:r>
      <w:r>
        <w:rPr>
          <w:spacing w:val="-5"/>
          <w:sz w:val="20"/>
        </w:rPr>
        <w:t> </w:t>
      </w:r>
      <w:r>
        <w:rPr>
          <w:sz w:val="20"/>
        </w:rPr>
        <w:t>periodicidad</w:t>
      </w:r>
      <w:r>
        <w:rPr>
          <w:spacing w:val="-4"/>
          <w:sz w:val="20"/>
        </w:rPr>
        <w:t> </w:t>
      </w:r>
      <w:r>
        <w:rPr>
          <w:sz w:val="20"/>
        </w:rPr>
        <w:t>de</w:t>
      </w:r>
      <w:r>
        <w:rPr>
          <w:spacing w:val="-5"/>
          <w:sz w:val="20"/>
        </w:rPr>
        <w:t> </w:t>
      </w:r>
      <w:r>
        <w:rPr>
          <w:sz w:val="20"/>
        </w:rPr>
        <w:t>los</w:t>
      </w:r>
      <w:r>
        <w:rPr>
          <w:spacing w:val="-5"/>
          <w:sz w:val="20"/>
        </w:rPr>
        <w:t> </w:t>
      </w:r>
      <w:r>
        <w:rPr>
          <w:spacing w:val="-2"/>
          <w:sz w:val="20"/>
        </w:rPr>
        <w:t>pagos;</w:t>
      </w:r>
    </w:p>
    <w:p>
      <w:pPr>
        <w:pStyle w:val="BodyText"/>
        <w:spacing w:before="1"/>
      </w:pPr>
    </w:p>
    <w:p>
      <w:pPr>
        <w:pStyle w:val="ListParagraph"/>
        <w:numPr>
          <w:ilvl w:val="0"/>
          <w:numId w:val="96"/>
        </w:numPr>
        <w:tabs>
          <w:tab w:pos="1195" w:val="left" w:leader="none"/>
        </w:tabs>
        <w:spacing w:line="240" w:lineRule="auto" w:before="0" w:after="0"/>
        <w:ind w:left="1195" w:right="0" w:hanging="569"/>
        <w:jc w:val="left"/>
        <w:rPr>
          <w:sz w:val="20"/>
        </w:rPr>
      </w:pPr>
      <w:r>
        <w:rPr>
          <w:sz w:val="20"/>
        </w:rPr>
        <w:t>Las</w:t>
      </w:r>
      <w:r>
        <w:rPr>
          <w:spacing w:val="-5"/>
          <w:sz w:val="20"/>
        </w:rPr>
        <w:t> </w:t>
      </w:r>
      <w:r>
        <w:rPr>
          <w:sz w:val="20"/>
        </w:rPr>
        <w:t>horas</w:t>
      </w:r>
      <w:r>
        <w:rPr>
          <w:spacing w:val="-5"/>
          <w:sz w:val="20"/>
        </w:rPr>
        <w:t> </w:t>
      </w:r>
      <w:r>
        <w:rPr>
          <w:sz w:val="20"/>
        </w:rPr>
        <w:t>de</w:t>
      </w:r>
      <w:r>
        <w:rPr>
          <w:spacing w:val="-5"/>
          <w:sz w:val="20"/>
        </w:rPr>
        <w:t> </w:t>
      </w:r>
      <w:r>
        <w:rPr>
          <w:spacing w:val="-2"/>
          <w:sz w:val="20"/>
        </w:rPr>
        <w:t>trabajo;</w:t>
      </w:r>
    </w:p>
    <w:p>
      <w:pPr>
        <w:pStyle w:val="BodyText"/>
        <w:spacing w:before="1"/>
      </w:pPr>
    </w:p>
    <w:p>
      <w:pPr>
        <w:pStyle w:val="ListParagraph"/>
        <w:numPr>
          <w:ilvl w:val="0"/>
          <w:numId w:val="96"/>
        </w:numPr>
        <w:tabs>
          <w:tab w:pos="1195" w:val="left" w:leader="none"/>
        </w:tabs>
        <w:spacing w:line="240" w:lineRule="auto" w:before="0" w:after="0"/>
        <w:ind w:left="1195" w:right="0" w:hanging="569"/>
        <w:jc w:val="left"/>
        <w:rPr>
          <w:sz w:val="20"/>
        </w:rPr>
      </w:pPr>
      <w:r>
        <w:rPr>
          <w:sz w:val="20"/>
        </w:rPr>
        <w:t>Las</w:t>
      </w:r>
      <w:r>
        <w:rPr>
          <w:spacing w:val="-7"/>
          <w:sz w:val="20"/>
        </w:rPr>
        <w:t> </w:t>
      </w:r>
      <w:r>
        <w:rPr>
          <w:sz w:val="20"/>
        </w:rPr>
        <w:t>vacaciones</w:t>
      </w:r>
      <w:r>
        <w:rPr>
          <w:spacing w:val="-6"/>
          <w:sz w:val="20"/>
        </w:rPr>
        <w:t> </w:t>
      </w:r>
      <w:r>
        <w:rPr>
          <w:sz w:val="20"/>
        </w:rPr>
        <w:t>anuales</w:t>
      </w:r>
      <w:r>
        <w:rPr>
          <w:spacing w:val="-7"/>
          <w:sz w:val="20"/>
        </w:rPr>
        <w:t> </w:t>
      </w:r>
      <w:r>
        <w:rPr>
          <w:sz w:val="20"/>
        </w:rPr>
        <w:t>pagadas</w:t>
      </w:r>
      <w:r>
        <w:rPr>
          <w:spacing w:val="-2"/>
          <w:sz w:val="20"/>
        </w:rPr>
        <w:t> </w:t>
      </w:r>
      <w:r>
        <w:rPr>
          <w:sz w:val="20"/>
        </w:rPr>
        <w:t>y</w:t>
      </w:r>
      <w:r>
        <w:rPr>
          <w:spacing w:val="-8"/>
          <w:sz w:val="20"/>
        </w:rPr>
        <w:t> </w:t>
      </w:r>
      <w:r>
        <w:rPr>
          <w:sz w:val="20"/>
        </w:rPr>
        <w:t>los</w:t>
      </w:r>
      <w:r>
        <w:rPr>
          <w:spacing w:val="-6"/>
          <w:sz w:val="20"/>
        </w:rPr>
        <w:t> </w:t>
      </w:r>
      <w:r>
        <w:rPr>
          <w:sz w:val="20"/>
        </w:rPr>
        <w:t>períodos</w:t>
      </w:r>
      <w:r>
        <w:rPr>
          <w:spacing w:val="-5"/>
          <w:sz w:val="20"/>
        </w:rPr>
        <w:t> </w:t>
      </w:r>
      <w:r>
        <w:rPr>
          <w:sz w:val="20"/>
        </w:rPr>
        <w:t>de</w:t>
      </w:r>
      <w:r>
        <w:rPr>
          <w:spacing w:val="-8"/>
          <w:sz w:val="20"/>
        </w:rPr>
        <w:t> </w:t>
      </w:r>
      <w:r>
        <w:rPr>
          <w:sz w:val="20"/>
        </w:rPr>
        <w:t>descanso</w:t>
      </w:r>
      <w:r>
        <w:rPr>
          <w:spacing w:val="-8"/>
          <w:sz w:val="20"/>
        </w:rPr>
        <w:t> </w:t>
      </w:r>
      <w:r>
        <w:rPr>
          <w:sz w:val="20"/>
        </w:rPr>
        <w:t>diario</w:t>
      </w:r>
      <w:r>
        <w:rPr>
          <w:spacing w:val="-3"/>
          <w:sz w:val="20"/>
        </w:rPr>
        <w:t> </w:t>
      </w:r>
      <w:r>
        <w:rPr>
          <w:sz w:val="20"/>
        </w:rPr>
        <w:t>y</w:t>
      </w:r>
      <w:r>
        <w:rPr>
          <w:spacing w:val="-10"/>
          <w:sz w:val="20"/>
        </w:rPr>
        <w:t> </w:t>
      </w:r>
      <w:r>
        <w:rPr>
          <w:spacing w:val="-2"/>
          <w:sz w:val="20"/>
        </w:rPr>
        <w:t>semanal;</w:t>
      </w:r>
    </w:p>
    <w:p>
      <w:pPr>
        <w:pStyle w:val="ListParagraph"/>
        <w:numPr>
          <w:ilvl w:val="0"/>
          <w:numId w:val="96"/>
        </w:numPr>
        <w:tabs>
          <w:tab w:pos="1195" w:val="left" w:leader="none"/>
        </w:tabs>
        <w:spacing w:line="240" w:lineRule="auto" w:before="229" w:after="0"/>
        <w:ind w:left="1195" w:right="0" w:hanging="569"/>
        <w:jc w:val="left"/>
        <w:rPr>
          <w:sz w:val="20"/>
        </w:rPr>
      </w:pPr>
      <w:r>
        <w:rPr>
          <w:sz w:val="20"/>
        </w:rPr>
        <w:t>El</w:t>
      </w:r>
      <w:r>
        <w:rPr>
          <w:spacing w:val="-8"/>
          <w:sz w:val="20"/>
        </w:rPr>
        <w:t> </w:t>
      </w:r>
      <w:r>
        <w:rPr>
          <w:sz w:val="20"/>
        </w:rPr>
        <w:t>suministro</w:t>
      </w:r>
      <w:r>
        <w:rPr>
          <w:spacing w:val="-6"/>
          <w:sz w:val="20"/>
        </w:rPr>
        <w:t> </w:t>
      </w:r>
      <w:r>
        <w:rPr>
          <w:sz w:val="20"/>
        </w:rPr>
        <w:t>de</w:t>
      </w:r>
      <w:r>
        <w:rPr>
          <w:spacing w:val="-8"/>
          <w:sz w:val="20"/>
        </w:rPr>
        <w:t> </w:t>
      </w:r>
      <w:r>
        <w:rPr>
          <w:sz w:val="20"/>
        </w:rPr>
        <w:t>alimentos</w:t>
      </w:r>
      <w:r>
        <w:rPr>
          <w:spacing w:val="-4"/>
          <w:sz w:val="20"/>
        </w:rPr>
        <w:t> </w:t>
      </w:r>
      <w:r>
        <w:rPr>
          <w:sz w:val="20"/>
        </w:rPr>
        <w:t>y</w:t>
      </w:r>
      <w:r>
        <w:rPr>
          <w:spacing w:val="-8"/>
          <w:sz w:val="20"/>
        </w:rPr>
        <w:t> </w:t>
      </w:r>
      <w:r>
        <w:rPr>
          <w:sz w:val="20"/>
        </w:rPr>
        <w:t>alojamiento,</w:t>
      </w:r>
      <w:r>
        <w:rPr>
          <w:spacing w:val="-7"/>
          <w:sz w:val="20"/>
        </w:rPr>
        <w:t> </w:t>
      </w:r>
      <w:r>
        <w:rPr>
          <w:sz w:val="20"/>
        </w:rPr>
        <w:t>cuando</w:t>
      </w:r>
      <w:r>
        <w:rPr>
          <w:spacing w:val="-8"/>
          <w:sz w:val="20"/>
        </w:rPr>
        <w:t> </w:t>
      </w:r>
      <w:r>
        <w:rPr>
          <w:spacing w:val="-2"/>
          <w:sz w:val="20"/>
        </w:rPr>
        <w:t>proceda;</w:t>
      </w:r>
    </w:p>
    <w:p>
      <w:pPr>
        <w:pStyle w:val="BodyText"/>
      </w:pPr>
    </w:p>
    <w:p>
      <w:pPr>
        <w:pStyle w:val="ListParagraph"/>
        <w:numPr>
          <w:ilvl w:val="0"/>
          <w:numId w:val="96"/>
        </w:numPr>
        <w:tabs>
          <w:tab w:pos="1195" w:val="left" w:leader="none"/>
        </w:tabs>
        <w:spacing w:line="240" w:lineRule="auto" w:before="0" w:after="0"/>
        <w:ind w:left="1195" w:right="0" w:hanging="569"/>
        <w:jc w:val="left"/>
        <w:rPr>
          <w:sz w:val="20"/>
        </w:rPr>
      </w:pPr>
      <w:r>
        <w:rPr>
          <w:sz w:val="20"/>
        </w:rPr>
        <w:t>Las</w:t>
      </w:r>
      <w:r>
        <w:rPr>
          <w:spacing w:val="-7"/>
          <w:sz w:val="20"/>
        </w:rPr>
        <w:t> </w:t>
      </w:r>
      <w:r>
        <w:rPr>
          <w:sz w:val="20"/>
        </w:rPr>
        <w:t>condiciones</w:t>
      </w:r>
      <w:r>
        <w:rPr>
          <w:spacing w:val="-7"/>
          <w:sz w:val="20"/>
        </w:rPr>
        <w:t> </w:t>
      </w:r>
      <w:r>
        <w:rPr>
          <w:sz w:val="20"/>
        </w:rPr>
        <w:t>relativas</w:t>
      </w:r>
      <w:r>
        <w:rPr>
          <w:spacing w:val="-5"/>
          <w:sz w:val="20"/>
        </w:rPr>
        <w:t> </w:t>
      </w:r>
      <w:r>
        <w:rPr>
          <w:sz w:val="20"/>
        </w:rPr>
        <w:t>a</w:t>
      </w:r>
      <w:r>
        <w:rPr>
          <w:spacing w:val="-6"/>
          <w:sz w:val="20"/>
        </w:rPr>
        <w:t> </w:t>
      </w:r>
      <w:r>
        <w:rPr>
          <w:sz w:val="20"/>
        </w:rPr>
        <w:t>la</w:t>
      </w:r>
      <w:r>
        <w:rPr>
          <w:spacing w:val="-7"/>
          <w:sz w:val="20"/>
        </w:rPr>
        <w:t> </w:t>
      </w:r>
      <w:r>
        <w:rPr>
          <w:sz w:val="20"/>
        </w:rPr>
        <w:t>terminación</w:t>
      </w:r>
      <w:r>
        <w:rPr>
          <w:spacing w:val="-9"/>
          <w:sz w:val="20"/>
        </w:rPr>
        <w:t> </w:t>
      </w:r>
      <w:r>
        <w:rPr>
          <w:sz w:val="20"/>
        </w:rPr>
        <w:t>de</w:t>
      </w:r>
      <w:r>
        <w:rPr>
          <w:spacing w:val="-7"/>
          <w:sz w:val="20"/>
        </w:rPr>
        <w:t> </w:t>
      </w:r>
      <w:r>
        <w:rPr>
          <w:sz w:val="20"/>
        </w:rPr>
        <w:t>la</w:t>
      </w:r>
      <w:r>
        <w:rPr>
          <w:spacing w:val="-8"/>
          <w:sz w:val="20"/>
        </w:rPr>
        <w:t> </w:t>
      </w:r>
      <w:r>
        <w:rPr>
          <w:sz w:val="20"/>
        </w:rPr>
        <w:t>relación</w:t>
      </w:r>
      <w:r>
        <w:rPr>
          <w:spacing w:val="-8"/>
          <w:sz w:val="20"/>
        </w:rPr>
        <w:t> </w:t>
      </w:r>
      <w:r>
        <w:rPr>
          <w:sz w:val="20"/>
        </w:rPr>
        <w:t>de</w:t>
      </w:r>
      <w:r>
        <w:rPr>
          <w:spacing w:val="-5"/>
          <w:sz w:val="20"/>
        </w:rPr>
        <w:t> </w:t>
      </w:r>
      <w:r>
        <w:rPr>
          <w:sz w:val="20"/>
        </w:rPr>
        <w:t>trabajo,</w:t>
      </w:r>
      <w:r>
        <w:rPr>
          <w:spacing w:val="-4"/>
          <w:sz w:val="20"/>
        </w:rPr>
        <w:t> </w:t>
      </w:r>
      <w:r>
        <w:rPr>
          <w:spacing w:val="-10"/>
          <w:sz w:val="20"/>
        </w:rPr>
        <w:t>y</w:t>
      </w:r>
    </w:p>
    <w:p>
      <w:pPr>
        <w:pStyle w:val="BodyText"/>
        <w:spacing w:before="1"/>
      </w:pPr>
    </w:p>
    <w:p>
      <w:pPr>
        <w:pStyle w:val="ListParagraph"/>
        <w:numPr>
          <w:ilvl w:val="0"/>
          <w:numId w:val="96"/>
        </w:numPr>
        <w:tabs>
          <w:tab w:pos="1195" w:val="left" w:leader="none"/>
        </w:tabs>
        <w:spacing w:line="240" w:lineRule="auto" w:before="0" w:after="0"/>
        <w:ind w:left="1195" w:right="343" w:hanging="569"/>
        <w:jc w:val="both"/>
        <w:rPr>
          <w:sz w:val="20"/>
        </w:rPr>
      </w:pPr>
      <w:r>
        <w:rPr>
          <w:sz w:val="20"/>
        </w:rPr>
        <w:t>Las herramientas de trabajo que serán brindadas para el correcto desempeño de las</w:t>
      </w:r>
      <w:r>
        <w:rPr>
          <w:spacing w:val="40"/>
          <w:sz w:val="20"/>
        </w:rPr>
        <w:t> </w:t>
      </w:r>
      <w:r>
        <w:rPr>
          <w:sz w:val="20"/>
        </w:rPr>
        <w:t>actividades laborales.</w:t>
      </w:r>
    </w:p>
    <w:p>
      <w:pPr>
        <w:pStyle w:val="BodyText"/>
        <w:spacing w:before="1"/>
      </w:pPr>
    </w:p>
    <w:p>
      <w:pPr>
        <w:pStyle w:val="BodyText"/>
        <w:spacing w:before="1"/>
        <w:ind w:left="338" w:right="340" w:firstLine="288"/>
        <w:jc w:val="both"/>
      </w:pPr>
      <w:r>
        <w:rPr/>
        <w:t>Los alimentos destinados a las personas trabajadoras del hogar deberán ser higiénicos y nutritivos, además de ser de la misma calidad y cantidad de los destinados al consumo de la persona empleadora.</w:t>
      </w:r>
    </w:p>
    <w:p>
      <w:pPr>
        <w:pStyle w:val="BodyText"/>
        <w:spacing w:before="1"/>
      </w:pPr>
    </w:p>
    <w:p>
      <w:pPr>
        <w:pStyle w:val="BodyText"/>
        <w:ind w:left="338" w:right="331" w:firstLine="288"/>
        <w:jc w:val="both"/>
      </w:pPr>
      <w:r>
        <w:rPr/>
        <w:t>Queda prohibido solicitar constancia o prueba de no gravidez para la contratación de una mujer como trabajadora del hogar; y no podrá despedirse a una persona trabajadora embarazada, de ser el caso, el despido se presumirá como discriminación.</w:t>
      </w:r>
    </w:p>
    <w:p>
      <w:pPr>
        <w:pStyle w:val="BodyText"/>
        <w:spacing w:before="229"/>
        <w:ind w:left="338" w:right="345" w:firstLine="288"/>
        <w:jc w:val="both"/>
      </w:pPr>
      <w:r>
        <w:rPr/>
        <w:t>En caso de que la persona empleadora requiera que la trabajadora del hogar utilice uniforme o ropa</w:t>
      </w:r>
      <w:r>
        <w:rPr>
          <w:spacing w:val="40"/>
        </w:rPr>
        <w:t> </w:t>
      </w:r>
      <w:r>
        <w:rPr/>
        <w:t>de trabajo, el costo de los mismos quedará a cargo de la persona empleadora.</w:t>
      </w:r>
    </w:p>
    <w:p>
      <w:pPr>
        <w:pStyle w:val="BodyText"/>
        <w:spacing w:before="229"/>
        <w:ind w:left="338" w:right="342" w:firstLine="288"/>
        <w:jc w:val="both"/>
      </w:pPr>
      <w:r>
        <w:rPr/>
        <w:t>El contrato de trabajo se establecerá sin distinción de condiciones, al tratarse de personas trabajadoras del hogar migrantes.</w:t>
      </w:r>
    </w:p>
    <w:p>
      <w:pPr>
        <w:pStyle w:val="BodyText"/>
        <w:spacing w:before="1"/>
      </w:pPr>
    </w:p>
    <w:p>
      <w:pPr>
        <w:pStyle w:val="BodyText"/>
        <w:spacing w:before="1"/>
        <w:ind w:left="338" w:right="339" w:firstLine="288"/>
        <w:jc w:val="both"/>
      </w:pPr>
      <w:r>
        <w:rPr/>
        <w:t>Queda prohibida todo tipo de discriminación, en términos de los artículos 1°. de la Constitución</w:t>
      </w:r>
      <w:r>
        <w:rPr>
          <w:spacing w:val="40"/>
        </w:rPr>
        <w:t> </w:t>
      </w:r>
      <w:r>
        <w:rPr/>
        <w:t>Política de los Estados Unidos Mexicanos, y 1, fracción III de la Ley Federal para Prevenir y Eliminar la Discriminación, en todas las etapas de la relación laboral y en el establecimiento de las condiciones laborales, así como cualquier trato que vulnere la dignidad de las personas trabajadoras del hogar.</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338" w:right="345" w:firstLine="288"/>
        <w:jc w:val="both"/>
      </w:pPr>
      <w:bookmarkStart w:name="Artículo_332" w:id="420"/>
      <w:bookmarkEnd w:id="420"/>
      <w:r>
        <w:rPr/>
      </w:r>
      <w:r>
        <w:rPr>
          <w:rFonts w:ascii="Arial" w:hAnsi="Arial"/>
          <w:b/>
        </w:rPr>
        <w:t>Artículo</w:t>
      </w:r>
      <w:r>
        <w:rPr>
          <w:rFonts w:ascii="Arial" w:hAnsi="Arial"/>
          <w:b/>
          <w:spacing w:val="-2"/>
        </w:rPr>
        <w:t> </w:t>
      </w:r>
      <w:r>
        <w:rPr>
          <w:rFonts w:ascii="Arial" w:hAnsi="Arial"/>
          <w:b/>
        </w:rPr>
        <w:t>332.-</w:t>
      </w:r>
      <w:r>
        <w:rPr>
          <w:rFonts w:ascii="Arial" w:hAnsi="Arial"/>
          <w:b/>
          <w:spacing w:val="-2"/>
        </w:rPr>
        <w:t> </w:t>
      </w:r>
      <w:r>
        <w:rPr/>
        <w:t>No</w:t>
      </w:r>
      <w:r>
        <w:rPr>
          <w:spacing w:val="-3"/>
        </w:rPr>
        <w:t> </w:t>
      </w:r>
      <w:r>
        <w:rPr/>
        <w:t>se</w:t>
      </w:r>
      <w:r>
        <w:rPr>
          <w:spacing w:val="-5"/>
        </w:rPr>
        <w:t> </w:t>
      </w:r>
      <w:r>
        <w:rPr/>
        <w:t>considera</w:t>
      </w:r>
      <w:r>
        <w:rPr>
          <w:spacing w:val="-3"/>
        </w:rPr>
        <w:t> </w:t>
      </w:r>
      <w:r>
        <w:rPr/>
        <w:t>persona</w:t>
      </w:r>
      <w:r>
        <w:rPr>
          <w:spacing w:val="-3"/>
        </w:rPr>
        <w:t> </w:t>
      </w:r>
      <w:r>
        <w:rPr/>
        <w:t>trabajadora</w:t>
      </w:r>
      <w:r>
        <w:rPr>
          <w:spacing w:val="-2"/>
        </w:rPr>
        <w:t> </w:t>
      </w:r>
      <w:r>
        <w:rPr/>
        <w:t>del</w:t>
      </w:r>
      <w:r>
        <w:rPr>
          <w:spacing w:val="-4"/>
        </w:rPr>
        <w:t> </w:t>
      </w:r>
      <w:r>
        <w:rPr/>
        <w:t>hogar y</w:t>
      </w:r>
      <w:r>
        <w:rPr>
          <w:spacing w:val="-7"/>
        </w:rPr>
        <w:t> </w:t>
      </w:r>
      <w:r>
        <w:rPr/>
        <w:t>en</w:t>
      </w:r>
      <w:r>
        <w:rPr>
          <w:spacing w:val="-5"/>
        </w:rPr>
        <w:t> </w:t>
      </w:r>
      <w:r>
        <w:rPr/>
        <w:t>consecuencia</w:t>
      </w:r>
      <w:r>
        <w:rPr>
          <w:spacing w:val="-3"/>
        </w:rPr>
        <w:t> </w:t>
      </w:r>
      <w:r>
        <w:rPr/>
        <w:t>quedan</w:t>
      </w:r>
      <w:r>
        <w:rPr>
          <w:spacing w:val="-5"/>
        </w:rPr>
        <w:t> </w:t>
      </w:r>
      <w:r>
        <w:rPr/>
        <w:t>sujetas</w:t>
      </w:r>
      <w:r>
        <w:rPr>
          <w:spacing w:val="-2"/>
        </w:rPr>
        <w:t> </w:t>
      </w:r>
      <w:r>
        <w:rPr/>
        <w:t>a</w:t>
      </w:r>
      <w:r>
        <w:rPr>
          <w:spacing w:val="-3"/>
        </w:rPr>
        <w:t> </w:t>
      </w:r>
      <w:r>
        <w:rPr/>
        <w:t>las disposiciones generales o particulares de esta Ley:</w:t>
      </w:r>
    </w:p>
    <w:p>
      <w:pPr>
        <w:pStyle w:val="ListParagraph"/>
        <w:numPr>
          <w:ilvl w:val="0"/>
          <w:numId w:val="97"/>
        </w:numPr>
        <w:tabs>
          <w:tab w:pos="1195" w:val="left" w:leader="none"/>
        </w:tabs>
        <w:spacing w:line="240" w:lineRule="auto" w:before="228" w:after="0"/>
        <w:ind w:left="1195" w:right="0" w:hanging="569"/>
        <w:jc w:val="left"/>
        <w:rPr>
          <w:sz w:val="20"/>
        </w:rPr>
      </w:pPr>
      <w:r>
        <w:rPr>
          <w:sz w:val="20"/>
        </w:rPr>
        <w:t>Quien</w:t>
      </w:r>
      <w:r>
        <w:rPr>
          <w:spacing w:val="-6"/>
          <w:sz w:val="20"/>
        </w:rPr>
        <w:t> </w:t>
      </w:r>
      <w:r>
        <w:rPr>
          <w:sz w:val="20"/>
        </w:rPr>
        <w:t>realice</w:t>
      </w:r>
      <w:r>
        <w:rPr>
          <w:spacing w:val="-7"/>
          <w:sz w:val="20"/>
        </w:rPr>
        <w:t> </w:t>
      </w:r>
      <w:r>
        <w:rPr>
          <w:sz w:val="20"/>
        </w:rPr>
        <w:t>trabajo</w:t>
      </w:r>
      <w:r>
        <w:rPr>
          <w:spacing w:val="-6"/>
          <w:sz w:val="20"/>
        </w:rPr>
        <w:t> </w:t>
      </w:r>
      <w:r>
        <w:rPr>
          <w:sz w:val="20"/>
        </w:rPr>
        <w:t>del</w:t>
      </w:r>
      <w:r>
        <w:rPr>
          <w:spacing w:val="-7"/>
          <w:sz w:val="20"/>
        </w:rPr>
        <w:t> </w:t>
      </w:r>
      <w:r>
        <w:rPr>
          <w:sz w:val="20"/>
        </w:rPr>
        <w:t>hogar</w:t>
      </w:r>
      <w:r>
        <w:rPr>
          <w:spacing w:val="-6"/>
          <w:sz w:val="20"/>
        </w:rPr>
        <w:t> </w:t>
      </w:r>
      <w:r>
        <w:rPr>
          <w:sz w:val="20"/>
        </w:rPr>
        <w:t>únicamente</w:t>
      </w:r>
      <w:r>
        <w:rPr>
          <w:spacing w:val="-8"/>
          <w:sz w:val="20"/>
        </w:rPr>
        <w:t> </w:t>
      </w:r>
      <w:r>
        <w:rPr>
          <w:sz w:val="20"/>
        </w:rPr>
        <w:t>de</w:t>
      </w:r>
      <w:r>
        <w:rPr>
          <w:spacing w:val="-9"/>
          <w:sz w:val="20"/>
        </w:rPr>
        <w:t> </w:t>
      </w:r>
      <w:r>
        <w:rPr>
          <w:sz w:val="20"/>
        </w:rPr>
        <w:t>forma</w:t>
      </w:r>
      <w:r>
        <w:rPr>
          <w:spacing w:val="-7"/>
          <w:sz w:val="20"/>
        </w:rPr>
        <w:t> </w:t>
      </w:r>
      <w:r>
        <w:rPr>
          <w:sz w:val="20"/>
        </w:rPr>
        <w:t>ocasional</w:t>
      </w:r>
      <w:r>
        <w:rPr>
          <w:spacing w:val="-8"/>
          <w:sz w:val="20"/>
        </w:rPr>
        <w:t> </w:t>
      </w:r>
      <w:r>
        <w:rPr>
          <w:sz w:val="20"/>
        </w:rPr>
        <w:t>o</w:t>
      </w:r>
      <w:r>
        <w:rPr>
          <w:spacing w:val="-6"/>
          <w:sz w:val="20"/>
        </w:rPr>
        <w:t> </w:t>
      </w:r>
      <w:r>
        <w:rPr>
          <w:spacing w:val="-2"/>
          <w:sz w:val="20"/>
        </w:rPr>
        <w:t>esporádica.</w:t>
      </w:r>
    </w:p>
    <w:p>
      <w:pPr>
        <w:pStyle w:val="BodyText"/>
        <w:spacing w:before="1"/>
      </w:pPr>
    </w:p>
    <w:p>
      <w:pPr>
        <w:pStyle w:val="ListParagraph"/>
        <w:numPr>
          <w:ilvl w:val="0"/>
          <w:numId w:val="97"/>
        </w:numPr>
        <w:tabs>
          <w:tab w:pos="1192" w:val="left" w:leader="none"/>
          <w:tab w:pos="1195" w:val="left" w:leader="none"/>
        </w:tabs>
        <w:spacing w:line="240" w:lineRule="auto" w:before="0" w:after="0"/>
        <w:ind w:left="1195" w:right="335" w:hanging="569"/>
        <w:jc w:val="both"/>
        <w:rPr>
          <w:sz w:val="20"/>
        </w:rPr>
      </w:pPr>
      <w:r>
        <w:rPr>
          <w:sz w:val="20"/>
        </w:rPr>
        <w:t>Quien preste servicios de aseo, asistencia, atención de clientes y otros semejantes, en hoteles, casas de asistencia, restaurantes, fondas, bares, hospitales, sanatorios, colegios, internados y otros establecimientos análogos.</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01-05-2019,</w:t>
      </w:r>
      <w:r>
        <w:rPr>
          <w:rFonts w:ascii="Times New Roman" w:hAnsi="Times New Roman"/>
          <w:i/>
          <w:color w:val="0000FF"/>
          <w:spacing w:val="-8"/>
          <w:sz w:val="16"/>
        </w:rPr>
        <w:t> </w:t>
      </w:r>
      <w:r>
        <w:rPr>
          <w:rFonts w:ascii="Times New Roman" w:hAnsi="Times New Roman"/>
          <w:i/>
          <w:color w:val="0000FF"/>
          <w:sz w:val="16"/>
        </w:rPr>
        <w:t>02-07-</w:t>
      </w:r>
      <w:r>
        <w:rPr>
          <w:rFonts w:ascii="Times New Roman" w:hAnsi="Times New Roman"/>
          <w:i/>
          <w:color w:val="0000FF"/>
          <w:spacing w:val="-4"/>
          <w:sz w:val="16"/>
        </w:rPr>
        <w:t>2019</w:t>
      </w:r>
    </w:p>
    <w:p>
      <w:pPr>
        <w:spacing w:after="0" w:line="183" w:lineRule="exact"/>
        <w:jc w:val="lef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3"/>
        <w:rPr>
          <w:rFonts w:ascii="Times New Roman"/>
          <w:i/>
        </w:rPr>
      </w:pPr>
    </w:p>
    <w:p>
      <w:pPr>
        <w:pStyle w:val="BodyText"/>
        <w:spacing w:line="242" w:lineRule="auto"/>
        <w:ind w:left="338" w:right="342" w:firstLine="288"/>
        <w:jc w:val="both"/>
      </w:pPr>
      <w:bookmarkStart w:name="Artículo_333" w:id="421"/>
      <w:bookmarkEnd w:id="421"/>
      <w:r>
        <w:rPr/>
      </w:r>
      <w:r>
        <w:rPr>
          <w:rFonts w:ascii="Arial" w:hAnsi="Arial"/>
          <w:b/>
        </w:rPr>
        <w:t>Artículo 333.- </w:t>
      </w:r>
      <w:r>
        <w:rPr/>
        <w:t>Las personas trabajadoras del hogar que residan en el domicilio donde realicen sus actividades deberán disfrutar de un descanso mínimo diario nocturno de nueve horas consecutivas, y de un descanso mínimo diario de tres horas entre las actividades matutinas y vespertinas, sin que la jornada diaria diurna pueda excederse de las ocho horas diarias establecidas en la presente Ley.</w:t>
      </w:r>
    </w:p>
    <w:p>
      <w:pPr>
        <w:pStyle w:val="BodyText"/>
        <w:spacing w:before="223"/>
        <w:ind w:left="338" w:right="340" w:firstLine="288"/>
        <w:jc w:val="both"/>
      </w:pPr>
      <w:r>
        <w:rPr/>
        <w:t>Los periodos durante los cuales las personas trabajadoras del hogar no disponen libremente de su tiempo y permanecen a disposición del hogar para responder a posibles requerimientos de su trabajo y/o cuando se excedan las horas establecidas en la Ley para cada tipo de jornada, deberán considerarse como horas extras, conforme a lo dispuesto en los artículos 58 a 68 del presente ordenamiento.</w:t>
      </w:r>
    </w:p>
    <w:p>
      <w:pPr>
        <w:spacing w:line="183" w:lineRule="exact" w:before="0"/>
        <w:ind w:left="56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01-05-2019,</w:t>
      </w:r>
      <w:r>
        <w:rPr>
          <w:rFonts w:ascii="Times New Roman" w:hAnsi="Times New Roman"/>
          <w:i/>
          <w:color w:val="0000FF"/>
          <w:spacing w:val="-9"/>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6"/>
        <w:rPr>
          <w:rFonts w:ascii="Times New Roman"/>
          <w:i/>
          <w:sz w:val="16"/>
        </w:rPr>
      </w:pPr>
    </w:p>
    <w:p>
      <w:pPr>
        <w:pStyle w:val="BodyText"/>
        <w:spacing w:line="242" w:lineRule="auto"/>
        <w:ind w:left="338" w:right="338" w:firstLine="288"/>
        <w:jc w:val="both"/>
      </w:pPr>
      <w:bookmarkStart w:name="Artículo_334" w:id="422"/>
      <w:bookmarkEnd w:id="422"/>
      <w:r>
        <w:rPr/>
      </w:r>
      <w:r>
        <w:rPr>
          <w:rFonts w:ascii="Arial" w:hAnsi="Arial"/>
          <w:b/>
        </w:rPr>
        <w:t>Artículo 334.- </w:t>
      </w:r>
      <w:r>
        <w:rPr/>
        <w:t>Las personas empleadoras garantizarán en todos los casos los alimentos para las personas trabajadoras del hogar.</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firstLine="288"/>
      </w:pPr>
      <w:r>
        <w:rPr/>
        <w:t>En</w:t>
      </w:r>
      <w:r>
        <w:rPr>
          <w:spacing w:val="40"/>
        </w:rPr>
        <w:t> </w:t>
      </w:r>
      <w:r>
        <w:rPr/>
        <w:t>aquellos</w:t>
      </w:r>
      <w:r>
        <w:rPr>
          <w:spacing w:val="40"/>
        </w:rPr>
        <w:t> </w:t>
      </w:r>
      <w:r>
        <w:rPr/>
        <w:t>casos</w:t>
      </w:r>
      <w:r>
        <w:rPr>
          <w:spacing w:val="40"/>
        </w:rPr>
        <w:t> </w:t>
      </w:r>
      <w:r>
        <w:rPr/>
        <w:t>en</w:t>
      </w:r>
      <w:r>
        <w:rPr>
          <w:spacing w:val="40"/>
        </w:rPr>
        <w:t> </w:t>
      </w:r>
      <w:r>
        <w:rPr/>
        <w:t>los</w:t>
      </w:r>
      <w:r>
        <w:rPr>
          <w:spacing w:val="40"/>
        </w:rPr>
        <w:t> </w:t>
      </w:r>
      <w:r>
        <w:rPr/>
        <w:t>que</w:t>
      </w:r>
      <w:r>
        <w:rPr>
          <w:spacing w:val="40"/>
        </w:rPr>
        <w:t> </w:t>
      </w:r>
      <w:r>
        <w:rPr/>
        <w:t>la</w:t>
      </w:r>
      <w:r>
        <w:rPr>
          <w:spacing w:val="40"/>
        </w:rPr>
        <w:t> </w:t>
      </w:r>
      <w:r>
        <w:rPr/>
        <w:t>persona</w:t>
      </w:r>
      <w:r>
        <w:rPr>
          <w:spacing w:val="40"/>
        </w:rPr>
        <w:t> </w:t>
      </w:r>
      <w:r>
        <w:rPr/>
        <w:t>trabajadora</w:t>
      </w:r>
      <w:r>
        <w:rPr>
          <w:spacing w:val="40"/>
        </w:rPr>
        <w:t> </w:t>
      </w:r>
      <w:r>
        <w:rPr/>
        <w:t>resida</w:t>
      </w:r>
      <w:r>
        <w:rPr>
          <w:spacing w:val="40"/>
        </w:rPr>
        <w:t> </w:t>
      </w:r>
      <w:r>
        <w:rPr/>
        <w:t>en</w:t>
      </w:r>
      <w:r>
        <w:rPr>
          <w:spacing w:val="40"/>
        </w:rPr>
        <w:t> </w:t>
      </w:r>
      <w:r>
        <w:rPr/>
        <w:t>el</w:t>
      </w:r>
      <w:r>
        <w:rPr>
          <w:spacing w:val="40"/>
        </w:rPr>
        <w:t> </w:t>
      </w:r>
      <w:r>
        <w:rPr/>
        <w:t>domicilio</w:t>
      </w:r>
      <w:r>
        <w:rPr>
          <w:spacing w:val="40"/>
        </w:rPr>
        <w:t> </w:t>
      </w:r>
      <w:r>
        <w:rPr/>
        <w:t>donde</w:t>
      </w:r>
      <w:r>
        <w:rPr>
          <w:spacing w:val="40"/>
        </w:rPr>
        <w:t> </w:t>
      </w:r>
      <w:r>
        <w:rPr/>
        <w:t>realicen</w:t>
      </w:r>
      <w:r>
        <w:rPr>
          <w:spacing w:val="40"/>
        </w:rPr>
        <w:t> </w:t>
      </w:r>
      <w:r>
        <w:rPr/>
        <w:t>sus actividades les será garantizada además de los alimentos, la habitación.</w:t>
      </w:r>
    </w:p>
    <w:p>
      <w:pPr>
        <w:spacing w:line="183" w:lineRule="exact" w:before="0"/>
        <w:ind w:left="7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4" w:firstLine="288"/>
        <w:jc w:val="both"/>
      </w:pPr>
      <w:r>
        <w:rPr/>
        <w:t>Salvo lo expresamente pactado, la retribución del trabajador del hogar comprende, además del pago en efectivo, los alimentos y la habitación. Para los efectos de esta Ley, los alimentos y habitación se estimarán equivalentes al 50% del salario que se pague en efectivo.</w:t>
      </w:r>
    </w:p>
    <w:p>
      <w:pPr>
        <w:pStyle w:val="BodyText"/>
        <w:spacing w:before="2"/>
      </w:pPr>
    </w:p>
    <w:p>
      <w:pPr>
        <w:pStyle w:val="BodyText"/>
        <w:ind w:left="338" w:right="347" w:firstLine="288"/>
        <w:jc w:val="both"/>
      </w:pPr>
      <w:r>
        <w:rPr/>
        <w:t>El salario a que tienen derecho podrá efectuarse a través de transferencia bancaria o cualquier otro medio de pago monetario legal, con el consentimiento de la persona trabajadora del hogar interesada.</w:t>
      </w:r>
    </w:p>
    <w:p>
      <w:pPr>
        <w:spacing w:line="240" w:lineRule="auto" w:before="0"/>
        <w:ind w:left="7347" w:right="0" w:hanging="2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02-07-2019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BodyText"/>
        <w:ind w:left="338" w:right="337" w:firstLine="288"/>
        <w:jc w:val="both"/>
      </w:pPr>
      <w:bookmarkStart w:name="Artículo_334_Bis" w:id="423"/>
      <w:bookmarkEnd w:id="423"/>
      <w:r>
        <w:rPr/>
      </w:r>
      <w:r>
        <w:rPr>
          <w:rFonts w:ascii="Arial" w:hAnsi="Arial"/>
          <w:b/>
        </w:rPr>
        <w:t>Artículo 334 Bis.- </w:t>
      </w:r>
      <w:r>
        <w:rPr/>
        <w:t>Las personas trabajadoras del hogar contarán con las siguientes prestaciones conforme a las disposiciones de la presente Ley y estarán comprendidas en el régimen obligatorio del seguro social:</w:t>
      </w:r>
    </w:p>
    <w:p>
      <w:pPr>
        <w:pStyle w:val="ListParagraph"/>
        <w:numPr>
          <w:ilvl w:val="1"/>
          <w:numId w:val="97"/>
        </w:numPr>
        <w:tabs>
          <w:tab w:pos="1058" w:val="left" w:leader="none"/>
        </w:tabs>
        <w:spacing w:line="240" w:lineRule="auto" w:before="230" w:after="0"/>
        <w:ind w:left="1058" w:right="0" w:hanging="432"/>
        <w:jc w:val="left"/>
        <w:rPr>
          <w:sz w:val="20"/>
        </w:rPr>
      </w:pPr>
      <w:r>
        <w:rPr>
          <w:spacing w:val="-2"/>
          <w:sz w:val="20"/>
        </w:rPr>
        <w:t>Vacaciones;</w:t>
      </w:r>
    </w:p>
    <w:p>
      <w:pPr>
        <w:pStyle w:val="BodyText"/>
      </w:pPr>
    </w:p>
    <w:p>
      <w:pPr>
        <w:pStyle w:val="ListParagraph"/>
        <w:numPr>
          <w:ilvl w:val="1"/>
          <w:numId w:val="97"/>
        </w:numPr>
        <w:tabs>
          <w:tab w:pos="1058" w:val="left" w:leader="none"/>
        </w:tabs>
        <w:spacing w:line="240" w:lineRule="auto" w:before="0" w:after="0"/>
        <w:ind w:left="1058" w:right="0" w:hanging="432"/>
        <w:jc w:val="left"/>
        <w:rPr>
          <w:sz w:val="20"/>
        </w:rPr>
      </w:pPr>
      <w:r>
        <w:rPr>
          <w:sz w:val="20"/>
        </w:rPr>
        <w:t>Prima</w:t>
      </w:r>
      <w:r>
        <w:rPr>
          <w:spacing w:val="-6"/>
          <w:sz w:val="20"/>
        </w:rPr>
        <w:t> </w:t>
      </w:r>
      <w:r>
        <w:rPr>
          <w:spacing w:val="-2"/>
          <w:sz w:val="20"/>
        </w:rPr>
        <w:t>vacacional;</w:t>
      </w:r>
    </w:p>
    <w:p>
      <w:pPr>
        <w:pStyle w:val="ListParagraph"/>
        <w:numPr>
          <w:ilvl w:val="1"/>
          <w:numId w:val="97"/>
        </w:numPr>
        <w:tabs>
          <w:tab w:pos="1058" w:val="left" w:leader="none"/>
        </w:tabs>
        <w:spacing w:line="240" w:lineRule="auto" w:before="229" w:after="0"/>
        <w:ind w:left="1058" w:right="0" w:hanging="432"/>
        <w:jc w:val="left"/>
        <w:rPr>
          <w:sz w:val="20"/>
        </w:rPr>
      </w:pPr>
      <w:r>
        <w:rPr>
          <w:sz w:val="20"/>
        </w:rPr>
        <w:t>Pago</w:t>
      </w:r>
      <w:r>
        <w:rPr>
          <w:spacing w:val="-6"/>
          <w:sz w:val="20"/>
        </w:rPr>
        <w:t> </w:t>
      </w:r>
      <w:r>
        <w:rPr>
          <w:sz w:val="20"/>
        </w:rPr>
        <w:t>de</w:t>
      </w:r>
      <w:r>
        <w:rPr>
          <w:spacing w:val="-3"/>
          <w:sz w:val="20"/>
        </w:rPr>
        <w:t> </w:t>
      </w:r>
      <w:r>
        <w:rPr>
          <w:sz w:val="20"/>
        </w:rPr>
        <w:t>días</w:t>
      </w:r>
      <w:r>
        <w:rPr>
          <w:spacing w:val="-2"/>
          <w:sz w:val="20"/>
        </w:rPr>
        <w:t> </w:t>
      </w:r>
      <w:r>
        <w:rPr>
          <w:sz w:val="20"/>
        </w:rPr>
        <w:t>de</w:t>
      </w:r>
      <w:r>
        <w:rPr>
          <w:spacing w:val="-4"/>
          <w:sz w:val="20"/>
        </w:rPr>
        <w:t> </w:t>
      </w:r>
      <w:r>
        <w:rPr>
          <w:spacing w:val="-2"/>
          <w:sz w:val="20"/>
        </w:rPr>
        <w:t>descanso;</w:t>
      </w:r>
    </w:p>
    <w:p>
      <w:pPr>
        <w:pStyle w:val="BodyText"/>
      </w:pPr>
    </w:p>
    <w:p>
      <w:pPr>
        <w:pStyle w:val="ListParagraph"/>
        <w:numPr>
          <w:ilvl w:val="1"/>
          <w:numId w:val="97"/>
        </w:numPr>
        <w:tabs>
          <w:tab w:pos="1058" w:val="left" w:leader="none"/>
        </w:tabs>
        <w:spacing w:line="240" w:lineRule="auto" w:before="1" w:after="0"/>
        <w:ind w:left="1058" w:right="0" w:hanging="432"/>
        <w:jc w:val="left"/>
        <w:rPr>
          <w:sz w:val="20"/>
        </w:rPr>
      </w:pPr>
      <w:r>
        <w:rPr>
          <w:sz w:val="20"/>
        </w:rPr>
        <w:t>Acceso</w:t>
      </w:r>
      <w:r>
        <w:rPr>
          <w:spacing w:val="-8"/>
          <w:sz w:val="20"/>
        </w:rPr>
        <w:t> </w:t>
      </w:r>
      <w:r>
        <w:rPr>
          <w:sz w:val="20"/>
        </w:rPr>
        <w:t>obligatorio</w:t>
      </w:r>
      <w:r>
        <w:rPr>
          <w:spacing w:val="-6"/>
          <w:sz w:val="20"/>
        </w:rPr>
        <w:t> </w:t>
      </w:r>
      <w:r>
        <w:rPr>
          <w:sz w:val="20"/>
        </w:rPr>
        <w:t>a</w:t>
      </w:r>
      <w:r>
        <w:rPr>
          <w:spacing w:val="-7"/>
          <w:sz w:val="20"/>
        </w:rPr>
        <w:t> </w:t>
      </w:r>
      <w:r>
        <w:rPr>
          <w:sz w:val="20"/>
        </w:rPr>
        <w:t>la</w:t>
      </w:r>
      <w:r>
        <w:rPr>
          <w:spacing w:val="-7"/>
          <w:sz w:val="20"/>
        </w:rPr>
        <w:t> </w:t>
      </w:r>
      <w:r>
        <w:rPr>
          <w:sz w:val="20"/>
        </w:rPr>
        <w:t>seguridad</w:t>
      </w:r>
      <w:r>
        <w:rPr>
          <w:spacing w:val="-8"/>
          <w:sz w:val="20"/>
        </w:rPr>
        <w:t> </w:t>
      </w:r>
      <w:r>
        <w:rPr>
          <w:spacing w:val="-2"/>
          <w:sz w:val="20"/>
        </w:rPr>
        <w:t>social;</w:t>
      </w:r>
    </w:p>
    <w:p>
      <w:pPr>
        <w:pStyle w:val="ListParagraph"/>
        <w:numPr>
          <w:ilvl w:val="1"/>
          <w:numId w:val="97"/>
        </w:numPr>
        <w:tabs>
          <w:tab w:pos="1058" w:val="left" w:leader="none"/>
        </w:tabs>
        <w:spacing w:line="240" w:lineRule="auto" w:before="228" w:after="0"/>
        <w:ind w:left="1058" w:right="0" w:hanging="432"/>
        <w:jc w:val="left"/>
        <w:rPr>
          <w:sz w:val="20"/>
        </w:rPr>
      </w:pPr>
      <w:r>
        <w:rPr>
          <w:sz w:val="20"/>
        </w:rPr>
        <w:t>Aguinaldo;</w:t>
      </w:r>
      <w:r>
        <w:rPr>
          <w:spacing w:val="-11"/>
          <w:sz w:val="20"/>
        </w:rPr>
        <w:t> </w:t>
      </w:r>
      <w:r>
        <w:rPr>
          <w:spacing w:val="-10"/>
          <w:sz w:val="20"/>
        </w:rPr>
        <w:t>y</w:t>
      </w:r>
    </w:p>
    <w:p>
      <w:pPr>
        <w:pStyle w:val="BodyText"/>
        <w:spacing w:before="1"/>
      </w:pPr>
    </w:p>
    <w:p>
      <w:pPr>
        <w:pStyle w:val="ListParagraph"/>
        <w:numPr>
          <w:ilvl w:val="1"/>
          <w:numId w:val="97"/>
        </w:numPr>
        <w:tabs>
          <w:tab w:pos="1058" w:val="left" w:leader="none"/>
        </w:tabs>
        <w:spacing w:line="240" w:lineRule="auto" w:before="0" w:after="0"/>
        <w:ind w:left="1058" w:right="0" w:hanging="432"/>
        <w:jc w:val="left"/>
        <w:rPr>
          <w:sz w:val="20"/>
        </w:rPr>
      </w:pPr>
      <w:r>
        <w:rPr>
          <w:sz w:val="20"/>
        </w:rPr>
        <w:t>Cualquier</w:t>
      </w:r>
      <w:r>
        <w:rPr>
          <w:spacing w:val="-8"/>
          <w:sz w:val="20"/>
        </w:rPr>
        <w:t> </w:t>
      </w:r>
      <w:r>
        <w:rPr>
          <w:sz w:val="20"/>
        </w:rPr>
        <w:t>otra</w:t>
      </w:r>
      <w:r>
        <w:rPr>
          <w:spacing w:val="-6"/>
          <w:sz w:val="20"/>
        </w:rPr>
        <w:t> </w:t>
      </w:r>
      <w:r>
        <w:rPr>
          <w:sz w:val="20"/>
        </w:rPr>
        <w:t>prestación</w:t>
      </w:r>
      <w:r>
        <w:rPr>
          <w:spacing w:val="-6"/>
          <w:sz w:val="20"/>
        </w:rPr>
        <w:t> </w:t>
      </w:r>
      <w:r>
        <w:rPr>
          <w:sz w:val="20"/>
        </w:rPr>
        <w:t>que</w:t>
      </w:r>
      <w:r>
        <w:rPr>
          <w:spacing w:val="-9"/>
          <w:sz w:val="20"/>
        </w:rPr>
        <w:t> </w:t>
      </w:r>
      <w:r>
        <w:rPr>
          <w:sz w:val="20"/>
        </w:rPr>
        <w:t>se</w:t>
      </w:r>
      <w:r>
        <w:rPr>
          <w:spacing w:val="-7"/>
          <w:sz w:val="20"/>
        </w:rPr>
        <w:t> </w:t>
      </w:r>
      <w:r>
        <w:rPr>
          <w:sz w:val="20"/>
        </w:rPr>
        <w:t>pudieren</w:t>
      </w:r>
      <w:r>
        <w:rPr>
          <w:spacing w:val="-6"/>
          <w:sz w:val="20"/>
        </w:rPr>
        <w:t> </w:t>
      </w:r>
      <w:r>
        <w:rPr>
          <w:sz w:val="20"/>
        </w:rPr>
        <w:t>pactar</w:t>
      </w:r>
      <w:r>
        <w:rPr>
          <w:spacing w:val="-5"/>
          <w:sz w:val="20"/>
        </w:rPr>
        <w:t> </w:t>
      </w:r>
      <w:r>
        <w:rPr>
          <w:sz w:val="20"/>
        </w:rPr>
        <w:t>entre</w:t>
      </w:r>
      <w:r>
        <w:rPr>
          <w:spacing w:val="-6"/>
          <w:sz w:val="20"/>
        </w:rPr>
        <w:t> </w:t>
      </w:r>
      <w:r>
        <w:rPr>
          <w:sz w:val="20"/>
        </w:rPr>
        <w:t>las</w:t>
      </w:r>
      <w:r>
        <w:rPr>
          <w:spacing w:val="-7"/>
          <w:sz w:val="20"/>
        </w:rPr>
        <w:t> </w:t>
      </w:r>
      <w:r>
        <w:rPr>
          <w:spacing w:val="-2"/>
          <w:sz w:val="20"/>
        </w:rPr>
        <w:t>partes.</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line="242" w:lineRule="auto" w:before="229"/>
        <w:ind w:left="338" w:right="357" w:firstLine="288"/>
      </w:pPr>
      <w:bookmarkStart w:name="Artículo_335" w:id="424"/>
      <w:bookmarkEnd w:id="424"/>
      <w:r>
        <w:rPr/>
      </w:r>
      <w:r>
        <w:rPr>
          <w:rFonts w:ascii="Arial" w:hAnsi="Arial"/>
          <w:b/>
        </w:rPr>
        <w:t>Artículo 335.- </w:t>
      </w:r>
      <w:r>
        <w:rPr/>
        <w:t>La Comisión Nacional</w:t>
      </w:r>
      <w:r>
        <w:rPr>
          <w:spacing w:val="-1"/>
        </w:rPr>
        <w:t> </w:t>
      </w:r>
      <w:r>
        <w:rPr/>
        <w:t>de los Salarios Mínimos fijará los salarios mínimos profesionales que deberán pagarse a las personas trabajadoras del hogar.</w:t>
      </w:r>
    </w:p>
    <w:p>
      <w:pPr>
        <w:spacing w:line="180"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21-01-1988,</w:t>
      </w:r>
      <w:r>
        <w:rPr>
          <w:rFonts w:ascii="Times New Roman" w:hAnsi="Times New Roman"/>
          <w:i/>
          <w:color w:val="0000FF"/>
          <w:spacing w:val="-8"/>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6" w:firstLine="288"/>
        <w:jc w:val="both"/>
      </w:pPr>
      <w:bookmarkStart w:name="Artículo_336" w:id="425"/>
      <w:bookmarkEnd w:id="425"/>
      <w:r>
        <w:rPr/>
      </w:r>
      <w:r>
        <w:rPr>
          <w:rFonts w:ascii="Arial" w:hAnsi="Arial"/>
          <w:b/>
        </w:rPr>
        <w:t>Artículo 336.- </w:t>
      </w:r>
      <w:r>
        <w:rPr/>
        <w:t>Las personas trabajadoras del hogar, tienen derecho a un descanso semanal de día y medio ininterrumpido, preferiblemente en sábado y domingo. Mediante acuerdo entre las partes podrá acordarse la acumulación de los medios días en periodos de dos semanas, pero habrá de disfrutarse de un día completo de descanso en cada semana.</w:t>
      </w:r>
    </w:p>
    <w:p>
      <w:pPr>
        <w:pStyle w:val="BodyText"/>
        <w:spacing w:after="0"/>
        <w:jc w:val="both"/>
        <w:sectPr>
          <w:pgSz w:w="12240" w:h="15840"/>
          <w:pgMar w:header="724" w:footer="712" w:top="1880" w:bottom="900" w:left="1080" w:right="1080"/>
        </w:sectPr>
      </w:pPr>
    </w:p>
    <w:p>
      <w:pPr>
        <w:pStyle w:val="BodyText"/>
      </w:pPr>
    </w:p>
    <w:p>
      <w:pPr>
        <w:pStyle w:val="BodyText"/>
        <w:spacing w:before="66"/>
      </w:pPr>
    </w:p>
    <w:p>
      <w:pPr>
        <w:pStyle w:val="BodyText"/>
        <w:ind w:left="338" w:firstLine="288"/>
      </w:pPr>
      <w:r>
        <w:rPr/>
        <w:t>Los</w:t>
      </w:r>
      <w:r>
        <w:rPr>
          <w:spacing w:val="32"/>
        </w:rPr>
        <w:t> </w:t>
      </w:r>
      <w:r>
        <w:rPr/>
        <w:t>días</w:t>
      </w:r>
      <w:r>
        <w:rPr>
          <w:spacing w:val="35"/>
        </w:rPr>
        <w:t> </w:t>
      </w:r>
      <w:r>
        <w:rPr/>
        <w:t>de</w:t>
      </w:r>
      <w:r>
        <w:rPr>
          <w:spacing w:val="33"/>
        </w:rPr>
        <w:t> </w:t>
      </w:r>
      <w:r>
        <w:rPr/>
        <w:t>descanso</w:t>
      </w:r>
      <w:r>
        <w:rPr>
          <w:spacing w:val="31"/>
        </w:rPr>
        <w:t> </w:t>
      </w:r>
      <w:r>
        <w:rPr/>
        <w:t>semanal</w:t>
      </w:r>
      <w:r>
        <w:rPr>
          <w:spacing w:val="30"/>
        </w:rPr>
        <w:t> </w:t>
      </w:r>
      <w:r>
        <w:rPr/>
        <w:t>se</w:t>
      </w:r>
      <w:r>
        <w:rPr>
          <w:spacing w:val="31"/>
        </w:rPr>
        <w:t> </w:t>
      </w:r>
      <w:r>
        <w:rPr/>
        <w:t>aplicarán</w:t>
      </w:r>
      <w:r>
        <w:rPr>
          <w:spacing w:val="31"/>
        </w:rPr>
        <w:t> </w:t>
      </w:r>
      <w:r>
        <w:rPr/>
        <w:t>a</w:t>
      </w:r>
      <w:r>
        <w:rPr>
          <w:spacing w:val="33"/>
        </w:rPr>
        <w:t> </w:t>
      </w:r>
      <w:r>
        <w:rPr/>
        <w:t>las</w:t>
      </w:r>
      <w:r>
        <w:rPr>
          <w:spacing w:val="32"/>
        </w:rPr>
        <w:t> </w:t>
      </w:r>
      <w:r>
        <w:rPr/>
        <w:t>personas</w:t>
      </w:r>
      <w:r>
        <w:rPr>
          <w:spacing w:val="32"/>
        </w:rPr>
        <w:t> </w:t>
      </w:r>
      <w:r>
        <w:rPr/>
        <w:t>trabajadoras</w:t>
      </w:r>
      <w:r>
        <w:rPr>
          <w:spacing w:val="33"/>
        </w:rPr>
        <w:t> </w:t>
      </w:r>
      <w:r>
        <w:rPr/>
        <w:t>del</w:t>
      </w:r>
      <w:r>
        <w:rPr>
          <w:spacing w:val="33"/>
        </w:rPr>
        <w:t> </w:t>
      </w:r>
      <w:r>
        <w:rPr/>
        <w:t>hogar</w:t>
      </w:r>
      <w:r>
        <w:rPr>
          <w:spacing w:val="32"/>
        </w:rPr>
        <w:t> </w:t>
      </w:r>
      <w:r>
        <w:rPr/>
        <w:t>conforme</w:t>
      </w:r>
      <w:r>
        <w:rPr>
          <w:spacing w:val="31"/>
        </w:rPr>
        <w:t> </w:t>
      </w:r>
      <w:r>
        <w:rPr/>
        <w:t>a</w:t>
      </w:r>
      <w:r>
        <w:rPr>
          <w:spacing w:val="31"/>
        </w:rPr>
        <w:t> </w:t>
      </w:r>
      <w:r>
        <w:rPr/>
        <w:t>lo dispuesto en el presente artículo.</w:t>
      </w:r>
    </w:p>
    <w:p>
      <w:pPr>
        <w:pStyle w:val="BodyText"/>
        <w:spacing w:before="1"/>
      </w:pPr>
    </w:p>
    <w:p>
      <w:pPr>
        <w:pStyle w:val="BodyText"/>
        <w:ind w:left="338" w:right="357" w:firstLine="288"/>
      </w:pPr>
      <w:r>
        <w:rPr/>
        <w:t>Las personas trabajadoras del hogar tendrán derecho a los días de descanso obligatorio previstos en el artículo 74 de esta Ley.</w:t>
      </w:r>
    </w:p>
    <w:p>
      <w:pPr>
        <w:pStyle w:val="BodyText"/>
        <w:spacing w:before="229"/>
        <w:ind w:left="338" w:firstLine="288"/>
      </w:pPr>
      <w:r>
        <w:rPr/>
        <w:t>Para</w:t>
      </w:r>
      <w:r>
        <w:rPr>
          <w:spacing w:val="24"/>
        </w:rPr>
        <w:t> </w:t>
      </w:r>
      <w:r>
        <w:rPr/>
        <w:t>los</w:t>
      </w:r>
      <w:r>
        <w:rPr>
          <w:spacing w:val="25"/>
        </w:rPr>
        <w:t> </w:t>
      </w:r>
      <w:r>
        <w:rPr/>
        <w:t>efectos</w:t>
      </w:r>
      <w:r>
        <w:rPr>
          <w:spacing w:val="25"/>
        </w:rPr>
        <w:t> </w:t>
      </w:r>
      <w:r>
        <w:rPr/>
        <w:t>de</w:t>
      </w:r>
      <w:r>
        <w:rPr>
          <w:spacing w:val="24"/>
        </w:rPr>
        <w:t> </w:t>
      </w:r>
      <w:r>
        <w:rPr/>
        <w:t>los</w:t>
      </w:r>
      <w:r>
        <w:rPr>
          <w:spacing w:val="25"/>
        </w:rPr>
        <w:t> </w:t>
      </w:r>
      <w:r>
        <w:rPr/>
        <w:t>párrafos</w:t>
      </w:r>
      <w:r>
        <w:rPr>
          <w:spacing w:val="25"/>
        </w:rPr>
        <w:t> </w:t>
      </w:r>
      <w:r>
        <w:rPr/>
        <w:t>anteriores,</w:t>
      </w:r>
      <w:r>
        <w:rPr>
          <w:spacing w:val="24"/>
        </w:rPr>
        <w:t> </w:t>
      </w:r>
      <w:r>
        <w:rPr/>
        <w:t>en</w:t>
      </w:r>
      <w:r>
        <w:rPr>
          <w:spacing w:val="24"/>
        </w:rPr>
        <w:t> </w:t>
      </w:r>
      <w:r>
        <w:rPr/>
        <w:t>caso</w:t>
      </w:r>
      <w:r>
        <w:rPr>
          <w:spacing w:val="26"/>
        </w:rPr>
        <w:t> </w:t>
      </w:r>
      <w:r>
        <w:rPr/>
        <w:t>de</w:t>
      </w:r>
      <w:r>
        <w:rPr>
          <w:spacing w:val="24"/>
        </w:rPr>
        <w:t> </w:t>
      </w:r>
      <w:r>
        <w:rPr/>
        <w:t>que</w:t>
      </w:r>
      <w:r>
        <w:rPr>
          <w:spacing w:val="24"/>
        </w:rPr>
        <w:t> </w:t>
      </w:r>
      <w:r>
        <w:rPr/>
        <w:t>estos</w:t>
      </w:r>
      <w:r>
        <w:rPr>
          <w:spacing w:val="25"/>
        </w:rPr>
        <w:t> </w:t>
      </w:r>
      <w:r>
        <w:rPr/>
        <w:t>días</w:t>
      </w:r>
      <w:r>
        <w:rPr>
          <w:spacing w:val="25"/>
        </w:rPr>
        <w:t> </w:t>
      </w:r>
      <w:r>
        <w:rPr/>
        <w:t>se</w:t>
      </w:r>
      <w:r>
        <w:rPr>
          <w:spacing w:val="24"/>
        </w:rPr>
        <w:t> </w:t>
      </w:r>
      <w:r>
        <w:rPr/>
        <w:t>laboren</w:t>
      </w:r>
      <w:r>
        <w:rPr>
          <w:spacing w:val="24"/>
        </w:rPr>
        <w:t> </w:t>
      </w:r>
      <w:r>
        <w:rPr/>
        <w:t>se</w:t>
      </w:r>
      <w:r>
        <w:rPr>
          <w:spacing w:val="24"/>
        </w:rPr>
        <w:t> </w:t>
      </w:r>
      <w:r>
        <w:rPr/>
        <w:t>aplicarán</w:t>
      </w:r>
      <w:r>
        <w:rPr>
          <w:spacing w:val="26"/>
        </w:rPr>
        <w:t> </w:t>
      </w:r>
      <w:r>
        <w:rPr/>
        <w:t>las reglas previstas en esta Ley.</w:t>
      </w:r>
    </w:p>
    <w:p>
      <w:pPr>
        <w:spacing w:line="182" w:lineRule="exact" w:before="0"/>
        <w:ind w:left="486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21-01-1988,</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01-05-2019,</w:t>
      </w:r>
      <w:r>
        <w:rPr>
          <w:rFonts w:ascii="Times New Roman" w:hAnsi="Times New Roman"/>
          <w:i/>
          <w:color w:val="0000FF"/>
          <w:spacing w:val="-9"/>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2" w:firstLine="288"/>
      </w:pPr>
      <w:bookmarkStart w:name="Artículo_336_Bis" w:id="426"/>
      <w:bookmarkEnd w:id="426"/>
      <w:r>
        <w:rPr/>
      </w:r>
      <w:r>
        <w:rPr>
          <w:rFonts w:ascii="Arial" w:hAnsi="Arial"/>
          <w:b/>
        </w:rPr>
        <w:t>Artículo 336 Bis.- </w:t>
      </w:r>
      <w:r>
        <w:rPr/>
        <w:t>Las vacaciones que se otorguen a las personas trabajadoras del hogar, se regirán por lo dispuesto en el Título Tercero, Capítulo IV de la presente Ley.</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w:t>
      </w:r>
      <w:r>
        <w:rPr>
          <w:rFonts w:ascii="Times New Roman" w:hAnsi="Times New Roman"/>
          <w:i/>
          <w:color w:val="0000FF"/>
          <w:spacing w:val="-4"/>
          <w:sz w:val="16"/>
        </w:rPr>
        <w:t>2019</w:t>
      </w:r>
    </w:p>
    <w:p>
      <w:pPr>
        <w:spacing w:before="229"/>
        <w:ind w:left="626" w:right="0" w:firstLine="0"/>
        <w:jc w:val="left"/>
        <w:rPr>
          <w:sz w:val="20"/>
        </w:rPr>
      </w:pPr>
      <w:bookmarkStart w:name="Artículo_337" w:id="427"/>
      <w:bookmarkEnd w:id="427"/>
      <w:r>
        <w:rPr/>
      </w:r>
      <w:r>
        <w:rPr>
          <w:rFonts w:ascii="Arial" w:hAnsi="Arial"/>
          <w:b/>
          <w:sz w:val="20"/>
        </w:rPr>
        <w:t>Artículo</w:t>
      </w:r>
      <w:r>
        <w:rPr>
          <w:rFonts w:ascii="Arial" w:hAnsi="Arial"/>
          <w:b/>
          <w:spacing w:val="-9"/>
          <w:sz w:val="20"/>
        </w:rPr>
        <w:t> </w:t>
      </w:r>
      <w:r>
        <w:rPr>
          <w:rFonts w:ascii="Arial" w:hAnsi="Arial"/>
          <w:b/>
          <w:sz w:val="20"/>
        </w:rPr>
        <w:t>337.-</w:t>
      </w:r>
      <w:r>
        <w:rPr>
          <w:rFonts w:ascii="Arial" w:hAnsi="Arial"/>
          <w:b/>
          <w:spacing w:val="-8"/>
          <w:sz w:val="20"/>
        </w:rPr>
        <w:t> </w:t>
      </w:r>
      <w:r>
        <w:rPr>
          <w:sz w:val="20"/>
        </w:rPr>
        <w:t>Los</w:t>
      </w:r>
      <w:r>
        <w:rPr>
          <w:spacing w:val="-8"/>
          <w:sz w:val="20"/>
        </w:rPr>
        <w:t> </w:t>
      </w:r>
      <w:r>
        <w:rPr>
          <w:sz w:val="20"/>
        </w:rPr>
        <w:t>patrones</w:t>
      </w:r>
      <w:r>
        <w:rPr>
          <w:spacing w:val="-8"/>
          <w:sz w:val="20"/>
        </w:rPr>
        <w:t> </w:t>
      </w:r>
      <w:r>
        <w:rPr>
          <w:sz w:val="20"/>
        </w:rPr>
        <w:t>tienen</w:t>
      </w:r>
      <w:r>
        <w:rPr>
          <w:spacing w:val="-8"/>
          <w:sz w:val="20"/>
        </w:rPr>
        <w:t> </w:t>
      </w:r>
      <w:r>
        <w:rPr>
          <w:sz w:val="20"/>
        </w:rPr>
        <w:t>las</w:t>
      </w:r>
      <w:r>
        <w:rPr>
          <w:spacing w:val="-8"/>
          <w:sz w:val="20"/>
        </w:rPr>
        <w:t> </w:t>
      </w:r>
      <w:r>
        <w:rPr>
          <w:sz w:val="20"/>
        </w:rPr>
        <w:t>obligaciones</w:t>
      </w:r>
      <w:r>
        <w:rPr>
          <w:spacing w:val="-6"/>
          <w:sz w:val="20"/>
        </w:rPr>
        <w:t> </w:t>
      </w:r>
      <w:r>
        <w:rPr>
          <w:sz w:val="20"/>
        </w:rPr>
        <w:t>especiales</w:t>
      </w:r>
      <w:r>
        <w:rPr>
          <w:spacing w:val="-8"/>
          <w:sz w:val="20"/>
        </w:rPr>
        <w:t> </w:t>
      </w:r>
      <w:r>
        <w:rPr>
          <w:spacing w:val="-2"/>
          <w:sz w:val="20"/>
        </w:rPr>
        <w:t>siguientes:</w:t>
      </w:r>
    </w:p>
    <w:p>
      <w:pPr>
        <w:pStyle w:val="BodyText"/>
      </w:pPr>
    </w:p>
    <w:p>
      <w:pPr>
        <w:pStyle w:val="ListParagraph"/>
        <w:numPr>
          <w:ilvl w:val="2"/>
          <w:numId w:val="97"/>
        </w:numPr>
        <w:tabs>
          <w:tab w:pos="1195" w:val="left" w:leader="none"/>
        </w:tabs>
        <w:spacing w:line="242" w:lineRule="auto" w:before="1" w:after="0"/>
        <w:ind w:left="1195" w:right="345" w:hanging="569"/>
        <w:jc w:val="left"/>
        <w:rPr>
          <w:sz w:val="20"/>
        </w:rPr>
      </w:pPr>
      <w:r>
        <w:rPr>
          <w:sz w:val="20"/>
        </w:rPr>
        <w:t>Guardar consideración al</w:t>
      </w:r>
      <w:r>
        <w:rPr>
          <w:spacing w:val="-1"/>
          <w:sz w:val="20"/>
        </w:rPr>
        <w:t> </w:t>
      </w:r>
      <w:r>
        <w:rPr>
          <w:sz w:val="20"/>
        </w:rPr>
        <w:t>trabajador del hogar, absteniéndose de todo mal</w:t>
      </w:r>
      <w:r>
        <w:rPr>
          <w:spacing w:val="-1"/>
          <w:sz w:val="20"/>
        </w:rPr>
        <w:t> </w:t>
      </w:r>
      <w:r>
        <w:rPr>
          <w:sz w:val="20"/>
        </w:rPr>
        <w:t>trato de palabra o de </w:t>
      </w:r>
      <w:r>
        <w:rPr>
          <w:spacing w:val="-2"/>
          <w:sz w:val="20"/>
        </w:rPr>
        <w:t>obra.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2"/>
          <w:numId w:val="97"/>
        </w:numPr>
        <w:tabs>
          <w:tab w:pos="1195" w:val="left" w:leader="none"/>
        </w:tabs>
        <w:spacing w:line="242" w:lineRule="auto" w:before="0" w:after="0"/>
        <w:ind w:left="1195" w:right="331" w:hanging="569"/>
        <w:jc w:val="left"/>
        <w:rPr>
          <w:sz w:val="20"/>
        </w:rPr>
      </w:pPr>
      <w:r>
        <w:rPr>
          <w:sz w:val="20"/>
        </w:rPr>
        <w:t>Proporcionar</w:t>
      </w:r>
      <w:r>
        <w:rPr>
          <w:spacing w:val="40"/>
          <w:sz w:val="20"/>
        </w:rPr>
        <w:t> </w:t>
      </w:r>
      <w:r>
        <w:rPr>
          <w:sz w:val="20"/>
        </w:rPr>
        <w:t>al</w:t>
      </w:r>
      <w:r>
        <w:rPr>
          <w:spacing w:val="40"/>
          <w:sz w:val="20"/>
        </w:rPr>
        <w:t> </w:t>
      </w:r>
      <w:r>
        <w:rPr>
          <w:sz w:val="20"/>
        </w:rPr>
        <w:t>trabajador</w:t>
      </w:r>
      <w:r>
        <w:rPr>
          <w:spacing w:val="40"/>
          <w:sz w:val="20"/>
        </w:rPr>
        <w:t> </w:t>
      </w:r>
      <w:r>
        <w:rPr>
          <w:sz w:val="20"/>
        </w:rPr>
        <w:t>habitación</w:t>
      </w:r>
      <w:r>
        <w:rPr>
          <w:spacing w:val="40"/>
          <w:sz w:val="20"/>
        </w:rPr>
        <w:t> </w:t>
      </w:r>
      <w:r>
        <w:rPr>
          <w:sz w:val="20"/>
        </w:rPr>
        <w:t>cómoda</w:t>
      </w:r>
      <w:r>
        <w:rPr>
          <w:spacing w:val="40"/>
          <w:sz w:val="20"/>
        </w:rPr>
        <w:t> </w:t>
      </w:r>
      <w:r>
        <w:rPr>
          <w:sz w:val="20"/>
        </w:rPr>
        <w:t>e</w:t>
      </w:r>
      <w:r>
        <w:rPr>
          <w:spacing w:val="40"/>
          <w:sz w:val="20"/>
        </w:rPr>
        <w:t> </w:t>
      </w:r>
      <w:r>
        <w:rPr>
          <w:sz w:val="20"/>
        </w:rPr>
        <w:t>higiénica,</w:t>
      </w:r>
      <w:r>
        <w:rPr>
          <w:spacing w:val="40"/>
          <w:sz w:val="20"/>
        </w:rPr>
        <w:t> </w:t>
      </w:r>
      <w:r>
        <w:rPr>
          <w:sz w:val="20"/>
        </w:rPr>
        <w:t>alimentación</w:t>
      </w:r>
      <w:r>
        <w:rPr>
          <w:spacing w:val="40"/>
          <w:sz w:val="20"/>
        </w:rPr>
        <w:t> </w:t>
      </w:r>
      <w:r>
        <w:rPr>
          <w:sz w:val="20"/>
        </w:rPr>
        <w:t>sana</w:t>
      </w:r>
      <w:r>
        <w:rPr>
          <w:spacing w:val="40"/>
          <w:sz w:val="20"/>
        </w:rPr>
        <w:t> </w:t>
      </w:r>
      <w:r>
        <w:rPr>
          <w:sz w:val="20"/>
        </w:rPr>
        <w:t>y</w:t>
      </w:r>
      <w:r>
        <w:rPr>
          <w:spacing w:val="40"/>
          <w:sz w:val="20"/>
        </w:rPr>
        <w:t> </w:t>
      </w:r>
      <w:r>
        <w:rPr>
          <w:sz w:val="20"/>
        </w:rPr>
        <w:t>suficiente</w:t>
      </w:r>
      <w:r>
        <w:rPr>
          <w:spacing w:val="40"/>
          <w:sz w:val="20"/>
        </w:rPr>
        <w:t> </w:t>
      </w:r>
      <w:r>
        <w:rPr>
          <w:sz w:val="20"/>
        </w:rPr>
        <w:t>y condiciones de trabajo que aseguren la vida y la salud; 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2"/>
          <w:numId w:val="97"/>
        </w:numPr>
        <w:tabs>
          <w:tab w:pos="1195" w:val="left" w:leader="none"/>
        </w:tabs>
        <w:spacing w:line="242" w:lineRule="auto" w:before="0" w:after="0"/>
        <w:ind w:left="1195" w:right="343" w:hanging="569"/>
        <w:jc w:val="left"/>
        <w:rPr>
          <w:sz w:val="20"/>
        </w:rPr>
      </w:pPr>
      <w:r>
        <w:rPr>
          <w:sz w:val="20"/>
        </w:rPr>
        <w:t>El patrón deberá cooperar para la instrucción general del trabajador del hogar, de conformidad con las normas que dicten las autoridades correspondientes.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2"/>
          <w:numId w:val="97"/>
        </w:numPr>
        <w:tabs>
          <w:tab w:pos="1195" w:val="left" w:leader="none"/>
        </w:tabs>
        <w:spacing w:line="240" w:lineRule="auto" w:before="1" w:after="0"/>
        <w:ind w:left="1195" w:right="346" w:hanging="569"/>
        <w:jc w:val="left"/>
        <w:rPr>
          <w:sz w:val="20"/>
        </w:rPr>
      </w:pPr>
      <w:r>
        <w:rPr>
          <w:sz w:val="20"/>
        </w:rPr>
        <w:t>Inscribir</w:t>
      </w:r>
      <w:r>
        <w:rPr>
          <w:spacing w:val="40"/>
          <w:sz w:val="20"/>
        </w:rPr>
        <w:t> </w:t>
      </w:r>
      <w:r>
        <w:rPr>
          <w:sz w:val="20"/>
        </w:rPr>
        <w:t>a</w:t>
      </w:r>
      <w:r>
        <w:rPr>
          <w:spacing w:val="40"/>
          <w:sz w:val="20"/>
        </w:rPr>
        <w:t> </w:t>
      </w:r>
      <w:r>
        <w:rPr>
          <w:sz w:val="20"/>
        </w:rPr>
        <w:t>la</w:t>
      </w:r>
      <w:r>
        <w:rPr>
          <w:spacing w:val="40"/>
          <w:sz w:val="20"/>
        </w:rPr>
        <w:t> </w:t>
      </w:r>
      <w:r>
        <w:rPr>
          <w:sz w:val="20"/>
        </w:rPr>
        <w:t>parte</w:t>
      </w:r>
      <w:r>
        <w:rPr>
          <w:spacing w:val="40"/>
          <w:sz w:val="20"/>
        </w:rPr>
        <w:t> </w:t>
      </w:r>
      <w:r>
        <w:rPr>
          <w:sz w:val="20"/>
        </w:rPr>
        <w:t>trabajadora</w:t>
      </w:r>
      <w:r>
        <w:rPr>
          <w:spacing w:val="40"/>
          <w:sz w:val="20"/>
        </w:rPr>
        <w:t> </w:t>
      </w:r>
      <w:r>
        <w:rPr>
          <w:sz w:val="20"/>
        </w:rPr>
        <w:t>al</w:t>
      </w:r>
      <w:r>
        <w:rPr>
          <w:spacing w:val="40"/>
          <w:sz w:val="20"/>
        </w:rPr>
        <w:t> </w:t>
      </w:r>
      <w:r>
        <w:rPr>
          <w:sz w:val="20"/>
        </w:rPr>
        <w:t>Instituto</w:t>
      </w:r>
      <w:r>
        <w:rPr>
          <w:spacing w:val="40"/>
          <w:sz w:val="20"/>
        </w:rPr>
        <w:t> </w:t>
      </w:r>
      <w:r>
        <w:rPr>
          <w:sz w:val="20"/>
        </w:rPr>
        <w:t>Mexicano</w:t>
      </w:r>
      <w:r>
        <w:rPr>
          <w:spacing w:val="40"/>
          <w:sz w:val="20"/>
        </w:rPr>
        <w:t> </w:t>
      </w:r>
      <w:r>
        <w:rPr>
          <w:sz w:val="20"/>
        </w:rPr>
        <w:t>del</w:t>
      </w:r>
      <w:r>
        <w:rPr>
          <w:spacing w:val="40"/>
          <w:sz w:val="20"/>
        </w:rPr>
        <w:t> </w:t>
      </w:r>
      <w:r>
        <w:rPr>
          <w:sz w:val="20"/>
        </w:rPr>
        <w:t>Seguro</w:t>
      </w:r>
      <w:r>
        <w:rPr>
          <w:spacing w:val="40"/>
          <w:sz w:val="20"/>
        </w:rPr>
        <w:t> </w:t>
      </w:r>
      <w:r>
        <w:rPr>
          <w:sz w:val="20"/>
        </w:rPr>
        <w:t>Social</w:t>
      </w:r>
      <w:r>
        <w:rPr>
          <w:spacing w:val="40"/>
          <w:sz w:val="20"/>
        </w:rPr>
        <w:t> </w:t>
      </w:r>
      <w:r>
        <w:rPr>
          <w:sz w:val="20"/>
        </w:rPr>
        <w:t>y</w:t>
      </w:r>
      <w:r>
        <w:rPr>
          <w:spacing w:val="40"/>
          <w:sz w:val="20"/>
        </w:rPr>
        <w:t> </w:t>
      </w:r>
      <w:r>
        <w:rPr>
          <w:sz w:val="20"/>
        </w:rPr>
        <w:t>pagar</w:t>
      </w:r>
      <w:r>
        <w:rPr>
          <w:spacing w:val="40"/>
          <w:sz w:val="20"/>
        </w:rPr>
        <w:t> </w:t>
      </w:r>
      <w:r>
        <w:rPr>
          <w:sz w:val="20"/>
        </w:rPr>
        <w:t>las</w:t>
      </w:r>
      <w:r>
        <w:rPr>
          <w:spacing w:val="40"/>
          <w:sz w:val="20"/>
        </w:rPr>
        <w:t> </w:t>
      </w:r>
      <w:r>
        <w:rPr>
          <w:sz w:val="20"/>
        </w:rPr>
        <w:t>cuotas correspondientes conforme a las normas aplicables en la materia.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9" w:firstLine="288"/>
        <w:jc w:val="both"/>
      </w:pPr>
      <w:bookmarkStart w:name="Artículo_337_Bis" w:id="428"/>
      <w:bookmarkEnd w:id="428"/>
      <w:r>
        <w:rPr/>
      </w:r>
      <w:r>
        <w:rPr>
          <w:rFonts w:ascii="Arial" w:hAnsi="Arial"/>
          <w:b/>
        </w:rPr>
        <w:t>Artículo 337 Bis.- </w:t>
      </w:r>
      <w:r>
        <w:rPr/>
        <w:t>Las personas migrantes trabajadoras del hogar además de lo dispuesto en el presente capítulo, se regirán por las disposiciones de los artículos 28, 28 A de esta Ley, en los tratados internacionales de los que el Estado Mexicano sea parte y en las demás disposiciones jurídicas </w:t>
      </w:r>
      <w:r>
        <w:rPr>
          <w:spacing w:val="-2"/>
        </w:rPr>
        <w:t>aplicables.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w:t>
      </w:r>
      <w:r>
        <w:rPr>
          <w:rFonts w:ascii="Times New Roman" w:hAnsi="Times New Roman"/>
          <w:i/>
          <w:color w:val="0000FF"/>
          <w:spacing w:val="-4"/>
          <w:sz w:val="16"/>
        </w:rPr>
        <w:t>2019</w:t>
      </w:r>
    </w:p>
    <w:p>
      <w:pPr>
        <w:spacing w:before="229"/>
        <w:ind w:left="626" w:right="0" w:firstLine="0"/>
        <w:jc w:val="left"/>
        <w:rPr>
          <w:sz w:val="20"/>
        </w:rPr>
      </w:pPr>
      <w:bookmarkStart w:name="Artículo_338" w:id="429"/>
      <w:bookmarkEnd w:id="429"/>
      <w:r>
        <w:rPr/>
      </w:r>
      <w:r>
        <w:rPr>
          <w:rFonts w:ascii="Arial" w:hAnsi="Arial"/>
          <w:b/>
          <w:sz w:val="20"/>
        </w:rPr>
        <w:t>Artículo</w:t>
      </w:r>
      <w:r>
        <w:rPr>
          <w:rFonts w:ascii="Arial" w:hAnsi="Arial"/>
          <w:b/>
          <w:spacing w:val="-6"/>
          <w:sz w:val="20"/>
        </w:rPr>
        <w:t> </w:t>
      </w:r>
      <w:r>
        <w:rPr>
          <w:rFonts w:ascii="Arial" w:hAnsi="Arial"/>
          <w:b/>
          <w:sz w:val="20"/>
        </w:rPr>
        <w:t>338.-</w:t>
      </w:r>
      <w:r>
        <w:rPr>
          <w:rFonts w:ascii="Arial" w:hAnsi="Arial"/>
          <w:b/>
          <w:spacing w:val="-4"/>
          <w:sz w:val="20"/>
        </w:rPr>
        <w:t> </w:t>
      </w:r>
      <w:r>
        <w:rPr>
          <w:sz w:val="20"/>
        </w:rPr>
        <w:t>Se</w:t>
      </w:r>
      <w:r>
        <w:rPr>
          <w:spacing w:val="-5"/>
          <w:sz w:val="20"/>
        </w:rPr>
        <w:t> </w:t>
      </w:r>
      <w:r>
        <w:rPr>
          <w:spacing w:val="-2"/>
          <w:sz w:val="20"/>
        </w:rPr>
        <w:t>deroga.</w:t>
      </w:r>
    </w:p>
    <w:p>
      <w:pPr>
        <w:spacing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01-05-2019.</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1"/>
        <w:rPr>
          <w:rFonts w:ascii="Times New Roman"/>
          <w:i/>
        </w:rPr>
      </w:pPr>
    </w:p>
    <w:p>
      <w:pPr>
        <w:spacing w:line="229" w:lineRule="exact" w:before="0"/>
        <w:ind w:left="626" w:right="0" w:firstLine="0"/>
        <w:jc w:val="left"/>
        <w:rPr>
          <w:sz w:val="20"/>
        </w:rPr>
      </w:pPr>
      <w:bookmarkStart w:name="Artículo_339" w:id="430"/>
      <w:bookmarkEnd w:id="430"/>
      <w:r>
        <w:rPr/>
      </w:r>
      <w:r>
        <w:rPr>
          <w:rFonts w:ascii="Arial" w:hAnsi="Arial"/>
          <w:b/>
          <w:sz w:val="20"/>
        </w:rPr>
        <w:t>Artículo</w:t>
      </w:r>
      <w:r>
        <w:rPr>
          <w:rFonts w:ascii="Arial" w:hAnsi="Arial"/>
          <w:b/>
          <w:spacing w:val="-6"/>
          <w:sz w:val="20"/>
        </w:rPr>
        <w:t> </w:t>
      </w:r>
      <w:r>
        <w:rPr>
          <w:rFonts w:ascii="Arial" w:hAnsi="Arial"/>
          <w:b/>
          <w:sz w:val="20"/>
        </w:rPr>
        <w:t>339.-</w:t>
      </w:r>
      <w:r>
        <w:rPr>
          <w:rFonts w:ascii="Arial" w:hAnsi="Arial"/>
          <w:b/>
          <w:spacing w:val="-4"/>
          <w:sz w:val="20"/>
        </w:rPr>
        <w:t> </w:t>
      </w:r>
      <w:r>
        <w:rPr>
          <w:sz w:val="20"/>
        </w:rPr>
        <w:t>Se</w:t>
      </w:r>
      <w:r>
        <w:rPr>
          <w:spacing w:val="-5"/>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2"/>
        <w:rPr>
          <w:rFonts w:ascii="Times New Roman"/>
          <w:i/>
        </w:rPr>
      </w:pPr>
    </w:p>
    <w:p>
      <w:pPr>
        <w:spacing w:before="0"/>
        <w:ind w:left="626" w:right="0" w:firstLine="0"/>
        <w:jc w:val="left"/>
        <w:rPr>
          <w:sz w:val="20"/>
        </w:rPr>
      </w:pPr>
      <w:bookmarkStart w:name="Artículo_340" w:id="431"/>
      <w:bookmarkEnd w:id="431"/>
      <w:r>
        <w:rPr/>
      </w:r>
      <w:r>
        <w:rPr>
          <w:rFonts w:ascii="Arial" w:hAnsi="Arial"/>
          <w:b/>
          <w:sz w:val="20"/>
        </w:rPr>
        <w:t>Artículo</w:t>
      </w:r>
      <w:r>
        <w:rPr>
          <w:rFonts w:ascii="Arial" w:hAnsi="Arial"/>
          <w:b/>
          <w:spacing w:val="-6"/>
          <w:sz w:val="20"/>
        </w:rPr>
        <w:t> </w:t>
      </w:r>
      <w:r>
        <w:rPr>
          <w:rFonts w:ascii="Arial" w:hAnsi="Arial"/>
          <w:b/>
          <w:sz w:val="20"/>
        </w:rPr>
        <w:t>340.-</w:t>
      </w:r>
      <w:r>
        <w:rPr>
          <w:rFonts w:ascii="Arial" w:hAnsi="Arial"/>
          <w:b/>
          <w:spacing w:val="-4"/>
          <w:sz w:val="20"/>
        </w:rPr>
        <w:t> </w:t>
      </w:r>
      <w:r>
        <w:rPr>
          <w:sz w:val="20"/>
        </w:rPr>
        <w:t>Se</w:t>
      </w:r>
      <w:r>
        <w:rPr>
          <w:spacing w:val="-5"/>
          <w:sz w:val="20"/>
        </w:rPr>
        <w:t> </w:t>
      </w:r>
      <w:r>
        <w:rPr>
          <w:spacing w:val="-2"/>
          <w:sz w:val="20"/>
        </w:rPr>
        <w:t>deroga.</w:t>
      </w:r>
    </w:p>
    <w:p>
      <w:pPr>
        <w:spacing w:before="1"/>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01-05-2019.</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line="242" w:lineRule="auto" w:before="229"/>
        <w:ind w:left="338" w:right="346" w:firstLine="288"/>
        <w:jc w:val="both"/>
      </w:pPr>
      <w:bookmarkStart w:name="Artículo_341" w:id="432"/>
      <w:bookmarkEnd w:id="432"/>
      <w:r>
        <w:rPr/>
      </w:r>
      <w:r>
        <w:rPr>
          <w:rFonts w:ascii="Arial" w:hAnsi="Arial"/>
          <w:b/>
        </w:rPr>
        <w:t>Artículo 341.- </w:t>
      </w:r>
      <w:r>
        <w:rPr/>
        <w:t>Es causa de rescisión de las relaciones de trabajo el incumplimiento de las</w:t>
      </w:r>
      <w:r>
        <w:rPr>
          <w:spacing w:val="40"/>
        </w:rPr>
        <w:t> </w:t>
      </w:r>
      <w:r>
        <w:rPr/>
        <w:t>obligaciones consignadas en esta Ley.</w:t>
      </w:r>
    </w:p>
    <w:p>
      <w:pPr>
        <w:pStyle w:val="BodyText"/>
        <w:spacing w:before="229"/>
        <w:ind w:left="338" w:right="338" w:firstLine="288"/>
        <w:jc w:val="both"/>
      </w:pPr>
      <w:r>
        <w:rPr/>
        <w:t>Se considerará despido injustificado de las personas trabajadoras del hogar todas aquellas contempladas en</w:t>
      </w:r>
      <w:r>
        <w:rPr>
          <w:spacing w:val="-1"/>
        </w:rPr>
        <w:t> </w:t>
      </w:r>
      <w:r>
        <w:rPr/>
        <w:t>la</w:t>
      </w:r>
      <w:r>
        <w:rPr>
          <w:spacing w:val="-1"/>
        </w:rPr>
        <w:t> </w:t>
      </w:r>
      <w:r>
        <w:rPr/>
        <w:t>presente</w:t>
      </w:r>
      <w:r>
        <w:rPr>
          <w:spacing w:val="-1"/>
        </w:rPr>
        <w:t> </w:t>
      </w:r>
      <w:r>
        <w:rPr/>
        <w:t>Ley, así</w:t>
      </w:r>
      <w:r>
        <w:rPr>
          <w:spacing w:val="-1"/>
        </w:rPr>
        <w:t> </w:t>
      </w:r>
      <w:r>
        <w:rPr/>
        <w:t>como</w:t>
      </w:r>
      <w:r>
        <w:rPr>
          <w:spacing w:val="-1"/>
        </w:rPr>
        <w:t> </w:t>
      </w:r>
      <w:r>
        <w:rPr/>
        <w:t>aquellas que</w:t>
      </w:r>
      <w:r>
        <w:rPr>
          <w:spacing w:val="-2"/>
        </w:rPr>
        <w:t> </w:t>
      </w:r>
      <w:r>
        <w:rPr/>
        <w:t>se</w:t>
      </w:r>
      <w:r>
        <w:rPr>
          <w:spacing w:val="-1"/>
        </w:rPr>
        <w:t> </w:t>
      </w:r>
      <w:r>
        <w:rPr/>
        <w:t>den por motivos de violencia</w:t>
      </w:r>
      <w:r>
        <w:rPr>
          <w:spacing w:val="-1"/>
        </w:rPr>
        <w:t> </w:t>
      </w:r>
      <w:r>
        <w:rPr/>
        <w:t>de género en</w:t>
      </w:r>
      <w:r>
        <w:rPr>
          <w:spacing w:val="-2"/>
        </w:rPr>
        <w:t> </w:t>
      </w:r>
      <w:r>
        <w:rPr/>
        <w:t>el trabajo de manera explícita y discriminación conforme lo establecido en el artículo 1°. de la Constitución Política de los Estados Mexicanos y la legislación aplicable.</w:t>
      </w:r>
    </w:p>
    <w:p>
      <w:pPr>
        <w:pStyle w:val="BodyText"/>
        <w:spacing w:after="0"/>
        <w:jc w:val="both"/>
        <w:sectPr>
          <w:pgSz w:w="12240" w:h="15840"/>
          <w:pgMar w:header="724" w:footer="712" w:top="1880" w:bottom="900" w:left="1080" w:right="1080"/>
        </w:sectPr>
      </w:pPr>
    </w:p>
    <w:p>
      <w:pPr>
        <w:pStyle w:val="BodyText"/>
      </w:pPr>
    </w:p>
    <w:p>
      <w:pPr>
        <w:pStyle w:val="BodyText"/>
        <w:spacing w:before="66"/>
      </w:pPr>
    </w:p>
    <w:p>
      <w:pPr>
        <w:pStyle w:val="BodyText"/>
        <w:ind w:left="338" w:firstLine="288"/>
      </w:pPr>
      <w:r>
        <w:rPr/>
        <w:t>Para los efectos del párrafo anterior, la indemnización será la prevista en el artículo 50 del presente</w:t>
      </w:r>
      <w:r>
        <w:rPr>
          <w:spacing w:val="40"/>
        </w:rPr>
        <w:t> </w:t>
      </w:r>
      <w:r>
        <w:rPr>
          <w:spacing w:val="-2"/>
        </w:rPr>
        <w:t>ordenamiento.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1" w:firstLine="288"/>
        <w:jc w:val="both"/>
      </w:pPr>
      <w:bookmarkStart w:name="Artículo_342" w:id="433"/>
      <w:bookmarkEnd w:id="433"/>
      <w:r>
        <w:rPr/>
      </w:r>
      <w:r>
        <w:rPr>
          <w:rFonts w:ascii="Arial" w:hAnsi="Arial"/>
          <w:b/>
        </w:rPr>
        <w:t>Artículo 342.- </w:t>
      </w:r>
      <w:r>
        <w:rPr/>
        <w:t>Las personas trabajadoras del hogar podrán dar por terminada en cualquier tiempo la relación de trabajo, dando aviso a la persona empleadora con ocho días de anticipación.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01-05-2019,</w:t>
      </w:r>
      <w:r>
        <w:rPr>
          <w:rFonts w:ascii="Times New Roman" w:hAnsi="Times New Roman"/>
          <w:i/>
          <w:color w:val="0000FF"/>
          <w:spacing w:val="-8"/>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9" w:firstLine="288"/>
        <w:jc w:val="both"/>
      </w:pPr>
      <w:bookmarkStart w:name="Artículo_343" w:id="434"/>
      <w:bookmarkEnd w:id="434"/>
      <w:r>
        <w:rPr/>
      </w:r>
      <w:r>
        <w:rPr>
          <w:rFonts w:ascii="Arial" w:hAnsi="Arial"/>
          <w:b/>
        </w:rPr>
        <w:t>Artículo 343.- </w:t>
      </w:r>
      <w:r>
        <w:rPr/>
        <w:t>La persona empleadora podrá dar por terminada dentro de los treinta días siguientes a la</w:t>
      </w:r>
      <w:r>
        <w:rPr>
          <w:spacing w:val="-1"/>
        </w:rPr>
        <w:t> </w:t>
      </w:r>
      <w:r>
        <w:rPr/>
        <w:t>iniciación</w:t>
      </w:r>
      <w:r>
        <w:rPr>
          <w:spacing w:val="-2"/>
        </w:rPr>
        <w:t> </w:t>
      </w:r>
      <w:r>
        <w:rPr/>
        <w:t>del</w:t>
      </w:r>
      <w:r>
        <w:rPr>
          <w:spacing w:val="-4"/>
        </w:rPr>
        <w:t> </w:t>
      </w:r>
      <w:r>
        <w:rPr/>
        <w:t>trabajo; y</w:t>
      </w:r>
      <w:r>
        <w:rPr>
          <w:spacing w:val="-4"/>
        </w:rPr>
        <w:t> </w:t>
      </w:r>
      <w:r>
        <w:rPr/>
        <w:t>en</w:t>
      </w:r>
      <w:r>
        <w:rPr>
          <w:spacing w:val="-3"/>
        </w:rPr>
        <w:t> </w:t>
      </w:r>
      <w:r>
        <w:rPr/>
        <w:t>cualquier</w:t>
      </w:r>
      <w:r>
        <w:rPr>
          <w:spacing w:val="-3"/>
        </w:rPr>
        <w:t> </w:t>
      </w:r>
      <w:r>
        <w:rPr/>
        <w:t>tiempo</w:t>
      </w:r>
      <w:r>
        <w:rPr>
          <w:spacing w:val="-4"/>
        </w:rPr>
        <w:t> </w:t>
      </w:r>
      <w:r>
        <w:rPr/>
        <w:t>la</w:t>
      </w:r>
      <w:r>
        <w:rPr>
          <w:spacing w:val="-3"/>
        </w:rPr>
        <w:t> </w:t>
      </w:r>
      <w:r>
        <w:rPr/>
        <w:t>relación</w:t>
      </w:r>
      <w:r>
        <w:rPr>
          <w:spacing w:val="-2"/>
        </w:rPr>
        <w:t> </w:t>
      </w:r>
      <w:r>
        <w:rPr/>
        <w:t>laboral,</w:t>
      </w:r>
      <w:r>
        <w:rPr>
          <w:spacing w:val="-1"/>
        </w:rPr>
        <w:t> </w:t>
      </w:r>
      <w:r>
        <w:rPr/>
        <w:t>dando</w:t>
      </w:r>
      <w:r>
        <w:rPr>
          <w:spacing w:val="-3"/>
        </w:rPr>
        <w:t> </w:t>
      </w:r>
      <w:r>
        <w:rPr/>
        <w:t>aviso</w:t>
      </w:r>
      <w:r>
        <w:rPr>
          <w:spacing w:val="-1"/>
        </w:rPr>
        <w:t> </w:t>
      </w:r>
      <w:r>
        <w:rPr/>
        <w:t>a</w:t>
      </w:r>
      <w:r>
        <w:rPr>
          <w:spacing w:val="-1"/>
        </w:rPr>
        <w:t> </w:t>
      </w:r>
      <w:r>
        <w:rPr/>
        <w:t>la</w:t>
      </w:r>
      <w:r>
        <w:rPr>
          <w:spacing w:val="-1"/>
        </w:rPr>
        <w:t> </w:t>
      </w:r>
      <w:r>
        <w:rPr/>
        <w:t>persona</w:t>
      </w:r>
      <w:r>
        <w:rPr>
          <w:spacing w:val="-3"/>
        </w:rPr>
        <w:t> </w:t>
      </w:r>
      <w:r>
        <w:rPr/>
        <w:t>trabajadora</w:t>
      </w:r>
      <w:r>
        <w:rPr>
          <w:spacing w:val="-3"/>
        </w:rPr>
        <w:t> </w:t>
      </w:r>
      <w:r>
        <w:rPr/>
        <w:t>del hogar con ocho días de anticipación pagando la indemnización que corresponda de conformidad con lo dispuesto en los artículos 49, fracción IV, y 50.</w:t>
      </w:r>
    </w:p>
    <w:p>
      <w:pPr>
        <w:pStyle w:val="BodyText"/>
        <w:spacing w:after="0"/>
        <w:jc w:val="both"/>
        <w:sectPr>
          <w:pgSz w:w="12240" w:h="15840"/>
          <w:pgMar w:header="724" w:footer="712" w:top="1880" w:bottom="900" w:left="1080" w:right="1080"/>
        </w:sectPr>
      </w:pPr>
    </w:p>
    <w:p>
      <w:pPr>
        <w:pStyle w:val="BodyText"/>
        <w:spacing w:before="160"/>
        <w:rPr>
          <w:sz w:val="22"/>
        </w:rPr>
      </w:pPr>
    </w:p>
    <w:p>
      <w:pPr>
        <w:pStyle w:val="Heading2"/>
        <w:spacing w:line="252" w:lineRule="exact"/>
        <w:ind w:left="3451" w:right="0"/>
      </w:pPr>
      <w:r>
        <w:rPr/>
        <w:t>Capitulo</w:t>
      </w:r>
      <w:r>
        <w:rPr>
          <w:spacing w:val="-5"/>
        </w:rPr>
        <w:t> </w:t>
      </w:r>
      <w:r>
        <w:rPr/>
        <w:t>XIII</w:t>
      </w:r>
      <w:r>
        <w:rPr>
          <w:spacing w:val="-4"/>
        </w:rPr>
        <w:t> </w:t>
      </w:r>
      <w:r>
        <w:rPr>
          <w:spacing w:val="-5"/>
        </w:rPr>
        <w:t>Bis</w:t>
      </w:r>
    </w:p>
    <w:p>
      <w:pPr>
        <w:spacing w:line="252" w:lineRule="exact" w:before="0"/>
        <w:ind w:left="3452" w:right="0" w:firstLine="0"/>
        <w:jc w:val="center"/>
        <w:rPr>
          <w:rFonts w:ascii="Arial"/>
          <w:b/>
          <w:sz w:val="22"/>
        </w:rPr>
      </w:pPr>
      <w:r>
        <w:rPr>
          <w:rFonts w:ascii="Arial"/>
          <w:b/>
          <w:sz w:val="22"/>
        </w:rPr>
        <w:t>De</w:t>
      </w:r>
      <w:r>
        <w:rPr>
          <w:rFonts w:ascii="Arial"/>
          <w:b/>
          <w:spacing w:val="-5"/>
          <w:sz w:val="22"/>
        </w:rPr>
        <w:t> </w:t>
      </w:r>
      <w:r>
        <w:rPr>
          <w:rFonts w:ascii="Arial"/>
          <w:b/>
          <w:sz w:val="22"/>
        </w:rPr>
        <w:t>Los</w:t>
      </w:r>
      <w:r>
        <w:rPr>
          <w:rFonts w:ascii="Arial"/>
          <w:b/>
          <w:spacing w:val="-5"/>
          <w:sz w:val="22"/>
        </w:rPr>
        <w:t> </w:t>
      </w:r>
      <w:r>
        <w:rPr>
          <w:rFonts w:ascii="Arial"/>
          <w:b/>
          <w:sz w:val="22"/>
        </w:rPr>
        <w:t>Trabajadores</w:t>
      </w:r>
      <w:r>
        <w:rPr>
          <w:rFonts w:ascii="Arial"/>
          <w:b/>
          <w:spacing w:val="-5"/>
          <w:sz w:val="22"/>
        </w:rPr>
        <w:t> </w:t>
      </w:r>
      <w:r>
        <w:rPr>
          <w:rFonts w:ascii="Arial"/>
          <w:b/>
          <w:sz w:val="22"/>
        </w:rPr>
        <w:t>en</w:t>
      </w:r>
      <w:r>
        <w:rPr>
          <w:rFonts w:ascii="Arial"/>
          <w:b/>
          <w:spacing w:val="-5"/>
          <w:sz w:val="22"/>
        </w:rPr>
        <w:t> </w:t>
      </w:r>
      <w:r>
        <w:rPr>
          <w:rFonts w:ascii="Arial"/>
          <w:b/>
          <w:spacing w:val="-4"/>
          <w:sz w:val="22"/>
        </w:rPr>
        <w:t>Minas</w:t>
      </w:r>
    </w:p>
    <w:p>
      <w:pPr>
        <w:spacing w:before="0"/>
        <w:ind w:left="675"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0"/>
        <w:ind w:left="596"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i/>
          <w:sz w:val="16"/>
        </w:rPr>
        <w:sectPr>
          <w:type w:val="continuous"/>
          <w:pgSz w:w="12240" w:h="15840"/>
          <w:pgMar w:header="724" w:footer="712" w:top="1880" w:bottom="900" w:left="1080" w:right="1080"/>
          <w:cols w:num="2" w:equalWidth="0">
            <w:col w:w="6632" w:space="40"/>
            <w:col w:w="3408"/>
          </w:cols>
        </w:sectPr>
      </w:pPr>
    </w:p>
    <w:p>
      <w:pPr>
        <w:pStyle w:val="BodyText"/>
        <w:spacing w:before="1"/>
        <w:rPr>
          <w:rFonts w:ascii="Times New Roman"/>
          <w:i/>
        </w:rPr>
      </w:pPr>
    </w:p>
    <w:p>
      <w:pPr>
        <w:pStyle w:val="BodyText"/>
        <w:ind w:left="338" w:right="338" w:firstLine="288"/>
        <w:jc w:val="both"/>
      </w:pPr>
      <w:bookmarkStart w:name="Artículo_343_A" w:id="435"/>
      <w:bookmarkEnd w:id="435"/>
      <w:r>
        <w:rPr/>
      </w:r>
      <w:r>
        <w:rPr>
          <w:rFonts w:ascii="Arial" w:hAnsi="Arial"/>
          <w:b/>
        </w:rPr>
        <w:t>Artículo 343-A. </w:t>
      </w:r>
      <w:r>
        <w:rPr/>
        <w:t>Las disposiciones de este capítulo son aplicables en todas las minas de carbón de la República Mexicana, y a todos sus desarrollos mineros en cualquiera de sus etapas mineras en que se encuentre, ya sea, prospección, preparación, exploración y explotación, independientemente del tipo de exploración y explotación de que se trate, ya sean, minas subterráneas, minas de arrastre, tajos a cielo abierto, tiros inclinados y verticales, así como la extracción en cualquiera de sus modalidades, llevada a cabo en forma artesanal, mismas que, para los efectos de</w:t>
      </w:r>
      <w:r>
        <w:rPr>
          <w:spacing w:val="-1"/>
        </w:rPr>
        <w:t> </w:t>
      </w:r>
      <w:r>
        <w:rPr/>
        <w:t>esta Ley, son consideradas centros de trabajo.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6"/>
        <w:rPr>
          <w:rFonts w:ascii="Times New Roman"/>
          <w:i/>
          <w:sz w:val="16"/>
        </w:rPr>
      </w:pPr>
    </w:p>
    <w:p>
      <w:pPr>
        <w:pStyle w:val="BodyText"/>
        <w:spacing w:line="242" w:lineRule="auto"/>
        <w:ind w:left="338" w:right="345" w:firstLine="288"/>
        <w:jc w:val="both"/>
      </w:pPr>
      <w:bookmarkStart w:name="Artículo_343_B" w:id="436"/>
      <w:bookmarkEnd w:id="436"/>
      <w:r>
        <w:rPr/>
      </w:r>
      <w:r>
        <w:rPr>
          <w:rFonts w:ascii="Arial" w:hAnsi="Arial"/>
          <w:b/>
        </w:rPr>
        <w:t>Artículo 343-B. </w:t>
      </w:r>
      <w:r>
        <w:rPr/>
        <w:t>Todo centro de trabajo debe contar con un sistema de gestión de seguridad y salud en el trabajo y con un responsable de su funcionamiento, designado por el patrón, en los términos que establezca la normatividad aplicable.</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338" w:firstLine="288"/>
      </w:pPr>
      <w:bookmarkStart w:name="Artículo_343_C" w:id="437"/>
      <w:bookmarkEnd w:id="437"/>
      <w:r>
        <w:rPr/>
      </w:r>
      <w:r>
        <w:rPr>
          <w:rFonts w:ascii="Arial" w:hAnsi="Arial"/>
          <w:b/>
        </w:rPr>
        <w:t>Artículo 343-C. </w:t>
      </w:r>
      <w:r>
        <w:rPr/>
        <w:t>Independientemente de las obligaciones que</w:t>
      </w:r>
      <w:r>
        <w:rPr>
          <w:spacing w:val="25"/>
        </w:rPr>
        <w:t> </w:t>
      </w:r>
      <w:r>
        <w:rPr/>
        <w:t>la presente Ley u otras disposiciones</w:t>
      </w:r>
      <w:r>
        <w:rPr>
          <w:spacing w:val="80"/>
        </w:rPr>
        <w:t> </w:t>
      </w:r>
      <w:r>
        <w:rPr/>
        <w:t>normativas le impongan, el patrón está obligado a:</w:t>
      </w:r>
    </w:p>
    <w:p>
      <w:pPr>
        <w:pStyle w:val="ListParagraph"/>
        <w:numPr>
          <w:ilvl w:val="0"/>
          <w:numId w:val="98"/>
        </w:numPr>
        <w:tabs>
          <w:tab w:pos="1193" w:val="left" w:leader="none"/>
          <w:tab w:pos="1195" w:val="left" w:leader="none"/>
        </w:tabs>
        <w:spacing w:line="240" w:lineRule="auto" w:before="227" w:after="0"/>
        <w:ind w:left="1195" w:right="342" w:hanging="569"/>
        <w:jc w:val="both"/>
        <w:rPr>
          <w:sz w:val="20"/>
        </w:rPr>
      </w:pPr>
      <w:r>
        <w:rPr>
          <w:sz w:val="20"/>
        </w:rPr>
        <w:t>Facilitar y mantener en condiciones higiénicas instalaciones para que sus trabajadores puedan asearse y comer;</w:t>
      </w:r>
    </w:p>
    <w:p>
      <w:pPr>
        <w:pStyle w:val="ListParagraph"/>
        <w:numPr>
          <w:ilvl w:val="0"/>
          <w:numId w:val="98"/>
        </w:numPr>
        <w:tabs>
          <w:tab w:pos="1192" w:val="left" w:leader="none"/>
          <w:tab w:pos="1195" w:val="left" w:leader="none"/>
        </w:tabs>
        <w:spacing w:line="240" w:lineRule="auto" w:before="229" w:after="0"/>
        <w:ind w:left="1195" w:right="343" w:hanging="569"/>
        <w:jc w:val="both"/>
        <w:rPr>
          <w:sz w:val="20"/>
        </w:rPr>
      </w:pPr>
      <w:r>
        <w:rPr>
          <w:sz w:val="20"/>
        </w:rPr>
        <w:t>Contar, antes y durante la exploración y explotación, con los planos, estudios y análisis necesarios para que las actividades se desarrollen en condiciones de seguridad, los que deberán actualizarse cada vez que exista una modificación relevante en los procesos de</w:t>
      </w:r>
      <w:r>
        <w:rPr>
          <w:spacing w:val="40"/>
          <w:sz w:val="20"/>
        </w:rPr>
        <w:t> </w:t>
      </w:r>
      <w:r>
        <w:rPr>
          <w:spacing w:val="-2"/>
          <w:sz w:val="20"/>
        </w:rPr>
        <w:t>trabajo;</w:t>
      </w:r>
    </w:p>
    <w:p>
      <w:pPr>
        <w:pStyle w:val="BodyText"/>
      </w:pPr>
    </w:p>
    <w:p>
      <w:pPr>
        <w:pStyle w:val="ListParagraph"/>
        <w:numPr>
          <w:ilvl w:val="0"/>
          <w:numId w:val="98"/>
        </w:numPr>
        <w:tabs>
          <w:tab w:pos="1191" w:val="left" w:leader="none"/>
          <w:tab w:pos="1195" w:val="left" w:leader="none"/>
        </w:tabs>
        <w:spacing w:line="242" w:lineRule="auto" w:before="0" w:after="0"/>
        <w:ind w:left="1195" w:right="331" w:hanging="569"/>
        <w:jc w:val="both"/>
        <w:rPr>
          <w:sz w:val="20"/>
        </w:rPr>
      </w:pPr>
      <w:r>
        <w:rPr>
          <w:sz w:val="20"/>
        </w:rPr>
        <w:t>Informar a los trabajadores de manera clara y comprensible los riesgos asociados a su</w:t>
      </w:r>
      <w:r>
        <w:rPr>
          <w:spacing w:val="40"/>
          <w:sz w:val="20"/>
        </w:rPr>
        <w:t> </w:t>
      </w:r>
      <w:r>
        <w:rPr>
          <w:sz w:val="20"/>
        </w:rPr>
        <w:t>actividad, los peligros que éstos implican para su salud y las medidas de prevención y protección aplicables;</w:t>
      </w:r>
    </w:p>
    <w:p>
      <w:pPr>
        <w:pStyle w:val="ListParagraph"/>
        <w:numPr>
          <w:ilvl w:val="0"/>
          <w:numId w:val="98"/>
        </w:numPr>
        <w:tabs>
          <w:tab w:pos="1195" w:val="left" w:leader="none"/>
        </w:tabs>
        <w:spacing w:line="242" w:lineRule="auto" w:before="222" w:after="0"/>
        <w:ind w:left="1195" w:right="347" w:hanging="569"/>
        <w:jc w:val="both"/>
        <w:rPr>
          <w:sz w:val="20"/>
        </w:rPr>
      </w:pPr>
      <w:r>
        <w:rPr>
          <w:sz w:val="20"/>
        </w:rPr>
        <w:t>Proporcionar el</w:t>
      </w:r>
      <w:r>
        <w:rPr>
          <w:spacing w:val="-1"/>
          <w:sz w:val="20"/>
        </w:rPr>
        <w:t> </w:t>
      </w:r>
      <w:r>
        <w:rPr>
          <w:sz w:val="20"/>
        </w:rPr>
        <w:t>equipo de protección</w:t>
      </w:r>
      <w:r>
        <w:rPr>
          <w:spacing w:val="-2"/>
          <w:sz w:val="20"/>
        </w:rPr>
        <w:t> </w:t>
      </w:r>
      <w:r>
        <w:rPr>
          <w:sz w:val="20"/>
        </w:rPr>
        <w:t>personal</w:t>
      </w:r>
      <w:r>
        <w:rPr>
          <w:spacing w:val="-3"/>
          <w:sz w:val="20"/>
        </w:rPr>
        <w:t> </w:t>
      </w:r>
      <w:r>
        <w:rPr>
          <w:sz w:val="20"/>
        </w:rPr>
        <w:t>necesario, a</w:t>
      </w:r>
      <w:r>
        <w:rPr>
          <w:spacing w:val="-2"/>
          <w:sz w:val="20"/>
        </w:rPr>
        <w:t> </w:t>
      </w:r>
      <w:r>
        <w:rPr>
          <w:sz w:val="20"/>
        </w:rPr>
        <w:t>fin de evitar</w:t>
      </w:r>
      <w:r>
        <w:rPr>
          <w:spacing w:val="-1"/>
          <w:sz w:val="20"/>
        </w:rPr>
        <w:t> </w:t>
      </w:r>
      <w:r>
        <w:rPr>
          <w:sz w:val="20"/>
        </w:rPr>
        <w:t>la</w:t>
      </w:r>
      <w:r>
        <w:rPr>
          <w:spacing w:val="-2"/>
          <w:sz w:val="20"/>
        </w:rPr>
        <w:t> </w:t>
      </w:r>
      <w:r>
        <w:rPr>
          <w:sz w:val="20"/>
        </w:rPr>
        <w:t>ocurrencia de</w:t>
      </w:r>
      <w:r>
        <w:rPr>
          <w:spacing w:val="-3"/>
          <w:sz w:val="20"/>
        </w:rPr>
        <w:t> </w:t>
      </w:r>
      <w:r>
        <w:rPr>
          <w:sz w:val="20"/>
        </w:rPr>
        <w:t>riesgos de trabajo y capacitar a los trabajadores respecto de su utilización y funcionamiento;</w:t>
      </w:r>
    </w:p>
    <w:p>
      <w:pPr>
        <w:pStyle w:val="ListParagraph"/>
        <w:numPr>
          <w:ilvl w:val="0"/>
          <w:numId w:val="98"/>
        </w:numPr>
        <w:tabs>
          <w:tab w:pos="1195" w:val="left" w:leader="none"/>
        </w:tabs>
        <w:spacing w:line="242" w:lineRule="auto" w:before="227" w:after="0"/>
        <w:ind w:left="1195" w:right="341" w:hanging="569"/>
        <w:jc w:val="both"/>
        <w:rPr>
          <w:sz w:val="20"/>
        </w:rPr>
      </w:pPr>
      <w:r>
        <w:rPr>
          <w:sz w:val="20"/>
        </w:rPr>
        <w:t>Contar con sistemas adecuados de ventilación y fortificación en todas las explotaciones subterráneas,</w:t>
      </w:r>
      <w:r>
        <w:rPr>
          <w:spacing w:val="-2"/>
          <w:sz w:val="20"/>
        </w:rPr>
        <w:t> </w:t>
      </w:r>
      <w:r>
        <w:rPr>
          <w:sz w:val="20"/>
        </w:rPr>
        <w:t>las que deberán</w:t>
      </w:r>
      <w:r>
        <w:rPr>
          <w:spacing w:val="-3"/>
          <w:sz w:val="20"/>
        </w:rPr>
        <w:t> </w:t>
      </w:r>
      <w:r>
        <w:rPr>
          <w:sz w:val="20"/>
        </w:rPr>
        <w:t>tener</w:t>
      </w:r>
      <w:r>
        <w:rPr>
          <w:spacing w:val="-1"/>
          <w:sz w:val="20"/>
        </w:rPr>
        <w:t> </w:t>
      </w:r>
      <w:r>
        <w:rPr>
          <w:sz w:val="20"/>
        </w:rPr>
        <w:t>dos vías</w:t>
      </w:r>
      <w:r>
        <w:rPr>
          <w:spacing w:val="-1"/>
          <w:sz w:val="20"/>
        </w:rPr>
        <w:t> </w:t>
      </w:r>
      <w:r>
        <w:rPr>
          <w:sz w:val="20"/>
        </w:rPr>
        <w:t>de</w:t>
      </w:r>
      <w:r>
        <w:rPr>
          <w:spacing w:val="-3"/>
          <w:sz w:val="20"/>
        </w:rPr>
        <w:t> </w:t>
      </w:r>
      <w:r>
        <w:rPr>
          <w:sz w:val="20"/>
        </w:rPr>
        <w:t>salida,</w:t>
      </w:r>
      <w:r>
        <w:rPr>
          <w:spacing w:val="-2"/>
          <w:sz w:val="20"/>
        </w:rPr>
        <w:t> </w:t>
      </w:r>
      <w:r>
        <w:rPr>
          <w:sz w:val="20"/>
        </w:rPr>
        <w:t>por lo</w:t>
      </w:r>
      <w:r>
        <w:rPr>
          <w:spacing w:val="-2"/>
          <w:sz w:val="20"/>
        </w:rPr>
        <w:t> </w:t>
      </w:r>
      <w:r>
        <w:rPr>
          <w:sz w:val="20"/>
        </w:rPr>
        <w:t>menos,</w:t>
      </w:r>
      <w:r>
        <w:rPr>
          <w:spacing w:val="-2"/>
          <w:sz w:val="20"/>
        </w:rPr>
        <w:t> </w:t>
      </w:r>
      <w:r>
        <w:rPr>
          <w:sz w:val="20"/>
        </w:rPr>
        <w:t>desde</w:t>
      </w:r>
      <w:r>
        <w:rPr>
          <w:spacing w:val="-3"/>
          <w:sz w:val="20"/>
        </w:rPr>
        <w:t> </w:t>
      </w:r>
      <w:r>
        <w:rPr>
          <w:sz w:val="20"/>
        </w:rPr>
        <w:t>cualquier</w:t>
      </w:r>
      <w:r>
        <w:rPr>
          <w:spacing w:val="-1"/>
          <w:sz w:val="20"/>
        </w:rPr>
        <w:t> </w:t>
      </w:r>
      <w:r>
        <w:rPr>
          <w:sz w:val="20"/>
        </w:rPr>
        <w:t>frente</w:t>
      </w:r>
      <w:r>
        <w:rPr>
          <w:spacing w:val="-2"/>
          <w:sz w:val="20"/>
        </w:rPr>
        <w:t> </w:t>
      </w:r>
      <w:r>
        <w:rPr>
          <w:sz w:val="20"/>
        </w:rPr>
        <w:t>de trabajo, comunicadas entre sí;</w:t>
      </w:r>
    </w:p>
    <w:p>
      <w:pPr>
        <w:pStyle w:val="ListParagraph"/>
        <w:spacing w:after="0" w:line="242" w:lineRule="auto"/>
        <w:jc w:val="both"/>
        <w:rPr>
          <w:sz w:val="20"/>
        </w:rPr>
        <w:sectPr>
          <w:type w:val="continuous"/>
          <w:pgSz w:w="12240" w:h="15840"/>
          <w:pgMar w:header="724" w:footer="712" w:top="1880" w:bottom="900" w:left="1080" w:right="1080"/>
        </w:sectPr>
      </w:pPr>
    </w:p>
    <w:p>
      <w:pPr>
        <w:pStyle w:val="BodyText"/>
        <w:spacing w:before="63"/>
      </w:pPr>
    </w:p>
    <w:p>
      <w:pPr>
        <w:pStyle w:val="ListParagraph"/>
        <w:numPr>
          <w:ilvl w:val="0"/>
          <w:numId w:val="98"/>
        </w:numPr>
        <w:tabs>
          <w:tab w:pos="1195" w:val="left" w:leader="none"/>
        </w:tabs>
        <w:spacing w:line="242" w:lineRule="auto" w:before="0" w:after="0"/>
        <w:ind w:left="1195" w:right="336" w:hanging="569"/>
        <w:jc w:val="both"/>
        <w:rPr>
          <w:sz w:val="20"/>
        </w:rPr>
      </w:pPr>
      <w:r>
        <w:rPr>
          <w:sz w:val="20"/>
        </w:rPr>
        <w:t>Establecer un sistema de supervisión y control adecuados en cada</w:t>
      </w:r>
      <w:r>
        <w:rPr>
          <w:spacing w:val="30"/>
          <w:sz w:val="20"/>
        </w:rPr>
        <w:t> </w:t>
      </w:r>
      <w:r>
        <w:rPr>
          <w:sz w:val="20"/>
        </w:rPr>
        <w:t>turno y frente de trabajo,</w:t>
      </w:r>
      <w:r>
        <w:rPr>
          <w:spacing w:val="40"/>
          <w:sz w:val="20"/>
        </w:rPr>
        <w:t> </w:t>
      </w:r>
      <w:r>
        <w:rPr>
          <w:sz w:val="20"/>
        </w:rPr>
        <w:t>que permitan garantizar que la explotación de la mina se efectúa en condiciones de seguridad;</w:t>
      </w:r>
    </w:p>
    <w:p>
      <w:pPr>
        <w:pStyle w:val="ListParagraph"/>
        <w:numPr>
          <w:ilvl w:val="0"/>
          <w:numId w:val="98"/>
        </w:numPr>
        <w:tabs>
          <w:tab w:pos="1193" w:val="left" w:leader="none"/>
          <w:tab w:pos="1195" w:val="left" w:leader="none"/>
        </w:tabs>
        <w:spacing w:line="242" w:lineRule="auto" w:before="227" w:after="0"/>
        <w:ind w:left="1195" w:right="343" w:hanging="569"/>
        <w:jc w:val="both"/>
        <w:rPr>
          <w:sz w:val="20"/>
        </w:rPr>
      </w:pPr>
      <w:r>
        <w:rPr>
          <w:sz w:val="20"/>
        </w:rPr>
        <w:t>Implementar un registro y sistema que permita conocer con precisión los nombres de todas las personas que se encuentran</w:t>
      </w:r>
      <w:r>
        <w:rPr>
          <w:spacing w:val="-1"/>
          <w:sz w:val="20"/>
        </w:rPr>
        <w:t> </w:t>
      </w:r>
      <w:r>
        <w:rPr>
          <w:sz w:val="20"/>
        </w:rPr>
        <w:t>en la mina,</w:t>
      </w:r>
      <w:r>
        <w:rPr>
          <w:spacing w:val="-1"/>
          <w:sz w:val="20"/>
        </w:rPr>
        <w:t> </w:t>
      </w:r>
      <w:r>
        <w:rPr>
          <w:sz w:val="20"/>
        </w:rPr>
        <w:t>así como</w:t>
      </w:r>
      <w:r>
        <w:rPr>
          <w:spacing w:val="-3"/>
          <w:sz w:val="20"/>
        </w:rPr>
        <w:t> </w:t>
      </w:r>
      <w:r>
        <w:rPr>
          <w:sz w:val="20"/>
        </w:rPr>
        <w:t>mantener un</w:t>
      </w:r>
      <w:r>
        <w:rPr>
          <w:spacing w:val="-1"/>
          <w:sz w:val="20"/>
        </w:rPr>
        <w:t> </w:t>
      </w:r>
      <w:r>
        <w:rPr>
          <w:sz w:val="20"/>
        </w:rPr>
        <w:t>control de</w:t>
      </w:r>
      <w:r>
        <w:rPr>
          <w:spacing w:val="-1"/>
          <w:sz w:val="20"/>
        </w:rPr>
        <w:t> </w:t>
      </w:r>
      <w:r>
        <w:rPr>
          <w:sz w:val="20"/>
        </w:rPr>
        <w:t>entradas y</w:t>
      </w:r>
      <w:r>
        <w:rPr>
          <w:spacing w:val="-4"/>
          <w:sz w:val="20"/>
        </w:rPr>
        <w:t> </w:t>
      </w:r>
      <w:r>
        <w:rPr>
          <w:sz w:val="20"/>
        </w:rPr>
        <w:t>salidas de </w:t>
      </w:r>
      <w:r>
        <w:rPr>
          <w:spacing w:val="-2"/>
          <w:sz w:val="20"/>
        </w:rPr>
        <w:t>ésta;</w:t>
      </w:r>
    </w:p>
    <w:p>
      <w:pPr>
        <w:pStyle w:val="ListParagraph"/>
        <w:numPr>
          <w:ilvl w:val="0"/>
          <w:numId w:val="98"/>
        </w:numPr>
        <w:tabs>
          <w:tab w:pos="1193" w:val="left" w:leader="none"/>
          <w:tab w:pos="1195" w:val="left" w:leader="none"/>
        </w:tabs>
        <w:spacing w:line="242" w:lineRule="auto" w:before="222" w:after="0"/>
        <w:ind w:left="1195" w:right="343" w:hanging="569"/>
        <w:jc w:val="both"/>
        <w:rPr>
          <w:sz w:val="20"/>
        </w:rPr>
      </w:pPr>
      <w:r>
        <w:rPr>
          <w:sz w:val="20"/>
        </w:rPr>
        <w:t>Suspender las actividades y disponer la evacuación de los trabajadores a un lugar seguro en caso de riesgo inminente para la seguridad y salud de los mismos; y</w:t>
      </w:r>
    </w:p>
    <w:p>
      <w:pPr>
        <w:pStyle w:val="ListParagraph"/>
        <w:numPr>
          <w:ilvl w:val="0"/>
          <w:numId w:val="98"/>
        </w:numPr>
        <w:tabs>
          <w:tab w:pos="1195" w:val="left" w:leader="none"/>
        </w:tabs>
        <w:spacing w:line="240" w:lineRule="auto" w:before="227" w:after="0"/>
        <w:ind w:left="1195" w:right="0" w:hanging="569"/>
        <w:jc w:val="left"/>
        <w:rPr>
          <w:sz w:val="20"/>
        </w:rPr>
      </w:pPr>
      <w:r>
        <w:rPr>
          <w:sz w:val="20"/>
        </w:rPr>
        <w:t>No</w:t>
      </w:r>
      <w:r>
        <w:rPr>
          <w:spacing w:val="-6"/>
          <w:sz w:val="20"/>
        </w:rPr>
        <w:t> </w:t>
      </w:r>
      <w:r>
        <w:rPr>
          <w:sz w:val="20"/>
        </w:rPr>
        <w:t>contratar</w:t>
      </w:r>
      <w:r>
        <w:rPr>
          <w:spacing w:val="-6"/>
          <w:sz w:val="20"/>
        </w:rPr>
        <w:t> </w:t>
      </w:r>
      <w:r>
        <w:rPr>
          <w:sz w:val="20"/>
        </w:rPr>
        <w:t>o</w:t>
      </w:r>
      <w:r>
        <w:rPr>
          <w:spacing w:val="-4"/>
          <w:sz w:val="20"/>
        </w:rPr>
        <w:t> </w:t>
      </w:r>
      <w:r>
        <w:rPr>
          <w:sz w:val="20"/>
        </w:rPr>
        <w:t>permitir</w:t>
      </w:r>
      <w:r>
        <w:rPr>
          <w:spacing w:val="-4"/>
          <w:sz w:val="20"/>
        </w:rPr>
        <w:t> </w:t>
      </w:r>
      <w:r>
        <w:rPr>
          <w:sz w:val="20"/>
        </w:rPr>
        <w:t>que</w:t>
      </w:r>
      <w:r>
        <w:rPr>
          <w:spacing w:val="-4"/>
          <w:sz w:val="20"/>
        </w:rPr>
        <w:t> </w:t>
      </w:r>
      <w:r>
        <w:rPr>
          <w:sz w:val="20"/>
        </w:rPr>
        <w:t>se</w:t>
      </w:r>
      <w:r>
        <w:rPr>
          <w:spacing w:val="-6"/>
          <w:sz w:val="20"/>
        </w:rPr>
        <w:t> </w:t>
      </w:r>
      <w:r>
        <w:rPr>
          <w:sz w:val="20"/>
        </w:rPr>
        <w:t>contrate</w:t>
      </w:r>
      <w:r>
        <w:rPr>
          <w:spacing w:val="-5"/>
          <w:sz w:val="20"/>
        </w:rPr>
        <w:t> </w:t>
      </w:r>
      <w:r>
        <w:rPr>
          <w:sz w:val="20"/>
        </w:rPr>
        <w:t>a</w:t>
      </w:r>
      <w:r>
        <w:rPr>
          <w:spacing w:val="-5"/>
          <w:sz w:val="20"/>
        </w:rPr>
        <w:t> </w:t>
      </w:r>
      <w:r>
        <w:rPr>
          <w:sz w:val="20"/>
        </w:rPr>
        <w:t>menores</w:t>
      </w:r>
      <w:r>
        <w:rPr>
          <w:spacing w:val="-4"/>
          <w:sz w:val="20"/>
        </w:rPr>
        <w:t> </w:t>
      </w:r>
      <w:r>
        <w:rPr>
          <w:sz w:val="20"/>
        </w:rPr>
        <w:t>de</w:t>
      </w:r>
      <w:r>
        <w:rPr>
          <w:spacing w:val="-5"/>
          <w:sz w:val="20"/>
        </w:rPr>
        <w:t> </w:t>
      </w:r>
      <w:r>
        <w:rPr>
          <w:sz w:val="20"/>
        </w:rPr>
        <w:t>18</w:t>
      </w:r>
      <w:r>
        <w:rPr>
          <w:spacing w:val="-6"/>
          <w:sz w:val="20"/>
        </w:rPr>
        <w:t> </w:t>
      </w:r>
      <w:r>
        <w:rPr>
          <w:spacing w:val="-2"/>
          <w:sz w:val="20"/>
        </w:rPr>
        <w:t>años.</w:t>
      </w:r>
    </w:p>
    <w:p>
      <w:pPr>
        <w:pStyle w:val="BodyText"/>
        <w:spacing w:before="1"/>
      </w:pPr>
    </w:p>
    <w:p>
      <w:pPr>
        <w:pStyle w:val="BodyText"/>
        <w:ind w:left="338" w:right="347" w:firstLine="288"/>
        <w:jc w:val="both"/>
      </w:pPr>
      <w:r>
        <w:rPr/>
        <w:t>Los operadores de las concesiones que amparen los lotes mineros, en los cuales se ubiquen los centros de trabajo a que se refiere este Capítulo, deberán cerciorarse de que el patrón cumpla con sus obligaciones. Los operadores de las concesiones mineras serán subsidiariamente responsables, en caso de que ocurra un suceso en donde uno o más trabajadores sufran incapacidad permanente parcial o</w:t>
      </w:r>
      <w:r>
        <w:rPr>
          <w:spacing w:val="40"/>
        </w:rPr>
        <w:t> </w:t>
      </w:r>
      <w:r>
        <w:rPr/>
        <w:t>total, o la muerte, derivada de dicho suceso.</w:t>
      </w:r>
    </w:p>
    <w:p>
      <w:pPr>
        <w:spacing w:line="181"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338" w:firstLine="288"/>
      </w:pPr>
      <w:bookmarkStart w:name="Artículo_343_D" w:id="438"/>
      <w:bookmarkEnd w:id="438"/>
      <w:r>
        <w:rPr/>
      </w:r>
      <w:r>
        <w:rPr>
          <w:rFonts w:ascii="Arial" w:hAnsi="Arial"/>
          <w:b/>
        </w:rPr>
        <w:t>Artículo</w:t>
      </w:r>
      <w:r>
        <w:rPr>
          <w:rFonts w:ascii="Arial" w:hAnsi="Arial"/>
          <w:b/>
          <w:spacing w:val="40"/>
        </w:rPr>
        <w:t> </w:t>
      </w:r>
      <w:r>
        <w:rPr>
          <w:rFonts w:ascii="Arial" w:hAnsi="Arial"/>
          <w:b/>
        </w:rPr>
        <w:t>343-D.</w:t>
      </w:r>
      <w:r>
        <w:rPr>
          <w:rFonts w:ascii="Arial" w:hAnsi="Arial"/>
          <w:b/>
          <w:spacing w:val="40"/>
        </w:rPr>
        <w:t> </w:t>
      </w:r>
      <w:r>
        <w:rPr/>
        <w:t>Los</w:t>
      </w:r>
      <w:r>
        <w:rPr>
          <w:spacing w:val="40"/>
        </w:rPr>
        <w:t> </w:t>
      </w:r>
      <w:r>
        <w:rPr/>
        <w:t>trabajadores</w:t>
      </w:r>
      <w:r>
        <w:rPr>
          <w:spacing w:val="40"/>
        </w:rPr>
        <w:t> </w:t>
      </w:r>
      <w:r>
        <w:rPr/>
        <w:t>podrán</w:t>
      </w:r>
      <w:r>
        <w:rPr>
          <w:spacing w:val="40"/>
        </w:rPr>
        <w:t> </w:t>
      </w:r>
      <w:r>
        <w:rPr/>
        <w:t>negarse</w:t>
      </w:r>
      <w:r>
        <w:rPr>
          <w:spacing w:val="40"/>
        </w:rPr>
        <w:t> </w:t>
      </w:r>
      <w:r>
        <w:rPr/>
        <w:t>a</w:t>
      </w:r>
      <w:r>
        <w:rPr>
          <w:spacing w:val="40"/>
        </w:rPr>
        <w:t> </w:t>
      </w:r>
      <w:r>
        <w:rPr/>
        <w:t>prestar</w:t>
      </w:r>
      <w:r>
        <w:rPr>
          <w:spacing w:val="40"/>
        </w:rPr>
        <w:t> </w:t>
      </w:r>
      <w:r>
        <w:rPr/>
        <w:t>sus</w:t>
      </w:r>
      <w:r>
        <w:rPr>
          <w:spacing w:val="40"/>
        </w:rPr>
        <w:t> </w:t>
      </w:r>
      <w:r>
        <w:rPr/>
        <w:t>servicios,</w:t>
      </w:r>
      <w:r>
        <w:rPr>
          <w:spacing w:val="40"/>
        </w:rPr>
        <w:t> </w:t>
      </w:r>
      <w:r>
        <w:rPr/>
        <w:t>siempre</w:t>
      </w:r>
      <w:r>
        <w:rPr>
          <w:spacing w:val="40"/>
        </w:rPr>
        <w:t> </w:t>
      </w:r>
      <w:r>
        <w:rPr/>
        <w:t>y</w:t>
      </w:r>
      <w:r>
        <w:rPr>
          <w:spacing w:val="40"/>
        </w:rPr>
        <w:t> </w:t>
      </w:r>
      <w:r>
        <w:rPr/>
        <w:t>cuando</w:t>
      </w:r>
      <w:r>
        <w:rPr>
          <w:spacing w:val="40"/>
        </w:rPr>
        <w:t> </w:t>
      </w:r>
      <w:r>
        <w:rPr/>
        <w:t>la Comisión Mixta de Seguridad e Higiene confirme que:</w:t>
      </w:r>
    </w:p>
    <w:p>
      <w:pPr>
        <w:pStyle w:val="ListParagraph"/>
        <w:numPr>
          <w:ilvl w:val="0"/>
          <w:numId w:val="99"/>
        </w:numPr>
        <w:tabs>
          <w:tab w:pos="1193" w:val="left" w:leader="none"/>
          <w:tab w:pos="1195" w:val="left" w:leader="none"/>
        </w:tabs>
        <w:spacing w:line="242" w:lineRule="auto" w:before="224" w:after="0"/>
        <w:ind w:left="1195" w:right="344" w:hanging="569"/>
        <w:jc w:val="both"/>
        <w:rPr>
          <w:sz w:val="20"/>
        </w:rPr>
      </w:pPr>
      <w:r>
        <w:rPr>
          <w:sz w:val="20"/>
        </w:rPr>
        <w:t>No cuenten con la debida capacitación y adiestramiento que les permita identificar los riesgos a los que están expuestos, la forma de evitar la exposición a los mismos y</w:t>
      </w:r>
      <w:r>
        <w:rPr>
          <w:spacing w:val="-2"/>
          <w:sz w:val="20"/>
        </w:rPr>
        <w:t> </w:t>
      </w:r>
      <w:r>
        <w:rPr>
          <w:sz w:val="20"/>
        </w:rPr>
        <w:t>realizar sus labores en condiciones de seguridad.</w:t>
      </w:r>
    </w:p>
    <w:p>
      <w:pPr>
        <w:pStyle w:val="ListParagraph"/>
        <w:numPr>
          <w:ilvl w:val="0"/>
          <w:numId w:val="99"/>
        </w:numPr>
        <w:tabs>
          <w:tab w:pos="1192" w:val="left" w:leader="none"/>
          <w:tab w:pos="1195" w:val="left" w:leader="none"/>
        </w:tabs>
        <w:spacing w:line="242" w:lineRule="auto" w:before="225" w:after="0"/>
        <w:ind w:left="1195" w:right="345" w:hanging="569"/>
        <w:jc w:val="both"/>
        <w:rPr>
          <w:sz w:val="20"/>
        </w:rPr>
      </w:pPr>
      <w:r>
        <w:rPr>
          <w:sz w:val="20"/>
        </w:rPr>
        <w:t>El patrón no les entregue el equipo de protección personal o no los capacite para su correcta </w:t>
      </w:r>
      <w:r>
        <w:rPr>
          <w:spacing w:val="-2"/>
          <w:sz w:val="20"/>
        </w:rPr>
        <w:t>utilización.</w:t>
      </w:r>
    </w:p>
    <w:p>
      <w:pPr>
        <w:pStyle w:val="ListParagraph"/>
        <w:numPr>
          <w:ilvl w:val="0"/>
          <w:numId w:val="99"/>
        </w:numPr>
        <w:tabs>
          <w:tab w:pos="1191" w:val="left" w:leader="none"/>
          <w:tab w:pos="1195" w:val="left" w:leader="none"/>
        </w:tabs>
        <w:spacing w:line="242" w:lineRule="auto" w:before="225" w:after="0"/>
        <w:ind w:left="1195" w:right="342" w:hanging="569"/>
        <w:jc w:val="both"/>
        <w:rPr>
          <w:sz w:val="20"/>
        </w:rPr>
      </w:pPr>
      <w:r>
        <w:rPr>
          <w:sz w:val="20"/>
        </w:rPr>
        <w:t>Identifiquen situaciones de riesgo inminente que puedan poner en peligro su vida, integridad física o salud o las de sus compañeros de trabajo.</w:t>
      </w:r>
    </w:p>
    <w:p>
      <w:pPr>
        <w:pStyle w:val="BodyText"/>
        <w:spacing w:before="229"/>
        <w:ind w:left="1195" w:right="338"/>
        <w:jc w:val="both"/>
      </w:pPr>
      <w:r>
        <w:rPr/>
        <w:t>Cuando los trabajadores tengan conocimiento de situaciones de riesgo inminente, deberán retirarse del lugar de trabajo expuesto a ese riesgo, haciendo del conocimiento de esta circunstancia</w:t>
      </w:r>
      <w:r>
        <w:rPr>
          <w:spacing w:val="-2"/>
        </w:rPr>
        <w:t> </w:t>
      </w:r>
      <w:r>
        <w:rPr/>
        <w:t>al</w:t>
      </w:r>
      <w:r>
        <w:rPr>
          <w:spacing w:val="-3"/>
        </w:rPr>
        <w:t> </w:t>
      </w:r>
      <w:r>
        <w:rPr/>
        <w:t>patrón,</w:t>
      </w:r>
      <w:r>
        <w:rPr>
          <w:spacing w:val="-2"/>
        </w:rPr>
        <w:t> </w:t>
      </w:r>
      <w:r>
        <w:rPr/>
        <w:t>a</w:t>
      </w:r>
      <w:r>
        <w:rPr>
          <w:spacing w:val="-2"/>
        </w:rPr>
        <w:t> </w:t>
      </w:r>
      <w:r>
        <w:rPr/>
        <w:t>cualquiera</w:t>
      </w:r>
      <w:r>
        <w:rPr>
          <w:spacing w:val="-2"/>
        </w:rPr>
        <w:t> </w:t>
      </w:r>
      <w:r>
        <w:rPr/>
        <w:t>de los</w:t>
      </w:r>
      <w:r>
        <w:rPr>
          <w:spacing w:val="-1"/>
        </w:rPr>
        <w:t> </w:t>
      </w:r>
      <w:r>
        <w:rPr/>
        <w:t>integrantes</w:t>
      </w:r>
      <w:r>
        <w:rPr>
          <w:spacing w:val="-1"/>
        </w:rPr>
        <w:t> </w:t>
      </w:r>
      <w:r>
        <w:rPr/>
        <w:t>de</w:t>
      </w:r>
      <w:r>
        <w:rPr>
          <w:spacing w:val="-3"/>
        </w:rPr>
        <w:t> </w:t>
      </w:r>
      <w:r>
        <w:rPr/>
        <w:t>la</w:t>
      </w:r>
      <w:r>
        <w:rPr>
          <w:spacing w:val="-2"/>
        </w:rPr>
        <w:t> </w:t>
      </w:r>
      <w:r>
        <w:rPr/>
        <w:t>Comisión</w:t>
      </w:r>
      <w:r>
        <w:rPr>
          <w:spacing w:val="-3"/>
        </w:rPr>
        <w:t> </w:t>
      </w:r>
      <w:r>
        <w:rPr/>
        <w:t>de Seguridad</w:t>
      </w:r>
      <w:r>
        <w:rPr>
          <w:spacing w:val="-2"/>
        </w:rPr>
        <w:t> </w:t>
      </w:r>
      <w:r>
        <w:rPr/>
        <w:t>e</w:t>
      </w:r>
      <w:r>
        <w:rPr>
          <w:spacing w:val="-2"/>
        </w:rPr>
        <w:t> </w:t>
      </w:r>
      <w:r>
        <w:rPr/>
        <w:t>Higiene o a la Inspección del Trabajo.</w:t>
      </w:r>
    </w:p>
    <w:p>
      <w:pPr>
        <w:pStyle w:val="BodyText"/>
        <w:spacing w:before="229"/>
        <w:ind w:left="1195" w:right="336"/>
        <w:jc w:val="both"/>
      </w:pPr>
      <w:r>
        <w:rPr/>
        <w:t>Enterada la Inspección del Trabajo,</w:t>
      </w:r>
      <w:r>
        <w:rPr>
          <w:spacing w:val="-1"/>
        </w:rPr>
        <w:t> </w:t>
      </w:r>
      <w:r>
        <w:rPr/>
        <w:t>por cualquier medio</w:t>
      </w:r>
      <w:r>
        <w:rPr>
          <w:spacing w:val="-1"/>
        </w:rPr>
        <w:t> </w:t>
      </w:r>
      <w:r>
        <w:rPr/>
        <w:t>o</w:t>
      </w:r>
      <w:r>
        <w:rPr>
          <w:spacing w:val="-1"/>
        </w:rPr>
        <w:t> </w:t>
      </w:r>
      <w:r>
        <w:rPr/>
        <w:t>forma,</w:t>
      </w:r>
      <w:r>
        <w:rPr>
          <w:spacing w:val="-1"/>
        </w:rPr>
        <w:t> </w:t>
      </w:r>
      <w:r>
        <w:rPr/>
        <w:t>de</w:t>
      </w:r>
      <w:r>
        <w:rPr>
          <w:spacing w:val="-2"/>
        </w:rPr>
        <w:t> </w:t>
      </w:r>
      <w:r>
        <w:rPr/>
        <w:t>que existe una</w:t>
      </w:r>
      <w:r>
        <w:rPr>
          <w:spacing w:val="-1"/>
        </w:rPr>
        <w:t> </w:t>
      </w:r>
      <w:r>
        <w:rPr/>
        <w:t>situación</w:t>
      </w:r>
      <w:r>
        <w:rPr>
          <w:spacing w:val="-1"/>
        </w:rPr>
        <w:t> </w:t>
      </w:r>
      <w:r>
        <w:rPr/>
        <w:t>de riesgo inminente, deberá constatar la existencia de dicho riesgo, a través de los Inspectores del Trabajo que comisione para tal efecto, y de manera inmediata, ordenar las medidas correctivas o preventivas en materia de seguridad e higiene con la finalidad de salvaguardar la vida, la integridad física o la salud de los trabajadores. Dichas medidas podrán consistir en la suspensión total o parcial de las actividades de la mina e inclusive en la restricción de acceso</w:t>
      </w:r>
      <w:r>
        <w:rPr>
          <w:spacing w:val="40"/>
        </w:rPr>
        <w:t> </w:t>
      </w:r>
      <w:r>
        <w:rPr/>
        <w:t>de los trabajadores al centro de trabajo hasta en tanto no se adopten las medidas de seguridad necesarias para inhibir la ocurrencia de un siniestro.</w:t>
      </w:r>
    </w:p>
    <w:p>
      <w:pPr>
        <w:pStyle w:val="BodyText"/>
      </w:pPr>
    </w:p>
    <w:p>
      <w:pPr>
        <w:pStyle w:val="BodyText"/>
        <w:ind w:left="1195" w:right="335"/>
        <w:jc w:val="both"/>
      </w:pPr>
      <w:r>
        <w:rPr/>
        <w:t>En</w:t>
      </w:r>
      <w:r>
        <w:rPr>
          <w:spacing w:val="-1"/>
        </w:rPr>
        <w:t> </w:t>
      </w:r>
      <w:r>
        <w:rPr/>
        <w:t>caso</w:t>
      </w:r>
      <w:r>
        <w:rPr>
          <w:spacing w:val="-1"/>
        </w:rPr>
        <w:t> </w:t>
      </w:r>
      <w:r>
        <w:rPr/>
        <w:t>de</w:t>
      </w:r>
      <w:r>
        <w:rPr>
          <w:spacing w:val="-1"/>
        </w:rPr>
        <w:t> </w:t>
      </w:r>
      <w:r>
        <w:rPr/>
        <w:t>que</w:t>
      </w:r>
      <w:r>
        <w:rPr>
          <w:spacing w:val="-1"/>
        </w:rPr>
        <w:t> </w:t>
      </w:r>
      <w:r>
        <w:rPr/>
        <w:t>un</w:t>
      </w:r>
      <w:r>
        <w:rPr>
          <w:spacing w:val="-1"/>
        </w:rPr>
        <w:t> </w:t>
      </w:r>
      <w:r>
        <w:rPr/>
        <w:t>patrón</w:t>
      </w:r>
      <w:r>
        <w:rPr>
          <w:spacing w:val="-1"/>
        </w:rPr>
        <w:t> </w:t>
      </w:r>
      <w:r>
        <w:rPr/>
        <w:t>se</w:t>
      </w:r>
      <w:r>
        <w:rPr>
          <w:spacing w:val="-3"/>
        </w:rPr>
        <w:t> </w:t>
      </w:r>
      <w:r>
        <w:rPr/>
        <w:t>niegue</w:t>
      </w:r>
      <w:r>
        <w:rPr>
          <w:spacing w:val="-1"/>
        </w:rPr>
        <w:t> </w:t>
      </w:r>
      <w:r>
        <w:rPr/>
        <w:t>a</w:t>
      </w:r>
      <w:r>
        <w:rPr>
          <w:spacing w:val="-1"/>
        </w:rPr>
        <w:t> </w:t>
      </w:r>
      <w:r>
        <w:rPr/>
        <w:t>recibir a</w:t>
      </w:r>
      <w:r>
        <w:rPr>
          <w:spacing w:val="-1"/>
        </w:rPr>
        <w:t> </w:t>
      </w:r>
      <w:r>
        <w:rPr/>
        <w:t>la</w:t>
      </w:r>
      <w:r>
        <w:rPr>
          <w:spacing w:val="-1"/>
        </w:rPr>
        <w:t> </w:t>
      </w:r>
      <w:r>
        <w:rPr/>
        <w:t>autoridad</w:t>
      </w:r>
      <w:r>
        <w:rPr>
          <w:spacing w:val="-1"/>
        </w:rPr>
        <w:t> </w:t>
      </w:r>
      <w:r>
        <w:rPr/>
        <w:t>laboral,</w:t>
      </w:r>
      <w:r>
        <w:rPr>
          <w:spacing w:val="-1"/>
        </w:rPr>
        <w:t> </w:t>
      </w:r>
      <w:r>
        <w:rPr/>
        <w:t>ésta</w:t>
      </w:r>
      <w:r>
        <w:rPr>
          <w:spacing w:val="-1"/>
        </w:rPr>
        <w:t> </w:t>
      </w:r>
      <w:r>
        <w:rPr/>
        <w:t>podrá solicitar</w:t>
      </w:r>
      <w:r>
        <w:rPr>
          <w:spacing w:val="-3"/>
        </w:rPr>
        <w:t> </w:t>
      </w:r>
      <w:r>
        <w:rPr/>
        <w:t>el</w:t>
      </w:r>
      <w:r>
        <w:rPr>
          <w:spacing w:val="-2"/>
        </w:rPr>
        <w:t> </w:t>
      </w:r>
      <w:r>
        <w:rPr/>
        <w:t>auxilio de la fuerza pública, Federal, Estatal o Municipal, según sea el caso, para ingresar al centro de trabajo y</w:t>
      </w:r>
      <w:r>
        <w:rPr>
          <w:spacing w:val="-4"/>
        </w:rPr>
        <w:t> </w:t>
      </w:r>
      <w:r>
        <w:rPr/>
        <w:t>cumplir con</w:t>
      </w:r>
      <w:r>
        <w:rPr>
          <w:spacing w:val="-2"/>
        </w:rPr>
        <w:t> </w:t>
      </w:r>
      <w:r>
        <w:rPr/>
        <w:t>sus funciones de vigilancia</w:t>
      </w:r>
      <w:r>
        <w:rPr>
          <w:spacing w:val="-1"/>
        </w:rPr>
        <w:t> </w:t>
      </w:r>
      <w:r>
        <w:rPr/>
        <w:t>del</w:t>
      </w:r>
      <w:r>
        <w:rPr>
          <w:spacing w:val="-2"/>
        </w:rPr>
        <w:t> </w:t>
      </w:r>
      <w:r>
        <w:rPr/>
        <w:t>cumplimiento</w:t>
      </w:r>
      <w:r>
        <w:rPr>
          <w:spacing w:val="-1"/>
        </w:rPr>
        <w:t> </w:t>
      </w:r>
      <w:r>
        <w:rPr/>
        <w:t>de</w:t>
      </w:r>
      <w:r>
        <w:rPr>
          <w:spacing w:val="-1"/>
        </w:rPr>
        <w:t> </w:t>
      </w:r>
      <w:r>
        <w:rPr/>
        <w:t>la</w:t>
      </w:r>
      <w:r>
        <w:rPr>
          <w:spacing w:val="-1"/>
        </w:rPr>
        <w:t> </w:t>
      </w:r>
      <w:r>
        <w:rPr/>
        <w:t>normatividad</w:t>
      </w:r>
      <w:r>
        <w:rPr>
          <w:spacing w:val="-2"/>
        </w:rPr>
        <w:t> </w:t>
      </w:r>
      <w:r>
        <w:rPr/>
        <w:t>laboral. La Inspección del Trabajo deberá notificar esta circunstancia a la autoridad minera para que ésta proceda a la suspensión de obras y trabajos mineros en los términos de la Ley de la materia.</w:t>
      </w:r>
    </w:p>
    <w:p>
      <w:pPr>
        <w:spacing w:line="181"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line="181" w:lineRule="exact"/>
        <w:jc w:val="lef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BodyText"/>
        <w:spacing w:line="242" w:lineRule="auto"/>
        <w:ind w:left="338" w:right="344" w:firstLine="288"/>
        <w:jc w:val="both"/>
      </w:pPr>
      <w:bookmarkStart w:name="Artículo_343_E" w:id="439"/>
      <w:bookmarkEnd w:id="439"/>
      <w:r>
        <w:rPr/>
      </w:r>
      <w:r>
        <w:rPr>
          <w:rFonts w:ascii="Arial" w:hAnsi="Arial"/>
          <w:b/>
        </w:rPr>
        <w:t>Artículo 343-E. </w:t>
      </w:r>
      <w:r>
        <w:rPr/>
        <w:t>A los responsables y encargados directos de la operación y supervisión de los trabajos y desarrollos mineros, que dolosamente o negligentemente omitan implementar las medidas de seguridad previstas en la normatividad, y que hayan sido previamente identificados por escrito en dictamen fundado y motivado de la autoridad competente, se les aplicarán las penas siguientes:</w:t>
      </w:r>
    </w:p>
    <w:p>
      <w:pPr>
        <w:pStyle w:val="ListParagraph"/>
        <w:numPr>
          <w:ilvl w:val="0"/>
          <w:numId w:val="100"/>
        </w:numPr>
        <w:tabs>
          <w:tab w:pos="1193" w:val="left" w:leader="none"/>
          <w:tab w:pos="1195" w:val="left" w:leader="none"/>
        </w:tabs>
        <w:spacing w:line="240" w:lineRule="auto" w:before="223" w:after="0"/>
        <w:ind w:left="1195" w:right="340" w:hanging="569"/>
        <w:jc w:val="both"/>
        <w:rPr>
          <w:sz w:val="20"/>
        </w:rPr>
      </w:pPr>
      <w:r>
        <w:rPr>
          <w:sz w:val="20"/>
        </w:rPr>
        <w:t>Multa de hasta 2,000 veces la Unidad de Medida y Actualización, cuando por su omisión se produzca un riesgo de trabajo, que genere a uno o varios trabajadores una incapacidad permanente parcial;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00"/>
        </w:numPr>
        <w:tabs>
          <w:tab w:pos="1192" w:val="left" w:leader="none"/>
          <w:tab w:pos="1195" w:val="left" w:leader="none"/>
        </w:tabs>
        <w:spacing w:line="240" w:lineRule="auto" w:before="0" w:after="0"/>
        <w:ind w:left="1195" w:right="340" w:hanging="569"/>
        <w:jc w:val="both"/>
        <w:rPr>
          <w:sz w:val="20"/>
        </w:rPr>
      </w:pPr>
      <w:r>
        <w:rPr>
          <w:sz w:val="20"/>
        </w:rPr>
        <w:t>Multa de hasta 3,500 veces la Unidad de Medida y Actualización, cuando por su omisión se produzca un riesgo de trabajo, que genere a uno o varios trabajadores una incapacidad permanente total, y</w:t>
      </w:r>
    </w:p>
    <w:p>
      <w:pPr>
        <w:spacing w:line="184"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00"/>
        </w:numPr>
        <w:tabs>
          <w:tab w:pos="1195" w:val="left" w:leader="none"/>
        </w:tabs>
        <w:spacing w:line="242" w:lineRule="auto" w:before="0" w:after="0"/>
        <w:ind w:left="1195" w:right="340" w:hanging="569"/>
        <w:jc w:val="left"/>
        <w:rPr>
          <w:sz w:val="20"/>
        </w:rPr>
      </w:pPr>
      <w:r>
        <w:rPr>
          <w:sz w:val="20"/>
        </w:rPr>
        <w:t>Multa</w:t>
      </w:r>
      <w:r>
        <w:rPr>
          <w:spacing w:val="25"/>
          <w:sz w:val="20"/>
        </w:rPr>
        <w:t> </w:t>
      </w:r>
      <w:r>
        <w:rPr>
          <w:sz w:val="20"/>
        </w:rPr>
        <w:t>de</w:t>
      </w:r>
      <w:r>
        <w:rPr>
          <w:spacing w:val="25"/>
          <w:sz w:val="20"/>
        </w:rPr>
        <w:t> </w:t>
      </w:r>
      <w:r>
        <w:rPr>
          <w:sz w:val="20"/>
        </w:rPr>
        <w:t>hasta</w:t>
      </w:r>
      <w:r>
        <w:rPr>
          <w:spacing w:val="25"/>
          <w:sz w:val="20"/>
        </w:rPr>
        <w:t> </w:t>
      </w:r>
      <w:r>
        <w:rPr>
          <w:sz w:val="20"/>
        </w:rPr>
        <w:t>5,000</w:t>
      </w:r>
      <w:r>
        <w:rPr>
          <w:spacing w:val="26"/>
          <w:sz w:val="20"/>
        </w:rPr>
        <w:t> </w:t>
      </w:r>
      <w:r>
        <w:rPr>
          <w:sz w:val="20"/>
        </w:rPr>
        <w:t>veces</w:t>
      </w:r>
      <w:r>
        <w:rPr>
          <w:spacing w:val="26"/>
          <w:sz w:val="20"/>
        </w:rPr>
        <w:t> </w:t>
      </w:r>
      <w:r>
        <w:rPr>
          <w:sz w:val="20"/>
        </w:rPr>
        <w:t>la</w:t>
      </w:r>
      <w:r>
        <w:rPr>
          <w:spacing w:val="25"/>
          <w:sz w:val="20"/>
        </w:rPr>
        <w:t> </w:t>
      </w:r>
      <w:r>
        <w:rPr>
          <w:sz w:val="20"/>
        </w:rPr>
        <w:t>Unidad</w:t>
      </w:r>
      <w:r>
        <w:rPr>
          <w:spacing w:val="26"/>
          <w:sz w:val="20"/>
        </w:rPr>
        <w:t> </w:t>
      </w:r>
      <w:r>
        <w:rPr>
          <w:sz w:val="20"/>
        </w:rPr>
        <w:t>de</w:t>
      </w:r>
      <w:r>
        <w:rPr>
          <w:spacing w:val="26"/>
          <w:sz w:val="20"/>
        </w:rPr>
        <w:t> </w:t>
      </w:r>
      <w:r>
        <w:rPr>
          <w:sz w:val="20"/>
        </w:rPr>
        <w:t>Medida</w:t>
      </w:r>
      <w:r>
        <w:rPr>
          <w:spacing w:val="26"/>
          <w:sz w:val="20"/>
        </w:rPr>
        <w:t> </w:t>
      </w:r>
      <w:r>
        <w:rPr>
          <w:sz w:val="20"/>
        </w:rPr>
        <w:t>y</w:t>
      </w:r>
      <w:r>
        <w:rPr>
          <w:spacing w:val="25"/>
          <w:sz w:val="20"/>
        </w:rPr>
        <w:t> </w:t>
      </w:r>
      <w:r>
        <w:rPr>
          <w:sz w:val="20"/>
        </w:rPr>
        <w:t>Actualización,</w:t>
      </w:r>
      <w:r>
        <w:rPr>
          <w:spacing w:val="26"/>
          <w:sz w:val="20"/>
        </w:rPr>
        <w:t> </w:t>
      </w:r>
      <w:r>
        <w:rPr>
          <w:sz w:val="20"/>
        </w:rPr>
        <w:t>cuando</w:t>
      </w:r>
      <w:r>
        <w:rPr>
          <w:spacing w:val="25"/>
          <w:sz w:val="20"/>
        </w:rPr>
        <w:t> </w:t>
      </w:r>
      <w:r>
        <w:rPr>
          <w:sz w:val="20"/>
        </w:rPr>
        <w:t>por</w:t>
      </w:r>
      <w:r>
        <w:rPr>
          <w:spacing w:val="27"/>
          <w:sz w:val="20"/>
        </w:rPr>
        <w:t> </w:t>
      </w:r>
      <w:r>
        <w:rPr>
          <w:sz w:val="20"/>
        </w:rPr>
        <w:t>su</w:t>
      </w:r>
      <w:r>
        <w:rPr>
          <w:spacing w:val="25"/>
          <w:sz w:val="20"/>
        </w:rPr>
        <w:t> </w:t>
      </w:r>
      <w:r>
        <w:rPr>
          <w:sz w:val="20"/>
        </w:rPr>
        <w:t>omisión</w:t>
      </w:r>
      <w:r>
        <w:rPr>
          <w:spacing w:val="25"/>
          <w:sz w:val="20"/>
        </w:rPr>
        <w:t> </w:t>
      </w:r>
      <w:r>
        <w:rPr>
          <w:sz w:val="20"/>
        </w:rPr>
        <w:t>se produzca un riesgo de trabajo, que provoque la muerte del trabajador.</w:t>
      </w:r>
    </w:p>
    <w:p>
      <w:pPr>
        <w:spacing w:line="180"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338" w:firstLine="288"/>
      </w:pPr>
      <w:r>
        <w:rPr/>
        <w:t>Lo</w:t>
      </w:r>
      <w:r>
        <w:rPr>
          <w:spacing w:val="25"/>
        </w:rPr>
        <w:t> </w:t>
      </w:r>
      <w:r>
        <w:rPr/>
        <w:t>anterior,</w:t>
      </w:r>
      <w:r>
        <w:rPr>
          <w:spacing w:val="25"/>
        </w:rPr>
        <w:t> </w:t>
      </w:r>
      <w:r>
        <w:rPr/>
        <w:t>sin</w:t>
      </w:r>
      <w:r>
        <w:rPr>
          <w:spacing w:val="25"/>
        </w:rPr>
        <w:t> </w:t>
      </w:r>
      <w:r>
        <w:rPr/>
        <w:t>perjuicio</w:t>
      </w:r>
      <w:r>
        <w:rPr>
          <w:spacing w:val="25"/>
        </w:rPr>
        <w:t> </w:t>
      </w:r>
      <w:r>
        <w:rPr/>
        <w:t>de</w:t>
      </w:r>
      <w:r>
        <w:rPr>
          <w:spacing w:val="23"/>
        </w:rPr>
        <w:t> </w:t>
      </w:r>
      <w:r>
        <w:rPr/>
        <w:t>que</w:t>
      </w:r>
      <w:r>
        <w:rPr>
          <w:spacing w:val="25"/>
        </w:rPr>
        <w:t> </w:t>
      </w:r>
      <w:r>
        <w:rPr/>
        <w:t>la</w:t>
      </w:r>
      <w:r>
        <w:rPr>
          <w:spacing w:val="25"/>
        </w:rPr>
        <w:t> </w:t>
      </w:r>
      <w:r>
        <w:rPr/>
        <w:t>Oficina</w:t>
      </w:r>
      <w:r>
        <w:rPr>
          <w:spacing w:val="25"/>
        </w:rPr>
        <w:t> </w:t>
      </w:r>
      <w:r>
        <w:rPr/>
        <w:t>de</w:t>
      </w:r>
      <w:r>
        <w:rPr>
          <w:spacing w:val="23"/>
        </w:rPr>
        <w:t> </w:t>
      </w:r>
      <w:r>
        <w:rPr/>
        <w:t>Inspección</w:t>
      </w:r>
      <w:r>
        <w:rPr>
          <w:spacing w:val="25"/>
        </w:rPr>
        <w:t> </w:t>
      </w:r>
      <w:r>
        <w:rPr/>
        <w:t>de</w:t>
      </w:r>
      <w:r>
        <w:rPr>
          <w:spacing w:val="25"/>
        </w:rPr>
        <w:t> </w:t>
      </w:r>
      <w:r>
        <w:rPr/>
        <w:t>Trabajo</w:t>
      </w:r>
      <w:r>
        <w:rPr>
          <w:spacing w:val="23"/>
        </w:rPr>
        <w:t> </w:t>
      </w:r>
      <w:r>
        <w:rPr/>
        <w:t>o</w:t>
      </w:r>
      <w:r>
        <w:rPr>
          <w:spacing w:val="25"/>
        </w:rPr>
        <w:t> </w:t>
      </w:r>
      <w:r>
        <w:rPr/>
        <w:t>el</w:t>
      </w:r>
      <w:r>
        <w:rPr>
          <w:spacing w:val="22"/>
        </w:rPr>
        <w:t> </w:t>
      </w:r>
      <w:r>
        <w:rPr/>
        <w:t>Tribunal</w:t>
      </w:r>
      <w:r>
        <w:rPr>
          <w:spacing w:val="35"/>
        </w:rPr>
        <w:t> </w:t>
      </w:r>
      <w:r>
        <w:rPr/>
        <w:t>que</w:t>
      </w:r>
      <w:r>
        <w:rPr>
          <w:spacing w:val="23"/>
        </w:rPr>
        <w:t> </w:t>
      </w:r>
      <w:r>
        <w:rPr/>
        <w:t>conozca</w:t>
      </w:r>
      <w:r>
        <w:rPr>
          <w:spacing w:val="25"/>
        </w:rPr>
        <w:t> </w:t>
      </w:r>
      <w:r>
        <w:rPr/>
        <w:t>del caso, dé vista de los hechos al Ministerio Público.</w:t>
      </w:r>
    </w:p>
    <w:p>
      <w:pPr>
        <w:pStyle w:val="BodyText"/>
        <w:spacing w:after="0"/>
        <w:sectPr>
          <w:pgSz w:w="12240" w:h="15840"/>
          <w:pgMar w:header="724" w:footer="712" w:top="1880" w:bottom="900" w:left="1080" w:right="1080"/>
        </w:sectPr>
      </w:pPr>
    </w:p>
    <w:p>
      <w:pPr>
        <w:pStyle w:val="BodyText"/>
        <w:rPr>
          <w:sz w:val="22"/>
        </w:rPr>
      </w:pPr>
    </w:p>
    <w:p>
      <w:pPr>
        <w:pStyle w:val="BodyText"/>
        <w:spacing w:before="87"/>
        <w:rPr>
          <w:sz w:val="22"/>
        </w:rPr>
      </w:pPr>
    </w:p>
    <w:p>
      <w:pPr>
        <w:pStyle w:val="Heading1"/>
        <w:spacing w:before="1"/>
        <w:ind w:left="0" w:right="0"/>
        <w:jc w:val="right"/>
      </w:pPr>
      <w:r>
        <w:rPr/>
        <w:t>CAPITULO</w:t>
      </w:r>
      <w:r>
        <w:rPr>
          <w:spacing w:val="-9"/>
        </w:rPr>
        <w:t> </w:t>
      </w:r>
      <w:r>
        <w:rPr>
          <w:spacing w:val="-5"/>
        </w:rPr>
        <w:t>XIV</w:t>
      </w:r>
    </w:p>
    <w:p>
      <w:pPr>
        <w:spacing w:line="240" w:lineRule="auto" w:before="0"/>
        <w:ind w:left="1450" w:right="333" w:firstLine="19"/>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line="240" w:lineRule="auto"/>
        <w:jc w:val="left"/>
        <w:rPr>
          <w:rFonts w:ascii="Times New Roman" w:hAnsi="Times New Roman"/>
          <w:i/>
          <w:sz w:val="16"/>
        </w:rPr>
        <w:sectPr>
          <w:type w:val="continuous"/>
          <w:pgSz w:w="12240" w:h="15840"/>
          <w:pgMar w:header="724" w:footer="712" w:top="1880" w:bottom="900" w:left="1080" w:right="1080"/>
          <w:cols w:num="2" w:equalWidth="0">
            <w:col w:w="5812" w:space="40"/>
            <w:col w:w="4228"/>
          </w:cols>
        </w:sectPr>
      </w:pPr>
    </w:p>
    <w:p>
      <w:pPr>
        <w:pStyle w:val="Heading2"/>
        <w:spacing w:line="252" w:lineRule="exact"/>
        <w:ind w:left="1157" w:right="0"/>
        <w:jc w:val="left"/>
      </w:pPr>
      <w:r>
        <w:rPr/>
        <w:t>Trabajo</w:t>
      </w:r>
      <w:r>
        <w:rPr>
          <w:spacing w:val="-9"/>
        </w:rPr>
        <w:t> </w:t>
      </w:r>
      <w:r>
        <w:rPr/>
        <w:t>en</w:t>
      </w:r>
      <w:r>
        <w:rPr>
          <w:spacing w:val="-6"/>
        </w:rPr>
        <w:t> </w:t>
      </w:r>
      <w:r>
        <w:rPr/>
        <w:t>hoteles,</w:t>
      </w:r>
      <w:r>
        <w:rPr>
          <w:spacing w:val="-5"/>
        </w:rPr>
        <w:t> </w:t>
      </w:r>
      <w:r>
        <w:rPr/>
        <w:t>restaurantes,</w:t>
      </w:r>
      <w:r>
        <w:rPr>
          <w:spacing w:val="-5"/>
        </w:rPr>
        <w:t> </w:t>
      </w:r>
      <w:r>
        <w:rPr/>
        <w:t>bares</w:t>
      </w:r>
      <w:r>
        <w:rPr>
          <w:spacing w:val="-6"/>
        </w:rPr>
        <w:t> </w:t>
      </w:r>
      <w:r>
        <w:rPr/>
        <w:t>y</w:t>
      </w:r>
      <w:r>
        <w:rPr>
          <w:spacing w:val="-10"/>
        </w:rPr>
        <w:t> </w:t>
      </w:r>
      <w:r>
        <w:rPr/>
        <w:t>otros</w:t>
      </w:r>
      <w:r>
        <w:rPr>
          <w:spacing w:val="-7"/>
        </w:rPr>
        <w:t> </w:t>
      </w:r>
      <w:r>
        <w:rPr/>
        <w:t>establecimientos</w:t>
      </w:r>
      <w:r>
        <w:rPr>
          <w:spacing w:val="-6"/>
        </w:rPr>
        <w:t> </w:t>
      </w:r>
      <w:r>
        <w:rPr>
          <w:spacing w:val="-2"/>
        </w:rPr>
        <w:t>análogos</w:t>
      </w:r>
    </w:p>
    <w:p>
      <w:pPr>
        <w:pStyle w:val="BodyText"/>
        <w:spacing w:line="242" w:lineRule="auto" w:before="231"/>
        <w:ind w:left="338" w:firstLine="288"/>
      </w:pPr>
      <w:bookmarkStart w:name="Artículo_344" w:id="440"/>
      <w:bookmarkEnd w:id="440"/>
      <w:r>
        <w:rPr/>
      </w:r>
      <w:r>
        <w:rPr>
          <w:rFonts w:ascii="Arial" w:hAnsi="Arial"/>
          <w:b/>
        </w:rPr>
        <w:t>Artículo 344.- </w:t>
      </w:r>
      <w:r>
        <w:rPr/>
        <w:t>Las disposiciones de este capítulo se aplican a los trabajadores en hoteles, casas de asistencia, restaurantes, fondas, cafés, bares y otros establecimientos análogos.</w:t>
      </w:r>
    </w:p>
    <w:p>
      <w:pPr>
        <w:pStyle w:val="BodyText"/>
        <w:spacing w:before="227"/>
        <w:ind w:left="338" w:right="357" w:firstLine="288"/>
      </w:pPr>
      <w:bookmarkStart w:name="Artículo_345" w:id="441"/>
      <w:bookmarkEnd w:id="441"/>
      <w:r>
        <w:rPr/>
      </w:r>
      <w:r>
        <w:rPr>
          <w:rFonts w:ascii="Arial" w:hAnsi="Arial"/>
          <w:b/>
        </w:rPr>
        <w:t>Artículo 345.- </w:t>
      </w:r>
      <w:r>
        <w:rPr/>
        <w:t>La Comisión Nacional de los Salarios Mínimos fijará los salarios mínimos profesionales que deberán pagarse a estos trabajadores.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BodyText"/>
        <w:spacing w:line="242" w:lineRule="auto"/>
        <w:ind w:left="338" w:right="344" w:firstLine="288"/>
        <w:jc w:val="both"/>
      </w:pPr>
      <w:bookmarkStart w:name="Artículo_346" w:id="442"/>
      <w:bookmarkEnd w:id="442"/>
      <w:r>
        <w:rPr/>
      </w:r>
      <w:r>
        <w:rPr>
          <w:rFonts w:ascii="Arial" w:hAnsi="Arial"/>
          <w:b/>
        </w:rPr>
        <w:t>Artículo 346.- </w:t>
      </w:r>
      <w:r>
        <w:rPr/>
        <w:t>Las propinas son parte del salario de los trabajadores a que se refiere este capítulo en los términos del artículo 347.</w:t>
      </w:r>
    </w:p>
    <w:p>
      <w:pPr>
        <w:pStyle w:val="BodyText"/>
        <w:spacing w:before="227"/>
        <w:ind w:left="626"/>
      </w:pPr>
      <w:r>
        <w:rPr/>
        <w:t>Los</w:t>
      </w:r>
      <w:r>
        <w:rPr>
          <w:spacing w:val="-7"/>
        </w:rPr>
        <w:t> </w:t>
      </w:r>
      <w:r>
        <w:rPr/>
        <w:t>patrones</w:t>
      </w:r>
      <w:r>
        <w:rPr>
          <w:spacing w:val="-7"/>
        </w:rPr>
        <w:t> </w:t>
      </w:r>
      <w:r>
        <w:rPr/>
        <w:t>no</w:t>
      </w:r>
      <w:r>
        <w:rPr>
          <w:spacing w:val="-8"/>
        </w:rPr>
        <w:t> </w:t>
      </w:r>
      <w:r>
        <w:rPr/>
        <w:t>podrán</w:t>
      </w:r>
      <w:r>
        <w:rPr>
          <w:spacing w:val="-6"/>
        </w:rPr>
        <w:t> </w:t>
      </w:r>
      <w:r>
        <w:rPr/>
        <w:t>reservarse</w:t>
      </w:r>
      <w:r>
        <w:rPr>
          <w:spacing w:val="-7"/>
        </w:rPr>
        <w:t> </w:t>
      </w:r>
      <w:r>
        <w:rPr/>
        <w:t>ni</w:t>
      </w:r>
      <w:r>
        <w:rPr>
          <w:spacing w:val="-9"/>
        </w:rPr>
        <w:t> </w:t>
      </w:r>
      <w:r>
        <w:rPr/>
        <w:t>tener</w:t>
      </w:r>
      <w:r>
        <w:rPr>
          <w:spacing w:val="-1"/>
        </w:rPr>
        <w:t> </w:t>
      </w:r>
      <w:r>
        <w:rPr/>
        <w:t>participación</w:t>
      </w:r>
      <w:r>
        <w:rPr>
          <w:spacing w:val="-9"/>
        </w:rPr>
        <w:t> </w:t>
      </w:r>
      <w:r>
        <w:rPr/>
        <w:t>alguna</w:t>
      </w:r>
      <w:r>
        <w:rPr>
          <w:spacing w:val="-6"/>
        </w:rPr>
        <w:t> </w:t>
      </w:r>
      <w:r>
        <w:rPr/>
        <w:t>en</w:t>
      </w:r>
      <w:r>
        <w:rPr>
          <w:spacing w:val="-9"/>
        </w:rPr>
        <w:t> </w:t>
      </w:r>
      <w:r>
        <w:rPr>
          <w:spacing w:val="-2"/>
        </w:rPr>
        <w:t>ellas.</w:t>
      </w:r>
    </w:p>
    <w:p>
      <w:pPr>
        <w:pStyle w:val="BodyText"/>
        <w:spacing w:before="228"/>
        <w:ind w:left="338" w:right="344" w:firstLine="288"/>
        <w:jc w:val="both"/>
      </w:pPr>
      <w:bookmarkStart w:name="Artículo_347" w:id="443"/>
      <w:bookmarkEnd w:id="443"/>
      <w:r>
        <w:rPr/>
      </w:r>
      <w:r>
        <w:rPr>
          <w:rFonts w:ascii="Arial" w:hAnsi="Arial"/>
          <w:b/>
        </w:rPr>
        <w:t>Artículo 347.- </w:t>
      </w:r>
      <w:r>
        <w:rPr/>
        <w:t>Si no se determina, en calidad de propina, un porcentaje sobre las consumiciones, las partes fijarán el aumento que deba hacerse al salario de base para el pago de cualquier indemnización o prestación que corresponda a los trabajadores. El salario fijado para estos efectos será remunerador, debiendo tomarse en consideración la importancia del establecimiento donde se presten los servicios.</w:t>
      </w:r>
    </w:p>
    <w:p>
      <w:pPr>
        <w:pStyle w:val="BodyText"/>
      </w:pPr>
    </w:p>
    <w:p>
      <w:pPr>
        <w:pStyle w:val="BodyText"/>
        <w:spacing w:line="242" w:lineRule="auto"/>
        <w:ind w:left="338" w:right="336" w:firstLine="288"/>
        <w:jc w:val="both"/>
      </w:pPr>
      <w:bookmarkStart w:name="Artículo_348" w:id="444"/>
      <w:bookmarkEnd w:id="444"/>
      <w:r>
        <w:rPr/>
      </w:r>
      <w:r>
        <w:rPr>
          <w:rFonts w:ascii="Arial" w:hAnsi="Arial"/>
          <w:b/>
        </w:rPr>
        <w:t>Artículo 348.- </w:t>
      </w:r>
      <w:r>
        <w:rPr/>
        <w:t>La alimentación que se proporcione a los trabajadores deberá ser sana, abundante y </w:t>
      </w:r>
      <w:r>
        <w:rPr>
          <w:spacing w:val="-2"/>
        </w:rPr>
        <w:t>nutritiva.</w:t>
      </w:r>
    </w:p>
    <w:p>
      <w:pPr>
        <w:pStyle w:val="BodyText"/>
        <w:spacing w:line="242" w:lineRule="auto" w:before="225"/>
        <w:ind w:left="338" w:right="345" w:firstLine="288"/>
        <w:jc w:val="both"/>
      </w:pPr>
      <w:bookmarkStart w:name="Artículo_349" w:id="445"/>
      <w:bookmarkEnd w:id="445"/>
      <w:r>
        <w:rPr/>
      </w:r>
      <w:r>
        <w:rPr>
          <w:rFonts w:ascii="Arial" w:hAnsi="Arial"/>
          <w:b/>
        </w:rPr>
        <w:t>Artículo 349.- </w:t>
      </w:r>
      <w:r>
        <w:rPr/>
        <w:t>Los trabajadores están obligados a atender con esmero y cortesía a la clientela del </w:t>
      </w:r>
      <w:r>
        <w:rPr>
          <w:spacing w:val="-2"/>
        </w:rPr>
        <w:t>establecimiento.</w:t>
      </w:r>
    </w:p>
    <w:p>
      <w:pPr>
        <w:pStyle w:val="BodyText"/>
        <w:spacing w:before="226"/>
        <w:ind w:left="626"/>
      </w:pPr>
      <w:bookmarkStart w:name="Artículo_350" w:id="446"/>
      <w:bookmarkEnd w:id="446"/>
      <w:r>
        <w:rPr/>
      </w:r>
      <w:r>
        <w:rPr>
          <w:rFonts w:ascii="Arial" w:hAnsi="Arial"/>
          <w:b/>
        </w:rPr>
        <w:t>Artículo</w:t>
      </w:r>
      <w:r>
        <w:rPr>
          <w:rFonts w:ascii="Arial" w:hAnsi="Arial"/>
          <w:b/>
          <w:spacing w:val="-8"/>
        </w:rPr>
        <w:t> </w:t>
      </w:r>
      <w:r>
        <w:rPr>
          <w:rFonts w:ascii="Arial" w:hAnsi="Arial"/>
          <w:b/>
        </w:rPr>
        <w:t>350.-</w:t>
      </w:r>
      <w:r>
        <w:rPr>
          <w:rFonts w:ascii="Arial" w:hAnsi="Arial"/>
          <w:b/>
          <w:spacing w:val="-7"/>
        </w:rPr>
        <w:t> </w:t>
      </w:r>
      <w:r>
        <w:rPr/>
        <w:t>Los</w:t>
      </w:r>
      <w:r>
        <w:rPr>
          <w:spacing w:val="-8"/>
        </w:rPr>
        <w:t> </w:t>
      </w:r>
      <w:r>
        <w:rPr/>
        <w:t>Inspectores</w:t>
      </w:r>
      <w:r>
        <w:rPr>
          <w:spacing w:val="-7"/>
        </w:rPr>
        <w:t> </w:t>
      </w:r>
      <w:r>
        <w:rPr/>
        <w:t>del</w:t>
      </w:r>
      <w:r>
        <w:rPr>
          <w:spacing w:val="-8"/>
        </w:rPr>
        <w:t> </w:t>
      </w:r>
      <w:r>
        <w:rPr/>
        <w:t>Trabajo</w:t>
      </w:r>
      <w:r>
        <w:rPr>
          <w:spacing w:val="-8"/>
        </w:rPr>
        <w:t> </w:t>
      </w:r>
      <w:r>
        <w:rPr/>
        <w:t>tienen</w:t>
      </w:r>
      <w:r>
        <w:rPr>
          <w:spacing w:val="-7"/>
        </w:rPr>
        <w:t> </w:t>
      </w:r>
      <w:r>
        <w:rPr/>
        <w:t>las</w:t>
      </w:r>
      <w:r>
        <w:rPr>
          <w:spacing w:val="-5"/>
        </w:rPr>
        <w:t> </w:t>
      </w:r>
      <w:r>
        <w:rPr/>
        <w:t>atribuciones</w:t>
      </w:r>
      <w:r>
        <w:rPr>
          <w:spacing w:val="-6"/>
        </w:rPr>
        <w:t> </w:t>
      </w:r>
      <w:r>
        <w:rPr/>
        <w:t>y</w:t>
      </w:r>
      <w:r>
        <w:rPr>
          <w:spacing w:val="-9"/>
        </w:rPr>
        <w:t> </w:t>
      </w:r>
      <w:r>
        <w:rPr/>
        <w:t>deberes</w:t>
      </w:r>
      <w:r>
        <w:rPr>
          <w:spacing w:val="-7"/>
        </w:rPr>
        <w:t> </w:t>
      </w:r>
      <w:r>
        <w:rPr/>
        <w:t>especiales</w:t>
      </w:r>
      <w:r>
        <w:rPr>
          <w:spacing w:val="-7"/>
        </w:rPr>
        <w:t> </w:t>
      </w:r>
      <w:r>
        <w:rPr>
          <w:spacing w:val="-2"/>
        </w:rPr>
        <w:t>siguientes:</w:t>
      </w:r>
    </w:p>
    <w:p>
      <w:pPr>
        <w:pStyle w:val="BodyText"/>
        <w:spacing w:before="1"/>
      </w:pPr>
    </w:p>
    <w:p>
      <w:pPr>
        <w:pStyle w:val="ListParagraph"/>
        <w:numPr>
          <w:ilvl w:val="0"/>
          <w:numId w:val="101"/>
        </w:numPr>
        <w:tabs>
          <w:tab w:pos="1195" w:val="left" w:leader="none"/>
        </w:tabs>
        <w:spacing w:line="240" w:lineRule="auto" w:before="0" w:after="0"/>
        <w:ind w:left="1195" w:right="341" w:hanging="569"/>
        <w:jc w:val="left"/>
        <w:rPr>
          <w:sz w:val="20"/>
        </w:rPr>
      </w:pPr>
      <w:r>
        <w:rPr>
          <w:sz w:val="20"/>
        </w:rPr>
        <w:t>Vigilar</w:t>
      </w:r>
      <w:r>
        <w:rPr>
          <w:spacing w:val="40"/>
          <w:sz w:val="20"/>
        </w:rPr>
        <w:t> </w:t>
      </w:r>
      <w:r>
        <w:rPr>
          <w:sz w:val="20"/>
        </w:rPr>
        <w:t>que</w:t>
      </w:r>
      <w:r>
        <w:rPr>
          <w:spacing w:val="40"/>
          <w:sz w:val="20"/>
        </w:rPr>
        <w:t> </w:t>
      </w:r>
      <w:r>
        <w:rPr>
          <w:sz w:val="20"/>
        </w:rPr>
        <w:t>la</w:t>
      </w:r>
      <w:r>
        <w:rPr>
          <w:spacing w:val="40"/>
          <w:sz w:val="20"/>
        </w:rPr>
        <w:t> </w:t>
      </w:r>
      <w:r>
        <w:rPr>
          <w:sz w:val="20"/>
        </w:rPr>
        <w:t>alimentación</w:t>
      </w:r>
      <w:r>
        <w:rPr>
          <w:spacing w:val="40"/>
          <w:sz w:val="20"/>
        </w:rPr>
        <w:t> </w:t>
      </w:r>
      <w:r>
        <w:rPr>
          <w:sz w:val="20"/>
        </w:rPr>
        <w:t>que</w:t>
      </w:r>
      <w:r>
        <w:rPr>
          <w:spacing w:val="40"/>
          <w:sz w:val="20"/>
        </w:rPr>
        <w:t> </w:t>
      </w:r>
      <w:r>
        <w:rPr>
          <w:sz w:val="20"/>
        </w:rPr>
        <w:t>se</w:t>
      </w:r>
      <w:r>
        <w:rPr>
          <w:spacing w:val="40"/>
          <w:sz w:val="20"/>
        </w:rPr>
        <w:t> </w:t>
      </w:r>
      <w:r>
        <w:rPr>
          <w:sz w:val="20"/>
        </w:rPr>
        <w:t>proporcione</w:t>
      </w:r>
      <w:r>
        <w:rPr>
          <w:spacing w:val="40"/>
          <w:sz w:val="20"/>
        </w:rPr>
        <w:t> </w:t>
      </w:r>
      <w:r>
        <w:rPr>
          <w:sz w:val="20"/>
        </w:rPr>
        <w:t>a</w:t>
      </w:r>
      <w:r>
        <w:rPr>
          <w:spacing w:val="40"/>
          <w:sz w:val="20"/>
        </w:rPr>
        <w:t> </w:t>
      </w:r>
      <w:r>
        <w:rPr>
          <w:sz w:val="20"/>
        </w:rPr>
        <w:t>los</w:t>
      </w:r>
      <w:r>
        <w:rPr>
          <w:spacing w:val="40"/>
          <w:sz w:val="20"/>
        </w:rPr>
        <w:t> </w:t>
      </w:r>
      <w:r>
        <w:rPr>
          <w:sz w:val="20"/>
        </w:rPr>
        <w:t>trabajadores</w:t>
      </w:r>
      <w:r>
        <w:rPr>
          <w:spacing w:val="40"/>
          <w:sz w:val="20"/>
        </w:rPr>
        <w:t> </w:t>
      </w:r>
      <w:r>
        <w:rPr>
          <w:sz w:val="20"/>
        </w:rPr>
        <w:t>sea</w:t>
      </w:r>
      <w:r>
        <w:rPr>
          <w:spacing w:val="40"/>
          <w:sz w:val="20"/>
        </w:rPr>
        <w:t> </w:t>
      </w:r>
      <w:r>
        <w:rPr>
          <w:sz w:val="20"/>
        </w:rPr>
        <w:t>sana,</w:t>
      </w:r>
      <w:r>
        <w:rPr>
          <w:spacing w:val="40"/>
          <w:sz w:val="20"/>
        </w:rPr>
        <w:t> </w:t>
      </w:r>
      <w:r>
        <w:rPr>
          <w:sz w:val="20"/>
        </w:rPr>
        <w:t>abundante</w:t>
      </w:r>
      <w:r>
        <w:rPr>
          <w:spacing w:val="40"/>
          <w:sz w:val="20"/>
        </w:rPr>
        <w:t> </w:t>
      </w:r>
      <w:r>
        <w:rPr>
          <w:sz w:val="20"/>
        </w:rPr>
        <w:t>y </w:t>
      </w:r>
      <w:r>
        <w:rPr>
          <w:spacing w:val="-2"/>
          <w:sz w:val="20"/>
        </w:rPr>
        <w:t>nutritiva;</w:t>
      </w:r>
    </w:p>
    <w:p>
      <w:pPr>
        <w:pStyle w:val="ListParagraph"/>
        <w:spacing w:after="0" w:line="240" w:lineRule="auto"/>
        <w:jc w:val="left"/>
        <w:rPr>
          <w:sz w:val="20"/>
        </w:rPr>
        <w:sectPr>
          <w:type w:val="continuous"/>
          <w:pgSz w:w="12240" w:h="15840"/>
          <w:pgMar w:header="724" w:footer="712" w:top="1880" w:bottom="900" w:left="1080" w:right="1080"/>
        </w:sectPr>
      </w:pPr>
    </w:p>
    <w:p>
      <w:pPr>
        <w:pStyle w:val="BodyText"/>
      </w:pPr>
    </w:p>
    <w:p>
      <w:pPr>
        <w:pStyle w:val="BodyText"/>
        <w:spacing w:before="63"/>
      </w:pPr>
    </w:p>
    <w:p>
      <w:pPr>
        <w:pStyle w:val="ListParagraph"/>
        <w:numPr>
          <w:ilvl w:val="0"/>
          <w:numId w:val="101"/>
        </w:numPr>
        <w:tabs>
          <w:tab w:pos="1195" w:val="left" w:leader="none"/>
        </w:tabs>
        <w:spacing w:line="240" w:lineRule="auto" w:before="0" w:after="0"/>
        <w:ind w:left="1195" w:right="0" w:hanging="569"/>
        <w:jc w:val="left"/>
        <w:rPr>
          <w:sz w:val="20"/>
        </w:rPr>
      </w:pPr>
      <w:r>
        <w:rPr>
          <w:sz w:val="20"/>
        </w:rPr>
        <w:t>Verificar</w:t>
      </w:r>
      <w:r>
        <w:rPr>
          <w:spacing w:val="-8"/>
          <w:sz w:val="20"/>
        </w:rPr>
        <w:t> </w:t>
      </w:r>
      <w:r>
        <w:rPr>
          <w:sz w:val="20"/>
        </w:rPr>
        <w:t>que</w:t>
      </w:r>
      <w:r>
        <w:rPr>
          <w:spacing w:val="-7"/>
          <w:sz w:val="20"/>
        </w:rPr>
        <w:t> </w:t>
      </w:r>
      <w:r>
        <w:rPr>
          <w:sz w:val="20"/>
        </w:rPr>
        <w:t>las</w:t>
      </w:r>
      <w:r>
        <w:rPr>
          <w:spacing w:val="-6"/>
          <w:sz w:val="20"/>
        </w:rPr>
        <w:t> </w:t>
      </w:r>
      <w:r>
        <w:rPr>
          <w:sz w:val="20"/>
        </w:rPr>
        <w:t>propinas</w:t>
      </w:r>
      <w:r>
        <w:rPr>
          <w:spacing w:val="-7"/>
          <w:sz w:val="20"/>
        </w:rPr>
        <w:t> </w:t>
      </w:r>
      <w:r>
        <w:rPr>
          <w:sz w:val="20"/>
        </w:rPr>
        <w:t>correspondan</w:t>
      </w:r>
      <w:r>
        <w:rPr>
          <w:spacing w:val="-9"/>
          <w:sz w:val="20"/>
        </w:rPr>
        <w:t> </w:t>
      </w:r>
      <w:r>
        <w:rPr>
          <w:sz w:val="20"/>
        </w:rPr>
        <w:t>en</w:t>
      </w:r>
      <w:r>
        <w:rPr>
          <w:spacing w:val="-7"/>
          <w:sz w:val="20"/>
        </w:rPr>
        <w:t> </w:t>
      </w:r>
      <w:r>
        <w:rPr>
          <w:sz w:val="20"/>
        </w:rPr>
        <w:t>su</w:t>
      </w:r>
      <w:r>
        <w:rPr>
          <w:spacing w:val="-8"/>
          <w:sz w:val="20"/>
        </w:rPr>
        <w:t> </w:t>
      </w:r>
      <w:r>
        <w:rPr>
          <w:sz w:val="20"/>
        </w:rPr>
        <w:t>totalidad</w:t>
      </w:r>
      <w:r>
        <w:rPr>
          <w:spacing w:val="-7"/>
          <w:sz w:val="20"/>
        </w:rPr>
        <w:t> </w:t>
      </w:r>
      <w:r>
        <w:rPr>
          <w:sz w:val="20"/>
        </w:rPr>
        <w:t>a</w:t>
      </w:r>
      <w:r>
        <w:rPr>
          <w:spacing w:val="-7"/>
          <w:sz w:val="20"/>
        </w:rPr>
        <w:t> </w:t>
      </w:r>
      <w:r>
        <w:rPr>
          <w:sz w:val="20"/>
        </w:rPr>
        <w:t>los</w:t>
      </w:r>
      <w:r>
        <w:rPr>
          <w:spacing w:val="-7"/>
          <w:sz w:val="20"/>
        </w:rPr>
        <w:t> </w:t>
      </w:r>
      <w:r>
        <w:rPr>
          <w:sz w:val="20"/>
        </w:rPr>
        <w:t>trabajadores;</w:t>
      </w:r>
      <w:r>
        <w:rPr>
          <w:spacing w:val="-3"/>
          <w:sz w:val="20"/>
        </w:rPr>
        <w:t> </w:t>
      </w:r>
      <w:r>
        <w:rPr>
          <w:spacing w:val="-10"/>
          <w:sz w:val="20"/>
        </w:rPr>
        <w:t>y</w:t>
      </w:r>
    </w:p>
    <w:p>
      <w:pPr>
        <w:pStyle w:val="BodyText"/>
        <w:spacing w:before="1"/>
      </w:pPr>
    </w:p>
    <w:p>
      <w:pPr>
        <w:pStyle w:val="ListParagraph"/>
        <w:numPr>
          <w:ilvl w:val="0"/>
          <w:numId w:val="101"/>
        </w:numPr>
        <w:tabs>
          <w:tab w:pos="1195" w:val="left" w:leader="none"/>
        </w:tabs>
        <w:spacing w:line="240" w:lineRule="auto" w:before="0" w:after="0"/>
        <w:ind w:left="1195" w:right="0" w:hanging="569"/>
        <w:jc w:val="left"/>
        <w:rPr>
          <w:sz w:val="20"/>
        </w:rPr>
      </w:pPr>
      <w:r>
        <w:rPr>
          <w:sz w:val="20"/>
        </w:rPr>
        <w:t>Vigilar</w:t>
      </w:r>
      <w:r>
        <w:rPr>
          <w:spacing w:val="-7"/>
          <w:sz w:val="20"/>
        </w:rPr>
        <w:t> </w:t>
      </w:r>
      <w:r>
        <w:rPr>
          <w:sz w:val="20"/>
        </w:rPr>
        <w:t>que</w:t>
      </w:r>
      <w:r>
        <w:rPr>
          <w:spacing w:val="-7"/>
          <w:sz w:val="20"/>
        </w:rPr>
        <w:t> </w:t>
      </w:r>
      <w:r>
        <w:rPr>
          <w:sz w:val="20"/>
        </w:rPr>
        <w:t>se</w:t>
      </w:r>
      <w:r>
        <w:rPr>
          <w:spacing w:val="-7"/>
          <w:sz w:val="20"/>
        </w:rPr>
        <w:t> </w:t>
      </w:r>
      <w:r>
        <w:rPr>
          <w:sz w:val="20"/>
        </w:rPr>
        <w:t>respeten</w:t>
      </w:r>
      <w:r>
        <w:rPr>
          <w:spacing w:val="-5"/>
          <w:sz w:val="20"/>
        </w:rPr>
        <w:t> </w:t>
      </w:r>
      <w:r>
        <w:rPr>
          <w:sz w:val="20"/>
        </w:rPr>
        <w:t>las</w:t>
      </w:r>
      <w:r>
        <w:rPr>
          <w:spacing w:val="-4"/>
          <w:sz w:val="20"/>
        </w:rPr>
        <w:t> </w:t>
      </w:r>
      <w:r>
        <w:rPr>
          <w:sz w:val="20"/>
        </w:rPr>
        <w:t>normas</w:t>
      </w:r>
      <w:r>
        <w:rPr>
          <w:spacing w:val="-5"/>
          <w:sz w:val="20"/>
        </w:rPr>
        <w:t> </w:t>
      </w:r>
      <w:r>
        <w:rPr>
          <w:sz w:val="20"/>
        </w:rPr>
        <w:t>sobre</w:t>
      </w:r>
      <w:r>
        <w:rPr>
          <w:spacing w:val="-7"/>
          <w:sz w:val="20"/>
        </w:rPr>
        <w:t> </w:t>
      </w:r>
      <w:r>
        <w:rPr>
          <w:sz w:val="20"/>
        </w:rPr>
        <w:t>jornada</w:t>
      </w:r>
      <w:r>
        <w:rPr>
          <w:spacing w:val="-8"/>
          <w:sz w:val="20"/>
        </w:rPr>
        <w:t> </w:t>
      </w:r>
      <w:r>
        <w:rPr>
          <w:sz w:val="20"/>
        </w:rPr>
        <w:t>de</w:t>
      </w:r>
      <w:r>
        <w:rPr>
          <w:spacing w:val="-6"/>
          <w:sz w:val="20"/>
        </w:rPr>
        <w:t> </w:t>
      </w:r>
      <w:r>
        <w:rPr>
          <w:spacing w:val="-2"/>
          <w:sz w:val="20"/>
        </w:rPr>
        <w:t>trabajo.</w:t>
      </w:r>
    </w:p>
    <w:p>
      <w:pPr>
        <w:pStyle w:val="Heading1"/>
        <w:spacing w:line="252" w:lineRule="exact" w:before="229"/>
        <w:ind w:left="298"/>
      </w:pPr>
      <w:r>
        <w:rPr/>
        <w:t>CAPITULO</w:t>
      </w:r>
      <w:r>
        <w:rPr>
          <w:spacing w:val="-7"/>
        </w:rPr>
        <w:t> XV</w:t>
      </w:r>
    </w:p>
    <w:p>
      <w:pPr>
        <w:pStyle w:val="Heading2"/>
        <w:spacing w:line="252" w:lineRule="exact"/>
        <w:ind w:left="296"/>
      </w:pPr>
      <w:r>
        <w:rPr/>
        <w:t>Industria</w:t>
      </w:r>
      <w:r>
        <w:rPr>
          <w:spacing w:val="-9"/>
        </w:rPr>
        <w:t> </w:t>
      </w:r>
      <w:r>
        <w:rPr>
          <w:spacing w:val="-2"/>
        </w:rPr>
        <w:t>familiar</w:t>
      </w:r>
    </w:p>
    <w:p>
      <w:pPr>
        <w:pStyle w:val="BodyText"/>
        <w:spacing w:line="242" w:lineRule="auto" w:before="231"/>
        <w:ind w:left="338" w:firstLine="288"/>
      </w:pPr>
      <w:bookmarkStart w:name="Artículo_351" w:id="447"/>
      <w:bookmarkEnd w:id="447"/>
      <w:r>
        <w:rPr/>
      </w:r>
      <w:r>
        <w:rPr>
          <w:rFonts w:ascii="Arial" w:hAnsi="Arial"/>
          <w:b/>
        </w:rPr>
        <w:t>Artículo 351.- </w:t>
      </w:r>
      <w:r>
        <w:rPr/>
        <w:t>Son talleres familiares aquellos en los que exclusivamente trabajan los cónyuges, sus ascendientes, descendientes y pupilos.</w:t>
      </w:r>
    </w:p>
    <w:p>
      <w:pPr>
        <w:pStyle w:val="BodyText"/>
        <w:spacing w:line="242" w:lineRule="auto" w:before="227"/>
        <w:ind w:left="338" w:right="342" w:firstLine="288"/>
      </w:pPr>
      <w:bookmarkStart w:name="Artículo_352" w:id="448"/>
      <w:bookmarkEnd w:id="448"/>
      <w:r>
        <w:rPr/>
      </w:r>
      <w:r>
        <w:rPr>
          <w:rFonts w:ascii="Arial" w:hAnsi="Arial"/>
          <w:b/>
        </w:rPr>
        <w:t>Artículo 352.- </w:t>
      </w:r>
      <w:r>
        <w:rPr/>
        <w:t>No se aplican a los talleres familiares las disposiciones de esta Ley, con excepción de las normas relativas a higiene y seguridad.</w:t>
      </w:r>
    </w:p>
    <w:p>
      <w:pPr>
        <w:pStyle w:val="BodyText"/>
        <w:spacing w:line="242" w:lineRule="auto" w:before="225"/>
        <w:ind w:left="338" w:firstLine="288"/>
      </w:pPr>
      <w:bookmarkStart w:name="Artículo_353" w:id="449"/>
      <w:bookmarkEnd w:id="449"/>
      <w:r>
        <w:rPr/>
      </w:r>
      <w:r>
        <w:rPr>
          <w:rFonts w:ascii="Arial" w:hAnsi="Arial"/>
          <w:b/>
        </w:rPr>
        <w:t>Artículo</w:t>
      </w:r>
      <w:r>
        <w:rPr>
          <w:rFonts w:ascii="Arial" w:hAnsi="Arial"/>
          <w:b/>
          <w:spacing w:val="23"/>
        </w:rPr>
        <w:t> </w:t>
      </w:r>
      <w:r>
        <w:rPr>
          <w:rFonts w:ascii="Arial" w:hAnsi="Arial"/>
          <w:b/>
        </w:rPr>
        <w:t>353.-</w:t>
      </w:r>
      <w:r>
        <w:rPr>
          <w:rFonts w:ascii="Arial" w:hAnsi="Arial"/>
          <w:b/>
          <w:spacing w:val="21"/>
        </w:rPr>
        <w:t> </w:t>
      </w:r>
      <w:r>
        <w:rPr/>
        <w:t>La</w:t>
      </w:r>
      <w:r>
        <w:rPr>
          <w:spacing w:val="20"/>
        </w:rPr>
        <w:t> </w:t>
      </w:r>
      <w:r>
        <w:rPr/>
        <w:t>Inspección</w:t>
      </w:r>
      <w:r>
        <w:rPr>
          <w:spacing w:val="22"/>
        </w:rPr>
        <w:t> </w:t>
      </w:r>
      <w:r>
        <w:rPr/>
        <w:t>del</w:t>
      </w:r>
      <w:r>
        <w:rPr>
          <w:spacing w:val="21"/>
        </w:rPr>
        <w:t> </w:t>
      </w:r>
      <w:r>
        <w:rPr/>
        <w:t>Trabajo</w:t>
      </w:r>
      <w:r>
        <w:rPr>
          <w:spacing w:val="22"/>
        </w:rPr>
        <w:t> </w:t>
      </w:r>
      <w:r>
        <w:rPr/>
        <w:t>vigilará</w:t>
      </w:r>
      <w:r>
        <w:rPr>
          <w:spacing w:val="22"/>
        </w:rPr>
        <w:t> </w:t>
      </w:r>
      <w:r>
        <w:rPr/>
        <w:t>el</w:t>
      </w:r>
      <w:r>
        <w:rPr>
          <w:spacing w:val="21"/>
        </w:rPr>
        <w:t> </w:t>
      </w:r>
      <w:r>
        <w:rPr/>
        <w:t>cumplimiento</w:t>
      </w:r>
      <w:r>
        <w:rPr>
          <w:spacing w:val="22"/>
        </w:rPr>
        <w:t> </w:t>
      </w:r>
      <w:r>
        <w:rPr/>
        <w:t>de</w:t>
      </w:r>
      <w:r>
        <w:rPr>
          <w:spacing w:val="21"/>
        </w:rPr>
        <w:t> </w:t>
      </w:r>
      <w:r>
        <w:rPr/>
        <w:t>las</w:t>
      </w:r>
      <w:r>
        <w:rPr>
          <w:spacing w:val="21"/>
        </w:rPr>
        <w:t> </w:t>
      </w:r>
      <w:r>
        <w:rPr/>
        <w:t>normas</w:t>
      </w:r>
      <w:r>
        <w:rPr>
          <w:spacing w:val="21"/>
        </w:rPr>
        <w:t> </w:t>
      </w:r>
      <w:r>
        <w:rPr/>
        <w:t>a</w:t>
      </w:r>
      <w:r>
        <w:rPr>
          <w:spacing w:val="22"/>
        </w:rPr>
        <w:t> </w:t>
      </w:r>
      <w:r>
        <w:rPr/>
        <w:t>que</w:t>
      </w:r>
      <w:r>
        <w:rPr>
          <w:spacing w:val="20"/>
        </w:rPr>
        <w:t> </w:t>
      </w:r>
      <w:r>
        <w:rPr/>
        <w:t>se</w:t>
      </w:r>
      <w:r>
        <w:rPr>
          <w:spacing w:val="22"/>
        </w:rPr>
        <w:t> </w:t>
      </w:r>
      <w:r>
        <w:rPr/>
        <w:t>refiere</w:t>
      </w:r>
      <w:r>
        <w:rPr>
          <w:spacing w:val="22"/>
        </w:rPr>
        <w:t> </w:t>
      </w:r>
      <w:r>
        <w:rPr/>
        <w:t>el artículo anterior.</w:t>
      </w:r>
    </w:p>
    <w:p>
      <w:pPr>
        <w:pStyle w:val="Heading1"/>
        <w:spacing w:line="252" w:lineRule="exact" w:before="225"/>
      </w:pPr>
      <w:r>
        <w:rPr/>
        <w:t>CAPITULO</w:t>
      </w:r>
      <w:r>
        <w:rPr>
          <w:spacing w:val="-9"/>
        </w:rPr>
        <w:t> </w:t>
      </w:r>
      <w:r>
        <w:rPr>
          <w:spacing w:val="-5"/>
        </w:rPr>
        <w:t>XVI</w:t>
      </w:r>
    </w:p>
    <w:p>
      <w:pPr>
        <w:pStyle w:val="Heading2"/>
        <w:spacing w:line="252" w:lineRule="exact"/>
        <w:ind w:left="298"/>
      </w:pPr>
      <w:r>
        <w:rPr/>
        <w:t>Trabajos</w:t>
      </w:r>
      <w:r>
        <w:rPr>
          <w:spacing w:val="-8"/>
        </w:rPr>
        <w:t> </w:t>
      </w:r>
      <w:r>
        <w:rPr/>
        <w:t>de</w:t>
      </w:r>
      <w:r>
        <w:rPr>
          <w:spacing w:val="-5"/>
        </w:rPr>
        <w:t> </w:t>
      </w:r>
      <w:r>
        <w:rPr/>
        <w:t>Médicos</w:t>
      </w:r>
      <w:r>
        <w:rPr>
          <w:spacing w:val="-7"/>
        </w:rPr>
        <w:t> </w:t>
      </w:r>
      <w:r>
        <w:rPr/>
        <w:t>Residentes</w:t>
      </w:r>
      <w:r>
        <w:rPr>
          <w:spacing w:val="-7"/>
        </w:rPr>
        <w:t> </w:t>
      </w:r>
      <w:r>
        <w:rPr/>
        <w:t>en</w:t>
      </w:r>
      <w:r>
        <w:rPr>
          <w:spacing w:val="-5"/>
        </w:rPr>
        <w:t> </w:t>
      </w:r>
      <w:r>
        <w:rPr/>
        <w:t>Período</w:t>
      </w:r>
      <w:r>
        <w:rPr>
          <w:spacing w:val="-6"/>
        </w:rPr>
        <w:t> </w:t>
      </w:r>
      <w:r>
        <w:rPr/>
        <w:t>de</w:t>
      </w:r>
      <w:r>
        <w:rPr>
          <w:spacing w:val="-2"/>
        </w:rPr>
        <w:t> </w:t>
      </w:r>
      <w:r>
        <w:rPr/>
        <w:t>Adiestramiento</w:t>
      </w:r>
      <w:r>
        <w:rPr>
          <w:spacing w:val="-8"/>
        </w:rPr>
        <w:t> </w:t>
      </w:r>
      <w:r>
        <w:rPr/>
        <w:t>en</w:t>
      </w:r>
      <w:r>
        <w:rPr>
          <w:spacing w:val="-5"/>
        </w:rPr>
        <w:t> </w:t>
      </w:r>
      <w:r>
        <w:rPr/>
        <w:t>una</w:t>
      </w:r>
      <w:r>
        <w:rPr>
          <w:spacing w:val="-4"/>
        </w:rPr>
        <w:t> </w:t>
      </w:r>
      <w:r>
        <w:rPr>
          <w:spacing w:val="-2"/>
        </w:rPr>
        <w:t>Especialidad</w:t>
      </w:r>
    </w:p>
    <w:p>
      <w:pPr>
        <w:spacing w:before="0"/>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30-12-</w:t>
      </w:r>
      <w:r>
        <w:rPr>
          <w:rFonts w:ascii="Times New Roman" w:hAnsi="Times New Roman"/>
          <w:i/>
          <w:color w:val="0000FF"/>
          <w:spacing w:val="-4"/>
          <w:sz w:val="16"/>
        </w:rPr>
        <w:t>1977</w:t>
      </w:r>
    </w:p>
    <w:p>
      <w:pPr>
        <w:pStyle w:val="BodyText"/>
        <w:spacing w:before="48"/>
        <w:rPr>
          <w:rFonts w:ascii="Times New Roman"/>
          <w:i/>
          <w:sz w:val="16"/>
        </w:rPr>
      </w:pPr>
    </w:p>
    <w:p>
      <w:pPr>
        <w:spacing w:before="0"/>
        <w:ind w:left="626" w:right="0" w:firstLine="0"/>
        <w:jc w:val="left"/>
        <w:rPr>
          <w:sz w:val="20"/>
        </w:rPr>
      </w:pPr>
      <w:bookmarkStart w:name="Artículo_353_A" w:id="450"/>
      <w:bookmarkEnd w:id="450"/>
      <w:r>
        <w:rPr/>
      </w:r>
      <w:r>
        <w:rPr>
          <w:rFonts w:ascii="Arial" w:hAnsi="Arial"/>
          <w:b/>
          <w:sz w:val="20"/>
        </w:rPr>
        <w:t>Artículo</w:t>
      </w:r>
      <w:r>
        <w:rPr>
          <w:rFonts w:ascii="Arial" w:hAnsi="Arial"/>
          <w:b/>
          <w:spacing w:val="-7"/>
          <w:sz w:val="20"/>
        </w:rPr>
        <w:t> </w:t>
      </w:r>
      <w:r>
        <w:rPr>
          <w:rFonts w:ascii="Arial" w:hAnsi="Arial"/>
          <w:b/>
          <w:sz w:val="20"/>
        </w:rPr>
        <w:t>353-A.-</w:t>
      </w:r>
      <w:r>
        <w:rPr>
          <w:rFonts w:ascii="Arial" w:hAnsi="Arial"/>
          <w:b/>
          <w:spacing w:val="-4"/>
          <w:sz w:val="20"/>
        </w:rPr>
        <w:t> </w:t>
      </w:r>
      <w:r>
        <w:rPr>
          <w:sz w:val="20"/>
        </w:rPr>
        <w:t>Para</w:t>
      </w:r>
      <w:r>
        <w:rPr>
          <w:spacing w:val="-6"/>
          <w:sz w:val="20"/>
        </w:rPr>
        <w:t> </w:t>
      </w:r>
      <w:r>
        <w:rPr>
          <w:sz w:val="20"/>
        </w:rPr>
        <w:t>los</w:t>
      </w:r>
      <w:r>
        <w:rPr>
          <w:spacing w:val="-6"/>
          <w:sz w:val="20"/>
        </w:rPr>
        <w:t> </w:t>
      </w:r>
      <w:r>
        <w:rPr>
          <w:sz w:val="20"/>
        </w:rPr>
        <w:t>efectos</w:t>
      </w:r>
      <w:r>
        <w:rPr>
          <w:spacing w:val="-7"/>
          <w:sz w:val="20"/>
        </w:rPr>
        <w:t> </w:t>
      </w:r>
      <w:r>
        <w:rPr>
          <w:sz w:val="20"/>
        </w:rPr>
        <w:t>de</w:t>
      </w:r>
      <w:r>
        <w:rPr>
          <w:spacing w:val="-8"/>
          <w:sz w:val="20"/>
        </w:rPr>
        <w:t> </w:t>
      </w:r>
      <w:r>
        <w:rPr>
          <w:sz w:val="20"/>
        </w:rPr>
        <w:t>este</w:t>
      </w:r>
      <w:r>
        <w:rPr>
          <w:spacing w:val="-8"/>
          <w:sz w:val="20"/>
        </w:rPr>
        <w:t> </w:t>
      </w:r>
      <w:r>
        <w:rPr>
          <w:sz w:val="20"/>
        </w:rPr>
        <w:t>Capítulo,</w:t>
      </w:r>
      <w:r>
        <w:rPr>
          <w:spacing w:val="-7"/>
          <w:sz w:val="20"/>
        </w:rPr>
        <w:t> </w:t>
      </w:r>
      <w:r>
        <w:rPr>
          <w:sz w:val="20"/>
        </w:rPr>
        <w:t>se</w:t>
      </w:r>
      <w:r>
        <w:rPr>
          <w:spacing w:val="-6"/>
          <w:sz w:val="20"/>
        </w:rPr>
        <w:t> </w:t>
      </w:r>
      <w:r>
        <w:rPr>
          <w:sz w:val="20"/>
        </w:rPr>
        <w:t>entiende</w:t>
      </w:r>
      <w:r>
        <w:rPr>
          <w:spacing w:val="-7"/>
          <w:sz w:val="20"/>
        </w:rPr>
        <w:t> </w:t>
      </w:r>
      <w:r>
        <w:rPr>
          <w:spacing w:val="-4"/>
          <w:sz w:val="20"/>
        </w:rPr>
        <w:t>por:</w:t>
      </w:r>
    </w:p>
    <w:p>
      <w:pPr>
        <w:pStyle w:val="BodyText"/>
      </w:pPr>
    </w:p>
    <w:p>
      <w:pPr>
        <w:pStyle w:val="ListParagraph"/>
        <w:numPr>
          <w:ilvl w:val="0"/>
          <w:numId w:val="102"/>
        </w:numPr>
        <w:tabs>
          <w:tab w:pos="1193" w:val="left" w:leader="none"/>
          <w:tab w:pos="1195" w:val="left" w:leader="none"/>
        </w:tabs>
        <w:spacing w:line="240" w:lineRule="auto" w:before="1" w:after="0"/>
        <w:ind w:left="1195" w:right="340" w:hanging="569"/>
        <w:jc w:val="both"/>
        <w:rPr>
          <w:sz w:val="20"/>
        </w:rPr>
      </w:pPr>
      <w:r>
        <w:rPr>
          <w:sz w:val="20"/>
        </w:rPr>
        <w:t>Médico Residente: El profesional de la medicina con Título legalmente expedido y registrado ante las autoridades competentes, que ingrese a una Unidad Médica Receptora de Residentes, para cumplir con una residencia.</w:t>
      </w:r>
    </w:p>
    <w:p>
      <w:pPr>
        <w:pStyle w:val="ListParagraph"/>
        <w:numPr>
          <w:ilvl w:val="0"/>
          <w:numId w:val="102"/>
        </w:numPr>
        <w:tabs>
          <w:tab w:pos="1192" w:val="left" w:leader="none"/>
          <w:tab w:pos="1195" w:val="left" w:leader="none"/>
        </w:tabs>
        <w:spacing w:line="242" w:lineRule="auto" w:before="227" w:after="0"/>
        <w:ind w:left="1195" w:right="338" w:hanging="569"/>
        <w:jc w:val="both"/>
        <w:rPr>
          <w:sz w:val="20"/>
        </w:rPr>
      </w:pPr>
      <w:r>
        <w:rPr>
          <w:sz w:val="20"/>
        </w:rPr>
        <w:t>Unidad Médica Receptora de Residentes: El establecimiento hospitalario en el cual se pueden cumplir las residencias, que para los efectos de la Ley General de Salud, exige la especialización de los profesionales de la medicina;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102"/>
        </w:numPr>
        <w:tabs>
          <w:tab w:pos="1191" w:val="left" w:leader="none"/>
          <w:tab w:pos="1195" w:val="left" w:leader="none"/>
        </w:tabs>
        <w:spacing w:line="240" w:lineRule="auto" w:before="0" w:after="0"/>
        <w:ind w:left="1195" w:right="342" w:hanging="569"/>
        <w:jc w:val="both"/>
        <w:rPr>
          <w:sz w:val="20"/>
        </w:rPr>
      </w:pPr>
      <w:r>
        <w:rPr>
          <w:sz w:val="20"/>
        </w:rPr>
        <w:t>Residencia: El conjunto de actividades que deba cumplir un Médico Residente en período de adiestramiento; para realizar estudios y prácticas de postrado, respecto de la disciplina de la salud a que pretenda dedicarse, dentro de una Unidad Médica Receptora de Residentes, durante el tiempo y conforme a los requisitos que señalen las disposiciones académicas </w:t>
      </w:r>
      <w:r>
        <w:rPr>
          <w:spacing w:val="-2"/>
          <w:sz w:val="20"/>
        </w:rPr>
        <w:t>respectivas.</w:t>
      </w:r>
    </w:p>
    <w:p>
      <w:pPr>
        <w:spacing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1977</w:t>
      </w:r>
    </w:p>
    <w:p>
      <w:pPr>
        <w:pStyle w:val="BodyText"/>
        <w:spacing w:before="44"/>
        <w:rPr>
          <w:rFonts w:ascii="Times New Roman"/>
          <w:i/>
          <w:sz w:val="16"/>
        </w:rPr>
      </w:pPr>
    </w:p>
    <w:p>
      <w:pPr>
        <w:pStyle w:val="BodyText"/>
        <w:spacing w:line="242" w:lineRule="auto" w:before="1"/>
        <w:ind w:left="338" w:right="345" w:firstLine="288"/>
        <w:jc w:val="both"/>
      </w:pPr>
      <w:bookmarkStart w:name="Artículo_353_B" w:id="451"/>
      <w:bookmarkEnd w:id="451"/>
      <w:r>
        <w:rPr/>
      </w:r>
      <w:r>
        <w:rPr>
          <w:rFonts w:ascii="Arial" w:hAnsi="Arial"/>
          <w:b/>
        </w:rPr>
        <w:t>Artículo 353-B.- </w:t>
      </w:r>
      <w:r>
        <w:rPr/>
        <w:t>Las relaciones laborales entre los Médicos Residentes y la persona moral o física de quien dependa la Unidad Médica Receptora de Residentes, se regirán por las disposiciones de este Capítulo y por las estipulaciones contenidas en el contrato respectivo, en cuanto no las contradigan.</w:t>
      </w:r>
    </w:p>
    <w:p>
      <w:pPr>
        <w:spacing w:line="178"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1977</w:t>
      </w:r>
    </w:p>
    <w:p>
      <w:pPr>
        <w:pStyle w:val="BodyText"/>
        <w:spacing w:before="45"/>
        <w:rPr>
          <w:rFonts w:ascii="Times New Roman"/>
          <w:i/>
          <w:sz w:val="16"/>
        </w:rPr>
      </w:pPr>
    </w:p>
    <w:p>
      <w:pPr>
        <w:pStyle w:val="BodyText"/>
        <w:spacing w:line="242" w:lineRule="auto"/>
        <w:ind w:left="338" w:right="342" w:firstLine="288"/>
        <w:jc w:val="both"/>
      </w:pPr>
      <w:bookmarkStart w:name="Artículo_353_C" w:id="452"/>
      <w:bookmarkEnd w:id="452"/>
      <w:r>
        <w:rPr/>
      </w:r>
      <w:r>
        <w:rPr>
          <w:rFonts w:ascii="Arial" w:hAnsi="Arial"/>
          <w:b/>
        </w:rPr>
        <w:t>Artículo 353-C.- </w:t>
      </w:r>
      <w:r>
        <w:rPr/>
        <w:t>Son derechos especiales de los Médicos Residentes, que deberán consignarse en los contratos que se otorguen, a más de los previstos en esta Ley, los siguientes:</w:t>
      </w:r>
    </w:p>
    <w:p>
      <w:pPr>
        <w:pStyle w:val="ListParagraph"/>
        <w:numPr>
          <w:ilvl w:val="0"/>
          <w:numId w:val="103"/>
        </w:numPr>
        <w:tabs>
          <w:tab w:pos="1195" w:val="left" w:leader="none"/>
        </w:tabs>
        <w:spacing w:line="240" w:lineRule="auto" w:before="227" w:after="0"/>
        <w:ind w:left="1195" w:right="0" w:hanging="569"/>
        <w:jc w:val="left"/>
        <w:rPr>
          <w:sz w:val="20"/>
        </w:rPr>
      </w:pPr>
      <w:r>
        <w:rPr>
          <w:sz w:val="20"/>
        </w:rPr>
        <w:t>Disfrutar</w:t>
      </w:r>
      <w:r>
        <w:rPr>
          <w:spacing w:val="-7"/>
          <w:sz w:val="20"/>
        </w:rPr>
        <w:t> </w:t>
      </w:r>
      <w:r>
        <w:rPr>
          <w:sz w:val="20"/>
        </w:rPr>
        <w:t>de</w:t>
      </w:r>
      <w:r>
        <w:rPr>
          <w:spacing w:val="-8"/>
          <w:sz w:val="20"/>
        </w:rPr>
        <w:t> </w:t>
      </w:r>
      <w:r>
        <w:rPr>
          <w:sz w:val="20"/>
        </w:rPr>
        <w:t>las</w:t>
      </w:r>
      <w:r>
        <w:rPr>
          <w:spacing w:val="-6"/>
          <w:sz w:val="20"/>
        </w:rPr>
        <w:t> </w:t>
      </w:r>
      <w:r>
        <w:rPr>
          <w:sz w:val="20"/>
        </w:rPr>
        <w:t>prestaciones</w:t>
      </w:r>
      <w:r>
        <w:rPr>
          <w:spacing w:val="-6"/>
          <w:sz w:val="20"/>
        </w:rPr>
        <w:t> </w:t>
      </w:r>
      <w:r>
        <w:rPr>
          <w:sz w:val="20"/>
        </w:rPr>
        <w:t>que</w:t>
      </w:r>
      <w:r>
        <w:rPr>
          <w:spacing w:val="-7"/>
          <w:sz w:val="20"/>
        </w:rPr>
        <w:t> </w:t>
      </w:r>
      <w:r>
        <w:rPr>
          <w:sz w:val="20"/>
        </w:rPr>
        <w:t>sean</w:t>
      </w:r>
      <w:r>
        <w:rPr>
          <w:spacing w:val="-7"/>
          <w:sz w:val="20"/>
        </w:rPr>
        <w:t> </w:t>
      </w:r>
      <w:r>
        <w:rPr>
          <w:sz w:val="20"/>
        </w:rPr>
        <w:t>necesarias</w:t>
      </w:r>
      <w:r>
        <w:rPr>
          <w:spacing w:val="-6"/>
          <w:sz w:val="20"/>
        </w:rPr>
        <w:t> </w:t>
      </w:r>
      <w:r>
        <w:rPr>
          <w:sz w:val="20"/>
        </w:rPr>
        <w:t>para</w:t>
      </w:r>
      <w:r>
        <w:rPr>
          <w:spacing w:val="-7"/>
          <w:sz w:val="20"/>
        </w:rPr>
        <w:t> </w:t>
      </w:r>
      <w:r>
        <w:rPr>
          <w:sz w:val="20"/>
        </w:rPr>
        <w:t>el</w:t>
      </w:r>
      <w:r>
        <w:rPr>
          <w:spacing w:val="-6"/>
          <w:sz w:val="20"/>
        </w:rPr>
        <w:t> </w:t>
      </w:r>
      <w:r>
        <w:rPr>
          <w:sz w:val="20"/>
        </w:rPr>
        <w:t>cumplimiento</w:t>
      </w:r>
      <w:r>
        <w:rPr>
          <w:spacing w:val="-8"/>
          <w:sz w:val="20"/>
        </w:rPr>
        <w:t> </w:t>
      </w:r>
      <w:r>
        <w:rPr>
          <w:sz w:val="20"/>
        </w:rPr>
        <w:t>de</w:t>
      </w:r>
      <w:r>
        <w:rPr>
          <w:spacing w:val="-6"/>
          <w:sz w:val="20"/>
        </w:rPr>
        <w:t> </w:t>
      </w:r>
      <w:r>
        <w:rPr>
          <w:sz w:val="20"/>
        </w:rPr>
        <w:t>la</w:t>
      </w:r>
      <w:r>
        <w:rPr>
          <w:spacing w:val="-6"/>
          <w:sz w:val="20"/>
        </w:rPr>
        <w:t> </w:t>
      </w:r>
      <w:r>
        <w:rPr>
          <w:spacing w:val="-2"/>
          <w:sz w:val="20"/>
        </w:rPr>
        <w:t>Residencia;</w:t>
      </w:r>
    </w:p>
    <w:p>
      <w:pPr>
        <w:pStyle w:val="BodyText"/>
        <w:spacing w:before="1"/>
      </w:pPr>
    </w:p>
    <w:p>
      <w:pPr>
        <w:pStyle w:val="ListParagraph"/>
        <w:numPr>
          <w:ilvl w:val="0"/>
          <w:numId w:val="103"/>
        </w:numPr>
        <w:tabs>
          <w:tab w:pos="1195" w:val="left" w:leader="none"/>
        </w:tabs>
        <w:spacing w:line="240" w:lineRule="auto" w:before="0" w:after="0"/>
        <w:ind w:left="1195" w:right="345" w:hanging="569"/>
        <w:jc w:val="left"/>
        <w:rPr>
          <w:sz w:val="20"/>
        </w:rPr>
      </w:pPr>
      <w:r>
        <w:rPr>
          <w:sz w:val="20"/>
        </w:rPr>
        <w:t>Ejercer</w:t>
      </w:r>
      <w:r>
        <w:rPr>
          <w:spacing w:val="40"/>
          <w:sz w:val="20"/>
        </w:rPr>
        <w:t> </w:t>
      </w:r>
      <w:r>
        <w:rPr>
          <w:sz w:val="20"/>
        </w:rPr>
        <w:t>su</w:t>
      </w:r>
      <w:r>
        <w:rPr>
          <w:spacing w:val="40"/>
          <w:sz w:val="20"/>
        </w:rPr>
        <w:t> </w:t>
      </w:r>
      <w:r>
        <w:rPr>
          <w:sz w:val="20"/>
        </w:rPr>
        <w:t>Residencia</w:t>
      </w:r>
      <w:r>
        <w:rPr>
          <w:spacing w:val="40"/>
          <w:sz w:val="20"/>
        </w:rPr>
        <w:t> </w:t>
      </w:r>
      <w:r>
        <w:rPr>
          <w:sz w:val="20"/>
        </w:rPr>
        <w:t>hasta</w:t>
      </w:r>
      <w:r>
        <w:rPr>
          <w:spacing w:val="40"/>
          <w:sz w:val="20"/>
        </w:rPr>
        <w:t> </w:t>
      </w:r>
      <w:r>
        <w:rPr>
          <w:sz w:val="20"/>
        </w:rPr>
        <w:t>concluir</w:t>
      </w:r>
      <w:r>
        <w:rPr>
          <w:spacing w:val="40"/>
          <w:sz w:val="20"/>
        </w:rPr>
        <w:t> </w:t>
      </w:r>
      <w:r>
        <w:rPr>
          <w:sz w:val="20"/>
        </w:rPr>
        <w:t>su</w:t>
      </w:r>
      <w:r>
        <w:rPr>
          <w:spacing w:val="40"/>
          <w:sz w:val="20"/>
        </w:rPr>
        <w:t> </w:t>
      </w:r>
      <w:r>
        <w:rPr>
          <w:sz w:val="20"/>
        </w:rPr>
        <w:t>especialidad,</w:t>
      </w:r>
      <w:r>
        <w:rPr>
          <w:spacing w:val="40"/>
          <w:sz w:val="20"/>
        </w:rPr>
        <w:t> </w:t>
      </w:r>
      <w:r>
        <w:rPr>
          <w:sz w:val="20"/>
        </w:rPr>
        <w:t>siempre</w:t>
      </w:r>
      <w:r>
        <w:rPr>
          <w:spacing w:val="40"/>
          <w:sz w:val="20"/>
        </w:rPr>
        <w:t> </w:t>
      </w:r>
      <w:r>
        <w:rPr>
          <w:sz w:val="20"/>
        </w:rPr>
        <w:t>y</w:t>
      </w:r>
      <w:r>
        <w:rPr>
          <w:spacing w:val="40"/>
          <w:sz w:val="20"/>
        </w:rPr>
        <w:t> </w:t>
      </w:r>
      <w:r>
        <w:rPr>
          <w:sz w:val="20"/>
        </w:rPr>
        <w:t>cuando</w:t>
      </w:r>
      <w:r>
        <w:rPr>
          <w:spacing w:val="40"/>
          <w:sz w:val="20"/>
        </w:rPr>
        <w:t> </w:t>
      </w:r>
      <w:r>
        <w:rPr>
          <w:sz w:val="20"/>
        </w:rPr>
        <w:t>cumplan</w:t>
      </w:r>
      <w:r>
        <w:rPr>
          <w:spacing w:val="40"/>
          <w:sz w:val="20"/>
        </w:rPr>
        <w:t> </w:t>
      </w:r>
      <w:r>
        <w:rPr>
          <w:sz w:val="20"/>
        </w:rPr>
        <w:t>con</w:t>
      </w:r>
      <w:r>
        <w:rPr>
          <w:spacing w:val="40"/>
          <w:sz w:val="20"/>
        </w:rPr>
        <w:t> </w:t>
      </w:r>
      <w:r>
        <w:rPr>
          <w:sz w:val="20"/>
        </w:rPr>
        <w:t>los requisitos que establece este Capítulo.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1977</w:t>
      </w:r>
    </w:p>
    <w:p>
      <w:pPr>
        <w:spacing w:after="0" w:line="182" w:lineRule="exact"/>
        <w:jc w:val="righ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spacing w:before="0"/>
        <w:ind w:left="626" w:right="0" w:firstLine="0"/>
        <w:jc w:val="left"/>
        <w:rPr>
          <w:sz w:val="20"/>
        </w:rPr>
      </w:pPr>
      <w:bookmarkStart w:name="Artículo_353_D" w:id="453"/>
      <w:bookmarkEnd w:id="453"/>
      <w:r>
        <w:rPr/>
      </w:r>
      <w:r>
        <w:rPr>
          <w:rFonts w:ascii="Arial" w:hAnsi="Arial"/>
          <w:b/>
          <w:sz w:val="20"/>
        </w:rPr>
        <w:t>Artículo</w:t>
      </w:r>
      <w:r>
        <w:rPr>
          <w:rFonts w:ascii="Arial" w:hAnsi="Arial"/>
          <w:b/>
          <w:spacing w:val="-9"/>
          <w:sz w:val="20"/>
        </w:rPr>
        <w:t> </w:t>
      </w:r>
      <w:r>
        <w:rPr>
          <w:rFonts w:ascii="Arial" w:hAnsi="Arial"/>
          <w:b/>
          <w:sz w:val="20"/>
        </w:rPr>
        <w:t>353-D.-</w:t>
      </w:r>
      <w:r>
        <w:rPr>
          <w:rFonts w:ascii="Arial" w:hAnsi="Arial"/>
          <w:b/>
          <w:spacing w:val="-7"/>
          <w:sz w:val="20"/>
        </w:rPr>
        <w:t> </w:t>
      </w:r>
      <w:r>
        <w:rPr>
          <w:sz w:val="20"/>
        </w:rPr>
        <w:t>Son</w:t>
      </w:r>
      <w:r>
        <w:rPr>
          <w:spacing w:val="-8"/>
          <w:sz w:val="20"/>
        </w:rPr>
        <w:t> </w:t>
      </w:r>
      <w:r>
        <w:rPr>
          <w:sz w:val="20"/>
        </w:rPr>
        <w:t>obligaciones</w:t>
      </w:r>
      <w:r>
        <w:rPr>
          <w:spacing w:val="-8"/>
          <w:sz w:val="20"/>
        </w:rPr>
        <w:t> </w:t>
      </w:r>
      <w:r>
        <w:rPr>
          <w:sz w:val="20"/>
        </w:rPr>
        <w:t>especiales</w:t>
      </w:r>
      <w:r>
        <w:rPr>
          <w:spacing w:val="-9"/>
          <w:sz w:val="20"/>
        </w:rPr>
        <w:t> </w:t>
      </w:r>
      <w:r>
        <w:rPr>
          <w:sz w:val="20"/>
        </w:rPr>
        <w:t>del</w:t>
      </w:r>
      <w:r>
        <w:rPr>
          <w:spacing w:val="-10"/>
          <w:sz w:val="20"/>
        </w:rPr>
        <w:t> </w:t>
      </w:r>
      <w:r>
        <w:rPr>
          <w:sz w:val="20"/>
        </w:rPr>
        <w:t>Médico</w:t>
      </w:r>
      <w:r>
        <w:rPr>
          <w:spacing w:val="-9"/>
          <w:sz w:val="20"/>
        </w:rPr>
        <w:t> </w:t>
      </w:r>
      <w:r>
        <w:rPr>
          <w:sz w:val="20"/>
        </w:rPr>
        <w:t>Residente,</w:t>
      </w:r>
      <w:r>
        <w:rPr>
          <w:spacing w:val="-8"/>
          <w:sz w:val="20"/>
        </w:rPr>
        <w:t> </w:t>
      </w:r>
      <w:r>
        <w:rPr>
          <w:sz w:val="20"/>
        </w:rPr>
        <w:t>las</w:t>
      </w:r>
      <w:r>
        <w:rPr>
          <w:spacing w:val="-8"/>
          <w:sz w:val="20"/>
        </w:rPr>
        <w:t> </w:t>
      </w:r>
      <w:r>
        <w:rPr>
          <w:spacing w:val="-2"/>
          <w:sz w:val="20"/>
        </w:rPr>
        <w:t>siguientes:</w:t>
      </w:r>
    </w:p>
    <w:p>
      <w:pPr>
        <w:pStyle w:val="BodyText"/>
        <w:spacing w:before="1"/>
      </w:pPr>
    </w:p>
    <w:p>
      <w:pPr>
        <w:pStyle w:val="ListParagraph"/>
        <w:numPr>
          <w:ilvl w:val="0"/>
          <w:numId w:val="104"/>
        </w:numPr>
        <w:tabs>
          <w:tab w:pos="1193" w:val="left" w:leader="none"/>
          <w:tab w:pos="1195" w:val="left" w:leader="none"/>
        </w:tabs>
        <w:spacing w:line="242" w:lineRule="auto" w:before="0" w:after="0"/>
        <w:ind w:left="1195" w:right="341" w:hanging="569"/>
        <w:jc w:val="both"/>
        <w:rPr>
          <w:sz w:val="20"/>
        </w:rPr>
      </w:pPr>
      <w:r>
        <w:rPr>
          <w:sz w:val="20"/>
        </w:rPr>
        <w:t>Cumplir la etapa de instrucción académica y el adiestramiento, de acuerdo con el programa docente académico que esté vigente en la Unidad Médica Receptora de Residentes;</w:t>
      </w:r>
    </w:p>
    <w:p>
      <w:pPr>
        <w:pStyle w:val="ListParagraph"/>
        <w:numPr>
          <w:ilvl w:val="0"/>
          <w:numId w:val="104"/>
        </w:numPr>
        <w:tabs>
          <w:tab w:pos="1192" w:val="left" w:leader="none"/>
          <w:tab w:pos="1195" w:val="left" w:leader="none"/>
        </w:tabs>
        <w:spacing w:line="240" w:lineRule="auto" w:before="226" w:after="0"/>
        <w:ind w:left="1195" w:right="346" w:hanging="569"/>
        <w:jc w:val="both"/>
        <w:rPr>
          <w:sz w:val="20"/>
        </w:rPr>
      </w:pPr>
      <w:r>
        <w:rPr>
          <w:sz w:val="20"/>
        </w:rPr>
        <w:t>Acatar las órdenes de las personas designadas para impartir el adiestramiento o para dirigir el desarrollo del trabajo, en lo concerniente a aquél y a éste;</w:t>
      </w:r>
    </w:p>
    <w:p>
      <w:pPr>
        <w:pStyle w:val="ListParagraph"/>
        <w:numPr>
          <w:ilvl w:val="0"/>
          <w:numId w:val="104"/>
        </w:numPr>
        <w:tabs>
          <w:tab w:pos="1191" w:val="left" w:leader="none"/>
          <w:tab w:pos="1195" w:val="left" w:leader="none"/>
        </w:tabs>
        <w:spacing w:line="242" w:lineRule="auto" w:before="229" w:after="0"/>
        <w:ind w:left="1195" w:right="337" w:hanging="569"/>
        <w:jc w:val="both"/>
        <w:rPr>
          <w:sz w:val="20"/>
        </w:rPr>
      </w:pPr>
      <w:r>
        <w:rPr>
          <w:sz w:val="20"/>
        </w:rPr>
        <w:t>Cumplir las disposiciones internas de la Unidad Médica Receptora de Residentes de que se trate, en cuanto no contraríen las contenidas en esta Ley;</w:t>
      </w:r>
    </w:p>
    <w:p>
      <w:pPr>
        <w:pStyle w:val="ListParagraph"/>
        <w:numPr>
          <w:ilvl w:val="0"/>
          <w:numId w:val="104"/>
        </w:numPr>
        <w:tabs>
          <w:tab w:pos="1195" w:val="left" w:leader="none"/>
        </w:tabs>
        <w:spacing w:line="240" w:lineRule="auto" w:before="227" w:after="0"/>
        <w:ind w:left="1195" w:right="334" w:hanging="569"/>
        <w:jc w:val="both"/>
        <w:rPr>
          <w:sz w:val="20"/>
        </w:rPr>
      </w:pPr>
      <w:r>
        <w:rPr>
          <w:sz w:val="20"/>
        </w:rPr>
        <w:t>Asistir a las conferencias de teoría sesiones clínicas, anatomoclínicas, clinicorradiológicas, bibliográficas y demás actividades académicas que se señalen como parte de los estudios de </w:t>
      </w:r>
      <w:r>
        <w:rPr>
          <w:spacing w:val="-2"/>
          <w:sz w:val="20"/>
        </w:rPr>
        <w:t>especialización;</w:t>
      </w:r>
    </w:p>
    <w:p>
      <w:pPr>
        <w:pStyle w:val="BodyText"/>
      </w:pPr>
    </w:p>
    <w:p>
      <w:pPr>
        <w:pStyle w:val="ListParagraph"/>
        <w:numPr>
          <w:ilvl w:val="0"/>
          <w:numId w:val="104"/>
        </w:numPr>
        <w:tabs>
          <w:tab w:pos="1195" w:val="left" w:leader="none"/>
        </w:tabs>
        <w:spacing w:line="242" w:lineRule="auto" w:before="0" w:after="0"/>
        <w:ind w:left="1195" w:right="342" w:hanging="569"/>
        <w:jc w:val="both"/>
        <w:rPr>
          <w:sz w:val="20"/>
        </w:rPr>
      </w:pPr>
      <w:r>
        <w:rPr>
          <w:sz w:val="20"/>
        </w:rPr>
        <w:t>Permanecer en la Unidad Médica Receptora de Residentes, en los términos del artículo siguiente; y</w:t>
      </w:r>
    </w:p>
    <w:p>
      <w:pPr>
        <w:pStyle w:val="ListParagraph"/>
        <w:numPr>
          <w:ilvl w:val="0"/>
          <w:numId w:val="104"/>
        </w:numPr>
        <w:tabs>
          <w:tab w:pos="1195" w:val="left" w:leader="none"/>
        </w:tabs>
        <w:spacing w:line="242" w:lineRule="auto" w:before="224" w:after="0"/>
        <w:ind w:left="1195" w:right="343" w:hanging="569"/>
        <w:jc w:val="both"/>
        <w:rPr>
          <w:sz w:val="20"/>
        </w:rPr>
      </w:pPr>
      <w:r>
        <w:rPr>
          <w:sz w:val="20"/>
        </w:rPr>
        <w:t>Someterse y aprobar los exámenes periódicos de evaluación de conocimientos y destreza adquiridos, de acuerdo a las disposiciones académicas y normas administrativas de la Unidad </w:t>
      </w:r>
      <w:r>
        <w:rPr>
          <w:spacing w:val="-2"/>
          <w:sz w:val="20"/>
        </w:rPr>
        <w:t>correspondiente.</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1977</w:t>
      </w:r>
    </w:p>
    <w:p>
      <w:pPr>
        <w:pStyle w:val="BodyText"/>
        <w:spacing w:before="45"/>
        <w:rPr>
          <w:rFonts w:ascii="Times New Roman"/>
          <w:i/>
          <w:sz w:val="16"/>
        </w:rPr>
      </w:pPr>
    </w:p>
    <w:p>
      <w:pPr>
        <w:pStyle w:val="BodyText"/>
        <w:spacing w:line="242" w:lineRule="auto"/>
        <w:ind w:left="338" w:right="341" w:firstLine="288"/>
        <w:jc w:val="both"/>
      </w:pPr>
      <w:bookmarkStart w:name="Artículo_353_E" w:id="454"/>
      <w:bookmarkEnd w:id="454"/>
      <w:r>
        <w:rPr/>
      </w:r>
      <w:r>
        <w:rPr>
          <w:rFonts w:ascii="Arial" w:hAnsi="Arial"/>
          <w:b/>
        </w:rPr>
        <w:t>Artículo 353-E.- </w:t>
      </w:r>
      <w:r>
        <w:rPr/>
        <w:t>Dentro del tiempo que el Médico Residente debe permanecer en la Unidad Médica Receptora de Residentes, conforme a las disposiciones docentes respectivas, quedan incluidos, la jornada laboral junto al adiestramiento en la especialidad, tanto en relación con pacientes como en las demás formas de estudio o práctica, y los períodos para disfrutar de reposo e ingerir alimentos.</w:t>
      </w:r>
    </w:p>
    <w:p>
      <w:pPr>
        <w:spacing w:line="17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1977</w:t>
      </w:r>
    </w:p>
    <w:p>
      <w:pPr>
        <w:pStyle w:val="BodyText"/>
        <w:spacing w:before="47"/>
        <w:rPr>
          <w:rFonts w:ascii="Times New Roman"/>
          <w:i/>
          <w:sz w:val="16"/>
        </w:rPr>
      </w:pPr>
    </w:p>
    <w:p>
      <w:pPr>
        <w:pStyle w:val="BodyText"/>
        <w:spacing w:line="242" w:lineRule="auto" w:before="1"/>
        <w:ind w:left="338" w:right="342" w:firstLine="288"/>
        <w:jc w:val="both"/>
      </w:pPr>
      <w:bookmarkStart w:name="Artículo_353_F" w:id="455"/>
      <w:bookmarkEnd w:id="455"/>
      <w:r>
        <w:rPr/>
      </w:r>
      <w:r>
        <w:rPr>
          <w:rFonts w:ascii="Arial" w:hAnsi="Arial"/>
          <w:b/>
        </w:rPr>
        <w:t>Artículo</w:t>
      </w:r>
      <w:r>
        <w:rPr>
          <w:rFonts w:ascii="Arial" w:hAnsi="Arial"/>
          <w:b/>
          <w:spacing w:val="-1"/>
        </w:rPr>
        <w:t> </w:t>
      </w:r>
      <w:r>
        <w:rPr>
          <w:rFonts w:ascii="Arial" w:hAnsi="Arial"/>
          <w:b/>
        </w:rPr>
        <w:t>353-F.-</w:t>
      </w:r>
      <w:r>
        <w:rPr>
          <w:rFonts w:ascii="Arial" w:hAnsi="Arial"/>
          <w:b/>
          <w:spacing w:val="-1"/>
        </w:rPr>
        <w:t> </w:t>
      </w:r>
      <w:r>
        <w:rPr/>
        <w:t>La</w:t>
      </w:r>
      <w:r>
        <w:rPr>
          <w:spacing w:val="-3"/>
        </w:rPr>
        <w:t> </w:t>
      </w:r>
      <w:r>
        <w:rPr/>
        <w:t>relación</w:t>
      </w:r>
      <w:r>
        <w:rPr>
          <w:spacing w:val="-2"/>
        </w:rPr>
        <w:t> </w:t>
      </w:r>
      <w:r>
        <w:rPr/>
        <w:t>de</w:t>
      </w:r>
      <w:r>
        <w:rPr>
          <w:spacing w:val="-3"/>
        </w:rPr>
        <w:t> </w:t>
      </w:r>
      <w:r>
        <w:rPr/>
        <w:t>trabajo</w:t>
      </w:r>
      <w:r>
        <w:rPr>
          <w:spacing w:val="-2"/>
        </w:rPr>
        <w:t> </w:t>
      </w:r>
      <w:r>
        <w:rPr/>
        <w:t>será</w:t>
      </w:r>
      <w:r>
        <w:rPr>
          <w:spacing w:val="-2"/>
        </w:rPr>
        <w:t> </w:t>
      </w:r>
      <w:r>
        <w:rPr/>
        <w:t>por</w:t>
      </w:r>
      <w:r>
        <w:rPr>
          <w:spacing w:val="-1"/>
        </w:rPr>
        <w:t> </w:t>
      </w:r>
      <w:r>
        <w:rPr/>
        <w:t>tiempo</w:t>
      </w:r>
      <w:r>
        <w:rPr>
          <w:spacing w:val="-3"/>
        </w:rPr>
        <w:t> </w:t>
      </w:r>
      <w:r>
        <w:rPr/>
        <w:t>determinado, no</w:t>
      </w:r>
      <w:r>
        <w:rPr>
          <w:spacing w:val="-3"/>
        </w:rPr>
        <w:t> </w:t>
      </w:r>
      <w:r>
        <w:rPr/>
        <w:t>menor</w:t>
      </w:r>
      <w:r>
        <w:rPr>
          <w:spacing w:val="-1"/>
        </w:rPr>
        <w:t> </w:t>
      </w:r>
      <w:r>
        <w:rPr/>
        <w:t>de</w:t>
      </w:r>
      <w:r>
        <w:rPr>
          <w:spacing w:val="-3"/>
        </w:rPr>
        <w:t> </w:t>
      </w:r>
      <w:r>
        <w:rPr/>
        <w:t>un</w:t>
      </w:r>
      <w:r>
        <w:rPr>
          <w:spacing w:val="-3"/>
        </w:rPr>
        <w:t> </w:t>
      </w:r>
      <w:r>
        <w:rPr/>
        <w:t>año</w:t>
      </w:r>
      <w:r>
        <w:rPr>
          <w:spacing w:val="-2"/>
        </w:rPr>
        <w:t> </w:t>
      </w:r>
      <w:r>
        <w:rPr/>
        <w:t>ni</w:t>
      </w:r>
      <w:r>
        <w:rPr>
          <w:spacing w:val="-3"/>
        </w:rPr>
        <w:t> </w:t>
      </w:r>
      <w:r>
        <w:rPr/>
        <w:t>mayor</w:t>
      </w:r>
      <w:r>
        <w:rPr>
          <w:spacing w:val="-1"/>
        </w:rPr>
        <w:t> </w:t>
      </w:r>
      <w:r>
        <w:rPr/>
        <w:t>del período de duración de la residencia necesaria para obtener el Certificado de Especialización correspondiente, tomándose en cuenta a este último respecto las causas de rescisión señaladas en el artículo 353. G.</w:t>
      </w:r>
    </w:p>
    <w:p>
      <w:pPr>
        <w:pStyle w:val="BodyText"/>
        <w:spacing w:line="229" w:lineRule="exact" w:before="222"/>
        <w:ind w:left="626"/>
      </w:pPr>
      <w:r>
        <w:rPr/>
        <w:t>En</w:t>
      </w:r>
      <w:r>
        <w:rPr>
          <w:spacing w:val="-7"/>
        </w:rPr>
        <w:t> </w:t>
      </w:r>
      <w:r>
        <w:rPr/>
        <w:t>relación</w:t>
      </w:r>
      <w:r>
        <w:rPr>
          <w:spacing w:val="-7"/>
        </w:rPr>
        <w:t> </w:t>
      </w:r>
      <w:r>
        <w:rPr/>
        <w:t>con</w:t>
      </w:r>
      <w:r>
        <w:rPr>
          <w:spacing w:val="-4"/>
        </w:rPr>
        <w:t> </w:t>
      </w:r>
      <w:r>
        <w:rPr/>
        <w:t>este</w:t>
      </w:r>
      <w:r>
        <w:rPr>
          <w:spacing w:val="-7"/>
        </w:rPr>
        <w:t> </w:t>
      </w:r>
      <w:r>
        <w:rPr/>
        <w:t>Capítulo,</w:t>
      </w:r>
      <w:r>
        <w:rPr>
          <w:spacing w:val="-4"/>
        </w:rPr>
        <w:t> </w:t>
      </w:r>
      <w:r>
        <w:rPr/>
        <w:t>no</w:t>
      </w:r>
      <w:r>
        <w:rPr>
          <w:spacing w:val="-7"/>
        </w:rPr>
        <w:t> </w:t>
      </w:r>
      <w:r>
        <w:rPr/>
        <w:t>regirá</w:t>
      </w:r>
      <w:r>
        <w:rPr>
          <w:spacing w:val="-4"/>
        </w:rPr>
        <w:t> </w:t>
      </w:r>
      <w:r>
        <w:rPr/>
        <w:t>lo</w:t>
      </w:r>
      <w:r>
        <w:rPr>
          <w:spacing w:val="-4"/>
        </w:rPr>
        <w:t> </w:t>
      </w:r>
      <w:r>
        <w:rPr/>
        <w:t>dispuesto</w:t>
      </w:r>
      <w:r>
        <w:rPr>
          <w:spacing w:val="-3"/>
        </w:rPr>
        <w:t> </w:t>
      </w:r>
      <w:r>
        <w:rPr/>
        <w:t>por</w:t>
      </w:r>
      <w:r>
        <w:rPr>
          <w:spacing w:val="-5"/>
        </w:rPr>
        <w:t> </w:t>
      </w:r>
      <w:r>
        <w:rPr/>
        <w:t>el</w:t>
      </w:r>
      <w:r>
        <w:rPr>
          <w:spacing w:val="-5"/>
        </w:rPr>
        <w:t> </w:t>
      </w:r>
      <w:r>
        <w:rPr/>
        <w:t>artículo</w:t>
      </w:r>
      <w:r>
        <w:rPr>
          <w:spacing w:val="-6"/>
        </w:rPr>
        <w:t> </w:t>
      </w:r>
      <w:r>
        <w:rPr/>
        <w:t>39</w:t>
      </w:r>
      <w:r>
        <w:rPr>
          <w:spacing w:val="-6"/>
        </w:rPr>
        <w:t> </w:t>
      </w:r>
      <w:r>
        <w:rPr/>
        <w:t>de</w:t>
      </w:r>
      <w:r>
        <w:rPr>
          <w:spacing w:val="-6"/>
        </w:rPr>
        <w:t> </w:t>
      </w:r>
      <w:r>
        <w:rPr/>
        <w:t>esta</w:t>
      </w:r>
      <w:r>
        <w:rPr>
          <w:spacing w:val="-5"/>
        </w:rPr>
        <w:t> </w:t>
      </w:r>
      <w:r>
        <w:rPr>
          <w:spacing w:val="-4"/>
        </w:rPr>
        <w:t>ley.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1977</w:t>
      </w:r>
    </w:p>
    <w:p>
      <w:pPr>
        <w:pStyle w:val="BodyText"/>
        <w:spacing w:before="45"/>
        <w:rPr>
          <w:rFonts w:ascii="Times New Roman"/>
          <w:i/>
          <w:sz w:val="16"/>
        </w:rPr>
      </w:pPr>
    </w:p>
    <w:p>
      <w:pPr>
        <w:pStyle w:val="BodyText"/>
        <w:spacing w:line="242" w:lineRule="auto"/>
        <w:ind w:left="338" w:right="344" w:firstLine="288"/>
        <w:jc w:val="both"/>
      </w:pPr>
      <w:bookmarkStart w:name="Artículo_353_G" w:id="456"/>
      <w:bookmarkEnd w:id="456"/>
      <w:r>
        <w:rPr/>
      </w:r>
      <w:r>
        <w:rPr>
          <w:rFonts w:ascii="Arial" w:hAnsi="Arial"/>
          <w:b/>
        </w:rPr>
        <w:t>Artículo 353-G.- </w:t>
      </w:r>
      <w:r>
        <w:rPr/>
        <w:t>Son causas especiales de rescisión de la relación de trabajo, sin responsabilidad para el patrón, además de la que establece el artículo 47, las siguientes:</w:t>
      </w:r>
    </w:p>
    <w:p>
      <w:pPr>
        <w:pStyle w:val="ListParagraph"/>
        <w:numPr>
          <w:ilvl w:val="0"/>
          <w:numId w:val="105"/>
        </w:numPr>
        <w:tabs>
          <w:tab w:pos="1195" w:val="left" w:leader="none"/>
        </w:tabs>
        <w:spacing w:line="240" w:lineRule="auto" w:before="227" w:after="0"/>
        <w:ind w:left="1195" w:right="0" w:hanging="569"/>
        <w:jc w:val="left"/>
        <w:rPr>
          <w:sz w:val="20"/>
        </w:rPr>
      </w:pPr>
      <w:r>
        <w:rPr>
          <w:sz w:val="20"/>
        </w:rPr>
        <w:t>El</w:t>
      </w:r>
      <w:r>
        <w:rPr>
          <w:spacing w:val="-6"/>
          <w:sz w:val="20"/>
        </w:rPr>
        <w:t> </w:t>
      </w:r>
      <w:r>
        <w:rPr>
          <w:sz w:val="20"/>
        </w:rPr>
        <w:t>incumplimiento</w:t>
      </w:r>
      <w:r>
        <w:rPr>
          <w:spacing w:val="-4"/>
          <w:sz w:val="20"/>
        </w:rPr>
        <w:t> </w:t>
      </w:r>
      <w:r>
        <w:rPr>
          <w:sz w:val="20"/>
        </w:rPr>
        <w:t>de</w:t>
      </w:r>
      <w:r>
        <w:rPr>
          <w:spacing w:val="-6"/>
          <w:sz w:val="20"/>
        </w:rPr>
        <w:t> </w:t>
      </w:r>
      <w:r>
        <w:rPr>
          <w:sz w:val="20"/>
        </w:rPr>
        <w:t>las</w:t>
      </w:r>
      <w:r>
        <w:rPr>
          <w:spacing w:val="-5"/>
          <w:sz w:val="20"/>
        </w:rPr>
        <w:t> </w:t>
      </w:r>
      <w:r>
        <w:rPr>
          <w:sz w:val="20"/>
        </w:rPr>
        <w:t>obligaciones</w:t>
      </w:r>
      <w:r>
        <w:rPr>
          <w:spacing w:val="-6"/>
          <w:sz w:val="20"/>
        </w:rPr>
        <w:t> </w:t>
      </w:r>
      <w:r>
        <w:rPr>
          <w:sz w:val="20"/>
        </w:rPr>
        <w:t>a</w:t>
      </w:r>
      <w:r>
        <w:rPr>
          <w:spacing w:val="-4"/>
          <w:sz w:val="20"/>
        </w:rPr>
        <w:t> </w:t>
      </w:r>
      <w:r>
        <w:rPr>
          <w:sz w:val="20"/>
        </w:rPr>
        <w:t>que</w:t>
      </w:r>
      <w:r>
        <w:rPr>
          <w:spacing w:val="-5"/>
          <w:sz w:val="20"/>
        </w:rPr>
        <w:t> </w:t>
      </w:r>
      <w:r>
        <w:rPr>
          <w:sz w:val="20"/>
        </w:rPr>
        <w:t>aluden</w:t>
      </w:r>
      <w:r>
        <w:rPr>
          <w:spacing w:val="-6"/>
          <w:sz w:val="20"/>
        </w:rPr>
        <w:t> </w:t>
      </w:r>
      <w:r>
        <w:rPr>
          <w:sz w:val="20"/>
        </w:rPr>
        <w:t>las</w:t>
      </w:r>
      <w:r>
        <w:rPr>
          <w:spacing w:val="-5"/>
          <w:sz w:val="20"/>
        </w:rPr>
        <w:t> </w:t>
      </w:r>
      <w:r>
        <w:rPr>
          <w:sz w:val="20"/>
        </w:rPr>
        <w:t>fracciones</w:t>
      </w:r>
      <w:r>
        <w:rPr>
          <w:spacing w:val="-6"/>
          <w:sz w:val="20"/>
        </w:rPr>
        <w:t> </w:t>
      </w:r>
      <w:r>
        <w:rPr>
          <w:sz w:val="20"/>
        </w:rPr>
        <w:t>I,</w:t>
      </w:r>
      <w:r>
        <w:rPr>
          <w:spacing w:val="-6"/>
          <w:sz w:val="20"/>
        </w:rPr>
        <w:t> </w:t>
      </w:r>
      <w:r>
        <w:rPr>
          <w:sz w:val="20"/>
        </w:rPr>
        <w:t>II,</w:t>
      </w:r>
      <w:r>
        <w:rPr>
          <w:spacing w:val="-6"/>
          <w:sz w:val="20"/>
        </w:rPr>
        <w:t> </w:t>
      </w:r>
      <w:r>
        <w:rPr>
          <w:sz w:val="20"/>
        </w:rPr>
        <w:t>III</w:t>
      </w:r>
      <w:r>
        <w:rPr>
          <w:spacing w:val="-3"/>
          <w:sz w:val="20"/>
        </w:rPr>
        <w:t> </w:t>
      </w:r>
      <w:r>
        <w:rPr>
          <w:sz w:val="20"/>
        </w:rPr>
        <w:t>y</w:t>
      </w:r>
      <w:r>
        <w:rPr>
          <w:spacing w:val="-9"/>
          <w:sz w:val="20"/>
        </w:rPr>
        <w:t> </w:t>
      </w:r>
      <w:r>
        <w:rPr>
          <w:sz w:val="20"/>
        </w:rPr>
        <w:t>VI</w:t>
      </w:r>
      <w:r>
        <w:rPr>
          <w:spacing w:val="-4"/>
          <w:sz w:val="20"/>
        </w:rPr>
        <w:t> </w:t>
      </w:r>
      <w:r>
        <w:rPr>
          <w:sz w:val="20"/>
        </w:rPr>
        <w:t>del</w:t>
      </w:r>
      <w:r>
        <w:rPr>
          <w:spacing w:val="-6"/>
          <w:sz w:val="20"/>
        </w:rPr>
        <w:t> </w:t>
      </w:r>
      <w:r>
        <w:rPr>
          <w:sz w:val="20"/>
        </w:rPr>
        <w:t>artículo</w:t>
      </w:r>
      <w:r>
        <w:rPr>
          <w:spacing w:val="-4"/>
          <w:sz w:val="20"/>
        </w:rPr>
        <w:t> </w:t>
      </w:r>
      <w:r>
        <w:rPr>
          <w:spacing w:val="-2"/>
          <w:sz w:val="20"/>
        </w:rPr>
        <w:t>353.D;</w:t>
      </w:r>
    </w:p>
    <w:p>
      <w:pPr>
        <w:pStyle w:val="BodyText"/>
        <w:spacing w:before="1"/>
      </w:pPr>
    </w:p>
    <w:p>
      <w:pPr>
        <w:pStyle w:val="ListParagraph"/>
        <w:numPr>
          <w:ilvl w:val="0"/>
          <w:numId w:val="105"/>
        </w:numPr>
        <w:tabs>
          <w:tab w:pos="1195" w:val="left" w:leader="none"/>
        </w:tabs>
        <w:spacing w:line="240" w:lineRule="auto" w:before="0" w:after="0"/>
        <w:ind w:left="1195" w:right="344" w:hanging="569"/>
        <w:jc w:val="left"/>
        <w:rPr>
          <w:sz w:val="20"/>
        </w:rPr>
      </w:pPr>
      <w:r>
        <w:rPr>
          <w:sz w:val="20"/>
        </w:rPr>
        <w:t>La violación de las normas técnicas o administrativas necesarias para el funcionamiento de la Unidad Médica Receptora de Residentes en la que se efectúe la residencia;</w:t>
      </w:r>
    </w:p>
    <w:p>
      <w:pPr>
        <w:pStyle w:val="ListParagraph"/>
        <w:numPr>
          <w:ilvl w:val="0"/>
          <w:numId w:val="105"/>
        </w:numPr>
        <w:tabs>
          <w:tab w:pos="1195" w:val="left" w:leader="none"/>
        </w:tabs>
        <w:spacing w:line="242" w:lineRule="auto" w:before="229" w:after="0"/>
        <w:ind w:left="1195" w:right="331" w:hanging="569"/>
        <w:jc w:val="left"/>
        <w:rPr>
          <w:sz w:val="20"/>
        </w:rPr>
      </w:pPr>
      <w:r>
        <w:rPr>
          <w:sz w:val="20"/>
        </w:rPr>
        <w:t>La</w:t>
      </w:r>
      <w:r>
        <w:rPr>
          <w:spacing w:val="-3"/>
          <w:sz w:val="20"/>
        </w:rPr>
        <w:t> </w:t>
      </w:r>
      <w:r>
        <w:rPr>
          <w:sz w:val="20"/>
        </w:rPr>
        <w:t>comisión</w:t>
      </w:r>
      <w:r>
        <w:rPr>
          <w:spacing w:val="-3"/>
          <w:sz w:val="20"/>
        </w:rPr>
        <w:t> </w:t>
      </w:r>
      <w:r>
        <w:rPr>
          <w:sz w:val="20"/>
        </w:rPr>
        <w:t>de</w:t>
      </w:r>
      <w:r>
        <w:rPr>
          <w:spacing w:val="-3"/>
          <w:sz w:val="20"/>
        </w:rPr>
        <w:t> </w:t>
      </w:r>
      <w:r>
        <w:rPr>
          <w:sz w:val="20"/>
        </w:rPr>
        <w:t>faltas</w:t>
      </w:r>
      <w:r>
        <w:rPr>
          <w:spacing w:val="-1"/>
          <w:sz w:val="20"/>
        </w:rPr>
        <w:t> </w:t>
      </w:r>
      <w:r>
        <w:rPr>
          <w:sz w:val="20"/>
        </w:rPr>
        <w:t>a</w:t>
      </w:r>
      <w:r>
        <w:rPr>
          <w:spacing w:val="-2"/>
          <w:sz w:val="20"/>
        </w:rPr>
        <w:t> </w:t>
      </w:r>
      <w:r>
        <w:rPr>
          <w:sz w:val="20"/>
        </w:rPr>
        <w:t>las normas</w:t>
      </w:r>
      <w:r>
        <w:rPr>
          <w:spacing w:val="-1"/>
          <w:sz w:val="20"/>
        </w:rPr>
        <w:t> </w:t>
      </w:r>
      <w:r>
        <w:rPr>
          <w:sz w:val="20"/>
        </w:rPr>
        <w:t>de</w:t>
      </w:r>
      <w:r>
        <w:rPr>
          <w:spacing w:val="-3"/>
          <w:sz w:val="20"/>
        </w:rPr>
        <w:t> </w:t>
      </w:r>
      <w:r>
        <w:rPr>
          <w:sz w:val="20"/>
        </w:rPr>
        <w:t>conducta</w:t>
      </w:r>
      <w:r>
        <w:rPr>
          <w:spacing w:val="-2"/>
          <w:sz w:val="20"/>
        </w:rPr>
        <w:t> </w:t>
      </w:r>
      <w:r>
        <w:rPr>
          <w:sz w:val="20"/>
        </w:rPr>
        <w:t>propias</w:t>
      </w:r>
      <w:r>
        <w:rPr>
          <w:spacing w:val="-1"/>
          <w:sz w:val="20"/>
        </w:rPr>
        <w:t> </w:t>
      </w:r>
      <w:r>
        <w:rPr>
          <w:sz w:val="20"/>
        </w:rPr>
        <w:t>de</w:t>
      </w:r>
      <w:r>
        <w:rPr>
          <w:spacing w:val="-3"/>
          <w:sz w:val="20"/>
        </w:rPr>
        <w:t> </w:t>
      </w:r>
      <w:r>
        <w:rPr>
          <w:sz w:val="20"/>
        </w:rPr>
        <w:t>la profesión</w:t>
      </w:r>
      <w:r>
        <w:rPr>
          <w:spacing w:val="-3"/>
          <w:sz w:val="20"/>
        </w:rPr>
        <w:t> </w:t>
      </w:r>
      <w:r>
        <w:rPr>
          <w:sz w:val="20"/>
        </w:rPr>
        <w:t>médica,</w:t>
      </w:r>
      <w:r>
        <w:rPr>
          <w:spacing w:val="-2"/>
          <w:sz w:val="20"/>
        </w:rPr>
        <w:t> </w:t>
      </w:r>
      <w:r>
        <w:rPr>
          <w:sz w:val="20"/>
        </w:rPr>
        <w:t>consignados en el Reglamento Interior de Trabajo de la Unidad Médica Receptora de Residentes.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1977</w:t>
      </w:r>
    </w:p>
    <w:p>
      <w:pPr>
        <w:pStyle w:val="BodyText"/>
        <w:spacing w:before="45"/>
        <w:rPr>
          <w:rFonts w:ascii="Times New Roman"/>
          <w:i/>
          <w:sz w:val="16"/>
        </w:rPr>
      </w:pPr>
    </w:p>
    <w:p>
      <w:pPr>
        <w:pStyle w:val="BodyText"/>
        <w:spacing w:line="242" w:lineRule="auto"/>
        <w:ind w:left="338" w:right="346" w:firstLine="288"/>
        <w:jc w:val="both"/>
      </w:pPr>
      <w:bookmarkStart w:name="Artículo_353_H" w:id="457"/>
      <w:bookmarkEnd w:id="457"/>
      <w:r>
        <w:rPr/>
      </w:r>
      <w:r>
        <w:rPr>
          <w:rFonts w:ascii="Arial" w:hAnsi="Arial"/>
          <w:b/>
        </w:rPr>
        <w:t>Artículo 353-H.-</w:t>
      </w:r>
      <w:r>
        <w:rPr>
          <w:rFonts w:ascii="Arial" w:hAnsi="Arial"/>
          <w:b/>
          <w:spacing w:val="-1"/>
        </w:rPr>
        <w:t> </w:t>
      </w:r>
      <w:r>
        <w:rPr/>
        <w:t>Son causas</w:t>
      </w:r>
      <w:r>
        <w:rPr>
          <w:spacing w:val="-1"/>
        </w:rPr>
        <w:t> </w:t>
      </w:r>
      <w:r>
        <w:rPr/>
        <w:t>de terminación de la relación de</w:t>
      </w:r>
      <w:r>
        <w:rPr>
          <w:spacing w:val="-1"/>
        </w:rPr>
        <w:t> </w:t>
      </w:r>
      <w:r>
        <w:rPr/>
        <w:t>trabajo, además</w:t>
      </w:r>
      <w:r>
        <w:rPr>
          <w:spacing w:val="-1"/>
        </w:rPr>
        <w:t> </w:t>
      </w:r>
      <w:r>
        <w:rPr/>
        <w:t>de</w:t>
      </w:r>
      <w:r>
        <w:rPr>
          <w:spacing w:val="-2"/>
        </w:rPr>
        <w:t> </w:t>
      </w:r>
      <w:r>
        <w:rPr/>
        <w:t>las</w:t>
      </w:r>
      <w:r>
        <w:rPr>
          <w:spacing w:val="-1"/>
        </w:rPr>
        <w:t> </w:t>
      </w:r>
      <w:r>
        <w:rPr/>
        <w:t>que establece el artículo 53 de esta Ley:</w:t>
      </w:r>
    </w:p>
    <w:p>
      <w:pPr>
        <w:pStyle w:val="ListParagraph"/>
        <w:numPr>
          <w:ilvl w:val="0"/>
          <w:numId w:val="106"/>
        </w:numPr>
        <w:tabs>
          <w:tab w:pos="1195" w:val="left" w:leader="none"/>
        </w:tabs>
        <w:spacing w:line="240" w:lineRule="auto" w:before="227" w:after="0"/>
        <w:ind w:left="1195" w:right="0" w:hanging="569"/>
        <w:jc w:val="left"/>
        <w:rPr>
          <w:sz w:val="20"/>
        </w:rPr>
      </w:pPr>
      <w:r>
        <w:rPr>
          <w:sz w:val="20"/>
        </w:rPr>
        <w:t>La</w:t>
      </w:r>
      <w:r>
        <w:rPr>
          <w:spacing w:val="-8"/>
          <w:sz w:val="20"/>
        </w:rPr>
        <w:t> </w:t>
      </w:r>
      <w:r>
        <w:rPr>
          <w:sz w:val="20"/>
        </w:rPr>
        <w:t>conclusión</w:t>
      </w:r>
      <w:r>
        <w:rPr>
          <w:spacing w:val="-7"/>
          <w:sz w:val="20"/>
        </w:rPr>
        <w:t> </w:t>
      </w:r>
      <w:r>
        <w:rPr>
          <w:sz w:val="20"/>
        </w:rPr>
        <w:t>del</w:t>
      </w:r>
      <w:r>
        <w:rPr>
          <w:spacing w:val="-5"/>
          <w:sz w:val="20"/>
        </w:rPr>
        <w:t> </w:t>
      </w:r>
      <w:r>
        <w:rPr>
          <w:sz w:val="20"/>
        </w:rPr>
        <w:t>Programa</w:t>
      </w:r>
      <w:r>
        <w:rPr>
          <w:spacing w:val="-7"/>
          <w:sz w:val="20"/>
        </w:rPr>
        <w:t> </w:t>
      </w:r>
      <w:r>
        <w:rPr>
          <w:sz w:val="20"/>
        </w:rPr>
        <w:t>de</w:t>
      </w:r>
      <w:r>
        <w:rPr>
          <w:spacing w:val="-5"/>
          <w:sz w:val="20"/>
        </w:rPr>
        <w:t> </w:t>
      </w:r>
      <w:r>
        <w:rPr>
          <w:spacing w:val="-2"/>
          <w:sz w:val="20"/>
        </w:rPr>
        <w:t>Especialización;</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3"/>
      </w:pPr>
    </w:p>
    <w:p>
      <w:pPr>
        <w:pStyle w:val="ListParagraph"/>
        <w:numPr>
          <w:ilvl w:val="0"/>
          <w:numId w:val="106"/>
        </w:numPr>
        <w:tabs>
          <w:tab w:pos="1195" w:val="left" w:leader="none"/>
        </w:tabs>
        <w:spacing w:line="242" w:lineRule="auto" w:before="0" w:after="0"/>
        <w:ind w:left="1195" w:right="346" w:hanging="569"/>
        <w:jc w:val="left"/>
        <w:rPr>
          <w:sz w:val="20"/>
        </w:rPr>
      </w:pPr>
      <w:r>
        <w:rPr>
          <w:sz w:val="20"/>
        </w:rPr>
        <w:t>La supresión académica de estudios en la Especialidad en la rama de la Medicina que interesa al Médico Residente.</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1977</w:t>
      </w:r>
    </w:p>
    <w:p>
      <w:pPr>
        <w:pStyle w:val="BodyText"/>
        <w:spacing w:before="45"/>
        <w:rPr>
          <w:rFonts w:ascii="Times New Roman"/>
          <w:i/>
          <w:sz w:val="16"/>
        </w:rPr>
      </w:pPr>
    </w:p>
    <w:p>
      <w:pPr>
        <w:pStyle w:val="BodyText"/>
        <w:spacing w:line="242" w:lineRule="auto"/>
        <w:ind w:left="338" w:right="340" w:firstLine="288"/>
        <w:jc w:val="both"/>
      </w:pPr>
      <w:bookmarkStart w:name="Artículo_353_I" w:id="458"/>
      <w:bookmarkEnd w:id="458"/>
      <w:r>
        <w:rPr/>
      </w:r>
      <w:r>
        <w:rPr>
          <w:rFonts w:ascii="Arial" w:hAnsi="Arial"/>
          <w:b/>
        </w:rPr>
        <w:t>Artículo 353-I.- </w:t>
      </w:r>
      <w:r>
        <w:rPr/>
        <w:t>Las disposiciones de este Capítulo no serán aplicables a aquellas personas que exclusivamente</w:t>
      </w:r>
      <w:r>
        <w:rPr>
          <w:spacing w:val="-5"/>
        </w:rPr>
        <w:t> </w:t>
      </w:r>
      <w:r>
        <w:rPr/>
        <w:t>reciben</w:t>
      </w:r>
      <w:r>
        <w:rPr>
          <w:spacing w:val="-2"/>
        </w:rPr>
        <w:t> </w:t>
      </w:r>
      <w:r>
        <w:rPr/>
        <w:t>cursos</w:t>
      </w:r>
      <w:r>
        <w:rPr>
          <w:spacing w:val="-3"/>
        </w:rPr>
        <w:t> </w:t>
      </w:r>
      <w:r>
        <w:rPr/>
        <w:t>de</w:t>
      </w:r>
      <w:r>
        <w:rPr>
          <w:spacing w:val="-5"/>
        </w:rPr>
        <w:t> </w:t>
      </w:r>
      <w:r>
        <w:rPr/>
        <w:t>capacitación</w:t>
      </w:r>
      <w:r>
        <w:rPr>
          <w:spacing w:val="-2"/>
        </w:rPr>
        <w:t> </w:t>
      </w:r>
      <w:r>
        <w:rPr/>
        <w:t>o</w:t>
      </w:r>
      <w:r>
        <w:rPr>
          <w:spacing w:val="-4"/>
        </w:rPr>
        <w:t> </w:t>
      </w:r>
      <w:r>
        <w:rPr/>
        <w:t>adiestramiento,</w:t>
      </w:r>
      <w:r>
        <w:rPr>
          <w:spacing w:val="-2"/>
        </w:rPr>
        <w:t> </w:t>
      </w:r>
      <w:r>
        <w:rPr/>
        <w:t>como</w:t>
      </w:r>
      <w:r>
        <w:rPr>
          <w:spacing w:val="-4"/>
        </w:rPr>
        <w:t> </w:t>
      </w:r>
      <w:r>
        <w:rPr/>
        <w:t>parte</w:t>
      </w:r>
      <w:r>
        <w:rPr>
          <w:spacing w:val="-2"/>
        </w:rPr>
        <w:t> </w:t>
      </w:r>
      <w:r>
        <w:rPr/>
        <w:t>de su</w:t>
      </w:r>
      <w:r>
        <w:rPr>
          <w:spacing w:val="-4"/>
        </w:rPr>
        <w:t> </w:t>
      </w:r>
      <w:r>
        <w:rPr/>
        <w:t>formación</w:t>
      </w:r>
      <w:r>
        <w:rPr>
          <w:spacing w:val="-5"/>
        </w:rPr>
        <w:t> </w:t>
      </w:r>
      <w:r>
        <w:rPr/>
        <w:t>profesional, en las instituciones de salud.</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w:t>
      </w:r>
      <w:r>
        <w:rPr>
          <w:rFonts w:ascii="Times New Roman" w:hAnsi="Times New Roman"/>
          <w:i/>
          <w:color w:val="0000FF"/>
          <w:spacing w:val="-4"/>
          <w:sz w:val="16"/>
        </w:rPr>
        <w:t>1977</w:t>
      </w:r>
    </w:p>
    <w:p>
      <w:pPr>
        <w:pStyle w:val="BodyText"/>
        <w:spacing w:before="45"/>
        <w:rPr>
          <w:rFonts w:ascii="Times New Roman"/>
          <w:i/>
          <w:sz w:val="16"/>
        </w:rPr>
      </w:pPr>
    </w:p>
    <w:p>
      <w:pPr>
        <w:pStyle w:val="Heading1"/>
      </w:pPr>
      <w:r>
        <w:rPr/>
        <w:t>CAPITULO</w:t>
      </w:r>
      <w:r>
        <w:rPr>
          <w:spacing w:val="-9"/>
        </w:rPr>
        <w:t> </w:t>
      </w:r>
      <w:r>
        <w:rPr>
          <w:spacing w:val="-4"/>
        </w:rPr>
        <w:t>XVII</w:t>
      </w:r>
    </w:p>
    <w:p>
      <w:pPr>
        <w:pStyle w:val="Heading2"/>
        <w:spacing w:line="252" w:lineRule="exact"/>
        <w:ind w:left="422" w:right="0"/>
        <w:jc w:val="left"/>
      </w:pPr>
      <w:r>
        <w:rPr/>
        <w:t>Trabajo</w:t>
      </w:r>
      <w:r>
        <w:rPr>
          <w:spacing w:val="-8"/>
        </w:rPr>
        <w:t> </w:t>
      </w:r>
      <w:r>
        <w:rPr/>
        <w:t>en</w:t>
      </w:r>
      <w:r>
        <w:rPr>
          <w:spacing w:val="-5"/>
        </w:rPr>
        <w:t> </w:t>
      </w:r>
      <w:r>
        <w:rPr/>
        <w:t>las</w:t>
      </w:r>
      <w:r>
        <w:rPr>
          <w:spacing w:val="-6"/>
        </w:rPr>
        <w:t> </w:t>
      </w:r>
      <w:r>
        <w:rPr/>
        <w:t>Universidades</w:t>
      </w:r>
      <w:r>
        <w:rPr>
          <w:spacing w:val="-5"/>
        </w:rPr>
        <w:t> </w:t>
      </w:r>
      <w:r>
        <w:rPr/>
        <w:t>e</w:t>
      </w:r>
      <w:r>
        <w:rPr>
          <w:spacing w:val="-6"/>
        </w:rPr>
        <w:t> </w:t>
      </w:r>
      <w:r>
        <w:rPr/>
        <w:t>Instituciones</w:t>
      </w:r>
      <w:r>
        <w:rPr>
          <w:spacing w:val="-6"/>
        </w:rPr>
        <w:t> </w:t>
      </w:r>
      <w:r>
        <w:rPr/>
        <w:t>de</w:t>
      </w:r>
      <w:r>
        <w:rPr>
          <w:spacing w:val="-4"/>
        </w:rPr>
        <w:t> </w:t>
      </w:r>
      <w:r>
        <w:rPr/>
        <w:t>Educación</w:t>
      </w:r>
      <w:r>
        <w:rPr>
          <w:spacing w:val="-7"/>
        </w:rPr>
        <w:t> </w:t>
      </w:r>
      <w:r>
        <w:rPr/>
        <w:t>Superior</w:t>
      </w:r>
      <w:r>
        <w:rPr>
          <w:spacing w:val="-6"/>
        </w:rPr>
        <w:t> </w:t>
      </w:r>
      <w:r>
        <w:rPr/>
        <w:t>Autónomas</w:t>
      </w:r>
      <w:r>
        <w:rPr>
          <w:spacing w:val="-6"/>
        </w:rPr>
        <w:t> </w:t>
      </w:r>
      <w:r>
        <w:rPr/>
        <w:t>por</w:t>
      </w:r>
      <w:r>
        <w:rPr>
          <w:spacing w:val="-2"/>
        </w:rPr>
        <w:t> </w:t>
      </w:r>
      <w:r>
        <w:rPr>
          <w:spacing w:val="-5"/>
        </w:rPr>
        <w:t>Ley</w:t>
      </w:r>
    </w:p>
    <w:p>
      <w:pPr>
        <w:spacing w:before="1"/>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20-10-</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before="1"/>
        <w:ind w:left="338" w:right="338" w:firstLine="288"/>
        <w:jc w:val="both"/>
      </w:pPr>
      <w:bookmarkStart w:name="Artículo_353_J" w:id="459"/>
      <w:bookmarkEnd w:id="459"/>
      <w:r>
        <w:rPr/>
      </w:r>
      <w:r>
        <w:rPr>
          <w:rFonts w:ascii="Arial" w:hAnsi="Arial"/>
          <w:b/>
        </w:rPr>
        <w:t>Artículo 353-J.- </w:t>
      </w:r>
      <w:r>
        <w:rPr/>
        <w:t>Las disposiciones de este Capítulo se aplican a las relaciones de trabajo entre los trabajadores administrativos y académicos y las universidades e instituciones de educación superior autónomas por ley y tienen por objeto conseguir el equilibrio y la justicia social en las relaciones de trabajo, de tal modo que concuerden con la autonomía, la libertad de cátedra e investigación y los fines propios de estas instituciones.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w:t>
      </w:r>
      <w:r>
        <w:rPr>
          <w:rFonts w:ascii="Times New Roman" w:hAnsi="Times New Roman"/>
          <w:i/>
          <w:color w:val="0000FF"/>
          <w:spacing w:val="-4"/>
          <w:sz w:val="16"/>
        </w:rPr>
        <w:t>1980</w:t>
      </w:r>
    </w:p>
    <w:p>
      <w:pPr>
        <w:pStyle w:val="BodyText"/>
        <w:spacing w:before="41"/>
        <w:rPr>
          <w:rFonts w:ascii="Times New Roman"/>
          <w:i/>
          <w:sz w:val="16"/>
        </w:rPr>
      </w:pPr>
    </w:p>
    <w:p>
      <w:pPr>
        <w:pStyle w:val="BodyText"/>
        <w:spacing w:line="242" w:lineRule="auto"/>
        <w:ind w:left="338" w:right="345" w:firstLine="288"/>
        <w:jc w:val="both"/>
      </w:pPr>
      <w:bookmarkStart w:name="Artículo_353_K" w:id="460"/>
      <w:bookmarkEnd w:id="460"/>
      <w:r>
        <w:rPr/>
      </w:r>
      <w:r>
        <w:rPr>
          <w:rFonts w:ascii="Arial" w:hAnsi="Arial"/>
          <w:b/>
        </w:rPr>
        <w:t>Artículo 353-K.- </w:t>
      </w:r>
      <w:r>
        <w:rPr/>
        <w:t>Trabajador académico es la persona física que presta servicios de docencia o investigación a las universidades o instituciones a las que se refiere este Capítulo, conforme a los planes y programas establecidos por las mismas, Trabajador administrativo es la persona física que presta servicios no académicos a tales universidades o instituciones.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ind w:left="338" w:right="338" w:firstLine="288"/>
        <w:jc w:val="both"/>
      </w:pPr>
      <w:bookmarkStart w:name="Artículo_353_L" w:id="461"/>
      <w:bookmarkEnd w:id="461"/>
      <w:r>
        <w:rPr/>
      </w:r>
      <w:r>
        <w:rPr>
          <w:rFonts w:ascii="Arial" w:hAnsi="Arial"/>
          <w:b/>
        </w:rPr>
        <w:t>Artículo 353-L.- </w:t>
      </w:r>
      <w:r>
        <w:rPr/>
        <w:t>Corresponde exclusivamente a las universidades o instituciones autónomas por ley regular los aspectos académicos.</w:t>
      </w:r>
    </w:p>
    <w:p>
      <w:pPr>
        <w:pStyle w:val="BodyText"/>
        <w:spacing w:before="230"/>
        <w:ind w:left="338" w:right="334" w:firstLine="288"/>
        <w:jc w:val="both"/>
      </w:pPr>
      <w:r>
        <w:rPr/>
        <w:t>Para que un trabajador académico pueda considerarse sujeto a una relación laboral por tiempo indeterminado, además de que la tarea que realice tenga ese carácter, es necesario que sea</w:t>
      </w:r>
      <w:r>
        <w:rPr>
          <w:spacing w:val="26"/>
        </w:rPr>
        <w:t> </w:t>
      </w:r>
      <w:r>
        <w:rPr/>
        <w:t>aprobado</w:t>
      </w:r>
      <w:r>
        <w:rPr>
          <w:spacing w:val="40"/>
        </w:rPr>
        <w:t> </w:t>
      </w:r>
      <w:r>
        <w:rPr/>
        <w:t>en la evaluación académica que efectúe el órgano competente conforme a los requisitos y</w:t>
      </w:r>
      <w:r>
        <w:rPr>
          <w:spacing w:val="80"/>
        </w:rPr>
        <w:t> </w:t>
      </w:r>
      <w:r>
        <w:rPr/>
        <w:t>procedimientos que las propias universidades o instituciones establezcan.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338" w:right="338" w:firstLine="288"/>
        <w:jc w:val="both"/>
      </w:pPr>
      <w:bookmarkStart w:name="Artículo_353_M" w:id="462"/>
      <w:bookmarkEnd w:id="462"/>
      <w:r>
        <w:rPr/>
      </w:r>
      <w:r>
        <w:rPr>
          <w:rFonts w:ascii="Arial" w:hAnsi="Arial"/>
          <w:b/>
        </w:rPr>
        <w:t>Artículo 353-M.- </w:t>
      </w:r>
      <w:r>
        <w:rPr/>
        <w:t>El Trabajador académico podrá ser contratado por jornada completa o media jornada. Los trabajadores académicos dedicados exclusivamente a la docencia podrán ser contratados por hora clase.</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338" w:right="357" w:firstLine="288"/>
      </w:pPr>
      <w:bookmarkStart w:name="Artículo_353_N" w:id="463"/>
      <w:bookmarkEnd w:id="463"/>
      <w:r>
        <w:rPr/>
      </w:r>
      <w:r>
        <w:rPr>
          <w:rFonts w:ascii="Arial" w:hAnsi="Arial"/>
          <w:b/>
        </w:rPr>
        <w:t>Artículo 353-N.- </w:t>
      </w:r>
      <w:r>
        <w:rPr/>
        <w:t>No es violatorio del principio de igualdad de salarios la fijación de salarios distintos para trabajo igual si éste corresponde a diferentes categorías académicas.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338" w:right="335" w:firstLine="288"/>
        <w:jc w:val="both"/>
      </w:pPr>
      <w:bookmarkStart w:name="Artículo_353_Ñ" w:id="464"/>
      <w:bookmarkEnd w:id="464"/>
      <w:r>
        <w:rPr/>
      </w:r>
      <w:r>
        <w:rPr>
          <w:rFonts w:ascii="Arial" w:hAnsi="Arial"/>
          <w:b/>
        </w:rPr>
        <w:t>Artículo</w:t>
      </w:r>
      <w:r>
        <w:rPr>
          <w:rFonts w:ascii="Arial" w:hAnsi="Arial"/>
          <w:b/>
          <w:spacing w:val="-1"/>
        </w:rPr>
        <w:t> </w:t>
      </w:r>
      <w:r>
        <w:rPr>
          <w:rFonts w:ascii="Arial" w:hAnsi="Arial"/>
          <w:b/>
        </w:rPr>
        <w:t>353-Ñ.-</w:t>
      </w:r>
      <w:r>
        <w:rPr>
          <w:rFonts w:ascii="Arial" w:hAnsi="Arial"/>
          <w:b/>
          <w:spacing w:val="-1"/>
        </w:rPr>
        <w:t> </w:t>
      </w:r>
      <w:r>
        <w:rPr/>
        <w:t>Los</w:t>
      </w:r>
      <w:r>
        <w:rPr>
          <w:spacing w:val="-3"/>
        </w:rPr>
        <w:t> </w:t>
      </w:r>
      <w:r>
        <w:rPr/>
        <w:t>sindicatos y</w:t>
      </w:r>
      <w:r>
        <w:rPr>
          <w:spacing w:val="-5"/>
        </w:rPr>
        <w:t> </w:t>
      </w:r>
      <w:r>
        <w:rPr/>
        <w:t>las</w:t>
      </w:r>
      <w:r>
        <w:rPr>
          <w:spacing w:val="-3"/>
        </w:rPr>
        <w:t> </w:t>
      </w:r>
      <w:r>
        <w:rPr/>
        <w:t>directivas</w:t>
      </w:r>
      <w:r>
        <w:rPr>
          <w:spacing w:val="-1"/>
        </w:rPr>
        <w:t> </w:t>
      </w:r>
      <w:r>
        <w:rPr/>
        <w:t>de</w:t>
      </w:r>
      <w:r>
        <w:rPr>
          <w:spacing w:val="-2"/>
        </w:rPr>
        <w:t> </w:t>
      </w:r>
      <w:r>
        <w:rPr/>
        <w:t>los</w:t>
      </w:r>
      <w:r>
        <w:rPr>
          <w:spacing w:val="-1"/>
        </w:rPr>
        <w:t> </w:t>
      </w:r>
      <w:r>
        <w:rPr/>
        <w:t>mismos</w:t>
      </w:r>
      <w:r>
        <w:rPr>
          <w:spacing w:val="-3"/>
        </w:rPr>
        <w:t> </w:t>
      </w:r>
      <w:r>
        <w:rPr/>
        <w:t>que</w:t>
      </w:r>
      <w:r>
        <w:rPr>
          <w:spacing w:val="-4"/>
        </w:rPr>
        <w:t> </w:t>
      </w:r>
      <w:r>
        <w:rPr/>
        <w:t>se</w:t>
      </w:r>
      <w:r>
        <w:rPr>
          <w:spacing w:val="-4"/>
        </w:rPr>
        <w:t> </w:t>
      </w:r>
      <w:r>
        <w:rPr/>
        <w:t>constituyan</w:t>
      </w:r>
      <w:r>
        <w:rPr>
          <w:spacing w:val="-2"/>
        </w:rPr>
        <w:t> </w:t>
      </w:r>
      <w:r>
        <w:rPr/>
        <w:t>en</w:t>
      </w:r>
      <w:r>
        <w:rPr>
          <w:spacing w:val="-2"/>
        </w:rPr>
        <w:t> </w:t>
      </w:r>
      <w:r>
        <w:rPr/>
        <w:t>las</w:t>
      </w:r>
      <w:r>
        <w:rPr>
          <w:spacing w:val="-1"/>
        </w:rPr>
        <w:t> </w:t>
      </w:r>
      <w:r>
        <w:rPr/>
        <w:t>universidades o instituciones a las que se refiere este Capítulo, únicamente estarán formados por los trabajadores que presten sus servicios en cada una de ellas y serán:</w:t>
      </w:r>
    </w:p>
    <w:p>
      <w:pPr>
        <w:pStyle w:val="ListParagraph"/>
        <w:numPr>
          <w:ilvl w:val="0"/>
          <w:numId w:val="107"/>
        </w:numPr>
        <w:tabs>
          <w:tab w:pos="1195" w:val="left" w:leader="none"/>
        </w:tabs>
        <w:spacing w:line="240" w:lineRule="auto" w:before="225" w:after="0"/>
        <w:ind w:left="1195" w:right="0" w:hanging="569"/>
        <w:jc w:val="left"/>
        <w:rPr>
          <w:sz w:val="20"/>
        </w:rPr>
      </w:pPr>
      <w:r>
        <w:rPr>
          <w:sz w:val="20"/>
        </w:rPr>
        <w:t>De</w:t>
      </w:r>
      <w:r>
        <w:rPr>
          <w:spacing w:val="-8"/>
          <w:sz w:val="20"/>
        </w:rPr>
        <w:t> </w:t>
      </w:r>
      <w:r>
        <w:rPr>
          <w:sz w:val="20"/>
        </w:rPr>
        <w:t>personal</w:t>
      </w:r>
      <w:r>
        <w:rPr>
          <w:spacing w:val="-6"/>
          <w:sz w:val="20"/>
        </w:rPr>
        <w:t> </w:t>
      </w:r>
      <w:r>
        <w:rPr>
          <w:spacing w:val="-2"/>
          <w:sz w:val="20"/>
        </w:rPr>
        <w:t>académico;</w:t>
      </w:r>
    </w:p>
    <w:p>
      <w:pPr>
        <w:pStyle w:val="ListParagraph"/>
        <w:numPr>
          <w:ilvl w:val="0"/>
          <w:numId w:val="107"/>
        </w:numPr>
        <w:tabs>
          <w:tab w:pos="1195" w:val="left" w:leader="none"/>
        </w:tabs>
        <w:spacing w:line="240" w:lineRule="auto" w:before="228" w:after="0"/>
        <w:ind w:left="1195" w:right="0" w:hanging="569"/>
        <w:jc w:val="left"/>
        <w:rPr>
          <w:sz w:val="20"/>
        </w:rPr>
      </w:pPr>
      <w:r>
        <w:rPr>
          <w:sz w:val="20"/>
        </w:rPr>
        <w:t>De</w:t>
      </w:r>
      <w:r>
        <w:rPr>
          <w:spacing w:val="-10"/>
          <w:sz w:val="20"/>
        </w:rPr>
        <w:t> </w:t>
      </w:r>
      <w:r>
        <w:rPr>
          <w:sz w:val="20"/>
        </w:rPr>
        <w:t>personal</w:t>
      </w:r>
      <w:r>
        <w:rPr>
          <w:spacing w:val="-9"/>
          <w:sz w:val="20"/>
        </w:rPr>
        <w:t> </w:t>
      </w:r>
      <w:r>
        <w:rPr>
          <w:sz w:val="20"/>
        </w:rPr>
        <w:t>administrativo,</w:t>
      </w:r>
      <w:r>
        <w:rPr>
          <w:spacing w:val="-9"/>
          <w:sz w:val="20"/>
        </w:rPr>
        <w:t> </w:t>
      </w:r>
      <w:r>
        <w:rPr>
          <w:spacing w:val="-10"/>
          <w:sz w:val="20"/>
        </w:rPr>
        <w:t>o</w:t>
      </w:r>
    </w:p>
    <w:p>
      <w:pPr>
        <w:pStyle w:val="BodyText"/>
        <w:spacing w:before="1"/>
      </w:pPr>
    </w:p>
    <w:p>
      <w:pPr>
        <w:pStyle w:val="ListParagraph"/>
        <w:numPr>
          <w:ilvl w:val="0"/>
          <w:numId w:val="107"/>
        </w:numPr>
        <w:tabs>
          <w:tab w:pos="1195" w:val="left" w:leader="none"/>
        </w:tabs>
        <w:spacing w:line="240" w:lineRule="auto" w:before="0" w:after="0"/>
        <w:ind w:left="1195" w:right="0" w:hanging="569"/>
        <w:jc w:val="left"/>
        <w:rPr>
          <w:sz w:val="20"/>
        </w:rPr>
      </w:pPr>
      <w:r>
        <w:rPr>
          <w:sz w:val="20"/>
        </w:rPr>
        <w:t>De</w:t>
      </w:r>
      <w:r>
        <w:rPr>
          <w:spacing w:val="-7"/>
          <w:sz w:val="20"/>
        </w:rPr>
        <w:t> </w:t>
      </w:r>
      <w:r>
        <w:rPr>
          <w:sz w:val="20"/>
        </w:rPr>
        <w:t>institución</w:t>
      </w:r>
      <w:r>
        <w:rPr>
          <w:spacing w:val="-7"/>
          <w:sz w:val="20"/>
        </w:rPr>
        <w:t> </w:t>
      </w:r>
      <w:r>
        <w:rPr>
          <w:sz w:val="20"/>
        </w:rPr>
        <w:t>si</w:t>
      </w:r>
      <w:r>
        <w:rPr>
          <w:spacing w:val="-6"/>
          <w:sz w:val="20"/>
        </w:rPr>
        <w:t> </w:t>
      </w:r>
      <w:r>
        <w:rPr>
          <w:sz w:val="20"/>
        </w:rPr>
        <w:t>comprende</w:t>
      </w:r>
      <w:r>
        <w:rPr>
          <w:spacing w:val="-7"/>
          <w:sz w:val="20"/>
        </w:rPr>
        <w:t> </w:t>
      </w:r>
      <w:r>
        <w:rPr>
          <w:sz w:val="20"/>
        </w:rPr>
        <w:t>a</w:t>
      </w:r>
      <w:r>
        <w:rPr>
          <w:spacing w:val="-7"/>
          <w:sz w:val="20"/>
        </w:rPr>
        <w:t> </w:t>
      </w:r>
      <w:r>
        <w:rPr>
          <w:sz w:val="20"/>
        </w:rPr>
        <w:t>ambos</w:t>
      </w:r>
      <w:r>
        <w:rPr>
          <w:spacing w:val="-5"/>
          <w:sz w:val="20"/>
        </w:rPr>
        <w:t> </w:t>
      </w:r>
      <w:r>
        <w:rPr>
          <w:sz w:val="20"/>
        </w:rPr>
        <w:t>tipos</w:t>
      </w:r>
      <w:r>
        <w:rPr>
          <w:spacing w:val="-5"/>
          <w:sz w:val="20"/>
        </w:rPr>
        <w:t> </w:t>
      </w:r>
      <w:r>
        <w:rPr>
          <w:sz w:val="20"/>
        </w:rPr>
        <w:t>de</w:t>
      </w:r>
      <w:r>
        <w:rPr>
          <w:spacing w:val="-5"/>
          <w:sz w:val="20"/>
        </w:rPr>
        <w:t> </w:t>
      </w:r>
      <w:r>
        <w:rPr>
          <w:spacing w:val="-2"/>
          <w:sz w:val="20"/>
        </w:rPr>
        <w:t>trabajadores.</w:t>
      </w:r>
    </w:p>
    <w:p>
      <w:pPr>
        <w:pStyle w:val="ListParagraph"/>
        <w:spacing w:after="0" w:line="240" w:lineRule="auto"/>
        <w:jc w:val="left"/>
        <w:rPr>
          <w:sz w:val="20"/>
        </w:rPr>
        <w:sectPr>
          <w:pgSz w:w="12240" w:h="15840"/>
          <w:pgMar w:header="724" w:footer="712" w:top="1880" w:bottom="900" w:left="1080" w:right="1080"/>
        </w:sectPr>
      </w:pPr>
    </w:p>
    <w:p>
      <w:pPr>
        <w:pStyle w:val="BodyText"/>
        <w:spacing w:before="109"/>
        <w:rPr>
          <w:sz w:val="16"/>
        </w:rPr>
      </w:pP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ind w:left="338" w:firstLine="288"/>
      </w:pPr>
      <w:bookmarkStart w:name="Artículo_353_O" w:id="465"/>
      <w:bookmarkEnd w:id="465"/>
      <w:r>
        <w:rPr/>
      </w:r>
      <w:r>
        <w:rPr>
          <w:rFonts w:ascii="Arial" w:hAnsi="Arial"/>
          <w:b/>
        </w:rPr>
        <w:t>Artículo</w:t>
      </w:r>
      <w:r>
        <w:rPr>
          <w:rFonts w:ascii="Arial" w:hAnsi="Arial"/>
          <w:b/>
          <w:spacing w:val="40"/>
        </w:rPr>
        <w:t> </w:t>
      </w:r>
      <w:r>
        <w:rPr>
          <w:rFonts w:ascii="Arial" w:hAnsi="Arial"/>
          <w:b/>
        </w:rPr>
        <w:t>353-O.-</w:t>
      </w:r>
      <w:r>
        <w:rPr>
          <w:rFonts w:ascii="Arial" w:hAnsi="Arial"/>
          <w:b/>
          <w:spacing w:val="40"/>
        </w:rPr>
        <w:t> </w:t>
      </w:r>
      <w:r>
        <w:rPr/>
        <w:t>Los</w:t>
      </w:r>
      <w:r>
        <w:rPr>
          <w:spacing w:val="40"/>
        </w:rPr>
        <w:t> </w:t>
      </w:r>
      <w:r>
        <w:rPr/>
        <w:t>sindicatos</w:t>
      </w:r>
      <w:r>
        <w:rPr>
          <w:spacing w:val="40"/>
        </w:rPr>
        <w:t> </w:t>
      </w:r>
      <w:r>
        <w:rPr/>
        <w:t>a</w:t>
      </w:r>
      <w:r>
        <w:rPr>
          <w:spacing w:val="40"/>
        </w:rPr>
        <w:t> </w:t>
      </w:r>
      <w:r>
        <w:rPr/>
        <w:t>que</w:t>
      </w:r>
      <w:r>
        <w:rPr>
          <w:spacing w:val="40"/>
        </w:rPr>
        <w:t> </w:t>
      </w:r>
      <w:r>
        <w:rPr/>
        <w:t>se</w:t>
      </w:r>
      <w:r>
        <w:rPr>
          <w:spacing w:val="40"/>
        </w:rPr>
        <w:t> </w:t>
      </w:r>
      <w:r>
        <w:rPr/>
        <w:t>refiere</w:t>
      </w:r>
      <w:r>
        <w:rPr>
          <w:spacing w:val="40"/>
        </w:rPr>
        <w:t> </w:t>
      </w:r>
      <w:r>
        <w:rPr/>
        <w:t>el</w:t>
      </w:r>
      <w:r>
        <w:rPr>
          <w:spacing w:val="40"/>
        </w:rPr>
        <w:t> </w:t>
      </w:r>
      <w:r>
        <w:rPr/>
        <w:t>artículo</w:t>
      </w:r>
      <w:r>
        <w:rPr>
          <w:spacing w:val="40"/>
        </w:rPr>
        <w:t> </w:t>
      </w:r>
      <w:r>
        <w:rPr/>
        <w:t>anterior</w:t>
      </w:r>
      <w:r>
        <w:rPr>
          <w:spacing w:val="40"/>
        </w:rPr>
        <w:t> </w:t>
      </w:r>
      <w:r>
        <w:rPr/>
        <w:t>deberán</w:t>
      </w:r>
      <w:r>
        <w:rPr>
          <w:spacing w:val="40"/>
        </w:rPr>
        <w:t> </w:t>
      </w:r>
      <w:r>
        <w:rPr/>
        <w:t>registrarse</w:t>
      </w:r>
      <w:r>
        <w:rPr>
          <w:spacing w:val="40"/>
        </w:rPr>
        <w:t> </w:t>
      </w:r>
      <w:r>
        <w:rPr/>
        <w:t>ante</w:t>
      </w:r>
      <w:r>
        <w:rPr>
          <w:spacing w:val="40"/>
        </w:rPr>
        <w:t> </w:t>
      </w:r>
      <w:r>
        <w:rPr/>
        <w:t>la Autoridad Registral que establece esta Ley.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right="341" w:firstLine="288"/>
        <w:jc w:val="both"/>
      </w:pPr>
      <w:bookmarkStart w:name="Artículo_353_P" w:id="466"/>
      <w:bookmarkEnd w:id="466"/>
      <w:r>
        <w:rPr/>
      </w:r>
      <w:r>
        <w:rPr>
          <w:rFonts w:ascii="Arial" w:hAnsi="Arial"/>
          <w:b/>
        </w:rPr>
        <w:t>Artículo 353-P.- </w:t>
      </w:r>
      <w:r>
        <w:rPr/>
        <w:t>Para los efectos de la contratación colectiva entre las universidades e instituciones y sus correspondientes sindicatos, se seguirán las reglas fijadas en el Artículo 388. Para tal efecto el sindicato de institución recibirá el tratamiento de sindicato de empresa y los sindicatos de personal académico o de personal administrativo tendrán el tratamiento de sindicato gremial.</w:t>
      </w:r>
    </w:p>
    <w:p>
      <w:pPr>
        <w:spacing w:line="17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before="1"/>
        <w:ind w:left="338" w:right="337" w:firstLine="288"/>
        <w:jc w:val="both"/>
      </w:pPr>
      <w:bookmarkStart w:name="Artículo_353_Q" w:id="467"/>
      <w:bookmarkEnd w:id="467"/>
      <w:r>
        <w:rPr/>
      </w:r>
      <w:r>
        <w:rPr>
          <w:rFonts w:ascii="Arial" w:hAnsi="Arial"/>
          <w:b/>
        </w:rPr>
        <w:t>Artículo 353-Q.- </w:t>
      </w:r>
      <w:r>
        <w:rPr/>
        <w:t>En los contratos colectivos las disposiciones relativas a los trabajadores académicos no se extenderán a los trabajadores administrativos, ni a la inversa, salvo que así se convenga </w:t>
      </w:r>
      <w:r>
        <w:rPr>
          <w:spacing w:val="-2"/>
        </w:rPr>
        <w:t>expresamente.</w:t>
      </w:r>
    </w:p>
    <w:p>
      <w:pPr>
        <w:pStyle w:val="BodyText"/>
        <w:spacing w:before="225"/>
        <w:ind w:left="338" w:right="351" w:firstLine="288"/>
        <w:jc w:val="both"/>
      </w:pPr>
      <w:r>
        <w:rPr/>
        <w:t>En ningún</w:t>
      </w:r>
      <w:r>
        <w:rPr>
          <w:spacing w:val="-2"/>
        </w:rPr>
        <w:t> </w:t>
      </w:r>
      <w:r>
        <w:rPr/>
        <w:t>caso estos</w:t>
      </w:r>
      <w:r>
        <w:rPr>
          <w:spacing w:val="-1"/>
        </w:rPr>
        <w:t> </w:t>
      </w:r>
      <w:r>
        <w:rPr/>
        <w:t>contratos</w:t>
      </w:r>
      <w:r>
        <w:rPr>
          <w:spacing w:val="-1"/>
        </w:rPr>
        <w:t> </w:t>
      </w:r>
      <w:r>
        <w:rPr/>
        <w:t>podrán establecer</w:t>
      </w:r>
      <w:r>
        <w:rPr>
          <w:spacing w:val="-1"/>
        </w:rPr>
        <w:t> </w:t>
      </w:r>
      <w:r>
        <w:rPr/>
        <w:t>para</w:t>
      </w:r>
      <w:r>
        <w:rPr>
          <w:spacing w:val="-2"/>
        </w:rPr>
        <w:t> </w:t>
      </w:r>
      <w:r>
        <w:rPr/>
        <w:t>el</w:t>
      </w:r>
      <w:r>
        <w:rPr>
          <w:spacing w:val="-3"/>
        </w:rPr>
        <w:t> </w:t>
      </w:r>
      <w:r>
        <w:rPr/>
        <w:t>personal académico</w:t>
      </w:r>
      <w:r>
        <w:rPr>
          <w:spacing w:val="-2"/>
        </w:rPr>
        <w:t> </w:t>
      </w:r>
      <w:r>
        <w:rPr/>
        <w:t>la admisión</w:t>
      </w:r>
      <w:r>
        <w:rPr>
          <w:spacing w:val="-3"/>
        </w:rPr>
        <w:t> </w:t>
      </w:r>
      <w:r>
        <w:rPr/>
        <w:t>exclusiva</w:t>
      </w:r>
      <w:r>
        <w:rPr>
          <w:spacing w:val="-2"/>
        </w:rPr>
        <w:t> </w:t>
      </w:r>
      <w:r>
        <w:rPr/>
        <w:t>o la separación por expulsión a que se refiere el Artículo 395.</w:t>
      </w:r>
    </w:p>
    <w:p>
      <w:pPr>
        <w:spacing w:line="182"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338" w:right="346" w:firstLine="288"/>
        <w:jc w:val="both"/>
      </w:pPr>
      <w:bookmarkStart w:name="Artículo_353_R" w:id="468"/>
      <w:bookmarkEnd w:id="468"/>
      <w:r>
        <w:rPr/>
      </w:r>
      <w:r>
        <w:rPr>
          <w:rFonts w:ascii="Arial" w:hAnsi="Arial"/>
          <w:b/>
        </w:rPr>
        <w:t>Artículo 353-R.- </w:t>
      </w:r>
      <w:r>
        <w:rPr/>
        <w:t>En el procedimiento de huelga el aviso para la suspensión de labores deberá darse por lo menos con diez días de anticipación a la fecha señalada para suspender el trabajo.</w:t>
      </w:r>
    </w:p>
    <w:p>
      <w:pPr>
        <w:pStyle w:val="BodyText"/>
        <w:spacing w:before="229"/>
        <w:ind w:left="338" w:right="348" w:firstLine="288"/>
        <w:jc w:val="both"/>
      </w:pPr>
      <w:r>
        <w:rPr/>
        <w:t>Además</w:t>
      </w:r>
      <w:r>
        <w:rPr>
          <w:spacing w:val="-1"/>
        </w:rPr>
        <w:t> </w:t>
      </w:r>
      <w:r>
        <w:rPr/>
        <w:t>de</w:t>
      </w:r>
      <w:r>
        <w:rPr>
          <w:spacing w:val="-3"/>
        </w:rPr>
        <w:t> </w:t>
      </w:r>
      <w:r>
        <w:rPr/>
        <w:t>los</w:t>
      </w:r>
      <w:r>
        <w:rPr>
          <w:spacing w:val="-1"/>
        </w:rPr>
        <w:t> </w:t>
      </w:r>
      <w:r>
        <w:rPr/>
        <w:t>casos</w:t>
      </w:r>
      <w:r>
        <w:rPr>
          <w:spacing w:val="-1"/>
        </w:rPr>
        <w:t> </w:t>
      </w:r>
      <w:r>
        <w:rPr/>
        <w:t>previstos</w:t>
      </w:r>
      <w:r>
        <w:rPr>
          <w:spacing w:val="-1"/>
        </w:rPr>
        <w:t> </w:t>
      </w:r>
      <w:r>
        <w:rPr/>
        <w:t>por</w:t>
      </w:r>
      <w:r>
        <w:rPr>
          <w:spacing w:val="-1"/>
        </w:rPr>
        <w:t> </w:t>
      </w:r>
      <w:r>
        <w:rPr/>
        <w:t>el</w:t>
      </w:r>
      <w:r>
        <w:rPr>
          <w:spacing w:val="-3"/>
        </w:rPr>
        <w:t> </w:t>
      </w:r>
      <w:r>
        <w:rPr/>
        <w:t>Artículo</w:t>
      </w:r>
      <w:r>
        <w:rPr>
          <w:spacing w:val="-2"/>
        </w:rPr>
        <w:t> </w:t>
      </w:r>
      <w:r>
        <w:rPr/>
        <w:t>935,</w:t>
      </w:r>
      <w:r>
        <w:rPr>
          <w:spacing w:val="-2"/>
        </w:rPr>
        <w:t> </w:t>
      </w:r>
      <w:r>
        <w:rPr/>
        <w:t>antes</w:t>
      </w:r>
      <w:r>
        <w:rPr>
          <w:spacing w:val="-1"/>
        </w:rPr>
        <w:t> </w:t>
      </w:r>
      <w:r>
        <w:rPr/>
        <w:t>de</w:t>
      </w:r>
      <w:r>
        <w:rPr>
          <w:spacing w:val="-3"/>
        </w:rPr>
        <w:t> </w:t>
      </w:r>
      <w:r>
        <w:rPr/>
        <w:t>la</w:t>
      </w:r>
      <w:r>
        <w:rPr>
          <w:spacing w:val="-2"/>
        </w:rPr>
        <w:t> </w:t>
      </w:r>
      <w:r>
        <w:rPr/>
        <w:t>suspensión</w:t>
      </w:r>
      <w:r>
        <w:rPr>
          <w:spacing w:val="-3"/>
        </w:rPr>
        <w:t> </w:t>
      </w:r>
      <w:r>
        <w:rPr/>
        <w:t>de</w:t>
      </w:r>
      <w:r>
        <w:rPr>
          <w:spacing w:val="-2"/>
        </w:rPr>
        <w:t> </w:t>
      </w:r>
      <w:r>
        <w:rPr/>
        <w:t>los</w:t>
      </w:r>
      <w:r>
        <w:rPr>
          <w:spacing w:val="-1"/>
        </w:rPr>
        <w:t> </w:t>
      </w:r>
      <w:r>
        <w:rPr/>
        <w:t>trabajos,</w:t>
      </w:r>
      <w:r>
        <w:rPr>
          <w:spacing w:val="-2"/>
        </w:rPr>
        <w:t> </w:t>
      </w:r>
      <w:r>
        <w:rPr/>
        <w:t>las</w:t>
      </w:r>
      <w:r>
        <w:rPr>
          <w:spacing w:val="-1"/>
        </w:rPr>
        <w:t> </w:t>
      </w:r>
      <w:r>
        <w:rPr/>
        <w:t>partes</w:t>
      </w:r>
      <w:r>
        <w:rPr>
          <w:spacing w:val="-1"/>
        </w:rPr>
        <w:t> </w:t>
      </w:r>
      <w:r>
        <w:rPr/>
        <w:t>o en su defecto el Tribunal, con audiencia de aquéllas, fijarán el número indispensable de trabajadores que deban continuar trabajando para que sigan ejecutándose las labores cuya suspensión pueda perjudicar irreparablemente la buena marcha de una investigación o un experimento en curso.</w:t>
      </w:r>
    </w:p>
    <w:p>
      <w:pPr>
        <w:spacing w:line="242" w:lineRule="auto" w:before="0"/>
        <w:ind w:left="7302" w:right="0" w:firstLine="62"/>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w:t>
      </w:r>
      <w:r>
        <w:rPr>
          <w:rFonts w:ascii="Times New Roman" w:hAnsi="Times New Roman"/>
          <w:i/>
          <w:color w:val="0000FF"/>
          <w:spacing w:val="-4"/>
          <w:sz w:val="16"/>
        </w:rPr>
        <w:t>1980</w:t>
      </w:r>
    </w:p>
    <w:p>
      <w:pPr>
        <w:spacing w:before="223"/>
        <w:ind w:left="626" w:right="0" w:firstLine="0"/>
        <w:jc w:val="left"/>
        <w:rPr>
          <w:sz w:val="20"/>
        </w:rPr>
      </w:pPr>
      <w:bookmarkStart w:name="Artículo_353_S" w:id="469"/>
      <w:bookmarkEnd w:id="469"/>
      <w:r>
        <w:rPr/>
      </w:r>
      <w:r>
        <w:rPr>
          <w:rFonts w:ascii="Arial" w:hAnsi="Arial"/>
          <w:b/>
          <w:sz w:val="20"/>
        </w:rPr>
        <w:t>Artículo</w:t>
      </w:r>
      <w:r>
        <w:rPr>
          <w:rFonts w:ascii="Arial" w:hAnsi="Arial"/>
          <w:b/>
          <w:spacing w:val="-7"/>
          <w:sz w:val="20"/>
        </w:rPr>
        <w:t> </w:t>
      </w:r>
      <w:r>
        <w:rPr>
          <w:rFonts w:ascii="Arial" w:hAnsi="Arial"/>
          <w:b/>
          <w:sz w:val="20"/>
        </w:rPr>
        <w:t>353-S.-</w:t>
      </w:r>
      <w:r>
        <w:rPr>
          <w:rFonts w:ascii="Arial" w:hAnsi="Arial"/>
          <w:b/>
          <w:spacing w:val="-6"/>
          <w:sz w:val="20"/>
        </w:rPr>
        <w:t> </w:t>
      </w:r>
      <w:r>
        <w:rPr>
          <w:sz w:val="20"/>
        </w:rPr>
        <w:t>Se</w:t>
      </w:r>
      <w:r>
        <w:rPr>
          <w:spacing w:val="-6"/>
          <w:sz w:val="20"/>
        </w:rPr>
        <w:t> </w:t>
      </w:r>
      <w:r>
        <w:rPr>
          <w:spacing w:val="-2"/>
          <w:sz w:val="20"/>
        </w:rPr>
        <w:t>deroga.</w:t>
      </w:r>
    </w:p>
    <w:p>
      <w:pPr>
        <w:spacing w:before="0"/>
        <w:ind w:left="347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line="229" w:lineRule="exact" w:before="1"/>
        <w:ind w:left="626" w:right="0" w:firstLine="0"/>
        <w:jc w:val="left"/>
        <w:rPr>
          <w:sz w:val="20"/>
        </w:rPr>
      </w:pPr>
      <w:bookmarkStart w:name="Artículo_353_T" w:id="470"/>
      <w:bookmarkEnd w:id="470"/>
      <w:r>
        <w:rPr/>
      </w:r>
      <w:r>
        <w:rPr>
          <w:rFonts w:ascii="Arial" w:hAnsi="Arial"/>
          <w:b/>
          <w:sz w:val="20"/>
        </w:rPr>
        <w:t>Artículo</w:t>
      </w:r>
      <w:r>
        <w:rPr>
          <w:rFonts w:ascii="Arial" w:hAnsi="Arial"/>
          <w:b/>
          <w:spacing w:val="-6"/>
          <w:sz w:val="20"/>
        </w:rPr>
        <w:t> </w:t>
      </w:r>
      <w:r>
        <w:rPr>
          <w:rFonts w:ascii="Arial" w:hAnsi="Arial"/>
          <w:b/>
          <w:sz w:val="20"/>
        </w:rPr>
        <w:t>353-T.-</w:t>
      </w:r>
      <w:r>
        <w:rPr>
          <w:rFonts w:ascii="Arial" w:hAnsi="Arial"/>
          <w:b/>
          <w:spacing w:val="-6"/>
          <w:sz w:val="20"/>
        </w:rPr>
        <w:t> </w:t>
      </w:r>
      <w:r>
        <w:rPr>
          <w:sz w:val="20"/>
        </w:rPr>
        <w:t>Se</w:t>
      </w:r>
      <w:r>
        <w:rPr>
          <w:spacing w:val="-7"/>
          <w:sz w:val="20"/>
        </w:rPr>
        <w:t> </w:t>
      </w:r>
      <w:r>
        <w:rPr>
          <w:spacing w:val="-2"/>
          <w:sz w:val="20"/>
        </w:rPr>
        <w:t>deroga.</w:t>
      </w:r>
    </w:p>
    <w:p>
      <w:pPr>
        <w:spacing w:line="183" w:lineRule="exact" w:before="0"/>
        <w:ind w:left="54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BodyText"/>
        <w:ind w:left="338" w:right="337" w:firstLine="288"/>
        <w:jc w:val="both"/>
      </w:pPr>
      <w:bookmarkStart w:name="Artículo_353_U" w:id="471"/>
      <w:bookmarkEnd w:id="471"/>
      <w:r>
        <w:rPr/>
      </w:r>
      <w:r>
        <w:rPr>
          <w:rFonts w:ascii="Arial" w:hAnsi="Arial"/>
          <w:b/>
        </w:rPr>
        <w:t>Artículo 353-U.- </w:t>
      </w:r>
      <w:r>
        <w:rPr/>
        <w:t>Los trabajadores de las universidades e instituciones a las que se refiere este Capítulo disfrutarán de sistemas de seguridad social en los términos de sus leyes orgánicas, o conforme</w:t>
      </w:r>
      <w:r>
        <w:rPr>
          <w:spacing w:val="40"/>
        </w:rPr>
        <w:t> </w:t>
      </w:r>
      <w:r>
        <w:rPr/>
        <w:t>a los acuerdos que con base en ellas se celebren. Estas prestaciones nunca podrán ser inferiores a los mínimos establecidos por la Constitución Política de los Estados Unidos Mexicanos y esta Ley.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20-10-</w:t>
      </w:r>
      <w:r>
        <w:rPr>
          <w:rFonts w:ascii="Times New Roman" w:hAnsi="Times New Roman"/>
          <w:i/>
          <w:color w:val="0000FF"/>
          <w:spacing w:val="-4"/>
          <w:sz w:val="16"/>
        </w:rPr>
        <w:t>1980</w:t>
      </w:r>
    </w:p>
    <w:p>
      <w:pPr>
        <w:pStyle w:val="Heading1"/>
        <w:spacing w:line="252" w:lineRule="exact" w:before="229"/>
      </w:pPr>
      <w:r>
        <w:rPr/>
        <w:t>TITULO</w:t>
      </w:r>
      <w:r>
        <w:rPr>
          <w:spacing w:val="-4"/>
        </w:rPr>
        <w:t> </w:t>
      </w:r>
      <w:r>
        <w:rPr>
          <w:spacing w:val="-2"/>
        </w:rPr>
        <w:t>SEPTIMO</w:t>
      </w:r>
    </w:p>
    <w:p>
      <w:pPr>
        <w:spacing w:line="252" w:lineRule="exact" w:before="0"/>
        <w:ind w:left="296" w:right="296" w:firstLine="0"/>
        <w:jc w:val="center"/>
        <w:rPr>
          <w:rFonts w:ascii="Arial"/>
          <w:b/>
          <w:sz w:val="22"/>
        </w:rPr>
      </w:pPr>
      <w:r>
        <w:rPr>
          <w:rFonts w:ascii="Arial"/>
          <w:b/>
          <w:sz w:val="22"/>
        </w:rPr>
        <w:t>Relaciones</w:t>
      </w:r>
      <w:r>
        <w:rPr>
          <w:rFonts w:ascii="Arial"/>
          <w:b/>
          <w:spacing w:val="-7"/>
          <w:sz w:val="22"/>
        </w:rPr>
        <w:t> </w:t>
      </w:r>
      <w:r>
        <w:rPr>
          <w:rFonts w:ascii="Arial"/>
          <w:b/>
          <w:sz w:val="22"/>
        </w:rPr>
        <w:t>Colectivas</w:t>
      </w:r>
      <w:r>
        <w:rPr>
          <w:rFonts w:ascii="Arial"/>
          <w:b/>
          <w:spacing w:val="-6"/>
          <w:sz w:val="22"/>
        </w:rPr>
        <w:t> </w:t>
      </w:r>
      <w:r>
        <w:rPr>
          <w:rFonts w:ascii="Arial"/>
          <w:b/>
          <w:sz w:val="22"/>
        </w:rPr>
        <w:t>de</w:t>
      </w:r>
      <w:r>
        <w:rPr>
          <w:rFonts w:ascii="Arial"/>
          <w:b/>
          <w:spacing w:val="-6"/>
          <w:sz w:val="22"/>
        </w:rPr>
        <w:t> </w:t>
      </w:r>
      <w:r>
        <w:rPr>
          <w:rFonts w:ascii="Arial"/>
          <w:b/>
          <w:spacing w:val="-2"/>
          <w:sz w:val="22"/>
        </w:rPr>
        <w:t>Trabajo</w:t>
      </w:r>
    </w:p>
    <w:p>
      <w:pPr>
        <w:pStyle w:val="BodyText"/>
        <w:spacing w:before="1"/>
        <w:rPr>
          <w:rFonts w:ascii="Arial"/>
          <w:b/>
          <w:sz w:val="22"/>
        </w:rPr>
      </w:pPr>
    </w:p>
    <w:p>
      <w:pPr>
        <w:pStyle w:val="Heading1"/>
        <w:spacing w:line="252" w:lineRule="exact" w:before="1"/>
      </w:pPr>
      <w:r>
        <w:rPr/>
        <w:t>CAPITULO</w:t>
      </w:r>
      <w:r>
        <w:rPr>
          <w:spacing w:val="-9"/>
        </w:rPr>
        <w:t> </w:t>
      </w:r>
      <w:r>
        <w:rPr>
          <w:spacing w:val="-12"/>
        </w:rPr>
        <w:t>I</w:t>
      </w:r>
    </w:p>
    <w:p>
      <w:pPr>
        <w:pStyle w:val="Heading2"/>
        <w:spacing w:line="252" w:lineRule="exact"/>
        <w:ind w:left="297"/>
      </w:pPr>
      <w:r>
        <w:rPr>
          <w:spacing w:val="-2"/>
        </w:rPr>
        <w:t>Coaliciones</w:t>
      </w:r>
    </w:p>
    <w:p>
      <w:pPr>
        <w:pStyle w:val="BodyText"/>
        <w:spacing w:before="231"/>
        <w:ind w:left="626"/>
      </w:pPr>
      <w:bookmarkStart w:name="Artículo_354" w:id="472"/>
      <w:bookmarkEnd w:id="472"/>
      <w:r>
        <w:rPr/>
      </w:r>
      <w:r>
        <w:rPr>
          <w:rFonts w:ascii="Arial" w:hAnsi="Arial"/>
          <w:b/>
        </w:rPr>
        <w:t>Artículo</w:t>
      </w:r>
      <w:r>
        <w:rPr>
          <w:rFonts w:ascii="Arial" w:hAnsi="Arial"/>
          <w:b/>
          <w:spacing w:val="-6"/>
        </w:rPr>
        <w:t> </w:t>
      </w:r>
      <w:r>
        <w:rPr>
          <w:rFonts w:ascii="Arial" w:hAnsi="Arial"/>
          <w:b/>
        </w:rPr>
        <w:t>354.-</w:t>
      </w:r>
      <w:r>
        <w:rPr>
          <w:rFonts w:ascii="Arial" w:hAnsi="Arial"/>
          <w:b/>
          <w:spacing w:val="-6"/>
        </w:rPr>
        <w:t> </w:t>
      </w:r>
      <w:r>
        <w:rPr/>
        <w:t>La</w:t>
      </w:r>
      <w:r>
        <w:rPr>
          <w:spacing w:val="-7"/>
        </w:rPr>
        <w:t> </w:t>
      </w:r>
      <w:r>
        <w:rPr/>
        <w:t>Ley</w:t>
      </w:r>
      <w:r>
        <w:rPr>
          <w:spacing w:val="-9"/>
        </w:rPr>
        <w:t> </w:t>
      </w:r>
      <w:r>
        <w:rPr/>
        <w:t>reconoce</w:t>
      </w:r>
      <w:r>
        <w:rPr>
          <w:spacing w:val="-7"/>
        </w:rPr>
        <w:t> </w:t>
      </w:r>
      <w:r>
        <w:rPr/>
        <w:t>la</w:t>
      </w:r>
      <w:r>
        <w:rPr>
          <w:spacing w:val="-6"/>
        </w:rPr>
        <w:t> </w:t>
      </w:r>
      <w:r>
        <w:rPr/>
        <w:t>libertad</w:t>
      </w:r>
      <w:r>
        <w:rPr>
          <w:spacing w:val="-5"/>
        </w:rPr>
        <w:t> </w:t>
      </w:r>
      <w:r>
        <w:rPr/>
        <w:t>de</w:t>
      </w:r>
      <w:r>
        <w:rPr>
          <w:spacing w:val="-8"/>
        </w:rPr>
        <w:t> </w:t>
      </w:r>
      <w:r>
        <w:rPr/>
        <w:t>coalición</w:t>
      </w:r>
      <w:r>
        <w:rPr>
          <w:spacing w:val="-6"/>
        </w:rPr>
        <w:t> </w:t>
      </w:r>
      <w:r>
        <w:rPr/>
        <w:t>de</w:t>
      </w:r>
      <w:r>
        <w:rPr>
          <w:spacing w:val="-5"/>
        </w:rPr>
        <w:t> </w:t>
      </w:r>
      <w:r>
        <w:rPr/>
        <w:t>trabajadores</w:t>
      </w:r>
      <w:r>
        <w:rPr>
          <w:spacing w:val="-4"/>
        </w:rPr>
        <w:t> </w:t>
      </w:r>
      <w:r>
        <w:rPr/>
        <w:t>y</w:t>
      </w:r>
      <w:r>
        <w:rPr>
          <w:spacing w:val="-8"/>
        </w:rPr>
        <w:t> </w:t>
      </w:r>
      <w:r>
        <w:rPr>
          <w:spacing w:val="-2"/>
        </w:rPr>
        <w:t>patrones.</w:t>
      </w:r>
    </w:p>
    <w:p>
      <w:pPr>
        <w:pStyle w:val="BodyText"/>
        <w:spacing w:before="1"/>
      </w:pPr>
    </w:p>
    <w:p>
      <w:pPr>
        <w:pStyle w:val="BodyText"/>
        <w:spacing w:line="242" w:lineRule="auto"/>
        <w:ind w:left="338" w:firstLine="288"/>
      </w:pPr>
      <w:bookmarkStart w:name="Artículo_355" w:id="473"/>
      <w:bookmarkEnd w:id="473"/>
      <w:r>
        <w:rPr/>
      </w:r>
      <w:r>
        <w:rPr>
          <w:rFonts w:ascii="Arial" w:hAnsi="Arial"/>
          <w:b/>
        </w:rPr>
        <w:t>Artículo</w:t>
      </w:r>
      <w:r>
        <w:rPr>
          <w:rFonts w:ascii="Arial" w:hAnsi="Arial"/>
          <w:b/>
          <w:spacing w:val="20"/>
        </w:rPr>
        <w:t> </w:t>
      </w:r>
      <w:r>
        <w:rPr>
          <w:rFonts w:ascii="Arial" w:hAnsi="Arial"/>
          <w:b/>
        </w:rPr>
        <w:t>355.-</w:t>
      </w:r>
      <w:r>
        <w:rPr>
          <w:rFonts w:ascii="Arial" w:hAnsi="Arial"/>
          <w:b/>
          <w:spacing w:val="20"/>
        </w:rPr>
        <w:t> </w:t>
      </w:r>
      <w:r>
        <w:rPr/>
        <w:t>Coalición</w:t>
      </w:r>
      <w:r>
        <w:rPr>
          <w:spacing w:val="19"/>
        </w:rPr>
        <w:t> </w:t>
      </w:r>
      <w:r>
        <w:rPr/>
        <w:t>es</w:t>
      </w:r>
      <w:r>
        <w:rPr>
          <w:spacing w:val="20"/>
        </w:rPr>
        <w:t> </w:t>
      </w:r>
      <w:r>
        <w:rPr/>
        <w:t>el</w:t>
      </w:r>
      <w:r>
        <w:rPr>
          <w:spacing w:val="19"/>
        </w:rPr>
        <w:t> </w:t>
      </w:r>
      <w:r>
        <w:rPr/>
        <w:t>acuerdo</w:t>
      </w:r>
      <w:r>
        <w:rPr>
          <w:spacing w:val="19"/>
        </w:rPr>
        <w:t> </w:t>
      </w:r>
      <w:r>
        <w:rPr/>
        <w:t>temporal</w:t>
      </w:r>
      <w:r>
        <w:rPr>
          <w:spacing w:val="19"/>
        </w:rPr>
        <w:t> </w:t>
      </w:r>
      <w:r>
        <w:rPr/>
        <w:t>de</w:t>
      </w:r>
      <w:r>
        <w:rPr>
          <w:spacing w:val="21"/>
        </w:rPr>
        <w:t> </w:t>
      </w:r>
      <w:r>
        <w:rPr/>
        <w:t>un</w:t>
      </w:r>
      <w:r>
        <w:rPr>
          <w:spacing w:val="19"/>
        </w:rPr>
        <w:t> </w:t>
      </w:r>
      <w:r>
        <w:rPr/>
        <w:t>grupo</w:t>
      </w:r>
      <w:r>
        <w:rPr>
          <w:spacing w:val="20"/>
        </w:rPr>
        <w:t> </w:t>
      </w:r>
      <w:r>
        <w:rPr/>
        <w:t>de</w:t>
      </w:r>
      <w:r>
        <w:rPr>
          <w:spacing w:val="19"/>
        </w:rPr>
        <w:t> </w:t>
      </w:r>
      <w:r>
        <w:rPr/>
        <w:t>trabajadores</w:t>
      </w:r>
      <w:r>
        <w:rPr>
          <w:spacing w:val="23"/>
        </w:rPr>
        <w:t> </w:t>
      </w:r>
      <w:r>
        <w:rPr/>
        <w:t>o</w:t>
      </w:r>
      <w:r>
        <w:rPr>
          <w:spacing w:val="20"/>
        </w:rPr>
        <w:t> </w:t>
      </w:r>
      <w:r>
        <w:rPr/>
        <w:t>de</w:t>
      </w:r>
      <w:r>
        <w:rPr>
          <w:spacing w:val="19"/>
        </w:rPr>
        <w:t> </w:t>
      </w:r>
      <w:r>
        <w:rPr/>
        <w:t>patrones</w:t>
      </w:r>
      <w:r>
        <w:rPr>
          <w:spacing w:val="20"/>
        </w:rPr>
        <w:t> </w:t>
      </w:r>
      <w:r>
        <w:rPr/>
        <w:t>para</w:t>
      </w:r>
      <w:r>
        <w:rPr>
          <w:spacing w:val="20"/>
        </w:rPr>
        <w:t> </w:t>
      </w:r>
      <w:r>
        <w:rPr/>
        <w:t>la defensa de sus intereses comunes.</w:t>
      </w:r>
    </w:p>
    <w:p>
      <w:pPr>
        <w:pStyle w:val="Heading1"/>
        <w:spacing w:before="224"/>
      </w:pPr>
      <w:r>
        <w:rPr/>
        <w:t>CAPITULO</w:t>
      </w:r>
      <w:r>
        <w:rPr>
          <w:spacing w:val="-9"/>
        </w:rPr>
        <w:t> </w:t>
      </w:r>
      <w:r>
        <w:rPr>
          <w:spacing w:val="-7"/>
        </w:rPr>
        <w:t>II</w:t>
      </w:r>
    </w:p>
    <w:p>
      <w:pPr>
        <w:pStyle w:val="Heading1"/>
        <w:spacing w:after="0"/>
        <w:sectPr>
          <w:pgSz w:w="12240" w:h="15840"/>
          <w:pgMar w:header="724" w:footer="712" w:top="1880" w:bottom="900" w:left="1080" w:right="1080"/>
        </w:sectPr>
      </w:pPr>
    </w:p>
    <w:p>
      <w:pPr>
        <w:pStyle w:val="BodyText"/>
        <w:spacing w:before="40"/>
        <w:rPr>
          <w:rFonts w:ascii="Arial"/>
          <w:b/>
          <w:sz w:val="22"/>
        </w:rPr>
      </w:pPr>
    </w:p>
    <w:p>
      <w:pPr>
        <w:pStyle w:val="Heading2"/>
        <w:ind w:left="298"/>
      </w:pPr>
      <w:r>
        <w:rPr/>
        <w:t>Sindicatos,</w:t>
      </w:r>
      <w:r>
        <w:rPr>
          <w:spacing w:val="-9"/>
        </w:rPr>
        <w:t> </w:t>
      </w:r>
      <w:r>
        <w:rPr/>
        <w:t>federaciones</w:t>
      </w:r>
      <w:r>
        <w:rPr>
          <w:spacing w:val="-8"/>
        </w:rPr>
        <w:t> </w:t>
      </w:r>
      <w:r>
        <w:rPr/>
        <w:t>y</w:t>
      </w:r>
      <w:r>
        <w:rPr>
          <w:spacing w:val="-11"/>
        </w:rPr>
        <w:t> </w:t>
      </w:r>
      <w:r>
        <w:rPr>
          <w:spacing w:val="-2"/>
        </w:rPr>
        <w:t>confederaciones</w:t>
      </w:r>
    </w:p>
    <w:p>
      <w:pPr>
        <w:pStyle w:val="BodyText"/>
        <w:spacing w:line="242" w:lineRule="auto" w:before="232"/>
        <w:ind w:left="338" w:right="338" w:firstLine="288"/>
        <w:jc w:val="both"/>
      </w:pPr>
      <w:bookmarkStart w:name="Artículo_356" w:id="474"/>
      <w:bookmarkEnd w:id="474"/>
      <w:r>
        <w:rPr/>
      </w:r>
      <w:r>
        <w:rPr>
          <w:rFonts w:ascii="Arial" w:hAnsi="Arial"/>
          <w:b/>
        </w:rPr>
        <w:t>Artículo 356.- </w:t>
      </w:r>
      <w:r>
        <w:rPr/>
        <w:t>Sindicato es la asociación de trabajadores o patrones, constituida para el estudio, mejoramiento y defensa de sus respectivos intereses.</w:t>
      </w:r>
    </w:p>
    <w:p>
      <w:pPr>
        <w:pStyle w:val="BodyText"/>
        <w:spacing w:line="242" w:lineRule="auto" w:before="222"/>
        <w:ind w:left="338" w:right="334" w:firstLine="288"/>
        <w:jc w:val="both"/>
      </w:pPr>
      <w:bookmarkStart w:name="Artículo_357" w:id="475"/>
      <w:bookmarkEnd w:id="475"/>
      <w:r>
        <w:rPr/>
      </w:r>
      <w:r>
        <w:rPr>
          <w:rFonts w:ascii="Arial" w:hAnsi="Arial"/>
          <w:b/>
        </w:rPr>
        <w:t>Artículo 357.- </w:t>
      </w:r>
      <w:r>
        <w:rPr/>
        <w:t>Los trabajadores y los patrones, sin ninguna distinción y sin autorización previa, tienen el derecho de constituir las organizaciones que estimen convenientes, así como el de afiliarse a éstas, con la sola condición de observar los estatutos de las mismas.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338" w:right="344" w:firstLine="288"/>
        <w:jc w:val="both"/>
      </w:pPr>
      <w:r>
        <w:rPr/>
        <w:t>Las organizaciones de trabajadores y de patrones deberán gozar de adecuada protección contra todo acto de injerencia de unas respecto de las otras, ya se realice directamente o por medio de sus representantes en su constitución, funcionamiento o administración.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338" w:right="337" w:firstLine="288"/>
        <w:jc w:val="both"/>
      </w:pPr>
      <w:r>
        <w:rPr/>
        <w:t>Se consideran actos de injerencia las acciones o medidas tendientes a fomentar la constitución de organizaciones de trabajadores dominadas por un patrón o una organización de patrones, o a apoyar de cualquier forma a organizaciones de trabajadores con objeto de colocarlas bajo su control. Las prestaciones pactadas en la contratación colectiva no serán consideradas como actos de injerencia.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line="229" w:lineRule="exact"/>
        <w:ind w:left="626"/>
      </w:pPr>
      <w:r>
        <w:rPr/>
        <w:t>Cualquier</w:t>
      </w:r>
      <w:r>
        <w:rPr>
          <w:spacing w:val="-9"/>
        </w:rPr>
        <w:t> </w:t>
      </w:r>
      <w:r>
        <w:rPr/>
        <w:t>injerencia</w:t>
      </w:r>
      <w:r>
        <w:rPr>
          <w:spacing w:val="-8"/>
        </w:rPr>
        <w:t> </w:t>
      </w:r>
      <w:r>
        <w:rPr/>
        <w:t>indebida</w:t>
      </w:r>
      <w:r>
        <w:rPr>
          <w:spacing w:val="-10"/>
        </w:rPr>
        <w:t> </w:t>
      </w:r>
      <w:r>
        <w:rPr/>
        <w:t>será</w:t>
      </w:r>
      <w:r>
        <w:rPr>
          <w:spacing w:val="-8"/>
        </w:rPr>
        <w:t> </w:t>
      </w:r>
      <w:r>
        <w:rPr/>
        <w:t>sancionada</w:t>
      </w:r>
      <w:r>
        <w:rPr>
          <w:spacing w:val="-7"/>
        </w:rPr>
        <w:t> </w:t>
      </w:r>
      <w:r>
        <w:rPr/>
        <w:t>en</w:t>
      </w:r>
      <w:r>
        <w:rPr>
          <w:spacing w:val="-8"/>
        </w:rPr>
        <w:t> </w:t>
      </w:r>
      <w:r>
        <w:rPr/>
        <w:t>los</w:t>
      </w:r>
      <w:r>
        <w:rPr>
          <w:spacing w:val="-7"/>
        </w:rPr>
        <w:t> </w:t>
      </w:r>
      <w:r>
        <w:rPr/>
        <w:t>términos</w:t>
      </w:r>
      <w:r>
        <w:rPr>
          <w:spacing w:val="-8"/>
        </w:rPr>
        <w:t> </w:t>
      </w:r>
      <w:r>
        <w:rPr/>
        <w:t>que</w:t>
      </w:r>
      <w:r>
        <w:rPr>
          <w:spacing w:val="-8"/>
        </w:rPr>
        <w:t> </w:t>
      </w:r>
      <w:r>
        <w:rPr/>
        <w:t>disponga</w:t>
      </w:r>
      <w:r>
        <w:rPr>
          <w:spacing w:val="-8"/>
        </w:rPr>
        <w:t> </w:t>
      </w:r>
      <w:r>
        <w:rPr/>
        <w:t>la</w:t>
      </w:r>
      <w:r>
        <w:rPr>
          <w:spacing w:val="-7"/>
        </w:rPr>
        <w:t> </w:t>
      </w:r>
      <w:r>
        <w:rPr>
          <w:spacing w:val="-4"/>
        </w:rPr>
        <w:t>Ley.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338" w:right="341" w:firstLine="288"/>
        <w:jc w:val="both"/>
      </w:pPr>
      <w:bookmarkStart w:name="Artículo_357_Bis" w:id="476"/>
      <w:bookmarkEnd w:id="476"/>
      <w:r>
        <w:rPr/>
      </w:r>
      <w:r>
        <w:rPr>
          <w:rFonts w:ascii="Arial" w:hAnsi="Arial"/>
          <w:b/>
        </w:rPr>
        <w:t>Artículo</w:t>
      </w:r>
      <w:r>
        <w:rPr>
          <w:rFonts w:ascii="Arial" w:hAnsi="Arial"/>
          <w:b/>
          <w:spacing w:val="-2"/>
        </w:rPr>
        <w:t> </w:t>
      </w:r>
      <w:r>
        <w:rPr>
          <w:rFonts w:ascii="Arial" w:hAnsi="Arial"/>
          <w:b/>
        </w:rPr>
        <w:t>357</w:t>
      </w:r>
      <w:r>
        <w:rPr>
          <w:rFonts w:ascii="Arial" w:hAnsi="Arial"/>
          <w:b/>
          <w:spacing w:val="-3"/>
        </w:rPr>
        <w:t> </w:t>
      </w:r>
      <w:r>
        <w:rPr>
          <w:rFonts w:ascii="Arial" w:hAnsi="Arial"/>
          <w:b/>
        </w:rPr>
        <w:t>Bis.-</w:t>
      </w:r>
      <w:r>
        <w:rPr>
          <w:rFonts w:ascii="Arial" w:hAnsi="Arial"/>
          <w:b/>
          <w:spacing w:val="-2"/>
        </w:rPr>
        <w:t> </w:t>
      </w:r>
      <w:r>
        <w:rPr/>
        <w:t>El</w:t>
      </w:r>
      <w:r>
        <w:rPr>
          <w:spacing w:val="-4"/>
        </w:rPr>
        <w:t> </w:t>
      </w:r>
      <w:r>
        <w:rPr/>
        <w:t>reconocimiento</w:t>
      </w:r>
      <w:r>
        <w:rPr>
          <w:spacing w:val="-3"/>
        </w:rPr>
        <w:t> </w:t>
      </w:r>
      <w:r>
        <w:rPr/>
        <w:t>de</w:t>
      </w:r>
      <w:r>
        <w:rPr>
          <w:spacing w:val="-4"/>
        </w:rPr>
        <w:t> </w:t>
      </w:r>
      <w:r>
        <w:rPr/>
        <w:t>la</w:t>
      </w:r>
      <w:r>
        <w:rPr>
          <w:spacing w:val="-3"/>
        </w:rPr>
        <w:t> </w:t>
      </w:r>
      <w:r>
        <w:rPr/>
        <w:t>personalidad</w:t>
      </w:r>
      <w:r>
        <w:rPr>
          <w:spacing w:val="-5"/>
        </w:rPr>
        <w:t> </w:t>
      </w:r>
      <w:r>
        <w:rPr/>
        <w:t>jurídica</w:t>
      </w:r>
      <w:r>
        <w:rPr>
          <w:spacing w:val="-5"/>
        </w:rPr>
        <w:t> </w:t>
      </w:r>
      <w:r>
        <w:rPr/>
        <w:t>de</w:t>
      </w:r>
      <w:r>
        <w:rPr>
          <w:spacing w:val="-3"/>
        </w:rPr>
        <w:t> </w:t>
      </w:r>
      <w:r>
        <w:rPr/>
        <w:t>las</w:t>
      </w:r>
      <w:r>
        <w:rPr>
          <w:spacing w:val="-2"/>
        </w:rPr>
        <w:t> </w:t>
      </w:r>
      <w:r>
        <w:rPr/>
        <w:t>organizaciones</w:t>
      </w:r>
      <w:r>
        <w:rPr>
          <w:spacing w:val="-2"/>
        </w:rPr>
        <w:t> </w:t>
      </w:r>
      <w:r>
        <w:rPr/>
        <w:t>de</w:t>
      </w:r>
      <w:r>
        <w:rPr>
          <w:spacing w:val="-4"/>
        </w:rPr>
        <w:t> </w:t>
      </w:r>
      <w:r>
        <w:rPr/>
        <w:t>trabajadores y patrones, así como sus federaciones y confederaciones no estará sujeta a condiciones que impliquen restricción alguna a sus garantías y derechos, entre ellos a:</w:t>
      </w:r>
    </w:p>
    <w:p>
      <w:pPr>
        <w:pStyle w:val="ListParagraph"/>
        <w:numPr>
          <w:ilvl w:val="0"/>
          <w:numId w:val="108"/>
        </w:numPr>
        <w:tabs>
          <w:tab w:pos="1195" w:val="left" w:leader="none"/>
        </w:tabs>
        <w:spacing w:line="240" w:lineRule="auto" w:before="223" w:after="0"/>
        <w:ind w:left="1195" w:right="0" w:hanging="569"/>
        <w:jc w:val="left"/>
        <w:rPr>
          <w:sz w:val="20"/>
        </w:rPr>
      </w:pPr>
      <w:r>
        <w:rPr>
          <w:sz w:val="20"/>
        </w:rPr>
        <w:t>Redactar</w:t>
      </w:r>
      <w:r>
        <w:rPr>
          <w:spacing w:val="-8"/>
          <w:sz w:val="20"/>
        </w:rPr>
        <w:t> </w:t>
      </w:r>
      <w:r>
        <w:rPr>
          <w:sz w:val="20"/>
        </w:rPr>
        <w:t>sus</w:t>
      </w:r>
      <w:r>
        <w:rPr>
          <w:spacing w:val="-4"/>
          <w:sz w:val="20"/>
        </w:rPr>
        <w:t> </w:t>
      </w:r>
      <w:r>
        <w:rPr>
          <w:sz w:val="20"/>
        </w:rPr>
        <w:t>estatutos</w:t>
      </w:r>
      <w:r>
        <w:rPr>
          <w:spacing w:val="-5"/>
          <w:sz w:val="20"/>
        </w:rPr>
        <w:t> </w:t>
      </w:r>
      <w:r>
        <w:rPr>
          <w:sz w:val="20"/>
        </w:rPr>
        <w:t>y</w:t>
      </w:r>
      <w:r>
        <w:rPr>
          <w:spacing w:val="-10"/>
          <w:sz w:val="20"/>
        </w:rPr>
        <w:t> </w:t>
      </w:r>
      <w:r>
        <w:rPr>
          <w:sz w:val="20"/>
        </w:rPr>
        <w:t>reglamentos</w:t>
      </w:r>
      <w:r>
        <w:rPr>
          <w:spacing w:val="-6"/>
          <w:sz w:val="20"/>
        </w:rPr>
        <w:t> </w:t>
      </w:r>
      <w:r>
        <w:rPr>
          <w:spacing w:val="-2"/>
          <w:sz w:val="20"/>
        </w:rPr>
        <w:t>administrativos;</w:t>
      </w:r>
    </w:p>
    <w:p>
      <w:pPr>
        <w:pStyle w:val="BodyText"/>
        <w:spacing w:before="1"/>
      </w:pPr>
    </w:p>
    <w:p>
      <w:pPr>
        <w:pStyle w:val="ListParagraph"/>
        <w:numPr>
          <w:ilvl w:val="0"/>
          <w:numId w:val="108"/>
        </w:numPr>
        <w:tabs>
          <w:tab w:pos="1195" w:val="left" w:leader="none"/>
        </w:tabs>
        <w:spacing w:line="240" w:lineRule="auto" w:before="0" w:after="0"/>
        <w:ind w:left="1195" w:right="0" w:hanging="569"/>
        <w:jc w:val="left"/>
        <w:rPr>
          <w:sz w:val="20"/>
        </w:rPr>
      </w:pPr>
      <w:r>
        <w:rPr>
          <w:sz w:val="20"/>
        </w:rPr>
        <w:t>Elegir</w:t>
      </w:r>
      <w:r>
        <w:rPr>
          <w:spacing w:val="-6"/>
          <w:sz w:val="20"/>
        </w:rPr>
        <w:t> </w:t>
      </w:r>
      <w:r>
        <w:rPr>
          <w:sz w:val="20"/>
        </w:rPr>
        <w:t>libremente</w:t>
      </w:r>
      <w:r>
        <w:rPr>
          <w:spacing w:val="-9"/>
          <w:sz w:val="20"/>
        </w:rPr>
        <w:t> </w:t>
      </w:r>
      <w:r>
        <w:rPr>
          <w:sz w:val="20"/>
        </w:rPr>
        <w:t>sus</w:t>
      </w:r>
      <w:r>
        <w:rPr>
          <w:spacing w:val="-7"/>
          <w:sz w:val="20"/>
        </w:rPr>
        <w:t> </w:t>
      </w:r>
      <w:r>
        <w:rPr>
          <w:spacing w:val="-2"/>
          <w:sz w:val="20"/>
        </w:rPr>
        <w:t>representantes;</w:t>
      </w:r>
    </w:p>
    <w:p>
      <w:pPr>
        <w:pStyle w:val="BodyText"/>
        <w:spacing w:before="1"/>
      </w:pPr>
    </w:p>
    <w:p>
      <w:pPr>
        <w:pStyle w:val="ListParagraph"/>
        <w:numPr>
          <w:ilvl w:val="0"/>
          <w:numId w:val="108"/>
        </w:numPr>
        <w:tabs>
          <w:tab w:pos="1195" w:val="left" w:leader="none"/>
        </w:tabs>
        <w:spacing w:line="240" w:lineRule="auto" w:before="0" w:after="0"/>
        <w:ind w:left="1195" w:right="0" w:hanging="569"/>
        <w:jc w:val="left"/>
        <w:rPr>
          <w:sz w:val="20"/>
        </w:rPr>
      </w:pPr>
      <w:r>
        <w:rPr>
          <w:sz w:val="20"/>
        </w:rPr>
        <w:t>Organizar</w:t>
      </w:r>
      <w:r>
        <w:rPr>
          <w:spacing w:val="-8"/>
          <w:sz w:val="20"/>
        </w:rPr>
        <w:t> </w:t>
      </w:r>
      <w:r>
        <w:rPr>
          <w:sz w:val="20"/>
        </w:rPr>
        <w:t>su</w:t>
      </w:r>
      <w:r>
        <w:rPr>
          <w:spacing w:val="-7"/>
          <w:sz w:val="20"/>
        </w:rPr>
        <w:t> </w:t>
      </w:r>
      <w:r>
        <w:rPr>
          <w:sz w:val="20"/>
        </w:rPr>
        <w:t>administración</w:t>
      </w:r>
      <w:r>
        <w:rPr>
          <w:spacing w:val="-6"/>
          <w:sz w:val="20"/>
        </w:rPr>
        <w:t> </w:t>
      </w:r>
      <w:r>
        <w:rPr>
          <w:sz w:val="20"/>
        </w:rPr>
        <w:t>y</w:t>
      </w:r>
      <w:r>
        <w:rPr>
          <w:spacing w:val="-10"/>
          <w:sz w:val="20"/>
        </w:rPr>
        <w:t> </w:t>
      </w:r>
      <w:r>
        <w:rPr>
          <w:sz w:val="20"/>
        </w:rPr>
        <w:t>sus</w:t>
      </w:r>
      <w:r>
        <w:rPr>
          <w:spacing w:val="-5"/>
          <w:sz w:val="20"/>
        </w:rPr>
        <w:t> </w:t>
      </w:r>
      <w:r>
        <w:rPr>
          <w:spacing w:val="-2"/>
          <w:sz w:val="20"/>
        </w:rPr>
        <w:t>actividades;</w:t>
      </w:r>
    </w:p>
    <w:p>
      <w:pPr>
        <w:pStyle w:val="ListParagraph"/>
        <w:numPr>
          <w:ilvl w:val="0"/>
          <w:numId w:val="108"/>
        </w:numPr>
        <w:tabs>
          <w:tab w:pos="1195" w:val="left" w:leader="none"/>
        </w:tabs>
        <w:spacing w:line="240" w:lineRule="auto" w:before="228" w:after="0"/>
        <w:ind w:left="1195" w:right="0" w:hanging="569"/>
        <w:jc w:val="left"/>
        <w:rPr>
          <w:sz w:val="20"/>
        </w:rPr>
      </w:pPr>
      <w:r>
        <w:rPr>
          <w:sz w:val="20"/>
        </w:rPr>
        <w:t>Formular</w:t>
      </w:r>
      <w:r>
        <w:rPr>
          <w:spacing w:val="-6"/>
          <w:sz w:val="20"/>
        </w:rPr>
        <w:t> </w:t>
      </w:r>
      <w:r>
        <w:rPr>
          <w:sz w:val="20"/>
        </w:rPr>
        <w:t>su</w:t>
      </w:r>
      <w:r>
        <w:rPr>
          <w:spacing w:val="-5"/>
          <w:sz w:val="20"/>
        </w:rPr>
        <w:t> </w:t>
      </w:r>
      <w:r>
        <w:rPr>
          <w:sz w:val="20"/>
        </w:rPr>
        <w:t>programa</w:t>
      </w:r>
      <w:r>
        <w:rPr>
          <w:spacing w:val="-6"/>
          <w:sz w:val="20"/>
        </w:rPr>
        <w:t> </w:t>
      </w:r>
      <w:r>
        <w:rPr>
          <w:sz w:val="20"/>
        </w:rPr>
        <w:t>de</w:t>
      </w:r>
      <w:r>
        <w:rPr>
          <w:spacing w:val="-5"/>
          <w:sz w:val="20"/>
        </w:rPr>
        <w:t> </w:t>
      </w:r>
      <w:r>
        <w:rPr>
          <w:spacing w:val="-2"/>
          <w:sz w:val="20"/>
        </w:rPr>
        <w:t>acción;</w:t>
      </w:r>
    </w:p>
    <w:p>
      <w:pPr>
        <w:pStyle w:val="BodyText"/>
        <w:spacing w:before="1"/>
      </w:pPr>
    </w:p>
    <w:p>
      <w:pPr>
        <w:pStyle w:val="ListParagraph"/>
        <w:numPr>
          <w:ilvl w:val="0"/>
          <w:numId w:val="108"/>
        </w:numPr>
        <w:tabs>
          <w:tab w:pos="1195" w:val="left" w:leader="none"/>
        </w:tabs>
        <w:spacing w:line="240" w:lineRule="auto" w:before="0" w:after="0"/>
        <w:ind w:left="1195" w:right="0" w:hanging="569"/>
        <w:jc w:val="left"/>
        <w:rPr>
          <w:sz w:val="20"/>
        </w:rPr>
      </w:pPr>
      <w:r>
        <w:rPr>
          <w:sz w:val="20"/>
        </w:rPr>
        <w:t>Constituir</w:t>
      </w:r>
      <w:r>
        <w:rPr>
          <w:spacing w:val="-9"/>
          <w:sz w:val="20"/>
        </w:rPr>
        <w:t> </w:t>
      </w:r>
      <w:r>
        <w:rPr>
          <w:sz w:val="20"/>
        </w:rPr>
        <w:t>las</w:t>
      </w:r>
      <w:r>
        <w:rPr>
          <w:spacing w:val="-10"/>
          <w:sz w:val="20"/>
        </w:rPr>
        <w:t> </w:t>
      </w:r>
      <w:r>
        <w:rPr>
          <w:sz w:val="20"/>
        </w:rPr>
        <w:t>organizaciones</w:t>
      </w:r>
      <w:r>
        <w:rPr>
          <w:spacing w:val="-10"/>
          <w:sz w:val="20"/>
        </w:rPr>
        <w:t> </w:t>
      </w:r>
      <w:r>
        <w:rPr>
          <w:sz w:val="20"/>
        </w:rPr>
        <w:t>que</w:t>
      </w:r>
      <w:r>
        <w:rPr>
          <w:spacing w:val="-10"/>
          <w:sz w:val="20"/>
        </w:rPr>
        <w:t> </w:t>
      </w:r>
      <w:r>
        <w:rPr>
          <w:sz w:val="20"/>
        </w:rPr>
        <w:t>estimen</w:t>
      </w:r>
      <w:r>
        <w:rPr>
          <w:spacing w:val="-11"/>
          <w:sz w:val="20"/>
        </w:rPr>
        <w:t> </w:t>
      </w:r>
      <w:r>
        <w:rPr>
          <w:sz w:val="20"/>
        </w:rPr>
        <w:t>convenientes,</w:t>
      </w:r>
      <w:r>
        <w:rPr>
          <w:spacing w:val="-10"/>
          <w:sz w:val="20"/>
        </w:rPr>
        <w:t> y</w:t>
      </w:r>
    </w:p>
    <w:p>
      <w:pPr>
        <w:pStyle w:val="BodyText"/>
        <w:spacing w:before="1"/>
      </w:pPr>
    </w:p>
    <w:p>
      <w:pPr>
        <w:pStyle w:val="ListParagraph"/>
        <w:numPr>
          <w:ilvl w:val="0"/>
          <w:numId w:val="108"/>
        </w:numPr>
        <w:tabs>
          <w:tab w:pos="1195" w:val="left" w:leader="none"/>
        </w:tabs>
        <w:spacing w:line="229" w:lineRule="exact" w:before="0" w:after="0"/>
        <w:ind w:left="1195" w:right="0" w:hanging="569"/>
        <w:jc w:val="left"/>
        <w:rPr>
          <w:sz w:val="20"/>
        </w:rPr>
      </w:pPr>
      <w:r>
        <w:rPr>
          <w:sz w:val="20"/>
        </w:rPr>
        <w:t>No</w:t>
      </w:r>
      <w:r>
        <w:rPr>
          <w:spacing w:val="-8"/>
          <w:sz w:val="20"/>
        </w:rPr>
        <w:t> </w:t>
      </w:r>
      <w:r>
        <w:rPr>
          <w:sz w:val="20"/>
        </w:rPr>
        <w:t>estarán</w:t>
      </w:r>
      <w:r>
        <w:rPr>
          <w:spacing w:val="-7"/>
          <w:sz w:val="20"/>
        </w:rPr>
        <w:t> </w:t>
      </w:r>
      <w:r>
        <w:rPr>
          <w:sz w:val="20"/>
        </w:rPr>
        <w:t>sujetos</w:t>
      </w:r>
      <w:r>
        <w:rPr>
          <w:spacing w:val="-7"/>
          <w:sz w:val="20"/>
        </w:rPr>
        <w:t> </w:t>
      </w:r>
      <w:r>
        <w:rPr>
          <w:sz w:val="20"/>
        </w:rPr>
        <w:t>a</w:t>
      </w:r>
      <w:r>
        <w:rPr>
          <w:spacing w:val="-5"/>
          <w:sz w:val="20"/>
        </w:rPr>
        <w:t> </w:t>
      </w:r>
      <w:r>
        <w:rPr>
          <w:sz w:val="20"/>
        </w:rPr>
        <w:t>disolución,</w:t>
      </w:r>
      <w:r>
        <w:rPr>
          <w:spacing w:val="-5"/>
          <w:sz w:val="20"/>
        </w:rPr>
        <w:t> </w:t>
      </w:r>
      <w:r>
        <w:rPr>
          <w:sz w:val="20"/>
        </w:rPr>
        <w:t>suspensión</w:t>
      </w:r>
      <w:r>
        <w:rPr>
          <w:spacing w:val="-7"/>
          <w:sz w:val="20"/>
        </w:rPr>
        <w:t> </w:t>
      </w:r>
      <w:r>
        <w:rPr>
          <w:sz w:val="20"/>
        </w:rPr>
        <w:t>o</w:t>
      </w:r>
      <w:r>
        <w:rPr>
          <w:spacing w:val="-8"/>
          <w:sz w:val="20"/>
        </w:rPr>
        <w:t> </w:t>
      </w:r>
      <w:r>
        <w:rPr>
          <w:sz w:val="20"/>
        </w:rPr>
        <w:t>cancelación</w:t>
      </w:r>
      <w:r>
        <w:rPr>
          <w:spacing w:val="-8"/>
          <w:sz w:val="20"/>
        </w:rPr>
        <w:t> </w:t>
      </w:r>
      <w:r>
        <w:rPr>
          <w:sz w:val="20"/>
        </w:rPr>
        <w:t>por</w:t>
      </w:r>
      <w:r>
        <w:rPr>
          <w:spacing w:val="-8"/>
          <w:sz w:val="20"/>
        </w:rPr>
        <w:t> </w:t>
      </w:r>
      <w:r>
        <w:rPr>
          <w:sz w:val="20"/>
        </w:rPr>
        <w:t>vía</w:t>
      </w:r>
      <w:r>
        <w:rPr>
          <w:spacing w:val="-7"/>
          <w:sz w:val="20"/>
        </w:rPr>
        <w:t> </w:t>
      </w:r>
      <w:r>
        <w:rPr>
          <w:spacing w:val="-2"/>
          <w:sz w:val="20"/>
        </w:rPr>
        <w:t>administrativa.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right="338" w:firstLine="288"/>
        <w:jc w:val="both"/>
      </w:pPr>
      <w:bookmarkStart w:name="Artículo_358" w:id="477"/>
      <w:bookmarkEnd w:id="477"/>
      <w:r>
        <w:rPr/>
      </w:r>
      <w:r>
        <w:rPr>
          <w:rFonts w:ascii="Arial" w:hAnsi="Arial"/>
          <w:b/>
        </w:rPr>
        <w:t>Artículo 358.- </w:t>
      </w:r>
      <w:r>
        <w:rPr/>
        <w:t>Los miembros de los sindicatos, federaciones y confederaciones, cuentan con los derechos de libre afiliación y de participación al interior de éstas, los cuales implican las siguientes </w:t>
      </w:r>
      <w:r>
        <w:rPr>
          <w:spacing w:val="-2"/>
        </w:rPr>
        <w:t>garantías:</w:t>
      </w:r>
    </w:p>
    <w:p>
      <w:pPr>
        <w:pStyle w:val="ListParagraph"/>
        <w:numPr>
          <w:ilvl w:val="0"/>
          <w:numId w:val="109"/>
        </w:numPr>
        <w:tabs>
          <w:tab w:pos="986" w:val="left" w:leader="none"/>
        </w:tabs>
        <w:spacing w:line="242" w:lineRule="auto" w:before="223" w:after="0"/>
        <w:ind w:left="986" w:right="345" w:hanging="360"/>
        <w:jc w:val="both"/>
        <w:rPr>
          <w:sz w:val="20"/>
        </w:rPr>
      </w:pPr>
      <w:r>
        <w:rPr>
          <w:sz w:val="20"/>
        </w:rPr>
        <w:t>Nadie puede ser obligado a formar o no parte de un sindicato, federación o confederación. Cualquier estipulación que desvirtúe de algún modo esta disposición se tendrá por no puesta;</w:t>
      </w:r>
    </w:p>
    <w:p>
      <w:pPr>
        <w:pStyle w:val="ListParagraph"/>
        <w:numPr>
          <w:ilvl w:val="0"/>
          <w:numId w:val="109"/>
        </w:numPr>
        <w:tabs>
          <w:tab w:pos="983" w:val="left" w:leader="none"/>
          <w:tab w:pos="986" w:val="left" w:leader="none"/>
        </w:tabs>
        <w:spacing w:line="240" w:lineRule="auto" w:before="227" w:after="0"/>
        <w:ind w:left="986" w:right="338" w:hanging="360"/>
        <w:jc w:val="both"/>
        <w:rPr>
          <w:sz w:val="20"/>
        </w:rPr>
      </w:pPr>
      <w:r>
        <w:rPr>
          <w:sz w:val="20"/>
        </w:rPr>
        <w:t>Los procedimientos de elección de sus directivas deberán salvaguardar el pleno ejercicio del voto personal, libre, directo y secreto de los miembros, así como ajustarse a reglas democráticas y de igualdad de género, en términos del artículo 371 de esta Ley. El periodo de duración de las directivas no podrá ser indefinido o de una temporalidad tal que obstaculice la participación democrática de los afiliados, y tampoco podrá ser lesivo al derecho de votar y ser votado;</w:t>
      </w:r>
    </w:p>
    <w:p>
      <w:pPr>
        <w:pStyle w:val="ListParagraph"/>
        <w:spacing w:after="0" w:line="240" w:lineRule="auto"/>
        <w:jc w:val="both"/>
        <w:rPr>
          <w:sz w:val="20"/>
        </w:rPr>
        <w:sectPr>
          <w:pgSz w:w="12240" w:h="15840"/>
          <w:pgMar w:header="724" w:footer="712" w:top="1880" w:bottom="900" w:left="1080" w:right="1080"/>
        </w:sectPr>
      </w:pPr>
    </w:p>
    <w:p>
      <w:pPr>
        <w:pStyle w:val="BodyText"/>
        <w:spacing w:before="63"/>
      </w:pPr>
    </w:p>
    <w:p>
      <w:pPr>
        <w:pStyle w:val="ListParagraph"/>
        <w:numPr>
          <w:ilvl w:val="0"/>
          <w:numId w:val="109"/>
        </w:numPr>
        <w:tabs>
          <w:tab w:pos="983" w:val="left" w:leader="none"/>
          <w:tab w:pos="986" w:val="left" w:leader="none"/>
        </w:tabs>
        <w:spacing w:line="242" w:lineRule="auto" w:before="0" w:after="0"/>
        <w:ind w:left="986" w:right="336" w:hanging="360"/>
        <w:jc w:val="both"/>
        <w:rPr>
          <w:sz w:val="20"/>
        </w:rPr>
      </w:pPr>
      <w:r>
        <w:rPr>
          <w:sz w:val="20"/>
        </w:rPr>
        <w:t>Las sanciones que impongan los sindicatos, federaciones y confederaciones a sus miembros deberán ceñirse a lo establecido en la Ley y en los estatutos; para tal efecto se deberá cumplir</w:t>
      </w:r>
      <w:r>
        <w:rPr>
          <w:spacing w:val="40"/>
          <w:sz w:val="20"/>
        </w:rPr>
        <w:t> </w:t>
      </w:r>
      <w:r>
        <w:rPr>
          <w:sz w:val="20"/>
        </w:rPr>
        <w:t>con los derechos de audiencia y debido proceso del involucrado, y</w:t>
      </w:r>
    </w:p>
    <w:p>
      <w:pPr>
        <w:pStyle w:val="ListParagraph"/>
        <w:numPr>
          <w:ilvl w:val="0"/>
          <w:numId w:val="109"/>
        </w:numPr>
        <w:tabs>
          <w:tab w:pos="986" w:val="left" w:leader="none"/>
        </w:tabs>
        <w:spacing w:line="242" w:lineRule="auto" w:before="225" w:after="0"/>
        <w:ind w:left="986" w:right="338" w:hanging="360"/>
        <w:jc w:val="both"/>
        <w:rPr>
          <w:sz w:val="20"/>
        </w:rPr>
      </w:pPr>
      <w:r>
        <w:rPr>
          <w:sz w:val="20"/>
        </w:rPr>
        <w:t>La directiva de los sindicatos, federaciones y confederaciones deberá rendirles cuenta completa y detallada de la administración de su patrimonio, en términos del artículo 373 de esta Ley.</w:t>
      </w:r>
    </w:p>
    <w:p>
      <w:pPr>
        <w:spacing w:line="178" w:lineRule="exact" w:before="0"/>
        <w:ind w:left="638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ind w:left="338" w:firstLine="288"/>
      </w:pPr>
      <w:r>
        <w:rPr/>
        <w:t>Cualquier estipulación que establezca multa convencional en caso de separación del sindicato o que desvirtúe de algún modo la disposición contenida en el párrafo anterior, se tendrá por no puesta.</w:t>
      </w:r>
    </w:p>
    <w:p>
      <w:pPr>
        <w:pStyle w:val="BodyText"/>
        <w:spacing w:line="242" w:lineRule="auto" w:before="227"/>
        <w:ind w:left="338" w:right="357" w:firstLine="288"/>
      </w:pPr>
      <w:bookmarkStart w:name="Artículo_359" w:id="478"/>
      <w:bookmarkEnd w:id="478"/>
      <w:r>
        <w:rPr/>
      </w:r>
      <w:r>
        <w:rPr>
          <w:rFonts w:ascii="Arial" w:hAnsi="Arial"/>
          <w:b/>
        </w:rPr>
        <w:t>Artículo 359.- </w:t>
      </w:r>
      <w:r>
        <w:rPr/>
        <w:t>Los sindicatos tienen</w:t>
      </w:r>
      <w:r>
        <w:rPr>
          <w:spacing w:val="-1"/>
        </w:rPr>
        <w:t> </w:t>
      </w:r>
      <w:r>
        <w:rPr/>
        <w:t>derecho</w:t>
      </w:r>
      <w:r>
        <w:rPr>
          <w:spacing w:val="-1"/>
        </w:rPr>
        <w:t> </w:t>
      </w:r>
      <w:r>
        <w:rPr/>
        <w:t>a</w:t>
      </w:r>
      <w:r>
        <w:rPr>
          <w:spacing w:val="-1"/>
        </w:rPr>
        <w:t> </w:t>
      </w:r>
      <w:r>
        <w:rPr/>
        <w:t>redactar sus estatutos y</w:t>
      </w:r>
      <w:r>
        <w:rPr>
          <w:spacing w:val="-4"/>
        </w:rPr>
        <w:t> </w:t>
      </w:r>
      <w:r>
        <w:rPr/>
        <w:t>reglamentos, elegir libremente a sus representantes, organizar su administración y sus actividades y formular su programa de acción.</w:t>
      </w:r>
    </w:p>
    <w:p>
      <w:pPr>
        <w:spacing w:before="227"/>
        <w:ind w:left="626" w:right="0" w:firstLine="0"/>
        <w:jc w:val="left"/>
        <w:rPr>
          <w:sz w:val="20"/>
        </w:rPr>
      </w:pPr>
      <w:bookmarkStart w:name="Artículo_360" w:id="479"/>
      <w:bookmarkEnd w:id="479"/>
      <w:r>
        <w:rPr/>
      </w:r>
      <w:r>
        <w:rPr>
          <w:rFonts w:ascii="Arial" w:hAnsi="Arial"/>
          <w:b/>
          <w:sz w:val="20"/>
        </w:rPr>
        <w:t>Artículo</w:t>
      </w:r>
      <w:r>
        <w:rPr>
          <w:rFonts w:ascii="Arial" w:hAnsi="Arial"/>
          <w:b/>
          <w:spacing w:val="-8"/>
          <w:sz w:val="20"/>
        </w:rPr>
        <w:t> </w:t>
      </w:r>
      <w:r>
        <w:rPr>
          <w:rFonts w:ascii="Arial" w:hAnsi="Arial"/>
          <w:b/>
          <w:sz w:val="20"/>
        </w:rPr>
        <w:t>360.-</w:t>
      </w:r>
      <w:r>
        <w:rPr>
          <w:rFonts w:ascii="Arial" w:hAnsi="Arial"/>
          <w:b/>
          <w:spacing w:val="-7"/>
          <w:sz w:val="20"/>
        </w:rPr>
        <w:t> </w:t>
      </w:r>
      <w:r>
        <w:rPr>
          <w:sz w:val="20"/>
        </w:rPr>
        <w:t>Los</w:t>
      </w:r>
      <w:r>
        <w:rPr>
          <w:spacing w:val="-7"/>
          <w:sz w:val="20"/>
        </w:rPr>
        <w:t> </w:t>
      </w:r>
      <w:r>
        <w:rPr>
          <w:sz w:val="20"/>
        </w:rPr>
        <w:t>sindicatos</w:t>
      </w:r>
      <w:r>
        <w:rPr>
          <w:spacing w:val="-7"/>
          <w:sz w:val="20"/>
        </w:rPr>
        <w:t> </w:t>
      </w:r>
      <w:r>
        <w:rPr>
          <w:sz w:val="20"/>
        </w:rPr>
        <w:t>de</w:t>
      </w:r>
      <w:r>
        <w:rPr>
          <w:spacing w:val="-9"/>
          <w:sz w:val="20"/>
        </w:rPr>
        <w:t> </w:t>
      </w:r>
      <w:r>
        <w:rPr>
          <w:sz w:val="20"/>
        </w:rPr>
        <w:t>trabajadores</w:t>
      </w:r>
      <w:r>
        <w:rPr>
          <w:spacing w:val="-6"/>
          <w:sz w:val="20"/>
        </w:rPr>
        <w:t> </w:t>
      </w:r>
      <w:r>
        <w:rPr>
          <w:sz w:val="20"/>
        </w:rPr>
        <w:t>pueden</w:t>
      </w:r>
      <w:r>
        <w:rPr>
          <w:spacing w:val="-7"/>
          <w:sz w:val="20"/>
        </w:rPr>
        <w:t> </w:t>
      </w:r>
      <w:r>
        <w:rPr>
          <w:spacing w:val="-4"/>
          <w:sz w:val="20"/>
        </w:rPr>
        <w:t>ser:</w:t>
      </w:r>
    </w:p>
    <w:p>
      <w:pPr>
        <w:pStyle w:val="ListParagraph"/>
        <w:numPr>
          <w:ilvl w:val="0"/>
          <w:numId w:val="110"/>
        </w:numPr>
        <w:tabs>
          <w:tab w:pos="1195" w:val="left" w:leader="none"/>
        </w:tabs>
        <w:spacing w:line="240" w:lineRule="auto" w:before="229" w:after="0"/>
        <w:ind w:left="1195" w:right="0" w:hanging="569"/>
        <w:jc w:val="left"/>
        <w:rPr>
          <w:sz w:val="20"/>
        </w:rPr>
      </w:pPr>
      <w:r>
        <w:rPr>
          <w:sz w:val="20"/>
        </w:rPr>
        <w:t>Gremiales,</w:t>
      </w:r>
      <w:r>
        <w:rPr>
          <w:spacing w:val="-7"/>
          <w:sz w:val="20"/>
        </w:rPr>
        <w:t> </w:t>
      </w:r>
      <w:r>
        <w:rPr>
          <w:sz w:val="20"/>
        </w:rPr>
        <w:t>los</w:t>
      </w:r>
      <w:r>
        <w:rPr>
          <w:spacing w:val="-7"/>
          <w:sz w:val="20"/>
        </w:rPr>
        <w:t> </w:t>
      </w:r>
      <w:r>
        <w:rPr>
          <w:sz w:val="20"/>
        </w:rPr>
        <w:t>formados</w:t>
      </w:r>
      <w:r>
        <w:rPr>
          <w:spacing w:val="-7"/>
          <w:sz w:val="20"/>
        </w:rPr>
        <w:t> </w:t>
      </w:r>
      <w:r>
        <w:rPr>
          <w:sz w:val="20"/>
        </w:rPr>
        <w:t>por</w:t>
      </w:r>
      <w:r>
        <w:rPr>
          <w:spacing w:val="-8"/>
          <w:sz w:val="20"/>
        </w:rPr>
        <w:t> </w:t>
      </w:r>
      <w:r>
        <w:rPr>
          <w:sz w:val="20"/>
        </w:rPr>
        <w:t>trabajadores</w:t>
      </w:r>
      <w:r>
        <w:rPr>
          <w:spacing w:val="-7"/>
          <w:sz w:val="20"/>
        </w:rPr>
        <w:t> </w:t>
      </w:r>
      <w:r>
        <w:rPr>
          <w:sz w:val="20"/>
        </w:rPr>
        <w:t>de</w:t>
      </w:r>
      <w:r>
        <w:rPr>
          <w:spacing w:val="-7"/>
          <w:sz w:val="20"/>
        </w:rPr>
        <w:t> </w:t>
      </w:r>
      <w:r>
        <w:rPr>
          <w:sz w:val="20"/>
        </w:rPr>
        <w:t>una</w:t>
      </w:r>
      <w:r>
        <w:rPr>
          <w:spacing w:val="-8"/>
          <w:sz w:val="20"/>
        </w:rPr>
        <w:t> </w:t>
      </w:r>
      <w:r>
        <w:rPr>
          <w:sz w:val="20"/>
        </w:rPr>
        <w:t>misma</w:t>
      </w:r>
      <w:r>
        <w:rPr>
          <w:spacing w:val="-8"/>
          <w:sz w:val="20"/>
        </w:rPr>
        <w:t> </w:t>
      </w:r>
      <w:r>
        <w:rPr>
          <w:sz w:val="20"/>
        </w:rPr>
        <w:t>profesión,</w:t>
      </w:r>
      <w:r>
        <w:rPr>
          <w:spacing w:val="-7"/>
          <w:sz w:val="20"/>
        </w:rPr>
        <w:t> </w:t>
      </w:r>
      <w:r>
        <w:rPr>
          <w:sz w:val="20"/>
        </w:rPr>
        <w:t>oficio</w:t>
      </w:r>
      <w:r>
        <w:rPr>
          <w:spacing w:val="-6"/>
          <w:sz w:val="20"/>
        </w:rPr>
        <w:t> </w:t>
      </w:r>
      <w:r>
        <w:rPr>
          <w:sz w:val="20"/>
        </w:rPr>
        <w:t>o</w:t>
      </w:r>
      <w:r>
        <w:rPr>
          <w:spacing w:val="-8"/>
          <w:sz w:val="20"/>
        </w:rPr>
        <w:t> </w:t>
      </w:r>
      <w:r>
        <w:rPr>
          <w:spacing w:val="-2"/>
          <w:sz w:val="20"/>
        </w:rPr>
        <w:t>especialidad;</w:t>
      </w:r>
    </w:p>
    <w:p>
      <w:pPr>
        <w:pStyle w:val="BodyText"/>
      </w:pPr>
    </w:p>
    <w:p>
      <w:pPr>
        <w:pStyle w:val="ListParagraph"/>
        <w:numPr>
          <w:ilvl w:val="0"/>
          <w:numId w:val="110"/>
        </w:numPr>
        <w:tabs>
          <w:tab w:pos="1195" w:val="left" w:leader="none"/>
        </w:tabs>
        <w:spacing w:line="240" w:lineRule="auto" w:before="0" w:after="0"/>
        <w:ind w:left="1195" w:right="0" w:hanging="569"/>
        <w:jc w:val="left"/>
        <w:rPr>
          <w:sz w:val="20"/>
        </w:rPr>
      </w:pPr>
      <w:r>
        <w:rPr>
          <w:sz w:val="20"/>
        </w:rPr>
        <w:t>De</w:t>
      </w:r>
      <w:r>
        <w:rPr>
          <w:spacing w:val="-7"/>
          <w:sz w:val="20"/>
        </w:rPr>
        <w:t> </w:t>
      </w:r>
      <w:r>
        <w:rPr>
          <w:sz w:val="20"/>
        </w:rPr>
        <w:t>empresa,</w:t>
      </w:r>
      <w:r>
        <w:rPr>
          <w:spacing w:val="-6"/>
          <w:sz w:val="20"/>
        </w:rPr>
        <w:t> </w:t>
      </w:r>
      <w:r>
        <w:rPr>
          <w:sz w:val="20"/>
        </w:rPr>
        <w:t>los</w:t>
      </w:r>
      <w:r>
        <w:rPr>
          <w:spacing w:val="-5"/>
          <w:sz w:val="20"/>
        </w:rPr>
        <w:t> </w:t>
      </w:r>
      <w:r>
        <w:rPr>
          <w:sz w:val="20"/>
        </w:rPr>
        <w:t>formados</w:t>
      </w:r>
      <w:r>
        <w:rPr>
          <w:spacing w:val="-6"/>
          <w:sz w:val="20"/>
        </w:rPr>
        <w:t> </w:t>
      </w:r>
      <w:r>
        <w:rPr>
          <w:sz w:val="20"/>
        </w:rPr>
        <w:t>por</w:t>
      </w:r>
      <w:r>
        <w:rPr>
          <w:spacing w:val="-5"/>
          <w:sz w:val="20"/>
        </w:rPr>
        <w:t> </w:t>
      </w:r>
      <w:r>
        <w:rPr>
          <w:sz w:val="20"/>
        </w:rPr>
        <w:t>trabajadores</w:t>
      </w:r>
      <w:r>
        <w:rPr>
          <w:spacing w:val="-4"/>
          <w:sz w:val="20"/>
        </w:rPr>
        <w:t> </w:t>
      </w:r>
      <w:r>
        <w:rPr>
          <w:sz w:val="20"/>
        </w:rPr>
        <w:t>que</w:t>
      </w:r>
      <w:r>
        <w:rPr>
          <w:spacing w:val="-5"/>
          <w:sz w:val="20"/>
        </w:rPr>
        <w:t> </w:t>
      </w:r>
      <w:r>
        <w:rPr>
          <w:sz w:val="20"/>
        </w:rPr>
        <w:t>presten</w:t>
      </w:r>
      <w:r>
        <w:rPr>
          <w:spacing w:val="-7"/>
          <w:sz w:val="20"/>
        </w:rPr>
        <w:t> </w:t>
      </w:r>
      <w:r>
        <w:rPr>
          <w:sz w:val="20"/>
        </w:rPr>
        <w:t>sus</w:t>
      </w:r>
      <w:r>
        <w:rPr>
          <w:spacing w:val="-5"/>
          <w:sz w:val="20"/>
        </w:rPr>
        <w:t> </w:t>
      </w:r>
      <w:r>
        <w:rPr>
          <w:sz w:val="20"/>
        </w:rPr>
        <w:t>servicios</w:t>
      </w:r>
      <w:r>
        <w:rPr>
          <w:spacing w:val="-6"/>
          <w:sz w:val="20"/>
        </w:rPr>
        <w:t> </w:t>
      </w:r>
      <w:r>
        <w:rPr>
          <w:sz w:val="20"/>
        </w:rPr>
        <w:t>en</w:t>
      </w:r>
      <w:r>
        <w:rPr>
          <w:spacing w:val="-6"/>
          <w:sz w:val="20"/>
        </w:rPr>
        <w:t> </w:t>
      </w:r>
      <w:r>
        <w:rPr>
          <w:sz w:val="20"/>
        </w:rPr>
        <w:t>una</w:t>
      </w:r>
      <w:r>
        <w:rPr>
          <w:spacing w:val="-7"/>
          <w:sz w:val="20"/>
        </w:rPr>
        <w:t> </w:t>
      </w:r>
      <w:r>
        <w:rPr>
          <w:sz w:val="20"/>
        </w:rPr>
        <w:t>misma</w:t>
      </w:r>
      <w:r>
        <w:rPr>
          <w:spacing w:val="-6"/>
          <w:sz w:val="20"/>
        </w:rPr>
        <w:t> </w:t>
      </w:r>
      <w:r>
        <w:rPr>
          <w:spacing w:val="-2"/>
          <w:sz w:val="20"/>
        </w:rPr>
        <w:t>empresa;</w:t>
      </w:r>
    </w:p>
    <w:p>
      <w:pPr>
        <w:pStyle w:val="BodyText"/>
        <w:spacing w:before="1"/>
      </w:pPr>
    </w:p>
    <w:p>
      <w:pPr>
        <w:pStyle w:val="ListParagraph"/>
        <w:numPr>
          <w:ilvl w:val="0"/>
          <w:numId w:val="110"/>
        </w:numPr>
        <w:tabs>
          <w:tab w:pos="1191" w:val="left" w:leader="none"/>
          <w:tab w:pos="1195" w:val="left" w:leader="none"/>
        </w:tabs>
        <w:spacing w:line="242" w:lineRule="auto" w:before="0" w:after="0"/>
        <w:ind w:left="1195" w:right="344" w:hanging="569"/>
        <w:jc w:val="both"/>
        <w:rPr>
          <w:sz w:val="20"/>
        </w:rPr>
      </w:pPr>
      <w:r>
        <w:rPr>
          <w:sz w:val="20"/>
        </w:rPr>
        <w:t>Industriales, los formados por trabajadores que presten sus servicios en dos o más empresas</w:t>
      </w:r>
      <w:r>
        <w:rPr>
          <w:spacing w:val="40"/>
          <w:sz w:val="20"/>
        </w:rPr>
        <w:t> </w:t>
      </w:r>
      <w:r>
        <w:rPr>
          <w:sz w:val="20"/>
        </w:rPr>
        <w:t>de la misma rama industrial;</w:t>
      </w:r>
    </w:p>
    <w:p>
      <w:pPr>
        <w:pStyle w:val="ListParagraph"/>
        <w:numPr>
          <w:ilvl w:val="0"/>
          <w:numId w:val="110"/>
        </w:numPr>
        <w:tabs>
          <w:tab w:pos="1195" w:val="left" w:leader="none"/>
        </w:tabs>
        <w:spacing w:line="242" w:lineRule="auto" w:before="225" w:after="0"/>
        <w:ind w:left="1195" w:right="340" w:hanging="569"/>
        <w:jc w:val="both"/>
        <w:rPr>
          <w:sz w:val="20"/>
        </w:rPr>
      </w:pPr>
      <w:r>
        <w:rPr>
          <w:sz w:val="20"/>
        </w:rPr>
        <w:t>Nacionales de industria, los formados por trabajadores que presten sus servicios en una o</w:t>
      </w:r>
      <w:r>
        <w:rPr>
          <w:spacing w:val="40"/>
          <w:sz w:val="20"/>
        </w:rPr>
        <w:t> </w:t>
      </w:r>
      <w:r>
        <w:rPr>
          <w:sz w:val="20"/>
        </w:rPr>
        <w:t>varias empresas de</w:t>
      </w:r>
      <w:r>
        <w:rPr>
          <w:spacing w:val="-1"/>
          <w:sz w:val="20"/>
        </w:rPr>
        <w:t> </w:t>
      </w:r>
      <w:r>
        <w:rPr>
          <w:sz w:val="20"/>
        </w:rPr>
        <w:t>la misma rama industrial, instaladas en</w:t>
      </w:r>
      <w:r>
        <w:rPr>
          <w:spacing w:val="-1"/>
          <w:sz w:val="20"/>
        </w:rPr>
        <w:t> </w:t>
      </w:r>
      <w:r>
        <w:rPr>
          <w:sz w:val="20"/>
        </w:rPr>
        <w:t>dos o</w:t>
      </w:r>
      <w:r>
        <w:rPr>
          <w:spacing w:val="-1"/>
          <w:sz w:val="20"/>
        </w:rPr>
        <w:t> </w:t>
      </w:r>
      <w:r>
        <w:rPr>
          <w:sz w:val="20"/>
        </w:rPr>
        <w:t>más Entidades Federativas; y</w:t>
      </w:r>
    </w:p>
    <w:p>
      <w:pPr>
        <w:pStyle w:val="ListParagraph"/>
        <w:numPr>
          <w:ilvl w:val="0"/>
          <w:numId w:val="110"/>
        </w:numPr>
        <w:tabs>
          <w:tab w:pos="1195" w:val="left" w:leader="none"/>
        </w:tabs>
        <w:spacing w:line="240" w:lineRule="auto" w:before="226" w:after="0"/>
        <w:ind w:left="1195" w:right="339" w:hanging="569"/>
        <w:jc w:val="both"/>
        <w:rPr>
          <w:sz w:val="20"/>
        </w:rPr>
      </w:pPr>
      <w:r>
        <w:rPr>
          <w:sz w:val="20"/>
        </w:rPr>
        <w:t>De oficios varios, los formados por trabajadores de diversas profesiones. Estos sindicatos sólo podrán constituirse cuando en el municipio de que se trate, el número de trabajadores de una misma profesión sea menor de veinte.</w:t>
      </w:r>
    </w:p>
    <w:p>
      <w:pPr>
        <w:pStyle w:val="BodyText"/>
        <w:spacing w:before="2"/>
      </w:pPr>
    </w:p>
    <w:p>
      <w:pPr>
        <w:pStyle w:val="BodyText"/>
        <w:ind w:left="338" w:firstLine="288"/>
      </w:pPr>
      <w:r>
        <w:rPr/>
        <w:t>La</w:t>
      </w:r>
      <w:r>
        <w:rPr>
          <w:spacing w:val="40"/>
        </w:rPr>
        <w:t> </w:t>
      </w:r>
      <w:r>
        <w:rPr/>
        <w:t>anterior</w:t>
      </w:r>
      <w:r>
        <w:rPr>
          <w:spacing w:val="40"/>
        </w:rPr>
        <w:t> </w:t>
      </w:r>
      <w:r>
        <w:rPr/>
        <w:t>clasificación</w:t>
      </w:r>
      <w:r>
        <w:rPr>
          <w:spacing w:val="62"/>
        </w:rPr>
        <w:t> </w:t>
      </w:r>
      <w:r>
        <w:rPr/>
        <w:t>tiene</w:t>
      </w:r>
      <w:r>
        <w:rPr>
          <w:spacing w:val="40"/>
        </w:rPr>
        <w:t> </w:t>
      </w:r>
      <w:r>
        <w:rPr/>
        <w:t>carácter</w:t>
      </w:r>
      <w:r>
        <w:rPr>
          <w:spacing w:val="40"/>
        </w:rPr>
        <w:t> </w:t>
      </w:r>
      <w:r>
        <w:rPr/>
        <w:t>enunciativo,</w:t>
      </w:r>
      <w:r>
        <w:rPr>
          <w:spacing w:val="62"/>
        </w:rPr>
        <w:t> </w:t>
      </w:r>
      <w:r>
        <w:rPr/>
        <w:t>por</w:t>
      </w:r>
      <w:r>
        <w:rPr>
          <w:spacing w:val="40"/>
        </w:rPr>
        <w:t> </w:t>
      </w:r>
      <w:r>
        <w:rPr/>
        <w:t>lo</w:t>
      </w:r>
      <w:r>
        <w:rPr>
          <w:spacing w:val="40"/>
        </w:rPr>
        <w:t> </w:t>
      </w:r>
      <w:r>
        <w:rPr/>
        <w:t>que</w:t>
      </w:r>
      <w:r>
        <w:rPr>
          <w:spacing w:val="40"/>
        </w:rPr>
        <w:t> </w:t>
      </w:r>
      <w:r>
        <w:rPr/>
        <w:t>no</w:t>
      </w:r>
      <w:r>
        <w:rPr>
          <w:spacing w:val="40"/>
        </w:rPr>
        <w:t> </w:t>
      </w:r>
      <w:r>
        <w:rPr/>
        <w:t>será</w:t>
      </w:r>
      <w:r>
        <w:rPr>
          <w:spacing w:val="40"/>
        </w:rPr>
        <w:t> </w:t>
      </w:r>
      <w:r>
        <w:rPr/>
        <w:t>obstáculo</w:t>
      </w:r>
      <w:r>
        <w:rPr>
          <w:spacing w:val="62"/>
        </w:rPr>
        <w:t> </w:t>
      </w:r>
      <w:r>
        <w:rPr/>
        <w:t>para</w:t>
      </w:r>
      <w:r>
        <w:rPr>
          <w:spacing w:val="40"/>
        </w:rPr>
        <w:t> </w:t>
      </w:r>
      <w:r>
        <w:rPr/>
        <w:t>que</w:t>
      </w:r>
      <w:r>
        <w:rPr>
          <w:spacing w:val="62"/>
        </w:rPr>
        <w:t> </w:t>
      </w:r>
      <w:r>
        <w:rPr/>
        <w:t>los trabajadores se organicen en la forma que ellos decidan.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626" w:right="0" w:firstLine="0"/>
        <w:jc w:val="left"/>
        <w:rPr>
          <w:sz w:val="20"/>
        </w:rPr>
      </w:pPr>
      <w:bookmarkStart w:name="Artículo_361" w:id="480"/>
      <w:bookmarkEnd w:id="480"/>
      <w:r>
        <w:rPr/>
      </w:r>
      <w:r>
        <w:rPr>
          <w:rFonts w:ascii="Arial" w:hAnsi="Arial"/>
          <w:b/>
          <w:sz w:val="20"/>
        </w:rPr>
        <w:t>Artículo</w:t>
      </w:r>
      <w:r>
        <w:rPr>
          <w:rFonts w:ascii="Arial" w:hAnsi="Arial"/>
          <w:b/>
          <w:spacing w:val="-7"/>
          <w:sz w:val="20"/>
        </w:rPr>
        <w:t> </w:t>
      </w:r>
      <w:r>
        <w:rPr>
          <w:rFonts w:ascii="Arial" w:hAnsi="Arial"/>
          <w:b/>
          <w:sz w:val="20"/>
        </w:rPr>
        <w:t>361.-</w:t>
      </w:r>
      <w:r>
        <w:rPr>
          <w:rFonts w:ascii="Arial" w:hAnsi="Arial"/>
          <w:b/>
          <w:spacing w:val="-7"/>
          <w:sz w:val="20"/>
        </w:rPr>
        <w:t> </w:t>
      </w:r>
      <w:r>
        <w:rPr>
          <w:sz w:val="20"/>
        </w:rPr>
        <w:t>Los</w:t>
      </w:r>
      <w:r>
        <w:rPr>
          <w:spacing w:val="-7"/>
          <w:sz w:val="20"/>
        </w:rPr>
        <w:t> </w:t>
      </w:r>
      <w:r>
        <w:rPr>
          <w:sz w:val="20"/>
        </w:rPr>
        <w:t>sindicatos</w:t>
      </w:r>
      <w:r>
        <w:rPr>
          <w:spacing w:val="-7"/>
          <w:sz w:val="20"/>
        </w:rPr>
        <w:t> </w:t>
      </w:r>
      <w:r>
        <w:rPr>
          <w:sz w:val="20"/>
        </w:rPr>
        <w:t>de</w:t>
      </w:r>
      <w:r>
        <w:rPr>
          <w:spacing w:val="-9"/>
          <w:sz w:val="20"/>
        </w:rPr>
        <w:t> </w:t>
      </w:r>
      <w:r>
        <w:rPr>
          <w:sz w:val="20"/>
        </w:rPr>
        <w:t>patrones</w:t>
      </w:r>
      <w:r>
        <w:rPr>
          <w:spacing w:val="-7"/>
          <w:sz w:val="20"/>
        </w:rPr>
        <w:t> </w:t>
      </w:r>
      <w:r>
        <w:rPr>
          <w:sz w:val="20"/>
        </w:rPr>
        <w:t>pueden</w:t>
      </w:r>
      <w:r>
        <w:rPr>
          <w:spacing w:val="-7"/>
          <w:sz w:val="20"/>
        </w:rPr>
        <w:t> </w:t>
      </w:r>
      <w:r>
        <w:rPr>
          <w:spacing w:val="-4"/>
          <w:sz w:val="20"/>
        </w:rPr>
        <w:t>ser:</w:t>
      </w:r>
    </w:p>
    <w:p>
      <w:pPr>
        <w:pStyle w:val="BodyText"/>
      </w:pPr>
    </w:p>
    <w:p>
      <w:pPr>
        <w:pStyle w:val="ListParagraph"/>
        <w:numPr>
          <w:ilvl w:val="0"/>
          <w:numId w:val="111"/>
        </w:numPr>
        <w:tabs>
          <w:tab w:pos="1195" w:val="left" w:leader="none"/>
        </w:tabs>
        <w:spacing w:line="240" w:lineRule="auto" w:before="1" w:after="0"/>
        <w:ind w:left="1195" w:right="0" w:hanging="569"/>
        <w:jc w:val="left"/>
        <w:rPr>
          <w:sz w:val="20"/>
        </w:rPr>
      </w:pPr>
      <w:r>
        <w:rPr>
          <w:sz w:val="20"/>
        </w:rPr>
        <w:t>Los</w:t>
      </w:r>
      <w:r>
        <w:rPr>
          <w:spacing w:val="-6"/>
          <w:sz w:val="20"/>
        </w:rPr>
        <w:t> </w:t>
      </w:r>
      <w:r>
        <w:rPr>
          <w:sz w:val="20"/>
        </w:rPr>
        <w:t>formados</w:t>
      </w:r>
      <w:r>
        <w:rPr>
          <w:spacing w:val="-6"/>
          <w:sz w:val="20"/>
        </w:rPr>
        <w:t> </w:t>
      </w:r>
      <w:r>
        <w:rPr>
          <w:sz w:val="20"/>
        </w:rPr>
        <w:t>por</w:t>
      </w:r>
      <w:r>
        <w:rPr>
          <w:spacing w:val="-6"/>
          <w:sz w:val="20"/>
        </w:rPr>
        <w:t> </w:t>
      </w:r>
      <w:r>
        <w:rPr>
          <w:sz w:val="20"/>
        </w:rPr>
        <w:t>patrones</w:t>
      </w:r>
      <w:r>
        <w:rPr>
          <w:spacing w:val="-4"/>
          <w:sz w:val="20"/>
        </w:rPr>
        <w:t> </w:t>
      </w:r>
      <w:r>
        <w:rPr>
          <w:sz w:val="20"/>
        </w:rPr>
        <w:t>de</w:t>
      </w:r>
      <w:r>
        <w:rPr>
          <w:spacing w:val="-7"/>
          <w:sz w:val="20"/>
        </w:rPr>
        <w:t> </w:t>
      </w:r>
      <w:r>
        <w:rPr>
          <w:sz w:val="20"/>
        </w:rPr>
        <w:t>una</w:t>
      </w:r>
      <w:r>
        <w:rPr>
          <w:spacing w:val="-8"/>
          <w:sz w:val="20"/>
        </w:rPr>
        <w:t> </w:t>
      </w:r>
      <w:r>
        <w:rPr>
          <w:sz w:val="20"/>
        </w:rPr>
        <w:t>o</w:t>
      </w:r>
      <w:r>
        <w:rPr>
          <w:spacing w:val="-5"/>
          <w:sz w:val="20"/>
        </w:rPr>
        <w:t> </w:t>
      </w:r>
      <w:r>
        <w:rPr>
          <w:sz w:val="20"/>
        </w:rPr>
        <w:t>varias</w:t>
      </w:r>
      <w:r>
        <w:rPr>
          <w:spacing w:val="-6"/>
          <w:sz w:val="20"/>
        </w:rPr>
        <w:t> </w:t>
      </w:r>
      <w:r>
        <w:rPr>
          <w:sz w:val="20"/>
        </w:rPr>
        <w:t>ramas</w:t>
      </w:r>
      <w:r>
        <w:rPr>
          <w:spacing w:val="-5"/>
          <w:sz w:val="20"/>
        </w:rPr>
        <w:t> </w:t>
      </w:r>
      <w:r>
        <w:rPr>
          <w:sz w:val="20"/>
        </w:rPr>
        <w:t>de</w:t>
      </w:r>
      <w:r>
        <w:rPr>
          <w:spacing w:val="-8"/>
          <w:sz w:val="20"/>
        </w:rPr>
        <w:t> </w:t>
      </w:r>
      <w:r>
        <w:rPr>
          <w:sz w:val="20"/>
        </w:rPr>
        <w:t>actividades;</w:t>
      </w:r>
      <w:r>
        <w:rPr>
          <w:spacing w:val="-2"/>
          <w:sz w:val="20"/>
        </w:rPr>
        <w:t> </w:t>
      </w:r>
      <w:r>
        <w:rPr>
          <w:spacing w:val="-10"/>
          <w:sz w:val="20"/>
        </w:rPr>
        <w:t>y</w:t>
      </w:r>
    </w:p>
    <w:p>
      <w:pPr>
        <w:pStyle w:val="ListParagraph"/>
        <w:numPr>
          <w:ilvl w:val="0"/>
          <w:numId w:val="111"/>
        </w:numPr>
        <w:tabs>
          <w:tab w:pos="1195" w:val="left" w:leader="none"/>
        </w:tabs>
        <w:spacing w:line="242" w:lineRule="auto" w:before="228" w:after="0"/>
        <w:ind w:left="1195" w:right="347" w:hanging="569"/>
        <w:jc w:val="left"/>
        <w:rPr>
          <w:sz w:val="20"/>
        </w:rPr>
      </w:pPr>
      <w:r>
        <w:rPr>
          <w:sz w:val="20"/>
        </w:rPr>
        <w:t>Nacionales,</w:t>
      </w:r>
      <w:r>
        <w:rPr>
          <w:spacing w:val="40"/>
          <w:sz w:val="20"/>
        </w:rPr>
        <w:t> </w:t>
      </w:r>
      <w:r>
        <w:rPr>
          <w:sz w:val="20"/>
        </w:rPr>
        <w:t>los</w:t>
      </w:r>
      <w:r>
        <w:rPr>
          <w:spacing w:val="40"/>
          <w:sz w:val="20"/>
        </w:rPr>
        <w:t> </w:t>
      </w:r>
      <w:r>
        <w:rPr>
          <w:sz w:val="20"/>
        </w:rPr>
        <w:t>formados</w:t>
      </w:r>
      <w:r>
        <w:rPr>
          <w:spacing w:val="40"/>
          <w:sz w:val="20"/>
        </w:rPr>
        <w:t> </w:t>
      </w:r>
      <w:r>
        <w:rPr>
          <w:sz w:val="20"/>
        </w:rPr>
        <w:t>por</w:t>
      </w:r>
      <w:r>
        <w:rPr>
          <w:spacing w:val="40"/>
          <w:sz w:val="20"/>
        </w:rPr>
        <w:t> </w:t>
      </w:r>
      <w:r>
        <w:rPr>
          <w:sz w:val="20"/>
        </w:rPr>
        <w:t>patrones</w:t>
      </w:r>
      <w:r>
        <w:rPr>
          <w:spacing w:val="40"/>
          <w:sz w:val="20"/>
        </w:rPr>
        <w:t> </w:t>
      </w:r>
      <w:r>
        <w:rPr>
          <w:sz w:val="20"/>
        </w:rPr>
        <w:t>de</w:t>
      </w:r>
      <w:r>
        <w:rPr>
          <w:spacing w:val="40"/>
          <w:sz w:val="20"/>
        </w:rPr>
        <w:t> </w:t>
      </w:r>
      <w:r>
        <w:rPr>
          <w:sz w:val="20"/>
        </w:rPr>
        <w:t>una</w:t>
      </w:r>
      <w:r>
        <w:rPr>
          <w:spacing w:val="40"/>
          <w:sz w:val="20"/>
        </w:rPr>
        <w:t> </w:t>
      </w:r>
      <w:r>
        <w:rPr>
          <w:sz w:val="20"/>
        </w:rPr>
        <w:t>o</w:t>
      </w:r>
      <w:r>
        <w:rPr>
          <w:spacing w:val="40"/>
          <w:sz w:val="20"/>
        </w:rPr>
        <w:t> </w:t>
      </w:r>
      <w:r>
        <w:rPr>
          <w:sz w:val="20"/>
        </w:rPr>
        <w:t>varias</w:t>
      </w:r>
      <w:r>
        <w:rPr>
          <w:spacing w:val="40"/>
          <w:sz w:val="20"/>
        </w:rPr>
        <w:t> </w:t>
      </w:r>
      <w:r>
        <w:rPr>
          <w:sz w:val="20"/>
        </w:rPr>
        <w:t>ramas</w:t>
      </w:r>
      <w:r>
        <w:rPr>
          <w:spacing w:val="40"/>
          <w:sz w:val="20"/>
        </w:rPr>
        <w:t> </w:t>
      </w:r>
      <w:r>
        <w:rPr>
          <w:sz w:val="20"/>
        </w:rPr>
        <w:t>de</w:t>
      </w:r>
      <w:r>
        <w:rPr>
          <w:spacing w:val="40"/>
          <w:sz w:val="20"/>
        </w:rPr>
        <w:t> </w:t>
      </w:r>
      <w:r>
        <w:rPr>
          <w:sz w:val="20"/>
        </w:rPr>
        <w:t>actividades</w:t>
      </w:r>
      <w:r>
        <w:rPr>
          <w:spacing w:val="40"/>
          <w:sz w:val="20"/>
        </w:rPr>
        <w:t> </w:t>
      </w:r>
      <w:r>
        <w:rPr>
          <w:sz w:val="20"/>
        </w:rPr>
        <w:t>de</w:t>
      </w:r>
      <w:r>
        <w:rPr>
          <w:spacing w:val="40"/>
          <w:sz w:val="20"/>
        </w:rPr>
        <w:t> </w:t>
      </w:r>
      <w:r>
        <w:rPr>
          <w:sz w:val="20"/>
        </w:rPr>
        <w:t>distintas Entidades Federativas.</w:t>
      </w:r>
    </w:p>
    <w:p>
      <w:pPr>
        <w:pStyle w:val="BodyText"/>
        <w:spacing w:before="227"/>
        <w:ind w:left="626"/>
      </w:pPr>
      <w:bookmarkStart w:name="Artículo_362" w:id="481"/>
      <w:bookmarkEnd w:id="481"/>
      <w:r>
        <w:rPr/>
      </w:r>
      <w:r>
        <w:rPr>
          <w:rFonts w:ascii="Arial" w:hAnsi="Arial"/>
          <w:b/>
        </w:rPr>
        <w:t>Artículo</w:t>
      </w:r>
      <w:r>
        <w:rPr>
          <w:rFonts w:ascii="Arial" w:hAnsi="Arial"/>
          <w:b/>
          <w:spacing w:val="-7"/>
        </w:rPr>
        <w:t> </w:t>
      </w:r>
      <w:r>
        <w:rPr>
          <w:rFonts w:ascii="Arial" w:hAnsi="Arial"/>
          <w:b/>
        </w:rPr>
        <w:t>362.</w:t>
      </w:r>
      <w:r>
        <w:rPr>
          <w:rFonts w:ascii="Arial" w:hAnsi="Arial"/>
          <w:b/>
          <w:spacing w:val="-5"/>
        </w:rPr>
        <w:t> </w:t>
      </w:r>
      <w:r>
        <w:rPr/>
        <w:t>Pueden</w:t>
      </w:r>
      <w:r>
        <w:rPr>
          <w:spacing w:val="-7"/>
        </w:rPr>
        <w:t> </w:t>
      </w:r>
      <w:r>
        <w:rPr/>
        <w:t>formar</w:t>
      </w:r>
      <w:r>
        <w:rPr>
          <w:spacing w:val="-8"/>
        </w:rPr>
        <w:t> </w:t>
      </w:r>
      <w:r>
        <w:rPr/>
        <w:t>parte</w:t>
      </w:r>
      <w:r>
        <w:rPr>
          <w:spacing w:val="-5"/>
        </w:rPr>
        <w:t> </w:t>
      </w:r>
      <w:r>
        <w:rPr/>
        <w:t>de</w:t>
      </w:r>
      <w:r>
        <w:rPr>
          <w:spacing w:val="-7"/>
        </w:rPr>
        <w:t> </w:t>
      </w:r>
      <w:r>
        <w:rPr/>
        <w:t>los</w:t>
      </w:r>
      <w:r>
        <w:rPr>
          <w:spacing w:val="-7"/>
        </w:rPr>
        <w:t> </w:t>
      </w:r>
      <w:r>
        <w:rPr/>
        <w:t>sindicatos,</w:t>
      </w:r>
      <w:r>
        <w:rPr>
          <w:spacing w:val="-7"/>
        </w:rPr>
        <w:t> </w:t>
      </w:r>
      <w:r>
        <w:rPr/>
        <w:t>los</w:t>
      </w:r>
      <w:r>
        <w:rPr>
          <w:spacing w:val="-7"/>
        </w:rPr>
        <w:t> </w:t>
      </w:r>
      <w:r>
        <w:rPr/>
        <w:t>trabajadores</w:t>
      </w:r>
      <w:r>
        <w:rPr>
          <w:spacing w:val="-5"/>
        </w:rPr>
        <w:t> </w:t>
      </w:r>
      <w:r>
        <w:rPr/>
        <w:t>mayores</w:t>
      </w:r>
      <w:r>
        <w:rPr>
          <w:spacing w:val="-7"/>
        </w:rPr>
        <w:t> </w:t>
      </w:r>
      <w:r>
        <w:rPr/>
        <w:t>de</w:t>
      </w:r>
      <w:r>
        <w:rPr>
          <w:spacing w:val="-7"/>
        </w:rPr>
        <w:t> </w:t>
      </w:r>
      <w:r>
        <w:rPr/>
        <w:t>quince </w:t>
      </w:r>
      <w:r>
        <w:rPr>
          <w:spacing w:val="-2"/>
        </w:rPr>
        <w:t>años.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45"/>
        <w:rPr>
          <w:rFonts w:ascii="Times New Roman"/>
          <w:i/>
          <w:sz w:val="16"/>
        </w:rPr>
      </w:pPr>
    </w:p>
    <w:p>
      <w:pPr>
        <w:pStyle w:val="BodyText"/>
        <w:spacing w:line="242" w:lineRule="auto"/>
        <w:ind w:left="338" w:right="346" w:firstLine="288"/>
        <w:jc w:val="both"/>
      </w:pPr>
      <w:bookmarkStart w:name="Artículo_363" w:id="482"/>
      <w:bookmarkEnd w:id="482"/>
      <w:r>
        <w:rPr/>
      </w:r>
      <w:r>
        <w:rPr>
          <w:rFonts w:ascii="Arial" w:hAnsi="Arial"/>
          <w:b/>
        </w:rPr>
        <w:t>Artículo 363.- </w:t>
      </w:r>
      <w:r>
        <w:rPr/>
        <w:t>No pueden ingresar en los sindicatos de los demás trabajadores, los trabajadores de confianza. Los estatutos de los sindicatos podrán determinar la condición y los derechos de sus miembros, que sean promovidos a un puesto de confianza.</w:t>
      </w:r>
    </w:p>
    <w:p>
      <w:pPr>
        <w:pStyle w:val="BodyText"/>
        <w:spacing w:before="225"/>
        <w:ind w:left="338" w:right="338" w:firstLine="288"/>
        <w:jc w:val="both"/>
      </w:pPr>
      <w:bookmarkStart w:name="Artículo_364" w:id="483"/>
      <w:bookmarkEnd w:id="483"/>
      <w:r>
        <w:rPr/>
      </w:r>
      <w:r>
        <w:rPr>
          <w:rFonts w:ascii="Arial" w:hAnsi="Arial"/>
          <w:b/>
        </w:rPr>
        <w:t>Artículo 364.- </w:t>
      </w:r>
      <w:r>
        <w:rPr/>
        <w:t>Los sindicatos deberán constituirse con un mínimo de veinte trabajadores o con tres patrones,</w:t>
      </w:r>
      <w:r>
        <w:rPr>
          <w:spacing w:val="-1"/>
        </w:rPr>
        <w:t> </w:t>
      </w:r>
      <w:r>
        <w:rPr/>
        <w:t>por</w:t>
      </w:r>
      <w:r>
        <w:rPr>
          <w:spacing w:val="-1"/>
        </w:rPr>
        <w:t> </w:t>
      </w:r>
      <w:r>
        <w:rPr/>
        <w:t>lo</w:t>
      </w:r>
      <w:r>
        <w:rPr>
          <w:spacing w:val="-1"/>
        </w:rPr>
        <w:t> </w:t>
      </w:r>
      <w:r>
        <w:rPr/>
        <w:t>menos.</w:t>
      </w:r>
      <w:r>
        <w:rPr>
          <w:spacing w:val="-1"/>
        </w:rPr>
        <w:t> </w:t>
      </w:r>
      <w:r>
        <w:rPr/>
        <w:t>En el</w:t>
      </w:r>
      <w:r>
        <w:rPr>
          <w:spacing w:val="-2"/>
        </w:rPr>
        <w:t> </w:t>
      </w:r>
      <w:r>
        <w:rPr/>
        <w:t>caso</w:t>
      </w:r>
      <w:r>
        <w:rPr>
          <w:spacing w:val="-1"/>
        </w:rPr>
        <w:t> </w:t>
      </w:r>
      <w:r>
        <w:rPr/>
        <w:t>de</w:t>
      </w:r>
      <w:r>
        <w:rPr>
          <w:spacing w:val="-1"/>
        </w:rPr>
        <w:t> </w:t>
      </w:r>
      <w:r>
        <w:rPr/>
        <w:t>los</w:t>
      </w:r>
      <w:r>
        <w:rPr>
          <w:spacing w:val="-1"/>
        </w:rPr>
        <w:t> </w:t>
      </w:r>
      <w:r>
        <w:rPr/>
        <w:t>sindicatos</w:t>
      </w:r>
      <w:r>
        <w:rPr>
          <w:spacing w:val="-1"/>
        </w:rPr>
        <w:t> </w:t>
      </w:r>
      <w:r>
        <w:rPr/>
        <w:t>de</w:t>
      </w:r>
      <w:r>
        <w:rPr>
          <w:spacing w:val="-1"/>
        </w:rPr>
        <w:t> </w:t>
      </w:r>
      <w:r>
        <w:rPr/>
        <w:t>trabajadores,</w:t>
      </w:r>
      <w:r>
        <w:rPr>
          <w:spacing w:val="-1"/>
        </w:rPr>
        <w:t> </w:t>
      </w:r>
      <w:r>
        <w:rPr/>
        <w:t>cuando</w:t>
      </w:r>
      <w:r>
        <w:rPr>
          <w:spacing w:val="-2"/>
        </w:rPr>
        <w:t> </w:t>
      </w:r>
      <w:r>
        <w:rPr/>
        <w:t>se suscite</w:t>
      </w:r>
      <w:r>
        <w:rPr>
          <w:spacing w:val="-1"/>
        </w:rPr>
        <w:t> </w:t>
      </w:r>
      <w:r>
        <w:rPr/>
        <w:t>controversia ante los Tribunales, respecto a su constitución, para la determinación del número mínimo, se tomarán en consideración aquellos cuya relación de trabajo hubiese sido rescindida o dada por terminada dentro de los sesenta días naturales anteriores a la fecha de dicha constitución.</w:t>
      </w:r>
    </w:p>
    <w:p>
      <w:pPr>
        <w:pStyle w:val="BodyText"/>
        <w:spacing w:after="0"/>
        <w:jc w:val="both"/>
        <w:sectPr>
          <w:pgSz w:w="12240" w:h="15840"/>
          <w:pgMar w:header="724" w:footer="712" w:top="1880" w:bottom="900" w:left="1080" w:right="1080"/>
        </w:sectPr>
      </w:pPr>
    </w:p>
    <w:p>
      <w:pPr>
        <w:pStyle w:val="BodyText"/>
      </w:pPr>
    </w:p>
    <w:p>
      <w:pPr>
        <w:pStyle w:val="BodyText"/>
        <w:spacing w:before="66"/>
      </w:pPr>
    </w:p>
    <w:p>
      <w:pPr>
        <w:pStyle w:val="BodyText"/>
        <w:spacing w:line="229" w:lineRule="exact"/>
        <w:ind w:left="626"/>
      </w:pPr>
      <w:r>
        <w:rPr/>
        <w:t>Las</w:t>
      </w:r>
      <w:r>
        <w:rPr>
          <w:spacing w:val="-9"/>
        </w:rPr>
        <w:t> </w:t>
      </w:r>
      <w:r>
        <w:rPr/>
        <w:t>federaciones</w:t>
      </w:r>
      <w:r>
        <w:rPr>
          <w:spacing w:val="-5"/>
        </w:rPr>
        <w:t> </w:t>
      </w:r>
      <w:r>
        <w:rPr/>
        <w:t>y</w:t>
      </w:r>
      <w:r>
        <w:rPr>
          <w:spacing w:val="-12"/>
        </w:rPr>
        <w:t> </w:t>
      </w:r>
      <w:r>
        <w:rPr/>
        <w:t>confederaciones</w:t>
      </w:r>
      <w:r>
        <w:rPr>
          <w:spacing w:val="-7"/>
        </w:rPr>
        <w:t> </w:t>
      </w:r>
      <w:r>
        <w:rPr/>
        <w:t>deberán</w:t>
      </w:r>
      <w:r>
        <w:rPr>
          <w:spacing w:val="-9"/>
        </w:rPr>
        <w:t> </w:t>
      </w:r>
      <w:r>
        <w:rPr/>
        <w:t>constituirse</w:t>
      </w:r>
      <w:r>
        <w:rPr>
          <w:spacing w:val="-10"/>
        </w:rPr>
        <w:t> </w:t>
      </w:r>
      <w:r>
        <w:rPr/>
        <w:t>por</w:t>
      </w:r>
      <w:r>
        <w:rPr>
          <w:spacing w:val="-9"/>
        </w:rPr>
        <w:t> </w:t>
      </w:r>
      <w:r>
        <w:rPr/>
        <w:t>al</w:t>
      </w:r>
      <w:r>
        <w:rPr>
          <w:spacing w:val="-10"/>
        </w:rPr>
        <w:t> </w:t>
      </w:r>
      <w:r>
        <w:rPr/>
        <w:t>menos</w:t>
      </w:r>
      <w:r>
        <w:rPr>
          <w:spacing w:val="-9"/>
        </w:rPr>
        <w:t> </w:t>
      </w:r>
      <w:r>
        <w:rPr/>
        <w:t>dos</w:t>
      </w:r>
      <w:r>
        <w:rPr>
          <w:spacing w:val="-9"/>
        </w:rPr>
        <w:t> </w:t>
      </w:r>
      <w:r>
        <w:rPr/>
        <w:t>organizaciones</w:t>
      </w:r>
      <w:r>
        <w:rPr>
          <w:spacing w:val="-8"/>
        </w:rPr>
        <w:t> </w:t>
      </w:r>
      <w:r>
        <w:rPr>
          <w:spacing w:val="-2"/>
        </w:rPr>
        <w:t>sindicales.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2" w:firstLine="288"/>
        <w:jc w:val="both"/>
      </w:pPr>
      <w:bookmarkStart w:name="Artículo_364_Bis" w:id="484"/>
      <w:bookmarkEnd w:id="484"/>
      <w:r>
        <w:rPr/>
      </w:r>
      <w:r>
        <w:rPr>
          <w:rFonts w:ascii="Arial" w:hAnsi="Arial"/>
          <w:b/>
        </w:rPr>
        <w:t>Artículo 364 Bis.- </w:t>
      </w:r>
      <w:r>
        <w:rPr/>
        <w:t>En el registro de los sindicatos, federaciones y confederaciones, así como en la actualización de las directivas sindicales, se deberán observar los principios de autonomía, equidad, democracia, legalidad, transparencia, certeza, gratuidad, inmediatez, imparcialidad y</w:t>
      </w:r>
      <w:r>
        <w:rPr>
          <w:spacing w:val="-1"/>
        </w:rPr>
        <w:t> </w:t>
      </w:r>
      <w:r>
        <w:rPr/>
        <w:t>respeto a la libertad sindical y sus garantías.</w:t>
      </w:r>
    </w:p>
    <w:p>
      <w:pPr>
        <w:pStyle w:val="BodyText"/>
        <w:spacing w:before="2"/>
      </w:pPr>
    </w:p>
    <w:p>
      <w:pPr>
        <w:pStyle w:val="BodyText"/>
        <w:ind w:left="338" w:right="339" w:firstLine="288"/>
        <w:jc w:val="both"/>
      </w:pPr>
      <w:r>
        <w:rPr/>
        <w:t>Tratándose de actualización de la directiva sindical, la Autoridad Registral deberá expedirla dentro de los diez días siguientes a que se realice la solicitud, y se procederá de forma tal que no deje al sindicato en estado de indefensión.</w:t>
      </w:r>
    </w:p>
    <w:p>
      <w:pPr>
        <w:pStyle w:val="BodyText"/>
      </w:pPr>
    </w:p>
    <w:p>
      <w:pPr>
        <w:pStyle w:val="BodyText"/>
        <w:ind w:left="338" w:right="348" w:firstLine="288"/>
        <w:jc w:val="both"/>
      </w:pPr>
      <w:r>
        <w:rPr/>
        <w:t>En materia de registro y actualización sindical, la voluntad de los trabajadores y el interés colectivo prevalecerán sobre aspectos de orden formal.</w:t>
      </w:r>
    </w:p>
    <w:p>
      <w:pPr>
        <w:spacing w:line="180"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firstLine="288"/>
      </w:pPr>
      <w:bookmarkStart w:name="Artículo_365" w:id="485"/>
      <w:bookmarkEnd w:id="485"/>
      <w:r>
        <w:rPr/>
      </w:r>
      <w:r>
        <w:rPr>
          <w:rFonts w:ascii="Arial" w:hAnsi="Arial"/>
          <w:b/>
        </w:rPr>
        <w:t>Artículo</w:t>
      </w:r>
      <w:r>
        <w:rPr>
          <w:rFonts w:ascii="Arial" w:hAnsi="Arial"/>
          <w:b/>
          <w:spacing w:val="40"/>
        </w:rPr>
        <w:t> </w:t>
      </w:r>
      <w:r>
        <w:rPr>
          <w:rFonts w:ascii="Arial" w:hAnsi="Arial"/>
          <w:b/>
        </w:rPr>
        <w:t>365.-</w:t>
      </w:r>
      <w:r>
        <w:rPr>
          <w:rFonts w:ascii="Arial" w:hAnsi="Arial"/>
          <w:b/>
          <w:spacing w:val="40"/>
        </w:rPr>
        <w:t> </w:t>
      </w:r>
      <w:r>
        <w:rPr/>
        <w:t>Los</w:t>
      </w:r>
      <w:r>
        <w:rPr>
          <w:spacing w:val="40"/>
        </w:rPr>
        <w:t> </w:t>
      </w:r>
      <w:r>
        <w:rPr/>
        <w:t>sindicatos</w:t>
      </w:r>
      <w:r>
        <w:rPr>
          <w:spacing w:val="40"/>
        </w:rPr>
        <w:t> </w:t>
      </w:r>
      <w:r>
        <w:rPr/>
        <w:t>deben</w:t>
      </w:r>
      <w:r>
        <w:rPr>
          <w:spacing w:val="40"/>
        </w:rPr>
        <w:t> </w:t>
      </w:r>
      <w:r>
        <w:rPr/>
        <w:t>registrarse</w:t>
      </w:r>
      <w:r>
        <w:rPr>
          <w:spacing w:val="40"/>
        </w:rPr>
        <w:t> </w:t>
      </w:r>
      <w:r>
        <w:rPr/>
        <w:t>en</w:t>
      </w:r>
      <w:r>
        <w:rPr>
          <w:spacing w:val="40"/>
        </w:rPr>
        <w:t> </w:t>
      </w:r>
      <w:r>
        <w:rPr/>
        <w:t>el</w:t>
      </w:r>
      <w:r>
        <w:rPr>
          <w:spacing w:val="40"/>
        </w:rPr>
        <w:t> </w:t>
      </w:r>
      <w:r>
        <w:rPr/>
        <w:t>Centro</w:t>
      </w:r>
      <w:r>
        <w:rPr>
          <w:spacing w:val="40"/>
        </w:rPr>
        <w:t> </w:t>
      </w:r>
      <w:r>
        <w:rPr/>
        <w:t>Federal</w:t>
      </w:r>
      <w:r>
        <w:rPr>
          <w:spacing w:val="40"/>
        </w:rPr>
        <w:t> </w:t>
      </w:r>
      <w:r>
        <w:rPr/>
        <w:t>de</w:t>
      </w:r>
      <w:r>
        <w:rPr>
          <w:spacing w:val="40"/>
        </w:rPr>
        <w:t> </w:t>
      </w:r>
      <w:r>
        <w:rPr/>
        <w:t>Conciliación</w:t>
      </w:r>
      <w:r>
        <w:rPr>
          <w:spacing w:val="40"/>
        </w:rPr>
        <w:t> </w:t>
      </w:r>
      <w:r>
        <w:rPr/>
        <w:t>y</w:t>
      </w:r>
      <w:r>
        <w:rPr>
          <w:spacing w:val="40"/>
        </w:rPr>
        <w:t> </w:t>
      </w:r>
      <w:r>
        <w:rPr/>
        <w:t>Registro Laboral, a cuyo efecto remitirán en original y copia: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ListParagraph"/>
        <w:numPr>
          <w:ilvl w:val="0"/>
          <w:numId w:val="112"/>
        </w:numPr>
        <w:tabs>
          <w:tab w:pos="1195" w:val="left" w:leader="none"/>
        </w:tabs>
        <w:spacing w:line="240" w:lineRule="auto" w:before="229" w:after="0"/>
        <w:ind w:left="1195" w:right="0" w:hanging="569"/>
        <w:jc w:val="left"/>
        <w:rPr>
          <w:sz w:val="20"/>
        </w:rPr>
      </w:pPr>
      <w:r>
        <w:rPr>
          <w:sz w:val="20"/>
        </w:rPr>
        <w:t>Copia</w:t>
      </w:r>
      <w:r>
        <w:rPr>
          <w:spacing w:val="-8"/>
          <w:sz w:val="20"/>
        </w:rPr>
        <w:t> </w:t>
      </w:r>
      <w:r>
        <w:rPr>
          <w:sz w:val="20"/>
        </w:rPr>
        <w:t>autorizada</w:t>
      </w:r>
      <w:r>
        <w:rPr>
          <w:spacing w:val="-6"/>
          <w:sz w:val="20"/>
        </w:rPr>
        <w:t> </w:t>
      </w:r>
      <w:r>
        <w:rPr>
          <w:sz w:val="20"/>
        </w:rPr>
        <w:t>del</w:t>
      </w:r>
      <w:r>
        <w:rPr>
          <w:spacing w:val="-7"/>
          <w:sz w:val="20"/>
        </w:rPr>
        <w:t> </w:t>
      </w:r>
      <w:r>
        <w:rPr>
          <w:sz w:val="20"/>
        </w:rPr>
        <w:t>acta</w:t>
      </w:r>
      <w:r>
        <w:rPr>
          <w:spacing w:val="-5"/>
          <w:sz w:val="20"/>
        </w:rPr>
        <w:t> </w:t>
      </w:r>
      <w:r>
        <w:rPr>
          <w:sz w:val="20"/>
        </w:rPr>
        <w:t>de</w:t>
      </w:r>
      <w:r>
        <w:rPr>
          <w:spacing w:val="-7"/>
          <w:sz w:val="20"/>
        </w:rPr>
        <w:t> </w:t>
      </w:r>
      <w:r>
        <w:rPr>
          <w:sz w:val="20"/>
        </w:rPr>
        <w:t>la</w:t>
      </w:r>
      <w:r>
        <w:rPr>
          <w:spacing w:val="-6"/>
          <w:sz w:val="20"/>
        </w:rPr>
        <w:t> </w:t>
      </w:r>
      <w:r>
        <w:rPr>
          <w:sz w:val="20"/>
        </w:rPr>
        <w:t>asamblea</w:t>
      </w:r>
      <w:r>
        <w:rPr>
          <w:spacing w:val="-8"/>
          <w:sz w:val="20"/>
        </w:rPr>
        <w:t> </w:t>
      </w:r>
      <w:r>
        <w:rPr>
          <w:spacing w:val="-2"/>
          <w:sz w:val="20"/>
        </w:rPr>
        <w:t>constitutiva;</w:t>
      </w:r>
    </w:p>
    <w:p>
      <w:pPr>
        <w:pStyle w:val="BodyText"/>
      </w:pPr>
    </w:p>
    <w:p>
      <w:pPr>
        <w:pStyle w:val="ListParagraph"/>
        <w:numPr>
          <w:ilvl w:val="0"/>
          <w:numId w:val="112"/>
        </w:numPr>
        <w:tabs>
          <w:tab w:pos="1195" w:val="left" w:leader="none"/>
        </w:tabs>
        <w:spacing w:line="242" w:lineRule="auto" w:before="1" w:after="0"/>
        <w:ind w:left="1195" w:right="342" w:hanging="569"/>
        <w:jc w:val="left"/>
        <w:rPr>
          <w:sz w:val="20"/>
        </w:rPr>
      </w:pPr>
      <w:r>
        <w:rPr>
          <w:sz w:val="20"/>
        </w:rPr>
        <w:t>Una lista o listas autorizadas con el número, nombres, CURP y domicilios de sus miembros, la cual además contendrá:</w:t>
      </w:r>
    </w:p>
    <w:p>
      <w:pPr>
        <w:pStyle w:val="ListParagraph"/>
        <w:numPr>
          <w:ilvl w:val="1"/>
          <w:numId w:val="112"/>
        </w:numPr>
        <w:tabs>
          <w:tab w:pos="1762" w:val="left" w:leader="none"/>
        </w:tabs>
        <w:spacing w:line="242" w:lineRule="auto" w:before="224" w:after="0"/>
        <w:ind w:left="1762" w:right="345" w:hanging="567"/>
        <w:jc w:val="left"/>
        <w:rPr>
          <w:sz w:val="20"/>
        </w:rPr>
      </w:pPr>
      <w:r>
        <w:rPr>
          <w:sz w:val="20"/>
        </w:rPr>
        <w:t>Cuando se trate de aquellos conformados por trabajadores, el nombre y domicilio de los patrones, empresas o establecimientos en los que se prestan los servicios.</w:t>
      </w:r>
    </w:p>
    <w:p>
      <w:pPr>
        <w:pStyle w:val="ListParagraph"/>
        <w:numPr>
          <w:ilvl w:val="1"/>
          <w:numId w:val="112"/>
        </w:numPr>
        <w:tabs>
          <w:tab w:pos="1762" w:val="left" w:leader="none"/>
        </w:tabs>
        <w:spacing w:line="242" w:lineRule="auto" w:before="227" w:after="0"/>
        <w:ind w:left="1762" w:right="345" w:hanging="567"/>
        <w:jc w:val="left"/>
        <w:rPr>
          <w:sz w:val="20"/>
        </w:rPr>
      </w:pPr>
      <w:r>
        <w:rPr>
          <w:sz w:val="20"/>
        </w:rPr>
        <w:t>Cuando</w:t>
      </w:r>
      <w:r>
        <w:rPr>
          <w:spacing w:val="26"/>
          <w:sz w:val="20"/>
        </w:rPr>
        <w:t> </w:t>
      </w:r>
      <w:r>
        <w:rPr>
          <w:sz w:val="20"/>
        </w:rPr>
        <w:t>se</w:t>
      </w:r>
      <w:r>
        <w:rPr>
          <w:spacing w:val="28"/>
          <w:sz w:val="20"/>
        </w:rPr>
        <w:t> </w:t>
      </w:r>
      <w:r>
        <w:rPr>
          <w:sz w:val="20"/>
        </w:rPr>
        <w:t>trate</w:t>
      </w:r>
      <w:r>
        <w:rPr>
          <w:spacing w:val="28"/>
          <w:sz w:val="20"/>
        </w:rPr>
        <w:t> </w:t>
      </w:r>
      <w:r>
        <w:rPr>
          <w:sz w:val="20"/>
        </w:rPr>
        <w:t>de</w:t>
      </w:r>
      <w:r>
        <w:rPr>
          <w:spacing w:val="28"/>
          <w:sz w:val="20"/>
        </w:rPr>
        <w:t> </w:t>
      </w:r>
      <w:r>
        <w:rPr>
          <w:sz w:val="20"/>
        </w:rPr>
        <w:t>aquellos</w:t>
      </w:r>
      <w:r>
        <w:rPr>
          <w:spacing w:val="27"/>
          <w:sz w:val="20"/>
        </w:rPr>
        <w:t> </w:t>
      </w:r>
      <w:r>
        <w:rPr>
          <w:sz w:val="20"/>
        </w:rPr>
        <w:t>conformados</w:t>
      </w:r>
      <w:r>
        <w:rPr>
          <w:spacing w:val="27"/>
          <w:sz w:val="20"/>
        </w:rPr>
        <w:t> </w:t>
      </w:r>
      <w:r>
        <w:rPr>
          <w:sz w:val="20"/>
        </w:rPr>
        <w:t>por</w:t>
      </w:r>
      <w:r>
        <w:rPr>
          <w:spacing w:val="27"/>
          <w:sz w:val="20"/>
        </w:rPr>
        <w:t> </w:t>
      </w:r>
      <w:r>
        <w:rPr>
          <w:sz w:val="20"/>
        </w:rPr>
        <w:t>patrones,</w:t>
      </w:r>
      <w:r>
        <w:rPr>
          <w:spacing w:val="26"/>
          <w:sz w:val="20"/>
        </w:rPr>
        <w:t> </w:t>
      </w:r>
      <w:r>
        <w:rPr>
          <w:sz w:val="20"/>
        </w:rPr>
        <w:t>el</w:t>
      </w:r>
      <w:r>
        <w:rPr>
          <w:spacing w:val="26"/>
          <w:sz w:val="20"/>
        </w:rPr>
        <w:t> </w:t>
      </w:r>
      <w:r>
        <w:rPr>
          <w:sz w:val="20"/>
        </w:rPr>
        <w:t>nombre</w:t>
      </w:r>
      <w:r>
        <w:rPr>
          <w:spacing w:val="29"/>
          <w:sz w:val="20"/>
        </w:rPr>
        <w:t> </w:t>
      </w:r>
      <w:r>
        <w:rPr>
          <w:sz w:val="20"/>
        </w:rPr>
        <w:t>y</w:t>
      </w:r>
      <w:r>
        <w:rPr>
          <w:spacing w:val="24"/>
          <w:sz w:val="20"/>
        </w:rPr>
        <w:t> </w:t>
      </w:r>
      <w:r>
        <w:rPr>
          <w:sz w:val="20"/>
        </w:rPr>
        <w:t>domicilios</w:t>
      </w:r>
      <w:r>
        <w:rPr>
          <w:spacing w:val="28"/>
          <w:sz w:val="20"/>
        </w:rPr>
        <w:t> </w:t>
      </w:r>
      <w:r>
        <w:rPr>
          <w:sz w:val="20"/>
        </w:rPr>
        <w:t>de</w:t>
      </w:r>
      <w:r>
        <w:rPr>
          <w:spacing w:val="26"/>
          <w:sz w:val="20"/>
        </w:rPr>
        <w:t> </w:t>
      </w:r>
      <w:r>
        <w:rPr>
          <w:sz w:val="20"/>
        </w:rPr>
        <w:t>las empresas, en donde se cuente con trabajadores.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12"/>
        </w:numPr>
        <w:tabs>
          <w:tab w:pos="1195" w:val="left" w:leader="none"/>
        </w:tabs>
        <w:spacing w:line="242" w:lineRule="auto" w:before="0" w:after="0"/>
        <w:ind w:left="1195" w:right="339" w:hanging="569"/>
        <w:jc w:val="left"/>
        <w:rPr>
          <w:sz w:val="20"/>
        </w:rPr>
      </w:pPr>
      <w:r>
        <w:rPr>
          <w:sz w:val="20"/>
        </w:rPr>
        <w:t>Copia autorizada de los estatutos, cubriendo</w:t>
      </w:r>
      <w:r>
        <w:rPr>
          <w:spacing w:val="25"/>
          <w:sz w:val="20"/>
        </w:rPr>
        <w:t> </w:t>
      </w:r>
      <w:r>
        <w:rPr>
          <w:sz w:val="20"/>
        </w:rPr>
        <w:t>los requisitos establecidos en el artículo 371 de</w:t>
      </w:r>
      <w:r>
        <w:rPr>
          <w:spacing w:val="80"/>
          <w:sz w:val="20"/>
        </w:rPr>
        <w:t> </w:t>
      </w:r>
      <w:r>
        <w:rPr>
          <w:sz w:val="20"/>
        </w:rPr>
        <w:t>esta Ley, 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12"/>
        </w:numPr>
        <w:tabs>
          <w:tab w:pos="1195" w:val="left" w:leader="none"/>
        </w:tabs>
        <w:spacing w:line="240" w:lineRule="auto" w:before="0" w:after="0"/>
        <w:ind w:left="1195" w:right="0" w:hanging="569"/>
        <w:jc w:val="left"/>
        <w:rPr>
          <w:sz w:val="20"/>
        </w:rPr>
      </w:pPr>
      <w:r>
        <w:rPr>
          <w:sz w:val="20"/>
        </w:rPr>
        <w:t>Copia</w:t>
      </w:r>
      <w:r>
        <w:rPr>
          <w:spacing w:val="-7"/>
          <w:sz w:val="20"/>
        </w:rPr>
        <w:t> </w:t>
      </w:r>
      <w:r>
        <w:rPr>
          <w:sz w:val="20"/>
        </w:rPr>
        <w:t>autorizada</w:t>
      </w:r>
      <w:r>
        <w:rPr>
          <w:spacing w:val="-5"/>
          <w:sz w:val="20"/>
        </w:rPr>
        <w:t> </w:t>
      </w:r>
      <w:r>
        <w:rPr>
          <w:sz w:val="20"/>
        </w:rPr>
        <w:t>del</w:t>
      </w:r>
      <w:r>
        <w:rPr>
          <w:spacing w:val="-5"/>
          <w:sz w:val="20"/>
        </w:rPr>
        <w:t> </w:t>
      </w:r>
      <w:r>
        <w:rPr>
          <w:sz w:val="20"/>
        </w:rPr>
        <w:t>acta</w:t>
      </w:r>
      <w:r>
        <w:rPr>
          <w:spacing w:val="-5"/>
          <w:sz w:val="20"/>
        </w:rPr>
        <w:t> </w:t>
      </w:r>
      <w:r>
        <w:rPr>
          <w:sz w:val="20"/>
        </w:rPr>
        <w:t>de</w:t>
      </w:r>
      <w:r>
        <w:rPr>
          <w:spacing w:val="-6"/>
          <w:sz w:val="20"/>
        </w:rPr>
        <w:t> </w:t>
      </w:r>
      <w:r>
        <w:rPr>
          <w:sz w:val="20"/>
        </w:rPr>
        <w:t>la</w:t>
      </w:r>
      <w:r>
        <w:rPr>
          <w:spacing w:val="-4"/>
          <w:sz w:val="20"/>
        </w:rPr>
        <w:t> </w:t>
      </w:r>
      <w:r>
        <w:rPr>
          <w:sz w:val="20"/>
        </w:rPr>
        <w:t>asamblea</w:t>
      </w:r>
      <w:r>
        <w:rPr>
          <w:spacing w:val="-7"/>
          <w:sz w:val="20"/>
        </w:rPr>
        <w:t> </w:t>
      </w:r>
      <w:r>
        <w:rPr>
          <w:sz w:val="20"/>
        </w:rPr>
        <w:t>en</w:t>
      </w:r>
      <w:r>
        <w:rPr>
          <w:spacing w:val="-7"/>
          <w:sz w:val="20"/>
        </w:rPr>
        <w:t> </w:t>
      </w:r>
      <w:r>
        <w:rPr>
          <w:sz w:val="20"/>
        </w:rPr>
        <w:t>que</w:t>
      </w:r>
      <w:r>
        <w:rPr>
          <w:spacing w:val="-7"/>
          <w:sz w:val="20"/>
        </w:rPr>
        <w:t> </w:t>
      </w:r>
      <w:r>
        <w:rPr>
          <w:sz w:val="20"/>
        </w:rPr>
        <w:t>se</w:t>
      </w:r>
      <w:r>
        <w:rPr>
          <w:spacing w:val="-4"/>
          <w:sz w:val="20"/>
        </w:rPr>
        <w:t> </w:t>
      </w:r>
      <w:r>
        <w:rPr>
          <w:sz w:val="20"/>
        </w:rPr>
        <w:t>hubiese</w:t>
      </w:r>
      <w:r>
        <w:rPr>
          <w:spacing w:val="-6"/>
          <w:sz w:val="20"/>
        </w:rPr>
        <w:t> </w:t>
      </w:r>
      <w:r>
        <w:rPr>
          <w:sz w:val="20"/>
        </w:rPr>
        <w:t>elegido</w:t>
      </w:r>
      <w:r>
        <w:rPr>
          <w:spacing w:val="-6"/>
          <w:sz w:val="20"/>
        </w:rPr>
        <w:t> </w:t>
      </w:r>
      <w:r>
        <w:rPr>
          <w:sz w:val="20"/>
        </w:rPr>
        <w:t>la</w:t>
      </w:r>
      <w:r>
        <w:rPr>
          <w:spacing w:val="-7"/>
          <w:sz w:val="20"/>
        </w:rPr>
        <w:t> </w:t>
      </w:r>
      <w:r>
        <w:rPr>
          <w:spacing w:val="-2"/>
          <w:sz w:val="20"/>
        </w:rPr>
        <w:t>directiva.</w:t>
      </w:r>
    </w:p>
    <w:p>
      <w:pPr>
        <w:pStyle w:val="BodyText"/>
        <w:spacing w:before="3"/>
      </w:pPr>
    </w:p>
    <w:p>
      <w:pPr>
        <w:pStyle w:val="BodyText"/>
        <w:ind w:left="338" w:right="337" w:firstLine="288"/>
        <w:jc w:val="both"/>
      </w:pPr>
      <w:r>
        <w:rPr/>
        <w:t>Los documentos a que se refieren las fracciones anteriores serán autorizados a través de la firma del Secretario General u homólogo, en términos del artículo 376 de esta Ley, salvo lo dispuesto en los </w:t>
      </w:r>
      <w:r>
        <w:rPr>
          <w:spacing w:val="-2"/>
        </w:rPr>
        <w:t>estatutos.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338" w:right="336" w:firstLine="288"/>
        <w:jc w:val="both"/>
      </w:pPr>
      <w:bookmarkStart w:name="Artículo_365_Bis" w:id="486"/>
      <w:bookmarkEnd w:id="486"/>
      <w:r>
        <w:rPr/>
      </w:r>
      <w:r>
        <w:rPr>
          <w:rFonts w:ascii="Arial" w:hAnsi="Arial"/>
          <w:b/>
        </w:rPr>
        <w:t>Artículo 365</w:t>
      </w:r>
      <w:r>
        <w:rPr>
          <w:rFonts w:ascii="Arial" w:hAnsi="Arial"/>
          <w:b/>
          <w:spacing w:val="-1"/>
        </w:rPr>
        <w:t> </w:t>
      </w:r>
      <w:r>
        <w:rPr>
          <w:rFonts w:ascii="Arial" w:hAnsi="Arial"/>
          <w:b/>
        </w:rPr>
        <w:t>Bis.- </w:t>
      </w:r>
      <w:r>
        <w:rPr/>
        <w:t>El</w:t>
      </w:r>
      <w:r>
        <w:rPr>
          <w:spacing w:val="-2"/>
        </w:rPr>
        <w:t> </w:t>
      </w:r>
      <w:r>
        <w:rPr/>
        <w:t>Centro</w:t>
      </w:r>
      <w:r>
        <w:rPr>
          <w:spacing w:val="-1"/>
        </w:rPr>
        <w:t> </w:t>
      </w:r>
      <w:r>
        <w:rPr/>
        <w:t>Federal</w:t>
      </w:r>
      <w:r>
        <w:rPr>
          <w:spacing w:val="-2"/>
        </w:rPr>
        <w:t> </w:t>
      </w:r>
      <w:r>
        <w:rPr/>
        <w:t>de</w:t>
      </w:r>
      <w:r>
        <w:rPr>
          <w:spacing w:val="-1"/>
        </w:rPr>
        <w:t> </w:t>
      </w:r>
      <w:r>
        <w:rPr/>
        <w:t>Conciliación y</w:t>
      </w:r>
      <w:r>
        <w:rPr>
          <w:spacing w:val="-2"/>
        </w:rPr>
        <w:t> </w:t>
      </w:r>
      <w:r>
        <w:rPr/>
        <w:t>Registro Laboral</w:t>
      </w:r>
      <w:r>
        <w:rPr>
          <w:spacing w:val="-2"/>
        </w:rPr>
        <w:t> </w:t>
      </w:r>
      <w:r>
        <w:rPr/>
        <w:t>hará pública,</w:t>
      </w:r>
      <w:r>
        <w:rPr>
          <w:spacing w:val="-1"/>
        </w:rPr>
        <w:t> </w:t>
      </w:r>
      <w:r>
        <w:rPr/>
        <w:t>para</w:t>
      </w:r>
      <w:r>
        <w:rPr>
          <w:spacing w:val="-1"/>
        </w:rPr>
        <w:t> </w:t>
      </w:r>
      <w:r>
        <w:rPr/>
        <w:t>consulta de cualquier persona, debidamente actualizada, la información de los registros de los sindicatos. Asimismo, deberá expedir copias de los documentos que obren en los expedientes de registros que se les soliciten, en términos del artículo 8o. constitucional y de lo dispuesto por la Ley General de Transparencia y</w:t>
      </w:r>
      <w:r>
        <w:rPr>
          <w:spacing w:val="40"/>
        </w:rPr>
        <w:t> </w:t>
      </w:r>
      <w:r>
        <w:rPr/>
        <w:t>Acceso a la Información Pública.</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4" w:firstLine="288"/>
        <w:jc w:val="both"/>
      </w:pPr>
      <w:r>
        <w:rPr/>
        <w:t>El texto íntegro de los documentos del registro de los sindicatos, las tomas de nota, el estatuto, las actas de asambleas y todos los documentos contenidos en el expediente de registro sindical, deberán estar disponibles en los sitios de Internet del Centro Federal de Conciliación y Registro Laboral.</w:t>
      </w:r>
    </w:p>
    <w:p>
      <w:pPr>
        <w:pStyle w:val="BodyText"/>
        <w:spacing w:after="0"/>
        <w:jc w:val="both"/>
        <w:sectPr>
          <w:pgSz w:w="12240" w:h="15840"/>
          <w:pgMar w:header="724" w:footer="712" w:top="1880" w:bottom="900" w:left="1080" w:right="1080"/>
        </w:sectPr>
      </w:pPr>
    </w:p>
    <w:p>
      <w:pPr>
        <w:pStyle w:val="BodyText"/>
        <w:spacing w:before="109"/>
        <w:rPr>
          <w:sz w:val="16"/>
        </w:rPr>
      </w:pP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626"/>
      </w:pPr>
      <w:r>
        <w:rPr/>
        <w:t>Los</w:t>
      </w:r>
      <w:r>
        <w:rPr>
          <w:spacing w:val="-8"/>
        </w:rPr>
        <w:t> </w:t>
      </w:r>
      <w:r>
        <w:rPr/>
        <w:t>registros</w:t>
      </w:r>
      <w:r>
        <w:rPr>
          <w:spacing w:val="-5"/>
        </w:rPr>
        <w:t> </w:t>
      </w:r>
      <w:r>
        <w:rPr/>
        <w:t>de</w:t>
      </w:r>
      <w:r>
        <w:rPr>
          <w:spacing w:val="-7"/>
        </w:rPr>
        <w:t> </w:t>
      </w:r>
      <w:r>
        <w:rPr/>
        <w:t>los</w:t>
      </w:r>
      <w:r>
        <w:rPr>
          <w:spacing w:val="-7"/>
        </w:rPr>
        <w:t> </w:t>
      </w:r>
      <w:r>
        <w:rPr/>
        <w:t>sindicatos</w:t>
      </w:r>
      <w:r>
        <w:rPr>
          <w:spacing w:val="-7"/>
        </w:rPr>
        <w:t> </w:t>
      </w:r>
      <w:r>
        <w:rPr/>
        <w:t>deberán</w:t>
      </w:r>
      <w:r>
        <w:rPr>
          <w:spacing w:val="-8"/>
        </w:rPr>
        <w:t> </w:t>
      </w:r>
      <w:r>
        <w:rPr/>
        <w:t>contener,</w:t>
      </w:r>
      <w:r>
        <w:rPr>
          <w:spacing w:val="-8"/>
        </w:rPr>
        <w:t> </w:t>
      </w:r>
      <w:r>
        <w:rPr/>
        <w:t>cuando</w:t>
      </w:r>
      <w:r>
        <w:rPr>
          <w:spacing w:val="-9"/>
        </w:rPr>
        <w:t> </w:t>
      </w:r>
      <w:r>
        <w:rPr/>
        <w:t>menos,</w:t>
      </w:r>
      <w:r>
        <w:rPr>
          <w:spacing w:val="-8"/>
        </w:rPr>
        <w:t> </w:t>
      </w:r>
      <w:r>
        <w:rPr/>
        <w:t>los</w:t>
      </w:r>
      <w:r>
        <w:rPr>
          <w:spacing w:val="-7"/>
        </w:rPr>
        <w:t> </w:t>
      </w:r>
      <w:r>
        <w:rPr/>
        <w:t>siguientes</w:t>
      </w:r>
      <w:r>
        <w:rPr>
          <w:spacing w:val="-7"/>
        </w:rPr>
        <w:t> </w:t>
      </w:r>
      <w:r>
        <w:rPr>
          <w:spacing w:val="-2"/>
        </w:rPr>
        <w:t>datos:</w:t>
      </w:r>
    </w:p>
    <w:p>
      <w:pPr>
        <w:pStyle w:val="ListParagraph"/>
        <w:numPr>
          <w:ilvl w:val="0"/>
          <w:numId w:val="113"/>
        </w:numPr>
        <w:tabs>
          <w:tab w:pos="1195" w:val="left" w:leader="none"/>
        </w:tabs>
        <w:spacing w:line="240" w:lineRule="auto" w:before="228" w:after="0"/>
        <w:ind w:left="1195" w:right="0" w:hanging="569"/>
        <w:jc w:val="left"/>
        <w:rPr>
          <w:sz w:val="20"/>
        </w:rPr>
      </w:pPr>
      <w:r>
        <w:rPr>
          <w:spacing w:val="-2"/>
          <w:sz w:val="20"/>
        </w:rPr>
        <w:t>Domicilio;</w:t>
      </w:r>
    </w:p>
    <w:p>
      <w:pPr>
        <w:pStyle w:val="ListParagraph"/>
        <w:numPr>
          <w:ilvl w:val="0"/>
          <w:numId w:val="113"/>
        </w:numPr>
        <w:tabs>
          <w:tab w:pos="1195" w:val="left" w:leader="none"/>
        </w:tabs>
        <w:spacing w:line="240" w:lineRule="auto" w:before="228" w:after="0"/>
        <w:ind w:left="1195" w:right="0" w:hanging="569"/>
        <w:jc w:val="left"/>
        <w:rPr>
          <w:sz w:val="20"/>
        </w:rPr>
      </w:pPr>
      <w:r>
        <w:rPr>
          <w:sz w:val="20"/>
        </w:rPr>
        <w:t>Número</w:t>
      </w:r>
      <w:r>
        <w:rPr>
          <w:spacing w:val="-6"/>
          <w:sz w:val="20"/>
        </w:rPr>
        <w:t> </w:t>
      </w:r>
      <w:r>
        <w:rPr>
          <w:sz w:val="20"/>
        </w:rPr>
        <w:t>de</w:t>
      </w:r>
      <w:r>
        <w:rPr>
          <w:spacing w:val="-6"/>
          <w:sz w:val="20"/>
        </w:rPr>
        <w:t> </w:t>
      </w:r>
      <w:r>
        <w:rPr>
          <w:spacing w:val="-2"/>
          <w:sz w:val="20"/>
        </w:rPr>
        <w:t>registro;</w:t>
      </w:r>
    </w:p>
    <w:p>
      <w:pPr>
        <w:pStyle w:val="BodyText"/>
        <w:spacing w:before="1"/>
      </w:pPr>
    </w:p>
    <w:p>
      <w:pPr>
        <w:pStyle w:val="ListParagraph"/>
        <w:numPr>
          <w:ilvl w:val="0"/>
          <w:numId w:val="113"/>
        </w:numPr>
        <w:tabs>
          <w:tab w:pos="1195" w:val="left" w:leader="none"/>
        </w:tabs>
        <w:spacing w:line="240" w:lineRule="auto" w:before="0" w:after="0"/>
        <w:ind w:left="1195" w:right="0" w:hanging="569"/>
        <w:jc w:val="left"/>
        <w:rPr>
          <w:sz w:val="20"/>
        </w:rPr>
      </w:pPr>
      <w:r>
        <w:rPr>
          <w:sz w:val="20"/>
        </w:rPr>
        <w:t>Nombre</w:t>
      </w:r>
      <w:r>
        <w:rPr>
          <w:spacing w:val="-6"/>
          <w:sz w:val="20"/>
        </w:rPr>
        <w:t> </w:t>
      </w:r>
      <w:r>
        <w:rPr>
          <w:sz w:val="20"/>
        </w:rPr>
        <w:t>del</w:t>
      </w:r>
      <w:r>
        <w:rPr>
          <w:spacing w:val="-7"/>
          <w:sz w:val="20"/>
        </w:rPr>
        <w:t> </w:t>
      </w:r>
      <w:r>
        <w:rPr>
          <w:spacing w:val="-2"/>
          <w:sz w:val="20"/>
        </w:rPr>
        <w:t>sindicato;</w:t>
      </w:r>
    </w:p>
    <w:p>
      <w:pPr>
        <w:pStyle w:val="BodyText"/>
        <w:spacing w:before="1"/>
      </w:pPr>
    </w:p>
    <w:p>
      <w:pPr>
        <w:pStyle w:val="ListParagraph"/>
        <w:numPr>
          <w:ilvl w:val="0"/>
          <w:numId w:val="113"/>
        </w:numPr>
        <w:tabs>
          <w:tab w:pos="1195" w:val="left" w:leader="none"/>
        </w:tabs>
        <w:spacing w:line="240" w:lineRule="auto" w:before="0" w:after="0"/>
        <w:ind w:left="1195" w:right="0" w:hanging="569"/>
        <w:jc w:val="left"/>
        <w:rPr>
          <w:sz w:val="20"/>
        </w:rPr>
      </w:pPr>
      <w:r>
        <w:rPr>
          <w:sz w:val="20"/>
        </w:rPr>
        <w:t>Nombre</w:t>
      </w:r>
      <w:r>
        <w:rPr>
          <w:spacing w:val="-7"/>
          <w:sz w:val="20"/>
        </w:rPr>
        <w:t> </w:t>
      </w:r>
      <w:r>
        <w:rPr>
          <w:sz w:val="20"/>
        </w:rPr>
        <w:t>de</w:t>
      </w:r>
      <w:r>
        <w:rPr>
          <w:spacing w:val="-8"/>
          <w:sz w:val="20"/>
        </w:rPr>
        <w:t> </w:t>
      </w:r>
      <w:r>
        <w:rPr>
          <w:sz w:val="20"/>
        </w:rPr>
        <w:t>los</w:t>
      </w:r>
      <w:r>
        <w:rPr>
          <w:spacing w:val="-4"/>
          <w:sz w:val="20"/>
        </w:rPr>
        <w:t> </w:t>
      </w:r>
      <w:r>
        <w:rPr>
          <w:sz w:val="20"/>
        </w:rPr>
        <w:t>integrantes</w:t>
      </w:r>
      <w:r>
        <w:rPr>
          <w:spacing w:val="-4"/>
          <w:sz w:val="20"/>
        </w:rPr>
        <w:t> </w:t>
      </w:r>
      <w:r>
        <w:rPr>
          <w:sz w:val="20"/>
        </w:rPr>
        <w:t>del</w:t>
      </w:r>
      <w:r>
        <w:rPr>
          <w:spacing w:val="-6"/>
          <w:sz w:val="20"/>
        </w:rPr>
        <w:t> </w:t>
      </w:r>
      <w:r>
        <w:rPr>
          <w:sz w:val="20"/>
        </w:rPr>
        <w:t>Comité</w:t>
      </w:r>
      <w:r>
        <w:rPr>
          <w:spacing w:val="-7"/>
          <w:sz w:val="20"/>
        </w:rPr>
        <w:t> </w:t>
      </w:r>
      <w:r>
        <w:rPr>
          <w:spacing w:val="-2"/>
          <w:sz w:val="20"/>
        </w:rPr>
        <w:t>Ejecutivo;</w:t>
      </w:r>
    </w:p>
    <w:p>
      <w:pPr>
        <w:pStyle w:val="ListParagraph"/>
        <w:numPr>
          <w:ilvl w:val="0"/>
          <w:numId w:val="113"/>
        </w:numPr>
        <w:tabs>
          <w:tab w:pos="1195" w:val="left" w:leader="none"/>
        </w:tabs>
        <w:spacing w:line="240" w:lineRule="auto" w:before="229" w:after="0"/>
        <w:ind w:left="1195" w:right="0" w:hanging="569"/>
        <w:jc w:val="left"/>
        <w:rPr>
          <w:sz w:val="20"/>
        </w:rPr>
      </w:pPr>
      <w:r>
        <w:rPr>
          <w:sz w:val="20"/>
        </w:rPr>
        <w:t>Fecha</w:t>
      </w:r>
      <w:r>
        <w:rPr>
          <w:spacing w:val="-8"/>
          <w:sz w:val="20"/>
        </w:rPr>
        <w:t> </w:t>
      </w:r>
      <w:r>
        <w:rPr>
          <w:sz w:val="20"/>
        </w:rPr>
        <w:t>de</w:t>
      </w:r>
      <w:r>
        <w:rPr>
          <w:spacing w:val="-5"/>
          <w:sz w:val="20"/>
        </w:rPr>
        <w:t> </w:t>
      </w:r>
      <w:r>
        <w:rPr>
          <w:sz w:val="20"/>
        </w:rPr>
        <w:t>vigencia</w:t>
      </w:r>
      <w:r>
        <w:rPr>
          <w:spacing w:val="-6"/>
          <w:sz w:val="20"/>
        </w:rPr>
        <w:t> </w:t>
      </w:r>
      <w:r>
        <w:rPr>
          <w:sz w:val="20"/>
        </w:rPr>
        <w:t>del</w:t>
      </w:r>
      <w:r>
        <w:rPr>
          <w:spacing w:val="-7"/>
          <w:sz w:val="20"/>
        </w:rPr>
        <w:t> </w:t>
      </w:r>
      <w:r>
        <w:rPr>
          <w:sz w:val="20"/>
        </w:rPr>
        <w:t>Comité</w:t>
      </w:r>
      <w:r>
        <w:rPr>
          <w:spacing w:val="-6"/>
          <w:sz w:val="20"/>
        </w:rPr>
        <w:t> </w:t>
      </w:r>
      <w:r>
        <w:rPr>
          <w:spacing w:val="-2"/>
          <w:sz w:val="20"/>
        </w:rPr>
        <w:t>Ejecutivo;</w:t>
      </w:r>
    </w:p>
    <w:p>
      <w:pPr>
        <w:pStyle w:val="BodyText"/>
        <w:spacing w:before="1"/>
      </w:pPr>
    </w:p>
    <w:p>
      <w:pPr>
        <w:pStyle w:val="ListParagraph"/>
        <w:numPr>
          <w:ilvl w:val="0"/>
          <w:numId w:val="113"/>
        </w:numPr>
        <w:tabs>
          <w:tab w:pos="1195" w:val="left" w:leader="none"/>
        </w:tabs>
        <w:spacing w:line="229" w:lineRule="exact" w:before="0" w:after="0"/>
        <w:ind w:left="1195" w:right="0" w:hanging="569"/>
        <w:jc w:val="left"/>
        <w:rPr>
          <w:sz w:val="20"/>
        </w:rPr>
      </w:pPr>
      <w:r>
        <w:rPr>
          <w:sz w:val="20"/>
        </w:rPr>
        <w:t>Número</w:t>
      </w:r>
      <w:r>
        <w:rPr>
          <w:spacing w:val="-6"/>
          <w:sz w:val="20"/>
        </w:rPr>
        <w:t> </w:t>
      </w:r>
      <w:r>
        <w:rPr>
          <w:sz w:val="20"/>
        </w:rPr>
        <w:t>de</w:t>
      </w:r>
      <w:r>
        <w:rPr>
          <w:spacing w:val="-6"/>
          <w:sz w:val="20"/>
        </w:rPr>
        <w:t> </w:t>
      </w:r>
      <w:r>
        <w:rPr>
          <w:spacing w:val="-2"/>
          <w:sz w:val="20"/>
        </w:rPr>
        <w:t>socios;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113"/>
        </w:numPr>
        <w:tabs>
          <w:tab w:pos="1195" w:val="left" w:leader="none"/>
        </w:tabs>
        <w:spacing w:line="240" w:lineRule="auto" w:before="0" w:after="0"/>
        <w:ind w:left="1195" w:right="0" w:hanging="569"/>
        <w:jc w:val="left"/>
        <w:rPr>
          <w:sz w:val="20"/>
        </w:rPr>
      </w:pPr>
      <w:r>
        <w:rPr>
          <w:sz w:val="20"/>
        </w:rPr>
        <w:t>Central</w:t>
      </w:r>
      <w:r>
        <w:rPr>
          <w:spacing w:val="-7"/>
          <w:sz w:val="20"/>
        </w:rPr>
        <w:t> </w:t>
      </w:r>
      <w:r>
        <w:rPr>
          <w:sz w:val="20"/>
        </w:rPr>
        <w:t>obrera</w:t>
      </w:r>
      <w:r>
        <w:rPr>
          <w:spacing w:val="-6"/>
          <w:sz w:val="20"/>
        </w:rPr>
        <w:t> </w:t>
      </w:r>
      <w:r>
        <w:rPr>
          <w:sz w:val="20"/>
        </w:rPr>
        <w:t>a</w:t>
      </w:r>
      <w:r>
        <w:rPr>
          <w:spacing w:val="-5"/>
          <w:sz w:val="20"/>
        </w:rPr>
        <w:t> </w:t>
      </w:r>
      <w:r>
        <w:rPr>
          <w:sz w:val="20"/>
        </w:rPr>
        <w:t>la</w:t>
      </w:r>
      <w:r>
        <w:rPr>
          <w:spacing w:val="-4"/>
          <w:sz w:val="20"/>
        </w:rPr>
        <w:t> </w:t>
      </w:r>
      <w:r>
        <w:rPr>
          <w:sz w:val="20"/>
        </w:rPr>
        <w:t>que</w:t>
      </w:r>
      <w:r>
        <w:rPr>
          <w:spacing w:val="-4"/>
          <w:sz w:val="20"/>
        </w:rPr>
        <w:t> </w:t>
      </w:r>
      <w:r>
        <w:rPr>
          <w:sz w:val="20"/>
        </w:rPr>
        <w:t>pertenecen,</w:t>
      </w:r>
      <w:r>
        <w:rPr>
          <w:spacing w:val="-6"/>
          <w:sz w:val="20"/>
        </w:rPr>
        <w:t> </w:t>
      </w:r>
      <w:r>
        <w:rPr>
          <w:sz w:val="20"/>
        </w:rPr>
        <w:t>en</w:t>
      </w:r>
      <w:r>
        <w:rPr>
          <w:spacing w:val="-4"/>
          <w:sz w:val="20"/>
        </w:rPr>
        <w:t> </w:t>
      </w:r>
      <w:r>
        <w:rPr>
          <w:sz w:val="20"/>
        </w:rPr>
        <w:t>su</w:t>
      </w:r>
      <w:r>
        <w:rPr>
          <w:spacing w:val="-6"/>
          <w:sz w:val="20"/>
        </w:rPr>
        <w:t> </w:t>
      </w:r>
      <w:r>
        <w:rPr>
          <w:spacing w:val="-2"/>
          <w:sz w:val="20"/>
        </w:rPr>
        <w:t>caso.</w:t>
      </w:r>
    </w:p>
    <w:p>
      <w:pPr>
        <w:pStyle w:val="BodyText"/>
        <w:spacing w:before="1"/>
      </w:pPr>
    </w:p>
    <w:p>
      <w:pPr>
        <w:pStyle w:val="ListParagraph"/>
        <w:numPr>
          <w:ilvl w:val="0"/>
          <w:numId w:val="113"/>
        </w:numPr>
        <w:tabs>
          <w:tab w:pos="1195" w:val="left" w:leader="none"/>
        </w:tabs>
        <w:spacing w:line="229" w:lineRule="exact" w:before="0" w:after="0"/>
        <w:ind w:left="1195" w:right="0" w:hanging="569"/>
        <w:jc w:val="left"/>
        <w:rPr>
          <w:sz w:val="20"/>
        </w:rPr>
      </w:pPr>
      <w:r>
        <w:rPr>
          <w:sz w:val="20"/>
        </w:rPr>
        <w:t>Padrón</w:t>
      </w:r>
      <w:r>
        <w:rPr>
          <w:spacing w:val="-6"/>
          <w:sz w:val="20"/>
        </w:rPr>
        <w:t> </w:t>
      </w:r>
      <w:r>
        <w:rPr>
          <w:sz w:val="20"/>
        </w:rPr>
        <w:t>de</w:t>
      </w:r>
      <w:r>
        <w:rPr>
          <w:spacing w:val="-6"/>
          <w:sz w:val="20"/>
        </w:rPr>
        <w:t> </w:t>
      </w:r>
      <w:r>
        <w:rPr>
          <w:spacing w:val="-2"/>
          <w:sz w:val="20"/>
        </w:rPr>
        <w:t>socios.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
        <w:rPr>
          <w:rFonts w:ascii="Times New Roman"/>
          <w:i/>
        </w:rPr>
      </w:pPr>
    </w:p>
    <w:p>
      <w:pPr>
        <w:pStyle w:val="BodyText"/>
        <w:ind w:left="338" w:right="344" w:firstLine="288"/>
        <w:jc w:val="both"/>
      </w:pPr>
      <w:r>
        <w:rPr/>
        <w:t>Por lo que se refiere a los documentos que obran en el expediente de registro de las asociaciones, únicamente estará clasificada como información confidencial los domicilios y CURP de los trabajadores señalados en los padrones de socios, en términos del último párrafo del artículo 78 de la Ley General de Transparencia y Acceso a la Información Pública.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
        <w:rPr>
          <w:rFonts w:ascii="Times New Roman"/>
          <w:i/>
        </w:rPr>
      </w:pPr>
    </w:p>
    <w:p>
      <w:pPr>
        <w:pStyle w:val="BodyText"/>
        <w:ind w:left="626"/>
      </w:pPr>
      <w:r>
        <w:rPr/>
        <w:t>La</w:t>
      </w:r>
      <w:r>
        <w:rPr>
          <w:spacing w:val="-7"/>
        </w:rPr>
        <w:t> </w:t>
      </w:r>
      <w:r>
        <w:rPr/>
        <w:t>actualización</w:t>
      </w:r>
      <w:r>
        <w:rPr>
          <w:spacing w:val="-6"/>
        </w:rPr>
        <w:t> </w:t>
      </w:r>
      <w:r>
        <w:rPr/>
        <w:t>de</w:t>
      </w:r>
      <w:r>
        <w:rPr>
          <w:spacing w:val="-6"/>
        </w:rPr>
        <w:t> </w:t>
      </w:r>
      <w:r>
        <w:rPr/>
        <w:t>los</w:t>
      </w:r>
      <w:r>
        <w:rPr>
          <w:spacing w:val="-5"/>
        </w:rPr>
        <w:t> </w:t>
      </w:r>
      <w:r>
        <w:rPr/>
        <w:t>índices</w:t>
      </w:r>
      <w:r>
        <w:rPr>
          <w:spacing w:val="-5"/>
        </w:rPr>
        <w:t> </w:t>
      </w:r>
      <w:r>
        <w:rPr/>
        <w:t>se</w:t>
      </w:r>
      <w:r>
        <w:rPr>
          <w:spacing w:val="-5"/>
        </w:rPr>
        <w:t> </w:t>
      </w:r>
      <w:r>
        <w:rPr/>
        <w:t>deberá</w:t>
      </w:r>
      <w:r>
        <w:rPr>
          <w:spacing w:val="-6"/>
        </w:rPr>
        <w:t> </w:t>
      </w:r>
      <w:r>
        <w:rPr/>
        <w:t>hacer</w:t>
      </w:r>
      <w:r>
        <w:rPr>
          <w:spacing w:val="-6"/>
        </w:rPr>
        <w:t> </w:t>
      </w:r>
      <w:r>
        <w:rPr/>
        <w:t>cada</w:t>
      </w:r>
      <w:r>
        <w:rPr>
          <w:spacing w:val="-7"/>
        </w:rPr>
        <w:t> </w:t>
      </w:r>
      <w:r>
        <w:rPr/>
        <w:t>tres</w:t>
      </w:r>
      <w:r>
        <w:rPr>
          <w:spacing w:val="-7"/>
        </w:rPr>
        <w:t> </w:t>
      </w:r>
      <w:r>
        <w:rPr>
          <w:spacing w:val="-2"/>
        </w:rPr>
        <w:t>meses.</w:t>
      </w:r>
    </w:p>
    <w:p>
      <w:pPr>
        <w:pStyle w:val="BodyText"/>
        <w:spacing w:before="1"/>
      </w:pPr>
    </w:p>
    <w:p>
      <w:pPr>
        <w:pStyle w:val="BodyText"/>
        <w:ind w:left="338" w:right="338" w:firstLine="288"/>
        <w:jc w:val="both"/>
      </w:pPr>
      <w:r>
        <w:rPr/>
        <w:t>Los sindicatos, federaciones y confederaciones podrán solicitar al Centro Federal de Conciliación y Registro Laboral copias certificadas o simples de los documentos que obren en sus respectivos expedientes; también se expedirán a cualquier persona que lo solicite, en términos de la legislación aplicable en materia de acceso a la información.</w:t>
      </w:r>
    </w:p>
    <w:p>
      <w:pPr>
        <w:spacing w:line="237" w:lineRule="auto" w:before="0"/>
        <w:ind w:left="7302" w:right="333" w:firstLine="1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rPr>
          <w:rFonts w:ascii="Times New Roman"/>
          <w:i/>
        </w:rPr>
      </w:pPr>
    </w:p>
    <w:p>
      <w:pPr>
        <w:spacing w:before="0"/>
        <w:ind w:left="626" w:right="0" w:firstLine="0"/>
        <w:jc w:val="left"/>
        <w:rPr>
          <w:sz w:val="20"/>
        </w:rPr>
      </w:pPr>
      <w:bookmarkStart w:name="Artículo_366" w:id="487"/>
      <w:bookmarkEnd w:id="487"/>
      <w:r>
        <w:rPr/>
      </w:r>
      <w:r>
        <w:rPr>
          <w:rFonts w:ascii="Arial" w:hAnsi="Arial"/>
          <w:b/>
          <w:sz w:val="20"/>
        </w:rPr>
        <w:t>Artículo</w:t>
      </w:r>
      <w:r>
        <w:rPr>
          <w:rFonts w:ascii="Arial" w:hAnsi="Arial"/>
          <w:b/>
          <w:spacing w:val="-7"/>
          <w:sz w:val="20"/>
        </w:rPr>
        <w:t> </w:t>
      </w:r>
      <w:r>
        <w:rPr>
          <w:rFonts w:ascii="Arial" w:hAnsi="Arial"/>
          <w:b/>
          <w:sz w:val="20"/>
        </w:rPr>
        <w:t>366.-</w:t>
      </w:r>
      <w:r>
        <w:rPr>
          <w:rFonts w:ascii="Arial" w:hAnsi="Arial"/>
          <w:b/>
          <w:spacing w:val="-4"/>
          <w:sz w:val="20"/>
        </w:rPr>
        <w:t> </w:t>
      </w:r>
      <w:r>
        <w:rPr>
          <w:sz w:val="20"/>
        </w:rPr>
        <w:t>El</w:t>
      </w:r>
      <w:r>
        <w:rPr>
          <w:spacing w:val="-8"/>
          <w:sz w:val="20"/>
        </w:rPr>
        <w:t> </w:t>
      </w:r>
      <w:r>
        <w:rPr>
          <w:sz w:val="20"/>
        </w:rPr>
        <w:t>registro</w:t>
      </w:r>
      <w:r>
        <w:rPr>
          <w:spacing w:val="-6"/>
          <w:sz w:val="20"/>
        </w:rPr>
        <w:t> </w:t>
      </w:r>
      <w:r>
        <w:rPr>
          <w:sz w:val="20"/>
        </w:rPr>
        <w:t>podrá</w:t>
      </w:r>
      <w:r>
        <w:rPr>
          <w:spacing w:val="-7"/>
          <w:sz w:val="20"/>
        </w:rPr>
        <w:t> </w:t>
      </w:r>
      <w:r>
        <w:rPr>
          <w:sz w:val="20"/>
        </w:rPr>
        <w:t>negarse</w:t>
      </w:r>
      <w:r>
        <w:rPr>
          <w:spacing w:val="-5"/>
          <w:sz w:val="20"/>
        </w:rPr>
        <w:t> </w:t>
      </w:r>
      <w:r>
        <w:rPr>
          <w:spacing w:val="-2"/>
          <w:sz w:val="20"/>
        </w:rPr>
        <w:t>únicamente:</w:t>
      </w:r>
    </w:p>
    <w:p>
      <w:pPr>
        <w:pStyle w:val="BodyText"/>
        <w:spacing w:before="1"/>
      </w:pPr>
    </w:p>
    <w:p>
      <w:pPr>
        <w:pStyle w:val="ListParagraph"/>
        <w:numPr>
          <w:ilvl w:val="0"/>
          <w:numId w:val="114"/>
        </w:numPr>
        <w:tabs>
          <w:tab w:pos="1195" w:val="left" w:leader="none"/>
        </w:tabs>
        <w:spacing w:line="240" w:lineRule="auto" w:before="0" w:after="0"/>
        <w:ind w:left="1195" w:right="0" w:hanging="569"/>
        <w:jc w:val="left"/>
        <w:rPr>
          <w:sz w:val="20"/>
        </w:rPr>
      </w:pPr>
      <w:r>
        <w:rPr>
          <w:sz w:val="20"/>
        </w:rPr>
        <w:t>Si</w:t>
      </w:r>
      <w:r>
        <w:rPr>
          <w:spacing w:val="-6"/>
          <w:sz w:val="20"/>
        </w:rPr>
        <w:t> </w:t>
      </w:r>
      <w:r>
        <w:rPr>
          <w:sz w:val="20"/>
        </w:rPr>
        <w:t>el</w:t>
      </w:r>
      <w:r>
        <w:rPr>
          <w:spacing w:val="-7"/>
          <w:sz w:val="20"/>
        </w:rPr>
        <w:t> </w:t>
      </w:r>
      <w:r>
        <w:rPr>
          <w:sz w:val="20"/>
        </w:rPr>
        <w:t>sindicato</w:t>
      </w:r>
      <w:r>
        <w:rPr>
          <w:spacing w:val="-6"/>
          <w:sz w:val="20"/>
        </w:rPr>
        <w:t> </w:t>
      </w:r>
      <w:r>
        <w:rPr>
          <w:sz w:val="20"/>
        </w:rPr>
        <w:t>no</w:t>
      </w:r>
      <w:r>
        <w:rPr>
          <w:spacing w:val="-7"/>
          <w:sz w:val="20"/>
        </w:rPr>
        <w:t> </w:t>
      </w:r>
      <w:r>
        <w:rPr>
          <w:sz w:val="20"/>
        </w:rPr>
        <w:t>se</w:t>
      </w:r>
      <w:r>
        <w:rPr>
          <w:spacing w:val="-4"/>
          <w:sz w:val="20"/>
        </w:rPr>
        <w:t> </w:t>
      </w:r>
      <w:r>
        <w:rPr>
          <w:sz w:val="20"/>
        </w:rPr>
        <w:t>propone</w:t>
      </w:r>
      <w:r>
        <w:rPr>
          <w:spacing w:val="-7"/>
          <w:sz w:val="20"/>
        </w:rPr>
        <w:t> </w:t>
      </w:r>
      <w:r>
        <w:rPr>
          <w:sz w:val="20"/>
        </w:rPr>
        <w:t>la</w:t>
      </w:r>
      <w:r>
        <w:rPr>
          <w:spacing w:val="-7"/>
          <w:sz w:val="20"/>
        </w:rPr>
        <w:t> </w:t>
      </w:r>
      <w:r>
        <w:rPr>
          <w:sz w:val="20"/>
        </w:rPr>
        <w:t>finalidad</w:t>
      </w:r>
      <w:r>
        <w:rPr>
          <w:spacing w:val="-4"/>
          <w:sz w:val="20"/>
        </w:rPr>
        <w:t> </w:t>
      </w:r>
      <w:r>
        <w:rPr>
          <w:sz w:val="20"/>
        </w:rPr>
        <w:t>prevista</w:t>
      </w:r>
      <w:r>
        <w:rPr>
          <w:spacing w:val="-5"/>
          <w:sz w:val="20"/>
        </w:rPr>
        <w:t> </w:t>
      </w:r>
      <w:r>
        <w:rPr>
          <w:sz w:val="20"/>
        </w:rPr>
        <w:t>en</w:t>
      </w:r>
      <w:r>
        <w:rPr>
          <w:spacing w:val="-5"/>
          <w:sz w:val="20"/>
        </w:rPr>
        <w:t> </w:t>
      </w:r>
      <w:r>
        <w:rPr>
          <w:sz w:val="20"/>
        </w:rPr>
        <w:t>el</w:t>
      </w:r>
      <w:r>
        <w:rPr>
          <w:spacing w:val="-7"/>
          <w:sz w:val="20"/>
        </w:rPr>
        <w:t> </w:t>
      </w:r>
      <w:r>
        <w:rPr>
          <w:sz w:val="20"/>
        </w:rPr>
        <w:t>artículo</w:t>
      </w:r>
      <w:r>
        <w:rPr>
          <w:spacing w:val="-7"/>
          <w:sz w:val="20"/>
        </w:rPr>
        <w:t> </w:t>
      </w:r>
      <w:r>
        <w:rPr>
          <w:spacing w:val="-4"/>
          <w:sz w:val="20"/>
        </w:rPr>
        <w:t>356;</w:t>
      </w:r>
    </w:p>
    <w:p>
      <w:pPr>
        <w:pStyle w:val="ListParagraph"/>
        <w:numPr>
          <w:ilvl w:val="0"/>
          <w:numId w:val="114"/>
        </w:numPr>
        <w:tabs>
          <w:tab w:pos="1195" w:val="left" w:leader="none"/>
        </w:tabs>
        <w:spacing w:line="240" w:lineRule="auto" w:before="228" w:after="0"/>
        <w:ind w:left="1195" w:right="0" w:hanging="569"/>
        <w:jc w:val="left"/>
        <w:rPr>
          <w:sz w:val="20"/>
        </w:rPr>
      </w:pPr>
      <w:r>
        <w:rPr>
          <w:sz w:val="20"/>
        </w:rPr>
        <w:t>Si</w:t>
      </w:r>
      <w:r>
        <w:rPr>
          <w:spacing w:val="-5"/>
          <w:sz w:val="20"/>
        </w:rPr>
        <w:t> </w:t>
      </w:r>
      <w:r>
        <w:rPr>
          <w:sz w:val="20"/>
        </w:rPr>
        <w:t>no</w:t>
      </w:r>
      <w:r>
        <w:rPr>
          <w:spacing w:val="-6"/>
          <w:sz w:val="20"/>
        </w:rPr>
        <w:t> </w:t>
      </w:r>
      <w:r>
        <w:rPr>
          <w:sz w:val="20"/>
        </w:rPr>
        <w:t>se</w:t>
      </w:r>
      <w:r>
        <w:rPr>
          <w:spacing w:val="-6"/>
          <w:sz w:val="20"/>
        </w:rPr>
        <w:t> </w:t>
      </w:r>
      <w:r>
        <w:rPr>
          <w:sz w:val="20"/>
        </w:rPr>
        <w:t>constituyó</w:t>
      </w:r>
      <w:r>
        <w:rPr>
          <w:spacing w:val="-3"/>
          <w:sz w:val="20"/>
        </w:rPr>
        <w:t> </w:t>
      </w:r>
      <w:r>
        <w:rPr>
          <w:sz w:val="20"/>
        </w:rPr>
        <w:t>con</w:t>
      </w:r>
      <w:r>
        <w:rPr>
          <w:spacing w:val="-5"/>
          <w:sz w:val="20"/>
        </w:rPr>
        <w:t> </w:t>
      </w:r>
      <w:r>
        <w:rPr>
          <w:sz w:val="20"/>
        </w:rPr>
        <w:t>el</w:t>
      </w:r>
      <w:r>
        <w:rPr>
          <w:spacing w:val="-4"/>
          <w:sz w:val="20"/>
        </w:rPr>
        <w:t> </w:t>
      </w:r>
      <w:r>
        <w:rPr>
          <w:sz w:val="20"/>
        </w:rPr>
        <w:t>número</w:t>
      </w:r>
      <w:r>
        <w:rPr>
          <w:spacing w:val="-5"/>
          <w:sz w:val="20"/>
        </w:rPr>
        <w:t> </w:t>
      </w:r>
      <w:r>
        <w:rPr>
          <w:sz w:val="20"/>
        </w:rPr>
        <w:t>de</w:t>
      </w:r>
      <w:r>
        <w:rPr>
          <w:spacing w:val="-7"/>
          <w:sz w:val="20"/>
        </w:rPr>
        <w:t> </w:t>
      </w:r>
      <w:r>
        <w:rPr>
          <w:sz w:val="20"/>
        </w:rPr>
        <w:t>miembros</w:t>
      </w:r>
      <w:r>
        <w:rPr>
          <w:spacing w:val="-6"/>
          <w:sz w:val="20"/>
        </w:rPr>
        <w:t> </w:t>
      </w:r>
      <w:r>
        <w:rPr>
          <w:sz w:val="20"/>
        </w:rPr>
        <w:t>fijado</w:t>
      </w:r>
      <w:r>
        <w:rPr>
          <w:spacing w:val="-4"/>
          <w:sz w:val="20"/>
        </w:rPr>
        <w:t> </w:t>
      </w:r>
      <w:r>
        <w:rPr>
          <w:sz w:val="20"/>
        </w:rPr>
        <w:t>en</w:t>
      </w:r>
      <w:r>
        <w:rPr>
          <w:spacing w:val="-6"/>
          <w:sz w:val="20"/>
        </w:rPr>
        <w:t> </w:t>
      </w:r>
      <w:r>
        <w:rPr>
          <w:sz w:val="20"/>
        </w:rPr>
        <w:t>el</w:t>
      </w:r>
      <w:r>
        <w:rPr>
          <w:spacing w:val="-6"/>
          <w:sz w:val="20"/>
        </w:rPr>
        <w:t> </w:t>
      </w:r>
      <w:r>
        <w:rPr>
          <w:sz w:val="20"/>
        </w:rPr>
        <w:t>artículo</w:t>
      </w:r>
      <w:r>
        <w:rPr>
          <w:spacing w:val="-4"/>
          <w:sz w:val="20"/>
        </w:rPr>
        <w:t> </w:t>
      </w:r>
      <w:r>
        <w:rPr>
          <w:sz w:val="20"/>
        </w:rPr>
        <w:t>364;</w:t>
      </w:r>
      <w:r>
        <w:rPr>
          <w:spacing w:val="-3"/>
          <w:sz w:val="20"/>
        </w:rPr>
        <w:t> </w:t>
      </w:r>
      <w:r>
        <w:rPr>
          <w:spacing w:val="-10"/>
          <w:sz w:val="20"/>
        </w:rPr>
        <w:t>y</w:t>
      </w:r>
    </w:p>
    <w:p>
      <w:pPr>
        <w:pStyle w:val="BodyText"/>
        <w:spacing w:before="1"/>
      </w:pPr>
    </w:p>
    <w:p>
      <w:pPr>
        <w:pStyle w:val="ListParagraph"/>
        <w:numPr>
          <w:ilvl w:val="0"/>
          <w:numId w:val="114"/>
        </w:numPr>
        <w:tabs>
          <w:tab w:pos="1195" w:val="left" w:leader="none"/>
        </w:tabs>
        <w:spacing w:line="240" w:lineRule="auto" w:before="0" w:after="0"/>
        <w:ind w:left="1195" w:right="0" w:hanging="569"/>
        <w:jc w:val="left"/>
        <w:rPr>
          <w:sz w:val="20"/>
        </w:rPr>
      </w:pPr>
      <w:r>
        <w:rPr>
          <w:sz w:val="20"/>
        </w:rPr>
        <w:t>Si</w:t>
      </w:r>
      <w:r>
        <w:rPr>
          <w:spacing w:val="-5"/>
          <w:sz w:val="20"/>
        </w:rPr>
        <w:t> </w:t>
      </w:r>
      <w:r>
        <w:rPr>
          <w:sz w:val="20"/>
        </w:rPr>
        <w:t>no</w:t>
      </w:r>
      <w:r>
        <w:rPr>
          <w:spacing w:val="-7"/>
          <w:sz w:val="20"/>
        </w:rPr>
        <w:t> </w:t>
      </w:r>
      <w:r>
        <w:rPr>
          <w:sz w:val="20"/>
        </w:rPr>
        <w:t>se</w:t>
      </w:r>
      <w:r>
        <w:rPr>
          <w:spacing w:val="-4"/>
          <w:sz w:val="20"/>
        </w:rPr>
        <w:t> </w:t>
      </w:r>
      <w:r>
        <w:rPr>
          <w:sz w:val="20"/>
        </w:rPr>
        <w:t>exhiben</w:t>
      </w:r>
      <w:r>
        <w:rPr>
          <w:spacing w:val="-4"/>
          <w:sz w:val="20"/>
        </w:rPr>
        <w:t> </w:t>
      </w:r>
      <w:r>
        <w:rPr>
          <w:sz w:val="20"/>
        </w:rPr>
        <w:t>los</w:t>
      </w:r>
      <w:r>
        <w:rPr>
          <w:spacing w:val="-4"/>
          <w:sz w:val="20"/>
        </w:rPr>
        <w:t> </w:t>
      </w:r>
      <w:r>
        <w:rPr>
          <w:sz w:val="20"/>
        </w:rPr>
        <w:t>documentos</w:t>
      </w:r>
      <w:r>
        <w:rPr>
          <w:spacing w:val="-5"/>
          <w:sz w:val="20"/>
        </w:rPr>
        <w:t> </w:t>
      </w:r>
      <w:r>
        <w:rPr>
          <w:sz w:val="20"/>
        </w:rPr>
        <w:t>a</w:t>
      </w:r>
      <w:r>
        <w:rPr>
          <w:spacing w:val="-4"/>
          <w:sz w:val="20"/>
        </w:rPr>
        <w:t> </w:t>
      </w:r>
      <w:r>
        <w:rPr>
          <w:sz w:val="20"/>
        </w:rPr>
        <w:t>que</w:t>
      </w:r>
      <w:r>
        <w:rPr>
          <w:spacing w:val="-6"/>
          <w:sz w:val="20"/>
        </w:rPr>
        <w:t> </w:t>
      </w:r>
      <w:r>
        <w:rPr>
          <w:sz w:val="20"/>
        </w:rPr>
        <w:t>se</w:t>
      </w:r>
      <w:r>
        <w:rPr>
          <w:spacing w:val="-5"/>
          <w:sz w:val="20"/>
        </w:rPr>
        <w:t> </w:t>
      </w:r>
      <w:r>
        <w:rPr>
          <w:sz w:val="20"/>
        </w:rPr>
        <w:t>refiere</w:t>
      </w:r>
      <w:r>
        <w:rPr>
          <w:spacing w:val="-4"/>
          <w:sz w:val="20"/>
        </w:rPr>
        <w:t> </w:t>
      </w:r>
      <w:r>
        <w:rPr>
          <w:sz w:val="20"/>
        </w:rPr>
        <w:t>el</w:t>
      </w:r>
      <w:r>
        <w:rPr>
          <w:spacing w:val="-1"/>
          <w:sz w:val="20"/>
        </w:rPr>
        <w:t> </w:t>
      </w:r>
      <w:r>
        <w:rPr>
          <w:sz w:val="20"/>
        </w:rPr>
        <w:t>artículo</w:t>
      </w:r>
      <w:r>
        <w:rPr>
          <w:spacing w:val="-3"/>
          <w:sz w:val="20"/>
        </w:rPr>
        <w:t> </w:t>
      </w:r>
      <w:r>
        <w:rPr>
          <w:spacing w:val="-4"/>
          <w:sz w:val="20"/>
        </w:rPr>
        <w:t>365.</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rPr>
      </w:pPr>
    </w:p>
    <w:p>
      <w:pPr>
        <w:pStyle w:val="BodyText"/>
        <w:ind w:left="338" w:right="347" w:firstLine="288"/>
        <w:jc w:val="both"/>
      </w:pPr>
      <w:r>
        <w:rPr/>
        <w:t>Cuando el solicitante no cumpla con alguno de los requisitos anteriores, a fin de salvaguardar el derecho de asociación, la Autoridad Registral lo prevendrá dentro de los cinco días siguientes para que subsane su solicitud, precisando los términos en que deberá hacerlo.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57" w:firstLine="288"/>
      </w:pPr>
      <w:r>
        <w:rPr/>
        <w:t>Satisfechos los requisitos que se establecen para el registro de los sindicatos, la Autoridad Registral no podrá negarlo.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BodyText"/>
        <w:ind w:left="338" w:right="339" w:firstLine="288"/>
        <w:jc w:val="both"/>
      </w:pPr>
      <w:r>
        <w:rPr/>
        <w:t>Si la Autoridad Registral, no resuelve dentro de un término de veinte días, los solicitantes podrán requerirla</w:t>
      </w:r>
      <w:r>
        <w:rPr>
          <w:spacing w:val="-1"/>
        </w:rPr>
        <w:t> </w:t>
      </w:r>
      <w:r>
        <w:rPr/>
        <w:t>para</w:t>
      </w:r>
      <w:r>
        <w:rPr>
          <w:spacing w:val="-1"/>
        </w:rPr>
        <w:t> </w:t>
      </w:r>
      <w:r>
        <w:rPr/>
        <w:t>que</w:t>
      </w:r>
      <w:r>
        <w:rPr>
          <w:spacing w:val="-1"/>
        </w:rPr>
        <w:t> </w:t>
      </w:r>
      <w:r>
        <w:rPr/>
        <w:t>dicte</w:t>
      </w:r>
      <w:r>
        <w:rPr>
          <w:spacing w:val="-1"/>
        </w:rPr>
        <w:t> </w:t>
      </w:r>
      <w:r>
        <w:rPr/>
        <w:t>resolución, y</w:t>
      </w:r>
      <w:r>
        <w:rPr>
          <w:spacing w:val="-4"/>
        </w:rPr>
        <w:t> </w:t>
      </w:r>
      <w:r>
        <w:rPr/>
        <w:t>si no</w:t>
      </w:r>
      <w:r>
        <w:rPr>
          <w:spacing w:val="-2"/>
        </w:rPr>
        <w:t> </w:t>
      </w:r>
      <w:r>
        <w:rPr/>
        <w:t>lo</w:t>
      </w:r>
      <w:r>
        <w:rPr>
          <w:spacing w:val="-1"/>
        </w:rPr>
        <w:t> </w:t>
      </w:r>
      <w:r>
        <w:rPr/>
        <w:t>hace dentro</w:t>
      </w:r>
      <w:r>
        <w:rPr>
          <w:spacing w:val="-1"/>
        </w:rPr>
        <w:t> </w:t>
      </w:r>
      <w:r>
        <w:rPr/>
        <w:t>de los tres días siguientes a</w:t>
      </w:r>
      <w:r>
        <w:rPr>
          <w:spacing w:val="-1"/>
        </w:rPr>
        <w:t> </w:t>
      </w:r>
      <w:r>
        <w:rPr/>
        <w:t>la</w:t>
      </w:r>
      <w:r>
        <w:rPr>
          <w:spacing w:val="-1"/>
        </w:rPr>
        <w:t> </w:t>
      </w:r>
      <w:r>
        <w:rPr/>
        <w:t>presentación</w:t>
      </w:r>
      <w:r>
        <w:rPr>
          <w:spacing w:val="-2"/>
        </w:rPr>
        <w:t> </w:t>
      </w:r>
      <w:r>
        <w:rPr/>
        <w:t>de la solicitud, se tendrá por hecho el registro para todos los efectos legales, quedando obligada la</w:t>
      </w:r>
      <w:r>
        <w:rPr>
          <w:spacing w:val="40"/>
        </w:rPr>
        <w:t> </w:t>
      </w:r>
      <w:r>
        <w:rPr/>
        <w:t>autoridad, dentro de los tres días siguientes, a expedir la constancia respectiva.</w:t>
      </w:r>
    </w:p>
    <w:p>
      <w:pPr>
        <w:spacing w:line="181"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0"/>
        <w:ind w:left="626" w:right="0" w:firstLine="0"/>
        <w:jc w:val="left"/>
        <w:rPr>
          <w:sz w:val="20"/>
        </w:rPr>
      </w:pPr>
      <w:bookmarkStart w:name="Artículo_367" w:id="488"/>
      <w:bookmarkEnd w:id="488"/>
      <w:r>
        <w:rPr/>
      </w:r>
      <w:r>
        <w:rPr>
          <w:rFonts w:ascii="Arial" w:hAnsi="Arial"/>
          <w:b/>
          <w:sz w:val="20"/>
        </w:rPr>
        <w:t>Artículo</w:t>
      </w:r>
      <w:r>
        <w:rPr>
          <w:rFonts w:ascii="Arial" w:hAnsi="Arial"/>
          <w:b/>
          <w:spacing w:val="-6"/>
          <w:sz w:val="20"/>
        </w:rPr>
        <w:t> </w:t>
      </w:r>
      <w:r>
        <w:rPr>
          <w:rFonts w:ascii="Arial" w:hAnsi="Arial"/>
          <w:b/>
          <w:sz w:val="20"/>
        </w:rPr>
        <w:t>367.-</w:t>
      </w:r>
      <w:r>
        <w:rPr>
          <w:rFonts w:ascii="Arial" w:hAnsi="Arial"/>
          <w:b/>
          <w:spacing w:val="-4"/>
          <w:sz w:val="20"/>
        </w:rPr>
        <w:t> </w:t>
      </w: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line="242" w:lineRule="auto" w:before="229"/>
        <w:ind w:left="338" w:firstLine="288"/>
      </w:pPr>
      <w:bookmarkStart w:name="Artículo_368" w:id="489"/>
      <w:bookmarkEnd w:id="489"/>
      <w:r>
        <w:rPr/>
      </w:r>
      <w:r>
        <w:rPr>
          <w:rFonts w:ascii="Arial" w:hAnsi="Arial"/>
          <w:b/>
        </w:rPr>
        <w:t>Artículo</w:t>
      </w:r>
      <w:r>
        <w:rPr>
          <w:rFonts w:ascii="Arial" w:hAnsi="Arial"/>
          <w:b/>
          <w:spacing w:val="70"/>
        </w:rPr>
        <w:t> </w:t>
      </w:r>
      <w:r>
        <w:rPr>
          <w:rFonts w:ascii="Arial" w:hAnsi="Arial"/>
          <w:b/>
        </w:rPr>
        <w:t>368.-</w:t>
      </w:r>
      <w:r>
        <w:rPr>
          <w:rFonts w:ascii="Arial" w:hAnsi="Arial"/>
          <w:b/>
          <w:spacing w:val="71"/>
        </w:rPr>
        <w:t> </w:t>
      </w:r>
      <w:r>
        <w:rPr/>
        <w:t>El</w:t>
      </w:r>
      <w:r>
        <w:rPr>
          <w:spacing w:val="69"/>
        </w:rPr>
        <w:t> </w:t>
      </w:r>
      <w:r>
        <w:rPr/>
        <w:t>registro</w:t>
      </w:r>
      <w:r>
        <w:rPr>
          <w:spacing w:val="72"/>
        </w:rPr>
        <w:t> </w:t>
      </w:r>
      <w:r>
        <w:rPr/>
        <w:t>del</w:t>
      </w:r>
      <w:r>
        <w:rPr>
          <w:spacing w:val="69"/>
        </w:rPr>
        <w:t> </w:t>
      </w:r>
      <w:r>
        <w:rPr/>
        <w:t>sindicato</w:t>
      </w:r>
      <w:r>
        <w:rPr>
          <w:spacing w:val="72"/>
        </w:rPr>
        <w:t> </w:t>
      </w:r>
      <w:r>
        <w:rPr/>
        <w:t>y</w:t>
      </w:r>
      <w:r>
        <w:rPr>
          <w:spacing w:val="66"/>
        </w:rPr>
        <w:t> </w:t>
      </w:r>
      <w:r>
        <w:rPr/>
        <w:t>de</w:t>
      </w:r>
      <w:r>
        <w:rPr>
          <w:spacing w:val="69"/>
        </w:rPr>
        <w:t> </w:t>
      </w:r>
      <w:r>
        <w:rPr/>
        <w:t>su</w:t>
      </w:r>
      <w:r>
        <w:rPr>
          <w:spacing w:val="72"/>
        </w:rPr>
        <w:t> </w:t>
      </w:r>
      <w:r>
        <w:rPr/>
        <w:t>directiva,</w:t>
      </w:r>
      <w:r>
        <w:rPr>
          <w:spacing w:val="72"/>
        </w:rPr>
        <w:t> </w:t>
      </w:r>
      <w:r>
        <w:rPr/>
        <w:t>otorgado</w:t>
      </w:r>
      <w:r>
        <w:rPr>
          <w:spacing w:val="69"/>
        </w:rPr>
        <w:t> </w:t>
      </w:r>
      <w:r>
        <w:rPr/>
        <w:t>por</w:t>
      </w:r>
      <w:r>
        <w:rPr>
          <w:spacing w:val="70"/>
        </w:rPr>
        <w:t> </w:t>
      </w:r>
      <w:r>
        <w:rPr/>
        <w:t>el</w:t>
      </w:r>
      <w:r>
        <w:rPr>
          <w:spacing w:val="71"/>
        </w:rPr>
        <w:t> </w:t>
      </w:r>
      <w:r>
        <w:rPr/>
        <w:t>Centro</w:t>
      </w:r>
      <w:r>
        <w:rPr>
          <w:spacing w:val="69"/>
        </w:rPr>
        <w:t> </w:t>
      </w:r>
      <w:r>
        <w:rPr/>
        <w:t>Federal</w:t>
      </w:r>
      <w:r>
        <w:rPr>
          <w:spacing w:val="69"/>
        </w:rPr>
        <w:t> </w:t>
      </w:r>
      <w:r>
        <w:rPr/>
        <w:t>de Conciliación y Registro Laboral, produce efectos ante todas las autoridades.</w:t>
      </w:r>
    </w:p>
    <w:p>
      <w:pPr>
        <w:spacing w:line="180" w:lineRule="exact" w:before="0"/>
        <w:ind w:left="5067"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05-06-1970.</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338" w:firstLine="288"/>
      </w:pPr>
      <w:bookmarkStart w:name="Artículo_369" w:id="490"/>
      <w:bookmarkEnd w:id="490"/>
      <w:r>
        <w:rPr/>
      </w:r>
      <w:r>
        <w:rPr>
          <w:rFonts w:ascii="Arial" w:hAnsi="Arial"/>
          <w:b/>
        </w:rPr>
        <w:t>Artículo</w:t>
      </w:r>
      <w:r>
        <w:rPr>
          <w:rFonts w:ascii="Arial" w:hAnsi="Arial"/>
          <w:b/>
          <w:spacing w:val="68"/>
        </w:rPr>
        <w:t> </w:t>
      </w:r>
      <w:r>
        <w:rPr>
          <w:rFonts w:ascii="Arial" w:hAnsi="Arial"/>
          <w:b/>
        </w:rPr>
        <w:t>369.-</w:t>
      </w:r>
      <w:r>
        <w:rPr>
          <w:rFonts w:ascii="Arial" w:hAnsi="Arial"/>
          <w:b/>
          <w:spacing w:val="68"/>
        </w:rPr>
        <w:t> </w:t>
      </w:r>
      <w:r>
        <w:rPr/>
        <w:t>El</w:t>
      </w:r>
      <w:r>
        <w:rPr>
          <w:spacing w:val="40"/>
        </w:rPr>
        <w:t> </w:t>
      </w:r>
      <w:r>
        <w:rPr/>
        <w:t>registro</w:t>
      </w:r>
      <w:r>
        <w:rPr>
          <w:spacing w:val="67"/>
        </w:rPr>
        <w:t> </w:t>
      </w:r>
      <w:r>
        <w:rPr/>
        <w:t>de</w:t>
      </w:r>
      <w:r>
        <w:rPr>
          <w:spacing w:val="69"/>
        </w:rPr>
        <w:t> </w:t>
      </w:r>
      <w:r>
        <w:rPr/>
        <w:t>los</w:t>
      </w:r>
      <w:r>
        <w:rPr>
          <w:spacing w:val="40"/>
        </w:rPr>
        <w:t> </w:t>
      </w:r>
      <w:r>
        <w:rPr/>
        <w:t>sindicatos,</w:t>
      </w:r>
      <w:r>
        <w:rPr>
          <w:spacing w:val="67"/>
        </w:rPr>
        <w:t> </w:t>
      </w:r>
      <w:r>
        <w:rPr/>
        <w:t>federaciones</w:t>
      </w:r>
      <w:r>
        <w:rPr>
          <w:spacing w:val="70"/>
        </w:rPr>
        <w:t> </w:t>
      </w:r>
      <w:r>
        <w:rPr/>
        <w:t>y</w:t>
      </w:r>
      <w:r>
        <w:rPr>
          <w:spacing w:val="40"/>
        </w:rPr>
        <w:t> </w:t>
      </w:r>
      <w:r>
        <w:rPr/>
        <w:t>confederaciones,</w:t>
      </w:r>
      <w:r>
        <w:rPr>
          <w:spacing w:val="40"/>
        </w:rPr>
        <w:t> </w:t>
      </w:r>
      <w:r>
        <w:rPr/>
        <w:t>podrá</w:t>
      </w:r>
      <w:r>
        <w:rPr>
          <w:spacing w:val="40"/>
        </w:rPr>
        <w:t> </w:t>
      </w:r>
      <w:r>
        <w:rPr/>
        <w:t>cancelarse </w:t>
      </w:r>
      <w:r>
        <w:rPr>
          <w:spacing w:val="-2"/>
        </w:rPr>
        <w:t>únicamente:</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115"/>
        </w:numPr>
        <w:tabs>
          <w:tab w:pos="1195" w:val="left" w:leader="none"/>
        </w:tabs>
        <w:spacing w:line="240" w:lineRule="auto" w:before="0" w:after="0"/>
        <w:ind w:left="1195" w:right="0" w:hanging="569"/>
        <w:jc w:val="left"/>
        <w:rPr>
          <w:sz w:val="20"/>
        </w:rPr>
      </w:pPr>
      <w:r>
        <w:rPr>
          <w:sz w:val="20"/>
        </w:rPr>
        <w:t>En</w:t>
      </w:r>
      <w:r>
        <w:rPr>
          <w:spacing w:val="-7"/>
          <w:sz w:val="20"/>
        </w:rPr>
        <w:t> </w:t>
      </w:r>
      <w:r>
        <w:rPr>
          <w:sz w:val="20"/>
        </w:rPr>
        <w:t>caso</w:t>
      </w:r>
      <w:r>
        <w:rPr>
          <w:spacing w:val="-5"/>
          <w:sz w:val="20"/>
        </w:rPr>
        <w:t> </w:t>
      </w:r>
      <w:r>
        <w:rPr>
          <w:sz w:val="20"/>
        </w:rPr>
        <w:t>de</w:t>
      </w:r>
      <w:r>
        <w:rPr>
          <w:spacing w:val="-7"/>
          <w:sz w:val="20"/>
        </w:rPr>
        <w:t> </w:t>
      </w:r>
      <w:r>
        <w:rPr>
          <w:sz w:val="20"/>
        </w:rPr>
        <w:t>disolución;</w:t>
      </w:r>
      <w:r>
        <w:rPr>
          <w:spacing w:val="-3"/>
          <w:sz w:val="20"/>
        </w:rPr>
        <w:t> </w:t>
      </w:r>
      <w:r>
        <w:rPr>
          <w:spacing w:val="-10"/>
          <w:sz w:val="20"/>
        </w:rPr>
        <w:t>y</w:t>
      </w:r>
    </w:p>
    <w:p>
      <w:pPr>
        <w:pStyle w:val="ListParagraph"/>
        <w:numPr>
          <w:ilvl w:val="0"/>
          <w:numId w:val="115"/>
        </w:numPr>
        <w:tabs>
          <w:tab w:pos="1195" w:val="left" w:leader="none"/>
        </w:tabs>
        <w:spacing w:line="240" w:lineRule="auto" w:before="229" w:after="0"/>
        <w:ind w:left="1195" w:right="0" w:hanging="569"/>
        <w:jc w:val="left"/>
        <w:rPr>
          <w:sz w:val="20"/>
        </w:rPr>
      </w:pPr>
      <w:r>
        <w:rPr>
          <w:sz w:val="20"/>
        </w:rPr>
        <w:t>Por</w:t>
      </w:r>
      <w:r>
        <w:rPr>
          <w:spacing w:val="-7"/>
          <w:sz w:val="20"/>
        </w:rPr>
        <w:t> </w:t>
      </w:r>
      <w:r>
        <w:rPr>
          <w:sz w:val="20"/>
        </w:rPr>
        <w:t>dejar</w:t>
      </w:r>
      <w:r>
        <w:rPr>
          <w:spacing w:val="-6"/>
          <w:sz w:val="20"/>
        </w:rPr>
        <w:t> </w:t>
      </w:r>
      <w:r>
        <w:rPr>
          <w:sz w:val="20"/>
        </w:rPr>
        <w:t>de</w:t>
      </w:r>
      <w:r>
        <w:rPr>
          <w:spacing w:val="-6"/>
          <w:sz w:val="20"/>
        </w:rPr>
        <w:t> </w:t>
      </w:r>
      <w:r>
        <w:rPr>
          <w:sz w:val="20"/>
        </w:rPr>
        <w:t>tener</w:t>
      </w:r>
      <w:r>
        <w:rPr>
          <w:spacing w:val="-3"/>
          <w:sz w:val="20"/>
        </w:rPr>
        <w:t> </w:t>
      </w:r>
      <w:r>
        <w:rPr>
          <w:sz w:val="20"/>
        </w:rPr>
        <w:t>los</w:t>
      </w:r>
      <w:r>
        <w:rPr>
          <w:spacing w:val="-6"/>
          <w:sz w:val="20"/>
        </w:rPr>
        <w:t> </w:t>
      </w:r>
      <w:r>
        <w:rPr>
          <w:sz w:val="20"/>
        </w:rPr>
        <w:t>requisitos</w:t>
      </w:r>
      <w:r>
        <w:rPr>
          <w:spacing w:val="-5"/>
          <w:sz w:val="20"/>
        </w:rPr>
        <w:t> </w:t>
      </w:r>
      <w:r>
        <w:rPr>
          <w:spacing w:val="-2"/>
          <w:sz w:val="20"/>
        </w:rPr>
        <w:t>legales.</w:t>
      </w:r>
    </w:p>
    <w:p>
      <w:pPr>
        <w:pStyle w:val="BodyText"/>
      </w:pPr>
    </w:p>
    <w:p>
      <w:pPr>
        <w:pStyle w:val="ListParagraph"/>
        <w:numPr>
          <w:ilvl w:val="0"/>
          <w:numId w:val="115"/>
        </w:numPr>
        <w:tabs>
          <w:tab w:pos="1191" w:val="left" w:leader="none"/>
          <w:tab w:pos="1195" w:val="left" w:leader="none"/>
        </w:tabs>
        <w:spacing w:line="240" w:lineRule="auto" w:before="0" w:after="0"/>
        <w:ind w:left="1195" w:right="338" w:hanging="569"/>
        <w:jc w:val="both"/>
        <w:rPr>
          <w:sz w:val="20"/>
        </w:rPr>
      </w:pPr>
      <w:r>
        <w:rPr>
          <w:sz w:val="20"/>
        </w:rPr>
        <w:t>Se considerará que un sindicato incumple con su objeto o finalidad cuando sus dirigentes, apoderados o representantes legales incurran en actos de extorsión en contra de los patrones, exigiéndoles un pago en dinero o en especie para desistir de un emplazamiento a huelga o abstenerse de iniciar o continuar un reclamo de titularidad de contrato colectivo de trabajo. En consecuencia, esta</w:t>
      </w:r>
      <w:r>
        <w:rPr>
          <w:spacing w:val="-2"/>
          <w:sz w:val="20"/>
        </w:rPr>
        <w:t> </w:t>
      </w:r>
      <w:r>
        <w:rPr>
          <w:sz w:val="20"/>
        </w:rPr>
        <w:t>conducta</w:t>
      </w:r>
      <w:r>
        <w:rPr>
          <w:spacing w:val="-2"/>
          <w:sz w:val="20"/>
        </w:rPr>
        <w:t> </w:t>
      </w:r>
      <w:r>
        <w:rPr>
          <w:sz w:val="20"/>
        </w:rPr>
        <w:t>comprobada podrá</w:t>
      </w:r>
      <w:r>
        <w:rPr>
          <w:spacing w:val="-2"/>
          <w:sz w:val="20"/>
        </w:rPr>
        <w:t> </w:t>
      </w:r>
      <w:r>
        <w:rPr>
          <w:sz w:val="20"/>
        </w:rPr>
        <w:t>servir de base para que</w:t>
      </w:r>
      <w:r>
        <w:rPr>
          <w:spacing w:val="-3"/>
          <w:sz w:val="20"/>
        </w:rPr>
        <w:t> </w:t>
      </w:r>
      <w:r>
        <w:rPr>
          <w:sz w:val="20"/>
        </w:rPr>
        <w:t>se demande por la vía jurisdiccional la cancelación del registro sindical, independientemente de las responsabilidades que puedan derivarse por la comisión de dichas conductas delictivas.</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BodyText"/>
        <w:spacing w:line="229" w:lineRule="exact" w:before="1"/>
        <w:ind w:left="626"/>
      </w:pPr>
      <w:r>
        <w:rPr/>
        <w:t>Los</w:t>
      </w:r>
      <w:r>
        <w:rPr>
          <w:spacing w:val="-7"/>
        </w:rPr>
        <w:t> </w:t>
      </w:r>
      <w:r>
        <w:rPr/>
        <w:t>Tribunales</w:t>
      </w:r>
      <w:r>
        <w:rPr>
          <w:spacing w:val="-6"/>
        </w:rPr>
        <w:t> </w:t>
      </w:r>
      <w:r>
        <w:rPr/>
        <w:t>resolverán</w:t>
      </w:r>
      <w:r>
        <w:rPr>
          <w:spacing w:val="-6"/>
        </w:rPr>
        <w:t> </w:t>
      </w:r>
      <w:r>
        <w:rPr/>
        <w:t>acerca</w:t>
      </w:r>
      <w:r>
        <w:rPr>
          <w:spacing w:val="-8"/>
        </w:rPr>
        <w:t> </w:t>
      </w:r>
      <w:r>
        <w:rPr/>
        <w:t>de</w:t>
      </w:r>
      <w:r>
        <w:rPr>
          <w:spacing w:val="-5"/>
        </w:rPr>
        <w:t> </w:t>
      </w:r>
      <w:r>
        <w:rPr/>
        <w:t>la</w:t>
      </w:r>
      <w:r>
        <w:rPr>
          <w:spacing w:val="-8"/>
        </w:rPr>
        <w:t> </w:t>
      </w:r>
      <w:r>
        <w:rPr/>
        <w:t>cancelación</w:t>
      </w:r>
      <w:r>
        <w:rPr>
          <w:spacing w:val="-6"/>
        </w:rPr>
        <w:t> </w:t>
      </w:r>
      <w:r>
        <w:rPr/>
        <w:t>de</w:t>
      </w:r>
      <w:r>
        <w:rPr>
          <w:spacing w:val="-8"/>
        </w:rPr>
        <w:t> </w:t>
      </w:r>
      <w:r>
        <w:rPr/>
        <w:t>su</w:t>
      </w:r>
      <w:r>
        <w:rPr>
          <w:spacing w:val="-7"/>
        </w:rPr>
        <w:t> </w:t>
      </w:r>
      <w:r>
        <w:rPr>
          <w:spacing w:val="-2"/>
        </w:rPr>
        <w:t>registro.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BodyText"/>
        <w:ind w:left="338" w:right="357" w:firstLine="288"/>
      </w:pPr>
      <w:bookmarkStart w:name="Artículo_370" w:id="491"/>
      <w:bookmarkEnd w:id="491"/>
      <w:r>
        <w:rPr/>
      </w:r>
      <w:r>
        <w:rPr>
          <w:rFonts w:ascii="Arial" w:hAnsi="Arial"/>
          <w:b/>
        </w:rPr>
        <w:t>Artículo 370.- </w:t>
      </w:r>
      <w:r>
        <w:rPr/>
        <w:t>Los sindicatos no están sujetos a disolución, suspensión o cancelación de su registro, por vía administrativa.</w:t>
      </w:r>
    </w:p>
    <w:p>
      <w:pPr>
        <w:spacing w:before="229"/>
        <w:ind w:left="626" w:right="0" w:firstLine="0"/>
        <w:jc w:val="left"/>
        <w:rPr>
          <w:sz w:val="20"/>
        </w:rPr>
      </w:pPr>
      <w:bookmarkStart w:name="Artículo_371" w:id="492"/>
      <w:bookmarkEnd w:id="492"/>
      <w:r>
        <w:rPr/>
      </w:r>
      <w:r>
        <w:rPr>
          <w:rFonts w:ascii="Arial" w:hAnsi="Arial"/>
          <w:b/>
          <w:sz w:val="20"/>
        </w:rPr>
        <w:t>Artículo</w:t>
      </w:r>
      <w:r>
        <w:rPr>
          <w:rFonts w:ascii="Arial" w:hAnsi="Arial"/>
          <w:b/>
          <w:spacing w:val="-7"/>
          <w:sz w:val="20"/>
        </w:rPr>
        <w:t> </w:t>
      </w:r>
      <w:r>
        <w:rPr>
          <w:rFonts w:ascii="Arial" w:hAnsi="Arial"/>
          <w:b/>
          <w:sz w:val="20"/>
        </w:rPr>
        <w:t>371.</w:t>
      </w:r>
      <w:r>
        <w:rPr>
          <w:rFonts w:ascii="Arial" w:hAnsi="Arial"/>
          <w:b/>
          <w:spacing w:val="-5"/>
          <w:sz w:val="20"/>
        </w:rPr>
        <w:t> </w:t>
      </w:r>
      <w:r>
        <w:rPr>
          <w:sz w:val="20"/>
        </w:rPr>
        <w:t>Los</w:t>
      </w:r>
      <w:r>
        <w:rPr>
          <w:spacing w:val="-6"/>
          <w:sz w:val="20"/>
        </w:rPr>
        <w:t> </w:t>
      </w:r>
      <w:r>
        <w:rPr>
          <w:sz w:val="20"/>
        </w:rPr>
        <w:t>estatutos</w:t>
      </w:r>
      <w:r>
        <w:rPr>
          <w:spacing w:val="-5"/>
          <w:sz w:val="20"/>
        </w:rPr>
        <w:t> </w:t>
      </w:r>
      <w:r>
        <w:rPr>
          <w:sz w:val="20"/>
        </w:rPr>
        <w:t>de</w:t>
      </w:r>
      <w:r>
        <w:rPr>
          <w:spacing w:val="-7"/>
          <w:sz w:val="20"/>
        </w:rPr>
        <w:t> </w:t>
      </w:r>
      <w:r>
        <w:rPr>
          <w:sz w:val="20"/>
        </w:rPr>
        <w:t>los</w:t>
      </w:r>
      <w:r>
        <w:rPr>
          <w:spacing w:val="-6"/>
          <w:sz w:val="20"/>
        </w:rPr>
        <w:t> </w:t>
      </w:r>
      <w:r>
        <w:rPr>
          <w:sz w:val="20"/>
        </w:rPr>
        <w:t>sindicatos</w:t>
      </w:r>
      <w:r>
        <w:rPr>
          <w:spacing w:val="-7"/>
          <w:sz w:val="20"/>
        </w:rPr>
        <w:t> </w:t>
      </w:r>
      <w:r>
        <w:rPr>
          <w:spacing w:val="-2"/>
          <w:sz w:val="20"/>
        </w:rPr>
        <w:t>contendrán:</w:t>
      </w:r>
    </w:p>
    <w:p>
      <w:pPr>
        <w:pStyle w:val="BodyText"/>
      </w:pPr>
    </w:p>
    <w:p>
      <w:pPr>
        <w:pStyle w:val="ListParagraph"/>
        <w:numPr>
          <w:ilvl w:val="0"/>
          <w:numId w:val="116"/>
        </w:numPr>
        <w:tabs>
          <w:tab w:pos="1195" w:val="left" w:leader="none"/>
        </w:tabs>
        <w:spacing w:line="240" w:lineRule="auto" w:before="1" w:after="0"/>
        <w:ind w:left="1195" w:right="0" w:hanging="569"/>
        <w:jc w:val="left"/>
        <w:rPr>
          <w:sz w:val="20"/>
        </w:rPr>
      </w:pPr>
      <w:r>
        <w:rPr>
          <w:sz w:val="20"/>
        </w:rPr>
        <w:t>Denominación</w:t>
      </w:r>
      <w:r>
        <w:rPr>
          <w:spacing w:val="-7"/>
          <w:sz w:val="20"/>
        </w:rPr>
        <w:t> </w:t>
      </w:r>
      <w:r>
        <w:rPr>
          <w:sz w:val="20"/>
        </w:rPr>
        <w:t>que</w:t>
      </w:r>
      <w:r>
        <w:rPr>
          <w:spacing w:val="-6"/>
          <w:sz w:val="20"/>
        </w:rPr>
        <w:t> </w:t>
      </w:r>
      <w:r>
        <w:rPr>
          <w:sz w:val="20"/>
        </w:rPr>
        <w:t>le</w:t>
      </w:r>
      <w:r>
        <w:rPr>
          <w:spacing w:val="-7"/>
          <w:sz w:val="20"/>
        </w:rPr>
        <w:t> </w:t>
      </w:r>
      <w:r>
        <w:rPr>
          <w:sz w:val="20"/>
        </w:rPr>
        <w:t>distinga</w:t>
      </w:r>
      <w:r>
        <w:rPr>
          <w:spacing w:val="-8"/>
          <w:sz w:val="20"/>
        </w:rPr>
        <w:t> </w:t>
      </w:r>
      <w:r>
        <w:rPr>
          <w:sz w:val="20"/>
        </w:rPr>
        <w:t>de</w:t>
      </w:r>
      <w:r>
        <w:rPr>
          <w:spacing w:val="-7"/>
          <w:sz w:val="20"/>
        </w:rPr>
        <w:t> </w:t>
      </w:r>
      <w:r>
        <w:rPr>
          <w:sz w:val="20"/>
        </w:rPr>
        <w:t>los</w:t>
      </w:r>
      <w:r>
        <w:rPr>
          <w:spacing w:val="-6"/>
          <w:sz w:val="20"/>
        </w:rPr>
        <w:t> </w:t>
      </w:r>
      <w:r>
        <w:rPr>
          <w:spacing w:val="-2"/>
          <w:sz w:val="20"/>
        </w:rPr>
        <w:t>demás;</w:t>
      </w:r>
    </w:p>
    <w:p>
      <w:pPr>
        <w:pStyle w:val="ListParagraph"/>
        <w:numPr>
          <w:ilvl w:val="0"/>
          <w:numId w:val="116"/>
        </w:numPr>
        <w:tabs>
          <w:tab w:pos="1195" w:val="left" w:leader="none"/>
        </w:tabs>
        <w:spacing w:line="240" w:lineRule="auto" w:before="228" w:after="0"/>
        <w:ind w:left="1195" w:right="0" w:hanging="569"/>
        <w:jc w:val="left"/>
        <w:rPr>
          <w:sz w:val="20"/>
        </w:rPr>
      </w:pPr>
      <w:r>
        <w:rPr>
          <w:spacing w:val="-2"/>
          <w:sz w:val="20"/>
        </w:rPr>
        <w:t>Domicilio;</w:t>
      </w:r>
    </w:p>
    <w:p>
      <w:pPr>
        <w:pStyle w:val="BodyText"/>
        <w:spacing w:before="1"/>
      </w:pPr>
    </w:p>
    <w:p>
      <w:pPr>
        <w:pStyle w:val="ListParagraph"/>
        <w:numPr>
          <w:ilvl w:val="0"/>
          <w:numId w:val="116"/>
        </w:numPr>
        <w:tabs>
          <w:tab w:pos="1195" w:val="left" w:leader="none"/>
        </w:tabs>
        <w:spacing w:line="240" w:lineRule="auto" w:before="0" w:after="0"/>
        <w:ind w:left="1195" w:right="0" w:hanging="569"/>
        <w:jc w:val="left"/>
        <w:rPr>
          <w:sz w:val="20"/>
        </w:rPr>
      </w:pPr>
      <w:r>
        <w:rPr>
          <w:spacing w:val="-2"/>
          <w:sz w:val="20"/>
        </w:rPr>
        <w:t>Objeto;</w:t>
      </w:r>
    </w:p>
    <w:p>
      <w:pPr>
        <w:pStyle w:val="BodyText"/>
        <w:spacing w:before="1"/>
      </w:pPr>
    </w:p>
    <w:p>
      <w:pPr>
        <w:pStyle w:val="ListParagraph"/>
        <w:numPr>
          <w:ilvl w:val="0"/>
          <w:numId w:val="116"/>
        </w:numPr>
        <w:tabs>
          <w:tab w:pos="1195" w:val="left" w:leader="none"/>
        </w:tabs>
        <w:spacing w:line="240" w:lineRule="auto" w:before="0" w:after="0"/>
        <w:ind w:left="1195" w:right="335" w:hanging="569"/>
        <w:jc w:val="left"/>
        <w:rPr>
          <w:sz w:val="20"/>
        </w:rPr>
      </w:pPr>
      <w:r>
        <w:rPr>
          <w:sz w:val="20"/>
        </w:rPr>
        <w:t>Duración.</w:t>
      </w:r>
      <w:r>
        <w:rPr>
          <w:spacing w:val="80"/>
          <w:sz w:val="20"/>
        </w:rPr>
        <w:t> </w:t>
      </w:r>
      <w:r>
        <w:rPr>
          <w:sz w:val="20"/>
        </w:rPr>
        <w:t>Faltando</w:t>
      </w:r>
      <w:r>
        <w:rPr>
          <w:spacing w:val="80"/>
          <w:sz w:val="20"/>
        </w:rPr>
        <w:t> </w:t>
      </w:r>
      <w:r>
        <w:rPr>
          <w:sz w:val="20"/>
        </w:rPr>
        <w:t>esta</w:t>
      </w:r>
      <w:r>
        <w:rPr>
          <w:spacing w:val="80"/>
          <w:sz w:val="20"/>
        </w:rPr>
        <w:t> </w:t>
      </w:r>
      <w:r>
        <w:rPr>
          <w:sz w:val="20"/>
        </w:rPr>
        <w:t>disposición</w:t>
      </w:r>
      <w:r>
        <w:rPr>
          <w:spacing w:val="80"/>
          <w:sz w:val="20"/>
        </w:rPr>
        <w:t> </w:t>
      </w:r>
      <w:r>
        <w:rPr>
          <w:sz w:val="20"/>
        </w:rPr>
        <w:t>se</w:t>
      </w:r>
      <w:r>
        <w:rPr>
          <w:spacing w:val="80"/>
          <w:sz w:val="20"/>
        </w:rPr>
        <w:t> </w:t>
      </w:r>
      <w:r>
        <w:rPr>
          <w:sz w:val="20"/>
        </w:rPr>
        <w:t>entenderá</w:t>
      </w:r>
      <w:r>
        <w:rPr>
          <w:spacing w:val="80"/>
          <w:sz w:val="20"/>
        </w:rPr>
        <w:t> </w:t>
      </w:r>
      <w:r>
        <w:rPr>
          <w:sz w:val="20"/>
        </w:rPr>
        <w:t>constituido</w:t>
      </w:r>
      <w:r>
        <w:rPr>
          <w:spacing w:val="80"/>
          <w:sz w:val="20"/>
        </w:rPr>
        <w:t> </w:t>
      </w:r>
      <w:r>
        <w:rPr>
          <w:sz w:val="20"/>
        </w:rPr>
        <w:t>el</w:t>
      </w:r>
      <w:r>
        <w:rPr>
          <w:spacing w:val="80"/>
          <w:sz w:val="20"/>
        </w:rPr>
        <w:t> </w:t>
      </w:r>
      <w:r>
        <w:rPr>
          <w:sz w:val="20"/>
        </w:rPr>
        <w:t>sindicato</w:t>
      </w:r>
      <w:r>
        <w:rPr>
          <w:spacing w:val="80"/>
          <w:sz w:val="20"/>
        </w:rPr>
        <w:t> </w:t>
      </w:r>
      <w:r>
        <w:rPr>
          <w:sz w:val="20"/>
        </w:rPr>
        <w:t>por</w:t>
      </w:r>
      <w:r>
        <w:rPr>
          <w:spacing w:val="80"/>
          <w:sz w:val="20"/>
        </w:rPr>
        <w:t> </w:t>
      </w:r>
      <w:r>
        <w:rPr>
          <w:sz w:val="20"/>
        </w:rPr>
        <w:t>tiempo</w:t>
      </w:r>
      <w:r>
        <w:rPr>
          <w:spacing w:val="40"/>
          <w:sz w:val="20"/>
        </w:rPr>
        <w:t> </w:t>
      </w:r>
      <w:r>
        <w:rPr>
          <w:spacing w:val="-2"/>
          <w:sz w:val="20"/>
        </w:rPr>
        <w:t>indeterminado;</w:t>
      </w:r>
    </w:p>
    <w:p>
      <w:pPr>
        <w:pStyle w:val="ListParagraph"/>
        <w:numPr>
          <w:ilvl w:val="0"/>
          <w:numId w:val="116"/>
        </w:numPr>
        <w:tabs>
          <w:tab w:pos="1195" w:val="left" w:leader="none"/>
        </w:tabs>
        <w:spacing w:line="240" w:lineRule="auto" w:before="229" w:after="0"/>
        <w:ind w:left="1195" w:right="0" w:hanging="569"/>
        <w:jc w:val="left"/>
        <w:rPr>
          <w:sz w:val="20"/>
        </w:rPr>
      </w:pPr>
      <w:r>
        <w:rPr>
          <w:sz w:val="20"/>
        </w:rPr>
        <w:t>Condiciones</w:t>
      </w:r>
      <w:r>
        <w:rPr>
          <w:spacing w:val="-8"/>
          <w:sz w:val="20"/>
        </w:rPr>
        <w:t> </w:t>
      </w:r>
      <w:r>
        <w:rPr>
          <w:sz w:val="20"/>
        </w:rPr>
        <w:t>de</w:t>
      </w:r>
      <w:r>
        <w:rPr>
          <w:spacing w:val="-8"/>
          <w:sz w:val="20"/>
        </w:rPr>
        <w:t> </w:t>
      </w:r>
      <w:r>
        <w:rPr>
          <w:sz w:val="20"/>
        </w:rPr>
        <w:t>admisión</w:t>
      </w:r>
      <w:r>
        <w:rPr>
          <w:spacing w:val="-8"/>
          <w:sz w:val="20"/>
        </w:rPr>
        <w:t> </w:t>
      </w:r>
      <w:r>
        <w:rPr>
          <w:sz w:val="20"/>
        </w:rPr>
        <w:t>de</w:t>
      </w:r>
      <w:r>
        <w:rPr>
          <w:spacing w:val="-8"/>
          <w:sz w:val="20"/>
        </w:rPr>
        <w:t> </w:t>
      </w:r>
      <w:r>
        <w:rPr>
          <w:spacing w:val="-2"/>
          <w:sz w:val="20"/>
        </w:rPr>
        <w:t>miembros;</w:t>
      </w:r>
    </w:p>
    <w:p>
      <w:pPr>
        <w:pStyle w:val="BodyText"/>
        <w:spacing w:before="1"/>
      </w:pPr>
    </w:p>
    <w:p>
      <w:pPr>
        <w:pStyle w:val="ListParagraph"/>
        <w:numPr>
          <w:ilvl w:val="0"/>
          <w:numId w:val="116"/>
        </w:numPr>
        <w:tabs>
          <w:tab w:pos="1195" w:val="left" w:leader="none"/>
        </w:tabs>
        <w:spacing w:line="240" w:lineRule="auto" w:before="0" w:after="0"/>
        <w:ind w:left="1195" w:right="0" w:hanging="569"/>
        <w:jc w:val="left"/>
        <w:rPr>
          <w:sz w:val="20"/>
        </w:rPr>
      </w:pPr>
      <w:r>
        <w:rPr>
          <w:sz w:val="20"/>
        </w:rPr>
        <w:t>Obligaciones</w:t>
      </w:r>
      <w:r>
        <w:rPr>
          <w:spacing w:val="-3"/>
          <w:sz w:val="20"/>
        </w:rPr>
        <w:t> </w:t>
      </w:r>
      <w:r>
        <w:rPr>
          <w:sz w:val="20"/>
        </w:rPr>
        <w:t>y</w:t>
      </w:r>
      <w:r>
        <w:rPr>
          <w:spacing w:val="-10"/>
          <w:sz w:val="20"/>
        </w:rPr>
        <w:t> </w:t>
      </w:r>
      <w:r>
        <w:rPr>
          <w:sz w:val="20"/>
        </w:rPr>
        <w:t>derechos</w:t>
      </w:r>
      <w:r>
        <w:rPr>
          <w:spacing w:val="-7"/>
          <w:sz w:val="20"/>
        </w:rPr>
        <w:t> </w:t>
      </w:r>
      <w:r>
        <w:rPr>
          <w:sz w:val="20"/>
        </w:rPr>
        <w:t>de</w:t>
      </w:r>
      <w:r>
        <w:rPr>
          <w:spacing w:val="-8"/>
          <w:sz w:val="20"/>
        </w:rPr>
        <w:t> </w:t>
      </w:r>
      <w:r>
        <w:rPr>
          <w:sz w:val="20"/>
        </w:rPr>
        <w:t>los</w:t>
      </w:r>
      <w:r>
        <w:rPr>
          <w:spacing w:val="-5"/>
          <w:sz w:val="20"/>
        </w:rPr>
        <w:t> </w:t>
      </w:r>
      <w:r>
        <w:rPr>
          <w:spacing w:val="-2"/>
          <w:sz w:val="20"/>
        </w:rPr>
        <w:t>asociados;</w:t>
      </w:r>
    </w:p>
    <w:p>
      <w:pPr>
        <w:pStyle w:val="ListParagraph"/>
        <w:numPr>
          <w:ilvl w:val="0"/>
          <w:numId w:val="116"/>
        </w:numPr>
        <w:tabs>
          <w:tab w:pos="1195" w:val="left" w:leader="none"/>
        </w:tabs>
        <w:spacing w:line="242" w:lineRule="auto" w:before="228" w:after="0"/>
        <w:ind w:left="1195" w:right="345" w:hanging="569"/>
        <w:jc w:val="left"/>
        <w:rPr>
          <w:sz w:val="20"/>
        </w:rPr>
      </w:pPr>
      <w:r>
        <w:rPr>
          <w:sz w:val="20"/>
        </w:rPr>
        <w:t>Motivos y procedimientos de expulsión y correcciones disciplinarias. En los casos de expulsión se observarán las normas siguientes:</w:t>
      </w:r>
    </w:p>
    <w:p>
      <w:pPr>
        <w:pStyle w:val="ListParagraph"/>
        <w:spacing w:after="0" w:line="242" w:lineRule="auto"/>
        <w:jc w:val="left"/>
        <w:rPr>
          <w:sz w:val="20"/>
        </w:rPr>
        <w:sectPr>
          <w:pgSz w:w="12240" w:h="15840"/>
          <w:pgMar w:header="724" w:footer="712" w:top="1880" w:bottom="900" w:left="1080" w:right="1080"/>
        </w:sectPr>
      </w:pPr>
    </w:p>
    <w:p>
      <w:pPr>
        <w:pStyle w:val="BodyText"/>
      </w:pPr>
    </w:p>
    <w:p>
      <w:pPr>
        <w:pStyle w:val="BodyText"/>
        <w:spacing w:before="63"/>
      </w:pPr>
    </w:p>
    <w:p>
      <w:pPr>
        <w:pStyle w:val="ListParagraph"/>
        <w:numPr>
          <w:ilvl w:val="1"/>
          <w:numId w:val="116"/>
        </w:numPr>
        <w:tabs>
          <w:tab w:pos="1761" w:val="left" w:leader="none"/>
        </w:tabs>
        <w:spacing w:line="240" w:lineRule="auto" w:before="0" w:after="0"/>
        <w:ind w:left="1761" w:right="0" w:hanging="566"/>
        <w:jc w:val="left"/>
        <w:rPr>
          <w:sz w:val="20"/>
        </w:rPr>
      </w:pPr>
      <w:r>
        <w:rPr>
          <w:sz w:val="20"/>
        </w:rPr>
        <w:t>La</w:t>
      </w:r>
      <w:r>
        <w:rPr>
          <w:spacing w:val="-8"/>
          <w:sz w:val="20"/>
        </w:rPr>
        <w:t> </w:t>
      </w:r>
      <w:r>
        <w:rPr>
          <w:sz w:val="20"/>
        </w:rPr>
        <w:t>asamblea</w:t>
      </w:r>
      <w:r>
        <w:rPr>
          <w:spacing w:val="-5"/>
          <w:sz w:val="20"/>
        </w:rPr>
        <w:t> </w:t>
      </w:r>
      <w:r>
        <w:rPr>
          <w:sz w:val="20"/>
        </w:rPr>
        <w:t>de</w:t>
      </w:r>
      <w:r>
        <w:rPr>
          <w:spacing w:val="-7"/>
          <w:sz w:val="20"/>
        </w:rPr>
        <w:t> </w:t>
      </w:r>
      <w:r>
        <w:rPr>
          <w:sz w:val="20"/>
        </w:rPr>
        <w:t>trabajadores</w:t>
      </w:r>
      <w:r>
        <w:rPr>
          <w:spacing w:val="-4"/>
          <w:sz w:val="20"/>
        </w:rPr>
        <w:t> </w:t>
      </w:r>
      <w:r>
        <w:rPr>
          <w:sz w:val="20"/>
        </w:rPr>
        <w:t>se</w:t>
      </w:r>
      <w:r>
        <w:rPr>
          <w:spacing w:val="-7"/>
          <w:sz w:val="20"/>
        </w:rPr>
        <w:t> </w:t>
      </w:r>
      <w:r>
        <w:rPr>
          <w:sz w:val="20"/>
        </w:rPr>
        <w:t>reunirá</w:t>
      </w:r>
      <w:r>
        <w:rPr>
          <w:spacing w:val="-6"/>
          <w:sz w:val="20"/>
        </w:rPr>
        <w:t> </w:t>
      </w:r>
      <w:r>
        <w:rPr>
          <w:sz w:val="20"/>
        </w:rPr>
        <w:t>para</w:t>
      </w:r>
      <w:r>
        <w:rPr>
          <w:spacing w:val="-6"/>
          <w:sz w:val="20"/>
        </w:rPr>
        <w:t> </w:t>
      </w:r>
      <w:r>
        <w:rPr>
          <w:sz w:val="20"/>
        </w:rPr>
        <w:t>el</w:t>
      </w:r>
      <w:r>
        <w:rPr>
          <w:spacing w:val="-7"/>
          <w:sz w:val="20"/>
        </w:rPr>
        <w:t> </w:t>
      </w:r>
      <w:r>
        <w:rPr>
          <w:sz w:val="20"/>
        </w:rPr>
        <w:t>solo</w:t>
      </w:r>
      <w:r>
        <w:rPr>
          <w:spacing w:val="-6"/>
          <w:sz w:val="20"/>
        </w:rPr>
        <w:t> </w:t>
      </w:r>
      <w:r>
        <w:rPr>
          <w:sz w:val="20"/>
        </w:rPr>
        <w:t>efecto</w:t>
      </w:r>
      <w:r>
        <w:rPr>
          <w:spacing w:val="-8"/>
          <w:sz w:val="20"/>
        </w:rPr>
        <w:t> </w:t>
      </w:r>
      <w:r>
        <w:rPr>
          <w:sz w:val="20"/>
        </w:rPr>
        <w:t>de</w:t>
      </w:r>
      <w:r>
        <w:rPr>
          <w:spacing w:val="-7"/>
          <w:sz w:val="20"/>
        </w:rPr>
        <w:t> </w:t>
      </w:r>
      <w:r>
        <w:rPr>
          <w:sz w:val="20"/>
        </w:rPr>
        <w:t>conocer</w:t>
      </w:r>
      <w:r>
        <w:rPr>
          <w:spacing w:val="-3"/>
          <w:sz w:val="20"/>
        </w:rPr>
        <w:t> </w:t>
      </w:r>
      <w:r>
        <w:rPr>
          <w:sz w:val="20"/>
        </w:rPr>
        <w:t>de</w:t>
      </w:r>
      <w:r>
        <w:rPr>
          <w:spacing w:val="-5"/>
          <w:sz w:val="20"/>
        </w:rPr>
        <w:t> </w:t>
      </w:r>
      <w:r>
        <w:rPr>
          <w:sz w:val="20"/>
        </w:rPr>
        <w:t>la</w:t>
      </w:r>
      <w:r>
        <w:rPr>
          <w:spacing w:val="-5"/>
          <w:sz w:val="20"/>
        </w:rPr>
        <w:t> </w:t>
      </w:r>
      <w:r>
        <w:rPr>
          <w:spacing w:val="-2"/>
          <w:sz w:val="20"/>
        </w:rPr>
        <w:t>expulsión.</w:t>
      </w:r>
    </w:p>
    <w:p>
      <w:pPr>
        <w:pStyle w:val="BodyText"/>
        <w:spacing w:before="1"/>
      </w:pPr>
    </w:p>
    <w:p>
      <w:pPr>
        <w:pStyle w:val="ListParagraph"/>
        <w:numPr>
          <w:ilvl w:val="1"/>
          <w:numId w:val="116"/>
        </w:numPr>
        <w:tabs>
          <w:tab w:pos="1759" w:val="left" w:leader="none"/>
          <w:tab w:pos="1762" w:val="left" w:leader="none"/>
        </w:tabs>
        <w:spacing w:line="240" w:lineRule="auto" w:before="0" w:after="0"/>
        <w:ind w:left="1762" w:right="338" w:hanging="567"/>
        <w:jc w:val="both"/>
        <w:rPr>
          <w:sz w:val="20"/>
        </w:rPr>
      </w:pPr>
      <w:r>
        <w:rPr>
          <w:sz w:val="20"/>
        </w:rPr>
        <w:t>Cuando</w:t>
      </w:r>
      <w:r>
        <w:rPr>
          <w:spacing w:val="-2"/>
          <w:sz w:val="20"/>
        </w:rPr>
        <w:t> </w:t>
      </w:r>
      <w:r>
        <w:rPr>
          <w:sz w:val="20"/>
        </w:rPr>
        <w:t>se trate de</w:t>
      </w:r>
      <w:r>
        <w:rPr>
          <w:spacing w:val="-2"/>
          <w:sz w:val="20"/>
        </w:rPr>
        <w:t> </w:t>
      </w:r>
      <w:r>
        <w:rPr>
          <w:sz w:val="20"/>
        </w:rPr>
        <w:t>sindicatos</w:t>
      </w:r>
      <w:r>
        <w:rPr>
          <w:spacing w:val="-1"/>
          <w:sz w:val="20"/>
        </w:rPr>
        <w:t> </w:t>
      </w:r>
      <w:r>
        <w:rPr>
          <w:sz w:val="20"/>
        </w:rPr>
        <w:t>integrados</w:t>
      </w:r>
      <w:r>
        <w:rPr>
          <w:spacing w:val="-1"/>
          <w:sz w:val="20"/>
        </w:rPr>
        <w:t> </w:t>
      </w:r>
      <w:r>
        <w:rPr>
          <w:sz w:val="20"/>
        </w:rPr>
        <w:t>por</w:t>
      </w:r>
      <w:r>
        <w:rPr>
          <w:spacing w:val="-1"/>
          <w:sz w:val="20"/>
        </w:rPr>
        <w:t> </w:t>
      </w:r>
      <w:r>
        <w:rPr>
          <w:sz w:val="20"/>
        </w:rPr>
        <w:t>secciones,</w:t>
      </w:r>
      <w:r>
        <w:rPr>
          <w:spacing w:val="-2"/>
          <w:sz w:val="20"/>
        </w:rPr>
        <w:t> </w:t>
      </w:r>
      <w:r>
        <w:rPr>
          <w:sz w:val="20"/>
        </w:rPr>
        <w:t>el</w:t>
      </w:r>
      <w:r>
        <w:rPr>
          <w:spacing w:val="-1"/>
          <w:sz w:val="20"/>
        </w:rPr>
        <w:t> </w:t>
      </w:r>
      <w:r>
        <w:rPr>
          <w:sz w:val="20"/>
        </w:rPr>
        <w:t>procedimiento</w:t>
      </w:r>
      <w:r>
        <w:rPr>
          <w:spacing w:val="-2"/>
          <w:sz w:val="20"/>
        </w:rPr>
        <w:t> </w:t>
      </w:r>
      <w:r>
        <w:rPr>
          <w:sz w:val="20"/>
        </w:rPr>
        <w:t>de</w:t>
      </w:r>
      <w:r>
        <w:rPr>
          <w:spacing w:val="-2"/>
          <w:sz w:val="20"/>
        </w:rPr>
        <w:t> </w:t>
      </w:r>
      <w:r>
        <w:rPr>
          <w:sz w:val="20"/>
        </w:rPr>
        <w:t>expulsión</w:t>
      </w:r>
      <w:r>
        <w:rPr>
          <w:spacing w:val="-2"/>
          <w:sz w:val="20"/>
        </w:rPr>
        <w:t> </w:t>
      </w:r>
      <w:r>
        <w:rPr>
          <w:sz w:val="20"/>
        </w:rPr>
        <w:t>se llevará a cabo ante la asamblea de la sección correspondiente, pero el acuerdo de expulsión deberá someterse a la decisión de los trabajadores de cada una de las secciones que integren el sindicato.</w:t>
      </w:r>
    </w:p>
    <w:p>
      <w:pPr>
        <w:pStyle w:val="BodyText"/>
      </w:pPr>
    </w:p>
    <w:p>
      <w:pPr>
        <w:pStyle w:val="ListParagraph"/>
        <w:numPr>
          <w:ilvl w:val="1"/>
          <w:numId w:val="116"/>
        </w:numPr>
        <w:tabs>
          <w:tab w:pos="1762" w:val="left" w:leader="none"/>
        </w:tabs>
        <w:spacing w:line="242" w:lineRule="auto" w:before="0" w:after="0"/>
        <w:ind w:left="1762" w:right="344" w:hanging="567"/>
        <w:jc w:val="both"/>
        <w:rPr>
          <w:sz w:val="20"/>
        </w:rPr>
      </w:pPr>
      <w:r>
        <w:rPr>
          <w:sz w:val="20"/>
        </w:rPr>
        <w:t>El trabajador afectado será oído en defensa, de conformidad con las disposiciones contenidas en los estatutos.</w:t>
      </w:r>
    </w:p>
    <w:p>
      <w:pPr>
        <w:pStyle w:val="ListParagraph"/>
        <w:numPr>
          <w:ilvl w:val="1"/>
          <w:numId w:val="116"/>
        </w:numPr>
        <w:tabs>
          <w:tab w:pos="1759" w:val="left" w:leader="none"/>
          <w:tab w:pos="1762" w:val="left" w:leader="none"/>
        </w:tabs>
        <w:spacing w:line="240" w:lineRule="auto" w:before="227" w:after="0"/>
        <w:ind w:left="1762" w:right="344" w:hanging="567"/>
        <w:jc w:val="both"/>
        <w:rPr>
          <w:sz w:val="20"/>
        </w:rPr>
      </w:pPr>
      <w:r>
        <w:rPr>
          <w:sz w:val="20"/>
        </w:rPr>
        <w:t>La asamblea conocerá de las pruebas que sirvan de base al procedimiento y de las que ofrezca el afectado.</w:t>
      </w:r>
    </w:p>
    <w:p>
      <w:pPr>
        <w:pStyle w:val="ListParagraph"/>
        <w:numPr>
          <w:ilvl w:val="1"/>
          <w:numId w:val="116"/>
        </w:numPr>
        <w:tabs>
          <w:tab w:pos="1761" w:val="left" w:leader="none"/>
        </w:tabs>
        <w:spacing w:line="240" w:lineRule="auto" w:before="229" w:after="0"/>
        <w:ind w:left="1761" w:right="0" w:hanging="566"/>
        <w:jc w:val="left"/>
        <w:rPr>
          <w:sz w:val="20"/>
        </w:rPr>
      </w:pPr>
      <w:r>
        <w:rPr>
          <w:sz w:val="20"/>
        </w:rPr>
        <w:t>Los</w:t>
      </w:r>
      <w:r>
        <w:rPr>
          <w:spacing w:val="-7"/>
          <w:sz w:val="20"/>
        </w:rPr>
        <w:t> </w:t>
      </w:r>
      <w:r>
        <w:rPr>
          <w:sz w:val="20"/>
        </w:rPr>
        <w:t>trabajadores</w:t>
      </w:r>
      <w:r>
        <w:rPr>
          <w:spacing w:val="-7"/>
          <w:sz w:val="20"/>
        </w:rPr>
        <w:t> </w:t>
      </w:r>
      <w:r>
        <w:rPr>
          <w:sz w:val="20"/>
        </w:rPr>
        <w:t>no</w:t>
      </w:r>
      <w:r>
        <w:rPr>
          <w:spacing w:val="-7"/>
          <w:sz w:val="20"/>
        </w:rPr>
        <w:t> </w:t>
      </w:r>
      <w:r>
        <w:rPr>
          <w:sz w:val="20"/>
        </w:rPr>
        <w:t>podrán</w:t>
      </w:r>
      <w:r>
        <w:rPr>
          <w:spacing w:val="-6"/>
          <w:sz w:val="20"/>
        </w:rPr>
        <w:t> </w:t>
      </w:r>
      <w:r>
        <w:rPr>
          <w:sz w:val="20"/>
        </w:rPr>
        <w:t>hacerse</w:t>
      </w:r>
      <w:r>
        <w:rPr>
          <w:spacing w:val="-7"/>
          <w:sz w:val="20"/>
        </w:rPr>
        <w:t> </w:t>
      </w:r>
      <w:r>
        <w:rPr>
          <w:sz w:val="20"/>
        </w:rPr>
        <w:t>representar</w:t>
      </w:r>
      <w:r>
        <w:rPr>
          <w:spacing w:val="-7"/>
          <w:sz w:val="20"/>
        </w:rPr>
        <w:t> </w:t>
      </w:r>
      <w:r>
        <w:rPr>
          <w:sz w:val="20"/>
        </w:rPr>
        <w:t>ni</w:t>
      </w:r>
      <w:r>
        <w:rPr>
          <w:spacing w:val="-7"/>
          <w:sz w:val="20"/>
        </w:rPr>
        <w:t> </w:t>
      </w:r>
      <w:r>
        <w:rPr>
          <w:sz w:val="20"/>
        </w:rPr>
        <w:t>emitir</w:t>
      </w:r>
      <w:r>
        <w:rPr>
          <w:spacing w:val="-6"/>
          <w:sz w:val="20"/>
        </w:rPr>
        <w:t> </w:t>
      </w:r>
      <w:r>
        <w:rPr>
          <w:sz w:val="20"/>
        </w:rPr>
        <w:t>su</w:t>
      </w:r>
      <w:r>
        <w:rPr>
          <w:spacing w:val="-8"/>
          <w:sz w:val="20"/>
        </w:rPr>
        <w:t> </w:t>
      </w:r>
      <w:r>
        <w:rPr>
          <w:sz w:val="20"/>
        </w:rPr>
        <w:t>voto</w:t>
      </w:r>
      <w:r>
        <w:rPr>
          <w:spacing w:val="-6"/>
          <w:sz w:val="20"/>
        </w:rPr>
        <w:t> </w:t>
      </w:r>
      <w:r>
        <w:rPr>
          <w:sz w:val="20"/>
        </w:rPr>
        <w:t>por</w:t>
      </w:r>
      <w:r>
        <w:rPr>
          <w:spacing w:val="-7"/>
          <w:sz w:val="20"/>
        </w:rPr>
        <w:t> </w:t>
      </w:r>
      <w:r>
        <w:rPr>
          <w:spacing w:val="-2"/>
          <w:sz w:val="20"/>
        </w:rPr>
        <w:t>escrito.</w:t>
      </w:r>
    </w:p>
    <w:p>
      <w:pPr>
        <w:pStyle w:val="BodyText"/>
        <w:spacing w:before="1"/>
      </w:pPr>
    </w:p>
    <w:p>
      <w:pPr>
        <w:pStyle w:val="ListParagraph"/>
        <w:numPr>
          <w:ilvl w:val="1"/>
          <w:numId w:val="116"/>
        </w:numPr>
        <w:tabs>
          <w:tab w:pos="1760" w:val="left" w:leader="none"/>
          <w:tab w:pos="1762" w:val="left" w:leader="none"/>
        </w:tabs>
        <w:spacing w:line="240" w:lineRule="auto" w:before="0" w:after="0"/>
        <w:ind w:left="1762" w:right="340" w:hanging="567"/>
        <w:jc w:val="both"/>
        <w:rPr>
          <w:sz w:val="20"/>
        </w:rPr>
      </w:pPr>
      <w:r>
        <w:rPr>
          <w:sz w:val="20"/>
        </w:rPr>
        <w:t>La expulsión deberá ser aprobada por mayoría de las dos terceras partes del total de los miembros del sindicato.</w:t>
      </w:r>
    </w:p>
    <w:p>
      <w:pPr>
        <w:pStyle w:val="ListParagraph"/>
        <w:numPr>
          <w:ilvl w:val="1"/>
          <w:numId w:val="116"/>
        </w:numPr>
        <w:tabs>
          <w:tab w:pos="1759" w:val="left" w:leader="none"/>
          <w:tab w:pos="1762" w:val="left" w:leader="none"/>
        </w:tabs>
        <w:spacing w:line="242" w:lineRule="auto" w:before="229" w:after="0"/>
        <w:ind w:left="1762" w:right="345" w:hanging="567"/>
        <w:jc w:val="both"/>
        <w:rPr>
          <w:sz w:val="20"/>
        </w:rPr>
      </w:pPr>
      <w:r>
        <w:rPr>
          <w:sz w:val="20"/>
        </w:rPr>
        <w:t>La expulsión sólo podrá decretarse por los casos expresamente consignados en los estatutos, debidamente comprobados y exactamente aplicables al caso;</w:t>
      </w:r>
    </w:p>
    <w:p>
      <w:pPr>
        <w:pStyle w:val="ListParagraph"/>
        <w:numPr>
          <w:ilvl w:val="0"/>
          <w:numId w:val="116"/>
        </w:numPr>
        <w:tabs>
          <w:tab w:pos="1193" w:val="left" w:leader="none"/>
          <w:tab w:pos="1195" w:val="left" w:leader="none"/>
        </w:tabs>
        <w:spacing w:line="240" w:lineRule="auto" w:before="226" w:after="0"/>
        <w:ind w:left="1195" w:right="334" w:hanging="569"/>
        <w:jc w:val="both"/>
        <w:rPr>
          <w:sz w:val="20"/>
        </w:rPr>
      </w:pPr>
      <w:r>
        <w:rPr>
          <w:sz w:val="20"/>
        </w:rPr>
        <w:t>Forma de convocar a asamblea, época de celebración de las ordinarias y quórum requerido para sesionar. En el caso de que la directiva no convoque oportunamente a las asambleas previstas en los estatutos, los trabajadores que representen el treinta y tres por ciento del total de los miembros del sindicato o de la sección, por lo menos, podrán solicitar de la directiva que convoque a la asamblea, y si no lo hace dentro de un término de diez días, podrán los solicitantes hacer la convocatoria, en cuyo caso, para que la asamblea pueda sesionar y</w:t>
      </w:r>
      <w:r>
        <w:rPr>
          <w:spacing w:val="40"/>
          <w:sz w:val="20"/>
        </w:rPr>
        <w:t> </w:t>
      </w:r>
      <w:r>
        <w:rPr>
          <w:sz w:val="20"/>
        </w:rPr>
        <w:t>adoptar resoluciones, se requiere que concurran las dos terceras partes del total de los miembros del sindicato o de la sección.</w:t>
      </w:r>
    </w:p>
    <w:p>
      <w:pPr>
        <w:pStyle w:val="BodyText"/>
        <w:spacing w:before="2"/>
      </w:pPr>
    </w:p>
    <w:p>
      <w:pPr>
        <w:pStyle w:val="BodyText"/>
        <w:ind w:left="1195" w:right="357"/>
      </w:pPr>
      <w:r>
        <w:rPr/>
        <w:t>Las resoluciones deberán adoptarse por el cincuenta y uno por ciento del total de los miembros del sindicato o de la sección, por lo menos;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30-04-</w:t>
      </w:r>
      <w:r>
        <w:rPr>
          <w:rFonts w:ascii="Times New Roman" w:hAnsi="Times New Roman"/>
          <w:i/>
          <w:color w:val="0000FF"/>
          <w:spacing w:val="-4"/>
          <w:sz w:val="16"/>
        </w:rPr>
        <w:t>1970</w:t>
      </w:r>
    </w:p>
    <w:p>
      <w:pPr>
        <w:pStyle w:val="BodyText"/>
        <w:spacing w:before="45"/>
        <w:rPr>
          <w:rFonts w:ascii="Times New Roman"/>
          <w:i/>
          <w:sz w:val="16"/>
        </w:rPr>
      </w:pPr>
    </w:p>
    <w:p>
      <w:pPr>
        <w:pStyle w:val="ListParagraph"/>
        <w:numPr>
          <w:ilvl w:val="0"/>
          <w:numId w:val="116"/>
        </w:numPr>
        <w:tabs>
          <w:tab w:pos="1195" w:val="left" w:leader="none"/>
        </w:tabs>
        <w:spacing w:line="242" w:lineRule="auto" w:before="0" w:after="0"/>
        <w:ind w:left="1195" w:right="344" w:hanging="569"/>
        <w:jc w:val="left"/>
        <w:rPr>
          <w:sz w:val="20"/>
        </w:rPr>
      </w:pPr>
      <w:r>
        <w:rPr>
          <w:sz w:val="20"/>
        </w:rPr>
        <w:t>Procedimiento para la elección de la directiva sindical y secciones sindicales, el cual se llevará</w:t>
      </w:r>
      <w:r>
        <w:rPr>
          <w:spacing w:val="40"/>
          <w:sz w:val="20"/>
        </w:rPr>
        <w:t> </w:t>
      </w:r>
      <w:r>
        <w:rPr>
          <w:sz w:val="20"/>
        </w:rPr>
        <w:t>a cabo mediante el ejercicio del voto directo, personal, libre, directo y secreto.</w:t>
      </w:r>
    </w:p>
    <w:p>
      <w:pPr>
        <w:pStyle w:val="BodyText"/>
        <w:spacing w:before="229"/>
        <w:ind w:left="1195"/>
      </w:pPr>
      <w:r>
        <w:rPr/>
        <w:t>Para</w:t>
      </w:r>
      <w:r>
        <w:rPr>
          <w:spacing w:val="-7"/>
        </w:rPr>
        <w:t> </w:t>
      </w:r>
      <w:r>
        <w:rPr/>
        <w:t>tal</w:t>
      </w:r>
      <w:r>
        <w:rPr>
          <w:spacing w:val="-6"/>
        </w:rPr>
        <w:t> </w:t>
      </w:r>
      <w:r>
        <w:rPr/>
        <w:t>efecto,</w:t>
      </w:r>
      <w:r>
        <w:rPr>
          <w:spacing w:val="-6"/>
        </w:rPr>
        <w:t> </w:t>
      </w:r>
      <w:r>
        <w:rPr/>
        <w:t>los</w:t>
      </w:r>
      <w:r>
        <w:rPr>
          <w:spacing w:val="-6"/>
        </w:rPr>
        <w:t> </w:t>
      </w:r>
      <w:r>
        <w:rPr/>
        <w:t>estatutos</w:t>
      </w:r>
      <w:r>
        <w:rPr>
          <w:spacing w:val="-6"/>
        </w:rPr>
        <w:t> </w:t>
      </w:r>
      <w:r>
        <w:rPr/>
        <w:t>deberán</w:t>
      </w:r>
      <w:r>
        <w:rPr>
          <w:spacing w:val="-6"/>
        </w:rPr>
        <w:t> </w:t>
      </w:r>
      <w:r>
        <w:rPr/>
        <w:t>observar</w:t>
      </w:r>
      <w:r>
        <w:rPr>
          <w:spacing w:val="-4"/>
        </w:rPr>
        <w:t> </w:t>
      </w:r>
      <w:r>
        <w:rPr/>
        <w:t>las</w:t>
      </w:r>
      <w:r>
        <w:rPr>
          <w:spacing w:val="-6"/>
        </w:rPr>
        <w:t> </w:t>
      </w:r>
      <w:r>
        <w:rPr/>
        <w:t>normas</w:t>
      </w:r>
      <w:r>
        <w:rPr>
          <w:spacing w:val="-6"/>
        </w:rPr>
        <w:t> </w:t>
      </w:r>
      <w:r>
        <w:rPr>
          <w:spacing w:val="-2"/>
        </w:rPr>
        <w:t>siguientes:</w:t>
      </w:r>
    </w:p>
    <w:p>
      <w:pPr>
        <w:pStyle w:val="ListParagraph"/>
        <w:numPr>
          <w:ilvl w:val="1"/>
          <w:numId w:val="116"/>
        </w:numPr>
        <w:tabs>
          <w:tab w:pos="1760" w:val="left" w:leader="none"/>
          <w:tab w:pos="1762" w:val="left" w:leader="none"/>
        </w:tabs>
        <w:spacing w:line="242" w:lineRule="auto" w:before="226" w:after="0"/>
        <w:ind w:left="1762" w:right="344" w:hanging="567"/>
        <w:jc w:val="both"/>
        <w:rPr>
          <w:sz w:val="20"/>
        </w:rPr>
      </w:pPr>
      <w:r>
        <w:rPr>
          <w:sz w:val="20"/>
        </w:rPr>
        <w:t>La convocatoria de elección se emitirá con firma autógrafa de las personas facultadas para ello, debiendo precisar fecha, hora, lugar del proceso y demás requisitos estatutariamente exigidos;</w:t>
      </w:r>
    </w:p>
    <w:p>
      <w:pPr>
        <w:pStyle w:val="ListParagraph"/>
        <w:numPr>
          <w:ilvl w:val="1"/>
          <w:numId w:val="116"/>
        </w:numPr>
        <w:tabs>
          <w:tab w:pos="1759" w:val="left" w:leader="none"/>
          <w:tab w:pos="1762" w:val="left" w:leader="none"/>
        </w:tabs>
        <w:spacing w:line="240" w:lineRule="auto" w:before="225" w:after="0"/>
        <w:ind w:left="1762" w:right="345" w:hanging="567"/>
        <w:jc w:val="both"/>
        <w:rPr>
          <w:sz w:val="20"/>
        </w:rPr>
      </w:pPr>
      <w:r>
        <w:rPr>
          <w:sz w:val="20"/>
        </w:rPr>
        <w:t>La</w:t>
      </w:r>
      <w:r>
        <w:rPr>
          <w:spacing w:val="-3"/>
          <w:sz w:val="20"/>
        </w:rPr>
        <w:t> </w:t>
      </w:r>
      <w:r>
        <w:rPr>
          <w:sz w:val="20"/>
        </w:rPr>
        <w:t>convocatoria</w:t>
      </w:r>
      <w:r>
        <w:rPr>
          <w:spacing w:val="-2"/>
          <w:sz w:val="20"/>
        </w:rPr>
        <w:t> </w:t>
      </w:r>
      <w:r>
        <w:rPr>
          <w:sz w:val="20"/>
        </w:rPr>
        <w:t>deberá</w:t>
      </w:r>
      <w:r>
        <w:rPr>
          <w:spacing w:val="-2"/>
          <w:sz w:val="20"/>
        </w:rPr>
        <w:t> </w:t>
      </w:r>
      <w:r>
        <w:rPr>
          <w:sz w:val="20"/>
        </w:rPr>
        <w:t>publicarse en el local</w:t>
      </w:r>
      <w:r>
        <w:rPr>
          <w:spacing w:val="-1"/>
          <w:sz w:val="20"/>
        </w:rPr>
        <w:t> </w:t>
      </w:r>
      <w:r>
        <w:rPr>
          <w:sz w:val="20"/>
        </w:rPr>
        <w:t>sindical y</w:t>
      </w:r>
      <w:r>
        <w:rPr>
          <w:spacing w:val="-3"/>
          <w:sz w:val="20"/>
        </w:rPr>
        <w:t> </w:t>
      </w:r>
      <w:r>
        <w:rPr>
          <w:sz w:val="20"/>
        </w:rPr>
        <w:t>en los lugares de</w:t>
      </w:r>
      <w:r>
        <w:rPr>
          <w:spacing w:val="-2"/>
          <w:sz w:val="20"/>
        </w:rPr>
        <w:t> </w:t>
      </w:r>
      <w:r>
        <w:rPr>
          <w:sz w:val="20"/>
        </w:rPr>
        <w:t>mayor afluencia de los miembros en el centro de trabajo, con una anticipación mínima de diez días;</w:t>
      </w:r>
    </w:p>
    <w:p>
      <w:pPr>
        <w:pStyle w:val="ListParagraph"/>
        <w:numPr>
          <w:ilvl w:val="1"/>
          <w:numId w:val="116"/>
        </w:numPr>
        <w:tabs>
          <w:tab w:pos="1760" w:val="left" w:leader="none"/>
          <w:tab w:pos="1762" w:val="left" w:leader="none"/>
        </w:tabs>
        <w:spacing w:line="242" w:lineRule="auto" w:before="229" w:after="0"/>
        <w:ind w:left="1762" w:right="333" w:hanging="567"/>
        <w:jc w:val="both"/>
        <w:rPr>
          <w:sz w:val="20"/>
        </w:rPr>
      </w:pPr>
      <w:r>
        <w:rPr>
          <w:sz w:val="20"/>
        </w:rPr>
        <w:t>El lugar que se determine para la celebración del proceso electoral, así como la documentación y materiales que se elaboren para la realización, deberán garantizar que la votación se desarrolle de forma segura, directa, personal, libre y secreta;</w:t>
      </w:r>
    </w:p>
    <w:p>
      <w:pPr>
        <w:pStyle w:val="ListParagraph"/>
        <w:spacing w:after="0" w:line="242" w:lineRule="auto"/>
        <w:jc w:val="both"/>
        <w:rPr>
          <w:sz w:val="20"/>
        </w:rPr>
        <w:sectPr>
          <w:pgSz w:w="12240" w:h="15840"/>
          <w:pgMar w:header="724" w:footer="712" w:top="1880" w:bottom="900" w:left="1080" w:right="1080"/>
        </w:sectPr>
      </w:pPr>
    </w:p>
    <w:p>
      <w:pPr>
        <w:pStyle w:val="BodyText"/>
        <w:spacing w:before="63"/>
      </w:pPr>
    </w:p>
    <w:p>
      <w:pPr>
        <w:pStyle w:val="ListParagraph"/>
        <w:numPr>
          <w:ilvl w:val="1"/>
          <w:numId w:val="116"/>
        </w:numPr>
        <w:tabs>
          <w:tab w:pos="1759" w:val="left" w:leader="none"/>
          <w:tab w:pos="1762" w:val="left" w:leader="none"/>
        </w:tabs>
        <w:spacing w:line="242" w:lineRule="auto" w:before="0" w:after="0"/>
        <w:ind w:left="1762" w:right="334" w:hanging="567"/>
        <w:jc w:val="both"/>
        <w:rPr>
          <w:sz w:val="20"/>
        </w:rPr>
      </w:pPr>
      <w:r>
        <w:rPr>
          <w:sz w:val="20"/>
        </w:rPr>
        <w:t>Se integrará un padrón completo y actualizado de los miembros del sindicato con</w:t>
      </w:r>
      <w:r>
        <w:rPr>
          <w:spacing w:val="80"/>
          <w:sz w:val="20"/>
        </w:rPr>
        <w:t> </w:t>
      </w:r>
      <w:r>
        <w:rPr>
          <w:sz w:val="20"/>
        </w:rPr>
        <w:t>derecho a votar, que deberá publicarse y darse a conocer entre éstos con al menos tres días de antelación a la elección;</w:t>
      </w:r>
    </w:p>
    <w:p>
      <w:pPr>
        <w:pStyle w:val="ListParagraph"/>
        <w:numPr>
          <w:ilvl w:val="1"/>
          <w:numId w:val="116"/>
        </w:numPr>
        <w:tabs>
          <w:tab w:pos="1760" w:val="left" w:leader="none"/>
          <w:tab w:pos="1762" w:val="left" w:leader="none"/>
        </w:tabs>
        <w:spacing w:line="242" w:lineRule="auto" w:before="225" w:after="0"/>
        <w:ind w:left="1762" w:right="343" w:hanging="567"/>
        <w:jc w:val="both"/>
        <w:rPr>
          <w:sz w:val="20"/>
        </w:rPr>
      </w:pPr>
      <w:r>
        <w:rPr>
          <w:sz w:val="20"/>
        </w:rPr>
        <w:t>Establecer un procedimiento que asegure la identificación de los afiliados que tengan derecho a votar, y</w:t>
      </w:r>
    </w:p>
    <w:p>
      <w:pPr>
        <w:pStyle w:val="ListParagraph"/>
        <w:numPr>
          <w:ilvl w:val="1"/>
          <w:numId w:val="116"/>
        </w:numPr>
        <w:tabs>
          <w:tab w:pos="1760" w:val="left" w:leader="none"/>
          <w:tab w:pos="1762" w:val="left" w:leader="none"/>
        </w:tabs>
        <w:spacing w:line="242" w:lineRule="auto" w:before="224" w:after="0"/>
        <w:ind w:left="1762" w:right="342" w:hanging="567"/>
        <w:jc w:val="both"/>
        <w:rPr>
          <w:sz w:val="20"/>
        </w:rPr>
      </w:pPr>
      <w:r>
        <w:rPr>
          <w:sz w:val="20"/>
        </w:rPr>
        <w:t>La documentación, material y boletas para la elección de integración de los órganos internos de los sindicatos a que se refiere este inciso, contendrá cuando menos los siguientes datos y requisitos:</w:t>
      </w:r>
    </w:p>
    <w:p>
      <w:pPr>
        <w:pStyle w:val="BodyText"/>
        <w:tabs>
          <w:tab w:pos="2328" w:val="left" w:leader="none"/>
        </w:tabs>
        <w:spacing w:before="225"/>
        <w:ind w:left="1762"/>
      </w:pPr>
      <w:r>
        <w:rPr>
          <w:rFonts w:ascii="Arial" w:hAnsi="Arial"/>
          <w:b/>
          <w:spacing w:val="-5"/>
        </w:rPr>
        <w:t>1.-</w:t>
      </w:r>
      <w:r>
        <w:rPr>
          <w:rFonts w:ascii="Arial" w:hAnsi="Arial"/>
          <w:b/>
        </w:rPr>
        <w:tab/>
      </w:r>
      <w:r>
        <w:rPr/>
        <w:t>Municipio</w:t>
      </w:r>
      <w:r>
        <w:rPr>
          <w:spacing w:val="-3"/>
        </w:rPr>
        <w:t> </w:t>
      </w:r>
      <w:r>
        <w:rPr/>
        <w:t>y</w:t>
      </w:r>
      <w:r>
        <w:rPr>
          <w:spacing w:val="-10"/>
        </w:rPr>
        <w:t> </w:t>
      </w:r>
      <w:r>
        <w:rPr/>
        <w:t>entidad</w:t>
      </w:r>
      <w:r>
        <w:rPr>
          <w:spacing w:val="-5"/>
        </w:rPr>
        <w:t> </w:t>
      </w:r>
      <w:r>
        <w:rPr/>
        <w:t>federativa</w:t>
      </w:r>
      <w:r>
        <w:rPr>
          <w:spacing w:val="-4"/>
        </w:rPr>
        <w:t> </w:t>
      </w:r>
      <w:r>
        <w:rPr/>
        <w:t>en</w:t>
      </w:r>
      <w:r>
        <w:rPr>
          <w:spacing w:val="-8"/>
        </w:rPr>
        <w:t> </w:t>
      </w:r>
      <w:r>
        <w:rPr/>
        <w:t>que</w:t>
      </w:r>
      <w:r>
        <w:rPr>
          <w:spacing w:val="-7"/>
        </w:rPr>
        <w:t> </w:t>
      </w:r>
      <w:r>
        <w:rPr/>
        <w:t>se</w:t>
      </w:r>
      <w:r>
        <w:rPr>
          <w:spacing w:val="-7"/>
        </w:rPr>
        <w:t> </w:t>
      </w:r>
      <w:r>
        <w:rPr/>
        <w:t>realice</w:t>
      </w:r>
      <w:r>
        <w:rPr>
          <w:spacing w:val="-5"/>
        </w:rPr>
        <w:t> </w:t>
      </w:r>
      <w:r>
        <w:rPr/>
        <w:t>la</w:t>
      </w:r>
      <w:r>
        <w:rPr>
          <w:spacing w:val="-4"/>
        </w:rPr>
        <w:t> </w:t>
      </w:r>
      <w:r>
        <w:rPr>
          <w:spacing w:val="-2"/>
        </w:rPr>
        <w:t>votación;</w:t>
      </w:r>
    </w:p>
    <w:p>
      <w:pPr>
        <w:pStyle w:val="BodyText"/>
        <w:tabs>
          <w:tab w:pos="2328" w:val="left" w:leader="none"/>
        </w:tabs>
        <w:spacing w:before="229"/>
        <w:ind w:left="1762"/>
      </w:pPr>
      <w:r>
        <w:rPr>
          <w:rFonts w:ascii="Arial"/>
          <w:b/>
          <w:spacing w:val="-5"/>
        </w:rPr>
        <w:t>2.-</w:t>
      </w:r>
      <w:r>
        <w:rPr>
          <w:rFonts w:ascii="Arial"/>
          <w:b/>
        </w:rPr>
        <w:tab/>
      </w:r>
      <w:r>
        <w:rPr/>
        <w:t>Cargo</w:t>
      </w:r>
      <w:r>
        <w:rPr>
          <w:spacing w:val="-7"/>
        </w:rPr>
        <w:t> </w:t>
      </w:r>
      <w:r>
        <w:rPr/>
        <w:t>para</w:t>
      </w:r>
      <w:r>
        <w:rPr>
          <w:spacing w:val="-6"/>
        </w:rPr>
        <w:t> </w:t>
      </w:r>
      <w:r>
        <w:rPr/>
        <w:t>el</w:t>
      </w:r>
      <w:r>
        <w:rPr>
          <w:spacing w:val="-6"/>
        </w:rPr>
        <w:t> </w:t>
      </w:r>
      <w:r>
        <w:rPr/>
        <w:t>que</w:t>
      </w:r>
      <w:r>
        <w:rPr>
          <w:spacing w:val="-7"/>
        </w:rPr>
        <w:t> </w:t>
      </w:r>
      <w:r>
        <w:rPr/>
        <w:t>se</w:t>
      </w:r>
      <w:r>
        <w:rPr>
          <w:spacing w:val="-3"/>
        </w:rPr>
        <w:t> </w:t>
      </w:r>
      <w:r>
        <w:rPr/>
        <w:t>postula</w:t>
      </w:r>
      <w:r>
        <w:rPr>
          <w:spacing w:val="-6"/>
        </w:rPr>
        <w:t> </w:t>
      </w:r>
      <w:r>
        <w:rPr/>
        <w:t>al</w:t>
      </w:r>
      <w:r>
        <w:rPr>
          <w:spacing w:val="-6"/>
        </w:rPr>
        <w:t> </w:t>
      </w:r>
      <w:r>
        <w:rPr/>
        <w:t>candidato</w:t>
      </w:r>
      <w:r>
        <w:rPr>
          <w:spacing w:val="-4"/>
        </w:rPr>
        <w:t> </w:t>
      </w:r>
      <w:r>
        <w:rPr/>
        <w:t>o</w:t>
      </w:r>
      <w:r>
        <w:rPr>
          <w:spacing w:val="-7"/>
        </w:rPr>
        <w:t> </w:t>
      </w:r>
      <w:r>
        <w:rPr>
          <w:spacing w:val="-2"/>
        </w:rPr>
        <w:t>candidatos;</w:t>
      </w:r>
    </w:p>
    <w:p>
      <w:pPr>
        <w:pStyle w:val="BodyText"/>
      </w:pPr>
    </w:p>
    <w:p>
      <w:pPr>
        <w:pStyle w:val="BodyText"/>
        <w:tabs>
          <w:tab w:pos="2328" w:val="left" w:leader="none"/>
        </w:tabs>
        <w:spacing w:line="242" w:lineRule="auto" w:before="1"/>
        <w:ind w:left="2328" w:right="357" w:hanging="567"/>
      </w:pPr>
      <w:r>
        <w:rPr>
          <w:rFonts w:ascii="Arial" w:hAnsi="Arial"/>
          <w:b/>
          <w:spacing w:val="-4"/>
        </w:rPr>
        <w:t>3.-</w:t>
      </w:r>
      <w:r>
        <w:rPr>
          <w:rFonts w:ascii="Arial" w:hAnsi="Arial"/>
          <w:b/>
        </w:rPr>
        <w:tab/>
      </w:r>
      <w:r>
        <w:rPr/>
        <w:t>Emblema y color de cada una de las planillas que participan con candidatos en la elección de que se trate;</w:t>
      </w:r>
    </w:p>
    <w:p>
      <w:pPr>
        <w:pStyle w:val="BodyText"/>
        <w:tabs>
          <w:tab w:pos="2328" w:val="left" w:leader="none"/>
        </w:tabs>
        <w:spacing w:before="224"/>
        <w:ind w:left="1762"/>
      </w:pPr>
      <w:r>
        <w:rPr>
          <w:rFonts w:ascii="Arial"/>
          <w:b/>
          <w:spacing w:val="-5"/>
        </w:rPr>
        <w:t>4.-</w:t>
      </w:r>
      <w:r>
        <w:rPr>
          <w:rFonts w:ascii="Arial"/>
          <w:b/>
        </w:rPr>
        <w:tab/>
      </w:r>
      <w:r>
        <w:rPr/>
        <w:t>El</w:t>
      </w:r>
      <w:r>
        <w:rPr>
          <w:spacing w:val="-7"/>
        </w:rPr>
        <w:t> </w:t>
      </w:r>
      <w:r>
        <w:rPr/>
        <w:t>nombre</w:t>
      </w:r>
      <w:r>
        <w:rPr>
          <w:spacing w:val="-7"/>
        </w:rPr>
        <w:t> </w:t>
      </w:r>
      <w:r>
        <w:rPr/>
        <w:t>completo</w:t>
      </w:r>
      <w:r>
        <w:rPr>
          <w:spacing w:val="-6"/>
        </w:rPr>
        <w:t> </w:t>
      </w:r>
      <w:r>
        <w:rPr/>
        <w:t>del</w:t>
      </w:r>
      <w:r>
        <w:rPr>
          <w:spacing w:val="-8"/>
        </w:rPr>
        <w:t> </w:t>
      </w:r>
      <w:r>
        <w:rPr/>
        <w:t>candidato</w:t>
      </w:r>
      <w:r>
        <w:rPr>
          <w:spacing w:val="-5"/>
        </w:rPr>
        <w:t> </w:t>
      </w:r>
      <w:r>
        <w:rPr/>
        <w:t>o</w:t>
      </w:r>
      <w:r>
        <w:rPr>
          <w:spacing w:val="-8"/>
        </w:rPr>
        <w:t> </w:t>
      </w:r>
      <w:r>
        <w:rPr/>
        <w:t>candidatos</w:t>
      </w:r>
      <w:r>
        <w:rPr>
          <w:spacing w:val="-7"/>
        </w:rPr>
        <w:t> </w:t>
      </w:r>
      <w:r>
        <w:rPr/>
        <w:t>a</w:t>
      </w:r>
      <w:r>
        <w:rPr>
          <w:spacing w:val="-8"/>
        </w:rPr>
        <w:t> </w:t>
      </w:r>
      <w:r>
        <w:rPr/>
        <w:t>elegir,</w:t>
      </w:r>
      <w:r>
        <w:rPr>
          <w:spacing w:val="-5"/>
        </w:rPr>
        <w:t> </w:t>
      </w:r>
      <w:r>
        <w:rPr>
          <w:spacing w:val="-10"/>
        </w:rPr>
        <w:t>y</w:t>
      </w:r>
    </w:p>
    <w:p>
      <w:pPr>
        <w:pStyle w:val="BodyText"/>
      </w:pPr>
    </w:p>
    <w:p>
      <w:pPr>
        <w:pStyle w:val="BodyText"/>
        <w:tabs>
          <w:tab w:pos="2328" w:val="left" w:leader="none"/>
        </w:tabs>
        <w:spacing w:line="242" w:lineRule="auto" w:before="1"/>
        <w:ind w:left="2328" w:right="345" w:hanging="567"/>
      </w:pPr>
      <w:r>
        <w:rPr>
          <w:rFonts w:ascii="Arial" w:hAnsi="Arial"/>
          <w:b/>
          <w:spacing w:val="-4"/>
        </w:rPr>
        <w:t>5.-</w:t>
      </w:r>
      <w:r>
        <w:rPr>
          <w:rFonts w:ascii="Arial" w:hAnsi="Arial"/>
          <w:b/>
        </w:rPr>
        <w:tab/>
      </w:r>
      <w:r>
        <w:rPr/>
        <w:t>Las</w:t>
      </w:r>
      <w:r>
        <w:rPr>
          <w:spacing w:val="23"/>
        </w:rPr>
        <w:t> </w:t>
      </w:r>
      <w:r>
        <w:rPr/>
        <w:t>boletas</w:t>
      </w:r>
      <w:r>
        <w:rPr>
          <w:spacing w:val="24"/>
        </w:rPr>
        <w:t> </w:t>
      </w:r>
      <w:r>
        <w:rPr/>
        <w:t>deberán</w:t>
      </w:r>
      <w:r>
        <w:rPr>
          <w:spacing w:val="24"/>
        </w:rPr>
        <w:t> </w:t>
      </w:r>
      <w:r>
        <w:rPr/>
        <w:t>validarse</w:t>
      </w:r>
      <w:r>
        <w:rPr>
          <w:spacing w:val="22"/>
        </w:rPr>
        <w:t> </w:t>
      </w:r>
      <w:r>
        <w:rPr/>
        <w:t>en</w:t>
      </w:r>
      <w:r>
        <w:rPr>
          <w:spacing w:val="24"/>
        </w:rPr>
        <w:t> </w:t>
      </w:r>
      <w:r>
        <w:rPr/>
        <w:t>el</w:t>
      </w:r>
      <w:r>
        <w:rPr>
          <w:spacing w:val="23"/>
        </w:rPr>
        <w:t> </w:t>
      </w:r>
      <w:r>
        <w:rPr/>
        <w:t>reverso</w:t>
      </w:r>
      <w:r>
        <w:rPr>
          <w:spacing w:val="22"/>
        </w:rPr>
        <w:t> </w:t>
      </w:r>
      <w:r>
        <w:rPr/>
        <w:t>con</w:t>
      </w:r>
      <w:r>
        <w:rPr>
          <w:spacing w:val="24"/>
        </w:rPr>
        <w:t> </w:t>
      </w:r>
      <w:r>
        <w:rPr/>
        <w:t>las</w:t>
      </w:r>
      <w:r>
        <w:rPr>
          <w:spacing w:val="23"/>
        </w:rPr>
        <w:t> </w:t>
      </w:r>
      <w:r>
        <w:rPr/>
        <w:t>firmas</w:t>
      </w:r>
      <w:r>
        <w:rPr>
          <w:spacing w:val="23"/>
        </w:rPr>
        <w:t> </w:t>
      </w:r>
      <w:r>
        <w:rPr/>
        <w:t>de</w:t>
      </w:r>
      <w:r>
        <w:rPr>
          <w:spacing w:val="22"/>
        </w:rPr>
        <w:t> </w:t>
      </w:r>
      <w:r>
        <w:rPr/>
        <w:t>por</w:t>
      </w:r>
      <w:r>
        <w:rPr>
          <w:spacing w:val="25"/>
        </w:rPr>
        <w:t> </w:t>
      </w:r>
      <w:r>
        <w:rPr/>
        <w:t>lo</w:t>
      </w:r>
      <w:r>
        <w:rPr>
          <w:spacing w:val="24"/>
        </w:rPr>
        <w:t> </w:t>
      </w:r>
      <w:r>
        <w:rPr/>
        <w:t>menos</w:t>
      </w:r>
      <w:r>
        <w:rPr>
          <w:spacing w:val="23"/>
        </w:rPr>
        <w:t> </w:t>
      </w:r>
      <w:r>
        <w:rPr/>
        <w:t>dos integrantes de la Comisión Electoral que para tales efectos acuerde el sindicato.</w:t>
      </w:r>
    </w:p>
    <w:p>
      <w:pPr>
        <w:pStyle w:val="BodyText"/>
        <w:spacing w:before="226"/>
        <w:ind w:left="1195" w:right="344"/>
        <w:jc w:val="both"/>
      </w:pPr>
      <w:r>
        <w:rPr/>
        <w:t>El procedimiento de elección que realicen los miembros de un sindicato respecto al Secretario General o su equivalente a nivel nacional, estatal, seccional, local o municipal, se realizará de manera independiente de la elección de delegados a los congresos o convenciones sindicales, cumpliendo con los requisitos a que se refiere este inciso.</w:t>
      </w:r>
    </w:p>
    <w:p>
      <w:pPr>
        <w:pStyle w:val="BodyText"/>
        <w:spacing w:before="3"/>
      </w:pPr>
    </w:p>
    <w:p>
      <w:pPr>
        <w:pStyle w:val="BodyText"/>
        <w:ind w:left="1195" w:right="343"/>
        <w:jc w:val="both"/>
      </w:pPr>
      <w:r>
        <w:rPr/>
        <w:t>En virtud de que estos requisitos son esenciales para expresar la libre voluntad de los afiliados al sindicato, de incumplirse éstos, el procedimiento de elección carecerá de validez, ya sea a nivel general o seccional, según sea el caso;</w:t>
      </w:r>
    </w:p>
    <w:p>
      <w:pPr>
        <w:spacing w:line="180"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1195" w:right="342" w:hanging="569"/>
      </w:pPr>
      <w:r>
        <w:rPr>
          <w:rFonts w:ascii="Arial" w:hAnsi="Arial"/>
          <w:b/>
        </w:rPr>
        <w:t>IX Bis. </w:t>
      </w:r>
      <w:r>
        <w:rPr/>
        <w:t>En la integración de las directivas sindicales se establecerá la representación proporcional en razón de género;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1195" w:right="338" w:hanging="569"/>
        <w:jc w:val="both"/>
      </w:pPr>
      <w:r>
        <w:rPr>
          <w:rFonts w:ascii="Arial" w:hAnsi="Arial"/>
          <w:b/>
        </w:rPr>
        <w:t>IX Ter. </w:t>
      </w:r>
      <w:r>
        <w:rPr/>
        <w:t>Normas para la integración y funcionamiento de una instancia de decisión colegiada, que será responsable de organizar y calificar los procedimientos de elección de los órganos internos del </w:t>
      </w:r>
      <w:r>
        <w:rPr>
          <w:spacing w:val="-2"/>
        </w:rPr>
        <w:t>sindicato;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16"/>
        </w:numPr>
        <w:tabs>
          <w:tab w:pos="1195" w:val="left" w:leader="none"/>
        </w:tabs>
        <w:spacing w:line="240" w:lineRule="auto" w:before="0" w:after="0"/>
        <w:ind w:left="1195" w:right="334" w:hanging="569"/>
        <w:jc w:val="both"/>
        <w:rPr>
          <w:sz w:val="20"/>
        </w:rPr>
      </w:pPr>
      <w:r>
        <w:rPr>
          <w:sz w:val="20"/>
        </w:rPr>
        <w:t>Período de duración de la directiva sindical y de las representaciones seccionales. En el caso</w:t>
      </w:r>
      <w:r>
        <w:rPr>
          <w:spacing w:val="40"/>
          <w:sz w:val="20"/>
        </w:rPr>
        <w:t> </w:t>
      </w:r>
      <w:r>
        <w:rPr>
          <w:sz w:val="20"/>
        </w:rPr>
        <w:t>de reelección, será facultad de la asamblea decidir mediante voto personal, libre, directo y secreto el período de duración y el número de veces que pueden reelegirse los dirigentes sindicales. El período de duración de la directiva y en su caso la reelección, deberán respetar las garantías a que se refiere el artículo 358, fracción II, de esta Ley;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16"/>
        </w:numPr>
        <w:tabs>
          <w:tab w:pos="1195" w:val="left" w:leader="none"/>
        </w:tabs>
        <w:spacing w:line="240" w:lineRule="auto" w:before="0" w:after="0"/>
        <w:ind w:left="1195" w:right="0" w:hanging="569"/>
        <w:jc w:val="left"/>
        <w:rPr>
          <w:sz w:val="20"/>
        </w:rPr>
      </w:pPr>
      <w:r>
        <w:rPr>
          <w:sz w:val="20"/>
        </w:rPr>
        <w:t>Normas</w:t>
      </w:r>
      <w:r>
        <w:rPr>
          <w:spacing w:val="-7"/>
          <w:sz w:val="20"/>
        </w:rPr>
        <w:t> </w:t>
      </w:r>
      <w:r>
        <w:rPr>
          <w:sz w:val="20"/>
        </w:rPr>
        <w:t>para</w:t>
      </w:r>
      <w:r>
        <w:rPr>
          <w:spacing w:val="-8"/>
          <w:sz w:val="20"/>
        </w:rPr>
        <w:t> </w:t>
      </w:r>
      <w:r>
        <w:rPr>
          <w:sz w:val="20"/>
        </w:rPr>
        <w:t>la</w:t>
      </w:r>
      <w:r>
        <w:rPr>
          <w:spacing w:val="-8"/>
          <w:sz w:val="20"/>
        </w:rPr>
        <w:t> </w:t>
      </w:r>
      <w:r>
        <w:rPr>
          <w:sz w:val="20"/>
        </w:rPr>
        <w:t>administración,</w:t>
      </w:r>
      <w:r>
        <w:rPr>
          <w:spacing w:val="-6"/>
          <w:sz w:val="20"/>
        </w:rPr>
        <w:t> </w:t>
      </w:r>
      <w:r>
        <w:rPr>
          <w:sz w:val="20"/>
        </w:rPr>
        <w:t>adquisición</w:t>
      </w:r>
      <w:r>
        <w:rPr>
          <w:spacing w:val="-6"/>
          <w:sz w:val="20"/>
        </w:rPr>
        <w:t> </w:t>
      </w:r>
      <w:r>
        <w:rPr>
          <w:sz w:val="20"/>
        </w:rPr>
        <w:t>y</w:t>
      </w:r>
      <w:r>
        <w:rPr>
          <w:spacing w:val="-9"/>
          <w:sz w:val="20"/>
        </w:rPr>
        <w:t> </w:t>
      </w:r>
      <w:r>
        <w:rPr>
          <w:sz w:val="20"/>
        </w:rPr>
        <w:t>disposición</w:t>
      </w:r>
      <w:r>
        <w:rPr>
          <w:spacing w:val="-8"/>
          <w:sz w:val="20"/>
        </w:rPr>
        <w:t> </w:t>
      </w:r>
      <w:r>
        <w:rPr>
          <w:sz w:val="20"/>
        </w:rPr>
        <w:t>de</w:t>
      </w:r>
      <w:r>
        <w:rPr>
          <w:spacing w:val="-8"/>
          <w:sz w:val="20"/>
        </w:rPr>
        <w:t> </w:t>
      </w:r>
      <w:r>
        <w:rPr>
          <w:sz w:val="20"/>
        </w:rPr>
        <w:t>los</w:t>
      </w:r>
      <w:r>
        <w:rPr>
          <w:spacing w:val="-7"/>
          <w:sz w:val="20"/>
        </w:rPr>
        <w:t> </w:t>
      </w:r>
      <w:r>
        <w:rPr>
          <w:sz w:val="20"/>
        </w:rPr>
        <w:t>bienes,</w:t>
      </w:r>
      <w:r>
        <w:rPr>
          <w:spacing w:val="-6"/>
          <w:sz w:val="20"/>
        </w:rPr>
        <w:t> </w:t>
      </w:r>
      <w:r>
        <w:rPr>
          <w:sz w:val="20"/>
        </w:rPr>
        <w:t>patrimonio</w:t>
      </w:r>
      <w:r>
        <w:rPr>
          <w:spacing w:val="-8"/>
          <w:sz w:val="20"/>
        </w:rPr>
        <w:t> </w:t>
      </w:r>
      <w:r>
        <w:rPr>
          <w:sz w:val="20"/>
        </w:rPr>
        <w:t>del</w:t>
      </w:r>
      <w:r>
        <w:rPr>
          <w:spacing w:val="-9"/>
          <w:sz w:val="20"/>
        </w:rPr>
        <w:t> </w:t>
      </w:r>
      <w:r>
        <w:rPr>
          <w:spacing w:val="-2"/>
          <w:sz w:val="20"/>
        </w:rPr>
        <w:t>sindicato;</w:t>
      </w:r>
    </w:p>
    <w:p>
      <w:pPr>
        <w:pStyle w:val="BodyText"/>
        <w:spacing w:before="1"/>
      </w:pPr>
    </w:p>
    <w:p>
      <w:pPr>
        <w:pStyle w:val="ListParagraph"/>
        <w:numPr>
          <w:ilvl w:val="0"/>
          <w:numId w:val="116"/>
        </w:numPr>
        <w:tabs>
          <w:tab w:pos="1195" w:val="left" w:leader="none"/>
        </w:tabs>
        <w:spacing w:line="240" w:lineRule="auto" w:before="0" w:after="0"/>
        <w:ind w:left="1195" w:right="0" w:hanging="569"/>
        <w:jc w:val="left"/>
        <w:rPr>
          <w:sz w:val="20"/>
        </w:rPr>
      </w:pPr>
      <w:r>
        <w:rPr>
          <w:sz w:val="20"/>
        </w:rPr>
        <w:t>Forma</w:t>
      </w:r>
      <w:r>
        <w:rPr>
          <w:spacing w:val="-5"/>
          <w:sz w:val="20"/>
        </w:rPr>
        <w:t> </w:t>
      </w:r>
      <w:r>
        <w:rPr>
          <w:sz w:val="20"/>
        </w:rPr>
        <w:t>de</w:t>
      </w:r>
      <w:r>
        <w:rPr>
          <w:spacing w:val="-5"/>
          <w:sz w:val="20"/>
        </w:rPr>
        <w:t> </w:t>
      </w:r>
      <w:r>
        <w:rPr>
          <w:sz w:val="20"/>
        </w:rPr>
        <w:t>pago y</w:t>
      </w:r>
      <w:r>
        <w:rPr>
          <w:spacing w:val="-8"/>
          <w:sz w:val="20"/>
        </w:rPr>
        <w:t> </w:t>
      </w:r>
      <w:r>
        <w:rPr>
          <w:sz w:val="20"/>
        </w:rPr>
        <w:t>monto</w:t>
      </w:r>
      <w:r>
        <w:rPr>
          <w:spacing w:val="-5"/>
          <w:sz w:val="20"/>
        </w:rPr>
        <w:t> </w:t>
      </w:r>
      <w:r>
        <w:rPr>
          <w:sz w:val="20"/>
        </w:rPr>
        <w:t>de</w:t>
      </w:r>
      <w:r>
        <w:rPr>
          <w:spacing w:val="-3"/>
          <w:sz w:val="20"/>
        </w:rPr>
        <w:t> </w:t>
      </w:r>
      <w:r>
        <w:rPr>
          <w:sz w:val="20"/>
        </w:rPr>
        <w:t>las</w:t>
      </w:r>
      <w:r>
        <w:rPr>
          <w:spacing w:val="-4"/>
          <w:sz w:val="20"/>
        </w:rPr>
        <w:t> </w:t>
      </w:r>
      <w:r>
        <w:rPr>
          <w:sz w:val="20"/>
        </w:rPr>
        <w:t>cuotas</w:t>
      </w:r>
      <w:r>
        <w:rPr>
          <w:spacing w:val="-3"/>
          <w:sz w:val="20"/>
        </w:rPr>
        <w:t> </w:t>
      </w:r>
      <w:r>
        <w:rPr>
          <w:spacing w:val="-2"/>
          <w:sz w:val="20"/>
        </w:rPr>
        <w:t>sindicales;</w:t>
      </w:r>
    </w:p>
    <w:p>
      <w:pPr>
        <w:pStyle w:val="ListParagraph"/>
        <w:spacing w:after="0" w:line="240" w:lineRule="auto"/>
        <w:jc w:val="left"/>
        <w:rPr>
          <w:sz w:val="20"/>
        </w:rPr>
        <w:sectPr>
          <w:pgSz w:w="12240" w:h="15840"/>
          <w:pgMar w:header="724" w:footer="712" w:top="1880" w:bottom="900" w:left="1080" w:right="1080"/>
        </w:sectPr>
      </w:pPr>
    </w:p>
    <w:p>
      <w:pPr>
        <w:pStyle w:val="BodyText"/>
        <w:spacing w:before="63"/>
      </w:pPr>
    </w:p>
    <w:p>
      <w:pPr>
        <w:pStyle w:val="ListParagraph"/>
        <w:numPr>
          <w:ilvl w:val="0"/>
          <w:numId w:val="116"/>
        </w:numPr>
        <w:tabs>
          <w:tab w:pos="1195" w:val="left" w:leader="none"/>
        </w:tabs>
        <w:spacing w:line="242" w:lineRule="auto" w:before="0" w:after="0"/>
        <w:ind w:left="1195" w:right="343" w:hanging="569"/>
        <w:jc w:val="left"/>
        <w:rPr>
          <w:sz w:val="20"/>
        </w:rPr>
      </w:pPr>
      <w:r>
        <w:rPr>
          <w:sz w:val="20"/>
        </w:rPr>
        <w:t>Época</w:t>
      </w:r>
      <w:r>
        <w:rPr>
          <w:spacing w:val="40"/>
          <w:sz w:val="20"/>
        </w:rPr>
        <w:t> </w:t>
      </w:r>
      <w:r>
        <w:rPr>
          <w:sz w:val="20"/>
        </w:rPr>
        <w:t>y</w:t>
      </w:r>
      <w:r>
        <w:rPr>
          <w:spacing w:val="33"/>
          <w:sz w:val="20"/>
        </w:rPr>
        <w:t> </w:t>
      </w:r>
      <w:r>
        <w:rPr>
          <w:sz w:val="20"/>
        </w:rPr>
        <w:t>forma</w:t>
      </w:r>
      <w:r>
        <w:rPr>
          <w:spacing w:val="36"/>
          <w:sz w:val="20"/>
        </w:rPr>
        <w:t> </w:t>
      </w:r>
      <w:r>
        <w:rPr>
          <w:sz w:val="20"/>
        </w:rPr>
        <w:t>de</w:t>
      </w:r>
      <w:r>
        <w:rPr>
          <w:spacing w:val="38"/>
          <w:sz w:val="20"/>
        </w:rPr>
        <w:t> </w:t>
      </w:r>
      <w:r>
        <w:rPr>
          <w:sz w:val="20"/>
        </w:rPr>
        <w:t>presentación</w:t>
      </w:r>
      <w:r>
        <w:rPr>
          <w:spacing w:val="38"/>
          <w:sz w:val="20"/>
        </w:rPr>
        <w:t> </w:t>
      </w:r>
      <w:r>
        <w:rPr>
          <w:sz w:val="20"/>
        </w:rPr>
        <w:t>de</w:t>
      </w:r>
      <w:r>
        <w:rPr>
          <w:spacing w:val="38"/>
          <w:sz w:val="20"/>
        </w:rPr>
        <w:t> </w:t>
      </w:r>
      <w:r>
        <w:rPr>
          <w:sz w:val="20"/>
        </w:rPr>
        <w:t>la</w:t>
      </w:r>
      <w:r>
        <w:rPr>
          <w:spacing w:val="38"/>
          <w:sz w:val="20"/>
        </w:rPr>
        <w:t> </w:t>
      </w:r>
      <w:r>
        <w:rPr>
          <w:sz w:val="20"/>
        </w:rPr>
        <w:t>cuenta</w:t>
      </w:r>
      <w:r>
        <w:rPr>
          <w:spacing w:val="38"/>
          <w:sz w:val="20"/>
        </w:rPr>
        <w:t> </w:t>
      </w:r>
      <w:r>
        <w:rPr>
          <w:sz w:val="20"/>
        </w:rPr>
        <w:t>completa</w:t>
      </w:r>
      <w:r>
        <w:rPr>
          <w:spacing w:val="40"/>
          <w:sz w:val="20"/>
        </w:rPr>
        <w:t> </w:t>
      </w:r>
      <w:r>
        <w:rPr>
          <w:sz w:val="20"/>
        </w:rPr>
        <w:t>y</w:t>
      </w:r>
      <w:r>
        <w:rPr>
          <w:spacing w:val="35"/>
          <w:sz w:val="20"/>
        </w:rPr>
        <w:t> </w:t>
      </w:r>
      <w:r>
        <w:rPr>
          <w:sz w:val="20"/>
        </w:rPr>
        <w:t>detallada</w:t>
      </w:r>
      <w:r>
        <w:rPr>
          <w:spacing w:val="38"/>
          <w:sz w:val="20"/>
        </w:rPr>
        <w:t> </w:t>
      </w:r>
      <w:r>
        <w:rPr>
          <w:sz w:val="20"/>
        </w:rPr>
        <w:t>de</w:t>
      </w:r>
      <w:r>
        <w:rPr>
          <w:spacing w:val="40"/>
          <w:sz w:val="20"/>
        </w:rPr>
        <w:t> </w:t>
      </w:r>
      <w:r>
        <w:rPr>
          <w:sz w:val="20"/>
        </w:rPr>
        <w:t>la</w:t>
      </w:r>
      <w:r>
        <w:rPr>
          <w:spacing w:val="38"/>
          <w:sz w:val="20"/>
        </w:rPr>
        <w:t> </w:t>
      </w:r>
      <w:r>
        <w:rPr>
          <w:sz w:val="20"/>
        </w:rPr>
        <w:t>administración</w:t>
      </w:r>
      <w:r>
        <w:rPr>
          <w:spacing w:val="38"/>
          <w:sz w:val="20"/>
        </w:rPr>
        <w:t> </w:t>
      </w:r>
      <w:r>
        <w:rPr>
          <w:sz w:val="20"/>
        </w:rPr>
        <w:t>del patrimonio sindical y sanciones a sus directivos en caso de incumplimiento.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1195" w:right="343"/>
        <w:jc w:val="both"/>
      </w:pPr>
      <w:r>
        <w:rPr/>
        <w:t>Para tales efectos, se deberán establecer instancias y procedimientos internos que aseguren la resolución de controversias entre los agremiados, con motivo de la gestión de los fondos </w:t>
      </w:r>
      <w:r>
        <w:rPr>
          <w:spacing w:val="-2"/>
        </w:rPr>
        <w:t>sindicales.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rPr>
      </w:pPr>
    </w:p>
    <w:p>
      <w:pPr>
        <w:pStyle w:val="ListParagraph"/>
        <w:numPr>
          <w:ilvl w:val="0"/>
          <w:numId w:val="116"/>
        </w:numPr>
        <w:tabs>
          <w:tab w:pos="1194" w:val="left" w:leader="none"/>
        </w:tabs>
        <w:spacing w:line="240" w:lineRule="auto" w:before="0" w:after="0"/>
        <w:ind w:left="1194" w:right="0" w:hanging="568"/>
        <w:jc w:val="left"/>
        <w:rPr>
          <w:sz w:val="20"/>
        </w:rPr>
      </w:pPr>
      <w:r>
        <w:rPr>
          <w:sz w:val="20"/>
        </w:rPr>
        <w:t>Normas</w:t>
      </w:r>
      <w:r>
        <w:rPr>
          <w:spacing w:val="-8"/>
          <w:sz w:val="20"/>
        </w:rPr>
        <w:t> </w:t>
      </w:r>
      <w:r>
        <w:rPr>
          <w:sz w:val="20"/>
        </w:rPr>
        <w:t>para</w:t>
      </w:r>
      <w:r>
        <w:rPr>
          <w:spacing w:val="-9"/>
          <w:sz w:val="20"/>
        </w:rPr>
        <w:t> </w:t>
      </w:r>
      <w:r>
        <w:rPr>
          <w:sz w:val="20"/>
        </w:rPr>
        <w:t>la</w:t>
      </w:r>
      <w:r>
        <w:rPr>
          <w:spacing w:val="-8"/>
          <w:sz w:val="20"/>
        </w:rPr>
        <w:t> </w:t>
      </w:r>
      <w:r>
        <w:rPr>
          <w:sz w:val="20"/>
        </w:rPr>
        <w:t>liquidación</w:t>
      </w:r>
      <w:r>
        <w:rPr>
          <w:spacing w:val="-7"/>
          <w:sz w:val="20"/>
        </w:rPr>
        <w:t> </w:t>
      </w:r>
      <w:r>
        <w:rPr>
          <w:sz w:val="20"/>
        </w:rPr>
        <w:t>del</w:t>
      </w:r>
      <w:r>
        <w:rPr>
          <w:spacing w:val="-5"/>
          <w:sz w:val="20"/>
        </w:rPr>
        <w:t> </w:t>
      </w:r>
      <w:r>
        <w:rPr>
          <w:sz w:val="20"/>
        </w:rPr>
        <w:t>patrimonio</w:t>
      </w:r>
      <w:r>
        <w:rPr>
          <w:spacing w:val="-6"/>
          <w:sz w:val="20"/>
        </w:rPr>
        <w:t> </w:t>
      </w:r>
      <w:r>
        <w:rPr>
          <w:sz w:val="20"/>
        </w:rPr>
        <w:t>sindical;</w:t>
      </w:r>
      <w:r>
        <w:rPr>
          <w:spacing w:val="-5"/>
          <w:sz w:val="20"/>
        </w:rPr>
        <w:t> </w:t>
      </w:r>
      <w:r>
        <w:rPr>
          <w:spacing w:val="-10"/>
          <w:sz w:val="20"/>
        </w:rPr>
        <w:t>y</w:t>
      </w:r>
    </w:p>
    <w:p>
      <w:pPr>
        <w:pStyle w:val="BodyText"/>
        <w:spacing w:line="242" w:lineRule="auto" w:before="225"/>
        <w:ind w:left="1195" w:right="342" w:hanging="569"/>
        <w:jc w:val="both"/>
      </w:pPr>
      <w:r>
        <w:rPr>
          <w:rFonts w:ascii="Arial" w:hAnsi="Arial"/>
          <w:b/>
        </w:rPr>
        <w:t>XIV Bis. </w:t>
      </w:r>
      <w:r>
        <w:rPr/>
        <w:t>Procedimiento para llevar a cabo la consulta a los trabajadores mediante voto personal, libre y secreto para la aprobación del contenido de contratos colectivos de trabajo iniciales y de sus revisiones. Para tal efecto, los estatutos deberán observar el procedimiento contemplado en el artículo 390 Ter, fracción II de la presente Ley,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116"/>
        </w:numPr>
        <w:tabs>
          <w:tab w:pos="1195" w:val="left" w:leader="none"/>
        </w:tabs>
        <w:spacing w:line="240" w:lineRule="auto" w:before="0" w:after="0"/>
        <w:ind w:left="1195" w:right="0" w:hanging="569"/>
        <w:jc w:val="left"/>
        <w:rPr>
          <w:sz w:val="20"/>
        </w:rPr>
      </w:pPr>
      <w:r>
        <w:rPr>
          <w:sz w:val="20"/>
        </w:rPr>
        <w:t>Las</w:t>
      </w:r>
      <w:r>
        <w:rPr>
          <w:spacing w:val="-6"/>
          <w:sz w:val="20"/>
        </w:rPr>
        <w:t> </w:t>
      </w:r>
      <w:r>
        <w:rPr>
          <w:sz w:val="20"/>
        </w:rPr>
        <w:t>demás</w:t>
      </w:r>
      <w:r>
        <w:rPr>
          <w:spacing w:val="-5"/>
          <w:sz w:val="20"/>
        </w:rPr>
        <w:t> </w:t>
      </w:r>
      <w:r>
        <w:rPr>
          <w:sz w:val="20"/>
        </w:rPr>
        <w:t>normas</w:t>
      </w:r>
      <w:r>
        <w:rPr>
          <w:spacing w:val="-6"/>
          <w:sz w:val="20"/>
        </w:rPr>
        <w:t> </w:t>
      </w:r>
      <w:r>
        <w:rPr>
          <w:sz w:val="20"/>
        </w:rPr>
        <w:t>que</w:t>
      </w:r>
      <w:r>
        <w:rPr>
          <w:spacing w:val="-6"/>
          <w:sz w:val="20"/>
        </w:rPr>
        <w:t> </w:t>
      </w:r>
      <w:r>
        <w:rPr>
          <w:sz w:val="20"/>
        </w:rPr>
        <w:t>apruebe</w:t>
      </w:r>
      <w:r>
        <w:rPr>
          <w:spacing w:val="-4"/>
          <w:sz w:val="20"/>
        </w:rPr>
        <w:t> </w:t>
      </w:r>
      <w:r>
        <w:rPr>
          <w:sz w:val="20"/>
        </w:rPr>
        <w:t>la</w:t>
      </w:r>
      <w:r>
        <w:rPr>
          <w:spacing w:val="-5"/>
          <w:sz w:val="20"/>
        </w:rPr>
        <w:t> </w:t>
      </w:r>
      <w:r>
        <w:rPr>
          <w:spacing w:val="-2"/>
          <w:sz w:val="20"/>
        </w:rPr>
        <w:t>asamblea.</w:t>
      </w:r>
    </w:p>
    <w:p>
      <w:pPr>
        <w:pStyle w:val="BodyText"/>
        <w:spacing w:before="1"/>
      </w:pPr>
    </w:p>
    <w:p>
      <w:pPr>
        <w:pStyle w:val="BodyText"/>
        <w:ind w:left="338" w:right="339" w:firstLine="288"/>
        <w:jc w:val="both"/>
      </w:pPr>
      <w:bookmarkStart w:name="Artículo_371_Bis" w:id="493"/>
      <w:bookmarkEnd w:id="493"/>
      <w:r>
        <w:rPr/>
      </w:r>
      <w:r>
        <w:rPr>
          <w:rFonts w:ascii="Arial" w:hAnsi="Arial"/>
          <w:b/>
        </w:rPr>
        <w:t>Artículo 371 Bis.- </w:t>
      </w:r>
      <w:r>
        <w:rPr/>
        <w:t>Las elecciones de las directivas de los sindicatos estarán sujetas a un sistema de verificación del cumplimiento de los requisitos previstos en la fracción IX del artículo 371 de esta Ley, conforme a lo siguiente:</w:t>
      </w:r>
    </w:p>
    <w:p>
      <w:pPr>
        <w:pStyle w:val="ListParagraph"/>
        <w:numPr>
          <w:ilvl w:val="0"/>
          <w:numId w:val="117"/>
        </w:numPr>
        <w:tabs>
          <w:tab w:pos="986" w:val="left" w:leader="none"/>
        </w:tabs>
        <w:spacing w:line="240" w:lineRule="auto" w:before="229" w:after="0"/>
        <w:ind w:left="986" w:right="339" w:hanging="360"/>
        <w:jc w:val="both"/>
        <w:rPr>
          <w:sz w:val="20"/>
        </w:rPr>
      </w:pPr>
      <w:r>
        <w:rPr>
          <w:sz w:val="20"/>
        </w:rPr>
        <w:t>Los sindicatos podrán solicitar el auxilio del Centro Federal de Conciliación y Registro Laboral o</w:t>
      </w:r>
      <w:r>
        <w:rPr>
          <w:spacing w:val="40"/>
          <w:sz w:val="20"/>
        </w:rPr>
        <w:t> </w:t>
      </w:r>
      <w:r>
        <w:rPr>
          <w:sz w:val="20"/>
        </w:rPr>
        <w:t>de la Inspección Federal del Trabajo de la Secretaría del Trabajo y Previsión Social, a efecto que certifiquen el cumplimiento de los requisitos antes mencionados. Al concluir la elección, la autoridad que acuda a la verificación deberá formular un acta en la que conste el resultado de la elección y de la forma en que ésta se llevó a cabo, de la que se entregará copia al sindicato </w:t>
      </w:r>
      <w:r>
        <w:rPr>
          <w:spacing w:val="-2"/>
          <w:sz w:val="20"/>
        </w:rPr>
        <w:t>solicitante;</w:t>
      </w:r>
    </w:p>
    <w:p>
      <w:pPr>
        <w:pStyle w:val="BodyText"/>
        <w:spacing w:before="1"/>
      </w:pPr>
    </w:p>
    <w:p>
      <w:pPr>
        <w:pStyle w:val="ListParagraph"/>
        <w:numPr>
          <w:ilvl w:val="0"/>
          <w:numId w:val="117"/>
        </w:numPr>
        <w:tabs>
          <w:tab w:pos="983" w:val="left" w:leader="none"/>
          <w:tab w:pos="986" w:val="left" w:leader="none"/>
        </w:tabs>
        <w:spacing w:line="242" w:lineRule="auto" w:before="0" w:after="0"/>
        <w:ind w:left="986" w:right="337" w:hanging="360"/>
        <w:jc w:val="both"/>
        <w:rPr>
          <w:sz w:val="20"/>
        </w:rPr>
      </w:pPr>
      <w:r>
        <w:rPr>
          <w:sz w:val="20"/>
        </w:rPr>
        <w:t>La solicitud será realizada por los directivos sindicales o por lo menos por el treinta por ciento de los afiliados al sindicato, y</w:t>
      </w:r>
    </w:p>
    <w:p>
      <w:pPr>
        <w:pStyle w:val="ListParagraph"/>
        <w:numPr>
          <w:ilvl w:val="0"/>
          <w:numId w:val="117"/>
        </w:numPr>
        <w:tabs>
          <w:tab w:pos="983" w:val="left" w:leader="none"/>
          <w:tab w:pos="986" w:val="left" w:leader="none"/>
        </w:tabs>
        <w:spacing w:line="240" w:lineRule="auto" w:before="224" w:after="0"/>
        <w:ind w:left="986" w:right="340" w:hanging="360"/>
        <w:jc w:val="both"/>
        <w:rPr>
          <w:sz w:val="20"/>
        </w:rPr>
      </w:pPr>
      <w:r>
        <w:rPr>
          <w:sz w:val="20"/>
        </w:rPr>
        <w:t>El</w:t>
      </w:r>
      <w:r>
        <w:rPr>
          <w:spacing w:val="-3"/>
          <w:sz w:val="20"/>
        </w:rPr>
        <w:t> </w:t>
      </w:r>
      <w:r>
        <w:rPr>
          <w:sz w:val="20"/>
        </w:rPr>
        <w:t>Centro</w:t>
      </w:r>
      <w:r>
        <w:rPr>
          <w:spacing w:val="-2"/>
          <w:sz w:val="20"/>
        </w:rPr>
        <w:t> </w:t>
      </w:r>
      <w:r>
        <w:rPr>
          <w:sz w:val="20"/>
        </w:rPr>
        <w:t>Federal</w:t>
      </w:r>
      <w:r>
        <w:rPr>
          <w:spacing w:val="-3"/>
          <w:sz w:val="20"/>
        </w:rPr>
        <w:t> </w:t>
      </w:r>
      <w:r>
        <w:rPr>
          <w:sz w:val="20"/>
        </w:rPr>
        <w:t>de</w:t>
      </w:r>
      <w:r>
        <w:rPr>
          <w:spacing w:val="-2"/>
          <w:sz w:val="20"/>
        </w:rPr>
        <w:t> </w:t>
      </w:r>
      <w:r>
        <w:rPr>
          <w:sz w:val="20"/>
        </w:rPr>
        <w:t>Conciliación y</w:t>
      </w:r>
      <w:r>
        <w:rPr>
          <w:spacing w:val="-5"/>
          <w:sz w:val="20"/>
        </w:rPr>
        <w:t> </w:t>
      </w:r>
      <w:r>
        <w:rPr>
          <w:sz w:val="20"/>
        </w:rPr>
        <w:t>Registro</w:t>
      </w:r>
      <w:r>
        <w:rPr>
          <w:spacing w:val="-2"/>
          <w:sz w:val="20"/>
        </w:rPr>
        <w:t> </w:t>
      </w:r>
      <w:r>
        <w:rPr>
          <w:sz w:val="20"/>
        </w:rPr>
        <w:t>Laboral</w:t>
      </w:r>
      <w:r>
        <w:rPr>
          <w:spacing w:val="-3"/>
          <w:sz w:val="20"/>
        </w:rPr>
        <w:t> </w:t>
      </w:r>
      <w:r>
        <w:rPr>
          <w:sz w:val="20"/>
        </w:rPr>
        <w:t>podrá</w:t>
      </w:r>
      <w:r>
        <w:rPr>
          <w:spacing w:val="-2"/>
          <w:sz w:val="20"/>
        </w:rPr>
        <w:t> </w:t>
      </w:r>
      <w:r>
        <w:rPr>
          <w:sz w:val="20"/>
        </w:rPr>
        <w:t>desahogar</w:t>
      </w:r>
      <w:r>
        <w:rPr>
          <w:spacing w:val="-1"/>
          <w:sz w:val="20"/>
        </w:rPr>
        <w:t> </w:t>
      </w:r>
      <w:r>
        <w:rPr>
          <w:sz w:val="20"/>
        </w:rPr>
        <w:t>este</w:t>
      </w:r>
      <w:r>
        <w:rPr>
          <w:spacing w:val="-2"/>
          <w:sz w:val="20"/>
        </w:rPr>
        <w:t> </w:t>
      </w:r>
      <w:r>
        <w:rPr>
          <w:sz w:val="20"/>
        </w:rPr>
        <w:t>sistema</w:t>
      </w:r>
      <w:r>
        <w:rPr>
          <w:spacing w:val="-5"/>
          <w:sz w:val="20"/>
        </w:rPr>
        <w:t> </w:t>
      </w:r>
      <w:r>
        <w:rPr>
          <w:sz w:val="20"/>
        </w:rPr>
        <w:t>de</w:t>
      </w:r>
      <w:r>
        <w:rPr>
          <w:spacing w:val="-3"/>
          <w:sz w:val="20"/>
        </w:rPr>
        <w:t> </w:t>
      </w:r>
      <w:r>
        <w:rPr>
          <w:sz w:val="20"/>
        </w:rPr>
        <w:t>verificación de la elección de las directivas sindicales para que se cumpla con los principios constitucionales de certeza, confiabilidad y legalidad, y los señalados en el artículo 364 Bis de esta Ley. En caso</w:t>
      </w:r>
      <w:r>
        <w:rPr>
          <w:spacing w:val="40"/>
          <w:sz w:val="20"/>
        </w:rPr>
        <w:t> </w:t>
      </w:r>
      <w:r>
        <w:rPr>
          <w:sz w:val="20"/>
        </w:rPr>
        <w:t>de duda razonable sobre la veracidad de la documentación presentada, el Centro podrá convocar y organizar un recuento para consultar mediante voto personal, libre, directo y secreto de los trabajadores el sentido de su decisión.</w:t>
      </w:r>
    </w:p>
    <w:p>
      <w:pPr>
        <w:spacing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spacing w:line="229" w:lineRule="exact"/>
        <w:ind w:left="626"/>
      </w:pPr>
      <w:bookmarkStart w:name="Artículo_372" w:id="494"/>
      <w:bookmarkEnd w:id="494"/>
      <w:r>
        <w:rPr/>
      </w:r>
      <w:r>
        <w:rPr>
          <w:rFonts w:ascii="Arial" w:hAnsi="Arial"/>
          <w:b/>
        </w:rPr>
        <w:t>Artículo</w:t>
      </w:r>
      <w:r>
        <w:rPr>
          <w:rFonts w:ascii="Arial" w:hAnsi="Arial"/>
          <w:b/>
          <w:spacing w:val="-7"/>
        </w:rPr>
        <w:t> </w:t>
      </w:r>
      <w:r>
        <w:rPr>
          <w:rFonts w:ascii="Arial" w:hAnsi="Arial"/>
          <w:b/>
        </w:rPr>
        <w:t>372.</w:t>
      </w:r>
      <w:r>
        <w:rPr>
          <w:rFonts w:ascii="Arial" w:hAnsi="Arial"/>
          <w:b/>
          <w:spacing w:val="-4"/>
        </w:rPr>
        <w:t> </w:t>
      </w:r>
      <w:r>
        <w:rPr/>
        <w:t>No</w:t>
      </w:r>
      <w:r>
        <w:rPr>
          <w:spacing w:val="-7"/>
        </w:rPr>
        <w:t> </w:t>
      </w:r>
      <w:r>
        <w:rPr/>
        <w:t>podrán</w:t>
      </w:r>
      <w:r>
        <w:rPr>
          <w:spacing w:val="-7"/>
        </w:rPr>
        <w:t> </w:t>
      </w:r>
      <w:r>
        <w:rPr/>
        <w:t>formar</w:t>
      </w:r>
      <w:r>
        <w:rPr>
          <w:spacing w:val="-8"/>
        </w:rPr>
        <w:t> </w:t>
      </w:r>
      <w:r>
        <w:rPr/>
        <w:t>parte</w:t>
      </w:r>
      <w:r>
        <w:rPr>
          <w:spacing w:val="-7"/>
        </w:rPr>
        <w:t> </w:t>
      </w:r>
      <w:r>
        <w:rPr/>
        <w:t>de</w:t>
      </w:r>
      <w:r>
        <w:rPr>
          <w:spacing w:val="-6"/>
        </w:rPr>
        <w:t> </w:t>
      </w:r>
      <w:r>
        <w:rPr/>
        <w:t>la</w:t>
      </w:r>
      <w:r>
        <w:rPr>
          <w:spacing w:val="-5"/>
        </w:rPr>
        <w:t> </w:t>
      </w:r>
      <w:r>
        <w:rPr/>
        <w:t>directiva</w:t>
      </w:r>
      <w:r>
        <w:rPr>
          <w:spacing w:val="-7"/>
        </w:rPr>
        <w:t> </w:t>
      </w:r>
      <w:r>
        <w:rPr/>
        <w:t>de</w:t>
      </w:r>
      <w:r>
        <w:rPr>
          <w:spacing w:val="-8"/>
        </w:rPr>
        <w:t> </w:t>
      </w:r>
      <w:r>
        <w:rPr/>
        <w:t>los</w:t>
      </w:r>
      <w:r>
        <w:rPr>
          <w:spacing w:val="-6"/>
        </w:rPr>
        <w:t> </w:t>
      </w:r>
      <w:r>
        <w:rPr/>
        <w:t>sindicatos</w:t>
      </w:r>
      <w:r>
        <w:rPr>
          <w:spacing w:val="-6"/>
        </w:rPr>
        <w:t> </w:t>
      </w:r>
      <w:r>
        <w:rPr/>
        <w:t>los</w:t>
      </w:r>
      <w:r>
        <w:rPr>
          <w:spacing w:val="-6"/>
        </w:rPr>
        <w:t> </w:t>
      </w:r>
      <w:r>
        <w:rPr/>
        <w:t>trabajadores</w:t>
      </w:r>
      <w:r>
        <w:rPr>
          <w:spacing w:val="-6"/>
        </w:rPr>
        <w:t> </w:t>
      </w:r>
      <w:r>
        <w:rPr>
          <w:spacing w:val="-2"/>
        </w:rPr>
        <w:t>extranjeros.</w:t>
      </w:r>
    </w:p>
    <w:p>
      <w:pPr>
        <w:spacing w:line="183"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2"/>
        <w:rPr>
          <w:rFonts w:ascii="Times New Roman"/>
          <w:i/>
        </w:rPr>
      </w:pPr>
    </w:p>
    <w:p>
      <w:pPr>
        <w:pStyle w:val="ListParagraph"/>
        <w:numPr>
          <w:ilvl w:val="0"/>
          <w:numId w:val="118"/>
        </w:numPr>
        <w:tabs>
          <w:tab w:pos="1058" w:val="left" w:leader="none"/>
        </w:tabs>
        <w:spacing w:line="240" w:lineRule="auto" w:before="0" w:after="0"/>
        <w:ind w:left="1058" w:right="0" w:hanging="432"/>
        <w:jc w:val="left"/>
        <w:rPr>
          <w:sz w:val="20"/>
        </w:rPr>
      </w:pP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ListParagraph"/>
        <w:numPr>
          <w:ilvl w:val="0"/>
          <w:numId w:val="118"/>
        </w:numPr>
        <w:tabs>
          <w:tab w:pos="1058" w:val="left" w:leader="none"/>
        </w:tabs>
        <w:spacing w:line="240" w:lineRule="auto" w:before="229" w:after="0"/>
        <w:ind w:left="1058" w:right="0" w:hanging="432"/>
        <w:jc w:val="left"/>
        <w:rPr>
          <w:sz w:val="20"/>
        </w:rPr>
      </w:pP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12-06-</w:t>
      </w:r>
      <w:r>
        <w:rPr>
          <w:rFonts w:ascii="Times New Roman" w:hAnsi="Times New Roman"/>
          <w:i/>
          <w:color w:val="0000FF"/>
          <w:spacing w:val="-4"/>
          <w:sz w:val="16"/>
        </w:rPr>
        <w:t>2015</w:t>
      </w:r>
    </w:p>
    <w:p>
      <w:pPr>
        <w:pStyle w:val="BodyText"/>
        <w:spacing w:before="1"/>
        <w:rPr>
          <w:rFonts w:ascii="Times New Roman"/>
          <w:i/>
        </w:rPr>
      </w:pPr>
    </w:p>
    <w:p>
      <w:pPr>
        <w:pStyle w:val="BodyText"/>
        <w:spacing w:before="1"/>
        <w:ind w:left="338" w:right="336" w:firstLine="288"/>
        <w:jc w:val="both"/>
      </w:pPr>
      <w:bookmarkStart w:name="Artículo_373" w:id="495"/>
      <w:bookmarkEnd w:id="495"/>
      <w:r>
        <w:rPr/>
      </w:r>
      <w:r>
        <w:rPr>
          <w:rFonts w:ascii="Arial" w:hAnsi="Arial"/>
          <w:b/>
        </w:rPr>
        <w:t>Artículo 373.- </w:t>
      </w:r>
      <w:r>
        <w:rPr/>
        <w:t>La directiva de los sindicatos, en los términos que establezcan sus estatutos, deberá rendir a</w:t>
      </w:r>
      <w:r>
        <w:rPr>
          <w:spacing w:val="-1"/>
        </w:rPr>
        <w:t> </w:t>
      </w:r>
      <w:r>
        <w:rPr/>
        <w:t>la</w:t>
      </w:r>
      <w:r>
        <w:rPr>
          <w:spacing w:val="-1"/>
        </w:rPr>
        <w:t> </w:t>
      </w:r>
      <w:r>
        <w:rPr/>
        <w:t>asamblea</w:t>
      </w:r>
      <w:r>
        <w:rPr>
          <w:spacing w:val="-2"/>
        </w:rPr>
        <w:t> </w:t>
      </w:r>
      <w:r>
        <w:rPr/>
        <w:t>cada seis</w:t>
      </w:r>
      <w:r>
        <w:rPr>
          <w:spacing w:val="-2"/>
        </w:rPr>
        <w:t> </w:t>
      </w:r>
      <w:r>
        <w:rPr/>
        <w:t>meses,</w:t>
      </w:r>
      <w:r>
        <w:rPr>
          <w:spacing w:val="-1"/>
        </w:rPr>
        <w:t> </w:t>
      </w:r>
      <w:r>
        <w:rPr/>
        <w:t>por lo</w:t>
      </w:r>
      <w:r>
        <w:rPr>
          <w:spacing w:val="-3"/>
        </w:rPr>
        <w:t> </w:t>
      </w:r>
      <w:r>
        <w:rPr/>
        <w:t>menos,</w:t>
      </w:r>
      <w:r>
        <w:rPr>
          <w:spacing w:val="-1"/>
        </w:rPr>
        <w:t> </w:t>
      </w:r>
      <w:r>
        <w:rPr/>
        <w:t>cuenta</w:t>
      </w:r>
      <w:r>
        <w:rPr>
          <w:spacing w:val="-2"/>
        </w:rPr>
        <w:t> </w:t>
      </w:r>
      <w:r>
        <w:rPr/>
        <w:t>completa y</w:t>
      </w:r>
      <w:r>
        <w:rPr>
          <w:spacing w:val="-4"/>
        </w:rPr>
        <w:t> </w:t>
      </w:r>
      <w:r>
        <w:rPr/>
        <w:t>detallada</w:t>
      </w:r>
      <w:r>
        <w:rPr>
          <w:spacing w:val="-1"/>
        </w:rPr>
        <w:t> </w:t>
      </w:r>
      <w:r>
        <w:rPr/>
        <w:t>de</w:t>
      </w:r>
      <w:r>
        <w:rPr>
          <w:spacing w:val="-2"/>
        </w:rPr>
        <w:t> </w:t>
      </w:r>
      <w:r>
        <w:rPr/>
        <w:t>la</w:t>
      </w:r>
      <w:r>
        <w:rPr>
          <w:spacing w:val="-1"/>
        </w:rPr>
        <w:t> </w:t>
      </w:r>
      <w:r>
        <w:rPr/>
        <w:t>administración</w:t>
      </w:r>
      <w:r>
        <w:rPr>
          <w:spacing w:val="-2"/>
        </w:rPr>
        <w:t> </w:t>
      </w:r>
      <w:r>
        <w:rPr/>
        <w:t>del patrimonio sindical. La rendición de cuentas incluirá la situación de los ingresos por cuotas sindicales y otros bienes, así como su destino, debiendo levantar acta de dicha asamblea.</w:t>
      </w:r>
    </w:p>
    <w:p>
      <w:pPr>
        <w:pStyle w:val="BodyText"/>
        <w:spacing w:after="0"/>
        <w:jc w:val="both"/>
        <w:sectPr>
          <w:pgSz w:w="12240" w:h="15840"/>
          <w:pgMar w:header="724" w:footer="712" w:top="1880" w:bottom="900" w:left="1080" w:right="1080"/>
        </w:sectPr>
      </w:pPr>
    </w:p>
    <w:p>
      <w:pPr>
        <w:pStyle w:val="BodyText"/>
      </w:pPr>
    </w:p>
    <w:p>
      <w:pPr>
        <w:pStyle w:val="BodyText"/>
        <w:spacing w:before="66"/>
      </w:pPr>
    </w:p>
    <w:p>
      <w:pPr>
        <w:pStyle w:val="BodyText"/>
        <w:ind w:left="338" w:right="334" w:firstLine="288"/>
        <w:jc w:val="both"/>
      </w:pPr>
      <w:r>
        <w:rPr/>
        <w:t>El acta de la asamblea en la que se rinda cuenta de la administración del patrimonio sindical deberá ser entregada dentro de los diez días siguientes al Centro Federal de Conciliación y Registro Laboral</w:t>
      </w:r>
      <w:r>
        <w:rPr>
          <w:spacing w:val="80"/>
        </w:rPr>
        <w:t> </w:t>
      </w:r>
      <w:r>
        <w:rPr/>
        <w:t>para su depósito y registro en el expediente de registro sindical; esta obligación podrá cumplirse por vía </w:t>
      </w:r>
      <w:r>
        <w:rPr>
          <w:spacing w:val="-2"/>
        </w:rPr>
        <w:t>electrónica.</w:t>
      </w:r>
    </w:p>
    <w:p>
      <w:pPr>
        <w:pStyle w:val="BodyText"/>
        <w:spacing w:before="229"/>
        <w:ind w:left="338" w:right="340" w:firstLine="288"/>
        <w:jc w:val="both"/>
      </w:pPr>
      <w:r>
        <w:rPr/>
        <w:t>La información anterior deberá entregarse por escrito a cada miembro del sindicato en forma</w:t>
      </w:r>
      <w:r>
        <w:rPr>
          <w:spacing w:val="40"/>
        </w:rPr>
        <w:t> </w:t>
      </w:r>
      <w:r>
        <w:rPr/>
        <w:t>completa, dejando constancia de su recepción.</w:t>
      </w:r>
    </w:p>
    <w:p>
      <w:pPr>
        <w:pStyle w:val="BodyText"/>
        <w:spacing w:before="1"/>
      </w:pPr>
    </w:p>
    <w:p>
      <w:pPr>
        <w:pStyle w:val="BodyText"/>
        <w:spacing w:before="1"/>
        <w:ind w:left="626"/>
      </w:pPr>
      <w:r>
        <w:rPr/>
        <w:t>Las</w:t>
      </w:r>
      <w:r>
        <w:rPr>
          <w:spacing w:val="-6"/>
        </w:rPr>
        <w:t> </w:t>
      </w:r>
      <w:r>
        <w:rPr/>
        <w:t>obligaciones</w:t>
      </w:r>
      <w:r>
        <w:rPr>
          <w:spacing w:val="-6"/>
        </w:rPr>
        <w:t> </w:t>
      </w:r>
      <w:r>
        <w:rPr/>
        <w:t>a</w:t>
      </w:r>
      <w:r>
        <w:rPr>
          <w:spacing w:val="-5"/>
        </w:rPr>
        <w:t> </w:t>
      </w:r>
      <w:r>
        <w:rPr/>
        <w:t>que</w:t>
      </w:r>
      <w:r>
        <w:rPr>
          <w:spacing w:val="-6"/>
        </w:rPr>
        <w:t> </w:t>
      </w:r>
      <w:r>
        <w:rPr/>
        <w:t>se</w:t>
      </w:r>
      <w:r>
        <w:rPr>
          <w:spacing w:val="-7"/>
        </w:rPr>
        <w:t> </w:t>
      </w:r>
      <w:r>
        <w:rPr/>
        <w:t>refieren</w:t>
      </w:r>
      <w:r>
        <w:rPr>
          <w:spacing w:val="-7"/>
        </w:rPr>
        <w:t> </w:t>
      </w:r>
      <w:r>
        <w:rPr/>
        <w:t>los</w:t>
      </w:r>
      <w:r>
        <w:rPr>
          <w:spacing w:val="-6"/>
        </w:rPr>
        <w:t> </w:t>
      </w:r>
      <w:r>
        <w:rPr/>
        <w:t>párrafos</w:t>
      </w:r>
      <w:r>
        <w:rPr>
          <w:spacing w:val="-6"/>
        </w:rPr>
        <w:t> </w:t>
      </w:r>
      <w:r>
        <w:rPr/>
        <w:t>anteriores</w:t>
      </w:r>
      <w:r>
        <w:rPr>
          <w:spacing w:val="-6"/>
        </w:rPr>
        <w:t> </w:t>
      </w:r>
      <w:r>
        <w:rPr/>
        <w:t>no</w:t>
      </w:r>
      <w:r>
        <w:rPr>
          <w:spacing w:val="-7"/>
        </w:rPr>
        <w:t> </w:t>
      </w:r>
      <w:r>
        <w:rPr/>
        <w:t>son</w:t>
      </w:r>
      <w:r>
        <w:rPr>
          <w:spacing w:val="-5"/>
        </w:rPr>
        <w:t> </w:t>
      </w:r>
      <w:r>
        <w:rPr>
          <w:spacing w:val="-2"/>
        </w:rPr>
        <w:t>dispensables.</w:t>
      </w:r>
    </w:p>
    <w:p>
      <w:pPr>
        <w:pStyle w:val="BodyText"/>
      </w:pPr>
    </w:p>
    <w:p>
      <w:pPr>
        <w:pStyle w:val="BodyText"/>
        <w:spacing w:before="1"/>
        <w:ind w:left="338" w:right="347" w:firstLine="288"/>
        <w:jc w:val="both"/>
      </w:pPr>
      <w:r>
        <w:rPr/>
        <w:t>En todo momento cualquier trabajador tendrá el derecho de solicitar información a la directiva o a la Autoridad Registral, sobre la administración del patrimonio del sindicato.</w:t>
      </w:r>
    </w:p>
    <w:p>
      <w:pPr>
        <w:pStyle w:val="BodyText"/>
        <w:spacing w:before="229"/>
        <w:ind w:left="338" w:right="331" w:firstLine="288"/>
        <w:jc w:val="both"/>
      </w:pPr>
      <w:r>
        <w:rPr/>
        <w:t>En caso de que los trabajadores no hubieren recibido la información sobre la administración del patrimonio sindical, o estimen la existencia de irregularidades en la gestión de los fondos sindicales,</w:t>
      </w:r>
      <w:r>
        <w:rPr>
          <w:spacing w:val="40"/>
        </w:rPr>
        <w:t> </w:t>
      </w:r>
      <w:r>
        <w:rPr/>
        <w:t>podrá acudir a</w:t>
      </w:r>
      <w:r>
        <w:rPr>
          <w:spacing w:val="-2"/>
        </w:rPr>
        <w:t> </w:t>
      </w:r>
      <w:r>
        <w:rPr/>
        <w:t>las</w:t>
      </w:r>
      <w:r>
        <w:rPr>
          <w:spacing w:val="-1"/>
        </w:rPr>
        <w:t> </w:t>
      </w:r>
      <w:r>
        <w:rPr/>
        <w:t>instancias y</w:t>
      </w:r>
      <w:r>
        <w:rPr>
          <w:spacing w:val="-5"/>
        </w:rPr>
        <w:t> </w:t>
      </w:r>
      <w:r>
        <w:rPr/>
        <w:t>procedimientos</w:t>
      </w:r>
      <w:r>
        <w:rPr>
          <w:spacing w:val="-1"/>
        </w:rPr>
        <w:t> </w:t>
      </w:r>
      <w:r>
        <w:rPr/>
        <w:t>internos previstos</w:t>
      </w:r>
      <w:r>
        <w:rPr>
          <w:spacing w:val="-1"/>
        </w:rPr>
        <w:t> </w:t>
      </w:r>
      <w:r>
        <w:rPr/>
        <w:t>en los</w:t>
      </w:r>
      <w:r>
        <w:rPr>
          <w:spacing w:val="-1"/>
        </w:rPr>
        <w:t> </w:t>
      </w:r>
      <w:r>
        <w:rPr/>
        <w:t>estatutos, en</w:t>
      </w:r>
      <w:r>
        <w:rPr>
          <w:spacing w:val="-3"/>
        </w:rPr>
        <w:t> </w:t>
      </w:r>
      <w:r>
        <w:rPr/>
        <w:t>términos</w:t>
      </w:r>
      <w:r>
        <w:rPr>
          <w:spacing w:val="-1"/>
        </w:rPr>
        <w:t> </w:t>
      </w:r>
      <w:r>
        <w:rPr/>
        <w:t>del</w:t>
      </w:r>
      <w:r>
        <w:rPr>
          <w:spacing w:val="-3"/>
        </w:rPr>
        <w:t> </w:t>
      </w:r>
      <w:r>
        <w:rPr/>
        <w:t>artículo 371, fracción XIII, de esta Ley. De comprobarse la existencia de las irregularidades referidas, se sancionará a quien o quienes resulten responsables de las mismas, previo desahogo del procedimiento de investigación y resolución establecido en los estatutos; de no prever éstos sanciones eficaces y proporcionales</w:t>
      </w:r>
      <w:r>
        <w:rPr>
          <w:spacing w:val="-1"/>
        </w:rPr>
        <w:t> </w:t>
      </w:r>
      <w:r>
        <w:rPr/>
        <w:t>a</w:t>
      </w:r>
      <w:r>
        <w:rPr>
          <w:spacing w:val="-1"/>
        </w:rPr>
        <w:t> </w:t>
      </w:r>
      <w:r>
        <w:rPr/>
        <w:t>la</w:t>
      </w:r>
      <w:r>
        <w:rPr>
          <w:spacing w:val="-1"/>
        </w:rPr>
        <w:t> </w:t>
      </w:r>
      <w:r>
        <w:rPr/>
        <w:t>gravedad</w:t>
      </w:r>
      <w:r>
        <w:rPr>
          <w:spacing w:val="-2"/>
        </w:rPr>
        <w:t> </w:t>
      </w:r>
      <w:r>
        <w:rPr/>
        <w:t>de</w:t>
      </w:r>
      <w:r>
        <w:rPr>
          <w:spacing w:val="-2"/>
        </w:rPr>
        <w:t> </w:t>
      </w:r>
      <w:r>
        <w:rPr/>
        <w:t>las</w:t>
      </w:r>
      <w:r>
        <w:rPr>
          <w:spacing w:val="-1"/>
        </w:rPr>
        <w:t> </w:t>
      </w:r>
      <w:r>
        <w:rPr/>
        <w:t>conductas</w:t>
      </w:r>
      <w:r>
        <w:rPr>
          <w:spacing w:val="-1"/>
        </w:rPr>
        <w:t> </w:t>
      </w:r>
      <w:r>
        <w:rPr/>
        <w:t>u</w:t>
      </w:r>
      <w:r>
        <w:rPr>
          <w:spacing w:val="-1"/>
        </w:rPr>
        <w:t> </w:t>
      </w:r>
      <w:r>
        <w:rPr/>
        <w:t>omisiones</w:t>
      </w:r>
      <w:r>
        <w:rPr>
          <w:spacing w:val="-1"/>
        </w:rPr>
        <w:t> </w:t>
      </w:r>
      <w:r>
        <w:rPr/>
        <w:t>en</w:t>
      </w:r>
      <w:r>
        <w:rPr>
          <w:spacing w:val="-2"/>
        </w:rPr>
        <w:t> </w:t>
      </w:r>
      <w:r>
        <w:rPr/>
        <w:t>que</w:t>
      </w:r>
      <w:r>
        <w:rPr>
          <w:spacing w:val="-1"/>
        </w:rPr>
        <w:t> </w:t>
      </w:r>
      <w:r>
        <w:rPr/>
        <w:t>se</w:t>
      </w:r>
      <w:r>
        <w:rPr>
          <w:spacing w:val="-1"/>
        </w:rPr>
        <w:t> </w:t>
      </w:r>
      <w:r>
        <w:rPr/>
        <w:t>hubiese</w:t>
      </w:r>
      <w:r>
        <w:rPr>
          <w:spacing w:val="-1"/>
        </w:rPr>
        <w:t> </w:t>
      </w:r>
      <w:r>
        <w:rPr/>
        <w:t>incurrido,</w:t>
      </w:r>
      <w:r>
        <w:rPr>
          <w:spacing w:val="-1"/>
        </w:rPr>
        <w:t> </w:t>
      </w:r>
      <w:r>
        <w:rPr/>
        <w:t>los</w:t>
      </w:r>
      <w:r>
        <w:rPr>
          <w:spacing w:val="-1"/>
        </w:rPr>
        <w:t> </w:t>
      </w:r>
      <w:r>
        <w:rPr/>
        <w:t>responsables podrán ser sancionados por los órganos sindicales competentes con la suspensión o destitución de su cargo, según sea la gravedad de la irregularidad cometida, sin menoscabo de que se ejerzan las demás acciones legales que correspondan.</w:t>
      </w:r>
    </w:p>
    <w:p>
      <w:pPr>
        <w:pStyle w:val="BodyText"/>
      </w:pPr>
    </w:p>
    <w:p>
      <w:pPr>
        <w:pStyle w:val="BodyText"/>
        <w:ind w:left="338" w:right="337" w:firstLine="288"/>
        <w:jc w:val="both"/>
      </w:pPr>
      <w:r>
        <w:rPr/>
        <w:t>Con independencia de lo anterior, de no proporcionarse la información o las aclaraciones correspondientes, los trabajadores podrán tramitar ante el Tribunal que corresponda, el cumplimiento de dichas obligaciones.</w:t>
      </w:r>
    </w:p>
    <w:p>
      <w:pPr>
        <w:pStyle w:val="BodyText"/>
        <w:spacing w:before="229"/>
        <w:ind w:left="338" w:right="334" w:firstLine="288"/>
        <w:jc w:val="both"/>
      </w:pPr>
      <w:r>
        <w:rPr/>
        <w:t>El trabajador también podrá acudir a la Autoridad Registral para denunciar la omisión anterior a fin de que dicha autoridad requiera al sindicato la entrega de la información de la administración del patrimonio sindical completa, apercibiendo a los secretarios general y de finanzas u homólogos en términos del artículo 731 de esta Ley.</w:t>
      </w:r>
    </w:p>
    <w:p>
      <w:pPr>
        <w:pStyle w:val="BodyText"/>
        <w:spacing w:before="2"/>
      </w:pPr>
    </w:p>
    <w:p>
      <w:pPr>
        <w:pStyle w:val="BodyText"/>
        <w:spacing w:before="1"/>
        <w:ind w:left="338" w:right="344" w:firstLine="288"/>
        <w:jc w:val="both"/>
      </w:pPr>
      <w:r>
        <w:rPr/>
        <w:t>El ejercicio de las acciones a que se refieren los párrafos anteriores, por ningún motivo implicará la pérdida de derechos sindicales, ni será causa para la expulsión o separación del trabajador inconforme.</w:t>
      </w:r>
    </w:p>
    <w:p>
      <w:pPr>
        <w:spacing w:line="180"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9" w:firstLine="288"/>
        <w:jc w:val="both"/>
      </w:pPr>
      <w:bookmarkStart w:name="Artículo_374" w:id="496"/>
      <w:bookmarkEnd w:id="496"/>
      <w:r>
        <w:rPr/>
      </w:r>
      <w:r>
        <w:rPr>
          <w:rFonts w:ascii="Arial" w:hAnsi="Arial"/>
          <w:b/>
        </w:rPr>
        <w:t>Artículo 374.- </w:t>
      </w:r>
      <w:r>
        <w:rPr/>
        <w:t>Los sindicatos, federaciones y confederaciones, legalmente constituidos son personas morales y tienen capacidad para: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119"/>
        </w:numPr>
        <w:tabs>
          <w:tab w:pos="1195" w:val="left" w:leader="none"/>
        </w:tabs>
        <w:spacing w:line="240" w:lineRule="auto" w:before="0" w:after="0"/>
        <w:ind w:left="1195" w:right="0" w:hanging="569"/>
        <w:jc w:val="left"/>
        <w:rPr>
          <w:sz w:val="20"/>
        </w:rPr>
      </w:pPr>
      <w:r>
        <w:rPr>
          <w:sz w:val="20"/>
        </w:rPr>
        <w:t>Adquirir</w:t>
      </w:r>
      <w:r>
        <w:rPr>
          <w:spacing w:val="-10"/>
          <w:sz w:val="20"/>
        </w:rPr>
        <w:t> </w:t>
      </w:r>
      <w:r>
        <w:rPr>
          <w:sz w:val="20"/>
        </w:rPr>
        <w:t>bienes</w:t>
      </w:r>
      <w:r>
        <w:rPr>
          <w:spacing w:val="-10"/>
          <w:sz w:val="20"/>
        </w:rPr>
        <w:t> </w:t>
      </w:r>
      <w:r>
        <w:rPr>
          <w:spacing w:val="-2"/>
          <w:sz w:val="20"/>
        </w:rPr>
        <w:t>muebles;</w:t>
      </w:r>
    </w:p>
    <w:p>
      <w:pPr>
        <w:pStyle w:val="ListParagraph"/>
        <w:numPr>
          <w:ilvl w:val="0"/>
          <w:numId w:val="119"/>
        </w:numPr>
        <w:tabs>
          <w:tab w:pos="1195" w:val="left" w:leader="none"/>
        </w:tabs>
        <w:spacing w:line="240" w:lineRule="auto" w:before="229" w:after="0"/>
        <w:ind w:left="1195" w:right="0" w:hanging="569"/>
        <w:jc w:val="left"/>
        <w:rPr>
          <w:sz w:val="20"/>
        </w:rPr>
      </w:pPr>
      <w:r>
        <w:rPr>
          <w:sz w:val="20"/>
        </w:rPr>
        <w:t>Adquirir</w:t>
      </w:r>
      <w:r>
        <w:rPr>
          <w:spacing w:val="-6"/>
          <w:sz w:val="20"/>
        </w:rPr>
        <w:t> </w:t>
      </w:r>
      <w:r>
        <w:rPr>
          <w:sz w:val="20"/>
        </w:rPr>
        <w:t>los</w:t>
      </w:r>
      <w:r>
        <w:rPr>
          <w:spacing w:val="-8"/>
          <w:sz w:val="20"/>
        </w:rPr>
        <w:t> </w:t>
      </w:r>
      <w:r>
        <w:rPr>
          <w:sz w:val="20"/>
        </w:rPr>
        <w:t>bienes</w:t>
      </w:r>
      <w:r>
        <w:rPr>
          <w:spacing w:val="-7"/>
          <w:sz w:val="20"/>
        </w:rPr>
        <w:t> </w:t>
      </w:r>
      <w:r>
        <w:rPr>
          <w:sz w:val="20"/>
        </w:rPr>
        <w:t>inmuebles</w:t>
      </w:r>
      <w:r>
        <w:rPr>
          <w:spacing w:val="-7"/>
          <w:sz w:val="20"/>
        </w:rPr>
        <w:t> </w:t>
      </w:r>
      <w:r>
        <w:rPr>
          <w:sz w:val="20"/>
        </w:rPr>
        <w:t>destinados</w:t>
      </w:r>
      <w:r>
        <w:rPr>
          <w:spacing w:val="-8"/>
          <w:sz w:val="20"/>
        </w:rPr>
        <w:t> </w:t>
      </w:r>
      <w:r>
        <w:rPr>
          <w:sz w:val="20"/>
        </w:rPr>
        <w:t>inmediata</w:t>
      </w:r>
      <w:r>
        <w:rPr>
          <w:spacing w:val="-5"/>
          <w:sz w:val="20"/>
        </w:rPr>
        <w:t> </w:t>
      </w:r>
      <w:r>
        <w:rPr>
          <w:sz w:val="20"/>
        </w:rPr>
        <w:t>y</w:t>
      </w:r>
      <w:r>
        <w:rPr>
          <w:spacing w:val="-9"/>
          <w:sz w:val="20"/>
        </w:rPr>
        <w:t> </w:t>
      </w:r>
      <w:r>
        <w:rPr>
          <w:sz w:val="20"/>
        </w:rPr>
        <w:t>directamente</w:t>
      </w:r>
      <w:r>
        <w:rPr>
          <w:spacing w:val="-9"/>
          <w:sz w:val="20"/>
        </w:rPr>
        <w:t> </w:t>
      </w:r>
      <w:r>
        <w:rPr>
          <w:sz w:val="20"/>
        </w:rPr>
        <w:t>al</w:t>
      </w:r>
      <w:r>
        <w:rPr>
          <w:spacing w:val="-9"/>
          <w:sz w:val="20"/>
        </w:rPr>
        <w:t> </w:t>
      </w:r>
      <w:r>
        <w:rPr>
          <w:sz w:val="20"/>
        </w:rPr>
        <w:t>objeto</w:t>
      </w:r>
      <w:r>
        <w:rPr>
          <w:spacing w:val="-7"/>
          <w:sz w:val="20"/>
        </w:rPr>
        <w:t> </w:t>
      </w:r>
      <w:r>
        <w:rPr>
          <w:sz w:val="20"/>
        </w:rPr>
        <w:t>de</w:t>
      </w:r>
      <w:r>
        <w:rPr>
          <w:spacing w:val="-9"/>
          <w:sz w:val="20"/>
        </w:rPr>
        <w:t> </w:t>
      </w:r>
      <w:r>
        <w:rPr>
          <w:sz w:val="20"/>
        </w:rPr>
        <w:t>su</w:t>
      </w:r>
      <w:r>
        <w:rPr>
          <w:spacing w:val="-9"/>
          <w:sz w:val="20"/>
        </w:rPr>
        <w:t> </w:t>
      </w:r>
      <w:r>
        <w:rPr>
          <w:sz w:val="20"/>
        </w:rPr>
        <w:t>institución;</w:t>
      </w:r>
      <w:r>
        <w:rPr>
          <w:spacing w:val="-4"/>
          <w:sz w:val="20"/>
        </w:rPr>
        <w:t> </w:t>
      </w:r>
      <w:r>
        <w:rPr>
          <w:spacing w:val="-10"/>
          <w:sz w:val="20"/>
        </w:rPr>
        <w:t>y</w:t>
      </w:r>
    </w:p>
    <w:p>
      <w:pPr>
        <w:pStyle w:val="BodyText"/>
        <w:spacing w:before="1"/>
      </w:pPr>
    </w:p>
    <w:p>
      <w:pPr>
        <w:pStyle w:val="ListParagraph"/>
        <w:numPr>
          <w:ilvl w:val="0"/>
          <w:numId w:val="119"/>
        </w:numPr>
        <w:tabs>
          <w:tab w:pos="1195" w:val="left" w:leader="none"/>
        </w:tabs>
        <w:spacing w:line="240" w:lineRule="auto" w:before="0" w:after="0"/>
        <w:ind w:left="1195" w:right="0" w:hanging="569"/>
        <w:jc w:val="left"/>
        <w:rPr>
          <w:sz w:val="20"/>
        </w:rPr>
      </w:pPr>
      <w:r>
        <w:rPr>
          <w:sz w:val="20"/>
        </w:rPr>
        <w:t>Defender</w:t>
      </w:r>
      <w:r>
        <w:rPr>
          <w:spacing w:val="-7"/>
          <w:sz w:val="20"/>
        </w:rPr>
        <w:t> </w:t>
      </w:r>
      <w:r>
        <w:rPr>
          <w:sz w:val="20"/>
        </w:rPr>
        <w:t>ante</w:t>
      </w:r>
      <w:r>
        <w:rPr>
          <w:spacing w:val="-6"/>
          <w:sz w:val="20"/>
        </w:rPr>
        <w:t> </w:t>
      </w:r>
      <w:r>
        <w:rPr>
          <w:sz w:val="20"/>
        </w:rPr>
        <w:t>todas</w:t>
      </w:r>
      <w:r>
        <w:rPr>
          <w:spacing w:val="-7"/>
          <w:sz w:val="20"/>
        </w:rPr>
        <w:t> </w:t>
      </w:r>
      <w:r>
        <w:rPr>
          <w:sz w:val="20"/>
        </w:rPr>
        <w:t>las</w:t>
      </w:r>
      <w:r>
        <w:rPr>
          <w:spacing w:val="-6"/>
          <w:sz w:val="20"/>
        </w:rPr>
        <w:t> </w:t>
      </w:r>
      <w:r>
        <w:rPr>
          <w:sz w:val="20"/>
        </w:rPr>
        <w:t>autoridades</w:t>
      </w:r>
      <w:r>
        <w:rPr>
          <w:spacing w:val="-7"/>
          <w:sz w:val="20"/>
        </w:rPr>
        <w:t> </w:t>
      </w:r>
      <w:r>
        <w:rPr>
          <w:sz w:val="20"/>
        </w:rPr>
        <w:t>sus</w:t>
      </w:r>
      <w:r>
        <w:rPr>
          <w:spacing w:val="-6"/>
          <w:sz w:val="20"/>
        </w:rPr>
        <w:t> </w:t>
      </w:r>
      <w:r>
        <w:rPr>
          <w:sz w:val="20"/>
        </w:rPr>
        <w:t>derechos</w:t>
      </w:r>
      <w:r>
        <w:rPr>
          <w:spacing w:val="-2"/>
          <w:sz w:val="20"/>
        </w:rPr>
        <w:t> </w:t>
      </w:r>
      <w:r>
        <w:rPr>
          <w:sz w:val="20"/>
        </w:rPr>
        <w:t>y</w:t>
      </w:r>
      <w:r>
        <w:rPr>
          <w:spacing w:val="-10"/>
          <w:sz w:val="20"/>
        </w:rPr>
        <w:t> </w:t>
      </w:r>
      <w:r>
        <w:rPr>
          <w:sz w:val="20"/>
        </w:rPr>
        <w:t>ejercitar</w:t>
      </w:r>
      <w:r>
        <w:rPr>
          <w:spacing w:val="-8"/>
          <w:sz w:val="20"/>
        </w:rPr>
        <w:t> </w:t>
      </w:r>
      <w:r>
        <w:rPr>
          <w:sz w:val="20"/>
        </w:rPr>
        <w:t>las</w:t>
      </w:r>
      <w:r>
        <w:rPr>
          <w:spacing w:val="-6"/>
          <w:sz w:val="20"/>
        </w:rPr>
        <w:t> </w:t>
      </w:r>
      <w:r>
        <w:rPr>
          <w:sz w:val="20"/>
        </w:rPr>
        <w:t>acciones</w:t>
      </w:r>
      <w:r>
        <w:rPr>
          <w:spacing w:val="-6"/>
          <w:sz w:val="20"/>
        </w:rPr>
        <w:t> </w:t>
      </w:r>
      <w:r>
        <w:rPr>
          <w:spacing w:val="-2"/>
          <w:sz w:val="20"/>
        </w:rPr>
        <w:t>correspondientes.</w:t>
      </w:r>
    </w:p>
    <w:p>
      <w:pPr>
        <w:pStyle w:val="BodyText"/>
      </w:pPr>
    </w:p>
    <w:p>
      <w:pPr>
        <w:pStyle w:val="ListParagraph"/>
        <w:numPr>
          <w:ilvl w:val="0"/>
          <w:numId w:val="119"/>
        </w:numPr>
        <w:tabs>
          <w:tab w:pos="1195" w:val="left" w:leader="none"/>
        </w:tabs>
        <w:spacing w:line="242" w:lineRule="auto" w:before="1" w:after="0"/>
        <w:ind w:left="1195" w:right="344" w:hanging="569"/>
        <w:jc w:val="left"/>
        <w:rPr>
          <w:sz w:val="20"/>
        </w:rPr>
      </w:pPr>
      <w:r>
        <w:rPr>
          <w:sz w:val="20"/>
        </w:rPr>
        <w:t>Establecer</w:t>
      </w:r>
      <w:r>
        <w:rPr>
          <w:spacing w:val="29"/>
          <w:sz w:val="20"/>
        </w:rPr>
        <w:t> </w:t>
      </w:r>
      <w:r>
        <w:rPr>
          <w:sz w:val="20"/>
        </w:rPr>
        <w:t>mecanismos</w:t>
      </w:r>
      <w:r>
        <w:rPr>
          <w:spacing w:val="30"/>
          <w:sz w:val="20"/>
        </w:rPr>
        <w:t> </w:t>
      </w:r>
      <w:r>
        <w:rPr>
          <w:sz w:val="20"/>
        </w:rPr>
        <w:t>para</w:t>
      </w:r>
      <w:r>
        <w:rPr>
          <w:spacing w:val="29"/>
          <w:sz w:val="20"/>
        </w:rPr>
        <w:t> </w:t>
      </w:r>
      <w:r>
        <w:rPr>
          <w:sz w:val="20"/>
        </w:rPr>
        <w:t>fomentar</w:t>
      </w:r>
      <w:r>
        <w:rPr>
          <w:spacing w:val="29"/>
          <w:sz w:val="20"/>
        </w:rPr>
        <w:t> </w:t>
      </w:r>
      <w:r>
        <w:rPr>
          <w:sz w:val="20"/>
        </w:rPr>
        <w:t>el</w:t>
      </w:r>
      <w:r>
        <w:rPr>
          <w:spacing w:val="30"/>
          <w:sz w:val="20"/>
        </w:rPr>
        <w:t> </w:t>
      </w:r>
      <w:r>
        <w:rPr>
          <w:sz w:val="20"/>
        </w:rPr>
        <w:t>desarrollo</w:t>
      </w:r>
      <w:r>
        <w:rPr>
          <w:spacing w:val="33"/>
          <w:sz w:val="20"/>
        </w:rPr>
        <w:t> </w:t>
      </w:r>
      <w:r>
        <w:rPr>
          <w:sz w:val="20"/>
        </w:rPr>
        <w:t>y</w:t>
      </w:r>
      <w:r>
        <w:rPr>
          <w:spacing w:val="25"/>
          <w:sz w:val="20"/>
        </w:rPr>
        <w:t> </w:t>
      </w:r>
      <w:r>
        <w:rPr>
          <w:sz w:val="20"/>
        </w:rPr>
        <w:t>fortalecimiento</w:t>
      </w:r>
      <w:r>
        <w:rPr>
          <w:spacing w:val="28"/>
          <w:sz w:val="20"/>
        </w:rPr>
        <w:t> </w:t>
      </w:r>
      <w:r>
        <w:rPr>
          <w:sz w:val="20"/>
        </w:rPr>
        <w:t>de</w:t>
      </w:r>
      <w:r>
        <w:rPr>
          <w:spacing w:val="31"/>
          <w:sz w:val="20"/>
        </w:rPr>
        <w:t> </w:t>
      </w:r>
      <w:r>
        <w:rPr>
          <w:sz w:val="20"/>
        </w:rPr>
        <w:t>la</w:t>
      </w:r>
      <w:r>
        <w:rPr>
          <w:spacing w:val="31"/>
          <w:sz w:val="20"/>
        </w:rPr>
        <w:t> </w:t>
      </w:r>
      <w:r>
        <w:rPr>
          <w:sz w:val="20"/>
        </w:rPr>
        <w:t>economía</w:t>
      </w:r>
      <w:r>
        <w:rPr>
          <w:spacing w:val="28"/>
          <w:sz w:val="20"/>
        </w:rPr>
        <w:t> </w:t>
      </w:r>
      <w:r>
        <w:rPr>
          <w:sz w:val="20"/>
        </w:rPr>
        <w:t>de</w:t>
      </w:r>
      <w:r>
        <w:rPr>
          <w:spacing w:val="28"/>
          <w:sz w:val="20"/>
        </w:rPr>
        <w:t> </w:t>
      </w:r>
      <w:r>
        <w:rPr>
          <w:sz w:val="20"/>
        </w:rPr>
        <w:t>sus afiliados,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8" w:lineRule="exact"/>
        <w:jc w:val="righ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ListParagraph"/>
        <w:numPr>
          <w:ilvl w:val="0"/>
          <w:numId w:val="119"/>
        </w:numPr>
        <w:tabs>
          <w:tab w:pos="1195" w:val="left" w:leader="none"/>
        </w:tabs>
        <w:spacing w:line="242" w:lineRule="auto" w:before="0" w:after="0"/>
        <w:ind w:left="1195" w:right="331" w:hanging="569"/>
        <w:jc w:val="left"/>
        <w:rPr>
          <w:sz w:val="20"/>
        </w:rPr>
      </w:pPr>
      <w:r>
        <w:rPr>
          <w:sz w:val="20"/>
        </w:rPr>
        <w:t>Establecer y gestionar sociedades cooperativas y cajas de ahorro para sus afiliados, así como cualquier otra figura análoga.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5" w:firstLine="288"/>
        <w:jc w:val="both"/>
      </w:pPr>
      <w:bookmarkStart w:name="Artículo_375" w:id="497"/>
      <w:bookmarkEnd w:id="497"/>
      <w:r>
        <w:rPr/>
      </w:r>
      <w:r>
        <w:rPr>
          <w:rFonts w:ascii="Arial" w:hAnsi="Arial"/>
          <w:b/>
        </w:rPr>
        <w:t>Artículo 375.- </w:t>
      </w:r>
      <w:r>
        <w:rPr/>
        <w:t>Los sindicatos representan a sus miembros en la defensa de los derechos individuales que les correspondan, sin perjuicio del derecho de los trabajadores para obrar o intervenir directamente, cesando entonces, a petición del trabajador, la intervención del sindicato.</w:t>
      </w:r>
    </w:p>
    <w:p>
      <w:pPr>
        <w:pStyle w:val="BodyText"/>
        <w:spacing w:line="242" w:lineRule="auto" w:before="229"/>
        <w:ind w:left="338" w:right="347" w:firstLine="288"/>
        <w:jc w:val="both"/>
      </w:pPr>
      <w:bookmarkStart w:name="Artículo_376" w:id="498"/>
      <w:bookmarkEnd w:id="498"/>
      <w:r>
        <w:rPr/>
      </w:r>
      <w:r>
        <w:rPr>
          <w:rFonts w:ascii="Arial" w:hAnsi="Arial"/>
          <w:b/>
        </w:rPr>
        <w:t>Artículo 376.- </w:t>
      </w:r>
      <w:r>
        <w:rPr/>
        <w:t>La representación del sindicato se ejercerá por su secretario general o por la persona que designe su directiva, salvo disposición especial de los estatutos.</w:t>
      </w:r>
    </w:p>
    <w:p>
      <w:pPr>
        <w:pStyle w:val="BodyText"/>
        <w:spacing w:before="227"/>
        <w:ind w:left="338" w:right="342" w:firstLine="288"/>
        <w:jc w:val="both"/>
      </w:pPr>
      <w:r>
        <w:rPr/>
        <w:t>Los miembros de la directiva sindical que sean separados por el patrón o que se separen por causa imputable a éste, continuarán ejerciendo sus funciones salvo lo que dispongan los estatutos.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spacing w:before="0"/>
        <w:ind w:left="626" w:right="0" w:firstLine="0"/>
        <w:jc w:val="left"/>
        <w:rPr>
          <w:sz w:val="20"/>
        </w:rPr>
      </w:pPr>
      <w:bookmarkStart w:name="Artículo_377" w:id="499"/>
      <w:bookmarkEnd w:id="499"/>
      <w:r>
        <w:rPr/>
      </w:r>
      <w:r>
        <w:rPr>
          <w:rFonts w:ascii="Arial" w:hAnsi="Arial"/>
          <w:b/>
          <w:sz w:val="20"/>
        </w:rPr>
        <w:t>Artículo</w:t>
      </w:r>
      <w:r>
        <w:rPr>
          <w:rFonts w:ascii="Arial" w:hAnsi="Arial"/>
          <w:b/>
          <w:spacing w:val="-7"/>
          <w:sz w:val="20"/>
        </w:rPr>
        <w:t> </w:t>
      </w:r>
      <w:r>
        <w:rPr>
          <w:rFonts w:ascii="Arial" w:hAnsi="Arial"/>
          <w:b/>
          <w:sz w:val="20"/>
        </w:rPr>
        <w:t>377.-</w:t>
      </w:r>
      <w:r>
        <w:rPr>
          <w:rFonts w:ascii="Arial" w:hAnsi="Arial"/>
          <w:b/>
          <w:spacing w:val="-4"/>
          <w:sz w:val="20"/>
        </w:rPr>
        <w:t> </w:t>
      </w:r>
      <w:r>
        <w:rPr>
          <w:sz w:val="20"/>
        </w:rPr>
        <w:t>Son</w:t>
      </w:r>
      <w:r>
        <w:rPr>
          <w:spacing w:val="-6"/>
          <w:sz w:val="20"/>
        </w:rPr>
        <w:t> </w:t>
      </w:r>
      <w:r>
        <w:rPr>
          <w:sz w:val="20"/>
        </w:rPr>
        <w:t>obligaciones</w:t>
      </w:r>
      <w:r>
        <w:rPr>
          <w:spacing w:val="-6"/>
          <w:sz w:val="20"/>
        </w:rPr>
        <w:t> </w:t>
      </w:r>
      <w:r>
        <w:rPr>
          <w:sz w:val="20"/>
        </w:rPr>
        <w:t>de</w:t>
      </w:r>
      <w:r>
        <w:rPr>
          <w:spacing w:val="-7"/>
          <w:sz w:val="20"/>
        </w:rPr>
        <w:t> </w:t>
      </w:r>
      <w:r>
        <w:rPr>
          <w:sz w:val="20"/>
        </w:rPr>
        <w:t>los</w:t>
      </w:r>
      <w:r>
        <w:rPr>
          <w:spacing w:val="-6"/>
          <w:sz w:val="20"/>
        </w:rPr>
        <w:t> </w:t>
      </w:r>
      <w:r>
        <w:rPr>
          <w:spacing w:val="-2"/>
          <w:sz w:val="20"/>
        </w:rPr>
        <w:t>sindicatos:</w:t>
      </w:r>
    </w:p>
    <w:p>
      <w:pPr>
        <w:pStyle w:val="BodyText"/>
        <w:spacing w:before="1"/>
      </w:pPr>
    </w:p>
    <w:p>
      <w:pPr>
        <w:pStyle w:val="ListParagraph"/>
        <w:numPr>
          <w:ilvl w:val="0"/>
          <w:numId w:val="120"/>
        </w:numPr>
        <w:tabs>
          <w:tab w:pos="1193" w:val="left" w:leader="none"/>
          <w:tab w:pos="1195" w:val="left" w:leader="none"/>
        </w:tabs>
        <w:spacing w:line="242" w:lineRule="auto" w:before="0" w:after="0"/>
        <w:ind w:left="1195" w:right="344" w:hanging="569"/>
        <w:jc w:val="both"/>
        <w:rPr>
          <w:sz w:val="20"/>
        </w:rPr>
      </w:pPr>
      <w:r>
        <w:rPr>
          <w:sz w:val="20"/>
        </w:rPr>
        <w:t>Proporcionar los informes que les soliciten las autoridades del trabajo, siempre que se refieran exclusivamente a su actuación como sindicatos;</w:t>
      </w:r>
    </w:p>
    <w:p>
      <w:pPr>
        <w:pStyle w:val="ListParagraph"/>
        <w:numPr>
          <w:ilvl w:val="0"/>
          <w:numId w:val="120"/>
        </w:numPr>
        <w:tabs>
          <w:tab w:pos="1192" w:val="left" w:leader="none"/>
          <w:tab w:pos="1195" w:val="left" w:leader="none"/>
        </w:tabs>
        <w:spacing w:line="240" w:lineRule="auto" w:before="226" w:after="0"/>
        <w:ind w:left="1195" w:right="336" w:hanging="569"/>
        <w:jc w:val="both"/>
        <w:rPr>
          <w:sz w:val="20"/>
        </w:rPr>
      </w:pPr>
      <w:r>
        <w:rPr>
          <w:sz w:val="20"/>
        </w:rPr>
        <w:t>Comunicar a la Autoridad Registral, dentro de un término de diez días, los cambios de su directiva y las modificaciones de los estatutos, acompañando por duplicado copia autorizada de las actas respectivas, 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20"/>
        </w:numPr>
        <w:tabs>
          <w:tab w:pos="1195" w:val="left" w:leader="none"/>
        </w:tabs>
        <w:spacing w:line="240" w:lineRule="auto" w:before="0" w:after="0"/>
        <w:ind w:left="1195" w:right="334" w:hanging="569"/>
        <w:jc w:val="left"/>
        <w:rPr>
          <w:sz w:val="20"/>
        </w:rPr>
      </w:pPr>
      <w:r>
        <w:rPr>
          <w:sz w:val="20"/>
        </w:rPr>
        <w:t>Informar</w:t>
      </w:r>
      <w:r>
        <w:rPr>
          <w:spacing w:val="36"/>
          <w:sz w:val="20"/>
        </w:rPr>
        <w:t> </w:t>
      </w:r>
      <w:r>
        <w:rPr>
          <w:sz w:val="20"/>
        </w:rPr>
        <w:t>a</w:t>
      </w:r>
      <w:r>
        <w:rPr>
          <w:spacing w:val="35"/>
          <w:sz w:val="20"/>
        </w:rPr>
        <w:t> </w:t>
      </w:r>
      <w:r>
        <w:rPr>
          <w:sz w:val="20"/>
        </w:rPr>
        <w:t>la</w:t>
      </w:r>
      <w:r>
        <w:rPr>
          <w:spacing w:val="35"/>
          <w:sz w:val="20"/>
        </w:rPr>
        <w:t> </w:t>
      </w:r>
      <w:r>
        <w:rPr>
          <w:sz w:val="20"/>
        </w:rPr>
        <w:t>misma</w:t>
      </w:r>
      <w:r>
        <w:rPr>
          <w:spacing w:val="35"/>
          <w:sz w:val="20"/>
        </w:rPr>
        <w:t> </w:t>
      </w:r>
      <w:r>
        <w:rPr>
          <w:sz w:val="20"/>
        </w:rPr>
        <w:t>autoridad</w:t>
      </w:r>
      <w:r>
        <w:rPr>
          <w:spacing w:val="35"/>
          <w:sz w:val="20"/>
        </w:rPr>
        <w:t> </w:t>
      </w:r>
      <w:r>
        <w:rPr>
          <w:sz w:val="20"/>
        </w:rPr>
        <w:t>cada</w:t>
      </w:r>
      <w:r>
        <w:rPr>
          <w:spacing w:val="35"/>
          <w:sz w:val="20"/>
        </w:rPr>
        <w:t> </w:t>
      </w:r>
      <w:r>
        <w:rPr>
          <w:sz w:val="20"/>
        </w:rPr>
        <w:t>tres</w:t>
      </w:r>
      <w:r>
        <w:rPr>
          <w:spacing w:val="36"/>
          <w:sz w:val="20"/>
        </w:rPr>
        <w:t> </w:t>
      </w:r>
      <w:r>
        <w:rPr>
          <w:sz w:val="20"/>
        </w:rPr>
        <w:t>meses,</w:t>
      </w:r>
      <w:r>
        <w:rPr>
          <w:spacing w:val="36"/>
          <w:sz w:val="20"/>
        </w:rPr>
        <w:t> </w:t>
      </w:r>
      <w:r>
        <w:rPr>
          <w:sz w:val="20"/>
        </w:rPr>
        <w:t>por</w:t>
      </w:r>
      <w:r>
        <w:rPr>
          <w:spacing w:val="36"/>
          <w:sz w:val="20"/>
        </w:rPr>
        <w:t> </w:t>
      </w:r>
      <w:r>
        <w:rPr>
          <w:sz w:val="20"/>
        </w:rPr>
        <w:t>lo</w:t>
      </w:r>
      <w:r>
        <w:rPr>
          <w:spacing w:val="35"/>
          <w:sz w:val="20"/>
        </w:rPr>
        <w:t> </w:t>
      </w:r>
      <w:r>
        <w:rPr>
          <w:sz w:val="20"/>
        </w:rPr>
        <w:t>menos,</w:t>
      </w:r>
      <w:r>
        <w:rPr>
          <w:spacing w:val="36"/>
          <w:sz w:val="20"/>
        </w:rPr>
        <w:t> </w:t>
      </w:r>
      <w:r>
        <w:rPr>
          <w:sz w:val="20"/>
        </w:rPr>
        <w:t>de</w:t>
      </w:r>
      <w:r>
        <w:rPr>
          <w:spacing w:val="35"/>
          <w:sz w:val="20"/>
        </w:rPr>
        <w:t> </w:t>
      </w:r>
      <w:r>
        <w:rPr>
          <w:sz w:val="20"/>
        </w:rPr>
        <w:t>las</w:t>
      </w:r>
      <w:r>
        <w:rPr>
          <w:spacing w:val="36"/>
          <w:sz w:val="20"/>
        </w:rPr>
        <w:t> </w:t>
      </w:r>
      <w:r>
        <w:rPr>
          <w:sz w:val="20"/>
        </w:rPr>
        <w:t>altas</w:t>
      </w:r>
      <w:r>
        <w:rPr>
          <w:spacing w:val="39"/>
          <w:sz w:val="20"/>
        </w:rPr>
        <w:t> </w:t>
      </w:r>
      <w:r>
        <w:rPr>
          <w:sz w:val="20"/>
        </w:rPr>
        <w:t>y</w:t>
      </w:r>
      <w:r>
        <w:rPr>
          <w:spacing w:val="35"/>
          <w:sz w:val="20"/>
        </w:rPr>
        <w:t> </w:t>
      </w:r>
      <w:r>
        <w:rPr>
          <w:sz w:val="20"/>
        </w:rPr>
        <w:t>bajas</w:t>
      </w:r>
      <w:r>
        <w:rPr>
          <w:spacing w:val="36"/>
          <w:sz w:val="20"/>
        </w:rPr>
        <w:t> </w:t>
      </w:r>
      <w:r>
        <w:rPr>
          <w:sz w:val="20"/>
        </w:rPr>
        <w:t>de</w:t>
      </w:r>
      <w:r>
        <w:rPr>
          <w:spacing w:val="35"/>
          <w:sz w:val="20"/>
        </w:rPr>
        <w:t> </w:t>
      </w:r>
      <w:r>
        <w:rPr>
          <w:sz w:val="20"/>
        </w:rPr>
        <w:t>sus </w:t>
      </w:r>
      <w:r>
        <w:rPr>
          <w:spacing w:val="-2"/>
          <w:sz w:val="20"/>
        </w:rPr>
        <w:t>miembros.</w:t>
      </w:r>
    </w:p>
    <w:p>
      <w:pPr>
        <w:pStyle w:val="BodyText"/>
        <w:spacing w:before="2"/>
      </w:pPr>
    </w:p>
    <w:p>
      <w:pPr>
        <w:pStyle w:val="BodyText"/>
        <w:ind w:left="338" w:right="357" w:firstLine="288"/>
      </w:pPr>
      <w:r>
        <w:rPr/>
        <w:t>Las obligaciones a que se refiere este artículo podrán ser cumplidas a través de medios electrónicos, en los términos que determine la Autoridad Registral.</w:t>
      </w:r>
    </w:p>
    <w:p>
      <w:pPr>
        <w:spacing w:line="182" w:lineRule="exact" w:before="0"/>
        <w:ind w:left="537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626" w:right="0" w:firstLine="0"/>
        <w:jc w:val="left"/>
        <w:rPr>
          <w:sz w:val="20"/>
        </w:rPr>
      </w:pPr>
      <w:bookmarkStart w:name="Artículo_378" w:id="500"/>
      <w:bookmarkEnd w:id="500"/>
      <w:r>
        <w:rPr/>
      </w:r>
      <w:r>
        <w:rPr>
          <w:rFonts w:ascii="Arial" w:hAnsi="Arial"/>
          <w:b/>
          <w:sz w:val="20"/>
        </w:rPr>
        <w:t>Artículo</w:t>
      </w:r>
      <w:r>
        <w:rPr>
          <w:rFonts w:ascii="Arial" w:hAnsi="Arial"/>
          <w:b/>
          <w:spacing w:val="-7"/>
          <w:sz w:val="20"/>
        </w:rPr>
        <w:t> </w:t>
      </w:r>
      <w:r>
        <w:rPr>
          <w:rFonts w:ascii="Arial" w:hAnsi="Arial"/>
          <w:b/>
          <w:sz w:val="20"/>
        </w:rPr>
        <w:t>378.-</w:t>
      </w:r>
      <w:r>
        <w:rPr>
          <w:rFonts w:ascii="Arial" w:hAnsi="Arial"/>
          <w:b/>
          <w:spacing w:val="-6"/>
          <w:sz w:val="20"/>
        </w:rPr>
        <w:t> </w:t>
      </w:r>
      <w:r>
        <w:rPr>
          <w:sz w:val="20"/>
        </w:rPr>
        <w:t>Queda</w:t>
      </w:r>
      <w:r>
        <w:rPr>
          <w:spacing w:val="-6"/>
          <w:sz w:val="20"/>
        </w:rPr>
        <w:t> </w:t>
      </w:r>
      <w:r>
        <w:rPr>
          <w:sz w:val="20"/>
        </w:rPr>
        <w:t>prohibido</w:t>
      </w:r>
      <w:r>
        <w:rPr>
          <w:spacing w:val="-8"/>
          <w:sz w:val="20"/>
        </w:rPr>
        <w:t> </w:t>
      </w:r>
      <w:r>
        <w:rPr>
          <w:sz w:val="20"/>
        </w:rPr>
        <w:t>a</w:t>
      </w:r>
      <w:r>
        <w:rPr>
          <w:spacing w:val="-6"/>
          <w:sz w:val="20"/>
        </w:rPr>
        <w:t> </w:t>
      </w:r>
      <w:r>
        <w:rPr>
          <w:sz w:val="20"/>
        </w:rPr>
        <w:t>los</w:t>
      </w:r>
      <w:r>
        <w:rPr>
          <w:spacing w:val="-7"/>
          <w:sz w:val="20"/>
        </w:rPr>
        <w:t> </w:t>
      </w:r>
      <w:r>
        <w:rPr>
          <w:spacing w:val="-2"/>
          <w:sz w:val="20"/>
        </w:rPr>
        <w:t>sindicatos:</w:t>
      </w:r>
    </w:p>
    <w:p>
      <w:pPr>
        <w:pStyle w:val="BodyText"/>
      </w:pPr>
    </w:p>
    <w:p>
      <w:pPr>
        <w:pStyle w:val="ListParagraph"/>
        <w:numPr>
          <w:ilvl w:val="0"/>
          <w:numId w:val="121"/>
        </w:numPr>
        <w:tabs>
          <w:tab w:pos="1195" w:val="left" w:leader="none"/>
        </w:tabs>
        <w:spacing w:line="240" w:lineRule="auto" w:before="1" w:after="0"/>
        <w:ind w:left="1195" w:right="0" w:hanging="569"/>
        <w:jc w:val="left"/>
        <w:rPr>
          <w:sz w:val="20"/>
        </w:rPr>
      </w:pPr>
      <w:r>
        <w:rPr>
          <w:sz w:val="20"/>
        </w:rPr>
        <w:t>Intervenir</w:t>
      </w:r>
      <w:r>
        <w:rPr>
          <w:spacing w:val="-9"/>
          <w:sz w:val="20"/>
        </w:rPr>
        <w:t> </w:t>
      </w:r>
      <w:r>
        <w:rPr>
          <w:sz w:val="20"/>
        </w:rPr>
        <w:t>en</w:t>
      </w:r>
      <w:r>
        <w:rPr>
          <w:spacing w:val="-8"/>
          <w:sz w:val="20"/>
        </w:rPr>
        <w:t> </w:t>
      </w:r>
      <w:r>
        <w:rPr>
          <w:sz w:val="20"/>
        </w:rPr>
        <w:t>asuntos</w:t>
      </w:r>
      <w:r>
        <w:rPr>
          <w:spacing w:val="-9"/>
          <w:sz w:val="20"/>
        </w:rPr>
        <w:t> </w:t>
      </w:r>
      <w:r>
        <w:rPr>
          <w:sz w:val="20"/>
        </w:rPr>
        <w:t>religiosos;</w:t>
      </w:r>
      <w:r>
        <w:rPr>
          <w:spacing w:val="-7"/>
          <w:sz w:val="20"/>
        </w:rPr>
        <w:t> </w:t>
      </w:r>
      <w:r>
        <w:rPr>
          <w:spacing w:val="-10"/>
          <w:sz w:val="20"/>
        </w:rPr>
        <w:t>y</w:t>
      </w:r>
    </w:p>
    <w:p>
      <w:pPr>
        <w:pStyle w:val="ListParagraph"/>
        <w:numPr>
          <w:ilvl w:val="0"/>
          <w:numId w:val="121"/>
        </w:numPr>
        <w:tabs>
          <w:tab w:pos="1195" w:val="left" w:leader="none"/>
        </w:tabs>
        <w:spacing w:line="240" w:lineRule="auto" w:before="228" w:after="0"/>
        <w:ind w:left="1195" w:right="0" w:hanging="569"/>
        <w:jc w:val="left"/>
        <w:rPr>
          <w:sz w:val="20"/>
        </w:rPr>
      </w:pPr>
      <w:r>
        <w:rPr>
          <w:sz w:val="20"/>
        </w:rPr>
        <w:t>Ejercer</w:t>
      </w:r>
      <w:r>
        <w:rPr>
          <w:spacing w:val="-7"/>
          <w:sz w:val="20"/>
        </w:rPr>
        <w:t> </w:t>
      </w:r>
      <w:r>
        <w:rPr>
          <w:sz w:val="20"/>
        </w:rPr>
        <w:t>la</w:t>
      </w:r>
      <w:r>
        <w:rPr>
          <w:spacing w:val="-4"/>
          <w:sz w:val="20"/>
        </w:rPr>
        <w:t> </w:t>
      </w:r>
      <w:r>
        <w:rPr>
          <w:sz w:val="20"/>
        </w:rPr>
        <w:t>profesión</w:t>
      </w:r>
      <w:r>
        <w:rPr>
          <w:spacing w:val="-7"/>
          <w:sz w:val="20"/>
        </w:rPr>
        <w:t> </w:t>
      </w:r>
      <w:r>
        <w:rPr>
          <w:sz w:val="20"/>
        </w:rPr>
        <w:t>de</w:t>
      </w:r>
      <w:r>
        <w:rPr>
          <w:spacing w:val="-6"/>
          <w:sz w:val="20"/>
        </w:rPr>
        <w:t> </w:t>
      </w:r>
      <w:r>
        <w:rPr>
          <w:sz w:val="20"/>
        </w:rPr>
        <w:t>comerciantes</w:t>
      </w:r>
      <w:r>
        <w:rPr>
          <w:spacing w:val="-5"/>
          <w:sz w:val="20"/>
        </w:rPr>
        <w:t> </w:t>
      </w:r>
      <w:r>
        <w:rPr>
          <w:sz w:val="20"/>
        </w:rPr>
        <w:t>con</w:t>
      </w:r>
      <w:r>
        <w:rPr>
          <w:spacing w:val="-6"/>
          <w:sz w:val="20"/>
        </w:rPr>
        <w:t> </w:t>
      </w:r>
      <w:r>
        <w:rPr>
          <w:sz w:val="20"/>
        </w:rPr>
        <w:t>ánimo</w:t>
      </w:r>
      <w:r>
        <w:rPr>
          <w:spacing w:val="-7"/>
          <w:sz w:val="20"/>
        </w:rPr>
        <w:t> </w:t>
      </w:r>
      <w:r>
        <w:rPr>
          <w:sz w:val="20"/>
        </w:rPr>
        <w:t>de</w:t>
      </w:r>
      <w:r>
        <w:rPr>
          <w:spacing w:val="-6"/>
          <w:sz w:val="20"/>
        </w:rPr>
        <w:t> </w:t>
      </w:r>
      <w:r>
        <w:rPr>
          <w:spacing w:val="-2"/>
          <w:sz w:val="20"/>
        </w:rPr>
        <w:t>lucro.</w:t>
      </w:r>
    </w:p>
    <w:p>
      <w:pPr>
        <w:pStyle w:val="BodyText"/>
        <w:spacing w:before="1"/>
      </w:pPr>
    </w:p>
    <w:p>
      <w:pPr>
        <w:pStyle w:val="ListParagraph"/>
        <w:numPr>
          <w:ilvl w:val="0"/>
          <w:numId w:val="121"/>
        </w:numPr>
        <w:tabs>
          <w:tab w:pos="1195" w:val="left" w:leader="none"/>
        </w:tabs>
        <w:spacing w:line="242" w:lineRule="auto" w:before="0" w:after="0"/>
        <w:ind w:left="1195" w:right="342" w:hanging="569"/>
        <w:jc w:val="left"/>
        <w:rPr>
          <w:sz w:val="20"/>
        </w:rPr>
      </w:pPr>
      <w:r>
        <w:rPr>
          <w:sz w:val="20"/>
        </w:rPr>
        <w:t>Participar</w:t>
      </w:r>
      <w:r>
        <w:rPr>
          <w:spacing w:val="77"/>
          <w:sz w:val="20"/>
        </w:rPr>
        <w:t> </w:t>
      </w:r>
      <w:r>
        <w:rPr>
          <w:sz w:val="20"/>
        </w:rPr>
        <w:t>en</w:t>
      </w:r>
      <w:r>
        <w:rPr>
          <w:spacing w:val="75"/>
          <w:sz w:val="20"/>
        </w:rPr>
        <w:t> </w:t>
      </w:r>
      <w:r>
        <w:rPr>
          <w:sz w:val="20"/>
        </w:rPr>
        <w:t>esquemas</w:t>
      </w:r>
      <w:r>
        <w:rPr>
          <w:spacing w:val="74"/>
          <w:sz w:val="20"/>
        </w:rPr>
        <w:t> </w:t>
      </w:r>
      <w:r>
        <w:rPr>
          <w:sz w:val="20"/>
        </w:rPr>
        <w:t>de</w:t>
      </w:r>
      <w:r>
        <w:rPr>
          <w:spacing w:val="73"/>
          <w:sz w:val="20"/>
        </w:rPr>
        <w:t> </w:t>
      </w:r>
      <w:r>
        <w:rPr>
          <w:sz w:val="20"/>
        </w:rPr>
        <w:t>evasión</w:t>
      </w:r>
      <w:r>
        <w:rPr>
          <w:spacing w:val="75"/>
          <w:sz w:val="20"/>
        </w:rPr>
        <w:t> </w:t>
      </w:r>
      <w:r>
        <w:rPr>
          <w:sz w:val="20"/>
        </w:rPr>
        <w:t>de</w:t>
      </w:r>
      <w:r>
        <w:rPr>
          <w:spacing w:val="73"/>
          <w:sz w:val="20"/>
        </w:rPr>
        <w:t> </w:t>
      </w:r>
      <w:r>
        <w:rPr>
          <w:sz w:val="20"/>
        </w:rPr>
        <w:t>contribuciones</w:t>
      </w:r>
      <w:r>
        <w:rPr>
          <w:spacing w:val="77"/>
          <w:sz w:val="20"/>
        </w:rPr>
        <w:t> </w:t>
      </w:r>
      <w:r>
        <w:rPr>
          <w:sz w:val="20"/>
        </w:rPr>
        <w:t>o</w:t>
      </w:r>
      <w:r>
        <w:rPr>
          <w:spacing w:val="73"/>
          <w:sz w:val="20"/>
        </w:rPr>
        <w:t> </w:t>
      </w:r>
      <w:r>
        <w:rPr>
          <w:sz w:val="20"/>
        </w:rPr>
        <w:t>incumplimiento</w:t>
      </w:r>
      <w:r>
        <w:rPr>
          <w:spacing w:val="75"/>
          <w:sz w:val="20"/>
        </w:rPr>
        <w:t> </w:t>
      </w:r>
      <w:r>
        <w:rPr>
          <w:sz w:val="20"/>
        </w:rPr>
        <w:t>de</w:t>
      </w:r>
      <w:r>
        <w:rPr>
          <w:spacing w:val="73"/>
          <w:sz w:val="20"/>
        </w:rPr>
        <w:t> </w:t>
      </w:r>
      <w:r>
        <w:rPr>
          <w:sz w:val="20"/>
        </w:rPr>
        <w:t>obligaciones patronales respecto a los trabajadores;</w:t>
      </w:r>
    </w:p>
    <w:p>
      <w:pPr>
        <w:spacing w:line="180"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21"/>
        </w:numPr>
        <w:tabs>
          <w:tab w:pos="1195" w:val="left" w:leader="none"/>
        </w:tabs>
        <w:spacing w:line="242" w:lineRule="auto" w:before="0" w:after="0"/>
        <w:ind w:left="1195" w:right="346" w:hanging="569"/>
        <w:jc w:val="left"/>
        <w:rPr>
          <w:sz w:val="20"/>
        </w:rPr>
      </w:pPr>
      <w:r>
        <w:rPr>
          <w:sz w:val="20"/>
        </w:rPr>
        <w:t>Ejercer</w:t>
      </w:r>
      <w:r>
        <w:rPr>
          <w:spacing w:val="40"/>
          <w:sz w:val="20"/>
        </w:rPr>
        <w:t> </w:t>
      </w:r>
      <w:r>
        <w:rPr>
          <w:sz w:val="20"/>
        </w:rPr>
        <w:t>actos</w:t>
      </w:r>
      <w:r>
        <w:rPr>
          <w:spacing w:val="40"/>
          <w:sz w:val="20"/>
        </w:rPr>
        <w:t> </w:t>
      </w:r>
      <w:r>
        <w:rPr>
          <w:sz w:val="20"/>
        </w:rPr>
        <w:t>de</w:t>
      </w:r>
      <w:r>
        <w:rPr>
          <w:spacing w:val="40"/>
          <w:sz w:val="20"/>
        </w:rPr>
        <w:t> </w:t>
      </w:r>
      <w:r>
        <w:rPr>
          <w:sz w:val="20"/>
        </w:rPr>
        <w:t>violencia,</w:t>
      </w:r>
      <w:r>
        <w:rPr>
          <w:spacing w:val="40"/>
          <w:sz w:val="20"/>
        </w:rPr>
        <w:t> </w:t>
      </w:r>
      <w:r>
        <w:rPr>
          <w:sz w:val="20"/>
        </w:rPr>
        <w:t>discriminación,</w:t>
      </w:r>
      <w:r>
        <w:rPr>
          <w:spacing w:val="40"/>
          <w:sz w:val="20"/>
        </w:rPr>
        <w:t> </w:t>
      </w:r>
      <w:r>
        <w:rPr>
          <w:sz w:val="20"/>
        </w:rPr>
        <w:t>acoso</w:t>
      </w:r>
      <w:r>
        <w:rPr>
          <w:spacing w:val="40"/>
          <w:sz w:val="20"/>
        </w:rPr>
        <w:t> </w:t>
      </w:r>
      <w:r>
        <w:rPr>
          <w:sz w:val="20"/>
        </w:rPr>
        <w:t>u</w:t>
      </w:r>
      <w:r>
        <w:rPr>
          <w:spacing w:val="40"/>
          <w:sz w:val="20"/>
        </w:rPr>
        <w:t> </w:t>
      </w:r>
      <w:r>
        <w:rPr>
          <w:sz w:val="20"/>
        </w:rPr>
        <w:t>hostigamiento</w:t>
      </w:r>
      <w:r>
        <w:rPr>
          <w:spacing w:val="40"/>
          <w:sz w:val="20"/>
        </w:rPr>
        <w:t> </w:t>
      </w:r>
      <w:r>
        <w:rPr>
          <w:sz w:val="20"/>
        </w:rPr>
        <w:t>sexual</w:t>
      </w:r>
      <w:r>
        <w:rPr>
          <w:spacing w:val="40"/>
          <w:sz w:val="20"/>
        </w:rPr>
        <w:t> </w:t>
      </w:r>
      <w:r>
        <w:rPr>
          <w:sz w:val="20"/>
        </w:rPr>
        <w:t>en</w:t>
      </w:r>
      <w:r>
        <w:rPr>
          <w:spacing w:val="40"/>
          <w:sz w:val="20"/>
        </w:rPr>
        <w:t> </w:t>
      </w:r>
      <w:r>
        <w:rPr>
          <w:sz w:val="20"/>
        </w:rPr>
        <w:t>contra</w:t>
      </w:r>
      <w:r>
        <w:rPr>
          <w:spacing w:val="40"/>
          <w:sz w:val="20"/>
        </w:rPr>
        <w:t> </w:t>
      </w:r>
      <w:r>
        <w:rPr>
          <w:sz w:val="20"/>
        </w:rPr>
        <w:t>de</w:t>
      </w:r>
      <w:r>
        <w:rPr>
          <w:spacing w:val="40"/>
          <w:sz w:val="20"/>
        </w:rPr>
        <w:t> </w:t>
      </w:r>
      <w:r>
        <w:rPr>
          <w:sz w:val="20"/>
        </w:rPr>
        <w:t>sus miembros, el patrón, sus representantes o sus bienes, o en contra de terceros;</w:t>
      </w:r>
    </w:p>
    <w:p>
      <w:pPr>
        <w:spacing w:line="181"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21"/>
        </w:numPr>
        <w:tabs>
          <w:tab w:pos="1195" w:val="left" w:leader="none"/>
        </w:tabs>
        <w:spacing w:line="242" w:lineRule="auto" w:before="0" w:after="0"/>
        <w:ind w:left="1195" w:right="345" w:hanging="569"/>
        <w:jc w:val="left"/>
        <w:rPr>
          <w:sz w:val="20"/>
        </w:rPr>
      </w:pPr>
      <w:r>
        <w:rPr>
          <w:sz w:val="20"/>
        </w:rPr>
        <w:t>Participar</w:t>
      </w:r>
      <w:r>
        <w:rPr>
          <w:spacing w:val="40"/>
          <w:sz w:val="20"/>
        </w:rPr>
        <w:t> </w:t>
      </w:r>
      <w:r>
        <w:rPr>
          <w:sz w:val="20"/>
        </w:rPr>
        <w:t>en</w:t>
      </w:r>
      <w:r>
        <w:rPr>
          <w:spacing w:val="40"/>
          <w:sz w:val="20"/>
        </w:rPr>
        <w:t> </w:t>
      </w:r>
      <w:r>
        <w:rPr>
          <w:sz w:val="20"/>
        </w:rPr>
        <w:t>actos</w:t>
      </w:r>
      <w:r>
        <w:rPr>
          <w:spacing w:val="40"/>
          <w:sz w:val="20"/>
        </w:rPr>
        <w:t> </w:t>
      </w:r>
      <w:r>
        <w:rPr>
          <w:sz w:val="20"/>
        </w:rPr>
        <w:t>de</w:t>
      </w:r>
      <w:r>
        <w:rPr>
          <w:spacing w:val="40"/>
          <w:sz w:val="20"/>
        </w:rPr>
        <w:t> </w:t>
      </w:r>
      <w:r>
        <w:rPr>
          <w:sz w:val="20"/>
        </w:rPr>
        <w:t>simulación</w:t>
      </w:r>
      <w:r>
        <w:rPr>
          <w:spacing w:val="40"/>
          <w:sz w:val="20"/>
        </w:rPr>
        <w:t> </w:t>
      </w:r>
      <w:r>
        <w:rPr>
          <w:sz w:val="20"/>
        </w:rPr>
        <w:t>asumiendo</w:t>
      </w:r>
      <w:r>
        <w:rPr>
          <w:spacing w:val="40"/>
          <w:sz w:val="20"/>
        </w:rPr>
        <w:t> </w:t>
      </w:r>
      <w:r>
        <w:rPr>
          <w:sz w:val="20"/>
        </w:rPr>
        <w:t>el</w:t>
      </w:r>
      <w:r>
        <w:rPr>
          <w:spacing w:val="40"/>
          <w:sz w:val="20"/>
        </w:rPr>
        <w:t> </w:t>
      </w:r>
      <w:r>
        <w:rPr>
          <w:sz w:val="20"/>
        </w:rPr>
        <w:t>carácter</w:t>
      </w:r>
      <w:r>
        <w:rPr>
          <w:spacing w:val="40"/>
          <w:sz w:val="20"/>
        </w:rPr>
        <w:t> </w:t>
      </w:r>
      <w:r>
        <w:rPr>
          <w:sz w:val="20"/>
        </w:rPr>
        <w:t>de</w:t>
      </w:r>
      <w:r>
        <w:rPr>
          <w:spacing w:val="40"/>
          <w:sz w:val="20"/>
        </w:rPr>
        <w:t> </w:t>
      </w:r>
      <w:r>
        <w:rPr>
          <w:sz w:val="20"/>
        </w:rPr>
        <w:t>patrón,</w:t>
      </w:r>
      <w:r>
        <w:rPr>
          <w:spacing w:val="40"/>
          <w:sz w:val="20"/>
        </w:rPr>
        <w:t> </w:t>
      </w:r>
      <w:r>
        <w:rPr>
          <w:sz w:val="20"/>
        </w:rPr>
        <w:t>con</w:t>
      </w:r>
      <w:r>
        <w:rPr>
          <w:spacing w:val="40"/>
          <w:sz w:val="20"/>
        </w:rPr>
        <w:t> </w:t>
      </w:r>
      <w:r>
        <w:rPr>
          <w:sz w:val="20"/>
        </w:rPr>
        <w:t>el</w:t>
      </w:r>
      <w:r>
        <w:rPr>
          <w:spacing w:val="40"/>
          <w:sz w:val="20"/>
        </w:rPr>
        <w:t> </w:t>
      </w:r>
      <w:r>
        <w:rPr>
          <w:sz w:val="20"/>
        </w:rPr>
        <w:t>fin</w:t>
      </w:r>
      <w:r>
        <w:rPr>
          <w:spacing w:val="40"/>
          <w:sz w:val="20"/>
        </w:rPr>
        <w:t> </w:t>
      </w:r>
      <w:r>
        <w:rPr>
          <w:sz w:val="20"/>
        </w:rPr>
        <w:t>de</w:t>
      </w:r>
      <w:r>
        <w:rPr>
          <w:spacing w:val="40"/>
          <w:sz w:val="20"/>
        </w:rPr>
        <w:t> </w:t>
      </w:r>
      <w:r>
        <w:rPr>
          <w:sz w:val="20"/>
        </w:rPr>
        <w:t>que</w:t>
      </w:r>
      <w:r>
        <w:rPr>
          <w:spacing w:val="40"/>
          <w:sz w:val="20"/>
        </w:rPr>
        <w:t> </w:t>
      </w:r>
      <w:r>
        <w:rPr>
          <w:sz w:val="20"/>
        </w:rPr>
        <w:t>el</w:t>
      </w:r>
      <w:r>
        <w:rPr>
          <w:spacing w:val="40"/>
          <w:sz w:val="20"/>
        </w:rPr>
        <w:t> </w:t>
      </w:r>
      <w:r>
        <w:rPr>
          <w:sz w:val="20"/>
        </w:rPr>
        <w:t>verdadero patrón evada sus responsabilidades;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21"/>
        </w:numPr>
        <w:tabs>
          <w:tab w:pos="1195" w:val="left" w:leader="none"/>
        </w:tabs>
        <w:spacing w:line="240" w:lineRule="auto" w:before="0" w:after="0"/>
        <w:ind w:left="1195" w:right="334" w:hanging="569"/>
        <w:jc w:val="left"/>
        <w:rPr>
          <w:sz w:val="20"/>
        </w:rPr>
      </w:pPr>
      <w:r>
        <w:rPr>
          <w:sz w:val="20"/>
        </w:rPr>
        <w:t>Hacer</w:t>
      </w:r>
      <w:r>
        <w:rPr>
          <w:spacing w:val="40"/>
          <w:sz w:val="20"/>
        </w:rPr>
        <w:t> </w:t>
      </w:r>
      <w:r>
        <w:rPr>
          <w:sz w:val="20"/>
        </w:rPr>
        <w:t>constar</w:t>
      </w:r>
      <w:r>
        <w:rPr>
          <w:spacing w:val="40"/>
          <w:sz w:val="20"/>
        </w:rPr>
        <w:t> </w:t>
      </w:r>
      <w:r>
        <w:rPr>
          <w:sz w:val="20"/>
        </w:rPr>
        <w:t>o</w:t>
      </w:r>
      <w:r>
        <w:rPr>
          <w:spacing w:val="40"/>
          <w:sz w:val="20"/>
        </w:rPr>
        <w:t> </w:t>
      </w:r>
      <w:r>
        <w:rPr>
          <w:sz w:val="20"/>
        </w:rPr>
        <w:t>utilizar</w:t>
      </w:r>
      <w:r>
        <w:rPr>
          <w:spacing w:val="40"/>
          <w:sz w:val="20"/>
        </w:rPr>
        <w:t> </w:t>
      </w:r>
      <w:r>
        <w:rPr>
          <w:sz w:val="20"/>
        </w:rPr>
        <w:t>constancias</w:t>
      </w:r>
      <w:r>
        <w:rPr>
          <w:spacing w:val="40"/>
          <w:sz w:val="20"/>
        </w:rPr>
        <w:t> </w:t>
      </w:r>
      <w:r>
        <w:rPr>
          <w:sz w:val="20"/>
        </w:rPr>
        <w:t>en</w:t>
      </w:r>
      <w:r>
        <w:rPr>
          <w:spacing w:val="40"/>
          <w:sz w:val="20"/>
        </w:rPr>
        <w:t> </w:t>
      </w:r>
      <w:r>
        <w:rPr>
          <w:sz w:val="20"/>
        </w:rPr>
        <w:t>las</w:t>
      </w:r>
      <w:r>
        <w:rPr>
          <w:spacing w:val="40"/>
          <w:sz w:val="20"/>
        </w:rPr>
        <w:t> </w:t>
      </w:r>
      <w:r>
        <w:rPr>
          <w:sz w:val="20"/>
        </w:rPr>
        <w:t>que</w:t>
      </w:r>
      <w:r>
        <w:rPr>
          <w:spacing w:val="40"/>
          <w:sz w:val="20"/>
        </w:rPr>
        <w:t> </w:t>
      </w:r>
      <w:r>
        <w:rPr>
          <w:sz w:val="20"/>
        </w:rPr>
        <w:t>se</w:t>
      </w:r>
      <w:r>
        <w:rPr>
          <w:spacing w:val="40"/>
          <w:sz w:val="20"/>
        </w:rPr>
        <w:t> </w:t>
      </w:r>
      <w:r>
        <w:rPr>
          <w:sz w:val="20"/>
        </w:rPr>
        <w:t>señalen</w:t>
      </w:r>
      <w:r>
        <w:rPr>
          <w:spacing w:val="40"/>
          <w:sz w:val="20"/>
        </w:rPr>
        <w:t> </w:t>
      </w:r>
      <w:r>
        <w:rPr>
          <w:sz w:val="20"/>
        </w:rPr>
        <w:t>la</w:t>
      </w:r>
      <w:r>
        <w:rPr>
          <w:spacing w:val="40"/>
          <w:sz w:val="20"/>
        </w:rPr>
        <w:t> </w:t>
      </w:r>
      <w:r>
        <w:rPr>
          <w:sz w:val="20"/>
        </w:rPr>
        <w:t>realización</w:t>
      </w:r>
      <w:r>
        <w:rPr>
          <w:spacing w:val="40"/>
          <w:sz w:val="20"/>
        </w:rPr>
        <w:t> </w:t>
      </w:r>
      <w:r>
        <w:rPr>
          <w:sz w:val="20"/>
        </w:rPr>
        <w:t>de</w:t>
      </w:r>
      <w:r>
        <w:rPr>
          <w:spacing w:val="40"/>
          <w:sz w:val="20"/>
        </w:rPr>
        <w:t> </w:t>
      </w:r>
      <w:r>
        <w:rPr>
          <w:sz w:val="20"/>
        </w:rPr>
        <w:t>votaciones</w:t>
      </w:r>
      <w:r>
        <w:rPr>
          <w:spacing w:val="40"/>
          <w:sz w:val="20"/>
        </w:rPr>
        <w:t> </w:t>
      </w:r>
      <w:r>
        <w:rPr>
          <w:sz w:val="20"/>
        </w:rPr>
        <w:t>o consultas a los trabajadores sin que estas se hayan efectuado;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ListParagraph"/>
        <w:numPr>
          <w:ilvl w:val="0"/>
          <w:numId w:val="121"/>
        </w:numPr>
        <w:tabs>
          <w:tab w:pos="1193" w:val="left" w:leader="none"/>
          <w:tab w:pos="1195" w:val="left" w:leader="none"/>
        </w:tabs>
        <w:spacing w:line="242" w:lineRule="auto" w:before="0" w:after="0"/>
        <w:ind w:left="1195" w:right="342" w:hanging="569"/>
        <w:jc w:val="both"/>
        <w:rPr>
          <w:sz w:val="20"/>
        </w:rPr>
      </w:pPr>
      <w:r>
        <w:rPr>
          <w:sz w:val="20"/>
        </w:rPr>
        <w:t>Obstaculizar la participación de los trabajadores en los procedimientos de elección de sus directivas sindicales, poniendo condiciones sin fundamento legal o cualquier tipo de obstáculo indebido para ejercer el derecho de votar y ser votado,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21"/>
        </w:numPr>
        <w:tabs>
          <w:tab w:pos="1195" w:val="left" w:leader="none"/>
        </w:tabs>
        <w:spacing w:line="242" w:lineRule="auto" w:before="0" w:after="0"/>
        <w:ind w:left="1195" w:right="344" w:hanging="569"/>
        <w:jc w:val="left"/>
        <w:rPr>
          <w:sz w:val="20"/>
        </w:rPr>
      </w:pPr>
      <w:r>
        <w:rPr>
          <w:sz w:val="20"/>
        </w:rPr>
        <w:t>Cometer</w:t>
      </w:r>
      <w:r>
        <w:rPr>
          <w:spacing w:val="40"/>
          <w:sz w:val="20"/>
        </w:rPr>
        <w:t> </w:t>
      </w:r>
      <w:r>
        <w:rPr>
          <w:sz w:val="20"/>
        </w:rPr>
        <w:t>actos</w:t>
      </w:r>
      <w:r>
        <w:rPr>
          <w:spacing w:val="40"/>
          <w:sz w:val="20"/>
        </w:rPr>
        <w:t> </w:t>
      </w:r>
      <w:r>
        <w:rPr>
          <w:sz w:val="20"/>
        </w:rPr>
        <w:t>de</w:t>
      </w:r>
      <w:r>
        <w:rPr>
          <w:spacing w:val="40"/>
          <w:sz w:val="20"/>
        </w:rPr>
        <w:t> </w:t>
      </w:r>
      <w:r>
        <w:rPr>
          <w:sz w:val="20"/>
        </w:rPr>
        <w:t>extorsión</w:t>
      </w:r>
      <w:r>
        <w:rPr>
          <w:spacing w:val="40"/>
          <w:sz w:val="20"/>
        </w:rPr>
        <w:t> </w:t>
      </w:r>
      <w:r>
        <w:rPr>
          <w:sz w:val="20"/>
        </w:rPr>
        <w:t>u</w:t>
      </w:r>
      <w:r>
        <w:rPr>
          <w:spacing w:val="40"/>
          <w:sz w:val="20"/>
        </w:rPr>
        <w:t> </w:t>
      </w:r>
      <w:r>
        <w:rPr>
          <w:sz w:val="20"/>
        </w:rPr>
        <w:t>obtener</w:t>
      </w:r>
      <w:r>
        <w:rPr>
          <w:spacing w:val="40"/>
          <w:sz w:val="20"/>
        </w:rPr>
        <w:t> </w:t>
      </w:r>
      <w:r>
        <w:rPr>
          <w:sz w:val="20"/>
        </w:rPr>
        <w:t>dádivas</w:t>
      </w:r>
      <w:r>
        <w:rPr>
          <w:spacing w:val="40"/>
          <w:sz w:val="20"/>
        </w:rPr>
        <w:t> </w:t>
      </w:r>
      <w:r>
        <w:rPr>
          <w:sz w:val="20"/>
        </w:rPr>
        <w:t>del</w:t>
      </w:r>
      <w:r>
        <w:rPr>
          <w:spacing w:val="40"/>
          <w:sz w:val="20"/>
        </w:rPr>
        <w:t> </w:t>
      </w:r>
      <w:r>
        <w:rPr>
          <w:sz w:val="20"/>
        </w:rPr>
        <w:t>patrón,</w:t>
      </w:r>
      <w:r>
        <w:rPr>
          <w:spacing w:val="40"/>
          <w:sz w:val="20"/>
        </w:rPr>
        <w:t> </w:t>
      </w:r>
      <w:r>
        <w:rPr>
          <w:sz w:val="20"/>
        </w:rPr>
        <w:t>ajenas</w:t>
      </w:r>
      <w:r>
        <w:rPr>
          <w:spacing w:val="40"/>
          <w:sz w:val="20"/>
        </w:rPr>
        <w:t> </w:t>
      </w:r>
      <w:r>
        <w:rPr>
          <w:sz w:val="20"/>
        </w:rPr>
        <w:t>al</w:t>
      </w:r>
      <w:r>
        <w:rPr>
          <w:spacing w:val="40"/>
          <w:sz w:val="20"/>
        </w:rPr>
        <w:t> </w:t>
      </w:r>
      <w:r>
        <w:rPr>
          <w:sz w:val="20"/>
        </w:rPr>
        <w:t>contrato</w:t>
      </w:r>
      <w:r>
        <w:rPr>
          <w:spacing w:val="40"/>
          <w:sz w:val="20"/>
        </w:rPr>
        <w:t> </w:t>
      </w:r>
      <w:r>
        <w:rPr>
          <w:sz w:val="20"/>
        </w:rPr>
        <w:t>colectivo</w:t>
      </w:r>
      <w:r>
        <w:rPr>
          <w:spacing w:val="40"/>
          <w:sz w:val="20"/>
        </w:rPr>
        <w:t> </w:t>
      </w:r>
      <w:r>
        <w:rPr>
          <w:sz w:val="20"/>
        </w:rPr>
        <w:t>de </w:t>
      </w:r>
      <w:r>
        <w:rPr>
          <w:spacing w:val="-2"/>
          <w:sz w:val="20"/>
        </w:rPr>
        <w:t>trabajo.</w:t>
      </w:r>
    </w:p>
    <w:p>
      <w:pPr>
        <w:spacing w:line="180"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338" w:right="348" w:firstLine="288"/>
        <w:jc w:val="both"/>
      </w:pPr>
      <w:r>
        <w:rPr/>
        <w:t>Se consideran como violación a derechos fundamentales a la libertad sindical y de negociación colectiva las hipótesis contenidas en las fracciones IV, VI y VII del presente artículo.</w:t>
      </w:r>
    </w:p>
    <w:p>
      <w:pPr>
        <w:spacing w:line="180" w:lineRule="exact" w:before="0"/>
        <w:ind w:left="7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spacing w:before="1"/>
        <w:ind w:left="626" w:right="0" w:firstLine="0"/>
        <w:jc w:val="left"/>
        <w:rPr>
          <w:sz w:val="20"/>
        </w:rPr>
      </w:pPr>
      <w:bookmarkStart w:name="Artículo_379" w:id="501"/>
      <w:bookmarkEnd w:id="501"/>
      <w:r>
        <w:rPr/>
      </w:r>
      <w:r>
        <w:rPr>
          <w:rFonts w:ascii="Arial" w:hAnsi="Arial"/>
          <w:b/>
          <w:sz w:val="20"/>
        </w:rPr>
        <w:t>Artículo</w:t>
      </w:r>
      <w:r>
        <w:rPr>
          <w:rFonts w:ascii="Arial" w:hAnsi="Arial"/>
          <w:b/>
          <w:spacing w:val="-6"/>
          <w:sz w:val="20"/>
        </w:rPr>
        <w:t> </w:t>
      </w:r>
      <w:r>
        <w:rPr>
          <w:rFonts w:ascii="Arial" w:hAnsi="Arial"/>
          <w:b/>
          <w:sz w:val="20"/>
        </w:rPr>
        <w:t>379.-</w:t>
      </w:r>
      <w:r>
        <w:rPr>
          <w:rFonts w:ascii="Arial" w:hAnsi="Arial"/>
          <w:b/>
          <w:spacing w:val="-6"/>
          <w:sz w:val="20"/>
        </w:rPr>
        <w:t> </w:t>
      </w:r>
      <w:r>
        <w:rPr>
          <w:sz w:val="20"/>
        </w:rPr>
        <w:t>Los</w:t>
      </w:r>
      <w:r>
        <w:rPr>
          <w:spacing w:val="-6"/>
          <w:sz w:val="20"/>
        </w:rPr>
        <w:t> </w:t>
      </w:r>
      <w:r>
        <w:rPr>
          <w:sz w:val="20"/>
        </w:rPr>
        <w:t>sindicatos</w:t>
      </w:r>
      <w:r>
        <w:rPr>
          <w:spacing w:val="-5"/>
          <w:sz w:val="20"/>
        </w:rPr>
        <w:t> </w:t>
      </w:r>
      <w:r>
        <w:rPr>
          <w:sz w:val="20"/>
        </w:rPr>
        <w:t>se</w:t>
      </w:r>
      <w:r>
        <w:rPr>
          <w:spacing w:val="-7"/>
          <w:sz w:val="20"/>
        </w:rPr>
        <w:t> </w:t>
      </w:r>
      <w:r>
        <w:rPr>
          <w:spacing w:val="-2"/>
          <w:sz w:val="20"/>
        </w:rPr>
        <w:t>disolverán:</w:t>
      </w:r>
    </w:p>
    <w:p>
      <w:pPr>
        <w:pStyle w:val="ListParagraph"/>
        <w:numPr>
          <w:ilvl w:val="0"/>
          <w:numId w:val="122"/>
        </w:numPr>
        <w:tabs>
          <w:tab w:pos="1195" w:val="left" w:leader="none"/>
        </w:tabs>
        <w:spacing w:line="240" w:lineRule="auto" w:before="228" w:after="0"/>
        <w:ind w:left="1195" w:right="0" w:hanging="569"/>
        <w:jc w:val="left"/>
        <w:rPr>
          <w:sz w:val="20"/>
        </w:rPr>
      </w:pPr>
      <w:r>
        <w:rPr>
          <w:sz w:val="20"/>
        </w:rPr>
        <w:t>Por</w:t>
      </w:r>
      <w:r>
        <w:rPr>
          <w:spacing w:val="-6"/>
          <w:sz w:val="20"/>
        </w:rPr>
        <w:t> </w:t>
      </w:r>
      <w:r>
        <w:rPr>
          <w:sz w:val="20"/>
        </w:rPr>
        <w:t>el</w:t>
      </w:r>
      <w:r>
        <w:rPr>
          <w:spacing w:val="-5"/>
          <w:sz w:val="20"/>
        </w:rPr>
        <w:t> </w:t>
      </w:r>
      <w:r>
        <w:rPr>
          <w:sz w:val="20"/>
        </w:rPr>
        <w:t>voto</w:t>
      </w:r>
      <w:r>
        <w:rPr>
          <w:spacing w:val="-4"/>
          <w:sz w:val="20"/>
        </w:rPr>
        <w:t> </w:t>
      </w:r>
      <w:r>
        <w:rPr>
          <w:sz w:val="20"/>
        </w:rPr>
        <w:t>de</w:t>
      </w:r>
      <w:r>
        <w:rPr>
          <w:spacing w:val="-5"/>
          <w:sz w:val="20"/>
        </w:rPr>
        <w:t> </w:t>
      </w:r>
      <w:r>
        <w:rPr>
          <w:sz w:val="20"/>
        </w:rPr>
        <w:t>las</w:t>
      </w:r>
      <w:r>
        <w:rPr>
          <w:spacing w:val="-5"/>
          <w:sz w:val="20"/>
        </w:rPr>
        <w:t> </w:t>
      </w:r>
      <w:r>
        <w:rPr>
          <w:sz w:val="20"/>
        </w:rPr>
        <w:t>dos</w:t>
      </w:r>
      <w:r>
        <w:rPr>
          <w:spacing w:val="-5"/>
          <w:sz w:val="20"/>
        </w:rPr>
        <w:t> </w:t>
      </w:r>
      <w:r>
        <w:rPr>
          <w:sz w:val="20"/>
        </w:rPr>
        <w:t>terceras</w:t>
      </w:r>
      <w:r>
        <w:rPr>
          <w:spacing w:val="-5"/>
          <w:sz w:val="20"/>
        </w:rPr>
        <w:t> </w:t>
      </w:r>
      <w:r>
        <w:rPr>
          <w:sz w:val="20"/>
        </w:rPr>
        <w:t>partes</w:t>
      </w:r>
      <w:r>
        <w:rPr>
          <w:spacing w:val="-4"/>
          <w:sz w:val="20"/>
        </w:rPr>
        <w:t> </w:t>
      </w:r>
      <w:r>
        <w:rPr>
          <w:sz w:val="20"/>
        </w:rPr>
        <w:t>de</w:t>
      </w:r>
      <w:r>
        <w:rPr>
          <w:spacing w:val="-4"/>
          <w:sz w:val="20"/>
        </w:rPr>
        <w:t> </w:t>
      </w:r>
      <w:r>
        <w:rPr>
          <w:sz w:val="20"/>
        </w:rPr>
        <w:t>los</w:t>
      </w:r>
      <w:r>
        <w:rPr>
          <w:spacing w:val="-5"/>
          <w:sz w:val="20"/>
        </w:rPr>
        <w:t> </w:t>
      </w:r>
      <w:r>
        <w:rPr>
          <w:sz w:val="20"/>
        </w:rPr>
        <w:t>miembros</w:t>
      </w:r>
      <w:r>
        <w:rPr>
          <w:spacing w:val="-7"/>
          <w:sz w:val="20"/>
        </w:rPr>
        <w:t> </w:t>
      </w:r>
      <w:r>
        <w:rPr>
          <w:sz w:val="20"/>
        </w:rPr>
        <w:t>que</w:t>
      </w:r>
      <w:r>
        <w:rPr>
          <w:spacing w:val="-4"/>
          <w:sz w:val="20"/>
        </w:rPr>
        <w:t> </w:t>
      </w:r>
      <w:r>
        <w:rPr>
          <w:sz w:val="20"/>
        </w:rPr>
        <w:t>los</w:t>
      </w:r>
      <w:r>
        <w:rPr>
          <w:spacing w:val="-3"/>
          <w:sz w:val="20"/>
        </w:rPr>
        <w:t> </w:t>
      </w:r>
      <w:r>
        <w:rPr>
          <w:sz w:val="20"/>
        </w:rPr>
        <w:t>integren;</w:t>
      </w:r>
      <w:r>
        <w:rPr>
          <w:spacing w:val="-2"/>
          <w:sz w:val="20"/>
        </w:rPr>
        <w:t> </w:t>
      </w:r>
      <w:r>
        <w:rPr>
          <w:spacing w:val="-10"/>
          <w:sz w:val="20"/>
        </w:rPr>
        <w:t>y</w:t>
      </w:r>
    </w:p>
    <w:p>
      <w:pPr>
        <w:pStyle w:val="BodyText"/>
        <w:spacing w:before="1"/>
      </w:pPr>
    </w:p>
    <w:p>
      <w:pPr>
        <w:pStyle w:val="ListParagraph"/>
        <w:numPr>
          <w:ilvl w:val="0"/>
          <w:numId w:val="122"/>
        </w:numPr>
        <w:tabs>
          <w:tab w:pos="1195" w:val="left" w:leader="none"/>
        </w:tabs>
        <w:spacing w:line="240" w:lineRule="auto" w:before="0" w:after="0"/>
        <w:ind w:left="1195" w:right="0" w:hanging="569"/>
        <w:jc w:val="left"/>
        <w:rPr>
          <w:sz w:val="20"/>
        </w:rPr>
      </w:pPr>
      <w:r>
        <w:rPr>
          <w:sz w:val="20"/>
        </w:rPr>
        <w:t>Por</w:t>
      </w:r>
      <w:r>
        <w:rPr>
          <w:spacing w:val="-7"/>
          <w:sz w:val="20"/>
        </w:rPr>
        <w:t> </w:t>
      </w:r>
      <w:r>
        <w:rPr>
          <w:sz w:val="20"/>
        </w:rPr>
        <w:t>transcurrir</w:t>
      </w:r>
      <w:r>
        <w:rPr>
          <w:spacing w:val="-5"/>
          <w:sz w:val="20"/>
        </w:rPr>
        <w:t> </w:t>
      </w:r>
      <w:r>
        <w:rPr>
          <w:sz w:val="20"/>
        </w:rPr>
        <w:t>el</w:t>
      </w:r>
      <w:r>
        <w:rPr>
          <w:spacing w:val="-7"/>
          <w:sz w:val="20"/>
        </w:rPr>
        <w:t> </w:t>
      </w:r>
      <w:r>
        <w:rPr>
          <w:sz w:val="20"/>
        </w:rPr>
        <w:t>término</w:t>
      </w:r>
      <w:r>
        <w:rPr>
          <w:spacing w:val="-7"/>
          <w:sz w:val="20"/>
        </w:rPr>
        <w:t> </w:t>
      </w:r>
      <w:r>
        <w:rPr>
          <w:sz w:val="20"/>
        </w:rPr>
        <w:t>fijado</w:t>
      </w:r>
      <w:r>
        <w:rPr>
          <w:spacing w:val="-5"/>
          <w:sz w:val="20"/>
        </w:rPr>
        <w:t> </w:t>
      </w:r>
      <w:r>
        <w:rPr>
          <w:sz w:val="20"/>
        </w:rPr>
        <w:t>en</w:t>
      </w:r>
      <w:r>
        <w:rPr>
          <w:spacing w:val="-5"/>
          <w:sz w:val="20"/>
        </w:rPr>
        <w:t> </w:t>
      </w:r>
      <w:r>
        <w:rPr>
          <w:sz w:val="20"/>
        </w:rPr>
        <w:t>los</w:t>
      </w:r>
      <w:r>
        <w:rPr>
          <w:spacing w:val="-5"/>
          <w:sz w:val="20"/>
        </w:rPr>
        <w:t> </w:t>
      </w:r>
      <w:r>
        <w:rPr>
          <w:spacing w:val="-2"/>
          <w:sz w:val="20"/>
        </w:rPr>
        <w:t>estatutos.</w:t>
      </w:r>
    </w:p>
    <w:p>
      <w:pPr>
        <w:pStyle w:val="BodyText"/>
      </w:pPr>
    </w:p>
    <w:p>
      <w:pPr>
        <w:pStyle w:val="BodyText"/>
        <w:spacing w:before="1"/>
        <w:ind w:left="338" w:right="338" w:firstLine="288"/>
        <w:jc w:val="both"/>
      </w:pPr>
      <w:bookmarkStart w:name="Artículo_380" w:id="502"/>
      <w:bookmarkEnd w:id="502"/>
      <w:r>
        <w:rPr/>
      </w:r>
      <w:r>
        <w:rPr>
          <w:rFonts w:ascii="Arial" w:hAnsi="Arial"/>
          <w:b/>
        </w:rPr>
        <w:t>Artículo 380.- </w:t>
      </w:r>
      <w:r>
        <w:rPr/>
        <w:t>En caso de disolución del sindicato, el activo se aplicará en la forma que determinen sus estatutos. A falta de disposición expresa, pasará a la federación o confederación a que pertenezca y si no existen, al Instituto Mexicano del Seguro Social.</w:t>
      </w:r>
    </w:p>
    <w:p>
      <w:pPr>
        <w:pStyle w:val="BodyText"/>
        <w:spacing w:line="242" w:lineRule="auto" w:before="229"/>
        <w:ind w:left="338" w:right="342" w:firstLine="288"/>
      </w:pPr>
      <w:bookmarkStart w:name="Artículo_381" w:id="503"/>
      <w:bookmarkEnd w:id="503"/>
      <w:r>
        <w:rPr/>
      </w:r>
      <w:r>
        <w:rPr>
          <w:rFonts w:ascii="Arial" w:hAnsi="Arial"/>
          <w:b/>
        </w:rPr>
        <w:t>Artículo 381.- </w:t>
      </w:r>
      <w:r>
        <w:rPr/>
        <w:t>Los sindicatos pueden formar federaciones y confederaciones, las que se regirán por las disposiciones de este capítulo, en lo que sean aplicables.</w:t>
      </w:r>
    </w:p>
    <w:p>
      <w:pPr>
        <w:pStyle w:val="BodyText"/>
        <w:spacing w:line="242" w:lineRule="auto" w:before="224"/>
        <w:ind w:left="338" w:firstLine="288"/>
      </w:pPr>
      <w:bookmarkStart w:name="Artículo_382" w:id="504"/>
      <w:bookmarkEnd w:id="504"/>
      <w:r>
        <w:rPr/>
      </w:r>
      <w:r>
        <w:rPr>
          <w:rFonts w:ascii="Arial" w:hAnsi="Arial"/>
          <w:b/>
        </w:rPr>
        <w:t>Artículo</w:t>
      </w:r>
      <w:r>
        <w:rPr>
          <w:rFonts w:ascii="Arial" w:hAnsi="Arial"/>
          <w:b/>
          <w:spacing w:val="36"/>
        </w:rPr>
        <w:t> </w:t>
      </w:r>
      <w:r>
        <w:rPr>
          <w:rFonts w:ascii="Arial" w:hAnsi="Arial"/>
          <w:b/>
        </w:rPr>
        <w:t>382.-</w:t>
      </w:r>
      <w:r>
        <w:rPr>
          <w:rFonts w:ascii="Arial" w:hAnsi="Arial"/>
          <w:b/>
          <w:spacing w:val="34"/>
        </w:rPr>
        <w:t> </w:t>
      </w:r>
      <w:r>
        <w:rPr/>
        <w:t>Los</w:t>
      </w:r>
      <w:r>
        <w:rPr>
          <w:spacing w:val="33"/>
        </w:rPr>
        <w:t> </w:t>
      </w:r>
      <w:r>
        <w:rPr/>
        <w:t>miembros</w:t>
      </w:r>
      <w:r>
        <w:rPr>
          <w:spacing w:val="34"/>
        </w:rPr>
        <w:t> </w:t>
      </w:r>
      <w:r>
        <w:rPr/>
        <w:t>de</w:t>
      </w:r>
      <w:r>
        <w:rPr>
          <w:spacing w:val="34"/>
        </w:rPr>
        <w:t> </w:t>
      </w:r>
      <w:r>
        <w:rPr/>
        <w:t>las</w:t>
      </w:r>
      <w:r>
        <w:rPr>
          <w:spacing w:val="36"/>
        </w:rPr>
        <w:t> </w:t>
      </w:r>
      <w:r>
        <w:rPr/>
        <w:t>federaciones</w:t>
      </w:r>
      <w:r>
        <w:rPr>
          <w:spacing w:val="36"/>
        </w:rPr>
        <w:t> </w:t>
      </w:r>
      <w:r>
        <w:rPr/>
        <w:t>o</w:t>
      </w:r>
      <w:r>
        <w:rPr>
          <w:spacing w:val="35"/>
        </w:rPr>
        <w:t> </w:t>
      </w:r>
      <w:r>
        <w:rPr/>
        <w:t>confederaciones</w:t>
      </w:r>
      <w:r>
        <w:rPr>
          <w:spacing w:val="36"/>
        </w:rPr>
        <w:t> </w:t>
      </w:r>
      <w:r>
        <w:rPr/>
        <w:t>podrán</w:t>
      </w:r>
      <w:r>
        <w:rPr>
          <w:spacing w:val="35"/>
        </w:rPr>
        <w:t> </w:t>
      </w:r>
      <w:r>
        <w:rPr/>
        <w:t>retirarse</w:t>
      </w:r>
      <w:r>
        <w:rPr>
          <w:spacing w:val="35"/>
        </w:rPr>
        <w:t> </w:t>
      </w:r>
      <w:r>
        <w:rPr/>
        <w:t>de</w:t>
      </w:r>
      <w:r>
        <w:rPr>
          <w:spacing w:val="34"/>
        </w:rPr>
        <w:t> </w:t>
      </w:r>
      <w:r>
        <w:rPr/>
        <w:t>ellas,</w:t>
      </w:r>
      <w:r>
        <w:rPr>
          <w:spacing w:val="35"/>
        </w:rPr>
        <w:t> </w:t>
      </w:r>
      <w:r>
        <w:rPr/>
        <w:t>en cualquier tiempo, aunque exista pacto en contrario.</w:t>
      </w:r>
    </w:p>
    <w:p>
      <w:pPr>
        <w:pStyle w:val="BodyText"/>
        <w:spacing w:line="242" w:lineRule="auto" w:before="227"/>
        <w:ind w:left="338" w:firstLine="288"/>
      </w:pPr>
      <w:bookmarkStart w:name="Artículo_383" w:id="505"/>
      <w:bookmarkEnd w:id="505"/>
      <w:r>
        <w:rPr/>
      </w:r>
      <w:r>
        <w:rPr>
          <w:rFonts w:ascii="Arial" w:hAnsi="Arial"/>
          <w:b/>
        </w:rPr>
        <w:t>Artículo</w:t>
      </w:r>
      <w:r>
        <w:rPr>
          <w:rFonts w:ascii="Arial" w:hAnsi="Arial"/>
          <w:b/>
          <w:spacing w:val="40"/>
        </w:rPr>
        <w:t> </w:t>
      </w:r>
      <w:r>
        <w:rPr>
          <w:rFonts w:ascii="Arial" w:hAnsi="Arial"/>
          <w:b/>
        </w:rPr>
        <w:t>383.-</w:t>
      </w:r>
      <w:r>
        <w:rPr>
          <w:rFonts w:ascii="Arial" w:hAnsi="Arial"/>
          <w:b/>
          <w:spacing w:val="40"/>
        </w:rPr>
        <w:t> </w:t>
      </w:r>
      <w:r>
        <w:rPr/>
        <w:t>Los</w:t>
      </w:r>
      <w:r>
        <w:rPr>
          <w:spacing w:val="40"/>
        </w:rPr>
        <w:t> </w:t>
      </w:r>
      <w:r>
        <w:rPr/>
        <w:t>estatutos</w:t>
      </w:r>
      <w:r>
        <w:rPr>
          <w:spacing w:val="40"/>
        </w:rPr>
        <w:t> </w:t>
      </w:r>
      <w:r>
        <w:rPr/>
        <w:t>de</w:t>
      </w:r>
      <w:r>
        <w:rPr>
          <w:spacing w:val="40"/>
        </w:rPr>
        <w:t> </w:t>
      </w:r>
      <w:r>
        <w:rPr/>
        <w:t>las</w:t>
      </w:r>
      <w:r>
        <w:rPr>
          <w:spacing w:val="40"/>
        </w:rPr>
        <w:t> </w:t>
      </w:r>
      <w:r>
        <w:rPr/>
        <w:t>federaciones</w:t>
      </w:r>
      <w:r>
        <w:rPr>
          <w:spacing w:val="40"/>
        </w:rPr>
        <w:t> </w:t>
      </w:r>
      <w:r>
        <w:rPr/>
        <w:t>y</w:t>
      </w:r>
      <w:r>
        <w:rPr>
          <w:spacing w:val="40"/>
        </w:rPr>
        <w:t> </w:t>
      </w:r>
      <w:r>
        <w:rPr/>
        <w:t>confederaciones,</w:t>
      </w:r>
      <w:r>
        <w:rPr>
          <w:spacing w:val="40"/>
        </w:rPr>
        <w:t> </w:t>
      </w:r>
      <w:r>
        <w:rPr/>
        <w:t>independientemente</w:t>
      </w:r>
      <w:r>
        <w:rPr>
          <w:spacing w:val="40"/>
        </w:rPr>
        <w:t> </w:t>
      </w:r>
      <w:r>
        <w:rPr/>
        <w:t>de</w:t>
      </w:r>
      <w:r>
        <w:rPr>
          <w:spacing w:val="40"/>
        </w:rPr>
        <w:t> </w:t>
      </w:r>
      <w:r>
        <w:rPr/>
        <w:t>los requisitos aplicables del artículo 371, contendrán:</w:t>
      </w:r>
    </w:p>
    <w:p>
      <w:pPr>
        <w:pStyle w:val="ListParagraph"/>
        <w:numPr>
          <w:ilvl w:val="0"/>
          <w:numId w:val="123"/>
        </w:numPr>
        <w:tabs>
          <w:tab w:pos="1195" w:val="left" w:leader="none"/>
        </w:tabs>
        <w:spacing w:line="240" w:lineRule="auto" w:before="224" w:after="0"/>
        <w:ind w:left="1195" w:right="0" w:hanging="569"/>
        <w:jc w:val="left"/>
        <w:rPr>
          <w:sz w:val="20"/>
        </w:rPr>
      </w:pPr>
      <w:r>
        <w:rPr>
          <w:sz w:val="20"/>
        </w:rPr>
        <w:t>Denominación</w:t>
      </w:r>
      <w:r>
        <w:rPr>
          <w:spacing w:val="-3"/>
          <w:sz w:val="20"/>
        </w:rPr>
        <w:t> </w:t>
      </w:r>
      <w:r>
        <w:rPr>
          <w:sz w:val="20"/>
        </w:rPr>
        <w:t>y</w:t>
      </w:r>
      <w:r>
        <w:rPr>
          <w:spacing w:val="-9"/>
          <w:sz w:val="20"/>
        </w:rPr>
        <w:t> </w:t>
      </w:r>
      <w:r>
        <w:rPr>
          <w:sz w:val="20"/>
        </w:rPr>
        <w:t>domicilio</w:t>
      </w:r>
      <w:r>
        <w:rPr>
          <w:spacing w:val="-3"/>
          <w:sz w:val="20"/>
        </w:rPr>
        <w:t> </w:t>
      </w:r>
      <w:r>
        <w:rPr>
          <w:sz w:val="20"/>
        </w:rPr>
        <w:t>y</w:t>
      </w:r>
      <w:r>
        <w:rPr>
          <w:spacing w:val="-7"/>
          <w:sz w:val="20"/>
        </w:rPr>
        <w:t> </w:t>
      </w:r>
      <w:r>
        <w:rPr>
          <w:sz w:val="20"/>
        </w:rPr>
        <w:t>los</w:t>
      </w:r>
      <w:r>
        <w:rPr>
          <w:spacing w:val="-6"/>
          <w:sz w:val="20"/>
        </w:rPr>
        <w:t> </w:t>
      </w:r>
      <w:r>
        <w:rPr>
          <w:sz w:val="20"/>
        </w:rPr>
        <w:t>de</w:t>
      </w:r>
      <w:r>
        <w:rPr>
          <w:spacing w:val="-6"/>
          <w:sz w:val="20"/>
        </w:rPr>
        <w:t> </w:t>
      </w:r>
      <w:r>
        <w:rPr>
          <w:sz w:val="20"/>
        </w:rPr>
        <w:t>sus</w:t>
      </w:r>
      <w:r>
        <w:rPr>
          <w:spacing w:val="-5"/>
          <w:sz w:val="20"/>
        </w:rPr>
        <w:t> </w:t>
      </w:r>
      <w:r>
        <w:rPr>
          <w:sz w:val="20"/>
        </w:rPr>
        <w:t>miembros</w:t>
      </w:r>
      <w:r>
        <w:rPr>
          <w:spacing w:val="-5"/>
          <w:sz w:val="20"/>
        </w:rPr>
        <w:t> </w:t>
      </w:r>
      <w:r>
        <w:rPr>
          <w:spacing w:val="-2"/>
          <w:sz w:val="20"/>
        </w:rPr>
        <w:t>constituyentes;</w:t>
      </w:r>
    </w:p>
    <w:p>
      <w:pPr>
        <w:pStyle w:val="BodyText"/>
        <w:spacing w:before="1"/>
      </w:pPr>
    </w:p>
    <w:p>
      <w:pPr>
        <w:pStyle w:val="ListParagraph"/>
        <w:numPr>
          <w:ilvl w:val="0"/>
          <w:numId w:val="123"/>
        </w:numPr>
        <w:tabs>
          <w:tab w:pos="1195" w:val="left" w:leader="none"/>
        </w:tabs>
        <w:spacing w:line="240" w:lineRule="auto" w:before="0" w:after="0"/>
        <w:ind w:left="1195" w:right="0" w:hanging="569"/>
        <w:jc w:val="left"/>
        <w:rPr>
          <w:sz w:val="20"/>
        </w:rPr>
      </w:pPr>
      <w:r>
        <w:rPr>
          <w:sz w:val="20"/>
        </w:rPr>
        <w:t>Condiciones</w:t>
      </w:r>
      <w:r>
        <w:rPr>
          <w:spacing w:val="-7"/>
          <w:sz w:val="20"/>
        </w:rPr>
        <w:t> </w:t>
      </w:r>
      <w:r>
        <w:rPr>
          <w:sz w:val="20"/>
        </w:rPr>
        <w:t>de</w:t>
      </w:r>
      <w:r>
        <w:rPr>
          <w:spacing w:val="-8"/>
          <w:sz w:val="20"/>
        </w:rPr>
        <w:t> </w:t>
      </w:r>
      <w:r>
        <w:rPr>
          <w:sz w:val="20"/>
        </w:rPr>
        <w:t>adhesión</w:t>
      </w:r>
      <w:r>
        <w:rPr>
          <w:spacing w:val="-8"/>
          <w:sz w:val="20"/>
        </w:rPr>
        <w:t> </w:t>
      </w:r>
      <w:r>
        <w:rPr>
          <w:sz w:val="20"/>
        </w:rPr>
        <w:t>de</w:t>
      </w:r>
      <w:r>
        <w:rPr>
          <w:spacing w:val="-8"/>
          <w:sz w:val="20"/>
        </w:rPr>
        <w:t> </w:t>
      </w:r>
      <w:r>
        <w:rPr>
          <w:sz w:val="20"/>
        </w:rPr>
        <w:t>nuevos</w:t>
      </w:r>
      <w:r>
        <w:rPr>
          <w:spacing w:val="-7"/>
          <w:sz w:val="20"/>
        </w:rPr>
        <w:t> </w:t>
      </w:r>
      <w:r>
        <w:rPr>
          <w:sz w:val="20"/>
        </w:rPr>
        <w:t>miembros;</w:t>
      </w:r>
      <w:r>
        <w:rPr>
          <w:spacing w:val="-6"/>
          <w:sz w:val="20"/>
        </w:rPr>
        <w:t> </w:t>
      </w:r>
      <w:r>
        <w:rPr>
          <w:spacing w:val="-10"/>
          <w:sz w:val="20"/>
        </w:rPr>
        <w:t>y</w:t>
      </w:r>
    </w:p>
    <w:p>
      <w:pPr>
        <w:pStyle w:val="BodyText"/>
        <w:spacing w:before="1"/>
      </w:pPr>
    </w:p>
    <w:p>
      <w:pPr>
        <w:pStyle w:val="ListParagraph"/>
        <w:numPr>
          <w:ilvl w:val="0"/>
          <w:numId w:val="123"/>
        </w:numPr>
        <w:tabs>
          <w:tab w:pos="1195" w:val="left" w:leader="none"/>
        </w:tabs>
        <w:spacing w:line="240" w:lineRule="auto" w:before="0" w:after="0"/>
        <w:ind w:left="1195" w:right="0" w:hanging="569"/>
        <w:jc w:val="left"/>
        <w:rPr>
          <w:sz w:val="20"/>
        </w:rPr>
      </w:pPr>
      <w:r>
        <w:rPr>
          <w:sz w:val="20"/>
        </w:rPr>
        <w:t>Forma</w:t>
      </w:r>
      <w:r>
        <w:rPr>
          <w:spacing w:val="-7"/>
          <w:sz w:val="20"/>
        </w:rPr>
        <w:t> </w:t>
      </w:r>
      <w:r>
        <w:rPr>
          <w:sz w:val="20"/>
        </w:rPr>
        <w:t>en</w:t>
      </w:r>
      <w:r>
        <w:rPr>
          <w:spacing w:val="-6"/>
          <w:sz w:val="20"/>
        </w:rPr>
        <w:t> </w:t>
      </w:r>
      <w:r>
        <w:rPr>
          <w:sz w:val="20"/>
        </w:rPr>
        <w:t>que</w:t>
      </w:r>
      <w:r>
        <w:rPr>
          <w:spacing w:val="-7"/>
          <w:sz w:val="20"/>
        </w:rPr>
        <w:t> </w:t>
      </w:r>
      <w:r>
        <w:rPr>
          <w:sz w:val="20"/>
        </w:rPr>
        <w:t>sus</w:t>
      </w:r>
      <w:r>
        <w:rPr>
          <w:spacing w:val="-5"/>
          <w:sz w:val="20"/>
        </w:rPr>
        <w:t> </w:t>
      </w:r>
      <w:r>
        <w:rPr>
          <w:sz w:val="20"/>
        </w:rPr>
        <w:t>miembros</w:t>
      </w:r>
      <w:r>
        <w:rPr>
          <w:spacing w:val="-6"/>
          <w:sz w:val="20"/>
        </w:rPr>
        <w:t> </w:t>
      </w:r>
      <w:r>
        <w:rPr>
          <w:sz w:val="20"/>
        </w:rPr>
        <w:t>estarán</w:t>
      </w:r>
      <w:r>
        <w:rPr>
          <w:spacing w:val="-6"/>
          <w:sz w:val="20"/>
        </w:rPr>
        <w:t> </w:t>
      </w:r>
      <w:r>
        <w:rPr>
          <w:sz w:val="20"/>
        </w:rPr>
        <w:t>representados</w:t>
      </w:r>
      <w:r>
        <w:rPr>
          <w:spacing w:val="-6"/>
          <w:sz w:val="20"/>
        </w:rPr>
        <w:t> </w:t>
      </w:r>
      <w:r>
        <w:rPr>
          <w:sz w:val="20"/>
        </w:rPr>
        <w:t>en</w:t>
      </w:r>
      <w:r>
        <w:rPr>
          <w:spacing w:val="-4"/>
          <w:sz w:val="20"/>
        </w:rPr>
        <w:t> </w:t>
      </w:r>
      <w:r>
        <w:rPr>
          <w:sz w:val="20"/>
        </w:rPr>
        <w:t>la</w:t>
      </w:r>
      <w:r>
        <w:rPr>
          <w:spacing w:val="-5"/>
          <w:sz w:val="20"/>
        </w:rPr>
        <w:t> </w:t>
      </w:r>
      <w:r>
        <w:rPr>
          <w:sz w:val="20"/>
        </w:rPr>
        <w:t>directiva</w:t>
      </w:r>
      <w:r>
        <w:rPr>
          <w:spacing w:val="-5"/>
          <w:sz w:val="20"/>
        </w:rPr>
        <w:t> </w:t>
      </w:r>
      <w:r>
        <w:rPr>
          <w:sz w:val="20"/>
        </w:rPr>
        <w:t>y</w:t>
      </w:r>
      <w:r>
        <w:rPr>
          <w:spacing w:val="-7"/>
          <w:sz w:val="20"/>
        </w:rPr>
        <w:t> </w:t>
      </w:r>
      <w:r>
        <w:rPr>
          <w:sz w:val="20"/>
        </w:rPr>
        <w:t>en</w:t>
      </w:r>
      <w:r>
        <w:rPr>
          <w:spacing w:val="-6"/>
          <w:sz w:val="20"/>
        </w:rPr>
        <w:t> </w:t>
      </w:r>
      <w:r>
        <w:rPr>
          <w:sz w:val="20"/>
        </w:rPr>
        <w:t>las</w:t>
      </w:r>
      <w:r>
        <w:rPr>
          <w:spacing w:val="-5"/>
          <w:sz w:val="20"/>
        </w:rPr>
        <w:t> </w:t>
      </w:r>
      <w:r>
        <w:rPr>
          <w:spacing w:val="-2"/>
          <w:sz w:val="20"/>
        </w:rPr>
        <w:t>asambleas.</w:t>
      </w:r>
    </w:p>
    <w:p>
      <w:pPr>
        <w:pStyle w:val="BodyText"/>
        <w:spacing w:before="228"/>
        <w:ind w:left="626"/>
      </w:pPr>
      <w:bookmarkStart w:name="Artículo_384" w:id="506"/>
      <w:bookmarkEnd w:id="506"/>
      <w:r>
        <w:rPr/>
      </w:r>
      <w:r>
        <w:rPr>
          <w:rFonts w:ascii="Arial" w:hAnsi="Arial"/>
          <w:b/>
        </w:rPr>
        <w:t>Artículo</w:t>
      </w:r>
      <w:r>
        <w:rPr>
          <w:rFonts w:ascii="Arial" w:hAnsi="Arial"/>
          <w:b/>
          <w:spacing w:val="-8"/>
        </w:rPr>
        <w:t> </w:t>
      </w:r>
      <w:r>
        <w:rPr>
          <w:rFonts w:ascii="Arial" w:hAnsi="Arial"/>
          <w:b/>
        </w:rPr>
        <w:t>384.-</w:t>
      </w:r>
      <w:r>
        <w:rPr>
          <w:rFonts w:ascii="Arial" w:hAnsi="Arial"/>
          <w:b/>
          <w:spacing w:val="-8"/>
        </w:rPr>
        <w:t> </w:t>
      </w:r>
      <w:r>
        <w:rPr/>
        <w:t>Las</w:t>
      </w:r>
      <w:r>
        <w:rPr>
          <w:spacing w:val="-7"/>
        </w:rPr>
        <w:t> </w:t>
      </w:r>
      <w:r>
        <w:rPr/>
        <w:t>federaciones</w:t>
      </w:r>
      <w:r>
        <w:rPr>
          <w:spacing w:val="-4"/>
        </w:rPr>
        <w:t> </w:t>
      </w:r>
      <w:r>
        <w:rPr/>
        <w:t>y</w:t>
      </w:r>
      <w:r>
        <w:rPr>
          <w:spacing w:val="-11"/>
        </w:rPr>
        <w:t> </w:t>
      </w:r>
      <w:r>
        <w:rPr/>
        <w:t>confederaciones</w:t>
      </w:r>
      <w:r>
        <w:rPr>
          <w:spacing w:val="-8"/>
        </w:rPr>
        <w:t> </w:t>
      </w:r>
      <w:r>
        <w:rPr/>
        <w:t>deben</w:t>
      </w:r>
      <w:r>
        <w:rPr>
          <w:spacing w:val="-8"/>
        </w:rPr>
        <w:t> </w:t>
      </w:r>
      <w:r>
        <w:rPr/>
        <w:t>registrarse</w:t>
      </w:r>
      <w:r>
        <w:rPr>
          <w:spacing w:val="-8"/>
        </w:rPr>
        <w:t> </w:t>
      </w:r>
      <w:r>
        <w:rPr/>
        <w:t>ante</w:t>
      </w:r>
      <w:r>
        <w:rPr>
          <w:spacing w:val="-8"/>
        </w:rPr>
        <w:t> </w:t>
      </w:r>
      <w:r>
        <w:rPr/>
        <w:t>la</w:t>
      </w:r>
      <w:r>
        <w:rPr>
          <w:spacing w:val="-7"/>
        </w:rPr>
        <w:t> </w:t>
      </w:r>
      <w:r>
        <w:rPr/>
        <w:t>Autoridad</w:t>
      </w:r>
      <w:r>
        <w:rPr>
          <w:spacing w:val="-8"/>
        </w:rPr>
        <w:t> </w:t>
      </w:r>
      <w:r>
        <w:rPr>
          <w:spacing w:val="-2"/>
        </w:rPr>
        <w:t>Registral.</w:t>
      </w:r>
    </w:p>
    <w:p>
      <w:pPr>
        <w:spacing w:before="1"/>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626"/>
      </w:pPr>
      <w:r>
        <w:rPr/>
        <w:t>Es</w:t>
      </w:r>
      <w:r>
        <w:rPr>
          <w:spacing w:val="-6"/>
        </w:rPr>
        <w:t> </w:t>
      </w:r>
      <w:r>
        <w:rPr/>
        <w:t>aplicable</w:t>
      </w:r>
      <w:r>
        <w:rPr>
          <w:spacing w:val="-4"/>
        </w:rPr>
        <w:t> </w:t>
      </w:r>
      <w:r>
        <w:rPr/>
        <w:t>a</w:t>
      </w:r>
      <w:r>
        <w:rPr>
          <w:spacing w:val="-5"/>
        </w:rPr>
        <w:t> </w:t>
      </w:r>
      <w:r>
        <w:rPr/>
        <w:t>las</w:t>
      </w:r>
      <w:r>
        <w:rPr>
          <w:spacing w:val="-5"/>
        </w:rPr>
        <w:t> </w:t>
      </w:r>
      <w:r>
        <w:rPr/>
        <w:t>federaciones</w:t>
      </w:r>
      <w:r>
        <w:rPr>
          <w:spacing w:val="-4"/>
        </w:rPr>
        <w:t> </w:t>
      </w:r>
      <w:r>
        <w:rPr/>
        <w:t>y</w:t>
      </w:r>
      <w:r>
        <w:rPr>
          <w:spacing w:val="-9"/>
        </w:rPr>
        <w:t> </w:t>
      </w:r>
      <w:r>
        <w:rPr/>
        <w:t>confederaciones</w:t>
      </w:r>
      <w:r>
        <w:rPr>
          <w:spacing w:val="-3"/>
        </w:rPr>
        <w:t> </w:t>
      </w:r>
      <w:r>
        <w:rPr/>
        <w:t>lo</w:t>
      </w:r>
      <w:r>
        <w:rPr>
          <w:spacing w:val="-7"/>
        </w:rPr>
        <w:t> </w:t>
      </w:r>
      <w:r>
        <w:rPr/>
        <w:t>dispuesto</w:t>
      </w:r>
      <w:r>
        <w:rPr>
          <w:spacing w:val="-7"/>
        </w:rPr>
        <w:t> </w:t>
      </w:r>
      <w:r>
        <w:rPr/>
        <w:t>en</w:t>
      </w:r>
      <w:r>
        <w:rPr>
          <w:spacing w:val="-6"/>
        </w:rPr>
        <w:t> </w:t>
      </w:r>
      <w:r>
        <w:rPr/>
        <w:t>el</w:t>
      </w:r>
      <w:r>
        <w:rPr>
          <w:spacing w:val="-7"/>
        </w:rPr>
        <w:t> </w:t>
      </w:r>
      <w:r>
        <w:rPr/>
        <w:t>párrafo</w:t>
      </w:r>
      <w:r>
        <w:rPr>
          <w:spacing w:val="-7"/>
        </w:rPr>
        <w:t> </w:t>
      </w:r>
      <w:r>
        <w:rPr/>
        <w:t>final</w:t>
      </w:r>
      <w:r>
        <w:rPr>
          <w:spacing w:val="-5"/>
        </w:rPr>
        <w:t> </w:t>
      </w:r>
      <w:r>
        <w:rPr/>
        <w:t>del</w:t>
      </w:r>
      <w:r>
        <w:rPr>
          <w:spacing w:val="-5"/>
        </w:rPr>
        <w:t> </w:t>
      </w:r>
      <w:r>
        <w:rPr/>
        <w:t>artículo</w:t>
      </w:r>
      <w:r>
        <w:rPr>
          <w:spacing w:val="-7"/>
        </w:rPr>
        <w:t> </w:t>
      </w:r>
      <w:r>
        <w:rPr>
          <w:spacing w:val="-4"/>
        </w:rPr>
        <w:t>366.</w:t>
      </w:r>
    </w:p>
    <w:p>
      <w:pPr>
        <w:pStyle w:val="BodyText"/>
        <w:spacing w:line="242" w:lineRule="auto" w:before="226"/>
        <w:ind w:left="338" w:firstLine="288"/>
      </w:pPr>
      <w:bookmarkStart w:name="Artículo_385" w:id="507"/>
      <w:bookmarkEnd w:id="507"/>
      <w:r>
        <w:rPr/>
      </w:r>
      <w:r>
        <w:rPr>
          <w:rFonts w:ascii="Arial" w:hAnsi="Arial"/>
          <w:b/>
        </w:rPr>
        <w:t>Artículo 385.- </w:t>
      </w:r>
      <w:r>
        <w:rPr/>
        <w:t>Para los efectos del artículo anterior, las federaciones y confederaciones remitirán por </w:t>
      </w:r>
      <w:r>
        <w:rPr>
          <w:spacing w:val="-2"/>
        </w:rPr>
        <w:t>duplicado:</w:t>
      </w:r>
    </w:p>
    <w:p>
      <w:pPr>
        <w:pStyle w:val="ListParagraph"/>
        <w:numPr>
          <w:ilvl w:val="0"/>
          <w:numId w:val="124"/>
        </w:numPr>
        <w:tabs>
          <w:tab w:pos="1195" w:val="left" w:leader="none"/>
        </w:tabs>
        <w:spacing w:line="240" w:lineRule="auto" w:before="227" w:after="0"/>
        <w:ind w:left="1195" w:right="0" w:hanging="569"/>
        <w:jc w:val="left"/>
        <w:rPr>
          <w:sz w:val="20"/>
        </w:rPr>
      </w:pPr>
      <w:r>
        <w:rPr>
          <w:sz w:val="20"/>
        </w:rPr>
        <w:t>Copia</w:t>
      </w:r>
      <w:r>
        <w:rPr>
          <w:spacing w:val="-8"/>
          <w:sz w:val="20"/>
        </w:rPr>
        <w:t> </w:t>
      </w:r>
      <w:r>
        <w:rPr>
          <w:sz w:val="20"/>
        </w:rPr>
        <w:t>autorizada</w:t>
      </w:r>
      <w:r>
        <w:rPr>
          <w:spacing w:val="-6"/>
          <w:sz w:val="20"/>
        </w:rPr>
        <w:t> </w:t>
      </w:r>
      <w:r>
        <w:rPr>
          <w:sz w:val="20"/>
        </w:rPr>
        <w:t>del</w:t>
      </w:r>
      <w:r>
        <w:rPr>
          <w:spacing w:val="-7"/>
          <w:sz w:val="20"/>
        </w:rPr>
        <w:t> </w:t>
      </w:r>
      <w:r>
        <w:rPr>
          <w:sz w:val="20"/>
        </w:rPr>
        <w:t>acta</w:t>
      </w:r>
      <w:r>
        <w:rPr>
          <w:spacing w:val="-5"/>
          <w:sz w:val="20"/>
        </w:rPr>
        <w:t> </w:t>
      </w:r>
      <w:r>
        <w:rPr>
          <w:sz w:val="20"/>
        </w:rPr>
        <w:t>de</w:t>
      </w:r>
      <w:r>
        <w:rPr>
          <w:spacing w:val="-7"/>
          <w:sz w:val="20"/>
        </w:rPr>
        <w:t> </w:t>
      </w:r>
      <w:r>
        <w:rPr>
          <w:sz w:val="20"/>
        </w:rPr>
        <w:t>la</w:t>
      </w:r>
      <w:r>
        <w:rPr>
          <w:spacing w:val="-6"/>
          <w:sz w:val="20"/>
        </w:rPr>
        <w:t> </w:t>
      </w:r>
      <w:r>
        <w:rPr>
          <w:sz w:val="20"/>
        </w:rPr>
        <w:t>asamblea</w:t>
      </w:r>
      <w:r>
        <w:rPr>
          <w:spacing w:val="-8"/>
          <w:sz w:val="20"/>
        </w:rPr>
        <w:t> </w:t>
      </w:r>
      <w:r>
        <w:rPr>
          <w:spacing w:val="-2"/>
          <w:sz w:val="20"/>
        </w:rPr>
        <w:t>constitutiva;</w:t>
      </w:r>
    </w:p>
    <w:p>
      <w:pPr>
        <w:pStyle w:val="ListParagraph"/>
        <w:numPr>
          <w:ilvl w:val="0"/>
          <w:numId w:val="124"/>
        </w:numPr>
        <w:tabs>
          <w:tab w:pos="1195" w:val="left" w:leader="none"/>
        </w:tabs>
        <w:spacing w:line="240" w:lineRule="auto" w:before="228" w:after="0"/>
        <w:ind w:left="1195" w:right="0" w:hanging="569"/>
        <w:jc w:val="left"/>
        <w:rPr>
          <w:sz w:val="20"/>
        </w:rPr>
      </w:pPr>
      <w:r>
        <w:rPr>
          <w:sz w:val="20"/>
        </w:rPr>
        <w:t>Una</w:t>
      </w:r>
      <w:r>
        <w:rPr>
          <w:spacing w:val="-5"/>
          <w:sz w:val="20"/>
        </w:rPr>
        <w:t> </w:t>
      </w:r>
      <w:r>
        <w:rPr>
          <w:sz w:val="20"/>
        </w:rPr>
        <w:t>lista</w:t>
      </w:r>
      <w:r>
        <w:rPr>
          <w:spacing w:val="-5"/>
          <w:sz w:val="20"/>
        </w:rPr>
        <w:t> </w:t>
      </w:r>
      <w:r>
        <w:rPr>
          <w:sz w:val="20"/>
        </w:rPr>
        <w:t>con</w:t>
      </w:r>
      <w:r>
        <w:rPr>
          <w:spacing w:val="-6"/>
          <w:sz w:val="20"/>
        </w:rPr>
        <w:t> </w:t>
      </w:r>
      <w:r>
        <w:rPr>
          <w:sz w:val="20"/>
        </w:rPr>
        <w:t>la</w:t>
      </w:r>
      <w:r>
        <w:rPr>
          <w:spacing w:val="-6"/>
          <w:sz w:val="20"/>
        </w:rPr>
        <w:t> </w:t>
      </w:r>
      <w:r>
        <w:rPr>
          <w:sz w:val="20"/>
        </w:rPr>
        <w:t>denominación</w:t>
      </w:r>
      <w:r>
        <w:rPr>
          <w:spacing w:val="-3"/>
          <w:sz w:val="20"/>
        </w:rPr>
        <w:t> </w:t>
      </w:r>
      <w:r>
        <w:rPr>
          <w:sz w:val="20"/>
        </w:rPr>
        <w:t>y</w:t>
      </w:r>
      <w:r>
        <w:rPr>
          <w:spacing w:val="-8"/>
          <w:sz w:val="20"/>
        </w:rPr>
        <w:t> </w:t>
      </w:r>
      <w:r>
        <w:rPr>
          <w:sz w:val="20"/>
        </w:rPr>
        <w:t>domicilio</w:t>
      </w:r>
      <w:r>
        <w:rPr>
          <w:spacing w:val="-6"/>
          <w:sz w:val="20"/>
        </w:rPr>
        <w:t> </w:t>
      </w:r>
      <w:r>
        <w:rPr>
          <w:sz w:val="20"/>
        </w:rPr>
        <w:t>de</w:t>
      </w:r>
      <w:r>
        <w:rPr>
          <w:spacing w:val="-6"/>
          <w:sz w:val="20"/>
        </w:rPr>
        <w:t> </w:t>
      </w:r>
      <w:r>
        <w:rPr>
          <w:sz w:val="20"/>
        </w:rPr>
        <w:t>sus</w:t>
      </w:r>
      <w:r>
        <w:rPr>
          <w:spacing w:val="-5"/>
          <w:sz w:val="20"/>
        </w:rPr>
        <w:t> </w:t>
      </w:r>
      <w:r>
        <w:rPr>
          <w:spacing w:val="-2"/>
          <w:sz w:val="20"/>
        </w:rPr>
        <w:t>miembros;</w:t>
      </w:r>
    </w:p>
    <w:p>
      <w:pPr>
        <w:pStyle w:val="BodyText"/>
        <w:spacing w:before="1"/>
      </w:pPr>
    </w:p>
    <w:p>
      <w:pPr>
        <w:pStyle w:val="ListParagraph"/>
        <w:numPr>
          <w:ilvl w:val="0"/>
          <w:numId w:val="124"/>
        </w:numPr>
        <w:tabs>
          <w:tab w:pos="1195" w:val="left" w:leader="none"/>
        </w:tabs>
        <w:spacing w:line="240" w:lineRule="auto" w:before="0" w:after="0"/>
        <w:ind w:left="1195" w:right="0" w:hanging="569"/>
        <w:jc w:val="left"/>
        <w:rPr>
          <w:sz w:val="20"/>
        </w:rPr>
      </w:pPr>
      <w:r>
        <w:rPr>
          <w:sz w:val="20"/>
        </w:rPr>
        <w:t>Copia</w:t>
      </w:r>
      <w:r>
        <w:rPr>
          <w:spacing w:val="-9"/>
          <w:sz w:val="20"/>
        </w:rPr>
        <w:t> </w:t>
      </w:r>
      <w:r>
        <w:rPr>
          <w:sz w:val="20"/>
        </w:rPr>
        <w:t>autorizada</w:t>
      </w:r>
      <w:r>
        <w:rPr>
          <w:spacing w:val="-7"/>
          <w:sz w:val="20"/>
        </w:rPr>
        <w:t> </w:t>
      </w:r>
      <w:r>
        <w:rPr>
          <w:sz w:val="20"/>
        </w:rPr>
        <w:t>de</w:t>
      </w:r>
      <w:r>
        <w:rPr>
          <w:spacing w:val="-8"/>
          <w:sz w:val="20"/>
        </w:rPr>
        <w:t> </w:t>
      </w:r>
      <w:r>
        <w:rPr>
          <w:sz w:val="20"/>
        </w:rPr>
        <w:t>los</w:t>
      </w:r>
      <w:r>
        <w:rPr>
          <w:spacing w:val="-7"/>
          <w:sz w:val="20"/>
        </w:rPr>
        <w:t> </w:t>
      </w:r>
      <w:r>
        <w:rPr>
          <w:sz w:val="20"/>
        </w:rPr>
        <w:t>estatutos;</w:t>
      </w:r>
      <w:r>
        <w:rPr>
          <w:spacing w:val="-5"/>
          <w:sz w:val="20"/>
        </w:rPr>
        <w:t> </w:t>
      </w:r>
      <w:r>
        <w:rPr>
          <w:spacing w:val="-10"/>
          <w:sz w:val="20"/>
        </w:rPr>
        <w:t>y</w:t>
      </w:r>
    </w:p>
    <w:p>
      <w:pPr>
        <w:pStyle w:val="BodyText"/>
        <w:spacing w:before="1"/>
      </w:pPr>
    </w:p>
    <w:p>
      <w:pPr>
        <w:pStyle w:val="ListParagraph"/>
        <w:numPr>
          <w:ilvl w:val="0"/>
          <w:numId w:val="124"/>
        </w:numPr>
        <w:tabs>
          <w:tab w:pos="1195" w:val="left" w:leader="none"/>
        </w:tabs>
        <w:spacing w:line="240" w:lineRule="auto" w:before="0" w:after="0"/>
        <w:ind w:left="1195" w:right="0" w:hanging="569"/>
        <w:jc w:val="left"/>
        <w:rPr>
          <w:sz w:val="20"/>
        </w:rPr>
      </w:pPr>
      <w:r>
        <w:rPr>
          <w:sz w:val="20"/>
        </w:rPr>
        <w:t>Copia</w:t>
      </w:r>
      <w:r>
        <w:rPr>
          <w:spacing w:val="-7"/>
          <w:sz w:val="20"/>
        </w:rPr>
        <w:t> </w:t>
      </w:r>
      <w:r>
        <w:rPr>
          <w:sz w:val="20"/>
        </w:rPr>
        <w:t>autorizada</w:t>
      </w:r>
      <w:r>
        <w:rPr>
          <w:spacing w:val="-5"/>
          <w:sz w:val="20"/>
        </w:rPr>
        <w:t> </w:t>
      </w:r>
      <w:r>
        <w:rPr>
          <w:sz w:val="20"/>
        </w:rPr>
        <w:t>del</w:t>
      </w:r>
      <w:r>
        <w:rPr>
          <w:spacing w:val="-6"/>
          <w:sz w:val="20"/>
        </w:rPr>
        <w:t> </w:t>
      </w:r>
      <w:r>
        <w:rPr>
          <w:sz w:val="20"/>
        </w:rPr>
        <w:t>acta</w:t>
      </w:r>
      <w:r>
        <w:rPr>
          <w:spacing w:val="-5"/>
          <w:sz w:val="20"/>
        </w:rPr>
        <w:t> </w:t>
      </w:r>
      <w:r>
        <w:rPr>
          <w:sz w:val="20"/>
        </w:rPr>
        <w:t>de</w:t>
      </w:r>
      <w:r>
        <w:rPr>
          <w:spacing w:val="-6"/>
          <w:sz w:val="20"/>
        </w:rPr>
        <w:t> </w:t>
      </w:r>
      <w:r>
        <w:rPr>
          <w:sz w:val="20"/>
        </w:rPr>
        <w:t>la</w:t>
      </w:r>
      <w:r>
        <w:rPr>
          <w:spacing w:val="-5"/>
          <w:sz w:val="20"/>
        </w:rPr>
        <w:t> </w:t>
      </w:r>
      <w:r>
        <w:rPr>
          <w:sz w:val="20"/>
        </w:rPr>
        <w:t>asamblea</w:t>
      </w:r>
      <w:r>
        <w:rPr>
          <w:spacing w:val="-7"/>
          <w:sz w:val="20"/>
        </w:rPr>
        <w:t> </w:t>
      </w:r>
      <w:r>
        <w:rPr>
          <w:sz w:val="20"/>
        </w:rPr>
        <w:t>en</w:t>
      </w:r>
      <w:r>
        <w:rPr>
          <w:spacing w:val="-6"/>
          <w:sz w:val="20"/>
        </w:rPr>
        <w:t> </w:t>
      </w:r>
      <w:r>
        <w:rPr>
          <w:sz w:val="20"/>
        </w:rPr>
        <w:t>que</w:t>
      </w:r>
      <w:r>
        <w:rPr>
          <w:spacing w:val="-8"/>
          <w:sz w:val="20"/>
        </w:rPr>
        <w:t> </w:t>
      </w:r>
      <w:r>
        <w:rPr>
          <w:sz w:val="20"/>
        </w:rPr>
        <w:t>se</w:t>
      </w:r>
      <w:r>
        <w:rPr>
          <w:spacing w:val="-4"/>
          <w:sz w:val="20"/>
        </w:rPr>
        <w:t> </w:t>
      </w:r>
      <w:r>
        <w:rPr>
          <w:sz w:val="20"/>
        </w:rPr>
        <w:t>haya</w:t>
      </w:r>
      <w:r>
        <w:rPr>
          <w:spacing w:val="-5"/>
          <w:sz w:val="20"/>
        </w:rPr>
        <w:t> </w:t>
      </w:r>
      <w:r>
        <w:rPr>
          <w:sz w:val="20"/>
        </w:rPr>
        <w:t>elegido</w:t>
      </w:r>
      <w:r>
        <w:rPr>
          <w:spacing w:val="-5"/>
          <w:sz w:val="20"/>
        </w:rPr>
        <w:t> </w:t>
      </w:r>
      <w:r>
        <w:rPr>
          <w:sz w:val="20"/>
        </w:rPr>
        <w:t>la</w:t>
      </w:r>
      <w:r>
        <w:rPr>
          <w:spacing w:val="-5"/>
          <w:sz w:val="20"/>
        </w:rPr>
        <w:t> </w:t>
      </w:r>
      <w:r>
        <w:rPr>
          <w:spacing w:val="-2"/>
          <w:sz w:val="20"/>
        </w:rPr>
        <w:t>directiva.</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6"/>
      </w:pPr>
    </w:p>
    <w:p>
      <w:pPr>
        <w:pStyle w:val="BodyText"/>
        <w:ind w:left="325" w:right="296"/>
        <w:jc w:val="center"/>
      </w:pPr>
      <w:r>
        <w:rPr/>
        <w:t>La</w:t>
      </w:r>
      <w:r>
        <w:rPr>
          <w:spacing w:val="-8"/>
        </w:rPr>
        <w:t> </w:t>
      </w:r>
      <w:r>
        <w:rPr/>
        <w:t>documentación</w:t>
      </w:r>
      <w:r>
        <w:rPr>
          <w:spacing w:val="-9"/>
        </w:rPr>
        <w:t> </w:t>
      </w:r>
      <w:r>
        <w:rPr/>
        <w:t>se</w:t>
      </w:r>
      <w:r>
        <w:rPr>
          <w:spacing w:val="-5"/>
        </w:rPr>
        <w:t> </w:t>
      </w:r>
      <w:r>
        <w:rPr/>
        <w:t>autorizará</w:t>
      </w:r>
      <w:r>
        <w:rPr>
          <w:spacing w:val="-7"/>
        </w:rPr>
        <w:t> </w:t>
      </w:r>
      <w:r>
        <w:rPr/>
        <w:t>de</w:t>
      </w:r>
      <w:r>
        <w:rPr>
          <w:spacing w:val="-5"/>
        </w:rPr>
        <w:t> </w:t>
      </w:r>
      <w:r>
        <w:rPr/>
        <w:t>conformidad</w:t>
      </w:r>
      <w:r>
        <w:rPr>
          <w:spacing w:val="-7"/>
        </w:rPr>
        <w:t> </w:t>
      </w:r>
      <w:r>
        <w:rPr/>
        <w:t>con</w:t>
      </w:r>
      <w:r>
        <w:rPr>
          <w:spacing w:val="-8"/>
        </w:rPr>
        <w:t> </w:t>
      </w:r>
      <w:r>
        <w:rPr/>
        <w:t>lo</w:t>
      </w:r>
      <w:r>
        <w:rPr>
          <w:spacing w:val="-8"/>
        </w:rPr>
        <w:t> </w:t>
      </w:r>
      <w:r>
        <w:rPr/>
        <w:t>dispuesto</w:t>
      </w:r>
      <w:r>
        <w:rPr>
          <w:spacing w:val="-5"/>
        </w:rPr>
        <w:t> </w:t>
      </w:r>
      <w:r>
        <w:rPr/>
        <w:t>en</w:t>
      </w:r>
      <w:r>
        <w:rPr>
          <w:spacing w:val="-6"/>
        </w:rPr>
        <w:t> </w:t>
      </w:r>
      <w:r>
        <w:rPr/>
        <w:t>el</w:t>
      </w:r>
      <w:r>
        <w:rPr>
          <w:spacing w:val="-6"/>
        </w:rPr>
        <w:t> </w:t>
      </w:r>
      <w:r>
        <w:rPr/>
        <w:t>párrafo</w:t>
      </w:r>
      <w:r>
        <w:rPr>
          <w:spacing w:val="-1"/>
        </w:rPr>
        <w:t> </w:t>
      </w:r>
      <w:r>
        <w:rPr/>
        <w:t>final</w:t>
      </w:r>
      <w:r>
        <w:rPr>
          <w:spacing w:val="-7"/>
        </w:rPr>
        <w:t> </w:t>
      </w:r>
      <w:r>
        <w:rPr/>
        <w:t>del</w:t>
      </w:r>
      <w:r>
        <w:rPr>
          <w:spacing w:val="-8"/>
        </w:rPr>
        <w:t> </w:t>
      </w:r>
      <w:r>
        <w:rPr/>
        <w:t>artículo</w:t>
      </w:r>
      <w:r>
        <w:rPr>
          <w:spacing w:val="-5"/>
        </w:rPr>
        <w:t> </w:t>
      </w:r>
      <w:r>
        <w:rPr>
          <w:spacing w:val="-4"/>
        </w:rPr>
        <w:t>365.</w:t>
      </w:r>
    </w:p>
    <w:p>
      <w:pPr>
        <w:pStyle w:val="Heading1"/>
        <w:spacing w:before="226"/>
        <w:ind w:left="298"/>
      </w:pPr>
      <w:r>
        <w:rPr/>
        <w:t>CAPITULO</w:t>
      </w:r>
      <w:r>
        <w:rPr>
          <w:spacing w:val="-9"/>
        </w:rPr>
        <w:t> </w:t>
      </w:r>
      <w:r>
        <w:rPr>
          <w:spacing w:val="-5"/>
        </w:rPr>
        <w:t>III</w:t>
      </w:r>
    </w:p>
    <w:p>
      <w:pPr>
        <w:pStyle w:val="Heading2"/>
        <w:spacing w:before="2"/>
        <w:ind w:left="297"/>
      </w:pPr>
      <w:r>
        <w:rPr/>
        <w:t>Contrato</w:t>
      </w:r>
      <w:r>
        <w:rPr>
          <w:spacing w:val="-7"/>
        </w:rPr>
        <w:t> </w:t>
      </w:r>
      <w:r>
        <w:rPr/>
        <w:t>colectivo</w:t>
      </w:r>
      <w:r>
        <w:rPr>
          <w:spacing w:val="-5"/>
        </w:rPr>
        <w:t> </w:t>
      </w:r>
      <w:r>
        <w:rPr/>
        <w:t>de</w:t>
      </w:r>
      <w:r>
        <w:rPr>
          <w:spacing w:val="-6"/>
        </w:rPr>
        <w:t> </w:t>
      </w:r>
      <w:r>
        <w:rPr>
          <w:spacing w:val="-2"/>
        </w:rPr>
        <w:t>trabajo</w:t>
      </w:r>
    </w:p>
    <w:p>
      <w:pPr>
        <w:pStyle w:val="BodyText"/>
        <w:spacing w:before="231"/>
        <w:ind w:left="338" w:right="339" w:firstLine="288"/>
        <w:jc w:val="both"/>
      </w:pPr>
      <w:bookmarkStart w:name="Artículo_386" w:id="508"/>
      <w:bookmarkEnd w:id="508"/>
      <w:r>
        <w:rPr/>
      </w:r>
      <w:r>
        <w:rPr>
          <w:rFonts w:ascii="Arial" w:hAnsi="Arial"/>
          <w:b/>
        </w:rPr>
        <w:t>Artículo 386.- </w:t>
      </w:r>
      <w:r>
        <w:rPr/>
        <w:t>Contrato colectivo de trabajo es el convenio celebrado entre uno o varios sindicatos de trabajadores y uno o varios patrones, o uno o varios sindicatos de patrones, con objeto de establecer las condiciones según las cuales debe prestarse el trabajo en una o más empresas o establecimientos.</w:t>
      </w:r>
    </w:p>
    <w:p>
      <w:pPr>
        <w:pStyle w:val="BodyText"/>
        <w:spacing w:before="229"/>
        <w:ind w:left="338" w:right="336" w:firstLine="288"/>
        <w:jc w:val="both"/>
      </w:pPr>
      <w:bookmarkStart w:name="Artículo_386_Bis" w:id="509"/>
      <w:bookmarkEnd w:id="509"/>
      <w:r>
        <w:rPr/>
      </w:r>
      <w:r>
        <w:rPr>
          <w:rFonts w:ascii="Arial" w:hAnsi="Arial"/>
          <w:b/>
        </w:rPr>
        <w:t>Artículo 386 Bis.- </w:t>
      </w:r>
      <w:r>
        <w:rPr/>
        <w:t>El apoyo de los trabajadores mediante el voto personal, libre y secreto constituye una garantía para la protección de la libertad de negociación colectiva y sus legítimos intereses. La demostración de dicho apoyo conforme a los procedimientos establecidos en los artículos 390 Bis y 390 Ter, es de orden público e interés social, por lo que es un requisito para la validez de los contratos colectivos</w:t>
      </w:r>
      <w:r>
        <w:rPr>
          <w:spacing w:val="-1"/>
        </w:rPr>
        <w:t> </w:t>
      </w:r>
      <w:r>
        <w:rPr/>
        <w:t>de</w:t>
      </w:r>
      <w:r>
        <w:rPr>
          <w:spacing w:val="-2"/>
        </w:rPr>
        <w:t> </w:t>
      </w:r>
      <w:r>
        <w:rPr/>
        <w:t>trabajo.</w:t>
      </w:r>
      <w:r>
        <w:rPr>
          <w:spacing w:val="-4"/>
        </w:rPr>
        <w:t> </w:t>
      </w:r>
      <w:r>
        <w:rPr/>
        <w:t>Las</w:t>
      </w:r>
      <w:r>
        <w:rPr>
          <w:spacing w:val="-3"/>
        </w:rPr>
        <w:t> </w:t>
      </w:r>
      <w:r>
        <w:rPr/>
        <w:t>autoridades,</w:t>
      </w:r>
      <w:r>
        <w:rPr>
          <w:spacing w:val="-4"/>
        </w:rPr>
        <w:t> </w:t>
      </w:r>
      <w:r>
        <w:rPr/>
        <w:t>sindicatos y</w:t>
      </w:r>
      <w:r>
        <w:rPr>
          <w:spacing w:val="-7"/>
        </w:rPr>
        <w:t> </w:t>
      </w:r>
      <w:r>
        <w:rPr/>
        <w:t>patrones</w:t>
      </w:r>
      <w:r>
        <w:rPr>
          <w:spacing w:val="-3"/>
        </w:rPr>
        <w:t> </w:t>
      </w:r>
      <w:r>
        <w:rPr/>
        <w:t>coadyuvarán</w:t>
      </w:r>
      <w:r>
        <w:rPr>
          <w:spacing w:val="-2"/>
        </w:rPr>
        <w:t> </w:t>
      </w:r>
      <w:r>
        <w:rPr/>
        <w:t>para</w:t>
      </w:r>
      <w:r>
        <w:rPr>
          <w:spacing w:val="-2"/>
        </w:rPr>
        <w:t> </w:t>
      </w:r>
      <w:r>
        <w:rPr/>
        <w:t>que</w:t>
      </w:r>
      <w:r>
        <w:rPr>
          <w:spacing w:val="-4"/>
        </w:rPr>
        <w:t> </w:t>
      </w:r>
      <w:r>
        <w:rPr/>
        <w:t>los</w:t>
      </w:r>
      <w:r>
        <w:rPr>
          <w:spacing w:val="-3"/>
        </w:rPr>
        <w:t> </w:t>
      </w:r>
      <w:r>
        <w:rPr/>
        <w:t>procedimientos</w:t>
      </w:r>
      <w:r>
        <w:rPr>
          <w:spacing w:val="-1"/>
        </w:rPr>
        <w:t> </w:t>
      </w:r>
      <w:r>
        <w:rPr/>
        <w:t>de consulta se organicen de tal forma que no se afecten las actividades laborales de los centros de trabajo.</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338" w:right="341" w:firstLine="288"/>
        <w:jc w:val="both"/>
      </w:pPr>
      <w:bookmarkStart w:name="Artículo_387" w:id="510"/>
      <w:bookmarkEnd w:id="510"/>
      <w:r>
        <w:rPr/>
      </w:r>
      <w:r>
        <w:rPr>
          <w:rFonts w:ascii="Arial" w:hAnsi="Arial"/>
          <w:b/>
        </w:rPr>
        <w:t>Artículo 387.- </w:t>
      </w:r>
      <w:r>
        <w:rPr/>
        <w:t>El patrón que emplee trabajadores miembros de un sindicato tendrá obligación de celebrar con éste, cuando lo solicite, un contrato colectivo; para dar cumplimiento a los principios de representatividad en las organizaciones sindicales y de certeza en la firma, registro y depósito de los contratos colectivos de trabajo, el sindicato solicitante deberá contar previamente con la Constancia de Representatividad expedida por el Centro Federal de Conciliación y Registro Laboral, a que hace referencia el artículo 390 Bis.</w:t>
      </w:r>
    </w:p>
    <w:p>
      <w:pPr>
        <w:pStyle w:val="BodyText"/>
        <w:spacing w:before="3"/>
      </w:pPr>
    </w:p>
    <w:p>
      <w:pPr>
        <w:pStyle w:val="BodyText"/>
        <w:ind w:left="338" w:right="339" w:firstLine="288"/>
        <w:jc w:val="both"/>
      </w:pPr>
      <w:r>
        <w:rPr/>
        <w:t>Si el patrón se niega a firmar el contrato, podrán los trabajadores ejercitar el derecho de huelga consignado en el artículo 450; la Constancia de Representatividad acredita que el sindicato cuenta con la representación de los trabajadores, por lo que deberá ser acompañada al emplazamiento a huelga como requisito en términos del artículo 920 de esta Ley.</w:t>
      </w:r>
    </w:p>
    <w:p>
      <w:pPr>
        <w:pStyle w:val="BodyText"/>
      </w:pPr>
    </w:p>
    <w:p>
      <w:pPr>
        <w:pStyle w:val="BodyText"/>
        <w:ind w:left="338" w:right="340" w:firstLine="288"/>
        <w:jc w:val="both"/>
      </w:pPr>
      <w:r>
        <w:rPr/>
        <w:t>La Constancia de Representatividad a que se refiere el artículo 390 Bis tendrá una vigencia de seis meses a partir de la fecha en que ésta sea expedida. En caso de que el sindicato emplazante estalle la huelga en el centro de trabajo, la vigencia de dicha constancia se prorrogará hasta en tanto concluya dicho</w:t>
      </w:r>
      <w:r>
        <w:rPr>
          <w:spacing w:val="-2"/>
        </w:rPr>
        <w:t> </w:t>
      </w:r>
      <w:r>
        <w:rPr/>
        <w:t>conflicto, por lo</w:t>
      </w:r>
      <w:r>
        <w:rPr>
          <w:spacing w:val="-1"/>
        </w:rPr>
        <w:t> </w:t>
      </w:r>
      <w:r>
        <w:rPr/>
        <w:t>que</w:t>
      </w:r>
      <w:r>
        <w:rPr>
          <w:spacing w:val="-2"/>
        </w:rPr>
        <w:t> </w:t>
      </w:r>
      <w:r>
        <w:rPr/>
        <w:t>durante</w:t>
      </w:r>
      <w:r>
        <w:rPr>
          <w:spacing w:val="-2"/>
        </w:rPr>
        <w:t> </w:t>
      </w:r>
      <w:r>
        <w:rPr/>
        <w:t>su vigencia, no</w:t>
      </w:r>
      <w:r>
        <w:rPr>
          <w:spacing w:val="-2"/>
        </w:rPr>
        <w:t> </w:t>
      </w:r>
      <w:r>
        <w:rPr/>
        <w:t>se dará</w:t>
      </w:r>
      <w:r>
        <w:rPr>
          <w:spacing w:val="-1"/>
        </w:rPr>
        <w:t> </w:t>
      </w:r>
      <w:r>
        <w:rPr/>
        <w:t>trámite</w:t>
      </w:r>
      <w:r>
        <w:rPr>
          <w:spacing w:val="-1"/>
        </w:rPr>
        <w:t> </w:t>
      </w:r>
      <w:r>
        <w:rPr/>
        <w:t>a</w:t>
      </w:r>
      <w:r>
        <w:rPr>
          <w:spacing w:val="-1"/>
        </w:rPr>
        <w:t> </w:t>
      </w:r>
      <w:r>
        <w:rPr/>
        <w:t>ninguna otra solicitud, ni</w:t>
      </w:r>
      <w:r>
        <w:rPr>
          <w:spacing w:val="-2"/>
        </w:rPr>
        <w:t> </w:t>
      </w:r>
      <w:r>
        <w:rPr/>
        <w:t>se admitirá</w:t>
      </w:r>
      <w:r>
        <w:rPr>
          <w:spacing w:val="-1"/>
        </w:rPr>
        <w:t> </w:t>
      </w:r>
      <w:r>
        <w:rPr/>
        <w:t>a otro u otros sindicatos como parte del procedimiento.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firstLine="288"/>
      </w:pPr>
      <w:bookmarkStart w:name="Artículo_388" w:id="511"/>
      <w:bookmarkEnd w:id="511"/>
      <w:r>
        <w:rPr/>
      </w:r>
      <w:r>
        <w:rPr>
          <w:rFonts w:ascii="Arial" w:hAnsi="Arial"/>
          <w:b/>
        </w:rPr>
        <w:t>Artículo</w:t>
      </w:r>
      <w:r>
        <w:rPr>
          <w:rFonts w:ascii="Arial" w:hAnsi="Arial"/>
          <w:b/>
          <w:spacing w:val="25"/>
        </w:rPr>
        <w:t> </w:t>
      </w:r>
      <w:r>
        <w:rPr>
          <w:rFonts w:ascii="Arial" w:hAnsi="Arial"/>
          <w:b/>
        </w:rPr>
        <w:t>388.-</w:t>
      </w:r>
      <w:r>
        <w:rPr>
          <w:rFonts w:ascii="Arial" w:hAnsi="Arial"/>
          <w:b/>
          <w:spacing w:val="25"/>
        </w:rPr>
        <w:t> </w:t>
      </w:r>
      <w:r>
        <w:rPr/>
        <w:t>Si</w:t>
      </w:r>
      <w:r>
        <w:rPr>
          <w:spacing w:val="24"/>
        </w:rPr>
        <w:t> </w:t>
      </w:r>
      <w:r>
        <w:rPr/>
        <w:t>dentro</w:t>
      </w:r>
      <w:r>
        <w:rPr>
          <w:spacing w:val="26"/>
        </w:rPr>
        <w:t> </w:t>
      </w:r>
      <w:r>
        <w:rPr/>
        <w:t>de</w:t>
      </w:r>
      <w:r>
        <w:rPr>
          <w:spacing w:val="24"/>
        </w:rPr>
        <w:t> </w:t>
      </w:r>
      <w:r>
        <w:rPr/>
        <w:t>la</w:t>
      </w:r>
      <w:r>
        <w:rPr>
          <w:spacing w:val="24"/>
        </w:rPr>
        <w:t> </w:t>
      </w:r>
      <w:r>
        <w:rPr/>
        <w:t>misma</w:t>
      </w:r>
      <w:r>
        <w:rPr>
          <w:spacing w:val="24"/>
        </w:rPr>
        <w:t> </w:t>
      </w:r>
      <w:r>
        <w:rPr/>
        <w:t>empresa</w:t>
      </w:r>
      <w:r>
        <w:rPr>
          <w:spacing w:val="24"/>
        </w:rPr>
        <w:t> </w:t>
      </w:r>
      <w:r>
        <w:rPr/>
        <w:t>existen</w:t>
      </w:r>
      <w:r>
        <w:rPr>
          <w:spacing w:val="24"/>
        </w:rPr>
        <w:t> </w:t>
      </w:r>
      <w:r>
        <w:rPr/>
        <w:t>varios</w:t>
      </w:r>
      <w:r>
        <w:rPr>
          <w:spacing w:val="25"/>
        </w:rPr>
        <w:t> </w:t>
      </w:r>
      <w:r>
        <w:rPr/>
        <w:t>sindicatos,</w:t>
      </w:r>
      <w:r>
        <w:rPr>
          <w:spacing w:val="24"/>
        </w:rPr>
        <w:t> </w:t>
      </w:r>
      <w:r>
        <w:rPr/>
        <w:t>se</w:t>
      </w:r>
      <w:r>
        <w:rPr>
          <w:spacing w:val="24"/>
        </w:rPr>
        <w:t> </w:t>
      </w:r>
      <w:r>
        <w:rPr/>
        <w:t>observarán</w:t>
      </w:r>
      <w:r>
        <w:rPr>
          <w:spacing w:val="24"/>
        </w:rPr>
        <w:t> </w:t>
      </w:r>
      <w:r>
        <w:rPr/>
        <w:t>las</w:t>
      </w:r>
      <w:r>
        <w:rPr>
          <w:spacing w:val="25"/>
        </w:rPr>
        <w:t> </w:t>
      </w:r>
      <w:r>
        <w:rPr/>
        <w:t>normas </w:t>
      </w:r>
      <w:r>
        <w:rPr>
          <w:spacing w:val="-2"/>
        </w:rPr>
        <w:t>siguientes:</w:t>
      </w:r>
    </w:p>
    <w:p>
      <w:pPr>
        <w:pStyle w:val="ListParagraph"/>
        <w:numPr>
          <w:ilvl w:val="0"/>
          <w:numId w:val="125"/>
        </w:numPr>
        <w:tabs>
          <w:tab w:pos="1193" w:val="left" w:leader="none"/>
          <w:tab w:pos="1195" w:val="left" w:leader="none"/>
        </w:tabs>
        <w:spacing w:line="242" w:lineRule="auto" w:before="224" w:after="0"/>
        <w:ind w:left="1195" w:right="343" w:hanging="569"/>
        <w:jc w:val="both"/>
        <w:rPr>
          <w:sz w:val="20"/>
        </w:rPr>
      </w:pPr>
      <w:r>
        <w:rPr>
          <w:sz w:val="20"/>
        </w:rPr>
        <w:t>Si concurren sindicatos de empresa o industriales o unos y otros, el contrato colectivo se celebrará con el que obtenga el mayor número de votos de los trabajadores dentro de la </w:t>
      </w:r>
      <w:r>
        <w:rPr>
          <w:spacing w:val="-2"/>
          <w:sz w:val="20"/>
        </w:rPr>
        <w:t>empresa;</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25"/>
        </w:numPr>
        <w:tabs>
          <w:tab w:pos="1192" w:val="left" w:leader="none"/>
          <w:tab w:pos="1195" w:val="left" w:leader="none"/>
        </w:tabs>
        <w:spacing w:line="242" w:lineRule="auto" w:before="0" w:after="0"/>
        <w:ind w:left="1195" w:right="342" w:hanging="569"/>
        <w:jc w:val="both"/>
        <w:rPr>
          <w:sz w:val="20"/>
        </w:rPr>
      </w:pPr>
      <w:r>
        <w:rPr>
          <w:sz w:val="20"/>
        </w:rPr>
        <w:t>Si concurren sindicatos gremiales, el contrato colectivo se celebrará con el conjunto de los sindicatos mayoritarios que representen a las profesiones, siempre que se pongan de acuerdo. En caso contrario, cada sindicato celebrará un contrato colectivo para su profesión; y</w:t>
      </w:r>
    </w:p>
    <w:p>
      <w:pPr>
        <w:pStyle w:val="ListParagraph"/>
        <w:numPr>
          <w:ilvl w:val="0"/>
          <w:numId w:val="125"/>
        </w:numPr>
        <w:tabs>
          <w:tab w:pos="1191" w:val="left" w:leader="none"/>
          <w:tab w:pos="1195" w:val="left" w:leader="none"/>
        </w:tabs>
        <w:spacing w:line="240" w:lineRule="auto" w:before="224" w:after="0"/>
        <w:ind w:left="1195" w:right="336" w:hanging="569"/>
        <w:jc w:val="both"/>
        <w:rPr>
          <w:sz w:val="20"/>
        </w:rPr>
      </w:pPr>
      <w:r>
        <w:rPr>
          <w:sz w:val="20"/>
        </w:rPr>
        <w:t>Si concurren sindicatos gremiales y de empresa o de industria, podrán los primeros celebrar un contrato colectivo para su profesión, siempre que el número de trabajadores a su favor sea mayor</w:t>
      </w:r>
      <w:r>
        <w:rPr>
          <w:spacing w:val="-3"/>
          <w:sz w:val="20"/>
        </w:rPr>
        <w:t> </w:t>
      </w:r>
      <w:r>
        <w:rPr>
          <w:sz w:val="20"/>
        </w:rPr>
        <w:t>que</w:t>
      </w:r>
      <w:r>
        <w:rPr>
          <w:spacing w:val="-2"/>
          <w:sz w:val="20"/>
        </w:rPr>
        <w:t> </w:t>
      </w:r>
      <w:r>
        <w:rPr>
          <w:sz w:val="20"/>
        </w:rPr>
        <w:t>el</w:t>
      </w:r>
      <w:r>
        <w:rPr>
          <w:spacing w:val="-2"/>
          <w:sz w:val="20"/>
        </w:rPr>
        <w:t> </w:t>
      </w:r>
      <w:r>
        <w:rPr>
          <w:sz w:val="20"/>
        </w:rPr>
        <w:t>de</w:t>
      </w:r>
      <w:r>
        <w:rPr>
          <w:spacing w:val="-1"/>
          <w:sz w:val="20"/>
        </w:rPr>
        <w:t> </w:t>
      </w:r>
      <w:r>
        <w:rPr>
          <w:sz w:val="20"/>
        </w:rPr>
        <w:t>los</w:t>
      </w:r>
      <w:r>
        <w:rPr>
          <w:spacing w:val="-2"/>
          <w:sz w:val="20"/>
        </w:rPr>
        <w:t> </w:t>
      </w:r>
      <w:r>
        <w:rPr>
          <w:sz w:val="20"/>
        </w:rPr>
        <w:t>trabajadores</w:t>
      </w:r>
      <w:r>
        <w:rPr>
          <w:spacing w:val="-1"/>
          <w:sz w:val="20"/>
        </w:rPr>
        <w:t> </w:t>
      </w:r>
      <w:r>
        <w:rPr>
          <w:sz w:val="20"/>
        </w:rPr>
        <w:t>de</w:t>
      </w:r>
      <w:r>
        <w:rPr>
          <w:spacing w:val="-3"/>
          <w:sz w:val="20"/>
        </w:rPr>
        <w:t> </w:t>
      </w:r>
      <w:r>
        <w:rPr>
          <w:sz w:val="20"/>
        </w:rPr>
        <w:t>la</w:t>
      </w:r>
      <w:r>
        <w:rPr>
          <w:spacing w:val="-3"/>
          <w:sz w:val="20"/>
        </w:rPr>
        <w:t> </w:t>
      </w:r>
      <w:r>
        <w:rPr>
          <w:sz w:val="20"/>
        </w:rPr>
        <w:t>misma</w:t>
      </w:r>
      <w:r>
        <w:rPr>
          <w:spacing w:val="-3"/>
          <w:sz w:val="20"/>
        </w:rPr>
        <w:t> </w:t>
      </w:r>
      <w:r>
        <w:rPr>
          <w:sz w:val="20"/>
        </w:rPr>
        <w:t>profesión</w:t>
      </w:r>
      <w:r>
        <w:rPr>
          <w:spacing w:val="-4"/>
          <w:sz w:val="20"/>
        </w:rPr>
        <w:t> </w:t>
      </w:r>
      <w:r>
        <w:rPr>
          <w:sz w:val="20"/>
        </w:rPr>
        <w:t>que</w:t>
      </w:r>
      <w:r>
        <w:rPr>
          <w:spacing w:val="-1"/>
          <w:sz w:val="20"/>
        </w:rPr>
        <w:t> </w:t>
      </w:r>
      <w:r>
        <w:rPr>
          <w:sz w:val="20"/>
        </w:rPr>
        <w:t>voten</w:t>
      </w:r>
      <w:r>
        <w:rPr>
          <w:spacing w:val="-2"/>
          <w:sz w:val="20"/>
        </w:rPr>
        <w:t> </w:t>
      </w:r>
      <w:r>
        <w:rPr>
          <w:sz w:val="20"/>
        </w:rPr>
        <w:t>por el</w:t>
      </w:r>
      <w:r>
        <w:rPr>
          <w:spacing w:val="-2"/>
          <w:sz w:val="20"/>
        </w:rPr>
        <w:t> </w:t>
      </w:r>
      <w:r>
        <w:rPr>
          <w:sz w:val="20"/>
        </w:rPr>
        <w:t>sindicato</w:t>
      </w:r>
      <w:r>
        <w:rPr>
          <w:spacing w:val="-1"/>
          <w:sz w:val="20"/>
        </w:rPr>
        <w:t> </w:t>
      </w:r>
      <w:r>
        <w:rPr>
          <w:sz w:val="20"/>
        </w:rPr>
        <w:t>de</w:t>
      </w:r>
      <w:r>
        <w:rPr>
          <w:spacing w:val="-2"/>
          <w:sz w:val="20"/>
        </w:rPr>
        <w:t> </w:t>
      </w:r>
      <w:r>
        <w:rPr>
          <w:sz w:val="20"/>
        </w:rPr>
        <w:t>empresa</w:t>
      </w:r>
      <w:r>
        <w:rPr>
          <w:spacing w:val="-3"/>
          <w:sz w:val="20"/>
        </w:rPr>
        <w:t> </w:t>
      </w:r>
      <w:r>
        <w:rPr>
          <w:sz w:val="20"/>
        </w:rPr>
        <w:t>o de industria.</w:t>
      </w:r>
    </w:p>
    <w:p>
      <w:pPr>
        <w:pStyle w:val="ListParagraph"/>
        <w:spacing w:after="0" w:line="240" w:lineRule="auto"/>
        <w:jc w:val="both"/>
        <w:rPr>
          <w:sz w:val="20"/>
        </w:rPr>
        <w:sectPr>
          <w:pgSz w:w="12240" w:h="15840"/>
          <w:pgMar w:header="724" w:footer="712" w:top="1880" w:bottom="900" w:left="1080" w:right="1080"/>
        </w:sectPr>
      </w:pPr>
    </w:p>
    <w:p>
      <w:pPr>
        <w:pStyle w:val="BodyText"/>
        <w:spacing w:before="109"/>
        <w:rPr>
          <w:sz w:val="16"/>
        </w:rPr>
      </w:pPr>
    </w:p>
    <w:p>
      <w:pPr>
        <w:spacing w:before="0"/>
        <w:ind w:left="626" w:right="0" w:firstLine="6658"/>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338" w:right="344" w:firstLine="288"/>
        <w:jc w:val="both"/>
      </w:pPr>
      <w:r>
        <w:rPr/>
        <w:t>El voto de los trabajadores será conforme al procedimiento contemplado en el artículo 390 Bis. El sindicato o sindicatos que conforme a lo dispuesto en el presente capítulo obtengan la mayoría de trabajadores, según sea el caso, obtendrán la Constancia de Representatividad correspondiente a fin de solicitar la celebración y firma del contrato colectivo de trabajo en términos del artículo 387.</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7" w:firstLine="288"/>
        <w:jc w:val="both"/>
      </w:pPr>
      <w:bookmarkStart w:name="Artículo_389" w:id="512"/>
      <w:bookmarkEnd w:id="512"/>
      <w:r>
        <w:rPr/>
      </w:r>
      <w:r>
        <w:rPr>
          <w:rFonts w:ascii="Arial" w:hAnsi="Arial"/>
          <w:b/>
        </w:rPr>
        <w:t>Artículo 389.- </w:t>
      </w:r>
      <w:r>
        <w:rPr/>
        <w:t>La pérdida de la mayoría a que se refiere el artículo anterior, declarada por los Tribunales, después de consultar a los trabajadores mediante voto personal, libre, directo y secreto, produce la de la titularidad del contrato colectivo de trabajo. Para tal efecto, el sindicato deberá de promover el procedimiento especial colectivo contemplado en el artículo 897 y subsecuentes de la presente Ley ante el Tribunal competente.</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1"/>
        <w:rPr>
          <w:rFonts w:ascii="Times New Roman"/>
          <w:i/>
          <w:sz w:val="16"/>
        </w:rPr>
      </w:pPr>
    </w:p>
    <w:p>
      <w:pPr>
        <w:pStyle w:val="BodyText"/>
        <w:spacing w:line="242" w:lineRule="auto"/>
        <w:ind w:left="338" w:right="339" w:firstLine="288"/>
        <w:jc w:val="both"/>
      </w:pPr>
      <w:bookmarkStart w:name="Artículo_390" w:id="513"/>
      <w:bookmarkEnd w:id="513"/>
      <w:r>
        <w:rPr/>
      </w:r>
      <w:r>
        <w:rPr>
          <w:rFonts w:ascii="Arial" w:hAnsi="Arial"/>
          <w:b/>
        </w:rPr>
        <w:t>Artículo 390.- </w:t>
      </w:r>
      <w:r>
        <w:rPr/>
        <w:t>El contrato colectivo de trabajo deberá celebrarse por escrito, bajo pena de nulidad. Se hará por triplicado, entregándose un ejemplar a cada una de las partes y se depositará el otro tanto ante el Centro</w:t>
      </w:r>
      <w:r>
        <w:rPr>
          <w:spacing w:val="-1"/>
        </w:rPr>
        <w:t> </w:t>
      </w:r>
      <w:r>
        <w:rPr/>
        <w:t>Federal de Conciliación y</w:t>
      </w:r>
      <w:r>
        <w:rPr>
          <w:spacing w:val="-2"/>
        </w:rPr>
        <w:t> </w:t>
      </w:r>
      <w:r>
        <w:rPr/>
        <w:t>Registro Laboral,</w:t>
      </w:r>
      <w:r>
        <w:rPr>
          <w:spacing w:val="-1"/>
        </w:rPr>
        <w:t> </w:t>
      </w:r>
      <w:r>
        <w:rPr/>
        <w:t>ante quien cada</w:t>
      </w:r>
      <w:r>
        <w:rPr>
          <w:spacing w:val="-1"/>
        </w:rPr>
        <w:t> </w:t>
      </w:r>
      <w:r>
        <w:rPr/>
        <w:t>una de las partes celebrantes debe señalar domicilio. Dicho centro deberá asignarles un buzón electrónico.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338" w:firstLine="288"/>
      </w:pPr>
      <w:r>
        <w:rPr/>
        <w:t>El contrato surtirá efectos desde la fecha y hora de presentación del documento, salvo que las partes hubiesen convenido en una fecha distinta.</w:t>
      </w:r>
    </w:p>
    <w:p>
      <w:pPr>
        <w:pStyle w:val="BodyText"/>
        <w:spacing w:before="1"/>
      </w:pPr>
    </w:p>
    <w:p>
      <w:pPr>
        <w:pStyle w:val="BodyText"/>
        <w:ind w:left="338" w:firstLine="288"/>
      </w:pPr>
      <w:r>
        <w:rPr/>
        <w:t>Para</w:t>
      </w:r>
      <w:r>
        <w:rPr>
          <w:spacing w:val="24"/>
        </w:rPr>
        <w:t> </w:t>
      </w:r>
      <w:r>
        <w:rPr/>
        <w:t>el</w:t>
      </w:r>
      <w:r>
        <w:rPr>
          <w:spacing w:val="24"/>
        </w:rPr>
        <w:t> </w:t>
      </w:r>
      <w:r>
        <w:rPr/>
        <w:t>registro</w:t>
      </w:r>
      <w:r>
        <w:rPr>
          <w:spacing w:val="22"/>
        </w:rPr>
        <w:t> </w:t>
      </w:r>
      <w:r>
        <w:rPr/>
        <w:t>de</w:t>
      </w:r>
      <w:r>
        <w:rPr>
          <w:spacing w:val="24"/>
        </w:rPr>
        <w:t> </w:t>
      </w:r>
      <w:r>
        <w:rPr/>
        <w:t>un</w:t>
      </w:r>
      <w:r>
        <w:rPr>
          <w:spacing w:val="22"/>
        </w:rPr>
        <w:t> </w:t>
      </w:r>
      <w:r>
        <w:rPr/>
        <w:t>contrato</w:t>
      </w:r>
      <w:r>
        <w:rPr>
          <w:spacing w:val="22"/>
        </w:rPr>
        <w:t> </w:t>
      </w:r>
      <w:r>
        <w:rPr/>
        <w:t>colectivo</w:t>
      </w:r>
      <w:r>
        <w:rPr>
          <w:spacing w:val="24"/>
        </w:rPr>
        <w:t> </w:t>
      </w:r>
      <w:r>
        <w:rPr/>
        <w:t>de</w:t>
      </w:r>
      <w:r>
        <w:rPr>
          <w:spacing w:val="22"/>
        </w:rPr>
        <w:t> </w:t>
      </w:r>
      <w:r>
        <w:rPr/>
        <w:t>trabajo</w:t>
      </w:r>
      <w:r>
        <w:rPr>
          <w:spacing w:val="24"/>
        </w:rPr>
        <w:t> </w:t>
      </w:r>
      <w:r>
        <w:rPr/>
        <w:t>inicial,</w:t>
      </w:r>
      <w:r>
        <w:rPr>
          <w:spacing w:val="24"/>
        </w:rPr>
        <w:t> </w:t>
      </w:r>
      <w:r>
        <w:rPr/>
        <w:t>se</w:t>
      </w:r>
      <w:r>
        <w:rPr>
          <w:spacing w:val="22"/>
        </w:rPr>
        <w:t> </w:t>
      </w:r>
      <w:r>
        <w:rPr/>
        <w:t>presentará</w:t>
      </w:r>
      <w:r>
        <w:rPr>
          <w:spacing w:val="24"/>
        </w:rPr>
        <w:t> </w:t>
      </w:r>
      <w:r>
        <w:rPr/>
        <w:t>ante</w:t>
      </w:r>
      <w:r>
        <w:rPr>
          <w:spacing w:val="24"/>
        </w:rPr>
        <w:t> </w:t>
      </w:r>
      <w:r>
        <w:rPr/>
        <w:t>el</w:t>
      </w:r>
      <w:r>
        <w:rPr>
          <w:spacing w:val="21"/>
        </w:rPr>
        <w:t> </w:t>
      </w:r>
      <w:r>
        <w:rPr/>
        <w:t>Centro</w:t>
      </w:r>
      <w:r>
        <w:rPr>
          <w:spacing w:val="24"/>
        </w:rPr>
        <w:t> </w:t>
      </w:r>
      <w:r>
        <w:rPr/>
        <w:t>Federal</w:t>
      </w:r>
      <w:r>
        <w:rPr>
          <w:spacing w:val="24"/>
        </w:rPr>
        <w:t> </w:t>
      </w:r>
      <w:r>
        <w:rPr/>
        <w:t>de Conciliación y Registro Laboral la siguiente documentación:</w:t>
      </w:r>
    </w:p>
    <w:p>
      <w:pPr>
        <w:pStyle w:val="ListParagraph"/>
        <w:numPr>
          <w:ilvl w:val="1"/>
          <w:numId w:val="125"/>
        </w:numPr>
        <w:tabs>
          <w:tab w:pos="984" w:val="left" w:leader="none"/>
        </w:tabs>
        <w:spacing w:line="240" w:lineRule="auto" w:before="226" w:after="0"/>
        <w:ind w:left="984" w:right="0" w:hanging="358"/>
        <w:jc w:val="left"/>
        <w:rPr>
          <w:sz w:val="20"/>
        </w:rPr>
      </w:pPr>
      <w:r>
        <w:rPr>
          <w:sz w:val="20"/>
        </w:rPr>
        <w:t>La</w:t>
      </w:r>
      <w:r>
        <w:rPr>
          <w:spacing w:val="-9"/>
          <w:sz w:val="20"/>
        </w:rPr>
        <w:t> </w:t>
      </w:r>
      <w:r>
        <w:rPr>
          <w:sz w:val="20"/>
        </w:rPr>
        <w:t>documentación</w:t>
      </w:r>
      <w:r>
        <w:rPr>
          <w:spacing w:val="-8"/>
          <w:sz w:val="20"/>
        </w:rPr>
        <w:t> </w:t>
      </w:r>
      <w:r>
        <w:rPr>
          <w:sz w:val="20"/>
        </w:rPr>
        <w:t>con</w:t>
      </w:r>
      <w:r>
        <w:rPr>
          <w:spacing w:val="-8"/>
          <w:sz w:val="20"/>
        </w:rPr>
        <w:t> </w:t>
      </w:r>
      <w:r>
        <w:rPr>
          <w:sz w:val="20"/>
        </w:rPr>
        <w:t>la</w:t>
      </w:r>
      <w:r>
        <w:rPr>
          <w:spacing w:val="-8"/>
          <w:sz w:val="20"/>
        </w:rPr>
        <w:t> </w:t>
      </w:r>
      <w:r>
        <w:rPr>
          <w:sz w:val="20"/>
        </w:rPr>
        <w:t>que</w:t>
      </w:r>
      <w:r>
        <w:rPr>
          <w:spacing w:val="-8"/>
          <w:sz w:val="20"/>
        </w:rPr>
        <w:t> </w:t>
      </w:r>
      <w:r>
        <w:rPr>
          <w:sz w:val="20"/>
        </w:rPr>
        <w:t>las</w:t>
      </w:r>
      <w:r>
        <w:rPr>
          <w:spacing w:val="-7"/>
          <w:sz w:val="20"/>
        </w:rPr>
        <w:t> </w:t>
      </w:r>
      <w:r>
        <w:rPr>
          <w:sz w:val="20"/>
        </w:rPr>
        <w:t>partes</w:t>
      </w:r>
      <w:r>
        <w:rPr>
          <w:spacing w:val="-6"/>
          <w:sz w:val="20"/>
        </w:rPr>
        <w:t> </w:t>
      </w:r>
      <w:r>
        <w:rPr>
          <w:sz w:val="20"/>
        </w:rPr>
        <w:t>contratantes</w:t>
      </w:r>
      <w:r>
        <w:rPr>
          <w:spacing w:val="-5"/>
          <w:sz w:val="20"/>
        </w:rPr>
        <w:t> </w:t>
      </w:r>
      <w:r>
        <w:rPr>
          <w:sz w:val="20"/>
        </w:rPr>
        <w:t>acrediten</w:t>
      </w:r>
      <w:r>
        <w:rPr>
          <w:spacing w:val="-8"/>
          <w:sz w:val="20"/>
        </w:rPr>
        <w:t> </w:t>
      </w:r>
      <w:r>
        <w:rPr>
          <w:sz w:val="20"/>
        </w:rPr>
        <w:t>su</w:t>
      </w:r>
      <w:r>
        <w:rPr>
          <w:spacing w:val="-6"/>
          <w:sz w:val="20"/>
        </w:rPr>
        <w:t> </w:t>
      </w:r>
      <w:r>
        <w:rPr>
          <w:spacing w:val="-2"/>
          <w:sz w:val="20"/>
        </w:rPr>
        <w:t>personalidad;</w:t>
      </w:r>
    </w:p>
    <w:p>
      <w:pPr>
        <w:pStyle w:val="BodyText"/>
        <w:spacing w:before="1"/>
      </w:pPr>
    </w:p>
    <w:p>
      <w:pPr>
        <w:pStyle w:val="ListParagraph"/>
        <w:numPr>
          <w:ilvl w:val="1"/>
          <w:numId w:val="125"/>
        </w:numPr>
        <w:tabs>
          <w:tab w:pos="984" w:val="left" w:leader="none"/>
        </w:tabs>
        <w:spacing w:line="240" w:lineRule="auto" w:before="0" w:after="0"/>
        <w:ind w:left="984" w:right="0" w:hanging="358"/>
        <w:jc w:val="left"/>
        <w:rPr>
          <w:sz w:val="20"/>
        </w:rPr>
      </w:pPr>
      <w:r>
        <w:rPr>
          <w:sz w:val="20"/>
        </w:rPr>
        <w:t>El</w:t>
      </w:r>
      <w:r>
        <w:rPr>
          <w:spacing w:val="-8"/>
          <w:sz w:val="20"/>
        </w:rPr>
        <w:t> </w:t>
      </w:r>
      <w:r>
        <w:rPr>
          <w:sz w:val="20"/>
        </w:rPr>
        <w:t>contrato</w:t>
      </w:r>
      <w:r>
        <w:rPr>
          <w:spacing w:val="-6"/>
          <w:sz w:val="20"/>
        </w:rPr>
        <w:t> </w:t>
      </w:r>
      <w:r>
        <w:rPr>
          <w:sz w:val="20"/>
        </w:rPr>
        <w:t>colectivo</w:t>
      </w:r>
      <w:r>
        <w:rPr>
          <w:spacing w:val="-7"/>
          <w:sz w:val="20"/>
        </w:rPr>
        <w:t> </w:t>
      </w:r>
      <w:r>
        <w:rPr>
          <w:sz w:val="20"/>
        </w:rPr>
        <w:t>de</w:t>
      </w:r>
      <w:r>
        <w:rPr>
          <w:spacing w:val="-7"/>
          <w:sz w:val="20"/>
        </w:rPr>
        <w:t> </w:t>
      </w:r>
      <w:r>
        <w:rPr>
          <w:spacing w:val="-2"/>
          <w:sz w:val="20"/>
        </w:rPr>
        <w:t>trabajo;</w:t>
      </w:r>
    </w:p>
    <w:p>
      <w:pPr>
        <w:pStyle w:val="ListParagraph"/>
        <w:numPr>
          <w:ilvl w:val="1"/>
          <w:numId w:val="125"/>
        </w:numPr>
        <w:tabs>
          <w:tab w:pos="984" w:val="left" w:leader="none"/>
        </w:tabs>
        <w:spacing w:line="240" w:lineRule="auto" w:before="229" w:after="0"/>
        <w:ind w:left="984" w:right="0" w:hanging="358"/>
        <w:jc w:val="left"/>
        <w:rPr>
          <w:sz w:val="20"/>
        </w:rPr>
      </w:pPr>
      <w:r>
        <w:rPr>
          <w:sz w:val="20"/>
        </w:rPr>
        <w:t>La</w:t>
      </w:r>
      <w:r>
        <w:rPr>
          <w:spacing w:val="-8"/>
          <w:sz w:val="20"/>
        </w:rPr>
        <w:t> </w:t>
      </w:r>
      <w:r>
        <w:rPr>
          <w:sz w:val="20"/>
        </w:rPr>
        <w:t>Constancia</w:t>
      </w:r>
      <w:r>
        <w:rPr>
          <w:spacing w:val="-6"/>
          <w:sz w:val="20"/>
        </w:rPr>
        <w:t> </w:t>
      </w:r>
      <w:r>
        <w:rPr>
          <w:sz w:val="20"/>
        </w:rPr>
        <w:t>de</w:t>
      </w:r>
      <w:r>
        <w:rPr>
          <w:spacing w:val="-7"/>
          <w:sz w:val="20"/>
        </w:rPr>
        <w:t> </w:t>
      </w:r>
      <w:r>
        <w:rPr>
          <w:sz w:val="20"/>
        </w:rPr>
        <w:t>Representatividad</w:t>
      </w:r>
      <w:r>
        <w:rPr>
          <w:spacing w:val="-6"/>
          <w:sz w:val="20"/>
        </w:rPr>
        <w:t> </w:t>
      </w:r>
      <w:r>
        <w:rPr>
          <w:sz w:val="20"/>
        </w:rPr>
        <w:t>a</w:t>
      </w:r>
      <w:r>
        <w:rPr>
          <w:spacing w:val="-5"/>
          <w:sz w:val="20"/>
        </w:rPr>
        <w:t> </w:t>
      </w:r>
      <w:r>
        <w:rPr>
          <w:sz w:val="20"/>
        </w:rPr>
        <w:t>que</w:t>
      </w:r>
      <w:r>
        <w:rPr>
          <w:spacing w:val="-5"/>
          <w:sz w:val="20"/>
        </w:rPr>
        <w:t> </w:t>
      </w:r>
      <w:r>
        <w:rPr>
          <w:sz w:val="20"/>
        </w:rPr>
        <w:t>se</w:t>
      </w:r>
      <w:r>
        <w:rPr>
          <w:spacing w:val="-6"/>
          <w:sz w:val="20"/>
        </w:rPr>
        <w:t> </w:t>
      </w:r>
      <w:r>
        <w:rPr>
          <w:sz w:val="20"/>
        </w:rPr>
        <w:t>refiere</w:t>
      </w:r>
      <w:r>
        <w:rPr>
          <w:spacing w:val="-5"/>
          <w:sz w:val="20"/>
        </w:rPr>
        <w:t> </w:t>
      </w:r>
      <w:r>
        <w:rPr>
          <w:sz w:val="20"/>
        </w:rPr>
        <w:t>el</w:t>
      </w:r>
      <w:r>
        <w:rPr>
          <w:spacing w:val="-7"/>
          <w:sz w:val="20"/>
        </w:rPr>
        <w:t> </w:t>
      </w:r>
      <w:r>
        <w:rPr>
          <w:sz w:val="20"/>
        </w:rPr>
        <w:t>artículo</w:t>
      </w:r>
      <w:r>
        <w:rPr>
          <w:spacing w:val="-5"/>
          <w:sz w:val="20"/>
        </w:rPr>
        <w:t> </w:t>
      </w:r>
      <w:r>
        <w:rPr>
          <w:sz w:val="20"/>
        </w:rPr>
        <w:t>390</w:t>
      </w:r>
      <w:r>
        <w:rPr>
          <w:spacing w:val="-6"/>
          <w:sz w:val="20"/>
        </w:rPr>
        <w:t> </w:t>
      </w:r>
      <w:r>
        <w:rPr>
          <w:sz w:val="20"/>
        </w:rPr>
        <w:t>Bis</w:t>
      </w:r>
      <w:r>
        <w:rPr>
          <w:spacing w:val="-6"/>
          <w:sz w:val="20"/>
        </w:rPr>
        <w:t> </w:t>
      </w:r>
      <w:r>
        <w:rPr>
          <w:sz w:val="20"/>
        </w:rPr>
        <w:t>de</w:t>
      </w:r>
      <w:r>
        <w:rPr>
          <w:spacing w:val="-5"/>
          <w:sz w:val="20"/>
        </w:rPr>
        <w:t> </w:t>
      </w:r>
      <w:r>
        <w:rPr>
          <w:sz w:val="20"/>
        </w:rPr>
        <w:t>esta</w:t>
      </w:r>
      <w:r>
        <w:rPr>
          <w:spacing w:val="-5"/>
          <w:sz w:val="20"/>
        </w:rPr>
        <w:t> </w:t>
      </w:r>
      <w:r>
        <w:rPr>
          <w:sz w:val="20"/>
        </w:rPr>
        <w:t>Ley,</w:t>
      </w:r>
      <w:r>
        <w:rPr>
          <w:spacing w:val="-2"/>
          <w:sz w:val="20"/>
        </w:rPr>
        <w:t> </w:t>
      </w:r>
      <w:r>
        <w:rPr>
          <w:spacing w:val="-10"/>
          <w:sz w:val="20"/>
        </w:rPr>
        <w:t>y</w:t>
      </w:r>
    </w:p>
    <w:p>
      <w:pPr>
        <w:pStyle w:val="BodyText"/>
        <w:spacing w:before="1"/>
      </w:pPr>
    </w:p>
    <w:p>
      <w:pPr>
        <w:pStyle w:val="ListParagraph"/>
        <w:numPr>
          <w:ilvl w:val="1"/>
          <w:numId w:val="125"/>
        </w:numPr>
        <w:tabs>
          <w:tab w:pos="984" w:val="left" w:leader="none"/>
        </w:tabs>
        <w:spacing w:line="240" w:lineRule="auto" w:before="0" w:after="0"/>
        <w:ind w:left="984" w:right="0" w:hanging="358"/>
        <w:jc w:val="left"/>
        <w:rPr>
          <w:sz w:val="20"/>
        </w:rPr>
      </w:pPr>
      <w:r>
        <w:rPr>
          <w:sz w:val="20"/>
        </w:rPr>
        <w:t>El</w:t>
      </w:r>
      <w:r>
        <w:rPr>
          <w:spacing w:val="-7"/>
          <w:sz w:val="20"/>
        </w:rPr>
        <w:t> </w:t>
      </w:r>
      <w:r>
        <w:rPr>
          <w:sz w:val="20"/>
        </w:rPr>
        <w:t>ámbito</w:t>
      </w:r>
      <w:r>
        <w:rPr>
          <w:spacing w:val="-8"/>
          <w:sz w:val="20"/>
        </w:rPr>
        <w:t> </w:t>
      </w:r>
      <w:r>
        <w:rPr>
          <w:sz w:val="20"/>
        </w:rPr>
        <w:t>de</w:t>
      </w:r>
      <w:r>
        <w:rPr>
          <w:spacing w:val="-6"/>
          <w:sz w:val="20"/>
        </w:rPr>
        <w:t> </w:t>
      </w:r>
      <w:r>
        <w:rPr>
          <w:sz w:val="20"/>
        </w:rPr>
        <w:t>aplicación</w:t>
      </w:r>
      <w:r>
        <w:rPr>
          <w:spacing w:val="-7"/>
          <w:sz w:val="20"/>
        </w:rPr>
        <w:t> </w:t>
      </w:r>
      <w:r>
        <w:rPr>
          <w:sz w:val="20"/>
        </w:rPr>
        <w:t>del</w:t>
      </w:r>
      <w:r>
        <w:rPr>
          <w:spacing w:val="-4"/>
          <w:sz w:val="20"/>
        </w:rPr>
        <w:t> </w:t>
      </w:r>
      <w:r>
        <w:rPr>
          <w:sz w:val="20"/>
        </w:rPr>
        <w:t>contrato</w:t>
      </w:r>
      <w:r>
        <w:rPr>
          <w:spacing w:val="-9"/>
          <w:sz w:val="20"/>
        </w:rPr>
        <w:t> </w:t>
      </w:r>
      <w:r>
        <w:rPr>
          <w:sz w:val="20"/>
        </w:rPr>
        <w:t>colectivo</w:t>
      </w:r>
      <w:r>
        <w:rPr>
          <w:spacing w:val="-7"/>
          <w:sz w:val="20"/>
        </w:rPr>
        <w:t> </w:t>
      </w:r>
      <w:r>
        <w:rPr>
          <w:sz w:val="20"/>
        </w:rPr>
        <w:t>de</w:t>
      </w:r>
      <w:r>
        <w:rPr>
          <w:spacing w:val="-5"/>
          <w:sz w:val="20"/>
        </w:rPr>
        <w:t> </w:t>
      </w:r>
      <w:r>
        <w:rPr>
          <w:spacing w:val="-2"/>
          <w:sz w:val="20"/>
        </w:rPr>
        <w:t>trabajo.</w:t>
      </w:r>
    </w:p>
    <w:p>
      <w:pPr>
        <w:spacing w:before="0"/>
        <w:ind w:left="656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incisos</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BodyText"/>
        <w:ind w:left="338" w:right="343" w:firstLine="288"/>
        <w:jc w:val="both"/>
      </w:pPr>
      <w:r>
        <w:rPr/>
        <w:t>Una vez entregada la documentación anterior, el Centro Federal de Conciliación y Registro Laboral deberá de resolver sobre el registro del contrato colectivo de trabajo dentro de los treinta días siguientes, dicha resolución será notificada a las partes.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38" w:firstLine="288"/>
        <w:jc w:val="both"/>
      </w:pPr>
      <w:bookmarkStart w:name="Artículo_390_Bis" w:id="514"/>
      <w:bookmarkEnd w:id="514"/>
      <w:r>
        <w:rPr/>
      </w:r>
      <w:r>
        <w:rPr>
          <w:rFonts w:ascii="Arial" w:hAnsi="Arial"/>
          <w:b/>
        </w:rPr>
        <w:t>Artículo 390 Bis.- </w:t>
      </w:r>
      <w:r>
        <w:rPr/>
        <w:t>Para solicitar la celebración del contrato colectivo de trabajo inicial será indispensable que el sindicato obtenga del Centro Federal de Conciliación y Registro Laboral la Constancia de Representatividad, a fin de garantizar los principios de representatividad en las organizaciones sindicales y certeza en la firma, registro y depósito de los contratos colectivos de trabajo. Esta constancia será expedida conforme a lo siguiente:</w:t>
      </w:r>
    </w:p>
    <w:p>
      <w:pPr>
        <w:pStyle w:val="ListParagraph"/>
        <w:numPr>
          <w:ilvl w:val="2"/>
          <w:numId w:val="125"/>
        </w:numPr>
        <w:tabs>
          <w:tab w:pos="1193" w:val="left" w:leader="none"/>
          <w:tab w:pos="1195" w:val="left" w:leader="none"/>
        </w:tabs>
        <w:spacing w:line="240" w:lineRule="auto" w:before="219" w:after="0"/>
        <w:ind w:left="1195" w:right="333" w:hanging="569"/>
        <w:jc w:val="both"/>
        <w:rPr>
          <w:sz w:val="20"/>
        </w:rPr>
      </w:pPr>
      <w:r>
        <w:rPr>
          <w:sz w:val="20"/>
        </w:rPr>
        <w:t>La solicitud para obtener la Constancia de Representatividad será presentada por uno o varios sindicatos ante el Centro Federal de Conciliación y</w:t>
      </w:r>
      <w:r>
        <w:rPr>
          <w:spacing w:val="-2"/>
          <w:sz w:val="20"/>
        </w:rPr>
        <w:t> </w:t>
      </w:r>
      <w:r>
        <w:rPr>
          <w:sz w:val="20"/>
        </w:rPr>
        <w:t>Registro Laboral. Dicha solicitud se hará por escrito y</w:t>
      </w:r>
      <w:r>
        <w:rPr>
          <w:spacing w:val="-2"/>
          <w:sz w:val="20"/>
        </w:rPr>
        <w:t> </w:t>
      </w:r>
      <w:r>
        <w:rPr>
          <w:sz w:val="20"/>
        </w:rPr>
        <w:t>contendrá el nombre de la parte solicitante, así como el domicilio en el que se le harán las notificaciones correspondientes; asimismo, deberá señalarse el domicilio y nombre o los datos de identificación del patrón o centro de trabajo, así como la actividad a la que se dedica. Adicionalmente, la solicitud deberá acompañarse de un listado en el que se acredite que el sindicato</w:t>
      </w:r>
      <w:r>
        <w:rPr>
          <w:spacing w:val="56"/>
          <w:sz w:val="20"/>
        </w:rPr>
        <w:t> </w:t>
      </w:r>
      <w:r>
        <w:rPr>
          <w:sz w:val="20"/>
        </w:rPr>
        <w:t>solicitante</w:t>
      </w:r>
      <w:r>
        <w:rPr>
          <w:spacing w:val="56"/>
          <w:sz w:val="20"/>
        </w:rPr>
        <w:t> </w:t>
      </w:r>
      <w:r>
        <w:rPr>
          <w:sz w:val="20"/>
        </w:rPr>
        <w:t>cuenta</w:t>
      </w:r>
      <w:r>
        <w:rPr>
          <w:spacing w:val="56"/>
          <w:sz w:val="20"/>
        </w:rPr>
        <w:t> </w:t>
      </w:r>
      <w:r>
        <w:rPr>
          <w:sz w:val="20"/>
        </w:rPr>
        <w:t>con</w:t>
      </w:r>
      <w:r>
        <w:rPr>
          <w:spacing w:val="58"/>
          <w:sz w:val="20"/>
        </w:rPr>
        <w:t> </w:t>
      </w:r>
      <w:r>
        <w:rPr>
          <w:sz w:val="20"/>
        </w:rPr>
        <w:t>el</w:t>
      </w:r>
      <w:r>
        <w:rPr>
          <w:spacing w:val="57"/>
          <w:sz w:val="20"/>
        </w:rPr>
        <w:t> </w:t>
      </w:r>
      <w:r>
        <w:rPr>
          <w:sz w:val="20"/>
        </w:rPr>
        <w:t>respaldo</w:t>
      </w:r>
      <w:r>
        <w:rPr>
          <w:spacing w:val="56"/>
          <w:sz w:val="20"/>
        </w:rPr>
        <w:t> </w:t>
      </w:r>
      <w:r>
        <w:rPr>
          <w:sz w:val="20"/>
        </w:rPr>
        <w:t>de</w:t>
      </w:r>
      <w:r>
        <w:rPr>
          <w:spacing w:val="58"/>
          <w:sz w:val="20"/>
        </w:rPr>
        <w:t> </w:t>
      </w:r>
      <w:r>
        <w:rPr>
          <w:sz w:val="20"/>
        </w:rPr>
        <w:t>por</w:t>
      </w:r>
      <w:r>
        <w:rPr>
          <w:spacing w:val="59"/>
          <w:sz w:val="20"/>
        </w:rPr>
        <w:t> </w:t>
      </w:r>
      <w:r>
        <w:rPr>
          <w:sz w:val="20"/>
        </w:rPr>
        <w:t>lo</w:t>
      </w:r>
      <w:r>
        <w:rPr>
          <w:spacing w:val="58"/>
          <w:sz w:val="20"/>
        </w:rPr>
        <w:t> </w:t>
      </w:r>
      <w:r>
        <w:rPr>
          <w:sz w:val="20"/>
        </w:rPr>
        <w:t>menos</w:t>
      </w:r>
      <w:r>
        <w:rPr>
          <w:spacing w:val="57"/>
          <w:sz w:val="20"/>
        </w:rPr>
        <w:t> </w:t>
      </w:r>
      <w:r>
        <w:rPr>
          <w:sz w:val="20"/>
        </w:rPr>
        <w:t>el</w:t>
      </w:r>
      <w:r>
        <w:rPr>
          <w:spacing w:val="57"/>
          <w:sz w:val="20"/>
        </w:rPr>
        <w:t> </w:t>
      </w:r>
      <w:r>
        <w:rPr>
          <w:sz w:val="20"/>
        </w:rPr>
        <w:t>treinta</w:t>
      </w:r>
      <w:r>
        <w:rPr>
          <w:spacing w:val="58"/>
          <w:sz w:val="20"/>
        </w:rPr>
        <w:t> </w:t>
      </w:r>
      <w:r>
        <w:rPr>
          <w:sz w:val="20"/>
        </w:rPr>
        <w:t>por</w:t>
      </w:r>
      <w:r>
        <w:rPr>
          <w:spacing w:val="62"/>
          <w:sz w:val="20"/>
        </w:rPr>
        <w:t> </w:t>
      </w:r>
      <w:r>
        <w:rPr>
          <w:sz w:val="20"/>
        </w:rPr>
        <w:t>ciento</w:t>
      </w:r>
      <w:r>
        <w:rPr>
          <w:spacing w:val="58"/>
          <w:sz w:val="20"/>
        </w:rPr>
        <w:t> </w:t>
      </w:r>
      <w:r>
        <w:rPr>
          <w:sz w:val="20"/>
        </w:rPr>
        <w:t>de</w:t>
      </w:r>
      <w:r>
        <w:rPr>
          <w:spacing w:val="56"/>
          <w:sz w:val="20"/>
        </w:rPr>
        <w:t> </w:t>
      </w:r>
      <w:r>
        <w:rPr>
          <w:sz w:val="20"/>
        </w:rPr>
        <w:t>los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195" w:right="336"/>
        <w:jc w:val="both"/>
      </w:pPr>
      <w:r>
        <w:rPr/>
        <w:t>trabajadores cubiertos por el contrato colectivo; dicho listado deberá incluir el nombre, CURP, fecha de contratación y firma autógrafa de los trabajadores que respalden al sindicato</w:t>
      </w:r>
      <w:r>
        <w:rPr>
          <w:spacing w:val="40"/>
        </w:rPr>
        <w:t> </w:t>
      </w:r>
      <w:r>
        <w:rPr>
          <w:spacing w:val="-2"/>
        </w:rPr>
        <w:t>solicitante.</w:t>
      </w:r>
    </w:p>
    <w:p>
      <w:pPr>
        <w:pStyle w:val="BodyText"/>
        <w:spacing w:before="2"/>
      </w:pPr>
    </w:p>
    <w:p>
      <w:pPr>
        <w:pStyle w:val="BodyText"/>
        <w:ind w:left="1195" w:right="340"/>
        <w:jc w:val="both"/>
      </w:pPr>
      <w:r>
        <w:rPr/>
        <w:t>El Centro Federal de Conciliación y Registro Laboral conservará en secreto y cuidará bajo su más estricta responsabilidad la confidencialidad del listado y los anexos que exhiba el</w:t>
      </w:r>
      <w:r>
        <w:rPr>
          <w:spacing w:val="40"/>
        </w:rPr>
        <w:t> </w:t>
      </w:r>
      <w:r>
        <w:rPr>
          <w:spacing w:val="-2"/>
        </w:rPr>
        <w:t>solicitante.</w:t>
      </w:r>
    </w:p>
    <w:p>
      <w:pPr>
        <w:pStyle w:val="BodyText"/>
        <w:spacing w:before="229"/>
        <w:ind w:left="1195" w:right="340"/>
        <w:jc w:val="both"/>
      </w:pPr>
      <w:r>
        <w:rPr/>
        <w:t>De no proporcionarse los datos mencionados, la Autoridad Registral dentro de los tres días siguientes</w:t>
      </w:r>
      <w:r>
        <w:rPr>
          <w:spacing w:val="-1"/>
        </w:rPr>
        <w:t> </w:t>
      </w:r>
      <w:r>
        <w:rPr/>
        <w:t>prevendrá al</w:t>
      </w:r>
      <w:r>
        <w:rPr>
          <w:spacing w:val="-1"/>
        </w:rPr>
        <w:t> </w:t>
      </w:r>
      <w:r>
        <w:rPr/>
        <w:t>solicitante</w:t>
      </w:r>
      <w:r>
        <w:rPr>
          <w:spacing w:val="-2"/>
        </w:rPr>
        <w:t> </w:t>
      </w:r>
      <w:r>
        <w:rPr/>
        <w:t>para que subsane</w:t>
      </w:r>
      <w:r>
        <w:rPr>
          <w:spacing w:val="-2"/>
        </w:rPr>
        <w:t> </w:t>
      </w:r>
      <w:r>
        <w:rPr/>
        <w:t>su</w:t>
      </w:r>
      <w:r>
        <w:rPr>
          <w:spacing w:val="-2"/>
        </w:rPr>
        <w:t> </w:t>
      </w:r>
      <w:r>
        <w:rPr/>
        <w:t>solicitud, lo que deberá</w:t>
      </w:r>
      <w:r>
        <w:rPr>
          <w:spacing w:val="-2"/>
        </w:rPr>
        <w:t> </w:t>
      </w:r>
      <w:r>
        <w:rPr/>
        <w:t>hacer</w:t>
      </w:r>
      <w:r>
        <w:rPr>
          <w:spacing w:val="-1"/>
        </w:rPr>
        <w:t> </w:t>
      </w:r>
      <w:r>
        <w:rPr/>
        <w:t>dentro de los tres días siguientes a que sea notificado.</w:t>
      </w:r>
    </w:p>
    <w:p>
      <w:pPr>
        <w:pStyle w:val="BodyText"/>
      </w:pPr>
    </w:p>
    <w:p>
      <w:pPr>
        <w:pStyle w:val="BodyText"/>
        <w:ind w:left="1195" w:right="339"/>
        <w:jc w:val="both"/>
      </w:pPr>
      <w:r>
        <w:rPr/>
        <w:t>El hecho de que el centro de trabajo opere de manera informal o bajo esquemas de simulación no afectará a los trabajadores en el ejercicio de su libertad de negociación colectiva y la</w:t>
      </w:r>
      <w:r>
        <w:rPr>
          <w:spacing w:val="40"/>
        </w:rPr>
        <w:t> </w:t>
      </w:r>
      <w:r>
        <w:rPr/>
        <w:t>defensa de sus intereses;</w:t>
      </w:r>
    </w:p>
    <w:p>
      <w:pPr>
        <w:pStyle w:val="ListParagraph"/>
        <w:numPr>
          <w:ilvl w:val="2"/>
          <w:numId w:val="125"/>
        </w:numPr>
        <w:tabs>
          <w:tab w:pos="1192" w:val="left" w:leader="none"/>
          <w:tab w:pos="1195" w:val="left" w:leader="none"/>
        </w:tabs>
        <w:spacing w:line="240" w:lineRule="auto" w:before="229" w:after="0"/>
        <w:ind w:left="1195" w:right="332" w:hanging="569"/>
        <w:jc w:val="both"/>
        <w:rPr>
          <w:sz w:val="20"/>
        </w:rPr>
      </w:pPr>
      <w:r>
        <w:rPr>
          <w:sz w:val="20"/>
        </w:rPr>
        <w:t>El Centro Federal de Conciliación y Registro Laboral, en un plazo no</w:t>
      </w:r>
      <w:r>
        <w:rPr>
          <w:spacing w:val="40"/>
          <w:sz w:val="20"/>
        </w:rPr>
        <w:t> </w:t>
      </w:r>
      <w:r>
        <w:rPr>
          <w:sz w:val="20"/>
        </w:rPr>
        <w:t>mayor a tres días</w:t>
      </w:r>
      <w:r>
        <w:rPr>
          <w:spacing w:val="40"/>
          <w:sz w:val="20"/>
        </w:rPr>
        <w:t> </w:t>
      </w:r>
      <w:r>
        <w:rPr>
          <w:sz w:val="20"/>
        </w:rPr>
        <w:t>contados a partir de la presentación de la solicitud, publicará en su sitio de Internet el aviso de solicitud de Constancia de Representatividad, fijará dicho aviso en el centro de trabajo y solicitará al patrón que lo coloque al interior del</w:t>
      </w:r>
      <w:r>
        <w:rPr>
          <w:spacing w:val="-2"/>
          <w:sz w:val="20"/>
        </w:rPr>
        <w:t> </w:t>
      </w:r>
      <w:r>
        <w:rPr>
          <w:sz w:val="20"/>
        </w:rPr>
        <w:t>centro laboral en los lugares de mayor afluencia para hacerlo del conocimiento a los trabajadores y a cualquier otro sindicato que desee obtener la Constancia de Representatividad, a fin de que éste pueda promover su adhesión a la solicitud, para lo cual se estará a las normas que establece el artículo 388 de esta Ley; dicha solicitud adhesiva podrá presentarse por escrito ante el Centro Federal de Conciliación y Registro Laboral dentro de los diez días siguientes a la publicación del aviso de solicitud, señalando el nombre de la parte adherente, así como su domicilio para oír y recibir notificaciones, debiendo acompañar el listado que acredite que cuenta con el respaldo de por lo menos el treinta por ciento de los trabajadores cubiertos por el contrato colectivo. No será impedimento para que se admita la solicitud adhesiva que los nombres de los trabajadores aparezcan en dos o más listados presentados por los sindicatos;</w:t>
      </w:r>
    </w:p>
    <w:p>
      <w:pPr>
        <w:pStyle w:val="BodyText"/>
      </w:pPr>
    </w:p>
    <w:p>
      <w:pPr>
        <w:pStyle w:val="ListParagraph"/>
        <w:numPr>
          <w:ilvl w:val="2"/>
          <w:numId w:val="125"/>
        </w:numPr>
        <w:tabs>
          <w:tab w:pos="1191" w:val="left" w:leader="none"/>
          <w:tab w:pos="1195" w:val="left" w:leader="none"/>
        </w:tabs>
        <w:spacing w:line="240" w:lineRule="auto" w:before="0" w:after="0"/>
        <w:ind w:left="1195" w:right="338" w:hanging="569"/>
        <w:jc w:val="both"/>
        <w:rPr>
          <w:sz w:val="20"/>
        </w:rPr>
      </w:pPr>
      <w:r>
        <w:rPr>
          <w:sz w:val="20"/>
        </w:rPr>
        <w:t>El Centro Federal de Conciliación y Registro Laboral resolverá sobre la procedencia de la solicitud de la Constancia de Representatividad; de resultar procedente, emitirá la constancia correspondiente. Si sólo un sindicato solicita la constancia, se tendrá por acreditada su representatividad cuando cuente con el respaldo de por lo menos el treinta por ciento de los trabajadores cubiertos por el contrato colectivo. En este caso, el Centro recabará ante las autoridades e</w:t>
      </w:r>
      <w:r>
        <w:rPr>
          <w:spacing w:val="-1"/>
          <w:sz w:val="20"/>
        </w:rPr>
        <w:t> </w:t>
      </w:r>
      <w:r>
        <w:rPr>
          <w:sz w:val="20"/>
        </w:rPr>
        <w:t>instancias pertinentes la información</w:t>
      </w:r>
      <w:r>
        <w:rPr>
          <w:spacing w:val="-1"/>
          <w:sz w:val="20"/>
        </w:rPr>
        <w:t> </w:t>
      </w:r>
      <w:r>
        <w:rPr>
          <w:sz w:val="20"/>
        </w:rPr>
        <w:t>necesaria</w:t>
      </w:r>
      <w:r>
        <w:rPr>
          <w:spacing w:val="-1"/>
          <w:sz w:val="20"/>
        </w:rPr>
        <w:t> </w:t>
      </w:r>
      <w:r>
        <w:rPr>
          <w:sz w:val="20"/>
        </w:rPr>
        <w:t>para verificar que</w:t>
      </w:r>
      <w:r>
        <w:rPr>
          <w:spacing w:val="-1"/>
          <w:sz w:val="20"/>
        </w:rPr>
        <w:t> </w:t>
      </w:r>
      <w:r>
        <w:rPr>
          <w:sz w:val="20"/>
        </w:rPr>
        <w:t>los trabajadores contemplados en el listado que presente el sindicato solicitante representen al menos el treinta por ciento de los trabajadores al servicio del patrón del que se solicita la firma del contrato colectivo de trabajo.</w:t>
      </w:r>
    </w:p>
    <w:p>
      <w:pPr>
        <w:pStyle w:val="BodyText"/>
        <w:spacing w:before="1"/>
      </w:pPr>
    </w:p>
    <w:p>
      <w:pPr>
        <w:pStyle w:val="BodyText"/>
        <w:spacing w:before="1"/>
        <w:ind w:left="1195" w:right="337"/>
        <w:jc w:val="both"/>
      </w:pPr>
      <w:r>
        <w:rPr/>
        <w:t>De haber contendido más de un sindicato, el derecho a negociar y</w:t>
      </w:r>
      <w:r>
        <w:rPr>
          <w:spacing w:val="-3"/>
        </w:rPr>
        <w:t> </w:t>
      </w:r>
      <w:r>
        <w:rPr/>
        <w:t>celebrar el</w:t>
      </w:r>
      <w:r>
        <w:rPr>
          <w:spacing w:val="-1"/>
        </w:rPr>
        <w:t> </w:t>
      </w:r>
      <w:r>
        <w:rPr/>
        <w:t>contrato colectivo corresponderá al que obtenga el mayor número de votos conforme a las reglas contempladas</w:t>
      </w:r>
      <w:r>
        <w:rPr>
          <w:spacing w:val="40"/>
        </w:rPr>
        <w:t> </w:t>
      </w:r>
      <w:r>
        <w:rPr/>
        <w:t>en el artículo 388 de esta Ley. En todo caso, el número de trabajadores votantes deberá de ser de por lo menos del treinta por ciento de los trabajadores cubiertos por el contrato colectivo del que se solicita la firma. Para lo anterior se deberá observar el procedimiento de consulta </w:t>
      </w:r>
      <w:r>
        <w:rPr>
          <w:spacing w:val="-2"/>
        </w:rPr>
        <w:t>siguiente:</w:t>
      </w:r>
    </w:p>
    <w:p>
      <w:pPr>
        <w:pStyle w:val="ListParagraph"/>
        <w:numPr>
          <w:ilvl w:val="3"/>
          <w:numId w:val="125"/>
        </w:numPr>
        <w:tabs>
          <w:tab w:pos="1762" w:val="left" w:leader="none"/>
        </w:tabs>
        <w:spacing w:line="240" w:lineRule="auto" w:before="228" w:after="0"/>
        <w:ind w:left="1762" w:right="340" w:hanging="567"/>
        <w:jc w:val="both"/>
        <w:rPr>
          <w:sz w:val="20"/>
        </w:rPr>
      </w:pPr>
      <w:r>
        <w:rPr>
          <w:sz w:val="20"/>
        </w:rPr>
        <w:t>El Centro Federal de Conciliación y Registro Laboral validará que los sindicatos contendientes acrediten el respaldo de por lo menos el treinta por ciento de los trabajadores cubiertos por el contrato colectivo, en cuyo caso procederá a recabar ante las autoridades o instancias correspondientes la información o elementos necesarios</w:t>
      </w:r>
      <w:r>
        <w:rPr>
          <w:spacing w:val="40"/>
          <w:sz w:val="20"/>
        </w:rPr>
        <w:t> </w:t>
      </w:r>
      <w:r>
        <w:rPr>
          <w:sz w:val="20"/>
        </w:rPr>
        <w:t>para</w:t>
      </w:r>
      <w:r>
        <w:rPr>
          <w:spacing w:val="40"/>
          <w:sz w:val="20"/>
        </w:rPr>
        <w:t> </w:t>
      </w:r>
      <w:r>
        <w:rPr>
          <w:sz w:val="20"/>
        </w:rPr>
        <w:t>elaborar</w:t>
      </w:r>
      <w:r>
        <w:rPr>
          <w:spacing w:val="40"/>
          <w:sz w:val="20"/>
        </w:rPr>
        <w:t> </w:t>
      </w:r>
      <w:r>
        <w:rPr>
          <w:sz w:val="20"/>
        </w:rPr>
        <w:t>un</w:t>
      </w:r>
      <w:r>
        <w:rPr>
          <w:spacing w:val="40"/>
          <w:sz w:val="20"/>
        </w:rPr>
        <w:t> </w:t>
      </w:r>
      <w:r>
        <w:rPr>
          <w:sz w:val="20"/>
        </w:rPr>
        <w:t>padrón,</w:t>
      </w:r>
      <w:r>
        <w:rPr>
          <w:spacing w:val="40"/>
          <w:sz w:val="20"/>
        </w:rPr>
        <w:t> </w:t>
      </w:r>
      <w:r>
        <w:rPr>
          <w:sz w:val="20"/>
        </w:rPr>
        <w:t>que</w:t>
      </w:r>
      <w:r>
        <w:rPr>
          <w:spacing w:val="40"/>
          <w:sz w:val="20"/>
        </w:rPr>
        <w:t> </w:t>
      </w:r>
      <w:r>
        <w:rPr>
          <w:sz w:val="20"/>
        </w:rPr>
        <w:t>consistirá</w:t>
      </w:r>
      <w:r>
        <w:rPr>
          <w:spacing w:val="40"/>
          <w:sz w:val="20"/>
        </w:rPr>
        <w:t> </w:t>
      </w:r>
      <w:r>
        <w:rPr>
          <w:sz w:val="20"/>
        </w:rPr>
        <w:t>en</w:t>
      </w:r>
      <w:r>
        <w:rPr>
          <w:spacing w:val="40"/>
          <w:sz w:val="20"/>
        </w:rPr>
        <w:t> </w:t>
      </w:r>
      <w:r>
        <w:rPr>
          <w:sz w:val="20"/>
        </w:rPr>
        <w:t>un</w:t>
      </w:r>
      <w:r>
        <w:rPr>
          <w:spacing w:val="40"/>
          <w:sz w:val="20"/>
        </w:rPr>
        <w:t> </w:t>
      </w:r>
      <w:r>
        <w:rPr>
          <w:sz w:val="20"/>
        </w:rPr>
        <w:t>listado</w:t>
      </w:r>
      <w:r>
        <w:rPr>
          <w:spacing w:val="40"/>
          <w:sz w:val="20"/>
        </w:rPr>
        <w:t> </w:t>
      </w:r>
      <w:r>
        <w:rPr>
          <w:sz w:val="20"/>
        </w:rPr>
        <w:t>de</w:t>
      </w:r>
      <w:r>
        <w:rPr>
          <w:spacing w:val="40"/>
          <w:sz w:val="20"/>
        </w:rPr>
        <w:t> </w:t>
      </w:r>
      <w:r>
        <w:rPr>
          <w:sz w:val="20"/>
        </w:rPr>
        <w:t>los</w:t>
      </w:r>
      <w:r>
        <w:rPr>
          <w:spacing w:val="40"/>
          <w:sz w:val="20"/>
        </w:rPr>
        <w:t> </w:t>
      </w:r>
      <w:r>
        <w:rPr>
          <w:sz w:val="20"/>
        </w:rPr>
        <w:t>trabajadores</w:t>
      </w:r>
      <w:r>
        <w:rPr>
          <w:spacing w:val="40"/>
          <w:sz w:val="20"/>
        </w:rPr>
        <w:t> </w:t>
      </w:r>
      <w:r>
        <w:rPr>
          <w:sz w:val="20"/>
        </w:rPr>
        <w:t>del</w:t>
      </w:r>
      <w:r>
        <w:rPr>
          <w:spacing w:val="40"/>
          <w:sz w:val="20"/>
        </w:rPr>
        <w:t> </w:t>
      </w:r>
      <w:r>
        <w:rPr>
          <w:sz w:val="20"/>
        </w:rPr>
        <w:t>centro</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762" w:right="340"/>
        <w:jc w:val="both"/>
      </w:pPr>
      <w:r>
        <w:rPr/>
        <w:t>laboral que serán consultados mediante voto personal, libre, directo y secreto,</w:t>
      </w:r>
      <w:r>
        <w:rPr>
          <w:spacing w:val="40"/>
        </w:rPr>
        <w:t> </w:t>
      </w:r>
      <w:r>
        <w:rPr/>
        <w:t>excluyendo a los trabajadores de confianza o aquellos que ingresen con posterioridad a</w:t>
      </w:r>
      <w:r>
        <w:rPr>
          <w:spacing w:val="40"/>
        </w:rPr>
        <w:t> </w:t>
      </w:r>
      <w:r>
        <w:rPr/>
        <w:t>la presentación de la solicitud. Serán parte del padrón los trabajadores que hayan sido despedidos del trabajo durante los tres meses previos o posteriores a la presentación del escrito de solicitud, a excepción de aquéllos que hayan dado por terminada su relación</w:t>
      </w:r>
      <w:r>
        <w:rPr>
          <w:spacing w:val="40"/>
        </w:rPr>
        <w:t> </w:t>
      </w:r>
      <w:r>
        <w:rPr/>
        <w:t>de trabajo, salvo que se encuentre sub iudice.</w:t>
      </w:r>
    </w:p>
    <w:p>
      <w:pPr>
        <w:pStyle w:val="BodyText"/>
        <w:spacing w:before="1"/>
      </w:pPr>
    </w:p>
    <w:p>
      <w:pPr>
        <w:pStyle w:val="BodyText"/>
        <w:ind w:left="1762" w:right="338"/>
        <w:jc w:val="both"/>
      </w:pPr>
      <w:r>
        <w:rPr/>
        <w:t>En caso de estimarlo necesario, el Centro Federal de Conciliación y Registro Laboral podrá</w:t>
      </w:r>
      <w:r>
        <w:rPr>
          <w:spacing w:val="-2"/>
        </w:rPr>
        <w:t> </w:t>
      </w:r>
      <w:r>
        <w:rPr/>
        <w:t>solicitar el</w:t>
      </w:r>
      <w:r>
        <w:rPr>
          <w:spacing w:val="-1"/>
        </w:rPr>
        <w:t> </w:t>
      </w:r>
      <w:r>
        <w:rPr/>
        <w:t>apoyo de la oficina</w:t>
      </w:r>
      <w:r>
        <w:rPr>
          <w:spacing w:val="-2"/>
        </w:rPr>
        <w:t> </w:t>
      </w:r>
      <w:r>
        <w:rPr/>
        <w:t>de</w:t>
      </w:r>
      <w:r>
        <w:rPr>
          <w:spacing w:val="-2"/>
        </w:rPr>
        <w:t> </w:t>
      </w:r>
      <w:r>
        <w:rPr/>
        <w:t>Inspección del Trabajo</w:t>
      </w:r>
      <w:r>
        <w:rPr>
          <w:spacing w:val="-2"/>
        </w:rPr>
        <w:t> </w:t>
      </w:r>
      <w:r>
        <w:rPr/>
        <w:t>u</w:t>
      </w:r>
      <w:r>
        <w:rPr>
          <w:spacing w:val="-2"/>
        </w:rPr>
        <w:t> </w:t>
      </w:r>
      <w:r>
        <w:rPr/>
        <w:t>otro servidor público que las autoridades del trabajo habiliten para tal efecto. De requerirlo la parte solicitante,</w:t>
      </w:r>
      <w:r>
        <w:rPr>
          <w:spacing w:val="40"/>
        </w:rPr>
        <w:t> </w:t>
      </w:r>
      <w:r>
        <w:rPr/>
        <w:t>éstos deberán constituirse en el centro de trabajo para elaborar el listado en cuestión,</w:t>
      </w:r>
      <w:r>
        <w:rPr>
          <w:spacing w:val="40"/>
        </w:rPr>
        <w:t> </w:t>
      </w:r>
      <w:r>
        <w:rPr/>
        <w:t>con la información o los elementos que disponga al momento. El listado que servirá de base para la consulta a los trabajadores deberá de ser elaborado por el Centro Federal</w:t>
      </w:r>
      <w:r>
        <w:rPr>
          <w:spacing w:val="40"/>
        </w:rPr>
        <w:t> </w:t>
      </w:r>
      <w:r>
        <w:rPr/>
        <w:t>de Conciliación y Registro Laboral a más tardar en el plazo de diez días siguientes al de la presentación de una segunda solicitud de constancia. El patrón no podrá intervenir en este procedimiento;</w:t>
      </w:r>
    </w:p>
    <w:p>
      <w:pPr>
        <w:pStyle w:val="ListParagraph"/>
        <w:numPr>
          <w:ilvl w:val="3"/>
          <w:numId w:val="125"/>
        </w:numPr>
        <w:tabs>
          <w:tab w:pos="1759" w:val="left" w:leader="none"/>
          <w:tab w:pos="1762" w:val="left" w:leader="none"/>
        </w:tabs>
        <w:spacing w:line="240" w:lineRule="auto" w:before="227" w:after="0"/>
        <w:ind w:left="1762" w:right="337" w:hanging="567"/>
        <w:jc w:val="both"/>
        <w:rPr>
          <w:sz w:val="20"/>
        </w:rPr>
      </w:pPr>
      <w:r>
        <w:rPr>
          <w:sz w:val="20"/>
        </w:rPr>
        <w:t>Una vez conformado el padrón que servirá de base para la consulta de los trabajadores, el Centro Federal de Conciliación y Registro Laboral emitirá la convocatoria correspondiente, señalando el lugar, día y hora en que deberá efectuarse la votación; la convocatoria se emitirá por lo menos con diez días de anticipación a ésta sin que exceda de quince días. Dicho Centro deberá garantizar que el lugar que se designe para la votación sea accesible a los trabajadores y reúna las condiciones necesarias para que éstos emitan su voto de forma libre, pacífica, ágil y segura, sin que puedan ser coaccionados de forma alguna.</w:t>
      </w:r>
    </w:p>
    <w:p>
      <w:pPr>
        <w:pStyle w:val="BodyText"/>
        <w:spacing w:before="4"/>
      </w:pPr>
    </w:p>
    <w:p>
      <w:pPr>
        <w:pStyle w:val="BodyText"/>
        <w:ind w:left="1762" w:right="334"/>
        <w:jc w:val="both"/>
      </w:pPr>
      <w:r>
        <w:rPr/>
        <w:t>La</w:t>
      </w:r>
      <w:r>
        <w:rPr>
          <w:spacing w:val="-3"/>
        </w:rPr>
        <w:t> </w:t>
      </w:r>
      <w:r>
        <w:rPr/>
        <w:t>convocatoria</w:t>
      </w:r>
      <w:r>
        <w:rPr>
          <w:spacing w:val="-2"/>
        </w:rPr>
        <w:t> </w:t>
      </w:r>
      <w:r>
        <w:rPr/>
        <w:t>se</w:t>
      </w:r>
      <w:r>
        <w:rPr>
          <w:spacing w:val="-2"/>
        </w:rPr>
        <w:t> </w:t>
      </w:r>
      <w:r>
        <w:rPr/>
        <w:t>notificará</w:t>
      </w:r>
      <w:r>
        <w:rPr>
          <w:spacing w:val="-2"/>
        </w:rPr>
        <w:t> </w:t>
      </w:r>
      <w:r>
        <w:rPr/>
        <w:t>a</w:t>
      </w:r>
      <w:r>
        <w:rPr>
          <w:spacing w:val="-2"/>
        </w:rPr>
        <w:t> </w:t>
      </w:r>
      <w:r>
        <w:rPr/>
        <w:t>la</w:t>
      </w:r>
      <w:r>
        <w:rPr>
          <w:spacing w:val="-2"/>
        </w:rPr>
        <w:t> </w:t>
      </w:r>
      <w:r>
        <w:rPr/>
        <w:t>parte</w:t>
      </w:r>
      <w:r>
        <w:rPr>
          <w:spacing w:val="-2"/>
        </w:rPr>
        <w:t> </w:t>
      </w:r>
      <w:r>
        <w:rPr/>
        <w:t>solicitante y</w:t>
      </w:r>
      <w:r>
        <w:rPr>
          <w:spacing w:val="-5"/>
        </w:rPr>
        <w:t> </w:t>
      </w:r>
      <w:r>
        <w:rPr/>
        <w:t>será</w:t>
      </w:r>
      <w:r>
        <w:rPr>
          <w:spacing w:val="-2"/>
        </w:rPr>
        <w:t> </w:t>
      </w:r>
      <w:r>
        <w:rPr/>
        <w:t>publicada</w:t>
      </w:r>
      <w:r>
        <w:rPr>
          <w:spacing w:val="-3"/>
        </w:rPr>
        <w:t> </w:t>
      </w:r>
      <w:r>
        <w:rPr/>
        <w:t>electrónicamente</w:t>
      </w:r>
      <w:r>
        <w:rPr>
          <w:spacing w:val="-2"/>
        </w:rPr>
        <w:t> </w:t>
      </w:r>
      <w:r>
        <w:rPr/>
        <w:t>en</w:t>
      </w:r>
      <w:r>
        <w:rPr>
          <w:spacing w:val="-3"/>
        </w:rPr>
        <w:t> </w:t>
      </w:r>
      <w:r>
        <w:rPr/>
        <w:t>el sitio de Internet del Centro Federal de Conciliación y Registro Laboral. Asimismo será fijada en el centro laboral para hacerla del conocimiento a los trabajadores que participarán en la votación;</w:t>
      </w:r>
    </w:p>
    <w:p>
      <w:pPr>
        <w:pStyle w:val="ListParagraph"/>
        <w:numPr>
          <w:ilvl w:val="3"/>
          <w:numId w:val="125"/>
        </w:numPr>
        <w:tabs>
          <w:tab w:pos="1762" w:val="left" w:leader="none"/>
        </w:tabs>
        <w:spacing w:line="240" w:lineRule="auto" w:before="228" w:after="0"/>
        <w:ind w:left="1762" w:right="337" w:hanging="567"/>
        <w:jc w:val="both"/>
        <w:rPr>
          <w:sz w:val="20"/>
        </w:rPr>
      </w:pPr>
      <w:r>
        <w:rPr>
          <w:sz w:val="20"/>
        </w:rPr>
        <w:t>Cada parte solicitante podrá acreditar previamente ante la Autoridad Registral a dos representantes por cada lugar de votación, a los que se les deberá permitir estar presentes durante ésta, específicamente en la instalación y acreditación de votantes, así como en los actos de escrutinio y cómputo de votos, sin que puedan estar en el espacio asignado en el que los trabajadores depositen su voto.</w:t>
      </w:r>
    </w:p>
    <w:p>
      <w:pPr>
        <w:pStyle w:val="BodyText"/>
        <w:spacing w:before="2"/>
      </w:pPr>
    </w:p>
    <w:p>
      <w:pPr>
        <w:pStyle w:val="BodyText"/>
        <w:ind w:left="1762" w:right="338"/>
        <w:jc w:val="both"/>
      </w:pPr>
      <w:r>
        <w:rPr/>
        <w:t>Ninguna persona ajena al procedimiento podrá estar presente en la votación, a menos que la autoridad registral lo haya acreditado como observador de la votación. Dicha autoridad cuidará y proveerá lo conducente para que ninguna persona que no esté autorizada, participe o intervenga en el desarrollo del procedimiento de votación;</w:t>
      </w:r>
    </w:p>
    <w:p>
      <w:pPr>
        <w:pStyle w:val="ListParagraph"/>
        <w:numPr>
          <w:ilvl w:val="3"/>
          <w:numId w:val="125"/>
        </w:numPr>
        <w:tabs>
          <w:tab w:pos="1759" w:val="left" w:leader="none"/>
          <w:tab w:pos="1762" w:val="left" w:leader="none"/>
        </w:tabs>
        <w:spacing w:line="240" w:lineRule="auto" w:before="228" w:after="0"/>
        <w:ind w:left="1762" w:right="335" w:hanging="567"/>
        <w:jc w:val="both"/>
        <w:rPr>
          <w:sz w:val="20"/>
        </w:rPr>
      </w:pPr>
      <w:r>
        <w:rPr>
          <w:sz w:val="20"/>
        </w:rPr>
        <w:t>El voto de los trabajadores se hará en forma personal, libre, directa y secreta. Para tal efecto, la Autoridad Registral ordenará hacer previamente tantas boletas de votación como trabajadores se hubieren acreditado conforme a este artículo, las que serán debidamente</w:t>
      </w:r>
      <w:r>
        <w:rPr>
          <w:spacing w:val="-2"/>
          <w:sz w:val="20"/>
        </w:rPr>
        <w:t> </w:t>
      </w:r>
      <w:r>
        <w:rPr>
          <w:sz w:val="20"/>
        </w:rPr>
        <w:t>foliadas,</w:t>
      </w:r>
      <w:r>
        <w:rPr>
          <w:spacing w:val="-3"/>
          <w:sz w:val="20"/>
        </w:rPr>
        <w:t> </w:t>
      </w:r>
      <w:r>
        <w:rPr>
          <w:sz w:val="20"/>
        </w:rPr>
        <w:t>selladas y</w:t>
      </w:r>
      <w:r>
        <w:rPr>
          <w:spacing w:val="-5"/>
          <w:sz w:val="20"/>
        </w:rPr>
        <w:t> </w:t>
      </w:r>
      <w:r>
        <w:rPr>
          <w:sz w:val="20"/>
        </w:rPr>
        <w:t>autorizadas</w:t>
      </w:r>
      <w:r>
        <w:rPr>
          <w:spacing w:val="-2"/>
          <w:sz w:val="20"/>
        </w:rPr>
        <w:t> </w:t>
      </w:r>
      <w:r>
        <w:rPr>
          <w:sz w:val="20"/>
        </w:rPr>
        <w:t>con</w:t>
      </w:r>
      <w:r>
        <w:rPr>
          <w:spacing w:val="-1"/>
          <w:sz w:val="20"/>
        </w:rPr>
        <w:t> </w:t>
      </w:r>
      <w:r>
        <w:rPr>
          <w:sz w:val="20"/>
        </w:rPr>
        <w:t>la</w:t>
      </w:r>
      <w:r>
        <w:rPr>
          <w:spacing w:val="-2"/>
          <w:sz w:val="20"/>
        </w:rPr>
        <w:t> </w:t>
      </w:r>
      <w:r>
        <w:rPr>
          <w:sz w:val="20"/>
        </w:rPr>
        <w:t>firma</w:t>
      </w:r>
      <w:r>
        <w:rPr>
          <w:spacing w:val="-3"/>
          <w:sz w:val="20"/>
        </w:rPr>
        <w:t> </w:t>
      </w:r>
      <w:r>
        <w:rPr>
          <w:sz w:val="20"/>
        </w:rPr>
        <w:t>del</w:t>
      </w:r>
      <w:r>
        <w:rPr>
          <w:spacing w:val="-3"/>
          <w:sz w:val="20"/>
        </w:rPr>
        <w:t> </w:t>
      </w:r>
      <w:r>
        <w:rPr>
          <w:sz w:val="20"/>
        </w:rPr>
        <w:t>funcionario</w:t>
      </w:r>
      <w:r>
        <w:rPr>
          <w:spacing w:val="-2"/>
          <w:sz w:val="20"/>
        </w:rPr>
        <w:t> </w:t>
      </w:r>
      <w:r>
        <w:rPr>
          <w:sz w:val="20"/>
        </w:rPr>
        <w:t>comisionado</w:t>
      </w:r>
      <w:r>
        <w:rPr>
          <w:spacing w:val="-1"/>
          <w:sz w:val="20"/>
        </w:rPr>
        <w:t> </w:t>
      </w:r>
      <w:r>
        <w:rPr>
          <w:sz w:val="20"/>
        </w:rPr>
        <w:t>por dicha autoridad; las boletas deberán contener el o los recuadros suficientes y del mismo tamaño, de acuerdo al número de sindicatos solicitantes, en los que deberá aparecer el nombre del o los sindicatos participantes en la votación;</w:t>
      </w:r>
    </w:p>
    <w:p>
      <w:pPr>
        <w:pStyle w:val="BodyText"/>
        <w:spacing w:before="1"/>
      </w:pPr>
    </w:p>
    <w:p>
      <w:pPr>
        <w:pStyle w:val="ListParagraph"/>
        <w:numPr>
          <w:ilvl w:val="3"/>
          <w:numId w:val="125"/>
        </w:numPr>
        <w:tabs>
          <w:tab w:pos="1762" w:val="left" w:leader="none"/>
        </w:tabs>
        <w:spacing w:line="240" w:lineRule="auto" w:before="0" w:after="0"/>
        <w:ind w:left="1762" w:right="334" w:hanging="567"/>
        <w:jc w:val="both"/>
        <w:rPr>
          <w:sz w:val="20"/>
        </w:rPr>
      </w:pPr>
      <w:r>
        <w:rPr>
          <w:sz w:val="20"/>
        </w:rPr>
        <w:t>En la hora, fecha y lugar señalados en la convocatoria, se iniciará la consulta con la presencia de las partes que asistan a la misma; previo al ingreso de los trabajadores, el funcionario</w:t>
      </w:r>
      <w:r>
        <w:rPr>
          <w:spacing w:val="80"/>
          <w:sz w:val="20"/>
        </w:rPr>
        <w:t> </w:t>
      </w:r>
      <w:r>
        <w:rPr>
          <w:sz w:val="20"/>
        </w:rPr>
        <w:t>comisionado</w:t>
      </w:r>
      <w:r>
        <w:rPr>
          <w:spacing w:val="80"/>
          <w:sz w:val="20"/>
        </w:rPr>
        <w:t> </w:t>
      </w:r>
      <w:r>
        <w:rPr>
          <w:sz w:val="20"/>
        </w:rPr>
        <w:t>por</w:t>
      </w:r>
      <w:r>
        <w:rPr>
          <w:spacing w:val="80"/>
          <w:sz w:val="20"/>
        </w:rPr>
        <w:t> </w:t>
      </w:r>
      <w:r>
        <w:rPr>
          <w:sz w:val="20"/>
        </w:rPr>
        <w:t>la</w:t>
      </w:r>
      <w:r>
        <w:rPr>
          <w:spacing w:val="80"/>
          <w:sz w:val="20"/>
        </w:rPr>
        <w:t> </w:t>
      </w:r>
      <w:r>
        <w:rPr>
          <w:sz w:val="20"/>
        </w:rPr>
        <w:t>Autoridad</w:t>
      </w:r>
      <w:r>
        <w:rPr>
          <w:spacing w:val="80"/>
          <w:sz w:val="20"/>
        </w:rPr>
        <w:t> </w:t>
      </w:r>
      <w:r>
        <w:rPr>
          <w:sz w:val="20"/>
        </w:rPr>
        <w:t>Registral</w:t>
      </w:r>
      <w:r>
        <w:rPr>
          <w:spacing w:val="80"/>
          <w:sz w:val="20"/>
        </w:rPr>
        <w:t> </w:t>
      </w:r>
      <w:r>
        <w:rPr>
          <w:sz w:val="20"/>
        </w:rPr>
        <w:t>instalará</w:t>
      </w:r>
      <w:r>
        <w:rPr>
          <w:spacing w:val="80"/>
          <w:sz w:val="20"/>
        </w:rPr>
        <w:t> </w:t>
      </w:r>
      <w:r>
        <w:rPr>
          <w:sz w:val="20"/>
        </w:rPr>
        <w:t>la</w:t>
      </w:r>
      <w:r>
        <w:rPr>
          <w:spacing w:val="80"/>
          <w:sz w:val="20"/>
        </w:rPr>
        <w:t> </w:t>
      </w:r>
      <w:r>
        <w:rPr>
          <w:sz w:val="20"/>
        </w:rPr>
        <w:t>o</w:t>
      </w:r>
      <w:r>
        <w:rPr>
          <w:spacing w:val="80"/>
          <w:sz w:val="20"/>
        </w:rPr>
        <w:t> </w:t>
      </w:r>
      <w:r>
        <w:rPr>
          <w:sz w:val="20"/>
        </w:rPr>
        <w:t>las</w:t>
      </w:r>
      <w:r>
        <w:rPr>
          <w:spacing w:val="80"/>
          <w:sz w:val="20"/>
        </w:rPr>
        <w:t> </w:t>
      </w:r>
      <w:r>
        <w:rPr>
          <w:sz w:val="20"/>
        </w:rPr>
        <w:t>mamparas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762" w:right="334"/>
        <w:jc w:val="both"/>
      </w:pPr>
      <w:r>
        <w:rPr/>
        <w:t>necesarias para la emisión del voto de los trabajadores en secreto, así como la urna o urnas transparentes en las que se depositarán los votos, debiendo verificar que se encuentren vacías. Acto seguido, previa identificación con documento oficial vigente, se procederá al ingreso de los trabajadores con derecho a voto y se dotará a cada uno con su boleta para ejercerlo.</w:t>
      </w:r>
    </w:p>
    <w:p>
      <w:pPr>
        <w:pStyle w:val="BodyText"/>
      </w:pPr>
    </w:p>
    <w:p>
      <w:pPr>
        <w:pStyle w:val="BodyText"/>
        <w:ind w:left="1762" w:right="339"/>
        <w:jc w:val="both"/>
      </w:pPr>
      <w:r>
        <w:rPr/>
        <w:t>Durante el procedimiento de votación, ningún trabajador podrá vestir con un color, calcomanías, emblemas o cualquier elemento que lo distinga como miembro o simpatizante de alguno de los sindicatos solicitantes;</w:t>
      </w:r>
    </w:p>
    <w:p>
      <w:pPr>
        <w:pStyle w:val="BodyText"/>
      </w:pPr>
    </w:p>
    <w:p>
      <w:pPr>
        <w:pStyle w:val="ListParagraph"/>
        <w:numPr>
          <w:ilvl w:val="3"/>
          <w:numId w:val="125"/>
        </w:numPr>
        <w:tabs>
          <w:tab w:pos="1760" w:val="left" w:leader="none"/>
          <w:tab w:pos="1762" w:val="left" w:leader="none"/>
        </w:tabs>
        <w:spacing w:line="240" w:lineRule="auto" w:before="0" w:after="0"/>
        <w:ind w:left="1762" w:right="334" w:hanging="567"/>
        <w:jc w:val="both"/>
        <w:rPr>
          <w:sz w:val="20"/>
        </w:rPr>
      </w:pPr>
      <w:r>
        <w:rPr>
          <w:sz w:val="20"/>
        </w:rPr>
        <w:t>En la boleta no deberá aparecer el nombre del votante, ni podrá asentarse señal o dato alguno en el listado que haga posible identificar el folio de la boleta que le fue entregada. El funcionario comisionado por la Autoridad Registral proporcionará al trabajador su boleta, quien deberá dirigirse a la mampara colocada para marcarla en absoluto secreto.</w:t>
      </w:r>
    </w:p>
    <w:p>
      <w:pPr>
        <w:pStyle w:val="BodyText"/>
        <w:spacing w:before="2"/>
      </w:pPr>
    </w:p>
    <w:p>
      <w:pPr>
        <w:pStyle w:val="BodyText"/>
        <w:ind w:left="1762" w:right="337"/>
        <w:jc w:val="both"/>
      </w:pPr>
      <w:r>
        <w:rPr/>
        <w:t>Una vez que el trabajador marque su boleta, la doblará para evitar mostrar el sentido de su voto y la depositará en la urna colocada para tal efecto, y deberá salir del lugar de la </w:t>
      </w:r>
      <w:r>
        <w:rPr>
          <w:spacing w:val="-2"/>
        </w:rPr>
        <w:t>votación;</w:t>
      </w:r>
    </w:p>
    <w:p>
      <w:pPr>
        <w:pStyle w:val="ListParagraph"/>
        <w:numPr>
          <w:ilvl w:val="3"/>
          <w:numId w:val="125"/>
        </w:numPr>
        <w:tabs>
          <w:tab w:pos="1759" w:val="left" w:leader="none"/>
          <w:tab w:pos="1762" w:val="left" w:leader="none"/>
        </w:tabs>
        <w:spacing w:line="240" w:lineRule="auto" w:before="227" w:after="0"/>
        <w:ind w:left="1762" w:right="336" w:hanging="567"/>
        <w:jc w:val="both"/>
        <w:rPr>
          <w:sz w:val="20"/>
        </w:rPr>
      </w:pPr>
      <w:r>
        <w:rPr>
          <w:sz w:val="20"/>
        </w:rPr>
        <w:t>Concluida la votación, el funcionario facultado de la Autoridad Registral procederá a practicar el escrutinio, abriendo sucesivamente cada urna, extrayendo una a una cada boleta, examinándolas para corroborar su autenticidad y exhibiéndolas a los representantes de las partes. Las boletas no cruzadas y las marcadas en más de un recuadro se considerarán nulas, poniendo las boletas por separado conforme al sentido de cada voto, mientras que las nulas se colocarán por aparte;</w:t>
      </w:r>
    </w:p>
    <w:p>
      <w:pPr>
        <w:pStyle w:val="BodyText"/>
        <w:spacing w:before="1"/>
      </w:pPr>
    </w:p>
    <w:p>
      <w:pPr>
        <w:pStyle w:val="ListParagraph"/>
        <w:numPr>
          <w:ilvl w:val="3"/>
          <w:numId w:val="125"/>
        </w:numPr>
        <w:tabs>
          <w:tab w:pos="1759" w:val="left" w:leader="none"/>
          <w:tab w:pos="1762" w:val="left" w:leader="none"/>
        </w:tabs>
        <w:spacing w:line="242" w:lineRule="auto" w:before="0" w:after="0"/>
        <w:ind w:left="1762" w:right="343" w:hanging="567"/>
        <w:jc w:val="both"/>
        <w:rPr>
          <w:sz w:val="20"/>
        </w:rPr>
      </w:pPr>
      <w:r>
        <w:rPr>
          <w:sz w:val="20"/>
        </w:rPr>
        <w:t>Acto seguido, el funcionario facultado procederá al cómputo de los votos y anunciará su resultado en voz alta;</w:t>
      </w:r>
    </w:p>
    <w:p>
      <w:pPr>
        <w:pStyle w:val="ListParagraph"/>
        <w:numPr>
          <w:ilvl w:val="3"/>
          <w:numId w:val="125"/>
        </w:numPr>
        <w:tabs>
          <w:tab w:pos="1762" w:val="left" w:leader="none"/>
        </w:tabs>
        <w:spacing w:line="240" w:lineRule="auto" w:before="224" w:after="0"/>
        <w:ind w:left="1762" w:right="339" w:hanging="567"/>
        <w:jc w:val="both"/>
        <w:rPr>
          <w:sz w:val="20"/>
        </w:rPr>
      </w:pPr>
      <w:r>
        <w:rPr>
          <w:sz w:val="20"/>
        </w:rPr>
        <w:t>En caso de suscitarse actos de coacción o intimidación para impedir que los trabajadores ejerzan su voto con plena libertad, o se les pretenda obstaculizar o impedir de cualquier forma acceder al lugar de la diligencia, el funcionario facultado solicitará el auxilio de la fuerza</w:t>
      </w:r>
      <w:r>
        <w:rPr>
          <w:spacing w:val="-2"/>
          <w:sz w:val="20"/>
        </w:rPr>
        <w:t> </w:t>
      </w:r>
      <w:r>
        <w:rPr>
          <w:sz w:val="20"/>
        </w:rPr>
        <w:t>pública y</w:t>
      </w:r>
      <w:r>
        <w:rPr>
          <w:spacing w:val="-5"/>
          <w:sz w:val="20"/>
        </w:rPr>
        <w:t> </w:t>
      </w:r>
      <w:r>
        <w:rPr>
          <w:sz w:val="20"/>
        </w:rPr>
        <w:t>tomará</w:t>
      </w:r>
      <w:r>
        <w:rPr>
          <w:spacing w:val="-2"/>
          <w:sz w:val="20"/>
        </w:rPr>
        <w:t> </w:t>
      </w:r>
      <w:r>
        <w:rPr>
          <w:sz w:val="20"/>
        </w:rPr>
        <w:t>las medidas</w:t>
      </w:r>
      <w:r>
        <w:rPr>
          <w:spacing w:val="-1"/>
          <w:sz w:val="20"/>
        </w:rPr>
        <w:t> </w:t>
      </w:r>
      <w:r>
        <w:rPr>
          <w:sz w:val="20"/>
        </w:rPr>
        <w:t>que estime</w:t>
      </w:r>
      <w:r>
        <w:rPr>
          <w:spacing w:val="-2"/>
          <w:sz w:val="20"/>
        </w:rPr>
        <w:t> </w:t>
      </w:r>
      <w:r>
        <w:rPr>
          <w:sz w:val="20"/>
        </w:rPr>
        <w:t>conducentes</w:t>
      </w:r>
      <w:r>
        <w:rPr>
          <w:spacing w:val="-1"/>
          <w:sz w:val="20"/>
        </w:rPr>
        <w:t> </w:t>
      </w:r>
      <w:r>
        <w:rPr>
          <w:sz w:val="20"/>
        </w:rPr>
        <w:t>para</w:t>
      </w:r>
      <w:r>
        <w:rPr>
          <w:spacing w:val="-2"/>
          <w:sz w:val="20"/>
        </w:rPr>
        <w:t> </w:t>
      </w:r>
      <w:r>
        <w:rPr>
          <w:sz w:val="20"/>
        </w:rPr>
        <w:t>celebrar</w:t>
      </w:r>
      <w:r>
        <w:rPr>
          <w:spacing w:val="-1"/>
          <w:sz w:val="20"/>
        </w:rPr>
        <w:t> </w:t>
      </w:r>
      <w:r>
        <w:rPr>
          <w:sz w:val="20"/>
        </w:rPr>
        <w:t>la votación en las condiciones que establece esta Ley; de presumirse la existencia de algún ilícito, deberá presentar la denuncia correspondiente;</w:t>
      </w:r>
    </w:p>
    <w:p>
      <w:pPr>
        <w:pStyle w:val="BodyText"/>
        <w:spacing w:before="1"/>
      </w:pPr>
    </w:p>
    <w:p>
      <w:pPr>
        <w:pStyle w:val="ListParagraph"/>
        <w:numPr>
          <w:ilvl w:val="3"/>
          <w:numId w:val="125"/>
        </w:numPr>
        <w:tabs>
          <w:tab w:pos="1762" w:val="left" w:leader="none"/>
        </w:tabs>
        <w:spacing w:line="242" w:lineRule="auto" w:before="0" w:after="0"/>
        <w:ind w:left="1762" w:right="340" w:hanging="567"/>
        <w:jc w:val="both"/>
        <w:rPr>
          <w:sz w:val="20"/>
        </w:rPr>
      </w:pPr>
      <w:r>
        <w:rPr>
          <w:sz w:val="20"/>
        </w:rPr>
        <w:t>Concluida la consulta, el funcionario facultado levantará acta de la misma y solicitará a</w:t>
      </w:r>
      <w:r>
        <w:rPr>
          <w:spacing w:val="40"/>
          <w:sz w:val="20"/>
        </w:rPr>
        <w:t> </w:t>
      </w:r>
      <w:r>
        <w:rPr>
          <w:sz w:val="20"/>
        </w:rPr>
        <w:t>los representantes de las partes que la suscriban. La negativa a firmarla por parte de éstos no afectará la validez del acta, y</w:t>
      </w:r>
    </w:p>
    <w:p>
      <w:pPr>
        <w:pStyle w:val="ListParagraph"/>
        <w:numPr>
          <w:ilvl w:val="3"/>
          <w:numId w:val="125"/>
        </w:numPr>
        <w:tabs>
          <w:tab w:pos="1762" w:val="left" w:leader="none"/>
        </w:tabs>
        <w:spacing w:line="242" w:lineRule="auto" w:before="222" w:after="0"/>
        <w:ind w:left="1762" w:right="341" w:hanging="567"/>
        <w:jc w:val="both"/>
        <w:rPr>
          <w:sz w:val="20"/>
        </w:rPr>
      </w:pPr>
      <w:r>
        <w:rPr>
          <w:sz w:val="20"/>
        </w:rPr>
        <w:t>El</w:t>
      </w:r>
      <w:r>
        <w:rPr>
          <w:spacing w:val="-1"/>
          <w:sz w:val="20"/>
        </w:rPr>
        <w:t> </w:t>
      </w:r>
      <w:r>
        <w:rPr>
          <w:sz w:val="20"/>
        </w:rPr>
        <w:t>Centro</w:t>
      </w:r>
      <w:r>
        <w:rPr>
          <w:spacing w:val="-2"/>
          <w:sz w:val="20"/>
        </w:rPr>
        <w:t> </w:t>
      </w:r>
      <w:r>
        <w:rPr>
          <w:sz w:val="20"/>
        </w:rPr>
        <w:t>Federal de Conciliación y</w:t>
      </w:r>
      <w:r>
        <w:rPr>
          <w:spacing w:val="-3"/>
          <w:sz w:val="20"/>
        </w:rPr>
        <w:t> </w:t>
      </w:r>
      <w:r>
        <w:rPr>
          <w:sz w:val="20"/>
        </w:rPr>
        <w:t>Registro Laboral</w:t>
      </w:r>
      <w:r>
        <w:rPr>
          <w:spacing w:val="-3"/>
          <w:sz w:val="20"/>
        </w:rPr>
        <w:t> </w:t>
      </w:r>
      <w:r>
        <w:rPr>
          <w:sz w:val="20"/>
        </w:rPr>
        <w:t>resolverá sobre la procedencia</w:t>
      </w:r>
      <w:r>
        <w:rPr>
          <w:spacing w:val="-2"/>
          <w:sz w:val="20"/>
        </w:rPr>
        <w:t> </w:t>
      </w:r>
      <w:r>
        <w:rPr>
          <w:sz w:val="20"/>
        </w:rPr>
        <w:t>de la solicitud de la Constancia de Representatividad; de resultar procedente, emitirá la constancia correspondiente.</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37" w:firstLine="288"/>
        <w:jc w:val="both"/>
      </w:pPr>
      <w:bookmarkStart w:name="Artículo_390_Ter" w:id="515"/>
      <w:bookmarkEnd w:id="515"/>
      <w:r>
        <w:rPr/>
      </w:r>
      <w:r>
        <w:rPr>
          <w:rFonts w:ascii="Arial" w:hAnsi="Arial"/>
          <w:b/>
        </w:rPr>
        <w:t>Artículo 390 Ter.- </w:t>
      </w:r>
      <w:r>
        <w:rPr/>
        <w:t>Para el registro de un contrato colectivo inicial o un convenio de revisión, el Centro Federal de Conciliación y Registro Laboral verificará que su contenido sea aprobado por la</w:t>
      </w:r>
      <w:r>
        <w:rPr>
          <w:spacing w:val="26"/>
        </w:rPr>
        <w:t> </w:t>
      </w:r>
      <w:r>
        <w:rPr/>
        <w:t>mayoría de</w:t>
      </w:r>
      <w:r>
        <w:rPr>
          <w:spacing w:val="40"/>
        </w:rPr>
        <w:t> </w:t>
      </w:r>
      <w:r>
        <w:rPr/>
        <w:t>los trabajadores cubiertos por el mismo a través del voto personal, libre y secreto. El procedimiento de consulta a los trabajadores se llevará a cabo conforme a lo siguiente:</w:t>
      </w:r>
    </w:p>
    <w:p>
      <w:pPr>
        <w:pStyle w:val="ListParagraph"/>
        <w:numPr>
          <w:ilvl w:val="0"/>
          <w:numId w:val="126"/>
        </w:numPr>
        <w:tabs>
          <w:tab w:pos="1135" w:val="left" w:leader="none"/>
          <w:tab w:pos="1138" w:val="left" w:leader="none"/>
        </w:tabs>
        <w:spacing w:line="240" w:lineRule="auto" w:before="223" w:after="0"/>
        <w:ind w:left="1138" w:right="336" w:hanging="512"/>
        <w:jc w:val="both"/>
        <w:rPr>
          <w:sz w:val="20"/>
        </w:rPr>
      </w:pPr>
      <w:r>
        <w:rPr>
          <w:sz w:val="20"/>
        </w:rPr>
        <w:t>Una vez acordados con el patrón los términos del contrato colectivo inicial o del convenio de revisión respectivo, el sindicato que cuente con la representación de los trabajadores dará aviso al Centro Federal de Conciliación y Registro Laboral, por escrito o vía electrónica, que someterá</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138" w:right="344"/>
        <w:jc w:val="both"/>
      </w:pPr>
      <w:r>
        <w:rPr/>
        <w:t>a consulta de los trabajadores la aprobación del contenido del contrato. El aviso deberá hacerse con un mínimo de diez días de anticipación a que se realice la consulta.</w:t>
      </w:r>
    </w:p>
    <w:p>
      <w:pPr>
        <w:pStyle w:val="BodyText"/>
        <w:spacing w:before="1"/>
      </w:pPr>
    </w:p>
    <w:p>
      <w:pPr>
        <w:pStyle w:val="BodyText"/>
        <w:spacing w:before="1"/>
        <w:ind w:left="1138" w:right="334"/>
        <w:jc w:val="both"/>
      </w:pPr>
      <w:r>
        <w:rPr/>
        <w:t>El aviso</w:t>
      </w:r>
      <w:r>
        <w:rPr>
          <w:spacing w:val="-1"/>
        </w:rPr>
        <w:t> </w:t>
      </w:r>
      <w:r>
        <w:rPr/>
        <w:t>a que se</w:t>
      </w:r>
      <w:r>
        <w:rPr>
          <w:spacing w:val="-1"/>
        </w:rPr>
        <w:t> </w:t>
      </w:r>
      <w:r>
        <w:rPr/>
        <w:t>refiere</w:t>
      </w:r>
      <w:r>
        <w:rPr>
          <w:spacing w:val="-1"/>
        </w:rPr>
        <w:t> </w:t>
      </w:r>
      <w:r>
        <w:rPr/>
        <w:t>el párrafo</w:t>
      </w:r>
      <w:r>
        <w:rPr>
          <w:spacing w:val="-1"/>
        </w:rPr>
        <w:t> </w:t>
      </w:r>
      <w:r>
        <w:rPr/>
        <w:t>anterior señalará</w:t>
      </w:r>
      <w:r>
        <w:rPr>
          <w:spacing w:val="-1"/>
        </w:rPr>
        <w:t> </w:t>
      </w:r>
      <w:r>
        <w:rPr/>
        <w:t>día,</w:t>
      </w:r>
      <w:r>
        <w:rPr>
          <w:spacing w:val="-1"/>
        </w:rPr>
        <w:t> </w:t>
      </w:r>
      <w:r>
        <w:rPr/>
        <w:t>hora y</w:t>
      </w:r>
      <w:r>
        <w:rPr>
          <w:spacing w:val="-2"/>
        </w:rPr>
        <w:t> </w:t>
      </w:r>
      <w:r>
        <w:rPr/>
        <w:t>lugar en donde</w:t>
      </w:r>
      <w:r>
        <w:rPr>
          <w:spacing w:val="-1"/>
        </w:rPr>
        <w:t> </w:t>
      </w:r>
      <w:r>
        <w:rPr/>
        <w:t>se llevará</w:t>
      </w:r>
      <w:r>
        <w:rPr>
          <w:spacing w:val="-1"/>
        </w:rPr>
        <w:t> </w:t>
      </w:r>
      <w:r>
        <w:rPr/>
        <w:t>a</w:t>
      </w:r>
      <w:r>
        <w:rPr>
          <w:spacing w:val="-1"/>
        </w:rPr>
        <w:t> </w:t>
      </w:r>
      <w:r>
        <w:rPr/>
        <w:t>cabo la consulta a los trabajadores mediante voto personal, libre y secreto, y deberá anexar un ejemplar del contrato o convenio negociado firmado por las partes. Asimismo, el sindicato</w:t>
      </w:r>
      <w:r>
        <w:rPr>
          <w:spacing w:val="40"/>
        </w:rPr>
        <w:t> </w:t>
      </w:r>
      <w:r>
        <w:rPr/>
        <w:t>deberá emitir la convocatoria correspondiente, señalando el lugar, día y hora en que deberá efectuarse la votación; la convocatoria se emitirá por lo menos con diez días de anticipación a ésta sin que exceda de quince días;</w:t>
      </w:r>
    </w:p>
    <w:p>
      <w:pPr>
        <w:pStyle w:val="ListParagraph"/>
        <w:numPr>
          <w:ilvl w:val="0"/>
          <w:numId w:val="126"/>
        </w:numPr>
        <w:tabs>
          <w:tab w:pos="1138" w:val="left" w:leader="none"/>
        </w:tabs>
        <w:spacing w:line="242" w:lineRule="auto" w:before="228" w:after="0"/>
        <w:ind w:left="1138" w:right="348" w:hanging="512"/>
        <w:jc w:val="left"/>
        <w:rPr>
          <w:sz w:val="20"/>
        </w:rPr>
      </w:pPr>
      <w:r>
        <w:rPr>
          <w:sz w:val="20"/>
        </w:rPr>
        <w:t>El</w:t>
      </w:r>
      <w:r>
        <w:rPr>
          <w:spacing w:val="39"/>
          <w:sz w:val="20"/>
        </w:rPr>
        <w:t> </w:t>
      </w:r>
      <w:r>
        <w:rPr>
          <w:sz w:val="20"/>
        </w:rPr>
        <w:t>procedimiento</w:t>
      </w:r>
      <w:r>
        <w:rPr>
          <w:spacing w:val="40"/>
          <w:sz w:val="20"/>
        </w:rPr>
        <w:t> </w:t>
      </w:r>
      <w:r>
        <w:rPr>
          <w:sz w:val="20"/>
        </w:rPr>
        <w:t>de</w:t>
      </w:r>
      <w:r>
        <w:rPr>
          <w:spacing w:val="39"/>
          <w:sz w:val="20"/>
        </w:rPr>
        <w:t> </w:t>
      </w:r>
      <w:r>
        <w:rPr>
          <w:sz w:val="20"/>
        </w:rPr>
        <w:t>consulta</w:t>
      </w:r>
      <w:r>
        <w:rPr>
          <w:spacing w:val="40"/>
          <w:sz w:val="20"/>
        </w:rPr>
        <w:t> </w:t>
      </w:r>
      <w:r>
        <w:rPr>
          <w:sz w:val="20"/>
        </w:rPr>
        <w:t>que</w:t>
      </w:r>
      <w:r>
        <w:rPr>
          <w:spacing w:val="40"/>
          <w:sz w:val="20"/>
        </w:rPr>
        <w:t> </w:t>
      </w:r>
      <w:r>
        <w:rPr>
          <w:sz w:val="20"/>
        </w:rPr>
        <w:t>se</w:t>
      </w:r>
      <w:r>
        <w:rPr>
          <w:spacing w:val="40"/>
          <w:sz w:val="20"/>
        </w:rPr>
        <w:t> </w:t>
      </w:r>
      <w:r>
        <w:rPr>
          <w:sz w:val="20"/>
        </w:rPr>
        <w:t>realice</w:t>
      </w:r>
      <w:r>
        <w:rPr>
          <w:spacing w:val="40"/>
          <w:sz w:val="20"/>
        </w:rPr>
        <w:t> </w:t>
      </w:r>
      <w:r>
        <w:rPr>
          <w:sz w:val="20"/>
        </w:rPr>
        <w:t>a</w:t>
      </w:r>
      <w:r>
        <w:rPr>
          <w:spacing w:val="40"/>
          <w:sz w:val="20"/>
        </w:rPr>
        <w:t> </w:t>
      </w:r>
      <w:r>
        <w:rPr>
          <w:sz w:val="20"/>
        </w:rPr>
        <w:t>los</w:t>
      </w:r>
      <w:r>
        <w:rPr>
          <w:spacing w:val="40"/>
          <w:sz w:val="20"/>
        </w:rPr>
        <w:t> </w:t>
      </w:r>
      <w:r>
        <w:rPr>
          <w:sz w:val="20"/>
        </w:rPr>
        <w:t>trabajadores</w:t>
      </w:r>
      <w:r>
        <w:rPr>
          <w:spacing w:val="40"/>
          <w:sz w:val="20"/>
        </w:rPr>
        <w:t> </w:t>
      </w:r>
      <w:r>
        <w:rPr>
          <w:sz w:val="20"/>
        </w:rPr>
        <w:t>deberá</w:t>
      </w:r>
      <w:r>
        <w:rPr>
          <w:spacing w:val="40"/>
          <w:sz w:val="20"/>
        </w:rPr>
        <w:t> </w:t>
      </w:r>
      <w:r>
        <w:rPr>
          <w:sz w:val="20"/>
        </w:rPr>
        <w:t>cubrir</w:t>
      </w:r>
      <w:r>
        <w:rPr>
          <w:spacing w:val="40"/>
          <w:sz w:val="20"/>
        </w:rPr>
        <w:t> </w:t>
      </w:r>
      <w:r>
        <w:rPr>
          <w:sz w:val="20"/>
        </w:rPr>
        <w:t>los</w:t>
      </w:r>
      <w:r>
        <w:rPr>
          <w:spacing w:val="40"/>
          <w:sz w:val="20"/>
        </w:rPr>
        <w:t> </w:t>
      </w:r>
      <w:r>
        <w:rPr>
          <w:sz w:val="20"/>
        </w:rPr>
        <w:t>siguientes </w:t>
      </w:r>
      <w:r>
        <w:rPr>
          <w:spacing w:val="-2"/>
          <w:sz w:val="20"/>
        </w:rPr>
        <w:t>requisitos:</w:t>
      </w:r>
    </w:p>
    <w:p>
      <w:pPr>
        <w:pStyle w:val="ListParagraph"/>
        <w:numPr>
          <w:ilvl w:val="1"/>
          <w:numId w:val="126"/>
        </w:numPr>
        <w:tabs>
          <w:tab w:pos="1646" w:val="left" w:leader="none"/>
        </w:tabs>
        <w:spacing w:line="242" w:lineRule="auto" w:before="225" w:after="0"/>
        <w:ind w:left="1646" w:right="343" w:hanging="509"/>
        <w:jc w:val="both"/>
        <w:rPr>
          <w:sz w:val="20"/>
        </w:rPr>
      </w:pPr>
      <w:r>
        <w:rPr>
          <w:sz w:val="20"/>
        </w:rPr>
        <w:t>El sindicato deberá poner oportunamente a disposición de los trabajadores un ejemplar impreso o electrónico del contrato colectivo inicial o del convenio de revisión que se someterá a consulta;</w:t>
      </w:r>
    </w:p>
    <w:p>
      <w:pPr>
        <w:pStyle w:val="ListParagraph"/>
        <w:numPr>
          <w:ilvl w:val="1"/>
          <w:numId w:val="126"/>
        </w:numPr>
        <w:tabs>
          <w:tab w:pos="1646" w:val="left" w:leader="none"/>
        </w:tabs>
        <w:spacing w:line="240" w:lineRule="auto" w:before="222" w:after="0"/>
        <w:ind w:left="1646" w:right="0" w:hanging="508"/>
        <w:jc w:val="left"/>
        <w:rPr>
          <w:sz w:val="20"/>
        </w:rPr>
      </w:pPr>
      <w:r>
        <w:rPr>
          <w:sz w:val="20"/>
        </w:rPr>
        <w:t>La</w:t>
      </w:r>
      <w:r>
        <w:rPr>
          <w:spacing w:val="-5"/>
          <w:sz w:val="20"/>
        </w:rPr>
        <w:t> </w:t>
      </w:r>
      <w:r>
        <w:rPr>
          <w:sz w:val="20"/>
        </w:rPr>
        <w:t>votación</w:t>
      </w:r>
      <w:r>
        <w:rPr>
          <w:spacing w:val="-7"/>
          <w:sz w:val="20"/>
        </w:rPr>
        <w:t> </w:t>
      </w:r>
      <w:r>
        <w:rPr>
          <w:sz w:val="20"/>
        </w:rPr>
        <w:t>se</w:t>
      </w:r>
      <w:r>
        <w:rPr>
          <w:spacing w:val="-3"/>
          <w:sz w:val="20"/>
        </w:rPr>
        <w:t> </w:t>
      </w:r>
      <w:r>
        <w:rPr>
          <w:sz w:val="20"/>
        </w:rPr>
        <w:t>llevará</w:t>
      </w:r>
      <w:r>
        <w:rPr>
          <w:spacing w:val="-4"/>
          <w:sz w:val="20"/>
        </w:rPr>
        <w:t> </w:t>
      </w:r>
      <w:r>
        <w:rPr>
          <w:sz w:val="20"/>
        </w:rPr>
        <w:t>a</w:t>
      </w:r>
      <w:r>
        <w:rPr>
          <w:spacing w:val="-6"/>
          <w:sz w:val="20"/>
        </w:rPr>
        <w:t> </w:t>
      </w:r>
      <w:r>
        <w:rPr>
          <w:sz w:val="20"/>
        </w:rPr>
        <w:t>cabo</w:t>
      </w:r>
      <w:r>
        <w:rPr>
          <w:spacing w:val="-6"/>
          <w:sz w:val="20"/>
        </w:rPr>
        <w:t> </w:t>
      </w:r>
      <w:r>
        <w:rPr>
          <w:sz w:val="20"/>
        </w:rPr>
        <w:t>el</w:t>
      </w:r>
      <w:r>
        <w:rPr>
          <w:spacing w:val="-7"/>
          <w:sz w:val="20"/>
        </w:rPr>
        <w:t> </w:t>
      </w:r>
      <w:r>
        <w:rPr>
          <w:sz w:val="20"/>
        </w:rPr>
        <w:t>día,</w:t>
      </w:r>
      <w:r>
        <w:rPr>
          <w:spacing w:val="-5"/>
          <w:sz w:val="20"/>
        </w:rPr>
        <w:t> </w:t>
      </w:r>
      <w:r>
        <w:rPr>
          <w:sz w:val="20"/>
        </w:rPr>
        <w:t>hora</w:t>
      </w:r>
      <w:r>
        <w:rPr>
          <w:spacing w:val="-1"/>
          <w:sz w:val="20"/>
        </w:rPr>
        <w:t> </w:t>
      </w:r>
      <w:r>
        <w:rPr>
          <w:sz w:val="20"/>
        </w:rPr>
        <w:t>y</w:t>
      </w:r>
      <w:r>
        <w:rPr>
          <w:spacing w:val="-9"/>
          <w:sz w:val="20"/>
        </w:rPr>
        <w:t> </w:t>
      </w:r>
      <w:r>
        <w:rPr>
          <w:sz w:val="20"/>
        </w:rPr>
        <w:t>lugar</w:t>
      </w:r>
      <w:r>
        <w:rPr>
          <w:spacing w:val="-5"/>
          <w:sz w:val="20"/>
        </w:rPr>
        <w:t> </w:t>
      </w:r>
      <w:r>
        <w:rPr>
          <w:sz w:val="20"/>
        </w:rPr>
        <w:t>señalados</w:t>
      </w:r>
      <w:r>
        <w:rPr>
          <w:spacing w:val="-5"/>
          <w:sz w:val="20"/>
        </w:rPr>
        <w:t> </w:t>
      </w:r>
      <w:r>
        <w:rPr>
          <w:sz w:val="20"/>
        </w:rPr>
        <w:t>en</w:t>
      </w:r>
      <w:r>
        <w:rPr>
          <w:spacing w:val="1"/>
          <w:sz w:val="20"/>
        </w:rPr>
        <w:t> </w:t>
      </w:r>
      <w:r>
        <w:rPr>
          <w:sz w:val="20"/>
        </w:rPr>
        <w:t>la</w:t>
      </w:r>
      <w:r>
        <w:rPr>
          <w:spacing w:val="-6"/>
          <w:sz w:val="20"/>
        </w:rPr>
        <w:t> </w:t>
      </w:r>
      <w:r>
        <w:rPr>
          <w:spacing w:val="-2"/>
          <w:sz w:val="20"/>
        </w:rPr>
        <w:t>convocatoria;</w:t>
      </w:r>
    </w:p>
    <w:p>
      <w:pPr>
        <w:pStyle w:val="BodyText"/>
        <w:spacing w:before="1"/>
      </w:pPr>
    </w:p>
    <w:p>
      <w:pPr>
        <w:pStyle w:val="ListParagraph"/>
        <w:numPr>
          <w:ilvl w:val="1"/>
          <w:numId w:val="126"/>
        </w:numPr>
        <w:tabs>
          <w:tab w:pos="1646" w:val="left" w:leader="none"/>
        </w:tabs>
        <w:spacing w:line="242" w:lineRule="auto" w:before="0" w:after="0"/>
        <w:ind w:left="1646" w:right="343" w:hanging="509"/>
        <w:jc w:val="both"/>
        <w:rPr>
          <w:sz w:val="20"/>
        </w:rPr>
      </w:pPr>
      <w:r>
        <w:rPr>
          <w:sz w:val="20"/>
        </w:rPr>
        <w:t>Se garantizará que el lugar que se designe para la votación sea accesible a los trabajadores y reúna las condiciones necesarias para que éstos emitan su voto de forma libre, pacífica, ágil y segura, sin que puedan ser coaccionados de forma alguna;</w:t>
      </w:r>
    </w:p>
    <w:p>
      <w:pPr>
        <w:pStyle w:val="ListParagraph"/>
        <w:numPr>
          <w:ilvl w:val="1"/>
          <w:numId w:val="126"/>
        </w:numPr>
        <w:tabs>
          <w:tab w:pos="1646" w:val="left" w:leader="none"/>
        </w:tabs>
        <w:spacing w:line="240" w:lineRule="auto" w:before="222" w:after="0"/>
        <w:ind w:left="1646" w:right="0" w:hanging="508"/>
        <w:jc w:val="left"/>
        <w:rPr>
          <w:sz w:val="20"/>
        </w:rPr>
      </w:pPr>
      <w:r>
        <w:rPr>
          <w:sz w:val="20"/>
        </w:rPr>
        <w:t>El</w:t>
      </w:r>
      <w:r>
        <w:rPr>
          <w:spacing w:val="-7"/>
          <w:sz w:val="20"/>
        </w:rPr>
        <w:t> </w:t>
      </w:r>
      <w:r>
        <w:rPr>
          <w:sz w:val="20"/>
        </w:rPr>
        <w:t>empleador</w:t>
      </w:r>
      <w:r>
        <w:rPr>
          <w:spacing w:val="-6"/>
          <w:sz w:val="20"/>
        </w:rPr>
        <w:t> </w:t>
      </w:r>
      <w:r>
        <w:rPr>
          <w:sz w:val="20"/>
        </w:rPr>
        <w:t>no</w:t>
      </w:r>
      <w:r>
        <w:rPr>
          <w:spacing w:val="-8"/>
          <w:sz w:val="20"/>
        </w:rPr>
        <w:t> </w:t>
      </w:r>
      <w:r>
        <w:rPr>
          <w:sz w:val="20"/>
        </w:rPr>
        <w:t>podrá</w:t>
      </w:r>
      <w:r>
        <w:rPr>
          <w:spacing w:val="-6"/>
          <w:sz w:val="20"/>
        </w:rPr>
        <w:t> </w:t>
      </w:r>
      <w:r>
        <w:rPr>
          <w:sz w:val="20"/>
        </w:rPr>
        <w:t>tener</w:t>
      </w:r>
      <w:r>
        <w:rPr>
          <w:spacing w:val="-8"/>
          <w:sz w:val="20"/>
        </w:rPr>
        <w:t> </w:t>
      </w:r>
      <w:r>
        <w:rPr>
          <w:sz w:val="20"/>
        </w:rPr>
        <w:t>intervención</w:t>
      </w:r>
      <w:r>
        <w:rPr>
          <w:spacing w:val="-8"/>
          <w:sz w:val="20"/>
        </w:rPr>
        <w:t> </w:t>
      </w:r>
      <w:r>
        <w:rPr>
          <w:sz w:val="20"/>
        </w:rPr>
        <w:t>alguna</w:t>
      </w:r>
      <w:r>
        <w:rPr>
          <w:spacing w:val="-7"/>
          <w:sz w:val="20"/>
        </w:rPr>
        <w:t> </w:t>
      </w:r>
      <w:r>
        <w:rPr>
          <w:sz w:val="20"/>
        </w:rPr>
        <w:t>durante</w:t>
      </w:r>
      <w:r>
        <w:rPr>
          <w:spacing w:val="-9"/>
          <w:sz w:val="20"/>
        </w:rPr>
        <w:t> </w:t>
      </w:r>
      <w:r>
        <w:rPr>
          <w:sz w:val="20"/>
        </w:rPr>
        <w:t>el</w:t>
      </w:r>
      <w:r>
        <w:rPr>
          <w:spacing w:val="-9"/>
          <w:sz w:val="20"/>
        </w:rPr>
        <w:t> </w:t>
      </w:r>
      <w:r>
        <w:rPr>
          <w:sz w:val="20"/>
        </w:rPr>
        <w:t>procedimiento</w:t>
      </w:r>
      <w:r>
        <w:rPr>
          <w:spacing w:val="-7"/>
          <w:sz w:val="20"/>
        </w:rPr>
        <w:t> </w:t>
      </w:r>
      <w:r>
        <w:rPr>
          <w:sz w:val="20"/>
        </w:rPr>
        <w:t>de</w:t>
      </w:r>
      <w:r>
        <w:rPr>
          <w:spacing w:val="-7"/>
          <w:sz w:val="20"/>
        </w:rPr>
        <w:t> </w:t>
      </w:r>
      <w:r>
        <w:rPr>
          <w:spacing w:val="-2"/>
          <w:sz w:val="20"/>
        </w:rPr>
        <w:t>consulta;</w:t>
      </w:r>
    </w:p>
    <w:p>
      <w:pPr>
        <w:pStyle w:val="BodyText"/>
        <w:spacing w:before="1"/>
      </w:pPr>
    </w:p>
    <w:p>
      <w:pPr>
        <w:pStyle w:val="ListParagraph"/>
        <w:numPr>
          <w:ilvl w:val="1"/>
          <w:numId w:val="126"/>
        </w:numPr>
        <w:tabs>
          <w:tab w:pos="1646" w:val="left" w:leader="none"/>
        </w:tabs>
        <w:spacing w:line="242" w:lineRule="auto" w:before="0" w:after="0"/>
        <w:ind w:left="1646" w:right="338" w:hanging="509"/>
        <w:jc w:val="both"/>
        <w:rPr>
          <w:sz w:val="20"/>
        </w:rPr>
      </w:pPr>
      <w:r>
        <w:rPr>
          <w:sz w:val="20"/>
        </w:rPr>
        <w:t>El resultado de la votación será publicado por la directiva sindical en lugares visibles y de fácil acceso del centro de trabajo y en el local sindical correspondiente en un plazo no mayor a dos días de la fecha que se realice la consulta;</w:t>
      </w:r>
    </w:p>
    <w:p>
      <w:pPr>
        <w:pStyle w:val="ListParagraph"/>
        <w:numPr>
          <w:ilvl w:val="1"/>
          <w:numId w:val="126"/>
        </w:numPr>
        <w:tabs>
          <w:tab w:pos="1644" w:val="left" w:leader="none"/>
          <w:tab w:pos="1646" w:val="left" w:leader="none"/>
        </w:tabs>
        <w:spacing w:line="242" w:lineRule="auto" w:before="223" w:after="0"/>
        <w:ind w:left="1646" w:right="339" w:hanging="509"/>
        <w:jc w:val="both"/>
        <w:rPr>
          <w:sz w:val="20"/>
        </w:rPr>
      </w:pPr>
      <w:r>
        <w:rPr>
          <w:sz w:val="20"/>
        </w:rPr>
        <w:t>El sindicato dará aviso del resultado de la votación al Centro Federal de Conciliación y Registro Laboral dentro de los tres días hábiles siguientes a la fecha en que se realice la consulta, a efecto de que dicho Centro lo publique en su sitio de Internet.</w:t>
      </w:r>
    </w:p>
    <w:p>
      <w:pPr>
        <w:pStyle w:val="BodyText"/>
        <w:spacing w:before="227"/>
        <w:ind w:left="1646" w:right="339"/>
        <w:jc w:val="both"/>
      </w:pPr>
      <w:r>
        <w:rPr/>
        <w:t>El aviso señalado en el párrafo anterior se hará bajo protesta de decir verdad. En caso de existir inconsistencias en relación con hechos sustantivos del proceso, el Centro Federal</w:t>
      </w:r>
      <w:r>
        <w:rPr>
          <w:spacing w:val="40"/>
        </w:rPr>
        <w:t> </w:t>
      </w:r>
      <w:r>
        <w:rPr/>
        <w:t>de</w:t>
      </w:r>
      <w:r>
        <w:rPr>
          <w:spacing w:val="-3"/>
        </w:rPr>
        <w:t> </w:t>
      </w:r>
      <w:r>
        <w:rPr/>
        <w:t>Conciliación y</w:t>
      </w:r>
      <w:r>
        <w:rPr>
          <w:spacing w:val="-4"/>
        </w:rPr>
        <w:t> </w:t>
      </w:r>
      <w:r>
        <w:rPr/>
        <w:t>Registro Laboral</w:t>
      </w:r>
      <w:r>
        <w:rPr>
          <w:spacing w:val="-1"/>
        </w:rPr>
        <w:t> </w:t>
      </w:r>
      <w:r>
        <w:rPr/>
        <w:t>declarará nula la consulta y</w:t>
      </w:r>
      <w:r>
        <w:rPr>
          <w:spacing w:val="-3"/>
        </w:rPr>
        <w:t> </w:t>
      </w:r>
      <w:r>
        <w:rPr/>
        <w:t>ordenará la reposición de la </w:t>
      </w:r>
      <w:r>
        <w:rPr>
          <w:spacing w:val="-2"/>
        </w:rPr>
        <w:t>misma;</w:t>
      </w:r>
    </w:p>
    <w:p>
      <w:pPr>
        <w:pStyle w:val="ListParagraph"/>
        <w:numPr>
          <w:ilvl w:val="1"/>
          <w:numId w:val="126"/>
        </w:numPr>
        <w:tabs>
          <w:tab w:pos="1644" w:val="left" w:leader="none"/>
          <w:tab w:pos="1646" w:val="left" w:leader="none"/>
        </w:tabs>
        <w:spacing w:line="240" w:lineRule="auto" w:before="227" w:after="0"/>
        <w:ind w:left="1646" w:right="338" w:hanging="509"/>
        <w:jc w:val="both"/>
        <w:rPr>
          <w:sz w:val="20"/>
        </w:rPr>
      </w:pPr>
      <w:r>
        <w:rPr>
          <w:sz w:val="20"/>
        </w:rPr>
        <w:t>Las actas de votación serán resguardadas durante cinco años para acreditar el cumplimiento de esta obligación, para efectos de verificación de la autoridad laboral o registral. El sindicato promovente deberá manifestar bajo protesta de decir verdad que dio cumplimiento a esta obligación, y</w:t>
      </w:r>
    </w:p>
    <w:p>
      <w:pPr>
        <w:pStyle w:val="BodyText"/>
      </w:pPr>
    </w:p>
    <w:p>
      <w:pPr>
        <w:pStyle w:val="ListParagraph"/>
        <w:numPr>
          <w:ilvl w:val="1"/>
          <w:numId w:val="126"/>
        </w:numPr>
        <w:tabs>
          <w:tab w:pos="1644" w:val="left" w:leader="none"/>
          <w:tab w:pos="1646" w:val="left" w:leader="none"/>
        </w:tabs>
        <w:spacing w:line="242" w:lineRule="auto" w:before="0" w:after="0"/>
        <w:ind w:left="1646" w:right="336" w:hanging="509"/>
        <w:jc w:val="both"/>
        <w:rPr>
          <w:sz w:val="20"/>
        </w:rPr>
      </w:pPr>
      <w:r>
        <w:rPr>
          <w:sz w:val="20"/>
        </w:rPr>
        <w:t>El Centro Federal de Conciliación y Registro Laboral podrá verificar que el procedimiento de consulta se realice conforme a los requisitos antes señalados;</w:t>
      </w:r>
    </w:p>
    <w:p>
      <w:pPr>
        <w:pStyle w:val="ListParagraph"/>
        <w:numPr>
          <w:ilvl w:val="0"/>
          <w:numId w:val="126"/>
        </w:numPr>
        <w:tabs>
          <w:tab w:pos="1138" w:val="left" w:leader="none"/>
        </w:tabs>
        <w:spacing w:line="242" w:lineRule="auto" w:before="225" w:after="0"/>
        <w:ind w:left="1138" w:right="349" w:hanging="512"/>
        <w:jc w:val="left"/>
        <w:rPr>
          <w:sz w:val="20"/>
        </w:rPr>
      </w:pPr>
      <w:r>
        <w:rPr>
          <w:sz w:val="20"/>
        </w:rPr>
        <w:t>De contar con el apoyo mayoritario de los trabajadores al contenido del acuerdo, se estará a lo </w:t>
      </w:r>
      <w:r>
        <w:rPr>
          <w:spacing w:val="-2"/>
          <w:sz w:val="20"/>
        </w:rPr>
        <w:t>siguiente:</w:t>
      </w:r>
    </w:p>
    <w:p>
      <w:pPr>
        <w:pStyle w:val="ListParagraph"/>
        <w:numPr>
          <w:ilvl w:val="1"/>
          <w:numId w:val="126"/>
        </w:numPr>
        <w:tabs>
          <w:tab w:pos="1646" w:val="left" w:leader="none"/>
        </w:tabs>
        <w:spacing w:line="242" w:lineRule="auto" w:before="226" w:after="0"/>
        <w:ind w:left="1646" w:right="336" w:hanging="509"/>
        <w:jc w:val="both"/>
        <w:rPr>
          <w:sz w:val="20"/>
        </w:rPr>
      </w:pPr>
      <w:r>
        <w:rPr>
          <w:sz w:val="20"/>
        </w:rPr>
        <w:t>Para contratos colectivos de trabajo inicial, el sindicato procederá a realizar la solicitud de registro ante la Autoridad Registral conforme a lo previsto en el artículo 390 de la presente Ley, y</w:t>
      </w:r>
    </w:p>
    <w:p>
      <w:pPr>
        <w:pStyle w:val="ListParagraph"/>
        <w:spacing w:after="0" w:line="242" w:lineRule="auto"/>
        <w:jc w:val="both"/>
        <w:rPr>
          <w:sz w:val="20"/>
        </w:rPr>
        <w:sectPr>
          <w:pgSz w:w="12240" w:h="15840"/>
          <w:pgMar w:header="724" w:footer="712" w:top="1880" w:bottom="900" w:left="1080" w:right="1080"/>
        </w:sectPr>
      </w:pPr>
    </w:p>
    <w:p>
      <w:pPr>
        <w:pStyle w:val="BodyText"/>
        <w:spacing w:before="63"/>
      </w:pPr>
    </w:p>
    <w:p>
      <w:pPr>
        <w:pStyle w:val="ListParagraph"/>
        <w:numPr>
          <w:ilvl w:val="1"/>
          <w:numId w:val="126"/>
        </w:numPr>
        <w:tabs>
          <w:tab w:pos="1644" w:val="left" w:leader="none"/>
          <w:tab w:pos="1646" w:val="left" w:leader="none"/>
        </w:tabs>
        <w:spacing w:line="242" w:lineRule="auto" w:before="0" w:after="0"/>
        <w:ind w:left="1646" w:right="349" w:hanging="509"/>
        <w:jc w:val="both"/>
        <w:rPr>
          <w:sz w:val="20"/>
        </w:rPr>
      </w:pPr>
      <w:r>
        <w:rPr>
          <w:sz w:val="20"/>
        </w:rPr>
        <w:t>Para convenios de revisión o modificaciones del contrato colectivo de trabajo, se estará a lo dispuesto en el artículo 399 Ter;</w:t>
      </w:r>
    </w:p>
    <w:p>
      <w:pPr>
        <w:pStyle w:val="ListParagraph"/>
        <w:numPr>
          <w:ilvl w:val="0"/>
          <w:numId w:val="126"/>
        </w:numPr>
        <w:tabs>
          <w:tab w:pos="1138" w:val="left" w:leader="none"/>
        </w:tabs>
        <w:spacing w:line="242" w:lineRule="auto" w:before="227" w:after="0"/>
        <w:ind w:left="1138" w:right="346" w:hanging="512"/>
        <w:jc w:val="left"/>
        <w:rPr>
          <w:sz w:val="20"/>
        </w:rPr>
      </w:pPr>
      <w:r>
        <w:rPr>
          <w:sz w:val="20"/>
        </w:rPr>
        <w:t>En caso de que el contrato colectivo de trabajo inicial o el convenio de revisión no cuente con el apoyo mayoritario de los trabajadores cubiertos por el mismo, el sindicato podrá:</w:t>
      </w:r>
    </w:p>
    <w:p>
      <w:pPr>
        <w:pStyle w:val="ListParagraph"/>
        <w:numPr>
          <w:ilvl w:val="1"/>
          <w:numId w:val="126"/>
        </w:numPr>
        <w:tabs>
          <w:tab w:pos="1646" w:val="left" w:leader="none"/>
        </w:tabs>
        <w:spacing w:line="242" w:lineRule="auto" w:before="224" w:after="0"/>
        <w:ind w:left="1646" w:right="337" w:hanging="509"/>
        <w:jc w:val="both"/>
        <w:rPr>
          <w:sz w:val="20"/>
        </w:rPr>
      </w:pPr>
      <w:r>
        <w:rPr>
          <w:sz w:val="20"/>
        </w:rPr>
        <w:t>Ejercer su derecho a huelga, en caso de haber promovido el emplazamiento correspondiente, y</w:t>
      </w:r>
    </w:p>
    <w:p>
      <w:pPr>
        <w:pStyle w:val="ListParagraph"/>
        <w:numPr>
          <w:ilvl w:val="1"/>
          <w:numId w:val="126"/>
        </w:numPr>
        <w:tabs>
          <w:tab w:pos="1644" w:val="left" w:leader="none"/>
          <w:tab w:pos="1646" w:val="left" w:leader="none"/>
        </w:tabs>
        <w:spacing w:line="242" w:lineRule="auto" w:before="226" w:after="0"/>
        <w:ind w:left="1646" w:right="340" w:hanging="509"/>
        <w:jc w:val="both"/>
        <w:rPr>
          <w:sz w:val="20"/>
        </w:rPr>
      </w:pPr>
      <w:r>
        <w:rPr>
          <w:sz w:val="20"/>
        </w:rPr>
        <w:t>Prorrogar</w:t>
      </w:r>
      <w:r>
        <w:rPr>
          <w:spacing w:val="-1"/>
          <w:sz w:val="20"/>
        </w:rPr>
        <w:t> </w:t>
      </w:r>
      <w:r>
        <w:rPr>
          <w:sz w:val="20"/>
        </w:rPr>
        <w:t>o</w:t>
      </w:r>
      <w:r>
        <w:rPr>
          <w:spacing w:val="-4"/>
          <w:sz w:val="20"/>
        </w:rPr>
        <w:t> </w:t>
      </w:r>
      <w:r>
        <w:rPr>
          <w:sz w:val="20"/>
        </w:rPr>
        <w:t>ampliar</w:t>
      </w:r>
      <w:r>
        <w:rPr>
          <w:spacing w:val="-4"/>
          <w:sz w:val="20"/>
        </w:rPr>
        <w:t> </w:t>
      </w:r>
      <w:r>
        <w:rPr>
          <w:sz w:val="20"/>
        </w:rPr>
        <w:t>el</w:t>
      </w:r>
      <w:r>
        <w:rPr>
          <w:spacing w:val="-3"/>
          <w:sz w:val="20"/>
        </w:rPr>
        <w:t> </w:t>
      </w:r>
      <w:r>
        <w:rPr>
          <w:sz w:val="20"/>
        </w:rPr>
        <w:t>periodo</w:t>
      </w:r>
      <w:r>
        <w:rPr>
          <w:spacing w:val="-5"/>
          <w:sz w:val="20"/>
        </w:rPr>
        <w:t> </w:t>
      </w:r>
      <w:r>
        <w:rPr>
          <w:sz w:val="20"/>
        </w:rPr>
        <w:t>de</w:t>
      </w:r>
      <w:r>
        <w:rPr>
          <w:spacing w:val="-4"/>
          <w:sz w:val="20"/>
        </w:rPr>
        <w:t> </w:t>
      </w:r>
      <w:r>
        <w:rPr>
          <w:sz w:val="20"/>
        </w:rPr>
        <w:t>prehuelga</w:t>
      </w:r>
      <w:r>
        <w:rPr>
          <w:spacing w:val="-2"/>
          <w:sz w:val="20"/>
        </w:rPr>
        <w:t> </w:t>
      </w:r>
      <w:r>
        <w:rPr>
          <w:sz w:val="20"/>
        </w:rPr>
        <w:t>con</w:t>
      </w:r>
      <w:r>
        <w:rPr>
          <w:spacing w:val="-3"/>
          <w:sz w:val="20"/>
        </w:rPr>
        <w:t> </w:t>
      </w:r>
      <w:r>
        <w:rPr>
          <w:sz w:val="20"/>
        </w:rPr>
        <w:t>el</w:t>
      </w:r>
      <w:r>
        <w:rPr>
          <w:spacing w:val="-3"/>
          <w:sz w:val="20"/>
        </w:rPr>
        <w:t> </w:t>
      </w:r>
      <w:r>
        <w:rPr>
          <w:sz w:val="20"/>
        </w:rPr>
        <w:t>objeto</w:t>
      </w:r>
      <w:r>
        <w:rPr>
          <w:spacing w:val="-5"/>
          <w:sz w:val="20"/>
        </w:rPr>
        <w:t> </w:t>
      </w:r>
      <w:r>
        <w:rPr>
          <w:sz w:val="20"/>
        </w:rPr>
        <w:t>de</w:t>
      </w:r>
      <w:r>
        <w:rPr>
          <w:spacing w:val="-4"/>
          <w:sz w:val="20"/>
        </w:rPr>
        <w:t> </w:t>
      </w:r>
      <w:r>
        <w:rPr>
          <w:sz w:val="20"/>
        </w:rPr>
        <w:t>continuar</w:t>
      </w:r>
      <w:r>
        <w:rPr>
          <w:spacing w:val="-3"/>
          <w:sz w:val="20"/>
        </w:rPr>
        <w:t> </w:t>
      </w:r>
      <w:r>
        <w:rPr>
          <w:sz w:val="20"/>
        </w:rPr>
        <w:t>con</w:t>
      </w:r>
      <w:r>
        <w:rPr>
          <w:spacing w:val="-3"/>
          <w:sz w:val="20"/>
        </w:rPr>
        <w:t> </w:t>
      </w:r>
      <w:r>
        <w:rPr>
          <w:sz w:val="20"/>
        </w:rPr>
        <w:t>la</w:t>
      </w:r>
      <w:r>
        <w:rPr>
          <w:spacing w:val="-2"/>
          <w:sz w:val="20"/>
        </w:rPr>
        <w:t> </w:t>
      </w:r>
      <w:r>
        <w:rPr>
          <w:sz w:val="20"/>
        </w:rPr>
        <w:t>negociación y someter el acuerdo a nueva consulta, observando lo establecido en la fracción V del artículo 927 de esta Ley.</w:t>
      </w:r>
    </w:p>
    <w:p>
      <w:pPr>
        <w:pStyle w:val="BodyText"/>
        <w:spacing w:before="226"/>
        <w:ind w:left="338" w:right="342" w:firstLine="288"/>
      </w:pPr>
      <w:r>
        <w:rPr/>
        <w:t>En</w:t>
      </w:r>
      <w:r>
        <w:rPr>
          <w:spacing w:val="-2"/>
        </w:rPr>
        <w:t> </w:t>
      </w:r>
      <w:r>
        <w:rPr/>
        <w:t>el</w:t>
      </w:r>
      <w:r>
        <w:rPr>
          <w:spacing w:val="-3"/>
        </w:rPr>
        <w:t> </w:t>
      </w:r>
      <w:r>
        <w:rPr/>
        <w:t>procedimiento</w:t>
      </w:r>
      <w:r>
        <w:rPr>
          <w:spacing w:val="-2"/>
        </w:rPr>
        <w:t> </w:t>
      </w:r>
      <w:r>
        <w:rPr/>
        <w:t>de</w:t>
      </w:r>
      <w:r>
        <w:rPr>
          <w:spacing w:val="-2"/>
        </w:rPr>
        <w:t> </w:t>
      </w:r>
      <w:r>
        <w:rPr/>
        <w:t>consulta</w:t>
      </w:r>
      <w:r>
        <w:rPr>
          <w:spacing w:val="-2"/>
        </w:rPr>
        <w:t> </w:t>
      </w:r>
      <w:r>
        <w:rPr/>
        <w:t>previsto</w:t>
      </w:r>
      <w:r>
        <w:rPr>
          <w:spacing w:val="-2"/>
        </w:rPr>
        <w:t> </w:t>
      </w:r>
      <w:r>
        <w:rPr/>
        <w:t>en</w:t>
      </w:r>
      <w:r>
        <w:rPr>
          <w:spacing w:val="-2"/>
        </w:rPr>
        <w:t> </w:t>
      </w:r>
      <w:r>
        <w:rPr/>
        <w:t>el</w:t>
      </w:r>
      <w:r>
        <w:rPr>
          <w:spacing w:val="-5"/>
        </w:rPr>
        <w:t> </w:t>
      </w:r>
      <w:r>
        <w:rPr/>
        <w:t>presente</w:t>
      </w:r>
      <w:r>
        <w:rPr>
          <w:spacing w:val="-4"/>
        </w:rPr>
        <w:t> </w:t>
      </w:r>
      <w:r>
        <w:rPr/>
        <w:t>artículo,</w:t>
      </w:r>
      <w:r>
        <w:rPr>
          <w:spacing w:val="-2"/>
        </w:rPr>
        <w:t> </w:t>
      </w:r>
      <w:r>
        <w:rPr/>
        <w:t>el</w:t>
      </w:r>
      <w:r>
        <w:rPr>
          <w:spacing w:val="-3"/>
        </w:rPr>
        <w:t> </w:t>
      </w:r>
      <w:r>
        <w:rPr/>
        <w:t>voto</w:t>
      </w:r>
      <w:r>
        <w:rPr>
          <w:spacing w:val="-2"/>
        </w:rPr>
        <w:t> </w:t>
      </w:r>
      <w:r>
        <w:rPr/>
        <w:t>personal,</w:t>
      </w:r>
      <w:r>
        <w:rPr>
          <w:spacing w:val="-2"/>
        </w:rPr>
        <w:t> </w:t>
      </w:r>
      <w:r>
        <w:rPr/>
        <w:t>libre y</w:t>
      </w:r>
      <w:r>
        <w:rPr>
          <w:spacing w:val="-7"/>
        </w:rPr>
        <w:t> </w:t>
      </w:r>
      <w:r>
        <w:rPr/>
        <w:t>secreto</w:t>
      </w:r>
      <w:r>
        <w:rPr>
          <w:spacing w:val="-4"/>
        </w:rPr>
        <w:t> </w:t>
      </w:r>
      <w:r>
        <w:rPr/>
        <w:t>de</w:t>
      </w:r>
      <w:r>
        <w:rPr>
          <w:spacing w:val="-2"/>
        </w:rPr>
        <w:t> </w:t>
      </w:r>
      <w:r>
        <w:rPr/>
        <w:t>los trabajadores se ejercerá en forma individual y directa.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626" w:right="0" w:firstLine="0"/>
        <w:jc w:val="left"/>
        <w:rPr>
          <w:sz w:val="20"/>
        </w:rPr>
      </w:pPr>
      <w:bookmarkStart w:name="Artículo_391" w:id="516"/>
      <w:bookmarkEnd w:id="516"/>
      <w:r>
        <w:rPr/>
      </w:r>
      <w:r>
        <w:rPr>
          <w:rFonts w:ascii="Arial" w:hAnsi="Arial"/>
          <w:b/>
          <w:sz w:val="20"/>
        </w:rPr>
        <w:t>Artículo</w:t>
      </w:r>
      <w:r>
        <w:rPr>
          <w:rFonts w:ascii="Arial" w:hAnsi="Arial"/>
          <w:b/>
          <w:spacing w:val="-8"/>
          <w:sz w:val="20"/>
        </w:rPr>
        <w:t> </w:t>
      </w:r>
      <w:r>
        <w:rPr>
          <w:rFonts w:ascii="Arial" w:hAnsi="Arial"/>
          <w:b/>
          <w:sz w:val="20"/>
        </w:rPr>
        <w:t>391.-</w:t>
      </w:r>
      <w:r>
        <w:rPr>
          <w:rFonts w:ascii="Arial" w:hAnsi="Arial"/>
          <w:b/>
          <w:spacing w:val="-6"/>
          <w:sz w:val="20"/>
        </w:rPr>
        <w:t> </w:t>
      </w:r>
      <w:r>
        <w:rPr>
          <w:sz w:val="20"/>
        </w:rPr>
        <w:t>El</w:t>
      </w:r>
      <w:r>
        <w:rPr>
          <w:spacing w:val="-9"/>
          <w:sz w:val="20"/>
        </w:rPr>
        <w:t> </w:t>
      </w:r>
      <w:r>
        <w:rPr>
          <w:sz w:val="20"/>
        </w:rPr>
        <w:t>contrato</w:t>
      </w:r>
      <w:r>
        <w:rPr>
          <w:spacing w:val="-7"/>
          <w:sz w:val="20"/>
        </w:rPr>
        <w:t> </w:t>
      </w:r>
      <w:r>
        <w:rPr>
          <w:sz w:val="20"/>
        </w:rPr>
        <w:t>colectivo</w:t>
      </w:r>
      <w:r>
        <w:rPr>
          <w:spacing w:val="-8"/>
          <w:sz w:val="20"/>
        </w:rPr>
        <w:t> </w:t>
      </w:r>
      <w:r>
        <w:rPr>
          <w:spacing w:val="-2"/>
          <w:sz w:val="20"/>
        </w:rPr>
        <w:t>contendrá:</w:t>
      </w:r>
    </w:p>
    <w:p>
      <w:pPr>
        <w:pStyle w:val="BodyText"/>
      </w:pPr>
    </w:p>
    <w:p>
      <w:pPr>
        <w:pStyle w:val="ListParagraph"/>
        <w:numPr>
          <w:ilvl w:val="0"/>
          <w:numId w:val="127"/>
        </w:numPr>
        <w:tabs>
          <w:tab w:pos="1195" w:val="left" w:leader="none"/>
        </w:tabs>
        <w:spacing w:line="240" w:lineRule="auto" w:before="1" w:after="0"/>
        <w:ind w:left="1195" w:right="0" w:hanging="569"/>
        <w:jc w:val="left"/>
        <w:rPr>
          <w:sz w:val="20"/>
        </w:rPr>
      </w:pPr>
      <w:r>
        <w:rPr>
          <w:sz w:val="20"/>
        </w:rPr>
        <w:t>Los</w:t>
      </w:r>
      <w:r>
        <w:rPr>
          <w:spacing w:val="-5"/>
          <w:sz w:val="20"/>
        </w:rPr>
        <w:t> </w:t>
      </w:r>
      <w:r>
        <w:rPr>
          <w:sz w:val="20"/>
        </w:rPr>
        <w:t>nombres</w:t>
      </w:r>
      <w:r>
        <w:rPr>
          <w:spacing w:val="-2"/>
          <w:sz w:val="20"/>
        </w:rPr>
        <w:t> </w:t>
      </w:r>
      <w:r>
        <w:rPr>
          <w:sz w:val="20"/>
        </w:rPr>
        <w:t>y</w:t>
      </w:r>
      <w:r>
        <w:rPr>
          <w:spacing w:val="-9"/>
          <w:sz w:val="20"/>
        </w:rPr>
        <w:t> </w:t>
      </w:r>
      <w:r>
        <w:rPr>
          <w:sz w:val="20"/>
        </w:rPr>
        <w:t>domicilios</w:t>
      </w:r>
      <w:r>
        <w:rPr>
          <w:spacing w:val="-5"/>
          <w:sz w:val="20"/>
        </w:rPr>
        <w:t> </w:t>
      </w:r>
      <w:r>
        <w:rPr>
          <w:sz w:val="20"/>
        </w:rPr>
        <w:t>de</w:t>
      </w:r>
      <w:r>
        <w:rPr>
          <w:spacing w:val="-5"/>
          <w:sz w:val="20"/>
        </w:rPr>
        <w:t> </w:t>
      </w:r>
      <w:r>
        <w:rPr>
          <w:sz w:val="20"/>
        </w:rPr>
        <w:t>los</w:t>
      </w:r>
      <w:r>
        <w:rPr>
          <w:spacing w:val="-5"/>
          <w:sz w:val="20"/>
        </w:rPr>
        <w:t> </w:t>
      </w:r>
      <w:r>
        <w:rPr>
          <w:spacing w:val="-2"/>
          <w:sz w:val="20"/>
        </w:rPr>
        <w:t>contratantes;</w:t>
      </w:r>
    </w:p>
    <w:p>
      <w:pPr>
        <w:pStyle w:val="BodyText"/>
      </w:pPr>
    </w:p>
    <w:p>
      <w:pPr>
        <w:pStyle w:val="ListParagraph"/>
        <w:numPr>
          <w:ilvl w:val="0"/>
          <w:numId w:val="127"/>
        </w:numPr>
        <w:tabs>
          <w:tab w:pos="1195" w:val="left" w:leader="none"/>
        </w:tabs>
        <w:spacing w:line="240" w:lineRule="auto" w:before="0" w:after="0"/>
        <w:ind w:left="1195" w:right="0" w:hanging="569"/>
        <w:jc w:val="left"/>
        <w:rPr>
          <w:sz w:val="20"/>
        </w:rPr>
      </w:pPr>
      <w:r>
        <w:rPr>
          <w:sz w:val="20"/>
        </w:rPr>
        <w:t>Las</w:t>
      </w:r>
      <w:r>
        <w:rPr>
          <w:spacing w:val="-7"/>
          <w:sz w:val="20"/>
        </w:rPr>
        <w:t> </w:t>
      </w:r>
      <w:r>
        <w:rPr>
          <w:sz w:val="20"/>
        </w:rPr>
        <w:t>empresas</w:t>
      </w:r>
      <w:r>
        <w:rPr>
          <w:spacing w:val="-5"/>
          <w:sz w:val="20"/>
        </w:rPr>
        <w:t> </w:t>
      </w:r>
      <w:r>
        <w:rPr>
          <w:sz w:val="20"/>
        </w:rPr>
        <w:t>y</w:t>
      </w:r>
      <w:r>
        <w:rPr>
          <w:spacing w:val="-11"/>
          <w:sz w:val="20"/>
        </w:rPr>
        <w:t> </w:t>
      </w:r>
      <w:r>
        <w:rPr>
          <w:sz w:val="20"/>
        </w:rPr>
        <w:t>establecimientos</w:t>
      </w:r>
      <w:r>
        <w:rPr>
          <w:spacing w:val="-6"/>
          <w:sz w:val="20"/>
        </w:rPr>
        <w:t> </w:t>
      </w:r>
      <w:r>
        <w:rPr>
          <w:sz w:val="20"/>
        </w:rPr>
        <w:t>que</w:t>
      </w:r>
      <w:r>
        <w:rPr>
          <w:spacing w:val="-8"/>
          <w:sz w:val="20"/>
        </w:rPr>
        <w:t> </w:t>
      </w:r>
      <w:r>
        <w:rPr>
          <w:spacing w:val="-2"/>
          <w:sz w:val="20"/>
        </w:rPr>
        <w:t>abarque;</w:t>
      </w:r>
    </w:p>
    <w:p>
      <w:pPr>
        <w:pStyle w:val="ListParagraph"/>
        <w:numPr>
          <w:ilvl w:val="0"/>
          <w:numId w:val="127"/>
        </w:numPr>
        <w:tabs>
          <w:tab w:pos="1195" w:val="left" w:leader="none"/>
        </w:tabs>
        <w:spacing w:line="240" w:lineRule="auto" w:before="229" w:after="0"/>
        <w:ind w:left="1195" w:right="0" w:hanging="569"/>
        <w:jc w:val="left"/>
        <w:rPr>
          <w:sz w:val="20"/>
        </w:rPr>
      </w:pPr>
      <w:r>
        <w:rPr>
          <w:sz w:val="20"/>
        </w:rPr>
        <w:t>Su</w:t>
      </w:r>
      <w:r>
        <w:rPr>
          <w:spacing w:val="-7"/>
          <w:sz w:val="20"/>
        </w:rPr>
        <w:t> </w:t>
      </w:r>
      <w:r>
        <w:rPr>
          <w:sz w:val="20"/>
        </w:rPr>
        <w:t>duración</w:t>
      </w:r>
      <w:r>
        <w:rPr>
          <w:spacing w:val="-6"/>
          <w:sz w:val="20"/>
        </w:rPr>
        <w:t> </w:t>
      </w:r>
      <w:r>
        <w:rPr>
          <w:sz w:val="20"/>
        </w:rPr>
        <w:t>o</w:t>
      </w:r>
      <w:r>
        <w:rPr>
          <w:spacing w:val="-5"/>
          <w:sz w:val="20"/>
        </w:rPr>
        <w:t> </w:t>
      </w:r>
      <w:r>
        <w:rPr>
          <w:sz w:val="20"/>
        </w:rPr>
        <w:t>la</w:t>
      </w:r>
      <w:r>
        <w:rPr>
          <w:spacing w:val="-4"/>
          <w:sz w:val="20"/>
        </w:rPr>
        <w:t> </w:t>
      </w:r>
      <w:r>
        <w:rPr>
          <w:sz w:val="20"/>
        </w:rPr>
        <w:t>expresión</w:t>
      </w:r>
      <w:r>
        <w:rPr>
          <w:spacing w:val="-5"/>
          <w:sz w:val="20"/>
        </w:rPr>
        <w:t> </w:t>
      </w:r>
      <w:r>
        <w:rPr>
          <w:sz w:val="20"/>
        </w:rPr>
        <w:t>de</w:t>
      </w:r>
      <w:r>
        <w:rPr>
          <w:spacing w:val="-7"/>
          <w:sz w:val="20"/>
        </w:rPr>
        <w:t> </w:t>
      </w:r>
      <w:r>
        <w:rPr>
          <w:sz w:val="20"/>
        </w:rPr>
        <w:t>ser</w:t>
      </w:r>
      <w:r>
        <w:rPr>
          <w:spacing w:val="-6"/>
          <w:sz w:val="20"/>
        </w:rPr>
        <w:t> </w:t>
      </w:r>
      <w:r>
        <w:rPr>
          <w:sz w:val="20"/>
        </w:rPr>
        <w:t>por</w:t>
      </w:r>
      <w:r>
        <w:rPr>
          <w:spacing w:val="-3"/>
          <w:sz w:val="20"/>
        </w:rPr>
        <w:t> </w:t>
      </w:r>
      <w:r>
        <w:rPr>
          <w:sz w:val="20"/>
        </w:rPr>
        <w:t>tiempo</w:t>
      </w:r>
      <w:r>
        <w:rPr>
          <w:spacing w:val="-7"/>
          <w:sz w:val="20"/>
        </w:rPr>
        <w:t> </w:t>
      </w:r>
      <w:r>
        <w:rPr>
          <w:sz w:val="20"/>
        </w:rPr>
        <w:t>indeterminado</w:t>
      </w:r>
      <w:r>
        <w:rPr>
          <w:spacing w:val="-4"/>
          <w:sz w:val="20"/>
        </w:rPr>
        <w:t> </w:t>
      </w:r>
      <w:r>
        <w:rPr>
          <w:sz w:val="20"/>
        </w:rPr>
        <w:t>o</w:t>
      </w:r>
      <w:r>
        <w:rPr>
          <w:spacing w:val="-7"/>
          <w:sz w:val="20"/>
        </w:rPr>
        <w:t> </w:t>
      </w:r>
      <w:r>
        <w:rPr>
          <w:sz w:val="20"/>
        </w:rPr>
        <w:t>para</w:t>
      </w:r>
      <w:r>
        <w:rPr>
          <w:spacing w:val="-7"/>
          <w:sz w:val="20"/>
        </w:rPr>
        <w:t> </w:t>
      </w:r>
      <w:r>
        <w:rPr>
          <w:sz w:val="20"/>
        </w:rPr>
        <w:t>obra</w:t>
      </w:r>
      <w:r>
        <w:rPr>
          <w:spacing w:val="-6"/>
          <w:sz w:val="20"/>
        </w:rPr>
        <w:t> </w:t>
      </w:r>
      <w:r>
        <w:rPr>
          <w:spacing w:val="-2"/>
          <w:sz w:val="20"/>
        </w:rPr>
        <w:t>determinada;</w:t>
      </w:r>
    </w:p>
    <w:p>
      <w:pPr>
        <w:pStyle w:val="BodyText"/>
      </w:pPr>
    </w:p>
    <w:p>
      <w:pPr>
        <w:pStyle w:val="ListParagraph"/>
        <w:numPr>
          <w:ilvl w:val="0"/>
          <w:numId w:val="127"/>
        </w:numPr>
        <w:tabs>
          <w:tab w:pos="1195" w:val="left" w:leader="none"/>
        </w:tabs>
        <w:spacing w:line="240" w:lineRule="auto" w:before="1" w:after="0"/>
        <w:ind w:left="1195" w:right="0" w:hanging="569"/>
        <w:jc w:val="left"/>
        <w:rPr>
          <w:sz w:val="20"/>
        </w:rPr>
      </w:pPr>
      <w:r>
        <w:rPr>
          <w:sz w:val="20"/>
        </w:rPr>
        <w:t>Las</w:t>
      </w:r>
      <w:r>
        <w:rPr>
          <w:spacing w:val="-7"/>
          <w:sz w:val="20"/>
        </w:rPr>
        <w:t> </w:t>
      </w:r>
      <w:r>
        <w:rPr>
          <w:sz w:val="20"/>
        </w:rPr>
        <w:t>jornadas</w:t>
      </w:r>
      <w:r>
        <w:rPr>
          <w:spacing w:val="-6"/>
          <w:sz w:val="20"/>
        </w:rPr>
        <w:t> </w:t>
      </w:r>
      <w:r>
        <w:rPr>
          <w:sz w:val="20"/>
        </w:rPr>
        <w:t>de</w:t>
      </w:r>
      <w:r>
        <w:rPr>
          <w:spacing w:val="-9"/>
          <w:sz w:val="20"/>
        </w:rPr>
        <w:t> </w:t>
      </w:r>
      <w:r>
        <w:rPr>
          <w:spacing w:val="-2"/>
          <w:sz w:val="20"/>
        </w:rPr>
        <w:t>trabajo;</w:t>
      </w:r>
    </w:p>
    <w:p>
      <w:pPr>
        <w:pStyle w:val="BodyText"/>
      </w:pPr>
    </w:p>
    <w:p>
      <w:pPr>
        <w:pStyle w:val="ListParagraph"/>
        <w:numPr>
          <w:ilvl w:val="0"/>
          <w:numId w:val="127"/>
        </w:numPr>
        <w:tabs>
          <w:tab w:pos="1195" w:val="left" w:leader="none"/>
        </w:tabs>
        <w:spacing w:line="240" w:lineRule="auto" w:before="0" w:after="0"/>
        <w:ind w:left="1195" w:right="0" w:hanging="569"/>
        <w:jc w:val="left"/>
        <w:rPr>
          <w:sz w:val="20"/>
        </w:rPr>
      </w:pPr>
      <w:r>
        <w:rPr>
          <w:sz w:val="20"/>
        </w:rPr>
        <w:t>Los</w:t>
      </w:r>
      <w:r>
        <w:rPr>
          <w:spacing w:val="-5"/>
          <w:sz w:val="20"/>
        </w:rPr>
        <w:t> </w:t>
      </w:r>
      <w:r>
        <w:rPr>
          <w:sz w:val="20"/>
        </w:rPr>
        <w:t>días</w:t>
      </w:r>
      <w:r>
        <w:rPr>
          <w:spacing w:val="-2"/>
          <w:sz w:val="20"/>
        </w:rPr>
        <w:t> </w:t>
      </w:r>
      <w:r>
        <w:rPr>
          <w:sz w:val="20"/>
        </w:rPr>
        <w:t>de</w:t>
      </w:r>
      <w:r>
        <w:rPr>
          <w:spacing w:val="-7"/>
          <w:sz w:val="20"/>
        </w:rPr>
        <w:t> </w:t>
      </w:r>
      <w:r>
        <w:rPr>
          <w:sz w:val="20"/>
        </w:rPr>
        <w:t>descanso</w:t>
      </w:r>
      <w:r>
        <w:rPr>
          <w:spacing w:val="-1"/>
          <w:sz w:val="20"/>
        </w:rPr>
        <w:t> </w:t>
      </w:r>
      <w:r>
        <w:rPr>
          <w:sz w:val="20"/>
        </w:rPr>
        <w:t>y</w:t>
      </w:r>
      <w:r>
        <w:rPr>
          <w:spacing w:val="-8"/>
          <w:sz w:val="20"/>
        </w:rPr>
        <w:t> </w:t>
      </w:r>
      <w:r>
        <w:rPr>
          <w:spacing w:val="-2"/>
          <w:sz w:val="20"/>
        </w:rPr>
        <w:t>vacaciones;</w:t>
      </w:r>
    </w:p>
    <w:p>
      <w:pPr>
        <w:pStyle w:val="ListParagraph"/>
        <w:numPr>
          <w:ilvl w:val="0"/>
          <w:numId w:val="127"/>
        </w:numPr>
        <w:tabs>
          <w:tab w:pos="1195" w:val="left" w:leader="none"/>
        </w:tabs>
        <w:spacing w:line="240" w:lineRule="auto" w:before="229" w:after="0"/>
        <w:ind w:left="1195" w:right="0" w:hanging="569"/>
        <w:jc w:val="left"/>
        <w:rPr>
          <w:sz w:val="20"/>
        </w:rPr>
      </w:pPr>
      <w:r>
        <w:rPr>
          <w:sz w:val="20"/>
        </w:rPr>
        <w:t>El</w:t>
      </w:r>
      <w:r>
        <w:rPr>
          <w:spacing w:val="-5"/>
          <w:sz w:val="20"/>
        </w:rPr>
        <w:t> </w:t>
      </w:r>
      <w:r>
        <w:rPr>
          <w:sz w:val="20"/>
        </w:rPr>
        <w:t>monto</w:t>
      </w:r>
      <w:r>
        <w:rPr>
          <w:spacing w:val="-4"/>
          <w:sz w:val="20"/>
        </w:rPr>
        <w:t> </w:t>
      </w:r>
      <w:r>
        <w:rPr>
          <w:sz w:val="20"/>
        </w:rPr>
        <w:t>de</w:t>
      </w:r>
      <w:r>
        <w:rPr>
          <w:spacing w:val="-4"/>
          <w:sz w:val="20"/>
        </w:rPr>
        <w:t> </w:t>
      </w:r>
      <w:r>
        <w:rPr>
          <w:sz w:val="20"/>
        </w:rPr>
        <w:t>los</w:t>
      </w:r>
      <w:r>
        <w:rPr>
          <w:spacing w:val="-3"/>
          <w:sz w:val="20"/>
        </w:rPr>
        <w:t> </w:t>
      </w:r>
      <w:r>
        <w:rPr>
          <w:spacing w:val="-2"/>
          <w:sz w:val="20"/>
        </w:rPr>
        <w:t>salarios;</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1"/>
        <w:rPr>
          <w:rFonts w:ascii="Times New Roman"/>
          <w:i/>
        </w:rPr>
      </w:pPr>
    </w:p>
    <w:p>
      <w:pPr>
        <w:pStyle w:val="ListParagraph"/>
        <w:numPr>
          <w:ilvl w:val="0"/>
          <w:numId w:val="127"/>
        </w:numPr>
        <w:tabs>
          <w:tab w:pos="1195" w:val="left" w:leader="none"/>
        </w:tabs>
        <w:spacing w:line="240" w:lineRule="auto" w:before="0" w:after="0"/>
        <w:ind w:left="1195" w:right="346" w:hanging="569"/>
        <w:jc w:val="left"/>
        <w:rPr>
          <w:sz w:val="20"/>
        </w:rPr>
      </w:pPr>
      <w:r>
        <w:rPr>
          <w:sz w:val="20"/>
        </w:rPr>
        <w:t>Las cláusulas relativas a la capacitación o adiestramiento de los trabajadores en la empresa o establecimientos que comprenda;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7"/>
        <w:rPr>
          <w:rFonts w:ascii="Times New Roman"/>
          <w:i/>
          <w:sz w:val="16"/>
        </w:rPr>
      </w:pPr>
    </w:p>
    <w:p>
      <w:pPr>
        <w:pStyle w:val="ListParagraph"/>
        <w:numPr>
          <w:ilvl w:val="0"/>
          <w:numId w:val="127"/>
        </w:numPr>
        <w:tabs>
          <w:tab w:pos="1195" w:val="left" w:leader="none"/>
        </w:tabs>
        <w:spacing w:line="240" w:lineRule="auto" w:before="0" w:after="0"/>
        <w:ind w:left="1195" w:right="342" w:hanging="569"/>
        <w:jc w:val="left"/>
        <w:rPr>
          <w:sz w:val="20"/>
        </w:rPr>
      </w:pPr>
      <w:r>
        <w:rPr>
          <w:sz w:val="20"/>
        </w:rPr>
        <w:t>Disposiciones</w:t>
      </w:r>
      <w:r>
        <w:rPr>
          <w:spacing w:val="37"/>
          <w:sz w:val="20"/>
        </w:rPr>
        <w:t> </w:t>
      </w:r>
      <w:r>
        <w:rPr>
          <w:sz w:val="20"/>
        </w:rPr>
        <w:t>sobre</w:t>
      </w:r>
      <w:r>
        <w:rPr>
          <w:spacing w:val="36"/>
          <w:sz w:val="20"/>
        </w:rPr>
        <w:t> </w:t>
      </w:r>
      <w:r>
        <w:rPr>
          <w:sz w:val="20"/>
        </w:rPr>
        <w:t>la</w:t>
      </w:r>
      <w:r>
        <w:rPr>
          <w:spacing w:val="36"/>
          <w:sz w:val="20"/>
        </w:rPr>
        <w:t> </w:t>
      </w:r>
      <w:r>
        <w:rPr>
          <w:sz w:val="20"/>
        </w:rPr>
        <w:t>capacitación</w:t>
      </w:r>
      <w:r>
        <w:rPr>
          <w:spacing w:val="38"/>
          <w:sz w:val="20"/>
        </w:rPr>
        <w:t> </w:t>
      </w:r>
      <w:r>
        <w:rPr>
          <w:sz w:val="20"/>
        </w:rPr>
        <w:t>o</w:t>
      </w:r>
      <w:r>
        <w:rPr>
          <w:spacing w:val="36"/>
          <w:sz w:val="20"/>
        </w:rPr>
        <w:t> </w:t>
      </w:r>
      <w:r>
        <w:rPr>
          <w:sz w:val="20"/>
        </w:rPr>
        <w:t>adiestramiento</w:t>
      </w:r>
      <w:r>
        <w:rPr>
          <w:spacing w:val="36"/>
          <w:sz w:val="20"/>
        </w:rPr>
        <w:t> </w:t>
      </w:r>
      <w:r>
        <w:rPr>
          <w:sz w:val="20"/>
        </w:rPr>
        <w:t>inicial</w:t>
      </w:r>
      <w:r>
        <w:rPr>
          <w:spacing w:val="35"/>
          <w:sz w:val="20"/>
        </w:rPr>
        <w:t> </w:t>
      </w:r>
      <w:r>
        <w:rPr>
          <w:sz w:val="20"/>
        </w:rPr>
        <w:t>que</w:t>
      </w:r>
      <w:r>
        <w:rPr>
          <w:spacing w:val="35"/>
          <w:sz w:val="20"/>
        </w:rPr>
        <w:t> </w:t>
      </w:r>
      <w:r>
        <w:rPr>
          <w:sz w:val="20"/>
        </w:rPr>
        <w:t>se</w:t>
      </w:r>
      <w:r>
        <w:rPr>
          <w:spacing w:val="38"/>
          <w:sz w:val="20"/>
        </w:rPr>
        <w:t> </w:t>
      </w:r>
      <w:r>
        <w:rPr>
          <w:sz w:val="20"/>
        </w:rPr>
        <w:t>deba</w:t>
      </w:r>
      <w:r>
        <w:rPr>
          <w:spacing w:val="36"/>
          <w:sz w:val="20"/>
        </w:rPr>
        <w:t> </w:t>
      </w:r>
      <w:r>
        <w:rPr>
          <w:sz w:val="20"/>
        </w:rPr>
        <w:t>impartir</w:t>
      </w:r>
      <w:r>
        <w:rPr>
          <w:spacing w:val="37"/>
          <w:sz w:val="20"/>
        </w:rPr>
        <w:t> </w:t>
      </w:r>
      <w:r>
        <w:rPr>
          <w:sz w:val="20"/>
        </w:rPr>
        <w:t>a</w:t>
      </w:r>
      <w:r>
        <w:rPr>
          <w:spacing w:val="36"/>
          <w:sz w:val="20"/>
        </w:rPr>
        <w:t> </w:t>
      </w:r>
      <w:r>
        <w:rPr>
          <w:sz w:val="20"/>
        </w:rPr>
        <w:t>quienes vayan a ingresar a laborar a la empresa o establecimiento;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7"/>
        <w:rPr>
          <w:rFonts w:ascii="Times New Roman"/>
          <w:i/>
          <w:sz w:val="16"/>
        </w:rPr>
      </w:pPr>
    </w:p>
    <w:p>
      <w:pPr>
        <w:pStyle w:val="ListParagraph"/>
        <w:numPr>
          <w:ilvl w:val="0"/>
          <w:numId w:val="127"/>
        </w:numPr>
        <w:tabs>
          <w:tab w:pos="1195" w:val="left" w:leader="none"/>
        </w:tabs>
        <w:spacing w:line="242" w:lineRule="auto" w:before="0" w:after="0"/>
        <w:ind w:left="1195" w:right="343" w:hanging="569"/>
        <w:jc w:val="left"/>
        <w:rPr>
          <w:sz w:val="20"/>
        </w:rPr>
      </w:pPr>
      <w:r>
        <w:rPr>
          <w:sz w:val="20"/>
        </w:rPr>
        <w:t>Las bases sobre</w:t>
      </w:r>
      <w:r>
        <w:rPr>
          <w:spacing w:val="24"/>
          <w:sz w:val="20"/>
        </w:rPr>
        <w:t> </w:t>
      </w:r>
      <w:r>
        <w:rPr>
          <w:sz w:val="20"/>
        </w:rPr>
        <w:t>la</w:t>
      </w:r>
      <w:r>
        <w:rPr>
          <w:spacing w:val="24"/>
          <w:sz w:val="20"/>
        </w:rPr>
        <w:t> </w:t>
      </w:r>
      <w:r>
        <w:rPr>
          <w:sz w:val="20"/>
        </w:rPr>
        <w:t>integración</w:t>
      </w:r>
      <w:r>
        <w:rPr>
          <w:spacing w:val="25"/>
          <w:sz w:val="20"/>
        </w:rPr>
        <w:t> </w:t>
      </w:r>
      <w:r>
        <w:rPr>
          <w:sz w:val="20"/>
        </w:rPr>
        <w:t>y funcionamiento</w:t>
      </w:r>
      <w:r>
        <w:rPr>
          <w:spacing w:val="24"/>
          <w:sz w:val="20"/>
        </w:rPr>
        <w:t> </w:t>
      </w:r>
      <w:r>
        <w:rPr>
          <w:sz w:val="20"/>
        </w:rPr>
        <w:t>de</w:t>
      </w:r>
      <w:r>
        <w:rPr>
          <w:spacing w:val="24"/>
          <w:sz w:val="20"/>
        </w:rPr>
        <w:t> </w:t>
      </w:r>
      <w:r>
        <w:rPr>
          <w:sz w:val="20"/>
        </w:rPr>
        <w:t>las Comisiones</w:t>
      </w:r>
      <w:r>
        <w:rPr>
          <w:spacing w:val="25"/>
          <w:sz w:val="20"/>
        </w:rPr>
        <w:t> </w:t>
      </w:r>
      <w:r>
        <w:rPr>
          <w:sz w:val="20"/>
        </w:rPr>
        <w:t>que</w:t>
      </w:r>
      <w:r>
        <w:rPr>
          <w:spacing w:val="24"/>
          <w:sz w:val="20"/>
        </w:rPr>
        <w:t> </w:t>
      </w:r>
      <w:r>
        <w:rPr>
          <w:sz w:val="20"/>
        </w:rPr>
        <w:t>deban</w:t>
      </w:r>
      <w:r>
        <w:rPr>
          <w:spacing w:val="24"/>
          <w:sz w:val="20"/>
        </w:rPr>
        <w:t> </w:t>
      </w:r>
      <w:r>
        <w:rPr>
          <w:sz w:val="20"/>
        </w:rPr>
        <w:t>integrarse</w:t>
      </w:r>
      <w:r>
        <w:rPr>
          <w:spacing w:val="24"/>
          <w:sz w:val="20"/>
        </w:rPr>
        <w:t> </w:t>
      </w:r>
      <w:r>
        <w:rPr>
          <w:sz w:val="20"/>
        </w:rPr>
        <w:t>de acuerdo con esta Ley;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2"/>
        <w:rPr>
          <w:rFonts w:ascii="Times New Roman"/>
          <w:i/>
        </w:rPr>
      </w:pPr>
    </w:p>
    <w:p>
      <w:pPr>
        <w:pStyle w:val="ListParagraph"/>
        <w:numPr>
          <w:ilvl w:val="0"/>
          <w:numId w:val="127"/>
        </w:numPr>
        <w:tabs>
          <w:tab w:pos="1195" w:val="left" w:leader="none"/>
        </w:tabs>
        <w:spacing w:line="240" w:lineRule="auto" w:before="0" w:after="0"/>
        <w:ind w:left="1195" w:right="0" w:hanging="569"/>
        <w:jc w:val="left"/>
        <w:rPr>
          <w:sz w:val="20"/>
        </w:rPr>
      </w:pPr>
      <w:r>
        <w:rPr>
          <w:sz w:val="20"/>
        </w:rPr>
        <w:t>Las</w:t>
      </w:r>
      <w:r>
        <w:rPr>
          <w:spacing w:val="-9"/>
          <w:sz w:val="20"/>
        </w:rPr>
        <w:t> </w:t>
      </w:r>
      <w:r>
        <w:rPr>
          <w:sz w:val="20"/>
        </w:rPr>
        <w:t>demás</w:t>
      </w:r>
      <w:r>
        <w:rPr>
          <w:spacing w:val="-8"/>
          <w:sz w:val="20"/>
        </w:rPr>
        <w:t> </w:t>
      </w:r>
      <w:r>
        <w:rPr>
          <w:sz w:val="20"/>
        </w:rPr>
        <w:t>estipulaciones</w:t>
      </w:r>
      <w:r>
        <w:rPr>
          <w:spacing w:val="-6"/>
          <w:sz w:val="20"/>
        </w:rPr>
        <w:t> </w:t>
      </w:r>
      <w:r>
        <w:rPr>
          <w:sz w:val="20"/>
        </w:rPr>
        <w:t>que</w:t>
      </w:r>
      <w:r>
        <w:rPr>
          <w:spacing w:val="-9"/>
          <w:sz w:val="20"/>
        </w:rPr>
        <w:t> </w:t>
      </w:r>
      <w:r>
        <w:rPr>
          <w:sz w:val="20"/>
        </w:rPr>
        <w:t>convengan</w:t>
      </w:r>
      <w:r>
        <w:rPr>
          <w:spacing w:val="-8"/>
          <w:sz w:val="20"/>
        </w:rPr>
        <w:t> </w:t>
      </w:r>
      <w:r>
        <w:rPr>
          <w:sz w:val="20"/>
        </w:rPr>
        <w:t>las</w:t>
      </w:r>
      <w:r>
        <w:rPr>
          <w:spacing w:val="-8"/>
          <w:sz w:val="20"/>
        </w:rPr>
        <w:t> </w:t>
      </w:r>
      <w:r>
        <w:rPr>
          <w:spacing w:val="-2"/>
          <w:sz w:val="20"/>
        </w:rPr>
        <w:t>partes.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1"/>
        <w:rPr>
          <w:rFonts w:ascii="Times New Roman"/>
          <w:i/>
        </w:rPr>
      </w:pPr>
    </w:p>
    <w:p>
      <w:pPr>
        <w:pStyle w:val="BodyText"/>
        <w:ind w:left="338" w:right="346" w:firstLine="288"/>
        <w:jc w:val="both"/>
      </w:pPr>
      <w:r>
        <w:rPr/>
        <w:t>Los contratos colectivos no podrán contener cláusula de exclusión por separación, entendiéndose como tal la que establece que aquellos trabajadores que dejen de pertenecer al sindicato por renuncia o expulsión del mismo, puedan ser separados de su empleo sin responsabilidad para el patrón.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BodyText"/>
        <w:ind w:left="338" w:right="340" w:firstLine="288"/>
        <w:jc w:val="both"/>
      </w:pPr>
      <w:r>
        <w:rPr/>
        <w:t>El Centro Federal de Conciliación y Registro Laboral deberá expedir a quien lo solicite por escrito y pague los derechos correspondientes, copia certificada del texto más reciente del contrato colectivo y/o tabuladores que haya sido registrado.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6" w:firstLine="288"/>
        <w:jc w:val="both"/>
      </w:pPr>
      <w:r>
        <w:rPr/>
        <w:t>A solicitud de las partes, el Centro Federal de Conciliación y Registro Laboral, dentro de los tres días siguientes</w:t>
      </w:r>
      <w:r>
        <w:rPr>
          <w:spacing w:val="-1"/>
        </w:rPr>
        <w:t> </w:t>
      </w:r>
      <w:r>
        <w:rPr/>
        <w:t>a</w:t>
      </w:r>
      <w:r>
        <w:rPr>
          <w:spacing w:val="-2"/>
        </w:rPr>
        <w:t> </w:t>
      </w:r>
      <w:r>
        <w:rPr/>
        <w:t>que</w:t>
      </w:r>
      <w:r>
        <w:rPr>
          <w:spacing w:val="-2"/>
        </w:rPr>
        <w:t> </w:t>
      </w:r>
      <w:r>
        <w:rPr/>
        <w:t>ésta</w:t>
      </w:r>
      <w:r>
        <w:rPr>
          <w:spacing w:val="-2"/>
        </w:rPr>
        <w:t> </w:t>
      </w:r>
      <w:r>
        <w:rPr/>
        <w:t>se presente emitirá</w:t>
      </w:r>
      <w:r>
        <w:rPr>
          <w:spacing w:val="-2"/>
        </w:rPr>
        <w:t> </w:t>
      </w:r>
      <w:r>
        <w:rPr/>
        <w:t>el</w:t>
      </w:r>
      <w:r>
        <w:rPr>
          <w:spacing w:val="-3"/>
        </w:rPr>
        <w:t> </w:t>
      </w:r>
      <w:r>
        <w:rPr/>
        <w:t>Certificado</w:t>
      </w:r>
      <w:r>
        <w:rPr>
          <w:spacing w:val="-2"/>
        </w:rPr>
        <w:t> </w:t>
      </w:r>
      <w:r>
        <w:rPr/>
        <w:t>de</w:t>
      </w:r>
      <w:r>
        <w:rPr>
          <w:spacing w:val="-3"/>
        </w:rPr>
        <w:t> </w:t>
      </w:r>
      <w:r>
        <w:rPr/>
        <w:t>Registro del</w:t>
      </w:r>
      <w:r>
        <w:rPr>
          <w:spacing w:val="-3"/>
        </w:rPr>
        <w:t> </w:t>
      </w:r>
      <w:r>
        <w:rPr/>
        <w:t>Contrato Colectivo</w:t>
      </w:r>
      <w:r>
        <w:rPr>
          <w:spacing w:val="-2"/>
        </w:rPr>
        <w:t> </w:t>
      </w:r>
      <w:r>
        <w:rPr/>
        <w:t>de</w:t>
      </w:r>
      <w:r>
        <w:rPr>
          <w:spacing w:val="-3"/>
        </w:rPr>
        <w:t> </w:t>
      </w:r>
      <w:r>
        <w:rPr/>
        <w:t>Trabajo</w:t>
      </w:r>
      <w:r>
        <w:rPr>
          <w:spacing w:val="-2"/>
        </w:rPr>
        <w:t> </w:t>
      </w:r>
      <w:r>
        <w:rPr/>
        <w:t>que </w:t>
      </w:r>
      <w:r>
        <w:rPr>
          <w:spacing w:val="-2"/>
        </w:rPr>
        <w:t>contendrá:</w:t>
      </w:r>
    </w:p>
    <w:p>
      <w:pPr>
        <w:pStyle w:val="ListParagraph"/>
        <w:numPr>
          <w:ilvl w:val="0"/>
          <w:numId w:val="128"/>
        </w:numPr>
        <w:tabs>
          <w:tab w:pos="1195" w:val="left" w:leader="none"/>
        </w:tabs>
        <w:spacing w:line="240" w:lineRule="auto" w:before="229" w:after="0"/>
        <w:ind w:left="1195" w:right="0" w:hanging="569"/>
        <w:jc w:val="left"/>
        <w:rPr>
          <w:sz w:val="20"/>
        </w:rPr>
      </w:pPr>
      <w:r>
        <w:rPr>
          <w:sz w:val="20"/>
        </w:rPr>
        <w:t>Número</w:t>
      </w:r>
      <w:r>
        <w:rPr>
          <w:spacing w:val="-7"/>
          <w:sz w:val="20"/>
        </w:rPr>
        <w:t> </w:t>
      </w:r>
      <w:r>
        <w:rPr>
          <w:sz w:val="20"/>
        </w:rPr>
        <w:t>o</w:t>
      </w:r>
      <w:r>
        <w:rPr>
          <w:spacing w:val="-6"/>
          <w:sz w:val="20"/>
        </w:rPr>
        <w:t> </w:t>
      </w:r>
      <w:r>
        <w:rPr>
          <w:sz w:val="20"/>
        </w:rPr>
        <w:t>folio</w:t>
      </w:r>
      <w:r>
        <w:rPr>
          <w:spacing w:val="-6"/>
          <w:sz w:val="20"/>
        </w:rPr>
        <w:t> </w:t>
      </w:r>
      <w:r>
        <w:rPr>
          <w:sz w:val="20"/>
        </w:rPr>
        <w:t>del</w:t>
      </w:r>
      <w:r>
        <w:rPr>
          <w:spacing w:val="-6"/>
          <w:sz w:val="20"/>
        </w:rPr>
        <w:t> </w:t>
      </w:r>
      <w:r>
        <w:rPr>
          <w:sz w:val="20"/>
        </w:rPr>
        <w:t>expediente</w:t>
      </w:r>
      <w:r>
        <w:rPr>
          <w:spacing w:val="-7"/>
          <w:sz w:val="20"/>
        </w:rPr>
        <w:t> </w:t>
      </w:r>
      <w:r>
        <w:rPr>
          <w:sz w:val="20"/>
        </w:rPr>
        <w:t>de</w:t>
      </w:r>
      <w:r>
        <w:rPr>
          <w:spacing w:val="-6"/>
          <w:sz w:val="20"/>
        </w:rPr>
        <w:t> </w:t>
      </w:r>
      <w:r>
        <w:rPr>
          <w:spacing w:val="-2"/>
          <w:sz w:val="20"/>
        </w:rPr>
        <w:t>registro;</w:t>
      </w:r>
    </w:p>
    <w:p>
      <w:pPr>
        <w:pStyle w:val="ListParagraph"/>
        <w:numPr>
          <w:ilvl w:val="0"/>
          <w:numId w:val="128"/>
        </w:numPr>
        <w:tabs>
          <w:tab w:pos="1195" w:val="left" w:leader="none"/>
        </w:tabs>
        <w:spacing w:line="240" w:lineRule="auto" w:before="229" w:after="0"/>
        <w:ind w:left="1195" w:right="0" w:hanging="569"/>
        <w:jc w:val="left"/>
        <w:rPr>
          <w:sz w:val="20"/>
        </w:rPr>
      </w:pPr>
      <w:r>
        <w:rPr>
          <w:sz w:val="20"/>
        </w:rPr>
        <w:t>Las</w:t>
      </w:r>
      <w:r>
        <w:rPr>
          <w:spacing w:val="-7"/>
          <w:sz w:val="20"/>
        </w:rPr>
        <w:t> </w:t>
      </w:r>
      <w:r>
        <w:rPr>
          <w:sz w:val="20"/>
        </w:rPr>
        <w:t>partes</w:t>
      </w:r>
      <w:r>
        <w:rPr>
          <w:spacing w:val="-6"/>
          <w:sz w:val="20"/>
        </w:rPr>
        <w:t> </w:t>
      </w:r>
      <w:r>
        <w:rPr>
          <w:spacing w:val="-2"/>
          <w:sz w:val="20"/>
        </w:rPr>
        <w:t>celebrantes;</w:t>
      </w:r>
    </w:p>
    <w:p>
      <w:pPr>
        <w:pStyle w:val="BodyText"/>
        <w:spacing w:before="1"/>
      </w:pPr>
    </w:p>
    <w:p>
      <w:pPr>
        <w:pStyle w:val="ListParagraph"/>
        <w:numPr>
          <w:ilvl w:val="0"/>
          <w:numId w:val="128"/>
        </w:numPr>
        <w:tabs>
          <w:tab w:pos="1195" w:val="left" w:leader="none"/>
        </w:tabs>
        <w:spacing w:line="240" w:lineRule="auto" w:before="0" w:after="0"/>
        <w:ind w:left="1195" w:right="0" w:hanging="569"/>
        <w:jc w:val="left"/>
        <w:rPr>
          <w:sz w:val="20"/>
        </w:rPr>
      </w:pPr>
      <w:r>
        <w:rPr>
          <w:sz w:val="20"/>
        </w:rPr>
        <w:t>Domicilio,</w:t>
      </w:r>
      <w:r>
        <w:rPr>
          <w:spacing w:val="-2"/>
          <w:sz w:val="20"/>
        </w:rPr>
        <w:t> </w:t>
      </w:r>
      <w:r>
        <w:rPr>
          <w:sz w:val="20"/>
        </w:rPr>
        <w:t>y</w:t>
      </w:r>
      <w:r>
        <w:rPr>
          <w:spacing w:val="-6"/>
          <w:sz w:val="20"/>
        </w:rPr>
        <w:t> </w:t>
      </w:r>
      <w:r>
        <w:rPr>
          <w:sz w:val="20"/>
        </w:rPr>
        <w:t>en</w:t>
      </w:r>
      <w:r>
        <w:rPr>
          <w:spacing w:val="-6"/>
          <w:sz w:val="20"/>
        </w:rPr>
        <w:t> </w:t>
      </w:r>
      <w:r>
        <w:rPr>
          <w:sz w:val="20"/>
        </w:rPr>
        <w:t>su</w:t>
      </w:r>
      <w:r>
        <w:rPr>
          <w:spacing w:val="-6"/>
          <w:sz w:val="20"/>
        </w:rPr>
        <w:t> </w:t>
      </w:r>
      <w:r>
        <w:rPr>
          <w:sz w:val="20"/>
        </w:rPr>
        <w:t>caso</w:t>
      </w:r>
      <w:r>
        <w:rPr>
          <w:spacing w:val="-3"/>
          <w:sz w:val="20"/>
        </w:rPr>
        <w:t> </w:t>
      </w:r>
      <w:r>
        <w:rPr>
          <w:sz w:val="20"/>
        </w:rPr>
        <w:t>el</w:t>
      </w:r>
      <w:r>
        <w:rPr>
          <w:spacing w:val="-4"/>
          <w:sz w:val="20"/>
        </w:rPr>
        <w:t> </w:t>
      </w:r>
      <w:r>
        <w:rPr>
          <w:sz w:val="20"/>
        </w:rPr>
        <w:t>buzón</w:t>
      </w:r>
      <w:r>
        <w:rPr>
          <w:spacing w:val="-6"/>
          <w:sz w:val="20"/>
        </w:rPr>
        <w:t> </w:t>
      </w:r>
      <w:r>
        <w:rPr>
          <w:sz w:val="20"/>
        </w:rPr>
        <w:t>electrónico</w:t>
      </w:r>
      <w:r>
        <w:rPr>
          <w:spacing w:val="-5"/>
          <w:sz w:val="20"/>
        </w:rPr>
        <w:t> </w:t>
      </w:r>
      <w:r>
        <w:rPr>
          <w:sz w:val="20"/>
        </w:rPr>
        <w:t>de</w:t>
      </w:r>
      <w:r>
        <w:rPr>
          <w:spacing w:val="-5"/>
          <w:sz w:val="20"/>
        </w:rPr>
        <w:t> </w:t>
      </w:r>
      <w:r>
        <w:rPr>
          <w:sz w:val="20"/>
        </w:rPr>
        <w:t>cada</w:t>
      </w:r>
      <w:r>
        <w:rPr>
          <w:spacing w:val="-5"/>
          <w:sz w:val="20"/>
        </w:rPr>
        <w:t> </w:t>
      </w:r>
      <w:r>
        <w:rPr>
          <w:sz w:val="20"/>
        </w:rPr>
        <w:t>una</w:t>
      </w:r>
      <w:r>
        <w:rPr>
          <w:spacing w:val="-7"/>
          <w:sz w:val="20"/>
        </w:rPr>
        <w:t> </w:t>
      </w:r>
      <w:r>
        <w:rPr>
          <w:sz w:val="20"/>
        </w:rPr>
        <w:t>de</w:t>
      </w:r>
      <w:r>
        <w:rPr>
          <w:spacing w:val="-5"/>
          <w:sz w:val="20"/>
        </w:rPr>
        <w:t> </w:t>
      </w:r>
      <w:r>
        <w:rPr>
          <w:sz w:val="20"/>
        </w:rPr>
        <w:t>las</w:t>
      </w:r>
      <w:r>
        <w:rPr>
          <w:spacing w:val="-4"/>
          <w:sz w:val="20"/>
        </w:rPr>
        <w:t> </w:t>
      </w:r>
      <w:r>
        <w:rPr>
          <w:spacing w:val="-2"/>
          <w:sz w:val="20"/>
        </w:rPr>
        <w:t>partes;</w:t>
      </w:r>
    </w:p>
    <w:p>
      <w:pPr>
        <w:pStyle w:val="BodyText"/>
        <w:spacing w:before="1"/>
      </w:pPr>
    </w:p>
    <w:p>
      <w:pPr>
        <w:pStyle w:val="ListParagraph"/>
        <w:numPr>
          <w:ilvl w:val="0"/>
          <w:numId w:val="128"/>
        </w:numPr>
        <w:tabs>
          <w:tab w:pos="1195" w:val="left" w:leader="none"/>
        </w:tabs>
        <w:spacing w:line="240" w:lineRule="auto" w:before="0" w:after="0"/>
        <w:ind w:left="1195" w:right="0" w:hanging="569"/>
        <w:jc w:val="left"/>
        <w:rPr>
          <w:sz w:val="20"/>
        </w:rPr>
      </w:pPr>
      <w:r>
        <w:rPr>
          <w:sz w:val="20"/>
        </w:rPr>
        <w:t>Ámbito</w:t>
      </w:r>
      <w:r>
        <w:rPr>
          <w:spacing w:val="-9"/>
          <w:sz w:val="20"/>
        </w:rPr>
        <w:t> </w:t>
      </w:r>
      <w:r>
        <w:rPr>
          <w:sz w:val="20"/>
        </w:rPr>
        <w:t>de</w:t>
      </w:r>
      <w:r>
        <w:rPr>
          <w:spacing w:val="-7"/>
          <w:sz w:val="20"/>
        </w:rPr>
        <w:t> </w:t>
      </w:r>
      <w:r>
        <w:rPr>
          <w:sz w:val="20"/>
        </w:rPr>
        <w:t>aplicación</w:t>
      </w:r>
      <w:r>
        <w:rPr>
          <w:spacing w:val="-7"/>
          <w:sz w:val="20"/>
        </w:rPr>
        <w:t> </w:t>
      </w:r>
      <w:r>
        <w:rPr>
          <w:sz w:val="20"/>
        </w:rPr>
        <w:t>del</w:t>
      </w:r>
      <w:r>
        <w:rPr>
          <w:spacing w:val="-7"/>
          <w:sz w:val="20"/>
        </w:rPr>
        <w:t> </w:t>
      </w:r>
      <w:r>
        <w:rPr>
          <w:spacing w:val="-2"/>
          <w:sz w:val="20"/>
        </w:rPr>
        <w:t>Contrato;</w:t>
      </w:r>
    </w:p>
    <w:p>
      <w:pPr>
        <w:pStyle w:val="ListParagraph"/>
        <w:numPr>
          <w:ilvl w:val="0"/>
          <w:numId w:val="128"/>
        </w:numPr>
        <w:tabs>
          <w:tab w:pos="1195" w:val="left" w:leader="none"/>
        </w:tabs>
        <w:spacing w:line="240" w:lineRule="auto" w:before="228" w:after="0"/>
        <w:ind w:left="1195" w:right="0" w:hanging="569"/>
        <w:jc w:val="left"/>
        <w:rPr>
          <w:sz w:val="20"/>
        </w:rPr>
      </w:pPr>
      <w:r>
        <w:rPr>
          <w:sz w:val="20"/>
        </w:rPr>
        <w:t>Fecha</w:t>
      </w:r>
      <w:r>
        <w:rPr>
          <w:spacing w:val="-8"/>
          <w:sz w:val="20"/>
        </w:rPr>
        <w:t> </w:t>
      </w:r>
      <w:r>
        <w:rPr>
          <w:sz w:val="20"/>
        </w:rPr>
        <w:t>de</w:t>
      </w:r>
      <w:r>
        <w:rPr>
          <w:spacing w:val="-6"/>
          <w:sz w:val="20"/>
        </w:rPr>
        <w:t> </w:t>
      </w:r>
      <w:r>
        <w:rPr>
          <w:sz w:val="20"/>
        </w:rPr>
        <w:t>la</w:t>
      </w:r>
      <w:r>
        <w:rPr>
          <w:spacing w:val="-5"/>
          <w:sz w:val="20"/>
        </w:rPr>
        <w:t> </w:t>
      </w:r>
      <w:r>
        <w:rPr>
          <w:sz w:val="20"/>
        </w:rPr>
        <w:t>última</w:t>
      </w:r>
      <w:r>
        <w:rPr>
          <w:spacing w:val="-7"/>
          <w:sz w:val="20"/>
        </w:rPr>
        <w:t> </w:t>
      </w:r>
      <w:r>
        <w:rPr>
          <w:sz w:val="20"/>
        </w:rPr>
        <w:t>revisión,</w:t>
      </w:r>
      <w:r>
        <w:rPr>
          <w:spacing w:val="-4"/>
          <w:sz w:val="20"/>
        </w:rPr>
        <w:t> </w:t>
      </w:r>
      <w:r>
        <w:rPr>
          <w:spacing w:val="-10"/>
          <w:sz w:val="20"/>
        </w:rPr>
        <w:t>y</w:t>
      </w:r>
    </w:p>
    <w:p>
      <w:pPr>
        <w:pStyle w:val="BodyText"/>
        <w:spacing w:before="1"/>
      </w:pPr>
    </w:p>
    <w:p>
      <w:pPr>
        <w:pStyle w:val="ListParagraph"/>
        <w:numPr>
          <w:ilvl w:val="0"/>
          <w:numId w:val="128"/>
        </w:numPr>
        <w:tabs>
          <w:tab w:pos="1195" w:val="left" w:leader="none"/>
        </w:tabs>
        <w:spacing w:line="240" w:lineRule="auto" w:before="0" w:after="0"/>
        <w:ind w:left="1195" w:right="0" w:hanging="569"/>
        <w:jc w:val="left"/>
        <w:rPr>
          <w:sz w:val="20"/>
        </w:rPr>
      </w:pPr>
      <w:r>
        <w:rPr>
          <w:sz w:val="20"/>
        </w:rPr>
        <w:t>Período</w:t>
      </w:r>
      <w:r>
        <w:rPr>
          <w:spacing w:val="-8"/>
          <w:sz w:val="20"/>
        </w:rPr>
        <w:t> </w:t>
      </w:r>
      <w:r>
        <w:rPr>
          <w:sz w:val="20"/>
        </w:rPr>
        <w:t>de</w:t>
      </w:r>
      <w:r>
        <w:rPr>
          <w:spacing w:val="-4"/>
          <w:sz w:val="20"/>
        </w:rPr>
        <w:t> </w:t>
      </w:r>
      <w:r>
        <w:rPr>
          <w:sz w:val="20"/>
        </w:rPr>
        <w:t>vigencia</w:t>
      </w:r>
      <w:r>
        <w:rPr>
          <w:spacing w:val="-7"/>
          <w:sz w:val="20"/>
        </w:rPr>
        <w:t> </w:t>
      </w:r>
      <w:r>
        <w:rPr>
          <w:sz w:val="20"/>
        </w:rPr>
        <w:t>del</w:t>
      </w:r>
      <w:r>
        <w:rPr>
          <w:spacing w:val="-7"/>
          <w:sz w:val="20"/>
        </w:rPr>
        <w:t> </w:t>
      </w:r>
      <w:r>
        <w:rPr>
          <w:sz w:val="20"/>
        </w:rPr>
        <w:t>contrato</w:t>
      </w:r>
      <w:r>
        <w:rPr>
          <w:spacing w:val="-8"/>
          <w:sz w:val="20"/>
        </w:rPr>
        <w:t> </w:t>
      </w:r>
      <w:r>
        <w:rPr>
          <w:sz w:val="20"/>
        </w:rPr>
        <w:t>colectivo</w:t>
      </w:r>
      <w:r>
        <w:rPr>
          <w:spacing w:val="-4"/>
          <w:sz w:val="20"/>
        </w:rPr>
        <w:t> </w:t>
      </w:r>
      <w:r>
        <w:rPr>
          <w:sz w:val="20"/>
        </w:rPr>
        <w:t>y</w:t>
      </w:r>
      <w:r>
        <w:rPr>
          <w:spacing w:val="-9"/>
          <w:sz w:val="20"/>
        </w:rPr>
        <w:t> </w:t>
      </w:r>
      <w:r>
        <w:rPr>
          <w:sz w:val="20"/>
        </w:rPr>
        <w:t>su</w:t>
      </w:r>
      <w:r>
        <w:rPr>
          <w:spacing w:val="-7"/>
          <w:sz w:val="20"/>
        </w:rPr>
        <w:t> </w:t>
      </w:r>
      <w:r>
        <w:rPr>
          <w:spacing w:val="-2"/>
          <w:sz w:val="20"/>
        </w:rPr>
        <w:t>tabulador.</w:t>
      </w:r>
    </w:p>
    <w:p>
      <w:pPr>
        <w:spacing w:before="1"/>
        <w:ind w:left="634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8"/>
          <w:sz w:val="16"/>
        </w:rPr>
        <w:t> </w:t>
      </w:r>
      <w:r>
        <w:rPr>
          <w:rFonts w:ascii="Times New Roman" w:hAnsi="Times New Roman"/>
          <w:i/>
          <w:color w:val="0000FF"/>
          <w:sz w:val="16"/>
        </w:rPr>
        <w:t>fracciones</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line="242" w:lineRule="auto" w:before="229"/>
        <w:ind w:left="338" w:right="332" w:firstLine="288"/>
        <w:jc w:val="both"/>
      </w:pPr>
      <w:bookmarkStart w:name="Artículo_391_Bis" w:id="517"/>
      <w:bookmarkEnd w:id="517"/>
      <w:r>
        <w:rPr/>
      </w:r>
      <w:r>
        <w:rPr>
          <w:rFonts w:ascii="Arial" w:hAnsi="Arial"/>
          <w:b/>
        </w:rPr>
        <w:t>Artículo 391 Bis.- </w:t>
      </w:r>
      <w:r>
        <w:rPr/>
        <w:t>La Autoridad Registral hará pública, para consulta de cualquier persona, la información de los contratos colectivos de trabajo que se encuentren depositados ante la misma. Asimismo, deberá expedir copias de dichos documentos</w:t>
      </w:r>
      <w:r>
        <w:rPr>
          <w:rFonts w:ascii="Arial" w:hAnsi="Arial"/>
          <w:b/>
        </w:rPr>
        <w:t>, </w:t>
      </w:r>
      <w:r>
        <w:rPr/>
        <w:t>en términos de lo dispuesto por la Ley General de Transparencia y Acceso a la Información Pública.</w:t>
      </w:r>
    </w:p>
    <w:p>
      <w:pPr>
        <w:pStyle w:val="BodyText"/>
        <w:spacing w:before="222"/>
        <w:ind w:left="338" w:right="344" w:firstLine="288"/>
        <w:jc w:val="both"/>
      </w:pPr>
      <w:r>
        <w:rPr/>
        <w:t>De preferencia, el texto íntegro de las versiones públicas de los contratos colectivos de trabajo deberá estar disponible en forma gratuita en el sitio de Internet de la Autoridad Registral.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338" w:right="341" w:firstLine="288"/>
        <w:jc w:val="both"/>
      </w:pPr>
      <w:bookmarkStart w:name="Artículo_392" w:id="518"/>
      <w:bookmarkEnd w:id="518"/>
      <w:r>
        <w:rPr/>
      </w:r>
      <w:r>
        <w:rPr>
          <w:rFonts w:ascii="Arial" w:hAnsi="Arial"/>
          <w:b/>
        </w:rPr>
        <w:t>Artículo 392.- </w:t>
      </w:r>
      <w:r>
        <w:rPr/>
        <w:t>En los contratos colectivos podrá establecerse la organización de comisiones mixtas para el cumplimiento de determinadas funciones sociales y económicas. Sus resoluciones serán ejecutadas por los Tribunales, en los casos en que las partes las declaren obligatorias.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1" w:firstLine="288"/>
        <w:jc w:val="both"/>
      </w:pPr>
      <w:bookmarkStart w:name="Artículo_393" w:id="519"/>
      <w:bookmarkEnd w:id="519"/>
      <w:r>
        <w:rPr/>
      </w:r>
      <w:r>
        <w:rPr>
          <w:rFonts w:ascii="Arial" w:hAnsi="Arial"/>
          <w:b/>
        </w:rPr>
        <w:t>Artículo 393.- </w:t>
      </w:r>
      <w:r>
        <w:rPr/>
        <w:t>No producirá efectos de contrato colectivo el convenio al que falte la determinación de los salarios. Si faltan las estipulaciones sobre jornada de trabajo, días de descanso y vacaciones, se aplicarán las disposiciones legales.</w:t>
      </w:r>
    </w:p>
    <w:p>
      <w:pPr>
        <w:pStyle w:val="BodyText"/>
        <w:spacing w:line="242" w:lineRule="auto" w:before="225"/>
        <w:ind w:left="338" w:right="339" w:firstLine="288"/>
        <w:jc w:val="both"/>
      </w:pPr>
      <w:bookmarkStart w:name="Artículo_394" w:id="520"/>
      <w:bookmarkEnd w:id="520"/>
      <w:r>
        <w:rPr/>
      </w:r>
      <w:r>
        <w:rPr>
          <w:rFonts w:ascii="Arial" w:hAnsi="Arial"/>
          <w:b/>
        </w:rPr>
        <w:t>Artículo 394.- </w:t>
      </w:r>
      <w:r>
        <w:rPr/>
        <w:t>El contrato colectivo no podrá concertarse en condiciones menos favorables para los trabajadores que las contenidas en contratos vigentes en la empresa o establecimiento.</w:t>
      </w:r>
    </w:p>
    <w:p>
      <w:pPr>
        <w:pStyle w:val="BodyText"/>
        <w:spacing w:before="224"/>
        <w:ind w:left="338" w:right="341" w:firstLine="288"/>
        <w:jc w:val="both"/>
      </w:pPr>
      <w:bookmarkStart w:name="Artículo_395" w:id="521"/>
      <w:bookmarkEnd w:id="521"/>
      <w:r>
        <w:rPr/>
      </w:r>
      <w:r>
        <w:rPr>
          <w:rFonts w:ascii="Arial" w:hAnsi="Arial"/>
          <w:b/>
        </w:rPr>
        <w:t>Artículo 395.- </w:t>
      </w:r>
      <w:r>
        <w:rPr/>
        <w:t>En el contrato colectivo, podrá establecerse que el patrón admitirá exclusivamente como</w:t>
      </w:r>
      <w:r>
        <w:rPr>
          <w:spacing w:val="-2"/>
        </w:rPr>
        <w:t> </w:t>
      </w:r>
      <w:r>
        <w:rPr/>
        <w:t>trabajadores</w:t>
      </w:r>
      <w:r>
        <w:rPr>
          <w:spacing w:val="-1"/>
        </w:rPr>
        <w:t> </w:t>
      </w:r>
      <w:r>
        <w:rPr/>
        <w:t>a</w:t>
      </w:r>
      <w:r>
        <w:rPr>
          <w:spacing w:val="-2"/>
        </w:rPr>
        <w:t> </w:t>
      </w:r>
      <w:r>
        <w:rPr/>
        <w:t>quienes</w:t>
      </w:r>
      <w:r>
        <w:rPr>
          <w:spacing w:val="-1"/>
        </w:rPr>
        <w:t> </w:t>
      </w:r>
      <w:r>
        <w:rPr/>
        <w:t>sean</w:t>
      </w:r>
      <w:r>
        <w:rPr>
          <w:spacing w:val="-2"/>
        </w:rPr>
        <w:t> </w:t>
      </w:r>
      <w:r>
        <w:rPr/>
        <w:t>miembros del</w:t>
      </w:r>
      <w:r>
        <w:rPr>
          <w:spacing w:val="-3"/>
        </w:rPr>
        <w:t> </w:t>
      </w:r>
      <w:r>
        <w:rPr/>
        <w:t>sindicato</w:t>
      </w:r>
      <w:r>
        <w:rPr>
          <w:spacing w:val="-3"/>
        </w:rPr>
        <w:t> </w:t>
      </w:r>
      <w:r>
        <w:rPr/>
        <w:t>contratante. Esta</w:t>
      </w:r>
      <w:r>
        <w:rPr>
          <w:spacing w:val="-2"/>
        </w:rPr>
        <w:t> </w:t>
      </w:r>
      <w:r>
        <w:rPr/>
        <w:t>cláusula y</w:t>
      </w:r>
      <w:r>
        <w:rPr>
          <w:spacing w:val="-5"/>
        </w:rPr>
        <w:t> </w:t>
      </w:r>
      <w:r>
        <w:rPr/>
        <w:t>cualesquiera otras que establezcan privilegios en su favor, no podrán aplicarse en perjuicio de los trabajadores que no formen parte del sindicato y que ya presten sus servicios en la empresa o establecimiento con anterioridad a la fecha en que el sindicato solicite la celebración o revisión del contrato colectivo y la inclusión en él de la cláusula de exclusión. La sanción sindical impuesta al trabajador no podrá afectar su permanencia en el empleo o sus condiciones de trabajo.</w:t>
      </w:r>
    </w:p>
    <w:p>
      <w:pPr>
        <w:spacing w:before="1"/>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BodyText"/>
        <w:spacing w:line="242" w:lineRule="auto"/>
        <w:ind w:left="338" w:right="347" w:firstLine="288"/>
        <w:jc w:val="both"/>
      </w:pPr>
      <w:bookmarkStart w:name="Artículo_396" w:id="522"/>
      <w:bookmarkEnd w:id="522"/>
      <w:r>
        <w:rPr/>
      </w:r>
      <w:r>
        <w:rPr>
          <w:rFonts w:ascii="Arial" w:hAnsi="Arial"/>
          <w:b/>
        </w:rPr>
        <w:t>Artículo 396.- </w:t>
      </w:r>
      <w:r>
        <w:rPr/>
        <w:t>Las estipulaciones del contrato colectivo se extienden a todas las personas que trabajen</w:t>
      </w:r>
      <w:r>
        <w:rPr>
          <w:spacing w:val="-3"/>
        </w:rPr>
        <w:t> </w:t>
      </w:r>
      <w:r>
        <w:rPr/>
        <w:t>en</w:t>
      </w:r>
      <w:r>
        <w:rPr>
          <w:spacing w:val="-3"/>
        </w:rPr>
        <w:t> </w:t>
      </w:r>
      <w:r>
        <w:rPr/>
        <w:t>la</w:t>
      </w:r>
      <w:r>
        <w:rPr>
          <w:spacing w:val="-3"/>
        </w:rPr>
        <w:t> </w:t>
      </w:r>
      <w:r>
        <w:rPr/>
        <w:t>empresa</w:t>
      </w:r>
      <w:r>
        <w:rPr>
          <w:spacing w:val="-3"/>
        </w:rPr>
        <w:t> </w:t>
      </w:r>
      <w:r>
        <w:rPr/>
        <w:t>o</w:t>
      </w:r>
      <w:r>
        <w:rPr>
          <w:spacing w:val="-3"/>
        </w:rPr>
        <w:t> </w:t>
      </w:r>
      <w:r>
        <w:rPr/>
        <w:t>establecimiento,</w:t>
      </w:r>
      <w:r>
        <w:rPr>
          <w:spacing w:val="-3"/>
        </w:rPr>
        <w:t> </w:t>
      </w:r>
      <w:r>
        <w:rPr/>
        <w:t>aunque</w:t>
      </w:r>
      <w:r>
        <w:rPr>
          <w:spacing w:val="-3"/>
        </w:rPr>
        <w:t> </w:t>
      </w:r>
      <w:r>
        <w:rPr/>
        <w:t>no</w:t>
      </w:r>
      <w:r>
        <w:rPr>
          <w:spacing w:val="-1"/>
        </w:rPr>
        <w:t> </w:t>
      </w:r>
      <w:r>
        <w:rPr/>
        <w:t>sean</w:t>
      </w:r>
      <w:r>
        <w:rPr>
          <w:spacing w:val="-3"/>
        </w:rPr>
        <w:t> </w:t>
      </w:r>
      <w:r>
        <w:rPr/>
        <w:t>miembros</w:t>
      </w:r>
      <w:r>
        <w:rPr>
          <w:spacing w:val="-1"/>
        </w:rPr>
        <w:t> </w:t>
      </w:r>
      <w:r>
        <w:rPr/>
        <w:t>del</w:t>
      </w:r>
      <w:r>
        <w:rPr>
          <w:spacing w:val="-3"/>
        </w:rPr>
        <w:t> </w:t>
      </w:r>
      <w:r>
        <w:rPr/>
        <w:t>sindicato</w:t>
      </w:r>
      <w:r>
        <w:rPr>
          <w:spacing w:val="-3"/>
        </w:rPr>
        <w:t> </w:t>
      </w:r>
      <w:r>
        <w:rPr/>
        <w:t>que</w:t>
      </w:r>
      <w:r>
        <w:rPr>
          <w:spacing w:val="-3"/>
        </w:rPr>
        <w:t> </w:t>
      </w:r>
      <w:r>
        <w:rPr/>
        <w:t>lo</w:t>
      </w:r>
      <w:r>
        <w:rPr>
          <w:spacing w:val="-3"/>
        </w:rPr>
        <w:t> </w:t>
      </w:r>
      <w:r>
        <w:rPr/>
        <w:t>haya</w:t>
      </w:r>
      <w:r>
        <w:rPr>
          <w:spacing w:val="-3"/>
        </w:rPr>
        <w:t> </w:t>
      </w:r>
      <w:r>
        <w:rPr/>
        <w:t>celebrado, con la limitación consignada en el artículo 184.</w:t>
      </w:r>
    </w:p>
    <w:p>
      <w:pPr>
        <w:pStyle w:val="BodyText"/>
        <w:spacing w:line="242" w:lineRule="auto" w:before="225"/>
        <w:ind w:left="338" w:right="345" w:firstLine="288"/>
        <w:jc w:val="both"/>
      </w:pPr>
      <w:bookmarkStart w:name="Artículo_397" w:id="523"/>
      <w:bookmarkEnd w:id="523"/>
      <w:r>
        <w:rPr/>
      </w:r>
      <w:r>
        <w:rPr>
          <w:rFonts w:ascii="Arial" w:hAnsi="Arial"/>
          <w:b/>
        </w:rPr>
        <w:t>Artículo 397.- </w:t>
      </w:r>
      <w:r>
        <w:rPr/>
        <w:t>El contrato colectivo por tiempo determinado o indeterminado, o para obra</w:t>
      </w:r>
      <w:r>
        <w:rPr>
          <w:spacing w:val="40"/>
        </w:rPr>
        <w:t> </w:t>
      </w:r>
      <w:r>
        <w:rPr/>
        <w:t>determinada, será revisable total o parcialmente, de conformidad con lo dispuesto en el artículo 399.</w:t>
      </w:r>
    </w:p>
    <w:p>
      <w:pPr>
        <w:pStyle w:val="BodyText"/>
        <w:spacing w:before="224"/>
        <w:ind w:left="626"/>
      </w:pPr>
      <w:bookmarkStart w:name="Artículo_398" w:id="524"/>
      <w:bookmarkEnd w:id="524"/>
      <w:r>
        <w:rPr/>
      </w:r>
      <w:r>
        <w:rPr>
          <w:rFonts w:ascii="Arial" w:hAnsi="Arial"/>
          <w:b/>
        </w:rPr>
        <w:t>Artículo</w:t>
      </w:r>
      <w:r>
        <w:rPr>
          <w:rFonts w:ascii="Arial" w:hAnsi="Arial"/>
          <w:b/>
          <w:spacing w:val="-7"/>
        </w:rPr>
        <w:t> </w:t>
      </w:r>
      <w:r>
        <w:rPr>
          <w:rFonts w:ascii="Arial" w:hAnsi="Arial"/>
          <w:b/>
        </w:rPr>
        <w:t>398.-</w:t>
      </w:r>
      <w:r>
        <w:rPr>
          <w:rFonts w:ascii="Arial" w:hAnsi="Arial"/>
          <w:b/>
          <w:spacing w:val="-4"/>
        </w:rPr>
        <w:t> </w:t>
      </w:r>
      <w:r>
        <w:rPr/>
        <w:t>En</w:t>
      </w:r>
      <w:r>
        <w:rPr>
          <w:spacing w:val="-5"/>
        </w:rPr>
        <w:t> </w:t>
      </w:r>
      <w:r>
        <w:rPr/>
        <w:t>la</w:t>
      </w:r>
      <w:r>
        <w:rPr>
          <w:spacing w:val="-7"/>
        </w:rPr>
        <w:t> </w:t>
      </w:r>
      <w:r>
        <w:rPr/>
        <w:t>revisión</w:t>
      </w:r>
      <w:r>
        <w:rPr>
          <w:spacing w:val="-7"/>
        </w:rPr>
        <w:t> </w:t>
      </w:r>
      <w:r>
        <w:rPr/>
        <w:t>del</w:t>
      </w:r>
      <w:r>
        <w:rPr>
          <w:spacing w:val="-8"/>
        </w:rPr>
        <w:t> </w:t>
      </w:r>
      <w:r>
        <w:rPr/>
        <w:t>contrato</w:t>
      </w:r>
      <w:r>
        <w:rPr>
          <w:spacing w:val="-8"/>
        </w:rPr>
        <w:t> </w:t>
      </w:r>
      <w:r>
        <w:rPr/>
        <w:t>colectivo</w:t>
      </w:r>
      <w:r>
        <w:rPr>
          <w:spacing w:val="-5"/>
        </w:rPr>
        <w:t> </w:t>
      </w:r>
      <w:r>
        <w:rPr/>
        <w:t>se</w:t>
      </w:r>
      <w:r>
        <w:rPr>
          <w:spacing w:val="-5"/>
        </w:rPr>
        <w:t> </w:t>
      </w:r>
      <w:r>
        <w:rPr/>
        <w:t>observarán</w:t>
      </w:r>
      <w:r>
        <w:rPr>
          <w:spacing w:val="-6"/>
        </w:rPr>
        <w:t> </w:t>
      </w:r>
      <w:r>
        <w:rPr/>
        <w:t>las</w:t>
      </w:r>
      <w:r>
        <w:rPr>
          <w:spacing w:val="-6"/>
        </w:rPr>
        <w:t> </w:t>
      </w:r>
      <w:r>
        <w:rPr/>
        <w:t>normas</w:t>
      </w:r>
      <w:r>
        <w:rPr>
          <w:spacing w:val="-7"/>
        </w:rPr>
        <w:t> </w:t>
      </w:r>
      <w:r>
        <w:rPr>
          <w:spacing w:val="-2"/>
        </w:rPr>
        <w:t>siguientes:</w:t>
      </w:r>
    </w:p>
    <w:p>
      <w:pPr>
        <w:pStyle w:val="BodyText"/>
        <w:spacing w:before="1"/>
      </w:pPr>
    </w:p>
    <w:p>
      <w:pPr>
        <w:pStyle w:val="ListParagraph"/>
        <w:numPr>
          <w:ilvl w:val="0"/>
          <w:numId w:val="129"/>
        </w:numPr>
        <w:tabs>
          <w:tab w:pos="1193" w:val="left" w:leader="none"/>
          <w:tab w:pos="1195" w:val="left" w:leader="none"/>
        </w:tabs>
        <w:spacing w:line="242" w:lineRule="auto" w:before="0" w:after="0"/>
        <w:ind w:left="1195" w:right="345" w:hanging="569"/>
        <w:jc w:val="both"/>
        <w:rPr>
          <w:sz w:val="20"/>
        </w:rPr>
      </w:pPr>
      <w:r>
        <w:rPr>
          <w:sz w:val="20"/>
        </w:rPr>
        <w:t>Si se celebró por un solo sindicato de trabajadores o por un solo patrón, cualquiera de las</w:t>
      </w:r>
      <w:r>
        <w:rPr>
          <w:spacing w:val="40"/>
          <w:sz w:val="20"/>
        </w:rPr>
        <w:t> </w:t>
      </w:r>
      <w:r>
        <w:rPr>
          <w:sz w:val="20"/>
        </w:rPr>
        <w:t>partes podrá solicitar su revisión;</w:t>
      </w:r>
    </w:p>
    <w:p>
      <w:pPr>
        <w:pStyle w:val="ListParagraph"/>
        <w:numPr>
          <w:ilvl w:val="0"/>
          <w:numId w:val="129"/>
        </w:numPr>
        <w:tabs>
          <w:tab w:pos="1192" w:val="left" w:leader="none"/>
          <w:tab w:pos="1195" w:val="left" w:leader="none"/>
        </w:tabs>
        <w:spacing w:line="242" w:lineRule="auto" w:before="225" w:after="0"/>
        <w:ind w:left="1195" w:right="337" w:hanging="569"/>
        <w:jc w:val="both"/>
        <w:rPr>
          <w:sz w:val="20"/>
        </w:rPr>
      </w:pPr>
      <w:r>
        <w:rPr>
          <w:sz w:val="20"/>
        </w:rPr>
        <w:t>Si se celebró por varios sindicatos de trabajadores, la revisión se hará siempre que los solicitantes representen el cincuenta y uno por ciento de la totalidad de los miembros de los sindicatos, por lo menos; y</w:t>
      </w:r>
    </w:p>
    <w:p>
      <w:pPr>
        <w:pStyle w:val="ListParagraph"/>
        <w:numPr>
          <w:ilvl w:val="0"/>
          <w:numId w:val="129"/>
        </w:numPr>
        <w:tabs>
          <w:tab w:pos="1191" w:val="left" w:leader="none"/>
          <w:tab w:pos="1195" w:val="left" w:leader="none"/>
        </w:tabs>
        <w:spacing w:line="240" w:lineRule="auto" w:before="224" w:after="0"/>
        <w:ind w:left="1195" w:right="333" w:hanging="569"/>
        <w:jc w:val="both"/>
        <w:rPr>
          <w:sz w:val="20"/>
        </w:rPr>
      </w:pPr>
      <w:r>
        <w:rPr>
          <w:sz w:val="20"/>
        </w:rPr>
        <w:t>Si se celebró por varios patrones, la revisión se hará siempre que los solicitantes tengan el cincuenta y uno por ciento de la totalidad de los trabajadores afectados por el contrato, por lo </w:t>
      </w:r>
      <w:r>
        <w:rPr>
          <w:spacing w:val="-2"/>
          <w:sz w:val="20"/>
        </w:rPr>
        <w:t>menos.</w:t>
      </w:r>
    </w:p>
    <w:p>
      <w:pPr>
        <w:pStyle w:val="BodyText"/>
        <w:spacing w:before="230"/>
        <w:ind w:left="626"/>
      </w:pPr>
      <w:bookmarkStart w:name="Artículo_399" w:id="525"/>
      <w:bookmarkEnd w:id="525"/>
      <w:r>
        <w:rPr/>
      </w:r>
      <w:r>
        <w:rPr>
          <w:rFonts w:ascii="Arial" w:hAnsi="Arial"/>
          <w:b/>
        </w:rPr>
        <w:t>Artículo</w:t>
      </w:r>
      <w:r>
        <w:rPr>
          <w:rFonts w:ascii="Arial" w:hAnsi="Arial"/>
          <w:b/>
          <w:spacing w:val="-7"/>
        </w:rPr>
        <w:t> </w:t>
      </w:r>
      <w:r>
        <w:rPr>
          <w:rFonts w:ascii="Arial" w:hAnsi="Arial"/>
          <w:b/>
        </w:rPr>
        <w:t>399.-</w:t>
      </w:r>
      <w:r>
        <w:rPr>
          <w:rFonts w:ascii="Arial" w:hAnsi="Arial"/>
          <w:b/>
          <w:spacing w:val="-7"/>
        </w:rPr>
        <w:t> </w:t>
      </w:r>
      <w:r>
        <w:rPr/>
        <w:t>La</w:t>
      </w:r>
      <w:r>
        <w:rPr>
          <w:spacing w:val="-7"/>
        </w:rPr>
        <w:t> </w:t>
      </w:r>
      <w:r>
        <w:rPr/>
        <w:t>solicitud</w:t>
      </w:r>
      <w:r>
        <w:rPr>
          <w:spacing w:val="-7"/>
        </w:rPr>
        <w:t> </w:t>
      </w:r>
      <w:r>
        <w:rPr/>
        <w:t>de</w:t>
      </w:r>
      <w:r>
        <w:rPr>
          <w:spacing w:val="-8"/>
        </w:rPr>
        <w:t> </w:t>
      </w:r>
      <w:r>
        <w:rPr/>
        <w:t>revisión</w:t>
      </w:r>
      <w:r>
        <w:rPr>
          <w:spacing w:val="-7"/>
        </w:rPr>
        <w:t> </w:t>
      </w:r>
      <w:r>
        <w:rPr/>
        <w:t>deberá</w:t>
      </w:r>
      <w:r>
        <w:rPr>
          <w:spacing w:val="-7"/>
        </w:rPr>
        <w:t> </w:t>
      </w:r>
      <w:r>
        <w:rPr/>
        <w:t>hacerse,</w:t>
      </w:r>
      <w:r>
        <w:rPr>
          <w:spacing w:val="-8"/>
        </w:rPr>
        <w:t> </w:t>
      </w:r>
      <w:r>
        <w:rPr/>
        <w:t>por</w:t>
      </w:r>
      <w:r>
        <w:rPr>
          <w:spacing w:val="-6"/>
        </w:rPr>
        <w:t> </w:t>
      </w:r>
      <w:r>
        <w:rPr/>
        <w:t>lo</w:t>
      </w:r>
      <w:r>
        <w:rPr>
          <w:spacing w:val="-8"/>
        </w:rPr>
        <w:t> </w:t>
      </w:r>
      <w:r>
        <w:rPr/>
        <w:t>menos,</w:t>
      </w:r>
      <w:r>
        <w:rPr>
          <w:spacing w:val="-7"/>
        </w:rPr>
        <w:t> </w:t>
      </w:r>
      <w:r>
        <w:rPr/>
        <w:t>sesenta</w:t>
      </w:r>
      <w:r>
        <w:rPr>
          <w:spacing w:val="-6"/>
        </w:rPr>
        <w:t> </w:t>
      </w:r>
      <w:r>
        <w:rPr/>
        <w:t>días naturales</w:t>
      </w:r>
      <w:r>
        <w:rPr>
          <w:spacing w:val="-7"/>
        </w:rPr>
        <w:t> </w:t>
      </w:r>
      <w:r>
        <w:rPr>
          <w:spacing w:val="-2"/>
        </w:rPr>
        <w:t>antes:</w:t>
      </w:r>
    </w:p>
    <w:p>
      <w:pPr>
        <w:spacing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30"/>
        </w:numPr>
        <w:tabs>
          <w:tab w:pos="1193" w:val="left" w:leader="none"/>
          <w:tab w:pos="1195" w:val="left" w:leader="none"/>
        </w:tabs>
        <w:spacing w:line="242" w:lineRule="auto" w:before="0" w:after="0"/>
        <w:ind w:left="1195" w:right="345" w:hanging="569"/>
        <w:jc w:val="both"/>
        <w:rPr>
          <w:sz w:val="20"/>
        </w:rPr>
      </w:pPr>
      <w:r>
        <w:rPr>
          <w:sz w:val="20"/>
        </w:rPr>
        <w:t>Del vencimiento del contrato colectivo por tiempo determinado, si éste no es mayor de dos</w:t>
      </w:r>
      <w:r>
        <w:rPr>
          <w:spacing w:val="40"/>
          <w:sz w:val="20"/>
        </w:rPr>
        <w:t> </w:t>
      </w:r>
      <w:r>
        <w:rPr>
          <w:spacing w:val="-2"/>
          <w:sz w:val="20"/>
        </w:rPr>
        <w:t>años;</w:t>
      </w:r>
    </w:p>
    <w:p>
      <w:pPr>
        <w:pStyle w:val="ListParagraph"/>
        <w:numPr>
          <w:ilvl w:val="0"/>
          <w:numId w:val="130"/>
        </w:numPr>
        <w:tabs>
          <w:tab w:pos="1195" w:val="left" w:leader="none"/>
        </w:tabs>
        <w:spacing w:line="240" w:lineRule="auto" w:before="227" w:after="0"/>
        <w:ind w:left="1195" w:right="0" w:hanging="569"/>
        <w:jc w:val="left"/>
        <w:rPr>
          <w:sz w:val="20"/>
        </w:rPr>
      </w:pPr>
      <w:r>
        <w:rPr>
          <w:sz w:val="20"/>
        </w:rPr>
        <w:t>Del</w:t>
      </w:r>
      <w:r>
        <w:rPr>
          <w:spacing w:val="-8"/>
          <w:sz w:val="20"/>
        </w:rPr>
        <w:t> </w:t>
      </w:r>
      <w:r>
        <w:rPr>
          <w:sz w:val="20"/>
        </w:rPr>
        <w:t>transcurso</w:t>
      </w:r>
      <w:r>
        <w:rPr>
          <w:spacing w:val="-6"/>
          <w:sz w:val="20"/>
        </w:rPr>
        <w:t> </w:t>
      </w:r>
      <w:r>
        <w:rPr>
          <w:sz w:val="20"/>
        </w:rPr>
        <w:t>de</w:t>
      </w:r>
      <w:r>
        <w:rPr>
          <w:spacing w:val="-4"/>
          <w:sz w:val="20"/>
        </w:rPr>
        <w:t> </w:t>
      </w:r>
      <w:r>
        <w:rPr>
          <w:sz w:val="20"/>
        </w:rPr>
        <w:t>dos</w:t>
      </w:r>
      <w:r>
        <w:rPr>
          <w:spacing w:val="-6"/>
          <w:sz w:val="20"/>
        </w:rPr>
        <w:t> </w:t>
      </w:r>
      <w:r>
        <w:rPr>
          <w:sz w:val="20"/>
        </w:rPr>
        <w:t>años,</w:t>
      </w:r>
      <w:r>
        <w:rPr>
          <w:spacing w:val="-6"/>
          <w:sz w:val="20"/>
        </w:rPr>
        <w:t> </w:t>
      </w:r>
      <w:r>
        <w:rPr>
          <w:sz w:val="20"/>
        </w:rPr>
        <w:t>si</w:t>
      </w:r>
      <w:r>
        <w:rPr>
          <w:spacing w:val="-7"/>
          <w:sz w:val="20"/>
        </w:rPr>
        <w:t> </w:t>
      </w:r>
      <w:r>
        <w:rPr>
          <w:sz w:val="20"/>
        </w:rPr>
        <w:t>el</w:t>
      </w:r>
      <w:r>
        <w:rPr>
          <w:spacing w:val="-7"/>
          <w:sz w:val="20"/>
        </w:rPr>
        <w:t> </w:t>
      </w:r>
      <w:r>
        <w:rPr>
          <w:sz w:val="20"/>
        </w:rPr>
        <w:t>contrato</w:t>
      </w:r>
      <w:r>
        <w:rPr>
          <w:spacing w:val="-6"/>
          <w:sz w:val="20"/>
        </w:rPr>
        <w:t> </w:t>
      </w:r>
      <w:r>
        <w:rPr>
          <w:sz w:val="20"/>
        </w:rPr>
        <w:t>por</w:t>
      </w:r>
      <w:r>
        <w:rPr>
          <w:spacing w:val="-6"/>
          <w:sz w:val="20"/>
        </w:rPr>
        <w:t> </w:t>
      </w:r>
      <w:r>
        <w:rPr>
          <w:sz w:val="20"/>
        </w:rPr>
        <w:t>tiempo</w:t>
      </w:r>
      <w:r>
        <w:rPr>
          <w:spacing w:val="-7"/>
          <w:sz w:val="20"/>
        </w:rPr>
        <w:t> </w:t>
      </w:r>
      <w:r>
        <w:rPr>
          <w:sz w:val="20"/>
        </w:rPr>
        <w:t>determinado</w:t>
      </w:r>
      <w:r>
        <w:rPr>
          <w:spacing w:val="-8"/>
          <w:sz w:val="20"/>
        </w:rPr>
        <w:t> </w:t>
      </w:r>
      <w:r>
        <w:rPr>
          <w:sz w:val="20"/>
        </w:rPr>
        <w:t>tiene</w:t>
      </w:r>
      <w:r>
        <w:rPr>
          <w:spacing w:val="-6"/>
          <w:sz w:val="20"/>
        </w:rPr>
        <w:t> </w:t>
      </w:r>
      <w:r>
        <w:rPr>
          <w:sz w:val="20"/>
        </w:rPr>
        <w:t>una</w:t>
      </w:r>
      <w:r>
        <w:rPr>
          <w:spacing w:val="-5"/>
          <w:sz w:val="20"/>
        </w:rPr>
        <w:t> </w:t>
      </w:r>
      <w:r>
        <w:rPr>
          <w:sz w:val="20"/>
        </w:rPr>
        <w:t>duración</w:t>
      </w:r>
      <w:r>
        <w:rPr>
          <w:spacing w:val="-7"/>
          <w:sz w:val="20"/>
        </w:rPr>
        <w:t> </w:t>
      </w:r>
      <w:r>
        <w:rPr>
          <w:sz w:val="20"/>
        </w:rPr>
        <w:t>mayor;</w:t>
      </w:r>
      <w:r>
        <w:rPr>
          <w:spacing w:val="-2"/>
          <w:sz w:val="20"/>
        </w:rPr>
        <w:t> </w:t>
      </w:r>
      <w:r>
        <w:rPr>
          <w:spacing w:val="-10"/>
          <w:sz w:val="20"/>
        </w:rPr>
        <w:t>y</w:t>
      </w:r>
    </w:p>
    <w:p>
      <w:pPr>
        <w:pStyle w:val="ListParagraph"/>
        <w:numPr>
          <w:ilvl w:val="0"/>
          <w:numId w:val="130"/>
        </w:numPr>
        <w:tabs>
          <w:tab w:pos="1191" w:val="left" w:leader="none"/>
          <w:tab w:pos="1195" w:val="left" w:leader="none"/>
        </w:tabs>
        <w:spacing w:line="242" w:lineRule="auto" w:before="228" w:after="0"/>
        <w:ind w:left="1195" w:right="340" w:hanging="569"/>
        <w:jc w:val="both"/>
        <w:rPr>
          <w:sz w:val="20"/>
        </w:rPr>
      </w:pPr>
      <w:r>
        <w:rPr>
          <w:sz w:val="20"/>
        </w:rPr>
        <w:t>Del transcurso de dos años, en los casos de contrato por tiempo indeterminado o por obra </w:t>
      </w:r>
      <w:r>
        <w:rPr>
          <w:spacing w:val="-2"/>
          <w:sz w:val="20"/>
        </w:rPr>
        <w:t>determinada.</w:t>
      </w:r>
    </w:p>
    <w:p>
      <w:pPr>
        <w:pStyle w:val="BodyText"/>
        <w:spacing w:before="229"/>
        <w:ind w:left="338" w:right="346" w:firstLine="288"/>
        <w:jc w:val="both"/>
      </w:pPr>
      <w:r>
        <w:rPr/>
        <w:t>Para el cómputo de este término se atenderá a lo establecido en el contrato y, en su defecto, a la fecha del depósito.</w:t>
      </w:r>
    </w:p>
    <w:p>
      <w:pPr>
        <w:pStyle w:val="BodyText"/>
        <w:spacing w:line="242" w:lineRule="auto" w:before="227"/>
        <w:ind w:left="338" w:right="337" w:firstLine="288"/>
        <w:jc w:val="both"/>
      </w:pPr>
      <w:bookmarkStart w:name="Artículo_399_Bis" w:id="526"/>
      <w:bookmarkEnd w:id="526"/>
      <w:r>
        <w:rPr/>
      </w:r>
      <w:r>
        <w:rPr>
          <w:rFonts w:ascii="Arial" w:hAnsi="Arial"/>
          <w:b/>
        </w:rPr>
        <w:t>Artículo 399 Bis.- </w:t>
      </w:r>
      <w:r>
        <w:rPr/>
        <w:t>Sin perjuicio de lo que establece el Artículo 399, los contratos colectivos serán revisables cada año en lo que se refiere a los salarios en efectivo por cuota diaria.</w:t>
      </w:r>
    </w:p>
    <w:p>
      <w:pPr>
        <w:pStyle w:val="BodyText"/>
        <w:spacing w:before="229"/>
        <w:ind w:left="338" w:right="345" w:firstLine="288"/>
        <w:jc w:val="both"/>
      </w:pPr>
      <w:r>
        <w:rPr/>
        <w:t>La solicitud de esta revisión deberá hacerse por lo menos treinta días naturales antes del</w:t>
      </w:r>
      <w:r>
        <w:rPr>
          <w:spacing w:val="40"/>
        </w:rPr>
        <w:t> </w:t>
      </w:r>
      <w:r>
        <w:rPr/>
        <w:t>cumplimiento de un año transcurrido desde la celebración, revisión o prórroga del contrato colectivo.</w:t>
      </w:r>
    </w:p>
    <w:p>
      <w:pPr>
        <w:spacing w:line="240" w:lineRule="auto" w:before="0"/>
        <w:ind w:left="7302" w:right="0" w:firstLine="62"/>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1974</w:t>
      </w:r>
    </w:p>
    <w:p>
      <w:pPr>
        <w:pStyle w:val="BodyText"/>
        <w:spacing w:before="44"/>
        <w:rPr>
          <w:rFonts w:ascii="Times New Roman"/>
          <w:i/>
          <w:sz w:val="16"/>
        </w:rPr>
      </w:pPr>
    </w:p>
    <w:p>
      <w:pPr>
        <w:pStyle w:val="BodyText"/>
        <w:ind w:left="338" w:right="339" w:firstLine="288"/>
        <w:jc w:val="both"/>
      </w:pPr>
      <w:bookmarkStart w:name="Artículo_399_Ter" w:id="527"/>
      <w:bookmarkEnd w:id="527"/>
      <w:r>
        <w:rPr/>
      </w:r>
      <w:r>
        <w:rPr>
          <w:rFonts w:ascii="Arial" w:hAnsi="Arial"/>
          <w:b/>
        </w:rPr>
        <w:t>Artículo 399 Ter.- </w:t>
      </w:r>
      <w:r>
        <w:rPr/>
        <w:t>El convenio de revisión o de modificación del contrato colectivo de trabajo deberá celebrarse ante la Autoridad Registral, el Tribunal o el Centro de Conciliación competente según corresponda. Una vez aprobado por la autoridad, surtirá efectos legales.</w:t>
      </w:r>
    </w:p>
    <w:p>
      <w:pPr>
        <w:pStyle w:val="BodyText"/>
        <w:spacing w:before="2"/>
      </w:pPr>
    </w:p>
    <w:p>
      <w:pPr>
        <w:pStyle w:val="BodyText"/>
        <w:ind w:left="338" w:right="339" w:firstLine="288"/>
        <w:jc w:val="both"/>
      </w:pPr>
      <w:r>
        <w:rPr/>
        <w:t>Para los efectos de la actualización del expediente de registro del contrato colectivo y de su legal publicidad, el Centro de Conciliación competente o el Tribunal, bajo su más estricta responsabilidad y dentro del término de los tres días siguientes, hará llegar copia autorizada del convenio a la Autoridad </w:t>
      </w:r>
      <w:r>
        <w:rPr>
          <w:spacing w:val="-2"/>
        </w:rPr>
        <w:t>Registral.</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1" w:lineRule="exact"/>
        <w:jc w:val="righ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BodyText"/>
        <w:spacing w:line="242" w:lineRule="auto"/>
        <w:ind w:left="338" w:right="343" w:firstLine="288"/>
        <w:jc w:val="both"/>
      </w:pPr>
      <w:bookmarkStart w:name="Artículo_400" w:id="528"/>
      <w:bookmarkEnd w:id="528"/>
      <w:r>
        <w:rPr/>
      </w:r>
      <w:r>
        <w:rPr>
          <w:rFonts w:ascii="Arial" w:hAnsi="Arial"/>
          <w:b/>
        </w:rPr>
        <w:t>Artículo 400.- </w:t>
      </w:r>
      <w:r>
        <w:rPr/>
        <w:t>Si ninguna de las partes solicitó la revisión en los términos del artículo 399 o no se ejercitó el derecho de huelga, el contrato colectivo se prorrogará por un período igual al de su duración o continuará por tiempo indeterminado.</w:t>
      </w:r>
    </w:p>
    <w:p>
      <w:pPr>
        <w:pStyle w:val="BodyText"/>
        <w:spacing w:before="225"/>
        <w:ind w:left="338" w:right="331" w:firstLine="288"/>
        <w:jc w:val="both"/>
      </w:pPr>
      <w:bookmarkStart w:name="Artículo_400_Bis" w:id="529"/>
      <w:bookmarkEnd w:id="529"/>
      <w:r>
        <w:rPr/>
      </w:r>
      <w:r>
        <w:rPr>
          <w:rFonts w:ascii="Arial" w:hAnsi="Arial"/>
          <w:b/>
        </w:rPr>
        <w:t>Artículo 400</w:t>
      </w:r>
      <w:r>
        <w:rPr>
          <w:rFonts w:ascii="Arial" w:hAnsi="Arial"/>
          <w:b/>
          <w:spacing w:val="-1"/>
        </w:rPr>
        <w:t> </w:t>
      </w:r>
      <w:r>
        <w:rPr>
          <w:rFonts w:ascii="Arial" w:hAnsi="Arial"/>
          <w:b/>
        </w:rPr>
        <w:t>Bis.- </w:t>
      </w:r>
      <w:r>
        <w:rPr/>
        <w:t>Cada</w:t>
      </w:r>
      <w:r>
        <w:rPr>
          <w:spacing w:val="-2"/>
        </w:rPr>
        <w:t> </w:t>
      </w:r>
      <w:r>
        <w:rPr/>
        <w:t>dos años,</w:t>
      </w:r>
      <w:r>
        <w:rPr>
          <w:spacing w:val="-1"/>
        </w:rPr>
        <w:t> </w:t>
      </w:r>
      <w:r>
        <w:rPr/>
        <w:t>en</w:t>
      </w:r>
      <w:r>
        <w:rPr>
          <w:spacing w:val="-2"/>
        </w:rPr>
        <w:t> </w:t>
      </w:r>
      <w:r>
        <w:rPr/>
        <w:t>la</w:t>
      </w:r>
      <w:r>
        <w:rPr>
          <w:spacing w:val="-1"/>
        </w:rPr>
        <w:t> </w:t>
      </w:r>
      <w:r>
        <w:rPr/>
        <w:t>revisión</w:t>
      </w:r>
      <w:r>
        <w:rPr>
          <w:spacing w:val="-2"/>
        </w:rPr>
        <w:t> </w:t>
      </w:r>
      <w:r>
        <w:rPr/>
        <w:t>contractual que</w:t>
      </w:r>
      <w:r>
        <w:rPr>
          <w:spacing w:val="-1"/>
        </w:rPr>
        <w:t> </w:t>
      </w:r>
      <w:r>
        <w:rPr/>
        <w:t>corresponda</w:t>
      </w:r>
      <w:r>
        <w:rPr>
          <w:spacing w:val="-1"/>
        </w:rPr>
        <w:t> </w:t>
      </w:r>
      <w:r>
        <w:rPr/>
        <w:t>conforme</w:t>
      </w:r>
      <w:r>
        <w:rPr>
          <w:spacing w:val="-1"/>
        </w:rPr>
        <w:t> </w:t>
      </w:r>
      <w:r>
        <w:rPr/>
        <w:t>a</w:t>
      </w:r>
      <w:r>
        <w:rPr>
          <w:spacing w:val="-1"/>
        </w:rPr>
        <w:t> </w:t>
      </w:r>
      <w:r>
        <w:rPr/>
        <w:t>lo</w:t>
      </w:r>
      <w:r>
        <w:rPr>
          <w:spacing w:val="-1"/>
        </w:rPr>
        <w:t> </w:t>
      </w:r>
      <w:r>
        <w:rPr/>
        <w:t>dispuesto en el artículo 399, el convenio de revisión del contrato colectivo deberá someterse a la aprobación de la mayoría de los trabajadores regidos por el mismo a través del voto personal, libre y secreto, conforme al procedimiento de consulta contemplado en el artículo 390 Ter de la presente Ley.</w:t>
      </w:r>
    </w:p>
    <w:p>
      <w:pPr>
        <w:pStyle w:val="BodyText"/>
        <w:spacing w:before="2"/>
      </w:pPr>
    </w:p>
    <w:p>
      <w:pPr>
        <w:pStyle w:val="BodyText"/>
        <w:ind w:left="338" w:right="342" w:firstLine="288"/>
        <w:jc w:val="both"/>
      </w:pPr>
      <w:r>
        <w:rPr/>
        <w:t>Las referidas revisiones contractuales deberán depositarse ante el Centro Federal de Conciliación y Registro Laboral, el cual podrá verificar que el contenido del contrato colectivo de trabajo se haya hecho del conocimiento de los trabajadores.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0"/>
        <w:ind w:left="626" w:right="0" w:firstLine="0"/>
        <w:jc w:val="left"/>
        <w:rPr>
          <w:sz w:val="20"/>
        </w:rPr>
      </w:pPr>
      <w:bookmarkStart w:name="Artículo_401" w:id="530"/>
      <w:bookmarkEnd w:id="530"/>
      <w:r>
        <w:rPr/>
      </w:r>
      <w:r>
        <w:rPr>
          <w:rFonts w:ascii="Arial" w:hAnsi="Arial"/>
          <w:b/>
          <w:sz w:val="20"/>
        </w:rPr>
        <w:t>Artículo</w:t>
      </w:r>
      <w:r>
        <w:rPr>
          <w:rFonts w:ascii="Arial" w:hAnsi="Arial"/>
          <w:b/>
          <w:spacing w:val="-8"/>
          <w:sz w:val="20"/>
        </w:rPr>
        <w:t> </w:t>
      </w:r>
      <w:r>
        <w:rPr>
          <w:rFonts w:ascii="Arial" w:hAnsi="Arial"/>
          <w:b/>
          <w:sz w:val="20"/>
        </w:rPr>
        <w:t>401.-</w:t>
      </w:r>
      <w:r>
        <w:rPr>
          <w:rFonts w:ascii="Arial" w:hAnsi="Arial"/>
          <w:b/>
          <w:spacing w:val="-5"/>
          <w:sz w:val="20"/>
        </w:rPr>
        <w:t> </w:t>
      </w:r>
      <w:r>
        <w:rPr>
          <w:sz w:val="20"/>
        </w:rPr>
        <w:t>El</w:t>
      </w:r>
      <w:r>
        <w:rPr>
          <w:spacing w:val="-9"/>
          <w:sz w:val="20"/>
        </w:rPr>
        <w:t> </w:t>
      </w:r>
      <w:r>
        <w:rPr>
          <w:sz w:val="20"/>
        </w:rPr>
        <w:t>contrato</w:t>
      </w:r>
      <w:r>
        <w:rPr>
          <w:spacing w:val="-6"/>
          <w:sz w:val="20"/>
        </w:rPr>
        <w:t> </w:t>
      </w:r>
      <w:r>
        <w:rPr>
          <w:sz w:val="20"/>
        </w:rPr>
        <w:t>colectivo</w:t>
      </w:r>
      <w:r>
        <w:rPr>
          <w:spacing w:val="-8"/>
          <w:sz w:val="20"/>
        </w:rPr>
        <w:t> </w:t>
      </w:r>
      <w:r>
        <w:rPr>
          <w:sz w:val="20"/>
        </w:rPr>
        <w:t>de</w:t>
      </w:r>
      <w:r>
        <w:rPr>
          <w:spacing w:val="-7"/>
          <w:sz w:val="20"/>
        </w:rPr>
        <w:t> </w:t>
      </w:r>
      <w:r>
        <w:rPr>
          <w:sz w:val="20"/>
        </w:rPr>
        <w:t>trabajo</w:t>
      </w:r>
      <w:r>
        <w:rPr>
          <w:spacing w:val="-8"/>
          <w:sz w:val="20"/>
        </w:rPr>
        <w:t> </w:t>
      </w:r>
      <w:r>
        <w:rPr>
          <w:spacing w:val="-2"/>
          <w:sz w:val="20"/>
        </w:rPr>
        <w:t>termina:</w:t>
      </w:r>
    </w:p>
    <w:p>
      <w:pPr>
        <w:pStyle w:val="ListParagraph"/>
        <w:numPr>
          <w:ilvl w:val="0"/>
          <w:numId w:val="131"/>
        </w:numPr>
        <w:tabs>
          <w:tab w:pos="1195" w:val="left" w:leader="none"/>
        </w:tabs>
        <w:spacing w:line="242" w:lineRule="auto" w:before="229" w:after="0"/>
        <w:ind w:left="1195" w:right="332" w:hanging="569"/>
        <w:jc w:val="left"/>
        <w:rPr>
          <w:sz w:val="20"/>
        </w:rPr>
      </w:pPr>
      <w:r>
        <w:rPr>
          <w:sz w:val="20"/>
        </w:rPr>
        <w:t>Por</w:t>
      </w:r>
      <w:r>
        <w:rPr>
          <w:spacing w:val="29"/>
          <w:sz w:val="20"/>
        </w:rPr>
        <w:t> </w:t>
      </w:r>
      <w:r>
        <w:rPr>
          <w:sz w:val="20"/>
        </w:rPr>
        <w:t>mutuo</w:t>
      </w:r>
      <w:r>
        <w:rPr>
          <w:spacing w:val="29"/>
          <w:sz w:val="20"/>
        </w:rPr>
        <w:t> </w:t>
      </w:r>
      <w:r>
        <w:rPr>
          <w:sz w:val="20"/>
        </w:rPr>
        <w:t>consentimiento,</w:t>
      </w:r>
      <w:r>
        <w:rPr>
          <w:spacing w:val="30"/>
          <w:sz w:val="20"/>
        </w:rPr>
        <w:t> </w:t>
      </w:r>
      <w:r>
        <w:rPr>
          <w:sz w:val="20"/>
        </w:rPr>
        <w:t>previa</w:t>
      </w:r>
      <w:r>
        <w:rPr>
          <w:spacing w:val="29"/>
          <w:sz w:val="20"/>
        </w:rPr>
        <w:t> </w:t>
      </w:r>
      <w:r>
        <w:rPr>
          <w:sz w:val="20"/>
        </w:rPr>
        <w:t>aprobación</w:t>
      </w:r>
      <w:r>
        <w:rPr>
          <w:spacing w:val="31"/>
          <w:sz w:val="20"/>
        </w:rPr>
        <w:t> </w:t>
      </w:r>
      <w:r>
        <w:rPr>
          <w:sz w:val="20"/>
        </w:rPr>
        <w:t>de</w:t>
      </w:r>
      <w:r>
        <w:rPr>
          <w:spacing w:val="31"/>
          <w:sz w:val="20"/>
        </w:rPr>
        <w:t> </w:t>
      </w:r>
      <w:r>
        <w:rPr>
          <w:sz w:val="20"/>
        </w:rPr>
        <w:t>la</w:t>
      </w:r>
      <w:r>
        <w:rPr>
          <w:spacing w:val="31"/>
          <w:sz w:val="20"/>
        </w:rPr>
        <w:t> </w:t>
      </w:r>
      <w:r>
        <w:rPr>
          <w:sz w:val="20"/>
        </w:rPr>
        <w:t>mayoría</w:t>
      </w:r>
      <w:r>
        <w:rPr>
          <w:spacing w:val="29"/>
          <w:sz w:val="20"/>
        </w:rPr>
        <w:t> </w:t>
      </w:r>
      <w:r>
        <w:rPr>
          <w:sz w:val="20"/>
        </w:rPr>
        <w:t>de</w:t>
      </w:r>
      <w:r>
        <w:rPr>
          <w:spacing w:val="29"/>
          <w:sz w:val="20"/>
        </w:rPr>
        <w:t> </w:t>
      </w:r>
      <w:r>
        <w:rPr>
          <w:sz w:val="20"/>
        </w:rPr>
        <w:t>los</w:t>
      </w:r>
      <w:r>
        <w:rPr>
          <w:spacing w:val="30"/>
          <w:sz w:val="20"/>
        </w:rPr>
        <w:t> </w:t>
      </w:r>
      <w:r>
        <w:rPr>
          <w:sz w:val="20"/>
        </w:rPr>
        <w:t>trabajadores</w:t>
      </w:r>
      <w:r>
        <w:rPr>
          <w:spacing w:val="30"/>
          <w:sz w:val="20"/>
        </w:rPr>
        <w:t> </w:t>
      </w:r>
      <w:r>
        <w:rPr>
          <w:sz w:val="20"/>
        </w:rPr>
        <w:t>conforme</w:t>
      </w:r>
      <w:r>
        <w:rPr>
          <w:spacing w:val="29"/>
          <w:sz w:val="20"/>
        </w:rPr>
        <w:t> </w:t>
      </w:r>
      <w:r>
        <w:rPr>
          <w:sz w:val="20"/>
        </w:rPr>
        <w:t>al procedimiento contemplado en el artículo 390 Ter de esta Ley;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131"/>
        </w:numPr>
        <w:tabs>
          <w:tab w:pos="1195" w:val="left" w:leader="none"/>
        </w:tabs>
        <w:spacing w:line="240" w:lineRule="auto" w:before="0" w:after="0"/>
        <w:ind w:left="1195" w:right="0" w:hanging="569"/>
        <w:jc w:val="left"/>
        <w:rPr>
          <w:sz w:val="20"/>
        </w:rPr>
      </w:pPr>
      <w:r>
        <w:rPr>
          <w:sz w:val="20"/>
        </w:rPr>
        <w:t>Por</w:t>
      </w:r>
      <w:r>
        <w:rPr>
          <w:spacing w:val="-7"/>
          <w:sz w:val="20"/>
        </w:rPr>
        <w:t> </w:t>
      </w:r>
      <w:r>
        <w:rPr>
          <w:sz w:val="20"/>
        </w:rPr>
        <w:t>terminación</w:t>
      </w:r>
      <w:r>
        <w:rPr>
          <w:spacing w:val="-6"/>
          <w:sz w:val="20"/>
        </w:rPr>
        <w:t> </w:t>
      </w:r>
      <w:r>
        <w:rPr>
          <w:sz w:val="20"/>
        </w:rPr>
        <w:t>de</w:t>
      </w:r>
      <w:r>
        <w:rPr>
          <w:spacing w:val="-4"/>
          <w:sz w:val="20"/>
        </w:rPr>
        <w:t> </w:t>
      </w:r>
      <w:r>
        <w:rPr>
          <w:sz w:val="20"/>
        </w:rPr>
        <w:t>la</w:t>
      </w:r>
      <w:r>
        <w:rPr>
          <w:spacing w:val="-5"/>
          <w:sz w:val="20"/>
        </w:rPr>
        <w:t> </w:t>
      </w:r>
      <w:r>
        <w:rPr>
          <w:sz w:val="20"/>
        </w:rPr>
        <w:t>obra;</w:t>
      </w:r>
      <w:r>
        <w:rPr>
          <w:spacing w:val="-2"/>
          <w:sz w:val="20"/>
        </w:rPr>
        <w:t> </w:t>
      </w:r>
      <w:r>
        <w:rPr>
          <w:spacing w:val="-10"/>
          <w:sz w:val="20"/>
        </w:rPr>
        <w:t>y</w:t>
      </w:r>
    </w:p>
    <w:p>
      <w:pPr>
        <w:pStyle w:val="ListParagraph"/>
        <w:numPr>
          <w:ilvl w:val="0"/>
          <w:numId w:val="131"/>
        </w:numPr>
        <w:tabs>
          <w:tab w:pos="1191" w:val="left" w:leader="none"/>
          <w:tab w:pos="1195" w:val="left" w:leader="none"/>
        </w:tabs>
        <w:spacing w:line="242" w:lineRule="auto" w:before="229" w:after="0"/>
        <w:ind w:left="1195" w:right="344" w:hanging="569"/>
        <w:jc w:val="both"/>
        <w:rPr>
          <w:sz w:val="20"/>
        </w:rPr>
      </w:pPr>
      <w:r>
        <w:rPr>
          <w:sz w:val="20"/>
        </w:rPr>
        <w:t>En los casos del capítulo VIII de este Título, por cierre de la empresa o establecimiento,</w:t>
      </w:r>
      <w:r>
        <w:rPr>
          <w:spacing w:val="40"/>
          <w:sz w:val="20"/>
        </w:rPr>
        <w:t> </w:t>
      </w:r>
      <w:r>
        <w:rPr>
          <w:sz w:val="20"/>
        </w:rPr>
        <w:t>siempre que en este último caso, el contrato colectivo se aplique exclusivamente en el </w:t>
      </w:r>
      <w:r>
        <w:rPr>
          <w:spacing w:val="-2"/>
          <w:sz w:val="20"/>
        </w:rPr>
        <w:t>establecimiento.</w:t>
      </w:r>
    </w:p>
    <w:p>
      <w:pPr>
        <w:pStyle w:val="BodyText"/>
        <w:spacing w:before="224"/>
        <w:ind w:left="338" w:right="339" w:firstLine="288"/>
        <w:jc w:val="both"/>
      </w:pPr>
      <w:bookmarkStart w:name="Artículo_402" w:id="531"/>
      <w:bookmarkEnd w:id="531"/>
      <w:r>
        <w:rPr/>
      </w:r>
      <w:r>
        <w:rPr>
          <w:rFonts w:ascii="Arial" w:hAnsi="Arial"/>
          <w:b/>
        </w:rPr>
        <w:t>Artículo 402.- </w:t>
      </w:r>
      <w:r>
        <w:rPr/>
        <w:t>Si firmado un contrato colectivo, un patrón se separa del sindicato que lo celebró, el contrato regirá, no obstante, las relaciones de aquel patrón con el sindicato o sindicatos de sus </w:t>
      </w:r>
      <w:r>
        <w:rPr>
          <w:spacing w:val="-2"/>
        </w:rPr>
        <w:t>trabajadores.</w:t>
      </w:r>
    </w:p>
    <w:p>
      <w:pPr>
        <w:pStyle w:val="BodyText"/>
      </w:pPr>
    </w:p>
    <w:p>
      <w:pPr>
        <w:pStyle w:val="BodyText"/>
        <w:spacing w:line="242" w:lineRule="auto"/>
        <w:ind w:left="338" w:right="347" w:firstLine="288"/>
        <w:jc w:val="both"/>
      </w:pPr>
      <w:bookmarkStart w:name="Artículo_403" w:id="532"/>
      <w:bookmarkEnd w:id="532"/>
      <w:r>
        <w:rPr/>
      </w:r>
      <w:r>
        <w:rPr>
          <w:rFonts w:ascii="Arial" w:hAnsi="Arial"/>
          <w:b/>
        </w:rPr>
        <w:t>Artículo 403.- </w:t>
      </w:r>
      <w:r>
        <w:rPr/>
        <w:t>En los casos de disolución del sindicato de trabajadores titular del contrato colectivo o de</w:t>
      </w:r>
      <w:r>
        <w:rPr>
          <w:spacing w:val="-1"/>
        </w:rPr>
        <w:t> </w:t>
      </w:r>
      <w:r>
        <w:rPr/>
        <w:t>terminación de éste, las condiciones de</w:t>
      </w:r>
      <w:r>
        <w:rPr>
          <w:spacing w:val="-1"/>
        </w:rPr>
        <w:t> </w:t>
      </w:r>
      <w:r>
        <w:rPr/>
        <w:t>trabajo continuarán vigentes en la empresa o</w:t>
      </w:r>
      <w:r>
        <w:rPr>
          <w:spacing w:val="-1"/>
        </w:rPr>
        <w:t> </w:t>
      </w:r>
      <w:r>
        <w:rPr/>
        <w:t>establecimiento.</w:t>
      </w:r>
    </w:p>
    <w:p>
      <w:pPr>
        <w:pStyle w:val="Heading1"/>
        <w:spacing w:line="252" w:lineRule="exact" w:before="225"/>
      </w:pPr>
      <w:r>
        <w:rPr/>
        <w:t>CAPITULO</w:t>
      </w:r>
      <w:r>
        <w:rPr>
          <w:spacing w:val="-9"/>
        </w:rPr>
        <w:t> </w:t>
      </w:r>
      <w:r>
        <w:rPr>
          <w:spacing w:val="-7"/>
        </w:rPr>
        <w:t>IV</w:t>
      </w:r>
    </w:p>
    <w:p>
      <w:pPr>
        <w:pStyle w:val="Heading2"/>
        <w:spacing w:line="252" w:lineRule="exact"/>
        <w:ind w:left="297"/>
      </w:pPr>
      <w:r>
        <w:rPr/>
        <w:t>Contrato</w:t>
      </w:r>
      <w:r>
        <w:rPr>
          <w:spacing w:val="-8"/>
        </w:rPr>
        <w:t> </w:t>
      </w:r>
      <w:r>
        <w:rPr>
          <w:spacing w:val="-5"/>
        </w:rPr>
        <w:t>Ley</w:t>
      </w:r>
    </w:p>
    <w:p>
      <w:pPr>
        <w:pStyle w:val="BodyText"/>
        <w:spacing w:before="231"/>
        <w:ind w:left="338" w:right="341" w:firstLine="288"/>
        <w:jc w:val="both"/>
      </w:pPr>
      <w:bookmarkStart w:name="Artículo_404" w:id="533"/>
      <w:bookmarkEnd w:id="533"/>
      <w:r>
        <w:rPr/>
      </w:r>
      <w:r>
        <w:rPr>
          <w:rFonts w:ascii="Arial" w:hAnsi="Arial"/>
          <w:b/>
        </w:rPr>
        <w:t>Artículo 404.- </w:t>
      </w:r>
      <w:r>
        <w:rPr/>
        <w:t>Contrato-ley es el convenio celebrado entre uno o varios sindicatos de trabajadores y varios patrones, o uno o varios sindicatos de patrones, con objeto de establecer las condiciones según</w:t>
      </w:r>
      <w:r>
        <w:rPr>
          <w:spacing w:val="40"/>
        </w:rPr>
        <w:t> </w:t>
      </w:r>
      <w:r>
        <w:rPr/>
        <w:t>las cuales debe prestarse el trabajo en un rama determinada de la industria, y declarado obligatorio en una o varias Entidades Federativas, en una o varias zonas económicas que abarquen una o más de dichas Entidades, o en todo el territorio nacional.</w:t>
      </w:r>
    </w:p>
    <w:p>
      <w:pPr>
        <w:pStyle w:val="BodyText"/>
      </w:pPr>
    </w:p>
    <w:p>
      <w:pPr>
        <w:pStyle w:val="BodyText"/>
        <w:ind w:left="626"/>
      </w:pPr>
      <w:bookmarkStart w:name="Artículo_405" w:id="534"/>
      <w:bookmarkEnd w:id="534"/>
      <w:r>
        <w:rPr/>
      </w:r>
      <w:r>
        <w:rPr>
          <w:rFonts w:ascii="Arial" w:hAnsi="Arial"/>
          <w:b/>
        </w:rPr>
        <w:t>Artículo</w:t>
      </w:r>
      <w:r>
        <w:rPr>
          <w:rFonts w:ascii="Arial" w:hAnsi="Arial"/>
          <w:b/>
          <w:spacing w:val="-7"/>
        </w:rPr>
        <w:t> </w:t>
      </w:r>
      <w:r>
        <w:rPr>
          <w:rFonts w:ascii="Arial" w:hAnsi="Arial"/>
          <w:b/>
        </w:rPr>
        <w:t>405.-</w:t>
      </w:r>
      <w:r>
        <w:rPr>
          <w:rFonts w:ascii="Arial" w:hAnsi="Arial"/>
          <w:b/>
          <w:spacing w:val="-7"/>
        </w:rPr>
        <w:t> </w:t>
      </w:r>
      <w:r>
        <w:rPr/>
        <w:t>Los</w:t>
      </w:r>
      <w:r>
        <w:rPr>
          <w:spacing w:val="-7"/>
        </w:rPr>
        <w:t> </w:t>
      </w:r>
      <w:r>
        <w:rPr/>
        <w:t>contratos-ley</w:t>
      </w:r>
      <w:r>
        <w:rPr>
          <w:spacing w:val="-11"/>
        </w:rPr>
        <w:t> </w:t>
      </w:r>
      <w:r>
        <w:rPr/>
        <w:t>pueden</w:t>
      </w:r>
      <w:r>
        <w:rPr>
          <w:spacing w:val="-8"/>
        </w:rPr>
        <w:t> </w:t>
      </w:r>
      <w:r>
        <w:rPr/>
        <w:t>celebrarse</w:t>
      </w:r>
      <w:r>
        <w:rPr>
          <w:spacing w:val="-8"/>
        </w:rPr>
        <w:t> </w:t>
      </w:r>
      <w:r>
        <w:rPr/>
        <w:t>para</w:t>
      </w:r>
      <w:r>
        <w:rPr>
          <w:spacing w:val="-7"/>
        </w:rPr>
        <w:t> </w:t>
      </w:r>
      <w:r>
        <w:rPr/>
        <w:t>industrias</w:t>
      </w:r>
      <w:r>
        <w:rPr>
          <w:spacing w:val="-7"/>
        </w:rPr>
        <w:t> </w:t>
      </w:r>
      <w:r>
        <w:rPr/>
        <w:t>de</w:t>
      </w:r>
      <w:r>
        <w:rPr>
          <w:spacing w:val="-8"/>
        </w:rPr>
        <w:t> </w:t>
      </w:r>
      <w:r>
        <w:rPr/>
        <w:t>jurisdicción</w:t>
      </w:r>
      <w:r>
        <w:rPr>
          <w:spacing w:val="-6"/>
        </w:rPr>
        <w:t> </w:t>
      </w:r>
      <w:r>
        <w:rPr/>
        <w:t>federal</w:t>
      </w:r>
      <w:r>
        <w:rPr>
          <w:spacing w:val="-9"/>
        </w:rPr>
        <w:t> </w:t>
      </w:r>
      <w:r>
        <w:rPr/>
        <w:t>o</w:t>
      </w:r>
      <w:r>
        <w:rPr>
          <w:spacing w:val="-6"/>
        </w:rPr>
        <w:t> </w:t>
      </w:r>
      <w:r>
        <w:rPr>
          <w:spacing w:val="-2"/>
        </w:rPr>
        <w:t>local.</w:t>
      </w:r>
    </w:p>
    <w:p>
      <w:pPr>
        <w:pStyle w:val="BodyText"/>
        <w:spacing w:before="1"/>
      </w:pPr>
    </w:p>
    <w:p>
      <w:pPr>
        <w:pStyle w:val="BodyText"/>
        <w:spacing w:before="1"/>
        <w:ind w:left="338" w:right="339" w:firstLine="288"/>
        <w:jc w:val="both"/>
      </w:pPr>
      <w:bookmarkStart w:name="Artículo_406" w:id="535"/>
      <w:bookmarkEnd w:id="535"/>
      <w:r>
        <w:rPr/>
      </w:r>
      <w:r>
        <w:rPr>
          <w:rFonts w:ascii="Arial" w:hAnsi="Arial"/>
          <w:b/>
        </w:rPr>
        <w:t>Artículo 406.- </w:t>
      </w:r>
      <w:r>
        <w:rPr/>
        <w:t>Pueden solicitar la celebración de un contrato-ley los sindicatos que representen las</w:t>
      </w:r>
      <w:r>
        <w:rPr>
          <w:spacing w:val="40"/>
        </w:rPr>
        <w:t> </w:t>
      </w:r>
      <w:r>
        <w:rPr/>
        <w:t>dos terceras partes de los trabajadores sindicalizados, por lo menos, de</w:t>
      </w:r>
      <w:r>
        <w:rPr>
          <w:spacing w:val="16"/>
        </w:rPr>
        <w:t> </w:t>
      </w:r>
      <w:r>
        <w:rPr/>
        <w:t>una rama de la industria en una</w:t>
      </w:r>
      <w:r>
        <w:rPr>
          <w:spacing w:val="40"/>
        </w:rPr>
        <w:t> </w:t>
      </w:r>
      <w:r>
        <w:rPr/>
        <w:t>o varias Entidades Federativas, en una o más zonas económicas, que abarque una o más de dichas Entidades o en todo el territorio nacional.</w:t>
      </w:r>
    </w:p>
    <w:p>
      <w:pPr>
        <w:pStyle w:val="BodyText"/>
        <w:spacing w:line="229" w:lineRule="exact" w:before="229"/>
        <w:ind w:left="626"/>
      </w:pPr>
      <w:bookmarkStart w:name="Artículo_407" w:id="536"/>
      <w:bookmarkEnd w:id="536"/>
      <w:r>
        <w:rPr/>
      </w:r>
      <w:r>
        <w:rPr>
          <w:rFonts w:ascii="Arial" w:hAnsi="Arial"/>
          <w:b/>
        </w:rPr>
        <w:t>Artículo</w:t>
      </w:r>
      <w:r>
        <w:rPr>
          <w:rFonts w:ascii="Arial" w:hAnsi="Arial"/>
          <w:b/>
          <w:spacing w:val="-6"/>
        </w:rPr>
        <w:t> </w:t>
      </w:r>
      <w:r>
        <w:rPr>
          <w:rFonts w:ascii="Arial" w:hAnsi="Arial"/>
          <w:b/>
        </w:rPr>
        <w:t>407.-</w:t>
      </w:r>
      <w:r>
        <w:rPr>
          <w:rFonts w:ascii="Arial" w:hAnsi="Arial"/>
          <w:b/>
          <w:spacing w:val="-6"/>
        </w:rPr>
        <w:t> </w:t>
      </w:r>
      <w:r>
        <w:rPr/>
        <w:t>La</w:t>
      </w:r>
      <w:r>
        <w:rPr>
          <w:spacing w:val="-6"/>
        </w:rPr>
        <w:t> </w:t>
      </w:r>
      <w:r>
        <w:rPr/>
        <w:t>solicitud</w:t>
      </w:r>
      <w:r>
        <w:rPr>
          <w:spacing w:val="-6"/>
        </w:rPr>
        <w:t> </w:t>
      </w:r>
      <w:r>
        <w:rPr/>
        <w:t>se</w:t>
      </w:r>
      <w:r>
        <w:rPr>
          <w:spacing w:val="-6"/>
        </w:rPr>
        <w:t> </w:t>
      </w:r>
      <w:r>
        <w:rPr/>
        <w:t>presentará</w:t>
      </w:r>
      <w:r>
        <w:rPr>
          <w:spacing w:val="-7"/>
        </w:rPr>
        <w:t> </w:t>
      </w:r>
      <w:r>
        <w:rPr/>
        <w:t>al</w:t>
      </w:r>
      <w:r>
        <w:rPr>
          <w:spacing w:val="-7"/>
        </w:rPr>
        <w:t> </w:t>
      </w:r>
      <w:r>
        <w:rPr/>
        <w:t>Centro</w:t>
      </w:r>
      <w:r>
        <w:rPr>
          <w:spacing w:val="-7"/>
        </w:rPr>
        <w:t> </w:t>
      </w:r>
      <w:r>
        <w:rPr/>
        <w:t>Federal</w:t>
      </w:r>
      <w:r>
        <w:rPr>
          <w:spacing w:val="-5"/>
        </w:rPr>
        <w:t> </w:t>
      </w:r>
      <w:r>
        <w:rPr/>
        <w:t>de</w:t>
      </w:r>
      <w:r>
        <w:rPr>
          <w:spacing w:val="-6"/>
        </w:rPr>
        <w:t> </w:t>
      </w:r>
      <w:r>
        <w:rPr/>
        <w:t>Conciliación</w:t>
      </w:r>
      <w:r>
        <w:rPr>
          <w:spacing w:val="-5"/>
        </w:rPr>
        <w:t> </w:t>
      </w:r>
      <w:r>
        <w:rPr/>
        <w:t>y</w:t>
      </w:r>
      <w:r>
        <w:rPr>
          <w:spacing w:val="-7"/>
        </w:rPr>
        <w:t> </w:t>
      </w:r>
      <w:r>
        <w:rPr/>
        <w:t>Registro</w:t>
      </w:r>
      <w:r>
        <w:rPr>
          <w:spacing w:val="-7"/>
        </w:rPr>
        <w:t> </w:t>
      </w:r>
      <w:r>
        <w:rPr>
          <w:spacing w:val="-2"/>
        </w:rPr>
        <w:t>Laboral.</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3" w:lineRule="exact"/>
        <w:jc w:val="left"/>
        <w:rPr>
          <w:rFonts w:ascii="Times New Roman" w:hAnsi="Times New Roman"/>
          <w:i/>
          <w:sz w:val="16"/>
        </w:rPr>
        <w:sectPr>
          <w:pgSz w:w="12240" w:h="15840"/>
          <w:pgMar w:header="724" w:footer="712" w:top="1880" w:bottom="900" w:left="1080" w:right="1080"/>
        </w:sectPr>
      </w:pPr>
    </w:p>
    <w:p>
      <w:pPr>
        <w:pStyle w:val="BodyText"/>
        <w:spacing w:before="61"/>
        <w:rPr>
          <w:rFonts w:ascii="Times New Roman"/>
          <w:i/>
        </w:rPr>
      </w:pPr>
    </w:p>
    <w:p>
      <w:pPr>
        <w:pStyle w:val="BodyText"/>
        <w:spacing w:line="242" w:lineRule="auto"/>
        <w:ind w:left="338" w:right="344" w:firstLine="288"/>
        <w:jc w:val="both"/>
      </w:pPr>
      <w:bookmarkStart w:name="Artículo_408" w:id="537"/>
      <w:bookmarkEnd w:id="537"/>
      <w:r>
        <w:rPr/>
      </w:r>
      <w:r>
        <w:rPr>
          <w:rFonts w:ascii="Arial" w:hAnsi="Arial"/>
          <w:b/>
        </w:rPr>
        <w:t>Artículo 408.- </w:t>
      </w:r>
      <w:r>
        <w:rPr/>
        <w:t>Los solicitantes justificarán que satisfacen el requisito de mayoría mencionado en el artículo 406, acompañando la Constancia de Representatividad obtenida conforme al procedimiento establecido en el artículo 390 Bis, o con el padrón de socios si tienen celebrado contrato colectivo de trabajo o son administradores del contrato-ley.</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1"/>
        <w:rPr>
          <w:rFonts w:ascii="Times New Roman"/>
          <w:i/>
          <w:sz w:val="16"/>
        </w:rPr>
      </w:pPr>
    </w:p>
    <w:p>
      <w:pPr>
        <w:pStyle w:val="BodyText"/>
        <w:spacing w:line="242" w:lineRule="auto"/>
        <w:ind w:left="338" w:right="336" w:firstLine="288"/>
        <w:jc w:val="both"/>
      </w:pPr>
      <w:bookmarkStart w:name="Artículo_409" w:id="538"/>
      <w:bookmarkEnd w:id="538"/>
      <w:r>
        <w:rPr/>
      </w:r>
      <w:r>
        <w:rPr>
          <w:rFonts w:ascii="Arial" w:hAnsi="Arial"/>
          <w:b/>
        </w:rPr>
        <w:t>Artículo 409.- </w:t>
      </w:r>
      <w:r>
        <w:rPr/>
        <w:t>El Centro Federal de Conciliación y Registro Laboral, después de verificar el requisito de mayoría, si a su juicio es oportuna y benéfica para la industria la celebración del contrato-ley, convocará a una convención a los sindicatos de trabajadores y a los patrones que puedan resultar </w:t>
      </w:r>
      <w:r>
        <w:rPr>
          <w:spacing w:val="-2"/>
        </w:rPr>
        <w:t>afectados.</w:t>
      </w:r>
    </w:p>
    <w:p>
      <w:pPr>
        <w:spacing w:line="178"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09-04-2012,</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0" w:firstLine="288"/>
        <w:jc w:val="both"/>
      </w:pPr>
      <w:bookmarkStart w:name="Artículo_410" w:id="539"/>
      <w:bookmarkEnd w:id="539"/>
      <w:r>
        <w:rPr/>
      </w:r>
      <w:r>
        <w:rPr>
          <w:rFonts w:ascii="Arial" w:hAnsi="Arial"/>
          <w:b/>
        </w:rPr>
        <w:t>Artículo 410.- </w:t>
      </w:r>
      <w:r>
        <w:rPr/>
        <w:t>La convocatoria se publicará en el Diario Oficial de la Federación o en el periódico oficial</w:t>
      </w:r>
      <w:r>
        <w:rPr>
          <w:spacing w:val="-3"/>
        </w:rPr>
        <w:t> </w:t>
      </w:r>
      <w:r>
        <w:rPr/>
        <w:t>de</w:t>
      </w:r>
      <w:r>
        <w:rPr>
          <w:spacing w:val="-2"/>
        </w:rPr>
        <w:t> </w:t>
      </w:r>
      <w:r>
        <w:rPr/>
        <w:t>la</w:t>
      </w:r>
      <w:r>
        <w:rPr>
          <w:spacing w:val="-2"/>
        </w:rPr>
        <w:t> </w:t>
      </w:r>
      <w:r>
        <w:rPr/>
        <w:t>Entidad</w:t>
      </w:r>
      <w:r>
        <w:rPr>
          <w:spacing w:val="-2"/>
        </w:rPr>
        <w:t> </w:t>
      </w:r>
      <w:r>
        <w:rPr/>
        <w:t>Federativa y</w:t>
      </w:r>
      <w:r>
        <w:rPr>
          <w:spacing w:val="-6"/>
        </w:rPr>
        <w:t> </w:t>
      </w:r>
      <w:r>
        <w:rPr/>
        <w:t>en</w:t>
      </w:r>
      <w:r>
        <w:rPr>
          <w:spacing w:val="-2"/>
        </w:rPr>
        <w:t> </w:t>
      </w:r>
      <w:r>
        <w:rPr/>
        <w:t>los</w:t>
      </w:r>
      <w:r>
        <w:rPr>
          <w:spacing w:val="-3"/>
        </w:rPr>
        <w:t> </w:t>
      </w:r>
      <w:r>
        <w:rPr/>
        <w:t>periódicos</w:t>
      </w:r>
      <w:r>
        <w:rPr>
          <w:spacing w:val="-1"/>
        </w:rPr>
        <w:t> </w:t>
      </w:r>
      <w:r>
        <w:rPr/>
        <w:t>o</w:t>
      </w:r>
      <w:r>
        <w:rPr>
          <w:spacing w:val="-3"/>
        </w:rPr>
        <w:t> </w:t>
      </w:r>
      <w:r>
        <w:rPr/>
        <w:t>por</w:t>
      </w:r>
      <w:r>
        <w:rPr>
          <w:spacing w:val="-3"/>
        </w:rPr>
        <w:t> </w:t>
      </w:r>
      <w:r>
        <w:rPr/>
        <w:t>los</w:t>
      </w:r>
      <w:r>
        <w:rPr>
          <w:spacing w:val="-3"/>
        </w:rPr>
        <w:t> </w:t>
      </w:r>
      <w:r>
        <w:rPr/>
        <w:t>medios</w:t>
      </w:r>
      <w:r>
        <w:rPr>
          <w:spacing w:val="-1"/>
        </w:rPr>
        <w:t> </w:t>
      </w:r>
      <w:r>
        <w:rPr/>
        <w:t>que</w:t>
      </w:r>
      <w:r>
        <w:rPr>
          <w:spacing w:val="-2"/>
        </w:rPr>
        <w:t> </w:t>
      </w:r>
      <w:r>
        <w:rPr/>
        <w:t>se</w:t>
      </w:r>
      <w:r>
        <w:rPr>
          <w:spacing w:val="-3"/>
        </w:rPr>
        <w:t> </w:t>
      </w:r>
      <w:r>
        <w:rPr/>
        <w:t>juzguen</w:t>
      </w:r>
      <w:r>
        <w:rPr>
          <w:spacing w:val="-4"/>
        </w:rPr>
        <w:t> </w:t>
      </w:r>
      <w:r>
        <w:rPr/>
        <w:t>adecuados y</w:t>
      </w:r>
      <w:r>
        <w:rPr>
          <w:spacing w:val="-6"/>
        </w:rPr>
        <w:t> </w:t>
      </w:r>
      <w:r>
        <w:rPr/>
        <w:t>señalará el lugar donde haya de celebrarse la convención y la fecha y hora de la reunión inaugural. La fecha de la reunión será señalada dentro de un plazo no menor de treinta días.</w:t>
      </w:r>
    </w:p>
    <w:p>
      <w:pPr>
        <w:pStyle w:val="BodyText"/>
      </w:pPr>
    </w:p>
    <w:p>
      <w:pPr>
        <w:pStyle w:val="BodyText"/>
        <w:spacing w:line="242" w:lineRule="auto"/>
        <w:ind w:left="338" w:right="334" w:firstLine="288"/>
        <w:jc w:val="both"/>
      </w:pPr>
      <w:bookmarkStart w:name="Artículo_411" w:id="540"/>
      <w:bookmarkEnd w:id="540"/>
      <w:r>
        <w:rPr/>
      </w:r>
      <w:r>
        <w:rPr>
          <w:rFonts w:ascii="Arial" w:hAnsi="Arial"/>
          <w:b/>
        </w:rPr>
        <w:t>Artículo</w:t>
      </w:r>
      <w:r>
        <w:rPr>
          <w:rFonts w:ascii="Arial" w:hAnsi="Arial"/>
          <w:b/>
          <w:spacing w:val="-1"/>
        </w:rPr>
        <w:t> </w:t>
      </w:r>
      <w:r>
        <w:rPr>
          <w:rFonts w:ascii="Arial" w:hAnsi="Arial"/>
          <w:b/>
        </w:rPr>
        <w:t>411.-</w:t>
      </w:r>
      <w:r>
        <w:rPr>
          <w:rFonts w:ascii="Arial" w:hAnsi="Arial"/>
          <w:b/>
          <w:spacing w:val="-2"/>
        </w:rPr>
        <w:t> </w:t>
      </w:r>
      <w:r>
        <w:rPr/>
        <w:t>La</w:t>
      </w:r>
      <w:r>
        <w:rPr>
          <w:spacing w:val="-1"/>
        </w:rPr>
        <w:t> </w:t>
      </w:r>
      <w:r>
        <w:rPr/>
        <w:t>convención</w:t>
      </w:r>
      <w:r>
        <w:rPr>
          <w:spacing w:val="-4"/>
        </w:rPr>
        <w:t> </w:t>
      </w:r>
      <w:r>
        <w:rPr/>
        <w:t>será</w:t>
      </w:r>
      <w:r>
        <w:rPr>
          <w:spacing w:val="-1"/>
        </w:rPr>
        <w:t> </w:t>
      </w:r>
      <w:r>
        <w:rPr/>
        <w:t>presidida</w:t>
      </w:r>
      <w:r>
        <w:rPr>
          <w:spacing w:val="-2"/>
        </w:rPr>
        <w:t> </w:t>
      </w:r>
      <w:r>
        <w:rPr/>
        <w:t>por</w:t>
      </w:r>
      <w:r>
        <w:rPr>
          <w:spacing w:val="-1"/>
        </w:rPr>
        <w:t> </w:t>
      </w:r>
      <w:r>
        <w:rPr/>
        <w:t>el</w:t>
      </w:r>
      <w:r>
        <w:rPr>
          <w:spacing w:val="-2"/>
        </w:rPr>
        <w:t> </w:t>
      </w:r>
      <w:r>
        <w:rPr/>
        <w:t>titular</w:t>
      </w:r>
      <w:r>
        <w:rPr>
          <w:spacing w:val="-3"/>
        </w:rPr>
        <w:t> </w:t>
      </w:r>
      <w:r>
        <w:rPr/>
        <w:t>del</w:t>
      </w:r>
      <w:r>
        <w:rPr>
          <w:spacing w:val="-2"/>
        </w:rPr>
        <w:t> </w:t>
      </w:r>
      <w:r>
        <w:rPr/>
        <w:t>Centro</w:t>
      </w:r>
      <w:r>
        <w:rPr>
          <w:spacing w:val="-3"/>
        </w:rPr>
        <w:t> </w:t>
      </w:r>
      <w:r>
        <w:rPr/>
        <w:t>Federal</w:t>
      </w:r>
      <w:r>
        <w:rPr>
          <w:spacing w:val="-2"/>
        </w:rPr>
        <w:t> </w:t>
      </w:r>
      <w:r>
        <w:rPr/>
        <w:t>de</w:t>
      </w:r>
      <w:r>
        <w:rPr>
          <w:spacing w:val="-1"/>
        </w:rPr>
        <w:t> </w:t>
      </w:r>
      <w:r>
        <w:rPr/>
        <w:t>Conciliación y</w:t>
      </w:r>
      <w:r>
        <w:rPr>
          <w:spacing w:val="-4"/>
        </w:rPr>
        <w:t> </w:t>
      </w:r>
      <w:r>
        <w:rPr/>
        <w:t>Registro Laboral o por el representante que al efecto éste designe.</w:t>
      </w:r>
    </w:p>
    <w:p>
      <w:pPr>
        <w:spacing w:line="181"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626"/>
      </w:pPr>
      <w:r>
        <w:rPr/>
        <w:t>La</w:t>
      </w:r>
      <w:r>
        <w:rPr>
          <w:spacing w:val="-10"/>
        </w:rPr>
        <w:t> </w:t>
      </w:r>
      <w:r>
        <w:rPr/>
        <w:t>convención</w:t>
      </w:r>
      <w:r>
        <w:rPr>
          <w:spacing w:val="-6"/>
        </w:rPr>
        <w:t> </w:t>
      </w:r>
      <w:r>
        <w:rPr/>
        <w:t>formulará</w:t>
      </w:r>
      <w:r>
        <w:rPr>
          <w:spacing w:val="-9"/>
        </w:rPr>
        <w:t> </w:t>
      </w:r>
      <w:r>
        <w:rPr/>
        <w:t>su</w:t>
      </w:r>
      <w:r>
        <w:rPr>
          <w:spacing w:val="-8"/>
        </w:rPr>
        <w:t> </w:t>
      </w:r>
      <w:r>
        <w:rPr/>
        <w:t>reglamento</w:t>
      </w:r>
      <w:r>
        <w:rPr>
          <w:spacing w:val="-9"/>
        </w:rPr>
        <w:t> </w:t>
      </w:r>
      <w:r>
        <w:rPr/>
        <w:t>e</w:t>
      </w:r>
      <w:r>
        <w:rPr>
          <w:spacing w:val="-7"/>
        </w:rPr>
        <w:t> </w:t>
      </w:r>
      <w:r>
        <w:rPr/>
        <w:t>integrará</w:t>
      </w:r>
      <w:r>
        <w:rPr>
          <w:spacing w:val="-7"/>
        </w:rPr>
        <w:t> </w:t>
      </w:r>
      <w:r>
        <w:rPr/>
        <w:t>las</w:t>
      </w:r>
      <w:r>
        <w:rPr>
          <w:spacing w:val="-7"/>
        </w:rPr>
        <w:t> </w:t>
      </w:r>
      <w:r>
        <w:rPr/>
        <w:t>comisiones</w:t>
      </w:r>
      <w:r>
        <w:rPr>
          <w:spacing w:val="-8"/>
        </w:rPr>
        <w:t> </w:t>
      </w:r>
      <w:r>
        <w:rPr/>
        <w:t>que</w:t>
      </w:r>
      <w:r>
        <w:rPr>
          <w:spacing w:val="-9"/>
        </w:rPr>
        <w:t> </w:t>
      </w:r>
      <w:r>
        <w:rPr/>
        <w:t>juzgue</w:t>
      </w:r>
      <w:r>
        <w:rPr>
          <w:spacing w:val="-8"/>
        </w:rPr>
        <w:t> </w:t>
      </w:r>
      <w:r>
        <w:rPr>
          <w:spacing w:val="-2"/>
        </w:rPr>
        <w:t>conveniente.</w:t>
      </w:r>
    </w:p>
    <w:p>
      <w:pPr>
        <w:spacing w:before="229"/>
        <w:ind w:left="626" w:right="0" w:firstLine="0"/>
        <w:jc w:val="left"/>
        <w:rPr>
          <w:sz w:val="20"/>
        </w:rPr>
      </w:pPr>
      <w:bookmarkStart w:name="Artículo_412" w:id="541"/>
      <w:bookmarkEnd w:id="541"/>
      <w:r>
        <w:rPr/>
      </w:r>
      <w:r>
        <w:rPr>
          <w:rFonts w:ascii="Arial" w:hAnsi="Arial"/>
          <w:b/>
          <w:sz w:val="20"/>
        </w:rPr>
        <w:t>Artículo</w:t>
      </w:r>
      <w:r>
        <w:rPr>
          <w:rFonts w:ascii="Arial" w:hAnsi="Arial"/>
          <w:b/>
          <w:spacing w:val="-7"/>
          <w:sz w:val="20"/>
        </w:rPr>
        <w:t> </w:t>
      </w:r>
      <w:r>
        <w:rPr>
          <w:rFonts w:ascii="Arial" w:hAnsi="Arial"/>
          <w:b/>
          <w:sz w:val="20"/>
        </w:rPr>
        <w:t>412.-</w:t>
      </w:r>
      <w:r>
        <w:rPr>
          <w:rFonts w:ascii="Arial" w:hAnsi="Arial"/>
          <w:b/>
          <w:spacing w:val="-5"/>
          <w:sz w:val="20"/>
        </w:rPr>
        <w:t> </w:t>
      </w:r>
      <w:r>
        <w:rPr>
          <w:sz w:val="20"/>
        </w:rPr>
        <w:t>El</w:t>
      </w:r>
      <w:r>
        <w:rPr>
          <w:spacing w:val="-9"/>
          <w:sz w:val="20"/>
        </w:rPr>
        <w:t> </w:t>
      </w:r>
      <w:r>
        <w:rPr>
          <w:sz w:val="20"/>
        </w:rPr>
        <w:t>contrato-ley</w:t>
      </w:r>
      <w:r>
        <w:rPr>
          <w:spacing w:val="-10"/>
          <w:sz w:val="20"/>
        </w:rPr>
        <w:t> </w:t>
      </w:r>
      <w:r>
        <w:rPr>
          <w:spacing w:val="-2"/>
          <w:sz w:val="20"/>
        </w:rPr>
        <w:t>contendrá:</w:t>
      </w:r>
    </w:p>
    <w:p>
      <w:pPr>
        <w:pStyle w:val="BodyText"/>
      </w:pPr>
    </w:p>
    <w:p>
      <w:pPr>
        <w:pStyle w:val="ListParagraph"/>
        <w:numPr>
          <w:ilvl w:val="0"/>
          <w:numId w:val="132"/>
        </w:numPr>
        <w:tabs>
          <w:tab w:pos="1195" w:val="left" w:leader="none"/>
        </w:tabs>
        <w:spacing w:line="240" w:lineRule="auto" w:before="0" w:after="0"/>
        <w:ind w:left="1195" w:right="347" w:hanging="569"/>
        <w:jc w:val="left"/>
        <w:rPr>
          <w:sz w:val="20"/>
        </w:rPr>
      </w:pPr>
      <w:r>
        <w:rPr>
          <w:sz w:val="20"/>
        </w:rPr>
        <w:t>Los</w:t>
      </w:r>
      <w:r>
        <w:rPr>
          <w:spacing w:val="-2"/>
          <w:sz w:val="20"/>
        </w:rPr>
        <w:t> </w:t>
      </w:r>
      <w:r>
        <w:rPr>
          <w:sz w:val="20"/>
        </w:rPr>
        <w:t>nombres y</w:t>
      </w:r>
      <w:r>
        <w:rPr>
          <w:spacing w:val="-8"/>
          <w:sz w:val="20"/>
        </w:rPr>
        <w:t> </w:t>
      </w:r>
      <w:r>
        <w:rPr>
          <w:sz w:val="20"/>
        </w:rPr>
        <w:t>domicilios</w:t>
      </w:r>
      <w:r>
        <w:rPr>
          <w:spacing w:val="-2"/>
          <w:sz w:val="20"/>
        </w:rPr>
        <w:t> </w:t>
      </w:r>
      <w:r>
        <w:rPr>
          <w:sz w:val="20"/>
        </w:rPr>
        <w:t>de</w:t>
      </w:r>
      <w:r>
        <w:rPr>
          <w:spacing w:val="-4"/>
          <w:sz w:val="20"/>
        </w:rPr>
        <w:t> </w:t>
      </w:r>
      <w:r>
        <w:rPr>
          <w:sz w:val="20"/>
        </w:rPr>
        <w:t>los</w:t>
      </w:r>
      <w:r>
        <w:rPr>
          <w:spacing w:val="-2"/>
          <w:sz w:val="20"/>
        </w:rPr>
        <w:t> </w:t>
      </w:r>
      <w:r>
        <w:rPr>
          <w:sz w:val="20"/>
        </w:rPr>
        <w:t>sindicatos</w:t>
      </w:r>
      <w:r>
        <w:rPr>
          <w:spacing w:val="-2"/>
          <w:sz w:val="20"/>
        </w:rPr>
        <w:t> </w:t>
      </w:r>
      <w:r>
        <w:rPr>
          <w:sz w:val="20"/>
        </w:rPr>
        <w:t>de</w:t>
      </w:r>
      <w:r>
        <w:rPr>
          <w:spacing w:val="-4"/>
          <w:sz w:val="20"/>
        </w:rPr>
        <w:t> </w:t>
      </w:r>
      <w:r>
        <w:rPr>
          <w:sz w:val="20"/>
        </w:rPr>
        <w:t>trabajadores y</w:t>
      </w:r>
      <w:r>
        <w:rPr>
          <w:spacing w:val="-6"/>
          <w:sz w:val="20"/>
        </w:rPr>
        <w:t> </w:t>
      </w:r>
      <w:r>
        <w:rPr>
          <w:sz w:val="20"/>
        </w:rPr>
        <w:t>de</w:t>
      </w:r>
      <w:r>
        <w:rPr>
          <w:spacing w:val="-4"/>
          <w:sz w:val="20"/>
        </w:rPr>
        <w:t> </w:t>
      </w:r>
      <w:r>
        <w:rPr>
          <w:sz w:val="20"/>
        </w:rPr>
        <w:t>los</w:t>
      </w:r>
      <w:r>
        <w:rPr>
          <w:spacing w:val="-2"/>
          <w:sz w:val="20"/>
        </w:rPr>
        <w:t> </w:t>
      </w:r>
      <w:r>
        <w:rPr>
          <w:sz w:val="20"/>
        </w:rPr>
        <w:t>patrones</w:t>
      </w:r>
      <w:r>
        <w:rPr>
          <w:spacing w:val="-2"/>
          <w:sz w:val="20"/>
        </w:rPr>
        <w:t> </w:t>
      </w:r>
      <w:r>
        <w:rPr>
          <w:sz w:val="20"/>
        </w:rPr>
        <w:t>que</w:t>
      </w:r>
      <w:r>
        <w:rPr>
          <w:spacing w:val="-1"/>
          <w:sz w:val="20"/>
        </w:rPr>
        <w:t> </w:t>
      </w:r>
      <w:r>
        <w:rPr>
          <w:sz w:val="20"/>
        </w:rPr>
        <w:t>concurrieron</w:t>
      </w:r>
      <w:r>
        <w:rPr>
          <w:spacing w:val="-3"/>
          <w:sz w:val="20"/>
        </w:rPr>
        <w:t> </w:t>
      </w:r>
      <w:r>
        <w:rPr>
          <w:sz w:val="20"/>
        </w:rPr>
        <w:t>a la convención;</w:t>
      </w:r>
    </w:p>
    <w:p>
      <w:pPr>
        <w:pStyle w:val="ListParagraph"/>
        <w:numPr>
          <w:ilvl w:val="0"/>
          <w:numId w:val="132"/>
        </w:numPr>
        <w:tabs>
          <w:tab w:pos="1195" w:val="left" w:leader="none"/>
        </w:tabs>
        <w:spacing w:line="242" w:lineRule="auto" w:before="230" w:after="0"/>
        <w:ind w:left="1195" w:right="346" w:hanging="569"/>
        <w:jc w:val="left"/>
        <w:rPr>
          <w:sz w:val="20"/>
        </w:rPr>
      </w:pPr>
      <w:r>
        <w:rPr>
          <w:sz w:val="20"/>
        </w:rPr>
        <w:t>La</w:t>
      </w:r>
      <w:r>
        <w:rPr>
          <w:spacing w:val="18"/>
          <w:sz w:val="20"/>
        </w:rPr>
        <w:t> </w:t>
      </w:r>
      <w:r>
        <w:rPr>
          <w:sz w:val="20"/>
        </w:rPr>
        <w:t>Entidad</w:t>
      </w:r>
      <w:r>
        <w:rPr>
          <w:spacing w:val="21"/>
          <w:sz w:val="20"/>
        </w:rPr>
        <w:t> </w:t>
      </w:r>
      <w:r>
        <w:rPr>
          <w:sz w:val="20"/>
        </w:rPr>
        <w:t>o</w:t>
      </w:r>
      <w:r>
        <w:rPr>
          <w:spacing w:val="19"/>
          <w:sz w:val="20"/>
        </w:rPr>
        <w:t> </w:t>
      </w:r>
      <w:r>
        <w:rPr>
          <w:sz w:val="20"/>
        </w:rPr>
        <w:t>Entidades</w:t>
      </w:r>
      <w:r>
        <w:rPr>
          <w:spacing w:val="20"/>
          <w:sz w:val="20"/>
        </w:rPr>
        <w:t> </w:t>
      </w:r>
      <w:r>
        <w:rPr>
          <w:sz w:val="20"/>
        </w:rPr>
        <w:t>Federativas,</w:t>
      </w:r>
      <w:r>
        <w:rPr>
          <w:spacing w:val="21"/>
          <w:sz w:val="20"/>
        </w:rPr>
        <w:t> </w:t>
      </w:r>
      <w:r>
        <w:rPr>
          <w:sz w:val="20"/>
        </w:rPr>
        <w:t>la</w:t>
      </w:r>
      <w:r>
        <w:rPr>
          <w:spacing w:val="21"/>
          <w:sz w:val="20"/>
        </w:rPr>
        <w:t> </w:t>
      </w:r>
      <w:r>
        <w:rPr>
          <w:sz w:val="20"/>
        </w:rPr>
        <w:t>zona</w:t>
      </w:r>
      <w:r>
        <w:rPr>
          <w:spacing w:val="19"/>
          <w:sz w:val="20"/>
        </w:rPr>
        <w:t> </w:t>
      </w:r>
      <w:r>
        <w:rPr>
          <w:sz w:val="20"/>
        </w:rPr>
        <w:t>o</w:t>
      </w:r>
      <w:r>
        <w:rPr>
          <w:spacing w:val="21"/>
          <w:sz w:val="20"/>
        </w:rPr>
        <w:t> </w:t>
      </w:r>
      <w:r>
        <w:rPr>
          <w:sz w:val="20"/>
        </w:rPr>
        <w:t>zonas</w:t>
      </w:r>
      <w:r>
        <w:rPr>
          <w:spacing w:val="20"/>
          <w:sz w:val="20"/>
        </w:rPr>
        <w:t> </w:t>
      </w:r>
      <w:r>
        <w:rPr>
          <w:sz w:val="20"/>
        </w:rPr>
        <w:t>que</w:t>
      </w:r>
      <w:r>
        <w:rPr>
          <w:spacing w:val="19"/>
          <w:sz w:val="20"/>
        </w:rPr>
        <w:t> </w:t>
      </w:r>
      <w:r>
        <w:rPr>
          <w:sz w:val="20"/>
        </w:rPr>
        <w:t>abarque</w:t>
      </w:r>
      <w:r>
        <w:rPr>
          <w:spacing w:val="19"/>
          <w:sz w:val="20"/>
        </w:rPr>
        <w:t> </w:t>
      </w:r>
      <w:r>
        <w:rPr>
          <w:sz w:val="20"/>
        </w:rPr>
        <w:t>o</w:t>
      </w:r>
      <w:r>
        <w:rPr>
          <w:spacing w:val="21"/>
          <w:sz w:val="20"/>
        </w:rPr>
        <w:t> </w:t>
      </w:r>
      <w:r>
        <w:rPr>
          <w:sz w:val="20"/>
        </w:rPr>
        <w:t>la</w:t>
      </w:r>
      <w:r>
        <w:rPr>
          <w:spacing w:val="19"/>
          <w:sz w:val="20"/>
        </w:rPr>
        <w:t> </w:t>
      </w:r>
      <w:r>
        <w:rPr>
          <w:sz w:val="20"/>
        </w:rPr>
        <w:t>expresión</w:t>
      </w:r>
      <w:r>
        <w:rPr>
          <w:spacing w:val="18"/>
          <w:sz w:val="20"/>
        </w:rPr>
        <w:t> </w:t>
      </w:r>
      <w:r>
        <w:rPr>
          <w:sz w:val="20"/>
        </w:rPr>
        <w:t>de</w:t>
      </w:r>
      <w:r>
        <w:rPr>
          <w:spacing w:val="18"/>
          <w:sz w:val="20"/>
        </w:rPr>
        <w:t> </w:t>
      </w:r>
      <w:r>
        <w:rPr>
          <w:sz w:val="20"/>
        </w:rPr>
        <w:t>regir</w:t>
      </w:r>
      <w:r>
        <w:rPr>
          <w:spacing w:val="20"/>
          <w:sz w:val="20"/>
        </w:rPr>
        <w:t> </w:t>
      </w:r>
      <w:r>
        <w:rPr>
          <w:sz w:val="20"/>
        </w:rPr>
        <w:t>en todo el territorio nacional;</w:t>
      </w:r>
    </w:p>
    <w:p>
      <w:pPr>
        <w:pStyle w:val="ListParagraph"/>
        <w:numPr>
          <w:ilvl w:val="0"/>
          <w:numId w:val="132"/>
        </w:numPr>
        <w:tabs>
          <w:tab w:pos="1195" w:val="left" w:leader="none"/>
        </w:tabs>
        <w:spacing w:line="229" w:lineRule="exact" w:before="226" w:after="0"/>
        <w:ind w:left="1195" w:right="0" w:hanging="569"/>
        <w:jc w:val="left"/>
        <w:rPr>
          <w:sz w:val="20"/>
        </w:rPr>
      </w:pPr>
      <w:r>
        <w:rPr>
          <w:sz w:val="20"/>
        </w:rPr>
        <w:t>Su</w:t>
      </w:r>
      <w:r>
        <w:rPr>
          <w:spacing w:val="-5"/>
          <w:sz w:val="20"/>
        </w:rPr>
        <w:t> </w:t>
      </w:r>
      <w:r>
        <w:rPr>
          <w:sz w:val="20"/>
        </w:rPr>
        <w:t>vigencia,</w:t>
      </w:r>
      <w:r>
        <w:rPr>
          <w:spacing w:val="-5"/>
          <w:sz w:val="20"/>
        </w:rPr>
        <w:t> </w:t>
      </w:r>
      <w:r>
        <w:rPr>
          <w:sz w:val="20"/>
        </w:rPr>
        <w:t>que</w:t>
      </w:r>
      <w:r>
        <w:rPr>
          <w:spacing w:val="-5"/>
          <w:sz w:val="20"/>
        </w:rPr>
        <w:t> </w:t>
      </w:r>
      <w:r>
        <w:rPr>
          <w:sz w:val="20"/>
        </w:rPr>
        <w:t>no</w:t>
      </w:r>
      <w:r>
        <w:rPr>
          <w:spacing w:val="-5"/>
          <w:sz w:val="20"/>
        </w:rPr>
        <w:t> </w:t>
      </w:r>
      <w:r>
        <w:rPr>
          <w:sz w:val="20"/>
        </w:rPr>
        <w:t>podrá</w:t>
      </w:r>
      <w:r>
        <w:rPr>
          <w:spacing w:val="-2"/>
          <w:sz w:val="20"/>
        </w:rPr>
        <w:t> </w:t>
      </w:r>
      <w:r>
        <w:rPr>
          <w:sz w:val="20"/>
        </w:rPr>
        <w:t>exceder</w:t>
      </w:r>
      <w:r>
        <w:rPr>
          <w:spacing w:val="-7"/>
          <w:sz w:val="20"/>
        </w:rPr>
        <w:t> </w:t>
      </w:r>
      <w:r>
        <w:rPr>
          <w:sz w:val="20"/>
        </w:rPr>
        <w:t>de</w:t>
      </w:r>
      <w:r>
        <w:rPr>
          <w:spacing w:val="-4"/>
          <w:sz w:val="20"/>
        </w:rPr>
        <w:t> </w:t>
      </w:r>
      <w:r>
        <w:rPr>
          <w:sz w:val="20"/>
        </w:rPr>
        <w:t>dos</w:t>
      </w:r>
      <w:r>
        <w:rPr>
          <w:spacing w:val="-6"/>
          <w:sz w:val="20"/>
        </w:rPr>
        <w:t> </w:t>
      </w:r>
      <w:r>
        <w:rPr>
          <w:spacing w:val="-4"/>
          <w:sz w:val="20"/>
        </w:rPr>
        <w:t>años;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132"/>
        </w:numPr>
        <w:tabs>
          <w:tab w:pos="1195" w:val="left" w:leader="none"/>
        </w:tabs>
        <w:spacing w:line="240" w:lineRule="auto" w:before="1" w:after="0"/>
        <w:ind w:left="1195" w:right="0" w:hanging="569"/>
        <w:jc w:val="left"/>
        <w:rPr>
          <w:sz w:val="20"/>
        </w:rPr>
      </w:pPr>
      <w:r>
        <w:rPr>
          <w:sz w:val="20"/>
        </w:rPr>
        <w:t>Las</w:t>
      </w:r>
      <w:r>
        <w:rPr>
          <w:spacing w:val="-6"/>
          <w:sz w:val="20"/>
        </w:rPr>
        <w:t> </w:t>
      </w:r>
      <w:r>
        <w:rPr>
          <w:sz w:val="20"/>
        </w:rPr>
        <w:t>condiciones</w:t>
      </w:r>
      <w:r>
        <w:rPr>
          <w:spacing w:val="-5"/>
          <w:sz w:val="20"/>
        </w:rPr>
        <w:t> </w:t>
      </w:r>
      <w:r>
        <w:rPr>
          <w:sz w:val="20"/>
        </w:rPr>
        <w:t>de</w:t>
      </w:r>
      <w:r>
        <w:rPr>
          <w:spacing w:val="-6"/>
          <w:sz w:val="20"/>
        </w:rPr>
        <w:t> </w:t>
      </w:r>
      <w:r>
        <w:rPr>
          <w:sz w:val="20"/>
        </w:rPr>
        <w:t>trabajo</w:t>
      </w:r>
      <w:r>
        <w:rPr>
          <w:spacing w:val="-5"/>
          <w:sz w:val="20"/>
        </w:rPr>
        <w:t> </w:t>
      </w:r>
      <w:r>
        <w:rPr>
          <w:sz w:val="20"/>
        </w:rPr>
        <w:t>señaladas</w:t>
      </w:r>
      <w:r>
        <w:rPr>
          <w:spacing w:val="-5"/>
          <w:sz w:val="20"/>
        </w:rPr>
        <w:t> </w:t>
      </w:r>
      <w:r>
        <w:rPr>
          <w:sz w:val="20"/>
        </w:rPr>
        <w:t>en</w:t>
      </w:r>
      <w:r>
        <w:rPr>
          <w:spacing w:val="-6"/>
          <w:sz w:val="20"/>
        </w:rPr>
        <w:t> </w:t>
      </w:r>
      <w:r>
        <w:rPr>
          <w:sz w:val="20"/>
        </w:rPr>
        <w:t>el</w:t>
      </w:r>
      <w:r>
        <w:rPr>
          <w:spacing w:val="-7"/>
          <w:sz w:val="20"/>
        </w:rPr>
        <w:t> </w:t>
      </w:r>
      <w:r>
        <w:rPr>
          <w:sz w:val="20"/>
        </w:rPr>
        <w:t>artículo</w:t>
      </w:r>
      <w:r>
        <w:rPr>
          <w:spacing w:val="-5"/>
          <w:sz w:val="20"/>
        </w:rPr>
        <w:t> </w:t>
      </w:r>
      <w:r>
        <w:rPr>
          <w:sz w:val="20"/>
        </w:rPr>
        <w:t>391,</w:t>
      </w:r>
      <w:r>
        <w:rPr>
          <w:spacing w:val="-6"/>
          <w:sz w:val="20"/>
        </w:rPr>
        <w:t> </w:t>
      </w:r>
      <w:r>
        <w:rPr>
          <w:sz w:val="20"/>
        </w:rPr>
        <w:t>fracciones</w:t>
      </w:r>
      <w:r>
        <w:rPr>
          <w:spacing w:val="-5"/>
          <w:sz w:val="20"/>
        </w:rPr>
        <w:t> </w:t>
      </w:r>
      <w:r>
        <w:rPr>
          <w:sz w:val="20"/>
        </w:rPr>
        <w:t>IV,</w:t>
      </w:r>
      <w:r>
        <w:rPr>
          <w:spacing w:val="-6"/>
          <w:sz w:val="20"/>
        </w:rPr>
        <w:t> </w:t>
      </w:r>
      <w:r>
        <w:rPr>
          <w:sz w:val="20"/>
        </w:rPr>
        <w:t>V,</w:t>
      </w:r>
      <w:r>
        <w:rPr>
          <w:spacing w:val="-5"/>
          <w:sz w:val="20"/>
        </w:rPr>
        <w:t> </w:t>
      </w:r>
      <w:r>
        <w:rPr>
          <w:sz w:val="20"/>
        </w:rPr>
        <w:t>VI</w:t>
      </w:r>
      <w:r>
        <w:rPr>
          <w:spacing w:val="-1"/>
          <w:sz w:val="20"/>
        </w:rPr>
        <w:t> </w:t>
      </w:r>
      <w:r>
        <w:rPr>
          <w:sz w:val="20"/>
        </w:rPr>
        <w:t>y</w:t>
      </w:r>
      <w:r>
        <w:rPr>
          <w:spacing w:val="-9"/>
          <w:sz w:val="20"/>
        </w:rPr>
        <w:t> </w:t>
      </w:r>
      <w:r>
        <w:rPr>
          <w:spacing w:val="-5"/>
          <w:sz w:val="20"/>
        </w:rPr>
        <w:t>IX;</w:t>
      </w:r>
    </w:p>
    <w:p>
      <w:pPr>
        <w:spacing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5"/>
        <w:rPr>
          <w:rFonts w:ascii="Times New Roman"/>
          <w:i/>
          <w:sz w:val="16"/>
        </w:rPr>
      </w:pPr>
    </w:p>
    <w:p>
      <w:pPr>
        <w:pStyle w:val="ListParagraph"/>
        <w:numPr>
          <w:ilvl w:val="0"/>
          <w:numId w:val="132"/>
        </w:numPr>
        <w:tabs>
          <w:tab w:pos="1195" w:val="left" w:leader="none"/>
        </w:tabs>
        <w:spacing w:line="242" w:lineRule="auto" w:before="0" w:after="0"/>
        <w:ind w:left="1195" w:right="339" w:hanging="569"/>
        <w:jc w:val="left"/>
        <w:rPr>
          <w:sz w:val="20"/>
        </w:rPr>
      </w:pPr>
      <w:r>
        <w:rPr>
          <w:sz w:val="20"/>
        </w:rPr>
        <w:t>Las reglas conforme a las cuales se formularán los planes y programas para la implantación de la capacitación y el adiestramiento en la rama de la industria de que se trate; y,</w:t>
      </w:r>
    </w:p>
    <w:p>
      <w:pPr>
        <w:spacing w:line="180"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ListParagraph"/>
        <w:numPr>
          <w:ilvl w:val="0"/>
          <w:numId w:val="132"/>
        </w:numPr>
        <w:tabs>
          <w:tab w:pos="1195" w:val="left" w:leader="none"/>
        </w:tabs>
        <w:spacing w:line="240" w:lineRule="auto" w:before="229" w:after="0"/>
        <w:ind w:left="1195" w:right="0" w:hanging="569"/>
        <w:jc w:val="left"/>
        <w:rPr>
          <w:sz w:val="20"/>
        </w:rPr>
      </w:pPr>
      <w:r>
        <w:rPr>
          <w:sz w:val="20"/>
        </w:rPr>
        <w:t>Las</w:t>
      </w:r>
      <w:r>
        <w:rPr>
          <w:spacing w:val="-9"/>
          <w:sz w:val="20"/>
        </w:rPr>
        <w:t> </w:t>
      </w:r>
      <w:r>
        <w:rPr>
          <w:sz w:val="20"/>
        </w:rPr>
        <w:t>demás</w:t>
      </w:r>
      <w:r>
        <w:rPr>
          <w:spacing w:val="-8"/>
          <w:sz w:val="20"/>
        </w:rPr>
        <w:t> </w:t>
      </w:r>
      <w:r>
        <w:rPr>
          <w:sz w:val="20"/>
        </w:rPr>
        <w:t>estipulaciones</w:t>
      </w:r>
      <w:r>
        <w:rPr>
          <w:spacing w:val="-6"/>
          <w:sz w:val="20"/>
        </w:rPr>
        <w:t> </w:t>
      </w:r>
      <w:r>
        <w:rPr>
          <w:sz w:val="20"/>
        </w:rPr>
        <w:t>que</w:t>
      </w:r>
      <w:r>
        <w:rPr>
          <w:spacing w:val="-9"/>
          <w:sz w:val="20"/>
        </w:rPr>
        <w:t> </w:t>
      </w:r>
      <w:r>
        <w:rPr>
          <w:sz w:val="20"/>
        </w:rPr>
        <w:t>convengan</w:t>
      </w:r>
      <w:r>
        <w:rPr>
          <w:spacing w:val="-8"/>
          <w:sz w:val="20"/>
        </w:rPr>
        <w:t> </w:t>
      </w:r>
      <w:r>
        <w:rPr>
          <w:sz w:val="20"/>
        </w:rPr>
        <w:t>las</w:t>
      </w:r>
      <w:r>
        <w:rPr>
          <w:spacing w:val="-8"/>
          <w:sz w:val="20"/>
        </w:rPr>
        <w:t> </w:t>
      </w:r>
      <w:r>
        <w:rPr>
          <w:spacing w:val="-2"/>
          <w:sz w:val="20"/>
        </w:rPr>
        <w:t>partes.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2"/>
        <w:rPr>
          <w:rFonts w:ascii="Times New Roman"/>
          <w:i/>
        </w:rPr>
      </w:pPr>
    </w:p>
    <w:p>
      <w:pPr>
        <w:pStyle w:val="BodyText"/>
        <w:ind w:left="338" w:right="344" w:firstLine="288"/>
        <w:jc w:val="both"/>
      </w:pPr>
      <w:bookmarkStart w:name="Artículo_413" w:id="542"/>
      <w:bookmarkEnd w:id="542"/>
      <w:r>
        <w:rPr/>
      </w:r>
      <w:r>
        <w:rPr>
          <w:rFonts w:ascii="Arial" w:hAnsi="Arial"/>
          <w:b/>
        </w:rPr>
        <w:t>Artículo 413.- </w:t>
      </w:r>
      <w:r>
        <w:rPr/>
        <w:t>En el contrato-ley</w:t>
      </w:r>
      <w:r>
        <w:rPr>
          <w:spacing w:val="-2"/>
        </w:rPr>
        <w:t> </w:t>
      </w:r>
      <w:r>
        <w:rPr/>
        <w:t>podrán establecerse las cláusulas a que se</w:t>
      </w:r>
      <w:r>
        <w:rPr>
          <w:spacing w:val="-1"/>
        </w:rPr>
        <w:t> </w:t>
      </w:r>
      <w:r>
        <w:rPr/>
        <w:t>refiere</w:t>
      </w:r>
      <w:r>
        <w:rPr>
          <w:spacing w:val="-1"/>
        </w:rPr>
        <w:t> </w:t>
      </w:r>
      <w:r>
        <w:rPr/>
        <w:t>el</w:t>
      </w:r>
      <w:r>
        <w:rPr>
          <w:spacing w:val="-2"/>
        </w:rPr>
        <w:t> </w:t>
      </w:r>
      <w:r>
        <w:rPr/>
        <w:t>artículo 395. Su aplicación corresponderá al sindicato administrador del contrato-ley en cada empresa.</w:t>
      </w:r>
    </w:p>
    <w:p>
      <w:pPr>
        <w:pStyle w:val="BodyText"/>
        <w:spacing w:line="242" w:lineRule="auto" w:before="229"/>
        <w:ind w:left="338" w:right="335" w:firstLine="288"/>
        <w:jc w:val="both"/>
      </w:pPr>
      <w:bookmarkStart w:name="Artículo_414" w:id="543"/>
      <w:bookmarkEnd w:id="543"/>
      <w:r>
        <w:rPr/>
      </w:r>
      <w:r>
        <w:rPr>
          <w:rFonts w:ascii="Arial" w:hAnsi="Arial"/>
          <w:b/>
        </w:rPr>
        <w:t>Artículo 414.- </w:t>
      </w:r>
      <w:r>
        <w:rPr/>
        <w:t>El convenio deberá ser aprobado por la mayoría de los trabajadores que estén representados en la Convención, así como por la mayoría de los patrones que tengan a su servicio la misma mayoría de trabajadores.</w:t>
      </w:r>
    </w:p>
    <w:p>
      <w:pPr>
        <w:pStyle w:val="BodyText"/>
        <w:spacing w:before="225"/>
        <w:ind w:left="338" w:right="336" w:firstLine="288"/>
        <w:jc w:val="both"/>
      </w:pPr>
      <w:r>
        <w:rPr/>
        <w:t>Aprobado el convenio en los términos del párrafo anterior, el Presidente de la República, el Gobernador del</w:t>
      </w:r>
      <w:r>
        <w:rPr>
          <w:spacing w:val="-2"/>
        </w:rPr>
        <w:t> </w:t>
      </w:r>
      <w:r>
        <w:rPr/>
        <w:t>Estado</w:t>
      </w:r>
      <w:r>
        <w:rPr>
          <w:spacing w:val="-1"/>
        </w:rPr>
        <w:t> </w:t>
      </w:r>
      <w:r>
        <w:rPr/>
        <w:t>o</w:t>
      </w:r>
      <w:r>
        <w:rPr>
          <w:spacing w:val="-1"/>
        </w:rPr>
        <w:t> </w:t>
      </w:r>
      <w:r>
        <w:rPr/>
        <w:t>el</w:t>
      </w:r>
      <w:r>
        <w:rPr>
          <w:spacing w:val="-2"/>
        </w:rPr>
        <w:t> </w:t>
      </w:r>
      <w:r>
        <w:rPr/>
        <w:t>Jefe</w:t>
      </w:r>
      <w:r>
        <w:rPr>
          <w:spacing w:val="-3"/>
        </w:rPr>
        <w:t> </w:t>
      </w:r>
      <w:r>
        <w:rPr/>
        <w:t>de</w:t>
      </w:r>
      <w:r>
        <w:rPr>
          <w:spacing w:val="-1"/>
        </w:rPr>
        <w:t> </w:t>
      </w:r>
      <w:r>
        <w:rPr/>
        <w:t>Gobierno</w:t>
      </w:r>
      <w:r>
        <w:rPr>
          <w:spacing w:val="-2"/>
        </w:rPr>
        <w:t> </w:t>
      </w:r>
      <w:r>
        <w:rPr/>
        <w:t>de</w:t>
      </w:r>
      <w:r>
        <w:rPr>
          <w:spacing w:val="-1"/>
        </w:rPr>
        <w:t> </w:t>
      </w:r>
      <w:r>
        <w:rPr/>
        <w:t>la</w:t>
      </w:r>
      <w:r>
        <w:rPr>
          <w:spacing w:val="-3"/>
        </w:rPr>
        <w:t> </w:t>
      </w:r>
      <w:r>
        <w:rPr/>
        <w:t>Ciudad</w:t>
      </w:r>
      <w:r>
        <w:rPr>
          <w:spacing w:val="-1"/>
        </w:rPr>
        <w:t> </w:t>
      </w:r>
      <w:r>
        <w:rPr/>
        <w:t>de</w:t>
      </w:r>
      <w:r>
        <w:rPr>
          <w:spacing w:val="-1"/>
        </w:rPr>
        <w:t> </w:t>
      </w:r>
      <w:r>
        <w:rPr/>
        <w:t>México,</w:t>
      </w:r>
      <w:r>
        <w:rPr>
          <w:spacing w:val="-1"/>
        </w:rPr>
        <w:t> </w:t>
      </w:r>
      <w:r>
        <w:rPr/>
        <w:t>lo</w:t>
      </w:r>
      <w:r>
        <w:rPr>
          <w:spacing w:val="-1"/>
        </w:rPr>
        <w:t> </w:t>
      </w:r>
      <w:r>
        <w:rPr/>
        <w:t>publicarán</w:t>
      </w:r>
      <w:r>
        <w:rPr>
          <w:spacing w:val="-3"/>
        </w:rPr>
        <w:t> </w:t>
      </w:r>
      <w:r>
        <w:rPr/>
        <w:t>en</w:t>
      </w:r>
      <w:r>
        <w:rPr>
          <w:spacing w:val="-1"/>
        </w:rPr>
        <w:t> </w:t>
      </w:r>
      <w:r>
        <w:rPr/>
        <w:t>el</w:t>
      </w:r>
      <w:r>
        <w:rPr>
          <w:spacing w:val="-2"/>
        </w:rPr>
        <w:t> </w:t>
      </w:r>
      <w:r>
        <w:rPr/>
        <w:t>Diario</w:t>
      </w:r>
      <w:r>
        <w:rPr>
          <w:spacing w:val="-1"/>
        </w:rPr>
        <w:t> </w:t>
      </w:r>
      <w:r>
        <w:rPr/>
        <w:t>Oficial</w:t>
      </w:r>
      <w:r>
        <w:rPr>
          <w:spacing w:val="-2"/>
        </w:rPr>
        <w:t> </w:t>
      </w:r>
      <w:r>
        <w:rPr/>
        <w:t>de la</w:t>
      </w:r>
      <w:r>
        <w:rPr>
          <w:spacing w:val="-1"/>
        </w:rPr>
        <w:t> </w:t>
      </w:r>
      <w:r>
        <w:rPr/>
        <w:t>Federación</w:t>
      </w:r>
      <w:r>
        <w:rPr>
          <w:spacing w:val="-1"/>
        </w:rPr>
        <w:t> </w:t>
      </w:r>
      <w:r>
        <w:rPr/>
        <w:t>o</w:t>
      </w:r>
      <w:r>
        <w:rPr>
          <w:spacing w:val="-1"/>
        </w:rPr>
        <w:t> </w:t>
      </w:r>
      <w:r>
        <w:rPr/>
        <w:t>en</w:t>
      </w:r>
      <w:r>
        <w:rPr>
          <w:spacing w:val="-1"/>
        </w:rPr>
        <w:t> </w:t>
      </w:r>
      <w:r>
        <w:rPr/>
        <w:t>el periódico</w:t>
      </w:r>
      <w:r>
        <w:rPr>
          <w:spacing w:val="-1"/>
        </w:rPr>
        <w:t> </w:t>
      </w:r>
      <w:r>
        <w:rPr/>
        <w:t>oficial</w:t>
      </w:r>
      <w:r>
        <w:rPr>
          <w:spacing w:val="-2"/>
        </w:rPr>
        <w:t> </w:t>
      </w:r>
      <w:r>
        <w:rPr/>
        <w:t>de</w:t>
      </w:r>
      <w:r>
        <w:rPr>
          <w:spacing w:val="-1"/>
        </w:rPr>
        <w:t> </w:t>
      </w:r>
      <w:r>
        <w:rPr/>
        <w:t>la Entidad</w:t>
      </w:r>
      <w:r>
        <w:rPr>
          <w:spacing w:val="-2"/>
        </w:rPr>
        <w:t> </w:t>
      </w:r>
      <w:r>
        <w:rPr/>
        <w:t>Federativa,</w:t>
      </w:r>
      <w:r>
        <w:rPr>
          <w:spacing w:val="-1"/>
        </w:rPr>
        <w:t> </w:t>
      </w:r>
      <w:r>
        <w:rPr/>
        <w:t>declarándolo</w:t>
      </w:r>
      <w:r>
        <w:rPr>
          <w:spacing w:val="-1"/>
        </w:rPr>
        <w:t> </w:t>
      </w:r>
      <w:r>
        <w:rPr/>
        <w:t>contrato-ley</w:t>
      </w:r>
      <w:r>
        <w:rPr>
          <w:spacing w:val="-4"/>
        </w:rPr>
        <w:t> </w:t>
      </w:r>
      <w:r>
        <w:rPr/>
        <w:t>en</w:t>
      </w:r>
      <w:r>
        <w:rPr>
          <w:spacing w:val="-1"/>
        </w:rPr>
        <w:t> </w:t>
      </w:r>
      <w:r>
        <w:rPr/>
        <w:t>la</w:t>
      </w:r>
      <w:r>
        <w:rPr>
          <w:spacing w:val="-1"/>
        </w:rPr>
        <w:t> </w:t>
      </w:r>
      <w:r>
        <w:rPr/>
        <w:t>rama</w:t>
      </w:r>
      <w:r>
        <w:rPr>
          <w:spacing w:val="-1"/>
        </w:rPr>
        <w:t> </w:t>
      </w:r>
      <w:r>
        <w:rPr/>
        <w:t>de</w:t>
      </w:r>
      <w:r>
        <w:rPr>
          <w:spacing w:val="-2"/>
        </w:rPr>
        <w:t> </w:t>
      </w:r>
      <w:r>
        <w:rPr/>
        <w:t>la</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37"/>
        <w:jc w:val="both"/>
      </w:pPr>
      <w:r>
        <w:rPr/>
        <w:t>industria considerada, para todas las empresas o establecimientos que existan o se establezcan en el futuro en la Entidad o Entidades Federativas, en la zona o zonas que abarque o en todo el territorio </w:t>
      </w:r>
      <w:r>
        <w:rPr>
          <w:spacing w:val="-2"/>
        </w:rPr>
        <w:t>nacional.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0" w:firstLine="288"/>
        <w:jc w:val="both"/>
      </w:pPr>
      <w:bookmarkStart w:name="Artículo_415" w:id="544"/>
      <w:bookmarkEnd w:id="544"/>
      <w:r>
        <w:rPr/>
      </w:r>
      <w:r>
        <w:rPr>
          <w:rFonts w:ascii="Arial" w:hAnsi="Arial"/>
          <w:b/>
        </w:rPr>
        <w:t>Artículo</w:t>
      </w:r>
      <w:r>
        <w:rPr>
          <w:rFonts w:ascii="Arial" w:hAnsi="Arial"/>
          <w:b/>
          <w:spacing w:val="-1"/>
        </w:rPr>
        <w:t> </w:t>
      </w:r>
      <w:r>
        <w:rPr>
          <w:rFonts w:ascii="Arial" w:hAnsi="Arial"/>
          <w:b/>
        </w:rPr>
        <w:t>415.-</w:t>
      </w:r>
      <w:r>
        <w:rPr>
          <w:rFonts w:ascii="Arial" w:hAnsi="Arial"/>
          <w:b/>
          <w:spacing w:val="-1"/>
        </w:rPr>
        <w:t> </w:t>
      </w:r>
      <w:r>
        <w:rPr/>
        <w:t>Si</w:t>
      </w:r>
      <w:r>
        <w:rPr>
          <w:spacing w:val="-4"/>
        </w:rPr>
        <w:t> </w:t>
      </w:r>
      <w:r>
        <w:rPr/>
        <w:t>el</w:t>
      </w:r>
      <w:r>
        <w:rPr>
          <w:spacing w:val="-4"/>
        </w:rPr>
        <w:t> </w:t>
      </w:r>
      <w:r>
        <w:rPr/>
        <w:t>contrato</w:t>
      </w:r>
      <w:r>
        <w:rPr>
          <w:spacing w:val="-3"/>
        </w:rPr>
        <w:t> </w:t>
      </w:r>
      <w:r>
        <w:rPr/>
        <w:t>colectivo</w:t>
      </w:r>
      <w:r>
        <w:rPr>
          <w:spacing w:val="-2"/>
        </w:rPr>
        <w:t> </w:t>
      </w:r>
      <w:r>
        <w:rPr/>
        <w:t>ha</w:t>
      </w:r>
      <w:r>
        <w:rPr>
          <w:spacing w:val="-2"/>
        </w:rPr>
        <w:t> </w:t>
      </w:r>
      <w:r>
        <w:rPr/>
        <w:t>sido</w:t>
      </w:r>
      <w:r>
        <w:rPr>
          <w:spacing w:val="-2"/>
        </w:rPr>
        <w:t> </w:t>
      </w:r>
      <w:r>
        <w:rPr/>
        <w:t>celebrado</w:t>
      </w:r>
      <w:r>
        <w:rPr>
          <w:spacing w:val="-4"/>
        </w:rPr>
        <w:t> </w:t>
      </w:r>
      <w:r>
        <w:rPr/>
        <w:t>por</w:t>
      </w:r>
      <w:r>
        <w:rPr>
          <w:spacing w:val="-3"/>
        </w:rPr>
        <w:t> </w:t>
      </w:r>
      <w:r>
        <w:rPr/>
        <w:t>una</w:t>
      </w:r>
      <w:r>
        <w:rPr>
          <w:spacing w:val="-4"/>
        </w:rPr>
        <w:t> </w:t>
      </w:r>
      <w:r>
        <w:rPr/>
        <w:t>mayoría</w:t>
      </w:r>
      <w:r>
        <w:rPr>
          <w:spacing w:val="-2"/>
        </w:rPr>
        <w:t> </w:t>
      </w:r>
      <w:r>
        <w:rPr/>
        <w:t>de</w:t>
      </w:r>
      <w:r>
        <w:rPr>
          <w:spacing w:val="-3"/>
        </w:rPr>
        <w:t> </w:t>
      </w:r>
      <w:r>
        <w:rPr/>
        <w:t>dos</w:t>
      </w:r>
      <w:r>
        <w:rPr>
          <w:spacing w:val="-1"/>
        </w:rPr>
        <w:t> </w:t>
      </w:r>
      <w:r>
        <w:rPr/>
        <w:t>terceras</w:t>
      </w:r>
      <w:r>
        <w:rPr>
          <w:spacing w:val="-2"/>
        </w:rPr>
        <w:t> </w:t>
      </w:r>
      <w:r>
        <w:rPr/>
        <w:t>partes</w:t>
      </w:r>
      <w:r>
        <w:rPr>
          <w:spacing w:val="-1"/>
        </w:rPr>
        <w:t> </w:t>
      </w:r>
      <w:r>
        <w:rPr/>
        <w:t>de</w:t>
      </w:r>
      <w:r>
        <w:rPr>
          <w:spacing w:val="-2"/>
        </w:rPr>
        <w:t> </w:t>
      </w:r>
      <w:r>
        <w:rPr/>
        <w:t>los trabajadores sindicalizados de determinada rama de la industria, en una o varias Entidades Federativas, en una o varias zonas económicas, o en todo el territorio nacional, podrá ser elevado a la categoría de contrato-ley, previo cumplimiento de los requisitos siguientes:</w:t>
      </w:r>
    </w:p>
    <w:p>
      <w:pPr>
        <w:pStyle w:val="ListParagraph"/>
        <w:numPr>
          <w:ilvl w:val="0"/>
          <w:numId w:val="133"/>
        </w:numPr>
        <w:tabs>
          <w:tab w:pos="1193" w:val="left" w:leader="none"/>
          <w:tab w:pos="1195" w:val="left" w:leader="none"/>
        </w:tabs>
        <w:spacing w:line="240" w:lineRule="auto" w:before="223" w:after="0"/>
        <w:ind w:left="1195" w:right="342" w:hanging="569"/>
        <w:jc w:val="both"/>
        <w:rPr>
          <w:sz w:val="20"/>
        </w:rPr>
      </w:pPr>
      <w:r>
        <w:rPr>
          <w:sz w:val="20"/>
        </w:rPr>
        <w:t>La solicitud deberá presentarse por los sindicatos de trabajadores o por los patrones ante el Centro Federal de Conciliación y Registro Laboral, de conformidad con lo dispuesto en el artículo 407;</w:t>
      </w:r>
    </w:p>
    <w:p>
      <w:pPr>
        <w:spacing w:line="183"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33"/>
        </w:numPr>
        <w:tabs>
          <w:tab w:pos="1195" w:val="left" w:leader="none"/>
        </w:tabs>
        <w:spacing w:line="242" w:lineRule="auto" w:before="0" w:after="0"/>
        <w:ind w:left="1195" w:right="345" w:hanging="569"/>
        <w:jc w:val="left"/>
        <w:rPr>
          <w:sz w:val="20"/>
        </w:rPr>
      </w:pPr>
      <w:r>
        <w:rPr>
          <w:sz w:val="20"/>
        </w:rPr>
        <w:t>Los</w:t>
      </w:r>
      <w:r>
        <w:rPr>
          <w:spacing w:val="40"/>
          <w:sz w:val="20"/>
        </w:rPr>
        <w:t> </w:t>
      </w:r>
      <w:r>
        <w:rPr>
          <w:sz w:val="20"/>
        </w:rPr>
        <w:t>sindicatos</w:t>
      </w:r>
      <w:r>
        <w:rPr>
          <w:spacing w:val="40"/>
          <w:sz w:val="20"/>
        </w:rPr>
        <w:t> </w:t>
      </w:r>
      <w:r>
        <w:rPr>
          <w:sz w:val="20"/>
        </w:rPr>
        <w:t>de</w:t>
      </w:r>
      <w:r>
        <w:rPr>
          <w:spacing w:val="40"/>
          <w:sz w:val="20"/>
        </w:rPr>
        <w:t> </w:t>
      </w:r>
      <w:r>
        <w:rPr>
          <w:sz w:val="20"/>
        </w:rPr>
        <w:t>trabajadores</w:t>
      </w:r>
      <w:r>
        <w:rPr>
          <w:spacing w:val="40"/>
          <w:sz w:val="20"/>
        </w:rPr>
        <w:t> </w:t>
      </w:r>
      <w:r>
        <w:rPr>
          <w:sz w:val="20"/>
        </w:rPr>
        <w:t>y</w:t>
      </w:r>
      <w:r>
        <w:rPr>
          <w:spacing w:val="40"/>
          <w:sz w:val="20"/>
        </w:rPr>
        <w:t> </w:t>
      </w:r>
      <w:r>
        <w:rPr>
          <w:sz w:val="20"/>
        </w:rPr>
        <w:t>los</w:t>
      </w:r>
      <w:r>
        <w:rPr>
          <w:spacing w:val="40"/>
          <w:sz w:val="20"/>
        </w:rPr>
        <w:t> </w:t>
      </w:r>
      <w:r>
        <w:rPr>
          <w:sz w:val="20"/>
        </w:rPr>
        <w:t>patrones</w:t>
      </w:r>
      <w:r>
        <w:rPr>
          <w:spacing w:val="40"/>
          <w:sz w:val="20"/>
        </w:rPr>
        <w:t> </w:t>
      </w:r>
      <w:r>
        <w:rPr>
          <w:sz w:val="20"/>
        </w:rPr>
        <w:t>comprobarán</w:t>
      </w:r>
      <w:r>
        <w:rPr>
          <w:spacing w:val="40"/>
          <w:sz w:val="20"/>
        </w:rPr>
        <w:t> </w:t>
      </w:r>
      <w:r>
        <w:rPr>
          <w:sz w:val="20"/>
        </w:rPr>
        <w:t>que</w:t>
      </w:r>
      <w:r>
        <w:rPr>
          <w:spacing w:val="40"/>
          <w:sz w:val="20"/>
        </w:rPr>
        <w:t> </w:t>
      </w:r>
      <w:r>
        <w:rPr>
          <w:sz w:val="20"/>
        </w:rPr>
        <w:t>satisfacen</w:t>
      </w:r>
      <w:r>
        <w:rPr>
          <w:spacing w:val="40"/>
          <w:sz w:val="20"/>
        </w:rPr>
        <w:t> </w:t>
      </w:r>
      <w:r>
        <w:rPr>
          <w:sz w:val="20"/>
        </w:rPr>
        <w:t>el</w:t>
      </w:r>
      <w:r>
        <w:rPr>
          <w:spacing w:val="40"/>
          <w:sz w:val="20"/>
        </w:rPr>
        <w:t> </w:t>
      </w:r>
      <w:r>
        <w:rPr>
          <w:sz w:val="20"/>
        </w:rPr>
        <w:t>requisito</w:t>
      </w:r>
      <w:r>
        <w:rPr>
          <w:spacing w:val="40"/>
          <w:sz w:val="20"/>
        </w:rPr>
        <w:t> </w:t>
      </w:r>
      <w:r>
        <w:rPr>
          <w:sz w:val="20"/>
        </w:rPr>
        <w:t>de mayoría señalado en el artículo 406;</w:t>
      </w:r>
    </w:p>
    <w:p>
      <w:pPr>
        <w:pStyle w:val="ListParagraph"/>
        <w:numPr>
          <w:ilvl w:val="0"/>
          <w:numId w:val="133"/>
        </w:numPr>
        <w:tabs>
          <w:tab w:pos="1195" w:val="left" w:leader="none"/>
        </w:tabs>
        <w:spacing w:line="242" w:lineRule="auto" w:before="226" w:after="0"/>
        <w:ind w:left="1195" w:right="333" w:hanging="569"/>
        <w:jc w:val="left"/>
        <w:rPr>
          <w:sz w:val="20"/>
        </w:rPr>
      </w:pPr>
      <w:r>
        <w:rPr>
          <w:sz w:val="20"/>
        </w:rPr>
        <w:t>Los</w:t>
      </w:r>
      <w:r>
        <w:rPr>
          <w:spacing w:val="28"/>
          <w:sz w:val="20"/>
        </w:rPr>
        <w:t> </w:t>
      </w:r>
      <w:r>
        <w:rPr>
          <w:sz w:val="20"/>
        </w:rPr>
        <w:t>peticionarios</w:t>
      </w:r>
      <w:r>
        <w:rPr>
          <w:spacing w:val="27"/>
          <w:sz w:val="20"/>
        </w:rPr>
        <w:t> </w:t>
      </w:r>
      <w:r>
        <w:rPr>
          <w:sz w:val="20"/>
        </w:rPr>
        <w:t>acompañarán</w:t>
      </w:r>
      <w:r>
        <w:rPr>
          <w:spacing w:val="26"/>
          <w:sz w:val="20"/>
        </w:rPr>
        <w:t> </w:t>
      </w:r>
      <w:r>
        <w:rPr>
          <w:sz w:val="20"/>
        </w:rPr>
        <w:t>a</w:t>
      </w:r>
      <w:r>
        <w:rPr>
          <w:spacing w:val="26"/>
          <w:sz w:val="20"/>
        </w:rPr>
        <w:t> </w:t>
      </w:r>
      <w:r>
        <w:rPr>
          <w:sz w:val="20"/>
        </w:rPr>
        <w:t>su</w:t>
      </w:r>
      <w:r>
        <w:rPr>
          <w:spacing w:val="26"/>
          <w:sz w:val="20"/>
        </w:rPr>
        <w:t> </w:t>
      </w:r>
      <w:r>
        <w:rPr>
          <w:sz w:val="20"/>
        </w:rPr>
        <w:t>solicitud</w:t>
      </w:r>
      <w:r>
        <w:rPr>
          <w:spacing w:val="26"/>
          <w:sz w:val="20"/>
        </w:rPr>
        <w:t> </w:t>
      </w:r>
      <w:r>
        <w:rPr>
          <w:sz w:val="20"/>
        </w:rPr>
        <w:t>copia</w:t>
      </w:r>
      <w:r>
        <w:rPr>
          <w:spacing w:val="29"/>
          <w:sz w:val="20"/>
        </w:rPr>
        <w:t> </w:t>
      </w:r>
      <w:r>
        <w:rPr>
          <w:sz w:val="20"/>
        </w:rPr>
        <w:t>del</w:t>
      </w:r>
      <w:r>
        <w:rPr>
          <w:spacing w:val="26"/>
          <w:sz w:val="20"/>
        </w:rPr>
        <w:t> </w:t>
      </w:r>
      <w:r>
        <w:rPr>
          <w:sz w:val="20"/>
        </w:rPr>
        <w:t>contrato</w:t>
      </w:r>
      <w:r>
        <w:rPr>
          <w:spacing w:val="31"/>
          <w:sz w:val="20"/>
        </w:rPr>
        <w:t> </w:t>
      </w:r>
      <w:r>
        <w:rPr>
          <w:sz w:val="20"/>
        </w:rPr>
        <w:t>y</w:t>
      </w:r>
      <w:r>
        <w:rPr>
          <w:spacing w:val="24"/>
          <w:sz w:val="20"/>
        </w:rPr>
        <w:t> </w:t>
      </w:r>
      <w:r>
        <w:rPr>
          <w:sz w:val="20"/>
        </w:rPr>
        <w:t>señalarán</w:t>
      </w:r>
      <w:r>
        <w:rPr>
          <w:spacing w:val="38"/>
          <w:sz w:val="20"/>
        </w:rPr>
        <w:t> </w:t>
      </w:r>
      <w:r>
        <w:rPr>
          <w:sz w:val="20"/>
        </w:rPr>
        <w:t>los</w:t>
      </w:r>
      <w:r>
        <w:rPr>
          <w:spacing w:val="27"/>
          <w:sz w:val="20"/>
        </w:rPr>
        <w:t> </w:t>
      </w:r>
      <w:r>
        <w:rPr>
          <w:sz w:val="20"/>
        </w:rPr>
        <w:t>datos</w:t>
      </w:r>
      <w:r>
        <w:rPr>
          <w:spacing w:val="27"/>
          <w:sz w:val="20"/>
        </w:rPr>
        <w:t> </w:t>
      </w:r>
      <w:r>
        <w:rPr>
          <w:sz w:val="20"/>
        </w:rPr>
        <w:t>de</w:t>
      </w:r>
      <w:r>
        <w:rPr>
          <w:spacing w:val="26"/>
          <w:sz w:val="20"/>
        </w:rPr>
        <w:t> </w:t>
      </w:r>
      <w:r>
        <w:rPr>
          <w:sz w:val="20"/>
        </w:rPr>
        <w:t>su </w:t>
      </w:r>
      <w:r>
        <w:rPr>
          <w:spacing w:val="-2"/>
          <w:sz w:val="20"/>
        </w:rPr>
        <w:t>registro;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3"/>
        <w:rPr>
          <w:rFonts w:ascii="Times New Roman"/>
          <w:i/>
          <w:sz w:val="16"/>
        </w:rPr>
      </w:pPr>
    </w:p>
    <w:p>
      <w:pPr>
        <w:pStyle w:val="ListParagraph"/>
        <w:numPr>
          <w:ilvl w:val="0"/>
          <w:numId w:val="133"/>
        </w:numPr>
        <w:tabs>
          <w:tab w:pos="1195" w:val="left" w:leader="none"/>
        </w:tabs>
        <w:spacing w:line="242" w:lineRule="auto" w:before="0" w:after="0"/>
        <w:ind w:left="1195" w:right="343" w:hanging="569"/>
        <w:jc w:val="both"/>
        <w:rPr>
          <w:sz w:val="20"/>
        </w:rPr>
      </w:pPr>
      <w:r>
        <w:rPr>
          <w:sz w:val="20"/>
        </w:rPr>
        <w:t>El Centro Federal de Conciliación y Registro Laboral, después de verificar el requisito de mayoría, ordenará su publicación en el Diario Oficial de la Federación o en el periódico oficial</w:t>
      </w:r>
      <w:r>
        <w:rPr>
          <w:spacing w:val="40"/>
          <w:sz w:val="20"/>
        </w:rPr>
        <w:t> </w:t>
      </w:r>
      <w:r>
        <w:rPr>
          <w:sz w:val="20"/>
        </w:rPr>
        <w:t>de la Entidad Federativa, y señalará un término no menor de quince días para que se formulen </w:t>
      </w:r>
      <w:r>
        <w:rPr>
          <w:spacing w:val="-2"/>
          <w:sz w:val="20"/>
        </w:rPr>
        <w:t>oposiciones;</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33"/>
        </w:numPr>
        <w:tabs>
          <w:tab w:pos="1195" w:val="left" w:leader="none"/>
        </w:tabs>
        <w:spacing w:line="242" w:lineRule="auto" w:before="1" w:after="0"/>
        <w:ind w:left="1195" w:right="341" w:hanging="569"/>
        <w:jc w:val="both"/>
        <w:rPr>
          <w:sz w:val="20"/>
        </w:rPr>
      </w:pPr>
      <w:r>
        <w:rPr>
          <w:sz w:val="20"/>
        </w:rPr>
        <w:t>Si no se formula oposición dentro del término señalado en la convocatoria, el Presidente de la República, el Gobernador del Estado o el Jefe de Gobierno de la Ciudad de México, declarará obligatorio el contrato-ley, de conformidad con lo dispuesto en el artículo 414, y</w:t>
      </w:r>
    </w:p>
    <w:p>
      <w:pPr>
        <w:spacing w:line="176"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33"/>
        </w:numPr>
        <w:tabs>
          <w:tab w:pos="1195" w:val="left" w:leader="none"/>
        </w:tabs>
        <w:spacing w:line="242" w:lineRule="auto" w:before="0" w:after="0"/>
        <w:ind w:left="1195" w:right="337" w:hanging="569"/>
        <w:jc w:val="both"/>
        <w:rPr>
          <w:sz w:val="20"/>
        </w:rPr>
      </w:pPr>
      <w:r>
        <w:rPr>
          <w:sz w:val="20"/>
        </w:rPr>
        <w:t>Si dentro del plazo señalado</w:t>
      </w:r>
      <w:r>
        <w:rPr>
          <w:spacing w:val="-1"/>
          <w:sz w:val="20"/>
        </w:rPr>
        <w:t> </w:t>
      </w:r>
      <w:r>
        <w:rPr>
          <w:sz w:val="20"/>
        </w:rPr>
        <w:t>en la</w:t>
      </w:r>
      <w:r>
        <w:rPr>
          <w:spacing w:val="-1"/>
          <w:sz w:val="20"/>
        </w:rPr>
        <w:t> </w:t>
      </w:r>
      <w:r>
        <w:rPr>
          <w:sz w:val="20"/>
        </w:rPr>
        <w:t>convocatoria</w:t>
      </w:r>
      <w:r>
        <w:rPr>
          <w:spacing w:val="-1"/>
          <w:sz w:val="20"/>
        </w:rPr>
        <w:t> </w:t>
      </w:r>
      <w:r>
        <w:rPr>
          <w:sz w:val="20"/>
        </w:rPr>
        <w:t>se formula</w:t>
      </w:r>
      <w:r>
        <w:rPr>
          <w:spacing w:val="-1"/>
          <w:sz w:val="20"/>
        </w:rPr>
        <w:t> </w:t>
      </w:r>
      <w:r>
        <w:rPr>
          <w:sz w:val="20"/>
        </w:rPr>
        <w:t>oposición, se observarán</w:t>
      </w:r>
      <w:r>
        <w:rPr>
          <w:spacing w:val="-2"/>
          <w:sz w:val="20"/>
        </w:rPr>
        <w:t> </w:t>
      </w:r>
      <w:r>
        <w:rPr>
          <w:sz w:val="20"/>
        </w:rPr>
        <w:t>las normas </w:t>
      </w:r>
      <w:r>
        <w:rPr>
          <w:spacing w:val="-2"/>
          <w:sz w:val="20"/>
        </w:rPr>
        <w:t>siguientes:</w:t>
      </w:r>
    </w:p>
    <w:p>
      <w:pPr>
        <w:pStyle w:val="ListParagraph"/>
        <w:numPr>
          <w:ilvl w:val="1"/>
          <w:numId w:val="133"/>
        </w:numPr>
        <w:tabs>
          <w:tab w:pos="1762" w:val="left" w:leader="none"/>
        </w:tabs>
        <w:spacing w:line="242" w:lineRule="auto" w:before="224" w:after="0"/>
        <w:ind w:left="1762" w:right="344" w:hanging="567"/>
        <w:jc w:val="both"/>
        <w:rPr>
          <w:sz w:val="20"/>
        </w:rPr>
      </w:pPr>
      <w:r>
        <w:rPr>
          <w:sz w:val="20"/>
        </w:rPr>
        <w:t>Los trabajadores y los patrones dispondrán de un término de quince días para presentar por escrito sus observaciones, acompañadas de las pruebas que las justifiquen.</w:t>
      </w:r>
    </w:p>
    <w:p>
      <w:pPr>
        <w:pStyle w:val="ListParagraph"/>
        <w:numPr>
          <w:ilvl w:val="1"/>
          <w:numId w:val="133"/>
        </w:numPr>
        <w:tabs>
          <w:tab w:pos="1759" w:val="left" w:leader="none"/>
          <w:tab w:pos="1762" w:val="left" w:leader="none"/>
        </w:tabs>
        <w:spacing w:line="240" w:lineRule="auto" w:before="227" w:after="0"/>
        <w:ind w:left="1762" w:right="340" w:hanging="567"/>
        <w:jc w:val="both"/>
        <w:rPr>
          <w:sz w:val="20"/>
        </w:rPr>
      </w:pPr>
      <w:r>
        <w:rPr>
          <w:sz w:val="20"/>
        </w:rPr>
        <w:t>El Presidente de la República, el Gobernador del Estado o el Jefe de Gobierno de la Ciudad de México, tomando en consideración los datos del expediente, podrá declarar la obligatoriedad del contrato-ley.</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01-05-</w:t>
      </w:r>
      <w:r>
        <w:rPr>
          <w:rFonts w:ascii="Times New Roman"/>
          <w:i/>
          <w:color w:val="0000FF"/>
          <w:spacing w:val="-4"/>
          <w:sz w:val="16"/>
        </w:rPr>
        <w:t>2019</w:t>
      </w:r>
    </w:p>
    <w:p>
      <w:pPr>
        <w:pStyle w:val="BodyText"/>
        <w:spacing w:before="48"/>
        <w:rPr>
          <w:rFonts w:ascii="Times New Roman"/>
          <w:i/>
          <w:sz w:val="16"/>
        </w:rPr>
      </w:pPr>
    </w:p>
    <w:p>
      <w:pPr>
        <w:pStyle w:val="BodyText"/>
        <w:ind w:left="338" w:right="334" w:firstLine="288"/>
        <w:jc w:val="both"/>
      </w:pPr>
      <w:bookmarkStart w:name="Artículo_416" w:id="545"/>
      <w:bookmarkEnd w:id="545"/>
      <w:r>
        <w:rPr/>
      </w:r>
      <w:r>
        <w:rPr>
          <w:rFonts w:ascii="Arial" w:hAnsi="Arial"/>
          <w:b/>
        </w:rPr>
        <w:t>Artículo 416.- </w:t>
      </w:r>
      <w:r>
        <w:rPr/>
        <w:t>El contrato-ley producirá efectos a partir de la fecha de su publicación en el Diario Oficial</w:t>
      </w:r>
      <w:r>
        <w:rPr>
          <w:spacing w:val="-2"/>
        </w:rPr>
        <w:t> </w:t>
      </w:r>
      <w:r>
        <w:rPr/>
        <w:t>de la</w:t>
      </w:r>
      <w:r>
        <w:rPr>
          <w:spacing w:val="-1"/>
        </w:rPr>
        <w:t> </w:t>
      </w:r>
      <w:r>
        <w:rPr/>
        <w:t>Federación,</w:t>
      </w:r>
      <w:r>
        <w:rPr>
          <w:spacing w:val="-1"/>
        </w:rPr>
        <w:t> </w:t>
      </w:r>
      <w:r>
        <w:rPr/>
        <w:t>o en</w:t>
      </w:r>
      <w:r>
        <w:rPr>
          <w:spacing w:val="-2"/>
        </w:rPr>
        <w:t> </w:t>
      </w:r>
      <w:r>
        <w:rPr/>
        <w:t>el</w:t>
      </w:r>
      <w:r>
        <w:rPr>
          <w:spacing w:val="-2"/>
        </w:rPr>
        <w:t> </w:t>
      </w:r>
      <w:r>
        <w:rPr/>
        <w:t>periódico oficial de la Entidad</w:t>
      </w:r>
      <w:r>
        <w:rPr>
          <w:spacing w:val="-1"/>
        </w:rPr>
        <w:t> </w:t>
      </w:r>
      <w:r>
        <w:rPr/>
        <w:t>Federativa,</w:t>
      </w:r>
      <w:r>
        <w:rPr>
          <w:spacing w:val="-1"/>
        </w:rPr>
        <w:t> </w:t>
      </w:r>
      <w:r>
        <w:rPr/>
        <w:t>salvo</w:t>
      </w:r>
      <w:r>
        <w:rPr>
          <w:spacing w:val="-1"/>
        </w:rPr>
        <w:t> </w:t>
      </w:r>
      <w:r>
        <w:rPr/>
        <w:t>que</w:t>
      </w:r>
      <w:r>
        <w:rPr>
          <w:spacing w:val="-2"/>
        </w:rPr>
        <w:t> </w:t>
      </w:r>
      <w:r>
        <w:rPr/>
        <w:t>la</w:t>
      </w:r>
      <w:r>
        <w:rPr>
          <w:spacing w:val="-1"/>
        </w:rPr>
        <w:t> </w:t>
      </w:r>
      <w:r>
        <w:rPr/>
        <w:t>convención</w:t>
      </w:r>
      <w:r>
        <w:rPr>
          <w:spacing w:val="-1"/>
        </w:rPr>
        <w:t> </w:t>
      </w:r>
      <w:r>
        <w:rPr/>
        <w:t>señale una fecha distinta.</w:t>
      </w:r>
    </w:p>
    <w:p>
      <w:pPr>
        <w:pStyle w:val="BodyText"/>
        <w:spacing w:before="1"/>
      </w:pPr>
    </w:p>
    <w:p>
      <w:pPr>
        <w:pStyle w:val="BodyText"/>
        <w:ind w:left="338" w:right="336" w:firstLine="288"/>
        <w:jc w:val="both"/>
      </w:pPr>
      <w:r>
        <w:rPr/>
        <w:t>Una vez publicado el contrato-ley, su aplicación será obligatoria para toda la rama industrial que abarque; en consecuencia, los contratos colectivos de trabajo celebrados con anterioridad suspenderán su vigencia, salvo lo dispuesto en el artículo 417, haciéndose la anotación correspondiente por parte del Centro Federal de Conciliación y Registro Laboral.</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1" w:lineRule="exact"/>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BodyText"/>
        <w:ind w:left="338" w:right="334" w:firstLine="288"/>
        <w:jc w:val="both"/>
      </w:pPr>
      <w:r>
        <w:rPr/>
        <w:t>Cuando exista celebrado un contrato-ley vigente en alguna rama industrial, el Centro Federal de Conciliación y</w:t>
      </w:r>
      <w:r>
        <w:rPr>
          <w:spacing w:val="-2"/>
        </w:rPr>
        <w:t> </w:t>
      </w:r>
      <w:r>
        <w:rPr/>
        <w:t>Registro Laboral no dará trámite al depósito de ningún contrato colectivo de trabajo en esa misma rama industrial.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35" w:firstLine="288"/>
        <w:jc w:val="both"/>
      </w:pPr>
      <w:bookmarkStart w:name="Artículo_417" w:id="546"/>
      <w:bookmarkEnd w:id="546"/>
      <w:r>
        <w:rPr/>
      </w:r>
      <w:r>
        <w:rPr>
          <w:rFonts w:ascii="Arial" w:hAnsi="Arial"/>
          <w:b/>
        </w:rPr>
        <w:t>Artículo 417.- </w:t>
      </w:r>
      <w:r>
        <w:rPr/>
        <w:t>El contrato-ley se aplicará no obstante cualquier disposición en contrario contenida en el contrato colectivo que la empresa tenga celebrado, salvo en aquellos puntos en que estas estipulaciones sean más favorables al trabajador.</w:t>
      </w:r>
    </w:p>
    <w:p>
      <w:pPr>
        <w:pStyle w:val="BodyText"/>
        <w:spacing w:before="224"/>
        <w:ind w:left="338" w:right="340" w:firstLine="288"/>
        <w:jc w:val="both"/>
      </w:pPr>
      <w:bookmarkStart w:name="Artículo_418" w:id="547"/>
      <w:bookmarkEnd w:id="547"/>
      <w:r>
        <w:rPr/>
      </w:r>
      <w:r>
        <w:rPr>
          <w:rFonts w:ascii="Arial" w:hAnsi="Arial"/>
          <w:b/>
        </w:rPr>
        <w:t>Artículo 418.- </w:t>
      </w:r>
      <w:r>
        <w:rPr/>
        <w:t>En cada empresa, la administración del contrato-ley corresponderá al sindicato que represente dentro de ella el mayor número de trabajadores conforme a lo señalado en el artículo 408. La pérdida de la mayoría declarada por los Tribunales produce la de la administración.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626"/>
      </w:pPr>
      <w:bookmarkStart w:name="Artículo_419" w:id="548"/>
      <w:bookmarkEnd w:id="548"/>
      <w:r>
        <w:rPr/>
      </w:r>
      <w:r>
        <w:rPr>
          <w:rFonts w:ascii="Arial" w:hAnsi="Arial"/>
          <w:b/>
        </w:rPr>
        <w:t>Artículo</w:t>
      </w:r>
      <w:r>
        <w:rPr>
          <w:rFonts w:ascii="Arial" w:hAnsi="Arial"/>
          <w:b/>
          <w:spacing w:val="-6"/>
        </w:rPr>
        <w:t> </w:t>
      </w:r>
      <w:r>
        <w:rPr>
          <w:rFonts w:ascii="Arial" w:hAnsi="Arial"/>
          <w:b/>
        </w:rPr>
        <w:t>419.-</w:t>
      </w:r>
      <w:r>
        <w:rPr>
          <w:rFonts w:ascii="Arial" w:hAnsi="Arial"/>
          <w:b/>
          <w:spacing w:val="-4"/>
        </w:rPr>
        <w:t> </w:t>
      </w:r>
      <w:r>
        <w:rPr/>
        <w:t>En</w:t>
      </w:r>
      <w:r>
        <w:rPr>
          <w:spacing w:val="-5"/>
        </w:rPr>
        <w:t> </w:t>
      </w:r>
      <w:r>
        <w:rPr/>
        <w:t>la</w:t>
      </w:r>
      <w:r>
        <w:rPr>
          <w:spacing w:val="-7"/>
        </w:rPr>
        <w:t> </w:t>
      </w:r>
      <w:r>
        <w:rPr/>
        <w:t>revisión</w:t>
      </w:r>
      <w:r>
        <w:rPr>
          <w:spacing w:val="-7"/>
        </w:rPr>
        <w:t> </w:t>
      </w:r>
      <w:r>
        <w:rPr/>
        <w:t>del</w:t>
      </w:r>
      <w:r>
        <w:rPr>
          <w:spacing w:val="-8"/>
        </w:rPr>
        <w:t> </w:t>
      </w:r>
      <w:r>
        <w:rPr/>
        <w:t>contrato-ley</w:t>
      </w:r>
      <w:r>
        <w:rPr>
          <w:spacing w:val="-9"/>
        </w:rPr>
        <w:t> </w:t>
      </w:r>
      <w:r>
        <w:rPr/>
        <w:t>se</w:t>
      </w:r>
      <w:r>
        <w:rPr>
          <w:spacing w:val="-5"/>
        </w:rPr>
        <w:t> </w:t>
      </w:r>
      <w:r>
        <w:rPr/>
        <w:t>observarán</w:t>
      </w:r>
      <w:r>
        <w:rPr>
          <w:spacing w:val="-5"/>
        </w:rPr>
        <w:t> </w:t>
      </w:r>
      <w:r>
        <w:rPr/>
        <w:t>las</w:t>
      </w:r>
      <w:r>
        <w:rPr>
          <w:spacing w:val="-4"/>
        </w:rPr>
        <w:t> </w:t>
      </w:r>
      <w:r>
        <w:rPr/>
        <w:t>normas</w:t>
      </w:r>
      <w:r>
        <w:rPr>
          <w:spacing w:val="-6"/>
        </w:rPr>
        <w:t> </w:t>
      </w:r>
      <w:r>
        <w:rPr>
          <w:spacing w:val="-2"/>
        </w:rPr>
        <w:t>siguientes:</w:t>
      </w:r>
    </w:p>
    <w:p>
      <w:pPr>
        <w:pStyle w:val="ListParagraph"/>
        <w:numPr>
          <w:ilvl w:val="0"/>
          <w:numId w:val="134"/>
        </w:numPr>
        <w:tabs>
          <w:tab w:pos="1193" w:val="left" w:leader="none"/>
          <w:tab w:pos="1195" w:val="left" w:leader="none"/>
        </w:tabs>
        <w:spacing w:line="242" w:lineRule="auto" w:before="229" w:after="0"/>
        <w:ind w:left="1195" w:right="340" w:hanging="569"/>
        <w:jc w:val="both"/>
        <w:rPr>
          <w:sz w:val="20"/>
        </w:rPr>
      </w:pPr>
      <w:r>
        <w:rPr>
          <w:sz w:val="20"/>
        </w:rPr>
        <w:t>Podrán solicitar la revisión los sindicatos de trabajadores o los patrones que representen las mayorías señaladas en el artículo 406;</w:t>
      </w:r>
    </w:p>
    <w:p>
      <w:pPr>
        <w:pStyle w:val="ListParagraph"/>
        <w:numPr>
          <w:ilvl w:val="0"/>
          <w:numId w:val="134"/>
        </w:numPr>
        <w:tabs>
          <w:tab w:pos="1192" w:val="left" w:leader="none"/>
          <w:tab w:pos="1195" w:val="left" w:leader="none"/>
        </w:tabs>
        <w:spacing w:line="242" w:lineRule="auto" w:before="227" w:after="0"/>
        <w:ind w:left="1195" w:right="343" w:hanging="569"/>
        <w:jc w:val="both"/>
        <w:rPr>
          <w:sz w:val="20"/>
        </w:rPr>
      </w:pPr>
      <w:r>
        <w:rPr>
          <w:sz w:val="20"/>
        </w:rPr>
        <w:t>La solicitud se presentará ante el Centro Federal de Conciliación y Registro Laboral, noventa días naturales antes del vencimiento del contrato-ley, por lo menos;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34"/>
        </w:numPr>
        <w:tabs>
          <w:tab w:pos="1191" w:val="left" w:leader="none"/>
          <w:tab w:pos="1195" w:val="left" w:leader="none"/>
        </w:tabs>
        <w:spacing w:line="242" w:lineRule="auto" w:before="0" w:after="0"/>
        <w:ind w:left="1195" w:right="346" w:hanging="569"/>
        <w:jc w:val="both"/>
        <w:rPr>
          <w:sz w:val="20"/>
        </w:rPr>
      </w:pPr>
      <w:r>
        <w:rPr>
          <w:sz w:val="20"/>
        </w:rPr>
        <w:t>La autoridad que reciba la solicitud, después de verificar el requisito de mayoría, convocará a</w:t>
      </w:r>
      <w:r>
        <w:rPr>
          <w:spacing w:val="40"/>
          <w:sz w:val="20"/>
        </w:rPr>
        <w:t> </w:t>
      </w:r>
      <w:r>
        <w:rPr>
          <w:sz w:val="20"/>
        </w:rPr>
        <w:t>los</w:t>
      </w:r>
      <w:r>
        <w:rPr>
          <w:spacing w:val="-1"/>
          <w:sz w:val="20"/>
        </w:rPr>
        <w:t> </w:t>
      </w:r>
      <w:r>
        <w:rPr>
          <w:sz w:val="20"/>
        </w:rPr>
        <w:t>sindicatos de trabajadores y</w:t>
      </w:r>
      <w:r>
        <w:rPr>
          <w:spacing w:val="-3"/>
          <w:sz w:val="20"/>
        </w:rPr>
        <w:t> </w:t>
      </w:r>
      <w:r>
        <w:rPr>
          <w:sz w:val="20"/>
        </w:rPr>
        <w:t>a los</w:t>
      </w:r>
      <w:r>
        <w:rPr>
          <w:spacing w:val="-1"/>
          <w:sz w:val="20"/>
        </w:rPr>
        <w:t> </w:t>
      </w:r>
      <w:r>
        <w:rPr>
          <w:sz w:val="20"/>
        </w:rPr>
        <w:t>patrones afectados</w:t>
      </w:r>
      <w:r>
        <w:rPr>
          <w:spacing w:val="-1"/>
          <w:sz w:val="20"/>
        </w:rPr>
        <w:t> </w:t>
      </w:r>
      <w:r>
        <w:rPr>
          <w:sz w:val="20"/>
        </w:rPr>
        <w:t>a una</w:t>
      </w:r>
      <w:r>
        <w:rPr>
          <w:spacing w:val="-2"/>
          <w:sz w:val="20"/>
        </w:rPr>
        <w:t> </w:t>
      </w:r>
      <w:r>
        <w:rPr>
          <w:sz w:val="20"/>
        </w:rPr>
        <w:t>convención, que se</w:t>
      </w:r>
      <w:r>
        <w:rPr>
          <w:spacing w:val="-2"/>
          <w:sz w:val="20"/>
        </w:rPr>
        <w:t> </w:t>
      </w:r>
      <w:r>
        <w:rPr>
          <w:sz w:val="20"/>
        </w:rPr>
        <w:t>regirá por lo dispuesto en el artículo 411; y</w:t>
      </w:r>
    </w:p>
    <w:p>
      <w:pPr>
        <w:pStyle w:val="ListParagraph"/>
        <w:numPr>
          <w:ilvl w:val="0"/>
          <w:numId w:val="134"/>
        </w:numPr>
        <w:tabs>
          <w:tab w:pos="1195" w:val="left" w:leader="none"/>
        </w:tabs>
        <w:spacing w:line="240" w:lineRule="auto" w:before="222" w:after="0"/>
        <w:ind w:left="1195" w:right="341" w:hanging="569"/>
        <w:jc w:val="both"/>
        <w:rPr>
          <w:sz w:val="20"/>
        </w:rPr>
      </w:pPr>
      <w:r>
        <w:rPr>
          <w:sz w:val="20"/>
        </w:rPr>
        <w:t>Si los</w:t>
      </w:r>
      <w:r>
        <w:rPr>
          <w:spacing w:val="-1"/>
          <w:sz w:val="20"/>
        </w:rPr>
        <w:t> </w:t>
      </w:r>
      <w:r>
        <w:rPr>
          <w:sz w:val="20"/>
        </w:rPr>
        <w:t>sindicatos</w:t>
      </w:r>
      <w:r>
        <w:rPr>
          <w:spacing w:val="-1"/>
          <w:sz w:val="20"/>
        </w:rPr>
        <w:t> </w:t>
      </w:r>
      <w:r>
        <w:rPr>
          <w:sz w:val="20"/>
        </w:rPr>
        <w:t>de</w:t>
      </w:r>
      <w:r>
        <w:rPr>
          <w:spacing w:val="-2"/>
          <w:sz w:val="20"/>
        </w:rPr>
        <w:t> </w:t>
      </w:r>
      <w:r>
        <w:rPr>
          <w:sz w:val="20"/>
        </w:rPr>
        <w:t>trabajadores y</w:t>
      </w:r>
      <w:r>
        <w:rPr>
          <w:spacing w:val="-2"/>
          <w:sz w:val="20"/>
        </w:rPr>
        <w:t> </w:t>
      </w:r>
      <w:r>
        <w:rPr>
          <w:sz w:val="20"/>
        </w:rPr>
        <w:t>los</w:t>
      </w:r>
      <w:r>
        <w:rPr>
          <w:spacing w:val="-1"/>
          <w:sz w:val="20"/>
        </w:rPr>
        <w:t> </w:t>
      </w:r>
      <w:r>
        <w:rPr>
          <w:sz w:val="20"/>
        </w:rPr>
        <w:t>patrones llegan a</w:t>
      </w:r>
      <w:r>
        <w:rPr>
          <w:spacing w:val="-2"/>
          <w:sz w:val="20"/>
        </w:rPr>
        <w:t> </w:t>
      </w:r>
      <w:r>
        <w:rPr>
          <w:sz w:val="20"/>
        </w:rPr>
        <w:t>un</w:t>
      </w:r>
      <w:r>
        <w:rPr>
          <w:spacing w:val="-2"/>
          <w:sz w:val="20"/>
        </w:rPr>
        <w:t> </w:t>
      </w:r>
      <w:r>
        <w:rPr>
          <w:sz w:val="20"/>
        </w:rPr>
        <w:t>convenio que</w:t>
      </w:r>
      <w:r>
        <w:rPr>
          <w:spacing w:val="-2"/>
          <w:sz w:val="20"/>
        </w:rPr>
        <w:t> </w:t>
      </w:r>
      <w:r>
        <w:rPr>
          <w:sz w:val="20"/>
        </w:rPr>
        <w:t>cumpla con</w:t>
      </w:r>
      <w:r>
        <w:rPr>
          <w:spacing w:val="-2"/>
          <w:sz w:val="20"/>
        </w:rPr>
        <w:t> </w:t>
      </w:r>
      <w:r>
        <w:rPr>
          <w:sz w:val="20"/>
        </w:rPr>
        <w:t>lo</w:t>
      </w:r>
      <w:r>
        <w:rPr>
          <w:spacing w:val="-2"/>
          <w:sz w:val="20"/>
        </w:rPr>
        <w:t> </w:t>
      </w:r>
      <w:r>
        <w:rPr>
          <w:sz w:val="20"/>
        </w:rPr>
        <w:t>previsto en el primer párrafo del artículo 414, el titular del Centro Federal de Conciliación y Registro Laboral, lo comunicará al titular de la Secretaría del Trabajo y Previsión Social para su publicación en el Diario Oficial de la Federación o bien al Gobernador de la entidad federativa o al Jefe de Gobierno de la Ciudad de México para que lo publiquen en el periódico oficial de la Entidad Federativa, según corresponda. Las reformas surtirán efectos a partir del día de su publicación, salvo que la convención señale una fecha distinta, y</w:t>
      </w:r>
    </w:p>
    <w:p>
      <w:pPr>
        <w:spacing w:before="1"/>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34"/>
        </w:numPr>
        <w:tabs>
          <w:tab w:pos="1195" w:val="left" w:leader="none"/>
        </w:tabs>
        <w:spacing w:line="242" w:lineRule="auto" w:before="0" w:after="0"/>
        <w:ind w:left="1195" w:right="338" w:hanging="569"/>
        <w:jc w:val="both"/>
        <w:rPr>
          <w:sz w:val="20"/>
        </w:rPr>
      </w:pPr>
      <w:r>
        <w:rPr>
          <w:sz w:val="20"/>
        </w:rPr>
        <w:t>Si al concluir el procedimiento de revisión, los sindicatos de trabajadores y los patrones no llegan a un convenio, el contrato-ley se tendrá por prorrogado, para todos los efectos legales a que haya lugar.</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37" w:firstLine="288"/>
        <w:jc w:val="both"/>
      </w:pPr>
      <w:bookmarkStart w:name="Artículo_419_Bis" w:id="549"/>
      <w:bookmarkEnd w:id="549"/>
      <w:r>
        <w:rPr/>
      </w:r>
      <w:r>
        <w:rPr>
          <w:rFonts w:ascii="Arial" w:hAnsi="Arial"/>
          <w:b/>
        </w:rPr>
        <w:t>Artículo 419 Bis.- </w:t>
      </w:r>
      <w:r>
        <w:rPr/>
        <w:t>Los contratos-ley serán revisables cada año en lo que se refiere a los salarios en efectivo por cuota diaria.</w:t>
      </w:r>
    </w:p>
    <w:p>
      <w:pPr>
        <w:pStyle w:val="BodyText"/>
        <w:spacing w:before="229"/>
        <w:ind w:left="338" w:right="343" w:firstLine="288"/>
        <w:jc w:val="both"/>
      </w:pPr>
      <w:r>
        <w:rPr/>
        <w:t>La solicitud de esta revisión deberá hacerse por lo menos sesenta días naturales antes del cumplimiento de un año transcurrido desde la fecha en que surta efectos la celebración, revisión o prórroga del contrato-ley.</w:t>
      </w:r>
    </w:p>
    <w:p>
      <w:pPr>
        <w:spacing w:line="240" w:lineRule="auto" w:before="0"/>
        <w:ind w:left="7302" w:right="333"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1974</w:t>
      </w:r>
    </w:p>
    <w:p>
      <w:pPr>
        <w:pStyle w:val="BodyText"/>
        <w:spacing w:before="45"/>
        <w:rPr>
          <w:rFonts w:ascii="Times New Roman"/>
          <w:i/>
          <w:sz w:val="16"/>
        </w:rPr>
      </w:pPr>
    </w:p>
    <w:p>
      <w:pPr>
        <w:pStyle w:val="BodyText"/>
        <w:ind w:left="338" w:right="344" w:firstLine="288"/>
      </w:pPr>
      <w:bookmarkStart w:name="Artículo_420" w:id="550"/>
      <w:bookmarkEnd w:id="550"/>
      <w:r>
        <w:rPr/>
      </w:r>
      <w:r>
        <w:rPr>
          <w:rFonts w:ascii="Arial" w:hAnsi="Arial"/>
          <w:b/>
        </w:rPr>
        <w:t>Artículo</w:t>
      </w:r>
      <w:r>
        <w:rPr>
          <w:rFonts w:ascii="Arial" w:hAnsi="Arial"/>
          <w:b/>
          <w:spacing w:val="20"/>
        </w:rPr>
        <w:t> </w:t>
      </w:r>
      <w:r>
        <w:rPr>
          <w:rFonts w:ascii="Arial" w:hAnsi="Arial"/>
          <w:b/>
        </w:rPr>
        <w:t>420.-</w:t>
      </w:r>
      <w:r>
        <w:rPr>
          <w:rFonts w:ascii="Arial" w:hAnsi="Arial"/>
          <w:b/>
          <w:spacing w:val="21"/>
        </w:rPr>
        <w:t> </w:t>
      </w:r>
      <w:r>
        <w:rPr/>
        <w:t>Si</w:t>
      </w:r>
      <w:r>
        <w:rPr>
          <w:spacing w:val="19"/>
        </w:rPr>
        <w:t> </w:t>
      </w:r>
      <w:r>
        <w:rPr/>
        <w:t>ninguna</w:t>
      </w:r>
      <w:r>
        <w:rPr>
          <w:spacing w:val="22"/>
        </w:rPr>
        <w:t> </w:t>
      </w:r>
      <w:r>
        <w:rPr/>
        <w:t>de</w:t>
      </w:r>
      <w:r>
        <w:rPr>
          <w:spacing w:val="19"/>
        </w:rPr>
        <w:t> </w:t>
      </w:r>
      <w:r>
        <w:rPr/>
        <w:t>las</w:t>
      </w:r>
      <w:r>
        <w:rPr>
          <w:spacing w:val="21"/>
        </w:rPr>
        <w:t> </w:t>
      </w:r>
      <w:r>
        <w:rPr/>
        <w:t>partes</w:t>
      </w:r>
      <w:r>
        <w:rPr>
          <w:spacing w:val="21"/>
        </w:rPr>
        <w:t> </w:t>
      </w:r>
      <w:r>
        <w:rPr/>
        <w:t>solicitó</w:t>
      </w:r>
      <w:r>
        <w:rPr>
          <w:spacing w:val="22"/>
        </w:rPr>
        <w:t> </w:t>
      </w:r>
      <w:r>
        <w:rPr/>
        <w:t>la</w:t>
      </w:r>
      <w:r>
        <w:rPr>
          <w:spacing w:val="20"/>
        </w:rPr>
        <w:t> </w:t>
      </w:r>
      <w:r>
        <w:rPr/>
        <w:t>revisión</w:t>
      </w:r>
      <w:r>
        <w:rPr>
          <w:spacing w:val="19"/>
        </w:rPr>
        <w:t> </w:t>
      </w:r>
      <w:r>
        <w:rPr/>
        <w:t>o</w:t>
      </w:r>
      <w:r>
        <w:rPr>
          <w:spacing w:val="22"/>
        </w:rPr>
        <w:t> </w:t>
      </w:r>
      <w:r>
        <w:rPr/>
        <w:t>no</w:t>
      </w:r>
      <w:r>
        <w:rPr>
          <w:spacing w:val="19"/>
        </w:rPr>
        <w:t> </w:t>
      </w:r>
      <w:r>
        <w:rPr/>
        <w:t>se</w:t>
      </w:r>
      <w:r>
        <w:rPr>
          <w:spacing w:val="20"/>
        </w:rPr>
        <w:t> </w:t>
      </w:r>
      <w:r>
        <w:rPr/>
        <w:t>ejercitó</w:t>
      </w:r>
      <w:r>
        <w:rPr>
          <w:spacing w:val="22"/>
        </w:rPr>
        <w:t> </w:t>
      </w:r>
      <w:r>
        <w:rPr/>
        <w:t>el</w:t>
      </w:r>
      <w:r>
        <w:rPr>
          <w:spacing w:val="19"/>
        </w:rPr>
        <w:t> </w:t>
      </w:r>
      <w:r>
        <w:rPr/>
        <w:t>derecho</w:t>
      </w:r>
      <w:r>
        <w:rPr>
          <w:spacing w:val="19"/>
        </w:rPr>
        <w:t> </w:t>
      </w:r>
      <w:r>
        <w:rPr/>
        <w:t>de</w:t>
      </w:r>
      <w:r>
        <w:rPr>
          <w:spacing w:val="22"/>
        </w:rPr>
        <w:t> </w:t>
      </w:r>
      <w:r>
        <w:rPr/>
        <w:t>huelga,</w:t>
      </w:r>
      <w:r>
        <w:rPr>
          <w:spacing w:val="19"/>
        </w:rPr>
        <w:t> </w:t>
      </w:r>
      <w:r>
        <w:rPr/>
        <w:t>el contrato-ley se prorrogará por un período igual al que se hubiese fijado para su duración.</w:t>
      </w:r>
    </w:p>
    <w:p>
      <w:pPr>
        <w:pStyle w:val="BodyText"/>
        <w:spacing w:after="0"/>
        <w:sectPr>
          <w:pgSz w:w="12240" w:h="15840"/>
          <w:pgMar w:header="724" w:footer="712" w:top="1880" w:bottom="900" w:left="1080" w:right="1080"/>
        </w:sectPr>
      </w:pPr>
    </w:p>
    <w:p>
      <w:pPr>
        <w:pStyle w:val="BodyText"/>
        <w:spacing w:before="63"/>
      </w:pPr>
    </w:p>
    <w:p>
      <w:pPr>
        <w:pStyle w:val="BodyText"/>
        <w:spacing w:line="242" w:lineRule="auto"/>
        <w:ind w:left="338" w:right="340" w:firstLine="288"/>
        <w:jc w:val="both"/>
      </w:pPr>
      <w:bookmarkStart w:name="Artículo_421" w:id="551"/>
      <w:bookmarkEnd w:id="551"/>
      <w:r>
        <w:rPr/>
      </w:r>
      <w:r>
        <w:rPr>
          <w:rFonts w:ascii="Arial" w:hAnsi="Arial"/>
          <w:b/>
        </w:rPr>
        <w:t>Artículo 421.- </w:t>
      </w:r>
      <w:r>
        <w:rPr/>
        <w:t>El contrato-ley terminará únicamente por mutuo consentimiento de las partes que representen la mayoría a que se refiere el artículo 406, previa consulta mediante voto personal, libre y secreto a los trabajadores.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ListParagraph"/>
        <w:numPr>
          <w:ilvl w:val="0"/>
          <w:numId w:val="135"/>
        </w:numPr>
        <w:tabs>
          <w:tab w:pos="1195" w:val="left" w:leader="none"/>
        </w:tabs>
        <w:spacing w:line="240" w:lineRule="auto" w:before="229" w:after="0"/>
        <w:ind w:left="1195" w:right="0" w:hanging="569"/>
        <w:jc w:val="left"/>
        <w:rPr>
          <w:sz w:val="20"/>
        </w:rPr>
      </w:pP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pStyle w:val="BodyText"/>
        <w:spacing w:after="0"/>
        <w:rPr>
          <w:rFonts w:ascii="Times New Roman"/>
          <w:i/>
          <w:sz w:val="12"/>
        </w:rPr>
        <w:sectPr>
          <w:pgSz w:w="12240" w:h="15840"/>
          <w:pgMar w:header="724" w:footer="712" w:top="1880" w:bottom="900" w:left="1080" w:right="1080"/>
        </w:sectPr>
      </w:pPr>
    </w:p>
    <w:p>
      <w:pPr>
        <w:pStyle w:val="ListParagraph"/>
        <w:numPr>
          <w:ilvl w:val="0"/>
          <w:numId w:val="135"/>
        </w:numPr>
        <w:tabs>
          <w:tab w:pos="1195" w:val="left" w:leader="none"/>
        </w:tabs>
        <w:spacing w:line="240" w:lineRule="auto" w:before="93" w:after="0"/>
        <w:ind w:left="1195" w:right="0" w:hanging="569"/>
        <w:jc w:val="left"/>
        <w:rPr>
          <w:sz w:val="20"/>
        </w:rPr>
      </w:pP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spacing w:before="1"/>
        <w:ind w:left="586" w:right="1"/>
      </w:pPr>
      <w:r>
        <w:rPr/>
        <w:t>CAPITULO</w:t>
      </w:r>
      <w:r>
        <w:rPr>
          <w:spacing w:val="-7"/>
        </w:rPr>
        <w:t> </w:t>
      </w:r>
      <w:r>
        <w:rPr>
          <w:spacing w:val="-12"/>
        </w:rPr>
        <w:t>V</w:t>
      </w:r>
    </w:p>
    <w:p>
      <w:pPr>
        <w:pStyle w:val="Heading2"/>
        <w:spacing w:before="1"/>
        <w:ind w:left="586" w:right="0"/>
      </w:pPr>
      <w:r>
        <w:rPr/>
        <w:t>Reglamento</w:t>
      </w:r>
      <w:r>
        <w:rPr>
          <w:spacing w:val="-7"/>
        </w:rPr>
        <w:t> </w:t>
      </w:r>
      <w:r>
        <w:rPr/>
        <w:t>interior</w:t>
      </w:r>
      <w:r>
        <w:rPr>
          <w:spacing w:val="-6"/>
        </w:rPr>
        <w:t> </w:t>
      </w:r>
      <w:r>
        <w:rPr/>
        <w:t>de</w:t>
      </w:r>
      <w:r>
        <w:rPr>
          <w:spacing w:val="-7"/>
        </w:rPr>
        <w:t> </w:t>
      </w:r>
      <w:r>
        <w:rPr>
          <w:spacing w:val="-2"/>
        </w:rPr>
        <w:t>trabajo</w:t>
      </w:r>
    </w:p>
    <w:p>
      <w:pPr>
        <w:spacing w:line="240" w:lineRule="auto" w:before="137"/>
        <w:rPr>
          <w:rFonts w:ascii="Arial"/>
          <w:b/>
          <w:sz w:val="16"/>
        </w:rPr>
      </w:pPr>
      <w:r>
        <w:rPr/>
        <w:br w:type="column"/>
      </w:r>
      <w:r>
        <w:rPr>
          <w:rFonts w:ascii="Arial"/>
          <w:b/>
          <w:sz w:val="16"/>
        </w:rPr>
      </w:r>
    </w:p>
    <w:p>
      <w:pPr>
        <w:spacing w:before="0"/>
        <w:ind w:left="62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i/>
          <w:sz w:val="16"/>
        </w:rPr>
        <w:sectPr>
          <w:type w:val="continuous"/>
          <w:pgSz w:w="12240" w:h="15840"/>
          <w:pgMar w:header="724" w:footer="712" w:top="1880" w:bottom="900" w:left="1080" w:right="1080"/>
          <w:cols w:num="3" w:equalWidth="0">
            <w:col w:w="2213" w:space="605"/>
            <w:col w:w="3859" w:space="44"/>
            <w:col w:w="3359"/>
          </w:cols>
        </w:sectPr>
      </w:pPr>
    </w:p>
    <w:p>
      <w:pPr>
        <w:pStyle w:val="BodyText"/>
        <w:spacing w:before="2"/>
        <w:rPr>
          <w:rFonts w:ascii="Times New Roman"/>
          <w:i/>
        </w:rPr>
      </w:pPr>
    </w:p>
    <w:p>
      <w:pPr>
        <w:pStyle w:val="BodyText"/>
        <w:ind w:left="338" w:firstLine="288"/>
      </w:pPr>
      <w:bookmarkStart w:name="Artículo_422" w:id="552"/>
      <w:bookmarkEnd w:id="552"/>
      <w:r>
        <w:rPr/>
      </w:r>
      <w:r>
        <w:rPr>
          <w:rFonts w:ascii="Arial" w:hAnsi="Arial"/>
          <w:b/>
        </w:rPr>
        <w:t>Artículo</w:t>
      </w:r>
      <w:r>
        <w:rPr>
          <w:rFonts w:ascii="Arial" w:hAnsi="Arial"/>
          <w:b/>
          <w:spacing w:val="40"/>
        </w:rPr>
        <w:t> </w:t>
      </w:r>
      <w:r>
        <w:rPr>
          <w:rFonts w:ascii="Arial" w:hAnsi="Arial"/>
          <w:b/>
        </w:rPr>
        <w:t>422.-</w:t>
      </w:r>
      <w:r>
        <w:rPr>
          <w:rFonts w:ascii="Arial" w:hAnsi="Arial"/>
          <w:b/>
          <w:spacing w:val="40"/>
        </w:rPr>
        <w:t> </w:t>
      </w:r>
      <w:r>
        <w:rPr/>
        <w:t>Reglamento</w:t>
      </w:r>
      <w:r>
        <w:rPr>
          <w:spacing w:val="40"/>
        </w:rPr>
        <w:t> </w:t>
      </w:r>
      <w:r>
        <w:rPr/>
        <w:t>interior</w:t>
      </w:r>
      <w:r>
        <w:rPr>
          <w:spacing w:val="40"/>
        </w:rPr>
        <w:t> </w:t>
      </w:r>
      <w:r>
        <w:rPr/>
        <w:t>de</w:t>
      </w:r>
      <w:r>
        <w:rPr>
          <w:spacing w:val="40"/>
        </w:rPr>
        <w:t> </w:t>
      </w:r>
      <w:r>
        <w:rPr/>
        <w:t>trabajo</w:t>
      </w:r>
      <w:r>
        <w:rPr>
          <w:spacing w:val="40"/>
        </w:rPr>
        <w:t> </w:t>
      </w:r>
      <w:r>
        <w:rPr/>
        <w:t>es</w:t>
      </w:r>
      <w:r>
        <w:rPr>
          <w:spacing w:val="40"/>
        </w:rPr>
        <w:t> </w:t>
      </w:r>
      <w:r>
        <w:rPr/>
        <w:t>el</w:t>
      </w:r>
      <w:r>
        <w:rPr>
          <w:spacing w:val="40"/>
        </w:rPr>
        <w:t> </w:t>
      </w:r>
      <w:r>
        <w:rPr/>
        <w:t>conjunto</w:t>
      </w:r>
      <w:r>
        <w:rPr>
          <w:spacing w:val="40"/>
        </w:rPr>
        <w:t> </w:t>
      </w:r>
      <w:r>
        <w:rPr/>
        <w:t>de</w:t>
      </w:r>
      <w:r>
        <w:rPr>
          <w:spacing w:val="40"/>
        </w:rPr>
        <w:t> </w:t>
      </w:r>
      <w:r>
        <w:rPr/>
        <w:t>disposiciones</w:t>
      </w:r>
      <w:r>
        <w:rPr>
          <w:spacing w:val="40"/>
        </w:rPr>
        <w:t> </w:t>
      </w:r>
      <w:r>
        <w:rPr/>
        <w:t>obligatorias</w:t>
      </w:r>
      <w:r>
        <w:rPr>
          <w:spacing w:val="40"/>
        </w:rPr>
        <w:t> </w:t>
      </w:r>
      <w:r>
        <w:rPr/>
        <w:t>para</w:t>
      </w:r>
      <w:r>
        <w:rPr>
          <w:spacing w:val="40"/>
        </w:rPr>
        <w:t> </w:t>
      </w:r>
      <w:r>
        <w:rPr/>
        <w:t>personas trabajadoras y empleadoras en el desarrollo de los trabajos en una empresa o establecimiento.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19-12-</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338" w:firstLine="288"/>
      </w:pPr>
      <w:r>
        <w:rPr/>
        <w:t>No</w:t>
      </w:r>
      <w:r>
        <w:rPr>
          <w:spacing w:val="80"/>
        </w:rPr>
        <w:t> </w:t>
      </w:r>
      <w:r>
        <w:rPr/>
        <w:t>son</w:t>
      </w:r>
      <w:r>
        <w:rPr>
          <w:spacing w:val="80"/>
        </w:rPr>
        <w:t> </w:t>
      </w:r>
      <w:r>
        <w:rPr/>
        <w:t>materia</w:t>
      </w:r>
      <w:r>
        <w:rPr>
          <w:spacing w:val="80"/>
        </w:rPr>
        <w:t> </w:t>
      </w:r>
      <w:r>
        <w:rPr/>
        <w:t>del</w:t>
      </w:r>
      <w:r>
        <w:rPr>
          <w:spacing w:val="80"/>
        </w:rPr>
        <w:t> </w:t>
      </w:r>
      <w:r>
        <w:rPr/>
        <w:t>reglamento</w:t>
      </w:r>
      <w:r>
        <w:rPr>
          <w:spacing w:val="80"/>
        </w:rPr>
        <w:t> </w:t>
      </w:r>
      <w:r>
        <w:rPr/>
        <w:t>las</w:t>
      </w:r>
      <w:r>
        <w:rPr>
          <w:spacing w:val="80"/>
        </w:rPr>
        <w:t> </w:t>
      </w:r>
      <w:r>
        <w:rPr/>
        <w:t>normas</w:t>
      </w:r>
      <w:r>
        <w:rPr>
          <w:spacing w:val="80"/>
        </w:rPr>
        <w:t> </w:t>
      </w:r>
      <w:r>
        <w:rPr/>
        <w:t>de</w:t>
      </w:r>
      <w:r>
        <w:rPr>
          <w:spacing w:val="80"/>
        </w:rPr>
        <w:t> </w:t>
      </w:r>
      <w:r>
        <w:rPr/>
        <w:t>orden</w:t>
      </w:r>
      <w:r>
        <w:rPr>
          <w:spacing w:val="80"/>
        </w:rPr>
        <w:t> </w:t>
      </w:r>
      <w:r>
        <w:rPr/>
        <w:t>técnico</w:t>
      </w:r>
      <w:r>
        <w:rPr>
          <w:spacing w:val="80"/>
        </w:rPr>
        <w:t> </w:t>
      </w:r>
      <w:r>
        <w:rPr/>
        <w:t>y</w:t>
      </w:r>
      <w:r>
        <w:rPr>
          <w:spacing w:val="80"/>
        </w:rPr>
        <w:t> </w:t>
      </w:r>
      <w:r>
        <w:rPr/>
        <w:t>administrativo</w:t>
      </w:r>
      <w:r>
        <w:rPr>
          <w:spacing w:val="80"/>
        </w:rPr>
        <w:t> </w:t>
      </w:r>
      <w:r>
        <w:rPr/>
        <w:t>que</w:t>
      </w:r>
      <w:r>
        <w:rPr>
          <w:spacing w:val="80"/>
        </w:rPr>
        <w:t> </w:t>
      </w:r>
      <w:r>
        <w:rPr/>
        <w:t>formulen directamente las empresas para la ejecución de los trabajos.</w:t>
      </w:r>
    </w:p>
    <w:p>
      <w:pPr>
        <w:spacing w:before="226"/>
        <w:ind w:left="626" w:right="0" w:firstLine="0"/>
        <w:jc w:val="left"/>
        <w:rPr>
          <w:sz w:val="20"/>
        </w:rPr>
      </w:pPr>
      <w:bookmarkStart w:name="Artículo_423" w:id="553"/>
      <w:bookmarkEnd w:id="553"/>
      <w:r>
        <w:rPr/>
      </w:r>
      <w:r>
        <w:rPr>
          <w:rFonts w:ascii="Arial" w:hAnsi="Arial"/>
          <w:b/>
          <w:sz w:val="20"/>
        </w:rPr>
        <w:t>Artículo</w:t>
      </w:r>
      <w:r>
        <w:rPr>
          <w:rFonts w:ascii="Arial" w:hAnsi="Arial"/>
          <w:b/>
          <w:spacing w:val="-7"/>
          <w:sz w:val="20"/>
        </w:rPr>
        <w:t> </w:t>
      </w:r>
      <w:r>
        <w:rPr>
          <w:rFonts w:ascii="Arial" w:hAnsi="Arial"/>
          <w:b/>
          <w:sz w:val="20"/>
        </w:rPr>
        <w:t>423.-</w:t>
      </w:r>
      <w:r>
        <w:rPr>
          <w:rFonts w:ascii="Arial" w:hAnsi="Arial"/>
          <w:b/>
          <w:spacing w:val="-5"/>
          <w:sz w:val="20"/>
        </w:rPr>
        <w:t> </w:t>
      </w:r>
      <w:r>
        <w:rPr>
          <w:sz w:val="20"/>
        </w:rPr>
        <w:t>El</w:t>
      </w:r>
      <w:r>
        <w:rPr>
          <w:spacing w:val="-9"/>
          <w:sz w:val="20"/>
        </w:rPr>
        <w:t> </w:t>
      </w:r>
      <w:r>
        <w:rPr>
          <w:sz w:val="20"/>
        </w:rPr>
        <w:t>reglamento</w:t>
      </w:r>
      <w:r>
        <w:rPr>
          <w:spacing w:val="-8"/>
          <w:sz w:val="20"/>
        </w:rPr>
        <w:t> </w:t>
      </w:r>
      <w:r>
        <w:rPr>
          <w:spacing w:val="-2"/>
          <w:sz w:val="20"/>
        </w:rPr>
        <w:t>contendrá:</w:t>
      </w:r>
    </w:p>
    <w:p>
      <w:pPr>
        <w:pStyle w:val="BodyText"/>
        <w:spacing w:before="1"/>
      </w:pPr>
    </w:p>
    <w:p>
      <w:pPr>
        <w:pStyle w:val="BodyText"/>
        <w:tabs>
          <w:tab w:pos="1202" w:val="left" w:leader="none"/>
        </w:tabs>
        <w:spacing w:line="242" w:lineRule="auto"/>
        <w:ind w:left="1202" w:right="342" w:hanging="576"/>
      </w:pPr>
      <w:r>
        <w:rPr>
          <w:rFonts w:ascii="Arial" w:hAnsi="Arial"/>
          <w:b/>
          <w:spacing w:val="-4"/>
        </w:rPr>
        <w:t>I.-</w:t>
      </w:r>
      <w:r>
        <w:rPr>
          <w:rFonts w:ascii="Arial" w:hAnsi="Arial"/>
          <w:b/>
        </w:rPr>
        <w:tab/>
      </w:r>
      <w:r>
        <w:rPr/>
        <w:t>Horas de entrada y salida de las personas trabajadoras, tiempo destinado para las comidas y</w:t>
      </w:r>
      <w:r>
        <w:rPr>
          <w:spacing w:val="40"/>
        </w:rPr>
        <w:t> </w:t>
      </w:r>
      <w:r>
        <w:rPr/>
        <w:t>períodos obligatorios de reposo durante la jornada;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136"/>
        </w:numPr>
        <w:tabs>
          <w:tab w:pos="1195" w:val="left" w:leader="none"/>
        </w:tabs>
        <w:spacing w:line="240" w:lineRule="auto" w:before="0" w:after="0"/>
        <w:ind w:left="1195" w:right="0" w:hanging="569"/>
        <w:jc w:val="left"/>
        <w:rPr>
          <w:sz w:val="20"/>
        </w:rPr>
      </w:pPr>
      <w:r>
        <w:rPr>
          <w:sz w:val="20"/>
        </w:rPr>
        <w:t>Lugar</w:t>
      </w:r>
      <w:r>
        <w:rPr>
          <w:spacing w:val="-3"/>
          <w:sz w:val="20"/>
        </w:rPr>
        <w:t> </w:t>
      </w:r>
      <w:r>
        <w:rPr>
          <w:sz w:val="20"/>
        </w:rPr>
        <w:t>y</w:t>
      </w:r>
      <w:r>
        <w:rPr>
          <w:spacing w:val="-9"/>
          <w:sz w:val="20"/>
        </w:rPr>
        <w:t> </w:t>
      </w:r>
      <w:r>
        <w:rPr>
          <w:sz w:val="20"/>
        </w:rPr>
        <w:t>momento</w:t>
      </w:r>
      <w:r>
        <w:rPr>
          <w:spacing w:val="-7"/>
          <w:sz w:val="20"/>
        </w:rPr>
        <w:t> </w:t>
      </w:r>
      <w:r>
        <w:rPr>
          <w:sz w:val="20"/>
        </w:rPr>
        <w:t>en</w:t>
      </w:r>
      <w:r>
        <w:rPr>
          <w:spacing w:val="-5"/>
          <w:sz w:val="20"/>
        </w:rPr>
        <w:t> </w:t>
      </w:r>
      <w:r>
        <w:rPr>
          <w:sz w:val="20"/>
        </w:rPr>
        <w:t>que</w:t>
      </w:r>
      <w:r>
        <w:rPr>
          <w:spacing w:val="-6"/>
          <w:sz w:val="20"/>
        </w:rPr>
        <w:t> </w:t>
      </w:r>
      <w:r>
        <w:rPr>
          <w:sz w:val="20"/>
        </w:rPr>
        <w:t>deben</w:t>
      </w:r>
      <w:r>
        <w:rPr>
          <w:spacing w:val="-5"/>
          <w:sz w:val="20"/>
        </w:rPr>
        <w:t> </w:t>
      </w:r>
      <w:r>
        <w:rPr>
          <w:sz w:val="20"/>
        </w:rPr>
        <w:t>comenzar</w:t>
      </w:r>
      <w:r>
        <w:rPr>
          <w:spacing w:val="-4"/>
          <w:sz w:val="20"/>
        </w:rPr>
        <w:t> </w:t>
      </w:r>
      <w:r>
        <w:rPr>
          <w:sz w:val="20"/>
        </w:rPr>
        <w:t>y</w:t>
      </w:r>
      <w:r>
        <w:rPr>
          <w:spacing w:val="-7"/>
          <w:sz w:val="20"/>
        </w:rPr>
        <w:t> </w:t>
      </w:r>
      <w:r>
        <w:rPr>
          <w:sz w:val="20"/>
        </w:rPr>
        <w:t>terminar</w:t>
      </w:r>
      <w:r>
        <w:rPr>
          <w:spacing w:val="-6"/>
          <w:sz w:val="20"/>
        </w:rPr>
        <w:t> </w:t>
      </w:r>
      <w:r>
        <w:rPr>
          <w:sz w:val="20"/>
        </w:rPr>
        <w:t>las</w:t>
      </w:r>
      <w:r>
        <w:rPr>
          <w:spacing w:val="-6"/>
          <w:sz w:val="20"/>
        </w:rPr>
        <w:t> </w:t>
      </w:r>
      <w:r>
        <w:rPr>
          <w:sz w:val="20"/>
        </w:rPr>
        <w:t>jornadas</w:t>
      </w:r>
      <w:r>
        <w:rPr>
          <w:spacing w:val="-5"/>
          <w:sz w:val="20"/>
        </w:rPr>
        <w:t> </w:t>
      </w:r>
      <w:r>
        <w:rPr>
          <w:sz w:val="20"/>
        </w:rPr>
        <w:t>de</w:t>
      </w:r>
      <w:r>
        <w:rPr>
          <w:spacing w:val="-7"/>
          <w:sz w:val="20"/>
        </w:rPr>
        <w:t> </w:t>
      </w:r>
      <w:r>
        <w:rPr>
          <w:spacing w:val="-2"/>
          <w:sz w:val="20"/>
        </w:rPr>
        <w:t>trabajo;</w:t>
      </w:r>
    </w:p>
    <w:p>
      <w:pPr>
        <w:pStyle w:val="BodyText"/>
        <w:spacing w:before="1"/>
      </w:pPr>
    </w:p>
    <w:p>
      <w:pPr>
        <w:pStyle w:val="ListParagraph"/>
        <w:numPr>
          <w:ilvl w:val="0"/>
          <w:numId w:val="136"/>
        </w:numPr>
        <w:tabs>
          <w:tab w:pos="1195" w:val="left" w:leader="none"/>
        </w:tabs>
        <w:spacing w:line="242" w:lineRule="auto" w:before="0" w:after="0"/>
        <w:ind w:left="1195" w:right="341" w:hanging="569"/>
        <w:jc w:val="left"/>
        <w:rPr>
          <w:sz w:val="20"/>
        </w:rPr>
      </w:pPr>
      <w:r>
        <w:rPr>
          <w:sz w:val="20"/>
        </w:rPr>
        <w:t>Días</w:t>
      </w:r>
      <w:r>
        <w:rPr>
          <w:spacing w:val="37"/>
          <w:sz w:val="20"/>
        </w:rPr>
        <w:t> </w:t>
      </w:r>
      <w:r>
        <w:rPr>
          <w:sz w:val="20"/>
        </w:rPr>
        <w:t>y</w:t>
      </w:r>
      <w:r>
        <w:rPr>
          <w:spacing w:val="33"/>
          <w:sz w:val="20"/>
        </w:rPr>
        <w:t> </w:t>
      </w:r>
      <w:r>
        <w:rPr>
          <w:sz w:val="20"/>
        </w:rPr>
        <w:t>horas</w:t>
      </w:r>
      <w:r>
        <w:rPr>
          <w:spacing w:val="34"/>
          <w:sz w:val="20"/>
        </w:rPr>
        <w:t> </w:t>
      </w:r>
      <w:r>
        <w:rPr>
          <w:sz w:val="20"/>
        </w:rPr>
        <w:t>fijados</w:t>
      </w:r>
      <w:r>
        <w:rPr>
          <w:spacing w:val="34"/>
          <w:sz w:val="20"/>
        </w:rPr>
        <w:t> </w:t>
      </w:r>
      <w:r>
        <w:rPr>
          <w:sz w:val="20"/>
        </w:rPr>
        <w:t>para</w:t>
      </w:r>
      <w:r>
        <w:rPr>
          <w:spacing w:val="36"/>
          <w:sz w:val="20"/>
        </w:rPr>
        <w:t> </w:t>
      </w:r>
      <w:r>
        <w:rPr>
          <w:sz w:val="20"/>
        </w:rPr>
        <w:t>hacer</w:t>
      </w:r>
      <w:r>
        <w:rPr>
          <w:spacing w:val="34"/>
          <w:sz w:val="20"/>
        </w:rPr>
        <w:t> </w:t>
      </w:r>
      <w:r>
        <w:rPr>
          <w:sz w:val="20"/>
        </w:rPr>
        <w:t>la</w:t>
      </w:r>
      <w:r>
        <w:rPr>
          <w:spacing w:val="33"/>
          <w:sz w:val="20"/>
        </w:rPr>
        <w:t> </w:t>
      </w:r>
      <w:r>
        <w:rPr>
          <w:sz w:val="20"/>
        </w:rPr>
        <w:t>limpieza</w:t>
      </w:r>
      <w:r>
        <w:rPr>
          <w:spacing w:val="33"/>
          <w:sz w:val="20"/>
        </w:rPr>
        <w:t> </w:t>
      </w:r>
      <w:r>
        <w:rPr>
          <w:sz w:val="20"/>
        </w:rPr>
        <w:t>de</w:t>
      </w:r>
      <w:r>
        <w:rPr>
          <w:spacing w:val="35"/>
          <w:sz w:val="20"/>
        </w:rPr>
        <w:t> </w:t>
      </w:r>
      <w:r>
        <w:rPr>
          <w:sz w:val="20"/>
        </w:rPr>
        <w:t>los</w:t>
      </w:r>
      <w:r>
        <w:rPr>
          <w:spacing w:val="37"/>
          <w:sz w:val="20"/>
        </w:rPr>
        <w:t> </w:t>
      </w:r>
      <w:r>
        <w:rPr>
          <w:sz w:val="20"/>
        </w:rPr>
        <w:t>establecimientos,</w:t>
      </w:r>
      <w:r>
        <w:rPr>
          <w:spacing w:val="34"/>
          <w:sz w:val="20"/>
        </w:rPr>
        <w:t> </w:t>
      </w:r>
      <w:r>
        <w:rPr>
          <w:sz w:val="20"/>
        </w:rPr>
        <w:t>maquinaria,</w:t>
      </w:r>
      <w:r>
        <w:rPr>
          <w:spacing w:val="33"/>
          <w:sz w:val="20"/>
        </w:rPr>
        <w:t> </w:t>
      </w:r>
      <w:r>
        <w:rPr>
          <w:sz w:val="20"/>
        </w:rPr>
        <w:t>aparatos</w:t>
      </w:r>
      <w:r>
        <w:rPr>
          <w:spacing w:val="37"/>
          <w:sz w:val="20"/>
        </w:rPr>
        <w:t> </w:t>
      </w:r>
      <w:r>
        <w:rPr>
          <w:sz w:val="20"/>
        </w:rPr>
        <w:t>y útiles de trabajo;</w:t>
      </w:r>
    </w:p>
    <w:p>
      <w:pPr>
        <w:pStyle w:val="ListParagraph"/>
        <w:numPr>
          <w:ilvl w:val="0"/>
          <w:numId w:val="136"/>
        </w:numPr>
        <w:tabs>
          <w:tab w:pos="1195" w:val="left" w:leader="none"/>
        </w:tabs>
        <w:spacing w:line="240" w:lineRule="auto" w:before="225" w:after="0"/>
        <w:ind w:left="1195" w:right="0" w:hanging="569"/>
        <w:jc w:val="left"/>
        <w:rPr>
          <w:sz w:val="20"/>
        </w:rPr>
      </w:pPr>
      <w:r>
        <w:rPr>
          <w:sz w:val="20"/>
        </w:rPr>
        <w:t>Días</w:t>
      </w:r>
      <w:r>
        <w:rPr>
          <w:spacing w:val="-3"/>
          <w:sz w:val="20"/>
        </w:rPr>
        <w:t> </w:t>
      </w:r>
      <w:r>
        <w:rPr>
          <w:sz w:val="20"/>
        </w:rPr>
        <w:t>y</w:t>
      </w:r>
      <w:r>
        <w:rPr>
          <w:spacing w:val="-5"/>
          <w:sz w:val="20"/>
        </w:rPr>
        <w:t> </w:t>
      </w:r>
      <w:r>
        <w:rPr>
          <w:sz w:val="20"/>
        </w:rPr>
        <w:t>lugares</w:t>
      </w:r>
      <w:r>
        <w:rPr>
          <w:spacing w:val="-4"/>
          <w:sz w:val="20"/>
        </w:rPr>
        <w:t> </w:t>
      </w:r>
      <w:r>
        <w:rPr>
          <w:sz w:val="20"/>
        </w:rPr>
        <w:t>de</w:t>
      </w:r>
      <w:r>
        <w:rPr>
          <w:spacing w:val="-5"/>
          <w:sz w:val="20"/>
        </w:rPr>
        <w:t> </w:t>
      </w:r>
      <w:r>
        <w:rPr>
          <w:spacing w:val="-4"/>
          <w:sz w:val="20"/>
        </w:rPr>
        <w:t>pago;</w:t>
      </w:r>
    </w:p>
    <w:p>
      <w:pPr>
        <w:pStyle w:val="BodyText"/>
      </w:pPr>
    </w:p>
    <w:p>
      <w:pPr>
        <w:pStyle w:val="BodyText"/>
        <w:ind w:left="1202" w:right="345" w:hanging="576"/>
        <w:jc w:val="both"/>
      </w:pPr>
      <w:r>
        <w:rPr>
          <w:rFonts w:ascii="Arial" w:hAnsi="Arial"/>
          <w:b/>
        </w:rPr>
        <w:t>V.-</w:t>
      </w:r>
      <w:r>
        <w:rPr>
          <w:rFonts w:ascii="Arial" w:hAnsi="Arial"/>
          <w:b/>
          <w:spacing w:val="40"/>
        </w:rPr>
        <w:t>  </w:t>
      </w:r>
      <w:r>
        <w:rPr/>
        <w:t>Normas que</w:t>
      </w:r>
      <w:r>
        <w:rPr>
          <w:spacing w:val="-2"/>
        </w:rPr>
        <w:t> </w:t>
      </w:r>
      <w:r>
        <w:rPr/>
        <w:t>regulen</w:t>
      </w:r>
      <w:r>
        <w:rPr>
          <w:spacing w:val="-1"/>
        </w:rPr>
        <w:t> </w:t>
      </w:r>
      <w:r>
        <w:rPr/>
        <w:t>el derecho de las personas trabajadoras para</w:t>
      </w:r>
      <w:r>
        <w:rPr>
          <w:spacing w:val="-1"/>
        </w:rPr>
        <w:t> </w:t>
      </w:r>
      <w:r>
        <w:rPr/>
        <w:t>usar los asientos o</w:t>
      </w:r>
      <w:r>
        <w:rPr>
          <w:spacing w:val="-1"/>
        </w:rPr>
        <w:t> </w:t>
      </w:r>
      <w:r>
        <w:rPr/>
        <w:t>sillas con respaldo durante la jornada laboral, de conformidad con lo previsto por el artículo 132, fracción </w:t>
      </w:r>
      <w:r>
        <w:rPr>
          <w:spacing w:val="-6"/>
        </w:rPr>
        <w:t>V;</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137"/>
        </w:numPr>
        <w:tabs>
          <w:tab w:pos="1195" w:val="left" w:leader="none"/>
        </w:tabs>
        <w:spacing w:line="240" w:lineRule="auto" w:before="0" w:after="0"/>
        <w:ind w:left="1195" w:right="0" w:hanging="569"/>
        <w:jc w:val="left"/>
        <w:rPr>
          <w:sz w:val="20"/>
        </w:rPr>
      </w:pPr>
      <w:r>
        <w:rPr>
          <w:sz w:val="20"/>
        </w:rPr>
        <w:t>Normas</w:t>
      </w:r>
      <w:r>
        <w:rPr>
          <w:spacing w:val="-6"/>
          <w:sz w:val="20"/>
        </w:rPr>
        <w:t> </w:t>
      </w:r>
      <w:r>
        <w:rPr>
          <w:sz w:val="20"/>
        </w:rPr>
        <w:t>para</w:t>
      </w:r>
      <w:r>
        <w:rPr>
          <w:spacing w:val="-7"/>
          <w:sz w:val="20"/>
        </w:rPr>
        <w:t> </w:t>
      </w:r>
      <w:r>
        <w:rPr>
          <w:sz w:val="20"/>
        </w:rPr>
        <w:t>prevenir</w:t>
      </w:r>
      <w:r>
        <w:rPr>
          <w:spacing w:val="-4"/>
          <w:sz w:val="20"/>
        </w:rPr>
        <w:t> </w:t>
      </w:r>
      <w:r>
        <w:rPr>
          <w:sz w:val="20"/>
        </w:rPr>
        <w:t>los</w:t>
      </w:r>
      <w:r>
        <w:rPr>
          <w:spacing w:val="-6"/>
          <w:sz w:val="20"/>
        </w:rPr>
        <w:t> </w:t>
      </w:r>
      <w:r>
        <w:rPr>
          <w:sz w:val="20"/>
        </w:rPr>
        <w:t>riesgos</w:t>
      </w:r>
      <w:r>
        <w:rPr>
          <w:spacing w:val="-6"/>
          <w:sz w:val="20"/>
        </w:rPr>
        <w:t> </w:t>
      </w:r>
      <w:r>
        <w:rPr>
          <w:sz w:val="20"/>
        </w:rPr>
        <w:t>de</w:t>
      </w:r>
      <w:r>
        <w:rPr>
          <w:spacing w:val="-6"/>
          <w:sz w:val="20"/>
        </w:rPr>
        <w:t> </w:t>
      </w:r>
      <w:r>
        <w:rPr>
          <w:sz w:val="20"/>
        </w:rPr>
        <w:t>trabajo</w:t>
      </w:r>
      <w:r>
        <w:rPr>
          <w:spacing w:val="-5"/>
          <w:sz w:val="20"/>
        </w:rPr>
        <w:t> </w:t>
      </w:r>
      <w:r>
        <w:rPr>
          <w:sz w:val="20"/>
        </w:rPr>
        <w:t>e</w:t>
      </w:r>
      <w:r>
        <w:rPr>
          <w:spacing w:val="-7"/>
          <w:sz w:val="20"/>
        </w:rPr>
        <w:t> </w:t>
      </w:r>
      <w:r>
        <w:rPr>
          <w:sz w:val="20"/>
        </w:rPr>
        <w:t>instrucciones</w:t>
      </w:r>
      <w:r>
        <w:rPr>
          <w:spacing w:val="-6"/>
          <w:sz w:val="20"/>
        </w:rPr>
        <w:t> </w:t>
      </w:r>
      <w:r>
        <w:rPr>
          <w:sz w:val="20"/>
        </w:rPr>
        <w:t>para</w:t>
      </w:r>
      <w:r>
        <w:rPr>
          <w:spacing w:val="-6"/>
          <w:sz w:val="20"/>
        </w:rPr>
        <w:t> </w:t>
      </w:r>
      <w:r>
        <w:rPr>
          <w:sz w:val="20"/>
        </w:rPr>
        <w:t>prestar</w:t>
      </w:r>
      <w:r>
        <w:rPr>
          <w:spacing w:val="-5"/>
          <w:sz w:val="20"/>
        </w:rPr>
        <w:t> </w:t>
      </w:r>
      <w:r>
        <w:rPr>
          <w:sz w:val="20"/>
        </w:rPr>
        <w:t>los</w:t>
      </w:r>
      <w:r>
        <w:rPr>
          <w:spacing w:val="-6"/>
          <w:sz w:val="20"/>
        </w:rPr>
        <w:t> </w:t>
      </w:r>
      <w:r>
        <w:rPr>
          <w:sz w:val="20"/>
        </w:rPr>
        <w:t>primeros</w:t>
      </w:r>
      <w:r>
        <w:rPr>
          <w:spacing w:val="-5"/>
          <w:sz w:val="20"/>
        </w:rPr>
        <w:t> </w:t>
      </w:r>
      <w:r>
        <w:rPr>
          <w:spacing w:val="-2"/>
          <w:sz w:val="20"/>
        </w:rPr>
        <w:t>auxilios;</w:t>
      </w:r>
    </w:p>
    <w:p>
      <w:pPr>
        <w:pStyle w:val="ListParagraph"/>
        <w:numPr>
          <w:ilvl w:val="0"/>
          <w:numId w:val="137"/>
        </w:numPr>
        <w:tabs>
          <w:tab w:pos="1195" w:val="left" w:leader="none"/>
        </w:tabs>
        <w:spacing w:line="242" w:lineRule="auto" w:before="229" w:after="0"/>
        <w:ind w:left="1195" w:right="343" w:hanging="569"/>
        <w:jc w:val="left"/>
        <w:rPr>
          <w:sz w:val="20"/>
        </w:rPr>
      </w:pPr>
      <w:r>
        <w:rPr>
          <w:sz w:val="20"/>
        </w:rPr>
        <w:t>Labores</w:t>
      </w:r>
      <w:r>
        <w:rPr>
          <w:spacing w:val="27"/>
          <w:sz w:val="20"/>
        </w:rPr>
        <w:t> </w:t>
      </w:r>
      <w:r>
        <w:rPr>
          <w:sz w:val="20"/>
        </w:rPr>
        <w:t>insalubres</w:t>
      </w:r>
      <w:r>
        <w:rPr>
          <w:spacing w:val="30"/>
          <w:sz w:val="20"/>
        </w:rPr>
        <w:t> </w:t>
      </w:r>
      <w:r>
        <w:rPr>
          <w:sz w:val="20"/>
        </w:rPr>
        <w:t>y</w:t>
      </w:r>
      <w:r>
        <w:rPr>
          <w:spacing w:val="25"/>
          <w:sz w:val="20"/>
        </w:rPr>
        <w:t> </w:t>
      </w:r>
      <w:r>
        <w:rPr>
          <w:sz w:val="20"/>
        </w:rPr>
        <w:t>peligrosas</w:t>
      </w:r>
      <w:r>
        <w:rPr>
          <w:spacing w:val="27"/>
          <w:sz w:val="20"/>
        </w:rPr>
        <w:t> </w:t>
      </w:r>
      <w:r>
        <w:rPr>
          <w:sz w:val="20"/>
        </w:rPr>
        <w:t>que</w:t>
      </w:r>
      <w:r>
        <w:rPr>
          <w:spacing w:val="29"/>
          <w:sz w:val="20"/>
        </w:rPr>
        <w:t> </w:t>
      </w:r>
      <w:r>
        <w:rPr>
          <w:sz w:val="20"/>
        </w:rPr>
        <w:t>no</w:t>
      </w:r>
      <w:r>
        <w:rPr>
          <w:spacing w:val="28"/>
          <w:sz w:val="20"/>
        </w:rPr>
        <w:t> </w:t>
      </w:r>
      <w:r>
        <w:rPr>
          <w:sz w:val="20"/>
        </w:rPr>
        <w:t>deben</w:t>
      </w:r>
      <w:r>
        <w:rPr>
          <w:spacing w:val="28"/>
          <w:sz w:val="20"/>
        </w:rPr>
        <w:t> </w:t>
      </w:r>
      <w:r>
        <w:rPr>
          <w:sz w:val="20"/>
        </w:rPr>
        <w:t>desempeñar</w:t>
      </w:r>
      <w:r>
        <w:rPr>
          <w:spacing w:val="27"/>
          <w:sz w:val="20"/>
        </w:rPr>
        <w:t> </w:t>
      </w:r>
      <w:r>
        <w:rPr>
          <w:sz w:val="20"/>
        </w:rPr>
        <w:t>los</w:t>
      </w:r>
      <w:r>
        <w:rPr>
          <w:spacing w:val="27"/>
          <w:sz w:val="20"/>
        </w:rPr>
        <w:t> </w:t>
      </w:r>
      <w:r>
        <w:rPr>
          <w:sz w:val="20"/>
        </w:rPr>
        <w:t>menores</w:t>
      </w:r>
      <w:r>
        <w:rPr>
          <w:spacing w:val="30"/>
          <w:sz w:val="20"/>
        </w:rPr>
        <w:t> </w:t>
      </w:r>
      <w:r>
        <w:rPr>
          <w:sz w:val="20"/>
        </w:rPr>
        <w:t>y</w:t>
      </w:r>
      <w:r>
        <w:rPr>
          <w:spacing w:val="25"/>
          <w:sz w:val="20"/>
        </w:rPr>
        <w:t> </w:t>
      </w:r>
      <w:r>
        <w:rPr>
          <w:sz w:val="20"/>
        </w:rPr>
        <w:t>la</w:t>
      </w:r>
      <w:r>
        <w:rPr>
          <w:spacing w:val="29"/>
          <w:sz w:val="20"/>
        </w:rPr>
        <w:t> </w:t>
      </w:r>
      <w:r>
        <w:rPr>
          <w:sz w:val="20"/>
        </w:rPr>
        <w:t>protección</w:t>
      </w:r>
      <w:r>
        <w:rPr>
          <w:spacing w:val="26"/>
          <w:sz w:val="20"/>
        </w:rPr>
        <w:t> </w:t>
      </w:r>
      <w:r>
        <w:rPr>
          <w:sz w:val="20"/>
        </w:rPr>
        <w:t>que deben tener las trabajadoras embarazadas;</w:t>
      </w:r>
    </w:p>
    <w:p>
      <w:pPr>
        <w:spacing w:line="180"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8"/>
        <w:rPr>
          <w:rFonts w:ascii="Times New Roman"/>
          <w:i/>
          <w:sz w:val="16"/>
        </w:rPr>
      </w:pPr>
    </w:p>
    <w:p>
      <w:pPr>
        <w:pStyle w:val="BodyText"/>
        <w:ind w:left="1202" w:right="341" w:hanging="576"/>
        <w:jc w:val="both"/>
      </w:pPr>
      <w:r>
        <w:rPr>
          <w:rFonts w:ascii="Arial" w:hAnsi="Arial"/>
          <w:b/>
        </w:rPr>
        <w:t>VIII.-</w:t>
      </w:r>
      <w:r>
        <w:rPr>
          <w:rFonts w:ascii="Arial" w:hAnsi="Arial"/>
          <w:b/>
          <w:spacing w:val="40"/>
        </w:rPr>
        <w:t> </w:t>
      </w:r>
      <w:r>
        <w:rPr/>
        <w:t>Tiempo y forma en que las personas trabajadoras deben someterse a los exámenes médicos, previos o periódicos, y a las medidas profilácticas que dicten las autoridades;</w:t>
      </w:r>
    </w:p>
    <w:p>
      <w:pPr>
        <w:spacing w:line="182"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19-12-</w:t>
      </w:r>
      <w:r>
        <w:rPr>
          <w:rFonts w:ascii="Times New Roman" w:hAnsi="Times New Roman"/>
          <w:i/>
          <w:color w:val="0000FF"/>
          <w:spacing w:val="-4"/>
          <w:sz w:val="16"/>
        </w:rPr>
        <w:t>2024</w:t>
      </w:r>
    </w:p>
    <w:p>
      <w:pPr>
        <w:pStyle w:val="BodyText"/>
        <w:spacing w:before="47"/>
        <w:rPr>
          <w:rFonts w:ascii="Times New Roman"/>
          <w:i/>
          <w:sz w:val="16"/>
        </w:rPr>
      </w:pPr>
    </w:p>
    <w:p>
      <w:pPr>
        <w:pStyle w:val="BodyText"/>
        <w:tabs>
          <w:tab w:pos="1195" w:val="left" w:leader="none"/>
        </w:tabs>
        <w:ind w:left="626"/>
      </w:pPr>
      <w:r>
        <w:rPr>
          <w:rFonts w:ascii="Arial"/>
          <w:b/>
          <w:spacing w:val="-5"/>
        </w:rPr>
        <w:t>IX.</w:t>
      </w:r>
      <w:r>
        <w:rPr>
          <w:rFonts w:ascii="Arial"/>
          <w:b/>
        </w:rPr>
        <w:tab/>
      </w:r>
      <w:r>
        <w:rPr/>
        <w:t>Permisos</w:t>
      </w:r>
      <w:r>
        <w:rPr>
          <w:spacing w:val="-2"/>
        </w:rPr>
        <w:t> </w:t>
      </w:r>
      <w:r>
        <w:rPr/>
        <w:t>y</w:t>
      </w:r>
      <w:r>
        <w:rPr>
          <w:spacing w:val="-9"/>
        </w:rPr>
        <w:t> </w:t>
      </w:r>
      <w:r>
        <w:rPr>
          <w:spacing w:val="-2"/>
        </w:rPr>
        <w:t>licencias;</w:t>
      </w:r>
    </w:p>
    <w:p>
      <w:pPr>
        <w:pStyle w:val="BodyText"/>
        <w:spacing w:line="242" w:lineRule="auto" w:before="229"/>
        <w:ind w:left="1202" w:right="340" w:hanging="576"/>
        <w:jc w:val="both"/>
      </w:pPr>
      <w:r>
        <w:rPr>
          <w:rFonts w:ascii="Arial" w:hAnsi="Arial"/>
          <w:b/>
        </w:rPr>
        <w:t>X.-</w:t>
      </w:r>
      <w:r>
        <w:rPr>
          <w:rFonts w:ascii="Arial" w:hAnsi="Arial"/>
          <w:b/>
          <w:spacing w:val="80"/>
          <w:w w:val="150"/>
        </w:rPr>
        <w:t> </w:t>
      </w:r>
      <w:r>
        <w:rPr/>
        <w:t>Disposiciones disciplinarias y procedimientos para su aplicación. La suspensión en el trabajo, como medida disciplinaria, no podrá exceder de ocho días. La persona trabajadora tendrá derecho a ser oída antes de que se aplique la sanción, y</w:t>
      </w:r>
    </w:p>
    <w:p>
      <w:pPr>
        <w:pStyle w:val="BodyText"/>
        <w:spacing w:after="0" w:line="242" w:lineRule="auto"/>
        <w:jc w:val="both"/>
        <w:sectPr>
          <w:type w:val="continuous"/>
          <w:pgSz w:w="12240" w:h="15840"/>
          <w:pgMar w:header="724" w:footer="712" w:top="1880" w:bottom="900" w:left="1080" w:right="1080"/>
        </w:sectPr>
      </w:pPr>
    </w:p>
    <w:p>
      <w:pPr>
        <w:pStyle w:val="BodyText"/>
        <w:spacing w:before="109"/>
        <w:rPr>
          <w:sz w:val="16"/>
        </w:rPr>
      </w:pP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19-12-</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line="242" w:lineRule="auto"/>
        <w:ind w:left="1195" w:right="344" w:hanging="569"/>
        <w:jc w:val="both"/>
      </w:pPr>
      <w:r>
        <w:rPr>
          <w:rFonts w:ascii="Arial" w:hAnsi="Arial"/>
          <w:b/>
        </w:rPr>
        <w:t>XI.</w:t>
      </w:r>
      <w:r>
        <w:rPr>
          <w:rFonts w:ascii="Arial" w:hAnsi="Arial"/>
          <w:b/>
          <w:spacing w:val="40"/>
        </w:rPr>
        <w:t>  </w:t>
      </w:r>
      <w:r>
        <w:rPr/>
        <w:t>Las demás normas necesarias y</w:t>
      </w:r>
      <w:r>
        <w:rPr>
          <w:spacing w:val="-4"/>
        </w:rPr>
        <w:t> </w:t>
      </w:r>
      <w:r>
        <w:rPr/>
        <w:t>convenientes de acuerdo</w:t>
      </w:r>
      <w:r>
        <w:rPr>
          <w:spacing w:val="-1"/>
        </w:rPr>
        <w:t> </w:t>
      </w:r>
      <w:r>
        <w:rPr/>
        <w:t>con la naturaleza</w:t>
      </w:r>
      <w:r>
        <w:rPr>
          <w:spacing w:val="-1"/>
        </w:rPr>
        <w:t> </w:t>
      </w:r>
      <w:r>
        <w:rPr/>
        <w:t>de</w:t>
      </w:r>
      <w:r>
        <w:rPr>
          <w:spacing w:val="-2"/>
        </w:rPr>
        <w:t> </w:t>
      </w:r>
      <w:r>
        <w:rPr/>
        <w:t>cada</w:t>
      </w:r>
      <w:r>
        <w:rPr>
          <w:spacing w:val="-1"/>
        </w:rPr>
        <w:t> </w:t>
      </w:r>
      <w:r>
        <w:rPr/>
        <w:t>empresa</w:t>
      </w:r>
      <w:r>
        <w:rPr>
          <w:spacing w:val="-1"/>
        </w:rPr>
        <w:t> </w:t>
      </w:r>
      <w:r>
        <w:rPr/>
        <w:t>o establecimiento, para conseguir la mayor seguridad y regularidad en el desarrollo del trabajo.</w:t>
      </w:r>
    </w:p>
    <w:p>
      <w:pPr>
        <w:pStyle w:val="BodyText"/>
        <w:spacing w:before="224"/>
        <w:ind w:left="626"/>
      </w:pPr>
      <w:bookmarkStart w:name="Artículo_424" w:id="554"/>
      <w:bookmarkEnd w:id="554"/>
      <w:r>
        <w:rPr/>
      </w:r>
      <w:r>
        <w:rPr>
          <w:rFonts w:ascii="Arial" w:hAnsi="Arial"/>
          <w:b/>
        </w:rPr>
        <w:t>Artículo</w:t>
      </w:r>
      <w:r>
        <w:rPr>
          <w:rFonts w:ascii="Arial" w:hAnsi="Arial"/>
          <w:b/>
          <w:spacing w:val="-6"/>
        </w:rPr>
        <w:t> </w:t>
      </w:r>
      <w:r>
        <w:rPr>
          <w:rFonts w:ascii="Arial" w:hAnsi="Arial"/>
          <w:b/>
        </w:rPr>
        <w:t>424.-</w:t>
      </w:r>
      <w:r>
        <w:rPr>
          <w:rFonts w:ascii="Arial" w:hAnsi="Arial"/>
          <w:b/>
          <w:spacing w:val="-5"/>
        </w:rPr>
        <w:t> </w:t>
      </w:r>
      <w:r>
        <w:rPr/>
        <w:t>En</w:t>
      </w:r>
      <w:r>
        <w:rPr>
          <w:spacing w:val="-5"/>
        </w:rPr>
        <w:t> </w:t>
      </w:r>
      <w:r>
        <w:rPr/>
        <w:t>la</w:t>
      </w:r>
      <w:r>
        <w:rPr>
          <w:spacing w:val="-6"/>
        </w:rPr>
        <w:t> </w:t>
      </w:r>
      <w:r>
        <w:rPr/>
        <w:t>formación</w:t>
      </w:r>
      <w:r>
        <w:rPr>
          <w:spacing w:val="-6"/>
        </w:rPr>
        <w:t> </w:t>
      </w:r>
      <w:r>
        <w:rPr/>
        <w:t>del</w:t>
      </w:r>
      <w:r>
        <w:rPr>
          <w:spacing w:val="-8"/>
        </w:rPr>
        <w:t> </w:t>
      </w:r>
      <w:r>
        <w:rPr/>
        <w:t>reglamento</w:t>
      </w:r>
      <w:r>
        <w:rPr>
          <w:spacing w:val="-8"/>
        </w:rPr>
        <w:t> </w:t>
      </w:r>
      <w:r>
        <w:rPr/>
        <w:t>se</w:t>
      </w:r>
      <w:r>
        <w:rPr>
          <w:spacing w:val="-7"/>
        </w:rPr>
        <w:t> </w:t>
      </w:r>
      <w:r>
        <w:rPr/>
        <w:t>observarán</w:t>
      </w:r>
      <w:r>
        <w:rPr>
          <w:spacing w:val="-5"/>
        </w:rPr>
        <w:t> </w:t>
      </w:r>
      <w:r>
        <w:rPr/>
        <w:t>las</w:t>
      </w:r>
      <w:r>
        <w:rPr>
          <w:spacing w:val="-5"/>
        </w:rPr>
        <w:t> </w:t>
      </w:r>
      <w:r>
        <w:rPr/>
        <w:t>normas</w:t>
      </w:r>
      <w:r>
        <w:rPr>
          <w:spacing w:val="-6"/>
        </w:rPr>
        <w:t> </w:t>
      </w:r>
      <w:r>
        <w:rPr>
          <w:spacing w:val="-2"/>
        </w:rPr>
        <w:t>siguientes:</w:t>
      </w:r>
    </w:p>
    <w:p>
      <w:pPr>
        <w:pStyle w:val="BodyText"/>
        <w:spacing w:before="1"/>
      </w:pPr>
    </w:p>
    <w:p>
      <w:pPr>
        <w:pStyle w:val="ListParagraph"/>
        <w:numPr>
          <w:ilvl w:val="0"/>
          <w:numId w:val="138"/>
        </w:numPr>
        <w:tabs>
          <w:tab w:pos="1195" w:val="left" w:leader="none"/>
        </w:tabs>
        <w:spacing w:line="240" w:lineRule="auto" w:before="0" w:after="0"/>
        <w:ind w:left="1195" w:right="0" w:hanging="569"/>
        <w:jc w:val="left"/>
        <w:rPr>
          <w:sz w:val="20"/>
        </w:rPr>
      </w:pPr>
      <w:r>
        <w:rPr>
          <w:sz w:val="20"/>
        </w:rPr>
        <w:t>Se</w:t>
      </w:r>
      <w:r>
        <w:rPr>
          <w:spacing w:val="-7"/>
          <w:sz w:val="20"/>
        </w:rPr>
        <w:t> </w:t>
      </w:r>
      <w:r>
        <w:rPr>
          <w:sz w:val="20"/>
        </w:rPr>
        <w:t>formulará</w:t>
      </w:r>
      <w:r>
        <w:rPr>
          <w:spacing w:val="-7"/>
          <w:sz w:val="20"/>
        </w:rPr>
        <w:t> </w:t>
      </w:r>
      <w:r>
        <w:rPr>
          <w:sz w:val="20"/>
        </w:rPr>
        <w:t>por</w:t>
      </w:r>
      <w:r>
        <w:rPr>
          <w:spacing w:val="-6"/>
          <w:sz w:val="20"/>
        </w:rPr>
        <w:t> </w:t>
      </w:r>
      <w:r>
        <w:rPr>
          <w:sz w:val="20"/>
        </w:rPr>
        <w:t>una</w:t>
      </w:r>
      <w:r>
        <w:rPr>
          <w:spacing w:val="-7"/>
          <w:sz w:val="20"/>
        </w:rPr>
        <w:t> </w:t>
      </w:r>
      <w:r>
        <w:rPr>
          <w:sz w:val="20"/>
        </w:rPr>
        <w:t>comisión</w:t>
      </w:r>
      <w:r>
        <w:rPr>
          <w:spacing w:val="-8"/>
          <w:sz w:val="20"/>
        </w:rPr>
        <w:t> </w:t>
      </w:r>
      <w:r>
        <w:rPr>
          <w:sz w:val="20"/>
        </w:rPr>
        <w:t>mixta</w:t>
      </w:r>
      <w:r>
        <w:rPr>
          <w:spacing w:val="-7"/>
          <w:sz w:val="20"/>
        </w:rPr>
        <w:t> </w:t>
      </w:r>
      <w:r>
        <w:rPr>
          <w:sz w:val="20"/>
        </w:rPr>
        <w:t>de</w:t>
      </w:r>
      <w:r>
        <w:rPr>
          <w:spacing w:val="-8"/>
          <w:sz w:val="20"/>
        </w:rPr>
        <w:t> </w:t>
      </w:r>
      <w:r>
        <w:rPr>
          <w:sz w:val="20"/>
        </w:rPr>
        <w:t>representantes</w:t>
      </w:r>
      <w:r>
        <w:rPr>
          <w:spacing w:val="-6"/>
          <w:sz w:val="20"/>
        </w:rPr>
        <w:t> </w:t>
      </w:r>
      <w:r>
        <w:rPr>
          <w:sz w:val="20"/>
        </w:rPr>
        <w:t>de</w:t>
      </w:r>
      <w:r>
        <w:rPr>
          <w:spacing w:val="-5"/>
          <w:sz w:val="20"/>
        </w:rPr>
        <w:t> </w:t>
      </w:r>
      <w:r>
        <w:rPr>
          <w:sz w:val="20"/>
        </w:rPr>
        <w:t>los</w:t>
      </w:r>
      <w:r>
        <w:rPr>
          <w:spacing w:val="-6"/>
          <w:sz w:val="20"/>
        </w:rPr>
        <w:t> </w:t>
      </w:r>
      <w:r>
        <w:rPr>
          <w:sz w:val="20"/>
        </w:rPr>
        <w:t>trabajadores</w:t>
      </w:r>
      <w:r>
        <w:rPr>
          <w:spacing w:val="-1"/>
          <w:sz w:val="20"/>
        </w:rPr>
        <w:t> </w:t>
      </w:r>
      <w:r>
        <w:rPr>
          <w:sz w:val="20"/>
        </w:rPr>
        <w:t>y</w:t>
      </w:r>
      <w:r>
        <w:rPr>
          <w:spacing w:val="-10"/>
          <w:sz w:val="20"/>
        </w:rPr>
        <w:t> </w:t>
      </w:r>
      <w:r>
        <w:rPr>
          <w:sz w:val="20"/>
        </w:rPr>
        <w:t>del</w:t>
      </w:r>
      <w:r>
        <w:rPr>
          <w:spacing w:val="-5"/>
          <w:sz w:val="20"/>
        </w:rPr>
        <w:t> </w:t>
      </w:r>
      <w:r>
        <w:rPr>
          <w:spacing w:val="-2"/>
          <w:sz w:val="20"/>
        </w:rPr>
        <w:t>patrón;</w:t>
      </w:r>
    </w:p>
    <w:p>
      <w:pPr>
        <w:pStyle w:val="BodyText"/>
        <w:spacing w:before="1"/>
      </w:pPr>
    </w:p>
    <w:p>
      <w:pPr>
        <w:pStyle w:val="ListParagraph"/>
        <w:numPr>
          <w:ilvl w:val="0"/>
          <w:numId w:val="138"/>
        </w:numPr>
        <w:tabs>
          <w:tab w:pos="1192" w:val="left" w:leader="none"/>
          <w:tab w:pos="1195" w:val="left" w:leader="none"/>
        </w:tabs>
        <w:spacing w:line="242" w:lineRule="auto" w:before="0" w:after="0"/>
        <w:ind w:left="1195" w:right="345" w:hanging="569"/>
        <w:jc w:val="both"/>
        <w:rPr>
          <w:sz w:val="20"/>
        </w:rPr>
      </w:pPr>
      <w:r>
        <w:rPr>
          <w:sz w:val="20"/>
        </w:rPr>
        <w:t>Si las partes se ponen de acuerdo, cualquiera de ellas, dentro de los ocho días siguientes a su firma, lo depositará ante el Centro Federal de Conciliación y Registro Laboral;</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ListParagraph"/>
        <w:numPr>
          <w:ilvl w:val="0"/>
          <w:numId w:val="138"/>
        </w:numPr>
        <w:tabs>
          <w:tab w:pos="1191" w:val="left" w:leader="none"/>
          <w:tab w:pos="1195" w:val="left" w:leader="none"/>
        </w:tabs>
        <w:spacing w:line="242" w:lineRule="auto" w:before="0" w:after="0"/>
        <w:ind w:left="1195" w:right="341" w:hanging="569"/>
        <w:jc w:val="both"/>
        <w:rPr>
          <w:sz w:val="20"/>
        </w:rPr>
      </w:pPr>
      <w:r>
        <w:rPr>
          <w:sz w:val="20"/>
        </w:rPr>
        <w:t>No producirán ningún efecto legal las disposiciones contrarias a esta Ley, a sus reglamentos, y a los contratos colectivos y contratos-ley; y</w:t>
      </w:r>
    </w:p>
    <w:p>
      <w:pPr>
        <w:pStyle w:val="ListParagraph"/>
        <w:numPr>
          <w:ilvl w:val="0"/>
          <w:numId w:val="138"/>
        </w:numPr>
        <w:tabs>
          <w:tab w:pos="1195" w:val="left" w:leader="none"/>
        </w:tabs>
        <w:spacing w:line="242" w:lineRule="auto" w:before="224" w:after="0"/>
        <w:ind w:left="1195" w:right="337" w:hanging="569"/>
        <w:jc w:val="both"/>
        <w:rPr>
          <w:sz w:val="20"/>
        </w:rPr>
      </w:pPr>
      <w:r>
        <w:rPr>
          <w:sz w:val="20"/>
        </w:rPr>
        <w:t>Los</w:t>
      </w:r>
      <w:r>
        <w:rPr>
          <w:spacing w:val="-3"/>
          <w:sz w:val="20"/>
        </w:rPr>
        <w:t> </w:t>
      </w:r>
      <w:r>
        <w:rPr>
          <w:sz w:val="20"/>
        </w:rPr>
        <w:t>trabajadores o</w:t>
      </w:r>
      <w:r>
        <w:rPr>
          <w:spacing w:val="-2"/>
          <w:sz w:val="20"/>
        </w:rPr>
        <w:t> </w:t>
      </w:r>
      <w:r>
        <w:rPr>
          <w:sz w:val="20"/>
        </w:rPr>
        <w:t>el</w:t>
      </w:r>
      <w:r>
        <w:rPr>
          <w:spacing w:val="-3"/>
          <w:sz w:val="20"/>
        </w:rPr>
        <w:t> </w:t>
      </w:r>
      <w:r>
        <w:rPr>
          <w:sz w:val="20"/>
        </w:rPr>
        <w:t>patrón,</w:t>
      </w:r>
      <w:r>
        <w:rPr>
          <w:spacing w:val="-4"/>
          <w:sz w:val="20"/>
        </w:rPr>
        <w:t> </w:t>
      </w:r>
      <w:r>
        <w:rPr>
          <w:sz w:val="20"/>
        </w:rPr>
        <w:t>en</w:t>
      </w:r>
      <w:r>
        <w:rPr>
          <w:spacing w:val="-4"/>
          <w:sz w:val="20"/>
        </w:rPr>
        <w:t> </w:t>
      </w:r>
      <w:r>
        <w:rPr>
          <w:sz w:val="20"/>
        </w:rPr>
        <w:t>cualquier tiempo,</w:t>
      </w:r>
      <w:r>
        <w:rPr>
          <w:spacing w:val="-4"/>
          <w:sz w:val="20"/>
        </w:rPr>
        <w:t> </w:t>
      </w:r>
      <w:r>
        <w:rPr>
          <w:sz w:val="20"/>
        </w:rPr>
        <w:t>podrán</w:t>
      </w:r>
      <w:r>
        <w:rPr>
          <w:spacing w:val="-5"/>
          <w:sz w:val="20"/>
        </w:rPr>
        <w:t> </w:t>
      </w:r>
      <w:r>
        <w:rPr>
          <w:sz w:val="20"/>
        </w:rPr>
        <w:t>solicitar</w:t>
      </w:r>
      <w:r>
        <w:rPr>
          <w:spacing w:val="-4"/>
          <w:sz w:val="20"/>
        </w:rPr>
        <w:t> </w:t>
      </w:r>
      <w:r>
        <w:rPr>
          <w:sz w:val="20"/>
        </w:rPr>
        <w:t>de</w:t>
      </w:r>
      <w:r>
        <w:rPr>
          <w:spacing w:val="-4"/>
          <w:sz w:val="20"/>
        </w:rPr>
        <w:t> </w:t>
      </w:r>
      <w:r>
        <w:rPr>
          <w:sz w:val="20"/>
        </w:rPr>
        <w:t>los</w:t>
      </w:r>
      <w:r>
        <w:rPr>
          <w:spacing w:val="-3"/>
          <w:sz w:val="20"/>
        </w:rPr>
        <w:t> </w:t>
      </w:r>
      <w:r>
        <w:rPr>
          <w:sz w:val="20"/>
        </w:rPr>
        <w:t>Tribunales</w:t>
      </w:r>
      <w:r>
        <w:rPr>
          <w:spacing w:val="-3"/>
          <w:sz w:val="20"/>
        </w:rPr>
        <w:t> </w:t>
      </w:r>
      <w:r>
        <w:rPr>
          <w:sz w:val="20"/>
        </w:rPr>
        <w:t>federales</w:t>
      </w:r>
      <w:r>
        <w:rPr>
          <w:spacing w:val="-3"/>
          <w:sz w:val="20"/>
        </w:rPr>
        <w:t> </w:t>
      </w:r>
      <w:r>
        <w:rPr>
          <w:sz w:val="20"/>
        </w:rPr>
        <w:t>se subsanen las omisiones del reglamento o se revisen sus disposiciones contrarias a esta Ley y demás</w:t>
      </w:r>
      <w:r>
        <w:rPr>
          <w:spacing w:val="-1"/>
          <w:sz w:val="20"/>
        </w:rPr>
        <w:t> </w:t>
      </w:r>
      <w:r>
        <w:rPr>
          <w:sz w:val="20"/>
        </w:rPr>
        <w:t>normas</w:t>
      </w:r>
      <w:r>
        <w:rPr>
          <w:spacing w:val="-1"/>
          <w:sz w:val="20"/>
        </w:rPr>
        <w:t> </w:t>
      </w:r>
      <w:r>
        <w:rPr>
          <w:sz w:val="20"/>
        </w:rPr>
        <w:t>de</w:t>
      </w:r>
      <w:r>
        <w:rPr>
          <w:spacing w:val="-3"/>
          <w:sz w:val="20"/>
        </w:rPr>
        <w:t> </w:t>
      </w:r>
      <w:r>
        <w:rPr>
          <w:sz w:val="20"/>
        </w:rPr>
        <w:t>trabajo,</w:t>
      </w:r>
      <w:r>
        <w:rPr>
          <w:spacing w:val="-2"/>
          <w:sz w:val="20"/>
        </w:rPr>
        <w:t> </w:t>
      </w:r>
      <w:r>
        <w:rPr>
          <w:sz w:val="20"/>
        </w:rPr>
        <w:t>de</w:t>
      </w:r>
      <w:r>
        <w:rPr>
          <w:spacing w:val="-3"/>
          <w:sz w:val="20"/>
        </w:rPr>
        <w:t> </w:t>
      </w:r>
      <w:r>
        <w:rPr>
          <w:sz w:val="20"/>
        </w:rPr>
        <w:t>conformidad</w:t>
      </w:r>
      <w:r>
        <w:rPr>
          <w:spacing w:val="-2"/>
          <w:sz w:val="20"/>
        </w:rPr>
        <w:t> </w:t>
      </w:r>
      <w:r>
        <w:rPr>
          <w:sz w:val="20"/>
        </w:rPr>
        <w:t>con</w:t>
      </w:r>
      <w:r>
        <w:rPr>
          <w:spacing w:val="-3"/>
          <w:sz w:val="20"/>
        </w:rPr>
        <w:t> </w:t>
      </w:r>
      <w:r>
        <w:rPr>
          <w:sz w:val="20"/>
        </w:rPr>
        <w:t>las</w:t>
      </w:r>
      <w:r>
        <w:rPr>
          <w:spacing w:val="-1"/>
          <w:sz w:val="20"/>
        </w:rPr>
        <w:t> </w:t>
      </w:r>
      <w:r>
        <w:rPr>
          <w:sz w:val="20"/>
        </w:rPr>
        <w:t>disposiciones</w:t>
      </w:r>
      <w:r>
        <w:rPr>
          <w:spacing w:val="-1"/>
          <w:sz w:val="20"/>
        </w:rPr>
        <w:t> </w:t>
      </w:r>
      <w:r>
        <w:rPr>
          <w:sz w:val="20"/>
        </w:rPr>
        <w:t>contenidas</w:t>
      </w:r>
      <w:r>
        <w:rPr>
          <w:spacing w:val="-1"/>
          <w:sz w:val="20"/>
        </w:rPr>
        <w:t> </w:t>
      </w:r>
      <w:r>
        <w:rPr>
          <w:sz w:val="20"/>
        </w:rPr>
        <w:t>en el</w:t>
      </w:r>
      <w:r>
        <w:rPr>
          <w:spacing w:val="-3"/>
          <w:sz w:val="20"/>
        </w:rPr>
        <w:t> </w:t>
      </w:r>
      <w:r>
        <w:rPr>
          <w:sz w:val="20"/>
        </w:rPr>
        <w:t>procedimiento especial colectivo establecido en el artículo 897 y subsecuentes de esta Ley.</w:t>
      </w:r>
    </w:p>
    <w:p>
      <w:pPr>
        <w:spacing w:line="17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spacing w:line="242" w:lineRule="auto"/>
        <w:ind w:left="338" w:right="338" w:firstLine="288"/>
        <w:jc w:val="both"/>
      </w:pPr>
      <w:bookmarkStart w:name="Artículo_424_Bis" w:id="555"/>
      <w:bookmarkEnd w:id="555"/>
      <w:r>
        <w:rPr/>
      </w:r>
      <w:r>
        <w:rPr>
          <w:rFonts w:ascii="Arial" w:hAnsi="Arial"/>
          <w:b/>
        </w:rPr>
        <w:t>Artículo 424</w:t>
      </w:r>
      <w:r>
        <w:rPr>
          <w:rFonts w:ascii="Arial" w:hAnsi="Arial"/>
          <w:b/>
          <w:spacing w:val="-1"/>
        </w:rPr>
        <w:t> </w:t>
      </w:r>
      <w:r>
        <w:rPr>
          <w:rFonts w:ascii="Arial" w:hAnsi="Arial"/>
          <w:b/>
        </w:rPr>
        <w:t>Bis.- </w:t>
      </w:r>
      <w:r>
        <w:rPr/>
        <w:t>El</w:t>
      </w:r>
      <w:r>
        <w:rPr>
          <w:spacing w:val="-2"/>
        </w:rPr>
        <w:t> </w:t>
      </w:r>
      <w:r>
        <w:rPr/>
        <w:t>Centro</w:t>
      </w:r>
      <w:r>
        <w:rPr>
          <w:spacing w:val="-1"/>
        </w:rPr>
        <w:t> </w:t>
      </w:r>
      <w:r>
        <w:rPr/>
        <w:t>Federal</w:t>
      </w:r>
      <w:r>
        <w:rPr>
          <w:spacing w:val="-2"/>
        </w:rPr>
        <w:t> </w:t>
      </w:r>
      <w:r>
        <w:rPr/>
        <w:t>de</w:t>
      </w:r>
      <w:r>
        <w:rPr>
          <w:spacing w:val="-1"/>
        </w:rPr>
        <w:t> </w:t>
      </w:r>
      <w:r>
        <w:rPr/>
        <w:t>Conciliación y</w:t>
      </w:r>
      <w:r>
        <w:rPr>
          <w:spacing w:val="-2"/>
        </w:rPr>
        <w:t> </w:t>
      </w:r>
      <w:r>
        <w:rPr/>
        <w:t>Registro Laboral</w:t>
      </w:r>
      <w:r>
        <w:rPr>
          <w:spacing w:val="-2"/>
        </w:rPr>
        <w:t> </w:t>
      </w:r>
      <w:r>
        <w:rPr/>
        <w:t>hará pública,</w:t>
      </w:r>
      <w:r>
        <w:rPr>
          <w:spacing w:val="-1"/>
        </w:rPr>
        <w:t> </w:t>
      </w:r>
      <w:r>
        <w:rPr/>
        <w:t>para</w:t>
      </w:r>
      <w:r>
        <w:rPr>
          <w:spacing w:val="-1"/>
        </w:rPr>
        <w:t> </w:t>
      </w:r>
      <w:r>
        <w:rPr/>
        <w:t>consulta de cualquier persona, el texto íntegro de los reglamentos interiores de trabajo que se encuentren</w:t>
      </w:r>
      <w:r>
        <w:rPr>
          <w:spacing w:val="40"/>
        </w:rPr>
        <w:t> </w:t>
      </w:r>
      <w:r>
        <w:rPr/>
        <w:t>depositados ante dicha Autoridad Registral. Asimismo, deberá expedir copias de dichos documentos, en términos de lo dispuesto por la Ley General de Transparencia y Acceso a la Información Pública.</w:t>
      </w:r>
    </w:p>
    <w:p>
      <w:pPr>
        <w:pStyle w:val="BodyText"/>
        <w:spacing w:before="223"/>
        <w:ind w:left="338" w:right="344" w:firstLine="288"/>
        <w:jc w:val="both"/>
      </w:pPr>
      <w:r>
        <w:rPr/>
        <w:t>El texto íntegro de los reglamentos interiores de trabajo deberá estar disponible en forma gratuita en los sitios de Internet del Centro Federal de Conciliación y Registro Laboral.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BodyText"/>
        <w:spacing w:line="242" w:lineRule="auto" w:before="1"/>
        <w:ind w:left="338" w:right="340" w:firstLine="288"/>
        <w:jc w:val="both"/>
      </w:pPr>
      <w:bookmarkStart w:name="Artículo_425" w:id="556"/>
      <w:bookmarkEnd w:id="556"/>
      <w:r>
        <w:rPr/>
      </w:r>
      <w:r>
        <w:rPr>
          <w:rFonts w:ascii="Arial" w:hAnsi="Arial"/>
          <w:b/>
        </w:rPr>
        <w:t>Artículo 425.- </w:t>
      </w:r>
      <w:r>
        <w:rPr/>
        <w:t>El reglamento surtirá efectos a partir de la fecha de su depósito. Deberá imprimirse y repartirse entre los trabajadores y se fijará en los lugares más visibles del establecimiento.</w:t>
      </w:r>
    </w:p>
    <w:p>
      <w:pPr>
        <w:pStyle w:val="Heading1"/>
        <w:spacing w:line="252" w:lineRule="exact" w:before="224"/>
      </w:pPr>
      <w:r>
        <w:rPr/>
        <w:t>CAPITULO</w:t>
      </w:r>
      <w:r>
        <w:rPr>
          <w:spacing w:val="-7"/>
        </w:rPr>
        <w:t> VI</w:t>
      </w:r>
    </w:p>
    <w:p>
      <w:pPr>
        <w:pStyle w:val="Heading2"/>
        <w:spacing w:line="252" w:lineRule="exact"/>
        <w:ind w:left="295"/>
      </w:pPr>
      <w:r>
        <w:rPr/>
        <w:t>Modificación</w:t>
      </w:r>
      <w:r>
        <w:rPr>
          <w:spacing w:val="-8"/>
        </w:rPr>
        <w:t> </w:t>
      </w:r>
      <w:r>
        <w:rPr/>
        <w:t>colectiva</w:t>
      </w:r>
      <w:r>
        <w:rPr>
          <w:spacing w:val="-5"/>
        </w:rPr>
        <w:t> </w:t>
      </w:r>
      <w:r>
        <w:rPr/>
        <w:t>de</w:t>
      </w:r>
      <w:r>
        <w:rPr>
          <w:spacing w:val="-6"/>
        </w:rPr>
        <w:t> </w:t>
      </w:r>
      <w:r>
        <w:rPr/>
        <w:t>las</w:t>
      </w:r>
      <w:r>
        <w:rPr>
          <w:spacing w:val="-7"/>
        </w:rPr>
        <w:t> </w:t>
      </w:r>
      <w:r>
        <w:rPr/>
        <w:t>condiciones</w:t>
      </w:r>
      <w:r>
        <w:rPr>
          <w:spacing w:val="-5"/>
        </w:rPr>
        <w:t> </w:t>
      </w:r>
      <w:r>
        <w:rPr/>
        <w:t>de</w:t>
      </w:r>
      <w:r>
        <w:rPr>
          <w:spacing w:val="-8"/>
        </w:rPr>
        <w:t> </w:t>
      </w:r>
      <w:r>
        <w:rPr>
          <w:spacing w:val="-2"/>
        </w:rPr>
        <w:t>trabajo</w:t>
      </w:r>
    </w:p>
    <w:p>
      <w:pPr>
        <w:pStyle w:val="BodyText"/>
        <w:spacing w:line="242" w:lineRule="auto" w:before="232"/>
        <w:ind w:left="338" w:right="336" w:firstLine="288"/>
        <w:jc w:val="both"/>
      </w:pPr>
      <w:bookmarkStart w:name="Artículo_426" w:id="557"/>
      <w:bookmarkEnd w:id="557"/>
      <w:r>
        <w:rPr/>
      </w:r>
      <w:r>
        <w:rPr>
          <w:rFonts w:ascii="Arial" w:hAnsi="Arial"/>
          <w:b/>
        </w:rPr>
        <w:t>Artículo 426.- </w:t>
      </w:r>
      <w:r>
        <w:rPr/>
        <w:t>Los sindicatos de trabajadores o los patrones podrán solicitar de los Tribunales la modificación de las condiciones de trabajo contenidas en los contratos colectivos o en los contratos-ley: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39"/>
        </w:numPr>
        <w:tabs>
          <w:tab w:pos="1195" w:val="left" w:leader="none"/>
        </w:tabs>
        <w:spacing w:line="240" w:lineRule="auto" w:before="0" w:after="0"/>
        <w:ind w:left="1195" w:right="0" w:hanging="569"/>
        <w:jc w:val="left"/>
        <w:rPr>
          <w:sz w:val="20"/>
        </w:rPr>
      </w:pPr>
      <w:r>
        <w:rPr>
          <w:sz w:val="20"/>
        </w:rPr>
        <w:t>Cuando</w:t>
      </w:r>
      <w:r>
        <w:rPr>
          <w:spacing w:val="-11"/>
          <w:sz w:val="20"/>
        </w:rPr>
        <w:t> </w:t>
      </w:r>
      <w:r>
        <w:rPr>
          <w:sz w:val="20"/>
        </w:rPr>
        <w:t>existan</w:t>
      </w:r>
      <w:r>
        <w:rPr>
          <w:spacing w:val="-10"/>
          <w:sz w:val="20"/>
        </w:rPr>
        <w:t> </w:t>
      </w:r>
      <w:r>
        <w:rPr>
          <w:sz w:val="20"/>
        </w:rPr>
        <w:t>circunstancias</w:t>
      </w:r>
      <w:r>
        <w:rPr>
          <w:spacing w:val="-8"/>
          <w:sz w:val="20"/>
        </w:rPr>
        <w:t> </w:t>
      </w:r>
      <w:r>
        <w:rPr>
          <w:sz w:val="20"/>
        </w:rPr>
        <w:t>económicas</w:t>
      </w:r>
      <w:r>
        <w:rPr>
          <w:spacing w:val="-9"/>
          <w:sz w:val="20"/>
        </w:rPr>
        <w:t> </w:t>
      </w:r>
      <w:r>
        <w:rPr>
          <w:sz w:val="20"/>
        </w:rPr>
        <w:t>que</w:t>
      </w:r>
      <w:r>
        <w:rPr>
          <w:spacing w:val="-7"/>
          <w:sz w:val="20"/>
        </w:rPr>
        <w:t> </w:t>
      </w:r>
      <w:r>
        <w:rPr>
          <w:sz w:val="20"/>
        </w:rPr>
        <w:t>la</w:t>
      </w:r>
      <w:r>
        <w:rPr>
          <w:spacing w:val="-10"/>
          <w:sz w:val="20"/>
        </w:rPr>
        <w:t> </w:t>
      </w:r>
      <w:r>
        <w:rPr>
          <w:sz w:val="20"/>
        </w:rPr>
        <w:t>justifiquen;</w:t>
      </w:r>
      <w:r>
        <w:rPr>
          <w:spacing w:val="-6"/>
          <w:sz w:val="20"/>
        </w:rPr>
        <w:t> </w:t>
      </w:r>
      <w:r>
        <w:rPr>
          <w:spacing w:val="-10"/>
          <w:sz w:val="20"/>
        </w:rPr>
        <w:t>y</w:t>
      </w:r>
    </w:p>
    <w:p>
      <w:pPr>
        <w:pStyle w:val="ListParagraph"/>
        <w:numPr>
          <w:ilvl w:val="0"/>
          <w:numId w:val="139"/>
        </w:numPr>
        <w:tabs>
          <w:tab w:pos="1195" w:val="left" w:leader="none"/>
        </w:tabs>
        <w:spacing w:line="240" w:lineRule="auto" w:before="229" w:after="0"/>
        <w:ind w:left="1195" w:right="0" w:hanging="569"/>
        <w:jc w:val="left"/>
        <w:rPr>
          <w:sz w:val="20"/>
        </w:rPr>
      </w:pPr>
      <w:r>
        <w:rPr>
          <w:sz w:val="20"/>
        </w:rPr>
        <w:t>Cuando</w:t>
      </w:r>
      <w:r>
        <w:rPr>
          <w:spacing w:val="-7"/>
          <w:sz w:val="20"/>
        </w:rPr>
        <w:t> </w:t>
      </w:r>
      <w:r>
        <w:rPr>
          <w:sz w:val="20"/>
        </w:rPr>
        <w:t>el</w:t>
      </w:r>
      <w:r>
        <w:rPr>
          <w:spacing w:val="-7"/>
          <w:sz w:val="20"/>
        </w:rPr>
        <w:t> </w:t>
      </w:r>
      <w:r>
        <w:rPr>
          <w:sz w:val="20"/>
        </w:rPr>
        <w:t>aumento</w:t>
      </w:r>
      <w:r>
        <w:rPr>
          <w:spacing w:val="-7"/>
          <w:sz w:val="20"/>
        </w:rPr>
        <w:t> </w:t>
      </w:r>
      <w:r>
        <w:rPr>
          <w:sz w:val="20"/>
        </w:rPr>
        <w:t>del</w:t>
      </w:r>
      <w:r>
        <w:rPr>
          <w:spacing w:val="-7"/>
          <w:sz w:val="20"/>
        </w:rPr>
        <w:t> </w:t>
      </w:r>
      <w:r>
        <w:rPr>
          <w:sz w:val="20"/>
        </w:rPr>
        <w:t>costo</w:t>
      </w:r>
      <w:r>
        <w:rPr>
          <w:spacing w:val="-7"/>
          <w:sz w:val="20"/>
        </w:rPr>
        <w:t> </w:t>
      </w:r>
      <w:r>
        <w:rPr>
          <w:sz w:val="20"/>
        </w:rPr>
        <w:t>de</w:t>
      </w:r>
      <w:r>
        <w:rPr>
          <w:spacing w:val="-4"/>
          <w:sz w:val="20"/>
        </w:rPr>
        <w:t> </w:t>
      </w:r>
      <w:r>
        <w:rPr>
          <w:sz w:val="20"/>
        </w:rPr>
        <w:t>la</w:t>
      </w:r>
      <w:r>
        <w:rPr>
          <w:spacing w:val="-4"/>
          <w:sz w:val="20"/>
        </w:rPr>
        <w:t> </w:t>
      </w:r>
      <w:r>
        <w:rPr>
          <w:sz w:val="20"/>
        </w:rPr>
        <w:t>vida</w:t>
      </w:r>
      <w:r>
        <w:rPr>
          <w:spacing w:val="-4"/>
          <w:sz w:val="20"/>
        </w:rPr>
        <w:t> </w:t>
      </w:r>
      <w:r>
        <w:rPr>
          <w:sz w:val="20"/>
        </w:rPr>
        <w:t>origine</w:t>
      </w:r>
      <w:r>
        <w:rPr>
          <w:spacing w:val="-6"/>
          <w:sz w:val="20"/>
        </w:rPr>
        <w:t> </w:t>
      </w:r>
      <w:r>
        <w:rPr>
          <w:sz w:val="20"/>
        </w:rPr>
        <w:t>un</w:t>
      </w:r>
      <w:r>
        <w:rPr>
          <w:spacing w:val="-6"/>
          <w:sz w:val="20"/>
        </w:rPr>
        <w:t> </w:t>
      </w:r>
      <w:r>
        <w:rPr>
          <w:sz w:val="20"/>
        </w:rPr>
        <w:t>desequilibrio</w:t>
      </w:r>
      <w:r>
        <w:rPr>
          <w:spacing w:val="-6"/>
          <w:sz w:val="20"/>
        </w:rPr>
        <w:t> </w:t>
      </w:r>
      <w:r>
        <w:rPr>
          <w:sz w:val="20"/>
        </w:rPr>
        <w:t>entre</w:t>
      </w:r>
      <w:r>
        <w:rPr>
          <w:spacing w:val="-6"/>
          <w:sz w:val="20"/>
        </w:rPr>
        <w:t> </w:t>
      </w:r>
      <w:r>
        <w:rPr>
          <w:sz w:val="20"/>
        </w:rPr>
        <w:t>el</w:t>
      </w:r>
      <w:r>
        <w:rPr>
          <w:spacing w:val="-7"/>
          <w:sz w:val="20"/>
        </w:rPr>
        <w:t> </w:t>
      </w:r>
      <w:r>
        <w:rPr>
          <w:sz w:val="20"/>
        </w:rPr>
        <w:t>capital</w:t>
      </w:r>
      <w:r>
        <w:rPr>
          <w:spacing w:val="-2"/>
          <w:sz w:val="20"/>
        </w:rPr>
        <w:t> </w:t>
      </w:r>
      <w:r>
        <w:rPr>
          <w:sz w:val="20"/>
        </w:rPr>
        <w:t>y</w:t>
      </w:r>
      <w:r>
        <w:rPr>
          <w:spacing w:val="-7"/>
          <w:sz w:val="20"/>
        </w:rPr>
        <w:t> </w:t>
      </w:r>
      <w:r>
        <w:rPr>
          <w:sz w:val="20"/>
        </w:rPr>
        <w:t>el</w:t>
      </w:r>
      <w:r>
        <w:rPr>
          <w:spacing w:val="-7"/>
          <w:sz w:val="20"/>
        </w:rPr>
        <w:t> </w:t>
      </w:r>
      <w:r>
        <w:rPr>
          <w:spacing w:val="-2"/>
          <w:sz w:val="20"/>
        </w:rPr>
        <w:t>trabajo.</w:t>
      </w:r>
    </w:p>
    <w:p>
      <w:pPr>
        <w:pStyle w:val="BodyText"/>
        <w:spacing w:before="3"/>
      </w:pPr>
    </w:p>
    <w:p>
      <w:pPr>
        <w:pStyle w:val="BodyText"/>
        <w:ind w:left="338" w:right="345" w:firstLine="288"/>
        <w:jc w:val="both"/>
      </w:pPr>
      <w:r>
        <w:rPr/>
        <w:t>La solicitud se ajustará a lo dispuesto en los artículos 398 y 419, fracción I, y se tramitará de conformidad con las disposiciones para conflictos colectivos de naturaleza económica.</w:t>
      </w:r>
    </w:p>
    <w:p>
      <w:pPr>
        <w:pStyle w:val="Heading1"/>
        <w:spacing w:line="252" w:lineRule="exact" w:before="227"/>
        <w:ind w:left="298"/>
      </w:pPr>
      <w:r>
        <w:rPr/>
        <w:t>CAPITULO</w:t>
      </w:r>
      <w:r>
        <w:rPr>
          <w:spacing w:val="-9"/>
        </w:rPr>
        <w:t> </w:t>
      </w:r>
      <w:r>
        <w:rPr>
          <w:spacing w:val="-5"/>
        </w:rPr>
        <w:t>VII</w:t>
      </w:r>
    </w:p>
    <w:p>
      <w:pPr>
        <w:pStyle w:val="Heading2"/>
        <w:spacing w:line="252" w:lineRule="exact"/>
        <w:ind w:left="296"/>
      </w:pPr>
      <w:r>
        <w:rPr/>
        <w:t>Suspensión</w:t>
      </w:r>
      <w:r>
        <w:rPr>
          <w:spacing w:val="-6"/>
        </w:rPr>
        <w:t> </w:t>
      </w:r>
      <w:r>
        <w:rPr/>
        <w:t>colectiva</w:t>
      </w:r>
      <w:r>
        <w:rPr>
          <w:spacing w:val="-5"/>
        </w:rPr>
        <w:t> </w:t>
      </w:r>
      <w:r>
        <w:rPr/>
        <w:t>de</w:t>
      </w:r>
      <w:r>
        <w:rPr>
          <w:spacing w:val="-5"/>
        </w:rPr>
        <w:t> </w:t>
      </w:r>
      <w:r>
        <w:rPr/>
        <w:t>las</w:t>
      </w:r>
      <w:r>
        <w:rPr>
          <w:spacing w:val="-7"/>
        </w:rPr>
        <w:t> </w:t>
      </w:r>
      <w:r>
        <w:rPr/>
        <w:t>relaciones</w:t>
      </w:r>
      <w:r>
        <w:rPr>
          <w:spacing w:val="-7"/>
        </w:rPr>
        <w:t> </w:t>
      </w:r>
      <w:r>
        <w:rPr/>
        <w:t>de</w:t>
      </w:r>
      <w:r>
        <w:rPr>
          <w:spacing w:val="-6"/>
        </w:rPr>
        <w:t> </w:t>
      </w:r>
      <w:r>
        <w:rPr>
          <w:spacing w:val="-2"/>
        </w:rPr>
        <w:t>trabajo</w:t>
      </w:r>
    </w:p>
    <w:p>
      <w:pPr>
        <w:pStyle w:val="BodyText"/>
        <w:spacing w:line="242" w:lineRule="auto" w:before="232"/>
        <w:ind w:left="338" w:right="343" w:firstLine="288"/>
        <w:jc w:val="both"/>
      </w:pPr>
      <w:bookmarkStart w:name="Artículo_427" w:id="558"/>
      <w:bookmarkEnd w:id="558"/>
      <w:r>
        <w:rPr/>
      </w:r>
      <w:r>
        <w:rPr>
          <w:rFonts w:ascii="Arial" w:hAnsi="Arial"/>
          <w:b/>
        </w:rPr>
        <w:t>Artículo 427.- </w:t>
      </w:r>
      <w:r>
        <w:rPr/>
        <w:t>Son causas de suspensión temporal de las relaciones de trabajo en una empresa o </w:t>
      </w:r>
      <w:r>
        <w:rPr>
          <w:spacing w:val="-2"/>
        </w:rPr>
        <w:t>establecimiento:</w:t>
      </w:r>
    </w:p>
    <w:p>
      <w:pPr>
        <w:pStyle w:val="BodyText"/>
        <w:spacing w:after="0" w:line="242" w:lineRule="auto"/>
        <w:jc w:val="both"/>
        <w:sectPr>
          <w:pgSz w:w="12240" w:h="15840"/>
          <w:pgMar w:header="724" w:footer="712" w:top="1880" w:bottom="900" w:left="1080" w:right="1080"/>
        </w:sectPr>
      </w:pPr>
    </w:p>
    <w:p>
      <w:pPr>
        <w:pStyle w:val="BodyText"/>
      </w:pPr>
    </w:p>
    <w:p>
      <w:pPr>
        <w:pStyle w:val="BodyText"/>
        <w:spacing w:before="63"/>
      </w:pPr>
    </w:p>
    <w:p>
      <w:pPr>
        <w:pStyle w:val="ListParagraph"/>
        <w:numPr>
          <w:ilvl w:val="0"/>
          <w:numId w:val="140"/>
        </w:numPr>
        <w:tabs>
          <w:tab w:pos="1193" w:val="left" w:leader="none"/>
          <w:tab w:pos="1195" w:val="left" w:leader="none"/>
        </w:tabs>
        <w:spacing w:line="242" w:lineRule="auto" w:before="0" w:after="0"/>
        <w:ind w:left="1195" w:right="342" w:hanging="569"/>
        <w:jc w:val="both"/>
        <w:rPr>
          <w:sz w:val="20"/>
        </w:rPr>
      </w:pPr>
      <w:r>
        <w:rPr>
          <w:sz w:val="20"/>
        </w:rPr>
        <w:t>La fuerza mayor o el caso fortuito no imputable al patrón, o su incapacidad física o mental o su muerte, que produzca como consecuencia necesaria, inmediata y directa, la suspensión de los </w:t>
      </w:r>
      <w:r>
        <w:rPr>
          <w:spacing w:val="-2"/>
          <w:sz w:val="20"/>
        </w:rPr>
        <w:t>trabajos;</w:t>
      </w:r>
    </w:p>
    <w:p>
      <w:pPr>
        <w:pStyle w:val="ListParagraph"/>
        <w:numPr>
          <w:ilvl w:val="0"/>
          <w:numId w:val="140"/>
        </w:numPr>
        <w:tabs>
          <w:tab w:pos="1195" w:val="left" w:leader="none"/>
        </w:tabs>
        <w:spacing w:line="240" w:lineRule="auto" w:before="225" w:after="0"/>
        <w:ind w:left="1195" w:right="0" w:hanging="569"/>
        <w:jc w:val="left"/>
        <w:rPr>
          <w:sz w:val="20"/>
        </w:rPr>
      </w:pPr>
      <w:r>
        <w:rPr>
          <w:sz w:val="20"/>
        </w:rPr>
        <w:t>La</w:t>
      </w:r>
      <w:r>
        <w:rPr>
          <w:spacing w:val="-7"/>
          <w:sz w:val="20"/>
        </w:rPr>
        <w:t> </w:t>
      </w:r>
      <w:r>
        <w:rPr>
          <w:sz w:val="20"/>
        </w:rPr>
        <w:t>falta</w:t>
      </w:r>
      <w:r>
        <w:rPr>
          <w:spacing w:val="-4"/>
          <w:sz w:val="20"/>
        </w:rPr>
        <w:t> </w:t>
      </w:r>
      <w:r>
        <w:rPr>
          <w:sz w:val="20"/>
        </w:rPr>
        <w:t>de</w:t>
      </w:r>
      <w:r>
        <w:rPr>
          <w:spacing w:val="-7"/>
          <w:sz w:val="20"/>
        </w:rPr>
        <w:t> </w:t>
      </w:r>
      <w:r>
        <w:rPr>
          <w:sz w:val="20"/>
        </w:rPr>
        <w:t>materia</w:t>
      </w:r>
      <w:r>
        <w:rPr>
          <w:spacing w:val="-4"/>
          <w:sz w:val="20"/>
        </w:rPr>
        <w:t> </w:t>
      </w:r>
      <w:r>
        <w:rPr>
          <w:sz w:val="20"/>
        </w:rPr>
        <w:t>prima,</w:t>
      </w:r>
      <w:r>
        <w:rPr>
          <w:spacing w:val="-6"/>
          <w:sz w:val="20"/>
        </w:rPr>
        <w:t> </w:t>
      </w:r>
      <w:r>
        <w:rPr>
          <w:sz w:val="20"/>
        </w:rPr>
        <w:t>no</w:t>
      </w:r>
      <w:r>
        <w:rPr>
          <w:spacing w:val="-7"/>
          <w:sz w:val="20"/>
        </w:rPr>
        <w:t> </w:t>
      </w:r>
      <w:r>
        <w:rPr>
          <w:sz w:val="20"/>
        </w:rPr>
        <w:t>imputable</w:t>
      </w:r>
      <w:r>
        <w:rPr>
          <w:spacing w:val="-6"/>
          <w:sz w:val="20"/>
        </w:rPr>
        <w:t> </w:t>
      </w:r>
      <w:r>
        <w:rPr>
          <w:sz w:val="20"/>
        </w:rPr>
        <w:t>al</w:t>
      </w:r>
      <w:r>
        <w:rPr>
          <w:spacing w:val="-6"/>
          <w:sz w:val="20"/>
        </w:rPr>
        <w:t> </w:t>
      </w:r>
      <w:r>
        <w:rPr>
          <w:spacing w:val="-2"/>
          <w:sz w:val="20"/>
        </w:rPr>
        <w:t>patrón;</w:t>
      </w:r>
    </w:p>
    <w:p>
      <w:pPr>
        <w:pStyle w:val="ListParagraph"/>
        <w:numPr>
          <w:ilvl w:val="0"/>
          <w:numId w:val="140"/>
        </w:numPr>
        <w:tabs>
          <w:tab w:pos="1191" w:val="left" w:leader="none"/>
          <w:tab w:pos="1195" w:val="left" w:leader="none"/>
        </w:tabs>
        <w:spacing w:line="242" w:lineRule="auto" w:before="229" w:after="0"/>
        <w:ind w:left="1195" w:right="345" w:hanging="569"/>
        <w:jc w:val="both"/>
        <w:rPr>
          <w:sz w:val="20"/>
        </w:rPr>
      </w:pPr>
      <w:r>
        <w:rPr>
          <w:sz w:val="20"/>
        </w:rPr>
        <w:t>El exceso de producción con relación a sus condiciones económicas y a las circunstancias del </w:t>
      </w:r>
      <w:r>
        <w:rPr>
          <w:spacing w:val="-2"/>
          <w:sz w:val="20"/>
        </w:rPr>
        <w:t>mercado;</w:t>
      </w:r>
    </w:p>
    <w:p>
      <w:pPr>
        <w:pStyle w:val="ListParagraph"/>
        <w:numPr>
          <w:ilvl w:val="0"/>
          <w:numId w:val="140"/>
        </w:numPr>
        <w:tabs>
          <w:tab w:pos="1195" w:val="left" w:leader="none"/>
        </w:tabs>
        <w:spacing w:line="240" w:lineRule="auto" w:before="226" w:after="0"/>
        <w:ind w:left="1195" w:right="0" w:hanging="569"/>
        <w:jc w:val="left"/>
        <w:rPr>
          <w:sz w:val="20"/>
        </w:rPr>
      </w:pPr>
      <w:r>
        <w:rPr>
          <w:sz w:val="20"/>
        </w:rPr>
        <w:t>La</w:t>
      </w:r>
      <w:r>
        <w:rPr>
          <w:spacing w:val="-10"/>
          <w:sz w:val="20"/>
        </w:rPr>
        <w:t> </w:t>
      </w:r>
      <w:r>
        <w:rPr>
          <w:sz w:val="20"/>
        </w:rPr>
        <w:t>incosteabilidad,</w:t>
      </w:r>
      <w:r>
        <w:rPr>
          <w:spacing w:val="-7"/>
          <w:sz w:val="20"/>
        </w:rPr>
        <w:t> </w:t>
      </w:r>
      <w:r>
        <w:rPr>
          <w:sz w:val="20"/>
        </w:rPr>
        <w:t>de</w:t>
      </w:r>
      <w:r>
        <w:rPr>
          <w:spacing w:val="-8"/>
          <w:sz w:val="20"/>
        </w:rPr>
        <w:t> </w:t>
      </w:r>
      <w:r>
        <w:rPr>
          <w:sz w:val="20"/>
        </w:rPr>
        <w:t>naturaleza</w:t>
      </w:r>
      <w:r>
        <w:rPr>
          <w:spacing w:val="-7"/>
          <w:sz w:val="20"/>
        </w:rPr>
        <w:t> </w:t>
      </w:r>
      <w:r>
        <w:rPr>
          <w:sz w:val="20"/>
        </w:rPr>
        <w:t>temporal,</w:t>
      </w:r>
      <w:r>
        <w:rPr>
          <w:spacing w:val="-8"/>
          <w:sz w:val="20"/>
        </w:rPr>
        <w:t> </w:t>
      </w:r>
      <w:r>
        <w:rPr>
          <w:sz w:val="20"/>
        </w:rPr>
        <w:t>notoria</w:t>
      </w:r>
      <w:r>
        <w:rPr>
          <w:spacing w:val="-6"/>
          <w:sz w:val="20"/>
        </w:rPr>
        <w:t> </w:t>
      </w:r>
      <w:r>
        <w:rPr>
          <w:sz w:val="20"/>
        </w:rPr>
        <w:t>y</w:t>
      </w:r>
      <w:r>
        <w:rPr>
          <w:spacing w:val="-11"/>
          <w:sz w:val="20"/>
        </w:rPr>
        <w:t> </w:t>
      </w:r>
      <w:r>
        <w:rPr>
          <w:sz w:val="20"/>
        </w:rPr>
        <w:t>manifiesta</w:t>
      </w:r>
      <w:r>
        <w:rPr>
          <w:spacing w:val="-7"/>
          <w:sz w:val="20"/>
        </w:rPr>
        <w:t> </w:t>
      </w:r>
      <w:r>
        <w:rPr>
          <w:sz w:val="20"/>
        </w:rPr>
        <w:t>de</w:t>
      </w:r>
      <w:r>
        <w:rPr>
          <w:spacing w:val="-7"/>
          <w:sz w:val="20"/>
        </w:rPr>
        <w:t> </w:t>
      </w:r>
      <w:r>
        <w:rPr>
          <w:sz w:val="20"/>
        </w:rPr>
        <w:t>la</w:t>
      </w:r>
      <w:r>
        <w:rPr>
          <w:spacing w:val="-7"/>
          <w:sz w:val="20"/>
        </w:rPr>
        <w:t> </w:t>
      </w:r>
      <w:r>
        <w:rPr>
          <w:spacing w:val="-2"/>
          <w:sz w:val="20"/>
        </w:rPr>
        <w:t>explotación;</w:t>
      </w:r>
    </w:p>
    <w:p>
      <w:pPr>
        <w:pStyle w:val="ListParagraph"/>
        <w:numPr>
          <w:ilvl w:val="0"/>
          <w:numId w:val="140"/>
        </w:numPr>
        <w:tabs>
          <w:tab w:pos="1195" w:val="left" w:leader="none"/>
        </w:tabs>
        <w:spacing w:line="242" w:lineRule="auto" w:before="229" w:after="0"/>
        <w:ind w:left="1195" w:right="337" w:hanging="569"/>
        <w:jc w:val="both"/>
        <w:rPr>
          <w:sz w:val="20"/>
        </w:rPr>
      </w:pPr>
      <w:r>
        <w:rPr>
          <w:sz w:val="20"/>
        </w:rPr>
        <w:t>La</w:t>
      </w:r>
      <w:r>
        <w:rPr>
          <w:spacing w:val="-3"/>
          <w:sz w:val="20"/>
        </w:rPr>
        <w:t> </w:t>
      </w:r>
      <w:r>
        <w:rPr>
          <w:sz w:val="20"/>
        </w:rPr>
        <w:t>falta de</w:t>
      </w:r>
      <w:r>
        <w:rPr>
          <w:spacing w:val="-3"/>
          <w:sz w:val="20"/>
        </w:rPr>
        <w:t> </w:t>
      </w:r>
      <w:r>
        <w:rPr>
          <w:sz w:val="20"/>
        </w:rPr>
        <w:t>fondos y</w:t>
      </w:r>
      <w:r>
        <w:rPr>
          <w:spacing w:val="-4"/>
          <w:sz w:val="20"/>
        </w:rPr>
        <w:t> </w:t>
      </w:r>
      <w:r>
        <w:rPr>
          <w:sz w:val="20"/>
        </w:rPr>
        <w:t>la</w:t>
      </w:r>
      <w:r>
        <w:rPr>
          <w:spacing w:val="-2"/>
          <w:sz w:val="20"/>
        </w:rPr>
        <w:t> </w:t>
      </w:r>
      <w:r>
        <w:rPr>
          <w:sz w:val="20"/>
        </w:rPr>
        <w:t>imposibilidad de</w:t>
      </w:r>
      <w:r>
        <w:rPr>
          <w:spacing w:val="-3"/>
          <w:sz w:val="20"/>
        </w:rPr>
        <w:t> </w:t>
      </w:r>
      <w:r>
        <w:rPr>
          <w:sz w:val="20"/>
        </w:rPr>
        <w:t>obtenerlos</w:t>
      </w:r>
      <w:r>
        <w:rPr>
          <w:spacing w:val="-1"/>
          <w:sz w:val="20"/>
        </w:rPr>
        <w:t> </w:t>
      </w:r>
      <w:r>
        <w:rPr>
          <w:sz w:val="20"/>
        </w:rPr>
        <w:t>para</w:t>
      </w:r>
      <w:r>
        <w:rPr>
          <w:spacing w:val="-2"/>
          <w:sz w:val="20"/>
        </w:rPr>
        <w:t> </w:t>
      </w:r>
      <w:r>
        <w:rPr>
          <w:sz w:val="20"/>
        </w:rPr>
        <w:t>la prosecución</w:t>
      </w:r>
      <w:r>
        <w:rPr>
          <w:spacing w:val="-2"/>
          <w:sz w:val="20"/>
        </w:rPr>
        <w:t> </w:t>
      </w:r>
      <w:r>
        <w:rPr>
          <w:sz w:val="20"/>
        </w:rPr>
        <w:t>normal</w:t>
      </w:r>
      <w:r>
        <w:rPr>
          <w:spacing w:val="-3"/>
          <w:sz w:val="20"/>
        </w:rPr>
        <w:t> </w:t>
      </w:r>
      <w:r>
        <w:rPr>
          <w:sz w:val="20"/>
        </w:rPr>
        <w:t>de los</w:t>
      </w:r>
      <w:r>
        <w:rPr>
          <w:spacing w:val="-1"/>
          <w:sz w:val="20"/>
        </w:rPr>
        <w:t> </w:t>
      </w:r>
      <w:r>
        <w:rPr>
          <w:sz w:val="20"/>
        </w:rPr>
        <w:t>trabajos,</w:t>
      </w:r>
      <w:r>
        <w:rPr>
          <w:spacing w:val="-2"/>
          <w:sz w:val="20"/>
        </w:rPr>
        <w:t> </w:t>
      </w:r>
      <w:r>
        <w:rPr>
          <w:sz w:val="20"/>
        </w:rPr>
        <w:t>si se comprueba plenamente por el patrón; y</w:t>
      </w:r>
    </w:p>
    <w:p>
      <w:pPr>
        <w:pStyle w:val="ListParagraph"/>
        <w:numPr>
          <w:ilvl w:val="0"/>
          <w:numId w:val="140"/>
        </w:numPr>
        <w:tabs>
          <w:tab w:pos="1195" w:val="left" w:leader="none"/>
        </w:tabs>
        <w:spacing w:line="240" w:lineRule="auto" w:before="227" w:after="0"/>
        <w:ind w:left="1195" w:right="335" w:hanging="569"/>
        <w:jc w:val="both"/>
        <w:rPr>
          <w:sz w:val="20"/>
        </w:rPr>
      </w:pPr>
      <w:r>
        <w:rPr>
          <w:sz w:val="20"/>
        </w:rPr>
        <w:t>La falta de ministración por parte del Estado de las cantidades que se haya obligado a entregar a las empresas con las que hubiese contratado trabajos o servicios, siempre que aquéllas sean indispensables; 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140"/>
        </w:numPr>
        <w:tabs>
          <w:tab w:pos="1195" w:val="left" w:leader="none"/>
        </w:tabs>
        <w:spacing w:line="242" w:lineRule="auto" w:before="0" w:after="0"/>
        <w:ind w:left="1195" w:right="345" w:hanging="569"/>
        <w:jc w:val="left"/>
        <w:rPr>
          <w:sz w:val="20"/>
        </w:rPr>
      </w:pPr>
      <w:r>
        <w:rPr>
          <w:sz w:val="20"/>
        </w:rPr>
        <w:t>La</w:t>
      </w:r>
      <w:r>
        <w:rPr>
          <w:spacing w:val="35"/>
          <w:sz w:val="20"/>
        </w:rPr>
        <w:t> </w:t>
      </w:r>
      <w:r>
        <w:rPr>
          <w:sz w:val="20"/>
        </w:rPr>
        <w:t>suspensión</w:t>
      </w:r>
      <w:r>
        <w:rPr>
          <w:spacing w:val="35"/>
          <w:sz w:val="20"/>
        </w:rPr>
        <w:t> </w:t>
      </w:r>
      <w:r>
        <w:rPr>
          <w:sz w:val="20"/>
        </w:rPr>
        <w:t>de</w:t>
      </w:r>
      <w:r>
        <w:rPr>
          <w:spacing w:val="36"/>
          <w:sz w:val="20"/>
        </w:rPr>
        <w:t> </w:t>
      </w:r>
      <w:r>
        <w:rPr>
          <w:sz w:val="20"/>
        </w:rPr>
        <w:t>labores</w:t>
      </w:r>
      <w:r>
        <w:rPr>
          <w:spacing w:val="39"/>
          <w:sz w:val="20"/>
        </w:rPr>
        <w:t> </w:t>
      </w:r>
      <w:r>
        <w:rPr>
          <w:sz w:val="20"/>
        </w:rPr>
        <w:t>o</w:t>
      </w:r>
      <w:r>
        <w:rPr>
          <w:spacing w:val="36"/>
          <w:sz w:val="20"/>
        </w:rPr>
        <w:t> </w:t>
      </w:r>
      <w:r>
        <w:rPr>
          <w:sz w:val="20"/>
        </w:rPr>
        <w:t>trabajos,</w:t>
      </w:r>
      <w:r>
        <w:rPr>
          <w:spacing w:val="36"/>
          <w:sz w:val="20"/>
        </w:rPr>
        <w:t> </w:t>
      </w:r>
      <w:r>
        <w:rPr>
          <w:sz w:val="20"/>
        </w:rPr>
        <w:t>que</w:t>
      </w:r>
      <w:r>
        <w:rPr>
          <w:spacing w:val="36"/>
          <w:sz w:val="20"/>
        </w:rPr>
        <w:t> </w:t>
      </w:r>
      <w:r>
        <w:rPr>
          <w:sz w:val="20"/>
        </w:rPr>
        <w:t>declare</w:t>
      </w:r>
      <w:r>
        <w:rPr>
          <w:spacing w:val="36"/>
          <w:sz w:val="20"/>
        </w:rPr>
        <w:t> </w:t>
      </w:r>
      <w:r>
        <w:rPr>
          <w:sz w:val="20"/>
        </w:rPr>
        <w:t>la</w:t>
      </w:r>
      <w:r>
        <w:rPr>
          <w:spacing w:val="36"/>
          <w:sz w:val="20"/>
        </w:rPr>
        <w:t> </w:t>
      </w:r>
      <w:r>
        <w:rPr>
          <w:sz w:val="20"/>
        </w:rPr>
        <w:t>autoridad</w:t>
      </w:r>
      <w:r>
        <w:rPr>
          <w:spacing w:val="36"/>
          <w:sz w:val="20"/>
        </w:rPr>
        <w:t> </w:t>
      </w:r>
      <w:r>
        <w:rPr>
          <w:sz w:val="20"/>
        </w:rPr>
        <w:t>sanitaria</w:t>
      </w:r>
      <w:r>
        <w:rPr>
          <w:spacing w:val="36"/>
          <w:sz w:val="20"/>
        </w:rPr>
        <w:t> </w:t>
      </w:r>
      <w:r>
        <w:rPr>
          <w:sz w:val="20"/>
        </w:rPr>
        <w:t>competente,</w:t>
      </w:r>
      <w:r>
        <w:rPr>
          <w:spacing w:val="36"/>
          <w:sz w:val="20"/>
        </w:rPr>
        <w:t> </w:t>
      </w:r>
      <w:r>
        <w:rPr>
          <w:sz w:val="20"/>
        </w:rPr>
        <w:t>en</w:t>
      </w:r>
      <w:r>
        <w:rPr>
          <w:spacing w:val="36"/>
          <w:sz w:val="20"/>
        </w:rPr>
        <w:t> </w:t>
      </w:r>
      <w:r>
        <w:rPr>
          <w:sz w:val="20"/>
        </w:rPr>
        <w:t>los casos de contingencia sanitaria.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338" w:right="345" w:firstLine="288"/>
        <w:jc w:val="both"/>
      </w:pPr>
      <w:bookmarkStart w:name="Artículo_428" w:id="559"/>
      <w:bookmarkEnd w:id="559"/>
      <w:r>
        <w:rPr/>
      </w:r>
      <w:r>
        <w:rPr>
          <w:rFonts w:ascii="Arial" w:hAnsi="Arial"/>
          <w:b/>
        </w:rPr>
        <w:t>Artículo 428.- </w:t>
      </w:r>
      <w:r>
        <w:rPr/>
        <w:t>La suspensión puede afectar a toda una empresa o establecimiento o a parte de ellos. Se tomará en cuenta el escalafón de los trabajadores a efecto de que sean suspendidos los de menor </w:t>
      </w:r>
      <w:r>
        <w:rPr>
          <w:spacing w:val="-2"/>
        </w:rPr>
        <w:t>antigüedad.</w:t>
      </w:r>
    </w:p>
    <w:p>
      <w:pPr>
        <w:pStyle w:val="BodyText"/>
        <w:spacing w:before="223"/>
        <w:ind w:left="626"/>
      </w:pPr>
      <w:bookmarkStart w:name="Artículo_429" w:id="560"/>
      <w:bookmarkEnd w:id="560"/>
      <w:r>
        <w:rPr/>
      </w:r>
      <w:r>
        <w:rPr>
          <w:rFonts w:ascii="Arial" w:hAnsi="Arial"/>
          <w:b/>
        </w:rPr>
        <w:t>Artículo</w:t>
      </w:r>
      <w:r>
        <w:rPr>
          <w:rFonts w:ascii="Arial" w:hAnsi="Arial"/>
          <w:b/>
          <w:spacing w:val="-5"/>
        </w:rPr>
        <w:t> </w:t>
      </w:r>
      <w:r>
        <w:rPr>
          <w:rFonts w:ascii="Arial" w:hAnsi="Arial"/>
          <w:b/>
        </w:rPr>
        <w:t>429.-</w:t>
      </w:r>
      <w:r>
        <w:rPr>
          <w:rFonts w:ascii="Arial" w:hAnsi="Arial"/>
          <w:b/>
          <w:spacing w:val="-4"/>
        </w:rPr>
        <w:t> </w:t>
      </w:r>
      <w:r>
        <w:rPr/>
        <w:t>En</w:t>
      </w:r>
      <w:r>
        <w:rPr>
          <w:spacing w:val="-4"/>
        </w:rPr>
        <w:t> </w:t>
      </w:r>
      <w:r>
        <w:rPr/>
        <w:t>los</w:t>
      </w:r>
      <w:r>
        <w:rPr>
          <w:spacing w:val="-5"/>
        </w:rPr>
        <w:t> </w:t>
      </w:r>
      <w:r>
        <w:rPr/>
        <w:t>casos</w:t>
      </w:r>
      <w:r>
        <w:rPr>
          <w:spacing w:val="-5"/>
        </w:rPr>
        <w:t> </w:t>
      </w:r>
      <w:r>
        <w:rPr/>
        <w:t>señalados</w:t>
      </w:r>
      <w:r>
        <w:rPr>
          <w:spacing w:val="-5"/>
        </w:rPr>
        <w:t> </w:t>
      </w:r>
      <w:r>
        <w:rPr/>
        <w:t>en</w:t>
      </w:r>
      <w:r>
        <w:rPr>
          <w:spacing w:val="-6"/>
        </w:rPr>
        <w:t> </w:t>
      </w:r>
      <w:r>
        <w:rPr/>
        <w:t>el</w:t>
      </w:r>
      <w:r>
        <w:rPr>
          <w:spacing w:val="-6"/>
        </w:rPr>
        <w:t> </w:t>
      </w:r>
      <w:r>
        <w:rPr/>
        <w:t>artículo</w:t>
      </w:r>
      <w:r>
        <w:rPr>
          <w:spacing w:val="-5"/>
        </w:rPr>
        <w:t> </w:t>
      </w:r>
      <w:r>
        <w:rPr/>
        <w:t>427,</w:t>
      </w:r>
      <w:r>
        <w:rPr>
          <w:spacing w:val="-5"/>
        </w:rPr>
        <w:t> </w:t>
      </w:r>
      <w:r>
        <w:rPr/>
        <w:t>se</w:t>
      </w:r>
      <w:r>
        <w:rPr>
          <w:spacing w:val="-5"/>
        </w:rPr>
        <w:t> </w:t>
      </w:r>
      <w:r>
        <w:rPr/>
        <w:t>observarán</w:t>
      </w:r>
      <w:r>
        <w:rPr>
          <w:spacing w:val="-5"/>
        </w:rPr>
        <w:t> </w:t>
      </w:r>
      <w:r>
        <w:rPr/>
        <w:t>las</w:t>
      </w:r>
      <w:r>
        <w:rPr>
          <w:spacing w:val="-5"/>
        </w:rPr>
        <w:t> </w:t>
      </w:r>
      <w:r>
        <w:rPr/>
        <w:t>normas</w:t>
      </w:r>
      <w:r>
        <w:rPr>
          <w:spacing w:val="-5"/>
        </w:rPr>
        <w:t> </w:t>
      </w:r>
      <w:r>
        <w:rPr>
          <w:spacing w:val="-2"/>
        </w:rPr>
        <w:t>siguientes:</w:t>
      </w:r>
    </w:p>
    <w:p>
      <w:pPr>
        <w:pStyle w:val="BodyText"/>
        <w:spacing w:before="1"/>
      </w:pPr>
    </w:p>
    <w:p>
      <w:pPr>
        <w:pStyle w:val="ListParagraph"/>
        <w:numPr>
          <w:ilvl w:val="0"/>
          <w:numId w:val="141"/>
        </w:numPr>
        <w:tabs>
          <w:tab w:pos="1193" w:val="left" w:leader="none"/>
          <w:tab w:pos="1195" w:val="left" w:leader="none"/>
        </w:tabs>
        <w:spacing w:line="242" w:lineRule="auto" w:before="0" w:after="0"/>
        <w:ind w:left="1195" w:right="344" w:hanging="569"/>
        <w:jc w:val="both"/>
        <w:rPr>
          <w:sz w:val="20"/>
        </w:rPr>
      </w:pPr>
      <w:r>
        <w:rPr>
          <w:sz w:val="20"/>
        </w:rPr>
        <w:t>Si</w:t>
      </w:r>
      <w:r>
        <w:rPr>
          <w:spacing w:val="-2"/>
          <w:sz w:val="20"/>
        </w:rPr>
        <w:t> </w:t>
      </w:r>
      <w:r>
        <w:rPr>
          <w:sz w:val="20"/>
        </w:rPr>
        <w:t>se trata de la</w:t>
      </w:r>
      <w:r>
        <w:rPr>
          <w:spacing w:val="-1"/>
          <w:sz w:val="20"/>
        </w:rPr>
        <w:t> </w:t>
      </w:r>
      <w:r>
        <w:rPr>
          <w:sz w:val="20"/>
        </w:rPr>
        <w:t>fracción</w:t>
      </w:r>
      <w:r>
        <w:rPr>
          <w:spacing w:val="-2"/>
          <w:sz w:val="20"/>
        </w:rPr>
        <w:t> </w:t>
      </w:r>
      <w:r>
        <w:rPr>
          <w:sz w:val="20"/>
        </w:rPr>
        <w:t>I, el</w:t>
      </w:r>
      <w:r>
        <w:rPr>
          <w:spacing w:val="-2"/>
          <w:sz w:val="20"/>
        </w:rPr>
        <w:t> </w:t>
      </w:r>
      <w:r>
        <w:rPr>
          <w:sz w:val="20"/>
        </w:rPr>
        <w:t>patrón o</w:t>
      </w:r>
      <w:r>
        <w:rPr>
          <w:spacing w:val="-1"/>
          <w:sz w:val="20"/>
        </w:rPr>
        <w:t> </w:t>
      </w:r>
      <w:r>
        <w:rPr>
          <w:sz w:val="20"/>
        </w:rPr>
        <w:t>su</w:t>
      </w:r>
      <w:r>
        <w:rPr>
          <w:spacing w:val="-1"/>
          <w:sz w:val="20"/>
        </w:rPr>
        <w:t> </w:t>
      </w:r>
      <w:r>
        <w:rPr>
          <w:sz w:val="20"/>
        </w:rPr>
        <w:t>representante,</w:t>
      </w:r>
      <w:r>
        <w:rPr>
          <w:spacing w:val="-1"/>
          <w:sz w:val="20"/>
        </w:rPr>
        <w:t> </w:t>
      </w:r>
      <w:r>
        <w:rPr>
          <w:sz w:val="20"/>
        </w:rPr>
        <w:t>dará aviso de la</w:t>
      </w:r>
      <w:r>
        <w:rPr>
          <w:spacing w:val="-1"/>
          <w:sz w:val="20"/>
        </w:rPr>
        <w:t> </w:t>
      </w:r>
      <w:r>
        <w:rPr>
          <w:sz w:val="20"/>
        </w:rPr>
        <w:t>suspensión al</w:t>
      </w:r>
      <w:r>
        <w:rPr>
          <w:spacing w:val="-2"/>
          <w:sz w:val="20"/>
        </w:rPr>
        <w:t> </w:t>
      </w:r>
      <w:r>
        <w:rPr>
          <w:sz w:val="20"/>
        </w:rPr>
        <w:t>Tribunal, para que éste, previo el procedimiento consignado en el Procedimiento Especial Colectivo establecido en el artículo 897 y subsecuentes de esta Ley, la apruebe o desapruebe;</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41"/>
        </w:numPr>
        <w:tabs>
          <w:tab w:pos="1192" w:val="left" w:leader="none"/>
          <w:tab w:pos="1195" w:val="left" w:leader="none"/>
        </w:tabs>
        <w:spacing w:line="240" w:lineRule="auto" w:before="0" w:after="0"/>
        <w:ind w:left="1195" w:right="337" w:hanging="569"/>
        <w:jc w:val="both"/>
        <w:rPr>
          <w:sz w:val="20"/>
        </w:rPr>
      </w:pPr>
      <w:r>
        <w:rPr>
          <w:sz w:val="20"/>
        </w:rPr>
        <w:t>Si se trata de las fracciones III a V, el patrón, previamente a la suspensión, deberá obtener la autorización del Tribunal, de conformidad con las disposiciones para conflictos colectivos de naturaleza económica;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41"/>
        </w:numPr>
        <w:tabs>
          <w:tab w:pos="1191" w:val="left" w:leader="none"/>
          <w:tab w:pos="1195" w:val="left" w:leader="none"/>
        </w:tabs>
        <w:spacing w:line="240" w:lineRule="auto" w:before="0" w:after="0"/>
        <w:ind w:left="1195" w:right="339" w:hanging="569"/>
        <w:jc w:val="both"/>
        <w:rPr>
          <w:sz w:val="20"/>
        </w:rPr>
      </w:pPr>
      <w:r>
        <w:rPr>
          <w:sz w:val="20"/>
        </w:rPr>
        <w:t>Si se trata de las fracciones II y VI, el patrón, previamente a la suspensión, deberá obtener la autorización del Tribunal, de conformidad con las disposiciones contenidas en el procedimiento especial colectivo establecido en el artículo 897 y subsecuentes de esta Ley, 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41"/>
        </w:numPr>
        <w:tabs>
          <w:tab w:pos="1195" w:val="left" w:leader="none"/>
        </w:tabs>
        <w:spacing w:line="240" w:lineRule="auto" w:before="1" w:after="0"/>
        <w:ind w:left="1195" w:right="328" w:hanging="569"/>
        <w:jc w:val="both"/>
        <w:rPr>
          <w:sz w:val="20"/>
        </w:rPr>
      </w:pPr>
      <w:r>
        <w:rPr>
          <w:sz w:val="20"/>
        </w:rPr>
        <w:t>Si se trata de la fracción VII, el patrón no requerirá aprobación o autorización del Tribunal y estará obligado a pagar a sus trabajadores una indemnización equivalente a un día de salario mínimo general vigente, por cada día que dure la suspensión, sin que pueda exceder de un</w:t>
      </w:r>
      <w:r>
        <w:rPr>
          <w:spacing w:val="40"/>
          <w:sz w:val="20"/>
        </w:rPr>
        <w:t> </w:t>
      </w:r>
      <w:r>
        <w:rPr>
          <w:spacing w:val="-4"/>
          <w:sz w:val="20"/>
        </w:rPr>
        <w:t>mes.</w:t>
      </w:r>
    </w:p>
    <w:p>
      <w:pPr>
        <w:spacing w:line="183" w:lineRule="exact" w:before="0"/>
        <w:ind w:left="52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4" w:firstLine="288"/>
        <w:jc w:val="both"/>
      </w:pPr>
      <w:bookmarkStart w:name="Artículo_430" w:id="561"/>
      <w:bookmarkEnd w:id="561"/>
      <w:r>
        <w:rPr/>
      </w:r>
      <w:r>
        <w:rPr>
          <w:rFonts w:ascii="Arial" w:hAnsi="Arial"/>
          <w:b/>
        </w:rPr>
        <w:t>Artículo 430.- </w:t>
      </w:r>
      <w:r>
        <w:rPr/>
        <w:t>El Tribunal, con excepción de los casos a que se refiere la fracción VII del artículo 427</w:t>
      </w:r>
      <w:r>
        <w:rPr>
          <w:rFonts w:ascii="Arial" w:hAnsi="Arial"/>
          <w:b/>
        </w:rPr>
        <w:t>, </w:t>
      </w:r>
      <w:r>
        <w:rPr/>
        <w:t>al sancionar o autorizar la suspensión, fijará la indemnización que deba pagarse a los trabajadores, tomando en</w:t>
      </w:r>
      <w:r>
        <w:rPr>
          <w:spacing w:val="-1"/>
        </w:rPr>
        <w:t> </w:t>
      </w:r>
      <w:r>
        <w:rPr/>
        <w:t>consideración, entre otras circunstancias, el</w:t>
      </w:r>
      <w:r>
        <w:rPr>
          <w:spacing w:val="-1"/>
        </w:rPr>
        <w:t> </w:t>
      </w:r>
      <w:r>
        <w:rPr/>
        <w:t>tiempo probable</w:t>
      </w:r>
      <w:r>
        <w:rPr>
          <w:spacing w:val="-1"/>
        </w:rPr>
        <w:t> </w:t>
      </w:r>
      <w:r>
        <w:rPr/>
        <w:t>de suspensión</w:t>
      </w:r>
      <w:r>
        <w:rPr>
          <w:spacing w:val="-1"/>
        </w:rPr>
        <w:t> </w:t>
      </w:r>
      <w:r>
        <w:rPr/>
        <w:t>de los trabajos y</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pPr>
      <w:r>
        <w:rPr/>
        <w:t>la</w:t>
      </w:r>
      <w:r>
        <w:rPr>
          <w:spacing w:val="30"/>
        </w:rPr>
        <w:t> </w:t>
      </w:r>
      <w:r>
        <w:rPr/>
        <w:t>posibilidad</w:t>
      </w:r>
      <w:r>
        <w:rPr>
          <w:spacing w:val="29"/>
        </w:rPr>
        <w:t> </w:t>
      </w:r>
      <w:r>
        <w:rPr/>
        <w:t>de</w:t>
      </w:r>
      <w:r>
        <w:rPr>
          <w:spacing w:val="29"/>
        </w:rPr>
        <w:t> </w:t>
      </w:r>
      <w:r>
        <w:rPr/>
        <w:t>que</w:t>
      </w:r>
      <w:r>
        <w:rPr>
          <w:spacing w:val="27"/>
        </w:rPr>
        <w:t> </w:t>
      </w:r>
      <w:r>
        <w:rPr/>
        <w:t>encuentren</w:t>
      </w:r>
      <w:r>
        <w:rPr>
          <w:spacing w:val="29"/>
        </w:rPr>
        <w:t> </w:t>
      </w:r>
      <w:r>
        <w:rPr/>
        <w:t>nueva</w:t>
      </w:r>
      <w:r>
        <w:rPr>
          <w:spacing w:val="30"/>
        </w:rPr>
        <w:t> </w:t>
      </w:r>
      <w:r>
        <w:rPr/>
        <w:t>ocupación,</w:t>
      </w:r>
      <w:r>
        <w:rPr>
          <w:spacing w:val="30"/>
        </w:rPr>
        <w:t> </w:t>
      </w:r>
      <w:r>
        <w:rPr/>
        <w:t>sin</w:t>
      </w:r>
      <w:r>
        <w:rPr>
          <w:spacing w:val="30"/>
        </w:rPr>
        <w:t> </w:t>
      </w:r>
      <w:r>
        <w:rPr/>
        <w:t>que</w:t>
      </w:r>
      <w:r>
        <w:rPr>
          <w:spacing w:val="29"/>
        </w:rPr>
        <w:t> </w:t>
      </w:r>
      <w:r>
        <w:rPr/>
        <w:t>pueda</w:t>
      </w:r>
      <w:r>
        <w:rPr>
          <w:spacing w:val="29"/>
        </w:rPr>
        <w:t> </w:t>
      </w:r>
      <w:r>
        <w:rPr/>
        <w:t>exceder</w:t>
      </w:r>
      <w:r>
        <w:rPr>
          <w:spacing w:val="28"/>
        </w:rPr>
        <w:t> </w:t>
      </w:r>
      <w:r>
        <w:rPr/>
        <w:t>del</w:t>
      </w:r>
      <w:r>
        <w:rPr>
          <w:spacing w:val="29"/>
        </w:rPr>
        <w:t> </w:t>
      </w:r>
      <w:r>
        <w:rPr/>
        <w:t>importe</w:t>
      </w:r>
      <w:r>
        <w:rPr>
          <w:spacing w:val="27"/>
        </w:rPr>
        <w:t> </w:t>
      </w:r>
      <w:r>
        <w:rPr/>
        <w:t>de</w:t>
      </w:r>
      <w:r>
        <w:rPr>
          <w:spacing w:val="29"/>
        </w:rPr>
        <w:t> </w:t>
      </w:r>
      <w:r>
        <w:rPr/>
        <w:t>un</w:t>
      </w:r>
      <w:r>
        <w:rPr>
          <w:spacing w:val="27"/>
        </w:rPr>
        <w:t> </w:t>
      </w:r>
      <w:r>
        <w:rPr/>
        <w:t>mes</w:t>
      </w:r>
      <w:r>
        <w:rPr>
          <w:spacing w:val="28"/>
        </w:rPr>
        <w:t> </w:t>
      </w:r>
      <w:r>
        <w:rPr/>
        <w:t>de </w:t>
      </w:r>
      <w:r>
        <w:rPr>
          <w:spacing w:val="-2"/>
        </w:rPr>
        <w:t>salario.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3" w:firstLine="288"/>
        <w:jc w:val="both"/>
      </w:pPr>
      <w:bookmarkStart w:name="Artículo_431" w:id="562"/>
      <w:bookmarkEnd w:id="562"/>
      <w:r>
        <w:rPr/>
      </w:r>
      <w:r>
        <w:rPr>
          <w:rFonts w:ascii="Arial" w:hAnsi="Arial"/>
          <w:b/>
        </w:rPr>
        <w:t>Artículo 431.- </w:t>
      </w:r>
      <w:r>
        <w:rPr/>
        <w:t>El sindicato y los trabajadores podrán solicitar cada seis meses del Tribunal que verifique si subsisten las causas que originaron la suspensión. Sí el Tribunal resuelve que no subsisten, fijará un término no mayor de treinta días, para la reanudación de los trabajos. Si el patrón no los</w:t>
      </w:r>
      <w:r>
        <w:rPr>
          <w:spacing w:val="40"/>
        </w:rPr>
        <w:t> </w:t>
      </w:r>
      <w:r>
        <w:rPr/>
        <w:t>reanuda, los trabajadores tendrán derecho a la indemnización señalada en el artículo 50.</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338" w:right="337" w:firstLine="288"/>
        <w:jc w:val="both"/>
      </w:pPr>
      <w:bookmarkStart w:name="Artículo_432" w:id="563"/>
      <w:bookmarkEnd w:id="563"/>
      <w:r>
        <w:rPr/>
      </w:r>
      <w:r>
        <w:rPr>
          <w:rFonts w:ascii="Arial" w:hAnsi="Arial"/>
          <w:b/>
        </w:rPr>
        <w:t>Artículo 432.- </w:t>
      </w:r>
      <w:r>
        <w:rPr/>
        <w:t>El patrón deberá anunciar con toda oportunidad la fecha de reanudación de los trabajos.</w:t>
      </w:r>
      <w:r>
        <w:rPr>
          <w:spacing w:val="-3"/>
        </w:rPr>
        <w:t> </w:t>
      </w:r>
      <w:r>
        <w:rPr/>
        <w:t>Dará</w:t>
      </w:r>
      <w:r>
        <w:rPr>
          <w:spacing w:val="-3"/>
        </w:rPr>
        <w:t> </w:t>
      </w:r>
      <w:r>
        <w:rPr/>
        <w:t>aviso</w:t>
      </w:r>
      <w:r>
        <w:rPr>
          <w:spacing w:val="-3"/>
        </w:rPr>
        <w:t> </w:t>
      </w:r>
      <w:r>
        <w:rPr/>
        <w:t>al</w:t>
      </w:r>
      <w:r>
        <w:rPr>
          <w:spacing w:val="-4"/>
        </w:rPr>
        <w:t> </w:t>
      </w:r>
      <w:r>
        <w:rPr/>
        <w:t>sindicato, y</w:t>
      </w:r>
      <w:r>
        <w:rPr>
          <w:spacing w:val="-4"/>
        </w:rPr>
        <w:t> </w:t>
      </w:r>
      <w:r>
        <w:rPr/>
        <w:t>llamará</w:t>
      </w:r>
      <w:r>
        <w:rPr>
          <w:spacing w:val="-3"/>
        </w:rPr>
        <w:t> </w:t>
      </w:r>
      <w:r>
        <w:rPr/>
        <w:t>por los</w:t>
      </w:r>
      <w:r>
        <w:rPr>
          <w:spacing w:val="-2"/>
        </w:rPr>
        <w:t> </w:t>
      </w:r>
      <w:r>
        <w:rPr/>
        <w:t>medios</w:t>
      </w:r>
      <w:r>
        <w:rPr>
          <w:spacing w:val="-2"/>
        </w:rPr>
        <w:t> </w:t>
      </w:r>
      <w:r>
        <w:rPr/>
        <w:t>que</w:t>
      </w:r>
      <w:r>
        <w:rPr>
          <w:spacing w:val="-4"/>
        </w:rPr>
        <w:t> </w:t>
      </w:r>
      <w:r>
        <w:rPr/>
        <w:t>sean</w:t>
      </w:r>
      <w:r>
        <w:rPr>
          <w:spacing w:val="-2"/>
        </w:rPr>
        <w:t> </w:t>
      </w:r>
      <w:r>
        <w:rPr/>
        <w:t>adecuados,</w:t>
      </w:r>
      <w:r>
        <w:rPr>
          <w:spacing w:val="-3"/>
        </w:rPr>
        <w:t> </w:t>
      </w:r>
      <w:r>
        <w:rPr/>
        <w:t>a juicio</w:t>
      </w:r>
      <w:r>
        <w:rPr>
          <w:spacing w:val="-1"/>
        </w:rPr>
        <w:t> </w:t>
      </w:r>
      <w:r>
        <w:rPr/>
        <w:t>del</w:t>
      </w:r>
      <w:r>
        <w:rPr>
          <w:spacing w:val="-4"/>
        </w:rPr>
        <w:t> </w:t>
      </w:r>
      <w:r>
        <w:rPr/>
        <w:t>Tribunal,</w:t>
      </w:r>
      <w:r>
        <w:rPr>
          <w:spacing w:val="-1"/>
        </w:rPr>
        <w:t> </w:t>
      </w:r>
      <w:r>
        <w:rPr/>
        <w:t>a</w:t>
      </w:r>
      <w:r>
        <w:rPr>
          <w:spacing w:val="-1"/>
        </w:rPr>
        <w:t> </w:t>
      </w:r>
      <w:r>
        <w:rPr/>
        <w:t>los trabajadores que prestaban sus servicios en la empresa cuando la suspensión fue decretada, y estará obligado a reponerlos en los puestos que ocupaban con anterioridad, siempre que se presenten dentro del plazo que fije el mismo patrón, que no podrá ser menor de treinta días, contado desde la fecha del último llamamiento.</w:t>
      </w:r>
    </w:p>
    <w:p>
      <w:pPr>
        <w:spacing w:before="1"/>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ind w:left="338" w:right="335" w:firstLine="288"/>
        <w:jc w:val="both"/>
      </w:pPr>
      <w:r>
        <w:rPr/>
        <w:t>Si el patrón no cumple las obligaciones consignadas en el párrafo anterior, los trabajadores podrán ejercitar las acciones a que se refiere el artículo 48.</w:t>
      </w:r>
    </w:p>
    <w:p>
      <w:pPr>
        <w:pStyle w:val="BodyText"/>
        <w:spacing w:before="229"/>
        <w:ind w:left="338" w:right="335" w:firstLine="288"/>
        <w:jc w:val="both"/>
      </w:pPr>
      <w:r>
        <w:rPr/>
        <w:t>Lo establecido en el presente artículo no será aplicable en el caso a que se refiere la fracción VII del artículo 427. En este supuesto, los trabajadores estarán obligados a reanudar sus labores tan pronto concluya la contingencia.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3"/>
        <w:rPr>
          <w:rFonts w:ascii="Times New Roman"/>
          <w:i/>
          <w:sz w:val="16"/>
        </w:rPr>
      </w:pPr>
    </w:p>
    <w:p>
      <w:pPr>
        <w:pStyle w:val="Heading1"/>
        <w:ind w:left="298"/>
      </w:pPr>
      <w:r>
        <w:rPr/>
        <w:t>CAPITULO</w:t>
      </w:r>
      <w:r>
        <w:rPr>
          <w:spacing w:val="-9"/>
        </w:rPr>
        <w:t> </w:t>
      </w:r>
      <w:r>
        <w:rPr>
          <w:spacing w:val="-4"/>
        </w:rPr>
        <w:t>VIII</w:t>
      </w:r>
    </w:p>
    <w:p>
      <w:pPr>
        <w:pStyle w:val="Heading2"/>
        <w:spacing w:before="1"/>
        <w:ind w:left="296"/>
      </w:pPr>
      <w:r>
        <w:rPr/>
        <w:t>Terminación</w:t>
      </w:r>
      <w:r>
        <w:rPr>
          <w:spacing w:val="-5"/>
        </w:rPr>
        <w:t> </w:t>
      </w:r>
      <w:r>
        <w:rPr/>
        <w:t>colectiva</w:t>
      </w:r>
      <w:r>
        <w:rPr>
          <w:spacing w:val="-7"/>
        </w:rPr>
        <w:t> </w:t>
      </w:r>
      <w:r>
        <w:rPr/>
        <w:t>de</w:t>
      </w:r>
      <w:r>
        <w:rPr>
          <w:spacing w:val="-4"/>
        </w:rPr>
        <w:t> </w:t>
      </w:r>
      <w:r>
        <w:rPr/>
        <w:t>las</w:t>
      </w:r>
      <w:r>
        <w:rPr>
          <w:spacing w:val="-7"/>
        </w:rPr>
        <w:t> </w:t>
      </w:r>
      <w:r>
        <w:rPr/>
        <w:t>relaciones</w:t>
      </w:r>
      <w:r>
        <w:rPr>
          <w:spacing w:val="-6"/>
        </w:rPr>
        <w:t> </w:t>
      </w:r>
      <w:r>
        <w:rPr/>
        <w:t>de</w:t>
      </w:r>
      <w:r>
        <w:rPr>
          <w:spacing w:val="-6"/>
        </w:rPr>
        <w:t> </w:t>
      </w:r>
      <w:r>
        <w:rPr>
          <w:spacing w:val="-2"/>
        </w:rPr>
        <w:t>trabajo</w:t>
      </w:r>
    </w:p>
    <w:p>
      <w:pPr>
        <w:pStyle w:val="BodyText"/>
        <w:spacing w:line="242" w:lineRule="auto" w:before="232"/>
        <w:ind w:left="338" w:right="346" w:firstLine="288"/>
        <w:jc w:val="both"/>
      </w:pPr>
      <w:bookmarkStart w:name="Artículo_433" w:id="564"/>
      <w:bookmarkEnd w:id="564"/>
      <w:r>
        <w:rPr/>
      </w:r>
      <w:r>
        <w:rPr>
          <w:rFonts w:ascii="Arial" w:hAnsi="Arial"/>
          <w:b/>
        </w:rPr>
        <w:t>Artículo 433.- </w:t>
      </w:r>
      <w:r>
        <w:rPr/>
        <w:t>La terminación de las relaciones de trabajo como consecuencia del cierre de las empresas o establecimientos o de la reducción definitiva de sus trabajos, se sujetará a las disposiciones de los artículos siguientes.</w:t>
      </w:r>
    </w:p>
    <w:p>
      <w:pPr>
        <w:spacing w:before="222"/>
        <w:ind w:left="626" w:right="0" w:firstLine="0"/>
        <w:jc w:val="left"/>
        <w:rPr>
          <w:sz w:val="20"/>
        </w:rPr>
      </w:pPr>
      <w:bookmarkStart w:name="Artículo_434" w:id="565"/>
      <w:bookmarkEnd w:id="565"/>
      <w:r>
        <w:rPr/>
      </w:r>
      <w:r>
        <w:rPr>
          <w:rFonts w:ascii="Arial" w:hAnsi="Arial"/>
          <w:b/>
          <w:sz w:val="20"/>
        </w:rPr>
        <w:t>Artículo</w:t>
      </w:r>
      <w:r>
        <w:rPr>
          <w:rFonts w:ascii="Arial" w:hAnsi="Arial"/>
          <w:b/>
          <w:spacing w:val="-7"/>
          <w:sz w:val="20"/>
        </w:rPr>
        <w:t> </w:t>
      </w:r>
      <w:r>
        <w:rPr>
          <w:rFonts w:ascii="Arial" w:hAnsi="Arial"/>
          <w:b/>
          <w:sz w:val="20"/>
        </w:rPr>
        <w:t>434.-</w:t>
      </w:r>
      <w:r>
        <w:rPr>
          <w:rFonts w:ascii="Arial" w:hAnsi="Arial"/>
          <w:b/>
          <w:spacing w:val="-4"/>
          <w:sz w:val="20"/>
        </w:rPr>
        <w:t> </w:t>
      </w:r>
      <w:r>
        <w:rPr>
          <w:sz w:val="20"/>
        </w:rPr>
        <w:t>Son</w:t>
      </w:r>
      <w:r>
        <w:rPr>
          <w:spacing w:val="-6"/>
          <w:sz w:val="20"/>
        </w:rPr>
        <w:t> </w:t>
      </w:r>
      <w:r>
        <w:rPr>
          <w:sz w:val="20"/>
        </w:rPr>
        <w:t>causas</w:t>
      </w:r>
      <w:r>
        <w:rPr>
          <w:spacing w:val="-4"/>
          <w:sz w:val="20"/>
        </w:rPr>
        <w:t> </w:t>
      </w:r>
      <w:r>
        <w:rPr>
          <w:sz w:val="20"/>
        </w:rPr>
        <w:t>de</w:t>
      </w:r>
      <w:r>
        <w:rPr>
          <w:spacing w:val="-8"/>
          <w:sz w:val="20"/>
        </w:rPr>
        <w:t> </w:t>
      </w:r>
      <w:r>
        <w:rPr>
          <w:sz w:val="20"/>
        </w:rPr>
        <w:t>terminación</w:t>
      </w:r>
      <w:r>
        <w:rPr>
          <w:spacing w:val="-7"/>
          <w:sz w:val="20"/>
        </w:rPr>
        <w:t> </w:t>
      </w:r>
      <w:r>
        <w:rPr>
          <w:sz w:val="20"/>
        </w:rPr>
        <w:t>de</w:t>
      </w:r>
      <w:r>
        <w:rPr>
          <w:spacing w:val="-6"/>
          <w:sz w:val="20"/>
        </w:rPr>
        <w:t> </w:t>
      </w:r>
      <w:r>
        <w:rPr>
          <w:sz w:val="20"/>
        </w:rPr>
        <w:t>las</w:t>
      </w:r>
      <w:r>
        <w:rPr>
          <w:spacing w:val="-6"/>
          <w:sz w:val="20"/>
        </w:rPr>
        <w:t> </w:t>
      </w:r>
      <w:r>
        <w:rPr>
          <w:sz w:val="20"/>
        </w:rPr>
        <w:t>relaciones</w:t>
      </w:r>
      <w:r>
        <w:rPr>
          <w:spacing w:val="-6"/>
          <w:sz w:val="20"/>
        </w:rPr>
        <w:t> </w:t>
      </w:r>
      <w:r>
        <w:rPr>
          <w:sz w:val="20"/>
        </w:rPr>
        <w:t>de</w:t>
      </w:r>
      <w:r>
        <w:rPr>
          <w:spacing w:val="-7"/>
          <w:sz w:val="20"/>
        </w:rPr>
        <w:t> </w:t>
      </w:r>
      <w:r>
        <w:rPr>
          <w:spacing w:val="-2"/>
          <w:sz w:val="20"/>
        </w:rPr>
        <w:t>trabajo:</w:t>
      </w:r>
    </w:p>
    <w:p>
      <w:pPr>
        <w:pStyle w:val="BodyText"/>
        <w:spacing w:before="1"/>
      </w:pPr>
    </w:p>
    <w:p>
      <w:pPr>
        <w:pStyle w:val="ListParagraph"/>
        <w:numPr>
          <w:ilvl w:val="0"/>
          <w:numId w:val="142"/>
        </w:numPr>
        <w:tabs>
          <w:tab w:pos="1193" w:val="left" w:leader="none"/>
          <w:tab w:pos="1195" w:val="left" w:leader="none"/>
        </w:tabs>
        <w:spacing w:line="240" w:lineRule="auto" w:before="0" w:after="0"/>
        <w:ind w:left="1195" w:right="338" w:hanging="569"/>
        <w:jc w:val="both"/>
        <w:rPr>
          <w:sz w:val="20"/>
        </w:rPr>
      </w:pPr>
      <w:r>
        <w:rPr>
          <w:sz w:val="20"/>
        </w:rPr>
        <w:t>La fuerza mayor o el caso fortuito no imputable al patrón, o su incapacidad física o mental o su muerte, que produzca como consecuencia necesaria, inmediata y directa, la terminación de los </w:t>
      </w:r>
      <w:r>
        <w:rPr>
          <w:spacing w:val="-2"/>
          <w:sz w:val="20"/>
        </w:rPr>
        <w:t>trabajos;</w:t>
      </w:r>
    </w:p>
    <w:p>
      <w:pPr>
        <w:pStyle w:val="ListParagraph"/>
        <w:numPr>
          <w:ilvl w:val="0"/>
          <w:numId w:val="142"/>
        </w:numPr>
        <w:tabs>
          <w:tab w:pos="1195" w:val="left" w:leader="none"/>
        </w:tabs>
        <w:spacing w:line="240" w:lineRule="auto" w:before="229" w:after="0"/>
        <w:ind w:left="1195" w:right="0" w:hanging="569"/>
        <w:jc w:val="left"/>
        <w:rPr>
          <w:sz w:val="20"/>
        </w:rPr>
      </w:pPr>
      <w:r>
        <w:rPr>
          <w:sz w:val="20"/>
        </w:rPr>
        <w:t>La</w:t>
      </w:r>
      <w:r>
        <w:rPr>
          <w:spacing w:val="-9"/>
          <w:sz w:val="20"/>
        </w:rPr>
        <w:t> </w:t>
      </w:r>
      <w:r>
        <w:rPr>
          <w:sz w:val="20"/>
        </w:rPr>
        <w:t>incosteabilidad</w:t>
      </w:r>
      <w:r>
        <w:rPr>
          <w:spacing w:val="-6"/>
          <w:sz w:val="20"/>
        </w:rPr>
        <w:t> </w:t>
      </w:r>
      <w:r>
        <w:rPr>
          <w:sz w:val="20"/>
        </w:rPr>
        <w:t>notoria</w:t>
      </w:r>
      <w:r>
        <w:rPr>
          <w:spacing w:val="-5"/>
          <w:sz w:val="20"/>
        </w:rPr>
        <w:t> </w:t>
      </w:r>
      <w:r>
        <w:rPr>
          <w:sz w:val="20"/>
        </w:rPr>
        <w:t>y</w:t>
      </w:r>
      <w:r>
        <w:rPr>
          <w:spacing w:val="-8"/>
          <w:sz w:val="20"/>
        </w:rPr>
        <w:t> </w:t>
      </w:r>
      <w:r>
        <w:rPr>
          <w:sz w:val="20"/>
        </w:rPr>
        <w:t>manifiesta</w:t>
      </w:r>
      <w:r>
        <w:rPr>
          <w:spacing w:val="-9"/>
          <w:sz w:val="20"/>
        </w:rPr>
        <w:t> </w:t>
      </w:r>
      <w:r>
        <w:rPr>
          <w:sz w:val="20"/>
        </w:rPr>
        <w:t>de</w:t>
      </w:r>
      <w:r>
        <w:rPr>
          <w:spacing w:val="-7"/>
          <w:sz w:val="20"/>
        </w:rPr>
        <w:t> </w:t>
      </w:r>
      <w:r>
        <w:rPr>
          <w:sz w:val="20"/>
        </w:rPr>
        <w:t>la</w:t>
      </w:r>
      <w:r>
        <w:rPr>
          <w:spacing w:val="-8"/>
          <w:sz w:val="20"/>
        </w:rPr>
        <w:t> </w:t>
      </w:r>
      <w:r>
        <w:rPr>
          <w:spacing w:val="-2"/>
          <w:sz w:val="20"/>
        </w:rPr>
        <w:t>explotación;</w:t>
      </w:r>
    </w:p>
    <w:p>
      <w:pPr>
        <w:pStyle w:val="BodyText"/>
        <w:spacing w:before="1"/>
      </w:pPr>
    </w:p>
    <w:p>
      <w:pPr>
        <w:pStyle w:val="ListParagraph"/>
        <w:numPr>
          <w:ilvl w:val="0"/>
          <w:numId w:val="142"/>
        </w:numPr>
        <w:tabs>
          <w:tab w:pos="1195" w:val="left" w:leader="none"/>
        </w:tabs>
        <w:spacing w:line="240" w:lineRule="auto" w:before="0" w:after="0"/>
        <w:ind w:left="1195" w:right="0" w:hanging="569"/>
        <w:jc w:val="left"/>
        <w:rPr>
          <w:sz w:val="20"/>
        </w:rPr>
      </w:pPr>
      <w:r>
        <w:rPr>
          <w:sz w:val="20"/>
        </w:rPr>
        <w:t>El</w:t>
      </w:r>
      <w:r>
        <w:rPr>
          <w:spacing w:val="-6"/>
          <w:sz w:val="20"/>
        </w:rPr>
        <w:t> </w:t>
      </w:r>
      <w:r>
        <w:rPr>
          <w:sz w:val="20"/>
        </w:rPr>
        <w:t>agotamiento</w:t>
      </w:r>
      <w:r>
        <w:rPr>
          <w:spacing w:val="-7"/>
          <w:sz w:val="20"/>
        </w:rPr>
        <w:t> </w:t>
      </w:r>
      <w:r>
        <w:rPr>
          <w:sz w:val="20"/>
        </w:rPr>
        <w:t>de</w:t>
      </w:r>
      <w:r>
        <w:rPr>
          <w:spacing w:val="-6"/>
          <w:sz w:val="20"/>
        </w:rPr>
        <w:t> </w:t>
      </w:r>
      <w:r>
        <w:rPr>
          <w:sz w:val="20"/>
        </w:rPr>
        <w:t>la</w:t>
      </w:r>
      <w:r>
        <w:rPr>
          <w:spacing w:val="-6"/>
          <w:sz w:val="20"/>
        </w:rPr>
        <w:t> </w:t>
      </w:r>
      <w:r>
        <w:rPr>
          <w:sz w:val="20"/>
        </w:rPr>
        <w:t>materia</w:t>
      </w:r>
      <w:r>
        <w:rPr>
          <w:spacing w:val="-6"/>
          <w:sz w:val="20"/>
        </w:rPr>
        <w:t> </w:t>
      </w:r>
      <w:r>
        <w:rPr>
          <w:sz w:val="20"/>
        </w:rPr>
        <w:t>objeto</w:t>
      </w:r>
      <w:r>
        <w:rPr>
          <w:spacing w:val="-6"/>
          <w:sz w:val="20"/>
        </w:rPr>
        <w:t> </w:t>
      </w:r>
      <w:r>
        <w:rPr>
          <w:sz w:val="20"/>
        </w:rPr>
        <w:t>de</w:t>
      </w:r>
      <w:r>
        <w:rPr>
          <w:spacing w:val="-4"/>
          <w:sz w:val="20"/>
        </w:rPr>
        <w:t> </w:t>
      </w:r>
      <w:r>
        <w:rPr>
          <w:sz w:val="20"/>
        </w:rPr>
        <w:t>una</w:t>
      </w:r>
      <w:r>
        <w:rPr>
          <w:spacing w:val="-3"/>
          <w:sz w:val="20"/>
        </w:rPr>
        <w:t> </w:t>
      </w:r>
      <w:r>
        <w:rPr>
          <w:sz w:val="20"/>
        </w:rPr>
        <w:t>industria</w:t>
      </w:r>
      <w:r>
        <w:rPr>
          <w:spacing w:val="-6"/>
          <w:sz w:val="20"/>
        </w:rPr>
        <w:t> </w:t>
      </w:r>
      <w:r>
        <w:rPr>
          <w:spacing w:val="-2"/>
          <w:sz w:val="20"/>
        </w:rPr>
        <w:t>extractiva;</w:t>
      </w:r>
    </w:p>
    <w:p>
      <w:pPr>
        <w:pStyle w:val="ListParagraph"/>
        <w:numPr>
          <w:ilvl w:val="0"/>
          <w:numId w:val="142"/>
        </w:numPr>
        <w:tabs>
          <w:tab w:pos="1195" w:val="left" w:leader="none"/>
        </w:tabs>
        <w:spacing w:line="240" w:lineRule="auto" w:before="229" w:after="0"/>
        <w:ind w:left="1195" w:right="0" w:hanging="569"/>
        <w:jc w:val="left"/>
        <w:rPr>
          <w:sz w:val="20"/>
        </w:rPr>
      </w:pPr>
      <w:r>
        <w:rPr>
          <w:sz w:val="20"/>
        </w:rPr>
        <w:t>Los</w:t>
      </w:r>
      <w:r>
        <w:rPr>
          <w:spacing w:val="-5"/>
          <w:sz w:val="20"/>
        </w:rPr>
        <w:t> </w:t>
      </w:r>
      <w:r>
        <w:rPr>
          <w:sz w:val="20"/>
        </w:rPr>
        <w:t>casos</w:t>
      </w:r>
      <w:r>
        <w:rPr>
          <w:spacing w:val="-5"/>
          <w:sz w:val="20"/>
        </w:rPr>
        <w:t> </w:t>
      </w:r>
      <w:r>
        <w:rPr>
          <w:sz w:val="20"/>
        </w:rPr>
        <w:t>del</w:t>
      </w:r>
      <w:r>
        <w:rPr>
          <w:spacing w:val="-6"/>
          <w:sz w:val="20"/>
        </w:rPr>
        <w:t> </w:t>
      </w:r>
      <w:r>
        <w:rPr>
          <w:sz w:val="20"/>
        </w:rPr>
        <w:t>artículo</w:t>
      </w:r>
      <w:r>
        <w:rPr>
          <w:spacing w:val="-4"/>
          <w:sz w:val="20"/>
        </w:rPr>
        <w:t> </w:t>
      </w:r>
      <w:r>
        <w:rPr>
          <w:sz w:val="20"/>
        </w:rPr>
        <w:t>38;</w:t>
      </w:r>
      <w:r>
        <w:rPr>
          <w:spacing w:val="-1"/>
          <w:sz w:val="20"/>
        </w:rPr>
        <w:t> </w:t>
      </w:r>
      <w:r>
        <w:rPr>
          <w:spacing w:val="-10"/>
          <w:sz w:val="20"/>
        </w:rPr>
        <w:t>y</w:t>
      </w:r>
    </w:p>
    <w:p>
      <w:pPr>
        <w:pStyle w:val="BodyText"/>
        <w:spacing w:before="1"/>
      </w:pPr>
    </w:p>
    <w:p>
      <w:pPr>
        <w:pStyle w:val="ListParagraph"/>
        <w:numPr>
          <w:ilvl w:val="0"/>
          <w:numId w:val="142"/>
        </w:numPr>
        <w:tabs>
          <w:tab w:pos="1195" w:val="left" w:leader="none"/>
        </w:tabs>
        <w:spacing w:line="242" w:lineRule="auto" w:before="0" w:after="0"/>
        <w:ind w:left="1195" w:right="343" w:hanging="569"/>
        <w:jc w:val="both"/>
        <w:rPr>
          <w:sz w:val="20"/>
        </w:rPr>
      </w:pPr>
      <w:r>
        <w:rPr>
          <w:sz w:val="20"/>
        </w:rPr>
        <w:t>El concurso o la quiebra legalmente declarado, si la autoridad competente o los acreedores resuelven el cierre definitivo de la empresa o la reducción definitiva de sus trabajos.</w:t>
      </w:r>
    </w:p>
    <w:p>
      <w:pPr>
        <w:pStyle w:val="BodyText"/>
        <w:spacing w:before="227"/>
        <w:ind w:left="626"/>
      </w:pPr>
      <w:bookmarkStart w:name="Artículo_435" w:id="566"/>
      <w:bookmarkEnd w:id="566"/>
      <w:r>
        <w:rPr/>
      </w:r>
      <w:r>
        <w:rPr>
          <w:rFonts w:ascii="Arial" w:hAnsi="Arial"/>
          <w:b/>
        </w:rPr>
        <w:t>Artículo</w:t>
      </w:r>
      <w:r>
        <w:rPr>
          <w:rFonts w:ascii="Arial" w:hAnsi="Arial"/>
          <w:b/>
          <w:spacing w:val="-6"/>
        </w:rPr>
        <w:t> </w:t>
      </w:r>
      <w:r>
        <w:rPr>
          <w:rFonts w:ascii="Arial" w:hAnsi="Arial"/>
          <w:b/>
        </w:rPr>
        <w:t>435.-</w:t>
      </w:r>
      <w:r>
        <w:rPr>
          <w:rFonts w:ascii="Arial" w:hAnsi="Arial"/>
          <w:b/>
          <w:spacing w:val="-4"/>
        </w:rPr>
        <w:t> </w:t>
      </w:r>
      <w:r>
        <w:rPr/>
        <w:t>En</w:t>
      </w:r>
      <w:r>
        <w:rPr>
          <w:spacing w:val="-5"/>
        </w:rPr>
        <w:t> </w:t>
      </w:r>
      <w:r>
        <w:rPr/>
        <w:t>los</w:t>
      </w:r>
      <w:r>
        <w:rPr>
          <w:spacing w:val="-5"/>
        </w:rPr>
        <w:t> </w:t>
      </w:r>
      <w:r>
        <w:rPr/>
        <w:t>casos</w:t>
      </w:r>
      <w:r>
        <w:rPr>
          <w:spacing w:val="-6"/>
        </w:rPr>
        <w:t> </w:t>
      </w:r>
      <w:r>
        <w:rPr/>
        <w:t>señalados</w:t>
      </w:r>
      <w:r>
        <w:rPr>
          <w:spacing w:val="-6"/>
        </w:rPr>
        <w:t> </w:t>
      </w:r>
      <w:r>
        <w:rPr/>
        <w:t>en</w:t>
      </w:r>
      <w:r>
        <w:rPr>
          <w:spacing w:val="-6"/>
        </w:rPr>
        <w:t> </w:t>
      </w:r>
      <w:r>
        <w:rPr/>
        <w:t>el</w:t>
      </w:r>
      <w:r>
        <w:rPr>
          <w:spacing w:val="-7"/>
        </w:rPr>
        <w:t> </w:t>
      </w:r>
      <w:r>
        <w:rPr/>
        <w:t>artículo</w:t>
      </w:r>
      <w:r>
        <w:rPr>
          <w:spacing w:val="-5"/>
        </w:rPr>
        <w:t> </w:t>
      </w:r>
      <w:r>
        <w:rPr/>
        <w:t>anterior,</w:t>
      </w:r>
      <w:r>
        <w:rPr>
          <w:spacing w:val="-4"/>
        </w:rPr>
        <w:t> </w:t>
      </w:r>
      <w:r>
        <w:rPr/>
        <w:t>se</w:t>
      </w:r>
      <w:r>
        <w:rPr>
          <w:spacing w:val="-7"/>
        </w:rPr>
        <w:t> </w:t>
      </w:r>
      <w:r>
        <w:rPr/>
        <w:t>observarán</w:t>
      </w:r>
      <w:r>
        <w:rPr>
          <w:spacing w:val="-6"/>
        </w:rPr>
        <w:t> </w:t>
      </w:r>
      <w:r>
        <w:rPr/>
        <w:t>las</w:t>
      </w:r>
      <w:r>
        <w:rPr>
          <w:spacing w:val="-6"/>
        </w:rPr>
        <w:t> </w:t>
      </w:r>
      <w:r>
        <w:rPr/>
        <w:t>normas</w:t>
      </w:r>
      <w:r>
        <w:rPr>
          <w:spacing w:val="-8"/>
        </w:rPr>
        <w:t> </w:t>
      </w:r>
      <w:r>
        <w:rPr>
          <w:spacing w:val="-2"/>
        </w:rPr>
        <w:t>siguientes:</w:t>
      </w:r>
    </w:p>
    <w:p>
      <w:pPr>
        <w:pStyle w:val="ListParagraph"/>
        <w:numPr>
          <w:ilvl w:val="0"/>
          <w:numId w:val="143"/>
        </w:numPr>
        <w:tabs>
          <w:tab w:pos="1193" w:val="left" w:leader="none"/>
          <w:tab w:pos="1195" w:val="left" w:leader="none"/>
        </w:tabs>
        <w:spacing w:line="242" w:lineRule="auto" w:before="228" w:after="0"/>
        <w:ind w:left="1195" w:right="338" w:hanging="569"/>
        <w:jc w:val="both"/>
        <w:rPr>
          <w:sz w:val="20"/>
        </w:rPr>
      </w:pPr>
      <w:r>
        <w:rPr>
          <w:sz w:val="20"/>
        </w:rPr>
        <w:t>Si se trata de las fracciones I y V, se dará aviso de la terminación al Tribunal, para que éste, previo</w:t>
      </w:r>
      <w:r>
        <w:rPr>
          <w:spacing w:val="-1"/>
          <w:sz w:val="20"/>
        </w:rPr>
        <w:t> </w:t>
      </w:r>
      <w:r>
        <w:rPr>
          <w:sz w:val="20"/>
        </w:rPr>
        <w:t>el</w:t>
      </w:r>
      <w:r>
        <w:rPr>
          <w:spacing w:val="-2"/>
          <w:sz w:val="20"/>
        </w:rPr>
        <w:t> </w:t>
      </w:r>
      <w:r>
        <w:rPr>
          <w:sz w:val="20"/>
        </w:rPr>
        <w:t>procedimiento</w:t>
      </w:r>
      <w:r>
        <w:rPr>
          <w:spacing w:val="-1"/>
          <w:sz w:val="20"/>
        </w:rPr>
        <w:t> </w:t>
      </w:r>
      <w:r>
        <w:rPr>
          <w:sz w:val="20"/>
        </w:rPr>
        <w:t>especial</w:t>
      </w:r>
      <w:r>
        <w:rPr>
          <w:spacing w:val="-2"/>
          <w:sz w:val="20"/>
        </w:rPr>
        <w:t> </w:t>
      </w:r>
      <w:r>
        <w:rPr>
          <w:sz w:val="20"/>
        </w:rPr>
        <w:t>colectivo</w:t>
      </w:r>
      <w:r>
        <w:rPr>
          <w:spacing w:val="-1"/>
          <w:sz w:val="20"/>
        </w:rPr>
        <w:t> </w:t>
      </w:r>
      <w:r>
        <w:rPr>
          <w:sz w:val="20"/>
        </w:rPr>
        <w:t>establecido en</w:t>
      </w:r>
      <w:r>
        <w:rPr>
          <w:spacing w:val="-1"/>
          <w:sz w:val="20"/>
        </w:rPr>
        <w:t> </w:t>
      </w:r>
      <w:r>
        <w:rPr>
          <w:sz w:val="20"/>
        </w:rPr>
        <w:t>el</w:t>
      </w:r>
      <w:r>
        <w:rPr>
          <w:spacing w:val="-2"/>
          <w:sz w:val="20"/>
        </w:rPr>
        <w:t> </w:t>
      </w:r>
      <w:r>
        <w:rPr>
          <w:sz w:val="20"/>
        </w:rPr>
        <w:t>artículo 897 y</w:t>
      </w:r>
      <w:r>
        <w:rPr>
          <w:spacing w:val="-6"/>
          <w:sz w:val="20"/>
        </w:rPr>
        <w:t> </w:t>
      </w:r>
      <w:r>
        <w:rPr>
          <w:sz w:val="20"/>
        </w:rPr>
        <w:t>subsecuentes</w:t>
      </w:r>
      <w:r>
        <w:rPr>
          <w:spacing w:val="-2"/>
          <w:sz w:val="20"/>
        </w:rPr>
        <w:t> </w:t>
      </w:r>
      <w:r>
        <w:rPr>
          <w:sz w:val="20"/>
        </w:rPr>
        <w:t>de</w:t>
      </w:r>
      <w:r>
        <w:rPr>
          <w:spacing w:val="-1"/>
          <w:sz w:val="20"/>
        </w:rPr>
        <w:t> </w:t>
      </w:r>
      <w:r>
        <w:rPr>
          <w:sz w:val="20"/>
        </w:rPr>
        <w:t>esta Ley, la apruebe o desapruebe;</w:t>
      </w:r>
    </w:p>
    <w:p>
      <w:pPr>
        <w:pStyle w:val="ListParagraph"/>
        <w:spacing w:after="0" w:line="242" w:lineRule="auto"/>
        <w:jc w:val="both"/>
        <w:rPr>
          <w:sz w:val="20"/>
        </w:rPr>
        <w:sectPr>
          <w:pgSz w:w="12240" w:h="15840"/>
          <w:pgMar w:header="724" w:footer="712" w:top="1880" w:bottom="900" w:left="1080" w:right="1080"/>
        </w:sectPr>
      </w:pPr>
    </w:p>
    <w:p>
      <w:pPr>
        <w:pStyle w:val="BodyText"/>
        <w:spacing w:before="109"/>
        <w:rPr>
          <w:sz w:val="16"/>
        </w:rPr>
      </w:pPr>
    </w:p>
    <w:p>
      <w:pPr>
        <w:spacing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43"/>
        </w:numPr>
        <w:tabs>
          <w:tab w:pos="1192" w:val="left" w:leader="none"/>
          <w:tab w:pos="1195" w:val="left" w:leader="none"/>
        </w:tabs>
        <w:spacing w:line="242" w:lineRule="auto" w:before="0" w:after="0"/>
        <w:ind w:left="1195" w:right="340" w:hanging="569"/>
        <w:jc w:val="both"/>
        <w:rPr>
          <w:sz w:val="20"/>
        </w:rPr>
      </w:pPr>
      <w:r>
        <w:rPr>
          <w:sz w:val="20"/>
        </w:rPr>
        <w:t>Si se trata de la fracción III, el patrón, previamente a la terminación, deberá obtener la autorización del Tribunal, de conformidad con las disposiciones contenidas en el procedimiento especial colectivo establecido en el artículo 897 y subsecuentes de esta Ley, y</w:t>
      </w:r>
    </w:p>
    <w:p>
      <w:pPr>
        <w:spacing w:line="176"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43"/>
        </w:numPr>
        <w:tabs>
          <w:tab w:pos="1191" w:val="left" w:leader="none"/>
          <w:tab w:pos="1195" w:val="left" w:leader="none"/>
        </w:tabs>
        <w:spacing w:line="242" w:lineRule="auto" w:before="0" w:after="0"/>
        <w:ind w:left="1195" w:right="336" w:hanging="569"/>
        <w:jc w:val="both"/>
        <w:rPr>
          <w:sz w:val="20"/>
        </w:rPr>
      </w:pPr>
      <w:r>
        <w:rPr>
          <w:sz w:val="20"/>
        </w:rPr>
        <w:t>Si se trata de la fracción II, el patrón, previamente a la terminación, deberá obtener la autorización del Tribunal, de conformidad con las disposiciones para conflictos colectivos de naturaleza económica.</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right="334" w:firstLine="288"/>
        <w:jc w:val="both"/>
      </w:pPr>
      <w:bookmarkStart w:name="Artículo_436" w:id="567"/>
      <w:bookmarkEnd w:id="567"/>
      <w:r>
        <w:rPr/>
      </w:r>
      <w:r>
        <w:rPr>
          <w:rFonts w:ascii="Arial" w:hAnsi="Arial"/>
          <w:b/>
        </w:rPr>
        <w:t>Artículo 436.- </w:t>
      </w:r>
      <w:r>
        <w:rPr/>
        <w:t>En los casos de terminación de los trabajos señalados en el artículo 434, salvo el de la fracción IV, los trabajadores tendrán derecho a una indemnización de tres meses de salario, y a recibir la prima de antigüedad a que se refiere el artículo 162.</w:t>
      </w:r>
    </w:p>
    <w:p>
      <w:pPr>
        <w:pStyle w:val="BodyText"/>
        <w:spacing w:line="242" w:lineRule="auto" w:before="223"/>
        <w:ind w:left="338" w:right="339" w:firstLine="288"/>
        <w:jc w:val="both"/>
      </w:pPr>
      <w:bookmarkStart w:name="Artículo_437" w:id="568"/>
      <w:bookmarkEnd w:id="568"/>
      <w:r>
        <w:rPr/>
      </w:r>
      <w:r>
        <w:rPr>
          <w:rFonts w:ascii="Arial" w:hAnsi="Arial"/>
          <w:b/>
        </w:rPr>
        <w:t>Artículo 437.- </w:t>
      </w:r>
      <w:r>
        <w:rPr/>
        <w:t>Cuando se trate de reducción de los trabajos en una empresa o establecimiento, se tomará</w:t>
      </w:r>
      <w:r>
        <w:rPr>
          <w:spacing w:val="-1"/>
        </w:rPr>
        <w:t> </w:t>
      </w:r>
      <w:r>
        <w:rPr/>
        <w:t>en</w:t>
      </w:r>
      <w:r>
        <w:rPr>
          <w:spacing w:val="-2"/>
        </w:rPr>
        <w:t> </w:t>
      </w:r>
      <w:r>
        <w:rPr/>
        <w:t>consideración el escalafón de los trabajadores,</w:t>
      </w:r>
      <w:r>
        <w:rPr>
          <w:spacing w:val="-1"/>
        </w:rPr>
        <w:t> </w:t>
      </w:r>
      <w:r>
        <w:rPr/>
        <w:t>a efecto</w:t>
      </w:r>
      <w:r>
        <w:rPr>
          <w:spacing w:val="-1"/>
        </w:rPr>
        <w:t> </w:t>
      </w:r>
      <w:r>
        <w:rPr/>
        <w:t>de que sean</w:t>
      </w:r>
      <w:r>
        <w:rPr>
          <w:spacing w:val="-1"/>
        </w:rPr>
        <w:t> </w:t>
      </w:r>
      <w:r>
        <w:rPr/>
        <w:t>reajustados los de menor </w:t>
      </w:r>
      <w:r>
        <w:rPr>
          <w:spacing w:val="-2"/>
        </w:rPr>
        <w:t>antigüedad.</w:t>
      </w:r>
    </w:p>
    <w:p>
      <w:pPr>
        <w:pStyle w:val="BodyText"/>
        <w:spacing w:line="242" w:lineRule="auto" w:before="222"/>
        <w:ind w:left="338" w:right="347" w:firstLine="288"/>
        <w:jc w:val="both"/>
      </w:pPr>
      <w:bookmarkStart w:name="Artículo_438" w:id="569"/>
      <w:bookmarkEnd w:id="569"/>
      <w:r>
        <w:rPr/>
      </w:r>
      <w:r>
        <w:rPr>
          <w:rFonts w:ascii="Arial" w:hAnsi="Arial"/>
          <w:b/>
        </w:rPr>
        <w:t>Artículo 438.- </w:t>
      </w:r>
      <w:r>
        <w:rPr/>
        <w:t>Si el patrón reanuda las actividades de su empresa o crea una semejante, tendrá las obligaciones señaladas en el artículo 154.</w:t>
      </w:r>
    </w:p>
    <w:p>
      <w:pPr>
        <w:pStyle w:val="BodyText"/>
        <w:spacing w:before="229"/>
        <w:ind w:left="338" w:right="348" w:firstLine="288"/>
        <w:jc w:val="both"/>
      </w:pPr>
      <w:r>
        <w:rPr/>
        <w:t>Lo dispuesto en el párrafo anterior es aplicable, en el caso de que se reanuden los trabajos de la empresa declarada en estado de concurso o quiebra.</w:t>
      </w:r>
    </w:p>
    <w:p>
      <w:pPr>
        <w:pStyle w:val="BodyText"/>
        <w:spacing w:before="227"/>
        <w:ind w:left="338" w:right="341" w:firstLine="288"/>
        <w:jc w:val="both"/>
      </w:pPr>
      <w:bookmarkStart w:name="Artículo_439" w:id="570"/>
      <w:bookmarkEnd w:id="570"/>
      <w:r>
        <w:rPr/>
      </w:r>
      <w:r>
        <w:rPr>
          <w:rFonts w:ascii="Arial" w:hAnsi="Arial"/>
          <w:b/>
        </w:rPr>
        <w:t>Artículo 439.- </w:t>
      </w:r>
      <w:r>
        <w:rPr/>
        <w:t>Cuando se trate de la implantación de maquinaria o de procedimientos de trabajo nuevos, que traiga como consecuencia la reducción de personal, a falta de convenio, el patrón deberá obtener la autorización del Tribunal, de conformidad con lo dispuesto en el procedimiento especial colectivo</w:t>
      </w:r>
      <w:r>
        <w:rPr>
          <w:spacing w:val="-3"/>
        </w:rPr>
        <w:t> </w:t>
      </w:r>
      <w:r>
        <w:rPr/>
        <w:t>establecido</w:t>
      </w:r>
      <w:r>
        <w:rPr>
          <w:spacing w:val="-3"/>
        </w:rPr>
        <w:t> </w:t>
      </w:r>
      <w:r>
        <w:rPr/>
        <w:t>en</w:t>
      </w:r>
      <w:r>
        <w:rPr>
          <w:spacing w:val="-3"/>
        </w:rPr>
        <w:t> </w:t>
      </w:r>
      <w:r>
        <w:rPr/>
        <w:t>el</w:t>
      </w:r>
      <w:r>
        <w:rPr>
          <w:spacing w:val="-4"/>
        </w:rPr>
        <w:t> </w:t>
      </w:r>
      <w:r>
        <w:rPr/>
        <w:t>artículo</w:t>
      </w:r>
      <w:r>
        <w:rPr>
          <w:spacing w:val="-3"/>
        </w:rPr>
        <w:t> </w:t>
      </w:r>
      <w:r>
        <w:rPr/>
        <w:t>897</w:t>
      </w:r>
      <w:r>
        <w:rPr>
          <w:spacing w:val="-1"/>
        </w:rPr>
        <w:t> </w:t>
      </w:r>
      <w:r>
        <w:rPr/>
        <w:t>y</w:t>
      </w:r>
      <w:r>
        <w:rPr>
          <w:spacing w:val="-7"/>
        </w:rPr>
        <w:t> </w:t>
      </w:r>
      <w:r>
        <w:rPr/>
        <w:t>subsecuentes de</w:t>
      </w:r>
      <w:r>
        <w:rPr>
          <w:spacing w:val="-4"/>
        </w:rPr>
        <w:t> </w:t>
      </w:r>
      <w:r>
        <w:rPr/>
        <w:t>esta</w:t>
      </w:r>
      <w:r>
        <w:rPr>
          <w:spacing w:val="-3"/>
        </w:rPr>
        <w:t> </w:t>
      </w:r>
      <w:r>
        <w:rPr/>
        <w:t>Ley.</w:t>
      </w:r>
      <w:r>
        <w:rPr>
          <w:spacing w:val="-5"/>
        </w:rPr>
        <w:t> </w:t>
      </w:r>
      <w:r>
        <w:rPr/>
        <w:t>Los</w:t>
      </w:r>
      <w:r>
        <w:rPr>
          <w:spacing w:val="-4"/>
        </w:rPr>
        <w:t> </w:t>
      </w:r>
      <w:r>
        <w:rPr/>
        <w:t>trabajadores</w:t>
      </w:r>
      <w:r>
        <w:rPr>
          <w:spacing w:val="-3"/>
        </w:rPr>
        <w:t> </w:t>
      </w:r>
      <w:r>
        <w:rPr/>
        <w:t>reajustados</w:t>
      </w:r>
      <w:r>
        <w:rPr>
          <w:spacing w:val="-4"/>
        </w:rPr>
        <w:t> </w:t>
      </w:r>
      <w:r>
        <w:rPr/>
        <w:t>tendrán derecho a una indemnización de cuatro meses de salario, más veinte días por cada año de servicios prestados</w:t>
      </w:r>
      <w:r>
        <w:rPr>
          <w:spacing w:val="-1"/>
        </w:rPr>
        <w:t> </w:t>
      </w:r>
      <w:r>
        <w:rPr/>
        <w:t>o</w:t>
      </w:r>
      <w:r>
        <w:rPr>
          <w:spacing w:val="-1"/>
        </w:rPr>
        <w:t> </w:t>
      </w:r>
      <w:r>
        <w:rPr/>
        <w:t>la</w:t>
      </w:r>
      <w:r>
        <w:rPr>
          <w:spacing w:val="-1"/>
        </w:rPr>
        <w:t> </w:t>
      </w:r>
      <w:r>
        <w:rPr/>
        <w:t>cantidad</w:t>
      </w:r>
      <w:r>
        <w:rPr>
          <w:spacing w:val="-1"/>
        </w:rPr>
        <w:t> </w:t>
      </w:r>
      <w:r>
        <w:rPr/>
        <w:t>estipulada</w:t>
      </w:r>
      <w:r>
        <w:rPr>
          <w:spacing w:val="-1"/>
        </w:rPr>
        <w:t> </w:t>
      </w:r>
      <w:r>
        <w:rPr/>
        <w:t>en</w:t>
      </w:r>
      <w:r>
        <w:rPr>
          <w:spacing w:val="-1"/>
        </w:rPr>
        <w:t> </w:t>
      </w:r>
      <w:r>
        <w:rPr/>
        <w:t>los</w:t>
      </w:r>
      <w:r>
        <w:rPr>
          <w:spacing w:val="-2"/>
        </w:rPr>
        <w:t> </w:t>
      </w:r>
      <w:r>
        <w:rPr/>
        <w:t>contratos</w:t>
      </w:r>
      <w:r>
        <w:rPr>
          <w:spacing w:val="-1"/>
        </w:rPr>
        <w:t> </w:t>
      </w:r>
      <w:r>
        <w:rPr/>
        <w:t>de trabajo</w:t>
      </w:r>
      <w:r>
        <w:rPr>
          <w:spacing w:val="-3"/>
        </w:rPr>
        <w:t> </w:t>
      </w:r>
      <w:r>
        <w:rPr/>
        <w:t>si</w:t>
      </w:r>
      <w:r>
        <w:rPr>
          <w:spacing w:val="-4"/>
        </w:rPr>
        <w:t> </w:t>
      </w:r>
      <w:r>
        <w:rPr/>
        <w:t>fuese</w:t>
      </w:r>
      <w:r>
        <w:rPr>
          <w:spacing w:val="-1"/>
        </w:rPr>
        <w:t> </w:t>
      </w:r>
      <w:r>
        <w:rPr/>
        <w:t>mayor y</w:t>
      </w:r>
      <w:r>
        <w:rPr>
          <w:spacing w:val="-6"/>
        </w:rPr>
        <w:t> </w:t>
      </w:r>
      <w:r>
        <w:rPr/>
        <w:t>a la</w:t>
      </w:r>
      <w:r>
        <w:rPr>
          <w:spacing w:val="-3"/>
        </w:rPr>
        <w:t> </w:t>
      </w:r>
      <w:r>
        <w:rPr/>
        <w:t>prima</w:t>
      </w:r>
      <w:r>
        <w:rPr>
          <w:spacing w:val="-3"/>
        </w:rPr>
        <w:t> </w:t>
      </w:r>
      <w:r>
        <w:rPr/>
        <w:t>de</w:t>
      </w:r>
      <w:r>
        <w:rPr>
          <w:spacing w:val="-1"/>
        </w:rPr>
        <w:t> </w:t>
      </w:r>
      <w:r>
        <w:rPr/>
        <w:t>antigüedad</w:t>
      </w:r>
      <w:r>
        <w:rPr>
          <w:spacing w:val="-1"/>
        </w:rPr>
        <w:t> </w:t>
      </w:r>
      <w:r>
        <w:rPr/>
        <w:t>a que se refiere el artículo 162.</w:t>
      </w:r>
    </w:p>
    <w:p>
      <w:pPr>
        <w:spacing w:before="1"/>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Heading1"/>
        <w:spacing w:line="252" w:lineRule="exact"/>
        <w:ind w:left="294"/>
      </w:pPr>
      <w:r>
        <w:rPr/>
        <w:t>TITULO</w:t>
      </w:r>
      <w:r>
        <w:rPr>
          <w:spacing w:val="-4"/>
        </w:rPr>
        <w:t> </w:t>
      </w:r>
      <w:r>
        <w:rPr>
          <w:spacing w:val="-2"/>
        </w:rPr>
        <w:t>OCTAVO</w:t>
      </w:r>
    </w:p>
    <w:p>
      <w:pPr>
        <w:spacing w:line="252" w:lineRule="exact" w:before="0"/>
        <w:ind w:left="296" w:right="296" w:firstLine="0"/>
        <w:jc w:val="center"/>
        <w:rPr>
          <w:rFonts w:ascii="Arial"/>
          <w:b/>
          <w:sz w:val="22"/>
        </w:rPr>
      </w:pPr>
      <w:r>
        <w:rPr>
          <w:rFonts w:ascii="Arial"/>
          <w:b/>
          <w:spacing w:val="-2"/>
          <w:sz w:val="22"/>
        </w:rPr>
        <w:t>Huelgas</w:t>
      </w:r>
    </w:p>
    <w:p>
      <w:pPr>
        <w:pStyle w:val="BodyText"/>
        <w:rPr>
          <w:rFonts w:ascii="Arial"/>
          <w:b/>
          <w:sz w:val="22"/>
        </w:rPr>
      </w:pPr>
    </w:p>
    <w:p>
      <w:pPr>
        <w:pStyle w:val="Heading1"/>
        <w:spacing w:line="252" w:lineRule="exact" w:before="1"/>
      </w:pPr>
      <w:r>
        <w:rPr/>
        <w:t>CAPITULO</w:t>
      </w:r>
      <w:r>
        <w:rPr>
          <w:spacing w:val="-9"/>
        </w:rPr>
        <w:t> </w:t>
      </w:r>
      <w:r>
        <w:rPr>
          <w:spacing w:val="-12"/>
        </w:rPr>
        <w:t>I</w:t>
      </w:r>
    </w:p>
    <w:p>
      <w:pPr>
        <w:pStyle w:val="Heading2"/>
        <w:spacing w:line="252" w:lineRule="exact"/>
        <w:ind w:left="296"/>
      </w:pPr>
      <w:r>
        <w:rPr/>
        <w:t>Disposiciones</w:t>
      </w:r>
      <w:r>
        <w:rPr>
          <w:spacing w:val="-12"/>
        </w:rPr>
        <w:t> </w:t>
      </w:r>
      <w:r>
        <w:rPr>
          <w:spacing w:val="-2"/>
        </w:rPr>
        <w:t>generales</w:t>
      </w:r>
    </w:p>
    <w:p>
      <w:pPr>
        <w:pStyle w:val="BodyText"/>
        <w:spacing w:before="3"/>
        <w:rPr>
          <w:rFonts w:ascii="Arial"/>
          <w:b/>
        </w:rPr>
      </w:pPr>
    </w:p>
    <w:p>
      <w:pPr>
        <w:pStyle w:val="BodyText"/>
        <w:ind w:left="338" w:right="342" w:firstLine="288"/>
      </w:pPr>
      <w:bookmarkStart w:name="Artículo_440" w:id="571"/>
      <w:bookmarkEnd w:id="571"/>
      <w:r>
        <w:rPr/>
      </w:r>
      <w:r>
        <w:rPr>
          <w:rFonts w:ascii="Arial" w:hAnsi="Arial"/>
          <w:b/>
        </w:rPr>
        <w:t>Artículo</w:t>
      </w:r>
      <w:r>
        <w:rPr>
          <w:rFonts w:ascii="Arial" w:hAnsi="Arial"/>
          <w:b/>
          <w:spacing w:val="37"/>
        </w:rPr>
        <w:t> </w:t>
      </w:r>
      <w:r>
        <w:rPr>
          <w:rFonts w:ascii="Arial" w:hAnsi="Arial"/>
          <w:b/>
        </w:rPr>
        <w:t>440.-</w:t>
      </w:r>
      <w:r>
        <w:rPr>
          <w:rFonts w:ascii="Arial" w:hAnsi="Arial"/>
          <w:b/>
          <w:spacing w:val="37"/>
        </w:rPr>
        <w:t> </w:t>
      </w:r>
      <w:r>
        <w:rPr/>
        <w:t>Huelga</w:t>
      </w:r>
      <w:r>
        <w:rPr>
          <w:spacing w:val="38"/>
        </w:rPr>
        <w:t> </w:t>
      </w:r>
      <w:r>
        <w:rPr/>
        <w:t>es</w:t>
      </w:r>
      <w:r>
        <w:rPr>
          <w:spacing w:val="37"/>
        </w:rPr>
        <w:t> </w:t>
      </w:r>
      <w:r>
        <w:rPr/>
        <w:t>la</w:t>
      </w:r>
      <w:r>
        <w:rPr>
          <w:spacing w:val="36"/>
        </w:rPr>
        <w:t> </w:t>
      </w:r>
      <w:r>
        <w:rPr/>
        <w:t>suspensión</w:t>
      </w:r>
      <w:r>
        <w:rPr>
          <w:spacing w:val="35"/>
        </w:rPr>
        <w:t> </w:t>
      </w:r>
      <w:r>
        <w:rPr/>
        <w:t>temporal</w:t>
      </w:r>
      <w:r>
        <w:rPr>
          <w:spacing w:val="35"/>
        </w:rPr>
        <w:t> </w:t>
      </w:r>
      <w:r>
        <w:rPr/>
        <w:t>del</w:t>
      </w:r>
      <w:r>
        <w:rPr>
          <w:spacing w:val="35"/>
        </w:rPr>
        <w:t> </w:t>
      </w:r>
      <w:r>
        <w:rPr/>
        <w:t>trabajo</w:t>
      </w:r>
      <w:r>
        <w:rPr>
          <w:spacing w:val="36"/>
        </w:rPr>
        <w:t> </w:t>
      </w:r>
      <w:r>
        <w:rPr/>
        <w:t>llevada</w:t>
      </w:r>
      <w:r>
        <w:rPr>
          <w:spacing w:val="35"/>
        </w:rPr>
        <w:t> </w:t>
      </w:r>
      <w:r>
        <w:rPr/>
        <w:t>a</w:t>
      </w:r>
      <w:r>
        <w:rPr>
          <w:spacing w:val="36"/>
        </w:rPr>
        <w:t> </w:t>
      </w:r>
      <w:r>
        <w:rPr/>
        <w:t>cabo</w:t>
      </w:r>
      <w:r>
        <w:rPr>
          <w:spacing w:val="36"/>
        </w:rPr>
        <w:t> </w:t>
      </w:r>
      <w:r>
        <w:rPr/>
        <w:t>por</w:t>
      </w:r>
      <w:r>
        <w:rPr>
          <w:spacing w:val="37"/>
        </w:rPr>
        <w:t> </w:t>
      </w:r>
      <w:r>
        <w:rPr/>
        <w:t>una</w:t>
      </w:r>
      <w:r>
        <w:rPr>
          <w:spacing w:val="36"/>
        </w:rPr>
        <w:t> </w:t>
      </w:r>
      <w:r>
        <w:rPr/>
        <w:t>coalición</w:t>
      </w:r>
      <w:r>
        <w:rPr>
          <w:spacing w:val="35"/>
        </w:rPr>
        <w:t> </w:t>
      </w:r>
      <w:r>
        <w:rPr/>
        <w:t>de </w:t>
      </w:r>
      <w:r>
        <w:rPr>
          <w:spacing w:val="-2"/>
        </w:rPr>
        <w:t>trabajadores.</w:t>
      </w:r>
    </w:p>
    <w:p>
      <w:pPr>
        <w:pStyle w:val="BodyText"/>
      </w:pPr>
    </w:p>
    <w:p>
      <w:pPr>
        <w:pStyle w:val="BodyText"/>
        <w:spacing w:line="242" w:lineRule="auto"/>
        <w:ind w:left="338" w:right="342" w:firstLine="288"/>
      </w:pPr>
      <w:bookmarkStart w:name="Artículo_441" w:id="572"/>
      <w:bookmarkEnd w:id="572"/>
      <w:r>
        <w:rPr/>
      </w:r>
      <w:r>
        <w:rPr>
          <w:rFonts w:ascii="Arial" w:hAnsi="Arial"/>
          <w:b/>
        </w:rPr>
        <w:t>Artículo</w:t>
      </w:r>
      <w:r>
        <w:rPr>
          <w:rFonts w:ascii="Arial" w:hAnsi="Arial"/>
          <w:b/>
          <w:spacing w:val="68"/>
        </w:rPr>
        <w:t> </w:t>
      </w:r>
      <w:r>
        <w:rPr>
          <w:rFonts w:ascii="Arial" w:hAnsi="Arial"/>
          <w:b/>
        </w:rPr>
        <w:t>441.-</w:t>
      </w:r>
      <w:r>
        <w:rPr>
          <w:rFonts w:ascii="Arial" w:hAnsi="Arial"/>
          <w:b/>
          <w:spacing w:val="68"/>
        </w:rPr>
        <w:t> </w:t>
      </w:r>
      <w:r>
        <w:rPr/>
        <w:t>Para</w:t>
      </w:r>
      <w:r>
        <w:rPr>
          <w:spacing w:val="65"/>
        </w:rPr>
        <w:t> </w:t>
      </w:r>
      <w:r>
        <w:rPr/>
        <w:t>los</w:t>
      </w:r>
      <w:r>
        <w:rPr>
          <w:spacing w:val="68"/>
        </w:rPr>
        <w:t> </w:t>
      </w:r>
      <w:r>
        <w:rPr/>
        <w:t>efectos</w:t>
      </w:r>
      <w:r>
        <w:rPr>
          <w:spacing w:val="65"/>
        </w:rPr>
        <w:t> </w:t>
      </w:r>
      <w:r>
        <w:rPr/>
        <w:t>de</w:t>
      </w:r>
      <w:r>
        <w:rPr>
          <w:spacing w:val="64"/>
        </w:rPr>
        <w:t> </w:t>
      </w:r>
      <w:r>
        <w:rPr/>
        <w:t>este</w:t>
      </w:r>
      <w:r>
        <w:rPr>
          <w:spacing w:val="65"/>
        </w:rPr>
        <w:t> </w:t>
      </w:r>
      <w:r>
        <w:rPr/>
        <w:t>Título,</w:t>
      </w:r>
      <w:r>
        <w:rPr>
          <w:spacing w:val="65"/>
        </w:rPr>
        <w:t> </w:t>
      </w:r>
      <w:r>
        <w:rPr/>
        <w:t>los</w:t>
      </w:r>
      <w:r>
        <w:rPr>
          <w:spacing w:val="66"/>
        </w:rPr>
        <w:t> </w:t>
      </w:r>
      <w:r>
        <w:rPr/>
        <w:t>sindicatos</w:t>
      </w:r>
      <w:r>
        <w:rPr>
          <w:spacing w:val="68"/>
        </w:rPr>
        <w:t> </w:t>
      </w:r>
      <w:r>
        <w:rPr/>
        <w:t>de</w:t>
      </w:r>
      <w:r>
        <w:rPr>
          <w:spacing w:val="67"/>
        </w:rPr>
        <w:t> </w:t>
      </w:r>
      <w:r>
        <w:rPr/>
        <w:t>trabajadores</w:t>
      </w:r>
      <w:r>
        <w:rPr>
          <w:spacing w:val="66"/>
        </w:rPr>
        <w:t> </w:t>
      </w:r>
      <w:r>
        <w:rPr/>
        <w:t>son</w:t>
      </w:r>
      <w:r>
        <w:rPr>
          <w:spacing w:val="64"/>
        </w:rPr>
        <w:t> </w:t>
      </w:r>
      <w:r>
        <w:rPr/>
        <w:t>coaliciones </w:t>
      </w:r>
      <w:r>
        <w:rPr>
          <w:spacing w:val="-2"/>
        </w:rPr>
        <w:t>permanentes.</w:t>
      </w:r>
    </w:p>
    <w:p>
      <w:pPr>
        <w:pStyle w:val="BodyText"/>
        <w:spacing w:before="224"/>
        <w:ind w:left="626"/>
      </w:pPr>
      <w:bookmarkStart w:name="Artículo_442" w:id="573"/>
      <w:bookmarkEnd w:id="573"/>
      <w:r>
        <w:rPr/>
      </w:r>
      <w:r>
        <w:rPr>
          <w:rFonts w:ascii="Arial" w:hAnsi="Arial"/>
          <w:b/>
        </w:rPr>
        <w:t>Artículo</w:t>
      </w:r>
      <w:r>
        <w:rPr>
          <w:rFonts w:ascii="Arial" w:hAnsi="Arial"/>
          <w:b/>
          <w:spacing w:val="-5"/>
        </w:rPr>
        <w:t> </w:t>
      </w:r>
      <w:r>
        <w:rPr>
          <w:rFonts w:ascii="Arial" w:hAnsi="Arial"/>
          <w:b/>
        </w:rPr>
        <w:t>442.-</w:t>
      </w:r>
      <w:r>
        <w:rPr>
          <w:rFonts w:ascii="Arial" w:hAnsi="Arial"/>
          <w:b/>
          <w:spacing w:val="-4"/>
        </w:rPr>
        <w:t> </w:t>
      </w:r>
      <w:r>
        <w:rPr/>
        <w:t>La</w:t>
      </w:r>
      <w:r>
        <w:rPr>
          <w:spacing w:val="-5"/>
        </w:rPr>
        <w:t> </w:t>
      </w:r>
      <w:r>
        <w:rPr/>
        <w:t>huelga</w:t>
      </w:r>
      <w:r>
        <w:rPr>
          <w:spacing w:val="-5"/>
        </w:rPr>
        <w:t> </w:t>
      </w:r>
      <w:r>
        <w:rPr/>
        <w:t>puede</w:t>
      </w:r>
      <w:r>
        <w:rPr>
          <w:spacing w:val="-3"/>
        </w:rPr>
        <w:t> </w:t>
      </w:r>
      <w:r>
        <w:rPr/>
        <w:t>abarcar</w:t>
      </w:r>
      <w:r>
        <w:rPr>
          <w:spacing w:val="-5"/>
        </w:rPr>
        <w:t> </w:t>
      </w:r>
      <w:r>
        <w:rPr/>
        <w:t>a</w:t>
      </w:r>
      <w:r>
        <w:rPr>
          <w:spacing w:val="-5"/>
        </w:rPr>
        <w:t> </w:t>
      </w:r>
      <w:r>
        <w:rPr/>
        <w:t>una</w:t>
      </w:r>
      <w:r>
        <w:rPr>
          <w:spacing w:val="-6"/>
        </w:rPr>
        <w:t> </w:t>
      </w:r>
      <w:r>
        <w:rPr/>
        <w:t>empresa</w:t>
      </w:r>
      <w:r>
        <w:rPr>
          <w:spacing w:val="-5"/>
        </w:rPr>
        <w:t> </w:t>
      </w:r>
      <w:r>
        <w:rPr/>
        <w:t>o</w:t>
      </w:r>
      <w:r>
        <w:rPr>
          <w:spacing w:val="-6"/>
        </w:rPr>
        <w:t> </w:t>
      </w:r>
      <w:r>
        <w:rPr/>
        <w:t>a</w:t>
      </w:r>
      <w:r>
        <w:rPr>
          <w:spacing w:val="-3"/>
        </w:rPr>
        <w:t> </w:t>
      </w:r>
      <w:r>
        <w:rPr/>
        <w:t>uno</w:t>
      </w:r>
      <w:r>
        <w:rPr>
          <w:spacing w:val="-4"/>
        </w:rPr>
        <w:t> </w:t>
      </w:r>
      <w:r>
        <w:rPr/>
        <w:t>o</w:t>
      </w:r>
      <w:r>
        <w:rPr>
          <w:spacing w:val="-3"/>
        </w:rPr>
        <w:t> </w:t>
      </w:r>
      <w:r>
        <w:rPr/>
        <w:t>varios</w:t>
      </w:r>
      <w:r>
        <w:rPr>
          <w:spacing w:val="-4"/>
        </w:rPr>
        <w:t> </w:t>
      </w:r>
      <w:r>
        <w:rPr/>
        <w:t>de</w:t>
      </w:r>
      <w:r>
        <w:rPr>
          <w:spacing w:val="-6"/>
        </w:rPr>
        <w:t> </w:t>
      </w:r>
      <w:r>
        <w:rPr/>
        <w:t>sus</w:t>
      </w:r>
      <w:r>
        <w:rPr>
          <w:spacing w:val="-3"/>
        </w:rPr>
        <w:t> </w:t>
      </w:r>
      <w:r>
        <w:rPr>
          <w:spacing w:val="-2"/>
        </w:rPr>
        <w:t>establecimientos.</w:t>
      </w:r>
    </w:p>
    <w:p>
      <w:pPr>
        <w:pStyle w:val="BodyText"/>
        <w:spacing w:before="1"/>
      </w:pPr>
    </w:p>
    <w:p>
      <w:pPr>
        <w:pStyle w:val="BodyText"/>
        <w:ind w:left="626"/>
      </w:pPr>
      <w:bookmarkStart w:name="Artículo_443" w:id="574"/>
      <w:bookmarkEnd w:id="574"/>
      <w:r>
        <w:rPr/>
      </w:r>
      <w:r>
        <w:rPr>
          <w:rFonts w:ascii="Arial" w:hAnsi="Arial"/>
          <w:b/>
        </w:rPr>
        <w:t>Artículo</w:t>
      </w:r>
      <w:r>
        <w:rPr>
          <w:rFonts w:ascii="Arial" w:hAnsi="Arial"/>
          <w:b/>
          <w:spacing w:val="-6"/>
        </w:rPr>
        <w:t> </w:t>
      </w:r>
      <w:r>
        <w:rPr>
          <w:rFonts w:ascii="Arial" w:hAnsi="Arial"/>
          <w:b/>
        </w:rPr>
        <w:t>443.-</w:t>
      </w:r>
      <w:r>
        <w:rPr>
          <w:rFonts w:ascii="Arial" w:hAnsi="Arial"/>
          <w:b/>
          <w:spacing w:val="-5"/>
        </w:rPr>
        <w:t> </w:t>
      </w:r>
      <w:r>
        <w:rPr/>
        <w:t>La</w:t>
      </w:r>
      <w:r>
        <w:rPr>
          <w:spacing w:val="-6"/>
        </w:rPr>
        <w:t> </w:t>
      </w:r>
      <w:r>
        <w:rPr/>
        <w:t>huelga</w:t>
      </w:r>
      <w:r>
        <w:rPr>
          <w:spacing w:val="-5"/>
        </w:rPr>
        <w:t> </w:t>
      </w:r>
      <w:r>
        <w:rPr/>
        <w:t>debe</w:t>
      </w:r>
      <w:r>
        <w:rPr>
          <w:spacing w:val="-4"/>
        </w:rPr>
        <w:t> </w:t>
      </w:r>
      <w:r>
        <w:rPr/>
        <w:t>limitarse</w:t>
      </w:r>
      <w:r>
        <w:rPr>
          <w:spacing w:val="-6"/>
        </w:rPr>
        <w:t> </w:t>
      </w:r>
      <w:r>
        <w:rPr/>
        <w:t>al</w:t>
      </w:r>
      <w:r>
        <w:rPr>
          <w:spacing w:val="-6"/>
        </w:rPr>
        <w:t> </w:t>
      </w:r>
      <w:r>
        <w:rPr/>
        <w:t>mero</w:t>
      </w:r>
      <w:r>
        <w:rPr>
          <w:spacing w:val="-6"/>
        </w:rPr>
        <w:t> </w:t>
      </w:r>
      <w:r>
        <w:rPr/>
        <w:t>acto</w:t>
      </w:r>
      <w:r>
        <w:rPr>
          <w:spacing w:val="-7"/>
        </w:rPr>
        <w:t> </w:t>
      </w:r>
      <w:r>
        <w:rPr/>
        <w:t>de</w:t>
      </w:r>
      <w:r>
        <w:rPr>
          <w:spacing w:val="-7"/>
        </w:rPr>
        <w:t> </w:t>
      </w:r>
      <w:r>
        <w:rPr/>
        <w:t>la</w:t>
      </w:r>
      <w:r>
        <w:rPr>
          <w:spacing w:val="-2"/>
        </w:rPr>
        <w:t> </w:t>
      </w:r>
      <w:r>
        <w:rPr/>
        <w:t>suspensión</w:t>
      </w:r>
      <w:r>
        <w:rPr>
          <w:spacing w:val="-4"/>
        </w:rPr>
        <w:t> </w:t>
      </w:r>
      <w:r>
        <w:rPr/>
        <w:t>del</w:t>
      </w:r>
      <w:r>
        <w:rPr>
          <w:spacing w:val="-7"/>
        </w:rPr>
        <w:t> </w:t>
      </w:r>
      <w:r>
        <w:rPr>
          <w:spacing w:val="-2"/>
        </w:rPr>
        <w:t>trabajo.</w:t>
      </w:r>
    </w:p>
    <w:p>
      <w:pPr>
        <w:pStyle w:val="BodyText"/>
      </w:pPr>
    </w:p>
    <w:p>
      <w:pPr>
        <w:pStyle w:val="BodyText"/>
        <w:spacing w:line="242" w:lineRule="auto" w:before="1"/>
        <w:ind w:left="338" w:firstLine="288"/>
      </w:pPr>
      <w:bookmarkStart w:name="Artículo_444" w:id="575"/>
      <w:bookmarkEnd w:id="575"/>
      <w:r>
        <w:rPr/>
      </w:r>
      <w:r>
        <w:rPr>
          <w:rFonts w:ascii="Arial" w:hAnsi="Arial"/>
          <w:b/>
        </w:rPr>
        <w:t>Artículo 444.- </w:t>
      </w:r>
      <w:r>
        <w:rPr/>
        <w:t>Huelga legalmente existente es la que satisface los requisitos y persigue los objetivos señalados en el artículo 450.</w:t>
      </w:r>
    </w:p>
    <w:p>
      <w:pPr>
        <w:pStyle w:val="BodyText"/>
        <w:spacing w:after="0" w:line="242" w:lineRule="auto"/>
        <w:sectPr>
          <w:pgSz w:w="12240" w:h="15840"/>
          <w:pgMar w:header="724" w:footer="712" w:top="1880" w:bottom="900" w:left="1080" w:right="1080"/>
        </w:sectPr>
      </w:pPr>
    </w:p>
    <w:p>
      <w:pPr>
        <w:pStyle w:val="BodyText"/>
      </w:pPr>
    </w:p>
    <w:p>
      <w:pPr>
        <w:pStyle w:val="BodyText"/>
        <w:spacing w:before="63"/>
      </w:pPr>
    </w:p>
    <w:p>
      <w:pPr>
        <w:spacing w:before="0"/>
        <w:ind w:left="626" w:right="0" w:firstLine="0"/>
        <w:jc w:val="left"/>
        <w:rPr>
          <w:sz w:val="20"/>
        </w:rPr>
      </w:pPr>
      <w:bookmarkStart w:name="Artículo_445" w:id="576"/>
      <w:bookmarkEnd w:id="576"/>
      <w:r>
        <w:rPr/>
      </w:r>
      <w:r>
        <w:rPr>
          <w:rFonts w:ascii="Arial" w:hAnsi="Arial"/>
          <w:b/>
          <w:sz w:val="20"/>
        </w:rPr>
        <w:t>Artículo</w:t>
      </w:r>
      <w:r>
        <w:rPr>
          <w:rFonts w:ascii="Arial" w:hAnsi="Arial"/>
          <w:b/>
          <w:spacing w:val="-5"/>
          <w:sz w:val="20"/>
        </w:rPr>
        <w:t> </w:t>
      </w:r>
      <w:r>
        <w:rPr>
          <w:rFonts w:ascii="Arial" w:hAnsi="Arial"/>
          <w:b/>
          <w:sz w:val="20"/>
        </w:rPr>
        <w:t>445.-</w:t>
      </w:r>
      <w:r>
        <w:rPr>
          <w:rFonts w:ascii="Arial" w:hAnsi="Arial"/>
          <w:b/>
          <w:spacing w:val="-5"/>
          <w:sz w:val="20"/>
        </w:rPr>
        <w:t> </w:t>
      </w:r>
      <w:r>
        <w:rPr>
          <w:sz w:val="20"/>
        </w:rPr>
        <w:t>La</w:t>
      </w:r>
      <w:r>
        <w:rPr>
          <w:spacing w:val="-6"/>
          <w:sz w:val="20"/>
        </w:rPr>
        <w:t> </w:t>
      </w:r>
      <w:r>
        <w:rPr>
          <w:sz w:val="20"/>
        </w:rPr>
        <w:t>huelga</w:t>
      </w:r>
      <w:r>
        <w:rPr>
          <w:spacing w:val="-5"/>
          <w:sz w:val="20"/>
        </w:rPr>
        <w:t> </w:t>
      </w:r>
      <w:r>
        <w:rPr>
          <w:sz w:val="20"/>
        </w:rPr>
        <w:t>es</w:t>
      </w:r>
      <w:r>
        <w:rPr>
          <w:spacing w:val="-5"/>
          <w:sz w:val="20"/>
        </w:rPr>
        <w:t> </w:t>
      </w:r>
      <w:r>
        <w:rPr>
          <w:spacing w:val="-2"/>
          <w:sz w:val="20"/>
        </w:rPr>
        <w:t>ilícita:</w:t>
      </w:r>
    </w:p>
    <w:p>
      <w:pPr>
        <w:pStyle w:val="BodyText"/>
        <w:spacing w:before="1"/>
      </w:pPr>
    </w:p>
    <w:p>
      <w:pPr>
        <w:pStyle w:val="ListParagraph"/>
        <w:numPr>
          <w:ilvl w:val="0"/>
          <w:numId w:val="144"/>
        </w:numPr>
        <w:tabs>
          <w:tab w:pos="1195" w:val="left" w:leader="none"/>
        </w:tabs>
        <w:spacing w:line="242" w:lineRule="auto" w:before="0" w:after="0"/>
        <w:ind w:left="1195" w:right="339" w:hanging="569"/>
        <w:jc w:val="left"/>
        <w:rPr>
          <w:sz w:val="20"/>
        </w:rPr>
      </w:pPr>
      <w:r>
        <w:rPr>
          <w:sz w:val="20"/>
        </w:rPr>
        <w:t>Cuando</w:t>
      </w:r>
      <w:r>
        <w:rPr>
          <w:spacing w:val="40"/>
          <w:sz w:val="20"/>
        </w:rPr>
        <w:t> </w:t>
      </w:r>
      <w:r>
        <w:rPr>
          <w:sz w:val="20"/>
        </w:rPr>
        <w:t>la</w:t>
      </w:r>
      <w:r>
        <w:rPr>
          <w:spacing w:val="40"/>
          <w:sz w:val="20"/>
        </w:rPr>
        <w:t> </w:t>
      </w:r>
      <w:r>
        <w:rPr>
          <w:sz w:val="20"/>
        </w:rPr>
        <w:t>mayoría</w:t>
      </w:r>
      <w:r>
        <w:rPr>
          <w:spacing w:val="40"/>
          <w:sz w:val="20"/>
        </w:rPr>
        <w:t> </w:t>
      </w:r>
      <w:r>
        <w:rPr>
          <w:sz w:val="20"/>
        </w:rPr>
        <w:t>de</w:t>
      </w:r>
      <w:r>
        <w:rPr>
          <w:spacing w:val="40"/>
          <w:sz w:val="20"/>
        </w:rPr>
        <w:t> </w:t>
      </w:r>
      <w:r>
        <w:rPr>
          <w:sz w:val="20"/>
        </w:rPr>
        <w:t>los</w:t>
      </w:r>
      <w:r>
        <w:rPr>
          <w:spacing w:val="40"/>
          <w:sz w:val="20"/>
        </w:rPr>
        <w:t> </w:t>
      </w:r>
      <w:r>
        <w:rPr>
          <w:sz w:val="20"/>
        </w:rPr>
        <w:t>huelguistas</w:t>
      </w:r>
      <w:r>
        <w:rPr>
          <w:spacing w:val="40"/>
          <w:sz w:val="20"/>
        </w:rPr>
        <w:t> </w:t>
      </w:r>
      <w:r>
        <w:rPr>
          <w:sz w:val="20"/>
        </w:rPr>
        <w:t>ejecuten</w:t>
      </w:r>
      <w:r>
        <w:rPr>
          <w:spacing w:val="40"/>
          <w:sz w:val="20"/>
        </w:rPr>
        <w:t> </w:t>
      </w:r>
      <w:r>
        <w:rPr>
          <w:sz w:val="20"/>
        </w:rPr>
        <w:t>actos</w:t>
      </w:r>
      <w:r>
        <w:rPr>
          <w:spacing w:val="40"/>
          <w:sz w:val="20"/>
        </w:rPr>
        <w:t> </w:t>
      </w:r>
      <w:r>
        <w:rPr>
          <w:sz w:val="20"/>
        </w:rPr>
        <w:t>violentos</w:t>
      </w:r>
      <w:r>
        <w:rPr>
          <w:spacing w:val="40"/>
          <w:sz w:val="20"/>
        </w:rPr>
        <w:t> </w:t>
      </w:r>
      <w:r>
        <w:rPr>
          <w:sz w:val="20"/>
        </w:rPr>
        <w:t>contra</w:t>
      </w:r>
      <w:r>
        <w:rPr>
          <w:spacing w:val="40"/>
          <w:sz w:val="20"/>
        </w:rPr>
        <w:t> </w:t>
      </w:r>
      <w:r>
        <w:rPr>
          <w:sz w:val="20"/>
        </w:rPr>
        <w:t>las</w:t>
      </w:r>
      <w:r>
        <w:rPr>
          <w:spacing w:val="40"/>
          <w:sz w:val="20"/>
        </w:rPr>
        <w:t> </w:t>
      </w:r>
      <w:r>
        <w:rPr>
          <w:sz w:val="20"/>
        </w:rPr>
        <w:t>personas</w:t>
      </w:r>
      <w:r>
        <w:rPr>
          <w:spacing w:val="40"/>
          <w:sz w:val="20"/>
        </w:rPr>
        <w:t> </w:t>
      </w:r>
      <w:r>
        <w:rPr>
          <w:sz w:val="20"/>
        </w:rPr>
        <w:t>o</w:t>
      </w:r>
      <w:r>
        <w:rPr>
          <w:spacing w:val="40"/>
          <w:sz w:val="20"/>
        </w:rPr>
        <w:t> </w:t>
      </w:r>
      <w:r>
        <w:rPr>
          <w:sz w:val="20"/>
        </w:rPr>
        <w:t>las propiedades; y</w:t>
      </w:r>
    </w:p>
    <w:p>
      <w:pPr>
        <w:pStyle w:val="ListParagraph"/>
        <w:numPr>
          <w:ilvl w:val="0"/>
          <w:numId w:val="144"/>
        </w:numPr>
        <w:tabs>
          <w:tab w:pos="1195" w:val="left" w:leader="none"/>
        </w:tabs>
        <w:spacing w:line="242" w:lineRule="auto" w:before="224" w:after="0"/>
        <w:ind w:left="1195" w:right="344" w:hanging="569"/>
        <w:jc w:val="left"/>
        <w:rPr>
          <w:sz w:val="20"/>
        </w:rPr>
      </w:pPr>
      <w:r>
        <w:rPr>
          <w:sz w:val="20"/>
        </w:rPr>
        <w:t>En</w:t>
      </w:r>
      <w:r>
        <w:rPr>
          <w:spacing w:val="28"/>
          <w:sz w:val="20"/>
        </w:rPr>
        <w:t> </w:t>
      </w:r>
      <w:r>
        <w:rPr>
          <w:sz w:val="20"/>
        </w:rPr>
        <w:t>caso</w:t>
      </w:r>
      <w:r>
        <w:rPr>
          <w:spacing w:val="30"/>
          <w:sz w:val="20"/>
        </w:rPr>
        <w:t> </w:t>
      </w:r>
      <w:r>
        <w:rPr>
          <w:sz w:val="20"/>
        </w:rPr>
        <w:t>de</w:t>
      </w:r>
      <w:r>
        <w:rPr>
          <w:spacing w:val="29"/>
          <w:sz w:val="20"/>
        </w:rPr>
        <w:t> </w:t>
      </w:r>
      <w:r>
        <w:rPr>
          <w:sz w:val="20"/>
        </w:rPr>
        <w:t>guerra,</w:t>
      </w:r>
      <w:r>
        <w:rPr>
          <w:spacing w:val="27"/>
          <w:sz w:val="20"/>
        </w:rPr>
        <w:t> </w:t>
      </w:r>
      <w:r>
        <w:rPr>
          <w:sz w:val="20"/>
        </w:rPr>
        <w:t>cuando</w:t>
      </w:r>
      <w:r>
        <w:rPr>
          <w:spacing w:val="28"/>
          <w:sz w:val="20"/>
        </w:rPr>
        <w:t> </w:t>
      </w:r>
      <w:r>
        <w:rPr>
          <w:sz w:val="20"/>
        </w:rPr>
        <w:t>los</w:t>
      </w:r>
      <w:r>
        <w:rPr>
          <w:spacing w:val="29"/>
          <w:sz w:val="20"/>
        </w:rPr>
        <w:t> </w:t>
      </w:r>
      <w:r>
        <w:rPr>
          <w:sz w:val="20"/>
        </w:rPr>
        <w:t>trabajadores</w:t>
      </w:r>
      <w:r>
        <w:rPr>
          <w:spacing w:val="32"/>
          <w:sz w:val="20"/>
        </w:rPr>
        <w:t> </w:t>
      </w:r>
      <w:r>
        <w:rPr>
          <w:sz w:val="20"/>
        </w:rPr>
        <w:t>pertenezcan</w:t>
      </w:r>
      <w:r>
        <w:rPr>
          <w:spacing w:val="30"/>
          <w:sz w:val="20"/>
        </w:rPr>
        <w:t> </w:t>
      </w:r>
      <w:r>
        <w:rPr>
          <w:sz w:val="20"/>
        </w:rPr>
        <w:t>a</w:t>
      </w:r>
      <w:r>
        <w:rPr>
          <w:spacing w:val="30"/>
          <w:sz w:val="20"/>
        </w:rPr>
        <w:t> </w:t>
      </w:r>
      <w:r>
        <w:rPr>
          <w:sz w:val="20"/>
        </w:rPr>
        <w:t>establecimientos</w:t>
      </w:r>
      <w:r>
        <w:rPr>
          <w:spacing w:val="31"/>
          <w:sz w:val="20"/>
        </w:rPr>
        <w:t> </w:t>
      </w:r>
      <w:r>
        <w:rPr>
          <w:sz w:val="20"/>
        </w:rPr>
        <w:t>o</w:t>
      </w:r>
      <w:r>
        <w:rPr>
          <w:spacing w:val="30"/>
          <w:sz w:val="20"/>
        </w:rPr>
        <w:t> </w:t>
      </w:r>
      <w:r>
        <w:rPr>
          <w:sz w:val="20"/>
        </w:rPr>
        <w:t>servicios</w:t>
      </w:r>
      <w:r>
        <w:rPr>
          <w:spacing w:val="29"/>
          <w:sz w:val="20"/>
        </w:rPr>
        <w:t> </w:t>
      </w:r>
      <w:r>
        <w:rPr>
          <w:sz w:val="20"/>
        </w:rPr>
        <w:t>que dependan del Gobierno.</w:t>
      </w:r>
    </w:p>
    <w:p>
      <w:pPr>
        <w:pStyle w:val="BodyText"/>
        <w:spacing w:before="227"/>
        <w:ind w:left="626"/>
      </w:pPr>
      <w:bookmarkStart w:name="Artículo_446" w:id="577"/>
      <w:bookmarkEnd w:id="577"/>
      <w:r>
        <w:rPr/>
      </w:r>
      <w:r>
        <w:rPr>
          <w:rFonts w:ascii="Arial" w:hAnsi="Arial"/>
          <w:b/>
        </w:rPr>
        <w:t>Artículo</w:t>
      </w:r>
      <w:r>
        <w:rPr>
          <w:rFonts w:ascii="Arial" w:hAnsi="Arial"/>
          <w:b/>
          <w:spacing w:val="-7"/>
        </w:rPr>
        <w:t> </w:t>
      </w:r>
      <w:r>
        <w:rPr>
          <w:rFonts w:ascii="Arial" w:hAnsi="Arial"/>
          <w:b/>
        </w:rPr>
        <w:t>446.-</w:t>
      </w:r>
      <w:r>
        <w:rPr>
          <w:rFonts w:ascii="Arial" w:hAnsi="Arial"/>
          <w:b/>
          <w:spacing w:val="-7"/>
        </w:rPr>
        <w:t> </w:t>
      </w:r>
      <w:r>
        <w:rPr/>
        <w:t>Huelga</w:t>
      </w:r>
      <w:r>
        <w:rPr>
          <w:spacing w:val="-8"/>
        </w:rPr>
        <w:t> </w:t>
      </w:r>
      <w:r>
        <w:rPr/>
        <w:t>justificada</w:t>
      </w:r>
      <w:r>
        <w:rPr>
          <w:spacing w:val="-6"/>
        </w:rPr>
        <w:t> </w:t>
      </w:r>
      <w:r>
        <w:rPr/>
        <w:t>es</w:t>
      </w:r>
      <w:r>
        <w:rPr>
          <w:spacing w:val="-7"/>
        </w:rPr>
        <w:t> </w:t>
      </w:r>
      <w:r>
        <w:rPr/>
        <w:t>aquella</w:t>
      </w:r>
      <w:r>
        <w:rPr>
          <w:spacing w:val="-7"/>
        </w:rPr>
        <w:t> </w:t>
      </w:r>
      <w:r>
        <w:rPr/>
        <w:t>cuyos</w:t>
      </w:r>
      <w:r>
        <w:rPr>
          <w:spacing w:val="-7"/>
        </w:rPr>
        <w:t> </w:t>
      </w:r>
      <w:r>
        <w:rPr/>
        <w:t>motivos</w:t>
      </w:r>
      <w:r>
        <w:rPr>
          <w:spacing w:val="-6"/>
        </w:rPr>
        <w:t> </w:t>
      </w:r>
      <w:r>
        <w:rPr/>
        <w:t>son</w:t>
      </w:r>
      <w:r>
        <w:rPr>
          <w:spacing w:val="-9"/>
        </w:rPr>
        <w:t> </w:t>
      </w:r>
      <w:r>
        <w:rPr/>
        <w:t>imputables</w:t>
      </w:r>
      <w:r>
        <w:rPr>
          <w:spacing w:val="-7"/>
        </w:rPr>
        <w:t> </w:t>
      </w:r>
      <w:r>
        <w:rPr/>
        <w:t>al</w:t>
      </w:r>
      <w:r>
        <w:rPr>
          <w:spacing w:val="-8"/>
        </w:rPr>
        <w:t> </w:t>
      </w:r>
      <w:r>
        <w:rPr>
          <w:spacing w:val="-2"/>
        </w:rPr>
        <w:t>patrón.</w:t>
      </w:r>
    </w:p>
    <w:p>
      <w:pPr>
        <w:pStyle w:val="BodyText"/>
        <w:spacing w:before="1"/>
      </w:pPr>
    </w:p>
    <w:p>
      <w:pPr>
        <w:pStyle w:val="BodyText"/>
        <w:ind w:left="338" w:right="350" w:firstLine="288"/>
        <w:jc w:val="both"/>
      </w:pPr>
      <w:bookmarkStart w:name="Artículo_447" w:id="578"/>
      <w:bookmarkEnd w:id="578"/>
      <w:r>
        <w:rPr/>
      </w:r>
      <w:r>
        <w:rPr>
          <w:rFonts w:ascii="Arial" w:hAnsi="Arial"/>
          <w:b/>
        </w:rPr>
        <w:t>Artículo 447.- </w:t>
      </w:r>
      <w:r>
        <w:rPr/>
        <w:t>La huelga es causa legal de suspensión de los efectos de las relaciones de trabajo por todo el tiempo que dure.</w:t>
      </w:r>
    </w:p>
    <w:p>
      <w:pPr>
        <w:pStyle w:val="BodyText"/>
        <w:spacing w:line="242" w:lineRule="auto" w:before="227"/>
        <w:ind w:left="338" w:right="346" w:firstLine="288"/>
        <w:jc w:val="both"/>
      </w:pPr>
      <w:bookmarkStart w:name="Artículo_448" w:id="579"/>
      <w:bookmarkEnd w:id="579"/>
      <w:r>
        <w:rPr/>
      </w:r>
      <w:r>
        <w:rPr>
          <w:rFonts w:ascii="Arial" w:hAnsi="Arial"/>
          <w:b/>
        </w:rPr>
        <w:t>Artículo 448.- </w:t>
      </w:r>
      <w:r>
        <w:rPr/>
        <w:t>El ejercicio del derecho de huelga suspende la tramitación de los conflictos colectivos de naturaleza económica pendientes ante el Tribunal, y la de las solicitudes que se presenten, salvo que los trabajadores sometan el conflicto a la decisión del Tribunal.</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338" w:right="339" w:firstLine="288"/>
        <w:jc w:val="both"/>
      </w:pPr>
      <w:r>
        <w:rPr/>
        <w:t>No es aplicable lo dispuesto</w:t>
      </w:r>
      <w:r>
        <w:rPr>
          <w:spacing w:val="-1"/>
        </w:rPr>
        <w:t> </w:t>
      </w:r>
      <w:r>
        <w:rPr/>
        <w:t>en el párrafo</w:t>
      </w:r>
      <w:r>
        <w:rPr>
          <w:spacing w:val="-1"/>
        </w:rPr>
        <w:t> </w:t>
      </w:r>
      <w:r>
        <w:rPr/>
        <w:t>anterior cuando la huelga tenga por objeto el señalado en el artículo 450, fracción VI.</w:t>
      </w:r>
    </w:p>
    <w:p>
      <w:pPr>
        <w:pStyle w:val="BodyText"/>
        <w:spacing w:line="242" w:lineRule="auto" w:before="226"/>
        <w:ind w:left="338" w:right="346" w:firstLine="288"/>
        <w:jc w:val="both"/>
      </w:pPr>
      <w:bookmarkStart w:name="Artículo_449" w:id="580"/>
      <w:bookmarkEnd w:id="580"/>
      <w:r>
        <w:rPr/>
      </w:r>
      <w:r>
        <w:rPr>
          <w:rFonts w:ascii="Arial" w:hAnsi="Arial"/>
          <w:b/>
        </w:rPr>
        <w:t>Artículo 449.- </w:t>
      </w:r>
      <w:r>
        <w:rPr/>
        <w:t>El Tribunal y las autoridades civiles correspondientes deberán hacer respetar el derecho de huelga, dando a los trabajadores las garantías necesarias y prestándoles el auxilio que soliciten para suspender el trabajo.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Heading1"/>
        <w:spacing w:line="253" w:lineRule="exact"/>
      </w:pPr>
      <w:r>
        <w:rPr/>
        <w:t>CAPITULO</w:t>
      </w:r>
      <w:r>
        <w:rPr>
          <w:spacing w:val="-9"/>
        </w:rPr>
        <w:t> </w:t>
      </w:r>
      <w:r>
        <w:rPr>
          <w:spacing w:val="-7"/>
        </w:rPr>
        <w:t>II</w:t>
      </w:r>
    </w:p>
    <w:p>
      <w:pPr>
        <w:pStyle w:val="Heading2"/>
        <w:spacing w:line="253" w:lineRule="exact"/>
        <w:ind w:left="298"/>
      </w:pPr>
      <w:r>
        <w:rPr/>
        <w:t>Objetivos</w:t>
      </w:r>
      <w:r>
        <w:rPr>
          <w:spacing w:val="-7"/>
        </w:rPr>
        <w:t> </w:t>
      </w:r>
      <w:r>
        <w:rPr/>
        <w:t>y</w:t>
      </w:r>
      <w:r>
        <w:rPr>
          <w:spacing w:val="-7"/>
        </w:rPr>
        <w:t> </w:t>
      </w:r>
      <w:r>
        <w:rPr/>
        <w:t>procedimientos</w:t>
      </w:r>
      <w:r>
        <w:rPr>
          <w:spacing w:val="-5"/>
        </w:rPr>
        <w:t> </w:t>
      </w:r>
      <w:r>
        <w:rPr/>
        <w:t>de</w:t>
      </w:r>
      <w:r>
        <w:rPr>
          <w:spacing w:val="-5"/>
        </w:rPr>
        <w:t> </w:t>
      </w:r>
      <w:r>
        <w:rPr>
          <w:spacing w:val="-2"/>
        </w:rPr>
        <w:t>huelga</w:t>
      </w:r>
    </w:p>
    <w:p>
      <w:pPr>
        <w:spacing w:before="232"/>
        <w:ind w:left="626" w:right="0" w:firstLine="0"/>
        <w:jc w:val="left"/>
        <w:rPr>
          <w:sz w:val="20"/>
        </w:rPr>
      </w:pPr>
      <w:bookmarkStart w:name="Artículo_450" w:id="581"/>
      <w:bookmarkEnd w:id="581"/>
      <w:r>
        <w:rPr/>
      </w:r>
      <w:r>
        <w:rPr>
          <w:rFonts w:ascii="Arial" w:hAnsi="Arial"/>
          <w:b/>
          <w:sz w:val="20"/>
        </w:rPr>
        <w:t>Artículo</w:t>
      </w:r>
      <w:r>
        <w:rPr>
          <w:rFonts w:ascii="Arial" w:hAnsi="Arial"/>
          <w:b/>
          <w:spacing w:val="-6"/>
          <w:sz w:val="20"/>
        </w:rPr>
        <w:t> </w:t>
      </w:r>
      <w:r>
        <w:rPr>
          <w:rFonts w:ascii="Arial" w:hAnsi="Arial"/>
          <w:b/>
          <w:sz w:val="20"/>
        </w:rPr>
        <w:t>450.-</w:t>
      </w:r>
      <w:r>
        <w:rPr>
          <w:rFonts w:ascii="Arial" w:hAnsi="Arial"/>
          <w:b/>
          <w:spacing w:val="-5"/>
          <w:sz w:val="20"/>
        </w:rPr>
        <w:t> </w:t>
      </w:r>
      <w:r>
        <w:rPr>
          <w:sz w:val="20"/>
        </w:rPr>
        <w:t>La</w:t>
      </w:r>
      <w:r>
        <w:rPr>
          <w:spacing w:val="-7"/>
          <w:sz w:val="20"/>
        </w:rPr>
        <w:t> </w:t>
      </w:r>
      <w:r>
        <w:rPr>
          <w:sz w:val="20"/>
        </w:rPr>
        <w:t>huelga</w:t>
      </w:r>
      <w:r>
        <w:rPr>
          <w:spacing w:val="-5"/>
          <w:sz w:val="20"/>
        </w:rPr>
        <w:t> </w:t>
      </w:r>
      <w:r>
        <w:rPr>
          <w:sz w:val="20"/>
        </w:rPr>
        <w:t>deberá</w:t>
      </w:r>
      <w:r>
        <w:rPr>
          <w:spacing w:val="-7"/>
          <w:sz w:val="20"/>
        </w:rPr>
        <w:t> </w:t>
      </w:r>
      <w:r>
        <w:rPr>
          <w:sz w:val="20"/>
        </w:rPr>
        <w:t>tener</w:t>
      </w:r>
      <w:r>
        <w:rPr>
          <w:spacing w:val="-6"/>
          <w:sz w:val="20"/>
        </w:rPr>
        <w:t> </w:t>
      </w:r>
      <w:r>
        <w:rPr>
          <w:sz w:val="20"/>
        </w:rPr>
        <w:t>por</w:t>
      </w:r>
      <w:r>
        <w:rPr>
          <w:spacing w:val="-7"/>
          <w:sz w:val="20"/>
        </w:rPr>
        <w:t> </w:t>
      </w:r>
      <w:r>
        <w:rPr>
          <w:spacing w:val="-2"/>
          <w:sz w:val="20"/>
        </w:rPr>
        <w:t>objeto:</w:t>
      </w:r>
    </w:p>
    <w:p>
      <w:pPr>
        <w:pStyle w:val="BodyText"/>
      </w:pPr>
    </w:p>
    <w:p>
      <w:pPr>
        <w:pStyle w:val="ListParagraph"/>
        <w:numPr>
          <w:ilvl w:val="0"/>
          <w:numId w:val="145"/>
        </w:numPr>
        <w:tabs>
          <w:tab w:pos="1193" w:val="left" w:leader="none"/>
          <w:tab w:pos="1195" w:val="left" w:leader="none"/>
        </w:tabs>
        <w:spacing w:line="242" w:lineRule="auto" w:before="0" w:after="0"/>
        <w:ind w:left="1195" w:right="336" w:hanging="569"/>
        <w:jc w:val="both"/>
        <w:rPr>
          <w:sz w:val="20"/>
        </w:rPr>
      </w:pPr>
      <w:r>
        <w:rPr>
          <w:sz w:val="20"/>
        </w:rPr>
        <w:t>Conseguir el equilibrio entre los diversos factores de la producción, armonizando los derechos del trabajo con los del capital;</w:t>
      </w:r>
    </w:p>
    <w:p>
      <w:pPr>
        <w:pStyle w:val="ListParagraph"/>
        <w:numPr>
          <w:ilvl w:val="0"/>
          <w:numId w:val="145"/>
        </w:numPr>
        <w:tabs>
          <w:tab w:pos="1192" w:val="left" w:leader="none"/>
          <w:tab w:pos="1195" w:val="left" w:leader="none"/>
        </w:tabs>
        <w:spacing w:line="242" w:lineRule="auto" w:before="225" w:after="0"/>
        <w:ind w:left="1195" w:right="342" w:hanging="569"/>
        <w:jc w:val="both"/>
        <w:rPr>
          <w:sz w:val="20"/>
        </w:rPr>
      </w:pPr>
      <w:r>
        <w:rPr>
          <w:sz w:val="20"/>
        </w:rPr>
        <w:t>Obtener</w:t>
      </w:r>
      <w:r>
        <w:rPr>
          <w:spacing w:val="-1"/>
          <w:sz w:val="20"/>
        </w:rPr>
        <w:t> </w:t>
      </w:r>
      <w:r>
        <w:rPr>
          <w:sz w:val="20"/>
        </w:rPr>
        <w:t>del</w:t>
      </w:r>
      <w:r>
        <w:rPr>
          <w:spacing w:val="-3"/>
          <w:sz w:val="20"/>
        </w:rPr>
        <w:t> </w:t>
      </w:r>
      <w:r>
        <w:rPr>
          <w:sz w:val="20"/>
        </w:rPr>
        <w:t>patrón</w:t>
      </w:r>
      <w:r>
        <w:rPr>
          <w:spacing w:val="-3"/>
          <w:sz w:val="20"/>
        </w:rPr>
        <w:t> </w:t>
      </w:r>
      <w:r>
        <w:rPr>
          <w:sz w:val="20"/>
        </w:rPr>
        <w:t>o</w:t>
      </w:r>
      <w:r>
        <w:rPr>
          <w:spacing w:val="-2"/>
          <w:sz w:val="20"/>
        </w:rPr>
        <w:t> </w:t>
      </w:r>
      <w:r>
        <w:rPr>
          <w:sz w:val="20"/>
        </w:rPr>
        <w:t>patrones</w:t>
      </w:r>
      <w:r>
        <w:rPr>
          <w:spacing w:val="-3"/>
          <w:sz w:val="20"/>
        </w:rPr>
        <w:t> </w:t>
      </w:r>
      <w:r>
        <w:rPr>
          <w:sz w:val="20"/>
        </w:rPr>
        <w:t>la</w:t>
      </w:r>
      <w:r>
        <w:rPr>
          <w:spacing w:val="-3"/>
          <w:sz w:val="20"/>
        </w:rPr>
        <w:t> </w:t>
      </w:r>
      <w:r>
        <w:rPr>
          <w:sz w:val="20"/>
        </w:rPr>
        <w:t>celebración</w:t>
      </w:r>
      <w:r>
        <w:rPr>
          <w:spacing w:val="-2"/>
          <w:sz w:val="20"/>
        </w:rPr>
        <w:t> </w:t>
      </w:r>
      <w:r>
        <w:rPr>
          <w:sz w:val="20"/>
        </w:rPr>
        <w:t>del</w:t>
      </w:r>
      <w:r>
        <w:rPr>
          <w:spacing w:val="-4"/>
          <w:sz w:val="20"/>
        </w:rPr>
        <w:t> </w:t>
      </w:r>
      <w:r>
        <w:rPr>
          <w:sz w:val="20"/>
        </w:rPr>
        <w:t>contrato</w:t>
      </w:r>
      <w:r>
        <w:rPr>
          <w:spacing w:val="-4"/>
          <w:sz w:val="20"/>
        </w:rPr>
        <w:t> </w:t>
      </w:r>
      <w:r>
        <w:rPr>
          <w:sz w:val="20"/>
        </w:rPr>
        <w:t>colectivo</w:t>
      </w:r>
      <w:r>
        <w:rPr>
          <w:spacing w:val="-3"/>
          <w:sz w:val="20"/>
        </w:rPr>
        <w:t> </w:t>
      </w:r>
      <w:r>
        <w:rPr>
          <w:sz w:val="20"/>
        </w:rPr>
        <w:t>de</w:t>
      </w:r>
      <w:r>
        <w:rPr>
          <w:spacing w:val="-3"/>
          <w:sz w:val="20"/>
        </w:rPr>
        <w:t> </w:t>
      </w:r>
      <w:r>
        <w:rPr>
          <w:sz w:val="20"/>
        </w:rPr>
        <w:t>trabajo y</w:t>
      </w:r>
      <w:r>
        <w:rPr>
          <w:spacing w:val="-4"/>
          <w:sz w:val="20"/>
        </w:rPr>
        <w:t> </w:t>
      </w:r>
      <w:r>
        <w:rPr>
          <w:sz w:val="20"/>
        </w:rPr>
        <w:t>exigir</w:t>
      </w:r>
      <w:r>
        <w:rPr>
          <w:spacing w:val="-3"/>
          <w:sz w:val="20"/>
        </w:rPr>
        <w:t> </w:t>
      </w:r>
      <w:r>
        <w:rPr>
          <w:sz w:val="20"/>
        </w:rPr>
        <w:t>su</w:t>
      </w:r>
      <w:r>
        <w:rPr>
          <w:spacing w:val="-2"/>
          <w:sz w:val="20"/>
        </w:rPr>
        <w:t> </w:t>
      </w:r>
      <w:r>
        <w:rPr>
          <w:sz w:val="20"/>
        </w:rPr>
        <w:t>revisión al terminar el período de su vigencia, de conformidad con lo dispuesto en el Capítulo III del Título Séptimo;</w:t>
      </w:r>
    </w:p>
    <w:p>
      <w:pPr>
        <w:pStyle w:val="ListParagraph"/>
        <w:numPr>
          <w:ilvl w:val="0"/>
          <w:numId w:val="145"/>
        </w:numPr>
        <w:tabs>
          <w:tab w:pos="1191" w:val="left" w:leader="none"/>
          <w:tab w:pos="1195" w:val="left" w:leader="none"/>
        </w:tabs>
        <w:spacing w:line="242" w:lineRule="auto" w:before="222" w:after="0"/>
        <w:ind w:left="1195" w:right="340" w:hanging="569"/>
        <w:jc w:val="both"/>
        <w:rPr>
          <w:sz w:val="20"/>
        </w:rPr>
      </w:pPr>
      <w:r>
        <w:rPr>
          <w:sz w:val="20"/>
        </w:rPr>
        <w:t>Obtener de los patrones la celebración del</w:t>
      </w:r>
      <w:r>
        <w:rPr>
          <w:spacing w:val="-2"/>
          <w:sz w:val="20"/>
        </w:rPr>
        <w:t> </w:t>
      </w:r>
      <w:r>
        <w:rPr>
          <w:sz w:val="20"/>
        </w:rPr>
        <w:t>contrato-ley y</w:t>
      </w:r>
      <w:r>
        <w:rPr>
          <w:spacing w:val="-2"/>
          <w:sz w:val="20"/>
        </w:rPr>
        <w:t> </w:t>
      </w:r>
      <w:r>
        <w:rPr>
          <w:sz w:val="20"/>
        </w:rPr>
        <w:t>exigir su</w:t>
      </w:r>
      <w:r>
        <w:rPr>
          <w:spacing w:val="-1"/>
          <w:sz w:val="20"/>
        </w:rPr>
        <w:t> </w:t>
      </w:r>
      <w:r>
        <w:rPr>
          <w:sz w:val="20"/>
        </w:rPr>
        <w:t>revisión al</w:t>
      </w:r>
      <w:r>
        <w:rPr>
          <w:spacing w:val="-2"/>
          <w:sz w:val="20"/>
        </w:rPr>
        <w:t> </w:t>
      </w:r>
      <w:r>
        <w:rPr>
          <w:sz w:val="20"/>
        </w:rPr>
        <w:t>terminar el</w:t>
      </w:r>
      <w:r>
        <w:rPr>
          <w:spacing w:val="-2"/>
          <w:sz w:val="20"/>
        </w:rPr>
        <w:t> </w:t>
      </w:r>
      <w:r>
        <w:rPr>
          <w:sz w:val="20"/>
        </w:rPr>
        <w:t>período de su vigencia, de conformidad con lo dispuesto en el Capítulo IV del Título Séptimo;</w:t>
      </w:r>
    </w:p>
    <w:p>
      <w:pPr>
        <w:pStyle w:val="ListParagraph"/>
        <w:numPr>
          <w:ilvl w:val="0"/>
          <w:numId w:val="145"/>
        </w:numPr>
        <w:tabs>
          <w:tab w:pos="1195" w:val="left" w:leader="none"/>
        </w:tabs>
        <w:spacing w:line="242" w:lineRule="auto" w:before="227" w:after="0"/>
        <w:ind w:left="1195" w:right="333" w:hanging="569"/>
        <w:jc w:val="both"/>
        <w:rPr>
          <w:sz w:val="20"/>
        </w:rPr>
      </w:pPr>
      <w:r>
        <w:rPr>
          <w:sz w:val="20"/>
        </w:rPr>
        <w:t>Exigir el cumplimiento del contrato colectivo de trabajo o del contrato-ley en las empresas o establecimientos en que hubiese sido violado;</w:t>
      </w:r>
    </w:p>
    <w:p>
      <w:pPr>
        <w:pStyle w:val="ListParagraph"/>
        <w:numPr>
          <w:ilvl w:val="0"/>
          <w:numId w:val="145"/>
        </w:numPr>
        <w:tabs>
          <w:tab w:pos="1195" w:val="left" w:leader="none"/>
        </w:tabs>
        <w:spacing w:line="240" w:lineRule="auto" w:before="224" w:after="0"/>
        <w:ind w:left="1195" w:right="0" w:hanging="569"/>
        <w:jc w:val="left"/>
        <w:rPr>
          <w:sz w:val="20"/>
        </w:rPr>
      </w:pPr>
      <w:r>
        <w:rPr>
          <w:sz w:val="20"/>
        </w:rPr>
        <w:t>Exigir</w:t>
      </w:r>
      <w:r>
        <w:rPr>
          <w:spacing w:val="-9"/>
          <w:sz w:val="20"/>
        </w:rPr>
        <w:t> </w:t>
      </w:r>
      <w:r>
        <w:rPr>
          <w:sz w:val="20"/>
        </w:rPr>
        <w:t>el</w:t>
      </w:r>
      <w:r>
        <w:rPr>
          <w:spacing w:val="-8"/>
          <w:sz w:val="20"/>
        </w:rPr>
        <w:t> </w:t>
      </w:r>
      <w:r>
        <w:rPr>
          <w:sz w:val="20"/>
        </w:rPr>
        <w:t>cumplimiento</w:t>
      </w:r>
      <w:r>
        <w:rPr>
          <w:spacing w:val="-10"/>
          <w:sz w:val="20"/>
        </w:rPr>
        <w:t> </w:t>
      </w:r>
      <w:r>
        <w:rPr>
          <w:sz w:val="20"/>
        </w:rPr>
        <w:t>de</w:t>
      </w:r>
      <w:r>
        <w:rPr>
          <w:spacing w:val="-7"/>
          <w:sz w:val="20"/>
        </w:rPr>
        <w:t> </w:t>
      </w:r>
      <w:r>
        <w:rPr>
          <w:sz w:val="20"/>
        </w:rPr>
        <w:t>las</w:t>
      </w:r>
      <w:r>
        <w:rPr>
          <w:spacing w:val="-8"/>
          <w:sz w:val="20"/>
        </w:rPr>
        <w:t> </w:t>
      </w:r>
      <w:r>
        <w:rPr>
          <w:sz w:val="20"/>
        </w:rPr>
        <w:t>disposiciones</w:t>
      </w:r>
      <w:r>
        <w:rPr>
          <w:spacing w:val="-7"/>
          <w:sz w:val="20"/>
        </w:rPr>
        <w:t> </w:t>
      </w:r>
      <w:r>
        <w:rPr>
          <w:sz w:val="20"/>
        </w:rPr>
        <w:t>legales</w:t>
      </w:r>
      <w:r>
        <w:rPr>
          <w:spacing w:val="-8"/>
          <w:sz w:val="20"/>
        </w:rPr>
        <w:t> </w:t>
      </w:r>
      <w:r>
        <w:rPr>
          <w:sz w:val="20"/>
        </w:rPr>
        <w:t>sobre</w:t>
      </w:r>
      <w:r>
        <w:rPr>
          <w:spacing w:val="-9"/>
          <w:sz w:val="20"/>
        </w:rPr>
        <w:t> </w:t>
      </w:r>
      <w:r>
        <w:rPr>
          <w:sz w:val="20"/>
        </w:rPr>
        <w:t>participación</w:t>
      </w:r>
      <w:r>
        <w:rPr>
          <w:spacing w:val="-8"/>
          <w:sz w:val="20"/>
        </w:rPr>
        <w:t> </w:t>
      </w:r>
      <w:r>
        <w:rPr>
          <w:sz w:val="20"/>
        </w:rPr>
        <w:t>de</w:t>
      </w:r>
      <w:r>
        <w:rPr>
          <w:spacing w:val="-8"/>
          <w:sz w:val="20"/>
        </w:rPr>
        <w:t> </w:t>
      </w:r>
      <w:r>
        <w:rPr>
          <w:spacing w:val="-2"/>
          <w:sz w:val="20"/>
        </w:rPr>
        <w:t>utilidades;</w:t>
      </w:r>
    </w:p>
    <w:p>
      <w:pPr>
        <w:pStyle w:val="BodyText"/>
        <w:spacing w:before="1"/>
      </w:pPr>
    </w:p>
    <w:p>
      <w:pPr>
        <w:pStyle w:val="ListParagraph"/>
        <w:numPr>
          <w:ilvl w:val="0"/>
          <w:numId w:val="145"/>
        </w:numPr>
        <w:tabs>
          <w:tab w:pos="1195" w:val="left" w:leader="none"/>
        </w:tabs>
        <w:spacing w:line="242" w:lineRule="auto" w:before="0" w:after="0"/>
        <w:ind w:left="1195" w:right="334" w:hanging="569"/>
        <w:jc w:val="both"/>
        <w:rPr>
          <w:sz w:val="20"/>
        </w:rPr>
      </w:pPr>
      <w:r>
        <w:rPr>
          <w:sz w:val="20"/>
        </w:rPr>
        <w:t>Apoyar</w:t>
      </w:r>
      <w:r>
        <w:rPr>
          <w:spacing w:val="-1"/>
          <w:sz w:val="20"/>
        </w:rPr>
        <w:t> </w:t>
      </w:r>
      <w:r>
        <w:rPr>
          <w:sz w:val="20"/>
        </w:rPr>
        <w:t>una</w:t>
      </w:r>
      <w:r>
        <w:rPr>
          <w:spacing w:val="-4"/>
          <w:sz w:val="20"/>
        </w:rPr>
        <w:t> </w:t>
      </w:r>
      <w:r>
        <w:rPr>
          <w:sz w:val="20"/>
        </w:rPr>
        <w:t>huelga</w:t>
      </w:r>
      <w:r>
        <w:rPr>
          <w:spacing w:val="-2"/>
          <w:sz w:val="20"/>
        </w:rPr>
        <w:t> </w:t>
      </w:r>
      <w:r>
        <w:rPr>
          <w:sz w:val="20"/>
        </w:rPr>
        <w:t>que</w:t>
      </w:r>
      <w:r>
        <w:rPr>
          <w:spacing w:val="-4"/>
          <w:sz w:val="20"/>
        </w:rPr>
        <w:t> </w:t>
      </w:r>
      <w:r>
        <w:rPr>
          <w:sz w:val="20"/>
        </w:rPr>
        <w:t>tenga</w:t>
      </w:r>
      <w:r>
        <w:rPr>
          <w:spacing w:val="-5"/>
          <w:sz w:val="20"/>
        </w:rPr>
        <w:t> </w:t>
      </w:r>
      <w:r>
        <w:rPr>
          <w:sz w:val="20"/>
        </w:rPr>
        <w:t>por</w:t>
      </w:r>
      <w:r>
        <w:rPr>
          <w:spacing w:val="-4"/>
          <w:sz w:val="20"/>
        </w:rPr>
        <w:t> </w:t>
      </w:r>
      <w:r>
        <w:rPr>
          <w:sz w:val="20"/>
        </w:rPr>
        <w:t>objeto</w:t>
      </w:r>
      <w:r>
        <w:rPr>
          <w:spacing w:val="-3"/>
          <w:sz w:val="20"/>
        </w:rPr>
        <w:t> </w:t>
      </w:r>
      <w:r>
        <w:rPr>
          <w:sz w:val="20"/>
        </w:rPr>
        <w:t>alguno</w:t>
      </w:r>
      <w:r>
        <w:rPr>
          <w:spacing w:val="-2"/>
          <w:sz w:val="20"/>
        </w:rPr>
        <w:t> </w:t>
      </w:r>
      <w:r>
        <w:rPr>
          <w:sz w:val="20"/>
        </w:rPr>
        <w:t>de</w:t>
      </w:r>
      <w:r>
        <w:rPr>
          <w:spacing w:val="-3"/>
          <w:sz w:val="20"/>
        </w:rPr>
        <w:t> </w:t>
      </w:r>
      <w:r>
        <w:rPr>
          <w:sz w:val="20"/>
        </w:rPr>
        <w:t>los</w:t>
      </w:r>
      <w:r>
        <w:rPr>
          <w:spacing w:val="-1"/>
          <w:sz w:val="20"/>
        </w:rPr>
        <w:t> </w:t>
      </w:r>
      <w:r>
        <w:rPr>
          <w:sz w:val="20"/>
        </w:rPr>
        <w:t>enumerados</w:t>
      </w:r>
      <w:r>
        <w:rPr>
          <w:spacing w:val="-3"/>
          <w:sz w:val="20"/>
        </w:rPr>
        <w:t> </w:t>
      </w:r>
      <w:r>
        <w:rPr>
          <w:sz w:val="20"/>
        </w:rPr>
        <w:t>en</w:t>
      </w:r>
      <w:r>
        <w:rPr>
          <w:spacing w:val="-2"/>
          <w:sz w:val="20"/>
        </w:rPr>
        <w:t> </w:t>
      </w:r>
      <w:r>
        <w:rPr>
          <w:sz w:val="20"/>
        </w:rPr>
        <w:t>las</w:t>
      </w:r>
      <w:r>
        <w:rPr>
          <w:spacing w:val="-3"/>
          <w:sz w:val="20"/>
        </w:rPr>
        <w:t> </w:t>
      </w:r>
      <w:r>
        <w:rPr>
          <w:sz w:val="20"/>
        </w:rPr>
        <w:t>fracciones</w:t>
      </w:r>
      <w:r>
        <w:rPr>
          <w:spacing w:val="-3"/>
          <w:sz w:val="20"/>
        </w:rPr>
        <w:t> </w:t>
      </w:r>
      <w:r>
        <w:rPr>
          <w:sz w:val="20"/>
        </w:rPr>
        <w:t>anteriores; </w:t>
      </w:r>
      <w:r>
        <w:rPr>
          <w:spacing w:val="-10"/>
          <w:sz w:val="20"/>
        </w:rPr>
        <w:t>y</w:t>
      </w:r>
    </w:p>
    <w:p>
      <w:pPr>
        <w:pStyle w:val="ListParagraph"/>
        <w:numPr>
          <w:ilvl w:val="0"/>
          <w:numId w:val="145"/>
        </w:numPr>
        <w:tabs>
          <w:tab w:pos="1195" w:val="left" w:leader="none"/>
        </w:tabs>
        <w:spacing w:line="229" w:lineRule="exact" w:before="227" w:after="0"/>
        <w:ind w:left="1195" w:right="0" w:hanging="569"/>
        <w:jc w:val="left"/>
        <w:rPr>
          <w:sz w:val="20"/>
        </w:rPr>
      </w:pPr>
      <w:r>
        <w:rPr>
          <w:sz w:val="20"/>
        </w:rPr>
        <w:t>Exigir</w:t>
      </w:r>
      <w:r>
        <w:rPr>
          <w:spacing w:val="-6"/>
          <w:sz w:val="20"/>
        </w:rPr>
        <w:t> </w:t>
      </w:r>
      <w:r>
        <w:rPr>
          <w:sz w:val="20"/>
        </w:rPr>
        <w:t>la</w:t>
      </w:r>
      <w:r>
        <w:rPr>
          <w:spacing w:val="-4"/>
          <w:sz w:val="20"/>
        </w:rPr>
        <w:t> </w:t>
      </w:r>
      <w:r>
        <w:rPr>
          <w:sz w:val="20"/>
        </w:rPr>
        <w:t>revisión</w:t>
      </w:r>
      <w:r>
        <w:rPr>
          <w:spacing w:val="-6"/>
          <w:sz w:val="20"/>
        </w:rPr>
        <w:t> </w:t>
      </w:r>
      <w:r>
        <w:rPr>
          <w:sz w:val="20"/>
        </w:rPr>
        <w:t>de</w:t>
      </w:r>
      <w:r>
        <w:rPr>
          <w:spacing w:val="-6"/>
          <w:sz w:val="20"/>
        </w:rPr>
        <w:t> </w:t>
      </w:r>
      <w:r>
        <w:rPr>
          <w:sz w:val="20"/>
        </w:rPr>
        <w:t>los</w:t>
      </w:r>
      <w:r>
        <w:rPr>
          <w:spacing w:val="-5"/>
          <w:sz w:val="20"/>
        </w:rPr>
        <w:t> </w:t>
      </w:r>
      <w:r>
        <w:rPr>
          <w:sz w:val="20"/>
        </w:rPr>
        <w:t>salarios</w:t>
      </w:r>
      <w:r>
        <w:rPr>
          <w:spacing w:val="-5"/>
          <w:sz w:val="20"/>
        </w:rPr>
        <w:t> </w:t>
      </w:r>
      <w:r>
        <w:rPr>
          <w:sz w:val="20"/>
        </w:rPr>
        <w:t>contractuales</w:t>
      </w:r>
      <w:r>
        <w:rPr>
          <w:spacing w:val="-5"/>
          <w:sz w:val="20"/>
        </w:rPr>
        <w:t> </w:t>
      </w:r>
      <w:r>
        <w:rPr>
          <w:sz w:val="20"/>
        </w:rPr>
        <w:t>a</w:t>
      </w:r>
      <w:r>
        <w:rPr>
          <w:spacing w:val="-7"/>
          <w:sz w:val="20"/>
        </w:rPr>
        <w:t> </w:t>
      </w:r>
      <w:r>
        <w:rPr>
          <w:sz w:val="20"/>
        </w:rPr>
        <w:t>que</w:t>
      </w:r>
      <w:r>
        <w:rPr>
          <w:spacing w:val="-7"/>
          <w:sz w:val="20"/>
        </w:rPr>
        <w:t> </w:t>
      </w:r>
      <w:r>
        <w:rPr>
          <w:sz w:val="20"/>
        </w:rPr>
        <w:t>se</w:t>
      </w:r>
      <w:r>
        <w:rPr>
          <w:spacing w:val="-6"/>
          <w:sz w:val="20"/>
        </w:rPr>
        <w:t> </w:t>
      </w:r>
      <w:r>
        <w:rPr>
          <w:sz w:val="20"/>
        </w:rPr>
        <w:t>refieren</w:t>
      </w:r>
      <w:r>
        <w:rPr>
          <w:spacing w:val="-4"/>
          <w:sz w:val="20"/>
        </w:rPr>
        <w:t> </w:t>
      </w:r>
      <w:r>
        <w:rPr>
          <w:sz w:val="20"/>
        </w:rPr>
        <w:t>los</w:t>
      </w:r>
      <w:r>
        <w:rPr>
          <w:spacing w:val="-5"/>
          <w:sz w:val="20"/>
        </w:rPr>
        <w:t> </w:t>
      </w:r>
      <w:r>
        <w:rPr>
          <w:sz w:val="20"/>
        </w:rPr>
        <w:t>artículo</w:t>
      </w:r>
      <w:r>
        <w:rPr>
          <w:spacing w:val="-5"/>
          <w:sz w:val="20"/>
        </w:rPr>
        <w:t> </w:t>
      </w:r>
      <w:r>
        <w:rPr>
          <w:sz w:val="20"/>
        </w:rPr>
        <w:t>399</w:t>
      </w:r>
      <w:r>
        <w:rPr>
          <w:spacing w:val="-4"/>
          <w:sz w:val="20"/>
        </w:rPr>
        <w:t> </w:t>
      </w:r>
      <w:r>
        <w:rPr>
          <w:sz w:val="20"/>
        </w:rPr>
        <w:t>bis</w:t>
      </w:r>
      <w:r>
        <w:rPr>
          <w:spacing w:val="-3"/>
          <w:sz w:val="20"/>
        </w:rPr>
        <w:t> </w:t>
      </w:r>
      <w:r>
        <w:rPr>
          <w:sz w:val="20"/>
        </w:rPr>
        <w:t>y</w:t>
      </w:r>
      <w:r>
        <w:rPr>
          <w:spacing w:val="-7"/>
          <w:sz w:val="20"/>
        </w:rPr>
        <w:t> </w:t>
      </w:r>
      <w:r>
        <w:rPr>
          <w:sz w:val="20"/>
        </w:rPr>
        <w:t>419</w:t>
      </w:r>
      <w:r>
        <w:rPr>
          <w:spacing w:val="-4"/>
          <w:sz w:val="20"/>
        </w:rPr>
        <w:t> bis.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1974</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spacing w:before="0"/>
        <w:ind w:left="626" w:right="0" w:firstLine="0"/>
        <w:jc w:val="left"/>
        <w:rPr>
          <w:sz w:val="20"/>
        </w:rPr>
      </w:pPr>
      <w:bookmarkStart w:name="Artículo_451" w:id="582"/>
      <w:bookmarkEnd w:id="582"/>
      <w:r>
        <w:rPr/>
      </w:r>
      <w:r>
        <w:rPr>
          <w:rFonts w:ascii="Arial" w:hAnsi="Arial"/>
          <w:b/>
          <w:sz w:val="20"/>
        </w:rPr>
        <w:t>Artículo</w:t>
      </w:r>
      <w:r>
        <w:rPr>
          <w:rFonts w:ascii="Arial" w:hAnsi="Arial"/>
          <w:b/>
          <w:spacing w:val="-7"/>
          <w:sz w:val="20"/>
        </w:rPr>
        <w:t> </w:t>
      </w:r>
      <w:r>
        <w:rPr>
          <w:rFonts w:ascii="Arial" w:hAnsi="Arial"/>
          <w:b/>
          <w:sz w:val="20"/>
        </w:rPr>
        <w:t>451.-</w:t>
      </w:r>
      <w:r>
        <w:rPr>
          <w:rFonts w:ascii="Arial" w:hAnsi="Arial"/>
          <w:b/>
          <w:spacing w:val="-5"/>
          <w:sz w:val="20"/>
        </w:rPr>
        <w:t> </w:t>
      </w:r>
      <w:r>
        <w:rPr>
          <w:sz w:val="20"/>
        </w:rPr>
        <w:t>Para</w:t>
      </w:r>
      <w:r>
        <w:rPr>
          <w:spacing w:val="-7"/>
          <w:sz w:val="20"/>
        </w:rPr>
        <w:t> </w:t>
      </w:r>
      <w:r>
        <w:rPr>
          <w:sz w:val="20"/>
        </w:rPr>
        <w:t>suspender</w:t>
      </w:r>
      <w:r>
        <w:rPr>
          <w:spacing w:val="-7"/>
          <w:sz w:val="20"/>
        </w:rPr>
        <w:t> </w:t>
      </w:r>
      <w:r>
        <w:rPr>
          <w:sz w:val="20"/>
        </w:rPr>
        <w:t>los</w:t>
      </w:r>
      <w:r>
        <w:rPr>
          <w:spacing w:val="-6"/>
          <w:sz w:val="20"/>
        </w:rPr>
        <w:t> </w:t>
      </w:r>
      <w:r>
        <w:rPr>
          <w:sz w:val="20"/>
        </w:rPr>
        <w:t>trabajos</w:t>
      </w:r>
      <w:r>
        <w:rPr>
          <w:spacing w:val="-7"/>
          <w:sz w:val="20"/>
        </w:rPr>
        <w:t> </w:t>
      </w:r>
      <w:r>
        <w:rPr>
          <w:sz w:val="20"/>
        </w:rPr>
        <w:t>se</w:t>
      </w:r>
      <w:r>
        <w:rPr>
          <w:spacing w:val="-7"/>
          <w:sz w:val="20"/>
        </w:rPr>
        <w:t> </w:t>
      </w:r>
      <w:r>
        <w:rPr>
          <w:spacing w:val="-2"/>
          <w:sz w:val="20"/>
        </w:rPr>
        <w:t>requiere:</w:t>
      </w:r>
    </w:p>
    <w:p>
      <w:pPr>
        <w:pStyle w:val="BodyText"/>
        <w:spacing w:before="1"/>
      </w:pPr>
    </w:p>
    <w:p>
      <w:pPr>
        <w:pStyle w:val="ListParagraph"/>
        <w:numPr>
          <w:ilvl w:val="0"/>
          <w:numId w:val="146"/>
        </w:numPr>
        <w:tabs>
          <w:tab w:pos="1195" w:val="left" w:leader="none"/>
        </w:tabs>
        <w:spacing w:line="240" w:lineRule="auto" w:before="0" w:after="0"/>
        <w:ind w:left="1195" w:right="0" w:hanging="569"/>
        <w:jc w:val="left"/>
        <w:rPr>
          <w:sz w:val="20"/>
        </w:rPr>
      </w:pPr>
      <w:r>
        <w:rPr>
          <w:sz w:val="20"/>
        </w:rPr>
        <w:t>Que</w:t>
      </w:r>
      <w:r>
        <w:rPr>
          <w:spacing w:val="-7"/>
          <w:sz w:val="20"/>
        </w:rPr>
        <w:t> </w:t>
      </w:r>
      <w:r>
        <w:rPr>
          <w:sz w:val="20"/>
        </w:rPr>
        <w:t>la</w:t>
      </w:r>
      <w:r>
        <w:rPr>
          <w:spacing w:val="-5"/>
          <w:sz w:val="20"/>
        </w:rPr>
        <w:t> </w:t>
      </w:r>
      <w:r>
        <w:rPr>
          <w:sz w:val="20"/>
        </w:rPr>
        <w:t>huelga</w:t>
      </w:r>
      <w:r>
        <w:rPr>
          <w:spacing w:val="-7"/>
          <w:sz w:val="20"/>
        </w:rPr>
        <w:t> </w:t>
      </w:r>
      <w:r>
        <w:rPr>
          <w:sz w:val="20"/>
        </w:rPr>
        <w:t>tenga</w:t>
      </w:r>
      <w:r>
        <w:rPr>
          <w:spacing w:val="-5"/>
          <w:sz w:val="20"/>
        </w:rPr>
        <w:t> </w:t>
      </w:r>
      <w:r>
        <w:rPr>
          <w:sz w:val="20"/>
        </w:rPr>
        <w:t>por</w:t>
      </w:r>
      <w:r>
        <w:rPr>
          <w:spacing w:val="-6"/>
          <w:sz w:val="20"/>
        </w:rPr>
        <w:t> </w:t>
      </w:r>
      <w:r>
        <w:rPr>
          <w:sz w:val="20"/>
        </w:rPr>
        <w:t>objeto</w:t>
      </w:r>
      <w:r>
        <w:rPr>
          <w:spacing w:val="-5"/>
          <w:sz w:val="20"/>
        </w:rPr>
        <w:t> </w:t>
      </w:r>
      <w:r>
        <w:rPr>
          <w:sz w:val="20"/>
        </w:rPr>
        <w:t>alguno</w:t>
      </w:r>
      <w:r>
        <w:rPr>
          <w:spacing w:val="-5"/>
          <w:sz w:val="20"/>
        </w:rPr>
        <w:t> </w:t>
      </w:r>
      <w:r>
        <w:rPr>
          <w:sz w:val="20"/>
        </w:rPr>
        <w:t>o</w:t>
      </w:r>
      <w:r>
        <w:rPr>
          <w:spacing w:val="-5"/>
          <w:sz w:val="20"/>
        </w:rPr>
        <w:t> </w:t>
      </w:r>
      <w:r>
        <w:rPr>
          <w:sz w:val="20"/>
        </w:rPr>
        <w:t>algunos</w:t>
      </w:r>
      <w:r>
        <w:rPr>
          <w:spacing w:val="-5"/>
          <w:sz w:val="20"/>
        </w:rPr>
        <w:t> </w:t>
      </w:r>
      <w:r>
        <w:rPr>
          <w:sz w:val="20"/>
        </w:rPr>
        <w:t>de</w:t>
      </w:r>
      <w:r>
        <w:rPr>
          <w:spacing w:val="-4"/>
          <w:sz w:val="20"/>
        </w:rPr>
        <w:t> </w:t>
      </w:r>
      <w:r>
        <w:rPr>
          <w:sz w:val="20"/>
        </w:rPr>
        <w:t>los</w:t>
      </w:r>
      <w:r>
        <w:rPr>
          <w:spacing w:val="-5"/>
          <w:sz w:val="20"/>
        </w:rPr>
        <w:t> </w:t>
      </w:r>
      <w:r>
        <w:rPr>
          <w:sz w:val="20"/>
        </w:rPr>
        <w:t>que</w:t>
      </w:r>
      <w:r>
        <w:rPr>
          <w:spacing w:val="-5"/>
          <w:sz w:val="20"/>
        </w:rPr>
        <w:t> </w:t>
      </w:r>
      <w:r>
        <w:rPr>
          <w:sz w:val="20"/>
        </w:rPr>
        <w:t>señala</w:t>
      </w:r>
      <w:r>
        <w:rPr>
          <w:spacing w:val="-5"/>
          <w:sz w:val="20"/>
        </w:rPr>
        <w:t> </w:t>
      </w:r>
      <w:r>
        <w:rPr>
          <w:sz w:val="20"/>
        </w:rPr>
        <w:t>el</w:t>
      </w:r>
      <w:r>
        <w:rPr>
          <w:spacing w:val="-7"/>
          <w:sz w:val="20"/>
        </w:rPr>
        <w:t> </w:t>
      </w:r>
      <w:r>
        <w:rPr>
          <w:sz w:val="20"/>
        </w:rPr>
        <w:t>artículo</w:t>
      </w:r>
      <w:r>
        <w:rPr>
          <w:spacing w:val="-3"/>
          <w:sz w:val="20"/>
        </w:rPr>
        <w:t> </w:t>
      </w:r>
      <w:r>
        <w:rPr>
          <w:spacing w:val="-2"/>
          <w:sz w:val="20"/>
        </w:rPr>
        <w:t>anterior;</w:t>
      </w:r>
    </w:p>
    <w:p>
      <w:pPr>
        <w:pStyle w:val="BodyText"/>
      </w:pPr>
    </w:p>
    <w:p>
      <w:pPr>
        <w:pStyle w:val="ListParagraph"/>
        <w:numPr>
          <w:ilvl w:val="0"/>
          <w:numId w:val="146"/>
        </w:numPr>
        <w:tabs>
          <w:tab w:pos="1192" w:val="left" w:leader="none"/>
          <w:tab w:pos="1195" w:val="left" w:leader="none"/>
        </w:tabs>
        <w:spacing w:line="240" w:lineRule="auto" w:before="1" w:after="0"/>
        <w:ind w:left="1195" w:right="342" w:hanging="569"/>
        <w:jc w:val="both"/>
        <w:rPr>
          <w:sz w:val="20"/>
        </w:rPr>
      </w:pPr>
      <w:r>
        <w:rPr>
          <w:sz w:val="20"/>
        </w:rPr>
        <w:t>Que la suspensión se realice por la mayoría de los trabajadores de la empresa o establecimiento. La determinación de la mayoría a que se refiere esta fracción, sólo podrá promoverse como causa para solicitar la declaración de inexistencia de la huelga, de conformidad con lo dispuesto en el artículo 930, y en ningún caso como cuestión previa a la suspensión de los trabajos, y</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46"/>
        </w:numPr>
        <w:tabs>
          <w:tab w:pos="1195" w:val="left" w:leader="none"/>
        </w:tabs>
        <w:spacing w:line="240" w:lineRule="auto" w:before="0" w:after="0"/>
        <w:ind w:left="1195" w:right="0" w:hanging="569"/>
        <w:jc w:val="left"/>
        <w:rPr>
          <w:sz w:val="20"/>
        </w:rPr>
      </w:pPr>
      <w:r>
        <w:rPr>
          <w:sz w:val="20"/>
        </w:rPr>
        <w:t>Que</w:t>
      </w:r>
      <w:r>
        <w:rPr>
          <w:spacing w:val="-8"/>
          <w:sz w:val="20"/>
        </w:rPr>
        <w:t> </w:t>
      </w:r>
      <w:r>
        <w:rPr>
          <w:sz w:val="20"/>
        </w:rPr>
        <w:t>se</w:t>
      </w:r>
      <w:r>
        <w:rPr>
          <w:spacing w:val="-7"/>
          <w:sz w:val="20"/>
        </w:rPr>
        <w:t> </w:t>
      </w:r>
      <w:r>
        <w:rPr>
          <w:sz w:val="20"/>
        </w:rPr>
        <w:t>cumplan</w:t>
      </w:r>
      <w:r>
        <w:rPr>
          <w:spacing w:val="-8"/>
          <w:sz w:val="20"/>
        </w:rPr>
        <w:t> </w:t>
      </w:r>
      <w:r>
        <w:rPr>
          <w:sz w:val="20"/>
        </w:rPr>
        <w:t>previamente</w:t>
      </w:r>
      <w:r>
        <w:rPr>
          <w:spacing w:val="-7"/>
          <w:sz w:val="20"/>
        </w:rPr>
        <w:t> </w:t>
      </w:r>
      <w:r>
        <w:rPr>
          <w:sz w:val="20"/>
        </w:rPr>
        <w:t>los</w:t>
      </w:r>
      <w:r>
        <w:rPr>
          <w:spacing w:val="-4"/>
          <w:sz w:val="20"/>
        </w:rPr>
        <w:t> </w:t>
      </w:r>
      <w:r>
        <w:rPr>
          <w:sz w:val="20"/>
        </w:rPr>
        <w:t>requisitos</w:t>
      </w:r>
      <w:r>
        <w:rPr>
          <w:spacing w:val="-6"/>
          <w:sz w:val="20"/>
        </w:rPr>
        <w:t> </w:t>
      </w:r>
      <w:r>
        <w:rPr>
          <w:sz w:val="20"/>
        </w:rPr>
        <w:t>señalados</w:t>
      </w:r>
      <w:r>
        <w:rPr>
          <w:spacing w:val="-4"/>
          <w:sz w:val="20"/>
        </w:rPr>
        <w:t> </w:t>
      </w:r>
      <w:r>
        <w:rPr>
          <w:sz w:val="20"/>
        </w:rPr>
        <w:t>en</w:t>
      </w:r>
      <w:r>
        <w:rPr>
          <w:spacing w:val="-8"/>
          <w:sz w:val="20"/>
        </w:rPr>
        <w:t> </w:t>
      </w:r>
      <w:r>
        <w:rPr>
          <w:sz w:val="20"/>
        </w:rPr>
        <w:t>el</w:t>
      </w:r>
      <w:r>
        <w:rPr>
          <w:spacing w:val="-7"/>
          <w:sz w:val="20"/>
        </w:rPr>
        <w:t> </w:t>
      </w:r>
      <w:r>
        <w:rPr>
          <w:sz w:val="20"/>
        </w:rPr>
        <w:t>artículo</w:t>
      </w:r>
      <w:r>
        <w:rPr>
          <w:spacing w:val="-5"/>
          <w:sz w:val="20"/>
        </w:rPr>
        <w:t> </w:t>
      </w:r>
      <w:r>
        <w:rPr>
          <w:sz w:val="20"/>
        </w:rPr>
        <w:t>920</w:t>
      </w:r>
      <w:r>
        <w:rPr>
          <w:spacing w:val="-5"/>
          <w:sz w:val="20"/>
        </w:rPr>
        <w:t> </w:t>
      </w:r>
      <w:r>
        <w:rPr>
          <w:sz w:val="20"/>
        </w:rPr>
        <w:t>de</w:t>
      </w:r>
      <w:r>
        <w:rPr>
          <w:spacing w:val="-6"/>
          <w:sz w:val="20"/>
        </w:rPr>
        <w:t> </w:t>
      </w:r>
      <w:r>
        <w:rPr>
          <w:sz w:val="20"/>
        </w:rPr>
        <w:t>esta</w:t>
      </w:r>
      <w:r>
        <w:rPr>
          <w:spacing w:val="-8"/>
          <w:sz w:val="20"/>
        </w:rPr>
        <w:t> </w:t>
      </w:r>
      <w:r>
        <w:rPr>
          <w:spacing w:val="-4"/>
          <w:sz w:val="20"/>
        </w:rPr>
        <w:t>Ley.</w:t>
      </w:r>
    </w:p>
    <w:p>
      <w:pPr>
        <w:spacing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2"/>
        <w:rPr>
          <w:rFonts w:ascii="Times New Roman"/>
          <w:i/>
        </w:rPr>
      </w:pPr>
    </w:p>
    <w:p>
      <w:pPr>
        <w:spacing w:line="229" w:lineRule="exact" w:before="0"/>
        <w:ind w:left="626" w:right="0" w:firstLine="0"/>
        <w:jc w:val="left"/>
        <w:rPr>
          <w:sz w:val="20"/>
        </w:rPr>
      </w:pPr>
      <w:bookmarkStart w:name="Artículo_452" w:id="583"/>
      <w:bookmarkEnd w:id="583"/>
      <w:r>
        <w:rPr/>
      </w:r>
      <w:r>
        <w:rPr>
          <w:rFonts w:ascii="Arial" w:hAnsi="Arial"/>
          <w:b/>
          <w:sz w:val="20"/>
        </w:rPr>
        <w:t>Artículo</w:t>
      </w:r>
      <w:r>
        <w:rPr>
          <w:rFonts w:ascii="Arial" w:hAnsi="Arial"/>
          <w:b/>
          <w:spacing w:val="-6"/>
          <w:sz w:val="20"/>
        </w:rPr>
        <w:t> </w:t>
      </w:r>
      <w:r>
        <w:rPr>
          <w:rFonts w:ascii="Arial" w:hAnsi="Arial"/>
          <w:b/>
          <w:sz w:val="20"/>
        </w:rPr>
        <w:t>452.-</w:t>
      </w:r>
      <w:r>
        <w:rPr>
          <w:rFonts w:ascii="Arial" w:hAnsi="Arial"/>
          <w:b/>
          <w:spacing w:val="-5"/>
          <w:sz w:val="20"/>
        </w:rPr>
        <w:t> </w:t>
      </w:r>
      <w:r>
        <w:rPr>
          <w:sz w:val="20"/>
        </w:rPr>
        <w:t>(Se</w:t>
      </w:r>
      <w:r>
        <w:rPr>
          <w:spacing w:val="-7"/>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1"/>
        <w:rPr>
          <w:rFonts w:ascii="Times New Roman"/>
          <w:i/>
        </w:rPr>
      </w:pPr>
    </w:p>
    <w:p>
      <w:pPr>
        <w:spacing w:before="0"/>
        <w:ind w:left="626" w:right="0" w:firstLine="0"/>
        <w:jc w:val="left"/>
        <w:rPr>
          <w:sz w:val="20"/>
        </w:rPr>
      </w:pPr>
      <w:bookmarkStart w:name="Artículo_453" w:id="584"/>
      <w:bookmarkEnd w:id="584"/>
      <w:r>
        <w:rPr/>
      </w:r>
      <w:r>
        <w:rPr>
          <w:rFonts w:ascii="Arial" w:hAnsi="Arial"/>
          <w:b/>
          <w:sz w:val="20"/>
        </w:rPr>
        <w:t>Artículo</w:t>
      </w:r>
      <w:r>
        <w:rPr>
          <w:rFonts w:ascii="Arial" w:hAnsi="Arial"/>
          <w:b/>
          <w:spacing w:val="-6"/>
          <w:sz w:val="20"/>
        </w:rPr>
        <w:t> </w:t>
      </w:r>
      <w:r>
        <w:rPr>
          <w:rFonts w:ascii="Arial" w:hAnsi="Arial"/>
          <w:b/>
          <w:sz w:val="20"/>
        </w:rPr>
        <w:t>453.-</w:t>
      </w:r>
      <w:r>
        <w:rPr>
          <w:rFonts w:ascii="Arial" w:hAnsi="Arial"/>
          <w:b/>
          <w:spacing w:val="-5"/>
          <w:sz w:val="20"/>
        </w:rPr>
        <w:t> </w:t>
      </w:r>
      <w:r>
        <w:rPr>
          <w:sz w:val="20"/>
        </w:rPr>
        <w:t>(Se</w:t>
      </w:r>
      <w:r>
        <w:rPr>
          <w:spacing w:val="-7"/>
          <w:sz w:val="20"/>
        </w:rPr>
        <w:t> </w:t>
      </w:r>
      <w:r>
        <w:rPr>
          <w:spacing w:val="-2"/>
          <w:sz w:val="20"/>
        </w:rPr>
        <w:t>deroga).</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before="229"/>
        <w:ind w:left="626" w:right="0" w:firstLine="0"/>
        <w:jc w:val="left"/>
        <w:rPr>
          <w:sz w:val="20"/>
        </w:rPr>
      </w:pPr>
      <w:bookmarkStart w:name="Artículo_454" w:id="585"/>
      <w:bookmarkEnd w:id="585"/>
      <w:r>
        <w:rPr/>
      </w:r>
      <w:r>
        <w:rPr>
          <w:rFonts w:ascii="Arial" w:hAnsi="Arial"/>
          <w:b/>
          <w:sz w:val="20"/>
        </w:rPr>
        <w:t>Artículo</w:t>
      </w:r>
      <w:r>
        <w:rPr>
          <w:rFonts w:ascii="Arial" w:hAnsi="Arial"/>
          <w:b/>
          <w:spacing w:val="-6"/>
          <w:sz w:val="20"/>
        </w:rPr>
        <w:t> </w:t>
      </w:r>
      <w:r>
        <w:rPr>
          <w:rFonts w:ascii="Arial" w:hAnsi="Arial"/>
          <w:b/>
          <w:sz w:val="20"/>
        </w:rPr>
        <w:t>454.-</w:t>
      </w:r>
      <w:r>
        <w:rPr>
          <w:rFonts w:ascii="Arial" w:hAnsi="Arial"/>
          <w:b/>
          <w:spacing w:val="-5"/>
          <w:sz w:val="20"/>
        </w:rPr>
        <w:t> </w:t>
      </w:r>
      <w:r>
        <w:rPr>
          <w:sz w:val="20"/>
        </w:rPr>
        <w:t>(Se</w:t>
      </w:r>
      <w:r>
        <w:rPr>
          <w:spacing w:val="-7"/>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1"/>
        <w:rPr>
          <w:rFonts w:ascii="Times New Roman"/>
          <w:i/>
        </w:rPr>
      </w:pPr>
    </w:p>
    <w:p>
      <w:pPr>
        <w:spacing w:line="229" w:lineRule="exact" w:before="0"/>
        <w:ind w:left="626" w:right="0" w:firstLine="0"/>
        <w:jc w:val="left"/>
        <w:rPr>
          <w:sz w:val="20"/>
        </w:rPr>
      </w:pPr>
      <w:bookmarkStart w:name="Artículo_455" w:id="586"/>
      <w:bookmarkEnd w:id="586"/>
      <w:r>
        <w:rPr/>
      </w:r>
      <w:r>
        <w:rPr>
          <w:rFonts w:ascii="Arial" w:hAnsi="Arial"/>
          <w:b/>
          <w:sz w:val="20"/>
        </w:rPr>
        <w:t>Artículo</w:t>
      </w:r>
      <w:r>
        <w:rPr>
          <w:rFonts w:ascii="Arial" w:hAnsi="Arial"/>
          <w:b/>
          <w:spacing w:val="-6"/>
          <w:sz w:val="20"/>
        </w:rPr>
        <w:t> </w:t>
      </w:r>
      <w:r>
        <w:rPr>
          <w:rFonts w:ascii="Arial" w:hAnsi="Arial"/>
          <w:b/>
          <w:sz w:val="20"/>
        </w:rPr>
        <w:t>455.-</w:t>
      </w:r>
      <w:r>
        <w:rPr>
          <w:rFonts w:ascii="Arial" w:hAnsi="Arial"/>
          <w:b/>
          <w:spacing w:val="-5"/>
          <w:sz w:val="20"/>
        </w:rPr>
        <w:t> </w:t>
      </w:r>
      <w:r>
        <w:rPr>
          <w:sz w:val="20"/>
        </w:rPr>
        <w:t>(Se</w:t>
      </w:r>
      <w:r>
        <w:rPr>
          <w:spacing w:val="-7"/>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1"/>
        <w:rPr>
          <w:rFonts w:ascii="Times New Roman"/>
          <w:i/>
        </w:rPr>
      </w:pPr>
    </w:p>
    <w:p>
      <w:pPr>
        <w:spacing w:before="1"/>
        <w:ind w:left="626" w:right="0" w:firstLine="0"/>
        <w:jc w:val="left"/>
        <w:rPr>
          <w:sz w:val="20"/>
        </w:rPr>
      </w:pPr>
      <w:bookmarkStart w:name="Artículo_456" w:id="587"/>
      <w:bookmarkEnd w:id="587"/>
      <w:r>
        <w:rPr/>
      </w:r>
      <w:r>
        <w:rPr>
          <w:rFonts w:ascii="Arial" w:hAnsi="Arial"/>
          <w:b/>
          <w:sz w:val="20"/>
        </w:rPr>
        <w:t>Artículo</w:t>
      </w:r>
      <w:r>
        <w:rPr>
          <w:rFonts w:ascii="Arial" w:hAnsi="Arial"/>
          <w:b/>
          <w:spacing w:val="-6"/>
          <w:sz w:val="20"/>
        </w:rPr>
        <w:t> </w:t>
      </w:r>
      <w:r>
        <w:rPr>
          <w:rFonts w:ascii="Arial" w:hAnsi="Arial"/>
          <w:b/>
          <w:sz w:val="20"/>
        </w:rPr>
        <w:t>456.-</w:t>
      </w:r>
      <w:r>
        <w:rPr>
          <w:rFonts w:ascii="Arial" w:hAnsi="Arial"/>
          <w:b/>
          <w:spacing w:val="-5"/>
          <w:sz w:val="20"/>
        </w:rPr>
        <w:t> </w:t>
      </w:r>
      <w:r>
        <w:rPr>
          <w:sz w:val="20"/>
        </w:rPr>
        <w:t>(Se</w:t>
      </w:r>
      <w:r>
        <w:rPr>
          <w:spacing w:val="-7"/>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before="229"/>
        <w:ind w:left="626" w:right="0" w:firstLine="0"/>
        <w:jc w:val="left"/>
        <w:rPr>
          <w:sz w:val="20"/>
        </w:rPr>
      </w:pPr>
      <w:bookmarkStart w:name="Artículo_457" w:id="588"/>
      <w:bookmarkEnd w:id="588"/>
      <w:r>
        <w:rPr/>
      </w:r>
      <w:r>
        <w:rPr>
          <w:rFonts w:ascii="Arial" w:hAnsi="Arial"/>
          <w:b/>
          <w:sz w:val="20"/>
        </w:rPr>
        <w:t>Artículo</w:t>
      </w:r>
      <w:r>
        <w:rPr>
          <w:rFonts w:ascii="Arial" w:hAnsi="Arial"/>
          <w:b/>
          <w:spacing w:val="-6"/>
          <w:sz w:val="20"/>
        </w:rPr>
        <w:t> </w:t>
      </w:r>
      <w:r>
        <w:rPr>
          <w:rFonts w:ascii="Arial" w:hAnsi="Arial"/>
          <w:b/>
          <w:sz w:val="20"/>
        </w:rPr>
        <w:t>457.-</w:t>
      </w:r>
      <w:r>
        <w:rPr>
          <w:rFonts w:ascii="Arial" w:hAnsi="Arial"/>
          <w:b/>
          <w:spacing w:val="-5"/>
          <w:sz w:val="20"/>
        </w:rPr>
        <w:t> </w:t>
      </w:r>
      <w:r>
        <w:rPr>
          <w:sz w:val="20"/>
        </w:rPr>
        <w:t>(Se</w:t>
      </w:r>
      <w:r>
        <w:rPr>
          <w:spacing w:val="-7"/>
          <w:sz w:val="20"/>
        </w:rPr>
        <w:t> </w:t>
      </w:r>
      <w:r>
        <w:rPr>
          <w:spacing w:val="-2"/>
          <w:sz w:val="20"/>
        </w:rPr>
        <w:t>deroga).</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1"/>
        <w:rPr>
          <w:rFonts w:ascii="Times New Roman"/>
          <w:i/>
        </w:rPr>
      </w:pPr>
    </w:p>
    <w:p>
      <w:pPr>
        <w:spacing w:line="229" w:lineRule="exact" w:before="0"/>
        <w:ind w:left="626" w:right="0" w:firstLine="0"/>
        <w:jc w:val="left"/>
        <w:rPr>
          <w:sz w:val="20"/>
        </w:rPr>
      </w:pPr>
      <w:bookmarkStart w:name="Artículo_458" w:id="589"/>
      <w:bookmarkEnd w:id="589"/>
      <w:r>
        <w:rPr/>
      </w:r>
      <w:r>
        <w:rPr>
          <w:rFonts w:ascii="Arial" w:hAnsi="Arial"/>
          <w:b/>
          <w:sz w:val="20"/>
        </w:rPr>
        <w:t>Artículo</w:t>
      </w:r>
      <w:r>
        <w:rPr>
          <w:rFonts w:ascii="Arial" w:hAnsi="Arial"/>
          <w:b/>
          <w:spacing w:val="-6"/>
          <w:sz w:val="20"/>
        </w:rPr>
        <w:t> </w:t>
      </w:r>
      <w:r>
        <w:rPr>
          <w:rFonts w:ascii="Arial" w:hAnsi="Arial"/>
          <w:b/>
          <w:sz w:val="20"/>
        </w:rPr>
        <w:t>458.-</w:t>
      </w:r>
      <w:r>
        <w:rPr>
          <w:rFonts w:ascii="Arial" w:hAnsi="Arial"/>
          <w:b/>
          <w:spacing w:val="-5"/>
          <w:sz w:val="20"/>
        </w:rPr>
        <w:t> </w:t>
      </w:r>
      <w:r>
        <w:rPr>
          <w:sz w:val="20"/>
        </w:rPr>
        <w:t>(Se</w:t>
      </w:r>
      <w:r>
        <w:rPr>
          <w:spacing w:val="-7"/>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1"/>
        <w:rPr>
          <w:rFonts w:ascii="Times New Roman"/>
          <w:i/>
        </w:rPr>
      </w:pPr>
    </w:p>
    <w:p>
      <w:pPr>
        <w:spacing w:before="0"/>
        <w:ind w:left="626" w:right="0" w:firstLine="0"/>
        <w:jc w:val="left"/>
        <w:rPr>
          <w:sz w:val="20"/>
        </w:rPr>
      </w:pPr>
      <w:bookmarkStart w:name="Artículo_459" w:id="590"/>
      <w:bookmarkEnd w:id="590"/>
      <w:r>
        <w:rPr/>
      </w:r>
      <w:r>
        <w:rPr>
          <w:rFonts w:ascii="Arial" w:hAnsi="Arial"/>
          <w:b/>
          <w:sz w:val="20"/>
        </w:rPr>
        <w:t>Artículo</w:t>
      </w:r>
      <w:r>
        <w:rPr>
          <w:rFonts w:ascii="Arial" w:hAnsi="Arial"/>
          <w:b/>
          <w:spacing w:val="-8"/>
          <w:sz w:val="20"/>
        </w:rPr>
        <w:t> </w:t>
      </w:r>
      <w:r>
        <w:rPr>
          <w:rFonts w:ascii="Arial" w:hAnsi="Arial"/>
          <w:b/>
          <w:sz w:val="20"/>
        </w:rPr>
        <w:t>459.-</w:t>
      </w:r>
      <w:r>
        <w:rPr>
          <w:rFonts w:ascii="Arial" w:hAnsi="Arial"/>
          <w:b/>
          <w:spacing w:val="-7"/>
          <w:sz w:val="20"/>
        </w:rPr>
        <w:t> </w:t>
      </w:r>
      <w:r>
        <w:rPr>
          <w:sz w:val="20"/>
        </w:rPr>
        <w:t>La</w:t>
      </w:r>
      <w:r>
        <w:rPr>
          <w:spacing w:val="-8"/>
          <w:sz w:val="20"/>
        </w:rPr>
        <w:t> </w:t>
      </w:r>
      <w:r>
        <w:rPr>
          <w:sz w:val="20"/>
        </w:rPr>
        <w:t>huelga</w:t>
      </w:r>
      <w:r>
        <w:rPr>
          <w:spacing w:val="-8"/>
          <w:sz w:val="20"/>
        </w:rPr>
        <w:t> </w:t>
      </w:r>
      <w:r>
        <w:rPr>
          <w:sz w:val="20"/>
        </w:rPr>
        <w:t>es</w:t>
      </w:r>
      <w:r>
        <w:rPr>
          <w:spacing w:val="-7"/>
          <w:sz w:val="20"/>
        </w:rPr>
        <w:t> </w:t>
      </w:r>
      <w:r>
        <w:rPr>
          <w:sz w:val="20"/>
        </w:rPr>
        <w:t>legalmente</w:t>
      </w:r>
      <w:r>
        <w:rPr>
          <w:spacing w:val="-9"/>
          <w:sz w:val="20"/>
        </w:rPr>
        <w:t> </w:t>
      </w:r>
      <w:r>
        <w:rPr>
          <w:sz w:val="20"/>
        </w:rPr>
        <w:t>inexistente</w:t>
      </w:r>
      <w:r>
        <w:rPr>
          <w:spacing w:val="-9"/>
          <w:sz w:val="20"/>
        </w:rPr>
        <w:t> </w:t>
      </w:r>
      <w:r>
        <w:rPr>
          <w:spacing w:val="-5"/>
          <w:sz w:val="20"/>
        </w:rPr>
        <w:t>si:</w:t>
      </w:r>
    </w:p>
    <w:p>
      <w:pPr>
        <w:pStyle w:val="ListParagraph"/>
        <w:numPr>
          <w:ilvl w:val="0"/>
          <w:numId w:val="147"/>
        </w:numPr>
        <w:tabs>
          <w:tab w:pos="1195" w:val="left" w:leader="none"/>
        </w:tabs>
        <w:spacing w:line="242" w:lineRule="auto" w:before="229" w:after="0"/>
        <w:ind w:left="1195" w:right="345" w:hanging="569"/>
        <w:jc w:val="left"/>
        <w:rPr>
          <w:sz w:val="20"/>
        </w:rPr>
      </w:pPr>
      <w:r>
        <w:rPr>
          <w:sz w:val="20"/>
        </w:rPr>
        <w:t>La</w:t>
      </w:r>
      <w:r>
        <w:rPr>
          <w:spacing w:val="40"/>
          <w:sz w:val="20"/>
        </w:rPr>
        <w:t> </w:t>
      </w:r>
      <w:r>
        <w:rPr>
          <w:sz w:val="20"/>
        </w:rPr>
        <w:t>suspensión</w:t>
      </w:r>
      <w:r>
        <w:rPr>
          <w:spacing w:val="40"/>
          <w:sz w:val="20"/>
        </w:rPr>
        <w:t> </w:t>
      </w:r>
      <w:r>
        <w:rPr>
          <w:sz w:val="20"/>
        </w:rPr>
        <w:t>del</w:t>
      </w:r>
      <w:r>
        <w:rPr>
          <w:spacing w:val="40"/>
          <w:sz w:val="20"/>
        </w:rPr>
        <w:t> </w:t>
      </w:r>
      <w:r>
        <w:rPr>
          <w:sz w:val="20"/>
        </w:rPr>
        <w:t>trabajo</w:t>
      </w:r>
      <w:r>
        <w:rPr>
          <w:spacing w:val="40"/>
          <w:sz w:val="20"/>
        </w:rPr>
        <w:t> </w:t>
      </w:r>
      <w:r>
        <w:rPr>
          <w:sz w:val="20"/>
        </w:rPr>
        <w:t>se</w:t>
      </w:r>
      <w:r>
        <w:rPr>
          <w:spacing w:val="40"/>
          <w:sz w:val="20"/>
        </w:rPr>
        <w:t> </w:t>
      </w:r>
      <w:r>
        <w:rPr>
          <w:sz w:val="20"/>
        </w:rPr>
        <w:t>realiza</w:t>
      </w:r>
      <w:r>
        <w:rPr>
          <w:spacing w:val="40"/>
          <w:sz w:val="20"/>
        </w:rPr>
        <w:t> </w:t>
      </w:r>
      <w:r>
        <w:rPr>
          <w:sz w:val="20"/>
        </w:rPr>
        <w:t>por</w:t>
      </w:r>
      <w:r>
        <w:rPr>
          <w:spacing w:val="40"/>
          <w:sz w:val="20"/>
        </w:rPr>
        <w:t> </w:t>
      </w:r>
      <w:r>
        <w:rPr>
          <w:sz w:val="20"/>
        </w:rPr>
        <w:t>un</w:t>
      </w:r>
      <w:r>
        <w:rPr>
          <w:spacing w:val="40"/>
          <w:sz w:val="20"/>
        </w:rPr>
        <w:t> </w:t>
      </w:r>
      <w:r>
        <w:rPr>
          <w:sz w:val="20"/>
        </w:rPr>
        <w:t>número</w:t>
      </w:r>
      <w:r>
        <w:rPr>
          <w:spacing w:val="40"/>
          <w:sz w:val="20"/>
        </w:rPr>
        <w:t> </w:t>
      </w:r>
      <w:r>
        <w:rPr>
          <w:sz w:val="20"/>
        </w:rPr>
        <w:t>de</w:t>
      </w:r>
      <w:r>
        <w:rPr>
          <w:spacing w:val="40"/>
          <w:sz w:val="20"/>
        </w:rPr>
        <w:t> </w:t>
      </w:r>
      <w:r>
        <w:rPr>
          <w:sz w:val="20"/>
        </w:rPr>
        <w:t>trabajadores</w:t>
      </w:r>
      <w:r>
        <w:rPr>
          <w:spacing w:val="40"/>
          <w:sz w:val="20"/>
        </w:rPr>
        <w:t> </w:t>
      </w:r>
      <w:r>
        <w:rPr>
          <w:sz w:val="20"/>
        </w:rPr>
        <w:t>menor</w:t>
      </w:r>
      <w:r>
        <w:rPr>
          <w:spacing w:val="40"/>
          <w:sz w:val="20"/>
        </w:rPr>
        <w:t> </w:t>
      </w:r>
      <w:r>
        <w:rPr>
          <w:sz w:val="20"/>
        </w:rPr>
        <w:t>al</w:t>
      </w:r>
      <w:r>
        <w:rPr>
          <w:spacing w:val="40"/>
          <w:sz w:val="20"/>
        </w:rPr>
        <w:t> </w:t>
      </w:r>
      <w:r>
        <w:rPr>
          <w:sz w:val="20"/>
        </w:rPr>
        <w:t>fijado</w:t>
      </w:r>
      <w:r>
        <w:rPr>
          <w:spacing w:val="40"/>
          <w:sz w:val="20"/>
        </w:rPr>
        <w:t> </w:t>
      </w:r>
      <w:r>
        <w:rPr>
          <w:sz w:val="20"/>
        </w:rPr>
        <w:t>en</w:t>
      </w:r>
      <w:r>
        <w:rPr>
          <w:spacing w:val="40"/>
          <w:sz w:val="20"/>
        </w:rPr>
        <w:t> </w:t>
      </w:r>
      <w:r>
        <w:rPr>
          <w:sz w:val="20"/>
        </w:rPr>
        <w:t>el artículo 451, fracción II;</w:t>
      </w:r>
    </w:p>
    <w:p>
      <w:pPr>
        <w:pStyle w:val="ListParagraph"/>
        <w:numPr>
          <w:ilvl w:val="0"/>
          <w:numId w:val="147"/>
        </w:numPr>
        <w:tabs>
          <w:tab w:pos="1195" w:val="left" w:leader="none"/>
        </w:tabs>
        <w:spacing w:line="240" w:lineRule="auto" w:before="226" w:after="0"/>
        <w:ind w:left="1195" w:right="0" w:hanging="569"/>
        <w:jc w:val="left"/>
        <w:rPr>
          <w:sz w:val="20"/>
        </w:rPr>
      </w:pPr>
      <w:r>
        <w:rPr>
          <w:sz w:val="20"/>
        </w:rPr>
        <w:t>No</w:t>
      </w:r>
      <w:r>
        <w:rPr>
          <w:spacing w:val="-7"/>
          <w:sz w:val="20"/>
        </w:rPr>
        <w:t> </w:t>
      </w:r>
      <w:r>
        <w:rPr>
          <w:sz w:val="20"/>
        </w:rPr>
        <w:t>ha</w:t>
      </w:r>
      <w:r>
        <w:rPr>
          <w:spacing w:val="-4"/>
          <w:sz w:val="20"/>
        </w:rPr>
        <w:t> </w:t>
      </w:r>
      <w:r>
        <w:rPr>
          <w:sz w:val="20"/>
        </w:rPr>
        <w:t>tenido</w:t>
      </w:r>
      <w:r>
        <w:rPr>
          <w:spacing w:val="-6"/>
          <w:sz w:val="20"/>
        </w:rPr>
        <w:t> </w:t>
      </w:r>
      <w:r>
        <w:rPr>
          <w:sz w:val="20"/>
        </w:rPr>
        <w:t>por</w:t>
      </w:r>
      <w:r>
        <w:rPr>
          <w:spacing w:val="-3"/>
          <w:sz w:val="20"/>
        </w:rPr>
        <w:t> </w:t>
      </w:r>
      <w:r>
        <w:rPr>
          <w:sz w:val="20"/>
        </w:rPr>
        <w:t>objeto</w:t>
      </w:r>
      <w:r>
        <w:rPr>
          <w:spacing w:val="-5"/>
          <w:sz w:val="20"/>
        </w:rPr>
        <w:t> </w:t>
      </w:r>
      <w:r>
        <w:rPr>
          <w:sz w:val="20"/>
        </w:rPr>
        <w:t>alguno</w:t>
      </w:r>
      <w:r>
        <w:rPr>
          <w:spacing w:val="-4"/>
          <w:sz w:val="20"/>
        </w:rPr>
        <w:t> </w:t>
      </w:r>
      <w:r>
        <w:rPr>
          <w:sz w:val="20"/>
        </w:rPr>
        <w:t>de</w:t>
      </w:r>
      <w:r>
        <w:rPr>
          <w:spacing w:val="-5"/>
          <w:sz w:val="20"/>
        </w:rPr>
        <w:t> </w:t>
      </w:r>
      <w:r>
        <w:rPr>
          <w:sz w:val="20"/>
        </w:rPr>
        <w:t>los</w:t>
      </w:r>
      <w:r>
        <w:rPr>
          <w:spacing w:val="-5"/>
          <w:sz w:val="20"/>
        </w:rPr>
        <w:t> </w:t>
      </w:r>
      <w:r>
        <w:rPr>
          <w:sz w:val="20"/>
        </w:rPr>
        <w:t>establecidos</w:t>
      </w:r>
      <w:r>
        <w:rPr>
          <w:spacing w:val="-4"/>
          <w:sz w:val="20"/>
        </w:rPr>
        <w:t> </w:t>
      </w:r>
      <w:r>
        <w:rPr>
          <w:sz w:val="20"/>
        </w:rPr>
        <w:t>en</w:t>
      </w:r>
      <w:r>
        <w:rPr>
          <w:spacing w:val="-5"/>
          <w:sz w:val="20"/>
        </w:rPr>
        <w:t> </w:t>
      </w:r>
      <w:r>
        <w:rPr>
          <w:sz w:val="20"/>
        </w:rPr>
        <w:t>el</w:t>
      </w:r>
      <w:r>
        <w:rPr>
          <w:spacing w:val="-7"/>
          <w:sz w:val="20"/>
        </w:rPr>
        <w:t> </w:t>
      </w:r>
      <w:r>
        <w:rPr>
          <w:sz w:val="20"/>
        </w:rPr>
        <w:t>artículo</w:t>
      </w:r>
      <w:r>
        <w:rPr>
          <w:spacing w:val="-4"/>
          <w:sz w:val="20"/>
        </w:rPr>
        <w:t> </w:t>
      </w:r>
      <w:r>
        <w:rPr>
          <w:sz w:val="20"/>
        </w:rPr>
        <w:t>450;</w:t>
      </w:r>
      <w:r>
        <w:rPr>
          <w:spacing w:val="-4"/>
          <w:sz w:val="20"/>
        </w:rPr>
        <w:t> </w:t>
      </w:r>
      <w:r>
        <w:rPr>
          <w:spacing w:val="-10"/>
          <w:sz w:val="20"/>
        </w:rPr>
        <w:t>y</w:t>
      </w:r>
    </w:p>
    <w:p>
      <w:pPr>
        <w:pStyle w:val="BodyText"/>
        <w:spacing w:before="1"/>
      </w:pPr>
    </w:p>
    <w:p>
      <w:pPr>
        <w:pStyle w:val="ListParagraph"/>
        <w:numPr>
          <w:ilvl w:val="0"/>
          <w:numId w:val="147"/>
        </w:numPr>
        <w:tabs>
          <w:tab w:pos="1195" w:val="left" w:leader="none"/>
        </w:tabs>
        <w:spacing w:line="229" w:lineRule="exact" w:before="0" w:after="0"/>
        <w:ind w:left="1195" w:right="0" w:hanging="569"/>
        <w:jc w:val="left"/>
        <w:rPr>
          <w:sz w:val="20"/>
        </w:rPr>
      </w:pPr>
      <w:r>
        <w:rPr>
          <w:sz w:val="20"/>
        </w:rPr>
        <w:t>No</w:t>
      </w:r>
      <w:r>
        <w:rPr>
          <w:spacing w:val="-8"/>
          <w:sz w:val="20"/>
        </w:rPr>
        <w:t> </w:t>
      </w:r>
      <w:r>
        <w:rPr>
          <w:sz w:val="20"/>
        </w:rPr>
        <w:t>se</w:t>
      </w:r>
      <w:r>
        <w:rPr>
          <w:spacing w:val="-7"/>
          <w:sz w:val="20"/>
        </w:rPr>
        <w:t> </w:t>
      </w:r>
      <w:r>
        <w:rPr>
          <w:sz w:val="20"/>
        </w:rPr>
        <w:t>cumplieron</w:t>
      </w:r>
      <w:r>
        <w:rPr>
          <w:spacing w:val="-5"/>
          <w:sz w:val="20"/>
        </w:rPr>
        <w:t> </w:t>
      </w:r>
      <w:r>
        <w:rPr>
          <w:sz w:val="20"/>
        </w:rPr>
        <w:t>los</w:t>
      </w:r>
      <w:r>
        <w:rPr>
          <w:spacing w:val="-7"/>
          <w:sz w:val="20"/>
        </w:rPr>
        <w:t> </w:t>
      </w:r>
      <w:r>
        <w:rPr>
          <w:sz w:val="20"/>
        </w:rPr>
        <w:t>requisitos</w:t>
      </w:r>
      <w:r>
        <w:rPr>
          <w:spacing w:val="-6"/>
          <w:sz w:val="20"/>
        </w:rPr>
        <w:t> </w:t>
      </w:r>
      <w:r>
        <w:rPr>
          <w:sz w:val="20"/>
        </w:rPr>
        <w:t>señalados</w:t>
      </w:r>
      <w:r>
        <w:rPr>
          <w:spacing w:val="-7"/>
          <w:sz w:val="20"/>
        </w:rPr>
        <w:t> </w:t>
      </w:r>
      <w:r>
        <w:rPr>
          <w:sz w:val="20"/>
        </w:rPr>
        <w:t>en</w:t>
      </w:r>
      <w:r>
        <w:rPr>
          <w:spacing w:val="-6"/>
          <w:sz w:val="20"/>
        </w:rPr>
        <w:t> </w:t>
      </w:r>
      <w:r>
        <w:rPr>
          <w:sz w:val="20"/>
        </w:rPr>
        <w:t>el</w:t>
      </w:r>
      <w:r>
        <w:rPr>
          <w:spacing w:val="-6"/>
          <w:sz w:val="20"/>
        </w:rPr>
        <w:t> </w:t>
      </w:r>
      <w:r>
        <w:rPr>
          <w:sz w:val="20"/>
        </w:rPr>
        <w:t>artículo</w:t>
      </w:r>
      <w:r>
        <w:rPr>
          <w:spacing w:val="-8"/>
          <w:sz w:val="20"/>
        </w:rPr>
        <w:t> </w:t>
      </w:r>
      <w:r>
        <w:rPr>
          <w:spacing w:val="-4"/>
          <w:sz w:val="20"/>
        </w:rPr>
        <w:t>920.</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
        <w:rPr>
          <w:rFonts w:ascii="Times New Roman"/>
          <w:i/>
        </w:rPr>
      </w:pPr>
    </w:p>
    <w:p>
      <w:pPr>
        <w:pStyle w:val="BodyText"/>
        <w:ind w:left="338" w:firstLine="288"/>
      </w:pPr>
      <w:r>
        <w:rPr/>
        <w:t>No</w:t>
      </w:r>
      <w:r>
        <w:rPr>
          <w:spacing w:val="40"/>
        </w:rPr>
        <w:t> </w:t>
      </w:r>
      <w:r>
        <w:rPr/>
        <w:t>podrá</w:t>
      </w:r>
      <w:r>
        <w:rPr>
          <w:spacing w:val="40"/>
        </w:rPr>
        <w:t> </w:t>
      </w:r>
      <w:r>
        <w:rPr/>
        <w:t>declararse</w:t>
      </w:r>
      <w:r>
        <w:rPr>
          <w:spacing w:val="40"/>
        </w:rPr>
        <w:t> </w:t>
      </w:r>
      <w:r>
        <w:rPr/>
        <w:t>la</w:t>
      </w:r>
      <w:r>
        <w:rPr>
          <w:spacing w:val="40"/>
        </w:rPr>
        <w:t> </w:t>
      </w:r>
      <w:r>
        <w:rPr/>
        <w:t>inexistencia</w:t>
      </w:r>
      <w:r>
        <w:rPr>
          <w:spacing w:val="40"/>
        </w:rPr>
        <w:t> </w:t>
      </w:r>
      <w:r>
        <w:rPr/>
        <w:t>de</w:t>
      </w:r>
      <w:r>
        <w:rPr>
          <w:spacing w:val="40"/>
        </w:rPr>
        <w:t> </w:t>
      </w:r>
      <w:r>
        <w:rPr/>
        <w:t>una</w:t>
      </w:r>
      <w:r>
        <w:rPr>
          <w:spacing w:val="40"/>
        </w:rPr>
        <w:t> </w:t>
      </w:r>
      <w:r>
        <w:rPr/>
        <w:t>huelga</w:t>
      </w:r>
      <w:r>
        <w:rPr>
          <w:spacing w:val="40"/>
        </w:rPr>
        <w:t> </w:t>
      </w:r>
      <w:r>
        <w:rPr/>
        <w:t>por</w:t>
      </w:r>
      <w:r>
        <w:rPr>
          <w:spacing w:val="40"/>
        </w:rPr>
        <w:t> </w:t>
      </w:r>
      <w:r>
        <w:rPr/>
        <w:t>causas</w:t>
      </w:r>
      <w:r>
        <w:rPr>
          <w:spacing w:val="40"/>
        </w:rPr>
        <w:t> </w:t>
      </w:r>
      <w:r>
        <w:rPr/>
        <w:t>distintas</w:t>
      </w:r>
      <w:r>
        <w:rPr>
          <w:spacing w:val="40"/>
        </w:rPr>
        <w:t> </w:t>
      </w:r>
      <w:r>
        <w:rPr/>
        <w:t>a</w:t>
      </w:r>
      <w:r>
        <w:rPr>
          <w:spacing w:val="40"/>
        </w:rPr>
        <w:t> </w:t>
      </w:r>
      <w:r>
        <w:rPr/>
        <w:t>las</w:t>
      </w:r>
      <w:r>
        <w:rPr>
          <w:spacing w:val="40"/>
        </w:rPr>
        <w:t> </w:t>
      </w:r>
      <w:r>
        <w:rPr/>
        <w:t>señaladas</w:t>
      </w:r>
      <w:r>
        <w:rPr>
          <w:spacing w:val="40"/>
        </w:rPr>
        <w:t> </w:t>
      </w:r>
      <w:r>
        <w:rPr/>
        <w:t>en</w:t>
      </w:r>
      <w:r>
        <w:rPr>
          <w:spacing w:val="40"/>
        </w:rPr>
        <w:t> </w:t>
      </w:r>
      <w:r>
        <w:rPr/>
        <w:t>las fracciones anteriores.</w:t>
      </w:r>
    </w:p>
    <w:p>
      <w:pPr>
        <w:spacing w:before="226"/>
        <w:ind w:left="626" w:right="0" w:firstLine="0"/>
        <w:jc w:val="left"/>
        <w:rPr>
          <w:sz w:val="20"/>
        </w:rPr>
      </w:pPr>
      <w:bookmarkStart w:name="Artículo_460" w:id="591"/>
      <w:bookmarkEnd w:id="591"/>
      <w:r>
        <w:rPr/>
      </w:r>
      <w:r>
        <w:rPr>
          <w:rFonts w:ascii="Arial" w:hAnsi="Arial"/>
          <w:b/>
          <w:sz w:val="20"/>
        </w:rPr>
        <w:t>Artículo</w:t>
      </w:r>
      <w:r>
        <w:rPr>
          <w:rFonts w:ascii="Arial" w:hAnsi="Arial"/>
          <w:b/>
          <w:spacing w:val="-6"/>
          <w:sz w:val="20"/>
        </w:rPr>
        <w:t> </w:t>
      </w:r>
      <w:r>
        <w:rPr>
          <w:rFonts w:ascii="Arial" w:hAnsi="Arial"/>
          <w:b/>
          <w:sz w:val="20"/>
        </w:rPr>
        <w:t>460.-</w:t>
      </w:r>
      <w:r>
        <w:rPr>
          <w:rFonts w:ascii="Arial" w:hAnsi="Arial"/>
          <w:b/>
          <w:spacing w:val="-5"/>
          <w:sz w:val="20"/>
        </w:rPr>
        <w:t> </w:t>
      </w:r>
      <w:r>
        <w:rPr>
          <w:sz w:val="20"/>
        </w:rPr>
        <w:t>(Se</w:t>
      </w:r>
      <w:r>
        <w:rPr>
          <w:spacing w:val="-7"/>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2"/>
        <w:rPr>
          <w:rFonts w:ascii="Times New Roman"/>
          <w:i/>
        </w:rPr>
      </w:pPr>
    </w:p>
    <w:p>
      <w:pPr>
        <w:spacing w:line="229" w:lineRule="exact" w:before="0"/>
        <w:ind w:left="626" w:right="0" w:firstLine="0"/>
        <w:jc w:val="left"/>
        <w:rPr>
          <w:sz w:val="20"/>
        </w:rPr>
      </w:pPr>
      <w:bookmarkStart w:name="Artículo_461" w:id="592"/>
      <w:bookmarkEnd w:id="592"/>
      <w:r>
        <w:rPr/>
      </w:r>
      <w:r>
        <w:rPr>
          <w:rFonts w:ascii="Arial" w:hAnsi="Arial"/>
          <w:b/>
          <w:sz w:val="20"/>
        </w:rPr>
        <w:t>Artículo</w:t>
      </w:r>
      <w:r>
        <w:rPr>
          <w:rFonts w:ascii="Arial" w:hAnsi="Arial"/>
          <w:b/>
          <w:spacing w:val="-6"/>
          <w:sz w:val="20"/>
        </w:rPr>
        <w:t> </w:t>
      </w:r>
      <w:r>
        <w:rPr>
          <w:rFonts w:ascii="Arial" w:hAnsi="Arial"/>
          <w:b/>
          <w:sz w:val="20"/>
        </w:rPr>
        <w:t>461.-</w:t>
      </w:r>
      <w:r>
        <w:rPr>
          <w:rFonts w:ascii="Arial" w:hAnsi="Arial"/>
          <w:b/>
          <w:spacing w:val="-5"/>
          <w:sz w:val="20"/>
        </w:rPr>
        <w:t> </w:t>
      </w:r>
      <w:r>
        <w:rPr>
          <w:sz w:val="20"/>
        </w:rPr>
        <w:t>(Se</w:t>
      </w:r>
      <w:r>
        <w:rPr>
          <w:spacing w:val="-7"/>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1"/>
        <w:rPr>
          <w:rFonts w:ascii="Times New Roman"/>
          <w:i/>
        </w:rPr>
      </w:pPr>
    </w:p>
    <w:p>
      <w:pPr>
        <w:spacing w:before="0"/>
        <w:ind w:left="626" w:right="0" w:firstLine="0"/>
        <w:jc w:val="left"/>
        <w:rPr>
          <w:sz w:val="20"/>
        </w:rPr>
      </w:pPr>
      <w:bookmarkStart w:name="Artículo_462" w:id="593"/>
      <w:bookmarkEnd w:id="593"/>
      <w:r>
        <w:rPr/>
      </w:r>
      <w:r>
        <w:rPr>
          <w:rFonts w:ascii="Arial" w:hAnsi="Arial"/>
          <w:b/>
          <w:sz w:val="20"/>
        </w:rPr>
        <w:t>Artículo</w:t>
      </w:r>
      <w:r>
        <w:rPr>
          <w:rFonts w:ascii="Arial" w:hAnsi="Arial"/>
          <w:b/>
          <w:spacing w:val="-6"/>
          <w:sz w:val="20"/>
        </w:rPr>
        <w:t> </w:t>
      </w:r>
      <w:r>
        <w:rPr>
          <w:rFonts w:ascii="Arial" w:hAnsi="Arial"/>
          <w:b/>
          <w:sz w:val="20"/>
        </w:rPr>
        <w:t>462.-</w:t>
      </w:r>
      <w:r>
        <w:rPr>
          <w:rFonts w:ascii="Arial" w:hAnsi="Arial"/>
          <w:b/>
          <w:spacing w:val="-5"/>
          <w:sz w:val="20"/>
        </w:rPr>
        <w:t> </w:t>
      </w:r>
      <w:r>
        <w:rPr>
          <w:sz w:val="20"/>
        </w:rPr>
        <w:t>(Se</w:t>
      </w:r>
      <w:r>
        <w:rPr>
          <w:spacing w:val="-7"/>
          <w:sz w:val="20"/>
        </w:rPr>
        <w:t> </w:t>
      </w:r>
      <w:r>
        <w:rPr>
          <w:spacing w:val="-2"/>
          <w:sz w:val="20"/>
        </w:rPr>
        <w:t>deroga).</w:t>
      </w:r>
    </w:p>
    <w:p>
      <w:pPr>
        <w:spacing w:after="0"/>
        <w:jc w:val="left"/>
        <w:rPr>
          <w:sz w:val="20"/>
        </w:rPr>
        <w:sectPr>
          <w:pgSz w:w="12240" w:h="15840"/>
          <w:pgMar w:header="724" w:footer="712" w:top="1880" w:bottom="900" w:left="1080" w:right="1080"/>
        </w:sectPr>
      </w:pPr>
    </w:p>
    <w:p>
      <w:pPr>
        <w:pStyle w:val="BodyText"/>
        <w:spacing w:before="109"/>
        <w:rPr>
          <w:sz w:val="16"/>
        </w:rPr>
      </w:pP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1"/>
        <w:rPr>
          <w:rFonts w:ascii="Times New Roman"/>
          <w:i/>
        </w:rPr>
      </w:pPr>
    </w:p>
    <w:p>
      <w:pPr>
        <w:spacing w:before="0"/>
        <w:ind w:left="626" w:right="0" w:firstLine="0"/>
        <w:jc w:val="left"/>
        <w:rPr>
          <w:sz w:val="20"/>
        </w:rPr>
      </w:pPr>
      <w:bookmarkStart w:name="Artículo_463" w:id="594"/>
      <w:bookmarkEnd w:id="594"/>
      <w:r>
        <w:rPr/>
      </w:r>
      <w:r>
        <w:rPr>
          <w:rFonts w:ascii="Arial" w:hAnsi="Arial"/>
          <w:b/>
          <w:sz w:val="20"/>
        </w:rPr>
        <w:t>Artículo</w:t>
      </w:r>
      <w:r>
        <w:rPr>
          <w:rFonts w:ascii="Arial" w:hAnsi="Arial"/>
          <w:b/>
          <w:spacing w:val="-6"/>
          <w:sz w:val="20"/>
        </w:rPr>
        <w:t> </w:t>
      </w:r>
      <w:r>
        <w:rPr>
          <w:rFonts w:ascii="Arial" w:hAnsi="Arial"/>
          <w:b/>
          <w:sz w:val="20"/>
        </w:rPr>
        <w:t>463.-</w:t>
      </w:r>
      <w:r>
        <w:rPr>
          <w:rFonts w:ascii="Arial" w:hAnsi="Arial"/>
          <w:b/>
          <w:spacing w:val="-5"/>
          <w:sz w:val="20"/>
        </w:rPr>
        <w:t> </w:t>
      </w:r>
      <w:r>
        <w:rPr>
          <w:sz w:val="20"/>
        </w:rPr>
        <w:t>(Se</w:t>
      </w:r>
      <w:r>
        <w:rPr>
          <w:spacing w:val="-7"/>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before="229"/>
        <w:ind w:left="626" w:right="0" w:firstLine="0"/>
        <w:jc w:val="left"/>
        <w:rPr>
          <w:sz w:val="20"/>
        </w:rPr>
      </w:pPr>
      <w:bookmarkStart w:name="Artículo_464" w:id="595"/>
      <w:bookmarkEnd w:id="595"/>
      <w:r>
        <w:rPr/>
      </w:r>
      <w:r>
        <w:rPr>
          <w:rFonts w:ascii="Arial" w:hAnsi="Arial"/>
          <w:b/>
          <w:sz w:val="20"/>
        </w:rPr>
        <w:t>Artículo</w:t>
      </w:r>
      <w:r>
        <w:rPr>
          <w:rFonts w:ascii="Arial" w:hAnsi="Arial"/>
          <w:b/>
          <w:spacing w:val="-6"/>
          <w:sz w:val="20"/>
        </w:rPr>
        <w:t> </w:t>
      </w:r>
      <w:r>
        <w:rPr>
          <w:rFonts w:ascii="Arial" w:hAnsi="Arial"/>
          <w:b/>
          <w:sz w:val="20"/>
        </w:rPr>
        <w:t>464.-</w:t>
      </w:r>
      <w:r>
        <w:rPr>
          <w:rFonts w:ascii="Arial" w:hAnsi="Arial"/>
          <w:b/>
          <w:spacing w:val="-5"/>
          <w:sz w:val="20"/>
        </w:rPr>
        <w:t> </w:t>
      </w:r>
      <w:r>
        <w:rPr>
          <w:sz w:val="20"/>
        </w:rPr>
        <w:t>(Se</w:t>
      </w:r>
      <w:r>
        <w:rPr>
          <w:spacing w:val="-7"/>
          <w:sz w:val="20"/>
        </w:rPr>
        <w:t> </w:t>
      </w:r>
      <w:r>
        <w:rPr>
          <w:spacing w:val="-2"/>
          <w:sz w:val="20"/>
        </w:rPr>
        <w:t>deroga).</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1"/>
        <w:rPr>
          <w:rFonts w:ascii="Times New Roman"/>
          <w:i/>
        </w:rPr>
      </w:pPr>
    </w:p>
    <w:p>
      <w:pPr>
        <w:spacing w:line="229" w:lineRule="exact" w:before="0"/>
        <w:ind w:left="626" w:right="0" w:firstLine="0"/>
        <w:jc w:val="left"/>
        <w:rPr>
          <w:sz w:val="20"/>
        </w:rPr>
      </w:pPr>
      <w:bookmarkStart w:name="Artículo_465" w:id="596"/>
      <w:bookmarkEnd w:id="596"/>
      <w:r>
        <w:rPr/>
      </w:r>
      <w:r>
        <w:rPr>
          <w:rFonts w:ascii="Arial" w:hAnsi="Arial"/>
          <w:b/>
          <w:sz w:val="20"/>
        </w:rPr>
        <w:t>Artículo</w:t>
      </w:r>
      <w:r>
        <w:rPr>
          <w:rFonts w:ascii="Arial" w:hAnsi="Arial"/>
          <w:b/>
          <w:spacing w:val="-6"/>
          <w:sz w:val="20"/>
        </w:rPr>
        <w:t> </w:t>
      </w:r>
      <w:r>
        <w:rPr>
          <w:rFonts w:ascii="Arial" w:hAnsi="Arial"/>
          <w:b/>
          <w:sz w:val="20"/>
        </w:rPr>
        <w:t>465.-</w:t>
      </w:r>
      <w:r>
        <w:rPr>
          <w:rFonts w:ascii="Arial" w:hAnsi="Arial"/>
          <w:b/>
          <w:spacing w:val="-5"/>
          <w:sz w:val="20"/>
        </w:rPr>
        <w:t> </w:t>
      </w:r>
      <w:r>
        <w:rPr>
          <w:sz w:val="20"/>
        </w:rPr>
        <w:t>(Se</w:t>
      </w:r>
      <w:r>
        <w:rPr>
          <w:spacing w:val="-7"/>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1"/>
        <w:rPr>
          <w:rFonts w:ascii="Times New Roman"/>
          <w:i/>
        </w:rPr>
      </w:pPr>
    </w:p>
    <w:p>
      <w:pPr>
        <w:pStyle w:val="BodyText"/>
        <w:ind w:left="626"/>
      </w:pPr>
      <w:bookmarkStart w:name="Artículo_466" w:id="597"/>
      <w:bookmarkEnd w:id="597"/>
      <w:r>
        <w:rPr/>
      </w:r>
      <w:r>
        <w:rPr>
          <w:rFonts w:ascii="Arial" w:hAnsi="Arial"/>
          <w:b/>
        </w:rPr>
        <w:t>Artículo</w:t>
      </w:r>
      <w:r>
        <w:rPr>
          <w:rFonts w:ascii="Arial" w:hAnsi="Arial"/>
          <w:b/>
          <w:spacing w:val="-9"/>
        </w:rPr>
        <w:t> </w:t>
      </w:r>
      <w:r>
        <w:rPr>
          <w:rFonts w:ascii="Arial" w:hAnsi="Arial"/>
          <w:b/>
        </w:rPr>
        <w:t>466.-</w:t>
      </w:r>
      <w:r>
        <w:rPr>
          <w:rFonts w:ascii="Arial" w:hAnsi="Arial"/>
          <w:b/>
          <w:spacing w:val="-9"/>
        </w:rPr>
        <w:t> </w:t>
      </w:r>
      <w:r>
        <w:rPr/>
        <w:t>Los</w:t>
      </w:r>
      <w:r>
        <w:rPr>
          <w:spacing w:val="-9"/>
        </w:rPr>
        <w:t> </w:t>
      </w:r>
      <w:r>
        <w:rPr/>
        <w:t>trabajadores</w:t>
      </w:r>
      <w:r>
        <w:rPr>
          <w:spacing w:val="-8"/>
        </w:rPr>
        <w:t> </w:t>
      </w:r>
      <w:r>
        <w:rPr/>
        <w:t>huelguistas</w:t>
      </w:r>
      <w:r>
        <w:rPr>
          <w:spacing w:val="-9"/>
        </w:rPr>
        <w:t> </w:t>
      </w:r>
      <w:r>
        <w:rPr/>
        <w:t>deberán</w:t>
      </w:r>
      <w:r>
        <w:rPr>
          <w:spacing w:val="-11"/>
        </w:rPr>
        <w:t> </w:t>
      </w:r>
      <w:r>
        <w:rPr/>
        <w:t>continuar</w:t>
      </w:r>
      <w:r>
        <w:rPr>
          <w:spacing w:val="-7"/>
        </w:rPr>
        <w:t> </w:t>
      </w:r>
      <w:r>
        <w:rPr/>
        <w:t>prestando</w:t>
      </w:r>
      <w:r>
        <w:rPr>
          <w:spacing w:val="-9"/>
        </w:rPr>
        <w:t> </w:t>
      </w:r>
      <w:r>
        <w:rPr/>
        <w:t>los</w:t>
      </w:r>
      <w:r>
        <w:rPr>
          <w:spacing w:val="-9"/>
        </w:rPr>
        <w:t> </w:t>
      </w:r>
      <w:r>
        <w:rPr/>
        <w:t>siguientes</w:t>
      </w:r>
      <w:r>
        <w:rPr>
          <w:spacing w:val="-9"/>
        </w:rPr>
        <w:t> </w:t>
      </w:r>
      <w:r>
        <w:rPr>
          <w:spacing w:val="-2"/>
        </w:rPr>
        <w:t>servicios:</w:t>
      </w:r>
    </w:p>
    <w:p>
      <w:pPr>
        <w:pStyle w:val="BodyText"/>
        <w:spacing w:before="2"/>
      </w:pPr>
    </w:p>
    <w:p>
      <w:pPr>
        <w:pStyle w:val="ListParagraph"/>
        <w:numPr>
          <w:ilvl w:val="0"/>
          <w:numId w:val="148"/>
        </w:numPr>
        <w:tabs>
          <w:tab w:pos="1193" w:val="left" w:leader="none"/>
          <w:tab w:pos="1195" w:val="left" w:leader="none"/>
        </w:tabs>
        <w:spacing w:line="240" w:lineRule="auto" w:before="0" w:after="0"/>
        <w:ind w:left="1195" w:right="339" w:hanging="569"/>
        <w:jc w:val="both"/>
        <w:rPr>
          <w:sz w:val="20"/>
        </w:rPr>
      </w:pPr>
      <w:r>
        <w:rPr>
          <w:sz w:val="20"/>
        </w:rPr>
        <w:t>Los buques, aeronaves, trenes, autobuses y demás vehículos de transporte que se encuentren en ruta, deberán conducirse a su punto de destino; y</w:t>
      </w:r>
    </w:p>
    <w:p>
      <w:pPr>
        <w:pStyle w:val="ListParagraph"/>
        <w:numPr>
          <w:ilvl w:val="0"/>
          <w:numId w:val="148"/>
        </w:numPr>
        <w:tabs>
          <w:tab w:pos="1192" w:val="left" w:leader="none"/>
          <w:tab w:pos="1195" w:val="left" w:leader="none"/>
        </w:tabs>
        <w:spacing w:line="242" w:lineRule="auto" w:before="229" w:after="0"/>
        <w:ind w:left="1195" w:right="332" w:hanging="569"/>
        <w:jc w:val="both"/>
        <w:rPr>
          <w:sz w:val="20"/>
        </w:rPr>
      </w:pPr>
      <w:r>
        <w:rPr>
          <w:sz w:val="20"/>
        </w:rPr>
        <w:t>En los hospitales, sanatorios, clínicas y demás establecimientos análogos, continuará la atención de los pacientes recluidos al momento de suspenderse el trabajo, hasta que puedan ser trasladados a otro establecimiento.</w:t>
      </w:r>
    </w:p>
    <w:p>
      <w:pPr>
        <w:spacing w:before="222"/>
        <w:ind w:left="626" w:right="0" w:firstLine="0"/>
        <w:jc w:val="left"/>
        <w:rPr>
          <w:sz w:val="20"/>
        </w:rPr>
      </w:pPr>
      <w:bookmarkStart w:name="Artículo_467" w:id="598"/>
      <w:bookmarkEnd w:id="598"/>
      <w:r>
        <w:rPr/>
      </w:r>
      <w:r>
        <w:rPr>
          <w:rFonts w:ascii="Arial" w:hAnsi="Arial"/>
          <w:b/>
          <w:sz w:val="20"/>
        </w:rPr>
        <w:t>Artículo</w:t>
      </w:r>
      <w:r>
        <w:rPr>
          <w:rFonts w:ascii="Arial" w:hAnsi="Arial"/>
          <w:b/>
          <w:spacing w:val="-6"/>
          <w:sz w:val="20"/>
        </w:rPr>
        <w:t> </w:t>
      </w:r>
      <w:r>
        <w:rPr>
          <w:rFonts w:ascii="Arial" w:hAnsi="Arial"/>
          <w:b/>
          <w:sz w:val="20"/>
        </w:rPr>
        <w:t>467.-</w:t>
      </w:r>
      <w:r>
        <w:rPr>
          <w:rFonts w:ascii="Arial" w:hAnsi="Arial"/>
          <w:b/>
          <w:spacing w:val="-5"/>
          <w:sz w:val="20"/>
        </w:rPr>
        <w:t> </w:t>
      </w:r>
      <w:r>
        <w:rPr>
          <w:sz w:val="20"/>
        </w:rPr>
        <w:t>(Se</w:t>
      </w:r>
      <w:r>
        <w:rPr>
          <w:spacing w:val="-7"/>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2"/>
        <w:rPr>
          <w:rFonts w:ascii="Times New Roman"/>
          <w:i/>
        </w:rPr>
      </w:pPr>
    </w:p>
    <w:p>
      <w:pPr>
        <w:spacing w:line="229" w:lineRule="exact" w:before="0"/>
        <w:ind w:left="626" w:right="0" w:firstLine="0"/>
        <w:jc w:val="left"/>
        <w:rPr>
          <w:sz w:val="20"/>
        </w:rPr>
      </w:pPr>
      <w:bookmarkStart w:name="Artículo_468" w:id="599"/>
      <w:bookmarkEnd w:id="599"/>
      <w:r>
        <w:rPr/>
      </w:r>
      <w:r>
        <w:rPr>
          <w:rFonts w:ascii="Arial" w:hAnsi="Arial"/>
          <w:b/>
          <w:sz w:val="20"/>
        </w:rPr>
        <w:t>Artículo</w:t>
      </w:r>
      <w:r>
        <w:rPr>
          <w:rFonts w:ascii="Arial" w:hAnsi="Arial"/>
          <w:b/>
          <w:spacing w:val="-6"/>
          <w:sz w:val="20"/>
        </w:rPr>
        <w:t> </w:t>
      </w:r>
      <w:r>
        <w:rPr>
          <w:rFonts w:ascii="Arial" w:hAnsi="Arial"/>
          <w:b/>
          <w:sz w:val="20"/>
        </w:rPr>
        <w:t>468.-</w:t>
      </w:r>
      <w:r>
        <w:rPr>
          <w:rFonts w:ascii="Arial" w:hAnsi="Arial"/>
          <w:b/>
          <w:spacing w:val="-5"/>
          <w:sz w:val="20"/>
        </w:rPr>
        <w:t> </w:t>
      </w:r>
      <w:r>
        <w:rPr>
          <w:sz w:val="20"/>
        </w:rPr>
        <w:t>(Se</w:t>
      </w:r>
      <w:r>
        <w:rPr>
          <w:spacing w:val="-7"/>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1"/>
        <w:rPr>
          <w:rFonts w:ascii="Times New Roman"/>
          <w:i/>
        </w:rPr>
      </w:pPr>
    </w:p>
    <w:p>
      <w:pPr>
        <w:spacing w:before="0"/>
        <w:ind w:left="626" w:right="0" w:firstLine="0"/>
        <w:jc w:val="left"/>
        <w:rPr>
          <w:sz w:val="20"/>
        </w:rPr>
      </w:pPr>
      <w:bookmarkStart w:name="Artículo_469" w:id="600"/>
      <w:bookmarkEnd w:id="600"/>
      <w:r>
        <w:rPr/>
      </w:r>
      <w:r>
        <w:rPr>
          <w:rFonts w:ascii="Arial" w:hAnsi="Arial"/>
          <w:b/>
          <w:sz w:val="20"/>
        </w:rPr>
        <w:t>Artículo</w:t>
      </w:r>
      <w:r>
        <w:rPr>
          <w:rFonts w:ascii="Arial" w:hAnsi="Arial"/>
          <w:b/>
          <w:spacing w:val="-6"/>
          <w:sz w:val="20"/>
        </w:rPr>
        <w:t> </w:t>
      </w:r>
      <w:r>
        <w:rPr>
          <w:rFonts w:ascii="Arial" w:hAnsi="Arial"/>
          <w:b/>
          <w:sz w:val="20"/>
        </w:rPr>
        <w:t>469.-</w:t>
      </w:r>
      <w:r>
        <w:rPr>
          <w:rFonts w:ascii="Arial" w:hAnsi="Arial"/>
          <w:b/>
          <w:spacing w:val="-6"/>
          <w:sz w:val="20"/>
        </w:rPr>
        <w:t> </w:t>
      </w:r>
      <w:r>
        <w:rPr>
          <w:sz w:val="20"/>
        </w:rPr>
        <w:t>La</w:t>
      </w:r>
      <w:r>
        <w:rPr>
          <w:spacing w:val="-7"/>
          <w:sz w:val="20"/>
        </w:rPr>
        <w:t> </w:t>
      </w:r>
      <w:r>
        <w:rPr>
          <w:sz w:val="20"/>
        </w:rPr>
        <w:t>huelga</w:t>
      </w:r>
      <w:r>
        <w:rPr>
          <w:spacing w:val="-6"/>
          <w:sz w:val="20"/>
        </w:rPr>
        <w:t> </w:t>
      </w:r>
      <w:r>
        <w:rPr>
          <w:spacing w:val="-2"/>
          <w:sz w:val="20"/>
        </w:rPr>
        <w:t>terminará:</w:t>
      </w:r>
    </w:p>
    <w:p>
      <w:pPr>
        <w:pStyle w:val="BodyText"/>
        <w:spacing w:before="1"/>
      </w:pPr>
    </w:p>
    <w:p>
      <w:pPr>
        <w:pStyle w:val="ListParagraph"/>
        <w:numPr>
          <w:ilvl w:val="0"/>
          <w:numId w:val="149"/>
        </w:numPr>
        <w:tabs>
          <w:tab w:pos="1195" w:val="left" w:leader="none"/>
        </w:tabs>
        <w:spacing w:line="240" w:lineRule="auto" w:before="0" w:after="0"/>
        <w:ind w:left="1195" w:right="0" w:hanging="569"/>
        <w:jc w:val="left"/>
        <w:rPr>
          <w:sz w:val="20"/>
        </w:rPr>
      </w:pPr>
      <w:r>
        <w:rPr>
          <w:sz w:val="20"/>
        </w:rPr>
        <w:t>Por</w:t>
      </w:r>
      <w:r>
        <w:rPr>
          <w:spacing w:val="-8"/>
          <w:sz w:val="20"/>
        </w:rPr>
        <w:t> </w:t>
      </w:r>
      <w:r>
        <w:rPr>
          <w:sz w:val="20"/>
        </w:rPr>
        <w:t>acuerdo</w:t>
      </w:r>
      <w:r>
        <w:rPr>
          <w:spacing w:val="-5"/>
          <w:sz w:val="20"/>
        </w:rPr>
        <w:t> </w:t>
      </w:r>
      <w:r>
        <w:rPr>
          <w:sz w:val="20"/>
        </w:rPr>
        <w:t>entre</w:t>
      </w:r>
      <w:r>
        <w:rPr>
          <w:spacing w:val="-6"/>
          <w:sz w:val="20"/>
        </w:rPr>
        <w:t> </w:t>
      </w:r>
      <w:r>
        <w:rPr>
          <w:sz w:val="20"/>
        </w:rPr>
        <w:t>los</w:t>
      </w:r>
      <w:r>
        <w:rPr>
          <w:spacing w:val="-6"/>
          <w:sz w:val="20"/>
        </w:rPr>
        <w:t> </w:t>
      </w:r>
      <w:r>
        <w:rPr>
          <w:sz w:val="20"/>
        </w:rPr>
        <w:t>trabajadores</w:t>
      </w:r>
      <w:r>
        <w:rPr>
          <w:spacing w:val="-6"/>
          <w:sz w:val="20"/>
        </w:rPr>
        <w:t> </w:t>
      </w:r>
      <w:r>
        <w:rPr>
          <w:sz w:val="20"/>
        </w:rPr>
        <w:t>huelguistas</w:t>
      </w:r>
      <w:r>
        <w:rPr>
          <w:spacing w:val="-3"/>
          <w:sz w:val="20"/>
        </w:rPr>
        <w:t> </w:t>
      </w:r>
      <w:r>
        <w:rPr>
          <w:sz w:val="20"/>
        </w:rPr>
        <w:t>y</w:t>
      </w:r>
      <w:r>
        <w:rPr>
          <w:spacing w:val="-8"/>
          <w:sz w:val="20"/>
        </w:rPr>
        <w:t> </w:t>
      </w:r>
      <w:r>
        <w:rPr>
          <w:sz w:val="20"/>
        </w:rPr>
        <w:t>los</w:t>
      </w:r>
      <w:r>
        <w:rPr>
          <w:spacing w:val="-7"/>
          <w:sz w:val="20"/>
        </w:rPr>
        <w:t> </w:t>
      </w:r>
      <w:r>
        <w:rPr>
          <w:spacing w:val="-2"/>
          <w:sz w:val="20"/>
        </w:rPr>
        <w:t>patrones;</w:t>
      </w:r>
    </w:p>
    <w:p>
      <w:pPr>
        <w:pStyle w:val="ListParagraph"/>
        <w:numPr>
          <w:ilvl w:val="0"/>
          <w:numId w:val="149"/>
        </w:numPr>
        <w:tabs>
          <w:tab w:pos="1195" w:val="left" w:leader="none"/>
        </w:tabs>
        <w:spacing w:line="242" w:lineRule="auto" w:before="229" w:after="0"/>
        <w:ind w:left="1195" w:right="347" w:hanging="569"/>
        <w:jc w:val="left"/>
        <w:rPr>
          <w:sz w:val="20"/>
        </w:rPr>
      </w:pPr>
      <w:r>
        <w:rPr>
          <w:sz w:val="20"/>
        </w:rPr>
        <w:t>Si</w:t>
      </w:r>
      <w:r>
        <w:rPr>
          <w:spacing w:val="40"/>
          <w:sz w:val="20"/>
        </w:rPr>
        <w:t> </w:t>
      </w:r>
      <w:r>
        <w:rPr>
          <w:sz w:val="20"/>
        </w:rPr>
        <w:t>el</w:t>
      </w:r>
      <w:r>
        <w:rPr>
          <w:spacing w:val="40"/>
          <w:sz w:val="20"/>
        </w:rPr>
        <w:t> </w:t>
      </w:r>
      <w:r>
        <w:rPr>
          <w:sz w:val="20"/>
        </w:rPr>
        <w:t>patrón</w:t>
      </w:r>
      <w:r>
        <w:rPr>
          <w:spacing w:val="40"/>
          <w:sz w:val="20"/>
        </w:rPr>
        <w:t> </w:t>
      </w:r>
      <w:r>
        <w:rPr>
          <w:sz w:val="20"/>
        </w:rPr>
        <w:t>se</w:t>
      </w:r>
      <w:r>
        <w:rPr>
          <w:spacing w:val="40"/>
          <w:sz w:val="20"/>
        </w:rPr>
        <w:t> </w:t>
      </w:r>
      <w:r>
        <w:rPr>
          <w:sz w:val="20"/>
        </w:rPr>
        <w:t>allana,</w:t>
      </w:r>
      <w:r>
        <w:rPr>
          <w:spacing w:val="40"/>
          <w:sz w:val="20"/>
        </w:rPr>
        <w:t> </w:t>
      </w:r>
      <w:r>
        <w:rPr>
          <w:sz w:val="20"/>
        </w:rPr>
        <w:t>en</w:t>
      </w:r>
      <w:r>
        <w:rPr>
          <w:spacing w:val="40"/>
          <w:sz w:val="20"/>
        </w:rPr>
        <w:t> </w:t>
      </w:r>
      <w:r>
        <w:rPr>
          <w:sz w:val="20"/>
        </w:rPr>
        <w:t>cualquier</w:t>
      </w:r>
      <w:r>
        <w:rPr>
          <w:spacing w:val="40"/>
          <w:sz w:val="20"/>
        </w:rPr>
        <w:t> </w:t>
      </w:r>
      <w:r>
        <w:rPr>
          <w:sz w:val="20"/>
        </w:rPr>
        <w:t>tiempo,</w:t>
      </w:r>
      <w:r>
        <w:rPr>
          <w:spacing w:val="40"/>
          <w:sz w:val="20"/>
        </w:rPr>
        <w:t> </w:t>
      </w:r>
      <w:r>
        <w:rPr>
          <w:sz w:val="20"/>
        </w:rPr>
        <w:t>a</w:t>
      </w:r>
      <w:r>
        <w:rPr>
          <w:spacing w:val="40"/>
          <w:sz w:val="20"/>
        </w:rPr>
        <w:t> </w:t>
      </w:r>
      <w:r>
        <w:rPr>
          <w:sz w:val="20"/>
        </w:rPr>
        <w:t>las</w:t>
      </w:r>
      <w:r>
        <w:rPr>
          <w:spacing w:val="40"/>
          <w:sz w:val="20"/>
        </w:rPr>
        <w:t> </w:t>
      </w:r>
      <w:r>
        <w:rPr>
          <w:sz w:val="20"/>
        </w:rPr>
        <w:t>peticiones</w:t>
      </w:r>
      <w:r>
        <w:rPr>
          <w:spacing w:val="40"/>
          <w:sz w:val="20"/>
        </w:rPr>
        <w:t> </w:t>
      </w:r>
      <w:r>
        <w:rPr>
          <w:sz w:val="20"/>
        </w:rPr>
        <w:t>contenidas</w:t>
      </w:r>
      <w:r>
        <w:rPr>
          <w:spacing w:val="40"/>
          <w:sz w:val="20"/>
        </w:rPr>
        <w:t> </w:t>
      </w:r>
      <w:r>
        <w:rPr>
          <w:sz w:val="20"/>
        </w:rPr>
        <w:t>en</w:t>
      </w:r>
      <w:r>
        <w:rPr>
          <w:spacing w:val="40"/>
          <w:sz w:val="20"/>
        </w:rPr>
        <w:t> </w:t>
      </w:r>
      <w:r>
        <w:rPr>
          <w:sz w:val="20"/>
        </w:rPr>
        <w:t>el</w:t>
      </w:r>
      <w:r>
        <w:rPr>
          <w:spacing w:val="40"/>
          <w:sz w:val="20"/>
        </w:rPr>
        <w:t> </w:t>
      </w:r>
      <w:r>
        <w:rPr>
          <w:sz w:val="20"/>
        </w:rPr>
        <w:t>escrito</w:t>
      </w:r>
      <w:r>
        <w:rPr>
          <w:spacing w:val="40"/>
          <w:sz w:val="20"/>
        </w:rPr>
        <w:t> </w:t>
      </w:r>
      <w:r>
        <w:rPr>
          <w:sz w:val="20"/>
        </w:rPr>
        <w:t>de</w:t>
      </w:r>
      <w:r>
        <w:rPr>
          <w:spacing w:val="40"/>
          <w:sz w:val="20"/>
        </w:rPr>
        <w:t> </w:t>
      </w:r>
      <w:r>
        <w:rPr>
          <w:sz w:val="20"/>
        </w:rPr>
        <w:t>emplazamiento de huelga y</w:t>
      </w:r>
      <w:r>
        <w:rPr>
          <w:spacing w:val="-2"/>
          <w:sz w:val="20"/>
        </w:rPr>
        <w:t> </w:t>
      </w:r>
      <w:r>
        <w:rPr>
          <w:sz w:val="20"/>
        </w:rPr>
        <w:t>cubre</w:t>
      </w:r>
      <w:r>
        <w:rPr>
          <w:spacing w:val="-1"/>
          <w:sz w:val="20"/>
        </w:rPr>
        <w:t> </w:t>
      </w:r>
      <w:r>
        <w:rPr>
          <w:sz w:val="20"/>
        </w:rPr>
        <w:t>los salarios que</w:t>
      </w:r>
      <w:r>
        <w:rPr>
          <w:spacing w:val="-1"/>
          <w:sz w:val="20"/>
        </w:rPr>
        <w:t> </w:t>
      </w:r>
      <w:r>
        <w:rPr>
          <w:sz w:val="20"/>
        </w:rPr>
        <w:t>hubiesen</w:t>
      </w:r>
      <w:r>
        <w:rPr>
          <w:spacing w:val="-2"/>
          <w:sz w:val="20"/>
        </w:rPr>
        <w:t> </w:t>
      </w:r>
      <w:r>
        <w:rPr>
          <w:sz w:val="20"/>
        </w:rPr>
        <w:t>dejado de</w:t>
      </w:r>
      <w:r>
        <w:rPr>
          <w:spacing w:val="-2"/>
          <w:sz w:val="20"/>
        </w:rPr>
        <w:t> </w:t>
      </w:r>
      <w:r>
        <w:rPr>
          <w:sz w:val="20"/>
        </w:rPr>
        <w:t>percibir los trabajadores;</w:t>
      </w:r>
    </w:p>
    <w:p>
      <w:pPr>
        <w:pStyle w:val="ListParagraph"/>
        <w:numPr>
          <w:ilvl w:val="0"/>
          <w:numId w:val="149"/>
        </w:numPr>
        <w:tabs>
          <w:tab w:pos="1195" w:val="left" w:leader="none"/>
        </w:tabs>
        <w:spacing w:line="240" w:lineRule="auto" w:before="226" w:after="0"/>
        <w:ind w:left="1195" w:right="0" w:hanging="569"/>
        <w:jc w:val="left"/>
        <w:rPr>
          <w:sz w:val="20"/>
        </w:rPr>
      </w:pPr>
      <w:r>
        <w:rPr>
          <w:sz w:val="20"/>
        </w:rPr>
        <w:t>Por</w:t>
      </w:r>
      <w:r>
        <w:rPr>
          <w:spacing w:val="-7"/>
          <w:sz w:val="20"/>
        </w:rPr>
        <w:t> </w:t>
      </w:r>
      <w:r>
        <w:rPr>
          <w:sz w:val="20"/>
        </w:rPr>
        <w:t>laudo</w:t>
      </w:r>
      <w:r>
        <w:rPr>
          <w:spacing w:val="-6"/>
          <w:sz w:val="20"/>
        </w:rPr>
        <w:t> </w:t>
      </w:r>
      <w:r>
        <w:rPr>
          <w:sz w:val="20"/>
        </w:rPr>
        <w:t>arbitral</w:t>
      </w:r>
      <w:r>
        <w:rPr>
          <w:spacing w:val="-8"/>
          <w:sz w:val="20"/>
        </w:rPr>
        <w:t> </w:t>
      </w:r>
      <w:r>
        <w:rPr>
          <w:sz w:val="20"/>
        </w:rPr>
        <w:t>de</w:t>
      </w:r>
      <w:r>
        <w:rPr>
          <w:spacing w:val="-6"/>
          <w:sz w:val="20"/>
        </w:rPr>
        <w:t> </w:t>
      </w:r>
      <w:r>
        <w:rPr>
          <w:sz w:val="20"/>
        </w:rPr>
        <w:t>la</w:t>
      </w:r>
      <w:r>
        <w:rPr>
          <w:spacing w:val="-7"/>
          <w:sz w:val="20"/>
        </w:rPr>
        <w:t> </w:t>
      </w:r>
      <w:r>
        <w:rPr>
          <w:sz w:val="20"/>
        </w:rPr>
        <w:t>persona</w:t>
      </w:r>
      <w:r>
        <w:rPr>
          <w:spacing w:val="-4"/>
          <w:sz w:val="20"/>
        </w:rPr>
        <w:t> </w:t>
      </w:r>
      <w:r>
        <w:rPr>
          <w:sz w:val="20"/>
        </w:rPr>
        <w:t>o</w:t>
      </w:r>
      <w:r>
        <w:rPr>
          <w:spacing w:val="-7"/>
          <w:sz w:val="20"/>
        </w:rPr>
        <w:t> </w:t>
      </w:r>
      <w:r>
        <w:rPr>
          <w:sz w:val="20"/>
        </w:rPr>
        <w:t>comisión</w:t>
      </w:r>
      <w:r>
        <w:rPr>
          <w:spacing w:val="-5"/>
          <w:sz w:val="20"/>
        </w:rPr>
        <w:t> </w:t>
      </w:r>
      <w:r>
        <w:rPr>
          <w:sz w:val="20"/>
        </w:rPr>
        <w:t>que</w:t>
      </w:r>
      <w:r>
        <w:rPr>
          <w:spacing w:val="-5"/>
          <w:sz w:val="20"/>
        </w:rPr>
        <w:t> </w:t>
      </w:r>
      <w:r>
        <w:rPr>
          <w:sz w:val="20"/>
        </w:rPr>
        <w:t>libremente</w:t>
      </w:r>
      <w:r>
        <w:rPr>
          <w:spacing w:val="-5"/>
          <w:sz w:val="20"/>
        </w:rPr>
        <w:t> </w:t>
      </w:r>
      <w:r>
        <w:rPr>
          <w:sz w:val="20"/>
        </w:rPr>
        <w:t>elijan</w:t>
      </w:r>
      <w:r>
        <w:rPr>
          <w:spacing w:val="-5"/>
          <w:sz w:val="20"/>
        </w:rPr>
        <w:t> </w:t>
      </w:r>
      <w:r>
        <w:rPr>
          <w:sz w:val="20"/>
        </w:rPr>
        <w:t>las</w:t>
      </w:r>
      <w:r>
        <w:rPr>
          <w:spacing w:val="-6"/>
          <w:sz w:val="20"/>
        </w:rPr>
        <w:t> </w:t>
      </w:r>
      <w:r>
        <w:rPr>
          <w:sz w:val="20"/>
        </w:rPr>
        <w:t>partes;</w:t>
      </w:r>
      <w:r>
        <w:rPr>
          <w:spacing w:val="-5"/>
          <w:sz w:val="20"/>
        </w:rPr>
        <w:t> </w:t>
      </w:r>
      <w:r>
        <w:rPr>
          <w:spacing w:val="-10"/>
          <w:sz w:val="20"/>
        </w:rPr>
        <w:t>y</w:t>
      </w:r>
    </w:p>
    <w:p>
      <w:pPr>
        <w:pStyle w:val="ListParagraph"/>
        <w:numPr>
          <w:ilvl w:val="0"/>
          <w:numId w:val="149"/>
        </w:numPr>
        <w:tabs>
          <w:tab w:pos="1195" w:val="left" w:leader="none"/>
        </w:tabs>
        <w:spacing w:line="242" w:lineRule="auto" w:before="229" w:after="0"/>
        <w:ind w:left="1195" w:right="344" w:hanging="569"/>
        <w:jc w:val="left"/>
        <w:rPr>
          <w:sz w:val="20"/>
        </w:rPr>
      </w:pPr>
      <w:r>
        <w:rPr>
          <w:sz w:val="20"/>
        </w:rPr>
        <w:t>Por sentencia del Tribunal si los trabajadores o patrones someten el conflicto a su decisión, en términos de lo previsto en el artículo 937 de esta Ley.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626" w:right="0" w:firstLine="0"/>
        <w:jc w:val="left"/>
        <w:rPr>
          <w:sz w:val="20"/>
        </w:rPr>
      </w:pPr>
      <w:bookmarkStart w:name="Artículo_470" w:id="601"/>
      <w:bookmarkEnd w:id="601"/>
      <w:r>
        <w:rPr/>
      </w:r>
      <w:r>
        <w:rPr>
          <w:rFonts w:ascii="Arial" w:hAnsi="Arial"/>
          <w:b/>
          <w:sz w:val="20"/>
        </w:rPr>
        <w:t>Artículo</w:t>
      </w:r>
      <w:r>
        <w:rPr>
          <w:rFonts w:ascii="Arial" w:hAnsi="Arial"/>
          <w:b/>
          <w:spacing w:val="-6"/>
          <w:sz w:val="20"/>
        </w:rPr>
        <w:t> </w:t>
      </w:r>
      <w:r>
        <w:rPr>
          <w:rFonts w:ascii="Arial" w:hAnsi="Arial"/>
          <w:b/>
          <w:sz w:val="20"/>
        </w:rPr>
        <w:t>470.-</w:t>
      </w:r>
      <w:r>
        <w:rPr>
          <w:rFonts w:ascii="Arial" w:hAnsi="Arial"/>
          <w:b/>
          <w:spacing w:val="-5"/>
          <w:sz w:val="20"/>
        </w:rPr>
        <w:t> </w:t>
      </w:r>
      <w:r>
        <w:rPr>
          <w:sz w:val="20"/>
        </w:rPr>
        <w:t>(Se</w:t>
      </w:r>
      <w:r>
        <w:rPr>
          <w:spacing w:val="-7"/>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rPr>
          <w:rFonts w:ascii="Times New Roman"/>
          <w:i/>
          <w:sz w:val="12"/>
        </w:rPr>
      </w:pPr>
    </w:p>
    <w:p>
      <w:pPr>
        <w:pStyle w:val="BodyText"/>
        <w:spacing w:after="0"/>
        <w:rPr>
          <w:rFonts w:ascii="Times New Roman"/>
          <w:i/>
          <w:sz w:val="12"/>
        </w:rPr>
        <w:sectPr>
          <w:pgSz w:w="12240" w:h="15840"/>
          <w:pgMar w:header="724" w:footer="712" w:top="1880" w:bottom="900" w:left="1080" w:right="1080"/>
        </w:sectPr>
      </w:pPr>
    </w:p>
    <w:p>
      <w:pPr>
        <w:spacing w:before="93"/>
        <w:ind w:left="626" w:right="0" w:firstLine="0"/>
        <w:jc w:val="left"/>
        <w:rPr>
          <w:sz w:val="20"/>
        </w:rPr>
      </w:pPr>
      <w:bookmarkStart w:name="Artículo_471" w:id="602"/>
      <w:bookmarkEnd w:id="602"/>
      <w:r>
        <w:rPr/>
      </w:r>
      <w:r>
        <w:rPr>
          <w:rFonts w:ascii="Arial" w:hAnsi="Arial"/>
          <w:b/>
          <w:sz w:val="20"/>
        </w:rPr>
        <w:t>Artículo</w:t>
      </w:r>
      <w:r>
        <w:rPr>
          <w:rFonts w:ascii="Arial" w:hAnsi="Arial"/>
          <w:b/>
          <w:spacing w:val="-6"/>
          <w:sz w:val="20"/>
        </w:rPr>
        <w:t> </w:t>
      </w:r>
      <w:r>
        <w:rPr>
          <w:rFonts w:ascii="Arial" w:hAnsi="Arial"/>
          <w:b/>
          <w:sz w:val="20"/>
        </w:rPr>
        <w:t>471.-</w:t>
      </w:r>
      <w:r>
        <w:rPr>
          <w:rFonts w:ascii="Arial" w:hAnsi="Arial"/>
          <w:b/>
          <w:spacing w:val="-5"/>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29"/>
        <w:rPr>
          <w:sz w:val="22"/>
        </w:rPr>
      </w:pPr>
    </w:p>
    <w:p>
      <w:pPr>
        <w:pStyle w:val="Heading1"/>
        <w:ind w:left="737" w:right="0"/>
        <w:jc w:val="left"/>
      </w:pPr>
      <w:r>
        <w:rPr/>
        <w:t>TITULO</w:t>
      </w:r>
      <w:r>
        <w:rPr>
          <w:spacing w:val="-4"/>
        </w:rPr>
        <w:t> </w:t>
      </w:r>
      <w:r>
        <w:rPr>
          <w:spacing w:val="-2"/>
        </w:rPr>
        <w:t>NOVENO</w:t>
      </w:r>
    </w:p>
    <w:p>
      <w:pPr>
        <w:pStyle w:val="Heading2"/>
        <w:spacing w:before="2"/>
        <w:ind w:left="626" w:right="0"/>
        <w:jc w:val="left"/>
      </w:pPr>
      <w:r>
        <w:rPr/>
        <w:t>Riesgos</w:t>
      </w:r>
      <w:r>
        <w:rPr>
          <w:spacing w:val="-4"/>
        </w:rPr>
        <w:t> </w:t>
      </w:r>
      <w:r>
        <w:rPr/>
        <w:t>de</w:t>
      </w:r>
      <w:r>
        <w:rPr>
          <w:spacing w:val="-3"/>
        </w:rPr>
        <w:t> </w:t>
      </w:r>
      <w:r>
        <w:rPr>
          <w:spacing w:val="-2"/>
        </w:rPr>
        <w:t>Trabajo</w:t>
      </w:r>
    </w:p>
    <w:p>
      <w:pPr>
        <w:spacing w:line="240" w:lineRule="auto" w:before="137"/>
        <w:rPr>
          <w:rFonts w:ascii="Arial"/>
          <w:b/>
          <w:sz w:val="16"/>
        </w:rPr>
      </w:pPr>
      <w:r>
        <w:rPr/>
        <w:br w:type="column"/>
      </w:r>
      <w:r>
        <w:rPr>
          <w:rFonts w:ascii="Arial"/>
          <w:b/>
          <w:sz w:val="16"/>
        </w:rPr>
      </w:r>
    </w:p>
    <w:p>
      <w:pPr>
        <w:spacing w:before="0"/>
        <w:ind w:left="62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i/>
          <w:sz w:val="16"/>
        </w:rPr>
        <w:sectPr>
          <w:type w:val="continuous"/>
          <w:pgSz w:w="12240" w:h="15840"/>
          <w:pgMar w:header="724" w:footer="712" w:top="1880" w:bottom="900" w:left="1080" w:right="1080"/>
          <w:cols w:num="3" w:equalWidth="0">
            <w:col w:w="3098" w:space="301"/>
            <w:col w:w="2698" w:space="686"/>
            <w:col w:w="3297"/>
          </w:cols>
        </w:sectPr>
      </w:pPr>
    </w:p>
    <w:p>
      <w:pPr>
        <w:pStyle w:val="BodyText"/>
        <w:spacing w:before="1"/>
        <w:rPr>
          <w:rFonts w:ascii="Times New Roman"/>
          <w:i/>
        </w:rPr>
      </w:pPr>
    </w:p>
    <w:p>
      <w:pPr>
        <w:pStyle w:val="BodyText"/>
        <w:spacing w:line="242" w:lineRule="auto"/>
        <w:ind w:left="338" w:right="357" w:firstLine="288"/>
      </w:pPr>
      <w:bookmarkStart w:name="Artículo_472" w:id="603"/>
      <w:bookmarkEnd w:id="603"/>
      <w:r>
        <w:rPr/>
      </w:r>
      <w:r>
        <w:rPr>
          <w:rFonts w:ascii="Arial" w:hAnsi="Arial"/>
          <w:b/>
        </w:rPr>
        <w:t>Artículo 472.- </w:t>
      </w:r>
      <w:r>
        <w:rPr/>
        <w:t>Las disposiciones de este Título se aplican a todas las relaciones de trabajo, incluidos los trabajos especiales, con la limitación consignada en el artículo 352.</w:t>
      </w:r>
    </w:p>
    <w:p>
      <w:pPr>
        <w:pStyle w:val="BodyText"/>
        <w:spacing w:line="242" w:lineRule="auto" w:before="224"/>
        <w:ind w:left="338" w:firstLine="288"/>
      </w:pPr>
      <w:bookmarkStart w:name="Artículo_473" w:id="604"/>
      <w:bookmarkEnd w:id="604"/>
      <w:r>
        <w:rPr/>
      </w:r>
      <w:r>
        <w:rPr>
          <w:rFonts w:ascii="Arial" w:hAnsi="Arial"/>
          <w:b/>
        </w:rPr>
        <w:t>Artículo</w:t>
      </w:r>
      <w:r>
        <w:rPr>
          <w:rFonts w:ascii="Arial" w:hAnsi="Arial"/>
          <w:b/>
          <w:spacing w:val="29"/>
        </w:rPr>
        <w:t> </w:t>
      </w:r>
      <w:r>
        <w:rPr>
          <w:rFonts w:ascii="Arial" w:hAnsi="Arial"/>
          <w:b/>
        </w:rPr>
        <w:t>473.-</w:t>
      </w:r>
      <w:r>
        <w:rPr>
          <w:rFonts w:ascii="Arial" w:hAnsi="Arial"/>
          <w:b/>
          <w:spacing w:val="30"/>
        </w:rPr>
        <w:t> </w:t>
      </w:r>
      <w:r>
        <w:rPr/>
        <w:t>Riesgos</w:t>
      </w:r>
      <w:r>
        <w:rPr>
          <w:spacing w:val="30"/>
        </w:rPr>
        <w:t> </w:t>
      </w:r>
      <w:r>
        <w:rPr/>
        <w:t>de</w:t>
      </w:r>
      <w:r>
        <w:rPr>
          <w:spacing w:val="30"/>
        </w:rPr>
        <w:t> </w:t>
      </w:r>
      <w:r>
        <w:rPr/>
        <w:t>trabajos</w:t>
      </w:r>
      <w:r>
        <w:rPr>
          <w:spacing w:val="30"/>
        </w:rPr>
        <w:t> </w:t>
      </w:r>
      <w:r>
        <w:rPr/>
        <w:t>son</w:t>
      </w:r>
      <w:r>
        <w:rPr>
          <w:spacing w:val="28"/>
        </w:rPr>
        <w:t> </w:t>
      </w:r>
      <w:r>
        <w:rPr/>
        <w:t>los</w:t>
      </w:r>
      <w:r>
        <w:rPr>
          <w:spacing w:val="30"/>
        </w:rPr>
        <w:t> </w:t>
      </w:r>
      <w:r>
        <w:rPr/>
        <w:t>accidentes</w:t>
      </w:r>
      <w:r>
        <w:rPr>
          <w:spacing w:val="32"/>
        </w:rPr>
        <w:t> </w:t>
      </w:r>
      <w:r>
        <w:rPr/>
        <w:t>y</w:t>
      </w:r>
      <w:r>
        <w:rPr>
          <w:spacing w:val="24"/>
        </w:rPr>
        <w:t> </w:t>
      </w:r>
      <w:r>
        <w:rPr/>
        <w:t>enfermedades</w:t>
      </w:r>
      <w:r>
        <w:rPr>
          <w:spacing w:val="30"/>
        </w:rPr>
        <w:t> </w:t>
      </w:r>
      <w:r>
        <w:rPr/>
        <w:t>a</w:t>
      </w:r>
      <w:r>
        <w:rPr>
          <w:spacing w:val="29"/>
        </w:rPr>
        <w:t> </w:t>
      </w:r>
      <w:r>
        <w:rPr/>
        <w:t>que</w:t>
      </w:r>
      <w:r>
        <w:rPr>
          <w:spacing w:val="31"/>
        </w:rPr>
        <w:t> </w:t>
      </w:r>
      <w:r>
        <w:rPr/>
        <w:t>están</w:t>
      </w:r>
      <w:r>
        <w:rPr>
          <w:spacing w:val="28"/>
        </w:rPr>
        <w:t> </w:t>
      </w:r>
      <w:r>
        <w:rPr/>
        <w:t>expuestos</w:t>
      </w:r>
      <w:r>
        <w:rPr>
          <w:spacing w:val="29"/>
        </w:rPr>
        <w:t> </w:t>
      </w:r>
      <w:r>
        <w:rPr/>
        <w:t>los trabajadores en ejercicio o con motivo del trabajo.</w:t>
      </w:r>
    </w:p>
    <w:p>
      <w:pPr>
        <w:pStyle w:val="BodyText"/>
        <w:spacing w:after="0" w:line="242" w:lineRule="auto"/>
        <w:sectPr>
          <w:type w:val="continuous"/>
          <w:pgSz w:w="12240" w:h="15840"/>
          <w:pgMar w:header="724" w:footer="712" w:top="1880" w:bottom="900" w:left="1080" w:right="1080"/>
        </w:sectPr>
      </w:pPr>
    </w:p>
    <w:p>
      <w:pPr>
        <w:pStyle w:val="BodyText"/>
        <w:spacing w:before="63"/>
      </w:pPr>
    </w:p>
    <w:p>
      <w:pPr>
        <w:pStyle w:val="BodyText"/>
        <w:spacing w:line="242" w:lineRule="auto"/>
        <w:ind w:left="338" w:right="341" w:firstLine="288"/>
        <w:jc w:val="both"/>
      </w:pPr>
      <w:bookmarkStart w:name="Artículo_474" w:id="605"/>
      <w:bookmarkEnd w:id="605"/>
      <w:r>
        <w:rPr/>
      </w:r>
      <w:r>
        <w:rPr>
          <w:rFonts w:ascii="Arial" w:hAnsi="Arial"/>
          <w:b/>
        </w:rPr>
        <w:t>Artículo 474.- </w:t>
      </w:r>
      <w:r>
        <w:rPr/>
        <w:t>Accidente de trabajo es toda lesión orgánica o perturbación funcional, inmediata o posterior, la muerte o la desaparición derivada de un acto delincuencial, producida repentinamente en ejercicio o con motivo del trabajo, cualesquiera que sean el lugar y el tiempo en que se preste.</w:t>
      </w:r>
    </w:p>
    <w:p>
      <w:pPr>
        <w:spacing w:line="178"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7"/>
        <w:rPr>
          <w:rFonts w:ascii="Times New Roman"/>
          <w:i/>
          <w:sz w:val="16"/>
        </w:rPr>
      </w:pPr>
    </w:p>
    <w:p>
      <w:pPr>
        <w:pStyle w:val="BodyText"/>
        <w:ind w:left="338" w:right="348" w:firstLine="288"/>
        <w:jc w:val="both"/>
      </w:pPr>
      <w:r>
        <w:rPr/>
        <w:t>Quedan incluidos en la definición anterior los accidentes que se produzcan al</w:t>
      </w:r>
      <w:r>
        <w:rPr>
          <w:spacing w:val="-1"/>
        </w:rPr>
        <w:t> </w:t>
      </w:r>
      <w:r>
        <w:rPr/>
        <w:t>trasladarse el trabajador directamente de su domicilio al lugar del trabajo y de éste a aquél.</w:t>
      </w:r>
    </w:p>
    <w:p>
      <w:pPr>
        <w:pStyle w:val="BodyText"/>
        <w:spacing w:line="242" w:lineRule="auto" w:before="229"/>
        <w:ind w:left="338" w:right="341" w:firstLine="288"/>
        <w:jc w:val="both"/>
      </w:pPr>
      <w:bookmarkStart w:name="Artículo_475" w:id="606"/>
      <w:bookmarkEnd w:id="606"/>
      <w:r>
        <w:rPr/>
      </w:r>
      <w:r>
        <w:rPr>
          <w:rFonts w:ascii="Arial" w:hAnsi="Arial"/>
          <w:b/>
        </w:rPr>
        <w:t>Artículo 475.- </w:t>
      </w:r>
      <w:r>
        <w:rPr/>
        <w:t>Enfermedad de trabajo es todo estado patológico derivado de la acción continuada de una causa que tenga su origen o motivo en el trabajo o en el medio en que el trabajador se vea obligado</w:t>
      </w:r>
      <w:r>
        <w:rPr>
          <w:spacing w:val="40"/>
        </w:rPr>
        <w:t> </w:t>
      </w:r>
      <w:r>
        <w:rPr/>
        <w:t>a prestar sus servicios.</w:t>
      </w:r>
    </w:p>
    <w:p>
      <w:pPr>
        <w:pStyle w:val="BodyText"/>
        <w:spacing w:line="242" w:lineRule="auto" w:before="223"/>
        <w:ind w:left="338" w:right="337" w:firstLine="288"/>
        <w:jc w:val="both"/>
      </w:pPr>
      <w:bookmarkStart w:name="Artículo_475_Bis" w:id="607"/>
      <w:bookmarkEnd w:id="607"/>
      <w:r>
        <w:rPr/>
      </w:r>
      <w:r>
        <w:rPr>
          <w:rFonts w:ascii="Arial" w:hAnsi="Arial"/>
          <w:b/>
        </w:rPr>
        <w:t>Artículo 475 Bis.- </w:t>
      </w:r>
      <w:r>
        <w:rPr/>
        <w:t>El patrón es responsable de la seguridad e higiene y de la prevención de los riesgos en el trabajo, conforme a las disposiciones de esta Ley, sus reglamentos y las normas oficiales mexicanas aplicables.</w:t>
      </w:r>
    </w:p>
    <w:p>
      <w:pPr>
        <w:pStyle w:val="BodyText"/>
        <w:spacing w:before="225"/>
        <w:ind w:left="338" w:right="343" w:firstLine="288"/>
        <w:jc w:val="both"/>
      </w:pPr>
      <w:r>
        <w:rPr/>
        <w:t>Es obligación de los trabajadores observar las medidas preventivas de seguridad e higiene que establecen</w:t>
      </w:r>
      <w:r>
        <w:rPr>
          <w:spacing w:val="-3"/>
        </w:rPr>
        <w:t> </w:t>
      </w:r>
      <w:r>
        <w:rPr/>
        <w:t>los</w:t>
      </w:r>
      <w:r>
        <w:rPr>
          <w:spacing w:val="-2"/>
        </w:rPr>
        <w:t> </w:t>
      </w:r>
      <w:r>
        <w:rPr/>
        <w:t>reglamentos</w:t>
      </w:r>
      <w:r>
        <w:rPr>
          <w:spacing w:val="-2"/>
        </w:rPr>
        <w:t> </w:t>
      </w:r>
      <w:r>
        <w:rPr/>
        <w:t>y</w:t>
      </w:r>
      <w:r>
        <w:rPr>
          <w:spacing w:val="-6"/>
        </w:rPr>
        <w:t> </w:t>
      </w:r>
      <w:r>
        <w:rPr/>
        <w:t>las</w:t>
      </w:r>
      <w:r>
        <w:rPr>
          <w:spacing w:val="-4"/>
        </w:rPr>
        <w:t> </w:t>
      </w:r>
      <w:r>
        <w:rPr/>
        <w:t>normas</w:t>
      </w:r>
      <w:r>
        <w:rPr>
          <w:spacing w:val="-4"/>
        </w:rPr>
        <w:t> </w:t>
      </w:r>
      <w:r>
        <w:rPr/>
        <w:t>oficiales</w:t>
      </w:r>
      <w:r>
        <w:rPr>
          <w:spacing w:val="-4"/>
        </w:rPr>
        <w:t> </w:t>
      </w:r>
      <w:r>
        <w:rPr/>
        <w:t>mexicanas</w:t>
      </w:r>
      <w:r>
        <w:rPr>
          <w:spacing w:val="-4"/>
        </w:rPr>
        <w:t> </w:t>
      </w:r>
      <w:r>
        <w:rPr/>
        <w:t>expedidas</w:t>
      </w:r>
      <w:r>
        <w:rPr>
          <w:spacing w:val="-2"/>
        </w:rPr>
        <w:t> </w:t>
      </w:r>
      <w:r>
        <w:rPr/>
        <w:t>por</w:t>
      </w:r>
      <w:r>
        <w:rPr>
          <w:spacing w:val="-2"/>
        </w:rPr>
        <w:t> </w:t>
      </w:r>
      <w:r>
        <w:rPr/>
        <w:t>las</w:t>
      </w:r>
      <w:r>
        <w:rPr>
          <w:spacing w:val="-2"/>
        </w:rPr>
        <w:t> </w:t>
      </w:r>
      <w:r>
        <w:rPr/>
        <w:t>autoridades</w:t>
      </w:r>
      <w:r>
        <w:rPr>
          <w:spacing w:val="-4"/>
        </w:rPr>
        <w:t> </w:t>
      </w:r>
      <w:r>
        <w:rPr/>
        <w:t>competentes, así como las que indiquen los patrones para la prevención de riesgos de trabajo.</w:t>
      </w:r>
    </w:p>
    <w:p>
      <w:pPr>
        <w:spacing w:line="183"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338" w:right="331" w:firstLine="288"/>
        <w:jc w:val="both"/>
      </w:pPr>
      <w:bookmarkStart w:name="Artículo_476" w:id="608"/>
      <w:bookmarkEnd w:id="608"/>
      <w:r>
        <w:rPr/>
      </w:r>
      <w:r>
        <w:rPr>
          <w:rFonts w:ascii="Arial" w:hAnsi="Arial"/>
          <w:b/>
        </w:rPr>
        <w:t>Artículo 476.- </w:t>
      </w:r>
      <w:r>
        <w:rPr/>
        <w:t>Serán consideradas enfermedades de trabajo las que determine esta Ley y la actualización que realice la Secretaría del Trabajo y Previsión Social.</w:t>
      </w:r>
    </w:p>
    <w:p>
      <w:pPr>
        <w:spacing w:line="180"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0"/>
        <w:ind w:left="626" w:right="0" w:firstLine="0"/>
        <w:jc w:val="left"/>
        <w:rPr>
          <w:sz w:val="20"/>
        </w:rPr>
      </w:pPr>
      <w:bookmarkStart w:name="Artículo_477" w:id="609"/>
      <w:bookmarkEnd w:id="609"/>
      <w:r>
        <w:rPr/>
      </w:r>
      <w:r>
        <w:rPr>
          <w:rFonts w:ascii="Arial" w:hAnsi="Arial"/>
          <w:b/>
          <w:sz w:val="20"/>
        </w:rPr>
        <w:t>Artículo</w:t>
      </w:r>
      <w:r>
        <w:rPr>
          <w:rFonts w:ascii="Arial" w:hAnsi="Arial"/>
          <w:b/>
          <w:spacing w:val="-7"/>
          <w:sz w:val="20"/>
        </w:rPr>
        <w:t> </w:t>
      </w:r>
      <w:r>
        <w:rPr>
          <w:rFonts w:ascii="Arial" w:hAnsi="Arial"/>
          <w:b/>
          <w:sz w:val="20"/>
        </w:rPr>
        <w:t>477.-</w:t>
      </w:r>
      <w:r>
        <w:rPr>
          <w:rFonts w:ascii="Arial" w:hAnsi="Arial"/>
          <w:b/>
          <w:spacing w:val="-7"/>
          <w:sz w:val="20"/>
        </w:rPr>
        <w:t> </w:t>
      </w:r>
      <w:r>
        <w:rPr>
          <w:sz w:val="20"/>
        </w:rPr>
        <w:t>Cuando</w:t>
      </w:r>
      <w:r>
        <w:rPr>
          <w:spacing w:val="-7"/>
          <w:sz w:val="20"/>
        </w:rPr>
        <w:t> </w:t>
      </w:r>
      <w:r>
        <w:rPr>
          <w:sz w:val="20"/>
        </w:rPr>
        <w:t>los</w:t>
      </w:r>
      <w:r>
        <w:rPr>
          <w:spacing w:val="-6"/>
          <w:sz w:val="20"/>
        </w:rPr>
        <w:t> </w:t>
      </w:r>
      <w:r>
        <w:rPr>
          <w:sz w:val="20"/>
        </w:rPr>
        <w:t>riesgos</w:t>
      </w:r>
      <w:r>
        <w:rPr>
          <w:spacing w:val="-7"/>
          <w:sz w:val="20"/>
        </w:rPr>
        <w:t> </w:t>
      </w:r>
      <w:r>
        <w:rPr>
          <w:sz w:val="20"/>
        </w:rPr>
        <w:t>se</w:t>
      </w:r>
      <w:r>
        <w:rPr>
          <w:spacing w:val="-8"/>
          <w:sz w:val="20"/>
        </w:rPr>
        <w:t> </w:t>
      </w:r>
      <w:r>
        <w:rPr>
          <w:sz w:val="20"/>
        </w:rPr>
        <w:t>realizan</w:t>
      </w:r>
      <w:r>
        <w:rPr>
          <w:spacing w:val="-7"/>
          <w:sz w:val="20"/>
        </w:rPr>
        <w:t> </w:t>
      </w:r>
      <w:r>
        <w:rPr>
          <w:sz w:val="20"/>
        </w:rPr>
        <w:t>pueden</w:t>
      </w:r>
      <w:r>
        <w:rPr>
          <w:spacing w:val="-7"/>
          <w:sz w:val="20"/>
        </w:rPr>
        <w:t> </w:t>
      </w:r>
      <w:r>
        <w:rPr>
          <w:spacing w:val="-2"/>
          <w:sz w:val="20"/>
        </w:rPr>
        <w:t>producir:</w:t>
      </w:r>
    </w:p>
    <w:p>
      <w:pPr>
        <w:pStyle w:val="ListParagraph"/>
        <w:numPr>
          <w:ilvl w:val="0"/>
          <w:numId w:val="150"/>
        </w:numPr>
        <w:tabs>
          <w:tab w:pos="1195" w:val="left" w:leader="none"/>
        </w:tabs>
        <w:spacing w:line="240" w:lineRule="auto" w:before="229" w:after="0"/>
        <w:ind w:left="1195" w:right="0" w:hanging="569"/>
        <w:jc w:val="left"/>
        <w:rPr>
          <w:sz w:val="20"/>
        </w:rPr>
      </w:pPr>
      <w:r>
        <w:rPr>
          <w:sz w:val="20"/>
        </w:rPr>
        <w:t>Incapacidad</w:t>
      </w:r>
      <w:r>
        <w:rPr>
          <w:spacing w:val="-13"/>
          <w:sz w:val="20"/>
        </w:rPr>
        <w:t> </w:t>
      </w:r>
      <w:r>
        <w:rPr>
          <w:spacing w:val="-2"/>
          <w:sz w:val="20"/>
        </w:rPr>
        <w:t>temporal;</w:t>
      </w:r>
    </w:p>
    <w:p>
      <w:pPr>
        <w:pStyle w:val="BodyText"/>
        <w:spacing w:before="1"/>
      </w:pPr>
    </w:p>
    <w:p>
      <w:pPr>
        <w:pStyle w:val="ListParagraph"/>
        <w:numPr>
          <w:ilvl w:val="0"/>
          <w:numId w:val="150"/>
        </w:numPr>
        <w:tabs>
          <w:tab w:pos="1195" w:val="left" w:leader="none"/>
        </w:tabs>
        <w:spacing w:line="240" w:lineRule="auto" w:before="0" w:after="0"/>
        <w:ind w:left="1195" w:right="0" w:hanging="569"/>
        <w:jc w:val="left"/>
        <w:rPr>
          <w:sz w:val="20"/>
        </w:rPr>
      </w:pPr>
      <w:r>
        <w:rPr>
          <w:sz w:val="20"/>
        </w:rPr>
        <w:t>Incapacidad</w:t>
      </w:r>
      <w:r>
        <w:rPr>
          <w:spacing w:val="-14"/>
          <w:sz w:val="20"/>
        </w:rPr>
        <w:t> </w:t>
      </w:r>
      <w:r>
        <w:rPr>
          <w:sz w:val="20"/>
        </w:rPr>
        <w:t>permanente</w:t>
      </w:r>
      <w:r>
        <w:rPr>
          <w:spacing w:val="-13"/>
          <w:sz w:val="20"/>
        </w:rPr>
        <w:t> </w:t>
      </w:r>
      <w:r>
        <w:rPr>
          <w:spacing w:val="-2"/>
          <w:sz w:val="20"/>
        </w:rPr>
        <w:t>parcial;</w:t>
      </w:r>
    </w:p>
    <w:p>
      <w:pPr>
        <w:pStyle w:val="BodyText"/>
      </w:pPr>
    </w:p>
    <w:p>
      <w:pPr>
        <w:pStyle w:val="ListParagraph"/>
        <w:numPr>
          <w:ilvl w:val="0"/>
          <w:numId w:val="150"/>
        </w:numPr>
        <w:tabs>
          <w:tab w:pos="1195" w:val="left" w:leader="none"/>
        </w:tabs>
        <w:spacing w:line="229" w:lineRule="exact" w:before="1" w:after="0"/>
        <w:ind w:left="1195" w:right="0" w:hanging="569"/>
        <w:jc w:val="left"/>
        <w:rPr>
          <w:sz w:val="20"/>
        </w:rPr>
      </w:pPr>
      <w:r>
        <w:rPr>
          <w:sz w:val="20"/>
        </w:rPr>
        <w:t>Incapacidad</w:t>
      </w:r>
      <w:r>
        <w:rPr>
          <w:spacing w:val="-13"/>
          <w:sz w:val="20"/>
        </w:rPr>
        <w:t> </w:t>
      </w:r>
      <w:r>
        <w:rPr>
          <w:sz w:val="20"/>
        </w:rPr>
        <w:t>permanente</w:t>
      </w:r>
      <w:r>
        <w:rPr>
          <w:spacing w:val="-13"/>
          <w:sz w:val="20"/>
        </w:rPr>
        <w:t> </w:t>
      </w:r>
      <w:r>
        <w:rPr>
          <w:spacing w:val="-2"/>
          <w:sz w:val="20"/>
        </w:rPr>
        <w:t>total;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1"/>
        <w:rPr>
          <w:rFonts w:ascii="Times New Roman"/>
          <w:i/>
        </w:rPr>
      </w:pPr>
    </w:p>
    <w:p>
      <w:pPr>
        <w:pStyle w:val="ListParagraph"/>
        <w:numPr>
          <w:ilvl w:val="0"/>
          <w:numId w:val="150"/>
        </w:numPr>
        <w:tabs>
          <w:tab w:pos="1195" w:val="left" w:leader="none"/>
        </w:tabs>
        <w:spacing w:line="240" w:lineRule="auto" w:before="0" w:after="0"/>
        <w:ind w:left="1195" w:right="0" w:hanging="569"/>
        <w:jc w:val="left"/>
        <w:rPr>
          <w:sz w:val="20"/>
        </w:rPr>
      </w:pPr>
      <w:r>
        <w:rPr>
          <w:sz w:val="20"/>
        </w:rPr>
        <w:t>La</w:t>
      </w:r>
      <w:r>
        <w:rPr>
          <w:spacing w:val="-8"/>
          <w:sz w:val="20"/>
        </w:rPr>
        <w:t> </w:t>
      </w:r>
      <w:r>
        <w:rPr>
          <w:sz w:val="20"/>
        </w:rPr>
        <w:t>muerte,</w:t>
      </w:r>
      <w:r>
        <w:rPr>
          <w:spacing w:val="-3"/>
          <w:sz w:val="20"/>
        </w:rPr>
        <w:t> </w:t>
      </w:r>
      <w:r>
        <w:rPr>
          <w:spacing w:val="-10"/>
          <w:sz w:val="20"/>
        </w:rPr>
        <w:t>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ListParagraph"/>
        <w:numPr>
          <w:ilvl w:val="0"/>
          <w:numId w:val="150"/>
        </w:numPr>
        <w:tabs>
          <w:tab w:pos="1195" w:val="left" w:leader="none"/>
        </w:tabs>
        <w:spacing w:line="240" w:lineRule="auto" w:before="229" w:after="0"/>
        <w:ind w:left="1195" w:right="0" w:hanging="569"/>
        <w:jc w:val="left"/>
        <w:rPr>
          <w:sz w:val="20"/>
        </w:rPr>
      </w:pPr>
      <w:r>
        <w:rPr>
          <w:sz w:val="20"/>
        </w:rPr>
        <w:t>Desaparición</w:t>
      </w:r>
      <w:r>
        <w:rPr>
          <w:spacing w:val="-7"/>
          <w:sz w:val="20"/>
        </w:rPr>
        <w:t> </w:t>
      </w:r>
      <w:r>
        <w:rPr>
          <w:sz w:val="20"/>
        </w:rPr>
        <w:t>derivada</w:t>
      </w:r>
      <w:r>
        <w:rPr>
          <w:spacing w:val="-6"/>
          <w:sz w:val="20"/>
        </w:rPr>
        <w:t> </w:t>
      </w:r>
      <w:r>
        <w:rPr>
          <w:sz w:val="20"/>
        </w:rPr>
        <w:t>de</w:t>
      </w:r>
      <w:r>
        <w:rPr>
          <w:spacing w:val="-7"/>
          <w:sz w:val="20"/>
        </w:rPr>
        <w:t> </w:t>
      </w:r>
      <w:r>
        <w:rPr>
          <w:sz w:val="20"/>
        </w:rPr>
        <w:t>un</w:t>
      </w:r>
      <w:r>
        <w:rPr>
          <w:spacing w:val="-8"/>
          <w:sz w:val="20"/>
        </w:rPr>
        <w:t> </w:t>
      </w:r>
      <w:r>
        <w:rPr>
          <w:sz w:val="20"/>
        </w:rPr>
        <w:t>acto</w:t>
      </w:r>
      <w:r>
        <w:rPr>
          <w:spacing w:val="-6"/>
          <w:sz w:val="20"/>
        </w:rPr>
        <w:t> </w:t>
      </w:r>
      <w:r>
        <w:rPr>
          <w:spacing w:val="-2"/>
          <w:sz w:val="20"/>
        </w:rPr>
        <w:t>delincuencial.</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line="242" w:lineRule="auto" w:before="229"/>
        <w:ind w:left="338" w:right="343" w:firstLine="288"/>
        <w:jc w:val="both"/>
      </w:pPr>
      <w:bookmarkStart w:name="Artículo_478" w:id="610"/>
      <w:bookmarkEnd w:id="610"/>
      <w:r>
        <w:rPr/>
      </w:r>
      <w:r>
        <w:rPr>
          <w:rFonts w:ascii="Arial" w:hAnsi="Arial"/>
          <w:b/>
        </w:rPr>
        <w:t>Artículo 478.- </w:t>
      </w:r>
      <w:r>
        <w:rPr/>
        <w:t>Incapacidad temporal es la pérdida de facultades o aptitudes que imposibilita parcial o totalmente a una persona para desempeñar su trabajo por algún tiempo.</w:t>
      </w:r>
    </w:p>
    <w:p>
      <w:pPr>
        <w:pStyle w:val="BodyText"/>
        <w:spacing w:line="242" w:lineRule="auto" w:before="227"/>
        <w:ind w:left="338" w:right="338" w:firstLine="288"/>
        <w:jc w:val="both"/>
      </w:pPr>
      <w:bookmarkStart w:name="Artículo_479" w:id="611"/>
      <w:bookmarkEnd w:id="611"/>
      <w:r>
        <w:rPr/>
      </w:r>
      <w:r>
        <w:rPr>
          <w:rFonts w:ascii="Arial" w:hAnsi="Arial"/>
          <w:b/>
        </w:rPr>
        <w:t>Artículo 479.- </w:t>
      </w:r>
      <w:r>
        <w:rPr/>
        <w:t>Incapacidad permanente parcial es la disminución de las facultades o aptitudes de una persona para trabajar.</w:t>
      </w:r>
    </w:p>
    <w:p>
      <w:pPr>
        <w:pStyle w:val="BodyText"/>
        <w:spacing w:line="242" w:lineRule="auto" w:before="225"/>
        <w:ind w:left="338" w:right="347" w:firstLine="288"/>
        <w:jc w:val="both"/>
      </w:pPr>
      <w:bookmarkStart w:name="Artículo_480" w:id="612"/>
      <w:bookmarkEnd w:id="612"/>
      <w:r>
        <w:rPr/>
      </w:r>
      <w:r>
        <w:rPr>
          <w:rFonts w:ascii="Arial" w:hAnsi="Arial"/>
          <w:b/>
        </w:rPr>
        <w:t>Artículo 480.- </w:t>
      </w:r>
      <w:r>
        <w:rPr/>
        <w:t>Incapacidad permanente total es la pérdida de facultades o aptitudes de una persona que la imposibilita para desempeñar cualquier trabajo por el resto de su vida.</w:t>
      </w:r>
    </w:p>
    <w:p>
      <w:pPr>
        <w:pStyle w:val="BodyText"/>
        <w:spacing w:line="242" w:lineRule="auto" w:before="227"/>
        <w:ind w:left="338" w:right="339" w:firstLine="288"/>
        <w:jc w:val="both"/>
      </w:pPr>
      <w:bookmarkStart w:name="Artículo_481" w:id="613"/>
      <w:bookmarkEnd w:id="613"/>
      <w:r>
        <w:rPr/>
      </w:r>
      <w:r>
        <w:rPr>
          <w:rFonts w:ascii="Arial" w:hAnsi="Arial"/>
          <w:b/>
        </w:rPr>
        <w:t>Artículo 481.- </w:t>
      </w:r>
      <w:r>
        <w:rPr/>
        <w:t>La existencia de estados anteriores tales como idiosincrasias, taras, discrasias, intoxicaciones, o enfermedades crónicas, no es causa para disminuir el grado de la incapacidad, ni las prestaciones que correspondan al trabajador.</w:t>
      </w:r>
    </w:p>
    <w:p>
      <w:pPr>
        <w:pStyle w:val="BodyText"/>
        <w:spacing w:after="0" w:line="242" w:lineRule="auto"/>
        <w:jc w:val="both"/>
        <w:sectPr>
          <w:pgSz w:w="12240" w:h="15840"/>
          <w:pgMar w:header="724" w:footer="712" w:top="1880" w:bottom="900" w:left="1080" w:right="1080"/>
        </w:sectPr>
      </w:pPr>
    </w:p>
    <w:p>
      <w:pPr>
        <w:pStyle w:val="BodyText"/>
        <w:spacing w:before="63"/>
      </w:pPr>
    </w:p>
    <w:p>
      <w:pPr>
        <w:pStyle w:val="BodyText"/>
        <w:spacing w:line="242" w:lineRule="auto"/>
        <w:ind w:left="338" w:right="341" w:firstLine="288"/>
        <w:jc w:val="both"/>
      </w:pPr>
      <w:bookmarkStart w:name="Artículo_482" w:id="614"/>
      <w:bookmarkEnd w:id="614"/>
      <w:r>
        <w:rPr/>
      </w:r>
      <w:r>
        <w:rPr>
          <w:rFonts w:ascii="Arial" w:hAnsi="Arial"/>
          <w:b/>
        </w:rPr>
        <w:t>Artículo 482.- </w:t>
      </w:r>
      <w:r>
        <w:rPr/>
        <w:t>Las consecuencias posteriores de los riesgos de trabajo se tomarán en consideración para determinar el grado de la incapacidad.</w:t>
      </w:r>
    </w:p>
    <w:p>
      <w:pPr>
        <w:pStyle w:val="BodyText"/>
        <w:spacing w:line="242" w:lineRule="auto" w:before="227"/>
        <w:ind w:left="338" w:right="346" w:firstLine="288"/>
        <w:jc w:val="both"/>
      </w:pPr>
      <w:bookmarkStart w:name="Artículo_483" w:id="615"/>
      <w:bookmarkEnd w:id="615"/>
      <w:r>
        <w:rPr/>
      </w:r>
      <w:r>
        <w:rPr>
          <w:rFonts w:ascii="Arial" w:hAnsi="Arial"/>
          <w:b/>
        </w:rPr>
        <w:t>Artículo 483.- </w:t>
      </w:r>
      <w:r>
        <w:rPr/>
        <w:t>Las indemnizaciones por riesgos de trabajo que produzcan incapacidades, se pagarán directamente al trabajador.</w:t>
      </w:r>
    </w:p>
    <w:p>
      <w:pPr>
        <w:pStyle w:val="BodyText"/>
        <w:spacing w:before="226"/>
        <w:ind w:left="338" w:right="340" w:firstLine="288"/>
        <w:jc w:val="both"/>
      </w:pPr>
      <w:r>
        <w:rPr/>
        <w:t>En los casos de incapacidad mental, comprobados ante el Tribunal, la indemnización se pagará a la persona o personas, de las señaladas en el artículo 501, a cuyo cuidado quede; en los casos de muerte del trabajador, se observará lo dispuesto en el artículo 115.</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0" w:firstLine="288"/>
        <w:jc w:val="both"/>
      </w:pPr>
      <w:bookmarkStart w:name="Artículo_484" w:id="616"/>
      <w:bookmarkEnd w:id="616"/>
      <w:r>
        <w:rPr/>
      </w:r>
      <w:r>
        <w:rPr>
          <w:rFonts w:ascii="Arial" w:hAnsi="Arial"/>
          <w:b/>
        </w:rPr>
        <w:t>Artículo</w:t>
      </w:r>
      <w:r>
        <w:rPr>
          <w:rFonts w:ascii="Arial" w:hAnsi="Arial"/>
          <w:b/>
          <w:spacing w:val="-1"/>
        </w:rPr>
        <w:t> </w:t>
      </w:r>
      <w:r>
        <w:rPr>
          <w:rFonts w:ascii="Arial" w:hAnsi="Arial"/>
          <w:b/>
        </w:rPr>
        <w:t>484.- </w:t>
      </w:r>
      <w:r>
        <w:rPr/>
        <w:t>Para</w:t>
      </w:r>
      <w:r>
        <w:rPr>
          <w:spacing w:val="-2"/>
        </w:rPr>
        <w:t> </w:t>
      </w:r>
      <w:r>
        <w:rPr/>
        <w:t>determinar las</w:t>
      </w:r>
      <w:r>
        <w:rPr>
          <w:spacing w:val="-1"/>
        </w:rPr>
        <w:t> </w:t>
      </w:r>
      <w:r>
        <w:rPr/>
        <w:t>indemnizaciones</w:t>
      </w:r>
      <w:r>
        <w:rPr>
          <w:spacing w:val="-1"/>
        </w:rPr>
        <w:t> </w:t>
      </w:r>
      <w:r>
        <w:rPr/>
        <w:t>a que</w:t>
      </w:r>
      <w:r>
        <w:rPr>
          <w:spacing w:val="-2"/>
        </w:rPr>
        <w:t> </w:t>
      </w:r>
      <w:r>
        <w:rPr/>
        <w:t>se</w:t>
      </w:r>
      <w:r>
        <w:rPr>
          <w:spacing w:val="-2"/>
        </w:rPr>
        <w:t> </w:t>
      </w:r>
      <w:r>
        <w:rPr/>
        <w:t>refiere este</w:t>
      </w:r>
      <w:r>
        <w:rPr>
          <w:spacing w:val="-2"/>
        </w:rPr>
        <w:t> </w:t>
      </w:r>
      <w:r>
        <w:rPr/>
        <w:t>Título,</w:t>
      </w:r>
      <w:r>
        <w:rPr>
          <w:spacing w:val="-2"/>
        </w:rPr>
        <w:t> </w:t>
      </w:r>
      <w:r>
        <w:rPr/>
        <w:t>se</w:t>
      </w:r>
      <w:r>
        <w:rPr>
          <w:spacing w:val="-2"/>
        </w:rPr>
        <w:t> </w:t>
      </w:r>
      <w:r>
        <w:rPr/>
        <w:t>tomará</w:t>
      </w:r>
      <w:r>
        <w:rPr>
          <w:spacing w:val="-2"/>
        </w:rPr>
        <w:t> </w:t>
      </w:r>
      <w:r>
        <w:rPr/>
        <w:t>como</w:t>
      </w:r>
      <w:r>
        <w:rPr>
          <w:spacing w:val="-2"/>
        </w:rPr>
        <w:t> </w:t>
      </w:r>
      <w:r>
        <w:rPr/>
        <w:t>base el</w:t>
      </w:r>
      <w:r>
        <w:rPr>
          <w:spacing w:val="-3"/>
        </w:rPr>
        <w:t> </w:t>
      </w:r>
      <w:r>
        <w:rPr/>
        <w:t>salario diario que perciba el</w:t>
      </w:r>
      <w:r>
        <w:rPr>
          <w:spacing w:val="-3"/>
        </w:rPr>
        <w:t> </w:t>
      </w:r>
      <w:r>
        <w:rPr/>
        <w:t>trabajador</w:t>
      </w:r>
      <w:r>
        <w:rPr>
          <w:spacing w:val="-1"/>
        </w:rPr>
        <w:t> </w:t>
      </w:r>
      <w:r>
        <w:rPr/>
        <w:t>al</w:t>
      </w:r>
      <w:r>
        <w:rPr>
          <w:spacing w:val="-3"/>
        </w:rPr>
        <w:t> </w:t>
      </w:r>
      <w:r>
        <w:rPr/>
        <w:t>ocurrir</w:t>
      </w:r>
      <w:r>
        <w:rPr>
          <w:spacing w:val="-1"/>
        </w:rPr>
        <w:t> </w:t>
      </w:r>
      <w:r>
        <w:rPr/>
        <w:t>el</w:t>
      </w:r>
      <w:r>
        <w:rPr>
          <w:spacing w:val="-3"/>
        </w:rPr>
        <w:t> </w:t>
      </w:r>
      <w:r>
        <w:rPr/>
        <w:t>riesgo y</w:t>
      </w:r>
      <w:r>
        <w:rPr>
          <w:spacing w:val="-3"/>
        </w:rPr>
        <w:t> </w:t>
      </w:r>
      <w:r>
        <w:rPr/>
        <w:t>los</w:t>
      </w:r>
      <w:r>
        <w:rPr>
          <w:spacing w:val="-1"/>
        </w:rPr>
        <w:t> </w:t>
      </w:r>
      <w:r>
        <w:rPr/>
        <w:t>aumentos</w:t>
      </w:r>
      <w:r>
        <w:rPr>
          <w:spacing w:val="-1"/>
        </w:rPr>
        <w:t> </w:t>
      </w:r>
      <w:r>
        <w:rPr/>
        <w:t>posteriores que</w:t>
      </w:r>
      <w:r>
        <w:rPr>
          <w:spacing w:val="-2"/>
        </w:rPr>
        <w:t> </w:t>
      </w:r>
      <w:r>
        <w:rPr/>
        <w:t>correspondan al empleo que desempeñaba, hasta que se determine</w:t>
      </w:r>
      <w:r>
        <w:rPr>
          <w:spacing w:val="15"/>
        </w:rPr>
        <w:t> </w:t>
      </w:r>
      <w:r>
        <w:rPr/>
        <w:t>el grado de la incapacidad, el de la fecha en que</w:t>
      </w:r>
      <w:r>
        <w:rPr>
          <w:spacing w:val="40"/>
        </w:rPr>
        <w:t> </w:t>
      </w:r>
      <w:r>
        <w:rPr/>
        <w:t>se produzca la muerte o el que percibía al momento de su separación de la empresa.</w:t>
      </w:r>
    </w:p>
    <w:p>
      <w:pPr>
        <w:pStyle w:val="BodyText"/>
        <w:spacing w:line="242" w:lineRule="auto" w:before="221"/>
        <w:ind w:left="338" w:right="346" w:firstLine="288"/>
        <w:jc w:val="both"/>
      </w:pPr>
      <w:bookmarkStart w:name="Artículo_485" w:id="617"/>
      <w:bookmarkEnd w:id="617"/>
      <w:r>
        <w:rPr/>
      </w:r>
      <w:r>
        <w:rPr>
          <w:rFonts w:ascii="Arial" w:hAnsi="Arial"/>
          <w:b/>
        </w:rPr>
        <w:t>Artículo 485.- </w:t>
      </w:r>
      <w:r>
        <w:rPr/>
        <w:t>La cantidad que se tome como base para el pago de las indemnizaciones no podrá ser inferior al salario mínimo.</w:t>
      </w:r>
    </w:p>
    <w:p>
      <w:pPr>
        <w:pStyle w:val="BodyText"/>
        <w:spacing w:before="226"/>
        <w:ind w:left="338" w:right="338" w:firstLine="288"/>
        <w:jc w:val="both"/>
      </w:pPr>
      <w:bookmarkStart w:name="Artículo_486" w:id="618"/>
      <w:bookmarkEnd w:id="618"/>
      <w:r>
        <w:rPr/>
      </w:r>
      <w:r>
        <w:rPr>
          <w:rFonts w:ascii="Arial" w:hAnsi="Arial"/>
          <w:b/>
        </w:rPr>
        <w:t>Artículo 486.- </w:t>
      </w:r>
      <w:r>
        <w:rPr/>
        <w:t>Para determinar las indemnizaciones a que se refiere este título, si el salario que percibe el trabajador excede del doble del salario mínimo del área geográfica de aplicación a que corresponda el lugar de prestación del trabajo, se considerará esa cantidad como salario máximo. Si el trabajo se presta en lugares de diferentes áreas geográficas de aplicación, el salario máximo será el</w:t>
      </w:r>
      <w:r>
        <w:rPr>
          <w:spacing w:val="40"/>
        </w:rPr>
        <w:t> </w:t>
      </w:r>
      <w:r>
        <w:rPr/>
        <w:t>doble del promedio de los salarios mínimos respectivos.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BodyText"/>
        <w:ind w:left="626"/>
      </w:pPr>
      <w:bookmarkStart w:name="Artículo_487" w:id="619"/>
      <w:bookmarkEnd w:id="619"/>
      <w:r>
        <w:rPr/>
      </w:r>
      <w:r>
        <w:rPr>
          <w:rFonts w:ascii="Arial" w:hAnsi="Arial"/>
          <w:b/>
        </w:rPr>
        <w:t>Artículo</w:t>
      </w:r>
      <w:r>
        <w:rPr>
          <w:rFonts w:ascii="Arial" w:hAnsi="Arial"/>
          <w:b/>
          <w:spacing w:val="-7"/>
        </w:rPr>
        <w:t> </w:t>
      </w:r>
      <w:r>
        <w:rPr>
          <w:rFonts w:ascii="Arial" w:hAnsi="Arial"/>
          <w:b/>
        </w:rPr>
        <w:t>487.-</w:t>
      </w:r>
      <w:r>
        <w:rPr>
          <w:rFonts w:ascii="Arial" w:hAnsi="Arial"/>
          <w:b/>
          <w:spacing w:val="-7"/>
        </w:rPr>
        <w:t> </w:t>
      </w:r>
      <w:r>
        <w:rPr/>
        <w:t>Los</w:t>
      </w:r>
      <w:r>
        <w:rPr>
          <w:spacing w:val="-7"/>
        </w:rPr>
        <w:t> </w:t>
      </w:r>
      <w:r>
        <w:rPr/>
        <w:t>trabajadores</w:t>
      </w:r>
      <w:r>
        <w:rPr>
          <w:spacing w:val="-6"/>
        </w:rPr>
        <w:t> </w:t>
      </w:r>
      <w:r>
        <w:rPr/>
        <w:t>que</w:t>
      </w:r>
      <w:r>
        <w:rPr>
          <w:spacing w:val="-8"/>
        </w:rPr>
        <w:t> </w:t>
      </w:r>
      <w:r>
        <w:rPr/>
        <w:t>sufran</w:t>
      </w:r>
      <w:r>
        <w:rPr>
          <w:spacing w:val="-7"/>
        </w:rPr>
        <w:t> </w:t>
      </w:r>
      <w:r>
        <w:rPr/>
        <w:t>un</w:t>
      </w:r>
      <w:r>
        <w:rPr>
          <w:spacing w:val="-8"/>
        </w:rPr>
        <w:t> </w:t>
      </w:r>
      <w:r>
        <w:rPr/>
        <w:t>riesgo</w:t>
      </w:r>
      <w:r>
        <w:rPr>
          <w:spacing w:val="-7"/>
        </w:rPr>
        <w:t> </w:t>
      </w:r>
      <w:r>
        <w:rPr/>
        <w:t>de</w:t>
      </w:r>
      <w:r>
        <w:rPr>
          <w:spacing w:val="-8"/>
        </w:rPr>
        <w:t> </w:t>
      </w:r>
      <w:r>
        <w:rPr/>
        <w:t>trabajo</w:t>
      </w:r>
      <w:r>
        <w:rPr>
          <w:spacing w:val="-6"/>
        </w:rPr>
        <w:t> </w:t>
      </w:r>
      <w:r>
        <w:rPr/>
        <w:t>tendrán</w:t>
      </w:r>
      <w:r>
        <w:rPr>
          <w:spacing w:val="-6"/>
        </w:rPr>
        <w:t> </w:t>
      </w:r>
      <w:r>
        <w:rPr/>
        <w:t>derecho</w:t>
      </w:r>
      <w:r>
        <w:rPr>
          <w:spacing w:val="-4"/>
        </w:rPr>
        <w:t> </w:t>
      </w:r>
      <w:r>
        <w:rPr>
          <w:spacing w:val="-5"/>
        </w:rPr>
        <w:t>a:</w:t>
      </w:r>
    </w:p>
    <w:p>
      <w:pPr>
        <w:pStyle w:val="ListParagraph"/>
        <w:numPr>
          <w:ilvl w:val="0"/>
          <w:numId w:val="151"/>
        </w:numPr>
        <w:tabs>
          <w:tab w:pos="1195" w:val="left" w:leader="none"/>
        </w:tabs>
        <w:spacing w:line="240" w:lineRule="auto" w:before="229" w:after="0"/>
        <w:ind w:left="1195" w:right="0" w:hanging="569"/>
        <w:jc w:val="left"/>
        <w:rPr>
          <w:sz w:val="20"/>
        </w:rPr>
      </w:pPr>
      <w:r>
        <w:rPr>
          <w:sz w:val="20"/>
        </w:rPr>
        <w:t>Asistencia</w:t>
      </w:r>
      <w:r>
        <w:rPr>
          <w:spacing w:val="-8"/>
          <w:sz w:val="20"/>
        </w:rPr>
        <w:t> </w:t>
      </w:r>
      <w:r>
        <w:rPr>
          <w:sz w:val="20"/>
        </w:rPr>
        <w:t>médica</w:t>
      </w:r>
      <w:r>
        <w:rPr>
          <w:spacing w:val="-5"/>
          <w:sz w:val="20"/>
        </w:rPr>
        <w:t> </w:t>
      </w:r>
      <w:r>
        <w:rPr>
          <w:sz w:val="20"/>
        </w:rPr>
        <w:t>y</w:t>
      </w:r>
      <w:r>
        <w:rPr>
          <w:spacing w:val="-8"/>
          <w:sz w:val="20"/>
        </w:rPr>
        <w:t> </w:t>
      </w:r>
      <w:r>
        <w:rPr>
          <w:spacing w:val="-2"/>
          <w:sz w:val="20"/>
        </w:rPr>
        <w:t>quirúrgica;</w:t>
      </w:r>
    </w:p>
    <w:p>
      <w:pPr>
        <w:pStyle w:val="BodyText"/>
        <w:spacing w:before="1"/>
      </w:pPr>
    </w:p>
    <w:p>
      <w:pPr>
        <w:pStyle w:val="ListParagraph"/>
        <w:numPr>
          <w:ilvl w:val="0"/>
          <w:numId w:val="151"/>
        </w:numPr>
        <w:tabs>
          <w:tab w:pos="1195" w:val="left" w:leader="none"/>
        </w:tabs>
        <w:spacing w:line="240" w:lineRule="auto" w:before="0" w:after="0"/>
        <w:ind w:left="1195" w:right="0" w:hanging="569"/>
        <w:jc w:val="left"/>
        <w:rPr>
          <w:sz w:val="20"/>
        </w:rPr>
      </w:pPr>
      <w:r>
        <w:rPr>
          <w:spacing w:val="-2"/>
          <w:sz w:val="20"/>
        </w:rPr>
        <w:t>Rehabilitación;</w:t>
      </w:r>
    </w:p>
    <w:p>
      <w:pPr>
        <w:pStyle w:val="BodyText"/>
        <w:spacing w:before="1"/>
      </w:pPr>
    </w:p>
    <w:p>
      <w:pPr>
        <w:pStyle w:val="ListParagraph"/>
        <w:numPr>
          <w:ilvl w:val="0"/>
          <w:numId w:val="151"/>
        </w:numPr>
        <w:tabs>
          <w:tab w:pos="1195" w:val="left" w:leader="none"/>
        </w:tabs>
        <w:spacing w:line="240" w:lineRule="auto" w:before="0" w:after="0"/>
        <w:ind w:left="1195" w:right="0" w:hanging="569"/>
        <w:jc w:val="left"/>
        <w:rPr>
          <w:sz w:val="20"/>
        </w:rPr>
      </w:pPr>
      <w:r>
        <w:rPr>
          <w:sz w:val="20"/>
        </w:rPr>
        <w:t>Hospitalización,</w:t>
      </w:r>
      <w:r>
        <w:rPr>
          <w:spacing w:val="-8"/>
          <w:sz w:val="20"/>
        </w:rPr>
        <w:t> </w:t>
      </w:r>
      <w:r>
        <w:rPr>
          <w:sz w:val="20"/>
        </w:rPr>
        <w:t>cuando</w:t>
      </w:r>
      <w:r>
        <w:rPr>
          <w:spacing w:val="-7"/>
          <w:sz w:val="20"/>
        </w:rPr>
        <w:t> </w:t>
      </w:r>
      <w:r>
        <w:rPr>
          <w:sz w:val="20"/>
        </w:rPr>
        <w:t>el</w:t>
      </w:r>
      <w:r>
        <w:rPr>
          <w:spacing w:val="-7"/>
          <w:sz w:val="20"/>
        </w:rPr>
        <w:t> </w:t>
      </w:r>
      <w:r>
        <w:rPr>
          <w:sz w:val="20"/>
        </w:rPr>
        <w:t>caso</w:t>
      </w:r>
      <w:r>
        <w:rPr>
          <w:spacing w:val="-7"/>
          <w:sz w:val="20"/>
        </w:rPr>
        <w:t> </w:t>
      </w:r>
      <w:r>
        <w:rPr>
          <w:sz w:val="20"/>
        </w:rPr>
        <w:t>lo</w:t>
      </w:r>
      <w:r>
        <w:rPr>
          <w:spacing w:val="-8"/>
          <w:sz w:val="20"/>
        </w:rPr>
        <w:t> </w:t>
      </w:r>
      <w:r>
        <w:rPr>
          <w:spacing w:val="-2"/>
          <w:sz w:val="20"/>
        </w:rPr>
        <w:t>requiera;</w:t>
      </w:r>
    </w:p>
    <w:p>
      <w:pPr>
        <w:pStyle w:val="ListParagraph"/>
        <w:numPr>
          <w:ilvl w:val="0"/>
          <w:numId w:val="151"/>
        </w:numPr>
        <w:tabs>
          <w:tab w:pos="1195" w:val="left" w:leader="none"/>
        </w:tabs>
        <w:spacing w:line="240" w:lineRule="auto" w:before="228" w:after="0"/>
        <w:ind w:left="1195" w:right="0" w:hanging="569"/>
        <w:jc w:val="left"/>
        <w:rPr>
          <w:sz w:val="20"/>
        </w:rPr>
      </w:pPr>
      <w:r>
        <w:rPr>
          <w:sz w:val="20"/>
        </w:rPr>
        <w:t>Medicamentos</w:t>
      </w:r>
      <w:r>
        <w:rPr>
          <w:spacing w:val="-5"/>
          <w:sz w:val="20"/>
        </w:rPr>
        <w:t> </w:t>
      </w:r>
      <w:r>
        <w:rPr>
          <w:sz w:val="20"/>
        </w:rPr>
        <w:t>y</w:t>
      </w:r>
      <w:r>
        <w:rPr>
          <w:spacing w:val="-10"/>
          <w:sz w:val="20"/>
        </w:rPr>
        <w:t> </w:t>
      </w:r>
      <w:r>
        <w:rPr>
          <w:sz w:val="20"/>
        </w:rPr>
        <w:t>material</w:t>
      </w:r>
      <w:r>
        <w:rPr>
          <w:spacing w:val="-7"/>
          <w:sz w:val="20"/>
        </w:rPr>
        <w:t> </w:t>
      </w:r>
      <w:r>
        <w:rPr>
          <w:sz w:val="20"/>
        </w:rPr>
        <w:t>de</w:t>
      </w:r>
      <w:r>
        <w:rPr>
          <w:spacing w:val="-7"/>
          <w:sz w:val="20"/>
        </w:rPr>
        <w:t> </w:t>
      </w:r>
      <w:r>
        <w:rPr>
          <w:spacing w:val="-2"/>
          <w:sz w:val="20"/>
        </w:rPr>
        <w:t>curación;</w:t>
      </w:r>
    </w:p>
    <w:p>
      <w:pPr>
        <w:pStyle w:val="BodyText"/>
        <w:spacing w:before="1"/>
      </w:pPr>
    </w:p>
    <w:p>
      <w:pPr>
        <w:pStyle w:val="ListParagraph"/>
        <w:numPr>
          <w:ilvl w:val="0"/>
          <w:numId w:val="151"/>
        </w:numPr>
        <w:tabs>
          <w:tab w:pos="1195" w:val="left" w:leader="none"/>
        </w:tabs>
        <w:spacing w:line="240" w:lineRule="auto" w:before="0" w:after="0"/>
        <w:ind w:left="1195" w:right="0" w:hanging="569"/>
        <w:jc w:val="left"/>
        <w:rPr>
          <w:sz w:val="20"/>
        </w:rPr>
      </w:pPr>
      <w:r>
        <w:rPr>
          <w:sz w:val="20"/>
        </w:rPr>
        <w:t>Los</w:t>
      </w:r>
      <w:r>
        <w:rPr>
          <w:spacing w:val="-7"/>
          <w:sz w:val="20"/>
        </w:rPr>
        <w:t> </w:t>
      </w:r>
      <w:r>
        <w:rPr>
          <w:sz w:val="20"/>
        </w:rPr>
        <w:t>aparatos</w:t>
      </w:r>
      <w:r>
        <w:rPr>
          <w:spacing w:val="-7"/>
          <w:sz w:val="20"/>
        </w:rPr>
        <w:t> </w:t>
      </w:r>
      <w:r>
        <w:rPr>
          <w:sz w:val="20"/>
        </w:rPr>
        <w:t>de</w:t>
      </w:r>
      <w:r>
        <w:rPr>
          <w:spacing w:val="-8"/>
          <w:sz w:val="20"/>
        </w:rPr>
        <w:t> </w:t>
      </w:r>
      <w:r>
        <w:rPr>
          <w:sz w:val="20"/>
        </w:rPr>
        <w:t>prótesis</w:t>
      </w:r>
      <w:r>
        <w:rPr>
          <w:spacing w:val="-5"/>
          <w:sz w:val="20"/>
        </w:rPr>
        <w:t> </w:t>
      </w:r>
      <w:r>
        <w:rPr>
          <w:sz w:val="20"/>
        </w:rPr>
        <w:t>y</w:t>
      </w:r>
      <w:r>
        <w:rPr>
          <w:spacing w:val="-4"/>
          <w:sz w:val="20"/>
        </w:rPr>
        <w:t> </w:t>
      </w:r>
      <w:r>
        <w:rPr>
          <w:sz w:val="20"/>
        </w:rPr>
        <w:t>ortopedia</w:t>
      </w:r>
      <w:r>
        <w:rPr>
          <w:spacing w:val="-8"/>
          <w:sz w:val="20"/>
        </w:rPr>
        <w:t> </w:t>
      </w:r>
      <w:r>
        <w:rPr>
          <w:sz w:val="20"/>
        </w:rPr>
        <w:t>necesarios;</w:t>
      </w:r>
      <w:r>
        <w:rPr>
          <w:spacing w:val="-3"/>
          <w:sz w:val="20"/>
        </w:rPr>
        <w:t> </w:t>
      </w:r>
      <w:r>
        <w:rPr>
          <w:spacing w:val="-10"/>
          <w:sz w:val="20"/>
        </w:rPr>
        <w:t>y</w:t>
      </w:r>
    </w:p>
    <w:p>
      <w:pPr>
        <w:pStyle w:val="ListParagraph"/>
        <w:numPr>
          <w:ilvl w:val="0"/>
          <w:numId w:val="151"/>
        </w:numPr>
        <w:tabs>
          <w:tab w:pos="1195" w:val="left" w:leader="none"/>
        </w:tabs>
        <w:spacing w:line="240" w:lineRule="auto" w:before="229" w:after="0"/>
        <w:ind w:left="1195" w:right="0" w:hanging="569"/>
        <w:jc w:val="left"/>
        <w:rPr>
          <w:sz w:val="20"/>
        </w:rPr>
      </w:pPr>
      <w:r>
        <w:rPr>
          <w:sz w:val="20"/>
        </w:rPr>
        <w:t>La</w:t>
      </w:r>
      <w:r>
        <w:rPr>
          <w:spacing w:val="-9"/>
          <w:sz w:val="20"/>
        </w:rPr>
        <w:t> </w:t>
      </w:r>
      <w:r>
        <w:rPr>
          <w:sz w:val="20"/>
        </w:rPr>
        <w:t>indemnización</w:t>
      </w:r>
      <w:r>
        <w:rPr>
          <w:spacing w:val="-7"/>
          <w:sz w:val="20"/>
        </w:rPr>
        <w:t> </w:t>
      </w:r>
      <w:r>
        <w:rPr>
          <w:sz w:val="20"/>
        </w:rPr>
        <w:t>fijada</w:t>
      </w:r>
      <w:r>
        <w:rPr>
          <w:spacing w:val="-6"/>
          <w:sz w:val="20"/>
        </w:rPr>
        <w:t> </w:t>
      </w:r>
      <w:r>
        <w:rPr>
          <w:sz w:val="20"/>
        </w:rPr>
        <w:t>en</w:t>
      </w:r>
      <w:r>
        <w:rPr>
          <w:spacing w:val="-7"/>
          <w:sz w:val="20"/>
        </w:rPr>
        <w:t> </w:t>
      </w:r>
      <w:r>
        <w:rPr>
          <w:sz w:val="20"/>
        </w:rPr>
        <w:t>el</w:t>
      </w:r>
      <w:r>
        <w:rPr>
          <w:spacing w:val="-8"/>
          <w:sz w:val="20"/>
        </w:rPr>
        <w:t> </w:t>
      </w:r>
      <w:r>
        <w:rPr>
          <w:sz w:val="20"/>
        </w:rPr>
        <w:t>presente</w:t>
      </w:r>
      <w:r>
        <w:rPr>
          <w:spacing w:val="-9"/>
          <w:sz w:val="20"/>
        </w:rPr>
        <w:t> </w:t>
      </w:r>
      <w:r>
        <w:rPr>
          <w:spacing w:val="-2"/>
          <w:sz w:val="20"/>
        </w:rPr>
        <w:t>Título.</w:t>
      </w:r>
    </w:p>
    <w:p>
      <w:pPr>
        <w:pStyle w:val="BodyText"/>
      </w:pPr>
    </w:p>
    <w:p>
      <w:pPr>
        <w:pStyle w:val="BodyText"/>
        <w:spacing w:line="242" w:lineRule="auto"/>
        <w:ind w:left="338" w:right="357" w:firstLine="288"/>
      </w:pPr>
      <w:bookmarkStart w:name="Artículo_488" w:id="620"/>
      <w:bookmarkEnd w:id="620"/>
      <w:r>
        <w:rPr/>
      </w:r>
      <w:r>
        <w:rPr>
          <w:rFonts w:ascii="Arial" w:hAnsi="Arial"/>
          <w:b/>
        </w:rPr>
        <w:t>Artículo 488.- </w:t>
      </w:r>
      <w:r>
        <w:rPr/>
        <w:t>El patrón queda exceptuado de las obligaciones que determina el artículo anterior, en los casos y con las modalidades siguientes:</w:t>
      </w:r>
    </w:p>
    <w:p>
      <w:pPr>
        <w:pStyle w:val="ListParagraph"/>
        <w:numPr>
          <w:ilvl w:val="0"/>
          <w:numId w:val="152"/>
        </w:numPr>
        <w:tabs>
          <w:tab w:pos="1195" w:val="left" w:leader="none"/>
        </w:tabs>
        <w:spacing w:line="240" w:lineRule="auto" w:before="228" w:after="0"/>
        <w:ind w:left="1195" w:right="0" w:hanging="569"/>
        <w:jc w:val="left"/>
        <w:rPr>
          <w:sz w:val="20"/>
        </w:rPr>
      </w:pPr>
      <w:r>
        <w:rPr>
          <w:sz w:val="20"/>
        </w:rPr>
        <w:t>Si</w:t>
      </w:r>
      <w:r>
        <w:rPr>
          <w:spacing w:val="-7"/>
          <w:sz w:val="20"/>
        </w:rPr>
        <w:t> </w:t>
      </w:r>
      <w:r>
        <w:rPr>
          <w:sz w:val="20"/>
        </w:rPr>
        <w:t>el</w:t>
      </w:r>
      <w:r>
        <w:rPr>
          <w:spacing w:val="-6"/>
          <w:sz w:val="20"/>
        </w:rPr>
        <w:t> </w:t>
      </w:r>
      <w:r>
        <w:rPr>
          <w:sz w:val="20"/>
        </w:rPr>
        <w:t>accidente</w:t>
      </w:r>
      <w:r>
        <w:rPr>
          <w:spacing w:val="-7"/>
          <w:sz w:val="20"/>
        </w:rPr>
        <w:t> </w:t>
      </w:r>
      <w:r>
        <w:rPr>
          <w:sz w:val="20"/>
        </w:rPr>
        <w:t>ocurre</w:t>
      </w:r>
      <w:r>
        <w:rPr>
          <w:spacing w:val="-7"/>
          <w:sz w:val="20"/>
        </w:rPr>
        <w:t> </w:t>
      </w:r>
      <w:r>
        <w:rPr>
          <w:sz w:val="20"/>
        </w:rPr>
        <w:t>encontrándose</w:t>
      </w:r>
      <w:r>
        <w:rPr>
          <w:spacing w:val="-7"/>
          <w:sz w:val="20"/>
        </w:rPr>
        <w:t> </w:t>
      </w:r>
      <w:r>
        <w:rPr>
          <w:sz w:val="20"/>
        </w:rPr>
        <w:t>el</w:t>
      </w:r>
      <w:r>
        <w:rPr>
          <w:spacing w:val="-8"/>
          <w:sz w:val="20"/>
        </w:rPr>
        <w:t> </w:t>
      </w:r>
      <w:r>
        <w:rPr>
          <w:sz w:val="20"/>
        </w:rPr>
        <w:t>trabajador</w:t>
      </w:r>
      <w:r>
        <w:rPr>
          <w:spacing w:val="-5"/>
          <w:sz w:val="20"/>
        </w:rPr>
        <w:t> </w:t>
      </w:r>
      <w:r>
        <w:rPr>
          <w:sz w:val="20"/>
        </w:rPr>
        <w:t>en</w:t>
      </w:r>
      <w:r>
        <w:rPr>
          <w:spacing w:val="-6"/>
          <w:sz w:val="20"/>
        </w:rPr>
        <w:t> </w:t>
      </w:r>
      <w:r>
        <w:rPr>
          <w:sz w:val="20"/>
        </w:rPr>
        <w:t>estado</w:t>
      </w:r>
      <w:r>
        <w:rPr>
          <w:spacing w:val="-6"/>
          <w:sz w:val="20"/>
        </w:rPr>
        <w:t> </w:t>
      </w:r>
      <w:r>
        <w:rPr>
          <w:sz w:val="20"/>
        </w:rPr>
        <w:t>de</w:t>
      </w:r>
      <w:r>
        <w:rPr>
          <w:spacing w:val="-6"/>
          <w:sz w:val="20"/>
        </w:rPr>
        <w:t> </w:t>
      </w:r>
      <w:r>
        <w:rPr>
          <w:spacing w:val="-2"/>
          <w:sz w:val="20"/>
        </w:rPr>
        <w:t>embriaguez;</w:t>
      </w:r>
    </w:p>
    <w:p>
      <w:pPr>
        <w:pStyle w:val="ListParagraph"/>
        <w:numPr>
          <w:ilvl w:val="0"/>
          <w:numId w:val="152"/>
        </w:numPr>
        <w:tabs>
          <w:tab w:pos="1192" w:val="left" w:leader="none"/>
          <w:tab w:pos="1195" w:val="left" w:leader="none"/>
        </w:tabs>
        <w:spacing w:line="242" w:lineRule="auto" w:before="228" w:after="0"/>
        <w:ind w:left="1195" w:right="342" w:hanging="569"/>
        <w:jc w:val="both"/>
        <w:rPr>
          <w:sz w:val="20"/>
        </w:rPr>
      </w:pPr>
      <w:r>
        <w:rPr>
          <w:sz w:val="20"/>
        </w:rPr>
        <w:t>Si el accidente ocurre encontrándose el trabajador bajo la acción de algún narcótico o droga enervante, salvo que exista prescripción médica y</w:t>
      </w:r>
      <w:r>
        <w:rPr>
          <w:spacing w:val="-3"/>
          <w:sz w:val="20"/>
        </w:rPr>
        <w:t> </w:t>
      </w:r>
      <w:r>
        <w:rPr>
          <w:sz w:val="20"/>
        </w:rPr>
        <w:t>que el</w:t>
      </w:r>
      <w:r>
        <w:rPr>
          <w:spacing w:val="-1"/>
          <w:sz w:val="20"/>
        </w:rPr>
        <w:t> </w:t>
      </w:r>
      <w:r>
        <w:rPr>
          <w:sz w:val="20"/>
        </w:rPr>
        <w:t>trabajador hubiese puesto el hecho en conocimiento del patrón y le hubiese presentado la prescripción suscrita por el médico;</w:t>
      </w:r>
    </w:p>
    <w:p>
      <w:pPr>
        <w:pStyle w:val="ListParagraph"/>
        <w:numPr>
          <w:ilvl w:val="0"/>
          <w:numId w:val="152"/>
        </w:numPr>
        <w:tabs>
          <w:tab w:pos="1191" w:val="left" w:leader="none"/>
          <w:tab w:pos="1195" w:val="left" w:leader="none"/>
        </w:tabs>
        <w:spacing w:line="240" w:lineRule="auto" w:before="225" w:after="0"/>
        <w:ind w:left="1195" w:right="342" w:hanging="569"/>
        <w:jc w:val="both"/>
        <w:rPr>
          <w:sz w:val="20"/>
        </w:rPr>
      </w:pPr>
      <w:r>
        <w:rPr>
          <w:sz w:val="20"/>
        </w:rPr>
        <w:t>Si el trabajador se ocasiona intencionalmente una lesión por sí solo o de acuerdo con otra persona; y</w:t>
      </w:r>
    </w:p>
    <w:p>
      <w:pPr>
        <w:pStyle w:val="ListParagraph"/>
        <w:numPr>
          <w:ilvl w:val="0"/>
          <w:numId w:val="152"/>
        </w:numPr>
        <w:tabs>
          <w:tab w:pos="1195" w:val="left" w:leader="none"/>
        </w:tabs>
        <w:spacing w:line="240" w:lineRule="auto" w:before="229" w:after="0"/>
        <w:ind w:left="1195" w:right="0" w:hanging="569"/>
        <w:jc w:val="left"/>
        <w:rPr>
          <w:sz w:val="20"/>
        </w:rPr>
      </w:pPr>
      <w:r>
        <w:rPr>
          <w:sz w:val="20"/>
        </w:rPr>
        <w:t>Si</w:t>
      </w:r>
      <w:r>
        <w:rPr>
          <w:spacing w:val="-6"/>
          <w:sz w:val="20"/>
        </w:rPr>
        <w:t> </w:t>
      </w:r>
      <w:r>
        <w:rPr>
          <w:sz w:val="20"/>
        </w:rPr>
        <w:t>la</w:t>
      </w:r>
      <w:r>
        <w:rPr>
          <w:spacing w:val="-4"/>
          <w:sz w:val="20"/>
        </w:rPr>
        <w:t> </w:t>
      </w:r>
      <w:r>
        <w:rPr>
          <w:sz w:val="20"/>
        </w:rPr>
        <w:t>incapacidad</w:t>
      </w:r>
      <w:r>
        <w:rPr>
          <w:spacing w:val="-5"/>
          <w:sz w:val="20"/>
        </w:rPr>
        <w:t> </w:t>
      </w:r>
      <w:r>
        <w:rPr>
          <w:sz w:val="20"/>
        </w:rPr>
        <w:t>es</w:t>
      </w:r>
      <w:r>
        <w:rPr>
          <w:spacing w:val="-5"/>
          <w:sz w:val="20"/>
        </w:rPr>
        <w:t> </w:t>
      </w:r>
      <w:r>
        <w:rPr>
          <w:sz w:val="20"/>
        </w:rPr>
        <w:t>el</w:t>
      </w:r>
      <w:r>
        <w:rPr>
          <w:spacing w:val="-7"/>
          <w:sz w:val="20"/>
        </w:rPr>
        <w:t> </w:t>
      </w:r>
      <w:r>
        <w:rPr>
          <w:sz w:val="20"/>
        </w:rPr>
        <w:t>resultado</w:t>
      </w:r>
      <w:r>
        <w:rPr>
          <w:spacing w:val="-6"/>
          <w:sz w:val="20"/>
        </w:rPr>
        <w:t> </w:t>
      </w:r>
      <w:r>
        <w:rPr>
          <w:sz w:val="20"/>
        </w:rPr>
        <w:t>de</w:t>
      </w:r>
      <w:r>
        <w:rPr>
          <w:spacing w:val="-5"/>
          <w:sz w:val="20"/>
        </w:rPr>
        <w:t> </w:t>
      </w:r>
      <w:r>
        <w:rPr>
          <w:sz w:val="20"/>
        </w:rPr>
        <w:t>alguna</w:t>
      </w:r>
      <w:r>
        <w:rPr>
          <w:spacing w:val="-7"/>
          <w:sz w:val="20"/>
        </w:rPr>
        <w:t> </w:t>
      </w:r>
      <w:r>
        <w:rPr>
          <w:sz w:val="20"/>
        </w:rPr>
        <w:t>riña</w:t>
      </w:r>
      <w:r>
        <w:rPr>
          <w:spacing w:val="-5"/>
          <w:sz w:val="20"/>
        </w:rPr>
        <w:t> </w:t>
      </w:r>
      <w:r>
        <w:rPr>
          <w:sz w:val="20"/>
        </w:rPr>
        <w:t>o</w:t>
      </w:r>
      <w:r>
        <w:rPr>
          <w:spacing w:val="-6"/>
          <w:sz w:val="20"/>
        </w:rPr>
        <w:t> </w:t>
      </w:r>
      <w:r>
        <w:rPr>
          <w:sz w:val="20"/>
        </w:rPr>
        <w:t>intento</w:t>
      </w:r>
      <w:r>
        <w:rPr>
          <w:spacing w:val="-7"/>
          <w:sz w:val="20"/>
        </w:rPr>
        <w:t> </w:t>
      </w:r>
      <w:r>
        <w:rPr>
          <w:sz w:val="20"/>
        </w:rPr>
        <w:t>de</w:t>
      </w:r>
      <w:r>
        <w:rPr>
          <w:spacing w:val="-4"/>
          <w:sz w:val="20"/>
        </w:rPr>
        <w:t> </w:t>
      </w:r>
      <w:r>
        <w:rPr>
          <w:spacing w:val="-2"/>
          <w:sz w:val="20"/>
        </w:rPr>
        <w:t>suicidio.</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6"/>
      </w:pPr>
    </w:p>
    <w:p>
      <w:pPr>
        <w:pStyle w:val="BodyText"/>
        <w:ind w:left="338" w:right="346" w:firstLine="288"/>
        <w:jc w:val="both"/>
      </w:pPr>
      <w:r>
        <w:rPr/>
        <w:t>El patrón queda en todo caso obligado a prestar los primeros auxilios y a cuidar del traslado del trabajador a su domicilio o a un centro médico.</w:t>
      </w:r>
    </w:p>
    <w:p>
      <w:pPr>
        <w:spacing w:before="229"/>
        <w:ind w:left="626" w:right="0" w:firstLine="0"/>
        <w:jc w:val="left"/>
        <w:rPr>
          <w:sz w:val="20"/>
        </w:rPr>
      </w:pPr>
      <w:bookmarkStart w:name="Artículo_489" w:id="621"/>
      <w:bookmarkEnd w:id="621"/>
      <w:r>
        <w:rPr/>
      </w:r>
      <w:r>
        <w:rPr>
          <w:rFonts w:ascii="Arial" w:hAnsi="Arial"/>
          <w:b/>
          <w:sz w:val="20"/>
        </w:rPr>
        <w:t>Artículo</w:t>
      </w:r>
      <w:r>
        <w:rPr>
          <w:rFonts w:ascii="Arial" w:hAnsi="Arial"/>
          <w:b/>
          <w:spacing w:val="-6"/>
          <w:sz w:val="20"/>
        </w:rPr>
        <w:t> </w:t>
      </w:r>
      <w:r>
        <w:rPr>
          <w:rFonts w:ascii="Arial" w:hAnsi="Arial"/>
          <w:b/>
          <w:sz w:val="20"/>
        </w:rPr>
        <w:t>489.-</w:t>
      </w:r>
      <w:r>
        <w:rPr>
          <w:rFonts w:ascii="Arial" w:hAnsi="Arial"/>
          <w:b/>
          <w:spacing w:val="-5"/>
          <w:sz w:val="20"/>
        </w:rPr>
        <w:t> </w:t>
      </w:r>
      <w:r>
        <w:rPr>
          <w:sz w:val="20"/>
        </w:rPr>
        <w:t>No</w:t>
      </w:r>
      <w:r>
        <w:rPr>
          <w:spacing w:val="-6"/>
          <w:sz w:val="20"/>
        </w:rPr>
        <w:t> </w:t>
      </w:r>
      <w:r>
        <w:rPr>
          <w:sz w:val="20"/>
        </w:rPr>
        <w:t>libera</w:t>
      </w:r>
      <w:r>
        <w:rPr>
          <w:spacing w:val="-6"/>
          <w:sz w:val="20"/>
        </w:rPr>
        <w:t> </w:t>
      </w:r>
      <w:r>
        <w:rPr>
          <w:sz w:val="20"/>
        </w:rPr>
        <w:t>al</w:t>
      </w:r>
      <w:r>
        <w:rPr>
          <w:spacing w:val="-5"/>
          <w:sz w:val="20"/>
        </w:rPr>
        <w:t> </w:t>
      </w:r>
      <w:r>
        <w:rPr>
          <w:sz w:val="20"/>
        </w:rPr>
        <w:t>patrón</w:t>
      </w:r>
      <w:r>
        <w:rPr>
          <w:spacing w:val="-5"/>
          <w:sz w:val="20"/>
        </w:rPr>
        <w:t> </w:t>
      </w:r>
      <w:r>
        <w:rPr>
          <w:sz w:val="20"/>
        </w:rPr>
        <w:t>de</w:t>
      </w:r>
      <w:r>
        <w:rPr>
          <w:spacing w:val="-7"/>
          <w:sz w:val="20"/>
        </w:rPr>
        <w:t> </w:t>
      </w:r>
      <w:r>
        <w:rPr>
          <w:spacing w:val="-2"/>
          <w:sz w:val="20"/>
        </w:rPr>
        <w:t>responsabilidad:</w:t>
      </w:r>
    </w:p>
    <w:p>
      <w:pPr>
        <w:pStyle w:val="ListParagraph"/>
        <w:numPr>
          <w:ilvl w:val="0"/>
          <w:numId w:val="153"/>
        </w:numPr>
        <w:tabs>
          <w:tab w:pos="1195" w:val="left" w:leader="none"/>
        </w:tabs>
        <w:spacing w:line="240" w:lineRule="auto" w:before="228" w:after="0"/>
        <w:ind w:left="1195" w:right="0" w:hanging="569"/>
        <w:jc w:val="left"/>
        <w:rPr>
          <w:sz w:val="20"/>
        </w:rPr>
      </w:pPr>
      <w:r>
        <w:rPr>
          <w:sz w:val="20"/>
        </w:rPr>
        <w:t>Que</w:t>
      </w:r>
      <w:r>
        <w:rPr>
          <w:spacing w:val="-9"/>
          <w:sz w:val="20"/>
        </w:rPr>
        <w:t> </w:t>
      </w:r>
      <w:r>
        <w:rPr>
          <w:sz w:val="20"/>
        </w:rPr>
        <w:t>el</w:t>
      </w:r>
      <w:r>
        <w:rPr>
          <w:spacing w:val="-8"/>
          <w:sz w:val="20"/>
        </w:rPr>
        <w:t> </w:t>
      </w:r>
      <w:r>
        <w:rPr>
          <w:sz w:val="20"/>
        </w:rPr>
        <w:t>trabajador</w:t>
      </w:r>
      <w:r>
        <w:rPr>
          <w:spacing w:val="-7"/>
          <w:sz w:val="20"/>
        </w:rPr>
        <w:t> </w:t>
      </w:r>
      <w:r>
        <w:rPr>
          <w:sz w:val="20"/>
        </w:rPr>
        <w:t>explícita</w:t>
      </w:r>
      <w:r>
        <w:rPr>
          <w:spacing w:val="-6"/>
          <w:sz w:val="20"/>
        </w:rPr>
        <w:t> </w:t>
      </w:r>
      <w:r>
        <w:rPr>
          <w:sz w:val="20"/>
        </w:rPr>
        <w:t>o</w:t>
      </w:r>
      <w:r>
        <w:rPr>
          <w:spacing w:val="-7"/>
          <w:sz w:val="20"/>
        </w:rPr>
        <w:t> </w:t>
      </w:r>
      <w:r>
        <w:rPr>
          <w:sz w:val="20"/>
        </w:rPr>
        <w:t>implícitamente</w:t>
      </w:r>
      <w:r>
        <w:rPr>
          <w:spacing w:val="-8"/>
          <w:sz w:val="20"/>
        </w:rPr>
        <w:t> </w:t>
      </w:r>
      <w:r>
        <w:rPr>
          <w:sz w:val="20"/>
        </w:rPr>
        <w:t>hubiese</w:t>
      </w:r>
      <w:r>
        <w:rPr>
          <w:spacing w:val="-7"/>
          <w:sz w:val="20"/>
        </w:rPr>
        <w:t> </w:t>
      </w:r>
      <w:r>
        <w:rPr>
          <w:sz w:val="20"/>
        </w:rPr>
        <w:t>asumido</w:t>
      </w:r>
      <w:r>
        <w:rPr>
          <w:spacing w:val="-8"/>
          <w:sz w:val="20"/>
        </w:rPr>
        <w:t> </w:t>
      </w:r>
      <w:r>
        <w:rPr>
          <w:sz w:val="20"/>
        </w:rPr>
        <w:t>los</w:t>
      </w:r>
      <w:r>
        <w:rPr>
          <w:spacing w:val="-7"/>
          <w:sz w:val="20"/>
        </w:rPr>
        <w:t> </w:t>
      </w:r>
      <w:r>
        <w:rPr>
          <w:sz w:val="20"/>
        </w:rPr>
        <w:t>riesgos</w:t>
      </w:r>
      <w:r>
        <w:rPr>
          <w:spacing w:val="-5"/>
          <w:sz w:val="20"/>
        </w:rPr>
        <w:t> </w:t>
      </w:r>
      <w:r>
        <w:rPr>
          <w:sz w:val="20"/>
        </w:rPr>
        <w:t>de</w:t>
      </w:r>
      <w:r>
        <w:rPr>
          <w:spacing w:val="-8"/>
          <w:sz w:val="20"/>
        </w:rPr>
        <w:t> </w:t>
      </w:r>
      <w:r>
        <w:rPr>
          <w:spacing w:val="-2"/>
          <w:sz w:val="20"/>
        </w:rPr>
        <w:t>trabajo;</w:t>
      </w:r>
    </w:p>
    <w:p>
      <w:pPr>
        <w:pStyle w:val="BodyText"/>
        <w:spacing w:before="1"/>
      </w:pPr>
    </w:p>
    <w:p>
      <w:pPr>
        <w:pStyle w:val="ListParagraph"/>
        <w:numPr>
          <w:ilvl w:val="0"/>
          <w:numId w:val="153"/>
        </w:numPr>
        <w:tabs>
          <w:tab w:pos="1195" w:val="left" w:leader="none"/>
        </w:tabs>
        <w:spacing w:line="240" w:lineRule="auto" w:before="0" w:after="0"/>
        <w:ind w:left="1195" w:right="0" w:hanging="569"/>
        <w:jc w:val="left"/>
        <w:rPr>
          <w:sz w:val="20"/>
        </w:rPr>
      </w:pPr>
      <w:r>
        <w:rPr>
          <w:sz w:val="20"/>
        </w:rPr>
        <w:t>Que</w:t>
      </w:r>
      <w:r>
        <w:rPr>
          <w:spacing w:val="-9"/>
          <w:sz w:val="20"/>
        </w:rPr>
        <w:t> </w:t>
      </w:r>
      <w:r>
        <w:rPr>
          <w:sz w:val="20"/>
        </w:rPr>
        <w:t>el</w:t>
      </w:r>
      <w:r>
        <w:rPr>
          <w:spacing w:val="-8"/>
          <w:sz w:val="20"/>
        </w:rPr>
        <w:t> </w:t>
      </w:r>
      <w:r>
        <w:rPr>
          <w:sz w:val="20"/>
        </w:rPr>
        <w:t>accidente</w:t>
      </w:r>
      <w:r>
        <w:rPr>
          <w:spacing w:val="-6"/>
          <w:sz w:val="20"/>
        </w:rPr>
        <w:t> </w:t>
      </w:r>
      <w:r>
        <w:rPr>
          <w:sz w:val="20"/>
        </w:rPr>
        <w:t>ocurra</w:t>
      </w:r>
      <w:r>
        <w:rPr>
          <w:spacing w:val="-7"/>
          <w:sz w:val="20"/>
        </w:rPr>
        <w:t> </w:t>
      </w:r>
      <w:r>
        <w:rPr>
          <w:sz w:val="20"/>
        </w:rPr>
        <w:t>por</w:t>
      </w:r>
      <w:r>
        <w:rPr>
          <w:spacing w:val="-6"/>
          <w:sz w:val="20"/>
        </w:rPr>
        <w:t> </w:t>
      </w:r>
      <w:r>
        <w:rPr>
          <w:sz w:val="20"/>
        </w:rPr>
        <w:t>torpeza</w:t>
      </w:r>
      <w:r>
        <w:rPr>
          <w:spacing w:val="-8"/>
          <w:sz w:val="20"/>
        </w:rPr>
        <w:t> </w:t>
      </w:r>
      <w:r>
        <w:rPr>
          <w:sz w:val="20"/>
        </w:rPr>
        <w:t>o</w:t>
      </w:r>
      <w:r>
        <w:rPr>
          <w:spacing w:val="-5"/>
          <w:sz w:val="20"/>
        </w:rPr>
        <w:t> </w:t>
      </w:r>
      <w:r>
        <w:rPr>
          <w:sz w:val="20"/>
        </w:rPr>
        <w:t>negligencia</w:t>
      </w:r>
      <w:r>
        <w:rPr>
          <w:spacing w:val="-6"/>
          <w:sz w:val="20"/>
        </w:rPr>
        <w:t> </w:t>
      </w:r>
      <w:r>
        <w:rPr>
          <w:sz w:val="20"/>
        </w:rPr>
        <w:t>del</w:t>
      </w:r>
      <w:r>
        <w:rPr>
          <w:spacing w:val="-6"/>
          <w:sz w:val="20"/>
        </w:rPr>
        <w:t> </w:t>
      </w:r>
      <w:r>
        <w:rPr>
          <w:sz w:val="20"/>
        </w:rPr>
        <w:t>trabajador;</w:t>
      </w:r>
      <w:r>
        <w:rPr>
          <w:spacing w:val="-5"/>
          <w:sz w:val="20"/>
        </w:rPr>
        <w:t> </w:t>
      </w:r>
      <w:r>
        <w:rPr>
          <w:spacing w:val="-10"/>
          <w:sz w:val="20"/>
        </w:rPr>
        <w:t>y</w:t>
      </w:r>
    </w:p>
    <w:p>
      <w:pPr>
        <w:pStyle w:val="BodyText"/>
      </w:pPr>
    </w:p>
    <w:p>
      <w:pPr>
        <w:pStyle w:val="ListParagraph"/>
        <w:numPr>
          <w:ilvl w:val="0"/>
          <w:numId w:val="153"/>
        </w:numPr>
        <w:tabs>
          <w:tab w:pos="1195" w:val="left" w:leader="none"/>
        </w:tabs>
        <w:spacing w:line="242" w:lineRule="auto" w:before="1" w:after="0"/>
        <w:ind w:left="1195" w:right="347" w:hanging="569"/>
        <w:jc w:val="left"/>
        <w:rPr>
          <w:sz w:val="20"/>
        </w:rPr>
      </w:pPr>
      <w:r>
        <w:rPr>
          <w:sz w:val="20"/>
        </w:rPr>
        <w:t>Que el accidente sea causado por imprudencia o negligencia de algún compañero de trabajo o de una tercera persona.</w:t>
      </w:r>
    </w:p>
    <w:p>
      <w:pPr>
        <w:pStyle w:val="BodyText"/>
        <w:spacing w:line="242" w:lineRule="auto" w:before="225"/>
        <w:ind w:left="338" w:right="343" w:firstLine="288"/>
        <w:jc w:val="both"/>
      </w:pPr>
      <w:bookmarkStart w:name="Artículo_490" w:id="622"/>
      <w:bookmarkEnd w:id="622"/>
      <w:r>
        <w:rPr/>
      </w:r>
      <w:r>
        <w:rPr>
          <w:rFonts w:ascii="Arial" w:hAnsi="Arial"/>
          <w:b/>
        </w:rPr>
        <w:t>Artículo 490.- </w:t>
      </w:r>
      <w:r>
        <w:rPr/>
        <w:t>En los casos de falta inexcusable del patrón, la indemnización podrá aumentarse hasta en un veinticinco por ciento, a juicio del Tribunal. Hay falta inexcusable del patrón:</w:t>
      </w:r>
    </w:p>
    <w:p>
      <w:pPr>
        <w:spacing w:line="180"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ListParagraph"/>
        <w:numPr>
          <w:ilvl w:val="0"/>
          <w:numId w:val="154"/>
        </w:numPr>
        <w:tabs>
          <w:tab w:pos="1195" w:val="left" w:leader="none"/>
        </w:tabs>
        <w:spacing w:line="242" w:lineRule="auto" w:before="1" w:after="0"/>
        <w:ind w:left="1195" w:right="342" w:hanging="569"/>
        <w:jc w:val="left"/>
        <w:rPr>
          <w:sz w:val="20"/>
        </w:rPr>
      </w:pPr>
      <w:r>
        <w:rPr>
          <w:sz w:val="20"/>
        </w:rPr>
        <w:t>Si no cumple las disposiciones legales, reglamentarias y las contenidas en las normas oficiales mexicanas en materia de seguridad, salud y medio ambiente de trabajo;</w:t>
      </w:r>
    </w:p>
    <w:p>
      <w:pPr>
        <w:spacing w:line="180"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4"/>
        <w:rPr>
          <w:rFonts w:ascii="Times New Roman"/>
          <w:i/>
          <w:sz w:val="16"/>
        </w:rPr>
      </w:pPr>
    </w:p>
    <w:p>
      <w:pPr>
        <w:pStyle w:val="ListParagraph"/>
        <w:numPr>
          <w:ilvl w:val="0"/>
          <w:numId w:val="154"/>
        </w:numPr>
        <w:tabs>
          <w:tab w:pos="1195" w:val="left" w:leader="none"/>
        </w:tabs>
        <w:spacing w:line="242" w:lineRule="auto" w:before="1" w:after="0"/>
        <w:ind w:left="1195" w:right="345" w:hanging="569"/>
        <w:jc w:val="left"/>
        <w:rPr>
          <w:sz w:val="20"/>
        </w:rPr>
      </w:pPr>
      <w:r>
        <w:rPr>
          <w:sz w:val="20"/>
        </w:rPr>
        <w:t>Si</w:t>
      </w:r>
      <w:r>
        <w:rPr>
          <w:spacing w:val="-1"/>
          <w:sz w:val="20"/>
        </w:rPr>
        <w:t> </w:t>
      </w:r>
      <w:r>
        <w:rPr>
          <w:sz w:val="20"/>
        </w:rPr>
        <w:t>habiéndose</w:t>
      </w:r>
      <w:r>
        <w:rPr>
          <w:spacing w:val="-1"/>
          <w:sz w:val="20"/>
        </w:rPr>
        <w:t> </w:t>
      </w:r>
      <w:r>
        <w:rPr>
          <w:sz w:val="20"/>
        </w:rPr>
        <w:t>realizado</w:t>
      </w:r>
      <w:r>
        <w:rPr>
          <w:spacing w:val="-3"/>
          <w:sz w:val="20"/>
        </w:rPr>
        <w:t> </w:t>
      </w:r>
      <w:r>
        <w:rPr>
          <w:sz w:val="20"/>
        </w:rPr>
        <w:t>accidentes</w:t>
      </w:r>
      <w:r>
        <w:rPr>
          <w:spacing w:val="-2"/>
          <w:sz w:val="20"/>
        </w:rPr>
        <w:t> </w:t>
      </w:r>
      <w:r>
        <w:rPr>
          <w:sz w:val="20"/>
        </w:rPr>
        <w:t>anteriores,</w:t>
      </w:r>
      <w:r>
        <w:rPr>
          <w:spacing w:val="-3"/>
          <w:sz w:val="20"/>
        </w:rPr>
        <w:t> </w:t>
      </w:r>
      <w:r>
        <w:rPr>
          <w:sz w:val="20"/>
        </w:rPr>
        <w:t>no</w:t>
      </w:r>
      <w:r>
        <w:rPr>
          <w:spacing w:val="-1"/>
          <w:sz w:val="20"/>
        </w:rPr>
        <w:t> </w:t>
      </w:r>
      <w:r>
        <w:rPr>
          <w:sz w:val="20"/>
        </w:rPr>
        <w:t>adopta</w:t>
      </w:r>
      <w:r>
        <w:rPr>
          <w:spacing w:val="-1"/>
          <w:sz w:val="20"/>
        </w:rPr>
        <w:t> </w:t>
      </w:r>
      <w:r>
        <w:rPr>
          <w:sz w:val="20"/>
        </w:rPr>
        <w:t>las</w:t>
      </w:r>
      <w:r>
        <w:rPr>
          <w:spacing w:val="-2"/>
          <w:sz w:val="20"/>
        </w:rPr>
        <w:t> </w:t>
      </w:r>
      <w:r>
        <w:rPr>
          <w:sz w:val="20"/>
        </w:rPr>
        <w:t>medidas</w:t>
      </w:r>
      <w:r>
        <w:rPr>
          <w:spacing w:val="-2"/>
          <w:sz w:val="20"/>
        </w:rPr>
        <w:t> </w:t>
      </w:r>
      <w:r>
        <w:rPr>
          <w:sz w:val="20"/>
        </w:rPr>
        <w:t>adecuadas para</w:t>
      </w:r>
      <w:r>
        <w:rPr>
          <w:spacing w:val="-1"/>
          <w:sz w:val="20"/>
        </w:rPr>
        <w:t> </w:t>
      </w:r>
      <w:r>
        <w:rPr>
          <w:sz w:val="20"/>
        </w:rPr>
        <w:t>evitar</w:t>
      </w:r>
      <w:r>
        <w:rPr>
          <w:spacing w:val="-2"/>
          <w:sz w:val="20"/>
        </w:rPr>
        <w:t> </w:t>
      </w:r>
      <w:r>
        <w:rPr>
          <w:sz w:val="20"/>
        </w:rPr>
        <w:t>su </w:t>
      </w:r>
      <w:r>
        <w:rPr>
          <w:spacing w:val="-2"/>
          <w:sz w:val="20"/>
        </w:rPr>
        <w:t>repetición;</w:t>
      </w:r>
    </w:p>
    <w:p>
      <w:pPr>
        <w:pStyle w:val="ListParagraph"/>
        <w:numPr>
          <w:ilvl w:val="0"/>
          <w:numId w:val="154"/>
        </w:numPr>
        <w:tabs>
          <w:tab w:pos="1195" w:val="left" w:leader="none"/>
        </w:tabs>
        <w:spacing w:line="242" w:lineRule="auto" w:before="226" w:after="0"/>
        <w:ind w:left="1195" w:right="345" w:hanging="569"/>
        <w:jc w:val="left"/>
        <w:rPr>
          <w:sz w:val="20"/>
        </w:rPr>
      </w:pPr>
      <w:r>
        <w:rPr>
          <w:sz w:val="20"/>
        </w:rPr>
        <w:t>Si</w:t>
      </w:r>
      <w:r>
        <w:rPr>
          <w:spacing w:val="40"/>
          <w:sz w:val="20"/>
        </w:rPr>
        <w:t> </w:t>
      </w:r>
      <w:r>
        <w:rPr>
          <w:sz w:val="20"/>
        </w:rPr>
        <w:t>no</w:t>
      </w:r>
      <w:r>
        <w:rPr>
          <w:spacing w:val="40"/>
          <w:sz w:val="20"/>
        </w:rPr>
        <w:t> </w:t>
      </w:r>
      <w:r>
        <w:rPr>
          <w:sz w:val="20"/>
        </w:rPr>
        <w:t>adopta</w:t>
      </w:r>
      <w:r>
        <w:rPr>
          <w:spacing w:val="40"/>
          <w:sz w:val="20"/>
        </w:rPr>
        <w:t> </w:t>
      </w:r>
      <w:r>
        <w:rPr>
          <w:sz w:val="20"/>
        </w:rPr>
        <w:t>las</w:t>
      </w:r>
      <w:r>
        <w:rPr>
          <w:spacing w:val="40"/>
          <w:sz w:val="20"/>
        </w:rPr>
        <w:t> </w:t>
      </w:r>
      <w:r>
        <w:rPr>
          <w:sz w:val="20"/>
        </w:rPr>
        <w:t>medidas</w:t>
      </w:r>
      <w:r>
        <w:rPr>
          <w:spacing w:val="40"/>
          <w:sz w:val="20"/>
        </w:rPr>
        <w:t> </w:t>
      </w:r>
      <w:r>
        <w:rPr>
          <w:sz w:val="20"/>
        </w:rPr>
        <w:t>preventivas</w:t>
      </w:r>
      <w:r>
        <w:rPr>
          <w:spacing w:val="40"/>
          <w:sz w:val="20"/>
        </w:rPr>
        <w:t> </w:t>
      </w:r>
      <w:r>
        <w:rPr>
          <w:sz w:val="20"/>
        </w:rPr>
        <w:t>recomendadas</w:t>
      </w:r>
      <w:r>
        <w:rPr>
          <w:spacing w:val="40"/>
          <w:sz w:val="20"/>
        </w:rPr>
        <w:t> </w:t>
      </w:r>
      <w:r>
        <w:rPr>
          <w:sz w:val="20"/>
        </w:rPr>
        <w:t>por</w:t>
      </w:r>
      <w:r>
        <w:rPr>
          <w:spacing w:val="40"/>
          <w:sz w:val="20"/>
        </w:rPr>
        <w:t> </w:t>
      </w:r>
      <w:r>
        <w:rPr>
          <w:sz w:val="20"/>
        </w:rPr>
        <w:t>las</w:t>
      </w:r>
      <w:r>
        <w:rPr>
          <w:spacing w:val="40"/>
          <w:sz w:val="20"/>
        </w:rPr>
        <w:t> </w:t>
      </w:r>
      <w:r>
        <w:rPr>
          <w:sz w:val="20"/>
        </w:rPr>
        <w:t>comisiones</w:t>
      </w:r>
      <w:r>
        <w:rPr>
          <w:spacing w:val="40"/>
          <w:sz w:val="20"/>
        </w:rPr>
        <w:t> </w:t>
      </w:r>
      <w:r>
        <w:rPr>
          <w:sz w:val="20"/>
        </w:rPr>
        <w:t>creadas</w:t>
      </w:r>
      <w:r>
        <w:rPr>
          <w:spacing w:val="40"/>
          <w:sz w:val="20"/>
        </w:rPr>
        <w:t> </w:t>
      </w:r>
      <w:r>
        <w:rPr>
          <w:sz w:val="20"/>
        </w:rPr>
        <w:t>por</w:t>
      </w:r>
      <w:r>
        <w:rPr>
          <w:spacing w:val="40"/>
          <w:sz w:val="20"/>
        </w:rPr>
        <w:t> </w:t>
      </w:r>
      <w:r>
        <w:rPr>
          <w:sz w:val="20"/>
        </w:rPr>
        <w:t>los trabajadores y los patrones, o por las autoridades del Trabajo;</w:t>
      </w:r>
    </w:p>
    <w:p>
      <w:pPr>
        <w:pStyle w:val="ListParagraph"/>
        <w:numPr>
          <w:ilvl w:val="0"/>
          <w:numId w:val="154"/>
        </w:numPr>
        <w:tabs>
          <w:tab w:pos="1195" w:val="left" w:leader="none"/>
        </w:tabs>
        <w:spacing w:line="242" w:lineRule="auto" w:before="224" w:after="0"/>
        <w:ind w:left="1195" w:right="336" w:hanging="569"/>
        <w:jc w:val="left"/>
        <w:rPr>
          <w:sz w:val="20"/>
        </w:rPr>
      </w:pPr>
      <w:r>
        <w:rPr>
          <w:sz w:val="20"/>
        </w:rPr>
        <w:t>Si</w:t>
      </w:r>
      <w:r>
        <w:rPr>
          <w:spacing w:val="21"/>
          <w:sz w:val="20"/>
        </w:rPr>
        <w:t> </w:t>
      </w:r>
      <w:r>
        <w:rPr>
          <w:sz w:val="20"/>
        </w:rPr>
        <w:t>los</w:t>
      </w:r>
      <w:r>
        <w:rPr>
          <w:spacing w:val="23"/>
          <w:sz w:val="20"/>
        </w:rPr>
        <w:t> </w:t>
      </w:r>
      <w:r>
        <w:rPr>
          <w:sz w:val="20"/>
        </w:rPr>
        <w:t>trabajadores</w:t>
      </w:r>
      <w:r>
        <w:rPr>
          <w:spacing w:val="24"/>
          <w:sz w:val="20"/>
        </w:rPr>
        <w:t> </w:t>
      </w:r>
      <w:r>
        <w:rPr>
          <w:sz w:val="20"/>
        </w:rPr>
        <w:t>hacen</w:t>
      </w:r>
      <w:r>
        <w:rPr>
          <w:spacing w:val="24"/>
          <w:sz w:val="20"/>
        </w:rPr>
        <w:t> </w:t>
      </w:r>
      <w:r>
        <w:rPr>
          <w:sz w:val="20"/>
        </w:rPr>
        <w:t>notar</w:t>
      </w:r>
      <w:r>
        <w:rPr>
          <w:spacing w:val="23"/>
          <w:sz w:val="20"/>
        </w:rPr>
        <w:t> </w:t>
      </w:r>
      <w:r>
        <w:rPr>
          <w:sz w:val="20"/>
        </w:rPr>
        <w:t>al</w:t>
      </w:r>
      <w:r>
        <w:rPr>
          <w:spacing w:val="21"/>
          <w:sz w:val="20"/>
        </w:rPr>
        <w:t> </w:t>
      </w:r>
      <w:r>
        <w:rPr>
          <w:sz w:val="20"/>
        </w:rPr>
        <w:t>patrón</w:t>
      </w:r>
      <w:r>
        <w:rPr>
          <w:spacing w:val="22"/>
          <w:sz w:val="20"/>
        </w:rPr>
        <w:t> </w:t>
      </w:r>
      <w:r>
        <w:rPr>
          <w:sz w:val="20"/>
        </w:rPr>
        <w:t>el</w:t>
      </w:r>
      <w:r>
        <w:rPr>
          <w:spacing w:val="23"/>
          <w:sz w:val="20"/>
        </w:rPr>
        <w:t> </w:t>
      </w:r>
      <w:r>
        <w:rPr>
          <w:sz w:val="20"/>
        </w:rPr>
        <w:t>peligro</w:t>
      </w:r>
      <w:r>
        <w:rPr>
          <w:spacing w:val="24"/>
          <w:sz w:val="20"/>
        </w:rPr>
        <w:t> </w:t>
      </w:r>
      <w:r>
        <w:rPr>
          <w:sz w:val="20"/>
        </w:rPr>
        <w:t>que</w:t>
      </w:r>
      <w:r>
        <w:rPr>
          <w:spacing w:val="22"/>
          <w:sz w:val="20"/>
        </w:rPr>
        <w:t> </w:t>
      </w:r>
      <w:r>
        <w:rPr>
          <w:sz w:val="20"/>
        </w:rPr>
        <w:t>corren</w:t>
      </w:r>
      <w:r>
        <w:rPr>
          <w:spacing w:val="24"/>
          <w:sz w:val="20"/>
        </w:rPr>
        <w:t> </w:t>
      </w:r>
      <w:r>
        <w:rPr>
          <w:sz w:val="20"/>
        </w:rPr>
        <w:t>y</w:t>
      </w:r>
      <w:r>
        <w:rPr>
          <w:spacing w:val="19"/>
          <w:sz w:val="20"/>
        </w:rPr>
        <w:t> </w:t>
      </w:r>
      <w:r>
        <w:rPr>
          <w:sz w:val="20"/>
        </w:rPr>
        <w:t>éste</w:t>
      </w:r>
      <w:r>
        <w:rPr>
          <w:spacing w:val="22"/>
          <w:sz w:val="20"/>
        </w:rPr>
        <w:t> </w:t>
      </w:r>
      <w:r>
        <w:rPr>
          <w:sz w:val="20"/>
        </w:rPr>
        <w:t>no</w:t>
      </w:r>
      <w:r>
        <w:rPr>
          <w:spacing w:val="22"/>
          <w:sz w:val="20"/>
        </w:rPr>
        <w:t> </w:t>
      </w:r>
      <w:r>
        <w:rPr>
          <w:sz w:val="20"/>
        </w:rPr>
        <w:t>adopta</w:t>
      </w:r>
      <w:r>
        <w:rPr>
          <w:spacing w:val="22"/>
          <w:sz w:val="20"/>
        </w:rPr>
        <w:t> </w:t>
      </w:r>
      <w:r>
        <w:rPr>
          <w:sz w:val="20"/>
        </w:rPr>
        <w:t>las</w:t>
      </w:r>
      <w:r>
        <w:rPr>
          <w:spacing w:val="31"/>
          <w:sz w:val="20"/>
        </w:rPr>
        <w:t> </w:t>
      </w:r>
      <w:r>
        <w:rPr>
          <w:sz w:val="20"/>
        </w:rPr>
        <w:t>medidas adecuadas para evitarlo; y</w:t>
      </w:r>
    </w:p>
    <w:p>
      <w:pPr>
        <w:pStyle w:val="ListParagraph"/>
        <w:numPr>
          <w:ilvl w:val="0"/>
          <w:numId w:val="154"/>
        </w:numPr>
        <w:tabs>
          <w:tab w:pos="1195" w:val="left" w:leader="none"/>
        </w:tabs>
        <w:spacing w:line="242" w:lineRule="auto" w:before="227" w:after="0"/>
        <w:ind w:left="1195" w:right="342" w:hanging="569"/>
        <w:jc w:val="left"/>
        <w:rPr>
          <w:sz w:val="20"/>
        </w:rPr>
      </w:pPr>
      <w:r>
        <w:rPr>
          <w:sz w:val="20"/>
        </w:rPr>
        <w:t>Si</w:t>
      </w:r>
      <w:r>
        <w:rPr>
          <w:spacing w:val="66"/>
          <w:sz w:val="20"/>
        </w:rPr>
        <w:t> </w:t>
      </w:r>
      <w:r>
        <w:rPr>
          <w:sz w:val="20"/>
        </w:rPr>
        <w:t>concurren</w:t>
      </w:r>
      <w:r>
        <w:rPr>
          <w:spacing w:val="66"/>
          <w:sz w:val="20"/>
        </w:rPr>
        <w:t> </w:t>
      </w:r>
      <w:r>
        <w:rPr>
          <w:sz w:val="20"/>
        </w:rPr>
        <w:t>circunstancias</w:t>
      </w:r>
      <w:r>
        <w:rPr>
          <w:spacing w:val="66"/>
          <w:sz w:val="20"/>
        </w:rPr>
        <w:t> </w:t>
      </w:r>
      <w:r>
        <w:rPr>
          <w:sz w:val="20"/>
        </w:rPr>
        <w:t>análogas,</w:t>
      </w:r>
      <w:r>
        <w:rPr>
          <w:spacing w:val="67"/>
          <w:sz w:val="20"/>
        </w:rPr>
        <w:t> </w:t>
      </w:r>
      <w:r>
        <w:rPr>
          <w:sz w:val="20"/>
        </w:rPr>
        <w:t>de</w:t>
      </w:r>
      <w:r>
        <w:rPr>
          <w:spacing w:val="66"/>
          <w:sz w:val="20"/>
        </w:rPr>
        <w:t> </w:t>
      </w:r>
      <w:r>
        <w:rPr>
          <w:sz w:val="20"/>
        </w:rPr>
        <w:t>la</w:t>
      </w:r>
      <w:r>
        <w:rPr>
          <w:spacing w:val="67"/>
          <w:sz w:val="20"/>
        </w:rPr>
        <w:t> </w:t>
      </w:r>
      <w:r>
        <w:rPr>
          <w:sz w:val="20"/>
        </w:rPr>
        <w:t>misma</w:t>
      </w:r>
      <w:r>
        <w:rPr>
          <w:spacing w:val="65"/>
          <w:sz w:val="20"/>
        </w:rPr>
        <w:t> </w:t>
      </w:r>
      <w:r>
        <w:rPr>
          <w:sz w:val="20"/>
        </w:rPr>
        <w:t>gravedad</w:t>
      </w:r>
      <w:r>
        <w:rPr>
          <w:spacing w:val="67"/>
          <w:sz w:val="20"/>
        </w:rPr>
        <w:t> </w:t>
      </w:r>
      <w:r>
        <w:rPr>
          <w:sz w:val="20"/>
        </w:rPr>
        <w:t>a</w:t>
      </w:r>
      <w:r>
        <w:rPr>
          <w:spacing w:val="67"/>
          <w:sz w:val="20"/>
        </w:rPr>
        <w:t> </w:t>
      </w:r>
      <w:r>
        <w:rPr>
          <w:sz w:val="20"/>
        </w:rPr>
        <w:t>las</w:t>
      </w:r>
      <w:r>
        <w:rPr>
          <w:spacing w:val="68"/>
          <w:sz w:val="20"/>
        </w:rPr>
        <w:t> </w:t>
      </w:r>
      <w:r>
        <w:rPr>
          <w:sz w:val="20"/>
        </w:rPr>
        <w:t>mencionadas</w:t>
      </w:r>
      <w:r>
        <w:rPr>
          <w:spacing w:val="66"/>
          <w:sz w:val="20"/>
        </w:rPr>
        <w:t> </w:t>
      </w:r>
      <w:r>
        <w:rPr>
          <w:sz w:val="20"/>
        </w:rPr>
        <w:t>en</w:t>
      </w:r>
      <w:r>
        <w:rPr>
          <w:spacing w:val="67"/>
          <w:sz w:val="20"/>
        </w:rPr>
        <w:t> </w:t>
      </w:r>
      <w:r>
        <w:rPr>
          <w:sz w:val="20"/>
        </w:rPr>
        <w:t>las fracciones anteriores.</w:t>
      </w:r>
    </w:p>
    <w:p>
      <w:pPr>
        <w:pStyle w:val="BodyText"/>
        <w:spacing w:line="242" w:lineRule="auto" w:before="225"/>
        <w:ind w:left="338" w:right="346" w:firstLine="288"/>
        <w:jc w:val="both"/>
      </w:pPr>
      <w:bookmarkStart w:name="Artículo_491" w:id="623"/>
      <w:bookmarkEnd w:id="623"/>
      <w:r>
        <w:rPr/>
      </w:r>
      <w:r>
        <w:rPr>
          <w:rFonts w:ascii="Arial" w:hAnsi="Arial"/>
          <w:b/>
        </w:rPr>
        <w:t>Artículo</w:t>
      </w:r>
      <w:r>
        <w:rPr>
          <w:rFonts w:ascii="Arial" w:hAnsi="Arial"/>
          <w:b/>
          <w:spacing w:val="-2"/>
        </w:rPr>
        <w:t> </w:t>
      </w:r>
      <w:r>
        <w:rPr>
          <w:rFonts w:ascii="Arial" w:hAnsi="Arial"/>
          <w:b/>
        </w:rPr>
        <w:t>491.-</w:t>
      </w:r>
      <w:r>
        <w:rPr>
          <w:rFonts w:ascii="Arial" w:hAnsi="Arial"/>
          <w:b/>
          <w:spacing w:val="-4"/>
        </w:rPr>
        <w:t> </w:t>
      </w:r>
      <w:r>
        <w:rPr/>
        <w:t>Si</w:t>
      </w:r>
      <w:r>
        <w:rPr>
          <w:spacing w:val="-4"/>
        </w:rPr>
        <w:t> </w:t>
      </w:r>
      <w:r>
        <w:rPr/>
        <w:t>el</w:t>
      </w:r>
      <w:r>
        <w:rPr>
          <w:spacing w:val="-4"/>
        </w:rPr>
        <w:t> </w:t>
      </w:r>
      <w:r>
        <w:rPr/>
        <w:t>riesgo</w:t>
      </w:r>
      <w:r>
        <w:rPr>
          <w:spacing w:val="-3"/>
        </w:rPr>
        <w:t> </w:t>
      </w:r>
      <w:r>
        <w:rPr/>
        <w:t>produce</w:t>
      </w:r>
      <w:r>
        <w:rPr>
          <w:spacing w:val="-3"/>
        </w:rPr>
        <w:t> </w:t>
      </w:r>
      <w:r>
        <w:rPr/>
        <w:t>al</w:t>
      </w:r>
      <w:r>
        <w:rPr>
          <w:spacing w:val="-6"/>
        </w:rPr>
        <w:t> </w:t>
      </w:r>
      <w:r>
        <w:rPr/>
        <w:t>trabajador</w:t>
      </w:r>
      <w:r>
        <w:rPr>
          <w:spacing w:val="-5"/>
        </w:rPr>
        <w:t> </w:t>
      </w:r>
      <w:r>
        <w:rPr/>
        <w:t>una</w:t>
      </w:r>
      <w:r>
        <w:rPr>
          <w:spacing w:val="-3"/>
        </w:rPr>
        <w:t> </w:t>
      </w:r>
      <w:r>
        <w:rPr/>
        <w:t>incapacidad</w:t>
      </w:r>
      <w:r>
        <w:rPr>
          <w:spacing w:val="-3"/>
        </w:rPr>
        <w:t> </w:t>
      </w:r>
      <w:r>
        <w:rPr/>
        <w:t>temporal,</w:t>
      </w:r>
      <w:r>
        <w:rPr>
          <w:spacing w:val="-3"/>
        </w:rPr>
        <w:t> </w:t>
      </w:r>
      <w:r>
        <w:rPr/>
        <w:t>la</w:t>
      </w:r>
      <w:r>
        <w:rPr>
          <w:spacing w:val="-3"/>
        </w:rPr>
        <w:t> </w:t>
      </w:r>
      <w:r>
        <w:rPr/>
        <w:t>indemnización</w:t>
      </w:r>
      <w:r>
        <w:rPr>
          <w:spacing w:val="-5"/>
        </w:rPr>
        <w:t> </w:t>
      </w:r>
      <w:r>
        <w:rPr/>
        <w:t>consistirá en el pago íntegro del salario que deje de percibir mientras subsista la imposibilidad de trabajar. Este pago se hará desde el primer día de la incapacidad.</w:t>
      </w:r>
    </w:p>
    <w:p>
      <w:pPr>
        <w:pStyle w:val="BodyText"/>
        <w:spacing w:before="227"/>
        <w:ind w:left="338" w:right="333" w:firstLine="288"/>
        <w:jc w:val="both"/>
      </w:pPr>
      <w:r>
        <w:rPr/>
        <w:t>Si a los tres meses de iniciada una incapacidad no está el trabajador en aptitud de volver al trabajo, él mismo</w:t>
      </w:r>
      <w:r>
        <w:rPr>
          <w:spacing w:val="-1"/>
        </w:rPr>
        <w:t> </w:t>
      </w:r>
      <w:r>
        <w:rPr/>
        <w:t>o</w:t>
      </w:r>
      <w:r>
        <w:rPr>
          <w:spacing w:val="-1"/>
        </w:rPr>
        <w:t> </w:t>
      </w:r>
      <w:r>
        <w:rPr/>
        <w:t>el patrón</w:t>
      </w:r>
      <w:r>
        <w:rPr>
          <w:spacing w:val="-1"/>
        </w:rPr>
        <w:t> </w:t>
      </w:r>
      <w:r>
        <w:rPr/>
        <w:t>podrá pedir,</w:t>
      </w:r>
      <w:r>
        <w:rPr>
          <w:spacing w:val="-1"/>
        </w:rPr>
        <w:t> </w:t>
      </w:r>
      <w:r>
        <w:rPr/>
        <w:t>en vista de los certificados médicos respectivos,</w:t>
      </w:r>
      <w:r>
        <w:rPr>
          <w:spacing w:val="-1"/>
        </w:rPr>
        <w:t> </w:t>
      </w:r>
      <w:r>
        <w:rPr/>
        <w:t>de</w:t>
      </w:r>
      <w:r>
        <w:rPr>
          <w:spacing w:val="-1"/>
        </w:rPr>
        <w:t> </w:t>
      </w:r>
      <w:r>
        <w:rPr/>
        <w:t>los dictámenes que</w:t>
      </w:r>
      <w:r>
        <w:rPr>
          <w:spacing w:val="-1"/>
        </w:rPr>
        <w:t> </w:t>
      </w:r>
      <w:r>
        <w:rPr/>
        <w:t>se rindan y</w:t>
      </w:r>
      <w:r>
        <w:rPr>
          <w:spacing w:val="-2"/>
        </w:rPr>
        <w:t> </w:t>
      </w:r>
      <w:r>
        <w:rPr/>
        <w:t>de las pruebas conducentes, se resuelva si debe seguir sometido al mismo tratamiento médico y gozar de igual indemnización o procede declarar su incapacidad permanente con la indemnización a que tenga derecho. Estos exámenes podrán repetirse cada tres meses. El trabajador percibirá su salario</w:t>
      </w:r>
      <w:r>
        <w:rPr>
          <w:spacing w:val="40"/>
        </w:rPr>
        <w:t> </w:t>
      </w:r>
      <w:r>
        <w:rPr/>
        <w:t>hasta que se declare su incapacidad permanente y se determine la indemnización a que tenga derecho.</w:t>
      </w:r>
    </w:p>
    <w:p>
      <w:pPr>
        <w:pStyle w:val="BodyText"/>
        <w:spacing w:before="226"/>
        <w:ind w:left="338" w:right="339" w:firstLine="288"/>
        <w:jc w:val="both"/>
      </w:pPr>
      <w:bookmarkStart w:name="Artículo_492" w:id="624"/>
      <w:bookmarkEnd w:id="624"/>
      <w:r>
        <w:rPr/>
      </w:r>
      <w:r>
        <w:rPr>
          <w:rFonts w:ascii="Arial" w:hAnsi="Arial"/>
          <w:b/>
        </w:rPr>
        <w:t>Artículo 492.- </w:t>
      </w:r>
      <w:r>
        <w:rPr/>
        <w:t>Si el riesgo produce al trabajador una incapacidad permanente parcial, la</w:t>
      </w:r>
      <w:r>
        <w:rPr>
          <w:spacing w:val="40"/>
        </w:rPr>
        <w:t> </w:t>
      </w:r>
      <w:r>
        <w:rPr/>
        <w:t>indemnización consistirá en el pago del tanto por ciento que fija la tabla de valuación de incapacidades, calculado sobre el importe que debería pagarse si la incapacidad hubiese sido permanente total. Se tomará el tanto por ciento que corresponda entre el máximo y el mínimo establecidos, tomando en consideración la edad del trabajador, la importancia de la incapacidad y la mayor o menor aptitud para ejercer actividades remuneradas, semejantes a su profesión u oficio. Se tomará asimismo en consideración si el patrón se ha preocupado por la reeducación profesional del trabajador.</w:t>
      </w:r>
    </w:p>
    <w:p>
      <w:pPr>
        <w:pStyle w:val="BodyText"/>
        <w:spacing w:after="0"/>
        <w:jc w:val="both"/>
        <w:sectPr>
          <w:pgSz w:w="12240" w:h="15840"/>
          <w:pgMar w:header="724" w:footer="712" w:top="1880" w:bottom="900" w:left="1080" w:right="1080"/>
        </w:sectPr>
      </w:pPr>
    </w:p>
    <w:p>
      <w:pPr>
        <w:pStyle w:val="BodyText"/>
        <w:spacing w:before="63"/>
      </w:pPr>
    </w:p>
    <w:p>
      <w:pPr>
        <w:pStyle w:val="BodyText"/>
        <w:ind w:left="338" w:right="336" w:firstLine="288"/>
        <w:jc w:val="both"/>
      </w:pPr>
      <w:bookmarkStart w:name="Artículo_493" w:id="625"/>
      <w:bookmarkEnd w:id="625"/>
      <w:r>
        <w:rPr/>
      </w:r>
      <w:r>
        <w:rPr>
          <w:rFonts w:ascii="Arial" w:hAnsi="Arial"/>
          <w:b/>
        </w:rPr>
        <w:t>Artículo 493.- </w:t>
      </w:r>
      <w:r>
        <w:rPr/>
        <w:t>Si la incapacidad parcial consiste en la pérdida absoluta de las facultades o aptitudes del trabajador para desempeñar su profesión, el Tribunal podrá aumentar la indemnización hasta el</w:t>
      </w:r>
      <w:r>
        <w:rPr>
          <w:spacing w:val="40"/>
        </w:rPr>
        <w:t> </w:t>
      </w:r>
      <w:r>
        <w:rPr/>
        <w:t>monto de la que correspondería por incapacidad permanente total, tomando en consideración la importancia de la profesión y la posibilidad de desempeñar una de categoría similar, susceptible de producirle ingresos semejantes.</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right="344" w:firstLine="288"/>
        <w:jc w:val="both"/>
      </w:pPr>
      <w:bookmarkStart w:name="Artículo_494" w:id="626"/>
      <w:bookmarkEnd w:id="626"/>
      <w:r>
        <w:rPr/>
      </w:r>
      <w:r>
        <w:rPr>
          <w:rFonts w:ascii="Arial" w:hAnsi="Arial"/>
          <w:b/>
        </w:rPr>
        <w:t>Artículo 494.- </w:t>
      </w:r>
      <w:r>
        <w:rPr/>
        <w:t>El patrón no estará obligado a pagar una cantidad mayor de la que corresponda a la incapacidad permanente total aunque se reúnan más de dos incapacidades.</w:t>
      </w:r>
    </w:p>
    <w:p>
      <w:pPr>
        <w:pStyle w:val="BodyText"/>
        <w:spacing w:before="227"/>
        <w:ind w:left="338" w:right="343" w:firstLine="288"/>
        <w:jc w:val="both"/>
      </w:pPr>
      <w:bookmarkStart w:name="Artículo_495" w:id="627"/>
      <w:bookmarkEnd w:id="627"/>
      <w:r>
        <w:rPr/>
      </w:r>
      <w:r>
        <w:rPr>
          <w:rFonts w:ascii="Arial" w:hAnsi="Arial"/>
          <w:b/>
        </w:rPr>
        <w:t>Artículo 495.- </w:t>
      </w:r>
      <w:r>
        <w:rPr/>
        <w:t>Si el riesgo produce al trabajador una incapacidad permanente total, la indemnización consistirá en una cantidad equivalente al importe de mil noventa y cinco días de salario.</w:t>
      </w:r>
    </w:p>
    <w:p>
      <w:pPr>
        <w:pStyle w:val="BodyText"/>
        <w:spacing w:line="242" w:lineRule="auto" w:before="229"/>
        <w:ind w:left="338" w:right="344" w:firstLine="288"/>
        <w:jc w:val="both"/>
      </w:pPr>
      <w:bookmarkStart w:name="Artículo_496" w:id="628"/>
      <w:bookmarkEnd w:id="628"/>
      <w:r>
        <w:rPr/>
      </w:r>
      <w:r>
        <w:rPr>
          <w:rFonts w:ascii="Arial" w:hAnsi="Arial"/>
          <w:b/>
        </w:rPr>
        <w:t>Artículo 496.- </w:t>
      </w:r>
      <w:r>
        <w:rPr/>
        <w:t>Las indemnizaciones que debe percibir el trabajador en los casos de incapacidad permanente parcial o total, le serán pagadas íntegras, sin que se haga deducción de los salarios que percibió durante el período de incapacidad temporal.</w:t>
      </w:r>
    </w:p>
    <w:p>
      <w:pPr>
        <w:pStyle w:val="BodyText"/>
        <w:spacing w:line="242" w:lineRule="auto" w:before="223"/>
        <w:ind w:left="338" w:right="344" w:firstLine="288"/>
        <w:jc w:val="both"/>
      </w:pPr>
      <w:bookmarkStart w:name="Artículo_497" w:id="629"/>
      <w:bookmarkEnd w:id="629"/>
      <w:r>
        <w:rPr/>
      </w:r>
      <w:r>
        <w:rPr>
          <w:rFonts w:ascii="Arial" w:hAnsi="Arial"/>
          <w:b/>
        </w:rPr>
        <w:t>Artículo 497.- </w:t>
      </w:r>
      <w:r>
        <w:rPr/>
        <w:t>Dentro de los dos años siguientes al en que se hubiese fijado el grado de incapacidad, podrá el trabajador o el patrón solicitar la revisión del grado, si se comprueba una agravación o una atenuación posterior.</w:t>
      </w:r>
    </w:p>
    <w:p>
      <w:pPr>
        <w:pStyle w:val="BodyText"/>
        <w:spacing w:before="224"/>
        <w:ind w:left="338" w:right="338" w:firstLine="288"/>
        <w:jc w:val="both"/>
      </w:pPr>
      <w:bookmarkStart w:name="Artículo_498" w:id="630"/>
      <w:bookmarkEnd w:id="630"/>
      <w:r>
        <w:rPr/>
      </w:r>
      <w:r>
        <w:rPr>
          <w:rFonts w:ascii="Arial" w:hAnsi="Arial"/>
          <w:b/>
        </w:rPr>
        <w:t>Artículo 498.- </w:t>
      </w:r>
      <w:r>
        <w:rPr/>
        <w:t>El patrón está obligado a reponer en su empleo al trabajador que sufrió un riesgo de trabajo, si está capacitado, siempre que se presente dentro del año siguiente a la fecha en que se determinó su incapacidad.</w:t>
      </w:r>
    </w:p>
    <w:p>
      <w:pPr>
        <w:pStyle w:val="BodyText"/>
        <w:spacing w:before="2"/>
      </w:pPr>
    </w:p>
    <w:p>
      <w:pPr>
        <w:pStyle w:val="BodyText"/>
        <w:ind w:left="338" w:right="347" w:firstLine="288"/>
        <w:jc w:val="both"/>
      </w:pPr>
      <w:r>
        <w:rPr/>
        <w:t>No es aplicable lo dispuesto en el párrafo anterior si el trabajador recibió la indemnización por incapacidad permanente total.</w:t>
      </w:r>
    </w:p>
    <w:p>
      <w:pPr>
        <w:pStyle w:val="BodyText"/>
        <w:spacing w:line="242" w:lineRule="auto" w:before="227"/>
        <w:ind w:left="338" w:right="344" w:firstLine="288"/>
        <w:jc w:val="both"/>
      </w:pPr>
      <w:bookmarkStart w:name="Artículo_499" w:id="631"/>
      <w:bookmarkEnd w:id="631"/>
      <w:r>
        <w:rPr/>
      </w:r>
      <w:r>
        <w:rPr>
          <w:rFonts w:ascii="Arial" w:hAnsi="Arial"/>
          <w:b/>
        </w:rPr>
        <w:t>Artículo 499.- </w:t>
      </w:r>
      <w:r>
        <w:rPr/>
        <w:t>Si un trabajador víctima de un riesgo no puede desempeñar su trabajo, pero sí algún otro, el patrón estará obligado a proporcionárselo, de conformidad con las disposiciones del contrato colectivo de trabajo.</w:t>
      </w:r>
    </w:p>
    <w:p>
      <w:pPr>
        <w:pStyle w:val="BodyText"/>
        <w:spacing w:line="242" w:lineRule="auto" w:before="224"/>
        <w:ind w:left="338" w:right="345" w:firstLine="288"/>
        <w:jc w:val="both"/>
      </w:pPr>
      <w:bookmarkStart w:name="Artículo_500" w:id="632"/>
      <w:bookmarkEnd w:id="632"/>
      <w:r>
        <w:rPr/>
      </w:r>
      <w:r>
        <w:rPr>
          <w:rFonts w:ascii="Arial" w:hAnsi="Arial"/>
          <w:b/>
        </w:rPr>
        <w:t>Artículo 500.- </w:t>
      </w:r>
      <w:r>
        <w:rPr/>
        <w:t>Cuando el riesgo traiga como consecuencia la muerte o la desaparición derivada de un acto delincuencial del trabajador, la indemnización comprenderá:</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1"/>
        <w:rPr>
          <w:rFonts w:ascii="Times New Roman"/>
          <w:i/>
        </w:rPr>
      </w:pPr>
    </w:p>
    <w:p>
      <w:pPr>
        <w:pStyle w:val="ListParagraph"/>
        <w:numPr>
          <w:ilvl w:val="0"/>
          <w:numId w:val="155"/>
        </w:numPr>
        <w:tabs>
          <w:tab w:pos="1195" w:val="left" w:leader="none"/>
        </w:tabs>
        <w:spacing w:line="240" w:lineRule="auto" w:before="0" w:after="0"/>
        <w:ind w:left="1195" w:right="0" w:hanging="569"/>
        <w:jc w:val="left"/>
        <w:rPr>
          <w:sz w:val="20"/>
        </w:rPr>
      </w:pPr>
      <w:r>
        <w:rPr>
          <w:sz w:val="20"/>
        </w:rPr>
        <w:t>Dos</w:t>
      </w:r>
      <w:r>
        <w:rPr>
          <w:spacing w:val="-6"/>
          <w:sz w:val="20"/>
        </w:rPr>
        <w:t> </w:t>
      </w:r>
      <w:r>
        <w:rPr>
          <w:sz w:val="20"/>
        </w:rPr>
        <w:t>meses</w:t>
      </w:r>
      <w:r>
        <w:rPr>
          <w:spacing w:val="-6"/>
          <w:sz w:val="20"/>
        </w:rPr>
        <w:t> </w:t>
      </w:r>
      <w:r>
        <w:rPr>
          <w:sz w:val="20"/>
        </w:rPr>
        <w:t>de</w:t>
      </w:r>
      <w:r>
        <w:rPr>
          <w:spacing w:val="-7"/>
          <w:sz w:val="20"/>
        </w:rPr>
        <w:t> </w:t>
      </w:r>
      <w:r>
        <w:rPr>
          <w:sz w:val="20"/>
        </w:rPr>
        <w:t>salario</w:t>
      </w:r>
      <w:r>
        <w:rPr>
          <w:spacing w:val="-6"/>
          <w:sz w:val="20"/>
        </w:rPr>
        <w:t> </w:t>
      </w:r>
      <w:r>
        <w:rPr>
          <w:sz w:val="20"/>
        </w:rPr>
        <w:t>por</w:t>
      </w:r>
      <w:r>
        <w:rPr>
          <w:spacing w:val="-5"/>
          <w:sz w:val="20"/>
        </w:rPr>
        <w:t> </w:t>
      </w:r>
      <w:r>
        <w:rPr>
          <w:sz w:val="20"/>
        </w:rPr>
        <w:t>concepto</w:t>
      </w:r>
      <w:r>
        <w:rPr>
          <w:spacing w:val="-7"/>
          <w:sz w:val="20"/>
        </w:rPr>
        <w:t> </w:t>
      </w:r>
      <w:r>
        <w:rPr>
          <w:sz w:val="20"/>
        </w:rPr>
        <w:t>de</w:t>
      </w:r>
      <w:r>
        <w:rPr>
          <w:spacing w:val="-5"/>
          <w:sz w:val="20"/>
        </w:rPr>
        <w:t> </w:t>
      </w:r>
      <w:r>
        <w:rPr>
          <w:sz w:val="20"/>
        </w:rPr>
        <w:t>gastos</w:t>
      </w:r>
      <w:r>
        <w:rPr>
          <w:spacing w:val="-5"/>
          <w:sz w:val="20"/>
        </w:rPr>
        <w:t> </w:t>
      </w:r>
      <w:r>
        <w:rPr>
          <w:sz w:val="20"/>
        </w:rPr>
        <w:t>funerarios;</w:t>
      </w:r>
      <w:r>
        <w:rPr>
          <w:spacing w:val="-1"/>
          <w:sz w:val="20"/>
        </w:rPr>
        <w:t> </w:t>
      </w:r>
      <w:r>
        <w:rPr>
          <w:spacing w:val="-10"/>
          <w:sz w:val="20"/>
        </w:rPr>
        <w:t>y</w:t>
      </w:r>
    </w:p>
    <w:p>
      <w:pPr>
        <w:pStyle w:val="ListParagraph"/>
        <w:numPr>
          <w:ilvl w:val="0"/>
          <w:numId w:val="155"/>
        </w:numPr>
        <w:tabs>
          <w:tab w:pos="1195" w:val="left" w:leader="none"/>
        </w:tabs>
        <w:spacing w:line="240" w:lineRule="auto" w:before="229" w:after="0"/>
        <w:ind w:left="1195" w:right="0" w:hanging="569"/>
        <w:jc w:val="left"/>
        <w:rPr>
          <w:sz w:val="20"/>
        </w:rPr>
      </w:pPr>
      <w:r>
        <w:rPr>
          <w:sz w:val="20"/>
        </w:rPr>
        <w:t>El</w:t>
      </w:r>
      <w:r>
        <w:rPr>
          <w:spacing w:val="-4"/>
          <w:sz w:val="20"/>
        </w:rPr>
        <w:t> </w:t>
      </w:r>
      <w:r>
        <w:rPr>
          <w:sz w:val="20"/>
        </w:rPr>
        <w:t>pago</w:t>
      </w:r>
      <w:r>
        <w:rPr>
          <w:spacing w:val="-5"/>
          <w:sz w:val="20"/>
        </w:rPr>
        <w:t> </w:t>
      </w:r>
      <w:r>
        <w:rPr>
          <w:sz w:val="20"/>
        </w:rPr>
        <w:t>de</w:t>
      </w:r>
      <w:r>
        <w:rPr>
          <w:spacing w:val="-5"/>
          <w:sz w:val="20"/>
        </w:rPr>
        <w:t> </w:t>
      </w:r>
      <w:r>
        <w:rPr>
          <w:sz w:val="20"/>
        </w:rPr>
        <w:t>la</w:t>
      </w:r>
      <w:r>
        <w:rPr>
          <w:spacing w:val="-5"/>
          <w:sz w:val="20"/>
        </w:rPr>
        <w:t> </w:t>
      </w:r>
      <w:r>
        <w:rPr>
          <w:sz w:val="20"/>
        </w:rPr>
        <w:t>cantidad</w:t>
      </w:r>
      <w:r>
        <w:rPr>
          <w:spacing w:val="-5"/>
          <w:sz w:val="20"/>
        </w:rPr>
        <w:t> </w:t>
      </w:r>
      <w:r>
        <w:rPr>
          <w:sz w:val="20"/>
        </w:rPr>
        <w:t>que</w:t>
      </w:r>
      <w:r>
        <w:rPr>
          <w:spacing w:val="-4"/>
          <w:sz w:val="20"/>
        </w:rPr>
        <w:t> </w:t>
      </w:r>
      <w:r>
        <w:rPr>
          <w:sz w:val="20"/>
        </w:rPr>
        <w:t>fija</w:t>
      </w:r>
      <w:r>
        <w:rPr>
          <w:spacing w:val="-4"/>
          <w:sz w:val="20"/>
        </w:rPr>
        <w:t> </w:t>
      </w:r>
      <w:r>
        <w:rPr>
          <w:sz w:val="20"/>
        </w:rPr>
        <w:t>el</w:t>
      </w:r>
      <w:r>
        <w:rPr>
          <w:spacing w:val="-6"/>
          <w:sz w:val="20"/>
        </w:rPr>
        <w:t> </w:t>
      </w:r>
      <w:r>
        <w:rPr>
          <w:sz w:val="20"/>
        </w:rPr>
        <w:t>artículo</w:t>
      </w:r>
      <w:r>
        <w:rPr>
          <w:spacing w:val="-3"/>
          <w:sz w:val="20"/>
        </w:rPr>
        <w:t> </w:t>
      </w:r>
      <w:r>
        <w:rPr>
          <w:spacing w:val="-4"/>
          <w:sz w:val="20"/>
        </w:rPr>
        <w:t>502.</w:t>
      </w:r>
    </w:p>
    <w:p>
      <w:pPr>
        <w:pStyle w:val="BodyText"/>
      </w:pPr>
    </w:p>
    <w:p>
      <w:pPr>
        <w:pStyle w:val="BodyText"/>
        <w:spacing w:line="242" w:lineRule="auto"/>
        <w:ind w:left="338" w:firstLine="288"/>
      </w:pPr>
      <w:bookmarkStart w:name="Artículo_501" w:id="633"/>
      <w:bookmarkEnd w:id="633"/>
      <w:r>
        <w:rPr/>
      </w:r>
      <w:r>
        <w:rPr>
          <w:rFonts w:ascii="Arial" w:hAnsi="Arial"/>
          <w:b/>
        </w:rPr>
        <w:t>Artículo</w:t>
      </w:r>
      <w:r>
        <w:rPr>
          <w:rFonts w:ascii="Arial" w:hAnsi="Arial"/>
          <w:b/>
          <w:spacing w:val="40"/>
        </w:rPr>
        <w:t> </w:t>
      </w:r>
      <w:r>
        <w:rPr>
          <w:rFonts w:ascii="Arial" w:hAnsi="Arial"/>
          <w:b/>
        </w:rPr>
        <w:t>501.-</w:t>
      </w:r>
      <w:r>
        <w:rPr>
          <w:rFonts w:ascii="Arial" w:hAnsi="Arial"/>
          <w:b/>
          <w:spacing w:val="40"/>
        </w:rPr>
        <w:t> </w:t>
      </w:r>
      <w:r>
        <w:rPr/>
        <w:t>Tendrán</w:t>
      </w:r>
      <w:r>
        <w:rPr>
          <w:spacing w:val="40"/>
        </w:rPr>
        <w:t> </w:t>
      </w:r>
      <w:r>
        <w:rPr/>
        <w:t>derecho</w:t>
      </w:r>
      <w:r>
        <w:rPr>
          <w:spacing w:val="40"/>
        </w:rPr>
        <w:t> </w:t>
      </w:r>
      <w:r>
        <w:rPr/>
        <w:t>a</w:t>
      </w:r>
      <w:r>
        <w:rPr>
          <w:spacing w:val="40"/>
        </w:rPr>
        <w:t> </w:t>
      </w:r>
      <w:r>
        <w:rPr/>
        <w:t>recibir</w:t>
      </w:r>
      <w:r>
        <w:rPr>
          <w:spacing w:val="40"/>
        </w:rPr>
        <w:t> </w:t>
      </w:r>
      <w:r>
        <w:rPr/>
        <w:t>indemnización</w:t>
      </w:r>
      <w:r>
        <w:rPr>
          <w:spacing w:val="40"/>
        </w:rPr>
        <w:t> </w:t>
      </w:r>
      <w:r>
        <w:rPr/>
        <w:t>en</w:t>
      </w:r>
      <w:r>
        <w:rPr>
          <w:spacing w:val="40"/>
        </w:rPr>
        <w:t> </w:t>
      </w:r>
      <w:r>
        <w:rPr/>
        <w:t>los</w:t>
      </w:r>
      <w:r>
        <w:rPr>
          <w:spacing w:val="40"/>
        </w:rPr>
        <w:t> </w:t>
      </w:r>
      <w:r>
        <w:rPr/>
        <w:t>casos</w:t>
      </w:r>
      <w:r>
        <w:rPr>
          <w:spacing w:val="40"/>
        </w:rPr>
        <w:t> </w:t>
      </w:r>
      <w:r>
        <w:rPr/>
        <w:t>de</w:t>
      </w:r>
      <w:r>
        <w:rPr>
          <w:spacing w:val="40"/>
        </w:rPr>
        <w:t> </w:t>
      </w:r>
      <w:r>
        <w:rPr/>
        <w:t>muerte</w:t>
      </w:r>
      <w:r>
        <w:rPr>
          <w:spacing w:val="40"/>
        </w:rPr>
        <w:t> </w:t>
      </w:r>
      <w:r>
        <w:rPr/>
        <w:t>o</w:t>
      </w:r>
      <w:r>
        <w:rPr>
          <w:spacing w:val="40"/>
        </w:rPr>
        <w:t> </w:t>
      </w:r>
      <w:r>
        <w:rPr/>
        <w:t>desaparición derivada de un acto delincuencial:</w:t>
      </w:r>
    </w:p>
    <w:p>
      <w:pPr>
        <w:spacing w:line="181" w:lineRule="exact" w:before="0"/>
        <w:ind w:left="571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31-12-1974,</w:t>
      </w:r>
      <w:r>
        <w:rPr>
          <w:rFonts w:ascii="Times New Roman" w:hAnsi="Times New Roman"/>
          <w:i/>
          <w:color w:val="0000FF"/>
          <w:spacing w:val="-10"/>
          <w:sz w:val="16"/>
        </w:rPr>
        <w:t> </w:t>
      </w:r>
      <w:r>
        <w:rPr>
          <w:rFonts w:ascii="Times New Roman" w:hAnsi="Times New Roman"/>
          <w:i/>
          <w:color w:val="0000FF"/>
          <w:sz w:val="16"/>
        </w:rPr>
        <w:t>22-06-2018,</w:t>
      </w:r>
      <w:r>
        <w:rPr>
          <w:rFonts w:ascii="Times New Roman" w:hAnsi="Times New Roman"/>
          <w:i/>
          <w:color w:val="0000FF"/>
          <w:spacing w:val="-10"/>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56"/>
        </w:numPr>
        <w:tabs>
          <w:tab w:pos="1193" w:val="left" w:leader="none"/>
          <w:tab w:pos="1195" w:val="left" w:leader="none"/>
        </w:tabs>
        <w:spacing w:line="240" w:lineRule="auto" w:before="0" w:after="0"/>
        <w:ind w:left="1195" w:right="335" w:hanging="569"/>
        <w:jc w:val="both"/>
        <w:rPr>
          <w:sz w:val="20"/>
        </w:rPr>
      </w:pPr>
      <w:r>
        <w:rPr>
          <w:sz w:val="20"/>
        </w:rPr>
        <w:t>La viuda o el viudo, los hijos menores de dieciocho años y los mayores de esta edad si tienen una incapacidad de cincuenta por ciento o más, así como los hijos de hasta veinticinco años</w:t>
      </w:r>
      <w:r>
        <w:rPr>
          <w:spacing w:val="40"/>
          <w:sz w:val="20"/>
        </w:rPr>
        <w:t> </w:t>
      </w:r>
      <w:r>
        <w:rPr>
          <w:sz w:val="20"/>
        </w:rPr>
        <w:t>que se encuentran estudiando en algún plantel del sistema educativo nacional; en ningún caso se efectuará la investigación de dependencia económica, dado que estos reclamantes tienen la presunción a su favor de la dependencia económica;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righ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ListParagraph"/>
        <w:numPr>
          <w:ilvl w:val="0"/>
          <w:numId w:val="156"/>
        </w:numPr>
        <w:tabs>
          <w:tab w:pos="1192" w:val="left" w:leader="none"/>
          <w:tab w:pos="1195" w:val="left" w:leader="none"/>
        </w:tabs>
        <w:spacing w:line="242" w:lineRule="auto" w:before="0" w:after="0"/>
        <w:ind w:left="1195" w:right="337" w:hanging="569"/>
        <w:jc w:val="both"/>
        <w:rPr>
          <w:sz w:val="20"/>
        </w:rPr>
      </w:pPr>
      <w:r>
        <w:rPr>
          <w:sz w:val="20"/>
        </w:rPr>
        <w:t>Los ascendientes concurrirán con las personas mencionadas en la fracción anterior sin necesidad de realizar investigación económica, a menos que se pruebe que no dependían económicamente del trabajador;</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56"/>
        </w:numPr>
        <w:tabs>
          <w:tab w:pos="1191" w:val="left" w:leader="none"/>
          <w:tab w:pos="1195" w:val="left" w:leader="none"/>
        </w:tabs>
        <w:spacing w:line="240" w:lineRule="auto" w:before="0" w:after="0"/>
        <w:ind w:left="1195" w:right="337" w:hanging="569"/>
        <w:jc w:val="both"/>
        <w:rPr>
          <w:sz w:val="20"/>
        </w:rPr>
      </w:pPr>
      <w:r>
        <w:rPr>
          <w:sz w:val="20"/>
        </w:rPr>
        <w:t>A falta de cónyuge supérstite, concurrirá con las personas señaladas en las dos fracciones anteriores, la persona con quien el trabajador vivió como si fuera su cónyuge durante los cinco años que precedieron inmediatamente a su muerte, o con la que tuvo hijos, sin necesidad de realizar investigación económica, siempre que ambos hubieran permanecido libres de matrimonio durante el concubinato;</w:t>
      </w:r>
    </w:p>
    <w:p>
      <w:pPr>
        <w:spacing w:line="184" w:lineRule="exact" w:before="0"/>
        <w:ind w:left="563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31-12-1974,</w:t>
      </w:r>
      <w:r>
        <w:rPr>
          <w:rFonts w:ascii="Times New Roman" w:hAnsi="Times New Roman"/>
          <w:i/>
          <w:color w:val="0000FF"/>
          <w:spacing w:val="-9"/>
          <w:sz w:val="16"/>
        </w:rPr>
        <w:t> </w:t>
      </w:r>
      <w:r>
        <w:rPr>
          <w:rFonts w:ascii="Times New Roman" w:hAnsi="Times New Roman"/>
          <w:i/>
          <w:color w:val="0000FF"/>
          <w:sz w:val="16"/>
        </w:rPr>
        <w:t>31-12-1975,</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56"/>
        </w:numPr>
        <w:tabs>
          <w:tab w:pos="1195" w:val="left" w:leader="none"/>
        </w:tabs>
        <w:spacing w:line="242" w:lineRule="auto" w:before="1" w:after="0"/>
        <w:ind w:left="1195" w:right="341" w:hanging="569"/>
        <w:jc w:val="both"/>
        <w:rPr>
          <w:sz w:val="20"/>
        </w:rPr>
      </w:pPr>
      <w:r>
        <w:rPr>
          <w:sz w:val="20"/>
        </w:rPr>
        <w:t>Las personas que dependían económicamente del trabajador concurrirán con quienes estén contemplados en cualquiera de las hipótesis de las fracciones anteriores, debiendo acreditar la dependencia económica,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31-12-1974,</w:t>
      </w:r>
      <w:r>
        <w:rPr>
          <w:rFonts w:ascii="Times New Roman" w:hAnsi="Times New Roman"/>
          <w:i/>
          <w:color w:val="0000FF"/>
          <w:spacing w:val="-9"/>
          <w:sz w:val="16"/>
        </w:rPr>
        <w:t> </w:t>
      </w:r>
      <w:r>
        <w:rPr>
          <w:rFonts w:ascii="Times New Roman" w:hAnsi="Times New Roman"/>
          <w:i/>
          <w:color w:val="0000FF"/>
          <w:sz w:val="16"/>
        </w:rPr>
        <w:t>31-12-1975,</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56"/>
        </w:numPr>
        <w:tabs>
          <w:tab w:pos="1195" w:val="left" w:leader="none"/>
        </w:tabs>
        <w:spacing w:line="242" w:lineRule="auto" w:before="0" w:after="0"/>
        <w:ind w:left="1195" w:right="345" w:hanging="569"/>
        <w:jc w:val="both"/>
        <w:rPr>
          <w:sz w:val="20"/>
        </w:rPr>
      </w:pPr>
      <w:r>
        <w:rPr>
          <w:sz w:val="20"/>
        </w:rPr>
        <w:t>A falta de las personas mencionadas en las fracciones anteriores, el Instituto Mexicano del Seguro Social.</w:t>
      </w:r>
    </w:p>
    <w:p>
      <w:pPr>
        <w:pStyle w:val="BodyText"/>
        <w:spacing w:line="242" w:lineRule="auto" w:before="224"/>
        <w:ind w:left="338" w:right="338" w:firstLine="288"/>
        <w:jc w:val="both"/>
      </w:pPr>
      <w:bookmarkStart w:name="Artículo_502" w:id="634"/>
      <w:bookmarkEnd w:id="634"/>
      <w:r>
        <w:rPr/>
      </w:r>
      <w:r>
        <w:rPr>
          <w:rFonts w:ascii="Arial" w:hAnsi="Arial"/>
          <w:b/>
        </w:rPr>
        <w:t>Artículo 502.- </w:t>
      </w:r>
      <w:r>
        <w:rPr/>
        <w:t>En caso de muerte o por desaparición derivada de un acto delincuencial</w:t>
      </w:r>
      <w:r>
        <w:rPr>
          <w:spacing w:val="-1"/>
        </w:rPr>
        <w:t> </w:t>
      </w:r>
      <w:r>
        <w:rPr/>
        <w:t>del trabajador, la indemnización que corresponda a las personas a que se refiere el artículo anterior será la cantidad equivalente al importe</w:t>
      </w:r>
      <w:r>
        <w:rPr>
          <w:spacing w:val="-1"/>
        </w:rPr>
        <w:t> </w:t>
      </w:r>
      <w:r>
        <w:rPr/>
        <w:t>de</w:t>
      </w:r>
      <w:r>
        <w:rPr>
          <w:spacing w:val="-1"/>
        </w:rPr>
        <w:t> </w:t>
      </w:r>
      <w:r>
        <w:rPr/>
        <w:t>cinco</w:t>
      </w:r>
      <w:r>
        <w:rPr>
          <w:spacing w:val="-1"/>
        </w:rPr>
        <w:t> </w:t>
      </w:r>
      <w:r>
        <w:rPr/>
        <w:t>mil</w:t>
      </w:r>
      <w:r>
        <w:rPr>
          <w:spacing w:val="-2"/>
        </w:rPr>
        <w:t> </w:t>
      </w:r>
      <w:r>
        <w:rPr/>
        <w:t>días de</w:t>
      </w:r>
      <w:r>
        <w:rPr>
          <w:spacing w:val="-2"/>
        </w:rPr>
        <w:t> </w:t>
      </w:r>
      <w:r>
        <w:rPr/>
        <w:t>salario,</w:t>
      </w:r>
      <w:r>
        <w:rPr>
          <w:spacing w:val="-1"/>
        </w:rPr>
        <w:t> </w:t>
      </w:r>
      <w:r>
        <w:rPr/>
        <w:t>sin deducir la indemnización</w:t>
      </w:r>
      <w:r>
        <w:rPr>
          <w:spacing w:val="-1"/>
        </w:rPr>
        <w:t> </w:t>
      </w:r>
      <w:r>
        <w:rPr/>
        <w:t>que</w:t>
      </w:r>
      <w:r>
        <w:rPr>
          <w:spacing w:val="-2"/>
        </w:rPr>
        <w:t> </w:t>
      </w:r>
      <w:r>
        <w:rPr/>
        <w:t>percibió</w:t>
      </w:r>
      <w:r>
        <w:rPr>
          <w:spacing w:val="-1"/>
        </w:rPr>
        <w:t> </w:t>
      </w:r>
      <w:r>
        <w:rPr/>
        <w:t>el</w:t>
      </w:r>
      <w:r>
        <w:rPr>
          <w:spacing w:val="-2"/>
        </w:rPr>
        <w:t> </w:t>
      </w:r>
      <w:r>
        <w:rPr/>
        <w:t>trabajador durante el tiempo en que estuvo sometido al régimen de incapacidad temporal.</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338" w:right="336" w:firstLine="288"/>
        <w:jc w:val="both"/>
      </w:pPr>
      <w:bookmarkStart w:name="Artículo_503" w:id="635"/>
      <w:bookmarkEnd w:id="635"/>
      <w:r>
        <w:rPr/>
      </w:r>
      <w:r>
        <w:rPr>
          <w:rFonts w:ascii="Arial" w:hAnsi="Arial"/>
          <w:b/>
        </w:rPr>
        <w:t>Artículo 503.- </w:t>
      </w:r>
      <w:r>
        <w:rPr/>
        <w:t>Para el pago de la indemnización en los casos de muerte o desaparición derivada de actos delincuenciales, por riesgo de trabajo, se observarán las normas siguientes:</w:t>
      </w:r>
    </w:p>
    <w:p>
      <w:pPr>
        <w:pStyle w:val="ListParagraph"/>
        <w:numPr>
          <w:ilvl w:val="0"/>
          <w:numId w:val="157"/>
        </w:numPr>
        <w:tabs>
          <w:tab w:pos="1193" w:val="left" w:leader="none"/>
          <w:tab w:pos="1195" w:val="left" w:leader="none"/>
        </w:tabs>
        <w:spacing w:line="240" w:lineRule="auto" w:before="227" w:after="0"/>
        <w:ind w:left="1195" w:right="340" w:hanging="569"/>
        <w:jc w:val="both"/>
        <w:rPr>
          <w:sz w:val="20"/>
        </w:rPr>
      </w:pPr>
      <w:r>
        <w:rPr>
          <w:sz w:val="20"/>
        </w:rPr>
        <w:t>La Inspección del Trabajo que reciba el aviso de la muerte o de la desaparición por actos delincuenciales, o el Tribunal ante el que se inicie el reclamo del pago de la indemnización, mandará practicar dentro de las setenta y</w:t>
      </w:r>
      <w:r>
        <w:rPr>
          <w:spacing w:val="-3"/>
          <w:sz w:val="20"/>
        </w:rPr>
        <w:t> </w:t>
      </w:r>
      <w:r>
        <w:rPr>
          <w:sz w:val="20"/>
        </w:rPr>
        <w:t>dos horas siguientes una investigación encaminada a averiguar qué personas dependían económicamente del trabajador y ordenará se fije un aviso en lugar visible del establecimiento donde prestaba sus servicios, convocando a los beneficiarios para que comparezcan ante el Tribunal del conocimiento, dentro de un término de treinta días naturales, a ejercitar sus derechos;</w:t>
      </w:r>
    </w:p>
    <w:p>
      <w:pPr>
        <w:pStyle w:val="ListParagraph"/>
        <w:numPr>
          <w:ilvl w:val="0"/>
          <w:numId w:val="157"/>
        </w:numPr>
        <w:tabs>
          <w:tab w:pos="1192" w:val="left" w:leader="none"/>
          <w:tab w:pos="1195" w:val="left" w:leader="none"/>
        </w:tabs>
        <w:spacing w:line="242" w:lineRule="auto" w:before="229" w:after="0"/>
        <w:ind w:left="1195" w:right="340" w:hanging="569"/>
        <w:jc w:val="both"/>
        <w:rPr>
          <w:sz w:val="20"/>
        </w:rPr>
      </w:pPr>
      <w:r>
        <w:rPr>
          <w:sz w:val="20"/>
        </w:rPr>
        <w:t>Si la residencia del trabajador en el lugar de su muerte o cuando sucedió la desaparición por actos delincuenciales era menor de seis meses, se girará exhorto al Tribunal o al Inspector del Trabajo del lugar de la última residencia, a fin de que se practique la investigación y se fije el aviso mencionado en la fracción anterior;</w:t>
      </w:r>
    </w:p>
    <w:p>
      <w:pPr>
        <w:pStyle w:val="ListParagraph"/>
        <w:numPr>
          <w:ilvl w:val="0"/>
          <w:numId w:val="157"/>
        </w:numPr>
        <w:tabs>
          <w:tab w:pos="1191" w:val="left" w:leader="none"/>
          <w:tab w:pos="1195" w:val="left" w:leader="none"/>
        </w:tabs>
        <w:spacing w:line="242" w:lineRule="auto" w:before="220" w:after="0"/>
        <w:ind w:left="1195" w:right="342" w:hanging="569"/>
        <w:jc w:val="both"/>
        <w:rPr>
          <w:sz w:val="20"/>
        </w:rPr>
      </w:pPr>
      <w:r>
        <w:rPr>
          <w:sz w:val="20"/>
        </w:rPr>
        <w:t>El Tribunal o el Inspector del Trabajo, independientemente del aviso a que se refiere la fracción I, podrán emplear los medios publicitarios que juzguen conveniente para convocar a los </w:t>
      </w:r>
      <w:r>
        <w:rPr>
          <w:spacing w:val="-2"/>
          <w:sz w:val="20"/>
        </w:rPr>
        <w:t>beneficiarios;</w:t>
      </w:r>
    </w:p>
    <w:p>
      <w:pPr>
        <w:pStyle w:val="ListParagraph"/>
        <w:numPr>
          <w:ilvl w:val="0"/>
          <w:numId w:val="157"/>
        </w:numPr>
        <w:tabs>
          <w:tab w:pos="1195" w:val="left" w:leader="none"/>
        </w:tabs>
        <w:spacing w:line="240" w:lineRule="auto" w:before="226" w:after="0"/>
        <w:ind w:left="1195" w:right="0" w:hanging="569"/>
        <w:jc w:val="left"/>
        <w:rPr>
          <w:sz w:val="20"/>
        </w:rPr>
      </w:pPr>
      <w:r>
        <w:rPr>
          <w:sz w:val="20"/>
        </w:rPr>
        <w:t>El</w:t>
      </w:r>
      <w:r>
        <w:rPr>
          <w:spacing w:val="-9"/>
          <w:sz w:val="20"/>
        </w:rPr>
        <w:t> </w:t>
      </w:r>
      <w:r>
        <w:rPr>
          <w:sz w:val="20"/>
        </w:rPr>
        <w:t>Inspector</w:t>
      </w:r>
      <w:r>
        <w:rPr>
          <w:spacing w:val="-5"/>
          <w:sz w:val="20"/>
        </w:rPr>
        <w:t> </w:t>
      </w:r>
      <w:r>
        <w:rPr>
          <w:sz w:val="20"/>
        </w:rPr>
        <w:t>del</w:t>
      </w:r>
      <w:r>
        <w:rPr>
          <w:spacing w:val="-7"/>
          <w:sz w:val="20"/>
        </w:rPr>
        <w:t> </w:t>
      </w:r>
      <w:r>
        <w:rPr>
          <w:sz w:val="20"/>
        </w:rPr>
        <w:t>Trabajo,</w:t>
      </w:r>
      <w:r>
        <w:rPr>
          <w:spacing w:val="-8"/>
          <w:sz w:val="20"/>
        </w:rPr>
        <w:t> </w:t>
      </w:r>
      <w:r>
        <w:rPr>
          <w:sz w:val="20"/>
        </w:rPr>
        <w:t>concluida</w:t>
      </w:r>
      <w:r>
        <w:rPr>
          <w:spacing w:val="-7"/>
          <w:sz w:val="20"/>
        </w:rPr>
        <w:t> </w:t>
      </w:r>
      <w:r>
        <w:rPr>
          <w:sz w:val="20"/>
        </w:rPr>
        <w:t>la</w:t>
      </w:r>
      <w:r>
        <w:rPr>
          <w:spacing w:val="-6"/>
          <w:sz w:val="20"/>
        </w:rPr>
        <w:t> </w:t>
      </w:r>
      <w:r>
        <w:rPr>
          <w:sz w:val="20"/>
        </w:rPr>
        <w:t>investigación,</w:t>
      </w:r>
      <w:r>
        <w:rPr>
          <w:spacing w:val="-8"/>
          <w:sz w:val="20"/>
        </w:rPr>
        <w:t> </w:t>
      </w:r>
      <w:r>
        <w:rPr>
          <w:sz w:val="20"/>
        </w:rPr>
        <w:t>remitirá</w:t>
      </w:r>
      <w:r>
        <w:rPr>
          <w:spacing w:val="-8"/>
          <w:sz w:val="20"/>
        </w:rPr>
        <w:t> </w:t>
      </w:r>
      <w:r>
        <w:rPr>
          <w:sz w:val="20"/>
        </w:rPr>
        <w:t>el</w:t>
      </w:r>
      <w:r>
        <w:rPr>
          <w:spacing w:val="-9"/>
          <w:sz w:val="20"/>
        </w:rPr>
        <w:t> </w:t>
      </w:r>
      <w:r>
        <w:rPr>
          <w:sz w:val="20"/>
        </w:rPr>
        <w:t>expediente</w:t>
      </w:r>
      <w:r>
        <w:rPr>
          <w:spacing w:val="-7"/>
          <w:sz w:val="20"/>
        </w:rPr>
        <w:t> </w:t>
      </w:r>
      <w:r>
        <w:rPr>
          <w:sz w:val="20"/>
        </w:rPr>
        <w:t>al</w:t>
      </w:r>
      <w:r>
        <w:rPr>
          <w:spacing w:val="-9"/>
          <w:sz w:val="20"/>
        </w:rPr>
        <w:t> </w:t>
      </w:r>
      <w:r>
        <w:rPr>
          <w:spacing w:val="-2"/>
          <w:sz w:val="20"/>
        </w:rPr>
        <w:t>Tribunal;</w:t>
      </w:r>
    </w:p>
    <w:p>
      <w:pPr>
        <w:pStyle w:val="ListParagraph"/>
        <w:numPr>
          <w:ilvl w:val="0"/>
          <w:numId w:val="157"/>
        </w:numPr>
        <w:tabs>
          <w:tab w:pos="1195" w:val="left" w:leader="none"/>
        </w:tabs>
        <w:spacing w:line="242" w:lineRule="auto" w:before="228" w:after="0"/>
        <w:ind w:left="1195" w:right="333" w:hanging="569"/>
        <w:jc w:val="both"/>
        <w:rPr>
          <w:sz w:val="20"/>
        </w:rPr>
      </w:pPr>
      <w:r>
        <w:rPr>
          <w:sz w:val="20"/>
        </w:rPr>
        <w:t>Satisfechos los requisitos señalados en las fracciones que anteceden y comprobada la naturaleza</w:t>
      </w:r>
      <w:r>
        <w:rPr>
          <w:spacing w:val="-2"/>
          <w:sz w:val="20"/>
        </w:rPr>
        <w:t> </w:t>
      </w:r>
      <w:r>
        <w:rPr>
          <w:sz w:val="20"/>
        </w:rPr>
        <w:t>del</w:t>
      </w:r>
      <w:r>
        <w:rPr>
          <w:spacing w:val="-5"/>
          <w:sz w:val="20"/>
        </w:rPr>
        <w:t> </w:t>
      </w:r>
      <w:r>
        <w:rPr>
          <w:sz w:val="20"/>
        </w:rPr>
        <w:t>riesgo,</w:t>
      </w:r>
      <w:r>
        <w:rPr>
          <w:spacing w:val="-2"/>
          <w:sz w:val="20"/>
        </w:rPr>
        <w:t> </w:t>
      </w:r>
      <w:r>
        <w:rPr>
          <w:sz w:val="20"/>
        </w:rPr>
        <w:t>el</w:t>
      </w:r>
      <w:r>
        <w:rPr>
          <w:spacing w:val="-5"/>
          <w:sz w:val="20"/>
        </w:rPr>
        <w:t> </w:t>
      </w:r>
      <w:r>
        <w:rPr>
          <w:sz w:val="20"/>
        </w:rPr>
        <w:t>Tribunal</w:t>
      </w:r>
      <w:r>
        <w:rPr>
          <w:spacing w:val="-3"/>
          <w:sz w:val="20"/>
        </w:rPr>
        <w:t> </w:t>
      </w:r>
      <w:r>
        <w:rPr>
          <w:sz w:val="20"/>
        </w:rPr>
        <w:t>procederá</w:t>
      </w:r>
      <w:r>
        <w:rPr>
          <w:spacing w:val="-4"/>
          <w:sz w:val="20"/>
        </w:rPr>
        <w:t> </w:t>
      </w:r>
      <w:r>
        <w:rPr>
          <w:sz w:val="20"/>
        </w:rPr>
        <w:t>de</w:t>
      </w:r>
      <w:r>
        <w:rPr>
          <w:spacing w:val="-4"/>
          <w:sz w:val="20"/>
        </w:rPr>
        <w:t> </w:t>
      </w:r>
      <w:r>
        <w:rPr>
          <w:sz w:val="20"/>
        </w:rPr>
        <w:t>conformidad</w:t>
      </w:r>
      <w:r>
        <w:rPr>
          <w:spacing w:val="-4"/>
          <w:sz w:val="20"/>
        </w:rPr>
        <w:t> </w:t>
      </w:r>
      <w:r>
        <w:rPr>
          <w:sz w:val="20"/>
        </w:rPr>
        <w:t>con</w:t>
      </w:r>
      <w:r>
        <w:rPr>
          <w:spacing w:val="-3"/>
          <w:sz w:val="20"/>
        </w:rPr>
        <w:t> </w:t>
      </w:r>
      <w:r>
        <w:rPr>
          <w:sz w:val="20"/>
        </w:rPr>
        <w:t>lo</w:t>
      </w:r>
      <w:r>
        <w:rPr>
          <w:spacing w:val="-2"/>
          <w:sz w:val="20"/>
        </w:rPr>
        <w:t> </w:t>
      </w:r>
      <w:r>
        <w:rPr>
          <w:sz w:val="20"/>
        </w:rPr>
        <w:t>establecido</w:t>
      </w:r>
      <w:r>
        <w:rPr>
          <w:spacing w:val="-2"/>
          <w:sz w:val="20"/>
        </w:rPr>
        <w:t> </w:t>
      </w:r>
      <w:r>
        <w:rPr>
          <w:sz w:val="20"/>
        </w:rPr>
        <w:t>en</w:t>
      </w:r>
      <w:r>
        <w:rPr>
          <w:spacing w:val="-4"/>
          <w:sz w:val="20"/>
        </w:rPr>
        <w:t> </w:t>
      </w:r>
      <w:r>
        <w:rPr>
          <w:sz w:val="20"/>
        </w:rPr>
        <w:t>el</w:t>
      </w:r>
      <w:r>
        <w:rPr>
          <w:spacing w:val="-5"/>
          <w:sz w:val="20"/>
        </w:rPr>
        <w:t> </w:t>
      </w:r>
      <w:r>
        <w:rPr>
          <w:sz w:val="20"/>
        </w:rPr>
        <w:t>artículo 893 de la Ley, observando el procedimiento especial;</w:t>
      </w:r>
    </w:p>
    <w:p>
      <w:pPr>
        <w:pStyle w:val="ListParagraph"/>
        <w:spacing w:after="0" w:line="242" w:lineRule="auto"/>
        <w:jc w:val="both"/>
        <w:rPr>
          <w:sz w:val="20"/>
        </w:rPr>
        <w:sectPr>
          <w:pgSz w:w="12240" w:h="15840"/>
          <w:pgMar w:header="724" w:footer="712" w:top="1880" w:bottom="900" w:left="1080" w:right="1080"/>
        </w:sectPr>
      </w:pPr>
    </w:p>
    <w:p>
      <w:pPr>
        <w:pStyle w:val="BodyText"/>
        <w:spacing w:before="63"/>
      </w:pPr>
    </w:p>
    <w:p>
      <w:pPr>
        <w:pStyle w:val="ListParagraph"/>
        <w:numPr>
          <w:ilvl w:val="0"/>
          <w:numId w:val="157"/>
        </w:numPr>
        <w:tabs>
          <w:tab w:pos="1195" w:val="left" w:leader="none"/>
        </w:tabs>
        <w:spacing w:line="242" w:lineRule="auto" w:before="0" w:after="0"/>
        <w:ind w:left="1195" w:right="345" w:hanging="569"/>
        <w:jc w:val="both"/>
        <w:rPr>
          <w:sz w:val="20"/>
        </w:rPr>
      </w:pPr>
      <w:r>
        <w:rPr>
          <w:sz w:val="20"/>
        </w:rPr>
        <w:t>El Tribunal apreciará la relación de esposo, esposa, hijos y ascendientes, sin sujetarse a las pruebas legales que acrediten el matrimonio o parentesco, pero no podrá dejar de reconocer lo asentado en las actas del Registro Civil, y</w:t>
      </w:r>
    </w:p>
    <w:p>
      <w:pPr>
        <w:pStyle w:val="ListParagraph"/>
        <w:numPr>
          <w:ilvl w:val="0"/>
          <w:numId w:val="157"/>
        </w:numPr>
        <w:tabs>
          <w:tab w:pos="1193" w:val="left" w:leader="none"/>
          <w:tab w:pos="1195" w:val="left" w:leader="none"/>
        </w:tabs>
        <w:spacing w:line="240" w:lineRule="auto" w:before="225" w:after="0"/>
        <w:ind w:left="1195" w:right="338" w:hanging="569"/>
        <w:jc w:val="both"/>
        <w:rPr>
          <w:sz w:val="20"/>
        </w:rPr>
      </w:pPr>
      <w:r>
        <w:rPr>
          <w:sz w:val="20"/>
        </w:rPr>
        <w:t>El pago</w:t>
      </w:r>
      <w:r>
        <w:rPr>
          <w:spacing w:val="-2"/>
          <w:sz w:val="20"/>
        </w:rPr>
        <w:t> </w:t>
      </w:r>
      <w:r>
        <w:rPr>
          <w:sz w:val="20"/>
        </w:rPr>
        <w:t>hecho</w:t>
      </w:r>
      <w:r>
        <w:rPr>
          <w:spacing w:val="-2"/>
          <w:sz w:val="20"/>
        </w:rPr>
        <w:t> </w:t>
      </w:r>
      <w:r>
        <w:rPr>
          <w:sz w:val="20"/>
        </w:rPr>
        <w:t>en</w:t>
      </w:r>
      <w:r>
        <w:rPr>
          <w:spacing w:val="-2"/>
          <w:sz w:val="20"/>
        </w:rPr>
        <w:t> </w:t>
      </w:r>
      <w:r>
        <w:rPr>
          <w:sz w:val="20"/>
        </w:rPr>
        <w:t>cumplimiento de la</w:t>
      </w:r>
      <w:r>
        <w:rPr>
          <w:spacing w:val="-2"/>
          <w:sz w:val="20"/>
        </w:rPr>
        <w:t> </w:t>
      </w:r>
      <w:r>
        <w:rPr>
          <w:sz w:val="20"/>
        </w:rPr>
        <w:t>resolución</w:t>
      </w:r>
      <w:r>
        <w:rPr>
          <w:spacing w:val="-3"/>
          <w:sz w:val="20"/>
        </w:rPr>
        <w:t> </w:t>
      </w:r>
      <w:r>
        <w:rPr>
          <w:sz w:val="20"/>
        </w:rPr>
        <w:t>del</w:t>
      </w:r>
      <w:r>
        <w:rPr>
          <w:spacing w:val="-3"/>
          <w:sz w:val="20"/>
        </w:rPr>
        <w:t> </w:t>
      </w:r>
      <w:r>
        <w:rPr>
          <w:sz w:val="20"/>
        </w:rPr>
        <w:t>Tribunal libera al</w:t>
      </w:r>
      <w:r>
        <w:rPr>
          <w:spacing w:val="-1"/>
          <w:sz w:val="20"/>
        </w:rPr>
        <w:t> </w:t>
      </w:r>
      <w:r>
        <w:rPr>
          <w:sz w:val="20"/>
        </w:rPr>
        <w:t>patrón</w:t>
      </w:r>
      <w:r>
        <w:rPr>
          <w:spacing w:val="-2"/>
          <w:sz w:val="20"/>
        </w:rPr>
        <w:t> </w:t>
      </w:r>
      <w:r>
        <w:rPr>
          <w:sz w:val="20"/>
        </w:rPr>
        <w:t>de</w:t>
      </w:r>
      <w:r>
        <w:rPr>
          <w:spacing w:val="-2"/>
          <w:sz w:val="20"/>
        </w:rPr>
        <w:t> </w:t>
      </w:r>
      <w:r>
        <w:rPr>
          <w:sz w:val="20"/>
        </w:rPr>
        <w:t>responsabilidad. Las personas que se presenten a deducir sus derechos con posterioridad a la fecha en que se hubiese verificado el pago, sólo podrán deducir su acción en contra de los beneficiarios que lo </w:t>
      </w:r>
      <w:r>
        <w:rPr>
          <w:spacing w:val="-2"/>
          <w:sz w:val="20"/>
        </w:rPr>
        <w:t>recibieron.</w:t>
      </w:r>
    </w:p>
    <w:p>
      <w:pPr>
        <w:spacing w:line="183" w:lineRule="exact" w:before="0"/>
        <w:ind w:left="56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22-06-2018,</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spacing w:before="0"/>
        <w:ind w:left="626" w:right="0" w:firstLine="0"/>
        <w:jc w:val="left"/>
        <w:rPr>
          <w:sz w:val="20"/>
        </w:rPr>
      </w:pPr>
      <w:bookmarkStart w:name="Artículo_504" w:id="636"/>
      <w:bookmarkEnd w:id="636"/>
      <w:r>
        <w:rPr/>
      </w:r>
      <w:r>
        <w:rPr>
          <w:rFonts w:ascii="Arial" w:hAnsi="Arial"/>
          <w:b/>
          <w:sz w:val="20"/>
        </w:rPr>
        <w:t>Artículo</w:t>
      </w:r>
      <w:r>
        <w:rPr>
          <w:rFonts w:ascii="Arial" w:hAnsi="Arial"/>
          <w:b/>
          <w:spacing w:val="-9"/>
          <w:sz w:val="20"/>
        </w:rPr>
        <w:t> </w:t>
      </w:r>
      <w:r>
        <w:rPr>
          <w:rFonts w:ascii="Arial" w:hAnsi="Arial"/>
          <w:b/>
          <w:sz w:val="20"/>
        </w:rPr>
        <w:t>504.-</w:t>
      </w:r>
      <w:r>
        <w:rPr>
          <w:rFonts w:ascii="Arial" w:hAnsi="Arial"/>
          <w:b/>
          <w:spacing w:val="-8"/>
          <w:sz w:val="20"/>
        </w:rPr>
        <w:t> </w:t>
      </w:r>
      <w:r>
        <w:rPr>
          <w:sz w:val="20"/>
        </w:rPr>
        <w:t>Los</w:t>
      </w:r>
      <w:r>
        <w:rPr>
          <w:spacing w:val="-8"/>
          <w:sz w:val="20"/>
        </w:rPr>
        <w:t> </w:t>
      </w:r>
      <w:r>
        <w:rPr>
          <w:sz w:val="20"/>
        </w:rPr>
        <w:t>patrones</w:t>
      </w:r>
      <w:r>
        <w:rPr>
          <w:spacing w:val="-9"/>
          <w:sz w:val="20"/>
        </w:rPr>
        <w:t> </w:t>
      </w:r>
      <w:r>
        <w:rPr>
          <w:sz w:val="20"/>
        </w:rPr>
        <w:t>tienen</w:t>
      </w:r>
      <w:r>
        <w:rPr>
          <w:spacing w:val="-8"/>
          <w:sz w:val="20"/>
        </w:rPr>
        <w:t> </w:t>
      </w:r>
      <w:r>
        <w:rPr>
          <w:sz w:val="20"/>
        </w:rPr>
        <w:t>las</w:t>
      </w:r>
      <w:r>
        <w:rPr>
          <w:spacing w:val="-8"/>
          <w:sz w:val="20"/>
        </w:rPr>
        <w:t> </w:t>
      </w:r>
      <w:r>
        <w:rPr>
          <w:sz w:val="20"/>
        </w:rPr>
        <w:t>obligaciones</w:t>
      </w:r>
      <w:r>
        <w:rPr>
          <w:spacing w:val="-7"/>
          <w:sz w:val="20"/>
        </w:rPr>
        <w:t> </w:t>
      </w:r>
      <w:r>
        <w:rPr>
          <w:sz w:val="20"/>
        </w:rPr>
        <w:t>especiales</w:t>
      </w:r>
      <w:r>
        <w:rPr>
          <w:spacing w:val="-8"/>
          <w:sz w:val="20"/>
        </w:rPr>
        <w:t> </w:t>
      </w:r>
      <w:r>
        <w:rPr>
          <w:spacing w:val="-2"/>
          <w:sz w:val="20"/>
        </w:rPr>
        <w:t>siguientes:</w:t>
      </w:r>
    </w:p>
    <w:p>
      <w:pPr>
        <w:pStyle w:val="ListParagraph"/>
        <w:numPr>
          <w:ilvl w:val="0"/>
          <w:numId w:val="158"/>
        </w:numPr>
        <w:tabs>
          <w:tab w:pos="1193" w:val="left" w:leader="none"/>
          <w:tab w:pos="1195" w:val="left" w:leader="none"/>
        </w:tabs>
        <w:spacing w:line="242" w:lineRule="auto" w:before="229" w:after="0"/>
        <w:ind w:left="1195" w:right="340" w:hanging="569"/>
        <w:jc w:val="both"/>
        <w:rPr>
          <w:sz w:val="20"/>
        </w:rPr>
      </w:pPr>
      <w:r>
        <w:rPr>
          <w:sz w:val="20"/>
        </w:rPr>
        <w:t>Mantener en el lugar de trabajo los medicamentos y material de curación necesarios para primeros auxilios y adiestrar personal para que los preste;</w:t>
      </w:r>
    </w:p>
    <w:p>
      <w:pPr>
        <w:pStyle w:val="ListParagraph"/>
        <w:numPr>
          <w:ilvl w:val="0"/>
          <w:numId w:val="158"/>
        </w:numPr>
        <w:tabs>
          <w:tab w:pos="1192" w:val="left" w:leader="none"/>
          <w:tab w:pos="1195" w:val="left" w:leader="none"/>
        </w:tabs>
        <w:spacing w:line="240" w:lineRule="auto" w:before="227" w:after="0"/>
        <w:ind w:left="1195" w:right="338" w:hanging="569"/>
        <w:jc w:val="both"/>
        <w:rPr>
          <w:sz w:val="20"/>
        </w:rPr>
      </w:pPr>
      <w:r>
        <w:rPr>
          <w:sz w:val="20"/>
        </w:rPr>
        <w:t>Cuando tenga a su servicio más de cien trabajadores, establecer una enfermería, dotada con</w:t>
      </w:r>
      <w:r>
        <w:rPr>
          <w:spacing w:val="40"/>
          <w:sz w:val="20"/>
        </w:rPr>
        <w:t> </w:t>
      </w:r>
      <w:r>
        <w:rPr>
          <w:sz w:val="20"/>
        </w:rPr>
        <w:t>los medicamentos y material de curación necesarios para la atención médica y quirúrgica de urgencia. Estará atendida por personal competente, bajo la dirección de un médico cirujano. Si</w:t>
      </w:r>
      <w:r>
        <w:rPr>
          <w:spacing w:val="40"/>
          <w:sz w:val="20"/>
        </w:rPr>
        <w:t> </w:t>
      </w:r>
      <w:r>
        <w:rPr>
          <w:sz w:val="20"/>
        </w:rPr>
        <w:t>a juicio de éste no se puede prestar la debida atención médica y quirúrgica, el trabajador será trasladado a la población u hospital en donde pueda atenderse a su curación;</w:t>
      </w:r>
    </w:p>
    <w:p>
      <w:pPr>
        <w:pStyle w:val="BodyText"/>
      </w:pPr>
    </w:p>
    <w:p>
      <w:pPr>
        <w:pStyle w:val="ListParagraph"/>
        <w:numPr>
          <w:ilvl w:val="0"/>
          <w:numId w:val="158"/>
        </w:numPr>
        <w:tabs>
          <w:tab w:pos="1191" w:val="left" w:leader="none"/>
          <w:tab w:pos="1195" w:val="left" w:leader="none"/>
        </w:tabs>
        <w:spacing w:line="240" w:lineRule="auto" w:before="0" w:after="0"/>
        <w:ind w:left="1195" w:right="344" w:hanging="569"/>
        <w:jc w:val="both"/>
        <w:rPr>
          <w:sz w:val="20"/>
        </w:rPr>
      </w:pPr>
      <w:r>
        <w:rPr>
          <w:sz w:val="20"/>
        </w:rPr>
        <w:t>Cuando tengan a su servicio más de trescientos trabajadores, instalar un hospital, con el personal médico y auxiliar necesario;</w:t>
      </w:r>
    </w:p>
    <w:p>
      <w:pPr>
        <w:pStyle w:val="ListParagraph"/>
        <w:numPr>
          <w:ilvl w:val="0"/>
          <w:numId w:val="158"/>
        </w:numPr>
        <w:tabs>
          <w:tab w:pos="1195" w:val="left" w:leader="none"/>
        </w:tabs>
        <w:spacing w:line="242" w:lineRule="auto" w:before="229" w:after="0"/>
        <w:ind w:left="1195" w:right="340" w:hanging="569"/>
        <w:jc w:val="both"/>
        <w:rPr>
          <w:sz w:val="20"/>
        </w:rPr>
      </w:pPr>
      <w:r>
        <w:rPr>
          <w:sz w:val="20"/>
        </w:rPr>
        <w:t>Previo acuerdo con los trabajadores, podrán los patrones celebrar contratos con sanatorios u hospitales ubicados en el lugar en que se encuentre el establecimiento o a una distancia que permita</w:t>
      </w:r>
      <w:r>
        <w:rPr>
          <w:spacing w:val="-2"/>
          <w:sz w:val="20"/>
        </w:rPr>
        <w:t> </w:t>
      </w:r>
      <w:r>
        <w:rPr>
          <w:sz w:val="20"/>
        </w:rPr>
        <w:t>el</w:t>
      </w:r>
      <w:r>
        <w:rPr>
          <w:spacing w:val="-3"/>
          <w:sz w:val="20"/>
        </w:rPr>
        <w:t> </w:t>
      </w:r>
      <w:r>
        <w:rPr>
          <w:sz w:val="20"/>
        </w:rPr>
        <w:t>traslado</w:t>
      </w:r>
      <w:r>
        <w:rPr>
          <w:spacing w:val="-2"/>
          <w:sz w:val="20"/>
        </w:rPr>
        <w:t> </w:t>
      </w:r>
      <w:r>
        <w:rPr>
          <w:sz w:val="20"/>
        </w:rPr>
        <w:t>rápido y</w:t>
      </w:r>
      <w:r>
        <w:rPr>
          <w:spacing w:val="-3"/>
          <w:sz w:val="20"/>
        </w:rPr>
        <w:t> </w:t>
      </w:r>
      <w:r>
        <w:rPr>
          <w:sz w:val="20"/>
        </w:rPr>
        <w:t>cómodo</w:t>
      </w:r>
      <w:r>
        <w:rPr>
          <w:spacing w:val="-2"/>
          <w:sz w:val="20"/>
        </w:rPr>
        <w:t> </w:t>
      </w:r>
      <w:r>
        <w:rPr>
          <w:sz w:val="20"/>
        </w:rPr>
        <w:t>de</w:t>
      </w:r>
      <w:r>
        <w:rPr>
          <w:spacing w:val="-3"/>
          <w:sz w:val="20"/>
        </w:rPr>
        <w:t> </w:t>
      </w:r>
      <w:r>
        <w:rPr>
          <w:sz w:val="20"/>
        </w:rPr>
        <w:t>los</w:t>
      </w:r>
      <w:r>
        <w:rPr>
          <w:spacing w:val="-1"/>
          <w:sz w:val="20"/>
        </w:rPr>
        <w:t> </w:t>
      </w:r>
      <w:r>
        <w:rPr>
          <w:sz w:val="20"/>
        </w:rPr>
        <w:t>trabajadores,</w:t>
      </w:r>
      <w:r>
        <w:rPr>
          <w:spacing w:val="-2"/>
          <w:sz w:val="20"/>
        </w:rPr>
        <w:t> </w:t>
      </w:r>
      <w:r>
        <w:rPr>
          <w:sz w:val="20"/>
        </w:rPr>
        <w:t>para</w:t>
      </w:r>
      <w:r>
        <w:rPr>
          <w:spacing w:val="-2"/>
          <w:sz w:val="20"/>
        </w:rPr>
        <w:t> </w:t>
      </w:r>
      <w:r>
        <w:rPr>
          <w:sz w:val="20"/>
        </w:rPr>
        <w:t>que</w:t>
      </w:r>
      <w:r>
        <w:rPr>
          <w:spacing w:val="-2"/>
          <w:sz w:val="20"/>
        </w:rPr>
        <w:t> </w:t>
      </w:r>
      <w:r>
        <w:rPr>
          <w:sz w:val="20"/>
        </w:rPr>
        <w:t>presten</w:t>
      </w:r>
      <w:r>
        <w:rPr>
          <w:spacing w:val="-2"/>
          <w:sz w:val="20"/>
        </w:rPr>
        <w:t> </w:t>
      </w:r>
      <w:r>
        <w:rPr>
          <w:sz w:val="20"/>
        </w:rPr>
        <w:t>los</w:t>
      </w:r>
      <w:r>
        <w:rPr>
          <w:spacing w:val="-1"/>
          <w:sz w:val="20"/>
        </w:rPr>
        <w:t> </w:t>
      </w:r>
      <w:r>
        <w:rPr>
          <w:sz w:val="20"/>
        </w:rPr>
        <w:t>servicios</w:t>
      </w:r>
      <w:r>
        <w:rPr>
          <w:spacing w:val="-1"/>
          <w:sz w:val="20"/>
        </w:rPr>
        <w:t> </w:t>
      </w:r>
      <w:r>
        <w:rPr>
          <w:sz w:val="20"/>
        </w:rPr>
        <w:t>a</w:t>
      </w:r>
      <w:r>
        <w:rPr>
          <w:spacing w:val="-2"/>
          <w:sz w:val="20"/>
        </w:rPr>
        <w:t> </w:t>
      </w:r>
      <w:r>
        <w:rPr>
          <w:sz w:val="20"/>
        </w:rPr>
        <w:t>que</w:t>
      </w:r>
      <w:r>
        <w:rPr>
          <w:spacing w:val="-2"/>
          <w:sz w:val="20"/>
        </w:rPr>
        <w:t> </w:t>
      </w:r>
      <w:r>
        <w:rPr>
          <w:sz w:val="20"/>
        </w:rPr>
        <w:t>se refieren las dos fracciones anteriores;</w:t>
      </w:r>
    </w:p>
    <w:p>
      <w:pPr>
        <w:pStyle w:val="ListParagraph"/>
        <w:numPr>
          <w:ilvl w:val="0"/>
          <w:numId w:val="158"/>
        </w:numPr>
        <w:tabs>
          <w:tab w:pos="1195" w:val="left" w:leader="none"/>
        </w:tabs>
        <w:spacing w:line="242" w:lineRule="auto" w:before="221" w:after="0"/>
        <w:ind w:left="1195" w:right="346" w:hanging="569"/>
        <w:jc w:val="both"/>
        <w:rPr>
          <w:sz w:val="20"/>
        </w:rPr>
      </w:pPr>
      <w:r>
        <w:rPr>
          <w:sz w:val="20"/>
        </w:rPr>
        <w:t>Dar aviso escrito o por medios electrónicos a la Secretaría del Trabajo y Previsión Social, al Inspector del Trabajo y al Tribunal, dentro de las 72 horas siguientes, de los accidentes que ocurran, proporcionando los siguientes datos y elementos:</w:t>
      </w:r>
    </w:p>
    <w:p>
      <w:pPr>
        <w:spacing w:line="178"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ListParagraph"/>
        <w:numPr>
          <w:ilvl w:val="1"/>
          <w:numId w:val="158"/>
        </w:numPr>
        <w:tabs>
          <w:tab w:pos="1761" w:val="left" w:leader="none"/>
        </w:tabs>
        <w:spacing w:line="240" w:lineRule="auto" w:before="229" w:after="0"/>
        <w:ind w:left="1761" w:right="0" w:hanging="566"/>
        <w:jc w:val="left"/>
        <w:rPr>
          <w:sz w:val="20"/>
        </w:rPr>
      </w:pPr>
      <w:r>
        <w:rPr>
          <w:sz w:val="20"/>
        </w:rPr>
        <w:t>Nombre</w:t>
      </w:r>
      <w:r>
        <w:rPr>
          <w:spacing w:val="-4"/>
          <w:sz w:val="20"/>
        </w:rPr>
        <w:t> </w:t>
      </w:r>
      <w:r>
        <w:rPr>
          <w:sz w:val="20"/>
        </w:rPr>
        <w:t>y</w:t>
      </w:r>
      <w:r>
        <w:rPr>
          <w:spacing w:val="-9"/>
          <w:sz w:val="20"/>
        </w:rPr>
        <w:t> </w:t>
      </w:r>
      <w:r>
        <w:rPr>
          <w:sz w:val="20"/>
        </w:rPr>
        <w:t>domicilio</w:t>
      </w:r>
      <w:r>
        <w:rPr>
          <w:spacing w:val="-6"/>
          <w:sz w:val="20"/>
        </w:rPr>
        <w:t> </w:t>
      </w:r>
      <w:r>
        <w:rPr>
          <w:sz w:val="20"/>
        </w:rPr>
        <w:t>de</w:t>
      </w:r>
      <w:r>
        <w:rPr>
          <w:spacing w:val="-3"/>
          <w:sz w:val="20"/>
        </w:rPr>
        <w:t> </w:t>
      </w:r>
      <w:r>
        <w:rPr>
          <w:sz w:val="20"/>
        </w:rPr>
        <w:t>la</w:t>
      </w:r>
      <w:r>
        <w:rPr>
          <w:spacing w:val="-4"/>
          <w:sz w:val="20"/>
        </w:rPr>
        <w:t> </w:t>
      </w:r>
      <w:r>
        <w:rPr>
          <w:spacing w:val="-2"/>
          <w:sz w:val="20"/>
        </w:rPr>
        <w:t>empresa;</w:t>
      </w:r>
    </w:p>
    <w:p>
      <w:pPr>
        <w:pStyle w:val="BodyText"/>
      </w:pPr>
    </w:p>
    <w:p>
      <w:pPr>
        <w:pStyle w:val="ListParagraph"/>
        <w:numPr>
          <w:ilvl w:val="1"/>
          <w:numId w:val="158"/>
        </w:numPr>
        <w:tabs>
          <w:tab w:pos="1762" w:val="left" w:leader="none"/>
        </w:tabs>
        <w:spacing w:line="242" w:lineRule="auto" w:before="1" w:after="0"/>
        <w:ind w:left="1762" w:right="343" w:hanging="567"/>
        <w:jc w:val="left"/>
        <w:rPr>
          <w:sz w:val="20"/>
        </w:rPr>
      </w:pPr>
      <w:r>
        <w:rPr>
          <w:sz w:val="20"/>
        </w:rPr>
        <w:t>Nombre</w:t>
      </w:r>
      <w:r>
        <w:rPr>
          <w:spacing w:val="38"/>
          <w:sz w:val="20"/>
        </w:rPr>
        <w:t> </w:t>
      </w:r>
      <w:r>
        <w:rPr>
          <w:sz w:val="20"/>
        </w:rPr>
        <w:t>y</w:t>
      </w:r>
      <w:r>
        <w:rPr>
          <w:spacing w:val="32"/>
          <w:sz w:val="20"/>
        </w:rPr>
        <w:t> </w:t>
      </w:r>
      <w:r>
        <w:rPr>
          <w:sz w:val="20"/>
        </w:rPr>
        <w:t>domicilio</w:t>
      </w:r>
      <w:r>
        <w:rPr>
          <w:spacing w:val="35"/>
          <w:sz w:val="20"/>
        </w:rPr>
        <w:t> </w:t>
      </w:r>
      <w:r>
        <w:rPr>
          <w:sz w:val="20"/>
        </w:rPr>
        <w:t>del</w:t>
      </w:r>
      <w:r>
        <w:rPr>
          <w:spacing w:val="34"/>
          <w:sz w:val="20"/>
        </w:rPr>
        <w:t> </w:t>
      </w:r>
      <w:r>
        <w:rPr>
          <w:sz w:val="20"/>
        </w:rPr>
        <w:t>trabajador;</w:t>
      </w:r>
      <w:r>
        <w:rPr>
          <w:spacing w:val="36"/>
          <w:sz w:val="20"/>
        </w:rPr>
        <w:t> </w:t>
      </w:r>
      <w:r>
        <w:rPr>
          <w:sz w:val="20"/>
        </w:rPr>
        <w:t>así</w:t>
      </w:r>
      <w:r>
        <w:rPr>
          <w:spacing w:val="36"/>
          <w:sz w:val="20"/>
        </w:rPr>
        <w:t> </w:t>
      </w:r>
      <w:r>
        <w:rPr>
          <w:sz w:val="20"/>
        </w:rPr>
        <w:t>como</w:t>
      </w:r>
      <w:r>
        <w:rPr>
          <w:spacing w:val="35"/>
          <w:sz w:val="20"/>
        </w:rPr>
        <w:t> </w:t>
      </w:r>
      <w:r>
        <w:rPr>
          <w:sz w:val="20"/>
        </w:rPr>
        <w:t>su</w:t>
      </w:r>
      <w:r>
        <w:rPr>
          <w:spacing w:val="35"/>
          <w:sz w:val="20"/>
        </w:rPr>
        <w:t> </w:t>
      </w:r>
      <w:r>
        <w:rPr>
          <w:sz w:val="20"/>
        </w:rPr>
        <w:t>puesto</w:t>
      </w:r>
      <w:r>
        <w:rPr>
          <w:spacing w:val="35"/>
          <w:sz w:val="20"/>
        </w:rPr>
        <w:t> </w:t>
      </w:r>
      <w:r>
        <w:rPr>
          <w:sz w:val="20"/>
        </w:rPr>
        <w:t>o</w:t>
      </w:r>
      <w:r>
        <w:rPr>
          <w:spacing w:val="35"/>
          <w:sz w:val="20"/>
        </w:rPr>
        <w:t> </w:t>
      </w:r>
      <w:r>
        <w:rPr>
          <w:sz w:val="20"/>
        </w:rPr>
        <w:t>categoría</w:t>
      </w:r>
      <w:r>
        <w:rPr>
          <w:spacing w:val="40"/>
          <w:sz w:val="20"/>
        </w:rPr>
        <w:t> </w:t>
      </w:r>
      <w:r>
        <w:rPr>
          <w:sz w:val="20"/>
        </w:rPr>
        <w:t>y</w:t>
      </w:r>
      <w:r>
        <w:rPr>
          <w:spacing w:val="32"/>
          <w:sz w:val="20"/>
        </w:rPr>
        <w:t> </w:t>
      </w:r>
      <w:r>
        <w:rPr>
          <w:sz w:val="20"/>
        </w:rPr>
        <w:t>el</w:t>
      </w:r>
      <w:r>
        <w:rPr>
          <w:spacing w:val="35"/>
          <w:sz w:val="20"/>
        </w:rPr>
        <w:t> </w:t>
      </w:r>
      <w:r>
        <w:rPr>
          <w:sz w:val="20"/>
        </w:rPr>
        <w:t>monto</w:t>
      </w:r>
      <w:r>
        <w:rPr>
          <w:spacing w:val="35"/>
          <w:sz w:val="20"/>
        </w:rPr>
        <w:t> </w:t>
      </w:r>
      <w:r>
        <w:rPr>
          <w:sz w:val="20"/>
        </w:rPr>
        <w:t>de</w:t>
      </w:r>
      <w:r>
        <w:rPr>
          <w:spacing w:val="37"/>
          <w:sz w:val="20"/>
        </w:rPr>
        <w:t> </w:t>
      </w:r>
      <w:r>
        <w:rPr>
          <w:sz w:val="20"/>
        </w:rPr>
        <w:t>su </w:t>
      </w:r>
      <w:r>
        <w:rPr>
          <w:spacing w:val="-2"/>
          <w:sz w:val="20"/>
        </w:rPr>
        <w:t>salario;</w:t>
      </w:r>
    </w:p>
    <w:p>
      <w:pPr>
        <w:pStyle w:val="ListParagraph"/>
        <w:numPr>
          <w:ilvl w:val="1"/>
          <w:numId w:val="158"/>
        </w:numPr>
        <w:tabs>
          <w:tab w:pos="1761" w:val="left" w:leader="none"/>
        </w:tabs>
        <w:spacing w:line="240" w:lineRule="auto" w:before="224" w:after="0"/>
        <w:ind w:left="1761" w:right="0" w:hanging="566"/>
        <w:jc w:val="left"/>
        <w:rPr>
          <w:sz w:val="20"/>
        </w:rPr>
      </w:pPr>
      <w:r>
        <w:rPr>
          <w:sz w:val="20"/>
        </w:rPr>
        <w:t>Lugar</w:t>
      </w:r>
      <w:r>
        <w:rPr>
          <w:spacing w:val="-2"/>
          <w:sz w:val="20"/>
        </w:rPr>
        <w:t> </w:t>
      </w:r>
      <w:r>
        <w:rPr>
          <w:sz w:val="20"/>
        </w:rPr>
        <w:t>y</w:t>
      </w:r>
      <w:r>
        <w:rPr>
          <w:spacing w:val="-10"/>
          <w:sz w:val="20"/>
        </w:rPr>
        <w:t> </w:t>
      </w:r>
      <w:r>
        <w:rPr>
          <w:sz w:val="20"/>
        </w:rPr>
        <w:t>hora</w:t>
      </w:r>
      <w:r>
        <w:rPr>
          <w:spacing w:val="-6"/>
          <w:sz w:val="20"/>
        </w:rPr>
        <w:t> </w:t>
      </w:r>
      <w:r>
        <w:rPr>
          <w:sz w:val="20"/>
        </w:rPr>
        <w:t>del</w:t>
      </w:r>
      <w:r>
        <w:rPr>
          <w:spacing w:val="-6"/>
          <w:sz w:val="20"/>
        </w:rPr>
        <w:t> </w:t>
      </w:r>
      <w:r>
        <w:rPr>
          <w:sz w:val="20"/>
        </w:rPr>
        <w:t>accidente,</w:t>
      </w:r>
      <w:r>
        <w:rPr>
          <w:spacing w:val="-4"/>
          <w:sz w:val="20"/>
        </w:rPr>
        <w:t> </w:t>
      </w:r>
      <w:r>
        <w:rPr>
          <w:sz w:val="20"/>
        </w:rPr>
        <w:t>con</w:t>
      </w:r>
      <w:r>
        <w:rPr>
          <w:spacing w:val="-7"/>
          <w:sz w:val="20"/>
        </w:rPr>
        <w:t> </w:t>
      </w:r>
      <w:r>
        <w:rPr>
          <w:sz w:val="20"/>
        </w:rPr>
        <w:t>expresión</w:t>
      </w:r>
      <w:r>
        <w:rPr>
          <w:spacing w:val="-8"/>
          <w:sz w:val="20"/>
        </w:rPr>
        <w:t> </w:t>
      </w:r>
      <w:r>
        <w:rPr>
          <w:sz w:val="20"/>
        </w:rPr>
        <w:t>sucinta</w:t>
      </w:r>
      <w:r>
        <w:rPr>
          <w:spacing w:val="-5"/>
          <w:sz w:val="20"/>
        </w:rPr>
        <w:t> </w:t>
      </w:r>
      <w:r>
        <w:rPr>
          <w:sz w:val="20"/>
        </w:rPr>
        <w:t>de</w:t>
      </w:r>
      <w:r>
        <w:rPr>
          <w:spacing w:val="-6"/>
          <w:sz w:val="20"/>
        </w:rPr>
        <w:t> </w:t>
      </w:r>
      <w:r>
        <w:rPr>
          <w:sz w:val="20"/>
        </w:rPr>
        <w:t>los</w:t>
      </w:r>
      <w:r>
        <w:rPr>
          <w:spacing w:val="-5"/>
          <w:sz w:val="20"/>
        </w:rPr>
        <w:t> </w:t>
      </w:r>
      <w:r>
        <w:rPr>
          <w:spacing w:val="-2"/>
          <w:sz w:val="20"/>
        </w:rPr>
        <w:t>hechos;</w:t>
      </w:r>
    </w:p>
    <w:p>
      <w:pPr>
        <w:pStyle w:val="BodyText"/>
      </w:pPr>
    </w:p>
    <w:p>
      <w:pPr>
        <w:pStyle w:val="ListParagraph"/>
        <w:numPr>
          <w:ilvl w:val="1"/>
          <w:numId w:val="158"/>
        </w:numPr>
        <w:tabs>
          <w:tab w:pos="1761" w:val="left" w:leader="none"/>
        </w:tabs>
        <w:spacing w:line="240" w:lineRule="auto" w:before="1" w:after="0"/>
        <w:ind w:left="1761" w:right="0" w:hanging="566"/>
        <w:jc w:val="left"/>
        <w:rPr>
          <w:sz w:val="20"/>
        </w:rPr>
      </w:pPr>
      <w:r>
        <w:rPr>
          <w:sz w:val="20"/>
        </w:rPr>
        <w:t>Nombre</w:t>
      </w:r>
      <w:r>
        <w:rPr>
          <w:spacing w:val="-6"/>
          <w:sz w:val="20"/>
        </w:rPr>
        <w:t> </w:t>
      </w:r>
      <w:r>
        <w:rPr>
          <w:sz w:val="20"/>
        </w:rPr>
        <w:t>y</w:t>
      </w:r>
      <w:r>
        <w:rPr>
          <w:spacing w:val="-11"/>
          <w:sz w:val="20"/>
        </w:rPr>
        <w:t> </w:t>
      </w:r>
      <w:r>
        <w:rPr>
          <w:sz w:val="20"/>
        </w:rPr>
        <w:t>domicilio</w:t>
      </w:r>
      <w:r>
        <w:rPr>
          <w:spacing w:val="-7"/>
          <w:sz w:val="20"/>
        </w:rPr>
        <w:t> </w:t>
      </w:r>
      <w:r>
        <w:rPr>
          <w:sz w:val="20"/>
        </w:rPr>
        <w:t>de</w:t>
      </w:r>
      <w:r>
        <w:rPr>
          <w:spacing w:val="-6"/>
          <w:sz w:val="20"/>
        </w:rPr>
        <w:t> </w:t>
      </w:r>
      <w:r>
        <w:rPr>
          <w:sz w:val="20"/>
        </w:rPr>
        <w:t>las</w:t>
      </w:r>
      <w:r>
        <w:rPr>
          <w:spacing w:val="-5"/>
          <w:sz w:val="20"/>
        </w:rPr>
        <w:t> </w:t>
      </w:r>
      <w:r>
        <w:rPr>
          <w:sz w:val="20"/>
        </w:rPr>
        <w:t>personas</w:t>
      </w:r>
      <w:r>
        <w:rPr>
          <w:spacing w:val="-6"/>
          <w:sz w:val="20"/>
        </w:rPr>
        <w:t> </w:t>
      </w:r>
      <w:r>
        <w:rPr>
          <w:sz w:val="20"/>
        </w:rPr>
        <w:t>que</w:t>
      </w:r>
      <w:r>
        <w:rPr>
          <w:spacing w:val="-7"/>
          <w:sz w:val="20"/>
        </w:rPr>
        <w:t> </w:t>
      </w:r>
      <w:r>
        <w:rPr>
          <w:sz w:val="20"/>
        </w:rPr>
        <w:t>presenciaron</w:t>
      </w:r>
      <w:r>
        <w:rPr>
          <w:spacing w:val="-6"/>
          <w:sz w:val="20"/>
        </w:rPr>
        <w:t> </w:t>
      </w:r>
      <w:r>
        <w:rPr>
          <w:sz w:val="20"/>
        </w:rPr>
        <w:t>el</w:t>
      </w:r>
      <w:r>
        <w:rPr>
          <w:spacing w:val="-6"/>
          <w:sz w:val="20"/>
        </w:rPr>
        <w:t> </w:t>
      </w:r>
      <w:r>
        <w:rPr>
          <w:sz w:val="20"/>
        </w:rPr>
        <w:t>accidente;</w:t>
      </w:r>
      <w:r>
        <w:rPr>
          <w:spacing w:val="-4"/>
          <w:sz w:val="20"/>
        </w:rPr>
        <w:t> </w:t>
      </w:r>
      <w:r>
        <w:rPr>
          <w:spacing w:val="-5"/>
          <w:sz w:val="20"/>
        </w:rPr>
        <w:t>y,</w:t>
      </w:r>
    </w:p>
    <w:p>
      <w:pPr>
        <w:pStyle w:val="BodyText"/>
        <w:spacing w:before="1"/>
      </w:pPr>
    </w:p>
    <w:p>
      <w:pPr>
        <w:pStyle w:val="ListParagraph"/>
        <w:numPr>
          <w:ilvl w:val="1"/>
          <w:numId w:val="158"/>
        </w:numPr>
        <w:tabs>
          <w:tab w:pos="1761" w:val="left" w:leader="none"/>
        </w:tabs>
        <w:spacing w:line="240" w:lineRule="auto" w:before="0" w:after="0"/>
        <w:ind w:left="1761" w:right="0" w:hanging="566"/>
        <w:jc w:val="left"/>
        <w:rPr>
          <w:sz w:val="20"/>
        </w:rPr>
      </w:pPr>
      <w:r>
        <w:rPr>
          <w:sz w:val="20"/>
        </w:rPr>
        <w:t>Lugar</w:t>
      </w:r>
      <w:r>
        <w:rPr>
          <w:spacing w:val="-4"/>
          <w:sz w:val="20"/>
        </w:rPr>
        <w:t> </w:t>
      </w:r>
      <w:r>
        <w:rPr>
          <w:sz w:val="20"/>
        </w:rPr>
        <w:t>en</w:t>
      </w:r>
      <w:r>
        <w:rPr>
          <w:spacing w:val="-5"/>
          <w:sz w:val="20"/>
        </w:rPr>
        <w:t> </w:t>
      </w:r>
      <w:r>
        <w:rPr>
          <w:sz w:val="20"/>
        </w:rPr>
        <w:t>que</w:t>
      </w:r>
      <w:r>
        <w:rPr>
          <w:spacing w:val="-6"/>
          <w:sz w:val="20"/>
        </w:rPr>
        <w:t> </w:t>
      </w:r>
      <w:r>
        <w:rPr>
          <w:sz w:val="20"/>
        </w:rPr>
        <w:t>se</w:t>
      </w:r>
      <w:r>
        <w:rPr>
          <w:spacing w:val="-4"/>
          <w:sz w:val="20"/>
        </w:rPr>
        <w:t> </w:t>
      </w:r>
      <w:r>
        <w:rPr>
          <w:sz w:val="20"/>
        </w:rPr>
        <w:t>presta</w:t>
      </w:r>
      <w:r>
        <w:rPr>
          <w:spacing w:val="-4"/>
          <w:sz w:val="20"/>
        </w:rPr>
        <w:t> </w:t>
      </w:r>
      <w:r>
        <w:rPr>
          <w:sz w:val="20"/>
        </w:rPr>
        <w:t>o</w:t>
      </w:r>
      <w:r>
        <w:rPr>
          <w:spacing w:val="-6"/>
          <w:sz w:val="20"/>
        </w:rPr>
        <w:t> </w:t>
      </w:r>
      <w:r>
        <w:rPr>
          <w:sz w:val="20"/>
        </w:rPr>
        <w:t>haya</w:t>
      </w:r>
      <w:r>
        <w:rPr>
          <w:spacing w:val="-4"/>
          <w:sz w:val="20"/>
        </w:rPr>
        <w:t> </w:t>
      </w:r>
      <w:r>
        <w:rPr>
          <w:sz w:val="20"/>
        </w:rPr>
        <w:t>prestado</w:t>
      </w:r>
      <w:r>
        <w:rPr>
          <w:spacing w:val="-6"/>
          <w:sz w:val="20"/>
        </w:rPr>
        <w:t> </w:t>
      </w:r>
      <w:r>
        <w:rPr>
          <w:sz w:val="20"/>
        </w:rPr>
        <w:t>atención</w:t>
      </w:r>
      <w:r>
        <w:rPr>
          <w:spacing w:val="-7"/>
          <w:sz w:val="20"/>
        </w:rPr>
        <w:t> </w:t>
      </w:r>
      <w:r>
        <w:rPr>
          <w:sz w:val="20"/>
        </w:rPr>
        <w:t>médica</w:t>
      </w:r>
      <w:r>
        <w:rPr>
          <w:spacing w:val="-6"/>
          <w:sz w:val="20"/>
        </w:rPr>
        <w:t> </w:t>
      </w:r>
      <w:r>
        <w:rPr>
          <w:sz w:val="20"/>
        </w:rPr>
        <w:t>al</w:t>
      </w:r>
      <w:r>
        <w:rPr>
          <w:spacing w:val="-7"/>
          <w:sz w:val="20"/>
        </w:rPr>
        <w:t> </w:t>
      </w:r>
      <w:r>
        <w:rPr>
          <w:spacing w:val="-2"/>
          <w:sz w:val="20"/>
        </w:rPr>
        <w:t>accidentado.</w:t>
      </w:r>
    </w:p>
    <w:p>
      <w:pPr>
        <w:pStyle w:val="BodyText"/>
        <w:spacing w:before="1"/>
      </w:pPr>
    </w:p>
    <w:p>
      <w:pPr>
        <w:pStyle w:val="BodyText"/>
        <w:ind w:left="1195" w:right="344"/>
        <w:jc w:val="both"/>
      </w:pPr>
      <w:r>
        <w:rPr/>
        <w:t>La Secretaría del Trabajo y Previsión Social y el Instituto Mexicano del Seguro Social deberán intercambiar información en forma permanente respecto de los avisos de accidentes de trabajo que presenten los patrones, así como otros datos estadísticos que resulten necesarios para el ejercicio de sus respectivas facultades legales; y</w:t>
      </w:r>
    </w:p>
    <w:p>
      <w:pPr>
        <w:spacing w:line="240" w:lineRule="auto" w:before="0"/>
        <w:ind w:left="7285" w:right="333" w:firstLine="3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30-11-2012</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1978</w:t>
      </w:r>
    </w:p>
    <w:p>
      <w:pPr>
        <w:spacing w:after="0" w:line="240" w:lineRule="auto"/>
        <w:jc w:val="right"/>
        <w:rPr>
          <w:rFonts w:ascii="Times New Roman" w:hAnsi="Times New Roman"/>
          <w:i/>
          <w:sz w:val="16"/>
        </w:rPr>
        <w:sectPr>
          <w:pgSz w:w="12240" w:h="15840"/>
          <w:pgMar w:header="724" w:footer="712" w:top="1880" w:bottom="900" w:left="1080" w:right="1080"/>
        </w:sectPr>
      </w:pPr>
    </w:p>
    <w:p>
      <w:pPr>
        <w:pStyle w:val="BodyText"/>
        <w:spacing w:before="61"/>
        <w:rPr>
          <w:rFonts w:ascii="Times New Roman"/>
          <w:i/>
        </w:rPr>
      </w:pPr>
    </w:p>
    <w:p>
      <w:pPr>
        <w:pStyle w:val="ListParagraph"/>
        <w:numPr>
          <w:ilvl w:val="0"/>
          <w:numId w:val="158"/>
        </w:numPr>
        <w:tabs>
          <w:tab w:pos="1195" w:val="left" w:leader="none"/>
        </w:tabs>
        <w:spacing w:line="242" w:lineRule="auto" w:before="0" w:after="0"/>
        <w:ind w:left="1195" w:right="340" w:hanging="569"/>
        <w:jc w:val="both"/>
        <w:rPr>
          <w:sz w:val="20"/>
        </w:rPr>
      </w:pPr>
      <w:r>
        <w:rPr>
          <w:sz w:val="20"/>
        </w:rPr>
        <w:t>Tan pronto se tenga conocimiento de la muerte de un trabajador por riesgos de trabajo, dar aviso escrito a las autoridades que menciona la fracción anterior, proporcionando, además de los datos y elementos que señala dicha fracción, el nombre y domicilio de las personas que pudieran tener derecho a la indemnización correspondiente.</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ListParagraph"/>
        <w:numPr>
          <w:ilvl w:val="0"/>
          <w:numId w:val="158"/>
        </w:numPr>
        <w:tabs>
          <w:tab w:pos="1195" w:val="left" w:leader="none"/>
        </w:tabs>
        <w:spacing w:line="240" w:lineRule="auto" w:before="229" w:after="0"/>
        <w:ind w:left="1195" w:right="0" w:hanging="569"/>
        <w:jc w:val="left"/>
        <w:rPr>
          <w:sz w:val="20"/>
        </w:rPr>
      </w:pPr>
      <w:r>
        <w:rPr>
          <w:sz w:val="20"/>
        </w:rPr>
        <w:t>(Se</w:t>
      </w:r>
      <w:r>
        <w:rPr>
          <w:spacing w:val="-6"/>
          <w:sz w:val="20"/>
        </w:rPr>
        <w:t> </w:t>
      </w:r>
      <w:r>
        <w:rPr>
          <w:spacing w:val="-2"/>
          <w:sz w:val="20"/>
        </w:rPr>
        <w:t>deroga).</w:t>
      </w:r>
    </w:p>
    <w:p>
      <w:pPr>
        <w:spacing w:before="0"/>
        <w:ind w:left="4983"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4"/>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30-04-1970.</w:t>
      </w:r>
      <w:r>
        <w:rPr>
          <w:rFonts w:ascii="Times New Roman" w:hAnsi="Times New Roman"/>
          <w:i/>
          <w:color w:val="0000FF"/>
          <w:spacing w:val="-4"/>
          <w:sz w:val="16"/>
        </w:rPr>
        <w:t> </w:t>
      </w:r>
      <w:r>
        <w:rPr>
          <w:rFonts w:ascii="Times New Roman" w:hAnsi="Times New Roman"/>
          <w:i/>
          <w:color w:val="0000FF"/>
          <w:sz w:val="16"/>
        </w:rPr>
        <w:t>Derogada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1"/>
        <w:rPr>
          <w:rFonts w:ascii="Times New Roman"/>
          <w:i/>
        </w:rPr>
      </w:pPr>
    </w:p>
    <w:p>
      <w:pPr>
        <w:pStyle w:val="BodyText"/>
        <w:ind w:left="338" w:right="342" w:firstLine="288"/>
        <w:jc w:val="both"/>
      </w:pPr>
      <w:bookmarkStart w:name="Artículo_505" w:id="637"/>
      <w:bookmarkEnd w:id="637"/>
      <w:r>
        <w:rPr/>
      </w:r>
      <w:r>
        <w:rPr>
          <w:rFonts w:ascii="Arial" w:hAnsi="Arial"/>
          <w:b/>
        </w:rPr>
        <w:t>Artículo 505.- </w:t>
      </w:r>
      <w:r>
        <w:rPr/>
        <w:t>Los médicos de las empresas serán designados por los patrones. Los trabajadores podrán oponerse a la designación, exponiendo las razones en que se funden. En caso de que las partes no lleguen a un acuerdo, resolverá el Tribunal.</w:t>
      </w:r>
    </w:p>
    <w:p>
      <w:pPr>
        <w:spacing w:line="183" w:lineRule="exact" w:before="0"/>
        <w:ind w:left="5067"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30-04-1970.</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spacing w:before="0"/>
        <w:ind w:left="626" w:right="0" w:firstLine="0"/>
        <w:jc w:val="left"/>
        <w:rPr>
          <w:sz w:val="20"/>
        </w:rPr>
      </w:pPr>
      <w:bookmarkStart w:name="Artículo_506" w:id="638"/>
      <w:bookmarkEnd w:id="638"/>
      <w:r>
        <w:rPr/>
      </w:r>
      <w:r>
        <w:rPr>
          <w:rFonts w:ascii="Arial" w:hAnsi="Arial"/>
          <w:b/>
          <w:sz w:val="20"/>
        </w:rPr>
        <w:t>Artículo</w:t>
      </w:r>
      <w:r>
        <w:rPr>
          <w:rFonts w:ascii="Arial" w:hAnsi="Arial"/>
          <w:b/>
          <w:spacing w:val="-6"/>
          <w:sz w:val="20"/>
        </w:rPr>
        <w:t> </w:t>
      </w:r>
      <w:r>
        <w:rPr>
          <w:rFonts w:ascii="Arial" w:hAnsi="Arial"/>
          <w:b/>
          <w:sz w:val="20"/>
        </w:rPr>
        <w:t>506.-</w:t>
      </w:r>
      <w:r>
        <w:rPr>
          <w:rFonts w:ascii="Arial" w:hAnsi="Arial"/>
          <w:b/>
          <w:spacing w:val="-5"/>
          <w:sz w:val="20"/>
        </w:rPr>
        <w:t> </w:t>
      </w:r>
      <w:r>
        <w:rPr>
          <w:sz w:val="20"/>
        </w:rPr>
        <w:t>Los</w:t>
      </w:r>
      <w:r>
        <w:rPr>
          <w:spacing w:val="-5"/>
          <w:sz w:val="20"/>
        </w:rPr>
        <w:t> </w:t>
      </w:r>
      <w:r>
        <w:rPr>
          <w:sz w:val="20"/>
        </w:rPr>
        <w:t>médicos</w:t>
      </w:r>
      <w:r>
        <w:rPr>
          <w:spacing w:val="-6"/>
          <w:sz w:val="20"/>
        </w:rPr>
        <w:t> </w:t>
      </w:r>
      <w:r>
        <w:rPr>
          <w:sz w:val="20"/>
        </w:rPr>
        <w:t>de</w:t>
      </w:r>
      <w:r>
        <w:rPr>
          <w:spacing w:val="-5"/>
          <w:sz w:val="20"/>
        </w:rPr>
        <w:t> </w:t>
      </w:r>
      <w:r>
        <w:rPr>
          <w:sz w:val="20"/>
        </w:rPr>
        <w:t>las</w:t>
      </w:r>
      <w:r>
        <w:rPr>
          <w:spacing w:val="-5"/>
          <w:sz w:val="20"/>
        </w:rPr>
        <w:t> </w:t>
      </w:r>
      <w:r>
        <w:rPr>
          <w:sz w:val="20"/>
        </w:rPr>
        <w:t>empresas</w:t>
      </w:r>
      <w:r>
        <w:rPr>
          <w:spacing w:val="-6"/>
          <w:sz w:val="20"/>
        </w:rPr>
        <w:t> </w:t>
      </w:r>
      <w:r>
        <w:rPr>
          <w:sz w:val="20"/>
        </w:rPr>
        <w:t>están</w:t>
      </w:r>
      <w:r>
        <w:rPr>
          <w:spacing w:val="-7"/>
          <w:sz w:val="20"/>
        </w:rPr>
        <w:t> </w:t>
      </w:r>
      <w:r>
        <w:rPr>
          <w:spacing w:val="-2"/>
          <w:sz w:val="20"/>
        </w:rPr>
        <w:t>obligados:</w:t>
      </w:r>
    </w:p>
    <w:p>
      <w:pPr>
        <w:pStyle w:val="ListParagraph"/>
        <w:numPr>
          <w:ilvl w:val="0"/>
          <w:numId w:val="159"/>
        </w:numPr>
        <w:tabs>
          <w:tab w:pos="1195" w:val="left" w:leader="none"/>
        </w:tabs>
        <w:spacing w:line="240" w:lineRule="auto" w:before="228" w:after="0"/>
        <w:ind w:left="1195" w:right="0" w:hanging="569"/>
        <w:jc w:val="left"/>
        <w:rPr>
          <w:sz w:val="20"/>
        </w:rPr>
      </w:pPr>
      <w:r>
        <w:rPr>
          <w:sz w:val="20"/>
        </w:rPr>
        <w:t>Al</w:t>
      </w:r>
      <w:r>
        <w:rPr>
          <w:spacing w:val="-8"/>
          <w:sz w:val="20"/>
        </w:rPr>
        <w:t> </w:t>
      </w:r>
      <w:r>
        <w:rPr>
          <w:sz w:val="20"/>
        </w:rPr>
        <w:t>realizarse</w:t>
      </w:r>
      <w:r>
        <w:rPr>
          <w:spacing w:val="-6"/>
          <w:sz w:val="20"/>
        </w:rPr>
        <w:t> </w:t>
      </w:r>
      <w:r>
        <w:rPr>
          <w:sz w:val="20"/>
        </w:rPr>
        <w:t>el</w:t>
      </w:r>
      <w:r>
        <w:rPr>
          <w:spacing w:val="-8"/>
          <w:sz w:val="20"/>
        </w:rPr>
        <w:t> </w:t>
      </w:r>
      <w:r>
        <w:rPr>
          <w:sz w:val="20"/>
        </w:rPr>
        <w:t>riesgo,</w:t>
      </w:r>
      <w:r>
        <w:rPr>
          <w:spacing w:val="-6"/>
          <w:sz w:val="20"/>
        </w:rPr>
        <w:t> </w:t>
      </w:r>
      <w:r>
        <w:rPr>
          <w:sz w:val="20"/>
        </w:rPr>
        <w:t>a</w:t>
      </w:r>
      <w:r>
        <w:rPr>
          <w:spacing w:val="-5"/>
          <w:sz w:val="20"/>
        </w:rPr>
        <w:t> </w:t>
      </w:r>
      <w:r>
        <w:rPr>
          <w:sz w:val="20"/>
        </w:rPr>
        <w:t>certificar</w:t>
      </w:r>
      <w:r>
        <w:rPr>
          <w:spacing w:val="-6"/>
          <w:sz w:val="20"/>
        </w:rPr>
        <w:t> </w:t>
      </w:r>
      <w:r>
        <w:rPr>
          <w:sz w:val="20"/>
        </w:rPr>
        <w:t>si</w:t>
      </w:r>
      <w:r>
        <w:rPr>
          <w:spacing w:val="-7"/>
          <w:sz w:val="20"/>
        </w:rPr>
        <w:t> </w:t>
      </w:r>
      <w:r>
        <w:rPr>
          <w:sz w:val="20"/>
        </w:rPr>
        <w:t>el</w:t>
      </w:r>
      <w:r>
        <w:rPr>
          <w:spacing w:val="-6"/>
          <w:sz w:val="20"/>
        </w:rPr>
        <w:t> </w:t>
      </w:r>
      <w:r>
        <w:rPr>
          <w:sz w:val="20"/>
        </w:rPr>
        <w:t>trabajador</w:t>
      </w:r>
      <w:r>
        <w:rPr>
          <w:spacing w:val="-5"/>
          <w:sz w:val="20"/>
        </w:rPr>
        <w:t> </w:t>
      </w:r>
      <w:r>
        <w:rPr>
          <w:sz w:val="20"/>
        </w:rPr>
        <w:t>queda</w:t>
      </w:r>
      <w:r>
        <w:rPr>
          <w:spacing w:val="-7"/>
          <w:sz w:val="20"/>
        </w:rPr>
        <w:t> </w:t>
      </w:r>
      <w:r>
        <w:rPr>
          <w:sz w:val="20"/>
        </w:rPr>
        <w:t>capacitado</w:t>
      </w:r>
      <w:r>
        <w:rPr>
          <w:spacing w:val="-6"/>
          <w:sz w:val="20"/>
        </w:rPr>
        <w:t> </w:t>
      </w:r>
      <w:r>
        <w:rPr>
          <w:sz w:val="20"/>
        </w:rPr>
        <w:t>para</w:t>
      </w:r>
      <w:r>
        <w:rPr>
          <w:spacing w:val="-7"/>
          <w:sz w:val="20"/>
        </w:rPr>
        <w:t> </w:t>
      </w:r>
      <w:r>
        <w:rPr>
          <w:sz w:val="20"/>
        </w:rPr>
        <w:t>reanudar</w:t>
      </w:r>
      <w:r>
        <w:rPr>
          <w:spacing w:val="-6"/>
          <w:sz w:val="20"/>
        </w:rPr>
        <w:t> </w:t>
      </w:r>
      <w:r>
        <w:rPr>
          <w:sz w:val="20"/>
        </w:rPr>
        <w:t>su</w:t>
      </w:r>
      <w:r>
        <w:rPr>
          <w:spacing w:val="-7"/>
          <w:sz w:val="20"/>
        </w:rPr>
        <w:t> </w:t>
      </w:r>
      <w:r>
        <w:rPr>
          <w:spacing w:val="-2"/>
          <w:sz w:val="20"/>
        </w:rPr>
        <w:t>trabajo;</w:t>
      </w:r>
    </w:p>
    <w:p>
      <w:pPr>
        <w:pStyle w:val="BodyText"/>
        <w:spacing w:before="1"/>
      </w:pPr>
    </w:p>
    <w:p>
      <w:pPr>
        <w:pStyle w:val="ListParagraph"/>
        <w:numPr>
          <w:ilvl w:val="0"/>
          <w:numId w:val="159"/>
        </w:numPr>
        <w:tabs>
          <w:tab w:pos="1195" w:val="left" w:leader="none"/>
        </w:tabs>
        <w:spacing w:line="242" w:lineRule="auto" w:before="0" w:after="0"/>
        <w:ind w:left="1195" w:right="340" w:hanging="569"/>
        <w:jc w:val="left"/>
        <w:rPr>
          <w:sz w:val="20"/>
        </w:rPr>
      </w:pPr>
      <w:r>
        <w:rPr>
          <w:sz w:val="20"/>
        </w:rPr>
        <w:t>Al</w:t>
      </w:r>
      <w:r>
        <w:rPr>
          <w:spacing w:val="26"/>
          <w:sz w:val="20"/>
        </w:rPr>
        <w:t> </w:t>
      </w:r>
      <w:r>
        <w:rPr>
          <w:sz w:val="20"/>
        </w:rPr>
        <w:t>terminar</w:t>
      </w:r>
      <w:r>
        <w:rPr>
          <w:spacing w:val="27"/>
          <w:sz w:val="20"/>
        </w:rPr>
        <w:t> </w:t>
      </w:r>
      <w:r>
        <w:rPr>
          <w:sz w:val="20"/>
        </w:rPr>
        <w:t>la</w:t>
      </w:r>
      <w:r>
        <w:rPr>
          <w:spacing w:val="26"/>
          <w:sz w:val="20"/>
        </w:rPr>
        <w:t> </w:t>
      </w:r>
      <w:r>
        <w:rPr>
          <w:sz w:val="20"/>
        </w:rPr>
        <w:t>atención</w:t>
      </w:r>
      <w:r>
        <w:rPr>
          <w:spacing w:val="26"/>
          <w:sz w:val="20"/>
        </w:rPr>
        <w:t> </w:t>
      </w:r>
      <w:r>
        <w:rPr>
          <w:sz w:val="20"/>
        </w:rPr>
        <w:t>médica,</w:t>
      </w:r>
      <w:r>
        <w:rPr>
          <w:spacing w:val="26"/>
          <w:sz w:val="20"/>
        </w:rPr>
        <w:t> </w:t>
      </w:r>
      <w:r>
        <w:rPr>
          <w:sz w:val="20"/>
        </w:rPr>
        <w:t>a</w:t>
      </w:r>
      <w:r>
        <w:rPr>
          <w:spacing w:val="26"/>
          <w:sz w:val="20"/>
        </w:rPr>
        <w:t> </w:t>
      </w:r>
      <w:r>
        <w:rPr>
          <w:sz w:val="20"/>
        </w:rPr>
        <w:t>certificar</w:t>
      </w:r>
      <w:r>
        <w:rPr>
          <w:spacing w:val="27"/>
          <w:sz w:val="20"/>
        </w:rPr>
        <w:t> </w:t>
      </w:r>
      <w:r>
        <w:rPr>
          <w:sz w:val="20"/>
        </w:rPr>
        <w:t>si</w:t>
      </w:r>
      <w:r>
        <w:rPr>
          <w:spacing w:val="26"/>
          <w:sz w:val="20"/>
        </w:rPr>
        <w:t> </w:t>
      </w:r>
      <w:r>
        <w:rPr>
          <w:sz w:val="20"/>
        </w:rPr>
        <w:t>el</w:t>
      </w:r>
      <w:r>
        <w:rPr>
          <w:spacing w:val="25"/>
          <w:sz w:val="20"/>
        </w:rPr>
        <w:t> </w:t>
      </w:r>
      <w:r>
        <w:rPr>
          <w:sz w:val="20"/>
        </w:rPr>
        <w:t>trabajador</w:t>
      </w:r>
      <w:r>
        <w:rPr>
          <w:spacing w:val="27"/>
          <w:sz w:val="20"/>
        </w:rPr>
        <w:t> </w:t>
      </w:r>
      <w:r>
        <w:rPr>
          <w:sz w:val="20"/>
        </w:rPr>
        <w:t>está</w:t>
      </w:r>
      <w:r>
        <w:rPr>
          <w:spacing w:val="26"/>
          <w:sz w:val="20"/>
        </w:rPr>
        <w:t> </w:t>
      </w:r>
      <w:r>
        <w:rPr>
          <w:sz w:val="20"/>
        </w:rPr>
        <w:t>capacitado</w:t>
      </w:r>
      <w:r>
        <w:rPr>
          <w:spacing w:val="26"/>
          <w:sz w:val="20"/>
        </w:rPr>
        <w:t> </w:t>
      </w:r>
      <w:r>
        <w:rPr>
          <w:sz w:val="20"/>
        </w:rPr>
        <w:t>para</w:t>
      </w:r>
      <w:r>
        <w:rPr>
          <w:spacing w:val="26"/>
          <w:sz w:val="20"/>
        </w:rPr>
        <w:t> </w:t>
      </w:r>
      <w:r>
        <w:rPr>
          <w:sz w:val="20"/>
        </w:rPr>
        <w:t>reanudar</w:t>
      </w:r>
      <w:r>
        <w:rPr>
          <w:spacing w:val="27"/>
          <w:sz w:val="20"/>
        </w:rPr>
        <w:t> </w:t>
      </w:r>
      <w:r>
        <w:rPr>
          <w:sz w:val="20"/>
        </w:rPr>
        <w:t>su </w:t>
      </w:r>
      <w:r>
        <w:rPr>
          <w:spacing w:val="-2"/>
          <w:sz w:val="20"/>
        </w:rPr>
        <w:t>trabajo;</w:t>
      </w:r>
    </w:p>
    <w:p>
      <w:pPr>
        <w:pStyle w:val="ListParagraph"/>
        <w:numPr>
          <w:ilvl w:val="0"/>
          <w:numId w:val="159"/>
        </w:numPr>
        <w:tabs>
          <w:tab w:pos="1195" w:val="left" w:leader="none"/>
        </w:tabs>
        <w:spacing w:line="240" w:lineRule="auto" w:before="224" w:after="0"/>
        <w:ind w:left="1195" w:right="0" w:hanging="569"/>
        <w:jc w:val="left"/>
        <w:rPr>
          <w:sz w:val="20"/>
        </w:rPr>
      </w:pPr>
      <w:r>
        <w:rPr>
          <w:sz w:val="20"/>
        </w:rPr>
        <w:t>A</w:t>
      </w:r>
      <w:r>
        <w:rPr>
          <w:spacing w:val="-8"/>
          <w:sz w:val="20"/>
        </w:rPr>
        <w:t> </w:t>
      </w:r>
      <w:r>
        <w:rPr>
          <w:sz w:val="20"/>
        </w:rPr>
        <w:t>emitir</w:t>
      </w:r>
      <w:r>
        <w:rPr>
          <w:spacing w:val="-7"/>
          <w:sz w:val="20"/>
        </w:rPr>
        <w:t> </w:t>
      </w:r>
      <w:r>
        <w:rPr>
          <w:sz w:val="20"/>
        </w:rPr>
        <w:t>opinión</w:t>
      </w:r>
      <w:r>
        <w:rPr>
          <w:spacing w:val="-7"/>
          <w:sz w:val="20"/>
        </w:rPr>
        <w:t> </w:t>
      </w:r>
      <w:r>
        <w:rPr>
          <w:sz w:val="20"/>
        </w:rPr>
        <w:t>sobre</w:t>
      </w:r>
      <w:r>
        <w:rPr>
          <w:spacing w:val="-6"/>
          <w:sz w:val="20"/>
        </w:rPr>
        <w:t> </w:t>
      </w:r>
      <w:r>
        <w:rPr>
          <w:sz w:val="20"/>
        </w:rPr>
        <w:t>el</w:t>
      </w:r>
      <w:r>
        <w:rPr>
          <w:spacing w:val="-7"/>
          <w:sz w:val="20"/>
        </w:rPr>
        <w:t> </w:t>
      </w:r>
      <w:r>
        <w:rPr>
          <w:sz w:val="20"/>
        </w:rPr>
        <w:t>grado</w:t>
      </w:r>
      <w:r>
        <w:rPr>
          <w:spacing w:val="-6"/>
          <w:sz w:val="20"/>
        </w:rPr>
        <w:t> </w:t>
      </w:r>
      <w:r>
        <w:rPr>
          <w:sz w:val="20"/>
        </w:rPr>
        <w:t>de</w:t>
      </w:r>
      <w:r>
        <w:rPr>
          <w:spacing w:val="-7"/>
          <w:sz w:val="20"/>
        </w:rPr>
        <w:t> </w:t>
      </w:r>
      <w:r>
        <w:rPr>
          <w:sz w:val="20"/>
        </w:rPr>
        <w:t>incapacidad;</w:t>
      </w:r>
      <w:r>
        <w:rPr>
          <w:spacing w:val="-3"/>
          <w:sz w:val="20"/>
        </w:rPr>
        <w:t> </w:t>
      </w:r>
      <w:r>
        <w:rPr>
          <w:spacing w:val="-10"/>
          <w:sz w:val="20"/>
        </w:rPr>
        <w:t>y</w:t>
      </w:r>
    </w:p>
    <w:p>
      <w:pPr>
        <w:pStyle w:val="BodyText"/>
        <w:spacing w:before="1"/>
      </w:pPr>
    </w:p>
    <w:p>
      <w:pPr>
        <w:pStyle w:val="ListParagraph"/>
        <w:numPr>
          <w:ilvl w:val="0"/>
          <w:numId w:val="159"/>
        </w:numPr>
        <w:tabs>
          <w:tab w:pos="1195" w:val="left" w:leader="none"/>
        </w:tabs>
        <w:spacing w:line="240" w:lineRule="auto" w:before="0" w:after="0"/>
        <w:ind w:left="1195" w:right="0" w:hanging="569"/>
        <w:jc w:val="left"/>
        <w:rPr>
          <w:sz w:val="20"/>
        </w:rPr>
      </w:pPr>
      <w:r>
        <w:rPr>
          <w:sz w:val="20"/>
        </w:rPr>
        <w:t>En</w:t>
      </w:r>
      <w:r>
        <w:rPr>
          <w:spacing w:val="-7"/>
          <w:sz w:val="20"/>
        </w:rPr>
        <w:t> </w:t>
      </w:r>
      <w:r>
        <w:rPr>
          <w:sz w:val="20"/>
        </w:rPr>
        <w:t>caso</w:t>
      </w:r>
      <w:r>
        <w:rPr>
          <w:spacing w:val="-4"/>
          <w:sz w:val="20"/>
        </w:rPr>
        <w:t> </w:t>
      </w:r>
      <w:r>
        <w:rPr>
          <w:sz w:val="20"/>
        </w:rPr>
        <w:t>de</w:t>
      </w:r>
      <w:r>
        <w:rPr>
          <w:spacing w:val="-7"/>
          <w:sz w:val="20"/>
        </w:rPr>
        <w:t> </w:t>
      </w:r>
      <w:r>
        <w:rPr>
          <w:sz w:val="20"/>
        </w:rPr>
        <w:t>muerte,</w:t>
      </w:r>
      <w:r>
        <w:rPr>
          <w:spacing w:val="-6"/>
          <w:sz w:val="20"/>
        </w:rPr>
        <w:t> </w:t>
      </w:r>
      <w:r>
        <w:rPr>
          <w:sz w:val="20"/>
        </w:rPr>
        <w:t>a</w:t>
      </w:r>
      <w:r>
        <w:rPr>
          <w:spacing w:val="-4"/>
          <w:sz w:val="20"/>
        </w:rPr>
        <w:t> </w:t>
      </w:r>
      <w:r>
        <w:rPr>
          <w:sz w:val="20"/>
        </w:rPr>
        <w:t>expedir</w:t>
      </w:r>
      <w:r>
        <w:rPr>
          <w:spacing w:val="-6"/>
          <w:sz w:val="20"/>
        </w:rPr>
        <w:t> </w:t>
      </w:r>
      <w:r>
        <w:rPr>
          <w:sz w:val="20"/>
        </w:rPr>
        <w:t>certificado</w:t>
      </w:r>
      <w:r>
        <w:rPr>
          <w:spacing w:val="-6"/>
          <w:sz w:val="20"/>
        </w:rPr>
        <w:t> </w:t>
      </w:r>
      <w:r>
        <w:rPr>
          <w:sz w:val="20"/>
        </w:rPr>
        <w:t>de</w:t>
      </w:r>
      <w:r>
        <w:rPr>
          <w:spacing w:val="-4"/>
          <w:sz w:val="20"/>
        </w:rPr>
        <w:t> </w:t>
      </w:r>
      <w:r>
        <w:rPr>
          <w:spacing w:val="-2"/>
          <w:sz w:val="20"/>
        </w:rPr>
        <w:t>defunción.</w:t>
      </w:r>
    </w:p>
    <w:p>
      <w:pPr>
        <w:spacing w:before="0"/>
        <w:ind w:left="0" w:right="3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4"/>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3"/>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30-04-</w:t>
      </w:r>
      <w:r>
        <w:rPr>
          <w:rFonts w:ascii="Times New Roman" w:hAnsi="Times New Roman"/>
          <w:i/>
          <w:color w:val="0000FF"/>
          <w:spacing w:val="-4"/>
          <w:sz w:val="16"/>
        </w:rPr>
        <w:t>1970</w:t>
      </w:r>
    </w:p>
    <w:p>
      <w:pPr>
        <w:pStyle w:val="BodyText"/>
        <w:spacing w:line="242" w:lineRule="auto" w:before="229"/>
        <w:ind w:left="338" w:right="344" w:firstLine="288"/>
        <w:jc w:val="both"/>
      </w:pPr>
      <w:bookmarkStart w:name="Artículo_507" w:id="639"/>
      <w:bookmarkEnd w:id="639"/>
      <w:r>
        <w:rPr/>
      </w:r>
      <w:r>
        <w:rPr>
          <w:rFonts w:ascii="Arial" w:hAnsi="Arial"/>
          <w:b/>
        </w:rPr>
        <w:t>Artículo 507.- </w:t>
      </w:r>
      <w:r>
        <w:rPr/>
        <w:t>El trabajador que rehuse con justa causa recibir la atención médica y quirúrgica que le proporcione el patrón, no perderá los derechos que otorga este Título.</w:t>
      </w:r>
    </w:p>
    <w:p>
      <w:pPr>
        <w:pStyle w:val="BodyText"/>
        <w:spacing w:line="242" w:lineRule="auto" w:before="227"/>
        <w:ind w:left="338" w:right="346" w:firstLine="288"/>
        <w:jc w:val="both"/>
      </w:pPr>
      <w:bookmarkStart w:name="Artículo_508" w:id="640"/>
      <w:bookmarkEnd w:id="640"/>
      <w:r>
        <w:rPr/>
      </w:r>
      <w:r>
        <w:rPr>
          <w:rFonts w:ascii="Arial" w:hAnsi="Arial"/>
          <w:b/>
        </w:rPr>
        <w:t>Artículo 508.- </w:t>
      </w:r>
      <w:r>
        <w:rPr/>
        <w:t>La causa de la muerte por riesgo de trabajo podrá comprobarse con los datos que resulten de la autopsia, cuando se practique, o por cualquier otro medio que permita determinarla.</w:t>
      </w:r>
    </w:p>
    <w:p>
      <w:pPr>
        <w:pStyle w:val="BodyText"/>
        <w:spacing w:before="227"/>
        <w:ind w:left="626"/>
      </w:pPr>
      <w:r>
        <w:rPr/>
        <w:t>Si</w:t>
      </w:r>
      <w:r>
        <w:rPr>
          <w:spacing w:val="17"/>
        </w:rPr>
        <w:t> </w:t>
      </w:r>
      <w:r>
        <w:rPr/>
        <w:t>se</w:t>
      </w:r>
      <w:r>
        <w:rPr>
          <w:spacing w:val="19"/>
        </w:rPr>
        <w:t> </w:t>
      </w:r>
      <w:r>
        <w:rPr/>
        <w:t>practica</w:t>
      </w:r>
      <w:r>
        <w:rPr>
          <w:spacing w:val="21"/>
        </w:rPr>
        <w:t> </w:t>
      </w:r>
      <w:r>
        <w:rPr/>
        <w:t>la</w:t>
      </w:r>
      <w:r>
        <w:rPr>
          <w:spacing w:val="18"/>
        </w:rPr>
        <w:t> </w:t>
      </w:r>
      <w:r>
        <w:rPr/>
        <w:t>autopsia,</w:t>
      </w:r>
      <w:r>
        <w:rPr>
          <w:spacing w:val="21"/>
        </w:rPr>
        <w:t> </w:t>
      </w:r>
      <w:r>
        <w:rPr/>
        <w:t>los</w:t>
      </w:r>
      <w:r>
        <w:rPr>
          <w:spacing w:val="19"/>
        </w:rPr>
        <w:t> </w:t>
      </w:r>
      <w:r>
        <w:rPr/>
        <w:t>presuntos</w:t>
      </w:r>
      <w:r>
        <w:rPr>
          <w:spacing w:val="20"/>
        </w:rPr>
        <w:t> </w:t>
      </w:r>
      <w:r>
        <w:rPr/>
        <w:t>beneficiarios</w:t>
      </w:r>
      <w:r>
        <w:rPr>
          <w:spacing w:val="20"/>
        </w:rPr>
        <w:t> </w:t>
      </w:r>
      <w:r>
        <w:rPr/>
        <w:t>podrán</w:t>
      </w:r>
      <w:r>
        <w:rPr>
          <w:spacing w:val="18"/>
        </w:rPr>
        <w:t> </w:t>
      </w:r>
      <w:r>
        <w:rPr/>
        <w:t>designar</w:t>
      </w:r>
      <w:r>
        <w:rPr>
          <w:spacing w:val="20"/>
        </w:rPr>
        <w:t> </w:t>
      </w:r>
      <w:r>
        <w:rPr/>
        <w:t>un</w:t>
      </w:r>
      <w:r>
        <w:rPr>
          <w:spacing w:val="19"/>
        </w:rPr>
        <w:t> </w:t>
      </w:r>
      <w:r>
        <w:rPr/>
        <w:t>médico</w:t>
      </w:r>
      <w:r>
        <w:rPr>
          <w:spacing w:val="18"/>
        </w:rPr>
        <w:t> </w:t>
      </w:r>
      <w:r>
        <w:rPr/>
        <w:t>que</w:t>
      </w:r>
      <w:r>
        <w:rPr>
          <w:spacing w:val="19"/>
        </w:rPr>
        <w:t> </w:t>
      </w:r>
      <w:r>
        <w:rPr/>
        <w:t>la</w:t>
      </w:r>
      <w:r>
        <w:rPr>
          <w:spacing w:val="19"/>
        </w:rPr>
        <w:t> </w:t>
      </w:r>
      <w:r>
        <w:rPr>
          <w:spacing w:val="-2"/>
        </w:rPr>
        <w:t>presencie.</w:t>
      </w:r>
    </w:p>
    <w:p>
      <w:pPr>
        <w:pStyle w:val="BodyText"/>
        <w:ind w:left="338"/>
      </w:pPr>
      <w:r>
        <w:rPr/>
        <w:t>Podrán</w:t>
      </w:r>
      <w:r>
        <w:rPr>
          <w:spacing w:val="-7"/>
        </w:rPr>
        <w:t> </w:t>
      </w:r>
      <w:r>
        <w:rPr/>
        <w:t>igualmente</w:t>
      </w:r>
      <w:r>
        <w:rPr>
          <w:spacing w:val="-7"/>
        </w:rPr>
        <w:t> </w:t>
      </w:r>
      <w:r>
        <w:rPr/>
        <w:t>designar</w:t>
      </w:r>
      <w:r>
        <w:rPr>
          <w:spacing w:val="-6"/>
        </w:rPr>
        <w:t> </w:t>
      </w:r>
      <w:r>
        <w:rPr/>
        <w:t>un</w:t>
      </w:r>
      <w:r>
        <w:rPr>
          <w:spacing w:val="-7"/>
        </w:rPr>
        <w:t> </w:t>
      </w:r>
      <w:r>
        <w:rPr/>
        <w:t>médico</w:t>
      </w:r>
      <w:r>
        <w:rPr>
          <w:spacing w:val="-7"/>
        </w:rPr>
        <w:t> </w:t>
      </w:r>
      <w:r>
        <w:rPr/>
        <w:t>que</w:t>
      </w:r>
      <w:r>
        <w:rPr>
          <w:spacing w:val="-7"/>
        </w:rPr>
        <w:t> </w:t>
      </w:r>
      <w:r>
        <w:rPr/>
        <w:t>la</w:t>
      </w:r>
      <w:r>
        <w:rPr>
          <w:spacing w:val="-6"/>
        </w:rPr>
        <w:t> </w:t>
      </w:r>
      <w:r>
        <w:rPr/>
        <w:t>practique,</w:t>
      </w:r>
      <w:r>
        <w:rPr>
          <w:spacing w:val="-7"/>
        </w:rPr>
        <w:t> </w:t>
      </w:r>
      <w:r>
        <w:rPr/>
        <w:t>dando</w:t>
      </w:r>
      <w:r>
        <w:rPr>
          <w:spacing w:val="-4"/>
        </w:rPr>
        <w:t> </w:t>
      </w:r>
      <w:r>
        <w:rPr/>
        <w:t>aviso</w:t>
      </w:r>
      <w:r>
        <w:rPr>
          <w:spacing w:val="-5"/>
        </w:rPr>
        <w:t> </w:t>
      </w:r>
      <w:r>
        <w:rPr/>
        <w:t>a</w:t>
      </w:r>
      <w:r>
        <w:rPr>
          <w:spacing w:val="-1"/>
        </w:rPr>
        <w:t> </w:t>
      </w:r>
      <w:r>
        <w:rPr/>
        <w:t>la</w:t>
      </w:r>
      <w:r>
        <w:rPr>
          <w:spacing w:val="-7"/>
        </w:rPr>
        <w:t> </w:t>
      </w:r>
      <w:r>
        <w:rPr>
          <w:spacing w:val="-2"/>
        </w:rPr>
        <w:t>autoridad.</w:t>
      </w:r>
    </w:p>
    <w:p>
      <w:pPr>
        <w:pStyle w:val="BodyText"/>
        <w:spacing w:before="1"/>
      </w:pPr>
    </w:p>
    <w:p>
      <w:pPr>
        <w:pStyle w:val="BodyText"/>
        <w:ind w:left="626"/>
      </w:pPr>
      <w:r>
        <w:rPr/>
        <w:t>El</w:t>
      </w:r>
      <w:r>
        <w:rPr>
          <w:spacing w:val="-6"/>
        </w:rPr>
        <w:t> </w:t>
      </w:r>
      <w:r>
        <w:rPr/>
        <w:t>patrón</w:t>
      </w:r>
      <w:r>
        <w:rPr>
          <w:spacing w:val="-7"/>
        </w:rPr>
        <w:t> </w:t>
      </w:r>
      <w:r>
        <w:rPr/>
        <w:t>podrá</w:t>
      </w:r>
      <w:r>
        <w:rPr>
          <w:spacing w:val="-6"/>
        </w:rPr>
        <w:t> </w:t>
      </w:r>
      <w:r>
        <w:rPr/>
        <w:t>designar</w:t>
      </w:r>
      <w:r>
        <w:rPr>
          <w:spacing w:val="-6"/>
        </w:rPr>
        <w:t> </w:t>
      </w:r>
      <w:r>
        <w:rPr/>
        <w:t>un</w:t>
      </w:r>
      <w:r>
        <w:rPr>
          <w:spacing w:val="-7"/>
        </w:rPr>
        <w:t> </w:t>
      </w:r>
      <w:r>
        <w:rPr/>
        <w:t>médico</w:t>
      </w:r>
      <w:r>
        <w:rPr>
          <w:spacing w:val="-6"/>
        </w:rPr>
        <w:t> </w:t>
      </w:r>
      <w:r>
        <w:rPr/>
        <w:t>que</w:t>
      </w:r>
      <w:r>
        <w:rPr>
          <w:spacing w:val="-5"/>
        </w:rPr>
        <w:t> </w:t>
      </w:r>
      <w:r>
        <w:rPr/>
        <w:t>presencie</w:t>
      </w:r>
      <w:r>
        <w:rPr>
          <w:spacing w:val="-5"/>
        </w:rPr>
        <w:t> </w:t>
      </w:r>
      <w:r>
        <w:rPr/>
        <w:t>la</w:t>
      </w:r>
      <w:r>
        <w:rPr>
          <w:spacing w:val="-5"/>
        </w:rPr>
        <w:t> </w:t>
      </w:r>
      <w:r>
        <w:rPr>
          <w:spacing w:val="-2"/>
        </w:rPr>
        <w:t>autopsia.</w:t>
      </w:r>
    </w:p>
    <w:p>
      <w:pPr>
        <w:pStyle w:val="BodyText"/>
        <w:spacing w:line="242" w:lineRule="auto" w:before="226"/>
        <w:ind w:left="338" w:right="334" w:firstLine="288"/>
        <w:jc w:val="both"/>
      </w:pPr>
      <w:bookmarkStart w:name="Artículo_509" w:id="641"/>
      <w:bookmarkEnd w:id="641"/>
      <w:r>
        <w:rPr/>
      </w:r>
      <w:r>
        <w:rPr>
          <w:rFonts w:ascii="Arial" w:hAnsi="Arial"/>
          <w:b/>
        </w:rPr>
        <w:t>Artículo 509.- </w:t>
      </w:r>
      <w:r>
        <w:rPr/>
        <w:t>En cada empresa o establecimiento se organizarán las comisiones de seguridad e higiene que se juzgue necesarias, compuestas por igual número de representantes de los trabajadores y del patrón, para investigar las causas de los accidentes y enfermedades, proponer medidas para prevenirlos y vigilar que se cumplan.</w:t>
      </w:r>
    </w:p>
    <w:p>
      <w:pPr>
        <w:pStyle w:val="BodyText"/>
        <w:spacing w:line="242" w:lineRule="auto" w:before="221"/>
        <w:ind w:left="338" w:right="345" w:firstLine="288"/>
        <w:jc w:val="both"/>
      </w:pPr>
      <w:bookmarkStart w:name="Artículo_510" w:id="642"/>
      <w:bookmarkEnd w:id="642"/>
      <w:r>
        <w:rPr/>
      </w:r>
      <w:r>
        <w:rPr>
          <w:rFonts w:ascii="Arial" w:hAnsi="Arial"/>
          <w:b/>
        </w:rPr>
        <w:t>Artículo 510.- </w:t>
      </w:r>
      <w:r>
        <w:rPr/>
        <w:t>Las comisiones a que se refiere el artículo anterior, serán desempeñadas</w:t>
      </w:r>
      <w:r>
        <w:rPr>
          <w:spacing w:val="40"/>
        </w:rPr>
        <w:t> </w:t>
      </w:r>
      <w:r>
        <w:rPr/>
        <w:t>gratuitamente dentro de las horas de trabajo.</w:t>
      </w:r>
    </w:p>
    <w:p>
      <w:pPr>
        <w:pStyle w:val="BodyText"/>
        <w:spacing w:before="227"/>
        <w:ind w:left="626"/>
      </w:pPr>
      <w:bookmarkStart w:name="Artículo_511" w:id="643"/>
      <w:bookmarkEnd w:id="643"/>
      <w:r>
        <w:rPr/>
      </w:r>
      <w:r>
        <w:rPr>
          <w:rFonts w:ascii="Arial" w:hAnsi="Arial"/>
          <w:b/>
        </w:rPr>
        <w:t>Artículo</w:t>
      </w:r>
      <w:r>
        <w:rPr>
          <w:rFonts w:ascii="Arial" w:hAnsi="Arial"/>
          <w:b/>
          <w:spacing w:val="-8"/>
        </w:rPr>
        <w:t> </w:t>
      </w:r>
      <w:r>
        <w:rPr>
          <w:rFonts w:ascii="Arial" w:hAnsi="Arial"/>
          <w:b/>
        </w:rPr>
        <w:t>511.-</w:t>
      </w:r>
      <w:r>
        <w:rPr>
          <w:rFonts w:ascii="Arial" w:hAnsi="Arial"/>
          <w:b/>
          <w:spacing w:val="-7"/>
        </w:rPr>
        <w:t> </w:t>
      </w:r>
      <w:r>
        <w:rPr/>
        <w:t>Los</w:t>
      </w:r>
      <w:r>
        <w:rPr>
          <w:spacing w:val="-8"/>
        </w:rPr>
        <w:t> </w:t>
      </w:r>
      <w:r>
        <w:rPr/>
        <w:t>Inspectores</w:t>
      </w:r>
      <w:r>
        <w:rPr>
          <w:spacing w:val="-7"/>
        </w:rPr>
        <w:t> </w:t>
      </w:r>
      <w:r>
        <w:rPr/>
        <w:t>del</w:t>
      </w:r>
      <w:r>
        <w:rPr>
          <w:spacing w:val="-8"/>
        </w:rPr>
        <w:t> </w:t>
      </w:r>
      <w:r>
        <w:rPr/>
        <w:t>Trabajo</w:t>
      </w:r>
      <w:r>
        <w:rPr>
          <w:spacing w:val="-8"/>
        </w:rPr>
        <w:t> </w:t>
      </w:r>
      <w:r>
        <w:rPr/>
        <w:t>tienen</w:t>
      </w:r>
      <w:r>
        <w:rPr>
          <w:spacing w:val="-7"/>
        </w:rPr>
        <w:t> </w:t>
      </w:r>
      <w:r>
        <w:rPr/>
        <w:t>las</w:t>
      </w:r>
      <w:r>
        <w:rPr>
          <w:spacing w:val="-5"/>
        </w:rPr>
        <w:t> </w:t>
      </w:r>
      <w:r>
        <w:rPr/>
        <w:t>atribuciones</w:t>
      </w:r>
      <w:r>
        <w:rPr>
          <w:spacing w:val="-6"/>
        </w:rPr>
        <w:t> </w:t>
      </w:r>
      <w:r>
        <w:rPr/>
        <w:t>y</w:t>
      </w:r>
      <w:r>
        <w:rPr>
          <w:spacing w:val="-9"/>
        </w:rPr>
        <w:t> </w:t>
      </w:r>
      <w:r>
        <w:rPr/>
        <w:t>deberes</w:t>
      </w:r>
      <w:r>
        <w:rPr>
          <w:spacing w:val="-7"/>
        </w:rPr>
        <w:t> </w:t>
      </w:r>
      <w:r>
        <w:rPr/>
        <w:t>especiales</w:t>
      </w:r>
      <w:r>
        <w:rPr>
          <w:spacing w:val="-7"/>
        </w:rPr>
        <w:t> </w:t>
      </w:r>
      <w:r>
        <w:rPr>
          <w:spacing w:val="-2"/>
        </w:rPr>
        <w:t>siguientes:</w:t>
      </w:r>
    </w:p>
    <w:p>
      <w:pPr>
        <w:pStyle w:val="BodyText"/>
        <w:spacing w:before="1"/>
      </w:pPr>
    </w:p>
    <w:p>
      <w:pPr>
        <w:pStyle w:val="ListParagraph"/>
        <w:numPr>
          <w:ilvl w:val="0"/>
          <w:numId w:val="160"/>
        </w:numPr>
        <w:tabs>
          <w:tab w:pos="1195" w:val="left" w:leader="none"/>
        </w:tabs>
        <w:spacing w:line="240" w:lineRule="auto" w:before="0" w:after="0"/>
        <w:ind w:left="1195" w:right="345" w:hanging="569"/>
        <w:jc w:val="left"/>
        <w:rPr>
          <w:sz w:val="20"/>
        </w:rPr>
      </w:pPr>
      <w:r>
        <w:rPr>
          <w:sz w:val="20"/>
        </w:rPr>
        <w:t>Vigilar el cumplimiento de las normas legales y reglamentarias sobre prevención de los riesgos de trabajo y seguridad de la vida y salud de los trabajadores;</w:t>
      </w:r>
    </w:p>
    <w:p>
      <w:pPr>
        <w:pStyle w:val="ListParagraph"/>
        <w:numPr>
          <w:ilvl w:val="0"/>
          <w:numId w:val="160"/>
        </w:numPr>
        <w:tabs>
          <w:tab w:pos="1195" w:val="left" w:leader="none"/>
        </w:tabs>
        <w:spacing w:line="240" w:lineRule="auto" w:before="229" w:after="0"/>
        <w:ind w:left="1195" w:right="0" w:hanging="569"/>
        <w:jc w:val="left"/>
        <w:rPr>
          <w:sz w:val="20"/>
        </w:rPr>
      </w:pPr>
      <w:r>
        <w:rPr>
          <w:sz w:val="20"/>
        </w:rPr>
        <w:t>Hacer</w:t>
      </w:r>
      <w:r>
        <w:rPr>
          <w:spacing w:val="-9"/>
          <w:sz w:val="20"/>
        </w:rPr>
        <w:t> </w:t>
      </w:r>
      <w:r>
        <w:rPr>
          <w:sz w:val="20"/>
        </w:rPr>
        <w:t>constar</w:t>
      </w:r>
      <w:r>
        <w:rPr>
          <w:spacing w:val="-8"/>
          <w:sz w:val="20"/>
        </w:rPr>
        <w:t> </w:t>
      </w:r>
      <w:r>
        <w:rPr>
          <w:sz w:val="20"/>
        </w:rPr>
        <w:t>en</w:t>
      </w:r>
      <w:r>
        <w:rPr>
          <w:spacing w:val="-8"/>
          <w:sz w:val="20"/>
        </w:rPr>
        <w:t> </w:t>
      </w:r>
      <w:r>
        <w:rPr>
          <w:sz w:val="20"/>
        </w:rPr>
        <w:t>actas</w:t>
      </w:r>
      <w:r>
        <w:rPr>
          <w:spacing w:val="-7"/>
          <w:sz w:val="20"/>
        </w:rPr>
        <w:t> </w:t>
      </w:r>
      <w:r>
        <w:rPr>
          <w:sz w:val="20"/>
        </w:rPr>
        <w:t>especiales</w:t>
      </w:r>
      <w:r>
        <w:rPr>
          <w:spacing w:val="-7"/>
          <w:sz w:val="20"/>
        </w:rPr>
        <w:t> </w:t>
      </w:r>
      <w:r>
        <w:rPr>
          <w:sz w:val="20"/>
        </w:rPr>
        <w:t>las</w:t>
      </w:r>
      <w:r>
        <w:rPr>
          <w:spacing w:val="-6"/>
          <w:sz w:val="20"/>
        </w:rPr>
        <w:t> </w:t>
      </w:r>
      <w:r>
        <w:rPr>
          <w:sz w:val="20"/>
        </w:rPr>
        <w:t>violaciones</w:t>
      </w:r>
      <w:r>
        <w:rPr>
          <w:spacing w:val="-7"/>
          <w:sz w:val="20"/>
        </w:rPr>
        <w:t> </w:t>
      </w:r>
      <w:r>
        <w:rPr>
          <w:sz w:val="20"/>
        </w:rPr>
        <w:t>que</w:t>
      </w:r>
      <w:r>
        <w:rPr>
          <w:spacing w:val="-7"/>
          <w:sz w:val="20"/>
        </w:rPr>
        <w:t> </w:t>
      </w:r>
      <w:r>
        <w:rPr>
          <w:sz w:val="20"/>
        </w:rPr>
        <w:t>descubran;</w:t>
      </w:r>
      <w:r>
        <w:rPr>
          <w:spacing w:val="-4"/>
          <w:sz w:val="20"/>
        </w:rPr>
        <w:t> </w:t>
      </w:r>
      <w:r>
        <w:rPr>
          <w:spacing w:val="-10"/>
          <w:sz w:val="20"/>
        </w:rPr>
        <w:t>y</w:t>
      </w:r>
    </w:p>
    <w:p>
      <w:pPr>
        <w:pStyle w:val="ListParagraph"/>
        <w:spacing w:after="0" w:line="240" w:lineRule="auto"/>
        <w:jc w:val="left"/>
        <w:rPr>
          <w:sz w:val="20"/>
        </w:rPr>
        <w:sectPr>
          <w:pgSz w:w="12240" w:h="15840"/>
          <w:pgMar w:header="724" w:footer="712" w:top="1880" w:bottom="900" w:left="1080" w:right="1080"/>
        </w:sectPr>
      </w:pPr>
    </w:p>
    <w:p>
      <w:pPr>
        <w:pStyle w:val="BodyText"/>
        <w:spacing w:before="63"/>
      </w:pPr>
    </w:p>
    <w:p>
      <w:pPr>
        <w:pStyle w:val="ListParagraph"/>
        <w:numPr>
          <w:ilvl w:val="0"/>
          <w:numId w:val="160"/>
        </w:numPr>
        <w:tabs>
          <w:tab w:pos="1195" w:val="left" w:leader="none"/>
        </w:tabs>
        <w:spacing w:line="242" w:lineRule="auto" w:before="0" w:after="0"/>
        <w:ind w:left="1195" w:right="344" w:hanging="569"/>
        <w:jc w:val="left"/>
        <w:rPr>
          <w:sz w:val="20"/>
        </w:rPr>
      </w:pPr>
      <w:r>
        <w:rPr>
          <w:sz w:val="20"/>
        </w:rPr>
        <w:t>Colaborar</w:t>
      </w:r>
      <w:r>
        <w:rPr>
          <w:spacing w:val="23"/>
          <w:sz w:val="20"/>
        </w:rPr>
        <w:t> </w:t>
      </w:r>
      <w:r>
        <w:rPr>
          <w:sz w:val="20"/>
        </w:rPr>
        <w:t>con</w:t>
      </w:r>
      <w:r>
        <w:rPr>
          <w:spacing w:val="24"/>
          <w:sz w:val="20"/>
        </w:rPr>
        <w:t> </w:t>
      </w:r>
      <w:r>
        <w:rPr>
          <w:sz w:val="20"/>
        </w:rPr>
        <w:t>los</w:t>
      </w:r>
      <w:r>
        <w:rPr>
          <w:spacing w:val="25"/>
          <w:sz w:val="20"/>
        </w:rPr>
        <w:t> </w:t>
      </w:r>
      <w:r>
        <w:rPr>
          <w:sz w:val="20"/>
        </w:rPr>
        <w:t>trabajadores</w:t>
      </w:r>
      <w:r>
        <w:rPr>
          <w:spacing w:val="25"/>
          <w:sz w:val="20"/>
        </w:rPr>
        <w:t> </w:t>
      </w:r>
      <w:r>
        <w:rPr>
          <w:sz w:val="20"/>
        </w:rPr>
        <w:t>y</w:t>
      </w:r>
      <w:r>
        <w:rPr>
          <w:spacing w:val="21"/>
          <w:sz w:val="20"/>
        </w:rPr>
        <w:t> </w:t>
      </w:r>
      <w:r>
        <w:rPr>
          <w:sz w:val="20"/>
        </w:rPr>
        <w:t>el</w:t>
      </w:r>
      <w:r>
        <w:rPr>
          <w:spacing w:val="24"/>
          <w:sz w:val="20"/>
        </w:rPr>
        <w:t> </w:t>
      </w:r>
      <w:r>
        <w:rPr>
          <w:sz w:val="20"/>
        </w:rPr>
        <w:t>patrón</w:t>
      </w:r>
      <w:r>
        <w:rPr>
          <w:spacing w:val="22"/>
          <w:sz w:val="20"/>
        </w:rPr>
        <w:t> </w:t>
      </w:r>
      <w:r>
        <w:rPr>
          <w:sz w:val="20"/>
        </w:rPr>
        <w:t>en</w:t>
      </w:r>
      <w:r>
        <w:rPr>
          <w:spacing w:val="24"/>
          <w:sz w:val="20"/>
        </w:rPr>
        <w:t> </w:t>
      </w:r>
      <w:r>
        <w:rPr>
          <w:sz w:val="20"/>
        </w:rPr>
        <w:t>la</w:t>
      </w:r>
      <w:r>
        <w:rPr>
          <w:spacing w:val="24"/>
          <w:sz w:val="20"/>
        </w:rPr>
        <w:t> </w:t>
      </w:r>
      <w:r>
        <w:rPr>
          <w:sz w:val="20"/>
        </w:rPr>
        <w:t>difusión</w:t>
      </w:r>
      <w:r>
        <w:rPr>
          <w:spacing w:val="24"/>
          <w:sz w:val="20"/>
        </w:rPr>
        <w:t> </w:t>
      </w:r>
      <w:r>
        <w:rPr>
          <w:sz w:val="20"/>
        </w:rPr>
        <w:t>de</w:t>
      </w:r>
      <w:r>
        <w:rPr>
          <w:spacing w:val="24"/>
          <w:sz w:val="20"/>
        </w:rPr>
        <w:t> </w:t>
      </w:r>
      <w:r>
        <w:rPr>
          <w:sz w:val="20"/>
        </w:rPr>
        <w:t>las</w:t>
      </w:r>
      <w:r>
        <w:rPr>
          <w:spacing w:val="23"/>
          <w:sz w:val="20"/>
        </w:rPr>
        <w:t> </w:t>
      </w:r>
      <w:r>
        <w:rPr>
          <w:sz w:val="20"/>
        </w:rPr>
        <w:t>normas</w:t>
      </w:r>
      <w:r>
        <w:rPr>
          <w:spacing w:val="23"/>
          <w:sz w:val="20"/>
        </w:rPr>
        <w:t> </w:t>
      </w:r>
      <w:r>
        <w:rPr>
          <w:sz w:val="20"/>
        </w:rPr>
        <w:t>sobre</w:t>
      </w:r>
      <w:r>
        <w:rPr>
          <w:spacing w:val="24"/>
          <w:sz w:val="20"/>
        </w:rPr>
        <w:t> </w:t>
      </w:r>
      <w:r>
        <w:rPr>
          <w:sz w:val="20"/>
        </w:rPr>
        <w:t>prevención</w:t>
      </w:r>
      <w:r>
        <w:rPr>
          <w:spacing w:val="24"/>
          <w:sz w:val="20"/>
        </w:rPr>
        <w:t> </w:t>
      </w:r>
      <w:r>
        <w:rPr>
          <w:sz w:val="20"/>
        </w:rPr>
        <w:t>de riesgos, higiene y salubridad.</w:t>
      </w:r>
    </w:p>
    <w:p>
      <w:pPr>
        <w:pStyle w:val="BodyText"/>
        <w:spacing w:line="242" w:lineRule="auto" w:before="227"/>
        <w:ind w:left="338" w:right="345" w:firstLine="288"/>
        <w:jc w:val="both"/>
      </w:pPr>
      <w:bookmarkStart w:name="Artículo_512" w:id="644"/>
      <w:bookmarkEnd w:id="644"/>
      <w:r>
        <w:rPr/>
      </w:r>
      <w:r>
        <w:rPr>
          <w:rFonts w:ascii="Arial" w:hAnsi="Arial"/>
          <w:b/>
        </w:rPr>
        <w:t>Artículo 512.- </w:t>
      </w:r>
      <w:r>
        <w:rPr/>
        <w:t>En los reglamentos de esta Ley y en los instructivos que las autoridades laborales expidan con base en ellos, se fijarán las medidas necesarias para prevenir los riesgos de trabajo y lograr que éste se preste en condiciones que aseguren la vida y la salud de los trabajadores.</w:t>
      </w:r>
    </w:p>
    <w:p>
      <w:pPr>
        <w:pStyle w:val="BodyText"/>
        <w:spacing w:before="224"/>
        <w:ind w:left="338" w:right="340" w:firstLine="288"/>
        <w:jc w:val="both"/>
      </w:pPr>
      <w:r>
        <w:rPr/>
        <w:t>En los casos en los que existe un alto riesgo que implique la pérdida de la vida o se comprometa seriamente la salud del trabajador, considerando, sobre todo la naturaleza del trabajo, las disposiciones reglamentarias o normativas considerarán el uso de la tecnología y de las herramientas de trabajo que sean innovadoras y que coadyuven a las labores de seguridad en los centros de trabajo.</w:t>
      </w:r>
    </w:p>
    <w:p>
      <w:pPr>
        <w:spacing w:line="240" w:lineRule="auto" w:before="0"/>
        <w:ind w:left="7347" w:right="33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28-04-2022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6"/>
        <w:rPr>
          <w:rFonts w:ascii="Times New Roman"/>
          <w:i/>
          <w:sz w:val="16"/>
        </w:rPr>
      </w:pPr>
    </w:p>
    <w:p>
      <w:pPr>
        <w:pStyle w:val="BodyText"/>
        <w:ind w:left="338" w:right="334" w:firstLine="288"/>
        <w:jc w:val="both"/>
      </w:pPr>
      <w:bookmarkStart w:name="Artículo_512_A" w:id="645"/>
      <w:bookmarkEnd w:id="645"/>
      <w:r>
        <w:rPr/>
      </w:r>
      <w:r>
        <w:rPr>
          <w:rFonts w:ascii="Arial" w:hAnsi="Arial"/>
          <w:b/>
        </w:rPr>
        <w:t>Artículo 512-A. </w:t>
      </w:r>
      <w:r>
        <w:rPr/>
        <w:t>Con el objeto de coadyuvar en el diseño de la política nacional en materia de seguridad, salud y medio ambiente de trabajo, proponer reformas y adiciones al reglamento y a las normas oficiales mexicanas en la materia, así como estudiar y recomendar medidas preventivas para abatir los riesgos en los centros de trabajo, se organizará la Comisión Consultiva Nacional de Seguridad</w:t>
      </w:r>
      <w:r>
        <w:rPr>
          <w:spacing w:val="80"/>
        </w:rPr>
        <w:t> </w:t>
      </w:r>
      <w:r>
        <w:rPr/>
        <w:t>y Salud en el Trabajo.</w:t>
      </w:r>
    </w:p>
    <w:p>
      <w:pPr>
        <w:pStyle w:val="BodyText"/>
        <w:spacing w:before="2"/>
      </w:pPr>
    </w:p>
    <w:p>
      <w:pPr>
        <w:pStyle w:val="BodyText"/>
        <w:ind w:left="338" w:right="337" w:firstLine="288"/>
        <w:jc w:val="both"/>
      </w:pPr>
      <w:r>
        <w:rPr/>
        <w:t>Dicha comisión se integrará por representantes de las Secretarías del Trabajo y Previsión Social; de Salud; de Gobernación, y de Medio Ambiente y Recursos Naturales, del Instituto Mexicano del Seguro Social, así como por los que designen aquellas organizaciones nacionales de trabajadores y de patrones a las que convoque el titular de la Secretaría del Trabajo y Previsión Social, quien tendrá el carácter de Presidente de la citada Comisión.</w:t>
      </w:r>
    </w:p>
    <w:p>
      <w:pPr>
        <w:pStyle w:val="BodyText"/>
      </w:pPr>
    </w:p>
    <w:p>
      <w:pPr>
        <w:pStyle w:val="BodyText"/>
        <w:ind w:left="338" w:right="335" w:firstLine="288"/>
        <w:jc w:val="both"/>
      </w:pPr>
      <w:r>
        <w:rPr/>
        <w:t>La Comisión deberá mantener comunicación permanente con las autoridades de protección civil, a efecto</w:t>
      </w:r>
      <w:r>
        <w:rPr>
          <w:spacing w:val="-4"/>
        </w:rPr>
        <w:t> </w:t>
      </w:r>
      <w:r>
        <w:rPr/>
        <w:t>de</w:t>
      </w:r>
      <w:r>
        <w:rPr>
          <w:spacing w:val="-1"/>
        </w:rPr>
        <w:t> </w:t>
      </w:r>
      <w:r>
        <w:rPr/>
        <w:t>diseñar</w:t>
      </w:r>
      <w:r>
        <w:rPr>
          <w:spacing w:val="-3"/>
        </w:rPr>
        <w:t> </w:t>
      </w:r>
      <w:r>
        <w:rPr/>
        <w:t>las</w:t>
      </w:r>
      <w:r>
        <w:rPr>
          <w:spacing w:val="-2"/>
        </w:rPr>
        <w:t> </w:t>
      </w:r>
      <w:r>
        <w:rPr/>
        <w:t>acciones</w:t>
      </w:r>
      <w:r>
        <w:rPr>
          <w:spacing w:val="-2"/>
        </w:rPr>
        <w:t> </w:t>
      </w:r>
      <w:r>
        <w:rPr/>
        <w:t>que</w:t>
      </w:r>
      <w:r>
        <w:rPr>
          <w:spacing w:val="-1"/>
        </w:rPr>
        <w:t> </w:t>
      </w:r>
      <w:r>
        <w:rPr/>
        <w:t>contribuyan</w:t>
      </w:r>
      <w:r>
        <w:rPr>
          <w:spacing w:val="-1"/>
        </w:rPr>
        <w:t> </w:t>
      </w:r>
      <w:r>
        <w:rPr/>
        <w:t>a</w:t>
      </w:r>
      <w:r>
        <w:rPr>
          <w:spacing w:val="-3"/>
        </w:rPr>
        <w:t> </w:t>
      </w:r>
      <w:r>
        <w:rPr/>
        <w:t>reducir</w:t>
      </w:r>
      <w:r>
        <w:rPr>
          <w:spacing w:val="-2"/>
        </w:rPr>
        <w:t> </w:t>
      </w:r>
      <w:r>
        <w:rPr/>
        <w:t>o</w:t>
      </w:r>
      <w:r>
        <w:rPr>
          <w:spacing w:val="-1"/>
        </w:rPr>
        <w:t> </w:t>
      </w:r>
      <w:r>
        <w:rPr/>
        <w:t>eliminar</w:t>
      </w:r>
      <w:r>
        <w:rPr>
          <w:spacing w:val="-2"/>
        </w:rPr>
        <w:t> </w:t>
      </w:r>
      <w:r>
        <w:rPr/>
        <w:t>la</w:t>
      </w:r>
      <w:r>
        <w:rPr>
          <w:spacing w:val="-1"/>
        </w:rPr>
        <w:t> </w:t>
      </w:r>
      <w:r>
        <w:rPr/>
        <w:t>pérdida</w:t>
      </w:r>
      <w:r>
        <w:rPr>
          <w:spacing w:val="-1"/>
        </w:rPr>
        <w:t> </w:t>
      </w:r>
      <w:r>
        <w:rPr/>
        <w:t>de</w:t>
      </w:r>
      <w:r>
        <w:rPr>
          <w:spacing w:val="-1"/>
        </w:rPr>
        <w:t> </w:t>
      </w:r>
      <w:r>
        <w:rPr/>
        <w:t>vidas,</w:t>
      </w:r>
      <w:r>
        <w:rPr>
          <w:spacing w:val="-1"/>
        </w:rPr>
        <w:t> </w:t>
      </w:r>
      <w:r>
        <w:rPr/>
        <w:t>la</w:t>
      </w:r>
      <w:r>
        <w:rPr>
          <w:spacing w:val="-1"/>
        </w:rPr>
        <w:t> </w:t>
      </w:r>
      <w:r>
        <w:rPr/>
        <w:t>afectación</w:t>
      </w:r>
      <w:r>
        <w:rPr>
          <w:spacing w:val="-1"/>
        </w:rPr>
        <w:t> </w:t>
      </w:r>
      <w:r>
        <w:rPr/>
        <w:t>de</w:t>
      </w:r>
      <w:r>
        <w:rPr>
          <w:spacing w:val="-1"/>
        </w:rPr>
        <w:t> </w:t>
      </w:r>
      <w:r>
        <w:rPr/>
        <w:t>la planta productiva, la destrucción de bienes materiales, el daño a la naturaleza y la interrupción de las funciones esenciales de la sociedad, ante la eventualidad de un desastre provocado por agentes naturales o humanos.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ind w:left="338" w:right="341" w:firstLine="288"/>
        <w:jc w:val="both"/>
      </w:pPr>
      <w:bookmarkStart w:name="Artículo_512_B" w:id="646"/>
      <w:bookmarkEnd w:id="646"/>
      <w:r>
        <w:rPr/>
      </w:r>
      <w:r>
        <w:rPr>
          <w:rFonts w:ascii="Arial" w:hAnsi="Arial"/>
          <w:b/>
        </w:rPr>
        <w:t>Artículo 512-B. </w:t>
      </w:r>
      <w:r>
        <w:rPr/>
        <w:t>En cada entidad federativa se constituirá una Comisión Consultiva Estatal de Seguridad y Salud en el Trabajo, cuya finalidad será la de coadyuvar en la definición de la política estatal en materia de seguridad, salud y medio ambiente de trabajo, proponer reformas y adiciones al</w:t>
      </w:r>
      <w:r>
        <w:rPr>
          <w:spacing w:val="40"/>
        </w:rPr>
        <w:t> </w:t>
      </w:r>
      <w:r>
        <w:rPr/>
        <w:t>reglamento y a las normas oficiales mexicanas en la materia, así como estudiar y proponer medidas preventivas para abatir los riesgos en los centros de trabajo establecidos en su jurisdicción.</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338" w:right="345" w:firstLine="288"/>
        <w:jc w:val="both"/>
      </w:pPr>
      <w:r>
        <w:rPr/>
        <w:t>Dichas Comisiones Consultivas Estatales serán presididas por los Ejecutivos Estatales y el Jefe de Gobierno de la Ciudad de México y en su integración participarán representantes de las Secretarías del Trabajo y Previsión Social, de Salud, de Gobernación y de Medio Ambiente y Recursos Naturales, del Instituto Mexicano del Seguro Social; así como los que designen las organizaciones de trabajadores y de patrones a las que convoquen.</w:t>
      </w:r>
    </w:p>
    <w:p>
      <w:pPr>
        <w:spacing w:line="182"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firstLine="288"/>
      </w:pPr>
      <w:r>
        <w:rPr/>
        <w:t>El representante de la Secretaría del Trabajo y Previsión Social ante la Comisión Consultiva Estatal</w:t>
      </w:r>
      <w:r>
        <w:rPr>
          <w:spacing w:val="40"/>
        </w:rPr>
        <w:t> </w:t>
      </w:r>
      <w:r>
        <w:rPr/>
        <w:t>respectiva, fungirá como Secretario de la misma.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7"/>
        <w:rPr>
          <w:rFonts w:ascii="Times New Roman"/>
          <w:i/>
          <w:sz w:val="16"/>
        </w:rPr>
      </w:pPr>
    </w:p>
    <w:p>
      <w:pPr>
        <w:pStyle w:val="BodyText"/>
        <w:ind w:left="338" w:firstLine="288"/>
      </w:pPr>
      <w:bookmarkStart w:name="Artículo_512_C" w:id="647"/>
      <w:bookmarkEnd w:id="647"/>
      <w:r>
        <w:rPr/>
      </w:r>
      <w:r>
        <w:rPr>
          <w:rFonts w:ascii="Arial" w:hAnsi="Arial"/>
          <w:b/>
        </w:rPr>
        <w:t>Artículo</w:t>
      </w:r>
      <w:r>
        <w:rPr>
          <w:rFonts w:ascii="Arial" w:hAnsi="Arial"/>
          <w:b/>
          <w:spacing w:val="34"/>
        </w:rPr>
        <w:t> </w:t>
      </w:r>
      <w:r>
        <w:rPr>
          <w:rFonts w:ascii="Arial" w:hAnsi="Arial"/>
          <w:b/>
        </w:rPr>
        <w:t>512-C.-</w:t>
      </w:r>
      <w:r>
        <w:rPr>
          <w:rFonts w:ascii="Arial" w:hAnsi="Arial"/>
          <w:b/>
          <w:spacing w:val="35"/>
        </w:rPr>
        <w:t> </w:t>
      </w:r>
      <w:r>
        <w:rPr/>
        <w:t>La</w:t>
      </w:r>
      <w:r>
        <w:rPr>
          <w:spacing w:val="33"/>
        </w:rPr>
        <w:t> </w:t>
      </w:r>
      <w:r>
        <w:rPr/>
        <w:t>organización</w:t>
      </w:r>
      <w:r>
        <w:rPr>
          <w:spacing w:val="33"/>
        </w:rPr>
        <w:t> </w:t>
      </w:r>
      <w:r>
        <w:rPr/>
        <w:t>de</w:t>
      </w:r>
      <w:r>
        <w:rPr>
          <w:spacing w:val="33"/>
        </w:rPr>
        <w:t> </w:t>
      </w:r>
      <w:r>
        <w:rPr/>
        <w:t>la</w:t>
      </w:r>
      <w:r>
        <w:rPr>
          <w:spacing w:val="31"/>
        </w:rPr>
        <w:t> </w:t>
      </w:r>
      <w:r>
        <w:rPr/>
        <w:t>Comisión</w:t>
      </w:r>
      <w:r>
        <w:rPr>
          <w:spacing w:val="35"/>
        </w:rPr>
        <w:t> </w:t>
      </w:r>
      <w:r>
        <w:rPr/>
        <w:t>Consultiva</w:t>
      </w:r>
      <w:r>
        <w:rPr>
          <w:spacing w:val="31"/>
        </w:rPr>
        <w:t> </w:t>
      </w:r>
      <w:r>
        <w:rPr/>
        <w:t>Nacional</w:t>
      </w:r>
      <w:r>
        <w:rPr>
          <w:spacing w:val="30"/>
        </w:rPr>
        <w:t> </w:t>
      </w:r>
      <w:r>
        <w:rPr/>
        <w:t>de</w:t>
      </w:r>
      <w:r>
        <w:rPr>
          <w:spacing w:val="33"/>
        </w:rPr>
        <w:t> </w:t>
      </w:r>
      <w:r>
        <w:rPr/>
        <w:t>Seguridad</w:t>
      </w:r>
      <w:r>
        <w:rPr>
          <w:spacing w:val="36"/>
        </w:rPr>
        <w:t> </w:t>
      </w:r>
      <w:r>
        <w:rPr/>
        <w:t>y</w:t>
      </w:r>
      <w:r>
        <w:rPr>
          <w:spacing w:val="30"/>
        </w:rPr>
        <w:t> </w:t>
      </w:r>
      <w:r>
        <w:rPr/>
        <w:t>Salud</w:t>
      </w:r>
      <w:r>
        <w:rPr>
          <w:spacing w:val="33"/>
        </w:rPr>
        <w:t> </w:t>
      </w:r>
      <w:r>
        <w:rPr/>
        <w:t>en</w:t>
      </w:r>
      <w:r>
        <w:rPr>
          <w:spacing w:val="33"/>
        </w:rPr>
        <w:t> </w:t>
      </w:r>
      <w:r>
        <w:rPr/>
        <w:t>el Trabajo</w:t>
      </w:r>
      <w:r>
        <w:rPr>
          <w:spacing w:val="5"/>
        </w:rPr>
        <w:t> </w:t>
      </w:r>
      <w:r>
        <w:rPr/>
        <w:t>y</w:t>
      </w:r>
      <w:r>
        <w:rPr>
          <w:spacing w:val="-2"/>
        </w:rPr>
        <w:t> </w:t>
      </w:r>
      <w:r>
        <w:rPr/>
        <w:t>la</w:t>
      </w:r>
      <w:r>
        <w:rPr>
          <w:spacing w:val="3"/>
        </w:rPr>
        <w:t> </w:t>
      </w:r>
      <w:r>
        <w:rPr/>
        <w:t>de</w:t>
      </w:r>
      <w:r>
        <w:rPr>
          <w:spacing w:val="3"/>
        </w:rPr>
        <w:t> </w:t>
      </w:r>
      <w:r>
        <w:rPr/>
        <w:t>las</w:t>
      </w:r>
      <w:r>
        <w:rPr>
          <w:spacing w:val="4"/>
        </w:rPr>
        <w:t> </w:t>
      </w:r>
      <w:r>
        <w:rPr/>
        <w:t>Comisiones</w:t>
      </w:r>
      <w:r>
        <w:rPr>
          <w:spacing w:val="3"/>
        </w:rPr>
        <w:t> </w:t>
      </w:r>
      <w:r>
        <w:rPr/>
        <w:t>Consultivas</w:t>
      </w:r>
      <w:r>
        <w:rPr>
          <w:spacing w:val="4"/>
        </w:rPr>
        <w:t> </w:t>
      </w:r>
      <w:r>
        <w:rPr/>
        <w:t>Estatales</w:t>
      </w:r>
      <w:r>
        <w:rPr>
          <w:spacing w:val="4"/>
        </w:rPr>
        <w:t> </w:t>
      </w:r>
      <w:r>
        <w:rPr/>
        <w:t>y</w:t>
      </w:r>
      <w:r>
        <w:rPr>
          <w:spacing w:val="2"/>
        </w:rPr>
        <w:t> </w:t>
      </w:r>
      <w:r>
        <w:rPr/>
        <w:t>de</w:t>
      </w:r>
      <w:r>
        <w:rPr>
          <w:spacing w:val="3"/>
        </w:rPr>
        <w:t> </w:t>
      </w:r>
      <w:r>
        <w:rPr/>
        <w:t>la</w:t>
      </w:r>
      <w:r>
        <w:rPr>
          <w:spacing w:val="2"/>
        </w:rPr>
        <w:t> </w:t>
      </w:r>
      <w:r>
        <w:rPr/>
        <w:t>Ciudad</w:t>
      </w:r>
      <w:r>
        <w:rPr>
          <w:spacing w:val="3"/>
        </w:rPr>
        <w:t> </w:t>
      </w:r>
      <w:r>
        <w:rPr/>
        <w:t>de</w:t>
      </w:r>
      <w:r>
        <w:rPr>
          <w:spacing w:val="3"/>
        </w:rPr>
        <w:t> </w:t>
      </w:r>
      <w:r>
        <w:rPr/>
        <w:t>México</w:t>
      </w:r>
      <w:r>
        <w:rPr>
          <w:spacing w:val="11"/>
        </w:rPr>
        <w:t> </w:t>
      </w:r>
      <w:r>
        <w:rPr/>
        <w:t>de</w:t>
      </w:r>
      <w:r>
        <w:rPr>
          <w:spacing w:val="3"/>
        </w:rPr>
        <w:t> </w:t>
      </w:r>
      <w:r>
        <w:rPr/>
        <w:t>Seguridad</w:t>
      </w:r>
      <w:r>
        <w:rPr>
          <w:spacing w:val="7"/>
        </w:rPr>
        <w:t> </w:t>
      </w:r>
      <w:r>
        <w:rPr/>
        <w:t>y Salud</w:t>
      </w:r>
      <w:r>
        <w:rPr>
          <w:spacing w:val="3"/>
        </w:rPr>
        <w:t> </w:t>
      </w:r>
      <w:r>
        <w:rPr>
          <w:spacing w:val="-5"/>
        </w:rPr>
        <w:t>en</w:t>
      </w:r>
    </w:p>
    <w:p>
      <w:pPr>
        <w:pStyle w:val="BodyText"/>
        <w:spacing w:after="0"/>
        <w:sectPr>
          <w:pgSz w:w="12240" w:h="15840"/>
          <w:pgMar w:header="724" w:footer="712" w:top="1880" w:bottom="900" w:left="1080" w:right="1080"/>
        </w:sectPr>
      </w:pPr>
    </w:p>
    <w:p>
      <w:pPr>
        <w:pStyle w:val="BodyText"/>
        <w:spacing w:before="65"/>
      </w:pPr>
    </w:p>
    <w:p>
      <w:pPr>
        <w:pStyle w:val="BodyText"/>
        <w:ind w:left="338" w:right="342"/>
      </w:pPr>
      <w:r>
        <w:rPr/>
        <w:t>el</w:t>
      </w:r>
      <w:r>
        <w:rPr>
          <w:spacing w:val="29"/>
        </w:rPr>
        <w:t> </w:t>
      </w:r>
      <w:r>
        <w:rPr/>
        <w:t>Trabajo,</w:t>
      </w:r>
      <w:r>
        <w:rPr>
          <w:spacing w:val="29"/>
        </w:rPr>
        <w:t> </w:t>
      </w:r>
      <w:r>
        <w:rPr/>
        <w:t>serán</w:t>
      </w:r>
      <w:r>
        <w:rPr>
          <w:spacing w:val="30"/>
        </w:rPr>
        <w:t> </w:t>
      </w:r>
      <w:r>
        <w:rPr/>
        <w:t>señaladas</w:t>
      </w:r>
      <w:r>
        <w:rPr>
          <w:spacing w:val="31"/>
        </w:rPr>
        <w:t> </w:t>
      </w:r>
      <w:r>
        <w:rPr/>
        <w:t>en</w:t>
      </w:r>
      <w:r>
        <w:rPr>
          <w:spacing w:val="29"/>
        </w:rPr>
        <w:t> </w:t>
      </w:r>
      <w:r>
        <w:rPr/>
        <w:t>el</w:t>
      </w:r>
      <w:r>
        <w:rPr>
          <w:spacing w:val="29"/>
        </w:rPr>
        <w:t> </w:t>
      </w:r>
      <w:r>
        <w:rPr/>
        <w:t>reglamento</w:t>
      </w:r>
      <w:r>
        <w:rPr>
          <w:spacing w:val="29"/>
        </w:rPr>
        <w:t> </w:t>
      </w:r>
      <w:r>
        <w:rPr/>
        <w:t>que</w:t>
      </w:r>
      <w:r>
        <w:rPr>
          <w:spacing w:val="32"/>
        </w:rPr>
        <w:t> </w:t>
      </w:r>
      <w:r>
        <w:rPr/>
        <w:t>se</w:t>
      </w:r>
      <w:r>
        <w:rPr>
          <w:spacing w:val="30"/>
        </w:rPr>
        <w:t> </w:t>
      </w:r>
      <w:r>
        <w:rPr/>
        <w:t>expida</w:t>
      </w:r>
      <w:r>
        <w:rPr>
          <w:spacing w:val="30"/>
        </w:rPr>
        <w:t> </w:t>
      </w:r>
      <w:r>
        <w:rPr/>
        <w:t>en</w:t>
      </w:r>
      <w:r>
        <w:rPr>
          <w:spacing w:val="29"/>
        </w:rPr>
        <w:t> </w:t>
      </w:r>
      <w:r>
        <w:rPr/>
        <w:t>materia</w:t>
      </w:r>
      <w:r>
        <w:rPr>
          <w:spacing w:val="32"/>
        </w:rPr>
        <w:t> </w:t>
      </w:r>
      <w:r>
        <w:rPr/>
        <w:t>de</w:t>
      </w:r>
      <w:r>
        <w:rPr>
          <w:spacing w:val="32"/>
        </w:rPr>
        <w:t> </w:t>
      </w:r>
      <w:r>
        <w:rPr/>
        <w:t>seguridad,</w:t>
      </w:r>
      <w:r>
        <w:rPr>
          <w:spacing w:val="30"/>
        </w:rPr>
        <w:t> </w:t>
      </w:r>
      <w:r>
        <w:rPr/>
        <w:t>salud</w:t>
      </w:r>
      <w:r>
        <w:rPr>
          <w:spacing w:val="34"/>
        </w:rPr>
        <w:t> </w:t>
      </w:r>
      <w:r>
        <w:rPr/>
        <w:t>y</w:t>
      </w:r>
      <w:r>
        <w:rPr>
          <w:spacing w:val="26"/>
        </w:rPr>
        <w:t> </w:t>
      </w:r>
      <w:r>
        <w:rPr/>
        <w:t>medio ambiente de trabajo.</w:t>
      </w:r>
    </w:p>
    <w:p>
      <w:pPr>
        <w:spacing w:line="183"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338" w:firstLine="288"/>
      </w:pPr>
      <w:r>
        <w:rPr/>
        <w:t>El</w:t>
      </w:r>
      <w:r>
        <w:rPr>
          <w:spacing w:val="40"/>
        </w:rPr>
        <w:t> </w:t>
      </w:r>
      <w:r>
        <w:rPr/>
        <w:t>funcionamiento</w:t>
      </w:r>
      <w:r>
        <w:rPr>
          <w:spacing w:val="40"/>
        </w:rPr>
        <w:t> </w:t>
      </w:r>
      <w:r>
        <w:rPr/>
        <w:t>interno</w:t>
      </w:r>
      <w:r>
        <w:rPr>
          <w:spacing w:val="40"/>
        </w:rPr>
        <w:t> </w:t>
      </w:r>
      <w:r>
        <w:rPr/>
        <w:t>de</w:t>
      </w:r>
      <w:r>
        <w:rPr>
          <w:spacing w:val="40"/>
        </w:rPr>
        <w:t> </w:t>
      </w:r>
      <w:r>
        <w:rPr/>
        <w:t>dichas</w:t>
      </w:r>
      <w:r>
        <w:rPr>
          <w:spacing w:val="40"/>
        </w:rPr>
        <w:t> </w:t>
      </w:r>
      <w:r>
        <w:rPr/>
        <w:t>Comisiones,</w:t>
      </w:r>
      <w:r>
        <w:rPr>
          <w:spacing w:val="40"/>
        </w:rPr>
        <w:t> </w:t>
      </w:r>
      <w:r>
        <w:rPr/>
        <w:t>se</w:t>
      </w:r>
      <w:r>
        <w:rPr>
          <w:spacing w:val="40"/>
        </w:rPr>
        <w:t> </w:t>
      </w:r>
      <w:r>
        <w:rPr/>
        <w:t>fijará</w:t>
      </w:r>
      <w:r>
        <w:rPr>
          <w:spacing w:val="40"/>
        </w:rPr>
        <w:t> </w:t>
      </w:r>
      <w:r>
        <w:rPr/>
        <w:t>en</w:t>
      </w:r>
      <w:r>
        <w:rPr>
          <w:spacing w:val="40"/>
        </w:rPr>
        <w:t> </w:t>
      </w:r>
      <w:r>
        <w:rPr/>
        <w:t>el</w:t>
      </w:r>
      <w:r>
        <w:rPr>
          <w:spacing w:val="40"/>
        </w:rPr>
        <w:t> </w:t>
      </w:r>
      <w:r>
        <w:rPr/>
        <w:t>Reglamento</w:t>
      </w:r>
      <w:r>
        <w:rPr>
          <w:spacing w:val="40"/>
        </w:rPr>
        <w:t> </w:t>
      </w:r>
      <w:r>
        <w:rPr/>
        <w:t>Interior</w:t>
      </w:r>
      <w:r>
        <w:rPr>
          <w:spacing w:val="40"/>
        </w:rPr>
        <w:t> </w:t>
      </w:r>
      <w:r>
        <w:rPr/>
        <w:t>que</w:t>
      </w:r>
      <w:r>
        <w:rPr>
          <w:spacing w:val="40"/>
        </w:rPr>
        <w:t> </w:t>
      </w:r>
      <w:r>
        <w:rPr/>
        <w:t>cada</w:t>
      </w:r>
      <w:r>
        <w:rPr>
          <w:spacing w:val="80"/>
        </w:rPr>
        <w:t> </w:t>
      </w:r>
      <w:r>
        <w:rPr/>
        <w:t>Comisión expida.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7"/>
        <w:rPr>
          <w:rFonts w:ascii="Times New Roman"/>
          <w:i/>
          <w:sz w:val="16"/>
        </w:rPr>
      </w:pPr>
    </w:p>
    <w:p>
      <w:pPr>
        <w:pStyle w:val="BodyText"/>
        <w:ind w:left="338" w:right="339" w:firstLine="288"/>
        <w:jc w:val="both"/>
      </w:pPr>
      <w:bookmarkStart w:name="Artículo_512_D" w:id="648"/>
      <w:bookmarkEnd w:id="648"/>
      <w:r>
        <w:rPr/>
      </w:r>
      <w:r>
        <w:rPr>
          <w:rFonts w:ascii="Arial" w:hAnsi="Arial"/>
          <w:b/>
        </w:rPr>
        <w:t>Artículo 512-D. </w:t>
      </w:r>
      <w:r>
        <w:rPr/>
        <w:t>Los patrones deberán efectuar las modificaciones que ordenen las autoridades del trabajo a fin de ajustar sus establecimientos, instalaciones o equipos a las disposiciones de esta Ley, de sus reglamentos o de las normas oficiales mexicanas en materia de seguridad y salud en el trabajo que expidan las autoridades competentes. Si transcurrido el plazo que se les conceda para tal efecto, no se han efectuado las modificaciones, la Secretaría del Trabajo y Previsión Social procederá a sancionar al patrón infractor, con apercibimiento de sanción mayor en caso de no cumplir la orden dentro del nuevo plazo que se le otorgue.</w:t>
      </w:r>
    </w:p>
    <w:p>
      <w:pPr>
        <w:spacing w:line="183"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43" w:firstLine="288"/>
        <w:jc w:val="both"/>
      </w:pPr>
      <w:bookmarkStart w:name="Artículo_512_D_Bis" w:id="649"/>
      <w:bookmarkEnd w:id="649"/>
      <w:r>
        <w:rPr/>
      </w:r>
      <w:r>
        <w:rPr>
          <w:rFonts w:ascii="Arial" w:hAnsi="Arial"/>
          <w:b/>
        </w:rPr>
        <w:t>Artículo 512-D Bis. </w:t>
      </w:r>
      <w:r>
        <w:rPr/>
        <w:t>Para el caso de la restricción de acceso o limitación en la operación en las áreas de</w:t>
      </w:r>
      <w:r>
        <w:rPr>
          <w:spacing w:val="-5"/>
        </w:rPr>
        <w:t> </w:t>
      </w:r>
      <w:r>
        <w:rPr/>
        <w:t>riesgo</w:t>
      </w:r>
      <w:r>
        <w:rPr>
          <w:spacing w:val="-3"/>
        </w:rPr>
        <w:t> </w:t>
      </w:r>
      <w:r>
        <w:rPr/>
        <w:t>detectadas</w:t>
      </w:r>
      <w:r>
        <w:rPr>
          <w:spacing w:val="-3"/>
        </w:rPr>
        <w:t> </w:t>
      </w:r>
      <w:r>
        <w:rPr/>
        <w:t>a</w:t>
      </w:r>
      <w:r>
        <w:rPr>
          <w:spacing w:val="-2"/>
        </w:rPr>
        <w:t> </w:t>
      </w:r>
      <w:r>
        <w:rPr/>
        <w:t>que</w:t>
      </w:r>
      <w:r>
        <w:rPr>
          <w:spacing w:val="-2"/>
        </w:rPr>
        <w:t> </w:t>
      </w:r>
      <w:r>
        <w:rPr/>
        <w:t>se</w:t>
      </w:r>
      <w:r>
        <w:rPr>
          <w:spacing w:val="-4"/>
        </w:rPr>
        <w:t> </w:t>
      </w:r>
      <w:r>
        <w:rPr/>
        <w:t>refiere</w:t>
      </w:r>
      <w:r>
        <w:rPr>
          <w:spacing w:val="-2"/>
        </w:rPr>
        <w:t> </w:t>
      </w:r>
      <w:r>
        <w:rPr/>
        <w:t>el</w:t>
      </w:r>
      <w:r>
        <w:rPr>
          <w:spacing w:val="-3"/>
        </w:rPr>
        <w:t> </w:t>
      </w:r>
      <w:r>
        <w:rPr/>
        <w:t>artículo</w:t>
      </w:r>
      <w:r>
        <w:rPr>
          <w:spacing w:val="-2"/>
        </w:rPr>
        <w:t> </w:t>
      </w:r>
      <w:r>
        <w:rPr/>
        <w:t>541,</w:t>
      </w:r>
      <w:r>
        <w:rPr>
          <w:spacing w:val="-2"/>
        </w:rPr>
        <w:t> </w:t>
      </w:r>
      <w:r>
        <w:rPr/>
        <w:t>fracción</w:t>
      </w:r>
      <w:r>
        <w:rPr>
          <w:spacing w:val="-3"/>
        </w:rPr>
        <w:t> </w:t>
      </w:r>
      <w:r>
        <w:rPr/>
        <w:t>VI</w:t>
      </w:r>
      <w:r>
        <w:rPr>
          <w:spacing w:val="-2"/>
        </w:rPr>
        <w:t> </w:t>
      </w:r>
      <w:r>
        <w:rPr/>
        <w:t>Bis de</w:t>
      </w:r>
      <w:r>
        <w:rPr>
          <w:spacing w:val="-2"/>
        </w:rPr>
        <w:t> </w:t>
      </w:r>
      <w:r>
        <w:rPr/>
        <w:t>esta</w:t>
      </w:r>
      <w:r>
        <w:rPr>
          <w:spacing w:val="-2"/>
        </w:rPr>
        <w:t> </w:t>
      </w:r>
      <w:r>
        <w:rPr/>
        <w:t>Ley,</w:t>
      </w:r>
      <w:r>
        <w:rPr>
          <w:spacing w:val="-2"/>
        </w:rPr>
        <w:t> </w:t>
      </w:r>
      <w:r>
        <w:rPr/>
        <w:t>la</w:t>
      </w:r>
      <w:r>
        <w:rPr>
          <w:spacing w:val="-4"/>
        </w:rPr>
        <w:t> </w:t>
      </w:r>
      <w:r>
        <w:rPr/>
        <w:t>Secretaría</w:t>
      </w:r>
      <w:r>
        <w:rPr>
          <w:spacing w:val="-2"/>
        </w:rPr>
        <w:t> </w:t>
      </w:r>
      <w:r>
        <w:rPr/>
        <w:t>del</w:t>
      </w:r>
      <w:r>
        <w:rPr>
          <w:spacing w:val="-5"/>
        </w:rPr>
        <w:t> </w:t>
      </w:r>
      <w:r>
        <w:rPr/>
        <w:t>Trabajo y Previsión Social después de realizar el análisis del informe a que se refiere dicho precepto y practicar las diligencias que considere pertinentes, resolverá dentro de las siguientes 72 horas si levanta la restricción decretada o amplía su duración, hasta en tanto se corrijan las irregularidades que motivaron la suspensión de actividades, independientemente de la imposición de la sanción económica que corresponda por el incumplimiento a las disposiciones en materia de seguridad e higiene en el trabajo.</w:t>
      </w:r>
    </w:p>
    <w:p>
      <w:pPr>
        <w:pStyle w:val="BodyText"/>
        <w:spacing w:before="3"/>
      </w:pPr>
    </w:p>
    <w:p>
      <w:pPr>
        <w:pStyle w:val="BodyText"/>
        <w:ind w:left="338" w:right="342" w:firstLine="288"/>
        <w:jc w:val="both"/>
      </w:pPr>
      <w:r>
        <w:rPr/>
        <w:t>Dentro</w:t>
      </w:r>
      <w:r>
        <w:rPr>
          <w:spacing w:val="-1"/>
        </w:rPr>
        <w:t> </w:t>
      </w:r>
      <w:r>
        <w:rPr/>
        <w:t>del</w:t>
      </w:r>
      <w:r>
        <w:rPr>
          <w:spacing w:val="-4"/>
        </w:rPr>
        <w:t> </w:t>
      </w:r>
      <w:r>
        <w:rPr/>
        <w:t>plazo</w:t>
      </w:r>
      <w:r>
        <w:rPr>
          <w:spacing w:val="-1"/>
        </w:rPr>
        <w:t> </w:t>
      </w:r>
      <w:r>
        <w:rPr/>
        <w:t>a</w:t>
      </w:r>
      <w:r>
        <w:rPr>
          <w:spacing w:val="-1"/>
        </w:rPr>
        <w:t> </w:t>
      </w:r>
      <w:r>
        <w:rPr/>
        <w:t>que</w:t>
      </w:r>
      <w:r>
        <w:rPr>
          <w:spacing w:val="-3"/>
        </w:rPr>
        <w:t> </w:t>
      </w:r>
      <w:r>
        <w:rPr/>
        <w:t>se</w:t>
      </w:r>
      <w:r>
        <w:rPr>
          <w:spacing w:val="-3"/>
        </w:rPr>
        <w:t> </w:t>
      </w:r>
      <w:r>
        <w:rPr/>
        <w:t>refiere</w:t>
      </w:r>
      <w:r>
        <w:rPr>
          <w:spacing w:val="-3"/>
        </w:rPr>
        <w:t> </w:t>
      </w:r>
      <w:r>
        <w:rPr/>
        <w:t>el</w:t>
      </w:r>
      <w:r>
        <w:rPr>
          <w:spacing w:val="-4"/>
        </w:rPr>
        <w:t> </w:t>
      </w:r>
      <w:r>
        <w:rPr/>
        <w:t>párrafo</w:t>
      </w:r>
      <w:r>
        <w:rPr>
          <w:spacing w:val="-3"/>
        </w:rPr>
        <w:t> </w:t>
      </w:r>
      <w:r>
        <w:rPr/>
        <w:t>anterior,</w:t>
      </w:r>
      <w:r>
        <w:rPr>
          <w:spacing w:val="-1"/>
        </w:rPr>
        <w:t> </w:t>
      </w:r>
      <w:r>
        <w:rPr/>
        <w:t>el</w:t>
      </w:r>
      <w:r>
        <w:rPr>
          <w:spacing w:val="-2"/>
        </w:rPr>
        <w:t> </w:t>
      </w:r>
      <w:r>
        <w:rPr/>
        <w:t>patrón</w:t>
      </w:r>
      <w:r>
        <w:rPr>
          <w:spacing w:val="-3"/>
        </w:rPr>
        <w:t> </w:t>
      </w:r>
      <w:r>
        <w:rPr/>
        <w:t>podrá</w:t>
      </w:r>
      <w:r>
        <w:rPr>
          <w:spacing w:val="-1"/>
        </w:rPr>
        <w:t> </w:t>
      </w:r>
      <w:r>
        <w:rPr/>
        <w:t>manifestar</w:t>
      </w:r>
      <w:r>
        <w:rPr>
          <w:spacing w:val="-3"/>
        </w:rPr>
        <w:t> </w:t>
      </w:r>
      <w:r>
        <w:rPr/>
        <w:t>a</w:t>
      </w:r>
      <w:r>
        <w:rPr>
          <w:spacing w:val="-3"/>
        </w:rPr>
        <w:t> </w:t>
      </w:r>
      <w:r>
        <w:rPr/>
        <w:t>la</w:t>
      </w:r>
      <w:r>
        <w:rPr>
          <w:spacing w:val="-3"/>
        </w:rPr>
        <w:t> </w:t>
      </w:r>
      <w:r>
        <w:rPr/>
        <w:t>Secretaría</w:t>
      </w:r>
      <w:r>
        <w:rPr>
          <w:spacing w:val="-1"/>
        </w:rPr>
        <w:t> </w:t>
      </w:r>
      <w:r>
        <w:rPr/>
        <w:t>lo</w:t>
      </w:r>
      <w:r>
        <w:rPr>
          <w:spacing w:val="-1"/>
        </w:rPr>
        <w:t> </w:t>
      </w:r>
      <w:r>
        <w:rPr/>
        <w:t>que</w:t>
      </w:r>
      <w:r>
        <w:rPr>
          <w:spacing w:val="-2"/>
        </w:rPr>
        <w:t> </w:t>
      </w:r>
      <w:r>
        <w:rPr/>
        <w:t>a su derecho convenga y ofrecer las pruebas que estime pertinentes, lo que será tomado en cuenta por la autoridad al momento de resolver.</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34" w:firstLine="288"/>
        <w:jc w:val="both"/>
      </w:pPr>
      <w:bookmarkStart w:name="Artículo_512_D_Ter" w:id="650"/>
      <w:bookmarkEnd w:id="650"/>
      <w:r>
        <w:rPr/>
      </w:r>
      <w:r>
        <w:rPr>
          <w:rFonts w:ascii="Arial" w:hAnsi="Arial"/>
          <w:b/>
        </w:rPr>
        <w:t>Artículo 512-D Ter. </w:t>
      </w:r>
      <w:r>
        <w:rPr/>
        <w:t>En el caso de que las autoridades sanitarias competentes hubieren determinado la suspensión de labores con motivo de una declaratoria de contingencia sanitaria, la Secretaría del Trabajo y Previsión Social ordenará medidas necesarias para evitar afectaciones a la salud de los trabajadores, sin perjuicio de la imposición de las sanciones que correspondan y del ejercicio de las facultades de otras autoridades.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4"/>
        <w:rPr>
          <w:rFonts w:ascii="Times New Roman"/>
          <w:i/>
          <w:sz w:val="16"/>
        </w:rPr>
      </w:pPr>
    </w:p>
    <w:p>
      <w:pPr>
        <w:pStyle w:val="BodyText"/>
        <w:spacing w:line="242" w:lineRule="auto" w:before="1"/>
        <w:ind w:left="338" w:right="336" w:firstLine="288"/>
        <w:jc w:val="both"/>
      </w:pPr>
      <w:bookmarkStart w:name="Artículo_512_E" w:id="651"/>
      <w:bookmarkEnd w:id="651"/>
      <w:r>
        <w:rPr/>
      </w:r>
      <w:r>
        <w:rPr>
          <w:rFonts w:ascii="Arial" w:hAnsi="Arial"/>
          <w:b/>
        </w:rPr>
        <w:t>Artículo 512-E. </w:t>
      </w:r>
      <w:r>
        <w:rPr/>
        <w:t>La Secretaría del Trabajo y Previsión Social establecerá la coordinación necesaria</w:t>
      </w:r>
      <w:r>
        <w:rPr>
          <w:spacing w:val="40"/>
        </w:rPr>
        <w:t> </w:t>
      </w:r>
      <w:r>
        <w:rPr/>
        <w:t>con la Secretaría de Salud y con el Instituto Mexicano del Seguro Social para la elaboración de</w:t>
      </w:r>
      <w:r>
        <w:rPr>
          <w:spacing w:val="40"/>
        </w:rPr>
        <w:t> </w:t>
      </w:r>
      <w:r>
        <w:rPr/>
        <w:t>programas y el desarrollo de campañas tendientes a prevenir accidentes y enfermedades de trabajo.</w:t>
      </w:r>
    </w:p>
    <w:p>
      <w:pPr>
        <w:spacing w:line="176"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3"/>
        <w:rPr>
          <w:rFonts w:ascii="Times New Roman"/>
          <w:i/>
          <w:sz w:val="16"/>
        </w:rPr>
      </w:pPr>
    </w:p>
    <w:p>
      <w:pPr>
        <w:pStyle w:val="BodyText"/>
        <w:spacing w:line="242" w:lineRule="auto" w:before="1"/>
        <w:ind w:left="338" w:right="338" w:firstLine="288"/>
        <w:jc w:val="both"/>
      </w:pPr>
      <w:bookmarkStart w:name="Artículo_512_F" w:id="652"/>
      <w:bookmarkEnd w:id="652"/>
      <w:r>
        <w:rPr/>
      </w:r>
      <w:r>
        <w:rPr>
          <w:rFonts w:ascii="Arial" w:hAnsi="Arial"/>
          <w:b/>
        </w:rPr>
        <w:t>Artículo 512-F. </w:t>
      </w:r>
      <w:r>
        <w:rPr/>
        <w:t>Las autoridades de las entidades federativas auxiliarán a las del orden federal en la promoción, aplicación y vigilancia del cumplimiento de las normas de seguridad, salud y medio ambiente de</w:t>
      </w:r>
      <w:r>
        <w:rPr>
          <w:spacing w:val="-2"/>
        </w:rPr>
        <w:t> </w:t>
      </w:r>
      <w:r>
        <w:rPr/>
        <w:t>trabajo,</w:t>
      </w:r>
      <w:r>
        <w:rPr>
          <w:spacing w:val="-1"/>
        </w:rPr>
        <w:t> </w:t>
      </w:r>
      <w:r>
        <w:rPr/>
        <w:t>cuando</w:t>
      </w:r>
      <w:r>
        <w:rPr>
          <w:spacing w:val="-1"/>
        </w:rPr>
        <w:t> </w:t>
      </w:r>
      <w:r>
        <w:rPr/>
        <w:t>se</w:t>
      </w:r>
      <w:r>
        <w:rPr>
          <w:spacing w:val="-1"/>
        </w:rPr>
        <w:t> </w:t>
      </w:r>
      <w:r>
        <w:rPr/>
        <w:t>trate de</w:t>
      </w:r>
      <w:r>
        <w:rPr>
          <w:spacing w:val="-2"/>
        </w:rPr>
        <w:t> </w:t>
      </w:r>
      <w:r>
        <w:rPr/>
        <w:t>empresas o</w:t>
      </w:r>
      <w:r>
        <w:rPr>
          <w:spacing w:val="-1"/>
        </w:rPr>
        <w:t> </w:t>
      </w:r>
      <w:r>
        <w:rPr/>
        <w:t>establecimientos que, en los demás aspectos derivados de las relaciones laborales, estén sujetos a la jurisdicción local.</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3"/>
        <w:rPr>
          <w:rFonts w:ascii="Times New Roman"/>
          <w:i/>
        </w:rPr>
      </w:pPr>
    </w:p>
    <w:p>
      <w:pPr>
        <w:pStyle w:val="BodyText"/>
        <w:spacing w:line="229" w:lineRule="exact" w:before="1"/>
        <w:ind w:left="626"/>
      </w:pPr>
      <w:r>
        <w:rPr/>
        <w:t>Dicho</w:t>
      </w:r>
      <w:r>
        <w:rPr>
          <w:spacing w:val="-6"/>
        </w:rPr>
        <w:t> </w:t>
      </w:r>
      <w:r>
        <w:rPr/>
        <w:t>auxilio</w:t>
      </w:r>
      <w:r>
        <w:rPr>
          <w:spacing w:val="-4"/>
        </w:rPr>
        <w:t> </w:t>
      </w:r>
      <w:r>
        <w:rPr/>
        <w:t>será</w:t>
      </w:r>
      <w:r>
        <w:rPr>
          <w:spacing w:val="-6"/>
        </w:rPr>
        <w:t> </w:t>
      </w:r>
      <w:r>
        <w:rPr/>
        <w:t>prestado</w:t>
      </w:r>
      <w:r>
        <w:rPr>
          <w:spacing w:val="-5"/>
        </w:rPr>
        <w:t> </w:t>
      </w:r>
      <w:r>
        <w:rPr/>
        <w:t>en</w:t>
      </w:r>
      <w:r>
        <w:rPr>
          <w:spacing w:val="-5"/>
        </w:rPr>
        <w:t> </w:t>
      </w:r>
      <w:r>
        <w:rPr/>
        <w:t>los</w:t>
      </w:r>
      <w:r>
        <w:rPr>
          <w:spacing w:val="-5"/>
        </w:rPr>
        <w:t> </w:t>
      </w:r>
      <w:r>
        <w:rPr/>
        <w:t>términos</w:t>
      </w:r>
      <w:r>
        <w:rPr>
          <w:spacing w:val="-6"/>
        </w:rPr>
        <w:t> </w:t>
      </w:r>
      <w:r>
        <w:rPr/>
        <w:t>de</w:t>
      </w:r>
      <w:r>
        <w:rPr>
          <w:spacing w:val="-5"/>
        </w:rPr>
        <w:t> </w:t>
      </w:r>
      <w:r>
        <w:rPr/>
        <w:t>los</w:t>
      </w:r>
      <w:r>
        <w:rPr>
          <w:spacing w:val="-5"/>
        </w:rPr>
        <w:t> </w:t>
      </w:r>
      <w:r>
        <w:rPr/>
        <w:t>artículos</w:t>
      </w:r>
      <w:r>
        <w:rPr>
          <w:spacing w:val="-5"/>
        </w:rPr>
        <w:t> </w:t>
      </w:r>
      <w:r>
        <w:rPr/>
        <w:t>527-A</w:t>
      </w:r>
      <w:r>
        <w:rPr>
          <w:spacing w:val="-3"/>
        </w:rPr>
        <w:t> </w:t>
      </w:r>
      <w:r>
        <w:rPr/>
        <w:t>y</w:t>
      </w:r>
      <w:r>
        <w:rPr>
          <w:spacing w:val="-7"/>
        </w:rPr>
        <w:t> </w:t>
      </w:r>
      <w:r>
        <w:rPr>
          <w:spacing w:val="-4"/>
        </w:rPr>
        <w:t>529.</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line="242" w:lineRule="auto" w:before="229"/>
        <w:ind w:left="338" w:right="357" w:firstLine="288"/>
      </w:pPr>
      <w:bookmarkStart w:name="Artículo_512_G" w:id="653"/>
      <w:bookmarkEnd w:id="653"/>
      <w:r>
        <w:rPr/>
      </w:r>
      <w:r>
        <w:rPr>
          <w:rFonts w:ascii="Arial" w:hAnsi="Arial"/>
          <w:b/>
        </w:rPr>
        <w:t>Artículo 512-G. </w:t>
      </w:r>
      <w:r>
        <w:rPr/>
        <w:t>En el supuesto de que los centros de trabajo se encuentren regulados por Leyes o</w:t>
      </w:r>
      <w:r>
        <w:rPr>
          <w:spacing w:val="80"/>
        </w:rPr>
        <w:t> </w:t>
      </w:r>
      <w:r>
        <w:rPr/>
        <w:t>normas</w:t>
      </w:r>
      <w:r>
        <w:rPr>
          <w:spacing w:val="2"/>
        </w:rPr>
        <w:t> </w:t>
      </w:r>
      <w:r>
        <w:rPr/>
        <w:t>especializadas</w:t>
      </w:r>
      <w:r>
        <w:rPr>
          <w:spacing w:val="2"/>
        </w:rPr>
        <w:t> </w:t>
      </w:r>
      <w:r>
        <w:rPr/>
        <w:t>en</w:t>
      </w:r>
      <w:r>
        <w:rPr>
          <w:spacing w:val="3"/>
        </w:rPr>
        <w:t> </w:t>
      </w:r>
      <w:r>
        <w:rPr/>
        <w:t>materia</w:t>
      </w:r>
      <w:r>
        <w:rPr>
          <w:spacing w:val="2"/>
        </w:rPr>
        <w:t> </w:t>
      </w:r>
      <w:r>
        <w:rPr/>
        <w:t>de</w:t>
      </w:r>
      <w:r>
        <w:rPr>
          <w:spacing w:val="1"/>
        </w:rPr>
        <w:t> </w:t>
      </w:r>
      <w:r>
        <w:rPr/>
        <w:t>seguridad</w:t>
      </w:r>
      <w:r>
        <w:rPr>
          <w:spacing w:val="4"/>
        </w:rPr>
        <w:t> </w:t>
      </w:r>
      <w:r>
        <w:rPr/>
        <w:t>y</w:t>
      </w:r>
      <w:r>
        <w:rPr>
          <w:spacing w:val="-1"/>
        </w:rPr>
        <w:t> </w:t>
      </w:r>
      <w:r>
        <w:rPr/>
        <w:t>salud,</w:t>
      </w:r>
      <w:r>
        <w:rPr>
          <w:spacing w:val="1"/>
        </w:rPr>
        <w:t> </w:t>
      </w:r>
      <w:r>
        <w:rPr/>
        <w:t>cuya</w:t>
      </w:r>
      <w:r>
        <w:rPr>
          <w:spacing w:val="4"/>
        </w:rPr>
        <w:t> </w:t>
      </w:r>
      <w:r>
        <w:rPr/>
        <w:t>vigilancia</w:t>
      </w:r>
      <w:r>
        <w:rPr>
          <w:spacing w:val="2"/>
        </w:rPr>
        <w:t> </w:t>
      </w:r>
      <w:r>
        <w:rPr/>
        <w:t>corresponda</w:t>
      </w:r>
      <w:r>
        <w:rPr>
          <w:spacing w:val="3"/>
        </w:rPr>
        <w:t> </w:t>
      </w:r>
      <w:r>
        <w:rPr/>
        <w:t>a</w:t>
      </w:r>
      <w:r>
        <w:rPr>
          <w:spacing w:val="1"/>
        </w:rPr>
        <w:t> </w:t>
      </w:r>
      <w:r>
        <w:rPr/>
        <w:t>otras</w:t>
      </w:r>
      <w:r>
        <w:rPr>
          <w:spacing w:val="2"/>
        </w:rPr>
        <w:t> </w:t>
      </w:r>
      <w:r>
        <w:rPr>
          <w:spacing w:val="-2"/>
        </w:rPr>
        <w:t>autoridades</w:t>
      </w:r>
    </w:p>
    <w:p>
      <w:pPr>
        <w:pStyle w:val="BodyText"/>
        <w:spacing w:after="0" w:line="242" w:lineRule="auto"/>
        <w:sectPr>
          <w:pgSz w:w="12240" w:h="15840"/>
          <w:pgMar w:header="724" w:footer="712" w:top="1880" w:bottom="900" w:left="1080" w:right="1080"/>
        </w:sectPr>
      </w:pPr>
    </w:p>
    <w:p>
      <w:pPr>
        <w:pStyle w:val="BodyText"/>
        <w:spacing w:before="65"/>
      </w:pPr>
    </w:p>
    <w:p>
      <w:pPr>
        <w:pStyle w:val="BodyText"/>
        <w:ind w:left="338"/>
      </w:pPr>
      <w:r>
        <w:rPr/>
        <w:t>distintas a las laborales, la Secretaría del Trabajo y Previsión Social o las autoridades del trabajo de las entidades federativas, según el ámbito de competencia, serán auxiliares de aquéllas.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BodyText"/>
        <w:ind w:left="338" w:right="339" w:firstLine="288"/>
        <w:jc w:val="both"/>
      </w:pPr>
      <w:bookmarkStart w:name="Artículo_513" w:id="654"/>
      <w:bookmarkEnd w:id="654"/>
      <w:r>
        <w:rPr/>
      </w:r>
      <w:r>
        <w:rPr>
          <w:rFonts w:ascii="Arial" w:hAnsi="Arial"/>
          <w:b/>
        </w:rPr>
        <w:t>Artículo 513.- </w:t>
      </w:r>
      <w:r>
        <w:rPr/>
        <w:t>La Secretaría del Trabajo y</w:t>
      </w:r>
      <w:r>
        <w:rPr>
          <w:spacing w:val="-3"/>
        </w:rPr>
        <w:t> </w:t>
      </w:r>
      <w:r>
        <w:rPr/>
        <w:t>Previsión Social actualizará simultáneamente las Tablas de Enfermedades de Trabajo, para la Valuación de Incapacidades Permanentes Resultantes de los Riesgos de Trabajo y el Catálogo de las Cédulas para la Valuación de las Enfermedades de Trabajo, los cuales son de observancia general en todo el territorio nacional.</w:t>
      </w:r>
    </w:p>
    <w:p>
      <w:pPr>
        <w:pStyle w:val="BodyText"/>
        <w:spacing w:before="2"/>
      </w:pPr>
    </w:p>
    <w:p>
      <w:pPr>
        <w:pStyle w:val="BodyText"/>
        <w:ind w:left="338" w:right="339" w:firstLine="288"/>
        <w:jc w:val="both"/>
      </w:pPr>
      <w:r>
        <w:rPr/>
        <w:t>Para la actualización de las Tablas y</w:t>
      </w:r>
      <w:r>
        <w:rPr>
          <w:spacing w:val="-2"/>
        </w:rPr>
        <w:t> </w:t>
      </w:r>
      <w:r>
        <w:rPr/>
        <w:t>del</w:t>
      </w:r>
      <w:r>
        <w:rPr>
          <w:spacing w:val="-2"/>
        </w:rPr>
        <w:t> </w:t>
      </w:r>
      <w:r>
        <w:rPr/>
        <w:t>Catálogo a</w:t>
      </w:r>
      <w:r>
        <w:rPr>
          <w:spacing w:val="-1"/>
        </w:rPr>
        <w:t> </w:t>
      </w:r>
      <w:r>
        <w:rPr/>
        <w:t>que</w:t>
      </w:r>
      <w:r>
        <w:rPr>
          <w:spacing w:val="-1"/>
        </w:rPr>
        <w:t> </w:t>
      </w:r>
      <w:r>
        <w:rPr/>
        <w:t>se</w:t>
      </w:r>
      <w:r>
        <w:rPr>
          <w:spacing w:val="-1"/>
        </w:rPr>
        <w:t> </w:t>
      </w:r>
      <w:r>
        <w:rPr/>
        <w:t>refiere</w:t>
      </w:r>
      <w:r>
        <w:rPr>
          <w:spacing w:val="-1"/>
        </w:rPr>
        <w:t> </w:t>
      </w:r>
      <w:r>
        <w:rPr/>
        <w:t>el párrafo</w:t>
      </w:r>
      <w:r>
        <w:rPr>
          <w:spacing w:val="-1"/>
        </w:rPr>
        <w:t> </w:t>
      </w:r>
      <w:r>
        <w:rPr/>
        <w:t>anterior,</w:t>
      </w:r>
      <w:r>
        <w:rPr>
          <w:spacing w:val="-1"/>
        </w:rPr>
        <w:t> </w:t>
      </w:r>
      <w:r>
        <w:rPr/>
        <w:t>la Secretaría del Trabajo y Previsión Social debe solicitar la opinión de la Comisión Consultiva Nacional de Seguridad y Salud en el Trabajo, así como de especialistas en la materia.</w:t>
      </w:r>
    </w:p>
    <w:p>
      <w:pPr>
        <w:pStyle w:val="BodyText"/>
      </w:pPr>
    </w:p>
    <w:p>
      <w:pPr>
        <w:pStyle w:val="BodyText"/>
        <w:ind w:left="338" w:right="343" w:firstLine="288"/>
        <w:jc w:val="both"/>
      </w:pPr>
      <w:r>
        <w:rPr/>
        <w:t>El Catálogo de las Cédulas para la Valuación de las Enfermedades de Trabajo debe ser publicado en el Diario Oficial de la Federación, para su cumplimiento y aplicación.</w:t>
      </w:r>
    </w:p>
    <w:p>
      <w:pPr>
        <w:spacing w:before="226"/>
        <w:ind w:left="296" w:right="296" w:firstLine="0"/>
        <w:jc w:val="center"/>
        <w:rPr>
          <w:rFonts w:ascii="Arial"/>
          <w:b/>
          <w:sz w:val="20"/>
        </w:rPr>
      </w:pPr>
      <w:r>
        <w:rPr>
          <w:rFonts w:ascii="Arial"/>
          <w:b/>
          <w:sz w:val="20"/>
        </w:rPr>
        <w:t>TABLA</w:t>
      </w:r>
      <w:r>
        <w:rPr>
          <w:rFonts w:ascii="Arial"/>
          <w:b/>
          <w:spacing w:val="-9"/>
          <w:sz w:val="20"/>
        </w:rPr>
        <w:t> </w:t>
      </w:r>
      <w:r>
        <w:rPr>
          <w:rFonts w:ascii="Arial"/>
          <w:b/>
          <w:sz w:val="20"/>
        </w:rPr>
        <w:t>DE</w:t>
      </w:r>
      <w:r>
        <w:rPr>
          <w:rFonts w:ascii="Arial"/>
          <w:b/>
          <w:spacing w:val="-6"/>
          <w:sz w:val="20"/>
        </w:rPr>
        <w:t> </w:t>
      </w:r>
      <w:r>
        <w:rPr>
          <w:rFonts w:ascii="Arial"/>
          <w:b/>
          <w:sz w:val="20"/>
        </w:rPr>
        <w:t>ENFERMEDADES</w:t>
      </w:r>
      <w:r>
        <w:rPr>
          <w:rFonts w:ascii="Arial"/>
          <w:b/>
          <w:spacing w:val="-5"/>
          <w:sz w:val="20"/>
        </w:rPr>
        <w:t> </w:t>
      </w:r>
      <w:r>
        <w:rPr>
          <w:rFonts w:ascii="Arial"/>
          <w:b/>
          <w:sz w:val="20"/>
        </w:rPr>
        <w:t>DE</w:t>
      </w:r>
      <w:r>
        <w:rPr>
          <w:rFonts w:ascii="Arial"/>
          <w:b/>
          <w:spacing w:val="-8"/>
          <w:sz w:val="20"/>
        </w:rPr>
        <w:t> </w:t>
      </w:r>
      <w:r>
        <w:rPr>
          <w:rFonts w:ascii="Arial"/>
          <w:b/>
          <w:spacing w:val="-2"/>
          <w:sz w:val="20"/>
        </w:rPr>
        <w:t>TRABAJO</w:t>
      </w:r>
    </w:p>
    <w:p>
      <w:pPr>
        <w:pStyle w:val="BodyText"/>
        <w:spacing w:before="1"/>
        <w:rPr>
          <w:rFonts w:ascii="Arial"/>
          <w:b/>
        </w:rPr>
      </w:pPr>
    </w:p>
    <w:p>
      <w:pPr>
        <w:spacing w:before="0"/>
        <w:ind w:left="626" w:right="0" w:firstLine="0"/>
        <w:jc w:val="left"/>
        <w:rPr>
          <w:rFonts w:ascii="Arial"/>
          <w:b/>
          <w:sz w:val="20"/>
        </w:rPr>
      </w:pPr>
      <w:r>
        <w:rPr>
          <w:rFonts w:ascii="Arial"/>
          <w:b/>
          <w:sz w:val="20"/>
        </w:rPr>
        <w:t>Grupo</w:t>
      </w:r>
      <w:r>
        <w:rPr>
          <w:rFonts w:ascii="Arial"/>
          <w:b/>
          <w:spacing w:val="-8"/>
          <w:sz w:val="20"/>
        </w:rPr>
        <w:t> </w:t>
      </w:r>
      <w:r>
        <w:rPr>
          <w:rFonts w:ascii="Arial"/>
          <w:b/>
          <w:sz w:val="20"/>
        </w:rPr>
        <w:t>I.</w:t>
      </w:r>
      <w:r>
        <w:rPr>
          <w:rFonts w:ascii="Arial"/>
          <w:b/>
          <w:spacing w:val="-8"/>
          <w:sz w:val="20"/>
        </w:rPr>
        <w:t> </w:t>
      </w:r>
      <w:r>
        <w:rPr>
          <w:rFonts w:ascii="Arial"/>
          <w:b/>
          <w:sz w:val="20"/>
        </w:rPr>
        <w:t>Enfermedades</w:t>
      </w:r>
      <w:r>
        <w:rPr>
          <w:rFonts w:ascii="Arial"/>
          <w:b/>
          <w:spacing w:val="-10"/>
          <w:sz w:val="20"/>
        </w:rPr>
        <w:t> </w:t>
      </w:r>
      <w:r>
        <w:rPr>
          <w:rFonts w:ascii="Arial"/>
          <w:b/>
          <w:sz w:val="20"/>
        </w:rPr>
        <w:t>infecciosas</w:t>
      </w:r>
      <w:r>
        <w:rPr>
          <w:rFonts w:ascii="Arial"/>
          <w:b/>
          <w:spacing w:val="-7"/>
          <w:sz w:val="20"/>
        </w:rPr>
        <w:t> </w:t>
      </w:r>
      <w:r>
        <w:rPr>
          <w:rFonts w:ascii="Arial"/>
          <w:b/>
          <w:sz w:val="20"/>
        </w:rPr>
        <w:t>y</w:t>
      </w:r>
      <w:r>
        <w:rPr>
          <w:rFonts w:ascii="Arial"/>
          <w:b/>
          <w:spacing w:val="-8"/>
          <w:sz w:val="20"/>
        </w:rPr>
        <w:t> </w:t>
      </w:r>
      <w:r>
        <w:rPr>
          <w:rFonts w:ascii="Arial"/>
          <w:b/>
          <w:spacing w:val="-2"/>
          <w:sz w:val="20"/>
        </w:rPr>
        <w:t>parasitarias</w:t>
      </w:r>
    </w:p>
    <w:p>
      <w:pPr>
        <w:pStyle w:val="BodyText"/>
        <w:spacing w:before="1"/>
        <w:rPr>
          <w:rFonts w:ascii="Arial"/>
          <w:b/>
        </w:rPr>
      </w:pPr>
    </w:p>
    <w:p>
      <w:pPr>
        <w:pStyle w:val="ListParagraph"/>
        <w:numPr>
          <w:ilvl w:val="1"/>
          <w:numId w:val="160"/>
        </w:numPr>
        <w:tabs>
          <w:tab w:pos="846" w:val="left" w:leader="none"/>
        </w:tabs>
        <w:spacing w:line="240" w:lineRule="auto" w:before="0" w:after="0"/>
        <w:ind w:left="846" w:right="0" w:hanging="220"/>
        <w:jc w:val="left"/>
        <w:rPr>
          <w:rFonts w:ascii="Arial"/>
          <w:b/>
          <w:sz w:val="20"/>
        </w:rPr>
      </w:pPr>
      <w:r>
        <w:rPr>
          <w:rFonts w:ascii="Arial"/>
          <w:b/>
          <w:sz w:val="20"/>
        </w:rPr>
        <w:t>Enfermedades</w:t>
      </w:r>
      <w:r>
        <w:rPr>
          <w:rFonts w:ascii="Arial"/>
          <w:b/>
          <w:spacing w:val="-10"/>
          <w:sz w:val="20"/>
        </w:rPr>
        <w:t> </w:t>
      </w:r>
      <w:r>
        <w:rPr>
          <w:rFonts w:ascii="Arial"/>
          <w:b/>
          <w:sz w:val="20"/>
        </w:rPr>
        <w:t>por</w:t>
      </w:r>
      <w:r>
        <w:rPr>
          <w:rFonts w:ascii="Arial"/>
          <w:b/>
          <w:spacing w:val="-6"/>
          <w:sz w:val="20"/>
        </w:rPr>
        <w:t> </w:t>
      </w:r>
      <w:r>
        <w:rPr>
          <w:rFonts w:ascii="Arial"/>
          <w:b/>
          <w:sz w:val="20"/>
        </w:rPr>
        <w:t>ancylostoma</w:t>
      </w:r>
      <w:r>
        <w:rPr>
          <w:rFonts w:ascii="Arial"/>
          <w:b/>
          <w:spacing w:val="-8"/>
          <w:sz w:val="20"/>
        </w:rPr>
        <w:t> </w:t>
      </w:r>
      <w:r>
        <w:rPr>
          <w:rFonts w:ascii="Arial"/>
          <w:b/>
          <w:sz w:val="20"/>
        </w:rPr>
        <w:t>(anquilostomiasis</w:t>
      </w:r>
      <w:r>
        <w:rPr>
          <w:rFonts w:ascii="Arial"/>
          <w:b/>
          <w:spacing w:val="-8"/>
          <w:sz w:val="20"/>
        </w:rPr>
        <w:t> </w:t>
      </w:r>
      <w:r>
        <w:rPr>
          <w:rFonts w:ascii="Arial"/>
          <w:b/>
          <w:sz w:val="20"/>
        </w:rPr>
        <w:t>y</w:t>
      </w:r>
      <w:r>
        <w:rPr>
          <w:rFonts w:ascii="Arial"/>
          <w:b/>
          <w:spacing w:val="-8"/>
          <w:sz w:val="20"/>
        </w:rPr>
        <w:t> </w:t>
      </w:r>
      <w:r>
        <w:rPr>
          <w:rFonts w:ascii="Arial"/>
          <w:b/>
          <w:sz w:val="20"/>
        </w:rPr>
        <w:t>necatoriasis</w:t>
      </w:r>
      <w:r>
        <w:rPr>
          <w:rFonts w:ascii="Arial"/>
          <w:b/>
          <w:spacing w:val="-9"/>
          <w:sz w:val="20"/>
        </w:rPr>
        <w:t> </w:t>
      </w:r>
      <w:r>
        <w:rPr>
          <w:rFonts w:ascii="Arial"/>
          <w:b/>
          <w:sz w:val="20"/>
        </w:rPr>
        <w:t>o</w:t>
      </w:r>
      <w:r>
        <w:rPr>
          <w:rFonts w:ascii="Arial"/>
          <w:b/>
          <w:spacing w:val="-7"/>
          <w:sz w:val="20"/>
        </w:rPr>
        <w:t> </w:t>
      </w:r>
      <w:r>
        <w:rPr>
          <w:rFonts w:ascii="Arial"/>
          <w:b/>
          <w:sz w:val="20"/>
        </w:rPr>
        <w:t>anemia</w:t>
      </w:r>
      <w:r>
        <w:rPr>
          <w:rFonts w:ascii="Arial"/>
          <w:b/>
          <w:spacing w:val="-9"/>
          <w:sz w:val="20"/>
        </w:rPr>
        <w:t> </w:t>
      </w:r>
      <w:r>
        <w:rPr>
          <w:rFonts w:ascii="Arial"/>
          <w:b/>
          <w:sz w:val="20"/>
        </w:rPr>
        <w:t>de</w:t>
      </w:r>
      <w:r>
        <w:rPr>
          <w:rFonts w:ascii="Arial"/>
          <w:b/>
          <w:spacing w:val="-8"/>
          <w:sz w:val="20"/>
        </w:rPr>
        <w:t> </w:t>
      </w:r>
      <w:r>
        <w:rPr>
          <w:rFonts w:ascii="Arial"/>
          <w:b/>
          <w:sz w:val="20"/>
        </w:rPr>
        <w:t>los</w:t>
      </w:r>
      <w:r>
        <w:rPr>
          <w:rFonts w:ascii="Arial"/>
          <w:b/>
          <w:spacing w:val="-7"/>
          <w:sz w:val="20"/>
        </w:rPr>
        <w:t> </w:t>
      </w:r>
      <w:r>
        <w:rPr>
          <w:rFonts w:ascii="Arial"/>
          <w:b/>
          <w:spacing w:val="-2"/>
          <w:sz w:val="20"/>
        </w:rPr>
        <w:t>mineros)</w:t>
      </w:r>
    </w:p>
    <w:p>
      <w:pPr>
        <w:pStyle w:val="BodyText"/>
        <w:rPr>
          <w:rFonts w:ascii="Arial"/>
          <w:b/>
        </w:rPr>
      </w:pPr>
    </w:p>
    <w:p>
      <w:pPr>
        <w:pStyle w:val="BodyText"/>
        <w:spacing w:before="1"/>
        <w:ind w:left="626"/>
      </w:pPr>
      <w:r>
        <w:rPr/>
        <w:t>Código</w:t>
      </w:r>
      <w:r>
        <w:rPr>
          <w:spacing w:val="-10"/>
        </w:rPr>
        <w:t> </w:t>
      </w:r>
      <w:r>
        <w:rPr/>
        <w:t>CIE-11:</w:t>
      </w:r>
      <w:r>
        <w:rPr>
          <w:spacing w:val="-9"/>
        </w:rPr>
        <w:t> </w:t>
      </w:r>
      <w:r>
        <w:rPr>
          <w:spacing w:val="-4"/>
        </w:rPr>
        <w:t>1F68</w:t>
      </w:r>
    </w:p>
    <w:p>
      <w:pPr>
        <w:pStyle w:val="ListParagraph"/>
        <w:numPr>
          <w:ilvl w:val="2"/>
          <w:numId w:val="160"/>
        </w:numPr>
        <w:tabs>
          <w:tab w:pos="1045" w:val="left" w:leader="none"/>
          <w:tab w:pos="1058" w:val="left" w:leader="none"/>
        </w:tabs>
        <w:spacing w:line="240" w:lineRule="auto" w:before="229" w:after="0"/>
        <w:ind w:left="1058" w:right="336" w:hanging="432"/>
        <w:jc w:val="both"/>
        <w:rPr>
          <w:sz w:val="20"/>
        </w:rPr>
      </w:pPr>
      <w:r>
        <w:rPr>
          <w:sz w:val="20"/>
        </w:rPr>
        <w:t>Las personas trabajadoras que laboran como alfareros y ceramistas; en la extracción de cantera, arcilla,</w:t>
      </w:r>
      <w:r>
        <w:rPr>
          <w:spacing w:val="-4"/>
          <w:sz w:val="20"/>
        </w:rPr>
        <w:t> </w:t>
      </w:r>
      <w:r>
        <w:rPr>
          <w:sz w:val="20"/>
        </w:rPr>
        <w:t>arena,</w:t>
      </w:r>
      <w:r>
        <w:rPr>
          <w:spacing w:val="-2"/>
          <w:sz w:val="20"/>
        </w:rPr>
        <w:t> </w:t>
      </w:r>
      <w:r>
        <w:rPr>
          <w:sz w:val="20"/>
        </w:rPr>
        <w:t>piedra y</w:t>
      </w:r>
      <w:r>
        <w:rPr>
          <w:spacing w:val="-5"/>
          <w:sz w:val="20"/>
        </w:rPr>
        <w:t> </w:t>
      </w:r>
      <w:r>
        <w:rPr>
          <w:sz w:val="20"/>
        </w:rPr>
        <w:t>grava;</w:t>
      </w:r>
      <w:r>
        <w:rPr>
          <w:spacing w:val="-4"/>
          <w:sz w:val="20"/>
        </w:rPr>
        <w:t> </w:t>
      </w:r>
      <w:r>
        <w:rPr>
          <w:sz w:val="20"/>
        </w:rPr>
        <w:t>plomeros,</w:t>
      </w:r>
      <w:r>
        <w:rPr>
          <w:spacing w:val="-4"/>
          <w:sz w:val="20"/>
        </w:rPr>
        <w:t> </w:t>
      </w:r>
      <w:r>
        <w:rPr>
          <w:sz w:val="20"/>
        </w:rPr>
        <w:t>fontaneros</w:t>
      </w:r>
      <w:r>
        <w:rPr>
          <w:spacing w:val="-2"/>
          <w:sz w:val="20"/>
        </w:rPr>
        <w:t> </w:t>
      </w:r>
      <w:r>
        <w:rPr>
          <w:sz w:val="20"/>
        </w:rPr>
        <w:t>e</w:t>
      </w:r>
      <w:r>
        <w:rPr>
          <w:spacing w:val="-2"/>
          <w:sz w:val="20"/>
        </w:rPr>
        <w:t> </w:t>
      </w:r>
      <w:r>
        <w:rPr>
          <w:sz w:val="20"/>
        </w:rPr>
        <w:t>instaladores</w:t>
      </w:r>
      <w:r>
        <w:rPr>
          <w:spacing w:val="-3"/>
          <w:sz w:val="20"/>
        </w:rPr>
        <w:t> </w:t>
      </w:r>
      <w:r>
        <w:rPr>
          <w:sz w:val="20"/>
        </w:rPr>
        <w:t>de</w:t>
      </w:r>
      <w:r>
        <w:rPr>
          <w:spacing w:val="-4"/>
          <w:sz w:val="20"/>
        </w:rPr>
        <w:t> </w:t>
      </w:r>
      <w:r>
        <w:rPr>
          <w:sz w:val="20"/>
        </w:rPr>
        <w:t>tubería;</w:t>
      </w:r>
      <w:r>
        <w:rPr>
          <w:spacing w:val="-4"/>
          <w:sz w:val="20"/>
        </w:rPr>
        <w:t> </w:t>
      </w:r>
      <w:r>
        <w:rPr>
          <w:sz w:val="20"/>
        </w:rPr>
        <w:t>en</w:t>
      </w:r>
      <w:r>
        <w:rPr>
          <w:spacing w:val="-2"/>
          <w:sz w:val="20"/>
        </w:rPr>
        <w:t> </w:t>
      </w:r>
      <w:r>
        <w:rPr>
          <w:sz w:val="20"/>
        </w:rPr>
        <w:t>la</w:t>
      </w:r>
      <w:r>
        <w:rPr>
          <w:spacing w:val="-4"/>
          <w:sz w:val="20"/>
        </w:rPr>
        <w:t> </w:t>
      </w:r>
      <w:r>
        <w:rPr>
          <w:sz w:val="20"/>
        </w:rPr>
        <w:t>elaboración</w:t>
      </w:r>
      <w:r>
        <w:rPr>
          <w:spacing w:val="-2"/>
          <w:sz w:val="20"/>
        </w:rPr>
        <w:t> </w:t>
      </w:r>
      <w:r>
        <w:rPr>
          <w:sz w:val="20"/>
        </w:rPr>
        <w:t>de productos de cemento, cal, yeso, azulejo, piedra y ladrilleros; jardineros en establecimientos; jardineros en casas particulares, ayudantes de jardineros en establecimientos; mineros y en la extracción en minas de minerales metálicos; en actividades agrícolas; de apoyo en actividades agrícolas; de apoyo en la construcción, y de apoyo en plomería e instalación de tuberías.</w:t>
      </w:r>
    </w:p>
    <w:p>
      <w:pPr>
        <w:pStyle w:val="BodyText"/>
      </w:pPr>
    </w:p>
    <w:p>
      <w:pPr>
        <w:pStyle w:val="ListParagraph"/>
        <w:numPr>
          <w:ilvl w:val="2"/>
          <w:numId w:val="160"/>
        </w:numPr>
        <w:tabs>
          <w:tab w:pos="1045" w:val="left" w:leader="none"/>
          <w:tab w:pos="1058" w:val="left" w:leader="none"/>
        </w:tabs>
        <w:spacing w:line="240" w:lineRule="auto" w:before="0" w:after="0"/>
        <w:ind w:left="1058" w:right="343"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850" w:val="left" w:leader="none"/>
        </w:tabs>
        <w:spacing w:line="240" w:lineRule="auto" w:before="226" w:after="0"/>
        <w:ind w:left="850" w:right="0" w:hanging="224"/>
        <w:jc w:val="left"/>
      </w:pPr>
      <w:r>
        <w:rPr>
          <w:spacing w:val="-2"/>
        </w:rPr>
        <w:t>Aspergilosis</w:t>
      </w:r>
    </w:p>
    <w:p>
      <w:pPr>
        <w:pStyle w:val="BodyText"/>
        <w:spacing w:before="3"/>
        <w:rPr>
          <w:rFonts w:ascii="Arial"/>
          <w:b/>
        </w:rPr>
      </w:pPr>
    </w:p>
    <w:p>
      <w:pPr>
        <w:pStyle w:val="BodyText"/>
        <w:spacing w:before="1"/>
        <w:ind w:left="626"/>
      </w:pPr>
      <w:r>
        <w:rPr/>
        <w:t>Código</w:t>
      </w:r>
      <w:r>
        <w:rPr>
          <w:spacing w:val="-10"/>
        </w:rPr>
        <w:t> </w:t>
      </w:r>
      <w:r>
        <w:rPr/>
        <w:t>CIE-11:</w:t>
      </w:r>
      <w:r>
        <w:rPr>
          <w:spacing w:val="-9"/>
        </w:rPr>
        <w:t> </w:t>
      </w:r>
      <w:r>
        <w:rPr>
          <w:spacing w:val="-4"/>
        </w:rPr>
        <w:t>1F20Z</w:t>
      </w:r>
    </w:p>
    <w:p>
      <w:pPr>
        <w:pStyle w:val="ListParagraph"/>
        <w:numPr>
          <w:ilvl w:val="2"/>
          <w:numId w:val="160"/>
        </w:numPr>
        <w:tabs>
          <w:tab w:pos="1045" w:val="left" w:leader="none"/>
          <w:tab w:pos="1058" w:val="left" w:leader="none"/>
        </w:tabs>
        <w:spacing w:line="240" w:lineRule="auto" w:before="229" w:after="0"/>
        <w:ind w:left="1058" w:right="342" w:hanging="432"/>
        <w:jc w:val="both"/>
        <w:rPr>
          <w:sz w:val="20"/>
        </w:rPr>
      </w:pPr>
      <w:r>
        <w:rPr>
          <w:sz w:val="20"/>
        </w:rPr>
        <w:t>Las personas trabajadoras expuestas en criaderos de animales (aves) en la industria alimentaria avícola, limpiadoras de pieles y agrícolas (café). Tiene una gran ubicuidad en bodegas, cuevas y plantas, en medio hospitalario en el aire acondicionado contaminado con excrementos de aves y en sótanos.</w:t>
      </w:r>
    </w:p>
    <w:p>
      <w:pPr>
        <w:pStyle w:val="ListParagraph"/>
        <w:numPr>
          <w:ilvl w:val="2"/>
          <w:numId w:val="160"/>
        </w:numPr>
        <w:tabs>
          <w:tab w:pos="1045" w:val="left" w:leader="none"/>
          <w:tab w:pos="1058" w:val="left" w:leader="none"/>
        </w:tabs>
        <w:spacing w:line="240" w:lineRule="auto" w:before="227" w:after="0"/>
        <w:ind w:left="1058" w:right="33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846" w:val="left" w:leader="none"/>
        </w:tabs>
        <w:spacing w:line="240" w:lineRule="auto" w:before="229" w:after="0"/>
        <w:ind w:left="846" w:right="0" w:hanging="220"/>
        <w:jc w:val="left"/>
      </w:pPr>
      <w:r>
        <w:rPr/>
        <w:t>Brucelosis</w:t>
      </w:r>
      <w:r>
        <w:rPr>
          <w:spacing w:val="-7"/>
        </w:rPr>
        <w:t> </w:t>
      </w:r>
      <w:r>
        <w:rPr/>
        <w:t>(fiebre</w:t>
      </w:r>
      <w:r>
        <w:rPr>
          <w:spacing w:val="-6"/>
        </w:rPr>
        <w:t> </w:t>
      </w:r>
      <w:r>
        <w:rPr/>
        <w:t>de</w:t>
      </w:r>
      <w:r>
        <w:rPr>
          <w:spacing w:val="-6"/>
        </w:rPr>
        <w:t> </w:t>
      </w:r>
      <w:r>
        <w:rPr/>
        <w:t>malta,</w:t>
      </w:r>
      <w:r>
        <w:rPr>
          <w:spacing w:val="-7"/>
        </w:rPr>
        <w:t> </w:t>
      </w:r>
      <w:r>
        <w:rPr/>
        <w:t>fiebre</w:t>
      </w:r>
      <w:r>
        <w:rPr>
          <w:spacing w:val="-6"/>
        </w:rPr>
        <w:t> </w:t>
      </w:r>
      <w:r>
        <w:rPr/>
        <w:t>ondulante</w:t>
      </w:r>
      <w:r>
        <w:rPr>
          <w:spacing w:val="-6"/>
        </w:rPr>
        <w:t> </w:t>
      </w:r>
      <w:r>
        <w:rPr/>
        <w:t>o</w:t>
      </w:r>
      <w:r>
        <w:rPr>
          <w:spacing w:val="-6"/>
        </w:rPr>
        <w:t> </w:t>
      </w:r>
      <w:r>
        <w:rPr/>
        <w:t>fiebre</w:t>
      </w:r>
      <w:r>
        <w:rPr>
          <w:spacing w:val="-8"/>
        </w:rPr>
        <w:t> </w:t>
      </w:r>
      <w:r>
        <w:rPr>
          <w:spacing w:val="-2"/>
        </w:rPr>
        <w:t>mediterránea)</w:t>
      </w:r>
    </w:p>
    <w:p>
      <w:pPr>
        <w:pStyle w:val="Heading3"/>
        <w:spacing w:after="0" w:line="240" w:lineRule="auto"/>
        <w:jc w:val="left"/>
        <w:sectPr>
          <w:pgSz w:w="12240" w:h="15840"/>
          <w:pgMar w:header="724" w:footer="712" w:top="1880" w:bottom="900" w:left="1080" w:right="1080"/>
        </w:sectPr>
      </w:pPr>
    </w:p>
    <w:p>
      <w:pPr>
        <w:pStyle w:val="BodyText"/>
        <w:rPr>
          <w:rFonts w:ascii="Arial"/>
          <w:b/>
        </w:rPr>
      </w:pPr>
    </w:p>
    <w:p>
      <w:pPr>
        <w:pStyle w:val="BodyText"/>
        <w:spacing w:before="66"/>
        <w:rPr>
          <w:rFonts w:ascii="Arial"/>
          <w:b/>
        </w:rPr>
      </w:pPr>
    </w:p>
    <w:p>
      <w:pPr>
        <w:pStyle w:val="BodyText"/>
        <w:ind w:left="626"/>
      </w:pPr>
      <w:r>
        <w:rPr/>
        <w:t>Código</w:t>
      </w:r>
      <w:r>
        <w:rPr>
          <w:spacing w:val="-10"/>
        </w:rPr>
        <w:t> </w:t>
      </w:r>
      <w:r>
        <w:rPr/>
        <w:t>CIE-11:</w:t>
      </w:r>
      <w:r>
        <w:rPr>
          <w:spacing w:val="-9"/>
        </w:rPr>
        <w:t> </w:t>
      </w:r>
      <w:r>
        <w:rPr>
          <w:spacing w:val="-4"/>
        </w:rPr>
        <w:t>1B95</w:t>
      </w:r>
    </w:p>
    <w:p>
      <w:pPr>
        <w:pStyle w:val="ListParagraph"/>
        <w:numPr>
          <w:ilvl w:val="2"/>
          <w:numId w:val="160"/>
        </w:numPr>
        <w:tabs>
          <w:tab w:pos="1045" w:val="left" w:leader="none"/>
          <w:tab w:pos="1058" w:val="left" w:leader="none"/>
        </w:tabs>
        <w:spacing w:line="240" w:lineRule="auto" w:before="229" w:after="0"/>
        <w:ind w:left="1058" w:right="345" w:hanging="432"/>
        <w:jc w:val="both"/>
        <w:rPr>
          <w:sz w:val="20"/>
        </w:rPr>
      </w:pPr>
      <w:r>
        <w:rPr>
          <w:sz w:val="20"/>
        </w:rPr>
        <w:t>Las personas trabajadoras en la cría y explotación de ganado y otras clases de animales: ganaderos, lecheros, ordeñadores y pastores.</w:t>
      </w:r>
    </w:p>
    <w:p>
      <w:pPr>
        <w:pStyle w:val="ListParagraph"/>
        <w:numPr>
          <w:ilvl w:val="2"/>
          <w:numId w:val="160"/>
        </w:numPr>
        <w:tabs>
          <w:tab w:pos="1045" w:val="left" w:leader="none"/>
          <w:tab w:pos="1058" w:val="left" w:leader="none"/>
        </w:tabs>
        <w:spacing w:line="240" w:lineRule="auto" w:before="228" w:after="0"/>
        <w:ind w:left="1058" w:right="339" w:hanging="432"/>
        <w:jc w:val="both"/>
        <w:rPr>
          <w:sz w:val="20"/>
        </w:rPr>
      </w:pPr>
      <w:r>
        <w:rPr>
          <w:sz w:val="20"/>
        </w:rPr>
        <w:t>Las personas trabajadoras en la elaboración, preparación, conservación, envasado y empacado de</w:t>
      </w:r>
      <w:r>
        <w:rPr>
          <w:spacing w:val="-3"/>
          <w:sz w:val="20"/>
        </w:rPr>
        <w:t> </w:t>
      </w:r>
      <w:r>
        <w:rPr>
          <w:sz w:val="20"/>
        </w:rPr>
        <w:t>productos</w:t>
      </w:r>
      <w:r>
        <w:rPr>
          <w:spacing w:val="-1"/>
          <w:sz w:val="20"/>
        </w:rPr>
        <w:t> </w:t>
      </w:r>
      <w:r>
        <w:rPr>
          <w:sz w:val="20"/>
        </w:rPr>
        <w:t>lácteos:</w:t>
      </w:r>
      <w:r>
        <w:rPr>
          <w:spacing w:val="-2"/>
          <w:sz w:val="20"/>
        </w:rPr>
        <w:t> </w:t>
      </w:r>
      <w:r>
        <w:rPr>
          <w:sz w:val="20"/>
        </w:rPr>
        <w:t>personal</w:t>
      </w:r>
      <w:r>
        <w:rPr>
          <w:spacing w:val="-3"/>
          <w:sz w:val="20"/>
        </w:rPr>
        <w:t> </w:t>
      </w:r>
      <w:r>
        <w:rPr>
          <w:sz w:val="20"/>
        </w:rPr>
        <w:t>de</w:t>
      </w:r>
      <w:r>
        <w:rPr>
          <w:spacing w:val="-3"/>
          <w:sz w:val="20"/>
        </w:rPr>
        <w:t> </w:t>
      </w:r>
      <w:r>
        <w:rPr>
          <w:sz w:val="20"/>
        </w:rPr>
        <w:t>plantas</w:t>
      </w:r>
      <w:r>
        <w:rPr>
          <w:spacing w:val="-1"/>
          <w:sz w:val="20"/>
        </w:rPr>
        <w:t> </w:t>
      </w:r>
      <w:r>
        <w:rPr>
          <w:sz w:val="20"/>
        </w:rPr>
        <w:t>para</w:t>
      </w:r>
      <w:r>
        <w:rPr>
          <w:spacing w:val="-2"/>
          <w:sz w:val="20"/>
        </w:rPr>
        <w:t> </w:t>
      </w:r>
      <w:r>
        <w:rPr>
          <w:sz w:val="20"/>
        </w:rPr>
        <w:t>beneficio</w:t>
      </w:r>
      <w:r>
        <w:rPr>
          <w:spacing w:val="-2"/>
          <w:sz w:val="20"/>
        </w:rPr>
        <w:t> </w:t>
      </w:r>
      <w:r>
        <w:rPr>
          <w:sz w:val="20"/>
        </w:rPr>
        <w:t>de</w:t>
      </w:r>
      <w:r>
        <w:rPr>
          <w:spacing w:val="-3"/>
          <w:sz w:val="20"/>
        </w:rPr>
        <w:t> </w:t>
      </w:r>
      <w:r>
        <w:rPr>
          <w:sz w:val="20"/>
        </w:rPr>
        <w:t>la</w:t>
      </w:r>
      <w:r>
        <w:rPr>
          <w:spacing w:val="-2"/>
          <w:sz w:val="20"/>
        </w:rPr>
        <w:t> </w:t>
      </w:r>
      <w:r>
        <w:rPr>
          <w:sz w:val="20"/>
        </w:rPr>
        <w:t>leche</w:t>
      </w:r>
      <w:r>
        <w:rPr>
          <w:spacing w:val="-2"/>
          <w:sz w:val="20"/>
        </w:rPr>
        <w:t> </w:t>
      </w:r>
      <w:r>
        <w:rPr>
          <w:sz w:val="20"/>
        </w:rPr>
        <w:t>de</w:t>
      </w:r>
      <w:r>
        <w:rPr>
          <w:spacing w:val="-3"/>
          <w:sz w:val="20"/>
        </w:rPr>
        <w:t> </w:t>
      </w:r>
      <w:r>
        <w:rPr>
          <w:sz w:val="20"/>
        </w:rPr>
        <w:t>cabra y</w:t>
      </w:r>
      <w:r>
        <w:rPr>
          <w:spacing w:val="-4"/>
          <w:sz w:val="20"/>
        </w:rPr>
        <w:t> </w:t>
      </w:r>
      <w:r>
        <w:rPr>
          <w:sz w:val="20"/>
        </w:rPr>
        <w:t>vaca.</w:t>
      </w:r>
      <w:r>
        <w:rPr>
          <w:spacing w:val="-2"/>
          <w:sz w:val="20"/>
        </w:rPr>
        <w:t> </w:t>
      </w:r>
      <w:r>
        <w:rPr>
          <w:sz w:val="20"/>
        </w:rPr>
        <w:t>Matanza</w:t>
      </w:r>
      <w:r>
        <w:rPr>
          <w:spacing w:val="-2"/>
          <w:sz w:val="20"/>
        </w:rPr>
        <w:t> </w:t>
      </w:r>
      <w:r>
        <w:rPr>
          <w:sz w:val="20"/>
        </w:rPr>
        <w:t>de ganado y aves, elaboración, preparación, conservación, envasado y empacado de carnes y sus derivados: carniceros, empacadores de carnes y de rastros.</w:t>
      </w:r>
    </w:p>
    <w:p>
      <w:pPr>
        <w:pStyle w:val="ListParagraph"/>
        <w:numPr>
          <w:ilvl w:val="2"/>
          <w:numId w:val="160"/>
        </w:numPr>
        <w:tabs>
          <w:tab w:pos="1045" w:val="left" w:leader="none"/>
          <w:tab w:pos="1058" w:val="left" w:leader="none"/>
        </w:tabs>
        <w:spacing w:line="240" w:lineRule="auto" w:before="229" w:after="0"/>
        <w:ind w:left="1058" w:right="343" w:hanging="432"/>
        <w:jc w:val="both"/>
        <w:rPr>
          <w:sz w:val="20"/>
        </w:rPr>
      </w:pPr>
      <w:r>
        <w:rPr>
          <w:sz w:val="20"/>
        </w:rPr>
        <w:t>Las personas trabajadoras de los servicios veterinarios y auxiliares: personas enfermeras de veterinaria, personas trabajadoras en contacto con excrementos, fetos abortados de las hembras enfermas, leche, orina, placentas, sangre y tejidos, técnicos de laboratorio y veterinarios.</w:t>
      </w:r>
    </w:p>
    <w:p>
      <w:pPr>
        <w:pStyle w:val="ListParagraph"/>
        <w:numPr>
          <w:ilvl w:val="2"/>
          <w:numId w:val="160"/>
        </w:numPr>
        <w:tabs>
          <w:tab w:pos="1045" w:val="left" w:leader="none"/>
          <w:tab w:pos="1058" w:val="left" w:leader="none"/>
        </w:tabs>
        <w:spacing w:line="240" w:lineRule="auto" w:before="230" w:after="0"/>
        <w:ind w:left="1058" w:right="343"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846" w:val="left" w:leader="none"/>
        </w:tabs>
        <w:spacing w:line="240" w:lineRule="auto" w:before="226" w:after="0"/>
        <w:ind w:left="846" w:right="0" w:hanging="220"/>
        <w:jc w:val="left"/>
      </w:pPr>
      <w:r>
        <w:rPr/>
        <w:t>Candidiasis</w:t>
      </w:r>
      <w:r>
        <w:rPr>
          <w:spacing w:val="-11"/>
        </w:rPr>
        <w:t> </w:t>
      </w:r>
      <w:r>
        <w:rPr>
          <w:spacing w:val="-2"/>
        </w:rPr>
        <w:t>(moniliasis)</w:t>
      </w:r>
    </w:p>
    <w:p>
      <w:pPr>
        <w:pStyle w:val="BodyText"/>
        <w:spacing w:before="3"/>
        <w:rPr>
          <w:rFonts w:ascii="Arial"/>
          <w:b/>
        </w:rPr>
      </w:pPr>
    </w:p>
    <w:p>
      <w:pPr>
        <w:pStyle w:val="BodyText"/>
        <w:ind w:left="626"/>
      </w:pPr>
      <w:r>
        <w:rPr/>
        <w:t>Código</w:t>
      </w:r>
      <w:r>
        <w:rPr>
          <w:spacing w:val="-10"/>
        </w:rPr>
        <w:t> </w:t>
      </w:r>
      <w:r>
        <w:rPr/>
        <w:t>CIE-11:</w:t>
      </w:r>
      <w:r>
        <w:rPr>
          <w:spacing w:val="-9"/>
        </w:rPr>
        <w:t> </w:t>
      </w:r>
      <w:r>
        <w:rPr>
          <w:spacing w:val="-2"/>
        </w:rPr>
        <w:t>1F23.Z</w:t>
      </w:r>
    </w:p>
    <w:p>
      <w:pPr>
        <w:pStyle w:val="ListParagraph"/>
        <w:numPr>
          <w:ilvl w:val="2"/>
          <w:numId w:val="160"/>
        </w:numPr>
        <w:tabs>
          <w:tab w:pos="1045" w:val="left" w:leader="none"/>
          <w:tab w:pos="1058" w:val="left" w:leader="none"/>
        </w:tabs>
        <w:spacing w:line="240" w:lineRule="auto" w:before="229" w:after="0"/>
        <w:ind w:left="1058" w:right="335" w:hanging="432"/>
        <w:jc w:val="both"/>
        <w:rPr>
          <w:sz w:val="20"/>
        </w:rPr>
      </w:pPr>
      <w:r>
        <w:rPr>
          <w:sz w:val="20"/>
        </w:rPr>
        <w:t>Las personas trabajadoras en labores de la agricultura: agricultores y recolectores de frutas. Industrias de la transformación: fábrica de hule, fábricas de madera, fundición de metales, industria del cemento y limpieza en la industria de semiconductores. Elaboración de alimentos: manejadores de alimentos, cocineros y lavatrastos.</w:t>
      </w:r>
    </w:p>
    <w:p>
      <w:pPr>
        <w:pStyle w:val="ListParagraph"/>
        <w:numPr>
          <w:ilvl w:val="2"/>
          <w:numId w:val="160"/>
        </w:numPr>
        <w:tabs>
          <w:tab w:pos="1045" w:val="left" w:leader="none"/>
          <w:tab w:pos="1058" w:val="left" w:leader="none"/>
        </w:tabs>
        <w:spacing w:line="240" w:lineRule="auto" w:before="227" w:after="0"/>
        <w:ind w:left="1058" w:right="340" w:hanging="432"/>
        <w:jc w:val="both"/>
        <w:rPr>
          <w:sz w:val="20"/>
        </w:rPr>
      </w:pPr>
      <w:r>
        <w:rPr>
          <w:sz w:val="20"/>
        </w:rPr>
        <w:t>Las personas trabajadoras de los servicios médicos, paramédicos y auxiliares: personas odontólogas, cirujanas, instrumentistas, enfermeras, afanadoras, técnicas patólogas y laboratoristas. En general personas trabajadoras que mantienen manos o pies constantemente húmedos, en condiciones de calor y oclusión, y las que producen maceración y personas trabajadoras que emplean guantes de plástico por tiempo prolongado.</w:t>
      </w:r>
    </w:p>
    <w:p>
      <w:pPr>
        <w:pStyle w:val="BodyText"/>
      </w:pPr>
    </w:p>
    <w:p>
      <w:pPr>
        <w:pStyle w:val="ListParagraph"/>
        <w:numPr>
          <w:ilvl w:val="2"/>
          <w:numId w:val="160"/>
        </w:numPr>
        <w:tabs>
          <w:tab w:pos="1045" w:val="left" w:leader="none"/>
          <w:tab w:pos="1058" w:val="left" w:leader="none"/>
        </w:tabs>
        <w:spacing w:line="240" w:lineRule="auto" w:before="0" w:after="0"/>
        <w:ind w:left="1058" w:right="34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w:t>
      </w:r>
      <w:r>
        <w:rPr>
          <w:spacing w:val="-1"/>
          <w:sz w:val="20"/>
        </w:rPr>
        <w:t> </w:t>
      </w:r>
      <w:r>
        <w:rPr>
          <w:sz w:val="20"/>
        </w:rPr>
        <w:t>o con motivo del trabajo</w:t>
      </w:r>
      <w:r>
        <w:rPr>
          <w:spacing w:val="-1"/>
          <w:sz w:val="20"/>
        </w:rPr>
        <w:t> </w:t>
      </w:r>
      <w:r>
        <w:rPr>
          <w:sz w:val="20"/>
        </w:rPr>
        <w:t>o en</w:t>
      </w:r>
      <w:r>
        <w:rPr>
          <w:spacing w:val="-1"/>
          <w:sz w:val="20"/>
        </w:rPr>
        <w:t> </w:t>
      </w:r>
      <w:r>
        <w:rPr>
          <w:sz w:val="20"/>
        </w:rPr>
        <w:t>el</w:t>
      </w:r>
      <w:r>
        <w:rPr>
          <w:spacing w:val="-2"/>
          <w:sz w:val="20"/>
        </w:rPr>
        <w:t> </w:t>
      </w:r>
      <w:r>
        <w:rPr>
          <w:sz w:val="20"/>
        </w:rPr>
        <w:t>medio que la persona</w:t>
      </w:r>
      <w:r>
        <w:rPr>
          <w:spacing w:val="-1"/>
          <w:sz w:val="20"/>
        </w:rPr>
        <w:t> </w:t>
      </w:r>
      <w:r>
        <w:rPr>
          <w:sz w:val="20"/>
        </w:rPr>
        <w:t>trabajadora</w:t>
      </w:r>
      <w:r>
        <w:rPr>
          <w:spacing w:val="-1"/>
          <w:sz w:val="20"/>
        </w:rPr>
        <w:t> </w:t>
      </w:r>
      <w:r>
        <w:rPr>
          <w:sz w:val="20"/>
        </w:rPr>
        <w:t>se ve obligada a</w:t>
      </w:r>
      <w:r>
        <w:rPr>
          <w:spacing w:val="-1"/>
          <w:sz w:val="20"/>
        </w:rPr>
        <w:t> </w:t>
      </w:r>
      <w:r>
        <w:rPr>
          <w:sz w:val="20"/>
        </w:rPr>
        <w:t>prestar sus servicios.</w:t>
      </w:r>
    </w:p>
    <w:p>
      <w:pPr>
        <w:pStyle w:val="Heading3"/>
        <w:numPr>
          <w:ilvl w:val="1"/>
          <w:numId w:val="160"/>
        </w:numPr>
        <w:tabs>
          <w:tab w:pos="846" w:val="left" w:leader="none"/>
        </w:tabs>
        <w:spacing w:line="240" w:lineRule="auto" w:before="227" w:after="0"/>
        <w:ind w:left="846" w:right="0" w:hanging="220"/>
        <w:jc w:val="left"/>
      </w:pPr>
      <w:r>
        <w:rPr/>
        <w:t>Carbunco</w:t>
      </w:r>
      <w:r>
        <w:rPr>
          <w:spacing w:val="-12"/>
        </w:rPr>
        <w:t> </w:t>
      </w:r>
      <w:r>
        <w:rPr>
          <w:spacing w:val="-2"/>
        </w:rPr>
        <w:t>(ántrax)</w:t>
      </w:r>
    </w:p>
    <w:p>
      <w:pPr>
        <w:pStyle w:val="BodyText"/>
        <w:spacing w:before="3"/>
        <w:rPr>
          <w:rFonts w:ascii="Arial"/>
          <w:b/>
        </w:rPr>
      </w:pPr>
    </w:p>
    <w:p>
      <w:pPr>
        <w:pStyle w:val="BodyText"/>
        <w:ind w:left="626"/>
      </w:pPr>
      <w:r>
        <w:rPr/>
        <w:t>Código</w:t>
      </w:r>
      <w:r>
        <w:rPr>
          <w:spacing w:val="-10"/>
        </w:rPr>
        <w:t> </w:t>
      </w:r>
      <w:r>
        <w:rPr/>
        <w:t>CIE-11:</w:t>
      </w:r>
      <w:r>
        <w:rPr>
          <w:spacing w:val="-9"/>
        </w:rPr>
        <w:t> </w:t>
      </w:r>
      <w:r>
        <w:rPr>
          <w:spacing w:val="-4"/>
        </w:rPr>
        <w:t>1B97</w:t>
      </w:r>
    </w:p>
    <w:p>
      <w:pPr>
        <w:pStyle w:val="ListParagraph"/>
        <w:numPr>
          <w:ilvl w:val="2"/>
          <w:numId w:val="160"/>
        </w:numPr>
        <w:tabs>
          <w:tab w:pos="1045" w:val="left" w:leader="none"/>
          <w:tab w:pos="1058" w:val="left" w:leader="none"/>
        </w:tabs>
        <w:spacing w:line="240" w:lineRule="auto" w:before="229" w:after="0"/>
        <w:ind w:left="1058" w:right="341" w:hanging="432"/>
        <w:jc w:val="both"/>
        <w:rPr>
          <w:sz w:val="20"/>
        </w:rPr>
      </w:pPr>
      <w:r>
        <w:rPr>
          <w:sz w:val="20"/>
        </w:rPr>
        <w:t>Personas trabajadoras que presentan exposición de reservorios, tales como: animales</w:t>
      </w:r>
      <w:r>
        <w:rPr>
          <w:spacing w:val="40"/>
          <w:sz w:val="20"/>
        </w:rPr>
        <w:t> </w:t>
      </w:r>
      <w:r>
        <w:rPr>
          <w:sz w:val="20"/>
        </w:rPr>
        <w:t>herbívoros, antílopes, caballos, cabras, camellos, ovejas, carneros y reses. Personas trabajadoras en la agricultura:</w:t>
      </w:r>
      <w:r>
        <w:rPr>
          <w:spacing w:val="-1"/>
          <w:sz w:val="20"/>
        </w:rPr>
        <w:t> </w:t>
      </w:r>
      <w:r>
        <w:rPr>
          <w:sz w:val="20"/>
        </w:rPr>
        <w:t>puestos de</w:t>
      </w:r>
      <w:r>
        <w:rPr>
          <w:spacing w:val="-1"/>
          <w:sz w:val="20"/>
        </w:rPr>
        <w:t> </w:t>
      </w:r>
      <w:r>
        <w:rPr>
          <w:sz w:val="20"/>
        </w:rPr>
        <w:t>trabajo</w:t>
      </w:r>
      <w:r>
        <w:rPr>
          <w:spacing w:val="-1"/>
          <w:sz w:val="20"/>
        </w:rPr>
        <w:t> </w:t>
      </w:r>
      <w:r>
        <w:rPr>
          <w:sz w:val="20"/>
        </w:rPr>
        <w:t>con exposición</w:t>
      </w:r>
      <w:r>
        <w:rPr>
          <w:spacing w:val="-1"/>
          <w:sz w:val="20"/>
        </w:rPr>
        <w:t> </w:t>
      </w:r>
      <w:r>
        <w:rPr>
          <w:sz w:val="20"/>
        </w:rPr>
        <w:t>como</w:t>
      </w:r>
      <w:r>
        <w:rPr>
          <w:spacing w:val="-1"/>
          <w:sz w:val="20"/>
        </w:rPr>
        <w:t> </w:t>
      </w:r>
      <w:r>
        <w:rPr>
          <w:sz w:val="20"/>
        </w:rPr>
        <w:t>los agricultores. Personas trabajadoras en la confección de prendas de vestir a la medida, fabricación de calzado, curtido y acabado de cuero y piel: curtidores, peleteros, taxidermistas y zapateros.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6"/>
      </w:pPr>
    </w:p>
    <w:p>
      <w:pPr>
        <w:pStyle w:val="ListParagraph"/>
        <w:numPr>
          <w:ilvl w:val="2"/>
          <w:numId w:val="160"/>
        </w:numPr>
        <w:tabs>
          <w:tab w:pos="1045" w:val="left" w:leader="none"/>
          <w:tab w:pos="1058" w:val="left" w:leader="none"/>
        </w:tabs>
        <w:spacing w:line="240" w:lineRule="auto" w:before="0" w:after="0"/>
        <w:ind w:left="1058" w:right="336" w:hanging="432"/>
        <w:jc w:val="both"/>
        <w:rPr>
          <w:sz w:val="20"/>
        </w:rPr>
      </w:pPr>
      <w:r>
        <w:rPr>
          <w:sz w:val="20"/>
        </w:rPr>
        <w:t>Las personas trabajadoras en la cría y explotación de ganado y otras clases de animales, así como hipódromos, galgódromos, lienzos charros, palenques y promoción y presentación de espectáculos taurinos: caballerangos, cardadores de lana, carniceros, ganaderos, manipuladores de crines, carne, huesos de bovinos, cerdas y cuernos, mozos de cuadra, pastores, personal de zoológicos,</w:t>
      </w:r>
      <w:r>
        <w:rPr>
          <w:spacing w:val="-4"/>
          <w:sz w:val="20"/>
        </w:rPr>
        <w:t> </w:t>
      </w:r>
      <w:r>
        <w:rPr>
          <w:sz w:val="20"/>
        </w:rPr>
        <w:t>talabarteros,</w:t>
      </w:r>
      <w:r>
        <w:rPr>
          <w:spacing w:val="-4"/>
          <w:sz w:val="20"/>
        </w:rPr>
        <w:t> </w:t>
      </w:r>
      <w:r>
        <w:rPr>
          <w:sz w:val="20"/>
        </w:rPr>
        <w:t>tejedores</w:t>
      </w:r>
      <w:r>
        <w:rPr>
          <w:spacing w:val="-2"/>
          <w:sz w:val="20"/>
        </w:rPr>
        <w:t> </w:t>
      </w:r>
      <w:r>
        <w:rPr>
          <w:sz w:val="20"/>
        </w:rPr>
        <w:t>de</w:t>
      </w:r>
      <w:r>
        <w:rPr>
          <w:spacing w:val="-4"/>
          <w:sz w:val="20"/>
        </w:rPr>
        <w:t> </w:t>
      </w:r>
      <w:r>
        <w:rPr>
          <w:sz w:val="20"/>
        </w:rPr>
        <w:t>lana,</w:t>
      </w:r>
      <w:r>
        <w:rPr>
          <w:spacing w:val="-4"/>
          <w:sz w:val="20"/>
        </w:rPr>
        <w:t> </w:t>
      </w:r>
      <w:r>
        <w:rPr>
          <w:sz w:val="20"/>
        </w:rPr>
        <w:t>curtido y</w:t>
      </w:r>
      <w:r>
        <w:rPr>
          <w:spacing w:val="-7"/>
          <w:sz w:val="20"/>
        </w:rPr>
        <w:t> </w:t>
      </w:r>
      <w:r>
        <w:rPr>
          <w:sz w:val="20"/>
        </w:rPr>
        <w:t>acabado</w:t>
      </w:r>
      <w:r>
        <w:rPr>
          <w:spacing w:val="-2"/>
          <w:sz w:val="20"/>
        </w:rPr>
        <w:t> </w:t>
      </w:r>
      <w:r>
        <w:rPr>
          <w:sz w:val="20"/>
        </w:rPr>
        <w:t>de cuero y</w:t>
      </w:r>
      <w:r>
        <w:rPr>
          <w:spacing w:val="-7"/>
          <w:sz w:val="20"/>
        </w:rPr>
        <w:t> </w:t>
      </w:r>
      <w:r>
        <w:rPr>
          <w:sz w:val="20"/>
        </w:rPr>
        <w:t>piel.</w:t>
      </w:r>
      <w:r>
        <w:rPr>
          <w:spacing w:val="-4"/>
          <w:sz w:val="20"/>
        </w:rPr>
        <w:t> </w:t>
      </w:r>
      <w:r>
        <w:rPr>
          <w:sz w:val="20"/>
        </w:rPr>
        <w:t>Matanza</w:t>
      </w:r>
      <w:r>
        <w:rPr>
          <w:spacing w:val="-4"/>
          <w:sz w:val="20"/>
        </w:rPr>
        <w:t> </w:t>
      </w:r>
      <w:r>
        <w:rPr>
          <w:sz w:val="20"/>
        </w:rPr>
        <w:t>de</w:t>
      </w:r>
      <w:r>
        <w:rPr>
          <w:spacing w:val="-4"/>
          <w:sz w:val="20"/>
        </w:rPr>
        <w:t> </w:t>
      </w:r>
      <w:r>
        <w:rPr>
          <w:sz w:val="20"/>
        </w:rPr>
        <w:t>ganado y aves: personas trabajadoras de mataderos y traperos.</w:t>
      </w:r>
    </w:p>
    <w:p>
      <w:pPr>
        <w:pStyle w:val="ListParagraph"/>
        <w:numPr>
          <w:ilvl w:val="2"/>
          <w:numId w:val="160"/>
        </w:numPr>
        <w:tabs>
          <w:tab w:pos="1045" w:val="left" w:leader="none"/>
          <w:tab w:pos="1058" w:val="left" w:leader="none"/>
        </w:tabs>
        <w:spacing w:line="240" w:lineRule="auto" w:before="228" w:after="0"/>
        <w:ind w:left="1058" w:right="333" w:hanging="432"/>
        <w:jc w:val="both"/>
        <w:rPr>
          <w:sz w:val="20"/>
        </w:rPr>
      </w:pPr>
      <w:r>
        <w:rPr>
          <w:sz w:val="20"/>
        </w:rPr>
        <w:t>Las personas trabajadoras de los servicios de laboratorio para la industria en general: personal</w:t>
      </w:r>
      <w:r>
        <w:rPr>
          <w:spacing w:val="40"/>
          <w:sz w:val="20"/>
        </w:rPr>
        <w:t> </w:t>
      </w:r>
      <w:r>
        <w:rPr>
          <w:sz w:val="20"/>
        </w:rPr>
        <w:t>de laboratorio de microbiología. Servicios veterinarios y auxiliares: personas enfermeras de veterinaria, patólogas y veterinarias.</w:t>
      </w:r>
    </w:p>
    <w:p>
      <w:pPr>
        <w:pStyle w:val="ListParagraph"/>
        <w:numPr>
          <w:ilvl w:val="2"/>
          <w:numId w:val="160"/>
        </w:numPr>
        <w:tabs>
          <w:tab w:pos="1045" w:val="left" w:leader="none"/>
          <w:tab w:pos="1058" w:val="left" w:leader="none"/>
        </w:tabs>
        <w:spacing w:line="240" w:lineRule="auto" w:before="228" w:after="0"/>
        <w:ind w:left="1058" w:right="34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846" w:val="left" w:leader="none"/>
        </w:tabs>
        <w:spacing w:line="240" w:lineRule="auto" w:before="227" w:after="0"/>
        <w:ind w:left="846" w:right="0" w:hanging="220"/>
        <w:jc w:val="left"/>
      </w:pPr>
      <w:r>
        <w:rPr/>
        <w:t>Coccidioidomicosis</w:t>
      </w:r>
      <w:r>
        <w:rPr>
          <w:spacing w:val="-8"/>
        </w:rPr>
        <w:t> </w:t>
      </w:r>
      <w:r>
        <w:rPr/>
        <w:t>(fiebre</w:t>
      </w:r>
      <w:r>
        <w:rPr>
          <w:spacing w:val="-8"/>
        </w:rPr>
        <w:t> </w:t>
      </w:r>
      <w:r>
        <w:rPr/>
        <w:t>del</w:t>
      </w:r>
      <w:r>
        <w:rPr>
          <w:spacing w:val="-7"/>
        </w:rPr>
        <w:t> </w:t>
      </w:r>
      <w:r>
        <w:rPr/>
        <w:t>valle</w:t>
      </w:r>
      <w:r>
        <w:rPr>
          <w:spacing w:val="-7"/>
        </w:rPr>
        <w:t> </w:t>
      </w:r>
      <w:r>
        <w:rPr/>
        <w:t>de</w:t>
      </w:r>
      <w:r>
        <w:rPr>
          <w:spacing w:val="-7"/>
        </w:rPr>
        <w:t> </w:t>
      </w:r>
      <w:r>
        <w:rPr/>
        <w:t>San</w:t>
      </w:r>
      <w:r>
        <w:rPr>
          <w:spacing w:val="-7"/>
        </w:rPr>
        <w:t> </w:t>
      </w:r>
      <w:r>
        <w:rPr>
          <w:spacing w:val="-2"/>
        </w:rPr>
        <w:t>Joaquín)</w:t>
      </w:r>
    </w:p>
    <w:p>
      <w:pPr>
        <w:pStyle w:val="BodyText"/>
        <w:spacing w:before="3"/>
        <w:rPr>
          <w:rFonts w:ascii="Arial"/>
          <w:b/>
        </w:rPr>
      </w:pPr>
    </w:p>
    <w:p>
      <w:pPr>
        <w:pStyle w:val="BodyText"/>
        <w:ind w:left="626"/>
      </w:pPr>
      <w:r>
        <w:rPr/>
        <w:t>Código</w:t>
      </w:r>
      <w:r>
        <w:rPr>
          <w:spacing w:val="-9"/>
        </w:rPr>
        <w:t> </w:t>
      </w:r>
      <w:r>
        <w:rPr/>
        <w:t>CIE-11:</w:t>
      </w:r>
      <w:r>
        <w:rPr>
          <w:spacing w:val="-9"/>
        </w:rPr>
        <w:t> </w:t>
      </w:r>
      <w:r>
        <w:rPr>
          <w:spacing w:val="-4"/>
        </w:rPr>
        <w:t>1F25Z</w:t>
      </w:r>
    </w:p>
    <w:p>
      <w:pPr>
        <w:pStyle w:val="ListParagraph"/>
        <w:numPr>
          <w:ilvl w:val="2"/>
          <w:numId w:val="160"/>
        </w:numPr>
        <w:tabs>
          <w:tab w:pos="1045" w:val="left" w:leader="none"/>
          <w:tab w:pos="1058" w:val="left" w:leader="none"/>
        </w:tabs>
        <w:spacing w:line="240" w:lineRule="auto" w:before="230" w:after="0"/>
        <w:ind w:left="1058" w:right="342" w:hanging="432"/>
        <w:jc w:val="both"/>
        <w:rPr>
          <w:sz w:val="20"/>
        </w:rPr>
      </w:pPr>
      <w:r>
        <w:rPr>
          <w:sz w:val="20"/>
        </w:rPr>
        <w:t>Las personas trabajadoras relacionadas con la agricultura (campesinos, recolectores, entre</w:t>
      </w:r>
      <w:r>
        <w:rPr>
          <w:spacing w:val="40"/>
          <w:sz w:val="20"/>
        </w:rPr>
        <w:t> </w:t>
      </w:r>
      <w:r>
        <w:rPr>
          <w:sz w:val="20"/>
        </w:rPr>
        <w:t>otros), arqueólogos, chóferes en rutas que crucen por áreas endémicas, constructores de carreteras, caminos y puertos, excavadores, granjeros, médicos en contacto con laboratorios de microbiología, personal de laboratorios de microbiología, personal militar y de la construcción.</w:t>
      </w:r>
    </w:p>
    <w:p>
      <w:pPr>
        <w:pStyle w:val="ListParagraph"/>
        <w:numPr>
          <w:ilvl w:val="2"/>
          <w:numId w:val="160"/>
        </w:numPr>
        <w:tabs>
          <w:tab w:pos="1045" w:val="left" w:leader="none"/>
          <w:tab w:pos="1058" w:val="left" w:leader="none"/>
        </w:tabs>
        <w:spacing w:line="240" w:lineRule="auto" w:before="229" w:after="0"/>
        <w:ind w:left="1058" w:right="34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846" w:val="left" w:leader="none"/>
        </w:tabs>
        <w:spacing w:line="240" w:lineRule="auto" w:before="226" w:after="0"/>
        <w:ind w:left="846" w:right="0" w:hanging="220"/>
        <w:jc w:val="left"/>
      </w:pPr>
      <w:r>
        <w:rPr>
          <w:spacing w:val="-2"/>
        </w:rPr>
        <w:t>COVID-</w:t>
      </w:r>
      <w:r>
        <w:rPr>
          <w:spacing w:val="-5"/>
        </w:rPr>
        <w:t>19</w:t>
      </w:r>
    </w:p>
    <w:p>
      <w:pPr>
        <w:pStyle w:val="BodyText"/>
        <w:spacing w:before="3"/>
        <w:rPr>
          <w:rFonts w:ascii="Arial"/>
          <w:b/>
        </w:rPr>
      </w:pPr>
    </w:p>
    <w:p>
      <w:pPr>
        <w:pStyle w:val="BodyText"/>
        <w:ind w:left="626"/>
      </w:pPr>
      <w:r>
        <w:rPr/>
        <w:t>Código</w:t>
      </w:r>
      <w:r>
        <w:rPr>
          <w:spacing w:val="-10"/>
        </w:rPr>
        <w:t> </w:t>
      </w:r>
      <w:r>
        <w:rPr/>
        <w:t>CIE-11:</w:t>
      </w:r>
      <w:r>
        <w:rPr>
          <w:spacing w:val="-9"/>
        </w:rPr>
        <w:t> </w:t>
      </w:r>
      <w:r>
        <w:rPr>
          <w:spacing w:val="-4"/>
        </w:rPr>
        <w:t>RA01</w:t>
      </w:r>
    </w:p>
    <w:p>
      <w:pPr>
        <w:pStyle w:val="ListParagraph"/>
        <w:numPr>
          <w:ilvl w:val="2"/>
          <w:numId w:val="160"/>
        </w:numPr>
        <w:tabs>
          <w:tab w:pos="1045" w:val="left" w:leader="none"/>
          <w:tab w:pos="1058" w:val="left" w:leader="none"/>
        </w:tabs>
        <w:spacing w:line="240" w:lineRule="auto" w:before="227" w:after="0"/>
        <w:ind w:left="1058" w:right="339" w:hanging="432"/>
        <w:jc w:val="both"/>
        <w:rPr>
          <w:sz w:val="20"/>
        </w:rPr>
      </w:pPr>
      <w:r>
        <w:rPr>
          <w:sz w:val="20"/>
        </w:rPr>
        <w:t>Debido</w:t>
      </w:r>
      <w:r>
        <w:rPr>
          <w:spacing w:val="-2"/>
          <w:sz w:val="20"/>
        </w:rPr>
        <w:t> </w:t>
      </w:r>
      <w:r>
        <w:rPr>
          <w:sz w:val="20"/>
        </w:rPr>
        <w:t>a</w:t>
      </w:r>
      <w:r>
        <w:rPr>
          <w:spacing w:val="-2"/>
          <w:sz w:val="20"/>
        </w:rPr>
        <w:t> </w:t>
      </w:r>
      <w:r>
        <w:rPr>
          <w:sz w:val="20"/>
        </w:rPr>
        <w:t>la</w:t>
      </w:r>
      <w:r>
        <w:rPr>
          <w:spacing w:val="-2"/>
          <w:sz w:val="20"/>
        </w:rPr>
        <w:t> </w:t>
      </w:r>
      <w:r>
        <w:rPr>
          <w:sz w:val="20"/>
        </w:rPr>
        <w:t>naturaleza</w:t>
      </w:r>
      <w:r>
        <w:rPr>
          <w:spacing w:val="-2"/>
          <w:sz w:val="20"/>
        </w:rPr>
        <w:t> </w:t>
      </w:r>
      <w:r>
        <w:rPr>
          <w:sz w:val="20"/>
        </w:rPr>
        <w:t>de</w:t>
      </w:r>
      <w:r>
        <w:rPr>
          <w:spacing w:val="-2"/>
          <w:sz w:val="20"/>
        </w:rPr>
        <w:t> </w:t>
      </w:r>
      <w:r>
        <w:rPr>
          <w:sz w:val="20"/>
        </w:rPr>
        <w:t>los</w:t>
      </w:r>
      <w:r>
        <w:rPr>
          <w:spacing w:val="-3"/>
          <w:sz w:val="20"/>
        </w:rPr>
        <w:t> </w:t>
      </w:r>
      <w:r>
        <w:rPr>
          <w:sz w:val="20"/>
        </w:rPr>
        <w:t>contagios</w:t>
      </w:r>
      <w:r>
        <w:rPr>
          <w:spacing w:val="-3"/>
          <w:sz w:val="20"/>
        </w:rPr>
        <w:t> </w:t>
      </w:r>
      <w:r>
        <w:rPr>
          <w:sz w:val="20"/>
        </w:rPr>
        <w:t>respiratorios</w:t>
      </w:r>
      <w:r>
        <w:rPr>
          <w:spacing w:val="-3"/>
          <w:sz w:val="20"/>
        </w:rPr>
        <w:t> </w:t>
      </w:r>
      <w:r>
        <w:rPr>
          <w:sz w:val="20"/>
        </w:rPr>
        <w:t>del</w:t>
      </w:r>
      <w:r>
        <w:rPr>
          <w:spacing w:val="-3"/>
          <w:sz w:val="20"/>
        </w:rPr>
        <w:t> </w:t>
      </w:r>
      <w:r>
        <w:rPr>
          <w:sz w:val="20"/>
        </w:rPr>
        <w:t>agente</w:t>
      </w:r>
      <w:r>
        <w:rPr>
          <w:spacing w:val="-2"/>
          <w:sz w:val="20"/>
        </w:rPr>
        <w:t> </w:t>
      </w:r>
      <w:r>
        <w:rPr>
          <w:sz w:val="20"/>
        </w:rPr>
        <w:t>causante</w:t>
      </w:r>
      <w:r>
        <w:rPr>
          <w:spacing w:val="-2"/>
          <w:sz w:val="20"/>
        </w:rPr>
        <w:t> </w:t>
      </w:r>
      <w:r>
        <w:rPr>
          <w:sz w:val="20"/>
        </w:rPr>
        <w:t>del</w:t>
      </w:r>
      <w:r>
        <w:rPr>
          <w:spacing w:val="-4"/>
          <w:sz w:val="20"/>
        </w:rPr>
        <w:t> </w:t>
      </w:r>
      <w:r>
        <w:rPr>
          <w:sz w:val="20"/>
        </w:rPr>
        <w:t>COVID-19,</w:t>
      </w:r>
      <w:r>
        <w:rPr>
          <w:spacing w:val="-4"/>
          <w:sz w:val="20"/>
        </w:rPr>
        <w:t> </w:t>
      </w:r>
      <w:r>
        <w:rPr>
          <w:sz w:val="20"/>
        </w:rPr>
        <w:t>el</w:t>
      </w:r>
      <w:r>
        <w:rPr>
          <w:spacing w:val="-4"/>
          <w:sz w:val="20"/>
        </w:rPr>
        <w:t> </w:t>
      </w:r>
      <w:r>
        <w:rPr>
          <w:sz w:val="20"/>
        </w:rPr>
        <w:t>riesgo de las personas trabajadoras por la exposición al mismo, es mayor que el de la población</w:t>
      </w:r>
      <w:r>
        <w:rPr>
          <w:spacing w:val="40"/>
          <w:sz w:val="20"/>
        </w:rPr>
        <w:t> </w:t>
      </w:r>
      <w:r>
        <w:rPr>
          <w:sz w:val="20"/>
        </w:rPr>
        <w:t>general, y éste puede ser: muy</w:t>
      </w:r>
      <w:r>
        <w:rPr>
          <w:spacing w:val="-2"/>
          <w:sz w:val="20"/>
        </w:rPr>
        <w:t> </w:t>
      </w:r>
      <w:r>
        <w:rPr>
          <w:sz w:val="20"/>
        </w:rPr>
        <w:t>alto, alto, medio o bajo. El nivel de riesgo dependerá del contacto repetido o extendido con fuentes posibles de contagio por ejercicio o motivo del trabajo o en el medio que la persona trabajadora se vea obligada a prestar sus servicios.</w:t>
      </w:r>
    </w:p>
    <w:p>
      <w:pPr>
        <w:pStyle w:val="BodyText"/>
        <w:spacing w:before="2"/>
      </w:pPr>
    </w:p>
    <w:p>
      <w:pPr>
        <w:pStyle w:val="BodyText"/>
        <w:ind w:left="626"/>
      </w:pPr>
      <w:r>
        <w:rPr/>
        <w:t>Los</w:t>
      </w:r>
      <w:r>
        <w:rPr>
          <w:spacing w:val="-6"/>
        </w:rPr>
        <w:t> </w:t>
      </w:r>
      <w:r>
        <w:rPr/>
        <w:t>trabajos</w:t>
      </w:r>
      <w:r>
        <w:rPr>
          <w:spacing w:val="-4"/>
        </w:rPr>
        <w:t> </w:t>
      </w:r>
      <w:r>
        <w:rPr/>
        <w:t>de</w:t>
      </w:r>
      <w:r>
        <w:rPr>
          <w:spacing w:val="-8"/>
        </w:rPr>
        <w:t> </w:t>
      </w:r>
      <w:r>
        <w:rPr/>
        <w:t>acuerdo</w:t>
      </w:r>
      <w:r>
        <w:rPr>
          <w:spacing w:val="-6"/>
        </w:rPr>
        <w:t> </w:t>
      </w:r>
      <w:r>
        <w:rPr/>
        <w:t>con</w:t>
      </w:r>
      <w:r>
        <w:rPr>
          <w:spacing w:val="-7"/>
        </w:rPr>
        <w:t> </w:t>
      </w:r>
      <w:r>
        <w:rPr/>
        <w:t>su</w:t>
      </w:r>
      <w:r>
        <w:rPr>
          <w:spacing w:val="-7"/>
        </w:rPr>
        <w:t> </w:t>
      </w:r>
      <w:r>
        <w:rPr/>
        <w:t>nivel</w:t>
      </w:r>
      <w:r>
        <w:rPr>
          <w:spacing w:val="-5"/>
        </w:rPr>
        <w:t> </w:t>
      </w:r>
      <w:r>
        <w:rPr/>
        <w:t>de</w:t>
      </w:r>
      <w:r>
        <w:rPr>
          <w:spacing w:val="-8"/>
        </w:rPr>
        <w:t> </w:t>
      </w:r>
      <w:r>
        <w:rPr/>
        <w:t>riesgo</w:t>
      </w:r>
      <w:r>
        <w:rPr>
          <w:spacing w:val="-6"/>
        </w:rPr>
        <w:t> </w:t>
      </w:r>
      <w:r>
        <w:rPr/>
        <w:t>de</w:t>
      </w:r>
      <w:r>
        <w:rPr>
          <w:spacing w:val="-7"/>
        </w:rPr>
        <w:t> </w:t>
      </w:r>
      <w:r>
        <w:rPr/>
        <w:t>exposición</w:t>
      </w:r>
      <w:r>
        <w:rPr>
          <w:spacing w:val="-5"/>
        </w:rPr>
        <w:t> </w:t>
      </w:r>
      <w:r>
        <w:rPr/>
        <w:t>al</w:t>
      </w:r>
      <w:r>
        <w:rPr>
          <w:spacing w:val="-6"/>
        </w:rPr>
        <w:t> </w:t>
      </w:r>
      <w:r>
        <w:rPr/>
        <w:t>agente</w:t>
      </w:r>
      <w:r>
        <w:rPr>
          <w:spacing w:val="-5"/>
        </w:rPr>
        <w:t> </w:t>
      </w:r>
      <w:r>
        <w:rPr>
          <w:spacing w:val="-4"/>
        </w:rPr>
        <w:t>son:</w:t>
      </w:r>
    </w:p>
    <w:p>
      <w:pPr>
        <w:pStyle w:val="Heading3"/>
        <w:numPr>
          <w:ilvl w:val="0"/>
          <w:numId w:val="161"/>
        </w:numPr>
        <w:tabs>
          <w:tab w:pos="857" w:val="left" w:leader="none"/>
        </w:tabs>
        <w:spacing w:line="240" w:lineRule="auto" w:before="226" w:after="0"/>
        <w:ind w:left="857" w:right="0" w:hanging="231"/>
        <w:jc w:val="left"/>
      </w:pPr>
      <w:r>
        <w:rPr/>
        <w:t>Riesgo</w:t>
      </w:r>
      <w:r>
        <w:rPr>
          <w:spacing w:val="-6"/>
        </w:rPr>
        <w:t> </w:t>
      </w:r>
      <w:r>
        <w:rPr/>
        <w:t>de</w:t>
      </w:r>
      <w:r>
        <w:rPr>
          <w:spacing w:val="-6"/>
        </w:rPr>
        <w:t> </w:t>
      </w:r>
      <w:r>
        <w:rPr/>
        <w:t>exposición</w:t>
      </w:r>
      <w:r>
        <w:rPr>
          <w:spacing w:val="-4"/>
        </w:rPr>
        <w:t> </w:t>
      </w:r>
      <w:r>
        <w:rPr/>
        <w:t>muy</w:t>
      </w:r>
      <w:r>
        <w:rPr>
          <w:spacing w:val="-6"/>
        </w:rPr>
        <w:t> </w:t>
      </w:r>
      <w:r>
        <w:rPr>
          <w:spacing w:val="-4"/>
        </w:rPr>
        <w:t>alto</w:t>
      </w:r>
    </w:p>
    <w:p>
      <w:pPr>
        <w:pStyle w:val="BodyText"/>
        <w:spacing w:before="2"/>
        <w:rPr>
          <w:rFonts w:ascii="Arial"/>
          <w:b/>
        </w:rPr>
      </w:pPr>
    </w:p>
    <w:p>
      <w:pPr>
        <w:pStyle w:val="ListParagraph"/>
        <w:numPr>
          <w:ilvl w:val="2"/>
          <w:numId w:val="160"/>
        </w:numPr>
        <w:tabs>
          <w:tab w:pos="1045" w:val="left" w:leader="none"/>
          <w:tab w:pos="1058" w:val="left" w:leader="none"/>
        </w:tabs>
        <w:spacing w:line="240" w:lineRule="auto" w:before="0" w:after="0"/>
        <w:ind w:left="1058" w:right="336" w:hanging="432"/>
        <w:jc w:val="both"/>
        <w:rPr>
          <w:sz w:val="20"/>
        </w:rPr>
      </w:pPr>
      <w:r>
        <w:rPr>
          <w:sz w:val="20"/>
        </w:rPr>
        <w:t>Trabajos que entran en contacto directo con fuentes confirmadas o sospechosas al agente durante procedimientos médicos o de laboratorio, como personal de la salud: médicos, enfermeras, dentistas, personal que maneja cadáveres de pacientes confirmados o sospechosos al agente, personal de laboratorio o gabinete que maneje especímenes contaminados de pacientes confirmados o sospechosos al agente, entre otros.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3"/>
      </w:pPr>
    </w:p>
    <w:p>
      <w:pPr>
        <w:pStyle w:val="Heading3"/>
        <w:numPr>
          <w:ilvl w:val="0"/>
          <w:numId w:val="161"/>
        </w:numPr>
        <w:tabs>
          <w:tab w:pos="869" w:val="left" w:leader="none"/>
        </w:tabs>
        <w:spacing w:line="240" w:lineRule="auto" w:before="0" w:after="0"/>
        <w:ind w:left="869" w:right="0" w:hanging="243"/>
        <w:jc w:val="left"/>
      </w:pPr>
      <w:r>
        <w:rPr/>
        <w:t>Riesgo</w:t>
      </w:r>
      <w:r>
        <w:rPr>
          <w:spacing w:val="-9"/>
        </w:rPr>
        <w:t> </w:t>
      </w:r>
      <w:r>
        <w:rPr/>
        <w:t>de</w:t>
      </w:r>
      <w:r>
        <w:rPr>
          <w:spacing w:val="-7"/>
        </w:rPr>
        <w:t> </w:t>
      </w:r>
      <w:r>
        <w:rPr/>
        <w:t>exposición</w:t>
      </w:r>
      <w:r>
        <w:rPr>
          <w:spacing w:val="-7"/>
        </w:rPr>
        <w:t> </w:t>
      </w:r>
      <w:r>
        <w:rPr>
          <w:spacing w:val="-4"/>
        </w:rPr>
        <w:t>alto</w:t>
      </w:r>
    </w:p>
    <w:p>
      <w:pPr>
        <w:pStyle w:val="BodyText"/>
        <w:spacing w:before="1"/>
        <w:rPr>
          <w:rFonts w:ascii="Arial"/>
          <w:b/>
        </w:rPr>
      </w:pPr>
    </w:p>
    <w:p>
      <w:pPr>
        <w:pStyle w:val="ListParagraph"/>
        <w:numPr>
          <w:ilvl w:val="2"/>
          <w:numId w:val="160"/>
        </w:numPr>
        <w:tabs>
          <w:tab w:pos="1045" w:val="left" w:leader="none"/>
          <w:tab w:pos="1058" w:val="left" w:leader="none"/>
        </w:tabs>
        <w:spacing w:line="240" w:lineRule="auto" w:before="1" w:after="0"/>
        <w:ind w:left="1058" w:right="339" w:hanging="432"/>
        <w:jc w:val="both"/>
        <w:rPr>
          <w:sz w:val="20"/>
        </w:rPr>
      </w:pPr>
      <w:r>
        <w:rPr>
          <w:sz w:val="20"/>
        </w:rPr>
        <w:t>Trabajos que brindan atención al público en unidades médicas donde se encuentran fuentes confirmadas o sospechosas al agente, como: asistentes médicas, personas trabajadoras</w:t>
      </w:r>
      <w:r>
        <w:rPr>
          <w:spacing w:val="40"/>
          <w:sz w:val="20"/>
        </w:rPr>
        <w:t> </w:t>
      </w:r>
      <w:r>
        <w:rPr>
          <w:sz w:val="20"/>
        </w:rPr>
        <w:t>sociales, farmacéuticos, técnicos y auxiliares, personal de orientación al público, paramédicos, enfermeras, médicos, personal de mantenimiento, personal que proporciona transporte médico a pacientes, personas trabajadoras sociales, servicio de lavandería, alimentos y limpieza, entre </w:t>
      </w:r>
      <w:r>
        <w:rPr>
          <w:spacing w:val="-2"/>
          <w:sz w:val="20"/>
        </w:rPr>
        <w:t>otros.</w:t>
      </w:r>
    </w:p>
    <w:p>
      <w:pPr>
        <w:pStyle w:val="Heading3"/>
        <w:numPr>
          <w:ilvl w:val="0"/>
          <w:numId w:val="161"/>
        </w:numPr>
        <w:tabs>
          <w:tab w:pos="857" w:val="left" w:leader="none"/>
        </w:tabs>
        <w:spacing w:line="240" w:lineRule="auto" w:before="226" w:after="0"/>
        <w:ind w:left="857" w:right="0" w:hanging="231"/>
        <w:jc w:val="left"/>
      </w:pPr>
      <w:r>
        <w:rPr/>
        <w:t>Riesgo</w:t>
      </w:r>
      <w:r>
        <w:rPr>
          <w:spacing w:val="-6"/>
        </w:rPr>
        <w:t> </w:t>
      </w:r>
      <w:r>
        <w:rPr/>
        <w:t>de</w:t>
      </w:r>
      <w:r>
        <w:rPr>
          <w:spacing w:val="-7"/>
        </w:rPr>
        <w:t> </w:t>
      </w:r>
      <w:r>
        <w:rPr/>
        <w:t>exposición</w:t>
      </w:r>
      <w:r>
        <w:rPr>
          <w:spacing w:val="-4"/>
        </w:rPr>
        <w:t> </w:t>
      </w:r>
      <w:r>
        <w:rPr>
          <w:spacing w:val="-2"/>
        </w:rPr>
        <w:t>medio</w:t>
      </w:r>
    </w:p>
    <w:p>
      <w:pPr>
        <w:pStyle w:val="BodyText"/>
        <w:spacing w:before="2"/>
        <w:rPr>
          <w:rFonts w:ascii="Arial"/>
          <w:b/>
        </w:rPr>
      </w:pPr>
    </w:p>
    <w:p>
      <w:pPr>
        <w:pStyle w:val="ListParagraph"/>
        <w:numPr>
          <w:ilvl w:val="2"/>
          <w:numId w:val="160"/>
        </w:numPr>
        <w:tabs>
          <w:tab w:pos="1045" w:val="left" w:leader="none"/>
          <w:tab w:pos="1058" w:val="left" w:leader="none"/>
        </w:tabs>
        <w:spacing w:line="240" w:lineRule="auto" w:before="0" w:after="0"/>
        <w:ind w:left="1058" w:right="339" w:hanging="432"/>
        <w:jc w:val="both"/>
        <w:rPr>
          <w:sz w:val="20"/>
        </w:rPr>
      </w:pPr>
      <w:r>
        <w:rPr>
          <w:sz w:val="20"/>
        </w:rPr>
        <w:t>Trabajos que brindan atención al público (que no sea en unidades médicas) donde no se conoce la</w:t>
      </w:r>
      <w:r>
        <w:rPr>
          <w:spacing w:val="-2"/>
          <w:sz w:val="20"/>
        </w:rPr>
        <w:t> </w:t>
      </w:r>
      <w:r>
        <w:rPr>
          <w:sz w:val="20"/>
        </w:rPr>
        <w:t>exposición</w:t>
      </w:r>
      <w:r>
        <w:rPr>
          <w:spacing w:val="-2"/>
          <w:sz w:val="20"/>
        </w:rPr>
        <w:t> </w:t>
      </w:r>
      <w:r>
        <w:rPr>
          <w:sz w:val="20"/>
        </w:rPr>
        <w:t>a</w:t>
      </w:r>
      <w:r>
        <w:rPr>
          <w:spacing w:val="-2"/>
          <w:sz w:val="20"/>
        </w:rPr>
        <w:t> </w:t>
      </w:r>
      <w:r>
        <w:rPr>
          <w:sz w:val="20"/>
        </w:rPr>
        <w:t>fuentes</w:t>
      </w:r>
      <w:r>
        <w:rPr>
          <w:spacing w:val="-3"/>
          <w:sz w:val="20"/>
        </w:rPr>
        <w:t> </w:t>
      </w:r>
      <w:r>
        <w:rPr>
          <w:sz w:val="20"/>
        </w:rPr>
        <w:t>confirmadas</w:t>
      </w:r>
      <w:r>
        <w:rPr>
          <w:spacing w:val="-3"/>
          <w:sz w:val="20"/>
        </w:rPr>
        <w:t> </w:t>
      </w:r>
      <w:r>
        <w:rPr>
          <w:sz w:val="20"/>
        </w:rPr>
        <w:t>o</w:t>
      </w:r>
      <w:r>
        <w:rPr>
          <w:spacing w:val="-5"/>
          <w:sz w:val="20"/>
        </w:rPr>
        <w:t> </w:t>
      </w:r>
      <w:r>
        <w:rPr>
          <w:sz w:val="20"/>
        </w:rPr>
        <w:t>sospechosas</w:t>
      </w:r>
      <w:r>
        <w:rPr>
          <w:spacing w:val="-3"/>
          <w:sz w:val="20"/>
        </w:rPr>
        <w:t> </w:t>
      </w:r>
      <w:r>
        <w:rPr>
          <w:sz w:val="20"/>
        </w:rPr>
        <w:t>pero</w:t>
      </w:r>
      <w:r>
        <w:rPr>
          <w:spacing w:val="-4"/>
          <w:sz w:val="20"/>
        </w:rPr>
        <w:t> </w:t>
      </w:r>
      <w:r>
        <w:rPr>
          <w:sz w:val="20"/>
        </w:rPr>
        <w:t>es</w:t>
      </w:r>
      <w:r>
        <w:rPr>
          <w:spacing w:val="-1"/>
          <w:sz w:val="20"/>
        </w:rPr>
        <w:t> </w:t>
      </w:r>
      <w:r>
        <w:rPr>
          <w:sz w:val="20"/>
        </w:rPr>
        <w:t>posible</w:t>
      </w:r>
      <w:r>
        <w:rPr>
          <w:spacing w:val="-2"/>
          <w:sz w:val="20"/>
        </w:rPr>
        <w:t> </w:t>
      </w:r>
      <w:r>
        <w:rPr>
          <w:sz w:val="20"/>
        </w:rPr>
        <w:t>encontrar</w:t>
      </w:r>
      <w:r>
        <w:rPr>
          <w:spacing w:val="-1"/>
          <w:sz w:val="20"/>
        </w:rPr>
        <w:t> </w:t>
      </w:r>
      <w:r>
        <w:rPr>
          <w:sz w:val="20"/>
        </w:rPr>
        <w:t>al</w:t>
      </w:r>
      <w:r>
        <w:rPr>
          <w:spacing w:val="-3"/>
          <w:sz w:val="20"/>
        </w:rPr>
        <w:t> </w:t>
      </w:r>
      <w:r>
        <w:rPr>
          <w:sz w:val="20"/>
        </w:rPr>
        <w:t>agente,</w:t>
      </w:r>
      <w:r>
        <w:rPr>
          <w:spacing w:val="-4"/>
          <w:sz w:val="20"/>
        </w:rPr>
        <w:t> </w:t>
      </w:r>
      <w:r>
        <w:rPr>
          <w:sz w:val="20"/>
        </w:rPr>
        <w:t>como</w:t>
      </w:r>
      <w:r>
        <w:rPr>
          <w:spacing w:val="-4"/>
          <w:sz w:val="20"/>
        </w:rPr>
        <w:t> </w:t>
      </w:r>
      <w:r>
        <w:rPr>
          <w:sz w:val="20"/>
        </w:rPr>
        <w:t>las que se dedican a: la preparación y servicio de alimentos y bebidas, servicios de administración pública y seguridad social, servicios de alojamiento temporal, servicios financieros y de seguros (bancos, financieras, compañías de seguros y similares), servicios personales para el hogar y diversos, servicios de transporte público o privado (terrestre, aéreo, marítimo, o ferroviario), servicios de docencia y cuidado de infantes y personas adultas, entre otros.</w:t>
      </w:r>
    </w:p>
    <w:p>
      <w:pPr>
        <w:pStyle w:val="Heading3"/>
        <w:numPr>
          <w:ilvl w:val="0"/>
          <w:numId w:val="161"/>
        </w:numPr>
        <w:tabs>
          <w:tab w:pos="869" w:val="left" w:leader="none"/>
        </w:tabs>
        <w:spacing w:line="240" w:lineRule="auto" w:before="228" w:after="0"/>
        <w:ind w:left="869" w:right="0" w:hanging="243"/>
        <w:jc w:val="left"/>
      </w:pPr>
      <w:r>
        <w:rPr/>
        <w:t>Riesgo</w:t>
      </w:r>
      <w:r>
        <w:rPr>
          <w:spacing w:val="-9"/>
        </w:rPr>
        <w:t> </w:t>
      </w:r>
      <w:r>
        <w:rPr/>
        <w:t>de</w:t>
      </w:r>
      <w:r>
        <w:rPr>
          <w:spacing w:val="-7"/>
        </w:rPr>
        <w:t> </w:t>
      </w:r>
      <w:r>
        <w:rPr/>
        <w:t>exposición</w:t>
      </w:r>
      <w:r>
        <w:rPr>
          <w:spacing w:val="-7"/>
        </w:rPr>
        <w:t> </w:t>
      </w:r>
      <w:r>
        <w:rPr>
          <w:spacing w:val="-4"/>
        </w:rPr>
        <w:t>bajo</w:t>
      </w:r>
    </w:p>
    <w:p>
      <w:pPr>
        <w:pStyle w:val="BodyText"/>
        <w:spacing w:before="1"/>
        <w:rPr>
          <w:rFonts w:ascii="Arial"/>
          <w:b/>
        </w:rPr>
      </w:pPr>
    </w:p>
    <w:p>
      <w:pPr>
        <w:pStyle w:val="ListParagraph"/>
        <w:numPr>
          <w:ilvl w:val="2"/>
          <w:numId w:val="160"/>
        </w:numPr>
        <w:tabs>
          <w:tab w:pos="1045" w:val="left" w:leader="none"/>
          <w:tab w:pos="1058" w:val="left" w:leader="none"/>
        </w:tabs>
        <w:spacing w:line="240" w:lineRule="auto" w:before="0" w:after="0"/>
        <w:ind w:left="1058" w:right="337" w:hanging="432"/>
        <w:jc w:val="both"/>
        <w:rPr>
          <w:sz w:val="20"/>
        </w:rPr>
      </w:pPr>
      <w:r>
        <w:rPr>
          <w:sz w:val="20"/>
        </w:rPr>
        <w:t>Trabajos que no requieren contacto con el público en general o con clientes, proveedores o compañeros de trabajo o el contacto ocupacional es mínimo, sin embargo, el riesgo debe ser mayor que el de la población general.</w:t>
      </w:r>
    </w:p>
    <w:p>
      <w:pPr>
        <w:pStyle w:val="ListParagraph"/>
        <w:numPr>
          <w:ilvl w:val="2"/>
          <w:numId w:val="160"/>
        </w:numPr>
        <w:tabs>
          <w:tab w:pos="1045" w:val="left" w:leader="none"/>
          <w:tab w:pos="1058" w:val="left" w:leader="none"/>
        </w:tabs>
        <w:spacing w:line="240" w:lineRule="auto" w:before="229" w:after="0"/>
        <w:ind w:left="1058" w:right="33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w:t>
      </w:r>
      <w:r>
        <w:rPr>
          <w:spacing w:val="40"/>
          <w:sz w:val="20"/>
        </w:rPr>
        <w:t> </w:t>
      </w:r>
      <w:r>
        <w:rPr>
          <w:sz w:val="20"/>
        </w:rPr>
        <w:t>obligada a prestar sus servicios.</w:t>
      </w:r>
    </w:p>
    <w:p>
      <w:pPr>
        <w:pStyle w:val="Heading3"/>
        <w:numPr>
          <w:ilvl w:val="1"/>
          <w:numId w:val="160"/>
        </w:numPr>
        <w:tabs>
          <w:tab w:pos="855" w:val="left" w:leader="none"/>
        </w:tabs>
        <w:spacing w:line="240" w:lineRule="auto" w:before="226" w:after="0"/>
        <w:ind w:left="338" w:right="347" w:firstLine="288"/>
        <w:jc w:val="both"/>
      </w:pPr>
      <w:r>
        <w:rPr/>
        <w:t>Encefalitis viral / encefalitis viral de rocío / encefalitis de california / encefalitis de la crosse / encefalitis</w:t>
      </w:r>
      <w:r>
        <w:rPr>
          <w:spacing w:val="-2"/>
        </w:rPr>
        <w:t> </w:t>
      </w:r>
      <w:r>
        <w:rPr/>
        <w:t>por</w:t>
      </w:r>
      <w:r>
        <w:rPr>
          <w:spacing w:val="-2"/>
        </w:rPr>
        <w:t> </w:t>
      </w:r>
      <w:r>
        <w:rPr/>
        <w:t>henipavirus</w:t>
      </w:r>
      <w:r>
        <w:rPr>
          <w:spacing w:val="-2"/>
        </w:rPr>
        <w:t> </w:t>
      </w:r>
      <w:r>
        <w:rPr/>
        <w:t>/</w:t>
      </w:r>
      <w:r>
        <w:rPr>
          <w:spacing w:val="-2"/>
        </w:rPr>
        <w:t> </w:t>
      </w:r>
      <w:r>
        <w:rPr/>
        <w:t>encefalitis</w:t>
      </w:r>
      <w:r>
        <w:rPr>
          <w:spacing w:val="-2"/>
        </w:rPr>
        <w:t> </w:t>
      </w:r>
      <w:r>
        <w:rPr/>
        <w:t>por</w:t>
      </w:r>
      <w:r>
        <w:rPr>
          <w:spacing w:val="-2"/>
        </w:rPr>
        <w:t> </w:t>
      </w:r>
      <w:r>
        <w:rPr/>
        <w:t>el</w:t>
      </w:r>
      <w:r>
        <w:rPr>
          <w:spacing w:val="-2"/>
        </w:rPr>
        <w:t> </w:t>
      </w:r>
      <w:r>
        <w:rPr/>
        <w:t>virus de</w:t>
      </w:r>
      <w:r>
        <w:rPr>
          <w:spacing w:val="-2"/>
        </w:rPr>
        <w:t> </w:t>
      </w:r>
      <w:r>
        <w:rPr/>
        <w:t>la</w:t>
      </w:r>
      <w:r>
        <w:rPr>
          <w:spacing w:val="-2"/>
        </w:rPr>
        <w:t> </w:t>
      </w:r>
      <w:r>
        <w:rPr/>
        <w:t>parotiditis</w:t>
      </w:r>
      <w:r>
        <w:rPr>
          <w:spacing w:val="-2"/>
        </w:rPr>
        <w:t> </w:t>
      </w:r>
      <w:r>
        <w:rPr/>
        <w:t>/</w:t>
      </w:r>
      <w:r>
        <w:rPr>
          <w:spacing w:val="-2"/>
        </w:rPr>
        <w:t> </w:t>
      </w:r>
      <w:r>
        <w:rPr/>
        <w:t>encefalitis</w:t>
      </w:r>
      <w:r>
        <w:rPr>
          <w:spacing w:val="-2"/>
        </w:rPr>
        <w:t> </w:t>
      </w:r>
      <w:r>
        <w:rPr/>
        <w:t>por</w:t>
      </w:r>
      <w:r>
        <w:rPr>
          <w:spacing w:val="-2"/>
        </w:rPr>
        <w:t> </w:t>
      </w:r>
      <w:r>
        <w:rPr/>
        <w:t>herpes</w:t>
      </w:r>
      <w:r>
        <w:rPr>
          <w:spacing w:val="-3"/>
        </w:rPr>
        <w:t> </w:t>
      </w:r>
      <w:r>
        <w:rPr/>
        <w:t>simple</w:t>
      </w:r>
      <w:r>
        <w:rPr>
          <w:spacing w:val="-2"/>
        </w:rPr>
        <w:t> </w:t>
      </w:r>
      <w:r>
        <w:rPr/>
        <w:t>/ encefalitis por el virus de la rubéola / encefalitis por varicela / encefalitis japonesa</w:t>
      </w:r>
    </w:p>
    <w:p>
      <w:pPr>
        <w:pStyle w:val="BodyText"/>
        <w:spacing w:before="4"/>
        <w:rPr>
          <w:rFonts w:ascii="Arial"/>
          <w:b/>
        </w:rPr>
      </w:pPr>
    </w:p>
    <w:p>
      <w:pPr>
        <w:pStyle w:val="BodyText"/>
        <w:spacing w:before="1"/>
        <w:ind w:left="626"/>
      </w:pPr>
      <w:r>
        <w:rPr/>
        <w:t>Código</w:t>
      </w:r>
      <w:r>
        <w:rPr>
          <w:spacing w:val="-8"/>
        </w:rPr>
        <w:t> </w:t>
      </w:r>
      <w:r>
        <w:rPr/>
        <w:t>CIE-11:</w:t>
      </w:r>
      <w:r>
        <w:rPr>
          <w:spacing w:val="-7"/>
        </w:rPr>
        <w:t> </w:t>
      </w:r>
      <w:r>
        <w:rPr/>
        <w:t>1C80,</w:t>
      </w:r>
      <w:r>
        <w:rPr>
          <w:spacing w:val="-5"/>
        </w:rPr>
        <w:t> </w:t>
      </w:r>
      <w:r>
        <w:rPr/>
        <w:t>1C87,</w:t>
      </w:r>
      <w:r>
        <w:rPr>
          <w:spacing w:val="-7"/>
        </w:rPr>
        <w:t> </w:t>
      </w:r>
      <w:r>
        <w:rPr/>
        <w:t>1C8B,</w:t>
      </w:r>
      <w:r>
        <w:rPr>
          <w:spacing w:val="-5"/>
        </w:rPr>
        <w:t> </w:t>
      </w:r>
      <w:r>
        <w:rPr/>
        <w:t>1C8D,</w:t>
      </w:r>
      <w:r>
        <w:rPr>
          <w:spacing w:val="-7"/>
        </w:rPr>
        <w:t> </w:t>
      </w:r>
      <w:r>
        <w:rPr/>
        <w:t>1D63,</w:t>
      </w:r>
      <w:r>
        <w:rPr>
          <w:spacing w:val="-5"/>
        </w:rPr>
        <w:t> </w:t>
      </w:r>
      <w:r>
        <w:rPr/>
        <w:t>1D80.3,</w:t>
      </w:r>
      <w:r>
        <w:rPr>
          <w:spacing w:val="-6"/>
        </w:rPr>
        <w:t> </w:t>
      </w:r>
      <w:r>
        <w:rPr/>
        <w:t>1F00.21,</w:t>
      </w:r>
      <w:r>
        <w:rPr>
          <w:spacing w:val="-5"/>
        </w:rPr>
        <w:t> </w:t>
      </w:r>
      <w:r>
        <w:rPr/>
        <w:t>1E90.2,</w:t>
      </w:r>
      <w:r>
        <w:rPr>
          <w:spacing w:val="-7"/>
        </w:rPr>
        <w:t> </w:t>
      </w:r>
      <w:r>
        <w:rPr>
          <w:spacing w:val="-4"/>
        </w:rPr>
        <w:t>1C85</w:t>
      </w:r>
    </w:p>
    <w:p>
      <w:pPr>
        <w:pStyle w:val="ListParagraph"/>
        <w:numPr>
          <w:ilvl w:val="2"/>
          <w:numId w:val="160"/>
        </w:numPr>
        <w:tabs>
          <w:tab w:pos="1045" w:val="left" w:leader="none"/>
          <w:tab w:pos="1058" w:val="left" w:leader="none"/>
        </w:tabs>
        <w:spacing w:line="240" w:lineRule="auto" w:before="229" w:after="0"/>
        <w:ind w:left="1058" w:right="346" w:hanging="432"/>
        <w:jc w:val="both"/>
        <w:rPr>
          <w:sz w:val="20"/>
        </w:rPr>
      </w:pPr>
      <w:r>
        <w:rPr>
          <w:sz w:val="20"/>
        </w:rPr>
        <w:t>Las personas trabajadoras en la agricultura: agricultores, agropecuarios y jornaleros. Personas trabajadoras en la construcción de obras de infraestructura y</w:t>
      </w:r>
      <w:r>
        <w:rPr>
          <w:spacing w:val="-3"/>
          <w:sz w:val="20"/>
        </w:rPr>
        <w:t> </w:t>
      </w:r>
      <w:r>
        <w:rPr>
          <w:sz w:val="20"/>
        </w:rPr>
        <w:t>edificaciones en obra pública y o no pública.</w:t>
      </w:r>
      <w:r>
        <w:rPr>
          <w:spacing w:val="-2"/>
          <w:sz w:val="20"/>
        </w:rPr>
        <w:t> </w:t>
      </w:r>
      <w:r>
        <w:rPr>
          <w:sz w:val="20"/>
        </w:rPr>
        <w:t>Personas</w:t>
      </w:r>
      <w:r>
        <w:rPr>
          <w:spacing w:val="-3"/>
          <w:sz w:val="20"/>
        </w:rPr>
        <w:t> </w:t>
      </w:r>
      <w:r>
        <w:rPr>
          <w:sz w:val="20"/>
        </w:rPr>
        <w:t>trabajadoras</w:t>
      </w:r>
      <w:r>
        <w:rPr>
          <w:spacing w:val="-2"/>
          <w:sz w:val="20"/>
        </w:rPr>
        <w:t> </w:t>
      </w:r>
      <w:r>
        <w:rPr>
          <w:sz w:val="20"/>
        </w:rPr>
        <w:t>en</w:t>
      </w:r>
      <w:r>
        <w:rPr>
          <w:spacing w:val="-2"/>
          <w:sz w:val="20"/>
        </w:rPr>
        <w:t> </w:t>
      </w:r>
      <w:r>
        <w:rPr>
          <w:sz w:val="20"/>
        </w:rPr>
        <w:t>actividades</w:t>
      </w:r>
      <w:r>
        <w:rPr>
          <w:spacing w:val="-3"/>
          <w:sz w:val="20"/>
        </w:rPr>
        <w:t> </w:t>
      </w:r>
      <w:r>
        <w:rPr>
          <w:sz w:val="20"/>
        </w:rPr>
        <w:t>como:</w:t>
      </w:r>
      <w:r>
        <w:rPr>
          <w:spacing w:val="-4"/>
          <w:sz w:val="20"/>
        </w:rPr>
        <w:t> </w:t>
      </w:r>
      <w:r>
        <w:rPr>
          <w:sz w:val="20"/>
        </w:rPr>
        <w:t>pintores,</w:t>
      </w:r>
      <w:r>
        <w:rPr>
          <w:spacing w:val="-4"/>
          <w:sz w:val="20"/>
        </w:rPr>
        <w:t> </w:t>
      </w:r>
      <w:r>
        <w:rPr>
          <w:sz w:val="20"/>
        </w:rPr>
        <w:t>techadores,</w:t>
      </w:r>
      <w:r>
        <w:rPr>
          <w:spacing w:val="-4"/>
          <w:sz w:val="20"/>
        </w:rPr>
        <w:t> </w:t>
      </w:r>
      <w:r>
        <w:rPr>
          <w:sz w:val="20"/>
        </w:rPr>
        <w:t>personas</w:t>
      </w:r>
      <w:r>
        <w:rPr>
          <w:spacing w:val="-3"/>
          <w:sz w:val="20"/>
        </w:rPr>
        <w:t> </w:t>
      </w:r>
      <w:r>
        <w:rPr>
          <w:sz w:val="20"/>
        </w:rPr>
        <w:t>trabajadoras de la construcción y de carreteras.</w:t>
      </w:r>
    </w:p>
    <w:p>
      <w:pPr>
        <w:pStyle w:val="ListParagraph"/>
        <w:numPr>
          <w:ilvl w:val="2"/>
          <w:numId w:val="160"/>
        </w:numPr>
        <w:tabs>
          <w:tab w:pos="1045" w:val="left" w:leader="none"/>
          <w:tab w:pos="1058" w:val="left" w:leader="none"/>
        </w:tabs>
        <w:spacing w:line="240" w:lineRule="auto" w:before="227" w:after="0"/>
        <w:ind w:left="1058" w:right="341" w:hanging="432"/>
        <w:jc w:val="both"/>
        <w:rPr>
          <w:sz w:val="20"/>
        </w:rPr>
      </w:pPr>
      <w:r>
        <w:rPr>
          <w:sz w:val="20"/>
        </w:rPr>
        <w:t>Las personas trabajadoras en la cría y explotación de ganado y otras clases de animales: cuidadores de pajareras y zoológicos, granjeros y silvicultores. Explotación de bosques madereros;</w:t>
      </w:r>
      <w:r>
        <w:rPr>
          <w:spacing w:val="-2"/>
          <w:sz w:val="20"/>
        </w:rPr>
        <w:t> </w:t>
      </w:r>
      <w:r>
        <w:rPr>
          <w:sz w:val="20"/>
        </w:rPr>
        <w:t>extracción de productos</w:t>
      </w:r>
      <w:r>
        <w:rPr>
          <w:spacing w:val="-1"/>
          <w:sz w:val="20"/>
        </w:rPr>
        <w:t> </w:t>
      </w:r>
      <w:r>
        <w:rPr>
          <w:sz w:val="20"/>
        </w:rPr>
        <w:t>forestales</w:t>
      </w:r>
      <w:r>
        <w:rPr>
          <w:spacing w:val="-1"/>
          <w:sz w:val="20"/>
        </w:rPr>
        <w:t> </w:t>
      </w:r>
      <w:r>
        <w:rPr>
          <w:sz w:val="20"/>
        </w:rPr>
        <w:t>no</w:t>
      </w:r>
      <w:r>
        <w:rPr>
          <w:spacing w:val="-2"/>
          <w:sz w:val="20"/>
        </w:rPr>
        <w:t> </w:t>
      </w:r>
      <w:r>
        <w:rPr>
          <w:sz w:val="20"/>
        </w:rPr>
        <w:t>maderables, y</w:t>
      </w:r>
      <w:r>
        <w:rPr>
          <w:spacing w:val="-5"/>
          <w:sz w:val="20"/>
        </w:rPr>
        <w:t> </w:t>
      </w:r>
      <w:r>
        <w:rPr>
          <w:sz w:val="20"/>
        </w:rPr>
        <w:t>servicios</w:t>
      </w:r>
      <w:r>
        <w:rPr>
          <w:spacing w:val="-1"/>
          <w:sz w:val="20"/>
        </w:rPr>
        <w:t> </w:t>
      </w:r>
      <w:r>
        <w:rPr>
          <w:sz w:val="20"/>
        </w:rPr>
        <w:t>de explotación</w:t>
      </w:r>
      <w:r>
        <w:rPr>
          <w:spacing w:val="-2"/>
          <w:sz w:val="20"/>
        </w:rPr>
        <w:t> </w:t>
      </w:r>
      <w:r>
        <w:rPr>
          <w:sz w:val="20"/>
        </w:rPr>
        <w:t>forestal: personas trabajadoras forestales, guardabosques y operadores madereros. Otros puestos de trabajo: soldados.</w:t>
      </w:r>
    </w:p>
    <w:p>
      <w:pPr>
        <w:pStyle w:val="ListParagraph"/>
        <w:numPr>
          <w:ilvl w:val="2"/>
          <w:numId w:val="160"/>
        </w:numPr>
        <w:tabs>
          <w:tab w:pos="1045" w:val="left" w:leader="none"/>
          <w:tab w:pos="1058" w:val="left" w:leader="none"/>
        </w:tabs>
        <w:spacing w:line="240" w:lineRule="auto" w:before="230" w:after="0"/>
        <w:ind w:left="1058" w:right="338" w:hanging="432"/>
        <w:jc w:val="both"/>
        <w:rPr>
          <w:sz w:val="20"/>
        </w:rPr>
      </w:pPr>
      <w:r>
        <w:rPr>
          <w:sz w:val="20"/>
        </w:rPr>
        <w:t>Las personas trabajadoras de los servicios de enseñanza académica, capacitación, investigación científica y difusión cultural: personas trabajadoras con exposición durante estudios ecológicos, investigadores con trabajo al aire libre, biólogos, entomólogos y geólogos. Servicios de fumigación,</w:t>
      </w:r>
      <w:r>
        <w:rPr>
          <w:spacing w:val="40"/>
          <w:sz w:val="20"/>
        </w:rPr>
        <w:t> </w:t>
      </w:r>
      <w:r>
        <w:rPr>
          <w:sz w:val="20"/>
        </w:rPr>
        <w:t>desinfección</w:t>
      </w:r>
      <w:r>
        <w:rPr>
          <w:spacing w:val="40"/>
          <w:sz w:val="20"/>
        </w:rPr>
        <w:t> </w:t>
      </w:r>
      <w:r>
        <w:rPr>
          <w:sz w:val="20"/>
        </w:rPr>
        <w:t>y</w:t>
      </w:r>
      <w:r>
        <w:rPr>
          <w:spacing w:val="40"/>
          <w:sz w:val="20"/>
        </w:rPr>
        <w:t> </w:t>
      </w:r>
      <w:r>
        <w:rPr>
          <w:sz w:val="20"/>
        </w:rPr>
        <w:t>control</w:t>
      </w:r>
      <w:r>
        <w:rPr>
          <w:spacing w:val="40"/>
          <w:sz w:val="20"/>
        </w:rPr>
        <w:t> </w:t>
      </w:r>
      <w:r>
        <w:rPr>
          <w:sz w:val="20"/>
        </w:rPr>
        <w:t>de</w:t>
      </w:r>
      <w:r>
        <w:rPr>
          <w:spacing w:val="40"/>
          <w:sz w:val="20"/>
        </w:rPr>
        <w:t> </w:t>
      </w:r>
      <w:r>
        <w:rPr>
          <w:sz w:val="20"/>
        </w:rPr>
        <w:t>plagas:</w:t>
      </w:r>
      <w:r>
        <w:rPr>
          <w:spacing w:val="40"/>
          <w:sz w:val="20"/>
        </w:rPr>
        <w:t> </w:t>
      </w:r>
      <w:r>
        <w:rPr>
          <w:sz w:val="20"/>
        </w:rPr>
        <w:t>jardineros</w:t>
      </w:r>
      <w:r>
        <w:rPr>
          <w:spacing w:val="40"/>
          <w:sz w:val="20"/>
        </w:rPr>
        <w:t> </w:t>
      </w:r>
      <w:r>
        <w:rPr>
          <w:sz w:val="20"/>
        </w:rPr>
        <w:t>y</w:t>
      </w:r>
      <w:r>
        <w:rPr>
          <w:spacing w:val="40"/>
          <w:sz w:val="20"/>
        </w:rPr>
        <w:t> </w:t>
      </w:r>
      <w:r>
        <w:rPr>
          <w:sz w:val="20"/>
        </w:rPr>
        <w:t>jardineros</w:t>
      </w:r>
      <w:r>
        <w:rPr>
          <w:spacing w:val="40"/>
          <w:sz w:val="20"/>
        </w:rPr>
        <w:t> </w:t>
      </w:r>
      <w:r>
        <w:rPr>
          <w:sz w:val="20"/>
        </w:rPr>
        <w:t>ornamentales.</w:t>
      </w:r>
      <w:r>
        <w:rPr>
          <w:spacing w:val="40"/>
          <w:sz w:val="20"/>
        </w:rPr>
        <w:t> </w:t>
      </w:r>
      <w:r>
        <w:rPr>
          <w:sz w:val="20"/>
        </w:rPr>
        <w:t>Servicios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058" w:right="342"/>
      </w:pPr>
      <w:r>
        <w:rPr/>
        <w:t>médicos,</w:t>
      </w:r>
      <w:r>
        <w:rPr>
          <w:spacing w:val="-5"/>
        </w:rPr>
        <w:t> </w:t>
      </w:r>
      <w:r>
        <w:rPr/>
        <w:t>paramédicos y</w:t>
      </w:r>
      <w:r>
        <w:rPr>
          <w:spacing w:val="-6"/>
        </w:rPr>
        <w:t> </w:t>
      </w:r>
      <w:r>
        <w:rPr/>
        <w:t>auxiliares:</w:t>
      </w:r>
      <w:r>
        <w:rPr>
          <w:spacing w:val="-5"/>
        </w:rPr>
        <w:t> </w:t>
      </w:r>
      <w:r>
        <w:rPr/>
        <w:t>patólogos,</w:t>
      </w:r>
      <w:r>
        <w:rPr>
          <w:spacing w:val="-3"/>
        </w:rPr>
        <w:t> </w:t>
      </w:r>
      <w:r>
        <w:rPr/>
        <w:t>personal</w:t>
      </w:r>
      <w:r>
        <w:rPr>
          <w:spacing w:val="-6"/>
        </w:rPr>
        <w:t> </w:t>
      </w:r>
      <w:r>
        <w:rPr/>
        <w:t>de</w:t>
      </w:r>
      <w:r>
        <w:rPr>
          <w:spacing w:val="-3"/>
        </w:rPr>
        <w:t> </w:t>
      </w:r>
      <w:r>
        <w:rPr/>
        <w:t>laboratorio y</w:t>
      </w:r>
      <w:r>
        <w:rPr>
          <w:spacing w:val="-6"/>
        </w:rPr>
        <w:t> </w:t>
      </w:r>
      <w:r>
        <w:rPr/>
        <w:t>personas trabajadoras</w:t>
      </w:r>
      <w:r>
        <w:rPr>
          <w:spacing w:val="-3"/>
        </w:rPr>
        <w:t> </w:t>
      </w:r>
      <w:r>
        <w:rPr/>
        <w:t>de la salud. Servicios veterinarios y auxiliares: ornitólogos y veterinarios.</w:t>
      </w:r>
    </w:p>
    <w:p>
      <w:pPr>
        <w:pStyle w:val="BodyText"/>
      </w:pPr>
    </w:p>
    <w:p>
      <w:pPr>
        <w:pStyle w:val="ListParagraph"/>
        <w:numPr>
          <w:ilvl w:val="2"/>
          <w:numId w:val="160"/>
        </w:numPr>
        <w:tabs>
          <w:tab w:pos="1045" w:val="left" w:leader="none"/>
          <w:tab w:pos="1058" w:val="left" w:leader="none"/>
        </w:tabs>
        <w:spacing w:line="240" w:lineRule="auto" w:before="0" w:after="0"/>
        <w:ind w:left="1058" w:right="34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04" w:val="left" w:leader="none"/>
        </w:tabs>
        <w:spacing w:line="240" w:lineRule="auto" w:before="226" w:after="0"/>
        <w:ind w:left="338" w:right="345" w:firstLine="288"/>
        <w:jc w:val="left"/>
      </w:pPr>
      <w:r>
        <w:rPr/>
        <w:t>Infección</w:t>
      </w:r>
      <w:r>
        <w:rPr>
          <w:spacing w:val="40"/>
        </w:rPr>
        <w:t> </w:t>
      </w:r>
      <w:r>
        <w:rPr/>
        <w:t>por</w:t>
      </w:r>
      <w:r>
        <w:rPr>
          <w:spacing w:val="40"/>
        </w:rPr>
        <w:t> </w:t>
      </w:r>
      <w:r>
        <w:rPr/>
        <w:t>el</w:t>
      </w:r>
      <w:r>
        <w:rPr>
          <w:spacing w:val="40"/>
        </w:rPr>
        <w:t> </w:t>
      </w:r>
      <w:r>
        <w:rPr/>
        <w:t>virus</w:t>
      </w:r>
      <w:r>
        <w:rPr>
          <w:spacing w:val="40"/>
        </w:rPr>
        <w:t> </w:t>
      </w:r>
      <w:r>
        <w:rPr/>
        <w:t>de</w:t>
      </w:r>
      <w:r>
        <w:rPr>
          <w:spacing w:val="40"/>
        </w:rPr>
        <w:t> </w:t>
      </w:r>
      <w:r>
        <w:rPr/>
        <w:t>la</w:t>
      </w:r>
      <w:r>
        <w:rPr>
          <w:spacing w:val="40"/>
        </w:rPr>
        <w:t> </w:t>
      </w:r>
      <w:r>
        <w:rPr/>
        <w:t>inmunodeficiencia</w:t>
      </w:r>
      <w:r>
        <w:rPr>
          <w:spacing w:val="40"/>
        </w:rPr>
        <w:t> </w:t>
      </w:r>
      <w:r>
        <w:rPr/>
        <w:t>humana,</w:t>
      </w:r>
      <w:r>
        <w:rPr>
          <w:spacing w:val="40"/>
        </w:rPr>
        <w:t> </w:t>
      </w:r>
      <w:r>
        <w:rPr/>
        <w:t>sin</w:t>
      </w:r>
      <w:r>
        <w:rPr>
          <w:spacing w:val="40"/>
        </w:rPr>
        <w:t> </w:t>
      </w:r>
      <w:r>
        <w:rPr/>
        <w:t>mención</w:t>
      </w:r>
      <w:r>
        <w:rPr>
          <w:spacing w:val="40"/>
        </w:rPr>
        <w:t> </w:t>
      </w:r>
      <w:r>
        <w:rPr/>
        <w:t>de</w:t>
      </w:r>
      <w:r>
        <w:rPr>
          <w:spacing w:val="40"/>
        </w:rPr>
        <w:t> </w:t>
      </w:r>
      <w:r>
        <w:rPr/>
        <w:t>tuberculosis</w:t>
      </w:r>
      <w:r>
        <w:rPr>
          <w:spacing w:val="40"/>
        </w:rPr>
        <w:t> </w:t>
      </w:r>
      <w:r>
        <w:rPr/>
        <w:t>o malaria, sin especificación</w:t>
      </w:r>
    </w:p>
    <w:p>
      <w:pPr>
        <w:pStyle w:val="BodyText"/>
        <w:spacing w:before="4"/>
        <w:rPr>
          <w:rFonts w:ascii="Arial"/>
          <w:b/>
        </w:rPr>
      </w:pPr>
    </w:p>
    <w:p>
      <w:pPr>
        <w:pStyle w:val="BodyText"/>
        <w:ind w:left="626"/>
      </w:pPr>
      <w:r>
        <w:rPr/>
        <w:t>Código</w:t>
      </w:r>
      <w:r>
        <w:rPr>
          <w:spacing w:val="-10"/>
        </w:rPr>
        <w:t> </w:t>
      </w:r>
      <w:r>
        <w:rPr/>
        <w:t>CIE-11:</w:t>
      </w:r>
      <w:r>
        <w:rPr>
          <w:spacing w:val="-9"/>
        </w:rPr>
        <w:t> </w:t>
      </w:r>
      <w:r>
        <w:rPr>
          <w:spacing w:val="-2"/>
        </w:rPr>
        <w:t>1C62.Z</w:t>
      </w:r>
    </w:p>
    <w:p>
      <w:pPr>
        <w:pStyle w:val="BodyText"/>
      </w:pPr>
    </w:p>
    <w:p>
      <w:pPr>
        <w:pStyle w:val="ListParagraph"/>
        <w:numPr>
          <w:ilvl w:val="2"/>
          <w:numId w:val="160"/>
        </w:numPr>
        <w:tabs>
          <w:tab w:pos="1045" w:val="left" w:leader="none"/>
          <w:tab w:pos="1058" w:val="left" w:leader="none"/>
        </w:tabs>
        <w:spacing w:line="240" w:lineRule="auto" w:before="0" w:after="0"/>
        <w:ind w:left="1058" w:right="334" w:hanging="432"/>
        <w:jc w:val="both"/>
        <w:rPr>
          <w:sz w:val="20"/>
        </w:rPr>
      </w:pPr>
      <w:r>
        <w:rPr>
          <w:sz w:val="20"/>
        </w:rPr>
        <w:t>Las personas trabajadoras que laboran en los servicios médicos, paramédicos y auxiliares; personal de ambulancias, en bancos de sangre, en contacto con sangre u objetos contaminados con sangre humana procedente de pacientes infectados con Virus de la Inmunodeficiencia Humana (VIH), estomatólogos, laboratoristas de análisis clínicos, personal de lavandería, limpieza,</w:t>
      </w:r>
      <w:r>
        <w:rPr>
          <w:spacing w:val="-3"/>
          <w:sz w:val="20"/>
        </w:rPr>
        <w:t> </w:t>
      </w:r>
      <w:r>
        <w:rPr>
          <w:sz w:val="20"/>
        </w:rPr>
        <w:t>mantenimiento,</w:t>
      </w:r>
      <w:r>
        <w:rPr>
          <w:spacing w:val="-1"/>
          <w:sz w:val="20"/>
        </w:rPr>
        <w:t> </w:t>
      </w:r>
      <w:r>
        <w:rPr>
          <w:sz w:val="20"/>
        </w:rPr>
        <w:t>de</w:t>
      </w:r>
      <w:r>
        <w:rPr>
          <w:spacing w:val="-3"/>
          <w:sz w:val="20"/>
        </w:rPr>
        <w:t> </w:t>
      </w:r>
      <w:r>
        <w:rPr>
          <w:sz w:val="20"/>
        </w:rPr>
        <w:t>las</w:t>
      </w:r>
      <w:r>
        <w:rPr>
          <w:spacing w:val="-2"/>
          <w:sz w:val="20"/>
        </w:rPr>
        <w:t> </w:t>
      </w:r>
      <w:r>
        <w:rPr>
          <w:sz w:val="20"/>
        </w:rPr>
        <w:t>salas</w:t>
      </w:r>
      <w:r>
        <w:rPr>
          <w:spacing w:val="-2"/>
          <w:sz w:val="20"/>
        </w:rPr>
        <w:t> </w:t>
      </w:r>
      <w:r>
        <w:rPr>
          <w:sz w:val="20"/>
        </w:rPr>
        <w:t>de</w:t>
      </w:r>
      <w:r>
        <w:rPr>
          <w:spacing w:val="-1"/>
          <w:sz w:val="20"/>
        </w:rPr>
        <w:t> </w:t>
      </w:r>
      <w:r>
        <w:rPr>
          <w:sz w:val="20"/>
        </w:rPr>
        <w:t>urgencias</w:t>
      </w:r>
      <w:r>
        <w:rPr>
          <w:spacing w:val="-1"/>
          <w:sz w:val="20"/>
        </w:rPr>
        <w:t> </w:t>
      </w:r>
      <w:r>
        <w:rPr>
          <w:sz w:val="20"/>
        </w:rPr>
        <w:t>en</w:t>
      </w:r>
      <w:r>
        <w:rPr>
          <w:spacing w:val="-1"/>
          <w:sz w:val="20"/>
        </w:rPr>
        <w:t> </w:t>
      </w:r>
      <w:r>
        <w:rPr>
          <w:sz w:val="20"/>
        </w:rPr>
        <w:t>hospitales y</w:t>
      </w:r>
      <w:r>
        <w:rPr>
          <w:spacing w:val="-6"/>
          <w:sz w:val="20"/>
        </w:rPr>
        <w:t> </w:t>
      </w:r>
      <w:r>
        <w:rPr>
          <w:sz w:val="20"/>
        </w:rPr>
        <w:t>sanatorios,</w:t>
      </w:r>
      <w:r>
        <w:rPr>
          <w:spacing w:val="-1"/>
          <w:sz w:val="20"/>
        </w:rPr>
        <w:t> </w:t>
      </w:r>
      <w:r>
        <w:rPr>
          <w:sz w:val="20"/>
        </w:rPr>
        <w:t>así</w:t>
      </w:r>
      <w:r>
        <w:rPr>
          <w:spacing w:val="-3"/>
          <w:sz w:val="20"/>
        </w:rPr>
        <w:t> </w:t>
      </w:r>
      <w:r>
        <w:rPr>
          <w:sz w:val="20"/>
        </w:rPr>
        <w:t>como</w:t>
      </w:r>
      <w:r>
        <w:rPr>
          <w:spacing w:val="-3"/>
          <w:sz w:val="20"/>
        </w:rPr>
        <w:t> </w:t>
      </w:r>
      <w:r>
        <w:rPr>
          <w:sz w:val="20"/>
        </w:rPr>
        <w:t>médicos, paramédicos, enfermeras y dentistas.</w:t>
      </w:r>
    </w:p>
    <w:p>
      <w:pPr>
        <w:pStyle w:val="ListParagraph"/>
        <w:numPr>
          <w:ilvl w:val="2"/>
          <w:numId w:val="160"/>
        </w:numPr>
        <w:tabs>
          <w:tab w:pos="1045" w:val="left" w:leader="none"/>
          <w:tab w:pos="1058" w:val="left" w:leader="none"/>
        </w:tabs>
        <w:spacing w:line="240" w:lineRule="auto" w:before="227" w:after="0"/>
        <w:ind w:left="1058" w:right="340" w:hanging="432"/>
        <w:jc w:val="both"/>
        <w:rPr>
          <w:sz w:val="20"/>
        </w:rPr>
      </w:pPr>
      <w:r>
        <w:rPr>
          <w:sz w:val="20"/>
        </w:rPr>
        <w:t>Personas trabajadoras en materia de seguridad que se vean expuestos durante actos de</w:t>
      </w:r>
      <w:r>
        <w:rPr>
          <w:spacing w:val="40"/>
          <w:sz w:val="20"/>
        </w:rPr>
        <w:t> </w:t>
      </w:r>
      <w:r>
        <w:rPr>
          <w:sz w:val="20"/>
        </w:rPr>
        <w:t>violencia a sangre humana contaminada con VIH, custodios, agentes policías y personal de seguridad. Las personas trabajadoras que durante el desempeño de sus labores son víctimas de violación sexual.</w:t>
      </w:r>
    </w:p>
    <w:p>
      <w:pPr>
        <w:pStyle w:val="ListParagraph"/>
        <w:numPr>
          <w:ilvl w:val="2"/>
          <w:numId w:val="160"/>
        </w:numPr>
        <w:tabs>
          <w:tab w:pos="1045" w:val="left" w:leader="none"/>
          <w:tab w:pos="1058" w:val="left" w:leader="none"/>
        </w:tabs>
        <w:spacing w:line="240" w:lineRule="auto" w:before="229" w:after="0"/>
        <w:ind w:left="1058" w:right="336"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6" w:val="left" w:leader="none"/>
        </w:tabs>
        <w:spacing w:line="240" w:lineRule="auto" w:before="227" w:after="0"/>
        <w:ind w:left="338" w:right="346" w:firstLine="288"/>
        <w:jc w:val="left"/>
      </w:pPr>
      <w:r>
        <w:rPr/>
        <w:t>Erisipeloide.</w:t>
      </w:r>
      <w:r>
        <w:rPr>
          <w:spacing w:val="80"/>
        </w:rPr>
        <w:t> </w:t>
      </w:r>
      <w:r>
        <w:rPr/>
        <w:t>(enfermedad</w:t>
      </w:r>
      <w:r>
        <w:rPr>
          <w:spacing w:val="80"/>
        </w:rPr>
        <w:t> </w:t>
      </w:r>
      <w:r>
        <w:rPr/>
        <w:t>de</w:t>
      </w:r>
      <w:r>
        <w:rPr>
          <w:spacing w:val="80"/>
        </w:rPr>
        <w:t> </w:t>
      </w:r>
      <w:r>
        <w:rPr/>
        <w:t>los</w:t>
      </w:r>
      <w:r>
        <w:rPr>
          <w:spacing w:val="80"/>
        </w:rPr>
        <w:t> </w:t>
      </w:r>
      <w:r>
        <w:rPr/>
        <w:t>manipuladores</w:t>
      </w:r>
      <w:r>
        <w:rPr>
          <w:spacing w:val="80"/>
        </w:rPr>
        <w:t> </w:t>
      </w:r>
      <w:r>
        <w:rPr/>
        <w:t>de</w:t>
      </w:r>
      <w:r>
        <w:rPr>
          <w:spacing w:val="80"/>
        </w:rPr>
        <w:t> </w:t>
      </w:r>
      <w:r>
        <w:rPr/>
        <w:t>pescado,</w:t>
      </w:r>
      <w:r>
        <w:rPr>
          <w:spacing w:val="80"/>
        </w:rPr>
        <w:t> </w:t>
      </w:r>
      <w:r>
        <w:rPr/>
        <w:t>dedos</w:t>
      </w:r>
      <w:r>
        <w:rPr>
          <w:spacing w:val="80"/>
        </w:rPr>
        <w:t> </w:t>
      </w:r>
      <w:r>
        <w:rPr/>
        <w:t>de</w:t>
      </w:r>
      <w:r>
        <w:rPr>
          <w:spacing w:val="80"/>
        </w:rPr>
        <w:t> </w:t>
      </w:r>
      <w:r>
        <w:rPr/>
        <w:t>ballenero,</w:t>
      </w:r>
      <w:r>
        <w:rPr>
          <w:spacing w:val="40"/>
        </w:rPr>
        <w:t> </w:t>
      </w:r>
      <w:r>
        <w:rPr/>
        <w:t>erisipeloide de rosenbach)</w:t>
      </w:r>
    </w:p>
    <w:p>
      <w:pPr>
        <w:pStyle w:val="BodyText"/>
        <w:spacing w:before="3"/>
        <w:rPr>
          <w:rFonts w:ascii="Arial"/>
          <w:b/>
        </w:rPr>
      </w:pPr>
    </w:p>
    <w:p>
      <w:pPr>
        <w:pStyle w:val="BodyText"/>
        <w:spacing w:before="1"/>
        <w:ind w:left="626"/>
      </w:pPr>
      <w:r>
        <w:rPr/>
        <w:t>Código</w:t>
      </w:r>
      <w:r>
        <w:rPr>
          <w:spacing w:val="-10"/>
        </w:rPr>
        <w:t> </w:t>
      </w:r>
      <w:r>
        <w:rPr/>
        <w:t>CIE-11:</w:t>
      </w:r>
      <w:r>
        <w:rPr>
          <w:spacing w:val="-9"/>
        </w:rPr>
        <w:t> </w:t>
      </w:r>
      <w:r>
        <w:rPr>
          <w:spacing w:val="-4"/>
        </w:rPr>
        <w:t>1B96</w:t>
      </w:r>
    </w:p>
    <w:p>
      <w:pPr>
        <w:pStyle w:val="ListParagraph"/>
        <w:numPr>
          <w:ilvl w:val="2"/>
          <w:numId w:val="160"/>
        </w:numPr>
        <w:tabs>
          <w:tab w:pos="1045" w:val="left" w:leader="none"/>
          <w:tab w:pos="1058" w:val="left" w:leader="none"/>
        </w:tabs>
        <w:spacing w:line="240" w:lineRule="auto" w:before="229" w:after="0"/>
        <w:ind w:left="1058" w:right="333" w:hanging="432"/>
        <w:jc w:val="both"/>
        <w:rPr>
          <w:sz w:val="20"/>
        </w:rPr>
      </w:pPr>
      <w:r>
        <w:rPr>
          <w:sz w:val="20"/>
        </w:rPr>
        <w:t>Personas trabajadoras en la cría y explotación de ganado y otras clases de animales porcinos y ovejas: carniceros y personas que manipulan cerdos. Elaboración, preparación, conservación, envasado y empacado de carnes y sus derivados: personas trabajadoras de las plantas empacadoras de carne.</w:t>
      </w:r>
    </w:p>
    <w:p>
      <w:pPr>
        <w:pStyle w:val="ListParagraph"/>
        <w:numPr>
          <w:ilvl w:val="2"/>
          <w:numId w:val="160"/>
        </w:numPr>
        <w:tabs>
          <w:tab w:pos="1045" w:val="left" w:leader="none"/>
          <w:tab w:pos="1058" w:val="left" w:leader="none"/>
        </w:tabs>
        <w:spacing w:line="240" w:lineRule="auto" w:before="227" w:after="0"/>
        <w:ind w:left="1058" w:right="339" w:hanging="432"/>
        <w:jc w:val="both"/>
        <w:rPr>
          <w:sz w:val="20"/>
        </w:rPr>
      </w:pPr>
      <w:r>
        <w:rPr>
          <w:sz w:val="20"/>
        </w:rPr>
        <w:t>Personas trabajadoras en la elaboración, preparación, conservación, envasado, empacado de pescados, mariscos y</w:t>
      </w:r>
      <w:r>
        <w:rPr>
          <w:spacing w:val="-1"/>
          <w:sz w:val="20"/>
        </w:rPr>
        <w:t> </w:t>
      </w:r>
      <w:r>
        <w:rPr>
          <w:sz w:val="20"/>
        </w:rPr>
        <w:t>otros productos marinos: personas trabajadoras que manipulan mariscos</w:t>
      </w:r>
      <w:r>
        <w:rPr>
          <w:spacing w:val="-2"/>
          <w:sz w:val="20"/>
        </w:rPr>
        <w:t> </w:t>
      </w:r>
      <w:r>
        <w:rPr>
          <w:sz w:val="20"/>
        </w:rPr>
        <w:t>o peces y</w:t>
      </w:r>
      <w:r>
        <w:rPr>
          <w:spacing w:val="-3"/>
          <w:sz w:val="20"/>
        </w:rPr>
        <w:t> </w:t>
      </w:r>
      <w:r>
        <w:rPr>
          <w:sz w:val="20"/>
        </w:rPr>
        <w:t>sus productos, así como pescadores. Matanza de ganado y</w:t>
      </w:r>
      <w:r>
        <w:rPr>
          <w:spacing w:val="-3"/>
          <w:sz w:val="20"/>
        </w:rPr>
        <w:t> </w:t>
      </w:r>
      <w:r>
        <w:rPr>
          <w:sz w:val="20"/>
        </w:rPr>
        <w:t>aves: personas trabajadoras en contacto con animales o sus cadáveres, corrales, cuero y otros materiales, en mataderos y pelo de animales. Servicios veterinarios y auxiliares: personas enfermeras de veterinaria, patólogos y personas trabajadoras de rastros y veterinarios.</w:t>
      </w:r>
    </w:p>
    <w:p>
      <w:pPr>
        <w:pStyle w:val="BodyText"/>
      </w:pPr>
    </w:p>
    <w:p>
      <w:pPr>
        <w:pStyle w:val="ListParagraph"/>
        <w:numPr>
          <w:ilvl w:val="2"/>
          <w:numId w:val="160"/>
        </w:numPr>
        <w:tabs>
          <w:tab w:pos="1045" w:val="left" w:leader="none"/>
          <w:tab w:pos="1058" w:val="left" w:leader="none"/>
        </w:tabs>
        <w:spacing w:line="240" w:lineRule="auto" w:before="0" w:after="0"/>
        <w:ind w:left="1058" w:right="34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w:t>
      </w:r>
      <w:r>
        <w:rPr>
          <w:spacing w:val="36"/>
          <w:sz w:val="20"/>
        </w:rPr>
        <w:t> </w:t>
      </w:r>
      <w:r>
        <w:rPr>
          <w:sz w:val="20"/>
        </w:rPr>
        <w:t>de</w:t>
      </w:r>
      <w:r>
        <w:rPr>
          <w:spacing w:val="38"/>
          <w:sz w:val="20"/>
        </w:rPr>
        <w:t> </w:t>
      </w:r>
      <w:r>
        <w:rPr>
          <w:sz w:val="20"/>
        </w:rPr>
        <w:t>las</w:t>
      </w:r>
      <w:r>
        <w:rPr>
          <w:spacing w:val="37"/>
          <w:sz w:val="20"/>
        </w:rPr>
        <w:t> </w:t>
      </w:r>
      <w:r>
        <w:rPr>
          <w:sz w:val="20"/>
        </w:rPr>
        <w:t>Cédulas</w:t>
      </w:r>
      <w:r>
        <w:rPr>
          <w:spacing w:val="39"/>
          <w:sz w:val="20"/>
        </w:rPr>
        <w:t> </w:t>
      </w:r>
      <w:r>
        <w:rPr>
          <w:sz w:val="20"/>
        </w:rPr>
        <w:t>para</w:t>
      </w:r>
      <w:r>
        <w:rPr>
          <w:spacing w:val="36"/>
          <w:sz w:val="20"/>
        </w:rPr>
        <w:t> </w:t>
      </w:r>
      <w:r>
        <w:rPr>
          <w:sz w:val="20"/>
        </w:rPr>
        <w:t>la</w:t>
      </w:r>
      <w:r>
        <w:rPr>
          <w:spacing w:val="36"/>
          <w:sz w:val="20"/>
        </w:rPr>
        <w:t> </w:t>
      </w:r>
      <w:r>
        <w:rPr>
          <w:sz w:val="20"/>
        </w:rPr>
        <w:t>Valuación</w:t>
      </w:r>
      <w:r>
        <w:rPr>
          <w:spacing w:val="36"/>
          <w:sz w:val="20"/>
        </w:rPr>
        <w:t> </w:t>
      </w:r>
      <w:r>
        <w:rPr>
          <w:sz w:val="20"/>
        </w:rPr>
        <w:t>de</w:t>
      </w:r>
      <w:r>
        <w:rPr>
          <w:spacing w:val="36"/>
          <w:sz w:val="20"/>
        </w:rPr>
        <w:t> </w:t>
      </w:r>
      <w:r>
        <w:rPr>
          <w:sz w:val="20"/>
        </w:rPr>
        <w:t>las</w:t>
      </w:r>
      <w:r>
        <w:rPr>
          <w:spacing w:val="39"/>
          <w:sz w:val="20"/>
        </w:rPr>
        <w:t> </w:t>
      </w:r>
      <w:r>
        <w:rPr>
          <w:sz w:val="20"/>
        </w:rPr>
        <w:t>Enfermedades</w:t>
      </w:r>
      <w:r>
        <w:rPr>
          <w:spacing w:val="37"/>
          <w:sz w:val="20"/>
        </w:rPr>
        <w:t> </w:t>
      </w:r>
      <w:r>
        <w:rPr>
          <w:sz w:val="20"/>
        </w:rPr>
        <w:t>de</w:t>
      </w:r>
      <w:r>
        <w:rPr>
          <w:spacing w:val="35"/>
          <w:sz w:val="20"/>
        </w:rPr>
        <w:t> </w:t>
      </w:r>
      <w:r>
        <w:rPr>
          <w:sz w:val="20"/>
        </w:rPr>
        <w:t>Trabajo,</w:t>
      </w:r>
      <w:r>
        <w:rPr>
          <w:spacing w:val="38"/>
          <w:sz w:val="20"/>
        </w:rPr>
        <w:t> </w:t>
      </w:r>
      <w:r>
        <w:rPr>
          <w:sz w:val="20"/>
        </w:rPr>
        <w:t>que</w:t>
      </w:r>
      <w:r>
        <w:rPr>
          <w:spacing w:val="36"/>
          <w:sz w:val="20"/>
        </w:rPr>
        <w:t> </w:t>
      </w:r>
      <w:r>
        <w:rPr>
          <w:sz w:val="20"/>
        </w:rPr>
        <w:t>tengan</w:t>
      </w:r>
      <w:r>
        <w:rPr>
          <w:spacing w:val="35"/>
          <w:sz w:val="20"/>
        </w:rPr>
        <w:t> </w:t>
      </w:r>
      <w:r>
        <w:rPr>
          <w:sz w:val="20"/>
        </w:rPr>
        <w:t>su</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058"/>
      </w:pPr>
      <w:r>
        <w:rPr/>
        <w:t>origen</w:t>
      </w:r>
      <w:r>
        <w:rPr>
          <w:spacing w:val="32"/>
        </w:rPr>
        <w:t> </w:t>
      </w:r>
      <w:r>
        <w:rPr/>
        <w:t>o</w:t>
      </w:r>
      <w:r>
        <w:rPr>
          <w:spacing w:val="34"/>
        </w:rPr>
        <w:t> </w:t>
      </w:r>
      <w:r>
        <w:rPr/>
        <w:t>con</w:t>
      </w:r>
      <w:r>
        <w:rPr>
          <w:spacing w:val="34"/>
        </w:rPr>
        <w:t> </w:t>
      </w:r>
      <w:r>
        <w:rPr/>
        <w:t>motivo</w:t>
      </w:r>
      <w:r>
        <w:rPr>
          <w:spacing w:val="34"/>
        </w:rPr>
        <w:t> </w:t>
      </w:r>
      <w:r>
        <w:rPr/>
        <w:t>del</w:t>
      </w:r>
      <w:r>
        <w:rPr>
          <w:spacing w:val="31"/>
        </w:rPr>
        <w:t> </w:t>
      </w:r>
      <w:r>
        <w:rPr/>
        <w:t>trabajo</w:t>
      </w:r>
      <w:r>
        <w:rPr>
          <w:spacing w:val="34"/>
        </w:rPr>
        <w:t> </w:t>
      </w:r>
      <w:r>
        <w:rPr/>
        <w:t>o</w:t>
      </w:r>
      <w:r>
        <w:rPr>
          <w:spacing w:val="32"/>
        </w:rPr>
        <w:t> </w:t>
      </w:r>
      <w:r>
        <w:rPr/>
        <w:t>en</w:t>
      </w:r>
      <w:r>
        <w:rPr>
          <w:spacing w:val="34"/>
        </w:rPr>
        <w:t> </w:t>
      </w:r>
      <w:r>
        <w:rPr/>
        <w:t>el</w:t>
      </w:r>
      <w:r>
        <w:rPr>
          <w:spacing w:val="33"/>
        </w:rPr>
        <w:t> </w:t>
      </w:r>
      <w:r>
        <w:rPr/>
        <w:t>medio</w:t>
      </w:r>
      <w:r>
        <w:rPr>
          <w:spacing w:val="32"/>
        </w:rPr>
        <w:t> </w:t>
      </w:r>
      <w:r>
        <w:rPr/>
        <w:t>que</w:t>
      </w:r>
      <w:r>
        <w:rPr>
          <w:spacing w:val="34"/>
        </w:rPr>
        <w:t> </w:t>
      </w:r>
      <w:r>
        <w:rPr/>
        <w:t>la</w:t>
      </w:r>
      <w:r>
        <w:rPr>
          <w:spacing w:val="32"/>
        </w:rPr>
        <w:t> </w:t>
      </w:r>
      <w:r>
        <w:rPr/>
        <w:t>persona</w:t>
      </w:r>
      <w:r>
        <w:rPr>
          <w:spacing w:val="34"/>
        </w:rPr>
        <w:t> </w:t>
      </w:r>
      <w:r>
        <w:rPr/>
        <w:t>trabajadora</w:t>
      </w:r>
      <w:r>
        <w:rPr>
          <w:spacing w:val="32"/>
        </w:rPr>
        <w:t> </w:t>
      </w:r>
      <w:r>
        <w:rPr/>
        <w:t>se</w:t>
      </w:r>
      <w:r>
        <w:rPr>
          <w:spacing w:val="37"/>
        </w:rPr>
        <w:t> </w:t>
      </w:r>
      <w:r>
        <w:rPr/>
        <w:t>vea</w:t>
      </w:r>
      <w:r>
        <w:rPr>
          <w:spacing w:val="34"/>
        </w:rPr>
        <w:t> </w:t>
      </w:r>
      <w:r>
        <w:rPr/>
        <w:t>obligada</w:t>
      </w:r>
      <w:r>
        <w:rPr>
          <w:spacing w:val="34"/>
        </w:rPr>
        <w:t> </w:t>
      </w:r>
      <w:r>
        <w:rPr/>
        <w:t>a prestar sus servicios.</w:t>
      </w:r>
    </w:p>
    <w:p>
      <w:pPr>
        <w:pStyle w:val="Heading3"/>
        <w:numPr>
          <w:ilvl w:val="1"/>
          <w:numId w:val="160"/>
        </w:numPr>
        <w:tabs>
          <w:tab w:pos="958" w:val="left" w:leader="none"/>
        </w:tabs>
        <w:spacing w:line="240" w:lineRule="auto" w:before="229" w:after="0"/>
        <w:ind w:left="958" w:right="0" w:hanging="332"/>
        <w:jc w:val="left"/>
      </w:pPr>
      <w:r>
        <w:rPr/>
        <w:t>Sarna</w:t>
      </w:r>
      <w:r>
        <w:rPr>
          <w:spacing w:val="-8"/>
        </w:rPr>
        <w:t> </w:t>
      </w:r>
      <w:r>
        <w:rPr>
          <w:spacing w:val="-2"/>
        </w:rPr>
        <w:t>(escabiosis)</w:t>
      </w:r>
    </w:p>
    <w:p>
      <w:pPr>
        <w:pStyle w:val="BodyText"/>
        <w:spacing w:before="3"/>
        <w:rPr>
          <w:rFonts w:ascii="Arial"/>
          <w:b/>
        </w:rPr>
      </w:pPr>
    </w:p>
    <w:p>
      <w:pPr>
        <w:pStyle w:val="BodyText"/>
        <w:ind w:left="626"/>
      </w:pPr>
      <w:r>
        <w:rPr/>
        <w:t>Código</w:t>
      </w:r>
      <w:r>
        <w:rPr>
          <w:spacing w:val="-10"/>
        </w:rPr>
        <w:t> </w:t>
      </w:r>
      <w:r>
        <w:rPr/>
        <w:t>CIE-11:</w:t>
      </w:r>
      <w:r>
        <w:rPr>
          <w:spacing w:val="-9"/>
        </w:rPr>
        <w:t> </w:t>
      </w:r>
      <w:r>
        <w:rPr>
          <w:spacing w:val="-4"/>
        </w:rPr>
        <w:t>1G04</w:t>
      </w:r>
    </w:p>
    <w:p>
      <w:pPr>
        <w:pStyle w:val="ListParagraph"/>
        <w:numPr>
          <w:ilvl w:val="2"/>
          <w:numId w:val="160"/>
        </w:numPr>
        <w:tabs>
          <w:tab w:pos="1045" w:val="left" w:leader="none"/>
          <w:tab w:pos="1058" w:val="left" w:leader="none"/>
        </w:tabs>
        <w:spacing w:line="240" w:lineRule="auto" w:before="227" w:after="0"/>
        <w:ind w:left="1058" w:right="338" w:hanging="432"/>
        <w:jc w:val="both"/>
        <w:rPr>
          <w:sz w:val="20"/>
        </w:rPr>
      </w:pPr>
      <w:r>
        <w:rPr>
          <w:sz w:val="20"/>
        </w:rPr>
        <w:t>Personas trabajadoras de los servicios de alojamiento temporal: recamareras y personal de lavandería.</w:t>
      </w:r>
      <w:r>
        <w:rPr>
          <w:spacing w:val="-2"/>
          <w:sz w:val="20"/>
        </w:rPr>
        <w:t> </w:t>
      </w:r>
      <w:r>
        <w:rPr>
          <w:sz w:val="20"/>
        </w:rPr>
        <w:t>Servicios</w:t>
      </w:r>
      <w:r>
        <w:rPr>
          <w:spacing w:val="-1"/>
          <w:sz w:val="20"/>
        </w:rPr>
        <w:t> </w:t>
      </w:r>
      <w:r>
        <w:rPr>
          <w:sz w:val="20"/>
        </w:rPr>
        <w:t>de</w:t>
      </w:r>
      <w:r>
        <w:rPr>
          <w:spacing w:val="-2"/>
          <w:sz w:val="20"/>
        </w:rPr>
        <w:t> </w:t>
      </w:r>
      <w:r>
        <w:rPr>
          <w:sz w:val="20"/>
        </w:rPr>
        <w:t>peluquería y</w:t>
      </w:r>
      <w:r>
        <w:rPr>
          <w:spacing w:val="-5"/>
          <w:sz w:val="20"/>
        </w:rPr>
        <w:t> </w:t>
      </w:r>
      <w:r>
        <w:rPr>
          <w:sz w:val="20"/>
        </w:rPr>
        <w:t>salones</w:t>
      </w:r>
      <w:r>
        <w:rPr>
          <w:spacing w:val="-3"/>
          <w:sz w:val="20"/>
        </w:rPr>
        <w:t> </w:t>
      </w:r>
      <w:r>
        <w:rPr>
          <w:sz w:val="20"/>
        </w:rPr>
        <w:t>de</w:t>
      </w:r>
      <w:r>
        <w:rPr>
          <w:spacing w:val="-2"/>
          <w:sz w:val="20"/>
        </w:rPr>
        <w:t> </w:t>
      </w:r>
      <w:r>
        <w:rPr>
          <w:sz w:val="20"/>
        </w:rPr>
        <w:t>belleza:</w:t>
      </w:r>
      <w:r>
        <w:rPr>
          <w:spacing w:val="-2"/>
          <w:sz w:val="20"/>
        </w:rPr>
        <w:t> </w:t>
      </w:r>
      <w:r>
        <w:rPr>
          <w:sz w:val="20"/>
        </w:rPr>
        <w:t>peluqueros,</w:t>
      </w:r>
      <w:r>
        <w:rPr>
          <w:spacing w:val="-2"/>
          <w:sz w:val="20"/>
        </w:rPr>
        <w:t> </w:t>
      </w:r>
      <w:r>
        <w:rPr>
          <w:sz w:val="20"/>
        </w:rPr>
        <w:t>estilistas y</w:t>
      </w:r>
      <w:r>
        <w:rPr>
          <w:spacing w:val="-5"/>
          <w:sz w:val="20"/>
        </w:rPr>
        <w:t> </w:t>
      </w:r>
      <w:r>
        <w:rPr>
          <w:sz w:val="20"/>
        </w:rPr>
        <w:t>personal</w:t>
      </w:r>
      <w:r>
        <w:rPr>
          <w:spacing w:val="-3"/>
          <w:sz w:val="20"/>
        </w:rPr>
        <w:t> </w:t>
      </w:r>
      <w:r>
        <w:rPr>
          <w:sz w:val="20"/>
        </w:rPr>
        <w:t>de</w:t>
      </w:r>
      <w:r>
        <w:rPr>
          <w:spacing w:val="-5"/>
          <w:sz w:val="20"/>
        </w:rPr>
        <w:t> </w:t>
      </w:r>
      <w:r>
        <w:rPr>
          <w:sz w:val="20"/>
        </w:rPr>
        <w:t>spa. Servicios de enseñanza académica, capacitación, investigación científica y difusión cultural: puericultistas, maestros de todos los niveles educativos y técnicos en educación. Servicios médicos y de asistencia social: personal de limpieza en albergues, guarderías, sanatorios y personas trabajadoras de la salud. Servicios veterinarios: veterinarios, cuidadores, criadores y personal de estética. Soldados y personal penitenciario.</w:t>
      </w:r>
    </w:p>
    <w:p>
      <w:pPr>
        <w:pStyle w:val="BodyText"/>
        <w:spacing w:before="1"/>
      </w:pPr>
    </w:p>
    <w:p>
      <w:pPr>
        <w:pStyle w:val="ListParagraph"/>
        <w:numPr>
          <w:ilvl w:val="2"/>
          <w:numId w:val="160"/>
        </w:numPr>
        <w:tabs>
          <w:tab w:pos="1045" w:val="left" w:leader="none"/>
          <w:tab w:pos="1058" w:val="left" w:leader="none"/>
        </w:tabs>
        <w:spacing w:line="240" w:lineRule="auto" w:before="0" w:after="0"/>
        <w:ind w:left="1058" w:right="337"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6" w:after="0"/>
        <w:ind w:left="956" w:right="0" w:hanging="330"/>
        <w:jc w:val="left"/>
      </w:pPr>
      <w:r>
        <w:rPr/>
        <w:t>Borreliosis</w:t>
      </w:r>
      <w:r>
        <w:rPr>
          <w:spacing w:val="-7"/>
        </w:rPr>
        <w:t> </w:t>
      </w:r>
      <w:r>
        <w:rPr/>
        <w:t>de</w:t>
      </w:r>
      <w:r>
        <w:rPr>
          <w:spacing w:val="-8"/>
        </w:rPr>
        <w:t> </w:t>
      </w:r>
      <w:r>
        <w:rPr/>
        <w:t>lyme</w:t>
      </w:r>
      <w:r>
        <w:rPr>
          <w:spacing w:val="-8"/>
        </w:rPr>
        <w:t> </w:t>
      </w:r>
      <w:r>
        <w:rPr/>
        <w:t>(enfermedad</w:t>
      </w:r>
      <w:r>
        <w:rPr>
          <w:spacing w:val="-8"/>
        </w:rPr>
        <w:t> </w:t>
      </w:r>
      <w:r>
        <w:rPr/>
        <w:t>de</w:t>
      </w:r>
      <w:r>
        <w:rPr>
          <w:spacing w:val="-6"/>
        </w:rPr>
        <w:t> </w:t>
      </w:r>
      <w:r>
        <w:rPr/>
        <w:t>lyme,</w:t>
      </w:r>
      <w:r>
        <w:rPr>
          <w:spacing w:val="-8"/>
        </w:rPr>
        <w:t> </w:t>
      </w:r>
      <w:r>
        <w:rPr>
          <w:spacing w:val="-2"/>
        </w:rPr>
        <w:t>espiroquetosis)</w:t>
      </w:r>
    </w:p>
    <w:p>
      <w:pPr>
        <w:pStyle w:val="BodyText"/>
        <w:spacing w:before="3"/>
        <w:rPr>
          <w:rFonts w:ascii="Arial"/>
          <w:b/>
        </w:rPr>
      </w:pPr>
    </w:p>
    <w:p>
      <w:pPr>
        <w:pStyle w:val="BodyText"/>
        <w:spacing w:before="1"/>
        <w:ind w:left="626"/>
      </w:pPr>
      <w:r>
        <w:rPr/>
        <w:t>Código</w:t>
      </w:r>
      <w:r>
        <w:rPr>
          <w:spacing w:val="-10"/>
        </w:rPr>
        <w:t> </w:t>
      </w:r>
      <w:r>
        <w:rPr/>
        <w:t>CIE-11:</w:t>
      </w:r>
      <w:r>
        <w:rPr>
          <w:spacing w:val="-9"/>
        </w:rPr>
        <w:t> </w:t>
      </w:r>
      <w:r>
        <w:rPr>
          <w:spacing w:val="-4"/>
        </w:rPr>
        <w:t>1C1G</w:t>
      </w:r>
    </w:p>
    <w:p>
      <w:pPr>
        <w:pStyle w:val="ListParagraph"/>
        <w:numPr>
          <w:ilvl w:val="2"/>
          <w:numId w:val="160"/>
        </w:numPr>
        <w:tabs>
          <w:tab w:pos="1045" w:val="left" w:leader="none"/>
          <w:tab w:pos="1058" w:val="left" w:leader="none"/>
        </w:tabs>
        <w:spacing w:line="240" w:lineRule="auto" w:before="227" w:after="0"/>
        <w:ind w:left="1058" w:right="336" w:hanging="432"/>
        <w:jc w:val="both"/>
        <w:rPr>
          <w:sz w:val="20"/>
        </w:rPr>
      </w:pPr>
      <w:r>
        <w:rPr>
          <w:sz w:val="20"/>
        </w:rPr>
        <w:t>Personas trabajadoras en la agricultura: agricultores, agrimensura y jornaleros. Caza: cazadores de venados. Construcción de edificaciones: excepto obra pública. Construcciones de obras de infraestructura y edificaciones en obra pública: mantenimiento de parques o cuidado de flora y fauna. Construcciones de obras de infraestructura y edificaciones en obra pública: topógrafos. Cría y explotación de ganado y otras clases de animales: granjeros. Explotación de bosques madereros; extracción de productos forestales no maderables y servicios de explotación forestal: </w:t>
      </w:r>
      <w:r>
        <w:rPr>
          <w:spacing w:val="-2"/>
          <w:sz w:val="20"/>
        </w:rPr>
        <w:t>silvicultores.</w:t>
      </w:r>
    </w:p>
    <w:p>
      <w:pPr>
        <w:pStyle w:val="BodyText"/>
      </w:pPr>
    </w:p>
    <w:p>
      <w:pPr>
        <w:pStyle w:val="ListParagraph"/>
        <w:numPr>
          <w:ilvl w:val="2"/>
          <w:numId w:val="160"/>
        </w:numPr>
        <w:tabs>
          <w:tab w:pos="1045" w:val="left" w:leader="none"/>
          <w:tab w:pos="1058" w:val="left" w:leader="none"/>
        </w:tabs>
        <w:spacing w:line="240" w:lineRule="auto" w:before="0" w:after="0"/>
        <w:ind w:left="1058" w:right="341" w:hanging="432"/>
        <w:jc w:val="both"/>
        <w:rPr>
          <w:sz w:val="20"/>
        </w:rPr>
      </w:pPr>
      <w:r>
        <w:rPr>
          <w:sz w:val="20"/>
        </w:rPr>
        <w:t>Personas trabajadoras de los servicios de enseñanza académica, capacitación, investigación científica y difusión cultural: personas trabajadoras con exposición durante estudios ecológicos. Servicios veterinarios y</w:t>
      </w:r>
      <w:r>
        <w:rPr>
          <w:spacing w:val="-4"/>
          <w:sz w:val="20"/>
        </w:rPr>
        <w:t> </w:t>
      </w:r>
      <w:r>
        <w:rPr>
          <w:sz w:val="20"/>
        </w:rPr>
        <w:t>auxiliares: enfermeros</w:t>
      </w:r>
      <w:r>
        <w:rPr>
          <w:spacing w:val="-1"/>
          <w:sz w:val="20"/>
        </w:rPr>
        <w:t> </w:t>
      </w:r>
      <w:r>
        <w:rPr>
          <w:sz w:val="20"/>
        </w:rPr>
        <w:t>de</w:t>
      </w:r>
      <w:r>
        <w:rPr>
          <w:spacing w:val="-1"/>
          <w:sz w:val="20"/>
        </w:rPr>
        <w:t> </w:t>
      </w:r>
      <w:r>
        <w:rPr>
          <w:sz w:val="20"/>
        </w:rPr>
        <w:t>veterinaria,</w:t>
      </w:r>
      <w:r>
        <w:rPr>
          <w:spacing w:val="-1"/>
          <w:sz w:val="20"/>
        </w:rPr>
        <w:t> </w:t>
      </w:r>
      <w:r>
        <w:rPr>
          <w:sz w:val="20"/>
        </w:rPr>
        <w:t>patólogos y</w:t>
      </w:r>
      <w:r>
        <w:rPr>
          <w:spacing w:val="-4"/>
          <w:sz w:val="20"/>
        </w:rPr>
        <w:t> </w:t>
      </w:r>
      <w:r>
        <w:rPr>
          <w:sz w:val="20"/>
        </w:rPr>
        <w:t>veterinarios.</w:t>
      </w:r>
      <w:r>
        <w:rPr>
          <w:spacing w:val="-3"/>
          <w:sz w:val="20"/>
        </w:rPr>
        <w:t> </w:t>
      </w:r>
      <w:r>
        <w:rPr>
          <w:sz w:val="20"/>
        </w:rPr>
        <w:t>Transporte ferroviario y eléctrico: personas trabajadoras ferroviarios.</w:t>
      </w:r>
    </w:p>
    <w:p>
      <w:pPr>
        <w:pStyle w:val="ListParagraph"/>
        <w:numPr>
          <w:ilvl w:val="2"/>
          <w:numId w:val="160"/>
        </w:numPr>
        <w:tabs>
          <w:tab w:pos="1045" w:val="left" w:leader="none"/>
          <w:tab w:pos="1058" w:val="left" w:leader="none"/>
        </w:tabs>
        <w:spacing w:line="240" w:lineRule="auto" w:before="227" w:after="0"/>
        <w:ind w:left="1058" w:right="34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8" w:val="left" w:leader="none"/>
        </w:tabs>
        <w:spacing w:line="240" w:lineRule="auto" w:before="229" w:after="0"/>
        <w:ind w:left="958" w:right="0" w:hanging="332"/>
        <w:jc w:val="left"/>
      </w:pPr>
      <w:r>
        <w:rPr>
          <w:spacing w:val="-2"/>
        </w:rPr>
        <w:t>Esporotricosis</w:t>
      </w:r>
    </w:p>
    <w:p>
      <w:pPr>
        <w:pStyle w:val="BodyText"/>
        <w:spacing w:before="1"/>
        <w:rPr>
          <w:rFonts w:ascii="Arial"/>
          <w:b/>
        </w:rPr>
      </w:pPr>
    </w:p>
    <w:p>
      <w:pPr>
        <w:pStyle w:val="BodyText"/>
        <w:ind w:left="626"/>
      </w:pPr>
      <w:r>
        <w:rPr/>
        <w:t>Código</w:t>
      </w:r>
      <w:r>
        <w:rPr>
          <w:spacing w:val="-10"/>
        </w:rPr>
        <w:t> </w:t>
      </w:r>
      <w:r>
        <w:rPr/>
        <w:t>CIE-11:</w:t>
      </w:r>
      <w:r>
        <w:rPr>
          <w:spacing w:val="-9"/>
        </w:rPr>
        <w:t> </w:t>
      </w:r>
      <w:r>
        <w:rPr>
          <w:spacing w:val="-2"/>
        </w:rPr>
        <w:t>1F2J.Z</w:t>
      </w:r>
    </w:p>
    <w:p>
      <w:pPr>
        <w:pStyle w:val="ListParagraph"/>
        <w:numPr>
          <w:ilvl w:val="2"/>
          <w:numId w:val="160"/>
        </w:numPr>
        <w:tabs>
          <w:tab w:pos="1045" w:val="left" w:leader="none"/>
          <w:tab w:pos="1058" w:val="left" w:leader="none"/>
        </w:tabs>
        <w:spacing w:line="240" w:lineRule="auto" w:before="229" w:after="0"/>
        <w:ind w:left="1058" w:right="342" w:hanging="432"/>
        <w:jc w:val="both"/>
        <w:rPr>
          <w:sz w:val="20"/>
        </w:rPr>
      </w:pPr>
      <w:r>
        <w:rPr>
          <w:sz w:val="20"/>
        </w:rPr>
        <w:t>Personas trabajadoras como: agricultores, campesinos, carpinteros, empacadores de loza, empacadores de tierra y plantas, floricultores, forestales, jardineros, mineros, personas trabajadoras de zacate, de pieles y veterinarios.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6"/>
      </w:pPr>
    </w:p>
    <w:p>
      <w:pPr>
        <w:pStyle w:val="ListParagraph"/>
        <w:numPr>
          <w:ilvl w:val="2"/>
          <w:numId w:val="160"/>
        </w:numPr>
        <w:tabs>
          <w:tab w:pos="1045" w:val="left" w:leader="none"/>
          <w:tab w:pos="1058" w:val="left" w:leader="none"/>
        </w:tabs>
        <w:spacing w:line="240" w:lineRule="auto" w:before="0" w:after="0"/>
        <w:ind w:left="1058" w:right="340"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8" w:val="left" w:leader="none"/>
        </w:tabs>
        <w:spacing w:line="240" w:lineRule="auto" w:before="226" w:after="0"/>
        <w:ind w:left="958" w:right="0" w:hanging="332"/>
        <w:jc w:val="left"/>
      </w:pPr>
      <w:r>
        <w:rPr/>
        <w:t>Esquistosomiasis</w:t>
      </w:r>
      <w:r>
        <w:rPr>
          <w:spacing w:val="-10"/>
        </w:rPr>
        <w:t> </w:t>
      </w:r>
      <w:r>
        <w:rPr/>
        <w:t>(fiebre</w:t>
      </w:r>
      <w:r>
        <w:rPr>
          <w:spacing w:val="-10"/>
        </w:rPr>
        <w:t> </w:t>
      </w:r>
      <w:r>
        <w:rPr/>
        <w:t>de</w:t>
      </w:r>
      <w:r>
        <w:rPr>
          <w:spacing w:val="-7"/>
        </w:rPr>
        <w:t> </w:t>
      </w:r>
      <w:r>
        <w:rPr/>
        <w:t>katayama,</w:t>
      </w:r>
      <w:r>
        <w:rPr>
          <w:spacing w:val="-7"/>
        </w:rPr>
        <w:t> </w:t>
      </w:r>
      <w:r>
        <w:rPr/>
        <w:t>cercariosis</w:t>
      </w:r>
      <w:r>
        <w:rPr>
          <w:spacing w:val="-11"/>
        </w:rPr>
        <w:t> </w:t>
      </w:r>
      <w:r>
        <w:rPr/>
        <w:t>cutánea</w:t>
      </w:r>
      <w:r>
        <w:rPr>
          <w:spacing w:val="-8"/>
        </w:rPr>
        <w:t> </w:t>
      </w:r>
      <w:r>
        <w:rPr/>
        <w:t>y</w:t>
      </w:r>
      <w:r>
        <w:rPr>
          <w:spacing w:val="-10"/>
        </w:rPr>
        <w:t> </w:t>
      </w:r>
      <w:r>
        <w:rPr>
          <w:spacing w:val="-2"/>
        </w:rPr>
        <w:t>esquistosoma)</w:t>
      </w:r>
    </w:p>
    <w:p>
      <w:pPr>
        <w:pStyle w:val="BodyText"/>
        <w:spacing w:before="3"/>
        <w:rPr>
          <w:rFonts w:ascii="Arial"/>
          <w:b/>
        </w:rPr>
      </w:pPr>
    </w:p>
    <w:p>
      <w:pPr>
        <w:pStyle w:val="BodyText"/>
        <w:spacing w:before="1"/>
        <w:ind w:left="626"/>
      </w:pPr>
      <w:r>
        <w:rPr/>
        <w:t>Código</w:t>
      </w:r>
      <w:r>
        <w:rPr>
          <w:spacing w:val="-10"/>
        </w:rPr>
        <w:t> </w:t>
      </w:r>
      <w:r>
        <w:rPr/>
        <w:t>CIE-11:</w:t>
      </w:r>
      <w:r>
        <w:rPr>
          <w:spacing w:val="-9"/>
        </w:rPr>
        <w:t> </w:t>
      </w:r>
      <w:r>
        <w:rPr>
          <w:spacing w:val="-2"/>
        </w:rPr>
        <w:t>1F86.Z</w:t>
      </w:r>
    </w:p>
    <w:p>
      <w:pPr>
        <w:pStyle w:val="ListParagraph"/>
        <w:numPr>
          <w:ilvl w:val="2"/>
          <w:numId w:val="160"/>
        </w:numPr>
        <w:tabs>
          <w:tab w:pos="1045" w:val="left" w:leader="none"/>
          <w:tab w:pos="1058" w:val="left" w:leader="none"/>
        </w:tabs>
        <w:spacing w:line="240" w:lineRule="auto" w:before="227" w:after="0"/>
        <w:ind w:left="1058" w:right="344" w:hanging="432"/>
        <w:jc w:val="both"/>
        <w:rPr>
          <w:sz w:val="20"/>
        </w:rPr>
      </w:pPr>
      <w:r>
        <w:rPr>
          <w:sz w:val="20"/>
        </w:rPr>
        <w:t>Personas trabajadoras en contacto con aguas contaminadas, de la construcción de presas, diques, estanques o de canales de irrigación, salvavidas de lagos contaminados y personas trabajadoras agrícolas.</w:t>
      </w:r>
    </w:p>
    <w:p>
      <w:pPr>
        <w:pStyle w:val="ListParagraph"/>
        <w:numPr>
          <w:ilvl w:val="2"/>
          <w:numId w:val="160"/>
        </w:numPr>
        <w:tabs>
          <w:tab w:pos="1045" w:val="left" w:leader="none"/>
          <w:tab w:pos="1058" w:val="left" w:leader="none"/>
        </w:tabs>
        <w:spacing w:line="240" w:lineRule="auto" w:before="229" w:after="0"/>
        <w:ind w:left="1058" w:right="341"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8" w:after="0"/>
        <w:ind w:left="956" w:right="0" w:hanging="330"/>
        <w:jc w:val="left"/>
      </w:pPr>
      <w:r>
        <w:rPr/>
        <w:t>Fiebre</w:t>
      </w:r>
      <w:r>
        <w:rPr>
          <w:spacing w:val="-7"/>
        </w:rPr>
        <w:t> </w:t>
      </w:r>
      <w:r>
        <w:rPr/>
        <w:t>del</w:t>
      </w:r>
      <w:r>
        <w:rPr>
          <w:spacing w:val="-7"/>
        </w:rPr>
        <w:t> </w:t>
      </w:r>
      <w:r>
        <w:rPr/>
        <w:t>dengue</w:t>
      </w:r>
      <w:r>
        <w:rPr>
          <w:spacing w:val="-6"/>
        </w:rPr>
        <w:t> </w:t>
      </w:r>
      <w:r>
        <w:rPr/>
        <w:t>(dengue</w:t>
      </w:r>
      <w:r>
        <w:rPr>
          <w:spacing w:val="-7"/>
        </w:rPr>
        <w:t> </w:t>
      </w:r>
      <w:r>
        <w:rPr/>
        <w:t>clásico,</w:t>
      </w:r>
      <w:r>
        <w:rPr>
          <w:spacing w:val="-7"/>
        </w:rPr>
        <w:t> </w:t>
      </w:r>
      <w:r>
        <w:rPr/>
        <w:t>fiebre</w:t>
      </w:r>
      <w:r>
        <w:rPr>
          <w:spacing w:val="-5"/>
        </w:rPr>
        <w:t> </w:t>
      </w:r>
      <w:r>
        <w:rPr/>
        <w:t>rompe-huesos</w:t>
      </w:r>
      <w:r>
        <w:rPr>
          <w:spacing w:val="-5"/>
        </w:rPr>
        <w:t> </w:t>
      </w:r>
      <w:r>
        <w:rPr/>
        <w:t>y</w:t>
      </w:r>
      <w:r>
        <w:rPr>
          <w:spacing w:val="-6"/>
        </w:rPr>
        <w:t> </w:t>
      </w:r>
      <w:r>
        <w:rPr/>
        <w:t>fiebre</w:t>
      </w:r>
      <w:r>
        <w:rPr>
          <w:spacing w:val="-5"/>
        </w:rPr>
        <w:t> </w:t>
      </w:r>
      <w:r>
        <w:rPr/>
        <w:t>del</w:t>
      </w:r>
      <w:r>
        <w:rPr>
          <w:spacing w:val="-7"/>
        </w:rPr>
        <w:t> </w:t>
      </w:r>
      <w:r>
        <w:rPr/>
        <w:t>dengue</w:t>
      </w:r>
      <w:r>
        <w:rPr>
          <w:spacing w:val="-6"/>
        </w:rPr>
        <w:t> </w:t>
      </w:r>
      <w:r>
        <w:rPr>
          <w:spacing w:val="-2"/>
        </w:rPr>
        <w:t>hemorrágico)</w:t>
      </w:r>
    </w:p>
    <w:p>
      <w:pPr>
        <w:pStyle w:val="BodyText"/>
        <w:spacing w:before="1"/>
        <w:rPr>
          <w:rFonts w:ascii="Arial"/>
          <w:b/>
        </w:rPr>
      </w:pPr>
    </w:p>
    <w:p>
      <w:pPr>
        <w:pStyle w:val="BodyText"/>
        <w:ind w:left="626"/>
      </w:pPr>
      <w:r>
        <w:rPr/>
        <w:t>Código</w:t>
      </w:r>
      <w:r>
        <w:rPr>
          <w:spacing w:val="-10"/>
        </w:rPr>
        <w:t> </w:t>
      </w:r>
      <w:r>
        <w:rPr/>
        <w:t>CIE-11:</w:t>
      </w:r>
      <w:r>
        <w:rPr>
          <w:spacing w:val="-9"/>
        </w:rPr>
        <w:t> </w:t>
      </w:r>
      <w:r>
        <w:rPr>
          <w:spacing w:val="-4"/>
        </w:rPr>
        <w:t>1D2Z</w:t>
      </w:r>
    </w:p>
    <w:p>
      <w:pPr>
        <w:pStyle w:val="ListParagraph"/>
        <w:numPr>
          <w:ilvl w:val="2"/>
          <w:numId w:val="160"/>
        </w:numPr>
        <w:tabs>
          <w:tab w:pos="1045" w:val="left" w:leader="none"/>
          <w:tab w:pos="1058" w:val="left" w:leader="none"/>
        </w:tabs>
        <w:spacing w:line="240" w:lineRule="auto" w:before="229" w:after="0"/>
        <w:ind w:left="1058" w:right="339" w:hanging="432"/>
        <w:jc w:val="both"/>
        <w:rPr>
          <w:sz w:val="20"/>
        </w:rPr>
      </w:pPr>
      <w:r>
        <w:rPr>
          <w:sz w:val="20"/>
        </w:rPr>
        <w:t>Personas trabajadoras en la agricultura: agricultores, agropecuarios y jornaleros. Servicios con transporte de agencias de gestión aduanal, de mensajería y paquetería, de equipajes, viajes, turísticas y otras actividades relacionadas con los transportes en general: agentes turísticos y guías de</w:t>
      </w:r>
      <w:r>
        <w:rPr>
          <w:spacing w:val="-1"/>
          <w:sz w:val="20"/>
        </w:rPr>
        <w:t> </w:t>
      </w:r>
      <w:r>
        <w:rPr>
          <w:sz w:val="20"/>
        </w:rPr>
        <w:t>turismo. Servicios médicos, paramédicos y</w:t>
      </w:r>
      <w:r>
        <w:rPr>
          <w:spacing w:val="-1"/>
          <w:sz w:val="20"/>
        </w:rPr>
        <w:t> </w:t>
      </w:r>
      <w:r>
        <w:rPr>
          <w:sz w:val="20"/>
        </w:rPr>
        <w:t>auxiliares: enfermeras,</w:t>
      </w:r>
      <w:r>
        <w:rPr>
          <w:spacing w:val="-3"/>
          <w:sz w:val="20"/>
        </w:rPr>
        <w:t> </w:t>
      </w:r>
      <w:r>
        <w:rPr>
          <w:sz w:val="20"/>
        </w:rPr>
        <w:t>médicos, patólogos y personas trabajadoras de la salud.</w:t>
      </w:r>
    </w:p>
    <w:p>
      <w:pPr>
        <w:pStyle w:val="BodyText"/>
      </w:pPr>
    </w:p>
    <w:p>
      <w:pPr>
        <w:pStyle w:val="ListParagraph"/>
        <w:numPr>
          <w:ilvl w:val="2"/>
          <w:numId w:val="160"/>
        </w:numPr>
        <w:tabs>
          <w:tab w:pos="1045" w:val="left" w:leader="none"/>
          <w:tab w:pos="1058" w:val="left" w:leader="none"/>
        </w:tabs>
        <w:spacing w:line="240" w:lineRule="auto" w:before="0" w:after="0"/>
        <w:ind w:left="1058" w:right="339" w:hanging="432"/>
        <w:jc w:val="both"/>
        <w:rPr>
          <w:sz w:val="20"/>
        </w:rPr>
      </w:pPr>
      <w:r>
        <w:rPr>
          <w:sz w:val="20"/>
        </w:rPr>
        <w:t>Personas</w:t>
      </w:r>
      <w:r>
        <w:rPr>
          <w:spacing w:val="-3"/>
          <w:sz w:val="20"/>
        </w:rPr>
        <w:t> </w:t>
      </w:r>
      <w:r>
        <w:rPr>
          <w:sz w:val="20"/>
        </w:rPr>
        <w:t>trabajadoras</w:t>
      </w:r>
      <w:r>
        <w:rPr>
          <w:spacing w:val="-2"/>
          <w:sz w:val="20"/>
        </w:rPr>
        <w:t> </w:t>
      </w:r>
      <w:r>
        <w:rPr>
          <w:sz w:val="20"/>
        </w:rPr>
        <w:t>del</w:t>
      </w:r>
      <w:r>
        <w:rPr>
          <w:spacing w:val="-5"/>
          <w:sz w:val="20"/>
        </w:rPr>
        <w:t> </w:t>
      </w:r>
      <w:r>
        <w:rPr>
          <w:sz w:val="20"/>
        </w:rPr>
        <w:t>transporte</w:t>
      </w:r>
      <w:r>
        <w:rPr>
          <w:spacing w:val="-2"/>
          <w:sz w:val="20"/>
        </w:rPr>
        <w:t> </w:t>
      </w:r>
      <w:r>
        <w:rPr>
          <w:sz w:val="20"/>
        </w:rPr>
        <w:t>aéreo:</w:t>
      </w:r>
      <w:r>
        <w:rPr>
          <w:spacing w:val="-4"/>
          <w:sz w:val="20"/>
        </w:rPr>
        <w:t> </w:t>
      </w:r>
      <w:r>
        <w:rPr>
          <w:sz w:val="20"/>
        </w:rPr>
        <w:t>pilotos,</w:t>
      </w:r>
      <w:r>
        <w:rPr>
          <w:spacing w:val="-4"/>
          <w:sz w:val="20"/>
        </w:rPr>
        <w:t> </w:t>
      </w:r>
      <w:r>
        <w:rPr>
          <w:sz w:val="20"/>
        </w:rPr>
        <w:t>tripulantes</w:t>
      </w:r>
      <w:r>
        <w:rPr>
          <w:spacing w:val="-1"/>
          <w:sz w:val="20"/>
        </w:rPr>
        <w:t> </w:t>
      </w:r>
      <w:r>
        <w:rPr>
          <w:sz w:val="20"/>
        </w:rPr>
        <w:t>de</w:t>
      </w:r>
      <w:r>
        <w:rPr>
          <w:spacing w:val="-5"/>
          <w:sz w:val="20"/>
        </w:rPr>
        <w:t> </w:t>
      </w:r>
      <w:r>
        <w:rPr>
          <w:sz w:val="20"/>
        </w:rPr>
        <w:t>cabina</w:t>
      </w:r>
      <w:r>
        <w:rPr>
          <w:spacing w:val="-4"/>
          <w:sz w:val="20"/>
        </w:rPr>
        <w:t> </w:t>
      </w:r>
      <w:r>
        <w:rPr>
          <w:sz w:val="20"/>
        </w:rPr>
        <w:t>de</w:t>
      </w:r>
      <w:r>
        <w:rPr>
          <w:spacing w:val="-4"/>
          <w:sz w:val="20"/>
        </w:rPr>
        <w:t> </w:t>
      </w:r>
      <w:r>
        <w:rPr>
          <w:sz w:val="20"/>
        </w:rPr>
        <w:t>pasajeros</w:t>
      </w:r>
      <w:r>
        <w:rPr>
          <w:spacing w:val="-2"/>
          <w:sz w:val="20"/>
        </w:rPr>
        <w:t> </w:t>
      </w:r>
      <w:r>
        <w:rPr>
          <w:sz w:val="20"/>
        </w:rPr>
        <w:t>o</w:t>
      </w:r>
      <w:r>
        <w:rPr>
          <w:spacing w:val="-5"/>
          <w:sz w:val="20"/>
        </w:rPr>
        <w:t> </w:t>
      </w:r>
      <w:r>
        <w:rPr>
          <w:sz w:val="20"/>
        </w:rPr>
        <w:t>personal de nave que viajan a zonas endémicas. Transporte de pasajeros, así como transporte de carga: conductores de pasajeros y de transporte de carga que viajan a zonas endémicas. Transporte ferroviario y eléctrico: maquinistas de tren y personas trabajadoras de ferrocarril provenientes de zonas no endémicas comisionados para realizar labores en zonas endémicas. Marineros, militares y personas trabajadoras provenientes de zonas no endémicas comisionados para realizar labores en zonas endémicas.</w:t>
      </w:r>
    </w:p>
    <w:p>
      <w:pPr>
        <w:pStyle w:val="ListParagraph"/>
        <w:numPr>
          <w:ilvl w:val="2"/>
          <w:numId w:val="160"/>
        </w:numPr>
        <w:tabs>
          <w:tab w:pos="1045" w:val="left" w:leader="none"/>
          <w:tab w:pos="1058" w:val="left" w:leader="none"/>
        </w:tabs>
        <w:spacing w:line="240" w:lineRule="auto" w:before="228" w:after="0"/>
        <w:ind w:left="1058" w:right="33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7" w:after="0"/>
        <w:ind w:left="956" w:right="0" w:hanging="330"/>
        <w:jc w:val="left"/>
      </w:pPr>
      <w:r>
        <w:rPr/>
        <w:t>Hepatitis</w:t>
      </w:r>
      <w:r>
        <w:rPr>
          <w:spacing w:val="-9"/>
        </w:rPr>
        <w:t> </w:t>
      </w:r>
      <w:r>
        <w:rPr/>
        <w:t>aguda</w:t>
      </w:r>
      <w:r>
        <w:rPr>
          <w:spacing w:val="-6"/>
        </w:rPr>
        <w:t> </w:t>
      </w:r>
      <w:r>
        <w:rPr/>
        <w:t>tipo</w:t>
      </w:r>
      <w:r>
        <w:rPr>
          <w:spacing w:val="-4"/>
        </w:rPr>
        <w:t> </w:t>
      </w:r>
      <w:r>
        <w:rPr>
          <w:spacing w:val="-10"/>
        </w:rPr>
        <w:t>B</w:t>
      </w:r>
    </w:p>
    <w:p>
      <w:pPr>
        <w:pStyle w:val="BodyText"/>
        <w:spacing w:before="3"/>
        <w:rPr>
          <w:rFonts w:ascii="Arial"/>
          <w:b/>
        </w:rPr>
      </w:pPr>
    </w:p>
    <w:p>
      <w:pPr>
        <w:pStyle w:val="BodyText"/>
        <w:ind w:left="626"/>
      </w:pPr>
      <w:r>
        <w:rPr/>
        <w:t>Código</w:t>
      </w:r>
      <w:r>
        <w:rPr>
          <w:spacing w:val="-10"/>
        </w:rPr>
        <w:t> </w:t>
      </w:r>
      <w:r>
        <w:rPr/>
        <w:t>CIE-11:</w:t>
      </w:r>
      <w:r>
        <w:rPr>
          <w:spacing w:val="-9"/>
        </w:rPr>
        <w:t> </w:t>
      </w:r>
      <w:r>
        <w:rPr>
          <w:spacing w:val="-2"/>
        </w:rPr>
        <w:t>1E50.1</w:t>
      </w:r>
    </w:p>
    <w:p>
      <w:pPr>
        <w:pStyle w:val="ListParagraph"/>
        <w:numPr>
          <w:ilvl w:val="2"/>
          <w:numId w:val="160"/>
        </w:numPr>
        <w:tabs>
          <w:tab w:pos="1045" w:val="left" w:leader="none"/>
          <w:tab w:pos="1058" w:val="left" w:leader="none"/>
        </w:tabs>
        <w:spacing w:line="240" w:lineRule="auto" w:before="230" w:after="0"/>
        <w:ind w:left="1058" w:right="340" w:hanging="432"/>
        <w:jc w:val="both"/>
        <w:rPr>
          <w:sz w:val="20"/>
        </w:rPr>
      </w:pPr>
      <w:r>
        <w:rPr>
          <w:sz w:val="20"/>
        </w:rPr>
        <w:t>Personas trabajadoras de los servicios médicos, paramédicos y auxiliares: personal de ambulancias, laboratoristas en bancos de sangre, en contacto con sangre u objetos</w:t>
      </w:r>
      <w:r>
        <w:rPr>
          <w:spacing w:val="40"/>
          <w:sz w:val="20"/>
        </w:rPr>
        <w:t> </w:t>
      </w:r>
      <w:r>
        <w:rPr>
          <w:sz w:val="20"/>
        </w:rPr>
        <w:t>contaminados con sangre humana procedente de pacientes infectados con hepatitis B. Estomatólogos y</w:t>
      </w:r>
      <w:r>
        <w:rPr>
          <w:spacing w:val="-6"/>
          <w:sz w:val="20"/>
        </w:rPr>
        <w:t> </w:t>
      </w:r>
      <w:r>
        <w:rPr>
          <w:sz w:val="20"/>
        </w:rPr>
        <w:t>dentistas,</w:t>
      </w:r>
      <w:r>
        <w:rPr>
          <w:spacing w:val="-1"/>
          <w:sz w:val="20"/>
        </w:rPr>
        <w:t> </w:t>
      </w:r>
      <w:r>
        <w:rPr>
          <w:sz w:val="20"/>
        </w:rPr>
        <w:t>laboratoristas</w:t>
      </w:r>
      <w:r>
        <w:rPr>
          <w:spacing w:val="-4"/>
          <w:sz w:val="20"/>
        </w:rPr>
        <w:t> </w:t>
      </w:r>
      <w:r>
        <w:rPr>
          <w:sz w:val="20"/>
        </w:rPr>
        <w:t>de</w:t>
      </w:r>
      <w:r>
        <w:rPr>
          <w:spacing w:val="-3"/>
          <w:sz w:val="20"/>
        </w:rPr>
        <w:t> </w:t>
      </w:r>
      <w:r>
        <w:rPr>
          <w:sz w:val="20"/>
        </w:rPr>
        <w:t>análisis</w:t>
      </w:r>
      <w:r>
        <w:rPr>
          <w:spacing w:val="-1"/>
          <w:sz w:val="20"/>
        </w:rPr>
        <w:t> </w:t>
      </w:r>
      <w:r>
        <w:rPr>
          <w:sz w:val="20"/>
        </w:rPr>
        <w:t>clínicos,</w:t>
      </w:r>
      <w:r>
        <w:rPr>
          <w:spacing w:val="-3"/>
          <w:sz w:val="20"/>
        </w:rPr>
        <w:t> </w:t>
      </w:r>
      <w:r>
        <w:rPr>
          <w:sz w:val="20"/>
        </w:rPr>
        <w:t>personal</w:t>
      </w:r>
      <w:r>
        <w:rPr>
          <w:spacing w:val="-4"/>
          <w:sz w:val="20"/>
        </w:rPr>
        <w:t> </w:t>
      </w:r>
      <w:r>
        <w:rPr>
          <w:sz w:val="20"/>
        </w:rPr>
        <w:t>de</w:t>
      </w:r>
      <w:r>
        <w:rPr>
          <w:spacing w:val="-1"/>
          <w:sz w:val="20"/>
        </w:rPr>
        <w:t> </w:t>
      </w:r>
      <w:r>
        <w:rPr>
          <w:sz w:val="20"/>
        </w:rPr>
        <w:t>lavandería,</w:t>
      </w:r>
      <w:r>
        <w:rPr>
          <w:spacing w:val="-5"/>
          <w:sz w:val="20"/>
        </w:rPr>
        <w:t> </w:t>
      </w:r>
      <w:r>
        <w:rPr>
          <w:sz w:val="20"/>
        </w:rPr>
        <w:t>personal</w:t>
      </w:r>
      <w:r>
        <w:rPr>
          <w:spacing w:val="-4"/>
          <w:sz w:val="20"/>
        </w:rPr>
        <w:t> </w:t>
      </w:r>
      <w:r>
        <w:rPr>
          <w:sz w:val="20"/>
        </w:rPr>
        <w:t>de</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058"/>
      </w:pPr>
      <w:r>
        <w:rPr/>
        <w:t>limpieza, mantenimiento, de las salas de urgencias en hospitales y sanatorios, personal médico, paramédicos y personal de enfermería. Policías y personal de guardia y seguridad.</w:t>
      </w:r>
    </w:p>
    <w:p>
      <w:pPr>
        <w:pStyle w:val="BodyText"/>
      </w:pPr>
    </w:p>
    <w:p>
      <w:pPr>
        <w:pStyle w:val="ListParagraph"/>
        <w:numPr>
          <w:ilvl w:val="2"/>
          <w:numId w:val="160"/>
        </w:numPr>
        <w:tabs>
          <w:tab w:pos="1045" w:val="left" w:leader="none"/>
          <w:tab w:pos="1058" w:val="left" w:leader="none"/>
        </w:tabs>
        <w:spacing w:line="240" w:lineRule="auto" w:before="0" w:after="0"/>
        <w:ind w:left="1058" w:right="34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6" w:after="0"/>
        <w:ind w:left="956" w:right="0" w:hanging="330"/>
        <w:jc w:val="left"/>
      </w:pPr>
      <w:r>
        <w:rPr/>
        <w:t>Hepatitis</w:t>
      </w:r>
      <w:r>
        <w:rPr>
          <w:spacing w:val="-9"/>
        </w:rPr>
        <w:t> </w:t>
      </w:r>
      <w:r>
        <w:rPr/>
        <w:t>aguda</w:t>
      </w:r>
      <w:r>
        <w:rPr>
          <w:spacing w:val="-6"/>
        </w:rPr>
        <w:t> </w:t>
      </w:r>
      <w:r>
        <w:rPr/>
        <w:t>tipo</w:t>
      </w:r>
      <w:r>
        <w:rPr>
          <w:spacing w:val="-4"/>
        </w:rPr>
        <w:t> </w:t>
      </w:r>
      <w:r>
        <w:rPr>
          <w:spacing w:val="-10"/>
        </w:rPr>
        <w:t>C</w:t>
      </w:r>
    </w:p>
    <w:p>
      <w:pPr>
        <w:pStyle w:val="BodyText"/>
        <w:spacing w:before="3"/>
        <w:rPr>
          <w:rFonts w:ascii="Arial"/>
          <w:b/>
        </w:rPr>
      </w:pPr>
    </w:p>
    <w:p>
      <w:pPr>
        <w:pStyle w:val="BodyText"/>
        <w:ind w:left="626"/>
      </w:pPr>
      <w:r>
        <w:rPr/>
        <w:t>Código</w:t>
      </w:r>
      <w:r>
        <w:rPr>
          <w:spacing w:val="-10"/>
        </w:rPr>
        <w:t> </w:t>
      </w:r>
      <w:r>
        <w:rPr/>
        <w:t>CIE-11:</w:t>
      </w:r>
      <w:r>
        <w:rPr>
          <w:spacing w:val="-9"/>
        </w:rPr>
        <w:t> </w:t>
      </w:r>
      <w:r>
        <w:rPr>
          <w:spacing w:val="-2"/>
        </w:rPr>
        <w:t>1E50.2</w:t>
      </w:r>
    </w:p>
    <w:p>
      <w:pPr>
        <w:pStyle w:val="BodyText"/>
      </w:pPr>
    </w:p>
    <w:p>
      <w:pPr>
        <w:pStyle w:val="ListParagraph"/>
        <w:numPr>
          <w:ilvl w:val="2"/>
          <w:numId w:val="160"/>
        </w:numPr>
        <w:tabs>
          <w:tab w:pos="1045" w:val="left" w:leader="none"/>
          <w:tab w:pos="1058" w:val="left" w:leader="none"/>
        </w:tabs>
        <w:spacing w:line="240" w:lineRule="auto" w:before="0" w:after="0"/>
        <w:ind w:left="1058" w:right="336" w:hanging="432"/>
        <w:jc w:val="both"/>
        <w:rPr>
          <w:sz w:val="20"/>
        </w:rPr>
      </w:pPr>
      <w:r>
        <w:rPr>
          <w:sz w:val="20"/>
        </w:rPr>
        <w:t>Personas trabajadoras que laboran en los servicios médicos, paramédicos y auxiliares: personal de ambulancias, laboratoristas en bancos de sangre en contacto con sangre u objetos contaminados con sangre humana procedente de pacientes infectados con hepatitis C; estomatólogos y dentistas; laboratoristas de análisis clínicos. Personal de lavandería, limpieza, mantenimiento, de las salas de urgencias en hospitales y sanatorios, personal médico, paramédicos, personal de enfermería, policías, personal de guardia y seguridad.</w:t>
      </w:r>
    </w:p>
    <w:p>
      <w:pPr>
        <w:pStyle w:val="ListParagraph"/>
        <w:numPr>
          <w:ilvl w:val="2"/>
          <w:numId w:val="160"/>
        </w:numPr>
        <w:tabs>
          <w:tab w:pos="1045" w:val="left" w:leader="none"/>
          <w:tab w:pos="1058" w:val="left" w:leader="none"/>
        </w:tabs>
        <w:spacing w:line="240" w:lineRule="auto" w:before="228" w:after="0"/>
        <w:ind w:left="1058" w:right="337"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8" w:after="0"/>
        <w:ind w:left="956" w:right="0" w:hanging="330"/>
        <w:jc w:val="left"/>
      </w:pPr>
      <w:r>
        <w:rPr/>
        <w:t>Hepatitis</w:t>
      </w:r>
      <w:r>
        <w:rPr>
          <w:spacing w:val="-7"/>
        </w:rPr>
        <w:t> </w:t>
      </w:r>
      <w:r>
        <w:rPr/>
        <w:t>aguda</w:t>
      </w:r>
      <w:r>
        <w:rPr>
          <w:spacing w:val="-5"/>
        </w:rPr>
        <w:t> </w:t>
      </w:r>
      <w:r>
        <w:rPr/>
        <w:t>tipo</w:t>
      </w:r>
      <w:r>
        <w:rPr>
          <w:spacing w:val="-4"/>
        </w:rPr>
        <w:t> </w:t>
      </w:r>
      <w:r>
        <w:rPr/>
        <w:t>D</w:t>
      </w:r>
      <w:r>
        <w:rPr>
          <w:spacing w:val="-3"/>
        </w:rPr>
        <w:t> </w:t>
      </w:r>
      <w:r>
        <w:rPr/>
        <w:t>(hepatitis</w:t>
      </w:r>
      <w:r>
        <w:rPr>
          <w:spacing w:val="-6"/>
        </w:rPr>
        <w:t> </w:t>
      </w:r>
      <w:r>
        <w:rPr/>
        <w:t>viral</w:t>
      </w:r>
      <w:r>
        <w:rPr>
          <w:spacing w:val="-3"/>
        </w:rPr>
        <w:t> </w:t>
      </w:r>
      <w:r>
        <w:rPr/>
        <w:t>sin</w:t>
      </w:r>
      <w:r>
        <w:rPr>
          <w:spacing w:val="-5"/>
        </w:rPr>
        <w:t> </w:t>
      </w:r>
      <w:r>
        <w:rPr/>
        <w:t>otra</w:t>
      </w:r>
      <w:r>
        <w:rPr>
          <w:spacing w:val="-4"/>
        </w:rPr>
        <w:t> </w:t>
      </w:r>
      <w:r>
        <w:rPr>
          <w:spacing w:val="-2"/>
        </w:rPr>
        <w:t>especificación)</w:t>
      </w:r>
    </w:p>
    <w:p>
      <w:pPr>
        <w:pStyle w:val="BodyText"/>
        <w:spacing w:before="2"/>
        <w:rPr>
          <w:rFonts w:ascii="Arial"/>
          <w:b/>
        </w:rPr>
      </w:pPr>
    </w:p>
    <w:p>
      <w:pPr>
        <w:pStyle w:val="BodyText"/>
        <w:ind w:left="626"/>
      </w:pPr>
      <w:r>
        <w:rPr/>
        <w:t>Código</w:t>
      </w:r>
      <w:r>
        <w:rPr>
          <w:spacing w:val="-10"/>
        </w:rPr>
        <w:t> </w:t>
      </w:r>
      <w:r>
        <w:rPr/>
        <w:t>CIE-11:</w:t>
      </w:r>
      <w:r>
        <w:rPr>
          <w:spacing w:val="-9"/>
        </w:rPr>
        <w:t> </w:t>
      </w:r>
      <w:r>
        <w:rPr>
          <w:spacing w:val="-2"/>
        </w:rPr>
        <w:t>1E50.3</w:t>
      </w:r>
    </w:p>
    <w:p>
      <w:pPr>
        <w:pStyle w:val="ListParagraph"/>
        <w:numPr>
          <w:ilvl w:val="2"/>
          <w:numId w:val="160"/>
        </w:numPr>
        <w:tabs>
          <w:tab w:pos="1045" w:val="left" w:leader="none"/>
          <w:tab w:pos="1058" w:val="left" w:leader="none"/>
        </w:tabs>
        <w:spacing w:line="240" w:lineRule="auto" w:before="229" w:after="0"/>
        <w:ind w:left="1058" w:right="345" w:hanging="432"/>
        <w:jc w:val="both"/>
        <w:rPr>
          <w:sz w:val="20"/>
        </w:rPr>
      </w:pPr>
      <w:r>
        <w:rPr>
          <w:sz w:val="20"/>
        </w:rPr>
        <w:t>Personas trabajadoras que laboran en los servicios médicos, paramédicos y auxiliares: personal de ambulancias, laboratoristas en bancos de sangre, en contacto con sangre u objetos contaminados con sangre humana procedente de pacientes infectados con hepatitis D; estomatólogos y</w:t>
      </w:r>
      <w:r>
        <w:rPr>
          <w:spacing w:val="-6"/>
          <w:sz w:val="20"/>
        </w:rPr>
        <w:t> </w:t>
      </w:r>
      <w:r>
        <w:rPr>
          <w:sz w:val="20"/>
        </w:rPr>
        <w:t>dentistas;</w:t>
      </w:r>
      <w:r>
        <w:rPr>
          <w:spacing w:val="-3"/>
          <w:sz w:val="20"/>
        </w:rPr>
        <w:t> </w:t>
      </w:r>
      <w:r>
        <w:rPr>
          <w:sz w:val="20"/>
        </w:rPr>
        <w:t>laboratoristas</w:t>
      </w:r>
      <w:r>
        <w:rPr>
          <w:spacing w:val="-4"/>
          <w:sz w:val="20"/>
        </w:rPr>
        <w:t> </w:t>
      </w:r>
      <w:r>
        <w:rPr>
          <w:sz w:val="20"/>
        </w:rPr>
        <w:t>de</w:t>
      </w:r>
      <w:r>
        <w:rPr>
          <w:spacing w:val="-3"/>
          <w:sz w:val="20"/>
        </w:rPr>
        <w:t> </w:t>
      </w:r>
      <w:r>
        <w:rPr>
          <w:sz w:val="20"/>
        </w:rPr>
        <w:t>análisis</w:t>
      </w:r>
      <w:r>
        <w:rPr>
          <w:spacing w:val="-4"/>
          <w:sz w:val="20"/>
        </w:rPr>
        <w:t> </w:t>
      </w:r>
      <w:r>
        <w:rPr>
          <w:sz w:val="20"/>
        </w:rPr>
        <w:t>clínicos,</w:t>
      </w:r>
      <w:r>
        <w:rPr>
          <w:spacing w:val="-3"/>
          <w:sz w:val="20"/>
        </w:rPr>
        <w:t> </w:t>
      </w:r>
      <w:r>
        <w:rPr>
          <w:sz w:val="20"/>
        </w:rPr>
        <w:t>personal</w:t>
      </w:r>
      <w:r>
        <w:rPr>
          <w:spacing w:val="-4"/>
          <w:sz w:val="20"/>
        </w:rPr>
        <w:t> </w:t>
      </w:r>
      <w:r>
        <w:rPr>
          <w:sz w:val="20"/>
        </w:rPr>
        <w:t>de</w:t>
      </w:r>
      <w:r>
        <w:rPr>
          <w:spacing w:val="-3"/>
          <w:sz w:val="20"/>
        </w:rPr>
        <w:t> </w:t>
      </w:r>
      <w:r>
        <w:rPr>
          <w:sz w:val="20"/>
        </w:rPr>
        <w:t>lavandería,</w:t>
      </w:r>
      <w:r>
        <w:rPr>
          <w:spacing w:val="-5"/>
          <w:sz w:val="20"/>
        </w:rPr>
        <w:t> </w:t>
      </w:r>
      <w:r>
        <w:rPr>
          <w:sz w:val="20"/>
        </w:rPr>
        <w:t>de</w:t>
      </w:r>
      <w:r>
        <w:rPr>
          <w:spacing w:val="-3"/>
          <w:sz w:val="20"/>
        </w:rPr>
        <w:t> </w:t>
      </w:r>
      <w:r>
        <w:rPr>
          <w:sz w:val="20"/>
        </w:rPr>
        <w:t>limpieza, mantenimiento, de las salas de urgencias en hospitales y sanatorios, personal médico, paramédicos, personal de enfermería, policías, personal de guardia y de seguridad.</w:t>
      </w:r>
    </w:p>
    <w:p>
      <w:pPr>
        <w:pStyle w:val="BodyText"/>
      </w:pPr>
    </w:p>
    <w:p>
      <w:pPr>
        <w:pStyle w:val="ListParagraph"/>
        <w:numPr>
          <w:ilvl w:val="2"/>
          <w:numId w:val="160"/>
        </w:numPr>
        <w:tabs>
          <w:tab w:pos="1045" w:val="left" w:leader="none"/>
          <w:tab w:pos="1058" w:val="left" w:leader="none"/>
        </w:tabs>
        <w:spacing w:line="240" w:lineRule="auto" w:before="0" w:after="0"/>
        <w:ind w:left="1058" w:right="336"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7" w:after="0"/>
        <w:ind w:left="956" w:right="0" w:hanging="330"/>
        <w:jc w:val="left"/>
      </w:pPr>
      <w:r>
        <w:rPr/>
        <w:t>Hepatitis</w:t>
      </w:r>
      <w:r>
        <w:rPr>
          <w:spacing w:val="-9"/>
        </w:rPr>
        <w:t> </w:t>
      </w:r>
      <w:r>
        <w:rPr/>
        <w:t>aguda</w:t>
      </w:r>
      <w:r>
        <w:rPr>
          <w:spacing w:val="-6"/>
        </w:rPr>
        <w:t> </w:t>
      </w:r>
      <w:r>
        <w:rPr/>
        <w:t>tipo</w:t>
      </w:r>
      <w:r>
        <w:rPr>
          <w:spacing w:val="-4"/>
        </w:rPr>
        <w:t> </w:t>
      </w:r>
      <w:r>
        <w:rPr/>
        <w:t>E</w:t>
      </w:r>
      <w:r>
        <w:rPr>
          <w:spacing w:val="-4"/>
        </w:rPr>
        <w:t> </w:t>
      </w:r>
      <w:r>
        <w:rPr/>
        <w:t>(hepatitis</w:t>
      </w:r>
      <w:r>
        <w:rPr>
          <w:spacing w:val="-3"/>
        </w:rPr>
        <w:t> </w:t>
      </w:r>
      <w:r>
        <w:rPr/>
        <w:t>viral</w:t>
      </w:r>
      <w:r>
        <w:rPr>
          <w:spacing w:val="-4"/>
        </w:rPr>
        <w:t> </w:t>
      </w:r>
      <w:r>
        <w:rPr/>
        <w:t>sin</w:t>
      </w:r>
      <w:r>
        <w:rPr>
          <w:spacing w:val="-6"/>
        </w:rPr>
        <w:t> </w:t>
      </w:r>
      <w:r>
        <w:rPr/>
        <w:t>otra</w:t>
      </w:r>
      <w:r>
        <w:rPr>
          <w:spacing w:val="-3"/>
        </w:rPr>
        <w:t> </w:t>
      </w:r>
      <w:r>
        <w:rPr>
          <w:spacing w:val="-2"/>
        </w:rPr>
        <w:t>especificación)</w:t>
      </w:r>
    </w:p>
    <w:p>
      <w:pPr>
        <w:pStyle w:val="BodyText"/>
        <w:spacing w:before="3"/>
        <w:rPr>
          <w:rFonts w:ascii="Arial"/>
          <w:b/>
        </w:rPr>
      </w:pPr>
    </w:p>
    <w:p>
      <w:pPr>
        <w:pStyle w:val="BodyText"/>
        <w:ind w:left="626"/>
      </w:pPr>
      <w:r>
        <w:rPr/>
        <w:t>Código</w:t>
      </w:r>
      <w:r>
        <w:rPr>
          <w:spacing w:val="-10"/>
        </w:rPr>
        <w:t> </w:t>
      </w:r>
      <w:r>
        <w:rPr/>
        <w:t>CIE-11:</w:t>
      </w:r>
      <w:r>
        <w:rPr>
          <w:spacing w:val="-9"/>
        </w:rPr>
        <w:t> </w:t>
      </w:r>
      <w:r>
        <w:rPr>
          <w:spacing w:val="-2"/>
        </w:rPr>
        <w:t>1E50.4</w:t>
      </w:r>
    </w:p>
    <w:p>
      <w:pPr>
        <w:pStyle w:val="ListParagraph"/>
        <w:numPr>
          <w:ilvl w:val="2"/>
          <w:numId w:val="160"/>
        </w:numPr>
        <w:tabs>
          <w:tab w:pos="1045" w:val="left" w:leader="none"/>
          <w:tab w:pos="1058" w:val="left" w:leader="none"/>
        </w:tabs>
        <w:spacing w:line="240" w:lineRule="auto" w:before="227" w:after="0"/>
        <w:ind w:left="1058" w:right="338" w:hanging="432"/>
        <w:jc w:val="both"/>
        <w:rPr>
          <w:sz w:val="20"/>
        </w:rPr>
      </w:pPr>
      <w:r>
        <w:rPr>
          <w:sz w:val="20"/>
        </w:rPr>
        <w:t>Personas trabajadoras de los servicios médicos, paramédicos y auxiliares: personal de ambulancias, estomatólogos y dentistas. Laboratoristas de análisis clínicos, personal de lavandería, personal de limpieza, mantenimiento, de las salas de urgencias en hospitales y sanatorios, personal médico, paramédicos, personal de enfermería, policías y personal de</w:t>
      </w:r>
      <w:r>
        <w:rPr>
          <w:spacing w:val="40"/>
          <w:sz w:val="20"/>
        </w:rPr>
        <w:t> </w:t>
      </w:r>
      <w:r>
        <w:rPr>
          <w:sz w:val="20"/>
        </w:rPr>
        <w:t>guardia y de seguridad.</w:t>
      </w:r>
    </w:p>
    <w:p>
      <w:pPr>
        <w:pStyle w:val="ListParagraph"/>
        <w:spacing w:after="0" w:line="240" w:lineRule="auto"/>
        <w:jc w:val="both"/>
        <w:rPr>
          <w:sz w:val="20"/>
        </w:rPr>
        <w:sectPr>
          <w:pgSz w:w="12240" w:h="15840"/>
          <w:pgMar w:header="724" w:footer="712" w:top="1880" w:bottom="900" w:left="1080" w:right="1080"/>
        </w:sectPr>
      </w:pPr>
    </w:p>
    <w:p>
      <w:pPr>
        <w:pStyle w:val="BodyText"/>
      </w:pPr>
    </w:p>
    <w:p>
      <w:pPr>
        <w:pStyle w:val="BodyText"/>
        <w:spacing w:before="64"/>
      </w:pPr>
    </w:p>
    <w:p>
      <w:pPr>
        <w:pStyle w:val="ListParagraph"/>
        <w:numPr>
          <w:ilvl w:val="2"/>
          <w:numId w:val="160"/>
        </w:numPr>
        <w:tabs>
          <w:tab w:pos="1045" w:val="left" w:leader="none"/>
          <w:tab w:pos="1058" w:val="left" w:leader="none"/>
        </w:tabs>
        <w:spacing w:line="240" w:lineRule="auto" w:before="0" w:after="0"/>
        <w:ind w:left="1058" w:right="337"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9" w:after="0"/>
        <w:ind w:left="956" w:right="0" w:hanging="330"/>
        <w:jc w:val="left"/>
      </w:pPr>
      <w:r>
        <w:rPr>
          <w:spacing w:val="-2"/>
        </w:rPr>
        <w:t>Histoplasmosis</w:t>
      </w:r>
    </w:p>
    <w:p>
      <w:pPr>
        <w:pStyle w:val="BodyText"/>
        <w:rPr>
          <w:rFonts w:ascii="Arial"/>
          <w:b/>
        </w:rPr>
      </w:pPr>
    </w:p>
    <w:p>
      <w:pPr>
        <w:pStyle w:val="BodyText"/>
        <w:spacing w:before="1"/>
        <w:ind w:left="626"/>
      </w:pPr>
      <w:r>
        <w:rPr/>
        <w:t>Código</w:t>
      </w:r>
      <w:r>
        <w:rPr>
          <w:spacing w:val="-10"/>
        </w:rPr>
        <w:t> </w:t>
      </w:r>
      <w:r>
        <w:rPr/>
        <w:t>CIE-11:</w:t>
      </w:r>
      <w:r>
        <w:rPr>
          <w:spacing w:val="-9"/>
        </w:rPr>
        <w:t> </w:t>
      </w:r>
      <w:r>
        <w:rPr>
          <w:spacing w:val="-4"/>
        </w:rPr>
        <w:t>1F2A</w:t>
      </w:r>
    </w:p>
    <w:p>
      <w:pPr>
        <w:pStyle w:val="ListParagraph"/>
        <w:numPr>
          <w:ilvl w:val="2"/>
          <w:numId w:val="160"/>
        </w:numPr>
        <w:tabs>
          <w:tab w:pos="1045" w:val="left" w:leader="none"/>
          <w:tab w:pos="1058" w:val="left" w:leader="none"/>
        </w:tabs>
        <w:spacing w:line="240" w:lineRule="auto" w:before="229" w:after="0"/>
        <w:ind w:left="1058" w:right="337" w:hanging="432"/>
        <w:jc w:val="both"/>
        <w:rPr>
          <w:sz w:val="20"/>
        </w:rPr>
      </w:pPr>
      <w:r>
        <w:rPr>
          <w:sz w:val="20"/>
        </w:rPr>
        <w:t>Personas trabajadoras en actividades tales como: geólogos y ayudantes de exploración, excavadores, personas trabajadoras en la extracción y manejo de guano; instructores de actividades recreativas (cuevas, grutas, túneles, pozos), mineros y exploradores de cavernas (espeleólogos). Personas trabajadoras en la demolición de construcciones antiguas.</w:t>
      </w:r>
    </w:p>
    <w:p>
      <w:pPr>
        <w:pStyle w:val="ListParagraph"/>
        <w:numPr>
          <w:ilvl w:val="2"/>
          <w:numId w:val="160"/>
        </w:numPr>
        <w:tabs>
          <w:tab w:pos="1045" w:val="left" w:leader="none"/>
          <w:tab w:pos="1058" w:val="left" w:leader="none"/>
        </w:tabs>
        <w:spacing w:line="240" w:lineRule="auto" w:before="230" w:after="0"/>
        <w:ind w:left="1058" w:right="33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6" w:after="0"/>
        <w:ind w:left="956" w:right="0" w:hanging="330"/>
        <w:jc w:val="left"/>
      </w:pPr>
      <w:r>
        <w:rPr/>
        <w:t>Infecciones</w:t>
      </w:r>
      <w:r>
        <w:rPr>
          <w:spacing w:val="-12"/>
        </w:rPr>
        <w:t> </w:t>
      </w:r>
      <w:r>
        <w:rPr/>
        <w:t>herpéticas</w:t>
      </w:r>
      <w:r>
        <w:rPr>
          <w:spacing w:val="-12"/>
        </w:rPr>
        <w:t> </w:t>
      </w:r>
      <w:r>
        <w:rPr/>
        <w:t>(herpes</w:t>
      </w:r>
      <w:r>
        <w:rPr>
          <w:spacing w:val="-12"/>
        </w:rPr>
        <w:t> </w:t>
      </w:r>
      <w:r>
        <w:rPr>
          <w:spacing w:val="-2"/>
        </w:rPr>
        <w:t>simple)</w:t>
      </w:r>
    </w:p>
    <w:p>
      <w:pPr>
        <w:pStyle w:val="BodyText"/>
        <w:spacing w:before="3"/>
        <w:rPr>
          <w:rFonts w:ascii="Arial"/>
          <w:b/>
        </w:rPr>
      </w:pPr>
    </w:p>
    <w:p>
      <w:pPr>
        <w:pStyle w:val="BodyText"/>
        <w:ind w:left="626"/>
      </w:pPr>
      <w:r>
        <w:rPr/>
        <w:t>Código</w:t>
      </w:r>
      <w:r>
        <w:rPr>
          <w:spacing w:val="-10"/>
        </w:rPr>
        <w:t> </w:t>
      </w:r>
      <w:r>
        <w:rPr/>
        <w:t>CIE-11:</w:t>
      </w:r>
      <w:r>
        <w:rPr>
          <w:spacing w:val="-9"/>
        </w:rPr>
        <w:t> </w:t>
      </w:r>
      <w:r>
        <w:rPr>
          <w:spacing w:val="-4"/>
        </w:rPr>
        <w:t>1F00</w:t>
      </w:r>
    </w:p>
    <w:p>
      <w:pPr>
        <w:pStyle w:val="ListParagraph"/>
        <w:numPr>
          <w:ilvl w:val="2"/>
          <w:numId w:val="160"/>
        </w:numPr>
        <w:tabs>
          <w:tab w:pos="1045" w:val="left" w:leader="none"/>
          <w:tab w:pos="1058" w:val="left" w:leader="none"/>
        </w:tabs>
        <w:spacing w:line="240" w:lineRule="auto" w:before="229" w:after="0"/>
        <w:ind w:left="1058" w:right="341" w:hanging="432"/>
        <w:jc w:val="both"/>
        <w:rPr>
          <w:sz w:val="20"/>
        </w:rPr>
      </w:pPr>
      <w:r>
        <w:rPr>
          <w:sz w:val="20"/>
        </w:rPr>
        <w:t>Personas trabajadoras de los servicios médicos, paramédicos y auxiliares: personal de ambulancias, estomatólogos y dentistas; laboratoristas de análisis clínicos, personal de lavandería, personal de limpieza, mantenimiento, de las salas de urgencias en hospitales y sanatorios, personal médico, paramédicos, personal de enfermería; personas trabajadoras de los servicios de alojamiento temporal, personal de limpieza, mantenimiento en hoteles, residencias y </w:t>
      </w:r>
      <w:r>
        <w:rPr>
          <w:spacing w:val="-2"/>
          <w:sz w:val="20"/>
        </w:rPr>
        <w:t>moteles.</w:t>
      </w:r>
    </w:p>
    <w:p>
      <w:pPr>
        <w:pStyle w:val="ListParagraph"/>
        <w:numPr>
          <w:ilvl w:val="2"/>
          <w:numId w:val="160"/>
        </w:numPr>
        <w:tabs>
          <w:tab w:pos="1045" w:val="left" w:leader="none"/>
          <w:tab w:pos="1058" w:val="left" w:leader="none"/>
        </w:tabs>
        <w:spacing w:line="240" w:lineRule="auto" w:before="228" w:after="0"/>
        <w:ind w:left="1058" w:right="33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9" w:after="0"/>
        <w:ind w:left="956" w:right="0" w:hanging="330"/>
        <w:jc w:val="left"/>
      </w:pPr>
      <w:r>
        <w:rPr/>
        <w:t>Influenza</w:t>
      </w:r>
      <w:r>
        <w:rPr>
          <w:spacing w:val="-4"/>
        </w:rPr>
        <w:t> </w:t>
      </w:r>
      <w:r>
        <w:rPr/>
        <w:t>aviar</w:t>
      </w:r>
      <w:r>
        <w:rPr>
          <w:spacing w:val="-6"/>
        </w:rPr>
        <w:t> </w:t>
      </w:r>
      <w:r>
        <w:rPr/>
        <w:t>o</w:t>
      </w:r>
      <w:r>
        <w:rPr>
          <w:spacing w:val="-6"/>
        </w:rPr>
        <w:t> </w:t>
      </w:r>
      <w:r>
        <w:rPr/>
        <w:t>gripe</w:t>
      </w:r>
      <w:r>
        <w:rPr>
          <w:spacing w:val="-1"/>
        </w:rPr>
        <w:t> </w:t>
      </w:r>
      <w:r>
        <w:rPr/>
        <w:t>aviar</w:t>
      </w:r>
      <w:r>
        <w:rPr>
          <w:spacing w:val="-6"/>
        </w:rPr>
        <w:t> </w:t>
      </w:r>
      <w:r>
        <w:rPr/>
        <w:t>o</w:t>
      </w:r>
      <w:r>
        <w:rPr>
          <w:spacing w:val="-5"/>
        </w:rPr>
        <w:t> </w:t>
      </w:r>
      <w:r>
        <w:rPr/>
        <w:t>infección</w:t>
      </w:r>
      <w:r>
        <w:rPr>
          <w:spacing w:val="-5"/>
        </w:rPr>
        <w:t> </w:t>
      </w:r>
      <w:r>
        <w:rPr/>
        <w:t>por</w:t>
      </w:r>
      <w:r>
        <w:rPr>
          <w:spacing w:val="-5"/>
        </w:rPr>
        <w:t> </w:t>
      </w:r>
      <w:r>
        <w:rPr/>
        <w:t>virus</w:t>
      </w:r>
      <w:r>
        <w:rPr>
          <w:spacing w:val="-2"/>
        </w:rPr>
        <w:t> </w:t>
      </w:r>
      <w:r>
        <w:rPr/>
        <w:t>A</w:t>
      </w:r>
      <w:r>
        <w:rPr>
          <w:spacing w:val="-9"/>
        </w:rPr>
        <w:t> </w:t>
      </w:r>
      <w:r>
        <w:rPr>
          <w:spacing w:val="-4"/>
        </w:rPr>
        <w:t>H5N1</w:t>
      </w:r>
    </w:p>
    <w:p>
      <w:pPr>
        <w:pStyle w:val="BodyText"/>
        <w:rPr>
          <w:rFonts w:ascii="Arial"/>
          <w:b/>
        </w:rPr>
      </w:pPr>
    </w:p>
    <w:p>
      <w:pPr>
        <w:pStyle w:val="BodyText"/>
        <w:spacing w:before="1"/>
        <w:ind w:left="626"/>
      </w:pPr>
      <w:r>
        <w:rPr/>
        <w:t>Código</w:t>
      </w:r>
      <w:r>
        <w:rPr>
          <w:spacing w:val="-10"/>
        </w:rPr>
        <w:t> </w:t>
      </w:r>
      <w:r>
        <w:rPr/>
        <w:t>CIE-11:</w:t>
      </w:r>
      <w:r>
        <w:rPr>
          <w:spacing w:val="-9"/>
        </w:rPr>
        <w:t> </w:t>
      </w:r>
      <w:r>
        <w:rPr>
          <w:spacing w:val="-4"/>
        </w:rPr>
        <w:t>1E31</w:t>
      </w:r>
    </w:p>
    <w:p>
      <w:pPr>
        <w:pStyle w:val="ListParagraph"/>
        <w:numPr>
          <w:ilvl w:val="2"/>
          <w:numId w:val="160"/>
        </w:numPr>
        <w:tabs>
          <w:tab w:pos="1045" w:val="left" w:leader="none"/>
          <w:tab w:pos="1058" w:val="left" w:leader="none"/>
        </w:tabs>
        <w:spacing w:line="240" w:lineRule="auto" w:before="230" w:after="0"/>
        <w:ind w:left="1058" w:right="345" w:hanging="432"/>
        <w:jc w:val="both"/>
        <w:rPr>
          <w:sz w:val="20"/>
        </w:rPr>
      </w:pPr>
      <w:r>
        <w:rPr>
          <w:sz w:val="20"/>
        </w:rPr>
        <w:t>Debido a la naturaleza de contagio respiratorio del agente causante, el riesgo de las personas trabajadoras por</w:t>
      </w:r>
      <w:r>
        <w:rPr>
          <w:spacing w:val="-1"/>
          <w:sz w:val="20"/>
        </w:rPr>
        <w:t> </w:t>
      </w:r>
      <w:r>
        <w:rPr>
          <w:sz w:val="20"/>
        </w:rPr>
        <w:t>la</w:t>
      </w:r>
      <w:r>
        <w:rPr>
          <w:spacing w:val="-2"/>
          <w:sz w:val="20"/>
        </w:rPr>
        <w:t> </w:t>
      </w:r>
      <w:r>
        <w:rPr>
          <w:sz w:val="20"/>
        </w:rPr>
        <w:t>exposición</w:t>
      </w:r>
      <w:r>
        <w:rPr>
          <w:spacing w:val="-3"/>
          <w:sz w:val="20"/>
        </w:rPr>
        <w:t> </w:t>
      </w:r>
      <w:r>
        <w:rPr>
          <w:sz w:val="20"/>
        </w:rPr>
        <w:t>al</w:t>
      </w:r>
      <w:r>
        <w:rPr>
          <w:spacing w:val="-3"/>
          <w:sz w:val="20"/>
        </w:rPr>
        <w:t> </w:t>
      </w:r>
      <w:r>
        <w:rPr>
          <w:sz w:val="20"/>
        </w:rPr>
        <w:t>mismo</w:t>
      </w:r>
      <w:r>
        <w:rPr>
          <w:spacing w:val="-2"/>
          <w:sz w:val="20"/>
        </w:rPr>
        <w:t> </w:t>
      </w:r>
      <w:r>
        <w:rPr>
          <w:sz w:val="20"/>
        </w:rPr>
        <w:t>es</w:t>
      </w:r>
      <w:r>
        <w:rPr>
          <w:spacing w:val="-3"/>
          <w:sz w:val="20"/>
        </w:rPr>
        <w:t> </w:t>
      </w:r>
      <w:r>
        <w:rPr>
          <w:sz w:val="20"/>
        </w:rPr>
        <w:t>mayor</w:t>
      </w:r>
      <w:r>
        <w:rPr>
          <w:spacing w:val="-1"/>
          <w:sz w:val="20"/>
        </w:rPr>
        <w:t> </w:t>
      </w:r>
      <w:r>
        <w:rPr>
          <w:sz w:val="20"/>
        </w:rPr>
        <w:t>que el</w:t>
      </w:r>
      <w:r>
        <w:rPr>
          <w:spacing w:val="-3"/>
          <w:sz w:val="20"/>
        </w:rPr>
        <w:t> </w:t>
      </w:r>
      <w:r>
        <w:rPr>
          <w:sz w:val="20"/>
        </w:rPr>
        <w:t>de la</w:t>
      </w:r>
      <w:r>
        <w:rPr>
          <w:spacing w:val="-2"/>
          <w:sz w:val="20"/>
        </w:rPr>
        <w:t> </w:t>
      </w:r>
      <w:r>
        <w:rPr>
          <w:sz w:val="20"/>
        </w:rPr>
        <w:t>población</w:t>
      </w:r>
      <w:r>
        <w:rPr>
          <w:spacing w:val="-3"/>
          <w:sz w:val="20"/>
        </w:rPr>
        <w:t> </w:t>
      </w:r>
      <w:r>
        <w:rPr>
          <w:sz w:val="20"/>
        </w:rPr>
        <w:t>en</w:t>
      </w:r>
      <w:r>
        <w:rPr>
          <w:spacing w:val="-2"/>
          <w:sz w:val="20"/>
        </w:rPr>
        <w:t> </w:t>
      </w:r>
      <w:r>
        <w:rPr>
          <w:sz w:val="20"/>
        </w:rPr>
        <w:t>general, y</w:t>
      </w:r>
      <w:r>
        <w:rPr>
          <w:spacing w:val="-5"/>
          <w:sz w:val="20"/>
        </w:rPr>
        <w:t> </w:t>
      </w:r>
      <w:r>
        <w:rPr>
          <w:sz w:val="20"/>
        </w:rPr>
        <w:t>éste</w:t>
      </w:r>
      <w:r>
        <w:rPr>
          <w:spacing w:val="-2"/>
          <w:sz w:val="20"/>
        </w:rPr>
        <w:t> </w:t>
      </w:r>
      <w:r>
        <w:rPr>
          <w:sz w:val="20"/>
        </w:rPr>
        <w:t>puede ser: muy alto, alto, medio o bajo. El nivel de riesgo dependerá del contacto repetido o extendido con fuentes posibles de contagio por ejercicio o motivo del trabajo o en el medio que la persona trabajadora se vea obligada a prestar sus servicios.</w:t>
      </w:r>
    </w:p>
    <w:p>
      <w:pPr>
        <w:pStyle w:val="BodyText"/>
      </w:pPr>
    </w:p>
    <w:p>
      <w:pPr>
        <w:pStyle w:val="BodyText"/>
        <w:ind w:left="626"/>
      </w:pPr>
      <w:r>
        <w:rPr/>
        <w:t>Los</w:t>
      </w:r>
      <w:r>
        <w:rPr>
          <w:spacing w:val="-6"/>
        </w:rPr>
        <w:t> </w:t>
      </w:r>
      <w:r>
        <w:rPr/>
        <w:t>trabajos</w:t>
      </w:r>
      <w:r>
        <w:rPr>
          <w:spacing w:val="-3"/>
        </w:rPr>
        <w:t> </w:t>
      </w:r>
      <w:r>
        <w:rPr/>
        <w:t>de</w:t>
      </w:r>
      <w:r>
        <w:rPr>
          <w:spacing w:val="-8"/>
        </w:rPr>
        <w:t> </w:t>
      </w:r>
      <w:r>
        <w:rPr/>
        <w:t>acuerdo</w:t>
      </w:r>
      <w:r>
        <w:rPr>
          <w:spacing w:val="-7"/>
        </w:rPr>
        <w:t> </w:t>
      </w:r>
      <w:r>
        <w:rPr/>
        <w:t>con</w:t>
      </w:r>
      <w:r>
        <w:rPr>
          <w:spacing w:val="-6"/>
        </w:rPr>
        <w:t> </w:t>
      </w:r>
      <w:r>
        <w:rPr/>
        <w:t>su</w:t>
      </w:r>
      <w:r>
        <w:rPr>
          <w:spacing w:val="-7"/>
        </w:rPr>
        <w:t> </w:t>
      </w:r>
      <w:r>
        <w:rPr/>
        <w:t>nivel</w:t>
      </w:r>
      <w:r>
        <w:rPr>
          <w:spacing w:val="-6"/>
        </w:rPr>
        <w:t> </w:t>
      </w:r>
      <w:r>
        <w:rPr/>
        <w:t>de</w:t>
      </w:r>
      <w:r>
        <w:rPr>
          <w:spacing w:val="-8"/>
        </w:rPr>
        <w:t> </w:t>
      </w:r>
      <w:r>
        <w:rPr/>
        <w:t>riesgo</w:t>
      </w:r>
      <w:r>
        <w:rPr>
          <w:spacing w:val="-5"/>
        </w:rPr>
        <w:t> </w:t>
      </w:r>
      <w:r>
        <w:rPr/>
        <w:t>de</w:t>
      </w:r>
      <w:r>
        <w:rPr>
          <w:spacing w:val="-8"/>
        </w:rPr>
        <w:t> </w:t>
      </w:r>
      <w:r>
        <w:rPr/>
        <w:t>exposición</w:t>
      </w:r>
      <w:r>
        <w:rPr>
          <w:spacing w:val="-5"/>
        </w:rPr>
        <w:t> </w:t>
      </w:r>
      <w:r>
        <w:rPr/>
        <w:t>al</w:t>
      </w:r>
      <w:r>
        <w:rPr>
          <w:spacing w:val="-6"/>
        </w:rPr>
        <w:t> </w:t>
      </w:r>
      <w:r>
        <w:rPr/>
        <w:t>agente</w:t>
      </w:r>
      <w:r>
        <w:rPr>
          <w:spacing w:val="-5"/>
        </w:rPr>
        <w:t> </w:t>
      </w:r>
      <w:r>
        <w:rPr>
          <w:spacing w:val="-4"/>
        </w:rPr>
        <w:t>son:</w:t>
      </w:r>
    </w:p>
    <w:p>
      <w:pPr>
        <w:pStyle w:val="Heading3"/>
        <w:numPr>
          <w:ilvl w:val="0"/>
          <w:numId w:val="162"/>
        </w:numPr>
        <w:tabs>
          <w:tab w:pos="857" w:val="left" w:leader="none"/>
        </w:tabs>
        <w:spacing w:line="240" w:lineRule="auto" w:before="226" w:after="0"/>
        <w:ind w:left="857" w:right="0" w:hanging="231"/>
        <w:jc w:val="left"/>
      </w:pPr>
      <w:r>
        <w:rPr/>
        <w:t>Riesgo</w:t>
      </w:r>
      <w:r>
        <w:rPr>
          <w:spacing w:val="-6"/>
        </w:rPr>
        <w:t> </w:t>
      </w:r>
      <w:r>
        <w:rPr/>
        <w:t>de</w:t>
      </w:r>
      <w:r>
        <w:rPr>
          <w:spacing w:val="-6"/>
        </w:rPr>
        <w:t> </w:t>
      </w:r>
      <w:r>
        <w:rPr/>
        <w:t>exposición</w:t>
      </w:r>
      <w:r>
        <w:rPr>
          <w:spacing w:val="-4"/>
        </w:rPr>
        <w:t> </w:t>
      </w:r>
      <w:r>
        <w:rPr/>
        <w:t>muy</w:t>
      </w:r>
      <w:r>
        <w:rPr>
          <w:spacing w:val="-6"/>
        </w:rPr>
        <w:t> </w:t>
      </w:r>
      <w:r>
        <w:rPr>
          <w:spacing w:val="-4"/>
        </w:rPr>
        <w:t>alto</w:t>
      </w:r>
    </w:p>
    <w:p>
      <w:pPr>
        <w:pStyle w:val="Heading3"/>
        <w:spacing w:after="0" w:line="240" w:lineRule="auto"/>
        <w:jc w:val="left"/>
        <w:sectPr>
          <w:pgSz w:w="12240" w:h="15840"/>
          <w:pgMar w:header="724" w:footer="712" w:top="1880" w:bottom="900" w:left="1080" w:right="1080"/>
        </w:sectPr>
      </w:pPr>
    </w:p>
    <w:p>
      <w:pPr>
        <w:pStyle w:val="BodyText"/>
        <w:rPr>
          <w:rFonts w:ascii="Arial"/>
          <w:b/>
        </w:rPr>
      </w:pPr>
    </w:p>
    <w:p>
      <w:pPr>
        <w:pStyle w:val="BodyText"/>
        <w:spacing w:before="64"/>
        <w:rPr>
          <w:rFonts w:ascii="Arial"/>
          <w:b/>
        </w:rPr>
      </w:pPr>
    </w:p>
    <w:p>
      <w:pPr>
        <w:pStyle w:val="ListParagraph"/>
        <w:numPr>
          <w:ilvl w:val="2"/>
          <w:numId w:val="160"/>
        </w:numPr>
        <w:tabs>
          <w:tab w:pos="1045" w:val="left" w:leader="none"/>
          <w:tab w:pos="1058" w:val="left" w:leader="none"/>
        </w:tabs>
        <w:spacing w:line="240" w:lineRule="auto" w:before="0" w:after="0"/>
        <w:ind w:left="1058" w:right="339" w:hanging="432"/>
        <w:jc w:val="both"/>
        <w:rPr>
          <w:sz w:val="20"/>
        </w:rPr>
      </w:pPr>
      <w:r>
        <w:rPr>
          <w:sz w:val="20"/>
        </w:rPr>
        <w:t>Personas trabajadoras con actividades que entran en contacto directo con fuentes confirmadas o sospechosas al agente durante procedimientos médicos o de laboratorio, como personal de la salud:</w:t>
      </w:r>
      <w:r>
        <w:rPr>
          <w:spacing w:val="-1"/>
          <w:sz w:val="20"/>
        </w:rPr>
        <w:t> </w:t>
      </w:r>
      <w:r>
        <w:rPr>
          <w:sz w:val="20"/>
        </w:rPr>
        <w:t>médicos,</w:t>
      </w:r>
      <w:r>
        <w:rPr>
          <w:spacing w:val="-3"/>
          <w:sz w:val="20"/>
        </w:rPr>
        <w:t> </w:t>
      </w:r>
      <w:r>
        <w:rPr>
          <w:sz w:val="20"/>
        </w:rPr>
        <w:t>enfermeras,</w:t>
      </w:r>
      <w:r>
        <w:rPr>
          <w:spacing w:val="-3"/>
          <w:sz w:val="20"/>
        </w:rPr>
        <w:t> </w:t>
      </w:r>
      <w:r>
        <w:rPr>
          <w:sz w:val="20"/>
        </w:rPr>
        <w:t>dentistas,</w:t>
      </w:r>
      <w:r>
        <w:rPr>
          <w:spacing w:val="-3"/>
          <w:sz w:val="20"/>
        </w:rPr>
        <w:t> </w:t>
      </w:r>
      <w:r>
        <w:rPr>
          <w:sz w:val="20"/>
        </w:rPr>
        <w:t>personal</w:t>
      </w:r>
      <w:r>
        <w:rPr>
          <w:spacing w:val="-4"/>
          <w:sz w:val="20"/>
        </w:rPr>
        <w:t> </w:t>
      </w:r>
      <w:r>
        <w:rPr>
          <w:sz w:val="20"/>
        </w:rPr>
        <w:t>que</w:t>
      </w:r>
      <w:r>
        <w:rPr>
          <w:spacing w:val="-1"/>
          <w:sz w:val="20"/>
        </w:rPr>
        <w:t> </w:t>
      </w:r>
      <w:r>
        <w:rPr>
          <w:sz w:val="20"/>
        </w:rPr>
        <w:t>maneja</w:t>
      </w:r>
      <w:r>
        <w:rPr>
          <w:spacing w:val="-3"/>
          <w:sz w:val="20"/>
        </w:rPr>
        <w:t> </w:t>
      </w:r>
      <w:r>
        <w:rPr>
          <w:sz w:val="20"/>
        </w:rPr>
        <w:t>cadáveres</w:t>
      </w:r>
      <w:r>
        <w:rPr>
          <w:spacing w:val="-1"/>
          <w:sz w:val="20"/>
        </w:rPr>
        <w:t> </w:t>
      </w:r>
      <w:r>
        <w:rPr>
          <w:sz w:val="20"/>
        </w:rPr>
        <w:t>de</w:t>
      </w:r>
      <w:r>
        <w:rPr>
          <w:spacing w:val="-3"/>
          <w:sz w:val="20"/>
        </w:rPr>
        <w:t> </w:t>
      </w:r>
      <w:r>
        <w:rPr>
          <w:sz w:val="20"/>
        </w:rPr>
        <w:t>pacientes</w:t>
      </w:r>
      <w:r>
        <w:rPr>
          <w:spacing w:val="-2"/>
          <w:sz w:val="20"/>
        </w:rPr>
        <w:t> </w:t>
      </w:r>
      <w:r>
        <w:rPr>
          <w:sz w:val="20"/>
        </w:rPr>
        <w:t>confirmados o sospechosos al agente, personal de laboratorio o gabinete que maneje especímenes contaminados de pacientes confirmados o sospechosos al agente, entre otros.</w:t>
      </w:r>
    </w:p>
    <w:p>
      <w:pPr>
        <w:pStyle w:val="Heading3"/>
        <w:numPr>
          <w:ilvl w:val="0"/>
          <w:numId w:val="162"/>
        </w:numPr>
        <w:tabs>
          <w:tab w:pos="869" w:val="left" w:leader="none"/>
        </w:tabs>
        <w:spacing w:line="240" w:lineRule="auto" w:before="229" w:after="0"/>
        <w:ind w:left="869" w:right="0" w:hanging="243"/>
        <w:jc w:val="left"/>
      </w:pPr>
      <w:r>
        <w:rPr/>
        <w:t>Riesgo</w:t>
      </w:r>
      <w:r>
        <w:rPr>
          <w:spacing w:val="-9"/>
        </w:rPr>
        <w:t> </w:t>
      </w:r>
      <w:r>
        <w:rPr/>
        <w:t>de</w:t>
      </w:r>
      <w:r>
        <w:rPr>
          <w:spacing w:val="-7"/>
        </w:rPr>
        <w:t> </w:t>
      </w:r>
      <w:r>
        <w:rPr/>
        <w:t>exposición</w:t>
      </w:r>
      <w:r>
        <w:rPr>
          <w:spacing w:val="-7"/>
        </w:rPr>
        <w:t> </w:t>
      </w:r>
      <w:r>
        <w:rPr>
          <w:spacing w:val="-4"/>
        </w:rPr>
        <w:t>alto</w:t>
      </w:r>
    </w:p>
    <w:p>
      <w:pPr>
        <w:pStyle w:val="BodyText"/>
        <w:spacing w:before="1"/>
        <w:rPr>
          <w:rFonts w:ascii="Arial"/>
          <w:b/>
        </w:rPr>
      </w:pPr>
    </w:p>
    <w:p>
      <w:pPr>
        <w:pStyle w:val="ListParagraph"/>
        <w:numPr>
          <w:ilvl w:val="2"/>
          <w:numId w:val="160"/>
        </w:numPr>
        <w:tabs>
          <w:tab w:pos="1045" w:val="left" w:leader="none"/>
          <w:tab w:pos="1058" w:val="left" w:leader="none"/>
        </w:tabs>
        <w:spacing w:line="240" w:lineRule="auto" w:before="1" w:after="0"/>
        <w:ind w:left="1058" w:right="343" w:hanging="432"/>
        <w:jc w:val="both"/>
        <w:rPr>
          <w:sz w:val="20"/>
        </w:rPr>
      </w:pPr>
      <w:r>
        <w:rPr>
          <w:sz w:val="20"/>
        </w:rPr>
        <w:t>Personas trabajadoras con actividades que brindan atención al público en unidades médicas donde se encuentran fuentes confirmadas o sospechosas al agente, como: asistentes médicas, trabajadoras sociales, farmacéuticos, técnicos y auxiliares, personal de orientación al público, paramédicos, enfermeras, médicos, personal de mantenimiento, personal que proporciona transporte médico a pacientes de personas trabajadoras sociales, servicio de lavandería, alimentos y limpieza, entre otros.</w:t>
      </w:r>
    </w:p>
    <w:p>
      <w:pPr>
        <w:pStyle w:val="Heading3"/>
        <w:numPr>
          <w:ilvl w:val="0"/>
          <w:numId w:val="162"/>
        </w:numPr>
        <w:tabs>
          <w:tab w:pos="857" w:val="left" w:leader="none"/>
        </w:tabs>
        <w:spacing w:line="240" w:lineRule="auto" w:before="227" w:after="0"/>
        <w:ind w:left="857" w:right="0" w:hanging="231"/>
        <w:jc w:val="left"/>
      </w:pPr>
      <w:r>
        <w:rPr/>
        <w:t>Riesgo</w:t>
      </w:r>
      <w:r>
        <w:rPr>
          <w:spacing w:val="-7"/>
        </w:rPr>
        <w:t> </w:t>
      </w:r>
      <w:r>
        <w:rPr/>
        <w:t>de</w:t>
      </w:r>
      <w:r>
        <w:rPr>
          <w:spacing w:val="-7"/>
        </w:rPr>
        <w:t> </w:t>
      </w:r>
      <w:r>
        <w:rPr/>
        <w:t>exposición</w:t>
      </w:r>
      <w:r>
        <w:rPr>
          <w:spacing w:val="-4"/>
        </w:rPr>
        <w:t> </w:t>
      </w:r>
      <w:r>
        <w:rPr>
          <w:spacing w:val="-2"/>
        </w:rPr>
        <w:t>medio</w:t>
      </w:r>
    </w:p>
    <w:p>
      <w:pPr>
        <w:pStyle w:val="BodyText"/>
        <w:spacing w:before="1"/>
        <w:rPr>
          <w:rFonts w:ascii="Arial"/>
          <w:b/>
        </w:rPr>
      </w:pPr>
    </w:p>
    <w:p>
      <w:pPr>
        <w:pStyle w:val="ListParagraph"/>
        <w:numPr>
          <w:ilvl w:val="2"/>
          <w:numId w:val="160"/>
        </w:numPr>
        <w:tabs>
          <w:tab w:pos="1045" w:val="left" w:leader="none"/>
          <w:tab w:pos="1058" w:val="left" w:leader="none"/>
        </w:tabs>
        <w:spacing w:line="240" w:lineRule="auto" w:before="0" w:after="0"/>
        <w:ind w:left="1058" w:right="331" w:hanging="432"/>
        <w:jc w:val="both"/>
        <w:rPr>
          <w:sz w:val="20"/>
        </w:rPr>
      </w:pPr>
      <w:r>
        <w:rPr>
          <w:sz w:val="20"/>
        </w:rPr>
        <w:t>Personas trabajadoras con actividades que brindan atención al público (que no sea en unidades médicas) donde no se conoce la exposición a fuentes confirmados o sospechosas pero es</w:t>
      </w:r>
      <w:r>
        <w:rPr>
          <w:spacing w:val="40"/>
          <w:sz w:val="20"/>
        </w:rPr>
        <w:t> </w:t>
      </w:r>
      <w:r>
        <w:rPr>
          <w:sz w:val="20"/>
        </w:rPr>
        <w:t>posible encontrar al agente, como las que se dedican a: la preparación y servicio de alimentos y bebidas, servicios de administración pública y seguridad social, servicios de alojamiento</w:t>
      </w:r>
      <w:r>
        <w:rPr>
          <w:spacing w:val="40"/>
          <w:sz w:val="20"/>
        </w:rPr>
        <w:t> </w:t>
      </w:r>
      <w:r>
        <w:rPr>
          <w:sz w:val="20"/>
        </w:rPr>
        <w:t>temporal, servicios financieros y de seguros (bancos, financieras, compañías de seguros y similares),</w:t>
      </w:r>
      <w:r>
        <w:rPr>
          <w:spacing w:val="-2"/>
          <w:sz w:val="20"/>
        </w:rPr>
        <w:t> </w:t>
      </w:r>
      <w:r>
        <w:rPr>
          <w:sz w:val="20"/>
        </w:rPr>
        <w:t>servicios</w:t>
      </w:r>
      <w:r>
        <w:rPr>
          <w:spacing w:val="-1"/>
          <w:sz w:val="20"/>
        </w:rPr>
        <w:t> </w:t>
      </w:r>
      <w:r>
        <w:rPr>
          <w:sz w:val="20"/>
        </w:rPr>
        <w:t>personales</w:t>
      </w:r>
      <w:r>
        <w:rPr>
          <w:spacing w:val="-1"/>
          <w:sz w:val="20"/>
        </w:rPr>
        <w:t> </w:t>
      </w:r>
      <w:r>
        <w:rPr>
          <w:sz w:val="20"/>
        </w:rPr>
        <w:t>para</w:t>
      </w:r>
      <w:r>
        <w:rPr>
          <w:spacing w:val="-2"/>
          <w:sz w:val="20"/>
        </w:rPr>
        <w:t> </w:t>
      </w:r>
      <w:r>
        <w:rPr>
          <w:sz w:val="20"/>
        </w:rPr>
        <w:t>el</w:t>
      </w:r>
      <w:r>
        <w:rPr>
          <w:spacing w:val="-1"/>
          <w:sz w:val="20"/>
        </w:rPr>
        <w:t> </w:t>
      </w:r>
      <w:r>
        <w:rPr>
          <w:sz w:val="20"/>
        </w:rPr>
        <w:t>hogar y</w:t>
      </w:r>
      <w:r>
        <w:rPr>
          <w:spacing w:val="-5"/>
          <w:sz w:val="20"/>
        </w:rPr>
        <w:t> </w:t>
      </w:r>
      <w:r>
        <w:rPr>
          <w:sz w:val="20"/>
        </w:rPr>
        <w:t>diversos,</w:t>
      </w:r>
      <w:r>
        <w:rPr>
          <w:spacing w:val="-2"/>
          <w:sz w:val="20"/>
        </w:rPr>
        <w:t> </w:t>
      </w:r>
      <w:r>
        <w:rPr>
          <w:sz w:val="20"/>
        </w:rPr>
        <w:t>servicios</w:t>
      </w:r>
      <w:r>
        <w:rPr>
          <w:spacing w:val="-1"/>
          <w:sz w:val="20"/>
        </w:rPr>
        <w:t> </w:t>
      </w:r>
      <w:r>
        <w:rPr>
          <w:sz w:val="20"/>
        </w:rPr>
        <w:t>de</w:t>
      </w:r>
      <w:r>
        <w:rPr>
          <w:spacing w:val="-3"/>
          <w:sz w:val="20"/>
        </w:rPr>
        <w:t> </w:t>
      </w:r>
      <w:r>
        <w:rPr>
          <w:sz w:val="20"/>
        </w:rPr>
        <w:t>transporte público</w:t>
      </w:r>
      <w:r>
        <w:rPr>
          <w:spacing w:val="-2"/>
          <w:sz w:val="20"/>
        </w:rPr>
        <w:t> </w:t>
      </w:r>
      <w:r>
        <w:rPr>
          <w:sz w:val="20"/>
        </w:rPr>
        <w:t>o privado (terrestre, aéreo, marítimo, o ferroviario), servicios de docencia y cuidado de infantes y personas adultas, entre otros.</w:t>
      </w:r>
    </w:p>
    <w:p>
      <w:pPr>
        <w:pStyle w:val="Heading3"/>
        <w:numPr>
          <w:ilvl w:val="0"/>
          <w:numId w:val="162"/>
        </w:numPr>
        <w:tabs>
          <w:tab w:pos="869" w:val="left" w:leader="none"/>
        </w:tabs>
        <w:spacing w:line="240" w:lineRule="auto" w:before="228" w:after="0"/>
        <w:ind w:left="869" w:right="0" w:hanging="243"/>
        <w:jc w:val="left"/>
      </w:pPr>
      <w:r>
        <w:rPr/>
        <w:t>Riesgo</w:t>
      </w:r>
      <w:r>
        <w:rPr>
          <w:spacing w:val="-9"/>
        </w:rPr>
        <w:t> </w:t>
      </w:r>
      <w:r>
        <w:rPr/>
        <w:t>de</w:t>
      </w:r>
      <w:r>
        <w:rPr>
          <w:spacing w:val="-7"/>
        </w:rPr>
        <w:t> </w:t>
      </w:r>
      <w:r>
        <w:rPr/>
        <w:t>exposición</w:t>
      </w:r>
      <w:r>
        <w:rPr>
          <w:spacing w:val="-4"/>
        </w:rPr>
        <w:t> bajo</w:t>
      </w:r>
    </w:p>
    <w:p>
      <w:pPr>
        <w:pStyle w:val="ListParagraph"/>
        <w:numPr>
          <w:ilvl w:val="2"/>
          <w:numId w:val="160"/>
        </w:numPr>
        <w:tabs>
          <w:tab w:pos="1045" w:val="left" w:leader="none"/>
          <w:tab w:pos="1058" w:val="left" w:leader="none"/>
        </w:tabs>
        <w:spacing w:line="240" w:lineRule="auto" w:before="230" w:after="0"/>
        <w:ind w:left="1058" w:right="341" w:hanging="432"/>
        <w:jc w:val="both"/>
        <w:rPr>
          <w:sz w:val="20"/>
        </w:rPr>
      </w:pPr>
      <w:r>
        <w:rPr>
          <w:sz w:val="20"/>
        </w:rPr>
        <w:t>Personas trabajadoras con actividades que no</w:t>
      </w:r>
      <w:r>
        <w:rPr>
          <w:spacing w:val="-2"/>
          <w:sz w:val="20"/>
        </w:rPr>
        <w:t> </w:t>
      </w:r>
      <w:r>
        <w:rPr>
          <w:sz w:val="20"/>
        </w:rPr>
        <w:t>requieren</w:t>
      </w:r>
      <w:r>
        <w:rPr>
          <w:spacing w:val="-3"/>
          <w:sz w:val="20"/>
        </w:rPr>
        <w:t> </w:t>
      </w:r>
      <w:r>
        <w:rPr>
          <w:sz w:val="20"/>
        </w:rPr>
        <w:t>contacto con el</w:t>
      </w:r>
      <w:r>
        <w:rPr>
          <w:spacing w:val="-1"/>
          <w:sz w:val="20"/>
        </w:rPr>
        <w:t> </w:t>
      </w:r>
      <w:r>
        <w:rPr>
          <w:sz w:val="20"/>
        </w:rPr>
        <w:t>público en general o con clientes, proveedores o compañeros de trabajo o el contacto ocupacional es mínimo, sin embargo, el riesgo debe ser mayor que el de la población general.</w:t>
      </w:r>
    </w:p>
    <w:p>
      <w:pPr>
        <w:pStyle w:val="ListParagraph"/>
        <w:numPr>
          <w:ilvl w:val="2"/>
          <w:numId w:val="160"/>
        </w:numPr>
        <w:tabs>
          <w:tab w:pos="1045" w:val="left" w:leader="none"/>
          <w:tab w:pos="1058" w:val="left" w:leader="none"/>
        </w:tabs>
        <w:spacing w:line="240" w:lineRule="auto" w:before="228" w:after="0"/>
        <w:ind w:left="1058" w:right="336"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9" w:after="0"/>
        <w:ind w:left="956" w:right="0" w:hanging="330"/>
        <w:jc w:val="left"/>
      </w:pPr>
      <w:r>
        <w:rPr/>
        <w:t>Influenza</w:t>
      </w:r>
      <w:r>
        <w:rPr>
          <w:spacing w:val="-9"/>
        </w:rPr>
        <w:t> </w:t>
      </w:r>
      <w:r>
        <w:rPr>
          <w:spacing w:val="-2"/>
        </w:rPr>
        <w:t>pandémica</w:t>
      </w:r>
    </w:p>
    <w:p>
      <w:pPr>
        <w:pStyle w:val="BodyText"/>
        <w:rPr>
          <w:rFonts w:ascii="Arial"/>
          <w:b/>
        </w:rPr>
      </w:pPr>
    </w:p>
    <w:p>
      <w:pPr>
        <w:pStyle w:val="BodyText"/>
        <w:spacing w:before="1"/>
        <w:ind w:left="626"/>
      </w:pPr>
      <w:r>
        <w:rPr/>
        <w:t>Código</w:t>
      </w:r>
      <w:r>
        <w:rPr>
          <w:spacing w:val="-10"/>
        </w:rPr>
        <w:t> </w:t>
      </w:r>
      <w:r>
        <w:rPr/>
        <w:t>CIE-11:</w:t>
      </w:r>
      <w:r>
        <w:rPr>
          <w:spacing w:val="-9"/>
        </w:rPr>
        <w:t> </w:t>
      </w:r>
      <w:r>
        <w:rPr>
          <w:spacing w:val="-4"/>
        </w:rPr>
        <w:t>1E32</w:t>
      </w:r>
    </w:p>
    <w:p>
      <w:pPr>
        <w:pStyle w:val="ListParagraph"/>
        <w:numPr>
          <w:ilvl w:val="2"/>
          <w:numId w:val="160"/>
        </w:numPr>
        <w:tabs>
          <w:tab w:pos="1045" w:val="left" w:leader="none"/>
          <w:tab w:pos="1058" w:val="left" w:leader="none"/>
        </w:tabs>
        <w:spacing w:line="240" w:lineRule="auto" w:before="230" w:after="0"/>
        <w:ind w:left="1058" w:right="340" w:hanging="432"/>
        <w:jc w:val="both"/>
        <w:rPr>
          <w:sz w:val="20"/>
        </w:rPr>
      </w:pPr>
      <w:r>
        <w:rPr>
          <w:sz w:val="20"/>
        </w:rPr>
        <w:t>Debido a la naturaleza de contagio respiratorio del agente causante, el riesgo de las personas trabajadoras por la exposición al mismo es mayor que el de la población general, y éste puede ser: muy alto, alto, medio o bajo. El nivel de riesgo dependerá del contacto repetido o extendido con fuentes posibles de contagio por ejercicio o motivo del trabajo o en el medio que la persona trabajadora se ve obligado a prestar sus servicios.</w:t>
      </w:r>
    </w:p>
    <w:p>
      <w:pPr>
        <w:pStyle w:val="BodyText"/>
      </w:pPr>
    </w:p>
    <w:p>
      <w:pPr>
        <w:pStyle w:val="BodyText"/>
        <w:spacing w:before="1"/>
        <w:ind w:left="626"/>
      </w:pPr>
      <w:r>
        <w:rPr/>
        <w:t>Los</w:t>
      </w:r>
      <w:r>
        <w:rPr>
          <w:spacing w:val="-6"/>
        </w:rPr>
        <w:t> </w:t>
      </w:r>
      <w:r>
        <w:rPr/>
        <w:t>trabajos</w:t>
      </w:r>
      <w:r>
        <w:rPr>
          <w:spacing w:val="-4"/>
        </w:rPr>
        <w:t> </w:t>
      </w:r>
      <w:r>
        <w:rPr/>
        <w:t>de</w:t>
      </w:r>
      <w:r>
        <w:rPr>
          <w:spacing w:val="-8"/>
        </w:rPr>
        <w:t> </w:t>
      </w:r>
      <w:r>
        <w:rPr/>
        <w:t>acuerdo</w:t>
      </w:r>
      <w:r>
        <w:rPr>
          <w:spacing w:val="-7"/>
        </w:rPr>
        <w:t> </w:t>
      </w:r>
      <w:r>
        <w:rPr/>
        <w:t>con</w:t>
      </w:r>
      <w:r>
        <w:rPr>
          <w:spacing w:val="-6"/>
        </w:rPr>
        <w:t> </w:t>
      </w:r>
      <w:r>
        <w:rPr/>
        <w:t>su</w:t>
      </w:r>
      <w:r>
        <w:rPr>
          <w:spacing w:val="-7"/>
        </w:rPr>
        <w:t> </w:t>
      </w:r>
      <w:r>
        <w:rPr/>
        <w:t>nivel</w:t>
      </w:r>
      <w:r>
        <w:rPr>
          <w:spacing w:val="-6"/>
        </w:rPr>
        <w:t> </w:t>
      </w:r>
      <w:r>
        <w:rPr/>
        <w:t>de</w:t>
      </w:r>
      <w:r>
        <w:rPr>
          <w:spacing w:val="-8"/>
        </w:rPr>
        <w:t> </w:t>
      </w:r>
      <w:r>
        <w:rPr/>
        <w:t>riesgo</w:t>
      </w:r>
      <w:r>
        <w:rPr>
          <w:spacing w:val="-5"/>
        </w:rPr>
        <w:t> </w:t>
      </w:r>
      <w:r>
        <w:rPr/>
        <w:t>de</w:t>
      </w:r>
      <w:r>
        <w:rPr>
          <w:spacing w:val="-8"/>
        </w:rPr>
        <w:t> </w:t>
      </w:r>
      <w:r>
        <w:rPr/>
        <w:t>exposición</w:t>
      </w:r>
      <w:r>
        <w:rPr>
          <w:spacing w:val="-5"/>
        </w:rPr>
        <w:t> </w:t>
      </w:r>
      <w:r>
        <w:rPr/>
        <w:t>al</w:t>
      </w:r>
      <w:r>
        <w:rPr>
          <w:spacing w:val="-6"/>
        </w:rPr>
        <w:t> </w:t>
      </w:r>
      <w:r>
        <w:rPr/>
        <w:t>agente</w:t>
      </w:r>
      <w:r>
        <w:rPr>
          <w:spacing w:val="-5"/>
        </w:rPr>
        <w:t> </w:t>
      </w:r>
      <w:r>
        <w:rPr>
          <w:spacing w:val="-4"/>
        </w:rPr>
        <w:t>son:</w:t>
      </w:r>
    </w:p>
    <w:p>
      <w:pPr>
        <w:pStyle w:val="Heading3"/>
        <w:numPr>
          <w:ilvl w:val="0"/>
          <w:numId w:val="163"/>
        </w:numPr>
        <w:tabs>
          <w:tab w:pos="857" w:val="left" w:leader="none"/>
        </w:tabs>
        <w:spacing w:line="240" w:lineRule="auto" w:before="225" w:after="0"/>
        <w:ind w:left="857" w:right="0" w:hanging="231"/>
        <w:jc w:val="left"/>
      </w:pPr>
      <w:r>
        <w:rPr/>
        <w:t>Riesgo</w:t>
      </w:r>
      <w:r>
        <w:rPr>
          <w:spacing w:val="-6"/>
        </w:rPr>
        <w:t> </w:t>
      </w:r>
      <w:r>
        <w:rPr/>
        <w:t>de</w:t>
      </w:r>
      <w:r>
        <w:rPr>
          <w:spacing w:val="-6"/>
        </w:rPr>
        <w:t> </w:t>
      </w:r>
      <w:r>
        <w:rPr/>
        <w:t>exposición</w:t>
      </w:r>
      <w:r>
        <w:rPr>
          <w:spacing w:val="-4"/>
        </w:rPr>
        <w:t> </w:t>
      </w:r>
      <w:r>
        <w:rPr/>
        <w:t>muy</w:t>
      </w:r>
      <w:r>
        <w:rPr>
          <w:spacing w:val="-6"/>
        </w:rPr>
        <w:t> </w:t>
      </w:r>
      <w:r>
        <w:rPr>
          <w:spacing w:val="-4"/>
        </w:rPr>
        <w:t>alto</w:t>
      </w:r>
    </w:p>
    <w:p>
      <w:pPr>
        <w:pStyle w:val="Heading3"/>
        <w:spacing w:after="0" w:line="240" w:lineRule="auto"/>
        <w:jc w:val="left"/>
        <w:sectPr>
          <w:pgSz w:w="12240" w:h="15840"/>
          <w:pgMar w:header="724" w:footer="712" w:top="1880" w:bottom="900" w:left="1080" w:right="1080"/>
        </w:sectPr>
      </w:pPr>
    </w:p>
    <w:p>
      <w:pPr>
        <w:pStyle w:val="BodyText"/>
        <w:rPr>
          <w:rFonts w:ascii="Arial"/>
          <w:b/>
        </w:rPr>
      </w:pPr>
    </w:p>
    <w:p>
      <w:pPr>
        <w:pStyle w:val="BodyText"/>
        <w:spacing w:before="64"/>
        <w:rPr>
          <w:rFonts w:ascii="Arial"/>
          <w:b/>
        </w:rPr>
      </w:pPr>
    </w:p>
    <w:p>
      <w:pPr>
        <w:pStyle w:val="ListParagraph"/>
        <w:numPr>
          <w:ilvl w:val="2"/>
          <w:numId w:val="160"/>
        </w:numPr>
        <w:tabs>
          <w:tab w:pos="1045" w:val="left" w:leader="none"/>
          <w:tab w:pos="1058" w:val="left" w:leader="none"/>
        </w:tabs>
        <w:spacing w:line="240" w:lineRule="auto" w:before="0" w:after="0"/>
        <w:ind w:left="1058" w:right="343" w:hanging="432"/>
        <w:jc w:val="both"/>
        <w:rPr>
          <w:sz w:val="20"/>
        </w:rPr>
      </w:pPr>
      <w:r>
        <w:rPr>
          <w:sz w:val="20"/>
        </w:rPr>
        <w:t>Personas trabajadoras con actividades que entran en contacto directo con fuentes confirmadas o sospechosas al agente durante procedimientos médicos o de laboratorio, como personal de la salud:</w:t>
      </w:r>
      <w:r>
        <w:rPr>
          <w:spacing w:val="-1"/>
          <w:sz w:val="20"/>
        </w:rPr>
        <w:t> </w:t>
      </w:r>
      <w:r>
        <w:rPr>
          <w:sz w:val="20"/>
        </w:rPr>
        <w:t>médicos,</w:t>
      </w:r>
      <w:r>
        <w:rPr>
          <w:spacing w:val="-3"/>
          <w:sz w:val="20"/>
        </w:rPr>
        <w:t> </w:t>
      </w:r>
      <w:r>
        <w:rPr>
          <w:sz w:val="20"/>
        </w:rPr>
        <w:t>enfermeras,</w:t>
      </w:r>
      <w:r>
        <w:rPr>
          <w:spacing w:val="-3"/>
          <w:sz w:val="20"/>
        </w:rPr>
        <w:t> </w:t>
      </w:r>
      <w:r>
        <w:rPr>
          <w:sz w:val="20"/>
        </w:rPr>
        <w:t>dentistas,</w:t>
      </w:r>
      <w:r>
        <w:rPr>
          <w:spacing w:val="-3"/>
          <w:sz w:val="20"/>
        </w:rPr>
        <w:t> </w:t>
      </w:r>
      <w:r>
        <w:rPr>
          <w:sz w:val="20"/>
        </w:rPr>
        <w:t>personal</w:t>
      </w:r>
      <w:r>
        <w:rPr>
          <w:spacing w:val="-4"/>
          <w:sz w:val="20"/>
        </w:rPr>
        <w:t> </w:t>
      </w:r>
      <w:r>
        <w:rPr>
          <w:sz w:val="20"/>
        </w:rPr>
        <w:t>que</w:t>
      </w:r>
      <w:r>
        <w:rPr>
          <w:spacing w:val="-1"/>
          <w:sz w:val="20"/>
        </w:rPr>
        <w:t> </w:t>
      </w:r>
      <w:r>
        <w:rPr>
          <w:sz w:val="20"/>
        </w:rPr>
        <w:t>maneja</w:t>
      </w:r>
      <w:r>
        <w:rPr>
          <w:spacing w:val="-3"/>
          <w:sz w:val="20"/>
        </w:rPr>
        <w:t> </w:t>
      </w:r>
      <w:r>
        <w:rPr>
          <w:sz w:val="20"/>
        </w:rPr>
        <w:t>cadáveres</w:t>
      </w:r>
      <w:r>
        <w:rPr>
          <w:spacing w:val="-1"/>
          <w:sz w:val="20"/>
        </w:rPr>
        <w:t> </w:t>
      </w:r>
      <w:r>
        <w:rPr>
          <w:sz w:val="20"/>
        </w:rPr>
        <w:t>de</w:t>
      </w:r>
      <w:r>
        <w:rPr>
          <w:spacing w:val="-3"/>
          <w:sz w:val="20"/>
        </w:rPr>
        <w:t> </w:t>
      </w:r>
      <w:r>
        <w:rPr>
          <w:sz w:val="20"/>
        </w:rPr>
        <w:t>pacientes</w:t>
      </w:r>
      <w:r>
        <w:rPr>
          <w:spacing w:val="-2"/>
          <w:sz w:val="20"/>
        </w:rPr>
        <w:t> </w:t>
      </w:r>
      <w:r>
        <w:rPr>
          <w:sz w:val="20"/>
        </w:rPr>
        <w:t>confirmados o sospechosos al agente, personal de laboratorio o gabinete que maneje especímenes contaminados de pacientes confirmados o sospechosos al agente, entre otros.</w:t>
      </w:r>
    </w:p>
    <w:p>
      <w:pPr>
        <w:pStyle w:val="Heading3"/>
        <w:numPr>
          <w:ilvl w:val="0"/>
          <w:numId w:val="163"/>
        </w:numPr>
        <w:tabs>
          <w:tab w:pos="869" w:val="left" w:leader="none"/>
        </w:tabs>
        <w:spacing w:line="240" w:lineRule="auto" w:before="229" w:after="0"/>
        <w:ind w:left="869" w:right="0" w:hanging="243"/>
        <w:jc w:val="left"/>
      </w:pPr>
      <w:r>
        <w:rPr/>
        <w:t>Riesgo</w:t>
      </w:r>
      <w:r>
        <w:rPr>
          <w:spacing w:val="-9"/>
        </w:rPr>
        <w:t> </w:t>
      </w:r>
      <w:r>
        <w:rPr/>
        <w:t>de</w:t>
      </w:r>
      <w:r>
        <w:rPr>
          <w:spacing w:val="-7"/>
        </w:rPr>
        <w:t> </w:t>
      </w:r>
      <w:r>
        <w:rPr/>
        <w:t>exposición</w:t>
      </w:r>
      <w:r>
        <w:rPr>
          <w:spacing w:val="-7"/>
        </w:rPr>
        <w:t> </w:t>
      </w:r>
      <w:r>
        <w:rPr>
          <w:spacing w:val="-4"/>
        </w:rPr>
        <w:t>alto</w:t>
      </w:r>
    </w:p>
    <w:p>
      <w:pPr>
        <w:pStyle w:val="BodyText"/>
        <w:spacing w:before="1"/>
        <w:rPr>
          <w:rFonts w:ascii="Arial"/>
          <w:b/>
        </w:rPr>
      </w:pPr>
    </w:p>
    <w:p>
      <w:pPr>
        <w:pStyle w:val="ListParagraph"/>
        <w:numPr>
          <w:ilvl w:val="2"/>
          <w:numId w:val="160"/>
        </w:numPr>
        <w:tabs>
          <w:tab w:pos="1045" w:val="left" w:leader="none"/>
          <w:tab w:pos="1058" w:val="left" w:leader="none"/>
        </w:tabs>
        <w:spacing w:line="240" w:lineRule="auto" w:before="1" w:after="0"/>
        <w:ind w:left="1058" w:right="336" w:hanging="432"/>
        <w:jc w:val="both"/>
        <w:rPr>
          <w:sz w:val="20"/>
        </w:rPr>
      </w:pPr>
      <w:r>
        <w:rPr>
          <w:sz w:val="20"/>
        </w:rPr>
        <w:t>Personas trabajadoras con actividades que brindan atención al público en unidades médicas donde se encuentran fuentes confirmadas o sospechosas al agente, como: asistentes médicas, trabajadoras sociales, farmacéuticos, técnicos y auxiliares, personal de orientación al público, paramédicos, enfermeras, médicos, personal de mantenimiento, personal que proporciona transporte médico a pacientes de personas trabajadoras sociales, servicio de lavandería, alimentos y limpieza, entre otros.</w:t>
      </w:r>
    </w:p>
    <w:p>
      <w:pPr>
        <w:pStyle w:val="Heading3"/>
        <w:numPr>
          <w:ilvl w:val="0"/>
          <w:numId w:val="163"/>
        </w:numPr>
        <w:tabs>
          <w:tab w:pos="857" w:val="left" w:leader="none"/>
        </w:tabs>
        <w:spacing w:line="240" w:lineRule="auto" w:before="227" w:after="0"/>
        <w:ind w:left="857" w:right="0" w:hanging="231"/>
        <w:jc w:val="left"/>
      </w:pPr>
      <w:r>
        <w:rPr/>
        <w:t>Riesgo</w:t>
      </w:r>
      <w:r>
        <w:rPr>
          <w:spacing w:val="-7"/>
        </w:rPr>
        <w:t> </w:t>
      </w:r>
      <w:r>
        <w:rPr/>
        <w:t>de</w:t>
      </w:r>
      <w:r>
        <w:rPr>
          <w:spacing w:val="-7"/>
        </w:rPr>
        <w:t> </w:t>
      </w:r>
      <w:r>
        <w:rPr/>
        <w:t>exposición</w:t>
      </w:r>
      <w:r>
        <w:rPr>
          <w:spacing w:val="-4"/>
        </w:rPr>
        <w:t> </w:t>
      </w:r>
      <w:r>
        <w:rPr>
          <w:spacing w:val="-2"/>
        </w:rPr>
        <w:t>medio</w:t>
      </w:r>
    </w:p>
    <w:p>
      <w:pPr>
        <w:pStyle w:val="BodyText"/>
        <w:spacing w:before="1"/>
        <w:rPr>
          <w:rFonts w:ascii="Arial"/>
          <w:b/>
        </w:rPr>
      </w:pPr>
    </w:p>
    <w:p>
      <w:pPr>
        <w:pStyle w:val="ListParagraph"/>
        <w:numPr>
          <w:ilvl w:val="2"/>
          <w:numId w:val="160"/>
        </w:numPr>
        <w:tabs>
          <w:tab w:pos="1045" w:val="left" w:leader="none"/>
          <w:tab w:pos="1058" w:val="left" w:leader="none"/>
        </w:tabs>
        <w:spacing w:line="240" w:lineRule="auto" w:before="0" w:after="0"/>
        <w:ind w:left="1058" w:right="337" w:hanging="432"/>
        <w:jc w:val="both"/>
        <w:rPr>
          <w:sz w:val="20"/>
        </w:rPr>
      </w:pPr>
      <w:r>
        <w:rPr>
          <w:sz w:val="20"/>
        </w:rPr>
        <w:t>Personas trabajadoras con actividades que brindan atención al público (que no sea en unidades médicas), donde no se conoce la exposición a fuentes confirmadas o sospechosas pero es posible encontrar al agente, como las que se dedican a: la preparación y servicio de alimentos y bebidas, servicios de administración pública y seguridad social, servicios de alojamiento</w:t>
      </w:r>
      <w:r>
        <w:rPr>
          <w:spacing w:val="40"/>
          <w:sz w:val="20"/>
        </w:rPr>
        <w:t> </w:t>
      </w:r>
      <w:r>
        <w:rPr>
          <w:sz w:val="20"/>
        </w:rPr>
        <w:t>temporal, servicios financieros y de seguros (bancos, financieras, compañías de seguros y similares),</w:t>
      </w:r>
      <w:r>
        <w:rPr>
          <w:spacing w:val="-2"/>
          <w:sz w:val="20"/>
        </w:rPr>
        <w:t> </w:t>
      </w:r>
      <w:r>
        <w:rPr>
          <w:sz w:val="20"/>
        </w:rPr>
        <w:t>servicios</w:t>
      </w:r>
      <w:r>
        <w:rPr>
          <w:spacing w:val="-1"/>
          <w:sz w:val="20"/>
        </w:rPr>
        <w:t> </w:t>
      </w:r>
      <w:r>
        <w:rPr>
          <w:sz w:val="20"/>
        </w:rPr>
        <w:t>personales</w:t>
      </w:r>
      <w:r>
        <w:rPr>
          <w:spacing w:val="-1"/>
          <w:sz w:val="20"/>
        </w:rPr>
        <w:t> </w:t>
      </w:r>
      <w:r>
        <w:rPr>
          <w:sz w:val="20"/>
        </w:rPr>
        <w:t>para</w:t>
      </w:r>
      <w:r>
        <w:rPr>
          <w:spacing w:val="-2"/>
          <w:sz w:val="20"/>
        </w:rPr>
        <w:t> </w:t>
      </w:r>
      <w:r>
        <w:rPr>
          <w:sz w:val="20"/>
        </w:rPr>
        <w:t>el</w:t>
      </w:r>
      <w:r>
        <w:rPr>
          <w:spacing w:val="-1"/>
          <w:sz w:val="20"/>
        </w:rPr>
        <w:t> </w:t>
      </w:r>
      <w:r>
        <w:rPr>
          <w:sz w:val="20"/>
        </w:rPr>
        <w:t>hogar y</w:t>
      </w:r>
      <w:r>
        <w:rPr>
          <w:spacing w:val="-5"/>
          <w:sz w:val="20"/>
        </w:rPr>
        <w:t> </w:t>
      </w:r>
      <w:r>
        <w:rPr>
          <w:sz w:val="20"/>
        </w:rPr>
        <w:t>diversos,</w:t>
      </w:r>
      <w:r>
        <w:rPr>
          <w:spacing w:val="-2"/>
          <w:sz w:val="20"/>
        </w:rPr>
        <w:t> </w:t>
      </w:r>
      <w:r>
        <w:rPr>
          <w:sz w:val="20"/>
        </w:rPr>
        <w:t>servicios</w:t>
      </w:r>
      <w:r>
        <w:rPr>
          <w:spacing w:val="-1"/>
          <w:sz w:val="20"/>
        </w:rPr>
        <w:t> </w:t>
      </w:r>
      <w:r>
        <w:rPr>
          <w:sz w:val="20"/>
        </w:rPr>
        <w:t>de</w:t>
      </w:r>
      <w:r>
        <w:rPr>
          <w:spacing w:val="-3"/>
          <w:sz w:val="20"/>
        </w:rPr>
        <w:t> </w:t>
      </w:r>
      <w:r>
        <w:rPr>
          <w:sz w:val="20"/>
        </w:rPr>
        <w:t>transporte público</w:t>
      </w:r>
      <w:r>
        <w:rPr>
          <w:spacing w:val="-2"/>
          <w:sz w:val="20"/>
        </w:rPr>
        <w:t> </w:t>
      </w:r>
      <w:r>
        <w:rPr>
          <w:sz w:val="20"/>
        </w:rPr>
        <w:t>o privado (terrestre, aéreo, marítimo o ferroviario), servicios de docencia y cuidado de infantes y personas adultas, entre otros.</w:t>
      </w:r>
    </w:p>
    <w:p>
      <w:pPr>
        <w:pStyle w:val="Heading3"/>
        <w:numPr>
          <w:ilvl w:val="0"/>
          <w:numId w:val="163"/>
        </w:numPr>
        <w:tabs>
          <w:tab w:pos="869" w:val="left" w:leader="none"/>
        </w:tabs>
        <w:spacing w:line="240" w:lineRule="auto" w:before="228" w:after="0"/>
        <w:ind w:left="869" w:right="0" w:hanging="243"/>
        <w:jc w:val="left"/>
      </w:pPr>
      <w:r>
        <w:rPr/>
        <w:t>Riesgo</w:t>
      </w:r>
      <w:r>
        <w:rPr>
          <w:spacing w:val="-9"/>
        </w:rPr>
        <w:t> </w:t>
      </w:r>
      <w:r>
        <w:rPr/>
        <w:t>de</w:t>
      </w:r>
      <w:r>
        <w:rPr>
          <w:spacing w:val="-7"/>
        </w:rPr>
        <w:t> </w:t>
      </w:r>
      <w:r>
        <w:rPr/>
        <w:t>exposición</w:t>
      </w:r>
      <w:r>
        <w:rPr>
          <w:spacing w:val="-7"/>
        </w:rPr>
        <w:t> </w:t>
      </w:r>
      <w:r>
        <w:rPr>
          <w:spacing w:val="-4"/>
        </w:rPr>
        <w:t>bajo</w:t>
      </w:r>
    </w:p>
    <w:p>
      <w:pPr>
        <w:pStyle w:val="ListParagraph"/>
        <w:numPr>
          <w:ilvl w:val="2"/>
          <w:numId w:val="160"/>
        </w:numPr>
        <w:tabs>
          <w:tab w:pos="1045" w:val="left" w:leader="none"/>
          <w:tab w:pos="1058" w:val="left" w:leader="none"/>
        </w:tabs>
        <w:spacing w:line="240" w:lineRule="auto" w:before="230" w:after="0"/>
        <w:ind w:left="1058" w:right="337" w:hanging="432"/>
        <w:jc w:val="both"/>
        <w:rPr>
          <w:sz w:val="20"/>
        </w:rPr>
      </w:pPr>
      <w:r>
        <w:rPr>
          <w:sz w:val="20"/>
        </w:rPr>
        <w:t>Personas trabajadoras con actividades que no</w:t>
      </w:r>
      <w:r>
        <w:rPr>
          <w:spacing w:val="-2"/>
          <w:sz w:val="20"/>
        </w:rPr>
        <w:t> </w:t>
      </w:r>
      <w:r>
        <w:rPr>
          <w:sz w:val="20"/>
        </w:rPr>
        <w:t>requieren</w:t>
      </w:r>
      <w:r>
        <w:rPr>
          <w:spacing w:val="-3"/>
          <w:sz w:val="20"/>
        </w:rPr>
        <w:t> </w:t>
      </w:r>
      <w:r>
        <w:rPr>
          <w:sz w:val="20"/>
        </w:rPr>
        <w:t>contacto con el</w:t>
      </w:r>
      <w:r>
        <w:rPr>
          <w:spacing w:val="-1"/>
          <w:sz w:val="20"/>
        </w:rPr>
        <w:t> </w:t>
      </w:r>
      <w:r>
        <w:rPr>
          <w:sz w:val="20"/>
        </w:rPr>
        <w:t>público en general o con clientes, proveedores o compañeros de trabajo o el contacto ocupacional es mínimo, sin embargo, el riesgo debe ser mayor que el de la población general.</w:t>
      </w:r>
    </w:p>
    <w:p>
      <w:pPr>
        <w:pStyle w:val="ListParagraph"/>
        <w:numPr>
          <w:ilvl w:val="2"/>
          <w:numId w:val="160"/>
        </w:numPr>
        <w:tabs>
          <w:tab w:pos="1045" w:val="left" w:leader="none"/>
          <w:tab w:pos="1058" w:val="left" w:leader="none"/>
        </w:tabs>
        <w:spacing w:line="240" w:lineRule="auto" w:before="228" w:after="0"/>
        <w:ind w:left="1058" w:right="34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9" w:after="0"/>
        <w:ind w:left="956" w:right="0" w:hanging="330"/>
        <w:jc w:val="left"/>
      </w:pPr>
      <w:r>
        <w:rPr/>
        <w:t>Leishmaniasis</w:t>
      </w:r>
      <w:r>
        <w:rPr>
          <w:spacing w:val="-9"/>
        </w:rPr>
        <w:t> </w:t>
      </w:r>
      <w:r>
        <w:rPr/>
        <w:t>(úlcera</w:t>
      </w:r>
      <w:r>
        <w:rPr>
          <w:spacing w:val="-8"/>
        </w:rPr>
        <w:t> </w:t>
      </w:r>
      <w:r>
        <w:rPr/>
        <w:t>de</w:t>
      </w:r>
      <w:r>
        <w:rPr>
          <w:spacing w:val="-10"/>
        </w:rPr>
        <w:t> </w:t>
      </w:r>
      <w:r>
        <w:rPr/>
        <w:t>oriente,</w:t>
      </w:r>
      <w:r>
        <w:rPr>
          <w:spacing w:val="-10"/>
        </w:rPr>
        <w:t> </w:t>
      </w:r>
      <w:r>
        <w:rPr/>
        <w:t>leishmaniasis</w:t>
      </w:r>
      <w:r>
        <w:rPr>
          <w:spacing w:val="-8"/>
        </w:rPr>
        <w:t> </w:t>
      </w:r>
      <w:r>
        <w:rPr/>
        <w:t>americana,</w:t>
      </w:r>
      <w:r>
        <w:rPr>
          <w:spacing w:val="-10"/>
        </w:rPr>
        <w:t> </w:t>
      </w:r>
      <w:r>
        <w:rPr/>
        <w:t>úlcera</w:t>
      </w:r>
      <w:r>
        <w:rPr>
          <w:spacing w:val="-9"/>
        </w:rPr>
        <w:t> </w:t>
      </w:r>
      <w:r>
        <w:rPr/>
        <w:t>de</w:t>
      </w:r>
      <w:r>
        <w:rPr>
          <w:spacing w:val="-10"/>
        </w:rPr>
        <w:t> </w:t>
      </w:r>
      <w:r>
        <w:rPr/>
        <w:t>los</w:t>
      </w:r>
      <w:r>
        <w:rPr>
          <w:spacing w:val="-8"/>
        </w:rPr>
        <w:t> </w:t>
      </w:r>
      <w:r>
        <w:rPr>
          <w:spacing w:val="-2"/>
        </w:rPr>
        <w:t>chicleros)</w:t>
      </w:r>
    </w:p>
    <w:p>
      <w:pPr>
        <w:pStyle w:val="BodyText"/>
        <w:rPr>
          <w:rFonts w:ascii="Arial"/>
          <w:b/>
        </w:rPr>
      </w:pPr>
    </w:p>
    <w:p>
      <w:pPr>
        <w:pStyle w:val="BodyText"/>
        <w:spacing w:before="1"/>
        <w:ind w:left="626"/>
      </w:pPr>
      <w:r>
        <w:rPr/>
        <w:t>Código</w:t>
      </w:r>
      <w:r>
        <w:rPr>
          <w:spacing w:val="-10"/>
        </w:rPr>
        <w:t> </w:t>
      </w:r>
      <w:r>
        <w:rPr/>
        <w:t>CIE-11:</w:t>
      </w:r>
      <w:r>
        <w:rPr>
          <w:spacing w:val="-9"/>
        </w:rPr>
        <w:t> </w:t>
      </w:r>
      <w:r>
        <w:rPr>
          <w:spacing w:val="-4"/>
        </w:rPr>
        <w:t>1F54</w:t>
      </w:r>
    </w:p>
    <w:p>
      <w:pPr>
        <w:pStyle w:val="ListParagraph"/>
        <w:numPr>
          <w:ilvl w:val="2"/>
          <w:numId w:val="160"/>
        </w:numPr>
        <w:tabs>
          <w:tab w:pos="1045" w:val="left" w:leader="none"/>
          <w:tab w:pos="1058" w:val="left" w:leader="none"/>
        </w:tabs>
        <w:spacing w:line="240" w:lineRule="auto" w:before="230" w:after="0"/>
        <w:ind w:left="1058" w:right="348" w:hanging="432"/>
        <w:jc w:val="both"/>
        <w:rPr>
          <w:sz w:val="20"/>
        </w:rPr>
      </w:pPr>
      <w:r>
        <w:rPr>
          <w:sz w:val="20"/>
        </w:rPr>
        <w:t>Personas trabajadoras como los chicleros y huleros, leñadores de las regiones tropicales, personal militar, vainilleros, entre otros.</w:t>
      </w:r>
    </w:p>
    <w:p>
      <w:pPr>
        <w:pStyle w:val="ListParagraph"/>
        <w:numPr>
          <w:ilvl w:val="2"/>
          <w:numId w:val="160"/>
        </w:numPr>
        <w:tabs>
          <w:tab w:pos="1045" w:val="left" w:leader="none"/>
          <w:tab w:pos="1058" w:val="left" w:leader="none"/>
        </w:tabs>
        <w:spacing w:line="240" w:lineRule="auto" w:before="228" w:after="0"/>
        <w:ind w:left="1058" w:right="33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w:t>
      </w:r>
      <w:r>
        <w:rPr>
          <w:spacing w:val="40"/>
          <w:sz w:val="20"/>
        </w:rPr>
        <w:t> </w:t>
      </w:r>
      <w:r>
        <w:rPr>
          <w:sz w:val="20"/>
        </w:rPr>
        <w:t>origen o con motivo del trabajo o en el medio que la persona trabajadora se vea obligada a prestar sus servicios.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3"/>
      </w:pPr>
    </w:p>
    <w:p>
      <w:pPr>
        <w:pStyle w:val="Heading3"/>
        <w:numPr>
          <w:ilvl w:val="1"/>
          <w:numId w:val="160"/>
        </w:numPr>
        <w:tabs>
          <w:tab w:pos="990" w:val="left" w:leader="none"/>
        </w:tabs>
        <w:spacing w:line="240" w:lineRule="auto" w:before="0" w:after="0"/>
        <w:ind w:left="338" w:right="345" w:firstLine="288"/>
        <w:jc w:val="left"/>
      </w:pPr>
      <w:r>
        <w:rPr/>
        <w:t>Leptospirosis</w:t>
      </w:r>
      <w:r>
        <w:rPr>
          <w:spacing w:val="30"/>
        </w:rPr>
        <w:t> </w:t>
      </w:r>
      <w:r>
        <w:rPr/>
        <w:t>(enfermedad</w:t>
      </w:r>
      <w:r>
        <w:rPr>
          <w:spacing w:val="29"/>
        </w:rPr>
        <w:t> </w:t>
      </w:r>
      <w:r>
        <w:rPr/>
        <w:t>de</w:t>
      </w:r>
      <w:r>
        <w:rPr>
          <w:spacing w:val="29"/>
        </w:rPr>
        <w:t> </w:t>
      </w:r>
      <w:r>
        <w:rPr/>
        <w:t>weil,</w:t>
      </w:r>
      <w:r>
        <w:rPr>
          <w:spacing w:val="29"/>
        </w:rPr>
        <w:t> </w:t>
      </w:r>
      <w:r>
        <w:rPr/>
        <w:t>fiebre</w:t>
      </w:r>
      <w:r>
        <w:rPr>
          <w:spacing w:val="29"/>
        </w:rPr>
        <w:t> </w:t>
      </w:r>
      <w:r>
        <w:rPr/>
        <w:t>icterohemorrágica,</w:t>
      </w:r>
      <w:r>
        <w:rPr>
          <w:spacing w:val="29"/>
        </w:rPr>
        <w:t> </w:t>
      </w:r>
      <w:r>
        <w:rPr/>
        <w:t>fiebre</w:t>
      </w:r>
      <w:r>
        <w:rPr>
          <w:spacing w:val="29"/>
        </w:rPr>
        <w:t> </w:t>
      </w:r>
      <w:r>
        <w:rPr/>
        <w:t>de</w:t>
      </w:r>
      <w:r>
        <w:rPr>
          <w:spacing w:val="29"/>
        </w:rPr>
        <w:t> </w:t>
      </w:r>
      <w:r>
        <w:rPr/>
        <w:t>los</w:t>
      </w:r>
      <w:r>
        <w:rPr>
          <w:spacing w:val="29"/>
        </w:rPr>
        <w:t> </w:t>
      </w:r>
      <w:r>
        <w:rPr/>
        <w:t>cortadores</w:t>
      </w:r>
      <w:r>
        <w:rPr>
          <w:spacing w:val="29"/>
        </w:rPr>
        <w:t> </w:t>
      </w:r>
      <w:r>
        <w:rPr/>
        <w:t>de caña, fiebre de los pantanos, fiebre del fango, ictericia hemorrágica o enfermedad de stuttgart)</w:t>
      </w:r>
    </w:p>
    <w:p>
      <w:pPr>
        <w:pStyle w:val="BodyText"/>
        <w:spacing w:before="3"/>
        <w:rPr>
          <w:rFonts w:ascii="Arial"/>
          <w:b/>
        </w:rPr>
      </w:pPr>
    </w:p>
    <w:p>
      <w:pPr>
        <w:pStyle w:val="BodyText"/>
        <w:spacing w:before="1"/>
        <w:ind w:left="626"/>
      </w:pPr>
      <w:r>
        <w:rPr/>
        <w:t>Código</w:t>
      </w:r>
      <w:r>
        <w:rPr>
          <w:spacing w:val="-10"/>
        </w:rPr>
        <w:t> </w:t>
      </w:r>
      <w:r>
        <w:rPr/>
        <w:t>CIE-11:</w:t>
      </w:r>
      <w:r>
        <w:rPr>
          <w:spacing w:val="-9"/>
        </w:rPr>
        <w:t> </w:t>
      </w:r>
      <w:r>
        <w:rPr>
          <w:spacing w:val="-4"/>
        </w:rPr>
        <w:t>1B91</w:t>
      </w:r>
    </w:p>
    <w:p>
      <w:pPr>
        <w:pStyle w:val="ListParagraph"/>
        <w:numPr>
          <w:ilvl w:val="2"/>
          <w:numId w:val="160"/>
        </w:numPr>
        <w:tabs>
          <w:tab w:pos="1045" w:val="left" w:leader="none"/>
          <w:tab w:pos="1058" w:val="left" w:leader="none"/>
        </w:tabs>
        <w:spacing w:line="240" w:lineRule="auto" w:before="229" w:after="0"/>
        <w:ind w:left="1058" w:right="335" w:hanging="432"/>
        <w:jc w:val="both"/>
        <w:rPr>
          <w:sz w:val="20"/>
        </w:rPr>
      </w:pPr>
      <w:r>
        <w:rPr>
          <w:sz w:val="20"/>
        </w:rPr>
        <w:t>Personas trabajadoras de la agricultura: agricultores, jornaleros, personas trabajadoras en la compraventa de chatarra, fierro viejo, partes o mecanismos usados y desperdicios en general, recolectores de basura. Personas trabajadoras en la cría y explotación de ganado y otras clases de animales, cuidadores y manipuladores de animales y</w:t>
      </w:r>
      <w:r>
        <w:rPr>
          <w:spacing w:val="-2"/>
          <w:sz w:val="20"/>
        </w:rPr>
        <w:t> </w:t>
      </w:r>
      <w:r>
        <w:rPr>
          <w:sz w:val="20"/>
        </w:rPr>
        <w:t>granjeros. Curtido y acabado de cuero y piel, personal de deslanado y descarnado de cuero. Personas trabajadoras en la elaboración, preparación, conservación, envasado y empacado de pescados, mariscos y otros productos marinos, empacadores de pescados y mariscos, pescadores. Personas trabajadoras en la explotación de bosques madereros; extracción de productos forestales no maderables y</w:t>
      </w:r>
      <w:r>
        <w:rPr>
          <w:spacing w:val="-3"/>
          <w:sz w:val="20"/>
        </w:rPr>
        <w:t> </w:t>
      </w:r>
      <w:r>
        <w:rPr>
          <w:sz w:val="20"/>
        </w:rPr>
        <w:t>servicios de explotación forestal, leñadores. Personas trabajadoras en la extracción y beneficio de carbón mineral, grafito, minerales no metálicos y metálicos, mineros cuando previamente exista silicosis. Personas trabajadoras de instalaciones sanitarias, eléctricas, de gas y de aire acondicionado, gasfitero, instalador de conexiones de gas, técnico de refrigeración y aire acondicionado. Personas trabajadoras de alcantarillado y drenajes. Personas trabajadoras en la matanza de ganado y</w:t>
      </w:r>
      <w:r>
        <w:rPr>
          <w:spacing w:val="-2"/>
          <w:sz w:val="20"/>
        </w:rPr>
        <w:t> </w:t>
      </w:r>
      <w:r>
        <w:rPr>
          <w:sz w:val="20"/>
        </w:rPr>
        <w:t>aves, de mataderos,</w:t>
      </w:r>
      <w:r>
        <w:rPr>
          <w:spacing w:val="-1"/>
          <w:sz w:val="20"/>
        </w:rPr>
        <w:t> </w:t>
      </w:r>
      <w:r>
        <w:rPr>
          <w:sz w:val="20"/>
        </w:rPr>
        <w:t>traperos de</w:t>
      </w:r>
      <w:r>
        <w:rPr>
          <w:spacing w:val="-1"/>
          <w:sz w:val="20"/>
        </w:rPr>
        <w:t> </w:t>
      </w:r>
      <w:r>
        <w:rPr>
          <w:sz w:val="20"/>
        </w:rPr>
        <w:t>ganado equino y</w:t>
      </w:r>
      <w:r>
        <w:rPr>
          <w:spacing w:val="-2"/>
          <w:sz w:val="20"/>
        </w:rPr>
        <w:t> </w:t>
      </w:r>
      <w:r>
        <w:rPr>
          <w:sz w:val="20"/>
        </w:rPr>
        <w:t>de</w:t>
      </w:r>
      <w:r>
        <w:rPr>
          <w:spacing w:val="-2"/>
          <w:sz w:val="20"/>
        </w:rPr>
        <w:t> </w:t>
      </w:r>
      <w:r>
        <w:rPr>
          <w:sz w:val="20"/>
        </w:rPr>
        <w:t>rastros.</w:t>
      </w:r>
      <w:r>
        <w:rPr>
          <w:spacing w:val="-1"/>
          <w:sz w:val="20"/>
        </w:rPr>
        <w:t> </w:t>
      </w:r>
      <w:r>
        <w:rPr>
          <w:sz w:val="20"/>
        </w:rPr>
        <w:t>Personas trabajadoras de los servicios veterinarios y auxiliares, enfermeros y ayudantes de veterinaria y veterinarios.</w:t>
      </w:r>
    </w:p>
    <w:p>
      <w:pPr>
        <w:pStyle w:val="ListParagraph"/>
        <w:numPr>
          <w:ilvl w:val="2"/>
          <w:numId w:val="160"/>
        </w:numPr>
        <w:tabs>
          <w:tab w:pos="1045" w:val="left" w:leader="none"/>
          <w:tab w:pos="1058" w:val="left" w:leader="none"/>
        </w:tabs>
        <w:spacing w:line="240" w:lineRule="auto" w:before="229" w:after="0"/>
        <w:ind w:left="1058" w:right="33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7" w:after="0"/>
        <w:ind w:left="956" w:right="0" w:hanging="330"/>
        <w:jc w:val="left"/>
      </w:pPr>
      <w:r>
        <w:rPr/>
        <w:t>Micetoma</w:t>
      </w:r>
      <w:r>
        <w:rPr>
          <w:spacing w:val="-6"/>
        </w:rPr>
        <w:t> </w:t>
      </w:r>
      <w:r>
        <w:rPr/>
        <w:t>(pie</w:t>
      </w:r>
      <w:r>
        <w:rPr>
          <w:spacing w:val="-6"/>
        </w:rPr>
        <w:t> </w:t>
      </w:r>
      <w:r>
        <w:rPr/>
        <w:t>de</w:t>
      </w:r>
      <w:r>
        <w:rPr>
          <w:spacing w:val="-6"/>
        </w:rPr>
        <w:t> </w:t>
      </w:r>
      <w:r>
        <w:rPr/>
        <w:t>madura</w:t>
      </w:r>
      <w:r>
        <w:rPr>
          <w:spacing w:val="-6"/>
        </w:rPr>
        <w:t> </w:t>
      </w:r>
      <w:r>
        <w:rPr/>
        <w:t>o</w:t>
      </w:r>
      <w:r>
        <w:rPr>
          <w:spacing w:val="-5"/>
        </w:rPr>
        <w:t> </w:t>
      </w:r>
      <w:r>
        <w:rPr>
          <w:spacing w:val="-2"/>
        </w:rPr>
        <w:t>maduromicosis)</w:t>
      </w:r>
    </w:p>
    <w:p>
      <w:pPr>
        <w:pStyle w:val="BodyText"/>
        <w:spacing w:before="3"/>
        <w:rPr>
          <w:rFonts w:ascii="Arial"/>
          <w:b/>
        </w:rPr>
      </w:pPr>
    </w:p>
    <w:p>
      <w:pPr>
        <w:pStyle w:val="BodyText"/>
        <w:ind w:left="626"/>
      </w:pPr>
      <w:r>
        <w:rPr/>
        <w:t>Código</w:t>
      </w:r>
      <w:r>
        <w:rPr>
          <w:spacing w:val="-10"/>
        </w:rPr>
        <w:t> </w:t>
      </w:r>
      <w:r>
        <w:rPr/>
        <w:t>CIE-11:</w:t>
      </w:r>
      <w:r>
        <w:rPr>
          <w:spacing w:val="-9"/>
        </w:rPr>
        <w:t> </w:t>
      </w:r>
      <w:r>
        <w:rPr>
          <w:spacing w:val="-4"/>
        </w:rPr>
        <w:t>1F29</w:t>
      </w:r>
    </w:p>
    <w:p>
      <w:pPr>
        <w:pStyle w:val="ListParagraph"/>
        <w:numPr>
          <w:ilvl w:val="2"/>
          <w:numId w:val="160"/>
        </w:numPr>
        <w:tabs>
          <w:tab w:pos="1045" w:val="left" w:leader="none"/>
          <w:tab w:pos="1058" w:val="left" w:leader="none"/>
        </w:tabs>
        <w:spacing w:line="240" w:lineRule="auto" w:before="227" w:after="0"/>
        <w:ind w:left="1058" w:right="334" w:hanging="432"/>
        <w:jc w:val="both"/>
        <w:rPr>
          <w:sz w:val="20"/>
        </w:rPr>
      </w:pPr>
      <w:r>
        <w:rPr>
          <w:sz w:val="20"/>
        </w:rPr>
        <w:t>Personas trabajadoras en la agricultura: personas trabajadoras del campo que producen avena, cebada y centeno. Molineros de trigo, panaderos. Personas trabajadoras de aserraderos. En climas tropicales, personas trabajadoras expuestas a la contaminación de materiales vegetales como cactus, cañas, instrumentos agrícolas, espinas, hierbas, piedras y zacates; jornaleros. Pescadores o personas trabajadoras expuestas a las escamas del pescado.</w:t>
      </w:r>
    </w:p>
    <w:p>
      <w:pPr>
        <w:pStyle w:val="ListParagraph"/>
        <w:numPr>
          <w:ilvl w:val="2"/>
          <w:numId w:val="160"/>
        </w:numPr>
        <w:tabs>
          <w:tab w:pos="1045" w:val="left" w:leader="none"/>
          <w:tab w:pos="1058" w:val="left" w:leader="none"/>
        </w:tabs>
        <w:spacing w:line="240" w:lineRule="auto" w:before="230" w:after="0"/>
        <w:ind w:left="1058" w:right="336"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6" w:after="0"/>
        <w:ind w:left="956" w:right="0" w:hanging="330"/>
        <w:jc w:val="left"/>
      </w:pPr>
      <w:r>
        <w:rPr/>
        <w:t>Muermo</w:t>
      </w:r>
      <w:r>
        <w:rPr>
          <w:spacing w:val="-8"/>
        </w:rPr>
        <w:t> </w:t>
      </w:r>
      <w:r>
        <w:rPr>
          <w:spacing w:val="-2"/>
        </w:rPr>
        <w:t>(farcinosis)</w:t>
      </w:r>
    </w:p>
    <w:p>
      <w:pPr>
        <w:pStyle w:val="BodyText"/>
        <w:spacing w:before="3"/>
        <w:rPr>
          <w:rFonts w:ascii="Arial"/>
          <w:b/>
        </w:rPr>
      </w:pPr>
    </w:p>
    <w:p>
      <w:pPr>
        <w:pStyle w:val="BodyText"/>
        <w:spacing w:before="1"/>
        <w:ind w:left="626"/>
      </w:pPr>
      <w:r>
        <w:rPr/>
        <w:t>Código</w:t>
      </w:r>
      <w:r>
        <w:rPr>
          <w:spacing w:val="-10"/>
        </w:rPr>
        <w:t> </w:t>
      </w:r>
      <w:r>
        <w:rPr/>
        <w:t>CIE-11:</w:t>
      </w:r>
      <w:r>
        <w:rPr>
          <w:spacing w:val="-9"/>
        </w:rPr>
        <w:t> </w:t>
      </w:r>
      <w:r>
        <w:rPr>
          <w:spacing w:val="-4"/>
        </w:rPr>
        <w:t>1B92</w:t>
      </w:r>
    </w:p>
    <w:p>
      <w:pPr>
        <w:pStyle w:val="ListParagraph"/>
        <w:numPr>
          <w:ilvl w:val="2"/>
          <w:numId w:val="160"/>
        </w:numPr>
        <w:tabs>
          <w:tab w:pos="1045" w:val="left" w:leader="none"/>
          <w:tab w:pos="1058" w:val="left" w:leader="none"/>
        </w:tabs>
        <w:spacing w:line="240" w:lineRule="auto" w:before="229" w:after="0"/>
        <w:ind w:left="1058" w:right="334" w:hanging="432"/>
        <w:jc w:val="both"/>
        <w:rPr>
          <w:sz w:val="20"/>
        </w:rPr>
      </w:pPr>
      <w:r>
        <w:rPr>
          <w:sz w:val="20"/>
        </w:rPr>
        <w:t>Personas trabajadoras en la cría y explotación de ganado y otras clases de animales, así como hipódromos, galgódromos, lienzos charros, palenques, promoción y presentación de</w:t>
      </w:r>
      <w:r>
        <w:rPr>
          <w:spacing w:val="40"/>
          <w:sz w:val="20"/>
        </w:rPr>
        <w:t> </w:t>
      </w:r>
      <w:r>
        <w:rPr>
          <w:sz w:val="20"/>
        </w:rPr>
        <w:t>espectáculos taurinos, caballerangos, carniceros, cuidadores de ganado equino, granjeros, herrador de caballos, jinetes,</w:t>
      </w:r>
      <w:r>
        <w:rPr>
          <w:spacing w:val="-1"/>
          <w:sz w:val="20"/>
        </w:rPr>
        <w:t> </w:t>
      </w:r>
      <w:r>
        <w:rPr>
          <w:sz w:val="20"/>
        </w:rPr>
        <w:t>mozos de cuadra, o de rancho ganadero; soldados de caballería en el</w:t>
      </w:r>
      <w:r>
        <w:rPr>
          <w:spacing w:val="-3"/>
          <w:sz w:val="20"/>
        </w:rPr>
        <w:t> </w:t>
      </w:r>
      <w:r>
        <w:rPr>
          <w:sz w:val="20"/>
        </w:rPr>
        <w:t>ejército.</w:t>
      </w:r>
      <w:r>
        <w:rPr>
          <w:spacing w:val="-2"/>
          <w:sz w:val="20"/>
        </w:rPr>
        <w:t> </w:t>
      </w:r>
      <w:r>
        <w:rPr>
          <w:sz w:val="20"/>
        </w:rPr>
        <w:t>Las</w:t>
      </w:r>
      <w:r>
        <w:rPr>
          <w:spacing w:val="-1"/>
          <w:sz w:val="20"/>
        </w:rPr>
        <w:t> </w:t>
      </w:r>
      <w:r>
        <w:rPr>
          <w:sz w:val="20"/>
        </w:rPr>
        <w:t>personas</w:t>
      </w:r>
      <w:r>
        <w:rPr>
          <w:spacing w:val="-1"/>
          <w:sz w:val="20"/>
        </w:rPr>
        <w:t> </w:t>
      </w:r>
      <w:r>
        <w:rPr>
          <w:sz w:val="20"/>
        </w:rPr>
        <w:t>trabajadoras en</w:t>
      </w:r>
      <w:r>
        <w:rPr>
          <w:spacing w:val="-3"/>
          <w:sz w:val="20"/>
        </w:rPr>
        <w:t> </w:t>
      </w:r>
      <w:r>
        <w:rPr>
          <w:sz w:val="20"/>
        </w:rPr>
        <w:t>la</w:t>
      </w:r>
      <w:r>
        <w:rPr>
          <w:spacing w:val="-2"/>
          <w:sz w:val="20"/>
        </w:rPr>
        <w:t> </w:t>
      </w:r>
      <w:r>
        <w:rPr>
          <w:sz w:val="20"/>
        </w:rPr>
        <w:t>matanza de</w:t>
      </w:r>
      <w:r>
        <w:rPr>
          <w:spacing w:val="-3"/>
          <w:sz w:val="20"/>
        </w:rPr>
        <w:t> </w:t>
      </w:r>
      <w:r>
        <w:rPr>
          <w:sz w:val="20"/>
        </w:rPr>
        <w:t>ganado y</w:t>
      </w:r>
      <w:r>
        <w:rPr>
          <w:spacing w:val="-5"/>
          <w:sz w:val="20"/>
        </w:rPr>
        <w:t> </w:t>
      </w:r>
      <w:r>
        <w:rPr>
          <w:sz w:val="20"/>
        </w:rPr>
        <w:t>aves;</w:t>
      </w:r>
      <w:r>
        <w:rPr>
          <w:spacing w:val="-2"/>
          <w:sz w:val="20"/>
        </w:rPr>
        <w:t> </w:t>
      </w:r>
      <w:r>
        <w:rPr>
          <w:sz w:val="20"/>
        </w:rPr>
        <w:t>personas</w:t>
      </w:r>
      <w:r>
        <w:rPr>
          <w:spacing w:val="-1"/>
          <w:sz w:val="20"/>
        </w:rPr>
        <w:t> </w:t>
      </w:r>
      <w:r>
        <w:rPr>
          <w:sz w:val="20"/>
        </w:rPr>
        <w:t>trabajadoras de</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058" w:right="340"/>
        <w:jc w:val="both"/>
      </w:pPr>
      <w:r>
        <w:rPr/>
        <w:t>mataderos, traperos de ganado equino y de rastros. Las personas trabajadoras de los servicios de laboratorio de microbiología, químicos, laboratoristas, personal de limpieza de laboratorio de microbiología. Personas trabajadoras de los servicios veterinarios y auxiliares, enfermeros de veterinaria y veterinarios.</w:t>
      </w:r>
    </w:p>
    <w:p>
      <w:pPr>
        <w:pStyle w:val="BodyText"/>
        <w:spacing w:before="1"/>
      </w:pPr>
    </w:p>
    <w:p>
      <w:pPr>
        <w:pStyle w:val="ListParagraph"/>
        <w:numPr>
          <w:ilvl w:val="2"/>
          <w:numId w:val="160"/>
        </w:numPr>
        <w:tabs>
          <w:tab w:pos="1045" w:val="left" w:leader="none"/>
          <w:tab w:pos="1058" w:val="left" w:leader="none"/>
        </w:tabs>
        <w:spacing w:line="240" w:lineRule="auto" w:before="0" w:after="0"/>
        <w:ind w:left="1058" w:right="337"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6" w:after="0"/>
        <w:ind w:left="956" w:right="0" w:hanging="330"/>
        <w:jc w:val="left"/>
      </w:pPr>
      <w:r>
        <w:rPr/>
        <w:t>Oncocercosis</w:t>
      </w:r>
      <w:r>
        <w:rPr>
          <w:spacing w:val="-10"/>
        </w:rPr>
        <w:t> </w:t>
      </w:r>
      <w:r>
        <w:rPr/>
        <w:t>(ceguera</w:t>
      </w:r>
      <w:r>
        <w:rPr>
          <w:spacing w:val="-9"/>
        </w:rPr>
        <w:t> </w:t>
      </w:r>
      <w:r>
        <w:rPr/>
        <w:t>de</w:t>
      </w:r>
      <w:r>
        <w:rPr>
          <w:spacing w:val="-9"/>
        </w:rPr>
        <w:t> </w:t>
      </w:r>
      <w:r>
        <w:rPr/>
        <w:t>los</w:t>
      </w:r>
      <w:r>
        <w:rPr>
          <w:spacing w:val="-7"/>
        </w:rPr>
        <w:t> </w:t>
      </w:r>
      <w:r>
        <w:rPr>
          <w:spacing w:val="-2"/>
        </w:rPr>
        <w:t>ríos)</w:t>
      </w:r>
    </w:p>
    <w:p>
      <w:pPr>
        <w:pStyle w:val="BodyText"/>
        <w:spacing w:before="4"/>
        <w:rPr>
          <w:rFonts w:ascii="Arial"/>
          <w:b/>
        </w:rPr>
      </w:pPr>
    </w:p>
    <w:p>
      <w:pPr>
        <w:pStyle w:val="BodyText"/>
        <w:ind w:left="626"/>
      </w:pPr>
      <w:r>
        <w:rPr/>
        <w:t>Código</w:t>
      </w:r>
      <w:r>
        <w:rPr>
          <w:spacing w:val="-10"/>
        </w:rPr>
        <w:t> </w:t>
      </w:r>
      <w:r>
        <w:rPr/>
        <w:t>CIE-11:</w:t>
      </w:r>
      <w:r>
        <w:rPr>
          <w:spacing w:val="-9"/>
        </w:rPr>
        <w:t> </w:t>
      </w:r>
      <w:r>
        <w:rPr>
          <w:spacing w:val="-4"/>
        </w:rPr>
        <w:t>1F6A</w:t>
      </w:r>
    </w:p>
    <w:p>
      <w:pPr>
        <w:pStyle w:val="ListParagraph"/>
        <w:numPr>
          <w:ilvl w:val="2"/>
          <w:numId w:val="160"/>
        </w:numPr>
        <w:tabs>
          <w:tab w:pos="1045" w:val="left" w:leader="none"/>
          <w:tab w:pos="1058" w:val="left" w:leader="none"/>
        </w:tabs>
        <w:spacing w:line="240" w:lineRule="auto" w:before="229" w:after="0"/>
        <w:ind w:left="1058" w:right="337" w:hanging="432"/>
        <w:jc w:val="both"/>
        <w:rPr>
          <w:sz w:val="20"/>
        </w:rPr>
      </w:pPr>
      <w:r>
        <w:rPr>
          <w:sz w:val="20"/>
        </w:rPr>
        <w:t>Personas trabajadoras agrícolas principalmente en zonas de las plantaciones cafetaleras, agricultores de café y jornaleros.</w:t>
      </w:r>
    </w:p>
    <w:p>
      <w:pPr>
        <w:pStyle w:val="ListParagraph"/>
        <w:numPr>
          <w:ilvl w:val="2"/>
          <w:numId w:val="160"/>
        </w:numPr>
        <w:tabs>
          <w:tab w:pos="1045" w:val="left" w:leader="none"/>
          <w:tab w:pos="1058" w:val="left" w:leader="none"/>
        </w:tabs>
        <w:spacing w:line="240" w:lineRule="auto" w:before="228" w:after="0"/>
        <w:ind w:left="1058" w:right="33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8" w:val="left" w:leader="none"/>
        </w:tabs>
        <w:spacing w:line="240" w:lineRule="auto" w:before="227" w:after="0"/>
        <w:ind w:left="958" w:right="0" w:hanging="332"/>
        <w:jc w:val="left"/>
      </w:pPr>
      <w:r>
        <w:rPr/>
        <w:t>Paludismo</w:t>
      </w:r>
      <w:r>
        <w:rPr>
          <w:spacing w:val="-12"/>
        </w:rPr>
        <w:t> </w:t>
      </w:r>
      <w:r>
        <w:rPr>
          <w:spacing w:val="-2"/>
        </w:rPr>
        <w:t>(malaria)</w:t>
      </w:r>
    </w:p>
    <w:p>
      <w:pPr>
        <w:pStyle w:val="BodyText"/>
        <w:spacing w:before="3"/>
        <w:rPr>
          <w:rFonts w:ascii="Arial"/>
          <w:b/>
        </w:rPr>
      </w:pPr>
    </w:p>
    <w:p>
      <w:pPr>
        <w:pStyle w:val="BodyText"/>
        <w:ind w:left="626"/>
      </w:pPr>
      <w:r>
        <w:rPr/>
        <w:t>Código</w:t>
      </w:r>
      <w:r>
        <w:rPr>
          <w:spacing w:val="-9"/>
        </w:rPr>
        <w:t> </w:t>
      </w:r>
      <w:r>
        <w:rPr/>
        <w:t>CIE-11:</w:t>
      </w:r>
      <w:r>
        <w:rPr>
          <w:spacing w:val="-7"/>
        </w:rPr>
        <w:t> </w:t>
      </w:r>
      <w:r>
        <w:rPr/>
        <w:t>1F40.Z,</w:t>
      </w:r>
      <w:r>
        <w:rPr>
          <w:spacing w:val="-5"/>
        </w:rPr>
        <w:t> </w:t>
      </w:r>
      <w:r>
        <w:rPr/>
        <w:t>1F41.Z,</w:t>
      </w:r>
      <w:r>
        <w:rPr>
          <w:spacing w:val="-7"/>
        </w:rPr>
        <w:t> </w:t>
      </w:r>
      <w:r>
        <w:rPr/>
        <w:t>1F41.Y,</w:t>
      </w:r>
      <w:r>
        <w:rPr>
          <w:spacing w:val="-7"/>
        </w:rPr>
        <w:t> </w:t>
      </w:r>
      <w:r>
        <w:rPr>
          <w:spacing w:val="-2"/>
        </w:rPr>
        <w:t>1F42.Y</w:t>
      </w:r>
    </w:p>
    <w:p>
      <w:pPr>
        <w:pStyle w:val="ListParagraph"/>
        <w:numPr>
          <w:ilvl w:val="2"/>
          <w:numId w:val="160"/>
        </w:numPr>
        <w:tabs>
          <w:tab w:pos="1045" w:val="left" w:leader="none"/>
          <w:tab w:pos="1058" w:val="left" w:leader="none"/>
        </w:tabs>
        <w:spacing w:line="240" w:lineRule="auto" w:before="230" w:after="0"/>
        <w:ind w:left="1058" w:right="341" w:hanging="432"/>
        <w:jc w:val="both"/>
        <w:rPr>
          <w:sz w:val="20"/>
        </w:rPr>
      </w:pPr>
      <w:r>
        <w:rPr>
          <w:sz w:val="20"/>
        </w:rPr>
        <w:t>Personas trabajadoras como campesinos, conductores de trenes y vehículos de carga o pasajeros que viajan a zona endémica; floricultores, marineros, obreros, pilotos; personas trabajadoras de la salud y expuestas en zonas endémicas.</w:t>
      </w:r>
    </w:p>
    <w:p>
      <w:pPr>
        <w:pStyle w:val="ListParagraph"/>
        <w:numPr>
          <w:ilvl w:val="2"/>
          <w:numId w:val="160"/>
        </w:numPr>
        <w:tabs>
          <w:tab w:pos="1045" w:val="left" w:leader="none"/>
          <w:tab w:pos="1058" w:val="left" w:leader="none"/>
        </w:tabs>
        <w:spacing w:line="240" w:lineRule="auto" w:before="226" w:after="0"/>
        <w:ind w:left="1058" w:right="336"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8" w:val="left" w:leader="none"/>
        </w:tabs>
        <w:spacing w:line="240" w:lineRule="auto" w:before="228" w:after="0"/>
        <w:ind w:left="958" w:right="0" w:hanging="332"/>
        <w:jc w:val="left"/>
      </w:pPr>
      <w:r>
        <w:rPr/>
        <w:t>Pediculosis</w:t>
      </w:r>
      <w:r>
        <w:rPr>
          <w:spacing w:val="-7"/>
        </w:rPr>
        <w:t> </w:t>
      </w:r>
      <w:r>
        <w:rPr/>
        <w:t>de</w:t>
      </w:r>
      <w:r>
        <w:rPr>
          <w:spacing w:val="-6"/>
        </w:rPr>
        <w:t> </w:t>
      </w:r>
      <w:r>
        <w:rPr/>
        <w:t>la</w:t>
      </w:r>
      <w:r>
        <w:rPr>
          <w:spacing w:val="-4"/>
        </w:rPr>
        <w:t> </w:t>
      </w:r>
      <w:r>
        <w:rPr>
          <w:spacing w:val="-2"/>
        </w:rPr>
        <w:t>cabeza</w:t>
      </w:r>
    </w:p>
    <w:p>
      <w:pPr>
        <w:pStyle w:val="BodyText"/>
        <w:spacing w:before="3"/>
        <w:rPr>
          <w:rFonts w:ascii="Arial"/>
          <w:b/>
        </w:rPr>
      </w:pPr>
    </w:p>
    <w:p>
      <w:pPr>
        <w:pStyle w:val="BodyText"/>
        <w:spacing w:before="1"/>
        <w:ind w:left="626"/>
      </w:pPr>
      <w:r>
        <w:rPr/>
        <w:t>Código</w:t>
      </w:r>
      <w:r>
        <w:rPr>
          <w:spacing w:val="-10"/>
        </w:rPr>
        <w:t> </w:t>
      </w:r>
      <w:r>
        <w:rPr/>
        <w:t>CIE-11:</w:t>
      </w:r>
      <w:r>
        <w:rPr>
          <w:spacing w:val="-9"/>
        </w:rPr>
        <w:t> </w:t>
      </w:r>
      <w:r>
        <w:rPr>
          <w:spacing w:val="-2"/>
        </w:rPr>
        <w:t>1G00.0</w:t>
      </w:r>
    </w:p>
    <w:p>
      <w:pPr>
        <w:pStyle w:val="ListParagraph"/>
        <w:numPr>
          <w:ilvl w:val="2"/>
          <w:numId w:val="160"/>
        </w:numPr>
        <w:tabs>
          <w:tab w:pos="1045" w:val="left" w:leader="none"/>
          <w:tab w:pos="1058" w:val="left" w:leader="none"/>
        </w:tabs>
        <w:spacing w:line="240" w:lineRule="auto" w:before="227" w:after="0"/>
        <w:ind w:left="1058" w:right="339" w:hanging="432"/>
        <w:jc w:val="both"/>
        <w:rPr>
          <w:sz w:val="20"/>
        </w:rPr>
      </w:pPr>
      <w:r>
        <w:rPr>
          <w:sz w:val="20"/>
        </w:rPr>
        <w:t>Personas trabajadoras de los servicios de alojamiento temporal: recamareras y personal de lavandería; personas trabajadoras de los servicios de peluquería y salones de belleza, como peluqueros, estilistas y personal de spa. Personas trabajadoras de los servicios de enseñanza académica, capacitación, investigación científica y difusión cultural, puericultistas, maestros de todos los niveles educativos y técnicos en educación.</w:t>
      </w:r>
    </w:p>
    <w:p>
      <w:pPr>
        <w:pStyle w:val="ListParagraph"/>
        <w:numPr>
          <w:ilvl w:val="2"/>
          <w:numId w:val="160"/>
        </w:numPr>
        <w:tabs>
          <w:tab w:pos="1045" w:val="left" w:leader="none"/>
          <w:tab w:pos="1058" w:val="left" w:leader="none"/>
        </w:tabs>
        <w:spacing w:line="240" w:lineRule="auto" w:before="230" w:after="0"/>
        <w:ind w:left="1058" w:right="346" w:hanging="432"/>
        <w:jc w:val="both"/>
        <w:rPr>
          <w:sz w:val="20"/>
        </w:rPr>
      </w:pPr>
      <w:r>
        <w:rPr>
          <w:sz w:val="20"/>
        </w:rPr>
        <w:t>Personas trabajadoras de los servicios médicos y de asistencia social; personal de limpieza en albergues, guarderías, sanatorios y de la salud. Soldados y personal penitenciario.</w:t>
      </w:r>
    </w:p>
    <w:p>
      <w:pPr>
        <w:pStyle w:val="ListParagraph"/>
        <w:spacing w:after="0" w:line="240" w:lineRule="auto"/>
        <w:jc w:val="both"/>
        <w:rPr>
          <w:sz w:val="20"/>
        </w:rPr>
        <w:sectPr>
          <w:pgSz w:w="12240" w:h="15840"/>
          <w:pgMar w:header="724" w:footer="712" w:top="1880" w:bottom="900" w:left="1080" w:right="1080"/>
        </w:sectPr>
      </w:pPr>
    </w:p>
    <w:p>
      <w:pPr>
        <w:pStyle w:val="BodyText"/>
        <w:spacing w:before="66"/>
      </w:pPr>
    </w:p>
    <w:p>
      <w:pPr>
        <w:pStyle w:val="ListParagraph"/>
        <w:numPr>
          <w:ilvl w:val="2"/>
          <w:numId w:val="160"/>
        </w:numPr>
        <w:tabs>
          <w:tab w:pos="1045" w:val="left" w:leader="none"/>
          <w:tab w:pos="1058" w:val="left" w:leader="none"/>
        </w:tabs>
        <w:spacing w:line="240" w:lineRule="auto" w:before="0" w:after="0"/>
        <w:ind w:left="1058" w:right="33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8" w:val="left" w:leader="none"/>
        </w:tabs>
        <w:spacing w:line="240" w:lineRule="auto" w:before="226" w:after="0"/>
        <w:ind w:left="958" w:right="0" w:hanging="332"/>
        <w:jc w:val="left"/>
      </w:pPr>
      <w:r>
        <w:rPr>
          <w:spacing w:val="-2"/>
        </w:rPr>
        <w:t>Psitacosis</w:t>
      </w:r>
      <w:r>
        <w:rPr>
          <w:spacing w:val="2"/>
        </w:rPr>
        <w:t> </w:t>
      </w:r>
      <w:r>
        <w:rPr>
          <w:spacing w:val="-2"/>
        </w:rPr>
        <w:t>(ornitosis)</w:t>
      </w:r>
    </w:p>
    <w:p>
      <w:pPr>
        <w:pStyle w:val="BodyText"/>
        <w:spacing w:before="3"/>
        <w:rPr>
          <w:rFonts w:ascii="Arial"/>
          <w:b/>
        </w:rPr>
      </w:pPr>
    </w:p>
    <w:p>
      <w:pPr>
        <w:pStyle w:val="BodyText"/>
        <w:spacing w:before="1"/>
        <w:ind w:left="626"/>
      </w:pPr>
      <w:r>
        <w:rPr/>
        <w:t>Código</w:t>
      </w:r>
      <w:r>
        <w:rPr>
          <w:spacing w:val="-10"/>
        </w:rPr>
        <w:t> </w:t>
      </w:r>
      <w:r>
        <w:rPr/>
        <w:t>CIE-11:</w:t>
      </w:r>
      <w:r>
        <w:rPr>
          <w:spacing w:val="-9"/>
        </w:rPr>
        <w:t> </w:t>
      </w:r>
      <w:r>
        <w:rPr>
          <w:spacing w:val="-4"/>
        </w:rPr>
        <w:t>1C22</w:t>
      </w:r>
    </w:p>
    <w:p>
      <w:pPr>
        <w:pStyle w:val="ListParagraph"/>
        <w:numPr>
          <w:ilvl w:val="2"/>
          <w:numId w:val="160"/>
        </w:numPr>
        <w:tabs>
          <w:tab w:pos="1045" w:val="left" w:leader="none"/>
          <w:tab w:pos="1058" w:val="left" w:leader="none"/>
        </w:tabs>
        <w:spacing w:line="240" w:lineRule="auto" w:before="227" w:after="0"/>
        <w:ind w:left="1058" w:right="339" w:hanging="432"/>
        <w:jc w:val="both"/>
        <w:rPr>
          <w:sz w:val="20"/>
        </w:rPr>
      </w:pPr>
      <w:r>
        <w:rPr>
          <w:sz w:val="20"/>
        </w:rPr>
        <w:t>Personas trabajadoras en actividades como la agricultura: agricultores, granjeros y avicultores; personas trabajadoras en la cría y explotación de ganado y otras clases de animales, así como hipódromos, galgódromos, lienzos charros, palenques y promoción y presentación de espectáculos</w:t>
      </w:r>
      <w:r>
        <w:rPr>
          <w:spacing w:val="-2"/>
          <w:sz w:val="20"/>
        </w:rPr>
        <w:t> </w:t>
      </w:r>
      <w:r>
        <w:rPr>
          <w:sz w:val="20"/>
        </w:rPr>
        <w:t>taurinos:</w:t>
      </w:r>
      <w:r>
        <w:rPr>
          <w:spacing w:val="-3"/>
          <w:sz w:val="20"/>
        </w:rPr>
        <w:t> </w:t>
      </w:r>
      <w:r>
        <w:rPr>
          <w:sz w:val="20"/>
        </w:rPr>
        <w:t>cuidadores de</w:t>
      </w:r>
      <w:r>
        <w:rPr>
          <w:spacing w:val="-1"/>
          <w:sz w:val="20"/>
        </w:rPr>
        <w:t> </w:t>
      </w:r>
      <w:r>
        <w:rPr>
          <w:sz w:val="20"/>
        </w:rPr>
        <w:t>aves y</w:t>
      </w:r>
      <w:r>
        <w:rPr>
          <w:spacing w:val="-4"/>
          <w:sz w:val="20"/>
        </w:rPr>
        <w:t> </w:t>
      </w:r>
      <w:r>
        <w:rPr>
          <w:sz w:val="20"/>
        </w:rPr>
        <w:t>de zoológicos. Personas trabajadoras</w:t>
      </w:r>
      <w:r>
        <w:rPr>
          <w:spacing w:val="-2"/>
          <w:sz w:val="20"/>
        </w:rPr>
        <w:t> </w:t>
      </w:r>
      <w:r>
        <w:rPr>
          <w:sz w:val="20"/>
        </w:rPr>
        <w:t>en</w:t>
      </w:r>
      <w:r>
        <w:rPr>
          <w:spacing w:val="-1"/>
          <w:sz w:val="20"/>
        </w:rPr>
        <w:t> </w:t>
      </w:r>
      <w:r>
        <w:rPr>
          <w:sz w:val="20"/>
        </w:rPr>
        <w:t>la</w:t>
      </w:r>
      <w:r>
        <w:rPr>
          <w:spacing w:val="-1"/>
          <w:sz w:val="20"/>
        </w:rPr>
        <w:t> </w:t>
      </w:r>
      <w:r>
        <w:rPr>
          <w:sz w:val="20"/>
        </w:rPr>
        <w:t>matanza de ganado y aves; en la elaboración, preparación, conservación, envasado y empacado de carnes y sus derivados como carniceros. Personas trabajadoras en la matanza de ganado y</w:t>
      </w:r>
      <w:r>
        <w:rPr>
          <w:spacing w:val="40"/>
          <w:sz w:val="20"/>
        </w:rPr>
        <w:t> </w:t>
      </w:r>
      <w:r>
        <w:rPr>
          <w:sz w:val="20"/>
        </w:rPr>
        <w:t>aves; personas trabajadoras de mataderos de aves, elaboración, preparación, conservación, envasado y empacado de productos avícolas y personas trabajadoras en contacto con aves.</w:t>
      </w:r>
    </w:p>
    <w:p>
      <w:pPr>
        <w:pStyle w:val="BodyText"/>
        <w:spacing w:before="1"/>
      </w:pPr>
    </w:p>
    <w:p>
      <w:pPr>
        <w:pStyle w:val="ListParagraph"/>
        <w:numPr>
          <w:ilvl w:val="2"/>
          <w:numId w:val="160"/>
        </w:numPr>
        <w:tabs>
          <w:tab w:pos="1045" w:val="left" w:leader="none"/>
          <w:tab w:pos="1058" w:val="left" w:leader="none"/>
        </w:tabs>
        <w:spacing w:line="240" w:lineRule="auto" w:before="0" w:after="0"/>
        <w:ind w:left="1058" w:right="336" w:hanging="432"/>
        <w:jc w:val="both"/>
        <w:rPr>
          <w:sz w:val="20"/>
        </w:rPr>
      </w:pPr>
      <w:r>
        <w:rPr>
          <w:sz w:val="20"/>
        </w:rPr>
        <w:t>Personas trabajadoras de los servicios de laboratorio de microbiología para la industria en</w:t>
      </w:r>
      <w:r>
        <w:rPr>
          <w:spacing w:val="40"/>
          <w:sz w:val="20"/>
        </w:rPr>
        <w:t> </w:t>
      </w:r>
      <w:r>
        <w:rPr>
          <w:sz w:val="20"/>
        </w:rPr>
        <w:t>general como químicos, laboratoristas y personal de aseo de laboratorio de microbiología. Personas trabajadoras de los servicios veterinarios y auxiliares como biólogos, taxidermistas y veterinarios, ornitólogos y tiendas de mascotas.</w:t>
      </w:r>
    </w:p>
    <w:p>
      <w:pPr>
        <w:pStyle w:val="ListParagraph"/>
        <w:numPr>
          <w:ilvl w:val="2"/>
          <w:numId w:val="160"/>
        </w:numPr>
        <w:tabs>
          <w:tab w:pos="1045" w:val="left" w:leader="none"/>
          <w:tab w:pos="1058" w:val="left" w:leader="none"/>
        </w:tabs>
        <w:spacing w:line="240" w:lineRule="auto" w:before="227" w:after="0"/>
        <w:ind w:left="1058" w:right="33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w:t>
      </w:r>
      <w:r>
        <w:rPr>
          <w:spacing w:val="40"/>
          <w:sz w:val="20"/>
        </w:rPr>
        <w:t> </w:t>
      </w:r>
      <w:r>
        <w:rPr>
          <w:sz w:val="20"/>
        </w:rPr>
        <w:t>origen o con motivo del trabajo o en el medio que la persona trabajadora se vea obligada a prestar sus servicios.</w:t>
      </w:r>
    </w:p>
    <w:p>
      <w:pPr>
        <w:pStyle w:val="Heading3"/>
        <w:numPr>
          <w:ilvl w:val="1"/>
          <w:numId w:val="160"/>
        </w:numPr>
        <w:tabs>
          <w:tab w:pos="956" w:val="left" w:leader="none"/>
        </w:tabs>
        <w:spacing w:line="240" w:lineRule="auto" w:before="228" w:after="0"/>
        <w:ind w:left="956" w:right="0" w:hanging="330"/>
        <w:jc w:val="left"/>
      </w:pPr>
      <w:r>
        <w:rPr/>
        <w:t>Rabia</w:t>
      </w:r>
      <w:r>
        <w:rPr>
          <w:spacing w:val="-8"/>
        </w:rPr>
        <w:t> </w:t>
      </w:r>
      <w:r>
        <w:rPr/>
        <w:t>o</w:t>
      </w:r>
      <w:r>
        <w:rPr>
          <w:spacing w:val="-7"/>
        </w:rPr>
        <w:t> </w:t>
      </w:r>
      <w:r>
        <w:rPr/>
        <w:t>hidrofobia</w:t>
      </w:r>
      <w:r>
        <w:rPr>
          <w:spacing w:val="-8"/>
        </w:rPr>
        <w:t> </w:t>
      </w:r>
      <w:r>
        <w:rPr/>
        <w:t>(encefalitis</w:t>
      </w:r>
      <w:r>
        <w:rPr>
          <w:spacing w:val="-5"/>
        </w:rPr>
        <w:t> </w:t>
      </w:r>
      <w:r>
        <w:rPr/>
        <w:t>aguda</w:t>
      </w:r>
      <w:r>
        <w:rPr>
          <w:spacing w:val="-5"/>
        </w:rPr>
        <w:t> </w:t>
      </w:r>
      <w:r>
        <w:rPr/>
        <w:t>y</w:t>
      </w:r>
      <w:r>
        <w:rPr>
          <w:spacing w:val="-7"/>
        </w:rPr>
        <w:t> </w:t>
      </w:r>
      <w:r>
        <w:rPr>
          <w:spacing w:val="-2"/>
        </w:rPr>
        <w:t>mortal)</w:t>
      </w:r>
    </w:p>
    <w:p>
      <w:pPr>
        <w:pStyle w:val="BodyText"/>
        <w:spacing w:before="1"/>
        <w:rPr>
          <w:rFonts w:ascii="Arial"/>
          <w:b/>
        </w:rPr>
      </w:pPr>
    </w:p>
    <w:p>
      <w:pPr>
        <w:pStyle w:val="BodyText"/>
        <w:ind w:left="626"/>
      </w:pPr>
      <w:r>
        <w:rPr/>
        <w:t>Código</w:t>
      </w:r>
      <w:r>
        <w:rPr>
          <w:spacing w:val="-10"/>
        </w:rPr>
        <w:t> </w:t>
      </w:r>
      <w:r>
        <w:rPr/>
        <w:t>CIE-11:</w:t>
      </w:r>
      <w:r>
        <w:rPr>
          <w:spacing w:val="-9"/>
        </w:rPr>
        <w:t> </w:t>
      </w:r>
      <w:r>
        <w:rPr>
          <w:spacing w:val="-4"/>
        </w:rPr>
        <w:t>1C82</w:t>
      </w:r>
    </w:p>
    <w:p>
      <w:pPr>
        <w:pStyle w:val="ListParagraph"/>
        <w:numPr>
          <w:ilvl w:val="2"/>
          <w:numId w:val="160"/>
        </w:numPr>
        <w:tabs>
          <w:tab w:pos="1045" w:val="left" w:leader="none"/>
          <w:tab w:pos="1058" w:val="left" w:leader="none"/>
        </w:tabs>
        <w:spacing w:line="240" w:lineRule="auto" w:before="230" w:after="0"/>
        <w:ind w:left="1058" w:right="338" w:hanging="432"/>
        <w:jc w:val="both"/>
        <w:rPr>
          <w:sz w:val="20"/>
        </w:rPr>
      </w:pPr>
      <w:r>
        <w:rPr>
          <w:sz w:val="20"/>
        </w:rPr>
        <w:t>Personas trabajadoras en la agricultura como agricultores, agropecuarios y jornaleros. Personas trabajadoras de los servicios de fumigación, desinfección y control de plagas como jardineros, jardineros ornamentales, así como, personas trabajadoras de los servicios de enseñanza académica, capacitación, investigación científica y difusión cultural como conservadores de la naturaleza, ecologistas, investigadores, exploradores de cavernas, de bioterios e investigadores.</w:t>
      </w:r>
    </w:p>
    <w:p>
      <w:pPr>
        <w:pStyle w:val="ListParagraph"/>
        <w:numPr>
          <w:ilvl w:val="2"/>
          <w:numId w:val="160"/>
        </w:numPr>
        <w:tabs>
          <w:tab w:pos="1045" w:val="left" w:leader="none"/>
          <w:tab w:pos="1058" w:val="left" w:leader="none"/>
        </w:tabs>
        <w:spacing w:line="240" w:lineRule="auto" w:before="229" w:after="0"/>
        <w:ind w:left="1058" w:right="344" w:hanging="432"/>
        <w:jc w:val="both"/>
        <w:rPr>
          <w:sz w:val="20"/>
        </w:rPr>
      </w:pPr>
      <w:r>
        <w:rPr>
          <w:sz w:val="20"/>
        </w:rPr>
        <w:t>Personas trabajadoras de los servicios veterinarios y auxiliares como personas trabajadoras de perreras, personal en contacto con animales infectados y veterinarios. Personas trabajadoras de </w:t>
      </w:r>
      <w:r>
        <w:rPr>
          <w:spacing w:val="-2"/>
          <w:sz w:val="20"/>
        </w:rPr>
        <w:t>zoológicos.</w:t>
      </w:r>
    </w:p>
    <w:p>
      <w:pPr>
        <w:pStyle w:val="ListParagraph"/>
        <w:numPr>
          <w:ilvl w:val="2"/>
          <w:numId w:val="160"/>
        </w:numPr>
        <w:tabs>
          <w:tab w:pos="1045" w:val="left" w:leader="none"/>
          <w:tab w:pos="1058" w:val="left" w:leader="none"/>
        </w:tabs>
        <w:spacing w:line="240" w:lineRule="auto" w:before="229" w:after="0"/>
        <w:ind w:left="1058" w:right="33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09" w:val="left" w:leader="none"/>
        </w:tabs>
        <w:spacing w:line="240" w:lineRule="auto" w:before="226" w:after="0"/>
        <w:ind w:left="338" w:right="346" w:firstLine="288"/>
        <w:jc w:val="left"/>
      </w:pPr>
      <w:r>
        <w:rPr/>
        <w:t>Rickettsiosis</w:t>
      </w:r>
      <w:r>
        <w:rPr>
          <w:spacing w:val="40"/>
        </w:rPr>
        <w:t> </w:t>
      </w:r>
      <w:r>
        <w:rPr/>
        <w:t>(tifus</w:t>
      </w:r>
      <w:r>
        <w:rPr>
          <w:spacing w:val="40"/>
        </w:rPr>
        <w:t> </w:t>
      </w:r>
      <w:r>
        <w:rPr/>
        <w:t>murino,</w:t>
      </w:r>
      <w:r>
        <w:rPr>
          <w:spacing w:val="40"/>
        </w:rPr>
        <w:t> </w:t>
      </w:r>
      <w:r>
        <w:rPr/>
        <w:t>fiebre</w:t>
      </w:r>
      <w:r>
        <w:rPr>
          <w:spacing w:val="40"/>
        </w:rPr>
        <w:t> </w:t>
      </w:r>
      <w:r>
        <w:rPr/>
        <w:t>maculosa</w:t>
      </w:r>
      <w:r>
        <w:rPr>
          <w:spacing w:val="40"/>
        </w:rPr>
        <w:t> </w:t>
      </w:r>
      <w:r>
        <w:rPr/>
        <w:t>de</w:t>
      </w:r>
      <w:r>
        <w:rPr>
          <w:spacing w:val="40"/>
        </w:rPr>
        <w:t> </w:t>
      </w:r>
      <w:r>
        <w:rPr/>
        <w:t>las</w:t>
      </w:r>
      <w:r>
        <w:rPr>
          <w:spacing w:val="40"/>
        </w:rPr>
        <w:t> </w:t>
      </w:r>
      <w:r>
        <w:rPr/>
        <w:t>montañas</w:t>
      </w:r>
      <w:r>
        <w:rPr>
          <w:spacing w:val="40"/>
        </w:rPr>
        <w:t> </w:t>
      </w:r>
      <w:r>
        <w:rPr/>
        <w:t>rocallosas,</w:t>
      </w:r>
      <w:r>
        <w:rPr>
          <w:spacing w:val="40"/>
        </w:rPr>
        <w:t> </w:t>
      </w:r>
      <w:r>
        <w:rPr/>
        <w:t>fiebre</w:t>
      </w:r>
      <w:r>
        <w:rPr>
          <w:spacing w:val="40"/>
        </w:rPr>
        <w:t> </w:t>
      </w:r>
      <w:r>
        <w:rPr/>
        <w:t>q</w:t>
      </w:r>
      <w:r>
        <w:rPr>
          <w:spacing w:val="40"/>
        </w:rPr>
        <w:t> </w:t>
      </w:r>
      <w:r>
        <w:rPr/>
        <w:t>o</w:t>
      </w:r>
      <w:r>
        <w:rPr>
          <w:spacing w:val="40"/>
        </w:rPr>
        <w:t> </w:t>
      </w:r>
      <w:r>
        <w:rPr/>
        <w:t>de queensland y fiebre manchada)</w:t>
      </w:r>
    </w:p>
    <w:p>
      <w:pPr>
        <w:pStyle w:val="Heading3"/>
        <w:spacing w:after="0" w:line="240" w:lineRule="auto"/>
        <w:jc w:val="left"/>
        <w:sectPr>
          <w:pgSz w:w="12240" w:h="15840"/>
          <w:pgMar w:header="724" w:footer="712" w:top="1880" w:bottom="900" w:left="1080" w:right="1080"/>
        </w:sectPr>
      </w:pPr>
    </w:p>
    <w:p>
      <w:pPr>
        <w:pStyle w:val="BodyText"/>
        <w:rPr>
          <w:rFonts w:ascii="Arial"/>
          <w:b/>
        </w:rPr>
      </w:pPr>
    </w:p>
    <w:p>
      <w:pPr>
        <w:pStyle w:val="BodyText"/>
        <w:spacing w:before="66"/>
        <w:rPr>
          <w:rFonts w:ascii="Arial"/>
          <w:b/>
        </w:rPr>
      </w:pPr>
    </w:p>
    <w:p>
      <w:pPr>
        <w:pStyle w:val="BodyText"/>
        <w:ind w:left="626"/>
      </w:pPr>
      <w:r>
        <w:rPr/>
        <w:t>Código</w:t>
      </w:r>
      <w:r>
        <w:rPr>
          <w:spacing w:val="-8"/>
        </w:rPr>
        <w:t> </w:t>
      </w:r>
      <w:r>
        <w:rPr/>
        <w:t>CIE-11:</w:t>
      </w:r>
      <w:r>
        <w:rPr>
          <w:spacing w:val="-7"/>
        </w:rPr>
        <w:t> </w:t>
      </w:r>
      <w:r>
        <w:rPr/>
        <w:t>1C30.0,</w:t>
      </w:r>
      <w:r>
        <w:rPr>
          <w:spacing w:val="-7"/>
        </w:rPr>
        <w:t> </w:t>
      </w:r>
      <w:r>
        <w:rPr/>
        <w:t>1C31.0,</w:t>
      </w:r>
      <w:r>
        <w:rPr>
          <w:spacing w:val="-6"/>
        </w:rPr>
        <w:t> </w:t>
      </w:r>
      <w:r>
        <w:rPr>
          <w:spacing w:val="-4"/>
        </w:rPr>
        <w:t>1C33</w:t>
      </w:r>
    </w:p>
    <w:p>
      <w:pPr>
        <w:pStyle w:val="ListParagraph"/>
        <w:numPr>
          <w:ilvl w:val="2"/>
          <w:numId w:val="160"/>
        </w:numPr>
        <w:tabs>
          <w:tab w:pos="1045" w:val="left" w:leader="none"/>
          <w:tab w:pos="1058" w:val="left" w:leader="none"/>
        </w:tabs>
        <w:spacing w:line="240" w:lineRule="auto" w:before="229" w:after="0"/>
        <w:ind w:left="1058" w:right="339" w:hanging="432"/>
        <w:jc w:val="both"/>
        <w:rPr>
          <w:sz w:val="20"/>
        </w:rPr>
      </w:pPr>
      <w:r>
        <w:rPr>
          <w:sz w:val="20"/>
        </w:rPr>
        <w:t>Personas trabajadoras en la agricultura como agricultores, agropecuarios y jornaleros. Personas trabajadoras de la cría y explotación de ganado y otras clases de animales, hipódromos, galgódromos, lienzos charros, palenques, así como promoción y presentación de espectáculos taurinos como granjeros, caballerangos, jinetes, cuidadores y ordeñadores. Personas trabajadoras en la elaboración, preparación, conservación, envasado y empacado de carnes y sus derivados, como personas trabajadoras que elaboran y preparan carnes. Personas trabajadoras en la explotación de bosques madereros; extracción de productos forestales no maderables y servicios de explotación forestal como forestales, guardabosques y operadores madereros. Personas trabajadoras en</w:t>
      </w:r>
      <w:r>
        <w:rPr>
          <w:spacing w:val="-1"/>
          <w:sz w:val="20"/>
        </w:rPr>
        <w:t> </w:t>
      </w:r>
      <w:r>
        <w:rPr>
          <w:sz w:val="20"/>
        </w:rPr>
        <w:t>la</w:t>
      </w:r>
      <w:r>
        <w:rPr>
          <w:spacing w:val="-1"/>
          <w:sz w:val="20"/>
        </w:rPr>
        <w:t> </w:t>
      </w:r>
      <w:r>
        <w:rPr>
          <w:sz w:val="20"/>
        </w:rPr>
        <w:t>fabricación</w:t>
      </w:r>
      <w:r>
        <w:rPr>
          <w:spacing w:val="-1"/>
          <w:sz w:val="20"/>
        </w:rPr>
        <w:t> </w:t>
      </w:r>
      <w:r>
        <w:rPr>
          <w:sz w:val="20"/>
        </w:rPr>
        <w:t>de</w:t>
      </w:r>
      <w:r>
        <w:rPr>
          <w:spacing w:val="-1"/>
          <w:sz w:val="20"/>
        </w:rPr>
        <w:t> </w:t>
      </w:r>
      <w:r>
        <w:rPr>
          <w:sz w:val="20"/>
        </w:rPr>
        <w:t>resinas sintéticas, plastificantes y</w:t>
      </w:r>
      <w:r>
        <w:rPr>
          <w:spacing w:val="-3"/>
          <w:sz w:val="20"/>
        </w:rPr>
        <w:t> </w:t>
      </w:r>
      <w:r>
        <w:rPr>
          <w:sz w:val="20"/>
        </w:rPr>
        <w:t>caucho. Personas trabajadoras en la matanza de ganado y aves, como operadores de mataderos.</w:t>
      </w:r>
    </w:p>
    <w:p>
      <w:pPr>
        <w:pStyle w:val="BodyText"/>
      </w:pPr>
    </w:p>
    <w:p>
      <w:pPr>
        <w:pStyle w:val="ListParagraph"/>
        <w:numPr>
          <w:ilvl w:val="2"/>
          <w:numId w:val="160"/>
        </w:numPr>
        <w:tabs>
          <w:tab w:pos="1045" w:val="left" w:leader="none"/>
          <w:tab w:pos="1058" w:val="left" w:leader="none"/>
        </w:tabs>
        <w:spacing w:line="240" w:lineRule="auto" w:before="0" w:after="0"/>
        <w:ind w:left="1058" w:right="338" w:hanging="432"/>
        <w:jc w:val="both"/>
        <w:rPr>
          <w:sz w:val="20"/>
        </w:rPr>
      </w:pPr>
      <w:r>
        <w:rPr>
          <w:sz w:val="20"/>
        </w:rPr>
        <w:t>Personas trabajadoras de los servicios médicos, paramédicos y auxiliares: enfermeras, personal de laboratorios biológicos y de diagnóstico, de centros de diálisis y de lavandería. Personas trabajadoras de los servicios veterinarios y auxiliares, como biólogos, taxidermistas, veterinarios, ornitólogos y personal en las tiendas de mascotas. Personas trabajadoras de los servicios de educación y asistencia como escuelas, hospicios, guarderías, asilos, prisiones, como maestros, educadoras, puericultistas, afanadoras de guarderías, guardias de prisión, celadores, soldados y </w:t>
      </w:r>
      <w:r>
        <w:rPr>
          <w:spacing w:val="-2"/>
          <w:sz w:val="20"/>
        </w:rPr>
        <w:t>marinos.</w:t>
      </w:r>
    </w:p>
    <w:p>
      <w:pPr>
        <w:pStyle w:val="ListParagraph"/>
        <w:numPr>
          <w:ilvl w:val="2"/>
          <w:numId w:val="160"/>
        </w:numPr>
        <w:tabs>
          <w:tab w:pos="1045" w:val="left" w:leader="none"/>
          <w:tab w:pos="1058" w:val="left" w:leader="none"/>
        </w:tabs>
        <w:spacing w:line="240" w:lineRule="auto" w:before="228" w:after="0"/>
        <w:ind w:left="1058" w:right="337"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6" w:after="0"/>
        <w:ind w:left="956" w:right="0" w:hanging="330"/>
        <w:jc w:val="left"/>
      </w:pPr>
      <w:r>
        <w:rPr/>
        <w:t>Rubéola</w:t>
      </w:r>
      <w:r>
        <w:rPr>
          <w:spacing w:val="-7"/>
        </w:rPr>
        <w:t> </w:t>
      </w:r>
      <w:r>
        <w:rPr/>
        <w:t>(sarampión</w:t>
      </w:r>
      <w:r>
        <w:rPr>
          <w:spacing w:val="-3"/>
        </w:rPr>
        <w:t> </w:t>
      </w:r>
      <w:r>
        <w:rPr/>
        <w:t>alemán</w:t>
      </w:r>
      <w:r>
        <w:rPr>
          <w:spacing w:val="-6"/>
        </w:rPr>
        <w:t> </w:t>
      </w:r>
      <w:r>
        <w:rPr/>
        <w:t>o</w:t>
      </w:r>
      <w:r>
        <w:rPr>
          <w:spacing w:val="-6"/>
        </w:rPr>
        <w:t> </w:t>
      </w:r>
      <w:r>
        <w:rPr/>
        <w:t>sarampión</w:t>
      </w:r>
      <w:r>
        <w:rPr>
          <w:spacing w:val="-5"/>
        </w:rPr>
        <w:t> </w:t>
      </w:r>
      <w:r>
        <w:rPr/>
        <w:t>de</w:t>
      </w:r>
      <w:r>
        <w:rPr>
          <w:spacing w:val="-6"/>
        </w:rPr>
        <w:t> </w:t>
      </w:r>
      <w:r>
        <w:rPr/>
        <w:t>tres</w:t>
      </w:r>
      <w:r>
        <w:rPr>
          <w:spacing w:val="-6"/>
        </w:rPr>
        <w:t> </w:t>
      </w:r>
      <w:r>
        <w:rPr>
          <w:spacing w:val="-2"/>
        </w:rPr>
        <w:t>días)</w:t>
      </w:r>
    </w:p>
    <w:p>
      <w:pPr>
        <w:pStyle w:val="BodyText"/>
        <w:spacing w:before="3"/>
        <w:rPr>
          <w:rFonts w:ascii="Arial"/>
          <w:b/>
        </w:rPr>
      </w:pPr>
    </w:p>
    <w:p>
      <w:pPr>
        <w:pStyle w:val="BodyText"/>
        <w:spacing w:before="1"/>
        <w:ind w:left="626"/>
      </w:pPr>
      <w:r>
        <w:rPr/>
        <w:t>Código</w:t>
      </w:r>
      <w:r>
        <w:rPr>
          <w:spacing w:val="-10"/>
        </w:rPr>
        <w:t> </w:t>
      </w:r>
      <w:r>
        <w:rPr/>
        <w:t>CIE-11:</w:t>
      </w:r>
      <w:r>
        <w:rPr>
          <w:spacing w:val="-9"/>
        </w:rPr>
        <w:t> </w:t>
      </w:r>
      <w:r>
        <w:rPr>
          <w:spacing w:val="-4"/>
        </w:rPr>
        <w:t>1F02</w:t>
      </w:r>
    </w:p>
    <w:p>
      <w:pPr>
        <w:pStyle w:val="ListParagraph"/>
        <w:numPr>
          <w:ilvl w:val="2"/>
          <w:numId w:val="160"/>
        </w:numPr>
        <w:tabs>
          <w:tab w:pos="1045" w:val="left" w:leader="none"/>
          <w:tab w:pos="1058" w:val="left" w:leader="none"/>
        </w:tabs>
        <w:spacing w:line="240" w:lineRule="auto" w:before="229" w:after="0"/>
        <w:ind w:left="1058" w:right="339" w:hanging="432"/>
        <w:jc w:val="both"/>
        <w:rPr>
          <w:sz w:val="20"/>
        </w:rPr>
      </w:pPr>
      <w:r>
        <w:rPr>
          <w:sz w:val="20"/>
        </w:rPr>
        <w:t>Personas trabajadoras de los servicios de alojamiento temporal: de hoteles, residencias y moteles. Personas trabajadoras de los servicios de enseñanza académica, capacitación, investigación</w:t>
      </w:r>
      <w:r>
        <w:rPr>
          <w:spacing w:val="-4"/>
          <w:sz w:val="20"/>
        </w:rPr>
        <w:t> </w:t>
      </w:r>
      <w:r>
        <w:rPr>
          <w:sz w:val="20"/>
        </w:rPr>
        <w:t>científica y</w:t>
      </w:r>
      <w:r>
        <w:rPr>
          <w:spacing w:val="-7"/>
          <w:sz w:val="20"/>
        </w:rPr>
        <w:t> </w:t>
      </w:r>
      <w:r>
        <w:rPr>
          <w:sz w:val="20"/>
        </w:rPr>
        <w:t>difusión</w:t>
      </w:r>
      <w:r>
        <w:rPr>
          <w:spacing w:val="-1"/>
          <w:sz w:val="20"/>
        </w:rPr>
        <w:t> </w:t>
      </w:r>
      <w:r>
        <w:rPr>
          <w:sz w:val="20"/>
        </w:rPr>
        <w:t>cultural,</w:t>
      </w:r>
      <w:r>
        <w:rPr>
          <w:spacing w:val="-2"/>
          <w:sz w:val="20"/>
        </w:rPr>
        <w:t> </w:t>
      </w:r>
      <w:r>
        <w:rPr>
          <w:sz w:val="20"/>
        </w:rPr>
        <w:t>como</w:t>
      </w:r>
      <w:r>
        <w:rPr>
          <w:spacing w:val="-7"/>
          <w:sz w:val="20"/>
        </w:rPr>
        <w:t> </w:t>
      </w:r>
      <w:r>
        <w:rPr>
          <w:sz w:val="20"/>
        </w:rPr>
        <w:t>maestros</w:t>
      </w:r>
      <w:r>
        <w:rPr>
          <w:spacing w:val="-3"/>
          <w:sz w:val="20"/>
        </w:rPr>
        <w:t> </w:t>
      </w:r>
      <w:r>
        <w:rPr>
          <w:sz w:val="20"/>
        </w:rPr>
        <w:t>de</w:t>
      </w:r>
      <w:r>
        <w:rPr>
          <w:spacing w:val="-3"/>
          <w:sz w:val="20"/>
        </w:rPr>
        <w:t> </w:t>
      </w:r>
      <w:r>
        <w:rPr>
          <w:sz w:val="20"/>
        </w:rPr>
        <w:t>preescolar,</w:t>
      </w:r>
      <w:r>
        <w:rPr>
          <w:spacing w:val="-4"/>
          <w:sz w:val="20"/>
        </w:rPr>
        <w:t> </w:t>
      </w:r>
      <w:r>
        <w:rPr>
          <w:sz w:val="20"/>
        </w:rPr>
        <w:t>primaria</w:t>
      </w:r>
      <w:r>
        <w:rPr>
          <w:spacing w:val="-3"/>
          <w:sz w:val="20"/>
        </w:rPr>
        <w:t> </w:t>
      </w:r>
      <w:r>
        <w:rPr>
          <w:sz w:val="20"/>
        </w:rPr>
        <w:t>y</w:t>
      </w:r>
      <w:r>
        <w:rPr>
          <w:spacing w:val="-5"/>
          <w:sz w:val="20"/>
        </w:rPr>
        <w:t> </w:t>
      </w:r>
      <w:r>
        <w:rPr>
          <w:sz w:val="20"/>
        </w:rPr>
        <w:t>de</w:t>
      </w:r>
      <w:r>
        <w:rPr>
          <w:spacing w:val="-4"/>
          <w:sz w:val="20"/>
        </w:rPr>
        <w:t> </w:t>
      </w:r>
      <w:r>
        <w:rPr>
          <w:sz w:val="20"/>
        </w:rPr>
        <w:t>guarderías. Personas trabajadoras en servicios médicos como: médicos, enfermeras, paramédicos,</w:t>
      </w:r>
      <w:r>
        <w:rPr>
          <w:spacing w:val="40"/>
          <w:sz w:val="20"/>
        </w:rPr>
        <w:t> </w:t>
      </w:r>
      <w:r>
        <w:rPr>
          <w:sz w:val="20"/>
        </w:rPr>
        <w:t>auxiliares, personal de limpieza en hospitales y sanatorios, terapistas y de la salud.</w:t>
      </w:r>
    </w:p>
    <w:p>
      <w:pPr>
        <w:pStyle w:val="ListParagraph"/>
        <w:numPr>
          <w:ilvl w:val="2"/>
          <w:numId w:val="160"/>
        </w:numPr>
        <w:tabs>
          <w:tab w:pos="1045" w:val="left" w:leader="none"/>
          <w:tab w:pos="1058" w:val="left" w:leader="none"/>
        </w:tabs>
        <w:spacing w:line="240" w:lineRule="auto" w:before="227" w:after="0"/>
        <w:ind w:left="1058" w:right="343"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8" w:val="left" w:leader="none"/>
        </w:tabs>
        <w:spacing w:line="240" w:lineRule="auto" w:before="229" w:after="0"/>
        <w:ind w:left="958" w:right="0" w:hanging="332"/>
        <w:jc w:val="left"/>
      </w:pPr>
      <w:r>
        <w:rPr>
          <w:spacing w:val="-2"/>
        </w:rPr>
        <w:t>Sarampión</w:t>
      </w:r>
    </w:p>
    <w:p>
      <w:pPr>
        <w:pStyle w:val="BodyText"/>
        <w:spacing w:before="1"/>
        <w:rPr>
          <w:rFonts w:ascii="Arial"/>
          <w:b/>
        </w:rPr>
      </w:pPr>
    </w:p>
    <w:p>
      <w:pPr>
        <w:pStyle w:val="BodyText"/>
        <w:ind w:left="626"/>
      </w:pPr>
      <w:r>
        <w:rPr/>
        <w:t>Código</w:t>
      </w:r>
      <w:r>
        <w:rPr>
          <w:spacing w:val="-10"/>
        </w:rPr>
        <w:t> </w:t>
      </w:r>
      <w:r>
        <w:rPr/>
        <w:t>CIE-11:</w:t>
      </w:r>
      <w:r>
        <w:rPr>
          <w:spacing w:val="-9"/>
        </w:rPr>
        <w:t> </w:t>
      </w:r>
      <w:r>
        <w:rPr>
          <w:spacing w:val="-4"/>
        </w:rPr>
        <w:t>1F03</w:t>
      </w:r>
    </w:p>
    <w:p>
      <w:pPr>
        <w:pStyle w:val="ListParagraph"/>
        <w:numPr>
          <w:ilvl w:val="2"/>
          <w:numId w:val="160"/>
        </w:numPr>
        <w:tabs>
          <w:tab w:pos="1045" w:val="left" w:leader="none"/>
          <w:tab w:pos="1058" w:val="left" w:leader="none"/>
        </w:tabs>
        <w:spacing w:line="240" w:lineRule="auto" w:before="229" w:after="0"/>
        <w:ind w:left="1058" w:right="339" w:hanging="432"/>
        <w:jc w:val="both"/>
        <w:rPr>
          <w:sz w:val="20"/>
        </w:rPr>
      </w:pPr>
      <w:r>
        <w:rPr>
          <w:sz w:val="20"/>
        </w:rPr>
        <w:t>Personas trabajadoras de los servicios de alojamiento temporal: de hoteles, residencias y moteles. Personas trabajadoras de los servicios de enseñanza académica, capacitación, investigación</w:t>
      </w:r>
      <w:r>
        <w:rPr>
          <w:spacing w:val="-4"/>
          <w:sz w:val="20"/>
        </w:rPr>
        <w:t> </w:t>
      </w:r>
      <w:r>
        <w:rPr>
          <w:sz w:val="20"/>
        </w:rPr>
        <w:t>científica y</w:t>
      </w:r>
      <w:r>
        <w:rPr>
          <w:spacing w:val="-7"/>
          <w:sz w:val="20"/>
        </w:rPr>
        <w:t> </w:t>
      </w:r>
      <w:r>
        <w:rPr>
          <w:sz w:val="20"/>
        </w:rPr>
        <w:t>difusión</w:t>
      </w:r>
      <w:r>
        <w:rPr>
          <w:spacing w:val="-5"/>
          <w:sz w:val="20"/>
        </w:rPr>
        <w:t> </w:t>
      </w:r>
      <w:r>
        <w:rPr>
          <w:sz w:val="20"/>
        </w:rPr>
        <w:t>cultural,</w:t>
      </w:r>
      <w:r>
        <w:rPr>
          <w:spacing w:val="-2"/>
          <w:sz w:val="20"/>
        </w:rPr>
        <w:t> </w:t>
      </w:r>
      <w:r>
        <w:rPr>
          <w:sz w:val="20"/>
        </w:rPr>
        <w:t>como</w:t>
      </w:r>
      <w:r>
        <w:rPr>
          <w:spacing w:val="-7"/>
          <w:sz w:val="20"/>
        </w:rPr>
        <w:t> </w:t>
      </w:r>
      <w:r>
        <w:rPr>
          <w:sz w:val="20"/>
        </w:rPr>
        <w:t>maestros</w:t>
      </w:r>
      <w:r>
        <w:rPr>
          <w:spacing w:val="-3"/>
          <w:sz w:val="20"/>
        </w:rPr>
        <w:t> </w:t>
      </w:r>
      <w:r>
        <w:rPr>
          <w:sz w:val="20"/>
        </w:rPr>
        <w:t>de</w:t>
      </w:r>
      <w:r>
        <w:rPr>
          <w:spacing w:val="-3"/>
          <w:sz w:val="20"/>
        </w:rPr>
        <w:t> </w:t>
      </w:r>
      <w:r>
        <w:rPr>
          <w:sz w:val="20"/>
        </w:rPr>
        <w:t>preescolar,</w:t>
      </w:r>
      <w:r>
        <w:rPr>
          <w:spacing w:val="-4"/>
          <w:sz w:val="20"/>
        </w:rPr>
        <w:t> </w:t>
      </w:r>
      <w:r>
        <w:rPr>
          <w:sz w:val="20"/>
        </w:rPr>
        <w:t>primaria</w:t>
      </w:r>
      <w:r>
        <w:rPr>
          <w:spacing w:val="-3"/>
          <w:sz w:val="20"/>
        </w:rPr>
        <w:t> </w:t>
      </w:r>
      <w:r>
        <w:rPr>
          <w:sz w:val="20"/>
        </w:rPr>
        <w:t>y</w:t>
      </w:r>
      <w:r>
        <w:rPr>
          <w:spacing w:val="-5"/>
          <w:sz w:val="20"/>
        </w:rPr>
        <w:t> </w:t>
      </w:r>
      <w:r>
        <w:rPr>
          <w:sz w:val="20"/>
        </w:rPr>
        <w:t>de</w:t>
      </w:r>
      <w:r>
        <w:rPr>
          <w:spacing w:val="-4"/>
          <w:sz w:val="20"/>
        </w:rPr>
        <w:t> </w:t>
      </w:r>
      <w:r>
        <w:rPr>
          <w:sz w:val="20"/>
        </w:rPr>
        <w:t>guarderías.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058" w:right="342"/>
      </w:pPr>
      <w:r>
        <w:rPr/>
        <w:t>Personas</w:t>
      </w:r>
      <w:r>
        <w:rPr>
          <w:spacing w:val="40"/>
        </w:rPr>
        <w:t> </w:t>
      </w:r>
      <w:r>
        <w:rPr/>
        <w:t>trabajadoras</w:t>
      </w:r>
      <w:r>
        <w:rPr>
          <w:spacing w:val="40"/>
        </w:rPr>
        <w:t> </w:t>
      </w:r>
      <w:r>
        <w:rPr/>
        <w:t>de</w:t>
      </w:r>
      <w:r>
        <w:rPr>
          <w:spacing w:val="40"/>
        </w:rPr>
        <w:t> </w:t>
      </w:r>
      <w:r>
        <w:rPr/>
        <w:t>los</w:t>
      </w:r>
      <w:r>
        <w:rPr>
          <w:spacing w:val="40"/>
        </w:rPr>
        <w:t> </w:t>
      </w:r>
      <w:r>
        <w:rPr/>
        <w:t>servicios</w:t>
      </w:r>
      <w:r>
        <w:rPr>
          <w:spacing w:val="40"/>
        </w:rPr>
        <w:t> </w:t>
      </w:r>
      <w:r>
        <w:rPr/>
        <w:t>médicos</w:t>
      </w:r>
      <w:r>
        <w:rPr>
          <w:spacing w:val="40"/>
        </w:rPr>
        <w:t> </w:t>
      </w:r>
      <w:r>
        <w:rPr/>
        <w:t>como:</w:t>
      </w:r>
      <w:r>
        <w:rPr>
          <w:spacing w:val="40"/>
        </w:rPr>
        <w:t> </w:t>
      </w:r>
      <w:r>
        <w:rPr/>
        <w:t>médicos,</w:t>
      </w:r>
      <w:r>
        <w:rPr>
          <w:spacing w:val="40"/>
        </w:rPr>
        <w:t> </w:t>
      </w:r>
      <w:r>
        <w:rPr/>
        <w:t>enfermeras,</w:t>
      </w:r>
      <w:r>
        <w:rPr>
          <w:spacing w:val="40"/>
        </w:rPr>
        <w:t> </w:t>
      </w:r>
      <w:r>
        <w:rPr/>
        <w:t>paramédicos,</w:t>
      </w:r>
      <w:r>
        <w:rPr>
          <w:spacing w:val="40"/>
        </w:rPr>
        <w:t> </w:t>
      </w:r>
      <w:r>
        <w:rPr/>
        <w:t>auxiliares, personal de limpieza en hospitales, sanatorios, terapistas y en el sector salud.</w:t>
      </w:r>
    </w:p>
    <w:p>
      <w:pPr>
        <w:pStyle w:val="BodyText"/>
      </w:pPr>
    </w:p>
    <w:p>
      <w:pPr>
        <w:pStyle w:val="ListParagraph"/>
        <w:numPr>
          <w:ilvl w:val="2"/>
          <w:numId w:val="160"/>
        </w:numPr>
        <w:tabs>
          <w:tab w:pos="1045" w:val="left" w:leader="none"/>
          <w:tab w:pos="1058" w:val="left" w:leader="none"/>
        </w:tabs>
        <w:spacing w:line="240" w:lineRule="auto" w:before="0" w:after="0"/>
        <w:ind w:left="1058" w:right="33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8" w:val="left" w:leader="none"/>
        </w:tabs>
        <w:spacing w:line="240" w:lineRule="auto" w:before="226" w:after="0"/>
        <w:ind w:left="958" w:right="0" w:hanging="332"/>
        <w:jc w:val="left"/>
      </w:pPr>
      <w:r>
        <w:rPr/>
        <w:t>Sífilis</w:t>
      </w:r>
      <w:r>
        <w:rPr>
          <w:spacing w:val="-8"/>
        </w:rPr>
        <w:t> </w:t>
      </w:r>
      <w:r>
        <w:rPr/>
        <w:t>no</w:t>
      </w:r>
      <w:r>
        <w:rPr>
          <w:spacing w:val="-6"/>
        </w:rPr>
        <w:t> </w:t>
      </w:r>
      <w:r>
        <w:rPr>
          <w:spacing w:val="-2"/>
        </w:rPr>
        <w:t>venérea</w:t>
      </w:r>
    </w:p>
    <w:p>
      <w:pPr>
        <w:pStyle w:val="BodyText"/>
        <w:spacing w:before="3"/>
        <w:rPr>
          <w:rFonts w:ascii="Arial"/>
          <w:b/>
        </w:rPr>
      </w:pPr>
    </w:p>
    <w:p>
      <w:pPr>
        <w:pStyle w:val="BodyText"/>
        <w:ind w:left="626"/>
      </w:pPr>
      <w:r>
        <w:rPr/>
        <w:t>Código</w:t>
      </w:r>
      <w:r>
        <w:rPr>
          <w:spacing w:val="-10"/>
        </w:rPr>
        <w:t> </w:t>
      </w:r>
      <w:r>
        <w:rPr/>
        <w:t>CIE-11:</w:t>
      </w:r>
      <w:r>
        <w:rPr>
          <w:spacing w:val="-9"/>
        </w:rPr>
        <w:t> </w:t>
      </w:r>
      <w:r>
        <w:rPr>
          <w:spacing w:val="-4"/>
        </w:rPr>
        <w:t>1C1F</w:t>
      </w:r>
    </w:p>
    <w:p>
      <w:pPr>
        <w:pStyle w:val="BodyText"/>
      </w:pPr>
    </w:p>
    <w:p>
      <w:pPr>
        <w:pStyle w:val="ListParagraph"/>
        <w:numPr>
          <w:ilvl w:val="2"/>
          <w:numId w:val="160"/>
        </w:numPr>
        <w:tabs>
          <w:tab w:pos="1045" w:val="left" w:leader="none"/>
          <w:tab w:pos="1058" w:val="left" w:leader="none"/>
        </w:tabs>
        <w:spacing w:line="240" w:lineRule="auto" w:before="0" w:after="0"/>
        <w:ind w:left="1058" w:right="339" w:hanging="432"/>
        <w:jc w:val="both"/>
        <w:rPr>
          <w:sz w:val="20"/>
        </w:rPr>
      </w:pPr>
      <w:r>
        <w:rPr>
          <w:sz w:val="20"/>
        </w:rPr>
        <w:t>Personas trabajadoras en la fabricación de vidrio y productos de vidrio, como sopladores de vidrio. Personas</w:t>
      </w:r>
      <w:r>
        <w:rPr>
          <w:spacing w:val="-1"/>
          <w:sz w:val="20"/>
        </w:rPr>
        <w:t> </w:t>
      </w:r>
      <w:r>
        <w:rPr>
          <w:sz w:val="20"/>
        </w:rPr>
        <w:t>trabajadoras dedicadas</w:t>
      </w:r>
      <w:r>
        <w:rPr>
          <w:spacing w:val="-1"/>
          <w:sz w:val="20"/>
        </w:rPr>
        <w:t> </w:t>
      </w:r>
      <w:r>
        <w:rPr>
          <w:sz w:val="20"/>
        </w:rPr>
        <w:t>a las inhumaciones y</w:t>
      </w:r>
      <w:r>
        <w:rPr>
          <w:spacing w:val="-5"/>
          <w:sz w:val="20"/>
        </w:rPr>
        <w:t> </w:t>
      </w:r>
      <w:r>
        <w:rPr>
          <w:sz w:val="20"/>
        </w:rPr>
        <w:t>servicios</w:t>
      </w:r>
      <w:r>
        <w:rPr>
          <w:spacing w:val="-1"/>
          <w:sz w:val="20"/>
        </w:rPr>
        <w:t> </w:t>
      </w:r>
      <w:r>
        <w:rPr>
          <w:sz w:val="20"/>
        </w:rPr>
        <w:t>conexos,</w:t>
      </w:r>
      <w:r>
        <w:rPr>
          <w:spacing w:val="-2"/>
          <w:sz w:val="20"/>
        </w:rPr>
        <w:t> </w:t>
      </w:r>
      <w:r>
        <w:rPr>
          <w:sz w:val="20"/>
        </w:rPr>
        <w:t>como</w:t>
      </w:r>
      <w:r>
        <w:rPr>
          <w:spacing w:val="-4"/>
          <w:sz w:val="20"/>
        </w:rPr>
        <w:t> </w:t>
      </w:r>
      <w:r>
        <w:rPr>
          <w:sz w:val="20"/>
        </w:rPr>
        <w:t>mozos de anfiteatro. Personas trabajadoras de los servicios médicos, como paramédicos y auxiliares, enfermeras, médicos, patólogos y de la salud.</w:t>
      </w:r>
    </w:p>
    <w:p>
      <w:pPr>
        <w:pStyle w:val="ListParagraph"/>
        <w:numPr>
          <w:ilvl w:val="2"/>
          <w:numId w:val="160"/>
        </w:numPr>
        <w:tabs>
          <w:tab w:pos="1045" w:val="left" w:leader="none"/>
          <w:tab w:pos="1058" w:val="left" w:leader="none"/>
        </w:tabs>
        <w:spacing w:line="240" w:lineRule="auto" w:before="229" w:after="0"/>
        <w:ind w:left="1058" w:right="337"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7" w:after="0"/>
        <w:ind w:left="956" w:right="0" w:hanging="330"/>
        <w:jc w:val="left"/>
      </w:pPr>
      <w:r>
        <w:rPr>
          <w:spacing w:val="-2"/>
        </w:rPr>
        <w:t>Tétanos</w:t>
      </w:r>
    </w:p>
    <w:p>
      <w:pPr>
        <w:pStyle w:val="BodyText"/>
        <w:spacing w:before="3"/>
        <w:rPr>
          <w:rFonts w:ascii="Arial"/>
          <w:b/>
        </w:rPr>
      </w:pPr>
    </w:p>
    <w:p>
      <w:pPr>
        <w:pStyle w:val="BodyText"/>
        <w:ind w:left="626"/>
      </w:pPr>
      <w:r>
        <w:rPr/>
        <w:t>Código</w:t>
      </w:r>
      <w:r>
        <w:rPr>
          <w:spacing w:val="-10"/>
        </w:rPr>
        <w:t> </w:t>
      </w:r>
      <w:r>
        <w:rPr/>
        <w:t>CIE-11:</w:t>
      </w:r>
      <w:r>
        <w:rPr>
          <w:spacing w:val="-9"/>
        </w:rPr>
        <w:t> </w:t>
      </w:r>
      <w:r>
        <w:rPr>
          <w:spacing w:val="-4"/>
        </w:rPr>
        <w:t>1C13</w:t>
      </w:r>
    </w:p>
    <w:p>
      <w:pPr>
        <w:pStyle w:val="ListParagraph"/>
        <w:numPr>
          <w:ilvl w:val="2"/>
          <w:numId w:val="160"/>
        </w:numPr>
        <w:tabs>
          <w:tab w:pos="1045" w:val="left" w:leader="none"/>
          <w:tab w:pos="1058" w:val="left" w:leader="none"/>
        </w:tabs>
        <w:spacing w:line="240" w:lineRule="auto" w:before="230" w:after="0"/>
        <w:ind w:left="1058" w:right="346" w:hanging="432"/>
        <w:jc w:val="both"/>
        <w:rPr>
          <w:sz w:val="20"/>
        </w:rPr>
      </w:pPr>
      <w:r>
        <w:rPr>
          <w:sz w:val="20"/>
        </w:rPr>
        <w:t>Personas trabajadoras en las actividades industriales de la metalmecánica como cortadores, herreros, soldadores, operadores de tornos, prensas y guillotinas, estibadores, peones de carga, ayudantes generales y personal de mantenimiento de maquinaria.</w:t>
      </w:r>
    </w:p>
    <w:p>
      <w:pPr>
        <w:pStyle w:val="ListParagraph"/>
        <w:numPr>
          <w:ilvl w:val="2"/>
          <w:numId w:val="160"/>
        </w:numPr>
        <w:tabs>
          <w:tab w:pos="1045" w:val="left" w:leader="none"/>
          <w:tab w:pos="1058" w:val="left" w:leader="none"/>
        </w:tabs>
        <w:spacing w:line="240" w:lineRule="auto" w:before="226" w:after="0"/>
        <w:ind w:left="1058" w:right="333" w:hanging="432"/>
        <w:jc w:val="both"/>
        <w:rPr>
          <w:sz w:val="20"/>
        </w:rPr>
      </w:pPr>
      <w:r>
        <w:rPr>
          <w:sz w:val="20"/>
        </w:rPr>
        <w:t>Personas trabajadoras en la agricultura: puestos de trabajo con exposición como los agricultores</w:t>
      </w:r>
      <w:r>
        <w:rPr>
          <w:spacing w:val="40"/>
          <w:sz w:val="20"/>
        </w:rPr>
        <w:t> </w:t>
      </w:r>
      <w:r>
        <w:rPr>
          <w:sz w:val="20"/>
        </w:rPr>
        <w:t>y jornaleros. Personas trabajadoras en la cría y explotación de ganado y otras clases de</w:t>
      </w:r>
      <w:r>
        <w:rPr>
          <w:spacing w:val="40"/>
          <w:sz w:val="20"/>
        </w:rPr>
        <w:t> </w:t>
      </w:r>
      <w:r>
        <w:rPr>
          <w:sz w:val="20"/>
        </w:rPr>
        <w:t>animales, hipódromos, galgódromos, lienzos charros, palenques, así como promoción y presentación de espectáculos taurinos, como caballerangos, carniceros, cuidadores de ganado equino, granjeros, herreros, jinetes y mozos de cuadra.</w:t>
      </w:r>
    </w:p>
    <w:p>
      <w:pPr>
        <w:pStyle w:val="ListParagraph"/>
        <w:numPr>
          <w:ilvl w:val="2"/>
          <w:numId w:val="160"/>
        </w:numPr>
        <w:tabs>
          <w:tab w:pos="1045" w:val="left" w:leader="none"/>
          <w:tab w:pos="1058" w:val="left" w:leader="none"/>
        </w:tabs>
        <w:spacing w:line="240" w:lineRule="auto" w:before="229" w:after="0"/>
        <w:ind w:left="1058" w:right="340" w:hanging="432"/>
        <w:jc w:val="both"/>
        <w:rPr>
          <w:sz w:val="20"/>
        </w:rPr>
      </w:pPr>
      <w:r>
        <w:rPr>
          <w:sz w:val="20"/>
        </w:rPr>
        <w:t>Personas trabajadoras en la preparación y servicio de alimentos, como cocineros. Personas trabajadoras en los servicios de reparación, lavado, engrasado de vehículos automotores, verificación</w:t>
      </w:r>
      <w:r>
        <w:rPr>
          <w:spacing w:val="-1"/>
          <w:sz w:val="20"/>
        </w:rPr>
        <w:t> </w:t>
      </w:r>
      <w:r>
        <w:rPr>
          <w:sz w:val="20"/>
        </w:rPr>
        <w:t>de</w:t>
      </w:r>
      <w:r>
        <w:rPr>
          <w:spacing w:val="-1"/>
          <w:sz w:val="20"/>
        </w:rPr>
        <w:t> </w:t>
      </w:r>
      <w:r>
        <w:rPr>
          <w:sz w:val="20"/>
        </w:rPr>
        <w:t>emisión</w:t>
      </w:r>
      <w:r>
        <w:rPr>
          <w:spacing w:val="-1"/>
          <w:sz w:val="20"/>
        </w:rPr>
        <w:t> </w:t>
      </w:r>
      <w:r>
        <w:rPr>
          <w:sz w:val="20"/>
        </w:rPr>
        <w:t>de</w:t>
      </w:r>
      <w:r>
        <w:rPr>
          <w:spacing w:val="-1"/>
          <w:sz w:val="20"/>
        </w:rPr>
        <w:t> </w:t>
      </w:r>
      <w:r>
        <w:rPr>
          <w:sz w:val="20"/>
        </w:rPr>
        <w:t>contaminantes,</w:t>
      </w:r>
      <w:r>
        <w:rPr>
          <w:spacing w:val="-1"/>
          <w:sz w:val="20"/>
        </w:rPr>
        <w:t> </w:t>
      </w:r>
      <w:r>
        <w:rPr>
          <w:sz w:val="20"/>
        </w:rPr>
        <w:t>servicios</w:t>
      </w:r>
      <w:r>
        <w:rPr>
          <w:spacing w:val="-2"/>
          <w:sz w:val="20"/>
        </w:rPr>
        <w:t> </w:t>
      </w:r>
      <w:r>
        <w:rPr>
          <w:sz w:val="20"/>
        </w:rPr>
        <w:t>mecánicos y</w:t>
      </w:r>
      <w:r>
        <w:rPr>
          <w:spacing w:val="-4"/>
          <w:sz w:val="20"/>
        </w:rPr>
        <w:t> </w:t>
      </w:r>
      <w:r>
        <w:rPr>
          <w:sz w:val="20"/>
        </w:rPr>
        <w:t>de</w:t>
      </w:r>
      <w:r>
        <w:rPr>
          <w:spacing w:val="-1"/>
          <w:sz w:val="20"/>
        </w:rPr>
        <w:t> </w:t>
      </w:r>
      <w:r>
        <w:rPr>
          <w:sz w:val="20"/>
        </w:rPr>
        <w:t>hojalatería,</w:t>
      </w:r>
      <w:r>
        <w:rPr>
          <w:spacing w:val="-1"/>
          <w:sz w:val="20"/>
        </w:rPr>
        <w:t> </w:t>
      </w:r>
      <w:r>
        <w:rPr>
          <w:sz w:val="20"/>
        </w:rPr>
        <w:t>como</w:t>
      </w:r>
      <w:r>
        <w:rPr>
          <w:spacing w:val="-5"/>
          <w:sz w:val="20"/>
        </w:rPr>
        <w:t> </w:t>
      </w:r>
      <w:r>
        <w:rPr>
          <w:sz w:val="20"/>
        </w:rPr>
        <w:t>mecánicos, hojalateros; lavadores, verificadores y ayudantes generales.</w:t>
      </w:r>
    </w:p>
    <w:p>
      <w:pPr>
        <w:pStyle w:val="BodyText"/>
      </w:pPr>
    </w:p>
    <w:p>
      <w:pPr>
        <w:pStyle w:val="ListParagraph"/>
        <w:numPr>
          <w:ilvl w:val="2"/>
          <w:numId w:val="160"/>
        </w:numPr>
        <w:tabs>
          <w:tab w:pos="1045" w:val="left" w:leader="none"/>
          <w:tab w:pos="1058" w:val="left" w:leader="none"/>
        </w:tabs>
        <w:spacing w:line="240" w:lineRule="auto" w:before="0" w:after="0"/>
        <w:ind w:left="1058" w:right="335" w:hanging="432"/>
        <w:jc w:val="both"/>
        <w:rPr>
          <w:sz w:val="20"/>
        </w:rPr>
      </w:pPr>
      <w:r>
        <w:rPr>
          <w:sz w:val="20"/>
        </w:rPr>
        <w:t>Personas trabajadoras de los servicios médicos, paramédicos y auxiliares, como médicos, enfermeras, personal de laboratorios biológicos y de diagnóstico, del sector de la salud que manipulan objetos corto-punzantes. Personas trabajadoras en la generación, transmisión y distribución de energía eléctrica, como electricistas. Otros puestos de trabajo, como soldados y </w:t>
      </w:r>
      <w:r>
        <w:rPr>
          <w:spacing w:val="-2"/>
          <w:sz w:val="20"/>
        </w:rPr>
        <w:t>marinos.</w:t>
      </w:r>
    </w:p>
    <w:p>
      <w:pPr>
        <w:pStyle w:val="ListParagraph"/>
        <w:numPr>
          <w:ilvl w:val="2"/>
          <w:numId w:val="160"/>
        </w:numPr>
        <w:tabs>
          <w:tab w:pos="1045" w:val="left" w:leader="none"/>
          <w:tab w:pos="1058" w:val="left" w:leader="none"/>
        </w:tabs>
        <w:spacing w:line="240" w:lineRule="auto" w:before="227" w:after="0"/>
        <w:ind w:left="1058" w:right="340" w:hanging="432"/>
        <w:jc w:val="both"/>
        <w:rPr>
          <w:sz w:val="20"/>
        </w:rPr>
      </w:pPr>
      <w:r>
        <w:rPr>
          <w:sz w:val="20"/>
        </w:rPr>
        <w:t>Personas trabajadoras que presentan exposición de forma directa e indudable a la acción de los agentes causales establecidos en la fracción II de la cédula correspondiente contenida en el Catálogo</w:t>
      </w:r>
      <w:r>
        <w:rPr>
          <w:spacing w:val="36"/>
          <w:sz w:val="20"/>
        </w:rPr>
        <w:t> </w:t>
      </w:r>
      <w:r>
        <w:rPr>
          <w:sz w:val="20"/>
        </w:rPr>
        <w:t>de</w:t>
      </w:r>
      <w:r>
        <w:rPr>
          <w:spacing w:val="38"/>
          <w:sz w:val="20"/>
        </w:rPr>
        <w:t> </w:t>
      </w:r>
      <w:r>
        <w:rPr>
          <w:sz w:val="20"/>
        </w:rPr>
        <w:t>las</w:t>
      </w:r>
      <w:r>
        <w:rPr>
          <w:spacing w:val="37"/>
          <w:sz w:val="20"/>
        </w:rPr>
        <w:t> </w:t>
      </w:r>
      <w:r>
        <w:rPr>
          <w:sz w:val="20"/>
        </w:rPr>
        <w:t>Cédulas</w:t>
      </w:r>
      <w:r>
        <w:rPr>
          <w:spacing w:val="39"/>
          <w:sz w:val="20"/>
        </w:rPr>
        <w:t> </w:t>
      </w:r>
      <w:r>
        <w:rPr>
          <w:sz w:val="20"/>
        </w:rPr>
        <w:t>para</w:t>
      </w:r>
      <w:r>
        <w:rPr>
          <w:spacing w:val="36"/>
          <w:sz w:val="20"/>
        </w:rPr>
        <w:t> </w:t>
      </w:r>
      <w:r>
        <w:rPr>
          <w:sz w:val="20"/>
        </w:rPr>
        <w:t>la</w:t>
      </w:r>
      <w:r>
        <w:rPr>
          <w:spacing w:val="36"/>
          <w:sz w:val="20"/>
        </w:rPr>
        <w:t> </w:t>
      </w:r>
      <w:r>
        <w:rPr>
          <w:sz w:val="20"/>
        </w:rPr>
        <w:t>Valuación</w:t>
      </w:r>
      <w:r>
        <w:rPr>
          <w:spacing w:val="36"/>
          <w:sz w:val="20"/>
        </w:rPr>
        <w:t> </w:t>
      </w:r>
      <w:r>
        <w:rPr>
          <w:sz w:val="20"/>
        </w:rPr>
        <w:t>de</w:t>
      </w:r>
      <w:r>
        <w:rPr>
          <w:spacing w:val="36"/>
          <w:sz w:val="20"/>
        </w:rPr>
        <w:t> </w:t>
      </w:r>
      <w:r>
        <w:rPr>
          <w:sz w:val="20"/>
        </w:rPr>
        <w:t>las</w:t>
      </w:r>
      <w:r>
        <w:rPr>
          <w:spacing w:val="39"/>
          <w:sz w:val="20"/>
        </w:rPr>
        <w:t> </w:t>
      </w:r>
      <w:r>
        <w:rPr>
          <w:sz w:val="20"/>
        </w:rPr>
        <w:t>Enfermedades</w:t>
      </w:r>
      <w:r>
        <w:rPr>
          <w:spacing w:val="37"/>
          <w:sz w:val="20"/>
        </w:rPr>
        <w:t> </w:t>
      </w:r>
      <w:r>
        <w:rPr>
          <w:sz w:val="20"/>
        </w:rPr>
        <w:t>de</w:t>
      </w:r>
      <w:r>
        <w:rPr>
          <w:spacing w:val="35"/>
          <w:sz w:val="20"/>
        </w:rPr>
        <w:t> </w:t>
      </w:r>
      <w:r>
        <w:rPr>
          <w:sz w:val="20"/>
        </w:rPr>
        <w:t>Trabajo,</w:t>
      </w:r>
      <w:r>
        <w:rPr>
          <w:spacing w:val="38"/>
          <w:sz w:val="20"/>
        </w:rPr>
        <w:t> </w:t>
      </w:r>
      <w:r>
        <w:rPr>
          <w:sz w:val="20"/>
        </w:rPr>
        <w:t>que</w:t>
      </w:r>
      <w:r>
        <w:rPr>
          <w:spacing w:val="36"/>
          <w:sz w:val="20"/>
        </w:rPr>
        <w:t> </w:t>
      </w:r>
      <w:r>
        <w:rPr>
          <w:sz w:val="20"/>
        </w:rPr>
        <w:t>tengan</w:t>
      </w:r>
      <w:r>
        <w:rPr>
          <w:spacing w:val="35"/>
          <w:sz w:val="20"/>
        </w:rPr>
        <w:t> </w:t>
      </w:r>
      <w:r>
        <w:rPr>
          <w:sz w:val="20"/>
        </w:rPr>
        <w:t>su</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058"/>
      </w:pPr>
      <w:r>
        <w:rPr/>
        <w:t>origen</w:t>
      </w:r>
      <w:r>
        <w:rPr>
          <w:spacing w:val="32"/>
        </w:rPr>
        <w:t> </w:t>
      </w:r>
      <w:r>
        <w:rPr/>
        <w:t>o</w:t>
      </w:r>
      <w:r>
        <w:rPr>
          <w:spacing w:val="34"/>
        </w:rPr>
        <w:t> </w:t>
      </w:r>
      <w:r>
        <w:rPr/>
        <w:t>con</w:t>
      </w:r>
      <w:r>
        <w:rPr>
          <w:spacing w:val="34"/>
        </w:rPr>
        <w:t> </w:t>
      </w:r>
      <w:r>
        <w:rPr/>
        <w:t>motivo</w:t>
      </w:r>
      <w:r>
        <w:rPr>
          <w:spacing w:val="34"/>
        </w:rPr>
        <w:t> </w:t>
      </w:r>
      <w:r>
        <w:rPr/>
        <w:t>del</w:t>
      </w:r>
      <w:r>
        <w:rPr>
          <w:spacing w:val="31"/>
        </w:rPr>
        <w:t> </w:t>
      </w:r>
      <w:r>
        <w:rPr/>
        <w:t>trabajo</w:t>
      </w:r>
      <w:r>
        <w:rPr>
          <w:spacing w:val="34"/>
        </w:rPr>
        <w:t> </w:t>
      </w:r>
      <w:r>
        <w:rPr/>
        <w:t>o</w:t>
      </w:r>
      <w:r>
        <w:rPr>
          <w:spacing w:val="32"/>
        </w:rPr>
        <w:t> </w:t>
      </w:r>
      <w:r>
        <w:rPr/>
        <w:t>en</w:t>
      </w:r>
      <w:r>
        <w:rPr>
          <w:spacing w:val="34"/>
        </w:rPr>
        <w:t> </w:t>
      </w:r>
      <w:r>
        <w:rPr/>
        <w:t>el</w:t>
      </w:r>
      <w:r>
        <w:rPr>
          <w:spacing w:val="33"/>
        </w:rPr>
        <w:t> </w:t>
      </w:r>
      <w:r>
        <w:rPr/>
        <w:t>medio</w:t>
      </w:r>
      <w:r>
        <w:rPr>
          <w:spacing w:val="32"/>
        </w:rPr>
        <w:t> </w:t>
      </w:r>
      <w:r>
        <w:rPr/>
        <w:t>que</w:t>
      </w:r>
      <w:r>
        <w:rPr>
          <w:spacing w:val="34"/>
        </w:rPr>
        <w:t> </w:t>
      </w:r>
      <w:r>
        <w:rPr/>
        <w:t>la</w:t>
      </w:r>
      <w:r>
        <w:rPr>
          <w:spacing w:val="32"/>
        </w:rPr>
        <w:t> </w:t>
      </w:r>
      <w:r>
        <w:rPr/>
        <w:t>persona</w:t>
      </w:r>
      <w:r>
        <w:rPr>
          <w:spacing w:val="34"/>
        </w:rPr>
        <w:t> </w:t>
      </w:r>
      <w:r>
        <w:rPr/>
        <w:t>trabajadora</w:t>
      </w:r>
      <w:r>
        <w:rPr>
          <w:spacing w:val="32"/>
        </w:rPr>
        <w:t> </w:t>
      </w:r>
      <w:r>
        <w:rPr/>
        <w:t>se</w:t>
      </w:r>
      <w:r>
        <w:rPr>
          <w:spacing w:val="37"/>
        </w:rPr>
        <w:t> </w:t>
      </w:r>
      <w:r>
        <w:rPr/>
        <w:t>vea</w:t>
      </w:r>
      <w:r>
        <w:rPr>
          <w:spacing w:val="34"/>
        </w:rPr>
        <w:t> </w:t>
      </w:r>
      <w:r>
        <w:rPr/>
        <w:t>obligada</w:t>
      </w:r>
      <w:r>
        <w:rPr>
          <w:spacing w:val="34"/>
        </w:rPr>
        <w:t> </w:t>
      </w:r>
      <w:r>
        <w:rPr/>
        <w:t>a prestar sus servicios.</w:t>
      </w:r>
    </w:p>
    <w:p>
      <w:pPr>
        <w:pStyle w:val="Heading3"/>
        <w:numPr>
          <w:ilvl w:val="1"/>
          <w:numId w:val="160"/>
        </w:numPr>
        <w:tabs>
          <w:tab w:pos="956" w:val="left" w:leader="none"/>
        </w:tabs>
        <w:spacing w:line="240" w:lineRule="auto" w:before="229" w:after="0"/>
        <w:ind w:left="956" w:right="0" w:hanging="330"/>
        <w:jc w:val="left"/>
      </w:pPr>
      <w:r>
        <w:rPr>
          <w:spacing w:val="-2"/>
        </w:rPr>
        <w:t>Toxoplasmosis</w:t>
      </w:r>
    </w:p>
    <w:p>
      <w:pPr>
        <w:pStyle w:val="BodyText"/>
        <w:spacing w:before="3"/>
        <w:rPr>
          <w:rFonts w:ascii="Arial"/>
          <w:b/>
        </w:rPr>
      </w:pPr>
    </w:p>
    <w:p>
      <w:pPr>
        <w:pStyle w:val="BodyText"/>
        <w:ind w:left="626"/>
      </w:pPr>
      <w:r>
        <w:rPr/>
        <w:t>Código</w:t>
      </w:r>
      <w:r>
        <w:rPr>
          <w:spacing w:val="-10"/>
        </w:rPr>
        <w:t> </w:t>
      </w:r>
      <w:r>
        <w:rPr/>
        <w:t>CIE-11:</w:t>
      </w:r>
      <w:r>
        <w:rPr>
          <w:spacing w:val="-9"/>
        </w:rPr>
        <w:t> </w:t>
      </w:r>
      <w:r>
        <w:rPr>
          <w:spacing w:val="-2"/>
        </w:rPr>
        <w:t>1F57.Y</w:t>
      </w:r>
    </w:p>
    <w:p>
      <w:pPr>
        <w:pStyle w:val="ListParagraph"/>
        <w:numPr>
          <w:ilvl w:val="2"/>
          <w:numId w:val="160"/>
        </w:numPr>
        <w:tabs>
          <w:tab w:pos="1045" w:val="left" w:leader="none"/>
          <w:tab w:pos="1058" w:val="left" w:leader="none"/>
        </w:tabs>
        <w:spacing w:line="240" w:lineRule="auto" w:before="227" w:after="0"/>
        <w:ind w:left="1058" w:right="345" w:hanging="432"/>
        <w:jc w:val="both"/>
        <w:rPr>
          <w:sz w:val="20"/>
        </w:rPr>
      </w:pPr>
      <w:r>
        <w:rPr>
          <w:sz w:val="20"/>
        </w:rPr>
        <w:t>Personas trabajadoras laboratoristas, manipuladores de gatos en tiendas o estéticas para mascotas, de rastros y veterinarios.</w:t>
      </w:r>
    </w:p>
    <w:p>
      <w:pPr>
        <w:pStyle w:val="ListParagraph"/>
        <w:numPr>
          <w:ilvl w:val="2"/>
          <w:numId w:val="160"/>
        </w:numPr>
        <w:tabs>
          <w:tab w:pos="1045" w:val="left" w:leader="none"/>
          <w:tab w:pos="1058" w:val="left" w:leader="none"/>
        </w:tabs>
        <w:spacing w:line="240" w:lineRule="auto" w:before="229" w:after="0"/>
        <w:ind w:left="1058" w:right="33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w:t>
      </w:r>
      <w:r>
        <w:rPr>
          <w:spacing w:val="40"/>
          <w:sz w:val="20"/>
        </w:rPr>
        <w:t> </w:t>
      </w:r>
      <w:r>
        <w:rPr>
          <w:sz w:val="20"/>
        </w:rPr>
        <w:t>origen o con motivo del trabajo o en el medio que la persona trabajadora se vea obligada a prestar sus servicios.</w:t>
      </w:r>
    </w:p>
    <w:p>
      <w:pPr>
        <w:pStyle w:val="Heading3"/>
        <w:numPr>
          <w:ilvl w:val="1"/>
          <w:numId w:val="160"/>
        </w:numPr>
        <w:tabs>
          <w:tab w:pos="956" w:val="left" w:leader="none"/>
        </w:tabs>
        <w:spacing w:line="240" w:lineRule="auto" w:before="229" w:after="0"/>
        <w:ind w:left="956" w:right="0" w:hanging="330"/>
        <w:jc w:val="left"/>
      </w:pPr>
      <w:r>
        <w:rPr/>
        <w:t>Tuberculosis</w:t>
      </w:r>
      <w:r>
        <w:rPr>
          <w:spacing w:val="-14"/>
        </w:rPr>
        <w:t> </w:t>
      </w:r>
      <w:r>
        <w:rPr>
          <w:spacing w:val="-2"/>
        </w:rPr>
        <w:t>miliar</w:t>
      </w:r>
    </w:p>
    <w:p>
      <w:pPr>
        <w:pStyle w:val="BodyText"/>
        <w:spacing w:before="3"/>
        <w:rPr>
          <w:rFonts w:ascii="Arial"/>
          <w:b/>
        </w:rPr>
      </w:pPr>
    </w:p>
    <w:p>
      <w:pPr>
        <w:pStyle w:val="BodyText"/>
        <w:ind w:left="626"/>
      </w:pPr>
      <w:r>
        <w:rPr/>
        <w:t>Código</w:t>
      </w:r>
      <w:r>
        <w:rPr>
          <w:spacing w:val="-10"/>
        </w:rPr>
        <w:t> </w:t>
      </w:r>
      <w:r>
        <w:rPr/>
        <w:t>CIE-11:</w:t>
      </w:r>
      <w:r>
        <w:rPr>
          <w:spacing w:val="-9"/>
        </w:rPr>
        <w:t> </w:t>
      </w:r>
      <w:r>
        <w:rPr>
          <w:spacing w:val="-4"/>
        </w:rPr>
        <w:t>1B13</w:t>
      </w:r>
    </w:p>
    <w:p>
      <w:pPr>
        <w:pStyle w:val="ListParagraph"/>
        <w:numPr>
          <w:ilvl w:val="2"/>
          <w:numId w:val="160"/>
        </w:numPr>
        <w:tabs>
          <w:tab w:pos="1045" w:val="left" w:leader="none"/>
          <w:tab w:pos="1058" w:val="left" w:leader="none"/>
        </w:tabs>
        <w:spacing w:line="240" w:lineRule="auto" w:before="227" w:after="0"/>
        <w:ind w:left="1058" w:right="336" w:hanging="432"/>
        <w:jc w:val="both"/>
        <w:rPr>
          <w:sz w:val="20"/>
        </w:rPr>
      </w:pPr>
      <w:r>
        <w:rPr>
          <w:sz w:val="20"/>
        </w:rPr>
        <w:t>Personas trabajadoras en la extracción y beneficio de carbón mineral, grafito, minerales no metálicos y metálicos, como mineros cuando previamente exista silicosis. Personas trabajadoras de las inhumaciones y</w:t>
      </w:r>
      <w:r>
        <w:rPr>
          <w:spacing w:val="-5"/>
          <w:sz w:val="20"/>
        </w:rPr>
        <w:t> </w:t>
      </w:r>
      <w:r>
        <w:rPr>
          <w:sz w:val="20"/>
        </w:rPr>
        <w:t>servicios</w:t>
      </w:r>
      <w:r>
        <w:rPr>
          <w:spacing w:val="-1"/>
          <w:sz w:val="20"/>
        </w:rPr>
        <w:t> </w:t>
      </w:r>
      <w:r>
        <w:rPr>
          <w:sz w:val="20"/>
        </w:rPr>
        <w:t>conexos, como</w:t>
      </w:r>
      <w:r>
        <w:rPr>
          <w:spacing w:val="-4"/>
          <w:sz w:val="20"/>
        </w:rPr>
        <w:t> </w:t>
      </w:r>
      <w:r>
        <w:rPr>
          <w:sz w:val="20"/>
        </w:rPr>
        <w:t>mozos</w:t>
      </w:r>
      <w:r>
        <w:rPr>
          <w:spacing w:val="-1"/>
          <w:sz w:val="20"/>
        </w:rPr>
        <w:t> </w:t>
      </w:r>
      <w:r>
        <w:rPr>
          <w:sz w:val="20"/>
        </w:rPr>
        <w:t>de anfiteatro. Personas</w:t>
      </w:r>
      <w:r>
        <w:rPr>
          <w:spacing w:val="-1"/>
          <w:sz w:val="20"/>
        </w:rPr>
        <w:t> </w:t>
      </w:r>
      <w:r>
        <w:rPr>
          <w:sz w:val="20"/>
        </w:rPr>
        <w:t>trabajadoras en la matanza de ganado y</w:t>
      </w:r>
      <w:r>
        <w:rPr>
          <w:spacing w:val="-1"/>
          <w:sz w:val="20"/>
        </w:rPr>
        <w:t> </w:t>
      </w:r>
      <w:r>
        <w:rPr>
          <w:sz w:val="20"/>
        </w:rPr>
        <w:t>aves. Personas trabajadoras en la elaboración, preparación, conservación, envasado y empacado de carnes y sus derivados, como carniceros, de rastros, veterinarios y auxiliares de veterinario.</w:t>
      </w:r>
    </w:p>
    <w:p>
      <w:pPr>
        <w:pStyle w:val="BodyText"/>
      </w:pPr>
    </w:p>
    <w:p>
      <w:pPr>
        <w:pStyle w:val="ListParagraph"/>
        <w:numPr>
          <w:ilvl w:val="2"/>
          <w:numId w:val="160"/>
        </w:numPr>
        <w:tabs>
          <w:tab w:pos="1045" w:val="left" w:leader="none"/>
          <w:tab w:pos="1058" w:val="left" w:leader="none"/>
        </w:tabs>
        <w:spacing w:line="240" w:lineRule="auto" w:before="0" w:after="0"/>
        <w:ind w:left="1058" w:right="343" w:hanging="432"/>
        <w:jc w:val="both"/>
        <w:rPr>
          <w:sz w:val="20"/>
        </w:rPr>
      </w:pPr>
      <w:r>
        <w:rPr>
          <w:sz w:val="20"/>
        </w:rPr>
        <w:t>Personas trabajadoras de los servicios de aseo y limpieza, como afanadoras. Personas trabajadoras de los servicios de asistencia social, como albergues para indigentes, centros de refugiados o de inmigrantes, centros de tratamiento para adicciones e instituciones </w:t>
      </w:r>
      <w:r>
        <w:rPr>
          <w:spacing w:val="-2"/>
          <w:sz w:val="20"/>
        </w:rPr>
        <w:t>correccionales.</w:t>
      </w:r>
    </w:p>
    <w:p>
      <w:pPr>
        <w:pStyle w:val="ListParagraph"/>
        <w:numPr>
          <w:ilvl w:val="2"/>
          <w:numId w:val="160"/>
        </w:numPr>
        <w:tabs>
          <w:tab w:pos="1045" w:val="left" w:leader="none"/>
          <w:tab w:pos="1058" w:val="left" w:leader="none"/>
        </w:tabs>
        <w:spacing w:line="240" w:lineRule="auto" w:before="227" w:after="0"/>
        <w:ind w:left="1058" w:right="334" w:hanging="432"/>
        <w:jc w:val="both"/>
        <w:rPr>
          <w:sz w:val="20"/>
        </w:rPr>
      </w:pPr>
      <w:r>
        <w:rPr>
          <w:sz w:val="20"/>
        </w:rPr>
        <w:t>Personas trabajadoras de los servicios médicos, paramédicos y auxiliares, como médicos, enfermeras, personal de laboratorios biológicos y de diagnóstico, de centros de diálisis y de lavandería en sanatorios. Personas trabajadoras de los servicios veterinarios y auxiliares, como enfermeros de veterinaria, patólogos y veterinarios.</w:t>
      </w:r>
    </w:p>
    <w:p>
      <w:pPr>
        <w:pStyle w:val="ListParagraph"/>
        <w:numPr>
          <w:ilvl w:val="2"/>
          <w:numId w:val="160"/>
        </w:numPr>
        <w:tabs>
          <w:tab w:pos="1045" w:val="left" w:leader="none"/>
          <w:tab w:pos="1058" w:val="left" w:leader="none"/>
        </w:tabs>
        <w:spacing w:line="240" w:lineRule="auto" w:before="229" w:after="0"/>
        <w:ind w:left="1058" w:right="33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116" w:val="left" w:leader="none"/>
          <w:tab w:pos="2571" w:val="left" w:leader="none"/>
          <w:tab w:pos="3883" w:val="left" w:leader="none"/>
          <w:tab w:pos="5174" w:val="left" w:leader="none"/>
          <w:tab w:pos="6742" w:val="left" w:leader="none"/>
          <w:tab w:pos="7066" w:val="left" w:leader="none"/>
          <w:tab w:pos="8925" w:val="left" w:leader="none"/>
          <w:tab w:pos="9246" w:val="left" w:leader="none"/>
        </w:tabs>
        <w:spacing w:line="240" w:lineRule="auto" w:before="229" w:after="0"/>
        <w:ind w:left="338" w:right="342" w:firstLine="288"/>
        <w:jc w:val="left"/>
      </w:pPr>
      <w:r>
        <w:rPr>
          <w:spacing w:val="-2"/>
        </w:rPr>
        <w:t>Tuberculosis</w:t>
      </w:r>
      <w:r>
        <w:rPr/>
        <w:tab/>
      </w:r>
      <w:r>
        <w:rPr>
          <w:spacing w:val="-2"/>
        </w:rPr>
        <w:t>respiratoria</w:t>
      </w:r>
      <w:r>
        <w:rPr/>
        <w:tab/>
      </w:r>
      <w:r>
        <w:rPr>
          <w:spacing w:val="-2"/>
        </w:rPr>
        <w:t>confirmada</w:t>
      </w:r>
      <w:r>
        <w:rPr/>
        <w:tab/>
      </w:r>
      <w:r>
        <w:rPr>
          <w:spacing w:val="-2"/>
        </w:rPr>
        <w:t>bacteriológica</w:t>
      </w:r>
      <w:r>
        <w:rPr/>
        <w:tab/>
      </w:r>
      <w:r>
        <w:rPr>
          <w:spacing w:val="-10"/>
        </w:rPr>
        <w:t>e</w:t>
      </w:r>
      <w:r>
        <w:rPr/>
        <w:tab/>
      </w:r>
      <w:r>
        <w:rPr>
          <w:spacing w:val="-2"/>
        </w:rPr>
        <w:t>histológicamente</w:t>
      </w:r>
      <w:r>
        <w:rPr/>
        <w:tab/>
      </w:r>
      <w:r>
        <w:rPr>
          <w:spacing w:val="-10"/>
        </w:rPr>
        <w:t>y</w:t>
      </w:r>
      <w:r>
        <w:rPr/>
        <w:tab/>
      </w:r>
      <w:r>
        <w:rPr>
          <w:spacing w:val="-2"/>
        </w:rPr>
        <w:t>otras micobacteriosis</w:t>
      </w:r>
    </w:p>
    <w:p>
      <w:pPr>
        <w:pStyle w:val="BodyText"/>
        <w:spacing w:before="1"/>
        <w:rPr>
          <w:rFonts w:ascii="Arial"/>
          <w:b/>
        </w:rPr>
      </w:pPr>
    </w:p>
    <w:p>
      <w:pPr>
        <w:pStyle w:val="BodyText"/>
        <w:ind w:left="626"/>
      </w:pPr>
      <w:r>
        <w:rPr/>
        <w:t>Código</w:t>
      </w:r>
      <w:r>
        <w:rPr>
          <w:spacing w:val="-9"/>
        </w:rPr>
        <w:t> </w:t>
      </w:r>
      <w:r>
        <w:rPr/>
        <w:t>CIE-11:</w:t>
      </w:r>
      <w:r>
        <w:rPr>
          <w:spacing w:val="-7"/>
        </w:rPr>
        <w:t> </w:t>
      </w:r>
      <w:r>
        <w:rPr/>
        <w:t>1B10,</w:t>
      </w:r>
      <w:r>
        <w:rPr>
          <w:spacing w:val="-8"/>
        </w:rPr>
        <w:t> </w:t>
      </w:r>
      <w:r>
        <w:rPr>
          <w:spacing w:val="-4"/>
        </w:rPr>
        <w:t>1G80</w:t>
      </w:r>
    </w:p>
    <w:p>
      <w:pPr>
        <w:pStyle w:val="ListParagraph"/>
        <w:numPr>
          <w:ilvl w:val="2"/>
          <w:numId w:val="160"/>
        </w:numPr>
        <w:tabs>
          <w:tab w:pos="1045" w:val="left" w:leader="none"/>
          <w:tab w:pos="1058" w:val="left" w:leader="none"/>
        </w:tabs>
        <w:spacing w:line="240" w:lineRule="auto" w:before="230" w:after="0"/>
        <w:ind w:left="1058" w:right="336" w:hanging="432"/>
        <w:jc w:val="both"/>
        <w:rPr>
          <w:sz w:val="20"/>
        </w:rPr>
      </w:pPr>
      <w:r>
        <w:rPr>
          <w:sz w:val="20"/>
        </w:rPr>
        <w:t>Personas trabajadoras en la extracción y beneficio de carbón mineral, grafito, minerales no metálicos y metálicos, como mineros cuando previamente exista silicosis. Personas trabajadoras de las inhumaciones y</w:t>
      </w:r>
      <w:r>
        <w:rPr>
          <w:spacing w:val="-5"/>
          <w:sz w:val="20"/>
        </w:rPr>
        <w:t> </w:t>
      </w:r>
      <w:r>
        <w:rPr>
          <w:sz w:val="20"/>
        </w:rPr>
        <w:t>servicios</w:t>
      </w:r>
      <w:r>
        <w:rPr>
          <w:spacing w:val="-1"/>
          <w:sz w:val="20"/>
        </w:rPr>
        <w:t> </w:t>
      </w:r>
      <w:r>
        <w:rPr>
          <w:sz w:val="20"/>
        </w:rPr>
        <w:t>conexos, como</w:t>
      </w:r>
      <w:r>
        <w:rPr>
          <w:spacing w:val="-4"/>
          <w:sz w:val="20"/>
        </w:rPr>
        <w:t> </w:t>
      </w:r>
      <w:r>
        <w:rPr>
          <w:sz w:val="20"/>
        </w:rPr>
        <w:t>mozos</w:t>
      </w:r>
      <w:r>
        <w:rPr>
          <w:spacing w:val="-1"/>
          <w:sz w:val="20"/>
        </w:rPr>
        <w:t> </w:t>
      </w:r>
      <w:r>
        <w:rPr>
          <w:sz w:val="20"/>
        </w:rPr>
        <w:t>de anfiteatro. Personas</w:t>
      </w:r>
      <w:r>
        <w:rPr>
          <w:spacing w:val="-1"/>
          <w:sz w:val="20"/>
        </w:rPr>
        <w:t> </w:t>
      </w:r>
      <w:r>
        <w:rPr>
          <w:sz w:val="20"/>
        </w:rPr>
        <w:t>trabajadoras en la</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058" w:right="342"/>
      </w:pPr>
      <w:r>
        <w:rPr/>
        <w:t>matanza de ganado y</w:t>
      </w:r>
      <w:r>
        <w:rPr>
          <w:spacing w:val="-1"/>
        </w:rPr>
        <w:t> </w:t>
      </w:r>
      <w:r>
        <w:rPr/>
        <w:t>aves. Personas trabajadoras en la elaboración, preparación, conservación, envasado y empacado de carnes y sus derivados, como carniceros y de rastros.</w:t>
      </w:r>
    </w:p>
    <w:p>
      <w:pPr>
        <w:pStyle w:val="BodyText"/>
      </w:pPr>
    </w:p>
    <w:p>
      <w:pPr>
        <w:pStyle w:val="ListParagraph"/>
        <w:numPr>
          <w:ilvl w:val="2"/>
          <w:numId w:val="160"/>
        </w:numPr>
        <w:tabs>
          <w:tab w:pos="1045" w:val="left" w:leader="none"/>
          <w:tab w:pos="1058" w:val="left" w:leader="none"/>
        </w:tabs>
        <w:spacing w:line="240" w:lineRule="auto" w:before="0" w:after="0"/>
        <w:ind w:left="1058" w:right="340" w:hanging="432"/>
        <w:jc w:val="both"/>
        <w:rPr>
          <w:sz w:val="20"/>
        </w:rPr>
      </w:pPr>
      <w:r>
        <w:rPr>
          <w:sz w:val="20"/>
        </w:rPr>
        <w:t>Personas trabajadoras de servicios de aseo y</w:t>
      </w:r>
      <w:r>
        <w:rPr>
          <w:spacing w:val="-1"/>
          <w:sz w:val="20"/>
        </w:rPr>
        <w:t> </w:t>
      </w:r>
      <w:r>
        <w:rPr>
          <w:sz w:val="20"/>
        </w:rPr>
        <w:t>limpieza, como afanadoras. Personas trabajadoras de los servicios de asistencia social, como de albergues para indigentes, de centros de</w:t>
      </w:r>
      <w:r>
        <w:rPr>
          <w:spacing w:val="40"/>
          <w:sz w:val="20"/>
        </w:rPr>
        <w:t> </w:t>
      </w:r>
      <w:r>
        <w:rPr>
          <w:sz w:val="20"/>
        </w:rPr>
        <w:t>refugiados o de inmigrantes, de centros de tratamiento para adicciones e instituciones </w:t>
      </w:r>
      <w:r>
        <w:rPr>
          <w:spacing w:val="-2"/>
          <w:sz w:val="20"/>
        </w:rPr>
        <w:t>correccionales.</w:t>
      </w:r>
    </w:p>
    <w:p>
      <w:pPr>
        <w:pStyle w:val="ListParagraph"/>
        <w:numPr>
          <w:ilvl w:val="2"/>
          <w:numId w:val="160"/>
        </w:numPr>
        <w:tabs>
          <w:tab w:pos="1045" w:val="left" w:leader="none"/>
          <w:tab w:pos="1058" w:val="left" w:leader="none"/>
        </w:tabs>
        <w:spacing w:line="240" w:lineRule="auto" w:before="229" w:after="0"/>
        <w:ind w:left="1058" w:right="341" w:hanging="432"/>
        <w:jc w:val="both"/>
        <w:rPr>
          <w:sz w:val="20"/>
        </w:rPr>
      </w:pPr>
      <w:r>
        <w:rPr>
          <w:sz w:val="20"/>
        </w:rPr>
        <w:t>Personas trabajadoras de los servicios médicos, paramédicos y auxiliares, como médicos, enfermeras, personal de laboratorios biológicos y de diagnóstico, de centros de diálisis y de lavandería en sanatorios. Servicios veterinarios y</w:t>
      </w:r>
      <w:r>
        <w:rPr>
          <w:spacing w:val="-1"/>
          <w:sz w:val="20"/>
        </w:rPr>
        <w:t> </w:t>
      </w:r>
      <w:r>
        <w:rPr>
          <w:sz w:val="20"/>
        </w:rPr>
        <w:t>auxiliares: enfermeros de veterinaria, patólogos y veterinarios.</w:t>
      </w:r>
    </w:p>
    <w:p>
      <w:pPr>
        <w:pStyle w:val="BodyText"/>
      </w:pPr>
    </w:p>
    <w:p>
      <w:pPr>
        <w:pStyle w:val="ListParagraph"/>
        <w:numPr>
          <w:ilvl w:val="2"/>
          <w:numId w:val="160"/>
        </w:numPr>
        <w:tabs>
          <w:tab w:pos="1045" w:val="left" w:leader="none"/>
          <w:tab w:pos="1058" w:val="left" w:leader="none"/>
        </w:tabs>
        <w:spacing w:line="240" w:lineRule="auto" w:before="0" w:after="0"/>
        <w:ind w:left="1058" w:right="33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8" w:val="left" w:leader="none"/>
        </w:tabs>
        <w:spacing w:line="240" w:lineRule="auto" w:before="226" w:after="0"/>
        <w:ind w:left="958" w:right="0" w:hanging="332"/>
        <w:jc w:val="left"/>
      </w:pPr>
      <w:r>
        <w:rPr>
          <w:spacing w:val="-2"/>
        </w:rPr>
        <w:t>Varicela</w:t>
      </w:r>
    </w:p>
    <w:p>
      <w:pPr>
        <w:pStyle w:val="BodyText"/>
        <w:spacing w:before="3"/>
        <w:rPr>
          <w:rFonts w:ascii="Arial"/>
          <w:b/>
        </w:rPr>
      </w:pPr>
    </w:p>
    <w:p>
      <w:pPr>
        <w:pStyle w:val="BodyText"/>
        <w:ind w:left="626"/>
      </w:pPr>
      <w:r>
        <w:rPr/>
        <w:t>Código</w:t>
      </w:r>
      <w:r>
        <w:rPr>
          <w:spacing w:val="-10"/>
        </w:rPr>
        <w:t> </w:t>
      </w:r>
      <w:r>
        <w:rPr/>
        <w:t>CIE-11:</w:t>
      </w:r>
      <w:r>
        <w:rPr>
          <w:spacing w:val="-9"/>
        </w:rPr>
        <w:t> </w:t>
      </w:r>
      <w:r>
        <w:rPr>
          <w:spacing w:val="-4"/>
        </w:rPr>
        <w:t>1E90</w:t>
      </w:r>
    </w:p>
    <w:p>
      <w:pPr>
        <w:pStyle w:val="ListParagraph"/>
        <w:numPr>
          <w:ilvl w:val="2"/>
          <w:numId w:val="160"/>
        </w:numPr>
        <w:tabs>
          <w:tab w:pos="1045" w:val="left" w:leader="none"/>
          <w:tab w:pos="1058" w:val="left" w:leader="none"/>
        </w:tabs>
        <w:spacing w:line="240" w:lineRule="auto" w:before="227" w:after="0"/>
        <w:ind w:left="1058" w:right="339" w:hanging="432"/>
        <w:jc w:val="both"/>
        <w:rPr>
          <w:sz w:val="20"/>
        </w:rPr>
      </w:pPr>
      <w:r>
        <w:rPr>
          <w:sz w:val="20"/>
        </w:rPr>
        <w:t>Personas trabajadoras de los servicios de alojamiento temporal: de hoteles, residencias y moteles. Personas trabajadoras de los servicios de enseñanza académica, capacitación, investigación</w:t>
      </w:r>
      <w:r>
        <w:rPr>
          <w:spacing w:val="-4"/>
          <w:sz w:val="20"/>
        </w:rPr>
        <w:t> </w:t>
      </w:r>
      <w:r>
        <w:rPr>
          <w:sz w:val="20"/>
        </w:rPr>
        <w:t>científica y</w:t>
      </w:r>
      <w:r>
        <w:rPr>
          <w:spacing w:val="-7"/>
          <w:sz w:val="20"/>
        </w:rPr>
        <w:t> </w:t>
      </w:r>
      <w:r>
        <w:rPr>
          <w:sz w:val="20"/>
        </w:rPr>
        <w:t>difusión</w:t>
      </w:r>
      <w:r>
        <w:rPr>
          <w:spacing w:val="-5"/>
          <w:sz w:val="20"/>
        </w:rPr>
        <w:t> </w:t>
      </w:r>
      <w:r>
        <w:rPr>
          <w:sz w:val="20"/>
        </w:rPr>
        <w:t>cultural,</w:t>
      </w:r>
      <w:r>
        <w:rPr>
          <w:spacing w:val="-4"/>
          <w:sz w:val="20"/>
        </w:rPr>
        <w:t> </w:t>
      </w:r>
      <w:r>
        <w:rPr>
          <w:sz w:val="20"/>
        </w:rPr>
        <w:t>como</w:t>
      </w:r>
      <w:r>
        <w:rPr>
          <w:spacing w:val="-4"/>
          <w:sz w:val="20"/>
        </w:rPr>
        <w:t> </w:t>
      </w:r>
      <w:r>
        <w:rPr>
          <w:sz w:val="20"/>
        </w:rPr>
        <w:t>maestros</w:t>
      </w:r>
      <w:r>
        <w:rPr>
          <w:spacing w:val="-3"/>
          <w:sz w:val="20"/>
        </w:rPr>
        <w:t> </w:t>
      </w:r>
      <w:r>
        <w:rPr>
          <w:sz w:val="20"/>
        </w:rPr>
        <w:t>de</w:t>
      </w:r>
      <w:r>
        <w:rPr>
          <w:spacing w:val="-5"/>
          <w:sz w:val="20"/>
        </w:rPr>
        <w:t> </w:t>
      </w:r>
      <w:r>
        <w:rPr>
          <w:sz w:val="20"/>
        </w:rPr>
        <w:t>preescolar,</w:t>
      </w:r>
      <w:r>
        <w:rPr>
          <w:spacing w:val="-1"/>
          <w:sz w:val="20"/>
        </w:rPr>
        <w:t> </w:t>
      </w:r>
      <w:r>
        <w:rPr>
          <w:sz w:val="20"/>
        </w:rPr>
        <w:t>primaria</w:t>
      </w:r>
      <w:r>
        <w:rPr>
          <w:spacing w:val="-3"/>
          <w:sz w:val="20"/>
        </w:rPr>
        <w:t> </w:t>
      </w:r>
      <w:r>
        <w:rPr>
          <w:sz w:val="20"/>
        </w:rPr>
        <w:t>y</w:t>
      </w:r>
      <w:r>
        <w:rPr>
          <w:spacing w:val="-5"/>
          <w:sz w:val="20"/>
        </w:rPr>
        <w:t> </w:t>
      </w:r>
      <w:r>
        <w:rPr>
          <w:sz w:val="20"/>
        </w:rPr>
        <w:t>de</w:t>
      </w:r>
      <w:r>
        <w:rPr>
          <w:spacing w:val="-4"/>
          <w:sz w:val="20"/>
        </w:rPr>
        <w:t> </w:t>
      </w:r>
      <w:r>
        <w:rPr>
          <w:sz w:val="20"/>
        </w:rPr>
        <w:t>guarderías.</w:t>
      </w:r>
    </w:p>
    <w:p>
      <w:pPr>
        <w:pStyle w:val="ListParagraph"/>
        <w:numPr>
          <w:ilvl w:val="2"/>
          <w:numId w:val="160"/>
        </w:numPr>
        <w:tabs>
          <w:tab w:pos="1045" w:val="left" w:leader="none"/>
          <w:tab w:pos="1058" w:val="left" w:leader="none"/>
        </w:tabs>
        <w:spacing w:line="240" w:lineRule="auto" w:before="229" w:after="0"/>
        <w:ind w:left="1058" w:right="343" w:hanging="432"/>
        <w:jc w:val="both"/>
        <w:rPr>
          <w:sz w:val="20"/>
        </w:rPr>
      </w:pPr>
      <w:r>
        <w:rPr>
          <w:sz w:val="20"/>
        </w:rPr>
        <w:t>Personas trabajadoras de los servicios médicos, paramédicos y auxiliares, como médicos, enfermeras, paramédicos, personal de limpieza en hospitales, sanatorios y de la salud.</w:t>
      </w:r>
    </w:p>
    <w:p>
      <w:pPr>
        <w:pStyle w:val="ListParagraph"/>
        <w:numPr>
          <w:ilvl w:val="2"/>
          <w:numId w:val="160"/>
        </w:numPr>
        <w:tabs>
          <w:tab w:pos="1045" w:val="left" w:leader="none"/>
          <w:tab w:pos="1058" w:val="left" w:leader="none"/>
        </w:tabs>
        <w:spacing w:line="240" w:lineRule="auto" w:before="228" w:after="0"/>
        <w:ind w:left="1058" w:right="341"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spacing w:before="229"/>
        <w:ind w:left="626"/>
      </w:pPr>
      <w:r>
        <w:rPr/>
        <w:t>Grupo</w:t>
      </w:r>
      <w:r>
        <w:rPr>
          <w:spacing w:val="-6"/>
        </w:rPr>
        <w:t> </w:t>
      </w:r>
      <w:r>
        <w:rPr/>
        <w:t>II.</w:t>
      </w:r>
      <w:r>
        <w:rPr>
          <w:spacing w:val="-6"/>
        </w:rPr>
        <w:t> </w:t>
      </w:r>
      <w:r>
        <w:rPr/>
        <w:t>Cánceres</w:t>
      </w:r>
      <w:r>
        <w:rPr>
          <w:spacing w:val="-7"/>
        </w:rPr>
        <w:t> </w:t>
      </w:r>
      <w:r>
        <w:rPr/>
        <w:t>de</w:t>
      </w:r>
      <w:r>
        <w:rPr>
          <w:spacing w:val="-3"/>
        </w:rPr>
        <w:t> </w:t>
      </w:r>
      <w:r>
        <w:rPr/>
        <w:t>origen</w:t>
      </w:r>
      <w:r>
        <w:rPr>
          <w:spacing w:val="-7"/>
        </w:rPr>
        <w:t> </w:t>
      </w:r>
      <w:r>
        <w:rPr>
          <w:spacing w:val="-2"/>
        </w:rPr>
        <w:t>laboral</w:t>
      </w:r>
    </w:p>
    <w:p>
      <w:pPr>
        <w:pStyle w:val="ListParagraph"/>
        <w:numPr>
          <w:ilvl w:val="1"/>
          <w:numId w:val="160"/>
        </w:numPr>
        <w:tabs>
          <w:tab w:pos="956" w:val="left" w:leader="none"/>
        </w:tabs>
        <w:spacing w:line="240" w:lineRule="auto" w:before="228" w:after="0"/>
        <w:ind w:left="956" w:right="0" w:hanging="330"/>
        <w:jc w:val="left"/>
        <w:rPr>
          <w:rFonts w:ascii="Arial"/>
          <w:b/>
          <w:sz w:val="20"/>
        </w:rPr>
      </w:pPr>
      <w:r>
        <w:rPr>
          <w:rFonts w:ascii="Arial"/>
          <w:b/>
          <w:sz w:val="20"/>
        </w:rPr>
        <w:t>Neoplasias</w:t>
      </w:r>
      <w:r>
        <w:rPr>
          <w:rFonts w:ascii="Arial"/>
          <w:b/>
          <w:spacing w:val="-10"/>
          <w:sz w:val="20"/>
        </w:rPr>
        <w:t> </w:t>
      </w:r>
      <w:r>
        <w:rPr>
          <w:rFonts w:ascii="Arial"/>
          <w:b/>
          <w:sz w:val="20"/>
        </w:rPr>
        <w:t>primarias</w:t>
      </w:r>
      <w:r>
        <w:rPr>
          <w:rFonts w:ascii="Arial"/>
          <w:b/>
          <w:spacing w:val="-6"/>
          <w:sz w:val="20"/>
        </w:rPr>
        <w:t> </w:t>
      </w:r>
      <w:r>
        <w:rPr>
          <w:rFonts w:ascii="Arial"/>
          <w:b/>
          <w:sz w:val="20"/>
        </w:rPr>
        <w:t>del</w:t>
      </w:r>
      <w:r>
        <w:rPr>
          <w:rFonts w:ascii="Arial"/>
          <w:b/>
          <w:spacing w:val="-9"/>
          <w:sz w:val="20"/>
        </w:rPr>
        <w:t> </w:t>
      </w:r>
      <w:r>
        <w:rPr>
          <w:rFonts w:ascii="Arial"/>
          <w:b/>
          <w:spacing w:val="-2"/>
          <w:sz w:val="20"/>
        </w:rPr>
        <w:t>cerebro</w:t>
      </w:r>
    </w:p>
    <w:p>
      <w:pPr>
        <w:pStyle w:val="BodyText"/>
        <w:spacing w:before="3"/>
        <w:rPr>
          <w:rFonts w:ascii="Arial"/>
          <w:b/>
        </w:rPr>
      </w:pPr>
    </w:p>
    <w:p>
      <w:pPr>
        <w:pStyle w:val="BodyText"/>
        <w:spacing w:before="1"/>
        <w:ind w:left="626"/>
      </w:pPr>
      <w:r>
        <w:rPr/>
        <w:t>Código</w:t>
      </w:r>
      <w:r>
        <w:rPr>
          <w:spacing w:val="-9"/>
        </w:rPr>
        <w:t> </w:t>
      </w:r>
      <w:r>
        <w:rPr/>
        <w:t>CIE-11:</w:t>
      </w:r>
      <w:r>
        <w:rPr>
          <w:spacing w:val="-9"/>
        </w:rPr>
        <w:t> </w:t>
      </w:r>
      <w:r>
        <w:rPr>
          <w:spacing w:val="-4"/>
        </w:rPr>
        <w:t>2A00</w:t>
      </w:r>
    </w:p>
    <w:p>
      <w:pPr>
        <w:pStyle w:val="ListParagraph"/>
        <w:numPr>
          <w:ilvl w:val="2"/>
          <w:numId w:val="160"/>
        </w:numPr>
        <w:tabs>
          <w:tab w:pos="1045" w:val="left" w:leader="none"/>
          <w:tab w:pos="1058" w:val="left" w:leader="none"/>
        </w:tabs>
        <w:spacing w:line="240" w:lineRule="auto" w:before="229" w:after="0"/>
        <w:ind w:left="1058" w:right="339" w:hanging="432"/>
        <w:jc w:val="both"/>
        <w:rPr>
          <w:sz w:val="20"/>
        </w:rPr>
      </w:pPr>
      <w:r>
        <w:rPr>
          <w:sz w:val="20"/>
        </w:rPr>
        <w:t>Las personas trabajadoras con actividades agrícolas, especialmente aquellas expuestas a plaguicidas, herbicidas y pesticidas. Personas trabajadoras de la electricidad, el caucho y el petróleo.</w:t>
      </w:r>
      <w:r>
        <w:rPr>
          <w:spacing w:val="-1"/>
          <w:sz w:val="20"/>
        </w:rPr>
        <w:t> </w:t>
      </w:r>
      <w:r>
        <w:rPr>
          <w:sz w:val="20"/>
        </w:rPr>
        <w:t>Personas</w:t>
      </w:r>
      <w:r>
        <w:rPr>
          <w:spacing w:val="-2"/>
          <w:sz w:val="20"/>
        </w:rPr>
        <w:t> </w:t>
      </w:r>
      <w:r>
        <w:rPr>
          <w:sz w:val="20"/>
        </w:rPr>
        <w:t>trabajadoras</w:t>
      </w:r>
      <w:r>
        <w:rPr>
          <w:spacing w:val="-3"/>
          <w:sz w:val="20"/>
        </w:rPr>
        <w:t> </w:t>
      </w:r>
      <w:r>
        <w:rPr>
          <w:sz w:val="20"/>
        </w:rPr>
        <w:t>de</w:t>
      </w:r>
      <w:r>
        <w:rPr>
          <w:spacing w:val="-3"/>
          <w:sz w:val="20"/>
        </w:rPr>
        <w:t> </w:t>
      </w:r>
      <w:r>
        <w:rPr>
          <w:sz w:val="20"/>
        </w:rPr>
        <w:t>la</w:t>
      </w:r>
      <w:r>
        <w:rPr>
          <w:spacing w:val="-3"/>
          <w:sz w:val="20"/>
        </w:rPr>
        <w:t> </w:t>
      </w:r>
      <w:r>
        <w:rPr>
          <w:sz w:val="20"/>
        </w:rPr>
        <w:t>industria</w:t>
      </w:r>
      <w:r>
        <w:rPr>
          <w:spacing w:val="-3"/>
          <w:sz w:val="20"/>
        </w:rPr>
        <w:t> </w:t>
      </w:r>
      <w:r>
        <w:rPr>
          <w:sz w:val="20"/>
        </w:rPr>
        <w:t>química,</w:t>
      </w:r>
      <w:r>
        <w:rPr>
          <w:spacing w:val="-5"/>
          <w:sz w:val="20"/>
        </w:rPr>
        <w:t> </w:t>
      </w:r>
      <w:r>
        <w:rPr>
          <w:sz w:val="20"/>
        </w:rPr>
        <w:t>como</w:t>
      </w:r>
      <w:r>
        <w:rPr>
          <w:spacing w:val="-5"/>
          <w:sz w:val="20"/>
        </w:rPr>
        <w:t> </w:t>
      </w:r>
      <w:r>
        <w:rPr>
          <w:sz w:val="20"/>
        </w:rPr>
        <w:t>expuestas</w:t>
      </w:r>
      <w:r>
        <w:rPr>
          <w:spacing w:val="-4"/>
          <w:sz w:val="20"/>
        </w:rPr>
        <w:t> </w:t>
      </w:r>
      <w:r>
        <w:rPr>
          <w:sz w:val="20"/>
        </w:rPr>
        <w:t>a</w:t>
      </w:r>
      <w:r>
        <w:rPr>
          <w:spacing w:val="-3"/>
          <w:sz w:val="20"/>
        </w:rPr>
        <w:t> </w:t>
      </w:r>
      <w:r>
        <w:rPr>
          <w:sz w:val="20"/>
        </w:rPr>
        <w:t>disolventes</w:t>
      </w:r>
      <w:r>
        <w:rPr>
          <w:spacing w:val="-2"/>
          <w:sz w:val="20"/>
        </w:rPr>
        <w:t> </w:t>
      </w:r>
      <w:r>
        <w:rPr>
          <w:sz w:val="20"/>
        </w:rPr>
        <w:t>orgánicos, de laboratorio, de investigación en la producción de gas mostaza. Personas trabajadoras en contacto y producción de estireno y poliestireno, productores del plástico: personas trabajadoras expuestas en las industrias de la producción de cloruro de vinilo en plantas de polimerización, donde se usen derivados halogenados de los hidrocarburos alifáticos, diclorometano, triclorometano, tribromometano, dicloro-2-etano, tricloroetano, dicloroetano, tricloroetileno, cloropropileno, cloro-2-butadieno, tetracloruro de carbono, y aquellas personas trabajadoras expuestas</w:t>
      </w:r>
      <w:r>
        <w:rPr>
          <w:spacing w:val="80"/>
          <w:sz w:val="20"/>
        </w:rPr>
        <w:t> </w:t>
      </w:r>
      <w:r>
        <w:rPr>
          <w:sz w:val="20"/>
        </w:rPr>
        <w:t>a</w:t>
      </w:r>
      <w:r>
        <w:rPr>
          <w:spacing w:val="80"/>
          <w:sz w:val="20"/>
        </w:rPr>
        <w:t> </w:t>
      </w:r>
      <w:r>
        <w:rPr>
          <w:sz w:val="20"/>
        </w:rPr>
        <w:t>metales</w:t>
      </w:r>
      <w:r>
        <w:rPr>
          <w:spacing w:val="80"/>
          <w:sz w:val="20"/>
        </w:rPr>
        <w:t> </w:t>
      </w:r>
      <w:r>
        <w:rPr>
          <w:sz w:val="20"/>
        </w:rPr>
        <w:t>pesados,</w:t>
      </w:r>
      <w:r>
        <w:rPr>
          <w:spacing w:val="80"/>
          <w:sz w:val="20"/>
        </w:rPr>
        <w:t> </w:t>
      </w:r>
      <w:r>
        <w:rPr>
          <w:sz w:val="20"/>
        </w:rPr>
        <w:t>como</w:t>
      </w:r>
      <w:r>
        <w:rPr>
          <w:spacing w:val="80"/>
          <w:sz w:val="20"/>
        </w:rPr>
        <w:t> </w:t>
      </w:r>
      <w:r>
        <w:rPr>
          <w:sz w:val="20"/>
        </w:rPr>
        <w:t>arsénico,</w:t>
      </w:r>
      <w:r>
        <w:rPr>
          <w:spacing w:val="80"/>
          <w:sz w:val="20"/>
        </w:rPr>
        <w:t> </w:t>
      </w:r>
      <w:r>
        <w:rPr>
          <w:sz w:val="20"/>
        </w:rPr>
        <w:t>mercurio,</w:t>
      </w:r>
      <w:r>
        <w:rPr>
          <w:spacing w:val="80"/>
          <w:sz w:val="20"/>
        </w:rPr>
        <w:t> </w:t>
      </w:r>
      <w:r>
        <w:rPr>
          <w:sz w:val="20"/>
        </w:rPr>
        <w:t>plomo,</w:t>
      </w:r>
      <w:r>
        <w:rPr>
          <w:spacing w:val="80"/>
          <w:sz w:val="20"/>
        </w:rPr>
        <w:t> </w:t>
      </w:r>
      <w:r>
        <w:rPr>
          <w:sz w:val="20"/>
        </w:rPr>
        <w:t>oro</w:t>
      </w:r>
      <w:r>
        <w:rPr>
          <w:spacing w:val="80"/>
          <w:sz w:val="20"/>
        </w:rPr>
        <w:t> </w:t>
      </w:r>
      <w:r>
        <w:rPr>
          <w:sz w:val="20"/>
        </w:rPr>
        <w:t>y</w:t>
      </w:r>
      <w:r>
        <w:rPr>
          <w:spacing w:val="80"/>
          <w:sz w:val="20"/>
        </w:rPr>
        <w:t> </w:t>
      </w:r>
      <w:r>
        <w:rPr>
          <w:sz w:val="20"/>
        </w:rPr>
        <w:t>plata.</w:t>
      </w:r>
      <w:r>
        <w:rPr>
          <w:spacing w:val="80"/>
          <w:sz w:val="20"/>
        </w:rPr>
        <w:t> </w:t>
      </w:r>
      <w:r>
        <w:rPr>
          <w:sz w:val="20"/>
        </w:rPr>
        <w:t>Personas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058" w:right="337"/>
        <w:jc w:val="both"/>
      </w:pPr>
      <w:r>
        <w:rPr/>
        <w:t>trabajadoras expuestas en las industrias que manejen disolventes orgánicos, como los pintores, entre otros. Personas trabajadoras de los servicios médicos, asistencia social y veterinarios,</w:t>
      </w:r>
      <w:r>
        <w:rPr>
          <w:spacing w:val="40"/>
        </w:rPr>
        <w:t> </w:t>
      </w:r>
      <w:r>
        <w:rPr/>
        <w:t>como radiólogos, técnicos radiólogos, odontólogos, anestesiólogos, personal de quirófano. Personas</w:t>
      </w:r>
      <w:r>
        <w:rPr>
          <w:spacing w:val="-1"/>
        </w:rPr>
        <w:t> </w:t>
      </w:r>
      <w:r>
        <w:rPr/>
        <w:t>trabajadoras de</w:t>
      </w:r>
      <w:r>
        <w:rPr>
          <w:spacing w:val="-2"/>
        </w:rPr>
        <w:t> </w:t>
      </w:r>
      <w:r>
        <w:rPr/>
        <w:t>la</w:t>
      </w:r>
      <w:r>
        <w:rPr>
          <w:spacing w:val="-4"/>
        </w:rPr>
        <w:t> </w:t>
      </w:r>
      <w:r>
        <w:rPr/>
        <w:t>industria</w:t>
      </w:r>
      <w:r>
        <w:rPr>
          <w:spacing w:val="-2"/>
        </w:rPr>
        <w:t> </w:t>
      </w:r>
      <w:r>
        <w:rPr/>
        <w:t>de</w:t>
      </w:r>
      <w:r>
        <w:rPr>
          <w:spacing w:val="-2"/>
        </w:rPr>
        <w:t> </w:t>
      </w:r>
      <w:r>
        <w:rPr/>
        <w:t>la</w:t>
      </w:r>
      <w:r>
        <w:rPr>
          <w:spacing w:val="-2"/>
        </w:rPr>
        <w:t> </w:t>
      </w:r>
      <w:r>
        <w:rPr/>
        <w:t>construcción</w:t>
      </w:r>
      <w:r>
        <w:rPr>
          <w:spacing w:val="-3"/>
        </w:rPr>
        <w:t> </w:t>
      </w:r>
      <w:r>
        <w:rPr/>
        <w:t>de</w:t>
      </w:r>
      <w:r>
        <w:rPr>
          <w:spacing w:val="-3"/>
        </w:rPr>
        <w:t> </w:t>
      </w:r>
      <w:r>
        <w:rPr/>
        <w:t>edificaciones</w:t>
      </w:r>
      <w:r>
        <w:rPr>
          <w:spacing w:val="-1"/>
        </w:rPr>
        <w:t> </w:t>
      </w:r>
      <w:r>
        <w:rPr/>
        <w:t>y</w:t>
      </w:r>
      <w:r>
        <w:rPr>
          <w:spacing w:val="-5"/>
        </w:rPr>
        <w:t> </w:t>
      </w:r>
      <w:r>
        <w:rPr/>
        <w:t>de</w:t>
      </w:r>
      <w:r>
        <w:rPr>
          <w:spacing w:val="-4"/>
        </w:rPr>
        <w:t> </w:t>
      </w:r>
      <w:r>
        <w:rPr/>
        <w:t>obras</w:t>
      </w:r>
      <w:r>
        <w:rPr>
          <w:spacing w:val="-3"/>
        </w:rPr>
        <w:t> </w:t>
      </w:r>
      <w:r>
        <w:rPr/>
        <w:t>de</w:t>
      </w:r>
      <w:r>
        <w:rPr>
          <w:spacing w:val="-3"/>
        </w:rPr>
        <w:t> </w:t>
      </w:r>
      <w:r>
        <w:rPr/>
        <w:t>ingeniería civil, con las personas trabajadoras de asfalto, nucleares, técnicos, analistas de estructuras. Personas trabajadoras de la industria de las telecomunicaciones, televisión, radio y telefonía celular. Personas trabajadoras en la refinación del petróleo y derivados del carbón, de la gasificación del carbón, de la fabricación de neumáticos.</w:t>
      </w:r>
    </w:p>
    <w:p>
      <w:pPr>
        <w:pStyle w:val="BodyText"/>
      </w:pPr>
    </w:p>
    <w:p>
      <w:pPr>
        <w:pStyle w:val="ListParagraph"/>
        <w:numPr>
          <w:ilvl w:val="2"/>
          <w:numId w:val="160"/>
        </w:numPr>
        <w:tabs>
          <w:tab w:pos="1045" w:val="left" w:leader="none"/>
          <w:tab w:pos="1058" w:val="left" w:leader="none"/>
        </w:tabs>
        <w:spacing w:line="240" w:lineRule="auto" w:before="0" w:after="0"/>
        <w:ind w:left="1058" w:right="34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7" w:after="0"/>
        <w:ind w:left="956" w:right="0" w:hanging="330"/>
        <w:jc w:val="left"/>
      </w:pPr>
      <w:r>
        <w:rPr/>
        <w:t>Carcinoma</w:t>
      </w:r>
      <w:r>
        <w:rPr>
          <w:spacing w:val="-6"/>
        </w:rPr>
        <w:t> </w:t>
      </w:r>
      <w:r>
        <w:rPr/>
        <w:t>in</w:t>
      </w:r>
      <w:r>
        <w:rPr>
          <w:spacing w:val="-5"/>
        </w:rPr>
        <w:t> </w:t>
      </w:r>
      <w:r>
        <w:rPr/>
        <w:t>situ</w:t>
      </w:r>
      <w:r>
        <w:rPr>
          <w:spacing w:val="-4"/>
        </w:rPr>
        <w:t> </w:t>
      </w:r>
      <w:r>
        <w:rPr/>
        <w:t>del</w:t>
      </w:r>
      <w:r>
        <w:rPr>
          <w:spacing w:val="-4"/>
        </w:rPr>
        <w:t> </w:t>
      </w:r>
      <w:r>
        <w:rPr/>
        <w:t>ojo</w:t>
      </w:r>
      <w:r>
        <w:rPr>
          <w:spacing w:val="-6"/>
        </w:rPr>
        <w:t> </w:t>
      </w:r>
      <w:r>
        <w:rPr/>
        <w:t>o</w:t>
      </w:r>
      <w:r>
        <w:rPr>
          <w:spacing w:val="-4"/>
        </w:rPr>
        <w:t> </w:t>
      </w:r>
      <w:r>
        <w:rPr/>
        <w:t>de</w:t>
      </w:r>
      <w:r>
        <w:rPr>
          <w:spacing w:val="-6"/>
        </w:rPr>
        <w:t> </w:t>
      </w:r>
      <w:r>
        <w:rPr/>
        <w:t>los</w:t>
      </w:r>
      <w:r>
        <w:rPr>
          <w:spacing w:val="-4"/>
        </w:rPr>
        <w:t> </w:t>
      </w:r>
      <w:r>
        <w:rPr/>
        <w:t>anexos</w:t>
      </w:r>
      <w:r>
        <w:rPr>
          <w:spacing w:val="-3"/>
        </w:rPr>
        <w:t> </w:t>
      </w:r>
      <w:r>
        <w:rPr>
          <w:spacing w:val="-2"/>
        </w:rPr>
        <w:t>oculares</w:t>
      </w:r>
    </w:p>
    <w:p>
      <w:pPr>
        <w:pStyle w:val="BodyText"/>
        <w:spacing w:before="3"/>
        <w:rPr>
          <w:rFonts w:ascii="Arial"/>
          <w:b/>
        </w:rPr>
      </w:pPr>
    </w:p>
    <w:p>
      <w:pPr>
        <w:pStyle w:val="BodyText"/>
        <w:ind w:left="626"/>
      </w:pPr>
      <w:r>
        <w:rPr/>
        <w:t>Código</w:t>
      </w:r>
      <w:r>
        <w:rPr>
          <w:spacing w:val="-10"/>
        </w:rPr>
        <w:t> </w:t>
      </w:r>
      <w:r>
        <w:rPr/>
        <w:t>CIE-11:</w:t>
      </w:r>
      <w:r>
        <w:rPr>
          <w:spacing w:val="-9"/>
        </w:rPr>
        <w:t> </w:t>
      </w:r>
      <w:r>
        <w:rPr>
          <w:spacing w:val="-4"/>
        </w:rPr>
        <w:t>2E6A</w:t>
      </w:r>
    </w:p>
    <w:p>
      <w:pPr>
        <w:pStyle w:val="ListParagraph"/>
        <w:numPr>
          <w:ilvl w:val="2"/>
          <w:numId w:val="160"/>
        </w:numPr>
        <w:tabs>
          <w:tab w:pos="1045" w:val="left" w:leader="none"/>
          <w:tab w:pos="1058" w:val="left" w:leader="none"/>
        </w:tabs>
        <w:spacing w:line="240" w:lineRule="auto" w:before="230" w:after="0"/>
        <w:ind w:left="1058" w:right="331" w:hanging="432"/>
        <w:jc w:val="both"/>
        <w:rPr>
          <w:sz w:val="20"/>
        </w:rPr>
      </w:pPr>
      <w:r>
        <w:rPr>
          <w:sz w:val="20"/>
        </w:rPr>
        <w:t>Personas trabajadoras de la agricultura, ganadería, pesca, silvicultura, industria de la construcción, tales como, personas trabajadoras que laboren en ambientes expuestos, como son los agricultores, pescadores, peones, marineros y aserradores. Personas trabajadoras de la industria de la construcción, tales como, albañiles, constructores, de la construcción de edificaciones y</w:t>
      </w:r>
      <w:r>
        <w:rPr>
          <w:spacing w:val="-2"/>
          <w:sz w:val="20"/>
        </w:rPr>
        <w:t> </w:t>
      </w:r>
      <w:r>
        <w:rPr>
          <w:sz w:val="20"/>
        </w:rPr>
        <w:t>de</w:t>
      </w:r>
      <w:r>
        <w:rPr>
          <w:spacing w:val="-2"/>
          <w:sz w:val="20"/>
        </w:rPr>
        <w:t> </w:t>
      </w:r>
      <w:r>
        <w:rPr>
          <w:sz w:val="20"/>
        </w:rPr>
        <w:t>obras de ingeniería</w:t>
      </w:r>
      <w:r>
        <w:rPr>
          <w:spacing w:val="-1"/>
          <w:sz w:val="20"/>
        </w:rPr>
        <w:t> </w:t>
      </w:r>
      <w:r>
        <w:rPr>
          <w:sz w:val="20"/>
        </w:rPr>
        <w:t>civil,</w:t>
      </w:r>
      <w:r>
        <w:rPr>
          <w:spacing w:val="-1"/>
          <w:sz w:val="20"/>
        </w:rPr>
        <w:t> </w:t>
      </w:r>
      <w:r>
        <w:rPr>
          <w:sz w:val="20"/>
        </w:rPr>
        <w:t>en la</w:t>
      </w:r>
      <w:r>
        <w:rPr>
          <w:spacing w:val="-1"/>
          <w:sz w:val="20"/>
        </w:rPr>
        <w:t> </w:t>
      </w:r>
      <w:r>
        <w:rPr>
          <w:sz w:val="20"/>
        </w:rPr>
        <w:t>pavimentación</w:t>
      </w:r>
      <w:r>
        <w:rPr>
          <w:spacing w:val="-2"/>
          <w:sz w:val="20"/>
        </w:rPr>
        <w:t> </w:t>
      </w:r>
      <w:r>
        <w:rPr>
          <w:sz w:val="20"/>
        </w:rPr>
        <w:t>de</w:t>
      </w:r>
      <w:r>
        <w:rPr>
          <w:spacing w:val="-2"/>
          <w:sz w:val="20"/>
        </w:rPr>
        <w:t> </w:t>
      </w:r>
      <w:r>
        <w:rPr>
          <w:sz w:val="20"/>
        </w:rPr>
        <w:t>carreteras,</w:t>
      </w:r>
      <w:r>
        <w:rPr>
          <w:spacing w:val="-1"/>
          <w:sz w:val="20"/>
        </w:rPr>
        <w:t> </w:t>
      </w:r>
      <w:r>
        <w:rPr>
          <w:sz w:val="20"/>
        </w:rPr>
        <w:t>de</w:t>
      </w:r>
      <w:r>
        <w:rPr>
          <w:spacing w:val="-1"/>
          <w:sz w:val="20"/>
        </w:rPr>
        <w:t> </w:t>
      </w:r>
      <w:r>
        <w:rPr>
          <w:sz w:val="20"/>
        </w:rPr>
        <w:t>construcción</w:t>
      </w:r>
      <w:r>
        <w:rPr>
          <w:spacing w:val="-2"/>
          <w:sz w:val="20"/>
        </w:rPr>
        <w:t> </w:t>
      </w:r>
      <w:r>
        <w:rPr>
          <w:sz w:val="20"/>
        </w:rPr>
        <w:t>en techos e impermeabilizantes; carpinteros, ebanistas, artesanos; del vidrio, de la limpieza en las centrales nucleares. En suma, toda persona expuesta a la radiación solar y sin protección por trabajar al aire libre tiene un riesgo notable, fundamentalmente si tiene piel blanca o clara o predisposición genética.</w:t>
      </w:r>
    </w:p>
    <w:p>
      <w:pPr>
        <w:pStyle w:val="ListParagraph"/>
        <w:numPr>
          <w:ilvl w:val="2"/>
          <w:numId w:val="160"/>
        </w:numPr>
        <w:tabs>
          <w:tab w:pos="1045" w:val="left" w:leader="none"/>
          <w:tab w:pos="1058" w:val="left" w:leader="none"/>
        </w:tabs>
        <w:spacing w:line="240" w:lineRule="auto" w:before="229" w:after="0"/>
        <w:ind w:left="1058" w:right="337"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6" w:after="0"/>
        <w:ind w:left="956" w:right="0" w:hanging="330"/>
        <w:jc w:val="left"/>
      </w:pPr>
      <w:r>
        <w:rPr/>
        <w:t>Neoplasias</w:t>
      </w:r>
      <w:r>
        <w:rPr>
          <w:spacing w:val="-8"/>
        </w:rPr>
        <w:t> </w:t>
      </w:r>
      <w:r>
        <w:rPr/>
        <w:t>malignas</w:t>
      </w:r>
      <w:r>
        <w:rPr>
          <w:spacing w:val="-4"/>
        </w:rPr>
        <w:t> </w:t>
      </w:r>
      <w:r>
        <w:rPr/>
        <w:t>de</w:t>
      </w:r>
      <w:r>
        <w:rPr>
          <w:spacing w:val="-7"/>
        </w:rPr>
        <w:t> </w:t>
      </w:r>
      <w:r>
        <w:rPr/>
        <w:t>la</w:t>
      </w:r>
      <w:r>
        <w:rPr>
          <w:spacing w:val="-7"/>
        </w:rPr>
        <w:t> </w:t>
      </w:r>
      <w:r>
        <w:rPr>
          <w:spacing w:val="-2"/>
        </w:rPr>
        <w:t>orofaringe</w:t>
      </w:r>
    </w:p>
    <w:p>
      <w:pPr>
        <w:pStyle w:val="BodyText"/>
        <w:spacing w:before="3"/>
        <w:rPr>
          <w:rFonts w:ascii="Arial"/>
          <w:b/>
        </w:rPr>
      </w:pPr>
    </w:p>
    <w:p>
      <w:pPr>
        <w:pStyle w:val="BodyText"/>
        <w:ind w:left="626"/>
      </w:pPr>
      <w:r>
        <w:rPr/>
        <w:t>Código</w:t>
      </w:r>
      <w:r>
        <w:rPr>
          <w:spacing w:val="-10"/>
        </w:rPr>
        <w:t> </w:t>
      </w:r>
      <w:r>
        <w:rPr/>
        <w:t>CIE-11:</w:t>
      </w:r>
      <w:r>
        <w:rPr>
          <w:spacing w:val="-9"/>
        </w:rPr>
        <w:t> </w:t>
      </w:r>
      <w:r>
        <w:rPr>
          <w:spacing w:val="-4"/>
        </w:rPr>
        <w:t>2B6A</w:t>
      </w:r>
    </w:p>
    <w:p>
      <w:pPr>
        <w:pStyle w:val="ListParagraph"/>
        <w:numPr>
          <w:ilvl w:val="2"/>
          <w:numId w:val="160"/>
        </w:numPr>
        <w:tabs>
          <w:tab w:pos="1045" w:val="left" w:leader="none"/>
          <w:tab w:pos="1058" w:val="left" w:leader="none"/>
        </w:tabs>
        <w:spacing w:line="240" w:lineRule="auto" w:before="229" w:after="0"/>
        <w:ind w:left="1058" w:right="333" w:hanging="432"/>
        <w:jc w:val="both"/>
        <w:rPr>
          <w:sz w:val="20"/>
        </w:rPr>
      </w:pPr>
      <w:r>
        <w:rPr>
          <w:sz w:val="20"/>
        </w:rPr>
        <w:t>Personas trabajadoras con actividades económicas y puestos de trabajo a los que se pueden asociar</w:t>
      </w:r>
      <w:r>
        <w:rPr>
          <w:spacing w:val="-1"/>
          <w:sz w:val="20"/>
        </w:rPr>
        <w:t> </w:t>
      </w:r>
      <w:r>
        <w:rPr>
          <w:sz w:val="20"/>
        </w:rPr>
        <w:t>la</w:t>
      </w:r>
      <w:r>
        <w:rPr>
          <w:spacing w:val="-2"/>
          <w:sz w:val="20"/>
        </w:rPr>
        <w:t> </w:t>
      </w:r>
      <w:r>
        <w:rPr>
          <w:sz w:val="20"/>
        </w:rPr>
        <w:t>industria</w:t>
      </w:r>
      <w:r>
        <w:rPr>
          <w:spacing w:val="-4"/>
          <w:sz w:val="20"/>
        </w:rPr>
        <w:t> </w:t>
      </w:r>
      <w:r>
        <w:rPr>
          <w:sz w:val="20"/>
        </w:rPr>
        <w:t>química,</w:t>
      </w:r>
      <w:r>
        <w:rPr>
          <w:spacing w:val="-4"/>
          <w:sz w:val="20"/>
        </w:rPr>
        <w:t> </w:t>
      </w:r>
      <w:r>
        <w:rPr>
          <w:sz w:val="20"/>
        </w:rPr>
        <w:t>expuestas</w:t>
      </w:r>
      <w:r>
        <w:rPr>
          <w:spacing w:val="-3"/>
          <w:sz w:val="20"/>
        </w:rPr>
        <w:t> </w:t>
      </w:r>
      <w:r>
        <w:rPr>
          <w:sz w:val="20"/>
        </w:rPr>
        <w:t>a</w:t>
      </w:r>
      <w:r>
        <w:rPr>
          <w:spacing w:val="-2"/>
          <w:sz w:val="20"/>
        </w:rPr>
        <w:t> </w:t>
      </w:r>
      <w:r>
        <w:rPr>
          <w:sz w:val="20"/>
        </w:rPr>
        <w:t>disolventes</w:t>
      </w:r>
      <w:r>
        <w:rPr>
          <w:spacing w:val="-1"/>
          <w:sz w:val="20"/>
        </w:rPr>
        <w:t> </w:t>
      </w:r>
      <w:r>
        <w:rPr>
          <w:sz w:val="20"/>
        </w:rPr>
        <w:t>orgánicos y</w:t>
      </w:r>
      <w:r>
        <w:rPr>
          <w:spacing w:val="-5"/>
          <w:sz w:val="20"/>
        </w:rPr>
        <w:t> </w:t>
      </w:r>
      <w:r>
        <w:rPr>
          <w:sz w:val="20"/>
        </w:rPr>
        <w:t>de</w:t>
      </w:r>
      <w:r>
        <w:rPr>
          <w:spacing w:val="-2"/>
          <w:sz w:val="20"/>
        </w:rPr>
        <w:t> </w:t>
      </w:r>
      <w:r>
        <w:rPr>
          <w:sz w:val="20"/>
        </w:rPr>
        <w:t>la</w:t>
      </w:r>
      <w:r>
        <w:rPr>
          <w:spacing w:val="-2"/>
          <w:sz w:val="20"/>
        </w:rPr>
        <w:t> </w:t>
      </w:r>
      <w:r>
        <w:rPr>
          <w:sz w:val="20"/>
        </w:rPr>
        <w:t>producción</w:t>
      </w:r>
      <w:r>
        <w:rPr>
          <w:spacing w:val="-2"/>
          <w:sz w:val="20"/>
        </w:rPr>
        <w:t> </w:t>
      </w:r>
      <w:r>
        <w:rPr>
          <w:sz w:val="20"/>
        </w:rPr>
        <w:t>de</w:t>
      </w:r>
      <w:r>
        <w:rPr>
          <w:spacing w:val="-2"/>
          <w:sz w:val="20"/>
        </w:rPr>
        <w:t> </w:t>
      </w:r>
      <w:r>
        <w:rPr>
          <w:sz w:val="20"/>
        </w:rPr>
        <w:t>herbicidas y pesticidas. Personas trabajadoras en laboratorios de investigación en la producción de gas mostaza. Personas trabajadoras</w:t>
      </w:r>
      <w:r>
        <w:rPr>
          <w:spacing w:val="-1"/>
          <w:sz w:val="20"/>
        </w:rPr>
        <w:t> </w:t>
      </w:r>
      <w:r>
        <w:rPr>
          <w:sz w:val="20"/>
        </w:rPr>
        <w:t>que manejan</w:t>
      </w:r>
      <w:r>
        <w:rPr>
          <w:spacing w:val="-3"/>
          <w:sz w:val="20"/>
        </w:rPr>
        <w:t> </w:t>
      </w:r>
      <w:r>
        <w:rPr>
          <w:sz w:val="20"/>
        </w:rPr>
        <w:t>disolventes</w:t>
      </w:r>
      <w:r>
        <w:rPr>
          <w:spacing w:val="-1"/>
          <w:sz w:val="20"/>
        </w:rPr>
        <w:t> </w:t>
      </w:r>
      <w:r>
        <w:rPr>
          <w:sz w:val="20"/>
        </w:rPr>
        <w:t>orgánicos</w:t>
      </w:r>
      <w:r>
        <w:rPr>
          <w:spacing w:val="-1"/>
          <w:sz w:val="20"/>
        </w:rPr>
        <w:t> </w:t>
      </w:r>
      <w:r>
        <w:rPr>
          <w:sz w:val="20"/>
        </w:rPr>
        <w:t>como</w:t>
      </w:r>
      <w:r>
        <w:rPr>
          <w:spacing w:val="-2"/>
          <w:sz w:val="20"/>
        </w:rPr>
        <w:t> </w:t>
      </w:r>
      <w:r>
        <w:rPr>
          <w:sz w:val="20"/>
        </w:rPr>
        <w:t>los pintores. Personas trabajadoras de la extracción y beneficio de minerales no metálicos, como los mineros de carbón que se exponen a derivados del petróleo, vapores de solventes, mecánicos de vehículos de motores de combustión, chóferes, aquellas personas expuestas a polvos de madera u orgánicos, los de la industria del carbón y la construcción expuestas a cemento y personal de la salud expuesto a papiloma virus.</w:t>
      </w:r>
    </w:p>
    <w:p>
      <w:pPr>
        <w:pStyle w:val="BodyText"/>
      </w:pPr>
    </w:p>
    <w:p>
      <w:pPr>
        <w:pStyle w:val="ListParagraph"/>
        <w:numPr>
          <w:ilvl w:val="2"/>
          <w:numId w:val="160"/>
        </w:numPr>
        <w:tabs>
          <w:tab w:pos="1045" w:val="left" w:leader="none"/>
          <w:tab w:pos="1058" w:val="left" w:leader="none"/>
        </w:tabs>
        <w:spacing w:line="240" w:lineRule="auto" w:before="0" w:after="0"/>
        <w:ind w:left="1058" w:right="340" w:hanging="432"/>
        <w:jc w:val="both"/>
        <w:rPr>
          <w:sz w:val="20"/>
        </w:rPr>
      </w:pPr>
      <w:r>
        <w:rPr>
          <w:sz w:val="20"/>
        </w:rPr>
        <w:t>Personas trabajadoras que presentan exposición de forma directa e indudable a la acción de los agentes causales establecidos en la fracción II de la cédula correspondiente contenida en el Catálogo</w:t>
      </w:r>
      <w:r>
        <w:rPr>
          <w:spacing w:val="36"/>
          <w:sz w:val="20"/>
        </w:rPr>
        <w:t> </w:t>
      </w:r>
      <w:r>
        <w:rPr>
          <w:sz w:val="20"/>
        </w:rPr>
        <w:t>de</w:t>
      </w:r>
      <w:r>
        <w:rPr>
          <w:spacing w:val="38"/>
          <w:sz w:val="20"/>
        </w:rPr>
        <w:t> </w:t>
      </w:r>
      <w:r>
        <w:rPr>
          <w:sz w:val="20"/>
        </w:rPr>
        <w:t>las</w:t>
      </w:r>
      <w:r>
        <w:rPr>
          <w:spacing w:val="37"/>
          <w:sz w:val="20"/>
        </w:rPr>
        <w:t> </w:t>
      </w:r>
      <w:r>
        <w:rPr>
          <w:sz w:val="20"/>
        </w:rPr>
        <w:t>Cédulas</w:t>
      </w:r>
      <w:r>
        <w:rPr>
          <w:spacing w:val="39"/>
          <w:sz w:val="20"/>
        </w:rPr>
        <w:t> </w:t>
      </w:r>
      <w:r>
        <w:rPr>
          <w:sz w:val="20"/>
        </w:rPr>
        <w:t>para</w:t>
      </w:r>
      <w:r>
        <w:rPr>
          <w:spacing w:val="36"/>
          <w:sz w:val="20"/>
        </w:rPr>
        <w:t> </w:t>
      </w:r>
      <w:r>
        <w:rPr>
          <w:sz w:val="20"/>
        </w:rPr>
        <w:t>la</w:t>
      </w:r>
      <w:r>
        <w:rPr>
          <w:spacing w:val="36"/>
          <w:sz w:val="20"/>
        </w:rPr>
        <w:t> </w:t>
      </w:r>
      <w:r>
        <w:rPr>
          <w:sz w:val="20"/>
        </w:rPr>
        <w:t>Valuación</w:t>
      </w:r>
      <w:r>
        <w:rPr>
          <w:spacing w:val="36"/>
          <w:sz w:val="20"/>
        </w:rPr>
        <w:t> </w:t>
      </w:r>
      <w:r>
        <w:rPr>
          <w:sz w:val="20"/>
        </w:rPr>
        <w:t>de</w:t>
      </w:r>
      <w:r>
        <w:rPr>
          <w:spacing w:val="36"/>
          <w:sz w:val="20"/>
        </w:rPr>
        <w:t> </w:t>
      </w:r>
      <w:r>
        <w:rPr>
          <w:sz w:val="20"/>
        </w:rPr>
        <w:t>las</w:t>
      </w:r>
      <w:r>
        <w:rPr>
          <w:spacing w:val="39"/>
          <w:sz w:val="20"/>
        </w:rPr>
        <w:t> </w:t>
      </w:r>
      <w:r>
        <w:rPr>
          <w:sz w:val="20"/>
        </w:rPr>
        <w:t>Enfermedades</w:t>
      </w:r>
      <w:r>
        <w:rPr>
          <w:spacing w:val="37"/>
          <w:sz w:val="20"/>
        </w:rPr>
        <w:t> </w:t>
      </w:r>
      <w:r>
        <w:rPr>
          <w:sz w:val="20"/>
        </w:rPr>
        <w:t>de</w:t>
      </w:r>
      <w:r>
        <w:rPr>
          <w:spacing w:val="35"/>
          <w:sz w:val="20"/>
        </w:rPr>
        <w:t> </w:t>
      </w:r>
      <w:r>
        <w:rPr>
          <w:sz w:val="20"/>
        </w:rPr>
        <w:t>Trabajo,</w:t>
      </w:r>
      <w:r>
        <w:rPr>
          <w:spacing w:val="38"/>
          <w:sz w:val="20"/>
        </w:rPr>
        <w:t> </w:t>
      </w:r>
      <w:r>
        <w:rPr>
          <w:sz w:val="20"/>
        </w:rPr>
        <w:t>que</w:t>
      </w:r>
      <w:r>
        <w:rPr>
          <w:spacing w:val="36"/>
          <w:sz w:val="20"/>
        </w:rPr>
        <w:t> </w:t>
      </w:r>
      <w:r>
        <w:rPr>
          <w:sz w:val="20"/>
        </w:rPr>
        <w:t>tengan</w:t>
      </w:r>
      <w:r>
        <w:rPr>
          <w:spacing w:val="35"/>
          <w:sz w:val="20"/>
        </w:rPr>
        <w:t> </w:t>
      </w:r>
      <w:r>
        <w:rPr>
          <w:sz w:val="20"/>
        </w:rPr>
        <w:t>su</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058"/>
      </w:pPr>
      <w:r>
        <w:rPr/>
        <w:t>origen</w:t>
      </w:r>
      <w:r>
        <w:rPr>
          <w:spacing w:val="32"/>
        </w:rPr>
        <w:t> </w:t>
      </w:r>
      <w:r>
        <w:rPr/>
        <w:t>o</w:t>
      </w:r>
      <w:r>
        <w:rPr>
          <w:spacing w:val="34"/>
        </w:rPr>
        <w:t> </w:t>
      </w:r>
      <w:r>
        <w:rPr/>
        <w:t>con</w:t>
      </w:r>
      <w:r>
        <w:rPr>
          <w:spacing w:val="34"/>
        </w:rPr>
        <w:t> </w:t>
      </w:r>
      <w:r>
        <w:rPr/>
        <w:t>motivo</w:t>
      </w:r>
      <w:r>
        <w:rPr>
          <w:spacing w:val="34"/>
        </w:rPr>
        <w:t> </w:t>
      </w:r>
      <w:r>
        <w:rPr/>
        <w:t>del</w:t>
      </w:r>
      <w:r>
        <w:rPr>
          <w:spacing w:val="31"/>
        </w:rPr>
        <w:t> </w:t>
      </w:r>
      <w:r>
        <w:rPr/>
        <w:t>trabajo</w:t>
      </w:r>
      <w:r>
        <w:rPr>
          <w:spacing w:val="34"/>
        </w:rPr>
        <w:t> </w:t>
      </w:r>
      <w:r>
        <w:rPr/>
        <w:t>o</w:t>
      </w:r>
      <w:r>
        <w:rPr>
          <w:spacing w:val="32"/>
        </w:rPr>
        <w:t> </w:t>
      </w:r>
      <w:r>
        <w:rPr/>
        <w:t>en</w:t>
      </w:r>
      <w:r>
        <w:rPr>
          <w:spacing w:val="34"/>
        </w:rPr>
        <w:t> </w:t>
      </w:r>
      <w:r>
        <w:rPr/>
        <w:t>el</w:t>
      </w:r>
      <w:r>
        <w:rPr>
          <w:spacing w:val="33"/>
        </w:rPr>
        <w:t> </w:t>
      </w:r>
      <w:r>
        <w:rPr/>
        <w:t>medio</w:t>
      </w:r>
      <w:r>
        <w:rPr>
          <w:spacing w:val="32"/>
        </w:rPr>
        <w:t> </w:t>
      </w:r>
      <w:r>
        <w:rPr/>
        <w:t>que</w:t>
      </w:r>
      <w:r>
        <w:rPr>
          <w:spacing w:val="34"/>
        </w:rPr>
        <w:t> </w:t>
      </w:r>
      <w:r>
        <w:rPr/>
        <w:t>la</w:t>
      </w:r>
      <w:r>
        <w:rPr>
          <w:spacing w:val="32"/>
        </w:rPr>
        <w:t> </w:t>
      </w:r>
      <w:r>
        <w:rPr/>
        <w:t>persona</w:t>
      </w:r>
      <w:r>
        <w:rPr>
          <w:spacing w:val="34"/>
        </w:rPr>
        <w:t> </w:t>
      </w:r>
      <w:r>
        <w:rPr/>
        <w:t>trabajadora</w:t>
      </w:r>
      <w:r>
        <w:rPr>
          <w:spacing w:val="32"/>
        </w:rPr>
        <w:t> </w:t>
      </w:r>
      <w:r>
        <w:rPr/>
        <w:t>se</w:t>
      </w:r>
      <w:r>
        <w:rPr>
          <w:spacing w:val="37"/>
        </w:rPr>
        <w:t> </w:t>
      </w:r>
      <w:r>
        <w:rPr/>
        <w:t>vea</w:t>
      </w:r>
      <w:r>
        <w:rPr>
          <w:spacing w:val="34"/>
        </w:rPr>
        <w:t> </w:t>
      </w:r>
      <w:r>
        <w:rPr/>
        <w:t>obligada</w:t>
      </w:r>
      <w:r>
        <w:rPr>
          <w:spacing w:val="34"/>
        </w:rPr>
        <w:t> </w:t>
      </w:r>
      <w:r>
        <w:rPr/>
        <w:t>a prestar sus servicios.</w:t>
      </w:r>
    </w:p>
    <w:p>
      <w:pPr>
        <w:pStyle w:val="Heading3"/>
        <w:numPr>
          <w:ilvl w:val="1"/>
          <w:numId w:val="160"/>
        </w:numPr>
        <w:tabs>
          <w:tab w:pos="956" w:val="left" w:leader="none"/>
        </w:tabs>
        <w:spacing w:line="240" w:lineRule="auto" w:before="229" w:after="0"/>
        <w:ind w:left="956" w:right="0" w:hanging="330"/>
        <w:jc w:val="left"/>
      </w:pPr>
      <w:r>
        <w:rPr/>
        <w:t>Neoplasias</w:t>
      </w:r>
      <w:r>
        <w:rPr>
          <w:spacing w:val="-8"/>
        </w:rPr>
        <w:t> </w:t>
      </w:r>
      <w:r>
        <w:rPr/>
        <w:t>malignas</w:t>
      </w:r>
      <w:r>
        <w:rPr>
          <w:spacing w:val="-4"/>
        </w:rPr>
        <w:t> </w:t>
      </w:r>
      <w:r>
        <w:rPr/>
        <w:t>de</w:t>
      </w:r>
      <w:r>
        <w:rPr>
          <w:spacing w:val="-7"/>
        </w:rPr>
        <w:t> </w:t>
      </w:r>
      <w:r>
        <w:rPr/>
        <w:t>la</w:t>
      </w:r>
      <w:r>
        <w:rPr>
          <w:spacing w:val="-7"/>
        </w:rPr>
        <w:t> </w:t>
      </w:r>
      <w:r>
        <w:rPr>
          <w:spacing w:val="-2"/>
        </w:rPr>
        <w:t>nasofaringe</w:t>
      </w:r>
    </w:p>
    <w:p>
      <w:pPr>
        <w:pStyle w:val="BodyText"/>
        <w:spacing w:before="3"/>
        <w:rPr>
          <w:rFonts w:ascii="Arial"/>
          <w:b/>
        </w:rPr>
      </w:pPr>
    </w:p>
    <w:p>
      <w:pPr>
        <w:pStyle w:val="BodyText"/>
        <w:ind w:left="626"/>
      </w:pPr>
      <w:r>
        <w:rPr/>
        <w:t>Código</w:t>
      </w:r>
      <w:r>
        <w:rPr>
          <w:spacing w:val="-10"/>
        </w:rPr>
        <w:t> </w:t>
      </w:r>
      <w:r>
        <w:rPr/>
        <w:t>CIE-11:</w:t>
      </w:r>
      <w:r>
        <w:rPr>
          <w:spacing w:val="-9"/>
        </w:rPr>
        <w:t> </w:t>
      </w:r>
      <w:r>
        <w:rPr>
          <w:spacing w:val="-4"/>
        </w:rPr>
        <w:t>2B6B</w:t>
      </w:r>
    </w:p>
    <w:p>
      <w:pPr>
        <w:pStyle w:val="ListParagraph"/>
        <w:numPr>
          <w:ilvl w:val="2"/>
          <w:numId w:val="160"/>
        </w:numPr>
        <w:tabs>
          <w:tab w:pos="1045" w:val="left" w:leader="none"/>
          <w:tab w:pos="1058" w:val="left" w:leader="none"/>
        </w:tabs>
        <w:spacing w:line="240" w:lineRule="auto" w:before="227" w:after="0"/>
        <w:ind w:left="1058" w:right="341" w:hanging="432"/>
        <w:jc w:val="both"/>
        <w:rPr>
          <w:sz w:val="20"/>
        </w:rPr>
      </w:pPr>
      <w:r>
        <w:rPr>
          <w:sz w:val="20"/>
        </w:rPr>
        <w:t>Personas trabajadoras en actividades económicas y puestos de trabajo, tales como: la extracción de cadmio, metalurgia en la producción de materiales con cadmio, exposición a pinturas con cadmio, producción de fertilizantes, papel, maderas laminadas y resinas, carpinteros. Personas trabajadoras expuestas a combustibles para motores, disolventes de grasas, aceites y pinturas; en el grabado fotográfico de impresiones; como intermediario químico en la manufactura de detergentes, explosivos, productos farmacéuticos y pinturas.</w:t>
      </w:r>
    </w:p>
    <w:p>
      <w:pPr>
        <w:pStyle w:val="BodyText"/>
        <w:spacing w:before="1"/>
      </w:pPr>
    </w:p>
    <w:p>
      <w:pPr>
        <w:pStyle w:val="ListParagraph"/>
        <w:numPr>
          <w:ilvl w:val="2"/>
          <w:numId w:val="160"/>
        </w:numPr>
        <w:tabs>
          <w:tab w:pos="1045" w:val="left" w:leader="none"/>
          <w:tab w:pos="1058" w:val="left" w:leader="none"/>
        </w:tabs>
        <w:spacing w:line="240" w:lineRule="auto" w:before="0" w:after="0"/>
        <w:ind w:left="1058" w:right="33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6" w:after="0"/>
        <w:ind w:left="956" w:right="0" w:hanging="330"/>
        <w:jc w:val="left"/>
      </w:pPr>
      <w:r>
        <w:rPr/>
        <w:t>Neoplasias</w:t>
      </w:r>
      <w:r>
        <w:rPr>
          <w:spacing w:val="-8"/>
        </w:rPr>
        <w:t> </w:t>
      </w:r>
      <w:r>
        <w:rPr/>
        <w:t>malignas</w:t>
      </w:r>
      <w:r>
        <w:rPr>
          <w:spacing w:val="-2"/>
        </w:rPr>
        <w:t> </w:t>
      </w:r>
      <w:r>
        <w:rPr/>
        <w:t>de</w:t>
      </w:r>
      <w:r>
        <w:rPr>
          <w:spacing w:val="-7"/>
        </w:rPr>
        <w:t> </w:t>
      </w:r>
      <w:r>
        <w:rPr/>
        <w:t>la</w:t>
      </w:r>
      <w:r>
        <w:rPr>
          <w:spacing w:val="-6"/>
        </w:rPr>
        <w:t> </w:t>
      </w:r>
      <w:r>
        <w:rPr/>
        <w:t>cavidad</w:t>
      </w:r>
      <w:r>
        <w:rPr>
          <w:spacing w:val="-5"/>
        </w:rPr>
        <w:t> </w:t>
      </w:r>
      <w:r>
        <w:rPr/>
        <w:t>nasal</w:t>
      </w:r>
      <w:r>
        <w:rPr>
          <w:spacing w:val="-5"/>
        </w:rPr>
        <w:t> </w:t>
      </w:r>
      <w:r>
        <w:rPr/>
        <w:t>y</w:t>
      </w:r>
      <w:r>
        <w:rPr>
          <w:spacing w:val="-7"/>
        </w:rPr>
        <w:t> </w:t>
      </w:r>
      <w:r>
        <w:rPr/>
        <w:t>senos</w:t>
      </w:r>
      <w:r>
        <w:rPr>
          <w:spacing w:val="-6"/>
        </w:rPr>
        <w:t> </w:t>
      </w:r>
      <w:r>
        <w:rPr>
          <w:spacing w:val="-2"/>
        </w:rPr>
        <w:t>paranasales</w:t>
      </w:r>
    </w:p>
    <w:p>
      <w:pPr>
        <w:pStyle w:val="BodyText"/>
        <w:spacing w:before="3"/>
        <w:rPr>
          <w:rFonts w:ascii="Arial"/>
          <w:b/>
        </w:rPr>
      </w:pPr>
    </w:p>
    <w:p>
      <w:pPr>
        <w:pStyle w:val="BodyText"/>
        <w:ind w:left="626"/>
      </w:pPr>
      <w:r>
        <w:rPr/>
        <w:t>Código</w:t>
      </w:r>
      <w:r>
        <w:rPr>
          <w:spacing w:val="-7"/>
        </w:rPr>
        <w:t> </w:t>
      </w:r>
      <w:r>
        <w:rPr/>
        <w:t>CIE-11:</w:t>
      </w:r>
      <w:r>
        <w:rPr>
          <w:spacing w:val="-6"/>
        </w:rPr>
        <w:t> </w:t>
      </w:r>
      <w:r>
        <w:rPr/>
        <w:t>2C20</w:t>
      </w:r>
      <w:r>
        <w:rPr>
          <w:spacing w:val="-2"/>
        </w:rPr>
        <w:t> </w:t>
      </w:r>
      <w:r>
        <w:rPr/>
        <w:t>y</w:t>
      </w:r>
      <w:r>
        <w:rPr>
          <w:spacing w:val="-6"/>
        </w:rPr>
        <w:t> </w:t>
      </w:r>
      <w:r>
        <w:rPr>
          <w:spacing w:val="-4"/>
        </w:rPr>
        <w:t>2C22</w:t>
      </w:r>
    </w:p>
    <w:p>
      <w:pPr>
        <w:pStyle w:val="ListParagraph"/>
        <w:numPr>
          <w:ilvl w:val="2"/>
          <w:numId w:val="160"/>
        </w:numPr>
        <w:tabs>
          <w:tab w:pos="1045" w:val="left" w:leader="none"/>
          <w:tab w:pos="1058" w:val="left" w:leader="none"/>
        </w:tabs>
        <w:spacing w:line="240" w:lineRule="auto" w:before="230" w:after="0"/>
        <w:ind w:left="1058" w:right="339" w:hanging="432"/>
        <w:jc w:val="both"/>
        <w:rPr>
          <w:sz w:val="20"/>
        </w:rPr>
      </w:pPr>
      <w:r>
        <w:rPr>
          <w:sz w:val="20"/>
        </w:rPr>
        <w:t>Personas trabajadoras en actividades económicas y puestos de trabajo, tales como: carpinteros, ebanistas, leñadores y demás personas trabajadoras asociadas al manejo de la madera, de la industria</w:t>
      </w:r>
      <w:r>
        <w:rPr>
          <w:spacing w:val="-1"/>
          <w:sz w:val="20"/>
        </w:rPr>
        <w:t> </w:t>
      </w:r>
      <w:r>
        <w:rPr>
          <w:sz w:val="20"/>
        </w:rPr>
        <w:t>química,</w:t>
      </w:r>
      <w:r>
        <w:rPr>
          <w:spacing w:val="-3"/>
          <w:sz w:val="20"/>
        </w:rPr>
        <w:t> </w:t>
      </w:r>
      <w:r>
        <w:rPr>
          <w:sz w:val="20"/>
        </w:rPr>
        <w:t>de</w:t>
      </w:r>
      <w:r>
        <w:rPr>
          <w:spacing w:val="-2"/>
          <w:sz w:val="20"/>
        </w:rPr>
        <w:t> </w:t>
      </w:r>
      <w:r>
        <w:rPr>
          <w:sz w:val="20"/>
        </w:rPr>
        <w:t>la</w:t>
      </w:r>
      <w:r>
        <w:rPr>
          <w:spacing w:val="-3"/>
          <w:sz w:val="20"/>
        </w:rPr>
        <w:t> </w:t>
      </w:r>
      <w:r>
        <w:rPr>
          <w:sz w:val="20"/>
        </w:rPr>
        <w:t>refinación,</w:t>
      </w:r>
      <w:r>
        <w:rPr>
          <w:spacing w:val="-3"/>
          <w:sz w:val="20"/>
        </w:rPr>
        <w:t> </w:t>
      </w:r>
      <w:r>
        <w:rPr>
          <w:sz w:val="20"/>
        </w:rPr>
        <w:t>en</w:t>
      </w:r>
      <w:r>
        <w:rPr>
          <w:spacing w:val="-3"/>
          <w:sz w:val="20"/>
        </w:rPr>
        <w:t> </w:t>
      </w:r>
      <w:r>
        <w:rPr>
          <w:sz w:val="20"/>
        </w:rPr>
        <w:t>la</w:t>
      </w:r>
      <w:r>
        <w:rPr>
          <w:spacing w:val="-3"/>
          <w:sz w:val="20"/>
        </w:rPr>
        <w:t> </w:t>
      </w:r>
      <w:r>
        <w:rPr>
          <w:sz w:val="20"/>
        </w:rPr>
        <w:t>extracción y</w:t>
      </w:r>
      <w:r>
        <w:rPr>
          <w:spacing w:val="-6"/>
          <w:sz w:val="20"/>
        </w:rPr>
        <w:t> </w:t>
      </w:r>
      <w:r>
        <w:rPr>
          <w:sz w:val="20"/>
        </w:rPr>
        <w:t>procesamiento</w:t>
      </w:r>
      <w:r>
        <w:rPr>
          <w:spacing w:val="-4"/>
          <w:sz w:val="20"/>
        </w:rPr>
        <w:t> </w:t>
      </w:r>
      <w:r>
        <w:rPr>
          <w:sz w:val="20"/>
        </w:rPr>
        <w:t>del</w:t>
      </w:r>
      <w:r>
        <w:rPr>
          <w:spacing w:val="-4"/>
          <w:sz w:val="20"/>
        </w:rPr>
        <w:t> </w:t>
      </w:r>
      <w:r>
        <w:rPr>
          <w:sz w:val="20"/>
        </w:rPr>
        <w:t>cromo</w:t>
      </w:r>
      <w:r>
        <w:rPr>
          <w:spacing w:val="-3"/>
          <w:sz w:val="20"/>
        </w:rPr>
        <w:t> </w:t>
      </w:r>
      <w:r>
        <w:rPr>
          <w:sz w:val="20"/>
        </w:rPr>
        <w:t>el</w:t>
      </w:r>
      <w:r>
        <w:rPr>
          <w:spacing w:val="-2"/>
          <w:sz w:val="20"/>
        </w:rPr>
        <w:t> </w:t>
      </w:r>
      <w:r>
        <w:rPr>
          <w:sz w:val="20"/>
        </w:rPr>
        <w:t>níquel y</w:t>
      </w:r>
      <w:r>
        <w:rPr>
          <w:spacing w:val="-6"/>
          <w:sz w:val="20"/>
        </w:rPr>
        <w:t> </w:t>
      </w:r>
      <w:r>
        <w:rPr>
          <w:sz w:val="20"/>
        </w:rPr>
        <w:t>el</w:t>
      </w:r>
      <w:r>
        <w:rPr>
          <w:spacing w:val="-4"/>
          <w:sz w:val="20"/>
        </w:rPr>
        <w:t> </w:t>
      </w:r>
      <w:r>
        <w:rPr>
          <w:sz w:val="20"/>
        </w:rPr>
        <w:t>radio, aquellas expuestas a pinturas y solventes, expuestas a gases oxigenados del petróleo, en la producción de fertilizantes, papel, maderas laminadas y resinas, granjeros y personal expuesto a polvos orgánicos. Personas trabajadoras en la agricultura en la molienda de la harina o trabajos de panadería. Personas trabajadoras de la industria del calzado e industria del cuero, como los curtidores de las pieles.</w:t>
      </w:r>
    </w:p>
    <w:p>
      <w:pPr>
        <w:pStyle w:val="ListParagraph"/>
        <w:numPr>
          <w:ilvl w:val="2"/>
          <w:numId w:val="160"/>
        </w:numPr>
        <w:tabs>
          <w:tab w:pos="1045" w:val="left" w:leader="none"/>
          <w:tab w:pos="1058" w:val="left" w:leader="none"/>
        </w:tabs>
        <w:spacing w:line="240" w:lineRule="auto" w:before="228" w:after="0"/>
        <w:ind w:left="1058" w:right="33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w:t>
      </w:r>
      <w:r>
        <w:rPr>
          <w:spacing w:val="40"/>
          <w:sz w:val="20"/>
        </w:rPr>
        <w:t> </w:t>
      </w:r>
      <w:r>
        <w:rPr>
          <w:sz w:val="20"/>
        </w:rPr>
        <w:t>origen o con motivo del trabajo o en el medio que la persona trabajadora se vea obligada a prestar sus servicios.</w:t>
      </w:r>
    </w:p>
    <w:p>
      <w:pPr>
        <w:pStyle w:val="Heading3"/>
        <w:numPr>
          <w:ilvl w:val="1"/>
          <w:numId w:val="160"/>
        </w:numPr>
        <w:tabs>
          <w:tab w:pos="956" w:val="left" w:leader="none"/>
        </w:tabs>
        <w:spacing w:line="240" w:lineRule="auto" w:before="226" w:after="0"/>
        <w:ind w:left="956" w:right="0" w:hanging="330"/>
        <w:jc w:val="left"/>
      </w:pPr>
      <w:r>
        <w:rPr/>
        <w:t>Neoplasias</w:t>
      </w:r>
      <w:r>
        <w:rPr>
          <w:spacing w:val="-7"/>
        </w:rPr>
        <w:t> </w:t>
      </w:r>
      <w:r>
        <w:rPr/>
        <w:t>malignas</w:t>
      </w:r>
      <w:r>
        <w:rPr>
          <w:spacing w:val="-3"/>
        </w:rPr>
        <w:t> </w:t>
      </w:r>
      <w:r>
        <w:rPr/>
        <w:t>de</w:t>
      </w:r>
      <w:r>
        <w:rPr>
          <w:spacing w:val="-6"/>
        </w:rPr>
        <w:t> </w:t>
      </w:r>
      <w:r>
        <w:rPr/>
        <w:t>la</w:t>
      </w:r>
      <w:r>
        <w:rPr>
          <w:spacing w:val="-6"/>
        </w:rPr>
        <w:t> </w:t>
      </w:r>
      <w:r>
        <w:rPr/>
        <w:t>laringe</w:t>
      </w:r>
      <w:r>
        <w:rPr>
          <w:spacing w:val="-4"/>
        </w:rPr>
        <w:t> </w:t>
      </w:r>
      <w:r>
        <w:rPr/>
        <w:t>y</w:t>
      </w:r>
      <w:r>
        <w:rPr>
          <w:spacing w:val="-7"/>
        </w:rPr>
        <w:t> </w:t>
      </w:r>
      <w:r>
        <w:rPr/>
        <w:t>alteraciones</w:t>
      </w:r>
      <w:r>
        <w:rPr>
          <w:spacing w:val="-6"/>
        </w:rPr>
        <w:t> </w:t>
      </w:r>
      <w:r>
        <w:rPr/>
        <w:t>de</w:t>
      </w:r>
      <w:r>
        <w:rPr>
          <w:spacing w:val="-6"/>
        </w:rPr>
        <w:t> </w:t>
      </w:r>
      <w:r>
        <w:rPr/>
        <w:t>la</w:t>
      </w:r>
      <w:r>
        <w:rPr>
          <w:spacing w:val="-5"/>
        </w:rPr>
        <w:t> </w:t>
      </w:r>
      <w:r>
        <w:rPr/>
        <w:t>voz</w:t>
      </w:r>
      <w:r>
        <w:rPr>
          <w:spacing w:val="-5"/>
        </w:rPr>
        <w:t> </w:t>
      </w:r>
      <w:r>
        <w:rPr/>
        <w:t>sin</w:t>
      </w:r>
      <w:r>
        <w:rPr>
          <w:spacing w:val="-5"/>
        </w:rPr>
        <w:t> </w:t>
      </w:r>
      <w:r>
        <w:rPr>
          <w:spacing w:val="-2"/>
        </w:rPr>
        <w:t>especificación</w:t>
      </w:r>
    </w:p>
    <w:p>
      <w:pPr>
        <w:pStyle w:val="BodyText"/>
        <w:spacing w:before="3"/>
        <w:rPr>
          <w:rFonts w:ascii="Arial"/>
          <w:b/>
        </w:rPr>
      </w:pPr>
    </w:p>
    <w:p>
      <w:pPr>
        <w:pStyle w:val="BodyText"/>
        <w:spacing w:before="1"/>
        <w:ind w:left="626"/>
      </w:pPr>
      <w:r>
        <w:rPr/>
        <w:t>Código</w:t>
      </w:r>
      <w:r>
        <w:rPr>
          <w:spacing w:val="-9"/>
        </w:rPr>
        <w:t> </w:t>
      </w:r>
      <w:r>
        <w:rPr/>
        <w:t>CIE-11:</w:t>
      </w:r>
      <w:r>
        <w:rPr>
          <w:spacing w:val="-7"/>
        </w:rPr>
        <w:t> </w:t>
      </w:r>
      <w:r>
        <w:rPr/>
        <w:t>2C23,</w:t>
      </w:r>
      <w:r>
        <w:rPr>
          <w:spacing w:val="-6"/>
        </w:rPr>
        <w:t> </w:t>
      </w:r>
      <w:r>
        <w:rPr>
          <w:spacing w:val="-2"/>
        </w:rPr>
        <w:t>MA82.Z</w:t>
      </w:r>
    </w:p>
    <w:p>
      <w:pPr>
        <w:pStyle w:val="ListParagraph"/>
        <w:numPr>
          <w:ilvl w:val="2"/>
          <w:numId w:val="160"/>
        </w:numPr>
        <w:tabs>
          <w:tab w:pos="1045" w:val="left" w:leader="none"/>
          <w:tab w:pos="1058" w:val="left" w:leader="none"/>
        </w:tabs>
        <w:spacing w:line="240" w:lineRule="auto" w:before="230" w:after="0"/>
        <w:ind w:left="1058" w:right="335" w:hanging="432"/>
        <w:jc w:val="both"/>
        <w:rPr>
          <w:sz w:val="20"/>
        </w:rPr>
      </w:pPr>
      <w:r>
        <w:rPr>
          <w:sz w:val="20"/>
        </w:rPr>
        <w:t>Personas trabajadoras de la industria química, como los de laboratorio de investigación en la producción de gas mostaza, en la industria del plástico como los expuestos en la fabricación y producción de plásticos, en contacto de industrias que manejan disolventes orgánicos, como los pintores;</w:t>
      </w:r>
      <w:r>
        <w:rPr>
          <w:spacing w:val="-4"/>
          <w:sz w:val="20"/>
        </w:rPr>
        <w:t> </w:t>
      </w:r>
      <w:r>
        <w:rPr>
          <w:sz w:val="20"/>
        </w:rPr>
        <w:t>de</w:t>
      </w:r>
      <w:r>
        <w:rPr>
          <w:spacing w:val="-4"/>
          <w:sz w:val="20"/>
        </w:rPr>
        <w:t> </w:t>
      </w:r>
      <w:r>
        <w:rPr>
          <w:sz w:val="20"/>
        </w:rPr>
        <w:t>minas</w:t>
      </w:r>
      <w:r>
        <w:rPr>
          <w:spacing w:val="-3"/>
          <w:sz w:val="20"/>
        </w:rPr>
        <w:t> </w:t>
      </w:r>
      <w:r>
        <w:rPr>
          <w:sz w:val="20"/>
        </w:rPr>
        <w:t>de</w:t>
      </w:r>
      <w:r>
        <w:rPr>
          <w:spacing w:val="-5"/>
          <w:sz w:val="20"/>
        </w:rPr>
        <w:t> </w:t>
      </w:r>
      <w:r>
        <w:rPr>
          <w:sz w:val="20"/>
        </w:rPr>
        <w:t>oro;</w:t>
      </w:r>
      <w:r>
        <w:rPr>
          <w:spacing w:val="-2"/>
          <w:sz w:val="20"/>
        </w:rPr>
        <w:t> </w:t>
      </w:r>
      <w:r>
        <w:rPr>
          <w:sz w:val="20"/>
        </w:rPr>
        <w:t>de</w:t>
      </w:r>
      <w:r>
        <w:rPr>
          <w:spacing w:val="-5"/>
          <w:sz w:val="20"/>
        </w:rPr>
        <w:t> </w:t>
      </w:r>
      <w:r>
        <w:rPr>
          <w:sz w:val="20"/>
        </w:rPr>
        <w:t>la</w:t>
      </w:r>
      <w:r>
        <w:rPr>
          <w:spacing w:val="-4"/>
          <w:sz w:val="20"/>
        </w:rPr>
        <w:t> </w:t>
      </w:r>
      <w:r>
        <w:rPr>
          <w:sz w:val="20"/>
        </w:rPr>
        <w:t>industria</w:t>
      </w:r>
      <w:r>
        <w:rPr>
          <w:spacing w:val="-4"/>
          <w:sz w:val="20"/>
        </w:rPr>
        <w:t> </w:t>
      </w:r>
      <w:r>
        <w:rPr>
          <w:sz w:val="20"/>
        </w:rPr>
        <w:t>del</w:t>
      </w:r>
      <w:r>
        <w:rPr>
          <w:spacing w:val="-3"/>
          <w:sz w:val="20"/>
        </w:rPr>
        <w:t> </w:t>
      </w:r>
      <w:r>
        <w:rPr>
          <w:sz w:val="20"/>
        </w:rPr>
        <w:t>asbesto,</w:t>
      </w:r>
      <w:r>
        <w:rPr>
          <w:spacing w:val="-2"/>
          <w:sz w:val="20"/>
        </w:rPr>
        <w:t> </w:t>
      </w:r>
      <w:r>
        <w:rPr>
          <w:sz w:val="20"/>
        </w:rPr>
        <w:t>de</w:t>
      </w:r>
      <w:r>
        <w:rPr>
          <w:spacing w:val="-5"/>
          <w:sz w:val="20"/>
        </w:rPr>
        <w:t> </w:t>
      </w:r>
      <w:r>
        <w:rPr>
          <w:sz w:val="20"/>
        </w:rPr>
        <w:t>las</w:t>
      </w:r>
      <w:r>
        <w:rPr>
          <w:spacing w:val="-3"/>
          <w:sz w:val="20"/>
        </w:rPr>
        <w:t> </w:t>
      </w:r>
      <w:r>
        <w:rPr>
          <w:sz w:val="20"/>
        </w:rPr>
        <w:t>personas</w:t>
      </w:r>
      <w:r>
        <w:rPr>
          <w:spacing w:val="-3"/>
          <w:sz w:val="20"/>
        </w:rPr>
        <w:t> </w:t>
      </w:r>
      <w:r>
        <w:rPr>
          <w:sz w:val="20"/>
        </w:rPr>
        <w:t>trabajadoras</w:t>
      </w:r>
      <w:r>
        <w:rPr>
          <w:spacing w:val="-3"/>
          <w:sz w:val="20"/>
        </w:rPr>
        <w:t> </w:t>
      </w:r>
      <w:r>
        <w:rPr>
          <w:sz w:val="20"/>
        </w:rPr>
        <w:t>de la</w:t>
      </w:r>
      <w:r>
        <w:rPr>
          <w:spacing w:val="-2"/>
          <w:sz w:val="20"/>
        </w:rPr>
        <w:t> </w:t>
      </w:r>
      <w:r>
        <w:rPr>
          <w:sz w:val="20"/>
        </w:rPr>
        <w:t>industria del acero, en plantas siderúrgicas, expuestas en la producción y uso de plaguicidas. Personas trabajadoras de la industria de la construcción de edificaciones y obras de ingeniería civil como los albañiles, techadores, peones expuestos al asbesto. Personas trabajadoras expuestas a la combustión de carbón, petróleo y gasolina, basuras; cocineros, de la industria metalúrgica, curtidores,</w:t>
      </w:r>
      <w:r>
        <w:rPr>
          <w:spacing w:val="40"/>
          <w:sz w:val="20"/>
        </w:rPr>
        <w:t> </w:t>
      </w:r>
      <w:r>
        <w:rPr>
          <w:sz w:val="20"/>
        </w:rPr>
        <w:t>granjeros,</w:t>
      </w:r>
      <w:r>
        <w:rPr>
          <w:spacing w:val="40"/>
          <w:sz w:val="20"/>
        </w:rPr>
        <w:t> </w:t>
      </w:r>
      <w:r>
        <w:rPr>
          <w:sz w:val="20"/>
        </w:rPr>
        <w:t>de</w:t>
      </w:r>
      <w:r>
        <w:rPr>
          <w:spacing w:val="40"/>
          <w:sz w:val="20"/>
        </w:rPr>
        <w:t> </w:t>
      </w:r>
      <w:r>
        <w:rPr>
          <w:sz w:val="20"/>
        </w:rPr>
        <w:t>la</w:t>
      </w:r>
      <w:r>
        <w:rPr>
          <w:spacing w:val="40"/>
          <w:sz w:val="20"/>
        </w:rPr>
        <w:t> </w:t>
      </w:r>
      <w:r>
        <w:rPr>
          <w:sz w:val="20"/>
        </w:rPr>
        <w:t>construcción.</w:t>
      </w:r>
      <w:r>
        <w:rPr>
          <w:spacing w:val="40"/>
          <w:sz w:val="20"/>
        </w:rPr>
        <w:t> </w:t>
      </w:r>
      <w:r>
        <w:rPr>
          <w:sz w:val="20"/>
        </w:rPr>
        <w:t>Personas</w:t>
      </w:r>
      <w:r>
        <w:rPr>
          <w:spacing w:val="40"/>
          <w:sz w:val="20"/>
        </w:rPr>
        <w:t> </w:t>
      </w:r>
      <w:r>
        <w:rPr>
          <w:sz w:val="20"/>
        </w:rPr>
        <w:t>trabajadoras</w:t>
      </w:r>
      <w:r>
        <w:rPr>
          <w:spacing w:val="40"/>
          <w:sz w:val="20"/>
        </w:rPr>
        <w:t> </w:t>
      </w:r>
      <w:r>
        <w:rPr>
          <w:sz w:val="20"/>
        </w:rPr>
        <w:t>de</w:t>
      </w:r>
      <w:r>
        <w:rPr>
          <w:spacing w:val="40"/>
          <w:sz w:val="20"/>
        </w:rPr>
        <w:t> </w:t>
      </w:r>
      <w:r>
        <w:rPr>
          <w:sz w:val="20"/>
        </w:rPr>
        <w:t>la</w:t>
      </w:r>
      <w:r>
        <w:rPr>
          <w:spacing w:val="40"/>
          <w:sz w:val="20"/>
        </w:rPr>
        <w:t> </w:t>
      </w:r>
      <w:r>
        <w:rPr>
          <w:sz w:val="20"/>
        </w:rPr>
        <w:t>industria</w:t>
      </w:r>
      <w:r>
        <w:rPr>
          <w:spacing w:val="40"/>
          <w:sz w:val="20"/>
        </w:rPr>
        <w:t> </w:t>
      </w:r>
      <w:r>
        <w:rPr>
          <w:sz w:val="20"/>
        </w:rPr>
        <w:t>farmacéutica</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058" w:right="339"/>
        <w:jc w:val="both"/>
      </w:pPr>
      <w:r>
        <w:rPr/>
        <w:t>como los que manejan quimioterapéuticos. Personas trabajadoras que utilizan la voz frecuentemente como cantantes, vocalistas, coristas, maestros, profesores, locutores, personal que atiende al público, camareros, teleoperadores, comerciantes, guías de turistas, carpinteros, escultores,</w:t>
      </w:r>
      <w:r>
        <w:rPr>
          <w:spacing w:val="-3"/>
        </w:rPr>
        <w:t> </w:t>
      </w:r>
      <w:r>
        <w:rPr/>
        <w:t>entrenadores, monitores,</w:t>
      </w:r>
      <w:r>
        <w:rPr>
          <w:spacing w:val="-3"/>
        </w:rPr>
        <w:t> </w:t>
      </w:r>
      <w:r>
        <w:rPr/>
        <w:t>traductor,</w:t>
      </w:r>
      <w:r>
        <w:rPr>
          <w:spacing w:val="-2"/>
        </w:rPr>
        <w:t> </w:t>
      </w:r>
      <w:r>
        <w:rPr/>
        <w:t>todos aquellos</w:t>
      </w:r>
      <w:r>
        <w:rPr>
          <w:spacing w:val="-2"/>
        </w:rPr>
        <w:t> </w:t>
      </w:r>
      <w:r>
        <w:rPr/>
        <w:t>oficios</w:t>
      </w:r>
      <w:r>
        <w:rPr>
          <w:spacing w:val="-2"/>
        </w:rPr>
        <w:t> </w:t>
      </w:r>
      <w:r>
        <w:rPr/>
        <w:t>o</w:t>
      </w:r>
      <w:r>
        <w:rPr>
          <w:spacing w:val="-3"/>
        </w:rPr>
        <w:t> </w:t>
      </w:r>
      <w:r>
        <w:rPr/>
        <w:t>profesiones</w:t>
      </w:r>
      <w:r>
        <w:rPr>
          <w:spacing w:val="-2"/>
        </w:rPr>
        <w:t> </w:t>
      </w:r>
      <w:r>
        <w:rPr/>
        <w:t>en</w:t>
      </w:r>
      <w:r>
        <w:rPr>
          <w:spacing w:val="-4"/>
        </w:rPr>
        <w:t> </w:t>
      </w:r>
      <w:r>
        <w:rPr/>
        <w:t>los</w:t>
      </w:r>
      <w:r>
        <w:rPr>
          <w:spacing w:val="-2"/>
        </w:rPr>
        <w:t> </w:t>
      </w:r>
      <w:r>
        <w:rPr/>
        <w:t>que</w:t>
      </w:r>
      <w:r>
        <w:rPr>
          <w:spacing w:val="-1"/>
        </w:rPr>
        <w:t> </w:t>
      </w:r>
      <w:r>
        <w:rPr/>
        <w:t>las personas trabajadoras usan su voz como herramienta de trabajo.</w:t>
      </w:r>
    </w:p>
    <w:p>
      <w:pPr>
        <w:pStyle w:val="BodyText"/>
        <w:spacing w:before="1"/>
      </w:pPr>
    </w:p>
    <w:p>
      <w:pPr>
        <w:pStyle w:val="ListParagraph"/>
        <w:numPr>
          <w:ilvl w:val="2"/>
          <w:numId w:val="160"/>
        </w:numPr>
        <w:tabs>
          <w:tab w:pos="1045" w:val="left" w:leader="none"/>
          <w:tab w:pos="1058" w:val="left" w:leader="none"/>
        </w:tabs>
        <w:spacing w:line="240" w:lineRule="auto" w:before="0" w:after="0"/>
        <w:ind w:left="1058" w:right="33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w:t>
      </w:r>
      <w:r>
        <w:rPr>
          <w:spacing w:val="40"/>
          <w:sz w:val="20"/>
        </w:rPr>
        <w:t> </w:t>
      </w:r>
      <w:r>
        <w:rPr>
          <w:sz w:val="20"/>
        </w:rPr>
        <w:t>origen o con motivo del trabajo o en el medio que la persona trabajadora se vea obligada a prestar sus servicios.</w:t>
      </w:r>
    </w:p>
    <w:p>
      <w:pPr>
        <w:pStyle w:val="Heading3"/>
        <w:numPr>
          <w:ilvl w:val="1"/>
          <w:numId w:val="160"/>
        </w:numPr>
        <w:tabs>
          <w:tab w:pos="956" w:val="left" w:leader="none"/>
        </w:tabs>
        <w:spacing w:line="240" w:lineRule="auto" w:before="227" w:after="0"/>
        <w:ind w:left="956" w:right="0" w:hanging="330"/>
        <w:jc w:val="left"/>
      </w:pPr>
      <w:r>
        <w:rPr/>
        <w:t>Neoplasias</w:t>
      </w:r>
      <w:r>
        <w:rPr>
          <w:spacing w:val="-8"/>
        </w:rPr>
        <w:t> </w:t>
      </w:r>
      <w:r>
        <w:rPr/>
        <w:t>malignas</w:t>
      </w:r>
      <w:r>
        <w:rPr>
          <w:spacing w:val="-4"/>
        </w:rPr>
        <w:t> </w:t>
      </w:r>
      <w:r>
        <w:rPr/>
        <w:t>de</w:t>
      </w:r>
      <w:r>
        <w:rPr>
          <w:spacing w:val="-7"/>
        </w:rPr>
        <w:t> </w:t>
      </w:r>
      <w:r>
        <w:rPr/>
        <w:t>la</w:t>
      </w:r>
      <w:r>
        <w:rPr>
          <w:spacing w:val="-7"/>
        </w:rPr>
        <w:t> </w:t>
      </w:r>
      <w:r>
        <w:rPr>
          <w:spacing w:val="-2"/>
        </w:rPr>
        <w:t>tráquea</w:t>
      </w:r>
    </w:p>
    <w:p>
      <w:pPr>
        <w:pStyle w:val="BodyText"/>
        <w:spacing w:before="3"/>
        <w:rPr>
          <w:rFonts w:ascii="Arial"/>
          <w:b/>
        </w:rPr>
      </w:pPr>
    </w:p>
    <w:p>
      <w:pPr>
        <w:pStyle w:val="BodyText"/>
        <w:ind w:left="626"/>
      </w:pPr>
      <w:r>
        <w:rPr/>
        <w:t>Código</w:t>
      </w:r>
      <w:r>
        <w:rPr>
          <w:spacing w:val="-10"/>
        </w:rPr>
        <w:t> </w:t>
      </w:r>
      <w:r>
        <w:rPr/>
        <w:t>CIE-11:</w:t>
      </w:r>
      <w:r>
        <w:rPr>
          <w:spacing w:val="-9"/>
        </w:rPr>
        <w:t> </w:t>
      </w:r>
      <w:r>
        <w:rPr>
          <w:spacing w:val="-4"/>
        </w:rPr>
        <w:t>2C24</w:t>
      </w:r>
    </w:p>
    <w:p>
      <w:pPr>
        <w:pStyle w:val="ListParagraph"/>
        <w:numPr>
          <w:ilvl w:val="2"/>
          <w:numId w:val="160"/>
        </w:numPr>
        <w:tabs>
          <w:tab w:pos="1045" w:val="left" w:leader="none"/>
          <w:tab w:pos="1058" w:val="left" w:leader="none"/>
        </w:tabs>
        <w:spacing w:line="240" w:lineRule="auto" w:before="227" w:after="0"/>
        <w:ind w:left="1058" w:right="339" w:hanging="432"/>
        <w:jc w:val="both"/>
        <w:rPr>
          <w:sz w:val="20"/>
        </w:rPr>
      </w:pPr>
      <w:r>
        <w:rPr>
          <w:sz w:val="20"/>
        </w:rPr>
        <w:t>Personas trabajadoras expuestas al cloruro de metileno, la fundición de metales, al asbesto, la sílica, el caucho y los polvos de madera, aumenta la probabilidad de padecer este padecimiento. Algunos puestos laborales asociados son pintores, manufactureros farmacéuticos, productores</w:t>
      </w:r>
      <w:r>
        <w:rPr>
          <w:spacing w:val="40"/>
          <w:sz w:val="20"/>
        </w:rPr>
        <w:t> </w:t>
      </w:r>
      <w:r>
        <w:rPr>
          <w:sz w:val="20"/>
        </w:rPr>
        <w:t>de</w:t>
      </w:r>
      <w:r>
        <w:rPr>
          <w:spacing w:val="-5"/>
          <w:sz w:val="20"/>
        </w:rPr>
        <w:t> </w:t>
      </w:r>
      <w:r>
        <w:rPr>
          <w:sz w:val="20"/>
        </w:rPr>
        <w:t>removedores de</w:t>
      </w:r>
      <w:r>
        <w:rPr>
          <w:spacing w:val="-3"/>
          <w:sz w:val="20"/>
        </w:rPr>
        <w:t> </w:t>
      </w:r>
      <w:r>
        <w:rPr>
          <w:sz w:val="20"/>
        </w:rPr>
        <w:t>pintura,</w:t>
      </w:r>
      <w:r>
        <w:rPr>
          <w:spacing w:val="-2"/>
          <w:sz w:val="20"/>
        </w:rPr>
        <w:t> </w:t>
      </w:r>
      <w:r>
        <w:rPr>
          <w:sz w:val="20"/>
        </w:rPr>
        <w:t>asociados</w:t>
      </w:r>
      <w:r>
        <w:rPr>
          <w:spacing w:val="-1"/>
          <w:sz w:val="20"/>
        </w:rPr>
        <w:t> </w:t>
      </w:r>
      <w:r>
        <w:rPr>
          <w:sz w:val="20"/>
        </w:rPr>
        <w:t>a</w:t>
      </w:r>
      <w:r>
        <w:rPr>
          <w:spacing w:val="-2"/>
          <w:sz w:val="20"/>
        </w:rPr>
        <w:t> </w:t>
      </w:r>
      <w:r>
        <w:rPr>
          <w:sz w:val="20"/>
        </w:rPr>
        <w:t>la</w:t>
      </w:r>
      <w:r>
        <w:rPr>
          <w:spacing w:val="-2"/>
          <w:sz w:val="20"/>
        </w:rPr>
        <w:t> </w:t>
      </w:r>
      <w:r>
        <w:rPr>
          <w:sz w:val="20"/>
        </w:rPr>
        <w:t>industria</w:t>
      </w:r>
      <w:r>
        <w:rPr>
          <w:spacing w:val="-4"/>
          <w:sz w:val="20"/>
        </w:rPr>
        <w:t> </w:t>
      </w:r>
      <w:r>
        <w:rPr>
          <w:sz w:val="20"/>
        </w:rPr>
        <w:t>metalúrgica,</w:t>
      </w:r>
      <w:r>
        <w:rPr>
          <w:spacing w:val="-4"/>
          <w:sz w:val="20"/>
        </w:rPr>
        <w:t> </w:t>
      </w:r>
      <w:r>
        <w:rPr>
          <w:sz w:val="20"/>
        </w:rPr>
        <w:t>producción y</w:t>
      </w:r>
      <w:r>
        <w:rPr>
          <w:spacing w:val="-7"/>
          <w:sz w:val="20"/>
        </w:rPr>
        <w:t> </w:t>
      </w:r>
      <w:r>
        <w:rPr>
          <w:sz w:val="20"/>
        </w:rPr>
        <w:t>manejo</w:t>
      </w:r>
      <w:r>
        <w:rPr>
          <w:spacing w:val="-4"/>
          <w:sz w:val="20"/>
        </w:rPr>
        <w:t> </w:t>
      </w:r>
      <w:r>
        <w:rPr>
          <w:sz w:val="20"/>
        </w:rPr>
        <w:t>de</w:t>
      </w:r>
      <w:r>
        <w:rPr>
          <w:spacing w:val="-4"/>
          <w:sz w:val="20"/>
        </w:rPr>
        <w:t> </w:t>
      </w:r>
      <w:r>
        <w:rPr>
          <w:sz w:val="20"/>
        </w:rPr>
        <w:t>caucho, </w:t>
      </w:r>
      <w:r>
        <w:rPr>
          <w:spacing w:val="-2"/>
          <w:sz w:val="20"/>
        </w:rPr>
        <w:t>carpinteros.</w:t>
      </w:r>
    </w:p>
    <w:p>
      <w:pPr>
        <w:pStyle w:val="BodyText"/>
      </w:pPr>
    </w:p>
    <w:p>
      <w:pPr>
        <w:pStyle w:val="ListParagraph"/>
        <w:numPr>
          <w:ilvl w:val="2"/>
          <w:numId w:val="160"/>
        </w:numPr>
        <w:tabs>
          <w:tab w:pos="1045" w:val="left" w:leader="none"/>
          <w:tab w:pos="1058" w:val="left" w:leader="none"/>
        </w:tabs>
        <w:spacing w:line="240" w:lineRule="auto" w:before="0" w:after="0"/>
        <w:ind w:left="1058" w:right="34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6" w:after="0"/>
        <w:ind w:left="956" w:right="0" w:hanging="330"/>
        <w:jc w:val="left"/>
      </w:pPr>
      <w:r>
        <w:rPr/>
        <w:t>Carcinoma</w:t>
      </w:r>
      <w:r>
        <w:rPr>
          <w:spacing w:val="-6"/>
        </w:rPr>
        <w:t> </w:t>
      </w:r>
      <w:r>
        <w:rPr/>
        <w:t>de</w:t>
      </w:r>
      <w:r>
        <w:rPr>
          <w:spacing w:val="-5"/>
        </w:rPr>
        <w:t> </w:t>
      </w:r>
      <w:r>
        <w:rPr/>
        <w:t>la</w:t>
      </w:r>
      <w:r>
        <w:rPr>
          <w:spacing w:val="-5"/>
        </w:rPr>
        <w:t> </w:t>
      </w:r>
      <w:r>
        <w:rPr/>
        <w:t>mama,</w:t>
      </w:r>
      <w:r>
        <w:rPr>
          <w:spacing w:val="-6"/>
        </w:rPr>
        <w:t> </w:t>
      </w:r>
      <w:r>
        <w:rPr/>
        <w:t>tipo</w:t>
      </w:r>
      <w:r>
        <w:rPr>
          <w:spacing w:val="-4"/>
        </w:rPr>
        <w:t> </w:t>
      </w:r>
      <w:r>
        <w:rPr>
          <w:spacing w:val="-2"/>
        </w:rPr>
        <w:t>especializado</w:t>
      </w:r>
    </w:p>
    <w:p>
      <w:pPr>
        <w:pStyle w:val="BodyText"/>
        <w:spacing w:before="3"/>
        <w:rPr>
          <w:rFonts w:ascii="Arial"/>
          <w:b/>
        </w:rPr>
      </w:pPr>
    </w:p>
    <w:p>
      <w:pPr>
        <w:pStyle w:val="BodyText"/>
        <w:spacing w:before="1"/>
        <w:ind w:left="626"/>
      </w:pPr>
      <w:r>
        <w:rPr/>
        <w:t>Código</w:t>
      </w:r>
      <w:r>
        <w:rPr>
          <w:spacing w:val="-10"/>
        </w:rPr>
        <w:t> </w:t>
      </w:r>
      <w:r>
        <w:rPr/>
        <w:t>CIE-11:</w:t>
      </w:r>
      <w:r>
        <w:rPr>
          <w:spacing w:val="-9"/>
        </w:rPr>
        <w:t> </w:t>
      </w:r>
      <w:r>
        <w:rPr>
          <w:spacing w:val="-4"/>
        </w:rPr>
        <w:t>2C60</w:t>
      </w:r>
    </w:p>
    <w:p>
      <w:pPr>
        <w:pStyle w:val="ListParagraph"/>
        <w:numPr>
          <w:ilvl w:val="2"/>
          <w:numId w:val="160"/>
        </w:numPr>
        <w:tabs>
          <w:tab w:pos="1045" w:val="left" w:leader="none"/>
          <w:tab w:pos="1058" w:val="left" w:leader="none"/>
        </w:tabs>
        <w:spacing w:line="240" w:lineRule="auto" w:before="229" w:after="0"/>
        <w:ind w:left="1058" w:right="337" w:hanging="432"/>
        <w:jc w:val="both"/>
        <w:rPr>
          <w:sz w:val="20"/>
        </w:rPr>
      </w:pPr>
      <w:r>
        <w:rPr>
          <w:sz w:val="20"/>
        </w:rPr>
        <w:t>Personas trabajadoras en actividades de tipo nuclear, técnicas y analistas de estructuras, de la salud como radiólogos, técnicos radiólogos, dentistas, de bares, restaurantes y centros</w:t>
      </w:r>
      <w:r>
        <w:rPr>
          <w:spacing w:val="80"/>
          <w:sz w:val="20"/>
        </w:rPr>
        <w:t> </w:t>
      </w:r>
      <w:r>
        <w:rPr>
          <w:spacing w:val="-2"/>
          <w:sz w:val="20"/>
        </w:rPr>
        <w:t>nocturnos.</w:t>
      </w:r>
    </w:p>
    <w:p>
      <w:pPr>
        <w:pStyle w:val="ListParagraph"/>
        <w:numPr>
          <w:ilvl w:val="2"/>
          <w:numId w:val="160"/>
        </w:numPr>
        <w:tabs>
          <w:tab w:pos="1045" w:val="left" w:leader="none"/>
          <w:tab w:pos="1058" w:val="left" w:leader="none"/>
        </w:tabs>
        <w:spacing w:line="240" w:lineRule="auto" w:before="228" w:after="0"/>
        <w:ind w:left="1058" w:right="34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5" w:val="left" w:leader="none"/>
        </w:tabs>
        <w:spacing w:line="240" w:lineRule="auto" w:before="227" w:after="0"/>
        <w:ind w:left="955" w:right="0" w:hanging="329"/>
        <w:jc w:val="left"/>
      </w:pPr>
      <w:r>
        <w:rPr/>
        <w:t>Melanoma</w:t>
      </w:r>
      <w:r>
        <w:rPr>
          <w:spacing w:val="-6"/>
        </w:rPr>
        <w:t> </w:t>
      </w:r>
      <w:r>
        <w:rPr/>
        <w:t>de</w:t>
      </w:r>
      <w:r>
        <w:rPr>
          <w:spacing w:val="-6"/>
        </w:rPr>
        <w:t> </w:t>
      </w:r>
      <w:r>
        <w:rPr/>
        <w:t>la</w:t>
      </w:r>
      <w:r>
        <w:rPr>
          <w:spacing w:val="-5"/>
        </w:rPr>
        <w:t> </w:t>
      </w:r>
      <w:r>
        <w:rPr>
          <w:spacing w:val="-4"/>
        </w:rPr>
        <w:t>piel</w:t>
      </w:r>
    </w:p>
    <w:p>
      <w:pPr>
        <w:pStyle w:val="BodyText"/>
        <w:spacing w:before="3"/>
        <w:rPr>
          <w:rFonts w:ascii="Arial"/>
          <w:b/>
        </w:rPr>
      </w:pPr>
    </w:p>
    <w:p>
      <w:pPr>
        <w:pStyle w:val="BodyText"/>
        <w:ind w:left="626"/>
      </w:pPr>
      <w:r>
        <w:rPr/>
        <w:t>Código</w:t>
      </w:r>
      <w:r>
        <w:rPr>
          <w:spacing w:val="-10"/>
        </w:rPr>
        <w:t> </w:t>
      </w:r>
      <w:r>
        <w:rPr/>
        <w:t>CIE-11:</w:t>
      </w:r>
      <w:r>
        <w:rPr>
          <w:spacing w:val="-9"/>
        </w:rPr>
        <w:t> </w:t>
      </w:r>
      <w:r>
        <w:rPr>
          <w:spacing w:val="-4"/>
        </w:rPr>
        <w:t>2C30</w:t>
      </w:r>
    </w:p>
    <w:p>
      <w:pPr>
        <w:pStyle w:val="BodyText"/>
      </w:pPr>
    </w:p>
    <w:p>
      <w:pPr>
        <w:pStyle w:val="ListParagraph"/>
        <w:numPr>
          <w:ilvl w:val="2"/>
          <w:numId w:val="160"/>
        </w:numPr>
        <w:tabs>
          <w:tab w:pos="1045" w:val="left" w:leader="none"/>
          <w:tab w:pos="1058" w:val="left" w:leader="none"/>
        </w:tabs>
        <w:spacing w:line="240" w:lineRule="auto" w:before="0" w:after="0"/>
        <w:ind w:left="1058" w:right="339" w:hanging="432"/>
        <w:jc w:val="both"/>
        <w:rPr>
          <w:sz w:val="20"/>
        </w:rPr>
      </w:pPr>
      <w:r>
        <w:rPr>
          <w:sz w:val="20"/>
        </w:rPr>
        <w:t>Personas trabajadoras de la industria de la construcción en general y de carreteras, obras industriales, técnicos de laboratorio bacteriológico, deportistas profesionales, industria farmacéutica, forestación, industria maderera, enfermeros, médicos guías de montaña, instructores de esquí, peluqueros, marineros, pescadores, mecánicos dentales, militares, cosmetólogos,</w:t>
      </w:r>
      <w:r>
        <w:rPr>
          <w:spacing w:val="40"/>
          <w:sz w:val="20"/>
        </w:rPr>
        <w:t> </w:t>
      </w:r>
      <w:r>
        <w:rPr>
          <w:sz w:val="20"/>
        </w:rPr>
        <w:t>minería</w:t>
      </w:r>
      <w:r>
        <w:rPr>
          <w:spacing w:val="40"/>
          <w:sz w:val="20"/>
        </w:rPr>
        <w:t> </w:t>
      </w:r>
      <w:r>
        <w:rPr>
          <w:sz w:val="20"/>
        </w:rPr>
        <w:t>a</w:t>
      </w:r>
      <w:r>
        <w:rPr>
          <w:spacing w:val="40"/>
          <w:sz w:val="20"/>
        </w:rPr>
        <w:t> </w:t>
      </w:r>
      <w:r>
        <w:rPr>
          <w:sz w:val="20"/>
        </w:rPr>
        <w:t>cielo</w:t>
      </w:r>
      <w:r>
        <w:rPr>
          <w:spacing w:val="40"/>
          <w:sz w:val="20"/>
        </w:rPr>
        <w:t> </w:t>
      </w:r>
      <w:r>
        <w:rPr>
          <w:sz w:val="20"/>
        </w:rPr>
        <w:t>abierto,</w:t>
      </w:r>
      <w:r>
        <w:rPr>
          <w:spacing w:val="40"/>
          <w:sz w:val="20"/>
        </w:rPr>
        <w:t> </w:t>
      </w:r>
      <w:r>
        <w:rPr>
          <w:sz w:val="20"/>
        </w:rPr>
        <w:t>litografía,</w:t>
      </w:r>
      <w:r>
        <w:rPr>
          <w:spacing w:val="40"/>
          <w:sz w:val="20"/>
        </w:rPr>
        <w:t> </w:t>
      </w:r>
      <w:r>
        <w:rPr>
          <w:sz w:val="20"/>
        </w:rPr>
        <w:t>imprenta,</w:t>
      </w:r>
      <w:r>
        <w:rPr>
          <w:spacing w:val="40"/>
          <w:sz w:val="20"/>
        </w:rPr>
        <w:t> </w:t>
      </w:r>
      <w:r>
        <w:rPr>
          <w:sz w:val="20"/>
        </w:rPr>
        <w:t>industria</w:t>
      </w:r>
      <w:r>
        <w:rPr>
          <w:spacing w:val="40"/>
          <w:sz w:val="20"/>
        </w:rPr>
        <w:t> </w:t>
      </w:r>
      <w:r>
        <w:rPr>
          <w:sz w:val="20"/>
        </w:rPr>
        <w:t>del</w:t>
      </w:r>
      <w:r>
        <w:rPr>
          <w:spacing w:val="40"/>
          <w:sz w:val="20"/>
        </w:rPr>
        <w:t> </w:t>
      </w:r>
      <w:r>
        <w:rPr>
          <w:sz w:val="20"/>
        </w:rPr>
        <w:t>petróleo,</w:t>
      </w:r>
      <w:r>
        <w:rPr>
          <w:spacing w:val="40"/>
          <w:sz w:val="20"/>
        </w:rPr>
        <w:t> </w:t>
      </w:r>
      <w:r>
        <w:rPr>
          <w:sz w:val="20"/>
        </w:rPr>
        <w:t>curado</w:t>
      </w:r>
      <w:r>
        <w:rPr>
          <w:spacing w:val="40"/>
          <w:sz w:val="20"/>
        </w:rPr>
        <w:t> </w:t>
      </w:r>
      <w:r>
        <w:rPr>
          <w:sz w:val="20"/>
        </w:rPr>
        <w:t>de</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058"/>
      </w:pPr>
      <w:r>
        <w:rPr/>
        <w:t>plástico,</w:t>
      </w:r>
      <w:r>
        <w:rPr>
          <w:spacing w:val="32"/>
        </w:rPr>
        <w:t> </w:t>
      </w:r>
      <w:r>
        <w:rPr/>
        <w:t>jardineros,</w:t>
      </w:r>
      <w:r>
        <w:rPr>
          <w:spacing w:val="35"/>
        </w:rPr>
        <w:t> </w:t>
      </w:r>
      <w:r>
        <w:rPr/>
        <w:t>parquistas,</w:t>
      </w:r>
      <w:r>
        <w:rPr>
          <w:spacing w:val="33"/>
        </w:rPr>
        <w:t> </w:t>
      </w:r>
      <w:r>
        <w:rPr/>
        <w:t>irradiación</w:t>
      </w:r>
      <w:r>
        <w:rPr>
          <w:spacing w:val="32"/>
        </w:rPr>
        <w:t> </w:t>
      </w:r>
      <w:r>
        <w:rPr/>
        <w:t>de</w:t>
      </w:r>
      <w:r>
        <w:rPr>
          <w:spacing w:val="32"/>
        </w:rPr>
        <w:t> </w:t>
      </w:r>
      <w:r>
        <w:rPr/>
        <w:t>alimentos,</w:t>
      </w:r>
      <w:r>
        <w:rPr>
          <w:spacing w:val="33"/>
        </w:rPr>
        <w:t> </w:t>
      </w:r>
      <w:r>
        <w:rPr/>
        <w:t>tareas</w:t>
      </w:r>
      <w:r>
        <w:rPr>
          <w:spacing w:val="33"/>
        </w:rPr>
        <w:t> </w:t>
      </w:r>
      <w:r>
        <w:rPr/>
        <w:t>rurales,</w:t>
      </w:r>
      <w:r>
        <w:rPr>
          <w:spacing w:val="35"/>
        </w:rPr>
        <w:t> </w:t>
      </w:r>
      <w:r>
        <w:rPr/>
        <w:t>agricultores,</w:t>
      </w:r>
      <w:r>
        <w:rPr>
          <w:spacing w:val="33"/>
        </w:rPr>
        <w:t> </w:t>
      </w:r>
      <w:r>
        <w:rPr/>
        <w:t>personas empleadas de solárium, ferroviarios y de transporte.</w:t>
      </w:r>
    </w:p>
    <w:p>
      <w:pPr>
        <w:pStyle w:val="BodyText"/>
      </w:pPr>
    </w:p>
    <w:p>
      <w:pPr>
        <w:pStyle w:val="ListParagraph"/>
        <w:numPr>
          <w:ilvl w:val="2"/>
          <w:numId w:val="160"/>
        </w:numPr>
        <w:tabs>
          <w:tab w:pos="1045" w:val="left" w:leader="none"/>
          <w:tab w:pos="1058" w:val="left" w:leader="none"/>
        </w:tabs>
        <w:spacing w:line="240" w:lineRule="auto" w:before="0" w:after="0"/>
        <w:ind w:left="1058" w:right="34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6" w:after="0"/>
        <w:ind w:left="956" w:right="0" w:hanging="330"/>
        <w:jc w:val="left"/>
      </w:pPr>
      <w:r>
        <w:rPr/>
        <w:t>Carcinoma</w:t>
      </w:r>
      <w:r>
        <w:rPr>
          <w:spacing w:val="-8"/>
        </w:rPr>
        <w:t> </w:t>
      </w:r>
      <w:r>
        <w:rPr/>
        <w:t>de</w:t>
      </w:r>
      <w:r>
        <w:rPr>
          <w:spacing w:val="-5"/>
        </w:rPr>
        <w:t> </w:t>
      </w:r>
      <w:r>
        <w:rPr/>
        <w:t>células</w:t>
      </w:r>
      <w:r>
        <w:rPr>
          <w:spacing w:val="-6"/>
        </w:rPr>
        <w:t> </w:t>
      </w:r>
      <w:r>
        <w:rPr/>
        <w:t>escamosas</w:t>
      </w:r>
      <w:r>
        <w:rPr>
          <w:spacing w:val="-6"/>
        </w:rPr>
        <w:t> </w:t>
      </w:r>
      <w:r>
        <w:rPr/>
        <w:t>de</w:t>
      </w:r>
      <w:r>
        <w:rPr>
          <w:spacing w:val="-7"/>
        </w:rPr>
        <w:t> </w:t>
      </w:r>
      <w:r>
        <w:rPr/>
        <w:t>la</w:t>
      </w:r>
      <w:r>
        <w:rPr>
          <w:spacing w:val="-7"/>
        </w:rPr>
        <w:t> </w:t>
      </w:r>
      <w:r>
        <w:rPr>
          <w:spacing w:val="-4"/>
        </w:rPr>
        <w:t>piel</w:t>
      </w:r>
    </w:p>
    <w:p>
      <w:pPr>
        <w:pStyle w:val="BodyText"/>
        <w:spacing w:before="3"/>
        <w:rPr>
          <w:rFonts w:ascii="Arial"/>
          <w:b/>
        </w:rPr>
      </w:pPr>
    </w:p>
    <w:p>
      <w:pPr>
        <w:pStyle w:val="BodyText"/>
        <w:ind w:left="626"/>
      </w:pPr>
      <w:r>
        <w:rPr/>
        <w:t>Código</w:t>
      </w:r>
      <w:r>
        <w:rPr>
          <w:spacing w:val="-10"/>
        </w:rPr>
        <w:t> </w:t>
      </w:r>
      <w:r>
        <w:rPr/>
        <w:t>CIE-11:</w:t>
      </w:r>
      <w:r>
        <w:rPr>
          <w:spacing w:val="-9"/>
        </w:rPr>
        <w:t> </w:t>
      </w:r>
      <w:r>
        <w:rPr>
          <w:spacing w:val="-4"/>
        </w:rPr>
        <w:t>2C31</w:t>
      </w:r>
    </w:p>
    <w:p>
      <w:pPr>
        <w:pStyle w:val="BodyText"/>
      </w:pPr>
    </w:p>
    <w:p>
      <w:pPr>
        <w:pStyle w:val="ListParagraph"/>
        <w:numPr>
          <w:ilvl w:val="2"/>
          <w:numId w:val="160"/>
        </w:numPr>
        <w:tabs>
          <w:tab w:pos="1045" w:val="left" w:leader="none"/>
          <w:tab w:pos="1058" w:val="left" w:leader="none"/>
        </w:tabs>
        <w:spacing w:line="240" w:lineRule="auto" w:before="0" w:after="0"/>
        <w:ind w:left="1058" w:right="335" w:hanging="432"/>
        <w:jc w:val="both"/>
        <w:rPr>
          <w:sz w:val="20"/>
        </w:rPr>
      </w:pPr>
      <w:r>
        <w:rPr>
          <w:sz w:val="20"/>
        </w:rPr>
        <w:t>Personas trabajadoras en la industria de la construcción en general y de carreteras, obras industriales, técnicos de laboratorio bacteriológico, deportistas profesionales, industria farmacéutica, forestación, industria maderera, enfermeros, médicos guías de montaña, instructores de esquí, peluqueros, marineros, pescadores, mecánicos dentales, militares, cosmetólogos, minería a cielo abierto, litografía, imprenta, industria del petróleo, curado de plástico, jardineros, parquistas, irradiación de alimentos, tareas rurales, agricultores, personas empleadas de solárium, ferroviarios y de transporte.</w:t>
      </w:r>
    </w:p>
    <w:p>
      <w:pPr>
        <w:pStyle w:val="ListParagraph"/>
        <w:numPr>
          <w:ilvl w:val="2"/>
          <w:numId w:val="160"/>
        </w:numPr>
        <w:tabs>
          <w:tab w:pos="1045" w:val="left" w:leader="none"/>
          <w:tab w:pos="1058" w:val="left" w:leader="none"/>
        </w:tabs>
        <w:spacing w:line="240" w:lineRule="auto" w:before="228" w:after="0"/>
        <w:ind w:left="1058" w:right="336"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9" w:after="0"/>
        <w:ind w:left="956" w:right="0" w:hanging="330"/>
        <w:jc w:val="left"/>
      </w:pPr>
      <w:r>
        <w:rPr/>
        <w:t>Carcinoma</w:t>
      </w:r>
      <w:r>
        <w:rPr>
          <w:spacing w:val="-8"/>
        </w:rPr>
        <w:t> </w:t>
      </w:r>
      <w:r>
        <w:rPr/>
        <w:t>basocelular</w:t>
      </w:r>
      <w:r>
        <w:rPr>
          <w:spacing w:val="-8"/>
        </w:rPr>
        <w:t> </w:t>
      </w:r>
      <w:r>
        <w:rPr/>
        <w:t>de</w:t>
      </w:r>
      <w:r>
        <w:rPr>
          <w:spacing w:val="-6"/>
        </w:rPr>
        <w:t> </w:t>
      </w:r>
      <w:r>
        <w:rPr/>
        <w:t>la</w:t>
      </w:r>
      <w:r>
        <w:rPr>
          <w:spacing w:val="-8"/>
        </w:rPr>
        <w:t> </w:t>
      </w:r>
      <w:r>
        <w:rPr>
          <w:spacing w:val="-4"/>
        </w:rPr>
        <w:t>piel</w:t>
      </w:r>
    </w:p>
    <w:p>
      <w:pPr>
        <w:pStyle w:val="BodyText"/>
        <w:spacing w:before="1"/>
        <w:rPr>
          <w:rFonts w:ascii="Arial"/>
          <w:b/>
        </w:rPr>
      </w:pPr>
    </w:p>
    <w:p>
      <w:pPr>
        <w:pStyle w:val="BodyText"/>
        <w:ind w:left="626"/>
      </w:pPr>
      <w:r>
        <w:rPr/>
        <w:t>Código</w:t>
      </w:r>
      <w:r>
        <w:rPr>
          <w:spacing w:val="-10"/>
        </w:rPr>
        <w:t> </w:t>
      </w:r>
      <w:r>
        <w:rPr/>
        <w:t>CIE-11:</w:t>
      </w:r>
      <w:r>
        <w:rPr>
          <w:spacing w:val="-9"/>
        </w:rPr>
        <w:t> </w:t>
      </w:r>
      <w:r>
        <w:rPr>
          <w:spacing w:val="-4"/>
        </w:rPr>
        <w:t>2C32</w:t>
      </w:r>
    </w:p>
    <w:p>
      <w:pPr>
        <w:pStyle w:val="ListParagraph"/>
        <w:numPr>
          <w:ilvl w:val="2"/>
          <w:numId w:val="160"/>
        </w:numPr>
        <w:tabs>
          <w:tab w:pos="1045" w:val="left" w:leader="none"/>
          <w:tab w:pos="1058" w:val="left" w:leader="none"/>
        </w:tabs>
        <w:spacing w:line="240" w:lineRule="auto" w:before="229" w:after="0"/>
        <w:ind w:left="1058" w:right="338" w:hanging="432"/>
        <w:jc w:val="both"/>
        <w:rPr>
          <w:sz w:val="20"/>
        </w:rPr>
      </w:pPr>
      <w:r>
        <w:rPr>
          <w:sz w:val="20"/>
        </w:rPr>
        <w:t>Personas trabajadoras en la industria de la construcción en general y de carreteras, obras industriales, técnicos de laboratorio bacteriológico, deportistas profesionales, industria farmacéutica, forestación, industria maderera, enfermeros, médicos guías de montaña, instructores de esquí, peluqueros, marineros, pescadores, mecánicos dentales, militares, cosmetólogos, minería a cielo abierto, litografía, imprenta, industria del petróleo, curado de plástico, jardineros, parquistas, irradiación de alimentos, tareas rurales, agricultores, personas empleadas de solárium, ferroviarios y de transporte.</w:t>
      </w:r>
    </w:p>
    <w:p>
      <w:pPr>
        <w:pStyle w:val="ListParagraph"/>
        <w:numPr>
          <w:ilvl w:val="2"/>
          <w:numId w:val="160"/>
        </w:numPr>
        <w:tabs>
          <w:tab w:pos="1045" w:val="left" w:leader="none"/>
          <w:tab w:pos="1058" w:val="left" w:leader="none"/>
        </w:tabs>
        <w:spacing w:line="240" w:lineRule="auto" w:before="228" w:after="0"/>
        <w:ind w:left="1058" w:right="33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9" w:after="0"/>
        <w:ind w:left="956" w:right="0" w:hanging="330"/>
        <w:jc w:val="left"/>
      </w:pPr>
      <w:r>
        <w:rPr/>
        <w:t>Neoplasias</w:t>
      </w:r>
      <w:r>
        <w:rPr>
          <w:spacing w:val="-8"/>
        </w:rPr>
        <w:t> </w:t>
      </w:r>
      <w:r>
        <w:rPr/>
        <w:t>malignas</w:t>
      </w:r>
      <w:r>
        <w:rPr>
          <w:spacing w:val="-4"/>
        </w:rPr>
        <w:t> </w:t>
      </w:r>
      <w:r>
        <w:rPr/>
        <w:t>de</w:t>
      </w:r>
      <w:r>
        <w:rPr>
          <w:spacing w:val="-7"/>
        </w:rPr>
        <w:t> </w:t>
      </w:r>
      <w:r>
        <w:rPr/>
        <w:t>la</w:t>
      </w:r>
      <w:r>
        <w:rPr>
          <w:spacing w:val="-7"/>
        </w:rPr>
        <w:t> </w:t>
      </w:r>
      <w:r>
        <w:rPr/>
        <w:t>glándula</w:t>
      </w:r>
      <w:r>
        <w:rPr>
          <w:spacing w:val="-7"/>
        </w:rPr>
        <w:t> </w:t>
      </w:r>
      <w:r>
        <w:rPr>
          <w:spacing w:val="-2"/>
        </w:rPr>
        <w:t>tiroides</w:t>
      </w:r>
    </w:p>
    <w:p>
      <w:pPr>
        <w:pStyle w:val="BodyText"/>
        <w:spacing w:before="1"/>
        <w:rPr>
          <w:rFonts w:ascii="Arial"/>
          <w:b/>
        </w:rPr>
      </w:pPr>
    </w:p>
    <w:p>
      <w:pPr>
        <w:pStyle w:val="BodyText"/>
        <w:ind w:left="626"/>
      </w:pPr>
      <w:r>
        <w:rPr/>
        <w:t>Código</w:t>
      </w:r>
      <w:r>
        <w:rPr>
          <w:spacing w:val="-10"/>
        </w:rPr>
        <w:t> </w:t>
      </w:r>
      <w:r>
        <w:rPr/>
        <w:t>CIE-11:</w:t>
      </w:r>
      <w:r>
        <w:rPr>
          <w:spacing w:val="-9"/>
        </w:rPr>
        <w:t> </w:t>
      </w:r>
      <w:r>
        <w:rPr>
          <w:spacing w:val="-4"/>
        </w:rPr>
        <w:t>2D10</w:t>
      </w:r>
    </w:p>
    <w:p>
      <w:pPr>
        <w:pStyle w:val="ListParagraph"/>
        <w:numPr>
          <w:ilvl w:val="2"/>
          <w:numId w:val="160"/>
        </w:numPr>
        <w:tabs>
          <w:tab w:pos="1045" w:val="left" w:leader="none"/>
          <w:tab w:pos="1058" w:val="left" w:leader="none"/>
        </w:tabs>
        <w:spacing w:line="240" w:lineRule="auto" w:before="230" w:after="0"/>
        <w:ind w:left="1058" w:right="344" w:hanging="432"/>
        <w:jc w:val="both"/>
        <w:rPr>
          <w:sz w:val="20"/>
        </w:rPr>
      </w:pPr>
      <w:r>
        <w:rPr>
          <w:sz w:val="20"/>
        </w:rPr>
        <w:t>Personas trabajadoras en la fabricación de calzado e industria del cuero, curtidores de pieles, refinación del petróleo y derivados del carbón, personas empleadas de gasolineras, huleros, productores</w:t>
      </w:r>
      <w:r>
        <w:rPr>
          <w:spacing w:val="29"/>
          <w:sz w:val="20"/>
        </w:rPr>
        <w:t> </w:t>
      </w:r>
      <w:r>
        <w:rPr>
          <w:sz w:val="20"/>
        </w:rPr>
        <w:t>de</w:t>
      </w:r>
      <w:r>
        <w:rPr>
          <w:spacing w:val="25"/>
          <w:sz w:val="20"/>
        </w:rPr>
        <w:t> </w:t>
      </w:r>
      <w:r>
        <w:rPr>
          <w:sz w:val="20"/>
        </w:rPr>
        <w:t>plásticos,</w:t>
      </w:r>
      <w:r>
        <w:rPr>
          <w:spacing w:val="25"/>
          <w:sz w:val="20"/>
        </w:rPr>
        <w:t> </w:t>
      </w:r>
      <w:r>
        <w:rPr>
          <w:sz w:val="20"/>
        </w:rPr>
        <w:t>transporte</w:t>
      </w:r>
      <w:r>
        <w:rPr>
          <w:spacing w:val="25"/>
          <w:sz w:val="20"/>
        </w:rPr>
        <w:t> </w:t>
      </w:r>
      <w:r>
        <w:rPr>
          <w:sz w:val="20"/>
        </w:rPr>
        <w:t>terrestre,</w:t>
      </w:r>
      <w:r>
        <w:rPr>
          <w:spacing w:val="25"/>
          <w:sz w:val="20"/>
        </w:rPr>
        <w:t> </w:t>
      </w:r>
      <w:r>
        <w:rPr>
          <w:sz w:val="20"/>
        </w:rPr>
        <w:t>conductores</w:t>
      </w:r>
      <w:r>
        <w:rPr>
          <w:spacing w:val="27"/>
          <w:sz w:val="20"/>
        </w:rPr>
        <w:t> </w:t>
      </w:r>
      <w:r>
        <w:rPr>
          <w:sz w:val="20"/>
        </w:rPr>
        <w:t>de</w:t>
      </w:r>
      <w:r>
        <w:rPr>
          <w:spacing w:val="25"/>
          <w:sz w:val="20"/>
        </w:rPr>
        <w:t> </w:t>
      </w:r>
      <w:r>
        <w:rPr>
          <w:sz w:val="20"/>
        </w:rPr>
        <w:t>autobuses,</w:t>
      </w:r>
      <w:r>
        <w:rPr>
          <w:spacing w:val="25"/>
          <w:sz w:val="20"/>
        </w:rPr>
        <w:t> </w:t>
      </w:r>
      <w:r>
        <w:rPr>
          <w:sz w:val="20"/>
        </w:rPr>
        <w:t>operarios,</w:t>
      </w:r>
      <w:r>
        <w:rPr>
          <w:spacing w:val="25"/>
          <w:sz w:val="20"/>
        </w:rPr>
        <w:t> </w:t>
      </w:r>
      <w:r>
        <w:rPr>
          <w:sz w:val="20"/>
        </w:rPr>
        <w:t>equipo</w:t>
      </w:r>
      <w:r>
        <w:rPr>
          <w:spacing w:val="27"/>
          <w:sz w:val="20"/>
        </w:rPr>
        <w:t> </w:t>
      </w:r>
      <w:r>
        <w:rPr>
          <w:sz w:val="20"/>
        </w:rPr>
        <w:t>de</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058" w:right="336"/>
        <w:jc w:val="both"/>
      </w:pPr>
      <w:r>
        <w:rPr/>
        <w:t>transporte y sus partes, mecánicos de motores de diésel, de la construcción, de edificaciones de obras de ingeniería civil, nucleares, técnicos, analistas de estructuras, de industria química, productores de estireno y poliestireno, productores de plásticos, caucho, servicios médicos, asistencia social, veterinarios y de la salud.</w:t>
      </w:r>
    </w:p>
    <w:p>
      <w:pPr>
        <w:pStyle w:val="BodyText"/>
        <w:spacing w:before="1"/>
      </w:pPr>
    </w:p>
    <w:p>
      <w:pPr>
        <w:pStyle w:val="ListParagraph"/>
        <w:numPr>
          <w:ilvl w:val="2"/>
          <w:numId w:val="160"/>
        </w:numPr>
        <w:tabs>
          <w:tab w:pos="1045" w:val="left" w:leader="none"/>
          <w:tab w:pos="1058" w:val="left" w:leader="none"/>
        </w:tabs>
        <w:spacing w:line="240" w:lineRule="auto" w:before="0" w:after="0"/>
        <w:ind w:left="1058" w:right="337"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6" w:after="0"/>
        <w:ind w:left="956" w:right="0" w:hanging="330"/>
        <w:jc w:val="left"/>
      </w:pPr>
      <w:r>
        <w:rPr/>
        <w:t>Mesotelioma</w:t>
      </w:r>
      <w:r>
        <w:rPr>
          <w:spacing w:val="-7"/>
        </w:rPr>
        <w:t> </w:t>
      </w:r>
      <w:r>
        <w:rPr/>
        <w:t>de</w:t>
      </w:r>
      <w:r>
        <w:rPr>
          <w:spacing w:val="-6"/>
        </w:rPr>
        <w:t> </w:t>
      </w:r>
      <w:r>
        <w:rPr/>
        <w:t>la</w:t>
      </w:r>
      <w:r>
        <w:rPr>
          <w:spacing w:val="-8"/>
        </w:rPr>
        <w:t> </w:t>
      </w:r>
      <w:r>
        <w:rPr>
          <w:spacing w:val="-2"/>
        </w:rPr>
        <w:t>pleura</w:t>
      </w:r>
    </w:p>
    <w:p>
      <w:pPr>
        <w:pStyle w:val="BodyText"/>
        <w:spacing w:before="4"/>
        <w:rPr>
          <w:rFonts w:ascii="Arial"/>
          <w:b/>
        </w:rPr>
      </w:pPr>
    </w:p>
    <w:p>
      <w:pPr>
        <w:pStyle w:val="BodyText"/>
        <w:ind w:left="626"/>
      </w:pPr>
      <w:r>
        <w:rPr/>
        <w:t>Código</w:t>
      </w:r>
      <w:r>
        <w:rPr>
          <w:spacing w:val="-10"/>
        </w:rPr>
        <w:t> </w:t>
      </w:r>
      <w:r>
        <w:rPr/>
        <w:t>CIE-11:</w:t>
      </w:r>
      <w:r>
        <w:rPr>
          <w:spacing w:val="-9"/>
        </w:rPr>
        <w:t> </w:t>
      </w:r>
      <w:r>
        <w:rPr>
          <w:spacing w:val="-2"/>
        </w:rPr>
        <w:t>2C26.0</w:t>
      </w:r>
    </w:p>
    <w:p>
      <w:pPr>
        <w:pStyle w:val="ListParagraph"/>
        <w:numPr>
          <w:ilvl w:val="2"/>
          <w:numId w:val="160"/>
        </w:numPr>
        <w:tabs>
          <w:tab w:pos="1045" w:val="left" w:leader="none"/>
          <w:tab w:pos="1058" w:val="left" w:leader="none"/>
        </w:tabs>
        <w:spacing w:line="240" w:lineRule="auto" w:before="229" w:after="0"/>
        <w:ind w:left="1058" w:right="336" w:hanging="432"/>
        <w:jc w:val="both"/>
        <w:rPr>
          <w:sz w:val="20"/>
        </w:rPr>
      </w:pPr>
      <w:r>
        <w:rPr>
          <w:sz w:val="20"/>
        </w:rPr>
        <w:t>Personas trabajadoras en la minería, procesamiento, transporte y manipulación de amianto; fabricación y uso de productos que contienen amianto. Molinero de asbesto, fabricantes de productos con asbesto-cemento (láminas, tinacos, entre otros). Personas trabajadoras de hojas metálicas; en la industria de revestimiento, astilleros, manufactureros de textiles, producción de materiales aislantes o filtros; en la industria de hule, plástico, resinas y polímeros. Mecánicos de frenos, fabricantes de materiales de fricción, tales como: balatas, frenos, embragues, entre otros. Personas trabajadoras en la industria de la construcción de edificaciones y obras de ingeniería </w:t>
      </w:r>
      <w:r>
        <w:rPr>
          <w:spacing w:val="-2"/>
          <w:sz w:val="20"/>
        </w:rPr>
        <w:t>civil.</w:t>
      </w:r>
    </w:p>
    <w:p>
      <w:pPr>
        <w:pStyle w:val="ListParagraph"/>
        <w:numPr>
          <w:ilvl w:val="2"/>
          <w:numId w:val="160"/>
        </w:numPr>
        <w:tabs>
          <w:tab w:pos="1045" w:val="left" w:leader="none"/>
          <w:tab w:pos="1058" w:val="left" w:leader="none"/>
        </w:tabs>
        <w:spacing w:line="240" w:lineRule="auto" w:before="229" w:after="0"/>
        <w:ind w:left="1058" w:right="33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61" w:val="left" w:leader="none"/>
        </w:tabs>
        <w:spacing w:line="240" w:lineRule="auto" w:before="226" w:after="0"/>
        <w:ind w:left="961" w:right="0" w:hanging="335"/>
        <w:jc w:val="left"/>
      </w:pPr>
      <w:r>
        <w:rPr/>
        <w:t>Adenocarcinoma</w:t>
      </w:r>
      <w:r>
        <w:rPr>
          <w:spacing w:val="-8"/>
        </w:rPr>
        <w:t> </w:t>
      </w:r>
      <w:r>
        <w:rPr/>
        <w:t>del</w:t>
      </w:r>
      <w:r>
        <w:rPr>
          <w:spacing w:val="-6"/>
        </w:rPr>
        <w:t> </w:t>
      </w:r>
      <w:r>
        <w:rPr/>
        <w:t>bronquio</w:t>
      </w:r>
      <w:r>
        <w:rPr>
          <w:spacing w:val="-7"/>
        </w:rPr>
        <w:t> </w:t>
      </w:r>
      <w:r>
        <w:rPr/>
        <w:t>o</w:t>
      </w:r>
      <w:r>
        <w:rPr>
          <w:spacing w:val="-7"/>
        </w:rPr>
        <w:t> </w:t>
      </w:r>
      <w:r>
        <w:rPr/>
        <w:t>del</w:t>
      </w:r>
      <w:r>
        <w:rPr>
          <w:spacing w:val="-7"/>
        </w:rPr>
        <w:t> </w:t>
      </w:r>
      <w:r>
        <w:rPr>
          <w:spacing w:val="-2"/>
        </w:rPr>
        <w:t>pulmón</w:t>
      </w:r>
    </w:p>
    <w:p>
      <w:pPr>
        <w:pStyle w:val="BodyText"/>
        <w:spacing w:before="3"/>
        <w:rPr>
          <w:rFonts w:ascii="Arial"/>
          <w:b/>
        </w:rPr>
      </w:pPr>
    </w:p>
    <w:p>
      <w:pPr>
        <w:pStyle w:val="BodyText"/>
        <w:ind w:left="626"/>
      </w:pPr>
      <w:r>
        <w:rPr/>
        <w:t>Código</w:t>
      </w:r>
      <w:r>
        <w:rPr>
          <w:spacing w:val="-10"/>
        </w:rPr>
        <w:t> </w:t>
      </w:r>
      <w:r>
        <w:rPr/>
        <w:t>CIE-11:</w:t>
      </w:r>
      <w:r>
        <w:rPr>
          <w:spacing w:val="-9"/>
        </w:rPr>
        <w:t> </w:t>
      </w:r>
      <w:r>
        <w:rPr>
          <w:spacing w:val="-2"/>
        </w:rPr>
        <w:t>2C25.0</w:t>
      </w:r>
    </w:p>
    <w:p>
      <w:pPr>
        <w:pStyle w:val="BodyText"/>
      </w:pPr>
    </w:p>
    <w:p>
      <w:pPr>
        <w:pStyle w:val="ListParagraph"/>
        <w:numPr>
          <w:ilvl w:val="2"/>
          <w:numId w:val="160"/>
        </w:numPr>
        <w:tabs>
          <w:tab w:pos="1045" w:val="left" w:leader="none"/>
          <w:tab w:pos="1058" w:val="left" w:leader="none"/>
        </w:tabs>
        <w:spacing w:line="240" w:lineRule="auto" w:before="0" w:after="0"/>
        <w:ind w:left="1058" w:right="333" w:hanging="432"/>
        <w:jc w:val="both"/>
        <w:rPr>
          <w:sz w:val="20"/>
        </w:rPr>
      </w:pPr>
      <w:r>
        <w:rPr>
          <w:sz w:val="20"/>
        </w:rPr>
        <w:t>Personas trabajadoras en la minería y trabajo subterráneo; procesamiento de minerales. Personas trabajadoras en minas, canteras y fundiciones; de la industria de la cerámica, el cemento y el vidrio; en actividades de construcción, fabricación de pesticidas y otros productos químicos; agrícolas; mineros, fundidores y refinado de metales; de salud como médicos y veterinarios. Soldadores, expuestas a humos de cigarro, de contaminantes ambientales, por el entorno laboral, tales como, meseros, cantineros, de los casinos o como los policías de tráfico urbano, conductores profesionales, entre otros. Personas trabajadoras de la refinación del petróleo y derivados del carbón expuestas a gasificación del carbón, arsénico y compuestos arsenicales; de aceites minerales no tratados del petróleo.</w:t>
      </w:r>
    </w:p>
    <w:p>
      <w:pPr>
        <w:pStyle w:val="ListParagraph"/>
        <w:numPr>
          <w:ilvl w:val="2"/>
          <w:numId w:val="160"/>
        </w:numPr>
        <w:tabs>
          <w:tab w:pos="1045" w:val="left" w:leader="none"/>
          <w:tab w:pos="1058" w:val="left" w:leader="none"/>
        </w:tabs>
        <w:spacing w:line="240" w:lineRule="auto" w:before="227" w:after="0"/>
        <w:ind w:left="1058" w:right="336"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8" w:after="0"/>
        <w:ind w:left="956" w:right="0" w:hanging="330"/>
        <w:jc w:val="left"/>
      </w:pPr>
      <w:r>
        <w:rPr/>
        <w:t>Neoplasias</w:t>
      </w:r>
      <w:r>
        <w:rPr>
          <w:spacing w:val="-10"/>
        </w:rPr>
        <w:t> </w:t>
      </w:r>
      <w:r>
        <w:rPr/>
        <w:t>malignas</w:t>
      </w:r>
      <w:r>
        <w:rPr>
          <w:spacing w:val="-4"/>
        </w:rPr>
        <w:t> </w:t>
      </w:r>
      <w:r>
        <w:rPr/>
        <w:t>del</w:t>
      </w:r>
      <w:r>
        <w:rPr>
          <w:spacing w:val="-9"/>
        </w:rPr>
        <w:t> </w:t>
      </w:r>
      <w:r>
        <w:rPr>
          <w:spacing w:val="-2"/>
        </w:rPr>
        <w:t>esófago</w:t>
      </w:r>
    </w:p>
    <w:p>
      <w:pPr>
        <w:pStyle w:val="Heading3"/>
        <w:spacing w:after="0" w:line="240" w:lineRule="auto"/>
        <w:jc w:val="left"/>
        <w:sectPr>
          <w:pgSz w:w="12240" w:h="15840"/>
          <w:pgMar w:header="724" w:footer="712" w:top="1880" w:bottom="900" w:left="1080" w:right="1080"/>
        </w:sectPr>
      </w:pPr>
    </w:p>
    <w:p>
      <w:pPr>
        <w:pStyle w:val="BodyText"/>
        <w:spacing w:before="65"/>
        <w:rPr>
          <w:rFonts w:ascii="Arial"/>
          <w:b/>
        </w:rPr>
      </w:pPr>
    </w:p>
    <w:p>
      <w:pPr>
        <w:pStyle w:val="BodyText"/>
        <w:ind w:left="626"/>
      </w:pPr>
      <w:r>
        <w:rPr/>
        <w:t>Código</w:t>
      </w:r>
      <w:r>
        <w:rPr>
          <w:spacing w:val="-10"/>
        </w:rPr>
        <w:t> </w:t>
      </w:r>
      <w:r>
        <w:rPr/>
        <w:t>CIE-11:</w:t>
      </w:r>
      <w:r>
        <w:rPr>
          <w:spacing w:val="-10"/>
        </w:rPr>
        <w:t> </w:t>
      </w:r>
      <w:r>
        <w:rPr>
          <w:spacing w:val="-4"/>
        </w:rPr>
        <w:t>2B70</w:t>
      </w:r>
    </w:p>
    <w:p>
      <w:pPr>
        <w:pStyle w:val="ListParagraph"/>
        <w:numPr>
          <w:ilvl w:val="2"/>
          <w:numId w:val="160"/>
        </w:numPr>
        <w:tabs>
          <w:tab w:pos="1045" w:val="left" w:leader="none"/>
          <w:tab w:pos="1058" w:val="left" w:leader="none"/>
        </w:tabs>
        <w:spacing w:line="240" w:lineRule="auto" w:before="230" w:after="0"/>
        <w:ind w:left="1058" w:right="339" w:hanging="432"/>
        <w:jc w:val="both"/>
        <w:rPr>
          <w:sz w:val="20"/>
        </w:rPr>
      </w:pPr>
      <w:r>
        <w:rPr>
          <w:sz w:val="20"/>
        </w:rPr>
        <w:t>Personas trabajadoras mineras, dedicadas a la extracción de minerales no metálicos; de la industria de la cerámica, molinero de asbesto, de hojas metálicas, industria de revestimiento, manufactureros de textiles, producción de materiales aislantes o filtros, industria del hule,</w:t>
      </w:r>
      <w:r>
        <w:rPr>
          <w:spacing w:val="40"/>
          <w:sz w:val="20"/>
        </w:rPr>
        <w:t> </w:t>
      </w:r>
      <w:r>
        <w:rPr>
          <w:sz w:val="20"/>
        </w:rPr>
        <w:t>plástico, resinas y polímero. Personas trabajadoras de la producción, reparación de equipos de transporte y sus partes, mecánicos de frenos, fabricantes materiales de fricción. Personas trabajadoras de la industria de la construcción de edificaciones y obras de ingeniería civil, como albañiles, peones, jefes de obra, entre otros.</w:t>
      </w:r>
    </w:p>
    <w:p>
      <w:pPr>
        <w:pStyle w:val="ListParagraph"/>
        <w:numPr>
          <w:ilvl w:val="2"/>
          <w:numId w:val="160"/>
        </w:numPr>
        <w:tabs>
          <w:tab w:pos="1045" w:val="left" w:leader="none"/>
          <w:tab w:pos="1058" w:val="left" w:leader="none"/>
        </w:tabs>
        <w:spacing w:line="240" w:lineRule="auto" w:before="228" w:after="0"/>
        <w:ind w:left="1058" w:right="340"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9" w:after="0"/>
        <w:ind w:left="956" w:right="0" w:hanging="330"/>
        <w:jc w:val="left"/>
      </w:pPr>
      <w:r>
        <w:rPr/>
        <w:t>Neoplasias</w:t>
      </w:r>
      <w:r>
        <w:rPr>
          <w:spacing w:val="-10"/>
        </w:rPr>
        <w:t> </w:t>
      </w:r>
      <w:r>
        <w:rPr/>
        <w:t>malignas</w:t>
      </w:r>
      <w:r>
        <w:rPr>
          <w:spacing w:val="-6"/>
        </w:rPr>
        <w:t> </w:t>
      </w:r>
      <w:r>
        <w:rPr/>
        <w:t>del</w:t>
      </w:r>
      <w:r>
        <w:rPr>
          <w:spacing w:val="-9"/>
        </w:rPr>
        <w:t> </w:t>
      </w:r>
      <w:r>
        <w:rPr/>
        <w:t>estómago</w:t>
      </w:r>
      <w:r>
        <w:rPr>
          <w:spacing w:val="-8"/>
        </w:rPr>
        <w:t> </w:t>
      </w:r>
      <w:r>
        <w:rPr/>
        <w:t>(cáncer</w:t>
      </w:r>
      <w:r>
        <w:rPr>
          <w:spacing w:val="-9"/>
        </w:rPr>
        <w:t> </w:t>
      </w:r>
      <w:r>
        <w:rPr>
          <w:spacing w:val="-2"/>
        </w:rPr>
        <w:t>gástrico)</w:t>
      </w:r>
    </w:p>
    <w:p>
      <w:pPr>
        <w:pStyle w:val="BodyText"/>
        <w:spacing w:before="3"/>
        <w:rPr>
          <w:rFonts w:ascii="Arial"/>
          <w:b/>
        </w:rPr>
      </w:pPr>
    </w:p>
    <w:p>
      <w:pPr>
        <w:pStyle w:val="BodyText"/>
        <w:ind w:left="626"/>
      </w:pPr>
      <w:r>
        <w:rPr/>
        <w:t>Código</w:t>
      </w:r>
      <w:r>
        <w:rPr>
          <w:spacing w:val="-10"/>
        </w:rPr>
        <w:t> </w:t>
      </w:r>
      <w:r>
        <w:rPr/>
        <w:t>CIE-11:</w:t>
      </w:r>
      <w:r>
        <w:rPr>
          <w:spacing w:val="-9"/>
        </w:rPr>
        <w:t> </w:t>
      </w:r>
      <w:r>
        <w:rPr>
          <w:spacing w:val="-4"/>
        </w:rPr>
        <w:t>2B72</w:t>
      </w:r>
    </w:p>
    <w:p>
      <w:pPr>
        <w:pStyle w:val="ListParagraph"/>
        <w:numPr>
          <w:ilvl w:val="2"/>
          <w:numId w:val="160"/>
        </w:numPr>
        <w:tabs>
          <w:tab w:pos="1045" w:val="left" w:leader="none"/>
          <w:tab w:pos="1058" w:val="left" w:leader="none"/>
        </w:tabs>
        <w:spacing w:line="240" w:lineRule="auto" w:before="227" w:after="0"/>
        <w:ind w:left="1058" w:right="341" w:hanging="432"/>
        <w:jc w:val="both"/>
        <w:rPr>
          <w:sz w:val="20"/>
        </w:rPr>
      </w:pPr>
      <w:r>
        <w:rPr>
          <w:sz w:val="20"/>
        </w:rPr>
        <w:t>Personas trabajadoras en servicios como: mineros de carbón, en el procesamiento de hierro y acero, manufactura, procesamiento de madera, construcción, minería, manufactura marítima, agricultura, ganadería, perforadores de pozos, herreros, albañiles, carpinteros, operadores de máquinas, en la industria del cuero y en el manejo del cemento portland.</w:t>
      </w:r>
    </w:p>
    <w:p>
      <w:pPr>
        <w:pStyle w:val="ListParagraph"/>
        <w:numPr>
          <w:ilvl w:val="2"/>
          <w:numId w:val="160"/>
        </w:numPr>
        <w:tabs>
          <w:tab w:pos="1045" w:val="left" w:leader="none"/>
          <w:tab w:pos="1058" w:val="left" w:leader="none"/>
        </w:tabs>
        <w:spacing w:line="240" w:lineRule="auto" w:before="229" w:after="0"/>
        <w:ind w:left="1058" w:right="33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6" w:after="0"/>
        <w:ind w:left="956" w:right="0" w:hanging="330"/>
        <w:jc w:val="left"/>
      </w:pPr>
      <w:r>
        <w:rPr/>
        <w:t>Neoplasias</w:t>
      </w:r>
      <w:r>
        <w:rPr>
          <w:spacing w:val="-8"/>
        </w:rPr>
        <w:t> </w:t>
      </w:r>
      <w:r>
        <w:rPr/>
        <w:t>malignas</w:t>
      </w:r>
      <w:r>
        <w:rPr>
          <w:spacing w:val="-2"/>
        </w:rPr>
        <w:t> </w:t>
      </w:r>
      <w:r>
        <w:rPr/>
        <w:t>del</w:t>
      </w:r>
      <w:r>
        <w:rPr>
          <w:spacing w:val="-6"/>
        </w:rPr>
        <w:t> </w:t>
      </w:r>
      <w:r>
        <w:rPr/>
        <w:t>hígado</w:t>
      </w:r>
      <w:r>
        <w:rPr>
          <w:spacing w:val="-6"/>
        </w:rPr>
        <w:t> </w:t>
      </w:r>
      <w:r>
        <w:rPr/>
        <w:t>o</w:t>
      </w:r>
      <w:r>
        <w:rPr>
          <w:spacing w:val="-6"/>
        </w:rPr>
        <w:t> </w:t>
      </w:r>
      <w:r>
        <w:rPr/>
        <w:t>de</w:t>
      </w:r>
      <w:r>
        <w:rPr>
          <w:spacing w:val="-6"/>
        </w:rPr>
        <w:t> </w:t>
      </w:r>
      <w:r>
        <w:rPr/>
        <w:t>las</w:t>
      </w:r>
      <w:r>
        <w:rPr>
          <w:spacing w:val="-7"/>
        </w:rPr>
        <w:t> </w:t>
      </w:r>
      <w:r>
        <w:rPr/>
        <w:t>vías</w:t>
      </w:r>
      <w:r>
        <w:rPr>
          <w:spacing w:val="-6"/>
        </w:rPr>
        <w:t> </w:t>
      </w:r>
      <w:r>
        <w:rPr/>
        <w:t>biliares</w:t>
      </w:r>
      <w:r>
        <w:rPr>
          <w:spacing w:val="-7"/>
        </w:rPr>
        <w:t> </w:t>
      </w:r>
      <w:r>
        <w:rPr>
          <w:spacing w:val="-2"/>
        </w:rPr>
        <w:t>intrahepáticas</w:t>
      </w:r>
    </w:p>
    <w:p>
      <w:pPr>
        <w:pStyle w:val="BodyText"/>
        <w:spacing w:before="4"/>
        <w:rPr>
          <w:rFonts w:ascii="Arial"/>
          <w:b/>
        </w:rPr>
      </w:pPr>
    </w:p>
    <w:p>
      <w:pPr>
        <w:pStyle w:val="BodyText"/>
        <w:ind w:left="626"/>
      </w:pPr>
      <w:r>
        <w:rPr/>
        <w:t>Código</w:t>
      </w:r>
      <w:r>
        <w:rPr>
          <w:spacing w:val="-10"/>
        </w:rPr>
        <w:t> </w:t>
      </w:r>
      <w:r>
        <w:rPr/>
        <w:t>CIE-11:</w:t>
      </w:r>
      <w:r>
        <w:rPr>
          <w:spacing w:val="-9"/>
        </w:rPr>
        <w:t> </w:t>
      </w:r>
      <w:r>
        <w:rPr>
          <w:spacing w:val="-2"/>
        </w:rPr>
        <w:t>2C12.Z</w:t>
      </w:r>
    </w:p>
    <w:p>
      <w:pPr>
        <w:pStyle w:val="ListParagraph"/>
        <w:numPr>
          <w:ilvl w:val="2"/>
          <w:numId w:val="160"/>
        </w:numPr>
        <w:tabs>
          <w:tab w:pos="1045" w:val="left" w:leader="none"/>
          <w:tab w:pos="1058" w:val="left" w:leader="none"/>
        </w:tabs>
        <w:spacing w:line="240" w:lineRule="auto" w:before="229" w:after="0"/>
        <w:ind w:left="1058" w:right="338" w:hanging="432"/>
        <w:jc w:val="both"/>
        <w:rPr>
          <w:sz w:val="20"/>
        </w:rPr>
      </w:pPr>
      <w:r>
        <w:rPr>
          <w:sz w:val="20"/>
        </w:rPr>
        <w:t>Personas trabajadoras de los servicios médicos, asistencia social y veterinarios: personas trabajadoras de la salud; industria química: de la producción de cloruro de vinilo o copolímeros, expuestas</w:t>
      </w:r>
      <w:r>
        <w:rPr>
          <w:spacing w:val="-3"/>
          <w:sz w:val="20"/>
        </w:rPr>
        <w:t> </w:t>
      </w:r>
      <w:r>
        <w:rPr>
          <w:sz w:val="20"/>
        </w:rPr>
        <w:t>en</w:t>
      </w:r>
      <w:r>
        <w:rPr>
          <w:spacing w:val="-4"/>
          <w:sz w:val="20"/>
        </w:rPr>
        <w:t> </w:t>
      </w:r>
      <w:r>
        <w:rPr>
          <w:sz w:val="20"/>
        </w:rPr>
        <w:t>minas</w:t>
      </w:r>
      <w:r>
        <w:rPr>
          <w:spacing w:val="-3"/>
          <w:sz w:val="20"/>
        </w:rPr>
        <w:t> </w:t>
      </w:r>
      <w:r>
        <w:rPr>
          <w:sz w:val="20"/>
        </w:rPr>
        <w:t>de</w:t>
      </w:r>
      <w:r>
        <w:rPr>
          <w:spacing w:val="-3"/>
          <w:sz w:val="20"/>
        </w:rPr>
        <w:t> </w:t>
      </w:r>
      <w:r>
        <w:rPr>
          <w:sz w:val="20"/>
        </w:rPr>
        <w:t>arsénico,</w:t>
      </w:r>
      <w:r>
        <w:rPr>
          <w:spacing w:val="-2"/>
          <w:sz w:val="20"/>
        </w:rPr>
        <w:t> </w:t>
      </w:r>
      <w:r>
        <w:rPr>
          <w:sz w:val="20"/>
        </w:rPr>
        <w:t>productor y</w:t>
      </w:r>
      <w:r>
        <w:rPr>
          <w:spacing w:val="-7"/>
          <w:sz w:val="20"/>
        </w:rPr>
        <w:t> </w:t>
      </w:r>
      <w:r>
        <w:rPr>
          <w:sz w:val="20"/>
        </w:rPr>
        <w:t>uso</w:t>
      </w:r>
      <w:r>
        <w:rPr>
          <w:spacing w:val="-2"/>
          <w:sz w:val="20"/>
        </w:rPr>
        <w:t> </w:t>
      </w:r>
      <w:r>
        <w:rPr>
          <w:sz w:val="20"/>
        </w:rPr>
        <w:t>de</w:t>
      </w:r>
      <w:r>
        <w:rPr>
          <w:spacing w:val="-3"/>
          <w:sz w:val="20"/>
        </w:rPr>
        <w:t> </w:t>
      </w:r>
      <w:r>
        <w:rPr>
          <w:sz w:val="20"/>
        </w:rPr>
        <w:t>plaguicidas,</w:t>
      </w:r>
      <w:r>
        <w:rPr>
          <w:spacing w:val="-4"/>
          <w:sz w:val="20"/>
        </w:rPr>
        <w:t> </w:t>
      </w:r>
      <w:r>
        <w:rPr>
          <w:sz w:val="20"/>
        </w:rPr>
        <w:t>herreros,</w:t>
      </w:r>
      <w:r>
        <w:rPr>
          <w:spacing w:val="-4"/>
          <w:sz w:val="20"/>
        </w:rPr>
        <w:t> </w:t>
      </w:r>
      <w:r>
        <w:rPr>
          <w:sz w:val="20"/>
        </w:rPr>
        <w:t>industrias</w:t>
      </w:r>
      <w:r>
        <w:rPr>
          <w:spacing w:val="-3"/>
          <w:sz w:val="20"/>
        </w:rPr>
        <w:t> </w:t>
      </w:r>
      <w:r>
        <w:rPr>
          <w:sz w:val="20"/>
        </w:rPr>
        <w:t>de</w:t>
      </w:r>
      <w:r>
        <w:rPr>
          <w:spacing w:val="-3"/>
          <w:sz w:val="20"/>
        </w:rPr>
        <w:t> </w:t>
      </w:r>
      <w:r>
        <w:rPr>
          <w:sz w:val="20"/>
        </w:rPr>
        <w:t>plásticos, limpiadores de vasos de reacción del monómero de cloruro de vinilo, mineros del arsénico, reparadores de energía eléctrica y de vidrio; de la industria restaurantera, de la agricultura, así como los mineros y fundidores de cobre, plomo y zinc. Personas trabajadoras en la ganadería, industria en el procesamiento del pollo y</w:t>
      </w:r>
      <w:r>
        <w:rPr>
          <w:spacing w:val="-3"/>
          <w:sz w:val="20"/>
        </w:rPr>
        <w:t> </w:t>
      </w:r>
      <w:r>
        <w:rPr>
          <w:sz w:val="20"/>
        </w:rPr>
        <w:t>del puerco. Personas trabajadoras en actividades como: pintores y de imprenta.</w:t>
      </w:r>
    </w:p>
    <w:p>
      <w:pPr>
        <w:pStyle w:val="ListParagraph"/>
        <w:numPr>
          <w:ilvl w:val="2"/>
          <w:numId w:val="160"/>
        </w:numPr>
        <w:tabs>
          <w:tab w:pos="1045" w:val="left" w:leader="none"/>
          <w:tab w:pos="1058" w:val="left" w:leader="none"/>
        </w:tabs>
        <w:spacing w:line="240" w:lineRule="auto" w:before="229" w:after="0"/>
        <w:ind w:left="1058" w:right="34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6" w:after="0"/>
        <w:ind w:left="956" w:right="0" w:hanging="330"/>
        <w:jc w:val="left"/>
      </w:pPr>
      <w:r>
        <w:rPr/>
        <w:t>Neoplasias</w:t>
      </w:r>
      <w:r>
        <w:rPr>
          <w:spacing w:val="-10"/>
        </w:rPr>
        <w:t> </w:t>
      </w:r>
      <w:r>
        <w:rPr/>
        <w:t>malignas</w:t>
      </w:r>
      <w:r>
        <w:rPr>
          <w:spacing w:val="-3"/>
        </w:rPr>
        <w:t> </w:t>
      </w:r>
      <w:r>
        <w:rPr/>
        <w:t>de</w:t>
      </w:r>
      <w:r>
        <w:rPr>
          <w:spacing w:val="-7"/>
        </w:rPr>
        <w:t> </w:t>
      </w:r>
      <w:r>
        <w:rPr/>
        <w:t>colon</w:t>
      </w:r>
      <w:r>
        <w:rPr>
          <w:spacing w:val="-4"/>
        </w:rPr>
        <w:t> </w:t>
      </w:r>
      <w:r>
        <w:rPr/>
        <w:t>y</w:t>
      </w:r>
      <w:r>
        <w:rPr>
          <w:spacing w:val="-7"/>
        </w:rPr>
        <w:t> </w:t>
      </w:r>
      <w:r>
        <w:rPr>
          <w:spacing w:val="-2"/>
        </w:rPr>
        <w:t>recto</w:t>
      </w:r>
    </w:p>
    <w:p>
      <w:pPr>
        <w:pStyle w:val="Heading3"/>
        <w:spacing w:after="0" w:line="240" w:lineRule="auto"/>
        <w:jc w:val="left"/>
        <w:sectPr>
          <w:pgSz w:w="12240" w:h="15840"/>
          <w:pgMar w:header="724" w:footer="712" w:top="1880" w:bottom="900" w:left="1080" w:right="1080"/>
        </w:sectPr>
      </w:pPr>
    </w:p>
    <w:p>
      <w:pPr>
        <w:pStyle w:val="BodyText"/>
        <w:spacing w:before="65"/>
        <w:rPr>
          <w:rFonts w:ascii="Arial"/>
          <w:b/>
        </w:rPr>
      </w:pPr>
    </w:p>
    <w:p>
      <w:pPr>
        <w:pStyle w:val="BodyText"/>
        <w:ind w:left="626"/>
      </w:pPr>
      <w:r>
        <w:rPr/>
        <w:t>Código</w:t>
      </w:r>
      <w:r>
        <w:rPr>
          <w:spacing w:val="-8"/>
        </w:rPr>
        <w:t> </w:t>
      </w:r>
      <w:r>
        <w:rPr/>
        <w:t>CIE-11:</w:t>
      </w:r>
      <w:r>
        <w:rPr>
          <w:spacing w:val="-7"/>
        </w:rPr>
        <w:t> </w:t>
      </w:r>
      <w:r>
        <w:rPr/>
        <w:t>2B90,</w:t>
      </w:r>
      <w:r>
        <w:rPr>
          <w:spacing w:val="-7"/>
        </w:rPr>
        <w:t> </w:t>
      </w:r>
      <w:r>
        <w:rPr/>
        <w:t>2B91,</w:t>
      </w:r>
      <w:r>
        <w:rPr>
          <w:spacing w:val="-7"/>
        </w:rPr>
        <w:t> </w:t>
      </w:r>
      <w:r>
        <w:rPr>
          <w:spacing w:val="-4"/>
        </w:rPr>
        <w:t>2B92</w:t>
      </w:r>
    </w:p>
    <w:p>
      <w:pPr>
        <w:pStyle w:val="ListParagraph"/>
        <w:numPr>
          <w:ilvl w:val="2"/>
          <w:numId w:val="160"/>
        </w:numPr>
        <w:tabs>
          <w:tab w:pos="1045" w:val="left" w:leader="none"/>
          <w:tab w:pos="1058" w:val="left" w:leader="none"/>
        </w:tabs>
        <w:spacing w:line="240" w:lineRule="auto" w:before="230" w:after="0"/>
        <w:ind w:left="1058" w:right="345" w:hanging="432"/>
        <w:jc w:val="both"/>
        <w:rPr>
          <w:sz w:val="20"/>
        </w:rPr>
      </w:pPr>
      <w:r>
        <w:rPr>
          <w:sz w:val="20"/>
        </w:rPr>
        <w:t>Personas trabajadoras de la agricultura, manufactura, industria de la cerámica, molinero de asbesto,</w:t>
      </w:r>
      <w:r>
        <w:rPr>
          <w:spacing w:val="-3"/>
          <w:sz w:val="20"/>
        </w:rPr>
        <w:t> </w:t>
      </w:r>
      <w:r>
        <w:rPr>
          <w:sz w:val="20"/>
        </w:rPr>
        <w:t>de</w:t>
      </w:r>
      <w:r>
        <w:rPr>
          <w:spacing w:val="-4"/>
          <w:sz w:val="20"/>
        </w:rPr>
        <w:t> </w:t>
      </w:r>
      <w:r>
        <w:rPr>
          <w:sz w:val="20"/>
        </w:rPr>
        <w:t>hojas</w:t>
      </w:r>
      <w:r>
        <w:rPr>
          <w:spacing w:val="-4"/>
          <w:sz w:val="20"/>
        </w:rPr>
        <w:t> </w:t>
      </w:r>
      <w:r>
        <w:rPr>
          <w:sz w:val="20"/>
        </w:rPr>
        <w:t>metálicas,</w:t>
      </w:r>
      <w:r>
        <w:rPr>
          <w:spacing w:val="-5"/>
          <w:sz w:val="20"/>
        </w:rPr>
        <w:t> </w:t>
      </w:r>
      <w:r>
        <w:rPr>
          <w:sz w:val="20"/>
        </w:rPr>
        <w:t>industria</w:t>
      </w:r>
      <w:r>
        <w:rPr>
          <w:spacing w:val="-3"/>
          <w:sz w:val="20"/>
        </w:rPr>
        <w:t> </w:t>
      </w:r>
      <w:r>
        <w:rPr>
          <w:sz w:val="20"/>
        </w:rPr>
        <w:t>de</w:t>
      </w:r>
      <w:r>
        <w:rPr>
          <w:spacing w:val="-6"/>
          <w:sz w:val="20"/>
        </w:rPr>
        <w:t> </w:t>
      </w:r>
      <w:r>
        <w:rPr>
          <w:sz w:val="20"/>
        </w:rPr>
        <w:t>revestimiento,</w:t>
      </w:r>
      <w:r>
        <w:rPr>
          <w:spacing w:val="-5"/>
          <w:sz w:val="20"/>
        </w:rPr>
        <w:t> </w:t>
      </w:r>
      <w:r>
        <w:rPr>
          <w:sz w:val="20"/>
        </w:rPr>
        <w:t>manufactureros</w:t>
      </w:r>
      <w:r>
        <w:rPr>
          <w:spacing w:val="-4"/>
          <w:sz w:val="20"/>
        </w:rPr>
        <w:t> </w:t>
      </w:r>
      <w:r>
        <w:rPr>
          <w:sz w:val="20"/>
        </w:rPr>
        <w:t>de</w:t>
      </w:r>
      <w:r>
        <w:rPr>
          <w:spacing w:val="-6"/>
          <w:sz w:val="20"/>
        </w:rPr>
        <w:t> </w:t>
      </w:r>
      <w:r>
        <w:rPr>
          <w:sz w:val="20"/>
        </w:rPr>
        <w:t>textiles,</w:t>
      </w:r>
      <w:r>
        <w:rPr>
          <w:spacing w:val="-5"/>
          <w:sz w:val="20"/>
        </w:rPr>
        <w:t> </w:t>
      </w:r>
      <w:r>
        <w:rPr>
          <w:sz w:val="20"/>
        </w:rPr>
        <w:t>producción</w:t>
      </w:r>
      <w:r>
        <w:rPr>
          <w:spacing w:val="-4"/>
          <w:sz w:val="20"/>
        </w:rPr>
        <w:t> </w:t>
      </w:r>
      <w:r>
        <w:rPr>
          <w:sz w:val="20"/>
        </w:rPr>
        <w:t>de materiales aislantes o filtros, industria del hule, plástico, resinas y polímero.</w:t>
      </w:r>
    </w:p>
    <w:p>
      <w:pPr>
        <w:pStyle w:val="ListParagraph"/>
        <w:numPr>
          <w:ilvl w:val="2"/>
          <w:numId w:val="160"/>
        </w:numPr>
        <w:tabs>
          <w:tab w:pos="1045" w:val="left" w:leader="none"/>
          <w:tab w:pos="1058" w:val="left" w:leader="none"/>
        </w:tabs>
        <w:spacing w:line="240" w:lineRule="auto" w:before="228" w:after="0"/>
        <w:ind w:left="1058" w:right="343" w:hanging="432"/>
        <w:jc w:val="both"/>
        <w:rPr>
          <w:sz w:val="20"/>
        </w:rPr>
      </w:pPr>
      <w:r>
        <w:rPr>
          <w:sz w:val="20"/>
        </w:rPr>
        <w:t>Personas trabajadoras en equipos de transporte y sus partes, mecánicos de frenos, personas trabajadoras fabricantes de materiales de fricción. Construcción de edificaciones y obras de ingeniería civil, de la construcción. Bomberos, industria petroquímica, hierro y metal, industria de preparación de bebidas, muelleros. Refinadoras de petróleo.</w:t>
      </w:r>
    </w:p>
    <w:p>
      <w:pPr>
        <w:pStyle w:val="ListParagraph"/>
        <w:numPr>
          <w:ilvl w:val="2"/>
          <w:numId w:val="160"/>
        </w:numPr>
        <w:tabs>
          <w:tab w:pos="1045" w:val="left" w:leader="none"/>
          <w:tab w:pos="1058" w:val="left" w:leader="none"/>
        </w:tabs>
        <w:spacing w:line="240" w:lineRule="auto" w:before="229" w:after="0"/>
        <w:ind w:left="1058" w:right="343"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7" w:after="0"/>
        <w:ind w:left="956" w:right="0" w:hanging="330"/>
        <w:jc w:val="left"/>
      </w:pPr>
      <w:r>
        <w:rPr/>
        <w:t>Neoplasia</w:t>
      </w:r>
      <w:r>
        <w:rPr>
          <w:spacing w:val="-9"/>
        </w:rPr>
        <w:t> </w:t>
      </w:r>
      <w:r>
        <w:rPr/>
        <w:t>maligna</w:t>
      </w:r>
      <w:r>
        <w:rPr>
          <w:spacing w:val="-8"/>
        </w:rPr>
        <w:t> </w:t>
      </w:r>
      <w:r>
        <w:rPr/>
        <w:t>de</w:t>
      </w:r>
      <w:r>
        <w:rPr>
          <w:spacing w:val="-7"/>
        </w:rPr>
        <w:t> </w:t>
      </w:r>
      <w:r>
        <w:rPr/>
        <w:t>páncreas</w:t>
      </w:r>
      <w:r>
        <w:rPr>
          <w:spacing w:val="-7"/>
        </w:rPr>
        <w:t> </w:t>
      </w:r>
      <w:r>
        <w:rPr/>
        <w:t>y</w:t>
      </w:r>
      <w:r>
        <w:rPr>
          <w:spacing w:val="-9"/>
        </w:rPr>
        <w:t> </w:t>
      </w:r>
      <w:r>
        <w:rPr/>
        <w:t>angiosarcoma</w:t>
      </w:r>
      <w:r>
        <w:rPr>
          <w:spacing w:val="-8"/>
        </w:rPr>
        <w:t> </w:t>
      </w:r>
      <w:r>
        <w:rPr/>
        <w:t>de</w:t>
      </w:r>
      <w:r>
        <w:rPr>
          <w:spacing w:val="-9"/>
        </w:rPr>
        <w:t> </w:t>
      </w:r>
      <w:r>
        <w:rPr>
          <w:spacing w:val="-2"/>
        </w:rPr>
        <w:t>hígado</w:t>
      </w:r>
    </w:p>
    <w:p>
      <w:pPr>
        <w:pStyle w:val="BodyText"/>
        <w:spacing w:before="3"/>
        <w:rPr>
          <w:rFonts w:ascii="Arial"/>
          <w:b/>
        </w:rPr>
      </w:pPr>
    </w:p>
    <w:p>
      <w:pPr>
        <w:pStyle w:val="BodyText"/>
        <w:ind w:left="626"/>
      </w:pPr>
      <w:r>
        <w:rPr/>
        <w:t>Código</w:t>
      </w:r>
      <w:r>
        <w:rPr>
          <w:spacing w:val="-7"/>
        </w:rPr>
        <w:t> </w:t>
      </w:r>
      <w:r>
        <w:rPr/>
        <w:t>CIE-11:</w:t>
      </w:r>
      <w:r>
        <w:rPr>
          <w:spacing w:val="-6"/>
        </w:rPr>
        <w:t> </w:t>
      </w:r>
      <w:r>
        <w:rPr/>
        <w:t>2C10</w:t>
      </w:r>
      <w:r>
        <w:rPr>
          <w:spacing w:val="-2"/>
        </w:rPr>
        <w:t> </w:t>
      </w:r>
      <w:r>
        <w:rPr/>
        <w:t>y</w:t>
      </w:r>
      <w:r>
        <w:rPr>
          <w:spacing w:val="-6"/>
        </w:rPr>
        <w:t> </w:t>
      </w:r>
      <w:r>
        <w:rPr>
          <w:spacing w:val="-2"/>
        </w:rPr>
        <w:t>2B56.3</w:t>
      </w:r>
    </w:p>
    <w:p>
      <w:pPr>
        <w:pStyle w:val="ListParagraph"/>
        <w:numPr>
          <w:ilvl w:val="2"/>
          <w:numId w:val="160"/>
        </w:numPr>
        <w:tabs>
          <w:tab w:pos="1045" w:val="left" w:leader="none"/>
          <w:tab w:pos="1058" w:val="left" w:leader="none"/>
        </w:tabs>
        <w:spacing w:line="240" w:lineRule="auto" w:before="230" w:after="0"/>
        <w:ind w:left="1058" w:right="338" w:hanging="432"/>
        <w:jc w:val="both"/>
        <w:rPr>
          <w:sz w:val="20"/>
        </w:rPr>
      </w:pPr>
      <w:r>
        <w:rPr>
          <w:sz w:val="20"/>
        </w:rPr>
        <w:t>Neoplasia maligna de páncreas: personas trabajadoras artesanos, bibliotecarios, archivistas, taxistas, chóferes, industria eléctrica, electrónica, tipografía, vidrio, cerámica, metalúrgica, sobrecargo, mayordomo, tripulantes de cabina de pasajeros, estibador y manipulador de carga, procesamiento de metales.</w:t>
      </w:r>
    </w:p>
    <w:p>
      <w:pPr>
        <w:pStyle w:val="ListParagraph"/>
        <w:numPr>
          <w:ilvl w:val="2"/>
          <w:numId w:val="160"/>
        </w:numPr>
        <w:tabs>
          <w:tab w:pos="1045" w:val="left" w:leader="none"/>
          <w:tab w:pos="1058" w:val="left" w:leader="none"/>
        </w:tabs>
        <w:spacing w:line="240" w:lineRule="auto" w:before="229" w:after="0"/>
        <w:ind w:left="1058" w:right="331" w:hanging="432"/>
        <w:jc w:val="both"/>
        <w:rPr>
          <w:sz w:val="20"/>
        </w:rPr>
      </w:pPr>
      <w:r>
        <w:rPr>
          <w:sz w:val="20"/>
        </w:rPr>
        <w:t>Angiosarcoma de hígado: personas trabajadoras de los servicios médicos, asistencia social y veterinarios, tales como: médicos, radiólogos, técnicos radiólogos, dentistas, veterinarios. Personas trabajadoras de la industria química, tales como: personas trabajadoras de la producción del cloruro de vinilo o copolímeros, expuestas en minas de arsénico, productores y que manejan o usan plaguicidas. Personas trabajadoras de la industria del plástico, limpiadores de vasos de reacción de monómeros de cloruro de vinilo, mineros del arsénico, herreros, reparadores de energía eléctrica y</w:t>
      </w:r>
      <w:r>
        <w:rPr>
          <w:spacing w:val="-3"/>
          <w:sz w:val="20"/>
        </w:rPr>
        <w:t> </w:t>
      </w:r>
      <w:r>
        <w:rPr>
          <w:sz w:val="20"/>
        </w:rPr>
        <w:t>del vidrio. Personas trabajadoras de la industria restaurantera, tales</w:t>
      </w:r>
      <w:r>
        <w:rPr>
          <w:spacing w:val="-4"/>
          <w:sz w:val="20"/>
        </w:rPr>
        <w:t> </w:t>
      </w:r>
      <w:r>
        <w:rPr>
          <w:sz w:val="20"/>
        </w:rPr>
        <w:t>como:</w:t>
      </w:r>
      <w:r>
        <w:rPr>
          <w:spacing w:val="-5"/>
          <w:sz w:val="20"/>
        </w:rPr>
        <w:t> </w:t>
      </w:r>
      <w:r>
        <w:rPr>
          <w:sz w:val="20"/>
        </w:rPr>
        <w:t>personas</w:t>
      </w:r>
      <w:r>
        <w:rPr>
          <w:spacing w:val="-4"/>
          <w:sz w:val="20"/>
        </w:rPr>
        <w:t> </w:t>
      </w:r>
      <w:r>
        <w:rPr>
          <w:sz w:val="20"/>
        </w:rPr>
        <w:t>trabajadoras</w:t>
      </w:r>
      <w:r>
        <w:rPr>
          <w:spacing w:val="-3"/>
          <w:sz w:val="20"/>
        </w:rPr>
        <w:t> </w:t>
      </w:r>
      <w:r>
        <w:rPr>
          <w:sz w:val="20"/>
        </w:rPr>
        <w:t>de</w:t>
      </w:r>
      <w:r>
        <w:rPr>
          <w:spacing w:val="-4"/>
          <w:sz w:val="20"/>
        </w:rPr>
        <w:t> </w:t>
      </w:r>
      <w:r>
        <w:rPr>
          <w:sz w:val="20"/>
        </w:rPr>
        <w:t>bares,</w:t>
      </w:r>
      <w:r>
        <w:rPr>
          <w:spacing w:val="-3"/>
          <w:sz w:val="20"/>
        </w:rPr>
        <w:t> </w:t>
      </w:r>
      <w:r>
        <w:rPr>
          <w:sz w:val="20"/>
        </w:rPr>
        <w:t>discotecas</w:t>
      </w:r>
      <w:r>
        <w:rPr>
          <w:spacing w:val="-2"/>
          <w:sz w:val="20"/>
        </w:rPr>
        <w:t> </w:t>
      </w:r>
      <w:r>
        <w:rPr>
          <w:sz w:val="20"/>
        </w:rPr>
        <w:t>y</w:t>
      </w:r>
      <w:r>
        <w:rPr>
          <w:spacing w:val="-7"/>
          <w:sz w:val="20"/>
        </w:rPr>
        <w:t> </w:t>
      </w:r>
      <w:r>
        <w:rPr>
          <w:sz w:val="20"/>
        </w:rPr>
        <w:t>restaurantes.</w:t>
      </w:r>
      <w:r>
        <w:rPr>
          <w:spacing w:val="-3"/>
          <w:sz w:val="20"/>
        </w:rPr>
        <w:t> </w:t>
      </w:r>
      <w:r>
        <w:rPr>
          <w:sz w:val="20"/>
        </w:rPr>
        <w:t>Personas</w:t>
      </w:r>
      <w:r>
        <w:rPr>
          <w:spacing w:val="-2"/>
          <w:sz w:val="20"/>
        </w:rPr>
        <w:t> </w:t>
      </w:r>
      <w:r>
        <w:rPr>
          <w:sz w:val="20"/>
        </w:rPr>
        <w:t>trabajadoras</w:t>
      </w:r>
      <w:r>
        <w:rPr>
          <w:spacing w:val="-3"/>
          <w:sz w:val="20"/>
        </w:rPr>
        <w:t> </w:t>
      </w:r>
      <w:r>
        <w:rPr>
          <w:sz w:val="20"/>
        </w:rPr>
        <w:t>de la agricultura, tales como: productores de alimentos, forrajes, carga y descarga, procesamiento</w:t>
      </w:r>
      <w:r>
        <w:rPr>
          <w:spacing w:val="40"/>
          <w:sz w:val="20"/>
        </w:rPr>
        <w:t> </w:t>
      </w:r>
      <w:r>
        <w:rPr>
          <w:sz w:val="20"/>
        </w:rPr>
        <w:t>de arroz y maíz. Personas trabajadoras en la extracción y beneficio de minerales no metálicos, tales como: mineros, fundidores de cobre, plomo, zinc, entre otros.</w:t>
      </w:r>
    </w:p>
    <w:p>
      <w:pPr>
        <w:pStyle w:val="ListParagraph"/>
        <w:numPr>
          <w:ilvl w:val="2"/>
          <w:numId w:val="160"/>
        </w:numPr>
        <w:tabs>
          <w:tab w:pos="1045" w:val="left" w:leader="none"/>
          <w:tab w:pos="1058" w:val="left" w:leader="none"/>
        </w:tabs>
        <w:spacing w:line="240" w:lineRule="auto" w:before="227" w:after="0"/>
        <w:ind w:left="1058" w:right="343"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7" w:after="0"/>
        <w:ind w:left="956" w:right="0" w:hanging="330"/>
        <w:jc w:val="left"/>
      </w:pPr>
      <w:r>
        <w:rPr/>
        <w:t>Neoplasias</w:t>
      </w:r>
      <w:r>
        <w:rPr>
          <w:spacing w:val="-8"/>
        </w:rPr>
        <w:t> </w:t>
      </w:r>
      <w:r>
        <w:rPr/>
        <w:t>malignas</w:t>
      </w:r>
      <w:r>
        <w:rPr>
          <w:spacing w:val="-3"/>
        </w:rPr>
        <w:t> </w:t>
      </w:r>
      <w:r>
        <w:rPr/>
        <w:t>del</w:t>
      </w:r>
      <w:r>
        <w:rPr>
          <w:spacing w:val="-7"/>
        </w:rPr>
        <w:t> </w:t>
      </w:r>
      <w:r>
        <w:rPr/>
        <w:t>riñón,</w:t>
      </w:r>
      <w:r>
        <w:rPr>
          <w:spacing w:val="-5"/>
        </w:rPr>
        <w:t> </w:t>
      </w:r>
      <w:r>
        <w:rPr/>
        <w:t>excepto</w:t>
      </w:r>
      <w:r>
        <w:rPr>
          <w:spacing w:val="-6"/>
        </w:rPr>
        <w:t> </w:t>
      </w:r>
      <w:r>
        <w:rPr/>
        <w:t>de</w:t>
      </w:r>
      <w:r>
        <w:rPr>
          <w:spacing w:val="-6"/>
        </w:rPr>
        <w:t> </w:t>
      </w:r>
      <w:r>
        <w:rPr/>
        <w:t>la</w:t>
      </w:r>
      <w:r>
        <w:rPr>
          <w:spacing w:val="-8"/>
        </w:rPr>
        <w:t> </w:t>
      </w:r>
      <w:r>
        <w:rPr/>
        <w:t>pelvis</w:t>
      </w:r>
      <w:r>
        <w:rPr>
          <w:spacing w:val="-7"/>
        </w:rPr>
        <w:t> </w:t>
      </w:r>
      <w:r>
        <w:rPr>
          <w:spacing w:val="-2"/>
        </w:rPr>
        <w:t>renal</w:t>
      </w:r>
    </w:p>
    <w:p>
      <w:pPr>
        <w:pStyle w:val="BodyText"/>
        <w:spacing w:before="3"/>
        <w:rPr>
          <w:rFonts w:ascii="Arial"/>
          <w:b/>
        </w:rPr>
      </w:pPr>
    </w:p>
    <w:p>
      <w:pPr>
        <w:pStyle w:val="BodyText"/>
        <w:ind w:left="626"/>
      </w:pPr>
      <w:r>
        <w:rPr/>
        <w:t>Código</w:t>
      </w:r>
      <w:r>
        <w:rPr>
          <w:spacing w:val="-10"/>
        </w:rPr>
        <w:t> </w:t>
      </w:r>
      <w:r>
        <w:rPr/>
        <w:t>CIE-11:</w:t>
      </w:r>
      <w:r>
        <w:rPr>
          <w:spacing w:val="-9"/>
        </w:rPr>
        <w:t> </w:t>
      </w:r>
      <w:r>
        <w:rPr>
          <w:spacing w:val="-4"/>
        </w:rPr>
        <w:t>2C90</w:t>
      </w:r>
    </w:p>
    <w:p>
      <w:pPr>
        <w:pStyle w:val="ListParagraph"/>
        <w:numPr>
          <w:ilvl w:val="2"/>
          <w:numId w:val="160"/>
        </w:numPr>
        <w:tabs>
          <w:tab w:pos="1045" w:val="left" w:leader="none"/>
          <w:tab w:pos="1058" w:val="left" w:leader="none"/>
        </w:tabs>
        <w:spacing w:line="240" w:lineRule="auto" w:before="230" w:after="0"/>
        <w:ind w:left="1058" w:right="337" w:hanging="432"/>
        <w:jc w:val="both"/>
        <w:rPr>
          <w:sz w:val="20"/>
        </w:rPr>
      </w:pPr>
      <w:r>
        <w:rPr>
          <w:sz w:val="20"/>
        </w:rPr>
        <w:t>Personas trabajadoras con exposición a pesticidas, plaguicidas o herbicidas por su elaboración, manejo</w:t>
      </w:r>
      <w:r>
        <w:rPr>
          <w:spacing w:val="-2"/>
          <w:sz w:val="20"/>
        </w:rPr>
        <w:t> </w:t>
      </w:r>
      <w:r>
        <w:rPr>
          <w:sz w:val="20"/>
        </w:rPr>
        <w:t>o</w:t>
      </w:r>
      <w:r>
        <w:rPr>
          <w:spacing w:val="-2"/>
          <w:sz w:val="20"/>
        </w:rPr>
        <w:t> </w:t>
      </w:r>
      <w:r>
        <w:rPr>
          <w:sz w:val="20"/>
        </w:rPr>
        <w:t>uso. Personas</w:t>
      </w:r>
      <w:r>
        <w:rPr>
          <w:spacing w:val="-1"/>
          <w:sz w:val="20"/>
        </w:rPr>
        <w:t> </w:t>
      </w:r>
      <w:r>
        <w:rPr>
          <w:sz w:val="20"/>
        </w:rPr>
        <w:t>trabajadoras mineros.</w:t>
      </w:r>
      <w:r>
        <w:rPr>
          <w:spacing w:val="-2"/>
          <w:sz w:val="20"/>
        </w:rPr>
        <w:t> </w:t>
      </w:r>
      <w:r>
        <w:rPr>
          <w:sz w:val="20"/>
        </w:rPr>
        <w:t>Personas</w:t>
      </w:r>
      <w:r>
        <w:rPr>
          <w:spacing w:val="-1"/>
          <w:sz w:val="20"/>
        </w:rPr>
        <w:t> </w:t>
      </w:r>
      <w:r>
        <w:rPr>
          <w:sz w:val="20"/>
        </w:rPr>
        <w:t>trabajadoras de la industria</w:t>
      </w:r>
      <w:r>
        <w:rPr>
          <w:spacing w:val="-2"/>
          <w:sz w:val="20"/>
        </w:rPr>
        <w:t> </w:t>
      </w:r>
      <w:r>
        <w:rPr>
          <w:sz w:val="20"/>
        </w:rPr>
        <w:t>química</w:t>
      </w:r>
      <w:r>
        <w:rPr>
          <w:spacing w:val="-2"/>
          <w:sz w:val="20"/>
        </w:rPr>
        <w:t> </w:t>
      </w:r>
      <w:r>
        <w:rPr>
          <w:sz w:val="20"/>
        </w:rPr>
        <w:t>con exposición a solventes, tintas y pigmentos. Personas trabajadoras agrícolas expuestas a aminas aromáticas, benceno y sus derivados.</w:t>
      </w:r>
    </w:p>
    <w:p>
      <w:pPr>
        <w:pStyle w:val="ListParagraph"/>
        <w:spacing w:after="0" w:line="240" w:lineRule="auto"/>
        <w:jc w:val="both"/>
        <w:rPr>
          <w:sz w:val="20"/>
        </w:rPr>
        <w:sectPr>
          <w:pgSz w:w="12240" w:h="15840"/>
          <w:pgMar w:header="724" w:footer="712" w:top="1880" w:bottom="900" w:left="1080" w:right="1080"/>
        </w:sectPr>
      </w:pPr>
    </w:p>
    <w:p>
      <w:pPr>
        <w:pStyle w:val="BodyText"/>
      </w:pPr>
    </w:p>
    <w:p>
      <w:pPr>
        <w:pStyle w:val="BodyText"/>
        <w:spacing w:before="64"/>
      </w:pPr>
    </w:p>
    <w:p>
      <w:pPr>
        <w:pStyle w:val="ListParagraph"/>
        <w:numPr>
          <w:ilvl w:val="2"/>
          <w:numId w:val="160"/>
        </w:numPr>
        <w:tabs>
          <w:tab w:pos="1045" w:val="left" w:leader="none"/>
          <w:tab w:pos="1058" w:val="left" w:leader="none"/>
        </w:tabs>
        <w:spacing w:line="240" w:lineRule="auto" w:before="0" w:after="0"/>
        <w:ind w:left="1058" w:right="33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9" w:after="0"/>
        <w:ind w:left="956" w:right="0" w:hanging="330"/>
        <w:jc w:val="left"/>
      </w:pPr>
      <w:r>
        <w:rPr/>
        <w:t>Carcinoma</w:t>
      </w:r>
      <w:r>
        <w:rPr>
          <w:spacing w:val="-6"/>
        </w:rPr>
        <w:t> </w:t>
      </w:r>
      <w:r>
        <w:rPr/>
        <w:t>urotelial</w:t>
      </w:r>
      <w:r>
        <w:rPr>
          <w:spacing w:val="-6"/>
        </w:rPr>
        <w:t> </w:t>
      </w:r>
      <w:r>
        <w:rPr/>
        <w:t>de</w:t>
      </w:r>
      <w:r>
        <w:rPr>
          <w:spacing w:val="-6"/>
        </w:rPr>
        <w:t> </w:t>
      </w:r>
      <w:r>
        <w:rPr/>
        <w:t>la</w:t>
      </w:r>
      <w:r>
        <w:rPr>
          <w:spacing w:val="-6"/>
        </w:rPr>
        <w:t> </w:t>
      </w:r>
      <w:r>
        <w:rPr>
          <w:spacing w:val="-2"/>
        </w:rPr>
        <w:t>vejiga</w:t>
      </w:r>
    </w:p>
    <w:p>
      <w:pPr>
        <w:pStyle w:val="BodyText"/>
        <w:rPr>
          <w:rFonts w:ascii="Arial"/>
          <w:b/>
        </w:rPr>
      </w:pPr>
    </w:p>
    <w:p>
      <w:pPr>
        <w:pStyle w:val="BodyText"/>
        <w:spacing w:before="1"/>
        <w:ind w:left="626"/>
      </w:pPr>
      <w:r>
        <w:rPr/>
        <w:t>Código</w:t>
      </w:r>
      <w:r>
        <w:rPr>
          <w:spacing w:val="-10"/>
        </w:rPr>
        <w:t> </w:t>
      </w:r>
      <w:r>
        <w:rPr/>
        <w:t>CIE-11:</w:t>
      </w:r>
      <w:r>
        <w:rPr>
          <w:spacing w:val="-9"/>
        </w:rPr>
        <w:t> </w:t>
      </w:r>
      <w:r>
        <w:rPr>
          <w:spacing w:val="-2"/>
        </w:rPr>
        <w:t>2C94.2</w:t>
      </w:r>
    </w:p>
    <w:p>
      <w:pPr>
        <w:pStyle w:val="ListParagraph"/>
        <w:numPr>
          <w:ilvl w:val="2"/>
          <w:numId w:val="160"/>
        </w:numPr>
        <w:tabs>
          <w:tab w:pos="1045" w:val="left" w:leader="none"/>
          <w:tab w:pos="1058" w:val="left" w:leader="none"/>
        </w:tabs>
        <w:spacing w:line="240" w:lineRule="auto" w:before="229" w:after="0"/>
        <w:ind w:left="1058" w:right="340" w:hanging="432"/>
        <w:jc w:val="both"/>
        <w:rPr>
          <w:sz w:val="20"/>
        </w:rPr>
      </w:pPr>
      <w:r>
        <w:rPr>
          <w:sz w:val="20"/>
        </w:rPr>
        <w:t>Personas trabajadoras en la industria química, como las personas trabajadoras de estireno y su producción; tintes y colorantes; de la industria textil de lana. Ingenieros, técnicos y del industria química, mecánica, cosmética, farmacéutica; de la manufactura de pigmentos; de refinadores químicos, producción de coque, gasificación de carbón, de aluminio, fundidoras. Personas trabajadoras en contacto con anilinas y sus compuestos. Industria editorial y de impresión: personas trabajadoras de imprentas. Personas trabajadoras de la agricultura, como agricultores. Personas trabajadoras de los servicios personales para el hogar y diversos, como estilistas, cultoras de belleza.</w:t>
      </w:r>
    </w:p>
    <w:p>
      <w:pPr>
        <w:pStyle w:val="ListParagraph"/>
        <w:numPr>
          <w:ilvl w:val="2"/>
          <w:numId w:val="160"/>
        </w:numPr>
        <w:tabs>
          <w:tab w:pos="1045" w:val="left" w:leader="none"/>
          <w:tab w:pos="1058" w:val="left" w:leader="none"/>
        </w:tabs>
        <w:spacing w:line="240" w:lineRule="auto" w:before="229" w:after="0"/>
        <w:ind w:left="1058" w:right="337" w:hanging="432"/>
        <w:jc w:val="both"/>
        <w:rPr>
          <w:sz w:val="20"/>
        </w:rPr>
      </w:pPr>
      <w:r>
        <w:rPr>
          <w:sz w:val="20"/>
        </w:rPr>
        <w:t>Personas trabajadoras de la construcción de edificaciones y de obras de ingeniería civil.</w:t>
      </w:r>
      <w:r>
        <w:rPr>
          <w:spacing w:val="40"/>
          <w:sz w:val="20"/>
        </w:rPr>
        <w:t> </w:t>
      </w:r>
      <w:r>
        <w:rPr>
          <w:sz w:val="20"/>
        </w:rPr>
        <w:t>Personas trabajadoras de la industria atómica, radioactivos, reactores nucleares, utilización de radioelementos utilización de generadores de radiaciones. Carpinteros, ebanistas, artesanos de</w:t>
      </w:r>
      <w:r>
        <w:rPr>
          <w:spacing w:val="40"/>
          <w:sz w:val="20"/>
        </w:rPr>
        <w:t> </w:t>
      </w:r>
      <w:r>
        <w:rPr>
          <w:sz w:val="20"/>
        </w:rPr>
        <w:t>la madera. Personas trabajadoras de la construcción, de la extracción y beneficio de minerales metálicos y no metálicos, mineros.</w:t>
      </w:r>
    </w:p>
    <w:p>
      <w:pPr>
        <w:pStyle w:val="ListParagraph"/>
        <w:numPr>
          <w:ilvl w:val="2"/>
          <w:numId w:val="160"/>
        </w:numPr>
        <w:tabs>
          <w:tab w:pos="1045" w:val="left" w:leader="none"/>
          <w:tab w:pos="1058" w:val="left" w:leader="none"/>
        </w:tabs>
        <w:spacing w:line="240" w:lineRule="auto" w:before="229" w:after="0"/>
        <w:ind w:left="1058" w:right="336" w:hanging="432"/>
        <w:jc w:val="both"/>
        <w:rPr>
          <w:sz w:val="20"/>
        </w:rPr>
      </w:pPr>
      <w:r>
        <w:rPr>
          <w:sz w:val="20"/>
        </w:rPr>
        <w:t>Personas trabajadoras dedicadas a la fabricación de calzado e industria del cuero: calzado e industria del cuero, como los curtidores de pieles. Personas trabajadoras expuestas en la refinación del petróleo y derivados del carbón, como los de refinerías. Personas trabajadoras de la industria restaurantera, como las personas trabajadoras de bares, restaurantes, centros </w:t>
      </w:r>
      <w:r>
        <w:rPr>
          <w:spacing w:val="-2"/>
          <w:sz w:val="20"/>
        </w:rPr>
        <w:t>nocturnos.</w:t>
      </w:r>
    </w:p>
    <w:p>
      <w:pPr>
        <w:pStyle w:val="ListParagraph"/>
        <w:numPr>
          <w:ilvl w:val="2"/>
          <w:numId w:val="160"/>
        </w:numPr>
        <w:tabs>
          <w:tab w:pos="1045" w:val="left" w:leader="none"/>
          <w:tab w:pos="1058" w:val="left" w:leader="none"/>
        </w:tabs>
        <w:spacing w:line="240" w:lineRule="auto" w:before="228" w:after="0"/>
        <w:ind w:left="1058" w:right="341"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8" w:after="0"/>
        <w:ind w:left="956" w:right="0" w:hanging="330"/>
        <w:jc w:val="left"/>
      </w:pPr>
      <w:r>
        <w:rPr/>
        <w:t>Neoplasias</w:t>
      </w:r>
      <w:r>
        <w:rPr>
          <w:spacing w:val="-9"/>
        </w:rPr>
        <w:t> </w:t>
      </w:r>
      <w:r>
        <w:rPr/>
        <w:t>malignas</w:t>
      </w:r>
      <w:r>
        <w:rPr>
          <w:spacing w:val="-5"/>
        </w:rPr>
        <w:t> </w:t>
      </w:r>
      <w:r>
        <w:rPr/>
        <w:t>de</w:t>
      </w:r>
      <w:r>
        <w:rPr>
          <w:spacing w:val="-8"/>
        </w:rPr>
        <w:t> </w:t>
      </w:r>
      <w:r>
        <w:rPr>
          <w:spacing w:val="-2"/>
        </w:rPr>
        <w:t>próstata</w:t>
      </w:r>
    </w:p>
    <w:p>
      <w:pPr>
        <w:pStyle w:val="BodyText"/>
        <w:spacing w:before="3"/>
        <w:rPr>
          <w:rFonts w:ascii="Arial"/>
          <w:b/>
        </w:rPr>
      </w:pPr>
    </w:p>
    <w:p>
      <w:pPr>
        <w:pStyle w:val="BodyText"/>
        <w:spacing w:before="1"/>
        <w:ind w:left="626"/>
      </w:pPr>
      <w:r>
        <w:rPr/>
        <w:t>Código</w:t>
      </w:r>
      <w:r>
        <w:rPr>
          <w:spacing w:val="-10"/>
        </w:rPr>
        <w:t> </w:t>
      </w:r>
      <w:r>
        <w:rPr/>
        <w:t>CIE-11:</w:t>
      </w:r>
      <w:r>
        <w:rPr>
          <w:spacing w:val="-9"/>
        </w:rPr>
        <w:t> </w:t>
      </w:r>
      <w:r>
        <w:rPr>
          <w:spacing w:val="-4"/>
        </w:rPr>
        <w:t>2C82</w:t>
      </w:r>
    </w:p>
    <w:p>
      <w:pPr>
        <w:pStyle w:val="ListParagraph"/>
        <w:numPr>
          <w:ilvl w:val="2"/>
          <w:numId w:val="160"/>
        </w:numPr>
        <w:tabs>
          <w:tab w:pos="1045" w:val="left" w:leader="none"/>
          <w:tab w:pos="1058" w:val="left" w:leader="none"/>
        </w:tabs>
        <w:spacing w:line="240" w:lineRule="auto" w:before="227" w:after="0"/>
        <w:ind w:left="1058" w:right="344" w:hanging="432"/>
        <w:jc w:val="both"/>
        <w:rPr>
          <w:sz w:val="20"/>
        </w:rPr>
      </w:pPr>
      <w:r>
        <w:rPr>
          <w:sz w:val="20"/>
        </w:rPr>
        <w:t>Las personas trabajadoras con mayor riesgo para padecer cáncer de próstata se observaron en peluqueros o especialistas en tratamientos de belleza. Personas trabajadoras de actividades agrícolas, de la industria del caucho; expuestas al cadmio.</w:t>
      </w:r>
    </w:p>
    <w:p>
      <w:pPr>
        <w:pStyle w:val="ListParagraph"/>
        <w:numPr>
          <w:ilvl w:val="2"/>
          <w:numId w:val="160"/>
        </w:numPr>
        <w:tabs>
          <w:tab w:pos="1045" w:val="left" w:leader="none"/>
          <w:tab w:pos="1058" w:val="left" w:leader="none"/>
        </w:tabs>
        <w:spacing w:line="240" w:lineRule="auto" w:before="229" w:after="0"/>
        <w:ind w:left="1058" w:right="341"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3"/>
      </w:pPr>
    </w:p>
    <w:p>
      <w:pPr>
        <w:pStyle w:val="Heading3"/>
        <w:numPr>
          <w:ilvl w:val="1"/>
          <w:numId w:val="160"/>
        </w:numPr>
        <w:tabs>
          <w:tab w:pos="956" w:val="left" w:leader="none"/>
        </w:tabs>
        <w:spacing w:line="240" w:lineRule="auto" w:before="0" w:after="0"/>
        <w:ind w:left="956" w:right="0" w:hanging="330"/>
        <w:jc w:val="left"/>
      </w:pPr>
      <w:r>
        <w:rPr/>
        <w:t>Neoplasias</w:t>
      </w:r>
      <w:r>
        <w:rPr>
          <w:spacing w:val="-10"/>
        </w:rPr>
        <w:t> </w:t>
      </w:r>
      <w:r>
        <w:rPr/>
        <w:t>malignas</w:t>
      </w:r>
      <w:r>
        <w:rPr>
          <w:spacing w:val="-4"/>
        </w:rPr>
        <w:t> </w:t>
      </w:r>
      <w:r>
        <w:rPr/>
        <w:t>del</w:t>
      </w:r>
      <w:r>
        <w:rPr>
          <w:spacing w:val="-9"/>
        </w:rPr>
        <w:t> </w:t>
      </w:r>
      <w:r>
        <w:rPr>
          <w:spacing w:val="-2"/>
        </w:rPr>
        <w:t>testículo</w:t>
      </w:r>
    </w:p>
    <w:p>
      <w:pPr>
        <w:pStyle w:val="BodyText"/>
        <w:spacing w:before="3"/>
        <w:rPr>
          <w:rFonts w:ascii="Arial"/>
          <w:b/>
        </w:rPr>
      </w:pPr>
    </w:p>
    <w:p>
      <w:pPr>
        <w:pStyle w:val="BodyText"/>
        <w:ind w:left="626"/>
      </w:pPr>
      <w:r>
        <w:rPr/>
        <w:t>Código</w:t>
      </w:r>
      <w:r>
        <w:rPr>
          <w:spacing w:val="-10"/>
        </w:rPr>
        <w:t> </w:t>
      </w:r>
      <w:r>
        <w:rPr/>
        <w:t>CIE-11:</w:t>
      </w:r>
      <w:r>
        <w:rPr>
          <w:spacing w:val="-9"/>
        </w:rPr>
        <w:t> </w:t>
      </w:r>
      <w:r>
        <w:rPr>
          <w:spacing w:val="-4"/>
        </w:rPr>
        <w:t>2C80</w:t>
      </w:r>
    </w:p>
    <w:p>
      <w:pPr>
        <w:pStyle w:val="ListParagraph"/>
        <w:numPr>
          <w:ilvl w:val="2"/>
          <w:numId w:val="160"/>
        </w:numPr>
        <w:tabs>
          <w:tab w:pos="1045" w:val="left" w:leader="none"/>
          <w:tab w:pos="1058" w:val="left" w:leader="none"/>
        </w:tabs>
        <w:spacing w:line="240" w:lineRule="auto" w:before="230" w:after="0"/>
        <w:ind w:left="1058" w:right="337" w:hanging="432"/>
        <w:jc w:val="both"/>
        <w:rPr>
          <w:sz w:val="20"/>
        </w:rPr>
      </w:pPr>
      <w:r>
        <w:rPr>
          <w:sz w:val="20"/>
        </w:rPr>
        <w:t>Personas trabajadoras con exposición a pesticidas, en su elaboración, manejo y uso. Personas trabajadoras mineros, aquellas personas con exposición a solventes. Personas empleadas que son potencialmente expuestas a fuentes emisoras de radar (en el ejército, marineros y pescadores y policías que usaban dispositivos de radar).</w:t>
      </w:r>
    </w:p>
    <w:p>
      <w:pPr>
        <w:pStyle w:val="ListParagraph"/>
        <w:numPr>
          <w:ilvl w:val="2"/>
          <w:numId w:val="160"/>
        </w:numPr>
        <w:tabs>
          <w:tab w:pos="1045" w:val="left" w:leader="none"/>
          <w:tab w:pos="1058" w:val="left" w:leader="none"/>
        </w:tabs>
        <w:spacing w:line="240" w:lineRule="auto" w:before="229" w:after="0"/>
        <w:ind w:left="1058" w:right="343"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6" w:after="0"/>
        <w:ind w:left="956" w:right="0" w:hanging="330"/>
        <w:jc w:val="left"/>
      </w:pPr>
      <w:r>
        <w:rPr/>
        <w:t>Neoplasias</w:t>
      </w:r>
      <w:r>
        <w:rPr>
          <w:spacing w:val="-10"/>
        </w:rPr>
        <w:t> </w:t>
      </w:r>
      <w:r>
        <w:rPr/>
        <w:t>malignas</w:t>
      </w:r>
      <w:r>
        <w:rPr>
          <w:spacing w:val="-4"/>
        </w:rPr>
        <w:t> </w:t>
      </w:r>
      <w:r>
        <w:rPr/>
        <w:t>del</w:t>
      </w:r>
      <w:r>
        <w:rPr>
          <w:spacing w:val="-9"/>
        </w:rPr>
        <w:t> </w:t>
      </w:r>
      <w:r>
        <w:rPr>
          <w:spacing w:val="-2"/>
        </w:rPr>
        <w:t>escroto</w:t>
      </w:r>
    </w:p>
    <w:p>
      <w:pPr>
        <w:pStyle w:val="BodyText"/>
        <w:spacing w:before="3"/>
        <w:rPr>
          <w:rFonts w:ascii="Arial"/>
          <w:b/>
        </w:rPr>
      </w:pPr>
    </w:p>
    <w:p>
      <w:pPr>
        <w:pStyle w:val="BodyText"/>
        <w:spacing w:before="1"/>
        <w:ind w:left="626"/>
      </w:pPr>
      <w:r>
        <w:rPr/>
        <w:t>Código</w:t>
      </w:r>
      <w:r>
        <w:rPr>
          <w:spacing w:val="-10"/>
        </w:rPr>
        <w:t> </w:t>
      </w:r>
      <w:r>
        <w:rPr/>
        <w:t>CIE-11:</w:t>
      </w:r>
      <w:r>
        <w:rPr>
          <w:spacing w:val="-9"/>
        </w:rPr>
        <w:t> </w:t>
      </w:r>
      <w:r>
        <w:rPr>
          <w:spacing w:val="-4"/>
        </w:rPr>
        <w:t>2C83</w:t>
      </w:r>
    </w:p>
    <w:p>
      <w:pPr>
        <w:pStyle w:val="ListParagraph"/>
        <w:numPr>
          <w:ilvl w:val="2"/>
          <w:numId w:val="160"/>
        </w:numPr>
        <w:tabs>
          <w:tab w:pos="1045" w:val="left" w:leader="none"/>
          <w:tab w:pos="1058" w:val="left" w:leader="none"/>
        </w:tabs>
        <w:spacing w:line="240" w:lineRule="auto" w:before="229" w:after="0"/>
        <w:ind w:left="1058" w:right="337" w:hanging="432"/>
        <w:jc w:val="both"/>
        <w:rPr>
          <w:sz w:val="20"/>
        </w:rPr>
      </w:pPr>
      <w:r>
        <w:rPr>
          <w:sz w:val="20"/>
        </w:rPr>
        <w:t>Personas</w:t>
      </w:r>
      <w:r>
        <w:rPr>
          <w:spacing w:val="-1"/>
          <w:sz w:val="20"/>
        </w:rPr>
        <w:t> </w:t>
      </w:r>
      <w:r>
        <w:rPr>
          <w:sz w:val="20"/>
        </w:rPr>
        <w:t>trabajadoras</w:t>
      </w:r>
      <w:r>
        <w:rPr>
          <w:spacing w:val="-1"/>
          <w:sz w:val="20"/>
        </w:rPr>
        <w:t> </w:t>
      </w:r>
      <w:r>
        <w:rPr>
          <w:sz w:val="20"/>
        </w:rPr>
        <w:t>en</w:t>
      </w:r>
      <w:r>
        <w:rPr>
          <w:spacing w:val="-2"/>
          <w:sz w:val="20"/>
        </w:rPr>
        <w:t> </w:t>
      </w:r>
      <w:r>
        <w:rPr>
          <w:sz w:val="20"/>
        </w:rPr>
        <w:t>la</w:t>
      </w:r>
      <w:r>
        <w:rPr>
          <w:spacing w:val="-2"/>
          <w:sz w:val="20"/>
        </w:rPr>
        <w:t> </w:t>
      </w:r>
      <w:r>
        <w:rPr>
          <w:sz w:val="20"/>
        </w:rPr>
        <w:t>industria</w:t>
      </w:r>
      <w:r>
        <w:rPr>
          <w:spacing w:val="-2"/>
          <w:sz w:val="20"/>
        </w:rPr>
        <w:t> </w:t>
      </w:r>
      <w:r>
        <w:rPr>
          <w:sz w:val="20"/>
        </w:rPr>
        <w:t>de</w:t>
      </w:r>
      <w:r>
        <w:rPr>
          <w:spacing w:val="-2"/>
          <w:sz w:val="20"/>
        </w:rPr>
        <w:t> </w:t>
      </w:r>
      <w:r>
        <w:rPr>
          <w:sz w:val="20"/>
        </w:rPr>
        <w:t>la</w:t>
      </w:r>
      <w:r>
        <w:rPr>
          <w:spacing w:val="-2"/>
          <w:sz w:val="20"/>
        </w:rPr>
        <w:t> </w:t>
      </w:r>
      <w:r>
        <w:rPr>
          <w:sz w:val="20"/>
        </w:rPr>
        <w:t>construcción</w:t>
      </w:r>
      <w:r>
        <w:rPr>
          <w:spacing w:val="-2"/>
          <w:sz w:val="20"/>
        </w:rPr>
        <w:t> </w:t>
      </w:r>
      <w:r>
        <w:rPr>
          <w:sz w:val="20"/>
        </w:rPr>
        <w:t>de</w:t>
      </w:r>
      <w:r>
        <w:rPr>
          <w:spacing w:val="-2"/>
          <w:sz w:val="20"/>
        </w:rPr>
        <w:t> </w:t>
      </w:r>
      <w:r>
        <w:rPr>
          <w:sz w:val="20"/>
        </w:rPr>
        <w:t>edificaciones y</w:t>
      </w:r>
      <w:r>
        <w:rPr>
          <w:spacing w:val="-2"/>
          <w:sz w:val="20"/>
        </w:rPr>
        <w:t> </w:t>
      </w:r>
      <w:r>
        <w:rPr>
          <w:sz w:val="20"/>
        </w:rPr>
        <w:t>de</w:t>
      </w:r>
      <w:r>
        <w:rPr>
          <w:spacing w:val="-2"/>
          <w:sz w:val="20"/>
        </w:rPr>
        <w:t> </w:t>
      </w:r>
      <w:r>
        <w:rPr>
          <w:sz w:val="20"/>
        </w:rPr>
        <w:t>obras</w:t>
      </w:r>
      <w:r>
        <w:rPr>
          <w:spacing w:val="-1"/>
          <w:sz w:val="20"/>
        </w:rPr>
        <w:t> </w:t>
      </w:r>
      <w:r>
        <w:rPr>
          <w:sz w:val="20"/>
        </w:rPr>
        <w:t>de</w:t>
      </w:r>
      <w:r>
        <w:rPr>
          <w:spacing w:val="-2"/>
          <w:sz w:val="20"/>
        </w:rPr>
        <w:t> </w:t>
      </w:r>
      <w:r>
        <w:rPr>
          <w:sz w:val="20"/>
        </w:rPr>
        <w:t>ingeniería civil: peones, de construcción de caminos en contacto con asfalto. Deshollinadores, personas trabajadoras que están expuestas al hollín, caldereros y limpiadores de chimeneas y que utilizan diésel. Industria química e industria textil: personas trabajadoras en contacto y producción de disolventes orgánicos.</w:t>
      </w:r>
    </w:p>
    <w:p>
      <w:pPr>
        <w:pStyle w:val="ListParagraph"/>
        <w:numPr>
          <w:ilvl w:val="2"/>
          <w:numId w:val="160"/>
        </w:numPr>
        <w:tabs>
          <w:tab w:pos="1045" w:val="left" w:leader="none"/>
          <w:tab w:pos="1058" w:val="left" w:leader="none"/>
        </w:tabs>
        <w:spacing w:line="240" w:lineRule="auto" w:before="227" w:after="0"/>
        <w:ind w:left="1058" w:right="33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6" w:after="0"/>
        <w:ind w:left="956" w:right="0" w:hanging="330"/>
        <w:jc w:val="left"/>
      </w:pPr>
      <w:r>
        <w:rPr/>
        <w:t>Carcinomas</w:t>
      </w:r>
      <w:r>
        <w:rPr>
          <w:spacing w:val="-9"/>
        </w:rPr>
        <w:t> </w:t>
      </w:r>
      <w:r>
        <w:rPr/>
        <w:t>del</w:t>
      </w:r>
      <w:r>
        <w:rPr>
          <w:spacing w:val="-7"/>
        </w:rPr>
        <w:t> </w:t>
      </w:r>
      <w:r>
        <w:rPr>
          <w:spacing w:val="-2"/>
        </w:rPr>
        <w:t>ovario</w:t>
      </w:r>
    </w:p>
    <w:p>
      <w:pPr>
        <w:pStyle w:val="BodyText"/>
        <w:spacing w:before="4"/>
        <w:rPr>
          <w:rFonts w:ascii="Arial"/>
          <w:b/>
        </w:rPr>
      </w:pPr>
    </w:p>
    <w:p>
      <w:pPr>
        <w:pStyle w:val="BodyText"/>
        <w:ind w:left="626"/>
      </w:pPr>
      <w:r>
        <w:rPr/>
        <w:t>Código</w:t>
      </w:r>
      <w:r>
        <w:rPr>
          <w:spacing w:val="-10"/>
        </w:rPr>
        <w:t> </w:t>
      </w:r>
      <w:r>
        <w:rPr/>
        <w:t>CIE-11:</w:t>
      </w:r>
      <w:r>
        <w:rPr>
          <w:spacing w:val="-9"/>
        </w:rPr>
        <w:t> </w:t>
      </w:r>
      <w:r>
        <w:rPr>
          <w:spacing w:val="-2"/>
        </w:rPr>
        <w:t>2C73.0</w:t>
      </w:r>
    </w:p>
    <w:p>
      <w:pPr>
        <w:pStyle w:val="ListParagraph"/>
        <w:numPr>
          <w:ilvl w:val="2"/>
          <w:numId w:val="160"/>
        </w:numPr>
        <w:tabs>
          <w:tab w:pos="1045" w:val="left" w:leader="none"/>
          <w:tab w:pos="1058" w:val="left" w:leader="none"/>
        </w:tabs>
        <w:spacing w:line="240" w:lineRule="auto" w:before="229" w:after="0"/>
        <w:ind w:left="1058" w:right="334" w:hanging="432"/>
        <w:jc w:val="both"/>
        <w:rPr>
          <w:sz w:val="20"/>
        </w:rPr>
      </w:pPr>
      <w:r>
        <w:rPr>
          <w:sz w:val="20"/>
        </w:rPr>
        <w:t>Personas trabajadoras de bares, restaurantes y centros nocturnos. Personas trabajadoras en contacto con sustancias químicas y pesticidas. Personas fumigadoras aéreas, ingenieras agrónomas, trabajadoras en contacto con insecticidas, como el personal de fumigación, trabajadoras del campo, fabricantes de pesticidas.</w:t>
      </w:r>
    </w:p>
    <w:p>
      <w:pPr>
        <w:pStyle w:val="ListParagraph"/>
        <w:numPr>
          <w:ilvl w:val="2"/>
          <w:numId w:val="160"/>
        </w:numPr>
        <w:tabs>
          <w:tab w:pos="1045" w:val="left" w:leader="none"/>
          <w:tab w:pos="1058" w:val="left" w:leader="none"/>
        </w:tabs>
        <w:spacing w:line="240" w:lineRule="auto" w:before="229" w:after="0"/>
        <w:ind w:left="1058" w:right="343"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7" w:after="0"/>
        <w:ind w:left="956" w:right="0" w:hanging="330"/>
        <w:jc w:val="left"/>
      </w:pPr>
      <w:r>
        <w:rPr>
          <w:spacing w:val="-2"/>
        </w:rPr>
        <w:t>Osteosarcoma</w:t>
      </w:r>
      <w:r>
        <w:rPr>
          <w:spacing w:val="9"/>
        </w:rPr>
        <w:t> </w:t>
      </w:r>
      <w:r>
        <w:rPr>
          <w:spacing w:val="-2"/>
        </w:rPr>
        <w:t>primario</w:t>
      </w:r>
    </w:p>
    <w:p>
      <w:pPr>
        <w:pStyle w:val="BodyText"/>
        <w:spacing w:before="3"/>
        <w:rPr>
          <w:rFonts w:ascii="Arial"/>
          <w:b/>
        </w:rPr>
      </w:pPr>
    </w:p>
    <w:p>
      <w:pPr>
        <w:pStyle w:val="BodyText"/>
        <w:ind w:left="626"/>
      </w:pPr>
      <w:r>
        <w:rPr/>
        <w:t>Código</w:t>
      </w:r>
      <w:r>
        <w:rPr>
          <w:spacing w:val="-10"/>
        </w:rPr>
        <w:t> </w:t>
      </w:r>
      <w:r>
        <w:rPr/>
        <w:t>CIE-11:</w:t>
      </w:r>
      <w:r>
        <w:rPr>
          <w:spacing w:val="-9"/>
        </w:rPr>
        <w:t> </w:t>
      </w:r>
      <w:r>
        <w:rPr>
          <w:spacing w:val="-4"/>
        </w:rPr>
        <w:t>2B51</w:t>
      </w:r>
    </w:p>
    <w:p>
      <w:pPr>
        <w:pStyle w:val="ListParagraph"/>
        <w:numPr>
          <w:ilvl w:val="2"/>
          <w:numId w:val="160"/>
        </w:numPr>
        <w:tabs>
          <w:tab w:pos="1045" w:val="left" w:leader="none"/>
          <w:tab w:pos="1058" w:val="left" w:leader="none"/>
        </w:tabs>
        <w:spacing w:line="240" w:lineRule="auto" w:before="229" w:after="0"/>
        <w:ind w:left="1058" w:right="340" w:hanging="432"/>
        <w:jc w:val="both"/>
        <w:rPr>
          <w:sz w:val="20"/>
        </w:rPr>
      </w:pPr>
      <w:r>
        <w:rPr>
          <w:sz w:val="20"/>
        </w:rPr>
        <w:t>Personas trabajadoras de los servicios médicos, asistencia social, veterinarios, tales como: radiólogos, técnicos en radiología, analistas de estructuras, odontólogos, de la industria nuclear</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058"/>
      </w:pPr>
      <w:r>
        <w:rPr/>
        <w:t>que</w:t>
      </w:r>
      <w:r>
        <w:rPr>
          <w:spacing w:val="40"/>
        </w:rPr>
        <w:t> </w:t>
      </w:r>
      <w:r>
        <w:rPr/>
        <w:t>estén</w:t>
      </w:r>
      <w:r>
        <w:rPr>
          <w:spacing w:val="40"/>
        </w:rPr>
        <w:t> </w:t>
      </w:r>
      <w:r>
        <w:rPr/>
        <w:t>expuestas</w:t>
      </w:r>
      <w:r>
        <w:rPr>
          <w:spacing w:val="39"/>
        </w:rPr>
        <w:t> </w:t>
      </w:r>
      <w:r>
        <w:rPr/>
        <w:t>a</w:t>
      </w:r>
      <w:r>
        <w:rPr>
          <w:spacing w:val="40"/>
        </w:rPr>
        <w:t> </w:t>
      </w:r>
      <w:r>
        <w:rPr/>
        <w:t>radiaciones</w:t>
      </w:r>
      <w:r>
        <w:rPr>
          <w:spacing w:val="40"/>
        </w:rPr>
        <w:t> </w:t>
      </w:r>
      <w:r>
        <w:rPr/>
        <w:t>ionizantes,</w:t>
      </w:r>
      <w:r>
        <w:rPr>
          <w:spacing w:val="40"/>
        </w:rPr>
        <w:t> </w:t>
      </w:r>
      <w:r>
        <w:rPr/>
        <w:t>incluyendo</w:t>
      </w:r>
      <w:r>
        <w:rPr>
          <w:spacing w:val="38"/>
        </w:rPr>
        <w:t> </w:t>
      </w:r>
      <w:r>
        <w:rPr/>
        <w:t>rayos</w:t>
      </w:r>
      <w:r>
        <w:rPr>
          <w:spacing w:val="40"/>
        </w:rPr>
        <w:t> </w:t>
      </w:r>
      <w:r>
        <w:rPr/>
        <w:t>X,</w:t>
      </w:r>
      <w:r>
        <w:rPr>
          <w:spacing w:val="38"/>
        </w:rPr>
        <w:t> </w:t>
      </w:r>
      <w:r>
        <w:rPr/>
        <w:t>gamma,</w:t>
      </w:r>
      <w:r>
        <w:rPr>
          <w:spacing w:val="38"/>
        </w:rPr>
        <w:t> </w:t>
      </w:r>
      <w:r>
        <w:rPr/>
        <w:t>neutrones</w:t>
      </w:r>
      <w:r>
        <w:rPr>
          <w:spacing w:val="40"/>
        </w:rPr>
        <w:t> </w:t>
      </w:r>
      <w:r>
        <w:rPr/>
        <w:t>y</w:t>
      </w:r>
      <w:r>
        <w:rPr>
          <w:spacing w:val="37"/>
        </w:rPr>
        <w:t> </w:t>
      </w:r>
      <w:r>
        <w:rPr/>
        <w:t>gas </w:t>
      </w:r>
      <w:r>
        <w:rPr>
          <w:spacing w:val="-2"/>
        </w:rPr>
        <w:t>radón.</w:t>
      </w:r>
    </w:p>
    <w:p>
      <w:pPr>
        <w:pStyle w:val="BodyText"/>
      </w:pPr>
    </w:p>
    <w:p>
      <w:pPr>
        <w:pStyle w:val="ListParagraph"/>
        <w:numPr>
          <w:ilvl w:val="2"/>
          <w:numId w:val="160"/>
        </w:numPr>
        <w:tabs>
          <w:tab w:pos="1045" w:val="left" w:leader="none"/>
          <w:tab w:pos="1058" w:val="left" w:leader="none"/>
        </w:tabs>
        <w:spacing w:line="240" w:lineRule="auto" w:before="0" w:after="0"/>
        <w:ind w:left="1058" w:right="33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6" w:after="0"/>
        <w:ind w:left="956" w:right="0" w:hanging="330"/>
        <w:jc w:val="left"/>
      </w:pPr>
      <w:r>
        <w:rPr/>
        <w:t>Leucemia</w:t>
      </w:r>
      <w:r>
        <w:rPr>
          <w:spacing w:val="-6"/>
        </w:rPr>
        <w:t> </w:t>
      </w:r>
      <w:r>
        <w:rPr/>
        <w:t>aguda,</w:t>
      </w:r>
      <w:r>
        <w:rPr>
          <w:spacing w:val="-8"/>
        </w:rPr>
        <w:t> </w:t>
      </w:r>
      <w:r>
        <w:rPr/>
        <w:t>no</w:t>
      </w:r>
      <w:r>
        <w:rPr>
          <w:spacing w:val="-5"/>
        </w:rPr>
        <w:t> </w:t>
      </w:r>
      <w:r>
        <w:rPr/>
        <w:t>clasificada</w:t>
      </w:r>
      <w:r>
        <w:rPr>
          <w:spacing w:val="-7"/>
        </w:rPr>
        <w:t> </w:t>
      </w:r>
      <w:r>
        <w:rPr/>
        <w:t>en</w:t>
      </w:r>
      <w:r>
        <w:rPr>
          <w:spacing w:val="-7"/>
        </w:rPr>
        <w:t> </w:t>
      </w:r>
      <w:r>
        <w:rPr/>
        <w:t>otra</w:t>
      </w:r>
      <w:r>
        <w:rPr>
          <w:spacing w:val="-8"/>
        </w:rPr>
        <w:t> </w:t>
      </w:r>
      <w:r>
        <w:rPr>
          <w:spacing w:val="-4"/>
        </w:rPr>
        <w:t>parte</w:t>
      </w:r>
    </w:p>
    <w:p>
      <w:pPr>
        <w:pStyle w:val="BodyText"/>
        <w:spacing w:before="3"/>
        <w:rPr>
          <w:rFonts w:ascii="Arial"/>
          <w:b/>
        </w:rPr>
      </w:pPr>
    </w:p>
    <w:p>
      <w:pPr>
        <w:pStyle w:val="BodyText"/>
        <w:ind w:left="626"/>
      </w:pPr>
      <w:r>
        <w:rPr/>
        <w:t>Código</w:t>
      </w:r>
      <w:r>
        <w:rPr>
          <w:spacing w:val="-10"/>
        </w:rPr>
        <w:t> </w:t>
      </w:r>
      <w:r>
        <w:rPr/>
        <w:t>CIE-11:</w:t>
      </w:r>
      <w:r>
        <w:rPr>
          <w:spacing w:val="-9"/>
        </w:rPr>
        <w:t> </w:t>
      </w:r>
      <w:r>
        <w:rPr>
          <w:spacing w:val="-2"/>
        </w:rPr>
        <w:t>2B33.0</w:t>
      </w:r>
    </w:p>
    <w:p>
      <w:pPr>
        <w:pStyle w:val="BodyText"/>
      </w:pPr>
    </w:p>
    <w:p>
      <w:pPr>
        <w:pStyle w:val="ListParagraph"/>
        <w:numPr>
          <w:ilvl w:val="2"/>
          <w:numId w:val="160"/>
        </w:numPr>
        <w:tabs>
          <w:tab w:pos="1045" w:val="left" w:leader="none"/>
          <w:tab w:pos="1058" w:val="left" w:leader="none"/>
        </w:tabs>
        <w:spacing w:line="240" w:lineRule="auto" w:before="0" w:after="0"/>
        <w:ind w:left="1058" w:right="336" w:hanging="432"/>
        <w:jc w:val="both"/>
        <w:rPr>
          <w:sz w:val="20"/>
        </w:rPr>
      </w:pPr>
      <w:r>
        <w:rPr>
          <w:sz w:val="20"/>
        </w:rPr>
        <w:t>Personas trabajadoras en la industria eléctrica como los de las plantas generadoras de energía eléctrica; de la industria editorial y de impresión, como son los impresores; agrícolas o agricultores; de la refinación del petróleo y derivados del carbón, como son las personas empleadas de gasolineras, huleros, mozos de limpieza, productores de plásticos, de caucho, entre otros. Personas trabajadoras del transporte terrestre como los conductores de autobuses, operarios, mecánicos de motores diésel; de la construcción de edificaciones y de obras de ingeniería civil, como los nucleares, técnicos y analistas de estructuras.</w:t>
      </w:r>
    </w:p>
    <w:p>
      <w:pPr>
        <w:pStyle w:val="ListParagraph"/>
        <w:numPr>
          <w:ilvl w:val="2"/>
          <w:numId w:val="160"/>
        </w:numPr>
        <w:tabs>
          <w:tab w:pos="1045" w:val="left" w:leader="none"/>
          <w:tab w:pos="1058" w:val="left" w:leader="none"/>
        </w:tabs>
        <w:spacing w:line="240" w:lineRule="auto" w:before="228" w:after="0"/>
        <w:ind w:left="1058" w:right="337"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9" w:after="0"/>
        <w:ind w:left="956" w:right="0" w:hanging="330"/>
        <w:jc w:val="left"/>
      </w:pPr>
      <w:r>
        <w:rPr/>
        <w:t>Linfoma</w:t>
      </w:r>
      <w:r>
        <w:rPr>
          <w:spacing w:val="-6"/>
        </w:rPr>
        <w:t> </w:t>
      </w:r>
      <w:r>
        <w:rPr/>
        <w:t>(hodgkin</w:t>
      </w:r>
      <w:r>
        <w:rPr>
          <w:spacing w:val="-3"/>
        </w:rPr>
        <w:t> </w:t>
      </w:r>
      <w:r>
        <w:rPr/>
        <w:t>y</w:t>
      </w:r>
      <w:r>
        <w:rPr>
          <w:spacing w:val="-6"/>
        </w:rPr>
        <w:t> </w:t>
      </w:r>
      <w:r>
        <w:rPr/>
        <w:t>no</w:t>
      </w:r>
      <w:r>
        <w:rPr>
          <w:spacing w:val="-4"/>
        </w:rPr>
        <w:t> </w:t>
      </w:r>
      <w:r>
        <w:rPr>
          <w:spacing w:val="-2"/>
        </w:rPr>
        <w:t>hodgkin)</w:t>
      </w:r>
    </w:p>
    <w:p>
      <w:pPr>
        <w:pStyle w:val="BodyText"/>
        <w:spacing w:before="1"/>
        <w:rPr>
          <w:rFonts w:ascii="Arial"/>
          <w:b/>
        </w:rPr>
      </w:pPr>
    </w:p>
    <w:p>
      <w:pPr>
        <w:pStyle w:val="BodyText"/>
        <w:ind w:left="626"/>
      </w:pPr>
      <w:r>
        <w:rPr/>
        <w:t>Código</w:t>
      </w:r>
      <w:r>
        <w:rPr>
          <w:spacing w:val="-8"/>
        </w:rPr>
        <w:t> </w:t>
      </w:r>
      <w:r>
        <w:rPr/>
        <w:t>CIE-11:</w:t>
      </w:r>
      <w:r>
        <w:rPr>
          <w:spacing w:val="-7"/>
        </w:rPr>
        <w:t> </w:t>
      </w:r>
      <w:r>
        <w:rPr/>
        <w:t>2B30,</w:t>
      </w:r>
      <w:r>
        <w:rPr>
          <w:spacing w:val="-7"/>
        </w:rPr>
        <w:t> </w:t>
      </w:r>
      <w:r>
        <w:rPr/>
        <w:t>2B33.5,</w:t>
      </w:r>
      <w:r>
        <w:rPr>
          <w:spacing w:val="-5"/>
        </w:rPr>
        <w:t> </w:t>
      </w:r>
      <w:r>
        <w:rPr/>
        <w:t>2A80,</w:t>
      </w:r>
      <w:r>
        <w:rPr>
          <w:spacing w:val="-7"/>
        </w:rPr>
        <w:t> </w:t>
      </w:r>
      <w:r>
        <w:rPr/>
        <w:t>2A81,</w:t>
      </w:r>
      <w:r>
        <w:rPr>
          <w:spacing w:val="-7"/>
        </w:rPr>
        <w:t> </w:t>
      </w:r>
      <w:r>
        <w:rPr/>
        <w:t>2A86,</w:t>
      </w:r>
      <w:r>
        <w:rPr>
          <w:spacing w:val="-6"/>
        </w:rPr>
        <w:t> </w:t>
      </w:r>
      <w:r>
        <w:rPr>
          <w:spacing w:val="-4"/>
        </w:rPr>
        <w:t>2A90</w:t>
      </w:r>
    </w:p>
    <w:p>
      <w:pPr>
        <w:pStyle w:val="ListParagraph"/>
        <w:numPr>
          <w:ilvl w:val="2"/>
          <w:numId w:val="160"/>
        </w:numPr>
        <w:tabs>
          <w:tab w:pos="1045" w:val="left" w:leader="none"/>
          <w:tab w:pos="1058" w:val="left" w:leader="none"/>
        </w:tabs>
        <w:spacing w:line="240" w:lineRule="auto" w:before="229" w:after="0"/>
        <w:ind w:left="1058" w:right="335" w:hanging="432"/>
        <w:jc w:val="both"/>
        <w:rPr>
          <w:sz w:val="20"/>
        </w:rPr>
      </w:pPr>
      <w:r>
        <w:rPr>
          <w:sz w:val="20"/>
        </w:rPr>
        <w:t>Personas trabajadoras del campo, jornaleros, agricultores, cazadores; de la industria forestal, como leñadores; de la industria manufacturera, trasporte de manufactura; en la producción y distribución de electricidad, gas y agua; de la industria de la construcción, como albañiles, peones, jefes de obra; en actividades financieras; sociales; de la salud, como médicos, personal de enfermería, paramédicos, camilleros. Personas trabajadoras de hoteles y restaurantes; de la industria</w:t>
      </w:r>
      <w:r>
        <w:rPr>
          <w:spacing w:val="-2"/>
          <w:sz w:val="20"/>
        </w:rPr>
        <w:t> </w:t>
      </w:r>
      <w:r>
        <w:rPr>
          <w:sz w:val="20"/>
        </w:rPr>
        <w:t>automotriz; de la industria química;</w:t>
      </w:r>
      <w:r>
        <w:rPr>
          <w:spacing w:val="-2"/>
          <w:sz w:val="20"/>
        </w:rPr>
        <w:t> </w:t>
      </w:r>
      <w:r>
        <w:rPr>
          <w:sz w:val="20"/>
        </w:rPr>
        <w:t>de la</w:t>
      </w:r>
      <w:r>
        <w:rPr>
          <w:spacing w:val="-2"/>
          <w:sz w:val="20"/>
        </w:rPr>
        <w:t> </w:t>
      </w:r>
      <w:r>
        <w:rPr>
          <w:sz w:val="20"/>
        </w:rPr>
        <w:t>refinería</w:t>
      </w:r>
      <w:r>
        <w:rPr>
          <w:spacing w:val="-2"/>
          <w:sz w:val="20"/>
        </w:rPr>
        <w:t> </w:t>
      </w:r>
      <w:r>
        <w:rPr>
          <w:sz w:val="20"/>
        </w:rPr>
        <w:t>de</w:t>
      </w:r>
      <w:r>
        <w:rPr>
          <w:spacing w:val="-2"/>
          <w:sz w:val="20"/>
        </w:rPr>
        <w:t> </w:t>
      </w:r>
      <w:r>
        <w:rPr>
          <w:sz w:val="20"/>
        </w:rPr>
        <w:t>petróleo; de la industria</w:t>
      </w:r>
      <w:r>
        <w:rPr>
          <w:spacing w:val="-2"/>
          <w:sz w:val="20"/>
        </w:rPr>
        <w:t> </w:t>
      </w:r>
      <w:r>
        <w:rPr>
          <w:sz w:val="20"/>
        </w:rPr>
        <w:t>nuclear; de la industria de la curtiduría de la piel y calzado; de la industria metalúrgica, imprenta, plástico, textil, científica, bienes raíces.</w:t>
      </w:r>
    </w:p>
    <w:p>
      <w:pPr>
        <w:pStyle w:val="ListParagraph"/>
        <w:numPr>
          <w:ilvl w:val="2"/>
          <w:numId w:val="160"/>
        </w:numPr>
        <w:tabs>
          <w:tab w:pos="1045" w:val="left" w:leader="none"/>
          <w:tab w:pos="1058" w:val="left" w:leader="none"/>
        </w:tabs>
        <w:spacing w:line="240" w:lineRule="auto" w:before="229" w:after="0"/>
        <w:ind w:left="1058" w:right="336"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7" w:after="0"/>
        <w:ind w:left="956" w:right="0" w:hanging="330"/>
        <w:jc w:val="left"/>
      </w:pPr>
      <w:r>
        <w:rPr/>
        <w:t>Mieloma</w:t>
      </w:r>
      <w:r>
        <w:rPr>
          <w:spacing w:val="-10"/>
        </w:rPr>
        <w:t> </w:t>
      </w:r>
      <w:r>
        <w:rPr>
          <w:spacing w:val="-2"/>
        </w:rPr>
        <w:t>múltiple</w:t>
      </w:r>
    </w:p>
    <w:p>
      <w:pPr>
        <w:pStyle w:val="BodyText"/>
        <w:spacing w:before="3"/>
        <w:rPr>
          <w:rFonts w:ascii="Arial"/>
          <w:b/>
        </w:rPr>
      </w:pPr>
    </w:p>
    <w:p>
      <w:pPr>
        <w:pStyle w:val="BodyText"/>
        <w:ind w:left="626"/>
      </w:pPr>
      <w:r>
        <w:rPr/>
        <w:t>Código</w:t>
      </w:r>
      <w:r>
        <w:rPr>
          <w:spacing w:val="-8"/>
        </w:rPr>
        <w:t> </w:t>
      </w:r>
      <w:r>
        <w:rPr/>
        <w:t>CIE-11:</w:t>
      </w:r>
      <w:r>
        <w:rPr>
          <w:spacing w:val="-7"/>
        </w:rPr>
        <w:t> </w:t>
      </w:r>
      <w:r>
        <w:rPr/>
        <w:t>2A82,</w:t>
      </w:r>
      <w:r>
        <w:rPr>
          <w:spacing w:val="-7"/>
        </w:rPr>
        <w:t> </w:t>
      </w:r>
      <w:r>
        <w:rPr/>
        <w:t>2A83,</w:t>
      </w:r>
      <w:r>
        <w:rPr>
          <w:spacing w:val="-7"/>
        </w:rPr>
        <w:t> </w:t>
      </w:r>
      <w:r>
        <w:rPr>
          <w:spacing w:val="-4"/>
        </w:rPr>
        <w:t>2A84</w:t>
      </w:r>
    </w:p>
    <w:p>
      <w:pPr>
        <w:pStyle w:val="BodyText"/>
        <w:spacing w:after="0"/>
        <w:sectPr>
          <w:pgSz w:w="12240" w:h="15840"/>
          <w:pgMar w:header="724" w:footer="712" w:top="1880" w:bottom="900" w:left="1080" w:right="1080"/>
        </w:sectPr>
      </w:pPr>
    </w:p>
    <w:p>
      <w:pPr>
        <w:pStyle w:val="BodyText"/>
        <w:spacing w:before="66"/>
      </w:pPr>
    </w:p>
    <w:p>
      <w:pPr>
        <w:pStyle w:val="ListParagraph"/>
        <w:numPr>
          <w:ilvl w:val="2"/>
          <w:numId w:val="160"/>
        </w:numPr>
        <w:tabs>
          <w:tab w:pos="1045" w:val="left" w:leader="none"/>
          <w:tab w:pos="1058" w:val="left" w:leader="none"/>
        </w:tabs>
        <w:spacing w:line="240" w:lineRule="auto" w:before="0" w:after="0"/>
        <w:ind w:left="1058" w:right="338" w:hanging="432"/>
        <w:jc w:val="both"/>
        <w:rPr>
          <w:sz w:val="20"/>
        </w:rPr>
      </w:pPr>
      <w:r>
        <w:rPr>
          <w:sz w:val="20"/>
        </w:rPr>
        <w:t>Personas trabajadoras del campo, jornaleros, agricultores, ganaderos; de la industria aeroespacial, personal de los servicios médicos, como los médicos, personal de enfermería, paramédicos, entre otros.</w:t>
      </w:r>
    </w:p>
    <w:p>
      <w:pPr>
        <w:pStyle w:val="ListParagraph"/>
        <w:numPr>
          <w:ilvl w:val="2"/>
          <w:numId w:val="160"/>
        </w:numPr>
        <w:tabs>
          <w:tab w:pos="1045" w:val="left" w:leader="none"/>
          <w:tab w:pos="1058" w:val="left" w:leader="none"/>
        </w:tabs>
        <w:spacing w:line="240" w:lineRule="auto" w:before="229" w:after="0"/>
        <w:ind w:left="1058" w:right="34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8" w:val="left" w:leader="none"/>
        </w:tabs>
        <w:spacing w:line="240" w:lineRule="auto" w:before="226" w:after="0"/>
        <w:ind w:left="958" w:right="0" w:hanging="332"/>
        <w:jc w:val="left"/>
      </w:pPr>
      <w:r>
        <w:rPr/>
        <w:t>Síndrome</w:t>
      </w:r>
      <w:r>
        <w:rPr>
          <w:spacing w:val="-10"/>
        </w:rPr>
        <w:t> </w:t>
      </w:r>
      <w:r>
        <w:rPr/>
        <w:t>mielodisplásico,</w:t>
      </w:r>
      <w:r>
        <w:rPr>
          <w:spacing w:val="-11"/>
        </w:rPr>
        <w:t> </w:t>
      </w:r>
      <w:r>
        <w:rPr/>
        <w:t>no</w:t>
      </w:r>
      <w:r>
        <w:rPr>
          <w:spacing w:val="-11"/>
        </w:rPr>
        <w:t> </w:t>
      </w:r>
      <w:r>
        <w:rPr>
          <w:spacing w:val="-2"/>
        </w:rPr>
        <w:t>clasificable</w:t>
      </w:r>
    </w:p>
    <w:p>
      <w:pPr>
        <w:pStyle w:val="BodyText"/>
        <w:spacing w:before="4"/>
        <w:rPr>
          <w:rFonts w:ascii="Arial"/>
          <w:b/>
        </w:rPr>
      </w:pPr>
    </w:p>
    <w:p>
      <w:pPr>
        <w:pStyle w:val="BodyText"/>
        <w:ind w:left="626"/>
      </w:pPr>
      <w:r>
        <w:rPr/>
        <w:t>Código</w:t>
      </w:r>
      <w:r>
        <w:rPr>
          <w:spacing w:val="-10"/>
        </w:rPr>
        <w:t> </w:t>
      </w:r>
      <w:r>
        <w:rPr/>
        <w:t>CIE-11:</w:t>
      </w:r>
      <w:r>
        <w:rPr>
          <w:spacing w:val="-9"/>
        </w:rPr>
        <w:t> </w:t>
      </w:r>
      <w:r>
        <w:rPr>
          <w:spacing w:val="-4"/>
        </w:rPr>
        <w:t>2A37</w:t>
      </w:r>
    </w:p>
    <w:p>
      <w:pPr>
        <w:pStyle w:val="ListParagraph"/>
        <w:numPr>
          <w:ilvl w:val="2"/>
          <w:numId w:val="160"/>
        </w:numPr>
        <w:tabs>
          <w:tab w:pos="1045" w:val="left" w:leader="none"/>
          <w:tab w:pos="1058" w:val="left" w:leader="none"/>
        </w:tabs>
        <w:spacing w:line="240" w:lineRule="auto" w:before="227" w:after="0"/>
        <w:ind w:left="1058" w:right="339" w:hanging="432"/>
        <w:jc w:val="both"/>
        <w:rPr>
          <w:sz w:val="20"/>
        </w:rPr>
      </w:pPr>
      <w:r>
        <w:rPr>
          <w:sz w:val="20"/>
        </w:rPr>
        <w:t>Personas trabajadoras en la industria eléctrica como los de las plantas generadoras de energía eléctrica; de la industria editorial y de impresión, como son los impresores, tales como: alzador, batidor, cajista, impresor; agrícolas, jornaleros, agricultores, ganadero, controlador de plagas, operador de maquinaria agrícola; de la refinación del petróleo y derivados del carbón, como son las</w:t>
      </w:r>
      <w:r>
        <w:rPr>
          <w:spacing w:val="-4"/>
          <w:sz w:val="20"/>
        </w:rPr>
        <w:t> </w:t>
      </w:r>
      <w:r>
        <w:rPr>
          <w:sz w:val="20"/>
        </w:rPr>
        <w:t>personas</w:t>
      </w:r>
      <w:r>
        <w:rPr>
          <w:spacing w:val="-2"/>
          <w:sz w:val="20"/>
        </w:rPr>
        <w:t> </w:t>
      </w:r>
      <w:r>
        <w:rPr>
          <w:sz w:val="20"/>
        </w:rPr>
        <w:t>empleadas</w:t>
      </w:r>
      <w:r>
        <w:rPr>
          <w:spacing w:val="-4"/>
          <w:sz w:val="20"/>
        </w:rPr>
        <w:t> </w:t>
      </w:r>
      <w:r>
        <w:rPr>
          <w:sz w:val="20"/>
        </w:rPr>
        <w:t>de</w:t>
      </w:r>
      <w:r>
        <w:rPr>
          <w:spacing w:val="-3"/>
          <w:sz w:val="20"/>
        </w:rPr>
        <w:t> </w:t>
      </w:r>
      <w:r>
        <w:rPr>
          <w:sz w:val="20"/>
        </w:rPr>
        <w:t>gasolineras, huleros,</w:t>
      </w:r>
      <w:r>
        <w:rPr>
          <w:spacing w:val="-3"/>
          <w:sz w:val="20"/>
        </w:rPr>
        <w:t> </w:t>
      </w:r>
      <w:r>
        <w:rPr>
          <w:sz w:val="20"/>
        </w:rPr>
        <w:t>mozos</w:t>
      </w:r>
      <w:r>
        <w:rPr>
          <w:spacing w:val="-4"/>
          <w:sz w:val="20"/>
        </w:rPr>
        <w:t> </w:t>
      </w:r>
      <w:r>
        <w:rPr>
          <w:sz w:val="20"/>
        </w:rPr>
        <w:t>de</w:t>
      </w:r>
      <w:r>
        <w:rPr>
          <w:spacing w:val="-3"/>
          <w:sz w:val="20"/>
        </w:rPr>
        <w:t> </w:t>
      </w:r>
      <w:r>
        <w:rPr>
          <w:sz w:val="20"/>
        </w:rPr>
        <w:t>limpieza,</w:t>
      </w:r>
      <w:r>
        <w:rPr>
          <w:spacing w:val="-3"/>
          <w:sz w:val="20"/>
        </w:rPr>
        <w:t> </w:t>
      </w:r>
      <w:r>
        <w:rPr>
          <w:sz w:val="20"/>
        </w:rPr>
        <w:t>productores de</w:t>
      </w:r>
      <w:r>
        <w:rPr>
          <w:spacing w:val="-4"/>
          <w:sz w:val="20"/>
        </w:rPr>
        <w:t> </w:t>
      </w:r>
      <w:r>
        <w:rPr>
          <w:sz w:val="20"/>
        </w:rPr>
        <w:t>plásticos,</w:t>
      </w:r>
      <w:r>
        <w:rPr>
          <w:spacing w:val="-3"/>
          <w:sz w:val="20"/>
        </w:rPr>
        <w:t> </w:t>
      </w:r>
      <w:r>
        <w:rPr>
          <w:sz w:val="20"/>
        </w:rPr>
        <w:t>de caucho, entre otros. Personas trabajadoras del transporte terrestre como los conductores de autobuses, operarios, mecánicos de motores diésel; de la construcción de edificaciones y de obras de ingeniería civil, como los nucleares, técnicos y analistas de estructuras.</w:t>
      </w:r>
    </w:p>
    <w:p>
      <w:pPr>
        <w:pStyle w:val="ListParagraph"/>
        <w:numPr>
          <w:ilvl w:val="2"/>
          <w:numId w:val="160"/>
        </w:numPr>
        <w:tabs>
          <w:tab w:pos="1045" w:val="left" w:leader="none"/>
          <w:tab w:pos="1058" w:val="left" w:leader="none"/>
        </w:tabs>
        <w:spacing w:line="240" w:lineRule="auto" w:before="228" w:after="0"/>
        <w:ind w:left="1058" w:right="33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spacing w:before="229"/>
        <w:ind w:left="626"/>
      </w:pPr>
      <w:r>
        <w:rPr/>
        <w:t>Grupo</w:t>
      </w:r>
      <w:r>
        <w:rPr>
          <w:spacing w:val="-7"/>
        </w:rPr>
        <w:t> </w:t>
      </w:r>
      <w:r>
        <w:rPr/>
        <w:t>III.</w:t>
      </w:r>
      <w:r>
        <w:rPr>
          <w:spacing w:val="-7"/>
        </w:rPr>
        <w:t> </w:t>
      </w:r>
      <w:r>
        <w:rPr/>
        <w:t>Enfermedades</w:t>
      </w:r>
      <w:r>
        <w:rPr>
          <w:spacing w:val="-5"/>
        </w:rPr>
        <w:t> </w:t>
      </w:r>
      <w:r>
        <w:rPr/>
        <w:t>del</w:t>
      </w:r>
      <w:r>
        <w:rPr>
          <w:spacing w:val="-8"/>
        </w:rPr>
        <w:t> </w:t>
      </w:r>
      <w:r>
        <w:rPr/>
        <w:t>sistema</w:t>
      </w:r>
      <w:r>
        <w:rPr>
          <w:spacing w:val="-7"/>
        </w:rPr>
        <w:t> </w:t>
      </w:r>
      <w:r>
        <w:rPr/>
        <w:t>circulatorio,</w:t>
      </w:r>
      <w:r>
        <w:rPr>
          <w:spacing w:val="-2"/>
        </w:rPr>
        <w:t> </w:t>
      </w:r>
      <w:r>
        <w:rPr/>
        <w:t>de</w:t>
      </w:r>
      <w:r>
        <w:rPr>
          <w:spacing w:val="-7"/>
        </w:rPr>
        <w:t> </w:t>
      </w:r>
      <w:r>
        <w:rPr/>
        <w:t>la</w:t>
      </w:r>
      <w:r>
        <w:rPr>
          <w:spacing w:val="-7"/>
        </w:rPr>
        <w:t> </w:t>
      </w:r>
      <w:r>
        <w:rPr/>
        <w:t>sangre</w:t>
      </w:r>
      <w:r>
        <w:rPr>
          <w:spacing w:val="-4"/>
        </w:rPr>
        <w:t> </w:t>
      </w:r>
      <w:r>
        <w:rPr/>
        <w:t>y</w:t>
      </w:r>
      <w:r>
        <w:rPr>
          <w:spacing w:val="-9"/>
        </w:rPr>
        <w:t> </w:t>
      </w:r>
      <w:r>
        <w:rPr/>
        <w:t>órganos</w:t>
      </w:r>
      <w:r>
        <w:rPr>
          <w:spacing w:val="-7"/>
        </w:rPr>
        <w:t> </w:t>
      </w:r>
      <w:r>
        <w:rPr>
          <w:spacing w:val="-2"/>
        </w:rPr>
        <w:t>hematopoyéticos</w:t>
      </w:r>
    </w:p>
    <w:p>
      <w:pPr>
        <w:pStyle w:val="ListParagraph"/>
        <w:numPr>
          <w:ilvl w:val="1"/>
          <w:numId w:val="160"/>
        </w:numPr>
        <w:tabs>
          <w:tab w:pos="961" w:val="left" w:leader="none"/>
        </w:tabs>
        <w:spacing w:line="240" w:lineRule="auto" w:before="228" w:after="0"/>
        <w:ind w:left="961" w:right="0" w:hanging="335"/>
        <w:jc w:val="left"/>
        <w:rPr>
          <w:rFonts w:ascii="Arial" w:hAnsi="Arial"/>
          <w:b/>
          <w:sz w:val="20"/>
        </w:rPr>
      </w:pPr>
      <w:r>
        <w:rPr>
          <w:rFonts w:ascii="Arial" w:hAnsi="Arial"/>
          <w:b/>
          <w:sz w:val="20"/>
        </w:rPr>
        <w:t>Anemia</w:t>
      </w:r>
      <w:r>
        <w:rPr>
          <w:rFonts w:ascii="Arial" w:hAnsi="Arial"/>
          <w:b/>
          <w:spacing w:val="-6"/>
          <w:sz w:val="20"/>
        </w:rPr>
        <w:t> </w:t>
      </w:r>
      <w:r>
        <w:rPr>
          <w:rFonts w:ascii="Arial" w:hAnsi="Arial"/>
          <w:b/>
          <w:sz w:val="20"/>
        </w:rPr>
        <w:t>aplásica</w:t>
      </w:r>
      <w:r>
        <w:rPr>
          <w:rFonts w:ascii="Arial" w:hAnsi="Arial"/>
          <w:b/>
          <w:spacing w:val="-8"/>
          <w:sz w:val="20"/>
        </w:rPr>
        <w:t> </w:t>
      </w:r>
      <w:r>
        <w:rPr>
          <w:rFonts w:ascii="Arial" w:hAnsi="Arial"/>
          <w:b/>
          <w:sz w:val="20"/>
        </w:rPr>
        <w:t>debida</w:t>
      </w:r>
      <w:r>
        <w:rPr>
          <w:rFonts w:ascii="Arial" w:hAnsi="Arial"/>
          <w:b/>
          <w:spacing w:val="-7"/>
          <w:sz w:val="20"/>
        </w:rPr>
        <w:t> </w:t>
      </w:r>
      <w:r>
        <w:rPr>
          <w:rFonts w:ascii="Arial" w:hAnsi="Arial"/>
          <w:b/>
          <w:sz w:val="20"/>
        </w:rPr>
        <w:t>a</w:t>
      </w:r>
      <w:r>
        <w:rPr>
          <w:rFonts w:ascii="Arial" w:hAnsi="Arial"/>
          <w:b/>
          <w:spacing w:val="-9"/>
          <w:sz w:val="20"/>
        </w:rPr>
        <w:t> </w:t>
      </w:r>
      <w:r>
        <w:rPr>
          <w:rFonts w:ascii="Arial" w:hAnsi="Arial"/>
          <w:b/>
          <w:sz w:val="20"/>
        </w:rPr>
        <w:t>otros</w:t>
      </w:r>
      <w:r>
        <w:rPr>
          <w:rFonts w:ascii="Arial" w:hAnsi="Arial"/>
          <w:b/>
          <w:spacing w:val="-5"/>
          <w:sz w:val="20"/>
        </w:rPr>
        <w:t> </w:t>
      </w:r>
      <w:r>
        <w:rPr>
          <w:rFonts w:ascii="Arial" w:hAnsi="Arial"/>
          <w:b/>
          <w:sz w:val="20"/>
        </w:rPr>
        <w:t>agentes</w:t>
      </w:r>
      <w:r>
        <w:rPr>
          <w:rFonts w:ascii="Arial" w:hAnsi="Arial"/>
          <w:b/>
          <w:spacing w:val="-6"/>
          <w:sz w:val="20"/>
        </w:rPr>
        <w:t> </w:t>
      </w:r>
      <w:r>
        <w:rPr>
          <w:rFonts w:ascii="Arial" w:hAnsi="Arial"/>
          <w:b/>
          <w:spacing w:val="-2"/>
          <w:sz w:val="20"/>
        </w:rPr>
        <w:t>externos</w:t>
      </w:r>
    </w:p>
    <w:p>
      <w:pPr>
        <w:pStyle w:val="BodyText"/>
        <w:spacing w:before="4"/>
        <w:rPr>
          <w:rFonts w:ascii="Arial"/>
          <w:b/>
        </w:rPr>
      </w:pPr>
    </w:p>
    <w:p>
      <w:pPr>
        <w:pStyle w:val="BodyText"/>
        <w:ind w:left="626"/>
      </w:pPr>
      <w:r>
        <w:rPr/>
        <w:t>Código</w:t>
      </w:r>
      <w:r>
        <w:rPr>
          <w:spacing w:val="-9"/>
        </w:rPr>
        <w:t> </w:t>
      </w:r>
      <w:r>
        <w:rPr/>
        <w:t>CIE-11:</w:t>
      </w:r>
      <w:r>
        <w:rPr>
          <w:spacing w:val="-7"/>
        </w:rPr>
        <w:t> </w:t>
      </w:r>
      <w:r>
        <w:rPr/>
        <w:t>3A70,</w:t>
      </w:r>
      <w:r>
        <w:rPr>
          <w:spacing w:val="-8"/>
        </w:rPr>
        <w:t> </w:t>
      </w:r>
      <w:r>
        <w:rPr>
          <w:spacing w:val="-2"/>
        </w:rPr>
        <w:t>3A70.11</w:t>
      </w:r>
    </w:p>
    <w:p>
      <w:pPr>
        <w:pStyle w:val="ListParagraph"/>
        <w:numPr>
          <w:ilvl w:val="2"/>
          <w:numId w:val="160"/>
        </w:numPr>
        <w:tabs>
          <w:tab w:pos="1045" w:val="left" w:leader="none"/>
          <w:tab w:pos="1058" w:val="left" w:leader="none"/>
        </w:tabs>
        <w:spacing w:line="240" w:lineRule="auto" w:before="229" w:after="0"/>
        <w:ind w:left="1058" w:right="339" w:hanging="432"/>
        <w:jc w:val="both"/>
        <w:rPr>
          <w:sz w:val="20"/>
        </w:rPr>
      </w:pPr>
      <w:r>
        <w:rPr>
          <w:sz w:val="20"/>
        </w:rPr>
        <w:t>Personas trabajadoras</w:t>
      </w:r>
      <w:r>
        <w:rPr>
          <w:spacing w:val="-1"/>
          <w:sz w:val="20"/>
        </w:rPr>
        <w:t> </w:t>
      </w:r>
      <w:r>
        <w:rPr>
          <w:sz w:val="20"/>
        </w:rPr>
        <w:t>expuestas</w:t>
      </w:r>
      <w:r>
        <w:rPr>
          <w:spacing w:val="-1"/>
          <w:sz w:val="20"/>
        </w:rPr>
        <w:t> </w:t>
      </w:r>
      <w:r>
        <w:rPr>
          <w:sz w:val="20"/>
        </w:rPr>
        <w:t>en</w:t>
      </w:r>
      <w:r>
        <w:rPr>
          <w:spacing w:val="-2"/>
          <w:sz w:val="20"/>
        </w:rPr>
        <w:t> </w:t>
      </w:r>
      <w:r>
        <w:rPr>
          <w:sz w:val="20"/>
        </w:rPr>
        <w:t>las</w:t>
      </w:r>
      <w:r>
        <w:rPr>
          <w:spacing w:val="-1"/>
          <w:sz w:val="20"/>
        </w:rPr>
        <w:t> </w:t>
      </w:r>
      <w:r>
        <w:rPr>
          <w:sz w:val="20"/>
        </w:rPr>
        <w:t>industrias</w:t>
      </w:r>
      <w:r>
        <w:rPr>
          <w:spacing w:val="-1"/>
          <w:sz w:val="20"/>
        </w:rPr>
        <w:t> </w:t>
      </w:r>
      <w:r>
        <w:rPr>
          <w:sz w:val="20"/>
        </w:rPr>
        <w:t>editorial,</w:t>
      </w:r>
      <w:r>
        <w:rPr>
          <w:spacing w:val="-2"/>
          <w:sz w:val="20"/>
        </w:rPr>
        <w:t> </w:t>
      </w:r>
      <w:r>
        <w:rPr>
          <w:sz w:val="20"/>
        </w:rPr>
        <w:t>de impresión y</w:t>
      </w:r>
      <w:r>
        <w:rPr>
          <w:spacing w:val="-5"/>
          <w:sz w:val="20"/>
        </w:rPr>
        <w:t> </w:t>
      </w:r>
      <w:r>
        <w:rPr>
          <w:sz w:val="20"/>
        </w:rPr>
        <w:t>conexas,</w:t>
      </w:r>
      <w:r>
        <w:rPr>
          <w:spacing w:val="-2"/>
          <w:sz w:val="20"/>
        </w:rPr>
        <w:t> </w:t>
      </w:r>
      <w:r>
        <w:rPr>
          <w:sz w:val="20"/>
        </w:rPr>
        <w:t>de litografía, imprentas,</w:t>
      </w:r>
      <w:r>
        <w:rPr>
          <w:spacing w:val="-4"/>
          <w:sz w:val="20"/>
        </w:rPr>
        <w:t> </w:t>
      </w:r>
      <w:r>
        <w:rPr>
          <w:sz w:val="20"/>
        </w:rPr>
        <w:t>rotativas y</w:t>
      </w:r>
      <w:r>
        <w:rPr>
          <w:spacing w:val="-7"/>
          <w:sz w:val="20"/>
        </w:rPr>
        <w:t> </w:t>
      </w:r>
      <w:r>
        <w:rPr>
          <w:sz w:val="20"/>
        </w:rPr>
        <w:t>serigrafistas.</w:t>
      </w:r>
      <w:r>
        <w:rPr>
          <w:spacing w:val="-4"/>
          <w:sz w:val="20"/>
        </w:rPr>
        <w:t> </w:t>
      </w:r>
      <w:r>
        <w:rPr>
          <w:sz w:val="20"/>
        </w:rPr>
        <w:t>Personas</w:t>
      </w:r>
      <w:r>
        <w:rPr>
          <w:spacing w:val="-3"/>
          <w:sz w:val="20"/>
        </w:rPr>
        <w:t> </w:t>
      </w:r>
      <w:r>
        <w:rPr>
          <w:sz w:val="20"/>
        </w:rPr>
        <w:t>trabajadoras</w:t>
      </w:r>
      <w:r>
        <w:rPr>
          <w:spacing w:val="-2"/>
          <w:sz w:val="20"/>
        </w:rPr>
        <w:t> </w:t>
      </w:r>
      <w:r>
        <w:rPr>
          <w:sz w:val="20"/>
        </w:rPr>
        <w:t>que</w:t>
      </w:r>
      <w:r>
        <w:rPr>
          <w:spacing w:val="-2"/>
          <w:sz w:val="20"/>
        </w:rPr>
        <w:t> </w:t>
      </w:r>
      <w:r>
        <w:rPr>
          <w:sz w:val="20"/>
        </w:rPr>
        <w:t>laboran</w:t>
      </w:r>
      <w:r>
        <w:rPr>
          <w:spacing w:val="-2"/>
          <w:sz w:val="20"/>
        </w:rPr>
        <w:t> </w:t>
      </w:r>
      <w:r>
        <w:rPr>
          <w:sz w:val="20"/>
        </w:rPr>
        <w:t>en</w:t>
      </w:r>
      <w:r>
        <w:rPr>
          <w:spacing w:val="-2"/>
          <w:sz w:val="20"/>
        </w:rPr>
        <w:t> </w:t>
      </w:r>
      <w:r>
        <w:rPr>
          <w:sz w:val="20"/>
        </w:rPr>
        <w:t>las</w:t>
      </w:r>
      <w:r>
        <w:rPr>
          <w:spacing w:val="-1"/>
          <w:sz w:val="20"/>
        </w:rPr>
        <w:t> </w:t>
      </w:r>
      <w:r>
        <w:rPr>
          <w:sz w:val="20"/>
        </w:rPr>
        <w:t>industrias</w:t>
      </w:r>
      <w:r>
        <w:rPr>
          <w:spacing w:val="-3"/>
          <w:sz w:val="20"/>
        </w:rPr>
        <w:t> </w:t>
      </w:r>
      <w:r>
        <w:rPr>
          <w:sz w:val="20"/>
        </w:rPr>
        <w:t>metálicas básicas del hierro del acero y metales no ferrosos; que laboran en la elaboración de ferroaleaciones, arrabio, fierro esponja, aceros especiales, planchón, tocho, palanquilla, varilla corrugada, alambrón, barras, rieles, plancha, tubos y otros productos primarios de hierro o acero</w:t>
      </w:r>
      <w:r>
        <w:rPr>
          <w:spacing w:val="40"/>
          <w:sz w:val="20"/>
        </w:rPr>
        <w:t> </w:t>
      </w:r>
      <w:r>
        <w:rPr>
          <w:sz w:val="20"/>
        </w:rPr>
        <w:t>y de metales no ferrosos. Incluye a empresas que realicen todo el proceso de transformación o parte de él, desde la fundición, afinación y refinación, hasta la fase de productos semiacabados por laminación, vaciado, moldeado, extrusión, trefilado, forjado y otros procesos para obtener alambre, perfiles estructurales, láminas, hojas, cintas, hojalata, cañerías, piezas fundidas y</w:t>
      </w:r>
      <w:r>
        <w:rPr>
          <w:spacing w:val="-1"/>
          <w:sz w:val="20"/>
        </w:rPr>
        <w:t> </w:t>
      </w:r>
      <w:r>
        <w:rPr>
          <w:sz w:val="20"/>
        </w:rPr>
        <w:t>otros; así como a las dedicadas al aprovechamiento de chatarra para obtener piezas fundidas y</w:t>
      </w:r>
      <w:r>
        <w:rPr>
          <w:spacing w:val="40"/>
          <w:sz w:val="20"/>
        </w:rPr>
        <w:t> </w:t>
      </w:r>
      <w:r>
        <w:rPr>
          <w:spacing w:val="-2"/>
          <w:sz w:val="20"/>
        </w:rPr>
        <w:t>coladas.</w:t>
      </w:r>
    </w:p>
    <w:p>
      <w:pPr>
        <w:pStyle w:val="ListParagraph"/>
        <w:numPr>
          <w:ilvl w:val="2"/>
          <w:numId w:val="160"/>
        </w:numPr>
        <w:tabs>
          <w:tab w:pos="1045" w:val="left" w:leader="none"/>
          <w:tab w:pos="1058" w:val="left" w:leader="none"/>
        </w:tabs>
        <w:spacing w:line="240" w:lineRule="auto" w:before="228" w:after="0"/>
        <w:ind w:left="1058" w:right="345" w:hanging="432"/>
        <w:jc w:val="both"/>
        <w:rPr>
          <w:sz w:val="20"/>
        </w:rPr>
      </w:pPr>
      <w:r>
        <w:rPr>
          <w:sz w:val="20"/>
        </w:rPr>
        <w:t>Personas trabajadoras en la industria nuclear, minas de uranio y otros metales radioactivos (arsénico, níquel, cobalto, estroncio, berilio y radium), radio (que fabrican carátulas de relojes hechas con radio) y reactores nucleares.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6"/>
      </w:pPr>
    </w:p>
    <w:p>
      <w:pPr>
        <w:pStyle w:val="ListParagraph"/>
        <w:numPr>
          <w:ilvl w:val="2"/>
          <w:numId w:val="160"/>
        </w:numPr>
        <w:tabs>
          <w:tab w:pos="1045" w:val="left" w:leader="none"/>
          <w:tab w:pos="1058" w:val="left" w:leader="none"/>
        </w:tabs>
        <w:spacing w:line="240" w:lineRule="auto" w:before="0" w:after="0"/>
        <w:ind w:left="1058" w:right="344" w:hanging="432"/>
        <w:jc w:val="both"/>
        <w:rPr>
          <w:sz w:val="20"/>
        </w:rPr>
      </w:pPr>
      <w:r>
        <w:rPr>
          <w:sz w:val="20"/>
        </w:rPr>
        <w:t>Personas trabajadoras de los servicios médicos, tales como: personas trabajadoras de radioterapia y radiodiagnóstico (rayos láser; rayos máser, la utilización de radioelementos: gammagrafía, gamma, betaterapia e isótopos).</w:t>
      </w:r>
    </w:p>
    <w:p>
      <w:pPr>
        <w:pStyle w:val="ListParagraph"/>
        <w:numPr>
          <w:ilvl w:val="2"/>
          <w:numId w:val="160"/>
        </w:numPr>
        <w:tabs>
          <w:tab w:pos="1045" w:val="left" w:leader="none"/>
          <w:tab w:pos="1058" w:val="left" w:leader="none"/>
        </w:tabs>
        <w:spacing w:line="240" w:lineRule="auto" w:before="229" w:after="0"/>
        <w:ind w:left="1058" w:right="337" w:hanging="432"/>
        <w:jc w:val="both"/>
        <w:rPr>
          <w:sz w:val="20"/>
        </w:rPr>
      </w:pPr>
      <w:r>
        <w:rPr>
          <w:sz w:val="20"/>
        </w:rPr>
        <w:t>Personas trabajadoras expuestas en la industria química y fabricación de productos de hule. Comprende a las empresas que se dedican a la fabricación de llantas, cámaras, empaques, retenes,</w:t>
      </w:r>
      <w:r>
        <w:rPr>
          <w:spacing w:val="-3"/>
          <w:sz w:val="20"/>
        </w:rPr>
        <w:t> </w:t>
      </w:r>
      <w:r>
        <w:rPr>
          <w:sz w:val="20"/>
        </w:rPr>
        <w:t>rodillos,</w:t>
      </w:r>
      <w:r>
        <w:rPr>
          <w:spacing w:val="-3"/>
          <w:sz w:val="20"/>
        </w:rPr>
        <w:t> </w:t>
      </w:r>
      <w:r>
        <w:rPr>
          <w:sz w:val="20"/>
        </w:rPr>
        <w:t>tapetes,</w:t>
      </w:r>
      <w:r>
        <w:rPr>
          <w:spacing w:val="-1"/>
          <w:sz w:val="20"/>
        </w:rPr>
        <w:t> </w:t>
      </w:r>
      <w:r>
        <w:rPr>
          <w:sz w:val="20"/>
        </w:rPr>
        <w:t>bandas,</w:t>
      </w:r>
      <w:r>
        <w:rPr>
          <w:spacing w:val="-1"/>
          <w:sz w:val="20"/>
        </w:rPr>
        <w:t> </w:t>
      </w:r>
      <w:r>
        <w:rPr>
          <w:sz w:val="20"/>
        </w:rPr>
        <w:t>poleas,</w:t>
      </w:r>
      <w:r>
        <w:rPr>
          <w:spacing w:val="-3"/>
          <w:sz w:val="20"/>
        </w:rPr>
        <w:t> </w:t>
      </w:r>
      <w:r>
        <w:rPr>
          <w:sz w:val="20"/>
        </w:rPr>
        <w:t>topes,</w:t>
      </w:r>
      <w:r>
        <w:rPr>
          <w:spacing w:val="-1"/>
          <w:sz w:val="20"/>
        </w:rPr>
        <w:t> </w:t>
      </w:r>
      <w:r>
        <w:rPr>
          <w:sz w:val="20"/>
        </w:rPr>
        <w:t>accesorios</w:t>
      </w:r>
      <w:r>
        <w:rPr>
          <w:spacing w:val="-3"/>
          <w:sz w:val="20"/>
        </w:rPr>
        <w:t> </w:t>
      </w:r>
      <w:r>
        <w:rPr>
          <w:sz w:val="20"/>
        </w:rPr>
        <w:t>para</w:t>
      </w:r>
      <w:r>
        <w:rPr>
          <w:spacing w:val="-2"/>
          <w:sz w:val="20"/>
        </w:rPr>
        <w:t> </w:t>
      </w:r>
      <w:r>
        <w:rPr>
          <w:sz w:val="20"/>
        </w:rPr>
        <w:t>automóviles,</w:t>
      </w:r>
      <w:r>
        <w:rPr>
          <w:spacing w:val="-1"/>
          <w:sz w:val="20"/>
        </w:rPr>
        <w:t> </w:t>
      </w:r>
      <w:r>
        <w:rPr>
          <w:sz w:val="20"/>
        </w:rPr>
        <w:t>tubos,</w:t>
      </w:r>
      <w:r>
        <w:rPr>
          <w:spacing w:val="-3"/>
          <w:sz w:val="20"/>
        </w:rPr>
        <w:t> </w:t>
      </w:r>
      <w:r>
        <w:rPr>
          <w:sz w:val="20"/>
        </w:rPr>
        <w:t>mangueras, planchas,</w:t>
      </w:r>
      <w:r>
        <w:rPr>
          <w:spacing w:val="-2"/>
          <w:sz w:val="20"/>
        </w:rPr>
        <w:t> </w:t>
      </w:r>
      <w:r>
        <w:rPr>
          <w:sz w:val="20"/>
        </w:rPr>
        <w:t>hojas,</w:t>
      </w:r>
      <w:r>
        <w:rPr>
          <w:spacing w:val="-2"/>
          <w:sz w:val="20"/>
        </w:rPr>
        <w:t> </w:t>
      </w:r>
      <w:r>
        <w:rPr>
          <w:sz w:val="20"/>
        </w:rPr>
        <w:t>hilos,</w:t>
      </w:r>
      <w:r>
        <w:rPr>
          <w:spacing w:val="-2"/>
          <w:sz w:val="20"/>
        </w:rPr>
        <w:t> </w:t>
      </w:r>
      <w:r>
        <w:rPr>
          <w:sz w:val="20"/>
        </w:rPr>
        <w:t>juguetes,</w:t>
      </w:r>
      <w:r>
        <w:rPr>
          <w:spacing w:val="-2"/>
          <w:sz w:val="20"/>
        </w:rPr>
        <w:t> </w:t>
      </w:r>
      <w:r>
        <w:rPr>
          <w:sz w:val="20"/>
        </w:rPr>
        <w:t>tacones,</w:t>
      </w:r>
      <w:r>
        <w:rPr>
          <w:spacing w:val="-2"/>
          <w:sz w:val="20"/>
        </w:rPr>
        <w:t> </w:t>
      </w:r>
      <w:r>
        <w:rPr>
          <w:sz w:val="20"/>
        </w:rPr>
        <w:t>suelas,</w:t>
      </w:r>
      <w:r>
        <w:rPr>
          <w:spacing w:val="-2"/>
          <w:sz w:val="20"/>
        </w:rPr>
        <w:t> </w:t>
      </w:r>
      <w:r>
        <w:rPr>
          <w:sz w:val="20"/>
        </w:rPr>
        <w:t>calzado</w:t>
      </w:r>
      <w:r>
        <w:rPr>
          <w:spacing w:val="-2"/>
          <w:sz w:val="20"/>
        </w:rPr>
        <w:t> </w:t>
      </w:r>
      <w:r>
        <w:rPr>
          <w:sz w:val="20"/>
        </w:rPr>
        <w:t>moldeado,</w:t>
      </w:r>
      <w:r>
        <w:rPr>
          <w:spacing w:val="-2"/>
          <w:sz w:val="20"/>
        </w:rPr>
        <w:t> </w:t>
      </w:r>
      <w:r>
        <w:rPr>
          <w:sz w:val="20"/>
        </w:rPr>
        <w:t>productos</w:t>
      </w:r>
      <w:r>
        <w:rPr>
          <w:spacing w:val="-1"/>
          <w:sz w:val="20"/>
        </w:rPr>
        <w:t> </w:t>
      </w:r>
      <w:r>
        <w:rPr>
          <w:sz w:val="20"/>
        </w:rPr>
        <w:t>de</w:t>
      </w:r>
      <w:r>
        <w:rPr>
          <w:spacing w:val="-2"/>
          <w:sz w:val="20"/>
        </w:rPr>
        <w:t> </w:t>
      </w:r>
      <w:r>
        <w:rPr>
          <w:sz w:val="20"/>
        </w:rPr>
        <w:t>uso</w:t>
      </w:r>
      <w:r>
        <w:rPr>
          <w:spacing w:val="-2"/>
          <w:sz w:val="20"/>
        </w:rPr>
        <w:t> </w:t>
      </w:r>
      <w:r>
        <w:rPr>
          <w:sz w:val="20"/>
        </w:rPr>
        <w:t>higiénico y farmacéutico y otros similares de hule. Incluye la regeneración y vulcanización de llantas y otros productos de hule.</w:t>
      </w:r>
    </w:p>
    <w:p>
      <w:pPr>
        <w:pStyle w:val="ListParagraph"/>
        <w:numPr>
          <w:ilvl w:val="2"/>
          <w:numId w:val="160"/>
        </w:numPr>
        <w:tabs>
          <w:tab w:pos="1045" w:val="left" w:leader="none"/>
          <w:tab w:pos="1058" w:val="left" w:leader="none"/>
        </w:tabs>
        <w:spacing w:line="240" w:lineRule="auto" w:before="227" w:after="0"/>
        <w:ind w:left="1058" w:right="346" w:hanging="432"/>
        <w:jc w:val="both"/>
        <w:rPr>
          <w:sz w:val="20"/>
        </w:rPr>
      </w:pPr>
      <w:r>
        <w:rPr>
          <w:sz w:val="20"/>
        </w:rPr>
        <w:t>Personas trabajadoras que realizan actividades en la industria petrolera, tales como: refinación del petróleo crudo y petroquímica básica. Incluye la fabricación de gasolinas, aceites pesados, asfaltos, parafinas y otros productos derivados de la refinación del petróleo crudo.</w:t>
      </w:r>
    </w:p>
    <w:p>
      <w:pPr>
        <w:pStyle w:val="ListParagraph"/>
        <w:numPr>
          <w:ilvl w:val="2"/>
          <w:numId w:val="160"/>
        </w:numPr>
        <w:tabs>
          <w:tab w:pos="1045" w:val="left" w:leader="none"/>
          <w:tab w:pos="1058" w:val="left" w:leader="none"/>
        </w:tabs>
        <w:spacing w:line="240" w:lineRule="auto" w:before="230" w:after="0"/>
        <w:ind w:left="1058" w:right="341" w:hanging="432"/>
        <w:jc w:val="both"/>
        <w:rPr>
          <w:sz w:val="20"/>
        </w:rPr>
      </w:pPr>
      <w:r>
        <w:rPr>
          <w:sz w:val="20"/>
        </w:rPr>
        <w:t>Personas trabajadoras que laboran en la fabricación, ensamble y reparación de maquinaria, equipo y sus partes; excepto los eléctricos. Personas trabajadoras en la fabricación y ensamble de maquinaria, equipo e implementos para las industrias de la construcción, extractivas, papel, cemento, petroquímica básica, química; metálicas básicas del hierro, del acero y de metales no </w:t>
      </w:r>
      <w:r>
        <w:rPr>
          <w:spacing w:val="-2"/>
          <w:sz w:val="20"/>
        </w:rPr>
        <w:t>ferrosos.</w:t>
      </w:r>
    </w:p>
    <w:p>
      <w:pPr>
        <w:pStyle w:val="ListParagraph"/>
        <w:numPr>
          <w:ilvl w:val="2"/>
          <w:numId w:val="160"/>
        </w:numPr>
        <w:tabs>
          <w:tab w:pos="1045" w:val="left" w:leader="none"/>
          <w:tab w:pos="1058" w:val="left" w:leader="none"/>
        </w:tabs>
        <w:spacing w:line="240" w:lineRule="auto" w:before="227" w:after="0"/>
        <w:ind w:left="1058" w:right="33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w:t>
      </w:r>
      <w:r>
        <w:rPr>
          <w:spacing w:val="40"/>
          <w:sz w:val="20"/>
        </w:rPr>
        <w:t> </w:t>
      </w:r>
      <w:r>
        <w:rPr>
          <w:sz w:val="20"/>
        </w:rPr>
        <w:t>origen o con motivo del trabajo o en el medio que la persona trabajadora se vea obligada a prestar sus servicios.</w:t>
      </w:r>
    </w:p>
    <w:p>
      <w:pPr>
        <w:pStyle w:val="Heading3"/>
        <w:numPr>
          <w:ilvl w:val="1"/>
          <w:numId w:val="160"/>
        </w:numPr>
        <w:tabs>
          <w:tab w:pos="961" w:val="left" w:leader="none"/>
        </w:tabs>
        <w:spacing w:line="240" w:lineRule="auto" w:before="229" w:after="0"/>
        <w:ind w:left="961" w:right="0" w:hanging="335"/>
        <w:jc w:val="left"/>
      </w:pPr>
      <w:r>
        <w:rPr/>
        <w:t>Anemia</w:t>
      </w:r>
      <w:r>
        <w:rPr>
          <w:spacing w:val="-14"/>
        </w:rPr>
        <w:t> </w:t>
      </w:r>
      <w:r>
        <w:rPr/>
        <w:t>hemolítica</w:t>
      </w:r>
      <w:r>
        <w:rPr>
          <w:spacing w:val="-13"/>
        </w:rPr>
        <w:t> </w:t>
      </w:r>
      <w:r>
        <w:rPr>
          <w:spacing w:val="-2"/>
        </w:rPr>
        <w:t>adquirida</w:t>
      </w:r>
    </w:p>
    <w:p>
      <w:pPr>
        <w:pStyle w:val="BodyText"/>
        <w:rPr>
          <w:rFonts w:ascii="Arial"/>
          <w:b/>
        </w:rPr>
      </w:pPr>
    </w:p>
    <w:p>
      <w:pPr>
        <w:pStyle w:val="BodyText"/>
        <w:ind w:left="626"/>
      </w:pPr>
      <w:r>
        <w:rPr/>
        <w:t>Código</w:t>
      </w:r>
      <w:r>
        <w:rPr>
          <w:spacing w:val="-9"/>
        </w:rPr>
        <w:t> </w:t>
      </w:r>
      <w:r>
        <w:rPr/>
        <w:t>CIE-11:</w:t>
      </w:r>
      <w:r>
        <w:rPr>
          <w:spacing w:val="-7"/>
        </w:rPr>
        <w:t> </w:t>
      </w:r>
      <w:r>
        <w:rPr/>
        <w:t>3A20,</w:t>
      </w:r>
      <w:r>
        <w:rPr>
          <w:spacing w:val="-8"/>
        </w:rPr>
        <w:t> </w:t>
      </w:r>
      <w:r>
        <w:rPr>
          <w:spacing w:val="-4"/>
        </w:rPr>
        <w:t>3A21</w:t>
      </w:r>
    </w:p>
    <w:p>
      <w:pPr>
        <w:pStyle w:val="BodyText"/>
      </w:pPr>
    </w:p>
    <w:p>
      <w:pPr>
        <w:pStyle w:val="ListParagraph"/>
        <w:numPr>
          <w:ilvl w:val="2"/>
          <w:numId w:val="160"/>
        </w:numPr>
        <w:tabs>
          <w:tab w:pos="1045" w:val="left" w:leader="none"/>
          <w:tab w:pos="1058" w:val="left" w:leader="none"/>
        </w:tabs>
        <w:spacing w:line="240" w:lineRule="auto" w:before="0" w:after="0"/>
        <w:ind w:left="1058" w:right="332" w:hanging="432"/>
        <w:jc w:val="both"/>
        <w:rPr>
          <w:sz w:val="20"/>
        </w:rPr>
      </w:pPr>
      <w:r>
        <w:rPr>
          <w:sz w:val="20"/>
        </w:rPr>
        <w:t>Personas trabajadoras expuestas en las industrias editoriales, de impresión y conexas: personas trabajadoras de litografía, imprentas, rotativas y serigrafistas. Industrias químico-farmacéuticas y de medicamentos: empacadores, mezcladores y operadores en los procesos de fármacos. Personas trabajadoras en la industria minera, tales como: barrenadores, perforistas, operarios de maquinaria y equipo de extracción minera. Personas trabajadoras de la industria petrolera, tales como: operadores del refinado y transformación del petróleo. Industria química: empacadores, mezcladores, operarios y supervisores en la elaboración de productos químicos.</w:t>
      </w:r>
    </w:p>
    <w:p>
      <w:pPr>
        <w:pStyle w:val="ListParagraph"/>
        <w:numPr>
          <w:ilvl w:val="2"/>
          <w:numId w:val="160"/>
        </w:numPr>
        <w:tabs>
          <w:tab w:pos="1045" w:val="left" w:leader="none"/>
          <w:tab w:pos="1058" w:val="left" w:leader="none"/>
        </w:tabs>
        <w:spacing w:line="240" w:lineRule="auto" w:before="228" w:after="0"/>
        <w:ind w:left="1058" w:right="341"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9" w:after="0"/>
        <w:ind w:left="956" w:right="0" w:hanging="330"/>
        <w:jc w:val="left"/>
      </w:pPr>
      <w:r>
        <w:rPr/>
        <w:t>Otras</w:t>
      </w:r>
      <w:r>
        <w:rPr>
          <w:spacing w:val="-8"/>
        </w:rPr>
        <w:t> </w:t>
      </w:r>
      <w:r>
        <w:rPr/>
        <w:t>arritmias</w:t>
      </w:r>
      <w:r>
        <w:rPr>
          <w:spacing w:val="-9"/>
        </w:rPr>
        <w:t> </w:t>
      </w:r>
      <w:r>
        <w:rPr>
          <w:spacing w:val="-2"/>
        </w:rPr>
        <w:t>cardiacas</w:t>
      </w:r>
    </w:p>
    <w:p>
      <w:pPr>
        <w:pStyle w:val="BodyText"/>
        <w:spacing w:before="3"/>
        <w:rPr>
          <w:rFonts w:ascii="Arial"/>
          <w:b/>
        </w:rPr>
      </w:pPr>
    </w:p>
    <w:p>
      <w:pPr>
        <w:pStyle w:val="BodyText"/>
        <w:ind w:left="626"/>
      </w:pPr>
      <w:r>
        <w:rPr/>
        <w:t>Código</w:t>
      </w:r>
      <w:r>
        <w:rPr>
          <w:spacing w:val="-9"/>
        </w:rPr>
        <w:t> </w:t>
      </w:r>
      <w:r>
        <w:rPr/>
        <w:t>CIE-11:</w:t>
      </w:r>
      <w:r>
        <w:rPr>
          <w:spacing w:val="-6"/>
        </w:rPr>
        <w:t> </w:t>
      </w:r>
      <w:r>
        <w:rPr/>
        <w:t>BC9Y,</w:t>
      </w:r>
      <w:r>
        <w:rPr>
          <w:spacing w:val="-6"/>
        </w:rPr>
        <w:t> </w:t>
      </w:r>
      <w:r>
        <w:rPr>
          <w:spacing w:val="-4"/>
        </w:rPr>
        <w:t>BC9Z</w:t>
      </w:r>
    </w:p>
    <w:p>
      <w:pPr>
        <w:pStyle w:val="ListParagraph"/>
        <w:numPr>
          <w:ilvl w:val="2"/>
          <w:numId w:val="160"/>
        </w:numPr>
        <w:tabs>
          <w:tab w:pos="1045" w:val="left" w:leader="none"/>
          <w:tab w:pos="1058" w:val="left" w:leader="none"/>
        </w:tabs>
        <w:spacing w:line="240" w:lineRule="auto" w:before="227" w:after="0"/>
        <w:ind w:left="1058" w:right="345" w:hanging="432"/>
        <w:jc w:val="both"/>
        <w:rPr>
          <w:sz w:val="20"/>
        </w:rPr>
      </w:pPr>
      <w:r>
        <w:rPr>
          <w:sz w:val="20"/>
        </w:rPr>
        <w:t>Personas trabajadoras expuestas en la preparación, manipulación y empleo de los hidrocarburos clorados y</w:t>
      </w:r>
      <w:r>
        <w:rPr>
          <w:spacing w:val="-3"/>
          <w:sz w:val="20"/>
        </w:rPr>
        <w:t> </w:t>
      </w:r>
      <w:r>
        <w:rPr>
          <w:sz w:val="20"/>
        </w:rPr>
        <w:t>bromados de la serie alifática; de los productos que lo contengan, especialmente en el empleo como agentes de extracción de grasas y como disolventes.</w:t>
      </w:r>
    </w:p>
    <w:p>
      <w:pPr>
        <w:pStyle w:val="ListParagraph"/>
        <w:spacing w:after="0" w:line="240" w:lineRule="auto"/>
        <w:jc w:val="both"/>
        <w:rPr>
          <w:sz w:val="20"/>
        </w:rPr>
        <w:sectPr>
          <w:pgSz w:w="12240" w:h="15840"/>
          <w:pgMar w:header="724" w:footer="712" w:top="1880" w:bottom="900" w:left="1080" w:right="1080"/>
        </w:sectPr>
      </w:pPr>
    </w:p>
    <w:p>
      <w:pPr>
        <w:pStyle w:val="BodyText"/>
      </w:pPr>
    </w:p>
    <w:p>
      <w:pPr>
        <w:pStyle w:val="BodyText"/>
        <w:spacing w:before="64"/>
      </w:pPr>
    </w:p>
    <w:p>
      <w:pPr>
        <w:pStyle w:val="ListParagraph"/>
        <w:numPr>
          <w:ilvl w:val="2"/>
          <w:numId w:val="160"/>
        </w:numPr>
        <w:tabs>
          <w:tab w:pos="1045" w:val="left" w:leader="none"/>
          <w:tab w:pos="1058" w:val="left" w:leader="none"/>
        </w:tabs>
        <w:spacing w:line="240" w:lineRule="auto" w:before="0" w:after="0"/>
        <w:ind w:left="1058" w:right="344" w:hanging="432"/>
        <w:jc w:val="both"/>
        <w:rPr>
          <w:sz w:val="20"/>
        </w:rPr>
      </w:pPr>
      <w:r>
        <w:rPr>
          <w:sz w:val="20"/>
        </w:rPr>
        <w:t>Personas trabajadoras que laboran en la fabricación de ciertos desinfectantes; anestésicos, antisépticos y otros productos de la industria farmacéutica y química; polímeros de síntesis; refinado de aceites minerales; fabricación y reparación de aparatos e instalaciones frigoríficas, y fabricación y utilización de pinturas, disolventes, decapantes, barnices y látex.</w:t>
      </w:r>
    </w:p>
    <w:p>
      <w:pPr>
        <w:pStyle w:val="ListParagraph"/>
        <w:numPr>
          <w:ilvl w:val="2"/>
          <w:numId w:val="160"/>
        </w:numPr>
        <w:tabs>
          <w:tab w:pos="1045" w:val="left" w:leader="none"/>
          <w:tab w:pos="1058" w:val="left" w:leader="none"/>
        </w:tabs>
        <w:spacing w:line="240" w:lineRule="auto" w:before="229" w:after="0"/>
        <w:ind w:left="1058" w:right="339" w:hanging="432"/>
        <w:jc w:val="both"/>
        <w:rPr>
          <w:sz w:val="20"/>
        </w:rPr>
      </w:pPr>
      <w:r>
        <w:rPr>
          <w:sz w:val="20"/>
        </w:rPr>
        <w:t>Personas trabajadoras que utilizan plaguicidas, productos de limpieza y desengrasantes en tintorerías, preparación y empleo de lociones de peluquería. Personas trabajadoras que laboran en reparación y relleno de aparatos extintores de incendio; desengrasado y limpieza de piezas metálicas. Asimismo, utilizan los agentes causales en anestesia quirúrgica y gabinete básicos.</w:t>
      </w:r>
    </w:p>
    <w:p>
      <w:pPr>
        <w:pStyle w:val="ListParagraph"/>
        <w:numPr>
          <w:ilvl w:val="2"/>
          <w:numId w:val="160"/>
        </w:numPr>
        <w:tabs>
          <w:tab w:pos="1045" w:val="left" w:leader="none"/>
          <w:tab w:pos="1058" w:val="left" w:leader="none"/>
        </w:tabs>
        <w:spacing w:line="240" w:lineRule="auto" w:before="229" w:after="0"/>
        <w:ind w:left="1058" w:right="34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7" w:after="0"/>
        <w:ind w:left="956" w:right="0" w:hanging="330"/>
        <w:jc w:val="left"/>
      </w:pPr>
      <w:r>
        <w:rPr/>
        <w:t>Hipertensión</w:t>
      </w:r>
      <w:r>
        <w:rPr>
          <w:spacing w:val="-12"/>
        </w:rPr>
        <w:t> </w:t>
      </w:r>
      <w:r>
        <w:rPr/>
        <w:t>arterial,</w:t>
      </w:r>
      <w:r>
        <w:rPr>
          <w:spacing w:val="-11"/>
        </w:rPr>
        <w:t> </w:t>
      </w:r>
      <w:r>
        <w:rPr/>
        <w:t>aterosclerosis</w:t>
      </w:r>
      <w:r>
        <w:rPr>
          <w:spacing w:val="-11"/>
        </w:rPr>
        <w:t> </w:t>
      </w:r>
      <w:r>
        <w:rPr/>
        <w:t>y</w:t>
      </w:r>
      <w:r>
        <w:rPr>
          <w:spacing w:val="-12"/>
        </w:rPr>
        <w:t> </w:t>
      </w:r>
      <w:r>
        <w:rPr/>
        <w:t>cardiopatía</w:t>
      </w:r>
      <w:r>
        <w:rPr>
          <w:spacing w:val="-13"/>
        </w:rPr>
        <w:t> </w:t>
      </w:r>
      <w:r>
        <w:rPr>
          <w:spacing w:val="-2"/>
        </w:rPr>
        <w:t>isquémica</w:t>
      </w:r>
    </w:p>
    <w:p>
      <w:pPr>
        <w:pStyle w:val="BodyText"/>
        <w:spacing w:before="3"/>
        <w:rPr>
          <w:rFonts w:ascii="Arial"/>
          <w:b/>
        </w:rPr>
      </w:pPr>
    </w:p>
    <w:p>
      <w:pPr>
        <w:pStyle w:val="BodyText"/>
        <w:ind w:left="626"/>
      </w:pPr>
      <w:r>
        <w:rPr/>
        <w:t>Código</w:t>
      </w:r>
      <w:r>
        <w:rPr>
          <w:spacing w:val="-9"/>
        </w:rPr>
        <w:t> </w:t>
      </w:r>
      <w:r>
        <w:rPr/>
        <w:t>CIE-11:</w:t>
      </w:r>
      <w:r>
        <w:rPr>
          <w:spacing w:val="-6"/>
        </w:rPr>
        <w:t> </w:t>
      </w:r>
      <w:r>
        <w:rPr/>
        <w:t>BA00Z,</w:t>
      </w:r>
      <w:r>
        <w:rPr>
          <w:spacing w:val="-5"/>
        </w:rPr>
        <w:t> </w:t>
      </w:r>
      <w:r>
        <w:rPr/>
        <w:t>BA04Y,</w:t>
      </w:r>
      <w:r>
        <w:rPr>
          <w:spacing w:val="-7"/>
        </w:rPr>
        <w:t> </w:t>
      </w:r>
      <w:r>
        <w:rPr/>
        <w:t>BD40,</w:t>
      </w:r>
      <w:r>
        <w:rPr>
          <w:spacing w:val="-6"/>
        </w:rPr>
        <w:t> </w:t>
      </w:r>
      <w:r>
        <w:rPr/>
        <w:t>BA42,</w:t>
      </w:r>
      <w:r>
        <w:rPr>
          <w:spacing w:val="-6"/>
        </w:rPr>
        <w:t> </w:t>
      </w:r>
      <w:r>
        <w:rPr/>
        <w:t>BA51,</w:t>
      </w:r>
      <w:r>
        <w:rPr>
          <w:spacing w:val="-8"/>
        </w:rPr>
        <w:t> </w:t>
      </w:r>
      <w:r>
        <w:rPr>
          <w:spacing w:val="-2"/>
        </w:rPr>
        <w:t>BA51.Y</w:t>
      </w:r>
    </w:p>
    <w:p>
      <w:pPr>
        <w:pStyle w:val="ListParagraph"/>
        <w:numPr>
          <w:ilvl w:val="2"/>
          <w:numId w:val="160"/>
        </w:numPr>
        <w:tabs>
          <w:tab w:pos="1045" w:val="left" w:leader="none"/>
          <w:tab w:pos="1058" w:val="left" w:leader="none"/>
        </w:tabs>
        <w:spacing w:line="240" w:lineRule="auto" w:before="230" w:after="0"/>
        <w:ind w:left="1058" w:right="342" w:hanging="432"/>
        <w:jc w:val="both"/>
        <w:rPr>
          <w:sz w:val="20"/>
        </w:rPr>
      </w:pPr>
      <w:r>
        <w:rPr>
          <w:sz w:val="20"/>
        </w:rPr>
        <w:t>Personas trabajadoras expuestas a la industria agrícola, tales como: servicios de fumigación, desinfección y control de plagas. Comprende a las empresas que realizan actividades de fumigación, desinfección y control de plagas en plantaciones agrícolas, establecimientos industriales, comerciales, de servicios y del hogar. Personas trabajadoras que utilizan como componente de rodenticidas, e insecticidas o parasiticidas en almacenamiento de productos </w:t>
      </w:r>
      <w:r>
        <w:rPr>
          <w:spacing w:val="-2"/>
          <w:sz w:val="20"/>
        </w:rPr>
        <w:t>agrícolas.</w:t>
      </w:r>
    </w:p>
    <w:p>
      <w:pPr>
        <w:pStyle w:val="ListParagraph"/>
        <w:numPr>
          <w:ilvl w:val="2"/>
          <w:numId w:val="160"/>
        </w:numPr>
        <w:tabs>
          <w:tab w:pos="1045" w:val="left" w:leader="none"/>
          <w:tab w:pos="1058" w:val="left" w:leader="none"/>
        </w:tabs>
        <w:spacing w:line="240" w:lineRule="auto" w:before="228" w:after="0"/>
        <w:ind w:left="1058" w:right="336" w:hanging="432"/>
        <w:jc w:val="both"/>
        <w:rPr>
          <w:sz w:val="20"/>
        </w:rPr>
      </w:pPr>
      <w:r>
        <w:rPr>
          <w:sz w:val="20"/>
        </w:rPr>
        <w:t>Personas trabajadoras que laboran en la industria química, tales como: servicios de laboratorio para la industria en general. Comprende a las empresas que se dedican a prestar servicios de laboratorio, en forma independiente, a diversos tipos de actividades y ramas industriales, tales como: construcción, metal-mecánica, química, textil, metalúrgica, farmacéutica, alimenticia, agrícola y otras; así como a las que se dedican al diagnóstico y control ambiental.</w:t>
      </w:r>
    </w:p>
    <w:p>
      <w:pPr>
        <w:pStyle w:val="ListParagraph"/>
        <w:numPr>
          <w:ilvl w:val="2"/>
          <w:numId w:val="160"/>
        </w:numPr>
        <w:tabs>
          <w:tab w:pos="1045" w:val="left" w:leader="none"/>
          <w:tab w:pos="1058" w:val="left" w:leader="none"/>
        </w:tabs>
        <w:spacing w:line="240" w:lineRule="auto" w:before="229" w:after="0"/>
        <w:ind w:left="1058" w:right="336" w:hanging="432"/>
        <w:jc w:val="both"/>
        <w:rPr>
          <w:sz w:val="20"/>
        </w:rPr>
      </w:pPr>
      <w:r>
        <w:rPr>
          <w:sz w:val="20"/>
        </w:rPr>
        <w:t>Personas trabajadoras expuestas a disulfuro de carbono, tales como: cementos de neopreno; combustibles para cohetes, tales como: disolvente de aceites, bromuros, caucho, ceras, fosfatos, grasas, gutapercha, resinas, selenio, sulfuros y yoduros; en la fabricación de fósforos; extracción de agentes volátiles de las flores y extracción del azufre; fabricación de mastiques y colas; preparación de la carbanilina como aceleradores de vulcanización del hule; removedores de pinturas, barnices o tratamiento de los suelos, y tetracloruro de carbono. Personas trabajadoras expuestas a estas sustancias en procesos de almacenamiento, aplicación, mantenimiento, manejo y producción.</w:t>
      </w:r>
    </w:p>
    <w:p>
      <w:pPr>
        <w:pStyle w:val="ListParagraph"/>
        <w:numPr>
          <w:ilvl w:val="2"/>
          <w:numId w:val="160"/>
        </w:numPr>
        <w:tabs>
          <w:tab w:pos="1045" w:val="left" w:leader="none"/>
          <w:tab w:pos="1058" w:val="left" w:leader="none"/>
        </w:tabs>
        <w:spacing w:line="240" w:lineRule="auto" w:before="229" w:after="0"/>
        <w:ind w:left="1058" w:right="339" w:hanging="432"/>
        <w:jc w:val="both"/>
        <w:rPr>
          <w:sz w:val="20"/>
        </w:rPr>
      </w:pPr>
      <w:r>
        <w:rPr>
          <w:sz w:val="20"/>
        </w:rPr>
        <w:t>Personas trabajadoras que utilizan ácido nítrico: barnices, colorantes, colodión, cuero sintético, explosivos, lacas, nitrocelulosa, producción de abonos orgánicos y seda artificial.</w:t>
      </w:r>
    </w:p>
    <w:p>
      <w:pPr>
        <w:pStyle w:val="ListParagraph"/>
        <w:numPr>
          <w:ilvl w:val="2"/>
          <w:numId w:val="160"/>
        </w:numPr>
        <w:tabs>
          <w:tab w:pos="1045" w:val="left" w:leader="none"/>
          <w:tab w:pos="1058" w:val="left" w:leader="none"/>
        </w:tabs>
        <w:spacing w:line="240" w:lineRule="auto" w:before="228" w:after="0"/>
        <w:ind w:left="1058" w:right="347" w:hanging="432"/>
        <w:jc w:val="both"/>
        <w:rPr>
          <w:sz w:val="20"/>
        </w:rPr>
      </w:pPr>
      <w:r>
        <w:rPr>
          <w:sz w:val="20"/>
        </w:rPr>
        <w:t>Personas trabajadoras expuestas a nitroglicerina, que se</w:t>
      </w:r>
      <w:r>
        <w:rPr>
          <w:spacing w:val="-1"/>
          <w:sz w:val="20"/>
        </w:rPr>
        <w:t> </w:t>
      </w:r>
      <w:r>
        <w:rPr>
          <w:sz w:val="20"/>
        </w:rPr>
        <w:t>dedican</w:t>
      </w:r>
      <w:r>
        <w:rPr>
          <w:spacing w:val="-1"/>
          <w:sz w:val="20"/>
        </w:rPr>
        <w:t> </w:t>
      </w:r>
      <w:r>
        <w:rPr>
          <w:sz w:val="20"/>
        </w:rPr>
        <w:t>a la fabricación de explosivos y en la industria farmacéutica.</w:t>
      </w:r>
    </w:p>
    <w:p>
      <w:pPr>
        <w:pStyle w:val="ListParagraph"/>
        <w:numPr>
          <w:ilvl w:val="2"/>
          <w:numId w:val="160"/>
        </w:numPr>
        <w:tabs>
          <w:tab w:pos="1045" w:val="left" w:leader="none"/>
          <w:tab w:pos="1058" w:val="left" w:leader="none"/>
        </w:tabs>
        <w:spacing w:line="240" w:lineRule="auto" w:before="228" w:after="0"/>
        <w:ind w:left="1058" w:right="330" w:hanging="432"/>
        <w:jc w:val="both"/>
        <w:rPr>
          <w:sz w:val="20"/>
        </w:rPr>
      </w:pPr>
      <w:r>
        <w:rPr>
          <w:sz w:val="20"/>
        </w:rPr>
        <w:t>Personas trabajadoras que laboran en las industrias químico-farmacéuticas y de medicamentos. Comprende a las empresas que se dedican a la industrialización de materias primas químico- farmacéuticas,</w:t>
      </w:r>
      <w:r>
        <w:rPr>
          <w:spacing w:val="56"/>
          <w:sz w:val="20"/>
        </w:rPr>
        <w:t> </w:t>
      </w:r>
      <w:r>
        <w:rPr>
          <w:sz w:val="20"/>
        </w:rPr>
        <w:t>a</w:t>
      </w:r>
      <w:r>
        <w:rPr>
          <w:spacing w:val="58"/>
          <w:sz w:val="20"/>
        </w:rPr>
        <w:t> </w:t>
      </w:r>
      <w:r>
        <w:rPr>
          <w:sz w:val="20"/>
        </w:rPr>
        <w:t>través</w:t>
      </w:r>
      <w:r>
        <w:rPr>
          <w:spacing w:val="57"/>
          <w:sz w:val="20"/>
        </w:rPr>
        <w:t> </w:t>
      </w:r>
      <w:r>
        <w:rPr>
          <w:sz w:val="20"/>
        </w:rPr>
        <w:t>de</w:t>
      </w:r>
      <w:r>
        <w:rPr>
          <w:spacing w:val="56"/>
          <w:sz w:val="20"/>
        </w:rPr>
        <w:t> </w:t>
      </w:r>
      <w:r>
        <w:rPr>
          <w:sz w:val="20"/>
        </w:rPr>
        <w:t>extracción,</w:t>
      </w:r>
      <w:r>
        <w:rPr>
          <w:spacing w:val="58"/>
          <w:sz w:val="20"/>
        </w:rPr>
        <w:t> </w:t>
      </w:r>
      <w:r>
        <w:rPr>
          <w:sz w:val="20"/>
        </w:rPr>
        <w:t>desarrollo,</w:t>
      </w:r>
      <w:r>
        <w:rPr>
          <w:spacing w:val="59"/>
          <w:sz w:val="20"/>
        </w:rPr>
        <w:t> </w:t>
      </w:r>
      <w:r>
        <w:rPr>
          <w:sz w:val="20"/>
        </w:rPr>
        <w:t>síntesis</w:t>
      </w:r>
      <w:r>
        <w:rPr>
          <w:spacing w:val="62"/>
          <w:sz w:val="20"/>
        </w:rPr>
        <w:t> </w:t>
      </w:r>
      <w:r>
        <w:rPr>
          <w:sz w:val="20"/>
        </w:rPr>
        <w:t>y</w:t>
      </w:r>
      <w:r>
        <w:rPr>
          <w:spacing w:val="63"/>
          <w:sz w:val="20"/>
        </w:rPr>
        <w:t> </w:t>
      </w:r>
      <w:r>
        <w:rPr>
          <w:sz w:val="20"/>
        </w:rPr>
        <w:t>otros</w:t>
      </w:r>
      <w:r>
        <w:rPr>
          <w:spacing w:val="57"/>
          <w:sz w:val="20"/>
        </w:rPr>
        <w:t> </w:t>
      </w:r>
      <w:r>
        <w:rPr>
          <w:sz w:val="20"/>
        </w:rPr>
        <w:t>similares,</w:t>
      </w:r>
      <w:r>
        <w:rPr>
          <w:spacing w:val="58"/>
          <w:sz w:val="20"/>
        </w:rPr>
        <w:t> </w:t>
      </w:r>
      <w:r>
        <w:rPr>
          <w:sz w:val="20"/>
        </w:rPr>
        <w:t>así</w:t>
      </w:r>
      <w:r>
        <w:rPr>
          <w:spacing w:val="56"/>
          <w:sz w:val="20"/>
        </w:rPr>
        <w:t> </w:t>
      </w:r>
      <w:r>
        <w:rPr>
          <w:sz w:val="20"/>
        </w:rPr>
        <w:t>como</w:t>
      </w:r>
      <w:r>
        <w:rPr>
          <w:spacing w:val="56"/>
          <w:sz w:val="20"/>
        </w:rPr>
        <w:t> </w:t>
      </w:r>
      <w:r>
        <w:rPr>
          <w:sz w:val="20"/>
        </w:rPr>
        <w:t>a</w:t>
      </w:r>
      <w:r>
        <w:rPr>
          <w:spacing w:val="58"/>
          <w:sz w:val="20"/>
        </w:rPr>
        <w:t> </w:t>
      </w:r>
      <w:r>
        <w:rPr>
          <w:sz w:val="20"/>
        </w:rPr>
        <w:t>la</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058" w:right="336"/>
        <w:jc w:val="both"/>
      </w:pPr>
      <w:r>
        <w:rPr/>
        <w:t>fabricación de medicamentos, acondicionamiento y envase de los mismos. Personas</w:t>
      </w:r>
      <w:r>
        <w:rPr>
          <w:spacing w:val="40"/>
        </w:rPr>
        <w:t> </w:t>
      </w:r>
      <w:r>
        <w:rPr/>
        <w:t>trabajadoras que se dedican a la fabricación de perfumes y cosméticos. Personas trabajadoras que realizan labores de formulación, elaboración y envase de esencias, perfumes, cosméticos, lociones, desodorantes, fijadores para el cabello y otros productos de tocador.</w:t>
      </w:r>
    </w:p>
    <w:p>
      <w:pPr>
        <w:pStyle w:val="BodyText"/>
        <w:spacing w:before="1"/>
      </w:pPr>
    </w:p>
    <w:p>
      <w:pPr>
        <w:pStyle w:val="ListParagraph"/>
        <w:numPr>
          <w:ilvl w:val="2"/>
          <w:numId w:val="160"/>
        </w:numPr>
        <w:tabs>
          <w:tab w:pos="1045" w:val="left" w:leader="none"/>
          <w:tab w:pos="1058" w:val="left" w:leader="none"/>
        </w:tabs>
        <w:spacing w:line="240" w:lineRule="auto" w:before="0" w:after="0"/>
        <w:ind w:left="1058" w:right="334" w:hanging="432"/>
        <w:jc w:val="both"/>
        <w:rPr>
          <w:sz w:val="20"/>
        </w:rPr>
      </w:pPr>
      <w:r>
        <w:rPr>
          <w:sz w:val="20"/>
        </w:rPr>
        <w:t>Personas trabajadoras de los servicios de revelado fotográfico. Comprende a las empresas que se dedican a la prestación de servicios de revelado fotográfico industrial. Personas trabajadoras de</w:t>
      </w:r>
      <w:r>
        <w:rPr>
          <w:spacing w:val="-2"/>
          <w:sz w:val="20"/>
        </w:rPr>
        <w:t> </w:t>
      </w:r>
      <w:r>
        <w:rPr>
          <w:sz w:val="20"/>
        </w:rPr>
        <w:t>la industria</w:t>
      </w:r>
      <w:r>
        <w:rPr>
          <w:spacing w:val="-1"/>
          <w:sz w:val="20"/>
        </w:rPr>
        <w:t> </w:t>
      </w:r>
      <w:r>
        <w:rPr>
          <w:sz w:val="20"/>
        </w:rPr>
        <w:t>textil</w:t>
      </w:r>
      <w:r>
        <w:rPr>
          <w:spacing w:val="-2"/>
          <w:sz w:val="20"/>
        </w:rPr>
        <w:t> </w:t>
      </w:r>
      <w:r>
        <w:rPr>
          <w:sz w:val="20"/>
        </w:rPr>
        <w:t>dedicadas a</w:t>
      </w:r>
      <w:r>
        <w:rPr>
          <w:spacing w:val="-1"/>
          <w:sz w:val="20"/>
        </w:rPr>
        <w:t> </w:t>
      </w:r>
      <w:r>
        <w:rPr>
          <w:sz w:val="20"/>
        </w:rPr>
        <w:t>la</w:t>
      </w:r>
      <w:r>
        <w:rPr>
          <w:spacing w:val="-1"/>
          <w:sz w:val="20"/>
        </w:rPr>
        <w:t> </w:t>
      </w:r>
      <w:r>
        <w:rPr>
          <w:sz w:val="20"/>
        </w:rPr>
        <w:t>manufactura</w:t>
      </w:r>
      <w:r>
        <w:rPr>
          <w:spacing w:val="-1"/>
          <w:sz w:val="20"/>
        </w:rPr>
        <w:t> </w:t>
      </w:r>
      <w:r>
        <w:rPr>
          <w:sz w:val="20"/>
        </w:rPr>
        <w:t>de</w:t>
      </w:r>
      <w:r>
        <w:rPr>
          <w:spacing w:val="-2"/>
          <w:sz w:val="20"/>
        </w:rPr>
        <w:t> </w:t>
      </w:r>
      <w:r>
        <w:rPr>
          <w:sz w:val="20"/>
        </w:rPr>
        <w:t>seda</w:t>
      </w:r>
      <w:r>
        <w:rPr>
          <w:spacing w:val="-1"/>
          <w:sz w:val="20"/>
        </w:rPr>
        <w:t> </w:t>
      </w:r>
      <w:r>
        <w:rPr>
          <w:sz w:val="20"/>
        </w:rPr>
        <w:t>artificial</w:t>
      </w:r>
      <w:r>
        <w:rPr>
          <w:spacing w:val="-2"/>
          <w:sz w:val="20"/>
        </w:rPr>
        <w:t> </w:t>
      </w:r>
      <w:r>
        <w:rPr>
          <w:sz w:val="20"/>
        </w:rPr>
        <w:t>del</w:t>
      </w:r>
      <w:r>
        <w:rPr>
          <w:spacing w:val="-2"/>
          <w:sz w:val="20"/>
        </w:rPr>
        <w:t> </w:t>
      </w:r>
      <w:r>
        <w:rPr>
          <w:sz w:val="20"/>
        </w:rPr>
        <w:t>tipo</w:t>
      </w:r>
      <w:r>
        <w:rPr>
          <w:spacing w:val="-2"/>
          <w:sz w:val="20"/>
        </w:rPr>
        <w:t> </w:t>
      </w:r>
      <w:r>
        <w:rPr>
          <w:sz w:val="20"/>
        </w:rPr>
        <w:t>celofán, fibras,</w:t>
      </w:r>
      <w:r>
        <w:rPr>
          <w:spacing w:val="-1"/>
          <w:sz w:val="20"/>
        </w:rPr>
        <w:t> </w:t>
      </w:r>
      <w:r>
        <w:rPr>
          <w:sz w:val="20"/>
        </w:rPr>
        <w:t>viscosa y rayón.</w:t>
      </w:r>
      <w:r>
        <w:rPr>
          <w:spacing w:val="-2"/>
          <w:sz w:val="20"/>
        </w:rPr>
        <w:t> </w:t>
      </w:r>
      <w:r>
        <w:rPr>
          <w:sz w:val="20"/>
        </w:rPr>
        <w:t>Personas</w:t>
      </w:r>
      <w:r>
        <w:rPr>
          <w:spacing w:val="-1"/>
          <w:sz w:val="20"/>
        </w:rPr>
        <w:t> </w:t>
      </w:r>
      <w:r>
        <w:rPr>
          <w:sz w:val="20"/>
        </w:rPr>
        <w:t>trabajadoras que laboran</w:t>
      </w:r>
      <w:r>
        <w:rPr>
          <w:spacing w:val="-2"/>
          <w:sz w:val="20"/>
        </w:rPr>
        <w:t> </w:t>
      </w:r>
      <w:r>
        <w:rPr>
          <w:sz w:val="20"/>
        </w:rPr>
        <w:t>en</w:t>
      </w:r>
      <w:r>
        <w:rPr>
          <w:spacing w:val="-2"/>
          <w:sz w:val="20"/>
        </w:rPr>
        <w:t> </w:t>
      </w:r>
      <w:r>
        <w:rPr>
          <w:sz w:val="20"/>
        </w:rPr>
        <w:t>la</w:t>
      </w:r>
      <w:r>
        <w:rPr>
          <w:spacing w:val="-2"/>
          <w:sz w:val="20"/>
        </w:rPr>
        <w:t> </w:t>
      </w:r>
      <w:r>
        <w:rPr>
          <w:sz w:val="20"/>
        </w:rPr>
        <w:t>fabricación de productos y</w:t>
      </w:r>
      <w:r>
        <w:rPr>
          <w:spacing w:val="-2"/>
          <w:sz w:val="20"/>
        </w:rPr>
        <w:t> </w:t>
      </w:r>
      <w:r>
        <w:rPr>
          <w:sz w:val="20"/>
        </w:rPr>
        <w:t>partes</w:t>
      </w:r>
      <w:r>
        <w:rPr>
          <w:spacing w:val="-1"/>
          <w:sz w:val="20"/>
        </w:rPr>
        <w:t> </w:t>
      </w:r>
      <w:r>
        <w:rPr>
          <w:sz w:val="20"/>
        </w:rPr>
        <w:t>pre</w:t>
      </w:r>
      <w:r>
        <w:rPr>
          <w:spacing w:val="-2"/>
          <w:sz w:val="20"/>
        </w:rPr>
        <w:t> </w:t>
      </w:r>
      <w:r>
        <w:rPr>
          <w:sz w:val="20"/>
        </w:rPr>
        <w:t>construidas de</w:t>
      </w:r>
      <w:r>
        <w:rPr>
          <w:spacing w:val="-1"/>
          <w:sz w:val="20"/>
        </w:rPr>
        <w:t> </w:t>
      </w:r>
      <w:r>
        <w:rPr>
          <w:sz w:val="20"/>
        </w:rPr>
        <w:t>concreto.</w:t>
      </w:r>
      <w:r>
        <w:rPr>
          <w:spacing w:val="-1"/>
          <w:sz w:val="20"/>
        </w:rPr>
        <w:t> </w:t>
      </w:r>
      <w:r>
        <w:rPr>
          <w:sz w:val="20"/>
        </w:rPr>
        <w:t>De</w:t>
      </w:r>
      <w:r>
        <w:rPr>
          <w:spacing w:val="-1"/>
          <w:sz w:val="20"/>
        </w:rPr>
        <w:t> </w:t>
      </w:r>
      <w:r>
        <w:rPr>
          <w:sz w:val="20"/>
        </w:rPr>
        <w:t>igual</w:t>
      </w:r>
      <w:r>
        <w:rPr>
          <w:spacing w:val="-1"/>
          <w:sz w:val="20"/>
        </w:rPr>
        <w:t> </w:t>
      </w:r>
      <w:r>
        <w:rPr>
          <w:sz w:val="20"/>
        </w:rPr>
        <w:t>forma,</w:t>
      </w:r>
      <w:r>
        <w:rPr>
          <w:spacing w:val="-1"/>
          <w:sz w:val="20"/>
        </w:rPr>
        <w:t> </w:t>
      </w:r>
      <w:r>
        <w:rPr>
          <w:sz w:val="20"/>
        </w:rPr>
        <w:t>comprende</w:t>
      </w:r>
      <w:r>
        <w:rPr>
          <w:spacing w:val="-1"/>
          <w:sz w:val="20"/>
        </w:rPr>
        <w:t> </w:t>
      </w:r>
      <w:r>
        <w:rPr>
          <w:sz w:val="20"/>
        </w:rPr>
        <w:t>a las empresas que, a base de</w:t>
      </w:r>
      <w:r>
        <w:rPr>
          <w:spacing w:val="-1"/>
          <w:sz w:val="20"/>
        </w:rPr>
        <w:t> </w:t>
      </w:r>
      <w:r>
        <w:rPr>
          <w:sz w:val="20"/>
        </w:rPr>
        <w:t>concreto,</w:t>
      </w:r>
      <w:r>
        <w:rPr>
          <w:spacing w:val="-1"/>
          <w:sz w:val="20"/>
        </w:rPr>
        <w:t> </w:t>
      </w:r>
      <w:r>
        <w:rPr>
          <w:sz w:val="20"/>
        </w:rPr>
        <w:t>se</w:t>
      </w:r>
      <w:r>
        <w:rPr>
          <w:spacing w:val="-1"/>
          <w:sz w:val="20"/>
        </w:rPr>
        <w:t> </w:t>
      </w:r>
      <w:r>
        <w:rPr>
          <w:sz w:val="20"/>
        </w:rPr>
        <w:t>dedican</w:t>
      </w:r>
      <w:r>
        <w:rPr>
          <w:spacing w:val="-1"/>
          <w:sz w:val="20"/>
        </w:rPr>
        <w:t> </w:t>
      </w:r>
      <w:r>
        <w:rPr>
          <w:sz w:val="20"/>
        </w:rPr>
        <w:t>a la fabricación de tubos, bloques, vigas, postes, tabiques, módulos para casas, lavaderos y otras partes pre construidas de concreto. Excepto los productos y partes de asbesto-cemento, de granito y el montaje de los productos mencionados y clasificados por separado.</w:t>
      </w:r>
    </w:p>
    <w:p>
      <w:pPr>
        <w:pStyle w:val="ListParagraph"/>
        <w:numPr>
          <w:ilvl w:val="2"/>
          <w:numId w:val="160"/>
        </w:numPr>
        <w:tabs>
          <w:tab w:pos="1045" w:val="left" w:leader="none"/>
          <w:tab w:pos="1058" w:val="left" w:leader="none"/>
        </w:tabs>
        <w:spacing w:line="240" w:lineRule="auto" w:before="229" w:after="0"/>
        <w:ind w:left="1058" w:right="33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6" w:after="0"/>
        <w:ind w:left="956" w:right="0" w:hanging="330"/>
        <w:jc w:val="left"/>
      </w:pPr>
      <w:r>
        <w:rPr/>
        <w:t>Insuficiencia</w:t>
      </w:r>
      <w:r>
        <w:rPr>
          <w:spacing w:val="-12"/>
        </w:rPr>
        <w:t> </w:t>
      </w:r>
      <w:r>
        <w:rPr/>
        <w:t>venosa</w:t>
      </w:r>
      <w:r>
        <w:rPr>
          <w:spacing w:val="-10"/>
        </w:rPr>
        <w:t> </w:t>
      </w:r>
      <w:r>
        <w:rPr/>
        <w:t>periférica</w:t>
      </w:r>
      <w:r>
        <w:rPr>
          <w:spacing w:val="-11"/>
        </w:rPr>
        <w:t> </w:t>
      </w:r>
      <w:r>
        <w:rPr>
          <w:spacing w:val="-2"/>
        </w:rPr>
        <w:t>crónica</w:t>
      </w:r>
    </w:p>
    <w:p>
      <w:pPr>
        <w:pStyle w:val="BodyText"/>
        <w:spacing w:before="3"/>
        <w:rPr>
          <w:rFonts w:ascii="Arial"/>
          <w:b/>
        </w:rPr>
      </w:pPr>
    </w:p>
    <w:p>
      <w:pPr>
        <w:pStyle w:val="BodyText"/>
        <w:ind w:left="626"/>
      </w:pPr>
      <w:r>
        <w:rPr/>
        <w:t>Código</w:t>
      </w:r>
      <w:r>
        <w:rPr>
          <w:spacing w:val="-10"/>
        </w:rPr>
        <w:t> </w:t>
      </w:r>
      <w:r>
        <w:rPr/>
        <w:t>CIE-11:</w:t>
      </w:r>
      <w:r>
        <w:rPr>
          <w:spacing w:val="-7"/>
        </w:rPr>
        <w:t> </w:t>
      </w:r>
      <w:r>
        <w:rPr>
          <w:spacing w:val="-2"/>
        </w:rPr>
        <w:t>BD74Z</w:t>
      </w:r>
    </w:p>
    <w:p>
      <w:pPr>
        <w:pStyle w:val="ListParagraph"/>
        <w:numPr>
          <w:ilvl w:val="2"/>
          <w:numId w:val="160"/>
        </w:numPr>
        <w:tabs>
          <w:tab w:pos="1045" w:val="left" w:leader="none"/>
          <w:tab w:pos="1058" w:val="left" w:leader="none"/>
        </w:tabs>
        <w:spacing w:line="240" w:lineRule="auto" w:before="230" w:after="0"/>
        <w:ind w:left="1058" w:right="341" w:hanging="432"/>
        <w:jc w:val="both"/>
        <w:rPr>
          <w:sz w:val="20"/>
        </w:rPr>
      </w:pPr>
      <w:r>
        <w:rPr>
          <w:sz w:val="20"/>
        </w:rPr>
        <w:t>Personas trabajadoras que permanecen de pie o sentadas por tiempo prolongado o realizan marchas prolongadas con o sin manejo de bultos pesados, tales como: cajeras, carteros,</w:t>
      </w:r>
      <w:r>
        <w:rPr>
          <w:spacing w:val="40"/>
          <w:sz w:val="20"/>
        </w:rPr>
        <w:t> </w:t>
      </w:r>
      <w:r>
        <w:rPr>
          <w:sz w:val="20"/>
        </w:rPr>
        <w:t>chóferes de transporte terrestre, cirujanos, dentistas, personas empleadas de mostrador, enfermeras de quirófano, estibadores, estilistas, peluqueros, meseros, policías, secretarias, tipógrafos, vendedores y vigilantes.</w:t>
      </w:r>
    </w:p>
    <w:p>
      <w:pPr>
        <w:pStyle w:val="ListParagraph"/>
        <w:numPr>
          <w:ilvl w:val="2"/>
          <w:numId w:val="160"/>
        </w:numPr>
        <w:tabs>
          <w:tab w:pos="1045" w:val="left" w:leader="none"/>
          <w:tab w:pos="1058" w:val="left" w:leader="none"/>
        </w:tabs>
        <w:spacing w:line="240" w:lineRule="auto" w:before="227" w:after="0"/>
        <w:ind w:left="1058" w:right="33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31" w:val="left" w:leader="none"/>
        </w:tabs>
        <w:spacing w:line="240" w:lineRule="auto" w:before="229" w:after="0"/>
        <w:ind w:left="338" w:right="342" w:firstLine="288"/>
        <w:jc w:val="left"/>
      </w:pPr>
      <w:r>
        <w:rPr/>
        <w:t>Otras</w:t>
      </w:r>
      <w:r>
        <w:rPr>
          <w:spacing w:val="70"/>
        </w:rPr>
        <w:t> </w:t>
      </w:r>
      <w:r>
        <w:rPr/>
        <w:t>enfermedades</w:t>
      </w:r>
      <w:r>
        <w:rPr>
          <w:spacing w:val="71"/>
        </w:rPr>
        <w:t> </w:t>
      </w:r>
      <w:r>
        <w:rPr/>
        <w:t>vasculares</w:t>
      </w:r>
      <w:r>
        <w:rPr>
          <w:spacing w:val="40"/>
        </w:rPr>
        <w:t> </w:t>
      </w:r>
      <w:r>
        <w:rPr/>
        <w:t>periféricas,</w:t>
      </w:r>
      <w:r>
        <w:rPr>
          <w:spacing w:val="71"/>
        </w:rPr>
        <w:t> </w:t>
      </w:r>
      <w:r>
        <w:rPr/>
        <w:t>síndrome</w:t>
      </w:r>
      <w:r>
        <w:rPr>
          <w:spacing w:val="40"/>
        </w:rPr>
        <w:t> </w:t>
      </w:r>
      <w:r>
        <w:rPr/>
        <w:t>de</w:t>
      </w:r>
      <w:r>
        <w:rPr>
          <w:spacing w:val="40"/>
        </w:rPr>
        <w:t> </w:t>
      </w:r>
      <w:r>
        <w:rPr/>
        <w:t>vibración</w:t>
      </w:r>
      <w:r>
        <w:rPr>
          <w:spacing w:val="72"/>
        </w:rPr>
        <w:t> </w:t>
      </w:r>
      <w:r>
        <w:rPr/>
        <w:t>de</w:t>
      </w:r>
      <w:r>
        <w:rPr>
          <w:spacing w:val="40"/>
        </w:rPr>
        <w:t> </w:t>
      </w:r>
      <w:r>
        <w:rPr/>
        <w:t>mano</w:t>
      </w:r>
      <w:r>
        <w:rPr>
          <w:spacing w:val="72"/>
        </w:rPr>
        <w:t> </w:t>
      </w:r>
      <w:r>
        <w:rPr/>
        <w:t>y</w:t>
      </w:r>
      <w:r>
        <w:rPr>
          <w:spacing w:val="40"/>
        </w:rPr>
        <w:t> </w:t>
      </w:r>
      <w:r>
        <w:rPr/>
        <w:t>brazo (enfermedad del dedo blanco, síndrome de raynaud)</w:t>
      </w:r>
    </w:p>
    <w:p>
      <w:pPr>
        <w:pStyle w:val="BodyText"/>
        <w:spacing w:before="1"/>
        <w:rPr>
          <w:rFonts w:ascii="Arial"/>
          <w:b/>
        </w:rPr>
      </w:pPr>
    </w:p>
    <w:p>
      <w:pPr>
        <w:pStyle w:val="BodyText"/>
        <w:ind w:left="626"/>
      </w:pPr>
      <w:r>
        <w:rPr/>
        <w:t>Código</w:t>
      </w:r>
      <w:r>
        <w:rPr>
          <w:spacing w:val="-10"/>
        </w:rPr>
        <w:t> </w:t>
      </w:r>
      <w:r>
        <w:rPr/>
        <w:t>CIE-11:</w:t>
      </w:r>
      <w:r>
        <w:rPr>
          <w:spacing w:val="-7"/>
        </w:rPr>
        <w:t> </w:t>
      </w:r>
      <w:r>
        <w:rPr/>
        <w:t>BE2Y,</w:t>
      </w:r>
      <w:r>
        <w:rPr>
          <w:spacing w:val="-6"/>
        </w:rPr>
        <w:t> </w:t>
      </w:r>
      <w:r>
        <w:rPr>
          <w:spacing w:val="-2"/>
        </w:rPr>
        <w:t>BD42.1</w:t>
      </w:r>
    </w:p>
    <w:p>
      <w:pPr>
        <w:pStyle w:val="ListParagraph"/>
        <w:numPr>
          <w:ilvl w:val="2"/>
          <w:numId w:val="160"/>
        </w:numPr>
        <w:tabs>
          <w:tab w:pos="1045" w:val="left" w:leader="none"/>
          <w:tab w:pos="1058" w:val="left" w:leader="none"/>
        </w:tabs>
        <w:spacing w:line="240" w:lineRule="auto" w:before="229" w:after="0"/>
        <w:ind w:left="1058" w:right="345" w:hanging="432"/>
        <w:jc w:val="both"/>
        <w:rPr>
          <w:sz w:val="20"/>
        </w:rPr>
      </w:pPr>
      <w:r>
        <w:rPr>
          <w:sz w:val="20"/>
        </w:rPr>
        <w:t>Personas trabajadoras expuestas de</w:t>
      </w:r>
      <w:r>
        <w:rPr>
          <w:spacing w:val="-1"/>
          <w:sz w:val="20"/>
        </w:rPr>
        <w:t> </w:t>
      </w:r>
      <w:r>
        <w:rPr>
          <w:sz w:val="20"/>
        </w:rPr>
        <w:t>las industrias de la</w:t>
      </w:r>
      <w:r>
        <w:rPr>
          <w:spacing w:val="-1"/>
          <w:sz w:val="20"/>
        </w:rPr>
        <w:t> </w:t>
      </w:r>
      <w:r>
        <w:rPr>
          <w:sz w:val="20"/>
        </w:rPr>
        <w:t>construcción, química,</w:t>
      </w:r>
      <w:r>
        <w:rPr>
          <w:spacing w:val="-1"/>
          <w:sz w:val="20"/>
        </w:rPr>
        <w:t> </w:t>
      </w:r>
      <w:r>
        <w:rPr>
          <w:sz w:val="20"/>
        </w:rPr>
        <w:t>farmacéutica y</w:t>
      </w:r>
      <w:r>
        <w:rPr>
          <w:spacing w:val="-4"/>
          <w:sz w:val="20"/>
        </w:rPr>
        <w:t> </w:t>
      </w:r>
      <w:r>
        <w:rPr>
          <w:sz w:val="20"/>
        </w:rPr>
        <w:t>de servicios de salud.</w:t>
      </w:r>
    </w:p>
    <w:p>
      <w:pPr>
        <w:pStyle w:val="ListParagraph"/>
        <w:numPr>
          <w:ilvl w:val="2"/>
          <w:numId w:val="160"/>
        </w:numPr>
        <w:tabs>
          <w:tab w:pos="1045" w:val="left" w:leader="none"/>
          <w:tab w:pos="1058" w:val="left" w:leader="none"/>
        </w:tabs>
        <w:spacing w:line="240" w:lineRule="auto" w:before="229" w:after="0"/>
        <w:ind w:left="1058" w:right="338" w:hanging="432"/>
        <w:jc w:val="both"/>
        <w:rPr>
          <w:sz w:val="20"/>
        </w:rPr>
      </w:pPr>
      <w:r>
        <w:rPr>
          <w:sz w:val="20"/>
        </w:rPr>
        <w:t>Personas trabajadoras expuestas a las vibraciones transmitidas a la mano y al brazo por máquinas o por objetos mantenidos sobre una superficie vibrante (gama de frecuencia de 25 a 250 Hz). Puestos de trabajo en los que se manejan maquinarias que transmitan vibraciones como: desbrozadoras, esmeriles, martillo neumático, perforadoras, pulidoras, punzones, sierras mecánicas, taladros a percusión y taladros. Personas trabajadoras que utilizan remachadoras y pistolas de sellado.</w:t>
      </w:r>
    </w:p>
    <w:p>
      <w:pPr>
        <w:pStyle w:val="ListParagraph"/>
        <w:spacing w:after="0" w:line="240" w:lineRule="auto"/>
        <w:jc w:val="both"/>
        <w:rPr>
          <w:sz w:val="20"/>
        </w:rPr>
        <w:sectPr>
          <w:pgSz w:w="12240" w:h="15840"/>
          <w:pgMar w:header="724" w:footer="712" w:top="1880" w:bottom="900" w:left="1080" w:right="1080"/>
        </w:sectPr>
      </w:pPr>
    </w:p>
    <w:p>
      <w:pPr>
        <w:pStyle w:val="BodyText"/>
        <w:spacing w:before="66"/>
      </w:pPr>
    </w:p>
    <w:p>
      <w:pPr>
        <w:pStyle w:val="ListParagraph"/>
        <w:numPr>
          <w:ilvl w:val="2"/>
          <w:numId w:val="160"/>
        </w:numPr>
        <w:tabs>
          <w:tab w:pos="1045" w:val="left" w:leader="none"/>
          <w:tab w:pos="1058" w:val="left" w:leader="none"/>
        </w:tabs>
        <w:spacing w:line="240" w:lineRule="auto" w:before="0" w:after="0"/>
        <w:ind w:left="1058" w:right="334" w:hanging="432"/>
        <w:jc w:val="both"/>
        <w:rPr>
          <w:sz w:val="20"/>
        </w:rPr>
      </w:pPr>
      <w:r>
        <w:rPr>
          <w:sz w:val="20"/>
        </w:rPr>
        <w:t>Personas trabajadoras que laboran en la producción y síntesis del policloruro de vinilo (PVC) que se exponen al monómero, como en las industrias donde se dedican a la fabricación de tuberías, perfiles de ventanas, impermeabilización de láminas, techos y productos para revestimientos de suelo. Trabajos en los que se exponen al apoyo de la región tenar e hipotenar de la mano de forma reiterativa, percutiendo sobre un plano fijo y rígido, así como los choques transmitidos a la eminencia hipotenar por una herramienta percutante. Personas trabajadoras que se dedican a la fabricación de bolsas de plástico, catéteres, plasma y sangre o suero.</w:t>
      </w:r>
    </w:p>
    <w:p>
      <w:pPr>
        <w:pStyle w:val="ListParagraph"/>
        <w:numPr>
          <w:ilvl w:val="2"/>
          <w:numId w:val="160"/>
        </w:numPr>
        <w:tabs>
          <w:tab w:pos="1045" w:val="left" w:leader="none"/>
          <w:tab w:pos="1058" w:val="left" w:leader="none"/>
        </w:tabs>
        <w:spacing w:line="240" w:lineRule="auto" w:before="228" w:after="0"/>
        <w:ind w:left="1058" w:right="33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spacing w:before="227"/>
        <w:ind w:left="626"/>
      </w:pPr>
      <w:r>
        <w:rPr/>
        <w:t>Grupo</w:t>
      </w:r>
      <w:r>
        <w:rPr>
          <w:spacing w:val="-8"/>
        </w:rPr>
        <w:t> </w:t>
      </w:r>
      <w:r>
        <w:rPr/>
        <w:t>IV.</w:t>
      </w:r>
      <w:r>
        <w:rPr>
          <w:spacing w:val="-9"/>
        </w:rPr>
        <w:t> </w:t>
      </w:r>
      <w:r>
        <w:rPr/>
        <w:t>Trastornos</w:t>
      </w:r>
      <w:r>
        <w:rPr>
          <w:spacing w:val="-7"/>
        </w:rPr>
        <w:t> </w:t>
      </w:r>
      <w:r>
        <w:rPr>
          <w:spacing w:val="-2"/>
        </w:rPr>
        <w:t>mentales</w:t>
      </w:r>
    </w:p>
    <w:p>
      <w:pPr>
        <w:pStyle w:val="BodyText"/>
        <w:spacing w:before="1"/>
        <w:rPr>
          <w:rFonts w:ascii="Arial"/>
          <w:b/>
        </w:rPr>
      </w:pPr>
    </w:p>
    <w:p>
      <w:pPr>
        <w:pStyle w:val="ListParagraph"/>
        <w:numPr>
          <w:ilvl w:val="1"/>
          <w:numId w:val="160"/>
        </w:numPr>
        <w:tabs>
          <w:tab w:pos="956" w:val="left" w:leader="none"/>
        </w:tabs>
        <w:spacing w:line="240" w:lineRule="auto" w:before="0" w:after="0"/>
        <w:ind w:left="956" w:right="0" w:hanging="330"/>
        <w:jc w:val="left"/>
        <w:rPr>
          <w:rFonts w:ascii="Arial"/>
          <w:b/>
          <w:sz w:val="20"/>
        </w:rPr>
      </w:pPr>
      <w:r>
        <w:rPr>
          <w:rFonts w:ascii="Arial"/>
          <w:b/>
          <w:sz w:val="20"/>
        </w:rPr>
        <w:t>Trastorno</w:t>
      </w:r>
      <w:r>
        <w:rPr>
          <w:rFonts w:ascii="Arial"/>
          <w:b/>
          <w:spacing w:val="-8"/>
          <w:sz w:val="20"/>
        </w:rPr>
        <w:t> </w:t>
      </w:r>
      <w:r>
        <w:rPr>
          <w:rFonts w:ascii="Arial"/>
          <w:b/>
          <w:sz w:val="20"/>
        </w:rPr>
        <w:t>de</w:t>
      </w:r>
      <w:r>
        <w:rPr>
          <w:rFonts w:ascii="Arial"/>
          <w:b/>
          <w:spacing w:val="-5"/>
          <w:sz w:val="20"/>
        </w:rPr>
        <w:t> </w:t>
      </w:r>
      <w:r>
        <w:rPr>
          <w:rFonts w:ascii="Arial"/>
          <w:b/>
          <w:spacing w:val="-2"/>
          <w:sz w:val="20"/>
        </w:rPr>
        <w:t>ansiedad</w:t>
      </w:r>
    </w:p>
    <w:p>
      <w:pPr>
        <w:pStyle w:val="BodyText"/>
        <w:spacing w:before="3"/>
        <w:rPr>
          <w:rFonts w:ascii="Arial"/>
          <w:b/>
        </w:rPr>
      </w:pPr>
    </w:p>
    <w:p>
      <w:pPr>
        <w:pStyle w:val="BodyText"/>
        <w:ind w:left="626"/>
      </w:pPr>
      <w:r>
        <w:rPr/>
        <w:t>Código</w:t>
      </w:r>
      <w:r>
        <w:rPr>
          <w:spacing w:val="-8"/>
        </w:rPr>
        <w:t> </w:t>
      </w:r>
      <w:r>
        <w:rPr/>
        <w:t>CIE-11:</w:t>
      </w:r>
      <w:r>
        <w:rPr>
          <w:spacing w:val="-7"/>
        </w:rPr>
        <w:t> </w:t>
      </w:r>
      <w:r>
        <w:rPr/>
        <w:t>6B00,</w:t>
      </w:r>
      <w:r>
        <w:rPr>
          <w:spacing w:val="-7"/>
        </w:rPr>
        <w:t> </w:t>
      </w:r>
      <w:r>
        <w:rPr/>
        <w:t>6B01,</w:t>
      </w:r>
      <w:r>
        <w:rPr>
          <w:spacing w:val="-7"/>
        </w:rPr>
        <w:t> </w:t>
      </w:r>
      <w:r>
        <w:rPr>
          <w:spacing w:val="-4"/>
        </w:rPr>
        <w:t>6B02</w:t>
      </w:r>
    </w:p>
    <w:p>
      <w:pPr>
        <w:pStyle w:val="ListParagraph"/>
        <w:numPr>
          <w:ilvl w:val="2"/>
          <w:numId w:val="160"/>
        </w:numPr>
        <w:tabs>
          <w:tab w:pos="1045" w:val="left" w:leader="none"/>
          <w:tab w:pos="1058" w:val="left" w:leader="none"/>
        </w:tabs>
        <w:spacing w:line="240" w:lineRule="auto" w:before="227" w:after="0"/>
        <w:ind w:left="1058" w:right="337" w:hanging="432"/>
        <w:jc w:val="both"/>
        <w:rPr>
          <w:sz w:val="20"/>
        </w:rPr>
      </w:pPr>
      <w:r>
        <w:rPr>
          <w:sz w:val="20"/>
        </w:rPr>
        <w:t>Personas</w:t>
      </w:r>
      <w:r>
        <w:rPr>
          <w:spacing w:val="-3"/>
          <w:sz w:val="20"/>
        </w:rPr>
        <w:t> </w:t>
      </w:r>
      <w:r>
        <w:rPr>
          <w:sz w:val="20"/>
        </w:rPr>
        <w:t>trabajadoras</w:t>
      </w:r>
      <w:r>
        <w:rPr>
          <w:spacing w:val="-2"/>
          <w:sz w:val="20"/>
        </w:rPr>
        <w:t> </w:t>
      </w:r>
      <w:r>
        <w:rPr>
          <w:sz w:val="20"/>
        </w:rPr>
        <w:t>del</w:t>
      </w:r>
      <w:r>
        <w:rPr>
          <w:spacing w:val="-4"/>
          <w:sz w:val="20"/>
        </w:rPr>
        <w:t> </w:t>
      </w:r>
      <w:r>
        <w:rPr>
          <w:sz w:val="20"/>
        </w:rPr>
        <w:t>sector</w:t>
      </w:r>
      <w:r>
        <w:rPr>
          <w:spacing w:val="-5"/>
          <w:sz w:val="20"/>
        </w:rPr>
        <w:t> </w:t>
      </w:r>
      <w:r>
        <w:rPr>
          <w:sz w:val="20"/>
        </w:rPr>
        <w:t>público</w:t>
      </w:r>
      <w:r>
        <w:rPr>
          <w:spacing w:val="-2"/>
          <w:sz w:val="20"/>
        </w:rPr>
        <w:t> </w:t>
      </w:r>
      <w:r>
        <w:rPr>
          <w:sz w:val="20"/>
        </w:rPr>
        <w:t>y</w:t>
      </w:r>
      <w:r>
        <w:rPr>
          <w:spacing w:val="-6"/>
          <w:sz w:val="20"/>
        </w:rPr>
        <w:t> </w:t>
      </w:r>
      <w:r>
        <w:rPr>
          <w:sz w:val="20"/>
        </w:rPr>
        <w:t>privado,</w:t>
      </w:r>
      <w:r>
        <w:rPr>
          <w:spacing w:val="-4"/>
          <w:sz w:val="20"/>
        </w:rPr>
        <w:t> </w:t>
      </w:r>
      <w:r>
        <w:rPr>
          <w:sz w:val="20"/>
        </w:rPr>
        <w:t>relacionadas</w:t>
      </w:r>
      <w:r>
        <w:rPr>
          <w:spacing w:val="-3"/>
          <w:sz w:val="20"/>
        </w:rPr>
        <w:t> </w:t>
      </w:r>
      <w:r>
        <w:rPr>
          <w:sz w:val="20"/>
        </w:rPr>
        <w:t>con</w:t>
      </w:r>
      <w:r>
        <w:rPr>
          <w:spacing w:val="-4"/>
          <w:sz w:val="20"/>
        </w:rPr>
        <w:t> </w:t>
      </w:r>
      <w:r>
        <w:rPr>
          <w:sz w:val="20"/>
        </w:rPr>
        <w:t>salud,</w:t>
      </w:r>
      <w:r>
        <w:rPr>
          <w:spacing w:val="-4"/>
          <w:sz w:val="20"/>
        </w:rPr>
        <w:t> </w:t>
      </w:r>
      <w:r>
        <w:rPr>
          <w:sz w:val="20"/>
        </w:rPr>
        <w:t>educación, transporte (terrestre, aéreo y marítimo), atención a usuarios, seguridad pública y privada, fuerzas armadas, atención de desastres y urgencias, así como personas trabajadoras del buceo industrial, del sector comercio, industrial, bancario y financiero. Puede presentarse en cualquier persona trabajadora y puesto de trabajo, su gravedad dependerá de los factores de riesgo psicosocial laborales negativos enfrentados y las características de exposición a ellos.</w:t>
      </w:r>
    </w:p>
    <w:p>
      <w:pPr>
        <w:pStyle w:val="BodyText"/>
      </w:pPr>
    </w:p>
    <w:p>
      <w:pPr>
        <w:pStyle w:val="ListParagraph"/>
        <w:numPr>
          <w:ilvl w:val="2"/>
          <w:numId w:val="160"/>
        </w:numPr>
        <w:tabs>
          <w:tab w:pos="1045" w:val="left" w:leader="none"/>
          <w:tab w:pos="1058" w:val="left" w:leader="none"/>
        </w:tabs>
        <w:spacing w:line="240" w:lineRule="auto" w:before="0" w:after="0"/>
        <w:ind w:left="1058" w:right="33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6" w:after="0"/>
        <w:ind w:left="956" w:right="0" w:hanging="330"/>
        <w:jc w:val="left"/>
      </w:pPr>
      <w:r>
        <w:rPr/>
        <w:t>Trastornos</w:t>
      </w:r>
      <w:r>
        <w:rPr>
          <w:spacing w:val="-8"/>
        </w:rPr>
        <w:t> </w:t>
      </w:r>
      <w:r>
        <w:rPr/>
        <w:t>no</w:t>
      </w:r>
      <w:r>
        <w:rPr>
          <w:spacing w:val="-7"/>
        </w:rPr>
        <w:t> </w:t>
      </w:r>
      <w:r>
        <w:rPr/>
        <w:t>orgánicos</w:t>
      </w:r>
      <w:r>
        <w:rPr>
          <w:spacing w:val="-8"/>
        </w:rPr>
        <w:t> </w:t>
      </w:r>
      <w:r>
        <w:rPr/>
        <w:t>del</w:t>
      </w:r>
      <w:r>
        <w:rPr>
          <w:spacing w:val="-7"/>
        </w:rPr>
        <w:t> </w:t>
      </w:r>
      <w:r>
        <w:rPr/>
        <w:t>ciclo</w:t>
      </w:r>
      <w:r>
        <w:rPr>
          <w:spacing w:val="-8"/>
        </w:rPr>
        <w:t> </w:t>
      </w:r>
      <w:r>
        <w:rPr/>
        <w:t>sueño-</w:t>
      </w:r>
      <w:r>
        <w:rPr>
          <w:spacing w:val="-2"/>
        </w:rPr>
        <w:t>vigilia</w:t>
      </w:r>
    </w:p>
    <w:p>
      <w:pPr>
        <w:pStyle w:val="BodyText"/>
        <w:spacing w:before="3"/>
        <w:rPr>
          <w:rFonts w:ascii="Arial"/>
          <w:b/>
        </w:rPr>
      </w:pPr>
    </w:p>
    <w:p>
      <w:pPr>
        <w:pStyle w:val="BodyText"/>
        <w:spacing w:before="1"/>
        <w:ind w:left="626"/>
      </w:pPr>
      <w:r>
        <w:rPr/>
        <w:t>Código</w:t>
      </w:r>
      <w:r>
        <w:rPr>
          <w:spacing w:val="-8"/>
        </w:rPr>
        <w:t> </w:t>
      </w:r>
      <w:r>
        <w:rPr/>
        <w:t>CIE-11:</w:t>
      </w:r>
      <w:r>
        <w:rPr>
          <w:spacing w:val="-7"/>
        </w:rPr>
        <w:t> </w:t>
      </w:r>
      <w:r>
        <w:rPr/>
        <w:t>7A62,</w:t>
      </w:r>
      <w:r>
        <w:rPr>
          <w:spacing w:val="-7"/>
        </w:rPr>
        <w:t> </w:t>
      </w:r>
      <w:r>
        <w:rPr/>
        <w:t>7A64,</w:t>
      </w:r>
      <w:r>
        <w:rPr>
          <w:spacing w:val="-7"/>
        </w:rPr>
        <w:t> </w:t>
      </w:r>
      <w:r>
        <w:rPr>
          <w:spacing w:val="-4"/>
        </w:rPr>
        <w:t>7A65</w:t>
      </w:r>
    </w:p>
    <w:p>
      <w:pPr>
        <w:pStyle w:val="ListParagraph"/>
        <w:numPr>
          <w:ilvl w:val="2"/>
          <w:numId w:val="160"/>
        </w:numPr>
        <w:tabs>
          <w:tab w:pos="1045" w:val="left" w:leader="none"/>
          <w:tab w:pos="1058" w:val="left" w:leader="none"/>
        </w:tabs>
        <w:spacing w:line="240" w:lineRule="auto" w:before="229" w:after="0"/>
        <w:ind w:left="1058" w:right="337" w:hanging="432"/>
        <w:jc w:val="both"/>
        <w:rPr>
          <w:sz w:val="20"/>
        </w:rPr>
      </w:pPr>
      <w:r>
        <w:rPr>
          <w:sz w:val="20"/>
        </w:rPr>
        <w:t>Personas</w:t>
      </w:r>
      <w:r>
        <w:rPr>
          <w:spacing w:val="-2"/>
          <w:sz w:val="20"/>
        </w:rPr>
        <w:t> </w:t>
      </w:r>
      <w:r>
        <w:rPr>
          <w:sz w:val="20"/>
        </w:rPr>
        <w:t>trabajadoras</w:t>
      </w:r>
      <w:r>
        <w:rPr>
          <w:spacing w:val="-1"/>
          <w:sz w:val="20"/>
        </w:rPr>
        <w:t> </w:t>
      </w:r>
      <w:r>
        <w:rPr>
          <w:sz w:val="20"/>
        </w:rPr>
        <w:t>del</w:t>
      </w:r>
      <w:r>
        <w:rPr>
          <w:spacing w:val="-4"/>
          <w:sz w:val="20"/>
        </w:rPr>
        <w:t> </w:t>
      </w:r>
      <w:r>
        <w:rPr>
          <w:sz w:val="20"/>
        </w:rPr>
        <w:t>sector</w:t>
      </w:r>
      <w:r>
        <w:rPr>
          <w:spacing w:val="-5"/>
          <w:sz w:val="20"/>
        </w:rPr>
        <w:t> </w:t>
      </w:r>
      <w:r>
        <w:rPr>
          <w:sz w:val="20"/>
        </w:rPr>
        <w:t>público</w:t>
      </w:r>
      <w:r>
        <w:rPr>
          <w:spacing w:val="-1"/>
          <w:sz w:val="20"/>
        </w:rPr>
        <w:t> </w:t>
      </w:r>
      <w:r>
        <w:rPr>
          <w:sz w:val="20"/>
        </w:rPr>
        <w:t>y</w:t>
      </w:r>
      <w:r>
        <w:rPr>
          <w:spacing w:val="-6"/>
          <w:sz w:val="20"/>
        </w:rPr>
        <w:t> </w:t>
      </w:r>
      <w:r>
        <w:rPr>
          <w:sz w:val="20"/>
        </w:rPr>
        <w:t>privado,</w:t>
      </w:r>
      <w:r>
        <w:rPr>
          <w:spacing w:val="-3"/>
          <w:sz w:val="20"/>
        </w:rPr>
        <w:t> </w:t>
      </w:r>
      <w:r>
        <w:rPr>
          <w:sz w:val="20"/>
        </w:rPr>
        <w:t>relacionadas</w:t>
      </w:r>
      <w:r>
        <w:rPr>
          <w:spacing w:val="-2"/>
          <w:sz w:val="20"/>
        </w:rPr>
        <w:t> </w:t>
      </w:r>
      <w:r>
        <w:rPr>
          <w:sz w:val="20"/>
        </w:rPr>
        <w:t>con</w:t>
      </w:r>
      <w:r>
        <w:rPr>
          <w:spacing w:val="-3"/>
          <w:sz w:val="20"/>
        </w:rPr>
        <w:t> </w:t>
      </w:r>
      <w:r>
        <w:rPr>
          <w:sz w:val="20"/>
        </w:rPr>
        <w:t>salud,</w:t>
      </w:r>
      <w:r>
        <w:rPr>
          <w:spacing w:val="-3"/>
          <w:sz w:val="20"/>
        </w:rPr>
        <w:t> </w:t>
      </w:r>
      <w:r>
        <w:rPr>
          <w:sz w:val="20"/>
        </w:rPr>
        <w:t>educación,</w:t>
      </w:r>
      <w:r>
        <w:rPr>
          <w:spacing w:val="-3"/>
          <w:sz w:val="20"/>
        </w:rPr>
        <w:t> </w:t>
      </w:r>
      <w:r>
        <w:rPr>
          <w:sz w:val="20"/>
        </w:rPr>
        <w:t>transporte (terrestre, aéreo y marítimo), buceo industrial, atención a usuarios, seguridad pública y privada, fuerzas armadas, atención de desastres y urgencias, así como personas trabajadoras del sector comercio,</w:t>
      </w:r>
      <w:r>
        <w:rPr>
          <w:spacing w:val="-1"/>
          <w:sz w:val="20"/>
        </w:rPr>
        <w:t> </w:t>
      </w:r>
      <w:r>
        <w:rPr>
          <w:sz w:val="20"/>
        </w:rPr>
        <w:t>industrial, bancario y</w:t>
      </w:r>
      <w:r>
        <w:rPr>
          <w:spacing w:val="-4"/>
          <w:sz w:val="20"/>
        </w:rPr>
        <w:t> </w:t>
      </w:r>
      <w:r>
        <w:rPr>
          <w:sz w:val="20"/>
        </w:rPr>
        <w:t>financiero. Puede presentarse en</w:t>
      </w:r>
      <w:r>
        <w:rPr>
          <w:spacing w:val="-1"/>
          <w:sz w:val="20"/>
        </w:rPr>
        <w:t> </w:t>
      </w:r>
      <w:r>
        <w:rPr>
          <w:sz w:val="20"/>
        </w:rPr>
        <w:t>cualquier persona</w:t>
      </w:r>
      <w:r>
        <w:rPr>
          <w:spacing w:val="-1"/>
          <w:sz w:val="20"/>
        </w:rPr>
        <w:t> </w:t>
      </w:r>
      <w:r>
        <w:rPr>
          <w:sz w:val="20"/>
        </w:rPr>
        <w:t>trabajadora y puesto de trabajo, su gravedad dependerá de los factores psicosociales negativos enfrentados y las características de exposición a ellos.</w:t>
      </w:r>
    </w:p>
    <w:p>
      <w:pPr>
        <w:pStyle w:val="ListParagraph"/>
        <w:numPr>
          <w:ilvl w:val="2"/>
          <w:numId w:val="160"/>
        </w:numPr>
        <w:tabs>
          <w:tab w:pos="1045" w:val="left" w:leader="none"/>
          <w:tab w:pos="1058" w:val="left" w:leader="none"/>
        </w:tabs>
        <w:spacing w:line="240" w:lineRule="auto" w:before="228" w:after="0"/>
        <w:ind w:left="1058" w:right="33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6" w:after="0"/>
        <w:ind w:left="956" w:right="0" w:hanging="330"/>
        <w:jc w:val="left"/>
      </w:pPr>
      <w:r>
        <w:rPr/>
        <w:t>Trastornos</w:t>
      </w:r>
      <w:r>
        <w:rPr>
          <w:spacing w:val="-5"/>
        </w:rPr>
        <w:t> </w:t>
      </w:r>
      <w:r>
        <w:rPr/>
        <w:t>asociados</w:t>
      </w:r>
      <w:r>
        <w:rPr>
          <w:spacing w:val="-5"/>
        </w:rPr>
        <w:t> </w:t>
      </w:r>
      <w:r>
        <w:rPr/>
        <w:t>con</w:t>
      </w:r>
      <w:r>
        <w:rPr>
          <w:spacing w:val="-6"/>
        </w:rPr>
        <w:t> </w:t>
      </w:r>
      <w:r>
        <w:rPr/>
        <w:t>el</w:t>
      </w:r>
      <w:r>
        <w:rPr>
          <w:spacing w:val="-7"/>
        </w:rPr>
        <w:t> </w:t>
      </w:r>
      <w:r>
        <w:rPr/>
        <w:t>estrés</w:t>
      </w:r>
      <w:r>
        <w:rPr>
          <w:spacing w:val="-7"/>
        </w:rPr>
        <w:t> </w:t>
      </w:r>
      <w:r>
        <w:rPr/>
        <w:t>(grave</w:t>
      </w:r>
      <w:r>
        <w:rPr>
          <w:spacing w:val="-5"/>
        </w:rPr>
        <w:t> </w:t>
      </w:r>
      <w:r>
        <w:rPr/>
        <w:t>y</w:t>
      </w:r>
      <w:r>
        <w:rPr>
          <w:spacing w:val="-6"/>
        </w:rPr>
        <w:t> </w:t>
      </w:r>
      <w:r>
        <w:rPr/>
        <w:t>de</w:t>
      </w:r>
      <w:r>
        <w:rPr>
          <w:spacing w:val="-5"/>
        </w:rPr>
        <w:t> </w:t>
      </w:r>
      <w:r>
        <w:rPr>
          <w:spacing w:val="-2"/>
        </w:rPr>
        <w:t>adaptación)</w:t>
      </w:r>
    </w:p>
    <w:p>
      <w:pPr>
        <w:pStyle w:val="Heading3"/>
        <w:spacing w:after="0" w:line="240" w:lineRule="auto"/>
        <w:jc w:val="left"/>
        <w:sectPr>
          <w:pgSz w:w="12240" w:h="15840"/>
          <w:pgMar w:header="724" w:footer="712" w:top="1880" w:bottom="900" w:left="1080" w:right="1080"/>
        </w:sectPr>
      </w:pPr>
    </w:p>
    <w:p>
      <w:pPr>
        <w:pStyle w:val="BodyText"/>
        <w:spacing w:before="65"/>
        <w:rPr>
          <w:rFonts w:ascii="Arial"/>
          <w:b/>
        </w:rPr>
      </w:pPr>
    </w:p>
    <w:p>
      <w:pPr>
        <w:pStyle w:val="BodyText"/>
        <w:ind w:left="626"/>
      </w:pPr>
      <w:r>
        <w:rPr/>
        <w:t>Código</w:t>
      </w:r>
      <w:r>
        <w:rPr>
          <w:spacing w:val="-8"/>
        </w:rPr>
        <w:t> </w:t>
      </w:r>
      <w:r>
        <w:rPr/>
        <w:t>CIE-11:</w:t>
      </w:r>
      <w:r>
        <w:rPr>
          <w:spacing w:val="-7"/>
        </w:rPr>
        <w:t> </w:t>
      </w:r>
      <w:r>
        <w:rPr/>
        <w:t>6B40,</w:t>
      </w:r>
      <w:r>
        <w:rPr>
          <w:spacing w:val="-6"/>
        </w:rPr>
        <w:t> </w:t>
      </w:r>
      <w:r>
        <w:rPr/>
        <w:t>6B43,</w:t>
      </w:r>
      <w:r>
        <w:rPr>
          <w:spacing w:val="-7"/>
        </w:rPr>
        <w:t> </w:t>
      </w:r>
      <w:r>
        <w:rPr/>
        <w:t>QD85,</w:t>
      </w:r>
      <w:r>
        <w:rPr>
          <w:spacing w:val="-7"/>
        </w:rPr>
        <w:t> </w:t>
      </w:r>
      <w:r>
        <w:rPr>
          <w:spacing w:val="-4"/>
        </w:rPr>
        <w:t>6E40</w:t>
      </w:r>
    </w:p>
    <w:p>
      <w:pPr>
        <w:pStyle w:val="ListParagraph"/>
        <w:numPr>
          <w:ilvl w:val="2"/>
          <w:numId w:val="160"/>
        </w:numPr>
        <w:tabs>
          <w:tab w:pos="1045" w:val="left" w:leader="none"/>
          <w:tab w:pos="1058" w:val="left" w:leader="none"/>
        </w:tabs>
        <w:spacing w:line="240" w:lineRule="auto" w:before="230" w:after="0"/>
        <w:ind w:left="1058" w:right="337" w:hanging="432"/>
        <w:jc w:val="both"/>
        <w:rPr>
          <w:sz w:val="20"/>
        </w:rPr>
      </w:pPr>
      <w:r>
        <w:rPr>
          <w:sz w:val="20"/>
        </w:rPr>
        <w:t>Personas</w:t>
      </w:r>
      <w:r>
        <w:rPr>
          <w:spacing w:val="-3"/>
          <w:sz w:val="20"/>
        </w:rPr>
        <w:t> </w:t>
      </w:r>
      <w:r>
        <w:rPr>
          <w:sz w:val="20"/>
        </w:rPr>
        <w:t>trabajadoras</w:t>
      </w:r>
      <w:r>
        <w:rPr>
          <w:spacing w:val="-2"/>
          <w:sz w:val="20"/>
        </w:rPr>
        <w:t> </w:t>
      </w:r>
      <w:r>
        <w:rPr>
          <w:sz w:val="20"/>
        </w:rPr>
        <w:t>del</w:t>
      </w:r>
      <w:r>
        <w:rPr>
          <w:spacing w:val="-4"/>
          <w:sz w:val="20"/>
        </w:rPr>
        <w:t> </w:t>
      </w:r>
      <w:r>
        <w:rPr>
          <w:sz w:val="20"/>
        </w:rPr>
        <w:t>sector</w:t>
      </w:r>
      <w:r>
        <w:rPr>
          <w:spacing w:val="-5"/>
          <w:sz w:val="20"/>
        </w:rPr>
        <w:t> </w:t>
      </w:r>
      <w:r>
        <w:rPr>
          <w:sz w:val="20"/>
        </w:rPr>
        <w:t>público</w:t>
      </w:r>
      <w:r>
        <w:rPr>
          <w:spacing w:val="-2"/>
          <w:sz w:val="20"/>
        </w:rPr>
        <w:t> </w:t>
      </w:r>
      <w:r>
        <w:rPr>
          <w:sz w:val="20"/>
        </w:rPr>
        <w:t>y</w:t>
      </w:r>
      <w:r>
        <w:rPr>
          <w:spacing w:val="-6"/>
          <w:sz w:val="20"/>
        </w:rPr>
        <w:t> </w:t>
      </w:r>
      <w:r>
        <w:rPr>
          <w:sz w:val="20"/>
        </w:rPr>
        <w:t>privado,</w:t>
      </w:r>
      <w:r>
        <w:rPr>
          <w:spacing w:val="-4"/>
          <w:sz w:val="20"/>
        </w:rPr>
        <w:t> </w:t>
      </w:r>
      <w:r>
        <w:rPr>
          <w:sz w:val="20"/>
        </w:rPr>
        <w:t>relacionadas</w:t>
      </w:r>
      <w:r>
        <w:rPr>
          <w:spacing w:val="-3"/>
          <w:sz w:val="20"/>
        </w:rPr>
        <w:t> </w:t>
      </w:r>
      <w:r>
        <w:rPr>
          <w:sz w:val="20"/>
        </w:rPr>
        <w:t>con</w:t>
      </w:r>
      <w:r>
        <w:rPr>
          <w:spacing w:val="-4"/>
          <w:sz w:val="20"/>
        </w:rPr>
        <w:t> </w:t>
      </w:r>
      <w:r>
        <w:rPr>
          <w:sz w:val="20"/>
        </w:rPr>
        <w:t>salud,</w:t>
      </w:r>
      <w:r>
        <w:rPr>
          <w:spacing w:val="-4"/>
          <w:sz w:val="20"/>
        </w:rPr>
        <w:t> </w:t>
      </w:r>
      <w:r>
        <w:rPr>
          <w:sz w:val="20"/>
        </w:rPr>
        <w:t>educación, transporte (terrestre, aéreo y marítimo), buceo industrial, atención a usuarios, seguridad pública, fuerzas armadas, atención de desastres y urgencias, así como personas trabajadoras del sector comercio, industrial y bancario. Puede presentarse en cualquier persona trabajadora y puesto de trabajo, su gravedad dependerá de los factores psicosociales laborales negativos enfrentados y las características de exposición a ellos.</w:t>
      </w:r>
    </w:p>
    <w:p>
      <w:pPr>
        <w:pStyle w:val="ListParagraph"/>
        <w:numPr>
          <w:ilvl w:val="2"/>
          <w:numId w:val="160"/>
        </w:numPr>
        <w:tabs>
          <w:tab w:pos="1045" w:val="left" w:leader="none"/>
          <w:tab w:pos="1058" w:val="left" w:leader="none"/>
        </w:tabs>
        <w:spacing w:line="240" w:lineRule="auto" w:before="230" w:after="0"/>
        <w:ind w:left="1058" w:right="336"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6" w:after="0"/>
        <w:ind w:left="956" w:right="0" w:hanging="330"/>
        <w:jc w:val="left"/>
      </w:pPr>
      <w:r>
        <w:rPr/>
        <w:t>Trastorno</w:t>
      </w:r>
      <w:r>
        <w:rPr>
          <w:spacing w:val="-12"/>
        </w:rPr>
        <w:t> </w:t>
      </w:r>
      <w:r>
        <w:rPr>
          <w:spacing w:val="-2"/>
        </w:rPr>
        <w:t>depresivo</w:t>
      </w:r>
    </w:p>
    <w:p>
      <w:pPr>
        <w:pStyle w:val="BodyText"/>
        <w:spacing w:before="3"/>
        <w:rPr>
          <w:rFonts w:ascii="Arial"/>
          <w:b/>
        </w:rPr>
      </w:pPr>
    </w:p>
    <w:p>
      <w:pPr>
        <w:pStyle w:val="BodyText"/>
        <w:spacing w:before="1"/>
        <w:ind w:left="626"/>
      </w:pPr>
      <w:r>
        <w:rPr/>
        <w:t>Código</w:t>
      </w:r>
      <w:r>
        <w:rPr>
          <w:spacing w:val="-8"/>
        </w:rPr>
        <w:t> </w:t>
      </w:r>
      <w:r>
        <w:rPr/>
        <w:t>CIE-11:</w:t>
      </w:r>
      <w:r>
        <w:rPr>
          <w:spacing w:val="-7"/>
        </w:rPr>
        <w:t> </w:t>
      </w:r>
      <w:r>
        <w:rPr/>
        <w:t>6A70,</w:t>
      </w:r>
      <w:r>
        <w:rPr>
          <w:spacing w:val="-7"/>
        </w:rPr>
        <w:t> </w:t>
      </w:r>
      <w:r>
        <w:rPr/>
        <w:t>6A71,</w:t>
      </w:r>
      <w:r>
        <w:rPr>
          <w:spacing w:val="-7"/>
        </w:rPr>
        <w:t> </w:t>
      </w:r>
      <w:r>
        <w:rPr/>
        <w:t>6A72,</w:t>
      </w:r>
      <w:r>
        <w:rPr>
          <w:spacing w:val="-5"/>
        </w:rPr>
        <w:t> </w:t>
      </w:r>
      <w:r>
        <w:rPr/>
        <w:t>6A73,</w:t>
      </w:r>
      <w:r>
        <w:rPr>
          <w:spacing w:val="-6"/>
        </w:rPr>
        <w:t> </w:t>
      </w:r>
      <w:r>
        <w:rPr>
          <w:spacing w:val="-4"/>
        </w:rPr>
        <w:t>6A7Z</w:t>
      </w:r>
    </w:p>
    <w:p>
      <w:pPr>
        <w:pStyle w:val="ListParagraph"/>
        <w:numPr>
          <w:ilvl w:val="2"/>
          <w:numId w:val="160"/>
        </w:numPr>
        <w:tabs>
          <w:tab w:pos="1045" w:val="left" w:leader="none"/>
          <w:tab w:pos="1058" w:val="left" w:leader="none"/>
        </w:tabs>
        <w:spacing w:line="240" w:lineRule="auto" w:before="229" w:after="0"/>
        <w:ind w:left="1058" w:right="339" w:hanging="432"/>
        <w:jc w:val="both"/>
        <w:rPr>
          <w:sz w:val="20"/>
        </w:rPr>
      </w:pPr>
      <w:r>
        <w:rPr>
          <w:sz w:val="20"/>
        </w:rPr>
        <w:t>Personas</w:t>
      </w:r>
      <w:r>
        <w:rPr>
          <w:spacing w:val="-2"/>
          <w:sz w:val="20"/>
        </w:rPr>
        <w:t> </w:t>
      </w:r>
      <w:r>
        <w:rPr>
          <w:sz w:val="20"/>
        </w:rPr>
        <w:t>trabajadoras</w:t>
      </w:r>
      <w:r>
        <w:rPr>
          <w:spacing w:val="-1"/>
          <w:sz w:val="20"/>
        </w:rPr>
        <w:t> </w:t>
      </w:r>
      <w:r>
        <w:rPr>
          <w:sz w:val="20"/>
        </w:rPr>
        <w:t>del</w:t>
      </w:r>
      <w:r>
        <w:rPr>
          <w:spacing w:val="-4"/>
          <w:sz w:val="20"/>
        </w:rPr>
        <w:t> </w:t>
      </w:r>
      <w:r>
        <w:rPr>
          <w:sz w:val="20"/>
        </w:rPr>
        <w:t>sector</w:t>
      </w:r>
      <w:r>
        <w:rPr>
          <w:spacing w:val="-5"/>
          <w:sz w:val="20"/>
        </w:rPr>
        <w:t> </w:t>
      </w:r>
      <w:r>
        <w:rPr>
          <w:sz w:val="20"/>
        </w:rPr>
        <w:t>público</w:t>
      </w:r>
      <w:r>
        <w:rPr>
          <w:spacing w:val="-1"/>
          <w:sz w:val="20"/>
        </w:rPr>
        <w:t> </w:t>
      </w:r>
      <w:r>
        <w:rPr>
          <w:sz w:val="20"/>
        </w:rPr>
        <w:t>y</w:t>
      </w:r>
      <w:r>
        <w:rPr>
          <w:spacing w:val="-6"/>
          <w:sz w:val="20"/>
        </w:rPr>
        <w:t> </w:t>
      </w:r>
      <w:r>
        <w:rPr>
          <w:sz w:val="20"/>
        </w:rPr>
        <w:t>privado,</w:t>
      </w:r>
      <w:r>
        <w:rPr>
          <w:spacing w:val="-3"/>
          <w:sz w:val="20"/>
        </w:rPr>
        <w:t> </w:t>
      </w:r>
      <w:r>
        <w:rPr>
          <w:sz w:val="20"/>
        </w:rPr>
        <w:t>relacionadas</w:t>
      </w:r>
      <w:r>
        <w:rPr>
          <w:spacing w:val="-2"/>
          <w:sz w:val="20"/>
        </w:rPr>
        <w:t> </w:t>
      </w:r>
      <w:r>
        <w:rPr>
          <w:sz w:val="20"/>
        </w:rPr>
        <w:t>con</w:t>
      </w:r>
      <w:r>
        <w:rPr>
          <w:spacing w:val="-3"/>
          <w:sz w:val="20"/>
        </w:rPr>
        <w:t> </w:t>
      </w:r>
      <w:r>
        <w:rPr>
          <w:sz w:val="20"/>
        </w:rPr>
        <w:t>salud,</w:t>
      </w:r>
      <w:r>
        <w:rPr>
          <w:spacing w:val="-3"/>
          <w:sz w:val="20"/>
        </w:rPr>
        <w:t> </w:t>
      </w:r>
      <w:r>
        <w:rPr>
          <w:sz w:val="20"/>
        </w:rPr>
        <w:t>educación,</w:t>
      </w:r>
      <w:r>
        <w:rPr>
          <w:spacing w:val="-3"/>
          <w:sz w:val="20"/>
        </w:rPr>
        <w:t> </w:t>
      </w:r>
      <w:r>
        <w:rPr>
          <w:sz w:val="20"/>
        </w:rPr>
        <w:t>transporte (terrestre, aéreo y marítimo), atención a usuarios, seguridad pública y privada, fuerzas armadas, atención de desastres y urgencias, así como personas trabajadoras del buceo industrial, del sector comercio, industrial, bancario y financiero. Puede presentarse en cualquier persona trabajadora y puesto de trabajo, su gravedad dependerá de los factores de riesgo psicosocial laborales negativos enfrentados y las características de exposición a ellos.</w:t>
      </w:r>
    </w:p>
    <w:p>
      <w:pPr>
        <w:pStyle w:val="ListParagraph"/>
        <w:numPr>
          <w:ilvl w:val="2"/>
          <w:numId w:val="160"/>
        </w:numPr>
        <w:tabs>
          <w:tab w:pos="1045" w:val="left" w:leader="none"/>
          <w:tab w:pos="1058" w:val="left" w:leader="none"/>
        </w:tabs>
        <w:spacing w:line="240" w:lineRule="auto" w:before="227" w:after="0"/>
        <w:ind w:left="1058" w:right="33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w:t>
      </w:r>
      <w:r>
        <w:rPr>
          <w:spacing w:val="40"/>
          <w:sz w:val="20"/>
        </w:rPr>
        <w:t> </w:t>
      </w:r>
      <w:r>
        <w:rPr>
          <w:sz w:val="20"/>
        </w:rPr>
        <w:t>vea obligada a prestar sus servicios.</w:t>
      </w:r>
    </w:p>
    <w:p>
      <w:pPr>
        <w:pStyle w:val="Heading3"/>
        <w:spacing w:before="227"/>
        <w:ind w:left="626"/>
      </w:pPr>
      <w:r>
        <w:rPr/>
        <w:t>Grupo</w:t>
      </w:r>
      <w:r>
        <w:rPr>
          <w:spacing w:val="-8"/>
        </w:rPr>
        <w:t> </w:t>
      </w:r>
      <w:r>
        <w:rPr/>
        <w:t>V.</w:t>
      </w:r>
      <w:r>
        <w:rPr>
          <w:spacing w:val="-7"/>
        </w:rPr>
        <w:t> </w:t>
      </w:r>
      <w:r>
        <w:rPr/>
        <w:t>Enfermedades</w:t>
      </w:r>
      <w:r>
        <w:rPr>
          <w:spacing w:val="-7"/>
        </w:rPr>
        <w:t> </w:t>
      </w:r>
      <w:r>
        <w:rPr/>
        <w:t>del</w:t>
      </w:r>
      <w:r>
        <w:rPr>
          <w:spacing w:val="-9"/>
        </w:rPr>
        <w:t> </w:t>
      </w:r>
      <w:r>
        <w:rPr/>
        <w:t>sistema</w:t>
      </w:r>
      <w:r>
        <w:rPr>
          <w:spacing w:val="-7"/>
        </w:rPr>
        <w:t> </w:t>
      </w:r>
      <w:r>
        <w:rPr>
          <w:spacing w:val="-2"/>
        </w:rPr>
        <w:t>respiratorio</w:t>
      </w:r>
    </w:p>
    <w:p>
      <w:pPr>
        <w:pStyle w:val="BodyText"/>
        <w:spacing w:before="1"/>
        <w:rPr>
          <w:rFonts w:ascii="Arial"/>
          <w:b/>
        </w:rPr>
      </w:pPr>
    </w:p>
    <w:p>
      <w:pPr>
        <w:pStyle w:val="ListParagraph"/>
        <w:numPr>
          <w:ilvl w:val="1"/>
          <w:numId w:val="160"/>
        </w:numPr>
        <w:tabs>
          <w:tab w:pos="961" w:val="left" w:leader="none"/>
        </w:tabs>
        <w:spacing w:line="240" w:lineRule="auto" w:before="0" w:after="0"/>
        <w:ind w:left="961" w:right="0" w:hanging="335"/>
        <w:jc w:val="left"/>
        <w:rPr>
          <w:rFonts w:ascii="Arial" w:hAnsi="Arial"/>
          <w:b/>
          <w:sz w:val="20"/>
        </w:rPr>
      </w:pPr>
      <w:r>
        <w:rPr>
          <w:rFonts w:ascii="Arial" w:hAnsi="Arial"/>
          <w:b/>
          <w:sz w:val="20"/>
        </w:rPr>
        <w:t>Alveolitis</w:t>
      </w:r>
      <w:r>
        <w:rPr>
          <w:rFonts w:ascii="Arial" w:hAnsi="Arial"/>
          <w:b/>
          <w:spacing w:val="-10"/>
          <w:sz w:val="20"/>
        </w:rPr>
        <w:t> </w:t>
      </w:r>
      <w:r>
        <w:rPr>
          <w:rFonts w:ascii="Arial" w:hAnsi="Arial"/>
          <w:b/>
          <w:sz w:val="20"/>
        </w:rPr>
        <w:t>alérgica</w:t>
      </w:r>
      <w:r>
        <w:rPr>
          <w:rFonts w:ascii="Arial" w:hAnsi="Arial"/>
          <w:b/>
          <w:spacing w:val="-10"/>
          <w:sz w:val="20"/>
        </w:rPr>
        <w:t> </w:t>
      </w:r>
      <w:r>
        <w:rPr>
          <w:rFonts w:ascii="Arial" w:hAnsi="Arial"/>
          <w:b/>
          <w:sz w:val="20"/>
        </w:rPr>
        <w:t>extrínseca</w:t>
      </w:r>
      <w:r>
        <w:rPr>
          <w:rFonts w:ascii="Arial" w:hAnsi="Arial"/>
          <w:b/>
          <w:spacing w:val="-10"/>
          <w:sz w:val="20"/>
        </w:rPr>
        <w:t> </w:t>
      </w:r>
      <w:r>
        <w:rPr>
          <w:rFonts w:ascii="Arial" w:hAnsi="Arial"/>
          <w:b/>
          <w:sz w:val="20"/>
        </w:rPr>
        <w:t>o</w:t>
      </w:r>
      <w:r>
        <w:rPr>
          <w:rFonts w:ascii="Arial" w:hAnsi="Arial"/>
          <w:b/>
          <w:spacing w:val="-10"/>
          <w:sz w:val="20"/>
        </w:rPr>
        <w:t> </w:t>
      </w:r>
      <w:r>
        <w:rPr>
          <w:rFonts w:ascii="Arial" w:hAnsi="Arial"/>
          <w:b/>
          <w:sz w:val="20"/>
        </w:rPr>
        <w:t>neumonitis</w:t>
      </w:r>
      <w:r>
        <w:rPr>
          <w:rFonts w:ascii="Arial" w:hAnsi="Arial"/>
          <w:b/>
          <w:spacing w:val="-9"/>
          <w:sz w:val="20"/>
        </w:rPr>
        <w:t> </w:t>
      </w:r>
      <w:r>
        <w:rPr>
          <w:rFonts w:ascii="Arial" w:hAnsi="Arial"/>
          <w:b/>
          <w:sz w:val="20"/>
        </w:rPr>
        <w:t>por</w:t>
      </w:r>
      <w:r>
        <w:rPr>
          <w:rFonts w:ascii="Arial" w:hAnsi="Arial"/>
          <w:b/>
          <w:spacing w:val="-8"/>
          <w:sz w:val="20"/>
        </w:rPr>
        <w:t> </w:t>
      </w:r>
      <w:r>
        <w:rPr>
          <w:rFonts w:ascii="Arial" w:hAnsi="Arial"/>
          <w:b/>
          <w:spacing w:val="-2"/>
          <w:sz w:val="20"/>
        </w:rPr>
        <w:t>hipersensibilidad</w:t>
      </w:r>
    </w:p>
    <w:p>
      <w:pPr>
        <w:pStyle w:val="BodyText"/>
        <w:spacing w:before="3"/>
        <w:rPr>
          <w:rFonts w:ascii="Arial"/>
          <w:b/>
        </w:rPr>
      </w:pPr>
    </w:p>
    <w:p>
      <w:pPr>
        <w:pStyle w:val="BodyText"/>
        <w:ind w:left="626"/>
      </w:pPr>
      <w:r>
        <w:rPr/>
        <w:t>Código</w:t>
      </w:r>
      <w:r>
        <w:rPr>
          <w:spacing w:val="-9"/>
        </w:rPr>
        <w:t> </w:t>
      </w:r>
      <w:r>
        <w:rPr/>
        <w:t>CIE-11:</w:t>
      </w:r>
      <w:r>
        <w:rPr>
          <w:spacing w:val="-8"/>
        </w:rPr>
        <w:t> </w:t>
      </w:r>
      <w:r>
        <w:rPr/>
        <w:t>CA70.0,</w:t>
      </w:r>
      <w:r>
        <w:rPr>
          <w:spacing w:val="-8"/>
        </w:rPr>
        <w:t> </w:t>
      </w:r>
      <w:r>
        <w:rPr/>
        <w:t>CA70.7,</w:t>
      </w:r>
      <w:r>
        <w:rPr>
          <w:spacing w:val="-7"/>
        </w:rPr>
        <w:t> </w:t>
      </w:r>
      <w:r>
        <w:rPr/>
        <w:t>CA70.Y,</w:t>
      </w:r>
      <w:r>
        <w:rPr>
          <w:spacing w:val="-7"/>
        </w:rPr>
        <w:t> </w:t>
      </w:r>
      <w:r>
        <w:rPr>
          <w:spacing w:val="-2"/>
        </w:rPr>
        <w:t>CA70.Z</w:t>
      </w:r>
    </w:p>
    <w:p>
      <w:pPr>
        <w:pStyle w:val="ListParagraph"/>
        <w:numPr>
          <w:ilvl w:val="2"/>
          <w:numId w:val="160"/>
        </w:numPr>
        <w:tabs>
          <w:tab w:pos="1046" w:val="left" w:leader="none"/>
        </w:tabs>
        <w:spacing w:line="240" w:lineRule="auto" w:before="224" w:after="0"/>
        <w:ind w:left="1046" w:right="0" w:hanging="420"/>
        <w:jc w:val="left"/>
        <w:rPr>
          <w:sz w:val="20"/>
        </w:rPr>
      </w:pPr>
      <w:r>
        <w:rPr>
          <w:rFonts w:ascii="Arial" w:hAnsi="Arial"/>
          <w:b/>
          <w:sz w:val="20"/>
        </w:rPr>
        <w:t>V.1.1</w:t>
      </w:r>
      <w:r>
        <w:rPr>
          <w:rFonts w:ascii="Arial" w:hAnsi="Arial"/>
          <w:b/>
          <w:spacing w:val="-7"/>
          <w:sz w:val="20"/>
        </w:rPr>
        <w:t> </w:t>
      </w:r>
      <w:r>
        <w:rPr>
          <w:rFonts w:ascii="Arial" w:hAnsi="Arial"/>
          <w:b/>
          <w:sz w:val="20"/>
        </w:rPr>
        <w:t>Bagazosis:</w:t>
      </w:r>
      <w:r>
        <w:rPr>
          <w:rFonts w:ascii="Arial" w:hAnsi="Arial"/>
          <w:b/>
          <w:spacing w:val="-5"/>
          <w:sz w:val="20"/>
        </w:rPr>
        <w:t> </w:t>
      </w:r>
      <w:r>
        <w:rPr>
          <w:sz w:val="20"/>
        </w:rPr>
        <w:t>elaboración</w:t>
      </w:r>
      <w:r>
        <w:rPr>
          <w:spacing w:val="-3"/>
          <w:sz w:val="20"/>
        </w:rPr>
        <w:t> </w:t>
      </w:r>
      <w:r>
        <w:rPr>
          <w:sz w:val="20"/>
        </w:rPr>
        <w:t>y</w:t>
      </w:r>
      <w:r>
        <w:rPr>
          <w:spacing w:val="-10"/>
          <w:sz w:val="20"/>
        </w:rPr>
        <w:t> </w:t>
      </w:r>
      <w:r>
        <w:rPr>
          <w:sz w:val="20"/>
        </w:rPr>
        <w:t>apertura</w:t>
      </w:r>
      <w:r>
        <w:rPr>
          <w:spacing w:val="-4"/>
          <w:sz w:val="20"/>
        </w:rPr>
        <w:t> </w:t>
      </w:r>
      <w:r>
        <w:rPr>
          <w:sz w:val="20"/>
        </w:rPr>
        <w:t>de</w:t>
      </w:r>
      <w:r>
        <w:rPr>
          <w:spacing w:val="-8"/>
          <w:sz w:val="20"/>
        </w:rPr>
        <w:t> </w:t>
      </w:r>
      <w:r>
        <w:rPr>
          <w:sz w:val="20"/>
        </w:rPr>
        <w:t>pacas</w:t>
      </w:r>
      <w:r>
        <w:rPr>
          <w:spacing w:val="-6"/>
          <w:sz w:val="20"/>
        </w:rPr>
        <w:t> </w:t>
      </w:r>
      <w:r>
        <w:rPr>
          <w:sz w:val="20"/>
        </w:rPr>
        <w:t>de</w:t>
      </w:r>
      <w:r>
        <w:rPr>
          <w:spacing w:val="-5"/>
          <w:sz w:val="20"/>
        </w:rPr>
        <w:t> </w:t>
      </w:r>
      <w:r>
        <w:rPr>
          <w:sz w:val="20"/>
        </w:rPr>
        <w:t>bagazo</w:t>
      </w:r>
      <w:r>
        <w:rPr>
          <w:spacing w:val="-5"/>
          <w:sz w:val="20"/>
        </w:rPr>
        <w:t> </w:t>
      </w:r>
      <w:r>
        <w:rPr>
          <w:sz w:val="20"/>
        </w:rPr>
        <w:t>de</w:t>
      </w:r>
      <w:r>
        <w:rPr>
          <w:spacing w:val="-7"/>
          <w:sz w:val="20"/>
        </w:rPr>
        <w:t> </w:t>
      </w:r>
      <w:r>
        <w:rPr>
          <w:spacing w:val="-2"/>
          <w:sz w:val="20"/>
        </w:rPr>
        <w:t>caña.</w:t>
      </w:r>
    </w:p>
    <w:p>
      <w:pPr>
        <w:pStyle w:val="BodyText"/>
        <w:spacing w:before="1"/>
      </w:pPr>
    </w:p>
    <w:p>
      <w:pPr>
        <w:pStyle w:val="ListParagraph"/>
        <w:numPr>
          <w:ilvl w:val="2"/>
          <w:numId w:val="160"/>
        </w:numPr>
        <w:tabs>
          <w:tab w:pos="1046" w:val="left" w:leader="none"/>
        </w:tabs>
        <w:spacing w:line="240" w:lineRule="auto" w:before="0" w:after="0"/>
        <w:ind w:left="1046" w:right="0" w:hanging="420"/>
        <w:jc w:val="left"/>
        <w:rPr>
          <w:sz w:val="20"/>
        </w:rPr>
      </w:pPr>
      <w:r>
        <w:rPr>
          <w:rFonts w:ascii="Arial" w:hAnsi="Arial"/>
          <w:b/>
          <w:sz w:val="20"/>
        </w:rPr>
        <w:t>V.1.2</w:t>
      </w:r>
      <w:r>
        <w:rPr>
          <w:rFonts w:ascii="Arial" w:hAnsi="Arial"/>
          <w:b/>
          <w:spacing w:val="-8"/>
          <w:sz w:val="20"/>
        </w:rPr>
        <w:t> </w:t>
      </w:r>
      <w:r>
        <w:rPr>
          <w:rFonts w:ascii="Arial" w:hAnsi="Arial"/>
          <w:b/>
          <w:sz w:val="20"/>
        </w:rPr>
        <w:t>Pulmón</w:t>
      </w:r>
      <w:r>
        <w:rPr>
          <w:rFonts w:ascii="Arial" w:hAnsi="Arial"/>
          <w:b/>
          <w:spacing w:val="-6"/>
          <w:sz w:val="20"/>
        </w:rPr>
        <w:t> </w:t>
      </w:r>
      <w:r>
        <w:rPr>
          <w:rFonts w:ascii="Arial" w:hAnsi="Arial"/>
          <w:b/>
          <w:sz w:val="20"/>
        </w:rPr>
        <w:t>del</w:t>
      </w:r>
      <w:r>
        <w:rPr>
          <w:rFonts w:ascii="Arial" w:hAnsi="Arial"/>
          <w:b/>
          <w:spacing w:val="-8"/>
          <w:sz w:val="20"/>
        </w:rPr>
        <w:t> </w:t>
      </w:r>
      <w:r>
        <w:rPr>
          <w:rFonts w:ascii="Arial" w:hAnsi="Arial"/>
          <w:b/>
          <w:sz w:val="20"/>
        </w:rPr>
        <w:t>granjero:</w:t>
      </w:r>
      <w:r>
        <w:rPr>
          <w:rFonts w:ascii="Arial" w:hAnsi="Arial"/>
          <w:b/>
          <w:spacing w:val="-3"/>
          <w:sz w:val="20"/>
        </w:rPr>
        <w:t> </w:t>
      </w:r>
      <w:r>
        <w:rPr>
          <w:sz w:val="20"/>
        </w:rPr>
        <w:t>extracción</w:t>
      </w:r>
      <w:r>
        <w:rPr>
          <w:spacing w:val="-9"/>
          <w:sz w:val="20"/>
        </w:rPr>
        <w:t> </w:t>
      </w:r>
      <w:r>
        <w:rPr>
          <w:sz w:val="20"/>
        </w:rPr>
        <w:t>de</w:t>
      </w:r>
      <w:r>
        <w:rPr>
          <w:spacing w:val="-7"/>
          <w:sz w:val="20"/>
        </w:rPr>
        <w:t> </w:t>
      </w:r>
      <w:r>
        <w:rPr>
          <w:sz w:val="20"/>
        </w:rPr>
        <w:t>heno</w:t>
      </w:r>
      <w:r>
        <w:rPr>
          <w:spacing w:val="-8"/>
          <w:sz w:val="20"/>
        </w:rPr>
        <w:t> </w:t>
      </w:r>
      <w:r>
        <w:rPr>
          <w:sz w:val="20"/>
        </w:rPr>
        <w:t>mohoso</w:t>
      </w:r>
      <w:r>
        <w:rPr>
          <w:spacing w:val="-7"/>
          <w:sz w:val="20"/>
        </w:rPr>
        <w:t> </w:t>
      </w:r>
      <w:r>
        <w:rPr>
          <w:sz w:val="20"/>
        </w:rPr>
        <w:t>almacenado</w:t>
      </w:r>
      <w:r>
        <w:rPr>
          <w:spacing w:val="-6"/>
          <w:sz w:val="20"/>
        </w:rPr>
        <w:t> </w:t>
      </w:r>
      <w:r>
        <w:rPr>
          <w:sz w:val="20"/>
        </w:rPr>
        <w:t>en</w:t>
      </w:r>
      <w:r>
        <w:rPr>
          <w:spacing w:val="-8"/>
          <w:sz w:val="20"/>
        </w:rPr>
        <w:t> </w:t>
      </w:r>
      <w:r>
        <w:rPr>
          <w:spacing w:val="-2"/>
          <w:sz w:val="20"/>
        </w:rPr>
        <w:t>silos.</w:t>
      </w:r>
    </w:p>
    <w:p>
      <w:pPr>
        <w:pStyle w:val="ListParagraph"/>
        <w:numPr>
          <w:ilvl w:val="2"/>
          <w:numId w:val="160"/>
        </w:numPr>
        <w:tabs>
          <w:tab w:pos="1045" w:val="left" w:leader="none"/>
          <w:tab w:pos="1058" w:val="left" w:leader="none"/>
        </w:tabs>
        <w:spacing w:line="240" w:lineRule="auto" w:before="228" w:after="0"/>
        <w:ind w:left="1058" w:right="340" w:hanging="432"/>
        <w:jc w:val="both"/>
        <w:rPr>
          <w:sz w:val="20"/>
        </w:rPr>
      </w:pPr>
      <w:r>
        <w:rPr>
          <w:rFonts w:ascii="Arial" w:hAnsi="Arial"/>
          <w:b/>
          <w:sz w:val="20"/>
        </w:rPr>
        <w:t>V.1.3 Pulmón de la persona cuidadora de aves: </w:t>
      </w:r>
      <w:r>
        <w:rPr>
          <w:sz w:val="20"/>
        </w:rPr>
        <w:t>limpieza del excremento de aves de las jaulas y sitios donde viven las aves.</w:t>
      </w:r>
    </w:p>
    <w:p>
      <w:pPr>
        <w:pStyle w:val="ListParagraph"/>
        <w:numPr>
          <w:ilvl w:val="2"/>
          <w:numId w:val="160"/>
        </w:numPr>
        <w:tabs>
          <w:tab w:pos="1045" w:val="left" w:leader="none"/>
          <w:tab w:pos="1058" w:val="left" w:leader="none"/>
        </w:tabs>
        <w:spacing w:line="240" w:lineRule="auto" w:before="228" w:after="0"/>
        <w:ind w:left="1058" w:right="335" w:hanging="432"/>
        <w:jc w:val="both"/>
        <w:rPr>
          <w:sz w:val="20"/>
        </w:rPr>
      </w:pPr>
      <w:r>
        <w:rPr>
          <w:rFonts w:ascii="Arial" w:hAnsi="Arial"/>
          <w:b/>
          <w:sz w:val="20"/>
        </w:rPr>
        <w:t>V.1.4 Pulmón de la persona trabajadora de aire acondicionado humidificado: </w:t>
      </w:r>
      <w:r>
        <w:rPr>
          <w:sz w:val="20"/>
        </w:rPr>
        <w:t>dedicados a la limpieza de los sistemas de humidificación de instalaciones de aire acondicionado.</w:t>
      </w:r>
    </w:p>
    <w:p>
      <w:pPr>
        <w:pStyle w:val="ListParagraph"/>
        <w:numPr>
          <w:ilvl w:val="2"/>
          <w:numId w:val="160"/>
        </w:numPr>
        <w:tabs>
          <w:tab w:pos="1045" w:val="left" w:leader="none"/>
          <w:tab w:pos="1058" w:val="left" w:leader="none"/>
        </w:tabs>
        <w:spacing w:line="240" w:lineRule="auto" w:before="228" w:after="0"/>
        <w:ind w:left="1058" w:right="340" w:hanging="432"/>
        <w:jc w:val="both"/>
        <w:rPr>
          <w:sz w:val="20"/>
        </w:rPr>
      </w:pPr>
      <w:r>
        <w:rPr>
          <w:rFonts w:ascii="Arial" w:hAnsi="Arial"/>
          <w:b/>
          <w:sz w:val="20"/>
        </w:rPr>
        <w:t>V.1.5 Pulmón de la persona cosechadora de champiñones: </w:t>
      </w:r>
      <w:r>
        <w:rPr>
          <w:sz w:val="20"/>
        </w:rPr>
        <w:t>personal que cosecha los </w:t>
      </w:r>
      <w:r>
        <w:rPr>
          <w:spacing w:val="-2"/>
          <w:sz w:val="20"/>
        </w:rPr>
        <w:t>champiñones.</w:t>
      </w:r>
    </w:p>
    <w:p>
      <w:pPr>
        <w:pStyle w:val="ListParagraph"/>
        <w:numPr>
          <w:ilvl w:val="2"/>
          <w:numId w:val="160"/>
        </w:numPr>
        <w:tabs>
          <w:tab w:pos="1046" w:val="left" w:leader="none"/>
        </w:tabs>
        <w:spacing w:line="240" w:lineRule="auto" w:before="229" w:after="0"/>
        <w:ind w:left="1046" w:right="0" w:hanging="420"/>
        <w:jc w:val="left"/>
        <w:rPr>
          <w:sz w:val="20"/>
        </w:rPr>
      </w:pPr>
      <w:r>
        <w:rPr>
          <w:rFonts w:ascii="Arial" w:hAnsi="Arial"/>
          <w:b/>
          <w:sz w:val="20"/>
        </w:rPr>
        <w:t>V.1.6</w:t>
      </w:r>
      <w:r>
        <w:rPr>
          <w:rFonts w:ascii="Arial" w:hAnsi="Arial"/>
          <w:b/>
          <w:spacing w:val="-10"/>
          <w:sz w:val="20"/>
        </w:rPr>
        <w:t> </w:t>
      </w:r>
      <w:r>
        <w:rPr>
          <w:rFonts w:ascii="Arial" w:hAnsi="Arial"/>
          <w:b/>
          <w:sz w:val="20"/>
        </w:rPr>
        <w:t>Suberosis:</w:t>
      </w:r>
      <w:r>
        <w:rPr>
          <w:rFonts w:ascii="Arial" w:hAnsi="Arial"/>
          <w:b/>
          <w:spacing w:val="-7"/>
          <w:sz w:val="20"/>
        </w:rPr>
        <w:t> </w:t>
      </w:r>
      <w:r>
        <w:rPr>
          <w:sz w:val="20"/>
        </w:rPr>
        <w:t>personas</w:t>
      </w:r>
      <w:r>
        <w:rPr>
          <w:spacing w:val="-8"/>
          <w:sz w:val="20"/>
        </w:rPr>
        <w:t> </w:t>
      </w:r>
      <w:r>
        <w:rPr>
          <w:sz w:val="20"/>
        </w:rPr>
        <w:t>trabajadoras</w:t>
      </w:r>
      <w:r>
        <w:rPr>
          <w:spacing w:val="-7"/>
          <w:sz w:val="20"/>
        </w:rPr>
        <w:t> </w:t>
      </w:r>
      <w:r>
        <w:rPr>
          <w:sz w:val="20"/>
        </w:rPr>
        <w:t>del</w:t>
      </w:r>
      <w:r>
        <w:rPr>
          <w:spacing w:val="-11"/>
          <w:sz w:val="20"/>
        </w:rPr>
        <w:t> </w:t>
      </w:r>
      <w:r>
        <w:rPr>
          <w:spacing w:val="-2"/>
          <w:sz w:val="20"/>
        </w:rPr>
        <w:t>corcho.</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2"/>
      </w:pPr>
    </w:p>
    <w:p>
      <w:pPr>
        <w:pStyle w:val="ListParagraph"/>
        <w:numPr>
          <w:ilvl w:val="2"/>
          <w:numId w:val="160"/>
        </w:numPr>
        <w:tabs>
          <w:tab w:pos="1046" w:val="left" w:leader="none"/>
          <w:tab w:pos="1058" w:val="left" w:leader="none"/>
        </w:tabs>
        <w:spacing w:line="242" w:lineRule="auto" w:before="0" w:after="0"/>
        <w:ind w:left="1058" w:right="344" w:hanging="432"/>
        <w:jc w:val="left"/>
        <w:rPr>
          <w:sz w:val="20"/>
        </w:rPr>
      </w:pPr>
      <w:r>
        <w:rPr>
          <w:rFonts w:ascii="Arial" w:hAnsi="Arial"/>
          <w:b/>
          <w:sz w:val="20"/>
        </w:rPr>
        <w:t>V.1.7</w:t>
      </w:r>
      <w:r>
        <w:rPr>
          <w:rFonts w:ascii="Arial" w:hAnsi="Arial"/>
          <w:b/>
          <w:spacing w:val="40"/>
          <w:sz w:val="20"/>
        </w:rPr>
        <w:t> </w:t>
      </w:r>
      <w:r>
        <w:rPr>
          <w:rFonts w:ascii="Arial" w:hAnsi="Arial"/>
          <w:b/>
          <w:sz w:val="20"/>
        </w:rPr>
        <w:t>Pulmón</w:t>
      </w:r>
      <w:r>
        <w:rPr>
          <w:rFonts w:ascii="Arial" w:hAnsi="Arial"/>
          <w:b/>
          <w:spacing w:val="39"/>
          <w:sz w:val="20"/>
        </w:rPr>
        <w:t> </w:t>
      </w:r>
      <w:r>
        <w:rPr>
          <w:rFonts w:ascii="Arial" w:hAnsi="Arial"/>
          <w:b/>
          <w:sz w:val="20"/>
        </w:rPr>
        <w:t>de</w:t>
      </w:r>
      <w:r>
        <w:rPr>
          <w:rFonts w:ascii="Arial" w:hAnsi="Arial"/>
          <w:b/>
          <w:spacing w:val="40"/>
          <w:sz w:val="20"/>
        </w:rPr>
        <w:t> </w:t>
      </w:r>
      <w:r>
        <w:rPr>
          <w:rFonts w:ascii="Arial" w:hAnsi="Arial"/>
          <w:b/>
          <w:sz w:val="20"/>
        </w:rPr>
        <w:t>nueva</w:t>
      </w:r>
      <w:r>
        <w:rPr>
          <w:rFonts w:ascii="Arial" w:hAnsi="Arial"/>
          <w:b/>
          <w:spacing w:val="40"/>
          <w:sz w:val="20"/>
        </w:rPr>
        <w:t> </w:t>
      </w:r>
      <w:r>
        <w:rPr>
          <w:rFonts w:ascii="Arial" w:hAnsi="Arial"/>
          <w:b/>
          <w:sz w:val="20"/>
        </w:rPr>
        <w:t>guinea:</w:t>
      </w:r>
      <w:r>
        <w:rPr>
          <w:rFonts w:ascii="Arial" w:hAnsi="Arial"/>
          <w:b/>
          <w:spacing w:val="40"/>
          <w:sz w:val="20"/>
        </w:rPr>
        <w:t> </w:t>
      </w:r>
      <w:r>
        <w:rPr>
          <w:sz w:val="20"/>
        </w:rPr>
        <w:t>personas</w:t>
      </w:r>
      <w:r>
        <w:rPr>
          <w:spacing w:val="40"/>
          <w:sz w:val="20"/>
        </w:rPr>
        <w:t> </w:t>
      </w:r>
      <w:r>
        <w:rPr>
          <w:sz w:val="20"/>
        </w:rPr>
        <w:t>que</w:t>
      </w:r>
      <w:r>
        <w:rPr>
          <w:spacing w:val="38"/>
          <w:sz w:val="20"/>
        </w:rPr>
        <w:t> </w:t>
      </w:r>
      <w:r>
        <w:rPr>
          <w:sz w:val="20"/>
        </w:rPr>
        <w:t>colocan</w:t>
      </w:r>
      <w:r>
        <w:rPr>
          <w:spacing w:val="38"/>
          <w:sz w:val="20"/>
        </w:rPr>
        <w:t> </w:t>
      </w:r>
      <w:r>
        <w:rPr>
          <w:sz w:val="20"/>
        </w:rPr>
        <w:t>techos</w:t>
      </w:r>
      <w:r>
        <w:rPr>
          <w:spacing w:val="40"/>
          <w:sz w:val="20"/>
        </w:rPr>
        <w:t> </w:t>
      </w:r>
      <w:r>
        <w:rPr>
          <w:sz w:val="20"/>
        </w:rPr>
        <w:t>de</w:t>
      </w:r>
      <w:r>
        <w:rPr>
          <w:spacing w:val="40"/>
          <w:sz w:val="20"/>
        </w:rPr>
        <w:t> </w:t>
      </w:r>
      <w:r>
        <w:rPr>
          <w:sz w:val="20"/>
        </w:rPr>
        <w:t>paja</w:t>
      </w:r>
      <w:r>
        <w:rPr>
          <w:spacing w:val="38"/>
          <w:sz w:val="20"/>
        </w:rPr>
        <w:t> </w:t>
      </w:r>
      <w:r>
        <w:rPr>
          <w:sz w:val="20"/>
        </w:rPr>
        <w:t>en</w:t>
      </w:r>
      <w:r>
        <w:rPr>
          <w:spacing w:val="38"/>
          <w:sz w:val="20"/>
        </w:rPr>
        <w:t> </w:t>
      </w:r>
      <w:r>
        <w:rPr>
          <w:sz w:val="20"/>
        </w:rPr>
        <w:t>casas</w:t>
      </w:r>
      <w:r>
        <w:rPr>
          <w:spacing w:val="39"/>
          <w:sz w:val="20"/>
        </w:rPr>
        <w:t> </w:t>
      </w:r>
      <w:r>
        <w:rPr>
          <w:sz w:val="20"/>
        </w:rPr>
        <w:t>en</w:t>
      </w:r>
      <w:r>
        <w:rPr>
          <w:spacing w:val="40"/>
          <w:sz w:val="20"/>
        </w:rPr>
        <w:t> </w:t>
      </w:r>
      <w:r>
        <w:rPr>
          <w:sz w:val="20"/>
        </w:rPr>
        <w:t>Nueva Guinea y otros países.</w:t>
      </w:r>
    </w:p>
    <w:p>
      <w:pPr>
        <w:pStyle w:val="ListParagraph"/>
        <w:numPr>
          <w:ilvl w:val="2"/>
          <w:numId w:val="160"/>
        </w:numPr>
        <w:tabs>
          <w:tab w:pos="1046" w:val="left" w:leader="none"/>
          <w:tab w:pos="1058" w:val="left" w:leader="none"/>
        </w:tabs>
        <w:spacing w:line="240" w:lineRule="auto" w:before="226" w:after="0"/>
        <w:ind w:left="1058" w:right="343" w:hanging="432"/>
        <w:jc w:val="left"/>
        <w:rPr>
          <w:sz w:val="20"/>
        </w:rPr>
      </w:pPr>
      <w:r>
        <w:rPr>
          <w:rFonts w:ascii="Arial" w:hAnsi="Arial"/>
          <w:b/>
          <w:sz w:val="20"/>
        </w:rPr>
        <w:t>V.1.8</w:t>
      </w:r>
      <w:r>
        <w:rPr>
          <w:rFonts w:ascii="Arial" w:hAnsi="Arial"/>
          <w:b/>
          <w:spacing w:val="40"/>
          <w:sz w:val="20"/>
        </w:rPr>
        <w:t> </w:t>
      </w:r>
      <w:r>
        <w:rPr>
          <w:rFonts w:ascii="Arial" w:hAnsi="Arial"/>
          <w:b/>
          <w:sz w:val="20"/>
        </w:rPr>
        <w:t>Pulmón</w:t>
      </w:r>
      <w:r>
        <w:rPr>
          <w:rFonts w:ascii="Arial" w:hAnsi="Arial"/>
          <w:b/>
          <w:spacing w:val="40"/>
          <w:sz w:val="20"/>
        </w:rPr>
        <w:t> </w:t>
      </w:r>
      <w:r>
        <w:rPr>
          <w:rFonts w:ascii="Arial" w:hAnsi="Arial"/>
          <w:b/>
          <w:sz w:val="20"/>
        </w:rPr>
        <w:t>de</w:t>
      </w:r>
      <w:r>
        <w:rPr>
          <w:rFonts w:ascii="Arial" w:hAnsi="Arial"/>
          <w:b/>
          <w:spacing w:val="40"/>
          <w:sz w:val="20"/>
        </w:rPr>
        <w:t> </w:t>
      </w:r>
      <w:r>
        <w:rPr>
          <w:rFonts w:ascii="Arial" w:hAnsi="Arial"/>
          <w:b/>
          <w:sz w:val="20"/>
        </w:rPr>
        <w:t>la</w:t>
      </w:r>
      <w:r>
        <w:rPr>
          <w:rFonts w:ascii="Arial" w:hAnsi="Arial"/>
          <w:b/>
          <w:spacing w:val="40"/>
          <w:sz w:val="20"/>
        </w:rPr>
        <w:t> </w:t>
      </w:r>
      <w:r>
        <w:rPr>
          <w:rFonts w:ascii="Arial" w:hAnsi="Arial"/>
          <w:b/>
          <w:sz w:val="20"/>
        </w:rPr>
        <w:t>persona</w:t>
      </w:r>
      <w:r>
        <w:rPr>
          <w:rFonts w:ascii="Arial" w:hAnsi="Arial"/>
          <w:b/>
          <w:spacing w:val="40"/>
          <w:sz w:val="20"/>
        </w:rPr>
        <w:t> </w:t>
      </w:r>
      <w:r>
        <w:rPr>
          <w:rFonts w:ascii="Arial" w:hAnsi="Arial"/>
          <w:b/>
          <w:sz w:val="20"/>
        </w:rPr>
        <w:t>lavadora</w:t>
      </w:r>
      <w:r>
        <w:rPr>
          <w:rFonts w:ascii="Arial" w:hAnsi="Arial"/>
          <w:b/>
          <w:spacing w:val="40"/>
          <w:sz w:val="20"/>
        </w:rPr>
        <w:t> </w:t>
      </w:r>
      <w:r>
        <w:rPr>
          <w:rFonts w:ascii="Arial" w:hAnsi="Arial"/>
          <w:b/>
          <w:sz w:val="20"/>
        </w:rPr>
        <w:t>de</w:t>
      </w:r>
      <w:r>
        <w:rPr>
          <w:rFonts w:ascii="Arial" w:hAnsi="Arial"/>
          <w:b/>
          <w:spacing w:val="40"/>
          <w:sz w:val="20"/>
        </w:rPr>
        <w:t> </w:t>
      </w:r>
      <w:r>
        <w:rPr>
          <w:rFonts w:ascii="Arial" w:hAnsi="Arial"/>
          <w:b/>
          <w:sz w:val="20"/>
        </w:rPr>
        <w:t>quesos:</w:t>
      </w:r>
      <w:r>
        <w:rPr>
          <w:rFonts w:ascii="Arial" w:hAnsi="Arial"/>
          <w:b/>
          <w:spacing w:val="40"/>
          <w:sz w:val="20"/>
        </w:rPr>
        <w:t> </w:t>
      </w:r>
      <w:r>
        <w:rPr>
          <w:sz w:val="20"/>
        </w:rPr>
        <w:t>personal</w:t>
      </w:r>
      <w:r>
        <w:rPr>
          <w:spacing w:val="40"/>
          <w:sz w:val="20"/>
        </w:rPr>
        <w:t> </w:t>
      </w:r>
      <w:r>
        <w:rPr>
          <w:sz w:val="20"/>
        </w:rPr>
        <w:t>que</w:t>
      </w:r>
      <w:r>
        <w:rPr>
          <w:spacing w:val="40"/>
          <w:sz w:val="20"/>
        </w:rPr>
        <w:t> </w:t>
      </w:r>
      <w:r>
        <w:rPr>
          <w:sz w:val="20"/>
        </w:rPr>
        <w:t>lava</w:t>
      </w:r>
      <w:r>
        <w:rPr>
          <w:spacing w:val="40"/>
          <w:sz w:val="20"/>
        </w:rPr>
        <w:t> </w:t>
      </w:r>
      <w:r>
        <w:rPr>
          <w:sz w:val="20"/>
        </w:rPr>
        <w:t>quesos</w:t>
      </w:r>
      <w:r>
        <w:rPr>
          <w:spacing w:val="40"/>
          <w:sz w:val="20"/>
        </w:rPr>
        <w:t> </w:t>
      </w:r>
      <w:r>
        <w:rPr>
          <w:sz w:val="20"/>
        </w:rPr>
        <w:t>finos</w:t>
      </w:r>
      <w:r>
        <w:rPr>
          <w:spacing w:val="40"/>
          <w:sz w:val="20"/>
        </w:rPr>
        <w:t> </w:t>
      </w:r>
      <w:r>
        <w:rPr>
          <w:sz w:val="20"/>
        </w:rPr>
        <w:t>que</w:t>
      </w:r>
      <w:r>
        <w:rPr>
          <w:spacing w:val="40"/>
          <w:sz w:val="20"/>
        </w:rPr>
        <w:t> </w:t>
      </w:r>
      <w:r>
        <w:rPr>
          <w:sz w:val="20"/>
        </w:rPr>
        <w:t>se fermentan a través de mohos.</w:t>
      </w:r>
    </w:p>
    <w:p>
      <w:pPr>
        <w:pStyle w:val="ListParagraph"/>
        <w:numPr>
          <w:ilvl w:val="2"/>
          <w:numId w:val="160"/>
        </w:numPr>
        <w:tabs>
          <w:tab w:pos="1046" w:val="left" w:leader="none"/>
          <w:tab w:pos="1058" w:val="left" w:leader="none"/>
        </w:tabs>
        <w:spacing w:line="240" w:lineRule="auto" w:before="228" w:after="0"/>
        <w:ind w:left="1058" w:right="339" w:hanging="432"/>
        <w:jc w:val="left"/>
        <w:rPr>
          <w:sz w:val="20"/>
        </w:rPr>
      </w:pPr>
      <w:r>
        <w:rPr>
          <w:rFonts w:ascii="Arial" w:hAnsi="Arial"/>
          <w:b/>
          <w:sz w:val="20"/>
        </w:rPr>
        <w:t>V.1.9 Pulmón</w:t>
      </w:r>
      <w:r>
        <w:rPr>
          <w:rFonts w:ascii="Arial" w:hAnsi="Arial"/>
          <w:b/>
          <w:spacing w:val="-1"/>
          <w:sz w:val="20"/>
        </w:rPr>
        <w:t> </w:t>
      </w:r>
      <w:r>
        <w:rPr>
          <w:rFonts w:ascii="Arial" w:hAnsi="Arial"/>
          <w:b/>
          <w:sz w:val="20"/>
        </w:rPr>
        <w:t>de</w:t>
      </w:r>
      <w:r>
        <w:rPr>
          <w:rFonts w:ascii="Arial" w:hAnsi="Arial"/>
          <w:b/>
          <w:spacing w:val="-2"/>
          <w:sz w:val="20"/>
        </w:rPr>
        <w:t> </w:t>
      </w:r>
      <w:r>
        <w:rPr>
          <w:rFonts w:ascii="Arial" w:hAnsi="Arial"/>
          <w:b/>
          <w:sz w:val="20"/>
        </w:rPr>
        <w:t>la</w:t>
      </w:r>
      <w:r>
        <w:rPr>
          <w:rFonts w:ascii="Arial" w:hAnsi="Arial"/>
          <w:b/>
          <w:spacing w:val="-2"/>
          <w:sz w:val="20"/>
        </w:rPr>
        <w:t> </w:t>
      </w:r>
      <w:r>
        <w:rPr>
          <w:rFonts w:ascii="Arial" w:hAnsi="Arial"/>
          <w:b/>
          <w:sz w:val="20"/>
        </w:rPr>
        <w:t>persona</w:t>
      </w:r>
      <w:r>
        <w:rPr>
          <w:rFonts w:ascii="Arial" w:hAnsi="Arial"/>
          <w:b/>
          <w:spacing w:val="-2"/>
          <w:sz w:val="20"/>
        </w:rPr>
        <w:t> </w:t>
      </w:r>
      <w:r>
        <w:rPr>
          <w:rFonts w:ascii="Arial" w:hAnsi="Arial"/>
          <w:b/>
          <w:sz w:val="20"/>
        </w:rPr>
        <w:t>trabajadora</w:t>
      </w:r>
      <w:r>
        <w:rPr>
          <w:rFonts w:ascii="Arial" w:hAnsi="Arial"/>
          <w:b/>
          <w:spacing w:val="-2"/>
          <w:sz w:val="20"/>
        </w:rPr>
        <w:t> </w:t>
      </w:r>
      <w:r>
        <w:rPr>
          <w:rFonts w:ascii="Arial" w:hAnsi="Arial"/>
          <w:b/>
          <w:sz w:val="20"/>
        </w:rPr>
        <w:t>de</w:t>
      </w:r>
      <w:r>
        <w:rPr>
          <w:rFonts w:ascii="Arial" w:hAnsi="Arial"/>
          <w:b/>
          <w:spacing w:val="-2"/>
          <w:sz w:val="20"/>
        </w:rPr>
        <w:t> </w:t>
      </w:r>
      <w:r>
        <w:rPr>
          <w:rFonts w:ascii="Arial" w:hAnsi="Arial"/>
          <w:b/>
          <w:sz w:val="20"/>
        </w:rPr>
        <w:t>malta: </w:t>
      </w:r>
      <w:r>
        <w:rPr>
          <w:sz w:val="20"/>
        </w:rPr>
        <w:t>personas trabajadoras del cultivo de malta y de fábricas de cerveza.</w:t>
      </w:r>
    </w:p>
    <w:p>
      <w:pPr>
        <w:pStyle w:val="ListParagraph"/>
        <w:numPr>
          <w:ilvl w:val="2"/>
          <w:numId w:val="160"/>
        </w:numPr>
        <w:tabs>
          <w:tab w:pos="1046" w:val="left" w:leader="none"/>
          <w:tab w:pos="1058" w:val="left" w:leader="none"/>
        </w:tabs>
        <w:spacing w:line="240" w:lineRule="auto" w:before="228" w:after="0"/>
        <w:ind w:left="1058" w:right="340" w:hanging="432"/>
        <w:jc w:val="left"/>
        <w:rPr>
          <w:sz w:val="20"/>
        </w:rPr>
      </w:pPr>
      <w:r>
        <w:rPr>
          <w:rFonts w:ascii="Arial" w:hAnsi="Arial"/>
          <w:b/>
          <w:sz w:val="20"/>
        </w:rPr>
        <w:t>V.1.10</w:t>
      </w:r>
      <w:r>
        <w:rPr>
          <w:rFonts w:ascii="Arial" w:hAnsi="Arial"/>
          <w:b/>
          <w:spacing w:val="24"/>
          <w:sz w:val="20"/>
        </w:rPr>
        <w:t> </w:t>
      </w:r>
      <w:r>
        <w:rPr>
          <w:rFonts w:ascii="Arial" w:hAnsi="Arial"/>
          <w:b/>
          <w:sz w:val="20"/>
        </w:rPr>
        <w:t>Pulmón</w:t>
      </w:r>
      <w:r>
        <w:rPr>
          <w:rFonts w:ascii="Arial" w:hAnsi="Arial"/>
          <w:b/>
          <w:spacing w:val="25"/>
          <w:sz w:val="20"/>
        </w:rPr>
        <w:t> </w:t>
      </w:r>
      <w:r>
        <w:rPr>
          <w:rFonts w:ascii="Arial" w:hAnsi="Arial"/>
          <w:b/>
          <w:sz w:val="20"/>
        </w:rPr>
        <w:t>de</w:t>
      </w:r>
      <w:r>
        <w:rPr>
          <w:rFonts w:ascii="Arial" w:hAnsi="Arial"/>
          <w:b/>
          <w:spacing w:val="24"/>
          <w:sz w:val="20"/>
        </w:rPr>
        <w:t> </w:t>
      </w:r>
      <w:r>
        <w:rPr>
          <w:rFonts w:ascii="Arial" w:hAnsi="Arial"/>
          <w:b/>
          <w:sz w:val="20"/>
        </w:rPr>
        <w:t>la</w:t>
      </w:r>
      <w:r>
        <w:rPr>
          <w:rFonts w:ascii="Arial" w:hAnsi="Arial"/>
          <w:b/>
          <w:spacing w:val="24"/>
          <w:sz w:val="20"/>
        </w:rPr>
        <w:t> </w:t>
      </w:r>
      <w:r>
        <w:rPr>
          <w:rFonts w:ascii="Arial" w:hAnsi="Arial"/>
          <w:b/>
          <w:sz w:val="20"/>
        </w:rPr>
        <w:t>persona</w:t>
      </w:r>
      <w:r>
        <w:rPr>
          <w:rFonts w:ascii="Arial" w:hAnsi="Arial"/>
          <w:b/>
          <w:spacing w:val="22"/>
          <w:sz w:val="20"/>
        </w:rPr>
        <w:t> </w:t>
      </w:r>
      <w:r>
        <w:rPr>
          <w:rFonts w:ascii="Arial" w:hAnsi="Arial"/>
          <w:b/>
          <w:sz w:val="20"/>
        </w:rPr>
        <w:t>que</w:t>
      </w:r>
      <w:r>
        <w:rPr>
          <w:rFonts w:ascii="Arial" w:hAnsi="Arial"/>
          <w:b/>
          <w:spacing w:val="24"/>
          <w:sz w:val="20"/>
        </w:rPr>
        <w:t> </w:t>
      </w:r>
      <w:r>
        <w:rPr>
          <w:rFonts w:ascii="Arial" w:hAnsi="Arial"/>
          <w:b/>
          <w:sz w:val="20"/>
        </w:rPr>
        <w:t>inhala</w:t>
      </w:r>
      <w:r>
        <w:rPr>
          <w:rFonts w:ascii="Arial" w:hAnsi="Arial"/>
          <w:b/>
          <w:spacing w:val="22"/>
          <w:sz w:val="20"/>
        </w:rPr>
        <w:t> </w:t>
      </w:r>
      <w:r>
        <w:rPr>
          <w:rFonts w:ascii="Arial" w:hAnsi="Arial"/>
          <w:b/>
          <w:sz w:val="20"/>
        </w:rPr>
        <w:t>pituitaria:</w:t>
      </w:r>
      <w:r>
        <w:rPr>
          <w:rFonts w:ascii="Arial" w:hAnsi="Arial"/>
          <w:b/>
          <w:spacing w:val="29"/>
          <w:sz w:val="20"/>
        </w:rPr>
        <w:t> </w:t>
      </w:r>
      <w:r>
        <w:rPr>
          <w:sz w:val="20"/>
        </w:rPr>
        <w:t>sustituto</w:t>
      </w:r>
      <w:r>
        <w:rPr>
          <w:spacing w:val="24"/>
          <w:sz w:val="20"/>
        </w:rPr>
        <w:t> </w:t>
      </w:r>
      <w:r>
        <w:rPr>
          <w:sz w:val="20"/>
        </w:rPr>
        <w:t>de</w:t>
      </w:r>
      <w:r>
        <w:rPr>
          <w:spacing w:val="24"/>
          <w:sz w:val="20"/>
        </w:rPr>
        <w:t> </w:t>
      </w:r>
      <w:r>
        <w:rPr>
          <w:sz w:val="20"/>
        </w:rPr>
        <w:t>hormonas</w:t>
      </w:r>
      <w:r>
        <w:rPr>
          <w:spacing w:val="23"/>
          <w:sz w:val="20"/>
        </w:rPr>
        <w:t> </w:t>
      </w:r>
      <w:r>
        <w:rPr>
          <w:sz w:val="20"/>
        </w:rPr>
        <w:t>producidas</w:t>
      </w:r>
      <w:r>
        <w:rPr>
          <w:spacing w:val="25"/>
          <w:sz w:val="20"/>
        </w:rPr>
        <w:t> </w:t>
      </w:r>
      <w:r>
        <w:rPr>
          <w:sz w:val="20"/>
        </w:rPr>
        <w:t>por</w:t>
      </w:r>
      <w:r>
        <w:rPr>
          <w:spacing w:val="25"/>
          <w:sz w:val="20"/>
        </w:rPr>
        <w:t> </w:t>
      </w:r>
      <w:r>
        <w:rPr>
          <w:sz w:val="20"/>
        </w:rPr>
        <w:t>la pituitaria, cuando es extirpada por tumores.</w:t>
      </w:r>
    </w:p>
    <w:p>
      <w:pPr>
        <w:pStyle w:val="ListParagraph"/>
        <w:numPr>
          <w:ilvl w:val="2"/>
          <w:numId w:val="160"/>
        </w:numPr>
        <w:tabs>
          <w:tab w:pos="1046" w:val="left" w:leader="none"/>
        </w:tabs>
        <w:spacing w:line="240" w:lineRule="auto" w:before="229" w:after="0"/>
        <w:ind w:left="1046" w:right="0" w:hanging="420"/>
        <w:jc w:val="left"/>
        <w:rPr>
          <w:sz w:val="20"/>
        </w:rPr>
      </w:pPr>
      <w:r>
        <w:rPr>
          <w:rFonts w:ascii="Arial" w:hAnsi="Arial"/>
          <w:b/>
          <w:sz w:val="20"/>
        </w:rPr>
        <w:t>V.1.11</w:t>
      </w:r>
      <w:r>
        <w:rPr>
          <w:rFonts w:ascii="Arial" w:hAnsi="Arial"/>
          <w:b/>
          <w:spacing w:val="-5"/>
          <w:sz w:val="20"/>
        </w:rPr>
        <w:t> </w:t>
      </w:r>
      <w:r>
        <w:rPr>
          <w:rFonts w:ascii="Arial" w:hAnsi="Arial"/>
          <w:b/>
          <w:sz w:val="20"/>
        </w:rPr>
        <w:t>Enfermedad</w:t>
      </w:r>
      <w:r>
        <w:rPr>
          <w:rFonts w:ascii="Arial" w:hAnsi="Arial"/>
          <w:b/>
          <w:spacing w:val="-5"/>
          <w:sz w:val="20"/>
        </w:rPr>
        <w:t> </w:t>
      </w:r>
      <w:r>
        <w:rPr>
          <w:rFonts w:ascii="Arial" w:hAnsi="Arial"/>
          <w:b/>
          <w:sz w:val="20"/>
        </w:rPr>
        <w:t>del</w:t>
      </w:r>
      <w:r>
        <w:rPr>
          <w:rFonts w:ascii="Arial" w:hAnsi="Arial"/>
          <w:b/>
          <w:spacing w:val="-7"/>
          <w:sz w:val="20"/>
        </w:rPr>
        <w:t> </w:t>
      </w:r>
      <w:r>
        <w:rPr>
          <w:rFonts w:ascii="Arial" w:hAnsi="Arial"/>
          <w:b/>
          <w:sz w:val="20"/>
        </w:rPr>
        <w:t>gorgojo</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trigo:</w:t>
      </w:r>
      <w:r>
        <w:rPr>
          <w:rFonts w:ascii="Arial" w:hAnsi="Arial"/>
          <w:b/>
          <w:spacing w:val="-4"/>
          <w:sz w:val="20"/>
        </w:rPr>
        <w:t> </w:t>
      </w:r>
      <w:r>
        <w:rPr>
          <w:sz w:val="20"/>
        </w:rPr>
        <w:t>personal</w:t>
      </w:r>
      <w:r>
        <w:rPr>
          <w:spacing w:val="-7"/>
          <w:sz w:val="20"/>
        </w:rPr>
        <w:t> </w:t>
      </w:r>
      <w:r>
        <w:rPr>
          <w:sz w:val="20"/>
        </w:rPr>
        <w:t>que</w:t>
      </w:r>
      <w:r>
        <w:rPr>
          <w:spacing w:val="-7"/>
          <w:sz w:val="20"/>
        </w:rPr>
        <w:t> </w:t>
      </w:r>
      <w:r>
        <w:rPr>
          <w:sz w:val="20"/>
        </w:rPr>
        <w:t>colecta</w:t>
      </w:r>
      <w:r>
        <w:rPr>
          <w:spacing w:val="-6"/>
          <w:sz w:val="20"/>
        </w:rPr>
        <w:t> </w:t>
      </w:r>
      <w:r>
        <w:rPr>
          <w:sz w:val="20"/>
        </w:rPr>
        <w:t>trigo</w:t>
      </w:r>
      <w:r>
        <w:rPr>
          <w:spacing w:val="-3"/>
          <w:sz w:val="20"/>
        </w:rPr>
        <w:t> </w:t>
      </w:r>
      <w:r>
        <w:rPr>
          <w:sz w:val="20"/>
        </w:rPr>
        <w:t>y</w:t>
      </w:r>
      <w:r>
        <w:rPr>
          <w:spacing w:val="-9"/>
          <w:sz w:val="20"/>
        </w:rPr>
        <w:t> </w:t>
      </w:r>
      <w:r>
        <w:rPr>
          <w:spacing w:val="-2"/>
          <w:sz w:val="20"/>
        </w:rPr>
        <w:t>panaderos.</w:t>
      </w:r>
    </w:p>
    <w:p>
      <w:pPr>
        <w:pStyle w:val="ListParagraph"/>
        <w:numPr>
          <w:ilvl w:val="2"/>
          <w:numId w:val="160"/>
        </w:numPr>
        <w:tabs>
          <w:tab w:pos="1046" w:val="left" w:leader="none"/>
        </w:tabs>
        <w:spacing w:line="240" w:lineRule="auto" w:before="228" w:after="0"/>
        <w:ind w:left="1046" w:right="0" w:hanging="420"/>
        <w:jc w:val="left"/>
        <w:rPr>
          <w:sz w:val="20"/>
        </w:rPr>
      </w:pPr>
      <w:r>
        <w:rPr>
          <w:rFonts w:ascii="Arial" w:hAnsi="Arial"/>
          <w:b/>
          <w:sz w:val="20"/>
        </w:rPr>
        <w:t>V.1.12</w:t>
      </w:r>
      <w:r>
        <w:rPr>
          <w:rFonts w:ascii="Arial" w:hAnsi="Arial"/>
          <w:b/>
          <w:spacing w:val="-8"/>
          <w:sz w:val="20"/>
        </w:rPr>
        <w:t> </w:t>
      </w:r>
      <w:r>
        <w:rPr>
          <w:rFonts w:ascii="Arial" w:hAnsi="Arial"/>
          <w:b/>
          <w:sz w:val="20"/>
        </w:rPr>
        <w:t>Sequoiosis:</w:t>
      </w:r>
      <w:r>
        <w:rPr>
          <w:rFonts w:ascii="Arial" w:hAnsi="Arial"/>
          <w:b/>
          <w:spacing w:val="-7"/>
          <w:sz w:val="20"/>
        </w:rPr>
        <w:t> </w:t>
      </w:r>
      <w:r>
        <w:rPr>
          <w:sz w:val="20"/>
        </w:rPr>
        <w:t>guardabosques</w:t>
      </w:r>
      <w:r>
        <w:rPr>
          <w:spacing w:val="-7"/>
          <w:sz w:val="20"/>
        </w:rPr>
        <w:t> </w:t>
      </w:r>
      <w:r>
        <w:rPr>
          <w:sz w:val="20"/>
        </w:rPr>
        <w:t>de</w:t>
      </w:r>
      <w:r>
        <w:rPr>
          <w:spacing w:val="-8"/>
          <w:sz w:val="20"/>
        </w:rPr>
        <w:t> </w:t>
      </w:r>
      <w:r>
        <w:rPr>
          <w:sz w:val="20"/>
        </w:rPr>
        <w:t>las</w:t>
      </w:r>
      <w:r>
        <w:rPr>
          <w:spacing w:val="-8"/>
          <w:sz w:val="20"/>
        </w:rPr>
        <w:t> </w:t>
      </w:r>
      <w:r>
        <w:rPr>
          <w:sz w:val="20"/>
        </w:rPr>
        <w:t>secuoyas</w:t>
      </w:r>
      <w:r>
        <w:rPr>
          <w:spacing w:val="-8"/>
          <w:sz w:val="20"/>
        </w:rPr>
        <w:t> </w:t>
      </w:r>
      <w:r>
        <w:rPr>
          <w:sz w:val="20"/>
        </w:rPr>
        <w:t>gigantes</w:t>
      </w:r>
      <w:r>
        <w:rPr>
          <w:spacing w:val="-8"/>
          <w:sz w:val="20"/>
        </w:rPr>
        <w:t> </w:t>
      </w:r>
      <w:r>
        <w:rPr>
          <w:sz w:val="20"/>
        </w:rPr>
        <w:t>de</w:t>
      </w:r>
      <w:r>
        <w:rPr>
          <w:spacing w:val="-9"/>
          <w:sz w:val="20"/>
        </w:rPr>
        <w:t> </w:t>
      </w:r>
      <w:r>
        <w:rPr>
          <w:spacing w:val="-2"/>
          <w:sz w:val="20"/>
        </w:rPr>
        <w:t>California.</w:t>
      </w:r>
    </w:p>
    <w:p>
      <w:pPr>
        <w:pStyle w:val="ListParagraph"/>
        <w:numPr>
          <w:ilvl w:val="2"/>
          <w:numId w:val="160"/>
        </w:numPr>
        <w:tabs>
          <w:tab w:pos="1046" w:val="left" w:leader="none"/>
          <w:tab w:pos="1058" w:val="left" w:leader="none"/>
        </w:tabs>
        <w:spacing w:line="242" w:lineRule="auto" w:before="227" w:after="0"/>
        <w:ind w:left="1058" w:right="340" w:hanging="432"/>
        <w:jc w:val="left"/>
        <w:rPr>
          <w:sz w:val="20"/>
        </w:rPr>
      </w:pPr>
      <w:r>
        <w:rPr>
          <w:rFonts w:ascii="Arial" w:hAnsi="Arial"/>
          <w:b/>
          <w:sz w:val="20"/>
        </w:rPr>
        <w:t>V.1.13 Pulmón de las personas manejadoras de arce: </w:t>
      </w:r>
      <w:r>
        <w:rPr>
          <w:sz w:val="20"/>
        </w:rPr>
        <w:t>personas trabajadoras en la obtención de miel de maple.</w:t>
      </w:r>
    </w:p>
    <w:p>
      <w:pPr>
        <w:pStyle w:val="ListParagraph"/>
        <w:numPr>
          <w:ilvl w:val="2"/>
          <w:numId w:val="160"/>
        </w:numPr>
        <w:tabs>
          <w:tab w:pos="1046" w:val="left" w:leader="none"/>
        </w:tabs>
        <w:spacing w:line="240" w:lineRule="auto" w:before="224" w:after="0"/>
        <w:ind w:left="1046" w:right="0" w:hanging="420"/>
        <w:jc w:val="left"/>
        <w:rPr>
          <w:sz w:val="20"/>
        </w:rPr>
      </w:pPr>
      <w:r>
        <w:rPr>
          <w:rFonts w:ascii="Arial" w:hAnsi="Arial"/>
          <w:b/>
          <w:sz w:val="20"/>
        </w:rPr>
        <w:t>V.1.14</w:t>
      </w:r>
      <w:r>
        <w:rPr>
          <w:rFonts w:ascii="Arial" w:hAnsi="Arial"/>
          <w:b/>
          <w:spacing w:val="-7"/>
          <w:sz w:val="20"/>
        </w:rPr>
        <w:t> </w:t>
      </w:r>
      <w:r>
        <w:rPr>
          <w:rFonts w:ascii="Arial" w:hAnsi="Arial"/>
          <w:b/>
          <w:sz w:val="20"/>
        </w:rPr>
        <w:t>Pulmón</w:t>
      </w:r>
      <w:r>
        <w:rPr>
          <w:rFonts w:ascii="Arial" w:hAnsi="Arial"/>
          <w:b/>
          <w:spacing w:val="-7"/>
          <w:sz w:val="20"/>
        </w:rPr>
        <w:t> </w:t>
      </w:r>
      <w:r>
        <w:rPr>
          <w:rFonts w:ascii="Arial" w:hAnsi="Arial"/>
          <w:b/>
          <w:sz w:val="20"/>
        </w:rPr>
        <w:t>de</w:t>
      </w:r>
      <w:r>
        <w:rPr>
          <w:rFonts w:ascii="Arial" w:hAnsi="Arial"/>
          <w:b/>
          <w:spacing w:val="-8"/>
          <w:sz w:val="20"/>
        </w:rPr>
        <w:t> </w:t>
      </w:r>
      <w:r>
        <w:rPr>
          <w:rFonts w:ascii="Arial" w:hAnsi="Arial"/>
          <w:b/>
          <w:sz w:val="20"/>
        </w:rPr>
        <w:t>manejadores</w:t>
      </w:r>
      <w:r>
        <w:rPr>
          <w:rFonts w:ascii="Arial" w:hAnsi="Arial"/>
          <w:b/>
          <w:spacing w:val="-9"/>
          <w:sz w:val="20"/>
        </w:rPr>
        <w:t> </w:t>
      </w:r>
      <w:r>
        <w:rPr>
          <w:rFonts w:ascii="Arial" w:hAnsi="Arial"/>
          <w:b/>
          <w:sz w:val="20"/>
        </w:rPr>
        <w:t>de</w:t>
      </w:r>
      <w:r>
        <w:rPr>
          <w:rFonts w:ascii="Arial" w:hAnsi="Arial"/>
          <w:b/>
          <w:spacing w:val="-5"/>
          <w:sz w:val="20"/>
        </w:rPr>
        <w:t> </w:t>
      </w:r>
      <w:r>
        <w:rPr>
          <w:rFonts w:ascii="Arial" w:hAnsi="Arial"/>
          <w:b/>
          <w:sz w:val="20"/>
        </w:rPr>
        <w:t>café:</w:t>
      </w:r>
      <w:r>
        <w:rPr>
          <w:rFonts w:ascii="Arial" w:hAnsi="Arial"/>
          <w:b/>
          <w:spacing w:val="-3"/>
          <w:sz w:val="20"/>
        </w:rPr>
        <w:t> </w:t>
      </w:r>
      <w:r>
        <w:rPr>
          <w:sz w:val="20"/>
        </w:rPr>
        <w:t>personas</w:t>
      </w:r>
      <w:r>
        <w:rPr>
          <w:spacing w:val="-7"/>
          <w:sz w:val="20"/>
        </w:rPr>
        <w:t> </w:t>
      </w:r>
      <w:r>
        <w:rPr>
          <w:sz w:val="20"/>
        </w:rPr>
        <w:t>trabajadoras</w:t>
      </w:r>
      <w:r>
        <w:rPr>
          <w:spacing w:val="-7"/>
          <w:sz w:val="20"/>
        </w:rPr>
        <w:t> </w:t>
      </w:r>
      <w:r>
        <w:rPr>
          <w:sz w:val="20"/>
        </w:rPr>
        <w:t>del</w:t>
      </w:r>
      <w:r>
        <w:rPr>
          <w:spacing w:val="-9"/>
          <w:sz w:val="20"/>
        </w:rPr>
        <w:t> </w:t>
      </w:r>
      <w:r>
        <w:rPr>
          <w:sz w:val="20"/>
        </w:rPr>
        <w:t>grano</w:t>
      </w:r>
      <w:r>
        <w:rPr>
          <w:spacing w:val="-7"/>
          <w:sz w:val="20"/>
        </w:rPr>
        <w:t> </w:t>
      </w:r>
      <w:r>
        <w:rPr>
          <w:sz w:val="20"/>
        </w:rPr>
        <w:t>del</w:t>
      </w:r>
      <w:r>
        <w:rPr>
          <w:spacing w:val="-7"/>
          <w:sz w:val="20"/>
        </w:rPr>
        <w:t> </w:t>
      </w:r>
      <w:r>
        <w:rPr>
          <w:spacing w:val="-2"/>
          <w:sz w:val="20"/>
        </w:rPr>
        <w:t>café.</w:t>
      </w:r>
    </w:p>
    <w:p>
      <w:pPr>
        <w:pStyle w:val="BodyText"/>
      </w:pPr>
    </w:p>
    <w:p>
      <w:pPr>
        <w:pStyle w:val="ListParagraph"/>
        <w:numPr>
          <w:ilvl w:val="2"/>
          <w:numId w:val="160"/>
        </w:numPr>
        <w:tabs>
          <w:tab w:pos="1046" w:val="left" w:leader="none"/>
          <w:tab w:pos="1058" w:val="left" w:leader="none"/>
        </w:tabs>
        <w:spacing w:line="240" w:lineRule="auto" w:before="0" w:after="0"/>
        <w:ind w:left="1058" w:right="340" w:hanging="432"/>
        <w:jc w:val="left"/>
        <w:rPr>
          <w:sz w:val="20"/>
        </w:rPr>
      </w:pPr>
      <w:r>
        <w:rPr>
          <w:rFonts w:ascii="Arial" w:hAnsi="Arial"/>
          <w:b/>
          <w:sz w:val="20"/>
        </w:rPr>
        <w:t>V.1.15 Pulmón de las personas curtidoras de pieles y peleteros: </w:t>
      </w:r>
      <w:r>
        <w:rPr>
          <w:sz w:val="20"/>
        </w:rPr>
        <w:t>personas trabajadoras de la industria de la curtiduría.</w:t>
      </w:r>
    </w:p>
    <w:p>
      <w:pPr>
        <w:pStyle w:val="Heading3"/>
        <w:numPr>
          <w:ilvl w:val="2"/>
          <w:numId w:val="160"/>
        </w:numPr>
        <w:tabs>
          <w:tab w:pos="1046" w:val="left" w:leader="none"/>
        </w:tabs>
        <w:spacing w:line="240" w:lineRule="auto" w:before="228" w:after="0"/>
        <w:ind w:left="1046" w:right="0" w:hanging="420"/>
        <w:jc w:val="left"/>
      </w:pPr>
      <w:r>
        <w:rPr/>
        <w:t>V.1.16</w:t>
      </w:r>
      <w:r>
        <w:rPr>
          <w:spacing w:val="58"/>
          <w:w w:val="150"/>
        </w:rPr>
        <w:t> </w:t>
      </w:r>
      <w:r>
        <w:rPr/>
        <w:t>Pulmón</w:t>
      </w:r>
      <w:r>
        <w:rPr>
          <w:spacing w:val="59"/>
          <w:w w:val="150"/>
        </w:rPr>
        <w:t> </w:t>
      </w:r>
      <w:r>
        <w:rPr/>
        <w:t>de</w:t>
      </w:r>
      <w:r>
        <w:rPr>
          <w:spacing w:val="59"/>
          <w:w w:val="150"/>
        </w:rPr>
        <w:t> </w:t>
      </w:r>
      <w:r>
        <w:rPr/>
        <w:t>las</w:t>
      </w:r>
      <w:r>
        <w:rPr>
          <w:spacing w:val="60"/>
          <w:w w:val="150"/>
        </w:rPr>
        <w:t> </w:t>
      </w:r>
      <w:r>
        <w:rPr/>
        <w:t>personas</w:t>
      </w:r>
      <w:r>
        <w:rPr>
          <w:spacing w:val="58"/>
          <w:w w:val="150"/>
        </w:rPr>
        <w:t> </w:t>
      </w:r>
      <w:r>
        <w:rPr/>
        <w:t>trabajadoras</w:t>
      </w:r>
      <w:r>
        <w:rPr>
          <w:spacing w:val="59"/>
          <w:w w:val="150"/>
        </w:rPr>
        <w:t> </w:t>
      </w:r>
      <w:r>
        <w:rPr/>
        <w:t>de</w:t>
      </w:r>
      <w:r>
        <w:rPr>
          <w:spacing w:val="58"/>
          <w:w w:val="150"/>
        </w:rPr>
        <w:t> </w:t>
      </w:r>
      <w:r>
        <w:rPr/>
        <w:t>maderas</w:t>
      </w:r>
      <w:r>
        <w:rPr>
          <w:spacing w:val="64"/>
          <w:w w:val="150"/>
        </w:rPr>
        <w:t> </w:t>
      </w:r>
      <w:r>
        <w:rPr/>
        <w:t>finas</w:t>
      </w:r>
      <w:r>
        <w:rPr>
          <w:spacing w:val="58"/>
          <w:w w:val="150"/>
        </w:rPr>
        <w:t> </w:t>
      </w:r>
      <w:r>
        <w:rPr/>
        <w:t>de</w:t>
      </w:r>
      <w:r>
        <w:rPr>
          <w:spacing w:val="61"/>
          <w:w w:val="150"/>
        </w:rPr>
        <w:t> </w:t>
      </w:r>
      <w:r>
        <w:rPr/>
        <w:t>caoba</w:t>
      </w:r>
      <w:r>
        <w:rPr>
          <w:spacing w:val="60"/>
          <w:w w:val="150"/>
        </w:rPr>
        <w:t> </w:t>
      </w:r>
      <w:r>
        <w:rPr/>
        <w:t>y</w:t>
      </w:r>
      <w:r>
        <w:rPr>
          <w:spacing w:val="57"/>
          <w:w w:val="150"/>
        </w:rPr>
        <w:t> </w:t>
      </w:r>
      <w:r>
        <w:rPr>
          <w:spacing w:val="-2"/>
        </w:rPr>
        <w:t>roble:</w:t>
      </w:r>
    </w:p>
    <w:p>
      <w:pPr>
        <w:pStyle w:val="BodyText"/>
        <w:spacing w:before="2"/>
        <w:ind w:left="1058"/>
      </w:pPr>
      <w:r>
        <w:rPr>
          <w:spacing w:val="-2"/>
        </w:rPr>
        <w:t>principalmente</w:t>
      </w:r>
      <w:r>
        <w:rPr>
          <w:spacing w:val="6"/>
        </w:rPr>
        <w:t> </w:t>
      </w:r>
      <w:r>
        <w:rPr>
          <w:spacing w:val="-2"/>
        </w:rPr>
        <w:t>carpinteros.</w:t>
      </w:r>
    </w:p>
    <w:p>
      <w:pPr>
        <w:pStyle w:val="ListParagraph"/>
        <w:numPr>
          <w:ilvl w:val="2"/>
          <w:numId w:val="160"/>
        </w:numPr>
        <w:tabs>
          <w:tab w:pos="1046" w:val="left" w:leader="none"/>
          <w:tab w:pos="1058" w:val="left" w:leader="none"/>
        </w:tabs>
        <w:spacing w:line="240" w:lineRule="auto" w:before="227" w:after="0"/>
        <w:ind w:left="1058" w:right="337" w:hanging="432"/>
        <w:jc w:val="left"/>
        <w:rPr>
          <w:sz w:val="20"/>
        </w:rPr>
      </w:pPr>
      <w:r>
        <w:rPr>
          <w:rFonts w:ascii="Arial" w:hAnsi="Arial"/>
          <w:b/>
          <w:sz w:val="20"/>
        </w:rPr>
        <w:t>V.1.17</w:t>
      </w:r>
      <w:r>
        <w:rPr>
          <w:rFonts w:ascii="Arial" w:hAnsi="Arial"/>
          <w:b/>
          <w:spacing w:val="40"/>
          <w:sz w:val="20"/>
        </w:rPr>
        <w:t> </w:t>
      </w:r>
      <w:r>
        <w:rPr>
          <w:rFonts w:ascii="Arial" w:hAnsi="Arial"/>
          <w:b/>
          <w:sz w:val="20"/>
        </w:rPr>
        <w:t>Pulmón</w:t>
      </w:r>
      <w:r>
        <w:rPr>
          <w:rFonts w:ascii="Arial" w:hAnsi="Arial"/>
          <w:b/>
          <w:spacing w:val="40"/>
          <w:sz w:val="20"/>
        </w:rPr>
        <w:t> </w:t>
      </w:r>
      <w:r>
        <w:rPr>
          <w:rFonts w:ascii="Arial" w:hAnsi="Arial"/>
          <w:b/>
          <w:sz w:val="20"/>
        </w:rPr>
        <w:t>de</w:t>
      </w:r>
      <w:r>
        <w:rPr>
          <w:rFonts w:ascii="Arial" w:hAnsi="Arial"/>
          <w:b/>
          <w:spacing w:val="40"/>
          <w:sz w:val="20"/>
        </w:rPr>
        <w:t> </w:t>
      </w:r>
      <w:r>
        <w:rPr>
          <w:rFonts w:ascii="Arial" w:hAnsi="Arial"/>
          <w:b/>
          <w:sz w:val="20"/>
        </w:rPr>
        <w:t>las</w:t>
      </w:r>
      <w:r>
        <w:rPr>
          <w:rFonts w:ascii="Arial" w:hAnsi="Arial"/>
          <w:b/>
          <w:spacing w:val="40"/>
          <w:sz w:val="20"/>
        </w:rPr>
        <w:t> </w:t>
      </w:r>
      <w:r>
        <w:rPr>
          <w:rFonts w:ascii="Arial" w:hAnsi="Arial"/>
          <w:b/>
          <w:sz w:val="20"/>
        </w:rPr>
        <w:t>personas</w:t>
      </w:r>
      <w:r>
        <w:rPr>
          <w:rFonts w:ascii="Arial" w:hAnsi="Arial"/>
          <w:b/>
          <w:spacing w:val="40"/>
          <w:sz w:val="20"/>
        </w:rPr>
        <w:t> </w:t>
      </w:r>
      <w:r>
        <w:rPr>
          <w:rFonts w:ascii="Arial" w:hAnsi="Arial"/>
          <w:b/>
          <w:sz w:val="20"/>
        </w:rPr>
        <w:t>limpiadoras</w:t>
      </w:r>
      <w:r>
        <w:rPr>
          <w:rFonts w:ascii="Arial" w:hAnsi="Arial"/>
          <w:b/>
          <w:spacing w:val="40"/>
          <w:sz w:val="20"/>
        </w:rPr>
        <w:t> </w:t>
      </w:r>
      <w:r>
        <w:rPr>
          <w:rFonts w:ascii="Arial" w:hAnsi="Arial"/>
          <w:b/>
          <w:sz w:val="20"/>
        </w:rPr>
        <w:t>de</w:t>
      </w:r>
      <w:r>
        <w:rPr>
          <w:rFonts w:ascii="Arial" w:hAnsi="Arial"/>
          <w:b/>
          <w:spacing w:val="40"/>
          <w:sz w:val="20"/>
        </w:rPr>
        <w:t> </w:t>
      </w:r>
      <w:r>
        <w:rPr>
          <w:rFonts w:ascii="Arial" w:hAnsi="Arial"/>
          <w:b/>
          <w:sz w:val="20"/>
        </w:rPr>
        <w:t>embutidos:</w:t>
      </w:r>
      <w:r>
        <w:rPr>
          <w:rFonts w:ascii="Arial" w:hAnsi="Arial"/>
          <w:b/>
          <w:spacing w:val="75"/>
          <w:sz w:val="20"/>
        </w:rPr>
        <w:t> </w:t>
      </w:r>
      <w:r>
        <w:rPr>
          <w:sz w:val="20"/>
        </w:rPr>
        <w:t>personas</w:t>
      </w:r>
      <w:r>
        <w:rPr>
          <w:spacing w:val="69"/>
          <w:sz w:val="20"/>
        </w:rPr>
        <w:t> </w:t>
      </w:r>
      <w:r>
        <w:rPr>
          <w:sz w:val="20"/>
        </w:rPr>
        <w:t>trabajadoras</w:t>
      </w:r>
      <w:r>
        <w:rPr>
          <w:spacing w:val="70"/>
          <w:sz w:val="20"/>
        </w:rPr>
        <w:t> </w:t>
      </w:r>
      <w:r>
        <w:rPr>
          <w:sz w:val="20"/>
        </w:rPr>
        <w:t>que producen y limpian maquinaria para embutidos.</w:t>
      </w:r>
    </w:p>
    <w:p>
      <w:pPr>
        <w:pStyle w:val="ListParagraph"/>
        <w:numPr>
          <w:ilvl w:val="2"/>
          <w:numId w:val="160"/>
        </w:numPr>
        <w:tabs>
          <w:tab w:pos="1046" w:val="left" w:leader="none"/>
        </w:tabs>
        <w:spacing w:line="240" w:lineRule="auto" w:before="228" w:after="0"/>
        <w:ind w:left="1046" w:right="0" w:hanging="420"/>
        <w:jc w:val="left"/>
        <w:rPr>
          <w:sz w:val="20"/>
        </w:rPr>
      </w:pPr>
      <w:r>
        <w:rPr>
          <w:rFonts w:ascii="Arial" w:hAnsi="Arial"/>
          <w:b/>
          <w:sz w:val="20"/>
        </w:rPr>
        <w:t>V.1.18</w:t>
      </w:r>
      <w:r>
        <w:rPr>
          <w:rFonts w:ascii="Arial" w:hAnsi="Arial"/>
          <w:b/>
          <w:spacing w:val="-6"/>
          <w:sz w:val="20"/>
        </w:rPr>
        <w:t> </w:t>
      </w:r>
      <w:r>
        <w:rPr>
          <w:rFonts w:ascii="Arial" w:hAnsi="Arial"/>
          <w:b/>
          <w:sz w:val="20"/>
        </w:rPr>
        <w:t>Pulmón</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nácar:</w:t>
      </w:r>
      <w:r>
        <w:rPr>
          <w:rFonts w:ascii="Arial" w:hAnsi="Arial"/>
          <w:b/>
          <w:spacing w:val="-1"/>
          <w:sz w:val="20"/>
        </w:rPr>
        <w:t> </w:t>
      </w:r>
      <w:r>
        <w:rPr>
          <w:sz w:val="20"/>
        </w:rPr>
        <w:t>personas</w:t>
      </w:r>
      <w:r>
        <w:rPr>
          <w:spacing w:val="-6"/>
          <w:sz w:val="20"/>
        </w:rPr>
        <w:t> </w:t>
      </w:r>
      <w:r>
        <w:rPr>
          <w:sz w:val="20"/>
        </w:rPr>
        <w:t>trabajadoras</w:t>
      </w:r>
      <w:r>
        <w:rPr>
          <w:spacing w:val="-5"/>
          <w:sz w:val="20"/>
        </w:rPr>
        <w:t> </w:t>
      </w:r>
      <w:r>
        <w:rPr>
          <w:sz w:val="20"/>
        </w:rPr>
        <w:t>de</w:t>
      </w:r>
      <w:r>
        <w:rPr>
          <w:spacing w:val="-7"/>
          <w:sz w:val="20"/>
        </w:rPr>
        <w:t> </w:t>
      </w:r>
      <w:r>
        <w:rPr>
          <w:sz w:val="20"/>
        </w:rPr>
        <w:t>nácar</w:t>
      </w:r>
      <w:r>
        <w:rPr>
          <w:spacing w:val="-6"/>
          <w:sz w:val="20"/>
        </w:rPr>
        <w:t> </w:t>
      </w:r>
      <w:r>
        <w:rPr>
          <w:sz w:val="20"/>
        </w:rPr>
        <w:t>en</w:t>
      </w:r>
      <w:r>
        <w:rPr>
          <w:spacing w:val="-7"/>
          <w:sz w:val="20"/>
        </w:rPr>
        <w:t> </w:t>
      </w:r>
      <w:r>
        <w:rPr>
          <w:sz w:val="20"/>
        </w:rPr>
        <w:t>joyería</w:t>
      </w:r>
      <w:r>
        <w:rPr>
          <w:spacing w:val="-3"/>
          <w:sz w:val="20"/>
        </w:rPr>
        <w:t> </w:t>
      </w:r>
      <w:r>
        <w:rPr>
          <w:sz w:val="20"/>
        </w:rPr>
        <w:t>y</w:t>
      </w:r>
      <w:r>
        <w:rPr>
          <w:spacing w:val="-8"/>
          <w:sz w:val="20"/>
        </w:rPr>
        <w:t> </w:t>
      </w:r>
      <w:r>
        <w:rPr>
          <w:spacing w:val="-2"/>
          <w:sz w:val="20"/>
        </w:rPr>
        <w:t>orfebrería.</w:t>
      </w:r>
    </w:p>
    <w:p>
      <w:pPr>
        <w:pStyle w:val="ListParagraph"/>
        <w:numPr>
          <w:ilvl w:val="2"/>
          <w:numId w:val="160"/>
        </w:numPr>
        <w:tabs>
          <w:tab w:pos="1046" w:val="left" w:leader="none"/>
          <w:tab w:pos="1058" w:val="left" w:leader="none"/>
        </w:tabs>
        <w:spacing w:line="242" w:lineRule="auto" w:before="228" w:after="0"/>
        <w:ind w:left="1058" w:right="336" w:hanging="432"/>
        <w:jc w:val="left"/>
        <w:rPr>
          <w:sz w:val="20"/>
        </w:rPr>
      </w:pPr>
      <w:r>
        <w:rPr>
          <w:rFonts w:ascii="Arial" w:hAnsi="Arial"/>
          <w:b/>
          <w:sz w:val="20"/>
        </w:rPr>
        <w:t>V.1.19 Pulmón de las personas trabajadoras de la manufactura de insecticidas:</w:t>
      </w:r>
      <w:r>
        <w:rPr>
          <w:rFonts w:ascii="Arial" w:hAnsi="Arial"/>
          <w:b/>
          <w:spacing w:val="32"/>
          <w:sz w:val="20"/>
        </w:rPr>
        <w:t> </w:t>
      </w:r>
      <w:r>
        <w:rPr>
          <w:sz w:val="20"/>
        </w:rPr>
        <w:t>personas</w:t>
      </w:r>
      <w:r>
        <w:rPr>
          <w:spacing w:val="40"/>
          <w:sz w:val="20"/>
        </w:rPr>
        <w:t> </w:t>
      </w:r>
      <w:r>
        <w:rPr>
          <w:sz w:val="20"/>
        </w:rPr>
        <w:t>trabajadoras de la producción de insecticidas y fumigadores en general.</w:t>
      </w:r>
    </w:p>
    <w:p>
      <w:pPr>
        <w:pStyle w:val="ListParagraph"/>
        <w:numPr>
          <w:ilvl w:val="2"/>
          <w:numId w:val="160"/>
        </w:numPr>
        <w:tabs>
          <w:tab w:pos="1046" w:val="left" w:leader="none"/>
          <w:tab w:pos="1058" w:val="left" w:leader="none"/>
        </w:tabs>
        <w:spacing w:line="240" w:lineRule="auto" w:before="223" w:after="0"/>
        <w:ind w:left="1058" w:right="345" w:hanging="432"/>
        <w:jc w:val="left"/>
        <w:rPr>
          <w:sz w:val="20"/>
        </w:rPr>
      </w:pPr>
      <w:r>
        <w:rPr>
          <w:rFonts w:ascii="Arial" w:hAnsi="Arial"/>
          <w:b/>
          <w:sz w:val="20"/>
        </w:rPr>
        <w:t>V.1.20</w:t>
      </w:r>
      <w:r>
        <w:rPr>
          <w:rFonts w:ascii="Arial" w:hAnsi="Arial"/>
          <w:b/>
          <w:spacing w:val="76"/>
          <w:sz w:val="20"/>
        </w:rPr>
        <w:t> </w:t>
      </w:r>
      <w:r>
        <w:rPr>
          <w:rFonts w:ascii="Arial" w:hAnsi="Arial"/>
          <w:b/>
          <w:sz w:val="20"/>
        </w:rPr>
        <w:t>Pulmón</w:t>
      </w:r>
      <w:r>
        <w:rPr>
          <w:rFonts w:ascii="Arial" w:hAnsi="Arial"/>
          <w:b/>
          <w:spacing w:val="75"/>
          <w:sz w:val="20"/>
        </w:rPr>
        <w:t> </w:t>
      </w:r>
      <w:r>
        <w:rPr>
          <w:rFonts w:ascii="Arial" w:hAnsi="Arial"/>
          <w:b/>
          <w:sz w:val="20"/>
        </w:rPr>
        <w:t>de</w:t>
      </w:r>
      <w:r>
        <w:rPr>
          <w:rFonts w:ascii="Arial" w:hAnsi="Arial"/>
          <w:b/>
          <w:spacing w:val="74"/>
          <w:sz w:val="20"/>
        </w:rPr>
        <w:t> </w:t>
      </w:r>
      <w:r>
        <w:rPr>
          <w:rFonts w:ascii="Arial" w:hAnsi="Arial"/>
          <w:b/>
          <w:sz w:val="20"/>
        </w:rPr>
        <w:t>las</w:t>
      </w:r>
      <w:r>
        <w:rPr>
          <w:rFonts w:ascii="Arial" w:hAnsi="Arial"/>
          <w:b/>
          <w:spacing w:val="76"/>
          <w:sz w:val="20"/>
        </w:rPr>
        <w:t> </w:t>
      </w:r>
      <w:r>
        <w:rPr>
          <w:rFonts w:ascii="Arial" w:hAnsi="Arial"/>
          <w:b/>
          <w:sz w:val="20"/>
        </w:rPr>
        <w:t>personas</w:t>
      </w:r>
      <w:r>
        <w:rPr>
          <w:rFonts w:ascii="Arial" w:hAnsi="Arial"/>
          <w:b/>
          <w:spacing w:val="74"/>
          <w:sz w:val="20"/>
        </w:rPr>
        <w:t> </w:t>
      </w:r>
      <w:r>
        <w:rPr>
          <w:rFonts w:ascii="Arial" w:hAnsi="Arial"/>
          <w:b/>
          <w:sz w:val="20"/>
        </w:rPr>
        <w:t>trabajadoras</w:t>
      </w:r>
      <w:r>
        <w:rPr>
          <w:rFonts w:ascii="Arial" w:hAnsi="Arial"/>
          <w:b/>
          <w:spacing w:val="78"/>
          <w:sz w:val="20"/>
        </w:rPr>
        <w:t> </w:t>
      </w:r>
      <w:r>
        <w:rPr>
          <w:rFonts w:ascii="Arial" w:hAnsi="Arial"/>
          <w:b/>
          <w:sz w:val="20"/>
        </w:rPr>
        <w:t>de</w:t>
      </w:r>
      <w:r>
        <w:rPr>
          <w:rFonts w:ascii="Arial" w:hAnsi="Arial"/>
          <w:b/>
          <w:spacing w:val="74"/>
          <w:sz w:val="20"/>
        </w:rPr>
        <w:t> </w:t>
      </w:r>
      <w:r>
        <w:rPr>
          <w:rFonts w:ascii="Arial" w:hAnsi="Arial"/>
          <w:b/>
          <w:sz w:val="20"/>
        </w:rPr>
        <w:t>la</w:t>
      </w:r>
      <w:r>
        <w:rPr>
          <w:rFonts w:ascii="Arial" w:hAnsi="Arial"/>
          <w:b/>
          <w:spacing w:val="76"/>
          <w:sz w:val="20"/>
        </w:rPr>
        <w:t> </w:t>
      </w:r>
      <w:r>
        <w:rPr>
          <w:rFonts w:ascii="Arial" w:hAnsi="Arial"/>
          <w:b/>
          <w:sz w:val="20"/>
        </w:rPr>
        <w:t>industria</w:t>
      </w:r>
      <w:r>
        <w:rPr>
          <w:rFonts w:ascii="Arial" w:hAnsi="Arial"/>
          <w:b/>
          <w:spacing w:val="74"/>
          <w:sz w:val="20"/>
        </w:rPr>
        <w:t> </w:t>
      </w:r>
      <w:r>
        <w:rPr>
          <w:rFonts w:ascii="Arial" w:hAnsi="Arial"/>
          <w:b/>
          <w:sz w:val="20"/>
        </w:rPr>
        <w:t>de</w:t>
      </w:r>
      <w:r>
        <w:rPr>
          <w:rFonts w:ascii="Arial" w:hAnsi="Arial"/>
          <w:b/>
          <w:spacing w:val="76"/>
          <w:sz w:val="20"/>
        </w:rPr>
        <w:t> </w:t>
      </w:r>
      <w:r>
        <w:rPr>
          <w:rFonts w:ascii="Arial" w:hAnsi="Arial"/>
          <w:b/>
          <w:sz w:val="20"/>
        </w:rPr>
        <w:t>plásticos</w:t>
      </w:r>
      <w:r>
        <w:rPr>
          <w:rFonts w:ascii="Arial" w:hAnsi="Arial"/>
          <w:b/>
          <w:spacing w:val="77"/>
          <w:sz w:val="20"/>
        </w:rPr>
        <w:t> </w:t>
      </w:r>
      <w:r>
        <w:rPr>
          <w:rFonts w:ascii="Arial" w:hAnsi="Arial"/>
          <w:b/>
          <w:sz w:val="20"/>
        </w:rPr>
        <w:t>y</w:t>
      </w:r>
      <w:r>
        <w:rPr>
          <w:rFonts w:ascii="Arial" w:hAnsi="Arial"/>
          <w:b/>
          <w:spacing w:val="74"/>
          <w:sz w:val="20"/>
        </w:rPr>
        <w:t> </w:t>
      </w:r>
      <w:r>
        <w:rPr>
          <w:rFonts w:ascii="Arial" w:hAnsi="Arial"/>
          <w:b/>
          <w:sz w:val="20"/>
        </w:rPr>
        <w:t>resinas epóxicas: </w:t>
      </w:r>
      <w:r>
        <w:rPr>
          <w:sz w:val="20"/>
        </w:rPr>
        <w:t>personas trabajadoras que elaboran plásticos y resinas epóxicas.</w:t>
      </w:r>
    </w:p>
    <w:p>
      <w:pPr>
        <w:pStyle w:val="ListParagraph"/>
        <w:numPr>
          <w:ilvl w:val="2"/>
          <w:numId w:val="160"/>
        </w:numPr>
        <w:tabs>
          <w:tab w:pos="1046" w:val="left" w:leader="none"/>
        </w:tabs>
        <w:spacing w:line="240" w:lineRule="auto" w:before="229" w:after="0"/>
        <w:ind w:left="1046" w:right="0" w:hanging="420"/>
        <w:jc w:val="left"/>
        <w:rPr>
          <w:sz w:val="20"/>
        </w:rPr>
      </w:pPr>
      <w:r>
        <w:rPr>
          <w:rFonts w:ascii="Arial" w:hAnsi="Arial"/>
          <w:b/>
          <w:sz w:val="20"/>
        </w:rPr>
        <w:t>V.1.21</w:t>
      </w:r>
      <w:r>
        <w:rPr>
          <w:rFonts w:ascii="Arial" w:hAnsi="Arial"/>
          <w:b/>
          <w:spacing w:val="-5"/>
          <w:sz w:val="20"/>
        </w:rPr>
        <w:t> </w:t>
      </w:r>
      <w:r>
        <w:rPr>
          <w:rFonts w:ascii="Arial" w:hAnsi="Arial"/>
          <w:b/>
          <w:sz w:val="20"/>
        </w:rPr>
        <w:t>Pulmón</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z w:val="20"/>
        </w:rPr>
        <w:t>soya:</w:t>
      </w:r>
      <w:r>
        <w:rPr>
          <w:rFonts w:ascii="Arial" w:hAnsi="Arial"/>
          <w:b/>
          <w:spacing w:val="-4"/>
          <w:sz w:val="20"/>
        </w:rPr>
        <w:t> </w:t>
      </w:r>
      <w:r>
        <w:rPr>
          <w:sz w:val="20"/>
        </w:rPr>
        <w:t>personal</w:t>
      </w:r>
      <w:r>
        <w:rPr>
          <w:spacing w:val="-5"/>
          <w:sz w:val="20"/>
        </w:rPr>
        <w:t> </w:t>
      </w:r>
      <w:r>
        <w:rPr>
          <w:sz w:val="20"/>
        </w:rPr>
        <w:t>que</w:t>
      </w:r>
      <w:r>
        <w:rPr>
          <w:spacing w:val="-7"/>
          <w:sz w:val="20"/>
        </w:rPr>
        <w:t> </w:t>
      </w:r>
      <w:r>
        <w:rPr>
          <w:sz w:val="20"/>
        </w:rPr>
        <w:t>produce</w:t>
      </w:r>
      <w:r>
        <w:rPr>
          <w:spacing w:val="-3"/>
          <w:sz w:val="20"/>
        </w:rPr>
        <w:t> </w:t>
      </w:r>
      <w:r>
        <w:rPr>
          <w:sz w:val="20"/>
        </w:rPr>
        <w:t>y</w:t>
      </w:r>
      <w:r>
        <w:rPr>
          <w:spacing w:val="-9"/>
          <w:sz w:val="20"/>
        </w:rPr>
        <w:t> </w:t>
      </w:r>
      <w:r>
        <w:rPr>
          <w:sz w:val="20"/>
        </w:rPr>
        <w:t>envasa</w:t>
      </w:r>
      <w:r>
        <w:rPr>
          <w:spacing w:val="-7"/>
          <w:sz w:val="20"/>
        </w:rPr>
        <w:t> </w:t>
      </w:r>
      <w:r>
        <w:rPr>
          <w:sz w:val="20"/>
        </w:rPr>
        <w:t>harina</w:t>
      </w:r>
      <w:r>
        <w:rPr>
          <w:spacing w:val="-5"/>
          <w:sz w:val="20"/>
        </w:rPr>
        <w:t> </w:t>
      </w:r>
      <w:r>
        <w:rPr>
          <w:sz w:val="20"/>
        </w:rPr>
        <w:t>de</w:t>
      </w:r>
      <w:r>
        <w:rPr>
          <w:spacing w:val="-8"/>
          <w:sz w:val="20"/>
        </w:rPr>
        <w:t> </w:t>
      </w:r>
      <w:r>
        <w:rPr>
          <w:spacing w:val="-2"/>
          <w:sz w:val="20"/>
        </w:rPr>
        <w:t>soya.</w:t>
      </w:r>
    </w:p>
    <w:p>
      <w:pPr>
        <w:pStyle w:val="BodyText"/>
      </w:pPr>
    </w:p>
    <w:p>
      <w:pPr>
        <w:pStyle w:val="ListParagraph"/>
        <w:numPr>
          <w:ilvl w:val="2"/>
          <w:numId w:val="160"/>
        </w:numPr>
        <w:tabs>
          <w:tab w:pos="1046" w:val="left" w:leader="none"/>
          <w:tab w:pos="1058" w:val="left" w:leader="none"/>
        </w:tabs>
        <w:spacing w:line="240" w:lineRule="auto" w:before="0" w:after="0"/>
        <w:ind w:left="1058" w:right="340" w:hanging="432"/>
        <w:jc w:val="left"/>
        <w:rPr>
          <w:sz w:val="20"/>
        </w:rPr>
      </w:pPr>
      <w:r>
        <w:rPr>
          <w:rFonts w:ascii="Arial" w:hAnsi="Arial"/>
          <w:b/>
          <w:sz w:val="20"/>
        </w:rPr>
        <w:t>V.1.22 Pulmón de la Cándida:</w:t>
      </w:r>
      <w:r>
        <w:rPr>
          <w:rFonts w:ascii="Arial" w:hAnsi="Arial"/>
          <w:b/>
          <w:spacing w:val="23"/>
          <w:sz w:val="20"/>
        </w:rPr>
        <w:t> </w:t>
      </w:r>
      <w:r>
        <w:rPr>
          <w:sz w:val="20"/>
        </w:rPr>
        <w:t>panaderos que manejan levadura para pan de trigo, centeno</w:t>
      </w:r>
      <w:r>
        <w:rPr>
          <w:spacing w:val="23"/>
          <w:sz w:val="20"/>
        </w:rPr>
        <w:t> </w:t>
      </w:r>
      <w:r>
        <w:rPr>
          <w:sz w:val="20"/>
        </w:rPr>
        <w:t>y</w:t>
      </w:r>
      <w:r>
        <w:rPr>
          <w:spacing w:val="40"/>
          <w:sz w:val="20"/>
        </w:rPr>
        <w:t> </w:t>
      </w:r>
      <w:r>
        <w:rPr>
          <w:spacing w:val="-2"/>
          <w:sz w:val="20"/>
        </w:rPr>
        <w:t>soya.</w:t>
      </w:r>
    </w:p>
    <w:p>
      <w:pPr>
        <w:pStyle w:val="ListParagraph"/>
        <w:numPr>
          <w:ilvl w:val="2"/>
          <w:numId w:val="160"/>
        </w:numPr>
        <w:tabs>
          <w:tab w:pos="1046" w:val="left" w:leader="none"/>
          <w:tab w:pos="1058" w:val="left" w:leader="none"/>
        </w:tabs>
        <w:spacing w:line="240" w:lineRule="auto" w:before="229" w:after="0"/>
        <w:ind w:left="1058" w:right="344" w:hanging="432"/>
        <w:jc w:val="left"/>
        <w:rPr>
          <w:sz w:val="20"/>
        </w:rPr>
      </w:pPr>
      <w:r>
        <w:rPr>
          <w:rFonts w:ascii="Arial" w:hAnsi="Arial"/>
          <w:b/>
          <w:sz w:val="20"/>
        </w:rPr>
        <w:t>V.1.23 Pulmón del diisocianato: </w:t>
      </w:r>
      <w:r>
        <w:rPr>
          <w:sz w:val="20"/>
        </w:rPr>
        <w:t>personas trabajadoras de la industria de los isocianatos (en la elaboración de mezclas químicas, manufactura de asientos, tableros y pintores automotrices).</w:t>
      </w:r>
    </w:p>
    <w:p>
      <w:pPr>
        <w:pStyle w:val="ListParagraph"/>
        <w:numPr>
          <w:ilvl w:val="2"/>
          <w:numId w:val="160"/>
        </w:numPr>
        <w:tabs>
          <w:tab w:pos="1046" w:val="left" w:leader="none"/>
        </w:tabs>
        <w:spacing w:line="240" w:lineRule="auto" w:before="228" w:after="0"/>
        <w:ind w:left="1046" w:right="0" w:hanging="420"/>
        <w:jc w:val="left"/>
        <w:rPr>
          <w:sz w:val="20"/>
        </w:rPr>
      </w:pPr>
      <w:r>
        <w:rPr>
          <w:rFonts w:ascii="Arial" w:hAnsi="Arial"/>
          <w:b/>
          <w:sz w:val="20"/>
        </w:rPr>
        <w:t>V.1.24</w:t>
      </w:r>
      <w:r>
        <w:rPr>
          <w:rFonts w:ascii="Arial" w:hAnsi="Arial"/>
          <w:b/>
          <w:spacing w:val="-7"/>
          <w:sz w:val="20"/>
        </w:rPr>
        <w:t> </w:t>
      </w:r>
      <w:r>
        <w:rPr>
          <w:rFonts w:ascii="Arial" w:hAnsi="Arial"/>
          <w:b/>
          <w:sz w:val="20"/>
        </w:rPr>
        <w:t>Pulmón</w:t>
      </w:r>
      <w:r>
        <w:rPr>
          <w:rFonts w:ascii="Arial" w:hAnsi="Arial"/>
          <w:b/>
          <w:spacing w:val="-7"/>
          <w:sz w:val="20"/>
        </w:rPr>
        <w:t> </w:t>
      </w:r>
      <w:r>
        <w:rPr>
          <w:rFonts w:ascii="Arial" w:hAnsi="Arial"/>
          <w:b/>
          <w:sz w:val="20"/>
        </w:rPr>
        <w:t>del</w:t>
      </w:r>
      <w:r>
        <w:rPr>
          <w:rFonts w:ascii="Arial" w:hAnsi="Arial"/>
          <w:b/>
          <w:spacing w:val="-8"/>
          <w:sz w:val="20"/>
        </w:rPr>
        <w:t> </w:t>
      </w:r>
      <w:r>
        <w:rPr>
          <w:rFonts w:ascii="Arial" w:hAnsi="Arial"/>
          <w:b/>
          <w:sz w:val="20"/>
        </w:rPr>
        <w:t>humidificador</w:t>
      </w:r>
      <w:r>
        <w:rPr>
          <w:rFonts w:ascii="Arial" w:hAnsi="Arial"/>
          <w:b/>
          <w:spacing w:val="-8"/>
          <w:sz w:val="20"/>
        </w:rPr>
        <w:t> </w:t>
      </w:r>
      <w:r>
        <w:rPr>
          <w:rFonts w:ascii="Arial" w:hAnsi="Arial"/>
          <w:b/>
          <w:sz w:val="20"/>
        </w:rPr>
        <w:t>electrónico</w:t>
      </w:r>
      <w:r>
        <w:rPr>
          <w:rFonts w:ascii="Arial" w:hAnsi="Arial"/>
          <w:b/>
          <w:spacing w:val="-8"/>
          <w:sz w:val="20"/>
        </w:rPr>
        <w:t> </w:t>
      </w:r>
      <w:r>
        <w:rPr>
          <w:rFonts w:ascii="Arial" w:hAnsi="Arial"/>
          <w:b/>
          <w:sz w:val="20"/>
        </w:rPr>
        <w:t>casero:</w:t>
      </w:r>
      <w:r>
        <w:rPr>
          <w:rFonts w:ascii="Arial" w:hAnsi="Arial"/>
          <w:b/>
          <w:spacing w:val="-2"/>
          <w:sz w:val="20"/>
        </w:rPr>
        <w:t> </w:t>
      </w:r>
      <w:r>
        <w:rPr>
          <w:sz w:val="20"/>
        </w:rPr>
        <w:t>personas</w:t>
      </w:r>
      <w:r>
        <w:rPr>
          <w:spacing w:val="-8"/>
          <w:sz w:val="20"/>
        </w:rPr>
        <w:t> </w:t>
      </w:r>
      <w:r>
        <w:rPr>
          <w:sz w:val="20"/>
        </w:rPr>
        <w:t>que</w:t>
      </w:r>
      <w:r>
        <w:rPr>
          <w:spacing w:val="-9"/>
          <w:sz w:val="20"/>
        </w:rPr>
        <w:t> </w:t>
      </w:r>
      <w:r>
        <w:rPr>
          <w:sz w:val="20"/>
        </w:rPr>
        <w:t>utilizan</w:t>
      </w:r>
      <w:r>
        <w:rPr>
          <w:spacing w:val="-6"/>
          <w:sz w:val="20"/>
        </w:rPr>
        <w:t> </w:t>
      </w:r>
      <w:r>
        <w:rPr>
          <w:sz w:val="20"/>
        </w:rPr>
        <w:t>este</w:t>
      </w:r>
      <w:r>
        <w:rPr>
          <w:spacing w:val="-9"/>
          <w:sz w:val="20"/>
        </w:rPr>
        <w:t> </w:t>
      </w:r>
      <w:r>
        <w:rPr>
          <w:spacing w:val="-2"/>
          <w:sz w:val="20"/>
        </w:rPr>
        <w:t>equipo.</w:t>
      </w:r>
    </w:p>
    <w:p>
      <w:pPr>
        <w:pStyle w:val="ListParagraph"/>
        <w:numPr>
          <w:ilvl w:val="2"/>
          <w:numId w:val="160"/>
        </w:numPr>
        <w:tabs>
          <w:tab w:pos="1046" w:val="left" w:leader="none"/>
        </w:tabs>
        <w:spacing w:line="240" w:lineRule="auto" w:before="227" w:after="0"/>
        <w:ind w:left="1046" w:right="0" w:hanging="420"/>
        <w:jc w:val="left"/>
        <w:rPr>
          <w:sz w:val="20"/>
        </w:rPr>
      </w:pPr>
      <w:r>
        <w:rPr>
          <w:rFonts w:ascii="Arial" w:hAnsi="Arial"/>
          <w:b/>
          <w:sz w:val="20"/>
        </w:rPr>
        <w:t>V.1.25</w:t>
      </w:r>
      <w:r>
        <w:rPr>
          <w:rFonts w:ascii="Arial" w:hAnsi="Arial"/>
          <w:b/>
          <w:spacing w:val="-8"/>
          <w:sz w:val="20"/>
        </w:rPr>
        <w:t> </w:t>
      </w:r>
      <w:r>
        <w:rPr>
          <w:rFonts w:ascii="Arial" w:hAnsi="Arial"/>
          <w:b/>
          <w:sz w:val="20"/>
        </w:rPr>
        <w:t>Enfermedad</w:t>
      </w:r>
      <w:r>
        <w:rPr>
          <w:rFonts w:ascii="Arial" w:hAnsi="Arial"/>
          <w:b/>
          <w:spacing w:val="-8"/>
          <w:sz w:val="20"/>
        </w:rPr>
        <w:t> </w:t>
      </w:r>
      <w:r>
        <w:rPr>
          <w:rFonts w:ascii="Arial" w:hAnsi="Arial"/>
          <w:b/>
          <w:sz w:val="20"/>
        </w:rPr>
        <w:t>por</w:t>
      </w:r>
      <w:r>
        <w:rPr>
          <w:rFonts w:ascii="Arial" w:hAnsi="Arial"/>
          <w:b/>
          <w:spacing w:val="-9"/>
          <w:sz w:val="20"/>
        </w:rPr>
        <w:t> </w:t>
      </w:r>
      <w:r>
        <w:rPr>
          <w:rFonts w:ascii="Arial" w:hAnsi="Arial"/>
          <w:b/>
          <w:sz w:val="20"/>
        </w:rPr>
        <w:t>metales</w:t>
      </w:r>
      <w:r>
        <w:rPr>
          <w:rFonts w:ascii="Arial" w:hAnsi="Arial"/>
          <w:b/>
          <w:spacing w:val="-10"/>
          <w:sz w:val="20"/>
        </w:rPr>
        <w:t> </w:t>
      </w:r>
      <w:r>
        <w:rPr>
          <w:rFonts w:ascii="Arial" w:hAnsi="Arial"/>
          <w:b/>
          <w:sz w:val="20"/>
        </w:rPr>
        <w:t>pesados:</w:t>
      </w:r>
      <w:r>
        <w:rPr>
          <w:rFonts w:ascii="Arial" w:hAnsi="Arial"/>
          <w:b/>
          <w:spacing w:val="-6"/>
          <w:sz w:val="20"/>
        </w:rPr>
        <w:t> </w:t>
      </w:r>
      <w:r>
        <w:rPr>
          <w:sz w:val="20"/>
        </w:rPr>
        <w:t>personas</w:t>
      </w:r>
      <w:r>
        <w:rPr>
          <w:spacing w:val="-8"/>
          <w:sz w:val="20"/>
        </w:rPr>
        <w:t> </w:t>
      </w:r>
      <w:r>
        <w:rPr>
          <w:sz w:val="20"/>
        </w:rPr>
        <w:t>trabajadoras</w:t>
      </w:r>
      <w:r>
        <w:rPr>
          <w:spacing w:val="-7"/>
          <w:sz w:val="20"/>
        </w:rPr>
        <w:t> </w:t>
      </w:r>
      <w:r>
        <w:rPr>
          <w:sz w:val="20"/>
        </w:rPr>
        <w:t>de</w:t>
      </w:r>
      <w:r>
        <w:rPr>
          <w:spacing w:val="-8"/>
          <w:sz w:val="20"/>
        </w:rPr>
        <w:t> </w:t>
      </w:r>
      <w:r>
        <w:rPr>
          <w:sz w:val="20"/>
        </w:rPr>
        <w:t>la</w:t>
      </w:r>
      <w:r>
        <w:rPr>
          <w:spacing w:val="-8"/>
          <w:sz w:val="20"/>
        </w:rPr>
        <w:t> </w:t>
      </w:r>
      <w:r>
        <w:rPr>
          <w:sz w:val="20"/>
        </w:rPr>
        <w:t>industria</w:t>
      </w:r>
      <w:r>
        <w:rPr>
          <w:spacing w:val="-7"/>
          <w:sz w:val="20"/>
        </w:rPr>
        <w:t> </w:t>
      </w:r>
      <w:r>
        <w:rPr>
          <w:spacing w:val="-2"/>
          <w:sz w:val="20"/>
        </w:rPr>
        <w:t>metalúrgica.</w:t>
      </w:r>
    </w:p>
    <w:p>
      <w:pPr>
        <w:pStyle w:val="ListParagraph"/>
        <w:spacing w:after="0" w:line="240" w:lineRule="auto"/>
        <w:jc w:val="left"/>
        <w:rPr>
          <w:sz w:val="20"/>
        </w:rPr>
        <w:sectPr>
          <w:pgSz w:w="12240" w:h="15840"/>
          <w:pgMar w:header="724" w:footer="712" w:top="1880" w:bottom="900" w:left="1080" w:right="1080"/>
        </w:sectPr>
      </w:pPr>
    </w:p>
    <w:p>
      <w:pPr>
        <w:pStyle w:val="BodyText"/>
        <w:spacing w:before="64"/>
      </w:pPr>
    </w:p>
    <w:p>
      <w:pPr>
        <w:pStyle w:val="ListParagraph"/>
        <w:numPr>
          <w:ilvl w:val="2"/>
          <w:numId w:val="160"/>
        </w:numPr>
        <w:tabs>
          <w:tab w:pos="1046" w:val="left" w:leader="none"/>
          <w:tab w:pos="1058" w:val="left" w:leader="none"/>
        </w:tabs>
        <w:spacing w:line="240" w:lineRule="auto" w:before="0" w:after="0"/>
        <w:ind w:left="1058" w:right="337" w:hanging="432"/>
        <w:jc w:val="left"/>
        <w:rPr>
          <w:sz w:val="20"/>
        </w:rPr>
      </w:pPr>
      <w:r>
        <w:rPr>
          <w:rFonts w:ascii="Arial" w:hAnsi="Arial"/>
          <w:b/>
          <w:sz w:val="20"/>
        </w:rPr>
        <w:t>V.1.26 Pulmón de las personas trabajadoras de harina de pescado:</w:t>
      </w:r>
      <w:r>
        <w:rPr>
          <w:rFonts w:ascii="Arial" w:hAnsi="Arial"/>
          <w:b/>
          <w:spacing w:val="29"/>
          <w:sz w:val="20"/>
        </w:rPr>
        <w:t> </w:t>
      </w:r>
      <w:r>
        <w:rPr>
          <w:sz w:val="20"/>
        </w:rPr>
        <w:t>personas trabajadoras</w:t>
      </w:r>
      <w:r>
        <w:rPr>
          <w:spacing w:val="40"/>
          <w:sz w:val="20"/>
        </w:rPr>
        <w:t> </w:t>
      </w:r>
      <w:r>
        <w:rPr>
          <w:sz w:val="20"/>
        </w:rPr>
        <w:t>que producen y envasan harina de pescado.</w:t>
      </w:r>
    </w:p>
    <w:p>
      <w:pPr>
        <w:pStyle w:val="ListParagraph"/>
        <w:numPr>
          <w:ilvl w:val="2"/>
          <w:numId w:val="160"/>
        </w:numPr>
        <w:tabs>
          <w:tab w:pos="1045" w:val="left" w:leader="none"/>
          <w:tab w:pos="1058" w:val="left" w:leader="none"/>
        </w:tabs>
        <w:spacing w:line="240" w:lineRule="auto" w:before="228" w:after="0"/>
        <w:ind w:left="1058" w:right="341" w:hanging="432"/>
        <w:jc w:val="both"/>
        <w:rPr>
          <w:sz w:val="20"/>
        </w:rPr>
      </w:pPr>
      <w:r>
        <w:rPr>
          <w:rFonts w:ascii="Arial" w:hAnsi="Arial"/>
          <w:b/>
          <w:sz w:val="20"/>
        </w:rPr>
        <w:t>V.1.27 Pulmón de las personas trabajadoras de fertilizantes: </w:t>
      </w:r>
      <w:r>
        <w:rPr>
          <w:sz w:val="20"/>
        </w:rPr>
        <w:t>personas trabajadoras de las empresas donde se elaboran fertilizantes y quienes los aplican.</w:t>
      </w:r>
    </w:p>
    <w:p>
      <w:pPr>
        <w:pStyle w:val="ListParagraph"/>
        <w:numPr>
          <w:ilvl w:val="2"/>
          <w:numId w:val="160"/>
        </w:numPr>
        <w:tabs>
          <w:tab w:pos="1046" w:val="left" w:leader="none"/>
          <w:tab w:pos="1058" w:val="left" w:leader="none"/>
        </w:tabs>
        <w:spacing w:line="240" w:lineRule="auto" w:before="228" w:after="0"/>
        <w:ind w:left="1058" w:right="339" w:hanging="432"/>
        <w:jc w:val="left"/>
        <w:rPr>
          <w:sz w:val="20"/>
        </w:rPr>
      </w:pPr>
      <w:r>
        <w:rPr>
          <w:rFonts w:ascii="Arial" w:hAnsi="Arial"/>
          <w:b/>
          <w:sz w:val="20"/>
        </w:rPr>
        <w:t>V.1.28</w:t>
      </w:r>
      <w:r>
        <w:rPr>
          <w:rFonts w:ascii="Arial" w:hAnsi="Arial"/>
          <w:b/>
          <w:spacing w:val="40"/>
          <w:sz w:val="20"/>
        </w:rPr>
        <w:t> </w:t>
      </w:r>
      <w:r>
        <w:rPr>
          <w:rFonts w:ascii="Arial" w:hAnsi="Arial"/>
          <w:b/>
          <w:sz w:val="20"/>
        </w:rPr>
        <w:t>Enfermedad</w:t>
      </w:r>
      <w:r>
        <w:rPr>
          <w:rFonts w:ascii="Arial" w:hAnsi="Arial"/>
          <w:b/>
          <w:spacing w:val="40"/>
          <w:sz w:val="20"/>
        </w:rPr>
        <w:t> </w:t>
      </w:r>
      <w:r>
        <w:rPr>
          <w:rFonts w:ascii="Arial" w:hAnsi="Arial"/>
          <w:b/>
          <w:sz w:val="20"/>
        </w:rPr>
        <w:t>de</w:t>
      </w:r>
      <w:r>
        <w:rPr>
          <w:rFonts w:ascii="Arial" w:hAnsi="Arial"/>
          <w:b/>
          <w:spacing w:val="40"/>
          <w:sz w:val="20"/>
        </w:rPr>
        <w:t> </w:t>
      </w:r>
      <w:r>
        <w:rPr>
          <w:rFonts w:ascii="Arial" w:hAnsi="Arial"/>
          <w:b/>
          <w:sz w:val="20"/>
        </w:rPr>
        <w:t>las</w:t>
      </w:r>
      <w:r>
        <w:rPr>
          <w:rFonts w:ascii="Arial" w:hAnsi="Arial"/>
          <w:b/>
          <w:spacing w:val="40"/>
          <w:sz w:val="20"/>
        </w:rPr>
        <w:t> </w:t>
      </w:r>
      <w:r>
        <w:rPr>
          <w:rFonts w:ascii="Arial" w:hAnsi="Arial"/>
          <w:b/>
          <w:sz w:val="20"/>
        </w:rPr>
        <w:t>personas</w:t>
      </w:r>
      <w:r>
        <w:rPr>
          <w:rFonts w:ascii="Arial" w:hAnsi="Arial"/>
          <w:b/>
          <w:spacing w:val="40"/>
          <w:sz w:val="20"/>
        </w:rPr>
        <w:t> </w:t>
      </w:r>
      <w:r>
        <w:rPr>
          <w:rFonts w:ascii="Arial" w:hAnsi="Arial"/>
          <w:b/>
          <w:sz w:val="20"/>
        </w:rPr>
        <w:t>trabajadoras</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tabaco:</w:t>
      </w:r>
      <w:r>
        <w:rPr>
          <w:rFonts w:ascii="Arial" w:hAnsi="Arial"/>
          <w:b/>
          <w:spacing w:val="40"/>
          <w:sz w:val="20"/>
        </w:rPr>
        <w:t> </w:t>
      </w:r>
      <w:r>
        <w:rPr>
          <w:sz w:val="20"/>
        </w:rPr>
        <w:t>personal</w:t>
      </w:r>
      <w:r>
        <w:rPr>
          <w:spacing w:val="40"/>
          <w:sz w:val="20"/>
        </w:rPr>
        <w:t> </w:t>
      </w:r>
      <w:r>
        <w:rPr>
          <w:sz w:val="20"/>
        </w:rPr>
        <w:t>que</w:t>
      </w:r>
      <w:r>
        <w:rPr>
          <w:spacing w:val="40"/>
          <w:sz w:val="20"/>
        </w:rPr>
        <w:t> </w:t>
      </w:r>
      <w:r>
        <w:rPr>
          <w:sz w:val="20"/>
        </w:rPr>
        <w:t>trabaja</w:t>
      </w:r>
      <w:r>
        <w:rPr>
          <w:spacing w:val="40"/>
          <w:sz w:val="20"/>
        </w:rPr>
        <w:t> </w:t>
      </w:r>
      <w:r>
        <w:rPr>
          <w:sz w:val="20"/>
        </w:rPr>
        <w:t>en</w:t>
      </w:r>
      <w:r>
        <w:rPr>
          <w:spacing w:val="40"/>
          <w:sz w:val="20"/>
        </w:rPr>
        <w:t> </w:t>
      </w:r>
      <w:r>
        <w:rPr>
          <w:sz w:val="20"/>
        </w:rPr>
        <w:t>la producción de puros.</w:t>
      </w:r>
    </w:p>
    <w:p>
      <w:pPr>
        <w:pStyle w:val="ListParagraph"/>
        <w:numPr>
          <w:ilvl w:val="2"/>
          <w:numId w:val="160"/>
        </w:numPr>
        <w:tabs>
          <w:tab w:pos="1045" w:val="left" w:leader="none"/>
          <w:tab w:pos="1058" w:val="left" w:leader="none"/>
        </w:tabs>
        <w:spacing w:line="240" w:lineRule="auto" w:before="228" w:after="0"/>
        <w:ind w:left="1058" w:right="344" w:hanging="432"/>
        <w:jc w:val="both"/>
        <w:rPr>
          <w:sz w:val="20"/>
        </w:rPr>
      </w:pPr>
      <w:r>
        <w:rPr>
          <w:rFonts w:ascii="Arial" w:hAnsi="Arial"/>
          <w:b/>
          <w:sz w:val="20"/>
        </w:rPr>
        <w:t>V.1.29 Beriliosis: </w:t>
      </w:r>
      <w:r>
        <w:rPr>
          <w:sz w:val="20"/>
        </w:rPr>
        <w:t>industria aeroespacial, electrónica, minería, fibra óptica, reactores nucleares, preparación de aleaciones dentales, microondas.</w:t>
      </w:r>
    </w:p>
    <w:p>
      <w:pPr>
        <w:pStyle w:val="ListParagraph"/>
        <w:numPr>
          <w:ilvl w:val="2"/>
          <w:numId w:val="160"/>
        </w:numPr>
        <w:tabs>
          <w:tab w:pos="1045" w:val="left" w:leader="none"/>
          <w:tab w:pos="1058" w:val="left" w:leader="none"/>
        </w:tabs>
        <w:spacing w:line="240" w:lineRule="auto" w:before="229" w:after="0"/>
        <w:ind w:left="1058" w:right="336" w:hanging="432"/>
        <w:jc w:val="both"/>
        <w:rPr>
          <w:sz w:val="20"/>
        </w:rPr>
      </w:pPr>
      <w:r>
        <w:rPr>
          <w:rFonts w:ascii="Arial" w:hAnsi="Arial"/>
          <w:b/>
          <w:sz w:val="20"/>
        </w:rPr>
        <w:t>V.1.30 Pulmón producido por exposición elevada a detergentes biológicos o enzimáticos: </w:t>
      </w:r>
      <w:r>
        <w:rPr>
          <w:sz w:val="20"/>
        </w:rPr>
        <w:t>personas trabajadoras de la industria de los detergentes como empacadores en bolsas o cajas y expuestas a enzimas del bacillus subtilis.</w:t>
      </w:r>
    </w:p>
    <w:p>
      <w:pPr>
        <w:pStyle w:val="ListParagraph"/>
        <w:numPr>
          <w:ilvl w:val="2"/>
          <w:numId w:val="160"/>
        </w:numPr>
        <w:tabs>
          <w:tab w:pos="1046" w:val="left" w:leader="none"/>
          <w:tab w:pos="1058" w:val="left" w:leader="none"/>
        </w:tabs>
        <w:spacing w:line="240" w:lineRule="auto" w:before="229" w:after="0"/>
        <w:ind w:left="1058" w:right="340" w:hanging="432"/>
        <w:jc w:val="left"/>
        <w:rPr>
          <w:sz w:val="20"/>
        </w:rPr>
      </w:pPr>
      <w:r>
        <w:rPr>
          <w:rFonts w:ascii="Arial" w:hAnsi="Arial"/>
          <w:b/>
          <w:sz w:val="20"/>
        </w:rPr>
        <w:t>V.1.31 Enfermedad de los cuarteadores de pimentón (paprika): </w:t>
      </w:r>
      <w:r>
        <w:rPr>
          <w:sz w:val="20"/>
        </w:rPr>
        <w:t>personas trabajadoras de la elaboración de especias.</w:t>
      </w:r>
    </w:p>
    <w:p>
      <w:pPr>
        <w:pStyle w:val="ListParagraph"/>
        <w:numPr>
          <w:ilvl w:val="2"/>
          <w:numId w:val="160"/>
        </w:numPr>
        <w:tabs>
          <w:tab w:pos="1045" w:val="left" w:leader="none"/>
          <w:tab w:pos="1058" w:val="left" w:leader="none"/>
        </w:tabs>
        <w:spacing w:line="240" w:lineRule="auto" w:before="228" w:after="0"/>
        <w:ind w:left="1058" w:right="341" w:hanging="432"/>
        <w:jc w:val="both"/>
        <w:rPr>
          <w:sz w:val="20"/>
        </w:rPr>
      </w:pPr>
      <w:r>
        <w:rPr>
          <w:rFonts w:ascii="Arial" w:hAnsi="Arial"/>
          <w:b/>
          <w:sz w:val="20"/>
        </w:rPr>
        <w:t>V.1.32 Pulmón de las personas trabajadoras de sauna: </w:t>
      </w:r>
      <w:r>
        <w:rPr>
          <w:sz w:val="20"/>
        </w:rPr>
        <w:t>personal que trabaja en los edificios donde existen saunas, centros deportivos y baños.</w:t>
      </w:r>
    </w:p>
    <w:p>
      <w:pPr>
        <w:pStyle w:val="ListParagraph"/>
        <w:numPr>
          <w:ilvl w:val="2"/>
          <w:numId w:val="160"/>
        </w:numPr>
        <w:tabs>
          <w:tab w:pos="1046" w:val="left" w:leader="none"/>
        </w:tabs>
        <w:spacing w:line="240" w:lineRule="auto" w:before="228" w:after="0"/>
        <w:ind w:left="1046" w:right="0" w:hanging="420"/>
        <w:jc w:val="left"/>
        <w:rPr>
          <w:sz w:val="20"/>
        </w:rPr>
      </w:pPr>
      <w:r>
        <w:rPr>
          <w:rFonts w:ascii="Arial" w:hAnsi="Arial"/>
          <w:b/>
          <w:sz w:val="20"/>
        </w:rPr>
        <w:t>V.1.33</w:t>
      </w:r>
      <w:r>
        <w:rPr>
          <w:rFonts w:ascii="Arial" w:hAnsi="Arial"/>
          <w:b/>
          <w:spacing w:val="-8"/>
          <w:sz w:val="20"/>
        </w:rPr>
        <w:t> </w:t>
      </w:r>
      <w:r>
        <w:rPr>
          <w:rFonts w:ascii="Arial" w:hAnsi="Arial"/>
          <w:b/>
          <w:sz w:val="20"/>
        </w:rPr>
        <w:t>Enfermedad</w:t>
      </w:r>
      <w:r>
        <w:rPr>
          <w:rFonts w:ascii="Arial" w:hAnsi="Arial"/>
          <w:b/>
          <w:spacing w:val="-8"/>
          <w:sz w:val="20"/>
        </w:rPr>
        <w:t> </w:t>
      </w:r>
      <w:r>
        <w:rPr>
          <w:rFonts w:ascii="Arial" w:hAnsi="Arial"/>
          <w:b/>
          <w:sz w:val="20"/>
        </w:rPr>
        <w:t>cóptica:</w:t>
      </w:r>
      <w:r>
        <w:rPr>
          <w:rFonts w:ascii="Arial" w:hAnsi="Arial"/>
          <w:b/>
          <w:spacing w:val="-6"/>
          <w:sz w:val="20"/>
        </w:rPr>
        <w:t> </w:t>
      </w:r>
      <w:r>
        <w:rPr>
          <w:sz w:val="20"/>
        </w:rPr>
        <w:t>personas</w:t>
      </w:r>
      <w:r>
        <w:rPr>
          <w:spacing w:val="-7"/>
          <w:sz w:val="20"/>
        </w:rPr>
        <w:t> </w:t>
      </w:r>
      <w:r>
        <w:rPr>
          <w:sz w:val="20"/>
        </w:rPr>
        <w:t>que</w:t>
      </w:r>
      <w:r>
        <w:rPr>
          <w:spacing w:val="-7"/>
          <w:sz w:val="20"/>
        </w:rPr>
        <w:t> </w:t>
      </w:r>
      <w:r>
        <w:rPr>
          <w:sz w:val="20"/>
        </w:rPr>
        <w:t>trabajan</w:t>
      </w:r>
      <w:r>
        <w:rPr>
          <w:spacing w:val="-9"/>
          <w:sz w:val="20"/>
        </w:rPr>
        <w:t> </w:t>
      </w:r>
      <w:r>
        <w:rPr>
          <w:sz w:val="20"/>
        </w:rPr>
        <w:t>con</w:t>
      </w:r>
      <w:r>
        <w:rPr>
          <w:spacing w:val="-10"/>
          <w:sz w:val="20"/>
        </w:rPr>
        <w:t> </w:t>
      </w:r>
      <w:r>
        <w:rPr>
          <w:spacing w:val="-2"/>
          <w:sz w:val="20"/>
        </w:rPr>
        <w:t>momias.</w:t>
      </w:r>
    </w:p>
    <w:p>
      <w:pPr>
        <w:pStyle w:val="ListParagraph"/>
        <w:numPr>
          <w:ilvl w:val="2"/>
          <w:numId w:val="160"/>
        </w:numPr>
        <w:tabs>
          <w:tab w:pos="1046" w:val="left" w:leader="none"/>
        </w:tabs>
        <w:spacing w:line="240" w:lineRule="auto" w:before="228" w:after="0"/>
        <w:ind w:left="1046" w:right="0" w:hanging="420"/>
        <w:jc w:val="left"/>
        <w:rPr>
          <w:sz w:val="20"/>
        </w:rPr>
      </w:pPr>
      <w:r>
        <w:rPr>
          <w:rFonts w:ascii="Arial" w:hAnsi="Arial"/>
          <w:b/>
          <w:sz w:val="20"/>
        </w:rPr>
        <w:t>V.1.34</w:t>
      </w:r>
      <w:r>
        <w:rPr>
          <w:rFonts w:ascii="Arial" w:hAnsi="Arial"/>
          <w:b/>
          <w:spacing w:val="-6"/>
          <w:sz w:val="20"/>
        </w:rPr>
        <w:t> </w:t>
      </w:r>
      <w:r>
        <w:rPr>
          <w:rFonts w:ascii="Arial" w:hAnsi="Arial"/>
          <w:b/>
          <w:sz w:val="20"/>
        </w:rPr>
        <w:t>Pulmón</w:t>
      </w:r>
      <w:r>
        <w:rPr>
          <w:rFonts w:ascii="Arial" w:hAnsi="Arial"/>
          <w:b/>
          <w:spacing w:val="-7"/>
          <w:sz w:val="20"/>
        </w:rPr>
        <w:t> </w:t>
      </w:r>
      <w:r>
        <w:rPr>
          <w:rFonts w:ascii="Arial" w:hAnsi="Arial"/>
          <w:b/>
          <w:sz w:val="20"/>
        </w:rPr>
        <w:t>del</w:t>
      </w:r>
      <w:r>
        <w:rPr>
          <w:rFonts w:ascii="Arial" w:hAnsi="Arial"/>
          <w:b/>
          <w:spacing w:val="-8"/>
          <w:sz w:val="20"/>
        </w:rPr>
        <w:t> </w:t>
      </w:r>
      <w:r>
        <w:rPr>
          <w:rFonts w:ascii="Arial" w:hAnsi="Arial"/>
          <w:b/>
          <w:sz w:val="20"/>
        </w:rPr>
        <w:t>viñador:</w:t>
      </w:r>
      <w:r>
        <w:rPr>
          <w:rFonts w:ascii="Arial" w:hAnsi="Arial"/>
          <w:b/>
          <w:spacing w:val="-5"/>
          <w:sz w:val="20"/>
        </w:rPr>
        <w:t> </w:t>
      </w:r>
      <w:r>
        <w:rPr>
          <w:sz w:val="20"/>
        </w:rPr>
        <w:t>personas</w:t>
      </w:r>
      <w:r>
        <w:rPr>
          <w:spacing w:val="-6"/>
          <w:sz w:val="20"/>
        </w:rPr>
        <w:t> </w:t>
      </w:r>
      <w:r>
        <w:rPr>
          <w:sz w:val="20"/>
        </w:rPr>
        <w:t>trabajadoras</w:t>
      </w:r>
      <w:r>
        <w:rPr>
          <w:spacing w:val="-7"/>
          <w:sz w:val="20"/>
        </w:rPr>
        <w:t> </w:t>
      </w:r>
      <w:r>
        <w:rPr>
          <w:sz w:val="20"/>
        </w:rPr>
        <w:t>en</w:t>
      </w:r>
      <w:r>
        <w:rPr>
          <w:spacing w:val="-8"/>
          <w:sz w:val="20"/>
        </w:rPr>
        <w:t> </w:t>
      </w:r>
      <w:r>
        <w:rPr>
          <w:sz w:val="20"/>
        </w:rPr>
        <w:t>los</w:t>
      </w:r>
      <w:r>
        <w:rPr>
          <w:spacing w:val="-5"/>
          <w:sz w:val="20"/>
        </w:rPr>
        <w:t> </w:t>
      </w:r>
      <w:r>
        <w:rPr>
          <w:spacing w:val="-2"/>
          <w:sz w:val="20"/>
        </w:rPr>
        <w:t>viñedos.</w:t>
      </w:r>
    </w:p>
    <w:p>
      <w:pPr>
        <w:pStyle w:val="BodyText"/>
      </w:pPr>
    </w:p>
    <w:p>
      <w:pPr>
        <w:pStyle w:val="ListParagraph"/>
        <w:numPr>
          <w:ilvl w:val="2"/>
          <w:numId w:val="160"/>
        </w:numPr>
        <w:tabs>
          <w:tab w:pos="1046" w:val="left" w:leader="none"/>
        </w:tabs>
        <w:spacing w:line="240" w:lineRule="auto" w:before="0" w:after="0"/>
        <w:ind w:left="1046" w:right="0" w:hanging="420"/>
        <w:jc w:val="left"/>
        <w:rPr>
          <w:sz w:val="20"/>
        </w:rPr>
      </w:pPr>
      <w:r>
        <w:rPr>
          <w:rFonts w:ascii="Arial" w:hAnsi="Arial"/>
          <w:b/>
          <w:sz w:val="20"/>
        </w:rPr>
        <w:t>V.1.35</w:t>
      </w:r>
      <w:r>
        <w:rPr>
          <w:rFonts w:ascii="Arial" w:hAnsi="Arial"/>
          <w:b/>
          <w:spacing w:val="-5"/>
          <w:sz w:val="20"/>
        </w:rPr>
        <w:t> </w:t>
      </w:r>
      <w:r>
        <w:rPr>
          <w:rFonts w:ascii="Arial" w:hAnsi="Arial"/>
          <w:b/>
          <w:sz w:val="20"/>
        </w:rPr>
        <w:t>Pulmón</w:t>
      </w:r>
      <w:r>
        <w:rPr>
          <w:rFonts w:ascii="Arial" w:hAnsi="Arial"/>
          <w:b/>
          <w:spacing w:val="-6"/>
          <w:sz w:val="20"/>
        </w:rPr>
        <w:t> </w:t>
      </w:r>
      <w:r>
        <w:rPr>
          <w:rFonts w:ascii="Arial" w:hAnsi="Arial"/>
          <w:b/>
          <w:sz w:val="20"/>
        </w:rPr>
        <w:t>del</w:t>
      </w:r>
      <w:r>
        <w:rPr>
          <w:rFonts w:ascii="Arial" w:hAnsi="Arial"/>
          <w:b/>
          <w:spacing w:val="-4"/>
          <w:sz w:val="20"/>
        </w:rPr>
        <w:t> </w:t>
      </w:r>
      <w:r>
        <w:rPr>
          <w:rFonts w:ascii="Arial" w:hAnsi="Arial"/>
          <w:b/>
          <w:sz w:val="20"/>
        </w:rPr>
        <w:t>sericulturista:</w:t>
      </w:r>
      <w:r>
        <w:rPr>
          <w:rFonts w:ascii="Arial" w:hAnsi="Arial"/>
          <w:b/>
          <w:spacing w:val="-3"/>
          <w:sz w:val="20"/>
        </w:rPr>
        <w:t> </w:t>
      </w:r>
      <w:r>
        <w:rPr>
          <w:sz w:val="20"/>
        </w:rPr>
        <w:t>personas</w:t>
      </w:r>
      <w:r>
        <w:rPr>
          <w:spacing w:val="-6"/>
          <w:sz w:val="20"/>
        </w:rPr>
        <w:t> </w:t>
      </w:r>
      <w:r>
        <w:rPr>
          <w:sz w:val="20"/>
        </w:rPr>
        <w:t>que</w:t>
      </w:r>
      <w:r>
        <w:rPr>
          <w:spacing w:val="-6"/>
          <w:sz w:val="20"/>
        </w:rPr>
        <w:t> </w:t>
      </w:r>
      <w:r>
        <w:rPr>
          <w:sz w:val="20"/>
        </w:rPr>
        <w:t>se</w:t>
      </w:r>
      <w:r>
        <w:rPr>
          <w:spacing w:val="-6"/>
          <w:sz w:val="20"/>
        </w:rPr>
        <w:t> </w:t>
      </w:r>
      <w:r>
        <w:rPr>
          <w:sz w:val="20"/>
        </w:rPr>
        <w:t>dedican</w:t>
      </w:r>
      <w:r>
        <w:rPr>
          <w:spacing w:val="-7"/>
          <w:sz w:val="20"/>
        </w:rPr>
        <w:t> </w:t>
      </w:r>
      <w:r>
        <w:rPr>
          <w:sz w:val="20"/>
        </w:rPr>
        <w:t>a</w:t>
      </w:r>
      <w:r>
        <w:rPr>
          <w:spacing w:val="-5"/>
          <w:sz w:val="20"/>
        </w:rPr>
        <w:t> </w:t>
      </w:r>
      <w:r>
        <w:rPr>
          <w:sz w:val="20"/>
        </w:rPr>
        <w:t>la</w:t>
      </w:r>
      <w:r>
        <w:rPr>
          <w:spacing w:val="-7"/>
          <w:sz w:val="20"/>
        </w:rPr>
        <w:t> </w:t>
      </w:r>
      <w:r>
        <w:rPr>
          <w:sz w:val="20"/>
        </w:rPr>
        <w:t>crianza</w:t>
      </w:r>
      <w:r>
        <w:rPr>
          <w:spacing w:val="-6"/>
          <w:sz w:val="20"/>
        </w:rPr>
        <w:t> </w:t>
      </w:r>
      <w:r>
        <w:rPr>
          <w:sz w:val="20"/>
        </w:rPr>
        <w:t>de</w:t>
      </w:r>
      <w:r>
        <w:rPr>
          <w:spacing w:val="-7"/>
          <w:sz w:val="20"/>
        </w:rPr>
        <w:t> </w:t>
      </w:r>
      <w:r>
        <w:rPr>
          <w:sz w:val="20"/>
        </w:rPr>
        <w:t>gusanos</w:t>
      </w:r>
      <w:r>
        <w:rPr>
          <w:spacing w:val="-5"/>
          <w:sz w:val="20"/>
        </w:rPr>
        <w:t> </w:t>
      </w:r>
      <w:r>
        <w:rPr>
          <w:sz w:val="20"/>
        </w:rPr>
        <w:t>de</w:t>
      </w:r>
      <w:r>
        <w:rPr>
          <w:spacing w:val="-8"/>
          <w:sz w:val="20"/>
        </w:rPr>
        <w:t> </w:t>
      </w:r>
      <w:r>
        <w:rPr>
          <w:spacing w:val="-2"/>
          <w:sz w:val="20"/>
        </w:rPr>
        <w:t>seda.</w:t>
      </w:r>
    </w:p>
    <w:p>
      <w:pPr>
        <w:pStyle w:val="ListParagraph"/>
        <w:numPr>
          <w:ilvl w:val="2"/>
          <w:numId w:val="160"/>
        </w:numPr>
        <w:tabs>
          <w:tab w:pos="1046" w:val="left" w:leader="none"/>
        </w:tabs>
        <w:spacing w:line="240" w:lineRule="auto" w:before="228" w:after="0"/>
        <w:ind w:left="1046" w:right="0" w:hanging="420"/>
        <w:jc w:val="left"/>
        <w:rPr>
          <w:sz w:val="20"/>
        </w:rPr>
      </w:pPr>
      <w:r>
        <w:rPr>
          <w:rFonts w:ascii="Arial" w:hAnsi="Arial"/>
          <w:b/>
          <w:sz w:val="20"/>
        </w:rPr>
        <w:t>V.1.36</w:t>
      </w:r>
      <w:r>
        <w:rPr>
          <w:rFonts w:ascii="Arial" w:hAnsi="Arial"/>
          <w:b/>
          <w:spacing w:val="-8"/>
          <w:sz w:val="20"/>
        </w:rPr>
        <w:t> </w:t>
      </w:r>
      <w:r>
        <w:rPr>
          <w:rFonts w:ascii="Arial" w:hAnsi="Arial"/>
          <w:b/>
          <w:sz w:val="20"/>
        </w:rPr>
        <w:t>Espartosis:</w:t>
      </w:r>
      <w:r>
        <w:rPr>
          <w:rFonts w:ascii="Arial" w:hAnsi="Arial"/>
          <w:b/>
          <w:spacing w:val="-6"/>
          <w:sz w:val="20"/>
        </w:rPr>
        <w:t> </w:t>
      </w:r>
      <w:r>
        <w:rPr>
          <w:sz w:val="20"/>
        </w:rPr>
        <w:t>personas</w:t>
      </w:r>
      <w:r>
        <w:rPr>
          <w:spacing w:val="-8"/>
          <w:sz w:val="20"/>
        </w:rPr>
        <w:t> </w:t>
      </w:r>
      <w:r>
        <w:rPr>
          <w:sz w:val="20"/>
        </w:rPr>
        <w:t>trabajadoras</w:t>
      </w:r>
      <w:r>
        <w:rPr>
          <w:spacing w:val="-7"/>
          <w:sz w:val="20"/>
        </w:rPr>
        <w:t> </w:t>
      </w:r>
      <w:r>
        <w:rPr>
          <w:sz w:val="20"/>
        </w:rPr>
        <w:t>que</w:t>
      </w:r>
      <w:r>
        <w:rPr>
          <w:spacing w:val="-8"/>
          <w:sz w:val="20"/>
        </w:rPr>
        <w:t> </w:t>
      </w:r>
      <w:r>
        <w:rPr>
          <w:sz w:val="20"/>
        </w:rPr>
        <w:t>colocan</w:t>
      </w:r>
      <w:r>
        <w:rPr>
          <w:spacing w:val="-7"/>
          <w:sz w:val="20"/>
        </w:rPr>
        <w:t> </w:t>
      </w:r>
      <w:r>
        <w:rPr>
          <w:sz w:val="20"/>
        </w:rPr>
        <w:t>yeso</w:t>
      </w:r>
      <w:r>
        <w:rPr>
          <w:spacing w:val="-9"/>
          <w:sz w:val="20"/>
        </w:rPr>
        <w:t> </w:t>
      </w:r>
      <w:r>
        <w:rPr>
          <w:sz w:val="20"/>
        </w:rPr>
        <w:t>en</w:t>
      </w:r>
      <w:r>
        <w:rPr>
          <w:spacing w:val="-7"/>
          <w:sz w:val="20"/>
        </w:rPr>
        <w:t> </w:t>
      </w:r>
      <w:r>
        <w:rPr>
          <w:spacing w:val="-2"/>
          <w:sz w:val="20"/>
        </w:rPr>
        <w:t>techos.</w:t>
      </w:r>
    </w:p>
    <w:p>
      <w:pPr>
        <w:pStyle w:val="ListParagraph"/>
        <w:numPr>
          <w:ilvl w:val="2"/>
          <w:numId w:val="160"/>
        </w:numPr>
        <w:tabs>
          <w:tab w:pos="1045" w:val="left" w:leader="none"/>
          <w:tab w:pos="1058" w:val="left" w:leader="none"/>
        </w:tabs>
        <w:spacing w:line="240" w:lineRule="auto" w:before="228" w:after="0"/>
        <w:ind w:left="1058" w:right="343" w:hanging="432"/>
        <w:jc w:val="both"/>
        <w:rPr>
          <w:sz w:val="20"/>
        </w:rPr>
      </w:pPr>
      <w:r>
        <w:rPr>
          <w:rFonts w:ascii="Arial" w:hAnsi="Arial"/>
          <w:b/>
          <w:sz w:val="20"/>
        </w:rPr>
        <w:t>V.1.37 Alveolitis</w:t>
      </w:r>
      <w:r>
        <w:rPr>
          <w:rFonts w:ascii="Arial" w:hAnsi="Arial"/>
          <w:b/>
          <w:spacing w:val="-2"/>
          <w:sz w:val="20"/>
        </w:rPr>
        <w:t> </w:t>
      </w:r>
      <w:r>
        <w:rPr>
          <w:rFonts w:ascii="Arial" w:hAnsi="Arial"/>
          <w:b/>
          <w:sz w:val="20"/>
        </w:rPr>
        <w:t>de</w:t>
      </w:r>
      <w:r>
        <w:rPr>
          <w:rFonts w:ascii="Arial" w:hAnsi="Arial"/>
          <w:b/>
          <w:spacing w:val="-2"/>
          <w:sz w:val="20"/>
        </w:rPr>
        <w:t> </w:t>
      </w:r>
      <w:r>
        <w:rPr>
          <w:rFonts w:ascii="Arial" w:hAnsi="Arial"/>
          <w:b/>
          <w:sz w:val="20"/>
        </w:rPr>
        <w:t>verano</w:t>
      </w:r>
      <w:r>
        <w:rPr>
          <w:rFonts w:ascii="Arial" w:hAnsi="Arial"/>
          <w:b/>
          <w:spacing w:val="-1"/>
          <w:sz w:val="20"/>
        </w:rPr>
        <w:t> </w:t>
      </w:r>
      <w:r>
        <w:rPr>
          <w:rFonts w:ascii="Arial" w:hAnsi="Arial"/>
          <w:b/>
          <w:sz w:val="20"/>
        </w:rPr>
        <w:t>de</w:t>
      </w:r>
      <w:r>
        <w:rPr>
          <w:rFonts w:ascii="Arial" w:hAnsi="Arial"/>
          <w:b/>
          <w:spacing w:val="-2"/>
          <w:sz w:val="20"/>
        </w:rPr>
        <w:t> </w:t>
      </w:r>
      <w:r>
        <w:rPr>
          <w:rFonts w:ascii="Arial" w:hAnsi="Arial"/>
          <w:b/>
          <w:sz w:val="20"/>
        </w:rPr>
        <w:t>Japón: </w:t>
      </w:r>
      <w:r>
        <w:rPr>
          <w:sz w:val="20"/>
        </w:rPr>
        <w:t>personas</w:t>
      </w:r>
      <w:r>
        <w:rPr>
          <w:spacing w:val="-1"/>
          <w:sz w:val="20"/>
        </w:rPr>
        <w:t> </w:t>
      </w:r>
      <w:r>
        <w:rPr>
          <w:sz w:val="20"/>
        </w:rPr>
        <w:t>trabajadoras de</w:t>
      </w:r>
      <w:r>
        <w:rPr>
          <w:spacing w:val="-2"/>
          <w:sz w:val="20"/>
        </w:rPr>
        <w:t> </w:t>
      </w:r>
      <w:r>
        <w:rPr>
          <w:sz w:val="20"/>
        </w:rPr>
        <w:t>fábricas</w:t>
      </w:r>
      <w:r>
        <w:rPr>
          <w:spacing w:val="-1"/>
          <w:sz w:val="20"/>
        </w:rPr>
        <w:t> </w:t>
      </w:r>
      <w:r>
        <w:rPr>
          <w:sz w:val="20"/>
        </w:rPr>
        <w:t>sin</w:t>
      </w:r>
      <w:r>
        <w:rPr>
          <w:spacing w:val="-2"/>
          <w:sz w:val="20"/>
        </w:rPr>
        <w:t> </w:t>
      </w:r>
      <w:r>
        <w:rPr>
          <w:sz w:val="20"/>
        </w:rPr>
        <w:t>aire</w:t>
      </w:r>
      <w:r>
        <w:rPr>
          <w:spacing w:val="-2"/>
          <w:sz w:val="20"/>
        </w:rPr>
        <w:t> </w:t>
      </w:r>
      <w:r>
        <w:rPr>
          <w:sz w:val="20"/>
        </w:rPr>
        <w:t>acondicionado en Japón en verano.</w:t>
      </w:r>
    </w:p>
    <w:p>
      <w:pPr>
        <w:pStyle w:val="ListParagraph"/>
        <w:numPr>
          <w:ilvl w:val="2"/>
          <w:numId w:val="160"/>
        </w:numPr>
        <w:tabs>
          <w:tab w:pos="1045" w:val="left" w:leader="none"/>
          <w:tab w:pos="1058" w:val="left" w:leader="none"/>
        </w:tabs>
        <w:spacing w:line="242" w:lineRule="auto" w:before="228" w:after="0"/>
        <w:ind w:left="1058" w:right="342" w:hanging="432"/>
        <w:jc w:val="both"/>
        <w:rPr>
          <w:sz w:val="20"/>
        </w:rPr>
      </w:pPr>
      <w:r>
        <w:rPr>
          <w:rFonts w:ascii="Arial" w:hAnsi="Arial"/>
          <w:b/>
          <w:sz w:val="20"/>
        </w:rPr>
        <w:t>V.1.38 Pulmón de operarios de maquinaria: </w:t>
      </w:r>
      <w:r>
        <w:rPr>
          <w:sz w:val="20"/>
        </w:rPr>
        <w:t>personas trabajadoras expuestas a fluidos lubricantes (taladrinas y refrigerantes).</w:t>
      </w:r>
    </w:p>
    <w:p>
      <w:pPr>
        <w:pStyle w:val="ListParagraph"/>
        <w:numPr>
          <w:ilvl w:val="2"/>
          <w:numId w:val="160"/>
        </w:numPr>
        <w:tabs>
          <w:tab w:pos="1045" w:val="left" w:leader="none"/>
          <w:tab w:pos="1058" w:val="left" w:leader="none"/>
        </w:tabs>
        <w:spacing w:line="240" w:lineRule="auto" w:before="226" w:after="0"/>
        <w:ind w:left="1058" w:right="340"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8" w:val="left" w:leader="none"/>
        </w:tabs>
        <w:spacing w:line="240" w:lineRule="auto" w:before="229" w:after="0"/>
        <w:ind w:left="338" w:right="351" w:firstLine="288"/>
        <w:jc w:val="left"/>
      </w:pPr>
      <w:r>
        <w:rPr/>
        <w:t>Bronquitis</w:t>
      </w:r>
      <w:r>
        <w:rPr>
          <w:spacing w:val="-2"/>
        </w:rPr>
        <w:t> </w:t>
      </w:r>
      <w:r>
        <w:rPr/>
        <w:t>o</w:t>
      </w:r>
      <w:r>
        <w:rPr>
          <w:spacing w:val="-1"/>
        </w:rPr>
        <w:t> </w:t>
      </w:r>
      <w:r>
        <w:rPr/>
        <w:t>neumonitis</w:t>
      </w:r>
      <w:r>
        <w:rPr>
          <w:spacing w:val="-2"/>
        </w:rPr>
        <w:t> </w:t>
      </w:r>
      <w:r>
        <w:rPr/>
        <w:t>debidas a</w:t>
      </w:r>
      <w:r>
        <w:rPr>
          <w:spacing w:val="-2"/>
        </w:rPr>
        <w:t> </w:t>
      </w:r>
      <w:r>
        <w:rPr/>
        <w:t>la</w:t>
      </w:r>
      <w:r>
        <w:rPr>
          <w:spacing w:val="-2"/>
        </w:rPr>
        <w:t> </w:t>
      </w:r>
      <w:r>
        <w:rPr/>
        <w:t>inhalación</w:t>
      </w:r>
      <w:r>
        <w:rPr>
          <w:spacing w:val="-1"/>
        </w:rPr>
        <w:t> </w:t>
      </w:r>
      <w:r>
        <w:rPr/>
        <w:t>de</w:t>
      </w:r>
      <w:r>
        <w:rPr>
          <w:spacing w:val="-2"/>
        </w:rPr>
        <w:t> </w:t>
      </w:r>
      <w:r>
        <w:rPr/>
        <w:t>polvos,</w:t>
      </w:r>
      <w:r>
        <w:rPr>
          <w:spacing w:val="-2"/>
        </w:rPr>
        <w:t> </w:t>
      </w:r>
      <w:r>
        <w:rPr/>
        <w:t>humos,</w:t>
      </w:r>
      <w:r>
        <w:rPr>
          <w:spacing w:val="-2"/>
        </w:rPr>
        <w:t> </w:t>
      </w:r>
      <w:r>
        <w:rPr/>
        <w:t>gases,</w:t>
      </w:r>
      <w:r>
        <w:rPr>
          <w:spacing w:val="-2"/>
        </w:rPr>
        <w:t> </w:t>
      </w:r>
      <w:r>
        <w:rPr/>
        <w:t>vapores,</w:t>
      </w:r>
      <w:r>
        <w:rPr>
          <w:spacing w:val="-2"/>
        </w:rPr>
        <w:t> </w:t>
      </w:r>
      <w:r>
        <w:rPr/>
        <w:t>rocíos</w:t>
      </w:r>
      <w:r>
        <w:rPr>
          <w:spacing w:val="-2"/>
        </w:rPr>
        <w:t> </w:t>
      </w:r>
      <w:r>
        <w:rPr/>
        <w:t>o neblinas de agentes químicos que actúan como irritantes sensoriales y no sensoriales</w:t>
      </w:r>
    </w:p>
    <w:p>
      <w:pPr>
        <w:pStyle w:val="BodyText"/>
        <w:spacing w:before="1"/>
        <w:rPr>
          <w:rFonts w:ascii="Arial"/>
          <w:b/>
        </w:rPr>
      </w:pPr>
    </w:p>
    <w:p>
      <w:pPr>
        <w:pStyle w:val="BodyText"/>
        <w:spacing w:before="1"/>
        <w:ind w:left="626"/>
      </w:pPr>
      <w:r>
        <w:rPr/>
        <w:t>Código</w:t>
      </w:r>
      <w:r>
        <w:rPr>
          <w:spacing w:val="-10"/>
        </w:rPr>
        <w:t> </w:t>
      </w:r>
      <w:r>
        <w:rPr/>
        <w:t>CIE-11:</w:t>
      </w:r>
      <w:r>
        <w:rPr>
          <w:spacing w:val="-9"/>
        </w:rPr>
        <w:t> </w:t>
      </w:r>
      <w:r>
        <w:rPr>
          <w:spacing w:val="-4"/>
        </w:rPr>
        <w:t>CA81</w:t>
      </w:r>
    </w:p>
    <w:p>
      <w:pPr>
        <w:pStyle w:val="ListParagraph"/>
        <w:numPr>
          <w:ilvl w:val="2"/>
          <w:numId w:val="160"/>
        </w:numPr>
        <w:tabs>
          <w:tab w:pos="1045" w:val="left" w:leader="none"/>
          <w:tab w:pos="1058" w:val="left" w:leader="none"/>
        </w:tabs>
        <w:spacing w:line="240" w:lineRule="auto" w:before="229" w:after="0"/>
        <w:ind w:left="1058" w:right="334" w:hanging="432"/>
        <w:jc w:val="both"/>
        <w:rPr>
          <w:sz w:val="20"/>
        </w:rPr>
      </w:pPr>
      <w:r>
        <w:rPr>
          <w:sz w:val="20"/>
        </w:rPr>
        <w:t>Personas trabajadoras expuestas a aldehídos incluyendo acetaldehídos (aldehído acético, etanol y etilaldehído), acroleína, acroaldehido, aldehído acrílico, alilaldehido, propenal y 2-propenal) y furfural (fural, 2 furancarbaxaldehido, furfuraldehído y 2-furfuraldehido), tales como: personas trabajadoras</w:t>
      </w:r>
      <w:r>
        <w:rPr>
          <w:spacing w:val="61"/>
          <w:sz w:val="20"/>
        </w:rPr>
        <w:t> </w:t>
      </w:r>
      <w:r>
        <w:rPr>
          <w:sz w:val="20"/>
        </w:rPr>
        <w:t>dedicadas</w:t>
      </w:r>
      <w:r>
        <w:rPr>
          <w:spacing w:val="63"/>
          <w:sz w:val="20"/>
        </w:rPr>
        <w:t> </w:t>
      </w:r>
      <w:r>
        <w:rPr>
          <w:sz w:val="20"/>
        </w:rPr>
        <w:t>a</w:t>
      </w:r>
      <w:r>
        <w:rPr>
          <w:spacing w:val="62"/>
          <w:sz w:val="20"/>
        </w:rPr>
        <w:t> </w:t>
      </w:r>
      <w:r>
        <w:rPr>
          <w:sz w:val="20"/>
        </w:rPr>
        <w:t>la</w:t>
      </w:r>
      <w:r>
        <w:rPr>
          <w:spacing w:val="62"/>
          <w:sz w:val="20"/>
        </w:rPr>
        <w:t> </w:t>
      </w:r>
      <w:r>
        <w:rPr>
          <w:sz w:val="20"/>
        </w:rPr>
        <w:t>manufactura</w:t>
      </w:r>
      <w:r>
        <w:rPr>
          <w:spacing w:val="60"/>
          <w:sz w:val="20"/>
        </w:rPr>
        <w:t> </w:t>
      </w:r>
      <w:r>
        <w:rPr>
          <w:sz w:val="20"/>
        </w:rPr>
        <w:t>de</w:t>
      </w:r>
      <w:r>
        <w:rPr>
          <w:spacing w:val="61"/>
          <w:sz w:val="20"/>
        </w:rPr>
        <w:t> </w:t>
      </w:r>
      <w:r>
        <w:rPr>
          <w:sz w:val="20"/>
        </w:rPr>
        <w:t>productos</w:t>
      </w:r>
      <w:r>
        <w:rPr>
          <w:spacing w:val="60"/>
          <w:sz w:val="20"/>
        </w:rPr>
        <w:t> </w:t>
      </w:r>
      <w:r>
        <w:rPr>
          <w:sz w:val="20"/>
        </w:rPr>
        <w:t>farmacéuticos,</w:t>
      </w:r>
      <w:r>
        <w:rPr>
          <w:spacing w:val="62"/>
          <w:sz w:val="20"/>
        </w:rPr>
        <w:t> </w:t>
      </w:r>
      <w:r>
        <w:rPr>
          <w:sz w:val="20"/>
        </w:rPr>
        <w:t>industria</w:t>
      </w:r>
      <w:r>
        <w:rPr>
          <w:spacing w:val="60"/>
          <w:sz w:val="20"/>
        </w:rPr>
        <w:t> </w:t>
      </w:r>
      <w:r>
        <w:rPr>
          <w:sz w:val="20"/>
        </w:rPr>
        <w:t>del</w:t>
      </w:r>
      <w:r>
        <w:rPr>
          <w:spacing w:val="61"/>
          <w:sz w:val="20"/>
        </w:rPr>
        <w:t> </w:t>
      </w:r>
      <w:r>
        <w:rPr>
          <w:sz w:val="20"/>
        </w:rPr>
        <w:t>caucho</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058"/>
      </w:pPr>
      <w:r>
        <w:rPr/>
        <w:t>sintético, manipuladores de estos compuestos o que se expongan a productos de la combustión, petroquímica, plásticos, química y textiles.</w:t>
      </w:r>
    </w:p>
    <w:p>
      <w:pPr>
        <w:pStyle w:val="BodyText"/>
      </w:pPr>
    </w:p>
    <w:p>
      <w:pPr>
        <w:pStyle w:val="ListParagraph"/>
        <w:numPr>
          <w:ilvl w:val="2"/>
          <w:numId w:val="160"/>
        </w:numPr>
        <w:tabs>
          <w:tab w:pos="1045" w:val="left" w:leader="none"/>
          <w:tab w:pos="1058" w:val="left" w:leader="none"/>
        </w:tabs>
        <w:spacing w:line="240" w:lineRule="auto" w:before="0" w:after="0"/>
        <w:ind w:left="1058" w:right="335" w:hanging="432"/>
        <w:jc w:val="both"/>
        <w:rPr>
          <w:sz w:val="20"/>
        </w:rPr>
      </w:pPr>
      <w:r>
        <w:rPr>
          <w:sz w:val="20"/>
        </w:rPr>
        <w:t>Personas trabajadoras expuestas a ácidos tricloruro y pentacloruro de antimonio, tales como: personas trabajadoras de la industria de la aleación y catalizadores orgánicos.</w:t>
      </w:r>
    </w:p>
    <w:p>
      <w:pPr>
        <w:pStyle w:val="ListParagraph"/>
        <w:numPr>
          <w:ilvl w:val="2"/>
          <w:numId w:val="160"/>
        </w:numPr>
        <w:tabs>
          <w:tab w:pos="1045" w:val="left" w:leader="none"/>
          <w:tab w:pos="1058" w:val="left" w:leader="none"/>
        </w:tabs>
        <w:spacing w:line="240" w:lineRule="auto" w:before="228" w:after="0"/>
        <w:ind w:left="1058" w:right="346" w:hanging="432"/>
        <w:jc w:val="both"/>
        <w:rPr>
          <w:sz w:val="20"/>
        </w:rPr>
      </w:pPr>
      <w:r>
        <w:rPr>
          <w:sz w:val="20"/>
        </w:rPr>
        <w:t>Personas trabajadoras expuestas a éteres cloro metílicos, tales como: personas trabajadoras de la industria química expuestas a disolventes y en la preparación de otros compuestos orgánicos.</w:t>
      </w:r>
    </w:p>
    <w:p>
      <w:pPr>
        <w:pStyle w:val="ListParagraph"/>
        <w:numPr>
          <w:ilvl w:val="2"/>
          <w:numId w:val="160"/>
        </w:numPr>
        <w:tabs>
          <w:tab w:pos="1045" w:val="left" w:leader="none"/>
          <w:tab w:pos="1058" w:val="left" w:leader="none"/>
        </w:tabs>
        <w:spacing w:line="240" w:lineRule="auto" w:before="229" w:after="0"/>
        <w:ind w:left="1058" w:right="343" w:hanging="432"/>
        <w:jc w:val="both"/>
        <w:rPr>
          <w:sz w:val="20"/>
        </w:rPr>
      </w:pPr>
      <w:r>
        <w:rPr>
          <w:sz w:val="20"/>
        </w:rPr>
        <w:t>Personas trabajadoras expuestas diisocianatos (poli isocianato y 2,6 diisocianato de tolueno de naftaleno, difenilmetano y diisocianato de 2,6-hexametileno), tales como: personas trabajadoras de la fabricación de esmaltes, espumas de poliuretanos, insecticidas, herbicidas, laminación, muebles, pintura automotriz y trabajo con resinas.</w:t>
      </w:r>
    </w:p>
    <w:p>
      <w:pPr>
        <w:pStyle w:val="ListParagraph"/>
        <w:numPr>
          <w:ilvl w:val="2"/>
          <w:numId w:val="160"/>
        </w:numPr>
        <w:tabs>
          <w:tab w:pos="1045" w:val="left" w:leader="none"/>
          <w:tab w:pos="1058" w:val="left" w:leader="none"/>
        </w:tabs>
        <w:spacing w:line="240" w:lineRule="auto" w:before="229" w:after="0"/>
        <w:ind w:left="1058" w:right="339" w:hanging="432"/>
        <w:jc w:val="both"/>
        <w:rPr>
          <w:sz w:val="20"/>
        </w:rPr>
      </w:pPr>
      <w:r>
        <w:rPr>
          <w:sz w:val="20"/>
        </w:rPr>
        <w:t>Personas trabajadoras expuestas al mercurio, tales como: personas trabajadoras expuestas a procesos de conservación de semillas, electrolisis de la salmuera, fabricación de amalgamas, fabricantes de termómetros, manómetros, fabricación y manipulación de explosivos, fungicidas, lámparas</w:t>
      </w:r>
      <w:r>
        <w:rPr>
          <w:spacing w:val="-1"/>
          <w:sz w:val="20"/>
        </w:rPr>
        <w:t> </w:t>
      </w:r>
      <w:r>
        <w:rPr>
          <w:sz w:val="20"/>
        </w:rPr>
        <w:t>de</w:t>
      </w:r>
      <w:r>
        <w:rPr>
          <w:spacing w:val="-3"/>
          <w:sz w:val="20"/>
        </w:rPr>
        <w:t> </w:t>
      </w:r>
      <w:r>
        <w:rPr>
          <w:sz w:val="20"/>
        </w:rPr>
        <w:t>vapores</w:t>
      </w:r>
      <w:r>
        <w:rPr>
          <w:spacing w:val="-1"/>
          <w:sz w:val="20"/>
        </w:rPr>
        <w:t> </w:t>
      </w:r>
      <w:r>
        <w:rPr>
          <w:sz w:val="20"/>
        </w:rPr>
        <w:t>de</w:t>
      </w:r>
      <w:r>
        <w:rPr>
          <w:spacing w:val="-3"/>
          <w:sz w:val="20"/>
        </w:rPr>
        <w:t> </w:t>
      </w:r>
      <w:r>
        <w:rPr>
          <w:sz w:val="20"/>
        </w:rPr>
        <w:t>mercurio y</w:t>
      </w:r>
      <w:r>
        <w:rPr>
          <w:spacing w:val="-4"/>
          <w:sz w:val="20"/>
        </w:rPr>
        <w:t> </w:t>
      </w:r>
      <w:r>
        <w:rPr>
          <w:sz w:val="20"/>
        </w:rPr>
        <w:t>sus</w:t>
      </w:r>
      <w:r>
        <w:rPr>
          <w:spacing w:val="-1"/>
          <w:sz w:val="20"/>
        </w:rPr>
        <w:t> </w:t>
      </w:r>
      <w:r>
        <w:rPr>
          <w:sz w:val="20"/>
        </w:rPr>
        <w:t>derivados,</w:t>
      </w:r>
      <w:r>
        <w:rPr>
          <w:spacing w:val="-2"/>
          <w:sz w:val="20"/>
        </w:rPr>
        <w:t> </w:t>
      </w:r>
      <w:r>
        <w:rPr>
          <w:sz w:val="20"/>
        </w:rPr>
        <w:t>así</w:t>
      </w:r>
      <w:r>
        <w:rPr>
          <w:spacing w:val="-2"/>
          <w:sz w:val="20"/>
        </w:rPr>
        <w:t> </w:t>
      </w:r>
      <w:r>
        <w:rPr>
          <w:sz w:val="20"/>
        </w:rPr>
        <w:t>como,</w:t>
      </w:r>
      <w:r>
        <w:rPr>
          <w:spacing w:val="-4"/>
          <w:sz w:val="20"/>
        </w:rPr>
        <w:t> </w:t>
      </w:r>
      <w:r>
        <w:rPr>
          <w:sz w:val="20"/>
        </w:rPr>
        <w:t>manipulación</w:t>
      </w:r>
      <w:r>
        <w:rPr>
          <w:spacing w:val="-3"/>
          <w:sz w:val="20"/>
        </w:rPr>
        <w:t> </w:t>
      </w:r>
      <w:r>
        <w:rPr>
          <w:sz w:val="20"/>
        </w:rPr>
        <w:t>de</w:t>
      </w:r>
      <w:r>
        <w:rPr>
          <w:spacing w:val="-2"/>
          <w:sz w:val="20"/>
        </w:rPr>
        <w:t> </w:t>
      </w:r>
      <w:r>
        <w:rPr>
          <w:sz w:val="20"/>
        </w:rPr>
        <w:t>metales,</w:t>
      </w:r>
      <w:r>
        <w:rPr>
          <w:spacing w:val="-2"/>
          <w:sz w:val="20"/>
        </w:rPr>
        <w:t> </w:t>
      </w:r>
      <w:r>
        <w:rPr>
          <w:sz w:val="20"/>
        </w:rPr>
        <w:t>productos de electrónica, sombreros de fieltro, personas trabajadoras de la industria farmacéutica y de la minería de oro y plata.</w:t>
      </w:r>
    </w:p>
    <w:p>
      <w:pPr>
        <w:pStyle w:val="ListParagraph"/>
        <w:numPr>
          <w:ilvl w:val="2"/>
          <w:numId w:val="160"/>
        </w:numPr>
        <w:tabs>
          <w:tab w:pos="1045" w:val="left" w:leader="none"/>
          <w:tab w:pos="1058" w:val="left" w:leader="none"/>
        </w:tabs>
        <w:spacing w:line="240" w:lineRule="auto" w:before="228" w:after="0"/>
        <w:ind w:left="1058" w:right="345" w:hanging="432"/>
        <w:jc w:val="both"/>
        <w:rPr>
          <w:sz w:val="20"/>
        </w:rPr>
      </w:pPr>
      <w:r>
        <w:rPr>
          <w:sz w:val="20"/>
        </w:rPr>
        <w:t>Personas trabajadoras expuestas al sulfuro de metilo, tales como: personas trabajadoras que manipulan este compuesto en diversas industrias.</w:t>
      </w:r>
    </w:p>
    <w:p>
      <w:pPr>
        <w:pStyle w:val="BodyText"/>
      </w:pPr>
    </w:p>
    <w:p>
      <w:pPr>
        <w:pStyle w:val="ListParagraph"/>
        <w:numPr>
          <w:ilvl w:val="2"/>
          <w:numId w:val="160"/>
        </w:numPr>
        <w:tabs>
          <w:tab w:pos="1045" w:val="left" w:leader="none"/>
          <w:tab w:pos="1058" w:val="left" w:leader="none"/>
        </w:tabs>
        <w:spacing w:line="240" w:lineRule="auto" w:before="0" w:after="0"/>
        <w:ind w:left="1058" w:right="337"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7" w:after="0"/>
        <w:ind w:left="956" w:right="0" w:hanging="330"/>
        <w:jc w:val="left"/>
      </w:pPr>
      <w:r>
        <w:rPr/>
        <w:t>Bronquiolitis</w:t>
      </w:r>
      <w:r>
        <w:rPr>
          <w:spacing w:val="-11"/>
        </w:rPr>
        <w:t> </w:t>
      </w:r>
      <w:r>
        <w:rPr/>
        <w:t>obliterante</w:t>
      </w:r>
      <w:r>
        <w:rPr>
          <w:spacing w:val="-10"/>
        </w:rPr>
        <w:t> </w:t>
      </w:r>
      <w:r>
        <w:rPr/>
        <w:t>con</w:t>
      </w:r>
      <w:r>
        <w:rPr>
          <w:spacing w:val="-10"/>
        </w:rPr>
        <w:t> </w:t>
      </w:r>
      <w:r>
        <w:rPr/>
        <w:t>neumonía</w:t>
      </w:r>
      <w:r>
        <w:rPr>
          <w:spacing w:val="-11"/>
        </w:rPr>
        <w:t> </w:t>
      </w:r>
      <w:r>
        <w:rPr/>
        <w:t>organizada</w:t>
      </w:r>
      <w:r>
        <w:rPr>
          <w:spacing w:val="-10"/>
        </w:rPr>
        <w:t> </w:t>
      </w:r>
      <w:r>
        <w:rPr>
          <w:spacing w:val="-2"/>
        </w:rPr>
        <w:t>(BOOP)</w:t>
      </w:r>
    </w:p>
    <w:p>
      <w:pPr>
        <w:pStyle w:val="BodyText"/>
        <w:spacing w:before="3"/>
        <w:rPr>
          <w:rFonts w:ascii="Arial"/>
          <w:b/>
        </w:rPr>
      </w:pPr>
    </w:p>
    <w:p>
      <w:pPr>
        <w:pStyle w:val="BodyText"/>
        <w:ind w:left="626"/>
      </w:pPr>
      <w:r>
        <w:rPr/>
        <w:t>Código</w:t>
      </w:r>
      <w:r>
        <w:rPr>
          <w:spacing w:val="-10"/>
        </w:rPr>
        <w:t> </w:t>
      </w:r>
      <w:r>
        <w:rPr/>
        <w:t>CIE-11:</w:t>
      </w:r>
      <w:r>
        <w:rPr>
          <w:spacing w:val="-9"/>
        </w:rPr>
        <w:t> </w:t>
      </w:r>
      <w:r>
        <w:rPr>
          <w:spacing w:val="-2"/>
        </w:rPr>
        <w:t>CA26.0</w:t>
      </w:r>
    </w:p>
    <w:p>
      <w:pPr>
        <w:pStyle w:val="ListParagraph"/>
        <w:numPr>
          <w:ilvl w:val="2"/>
          <w:numId w:val="160"/>
        </w:numPr>
        <w:tabs>
          <w:tab w:pos="1045" w:val="left" w:leader="none"/>
          <w:tab w:pos="1058" w:val="left" w:leader="none"/>
        </w:tabs>
        <w:spacing w:line="240" w:lineRule="auto" w:before="227" w:after="0"/>
        <w:ind w:left="1058" w:right="342" w:hanging="432"/>
        <w:jc w:val="both"/>
        <w:rPr>
          <w:sz w:val="20"/>
        </w:rPr>
      </w:pPr>
      <w:r>
        <w:rPr>
          <w:sz w:val="20"/>
        </w:rPr>
        <w:t>Las personas trabajadoras expuestas del área de saborizantes artificiales que contienen diacetilo 2-3 butanodiona.</w:t>
      </w:r>
    </w:p>
    <w:p>
      <w:pPr>
        <w:pStyle w:val="ListParagraph"/>
        <w:numPr>
          <w:ilvl w:val="2"/>
          <w:numId w:val="160"/>
        </w:numPr>
        <w:tabs>
          <w:tab w:pos="1045" w:val="left" w:leader="none"/>
          <w:tab w:pos="1058" w:val="left" w:leader="none"/>
        </w:tabs>
        <w:spacing w:line="240" w:lineRule="auto" w:before="228" w:after="0"/>
        <w:ind w:left="1058" w:right="337"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61" w:val="left" w:leader="none"/>
        </w:tabs>
        <w:spacing w:line="240" w:lineRule="auto" w:before="229" w:after="0"/>
        <w:ind w:left="961" w:right="0" w:hanging="335"/>
        <w:jc w:val="left"/>
      </w:pPr>
      <w:r>
        <w:rPr/>
        <w:t>Asma</w:t>
      </w:r>
      <w:r>
        <w:rPr>
          <w:spacing w:val="-7"/>
        </w:rPr>
        <w:t> </w:t>
      </w:r>
      <w:r>
        <w:rPr/>
        <w:t>bronquial</w:t>
      </w:r>
      <w:r>
        <w:rPr>
          <w:spacing w:val="-7"/>
        </w:rPr>
        <w:t> </w:t>
      </w:r>
      <w:r>
        <w:rPr/>
        <w:t>alérgica</w:t>
      </w:r>
      <w:r>
        <w:rPr>
          <w:spacing w:val="-6"/>
        </w:rPr>
        <w:t> </w:t>
      </w:r>
      <w:r>
        <w:rPr/>
        <w:t>y</w:t>
      </w:r>
      <w:r>
        <w:rPr>
          <w:spacing w:val="-8"/>
        </w:rPr>
        <w:t> </w:t>
      </w:r>
      <w:r>
        <w:rPr/>
        <w:t>asma</w:t>
      </w:r>
      <w:r>
        <w:rPr>
          <w:spacing w:val="-3"/>
        </w:rPr>
        <w:t> </w:t>
      </w:r>
      <w:r>
        <w:rPr/>
        <w:t>de</w:t>
      </w:r>
      <w:r>
        <w:rPr>
          <w:spacing w:val="-7"/>
        </w:rPr>
        <w:t> </w:t>
      </w:r>
      <w:r>
        <w:rPr>
          <w:spacing w:val="-2"/>
        </w:rPr>
        <w:t>trabajo</w:t>
      </w:r>
    </w:p>
    <w:p>
      <w:pPr>
        <w:pStyle w:val="BodyText"/>
        <w:spacing w:before="3"/>
        <w:rPr>
          <w:rFonts w:ascii="Arial"/>
          <w:b/>
        </w:rPr>
      </w:pPr>
    </w:p>
    <w:p>
      <w:pPr>
        <w:pStyle w:val="BodyText"/>
        <w:spacing w:before="1"/>
        <w:ind w:left="626"/>
      </w:pPr>
      <w:r>
        <w:rPr/>
        <w:t>Código</w:t>
      </w:r>
      <w:r>
        <w:rPr>
          <w:spacing w:val="-9"/>
        </w:rPr>
        <w:t> </w:t>
      </w:r>
      <w:r>
        <w:rPr/>
        <w:t>CIE-11:</w:t>
      </w:r>
      <w:r>
        <w:rPr>
          <w:spacing w:val="-8"/>
        </w:rPr>
        <w:t> </w:t>
      </w:r>
      <w:r>
        <w:rPr/>
        <w:t>CA23.0,</w:t>
      </w:r>
      <w:r>
        <w:rPr>
          <w:spacing w:val="-8"/>
        </w:rPr>
        <w:t> </w:t>
      </w:r>
      <w:r>
        <w:rPr>
          <w:spacing w:val="-2"/>
        </w:rPr>
        <w:t>CA23.3</w:t>
      </w:r>
    </w:p>
    <w:p>
      <w:pPr>
        <w:pStyle w:val="Heading3"/>
        <w:numPr>
          <w:ilvl w:val="0"/>
          <w:numId w:val="164"/>
        </w:numPr>
        <w:tabs>
          <w:tab w:pos="857" w:val="left" w:leader="none"/>
        </w:tabs>
        <w:spacing w:line="240" w:lineRule="auto" w:before="226" w:after="0"/>
        <w:ind w:left="857" w:right="0" w:hanging="231"/>
        <w:jc w:val="left"/>
      </w:pPr>
      <w:r>
        <w:rPr/>
        <w:t>Sustancias</w:t>
      </w:r>
      <w:r>
        <w:rPr>
          <w:spacing w:val="-7"/>
        </w:rPr>
        <w:t> </w:t>
      </w:r>
      <w:r>
        <w:rPr/>
        <w:t>de</w:t>
      </w:r>
      <w:r>
        <w:rPr>
          <w:spacing w:val="-6"/>
        </w:rPr>
        <w:t> </w:t>
      </w:r>
      <w:r>
        <w:rPr/>
        <w:t>alto</w:t>
      </w:r>
      <w:r>
        <w:rPr>
          <w:spacing w:val="-6"/>
        </w:rPr>
        <w:t> </w:t>
      </w:r>
      <w:r>
        <w:rPr/>
        <w:t>peso</w:t>
      </w:r>
      <w:r>
        <w:rPr>
          <w:spacing w:val="-5"/>
        </w:rPr>
        <w:t> </w:t>
      </w:r>
      <w:r>
        <w:rPr>
          <w:spacing w:val="-2"/>
        </w:rPr>
        <w:t>molecular</w:t>
      </w:r>
    </w:p>
    <w:p>
      <w:pPr>
        <w:pStyle w:val="BodyText"/>
        <w:spacing w:before="1"/>
        <w:rPr>
          <w:rFonts w:ascii="Arial"/>
          <w:b/>
        </w:rPr>
      </w:pPr>
    </w:p>
    <w:p>
      <w:pPr>
        <w:pStyle w:val="ListParagraph"/>
        <w:numPr>
          <w:ilvl w:val="2"/>
          <w:numId w:val="160"/>
        </w:numPr>
        <w:tabs>
          <w:tab w:pos="1045" w:val="left" w:leader="none"/>
          <w:tab w:pos="1058" w:val="left" w:leader="none"/>
        </w:tabs>
        <w:spacing w:line="240" w:lineRule="auto" w:before="0" w:after="0"/>
        <w:ind w:left="1058" w:right="341" w:hanging="432"/>
        <w:jc w:val="both"/>
        <w:rPr>
          <w:sz w:val="20"/>
        </w:rPr>
      </w:pPr>
      <w:r>
        <w:rPr>
          <w:sz w:val="20"/>
        </w:rPr>
        <w:t>Personas trabajadoras tales como: granjeros y ganaderos, granjeros avícolas, panaderos y manipuladores de grano. Personas trabajadoras de la industria farmacéutica. Personas trabajadoras de empresas que fabrican los</w:t>
      </w:r>
      <w:r>
        <w:rPr>
          <w:spacing w:val="21"/>
          <w:sz w:val="20"/>
        </w:rPr>
        <w:t> </w:t>
      </w:r>
      <w:r>
        <w:rPr>
          <w:sz w:val="20"/>
        </w:rPr>
        <w:t>denominados detergentes</w:t>
      </w:r>
      <w:r>
        <w:rPr>
          <w:spacing w:val="21"/>
          <w:sz w:val="20"/>
        </w:rPr>
        <w:t> </w:t>
      </w:r>
      <w:r>
        <w:rPr>
          <w:sz w:val="20"/>
        </w:rPr>
        <w:t>biológicos</w:t>
      </w:r>
      <w:r>
        <w:rPr>
          <w:spacing w:val="21"/>
          <w:sz w:val="20"/>
        </w:rPr>
        <w:t> </w:t>
      </w:r>
      <w:r>
        <w:rPr>
          <w:sz w:val="20"/>
        </w:rPr>
        <w:t>o enzimáticos.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058" w:right="337"/>
        <w:jc w:val="both"/>
      </w:pPr>
      <w:r>
        <w:rPr/>
        <w:t>Veterinarios, bioterios y</w:t>
      </w:r>
      <w:r>
        <w:rPr>
          <w:spacing w:val="-3"/>
        </w:rPr>
        <w:t> </w:t>
      </w:r>
      <w:r>
        <w:rPr/>
        <w:t>personal que trabaja con animales. Personas trabajadoras de la industria alimentaria, farmacéutica e impresores. Investigadores, de la seda, personal sanitario o de la manufactura de la goma, manipuladores de alimentos para peces.</w:t>
      </w:r>
    </w:p>
    <w:p>
      <w:pPr>
        <w:pStyle w:val="BodyText"/>
      </w:pPr>
    </w:p>
    <w:p>
      <w:pPr>
        <w:pStyle w:val="ListParagraph"/>
        <w:numPr>
          <w:ilvl w:val="2"/>
          <w:numId w:val="160"/>
        </w:numPr>
        <w:tabs>
          <w:tab w:pos="1045" w:val="left" w:leader="none"/>
          <w:tab w:pos="1058" w:val="left" w:leader="none"/>
        </w:tabs>
        <w:spacing w:line="240" w:lineRule="auto" w:before="1" w:after="0"/>
        <w:ind w:left="1058" w:right="336" w:hanging="432"/>
        <w:jc w:val="both"/>
        <w:rPr>
          <w:sz w:val="20"/>
        </w:rPr>
      </w:pPr>
      <w:r>
        <w:rPr>
          <w:sz w:val="20"/>
        </w:rPr>
        <w:t>Personas trabajadoras en los procesos de alimentos y recolectores, estibadores portuarios, personal que trabaja en su manufactura y enfermeras. Manipuladores de alimentos y de aserraderos y carpinteros.</w:t>
      </w:r>
    </w:p>
    <w:p>
      <w:pPr>
        <w:pStyle w:val="Heading3"/>
        <w:numPr>
          <w:ilvl w:val="0"/>
          <w:numId w:val="164"/>
        </w:numPr>
        <w:tabs>
          <w:tab w:pos="869" w:val="left" w:leader="none"/>
        </w:tabs>
        <w:spacing w:line="240" w:lineRule="auto" w:before="227" w:after="0"/>
        <w:ind w:left="869" w:right="0" w:hanging="243"/>
        <w:jc w:val="left"/>
      </w:pPr>
      <w:r>
        <w:rPr/>
        <w:t>Sustancias</w:t>
      </w:r>
      <w:r>
        <w:rPr>
          <w:spacing w:val="-8"/>
        </w:rPr>
        <w:t> </w:t>
      </w:r>
      <w:r>
        <w:rPr/>
        <w:t>de</w:t>
      </w:r>
      <w:r>
        <w:rPr>
          <w:spacing w:val="-6"/>
        </w:rPr>
        <w:t> </w:t>
      </w:r>
      <w:r>
        <w:rPr/>
        <w:t>bajo</w:t>
      </w:r>
      <w:r>
        <w:rPr>
          <w:spacing w:val="-6"/>
        </w:rPr>
        <w:t> </w:t>
      </w:r>
      <w:r>
        <w:rPr/>
        <w:t>peso</w:t>
      </w:r>
      <w:r>
        <w:rPr>
          <w:spacing w:val="-6"/>
        </w:rPr>
        <w:t> </w:t>
      </w:r>
      <w:r>
        <w:rPr>
          <w:spacing w:val="-2"/>
        </w:rPr>
        <w:t>molecular</w:t>
      </w:r>
    </w:p>
    <w:p>
      <w:pPr>
        <w:pStyle w:val="ListParagraph"/>
        <w:numPr>
          <w:ilvl w:val="2"/>
          <w:numId w:val="160"/>
        </w:numPr>
        <w:tabs>
          <w:tab w:pos="1045" w:val="left" w:leader="none"/>
          <w:tab w:pos="1058" w:val="left" w:leader="none"/>
        </w:tabs>
        <w:spacing w:line="240" w:lineRule="auto" w:before="230" w:after="0"/>
        <w:ind w:left="1058" w:right="334" w:hanging="432"/>
        <w:jc w:val="both"/>
        <w:rPr>
          <w:sz w:val="20"/>
        </w:rPr>
      </w:pPr>
      <w:r>
        <w:rPr>
          <w:sz w:val="20"/>
        </w:rPr>
        <w:t>Personas trabajadoras en actividades como: dentistas, protesistas dentales y manipuladores de pegamentos. Personas trabajadoras de la industria del plástico y resinas epóxicas. Personal de los servicios sanitarios. Personas trabajadoras de la industria farmacéutica. Personas trabajadoras de la goma. Personas trabajadoras en actividades como: pintores a pistola, o personal en la manufactura del plástico, poliuretano y aislantes. Personas trabajadoras de la industria cosmética y tintes. Personas trabajadoras de peluquería y salones de cosmética. Pulidores de</w:t>
      </w:r>
      <w:r>
        <w:rPr>
          <w:spacing w:val="-2"/>
          <w:sz w:val="20"/>
        </w:rPr>
        <w:t> </w:t>
      </w:r>
      <w:r>
        <w:rPr>
          <w:sz w:val="20"/>
        </w:rPr>
        <w:t>diamantes.</w:t>
      </w:r>
      <w:r>
        <w:rPr>
          <w:spacing w:val="-2"/>
          <w:sz w:val="20"/>
        </w:rPr>
        <w:t> </w:t>
      </w:r>
      <w:r>
        <w:rPr>
          <w:sz w:val="20"/>
        </w:rPr>
        <w:t>Soldadores,</w:t>
      </w:r>
      <w:r>
        <w:rPr>
          <w:spacing w:val="-2"/>
          <w:sz w:val="20"/>
        </w:rPr>
        <w:t> </w:t>
      </w:r>
      <w:r>
        <w:rPr>
          <w:sz w:val="20"/>
        </w:rPr>
        <w:t>curtidores, cromadores y</w:t>
      </w:r>
      <w:r>
        <w:rPr>
          <w:spacing w:val="-5"/>
          <w:sz w:val="20"/>
        </w:rPr>
        <w:t> </w:t>
      </w:r>
      <w:r>
        <w:rPr>
          <w:sz w:val="20"/>
        </w:rPr>
        <w:t>de</w:t>
      </w:r>
      <w:r>
        <w:rPr>
          <w:spacing w:val="-2"/>
          <w:sz w:val="20"/>
        </w:rPr>
        <w:t> </w:t>
      </w:r>
      <w:r>
        <w:rPr>
          <w:sz w:val="20"/>
        </w:rPr>
        <w:t>las</w:t>
      </w:r>
      <w:r>
        <w:rPr>
          <w:spacing w:val="-1"/>
          <w:sz w:val="20"/>
        </w:rPr>
        <w:t> </w:t>
      </w:r>
      <w:r>
        <w:rPr>
          <w:sz w:val="20"/>
        </w:rPr>
        <w:t>personas</w:t>
      </w:r>
      <w:r>
        <w:rPr>
          <w:spacing w:val="-1"/>
          <w:sz w:val="20"/>
        </w:rPr>
        <w:t> </w:t>
      </w:r>
      <w:r>
        <w:rPr>
          <w:sz w:val="20"/>
        </w:rPr>
        <w:t>trabajadoras de la industria del cemento. Personas trabajadoras de chapado. Personas trabajadoras de refinerías. Joyeros y artesanos. Personas trabajadoras de la industria textil.</w:t>
      </w:r>
    </w:p>
    <w:p>
      <w:pPr>
        <w:pStyle w:val="Heading3"/>
        <w:numPr>
          <w:ilvl w:val="0"/>
          <w:numId w:val="164"/>
        </w:numPr>
        <w:tabs>
          <w:tab w:pos="860" w:val="left" w:leader="none"/>
        </w:tabs>
        <w:spacing w:line="240" w:lineRule="auto" w:before="228" w:after="0"/>
        <w:ind w:left="860" w:right="0" w:hanging="234"/>
        <w:jc w:val="left"/>
      </w:pPr>
      <w:r>
        <w:rPr/>
        <w:t>Alérgenos</w:t>
      </w:r>
      <w:r>
        <w:rPr>
          <w:spacing w:val="-14"/>
        </w:rPr>
        <w:t> </w:t>
      </w:r>
      <w:r>
        <w:rPr>
          <w:spacing w:val="-2"/>
        </w:rPr>
        <w:t>comunes</w:t>
      </w:r>
    </w:p>
    <w:p>
      <w:pPr>
        <w:pStyle w:val="BodyText"/>
        <w:spacing w:before="2"/>
        <w:rPr>
          <w:rFonts w:ascii="Arial"/>
          <w:b/>
        </w:rPr>
      </w:pPr>
    </w:p>
    <w:p>
      <w:pPr>
        <w:pStyle w:val="ListParagraph"/>
        <w:numPr>
          <w:ilvl w:val="2"/>
          <w:numId w:val="160"/>
        </w:numPr>
        <w:tabs>
          <w:tab w:pos="1046" w:val="left" w:leader="none"/>
        </w:tabs>
        <w:spacing w:line="240" w:lineRule="auto" w:before="0" w:after="0"/>
        <w:ind w:left="1046" w:right="0" w:hanging="420"/>
        <w:jc w:val="left"/>
        <w:rPr>
          <w:sz w:val="20"/>
        </w:rPr>
      </w:pPr>
      <w:r>
        <w:rPr>
          <w:sz w:val="20"/>
        </w:rPr>
        <w:t>Fábricas</w:t>
      </w:r>
      <w:r>
        <w:rPr>
          <w:spacing w:val="-9"/>
          <w:sz w:val="20"/>
        </w:rPr>
        <w:t> </w:t>
      </w:r>
      <w:r>
        <w:rPr>
          <w:sz w:val="20"/>
        </w:rPr>
        <w:t>de</w:t>
      </w:r>
      <w:r>
        <w:rPr>
          <w:spacing w:val="-7"/>
          <w:sz w:val="20"/>
        </w:rPr>
        <w:t> </w:t>
      </w:r>
      <w:r>
        <w:rPr>
          <w:sz w:val="20"/>
        </w:rPr>
        <w:t>textiles,</w:t>
      </w:r>
      <w:r>
        <w:rPr>
          <w:spacing w:val="-8"/>
          <w:sz w:val="20"/>
        </w:rPr>
        <w:t> </w:t>
      </w:r>
      <w:r>
        <w:rPr>
          <w:sz w:val="20"/>
        </w:rPr>
        <w:t>almohadas,</w:t>
      </w:r>
      <w:r>
        <w:rPr>
          <w:spacing w:val="-9"/>
          <w:sz w:val="20"/>
        </w:rPr>
        <w:t> </w:t>
      </w:r>
      <w:r>
        <w:rPr>
          <w:sz w:val="20"/>
        </w:rPr>
        <w:t>chamarras</w:t>
      </w:r>
      <w:r>
        <w:rPr>
          <w:spacing w:val="-6"/>
          <w:sz w:val="20"/>
        </w:rPr>
        <w:t> </w:t>
      </w:r>
      <w:r>
        <w:rPr>
          <w:sz w:val="20"/>
        </w:rPr>
        <w:t>y</w:t>
      </w:r>
      <w:r>
        <w:rPr>
          <w:spacing w:val="-12"/>
          <w:sz w:val="20"/>
        </w:rPr>
        <w:t> </w:t>
      </w:r>
      <w:r>
        <w:rPr>
          <w:sz w:val="20"/>
        </w:rPr>
        <w:t>cobertores.</w:t>
      </w:r>
      <w:r>
        <w:rPr>
          <w:spacing w:val="-9"/>
          <w:sz w:val="20"/>
        </w:rPr>
        <w:t> </w:t>
      </w:r>
      <w:r>
        <w:rPr>
          <w:sz w:val="20"/>
        </w:rPr>
        <w:t>Panaderías.</w:t>
      </w:r>
      <w:r>
        <w:rPr>
          <w:spacing w:val="-9"/>
          <w:sz w:val="20"/>
        </w:rPr>
        <w:t> </w:t>
      </w:r>
      <w:r>
        <w:rPr>
          <w:sz w:val="20"/>
        </w:rPr>
        <w:t>Industria</w:t>
      </w:r>
      <w:r>
        <w:rPr>
          <w:spacing w:val="-9"/>
          <w:sz w:val="20"/>
        </w:rPr>
        <w:t> </w:t>
      </w:r>
      <w:r>
        <w:rPr>
          <w:spacing w:val="-2"/>
          <w:sz w:val="20"/>
        </w:rPr>
        <w:t>alimentaria.</w:t>
      </w:r>
    </w:p>
    <w:p>
      <w:pPr>
        <w:pStyle w:val="ListParagraph"/>
        <w:numPr>
          <w:ilvl w:val="2"/>
          <w:numId w:val="160"/>
        </w:numPr>
        <w:tabs>
          <w:tab w:pos="1045" w:val="left" w:leader="none"/>
          <w:tab w:pos="1058" w:val="left" w:leader="none"/>
        </w:tabs>
        <w:spacing w:line="240" w:lineRule="auto" w:before="228" w:after="0"/>
        <w:ind w:left="1058" w:right="34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8" w:after="0"/>
        <w:ind w:left="956" w:right="0" w:hanging="330"/>
        <w:jc w:val="left"/>
      </w:pPr>
      <w:r>
        <w:rPr/>
        <w:t>Neumoconiosis</w:t>
      </w:r>
      <w:r>
        <w:rPr>
          <w:spacing w:val="-7"/>
        </w:rPr>
        <w:t> </w:t>
      </w:r>
      <w:r>
        <w:rPr/>
        <w:t>por</w:t>
      </w:r>
      <w:r>
        <w:rPr>
          <w:spacing w:val="-7"/>
        </w:rPr>
        <w:t> </w:t>
      </w:r>
      <w:r>
        <w:rPr/>
        <w:t>carbón,</w:t>
      </w:r>
      <w:r>
        <w:rPr>
          <w:spacing w:val="-7"/>
        </w:rPr>
        <w:t> </w:t>
      </w:r>
      <w:r>
        <w:rPr/>
        <w:t>hulla</w:t>
      </w:r>
      <w:r>
        <w:rPr>
          <w:spacing w:val="-6"/>
        </w:rPr>
        <w:t> </w:t>
      </w:r>
      <w:r>
        <w:rPr/>
        <w:t>y</w:t>
      </w:r>
      <w:r>
        <w:rPr>
          <w:spacing w:val="-6"/>
        </w:rPr>
        <w:t> </w:t>
      </w:r>
      <w:r>
        <w:rPr/>
        <w:t>sus</w:t>
      </w:r>
      <w:r>
        <w:rPr>
          <w:spacing w:val="-7"/>
        </w:rPr>
        <w:t> </w:t>
      </w:r>
      <w:r>
        <w:rPr>
          <w:spacing w:val="-2"/>
        </w:rPr>
        <w:t>derivados</w:t>
      </w:r>
    </w:p>
    <w:p>
      <w:pPr>
        <w:pStyle w:val="BodyText"/>
        <w:spacing w:before="1"/>
        <w:rPr>
          <w:rFonts w:ascii="Arial"/>
          <w:b/>
        </w:rPr>
      </w:pPr>
    </w:p>
    <w:p>
      <w:pPr>
        <w:pStyle w:val="BodyText"/>
        <w:ind w:left="626"/>
      </w:pPr>
      <w:r>
        <w:rPr/>
        <w:t>Código</w:t>
      </w:r>
      <w:r>
        <w:rPr>
          <w:spacing w:val="-9"/>
        </w:rPr>
        <w:t> </w:t>
      </w:r>
      <w:r>
        <w:rPr/>
        <w:t>CIE-11:</w:t>
      </w:r>
      <w:r>
        <w:rPr>
          <w:spacing w:val="-8"/>
        </w:rPr>
        <w:t> </w:t>
      </w:r>
      <w:r>
        <w:rPr/>
        <w:t>CA60.1,</w:t>
      </w:r>
      <w:r>
        <w:rPr>
          <w:spacing w:val="-8"/>
        </w:rPr>
        <w:t> </w:t>
      </w:r>
      <w:r>
        <w:rPr/>
        <w:t>CA60.7,</w:t>
      </w:r>
      <w:r>
        <w:rPr>
          <w:spacing w:val="-7"/>
        </w:rPr>
        <w:t> </w:t>
      </w:r>
      <w:r>
        <w:rPr/>
        <w:t>CA60.Y,</w:t>
      </w:r>
      <w:r>
        <w:rPr>
          <w:spacing w:val="-7"/>
        </w:rPr>
        <w:t> </w:t>
      </w:r>
      <w:r>
        <w:rPr>
          <w:spacing w:val="-2"/>
        </w:rPr>
        <w:t>CA60.Z</w:t>
      </w:r>
    </w:p>
    <w:p>
      <w:pPr>
        <w:pStyle w:val="ListParagraph"/>
        <w:numPr>
          <w:ilvl w:val="2"/>
          <w:numId w:val="160"/>
        </w:numPr>
        <w:tabs>
          <w:tab w:pos="1045" w:val="left" w:leader="none"/>
          <w:tab w:pos="1058" w:val="left" w:leader="none"/>
        </w:tabs>
        <w:spacing w:line="240" w:lineRule="auto" w:before="230" w:after="0"/>
        <w:ind w:left="1058" w:right="337" w:hanging="432"/>
        <w:jc w:val="both"/>
        <w:rPr>
          <w:sz w:val="20"/>
        </w:rPr>
      </w:pPr>
      <w:r>
        <w:rPr>
          <w:sz w:val="20"/>
        </w:rPr>
        <w:t>Personas trabajadoras de la minería: personas mineras expuestas al carbón o hulla en sus diferentes variedades se utiliza fundamentalmente como energético y se extrae generalmente de minas. Otras industrias, con personas trabajadoras expuestas, en la que se utilizan variedades del</w:t>
      </w:r>
      <w:r>
        <w:rPr>
          <w:spacing w:val="-2"/>
          <w:sz w:val="20"/>
        </w:rPr>
        <w:t> </w:t>
      </w:r>
      <w:r>
        <w:rPr>
          <w:sz w:val="20"/>
        </w:rPr>
        <w:t>carbón,</w:t>
      </w:r>
      <w:r>
        <w:rPr>
          <w:spacing w:val="-1"/>
          <w:sz w:val="20"/>
        </w:rPr>
        <w:t> </w:t>
      </w:r>
      <w:r>
        <w:rPr>
          <w:sz w:val="20"/>
        </w:rPr>
        <w:t>como</w:t>
      </w:r>
      <w:r>
        <w:rPr>
          <w:spacing w:val="-1"/>
          <w:sz w:val="20"/>
        </w:rPr>
        <w:t> </w:t>
      </w:r>
      <w:r>
        <w:rPr>
          <w:sz w:val="20"/>
        </w:rPr>
        <w:t>el</w:t>
      </w:r>
      <w:r>
        <w:rPr>
          <w:spacing w:val="-2"/>
          <w:sz w:val="20"/>
        </w:rPr>
        <w:t> </w:t>
      </w:r>
      <w:r>
        <w:rPr>
          <w:sz w:val="20"/>
        </w:rPr>
        <w:t>grafito, para</w:t>
      </w:r>
      <w:r>
        <w:rPr>
          <w:spacing w:val="-1"/>
          <w:sz w:val="20"/>
        </w:rPr>
        <w:t> </w:t>
      </w:r>
      <w:r>
        <w:rPr>
          <w:sz w:val="20"/>
        </w:rPr>
        <w:t>la</w:t>
      </w:r>
      <w:r>
        <w:rPr>
          <w:spacing w:val="-1"/>
          <w:sz w:val="20"/>
        </w:rPr>
        <w:t> </w:t>
      </w:r>
      <w:r>
        <w:rPr>
          <w:sz w:val="20"/>
        </w:rPr>
        <w:t>fabricación</w:t>
      </w:r>
      <w:r>
        <w:rPr>
          <w:spacing w:val="-2"/>
          <w:sz w:val="20"/>
        </w:rPr>
        <w:t> </w:t>
      </w:r>
      <w:r>
        <w:rPr>
          <w:sz w:val="20"/>
        </w:rPr>
        <w:t>del plomo</w:t>
      </w:r>
      <w:r>
        <w:rPr>
          <w:spacing w:val="-1"/>
          <w:sz w:val="20"/>
        </w:rPr>
        <w:t> </w:t>
      </w:r>
      <w:r>
        <w:rPr>
          <w:sz w:val="20"/>
        </w:rPr>
        <w:t>de</w:t>
      </w:r>
      <w:r>
        <w:rPr>
          <w:spacing w:val="-2"/>
          <w:sz w:val="20"/>
        </w:rPr>
        <w:t> </w:t>
      </w:r>
      <w:r>
        <w:rPr>
          <w:sz w:val="20"/>
        </w:rPr>
        <w:t>los lápices,</w:t>
      </w:r>
      <w:r>
        <w:rPr>
          <w:spacing w:val="-1"/>
          <w:sz w:val="20"/>
        </w:rPr>
        <w:t> </w:t>
      </w:r>
      <w:r>
        <w:rPr>
          <w:sz w:val="20"/>
        </w:rPr>
        <w:t>la</w:t>
      </w:r>
      <w:r>
        <w:rPr>
          <w:spacing w:val="-1"/>
          <w:sz w:val="20"/>
        </w:rPr>
        <w:t> </w:t>
      </w:r>
      <w:r>
        <w:rPr>
          <w:sz w:val="20"/>
        </w:rPr>
        <w:t>fabricación de</w:t>
      </w:r>
      <w:r>
        <w:rPr>
          <w:spacing w:val="-2"/>
          <w:sz w:val="20"/>
        </w:rPr>
        <w:t> </w:t>
      </w:r>
      <w:r>
        <w:rPr>
          <w:sz w:val="20"/>
        </w:rPr>
        <w:t>crisoles, mamparas para las fundiciones, en la fabricación de lubricantes, pinturas, electrodos ánodos, ladrillos, bloques, cilindros, compuestos para impermeabilizar los techos como relleno y para recarburizar el acero.</w:t>
      </w:r>
    </w:p>
    <w:p>
      <w:pPr>
        <w:pStyle w:val="ListParagraph"/>
        <w:numPr>
          <w:ilvl w:val="2"/>
          <w:numId w:val="160"/>
        </w:numPr>
        <w:tabs>
          <w:tab w:pos="1045" w:val="left" w:leader="none"/>
          <w:tab w:pos="1058" w:val="left" w:leader="none"/>
        </w:tabs>
        <w:spacing w:line="240" w:lineRule="auto" w:before="228" w:after="0"/>
        <w:ind w:left="1058" w:right="340"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8" w:val="left" w:leader="none"/>
        </w:tabs>
        <w:spacing w:line="240" w:lineRule="auto" w:before="229" w:after="0"/>
        <w:ind w:left="958" w:right="0" w:hanging="332"/>
        <w:jc w:val="left"/>
      </w:pPr>
      <w:r>
        <w:rPr/>
        <w:t>Silicosis,</w:t>
      </w:r>
      <w:r>
        <w:rPr>
          <w:spacing w:val="-11"/>
        </w:rPr>
        <w:t> </w:t>
      </w:r>
      <w:r>
        <w:rPr/>
        <w:t>neumoconiosis</w:t>
      </w:r>
      <w:r>
        <w:rPr>
          <w:spacing w:val="-10"/>
        </w:rPr>
        <w:t> </w:t>
      </w:r>
      <w:r>
        <w:rPr/>
        <w:t>producida</w:t>
      </w:r>
      <w:r>
        <w:rPr>
          <w:spacing w:val="-11"/>
        </w:rPr>
        <w:t> </w:t>
      </w:r>
      <w:r>
        <w:rPr/>
        <w:t>por</w:t>
      </w:r>
      <w:r>
        <w:rPr>
          <w:spacing w:val="-8"/>
        </w:rPr>
        <w:t> </w:t>
      </w:r>
      <w:r>
        <w:rPr/>
        <w:t>abrasivos</w:t>
      </w:r>
      <w:r>
        <w:rPr>
          <w:spacing w:val="-8"/>
        </w:rPr>
        <w:t> </w:t>
      </w:r>
      <w:r>
        <w:rPr/>
        <w:t>y</w:t>
      </w:r>
      <w:r>
        <w:rPr>
          <w:spacing w:val="-12"/>
        </w:rPr>
        <w:t> </w:t>
      </w:r>
      <w:r>
        <w:rPr>
          <w:spacing w:val="-2"/>
        </w:rPr>
        <w:t>silicatosis</w:t>
      </w:r>
    </w:p>
    <w:p>
      <w:pPr>
        <w:pStyle w:val="BodyText"/>
        <w:rPr>
          <w:rFonts w:ascii="Arial"/>
          <w:b/>
        </w:rPr>
      </w:pPr>
    </w:p>
    <w:p>
      <w:pPr>
        <w:pStyle w:val="BodyText"/>
        <w:ind w:left="626"/>
      </w:pPr>
      <w:r>
        <w:rPr/>
        <w:t>Código</w:t>
      </w:r>
      <w:r>
        <w:rPr>
          <w:spacing w:val="-8"/>
        </w:rPr>
        <w:t> </w:t>
      </w:r>
      <w:r>
        <w:rPr/>
        <w:t>CIE-11:</w:t>
      </w:r>
      <w:r>
        <w:rPr>
          <w:spacing w:val="-7"/>
        </w:rPr>
        <w:t> </w:t>
      </w:r>
      <w:r>
        <w:rPr/>
        <w:t>CA</w:t>
      </w:r>
      <w:r>
        <w:rPr>
          <w:spacing w:val="-7"/>
        </w:rPr>
        <w:t> </w:t>
      </w:r>
      <w:r>
        <w:rPr/>
        <w:t>60.0,</w:t>
      </w:r>
      <w:r>
        <w:rPr>
          <w:spacing w:val="-5"/>
        </w:rPr>
        <w:t> </w:t>
      </w:r>
      <w:r>
        <w:rPr/>
        <w:t>CA60.00,</w:t>
      </w:r>
      <w:r>
        <w:rPr>
          <w:spacing w:val="-6"/>
        </w:rPr>
        <w:t> </w:t>
      </w:r>
      <w:r>
        <w:rPr/>
        <w:t>CA60.0Y,</w:t>
      </w:r>
      <w:r>
        <w:rPr>
          <w:spacing w:val="-5"/>
        </w:rPr>
        <w:t> </w:t>
      </w:r>
      <w:r>
        <w:rPr>
          <w:spacing w:val="-2"/>
        </w:rPr>
        <w:t>CA60.0Z</w:t>
      </w:r>
    </w:p>
    <w:p>
      <w:pPr>
        <w:pStyle w:val="BodyText"/>
        <w:spacing w:after="0"/>
        <w:sectPr>
          <w:pgSz w:w="12240" w:h="15840"/>
          <w:pgMar w:header="724" w:footer="712" w:top="1880" w:bottom="900" w:left="1080" w:right="1080"/>
        </w:sectPr>
      </w:pPr>
    </w:p>
    <w:p>
      <w:pPr>
        <w:pStyle w:val="BodyText"/>
        <w:spacing w:before="66"/>
      </w:pPr>
    </w:p>
    <w:p>
      <w:pPr>
        <w:pStyle w:val="ListParagraph"/>
        <w:numPr>
          <w:ilvl w:val="2"/>
          <w:numId w:val="160"/>
        </w:numPr>
        <w:tabs>
          <w:tab w:pos="1045" w:val="left" w:leader="none"/>
          <w:tab w:pos="1058" w:val="left" w:leader="none"/>
        </w:tabs>
        <w:spacing w:line="240" w:lineRule="auto" w:before="0" w:after="0"/>
        <w:ind w:left="1058" w:right="340" w:hanging="432"/>
        <w:jc w:val="both"/>
        <w:rPr>
          <w:sz w:val="20"/>
        </w:rPr>
      </w:pPr>
      <w:r>
        <w:rPr>
          <w:sz w:val="20"/>
        </w:rPr>
        <w:t>Personas</w:t>
      </w:r>
      <w:r>
        <w:rPr>
          <w:spacing w:val="-2"/>
          <w:sz w:val="20"/>
        </w:rPr>
        <w:t> </w:t>
      </w:r>
      <w:r>
        <w:rPr>
          <w:sz w:val="20"/>
        </w:rPr>
        <w:t>trabajadoras</w:t>
      </w:r>
      <w:r>
        <w:rPr>
          <w:spacing w:val="-1"/>
          <w:sz w:val="20"/>
        </w:rPr>
        <w:t> </w:t>
      </w:r>
      <w:r>
        <w:rPr>
          <w:sz w:val="20"/>
        </w:rPr>
        <w:t>en</w:t>
      </w:r>
      <w:r>
        <w:rPr>
          <w:spacing w:val="-3"/>
          <w:sz w:val="20"/>
        </w:rPr>
        <w:t> </w:t>
      </w:r>
      <w:r>
        <w:rPr>
          <w:sz w:val="20"/>
        </w:rPr>
        <w:t>industrias</w:t>
      </w:r>
      <w:r>
        <w:rPr>
          <w:spacing w:val="-2"/>
          <w:sz w:val="20"/>
        </w:rPr>
        <w:t> </w:t>
      </w:r>
      <w:r>
        <w:rPr>
          <w:sz w:val="20"/>
        </w:rPr>
        <w:t>de</w:t>
      </w:r>
      <w:r>
        <w:rPr>
          <w:spacing w:val="-3"/>
          <w:sz w:val="20"/>
        </w:rPr>
        <w:t> </w:t>
      </w:r>
      <w:r>
        <w:rPr>
          <w:sz w:val="20"/>
        </w:rPr>
        <w:t>extracción</w:t>
      </w:r>
      <w:r>
        <w:rPr>
          <w:spacing w:val="-3"/>
          <w:sz w:val="20"/>
        </w:rPr>
        <w:t> </w:t>
      </w:r>
      <w:r>
        <w:rPr>
          <w:sz w:val="20"/>
        </w:rPr>
        <w:t>de</w:t>
      </w:r>
      <w:r>
        <w:rPr>
          <w:spacing w:val="-1"/>
          <w:sz w:val="20"/>
        </w:rPr>
        <w:t> </w:t>
      </w:r>
      <w:r>
        <w:rPr>
          <w:sz w:val="20"/>
        </w:rPr>
        <w:t>minerales,</w:t>
      </w:r>
      <w:r>
        <w:rPr>
          <w:spacing w:val="-5"/>
          <w:sz w:val="20"/>
        </w:rPr>
        <w:t> </w:t>
      </w:r>
      <w:r>
        <w:rPr>
          <w:sz w:val="20"/>
        </w:rPr>
        <w:t>tales</w:t>
      </w:r>
      <w:r>
        <w:rPr>
          <w:spacing w:val="-2"/>
          <w:sz w:val="20"/>
        </w:rPr>
        <w:t> </w:t>
      </w:r>
      <w:r>
        <w:rPr>
          <w:sz w:val="20"/>
        </w:rPr>
        <w:t>como:</w:t>
      </w:r>
      <w:r>
        <w:rPr>
          <w:spacing w:val="-5"/>
          <w:sz w:val="20"/>
        </w:rPr>
        <w:t> </w:t>
      </w:r>
      <w:r>
        <w:rPr>
          <w:sz w:val="20"/>
        </w:rPr>
        <w:t>minas,</w:t>
      </w:r>
      <w:r>
        <w:rPr>
          <w:spacing w:val="-5"/>
          <w:sz w:val="20"/>
        </w:rPr>
        <w:t> </w:t>
      </w:r>
      <w:r>
        <w:rPr>
          <w:sz w:val="20"/>
        </w:rPr>
        <w:t>canteras y</w:t>
      </w:r>
      <w:r>
        <w:rPr>
          <w:spacing w:val="-6"/>
          <w:sz w:val="20"/>
        </w:rPr>
        <w:t> </w:t>
      </w:r>
      <w:r>
        <w:rPr>
          <w:sz w:val="20"/>
        </w:rPr>
        <w:t>en industrias de transformación que se utiliza en innumerables actividades: construcción de carreteras, refinerías, en la fabricación de cerámica, molienda de materiales, pulido de piezas, fabricación de abrasivos, en la industria de los cosméticos, como cargas en la fabricación de papel, en la industria de los metales etcétera.</w:t>
      </w:r>
    </w:p>
    <w:p>
      <w:pPr>
        <w:pStyle w:val="ListParagraph"/>
        <w:numPr>
          <w:ilvl w:val="2"/>
          <w:numId w:val="160"/>
        </w:numPr>
        <w:tabs>
          <w:tab w:pos="1045" w:val="left" w:leader="none"/>
          <w:tab w:pos="1058" w:val="left" w:leader="none"/>
        </w:tabs>
        <w:spacing w:line="240" w:lineRule="auto" w:before="227" w:after="0"/>
        <w:ind w:left="1058" w:right="339" w:hanging="432"/>
        <w:jc w:val="both"/>
        <w:rPr>
          <w:sz w:val="20"/>
        </w:rPr>
      </w:pPr>
      <w:r>
        <w:rPr>
          <w:sz w:val="20"/>
        </w:rPr>
        <w:t>Personas trabajadoras expuestas a sílice, dióxido de silicio, anhídrido silícico, sílice libre y óxido de silicio. Los principales materiales que constituyen la corteza terrestre de donde existen 3 variedades de sílice, tales como: i) Cristalina que es la más agresiva: cuarzo, tridimita y cristobalita. ii) Amorfa que tiene el segundo puesto en agresividad: tierra de diatomeas o kieselguhr, sílice de 20 angstroms y sílice vítrea. iii) Criptocristalina. La que menos se usa y es menos fibrogénica: pedernal, sílex, ópalo y ágata.</w:t>
      </w:r>
    </w:p>
    <w:p>
      <w:pPr>
        <w:pStyle w:val="BodyText"/>
        <w:spacing w:before="1"/>
      </w:pPr>
    </w:p>
    <w:p>
      <w:pPr>
        <w:pStyle w:val="ListParagraph"/>
        <w:numPr>
          <w:ilvl w:val="2"/>
          <w:numId w:val="160"/>
        </w:numPr>
        <w:tabs>
          <w:tab w:pos="1045" w:val="left" w:leader="none"/>
          <w:tab w:pos="1058" w:val="left" w:leader="none"/>
        </w:tabs>
        <w:spacing w:line="240" w:lineRule="auto" w:before="0" w:after="0"/>
        <w:ind w:left="1058" w:right="343" w:hanging="432"/>
        <w:jc w:val="both"/>
        <w:rPr>
          <w:sz w:val="20"/>
        </w:rPr>
      </w:pPr>
      <w:r>
        <w:rPr>
          <w:sz w:val="20"/>
        </w:rPr>
        <w:t>Personas trabajadoras expuestas a silicatos: los silicatos están formados por una molécula de sílice a óxido de silicio a la que se agregan otras moléculas diversas.</w:t>
      </w:r>
    </w:p>
    <w:p>
      <w:pPr>
        <w:pStyle w:val="ListParagraph"/>
        <w:numPr>
          <w:ilvl w:val="2"/>
          <w:numId w:val="160"/>
        </w:numPr>
        <w:tabs>
          <w:tab w:pos="1045" w:val="left" w:leader="none"/>
          <w:tab w:pos="1058" w:val="left" w:leader="none"/>
        </w:tabs>
        <w:spacing w:line="240" w:lineRule="auto" w:before="228" w:after="0"/>
        <w:ind w:left="1058" w:right="345" w:hanging="432"/>
        <w:jc w:val="both"/>
        <w:rPr>
          <w:sz w:val="20"/>
        </w:rPr>
      </w:pPr>
      <w:r>
        <w:rPr>
          <w:sz w:val="20"/>
        </w:rPr>
        <w:t>Los</w:t>
      </w:r>
      <w:r>
        <w:rPr>
          <w:spacing w:val="-3"/>
          <w:sz w:val="20"/>
        </w:rPr>
        <w:t> </w:t>
      </w:r>
      <w:r>
        <w:rPr>
          <w:sz w:val="20"/>
        </w:rPr>
        <w:t>principales</w:t>
      </w:r>
      <w:r>
        <w:rPr>
          <w:spacing w:val="-3"/>
          <w:sz w:val="20"/>
        </w:rPr>
        <w:t> </w:t>
      </w:r>
      <w:r>
        <w:rPr>
          <w:sz w:val="20"/>
        </w:rPr>
        <w:t>silicatos</w:t>
      </w:r>
      <w:r>
        <w:rPr>
          <w:spacing w:val="-3"/>
          <w:sz w:val="20"/>
        </w:rPr>
        <w:t> </w:t>
      </w:r>
      <w:r>
        <w:rPr>
          <w:sz w:val="20"/>
        </w:rPr>
        <w:t>a</w:t>
      </w:r>
      <w:r>
        <w:rPr>
          <w:spacing w:val="-2"/>
          <w:sz w:val="20"/>
        </w:rPr>
        <w:t> </w:t>
      </w:r>
      <w:r>
        <w:rPr>
          <w:sz w:val="20"/>
        </w:rPr>
        <w:t>excepción</w:t>
      </w:r>
      <w:r>
        <w:rPr>
          <w:spacing w:val="-3"/>
          <w:sz w:val="20"/>
        </w:rPr>
        <w:t> </w:t>
      </w:r>
      <w:r>
        <w:rPr>
          <w:sz w:val="20"/>
        </w:rPr>
        <w:t>del</w:t>
      </w:r>
      <w:r>
        <w:rPr>
          <w:spacing w:val="-3"/>
          <w:sz w:val="20"/>
        </w:rPr>
        <w:t> </w:t>
      </w:r>
      <w:r>
        <w:rPr>
          <w:sz w:val="20"/>
        </w:rPr>
        <w:t>asbesto</w:t>
      </w:r>
      <w:r>
        <w:rPr>
          <w:spacing w:val="-2"/>
          <w:sz w:val="20"/>
        </w:rPr>
        <w:t> </w:t>
      </w:r>
      <w:r>
        <w:rPr>
          <w:sz w:val="20"/>
        </w:rPr>
        <w:t>son:</w:t>
      </w:r>
      <w:r>
        <w:rPr>
          <w:spacing w:val="-2"/>
          <w:sz w:val="20"/>
        </w:rPr>
        <w:t> </w:t>
      </w:r>
      <w:r>
        <w:rPr>
          <w:sz w:val="20"/>
        </w:rPr>
        <w:t>talco,</w:t>
      </w:r>
      <w:r>
        <w:rPr>
          <w:spacing w:val="-2"/>
          <w:sz w:val="20"/>
        </w:rPr>
        <w:t> </w:t>
      </w:r>
      <w:r>
        <w:rPr>
          <w:sz w:val="20"/>
        </w:rPr>
        <w:t>caolín,</w:t>
      </w:r>
      <w:r>
        <w:rPr>
          <w:spacing w:val="-2"/>
          <w:sz w:val="20"/>
        </w:rPr>
        <w:t> </w:t>
      </w:r>
      <w:r>
        <w:rPr>
          <w:sz w:val="20"/>
        </w:rPr>
        <w:t>mica</w:t>
      </w:r>
      <w:r>
        <w:rPr>
          <w:spacing w:val="-2"/>
          <w:sz w:val="20"/>
        </w:rPr>
        <w:t> </w:t>
      </w:r>
      <w:r>
        <w:rPr>
          <w:sz w:val="20"/>
        </w:rPr>
        <w:t>y</w:t>
      </w:r>
      <w:r>
        <w:rPr>
          <w:spacing w:val="-7"/>
          <w:sz w:val="20"/>
        </w:rPr>
        <w:t> </w:t>
      </w:r>
      <w:r>
        <w:rPr>
          <w:sz w:val="20"/>
        </w:rPr>
        <w:t>feldespato,</w:t>
      </w:r>
      <w:r>
        <w:rPr>
          <w:spacing w:val="-2"/>
          <w:sz w:val="20"/>
        </w:rPr>
        <w:t> </w:t>
      </w:r>
      <w:r>
        <w:rPr>
          <w:sz w:val="20"/>
        </w:rPr>
        <w:t>conforme</w:t>
      </w:r>
      <w:r>
        <w:rPr>
          <w:spacing w:val="-4"/>
          <w:sz w:val="20"/>
        </w:rPr>
        <w:t> </w:t>
      </w:r>
      <w:r>
        <w:rPr>
          <w:sz w:val="20"/>
        </w:rPr>
        <w:t>lo </w:t>
      </w:r>
      <w:r>
        <w:rPr>
          <w:spacing w:val="-2"/>
          <w:sz w:val="20"/>
        </w:rPr>
        <w:t>siguiente:</w:t>
      </w:r>
    </w:p>
    <w:p>
      <w:pPr>
        <w:pStyle w:val="ListParagraph"/>
        <w:numPr>
          <w:ilvl w:val="0"/>
          <w:numId w:val="165"/>
        </w:numPr>
        <w:tabs>
          <w:tab w:pos="881" w:val="left" w:leader="none"/>
        </w:tabs>
        <w:spacing w:line="240" w:lineRule="auto" w:before="227" w:after="0"/>
        <w:ind w:left="338" w:right="344" w:firstLine="288"/>
        <w:jc w:val="both"/>
        <w:rPr>
          <w:sz w:val="20"/>
        </w:rPr>
      </w:pPr>
      <w:r>
        <w:rPr>
          <w:rFonts w:ascii="Arial" w:hAnsi="Arial"/>
          <w:b/>
          <w:sz w:val="20"/>
        </w:rPr>
        <w:t>Talco. </w:t>
      </w:r>
      <w:r>
        <w:rPr>
          <w:sz w:val="20"/>
        </w:rPr>
        <w:t>Su principal uso es en la industria de los cosméticos, se utiliza asbesto finamente molido como talco y</w:t>
      </w:r>
      <w:r>
        <w:rPr>
          <w:spacing w:val="-2"/>
          <w:sz w:val="20"/>
        </w:rPr>
        <w:t> </w:t>
      </w:r>
      <w:r>
        <w:rPr>
          <w:sz w:val="20"/>
        </w:rPr>
        <w:t>es muy</w:t>
      </w:r>
      <w:r>
        <w:rPr>
          <w:spacing w:val="-2"/>
          <w:sz w:val="20"/>
        </w:rPr>
        <w:t> </w:t>
      </w:r>
      <w:r>
        <w:rPr>
          <w:sz w:val="20"/>
        </w:rPr>
        <w:t>agresivo a nivel pulmonar. También se utiliza en la industria farmacéutica, papelera, en la fabricación de sanitarios, de refractarios, en la cerámica y en la industria química.</w:t>
      </w:r>
    </w:p>
    <w:p>
      <w:pPr>
        <w:pStyle w:val="ListParagraph"/>
        <w:numPr>
          <w:ilvl w:val="0"/>
          <w:numId w:val="165"/>
        </w:numPr>
        <w:tabs>
          <w:tab w:pos="876" w:val="left" w:leader="none"/>
        </w:tabs>
        <w:spacing w:line="242" w:lineRule="auto" w:before="230" w:after="0"/>
        <w:ind w:left="338" w:right="348" w:firstLine="288"/>
        <w:jc w:val="both"/>
        <w:rPr>
          <w:sz w:val="20"/>
        </w:rPr>
      </w:pPr>
      <w:r>
        <w:rPr>
          <w:rFonts w:ascii="Arial" w:hAnsi="Arial"/>
          <w:b/>
          <w:sz w:val="20"/>
        </w:rPr>
        <w:t>Caolín. </w:t>
      </w:r>
      <w:r>
        <w:rPr>
          <w:sz w:val="20"/>
        </w:rPr>
        <w:t>Se utiliza en la fabricación de cerámica fina tipo porcelana, en la industria del caucho y del </w:t>
      </w:r>
      <w:r>
        <w:rPr>
          <w:spacing w:val="-2"/>
          <w:sz w:val="20"/>
        </w:rPr>
        <w:t>cemento.</w:t>
      </w:r>
    </w:p>
    <w:p>
      <w:pPr>
        <w:pStyle w:val="ListParagraph"/>
        <w:numPr>
          <w:ilvl w:val="0"/>
          <w:numId w:val="165"/>
        </w:numPr>
        <w:tabs>
          <w:tab w:pos="908" w:val="left" w:leader="none"/>
        </w:tabs>
        <w:spacing w:line="242" w:lineRule="auto" w:before="224" w:after="0"/>
        <w:ind w:left="338" w:right="345" w:firstLine="288"/>
        <w:jc w:val="both"/>
        <w:rPr>
          <w:sz w:val="20"/>
        </w:rPr>
      </w:pPr>
      <w:r>
        <w:rPr>
          <w:rFonts w:ascii="Arial" w:hAnsi="Arial"/>
          <w:b/>
          <w:sz w:val="20"/>
        </w:rPr>
        <w:t>Feldespato. </w:t>
      </w:r>
      <w:r>
        <w:rPr>
          <w:sz w:val="20"/>
        </w:rPr>
        <w:t>Se utiliza en la industria de fabricación de vajillas de uso diario, en la industria papelera, en la industria de la construcción.</w:t>
      </w:r>
    </w:p>
    <w:p>
      <w:pPr>
        <w:pStyle w:val="ListParagraph"/>
        <w:numPr>
          <w:ilvl w:val="0"/>
          <w:numId w:val="165"/>
        </w:numPr>
        <w:tabs>
          <w:tab w:pos="915" w:val="left" w:leader="none"/>
        </w:tabs>
        <w:spacing w:line="240" w:lineRule="auto" w:before="227" w:after="0"/>
        <w:ind w:left="338" w:right="345" w:firstLine="288"/>
        <w:jc w:val="both"/>
        <w:rPr>
          <w:sz w:val="20"/>
        </w:rPr>
      </w:pPr>
      <w:r>
        <w:rPr>
          <w:rFonts w:ascii="Arial" w:hAnsi="Arial"/>
          <w:b/>
          <w:sz w:val="20"/>
        </w:rPr>
        <w:t>Mica. </w:t>
      </w:r>
      <w:r>
        <w:rPr>
          <w:sz w:val="20"/>
        </w:rPr>
        <w:t>Se utiliza como aislante en la industria eléctrica, para la fabricación de resistencias de planchas antiguas, secadores de pelo y otros aparatos eléctricos, en la fabricación de anuncios luminosos, en cerámica, esmaltes, explosivos y vidrio refractario.</w:t>
      </w:r>
    </w:p>
    <w:p>
      <w:pPr>
        <w:pStyle w:val="BodyText"/>
      </w:pPr>
    </w:p>
    <w:p>
      <w:pPr>
        <w:pStyle w:val="ListParagraph"/>
        <w:numPr>
          <w:ilvl w:val="2"/>
          <w:numId w:val="160"/>
        </w:numPr>
        <w:tabs>
          <w:tab w:pos="1045" w:val="left" w:leader="none"/>
          <w:tab w:pos="1058" w:val="left" w:leader="none"/>
        </w:tabs>
        <w:spacing w:line="240" w:lineRule="auto" w:before="0" w:after="0"/>
        <w:ind w:left="1058" w:right="335" w:hanging="432"/>
        <w:jc w:val="both"/>
        <w:rPr>
          <w:sz w:val="20"/>
        </w:rPr>
      </w:pPr>
      <w:r>
        <w:rPr>
          <w:sz w:val="20"/>
        </w:rPr>
        <w:t>Personas trabajadoras expuestas a los abrasivos que producen neumoconiosis naturales y sintéticos. Naturales como corindón, esmeril, (óxidos de aluminio), sílice, silicatos, granate (pedernal o sílex, cuarzo), arena, arenisca, piedra pómez, trípoli, talco, calcita, topacio, apatita, fluorita yeso, diamante y otros. Personas trabajadoras expuestas a sustancias sintéticas, tales como: óxido de aluminio, carburo de silicio y boro, nitruro de boro, diamante y zafiro. Técnico dental y personas trabajadoras expuestas a abrasivos. Las fuentes son granos sueltos adheridos (con adhesivos) a papel o tela, en pasta (mezclados o sustancia untuosa), o compactados; ruedas, discos, muelas, piedras, afiladores; limpiadores combinados con jabones, detergentes, para cortar, pulir, triturar dando forma, así como, limpiar con chorro de arena (sandblast) y aire a </w:t>
      </w:r>
      <w:r>
        <w:rPr>
          <w:spacing w:val="-2"/>
          <w:sz w:val="20"/>
        </w:rPr>
        <w:t>presión.</w:t>
      </w:r>
    </w:p>
    <w:p>
      <w:pPr>
        <w:pStyle w:val="BodyText"/>
      </w:pPr>
    </w:p>
    <w:p>
      <w:pPr>
        <w:pStyle w:val="ListParagraph"/>
        <w:numPr>
          <w:ilvl w:val="2"/>
          <w:numId w:val="160"/>
        </w:numPr>
        <w:tabs>
          <w:tab w:pos="1045" w:val="left" w:leader="none"/>
          <w:tab w:pos="1058" w:val="left" w:leader="none"/>
        </w:tabs>
        <w:spacing w:line="240" w:lineRule="auto" w:before="0" w:after="0"/>
        <w:ind w:left="1058" w:right="33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w:t>
      </w:r>
      <w:r>
        <w:rPr>
          <w:spacing w:val="40"/>
          <w:sz w:val="20"/>
        </w:rPr>
        <w:t> </w:t>
      </w:r>
      <w:r>
        <w:rPr>
          <w:sz w:val="20"/>
        </w:rPr>
        <w:t>origen o con motivo del trabajo o en el medio que la persona trabajadora se vea obligada a prestar sus servicios.</w:t>
      </w:r>
    </w:p>
    <w:p>
      <w:pPr>
        <w:pStyle w:val="Heading3"/>
        <w:numPr>
          <w:ilvl w:val="1"/>
          <w:numId w:val="160"/>
        </w:numPr>
        <w:tabs>
          <w:tab w:pos="961" w:val="left" w:leader="none"/>
        </w:tabs>
        <w:spacing w:line="240" w:lineRule="auto" w:before="226" w:after="0"/>
        <w:ind w:left="961" w:right="0" w:hanging="335"/>
        <w:jc w:val="left"/>
      </w:pPr>
      <w:r>
        <w:rPr/>
        <w:t>Asbestosis</w:t>
      </w:r>
      <w:r>
        <w:rPr>
          <w:spacing w:val="-9"/>
        </w:rPr>
        <w:t> </w:t>
      </w:r>
      <w:r>
        <w:rPr/>
        <w:t>o</w:t>
      </w:r>
      <w:r>
        <w:rPr>
          <w:spacing w:val="-4"/>
        </w:rPr>
        <w:t> </w:t>
      </w:r>
      <w:r>
        <w:rPr>
          <w:spacing w:val="-2"/>
        </w:rPr>
        <w:t>Amiantosis</w:t>
      </w:r>
    </w:p>
    <w:p>
      <w:pPr>
        <w:pStyle w:val="Heading3"/>
        <w:spacing w:after="0" w:line="240" w:lineRule="auto"/>
        <w:jc w:val="left"/>
        <w:sectPr>
          <w:pgSz w:w="12240" w:h="15840"/>
          <w:pgMar w:header="724" w:footer="712" w:top="1880" w:bottom="900" w:left="1080" w:right="1080"/>
        </w:sectPr>
      </w:pPr>
    </w:p>
    <w:p>
      <w:pPr>
        <w:pStyle w:val="BodyText"/>
        <w:spacing w:before="65"/>
        <w:rPr>
          <w:rFonts w:ascii="Arial"/>
          <w:b/>
        </w:rPr>
      </w:pPr>
    </w:p>
    <w:p>
      <w:pPr>
        <w:pStyle w:val="BodyText"/>
        <w:ind w:left="626"/>
      </w:pPr>
      <w:r>
        <w:rPr/>
        <w:t>Código</w:t>
      </w:r>
      <w:r>
        <w:rPr>
          <w:spacing w:val="-8"/>
        </w:rPr>
        <w:t> </w:t>
      </w:r>
      <w:r>
        <w:rPr/>
        <w:t>CIE-11:</w:t>
      </w:r>
      <w:r>
        <w:rPr>
          <w:spacing w:val="-6"/>
        </w:rPr>
        <w:t> </w:t>
      </w:r>
      <w:r>
        <w:rPr/>
        <w:t>CA</w:t>
      </w:r>
      <w:r>
        <w:rPr>
          <w:spacing w:val="-6"/>
        </w:rPr>
        <w:t> </w:t>
      </w:r>
      <w:r>
        <w:rPr>
          <w:spacing w:val="-4"/>
        </w:rPr>
        <w:t>60.2</w:t>
      </w:r>
    </w:p>
    <w:p>
      <w:pPr>
        <w:pStyle w:val="ListParagraph"/>
        <w:numPr>
          <w:ilvl w:val="2"/>
          <w:numId w:val="160"/>
        </w:numPr>
        <w:tabs>
          <w:tab w:pos="1045" w:val="left" w:leader="none"/>
          <w:tab w:pos="1058" w:val="left" w:leader="none"/>
        </w:tabs>
        <w:spacing w:line="240" w:lineRule="auto" w:before="230" w:after="0"/>
        <w:ind w:left="1058" w:right="334" w:hanging="432"/>
        <w:jc w:val="both"/>
        <w:rPr>
          <w:sz w:val="20"/>
        </w:rPr>
      </w:pPr>
      <w:r>
        <w:rPr>
          <w:sz w:val="20"/>
        </w:rPr>
        <w:t>Personas trabajadoras que se dedican a la elaboración de tubos, tinacos y láminas, como refuerzo de las baldosas de vinilo, para elaborar textiles como ropa de bomberos, balatas, embragues, como material de aislamiento eléctrico, como aislante de alta presión, en la fabricación de molduras, paneles y revestimiento de tejados.</w:t>
      </w:r>
    </w:p>
    <w:p>
      <w:pPr>
        <w:pStyle w:val="ListParagraph"/>
        <w:numPr>
          <w:ilvl w:val="2"/>
          <w:numId w:val="160"/>
        </w:numPr>
        <w:tabs>
          <w:tab w:pos="1045" w:val="left" w:leader="none"/>
          <w:tab w:pos="1058" w:val="left" w:leader="none"/>
        </w:tabs>
        <w:spacing w:line="240" w:lineRule="auto" w:before="229" w:after="0"/>
        <w:ind w:left="1058" w:right="33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w:t>
      </w:r>
      <w:r>
        <w:rPr>
          <w:spacing w:val="40"/>
          <w:sz w:val="20"/>
        </w:rPr>
        <w:t> </w:t>
      </w:r>
      <w:r>
        <w:rPr>
          <w:sz w:val="20"/>
        </w:rPr>
        <w:t>obligada a prestar sus servicios.</w:t>
      </w:r>
    </w:p>
    <w:p>
      <w:pPr>
        <w:pStyle w:val="Heading3"/>
        <w:numPr>
          <w:ilvl w:val="1"/>
          <w:numId w:val="160"/>
        </w:numPr>
        <w:tabs>
          <w:tab w:pos="1011" w:val="left" w:leader="none"/>
        </w:tabs>
        <w:spacing w:line="240" w:lineRule="auto" w:before="226" w:after="0"/>
        <w:ind w:left="338" w:right="344" w:firstLine="288"/>
        <w:jc w:val="left"/>
      </w:pPr>
      <w:r>
        <w:rPr/>
        <w:t>Neumoconiosis</w:t>
      </w:r>
      <w:r>
        <w:rPr>
          <w:spacing w:val="40"/>
        </w:rPr>
        <w:t> </w:t>
      </w:r>
      <w:r>
        <w:rPr/>
        <w:t>debida</w:t>
      </w:r>
      <w:r>
        <w:rPr>
          <w:spacing w:val="40"/>
        </w:rPr>
        <w:t> </w:t>
      </w:r>
      <w:r>
        <w:rPr/>
        <w:t>a</w:t>
      </w:r>
      <w:r>
        <w:rPr>
          <w:spacing w:val="40"/>
        </w:rPr>
        <w:t> </w:t>
      </w:r>
      <w:r>
        <w:rPr/>
        <w:t>la</w:t>
      </w:r>
      <w:r>
        <w:rPr>
          <w:spacing w:val="40"/>
        </w:rPr>
        <w:t> </w:t>
      </w:r>
      <w:r>
        <w:rPr/>
        <w:t>inhalación</w:t>
      </w:r>
      <w:r>
        <w:rPr>
          <w:spacing w:val="40"/>
        </w:rPr>
        <w:t> </w:t>
      </w:r>
      <w:r>
        <w:rPr/>
        <w:t>con</w:t>
      </w:r>
      <w:r>
        <w:rPr>
          <w:spacing w:val="40"/>
        </w:rPr>
        <w:t> </w:t>
      </w:r>
      <w:r>
        <w:rPr/>
        <w:t>depósito</w:t>
      </w:r>
      <w:r>
        <w:rPr>
          <w:spacing w:val="40"/>
        </w:rPr>
        <w:t> </w:t>
      </w:r>
      <w:r>
        <w:rPr/>
        <w:t>de</w:t>
      </w:r>
      <w:r>
        <w:rPr>
          <w:spacing w:val="40"/>
        </w:rPr>
        <w:t> </w:t>
      </w:r>
      <w:r>
        <w:rPr/>
        <w:t>polvos</w:t>
      </w:r>
      <w:r>
        <w:rPr>
          <w:spacing w:val="40"/>
        </w:rPr>
        <w:t> </w:t>
      </w:r>
      <w:r>
        <w:rPr/>
        <w:t>y</w:t>
      </w:r>
      <w:r>
        <w:rPr>
          <w:spacing w:val="40"/>
        </w:rPr>
        <w:t> </w:t>
      </w:r>
      <w:r>
        <w:rPr/>
        <w:t>humos</w:t>
      </w:r>
      <w:r>
        <w:rPr>
          <w:spacing w:val="40"/>
        </w:rPr>
        <w:t> </w:t>
      </w:r>
      <w:r>
        <w:rPr/>
        <w:t>de</w:t>
      </w:r>
      <w:r>
        <w:rPr>
          <w:spacing w:val="40"/>
        </w:rPr>
        <w:t> </w:t>
      </w:r>
      <w:r>
        <w:rPr/>
        <w:t>minerales </w:t>
      </w:r>
      <w:r>
        <w:rPr>
          <w:spacing w:val="-2"/>
        </w:rPr>
        <w:t>metálicos</w:t>
      </w:r>
    </w:p>
    <w:p>
      <w:pPr>
        <w:pStyle w:val="BodyText"/>
        <w:spacing w:before="4"/>
        <w:rPr>
          <w:rFonts w:ascii="Arial"/>
          <w:b/>
        </w:rPr>
      </w:pPr>
    </w:p>
    <w:p>
      <w:pPr>
        <w:pStyle w:val="BodyText"/>
        <w:ind w:left="626"/>
      </w:pPr>
      <w:r>
        <w:rPr/>
        <w:t>Código</w:t>
      </w:r>
      <w:r>
        <w:rPr>
          <w:spacing w:val="-9"/>
        </w:rPr>
        <w:t> </w:t>
      </w:r>
      <w:r>
        <w:rPr/>
        <w:t>CIE-11:CA60.4,</w:t>
      </w:r>
      <w:r>
        <w:rPr>
          <w:spacing w:val="-7"/>
        </w:rPr>
        <w:t> </w:t>
      </w:r>
      <w:r>
        <w:rPr/>
        <w:t>CA60.5,</w:t>
      </w:r>
      <w:r>
        <w:rPr>
          <w:spacing w:val="-5"/>
        </w:rPr>
        <w:t> </w:t>
      </w:r>
      <w:r>
        <w:rPr/>
        <w:t>CA60.6,</w:t>
      </w:r>
      <w:r>
        <w:rPr>
          <w:spacing w:val="-8"/>
        </w:rPr>
        <w:t> </w:t>
      </w:r>
      <w:r>
        <w:rPr/>
        <w:t>CA60.8,</w:t>
      </w:r>
      <w:r>
        <w:rPr>
          <w:spacing w:val="-7"/>
        </w:rPr>
        <w:t> </w:t>
      </w:r>
      <w:r>
        <w:rPr/>
        <w:t>CA</w:t>
      </w:r>
      <w:r>
        <w:rPr>
          <w:spacing w:val="-5"/>
        </w:rPr>
        <w:t> </w:t>
      </w:r>
      <w:r>
        <w:rPr/>
        <w:t>60.9,</w:t>
      </w:r>
      <w:r>
        <w:rPr>
          <w:spacing w:val="-6"/>
        </w:rPr>
        <w:t> </w:t>
      </w:r>
      <w:r>
        <w:rPr/>
        <w:t>CA60.Y,</w:t>
      </w:r>
      <w:r>
        <w:rPr>
          <w:spacing w:val="-7"/>
        </w:rPr>
        <w:t> </w:t>
      </w:r>
      <w:r>
        <w:rPr>
          <w:spacing w:val="-2"/>
        </w:rPr>
        <w:t>CA60.Z</w:t>
      </w:r>
    </w:p>
    <w:p>
      <w:pPr>
        <w:pStyle w:val="ListParagraph"/>
        <w:numPr>
          <w:ilvl w:val="2"/>
          <w:numId w:val="160"/>
        </w:numPr>
        <w:tabs>
          <w:tab w:pos="1045" w:val="left" w:leader="none"/>
          <w:tab w:pos="1058" w:val="left" w:leader="none"/>
        </w:tabs>
        <w:spacing w:line="240" w:lineRule="auto" w:before="229" w:after="0"/>
        <w:ind w:left="1058" w:right="338" w:hanging="432"/>
        <w:jc w:val="both"/>
        <w:rPr>
          <w:sz w:val="20"/>
        </w:rPr>
      </w:pPr>
      <w:r>
        <w:rPr>
          <w:sz w:val="20"/>
        </w:rPr>
        <w:t>Personas trabajadoras expuestas a la inhalación, así como depósito de polvos y humos de metales muy radio densos como son: el estaño, el hierro, el bario entre otros. Principalmente se manejan en las minas de extracción.</w:t>
      </w:r>
    </w:p>
    <w:p>
      <w:pPr>
        <w:pStyle w:val="ListParagraph"/>
        <w:numPr>
          <w:ilvl w:val="2"/>
          <w:numId w:val="160"/>
        </w:numPr>
        <w:tabs>
          <w:tab w:pos="1045" w:val="left" w:leader="none"/>
          <w:tab w:pos="1058" w:val="left" w:leader="none"/>
        </w:tabs>
        <w:spacing w:line="240" w:lineRule="auto" w:before="229" w:after="0"/>
        <w:ind w:left="1058" w:right="336" w:hanging="432"/>
        <w:jc w:val="both"/>
        <w:rPr>
          <w:sz w:val="20"/>
        </w:rPr>
      </w:pPr>
      <w:r>
        <w:rPr>
          <w:sz w:val="20"/>
        </w:rPr>
        <w:t>Personas trabajadoras expuestas al estaño que se utiliza para fabricar barras para soldadura, para estañado y como aleación con cobre, bronce y zinc. De igual forma, personas trabajadoras expuestas al hierro que tiene numerosos usos para fabricación de utensilios de cocina, en el fundido del metal, la utilizan soldadores de arco eléctrico, de oxiacetileno, pulidores de plata, torneros</w:t>
      </w:r>
      <w:r>
        <w:rPr>
          <w:spacing w:val="-2"/>
          <w:sz w:val="20"/>
        </w:rPr>
        <w:t> </w:t>
      </w:r>
      <w:r>
        <w:rPr>
          <w:sz w:val="20"/>
        </w:rPr>
        <w:t>de</w:t>
      </w:r>
      <w:r>
        <w:rPr>
          <w:spacing w:val="-4"/>
          <w:sz w:val="20"/>
        </w:rPr>
        <w:t> </w:t>
      </w:r>
      <w:r>
        <w:rPr>
          <w:sz w:val="20"/>
        </w:rPr>
        <w:t>hierro y</w:t>
      </w:r>
      <w:r>
        <w:rPr>
          <w:spacing w:val="-7"/>
          <w:sz w:val="20"/>
        </w:rPr>
        <w:t> </w:t>
      </w:r>
      <w:r>
        <w:rPr>
          <w:sz w:val="20"/>
        </w:rPr>
        <w:t>afiladores</w:t>
      </w:r>
      <w:r>
        <w:rPr>
          <w:spacing w:val="-2"/>
          <w:sz w:val="20"/>
        </w:rPr>
        <w:t> </w:t>
      </w:r>
      <w:r>
        <w:rPr>
          <w:sz w:val="20"/>
        </w:rPr>
        <w:t>de</w:t>
      </w:r>
      <w:r>
        <w:rPr>
          <w:spacing w:val="-5"/>
          <w:sz w:val="20"/>
        </w:rPr>
        <w:t> </w:t>
      </w:r>
      <w:r>
        <w:rPr>
          <w:sz w:val="20"/>
        </w:rPr>
        <w:t>acero.</w:t>
      </w:r>
      <w:r>
        <w:rPr>
          <w:spacing w:val="-2"/>
          <w:sz w:val="20"/>
        </w:rPr>
        <w:t> </w:t>
      </w:r>
      <w:r>
        <w:rPr>
          <w:sz w:val="20"/>
        </w:rPr>
        <w:t>En</w:t>
      </w:r>
      <w:r>
        <w:rPr>
          <w:spacing w:val="-4"/>
          <w:sz w:val="20"/>
        </w:rPr>
        <w:t> </w:t>
      </w:r>
      <w:r>
        <w:rPr>
          <w:sz w:val="20"/>
        </w:rPr>
        <w:t>el</w:t>
      </w:r>
      <w:r>
        <w:rPr>
          <w:spacing w:val="-5"/>
          <w:sz w:val="20"/>
        </w:rPr>
        <w:t> </w:t>
      </w:r>
      <w:r>
        <w:rPr>
          <w:sz w:val="20"/>
        </w:rPr>
        <w:t>mismo</w:t>
      </w:r>
      <w:r>
        <w:rPr>
          <w:spacing w:val="-4"/>
          <w:sz w:val="20"/>
        </w:rPr>
        <w:t> </w:t>
      </w:r>
      <w:r>
        <w:rPr>
          <w:sz w:val="20"/>
        </w:rPr>
        <w:t>sentido,</w:t>
      </w:r>
      <w:r>
        <w:rPr>
          <w:spacing w:val="-2"/>
          <w:sz w:val="20"/>
        </w:rPr>
        <w:t> </w:t>
      </w:r>
      <w:r>
        <w:rPr>
          <w:sz w:val="20"/>
        </w:rPr>
        <w:t>personas</w:t>
      </w:r>
      <w:r>
        <w:rPr>
          <w:spacing w:val="-3"/>
          <w:sz w:val="20"/>
        </w:rPr>
        <w:t> </w:t>
      </w:r>
      <w:r>
        <w:rPr>
          <w:sz w:val="20"/>
        </w:rPr>
        <w:t>trabajadoras</w:t>
      </w:r>
      <w:r>
        <w:rPr>
          <w:spacing w:val="-3"/>
          <w:sz w:val="20"/>
        </w:rPr>
        <w:t> </w:t>
      </w:r>
      <w:r>
        <w:rPr>
          <w:sz w:val="20"/>
        </w:rPr>
        <w:t>expuestas</w:t>
      </w:r>
      <w:r>
        <w:rPr>
          <w:spacing w:val="-1"/>
          <w:sz w:val="20"/>
        </w:rPr>
        <w:t> </w:t>
      </w:r>
      <w:r>
        <w:rPr>
          <w:sz w:val="20"/>
        </w:rPr>
        <w:t>al bario que es utilizado para incrementar el volumen, como relleno del papel, textiles, cuero, jabón, hule, linóleo, cemento, plástico, cerámica y vidrio, también se utiliza como medio opaco para radiografías del aparato digestivo, urinario y respiratorio; en la industria química, para refinar azúcar, para elaborar insecticidas y rodenticidas.</w:t>
      </w:r>
    </w:p>
    <w:p>
      <w:pPr>
        <w:pStyle w:val="ListParagraph"/>
        <w:numPr>
          <w:ilvl w:val="2"/>
          <w:numId w:val="160"/>
        </w:numPr>
        <w:tabs>
          <w:tab w:pos="1045" w:val="left" w:leader="none"/>
          <w:tab w:pos="1058" w:val="left" w:leader="none"/>
        </w:tabs>
        <w:spacing w:line="240" w:lineRule="auto" w:before="227" w:after="0"/>
        <w:ind w:left="1058" w:right="335" w:hanging="432"/>
        <w:jc w:val="both"/>
        <w:rPr>
          <w:sz w:val="20"/>
        </w:rPr>
      </w:pPr>
      <w:r>
        <w:rPr>
          <w:sz w:val="20"/>
        </w:rPr>
        <w:t>Enfermedades producidas por la exposición de las personas trabajadoras a otros metales que incluyen</w:t>
      </w:r>
      <w:r>
        <w:rPr>
          <w:spacing w:val="-1"/>
          <w:sz w:val="20"/>
        </w:rPr>
        <w:t> </w:t>
      </w:r>
      <w:r>
        <w:rPr>
          <w:sz w:val="20"/>
        </w:rPr>
        <w:t>entre otros, al</w:t>
      </w:r>
      <w:r>
        <w:rPr>
          <w:spacing w:val="-2"/>
          <w:sz w:val="20"/>
        </w:rPr>
        <w:t> </w:t>
      </w:r>
      <w:r>
        <w:rPr>
          <w:sz w:val="20"/>
        </w:rPr>
        <w:t>cromo,</w:t>
      </w:r>
      <w:r>
        <w:rPr>
          <w:spacing w:val="-2"/>
          <w:sz w:val="20"/>
        </w:rPr>
        <w:t> </w:t>
      </w:r>
      <w:r>
        <w:rPr>
          <w:sz w:val="20"/>
        </w:rPr>
        <w:t>cobalto, níquel, molibdeno,</w:t>
      </w:r>
      <w:r>
        <w:rPr>
          <w:spacing w:val="-1"/>
          <w:sz w:val="20"/>
        </w:rPr>
        <w:t> </w:t>
      </w:r>
      <w:r>
        <w:rPr>
          <w:sz w:val="20"/>
        </w:rPr>
        <w:t>berilio, galio,</w:t>
      </w:r>
      <w:r>
        <w:rPr>
          <w:spacing w:val="-1"/>
          <w:sz w:val="20"/>
        </w:rPr>
        <w:t> </w:t>
      </w:r>
      <w:r>
        <w:rPr>
          <w:sz w:val="20"/>
        </w:rPr>
        <w:t>rutenio, aluminio, paladio, cobre, zinc, indio, manganeso, oro y plata, tales como: técnicos dentales; personas trabajadoras de la industria metalúrgica y de las aleaciones.</w:t>
      </w:r>
    </w:p>
    <w:p>
      <w:pPr>
        <w:pStyle w:val="ListParagraph"/>
        <w:numPr>
          <w:ilvl w:val="2"/>
          <w:numId w:val="160"/>
        </w:numPr>
        <w:tabs>
          <w:tab w:pos="1045" w:val="left" w:leader="none"/>
          <w:tab w:pos="1058" w:val="left" w:leader="none"/>
        </w:tabs>
        <w:spacing w:line="240" w:lineRule="auto" w:before="229" w:after="0"/>
        <w:ind w:left="1058" w:right="343"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82" w:val="left" w:leader="none"/>
        </w:tabs>
        <w:spacing w:line="240" w:lineRule="auto" w:before="229" w:after="0"/>
        <w:ind w:left="338" w:right="338" w:firstLine="288"/>
        <w:jc w:val="left"/>
      </w:pPr>
      <w:r>
        <w:rPr/>
        <w:t>Efectos tóxicos producidos por exposición masiva a gases o vapores, neblina o rocío de</w:t>
      </w:r>
      <w:r>
        <w:rPr>
          <w:spacing w:val="80"/>
        </w:rPr>
        <w:t> </w:t>
      </w:r>
      <w:r>
        <w:rPr/>
        <w:t>sustancias químicas</w:t>
      </w:r>
    </w:p>
    <w:p>
      <w:pPr>
        <w:pStyle w:val="BodyText"/>
        <w:spacing w:before="1"/>
        <w:rPr>
          <w:rFonts w:ascii="Arial"/>
          <w:b/>
        </w:rPr>
      </w:pPr>
    </w:p>
    <w:p>
      <w:pPr>
        <w:pStyle w:val="BodyText"/>
        <w:ind w:left="626"/>
      </w:pPr>
      <w:r>
        <w:rPr/>
        <w:t>Código</w:t>
      </w:r>
      <w:r>
        <w:rPr>
          <w:spacing w:val="-9"/>
        </w:rPr>
        <w:t> </w:t>
      </w:r>
      <w:r>
        <w:rPr/>
        <w:t>CIE-11:</w:t>
      </w:r>
      <w:r>
        <w:rPr>
          <w:spacing w:val="-7"/>
        </w:rPr>
        <w:t> </w:t>
      </w:r>
      <w:r>
        <w:rPr/>
        <w:t>NE61,</w:t>
      </w:r>
      <w:r>
        <w:rPr>
          <w:spacing w:val="-7"/>
        </w:rPr>
        <w:t> </w:t>
      </w:r>
      <w:r>
        <w:rPr>
          <w:spacing w:val="-4"/>
        </w:rPr>
        <w:t>PJ46</w:t>
      </w:r>
    </w:p>
    <w:p>
      <w:pPr>
        <w:pStyle w:val="Heading3"/>
        <w:numPr>
          <w:ilvl w:val="0"/>
          <w:numId w:val="166"/>
        </w:numPr>
        <w:tabs>
          <w:tab w:pos="857" w:val="left" w:leader="none"/>
        </w:tabs>
        <w:spacing w:line="240" w:lineRule="auto" w:before="229" w:after="0"/>
        <w:ind w:left="857" w:right="0" w:hanging="231"/>
        <w:jc w:val="left"/>
      </w:pPr>
      <w:r>
        <w:rPr/>
        <w:t>Sustancias</w:t>
      </w:r>
      <w:r>
        <w:rPr>
          <w:spacing w:val="-13"/>
        </w:rPr>
        <w:t> </w:t>
      </w:r>
      <w:r>
        <w:rPr/>
        <w:t>asfixiantes</w:t>
      </w:r>
      <w:r>
        <w:rPr>
          <w:spacing w:val="-13"/>
        </w:rPr>
        <w:t> </w:t>
      </w:r>
      <w:r>
        <w:rPr>
          <w:spacing w:val="-2"/>
        </w:rPr>
        <w:t>simples</w:t>
      </w:r>
    </w:p>
    <w:p>
      <w:pPr>
        <w:pStyle w:val="BodyText"/>
        <w:spacing w:before="1"/>
        <w:rPr>
          <w:rFonts w:ascii="Arial"/>
          <w:b/>
        </w:rPr>
      </w:pPr>
    </w:p>
    <w:p>
      <w:pPr>
        <w:pStyle w:val="ListParagraph"/>
        <w:numPr>
          <w:ilvl w:val="2"/>
          <w:numId w:val="160"/>
        </w:numPr>
        <w:tabs>
          <w:tab w:pos="1045" w:val="left" w:leader="none"/>
          <w:tab w:pos="1058" w:val="left" w:leader="none"/>
        </w:tabs>
        <w:spacing w:line="240" w:lineRule="auto" w:before="0" w:after="0"/>
        <w:ind w:left="1058" w:right="346" w:hanging="432"/>
        <w:jc w:val="both"/>
        <w:rPr>
          <w:sz w:val="20"/>
        </w:rPr>
      </w:pPr>
      <w:r>
        <w:rPr>
          <w:sz w:val="20"/>
        </w:rPr>
        <w:t>Personas trabajadoras expuestas al acetileno: bomberos y personas trabajadoras expuestas a la combustión incompleta de hidrocarburos y materiales orgánicos.</w:t>
      </w:r>
    </w:p>
    <w:p>
      <w:pPr>
        <w:pStyle w:val="ListParagraph"/>
        <w:spacing w:after="0" w:line="240" w:lineRule="auto"/>
        <w:jc w:val="both"/>
        <w:rPr>
          <w:sz w:val="20"/>
        </w:rPr>
        <w:sectPr>
          <w:pgSz w:w="12240" w:h="15840"/>
          <w:pgMar w:header="724" w:footer="712" w:top="1880" w:bottom="900" w:left="1080" w:right="1080"/>
        </w:sectPr>
      </w:pPr>
    </w:p>
    <w:p>
      <w:pPr>
        <w:pStyle w:val="BodyText"/>
      </w:pPr>
    </w:p>
    <w:p>
      <w:pPr>
        <w:pStyle w:val="BodyText"/>
        <w:spacing w:before="64"/>
      </w:pPr>
    </w:p>
    <w:p>
      <w:pPr>
        <w:pStyle w:val="ListParagraph"/>
        <w:numPr>
          <w:ilvl w:val="2"/>
          <w:numId w:val="160"/>
        </w:numPr>
        <w:tabs>
          <w:tab w:pos="1045" w:val="left" w:leader="none"/>
          <w:tab w:pos="1058" w:val="left" w:leader="none"/>
        </w:tabs>
        <w:spacing w:line="240" w:lineRule="auto" w:before="0" w:after="0"/>
        <w:ind w:left="1058" w:right="340" w:hanging="432"/>
        <w:jc w:val="both"/>
        <w:rPr>
          <w:sz w:val="20"/>
        </w:rPr>
      </w:pPr>
      <w:r>
        <w:rPr>
          <w:sz w:val="20"/>
        </w:rPr>
        <w:t>Personas trabajadoras expuestas al dióxido de carbón: obreros que trabajan en procesos de oxidación en ambientes confinados, limpieza, reparación de cubas, producción de amoniaco y cianamida cálcica.</w:t>
      </w:r>
    </w:p>
    <w:p>
      <w:pPr>
        <w:pStyle w:val="ListParagraph"/>
        <w:numPr>
          <w:ilvl w:val="2"/>
          <w:numId w:val="160"/>
        </w:numPr>
        <w:tabs>
          <w:tab w:pos="1045" w:val="left" w:leader="none"/>
          <w:tab w:pos="1058" w:val="left" w:leader="none"/>
        </w:tabs>
        <w:spacing w:line="240" w:lineRule="auto" w:before="229" w:after="0"/>
        <w:ind w:left="1058" w:right="340" w:hanging="432"/>
        <w:jc w:val="both"/>
        <w:rPr>
          <w:sz w:val="20"/>
        </w:rPr>
      </w:pPr>
      <w:r>
        <w:rPr>
          <w:sz w:val="20"/>
        </w:rPr>
        <w:t>Personas trabajadoras expuestas al butano, etano, etileno, metano, propano propileno. Personas trabajadoras de la industria de la producción y purificación del acetileno, soldadores, de la industria química y petroquímica. Personas trabajadoras expuestas a gases nobles, tales como: helio, neón, radón, xenón, argón, criptón. Personas trabajadoras de la industria refrigerante o criogénica, en la elaboración de superconductores, bombillas, focos, lámparas de halógeno y fabricación de circuitos integrados.</w:t>
      </w:r>
    </w:p>
    <w:p>
      <w:pPr>
        <w:pStyle w:val="BodyText"/>
      </w:pPr>
    </w:p>
    <w:p>
      <w:pPr>
        <w:pStyle w:val="ListParagraph"/>
        <w:numPr>
          <w:ilvl w:val="2"/>
          <w:numId w:val="160"/>
        </w:numPr>
        <w:tabs>
          <w:tab w:pos="1045" w:val="left" w:leader="none"/>
          <w:tab w:pos="1058" w:val="left" w:leader="none"/>
        </w:tabs>
        <w:spacing w:line="240" w:lineRule="auto" w:before="0" w:after="0"/>
        <w:ind w:left="1058" w:right="342" w:hanging="432"/>
        <w:jc w:val="both"/>
        <w:rPr>
          <w:sz w:val="20"/>
        </w:rPr>
      </w:pPr>
      <w:r>
        <w:rPr>
          <w:sz w:val="20"/>
        </w:rPr>
        <w:t>Personas trabajadoras expuestas al nitrógeno: personas trabajadoras de la industria del petróleo, yacimientos de carbón, gas líquido, hornos de carbón coque e industria petroquímica.</w:t>
      </w:r>
    </w:p>
    <w:p>
      <w:pPr>
        <w:pStyle w:val="ListParagraph"/>
        <w:numPr>
          <w:ilvl w:val="2"/>
          <w:numId w:val="160"/>
        </w:numPr>
        <w:tabs>
          <w:tab w:pos="1045" w:val="left" w:leader="none"/>
          <w:tab w:pos="1058" w:val="left" w:leader="none"/>
        </w:tabs>
        <w:spacing w:line="240" w:lineRule="auto" w:before="229" w:after="0"/>
        <w:ind w:left="1058" w:right="340" w:hanging="432"/>
        <w:jc w:val="both"/>
        <w:rPr>
          <w:sz w:val="20"/>
        </w:rPr>
      </w:pPr>
      <w:r>
        <w:rPr>
          <w:sz w:val="20"/>
        </w:rPr>
        <w:t>Personas trabajadoras que manejan hidrógeno, tales como las personas trabajadoras expuestas durante la combustión o fermentación de compuestos de carbono, gasificación de aguas minerales y preparación de nieve carbónica, poceros y letrineros.</w:t>
      </w:r>
    </w:p>
    <w:p>
      <w:pPr>
        <w:pStyle w:val="ListParagraph"/>
        <w:numPr>
          <w:ilvl w:val="2"/>
          <w:numId w:val="160"/>
        </w:numPr>
        <w:tabs>
          <w:tab w:pos="1045" w:val="left" w:leader="none"/>
          <w:tab w:pos="1058" w:val="left" w:leader="none"/>
        </w:tabs>
        <w:spacing w:line="240" w:lineRule="auto" w:before="228" w:after="0"/>
        <w:ind w:left="1058" w:right="351" w:hanging="432"/>
        <w:jc w:val="both"/>
        <w:rPr>
          <w:sz w:val="20"/>
        </w:rPr>
      </w:pPr>
      <w:r>
        <w:rPr>
          <w:sz w:val="20"/>
        </w:rPr>
        <w:t>Personas trabajadoras expuestas al hexafluoruro de azufre, que con motivo del trabajo tengan exposición a estos gases.</w:t>
      </w:r>
    </w:p>
    <w:p>
      <w:pPr>
        <w:pStyle w:val="Heading3"/>
        <w:numPr>
          <w:ilvl w:val="0"/>
          <w:numId w:val="166"/>
        </w:numPr>
        <w:tabs>
          <w:tab w:pos="869" w:val="left" w:leader="none"/>
        </w:tabs>
        <w:spacing w:line="240" w:lineRule="auto" w:before="227" w:after="0"/>
        <w:ind w:left="869" w:right="0" w:hanging="243"/>
        <w:jc w:val="left"/>
      </w:pPr>
      <w:r>
        <w:rPr/>
        <w:t>Sustancias</w:t>
      </w:r>
      <w:r>
        <w:rPr>
          <w:spacing w:val="-12"/>
        </w:rPr>
        <w:t> </w:t>
      </w:r>
      <w:r>
        <w:rPr/>
        <w:t>asfixiantes</w:t>
      </w:r>
      <w:r>
        <w:rPr>
          <w:spacing w:val="-8"/>
        </w:rPr>
        <w:t> </w:t>
      </w:r>
      <w:r>
        <w:rPr>
          <w:spacing w:val="-2"/>
        </w:rPr>
        <w:t>químicas</w:t>
      </w:r>
    </w:p>
    <w:p>
      <w:pPr>
        <w:pStyle w:val="BodyText"/>
        <w:spacing w:before="2"/>
        <w:rPr>
          <w:rFonts w:ascii="Arial"/>
          <w:b/>
        </w:rPr>
      </w:pPr>
    </w:p>
    <w:p>
      <w:pPr>
        <w:pStyle w:val="ListParagraph"/>
        <w:numPr>
          <w:ilvl w:val="2"/>
          <w:numId w:val="160"/>
        </w:numPr>
        <w:tabs>
          <w:tab w:pos="1045" w:val="left" w:leader="none"/>
          <w:tab w:pos="1058" w:val="left" w:leader="none"/>
        </w:tabs>
        <w:spacing w:line="240" w:lineRule="auto" w:before="0" w:after="0"/>
        <w:ind w:left="1058" w:right="343" w:hanging="432"/>
        <w:jc w:val="both"/>
        <w:rPr>
          <w:sz w:val="20"/>
        </w:rPr>
      </w:pPr>
      <w:r>
        <w:rPr>
          <w:sz w:val="20"/>
        </w:rPr>
        <w:t>Personas trabajadoras expuestas al cianuro de hidrógeno derivado de la galvanoplastia, metalurgia, producción de sustancias químicas orgánicas, revelado de fotografías, manufactura de plásticos, fumigación de barcos y en algunos procesos de la minería.</w:t>
      </w:r>
    </w:p>
    <w:p>
      <w:pPr>
        <w:pStyle w:val="ListParagraph"/>
        <w:numPr>
          <w:ilvl w:val="2"/>
          <w:numId w:val="160"/>
        </w:numPr>
        <w:tabs>
          <w:tab w:pos="1045" w:val="left" w:leader="none"/>
          <w:tab w:pos="1058" w:val="left" w:leader="none"/>
        </w:tabs>
        <w:spacing w:line="240" w:lineRule="auto" w:before="227" w:after="0"/>
        <w:ind w:left="1058" w:right="339" w:hanging="432"/>
        <w:jc w:val="both"/>
        <w:rPr>
          <w:sz w:val="20"/>
        </w:rPr>
      </w:pPr>
      <w:r>
        <w:rPr>
          <w:sz w:val="20"/>
        </w:rPr>
        <w:t>Personas trabajadoras expuestas al</w:t>
      </w:r>
      <w:r>
        <w:rPr>
          <w:spacing w:val="-2"/>
          <w:sz w:val="20"/>
        </w:rPr>
        <w:t> </w:t>
      </w:r>
      <w:r>
        <w:rPr>
          <w:sz w:val="20"/>
        </w:rPr>
        <w:t>monóxido</w:t>
      </w:r>
      <w:r>
        <w:rPr>
          <w:spacing w:val="-1"/>
          <w:sz w:val="20"/>
        </w:rPr>
        <w:t> </w:t>
      </w:r>
      <w:r>
        <w:rPr>
          <w:sz w:val="20"/>
        </w:rPr>
        <w:t>de</w:t>
      </w:r>
      <w:r>
        <w:rPr>
          <w:spacing w:val="-1"/>
          <w:sz w:val="20"/>
        </w:rPr>
        <w:t> </w:t>
      </w:r>
      <w:r>
        <w:rPr>
          <w:sz w:val="20"/>
        </w:rPr>
        <w:t>carbón. Personas trabajadoras en</w:t>
      </w:r>
      <w:r>
        <w:rPr>
          <w:spacing w:val="-1"/>
          <w:sz w:val="20"/>
        </w:rPr>
        <w:t> </w:t>
      </w:r>
      <w:r>
        <w:rPr>
          <w:sz w:val="20"/>
        </w:rPr>
        <w:t>contacto</w:t>
      </w:r>
      <w:r>
        <w:rPr>
          <w:spacing w:val="-1"/>
          <w:sz w:val="20"/>
        </w:rPr>
        <w:t> </w:t>
      </w:r>
      <w:r>
        <w:rPr>
          <w:sz w:val="20"/>
        </w:rPr>
        <w:t>con altos hornos, bomberos, operadores de calderas, calentadores de gas en espacios pequeños y mal ventilados, combustiones que producen gran cantidad de monóxido de carbono con combustiones</w:t>
      </w:r>
      <w:r>
        <w:rPr>
          <w:spacing w:val="-1"/>
          <w:sz w:val="20"/>
        </w:rPr>
        <w:t> </w:t>
      </w:r>
      <w:r>
        <w:rPr>
          <w:sz w:val="20"/>
        </w:rPr>
        <w:t>de vehículos</w:t>
      </w:r>
      <w:r>
        <w:rPr>
          <w:spacing w:val="-1"/>
          <w:sz w:val="20"/>
        </w:rPr>
        <w:t> </w:t>
      </w:r>
      <w:r>
        <w:rPr>
          <w:sz w:val="20"/>
        </w:rPr>
        <w:t>automotores,</w:t>
      </w:r>
      <w:r>
        <w:rPr>
          <w:spacing w:val="-2"/>
          <w:sz w:val="20"/>
        </w:rPr>
        <w:t> </w:t>
      </w:r>
      <w:r>
        <w:rPr>
          <w:sz w:val="20"/>
        </w:rPr>
        <w:t>gas de agua, gas</w:t>
      </w:r>
      <w:r>
        <w:rPr>
          <w:spacing w:val="-1"/>
          <w:sz w:val="20"/>
        </w:rPr>
        <w:t> </w:t>
      </w:r>
      <w:r>
        <w:rPr>
          <w:sz w:val="20"/>
        </w:rPr>
        <w:t>de hulla,</w:t>
      </w:r>
      <w:r>
        <w:rPr>
          <w:spacing w:val="-2"/>
          <w:sz w:val="20"/>
        </w:rPr>
        <w:t> </w:t>
      </w:r>
      <w:r>
        <w:rPr>
          <w:sz w:val="20"/>
        </w:rPr>
        <w:t>gas</w:t>
      </w:r>
      <w:r>
        <w:rPr>
          <w:spacing w:val="-1"/>
          <w:sz w:val="20"/>
        </w:rPr>
        <w:t> </w:t>
      </w:r>
      <w:r>
        <w:rPr>
          <w:sz w:val="20"/>
        </w:rPr>
        <w:t>pobre</w:t>
      </w:r>
      <w:r>
        <w:rPr>
          <w:spacing w:val="-2"/>
          <w:sz w:val="20"/>
        </w:rPr>
        <w:t> </w:t>
      </w:r>
      <w:r>
        <w:rPr>
          <w:sz w:val="20"/>
        </w:rPr>
        <w:t>hornos y</w:t>
      </w:r>
      <w:r>
        <w:rPr>
          <w:spacing w:val="-5"/>
          <w:sz w:val="20"/>
        </w:rPr>
        <w:t> </w:t>
      </w:r>
      <w:r>
        <w:rPr>
          <w:sz w:val="20"/>
        </w:rPr>
        <w:t>espacios confinados, mineros, motores de combustión interna y todos los casos de combustión incompleta de carbono.</w:t>
      </w:r>
    </w:p>
    <w:p>
      <w:pPr>
        <w:pStyle w:val="BodyText"/>
      </w:pPr>
    </w:p>
    <w:p>
      <w:pPr>
        <w:pStyle w:val="ListParagraph"/>
        <w:numPr>
          <w:ilvl w:val="2"/>
          <w:numId w:val="160"/>
        </w:numPr>
        <w:tabs>
          <w:tab w:pos="1045" w:val="left" w:leader="none"/>
          <w:tab w:pos="1058" w:val="left" w:leader="none"/>
        </w:tabs>
        <w:spacing w:line="240" w:lineRule="auto" w:before="0" w:after="0"/>
        <w:ind w:left="1058" w:right="333" w:hanging="432"/>
        <w:jc w:val="both"/>
        <w:rPr>
          <w:sz w:val="20"/>
        </w:rPr>
      </w:pPr>
      <w:r>
        <w:rPr>
          <w:sz w:val="20"/>
        </w:rPr>
        <w:t>Personas trabajadoras expuestas al sulfuro de hidrógeno. Personas trabajadoras en almacenes de</w:t>
      </w:r>
      <w:r>
        <w:rPr>
          <w:spacing w:val="-3"/>
          <w:sz w:val="20"/>
        </w:rPr>
        <w:t> </w:t>
      </w:r>
      <w:r>
        <w:rPr>
          <w:sz w:val="20"/>
        </w:rPr>
        <w:t>excremento</w:t>
      </w:r>
      <w:r>
        <w:rPr>
          <w:spacing w:val="-2"/>
          <w:sz w:val="20"/>
        </w:rPr>
        <w:t> </w:t>
      </w:r>
      <w:r>
        <w:rPr>
          <w:sz w:val="20"/>
        </w:rPr>
        <w:t>de animales</w:t>
      </w:r>
      <w:r>
        <w:rPr>
          <w:spacing w:val="-1"/>
          <w:sz w:val="20"/>
        </w:rPr>
        <w:t> </w:t>
      </w:r>
      <w:r>
        <w:rPr>
          <w:sz w:val="20"/>
        </w:rPr>
        <w:t>para</w:t>
      </w:r>
      <w:r>
        <w:rPr>
          <w:spacing w:val="-2"/>
          <w:sz w:val="20"/>
        </w:rPr>
        <w:t> </w:t>
      </w:r>
      <w:r>
        <w:rPr>
          <w:sz w:val="20"/>
        </w:rPr>
        <w:t>abono,</w:t>
      </w:r>
      <w:r>
        <w:rPr>
          <w:spacing w:val="-2"/>
          <w:sz w:val="20"/>
        </w:rPr>
        <w:t> </w:t>
      </w:r>
      <w:r>
        <w:rPr>
          <w:sz w:val="20"/>
        </w:rPr>
        <w:t>bodegas</w:t>
      </w:r>
      <w:r>
        <w:rPr>
          <w:spacing w:val="-1"/>
          <w:sz w:val="20"/>
        </w:rPr>
        <w:t> </w:t>
      </w:r>
      <w:r>
        <w:rPr>
          <w:sz w:val="20"/>
        </w:rPr>
        <w:t>pesqueras, de proyectos</w:t>
      </w:r>
      <w:r>
        <w:rPr>
          <w:spacing w:val="-1"/>
          <w:sz w:val="20"/>
        </w:rPr>
        <w:t> </w:t>
      </w:r>
      <w:r>
        <w:rPr>
          <w:sz w:val="20"/>
        </w:rPr>
        <w:t>de excavación para la extracción de petróleo y gas, espacios con materia orgánica en descomposición, industria de productos metálicos como candados de bronce, orfebrería en bronce, plantas de tratamiento de aguas residuales, en contacto con blanqueadores, combustión de azufre, conservación de alimentos, estampadores, fabricación de ácido sulfúrico, fumigadores, expuestas a gases humos</w:t>
      </w:r>
      <w:r>
        <w:rPr>
          <w:spacing w:val="40"/>
          <w:sz w:val="20"/>
        </w:rPr>
        <w:t> </w:t>
      </w:r>
      <w:r>
        <w:rPr>
          <w:sz w:val="20"/>
        </w:rPr>
        <w:t>y vapores de sulfuro de hidrógeno, mineros que trabajan en las minas de azufre, papeles de colores,</w:t>
      </w:r>
      <w:r>
        <w:rPr>
          <w:spacing w:val="-4"/>
          <w:sz w:val="20"/>
        </w:rPr>
        <w:t> </w:t>
      </w:r>
      <w:r>
        <w:rPr>
          <w:sz w:val="20"/>
        </w:rPr>
        <w:t>preparación</w:t>
      </w:r>
      <w:r>
        <w:rPr>
          <w:spacing w:val="-3"/>
          <w:sz w:val="20"/>
        </w:rPr>
        <w:t> </w:t>
      </w:r>
      <w:r>
        <w:rPr>
          <w:sz w:val="20"/>
        </w:rPr>
        <w:t>de</w:t>
      </w:r>
      <w:r>
        <w:rPr>
          <w:spacing w:val="-5"/>
          <w:sz w:val="20"/>
        </w:rPr>
        <w:t> </w:t>
      </w:r>
      <w:r>
        <w:rPr>
          <w:sz w:val="20"/>
        </w:rPr>
        <w:t>anhídrido</w:t>
      </w:r>
      <w:r>
        <w:rPr>
          <w:spacing w:val="-4"/>
          <w:sz w:val="20"/>
        </w:rPr>
        <w:t> </w:t>
      </w:r>
      <w:r>
        <w:rPr>
          <w:sz w:val="20"/>
        </w:rPr>
        <w:t>sulfuroso</w:t>
      </w:r>
      <w:r>
        <w:rPr>
          <w:spacing w:val="-4"/>
          <w:sz w:val="20"/>
        </w:rPr>
        <w:t> </w:t>
      </w:r>
      <w:r>
        <w:rPr>
          <w:sz w:val="20"/>
        </w:rPr>
        <w:t>en</w:t>
      </w:r>
      <w:r>
        <w:rPr>
          <w:spacing w:val="-4"/>
          <w:sz w:val="20"/>
        </w:rPr>
        <w:t> </w:t>
      </w:r>
      <w:r>
        <w:rPr>
          <w:sz w:val="20"/>
        </w:rPr>
        <w:t>estado</w:t>
      </w:r>
      <w:r>
        <w:rPr>
          <w:spacing w:val="-2"/>
          <w:sz w:val="20"/>
        </w:rPr>
        <w:t> </w:t>
      </w:r>
      <w:r>
        <w:rPr>
          <w:sz w:val="20"/>
        </w:rPr>
        <w:t>gaseoso</w:t>
      </w:r>
      <w:r>
        <w:rPr>
          <w:spacing w:val="-2"/>
          <w:sz w:val="20"/>
        </w:rPr>
        <w:t> </w:t>
      </w:r>
      <w:r>
        <w:rPr>
          <w:sz w:val="20"/>
        </w:rPr>
        <w:t>o</w:t>
      </w:r>
      <w:r>
        <w:rPr>
          <w:spacing w:val="-4"/>
          <w:sz w:val="20"/>
        </w:rPr>
        <w:t> </w:t>
      </w:r>
      <w:r>
        <w:rPr>
          <w:sz w:val="20"/>
        </w:rPr>
        <w:t>líquido,</w:t>
      </w:r>
      <w:r>
        <w:rPr>
          <w:spacing w:val="-4"/>
          <w:sz w:val="20"/>
        </w:rPr>
        <w:t> </w:t>
      </w:r>
      <w:r>
        <w:rPr>
          <w:sz w:val="20"/>
        </w:rPr>
        <w:t>refrigeración y</w:t>
      </w:r>
      <w:r>
        <w:rPr>
          <w:spacing w:val="-7"/>
          <w:sz w:val="20"/>
        </w:rPr>
        <w:t> </w:t>
      </w:r>
      <w:r>
        <w:rPr>
          <w:sz w:val="20"/>
        </w:rPr>
        <w:t>tintorería.</w:t>
      </w:r>
    </w:p>
    <w:p>
      <w:pPr>
        <w:pStyle w:val="ListParagraph"/>
        <w:numPr>
          <w:ilvl w:val="2"/>
          <w:numId w:val="160"/>
        </w:numPr>
        <w:tabs>
          <w:tab w:pos="1045" w:val="left" w:leader="none"/>
          <w:tab w:pos="1058" w:val="left" w:leader="none"/>
        </w:tabs>
        <w:spacing w:line="240" w:lineRule="auto" w:before="229" w:after="0"/>
        <w:ind w:left="1058" w:right="340" w:hanging="432"/>
        <w:jc w:val="both"/>
        <w:rPr>
          <w:sz w:val="20"/>
        </w:rPr>
      </w:pPr>
      <w:r>
        <w:rPr>
          <w:sz w:val="20"/>
        </w:rPr>
        <w:t>Personas trabajadoras que tengan exposición de forma directa a sustancias que generen asfixia química</w:t>
      </w:r>
      <w:r>
        <w:rPr>
          <w:spacing w:val="-4"/>
          <w:sz w:val="20"/>
        </w:rPr>
        <w:t> </w:t>
      </w:r>
      <w:r>
        <w:rPr>
          <w:sz w:val="20"/>
        </w:rPr>
        <w:t>en</w:t>
      </w:r>
      <w:r>
        <w:rPr>
          <w:spacing w:val="-2"/>
          <w:sz w:val="20"/>
        </w:rPr>
        <w:t> </w:t>
      </w:r>
      <w:r>
        <w:rPr>
          <w:sz w:val="20"/>
        </w:rPr>
        <w:t>los</w:t>
      </w:r>
      <w:r>
        <w:rPr>
          <w:spacing w:val="-1"/>
          <w:sz w:val="20"/>
        </w:rPr>
        <w:t> </w:t>
      </w:r>
      <w:r>
        <w:rPr>
          <w:sz w:val="20"/>
        </w:rPr>
        <w:t>lugares</w:t>
      </w:r>
      <w:r>
        <w:rPr>
          <w:spacing w:val="-1"/>
          <w:sz w:val="20"/>
        </w:rPr>
        <w:t> </w:t>
      </w:r>
      <w:r>
        <w:rPr>
          <w:sz w:val="20"/>
        </w:rPr>
        <w:t>de</w:t>
      </w:r>
      <w:r>
        <w:rPr>
          <w:spacing w:val="-2"/>
          <w:sz w:val="20"/>
        </w:rPr>
        <w:t> </w:t>
      </w:r>
      <w:r>
        <w:rPr>
          <w:sz w:val="20"/>
        </w:rPr>
        <w:t>trabajo y</w:t>
      </w:r>
      <w:r>
        <w:rPr>
          <w:spacing w:val="-5"/>
          <w:sz w:val="20"/>
        </w:rPr>
        <w:t> </w:t>
      </w:r>
      <w:r>
        <w:rPr>
          <w:sz w:val="20"/>
        </w:rPr>
        <w:t>a</w:t>
      </w:r>
      <w:r>
        <w:rPr>
          <w:spacing w:val="-2"/>
          <w:sz w:val="20"/>
        </w:rPr>
        <w:t> </w:t>
      </w:r>
      <w:r>
        <w:rPr>
          <w:sz w:val="20"/>
        </w:rPr>
        <w:t>los</w:t>
      </w:r>
      <w:r>
        <w:rPr>
          <w:spacing w:val="-1"/>
          <w:sz w:val="20"/>
        </w:rPr>
        <w:t> </w:t>
      </w:r>
      <w:r>
        <w:rPr>
          <w:sz w:val="20"/>
        </w:rPr>
        <w:t>agentes</w:t>
      </w:r>
      <w:r>
        <w:rPr>
          <w:spacing w:val="-1"/>
          <w:sz w:val="20"/>
        </w:rPr>
        <w:t> </w:t>
      </w:r>
      <w:r>
        <w:rPr>
          <w:sz w:val="20"/>
        </w:rPr>
        <w:t>asfixiantes</w:t>
      </w:r>
      <w:r>
        <w:rPr>
          <w:spacing w:val="-3"/>
          <w:sz w:val="20"/>
        </w:rPr>
        <w:t> </w:t>
      </w:r>
      <w:r>
        <w:rPr>
          <w:sz w:val="20"/>
        </w:rPr>
        <w:t>químicos</w:t>
      </w:r>
      <w:r>
        <w:rPr>
          <w:spacing w:val="-3"/>
          <w:sz w:val="20"/>
        </w:rPr>
        <w:t> </w:t>
      </w:r>
      <w:r>
        <w:rPr>
          <w:sz w:val="20"/>
        </w:rPr>
        <w:t>en</w:t>
      </w:r>
      <w:r>
        <w:rPr>
          <w:spacing w:val="-5"/>
          <w:sz w:val="20"/>
        </w:rPr>
        <w:t> </w:t>
      </w:r>
      <w:r>
        <w:rPr>
          <w:sz w:val="20"/>
        </w:rPr>
        <w:t>grandes</w:t>
      </w:r>
      <w:r>
        <w:rPr>
          <w:spacing w:val="-3"/>
          <w:sz w:val="20"/>
        </w:rPr>
        <w:t> </w:t>
      </w:r>
      <w:r>
        <w:rPr>
          <w:sz w:val="20"/>
        </w:rPr>
        <w:t>cantidades</w:t>
      </w:r>
      <w:r>
        <w:rPr>
          <w:spacing w:val="-3"/>
          <w:sz w:val="20"/>
        </w:rPr>
        <w:t> </w:t>
      </w:r>
      <w:r>
        <w:rPr>
          <w:sz w:val="20"/>
        </w:rPr>
        <w:t>que compiten con el oxígeno desplazándolo en la sangre arterial.</w:t>
      </w:r>
    </w:p>
    <w:p>
      <w:pPr>
        <w:pStyle w:val="ListParagraph"/>
        <w:numPr>
          <w:ilvl w:val="2"/>
          <w:numId w:val="160"/>
        </w:numPr>
        <w:tabs>
          <w:tab w:pos="1045" w:val="left" w:leader="none"/>
          <w:tab w:pos="1058" w:val="left" w:leader="none"/>
        </w:tabs>
        <w:spacing w:line="240" w:lineRule="auto" w:before="228" w:after="0"/>
        <w:ind w:left="1058" w:right="33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w:t>
      </w:r>
      <w:r>
        <w:rPr>
          <w:spacing w:val="36"/>
          <w:sz w:val="20"/>
        </w:rPr>
        <w:t> </w:t>
      </w:r>
      <w:r>
        <w:rPr>
          <w:sz w:val="20"/>
        </w:rPr>
        <w:t>de</w:t>
      </w:r>
      <w:r>
        <w:rPr>
          <w:spacing w:val="38"/>
          <w:sz w:val="20"/>
        </w:rPr>
        <w:t> </w:t>
      </w:r>
      <w:r>
        <w:rPr>
          <w:sz w:val="20"/>
        </w:rPr>
        <w:t>las</w:t>
      </w:r>
      <w:r>
        <w:rPr>
          <w:spacing w:val="37"/>
          <w:sz w:val="20"/>
        </w:rPr>
        <w:t> </w:t>
      </w:r>
      <w:r>
        <w:rPr>
          <w:sz w:val="20"/>
        </w:rPr>
        <w:t>Cédulas</w:t>
      </w:r>
      <w:r>
        <w:rPr>
          <w:spacing w:val="39"/>
          <w:sz w:val="20"/>
        </w:rPr>
        <w:t> </w:t>
      </w:r>
      <w:r>
        <w:rPr>
          <w:sz w:val="20"/>
        </w:rPr>
        <w:t>para</w:t>
      </w:r>
      <w:r>
        <w:rPr>
          <w:spacing w:val="36"/>
          <w:sz w:val="20"/>
        </w:rPr>
        <w:t> </w:t>
      </w:r>
      <w:r>
        <w:rPr>
          <w:sz w:val="20"/>
        </w:rPr>
        <w:t>la</w:t>
      </w:r>
      <w:r>
        <w:rPr>
          <w:spacing w:val="36"/>
          <w:sz w:val="20"/>
        </w:rPr>
        <w:t> </w:t>
      </w:r>
      <w:r>
        <w:rPr>
          <w:sz w:val="20"/>
        </w:rPr>
        <w:t>Valuación</w:t>
      </w:r>
      <w:r>
        <w:rPr>
          <w:spacing w:val="36"/>
          <w:sz w:val="20"/>
        </w:rPr>
        <w:t> </w:t>
      </w:r>
      <w:r>
        <w:rPr>
          <w:sz w:val="20"/>
        </w:rPr>
        <w:t>de</w:t>
      </w:r>
      <w:r>
        <w:rPr>
          <w:spacing w:val="36"/>
          <w:sz w:val="20"/>
        </w:rPr>
        <w:t> </w:t>
      </w:r>
      <w:r>
        <w:rPr>
          <w:sz w:val="20"/>
        </w:rPr>
        <w:t>las</w:t>
      </w:r>
      <w:r>
        <w:rPr>
          <w:spacing w:val="39"/>
          <w:sz w:val="20"/>
        </w:rPr>
        <w:t> </w:t>
      </w:r>
      <w:r>
        <w:rPr>
          <w:sz w:val="20"/>
        </w:rPr>
        <w:t>Enfermedades</w:t>
      </w:r>
      <w:r>
        <w:rPr>
          <w:spacing w:val="37"/>
          <w:sz w:val="20"/>
        </w:rPr>
        <w:t> </w:t>
      </w:r>
      <w:r>
        <w:rPr>
          <w:sz w:val="20"/>
        </w:rPr>
        <w:t>de</w:t>
      </w:r>
      <w:r>
        <w:rPr>
          <w:spacing w:val="35"/>
          <w:sz w:val="20"/>
        </w:rPr>
        <w:t> </w:t>
      </w:r>
      <w:r>
        <w:rPr>
          <w:sz w:val="20"/>
        </w:rPr>
        <w:t>Trabajo,</w:t>
      </w:r>
      <w:r>
        <w:rPr>
          <w:spacing w:val="38"/>
          <w:sz w:val="20"/>
        </w:rPr>
        <w:t> </w:t>
      </w:r>
      <w:r>
        <w:rPr>
          <w:sz w:val="20"/>
        </w:rPr>
        <w:t>que</w:t>
      </w:r>
      <w:r>
        <w:rPr>
          <w:spacing w:val="36"/>
          <w:sz w:val="20"/>
        </w:rPr>
        <w:t> </w:t>
      </w:r>
      <w:r>
        <w:rPr>
          <w:sz w:val="20"/>
        </w:rPr>
        <w:t>tengan</w:t>
      </w:r>
      <w:r>
        <w:rPr>
          <w:spacing w:val="35"/>
          <w:sz w:val="20"/>
        </w:rPr>
        <w:t> </w:t>
      </w:r>
      <w:r>
        <w:rPr>
          <w:sz w:val="20"/>
        </w:rPr>
        <w:t>su</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058"/>
      </w:pPr>
      <w:r>
        <w:rPr/>
        <w:t>origen</w:t>
      </w:r>
      <w:r>
        <w:rPr>
          <w:spacing w:val="32"/>
        </w:rPr>
        <w:t> </w:t>
      </w:r>
      <w:r>
        <w:rPr/>
        <w:t>o</w:t>
      </w:r>
      <w:r>
        <w:rPr>
          <w:spacing w:val="34"/>
        </w:rPr>
        <w:t> </w:t>
      </w:r>
      <w:r>
        <w:rPr/>
        <w:t>con</w:t>
      </w:r>
      <w:r>
        <w:rPr>
          <w:spacing w:val="34"/>
        </w:rPr>
        <w:t> </w:t>
      </w:r>
      <w:r>
        <w:rPr/>
        <w:t>motivo</w:t>
      </w:r>
      <w:r>
        <w:rPr>
          <w:spacing w:val="34"/>
        </w:rPr>
        <w:t> </w:t>
      </w:r>
      <w:r>
        <w:rPr/>
        <w:t>del</w:t>
      </w:r>
      <w:r>
        <w:rPr>
          <w:spacing w:val="31"/>
        </w:rPr>
        <w:t> </w:t>
      </w:r>
      <w:r>
        <w:rPr/>
        <w:t>trabajo</w:t>
      </w:r>
      <w:r>
        <w:rPr>
          <w:spacing w:val="34"/>
        </w:rPr>
        <w:t> </w:t>
      </w:r>
      <w:r>
        <w:rPr/>
        <w:t>o</w:t>
      </w:r>
      <w:r>
        <w:rPr>
          <w:spacing w:val="36"/>
        </w:rPr>
        <w:t> </w:t>
      </w:r>
      <w:r>
        <w:rPr/>
        <w:t>en</w:t>
      </w:r>
      <w:r>
        <w:rPr>
          <w:spacing w:val="34"/>
        </w:rPr>
        <w:t> </w:t>
      </w:r>
      <w:r>
        <w:rPr/>
        <w:t>el</w:t>
      </w:r>
      <w:r>
        <w:rPr>
          <w:spacing w:val="33"/>
        </w:rPr>
        <w:t> </w:t>
      </w:r>
      <w:r>
        <w:rPr/>
        <w:t>medio</w:t>
      </w:r>
      <w:r>
        <w:rPr>
          <w:spacing w:val="32"/>
        </w:rPr>
        <w:t> </w:t>
      </w:r>
      <w:r>
        <w:rPr/>
        <w:t>que</w:t>
      </w:r>
      <w:r>
        <w:rPr>
          <w:spacing w:val="34"/>
        </w:rPr>
        <w:t> </w:t>
      </w:r>
      <w:r>
        <w:rPr/>
        <w:t>la</w:t>
      </w:r>
      <w:r>
        <w:rPr>
          <w:spacing w:val="32"/>
        </w:rPr>
        <w:t> </w:t>
      </w:r>
      <w:r>
        <w:rPr/>
        <w:t>persona</w:t>
      </w:r>
      <w:r>
        <w:rPr>
          <w:spacing w:val="34"/>
        </w:rPr>
        <w:t> </w:t>
      </w:r>
      <w:r>
        <w:rPr/>
        <w:t>trabajadora</w:t>
      </w:r>
      <w:r>
        <w:rPr>
          <w:spacing w:val="32"/>
        </w:rPr>
        <w:t> </w:t>
      </w:r>
      <w:r>
        <w:rPr/>
        <w:t>se</w:t>
      </w:r>
      <w:r>
        <w:rPr>
          <w:spacing w:val="37"/>
        </w:rPr>
        <w:t> </w:t>
      </w:r>
      <w:r>
        <w:rPr/>
        <w:t>vea</w:t>
      </w:r>
      <w:r>
        <w:rPr>
          <w:spacing w:val="34"/>
        </w:rPr>
        <w:t> </w:t>
      </w:r>
      <w:r>
        <w:rPr/>
        <w:t>obligada</w:t>
      </w:r>
      <w:r>
        <w:rPr>
          <w:spacing w:val="34"/>
        </w:rPr>
        <w:t> </w:t>
      </w:r>
      <w:r>
        <w:rPr/>
        <w:t>a prestar sus servicios.</w:t>
      </w:r>
    </w:p>
    <w:p>
      <w:pPr>
        <w:pStyle w:val="Heading3"/>
        <w:numPr>
          <w:ilvl w:val="1"/>
          <w:numId w:val="160"/>
        </w:numPr>
        <w:tabs>
          <w:tab w:pos="956" w:val="left" w:leader="none"/>
        </w:tabs>
        <w:spacing w:line="240" w:lineRule="auto" w:before="229" w:after="0"/>
        <w:ind w:left="956" w:right="0" w:hanging="330"/>
        <w:jc w:val="left"/>
      </w:pPr>
      <w:r>
        <w:rPr/>
        <w:t>Bisinosis</w:t>
      </w:r>
      <w:r>
        <w:rPr>
          <w:spacing w:val="-7"/>
        </w:rPr>
        <w:t> </w:t>
      </w:r>
      <w:r>
        <w:rPr/>
        <w:t>(asma</w:t>
      </w:r>
      <w:r>
        <w:rPr>
          <w:spacing w:val="-6"/>
        </w:rPr>
        <w:t> </w:t>
      </w:r>
      <w:r>
        <w:rPr/>
        <w:t>de</w:t>
      </w:r>
      <w:r>
        <w:rPr>
          <w:spacing w:val="-6"/>
        </w:rPr>
        <w:t> </w:t>
      </w:r>
      <w:r>
        <w:rPr/>
        <w:t>los</w:t>
      </w:r>
      <w:r>
        <w:rPr>
          <w:spacing w:val="-6"/>
        </w:rPr>
        <w:t> </w:t>
      </w:r>
      <w:r>
        <w:rPr/>
        <w:t>lunes,</w:t>
      </w:r>
      <w:r>
        <w:rPr>
          <w:spacing w:val="-6"/>
        </w:rPr>
        <w:t> </w:t>
      </w:r>
      <w:r>
        <w:rPr/>
        <w:t>opresión</w:t>
      </w:r>
      <w:r>
        <w:rPr>
          <w:spacing w:val="-5"/>
        </w:rPr>
        <w:t> </w:t>
      </w:r>
      <w:r>
        <w:rPr/>
        <w:t>o</w:t>
      </w:r>
      <w:r>
        <w:rPr>
          <w:spacing w:val="-6"/>
        </w:rPr>
        <w:t> </w:t>
      </w:r>
      <w:r>
        <w:rPr/>
        <w:t>constricción</w:t>
      </w:r>
      <w:r>
        <w:rPr>
          <w:spacing w:val="-6"/>
        </w:rPr>
        <w:t> </w:t>
      </w:r>
      <w:r>
        <w:rPr/>
        <w:t>de</w:t>
      </w:r>
      <w:r>
        <w:rPr>
          <w:spacing w:val="-6"/>
        </w:rPr>
        <w:t> </w:t>
      </w:r>
      <w:r>
        <w:rPr/>
        <w:t>los</w:t>
      </w:r>
      <w:r>
        <w:rPr>
          <w:spacing w:val="-4"/>
        </w:rPr>
        <w:t> </w:t>
      </w:r>
      <w:r>
        <w:rPr/>
        <w:t>lunes),</w:t>
      </w:r>
      <w:r>
        <w:rPr>
          <w:spacing w:val="-6"/>
        </w:rPr>
        <w:t> </w:t>
      </w:r>
      <w:r>
        <w:rPr/>
        <w:t>Linosis</w:t>
      </w:r>
      <w:r>
        <w:rPr>
          <w:spacing w:val="-5"/>
        </w:rPr>
        <w:t> </w:t>
      </w:r>
      <w:r>
        <w:rPr/>
        <w:t>y</w:t>
      </w:r>
      <w:r>
        <w:rPr>
          <w:spacing w:val="-8"/>
        </w:rPr>
        <w:t> </w:t>
      </w:r>
      <w:r>
        <w:rPr>
          <w:spacing w:val="-2"/>
        </w:rPr>
        <w:t>canabiosis</w:t>
      </w:r>
    </w:p>
    <w:p>
      <w:pPr>
        <w:pStyle w:val="BodyText"/>
        <w:spacing w:before="3"/>
        <w:rPr>
          <w:rFonts w:ascii="Arial"/>
          <w:b/>
        </w:rPr>
      </w:pPr>
    </w:p>
    <w:p>
      <w:pPr>
        <w:pStyle w:val="BodyText"/>
        <w:ind w:left="626"/>
      </w:pPr>
      <w:r>
        <w:rPr/>
        <w:t>Código</w:t>
      </w:r>
      <w:r>
        <w:rPr>
          <w:spacing w:val="-8"/>
        </w:rPr>
        <w:t> </w:t>
      </w:r>
      <w:r>
        <w:rPr/>
        <w:t>CIE-11:</w:t>
      </w:r>
      <w:r>
        <w:rPr>
          <w:spacing w:val="-6"/>
        </w:rPr>
        <w:t> </w:t>
      </w:r>
      <w:r>
        <w:rPr/>
        <w:t>CA</w:t>
      </w:r>
      <w:r>
        <w:rPr>
          <w:spacing w:val="-6"/>
        </w:rPr>
        <w:t> </w:t>
      </w:r>
      <w:r>
        <w:rPr>
          <w:spacing w:val="-4"/>
        </w:rPr>
        <w:t>80.0</w:t>
      </w:r>
    </w:p>
    <w:p>
      <w:pPr>
        <w:pStyle w:val="ListParagraph"/>
        <w:numPr>
          <w:ilvl w:val="2"/>
          <w:numId w:val="160"/>
        </w:numPr>
        <w:tabs>
          <w:tab w:pos="1045" w:val="left" w:leader="none"/>
          <w:tab w:pos="1058" w:val="left" w:leader="none"/>
        </w:tabs>
        <w:spacing w:line="240" w:lineRule="auto" w:before="227" w:after="0"/>
        <w:ind w:left="1058" w:right="338" w:hanging="432"/>
        <w:jc w:val="both"/>
        <w:rPr>
          <w:sz w:val="20"/>
        </w:rPr>
      </w:pPr>
      <w:r>
        <w:rPr>
          <w:sz w:val="20"/>
        </w:rPr>
        <w:t>Personas trabajadoras expuestas a fibras de algodón contaminadas con restos de vegetales (gossypium especies), tales como: personas trabajadoras que manejan fibras naturales de algodón fundamentalmente en operaciones de pizca, recolección, cultivo, separación, empacado contaminadas con restos vegetales en las primeras fases del proceso en: hilanderías,</w:t>
      </w:r>
      <w:r>
        <w:rPr>
          <w:spacing w:val="40"/>
          <w:sz w:val="20"/>
        </w:rPr>
        <w:t> </w:t>
      </w:r>
      <w:r>
        <w:rPr>
          <w:sz w:val="20"/>
        </w:rPr>
        <w:t>cordelerías, fabricación de alfombras, tapetes, aislamientos, forros, bolsas, redes, sacos, papel, tela, cordón, cinta, entre otras.</w:t>
      </w:r>
    </w:p>
    <w:p>
      <w:pPr>
        <w:pStyle w:val="BodyText"/>
        <w:spacing w:before="1"/>
      </w:pPr>
    </w:p>
    <w:p>
      <w:pPr>
        <w:pStyle w:val="ListParagraph"/>
        <w:numPr>
          <w:ilvl w:val="2"/>
          <w:numId w:val="160"/>
        </w:numPr>
        <w:tabs>
          <w:tab w:pos="1045" w:val="left" w:leader="none"/>
          <w:tab w:pos="1058" w:val="left" w:leader="none"/>
        </w:tabs>
        <w:spacing w:line="240" w:lineRule="auto" w:before="0" w:after="0"/>
        <w:ind w:left="1058" w:right="340" w:hanging="432"/>
        <w:jc w:val="both"/>
        <w:rPr>
          <w:sz w:val="20"/>
        </w:rPr>
      </w:pPr>
      <w:r>
        <w:rPr>
          <w:sz w:val="20"/>
        </w:rPr>
        <w:t>Personas trabajadoras expuestas a fibras de lino (linum usitatissimum), tales como: personas trabajadoras dedicadas al cultivo, recolección, pizca, separación, empacado, transporte y utilización de fibras de lino.</w:t>
      </w:r>
    </w:p>
    <w:p>
      <w:pPr>
        <w:pStyle w:val="ListParagraph"/>
        <w:numPr>
          <w:ilvl w:val="2"/>
          <w:numId w:val="160"/>
        </w:numPr>
        <w:tabs>
          <w:tab w:pos="1045" w:val="left" w:leader="none"/>
          <w:tab w:pos="1058" w:val="left" w:leader="none"/>
        </w:tabs>
        <w:spacing w:line="240" w:lineRule="auto" w:before="228" w:after="0"/>
        <w:ind w:left="1058" w:right="339" w:hanging="432"/>
        <w:jc w:val="both"/>
        <w:rPr>
          <w:sz w:val="20"/>
        </w:rPr>
      </w:pPr>
      <w:r>
        <w:rPr>
          <w:sz w:val="20"/>
        </w:rPr>
        <w:t>Personas trabajadoras expuestas a fibras de cáñamo (cannabis sativa), tales como: personas trabajadoras dedicadas al cultivo, recolección, pizca, separación, empacado, transporte y utilización de fibras de cáñamo.</w:t>
      </w:r>
    </w:p>
    <w:p>
      <w:pPr>
        <w:pStyle w:val="ListParagraph"/>
        <w:numPr>
          <w:ilvl w:val="2"/>
          <w:numId w:val="160"/>
        </w:numPr>
        <w:tabs>
          <w:tab w:pos="1045" w:val="left" w:leader="none"/>
          <w:tab w:pos="1058" w:val="left" w:leader="none"/>
        </w:tabs>
        <w:spacing w:line="240" w:lineRule="auto" w:before="229" w:after="0"/>
        <w:ind w:left="1058" w:right="337" w:hanging="432"/>
        <w:jc w:val="both"/>
        <w:rPr>
          <w:sz w:val="20"/>
        </w:rPr>
      </w:pPr>
      <w:r>
        <w:rPr>
          <w:sz w:val="20"/>
        </w:rPr>
        <w:t>Evidencia científica</w:t>
      </w:r>
      <w:r>
        <w:rPr>
          <w:spacing w:val="-2"/>
          <w:sz w:val="20"/>
        </w:rPr>
        <w:t> </w:t>
      </w:r>
      <w:r>
        <w:rPr>
          <w:sz w:val="20"/>
        </w:rPr>
        <w:t>señala que la exposición a</w:t>
      </w:r>
      <w:r>
        <w:rPr>
          <w:spacing w:val="-2"/>
          <w:sz w:val="20"/>
        </w:rPr>
        <w:t> </w:t>
      </w:r>
      <w:r>
        <w:rPr>
          <w:sz w:val="20"/>
        </w:rPr>
        <w:t>fibras de</w:t>
      </w:r>
      <w:r>
        <w:rPr>
          <w:spacing w:val="-2"/>
          <w:sz w:val="20"/>
        </w:rPr>
        <w:t> </w:t>
      </w:r>
      <w:r>
        <w:rPr>
          <w:sz w:val="20"/>
        </w:rPr>
        <w:t>henequén, yute, sisal,</w:t>
      </w:r>
      <w:r>
        <w:rPr>
          <w:spacing w:val="-2"/>
          <w:sz w:val="20"/>
        </w:rPr>
        <w:t> </w:t>
      </w:r>
      <w:r>
        <w:rPr>
          <w:sz w:val="20"/>
        </w:rPr>
        <w:t>lechuguilla, abacá, esparto, ixtle, cabuya, kenat, contaminadas con restos vegetales, pueden provocar la enfermedad. Trabajos con exposición a fibras naturales contaminadas con restos de vegetales. No se produce bisinosis con exposición a fibras sintéticas.</w:t>
      </w:r>
    </w:p>
    <w:p>
      <w:pPr>
        <w:pStyle w:val="ListParagraph"/>
        <w:numPr>
          <w:ilvl w:val="2"/>
          <w:numId w:val="160"/>
        </w:numPr>
        <w:tabs>
          <w:tab w:pos="1045" w:val="left" w:leader="none"/>
          <w:tab w:pos="1058" w:val="left" w:leader="none"/>
        </w:tabs>
        <w:spacing w:line="240" w:lineRule="auto" w:before="227" w:after="0"/>
        <w:ind w:left="1058" w:right="337"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spacing w:before="229"/>
        <w:ind w:left="626"/>
      </w:pPr>
      <w:r>
        <w:rPr/>
        <w:t>Grupo</w:t>
      </w:r>
      <w:r>
        <w:rPr>
          <w:spacing w:val="-8"/>
        </w:rPr>
        <w:t> </w:t>
      </w:r>
      <w:r>
        <w:rPr/>
        <w:t>VI.</w:t>
      </w:r>
      <w:r>
        <w:rPr>
          <w:spacing w:val="-7"/>
        </w:rPr>
        <w:t> </w:t>
      </w:r>
      <w:r>
        <w:rPr/>
        <w:t>Enfermedades</w:t>
      </w:r>
      <w:r>
        <w:rPr>
          <w:spacing w:val="-7"/>
        </w:rPr>
        <w:t> </w:t>
      </w:r>
      <w:r>
        <w:rPr/>
        <w:t>del</w:t>
      </w:r>
      <w:r>
        <w:rPr>
          <w:spacing w:val="-8"/>
        </w:rPr>
        <w:t> </w:t>
      </w:r>
      <w:r>
        <w:rPr/>
        <w:t>sistema</w:t>
      </w:r>
      <w:r>
        <w:rPr>
          <w:spacing w:val="-9"/>
        </w:rPr>
        <w:t> </w:t>
      </w:r>
      <w:r>
        <w:rPr>
          <w:spacing w:val="-2"/>
        </w:rPr>
        <w:t>digestivo</w:t>
      </w:r>
    </w:p>
    <w:p>
      <w:pPr>
        <w:pStyle w:val="ListParagraph"/>
        <w:numPr>
          <w:ilvl w:val="1"/>
          <w:numId w:val="160"/>
        </w:numPr>
        <w:tabs>
          <w:tab w:pos="958" w:val="left" w:leader="none"/>
        </w:tabs>
        <w:spacing w:line="240" w:lineRule="auto" w:before="228" w:after="0"/>
        <w:ind w:left="958" w:right="0" w:hanging="332"/>
        <w:jc w:val="left"/>
        <w:rPr>
          <w:rFonts w:ascii="Arial" w:hAnsi="Arial"/>
          <w:b/>
          <w:sz w:val="20"/>
        </w:rPr>
      </w:pPr>
      <w:r>
        <w:rPr>
          <w:rFonts w:ascii="Arial" w:hAnsi="Arial"/>
          <w:b/>
          <w:sz w:val="20"/>
        </w:rPr>
        <w:t>Enfermedad</w:t>
      </w:r>
      <w:r>
        <w:rPr>
          <w:rFonts w:ascii="Arial" w:hAnsi="Arial"/>
          <w:b/>
          <w:spacing w:val="-7"/>
          <w:sz w:val="20"/>
        </w:rPr>
        <w:t> </w:t>
      </w:r>
      <w:r>
        <w:rPr>
          <w:rFonts w:ascii="Arial" w:hAnsi="Arial"/>
          <w:b/>
          <w:sz w:val="20"/>
        </w:rPr>
        <w:t>tóxica</w:t>
      </w:r>
      <w:r>
        <w:rPr>
          <w:rFonts w:ascii="Arial" w:hAnsi="Arial"/>
          <w:b/>
          <w:spacing w:val="-7"/>
          <w:sz w:val="20"/>
        </w:rPr>
        <w:t> </w:t>
      </w:r>
      <w:r>
        <w:rPr>
          <w:rFonts w:ascii="Arial" w:hAnsi="Arial"/>
          <w:b/>
          <w:sz w:val="20"/>
        </w:rPr>
        <w:t>del</w:t>
      </w:r>
      <w:r>
        <w:rPr>
          <w:rFonts w:ascii="Arial" w:hAnsi="Arial"/>
          <w:b/>
          <w:spacing w:val="-7"/>
          <w:sz w:val="20"/>
        </w:rPr>
        <w:t> </w:t>
      </w:r>
      <w:r>
        <w:rPr>
          <w:rFonts w:ascii="Arial" w:hAnsi="Arial"/>
          <w:b/>
          <w:sz w:val="20"/>
        </w:rPr>
        <w:t>hígado</w:t>
      </w:r>
      <w:r>
        <w:rPr>
          <w:rFonts w:ascii="Arial" w:hAnsi="Arial"/>
          <w:b/>
          <w:spacing w:val="-6"/>
          <w:sz w:val="20"/>
        </w:rPr>
        <w:t> </w:t>
      </w:r>
      <w:r>
        <w:rPr>
          <w:rFonts w:ascii="Arial" w:hAnsi="Arial"/>
          <w:b/>
          <w:sz w:val="20"/>
        </w:rPr>
        <w:t>con</w:t>
      </w:r>
      <w:r>
        <w:rPr>
          <w:rFonts w:ascii="Arial" w:hAnsi="Arial"/>
          <w:b/>
          <w:spacing w:val="-6"/>
          <w:sz w:val="20"/>
        </w:rPr>
        <w:t> </w:t>
      </w:r>
      <w:r>
        <w:rPr>
          <w:rFonts w:ascii="Arial" w:hAnsi="Arial"/>
          <w:b/>
          <w:sz w:val="20"/>
        </w:rPr>
        <w:t>cirrosis</w:t>
      </w:r>
      <w:r>
        <w:rPr>
          <w:rFonts w:ascii="Arial" w:hAnsi="Arial"/>
          <w:b/>
          <w:spacing w:val="-5"/>
          <w:sz w:val="20"/>
        </w:rPr>
        <w:t> </w:t>
      </w:r>
      <w:r>
        <w:rPr>
          <w:rFonts w:ascii="Arial" w:hAnsi="Arial"/>
          <w:b/>
          <w:sz w:val="20"/>
        </w:rPr>
        <w:t>y</w:t>
      </w:r>
      <w:r>
        <w:rPr>
          <w:rFonts w:ascii="Arial" w:hAnsi="Arial"/>
          <w:b/>
          <w:spacing w:val="-7"/>
          <w:sz w:val="20"/>
        </w:rPr>
        <w:t> </w:t>
      </w:r>
      <w:r>
        <w:rPr>
          <w:rFonts w:ascii="Arial" w:hAnsi="Arial"/>
          <w:b/>
          <w:spacing w:val="-2"/>
          <w:sz w:val="20"/>
        </w:rPr>
        <w:t>fibrosis</w:t>
      </w:r>
    </w:p>
    <w:p>
      <w:pPr>
        <w:pStyle w:val="BodyText"/>
        <w:spacing w:before="3"/>
        <w:rPr>
          <w:rFonts w:ascii="Arial"/>
          <w:b/>
        </w:rPr>
      </w:pPr>
    </w:p>
    <w:p>
      <w:pPr>
        <w:pStyle w:val="BodyText"/>
        <w:ind w:left="626"/>
      </w:pPr>
      <w:r>
        <w:rPr/>
        <w:t>Código</w:t>
      </w:r>
      <w:r>
        <w:rPr>
          <w:spacing w:val="-8"/>
        </w:rPr>
        <w:t> </w:t>
      </w:r>
      <w:r>
        <w:rPr/>
        <w:t>CIE-11:</w:t>
      </w:r>
      <w:r>
        <w:rPr>
          <w:spacing w:val="-7"/>
        </w:rPr>
        <w:t> </w:t>
      </w:r>
      <w:r>
        <w:rPr/>
        <w:t>DB91,</w:t>
      </w:r>
      <w:r>
        <w:rPr>
          <w:spacing w:val="-6"/>
        </w:rPr>
        <w:t> </w:t>
      </w:r>
      <w:r>
        <w:rPr/>
        <w:t>DB93,</w:t>
      </w:r>
      <w:r>
        <w:rPr>
          <w:spacing w:val="-7"/>
        </w:rPr>
        <w:t> </w:t>
      </w:r>
      <w:r>
        <w:rPr>
          <w:spacing w:val="-4"/>
        </w:rPr>
        <w:t>DB95</w:t>
      </w:r>
    </w:p>
    <w:p>
      <w:pPr>
        <w:pStyle w:val="ListParagraph"/>
        <w:numPr>
          <w:ilvl w:val="2"/>
          <w:numId w:val="160"/>
        </w:numPr>
        <w:tabs>
          <w:tab w:pos="1045" w:val="left" w:leader="none"/>
          <w:tab w:pos="1058" w:val="left" w:leader="none"/>
        </w:tabs>
        <w:spacing w:line="240" w:lineRule="auto" w:before="230" w:after="0"/>
        <w:ind w:left="1058" w:right="336" w:hanging="432"/>
        <w:jc w:val="both"/>
        <w:rPr>
          <w:sz w:val="20"/>
        </w:rPr>
      </w:pPr>
      <w:r>
        <w:rPr>
          <w:sz w:val="20"/>
        </w:rPr>
        <w:t>Las personas trabajadoras de la industria química expuestas en la producción de cloruro de</w:t>
      </w:r>
      <w:r>
        <w:rPr>
          <w:spacing w:val="40"/>
          <w:sz w:val="20"/>
        </w:rPr>
        <w:t> </w:t>
      </w:r>
      <w:r>
        <w:rPr>
          <w:sz w:val="20"/>
        </w:rPr>
        <w:t>vinilo, o en plantas de polimerización; personas trabajadoras expuestas a los derivados halogenados de los hidrocarburos alifáticos, tales como: diclorometano, triclorometano, tribromometano, dicloro-2-etano, tricloroetano, dicloroetano, tricloroetileno, dicloropropano, cloropropileno, cloro-2-butadieno, tetracloruro de carbono. Personas trabajadoras expuestas al arsénico y sus compuestos, halotano, isoniacida, acetaminofén e hidrocarburos aromáticos.</w:t>
      </w:r>
    </w:p>
    <w:p>
      <w:pPr>
        <w:pStyle w:val="ListParagraph"/>
        <w:numPr>
          <w:ilvl w:val="2"/>
          <w:numId w:val="160"/>
        </w:numPr>
        <w:tabs>
          <w:tab w:pos="1045" w:val="left" w:leader="none"/>
          <w:tab w:pos="1058" w:val="left" w:leader="none"/>
        </w:tabs>
        <w:spacing w:line="240" w:lineRule="auto" w:before="228" w:after="0"/>
        <w:ind w:left="1058" w:right="34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3"/>
      </w:pPr>
    </w:p>
    <w:p>
      <w:pPr>
        <w:pStyle w:val="Heading3"/>
        <w:numPr>
          <w:ilvl w:val="1"/>
          <w:numId w:val="160"/>
        </w:numPr>
        <w:tabs>
          <w:tab w:pos="958" w:val="left" w:leader="none"/>
        </w:tabs>
        <w:spacing w:line="240" w:lineRule="auto" w:before="0" w:after="0"/>
        <w:ind w:left="958" w:right="0" w:hanging="332"/>
        <w:jc w:val="left"/>
      </w:pPr>
      <w:r>
        <w:rPr/>
        <w:t>Enfermedad</w:t>
      </w:r>
      <w:r>
        <w:rPr>
          <w:spacing w:val="-8"/>
        </w:rPr>
        <w:t> </w:t>
      </w:r>
      <w:r>
        <w:rPr/>
        <w:t>tóxica</w:t>
      </w:r>
      <w:r>
        <w:rPr>
          <w:spacing w:val="-7"/>
        </w:rPr>
        <w:t> </w:t>
      </w:r>
      <w:r>
        <w:rPr/>
        <w:t>del</w:t>
      </w:r>
      <w:r>
        <w:rPr>
          <w:spacing w:val="-7"/>
        </w:rPr>
        <w:t> </w:t>
      </w:r>
      <w:r>
        <w:rPr/>
        <w:t>hígado</w:t>
      </w:r>
      <w:r>
        <w:rPr>
          <w:spacing w:val="-6"/>
        </w:rPr>
        <w:t> </w:t>
      </w:r>
      <w:r>
        <w:rPr/>
        <w:t>con</w:t>
      </w:r>
      <w:r>
        <w:rPr>
          <w:spacing w:val="-7"/>
        </w:rPr>
        <w:t> </w:t>
      </w:r>
      <w:r>
        <w:rPr/>
        <w:t>hepatitis</w:t>
      </w:r>
      <w:r>
        <w:rPr>
          <w:spacing w:val="-7"/>
        </w:rPr>
        <w:t> </w:t>
      </w:r>
      <w:r>
        <w:rPr>
          <w:spacing w:val="-2"/>
        </w:rPr>
        <w:t>aguda</w:t>
      </w:r>
    </w:p>
    <w:p>
      <w:pPr>
        <w:pStyle w:val="BodyText"/>
        <w:spacing w:before="3"/>
        <w:rPr>
          <w:rFonts w:ascii="Arial"/>
          <w:b/>
        </w:rPr>
      </w:pPr>
    </w:p>
    <w:p>
      <w:pPr>
        <w:pStyle w:val="BodyText"/>
        <w:ind w:left="626"/>
      </w:pPr>
      <w:r>
        <w:rPr/>
        <w:t>Código</w:t>
      </w:r>
      <w:r>
        <w:rPr>
          <w:spacing w:val="-9"/>
        </w:rPr>
        <w:t> </w:t>
      </w:r>
      <w:r>
        <w:rPr/>
        <w:t>CIE-11:</w:t>
      </w:r>
      <w:r>
        <w:rPr>
          <w:spacing w:val="-7"/>
        </w:rPr>
        <w:t> </w:t>
      </w:r>
      <w:r>
        <w:rPr/>
        <w:t>DB91,</w:t>
      </w:r>
      <w:r>
        <w:rPr>
          <w:spacing w:val="-7"/>
        </w:rPr>
        <w:t> </w:t>
      </w:r>
      <w:r>
        <w:rPr>
          <w:spacing w:val="-2"/>
        </w:rPr>
        <w:t>DB91.0</w:t>
      </w:r>
    </w:p>
    <w:p>
      <w:pPr>
        <w:pStyle w:val="ListParagraph"/>
        <w:numPr>
          <w:ilvl w:val="2"/>
          <w:numId w:val="160"/>
        </w:numPr>
        <w:tabs>
          <w:tab w:pos="1045" w:val="left" w:leader="none"/>
          <w:tab w:pos="1058" w:val="left" w:leader="none"/>
        </w:tabs>
        <w:spacing w:line="240" w:lineRule="auto" w:before="230" w:after="0"/>
        <w:ind w:left="1058" w:right="335" w:hanging="432"/>
        <w:jc w:val="both"/>
        <w:rPr>
          <w:sz w:val="20"/>
        </w:rPr>
      </w:pPr>
      <w:r>
        <w:rPr>
          <w:sz w:val="20"/>
        </w:rPr>
        <w:t>Las personas trabajadoras de la industria química expuestas en</w:t>
      </w:r>
      <w:r>
        <w:rPr>
          <w:spacing w:val="40"/>
          <w:sz w:val="20"/>
        </w:rPr>
        <w:t> </w:t>
      </w:r>
      <w:r>
        <w:rPr>
          <w:sz w:val="20"/>
        </w:rPr>
        <w:t>la producción de cloruro de vinilo, o en plantas de polimerización; expuestas a los derivados halogenados de los hidrocarburos alifáticos, tales como: diclorometano, triclorometano, tribromometano, dicloro-2- etano, tricloroetano, dicloroetano, tricloroetileno, dicloropropano, cloropropileno, cloro-2- butadieno, tetracloruro de carbono. Personas trabajadoras expuestas al arsénico y sus compuestos, halotano, isoniacida, acetoaminofén e hidrocarburos aromáticos.</w:t>
      </w:r>
    </w:p>
    <w:p>
      <w:pPr>
        <w:pStyle w:val="ListParagraph"/>
        <w:numPr>
          <w:ilvl w:val="2"/>
          <w:numId w:val="160"/>
        </w:numPr>
        <w:tabs>
          <w:tab w:pos="1045" w:val="left" w:leader="none"/>
          <w:tab w:pos="1058" w:val="left" w:leader="none"/>
        </w:tabs>
        <w:spacing w:line="240" w:lineRule="auto" w:before="227" w:after="0"/>
        <w:ind w:left="1058" w:right="340"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8" w:val="left" w:leader="none"/>
        </w:tabs>
        <w:spacing w:line="240" w:lineRule="auto" w:before="229" w:after="0"/>
        <w:ind w:left="958" w:right="0" w:hanging="332"/>
        <w:jc w:val="left"/>
      </w:pPr>
      <w:r>
        <w:rPr>
          <w:spacing w:val="-2"/>
        </w:rPr>
        <w:t>Enfermedad</w:t>
      </w:r>
      <w:r>
        <w:rPr>
          <w:spacing w:val="14"/>
        </w:rPr>
        <w:t> </w:t>
      </w:r>
      <w:r>
        <w:rPr>
          <w:spacing w:val="-2"/>
        </w:rPr>
        <w:t>ácido-péptica</w:t>
      </w:r>
    </w:p>
    <w:p>
      <w:pPr>
        <w:pStyle w:val="BodyText"/>
        <w:spacing w:before="1"/>
        <w:rPr>
          <w:rFonts w:ascii="Arial"/>
          <w:b/>
        </w:rPr>
      </w:pPr>
    </w:p>
    <w:p>
      <w:pPr>
        <w:pStyle w:val="BodyText"/>
        <w:ind w:left="626"/>
      </w:pPr>
      <w:r>
        <w:rPr/>
        <w:t>Código</w:t>
      </w:r>
      <w:r>
        <w:rPr>
          <w:spacing w:val="-8"/>
        </w:rPr>
        <w:t> </w:t>
      </w:r>
      <w:r>
        <w:rPr/>
        <w:t>CIE-11:</w:t>
      </w:r>
      <w:r>
        <w:rPr>
          <w:spacing w:val="-6"/>
        </w:rPr>
        <w:t> </w:t>
      </w:r>
      <w:r>
        <w:rPr/>
        <w:t>DA22,</w:t>
      </w:r>
      <w:r>
        <w:rPr>
          <w:spacing w:val="-6"/>
        </w:rPr>
        <w:t> </w:t>
      </w:r>
      <w:r>
        <w:rPr/>
        <w:t>DA42,</w:t>
      </w:r>
      <w:r>
        <w:rPr>
          <w:spacing w:val="-6"/>
        </w:rPr>
        <w:t> </w:t>
      </w:r>
      <w:r>
        <w:rPr/>
        <w:t>DA60,</w:t>
      </w:r>
      <w:r>
        <w:rPr>
          <w:spacing w:val="-5"/>
        </w:rPr>
        <w:t> </w:t>
      </w:r>
      <w:r>
        <w:rPr/>
        <w:t>DA61,</w:t>
      </w:r>
      <w:r>
        <w:rPr>
          <w:spacing w:val="-6"/>
        </w:rPr>
        <w:t> </w:t>
      </w:r>
      <w:r>
        <w:rPr/>
        <w:t>DA63,</w:t>
      </w:r>
      <w:r>
        <w:rPr>
          <w:spacing w:val="-6"/>
        </w:rPr>
        <w:t> </w:t>
      </w:r>
      <w:r>
        <w:rPr/>
        <w:t>DD90,</w:t>
      </w:r>
      <w:r>
        <w:rPr>
          <w:spacing w:val="-6"/>
        </w:rPr>
        <w:t> </w:t>
      </w:r>
      <w:r>
        <w:rPr>
          <w:spacing w:val="-4"/>
        </w:rPr>
        <w:t>DD91</w:t>
      </w:r>
    </w:p>
    <w:p>
      <w:pPr>
        <w:pStyle w:val="ListParagraph"/>
        <w:numPr>
          <w:ilvl w:val="2"/>
          <w:numId w:val="160"/>
        </w:numPr>
        <w:tabs>
          <w:tab w:pos="1045" w:val="left" w:leader="none"/>
          <w:tab w:pos="1058" w:val="left" w:leader="none"/>
        </w:tabs>
        <w:spacing w:line="240" w:lineRule="auto" w:before="229" w:after="0"/>
        <w:ind w:left="1058" w:right="337" w:hanging="432"/>
        <w:jc w:val="both"/>
        <w:rPr>
          <w:sz w:val="20"/>
        </w:rPr>
      </w:pPr>
      <w:r>
        <w:rPr>
          <w:sz w:val="20"/>
        </w:rPr>
        <w:t>Personas</w:t>
      </w:r>
      <w:r>
        <w:rPr>
          <w:spacing w:val="-2"/>
          <w:sz w:val="20"/>
        </w:rPr>
        <w:t> </w:t>
      </w:r>
      <w:r>
        <w:rPr>
          <w:sz w:val="20"/>
        </w:rPr>
        <w:t>trabajadoras</w:t>
      </w:r>
      <w:r>
        <w:rPr>
          <w:spacing w:val="-1"/>
          <w:sz w:val="20"/>
        </w:rPr>
        <w:t> </w:t>
      </w:r>
      <w:r>
        <w:rPr>
          <w:sz w:val="20"/>
        </w:rPr>
        <w:t>del</w:t>
      </w:r>
      <w:r>
        <w:rPr>
          <w:spacing w:val="-4"/>
          <w:sz w:val="20"/>
        </w:rPr>
        <w:t> </w:t>
      </w:r>
      <w:r>
        <w:rPr>
          <w:sz w:val="20"/>
        </w:rPr>
        <w:t>sector</w:t>
      </w:r>
      <w:r>
        <w:rPr>
          <w:spacing w:val="-5"/>
          <w:sz w:val="20"/>
        </w:rPr>
        <w:t> </w:t>
      </w:r>
      <w:r>
        <w:rPr>
          <w:sz w:val="20"/>
        </w:rPr>
        <w:t>público</w:t>
      </w:r>
      <w:r>
        <w:rPr>
          <w:spacing w:val="-1"/>
          <w:sz w:val="20"/>
        </w:rPr>
        <w:t> </w:t>
      </w:r>
      <w:r>
        <w:rPr>
          <w:sz w:val="20"/>
        </w:rPr>
        <w:t>y</w:t>
      </w:r>
      <w:r>
        <w:rPr>
          <w:spacing w:val="-6"/>
          <w:sz w:val="20"/>
        </w:rPr>
        <w:t> </w:t>
      </w:r>
      <w:r>
        <w:rPr>
          <w:sz w:val="20"/>
        </w:rPr>
        <w:t>privado,</w:t>
      </w:r>
      <w:r>
        <w:rPr>
          <w:spacing w:val="-3"/>
          <w:sz w:val="20"/>
        </w:rPr>
        <w:t> </w:t>
      </w:r>
      <w:r>
        <w:rPr>
          <w:sz w:val="20"/>
        </w:rPr>
        <w:t>relacionadas</w:t>
      </w:r>
      <w:r>
        <w:rPr>
          <w:spacing w:val="-2"/>
          <w:sz w:val="20"/>
        </w:rPr>
        <w:t> </w:t>
      </w:r>
      <w:r>
        <w:rPr>
          <w:sz w:val="20"/>
        </w:rPr>
        <w:t>con</w:t>
      </w:r>
      <w:r>
        <w:rPr>
          <w:spacing w:val="-3"/>
          <w:sz w:val="20"/>
        </w:rPr>
        <w:t> </w:t>
      </w:r>
      <w:r>
        <w:rPr>
          <w:sz w:val="20"/>
        </w:rPr>
        <w:t>salud,</w:t>
      </w:r>
      <w:r>
        <w:rPr>
          <w:spacing w:val="-3"/>
          <w:sz w:val="20"/>
        </w:rPr>
        <w:t> </w:t>
      </w:r>
      <w:r>
        <w:rPr>
          <w:sz w:val="20"/>
        </w:rPr>
        <w:t>educación,</w:t>
      </w:r>
      <w:r>
        <w:rPr>
          <w:spacing w:val="-3"/>
          <w:sz w:val="20"/>
        </w:rPr>
        <w:t> </w:t>
      </w:r>
      <w:r>
        <w:rPr>
          <w:sz w:val="20"/>
        </w:rPr>
        <w:t>transporte (terrestre, aéreo y marítimo), atención a usuarios, seguridad pública y privada, fuerzas armadas, atención de desastres, urgencias y pacientes en estado crítico, así como personas trabajadoras del buceo industrial, del sector comercio, industrial, bancario y financiero. Puede presentarse en cualquier persona trabajadora y puesto de trabajo, su gravedad dependerá de los factores de riesgo psicosocial laborales negativos enfrentados y las características de exposición a ellos.</w:t>
      </w:r>
    </w:p>
    <w:p>
      <w:pPr>
        <w:pStyle w:val="BodyText"/>
      </w:pPr>
    </w:p>
    <w:p>
      <w:pPr>
        <w:pStyle w:val="ListParagraph"/>
        <w:numPr>
          <w:ilvl w:val="2"/>
          <w:numId w:val="160"/>
        </w:numPr>
        <w:tabs>
          <w:tab w:pos="1045" w:val="left" w:leader="none"/>
          <w:tab w:pos="1058" w:val="left" w:leader="none"/>
        </w:tabs>
        <w:spacing w:line="240" w:lineRule="auto" w:before="1" w:after="0"/>
        <w:ind w:left="1058" w:right="33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w:t>
      </w:r>
      <w:r>
        <w:rPr>
          <w:spacing w:val="40"/>
          <w:sz w:val="20"/>
        </w:rPr>
        <w:t> </w:t>
      </w:r>
      <w:r>
        <w:rPr>
          <w:sz w:val="20"/>
        </w:rPr>
        <w:t>origen o con motivo del trabajo o en el medio que la persona trabajadora se vea obligada a prestar sus servicios.</w:t>
      </w:r>
    </w:p>
    <w:p>
      <w:pPr>
        <w:pStyle w:val="Heading3"/>
        <w:ind w:left="626"/>
      </w:pPr>
      <w:r>
        <w:rPr/>
        <w:t>Grupo</w:t>
      </w:r>
      <w:r>
        <w:rPr>
          <w:spacing w:val="-6"/>
        </w:rPr>
        <w:t> </w:t>
      </w:r>
      <w:r>
        <w:rPr/>
        <w:t>VII.</w:t>
      </w:r>
      <w:r>
        <w:rPr>
          <w:spacing w:val="-4"/>
        </w:rPr>
        <w:t> </w:t>
      </w:r>
      <w:r>
        <w:rPr/>
        <w:t>Enfermedades</w:t>
      </w:r>
      <w:r>
        <w:rPr>
          <w:spacing w:val="-4"/>
        </w:rPr>
        <w:t> </w:t>
      </w:r>
      <w:r>
        <w:rPr/>
        <w:t>de</w:t>
      </w:r>
      <w:r>
        <w:rPr>
          <w:spacing w:val="-7"/>
        </w:rPr>
        <w:t> </w:t>
      </w:r>
      <w:r>
        <w:rPr/>
        <w:t>la</w:t>
      </w:r>
      <w:r>
        <w:rPr>
          <w:spacing w:val="-6"/>
        </w:rPr>
        <w:t> </w:t>
      </w:r>
      <w:r>
        <w:rPr/>
        <w:t>piel</w:t>
      </w:r>
      <w:r>
        <w:rPr>
          <w:spacing w:val="-4"/>
        </w:rPr>
        <w:t> </w:t>
      </w:r>
      <w:r>
        <w:rPr/>
        <w:t>y</w:t>
      </w:r>
      <w:r>
        <w:rPr>
          <w:spacing w:val="-8"/>
        </w:rPr>
        <w:t> </w:t>
      </w:r>
      <w:r>
        <w:rPr/>
        <w:t>tejidos</w:t>
      </w:r>
      <w:r>
        <w:rPr>
          <w:spacing w:val="-6"/>
        </w:rPr>
        <w:t> </w:t>
      </w:r>
      <w:r>
        <w:rPr>
          <w:spacing w:val="-2"/>
        </w:rPr>
        <w:t>subcutáneos</w:t>
      </w:r>
    </w:p>
    <w:p>
      <w:pPr>
        <w:pStyle w:val="BodyText"/>
        <w:rPr>
          <w:rFonts w:ascii="Arial"/>
          <w:b/>
        </w:rPr>
      </w:pPr>
    </w:p>
    <w:p>
      <w:pPr>
        <w:pStyle w:val="ListParagraph"/>
        <w:numPr>
          <w:ilvl w:val="1"/>
          <w:numId w:val="160"/>
        </w:numPr>
        <w:tabs>
          <w:tab w:pos="958" w:val="left" w:leader="none"/>
        </w:tabs>
        <w:spacing w:line="240" w:lineRule="auto" w:before="1" w:after="0"/>
        <w:ind w:left="338" w:right="337" w:firstLine="288"/>
        <w:jc w:val="left"/>
        <w:rPr>
          <w:rFonts w:ascii="Arial" w:hAnsi="Arial"/>
          <w:b/>
          <w:sz w:val="20"/>
        </w:rPr>
      </w:pPr>
      <w:r>
        <w:rPr>
          <w:rFonts w:ascii="Arial" w:hAnsi="Arial"/>
          <w:b/>
          <w:sz w:val="20"/>
        </w:rPr>
        <w:t>Otro acné</w:t>
      </w:r>
      <w:r>
        <w:rPr>
          <w:rFonts w:ascii="Arial" w:hAnsi="Arial"/>
          <w:b/>
          <w:spacing w:val="-1"/>
          <w:sz w:val="20"/>
        </w:rPr>
        <w:t> </w:t>
      </w:r>
      <w:r>
        <w:rPr>
          <w:rFonts w:ascii="Arial" w:hAnsi="Arial"/>
          <w:b/>
          <w:sz w:val="20"/>
        </w:rPr>
        <w:t>especificado:</w:t>
      </w:r>
      <w:r>
        <w:rPr>
          <w:rFonts w:ascii="Arial" w:hAnsi="Arial"/>
          <w:b/>
          <w:spacing w:val="-1"/>
          <w:sz w:val="20"/>
        </w:rPr>
        <w:t> </w:t>
      </w:r>
      <w:r>
        <w:rPr>
          <w:rFonts w:ascii="Arial" w:hAnsi="Arial"/>
          <w:b/>
          <w:sz w:val="20"/>
        </w:rPr>
        <w:t>acné</w:t>
      </w:r>
      <w:r>
        <w:rPr>
          <w:rFonts w:ascii="Arial" w:hAnsi="Arial"/>
          <w:b/>
          <w:spacing w:val="-1"/>
          <w:sz w:val="20"/>
        </w:rPr>
        <w:t> </w:t>
      </w:r>
      <w:r>
        <w:rPr>
          <w:rFonts w:ascii="Arial" w:hAnsi="Arial"/>
          <w:b/>
          <w:sz w:val="20"/>
        </w:rPr>
        <w:t>profesional,</w:t>
      </w:r>
      <w:r>
        <w:rPr>
          <w:rFonts w:ascii="Arial" w:hAnsi="Arial"/>
          <w:b/>
          <w:spacing w:val="-1"/>
          <w:sz w:val="20"/>
        </w:rPr>
        <w:t> </w:t>
      </w:r>
      <w:r>
        <w:rPr>
          <w:rFonts w:ascii="Arial" w:hAnsi="Arial"/>
          <w:b/>
          <w:sz w:val="20"/>
        </w:rPr>
        <w:t>elaioconiosis,</w:t>
      </w:r>
      <w:r>
        <w:rPr>
          <w:rFonts w:ascii="Arial" w:hAnsi="Arial"/>
          <w:b/>
          <w:spacing w:val="-1"/>
          <w:sz w:val="20"/>
        </w:rPr>
        <w:t> </w:t>
      </w:r>
      <w:r>
        <w:rPr>
          <w:rFonts w:ascii="Arial" w:hAnsi="Arial"/>
          <w:b/>
          <w:sz w:val="20"/>
        </w:rPr>
        <w:t>acné</w:t>
      </w:r>
      <w:r>
        <w:rPr>
          <w:rFonts w:ascii="Arial" w:hAnsi="Arial"/>
          <w:b/>
          <w:spacing w:val="-2"/>
          <w:sz w:val="20"/>
        </w:rPr>
        <w:t> </w:t>
      </w:r>
      <w:r>
        <w:rPr>
          <w:rFonts w:ascii="Arial" w:hAnsi="Arial"/>
          <w:b/>
          <w:sz w:val="20"/>
        </w:rPr>
        <w:t>por</w:t>
      </w:r>
      <w:r>
        <w:rPr>
          <w:rFonts w:ascii="Arial" w:hAnsi="Arial"/>
          <w:b/>
          <w:spacing w:val="-1"/>
          <w:sz w:val="20"/>
        </w:rPr>
        <w:t> </w:t>
      </w:r>
      <w:r>
        <w:rPr>
          <w:rFonts w:ascii="Arial" w:hAnsi="Arial"/>
          <w:b/>
          <w:sz w:val="20"/>
        </w:rPr>
        <w:t>hidrocarburos y</w:t>
      </w:r>
      <w:r>
        <w:rPr>
          <w:rFonts w:ascii="Arial" w:hAnsi="Arial"/>
          <w:b/>
          <w:spacing w:val="-2"/>
          <w:sz w:val="20"/>
        </w:rPr>
        <w:t> </w:t>
      </w:r>
      <w:r>
        <w:rPr>
          <w:rFonts w:ascii="Arial" w:hAnsi="Arial"/>
          <w:b/>
          <w:sz w:val="20"/>
        </w:rPr>
        <w:t>cloracné. Dermatitis acnéiforme</w:t>
      </w:r>
    </w:p>
    <w:p>
      <w:pPr>
        <w:pStyle w:val="BodyText"/>
        <w:spacing w:before="1"/>
        <w:rPr>
          <w:rFonts w:ascii="Arial"/>
          <w:b/>
        </w:rPr>
      </w:pPr>
    </w:p>
    <w:p>
      <w:pPr>
        <w:pStyle w:val="BodyText"/>
        <w:ind w:left="626"/>
      </w:pPr>
      <w:r>
        <w:rPr/>
        <w:t>Código</w:t>
      </w:r>
      <w:r>
        <w:rPr>
          <w:spacing w:val="-12"/>
        </w:rPr>
        <w:t> </w:t>
      </w:r>
      <w:r>
        <w:rPr/>
        <w:t>CIE-11:</w:t>
      </w:r>
      <w:r>
        <w:rPr>
          <w:spacing w:val="-9"/>
        </w:rPr>
        <w:t> </w:t>
      </w:r>
      <w:r>
        <w:rPr/>
        <w:t>ED-</w:t>
      </w:r>
      <w:r>
        <w:rPr>
          <w:spacing w:val="-4"/>
        </w:rPr>
        <w:t>80.Y</w:t>
      </w:r>
    </w:p>
    <w:p>
      <w:pPr>
        <w:pStyle w:val="ListParagraph"/>
        <w:numPr>
          <w:ilvl w:val="2"/>
          <w:numId w:val="160"/>
        </w:numPr>
        <w:tabs>
          <w:tab w:pos="1045" w:val="left" w:leader="none"/>
          <w:tab w:pos="1058" w:val="left" w:leader="none"/>
        </w:tabs>
        <w:spacing w:line="240" w:lineRule="auto" w:before="229" w:after="0"/>
        <w:ind w:left="1058" w:right="336" w:hanging="432"/>
        <w:jc w:val="both"/>
        <w:rPr>
          <w:sz w:val="20"/>
        </w:rPr>
      </w:pPr>
      <w:r>
        <w:rPr>
          <w:sz w:val="20"/>
        </w:rPr>
        <w:t>Personas trabajadoras expuestas a los agentes causales, tales como: actores, cocineros en contacto con grasas, cosmetólogos, maquinistas, laboratoristas, mecánicos de autos, modelos, techadores, torneros, personas trabajadoras de la agricultura, de caminos de asfalto, de</w:t>
      </w:r>
      <w:r>
        <w:rPr>
          <w:spacing w:val="40"/>
          <w:sz w:val="20"/>
        </w:rPr>
        <w:t> </w:t>
      </w:r>
      <w:r>
        <w:rPr>
          <w:sz w:val="20"/>
        </w:rPr>
        <w:t>refinerías de petróleo, fabricación de la goma y manejadores de aceite de corte. Personas trabajadoras de las industrias química y petroquímica que manipulan o están en contacto con estas sustancias.</w:t>
      </w:r>
    </w:p>
    <w:p>
      <w:pPr>
        <w:pStyle w:val="ListParagraph"/>
        <w:numPr>
          <w:ilvl w:val="2"/>
          <w:numId w:val="160"/>
        </w:numPr>
        <w:tabs>
          <w:tab w:pos="1045" w:val="left" w:leader="none"/>
          <w:tab w:pos="1058" w:val="left" w:leader="none"/>
        </w:tabs>
        <w:spacing w:line="240" w:lineRule="auto" w:before="228" w:after="0"/>
        <w:ind w:left="1058" w:right="33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w:t>
      </w:r>
      <w:r>
        <w:rPr>
          <w:spacing w:val="36"/>
          <w:sz w:val="20"/>
        </w:rPr>
        <w:t> </w:t>
      </w:r>
      <w:r>
        <w:rPr>
          <w:sz w:val="20"/>
        </w:rPr>
        <w:t>de</w:t>
      </w:r>
      <w:r>
        <w:rPr>
          <w:spacing w:val="38"/>
          <w:sz w:val="20"/>
        </w:rPr>
        <w:t> </w:t>
      </w:r>
      <w:r>
        <w:rPr>
          <w:sz w:val="20"/>
        </w:rPr>
        <w:t>las</w:t>
      </w:r>
      <w:r>
        <w:rPr>
          <w:spacing w:val="37"/>
          <w:sz w:val="20"/>
        </w:rPr>
        <w:t> </w:t>
      </w:r>
      <w:r>
        <w:rPr>
          <w:sz w:val="20"/>
        </w:rPr>
        <w:t>Cédulas</w:t>
      </w:r>
      <w:r>
        <w:rPr>
          <w:spacing w:val="39"/>
          <w:sz w:val="20"/>
        </w:rPr>
        <w:t> </w:t>
      </w:r>
      <w:r>
        <w:rPr>
          <w:sz w:val="20"/>
        </w:rPr>
        <w:t>para</w:t>
      </w:r>
      <w:r>
        <w:rPr>
          <w:spacing w:val="36"/>
          <w:sz w:val="20"/>
        </w:rPr>
        <w:t> </w:t>
      </w:r>
      <w:r>
        <w:rPr>
          <w:sz w:val="20"/>
        </w:rPr>
        <w:t>la</w:t>
      </w:r>
      <w:r>
        <w:rPr>
          <w:spacing w:val="36"/>
          <w:sz w:val="20"/>
        </w:rPr>
        <w:t> </w:t>
      </w:r>
      <w:r>
        <w:rPr>
          <w:sz w:val="20"/>
        </w:rPr>
        <w:t>Valuación</w:t>
      </w:r>
      <w:r>
        <w:rPr>
          <w:spacing w:val="40"/>
          <w:sz w:val="20"/>
        </w:rPr>
        <w:t> </w:t>
      </w:r>
      <w:r>
        <w:rPr>
          <w:sz w:val="20"/>
        </w:rPr>
        <w:t>de</w:t>
      </w:r>
      <w:r>
        <w:rPr>
          <w:spacing w:val="36"/>
          <w:sz w:val="20"/>
        </w:rPr>
        <w:t> </w:t>
      </w:r>
      <w:r>
        <w:rPr>
          <w:sz w:val="20"/>
        </w:rPr>
        <w:t>las</w:t>
      </w:r>
      <w:r>
        <w:rPr>
          <w:spacing w:val="39"/>
          <w:sz w:val="20"/>
        </w:rPr>
        <w:t> </w:t>
      </w:r>
      <w:r>
        <w:rPr>
          <w:sz w:val="20"/>
        </w:rPr>
        <w:t>Enfermedades</w:t>
      </w:r>
      <w:r>
        <w:rPr>
          <w:spacing w:val="37"/>
          <w:sz w:val="20"/>
        </w:rPr>
        <w:t> </w:t>
      </w:r>
      <w:r>
        <w:rPr>
          <w:sz w:val="20"/>
        </w:rPr>
        <w:t>de</w:t>
      </w:r>
      <w:r>
        <w:rPr>
          <w:spacing w:val="35"/>
          <w:sz w:val="20"/>
        </w:rPr>
        <w:t> </w:t>
      </w:r>
      <w:r>
        <w:rPr>
          <w:sz w:val="20"/>
        </w:rPr>
        <w:t>Trabajo,</w:t>
      </w:r>
      <w:r>
        <w:rPr>
          <w:spacing w:val="38"/>
          <w:sz w:val="20"/>
        </w:rPr>
        <w:t> </w:t>
      </w:r>
      <w:r>
        <w:rPr>
          <w:sz w:val="20"/>
        </w:rPr>
        <w:t>que</w:t>
      </w:r>
      <w:r>
        <w:rPr>
          <w:spacing w:val="36"/>
          <w:sz w:val="20"/>
        </w:rPr>
        <w:t> </w:t>
      </w:r>
      <w:r>
        <w:rPr>
          <w:sz w:val="20"/>
        </w:rPr>
        <w:t>tengan</w:t>
      </w:r>
      <w:r>
        <w:rPr>
          <w:spacing w:val="35"/>
          <w:sz w:val="20"/>
        </w:rPr>
        <w:t> </w:t>
      </w:r>
      <w:r>
        <w:rPr>
          <w:sz w:val="20"/>
        </w:rPr>
        <w:t>su</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058"/>
      </w:pPr>
      <w:r>
        <w:rPr/>
        <w:t>origen</w:t>
      </w:r>
      <w:r>
        <w:rPr>
          <w:spacing w:val="32"/>
        </w:rPr>
        <w:t> </w:t>
      </w:r>
      <w:r>
        <w:rPr/>
        <w:t>o</w:t>
      </w:r>
      <w:r>
        <w:rPr>
          <w:spacing w:val="34"/>
        </w:rPr>
        <w:t> </w:t>
      </w:r>
      <w:r>
        <w:rPr/>
        <w:t>con</w:t>
      </w:r>
      <w:r>
        <w:rPr>
          <w:spacing w:val="34"/>
        </w:rPr>
        <w:t> </w:t>
      </w:r>
      <w:r>
        <w:rPr/>
        <w:t>motivo</w:t>
      </w:r>
      <w:r>
        <w:rPr>
          <w:spacing w:val="34"/>
        </w:rPr>
        <w:t> </w:t>
      </w:r>
      <w:r>
        <w:rPr/>
        <w:t>del</w:t>
      </w:r>
      <w:r>
        <w:rPr>
          <w:spacing w:val="31"/>
        </w:rPr>
        <w:t> </w:t>
      </w:r>
      <w:r>
        <w:rPr/>
        <w:t>trabajo</w:t>
      </w:r>
      <w:r>
        <w:rPr>
          <w:spacing w:val="34"/>
        </w:rPr>
        <w:t> </w:t>
      </w:r>
      <w:r>
        <w:rPr/>
        <w:t>o</w:t>
      </w:r>
      <w:r>
        <w:rPr>
          <w:spacing w:val="32"/>
        </w:rPr>
        <w:t> </w:t>
      </w:r>
      <w:r>
        <w:rPr/>
        <w:t>en</w:t>
      </w:r>
      <w:r>
        <w:rPr>
          <w:spacing w:val="34"/>
        </w:rPr>
        <w:t> </w:t>
      </w:r>
      <w:r>
        <w:rPr/>
        <w:t>el</w:t>
      </w:r>
      <w:r>
        <w:rPr>
          <w:spacing w:val="33"/>
        </w:rPr>
        <w:t> </w:t>
      </w:r>
      <w:r>
        <w:rPr/>
        <w:t>medio</w:t>
      </w:r>
      <w:r>
        <w:rPr>
          <w:spacing w:val="32"/>
        </w:rPr>
        <w:t> </w:t>
      </w:r>
      <w:r>
        <w:rPr/>
        <w:t>que</w:t>
      </w:r>
      <w:r>
        <w:rPr>
          <w:spacing w:val="34"/>
        </w:rPr>
        <w:t> </w:t>
      </w:r>
      <w:r>
        <w:rPr/>
        <w:t>la</w:t>
      </w:r>
      <w:r>
        <w:rPr>
          <w:spacing w:val="32"/>
        </w:rPr>
        <w:t> </w:t>
      </w:r>
      <w:r>
        <w:rPr/>
        <w:t>persona</w:t>
      </w:r>
      <w:r>
        <w:rPr>
          <w:spacing w:val="34"/>
        </w:rPr>
        <w:t> </w:t>
      </w:r>
      <w:r>
        <w:rPr/>
        <w:t>trabajadora</w:t>
      </w:r>
      <w:r>
        <w:rPr>
          <w:spacing w:val="32"/>
        </w:rPr>
        <w:t> </w:t>
      </w:r>
      <w:r>
        <w:rPr/>
        <w:t>se</w:t>
      </w:r>
      <w:r>
        <w:rPr>
          <w:spacing w:val="37"/>
        </w:rPr>
        <w:t> </w:t>
      </w:r>
      <w:r>
        <w:rPr/>
        <w:t>vea</w:t>
      </w:r>
      <w:r>
        <w:rPr>
          <w:spacing w:val="34"/>
        </w:rPr>
        <w:t> </w:t>
      </w:r>
      <w:r>
        <w:rPr/>
        <w:t>obligada</w:t>
      </w:r>
      <w:r>
        <w:rPr>
          <w:spacing w:val="34"/>
        </w:rPr>
        <w:t> </w:t>
      </w:r>
      <w:r>
        <w:rPr/>
        <w:t>a prestar sus servicios.</w:t>
      </w:r>
    </w:p>
    <w:p>
      <w:pPr>
        <w:pStyle w:val="Heading3"/>
        <w:numPr>
          <w:ilvl w:val="1"/>
          <w:numId w:val="160"/>
        </w:numPr>
        <w:tabs>
          <w:tab w:pos="956" w:val="left" w:leader="none"/>
        </w:tabs>
        <w:spacing w:line="240" w:lineRule="auto" w:before="229" w:after="0"/>
        <w:ind w:left="956" w:right="0" w:hanging="330"/>
        <w:jc w:val="left"/>
      </w:pPr>
      <w:r>
        <w:rPr/>
        <w:t>Dermatitis</w:t>
      </w:r>
      <w:r>
        <w:rPr>
          <w:spacing w:val="-9"/>
        </w:rPr>
        <w:t> </w:t>
      </w:r>
      <w:r>
        <w:rPr/>
        <w:t>alérgica</w:t>
      </w:r>
      <w:r>
        <w:rPr>
          <w:spacing w:val="-8"/>
        </w:rPr>
        <w:t> </w:t>
      </w:r>
      <w:r>
        <w:rPr/>
        <w:t>de</w:t>
      </w:r>
      <w:r>
        <w:rPr>
          <w:spacing w:val="-6"/>
        </w:rPr>
        <w:t> </w:t>
      </w:r>
      <w:r>
        <w:rPr>
          <w:spacing w:val="-2"/>
        </w:rPr>
        <w:t>contacto</w:t>
      </w:r>
    </w:p>
    <w:p>
      <w:pPr>
        <w:pStyle w:val="BodyText"/>
        <w:spacing w:before="3"/>
        <w:rPr>
          <w:rFonts w:ascii="Arial"/>
          <w:b/>
        </w:rPr>
      </w:pPr>
    </w:p>
    <w:p>
      <w:pPr>
        <w:pStyle w:val="BodyText"/>
        <w:ind w:left="626"/>
      </w:pPr>
      <w:r>
        <w:rPr/>
        <w:t>Código</w:t>
      </w:r>
      <w:r>
        <w:rPr>
          <w:spacing w:val="-10"/>
        </w:rPr>
        <w:t> </w:t>
      </w:r>
      <w:r>
        <w:rPr/>
        <w:t>CIE-11:</w:t>
      </w:r>
      <w:r>
        <w:rPr>
          <w:spacing w:val="-7"/>
        </w:rPr>
        <w:t> </w:t>
      </w:r>
      <w:r>
        <w:rPr>
          <w:spacing w:val="-4"/>
        </w:rPr>
        <w:t>EK00</w:t>
      </w:r>
    </w:p>
    <w:p>
      <w:pPr>
        <w:pStyle w:val="ListParagraph"/>
        <w:numPr>
          <w:ilvl w:val="2"/>
          <w:numId w:val="160"/>
        </w:numPr>
        <w:tabs>
          <w:tab w:pos="1045" w:val="left" w:leader="none"/>
          <w:tab w:pos="1058" w:val="left" w:leader="none"/>
        </w:tabs>
        <w:spacing w:line="240" w:lineRule="auto" w:before="227" w:after="0"/>
        <w:ind w:left="1058" w:right="336" w:hanging="432"/>
        <w:jc w:val="both"/>
        <w:rPr>
          <w:sz w:val="20"/>
        </w:rPr>
      </w:pPr>
      <w:r>
        <w:rPr>
          <w:sz w:val="20"/>
        </w:rPr>
        <w:t>Personas trabajadoras de la industria de la construcción, cromado electrolítico, fotograbado, fotografía, industria textil, metalmecánica y tintorerías. Estomatólogos, odontólogos, personas trabajadoras de la manufactura de hules, de la industria de la construcción y fabricación de plásticos.</w:t>
      </w:r>
      <w:r>
        <w:rPr>
          <w:spacing w:val="-3"/>
          <w:sz w:val="20"/>
        </w:rPr>
        <w:t> </w:t>
      </w:r>
      <w:r>
        <w:rPr>
          <w:sz w:val="20"/>
        </w:rPr>
        <w:t>Personas</w:t>
      </w:r>
      <w:r>
        <w:rPr>
          <w:spacing w:val="-2"/>
          <w:sz w:val="20"/>
        </w:rPr>
        <w:t> </w:t>
      </w:r>
      <w:r>
        <w:rPr>
          <w:sz w:val="20"/>
        </w:rPr>
        <w:t>trabajadoras</w:t>
      </w:r>
      <w:r>
        <w:rPr>
          <w:spacing w:val="-3"/>
          <w:sz w:val="20"/>
        </w:rPr>
        <w:t> </w:t>
      </w:r>
      <w:r>
        <w:rPr>
          <w:sz w:val="20"/>
        </w:rPr>
        <w:t>de</w:t>
      </w:r>
      <w:r>
        <w:rPr>
          <w:spacing w:val="-3"/>
          <w:sz w:val="20"/>
        </w:rPr>
        <w:t> </w:t>
      </w:r>
      <w:r>
        <w:rPr>
          <w:sz w:val="20"/>
        </w:rPr>
        <w:t>la</w:t>
      </w:r>
      <w:r>
        <w:rPr>
          <w:spacing w:val="-3"/>
          <w:sz w:val="20"/>
        </w:rPr>
        <w:t> </w:t>
      </w:r>
      <w:r>
        <w:rPr>
          <w:sz w:val="20"/>
        </w:rPr>
        <w:t>industria</w:t>
      </w:r>
      <w:r>
        <w:rPr>
          <w:spacing w:val="-3"/>
          <w:sz w:val="20"/>
        </w:rPr>
        <w:t> </w:t>
      </w:r>
      <w:r>
        <w:rPr>
          <w:sz w:val="20"/>
        </w:rPr>
        <w:t>del</w:t>
      </w:r>
      <w:r>
        <w:rPr>
          <w:spacing w:val="-4"/>
          <w:sz w:val="20"/>
        </w:rPr>
        <w:t> </w:t>
      </w:r>
      <w:r>
        <w:rPr>
          <w:sz w:val="20"/>
        </w:rPr>
        <w:t>alquitrán,</w:t>
      </w:r>
      <w:r>
        <w:rPr>
          <w:spacing w:val="-3"/>
          <w:sz w:val="20"/>
        </w:rPr>
        <w:t> </w:t>
      </w:r>
      <w:r>
        <w:rPr>
          <w:sz w:val="20"/>
        </w:rPr>
        <w:t>asfaltos,</w:t>
      </w:r>
      <w:r>
        <w:rPr>
          <w:spacing w:val="-4"/>
          <w:sz w:val="20"/>
        </w:rPr>
        <w:t> </w:t>
      </w:r>
      <w:r>
        <w:rPr>
          <w:sz w:val="20"/>
        </w:rPr>
        <w:t>pinturas,</w:t>
      </w:r>
      <w:r>
        <w:rPr>
          <w:spacing w:val="-3"/>
          <w:sz w:val="20"/>
        </w:rPr>
        <w:t> </w:t>
      </w:r>
      <w:r>
        <w:rPr>
          <w:sz w:val="20"/>
        </w:rPr>
        <w:t>productos</w:t>
      </w:r>
      <w:r>
        <w:rPr>
          <w:spacing w:val="-2"/>
          <w:sz w:val="20"/>
        </w:rPr>
        <w:t> </w:t>
      </w:r>
      <w:r>
        <w:rPr>
          <w:sz w:val="20"/>
        </w:rPr>
        <w:t>de</w:t>
      </w:r>
      <w:r>
        <w:rPr>
          <w:spacing w:val="-3"/>
          <w:sz w:val="20"/>
        </w:rPr>
        <w:t> </w:t>
      </w:r>
      <w:r>
        <w:rPr>
          <w:sz w:val="20"/>
        </w:rPr>
        <w:t>hule derivados de la parafenilendiamina, química y tintas. Personas trabajadoras de la industria petroquímica. Personas trabajadoras de estéticas, peluquerías, salones de belleza que se expongan a la tintura de pelo. Exposición a productos de belleza.</w:t>
      </w:r>
    </w:p>
    <w:p>
      <w:pPr>
        <w:pStyle w:val="BodyText"/>
        <w:spacing w:before="1"/>
      </w:pPr>
    </w:p>
    <w:p>
      <w:pPr>
        <w:pStyle w:val="ListParagraph"/>
        <w:numPr>
          <w:ilvl w:val="2"/>
          <w:numId w:val="160"/>
        </w:numPr>
        <w:tabs>
          <w:tab w:pos="1045" w:val="left" w:leader="none"/>
          <w:tab w:pos="1058" w:val="left" w:leader="none"/>
        </w:tabs>
        <w:spacing w:line="240" w:lineRule="auto" w:before="0" w:after="0"/>
        <w:ind w:left="1058" w:right="331" w:hanging="432"/>
        <w:jc w:val="both"/>
        <w:rPr>
          <w:sz w:val="20"/>
        </w:rPr>
      </w:pPr>
      <w:r>
        <w:rPr>
          <w:sz w:val="20"/>
        </w:rPr>
        <w:t>Personas trabajadoras de</w:t>
      </w:r>
      <w:r>
        <w:rPr>
          <w:spacing w:val="-1"/>
          <w:sz w:val="20"/>
        </w:rPr>
        <w:t> </w:t>
      </w:r>
      <w:r>
        <w:rPr>
          <w:sz w:val="20"/>
        </w:rPr>
        <w:t>la</w:t>
      </w:r>
      <w:r>
        <w:rPr>
          <w:spacing w:val="-1"/>
          <w:sz w:val="20"/>
        </w:rPr>
        <w:t> </w:t>
      </w:r>
      <w:r>
        <w:rPr>
          <w:sz w:val="20"/>
        </w:rPr>
        <w:t>agricultura,</w:t>
      </w:r>
      <w:r>
        <w:rPr>
          <w:spacing w:val="-1"/>
          <w:sz w:val="20"/>
        </w:rPr>
        <w:t> </w:t>
      </w:r>
      <w:r>
        <w:rPr>
          <w:sz w:val="20"/>
        </w:rPr>
        <w:t>en la</w:t>
      </w:r>
      <w:r>
        <w:rPr>
          <w:spacing w:val="-1"/>
          <w:sz w:val="20"/>
        </w:rPr>
        <w:t> </w:t>
      </w:r>
      <w:r>
        <w:rPr>
          <w:sz w:val="20"/>
        </w:rPr>
        <w:t>carpintería,</w:t>
      </w:r>
      <w:r>
        <w:rPr>
          <w:spacing w:val="-1"/>
          <w:sz w:val="20"/>
        </w:rPr>
        <w:t> </w:t>
      </w:r>
      <w:r>
        <w:rPr>
          <w:sz w:val="20"/>
        </w:rPr>
        <w:t>en el cultivo de</w:t>
      </w:r>
      <w:r>
        <w:rPr>
          <w:spacing w:val="-2"/>
          <w:sz w:val="20"/>
        </w:rPr>
        <w:t> </w:t>
      </w:r>
      <w:r>
        <w:rPr>
          <w:sz w:val="20"/>
        </w:rPr>
        <w:t>champiñón, estibadores de materia prima (cárnicos, legumbres, verduras, entre otros), floristas, jardineros y manipuladores de alimentos. Personas trabajadoras de la industria de la vainilla. Personas trabajadoras de la producción y empaquetado de la industria farmacéutica.</w:t>
      </w:r>
    </w:p>
    <w:p>
      <w:pPr>
        <w:pStyle w:val="ListParagraph"/>
        <w:numPr>
          <w:ilvl w:val="2"/>
          <w:numId w:val="160"/>
        </w:numPr>
        <w:tabs>
          <w:tab w:pos="1045" w:val="left" w:leader="none"/>
          <w:tab w:pos="1058" w:val="left" w:leader="none"/>
        </w:tabs>
        <w:spacing w:line="240" w:lineRule="auto" w:before="227" w:after="0"/>
        <w:ind w:left="1058" w:right="337"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6" w:val="left" w:leader="none"/>
        </w:tabs>
        <w:spacing w:line="240" w:lineRule="auto" w:before="228" w:after="0"/>
        <w:ind w:left="956" w:right="0" w:hanging="330"/>
        <w:jc w:val="left"/>
      </w:pPr>
      <w:r>
        <w:rPr/>
        <w:t>Dermatitis</w:t>
      </w:r>
      <w:r>
        <w:rPr>
          <w:spacing w:val="-8"/>
        </w:rPr>
        <w:t> </w:t>
      </w:r>
      <w:r>
        <w:rPr/>
        <w:t>irritante</w:t>
      </w:r>
      <w:r>
        <w:rPr>
          <w:spacing w:val="-7"/>
        </w:rPr>
        <w:t> </w:t>
      </w:r>
      <w:r>
        <w:rPr/>
        <w:t>de</w:t>
      </w:r>
      <w:r>
        <w:rPr>
          <w:spacing w:val="-6"/>
        </w:rPr>
        <w:t> </w:t>
      </w:r>
      <w:r>
        <w:rPr>
          <w:spacing w:val="-2"/>
        </w:rPr>
        <w:t>contacto</w:t>
      </w:r>
    </w:p>
    <w:p>
      <w:pPr>
        <w:pStyle w:val="BodyText"/>
        <w:spacing w:before="1"/>
        <w:rPr>
          <w:rFonts w:ascii="Arial"/>
          <w:b/>
        </w:rPr>
      </w:pPr>
    </w:p>
    <w:p>
      <w:pPr>
        <w:pStyle w:val="BodyText"/>
        <w:spacing w:before="1"/>
        <w:ind w:left="626"/>
      </w:pPr>
      <w:r>
        <w:rPr/>
        <w:t>Código</w:t>
      </w:r>
      <w:r>
        <w:rPr>
          <w:spacing w:val="-10"/>
        </w:rPr>
        <w:t> </w:t>
      </w:r>
      <w:r>
        <w:rPr/>
        <w:t>CIE-11:</w:t>
      </w:r>
      <w:r>
        <w:rPr>
          <w:spacing w:val="-7"/>
        </w:rPr>
        <w:t> </w:t>
      </w:r>
      <w:r>
        <w:rPr>
          <w:spacing w:val="-2"/>
        </w:rPr>
        <w:t>EK02.0</w:t>
      </w:r>
    </w:p>
    <w:p>
      <w:pPr>
        <w:pStyle w:val="ListParagraph"/>
        <w:numPr>
          <w:ilvl w:val="2"/>
          <w:numId w:val="160"/>
        </w:numPr>
        <w:tabs>
          <w:tab w:pos="1045" w:val="left" w:leader="none"/>
          <w:tab w:pos="1058" w:val="left" w:leader="none"/>
        </w:tabs>
        <w:spacing w:line="240" w:lineRule="auto" w:before="229" w:after="0"/>
        <w:ind w:left="1058" w:right="346" w:hanging="432"/>
        <w:jc w:val="both"/>
        <w:rPr>
          <w:sz w:val="20"/>
        </w:rPr>
      </w:pPr>
      <w:r>
        <w:rPr>
          <w:sz w:val="20"/>
        </w:rPr>
        <w:t>Personas trabajadoras al aire libre, artistas cinematográficos, gabinetes de fisioterapia, salineros, soldadores, vidrieros, cocineros, cantineros, industria farmacéutica y cosmética.</w:t>
      </w:r>
    </w:p>
    <w:p>
      <w:pPr>
        <w:pStyle w:val="ListParagraph"/>
        <w:numPr>
          <w:ilvl w:val="2"/>
          <w:numId w:val="160"/>
        </w:numPr>
        <w:tabs>
          <w:tab w:pos="1045" w:val="left" w:leader="none"/>
          <w:tab w:pos="1058" w:val="left" w:leader="none"/>
        </w:tabs>
        <w:spacing w:line="240" w:lineRule="auto" w:before="228" w:after="0"/>
        <w:ind w:left="1058" w:right="343" w:hanging="432"/>
        <w:jc w:val="both"/>
        <w:rPr>
          <w:sz w:val="20"/>
        </w:rPr>
      </w:pPr>
      <w:r>
        <w:rPr>
          <w:sz w:val="20"/>
        </w:rPr>
        <w:t>Personas</w:t>
      </w:r>
      <w:r>
        <w:rPr>
          <w:spacing w:val="-4"/>
          <w:sz w:val="20"/>
        </w:rPr>
        <w:t> </w:t>
      </w:r>
      <w:r>
        <w:rPr>
          <w:sz w:val="20"/>
        </w:rPr>
        <w:t>trabajadoras</w:t>
      </w:r>
      <w:r>
        <w:rPr>
          <w:spacing w:val="-3"/>
          <w:sz w:val="20"/>
        </w:rPr>
        <w:t> </w:t>
      </w:r>
      <w:r>
        <w:rPr>
          <w:sz w:val="20"/>
        </w:rPr>
        <w:t>de</w:t>
      </w:r>
      <w:r>
        <w:rPr>
          <w:spacing w:val="-5"/>
          <w:sz w:val="20"/>
        </w:rPr>
        <w:t> </w:t>
      </w:r>
      <w:r>
        <w:rPr>
          <w:sz w:val="20"/>
        </w:rPr>
        <w:t>las</w:t>
      </w:r>
      <w:r>
        <w:rPr>
          <w:spacing w:val="-4"/>
          <w:sz w:val="20"/>
        </w:rPr>
        <w:t> </w:t>
      </w:r>
      <w:r>
        <w:rPr>
          <w:sz w:val="20"/>
        </w:rPr>
        <w:t>industrias</w:t>
      </w:r>
      <w:r>
        <w:rPr>
          <w:spacing w:val="-4"/>
          <w:sz w:val="20"/>
        </w:rPr>
        <w:t> </w:t>
      </w:r>
      <w:r>
        <w:rPr>
          <w:sz w:val="20"/>
        </w:rPr>
        <w:t>del</w:t>
      </w:r>
      <w:r>
        <w:rPr>
          <w:spacing w:val="-4"/>
          <w:sz w:val="20"/>
        </w:rPr>
        <w:t> </w:t>
      </w:r>
      <w:r>
        <w:rPr>
          <w:sz w:val="20"/>
        </w:rPr>
        <w:t>petróleo,</w:t>
      </w:r>
      <w:r>
        <w:rPr>
          <w:spacing w:val="-5"/>
          <w:sz w:val="20"/>
        </w:rPr>
        <w:t> </w:t>
      </w:r>
      <w:r>
        <w:rPr>
          <w:sz w:val="20"/>
        </w:rPr>
        <w:t>petroquímica,</w:t>
      </w:r>
      <w:r>
        <w:rPr>
          <w:spacing w:val="-5"/>
          <w:sz w:val="20"/>
        </w:rPr>
        <w:t> </w:t>
      </w:r>
      <w:r>
        <w:rPr>
          <w:sz w:val="20"/>
        </w:rPr>
        <w:t>química,</w:t>
      </w:r>
      <w:r>
        <w:rPr>
          <w:spacing w:val="-5"/>
          <w:sz w:val="20"/>
        </w:rPr>
        <w:t> </w:t>
      </w:r>
      <w:r>
        <w:rPr>
          <w:sz w:val="20"/>
        </w:rPr>
        <w:t>cerámica,</w:t>
      </w:r>
      <w:r>
        <w:rPr>
          <w:spacing w:val="-8"/>
          <w:sz w:val="20"/>
        </w:rPr>
        <w:t> </w:t>
      </w:r>
      <w:r>
        <w:rPr>
          <w:sz w:val="20"/>
        </w:rPr>
        <w:t>fabricación del cloro y productos orgánicos clorados (acné clórico) y fabricación, manipulación y utilización</w:t>
      </w:r>
      <w:r>
        <w:rPr>
          <w:spacing w:val="40"/>
          <w:sz w:val="20"/>
        </w:rPr>
        <w:t> </w:t>
      </w:r>
      <w:r>
        <w:rPr>
          <w:sz w:val="20"/>
        </w:rPr>
        <w:t>del ácido fluorhídrico. Personas trabajadoras del grabado de vidrio, de laboratorio, de blanqueo, manejo y preparación del ácido sulfúrico. Personas trabajadoras expuestas a ácidos grasos e intoxicaciones por dioxinas.</w:t>
      </w:r>
    </w:p>
    <w:p>
      <w:pPr>
        <w:pStyle w:val="ListParagraph"/>
        <w:numPr>
          <w:ilvl w:val="2"/>
          <w:numId w:val="160"/>
        </w:numPr>
        <w:tabs>
          <w:tab w:pos="1045" w:val="left" w:leader="none"/>
          <w:tab w:pos="1058" w:val="left" w:leader="none"/>
        </w:tabs>
        <w:spacing w:line="240" w:lineRule="auto" w:before="230" w:after="0"/>
        <w:ind w:left="1058" w:right="333" w:hanging="432"/>
        <w:jc w:val="both"/>
        <w:rPr>
          <w:sz w:val="20"/>
        </w:rPr>
      </w:pPr>
      <w:r>
        <w:rPr>
          <w:sz w:val="20"/>
        </w:rPr>
        <w:t>Personas trabajadoras dedicadas a la producción y manipulación de estos álcalis. Agricultores, fumigadores y estibadores de pescado. Personas trabajadoras de fundiciones. Personas trabajadoras de la manipulación de la cal, preparación de polvo de blanqueo, cemento, yeso, industria química y albañiles. Personas trabajadoras de la fabricación y utilización de esas substancias. Personas trabajadoras de la industria de abonos, cementos, hulera, linóleos, química, textil, tintorera y vidriera. Personas trabajadoras que utilizan y manipulan estas sustancias, tales como: anilinas, cianamida cálcica, dinitroclorobenceno, formaldehído, hexametilentetramina, hidrocarburos y parafenilendiamina. Personas trabajadoras expuestas al calor: caldereros, fogoneros, fundidores, herreros, horneros, panaderos y personas trabajadoras del vidrio. Personas trabajadoras expuestas al frío: cámaras frías, fabricación y manipulación de hielo y de productos refrigerados.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6"/>
      </w:pPr>
    </w:p>
    <w:p>
      <w:pPr>
        <w:pStyle w:val="ListParagraph"/>
        <w:numPr>
          <w:ilvl w:val="2"/>
          <w:numId w:val="160"/>
        </w:numPr>
        <w:tabs>
          <w:tab w:pos="1045" w:val="left" w:leader="none"/>
          <w:tab w:pos="1058" w:val="left" w:leader="none"/>
        </w:tabs>
        <w:spacing w:line="240" w:lineRule="auto" w:before="0" w:after="0"/>
        <w:ind w:left="1058" w:right="341" w:hanging="432"/>
        <w:jc w:val="both"/>
        <w:rPr>
          <w:sz w:val="20"/>
        </w:rPr>
      </w:pPr>
      <w:r>
        <w:rPr>
          <w:sz w:val="20"/>
        </w:rPr>
        <w:t>Personas trabajadoras en actividades como: alijadores, cáñamo, cargadores, carpinteros, carretilleros, cocineras, cortadores de metales, cosecheros de caña, costureras, dibujantes, ebanistas, escribientes, estibadores, grabadores, herreros, hilanderos, jardineros, lana, lavanderas, lino, marmoleros, mineros, músicos, panaderos, peinadores y manipuladores de fibras, peluqueros, picapedreros, planchadoras, pulidores, sastres, sombrereros, toneleros, vainilleros, vidrieros y zapateros.</w:t>
      </w:r>
    </w:p>
    <w:p>
      <w:pPr>
        <w:pStyle w:val="ListParagraph"/>
        <w:numPr>
          <w:ilvl w:val="2"/>
          <w:numId w:val="160"/>
        </w:numPr>
        <w:tabs>
          <w:tab w:pos="1045" w:val="left" w:leader="none"/>
          <w:tab w:pos="1058" w:val="left" w:leader="none"/>
        </w:tabs>
        <w:spacing w:line="240" w:lineRule="auto" w:before="228" w:after="0"/>
        <w:ind w:left="1058" w:right="337" w:hanging="432"/>
        <w:jc w:val="both"/>
        <w:rPr>
          <w:sz w:val="20"/>
        </w:rPr>
      </w:pPr>
      <w:r>
        <w:rPr>
          <w:sz w:val="20"/>
        </w:rPr>
        <w:t>Personas trabajadoras en actividades como: curtidores, especieros del trigo y harina, panaderos, peluqueros, personas trabajadoras de los astilleros que manipulan cereales parasitados, penicilina y otros compuestos medicamentosos. Barnizadores, bataneros, blanqueadores de tejidos por medio de vapores de azufre, hiladores y colectores de lana, canteros, cocineros, colorantes vegetales, desengrasadores de trapo, ebanistas, enfermeras, especieros, fotógrafos, laboratoristas, lavanderos, lavaplatos,</w:t>
      </w:r>
      <w:r>
        <w:rPr>
          <w:spacing w:val="-2"/>
          <w:sz w:val="20"/>
        </w:rPr>
        <w:t> </w:t>
      </w:r>
      <w:r>
        <w:rPr>
          <w:sz w:val="20"/>
        </w:rPr>
        <w:t>manipuladores</w:t>
      </w:r>
      <w:r>
        <w:rPr>
          <w:spacing w:val="-2"/>
          <w:sz w:val="20"/>
        </w:rPr>
        <w:t> </w:t>
      </w:r>
      <w:r>
        <w:rPr>
          <w:sz w:val="20"/>
        </w:rPr>
        <w:t>de</w:t>
      </w:r>
      <w:r>
        <w:rPr>
          <w:spacing w:val="-2"/>
          <w:sz w:val="20"/>
        </w:rPr>
        <w:t> </w:t>
      </w:r>
      <w:r>
        <w:rPr>
          <w:sz w:val="20"/>
        </w:rPr>
        <w:t>petróleo y</w:t>
      </w:r>
      <w:r>
        <w:rPr>
          <w:spacing w:val="-3"/>
          <w:sz w:val="20"/>
        </w:rPr>
        <w:t> </w:t>
      </w:r>
      <w:r>
        <w:rPr>
          <w:sz w:val="20"/>
        </w:rPr>
        <w:t>de</w:t>
      </w:r>
      <w:r>
        <w:rPr>
          <w:spacing w:val="-1"/>
          <w:sz w:val="20"/>
        </w:rPr>
        <w:t> </w:t>
      </w:r>
      <w:r>
        <w:rPr>
          <w:sz w:val="20"/>
        </w:rPr>
        <w:t>la</w:t>
      </w:r>
      <w:r>
        <w:rPr>
          <w:spacing w:val="-1"/>
          <w:sz w:val="20"/>
        </w:rPr>
        <w:t> </w:t>
      </w:r>
      <w:r>
        <w:rPr>
          <w:sz w:val="20"/>
        </w:rPr>
        <w:t>gasolina,</w:t>
      </w:r>
      <w:r>
        <w:rPr>
          <w:spacing w:val="-1"/>
          <w:sz w:val="20"/>
        </w:rPr>
        <w:t> </w:t>
      </w:r>
      <w:r>
        <w:rPr>
          <w:sz w:val="20"/>
        </w:rPr>
        <w:t>manipuladores de pinturas, médicos, mineros y sales metálicas.</w:t>
      </w:r>
    </w:p>
    <w:p>
      <w:pPr>
        <w:pStyle w:val="ListParagraph"/>
        <w:numPr>
          <w:ilvl w:val="2"/>
          <w:numId w:val="160"/>
        </w:numPr>
        <w:tabs>
          <w:tab w:pos="1045" w:val="left" w:leader="none"/>
          <w:tab w:pos="1058" w:val="left" w:leader="none"/>
        </w:tabs>
        <w:spacing w:line="240" w:lineRule="auto" w:before="228" w:after="0"/>
        <w:ind w:left="1058" w:right="341"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958" w:val="left" w:leader="none"/>
        </w:tabs>
        <w:spacing w:line="240" w:lineRule="auto" w:before="229" w:after="0"/>
        <w:ind w:left="958" w:right="0" w:hanging="332"/>
        <w:jc w:val="left"/>
      </w:pPr>
      <w:r>
        <w:rPr/>
        <w:t>Pigmentación</w:t>
      </w:r>
      <w:r>
        <w:rPr>
          <w:spacing w:val="-7"/>
        </w:rPr>
        <w:t> </w:t>
      </w:r>
      <w:r>
        <w:rPr/>
        <w:t>anormal</w:t>
      </w:r>
      <w:r>
        <w:rPr>
          <w:spacing w:val="-8"/>
        </w:rPr>
        <w:t> </w:t>
      </w:r>
      <w:r>
        <w:rPr/>
        <w:t>de</w:t>
      </w:r>
      <w:r>
        <w:rPr>
          <w:spacing w:val="-8"/>
        </w:rPr>
        <w:t> </w:t>
      </w:r>
      <w:r>
        <w:rPr/>
        <w:t>la</w:t>
      </w:r>
      <w:r>
        <w:rPr>
          <w:spacing w:val="-8"/>
        </w:rPr>
        <w:t> </w:t>
      </w:r>
      <w:r>
        <w:rPr>
          <w:spacing w:val="-4"/>
        </w:rPr>
        <w:t>piel</w:t>
      </w:r>
    </w:p>
    <w:p>
      <w:pPr>
        <w:pStyle w:val="BodyText"/>
        <w:rPr>
          <w:rFonts w:ascii="Arial"/>
          <w:b/>
        </w:rPr>
      </w:pPr>
    </w:p>
    <w:p>
      <w:pPr>
        <w:pStyle w:val="BodyText"/>
        <w:spacing w:before="1"/>
        <w:ind w:left="626"/>
      </w:pPr>
      <w:r>
        <w:rPr/>
        <w:t>Código</w:t>
      </w:r>
      <w:r>
        <w:rPr>
          <w:spacing w:val="-10"/>
        </w:rPr>
        <w:t> </w:t>
      </w:r>
      <w:r>
        <w:rPr/>
        <w:t>CIE-11:</w:t>
      </w:r>
      <w:r>
        <w:rPr>
          <w:spacing w:val="-7"/>
        </w:rPr>
        <w:t> </w:t>
      </w:r>
      <w:r>
        <w:rPr>
          <w:spacing w:val="-4"/>
        </w:rPr>
        <w:t>ED64</w:t>
      </w:r>
    </w:p>
    <w:p>
      <w:pPr>
        <w:pStyle w:val="ListParagraph"/>
        <w:numPr>
          <w:ilvl w:val="2"/>
          <w:numId w:val="160"/>
        </w:numPr>
        <w:tabs>
          <w:tab w:pos="1045" w:val="left" w:leader="none"/>
          <w:tab w:pos="1058" w:val="left" w:leader="none"/>
        </w:tabs>
        <w:spacing w:line="240" w:lineRule="auto" w:before="229" w:after="0"/>
        <w:ind w:left="1058" w:right="341" w:hanging="432"/>
        <w:jc w:val="both"/>
        <w:rPr>
          <w:sz w:val="20"/>
        </w:rPr>
      </w:pPr>
      <w:r>
        <w:rPr>
          <w:sz w:val="20"/>
        </w:rPr>
        <w:t>Personas trabajadoras con actividades relacionadas con el revelado no automatizado, con la industria del hule y la de vulcanización. Personas trabajadoras de la industria farmacéutica y cosmética expuestas a hidroquinona. Personas usuarias de equipo de protección fabricado con hule. Personas trabajadoras expuestas a fuentes de calor.</w:t>
      </w:r>
    </w:p>
    <w:p>
      <w:pPr>
        <w:pStyle w:val="ListParagraph"/>
        <w:numPr>
          <w:ilvl w:val="2"/>
          <w:numId w:val="160"/>
        </w:numPr>
        <w:tabs>
          <w:tab w:pos="1045" w:val="left" w:leader="none"/>
          <w:tab w:pos="1058" w:val="left" w:leader="none"/>
        </w:tabs>
        <w:spacing w:line="240" w:lineRule="auto" w:before="229" w:after="0"/>
        <w:ind w:left="1058" w:right="33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w:t>
      </w:r>
      <w:r>
        <w:rPr>
          <w:spacing w:val="40"/>
          <w:sz w:val="20"/>
        </w:rPr>
        <w:t> </w:t>
      </w:r>
      <w:r>
        <w:rPr>
          <w:sz w:val="20"/>
        </w:rPr>
        <w:t>origen o con motivo del trabajo o en el medio que la persona trabajadora se vea obligada a prestar sus servicios.</w:t>
      </w:r>
    </w:p>
    <w:p>
      <w:pPr>
        <w:pStyle w:val="Heading3"/>
        <w:numPr>
          <w:ilvl w:val="1"/>
          <w:numId w:val="160"/>
        </w:numPr>
        <w:tabs>
          <w:tab w:pos="956" w:val="left" w:leader="none"/>
        </w:tabs>
        <w:spacing w:line="240" w:lineRule="auto" w:before="227" w:after="0"/>
        <w:ind w:left="956" w:right="0" w:hanging="330"/>
        <w:jc w:val="left"/>
      </w:pPr>
      <w:r>
        <w:rPr/>
        <w:t>Dermatosis</w:t>
      </w:r>
      <w:r>
        <w:rPr>
          <w:spacing w:val="-9"/>
        </w:rPr>
        <w:t> </w:t>
      </w:r>
      <w:r>
        <w:rPr/>
        <w:t>por</w:t>
      </w:r>
      <w:r>
        <w:rPr>
          <w:spacing w:val="-6"/>
        </w:rPr>
        <w:t> </w:t>
      </w:r>
      <w:r>
        <w:rPr/>
        <w:t>radiación</w:t>
      </w:r>
      <w:r>
        <w:rPr>
          <w:spacing w:val="-7"/>
        </w:rPr>
        <w:t> </w:t>
      </w:r>
      <w:r>
        <w:rPr/>
        <w:t>ionizante,</w:t>
      </w:r>
      <w:r>
        <w:rPr>
          <w:spacing w:val="-8"/>
        </w:rPr>
        <w:t> </w:t>
      </w:r>
      <w:r>
        <w:rPr/>
        <w:t>sin</w:t>
      </w:r>
      <w:r>
        <w:rPr>
          <w:spacing w:val="-5"/>
        </w:rPr>
        <w:t> </w:t>
      </w:r>
      <w:r>
        <w:rPr>
          <w:spacing w:val="-2"/>
        </w:rPr>
        <w:t>especificación</w:t>
      </w:r>
    </w:p>
    <w:p>
      <w:pPr>
        <w:pStyle w:val="BodyText"/>
        <w:spacing w:before="3"/>
        <w:rPr>
          <w:rFonts w:ascii="Arial"/>
          <w:b/>
        </w:rPr>
      </w:pPr>
    </w:p>
    <w:p>
      <w:pPr>
        <w:pStyle w:val="BodyText"/>
        <w:ind w:left="626"/>
      </w:pPr>
      <w:r>
        <w:rPr/>
        <w:t>Código</w:t>
      </w:r>
      <w:r>
        <w:rPr>
          <w:spacing w:val="-10"/>
        </w:rPr>
        <w:t> </w:t>
      </w:r>
      <w:r>
        <w:rPr/>
        <w:t>CIE-11:</w:t>
      </w:r>
      <w:r>
        <w:rPr>
          <w:spacing w:val="-7"/>
        </w:rPr>
        <w:t> </w:t>
      </w:r>
      <w:r>
        <w:rPr>
          <w:spacing w:val="-4"/>
        </w:rPr>
        <w:t>EJ7Z</w:t>
      </w:r>
    </w:p>
    <w:p>
      <w:pPr>
        <w:pStyle w:val="ListParagraph"/>
        <w:numPr>
          <w:ilvl w:val="2"/>
          <w:numId w:val="160"/>
        </w:numPr>
        <w:tabs>
          <w:tab w:pos="1045" w:val="left" w:leader="none"/>
          <w:tab w:pos="1058" w:val="left" w:leader="none"/>
        </w:tabs>
        <w:spacing w:line="240" w:lineRule="auto" w:before="229" w:after="0"/>
        <w:ind w:left="1058" w:right="335" w:hanging="432"/>
        <w:jc w:val="both"/>
        <w:rPr>
          <w:sz w:val="20"/>
        </w:rPr>
      </w:pPr>
      <w:r>
        <w:rPr>
          <w:sz w:val="20"/>
        </w:rPr>
        <w:t>Personas trabajadoras en la industria nuclear, minas de uranio y</w:t>
      </w:r>
      <w:r>
        <w:rPr>
          <w:spacing w:val="-3"/>
          <w:sz w:val="20"/>
        </w:rPr>
        <w:t> </w:t>
      </w:r>
      <w:r>
        <w:rPr>
          <w:sz w:val="20"/>
        </w:rPr>
        <w:t>otros metales radioactivos, en el tratamiento de minerales y metalurgia, reactores nucleares, utilización de radio-elementos (gammagrafía, gamma y beta-terapia e isótopos), de generadores de radiaciones, así como personas trabajadoras y técnicos de rayos X y radio.</w:t>
      </w:r>
    </w:p>
    <w:p>
      <w:pPr>
        <w:pStyle w:val="ListParagraph"/>
        <w:numPr>
          <w:ilvl w:val="2"/>
          <w:numId w:val="160"/>
        </w:numPr>
        <w:tabs>
          <w:tab w:pos="1045" w:val="left" w:leader="none"/>
          <w:tab w:pos="1058" w:val="left" w:leader="none"/>
        </w:tabs>
        <w:spacing w:line="240" w:lineRule="auto" w:before="227" w:after="0"/>
        <w:ind w:left="1058" w:right="33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9" w:after="0"/>
        <w:ind w:left="1069" w:right="0" w:hanging="443"/>
        <w:jc w:val="left"/>
      </w:pPr>
      <w:r>
        <w:rPr/>
        <w:t>Urticaria</w:t>
      </w:r>
      <w:r>
        <w:rPr>
          <w:spacing w:val="-9"/>
        </w:rPr>
        <w:t> </w:t>
      </w:r>
      <w:r>
        <w:rPr/>
        <w:t>de</w:t>
      </w:r>
      <w:r>
        <w:rPr>
          <w:spacing w:val="-9"/>
        </w:rPr>
        <w:t> </w:t>
      </w:r>
      <w:r>
        <w:rPr>
          <w:spacing w:val="-2"/>
        </w:rPr>
        <w:t>contacto</w:t>
      </w:r>
    </w:p>
    <w:p>
      <w:pPr>
        <w:pStyle w:val="Heading3"/>
        <w:spacing w:after="0" w:line="240" w:lineRule="auto"/>
        <w:jc w:val="left"/>
        <w:sectPr>
          <w:pgSz w:w="12240" w:h="15840"/>
          <w:pgMar w:header="724" w:footer="712" w:top="1880" w:bottom="900" w:left="1080" w:right="1080"/>
        </w:sectPr>
      </w:pPr>
    </w:p>
    <w:p>
      <w:pPr>
        <w:pStyle w:val="BodyText"/>
        <w:rPr>
          <w:rFonts w:ascii="Arial"/>
          <w:b/>
        </w:rPr>
      </w:pPr>
    </w:p>
    <w:p>
      <w:pPr>
        <w:pStyle w:val="BodyText"/>
        <w:spacing w:before="66"/>
        <w:rPr>
          <w:rFonts w:ascii="Arial"/>
          <w:b/>
        </w:rPr>
      </w:pPr>
    </w:p>
    <w:p>
      <w:pPr>
        <w:pStyle w:val="BodyText"/>
        <w:ind w:left="626"/>
      </w:pPr>
      <w:r>
        <w:rPr/>
        <w:t>Código</w:t>
      </w:r>
      <w:r>
        <w:rPr>
          <w:spacing w:val="-10"/>
        </w:rPr>
        <w:t> </w:t>
      </w:r>
      <w:r>
        <w:rPr/>
        <w:t>CIE-11:</w:t>
      </w:r>
      <w:r>
        <w:rPr>
          <w:spacing w:val="-7"/>
        </w:rPr>
        <w:t> </w:t>
      </w:r>
      <w:r>
        <w:rPr>
          <w:spacing w:val="-2"/>
        </w:rPr>
        <w:t>EB01.3</w:t>
      </w:r>
    </w:p>
    <w:p>
      <w:pPr>
        <w:pStyle w:val="ListParagraph"/>
        <w:numPr>
          <w:ilvl w:val="2"/>
          <w:numId w:val="160"/>
        </w:numPr>
        <w:tabs>
          <w:tab w:pos="1045" w:val="left" w:leader="none"/>
          <w:tab w:pos="1058" w:val="left" w:leader="none"/>
        </w:tabs>
        <w:spacing w:line="240" w:lineRule="auto" w:before="229" w:after="0"/>
        <w:ind w:left="1058" w:right="339" w:hanging="432"/>
        <w:jc w:val="both"/>
        <w:rPr>
          <w:sz w:val="20"/>
        </w:rPr>
      </w:pPr>
      <w:r>
        <w:rPr>
          <w:sz w:val="20"/>
        </w:rPr>
        <w:t>Personas trabajadoras en el campo, agricultores, jardineros, cocineros, personal médico, paramédico y farmacéuticos. Personas trabajadoras de lecherías, tablajeros y carniceros. Personas trabajadoras de semiconductores y otros que empleen equipo de protección fabricado con látex y peluqueros.</w:t>
      </w:r>
    </w:p>
    <w:p>
      <w:pPr>
        <w:pStyle w:val="ListParagraph"/>
        <w:numPr>
          <w:ilvl w:val="2"/>
          <w:numId w:val="160"/>
        </w:numPr>
        <w:tabs>
          <w:tab w:pos="1045" w:val="left" w:leader="none"/>
          <w:tab w:pos="1058" w:val="left" w:leader="none"/>
        </w:tabs>
        <w:spacing w:line="240" w:lineRule="auto" w:before="229" w:after="0"/>
        <w:ind w:left="1058" w:right="33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w:t>
      </w:r>
      <w:r>
        <w:rPr>
          <w:spacing w:val="40"/>
          <w:sz w:val="20"/>
        </w:rPr>
        <w:t> </w:t>
      </w:r>
      <w:r>
        <w:rPr>
          <w:sz w:val="20"/>
        </w:rPr>
        <w:t>origen o con motivo del trabajo o en el medio que la persona trabajadora se vea obligada a prestar sus servicios.</w:t>
      </w:r>
    </w:p>
    <w:p>
      <w:pPr>
        <w:pStyle w:val="Heading3"/>
        <w:spacing w:before="227"/>
        <w:ind w:left="626"/>
      </w:pPr>
      <w:r>
        <w:rPr/>
        <w:t>Grupo</w:t>
      </w:r>
      <w:r>
        <w:rPr>
          <w:spacing w:val="-7"/>
        </w:rPr>
        <w:t> </w:t>
      </w:r>
      <w:r>
        <w:rPr/>
        <w:t>VIII.</w:t>
      </w:r>
      <w:r>
        <w:rPr>
          <w:spacing w:val="-6"/>
        </w:rPr>
        <w:t> </w:t>
      </w:r>
      <w:r>
        <w:rPr/>
        <w:t>Enfermedades</w:t>
      </w:r>
      <w:r>
        <w:rPr>
          <w:spacing w:val="-6"/>
        </w:rPr>
        <w:t> </w:t>
      </w:r>
      <w:r>
        <w:rPr/>
        <w:t>del</w:t>
      </w:r>
      <w:r>
        <w:rPr>
          <w:spacing w:val="-7"/>
        </w:rPr>
        <w:t> </w:t>
      </w:r>
      <w:r>
        <w:rPr/>
        <w:t>sistema</w:t>
      </w:r>
      <w:r>
        <w:rPr>
          <w:spacing w:val="-8"/>
        </w:rPr>
        <w:t> </w:t>
      </w:r>
      <w:r>
        <w:rPr/>
        <w:t>osteomuscular</w:t>
      </w:r>
      <w:r>
        <w:rPr>
          <w:spacing w:val="-6"/>
        </w:rPr>
        <w:t> </w:t>
      </w:r>
      <w:r>
        <w:rPr/>
        <w:t>y</w:t>
      </w:r>
      <w:r>
        <w:rPr>
          <w:spacing w:val="-9"/>
        </w:rPr>
        <w:t> </w:t>
      </w:r>
      <w:r>
        <w:rPr/>
        <w:t>del</w:t>
      </w:r>
      <w:r>
        <w:rPr>
          <w:spacing w:val="-8"/>
        </w:rPr>
        <w:t> </w:t>
      </w:r>
      <w:r>
        <w:rPr/>
        <w:t>tejido</w:t>
      </w:r>
      <w:r>
        <w:rPr>
          <w:spacing w:val="-5"/>
        </w:rPr>
        <w:t> </w:t>
      </w:r>
      <w:r>
        <w:rPr>
          <w:spacing w:val="-2"/>
        </w:rPr>
        <w:t>conjuntivo</w:t>
      </w:r>
    </w:p>
    <w:p>
      <w:pPr>
        <w:pStyle w:val="BodyText"/>
        <w:spacing w:before="1"/>
        <w:rPr>
          <w:rFonts w:ascii="Arial"/>
          <w:b/>
        </w:rPr>
      </w:pPr>
    </w:p>
    <w:p>
      <w:pPr>
        <w:pStyle w:val="ListParagraph"/>
        <w:numPr>
          <w:ilvl w:val="1"/>
          <w:numId w:val="160"/>
        </w:numPr>
        <w:tabs>
          <w:tab w:pos="1067" w:val="left" w:leader="none"/>
        </w:tabs>
        <w:spacing w:line="240" w:lineRule="auto" w:before="0" w:after="0"/>
        <w:ind w:left="1067" w:right="0" w:hanging="441"/>
        <w:jc w:val="left"/>
        <w:rPr>
          <w:rFonts w:ascii="Arial"/>
          <w:b/>
          <w:sz w:val="20"/>
        </w:rPr>
      </w:pPr>
      <w:r>
        <w:rPr>
          <w:rFonts w:ascii="Arial"/>
          <w:b/>
          <w:sz w:val="20"/>
        </w:rPr>
        <w:t>Trastornos</w:t>
      </w:r>
      <w:r>
        <w:rPr>
          <w:rFonts w:ascii="Arial"/>
          <w:b/>
          <w:spacing w:val="-8"/>
          <w:sz w:val="20"/>
        </w:rPr>
        <w:t> </w:t>
      </w:r>
      <w:r>
        <w:rPr>
          <w:rFonts w:ascii="Arial"/>
          <w:b/>
          <w:sz w:val="20"/>
        </w:rPr>
        <w:t>de</w:t>
      </w:r>
      <w:r>
        <w:rPr>
          <w:rFonts w:ascii="Arial"/>
          <w:b/>
          <w:spacing w:val="-8"/>
          <w:sz w:val="20"/>
        </w:rPr>
        <w:t> </w:t>
      </w:r>
      <w:r>
        <w:rPr>
          <w:rFonts w:ascii="Arial"/>
          <w:b/>
          <w:sz w:val="20"/>
        </w:rPr>
        <w:t>la</w:t>
      </w:r>
      <w:r>
        <w:rPr>
          <w:rFonts w:ascii="Arial"/>
          <w:b/>
          <w:spacing w:val="-8"/>
          <w:sz w:val="20"/>
        </w:rPr>
        <w:t> </w:t>
      </w:r>
      <w:r>
        <w:rPr>
          <w:rFonts w:ascii="Arial"/>
          <w:b/>
          <w:sz w:val="20"/>
        </w:rPr>
        <w:t>columna</w:t>
      </w:r>
      <w:r>
        <w:rPr>
          <w:rFonts w:ascii="Arial"/>
          <w:b/>
          <w:spacing w:val="-8"/>
          <w:sz w:val="20"/>
        </w:rPr>
        <w:t> </w:t>
      </w:r>
      <w:r>
        <w:rPr>
          <w:rFonts w:ascii="Arial"/>
          <w:b/>
          <w:sz w:val="20"/>
        </w:rPr>
        <w:t>vertebral</w:t>
      </w:r>
      <w:r>
        <w:rPr>
          <w:rFonts w:ascii="Arial"/>
          <w:b/>
          <w:spacing w:val="-6"/>
          <w:sz w:val="20"/>
        </w:rPr>
        <w:t> </w:t>
      </w:r>
      <w:r>
        <w:rPr>
          <w:rFonts w:ascii="Arial"/>
          <w:b/>
          <w:sz w:val="20"/>
        </w:rPr>
        <w:t>(cervical,</w:t>
      </w:r>
      <w:r>
        <w:rPr>
          <w:rFonts w:ascii="Arial"/>
          <w:b/>
          <w:spacing w:val="-6"/>
          <w:sz w:val="20"/>
        </w:rPr>
        <w:t> </w:t>
      </w:r>
      <w:r>
        <w:rPr>
          <w:rFonts w:ascii="Arial"/>
          <w:b/>
          <w:sz w:val="20"/>
        </w:rPr>
        <w:t>dorsal</w:t>
      </w:r>
      <w:r>
        <w:rPr>
          <w:rFonts w:ascii="Arial"/>
          <w:b/>
          <w:spacing w:val="-1"/>
          <w:sz w:val="20"/>
        </w:rPr>
        <w:t> </w:t>
      </w:r>
      <w:r>
        <w:rPr>
          <w:rFonts w:ascii="Arial"/>
          <w:b/>
          <w:sz w:val="20"/>
        </w:rPr>
        <w:t>y</w:t>
      </w:r>
      <w:r>
        <w:rPr>
          <w:rFonts w:ascii="Arial"/>
          <w:b/>
          <w:spacing w:val="-7"/>
          <w:sz w:val="20"/>
        </w:rPr>
        <w:t> </w:t>
      </w:r>
      <w:r>
        <w:rPr>
          <w:rFonts w:ascii="Arial"/>
          <w:b/>
          <w:spacing w:val="-2"/>
          <w:sz w:val="20"/>
        </w:rPr>
        <w:t>lumbar)</w:t>
      </w:r>
    </w:p>
    <w:p>
      <w:pPr>
        <w:pStyle w:val="BodyText"/>
        <w:spacing w:before="3"/>
        <w:rPr>
          <w:rFonts w:ascii="Arial"/>
          <w:b/>
        </w:rPr>
      </w:pPr>
    </w:p>
    <w:p>
      <w:pPr>
        <w:pStyle w:val="BodyText"/>
        <w:ind w:left="626"/>
      </w:pPr>
      <w:r>
        <w:rPr/>
        <w:t>Código</w:t>
      </w:r>
      <w:r>
        <w:rPr>
          <w:spacing w:val="-9"/>
        </w:rPr>
        <w:t> </w:t>
      </w:r>
      <w:r>
        <w:rPr/>
        <w:t>CIE-11:</w:t>
      </w:r>
      <w:r>
        <w:rPr>
          <w:spacing w:val="-7"/>
        </w:rPr>
        <w:t> </w:t>
      </w:r>
      <w:r>
        <w:rPr/>
        <w:t>FA34,</w:t>
      </w:r>
      <w:r>
        <w:rPr>
          <w:spacing w:val="-8"/>
        </w:rPr>
        <w:t> </w:t>
      </w:r>
      <w:r>
        <w:rPr/>
        <w:t>FA72.3,</w:t>
      </w:r>
      <w:r>
        <w:rPr>
          <w:spacing w:val="-7"/>
        </w:rPr>
        <w:t> </w:t>
      </w:r>
      <w:r>
        <w:rPr/>
        <w:t>FA72.4,</w:t>
      </w:r>
      <w:r>
        <w:rPr>
          <w:spacing w:val="-7"/>
        </w:rPr>
        <w:t> </w:t>
      </w:r>
      <w:r>
        <w:rPr/>
        <w:t>FA92.00,</w:t>
      </w:r>
      <w:r>
        <w:rPr>
          <w:spacing w:val="-6"/>
        </w:rPr>
        <w:t> </w:t>
      </w:r>
      <w:r>
        <w:rPr>
          <w:spacing w:val="-2"/>
        </w:rPr>
        <w:t>FB56.6</w:t>
      </w:r>
    </w:p>
    <w:p>
      <w:pPr>
        <w:pStyle w:val="ListParagraph"/>
        <w:numPr>
          <w:ilvl w:val="2"/>
          <w:numId w:val="160"/>
        </w:numPr>
        <w:tabs>
          <w:tab w:pos="1045" w:val="left" w:leader="none"/>
          <w:tab w:pos="1058" w:val="left" w:leader="none"/>
        </w:tabs>
        <w:spacing w:line="240" w:lineRule="auto" w:before="227" w:after="0"/>
        <w:ind w:left="1058" w:right="343" w:hanging="432"/>
        <w:jc w:val="both"/>
        <w:rPr>
          <w:sz w:val="20"/>
        </w:rPr>
      </w:pPr>
      <w:r>
        <w:rPr>
          <w:sz w:val="20"/>
        </w:rPr>
        <w:t>Personas trabajadoras en actividades como: chóferes, repartidores, operadores de maquinaria pesada, cargadores y</w:t>
      </w:r>
      <w:r>
        <w:rPr>
          <w:spacing w:val="-4"/>
          <w:sz w:val="20"/>
        </w:rPr>
        <w:t> </w:t>
      </w:r>
      <w:r>
        <w:rPr>
          <w:sz w:val="20"/>
        </w:rPr>
        <w:t>vigilantes. Personas trabajadoras que</w:t>
      </w:r>
      <w:r>
        <w:rPr>
          <w:spacing w:val="-1"/>
          <w:sz w:val="20"/>
        </w:rPr>
        <w:t> </w:t>
      </w:r>
      <w:r>
        <w:rPr>
          <w:sz w:val="20"/>
        </w:rPr>
        <w:t>permanecen</w:t>
      </w:r>
      <w:r>
        <w:rPr>
          <w:spacing w:val="-1"/>
          <w:sz w:val="20"/>
        </w:rPr>
        <w:t> </w:t>
      </w:r>
      <w:r>
        <w:rPr>
          <w:sz w:val="20"/>
        </w:rPr>
        <w:t>por causa</w:t>
      </w:r>
      <w:r>
        <w:rPr>
          <w:spacing w:val="-1"/>
          <w:sz w:val="20"/>
        </w:rPr>
        <w:t> </w:t>
      </w:r>
      <w:r>
        <w:rPr>
          <w:sz w:val="20"/>
        </w:rPr>
        <w:t>de</w:t>
      </w:r>
      <w:r>
        <w:rPr>
          <w:spacing w:val="-1"/>
          <w:sz w:val="20"/>
        </w:rPr>
        <w:t> </w:t>
      </w:r>
      <w:r>
        <w:rPr>
          <w:sz w:val="20"/>
        </w:rPr>
        <w:t>su</w:t>
      </w:r>
      <w:r>
        <w:rPr>
          <w:spacing w:val="-1"/>
          <w:sz w:val="20"/>
        </w:rPr>
        <w:t> </w:t>
      </w:r>
      <w:r>
        <w:rPr>
          <w:sz w:val="20"/>
        </w:rPr>
        <w:t>trabajo en</w:t>
      </w:r>
      <w:r>
        <w:rPr>
          <w:spacing w:val="-3"/>
          <w:sz w:val="20"/>
        </w:rPr>
        <w:t> </w:t>
      </w:r>
      <w:r>
        <w:rPr>
          <w:sz w:val="20"/>
        </w:rPr>
        <w:t>posiciones</w:t>
      </w:r>
      <w:r>
        <w:rPr>
          <w:spacing w:val="-1"/>
          <w:sz w:val="20"/>
        </w:rPr>
        <w:t> </w:t>
      </w:r>
      <w:r>
        <w:rPr>
          <w:sz w:val="20"/>
        </w:rPr>
        <w:t>forzadas,</w:t>
      </w:r>
      <w:r>
        <w:rPr>
          <w:spacing w:val="-4"/>
          <w:sz w:val="20"/>
        </w:rPr>
        <w:t> </w:t>
      </w:r>
      <w:r>
        <w:rPr>
          <w:sz w:val="20"/>
        </w:rPr>
        <w:t>no</w:t>
      </w:r>
      <w:r>
        <w:rPr>
          <w:spacing w:val="-2"/>
          <w:sz w:val="20"/>
        </w:rPr>
        <w:t> </w:t>
      </w:r>
      <w:r>
        <w:rPr>
          <w:sz w:val="20"/>
        </w:rPr>
        <w:t>ergonómicas</w:t>
      </w:r>
      <w:r>
        <w:rPr>
          <w:spacing w:val="-1"/>
          <w:sz w:val="20"/>
        </w:rPr>
        <w:t> </w:t>
      </w:r>
      <w:r>
        <w:rPr>
          <w:sz w:val="20"/>
        </w:rPr>
        <w:t>y</w:t>
      </w:r>
      <w:r>
        <w:rPr>
          <w:spacing w:val="-7"/>
          <w:sz w:val="20"/>
        </w:rPr>
        <w:t> </w:t>
      </w:r>
      <w:r>
        <w:rPr>
          <w:sz w:val="20"/>
        </w:rPr>
        <w:t>fatigantes</w:t>
      </w:r>
      <w:r>
        <w:rPr>
          <w:spacing w:val="-3"/>
          <w:sz w:val="20"/>
        </w:rPr>
        <w:t> </w:t>
      </w:r>
      <w:r>
        <w:rPr>
          <w:sz w:val="20"/>
        </w:rPr>
        <w:t>en</w:t>
      </w:r>
      <w:r>
        <w:rPr>
          <w:spacing w:val="-4"/>
          <w:sz w:val="20"/>
        </w:rPr>
        <w:t> </w:t>
      </w:r>
      <w:r>
        <w:rPr>
          <w:sz w:val="20"/>
        </w:rPr>
        <w:t>forma</w:t>
      </w:r>
      <w:r>
        <w:rPr>
          <w:spacing w:val="-4"/>
          <w:sz w:val="20"/>
        </w:rPr>
        <w:t> </w:t>
      </w:r>
      <w:r>
        <w:rPr>
          <w:sz w:val="20"/>
        </w:rPr>
        <w:t>prolongada.</w:t>
      </w:r>
      <w:r>
        <w:rPr>
          <w:spacing w:val="-2"/>
          <w:sz w:val="20"/>
        </w:rPr>
        <w:t> </w:t>
      </w:r>
      <w:r>
        <w:rPr>
          <w:sz w:val="20"/>
        </w:rPr>
        <w:t>Actividades</w:t>
      </w:r>
      <w:r>
        <w:rPr>
          <w:spacing w:val="-1"/>
          <w:sz w:val="20"/>
        </w:rPr>
        <w:t> </w:t>
      </w:r>
      <w:r>
        <w:rPr>
          <w:sz w:val="20"/>
        </w:rPr>
        <w:t>en</w:t>
      </w:r>
      <w:r>
        <w:rPr>
          <w:spacing w:val="-3"/>
          <w:sz w:val="20"/>
        </w:rPr>
        <w:t> </w:t>
      </w:r>
      <w:r>
        <w:rPr>
          <w:sz w:val="20"/>
        </w:rPr>
        <w:t>las</w:t>
      </w:r>
      <w:r>
        <w:rPr>
          <w:spacing w:val="-1"/>
          <w:sz w:val="20"/>
        </w:rPr>
        <w:t> </w:t>
      </w:r>
      <w:r>
        <w:rPr>
          <w:sz w:val="20"/>
        </w:rPr>
        <w:t>que se requiera mantener el equilibrio con cargas añadidas, como casco, equipo pesado y posturas forzadas. (buceo industrial, pesca artesanal y cargadores en puertos).</w:t>
      </w:r>
    </w:p>
    <w:p>
      <w:pPr>
        <w:pStyle w:val="ListParagraph"/>
        <w:numPr>
          <w:ilvl w:val="2"/>
          <w:numId w:val="160"/>
        </w:numPr>
        <w:tabs>
          <w:tab w:pos="1045" w:val="left" w:leader="none"/>
          <w:tab w:pos="1058" w:val="left" w:leader="none"/>
        </w:tabs>
        <w:spacing w:line="240" w:lineRule="auto" w:before="229" w:after="0"/>
        <w:ind w:left="1058" w:right="336"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83" w:val="left" w:leader="none"/>
        </w:tabs>
        <w:spacing w:line="240" w:lineRule="auto" w:before="227" w:after="0"/>
        <w:ind w:left="338" w:right="344" w:firstLine="288"/>
        <w:jc w:val="left"/>
      </w:pPr>
      <w:r>
        <w:rPr/>
        <w:t>Dolor lumbar crónico inespecífico (lumbago mecano postural, contractura dorsal inferior, espondilopatía interespinosa, dolor lumbar y lumbago SAI)</w:t>
      </w:r>
    </w:p>
    <w:p>
      <w:pPr>
        <w:pStyle w:val="BodyText"/>
        <w:spacing w:before="3"/>
        <w:rPr>
          <w:rFonts w:ascii="Arial"/>
          <w:b/>
        </w:rPr>
      </w:pPr>
    </w:p>
    <w:p>
      <w:pPr>
        <w:pStyle w:val="BodyText"/>
        <w:spacing w:before="1"/>
        <w:ind w:left="626"/>
      </w:pPr>
      <w:r>
        <w:rPr/>
        <w:t>Código</w:t>
      </w:r>
      <w:r>
        <w:rPr>
          <w:spacing w:val="-10"/>
        </w:rPr>
        <w:t> </w:t>
      </w:r>
      <w:r>
        <w:rPr/>
        <w:t>CIE-11:</w:t>
      </w:r>
      <w:r>
        <w:rPr>
          <w:spacing w:val="-8"/>
        </w:rPr>
        <w:t> </w:t>
      </w:r>
      <w:r>
        <w:rPr/>
        <w:t>ME84.2,</w:t>
      </w:r>
      <w:r>
        <w:rPr>
          <w:spacing w:val="-7"/>
        </w:rPr>
        <w:t> </w:t>
      </w:r>
      <w:r>
        <w:rPr/>
        <w:t>ME84.2Z,</w:t>
      </w:r>
      <w:r>
        <w:rPr>
          <w:spacing w:val="-9"/>
        </w:rPr>
        <w:t> </w:t>
      </w:r>
      <w:r>
        <w:rPr>
          <w:spacing w:val="-2"/>
        </w:rPr>
        <w:t>FA72.1</w:t>
      </w:r>
    </w:p>
    <w:p>
      <w:pPr>
        <w:pStyle w:val="ListParagraph"/>
        <w:numPr>
          <w:ilvl w:val="2"/>
          <w:numId w:val="160"/>
        </w:numPr>
        <w:tabs>
          <w:tab w:pos="1045" w:val="left" w:leader="none"/>
          <w:tab w:pos="1058" w:val="left" w:leader="none"/>
        </w:tabs>
        <w:spacing w:line="240" w:lineRule="auto" w:before="229" w:after="0"/>
        <w:ind w:left="1058" w:right="345" w:hanging="432"/>
        <w:jc w:val="both"/>
        <w:rPr>
          <w:sz w:val="20"/>
        </w:rPr>
      </w:pPr>
      <w:r>
        <w:rPr>
          <w:sz w:val="20"/>
        </w:rPr>
        <w:t>Personas con actividades como: chóferes, repartidoras, operadoras de maquinaria pesada, cargadoras y vigilantes. Personas trabajadoras que permanecen por causa de su trabajo en posiciones incómodas, no ergonómicas y fatigantes en forma prolongada, con gran esfuerzo sobre la parte lumbo-sacra de la columna vertebral.</w:t>
      </w:r>
    </w:p>
    <w:p>
      <w:pPr>
        <w:pStyle w:val="ListParagraph"/>
        <w:numPr>
          <w:ilvl w:val="2"/>
          <w:numId w:val="160"/>
        </w:numPr>
        <w:tabs>
          <w:tab w:pos="1045" w:val="left" w:leader="none"/>
          <w:tab w:pos="1058" w:val="left" w:leader="none"/>
        </w:tabs>
        <w:spacing w:line="240" w:lineRule="auto" w:before="227" w:after="0"/>
        <w:ind w:left="1058" w:right="34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9" w:after="0"/>
        <w:ind w:left="1069" w:right="0" w:hanging="443"/>
        <w:jc w:val="left"/>
      </w:pPr>
      <w:r>
        <w:rPr/>
        <w:t>Epicondilitis</w:t>
      </w:r>
      <w:r>
        <w:rPr>
          <w:spacing w:val="-9"/>
        </w:rPr>
        <w:t> </w:t>
      </w:r>
      <w:r>
        <w:rPr/>
        <w:t>lateral</w:t>
      </w:r>
      <w:r>
        <w:rPr>
          <w:spacing w:val="-7"/>
        </w:rPr>
        <w:t> </w:t>
      </w:r>
      <w:r>
        <w:rPr/>
        <w:t>(codo</w:t>
      </w:r>
      <w:r>
        <w:rPr>
          <w:spacing w:val="-7"/>
        </w:rPr>
        <w:t> </w:t>
      </w:r>
      <w:r>
        <w:rPr/>
        <w:t>de</w:t>
      </w:r>
      <w:r>
        <w:rPr>
          <w:spacing w:val="-8"/>
        </w:rPr>
        <w:t> </w:t>
      </w:r>
      <w:r>
        <w:rPr>
          <w:spacing w:val="-2"/>
        </w:rPr>
        <w:t>tenista)</w:t>
      </w:r>
    </w:p>
    <w:p>
      <w:pPr>
        <w:pStyle w:val="BodyText"/>
        <w:rPr>
          <w:rFonts w:ascii="Arial"/>
          <w:b/>
        </w:rPr>
      </w:pPr>
    </w:p>
    <w:p>
      <w:pPr>
        <w:pStyle w:val="BodyText"/>
        <w:ind w:left="626"/>
      </w:pPr>
      <w:r>
        <w:rPr/>
        <w:t>Código</w:t>
      </w:r>
      <w:r>
        <w:rPr>
          <w:spacing w:val="-8"/>
        </w:rPr>
        <w:t> </w:t>
      </w:r>
      <w:r>
        <w:rPr/>
        <w:t>CIE-11:</w:t>
      </w:r>
      <w:r>
        <w:rPr>
          <w:spacing w:val="-7"/>
        </w:rPr>
        <w:t> </w:t>
      </w:r>
      <w:r>
        <w:rPr/>
        <w:t>FB55.1,</w:t>
      </w:r>
      <w:r>
        <w:rPr>
          <w:spacing w:val="-7"/>
        </w:rPr>
        <w:t> </w:t>
      </w:r>
      <w:r>
        <w:rPr/>
        <w:t>XK9J,</w:t>
      </w:r>
      <w:r>
        <w:rPr>
          <w:spacing w:val="-7"/>
        </w:rPr>
        <w:t> </w:t>
      </w:r>
      <w:r>
        <w:rPr/>
        <w:t>XK8G,</w:t>
      </w:r>
      <w:r>
        <w:rPr>
          <w:spacing w:val="-7"/>
        </w:rPr>
        <w:t> </w:t>
      </w:r>
      <w:r>
        <w:rPr/>
        <w:t>XK9K,</w:t>
      </w:r>
      <w:r>
        <w:rPr>
          <w:spacing w:val="-7"/>
        </w:rPr>
        <w:t> </w:t>
      </w:r>
      <w:r>
        <w:rPr>
          <w:spacing w:val="-4"/>
        </w:rPr>
        <w:t>XK70</w:t>
      </w:r>
    </w:p>
    <w:p>
      <w:pPr>
        <w:pStyle w:val="BodyText"/>
        <w:spacing w:after="0"/>
        <w:sectPr>
          <w:pgSz w:w="12240" w:h="15840"/>
          <w:pgMar w:header="724" w:footer="712" w:top="1880" w:bottom="900" w:left="1080" w:right="1080"/>
        </w:sectPr>
      </w:pPr>
    </w:p>
    <w:p>
      <w:pPr>
        <w:pStyle w:val="BodyText"/>
        <w:spacing w:before="66"/>
      </w:pPr>
    </w:p>
    <w:p>
      <w:pPr>
        <w:pStyle w:val="ListParagraph"/>
        <w:numPr>
          <w:ilvl w:val="2"/>
          <w:numId w:val="160"/>
        </w:numPr>
        <w:tabs>
          <w:tab w:pos="1045" w:val="left" w:leader="none"/>
          <w:tab w:pos="1058" w:val="left" w:leader="none"/>
        </w:tabs>
        <w:spacing w:line="240" w:lineRule="auto" w:before="0" w:after="0"/>
        <w:ind w:left="1058" w:right="334" w:hanging="432"/>
        <w:jc w:val="both"/>
        <w:rPr>
          <w:sz w:val="20"/>
        </w:rPr>
      </w:pPr>
      <w:r>
        <w:rPr>
          <w:sz w:val="20"/>
        </w:rPr>
        <w:t>Personas trabajadoras en los que las actividades le requieran utilizar las manos para sujetar herramientas por periodos prolongados. máquina neumática, perforadoras mecánicas, herramientas análogas, perforadoras y remachado.</w:t>
      </w:r>
    </w:p>
    <w:p>
      <w:pPr>
        <w:pStyle w:val="ListParagraph"/>
        <w:numPr>
          <w:ilvl w:val="2"/>
          <w:numId w:val="160"/>
        </w:numPr>
        <w:tabs>
          <w:tab w:pos="1045" w:val="left" w:leader="none"/>
          <w:tab w:pos="1058" w:val="left" w:leader="none"/>
        </w:tabs>
        <w:spacing w:line="240" w:lineRule="auto" w:before="229" w:after="0"/>
        <w:ind w:left="1058" w:right="340" w:hanging="432"/>
        <w:jc w:val="both"/>
        <w:rPr>
          <w:sz w:val="20"/>
        </w:rPr>
      </w:pPr>
      <w:r>
        <w:rPr>
          <w:sz w:val="20"/>
        </w:rPr>
        <w:t>Personas trabajadoras con puestos de trabajo de: carniceros, carpinteros, empacadores,</w:t>
      </w:r>
      <w:r>
        <w:rPr>
          <w:spacing w:val="40"/>
          <w:sz w:val="20"/>
        </w:rPr>
        <w:t> </w:t>
      </w:r>
      <w:r>
        <w:rPr>
          <w:sz w:val="20"/>
        </w:rPr>
        <w:t>golfistas, herreros, laminadores, martilleros de plancha de acero y caldereros, mecánicos,</w:t>
      </w:r>
      <w:r>
        <w:rPr>
          <w:spacing w:val="40"/>
          <w:sz w:val="20"/>
        </w:rPr>
        <w:t> </w:t>
      </w:r>
      <w:r>
        <w:rPr>
          <w:sz w:val="20"/>
        </w:rPr>
        <w:t>obreros de la construcción, personal de limpieza, pulidores de fundición, talladores de piedra, tenistas, y todos los puestos de trabajo que requieran a la persona trabajadora utilizar las manos para sujetar herramientas por periodos prolongados.</w:t>
      </w:r>
    </w:p>
    <w:p>
      <w:pPr>
        <w:pStyle w:val="ListParagraph"/>
        <w:numPr>
          <w:ilvl w:val="2"/>
          <w:numId w:val="160"/>
        </w:numPr>
        <w:tabs>
          <w:tab w:pos="1045" w:val="left" w:leader="none"/>
          <w:tab w:pos="1058" w:val="left" w:leader="none"/>
        </w:tabs>
        <w:spacing w:line="240" w:lineRule="auto" w:before="227" w:after="0"/>
        <w:ind w:left="1058" w:right="33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7" w:after="0"/>
        <w:ind w:left="1069" w:right="0" w:hanging="443"/>
        <w:jc w:val="left"/>
      </w:pPr>
      <w:r>
        <w:rPr/>
        <w:t>Epicondilitis</w:t>
      </w:r>
      <w:r>
        <w:rPr>
          <w:spacing w:val="-8"/>
        </w:rPr>
        <w:t> </w:t>
      </w:r>
      <w:r>
        <w:rPr/>
        <w:t>media</w:t>
      </w:r>
      <w:r>
        <w:rPr>
          <w:spacing w:val="-7"/>
        </w:rPr>
        <w:t> </w:t>
      </w:r>
      <w:r>
        <w:rPr/>
        <w:t>(codo</w:t>
      </w:r>
      <w:r>
        <w:rPr>
          <w:spacing w:val="-6"/>
        </w:rPr>
        <w:t> </w:t>
      </w:r>
      <w:r>
        <w:rPr/>
        <w:t>de</w:t>
      </w:r>
      <w:r>
        <w:rPr>
          <w:spacing w:val="-7"/>
        </w:rPr>
        <w:t> </w:t>
      </w:r>
      <w:r>
        <w:rPr>
          <w:spacing w:val="-2"/>
        </w:rPr>
        <w:t>golfista)</w:t>
      </w:r>
    </w:p>
    <w:p>
      <w:pPr>
        <w:pStyle w:val="BodyText"/>
        <w:spacing w:before="3"/>
        <w:rPr>
          <w:rFonts w:ascii="Arial"/>
          <w:b/>
        </w:rPr>
      </w:pPr>
    </w:p>
    <w:p>
      <w:pPr>
        <w:pStyle w:val="BodyText"/>
        <w:ind w:left="626"/>
      </w:pPr>
      <w:r>
        <w:rPr/>
        <w:t>Código</w:t>
      </w:r>
      <w:r>
        <w:rPr>
          <w:spacing w:val="-8"/>
        </w:rPr>
        <w:t> </w:t>
      </w:r>
      <w:r>
        <w:rPr/>
        <w:t>CIE-11:</w:t>
      </w:r>
      <w:r>
        <w:rPr>
          <w:spacing w:val="-7"/>
        </w:rPr>
        <w:t> </w:t>
      </w:r>
      <w:r>
        <w:rPr/>
        <w:t>FB55.0,</w:t>
      </w:r>
      <w:r>
        <w:rPr>
          <w:spacing w:val="-7"/>
        </w:rPr>
        <w:t> </w:t>
      </w:r>
      <w:r>
        <w:rPr/>
        <w:t>XK9J,</w:t>
      </w:r>
      <w:r>
        <w:rPr>
          <w:spacing w:val="-7"/>
        </w:rPr>
        <w:t> </w:t>
      </w:r>
      <w:r>
        <w:rPr/>
        <w:t>XK8G,</w:t>
      </w:r>
      <w:r>
        <w:rPr>
          <w:spacing w:val="-7"/>
        </w:rPr>
        <w:t> </w:t>
      </w:r>
      <w:r>
        <w:rPr/>
        <w:t>XK9K,</w:t>
      </w:r>
      <w:r>
        <w:rPr>
          <w:spacing w:val="-7"/>
        </w:rPr>
        <w:t> </w:t>
      </w:r>
      <w:r>
        <w:rPr>
          <w:spacing w:val="-4"/>
        </w:rPr>
        <w:t>XK70</w:t>
      </w:r>
    </w:p>
    <w:p>
      <w:pPr>
        <w:pStyle w:val="ListParagraph"/>
        <w:numPr>
          <w:ilvl w:val="2"/>
          <w:numId w:val="160"/>
        </w:numPr>
        <w:tabs>
          <w:tab w:pos="1045" w:val="left" w:leader="none"/>
          <w:tab w:pos="1058" w:val="left" w:leader="none"/>
        </w:tabs>
        <w:spacing w:line="240" w:lineRule="auto" w:before="229" w:after="0"/>
        <w:ind w:left="1058" w:right="341" w:hanging="432"/>
        <w:jc w:val="both"/>
        <w:rPr>
          <w:sz w:val="20"/>
        </w:rPr>
      </w:pPr>
      <w:r>
        <w:rPr>
          <w:sz w:val="20"/>
        </w:rPr>
        <w:t>Actividades que requieran a la persona trabajadora utilizar las manos para sujetar herramientas por periodos prolongados. Máquina neumática, perforadoras mecánicas, herramientas análogas, perforadoras y remachado.</w:t>
      </w:r>
    </w:p>
    <w:p>
      <w:pPr>
        <w:pStyle w:val="ListParagraph"/>
        <w:numPr>
          <w:ilvl w:val="2"/>
          <w:numId w:val="160"/>
        </w:numPr>
        <w:tabs>
          <w:tab w:pos="1045" w:val="left" w:leader="none"/>
          <w:tab w:pos="1058" w:val="left" w:leader="none"/>
        </w:tabs>
        <w:spacing w:line="240" w:lineRule="auto" w:before="229" w:after="0"/>
        <w:ind w:left="1058" w:right="332" w:hanging="432"/>
        <w:jc w:val="both"/>
        <w:rPr>
          <w:sz w:val="20"/>
        </w:rPr>
      </w:pPr>
      <w:r>
        <w:rPr>
          <w:sz w:val="20"/>
        </w:rPr>
        <w:t>Personas trabajadoras con puestos de trabajo de: carniceros, carpinteros, empacadores,</w:t>
      </w:r>
      <w:r>
        <w:rPr>
          <w:spacing w:val="40"/>
          <w:sz w:val="20"/>
        </w:rPr>
        <w:t> </w:t>
      </w:r>
      <w:r>
        <w:rPr>
          <w:sz w:val="20"/>
        </w:rPr>
        <w:t>golfistas, herreros, laminadores, martilleros de plancha de acero y caldereros, mecánicos,</w:t>
      </w:r>
      <w:r>
        <w:rPr>
          <w:spacing w:val="40"/>
          <w:sz w:val="20"/>
        </w:rPr>
        <w:t> </w:t>
      </w:r>
      <w:r>
        <w:rPr>
          <w:sz w:val="20"/>
        </w:rPr>
        <w:t>obreros de la construcción, personal de limpieza, pulidores de fundición, talladores de piedra, tenistas, y todos los puestos de trabajo que requieran a la persona trabajadora utilizar las manos para sujetar herramientas por periodos prolongados.</w:t>
      </w:r>
    </w:p>
    <w:p>
      <w:pPr>
        <w:pStyle w:val="ListParagraph"/>
        <w:numPr>
          <w:ilvl w:val="2"/>
          <w:numId w:val="160"/>
        </w:numPr>
        <w:tabs>
          <w:tab w:pos="1045" w:val="left" w:leader="none"/>
          <w:tab w:pos="1058" w:val="left" w:leader="none"/>
        </w:tabs>
        <w:spacing w:line="240" w:lineRule="auto" w:before="227" w:after="0"/>
        <w:ind w:left="1058" w:right="33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9" w:after="0"/>
        <w:ind w:left="1069" w:right="0" w:hanging="443"/>
        <w:jc w:val="left"/>
      </w:pPr>
      <w:r>
        <w:rPr/>
        <w:t>Síndrome</w:t>
      </w:r>
      <w:r>
        <w:rPr>
          <w:spacing w:val="-7"/>
        </w:rPr>
        <w:t> </w:t>
      </w:r>
      <w:r>
        <w:rPr/>
        <w:t>del</w:t>
      </w:r>
      <w:r>
        <w:rPr>
          <w:spacing w:val="-7"/>
        </w:rPr>
        <w:t> </w:t>
      </w:r>
      <w:r>
        <w:rPr/>
        <w:t>túnel</w:t>
      </w:r>
      <w:r>
        <w:rPr>
          <w:spacing w:val="-5"/>
        </w:rPr>
        <w:t> </w:t>
      </w:r>
      <w:r>
        <w:rPr/>
        <w:t>carpiano</w:t>
      </w:r>
      <w:r>
        <w:rPr>
          <w:spacing w:val="-6"/>
        </w:rPr>
        <w:t> </w:t>
      </w:r>
      <w:r>
        <w:rPr/>
        <w:t>(lesión</w:t>
      </w:r>
      <w:r>
        <w:rPr>
          <w:spacing w:val="-6"/>
        </w:rPr>
        <w:t> </w:t>
      </w:r>
      <w:r>
        <w:rPr/>
        <w:t>del</w:t>
      </w:r>
      <w:r>
        <w:rPr>
          <w:spacing w:val="-7"/>
        </w:rPr>
        <w:t> </w:t>
      </w:r>
      <w:r>
        <w:rPr/>
        <w:t>nervio</w:t>
      </w:r>
      <w:r>
        <w:rPr>
          <w:spacing w:val="-4"/>
        </w:rPr>
        <w:t> </w:t>
      </w:r>
      <w:r>
        <w:rPr>
          <w:spacing w:val="-2"/>
        </w:rPr>
        <w:t>mediano)</w:t>
      </w:r>
    </w:p>
    <w:p>
      <w:pPr>
        <w:pStyle w:val="BodyText"/>
        <w:spacing w:before="1"/>
        <w:rPr>
          <w:rFonts w:ascii="Arial"/>
          <w:b/>
        </w:rPr>
      </w:pPr>
    </w:p>
    <w:p>
      <w:pPr>
        <w:pStyle w:val="BodyText"/>
        <w:ind w:left="626"/>
      </w:pPr>
      <w:r>
        <w:rPr/>
        <w:t>Código</w:t>
      </w:r>
      <w:r>
        <w:rPr>
          <w:spacing w:val="-8"/>
        </w:rPr>
        <w:t> </w:t>
      </w:r>
      <w:r>
        <w:rPr/>
        <w:t>CIE-11:</w:t>
      </w:r>
      <w:r>
        <w:rPr>
          <w:spacing w:val="-7"/>
        </w:rPr>
        <w:t> </w:t>
      </w:r>
      <w:r>
        <w:rPr/>
        <w:t>8C10.0,</w:t>
      </w:r>
      <w:r>
        <w:rPr>
          <w:spacing w:val="-6"/>
        </w:rPr>
        <w:t> </w:t>
      </w:r>
      <w:r>
        <w:rPr/>
        <w:t>XK9J,</w:t>
      </w:r>
      <w:r>
        <w:rPr>
          <w:spacing w:val="-7"/>
        </w:rPr>
        <w:t> </w:t>
      </w:r>
      <w:r>
        <w:rPr/>
        <w:t>XK8G,</w:t>
      </w:r>
      <w:r>
        <w:rPr>
          <w:spacing w:val="-7"/>
        </w:rPr>
        <w:t> </w:t>
      </w:r>
      <w:r>
        <w:rPr/>
        <w:t>XK9K,</w:t>
      </w:r>
      <w:r>
        <w:rPr>
          <w:spacing w:val="-7"/>
        </w:rPr>
        <w:t> </w:t>
      </w:r>
      <w:r>
        <w:rPr>
          <w:spacing w:val="-4"/>
        </w:rPr>
        <w:t>XK70</w:t>
      </w:r>
    </w:p>
    <w:p>
      <w:pPr>
        <w:pStyle w:val="ListParagraph"/>
        <w:numPr>
          <w:ilvl w:val="2"/>
          <w:numId w:val="160"/>
        </w:numPr>
        <w:tabs>
          <w:tab w:pos="1045" w:val="left" w:leader="none"/>
          <w:tab w:pos="1058" w:val="left" w:leader="none"/>
        </w:tabs>
        <w:spacing w:line="240" w:lineRule="auto" w:before="229" w:after="0"/>
        <w:ind w:left="1058" w:right="337" w:hanging="432"/>
        <w:jc w:val="both"/>
        <w:rPr>
          <w:sz w:val="20"/>
        </w:rPr>
      </w:pPr>
      <w:r>
        <w:rPr>
          <w:sz w:val="20"/>
        </w:rPr>
        <w:t>Personas trabajadoras de la industria de la transformación e industria electrónica, de rastros y carniceros, de hotelería, de la industria textil, tales como: confeccionista textil, bordadores, costureros, empacadores y tejedores. Personas trabajadoras de la floricultura, y en general toda labor que implique movimientos repetitivos, permanentes, con brazo, dedos y</w:t>
      </w:r>
      <w:r>
        <w:rPr>
          <w:spacing w:val="-3"/>
          <w:sz w:val="20"/>
        </w:rPr>
        <w:t> </w:t>
      </w:r>
      <w:r>
        <w:rPr>
          <w:sz w:val="20"/>
        </w:rPr>
        <w:t>muñeca y posturas </w:t>
      </w:r>
      <w:r>
        <w:rPr>
          <w:spacing w:val="-2"/>
          <w:sz w:val="20"/>
        </w:rPr>
        <w:t>forzadas.</w:t>
      </w:r>
    </w:p>
    <w:p>
      <w:pPr>
        <w:pStyle w:val="BodyText"/>
      </w:pPr>
    </w:p>
    <w:p>
      <w:pPr>
        <w:pStyle w:val="ListParagraph"/>
        <w:numPr>
          <w:ilvl w:val="2"/>
          <w:numId w:val="160"/>
        </w:numPr>
        <w:tabs>
          <w:tab w:pos="1045" w:val="left" w:leader="none"/>
          <w:tab w:pos="1058" w:val="left" w:leader="none"/>
        </w:tabs>
        <w:spacing w:line="240" w:lineRule="auto" w:before="0" w:after="0"/>
        <w:ind w:left="1058" w:right="340" w:hanging="432"/>
        <w:jc w:val="both"/>
        <w:rPr>
          <w:sz w:val="20"/>
        </w:rPr>
      </w:pPr>
      <w:r>
        <w:rPr>
          <w:sz w:val="20"/>
        </w:rPr>
        <w:t>Personas trabajadoras en actividades como: cajeros, secretarias, digitadores, capturistas, costureras, dentistas, electricistas, empacadores, ensambladores de línea, mecánicos, músicos de cuerdas y percusiones, perforadores de piedra, pintores industriales, personal de limpieza, personas trabajadoras de aves de corral, trabajadoras de lavanderías.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6"/>
      </w:pPr>
    </w:p>
    <w:p>
      <w:pPr>
        <w:pStyle w:val="ListParagraph"/>
        <w:numPr>
          <w:ilvl w:val="2"/>
          <w:numId w:val="160"/>
        </w:numPr>
        <w:tabs>
          <w:tab w:pos="1045" w:val="left" w:leader="none"/>
          <w:tab w:pos="1058" w:val="left" w:leader="none"/>
        </w:tabs>
        <w:spacing w:line="240" w:lineRule="auto" w:before="0" w:after="0"/>
        <w:ind w:left="1058" w:right="345" w:hanging="432"/>
        <w:jc w:val="both"/>
        <w:rPr>
          <w:sz w:val="20"/>
        </w:rPr>
      </w:pPr>
      <w:r>
        <w:rPr>
          <w:sz w:val="20"/>
        </w:rPr>
        <w:t>Personas trabajadoras en actividades con tareas que demandan ejercer actividades manuales intensas en frecuencia, en fuerza como soldadores, carpinteros, pulidores y pintores.</w:t>
      </w:r>
    </w:p>
    <w:p>
      <w:pPr>
        <w:pStyle w:val="ListParagraph"/>
        <w:numPr>
          <w:ilvl w:val="2"/>
          <w:numId w:val="160"/>
        </w:numPr>
        <w:tabs>
          <w:tab w:pos="1045" w:val="left" w:leader="none"/>
          <w:tab w:pos="1058" w:val="left" w:leader="none"/>
        </w:tabs>
        <w:spacing w:line="240" w:lineRule="auto" w:before="228" w:after="0"/>
        <w:ind w:left="1058" w:right="34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7" w:val="left" w:leader="none"/>
        </w:tabs>
        <w:spacing w:line="240" w:lineRule="auto" w:before="227" w:after="0"/>
        <w:ind w:left="1067" w:right="0" w:hanging="441"/>
        <w:jc w:val="left"/>
      </w:pPr>
      <w:r>
        <w:rPr/>
        <w:t>Lesión</w:t>
      </w:r>
      <w:r>
        <w:rPr>
          <w:spacing w:val="-6"/>
        </w:rPr>
        <w:t> </w:t>
      </w:r>
      <w:r>
        <w:rPr/>
        <w:t>del</w:t>
      </w:r>
      <w:r>
        <w:rPr>
          <w:spacing w:val="-3"/>
        </w:rPr>
        <w:t> </w:t>
      </w:r>
      <w:r>
        <w:rPr/>
        <w:t>nervio</w:t>
      </w:r>
      <w:r>
        <w:rPr>
          <w:spacing w:val="-6"/>
        </w:rPr>
        <w:t> </w:t>
      </w:r>
      <w:r>
        <w:rPr/>
        <w:t>ulnar</w:t>
      </w:r>
      <w:r>
        <w:rPr>
          <w:spacing w:val="-8"/>
        </w:rPr>
        <w:t> </w:t>
      </w:r>
      <w:r>
        <w:rPr/>
        <w:t>(síndrome</w:t>
      </w:r>
      <w:r>
        <w:rPr>
          <w:spacing w:val="-6"/>
        </w:rPr>
        <w:t> </w:t>
      </w:r>
      <w:r>
        <w:rPr/>
        <w:t>del</w:t>
      </w:r>
      <w:r>
        <w:rPr>
          <w:spacing w:val="-4"/>
        </w:rPr>
        <w:t> </w:t>
      </w:r>
      <w:r>
        <w:rPr/>
        <w:t>canal</w:t>
      </w:r>
      <w:r>
        <w:rPr>
          <w:spacing w:val="-6"/>
        </w:rPr>
        <w:t> </w:t>
      </w:r>
      <w:r>
        <w:rPr/>
        <w:t>de</w:t>
      </w:r>
      <w:r>
        <w:rPr>
          <w:spacing w:val="-5"/>
        </w:rPr>
        <w:t> </w:t>
      </w:r>
      <w:r>
        <w:rPr>
          <w:spacing w:val="-2"/>
        </w:rPr>
        <w:t>Guyon)</w:t>
      </w:r>
    </w:p>
    <w:p>
      <w:pPr>
        <w:pStyle w:val="BodyText"/>
        <w:spacing w:before="3"/>
        <w:rPr>
          <w:rFonts w:ascii="Arial"/>
          <w:b/>
        </w:rPr>
      </w:pPr>
    </w:p>
    <w:p>
      <w:pPr>
        <w:pStyle w:val="BodyText"/>
        <w:ind w:left="626"/>
      </w:pPr>
      <w:r>
        <w:rPr/>
        <w:t>Código</w:t>
      </w:r>
      <w:r>
        <w:rPr>
          <w:spacing w:val="-8"/>
        </w:rPr>
        <w:t> </w:t>
      </w:r>
      <w:r>
        <w:rPr/>
        <w:t>CIE-11:</w:t>
      </w:r>
      <w:r>
        <w:rPr>
          <w:spacing w:val="-7"/>
        </w:rPr>
        <w:t> </w:t>
      </w:r>
      <w:r>
        <w:rPr/>
        <w:t>8C10.1,</w:t>
      </w:r>
      <w:r>
        <w:rPr>
          <w:spacing w:val="-6"/>
        </w:rPr>
        <w:t> </w:t>
      </w:r>
      <w:r>
        <w:rPr/>
        <w:t>XK9J,</w:t>
      </w:r>
      <w:r>
        <w:rPr>
          <w:spacing w:val="-7"/>
        </w:rPr>
        <w:t> </w:t>
      </w:r>
      <w:r>
        <w:rPr/>
        <w:t>XK8G,</w:t>
      </w:r>
      <w:r>
        <w:rPr>
          <w:spacing w:val="-7"/>
        </w:rPr>
        <w:t> </w:t>
      </w:r>
      <w:r>
        <w:rPr/>
        <w:t>XK9K,</w:t>
      </w:r>
      <w:r>
        <w:rPr>
          <w:spacing w:val="-7"/>
        </w:rPr>
        <w:t> </w:t>
      </w:r>
      <w:r>
        <w:rPr>
          <w:spacing w:val="-4"/>
        </w:rPr>
        <w:t>XK70</w:t>
      </w:r>
    </w:p>
    <w:p>
      <w:pPr>
        <w:pStyle w:val="BodyText"/>
      </w:pPr>
    </w:p>
    <w:p>
      <w:pPr>
        <w:pStyle w:val="ListParagraph"/>
        <w:numPr>
          <w:ilvl w:val="2"/>
          <w:numId w:val="160"/>
        </w:numPr>
        <w:tabs>
          <w:tab w:pos="1045" w:val="left" w:leader="none"/>
          <w:tab w:pos="1058" w:val="left" w:leader="none"/>
        </w:tabs>
        <w:spacing w:line="240" w:lineRule="auto" w:before="0" w:after="0"/>
        <w:ind w:left="1058" w:right="341" w:hanging="432"/>
        <w:jc w:val="both"/>
        <w:rPr>
          <w:sz w:val="20"/>
        </w:rPr>
      </w:pPr>
      <w:r>
        <w:rPr>
          <w:sz w:val="20"/>
        </w:rPr>
        <w:t>Personas trabajadoras de la</w:t>
      </w:r>
      <w:r>
        <w:rPr>
          <w:spacing w:val="-1"/>
          <w:sz w:val="20"/>
        </w:rPr>
        <w:t> </w:t>
      </w:r>
      <w:r>
        <w:rPr>
          <w:sz w:val="20"/>
        </w:rPr>
        <w:t>industria de la</w:t>
      </w:r>
      <w:r>
        <w:rPr>
          <w:spacing w:val="-1"/>
          <w:sz w:val="20"/>
        </w:rPr>
        <w:t> </w:t>
      </w:r>
      <w:r>
        <w:rPr>
          <w:sz w:val="20"/>
        </w:rPr>
        <w:t>transformación, la</w:t>
      </w:r>
      <w:r>
        <w:rPr>
          <w:spacing w:val="-1"/>
          <w:sz w:val="20"/>
        </w:rPr>
        <w:t> </w:t>
      </w:r>
      <w:r>
        <w:rPr>
          <w:sz w:val="20"/>
        </w:rPr>
        <w:t>industria</w:t>
      </w:r>
      <w:r>
        <w:rPr>
          <w:spacing w:val="-1"/>
          <w:sz w:val="20"/>
        </w:rPr>
        <w:t> </w:t>
      </w:r>
      <w:r>
        <w:rPr>
          <w:sz w:val="20"/>
        </w:rPr>
        <w:t>electrónica,</w:t>
      </w:r>
      <w:r>
        <w:rPr>
          <w:spacing w:val="-1"/>
          <w:sz w:val="20"/>
        </w:rPr>
        <w:t> </w:t>
      </w:r>
      <w:r>
        <w:rPr>
          <w:sz w:val="20"/>
        </w:rPr>
        <w:t>de la industria textil, tales como: bordadores, costureros, empacadores y tejedores. Personas trabajadoras en rastros y carnicerías. Personas trabajadoras en hotelería: (camareras y cocineros). Personas trabajadoras de la floricultura, confeccionista textil, secretarias, digitadores y en general toda</w:t>
      </w:r>
      <w:r>
        <w:rPr>
          <w:spacing w:val="40"/>
          <w:sz w:val="20"/>
        </w:rPr>
        <w:t> </w:t>
      </w:r>
      <w:r>
        <w:rPr>
          <w:sz w:val="20"/>
        </w:rPr>
        <w:t>labor que implique movimientos repetitivos, permanentes, con brazo, dedos y</w:t>
      </w:r>
      <w:r>
        <w:rPr>
          <w:spacing w:val="-3"/>
          <w:sz w:val="20"/>
        </w:rPr>
        <w:t> </w:t>
      </w:r>
      <w:r>
        <w:rPr>
          <w:sz w:val="20"/>
        </w:rPr>
        <w:t>muñeca y posturas </w:t>
      </w:r>
      <w:r>
        <w:rPr>
          <w:spacing w:val="-2"/>
          <w:sz w:val="20"/>
        </w:rPr>
        <w:t>forzadas.</w:t>
      </w:r>
    </w:p>
    <w:p>
      <w:pPr>
        <w:pStyle w:val="ListParagraph"/>
        <w:numPr>
          <w:ilvl w:val="2"/>
          <w:numId w:val="160"/>
        </w:numPr>
        <w:tabs>
          <w:tab w:pos="1045" w:val="left" w:leader="none"/>
          <w:tab w:pos="1058" w:val="left" w:leader="none"/>
        </w:tabs>
        <w:spacing w:line="240" w:lineRule="auto" w:before="227" w:after="0"/>
        <w:ind w:left="1058" w:right="340" w:hanging="432"/>
        <w:jc w:val="both"/>
        <w:rPr>
          <w:sz w:val="20"/>
        </w:rPr>
      </w:pPr>
      <w:r>
        <w:rPr>
          <w:sz w:val="20"/>
        </w:rPr>
        <w:t>Personas trabajadoras en actividades como: cajeros, capturistas, costureras, dentistas, electricistas, empacadores, ensambladores de línea, mecánicos, músicos de cuerdas y percusiones, perforadores de piedra, pintores industriales, personal de limpieza, personas trabajadoras con aves</w:t>
      </w:r>
      <w:r>
        <w:rPr>
          <w:spacing w:val="-1"/>
          <w:sz w:val="20"/>
        </w:rPr>
        <w:t> </w:t>
      </w:r>
      <w:r>
        <w:rPr>
          <w:sz w:val="20"/>
        </w:rPr>
        <w:t>de</w:t>
      </w:r>
      <w:r>
        <w:rPr>
          <w:spacing w:val="-2"/>
          <w:sz w:val="20"/>
        </w:rPr>
        <w:t> </w:t>
      </w:r>
      <w:r>
        <w:rPr>
          <w:sz w:val="20"/>
        </w:rPr>
        <w:t>corral,</w:t>
      </w:r>
      <w:r>
        <w:rPr>
          <w:spacing w:val="-2"/>
          <w:sz w:val="20"/>
        </w:rPr>
        <w:t> </w:t>
      </w:r>
      <w:r>
        <w:rPr>
          <w:sz w:val="20"/>
        </w:rPr>
        <w:t>trabajadoras</w:t>
      </w:r>
      <w:r>
        <w:rPr>
          <w:spacing w:val="-1"/>
          <w:sz w:val="20"/>
        </w:rPr>
        <w:t> </w:t>
      </w:r>
      <w:r>
        <w:rPr>
          <w:sz w:val="20"/>
        </w:rPr>
        <w:t>de lavanderías. Personas</w:t>
      </w:r>
      <w:r>
        <w:rPr>
          <w:spacing w:val="-1"/>
          <w:sz w:val="20"/>
        </w:rPr>
        <w:t> </w:t>
      </w:r>
      <w:r>
        <w:rPr>
          <w:sz w:val="20"/>
        </w:rPr>
        <w:t>trabajadoras</w:t>
      </w:r>
      <w:r>
        <w:rPr>
          <w:spacing w:val="-1"/>
          <w:sz w:val="20"/>
        </w:rPr>
        <w:t> </w:t>
      </w:r>
      <w:r>
        <w:rPr>
          <w:sz w:val="20"/>
        </w:rPr>
        <w:t>con</w:t>
      </w:r>
      <w:r>
        <w:rPr>
          <w:spacing w:val="-3"/>
          <w:sz w:val="20"/>
        </w:rPr>
        <w:t> </w:t>
      </w:r>
      <w:r>
        <w:rPr>
          <w:sz w:val="20"/>
        </w:rPr>
        <w:t>puestos y trabajos con tareas que demandan ejercer actividades manuales intensas en frecuencia, en fuerza como soldadores, carpinteros, pulidores y pintores.</w:t>
      </w:r>
    </w:p>
    <w:p>
      <w:pPr>
        <w:pStyle w:val="ListParagraph"/>
        <w:numPr>
          <w:ilvl w:val="2"/>
          <w:numId w:val="160"/>
        </w:numPr>
        <w:tabs>
          <w:tab w:pos="1045" w:val="left" w:leader="none"/>
          <w:tab w:pos="1058" w:val="left" w:leader="none"/>
        </w:tabs>
        <w:spacing w:line="240" w:lineRule="auto" w:before="228" w:after="0"/>
        <w:ind w:left="1058" w:right="33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7" w:val="left" w:leader="none"/>
        </w:tabs>
        <w:spacing w:line="240" w:lineRule="auto" w:before="229" w:after="0"/>
        <w:ind w:left="1067" w:right="0" w:hanging="441"/>
        <w:jc w:val="left"/>
      </w:pPr>
      <w:r>
        <w:rPr>
          <w:spacing w:val="-2"/>
        </w:rPr>
        <w:t>Metatarsalgia</w:t>
      </w:r>
    </w:p>
    <w:p>
      <w:pPr>
        <w:pStyle w:val="BodyText"/>
        <w:rPr>
          <w:rFonts w:ascii="Arial"/>
          <w:b/>
        </w:rPr>
      </w:pPr>
    </w:p>
    <w:p>
      <w:pPr>
        <w:pStyle w:val="BodyText"/>
        <w:spacing w:before="1"/>
        <w:ind w:left="626"/>
      </w:pPr>
      <w:r>
        <w:rPr/>
        <w:t>Código</w:t>
      </w:r>
      <w:r>
        <w:rPr>
          <w:spacing w:val="-8"/>
        </w:rPr>
        <w:t> </w:t>
      </w:r>
      <w:r>
        <w:rPr/>
        <w:t>CIE-11:</w:t>
      </w:r>
      <w:r>
        <w:rPr>
          <w:spacing w:val="-7"/>
        </w:rPr>
        <w:t> </w:t>
      </w:r>
      <w:r>
        <w:rPr/>
        <w:t>FB54.4,</w:t>
      </w:r>
      <w:r>
        <w:rPr>
          <w:spacing w:val="-7"/>
        </w:rPr>
        <w:t> </w:t>
      </w:r>
      <w:r>
        <w:rPr/>
        <w:t>FB80.A,</w:t>
      </w:r>
      <w:r>
        <w:rPr>
          <w:spacing w:val="-7"/>
        </w:rPr>
        <w:t> </w:t>
      </w:r>
      <w:r>
        <w:rPr/>
        <w:t>XK9J,</w:t>
      </w:r>
      <w:r>
        <w:rPr>
          <w:spacing w:val="-7"/>
        </w:rPr>
        <w:t> </w:t>
      </w:r>
      <w:r>
        <w:rPr/>
        <w:t>XK8G,</w:t>
      </w:r>
      <w:r>
        <w:rPr>
          <w:spacing w:val="-7"/>
        </w:rPr>
        <w:t> </w:t>
      </w:r>
      <w:r>
        <w:rPr/>
        <w:t>XK9K,</w:t>
      </w:r>
      <w:r>
        <w:rPr>
          <w:spacing w:val="-5"/>
        </w:rPr>
        <w:t> </w:t>
      </w:r>
      <w:r>
        <w:rPr>
          <w:spacing w:val="-4"/>
        </w:rPr>
        <w:t>XK70</w:t>
      </w:r>
    </w:p>
    <w:p>
      <w:pPr>
        <w:pStyle w:val="ListParagraph"/>
        <w:numPr>
          <w:ilvl w:val="2"/>
          <w:numId w:val="160"/>
        </w:numPr>
        <w:tabs>
          <w:tab w:pos="1045" w:val="left" w:leader="none"/>
          <w:tab w:pos="1058" w:val="left" w:leader="none"/>
        </w:tabs>
        <w:spacing w:line="240" w:lineRule="auto" w:before="229" w:after="0"/>
        <w:ind w:left="1058" w:right="337" w:hanging="432"/>
        <w:jc w:val="both"/>
        <w:rPr>
          <w:sz w:val="20"/>
        </w:rPr>
      </w:pPr>
      <w:r>
        <w:rPr>
          <w:sz w:val="20"/>
        </w:rPr>
        <w:t>Personas trabajadoras en actividades como: chóferes, traileros y todas aquellas personas trabajadoras que utilicen máquinas e instrumentos en las que tengan que activar palancas y pedales con el pie de manera repetitiva.</w:t>
      </w:r>
    </w:p>
    <w:p>
      <w:pPr>
        <w:pStyle w:val="ListParagraph"/>
        <w:numPr>
          <w:ilvl w:val="2"/>
          <w:numId w:val="160"/>
        </w:numPr>
        <w:tabs>
          <w:tab w:pos="1045" w:val="left" w:leader="none"/>
          <w:tab w:pos="1058" w:val="left" w:leader="none"/>
        </w:tabs>
        <w:spacing w:line="240" w:lineRule="auto" w:before="228" w:after="0"/>
        <w:ind w:left="1058" w:right="343"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6" w:val="left" w:leader="none"/>
        </w:tabs>
        <w:spacing w:line="240" w:lineRule="auto" w:before="230" w:after="0"/>
        <w:ind w:left="1066" w:right="0" w:hanging="440"/>
        <w:jc w:val="left"/>
      </w:pPr>
      <w:r>
        <w:rPr/>
        <w:t>Otras</w:t>
      </w:r>
      <w:r>
        <w:rPr>
          <w:spacing w:val="-13"/>
        </w:rPr>
        <w:t> </w:t>
      </w:r>
      <w:r>
        <w:rPr/>
        <w:t>osteocondropatías</w:t>
      </w:r>
      <w:r>
        <w:rPr>
          <w:spacing w:val="-13"/>
        </w:rPr>
        <w:t> </w:t>
      </w:r>
      <w:r>
        <w:rPr>
          <w:spacing w:val="-2"/>
        </w:rPr>
        <w:t>especificadas</w:t>
      </w:r>
    </w:p>
    <w:p>
      <w:pPr>
        <w:pStyle w:val="BodyText"/>
        <w:rPr>
          <w:rFonts w:ascii="Arial"/>
          <w:b/>
        </w:rPr>
      </w:pPr>
    </w:p>
    <w:p>
      <w:pPr>
        <w:pStyle w:val="BodyText"/>
        <w:ind w:left="626"/>
      </w:pPr>
      <w:r>
        <w:rPr/>
        <w:t>Código</w:t>
      </w:r>
      <w:r>
        <w:rPr>
          <w:spacing w:val="-8"/>
        </w:rPr>
        <w:t> </w:t>
      </w:r>
      <w:r>
        <w:rPr/>
        <w:t>CIE-11:</w:t>
      </w:r>
      <w:r>
        <w:rPr>
          <w:spacing w:val="-7"/>
        </w:rPr>
        <w:t> </w:t>
      </w:r>
      <w:r>
        <w:rPr/>
        <w:t>FB82.Y,</w:t>
      </w:r>
      <w:r>
        <w:rPr>
          <w:spacing w:val="-7"/>
        </w:rPr>
        <w:t> </w:t>
      </w:r>
      <w:r>
        <w:rPr/>
        <w:t>XK9J,</w:t>
      </w:r>
      <w:r>
        <w:rPr>
          <w:spacing w:val="-7"/>
        </w:rPr>
        <w:t> </w:t>
      </w:r>
      <w:r>
        <w:rPr/>
        <w:t>XK8G,</w:t>
      </w:r>
      <w:r>
        <w:rPr>
          <w:spacing w:val="-6"/>
        </w:rPr>
        <w:t> </w:t>
      </w:r>
      <w:r>
        <w:rPr/>
        <w:t>XK9K,</w:t>
      </w:r>
      <w:r>
        <w:rPr>
          <w:spacing w:val="-7"/>
        </w:rPr>
        <w:t> </w:t>
      </w:r>
      <w:r>
        <w:rPr>
          <w:spacing w:val="-4"/>
        </w:rPr>
        <w:t>XK70</w:t>
      </w:r>
    </w:p>
    <w:p>
      <w:pPr>
        <w:pStyle w:val="BodyText"/>
        <w:spacing w:after="0"/>
        <w:sectPr>
          <w:pgSz w:w="12240" w:h="15840"/>
          <w:pgMar w:header="724" w:footer="712" w:top="1880" w:bottom="900" w:left="1080" w:right="1080"/>
        </w:sectPr>
      </w:pPr>
    </w:p>
    <w:p>
      <w:pPr>
        <w:pStyle w:val="BodyText"/>
        <w:spacing w:before="66"/>
      </w:pPr>
    </w:p>
    <w:p>
      <w:pPr>
        <w:pStyle w:val="ListParagraph"/>
        <w:numPr>
          <w:ilvl w:val="2"/>
          <w:numId w:val="160"/>
        </w:numPr>
        <w:tabs>
          <w:tab w:pos="1045" w:val="left" w:leader="none"/>
          <w:tab w:pos="1058" w:val="left" w:leader="none"/>
        </w:tabs>
        <w:spacing w:line="240" w:lineRule="auto" w:before="0" w:after="0"/>
        <w:ind w:left="1058" w:right="336" w:hanging="432"/>
        <w:jc w:val="both"/>
        <w:rPr>
          <w:sz w:val="20"/>
        </w:rPr>
      </w:pPr>
      <w:r>
        <w:rPr>
          <w:sz w:val="20"/>
        </w:rPr>
        <w:t>Personas trabajadoras en actividades como: carpinteros, esmeriladores, mineros, operadores de herramientas neumáticas, perforistas, pulidores, todas aquellas personas trabajadoras que se someten a vibraciones segmentarías de mano y brazo, y personas trabajadoras que manejan martillo neumático.</w:t>
      </w:r>
    </w:p>
    <w:p>
      <w:pPr>
        <w:pStyle w:val="ListParagraph"/>
        <w:numPr>
          <w:ilvl w:val="2"/>
          <w:numId w:val="160"/>
        </w:numPr>
        <w:tabs>
          <w:tab w:pos="1045" w:val="left" w:leader="none"/>
          <w:tab w:pos="1058" w:val="left" w:leader="none"/>
        </w:tabs>
        <w:spacing w:line="240" w:lineRule="auto" w:before="227" w:after="0"/>
        <w:ind w:left="1058" w:right="343"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7" w:val="left" w:leader="none"/>
        </w:tabs>
        <w:spacing w:line="240" w:lineRule="auto" w:before="228" w:after="0"/>
        <w:ind w:left="1067" w:right="0" w:hanging="441"/>
        <w:jc w:val="left"/>
      </w:pPr>
      <w:r>
        <w:rPr/>
        <w:t>Fibromatosis</w:t>
      </w:r>
      <w:r>
        <w:rPr>
          <w:spacing w:val="-7"/>
        </w:rPr>
        <w:t> </w:t>
      </w:r>
      <w:r>
        <w:rPr/>
        <w:t>de</w:t>
      </w:r>
      <w:r>
        <w:rPr>
          <w:spacing w:val="-6"/>
        </w:rPr>
        <w:t> </w:t>
      </w:r>
      <w:r>
        <w:rPr/>
        <w:t>la</w:t>
      </w:r>
      <w:r>
        <w:rPr>
          <w:spacing w:val="-7"/>
        </w:rPr>
        <w:t> </w:t>
      </w:r>
      <w:r>
        <w:rPr/>
        <w:t>fascia</w:t>
      </w:r>
      <w:r>
        <w:rPr>
          <w:spacing w:val="-7"/>
        </w:rPr>
        <w:t> </w:t>
      </w:r>
      <w:r>
        <w:rPr/>
        <w:t>palmar</w:t>
      </w:r>
      <w:r>
        <w:rPr>
          <w:spacing w:val="-6"/>
        </w:rPr>
        <w:t> </w:t>
      </w:r>
      <w:r>
        <w:rPr/>
        <w:t>(enfermedad</w:t>
      </w:r>
      <w:r>
        <w:rPr>
          <w:spacing w:val="-4"/>
        </w:rPr>
        <w:t> </w:t>
      </w:r>
      <w:r>
        <w:rPr/>
        <w:t>de</w:t>
      </w:r>
      <w:r>
        <w:rPr>
          <w:spacing w:val="-6"/>
        </w:rPr>
        <w:t> </w:t>
      </w:r>
      <w:r>
        <w:rPr/>
        <w:t>dupuytren</w:t>
      </w:r>
      <w:r>
        <w:rPr>
          <w:spacing w:val="-7"/>
        </w:rPr>
        <w:t> </w:t>
      </w:r>
      <w:r>
        <w:rPr/>
        <w:t>de</w:t>
      </w:r>
      <w:r>
        <w:rPr>
          <w:spacing w:val="-4"/>
        </w:rPr>
        <w:t> </w:t>
      </w:r>
      <w:r>
        <w:rPr/>
        <w:t>la</w:t>
      </w:r>
      <w:r>
        <w:rPr>
          <w:spacing w:val="-8"/>
        </w:rPr>
        <w:t> </w:t>
      </w:r>
      <w:r>
        <w:rPr/>
        <w:t>palma</w:t>
      </w:r>
      <w:r>
        <w:rPr>
          <w:spacing w:val="-3"/>
        </w:rPr>
        <w:t> </w:t>
      </w:r>
      <w:r>
        <w:rPr/>
        <w:t>de</w:t>
      </w:r>
      <w:r>
        <w:rPr>
          <w:spacing w:val="-7"/>
        </w:rPr>
        <w:t> </w:t>
      </w:r>
      <w:r>
        <w:rPr/>
        <w:t>la</w:t>
      </w:r>
      <w:r>
        <w:rPr>
          <w:spacing w:val="-7"/>
        </w:rPr>
        <w:t> </w:t>
      </w:r>
      <w:r>
        <w:rPr>
          <w:spacing w:val="-2"/>
        </w:rPr>
        <w:t>mano)</w:t>
      </w:r>
    </w:p>
    <w:p>
      <w:pPr>
        <w:pStyle w:val="BodyText"/>
        <w:spacing w:before="2"/>
        <w:rPr>
          <w:rFonts w:ascii="Arial"/>
          <w:b/>
        </w:rPr>
      </w:pPr>
    </w:p>
    <w:p>
      <w:pPr>
        <w:pStyle w:val="BodyText"/>
        <w:ind w:left="626"/>
      </w:pPr>
      <w:r>
        <w:rPr/>
        <w:t>Código</w:t>
      </w:r>
      <w:r>
        <w:rPr>
          <w:spacing w:val="-8"/>
        </w:rPr>
        <w:t> </w:t>
      </w:r>
      <w:r>
        <w:rPr/>
        <w:t>CIE-11:</w:t>
      </w:r>
      <w:r>
        <w:rPr>
          <w:spacing w:val="-7"/>
        </w:rPr>
        <w:t> </w:t>
      </w:r>
      <w:r>
        <w:rPr/>
        <w:t>FB51.0,</w:t>
      </w:r>
      <w:r>
        <w:rPr>
          <w:spacing w:val="-7"/>
        </w:rPr>
        <w:t> </w:t>
      </w:r>
      <w:r>
        <w:rPr/>
        <w:t>XK9J,</w:t>
      </w:r>
      <w:r>
        <w:rPr>
          <w:spacing w:val="-7"/>
        </w:rPr>
        <w:t> </w:t>
      </w:r>
      <w:r>
        <w:rPr/>
        <w:t>XK8G,</w:t>
      </w:r>
      <w:r>
        <w:rPr>
          <w:spacing w:val="-7"/>
        </w:rPr>
        <w:t> </w:t>
      </w:r>
      <w:r>
        <w:rPr/>
        <w:t>XK9K,</w:t>
      </w:r>
      <w:r>
        <w:rPr>
          <w:spacing w:val="-7"/>
        </w:rPr>
        <w:t> </w:t>
      </w:r>
      <w:r>
        <w:rPr>
          <w:spacing w:val="-4"/>
        </w:rPr>
        <w:t>XK70</w:t>
      </w:r>
    </w:p>
    <w:p>
      <w:pPr>
        <w:pStyle w:val="ListParagraph"/>
        <w:numPr>
          <w:ilvl w:val="2"/>
          <w:numId w:val="160"/>
        </w:numPr>
        <w:tabs>
          <w:tab w:pos="1045" w:val="left" w:leader="none"/>
          <w:tab w:pos="1058" w:val="left" w:leader="none"/>
        </w:tabs>
        <w:spacing w:line="240" w:lineRule="auto" w:before="229" w:after="0"/>
        <w:ind w:left="1058" w:right="338" w:hanging="432"/>
        <w:jc w:val="both"/>
        <w:rPr>
          <w:sz w:val="20"/>
        </w:rPr>
      </w:pPr>
      <w:r>
        <w:rPr>
          <w:sz w:val="20"/>
        </w:rPr>
        <w:t>Personas trabajadoras en actividades como: cordeleros, bruñidores, grabadores, operadores de herramientas manuales neumáticas, martillos neumáticos, mineros, operadores de motosierras, operadores de taladros, perforadoras mecánicas y personas trabajadoras de canteras.</w:t>
      </w:r>
    </w:p>
    <w:p>
      <w:pPr>
        <w:pStyle w:val="ListParagraph"/>
        <w:numPr>
          <w:ilvl w:val="2"/>
          <w:numId w:val="160"/>
        </w:numPr>
        <w:tabs>
          <w:tab w:pos="1045" w:val="left" w:leader="none"/>
          <w:tab w:pos="1058" w:val="left" w:leader="none"/>
        </w:tabs>
        <w:spacing w:line="240" w:lineRule="auto" w:before="229" w:after="0"/>
        <w:ind w:left="1058" w:right="33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7" w:val="left" w:leader="none"/>
        </w:tabs>
        <w:spacing w:line="240" w:lineRule="auto" w:before="228" w:after="0"/>
        <w:ind w:left="1067" w:right="0" w:hanging="441"/>
        <w:jc w:val="left"/>
      </w:pPr>
      <w:r>
        <w:rPr/>
        <w:t>Tendinitis</w:t>
      </w:r>
      <w:r>
        <w:rPr>
          <w:spacing w:val="-8"/>
        </w:rPr>
        <w:t> </w:t>
      </w:r>
      <w:r>
        <w:rPr/>
        <w:t>del</w:t>
      </w:r>
      <w:r>
        <w:rPr>
          <w:spacing w:val="-6"/>
        </w:rPr>
        <w:t> </w:t>
      </w:r>
      <w:r>
        <w:rPr/>
        <w:t>estiloides</w:t>
      </w:r>
      <w:r>
        <w:rPr>
          <w:spacing w:val="-8"/>
        </w:rPr>
        <w:t> </w:t>
      </w:r>
      <w:r>
        <w:rPr/>
        <w:t>radial</w:t>
      </w:r>
      <w:r>
        <w:rPr>
          <w:spacing w:val="-7"/>
        </w:rPr>
        <w:t> </w:t>
      </w:r>
      <w:r>
        <w:rPr/>
        <w:t>(enfermedad</w:t>
      </w:r>
      <w:r>
        <w:rPr>
          <w:spacing w:val="-7"/>
        </w:rPr>
        <w:t> </w:t>
      </w:r>
      <w:r>
        <w:rPr/>
        <w:t>de</w:t>
      </w:r>
      <w:r>
        <w:rPr>
          <w:spacing w:val="-7"/>
        </w:rPr>
        <w:t> </w:t>
      </w:r>
      <w:r>
        <w:rPr>
          <w:spacing w:val="-2"/>
        </w:rPr>
        <w:t>quervain)</w:t>
      </w:r>
    </w:p>
    <w:p>
      <w:pPr>
        <w:pStyle w:val="BodyText"/>
        <w:spacing w:before="1"/>
        <w:rPr>
          <w:rFonts w:ascii="Arial"/>
          <w:b/>
        </w:rPr>
      </w:pPr>
    </w:p>
    <w:p>
      <w:pPr>
        <w:pStyle w:val="BodyText"/>
        <w:spacing w:before="1"/>
        <w:ind w:left="626"/>
      </w:pPr>
      <w:r>
        <w:rPr/>
        <w:t>Código</w:t>
      </w:r>
      <w:r>
        <w:rPr>
          <w:spacing w:val="-8"/>
        </w:rPr>
        <w:t> </w:t>
      </w:r>
      <w:r>
        <w:rPr/>
        <w:t>CIE-11:</w:t>
      </w:r>
      <w:r>
        <w:rPr>
          <w:spacing w:val="-7"/>
        </w:rPr>
        <w:t> </w:t>
      </w:r>
      <w:r>
        <w:rPr/>
        <w:t>FB40.5,</w:t>
      </w:r>
      <w:r>
        <w:rPr>
          <w:spacing w:val="-7"/>
        </w:rPr>
        <w:t> </w:t>
      </w:r>
      <w:r>
        <w:rPr/>
        <w:t>XK9J,</w:t>
      </w:r>
      <w:r>
        <w:rPr>
          <w:spacing w:val="-7"/>
        </w:rPr>
        <w:t> </w:t>
      </w:r>
      <w:r>
        <w:rPr/>
        <w:t>XK8G,</w:t>
      </w:r>
      <w:r>
        <w:rPr>
          <w:spacing w:val="-7"/>
        </w:rPr>
        <w:t> </w:t>
      </w:r>
      <w:r>
        <w:rPr/>
        <w:t>XK9K,</w:t>
      </w:r>
      <w:r>
        <w:rPr>
          <w:spacing w:val="-7"/>
        </w:rPr>
        <w:t> </w:t>
      </w:r>
      <w:r>
        <w:rPr>
          <w:spacing w:val="-4"/>
        </w:rPr>
        <w:t>XK70</w:t>
      </w:r>
    </w:p>
    <w:p>
      <w:pPr>
        <w:pStyle w:val="ListParagraph"/>
        <w:numPr>
          <w:ilvl w:val="2"/>
          <w:numId w:val="160"/>
        </w:numPr>
        <w:tabs>
          <w:tab w:pos="1045" w:val="left" w:leader="none"/>
          <w:tab w:pos="1058" w:val="left" w:leader="none"/>
        </w:tabs>
        <w:spacing w:line="240" w:lineRule="auto" w:before="229" w:after="0"/>
        <w:ind w:left="1058" w:right="335" w:hanging="432"/>
        <w:jc w:val="both"/>
        <w:rPr>
          <w:sz w:val="20"/>
        </w:rPr>
      </w:pPr>
      <w:r>
        <w:rPr>
          <w:sz w:val="20"/>
        </w:rPr>
        <w:t>Puestos y trabajos con tareas que demandan ejercer actividades con posturas forzadas y movimientos de flexoextensión del pulgar. Personas que trabajen como: anestesiólogos, cirujanos, odontólogos, enfermeras y deportistas: esgrimistas, bolichistas, tenistas, golfistas y jugadores</w:t>
      </w:r>
      <w:r>
        <w:rPr>
          <w:spacing w:val="-1"/>
          <w:sz w:val="20"/>
        </w:rPr>
        <w:t> </w:t>
      </w:r>
      <w:r>
        <w:rPr>
          <w:sz w:val="20"/>
        </w:rPr>
        <w:t>de</w:t>
      </w:r>
      <w:r>
        <w:rPr>
          <w:spacing w:val="-1"/>
          <w:sz w:val="20"/>
        </w:rPr>
        <w:t> </w:t>
      </w:r>
      <w:r>
        <w:rPr>
          <w:sz w:val="20"/>
        </w:rPr>
        <w:t>voleibol.</w:t>
      </w:r>
      <w:r>
        <w:rPr>
          <w:spacing w:val="-2"/>
          <w:sz w:val="20"/>
        </w:rPr>
        <w:t> </w:t>
      </w:r>
      <w:r>
        <w:rPr>
          <w:sz w:val="20"/>
        </w:rPr>
        <w:t>Laminadores,</w:t>
      </w:r>
      <w:r>
        <w:rPr>
          <w:spacing w:val="-4"/>
          <w:sz w:val="20"/>
        </w:rPr>
        <w:t> </w:t>
      </w:r>
      <w:r>
        <w:rPr>
          <w:sz w:val="20"/>
        </w:rPr>
        <w:t>herreros y</w:t>
      </w:r>
      <w:r>
        <w:rPr>
          <w:spacing w:val="-7"/>
          <w:sz w:val="20"/>
        </w:rPr>
        <w:t> </w:t>
      </w:r>
      <w:r>
        <w:rPr>
          <w:sz w:val="20"/>
        </w:rPr>
        <w:t>caldereros,</w:t>
      </w:r>
      <w:r>
        <w:rPr>
          <w:spacing w:val="-4"/>
          <w:sz w:val="20"/>
        </w:rPr>
        <w:t> </w:t>
      </w:r>
      <w:r>
        <w:rPr>
          <w:sz w:val="20"/>
        </w:rPr>
        <w:t>perforistas y</w:t>
      </w:r>
      <w:r>
        <w:rPr>
          <w:spacing w:val="-5"/>
          <w:sz w:val="20"/>
        </w:rPr>
        <w:t> </w:t>
      </w:r>
      <w:r>
        <w:rPr>
          <w:sz w:val="20"/>
        </w:rPr>
        <w:t>personas</w:t>
      </w:r>
      <w:r>
        <w:rPr>
          <w:spacing w:val="-2"/>
          <w:sz w:val="20"/>
        </w:rPr>
        <w:t> </w:t>
      </w:r>
      <w:r>
        <w:rPr>
          <w:sz w:val="20"/>
        </w:rPr>
        <w:t>con</w:t>
      </w:r>
      <w:r>
        <w:rPr>
          <w:spacing w:val="-5"/>
          <w:sz w:val="20"/>
        </w:rPr>
        <w:t> </w:t>
      </w:r>
      <w:r>
        <w:rPr>
          <w:sz w:val="20"/>
        </w:rPr>
        <w:t>actividades manuales: martilleros, carpinteros, mecánicos, meseros, costureras, maleteros, pulidores de fundición, remachadores, talladores de piedra, personas trabajadoras que utilizan martillos neumáticos, perforadoras mecánicas y herramientas análogas y digitales, y personas</w:t>
      </w:r>
      <w:r>
        <w:rPr>
          <w:spacing w:val="40"/>
          <w:sz w:val="20"/>
        </w:rPr>
        <w:t> </w:t>
      </w:r>
      <w:r>
        <w:rPr>
          <w:sz w:val="20"/>
        </w:rPr>
        <w:t>trabajadoras que utilizan martinetes en las fábricas de calzado. Capturistas y operadores de </w:t>
      </w:r>
      <w:r>
        <w:rPr>
          <w:spacing w:val="-2"/>
          <w:sz w:val="20"/>
        </w:rPr>
        <w:t>computadoras.</w:t>
      </w:r>
    </w:p>
    <w:p>
      <w:pPr>
        <w:pStyle w:val="ListParagraph"/>
        <w:numPr>
          <w:ilvl w:val="2"/>
          <w:numId w:val="160"/>
        </w:numPr>
        <w:tabs>
          <w:tab w:pos="1045" w:val="left" w:leader="none"/>
          <w:tab w:pos="1058" w:val="left" w:leader="none"/>
        </w:tabs>
        <w:spacing w:line="240" w:lineRule="auto" w:before="229" w:after="0"/>
        <w:ind w:left="1058" w:right="34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7" w:val="left" w:leader="none"/>
        </w:tabs>
        <w:spacing w:line="240" w:lineRule="auto" w:before="226" w:after="0"/>
        <w:ind w:left="1067" w:right="0" w:hanging="441"/>
        <w:jc w:val="left"/>
      </w:pPr>
      <w:r>
        <w:rPr/>
        <w:t>Tendinitis</w:t>
      </w:r>
      <w:r>
        <w:rPr>
          <w:spacing w:val="-9"/>
        </w:rPr>
        <w:t> </w:t>
      </w:r>
      <w:r>
        <w:rPr/>
        <w:t>del</w:t>
      </w:r>
      <w:r>
        <w:rPr>
          <w:spacing w:val="-5"/>
        </w:rPr>
        <w:t> </w:t>
      </w:r>
      <w:r>
        <w:rPr/>
        <w:t>hombro</w:t>
      </w:r>
      <w:r>
        <w:rPr>
          <w:spacing w:val="-6"/>
        </w:rPr>
        <w:t> </w:t>
      </w:r>
      <w:r>
        <w:rPr/>
        <w:t>(síndrome</w:t>
      </w:r>
      <w:r>
        <w:rPr>
          <w:spacing w:val="-8"/>
        </w:rPr>
        <w:t> </w:t>
      </w:r>
      <w:r>
        <w:rPr/>
        <w:t>del</w:t>
      </w:r>
      <w:r>
        <w:rPr>
          <w:spacing w:val="-5"/>
        </w:rPr>
        <w:t> </w:t>
      </w:r>
      <w:r>
        <w:rPr/>
        <w:t>manguito</w:t>
      </w:r>
      <w:r>
        <w:rPr>
          <w:spacing w:val="-5"/>
        </w:rPr>
        <w:t> </w:t>
      </w:r>
      <w:r>
        <w:rPr>
          <w:spacing w:val="-2"/>
        </w:rPr>
        <w:t>rotatorio)</w:t>
      </w:r>
    </w:p>
    <w:p>
      <w:pPr>
        <w:pStyle w:val="BodyText"/>
        <w:spacing w:before="3"/>
        <w:rPr>
          <w:rFonts w:ascii="Arial"/>
          <w:b/>
        </w:rPr>
      </w:pPr>
    </w:p>
    <w:p>
      <w:pPr>
        <w:pStyle w:val="BodyText"/>
        <w:spacing w:before="1"/>
        <w:ind w:left="626"/>
      </w:pPr>
      <w:r>
        <w:rPr/>
        <w:t>Código</w:t>
      </w:r>
      <w:r>
        <w:rPr>
          <w:spacing w:val="-8"/>
        </w:rPr>
        <w:t> </w:t>
      </w:r>
      <w:r>
        <w:rPr/>
        <w:t>CIE-11:</w:t>
      </w:r>
      <w:r>
        <w:rPr>
          <w:spacing w:val="-7"/>
        </w:rPr>
        <w:t> </w:t>
      </w:r>
      <w:r>
        <w:rPr/>
        <w:t>FB40.3,</w:t>
      </w:r>
      <w:r>
        <w:rPr>
          <w:spacing w:val="-7"/>
        </w:rPr>
        <w:t> </w:t>
      </w:r>
      <w:r>
        <w:rPr/>
        <w:t>FB53.0,</w:t>
      </w:r>
      <w:r>
        <w:rPr>
          <w:spacing w:val="-5"/>
        </w:rPr>
        <w:t> </w:t>
      </w:r>
      <w:r>
        <w:rPr/>
        <w:t>XK9J,</w:t>
      </w:r>
      <w:r>
        <w:rPr>
          <w:spacing w:val="-7"/>
        </w:rPr>
        <w:t> </w:t>
      </w:r>
      <w:r>
        <w:rPr/>
        <w:t>XK8G,</w:t>
      </w:r>
      <w:r>
        <w:rPr>
          <w:spacing w:val="-7"/>
        </w:rPr>
        <w:t> </w:t>
      </w:r>
      <w:r>
        <w:rPr/>
        <w:t>XK9K,</w:t>
      </w:r>
      <w:r>
        <w:rPr>
          <w:spacing w:val="-6"/>
        </w:rPr>
        <w:t> </w:t>
      </w:r>
      <w:r>
        <w:rPr>
          <w:spacing w:val="-4"/>
        </w:rPr>
        <w:t>XK70</w:t>
      </w:r>
    </w:p>
    <w:p>
      <w:pPr>
        <w:pStyle w:val="ListParagraph"/>
        <w:numPr>
          <w:ilvl w:val="2"/>
          <w:numId w:val="160"/>
        </w:numPr>
        <w:tabs>
          <w:tab w:pos="1045" w:val="left" w:leader="none"/>
          <w:tab w:pos="1058" w:val="left" w:leader="none"/>
        </w:tabs>
        <w:spacing w:line="240" w:lineRule="auto" w:before="229" w:after="0"/>
        <w:ind w:left="1058" w:right="338" w:hanging="432"/>
        <w:jc w:val="both"/>
        <w:rPr>
          <w:sz w:val="20"/>
        </w:rPr>
      </w:pPr>
      <w:r>
        <w:rPr>
          <w:sz w:val="20"/>
        </w:rPr>
        <w:t>Personas</w:t>
      </w:r>
      <w:r>
        <w:rPr>
          <w:spacing w:val="-3"/>
          <w:sz w:val="20"/>
        </w:rPr>
        <w:t> </w:t>
      </w:r>
      <w:r>
        <w:rPr>
          <w:sz w:val="20"/>
        </w:rPr>
        <w:t>trabajadoras</w:t>
      </w:r>
      <w:r>
        <w:rPr>
          <w:spacing w:val="-2"/>
          <w:sz w:val="20"/>
        </w:rPr>
        <w:t> </w:t>
      </w:r>
      <w:r>
        <w:rPr>
          <w:sz w:val="20"/>
        </w:rPr>
        <w:t>en</w:t>
      </w:r>
      <w:r>
        <w:rPr>
          <w:spacing w:val="-3"/>
          <w:sz w:val="20"/>
        </w:rPr>
        <w:t> </w:t>
      </w:r>
      <w:r>
        <w:rPr>
          <w:sz w:val="20"/>
        </w:rPr>
        <w:t>actividades</w:t>
      </w:r>
      <w:r>
        <w:rPr>
          <w:spacing w:val="-3"/>
          <w:sz w:val="20"/>
        </w:rPr>
        <w:t> </w:t>
      </w:r>
      <w:r>
        <w:rPr>
          <w:sz w:val="20"/>
        </w:rPr>
        <w:t>como:</w:t>
      </w:r>
      <w:r>
        <w:rPr>
          <w:spacing w:val="-3"/>
          <w:sz w:val="20"/>
        </w:rPr>
        <w:t> </w:t>
      </w:r>
      <w:r>
        <w:rPr>
          <w:sz w:val="20"/>
        </w:rPr>
        <w:t>albañiles,</w:t>
      </w:r>
      <w:r>
        <w:rPr>
          <w:spacing w:val="-4"/>
          <w:sz w:val="20"/>
        </w:rPr>
        <w:t> </w:t>
      </w:r>
      <w:r>
        <w:rPr>
          <w:sz w:val="20"/>
        </w:rPr>
        <w:t>almacenistas,</w:t>
      </w:r>
      <w:r>
        <w:rPr>
          <w:spacing w:val="-3"/>
          <w:sz w:val="20"/>
        </w:rPr>
        <w:t> </w:t>
      </w:r>
      <w:r>
        <w:rPr>
          <w:sz w:val="20"/>
        </w:rPr>
        <w:t>meseros,</w:t>
      </w:r>
      <w:r>
        <w:rPr>
          <w:spacing w:val="-5"/>
          <w:sz w:val="20"/>
        </w:rPr>
        <w:t> </w:t>
      </w:r>
      <w:r>
        <w:rPr>
          <w:sz w:val="20"/>
        </w:rPr>
        <w:t>carteros,</w:t>
      </w:r>
      <w:r>
        <w:rPr>
          <w:spacing w:val="-3"/>
          <w:sz w:val="20"/>
        </w:rPr>
        <w:t> </w:t>
      </w:r>
      <w:r>
        <w:rPr>
          <w:sz w:val="20"/>
        </w:rPr>
        <w:t>torneros, empacadores, ensambladores de autos, fresadores, mecánicos que realizan montajes sobre la cabeza, operadores de presión, pintores, soldadores</w:t>
      </w:r>
      <w:r>
        <w:rPr>
          <w:spacing w:val="19"/>
          <w:sz w:val="20"/>
        </w:rPr>
        <w:t> </w:t>
      </w:r>
      <w:r>
        <w:rPr>
          <w:sz w:val="20"/>
        </w:rPr>
        <w:t>que realizan su actividad sobre la cabeza,</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058" w:right="339"/>
        <w:jc w:val="both"/>
      </w:pPr>
      <w:r>
        <w:rPr/>
        <w:t>todas</w:t>
      </w:r>
      <w:r>
        <w:rPr>
          <w:spacing w:val="-2"/>
        </w:rPr>
        <w:t> </w:t>
      </w:r>
      <w:r>
        <w:rPr/>
        <w:t>aquellas</w:t>
      </w:r>
      <w:r>
        <w:rPr>
          <w:spacing w:val="-2"/>
        </w:rPr>
        <w:t> </w:t>
      </w:r>
      <w:r>
        <w:rPr/>
        <w:t>personas</w:t>
      </w:r>
      <w:r>
        <w:rPr>
          <w:spacing w:val="-4"/>
        </w:rPr>
        <w:t> </w:t>
      </w:r>
      <w:r>
        <w:rPr/>
        <w:t>trabajadoras</w:t>
      </w:r>
      <w:r>
        <w:rPr>
          <w:spacing w:val="-3"/>
        </w:rPr>
        <w:t> </w:t>
      </w:r>
      <w:r>
        <w:rPr/>
        <w:t>que</w:t>
      </w:r>
      <w:r>
        <w:rPr>
          <w:spacing w:val="-3"/>
        </w:rPr>
        <w:t> </w:t>
      </w:r>
      <w:r>
        <w:rPr/>
        <w:t>realizan</w:t>
      </w:r>
      <w:r>
        <w:rPr>
          <w:spacing w:val="-3"/>
        </w:rPr>
        <w:t> </w:t>
      </w:r>
      <w:r>
        <w:rPr/>
        <w:t>continuamente</w:t>
      </w:r>
      <w:r>
        <w:rPr>
          <w:spacing w:val="-3"/>
        </w:rPr>
        <w:t> </w:t>
      </w:r>
      <w:r>
        <w:rPr/>
        <w:t>abducción y</w:t>
      </w:r>
      <w:r>
        <w:rPr>
          <w:spacing w:val="-8"/>
        </w:rPr>
        <w:t> </w:t>
      </w:r>
      <w:r>
        <w:rPr/>
        <w:t>flexión</w:t>
      </w:r>
      <w:r>
        <w:rPr>
          <w:spacing w:val="-3"/>
        </w:rPr>
        <w:t> </w:t>
      </w:r>
      <w:r>
        <w:rPr/>
        <w:t>de</w:t>
      </w:r>
      <w:r>
        <w:rPr>
          <w:spacing w:val="-5"/>
        </w:rPr>
        <w:t> </w:t>
      </w:r>
      <w:r>
        <w:rPr/>
        <w:t>hombro, que trabajan con las manos sobre la altura de la cabeza, transporte de carga en el hombro y lanzamiento de objetos.</w:t>
      </w:r>
    </w:p>
    <w:p>
      <w:pPr>
        <w:pStyle w:val="BodyText"/>
      </w:pPr>
    </w:p>
    <w:p>
      <w:pPr>
        <w:pStyle w:val="ListParagraph"/>
        <w:numPr>
          <w:ilvl w:val="2"/>
          <w:numId w:val="160"/>
        </w:numPr>
        <w:tabs>
          <w:tab w:pos="1045" w:val="left" w:leader="none"/>
          <w:tab w:pos="1058" w:val="left" w:leader="none"/>
        </w:tabs>
        <w:spacing w:line="240" w:lineRule="auto" w:before="1" w:after="0"/>
        <w:ind w:left="1058" w:right="33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7" w:val="left" w:leader="none"/>
        </w:tabs>
        <w:spacing w:line="240" w:lineRule="auto" w:before="226" w:after="0"/>
        <w:ind w:left="1067" w:right="0" w:hanging="441"/>
        <w:jc w:val="left"/>
      </w:pPr>
      <w:r>
        <w:rPr/>
        <w:t>Trastornos</w:t>
      </w:r>
      <w:r>
        <w:rPr>
          <w:spacing w:val="-10"/>
        </w:rPr>
        <w:t> </w:t>
      </w:r>
      <w:r>
        <w:rPr/>
        <w:t>angioneuríticos</w:t>
      </w:r>
      <w:r>
        <w:rPr>
          <w:spacing w:val="-10"/>
        </w:rPr>
        <w:t> </w:t>
      </w:r>
      <w:r>
        <w:rPr/>
        <w:t>(síndrome</w:t>
      </w:r>
      <w:r>
        <w:rPr>
          <w:spacing w:val="-10"/>
        </w:rPr>
        <w:t> </w:t>
      </w:r>
      <w:r>
        <w:rPr/>
        <w:t>de</w:t>
      </w:r>
      <w:r>
        <w:rPr>
          <w:spacing w:val="-10"/>
        </w:rPr>
        <w:t> </w:t>
      </w:r>
      <w:r>
        <w:rPr>
          <w:spacing w:val="-2"/>
        </w:rPr>
        <w:t>raynaud)</w:t>
      </w:r>
    </w:p>
    <w:p>
      <w:pPr>
        <w:pStyle w:val="BodyText"/>
        <w:spacing w:before="3"/>
        <w:rPr>
          <w:rFonts w:ascii="Arial"/>
          <w:b/>
        </w:rPr>
      </w:pPr>
    </w:p>
    <w:p>
      <w:pPr>
        <w:pStyle w:val="BodyText"/>
        <w:ind w:left="626"/>
      </w:pPr>
      <w:r>
        <w:rPr/>
        <w:t>Código</w:t>
      </w:r>
      <w:r>
        <w:rPr>
          <w:spacing w:val="-9"/>
        </w:rPr>
        <w:t> </w:t>
      </w:r>
      <w:r>
        <w:rPr/>
        <w:t>CIE-11:</w:t>
      </w:r>
      <w:r>
        <w:rPr>
          <w:spacing w:val="-6"/>
        </w:rPr>
        <w:t> </w:t>
      </w:r>
      <w:r>
        <w:rPr/>
        <w:t>BD42.1,</w:t>
      </w:r>
      <w:r>
        <w:rPr>
          <w:spacing w:val="-7"/>
        </w:rPr>
        <w:t> </w:t>
      </w:r>
      <w:r>
        <w:rPr/>
        <w:t>XB17,</w:t>
      </w:r>
      <w:r>
        <w:rPr>
          <w:spacing w:val="-6"/>
        </w:rPr>
        <w:t> </w:t>
      </w:r>
      <w:r>
        <w:rPr>
          <w:spacing w:val="-4"/>
        </w:rPr>
        <w:t>XB5G</w:t>
      </w:r>
    </w:p>
    <w:p>
      <w:pPr>
        <w:pStyle w:val="BodyText"/>
      </w:pPr>
    </w:p>
    <w:p>
      <w:pPr>
        <w:pStyle w:val="ListParagraph"/>
        <w:numPr>
          <w:ilvl w:val="2"/>
          <w:numId w:val="160"/>
        </w:numPr>
        <w:tabs>
          <w:tab w:pos="1045" w:val="left" w:leader="none"/>
          <w:tab w:pos="1058" w:val="left" w:leader="none"/>
        </w:tabs>
        <w:spacing w:line="240" w:lineRule="auto" w:before="0" w:after="0"/>
        <w:ind w:left="1058" w:right="337" w:hanging="432"/>
        <w:jc w:val="both"/>
        <w:rPr>
          <w:sz w:val="20"/>
        </w:rPr>
      </w:pPr>
      <w:r>
        <w:rPr>
          <w:sz w:val="20"/>
        </w:rPr>
        <w:t>Personas trabajadoras en actividades como: calderos, herreros, laminadores, operadores de: herramientas con vibración, de aparatos de terapia física con vibración, de motosierra, de ordeñadores manuales, perforistas, pulidores de fundición, remachadores, talladores de piedra, personas trabajadoras que utilizan martillos neumáticos, perforadoras mecánicas y herramientas análogas, personas trabajadoras que utilizan martinetes en las fábricas de calzado, y uso de herramientas manuales que dificultan la circulación sanguínea y dañan el endotelio de vasos.</w:t>
      </w:r>
    </w:p>
    <w:p>
      <w:pPr>
        <w:pStyle w:val="ListParagraph"/>
        <w:numPr>
          <w:ilvl w:val="2"/>
          <w:numId w:val="160"/>
        </w:numPr>
        <w:tabs>
          <w:tab w:pos="1045" w:val="left" w:leader="none"/>
          <w:tab w:pos="1058" w:val="left" w:leader="none"/>
        </w:tabs>
        <w:spacing w:line="240" w:lineRule="auto" w:before="227" w:after="0"/>
        <w:ind w:left="1058" w:right="341"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7" w:val="left" w:leader="none"/>
        </w:tabs>
        <w:spacing w:line="240" w:lineRule="auto" w:before="229" w:after="0"/>
        <w:ind w:left="1067" w:right="0" w:hanging="441"/>
        <w:jc w:val="left"/>
      </w:pPr>
      <w:r>
        <w:rPr/>
        <w:t>Bursitis</w:t>
      </w:r>
      <w:r>
        <w:rPr>
          <w:spacing w:val="-6"/>
        </w:rPr>
        <w:t> </w:t>
      </w:r>
      <w:r>
        <w:rPr/>
        <w:t>por</w:t>
      </w:r>
      <w:r>
        <w:rPr>
          <w:spacing w:val="-6"/>
        </w:rPr>
        <w:t> </w:t>
      </w:r>
      <w:r>
        <w:rPr/>
        <w:t>uso</w:t>
      </w:r>
      <w:r>
        <w:rPr>
          <w:spacing w:val="-3"/>
        </w:rPr>
        <w:t> </w:t>
      </w:r>
      <w:r>
        <w:rPr/>
        <w:t>excesivo</w:t>
      </w:r>
      <w:r>
        <w:rPr>
          <w:spacing w:val="-5"/>
        </w:rPr>
        <w:t> </w:t>
      </w:r>
      <w:r>
        <w:rPr/>
        <w:t>o</w:t>
      </w:r>
      <w:r>
        <w:rPr>
          <w:spacing w:val="-5"/>
        </w:rPr>
        <w:t> </w:t>
      </w:r>
      <w:r>
        <w:rPr>
          <w:spacing w:val="-2"/>
        </w:rPr>
        <w:t>tensión</w:t>
      </w:r>
    </w:p>
    <w:p>
      <w:pPr>
        <w:pStyle w:val="BodyText"/>
        <w:spacing w:before="1"/>
        <w:rPr>
          <w:rFonts w:ascii="Arial"/>
          <w:b/>
        </w:rPr>
      </w:pPr>
    </w:p>
    <w:p>
      <w:pPr>
        <w:pStyle w:val="BodyText"/>
        <w:ind w:left="626"/>
      </w:pPr>
      <w:r>
        <w:rPr/>
        <w:t>Código</w:t>
      </w:r>
      <w:r>
        <w:rPr>
          <w:spacing w:val="-8"/>
        </w:rPr>
        <w:t> </w:t>
      </w:r>
      <w:r>
        <w:rPr/>
        <w:t>CIE-11:</w:t>
      </w:r>
      <w:r>
        <w:rPr>
          <w:spacing w:val="-7"/>
        </w:rPr>
        <w:t> </w:t>
      </w:r>
      <w:r>
        <w:rPr/>
        <w:t>FB50.1,</w:t>
      </w:r>
      <w:r>
        <w:rPr>
          <w:spacing w:val="-7"/>
        </w:rPr>
        <w:t> </w:t>
      </w:r>
      <w:r>
        <w:rPr/>
        <w:t>XK9J,</w:t>
      </w:r>
      <w:r>
        <w:rPr>
          <w:spacing w:val="-7"/>
        </w:rPr>
        <w:t> </w:t>
      </w:r>
      <w:r>
        <w:rPr/>
        <w:t>XK8G,</w:t>
      </w:r>
      <w:r>
        <w:rPr>
          <w:spacing w:val="-7"/>
        </w:rPr>
        <w:t> </w:t>
      </w:r>
      <w:r>
        <w:rPr/>
        <w:t>XK9K,</w:t>
      </w:r>
      <w:r>
        <w:rPr>
          <w:spacing w:val="-7"/>
        </w:rPr>
        <w:t> </w:t>
      </w:r>
      <w:r>
        <w:rPr>
          <w:spacing w:val="-4"/>
        </w:rPr>
        <w:t>XK70</w:t>
      </w:r>
    </w:p>
    <w:p>
      <w:pPr>
        <w:pStyle w:val="ListParagraph"/>
        <w:numPr>
          <w:ilvl w:val="2"/>
          <w:numId w:val="160"/>
        </w:numPr>
        <w:tabs>
          <w:tab w:pos="1045" w:val="left" w:leader="none"/>
          <w:tab w:pos="1058" w:val="left" w:leader="none"/>
        </w:tabs>
        <w:spacing w:line="240" w:lineRule="auto" w:before="229" w:after="0"/>
        <w:ind w:left="1058" w:right="337" w:hanging="432"/>
        <w:jc w:val="both"/>
        <w:rPr>
          <w:sz w:val="20"/>
        </w:rPr>
      </w:pPr>
      <w:r>
        <w:rPr>
          <w:sz w:val="20"/>
        </w:rPr>
        <w:t>Personas trabajadoras que realizan presiones sostenidas, como: albañiles, alijadores, estibadores, atletas, bailarines, cargadores, deportistas competitivos, futbolistas, jardineros, mineros, pescadores, personas trabajadoras de la industria del hielo y alimentos congelados, y</w:t>
      </w:r>
      <w:r>
        <w:rPr>
          <w:spacing w:val="40"/>
          <w:sz w:val="20"/>
        </w:rPr>
        <w:t> </w:t>
      </w:r>
      <w:r>
        <w:rPr>
          <w:sz w:val="20"/>
        </w:rPr>
        <w:t>en aquellos otros en los que se ejercen presiones sobre determinadas articulaciones.</w:t>
      </w:r>
    </w:p>
    <w:p>
      <w:pPr>
        <w:pStyle w:val="ListParagraph"/>
        <w:numPr>
          <w:ilvl w:val="2"/>
          <w:numId w:val="160"/>
        </w:numPr>
        <w:tabs>
          <w:tab w:pos="1045" w:val="left" w:leader="none"/>
          <w:tab w:pos="1058" w:val="left" w:leader="none"/>
        </w:tabs>
        <w:spacing w:line="240" w:lineRule="auto" w:before="229" w:after="0"/>
        <w:ind w:left="1058" w:right="33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7" w:val="left" w:leader="none"/>
        </w:tabs>
        <w:spacing w:line="240" w:lineRule="auto" w:before="227" w:after="0"/>
        <w:ind w:left="1067" w:right="0" w:hanging="441"/>
        <w:jc w:val="left"/>
      </w:pPr>
      <w:r>
        <w:rPr>
          <w:spacing w:val="-2"/>
        </w:rPr>
        <w:t>Osteonecrosis</w:t>
      </w:r>
      <w:r>
        <w:rPr>
          <w:spacing w:val="10"/>
        </w:rPr>
        <w:t> </w:t>
      </w:r>
      <w:r>
        <w:rPr>
          <w:spacing w:val="-2"/>
        </w:rPr>
        <w:t>disbárica</w:t>
      </w:r>
    </w:p>
    <w:p>
      <w:pPr>
        <w:pStyle w:val="BodyText"/>
        <w:spacing w:before="3"/>
        <w:rPr>
          <w:rFonts w:ascii="Arial"/>
          <w:b/>
        </w:rPr>
      </w:pPr>
    </w:p>
    <w:p>
      <w:pPr>
        <w:pStyle w:val="BodyText"/>
        <w:ind w:left="626"/>
      </w:pPr>
      <w:r>
        <w:rPr/>
        <w:t>Código</w:t>
      </w:r>
      <w:r>
        <w:rPr>
          <w:spacing w:val="-9"/>
        </w:rPr>
        <w:t> </w:t>
      </w:r>
      <w:r>
        <w:rPr/>
        <w:t>CIE-11:</w:t>
      </w:r>
      <w:r>
        <w:rPr>
          <w:spacing w:val="-7"/>
        </w:rPr>
        <w:t> </w:t>
      </w:r>
      <w:r>
        <w:rPr/>
        <w:t>FB81.Z,</w:t>
      </w:r>
      <w:r>
        <w:rPr>
          <w:spacing w:val="-5"/>
        </w:rPr>
        <w:t> </w:t>
      </w:r>
      <w:r>
        <w:rPr/>
        <w:t>XK9J,</w:t>
      </w:r>
      <w:r>
        <w:rPr>
          <w:spacing w:val="-7"/>
        </w:rPr>
        <w:t> </w:t>
      </w:r>
      <w:r>
        <w:rPr/>
        <w:t>XK8G,</w:t>
      </w:r>
      <w:r>
        <w:rPr>
          <w:spacing w:val="-6"/>
        </w:rPr>
        <w:t> </w:t>
      </w:r>
      <w:r>
        <w:rPr/>
        <w:t>XK9K,</w:t>
      </w:r>
      <w:r>
        <w:rPr>
          <w:spacing w:val="-8"/>
        </w:rPr>
        <w:t> </w:t>
      </w:r>
      <w:r>
        <w:rPr>
          <w:spacing w:val="-4"/>
        </w:rPr>
        <w:t>XK70</w:t>
      </w:r>
    </w:p>
    <w:p>
      <w:pPr>
        <w:pStyle w:val="BodyText"/>
      </w:pPr>
    </w:p>
    <w:p>
      <w:pPr>
        <w:pStyle w:val="ListParagraph"/>
        <w:numPr>
          <w:ilvl w:val="2"/>
          <w:numId w:val="160"/>
        </w:numPr>
        <w:tabs>
          <w:tab w:pos="1045" w:val="left" w:leader="none"/>
          <w:tab w:pos="1058" w:val="left" w:leader="none"/>
        </w:tabs>
        <w:spacing w:line="240" w:lineRule="auto" w:before="0" w:after="0"/>
        <w:ind w:left="1058" w:right="342" w:hanging="432"/>
        <w:jc w:val="both"/>
        <w:rPr>
          <w:sz w:val="20"/>
        </w:rPr>
      </w:pPr>
      <w:r>
        <w:rPr>
          <w:sz w:val="20"/>
        </w:rPr>
        <w:t>Personas trabajadoras expuestas a cambios de presión barométrica como: buzos recreativos, buzos pescadores artesanales, buzos industriales, buzos militares, buzos científicos, buzos técnicos, buzos limpiadores de drenajes, excavadores, mineros subterráneos y personal aeroespacial y acompañantes o auxiliares (tender) en el interior de cámaras hiperbáricas (médicos, enfermeros y buzos); exploradores, guías de alpinismo, investigadores, paleontólogos</w:t>
      </w:r>
      <w:r>
        <w:rPr>
          <w:spacing w:val="40"/>
          <w:sz w:val="20"/>
        </w:rPr>
        <w:t> </w:t>
      </w:r>
      <w:r>
        <w:rPr>
          <w:sz w:val="20"/>
        </w:rPr>
        <w:t>y rescatistas.</w:t>
      </w:r>
    </w:p>
    <w:p>
      <w:pPr>
        <w:pStyle w:val="ListParagraph"/>
        <w:spacing w:after="0" w:line="240" w:lineRule="auto"/>
        <w:jc w:val="both"/>
        <w:rPr>
          <w:sz w:val="20"/>
        </w:rPr>
        <w:sectPr>
          <w:pgSz w:w="12240" w:h="15840"/>
          <w:pgMar w:header="724" w:footer="712" w:top="1880" w:bottom="900" w:left="1080" w:right="1080"/>
        </w:sectPr>
      </w:pPr>
    </w:p>
    <w:p>
      <w:pPr>
        <w:pStyle w:val="BodyText"/>
      </w:pPr>
    </w:p>
    <w:p>
      <w:pPr>
        <w:pStyle w:val="BodyText"/>
        <w:spacing w:before="64"/>
      </w:pPr>
    </w:p>
    <w:p>
      <w:pPr>
        <w:pStyle w:val="ListParagraph"/>
        <w:numPr>
          <w:ilvl w:val="2"/>
          <w:numId w:val="160"/>
        </w:numPr>
        <w:tabs>
          <w:tab w:pos="1045" w:val="left" w:leader="none"/>
          <w:tab w:pos="1058" w:val="left" w:leader="none"/>
        </w:tabs>
        <w:spacing w:line="240" w:lineRule="auto" w:before="0" w:after="0"/>
        <w:ind w:left="1058" w:right="33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spacing w:before="229"/>
        <w:ind w:left="626"/>
      </w:pPr>
      <w:r>
        <w:rPr/>
        <w:t>Grupo</w:t>
      </w:r>
      <w:r>
        <w:rPr>
          <w:spacing w:val="-6"/>
        </w:rPr>
        <w:t> </w:t>
      </w:r>
      <w:r>
        <w:rPr/>
        <w:t>IX.</w:t>
      </w:r>
      <w:r>
        <w:rPr>
          <w:spacing w:val="-7"/>
        </w:rPr>
        <w:t> </w:t>
      </w:r>
      <w:r>
        <w:rPr>
          <w:spacing w:val="-2"/>
        </w:rPr>
        <w:t>Intoxicaciones</w:t>
      </w:r>
    </w:p>
    <w:p>
      <w:pPr>
        <w:pStyle w:val="ListParagraph"/>
        <w:numPr>
          <w:ilvl w:val="1"/>
          <w:numId w:val="160"/>
        </w:numPr>
        <w:tabs>
          <w:tab w:pos="1069" w:val="left" w:leader="none"/>
        </w:tabs>
        <w:spacing w:line="240" w:lineRule="auto" w:before="228" w:after="0"/>
        <w:ind w:left="1069" w:right="0" w:hanging="443"/>
        <w:jc w:val="left"/>
        <w:rPr>
          <w:rFonts w:ascii="Arial" w:hAnsi="Arial"/>
          <w:b/>
          <w:sz w:val="20"/>
        </w:rPr>
      </w:pPr>
      <w:r>
        <w:rPr>
          <w:rFonts w:ascii="Arial" w:hAnsi="Arial"/>
          <w:b/>
          <w:sz w:val="20"/>
        </w:rPr>
        <w:t>Efectos</w:t>
      </w:r>
      <w:r>
        <w:rPr>
          <w:rFonts w:ascii="Arial" w:hAnsi="Arial"/>
          <w:b/>
          <w:spacing w:val="-7"/>
          <w:sz w:val="20"/>
        </w:rPr>
        <w:t> </w:t>
      </w:r>
      <w:r>
        <w:rPr>
          <w:rFonts w:ascii="Arial" w:hAnsi="Arial"/>
          <w:b/>
          <w:sz w:val="20"/>
        </w:rPr>
        <w:t>tóxicos</w:t>
      </w:r>
      <w:r>
        <w:rPr>
          <w:rFonts w:ascii="Arial" w:hAnsi="Arial"/>
          <w:b/>
          <w:spacing w:val="-9"/>
          <w:sz w:val="20"/>
        </w:rPr>
        <w:t> </w:t>
      </w:r>
      <w:r>
        <w:rPr>
          <w:rFonts w:ascii="Arial" w:hAnsi="Arial"/>
          <w:b/>
          <w:sz w:val="20"/>
        </w:rPr>
        <w:t>por</w:t>
      </w:r>
      <w:r>
        <w:rPr>
          <w:rFonts w:ascii="Arial" w:hAnsi="Arial"/>
          <w:b/>
          <w:spacing w:val="-6"/>
          <w:sz w:val="20"/>
        </w:rPr>
        <w:t> </w:t>
      </w:r>
      <w:r>
        <w:rPr>
          <w:rFonts w:ascii="Arial" w:hAnsi="Arial"/>
          <w:b/>
          <w:sz w:val="20"/>
        </w:rPr>
        <w:t>alcohol</w:t>
      </w:r>
      <w:r>
        <w:rPr>
          <w:rFonts w:ascii="Arial" w:hAnsi="Arial"/>
          <w:b/>
          <w:spacing w:val="-9"/>
          <w:sz w:val="20"/>
        </w:rPr>
        <w:t> </w:t>
      </w:r>
      <w:r>
        <w:rPr>
          <w:rFonts w:ascii="Arial" w:hAnsi="Arial"/>
          <w:b/>
          <w:spacing w:val="-2"/>
          <w:sz w:val="20"/>
        </w:rPr>
        <w:t>butílico</w:t>
      </w:r>
    </w:p>
    <w:p>
      <w:pPr>
        <w:pStyle w:val="BodyText"/>
        <w:spacing w:before="3"/>
        <w:rPr>
          <w:rFonts w:ascii="Arial"/>
          <w:b/>
        </w:rPr>
      </w:pPr>
    </w:p>
    <w:p>
      <w:pPr>
        <w:pStyle w:val="BodyText"/>
        <w:ind w:left="626"/>
      </w:pPr>
      <w:r>
        <w:rPr/>
        <w:t>Código</w:t>
      </w:r>
      <w:r>
        <w:rPr>
          <w:spacing w:val="-9"/>
        </w:rPr>
        <w:t> </w:t>
      </w:r>
      <w:r>
        <w:rPr/>
        <w:t>CIE-11:</w:t>
      </w:r>
      <w:r>
        <w:rPr>
          <w:spacing w:val="-6"/>
        </w:rPr>
        <w:t> </w:t>
      </w:r>
      <w:r>
        <w:rPr/>
        <w:t>PH50,</w:t>
      </w:r>
      <w:r>
        <w:rPr>
          <w:spacing w:val="-8"/>
        </w:rPr>
        <w:t> </w:t>
      </w:r>
      <w:r>
        <w:rPr>
          <w:spacing w:val="-2"/>
        </w:rPr>
        <w:t>XM49S0</w:t>
      </w:r>
    </w:p>
    <w:p>
      <w:pPr>
        <w:pStyle w:val="BodyText"/>
      </w:pPr>
    </w:p>
    <w:p>
      <w:pPr>
        <w:pStyle w:val="ListParagraph"/>
        <w:numPr>
          <w:ilvl w:val="2"/>
          <w:numId w:val="160"/>
        </w:numPr>
        <w:tabs>
          <w:tab w:pos="1045" w:val="left" w:leader="none"/>
          <w:tab w:pos="1058" w:val="left" w:leader="none"/>
        </w:tabs>
        <w:spacing w:line="240" w:lineRule="auto" w:before="0" w:after="0"/>
        <w:ind w:left="1058" w:right="335" w:hanging="432"/>
        <w:jc w:val="both"/>
        <w:rPr>
          <w:sz w:val="20"/>
        </w:rPr>
      </w:pPr>
      <w:r>
        <w:rPr>
          <w:sz w:val="20"/>
        </w:rPr>
        <w:t>Personas trabajadoras de las industrias químicas, petroquímicas y farmacéutica que los utilizan como disolventes en la fabricación de lacas y barnices; en la preparación de esencias y materiales</w:t>
      </w:r>
      <w:r>
        <w:rPr>
          <w:spacing w:val="-1"/>
          <w:sz w:val="20"/>
        </w:rPr>
        <w:t> </w:t>
      </w:r>
      <w:r>
        <w:rPr>
          <w:sz w:val="20"/>
        </w:rPr>
        <w:t>tintoriales. Personal</w:t>
      </w:r>
      <w:r>
        <w:rPr>
          <w:spacing w:val="-3"/>
          <w:sz w:val="20"/>
        </w:rPr>
        <w:t> </w:t>
      </w:r>
      <w:r>
        <w:rPr>
          <w:sz w:val="20"/>
        </w:rPr>
        <w:t>encargado de la</w:t>
      </w:r>
      <w:r>
        <w:rPr>
          <w:spacing w:val="-2"/>
          <w:sz w:val="20"/>
        </w:rPr>
        <w:t> </w:t>
      </w:r>
      <w:r>
        <w:rPr>
          <w:sz w:val="20"/>
        </w:rPr>
        <w:t>elaboración</w:t>
      </w:r>
      <w:r>
        <w:rPr>
          <w:spacing w:val="-3"/>
          <w:sz w:val="20"/>
        </w:rPr>
        <w:t> </w:t>
      </w:r>
      <w:r>
        <w:rPr>
          <w:sz w:val="20"/>
        </w:rPr>
        <w:t>de</w:t>
      </w:r>
      <w:r>
        <w:rPr>
          <w:spacing w:val="-2"/>
          <w:sz w:val="20"/>
        </w:rPr>
        <w:t> </w:t>
      </w:r>
      <w:r>
        <w:rPr>
          <w:sz w:val="20"/>
        </w:rPr>
        <w:t>lociones</w:t>
      </w:r>
      <w:r>
        <w:rPr>
          <w:spacing w:val="-1"/>
          <w:sz w:val="20"/>
        </w:rPr>
        <w:t> </w:t>
      </w:r>
      <w:r>
        <w:rPr>
          <w:sz w:val="20"/>
        </w:rPr>
        <w:t>capilares y</w:t>
      </w:r>
      <w:r>
        <w:rPr>
          <w:spacing w:val="-5"/>
          <w:sz w:val="20"/>
        </w:rPr>
        <w:t> </w:t>
      </w:r>
      <w:r>
        <w:rPr>
          <w:sz w:val="20"/>
        </w:rPr>
        <w:t>para</w:t>
      </w:r>
      <w:r>
        <w:rPr>
          <w:spacing w:val="-2"/>
          <w:sz w:val="20"/>
        </w:rPr>
        <w:t> </w:t>
      </w:r>
      <w:r>
        <w:rPr>
          <w:sz w:val="20"/>
        </w:rPr>
        <w:t>después de rasurarse. Personas trabajadoras en la preparación de anticongelantes, que tienen como producto final la acetona. Personas trabajadoras que participan en la elaboración de resinas naturales y sintéticas, gomas, aceites vegetales, tintes y alcaloides. Se utiliza como sustancia intermedia en la fabricación de productos químicos y farmacéuticos, y en las industrias de cuero artificial, textiles, gafas de seguridad, pastas de caucho, barnices de laca, impermeables, películas fotográficas y perfumes. También se encuentra en líquidos hidráulicos de frenos, limpiadores industriales, abrillantadores, decapantes de pinturas, agentes de flotación para minerales, esencias de frutas, perfumes y colorantes.</w:t>
      </w:r>
    </w:p>
    <w:p>
      <w:pPr>
        <w:pStyle w:val="ListParagraph"/>
        <w:numPr>
          <w:ilvl w:val="2"/>
          <w:numId w:val="160"/>
        </w:numPr>
        <w:tabs>
          <w:tab w:pos="1045" w:val="left" w:leader="none"/>
          <w:tab w:pos="1058" w:val="left" w:leader="none"/>
        </w:tabs>
        <w:spacing w:line="240" w:lineRule="auto" w:before="228" w:after="0"/>
        <w:ind w:left="1058" w:right="34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9" w:after="0"/>
        <w:ind w:left="1069" w:right="0" w:hanging="443"/>
        <w:jc w:val="left"/>
      </w:pPr>
      <w:r>
        <w:rPr/>
        <w:t>Efectos</w:t>
      </w:r>
      <w:r>
        <w:rPr>
          <w:spacing w:val="-7"/>
        </w:rPr>
        <w:t> </w:t>
      </w:r>
      <w:r>
        <w:rPr/>
        <w:t>tóxicos</w:t>
      </w:r>
      <w:r>
        <w:rPr>
          <w:spacing w:val="-9"/>
        </w:rPr>
        <w:t> </w:t>
      </w:r>
      <w:r>
        <w:rPr/>
        <w:t>por</w:t>
      </w:r>
      <w:r>
        <w:rPr>
          <w:spacing w:val="-6"/>
        </w:rPr>
        <w:t> </w:t>
      </w:r>
      <w:r>
        <w:rPr/>
        <w:t>alcohol</w:t>
      </w:r>
      <w:r>
        <w:rPr>
          <w:spacing w:val="-9"/>
        </w:rPr>
        <w:t> </w:t>
      </w:r>
      <w:r>
        <w:rPr>
          <w:spacing w:val="-2"/>
        </w:rPr>
        <w:t>metílico</w:t>
      </w:r>
    </w:p>
    <w:p>
      <w:pPr>
        <w:pStyle w:val="BodyText"/>
        <w:spacing w:before="3"/>
        <w:rPr>
          <w:rFonts w:ascii="Arial"/>
          <w:b/>
        </w:rPr>
      </w:pPr>
    </w:p>
    <w:p>
      <w:pPr>
        <w:pStyle w:val="BodyText"/>
        <w:ind w:left="626"/>
      </w:pPr>
      <w:r>
        <w:rPr/>
        <w:t>Código</w:t>
      </w:r>
      <w:r>
        <w:rPr>
          <w:spacing w:val="-13"/>
        </w:rPr>
        <w:t> </w:t>
      </w:r>
      <w:r>
        <w:rPr/>
        <w:t>CIE-11:PH50,</w:t>
      </w:r>
      <w:r>
        <w:rPr>
          <w:spacing w:val="-9"/>
        </w:rPr>
        <w:t> </w:t>
      </w:r>
      <w:r>
        <w:rPr>
          <w:spacing w:val="-2"/>
        </w:rPr>
        <w:t>XM7KD9</w:t>
      </w:r>
    </w:p>
    <w:p>
      <w:pPr>
        <w:pStyle w:val="ListParagraph"/>
        <w:numPr>
          <w:ilvl w:val="2"/>
          <w:numId w:val="160"/>
        </w:numPr>
        <w:tabs>
          <w:tab w:pos="1045" w:val="left" w:leader="none"/>
          <w:tab w:pos="1058" w:val="left" w:leader="none"/>
        </w:tabs>
        <w:spacing w:line="240" w:lineRule="auto" w:before="227" w:after="0"/>
        <w:ind w:left="1058" w:right="337" w:hanging="432"/>
        <w:jc w:val="both"/>
        <w:rPr>
          <w:sz w:val="20"/>
        </w:rPr>
      </w:pPr>
      <w:r>
        <w:rPr>
          <w:sz w:val="20"/>
        </w:rPr>
        <w:t>Personas trabajadoras de las industrias químicas y petroquímicas que los utilizan como disolventes</w:t>
      </w:r>
      <w:r>
        <w:rPr>
          <w:spacing w:val="-1"/>
          <w:sz w:val="20"/>
        </w:rPr>
        <w:t> </w:t>
      </w:r>
      <w:r>
        <w:rPr>
          <w:sz w:val="20"/>
        </w:rPr>
        <w:t>en la</w:t>
      </w:r>
      <w:r>
        <w:rPr>
          <w:spacing w:val="-2"/>
          <w:sz w:val="20"/>
        </w:rPr>
        <w:t> </w:t>
      </w:r>
      <w:r>
        <w:rPr>
          <w:sz w:val="20"/>
        </w:rPr>
        <w:t>fabricación</w:t>
      </w:r>
      <w:r>
        <w:rPr>
          <w:spacing w:val="-2"/>
          <w:sz w:val="20"/>
        </w:rPr>
        <w:t> </w:t>
      </w:r>
      <w:r>
        <w:rPr>
          <w:sz w:val="20"/>
        </w:rPr>
        <w:t>de</w:t>
      </w:r>
      <w:r>
        <w:rPr>
          <w:spacing w:val="-3"/>
          <w:sz w:val="20"/>
        </w:rPr>
        <w:t> </w:t>
      </w:r>
      <w:r>
        <w:rPr>
          <w:sz w:val="20"/>
        </w:rPr>
        <w:t>disolvente</w:t>
      </w:r>
      <w:r>
        <w:rPr>
          <w:spacing w:val="-3"/>
          <w:sz w:val="20"/>
        </w:rPr>
        <w:t> </w:t>
      </w:r>
      <w:r>
        <w:rPr>
          <w:sz w:val="20"/>
        </w:rPr>
        <w:t>de</w:t>
      </w:r>
      <w:r>
        <w:rPr>
          <w:spacing w:val="-2"/>
          <w:sz w:val="20"/>
        </w:rPr>
        <w:t> </w:t>
      </w:r>
      <w:r>
        <w:rPr>
          <w:sz w:val="20"/>
        </w:rPr>
        <w:t>tintas,</w:t>
      </w:r>
      <w:r>
        <w:rPr>
          <w:spacing w:val="-2"/>
          <w:sz w:val="20"/>
        </w:rPr>
        <w:t> </w:t>
      </w:r>
      <w:r>
        <w:rPr>
          <w:sz w:val="20"/>
        </w:rPr>
        <w:t>colorantes,</w:t>
      </w:r>
      <w:r>
        <w:rPr>
          <w:spacing w:val="-2"/>
          <w:sz w:val="20"/>
        </w:rPr>
        <w:t> </w:t>
      </w:r>
      <w:r>
        <w:rPr>
          <w:sz w:val="20"/>
        </w:rPr>
        <w:t>resinas y</w:t>
      </w:r>
      <w:r>
        <w:rPr>
          <w:spacing w:val="-5"/>
          <w:sz w:val="20"/>
        </w:rPr>
        <w:t> </w:t>
      </w:r>
      <w:r>
        <w:rPr>
          <w:sz w:val="20"/>
        </w:rPr>
        <w:t>adhesivos.</w:t>
      </w:r>
      <w:r>
        <w:rPr>
          <w:spacing w:val="-2"/>
          <w:sz w:val="20"/>
        </w:rPr>
        <w:t> </w:t>
      </w:r>
      <w:r>
        <w:rPr>
          <w:sz w:val="20"/>
        </w:rPr>
        <w:t>Se</w:t>
      </w:r>
      <w:r>
        <w:rPr>
          <w:spacing w:val="-2"/>
          <w:sz w:val="20"/>
        </w:rPr>
        <w:t> </w:t>
      </w:r>
      <w:r>
        <w:rPr>
          <w:sz w:val="20"/>
        </w:rPr>
        <w:t>utiliza</w:t>
      </w:r>
      <w:r>
        <w:rPr>
          <w:spacing w:val="-2"/>
          <w:sz w:val="20"/>
        </w:rPr>
        <w:t> </w:t>
      </w:r>
      <w:r>
        <w:rPr>
          <w:sz w:val="20"/>
        </w:rPr>
        <w:t>en la fabricación de película fotográfica, plásticos, jabones textiles, tintes de madera, tejidos con capa de resina sintética, cristal inastillable y productos impermeabilizantes, decapantes, removedores de pinturas y barnices, productos desengrasantes, líquidos embalsamadores y mezclas anticongelantes.</w:t>
      </w:r>
    </w:p>
    <w:p>
      <w:pPr>
        <w:pStyle w:val="BodyText"/>
      </w:pPr>
    </w:p>
    <w:p>
      <w:pPr>
        <w:pStyle w:val="ListParagraph"/>
        <w:numPr>
          <w:ilvl w:val="2"/>
          <w:numId w:val="160"/>
        </w:numPr>
        <w:tabs>
          <w:tab w:pos="1045" w:val="left" w:leader="none"/>
          <w:tab w:pos="1058" w:val="left" w:leader="none"/>
        </w:tabs>
        <w:spacing w:line="240" w:lineRule="auto" w:before="0" w:after="0"/>
        <w:ind w:left="1058" w:right="343"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6" w:after="0"/>
        <w:ind w:left="1069" w:right="0" w:hanging="443"/>
        <w:jc w:val="left"/>
      </w:pPr>
      <w:r>
        <w:rPr/>
        <w:t>Efectos</w:t>
      </w:r>
      <w:r>
        <w:rPr>
          <w:spacing w:val="-7"/>
        </w:rPr>
        <w:t> </w:t>
      </w:r>
      <w:r>
        <w:rPr/>
        <w:t>tóxicos</w:t>
      </w:r>
      <w:r>
        <w:rPr>
          <w:spacing w:val="-9"/>
        </w:rPr>
        <w:t> </w:t>
      </w:r>
      <w:r>
        <w:rPr/>
        <w:t>por</w:t>
      </w:r>
      <w:r>
        <w:rPr>
          <w:spacing w:val="-6"/>
        </w:rPr>
        <w:t> </w:t>
      </w:r>
      <w:r>
        <w:rPr/>
        <w:t>alcohol</w:t>
      </w:r>
      <w:r>
        <w:rPr>
          <w:spacing w:val="-9"/>
        </w:rPr>
        <w:t> </w:t>
      </w:r>
      <w:r>
        <w:rPr>
          <w:spacing w:val="-2"/>
        </w:rPr>
        <w:t>propílico</w:t>
      </w:r>
    </w:p>
    <w:p>
      <w:pPr>
        <w:pStyle w:val="BodyText"/>
        <w:spacing w:before="3"/>
        <w:rPr>
          <w:rFonts w:ascii="Arial"/>
          <w:b/>
        </w:rPr>
      </w:pPr>
    </w:p>
    <w:p>
      <w:pPr>
        <w:pStyle w:val="BodyText"/>
        <w:spacing w:before="1"/>
        <w:ind w:left="626"/>
      </w:pPr>
      <w:r>
        <w:rPr/>
        <w:t>Código</w:t>
      </w:r>
      <w:r>
        <w:rPr>
          <w:spacing w:val="-9"/>
        </w:rPr>
        <w:t> </w:t>
      </w:r>
      <w:r>
        <w:rPr/>
        <w:t>CIE-11:</w:t>
      </w:r>
      <w:r>
        <w:rPr>
          <w:spacing w:val="-6"/>
        </w:rPr>
        <w:t> </w:t>
      </w:r>
      <w:r>
        <w:rPr/>
        <w:t>PH50,</w:t>
      </w:r>
      <w:r>
        <w:rPr>
          <w:spacing w:val="-8"/>
        </w:rPr>
        <w:t> </w:t>
      </w:r>
      <w:r>
        <w:rPr>
          <w:spacing w:val="-2"/>
        </w:rPr>
        <w:t>XM5RS7</w:t>
      </w:r>
    </w:p>
    <w:p>
      <w:pPr>
        <w:pStyle w:val="BodyText"/>
        <w:spacing w:after="0"/>
        <w:sectPr>
          <w:pgSz w:w="12240" w:h="15840"/>
          <w:pgMar w:header="724" w:footer="712" w:top="1880" w:bottom="900" w:left="1080" w:right="1080"/>
        </w:sectPr>
      </w:pPr>
    </w:p>
    <w:p>
      <w:pPr>
        <w:pStyle w:val="BodyText"/>
        <w:spacing w:before="66"/>
      </w:pPr>
    </w:p>
    <w:p>
      <w:pPr>
        <w:pStyle w:val="ListParagraph"/>
        <w:numPr>
          <w:ilvl w:val="2"/>
          <w:numId w:val="160"/>
        </w:numPr>
        <w:tabs>
          <w:tab w:pos="1045" w:val="left" w:leader="none"/>
          <w:tab w:pos="1058" w:val="left" w:leader="none"/>
        </w:tabs>
        <w:spacing w:line="240" w:lineRule="auto" w:before="0" w:after="0"/>
        <w:ind w:left="1058" w:right="336" w:hanging="432"/>
        <w:jc w:val="both"/>
        <w:rPr>
          <w:sz w:val="20"/>
        </w:rPr>
      </w:pPr>
      <w:r>
        <w:rPr>
          <w:sz w:val="20"/>
        </w:rPr>
        <w:t>Personas trabajadoras de las industrias químicas, petroquímicas y farmacéutica que los utilizan como disolventes en la fabricación de lacas y barnices; en la preparación de esencias y materiales</w:t>
      </w:r>
      <w:r>
        <w:rPr>
          <w:spacing w:val="-1"/>
          <w:sz w:val="20"/>
        </w:rPr>
        <w:t> </w:t>
      </w:r>
      <w:r>
        <w:rPr>
          <w:sz w:val="20"/>
        </w:rPr>
        <w:t>tintoriales. Personal</w:t>
      </w:r>
      <w:r>
        <w:rPr>
          <w:spacing w:val="-3"/>
          <w:sz w:val="20"/>
        </w:rPr>
        <w:t> </w:t>
      </w:r>
      <w:r>
        <w:rPr>
          <w:sz w:val="20"/>
        </w:rPr>
        <w:t>encargado de la</w:t>
      </w:r>
      <w:r>
        <w:rPr>
          <w:spacing w:val="-2"/>
          <w:sz w:val="20"/>
        </w:rPr>
        <w:t> </w:t>
      </w:r>
      <w:r>
        <w:rPr>
          <w:sz w:val="20"/>
        </w:rPr>
        <w:t>elaboración</w:t>
      </w:r>
      <w:r>
        <w:rPr>
          <w:spacing w:val="-3"/>
          <w:sz w:val="20"/>
        </w:rPr>
        <w:t> </w:t>
      </w:r>
      <w:r>
        <w:rPr>
          <w:sz w:val="20"/>
        </w:rPr>
        <w:t>de</w:t>
      </w:r>
      <w:r>
        <w:rPr>
          <w:spacing w:val="-2"/>
          <w:sz w:val="20"/>
        </w:rPr>
        <w:t> </w:t>
      </w:r>
      <w:r>
        <w:rPr>
          <w:sz w:val="20"/>
        </w:rPr>
        <w:t>lociones</w:t>
      </w:r>
      <w:r>
        <w:rPr>
          <w:spacing w:val="-1"/>
          <w:sz w:val="20"/>
        </w:rPr>
        <w:t> </w:t>
      </w:r>
      <w:r>
        <w:rPr>
          <w:sz w:val="20"/>
        </w:rPr>
        <w:t>capilares y</w:t>
      </w:r>
      <w:r>
        <w:rPr>
          <w:spacing w:val="-5"/>
          <w:sz w:val="20"/>
        </w:rPr>
        <w:t> </w:t>
      </w:r>
      <w:r>
        <w:rPr>
          <w:sz w:val="20"/>
        </w:rPr>
        <w:t>para</w:t>
      </w:r>
      <w:r>
        <w:rPr>
          <w:spacing w:val="-2"/>
          <w:sz w:val="20"/>
        </w:rPr>
        <w:t> </w:t>
      </w:r>
      <w:r>
        <w:rPr>
          <w:sz w:val="20"/>
        </w:rPr>
        <w:t>después de rasurarse. Personas trabajadoras en la preparación de anticongelantes, que tiene como producto final la acetona.</w:t>
      </w:r>
    </w:p>
    <w:p>
      <w:pPr>
        <w:pStyle w:val="ListParagraph"/>
        <w:numPr>
          <w:ilvl w:val="2"/>
          <w:numId w:val="160"/>
        </w:numPr>
        <w:tabs>
          <w:tab w:pos="1045" w:val="left" w:leader="none"/>
          <w:tab w:pos="1058" w:val="left" w:leader="none"/>
        </w:tabs>
        <w:spacing w:line="240" w:lineRule="auto" w:before="227" w:after="0"/>
        <w:ind w:left="1058" w:right="33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9" w:after="0"/>
        <w:ind w:left="1069" w:right="0" w:hanging="443"/>
        <w:jc w:val="left"/>
      </w:pPr>
      <w:r>
        <w:rPr/>
        <w:t>Efectos</w:t>
      </w:r>
      <w:r>
        <w:rPr>
          <w:spacing w:val="-6"/>
        </w:rPr>
        <w:t> </w:t>
      </w:r>
      <w:r>
        <w:rPr/>
        <w:t>tóxicos</w:t>
      </w:r>
      <w:r>
        <w:rPr>
          <w:spacing w:val="-7"/>
        </w:rPr>
        <w:t> </w:t>
      </w:r>
      <w:r>
        <w:rPr/>
        <w:t>por</w:t>
      </w:r>
      <w:r>
        <w:rPr>
          <w:spacing w:val="-5"/>
        </w:rPr>
        <w:t> </w:t>
      </w:r>
      <w:r>
        <w:rPr/>
        <w:t>arsénico</w:t>
      </w:r>
      <w:r>
        <w:rPr>
          <w:spacing w:val="-4"/>
        </w:rPr>
        <w:t> </w:t>
      </w:r>
      <w:r>
        <w:rPr/>
        <w:t>y</w:t>
      </w:r>
      <w:r>
        <w:rPr>
          <w:spacing w:val="-8"/>
        </w:rPr>
        <w:t> </w:t>
      </w:r>
      <w:r>
        <w:rPr/>
        <w:t>sus</w:t>
      </w:r>
      <w:r>
        <w:rPr>
          <w:spacing w:val="-6"/>
        </w:rPr>
        <w:t> </w:t>
      </w:r>
      <w:r>
        <w:rPr>
          <w:spacing w:val="-2"/>
        </w:rPr>
        <w:t>compuestos</w:t>
      </w:r>
    </w:p>
    <w:p>
      <w:pPr>
        <w:pStyle w:val="BodyText"/>
        <w:spacing w:before="1"/>
        <w:rPr>
          <w:rFonts w:ascii="Arial"/>
          <w:b/>
        </w:rPr>
      </w:pPr>
    </w:p>
    <w:p>
      <w:pPr>
        <w:pStyle w:val="BodyText"/>
        <w:ind w:left="626"/>
      </w:pPr>
      <w:r>
        <w:rPr/>
        <w:t>Código</w:t>
      </w:r>
      <w:r>
        <w:rPr>
          <w:spacing w:val="-9"/>
        </w:rPr>
        <w:t> </w:t>
      </w:r>
      <w:r>
        <w:rPr/>
        <w:t>CIE-11:</w:t>
      </w:r>
      <w:r>
        <w:rPr>
          <w:spacing w:val="-6"/>
        </w:rPr>
        <w:t> </w:t>
      </w:r>
      <w:r>
        <w:rPr/>
        <w:t>PE95,</w:t>
      </w:r>
      <w:r>
        <w:rPr>
          <w:spacing w:val="-6"/>
        </w:rPr>
        <w:t> </w:t>
      </w:r>
      <w:r>
        <w:rPr/>
        <w:t>PH56,</w:t>
      </w:r>
      <w:r>
        <w:rPr>
          <w:spacing w:val="-8"/>
        </w:rPr>
        <w:t> </w:t>
      </w:r>
      <w:r>
        <w:rPr/>
        <w:t>XM2KQ2,</w:t>
      </w:r>
      <w:r>
        <w:rPr>
          <w:spacing w:val="-7"/>
        </w:rPr>
        <w:t> </w:t>
      </w:r>
      <w:r>
        <w:rPr>
          <w:spacing w:val="-2"/>
        </w:rPr>
        <w:t>XM00Z1</w:t>
      </w:r>
    </w:p>
    <w:p>
      <w:pPr>
        <w:pStyle w:val="ListParagraph"/>
        <w:numPr>
          <w:ilvl w:val="2"/>
          <w:numId w:val="160"/>
        </w:numPr>
        <w:tabs>
          <w:tab w:pos="1045" w:val="left" w:leader="none"/>
          <w:tab w:pos="1058" w:val="left" w:leader="none"/>
        </w:tabs>
        <w:spacing w:line="240" w:lineRule="auto" w:before="230" w:after="0"/>
        <w:ind w:left="1058" w:right="339" w:hanging="432"/>
        <w:jc w:val="both"/>
        <w:rPr>
          <w:sz w:val="20"/>
        </w:rPr>
      </w:pPr>
      <w:r>
        <w:rPr>
          <w:sz w:val="20"/>
        </w:rPr>
        <w:t>Personas trabajadoras de la cerámica, además manipuladores del arsénico, fundiciones de minerales y metales, industria de los colorantes, insecticidas, herbicidas cerámica, textil, otras preparaciones</w:t>
      </w:r>
      <w:r>
        <w:rPr>
          <w:spacing w:val="-2"/>
          <w:sz w:val="20"/>
        </w:rPr>
        <w:t> </w:t>
      </w:r>
      <w:r>
        <w:rPr>
          <w:sz w:val="20"/>
        </w:rPr>
        <w:t>de</w:t>
      </w:r>
      <w:r>
        <w:rPr>
          <w:spacing w:val="-3"/>
          <w:sz w:val="20"/>
        </w:rPr>
        <w:t> </w:t>
      </w:r>
      <w:r>
        <w:rPr>
          <w:sz w:val="20"/>
        </w:rPr>
        <w:t>uso</w:t>
      </w:r>
      <w:r>
        <w:rPr>
          <w:spacing w:val="-1"/>
          <w:sz w:val="20"/>
        </w:rPr>
        <w:t> </w:t>
      </w:r>
      <w:r>
        <w:rPr>
          <w:sz w:val="20"/>
        </w:rPr>
        <w:t>doméstico,</w:t>
      </w:r>
      <w:r>
        <w:rPr>
          <w:spacing w:val="-3"/>
          <w:sz w:val="20"/>
        </w:rPr>
        <w:t> </w:t>
      </w:r>
      <w:r>
        <w:rPr>
          <w:sz w:val="20"/>
        </w:rPr>
        <w:t>papel</w:t>
      </w:r>
      <w:r>
        <w:rPr>
          <w:spacing w:val="-4"/>
          <w:sz w:val="20"/>
        </w:rPr>
        <w:t> </w:t>
      </w:r>
      <w:r>
        <w:rPr>
          <w:sz w:val="20"/>
        </w:rPr>
        <w:t>de</w:t>
      </w:r>
      <w:r>
        <w:rPr>
          <w:spacing w:val="-5"/>
          <w:sz w:val="20"/>
        </w:rPr>
        <w:t> </w:t>
      </w:r>
      <w:r>
        <w:rPr>
          <w:sz w:val="20"/>
        </w:rPr>
        <w:t>color,</w:t>
      </w:r>
      <w:r>
        <w:rPr>
          <w:spacing w:val="-2"/>
          <w:sz w:val="20"/>
        </w:rPr>
        <w:t> </w:t>
      </w:r>
      <w:r>
        <w:rPr>
          <w:sz w:val="20"/>
        </w:rPr>
        <w:t>pinturas,</w:t>
      </w:r>
      <w:r>
        <w:rPr>
          <w:spacing w:val="-5"/>
          <w:sz w:val="20"/>
        </w:rPr>
        <w:t> </w:t>
      </w:r>
      <w:r>
        <w:rPr>
          <w:sz w:val="20"/>
        </w:rPr>
        <w:t>plantas</w:t>
      </w:r>
      <w:r>
        <w:rPr>
          <w:spacing w:val="-4"/>
          <w:sz w:val="20"/>
        </w:rPr>
        <w:t> </w:t>
      </w:r>
      <w:r>
        <w:rPr>
          <w:sz w:val="20"/>
        </w:rPr>
        <w:t>de</w:t>
      </w:r>
      <w:r>
        <w:rPr>
          <w:spacing w:val="-3"/>
          <w:sz w:val="20"/>
        </w:rPr>
        <w:t> </w:t>
      </w:r>
      <w:r>
        <w:rPr>
          <w:sz w:val="20"/>
        </w:rPr>
        <w:t>arsénico,</w:t>
      </w:r>
      <w:r>
        <w:rPr>
          <w:spacing w:val="-3"/>
          <w:sz w:val="20"/>
        </w:rPr>
        <w:t> </w:t>
      </w:r>
      <w:r>
        <w:rPr>
          <w:sz w:val="20"/>
        </w:rPr>
        <w:t>raticidas,</w:t>
      </w:r>
      <w:r>
        <w:rPr>
          <w:spacing w:val="-5"/>
          <w:sz w:val="20"/>
        </w:rPr>
        <w:t> </w:t>
      </w:r>
      <w:r>
        <w:rPr>
          <w:sz w:val="20"/>
        </w:rPr>
        <w:t>tenería y tintorería, industria del vidrio, industria electrónica y galvanoplastia.</w:t>
      </w:r>
    </w:p>
    <w:p>
      <w:pPr>
        <w:pStyle w:val="ListParagraph"/>
        <w:numPr>
          <w:ilvl w:val="2"/>
          <w:numId w:val="160"/>
        </w:numPr>
        <w:tabs>
          <w:tab w:pos="1045" w:val="left" w:leader="none"/>
          <w:tab w:pos="1058" w:val="left" w:leader="none"/>
        </w:tabs>
        <w:spacing w:line="240" w:lineRule="auto" w:before="229" w:after="0"/>
        <w:ind w:left="1058" w:right="33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w:t>
      </w:r>
      <w:r>
        <w:rPr>
          <w:spacing w:val="40"/>
          <w:sz w:val="20"/>
        </w:rPr>
        <w:t> </w:t>
      </w:r>
      <w:r>
        <w:rPr>
          <w:sz w:val="20"/>
        </w:rPr>
        <w:t>origen o con motivo del trabajo o en el medio que la persona trabajadora se vea obligada a prestar sus servicios.</w:t>
      </w:r>
    </w:p>
    <w:p>
      <w:pPr>
        <w:pStyle w:val="Heading3"/>
        <w:numPr>
          <w:ilvl w:val="1"/>
          <w:numId w:val="160"/>
        </w:numPr>
        <w:tabs>
          <w:tab w:pos="1069" w:val="left" w:leader="none"/>
        </w:tabs>
        <w:spacing w:line="240" w:lineRule="auto" w:before="226" w:after="0"/>
        <w:ind w:left="1069" w:right="0" w:hanging="443"/>
        <w:jc w:val="left"/>
      </w:pPr>
      <w:r>
        <w:rPr/>
        <w:t>Efectos</w:t>
      </w:r>
      <w:r>
        <w:rPr>
          <w:spacing w:val="-6"/>
        </w:rPr>
        <w:t> </w:t>
      </w:r>
      <w:r>
        <w:rPr/>
        <w:t>tóxicos</w:t>
      </w:r>
      <w:r>
        <w:rPr>
          <w:spacing w:val="-8"/>
        </w:rPr>
        <w:t> </w:t>
      </w:r>
      <w:r>
        <w:rPr/>
        <w:t>por</w:t>
      </w:r>
      <w:r>
        <w:rPr>
          <w:spacing w:val="-6"/>
        </w:rPr>
        <w:t> </w:t>
      </w:r>
      <w:r>
        <w:rPr>
          <w:spacing w:val="-2"/>
        </w:rPr>
        <w:t>benceno</w:t>
      </w:r>
    </w:p>
    <w:p>
      <w:pPr>
        <w:pStyle w:val="BodyText"/>
        <w:spacing w:before="3"/>
        <w:rPr>
          <w:rFonts w:ascii="Arial"/>
          <w:b/>
        </w:rPr>
      </w:pPr>
    </w:p>
    <w:p>
      <w:pPr>
        <w:pStyle w:val="BodyText"/>
        <w:ind w:left="626"/>
      </w:pPr>
      <w:r>
        <w:rPr/>
        <w:t>Código</w:t>
      </w:r>
      <w:r>
        <w:rPr>
          <w:spacing w:val="-9"/>
        </w:rPr>
        <w:t> </w:t>
      </w:r>
      <w:r>
        <w:rPr/>
        <w:t>CIE-11:</w:t>
      </w:r>
      <w:r>
        <w:rPr>
          <w:spacing w:val="-6"/>
        </w:rPr>
        <w:t> </w:t>
      </w:r>
      <w:r>
        <w:rPr/>
        <w:t>PB31,</w:t>
      </w:r>
      <w:r>
        <w:rPr>
          <w:spacing w:val="-6"/>
        </w:rPr>
        <w:t> </w:t>
      </w:r>
      <w:r>
        <w:rPr/>
        <w:t>PH51,</w:t>
      </w:r>
      <w:r>
        <w:rPr>
          <w:spacing w:val="-7"/>
        </w:rPr>
        <w:t> </w:t>
      </w:r>
      <w:r>
        <w:rPr/>
        <w:t>XE3SH,</w:t>
      </w:r>
      <w:r>
        <w:rPr>
          <w:spacing w:val="-8"/>
        </w:rPr>
        <w:t> </w:t>
      </w:r>
      <w:r>
        <w:rPr>
          <w:spacing w:val="-2"/>
        </w:rPr>
        <w:t>XM0QY7</w:t>
      </w:r>
    </w:p>
    <w:p>
      <w:pPr>
        <w:pStyle w:val="BodyText"/>
      </w:pPr>
    </w:p>
    <w:p>
      <w:pPr>
        <w:pStyle w:val="ListParagraph"/>
        <w:numPr>
          <w:ilvl w:val="2"/>
          <w:numId w:val="160"/>
        </w:numPr>
        <w:tabs>
          <w:tab w:pos="1045" w:val="left" w:leader="none"/>
          <w:tab w:pos="1058" w:val="left" w:leader="none"/>
        </w:tabs>
        <w:spacing w:line="240" w:lineRule="auto" w:before="0" w:after="0"/>
        <w:ind w:left="1058" w:right="330" w:hanging="432"/>
        <w:jc w:val="both"/>
        <w:rPr>
          <w:sz w:val="20"/>
        </w:rPr>
      </w:pPr>
      <w:r>
        <w:rPr>
          <w:sz w:val="20"/>
        </w:rPr>
        <w:t>Personas trabajadoras de las industrias química, electrocirugía y</w:t>
      </w:r>
      <w:r>
        <w:rPr>
          <w:spacing w:val="-3"/>
          <w:sz w:val="20"/>
        </w:rPr>
        <w:t> </w:t>
      </w:r>
      <w:r>
        <w:rPr>
          <w:sz w:val="20"/>
        </w:rPr>
        <w:t>de cirugía por láser, refinación y petroquímica y</w:t>
      </w:r>
      <w:r>
        <w:rPr>
          <w:spacing w:val="-2"/>
          <w:sz w:val="20"/>
        </w:rPr>
        <w:t> </w:t>
      </w:r>
      <w:r>
        <w:rPr>
          <w:sz w:val="20"/>
        </w:rPr>
        <w:t>confección de prendas de vestir a la medida, fabricación y reparación de calzado, curtido y acabado de cuero y piel: curtidores, peleteros, taxidermistas, entomólogos y zapateros que manipulan estos disolventes de benzaldehído, personas empleadas de gasolineras, almacenaje y transporte de benceno y de productos de petróleo que contienen benceno, artes gráficas e imprenta, barnices y lacas, cerámica, colorantes, del vestido, detergentes, explosivos (TNT), fabricación de ácido benzoico, fabricación de nitrocelulosa, fabricantes de calzado y peletera, fotograbado, industria de las lacas, industria del calzado, industria hulera y del caucho, lubricantes, manufactura y vulcanizado de neumáticos, medicamentos, pinturas, plaguicidas, textiles, tintorería, tinturas, plásticos, pigmentos, explosivos, detergentes, perfumes, personas trabajadoras en hornos de coque en la industria del acero y vidrio, fabricación de estireno, fenoles, anhídrido maleico.</w:t>
      </w:r>
    </w:p>
    <w:p>
      <w:pPr>
        <w:pStyle w:val="ListParagraph"/>
        <w:numPr>
          <w:ilvl w:val="2"/>
          <w:numId w:val="160"/>
        </w:numPr>
        <w:tabs>
          <w:tab w:pos="1045" w:val="left" w:leader="none"/>
          <w:tab w:pos="1058" w:val="left" w:leader="none"/>
        </w:tabs>
        <w:spacing w:line="240" w:lineRule="auto" w:before="228" w:after="0"/>
        <w:ind w:left="1058" w:right="33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6" w:after="0"/>
        <w:ind w:left="1069" w:right="0" w:hanging="443"/>
        <w:jc w:val="left"/>
      </w:pPr>
      <w:r>
        <w:rPr/>
        <w:t>Efectos</w:t>
      </w:r>
      <w:r>
        <w:rPr>
          <w:spacing w:val="-6"/>
        </w:rPr>
        <w:t> </w:t>
      </w:r>
      <w:r>
        <w:rPr/>
        <w:t>tóxicos</w:t>
      </w:r>
      <w:r>
        <w:rPr>
          <w:spacing w:val="-7"/>
        </w:rPr>
        <w:t> </w:t>
      </w:r>
      <w:r>
        <w:rPr/>
        <w:t>por</w:t>
      </w:r>
      <w:r>
        <w:rPr>
          <w:spacing w:val="-5"/>
        </w:rPr>
        <w:t> </w:t>
      </w:r>
      <w:r>
        <w:rPr/>
        <w:t>derivados</w:t>
      </w:r>
      <w:r>
        <w:rPr>
          <w:spacing w:val="-7"/>
        </w:rPr>
        <w:t> </w:t>
      </w:r>
      <w:r>
        <w:rPr/>
        <w:t>del</w:t>
      </w:r>
      <w:r>
        <w:rPr>
          <w:spacing w:val="-7"/>
        </w:rPr>
        <w:t> </w:t>
      </w:r>
      <w:r>
        <w:rPr/>
        <w:t>petróleo</w:t>
      </w:r>
      <w:r>
        <w:rPr>
          <w:spacing w:val="-5"/>
        </w:rPr>
        <w:t> </w:t>
      </w:r>
      <w:r>
        <w:rPr/>
        <w:t>y</w:t>
      </w:r>
      <w:r>
        <w:rPr>
          <w:spacing w:val="-5"/>
        </w:rPr>
        <w:t> </w:t>
      </w:r>
      <w:r>
        <w:rPr/>
        <w:t>carbón</w:t>
      </w:r>
      <w:r>
        <w:rPr>
          <w:spacing w:val="-6"/>
        </w:rPr>
        <w:t> </w:t>
      </w:r>
      <w:r>
        <w:rPr/>
        <w:t>de</w:t>
      </w:r>
      <w:r>
        <w:rPr>
          <w:spacing w:val="-7"/>
        </w:rPr>
        <w:t> </w:t>
      </w:r>
      <w:r>
        <w:rPr>
          <w:spacing w:val="-2"/>
        </w:rPr>
        <w:t>hulla</w:t>
      </w:r>
    </w:p>
    <w:p>
      <w:pPr>
        <w:pStyle w:val="Heading3"/>
        <w:spacing w:after="0" w:line="240" w:lineRule="auto"/>
        <w:jc w:val="left"/>
        <w:sectPr>
          <w:pgSz w:w="12240" w:h="15840"/>
          <w:pgMar w:header="724" w:footer="712" w:top="1880" w:bottom="900" w:left="1080" w:right="1080"/>
        </w:sectPr>
      </w:pPr>
    </w:p>
    <w:p>
      <w:pPr>
        <w:pStyle w:val="BodyText"/>
        <w:spacing w:before="65"/>
        <w:rPr>
          <w:rFonts w:ascii="Arial"/>
          <w:b/>
        </w:rPr>
      </w:pPr>
    </w:p>
    <w:p>
      <w:pPr>
        <w:pStyle w:val="BodyText"/>
        <w:ind w:left="626"/>
      </w:pPr>
      <w:r>
        <w:rPr/>
        <w:t>Código</w:t>
      </w:r>
      <w:r>
        <w:rPr>
          <w:spacing w:val="-9"/>
        </w:rPr>
        <w:t> </w:t>
      </w:r>
      <w:r>
        <w:rPr/>
        <w:t>CIE-11:</w:t>
      </w:r>
      <w:r>
        <w:rPr>
          <w:spacing w:val="-6"/>
        </w:rPr>
        <w:t> </w:t>
      </w:r>
      <w:r>
        <w:rPr/>
        <w:t>PB31,</w:t>
      </w:r>
      <w:r>
        <w:rPr>
          <w:spacing w:val="-6"/>
        </w:rPr>
        <w:t> </w:t>
      </w:r>
      <w:r>
        <w:rPr/>
        <w:t>PH51,</w:t>
      </w:r>
      <w:r>
        <w:rPr>
          <w:spacing w:val="-7"/>
        </w:rPr>
        <w:t> </w:t>
      </w:r>
      <w:r>
        <w:rPr/>
        <w:t>XM0TB3,</w:t>
      </w:r>
      <w:r>
        <w:rPr>
          <w:spacing w:val="-8"/>
        </w:rPr>
        <w:t> </w:t>
      </w:r>
      <w:r>
        <w:rPr/>
        <w:t>XM2CE3,</w:t>
      </w:r>
      <w:r>
        <w:rPr>
          <w:spacing w:val="-7"/>
        </w:rPr>
        <w:t> </w:t>
      </w:r>
      <w:r>
        <w:rPr/>
        <w:t>XM2Q78,</w:t>
      </w:r>
      <w:r>
        <w:rPr>
          <w:spacing w:val="-8"/>
        </w:rPr>
        <w:t> </w:t>
      </w:r>
      <w:r>
        <w:rPr/>
        <w:t>XM8PX9,</w:t>
      </w:r>
      <w:r>
        <w:rPr>
          <w:spacing w:val="-7"/>
        </w:rPr>
        <w:t> </w:t>
      </w:r>
      <w:r>
        <w:rPr/>
        <w:t>XM7MJ9,</w:t>
      </w:r>
      <w:r>
        <w:rPr>
          <w:spacing w:val="-8"/>
        </w:rPr>
        <w:t> </w:t>
      </w:r>
      <w:r>
        <w:rPr>
          <w:spacing w:val="-2"/>
        </w:rPr>
        <w:t>XM8WE9</w:t>
      </w:r>
    </w:p>
    <w:p>
      <w:pPr>
        <w:pStyle w:val="ListParagraph"/>
        <w:numPr>
          <w:ilvl w:val="2"/>
          <w:numId w:val="160"/>
        </w:numPr>
        <w:tabs>
          <w:tab w:pos="1045" w:val="left" w:leader="none"/>
          <w:tab w:pos="1058" w:val="left" w:leader="none"/>
        </w:tabs>
        <w:spacing w:line="240" w:lineRule="auto" w:before="230" w:after="0"/>
        <w:ind w:left="1058" w:right="339" w:hanging="432"/>
        <w:jc w:val="both"/>
        <w:rPr>
          <w:sz w:val="20"/>
        </w:rPr>
      </w:pPr>
      <w:r>
        <w:rPr>
          <w:sz w:val="20"/>
        </w:rPr>
        <w:t>Personas trabajadoras de las industrias química, petroquímica, farmacéutica y de servicios, tales como: bomberos y personas empleadas de estaciones de servicio y personas trabajadoras de estaciones de gasolina, carbonífera, conductores de camiones de gasolina, en áreas de carga y descarga y muelles, fabricación de aceites, grasas lubricantes y aditivos, fabricación de</w:t>
      </w:r>
      <w:r>
        <w:rPr>
          <w:spacing w:val="40"/>
          <w:sz w:val="20"/>
        </w:rPr>
        <w:t> </w:t>
      </w:r>
      <w:r>
        <w:rPr>
          <w:sz w:val="20"/>
        </w:rPr>
        <w:t>perfumes, fabricación de productos a base de asfalto y sus mezclas, manufactura de carbón de hulla y coque, petrolera, petroquímica, que dan mantenimiento y remueven tanques de almacenaje y</w:t>
      </w:r>
      <w:r>
        <w:rPr>
          <w:spacing w:val="-5"/>
          <w:sz w:val="20"/>
        </w:rPr>
        <w:t> </w:t>
      </w:r>
      <w:r>
        <w:rPr>
          <w:sz w:val="20"/>
        </w:rPr>
        <w:t>tuberías</w:t>
      </w:r>
      <w:r>
        <w:rPr>
          <w:spacing w:val="-1"/>
          <w:sz w:val="20"/>
        </w:rPr>
        <w:t> </w:t>
      </w:r>
      <w:r>
        <w:rPr>
          <w:sz w:val="20"/>
        </w:rPr>
        <w:t>subterráneas de gasolina, que identifican y</w:t>
      </w:r>
      <w:r>
        <w:rPr>
          <w:spacing w:val="-3"/>
          <w:sz w:val="20"/>
        </w:rPr>
        <w:t> </w:t>
      </w:r>
      <w:r>
        <w:rPr>
          <w:sz w:val="20"/>
        </w:rPr>
        <w:t>limpian derrames y</w:t>
      </w:r>
      <w:r>
        <w:rPr>
          <w:spacing w:val="-3"/>
          <w:sz w:val="20"/>
        </w:rPr>
        <w:t> </w:t>
      </w:r>
      <w:r>
        <w:rPr>
          <w:sz w:val="20"/>
        </w:rPr>
        <w:t>escapes</w:t>
      </w:r>
      <w:r>
        <w:rPr>
          <w:spacing w:val="-1"/>
          <w:sz w:val="20"/>
        </w:rPr>
        <w:t> </w:t>
      </w:r>
      <w:r>
        <w:rPr>
          <w:sz w:val="20"/>
        </w:rPr>
        <w:t>de gasolina y refinerías de petróleo.</w:t>
      </w:r>
    </w:p>
    <w:p>
      <w:pPr>
        <w:pStyle w:val="ListParagraph"/>
        <w:numPr>
          <w:ilvl w:val="2"/>
          <w:numId w:val="160"/>
        </w:numPr>
        <w:tabs>
          <w:tab w:pos="1045" w:val="left" w:leader="none"/>
          <w:tab w:pos="1058" w:val="left" w:leader="none"/>
        </w:tabs>
        <w:spacing w:line="240" w:lineRule="auto" w:before="228" w:after="0"/>
        <w:ind w:left="1058" w:right="33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97" w:val="left" w:leader="none"/>
        </w:tabs>
        <w:spacing w:line="240" w:lineRule="auto" w:before="229" w:after="0"/>
        <w:ind w:left="338" w:right="344" w:firstLine="288"/>
        <w:jc w:val="left"/>
      </w:pPr>
      <w:r>
        <w:rPr/>
        <w:t>Efectos tóxicos por derivados halogenados de hidrocarburos alifáticos y aromáticos no</w:t>
      </w:r>
      <w:r>
        <w:rPr>
          <w:spacing w:val="40"/>
        </w:rPr>
        <w:t> </w:t>
      </w:r>
      <w:r>
        <w:rPr/>
        <w:t>especificados: hexacloroetano</w:t>
      </w:r>
    </w:p>
    <w:p>
      <w:pPr>
        <w:pStyle w:val="BodyText"/>
        <w:spacing w:before="1"/>
        <w:rPr>
          <w:rFonts w:ascii="Arial"/>
          <w:b/>
        </w:rPr>
      </w:pPr>
    </w:p>
    <w:p>
      <w:pPr>
        <w:pStyle w:val="BodyText"/>
        <w:ind w:left="626"/>
      </w:pPr>
      <w:r>
        <w:rPr/>
        <w:t>Código</w:t>
      </w:r>
      <w:r>
        <w:rPr>
          <w:spacing w:val="-9"/>
        </w:rPr>
        <w:t> </w:t>
      </w:r>
      <w:r>
        <w:rPr/>
        <w:t>CIE-11:</w:t>
      </w:r>
      <w:r>
        <w:rPr>
          <w:spacing w:val="-5"/>
        </w:rPr>
        <w:t> </w:t>
      </w:r>
      <w:r>
        <w:rPr/>
        <w:t>PB35,</w:t>
      </w:r>
      <w:r>
        <w:rPr>
          <w:spacing w:val="-6"/>
        </w:rPr>
        <w:t> </w:t>
      </w:r>
      <w:r>
        <w:rPr/>
        <w:t>PH55,</w:t>
      </w:r>
      <w:r>
        <w:rPr>
          <w:spacing w:val="-8"/>
        </w:rPr>
        <w:t> </w:t>
      </w:r>
      <w:r>
        <w:rPr>
          <w:spacing w:val="-2"/>
        </w:rPr>
        <w:t>XM0TE1</w:t>
      </w:r>
    </w:p>
    <w:p>
      <w:pPr>
        <w:pStyle w:val="BodyText"/>
      </w:pPr>
    </w:p>
    <w:p>
      <w:pPr>
        <w:pStyle w:val="ListParagraph"/>
        <w:numPr>
          <w:ilvl w:val="2"/>
          <w:numId w:val="160"/>
        </w:numPr>
        <w:tabs>
          <w:tab w:pos="1045" w:val="left" w:leader="none"/>
          <w:tab w:pos="1058" w:val="left" w:leader="none"/>
        </w:tabs>
        <w:spacing w:line="240" w:lineRule="auto" w:before="0" w:after="0"/>
        <w:ind w:left="1058" w:right="342" w:hanging="432"/>
        <w:jc w:val="both"/>
        <w:rPr>
          <w:sz w:val="20"/>
        </w:rPr>
      </w:pPr>
      <w:r>
        <w:rPr>
          <w:sz w:val="20"/>
        </w:rPr>
        <w:t>Personas trabajadoras expuestas en la fabricación de artes plásticas y restauración, en artículos de limpieza para piezas metálicas, durante los procesos de desengrasado, formulación de pinturas, impresiones, industria de la impresión y las artes gráficas, pinturas y estampados, proceso</w:t>
      </w:r>
      <w:r>
        <w:rPr>
          <w:spacing w:val="-1"/>
          <w:sz w:val="20"/>
        </w:rPr>
        <w:t> </w:t>
      </w:r>
      <w:r>
        <w:rPr>
          <w:sz w:val="20"/>
        </w:rPr>
        <w:t>de revelado y</w:t>
      </w:r>
      <w:r>
        <w:rPr>
          <w:spacing w:val="-1"/>
          <w:sz w:val="20"/>
        </w:rPr>
        <w:t> </w:t>
      </w:r>
      <w:r>
        <w:rPr>
          <w:sz w:val="20"/>
        </w:rPr>
        <w:t>restauración. Puede encontrase</w:t>
      </w:r>
      <w:r>
        <w:rPr>
          <w:spacing w:val="-1"/>
          <w:sz w:val="20"/>
        </w:rPr>
        <w:t> </w:t>
      </w:r>
      <w:r>
        <w:rPr>
          <w:sz w:val="20"/>
        </w:rPr>
        <w:t>mezclado con otros disolventes orgánicos en artículos de limpieza, insecticidas, lubricantes y plásticos.</w:t>
      </w:r>
    </w:p>
    <w:p>
      <w:pPr>
        <w:pStyle w:val="ListParagraph"/>
        <w:numPr>
          <w:ilvl w:val="2"/>
          <w:numId w:val="160"/>
        </w:numPr>
        <w:tabs>
          <w:tab w:pos="1045" w:val="left" w:leader="none"/>
          <w:tab w:pos="1058" w:val="left" w:leader="none"/>
        </w:tabs>
        <w:spacing w:line="240" w:lineRule="auto" w:before="230" w:after="0"/>
        <w:ind w:left="1058" w:right="345" w:hanging="432"/>
        <w:jc w:val="both"/>
        <w:rPr>
          <w:sz w:val="20"/>
        </w:rPr>
      </w:pPr>
      <w:r>
        <w:rPr>
          <w:sz w:val="20"/>
        </w:rPr>
        <w:t>Personas trabajadoras de fabricación de bombas de humo, fundiciones de aluminio e industria militar. Personas trabajadoras que lo utilizan para desengrasar el aluminio y otros metales. La sustancia puede estar presente en ciertos fungicidas, insecticidas, lubricantes y plásticos.</w:t>
      </w:r>
    </w:p>
    <w:p>
      <w:pPr>
        <w:pStyle w:val="ListParagraph"/>
        <w:numPr>
          <w:ilvl w:val="2"/>
          <w:numId w:val="160"/>
        </w:numPr>
        <w:tabs>
          <w:tab w:pos="1045" w:val="left" w:leader="none"/>
          <w:tab w:pos="1058" w:val="left" w:leader="none"/>
        </w:tabs>
        <w:spacing w:line="240" w:lineRule="auto" w:before="226" w:after="0"/>
        <w:ind w:left="1058" w:right="336"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133" w:val="left" w:leader="none"/>
        </w:tabs>
        <w:spacing w:line="240" w:lineRule="auto" w:before="228" w:after="0"/>
        <w:ind w:left="338" w:right="338" w:firstLine="288"/>
        <w:jc w:val="left"/>
      </w:pPr>
      <w:r>
        <w:rPr/>
        <w:t>Efectos</w:t>
      </w:r>
      <w:r>
        <w:rPr>
          <w:spacing w:val="40"/>
        </w:rPr>
        <w:t> </w:t>
      </w:r>
      <w:r>
        <w:rPr/>
        <w:t>tóxicos</w:t>
      </w:r>
      <w:r>
        <w:rPr>
          <w:spacing w:val="40"/>
        </w:rPr>
        <w:t> </w:t>
      </w:r>
      <w:r>
        <w:rPr/>
        <w:t>por</w:t>
      </w:r>
      <w:r>
        <w:rPr>
          <w:spacing w:val="40"/>
        </w:rPr>
        <w:t> </w:t>
      </w:r>
      <w:r>
        <w:rPr/>
        <w:t>derivados</w:t>
      </w:r>
      <w:r>
        <w:rPr>
          <w:spacing w:val="40"/>
        </w:rPr>
        <w:t> </w:t>
      </w:r>
      <w:r>
        <w:rPr/>
        <w:t>halogenados</w:t>
      </w:r>
      <w:r>
        <w:rPr>
          <w:spacing w:val="40"/>
        </w:rPr>
        <w:t> </w:t>
      </w:r>
      <w:r>
        <w:rPr/>
        <w:t>de</w:t>
      </w:r>
      <w:r>
        <w:rPr>
          <w:spacing w:val="40"/>
        </w:rPr>
        <w:t> </w:t>
      </w:r>
      <w:r>
        <w:rPr/>
        <w:t>hidrocarburos</w:t>
      </w:r>
      <w:r>
        <w:rPr>
          <w:spacing w:val="40"/>
        </w:rPr>
        <w:t> </w:t>
      </w:r>
      <w:r>
        <w:rPr/>
        <w:t>aromáticos:</w:t>
      </w:r>
      <w:r>
        <w:rPr>
          <w:spacing w:val="40"/>
        </w:rPr>
        <w:t> </w:t>
      </w:r>
      <w:r>
        <w:rPr/>
        <w:t>naftalenos clorados y difenilos clorados</w:t>
      </w:r>
    </w:p>
    <w:p>
      <w:pPr>
        <w:pStyle w:val="BodyText"/>
        <w:spacing w:before="1"/>
        <w:rPr>
          <w:rFonts w:ascii="Arial"/>
          <w:b/>
        </w:rPr>
      </w:pPr>
    </w:p>
    <w:p>
      <w:pPr>
        <w:pStyle w:val="BodyText"/>
        <w:spacing w:before="1"/>
        <w:ind w:left="626"/>
      </w:pPr>
      <w:r>
        <w:rPr/>
        <w:t>Código</w:t>
      </w:r>
      <w:r>
        <w:rPr>
          <w:spacing w:val="-9"/>
        </w:rPr>
        <w:t> </w:t>
      </w:r>
      <w:r>
        <w:rPr/>
        <w:t>CIE-11:</w:t>
      </w:r>
      <w:r>
        <w:rPr>
          <w:spacing w:val="-6"/>
        </w:rPr>
        <w:t> </w:t>
      </w:r>
      <w:r>
        <w:rPr/>
        <w:t>PB35,</w:t>
      </w:r>
      <w:r>
        <w:rPr>
          <w:spacing w:val="-6"/>
        </w:rPr>
        <w:t> </w:t>
      </w:r>
      <w:r>
        <w:rPr/>
        <w:t>PH55,</w:t>
      </w:r>
      <w:r>
        <w:rPr>
          <w:spacing w:val="-8"/>
        </w:rPr>
        <w:t> </w:t>
      </w:r>
      <w:r>
        <w:rPr/>
        <w:t>XM1YR6,</w:t>
      </w:r>
      <w:r>
        <w:rPr>
          <w:spacing w:val="-7"/>
        </w:rPr>
        <w:t> </w:t>
      </w:r>
      <w:r>
        <w:rPr>
          <w:spacing w:val="-2"/>
        </w:rPr>
        <w:t>XM8D04</w:t>
      </w:r>
    </w:p>
    <w:p>
      <w:pPr>
        <w:pStyle w:val="ListParagraph"/>
        <w:numPr>
          <w:ilvl w:val="2"/>
          <w:numId w:val="160"/>
        </w:numPr>
        <w:tabs>
          <w:tab w:pos="1045" w:val="left" w:leader="none"/>
          <w:tab w:pos="1058" w:val="left" w:leader="none"/>
        </w:tabs>
        <w:spacing w:line="240" w:lineRule="auto" w:before="230" w:after="0"/>
        <w:ind w:left="1058" w:right="340" w:hanging="432"/>
        <w:jc w:val="both"/>
        <w:rPr>
          <w:sz w:val="20"/>
        </w:rPr>
      </w:pPr>
      <w:r>
        <w:rPr>
          <w:sz w:val="20"/>
        </w:rPr>
        <w:t>Personas trabajadoras que los utilizan como aislantes eléctricos, personas trabajadoras de la extracción de aditivos para el hormigón, alquitrán de hulla, anhídrido ftálico (producción de plastificadores para PVC), curtientes, fabricación de colorantes, para componentes de solventes para plaguicidas (antipolillas) y sustancias humectantes en la industria textil, personas trabajadoras de la industria de aditivos, industria electrónica, plaguicidas y textiles.</w:t>
      </w:r>
    </w:p>
    <w:p>
      <w:pPr>
        <w:pStyle w:val="ListParagraph"/>
        <w:numPr>
          <w:ilvl w:val="2"/>
          <w:numId w:val="160"/>
        </w:numPr>
        <w:tabs>
          <w:tab w:pos="1045" w:val="left" w:leader="none"/>
          <w:tab w:pos="1058" w:val="left" w:leader="none"/>
        </w:tabs>
        <w:spacing w:line="240" w:lineRule="auto" w:before="229" w:after="0"/>
        <w:ind w:left="1058" w:right="33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w:t>
      </w:r>
      <w:r>
        <w:rPr>
          <w:spacing w:val="37"/>
          <w:sz w:val="20"/>
        </w:rPr>
        <w:t> </w:t>
      </w:r>
      <w:r>
        <w:rPr>
          <w:sz w:val="20"/>
        </w:rPr>
        <w:t>de</w:t>
      </w:r>
      <w:r>
        <w:rPr>
          <w:spacing w:val="39"/>
          <w:sz w:val="20"/>
        </w:rPr>
        <w:t> </w:t>
      </w:r>
      <w:r>
        <w:rPr>
          <w:sz w:val="20"/>
        </w:rPr>
        <w:t>las</w:t>
      </w:r>
      <w:r>
        <w:rPr>
          <w:spacing w:val="38"/>
          <w:sz w:val="20"/>
        </w:rPr>
        <w:t> </w:t>
      </w:r>
      <w:r>
        <w:rPr>
          <w:sz w:val="20"/>
        </w:rPr>
        <w:t>Cédulas</w:t>
      </w:r>
      <w:r>
        <w:rPr>
          <w:spacing w:val="40"/>
          <w:sz w:val="20"/>
        </w:rPr>
        <w:t> </w:t>
      </w:r>
      <w:r>
        <w:rPr>
          <w:sz w:val="20"/>
        </w:rPr>
        <w:t>para</w:t>
      </w:r>
      <w:r>
        <w:rPr>
          <w:spacing w:val="37"/>
          <w:sz w:val="20"/>
        </w:rPr>
        <w:t> </w:t>
      </w:r>
      <w:r>
        <w:rPr>
          <w:sz w:val="20"/>
        </w:rPr>
        <w:t>la</w:t>
      </w:r>
      <w:r>
        <w:rPr>
          <w:spacing w:val="37"/>
          <w:sz w:val="20"/>
        </w:rPr>
        <w:t> </w:t>
      </w:r>
      <w:r>
        <w:rPr>
          <w:sz w:val="20"/>
        </w:rPr>
        <w:t>Valuación</w:t>
      </w:r>
      <w:r>
        <w:rPr>
          <w:spacing w:val="37"/>
          <w:sz w:val="20"/>
        </w:rPr>
        <w:t> </w:t>
      </w:r>
      <w:r>
        <w:rPr>
          <w:sz w:val="20"/>
        </w:rPr>
        <w:t>de</w:t>
      </w:r>
      <w:r>
        <w:rPr>
          <w:spacing w:val="37"/>
          <w:sz w:val="20"/>
        </w:rPr>
        <w:t> </w:t>
      </w:r>
      <w:r>
        <w:rPr>
          <w:sz w:val="20"/>
        </w:rPr>
        <w:t>las</w:t>
      </w:r>
      <w:r>
        <w:rPr>
          <w:spacing w:val="40"/>
          <w:sz w:val="20"/>
        </w:rPr>
        <w:t> </w:t>
      </w:r>
      <w:r>
        <w:rPr>
          <w:sz w:val="20"/>
        </w:rPr>
        <w:t>Enfermedades</w:t>
      </w:r>
      <w:r>
        <w:rPr>
          <w:spacing w:val="38"/>
          <w:sz w:val="20"/>
        </w:rPr>
        <w:t> </w:t>
      </w:r>
      <w:r>
        <w:rPr>
          <w:sz w:val="20"/>
        </w:rPr>
        <w:t>de</w:t>
      </w:r>
      <w:r>
        <w:rPr>
          <w:spacing w:val="36"/>
          <w:sz w:val="20"/>
        </w:rPr>
        <w:t> </w:t>
      </w:r>
      <w:r>
        <w:rPr>
          <w:sz w:val="20"/>
        </w:rPr>
        <w:t>Trabajo,</w:t>
      </w:r>
      <w:r>
        <w:rPr>
          <w:spacing w:val="39"/>
          <w:sz w:val="20"/>
        </w:rPr>
        <w:t> </w:t>
      </w:r>
      <w:r>
        <w:rPr>
          <w:sz w:val="20"/>
        </w:rPr>
        <w:t>que</w:t>
      </w:r>
      <w:r>
        <w:rPr>
          <w:spacing w:val="37"/>
          <w:sz w:val="20"/>
        </w:rPr>
        <w:t> </w:t>
      </w:r>
      <w:r>
        <w:rPr>
          <w:sz w:val="20"/>
        </w:rPr>
        <w:t>tengan</w:t>
      </w:r>
      <w:r>
        <w:rPr>
          <w:spacing w:val="36"/>
          <w:sz w:val="20"/>
        </w:rPr>
        <w:t> </w:t>
      </w:r>
      <w:r>
        <w:rPr>
          <w:sz w:val="20"/>
        </w:rPr>
        <w:t>su</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058"/>
      </w:pPr>
      <w:r>
        <w:rPr/>
        <w:t>origen</w:t>
      </w:r>
      <w:r>
        <w:rPr>
          <w:spacing w:val="32"/>
        </w:rPr>
        <w:t> </w:t>
      </w:r>
      <w:r>
        <w:rPr/>
        <w:t>o</w:t>
      </w:r>
      <w:r>
        <w:rPr>
          <w:spacing w:val="34"/>
        </w:rPr>
        <w:t> </w:t>
      </w:r>
      <w:r>
        <w:rPr/>
        <w:t>con</w:t>
      </w:r>
      <w:r>
        <w:rPr>
          <w:spacing w:val="34"/>
        </w:rPr>
        <w:t> </w:t>
      </w:r>
      <w:r>
        <w:rPr/>
        <w:t>motivo</w:t>
      </w:r>
      <w:r>
        <w:rPr>
          <w:spacing w:val="34"/>
        </w:rPr>
        <w:t> </w:t>
      </w:r>
      <w:r>
        <w:rPr/>
        <w:t>del</w:t>
      </w:r>
      <w:r>
        <w:rPr>
          <w:spacing w:val="31"/>
        </w:rPr>
        <w:t> </w:t>
      </w:r>
      <w:r>
        <w:rPr/>
        <w:t>trabajo</w:t>
      </w:r>
      <w:r>
        <w:rPr>
          <w:spacing w:val="34"/>
        </w:rPr>
        <w:t> </w:t>
      </w:r>
      <w:r>
        <w:rPr/>
        <w:t>o</w:t>
      </w:r>
      <w:r>
        <w:rPr>
          <w:spacing w:val="32"/>
        </w:rPr>
        <w:t> </w:t>
      </w:r>
      <w:r>
        <w:rPr/>
        <w:t>en</w:t>
      </w:r>
      <w:r>
        <w:rPr>
          <w:spacing w:val="34"/>
        </w:rPr>
        <w:t> </w:t>
      </w:r>
      <w:r>
        <w:rPr/>
        <w:t>el</w:t>
      </w:r>
      <w:r>
        <w:rPr>
          <w:spacing w:val="33"/>
        </w:rPr>
        <w:t> </w:t>
      </w:r>
      <w:r>
        <w:rPr/>
        <w:t>medio</w:t>
      </w:r>
      <w:r>
        <w:rPr>
          <w:spacing w:val="32"/>
        </w:rPr>
        <w:t> </w:t>
      </w:r>
      <w:r>
        <w:rPr/>
        <w:t>que</w:t>
      </w:r>
      <w:r>
        <w:rPr>
          <w:spacing w:val="34"/>
        </w:rPr>
        <w:t> </w:t>
      </w:r>
      <w:r>
        <w:rPr/>
        <w:t>la</w:t>
      </w:r>
      <w:r>
        <w:rPr>
          <w:spacing w:val="32"/>
        </w:rPr>
        <w:t> </w:t>
      </w:r>
      <w:r>
        <w:rPr/>
        <w:t>persona</w:t>
      </w:r>
      <w:r>
        <w:rPr>
          <w:spacing w:val="34"/>
        </w:rPr>
        <w:t> </w:t>
      </w:r>
      <w:r>
        <w:rPr/>
        <w:t>trabajadora</w:t>
      </w:r>
      <w:r>
        <w:rPr>
          <w:spacing w:val="32"/>
        </w:rPr>
        <w:t> </w:t>
      </w:r>
      <w:r>
        <w:rPr/>
        <w:t>se</w:t>
      </w:r>
      <w:r>
        <w:rPr>
          <w:spacing w:val="37"/>
        </w:rPr>
        <w:t> </w:t>
      </w:r>
      <w:r>
        <w:rPr/>
        <w:t>vea</w:t>
      </w:r>
      <w:r>
        <w:rPr>
          <w:spacing w:val="34"/>
        </w:rPr>
        <w:t> </w:t>
      </w:r>
      <w:r>
        <w:rPr/>
        <w:t>obligada</w:t>
      </w:r>
      <w:r>
        <w:rPr>
          <w:spacing w:val="34"/>
        </w:rPr>
        <w:t> </w:t>
      </w:r>
      <w:r>
        <w:rPr/>
        <w:t>a prestar sus servicios.</w:t>
      </w:r>
    </w:p>
    <w:p>
      <w:pPr>
        <w:pStyle w:val="Heading3"/>
        <w:numPr>
          <w:ilvl w:val="1"/>
          <w:numId w:val="160"/>
        </w:numPr>
        <w:tabs>
          <w:tab w:pos="1069" w:val="left" w:leader="none"/>
        </w:tabs>
        <w:spacing w:line="240" w:lineRule="auto" w:before="229" w:after="0"/>
        <w:ind w:left="1069" w:right="0" w:hanging="443"/>
        <w:jc w:val="left"/>
      </w:pPr>
      <w:r>
        <w:rPr/>
        <w:t>Efectos</w:t>
      </w:r>
      <w:r>
        <w:rPr>
          <w:spacing w:val="-6"/>
        </w:rPr>
        <w:t> </w:t>
      </w:r>
      <w:r>
        <w:rPr/>
        <w:t>tóxicos</w:t>
      </w:r>
      <w:r>
        <w:rPr>
          <w:spacing w:val="-7"/>
        </w:rPr>
        <w:t> </w:t>
      </w:r>
      <w:r>
        <w:rPr/>
        <w:t>por</w:t>
      </w:r>
      <w:r>
        <w:rPr>
          <w:spacing w:val="-5"/>
        </w:rPr>
        <w:t> </w:t>
      </w:r>
      <w:r>
        <w:rPr/>
        <w:t>dióxido</w:t>
      </w:r>
      <w:r>
        <w:rPr>
          <w:spacing w:val="-6"/>
        </w:rPr>
        <w:t> </w:t>
      </w:r>
      <w:r>
        <w:rPr/>
        <w:t>de</w:t>
      </w:r>
      <w:r>
        <w:rPr>
          <w:spacing w:val="-7"/>
        </w:rPr>
        <w:t> </w:t>
      </w:r>
      <w:r>
        <w:rPr>
          <w:spacing w:val="-2"/>
        </w:rPr>
        <w:t>sulfuro</w:t>
      </w:r>
    </w:p>
    <w:p>
      <w:pPr>
        <w:pStyle w:val="BodyText"/>
        <w:spacing w:before="3"/>
        <w:rPr>
          <w:rFonts w:ascii="Arial"/>
          <w:b/>
        </w:rPr>
      </w:pPr>
    </w:p>
    <w:p>
      <w:pPr>
        <w:pStyle w:val="BodyText"/>
        <w:ind w:left="626"/>
      </w:pPr>
      <w:r>
        <w:rPr/>
        <w:t>Código</w:t>
      </w:r>
      <w:r>
        <w:rPr>
          <w:spacing w:val="-9"/>
        </w:rPr>
        <w:t> </w:t>
      </w:r>
      <w:r>
        <w:rPr/>
        <w:t>CIE-11:</w:t>
      </w:r>
      <w:r>
        <w:rPr>
          <w:spacing w:val="-5"/>
        </w:rPr>
        <w:t> </w:t>
      </w:r>
      <w:r>
        <w:rPr/>
        <w:t>PB36,</w:t>
      </w:r>
      <w:r>
        <w:rPr>
          <w:spacing w:val="-5"/>
        </w:rPr>
        <w:t> </w:t>
      </w:r>
      <w:r>
        <w:rPr/>
        <w:t>PH56,</w:t>
      </w:r>
      <w:r>
        <w:rPr>
          <w:spacing w:val="-8"/>
        </w:rPr>
        <w:t> </w:t>
      </w:r>
      <w:r>
        <w:rPr>
          <w:spacing w:val="-2"/>
        </w:rPr>
        <w:t>XM0Z74</w:t>
      </w:r>
    </w:p>
    <w:p>
      <w:pPr>
        <w:pStyle w:val="ListParagraph"/>
        <w:numPr>
          <w:ilvl w:val="2"/>
          <w:numId w:val="160"/>
        </w:numPr>
        <w:tabs>
          <w:tab w:pos="1045" w:val="left" w:leader="none"/>
          <w:tab w:pos="1058" w:val="left" w:leader="none"/>
        </w:tabs>
        <w:spacing w:line="240" w:lineRule="auto" w:before="227" w:after="0"/>
        <w:ind w:left="1058" w:right="342" w:hanging="432"/>
        <w:jc w:val="both"/>
        <w:rPr>
          <w:sz w:val="20"/>
        </w:rPr>
      </w:pPr>
      <w:r>
        <w:rPr>
          <w:sz w:val="20"/>
        </w:rPr>
        <w:t>Personas trabajadoras en actividades industriales tales como: curtidurías, fábricas de papel, hornos de coque, procesamiento de alimentos, refinerías de petróleo, talleres dedicados a motores</w:t>
      </w:r>
      <w:r>
        <w:rPr>
          <w:spacing w:val="-2"/>
          <w:sz w:val="20"/>
        </w:rPr>
        <w:t> </w:t>
      </w:r>
      <w:r>
        <w:rPr>
          <w:sz w:val="20"/>
        </w:rPr>
        <w:t>diésel, instalaciones</w:t>
      </w:r>
      <w:r>
        <w:rPr>
          <w:spacing w:val="-2"/>
          <w:sz w:val="20"/>
        </w:rPr>
        <w:t> </w:t>
      </w:r>
      <w:r>
        <w:rPr>
          <w:sz w:val="20"/>
        </w:rPr>
        <w:t>de</w:t>
      </w:r>
      <w:r>
        <w:rPr>
          <w:spacing w:val="-1"/>
          <w:sz w:val="20"/>
        </w:rPr>
        <w:t> </w:t>
      </w:r>
      <w:r>
        <w:rPr>
          <w:sz w:val="20"/>
        </w:rPr>
        <w:t>lavado, área</w:t>
      </w:r>
      <w:r>
        <w:rPr>
          <w:spacing w:val="-1"/>
          <w:sz w:val="20"/>
        </w:rPr>
        <w:t> </w:t>
      </w:r>
      <w:r>
        <w:rPr>
          <w:sz w:val="20"/>
        </w:rPr>
        <w:t>de</w:t>
      </w:r>
      <w:r>
        <w:rPr>
          <w:spacing w:val="-4"/>
          <w:sz w:val="20"/>
        </w:rPr>
        <w:t> </w:t>
      </w:r>
      <w:r>
        <w:rPr>
          <w:sz w:val="20"/>
        </w:rPr>
        <w:t>repostaje,</w:t>
      </w:r>
      <w:r>
        <w:rPr>
          <w:spacing w:val="-3"/>
          <w:sz w:val="20"/>
        </w:rPr>
        <w:t> </w:t>
      </w:r>
      <w:r>
        <w:rPr>
          <w:sz w:val="20"/>
        </w:rPr>
        <w:t>área</w:t>
      </w:r>
      <w:r>
        <w:rPr>
          <w:spacing w:val="-1"/>
          <w:sz w:val="20"/>
        </w:rPr>
        <w:t> </w:t>
      </w:r>
      <w:r>
        <w:rPr>
          <w:sz w:val="20"/>
        </w:rPr>
        <w:t>de</w:t>
      </w:r>
      <w:r>
        <w:rPr>
          <w:spacing w:val="-1"/>
          <w:sz w:val="20"/>
        </w:rPr>
        <w:t> </w:t>
      </w:r>
      <w:r>
        <w:rPr>
          <w:sz w:val="20"/>
        </w:rPr>
        <w:t>pruebas</w:t>
      </w:r>
      <w:r>
        <w:rPr>
          <w:spacing w:val="-2"/>
          <w:sz w:val="20"/>
        </w:rPr>
        <w:t> </w:t>
      </w:r>
      <w:r>
        <w:rPr>
          <w:sz w:val="20"/>
        </w:rPr>
        <w:t>de</w:t>
      </w:r>
      <w:r>
        <w:rPr>
          <w:spacing w:val="-3"/>
          <w:sz w:val="20"/>
        </w:rPr>
        <w:t> </w:t>
      </w:r>
      <w:r>
        <w:rPr>
          <w:sz w:val="20"/>
        </w:rPr>
        <w:t>carga,</w:t>
      </w:r>
      <w:r>
        <w:rPr>
          <w:spacing w:val="-1"/>
          <w:sz w:val="20"/>
        </w:rPr>
        <w:t> </w:t>
      </w:r>
      <w:r>
        <w:rPr>
          <w:sz w:val="20"/>
        </w:rPr>
        <w:t>producción de pasta de papel, almidón, sulfitos y tiosulfatos, personas trabajadoras de alimentos, de detergentes, fotografía y química, personas trabajadoras en procesos de calcinación, fundición y blanqueo, en contacto con gases, humos y vapores de dióxido de sulfuro.</w:t>
      </w:r>
    </w:p>
    <w:p>
      <w:pPr>
        <w:pStyle w:val="BodyText"/>
        <w:spacing w:before="1"/>
      </w:pPr>
    </w:p>
    <w:p>
      <w:pPr>
        <w:pStyle w:val="ListParagraph"/>
        <w:numPr>
          <w:ilvl w:val="2"/>
          <w:numId w:val="160"/>
        </w:numPr>
        <w:tabs>
          <w:tab w:pos="1045" w:val="left" w:leader="none"/>
          <w:tab w:pos="1058" w:val="left" w:leader="none"/>
        </w:tabs>
        <w:spacing w:line="240" w:lineRule="auto" w:before="0" w:after="0"/>
        <w:ind w:left="1058" w:right="34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6" w:after="0"/>
        <w:ind w:left="1069" w:right="0" w:hanging="443"/>
        <w:jc w:val="left"/>
      </w:pPr>
      <w:r>
        <w:rPr/>
        <w:t>Efectos</w:t>
      </w:r>
      <w:r>
        <w:rPr>
          <w:spacing w:val="-7"/>
        </w:rPr>
        <w:t> </w:t>
      </w:r>
      <w:r>
        <w:rPr/>
        <w:t>tóxicos</w:t>
      </w:r>
      <w:r>
        <w:rPr>
          <w:spacing w:val="-8"/>
        </w:rPr>
        <w:t> </w:t>
      </w:r>
      <w:r>
        <w:rPr/>
        <w:t>por</w:t>
      </w:r>
      <w:r>
        <w:rPr>
          <w:spacing w:val="-7"/>
        </w:rPr>
        <w:t> </w:t>
      </w:r>
      <w:r>
        <w:rPr/>
        <w:t>disolventes</w:t>
      </w:r>
      <w:r>
        <w:rPr>
          <w:spacing w:val="-9"/>
        </w:rPr>
        <w:t> </w:t>
      </w:r>
      <w:r>
        <w:rPr/>
        <w:t>orgánicos</w:t>
      </w:r>
      <w:r>
        <w:rPr>
          <w:spacing w:val="-9"/>
        </w:rPr>
        <w:t> </w:t>
      </w:r>
      <w:r>
        <w:rPr/>
        <w:t>clorados:</w:t>
      </w:r>
      <w:r>
        <w:rPr>
          <w:spacing w:val="-8"/>
        </w:rPr>
        <w:t> </w:t>
      </w:r>
      <w:r>
        <w:rPr/>
        <w:t>tetracloroetano</w:t>
      </w:r>
      <w:r>
        <w:rPr>
          <w:spacing w:val="-6"/>
        </w:rPr>
        <w:t> </w:t>
      </w:r>
      <w:r>
        <w:rPr/>
        <w:t>y</w:t>
      </w:r>
      <w:r>
        <w:rPr>
          <w:spacing w:val="-8"/>
        </w:rPr>
        <w:t> </w:t>
      </w:r>
      <w:r>
        <w:rPr>
          <w:spacing w:val="-2"/>
        </w:rPr>
        <w:t>dicloroetano</w:t>
      </w:r>
    </w:p>
    <w:p>
      <w:pPr>
        <w:pStyle w:val="BodyText"/>
        <w:spacing w:before="3"/>
        <w:rPr>
          <w:rFonts w:ascii="Arial"/>
          <w:b/>
        </w:rPr>
      </w:pPr>
    </w:p>
    <w:p>
      <w:pPr>
        <w:pStyle w:val="BodyText"/>
        <w:ind w:left="626"/>
      </w:pPr>
      <w:r>
        <w:rPr/>
        <w:t>Código</w:t>
      </w:r>
      <w:r>
        <w:rPr>
          <w:spacing w:val="-8"/>
        </w:rPr>
        <w:t> </w:t>
      </w:r>
      <w:r>
        <w:rPr/>
        <w:t>CIE-11:</w:t>
      </w:r>
      <w:r>
        <w:rPr>
          <w:spacing w:val="-6"/>
        </w:rPr>
        <w:t> </w:t>
      </w:r>
      <w:r>
        <w:rPr/>
        <w:t>PB31,</w:t>
      </w:r>
      <w:r>
        <w:rPr>
          <w:spacing w:val="-5"/>
        </w:rPr>
        <w:t> </w:t>
      </w:r>
      <w:r>
        <w:rPr/>
        <w:t>PE91,</w:t>
      </w:r>
      <w:r>
        <w:rPr>
          <w:spacing w:val="-7"/>
        </w:rPr>
        <w:t> </w:t>
      </w:r>
      <w:r>
        <w:rPr/>
        <w:t>PH51,</w:t>
      </w:r>
      <w:r>
        <w:rPr>
          <w:spacing w:val="-7"/>
        </w:rPr>
        <w:t> </w:t>
      </w:r>
      <w:r>
        <w:rPr/>
        <w:t>XM4D89,</w:t>
      </w:r>
      <w:r>
        <w:rPr>
          <w:spacing w:val="-7"/>
        </w:rPr>
        <w:t> </w:t>
      </w:r>
      <w:r>
        <w:rPr>
          <w:spacing w:val="-2"/>
        </w:rPr>
        <w:t>XM1AF0</w:t>
      </w:r>
    </w:p>
    <w:p>
      <w:pPr>
        <w:pStyle w:val="ListParagraph"/>
        <w:numPr>
          <w:ilvl w:val="2"/>
          <w:numId w:val="160"/>
        </w:numPr>
        <w:tabs>
          <w:tab w:pos="1045" w:val="left" w:leader="none"/>
          <w:tab w:pos="1058" w:val="left" w:leader="none"/>
        </w:tabs>
        <w:spacing w:line="240" w:lineRule="auto" w:before="230" w:after="0"/>
        <w:ind w:left="1058" w:right="332" w:hanging="432"/>
        <w:jc w:val="both"/>
        <w:rPr>
          <w:sz w:val="20"/>
        </w:rPr>
      </w:pPr>
      <w:r>
        <w:rPr>
          <w:sz w:val="20"/>
        </w:rPr>
        <w:t>Personas trabajadoras que manipulan estas substancias como disolventes de aceites, ceras, desengrasado</w:t>
      </w:r>
      <w:r>
        <w:rPr>
          <w:spacing w:val="-2"/>
          <w:sz w:val="20"/>
        </w:rPr>
        <w:t> </w:t>
      </w:r>
      <w:r>
        <w:rPr>
          <w:sz w:val="20"/>
        </w:rPr>
        <w:t>de</w:t>
      </w:r>
      <w:r>
        <w:rPr>
          <w:spacing w:val="-2"/>
          <w:sz w:val="20"/>
        </w:rPr>
        <w:t> </w:t>
      </w:r>
      <w:r>
        <w:rPr>
          <w:sz w:val="20"/>
        </w:rPr>
        <w:t>la</w:t>
      </w:r>
      <w:r>
        <w:rPr>
          <w:spacing w:val="-2"/>
          <w:sz w:val="20"/>
        </w:rPr>
        <w:t> </w:t>
      </w:r>
      <w:r>
        <w:rPr>
          <w:sz w:val="20"/>
        </w:rPr>
        <w:t>lana,</w:t>
      </w:r>
      <w:r>
        <w:rPr>
          <w:spacing w:val="-2"/>
          <w:sz w:val="20"/>
        </w:rPr>
        <w:t> </w:t>
      </w:r>
      <w:r>
        <w:rPr>
          <w:sz w:val="20"/>
        </w:rPr>
        <w:t>dilución</w:t>
      </w:r>
      <w:r>
        <w:rPr>
          <w:spacing w:val="-2"/>
          <w:sz w:val="20"/>
        </w:rPr>
        <w:t> </w:t>
      </w:r>
      <w:r>
        <w:rPr>
          <w:sz w:val="20"/>
        </w:rPr>
        <w:t>de lacas,</w:t>
      </w:r>
      <w:r>
        <w:rPr>
          <w:spacing w:val="-2"/>
          <w:sz w:val="20"/>
        </w:rPr>
        <w:t> </w:t>
      </w:r>
      <w:r>
        <w:rPr>
          <w:sz w:val="20"/>
        </w:rPr>
        <w:t>gomas,</w:t>
      </w:r>
      <w:r>
        <w:rPr>
          <w:spacing w:val="-4"/>
          <w:sz w:val="20"/>
        </w:rPr>
        <w:t> </w:t>
      </w:r>
      <w:r>
        <w:rPr>
          <w:sz w:val="20"/>
        </w:rPr>
        <w:t>grasas,</w:t>
      </w:r>
      <w:r>
        <w:rPr>
          <w:spacing w:val="-4"/>
          <w:sz w:val="20"/>
        </w:rPr>
        <w:t> </w:t>
      </w:r>
      <w:r>
        <w:rPr>
          <w:sz w:val="20"/>
        </w:rPr>
        <w:t>hules,</w:t>
      </w:r>
      <w:r>
        <w:rPr>
          <w:spacing w:val="-2"/>
          <w:sz w:val="20"/>
        </w:rPr>
        <w:t> </w:t>
      </w:r>
      <w:r>
        <w:rPr>
          <w:sz w:val="20"/>
        </w:rPr>
        <w:t>industria</w:t>
      </w:r>
      <w:r>
        <w:rPr>
          <w:spacing w:val="-4"/>
          <w:sz w:val="20"/>
        </w:rPr>
        <w:t> </w:t>
      </w:r>
      <w:r>
        <w:rPr>
          <w:sz w:val="20"/>
        </w:rPr>
        <w:t>peletera, del</w:t>
      </w:r>
      <w:r>
        <w:rPr>
          <w:spacing w:val="-3"/>
          <w:sz w:val="20"/>
        </w:rPr>
        <w:t> </w:t>
      </w:r>
      <w:r>
        <w:rPr>
          <w:sz w:val="20"/>
        </w:rPr>
        <w:t>caucho y curtido del cuero e industria química, resinas, personas trabajadoras de las fábricas de empaquetaduras, enceradores, lacas, pinturas, procesadores de aceites y grasas, resinas, tintorerías y lavanderías en seco.</w:t>
      </w:r>
    </w:p>
    <w:p>
      <w:pPr>
        <w:pStyle w:val="ListParagraph"/>
        <w:numPr>
          <w:ilvl w:val="2"/>
          <w:numId w:val="160"/>
        </w:numPr>
        <w:tabs>
          <w:tab w:pos="1045" w:val="left" w:leader="none"/>
          <w:tab w:pos="1058" w:val="left" w:leader="none"/>
        </w:tabs>
        <w:spacing w:line="240" w:lineRule="auto" w:before="227" w:after="0"/>
        <w:ind w:left="1058" w:right="34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236" w:val="left" w:leader="none"/>
          <w:tab w:pos="2175" w:val="left" w:leader="none"/>
          <w:tab w:pos="3096" w:val="left" w:leader="none"/>
          <w:tab w:pos="3637" w:val="left" w:leader="none"/>
          <w:tab w:pos="4956" w:val="left" w:leader="none"/>
          <w:tab w:pos="6129" w:val="left" w:leader="none"/>
          <w:tab w:pos="7649" w:val="left" w:leader="none"/>
          <w:tab w:pos="8690" w:val="left" w:leader="none"/>
          <w:tab w:pos="9143" w:val="left" w:leader="none"/>
        </w:tabs>
        <w:spacing w:line="240" w:lineRule="auto" w:before="229" w:after="0"/>
        <w:ind w:left="338" w:right="346" w:firstLine="288"/>
        <w:jc w:val="left"/>
      </w:pPr>
      <w:r>
        <w:rPr>
          <w:spacing w:val="-2"/>
        </w:rPr>
        <w:t>Efectos</w:t>
      </w:r>
      <w:r>
        <w:rPr/>
        <w:tab/>
      </w:r>
      <w:r>
        <w:rPr>
          <w:spacing w:val="-2"/>
        </w:rPr>
        <w:t>tóxicos</w:t>
      </w:r>
      <w:r>
        <w:rPr/>
        <w:tab/>
      </w:r>
      <w:r>
        <w:rPr>
          <w:spacing w:val="-4"/>
        </w:rPr>
        <w:t>por</w:t>
      </w:r>
      <w:r>
        <w:rPr/>
        <w:tab/>
      </w:r>
      <w:r>
        <w:rPr>
          <w:spacing w:val="-2"/>
        </w:rPr>
        <w:t>disolventes</w:t>
      </w:r>
      <w:r>
        <w:rPr/>
        <w:tab/>
      </w:r>
      <w:r>
        <w:rPr>
          <w:spacing w:val="-2"/>
        </w:rPr>
        <w:t>orgánicos</w:t>
      </w:r>
      <w:r>
        <w:rPr/>
        <w:tab/>
      </w:r>
      <w:r>
        <w:rPr>
          <w:spacing w:val="-2"/>
        </w:rPr>
        <w:t>halogenados:</w:t>
      </w:r>
      <w:r>
        <w:rPr/>
        <w:tab/>
      </w:r>
      <w:r>
        <w:rPr>
          <w:spacing w:val="-2"/>
        </w:rPr>
        <w:t>bromuro</w:t>
      </w:r>
      <w:r>
        <w:rPr/>
        <w:tab/>
      </w:r>
      <w:r>
        <w:rPr>
          <w:spacing w:val="-6"/>
        </w:rPr>
        <w:t>de</w:t>
      </w:r>
      <w:r>
        <w:rPr/>
        <w:tab/>
      </w:r>
      <w:r>
        <w:rPr>
          <w:spacing w:val="-2"/>
        </w:rPr>
        <w:t>metilo </w:t>
      </w:r>
      <w:r>
        <w:rPr/>
        <w:t>(bromometano) y derivados fluorados de hidrocarburos halogenados</w:t>
      </w:r>
    </w:p>
    <w:p>
      <w:pPr>
        <w:pStyle w:val="BodyText"/>
        <w:spacing w:before="1"/>
        <w:rPr>
          <w:rFonts w:ascii="Arial"/>
          <w:b/>
        </w:rPr>
      </w:pPr>
    </w:p>
    <w:p>
      <w:pPr>
        <w:pStyle w:val="BodyText"/>
        <w:ind w:left="626"/>
      </w:pPr>
      <w:r>
        <w:rPr/>
        <w:t>Código</w:t>
      </w:r>
      <w:r>
        <w:rPr>
          <w:spacing w:val="-8"/>
        </w:rPr>
        <w:t> </w:t>
      </w:r>
      <w:r>
        <w:rPr/>
        <w:t>CIE-11:</w:t>
      </w:r>
      <w:r>
        <w:rPr>
          <w:spacing w:val="-5"/>
        </w:rPr>
        <w:t> </w:t>
      </w:r>
      <w:r>
        <w:rPr/>
        <w:t>PB31,</w:t>
      </w:r>
      <w:r>
        <w:rPr>
          <w:spacing w:val="-5"/>
        </w:rPr>
        <w:t> </w:t>
      </w:r>
      <w:r>
        <w:rPr/>
        <w:t>PE91,</w:t>
      </w:r>
      <w:r>
        <w:rPr>
          <w:spacing w:val="-7"/>
        </w:rPr>
        <w:t> </w:t>
      </w:r>
      <w:r>
        <w:rPr/>
        <w:t>PH51,</w:t>
      </w:r>
      <w:r>
        <w:rPr>
          <w:spacing w:val="-6"/>
        </w:rPr>
        <w:t> </w:t>
      </w:r>
      <w:r>
        <w:rPr/>
        <w:t>PH55,</w:t>
      </w:r>
      <w:r>
        <w:rPr>
          <w:spacing w:val="-7"/>
        </w:rPr>
        <w:t> </w:t>
      </w:r>
      <w:r>
        <w:rPr>
          <w:spacing w:val="-2"/>
        </w:rPr>
        <w:t>XM0NK1</w:t>
      </w:r>
    </w:p>
    <w:p>
      <w:pPr>
        <w:pStyle w:val="ListParagraph"/>
        <w:numPr>
          <w:ilvl w:val="2"/>
          <w:numId w:val="160"/>
        </w:numPr>
        <w:tabs>
          <w:tab w:pos="1045" w:val="left" w:leader="none"/>
          <w:tab w:pos="1058" w:val="left" w:leader="none"/>
        </w:tabs>
        <w:spacing w:line="240" w:lineRule="auto" w:before="229" w:after="0"/>
        <w:ind w:left="1058" w:right="342" w:hanging="432"/>
        <w:jc w:val="both"/>
        <w:rPr>
          <w:sz w:val="20"/>
        </w:rPr>
      </w:pPr>
      <w:r>
        <w:rPr>
          <w:sz w:val="20"/>
        </w:rPr>
        <w:t>Personas trabajadoras que los utilizan como frigoríficos, fungicidas, insecticidas, preparación de extinguidores de incendios, fábricas de conservación de frutas y cereales, así como personas trabajadoras que laboran en las industrias de caucho, desinfección de suelos, aguas y piscinas, fábricas de alfombras y plásticos, fábricas de goma, industria del papel y textiles, industria fotográfica, refinerías de gasolinas, saneamiento ambiental, personas trabajadoras de</w:t>
      </w:r>
      <w:r>
        <w:rPr>
          <w:spacing w:val="40"/>
          <w:sz w:val="20"/>
        </w:rPr>
        <w:t> </w:t>
      </w:r>
      <w:r>
        <w:rPr>
          <w:sz w:val="20"/>
        </w:rPr>
        <w:t>laboratorios e invernaderos.</w:t>
      </w:r>
    </w:p>
    <w:p>
      <w:pPr>
        <w:pStyle w:val="ListParagraph"/>
        <w:numPr>
          <w:ilvl w:val="2"/>
          <w:numId w:val="160"/>
        </w:numPr>
        <w:tabs>
          <w:tab w:pos="1045" w:val="left" w:leader="none"/>
          <w:tab w:pos="1058" w:val="left" w:leader="none"/>
        </w:tabs>
        <w:spacing w:line="240" w:lineRule="auto" w:before="228" w:after="0"/>
        <w:ind w:left="1058" w:right="33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w:t>
      </w:r>
      <w:r>
        <w:rPr>
          <w:spacing w:val="36"/>
          <w:sz w:val="20"/>
        </w:rPr>
        <w:t> </w:t>
      </w:r>
      <w:r>
        <w:rPr>
          <w:sz w:val="20"/>
        </w:rPr>
        <w:t>de</w:t>
      </w:r>
      <w:r>
        <w:rPr>
          <w:spacing w:val="38"/>
          <w:sz w:val="20"/>
        </w:rPr>
        <w:t> </w:t>
      </w:r>
      <w:r>
        <w:rPr>
          <w:sz w:val="20"/>
        </w:rPr>
        <w:t>las</w:t>
      </w:r>
      <w:r>
        <w:rPr>
          <w:spacing w:val="37"/>
          <w:sz w:val="20"/>
        </w:rPr>
        <w:t> </w:t>
      </w:r>
      <w:r>
        <w:rPr>
          <w:sz w:val="20"/>
        </w:rPr>
        <w:t>Cédulas</w:t>
      </w:r>
      <w:r>
        <w:rPr>
          <w:spacing w:val="39"/>
          <w:sz w:val="20"/>
        </w:rPr>
        <w:t> </w:t>
      </w:r>
      <w:r>
        <w:rPr>
          <w:sz w:val="20"/>
        </w:rPr>
        <w:t>para</w:t>
      </w:r>
      <w:r>
        <w:rPr>
          <w:spacing w:val="36"/>
          <w:sz w:val="20"/>
        </w:rPr>
        <w:t> </w:t>
      </w:r>
      <w:r>
        <w:rPr>
          <w:sz w:val="20"/>
        </w:rPr>
        <w:t>la</w:t>
      </w:r>
      <w:r>
        <w:rPr>
          <w:spacing w:val="36"/>
          <w:sz w:val="20"/>
        </w:rPr>
        <w:t> </w:t>
      </w:r>
      <w:r>
        <w:rPr>
          <w:sz w:val="20"/>
        </w:rPr>
        <w:t>Valuación</w:t>
      </w:r>
      <w:r>
        <w:rPr>
          <w:spacing w:val="36"/>
          <w:sz w:val="20"/>
        </w:rPr>
        <w:t> </w:t>
      </w:r>
      <w:r>
        <w:rPr>
          <w:sz w:val="20"/>
        </w:rPr>
        <w:t>de</w:t>
      </w:r>
      <w:r>
        <w:rPr>
          <w:spacing w:val="36"/>
          <w:sz w:val="20"/>
        </w:rPr>
        <w:t> </w:t>
      </w:r>
      <w:r>
        <w:rPr>
          <w:sz w:val="20"/>
        </w:rPr>
        <w:t>las</w:t>
      </w:r>
      <w:r>
        <w:rPr>
          <w:spacing w:val="39"/>
          <w:sz w:val="20"/>
        </w:rPr>
        <w:t> </w:t>
      </w:r>
      <w:r>
        <w:rPr>
          <w:sz w:val="20"/>
        </w:rPr>
        <w:t>Enfermedades</w:t>
      </w:r>
      <w:r>
        <w:rPr>
          <w:spacing w:val="37"/>
          <w:sz w:val="20"/>
        </w:rPr>
        <w:t> </w:t>
      </w:r>
      <w:r>
        <w:rPr>
          <w:sz w:val="20"/>
        </w:rPr>
        <w:t>de</w:t>
      </w:r>
      <w:r>
        <w:rPr>
          <w:spacing w:val="35"/>
          <w:sz w:val="20"/>
        </w:rPr>
        <w:t> </w:t>
      </w:r>
      <w:r>
        <w:rPr>
          <w:sz w:val="20"/>
        </w:rPr>
        <w:t>Trabajo,</w:t>
      </w:r>
      <w:r>
        <w:rPr>
          <w:spacing w:val="38"/>
          <w:sz w:val="20"/>
        </w:rPr>
        <w:t> </w:t>
      </w:r>
      <w:r>
        <w:rPr>
          <w:sz w:val="20"/>
        </w:rPr>
        <w:t>que</w:t>
      </w:r>
      <w:r>
        <w:rPr>
          <w:spacing w:val="36"/>
          <w:sz w:val="20"/>
        </w:rPr>
        <w:t> </w:t>
      </w:r>
      <w:r>
        <w:rPr>
          <w:sz w:val="20"/>
        </w:rPr>
        <w:t>tengan</w:t>
      </w:r>
      <w:r>
        <w:rPr>
          <w:spacing w:val="35"/>
          <w:sz w:val="20"/>
        </w:rPr>
        <w:t> </w:t>
      </w:r>
      <w:r>
        <w:rPr>
          <w:sz w:val="20"/>
        </w:rPr>
        <w:t>su</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058"/>
      </w:pPr>
      <w:r>
        <w:rPr/>
        <w:t>origen</w:t>
      </w:r>
      <w:r>
        <w:rPr>
          <w:spacing w:val="32"/>
        </w:rPr>
        <w:t> </w:t>
      </w:r>
      <w:r>
        <w:rPr/>
        <w:t>o</w:t>
      </w:r>
      <w:r>
        <w:rPr>
          <w:spacing w:val="34"/>
        </w:rPr>
        <w:t> </w:t>
      </w:r>
      <w:r>
        <w:rPr/>
        <w:t>con</w:t>
      </w:r>
      <w:r>
        <w:rPr>
          <w:spacing w:val="34"/>
        </w:rPr>
        <w:t> </w:t>
      </w:r>
      <w:r>
        <w:rPr/>
        <w:t>motivo</w:t>
      </w:r>
      <w:r>
        <w:rPr>
          <w:spacing w:val="34"/>
        </w:rPr>
        <w:t> </w:t>
      </w:r>
      <w:r>
        <w:rPr/>
        <w:t>del</w:t>
      </w:r>
      <w:r>
        <w:rPr>
          <w:spacing w:val="31"/>
        </w:rPr>
        <w:t> </w:t>
      </w:r>
      <w:r>
        <w:rPr/>
        <w:t>trabajo</w:t>
      </w:r>
      <w:r>
        <w:rPr>
          <w:spacing w:val="34"/>
        </w:rPr>
        <w:t> </w:t>
      </w:r>
      <w:r>
        <w:rPr/>
        <w:t>o</w:t>
      </w:r>
      <w:r>
        <w:rPr>
          <w:spacing w:val="32"/>
        </w:rPr>
        <w:t> </w:t>
      </w:r>
      <w:r>
        <w:rPr/>
        <w:t>en</w:t>
      </w:r>
      <w:r>
        <w:rPr>
          <w:spacing w:val="34"/>
        </w:rPr>
        <w:t> </w:t>
      </w:r>
      <w:r>
        <w:rPr/>
        <w:t>el</w:t>
      </w:r>
      <w:r>
        <w:rPr>
          <w:spacing w:val="33"/>
        </w:rPr>
        <w:t> </w:t>
      </w:r>
      <w:r>
        <w:rPr/>
        <w:t>medio</w:t>
      </w:r>
      <w:r>
        <w:rPr>
          <w:spacing w:val="32"/>
        </w:rPr>
        <w:t> </w:t>
      </w:r>
      <w:r>
        <w:rPr/>
        <w:t>que</w:t>
      </w:r>
      <w:r>
        <w:rPr>
          <w:spacing w:val="34"/>
        </w:rPr>
        <w:t> </w:t>
      </w:r>
      <w:r>
        <w:rPr/>
        <w:t>la</w:t>
      </w:r>
      <w:r>
        <w:rPr>
          <w:spacing w:val="32"/>
        </w:rPr>
        <w:t> </w:t>
      </w:r>
      <w:r>
        <w:rPr/>
        <w:t>persona</w:t>
      </w:r>
      <w:r>
        <w:rPr>
          <w:spacing w:val="34"/>
        </w:rPr>
        <w:t> </w:t>
      </w:r>
      <w:r>
        <w:rPr/>
        <w:t>trabajadora</w:t>
      </w:r>
      <w:r>
        <w:rPr>
          <w:spacing w:val="32"/>
        </w:rPr>
        <w:t> </w:t>
      </w:r>
      <w:r>
        <w:rPr/>
        <w:t>se</w:t>
      </w:r>
      <w:r>
        <w:rPr>
          <w:spacing w:val="37"/>
        </w:rPr>
        <w:t> </w:t>
      </w:r>
      <w:r>
        <w:rPr/>
        <w:t>vea</w:t>
      </w:r>
      <w:r>
        <w:rPr>
          <w:spacing w:val="34"/>
        </w:rPr>
        <w:t> </w:t>
      </w:r>
      <w:r>
        <w:rPr/>
        <w:t>obligada</w:t>
      </w:r>
      <w:r>
        <w:rPr>
          <w:spacing w:val="34"/>
        </w:rPr>
        <w:t> </w:t>
      </w:r>
      <w:r>
        <w:rPr/>
        <w:t>a prestar sus servicios.</w:t>
      </w:r>
    </w:p>
    <w:p>
      <w:pPr>
        <w:pStyle w:val="Heading3"/>
        <w:numPr>
          <w:ilvl w:val="1"/>
          <w:numId w:val="160"/>
        </w:numPr>
        <w:tabs>
          <w:tab w:pos="1069" w:val="left" w:leader="none"/>
        </w:tabs>
        <w:spacing w:line="240" w:lineRule="auto" w:before="229" w:after="0"/>
        <w:ind w:left="1069" w:right="0" w:hanging="443"/>
        <w:jc w:val="left"/>
      </w:pPr>
      <w:r>
        <w:rPr/>
        <w:t>Efectos</w:t>
      </w:r>
      <w:r>
        <w:rPr>
          <w:spacing w:val="-9"/>
        </w:rPr>
        <w:t> </w:t>
      </w:r>
      <w:r>
        <w:rPr/>
        <w:t>tóxicos</w:t>
      </w:r>
      <w:r>
        <w:rPr>
          <w:spacing w:val="-10"/>
        </w:rPr>
        <w:t> </w:t>
      </w:r>
      <w:r>
        <w:rPr/>
        <w:t>por</w:t>
      </w:r>
      <w:r>
        <w:rPr>
          <w:spacing w:val="-8"/>
        </w:rPr>
        <w:t> </w:t>
      </w:r>
      <w:r>
        <w:rPr/>
        <w:t>disolventes</w:t>
      </w:r>
      <w:r>
        <w:rPr>
          <w:spacing w:val="-11"/>
        </w:rPr>
        <w:t> </w:t>
      </w:r>
      <w:r>
        <w:rPr/>
        <w:t>orgánicos</w:t>
      </w:r>
      <w:r>
        <w:rPr>
          <w:spacing w:val="-10"/>
        </w:rPr>
        <w:t> </w:t>
      </w:r>
      <w:r>
        <w:rPr/>
        <w:t>halogenados:</w:t>
      </w:r>
      <w:r>
        <w:rPr>
          <w:spacing w:val="-11"/>
        </w:rPr>
        <w:t> </w:t>
      </w:r>
      <w:r>
        <w:rPr>
          <w:spacing w:val="-2"/>
        </w:rPr>
        <w:t>cloroformo</w:t>
      </w:r>
    </w:p>
    <w:p>
      <w:pPr>
        <w:pStyle w:val="BodyText"/>
        <w:spacing w:before="3"/>
        <w:rPr>
          <w:rFonts w:ascii="Arial"/>
          <w:b/>
        </w:rPr>
      </w:pPr>
    </w:p>
    <w:p>
      <w:pPr>
        <w:pStyle w:val="BodyText"/>
        <w:ind w:left="626"/>
      </w:pPr>
      <w:r>
        <w:rPr/>
        <w:t>Código</w:t>
      </w:r>
      <w:r>
        <w:rPr>
          <w:spacing w:val="-9"/>
        </w:rPr>
        <w:t> </w:t>
      </w:r>
      <w:r>
        <w:rPr/>
        <w:t>CIE-11:</w:t>
      </w:r>
      <w:r>
        <w:rPr>
          <w:spacing w:val="-5"/>
        </w:rPr>
        <w:t> </w:t>
      </w:r>
      <w:r>
        <w:rPr/>
        <w:t>PB35,</w:t>
      </w:r>
      <w:r>
        <w:rPr>
          <w:spacing w:val="-5"/>
        </w:rPr>
        <w:t> </w:t>
      </w:r>
      <w:r>
        <w:rPr/>
        <w:t>PH55,</w:t>
      </w:r>
      <w:r>
        <w:rPr>
          <w:spacing w:val="-8"/>
        </w:rPr>
        <w:t> </w:t>
      </w:r>
      <w:r>
        <w:rPr>
          <w:spacing w:val="-2"/>
        </w:rPr>
        <w:t>XM7MX5</w:t>
      </w:r>
    </w:p>
    <w:p>
      <w:pPr>
        <w:pStyle w:val="ListParagraph"/>
        <w:numPr>
          <w:ilvl w:val="2"/>
          <w:numId w:val="160"/>
        </w:numPr>
        <w:tabs>
          <w:tab w:pos="1045" w:val="left" w:leader="none"/>
          <w:tab w:pos="1058" w:val="left" w:leader="none"/>
        </w:tabs>
        <w:spacing w:line="240" w:lineRule="auto" w:before="227" w:after="0"/>
        <w:ind w:left="1058" w:right="340" w:hanging="432"/>
        <w:jc w:val="both"/>
        <w:rPr>
          <w:sz w:val="20"/>
        </w:rPr>
      </w:pPr>
      <w:r>
        <w:rPr>
          <w:sz w:val="20"/>
        </w:rPr>
        <w:t>Personas trabajadoras que manipulan estas substancias como disolventes, fumigantes, refrigerantes, extinguidores de incendios, tintorerías y lavado en seco, personas trabajadoras de la industria química en donde es utilizado como intermediario en síntesis orgánica para la obtención de fluorocarbono 22, y en la fabricación de tetrafluoroetileno y su polímero (PTFE).</w:t>
      </w:r>
    </w:p>
    <w:p>
      <w:pPr>
        <w:pStyle w:val="BodyText"/>
      </w:pPr>
    </w:p>
    <w:p>
      <w:pPr>
        <w:pStyle w:val="ListParagraph"/>
        <w:numPr>
          <w:ilvl w:val="2"/>
          <w:numId w:val="160"/>
        </w:numPr>
        <w:tabs>
          <w:tab w:pos="1045" w:val="left" w:leader="none"/>
          <w:tab w:pos="1058" w:val="left" w:leader="none"/>
        </w:tabs>
        <w:spacing w:line="240" w:lineRule="auto" w:before="0" w:after="0"/>
        <w:ind w:left="1058" w:right="343"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9" w:after="0"/>
        <w:ind w:left="1069" w:right="0" w:hanging="443"/>
        <w:jc w:val="left"/>
      </w:pPr>
      <w:r>
        <w:rPr/>
        <w:t>Efectos</w:t>
      </w:r>
      <w:r>
        <w:rPr>
          <w:spacing w:val="-9"/>
        </w:rPr>
        <w:t> </w:t>
      </w:r>
      <w:r>
        <w:rPr/>
        <w:t>tóxicos</w:t>
      </w:r>
      <w:r>
        <w:rPr>
          <w:spacing w:val="-9"/>
        </w:rPr>
        <w:t> </w:t>
      </w:r>
      <w:r>
        <w:rPr/>
        <w:t>por</w:t>
      </w:r>
      <w:r>
        <w:rPr>
          <w:spacing w:val="-8"/>
        </w:rPr>
        <w:t> </w:t>
      </w:r>
      <w:r>
        <w:rPr/>
        <w:t>disolventes</w:t>
      </w:r>
      <w:r>
        <w:rPr>
          <w:spacing w:val="-11"/>
        </w:rPr>
        <w:t> </w:t>
      </w:r>
      <w:r>
        <w:rPr/>
        <w:t>orgánicos</w:t>
      </w:r>
      <w:r>
        <w:rPr>
          <w:spacing w:val="-9"/>
        </w:rPr>
        <w:t> </w:t>
      </w:r>
      <w:r>
        <w:rPr/>
        <w:t>halogenados:</w:t>
      </w:r>
      <w:r>
        <w:rPr>
          <w:spacing w:val="-10"/>
        </w:rPr>
        <w:t> </w:t>
      </w:r>
      <w:r>
        <w:rPr/>
        <w:t>tetracloruro</w:t>
      </w:r>
      <w:r>
        <w:rPr>
          <w:spacing w:val="-7"/>
        </w:rPr>
        <w:t> </w:t>
      </w:r>
      <w:r>
        <w:rPr/>
        <w:t>de</w:t>
      </w:r>
      <w:r>
        <w:rPr>
          <w:spacing w:val="-10"/>
        </w:rPr>
        <w:t> </w:t>
      </w:r>
      <w:r>
        <w:rPr>
          <w:spacing w:val="-2"/>
        </w:rPr>
        <w:t>carbono</w:t>
      </w:r>
    </w:p>
    <w:p>
      <w:pPr>
        <w:pStyle w:val="BodyText"/>
        <w:rPr>
          <w:rFonts w:ascii="Arial"/>
          <w:b/>
        </w:rPr>
      </w:pPr>
    </w:p>
    <w:p>
      <w:pPr>
        <w:pStyle w:val="BodyText"/>
        <w:ind w:left="626"/>
      </w:pPr>
      <w:r>
        <w:rPr/>
        <w:t>Código</w:t>
      </w:r>
      <w:r>
        <w:rPr>
          <w:spacing w:val="-9"/>
        </w:rPr>
        <w:t> </w:t>
      </w:r>
      <w:r>
        <w:rPr/>
        <w:t>CIE-11:</w:t>
      </w:r>
      <w:r>
        <w:rPr>
          <w:spacing w:val="-5"/>
        </w:rPr>
        <w:t> </w:t>
      </w:r>
      <w:r>
        <w:rPr/>
        <w:t>PB35,</w:t>
      </w:r>
      <w:r>
        <w:rPr>
          <w:spacing w:val="-6"/>
        </w:rPr>
        <w:t> </w:t>
      </w:r>
      <w:r>
        <w:rPr/>
        <w:t>PH55,</w:t>
      </w:r>
      <w:r>
        <w:rPr>
          <w:spacing w:val="-8"/>
        </w:rPr>
        <w:t> </w:t>
      </w:r>
      <w:r>
        <w:rPr>
          <w:spacing w:val="-2"/>
        </w:rPr>
        <w:t>XM3CP7</w:t>
      </w:r>
    </w:p>
    <w:p>
      <w:pPr>
        <w:pStyle w:val="BodyText"/>
      </w:pPr>
    </w:p>
    <w:p>
      <w:pPr>
        <w:pStyle w:val="ListParagraph"/>
        <w:numPr>
          <w:ilvl w:val="2"/>
          <w:numId w:val="160"/>
        </w:numPr>
        <w:tabs>
          <w:tab w:pos="1045" w:val="left" w:leader="none"/>
          <w:tab w:pos="1058" w:val="left" w:leader="none"/>
        </w:tabs>
        <w:spacing w:line="240" w:lineRule="auto" w:before="0" w:after="0"/>
        <w:ind w:left="1058" w:right="342" w:hanging="432"/>
        <w:jc w:val="both"/>
        <w:rPr>
          <w:sz w:val="20"/>
        </w:rPr>
      </w:pPr>
      <w:r>
        <w:rPr>
          <w:sz w:val="20"/>
        </w:rPr>
        <w:t>Personas trabajadoras que manipulan estas substancias como disolventes, extinguidores de incendios, fumigantes, limpiadores y desgrasantes de metales, refrigerantes, tintorerías y lavado en seco, de las personas trabajadoras de la industria eléctrica y fabricación de conductores eléctricos, personas trabajadoras de la industria química en donde es utilizado como</w:t>
      </w:r>
      <w:r>
        <w:rPr>
          <w:spacing w:val="40"/>
          <w:sz w:val="20"/>
        </w:rPr>
        <w:t> </w:t>
      </w:r>
      <w:r>
        <w:rPr>
          <w:sz w:val="20"/>
        </w:rPr>
        <w:t>intermediario en síntesis orgánica para la obtención de hidrocarburos polifluorados y polímeros.</w:t>
      </w:r>
    </w:p>
    <w:p>
      <w:pPr>
        <w:pStyle w:val="ListParagraph"/>
        <w:numPr>
          <w:ilvl w:val="2"/>
          <w:numId w:val="160"/>
        </w:numPr>
        <w:tabs>
          <w:tab w:pos="1045" w:val="left" w:leader="none"/>
          <w:tab w:pos="1058" w:val="left" w:leader="none"/>
        </w:tabs>
        <w:spacing w:line="240" w:lineRule="auto" w:before="230" w:after="0"/>
        <w:ind w:left="1058" w:right="336"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90" w:val="left" w:leader="none"/>
        </w:tabs>
        <w:spacing w:line="240" w:lineRule="auto" w:before="226" w:after="0"/>
        <w:ind w:left="338" w:right="343" w:firstLine="288"/>
        <w:jc w:val="left"/>
      </w:pPr>
      <w:r>
        <w:rPr/>
        <w:t>Efectos tóxicos por diuréticos, otras drogas, medicamentos y substancias biológicas no </w:t>
      </w:r>
      <w:r>
        <w:rPr>
          <w:spacing w:val="-2"/>
        </w:rPr>
        <w:t>especificadas</w:t>
      </w:r>
    </w:p>
    <w:p>
      <w:pPr>
        <w:pStyle w:val="BodyText"/>
        <w:spacing w:before="1"/>
        <w:rPr>
          <w:rFonts w:ascii="Arial"/>
          <w:b/>
        </w:rPr>
      </w:pPr>
    </w:p>
    <w:p>
      <w:pPr>
        <w:pStyle w:val="BodyText"/>
        <w:ind w:left="626"/>
      </w:pPr>
      <w:r>
        <w:rPr/>
        <w:t>Código</w:t>
      </w:r>
      <w:r>
        <w:rPr>
          <w:spacing w:val="-8"/>
        </w:rPr>
        <w:t> </w:t>
      </w:r>
      <w:r>
        <w:rPr/>
        <w:t>CIE-11:</w:t>
      </w:r>
      <w:r>
        <w:rPr>
          <w:spacing w:val="-8"/>
        </w:rPr>
        <w:t> </w:t>
      </w:r>
      <w:r>
        <w:rPr/>
        <w:t>NE60,</w:t>
      </w:r>
      <w:r>
        <w:rPr>
          <w:spacing w:val="-7"/>
        </w:rPr>
        <w:t> </w:t>
      </w:r>
      <w:r>
        <w:rPr/>
        <w:t>PB28,</w:t>
      </w:r>
      <w:r>
        <w:rPr>
          <w:spacing w:val="-7"/>
        </w:rPr>
        <w:t> </w:t>
      </w:r>
      <w:r>
        <w:rPr/>
        <w:t>XM4U75,</w:t>
      </w:r>
      <w:r>
        <w:rPr>
          <w:spacing w:val="-7"/>
        </w:rPr>
        <w:t> </w:t>
      </w:r>
      <w:r>
        <w:rPr>
          <w:spacing w:val="-2"/>
        </w:rPr>
        <w:t>XM2NF0</w:t>
      </w:r>
    </w:p>
    <w:p>
      <w:pPr>
        <w:pStyle w:val="ListParagraph"/>
        <w:numPr>
          <w:ilvl w:val="2"/>
          <w:numId w:val="160"/>
        </w:numPr>
        <w:tabs>
          <w:tab w:pos="1045" w:val="left" w:leader="none"/>
          <w:tab w:pos="1058" w:val="left" w:leader="none"/>
        </w:tabs>
        <w:spacing w:line="240" w:lineRule="auto" w:before="229" w:after="0"/>
        <w:ind w:left="1058" w:right="344" w:hanging="432"/>
        <w:jc w:val="both"/>
        <w:rPr>
          <w:sz w:val="20"/>
        </w:rPr>
      </w:pPr>
      <w:r>
        <w:rPr>
          <w:sz w:val="20"/>
        </w:rPr>
        <w:t>Personas trabajadoras encargadas de la fabricación, formulación y empaque de estas substancias en la industria químico-farmacéutica.</w:t>
      </w:r>
    </w:p>
    <w:p>
      <w:pPr>
        <w:pStyle w:val="ListParagraph"/>
        <w:numPr>
          <w:ilvl w:val="2"/>
          <w:numId w:val="160"/>
        </w:numPr>
        <w:tabs>
          <w:tab w:pos="1045" w:val="left" w:leader="none"/>
          <w:tab w:pos="1058" w:val="left" w:leader="none"/>
        </w:tabs>
        <w:spacing w:line="240" w:lineRule="auto" w:before="229" w:after="0"/>
        <w:ind w:left="1058" w:right="33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w:t>
      </w:r>
      <w:r>
        <w:rPr>
          <w:spacing w:val="40"/>
          <w:sz w:val="20"/>
        </w:rPr>
        <w:t> </w:t>
      </w:r>
      <w:r>
        <w:rPr>
          <w:sz w:val="20"/>
        </w:rPr>
        <w:t>origen o con motivo del trabajo o en el medio que la persona trabajadora se vea obligada a prestar sus servicios.</w:t>
      </w:r>
    </w:p>
    <w:p>
      <w:pPr>
        <w:pStyle w:val="Heading3"/>
        <w:numPr>
          <w:ilvl w:val="1"/>
          <w:numId w:val="160"/>
        </w:numPr>
        <w:tabs>
          <w:tab w:pos="1069" w:val="left" w:leader="none"/>
        </w:tabs>
        <w:spacing w:line="240" w:lineRule="auto" w:before="229" w:after="0"/>
        <w:ind w:left="1069" w:right="0" w:hanging="443"/>
        <w:jc w:val="left"/>
      </w:pPr>
      <w:r>
        <w:rPr/>
        <w:t>Efectos</w:t>
      </w:r>
      <w:r>
        <w:rPr>
          <w:spacing w:val="-4"/>
        </w:rPr>
        <w:t> </w:t>
      </w:r>
      <w:r>
        <w:rPr/>
        <w:t>tóxicos</w:t>
      </w:r>
      <w:r>
        <w:rPr>
          <w:spacing w:val="-6"/>
        </w:rPr>
        <w:t> </w:t>
      </w:r>
      <w:r>
        <w:rPr/>
        <w:t>por</w:t>
      </w:r>
      <w:r>
        <w:rPr>
          <w:spacing w:val="-5"/>
        </w:rPr>
        <w:t> </w:t>
      </w:r>
      <w:r>
        <w:rPr/>
        <w:t>fósforo</w:t>
      </w:r>
      <w:r>
        <w:rPr>
          <w:spacing w:val="-3"/>
        </w:rPr>
        <w:t> </w:t>
      </w:r>
      <w:r>
        <w:rPr/>
        <w:t>y</w:t>
      </w:r>
      <w:r>
        <w:rPr>
          <w:spacing w:val="-8"/>
        </w:rPr>
        <w:t> </w:t>
      </w:r>
      <w:r>
        <w:rPr/>
        <w:t>sus</w:t>
      </w:r>
      <w:r>
        <w:rPr>
          <w:spacing w:val="-5"/>
        </w:rPr>
        <w:t> </w:t>
      </w:r>
      <w:r>
        <w:rPr>
          <w:spacing w:val="-2"/>
        </w:rPr>
        <w:t>compuestos</w:t>
      </w:r>
    </w:p>
    <w:p>
      <w:pPr>
        <w:pStyle w:val="BodyText"/>
        <w:rPr>
          <w:rFonts w:ascii="Arial"/>
          <w:b/>
        </w:rPr>
      </w:pPr>
    </w:p>
    <w:p>
      <w:pPr>
        <w:pStyle w:val="BodyText"/>
        <w:ind w:left="626"/>
      </w:pPr>
      <w:r>
        <w:rPr/>
        <w:t>Código</w:t>
      </w:r>
      <w:r>
        <w:rPr>
          <w:spacing w:val="-9"/>
        </w:rPr>
        <w:t> </w:t>
      </w:r>
      <w:r>
        <w:rPr/>
        <w:t>CIE-11:</w:t>
      </w:r>
      <w:r>
        <w:rPr>
          <w:spacing w:val="-5"/>
        </w:rPr>
        <w:t> </w:t>
      </w:r>
      <w:r>
        <w:rPr/>
        <w:t>PE95,</w:t>
      </w:r>
      <w:r>
        <w:rPr>
          <w:spacing w:val="-6"/>
        </w:rPr>
        <w:t> </w:t>
      </w:r>
      <w:r>
        <w:rPr/>
        <w:t>PB36,</w:t>
      </w:r>
      <w:r>
        <w:rPr>
          <w:spacing w:val="-7"/>
        </w:rPr>
        <w:t> </w:t>
      </w:r>
      <w:r>
        <w:rPr/>
        <w:t>PH56,</w:t>
      </w:r>
      <w:r>
        <w:rPr>
          <w:spacing w:val="-7"/>
        </w:rPr>
        <w:t> </w:t>
      </w:r>
      <w:r>
        <w:rPr/>
        <w:t>XM2AZ6,</w:t>
      </w:r>
      <w:r>
        <w:rPr>
          <w:spacing w:val="-7"/>
        </w:rPr>
        <w:t> </w:t>
      </w:r>
      <w:r>
        <w:rPr>
          <w:spacing w:val="-2"/>
        </w:rPr>
        <w:t>XM3G46</w:t>
      </w:r>
    </w:p>
    <w:p>
      <w:pPr>
        <w:pStyle w:val="BodyText"/>
        <w:spacing w:after="0"/>
        <w:sectPr>
          <w:pgSz w:w="12240" w:h="15840"/>
          <w:pgMar w:header="724" w:footer="712" w:top="1880" w:bottom="900" w:left="1080" w:right="1080"/>
        </w:sectPr>
      </w:pPr>
    </w:p>
    <w:p>
      <w:pPr>
        <w:pStyle w:val="BodyText"/>
        <w:spacing w:before="66"/>
      </w:pPr>
    </w:p>
    <w:p>
      <w:pPr>
        <w:pStyle w:val="ListParagraph"/>
        <w:numPr>
          <w:ilvl w:val="2"/>
          <w:numId w:val="160"/>
        </w:numPr>
        <w:tabs>
          <w:tab w:pos="1045" w:val="left" w:leader="none"/>
          <w:tab w:pos="1058" w:val="left" w:leader="none"/>
        </w:tabs>
        <w:spacing w:line="240" w:lineRule="auto" w:before="0" w:after="0"/>
        <w:ind w:left="1058" w:right="341" w:hanging="432"/>
        <w:jc w:val="both"/>
        <w:rPr>
          <w:sz w:val="20"/>
        </w:rPr>
      </w:pPr>
      <w:r>
        <w:rPr>
          <w:sz w:val="20"/>
        </w:rPr>
        <w:t>Personas trabajadoras en contacto con hidrógeno fosforado (fosfina), gases que se producen durante la elaboración de fumigantes, en la generación de acetilenos e hidrólisis de fosfuros.</w:t>
      </w:r>
    </w:p>
    <w:p>
      <w:pPr>
        <w:pStyle w:val="ListParagraph"/>
        <w:numPr>
          <w:ilvl w:val="2"/>
          <w:numId w:val="160"/>
        </w:numPr>
        <w:tabs>
          <w:tab w:pos="1045" w:val="left" w:leader="none"/>
          <w:tab w:pos="1058" w:val="left" w:leader="none"/>
        </w:tabs>
        <w:spacing w:line="240" w:lineRule="auto" w:before="228" w:after="0"/>
        <w:ind w:left="1058" w:right="342" w:hanging="432"/>
        <w:jc w:val="both"/>
        <w:rPr>
          <w:sz w:val="20"/>
        </w:rPr>
      </w:pPr>
      <w:r>
        <w:rPr>
          <w:sz w:val="20"/>
        </w:rPr>
        <w:t>Personas trabajadoras de la fabricación de aleaciones, catálisis en la industria del petróleo, compuestos fosforados o derivados del fósforo blanco, fabricación de bronce de fósforo, fabricación de explosivos, fabricación de semiconductores, hidrógeno fosforado, insecticidas, parasiticidas, pirotecnia y raticidas.</w:t>
      </w:r>
    </w:p>
    <w:p>
      <w:pPr>
        <w:pStyle w:val="ListParagraph"/>
        <w:numPr>
          <w:ilvl w:val="2"/>
          <w:numId w:val="160"/>
        </w:numPr>
        <w:tabs>
          <w:tab w:pos="1045" w:val="left" w:leader="none"/>
          <w:tab w:pos="1058" w:val="left" w:leader="none"/>
        </w:tabs>
        <w:spacing w:line="240" w:lineRule="auto" w:before="227" w:after="0"/>
        <w:ind w:left="1058" w:right="340"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9" w:after="0"/>
        <w:ind w:left="1069" w:right="0" w:hanging="443"/>
        <w:jc w:val="left"/>
      </w:pPr>
      <w:r>
        <w:rPr/>
        <w:t>Efectos</w:t>
      </w:r>
      <w:r>
        <w:rPr>
          <w:spacing w:val="-5"/>
        </w:rPr>
        <w:t> </w:t>
      </w:r>
      <w:r>
        <w:rPr/>
        <w:t>tóxicos</w:t>
      </w:r>
      <w:r>
        <w:rPr>
          <w:spacing w:val="-7"/>
        </w:rPr>
        <w:t> </w:t>
      </w:r>
      <w:r>
        <w:rPr/>
        <w:t>por</w:t>
      </w:r>
      <w:r>
        <w:rPr>
          <w:spacing w:val="-5"/>
        </w:rPr>
        <w:t> </w:t>
      </w:r>
      <w:r>
        <w:rPr/>
        <w:t>gases,</w:t>
      </w:r>
      <w:r>
        <w:rPr>
          <w:spacing w:val="-4"/>
        </w:rPr>
        <w:t> </w:t>
      </w:r>
      <w:r>
        <w:rPr/>
        <w:t>humos</w:t>
      </w:r>
      <w:r>
        <w:rPr>
          <w:spacing w:val="-5"/>
        </w:rPr>
        <w:t> </w:t>
      </w:r>
      <w:r>
        <w:rPr/>
        <w:t>y</w:t>
      </w:r>
      <w:r>
        <w:rPr>
          <w:spacing w:val="-9"/>
        </w:rPr>
        <w:t> </w:t>
      </w:r>
      <w:r>
        <w:rPr/>
        <w:t>vapores</w:t>
      </w:r>
      <w:r>
        <w:rPr>
          <w:spacing w:val="-5"/>
        </w:rPr>
        <w:t> </w:t>
      </w:r>
      <w:r>
        <w:rPr/>
        <w:t>de</w:t>
      </w:r>
      <w:r>
        <w:rPr>
          <w:spacing w:val="-7"/>
        </w:rPr>
        <w:t> </w:t>
      </w:r>
      <w:r>
        <w:rPr>
          <w:spacing w:val="-2"/>
        </w:rPr>
        <w:t>formaldehído</w:t>
      </w:r>
    </w:p>
    <w:p>
      <w:pPr>
        <w:pStyle w:val="BodyText"/>
        <w:spacing w:before="1"/>
        <w:rPr>
          <w:rFonts w:ascii="Arial"/>
          <w:b/>
        </w:rPr>
      </w:pPr>
    </w:p>
    <w:p>
      <w:pPr>
        <w:pStyle w:val="BodyText"/>
        <w:ind w:left="626"/>
      </w:pPr>
      <w:r>
        <w:rPr/>
        <w:t>Código</w:t>
      </w:r>
      <w:r>
        <w:rPr>
          <w:spacing w:val="-9"/>
        </w:rPr>
        <w:t> </w:t>
      </w:r>
      <w:r>
        <w:rPr/>
        <w:t>CIE-11:</w:t>
      </w:r>
      <w:r>
        <w:rPr>
          <w:spacing w:val="-5"/>
        </w:rPr>
        <w:t> </w:t>
      </w:r>
      <w:r>
        <w:rPr/>
        <w:t>PB36,</w:t>
      </w:r>
      <w:r>
        <w:rPr>
          <w:spacing w:val="-6"/>
        </w:rPr>
        <w:t> </w:t>
      </w:r>
      <w:r>
        <w:rPr/>
        <w:t>PE95,</w:t>
      </w:r>
      <w:r>
        <w:rPr>
          <w:spacing w:val="-7"/>
        </w:rPr>
        <w:t> </w:t>
      </w:r>
      <w:r>
        <w:rPr/>
        <w:t>PH56,</w:t>
      </w:r>
      <w:r>
        <w:rPr>
          <w:spacing w:val="-7"/>
        </w:rPr>
        <w:t> </w:t>
      </w:r>
      <w:r>
        <w:rPr>
          <w:spacing w:val="-2"/>
        </w:rPr>
        <w:t>XM0TV9</w:t>
      </w:r>
    </w:p>
    <w:p>
      <w:pPr>
        <w:pStyle w:val="ListParagraph"/>
        <w:numPr>
          <w:ilvl w:val="2"/>
          <w:numId w:val="160"/>
        </w:numPr>
        <w:tabs>
          <w:tab w:pos="1045" w:val="left" w:leader="none"/>
          <w:tab w:pos="1058" w:val="left" w:leader="none"/>
        </w:tabs>
        <w:spacing w:line="240" w:lineRule="auto" w:before="229" w:after="0"/>
        <w:ind w:left="1058" w:right="340" w:hanging="432"/>
        <w:jc w:val="both"/>
        <w:rPr>
          <w:sz w:val="20"/>
        </w:rPr>
      </w:pPr>
      <w:r>
        <w:rPr>
          <w:sz w:val="20"/>
        </w:rPr>
        <w:t>Personas trabajadoras en</w:t>
      </w:r>
      <w:r>
        <w:rPr>
          <w:spacing w:val="-1"/>
          <w:sz w:val="20"/>
        </w:rPr>
        <w:t> </w:t>
      </w:r>
      <w:r>
        <w:rPr>
          <w:sz w:val="20"/>
        </w:rPr>
        <w:t>contacto</w:t>
      </w:r>
      <w:r>
        <w:rPr>
          <w:spacing w:val="-1"/>
          <w:sz w:val="20"/>
        </w:rPr>
        <w:t> </w:t>
      </w:r>
      <w:r>
        <w:rPr>
          <w:sz w:val="20"/>
        </w:rPr>
        <w:t>con</w:t>
      </w:r>
      <w:r>
        <w:rPr>
          <w:spacing w:val="-1"/>
          <w:sz w:val="20"/>
        </w:rPr>
        <w:t> </w:t>
      </w:r>
      <w:r>
        <w:rPr>
          <w:sz w:val="20"/>
        </w:rPr>
        <w:t>gases, humos y</w:t>
      </w:r>
      <w:r>
        <w:rPr>
          <w:spacing w:val="-4"/>
          <w:sz w:val="20"/>
        </w:rPr>
        <w:t> </w:t>
      </w:r>
      <w:r>
        <w:rPr>
          <w:sz w:val="20"/>
        </w:rPr>
        <w:t>vapores de</w:t>
      </w:r>
      <w:r>
        <w:rPr>
          <w:spacing w:val="-1"/>
          <w:sz w:val="20"/>
        </w:rPr>
        <w:t> </w:t>
      </w:r>
      <w:r>
        <w:rPr>
          <w:sz w:val="20"/>
        </w:rPr>
        <w:t>formaldehído. Los principales conjuntos de circunstancias que conducen a la exposición ocupacional son:</w:t>
      </w:r>
    </w:p>
    <w:p>
      <w:pPr>
        <w:pStyle w:val="ListParagraph"/>
        <w:numPr>
          <w:ilvl w:val="0"/>
          <w:numId w:val="167"/>
        </w:numPr>
        <w:tabs>
          <w:tab w:pos="1325" w:val="left" w:leader="none"/>
        </w:tabs>
        <w:spacing w:line="242" w:lineRule="auto" w:before="228" w:after="0"/>
        <w:ind w:left="1058" w:right="335" w:firstLine="0"/>
        <w:jc w:val="both"/>
        <w:rPr>
          <w:sz w:val="20"/>
        </w:rPr>
      </w:pPr>
      <w:r>
        <w:rPr>
          <w:sz w:val="20"/>
        </w:rPr>
        <w:t>La primera está relacionada con la producción de las soluciones acuosas de formaldehído (formol)</w:t>
      </w:r>
      <w:r>
        <w:rPr>
          <w:spacing w:val="-1"/>
          <w:sz w:val="20"/>
        </w:rPr>
        <w:t> </w:t>
      </w:r>
      <w:r>
        <w:rPr>
          <w:sz w:val="20"/>
        </w:rPr>
        <w:t>y</w:t>
      </w:r>
      <w:r>
        <w:rPr>
          <w:spacing w:val="-6"/>
          <w:sz w:val="20"/>
        </w:rPr>
        <w:t> </w:t>
      </w:r>
      <w:r>
        <w:rPr>
          <w:sz w:val="20"/>
        </w:rPr>
        <w:t>su</w:t>
      </w:r>
      <w:r>
        <w:rPr>
          <w:spacing w:val="-2"/>
          <w:sz w:val="20"/>
        </w:rPr>
        <w:t> </w:t>
      </w:r>
      <w:r>
        <w:rPr>
          <w:sz w:val="20"/>
        </w:rPr>
        <w:t>uso</w:t>
      </w:r>
      <w:r>
        <w:rPr>
          <w:spacing w:val="-3"/>
          <w:sz w:val="20"/>
        </w:rPr>
        <w:t> </w:t>
      </w:r>
      <w:r>
        <w:rPr>
          <w:sz w:val="20"/>
        </w:rPr>
        <w:t>en</w:t>
      </w:r>
      <w:r>
        <w:rPr>
          <w:spacing w:val="-2"/>
          <w:sz w:val="20"/>
        </w:rPr>
        <w:t> </w:t>
      </w:r>
      <w:r>
        <w:rPr>
          <w:sz w:val="20"/>
        </w:rPr>
        <w:t>la</w:t>
      </w:r>
      <w:r>
        <w:rPr>
          <w:spacing w:val="-2"/>
          <w:sz w:val="20"/>
        </w:rPr>
        <w:t> </w:t>
      </w:r>
      <w:r>
        <w:rPr>
          <w:sz w:val="20"/>
        </w:rPr>
        <w:t>industria</w:t>
      </w:r>
      <w:r>
        <w:rPr>
          <w:spacing w:val="-3"/>
          <w:sz w:val="20"/>
        </w:rPr>
        <w:t> </w:t>
      </w:r>
      <w:r>
        <w:rPr>
          <w:sz w:val="20"/>
        </w:rPr>
        <w:t>química,</w:t>
      </w:r>
      <w:r>
        <w:rPr>
          <w:spacing w:val="-3"/>
          <w:sz w:val="20"/>
        </w:rPr>
        <w:t> </w:t>
      </w:r>
      <w:r>
        <w:rPr>
          <w:sz w:val="20"/>
        </w:rPr>
        <w:t>por</w:t>
      </w:r>
      <w:r>
        <w:rPr>
          <w:spacing w:val="-1"/>
          <w:sz w:val="20"/>
        </w:rPr>
        <w:t> </w:t>
      </w:r>
      <w:r>
        <w:rPr>
          <w:sz w:val="20"/>
        </w:rPr>
        <w:t>ejemplo, para</w:t>
      </w:r>
      <w:r>
        <w:rPr>
          <w:spacing w:val="-2"/>
          <w:sz w:val="20"/>
        </w:rPr>
        <w:t> </w:t>
      </w:r>
      <w:r>
        <w:rPr>
          <w:sz w:val="20"/>
        </w:rPr>
        <w:t>la</w:t>
      </w:r>
      <w:r>
        <w:rPr>
          <w:spacing w:val="-2"/>
          <w:sz w:val="20"/>
        </w:rPr>
        <w:t> </w:t>
      </w:r>
      <w:r>
        <w:rPr>
          <w:sz w:val="20"/>
        </w:rPr>
        <w:t>síntesis</w:t>
      </w:r>
      <w:r>
        <w:rPr>
          <w:spacing w:val="-3"/>
          <w:sz w:val="20"/>
        </w:rPr>
        <w:t> </w:t>
      </w:r>
      <w:r>
        <w:rPr>
          <w:sz w:val="20"/>
        </w:rPr>
        <w:t>de</w:t>
      </w:r>
      <w:r>
        <w:rPr>
          <w:spacing w:val="-2"/>
          <w:sz w:val="20"/>
        </w:rPr>
        <w:t> </w:t>
      </w:r>
      <w:r>
        <w:rPr>
          <w:sz w:val="20"/>
        </w:rPr>
        <w:t>diferentes</w:t>
      </w:r>
      <w:r>
        <w:rPr>
          <w:spacing w:val="-3"/>
          <w:sz w:val="20"/>
        </w:rPr>
        <w:t> </w:t>
      </w:r>
      <w:r>
        <w:rPr>
          <w:sz w:val="20"/>
        </w:rPr>
        <w:t>resinas,</w:t>
      </w:r>
      <w:r>
        <w:rPr>
          <w:spacing w:val="-3"/>
          <w:sz w:val="20"/>
        </w:rPr>
        <w:t> </w:t>
      </w:r>
      <w:r>
        <w:rPr>
          <w:sz w:val="20"/>
        </w:rPr>
        <w:t>como conservador en los laboratorios médicos o cosméticos, líquidos de embalsamamiento y como </w:t>
      </w:r>
      <w:r>
        <w:rPr>
          <w:spacing w:val="-2"/>
          <w:sz w:val="20"/>
        </w:rPr>
        <w:t>desinfectante.</w:t>
      </w:r>
    </w:p>
    <w:p>
      <w:pPr>
        <w:pStyle w:val="ListParagraph"/>
        <w:numPr>
          <w:ilvl w:val="0"/>
          <w:numId w:val="167"/>
        </w:numPr>
        <w:tabs>
          <w:tab w:pos="1335" w:val="left" w:leader="none"/>
        </w:tabs>
        <w:spacing w:line="242" w:lineRule="auto" w:before="220" w:after="0"/>
        <w:ind w:left="1058" w:right="344" w:firstLine="0"/>
        <w:jc w:val="both"/>
        <w:rPr>
          <w:sz w:val="20"/>
        </w:rPr>
      </w:pPr>
      <w:r>
        <w:rPr>
          <w:sz w:val="20"/>
        </w:rPr>
        <w:t>Un segundo grupo está relacionado con la liberación de estos a partir de la hidrólisis y la descomposición por calor de resinas hechas a base de formaldehído en las cuales está presente como un residuo, por ejemplo, durante la fabricación de madera productos textiles, productos sintéticos de aislamiento vítreo y plásticos.</w:t>
      </w:r>
    </w:p>
    <w:p>
      <w:pPr>
        <w:pStyle w:val="ListParagraph"/>
        <w:numPr>
          <w:ilvl w:val="0"/>
          <w:numId w:val="167"/>
        </w:numPr>
        <w:tabs>
          <w:tab w:pos="1315" w:val="left" w:leader="none"/>
        </w:tabs>
        <w:spacing w:line="242" w:lineRule="auto" w:before="221" w:after="0"/>
        <w:ind w:left="1058" w:right="341" w:firstLine="0"/>
        <w:jc w:val="both"/>
        <w:rPr>
          <w:sz w:val="20"/>
        </w:rPr>
      </w:pPr>
      <w:r>
        <w:rPr>
          <w:sz w:val="20"/>
        </w:rPr>
        <w:t>El tercer conjunto está relacionado con la pirolisis o la combustión de materia orgánica, por ejemplo, en los gases de escapeo en extinción de incendios.</w:t>
      </w:r>
    </w:p>
    <w:p>
      <w:pPr>
        <w:pStyle w:val="ListParagraph"/>
        <w:numPr>
          <w:ilvl w:val="2"/>
          <w:numId w:val="160"/>
        </w:numPr>
        <w:tabs>
          <w:tab w:pos="1045" w:val="left" w:leader="none"/>
          <w:tab w:pos="1058" w:val="left" w:leader="none"/>
        </w:tabs>
        <w:spacing w:line="240" w:lineRule="auto" w:before="228" w:after="0"/>
        <w:ind w:left="1058" w:right="340" w:hanging="432"/>
        <w:jc w:val="both"/>
        <w:rPr>
          <w:sz w:val="20"/>
        </w:rPr>
      </w:pPr>
      <w:r>
        <w:rPr>
          <w:sz w:val="20"/>
        </w:rPr>
        <w:t>Personas trabajadoras con actividades económicas relacionadas: bomberos, industria de la construcción, artesanías de fibras y madera, pintura, electrocirugía y cirugía láser, embalsamamiento y laboratorios de anatomía, fabricación de formaldehído y resinas a base de formaldehído, fabricación de melamina y baquelita, fabricación de productos de madera, papel y plásticos, fabricación de textiles, prendas de vestir y peleterías, fábricas de madera contrachapada, fábricas de muebles, fábricas de papel, caucho, seda, explosivos, fundidoras, histopatología y desinfección en los hospitales, industria de la fotografía, industrias de espumas aislantes, producción de fibras de vidrio, producción de plásticos y hules, reparación y mantenimiento de tubos de escape del motor.</w:t>
      </w:r>
    </w:p>
    <w:p>
      <w:pPr>
        <w:pStyle w:val="ListParagraph"/>
        <w:numPr>
          <w:ilvl w:val="2"/>
          <w:numId w:val="160"/>
        </w:numPr>
        <w:tabs>
          <w:tab w:pos="1045" w:val="left" w:leader="none"/>
          <w:tab w:pos="1058" w:val="left" w:leader="none"/>
        </w:tabs>
        <w:spacing w:line="240" w:lineRule="auto" w:before="229" w:after="0"/>
        <w:ind w:left="1058" w:right="34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6" w:after="0"/>
        <w:ind w:left="1069" w:right="0" w:hanging="443"/>
        <w:jc w:val="left"/>
      </w:pPr>
      <w:r>
        <w:rPr/>
        <w:t>Efectos</w:t>
      </w:r>
      <w:r>
        <w:rPr>
          <w:spacing w:val="-6"/>
        </w:rPr>
        <w:t> </w:t>
      </w:r>
      <w:r>
        <w:rPr/>
        <w:t>tóxicos</w:t>
      </w:r>
      <w:r>
        <w:rPr>
          <w:spacing w:val="-8"/>
        </w:rPr>
        <w:t> </w:t>
      </w:r>
      <w:r>
        <w:rPr/>
        <w:t>por</w:t>
      </w:r>
      <w:r>
        <w:rPr>
          <w:spacing w:val="-6"/>
        </w:rPr>
        <w:t> </w:t>
      </w:r>
      <w:r>
        <w:rPr/>
        <w:t>glicol.</w:t>
      </w:r>
      <w:r>
        <w:rPr>
          <w:spacing w:val="-8"/>
        </w:rPr>
        <w:t> </w:t>
      </w:r>
      <w:r>
        <w:rPr/>
        <w:t>Monoclorhidrina</w:t>
      </w:r>
      <w:r>
        <w:rPr>
          <w:spacing w:val="-7"/>
        </w:rPr>
        <w:t> </w:t>
      </w:r>
      <w:r>
        <w:rPr/>
        <w:t>del</w:t>
      </w:r>
      <w:r>
        <w:rPr>
          <w:spacing w:val="-8"/>
        </w:rPr>
        <w:t> </w:t>
      </w:r>
      <w:r>
        <w:rPr/>
        <w:t>glicol</w:t>
      </w:r>
      <w:r>
        <w:rPr>
          <w:spacing w:val="-8"/>
        </w:rPr>
        <w:t> </w:t>
      </w:r>
      <w:r>
        <w:rPr/>
        <w:t>(etilen</w:t>
      </w:r>
      <w:r>
        <w:rPr>
          <w:spacing w:val="-7"/>
        </w:rPr>
        <w:t> </w:t>
      </w:r>
      <w:r>
        <w:rPr/>
        <w:t>clorhidrina,</w:t>
      </w:r>
      <w:r>
        <w:rPr>
          <w:spacing w:val="-8"/>
        </w:rPr>
        <w:t> </w:t>
      </w:r>
      <w:r>
        <w:rPr/>
        <w:t>2-</w:t>
      </w:r>
      <w:r>
        <w:rPr>
          <w:spacing w:val="-2"/>
        </w:rPr>
        <w:t>cloroetanol)</w:t>
      </w:r>
    </w:p>
    <w:p>
      <w:pPr>
        <w:pStyle w:val="Heading3"/>
        <w:spacing w:after="0" w:line="240" w:lineRule="auto"/>
        <w:jc w:val="left"/>
        <w:sectPr>
          <w:pgSz w:w="12240" w:h="15840"/>
          <w:pgMar w:header="724" w:footer="712" w:top="1880" w:bottom="900" w:left="1080" w:right="1080"/>
        </w:sectPr>
      </w:pPr>
    </w:p>
    <w:p>
      <w:pPr>
        <w:pStyle w:val="BodyText"/>
        <w:spacing w:before="65"/>
        <w:rPr>
          <w:rFonts w:ascii="Arial"/>
          <w:b/>
        </w:rPr>
      </w:pPr>
    </w:p>
    <w:p>
      <w:pPr>
        <w:pStyle w:val="BodyText"/>
        <w:ind w:left="626"/>
      </w:pPr>
      <w:r>
        <w:rPr/>
        <w:t>Código</w:t>
      </w:r>
      <w:r>
        <w:rPr>
          <w:spacing w:val="-9"/>
        </w:rPr>
        <w:t> </w:t>
      </w:r>
      <w:r>
        <w:rPr/>
        <w:t>CIE-11:</w:t>
      </w:r>
      <w:r>
        <w:rPr>
          <w:spacing w:val="-6"/>
        </w:rPr>
        <w:t> </w:t>
      </w:r>
      <w:r>
        <w:rPr/>
        <w:t>PE91,</w:t>
      </w:r>
      <w:r>
        <w:rPr>
          <w:spacing w:val="-6"/>
        </w:rPr>
        <w:t> </w:t>
      </w:r>
      <w:r>
        <w:rPr/>
        <w:t>PB31,</w:t>
      </w:r>
      <w:r>
        <w:rPr>
          <w:spacing w:val="-7"/>
        </w:rPr>
        <w:t> </w:t>
      </w:r>
      <w:r>
        <w:rPr/>
        <w:t>XM1762,</w:t>
      </w:r>
      <w:r>
        <w:rPr>
          <w:spacing w:val="-8"/>
        </w:rPr>
        <w:t> </w:t>
      </w:r>
      <w:r>
        <w:rPr/>
        <w:t>XM0C04,</w:t>
      </w:r>
      <w:r>
        <w:rPr>
          <w:spacing w:val="-7"/>
        </w:rPr>
        <w:t> </w:t>
      </w:r>
      <w:r>
        <w:rPr/>
        <w:t>XM55M8,</w:t>
      </w:r>
      <w:r>
        <w:rPr>
          <w:spacing w:val="-8"/>
        </w:rPr>
        <w:t> </w:t>
      </w:r>
      <w:r>
        <w:rPr/>
        <w:t>XM3834,</w:t>
      </w:r>
      <w:r>
        <w:rPr>
          <w:spacing w:val="-7"/>
        </w:rPr>
        <w:t> </w:t>
      </w:r>
      <w:r>
        <w:rPr>
          <w:spacing w:val="-2"/>
        </w:rPr>
        <w:t>XM5HK4</w:t>
      </w:r>
    </w:p>
    <w:p>
      <w:pPr>
        <w:pStyle w:val="ListParagraph"/>
        <w:numPr>
          <w:ilvl w:val="2"/>
          <w:numId w:val="160"/>
        </w:numPr>
        <w:tabs>
          <w:tab w:pos="1045" w:val="left" w:leader="none"/>
          <w:tab w:pos="1058" w:val="left" w:leader="none"/>
        </w:tabs>
        <w:spacing w:line="240" w:lineRule="auto" w:before="230" w:after="0"/>
        <w:ind w:left="1058" w:right="338" w:hanging="432"/>
        <w:jc w:val="both"/>
        <w:rPr>
          <w:sz w:val="20"/>
        </w:rPr>
      </w:pPr>
      <w:r>
        <w:rPr>
          <w:sz w:val="20"/>
        </w:rPr>
        <w:t>Personas trabajadoras en actividades, tales como: acabados textiles, composición de lacas, agentes de limpieza, disolvente de éteres de celulosa y manipulación de abonos y fertilizantes, fabricación de explosivos, en la industria automotriz, industria farmacéutica, industria tipográfica, refinerías de petróleo, personas trabajadoras expuestas durante la fabricación del óxido de</w:t>
      </w:r>
      <w:r>
        <w:rPr>
          <w:spacing w:val="40"/>
          <w:sz w:val="20"/>
        </w:rPr>
        <w:t> </w:t>
      </w:r>
      <w:r>
        <w:rPr>
          <w:sz w:val="20"/>
        </w:rPr>
        <w:t>etileno y glicoles.</w:t>
      </w:r>
    </w:p>
    <w:p>
      <w:pPr>
        <w:pStyle w:val="ListParagraph"/>
        <w:numPr>
          <w:ilvl w:val="2"/>
          <w:numId w:val="160"/>
        </w:numPr>
        <w:tabs>
          <w:tab w:pos="1045" w:val="left" w:leader="none"/>
          <w:tab w:pos="1058" w:val="left" w:leader="none"/>
        </w:tabs>
        <w:spacing w:line="240" w:lineRule="auto" w:before="229" w:after="0"/>
        <w:ind w:left="1058" w:right="34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7" w:after="0"/>
        <w:ind w:left="1069" w:right="0" w:hanging="443"/>
        <w:jc w:val="left"/>
      </w:pPr>
      <w:r>
        <w:rPr/>
        <w:t>Efectos</w:t>
      </w:r>
      <w:r>
        <w:rPr>
          <w:spacing w:val="-6"/>
        </w:rPr>
        <w:t> </w:t>
      </w:r>
      <w:r>
        <w:rPr/>
        <w:t>tóxicos</w:t>
      </w:r>
      <w:r>
        <w:rPr>
          <w:spacing w:val="-7"/>
        </w:rPr>
        <w:t> </w:t>
      </w:r>
      <w:r>
        <w:rPr/>
        <w:t>por</w:t>
      </w:r>
      <w:r>
        <w:rPr>
          <w:spacing w:val="-5"/>
        </w:rPr>
        <w:t> </w:t>
      </w:r>
      <w:r>
        <w:rPr/>
        <w:t>manganeso</w:t>
      </w:r>
      <w:r>
        <w:rPr>
          <w:spacing w:val="-4"/>
        </w:rPr>
        <w:t> </w:t>
      </w:r>
      <w:r>
        <w:rPr/>
        <w:t>y</w:t>
      </w:r>
      <w:r>
        <w:rPr>
          <w:spacing w:val="-7"/>
        </w:rPr>
        <w:t> </w:t>
      </w:r>
      <w:r>
        <w:rPr/>
        <w:t>sus</w:t>
      </w:r>
      <w:r>
        <w:rPr>
          <w:spacing w:val="-6"/>
        </w:rPr>
        <w:t> </w:t>
      </w:r>
      <w:r>
        <w:rPr>
          <w:spacing w:val="-2"/>
        </w:rPr>
        <w:t>compuestos</w:t>
      </w:r>
    </w:p>
    <w:p>
      <w:pPr>
        <w:pStyle w:val="BodyText"/>
        <w:spacing w:before="3"/>
        <w:rPr>
          <w:rFonts w:ascii="Arial"/>
          <w:b/>
        </w:rPr>
      </w:pPr>
    </w:p>
    <w:p>
      <w:pPr>
        <w:pStyle w:val="BodyText"/>
        <w:ind w:left="626"/>
      </w:pPr>
      <w:r>
        <w:rPr/>
        <w:t>Código</w:t>
      </w:r>
      <w:r>
        <w:rPr>
          <w:spacing w:val="-9"/>
        </w:rPr>
        <w:t> </w:t>
      </w:r>
      <w:r>
        <w:rPr/>
        <w:t>CIE-11:</w:t>
      </w:r>
      <w:r>
        <w:rPr>
          <w:spacing w:val="-7"/>
        </w:rPr>
        <w:t> </w:t>
      </w:r>
      <w:r>
        <w:rPr/>
        <w:t>5B91.5,</w:t>
      </w:r>
      <w:r>
        <w:rPr>
          <w:spacing w:val="-6"/>
        </w:rPr>
        <w:t> </w:t>
      </w:r>
      <w:r>
        <w:rPr/>
        <w:t>PE95,</w:t>
      </w:r>
      <w:r>
        <w:rPr>
          <w:spacing w:val="-5"/>
        </w:rPr>
        <w:t> </w:t>
      </w:r>
      <w:r>
        <w:rPr/>
        <w:t>PB36,</w:t>
      </w:r>
      <w:r>
        <w:rPr>
          <w:spacing w:val="-6"/>
        </w:rPr>
        <w:t> </w:t>
      </w:r>
      <w:r>
        <w:rPr/>
        <w:t>PH56,</w:t>
      </w:r>
      <w:r>
        <w:rPr>
          <w:spacing w:val="-7"/>
        </w:rPr>
        <w:t> </w:t>
      </w:r>
      <w:r>
        <w:rPr/>
        <w:t>6D84.Y,</w:t>
      </w:r>
      <w:r>
        <w:rPr>
          <w:spacing w:val="-6"/>
        </w:rPr>
        <w:t> </w:t>
      </w:r>
      <w:r>
        <w:rPr/>
        <w:t>8A00.2Y,</w:t>
      </w:r>
      <w:r>
        <w:rPr>
          <w:spacing w:val="-7"/>
        </w:rPr>
        <w:t> </w:t>
      </w:r>
      <w:r>
        <w:rPr/>
        <w:t>XM3FY4,</w:t>
      </w:r>
      <w:r>
        <w:rPr>
          <w:spacing w:val="-8"/>
        </w:rPr>
        <w:t> </w:t>
      </w:r>
      <w:r>
        <w:rPr>
          <w:spacing w:val="-2"/>
        </w:rPr>
        <w:t>XM9ZR0</w:t>
      </w:r>
    </w:p>
    <w:p>
      <w:pPr>
        <w:pStyle w:val="ListParagraph"/>
        <w:numPr>
          <w:ilvl w:val="2"/>
          <w:numId w:val="160"/>
        </w:numPr>
        <w:tabs>
          <w:tab w:pos="1045" w:val="left" w:leader="none"/>
          <w:tab w:pos="1058" w:val="left" w:leader="none"/>
        </w:tabs>
        <w:spacing w:line="240" w:lineRule="auto" w:before="229" w:after="0"/>
        <w:ind w:left="1058" w:right="33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7" w:after="0"/>
        <w:ind w:left="1069" w:right="0" w:hanging="443"/>
        <w:jc w:val="left"/>
      </w:pPr>
      <w:r>
        <w:rPr/>
        <w:t>Efectos</w:t>
      </w:r>
      <w:r>
        <w:rPr>
          <w:spacing w:val="-6"/>
        </w:rPr>
        <w:t> </w:t>
      </w:r>
      <w:r>
        <w:rPr/>
        <w:t>tóxicos</w:t>
      </w:r>
      <w:r>
        <w:rPr>
          <w:spacing w:val="-7"/>
        </w:rPr>
        <w:t> </w:t>
      </w:r>
      <w:r>
        <w:rPr/>
        <w:t>por</w:t>
      </w:r>
      <w:r>
        <w:rPr>
          <w:spacing w:val="-5"/>
        </w:rPr>
        <w:t> </w:t>
      </w:r>
      <w:r>
        <w:rPr/>
        <w:t>mercurio</w:t>
      </w:r>
      <w:r>
        <w:rPr>
          <w:spacing w:val="-5"/>
        </w:rPr>
        <w:t> </w:t>
      </w:r>
      <w:r>
        <w:rPr/>
        <w:t>y</w:t>
      </w:r>
      <w:r>
        <w:rPr>
          <w:spacing w:val="-8"/>
        </w:rPr>
        <w:t> </w:t>
      </w:r>
      <w:r>
        <w:rPr/>
        <w:t>sus</w:t>
      </w:r>
      <w:r>
        <w:rPr>
          <w:spacing w:val="-7"/>
        </w:rPr>
        <w:t> </w:t>
      </w:r>
      <w:r>
        <w:rPr>
          <w:spacing w:val="-2"/>
        </w:rPr>
        <w:t>compuestos</w:t>
      </w:r>
    </w:p>
    <w:p>
      <w:pPr>
        <w:pStyle w:val="BodyText"/>
        <w:spacing w:before="3"/>
        <w:rPr>
          <w:rFonts w:ascii="Arial"/>
          <w:b/>
        </w:rPr>
      </w:pPr>
    </w:p>
    <w:p>
      <w:pPr>
        <w:pStyle w:val="BodyText"/>
        <w:ind w:left="626"/>
      </w:pPr>
      <w:r>
        <w:rPr/>
        <w:t>Código</w:t>
      </w:r>
      <w:r>
        <w:rPr>
          <w:spacing w:val="-9"/>
        </w:rPr>
        <w:t> </w:t>
      </w:r>
      <w:r>
        <w:rPr/>
        <w:t>CIE-11:</w:t>
      </w:r>
      <w:r>
        <w:rPr>
          <w:spacing w:val="-5"/>
        </w:rPr>
        <w:t> </w:t>
      </w:r>
      <w:r>
        <w:rPr/>
        <w:t>PE95,</w:t>
      </w:r>
      <w:r>
        <w:rPr>
          <w:spacing w:val="-6"/>
        </w:rPr>
        <w:t> </w:t>
      </w:r>
      <w:r>
        <w:rPr/>
        <w:t>PB36,</w:t>
      </w:r>
      <w:r>
        <w:rPr>
          <w:spacing w:val="-7"/>
        </w:rPr>
        <w:t> </w:t>
      </w:r>
      <w:r>
        <w:rPr/>
        <w:t>PH56,</w:t>
      </w:r>
      <w:r>
        <w:rPr>
          <w:spacing w:val="-7"/>
        </w:rPr>
        <w:t> </w:t>
      </w:r>
      <w:r>
        <w:rPr>
          <w:spacing w:val="-2"/>
        </w:rPr>
        <w:t>XM1FG4</w:t>
      </w:r>
    </w:p>
    <w:p>
      <w:pPr>
        <w:pStyle w:val="ListParagraph"/>
        <w:numPr>
          <w:ilvl w:val="2"/>
          <w:numId w:val="160"/>
        </w:numPr>
        <w:tabs>
          <w:tab w:pos="1045" w:val="left" w:leader="none"/>
          <w:tab w:pos="1058" w:val="left" w:leader="none"/>
        </w:tabs>
        <w:spacing w:line="240" w:lineRule="auto" w:before="230" w:after="0"/>
        <w:ind w:left="1058" w:right="334" w:hanging="432"/>
        <w:jc w:val="both"/>
        <w:rPr>
          <w:sz w:val="20"/>
        </w:rPr>
      </w:pPr>
      <w:r>
        <w:rPr>
          <w:sz w:val="20"/>
        </w:rPr>
        <w:t>Personas trabajadoras en actividades tales como: conservación de semillas, electrólisis de las salmueras e industria del cloro, fabricación y manipulación de explosivos, industria de aparatos</w:t>
      </w:r>
      <w:r>
        <w:rPr>
          <w:spacing w:val="40"/>
          <w:sz w:val="20"/>
        </w:rPr>
        <w:t> </w:t>
      </w:r>
      <w:r>
        <w:rPr>
          <w:sz w:val="20"/>
        </w:rPr>
        <w:t>de precisión: termómetros, esfigmomanómetros, barómetros; industria de álcalis de cloro, medición de petrolíferos en muestras de yacimientos, fungicidas, industria de la fabricación del cemento (polvos producidos por los hornos), industria química orgánica de la producción de acetileno, industria químico-farmacéutica, lámparas de vapores de mercurio, manipuladores del metal y sus derivados, mineros (de las minas de mercurio) y sombreros de fieltro.</w:t>
      </w:r>
    </w:p>
    <w:p>
      <w:pPr>
        <w:pStyle w:val="ListParagraph"/>
        <w:numPr>
          <w:ilvl w:val="2"/>
          <w:numId w:val="160"/>
        </w:numPr>
        <w:tabs>
          <w:tab w:pos="1046" w:val="left" w:leader="none"/>
        </w:tabs>
        <w:spacing w:line="240" w:lineRule="auto" w:before="227" w:after="0"/>
        <w:ind w:left="1046" w:right="0" w:hanging="420"/>
        <w:jc w:val="left"/>
        <w:rPr>
          <w:sz w:val="20"/>
        </w:rPr>
      </w:pPr>
      <w:r>
        <w:rPr>
          <w:sz w:val="20"/>
        </w:rPr>
        <w:t>Actividad</w:t>
      </w:r>
      <w:r>
        <w:rPr>
          <w:spacing w:val="-8"/>
          <w:sz w:val="20"/>
        </w:rPr>
        <w:t> </w:t>
      </w:r>
      <w:r>
        <w:rPr>
          <w:sz w:val="20"/>
        </w:rPr>
        <w:t>profesional</w:t>
      </w:r>
      <w:r>
        <w:rPr>
          <w:spacing w:val="-8"/>
          <w:sz w:val="20"/>
        </w:rPr>
        <w:t> </w:t>
      </w:r>
      <w:r>
        <w:rPr>
          <w:sz w:val="20"/>
        </w:rPr>
        <w:t>de</w:t>
      </w:r>
      <w:r>
        <w:rPr>
          <w:spacing w:val="-9"/>
          <w:sz w:val="20"/>
        </w:rPr>
        <w:t> </w:t>
      </w:r>
      <w:r>
        <w:rPr>
          <w:sz w:val="20"/>
        </w:rPr>
        <w:t>ayudantes,</w:t>
      </w:r>
      <w:r>
        <w:rPr>
          <w:spacing w:val="-9"/>
          <w:sz w:val="20"/>
        </w:rPr>
        <w:t> </w:t>
      </w:r>
      <w:r>
        <w:rPr>
          <w:sz w:val="20"/>
        </w:rPr>
        <w:t>secretarias</w:t>
      </w:r>
      <w:r>
        <w:rPr>
          <w:spacing w:val="-8"/>
          <w:sz w:val="20"/>
        </w:rPr>
        <w:t> </w:t>
      </w:r>
      <w:r>
        <w:rPr>
          <w:sz w:val="20"/>
        </w:rPr>
        <w:t>médicas,</w:t>
      </w:r>
      <w:r>
        <w:rPr>
          <w:spacing w:val="-8"/>
          <w:sz w:val="20"/>
        </w:rPr>
        <w:t> </w:t>
      </w:r>
      <w:r>
        <w:rPr>
          <w:sz w:val="20"/>
        </w:rPr>
        <w:t>dentistas</w:t>
      </w:r>
      <w:r>
        <w:rPr>
          <w:spacing w:val="-5"/>
          <w:sz w:val="20"/>
        </w:rPr>
        <w:t> </w:t>
      </w:r>
      <w:r>
        <w:rPr>
          <w:sz w:val="20"/>
        </w:rPr>
        <w:t>y</w:t>
      </w:r>
      <w:r>
        <w:rPr>
          <w:spacing w:val="-11"/>
          <w:sz w:val="20"/>
        </w:rPr>
        <w:t> </w:t>
      </w:r>
      <w:r>
        <w:rPr>
          <w:sz w:val="20"/>
        </w:rPr>
        <w:t>protesistas</w:t>
      </w:r>
      <w:r>
        <w:rPr>
          <w:spacing w:val="-6"/>
          <w:sz w:val="20"/>
        </w:rPr>
        <w:t> </w:t>
      </w:r>
      <w:r>
        <w:rPr>
          <w:spacing w:val="-2"/>
          <w:sz w:val="20"/>
        </w:rPr>
        <w:t>dentales.</w:t>
      </w:r>
    </w:p>
    <w:p>
      <w:pPr>
        <w:pStyle w:val="ListParagraph"/>
        <w:numPr>
          <w:ilvl w:val="2"/>
          <w:numId w:val="160"/>
        </w:numPr>
        <w:tabs>
          <w:tab w:pos="1045" w:val="left" w:leader="none"/>
          <w:tab w:pos="1058" w:val="left" w:leader="none"/>
        </w:tabs>
        <w:spacing w:line="240" w:lineRule="auto" w:before="228" w:after="0"/>
        <w:ind w:left="1058" w:right="345" w:hanging="432"/>
        <w:jc w:val="both"/>
        <w:rPr>
          <w:sz w:val="20"/>
        </w:rPr>
      </w:pPr>
      <w:r>
        <w:rPr>
          <w:sz w:val="20"/>
        </w:rPr>
        <w:t>Personas trabajadoras en la industria del bronceado, curtiembres, damasquinado, dorado, niquelado y plateado y minas de extracción de oro y plata.</w:t>
      </w:r>
    </w:p>
    <w:p>
      <w:pPr>
        <w:pStyle w:val="ListParagraph"/>
        <w:numPr>
          <w:ilvl w:val="2"/>
          <w:numId w:val="160"/>
        </w:numPr>
        <w:tabs>
          <w:tab w:pos="1045" w:val="left" w:leader="none"/>
          <w:tab w:pos="1058" w:val="left" w:leader="none"/>
        </w:tabs>
        <w:spacing w:line="240" w:lineRule="auto" w:before="228" w:after="0"/>
        <w:ind w:left="1058" w:right="33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30" w:after="0"/>
        <w:ind w:left="1069" w:right="0" w:hanging="443"/>
        <w:jc w:val="left"/>
      </w:pPr>
      <w:r>
        <w:rPr/>
        <w:t>Efectos</w:t>
      </w:r>
      <w:r>
        <w:rPr>
          <w:spacing w:val="-6"/>
        </w:rPr>
        <w:t> </w:t>
      </w:r>
      <w:r>
        <w:rPr/>
        <w:t>tóxicos</w:t>
      </w:r>
      <w:r>
        <w:rPr>
          <w:spacing w:val="-7"/>
        </w:rPr>
        <w:t> </w:t>
      </w:r>
      <w:r>
        <w:rPr/>
        <w:t>por</w:t>
      </w:r>
      <w:r>
        <w:rPr>
          <w:spacing w:val="-6"/>
        </w:rPr>
        <w:t> </w:t>
      </w:r>
      <w:r>
        <w:rPr/>
        <w:t>monóxido</w:t>
      </w:r>
      <w:r>
        <w:rPr>
          <w:spacing w:val="-6"/>
        </w:rPr>
        <w:t> </w:t>
      </w:r>
      <w:r>
        <w:rPr/>
        <w:t>de</w:t>
      </w:r>
      <w:r>
        <w:rPr>
          <w:spacing w:val="-8"/>
        </w:rPr>
        <w:t> </w:t>
      </w:r>
      <w:r>
        <w:rPr>
          <w:spacing w:val="-2"/>
        </w:rPr>
        <w:t>carbono</w:t>
      </w:r>
    </w:p>
    <w:p>
      <w:pPr>
        <w:pStyle w:val="BodyText"/>
        <w:rPr>
          <w:rFonts w:ascii="Arial"/>
          <w:b/>
        </w:rPr>
      </w:pPr>
    </w:p>
    <w:p>
      <w:pPr>
        <w:pStyle w:val="BodyText"/>
        <w:ind w:left="626"/>
      </w:pPr>
      <w:r>
        <w:rPr/>
        <w:t>Código</w:t>
      </w:r>
      <w:r>
        <w:rPr>
          <w:spacing w:val="-9"/>
        </w:rPr>
        <w:t> </w:t>
      </w:r>
      <w:r>
        <w:rPr/>
        <w:t>CIE-11:</w:t>
      </w:r>
      <w:r>
        <w:rPr>
          <w:spacing w:val="-5"/>
        </w:rPr>
        <w:t> </w:t>
      </w:r>
      <w:r>
        <w:rPr/>
        <w:t>PE92,</w:t>
      </w:r>
      <w:r>
        <w:rPr>
          <w:spacing w:val="-6"/>
        </w:rPr>
        <w:t> </w:t>
      </w:r>
      <w:r>
        <w:rPr/>
        <w:t>PH52,</w:t>
      </w:r>
      <w:r>
        <w:rPr>
          <w:spacing w:val="-8"/>
        </w:rPr>
        <w:t> </w:t>
      </w:r>
      <w:r>
        <w:rPr>
          <w:spacing w:val="-2"/>
        </w:rPr>
        <w:t>XM1X11</w:t>
      </w:r>
    </w:p>
    <w:p>
      <w:pPr>
        <w:pStyle w:val="BodyText"/>
        <w:spacing w:after="0"/>
        <w:sectPr>
          <w:pgSz w:w="12240" w:h="15840"/>
          <w:pgMar w:header="724" w:footer="712" w:top="1880" w:bottom="900" w:left="1080" w:right="1080"/>
        </w:sectPr>
      </w:pPr>
    </w:p>
    <w:p>
      <w:pPr>
        <w:pStyle w:val="BodyText"/>
        <w:spacing w:before="66"/>
      </w:pPr>
    </w:p>
    <w:p>
      <w:pPr>
        <w:pStyle w:val="ListParagraph"/>
        <w:numPr>
          <w:ilvl w:val="2"/>
          <w:numId w:val="160"/>
        </w:numPr>
        <w:tabs>
          <w:tab w:pos="1045" w:val="left" w:leader="none"/>
          <w:tab w:pos="1058" w:val="left" w:leader="none"/>
        </w:tabs>
        <w:spacing w:line="240" w:lineRule="auto" w:before="0" w:after="0"/>
        <w:ind w:left="1058" w:right="342" w:hanging="432"/>
        <w:jc w:val="both"/>
        <w:rPr>
          <w:sz w:val="20"/>
        </w:rPr>
      </w:pPr>
      <w:r>
        <w:rPr>
          <w:sz w:val="20"/>
        </w:rPr>
        <w:t>Personas trabajadoras en contacto con altos hornos, bomberos, caldereros, calentadores de gas en espacios pequeños y</w:t>
      </w:r>
      <w:r>
        <w:rPr>
          <w:spacing w:val="-1"/>
          <w:sz w:val="20"/>
        </w:rPr>
        <w:t> </w:t>
      </w:r>
      <w:r>
        <w:rPr>
          <w:sz w:val="20"/>
        </w:rPr>
        <w:t>mal ventilados, combustiones que producen gran cantidad de monóxido de carbono, con combustiones de vehículos automotores, gas de agua, gas de hulla, gas pobre, hornos y espacios confinados, mineros, mantenimiento mecánico, soldadores con fusión, por presión a gas, con arco metálico, oxicorte de metales, motores de combustión interna y todos los casos de combustión incompleta del carbón.</w:t>
      </w:r>
    </w:p>
    <w:p>
      <w:pPr>
        <w:pStyle w:val="ListParagraph"/>
        <w:numPr>
          <w:ilvl w:val="2"/>
          <w:numId w:val="160"/>
        </w:numPr>
        <w:tabs>
          <w:tab w:pos="1045" w:val="left" w:leader="none"/>
          <w:tab w:pos="1058" w:val="left" w:leader="none"/>
        </w:tabs>
        <w:spacing w:line="240" w:lineRule="auto" w:before="228" w:after="0"/>
        <w:ind w:left="1058" w:right="34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6" w:after="0"/>
        <w:ind w:left="1069" w:right="0" w:hanging="443"/>
        <w:jc w:val="left"/>
      </w:pPr>
      <w:r>
        <w:rPr/>
        <w:t>Efectos</w:t>
      </w:r>
      <w:r>
        <w:rPr>
          <w:spacing w:val="-8"/>
        </w:rPr>
        <w:t> </w:t>
      </w:r>
      <w:r>
        <w:rPr/>
        <w:t>tóxicos</w:t>
      </w:r>
      <w:r>
        <w:rPr>
          <w:spacing w:val="-9"/>
        </w:rPr>
        <w:t> </w:t>
      </w:r>
      <w:r>
        <w:rPr/>
        <w:t>por</w:t>
      </w:r>
      <w:r>
        <w:rPr>
          <w:spacing w:val="-7"/>
        </w:rPr>
        <w:t> </w:t>
      </w:r>
      <w:r>
        <w:rPr/>
        <w:t>otras</w:t>
      </w:r>
      <w:r>
        <w:rPr>
          <w:spacing w:val="-9"/>
        </w:rPr>
        <w:t> </w:t>
      </w:r>
      <w:r>
        <w:rPr/>
        <w:t>substancias</w:t>
      </w:r>
      <w:r>
        <w:rPr>
          <w:spacing w:val="-9"/>
        </w:rPr>
        <w:t> </w:t>
      </w:r>
      <w:r>
        <w:rPr>
          <w:spacing w:val="-2"/>
        </w:rPr>
        <w:t>inorgánicas</w:t>
      </w:r>
    </w:p>
    <w:p>
      <w:pPr>
        <w:pStyle w:val="BodyText"/>
        <w:spacing w:before="4"/>
        <w:rPr>
          <w:rFonts w:ascii="Arial"/>
          <w:b/>
        </w:rPr>
      </w:pPr>
    </w:p>
    <w:p>
      <w:pPr>
        <w:pStyle w:val="BodyText"/>
        <w:ind w:left="626"/>
      </w:pPr>
      <w:r>
        <w:rPr/>
        <w:t>Código</w:t>
      </w:r>
      <w:r>
        <w:rPr>
          <w:spacing w:val="-8"/>
        </w:rPr>
        <w:t> </w:t>
      </w:r>
      <w:r>
        <w:rPr/>
        <w:t>CIE-11:</w:t>
      </w:r>
      <w:r>
        <w:rPr>
          <w:spacing w:val="-6"/>
        </w:rPr>
        <w:t> </w:t>
      </w:r>
      <w:r>
        <w:rPr/>
        <w:t>PE95,</w:t>
      </w:r>
      <w:r>
        <w:rPr>
          <w:spacing w:val="-5"/>
        </w:rPr>
        <w:t> </w:t>
      </w:r>
      <w:r>
        <w:rPr/>
        <w:t>PB36,</w:t>
      </w:r>
      <w:r>
        <w:rPr>
          <w:spacing w:val="-7"/>
        </w:rPr>
        <w:t> </w:t>
      </w:r>
      <w:r>
        <w:rPr/>
        <w:t>PH56,</w:t>
      </w:r>
      <w:r>
        <w:rPr>
          <w:spacing w:val="-6"/>
        </w:rPr>
        <w:t> </w:t>
      </w:r>
      <w:r>
        <w:rPr/>
        <w:t>NE61,</w:t>
      </w:r>
      <w:r>
        <w:rPr>
          <w:spacing w:val="-7"/>
        </w:rPr>
        <w:t> </w:t>
      </w:r>
      <w:r>
        <w:rPr>
          <w:spacing w:val="-2"/>
        </w:rPr>
        <w:t>XM6YR0</w:t>
      </w:r>
    </w:p>
    <w:p>
      <w:pPr>
        <w:pStyle w:val="ListParagraph"/>
        <w:numPr>
          <w:ilvl w:val="2"/>
          <w:numId w:val="160"/>
        </w:numPr>
        <w:tabs>
          <w:tab w:pos="1045" w:val="left" w:leader="none"/>
          <w:tab w:pos="1058" w:val="left" w:leader="none"/>
        </w:tabs>
        <w:spacing w:line="240" w:lineRule="auto" w:before="229" w:after="0"/>
        <w:ind w:left="1058" w:right="337" w:hanging="432"/>
        <w:jc w:val="both"/>
        <w:rPr>
          <w:sz w:val="20"/>
        </w:rPr>
      </w:pPr>
      <w:r>
        <w:rPr>
          <w:sz w:val="20"/>
        </w:rPr>
        <w:t>Personas trabajadoras de la fabricación de aplicaciones eléctricas, colchones y vestiduras, cubiertas de automóviles, discos, en la producción de resinas, en la producción de tubos y conductores plásticos, hojas y</w:t>
      </w:r>
      <w:r>
        <w:rPr>
          <w:spacing w:val="-3"/>
          <w:sz w:val="20"/>
        </w:rPr>
        <w:t> </w:t>
      </w:r>
      <w:r>
        <w:rPr>
          <w:sz w:val="20"/>
        </w:rPr>
        <w:t>frascos, juguetes, materias plásticas y su utilización en frigoríficos, muebles caseros, películas, recubrimiento para pisos y personas trabajadoras expuestas a</w:t>
      </w:r>
      <w:r>
        <w:rPr>
          <w:spacing w:val="40"/>
          <w:sz w:val="20"/>
        </w:rPr>
        <w:t> </w:t>
      </w:r>
      <w:r>
        <w:rPr>
          <w:sz w:val="20"/>
        </w:rPr>
        <w:t>humos de motores de combustión.</w:t>
      </w:r>
    </w:p>
    <w:p>
      <w:pPr>
        <w:pStyle w:val="ListParagraph"/>
        <w:numPr>
          <w:ilvl w:val="2"/>
          <w:numId w:val="160"/>
        </w:numPr>
        <w:tabs>
          <w:tab w:pos="1045" w:val="left" w:leader="none"/>
          <w:tab w:pos="1058" w:val="left" w:leader="none"/>
        </w:tabs>
        <w:spacing w:line="240" w:lineRule="auto" w:before="227" w:after="0"/>
        <w:ind w:left="1058" w:right="336"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179" w:val="left" w:leader="none"/>
        </w:tabs>
        <w:spacing w:line="240" w:lineRule="auto" w:before="229" w:after="0"/>
        <w:ind w:left="338" w:right="346" w:firstLine="288"/>
        <w:jc w:val="left"/>
      </w:pPr>
      <w:r>
        <w:rPr/>
        <w:t>Efectos</w:t>
      </w:r>
      <w:r>
        <w:rPr>
          <w:spacing w:val="80"/>
        </w:rPr>
        <w:t> </w:t>
      </w:r>
      <w:r>
        <w:rPr/>
        <w:t>tóxicos</w:t>
      </w:r>
      <w:r>
        <w:rPr>
          <w:spacing w:val="80"/>
        </w:rPr>
        <w:t> </w:t>
      </w:r>
      <w:r>
        <w:rPr/>
        <w:t>por</w:t>
      </w:r>
      <w:r>
        <w:rPr>
          <w:spacing w:val="80"/>
        </w:rPr>
        <w:t> </w:t>
      </w:r>
      <w:r>
        <w:rPr/>
        <w:t>otras</w:t>
      </w:r>
      <w:r>
        <w:rPr>
          <w:spacing w:val="80"/>
        </w:rPr>
        <w:t> </w:t>
      </w:r>
      <w:r>
        <w:rPr/>
        <w:t>substancias</w:t>
      </w:r>
      <w:r>
        <w:rPr>
          <w:spacing w:val="80"/>
        </w:rPr>
        <w:t> </w:t>
      </w:r>
      <w:r>
        <w:rPr/>
        <w:t>químicas.</w:t>
      </w:r>
      <w:r>
        <w:rPr>
          <w:spacing w:val="80"/>
        </w:rPr>
        <w:t> </w:t>
      </w:r>
      <w:r>
        <w:rPr/>
        <w:t>Tetrahidrofurano,</w:t>
      </w:r>
      <w:r>
        <w:rPr>
          <w:spacing w:val="80"/>
        </w:rPr>
        <w:t> </w:t>
      </w:r>
      <w:r>
        <w:rPr/>
        <w:t>anilina</w:t>
      </w:r>
      <w:r>
        <w:rPr>
          <w:spacing w:val="80"/>
        </w:rPr>
        <w:t> </w:t>
      </w:r>
      <w:r>
        <w:rPr/>
        <w:t>y</w:t>
      </w:r>
      <w:r>
        <w:rPr>
          <w:spacing w:val="80"/>
        </w:rPr>
        <w:t> </w:t>
      </w:r>
      <w:r>
        <w:rPr/>
        <w:t>sus</w:t>
      </w:r>
      <w:r>
        <w:rPr>
          <w:spacing w:val="40"/>
        </w:rPr>
        <w:t> </w:t>
      </w:r>
      <w:r>
        <w:rPr/>
        <w:t>compuestos, bencidina, alfa naftilamina, beta naftilamina y para difenildiamina</w:t>
      </w:r>
    </w:p>
    <w:p>
      <w:pPr>
        <w:pStyle w:val="BodyText"/>
        <w:spacing w:before="1"/>
        <w:rPr>
          <w:rFonts w:ascii="Arial"/>
          <w:b/>
        </w:rPr>
      </w:pPr>
    </w:p>
    <w:p>
      <w:pPr>
        <w:pStyle w:val="BodyText"/>
        <w:ind w:left="626"/>
      </w:pPr>
      <w:r>
        <w:rPr/>
        <w:t>Código</w:t>
      </w:r>
      <w:r>
        <w:rPr>
          <w:spacing w:val="-9"/>
        </w:rPr>
        <w:t> </w:t>
      </w:r>
      <w:r>
        <w:rPr/>
        <w:t>CIE-11:</w:t>
      </w:r>
      <w:r>
        <w:rPr>
          <w:spacing w:val="-7"/>
        </w:rPr>
        <w:t> </w:t>
      </w:r>
      <w:r>
        <w:rPr/>
        <w:t>NE61,</w:t>
      </w:r>
      <w:r>
        <w:rPr>
          <w:spacing w:val="-8"/>
        </w:rPr>
        <w:t> </w:t>
      </w:r>
      <w:r>
        <w:rPr/>
        <w:t>XM5XP8,</w:t>
      </w:r>
      <w:r>
        <w:rPr>
          <w:spacing w:val="-7"/>
        </w:rPr>
        <w:t> </w:t>
      </w:r>
      <w:r>
        <w:rPr/>
        <w:t>XM76E2,</w:t>
      </w:r>
      <w:r>
        <w:rPr>
          <w:spacing w:val="-8"/>
        </w:rPr>
        <w:t> </w:t>
      </w:r>
      <w:r>
        <w:rPr/>
        <w:t>XM6PE4,</w:t>
      </w:r>
      <w:r>
        <w:rPr>
          <w:spacing w:val="-7"/>
        </w:rPr>
        <w:t> </w:t>
      </w:r>
      <w:r>
        <w:rPr>
          <w:spacing w:val="-2"/>
        </w:rPr>
        <w:t>XM9WX0</w:t>
      </w:r>
    </w:p>
    <w:p>
      <w:pPr>
        <w:pStyle w:val="ListParagraph"/>
        <w:numPr>
          <w:ilvl w:val="2"/>
          <w:numId w:val="160"/>
        </w:numPr>
        <w:tabs>
          <w:tab w:pos="1045" w:val="left" w:leader="none"/>
          <w:tab w:pos="1058" w:val="left" w:leader="none"/>
        </w:tabs>
        <w:spacing w:line="240" w:lineRule="auto" w:before="230" w:after="0"/>
        <w:ind w:left="1058" w:right="338" w:hanging="432"/>
        <w:jc w:val="both"/>
        <w:rPr>
          <w:sz w:val="20"/>
        </w:rPr>
      </w:pPr>
      <w:r>
        <w:rPr>
          <w:sz w:val="20"/>
        </w:rPr>
        <w:t>Personas trabajadoras en actividades como: fabricación de antioxidantes, barnices y explosivos, colorantes, envases plásticos para la industria alimenticia, estabilizadores para la industria del caucho, explosivos, fabricación de herbicidas, industria textil, pegamentos, pinturas sintéticas, poliuretano, productos farmacéuticos, productos químicos agrícolas, química, resinas y tintas.</w:t>
      </w:r>
    </w:p>
    <w:p>
      <w:pPr>
        <w:pStyle w:val="ListParagraph"/>
        <w:numPr>
          <w:ilvl w:val="2"/>
          <w:numId w:val="160"/>
        </w:numPr>
        <w:tabs>
          <w:tab w:pos="1045" w:val="left" w:leader="none"/>
          <w:tab w:pos="1058" w:val="left" w:leader="none"/>
        </w:tabs>
        <w:spacing w:line="240" w:lineRule="auto" w:before="229" w:after="0"/>
        <w:ind w:left="1058" w:right="34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88" w:val="left" w:leader="none"/>
        </w:tabs>
        <w:spacing w:line="240" w:lineRule="auto" w:before="226" w:after="0"/>
        <w:ind w:left="338" w:right="344" w:firstLine="288"/>
        <w:jc w:val="left"/>
      </w:pPr>
      <w:r>
        <w:rPr/>
        <w:t>Efectos tóxicos por otros derivados halogenados de hidrocarburos alifáticos. Cloruro de metilo (clorometano) y cloruro de metileno (diclorometano)</w:t>
      </w:r>
    </w:p>
    <w:p>
      <w:pPr>
        <w:pStyle w:val="BodyText"/>
        <w:spacing w:before="4"/>
        <w:rPr>
          <w:rFonts w:ascii="Arial"/>
          <w:b/>
        </w:rPr>
      </w:pPr>
    </w:p>
    <w:p>
      <w:pPr>
        <w:pStyle w:val="BodyText"/>
        <w:ind w:left="626"/>
      </w:pPr>
      <w:r>
        <w:rPr/>
        <w:t>Código</w:t>
      </w:r>
      <w:r>
        <w:rPr>
          <w:spacing w:val="-8"/>
        </w:rPr>
        <w:t> </w:t>
      </w:r>
      <w:r>
        <w:rPr/>
        <w:t>CIE-11:</w:t>
      </w:r>
      <w:r>
        <w:rPr>
          <w:spacing w:val="-7"/>
        </w:rPr>
        <w:t> </w:t>
      </w:r>
      <w:r>
        <w:rPr/>
        <w:t>NE61,</w:t>
      </w:r>
      <w:r>
        <w:rPr>
          <w:spacing w:val="-6"/>
        </w:rPr>
        <w:t> </w:t>
      </w:r>
      <w:r>
        <w:rPr/>
        <w:t>PB35,</w:t>
      </w:r>
      <w:r>
        <w:rPr>
          <w:spacing w:val="-7"/>
        </w:rPr>
        <w:t> </w:t>
      </w:r>
      <w:r>
        <w:rPr/>
        <w:t>PH55,</w:t>
      </w:r>
      <w:r>
        <w:rPr>
          <w:spacing w:val="-7"/>
        </w:rPr>
        <w:t> </w:t>
      </w:r>
      <w:r>
        <w:rPr/>
        <w:t>XM29D2,</w:t>
      </w:r>
      <w:r>
        <w:rPr>
          <w:spacing w:val="-7"/>
        </w:rPr>
        <w:t> </w:t>
      </w:r>
      <w:r>
        <w:rPr>
          <w:spacing w:val="-2"/>
        </w:rPr>
        <w:t>XM73T7</w:t>
      </w:r>
    </w:p>
    <w:p>
      <w:pPr>
        <w:pStyle w:val="ListParagraph"/>
        <w:numPr>
          <w:ilvl w:val="2"/>
          <w:numId w:val="160"/>
        </w:numPr>
        <w:tabs>
          <w:tab w:pos="1045" w:val="left" w:leader="none"/>
          <w:tab w:pos="1058" w:val="left" w:leader="none"/>
        </w:tabs>
        <w:spacing w:line="240" w:lineRule="auto" w:before="229" w:after="0"/>
        <w:ind w:left="1058" w:right="346" w:hanging="432"/>
        <w:jc w:val="both"/>
        <w:rPr>
          <w:sz w:val="20"/>
        </w:rPr>
      </w:pPr>
      <w:r>
        <w:rPr>
          <w:sz w:val="20"/>
        </w:rPr>
        <w:t>Personas trabajadoras que utilizan el cloruro de metilo como frigorífico o el cloruro de metileno como</w:t>
      </w:r>
      <w:r>
        <w:rPr>
          <w:spacing w:val="21"/>
          <w:sz w:val="20"/>
        </w:rPr>
        <w:t> </w:t>
      </w:r>
      <w:r>
        <w:rPr>
          <w:sz w:val="20"/>
        </w:rPr>
        <w:t>agente</w:t>
      </w:r>
      <w:r>
        <w:rPr>
          <w:spacing w:val="23"/>
          <w:sz w:val="20"/>
        </w:rPr>
        <w:t> </w:t>
      </w:r>
      <w:r>
        <w:rPr>
          <w:sz w:val="20"/>
        </w:rPr>
        <w:t>de</w:t>
      </w:r>
      <w:r>
        <w:rPr>
          <w:spacing w:val="23"/>
          <w:sz w:val="20"/>
        </w:rPr>
        <w:t> </w:t>
      </w:r>
      <w:r>
        <w:rPr>
          <w:sz w:val="20"/>
        </w:rPr>
        <w:t>soplado</w:t>
      </w:r>
      <w:r>
        <w:rPr>
          <w:spacing w:val="23"/>
          <w:sz w:val="20"/>
        </w:rPr>
        <w:t> </w:t>
      </w:r>
      <w:r>
        <w:rPr>
          <w:sz w:val="20"/>
        </w:rPr>
        <w:t>en</w:t>
      </w:r>
      <w:r>
        <w:rPr>
          <w:spacing w:val="23"/>
          <w:sz w:val="20"/>
        </w:rPr>
        <w:t> </w:t>
      </w:r>
      <w:r>
        <w:rPr>
          <w:sz w:val="20"/>
        </w:rPr>
        <w:t>espumas,</w:t>
      </w:r>
      <w:r>
        <w:rPr>
          <w:spacing w:val="21"/>
          <w:sz w:val="20"/>
        </w:rPr>
        <w:t> </w:t>
      </w:r>
      <w:r>
        <w:rPr>
          <w:sz w:val="20"/>
        </w:rPr>
        <w:t>agente</w:t>
      </w:r>
      <w:r>
        <w:rPr>
          <w:spacing w:val="23"/>
          <w:sz w:val="20"/>
        </w:rPr>
        <w:t> </w:t>
      </w:r>
      <w:r>
        <w:rPr>
          <w:sz w:val="20"/>
        </w:rPr>
        <w:t>quitamanchas,</w:t>
      </w:r>
      <w:r>
        <w:rPr>
          <w:spacing w:val="21"/>
          <w:sz w:val="20"/>
        </w:rPr>
        <w:t> </w:t>
      </w:r>
      <w:r>
        <w:rPr>
          <w:sz w:val="20"/>
        </w:rPr>
        <w:t>anestésico</w:t>
      </w:r>
      <w:r>
        <w:rPr>
          <w:spacing w:val="23"/>
          <w:sz w:val="20"/>
        </w:rPr>
        <w:t> </w:t>
      </w:r>
      <w:r>
        <w:rPr>
          <w:sz w:val="20"/>
        </w:rPr>
        <w:t>local,</w:t>
      </w:r>
      <w:r>
        <w:rPr>
          <w:spacing w:val="23"/>
          <w:sz w:val="20"/>
        </w:rPr>
        <w:t> </w:t>
      </w:r>
      <w:r>
        <w:rPr>
          <w:sz w:val="20"/>
        </w:rPr>
        <w:t>componente</w:t>
      </w:r>
      <w:r>
        <w:rPr>
          <w:spacing w:val="23"/>
          <w:sz w:val="20"/>
        </w:rPr>
        <w:t> </w:t>
      </w:r>
      <w:r>
        <w:rPr>
          <w:sz w:val="20"/>
        </w:rPr>
        <w:t>de</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058" w:right="336"/>
        <w:jc w:val="both"/>
      </w:pPr>
      <w:r>
        <w:rPr/>
        <w:t>aerosoles, desengrasante, disolvente, eliminadores de pinturas, extracción farmacéutica y de alimentos, fumigante, industria de las pinturas, industria fotográfica, mezclas de disolventes para ésteres y éteres de celulosa, películas fotográficas especiales, plaguicidas, recubrimientos de tejidos y curtidos, refrigeración y taxidermistas.</w:t>
      </w:r>
    </w:p>
    <w:p>
      <w:pPr>
        <w:pStyle w:val="BodyText"/>
        <w:spacing w:before="1"/>
      </w:pPr>
    </w:p>
    <w:p>
      <w:pPr>
        <w:pStyle w:val="ListParagraph"/>
        <w:numPr>
          <w:ilvl w:val="2"/>
          <w:numId w:val="160"/>
        </w:numPr>
        <w:tabs>
          <w:tab w:pos="1045" w:val="left" w:leader="none"/>
          <w:tab w:pos="1058" w:val="left" w:leader="none"/>
        </w:tabs>
        <w:spacing w:line="240" w:lineRule="auto" w:before="0" w:after="0"/>
        <w:ind w:left="1058" w:right="33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6" w:after="0"/>
        <w:ind w:left="1069" w:right="0" w:hanging="443"/>
        <w:jc w:val="left"/>
      </w:pPr>
      <w:r>
        <w:rPr/>
        <w:t>Efectos</w:t>
      </w:r>
      <w:r>
        <w:rPr>
          <w:spacing w:val="-7"/>
        </w:rPr>
        <w:t> </w:t>
      </w:r>
      <w:r>
        <w:rPr/>
        <w:t>tóxicos</w:t>
      </w:r>
      <w:r>
        <w:rPr>
          <w:spacing w:val="-8"/>
        </w:rPr>
        <w:t> </w:t>
      </w:r>
      <w:r>
        <w:rPr/>
        <w:t>por</w:t>
      </w:r>
      <w:r>
        <w:rPr>
          <w:spacing w:val="-6"/>
        </w:rPr>
        <w:t> </w:t>
      </w:r>
      <w:r>
        <w:rPr/>
        <w:t>otros</w:t>
      </w:r>
      <w:r>
        <w:rPr>
          <w:spacing w:val="-8"/>
        </w:rPr>
        <w:t> </w:t>
      </w:r>
      <w:r>
        <w:rPr/>
        <w:t>disolventes</w:t>
      </w:r>
      <w:r>
        <w:rPr>
          <w:spacing w:val="-9"/>
        </w:rPr>
        <w:t> </w:t>
      </w:r>
      <w:r>
        <w:rPr/>
        <w:t>orgánicos.</w:t>
      </w:r>
      <w:r>
        <w:rPr>
          <w:spacing w:val="-8"/>
        </w:rPr>
        <w:t> </w:t>
      </w:r>
      <w:r>
        <w:rPr/>
        <w:t>Disulfuro</w:t>
      </w:r>
      <w:r>
        <w:rPr>
          <w:spacing w:val="-7"/>
        </w:rPr>
        <w:t> </w:t>
      </w:r>
      <w:r>
        <w:rPr/>
        <w:t>de</w:t>
      </w:r>
      <w:r>
        <w:rPr>
          <w:spacing w:val="-8"/>
        </w:rPr>
        <w:t> </w:t>
      </w:r>
      <w:r>
        <w:rPr>
          <w:spacing w:val="-2"/>
        </w:rPr>
        <w:t>carbono</w:t>
      </w:r>
    </w:p>
    <w:p>
      <w:pPr>
        <w:pStyle w:val="BodyText"/>
        <w:spacing w:before="4"/>
        <w:rPr>
          <w:rFonts w:ascii="Arial"/>
          <w:b/>
        </w:rPr>
      </w:pPr>
    </w:p>
    <w:p>
      <w:pPr>
        <w:pStyle w:val="BodyText"/>
        <w:ind w:left="626"/>
      </w:pPr>
      <w:r>
        <w:rPr/>
        <w:t>Código</w:t>
      </w:r>
      <w:r>
        <w:rPr>
          <w:spacing w:val="-9"/>
        </w:rPr>
        <w:t> </w:t>
      </w:r>
      <w:r>
        <w:rPr/>
        <w:t>CIE-11:</w:t>
      </w:r>
      <w:r>
        <w:rPr>
          <w:spacing w:val="-5"/>
        </w:rPr>
        <w:t> </w:t>
      </w:r>
      <w:r>
        <w:rPr/>
        <w:t>PB31,</w:t>
      </w:r>
      <w:r>
        <w:rPr>
          <w:spacing w:val="-5"/>
        </w:rPr>
        <w:t> </w:t>
      </w:r>
      <w:r>
        <w:rPr/>
        <w:t>PH51,</w:t>
      </w:r>
      <w:r>
        <w:rPr>
          <w:spacing w:val="-8"/>
        </w:rPr>
        <w:t> </w:t>
      </w:r>
      <w:r>
        <w:rPr/>
        <w:t>NE61,</w:t>
      </w:r>
      <w:r>
        <w:rPr>
          <w:spacing w:val="-5"/>
        </w:rPr>
        <w:t> </w:t>
      </w:r>
      <w:r>
        <w:rPr/>
        <w:t>PE91,</w:t>
      </w:r>
      <w:r>
        <w:rPr>
          <w:spacing w:val="-6"/>
        </w:rPr>
        <w:t> </w:t>
      </w:r>
      <w:r>
        <w:rPr>
          <w:spacing w:val="-2"/>
        </w:rPr>
        <w:t>XM7S46</w:t>
      </w:r>
    </w:p>
    <w:p>
      <w:pPr>
        <w:pStyle w:val="ListParagraph"/>
        <w:numPr>
          <w:ilvl w:val="2"/>
          <w:numId w:val="160"/>
        </w:numPr>
        <w:tabs>
          <w:tab w:pos="1045" w:val="left" w:leader="none"/>
          <w:tab w:pos="1058" w:val="left" w:leader="none"/>
        </w:tabs>
        <w:spacing w:line="240" w:lineRule="auto" w:before="229" w:after="0"/>
        <w:ind w:left="1058" w:right="334" w:hanging="432"/>
        <w:jc w:val="both"/>
        <w:rPr>
          <w:sz w:val="20"/>
        </w:rPr>
      </w:pPr>
      <w:r>
        <w:rPr>
          <w:sz w:val="20"/>
        </w:rPr>
        <w:t>Personas trabajadoras expuestas durante su producción o en la utilización del disolvente en el brillo de metales preciosos en galvanoplastia, celofán, como plaguicida y herbicida, como un agente para incrementar la resistencia a la corrosión y el desgaste de metales, cristal óptico, en</w:t>
      </w:r>
      <w:r>
        <w:rPr>
          <w:spacing w:val="40"/>
          <w:sz w:val="20"/>
        </w:rPr>
        <w:t> </w:t>
      </w:r>
      <w:r>
        <w:rPr>
          <w:sz w:val="20"/>
        </w:rPr>
        <w:t>la conversión y procesamiento de hidrocarburos, en la extracción de aceites y grasas, en la industria refinadora de petróleo y en parafinas, en la preparación de alcanfor, grasas y lacas, fabricación de la viscosa, gomas y resinas, manufactura de fósforos, lubricante de sopletes, industria de semiconductores eléctricos, inhibidor en la polimerización de cloruro de vinilo, producción de adhesivos para madera, agentes de flotación, resinas, tiocianatos y xantatos, purificación</w:t>
      </w:r>
      <w:r>
        <w:rPr>
          <w:spacing w:val="-2"/>
          <w:sz w:val="20"/>
        </w:rPr>
        <w:t> </w:t>
      </w:r>
      <w:r>
        <w:rPr>
          <w:sz w:val="20"/>
        </w:rPr>
        <w:t>de</w:t>
      </w:r>
      <w:r>
        <w:rPr>
          <w:spacing w:val="-3"/>
          <w:sz w:val="20"/>
        </w:rPr>
        <w:t> </w:t>
      </w:r>
      <w:r>
        <w:rPr>
          <w:sz w:val="20"/>
        </w:rPr>
        <w:t>petróleo,</w:t>
      </w:r>
      <w:r>
        <w:rPr>
          <w:spacing w:val="-2"/>
          <w:sz w:val="20"/>
        </w:rPr>
        <w:t> </w:t>
      </w:r>
      <w:r>
        <w:rPr>
          <w:sz w:val="20"/>
        </w:rPr>
        <w:t>rayón,</w:t>
      </w:r>
      <w:r>
        <w:rPr>
          <w:spacing w:val="-2"/>
          <w:sz w:val="20"/>
        </w:rPr>
        <w:t> </w:t>
      </w:r>
      <w:r>
        <w:rPr>
          <w:sz w:val="20"/>
        </w:rPr>
        <w:t>removedor</w:t>
      </w:r>
      <w:r>
        <w:rPr>
          <w:spacing w:val="-1"/>
          <w:sz w:val="20"/>
        </w:rPr>
        <w:t> </w:t>
      </w:r>
      <w:r>
        <w:rPr>
          <w:sz w:val="20"/>
        </w:rPr>
        <w:t>de óxido de</w:t>
      </w:r>
      <w:r>
        <w:rPr>
          <w:spacing w:val="-2"/>
          <w:sz w:val="20"/>
        </w:rPr>
        <w:t> </w:t>
      </w:r>
      <w:r>
        <w:rPr>
          <w:sz w:val="20"/>
        </w:rPr>
        <w:t>metales y</w:t>
      </w:r>
      <w:r>
        <w:rPr>
          <w:spacing w:val="-5"/>
          <w:sz w:val="20"/>
        </w:rPr>
        <w:t> </w:t>
      </w:r>
      <w:r>
        <w:rPr>
          <w:sz w:val="20"/>
        </w:rPr>
        <w:t>para la</w:t>
      </w:r>
      <w:r>
        <w:rPr>
          <w:spacing w:val="-2"/>
          <w:sz w:val="20"/>
        </w:rPr>
        <w:t> </w:t>
      </w:r>
      <w:r>
        <w:rPr>
          <w:sz w:val="20"/>
        </w:rPr>
        <w:t>remoción y</w:t>
      </w:r>
      <w:r>
        <w:rPr>
          <w:spacing w:val="-5"/>
          <w:sz w:val="20"/>
        </w:rPr>
        <w:t> </w:t>
      </w:r>
      <w:r>
        <w:rPr>
          <w:sz w:val="20"/>
        </w:rPr>
        <w:t>recuperación de</w:t>
      </w:r>
      <w:r>
        <w:rPr>
          <w:spacing w:val="-5"/>
          <w:sz w:val="20"/>
        </w:rPr>
        <w:t> </w:t>
      </w:r>
      <w:r>
        <w:rPr>
          <w:sz w:val="20"/>
        </w:rPr>
        <w:t>metales y</w:t>
      </w:r>
      <w:r>
        <w:rPr>
          <w:spacing w:val="-6"/>
          <w:sz w:val="20"/>
        </w:rPr>
        <w:t> </w:t>
      </w:r>
      <w:r>
        <w:rPr>
          <w:sz w:val="20"/>
        </w:rPr>
        <w:t>otros</w:t>
      </w:r>
      <w:r>
        <w:rPr>
          <w:spacing w:val="-1"/>
          <w:sz w:val="20"/>
        </w:rPr>
        <w:t> </w:t>
      </w:r>
      <w:r>
        <w:rPr>
          <w:sz w:val="20"/>
        </w:rPr>
        <w:t>elementos</w:t>
      </w:r>
      <w:r>
        <w:rPr>
          <w:spacing w:val="-3"/>
          <w:sz w:val="20"/>
        </w:rPr>
        <w:t> </w:t>
      </w:r>
      <w:r>
        <w:rPr>
          <w:sz w:val="20"/>
        </w:rPr>
        <w:t>de</w:t>
      </w:r>
      <w:r>
        <w:rPr>
          <w:spacing w:val="-5"/>
          <w:sz w:val="20"/>
        </w:rPr>
        <w:t> </w:t>
      </w:r>
      <w:r>
        <w:rPr>
          <w:sz w:val="20"/>
        </w:rPr>
        <w:t>aguas</w:t>
      </w:r>
      <w:r>
        <w:rPr>
          <w:spacing w:val="-1"/>
          <w:sz w:val="20"/>
        </w:rPr>
        <w:t> </w:t>
      </w:r>
      <w:r>
        <w:rPr>
          <w:sz w:val="20"/>
        </w:rPr>
        <w:t>de</w:t>
      </w:r>
      <w:r>
        <w:rPr>
          <w:spacing w:val="-3"/>
          <w:sz w:val="20"/>
        </w:rPr>
        <w:t> </w:t>
      </w:r>
      <w:r>
        <w:rPr>
          <w:sz w:val="20"/>
        </w:rPr>
        <w:t>desecho y</w:t>
      </w:r>
      <w:r>
        <w:rPr>
          <w:spacing w:val="-5"/>
          <w:sz w:val="20"/>
        </w:rPr>
        <w:t> </w:t>
      </w:r>
      <w:r>
        <w:rPr>
          <w:sz w:val="20"/>
        </w:rPr>
        <w:t>otros</w:t>
      </w:r>
      <w:r>
        <w:rPr>
          <w:spacing w:val="-3"/>
          <w:sz w:val="20"/>
        </w:rPr>
        <w:t> </w:t>
      </w:r>
      <w:r>
        <w:rPr>
          <w:sz w:val="20"/>
        </w:rPr>
        <w:t>medios,</w:t>
      </w:r>
      <w:r>
        <w:rPr>
          <w:spacing w:val="-4"/>
          <w:sz w:val="20"/>
        </w:rPr>
        <w:t> </w:t>
      </w:r>
      <w:r>
        <w:rPr>
          <w:sz w:val="20"/>
        </w:rPr>
        <w:t>vulcanización</w:t>
      </w:r>
      <w:r>
        <w:rPr>
          <w:spacing w:val="-4"/>
          <w:sz w:val="20"/>
        </w:rPr>
        <w:t> </w:t>
      </w:r>
      <w:r>
        <w:rPr>
          <w:sz w:val="20"/>
        </w:rPr>
        <w:t>del</w:t>
      </w:r>
      <w:r>
        <w:rPr>
          <w:spacing w:val="-5"/>
          <w:sz w:val="20"/>
        </w:rPr>
        <w:t> </w:t>
      </w:r>
      <w:r>
        <w:rPr>
          <w:sz w:val="20"/>
        </w:rPr>
        <w:t>hule</w:t>
      </w:r>
      <w:r>
        <w:rPr>
          <w:spacing w:val="-2"/>
          <w:sz w:val="20"/>
        </w:rPr>
        <w:t> </w:t>
      </w:r>
      <w:r>
        <w:rPr>
          <w:sz w:val="20"/>
        </w:rPr>
        <w:t>en</w:t>
      </w:r>
      <w:r>
        <w:rPr>
          <w:spacing w:val="-2"/>
          <w:sz w:val="20"/>
        </w:rPr>
        <w:t> </w:t>
      </w:r>
      <w:r>
        <w:rPr>
          <w:sz w:val="20"/>
        </w:rPr>
        <w:t>frío, vulcanización y manufactura de cauchos y accesorios de caucho y fotografía instantánea.</w:t>
      </w:r>
    </w:p>
    <w:p>
      <w:pPr>
        <w:pStyle w:val="ListParagraph"/>
        <w:numPr>
          <w:ilvl w:val="2"/>
          <w:numId w:val="160"/>
        </w:numPr>
        <w:tabs>
          <w:tab w:pos="1045" w:val="left" w:leader="none"/>
          <w:tab w:pos="1058" w:val="left" w:leader="none"/>
        </w:tabs>
        <w:spacing w:line="240" w:lineRule="auto" w:before="228" w:after="0"/>
        <w:ind w:left="1058" w:right="336"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8" w:after="0"/>
        <w:ind w:left="1069" w:right="0" w:hanging="443"/>
        <w:jc w:val="left"/>
      </w:pPr>
      <w:r>
        <w:rPr/>
        <w:t>Efectos</w:t>
      </w:r>
      <w:r>
        <w:rPr>
          <w:spacing w:val="-6"/>
        </w:rPr>
        <w:t> </w:t>
      </w:r>
      <w:r>
        <w:rPr/>
        <w:t>tóxicos</w:t>
      </w:r>
      <w:r>
        <w:rPr>
          <w:spacing w:val="-8"/>
        </w:rPr>
        <w:t> </w:t>
      </w:r>
      <w:r>
        <w:rPr/>
        <w:t>por</w:t>
      </w:r>
      <w:r>
        <w:rPr>
          <w:spacing w:val="-5"/>
        </w:rPr>
        <w:t> </w:t>
      </w:r>
      <w:r>
        <w:rPr/>
        <w:t>otros</w:t>
      </w:r>
      <w:r>
        <w:rPr>
          <w:spacing w:val="-8"/>
        </w:rPr>
        <w:t> </w:t>
      </w:r>
      <w:r>
        <w:rPr/>
        <w:t>gases,</w:t>
      </w:r>
      <w:r>
        <w:rPr>
          <w:spacing w:val="-7"/>
        </w:rPr>
        <w:t> </w:t>
      </w:r>
      <w:r>
        <w:rPr/>
        <w:t>humos</w:t>
      </w:r>
      <w:r>
        <w:rPr>
          <w:spacing w:val="-6"/>
        </w:rPr>
        <w:t> </w:t>
      </w:r>
      <w:r>
        <w:rPr/>
        <w:t>y</w:t>
      </w:r>
      <w:r>
        <w:rPr>
          <w:spacing w:val="-8"/>
        </w:rPr>
        <w:t> </w:t>
      </w:r>
      <w:r>
        <w:rPr/>
        <w:t>vapores</w:t>
      </w:r>
      <w:r>
        <w:rPr>
          <w:spacing w:val="-8"/>
        </w:rPr>
        <w:t> </w:t>
      </w:r>
      <w:r>
        <w:rPr/>
        <w:t>especificados.</w:t>
      </w:r>
      <w:r>
        <w:rPr>
          <w:spacing w:val="-6"/>
        </w:rPr>
        <w:t> </w:t>
      </w:r>
      <w:r>
        <w:rPr/>
        <w:t>Dióxido</w:t>
      </w:r>
      <w:r>
        <w:rPr>
          <w:spacing w:val="-6"/>
        </w:rPr>
        <w:t> </w:t>
      </w:r>
      <w:r>
        <w:rPr/>
        <w:t>de</w:t>
      </w:r>
      <w:r>
        <w:rPr>
          <w:spacing w:val="-8"/>
        </w:rPr>
        <w:t> </w:t>
      </w:r>
      <w:r>
        <w:rPr>
          <w:spacing w:val="-2"/>
        </w:rPr>
        <w:t>Carbono</w:t>
      </w:r>
    </w:p>
    <w:p>
      <w:pPr>
        <w:pStyle w:val="BodyText"/>
        <w:spacing w:before="1"/>
        <w:rPr>
          <w:rFonts w:ascii="Arial"/>
          <w:b/>
        </w:rPr>
      </w:pPr>
    </w:p>
    <w:p>
      <w:pPr>
        <w:pStyle w:val="BodyText"/>
        <w:ind w:left="626"/>
      </w:pPr>
      <w:r>
        <w:rPr/>
        <w:t>Código</w:t>
      </w:r>
      <w:r>
        <w:rPr>
          <w:spacing w:val="-8"/>
        </w:rPr>
        <w:t> </w:t>
      </w:r>
      <w:r>
        <w:rPr/>
        <w:t>CIE-11:</w:t>
      </w:r>
      <w:r>
        <w:rPr>
          <w:spacing w:val="-7"/>
        </w:rPr>
        <w:t> </w:t>
      </w:r>
      <w:r>
        <w:rPr/>
        <w:t>MD11.Y,</w:t>
      </w:r>
      <w:r>
        <w:rPr>
          <w:spacing w:val="-7"/>
        </w:rPr>
        <w:t> </w:t>
      </w:r>
      <w:r>
        <w:rPr/>
        <w:t>NE61,</w:t>
      </w:r>
      <w:r>
        <w:rPr>
          <w:spacing w:val="-5"/>
        </w:rPr>
        <w:t> </w:t>
      </w:r>
      <w:r>
        <w:rPr/>
        <w:t>PE95,</w:t>
      </w:r>
      <w:r>
        <w:rPr>
          <w:spacing w:val="-7"/>
        </w:rPr>
        <w:t> </w:t>
      </w:r>
      <w:r>
        <w:rPr/>
        <w:t>PB36,</w:t>
      </w:r>
      <w:r>
        <w:rPr>
          <w:spacing w:val="-5"/>
        </w:rPr>
        <w:t> </w:t>
      </w:r>
      <w:r>
        <w:rPr/>
        <w:t>PH56,</w:t>
      </w:r>
      <w:r>
        <w:rPr>
          <w:spacing w:val="-7"/>
        </w:rPr>
        <w:t> </w:t>
      </w:r>
      <w:r>
        <w:rPr>
          <w:spacing w:val="-2"/>
        </w:rPr>
        <w:t>XM8XZ6</w:t>
      </w:r>
    </w:p>
    <w:p>
      <w:pPr>
        <w:pStyle w:val="ListParagraph"/>
        <w:numPr>
          <w:ilvl w:val="2"/>
          <w:numId w:val="160"/>
        </w:numPr>
        <w:tabs>
          <w:tab w:pos="1045" w:val="left" w:leader="none"/>
          <w:tab w:pos="1058" w:val="left" w:leader="none"/>
        </w:tabs>
        <w:spacing w:line="240" w:lineRule="auto" w:before="230" w:after="0"/>
        <w:ind w:left="1058" w:right="339" w:hanging="432"/>
        <w:jc w:val="both"/>
        <w:rPr>
          <w:sz w:val="20"/>
        </w:rPr>
      </w:pPr>
      <w:r>
        <w:rPr>
          <w:sz w:val="20"/>
        </w:rPr>
        <w:t>Personas trabajadoras de la industria de las bebidas gaseosas, en actividades relacionadas con los buzos, en la fábrica de abonos, fábrica de extintores, gasificación de aguas minerales, hielo seco, niebla artificial y preparación de nieve carbónica, industria alimentaria, letrineros y poceros, personas trabajadoras expuestas durante la combustión o fermentación de compuestos de </w:t>
      </w:r>
      <w:r>
        <w:rPr>
          <w:spacing w:val="-2"/>
          <w:sz w:val="20"/>
        </w:rPr>
        <w:t>carbono.</w:t>
      </w:r>
    </w:p>
    <w:p>
      <w:pPr>
        <w:pStyle w:val="ListParagraph"/>
        <w:numPr>
          <w:ilvl w:val="2"/>
          <w:numId w:val="160"/>
        </w:numPr>
        <w:tabs>
          <w:tab w:pos="1045" w:val="left" w:leader="none"/>
          <w:tab w:pos="1058" w:val="left" w:leader="none"/>
        </w:tabs>
        <w:spacing w:line="240" w:lineRule="auto" w:before="230" w:after="0"/>
        <w:ind w:left="1058" w:right="33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w:t>
      </w:r>
      <w:r>
        <w:rPr>
          <w:spacing w:val="40"/>
          <w:sz w:val="20"/>
        </w:rPr>
        <w:t> </w:t>
      </w:r>
      <w:r>
        <w:rPr>
          <w:sz w:val="20"/>
        </w:rPr>
        <w:t>origen o con motivo del trabajo o en el medio que la persona trabajadora se vea obligada a prestar sus servicios.</w:t>
      </w:r>
    </w:p>
    <w:p>
      <w:pPr>
        <w:pStyle w:val="Heading3"/>
        <w:numPr>
          <w:ilvl w:val="1"/>
          <w:numId w:val="160"/>
        </w:numPr>
        <w:tabs>
          <w:tab w:pos="1088" w:val="left" w:leader="none"/>
        </w:tabs>
        <w:spacing w:line="240" w:lineRule="auto" w:before="226" w:after="0"/>
        <w:ind w:left="338" w:right="347" w:firstLine="288"/>
        <w:jc w:val="left"/>
      </w:pPr>
      <w:r>
        <w:rPr/>
        <w:t>Efectos tóxicos por otros gases, humos y vapores especificados (gas de flúor y fluoruro de hidrógeno)</w:t>
      </w:r>
    </w:p>
    <w:p>
      <w:pPr>
        <w:pStyle w:val="Heading3"/>
        <w:spacing w:after="0" w:line="240" w:lineRule="auto"/>
        <w:jc w:val="left"/>
        <w:sectPr>
          <w:pgSz w:w="12240" w:h="15840"/>
          <w:pgMar w:header="724" w:footer="712" w:top="1880" w:bottom="900" w:left="1080" w:right="1080"/>
        </w:sectPr>
      </w:pPr>
    </w:p>
    <w:p>
      <w:pPr>
        <w:pStyle w:val="BodyText"/>
        <w:spacing w:before="65"/>
        <w:rPr>
          <w:rFonts w:ascii="Arial"/>
          <w:b/>
        </w:rPr>
      </w:pPr>
    </w:p>
    <w:p>
      <w:pPr>
        <w:pStyle w:val="BodyText"/>
        <w:ind w:left="626"/>
      </w:pPr>
      <w:r>
        <w:rPr/>
        <w:t>Código</w:t>
      </w:r>
      <w:r>
        <w:rPr>
          <w:spacing w:val="-9"/>
        </w:rPr>
        <w:t> </w:t>
      </w:r>
      <w:r>
        <w:rPr/>
        <w:t>CIE-11:</w:t>
      </w:r>
      <w:r>
        <w:rPr>
          <w:spacing w:val="-5"/>
        </w:rPr>
        <w:t> </w:t>
      </w:r>
      <w:r>
        <w:rPr/>
        <w:t>PE95,</w:t>
      </w:r>
      <w:r>
        <w:rPr>
          <w:spacing w:val="-6"/>
        </w:rPr>
        <w:t> </w:t>
      </w:r>
      <w:r>
        <w:rPr/>
        <w:t>PB36,</w:t>
      </w:r>
      <w:r>
        <w:rPr>
          <w:spacing w:val="-7"/>
        </w:rPr>
        <w:t> </w:t>
      </w:r>
      <w:r>
        <w:rPr/>
        <w:t>PH56,</w:t>
      </w:r>
      <w:r>
        <w:rPr>
          <w:spacing w:val="-5"/>
        </w:rPr>
        <w:t> </w:t>
      </w:r>
      <w:r>
        <w:rPr/>
        <w:t>CA81.Y,</w:t>
      </w:r>
      <w:r>
        <w:rPr>
          <w:spacing w:val="-8"/>
        </w:rPr>
        <w:t> </w:t>
      </w:r>
      <w:r>
        <w:rPr>
          <w:spacing w:val="-4"/>
        </w:rPr>
        <w:t>NE61</w:t>
      </w:r>
    </w:p>
    <w:p>
      <w:pPr>
        <w:pStyle w:val="ListParagraph"/>
        <w:numPr>
          <w:ilvl w:val="2"/>
          <w:numId w:val="160"/>
        </w:numPr>
        <w:tabs>
          <w:tab w:pos="1045" w:val="left" w:leader="none"/>
          <w:tab w:pos="1058" w:val="left" w:leader="none"/>
        </w:tabs>
        <w:spacing w:line="240" w:lineRule="auto" w:before="230" w:after="0"/>
        <w:ind w:left="1058" w:right="341" w:hanging="432"/>
        <w:jc w:val="both"/>
        <w:rPr>
          <w:sz w:val="20"/>
        </w:rPr>
      </w:pPr>
      <w:r>
        <w:rPr>
          <w:sz w:val="20"/>
        </w:rPr>
        <w:t>Personas trabajadoras en la preparación del barnizado de la madera, blanqueo, coloración de sedas,</w:t>
      </w:r>
      <w:r>
        <w:rPr>
          <w:spacing w:val="-3"/>
          <w:sz w:val="20"/>
        </w:rPr>
        <w:t> </w:t>
      </w:r>
      <w:r>
        <w:rPr>
          <w:sz w:val="20"/>
        </w:rPr>
        <w:t>como</w:t>
      </w:r>
      <w:r>
        <w:rPr>
          <w:spacing w:val="-3"/>
          <w:sz w:val="20"/>
        </w:rPr>
        <w:t> </w:t>
      </w:r>
      <w:r>
        <w:rPr>
          <w:sz w:val="20"/>
        </w:rPr>
        <w:t>impermeabilizantes</w:t>
      </w:r>
      <w:r>
        <w:rPr>
          <w:spacing w:val="-2"/>
          <w:sz w:val="20"/>
        </w:rPr>
        <w:t> </w:t>
      </w:r>
      <w:r>
        <w:rPr>
          <w:sz w:val="20"/>
        </w:rPr>
        <w:t>del</w:t>
      </w:r>
      <w:r>
        <w:rPr>
          <w:spacing w:val="-2"/>
          <w:sz w:val="20"/>
        </w:rPr>
        <w:t> </w:t>
      </w:r>
      <w:r>
        <w:rPr>
          <w:sz w:val="20"/>
        </w:rPr>
        <w:t>cemento,</w:t>
      </w:r>
      <w:r>
        <w:rPr>
          <w:spacing w:val="-3"/>
          <w:sz w:val="20"/>
        </w:rPr>
        <w:t> </w:t>
      </w:r>
      <w:r>
        <w:rPr>
          <w:sz w:val="20"/>
        </w:rPr>
        <w:t>fabricación</w:t>
      </w:r>
      <w:r>
        <w:rPr>
          <w:spacing w:val="-1"/>
          <w:sz w:val="20"/>
        </w:rPr>
        <w:t> </w:t>
      </w:r>
      <w:r>
        <w:rPr>
          <w:sz w:val="20"/>
        </w:rPr>
        <w:t>de</w:t>
      </w:r>
      <w:r>
        <w:rPr>
          <w:spacing w:val="-4"/>
          <w:sz w:val="20"/>
        </w:rPr>
        <w:t> </w:t>
      </w:r>
      <w:r>
        <w:rPr>
          <w:sz w:val="20"/>
        </w:rPr>
        <w:t>recubrimientos antiadherentes,</w:t>
      </w:r>
      <w:r>
        <w:rPr>
          <w:spacing w:val="-3"/>
          <w:sz w:val="20"/>
        </w:rPr>
        <w:t> </w:t>
      </w:r>
      <w:r>
        <w:rPr>
          <w:sz w:val="20"/>
        </w:rPr>
        <w:t>flúor y compuestos fluorados, grabado, industria vidriera, metalurgia del aluminio y del berilio, preparación de insecticidas y raticidas, preparación del ácido fluorhídrico, soldadura, superfosfatos y</w:t>
      </w:r>
      <w:r>
        <w:rPr>
          <w:spacing w:val="-5"/>
          <w:sz w:val="20"/>
        </w:rPr>
        <w:t> </w:t>
      </w:r>
      <w:r>
        <w:rPr>
          <w:sz w:val="20"/>
        </w:rPr>
        <w:t>compuestos. Asimismo, es utilizado como intermediario en la fabricación de otras sustancias orgánicas fluoradas.</w:t>
      </w:r>
    </w:p>
    <w:p>
      <w:pPr>
        <w:pStyle w:val="ListParagraph"/>
        <w:numPr>
          <w:ilvl w:val="2"/>
          <w:numId w:val="160"/>
        </w:numPr>
        <w:tabs>
          <w:tab w:pos="1045" w:val="left" w:leader="none"/>
          <w:tab w:pos="1058" w:val="left" w:leader="none"/>
        </w:tabs>
        <w:spacing w:line="240" w:lineRule="auto" w:before="230" w:after="0"/>
        <w:ind w:left="1058" w:right="337"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126" w:val="left" w:leader="none"/>
        </w:tabs>
        <w:spacing w:line="240" w:lineRule="auto" w:before="226" w:after="0"/>
        <w:ind w:left="338" w:right="344" w:firstLine="288"/>
        <w:jc w:val="left"/>
      </w:pPr>
      <w:r>
        <w:rPr/>
        <w:t>Efectos</w:t>
      </w:r>
      <w:r>
        <w:rPr>
          <w:spacing w:val="40"/>
        </w:rPr>
        <w:t> </w:t>
      </w:r>
      <w:r>
        <w:rPr/>
        <w:t>tóxicos</w:t>
      </w:r>
      <w:r>
        <w:rPr>
          <w:spacing w:val="40"/>
        </w:rPr>
        <w:t> </w:t>
      </w:r>
      <w:r>
        <w:rPr/>
        <w:t>por</w:t>
      </w:r>
      <w:r>
        <w:rPr>
          <w:spacing w:val="40"/>
        </w:rPr>
        <w:t> </w:t>
      </w:r>
      <w:r>
        <w:rPr/>
        <w:t>nitroderivados</w:t>
      </w:r>
      <w:r>
        <w:rPr>
          <w:spacing w:val="40"/>
        </w:rPr>
        <w:t> </w:t>
      </w:r>
      <w:r>
        <w:rPr/>
        <w:t>y</w:t>
      </w:r>
      <w:r>
        <w:rPr>
          <w:spacing w:val="40"/>
        </w:rPr>
        <w:t> </w:t>
      </w:r>
      <w:r>
        <w:rPr/>
        <w:t>aminoderivados</w:t>
      </w:r>
      <w:r>
        <w:rPr>
          <w:spacing w:val="40"/>
        </w:rPr>
        <w:t> </w:t>
      </w:r>
      <w:r>
        <w:rPr/>
        <w:t>del</w:t>
      </w:r>
      <w:r>
        <w:rPr>
          <w:spacing w:val="40"/>
        </w:rPr>
        <w:t> </w:t>
      </w:r>
      <w:r>
        <w:rPr/>
        <w:t>benceno</w:t>
      </w:r>
      <w:r>
        <w:rPr>
          <w:spacing w:val="40"/>
        </w:rPr>
        <w:t> </w:t>
      </w:r>
      <w:r>
        <w:rPr/>
        <w:t>y</w:t>
      </w:r>
      <w:r>
        <w:rPr>
          <w:spacing w:val="40"/>
        </w:rPr>
        <w:t> </w:t>
      </w:r>
      <w:r>
        <w:rPr/>
        <w:t>sus</w:t>
      </w:r>
      <w:r>
        <w:rPr>
          <w:spacing w:val="40"/>
        </w:rPr>
        <w:t> </w:t>
      </w:r>
      <w:r>
        <w:rPr/>
        <w:t>homólogos. Nitrobenceno y trinitrotolueno (3-nitrotolueno)</w:t>
      </w:r>
    </w:p>
    <w:p>
      <w:pPr>
        <w:pStyle w:val="BodyText"/>
        <w:spacing w:before="4"/>
        <w:rPr>
          <w:rFonts w:ascii="Arial"/>
          <w:b/>
        </w:rPr>
      </w:pPr>
    </w:p>
    <w:p>
      <w:pPr>
        <w:pStyle w:val="BodyText"/>
        <w:ind w:left="626"/>
      </w:pPr>
      <w:r>
        <w:rPr/>
        <w:t>Código</w:t>
      </w:r>
      <w:r>
        <w:rPr>
          <w:spacing w:val="-8"/>
        </w:rPr>
        <w:t> </w:t>
      </w:r>
      <w:r>
        <w:rPr/>
        <w:t>CIE-11:</w:t>
      </w:r>
      <w:r>
        <w:rPr>
          <w:spacing w:val="-7"/>
        </w:rPr>
        <w:t> </w:t>
      </w:r>
      <w:r>
        <w:rPr/>
        <w:t>NE61,</w:t>
      </w:r>
      <w:r>
        <w:rPr>
          <w:spacing w:val="-6"/>
        </w:rPr>
        <w:t> </w:t>
      </w:r>
      <w:r>
        <w:rPr/>
        <w:t>XM2W93,</w:t>
      </w:r>
      <w:r>
        <w:rPr>
          <w:spacing w:val="-7"/>
        </w:rPr>
        <w:t> </w:t>
      </w:r>
      <w:r>
        <w:rPr>
          <w:spacing w:val="-2"/>
        </w:rPr>
        <w:t>XM1X35</w:t>
      </w:r>
    </w:p>
    <w:p>
      <w:pPr>
        <w:pStyle w:val="ListParagraph"/>
        <w:numPr>
          <w:ilvl w:val="2"/>
          <w:numId w:val="160"/>
        </w:numPr>
        <w:tabs>
          <w:tab w:pos="1045" w:val="left" w:leader="none"/>
          <w:tab w:pos="1058" w:val="left" w:leader="none"/>
        </w:tabs>
        <w:spacing w:line="240" w:lineRule="auto" w:before="227" w:after="0"/>
        <w:ind w:left="1058" w:right="335" w:hanging="432"/>
        <w:jc w:val="both"/>
        <w:rPr>
          <w:sz w:val="20"/>
        </w:rPr>
      </w:pPr>
      <w:r>
        <w:rPr>
          <w:sz w:val="20"/>
        </w:rPr>
        <w:t>Personas trabajadoras en actividades relacionadas con la fabricación de: acelerantes y antioxidantes de la industria del caucho y en su vulcanización en frío, betunes para zapatos,</w:t>
      </w:r>
      <w:r>
        <w:rPr>
          <w:spacing w:val="40"/>
          <w:sz w:val="20"/>
        </w:rPr>
        <w:t> </w:t>
      </w:r>
      <w:r>
        <w:rPr>
          <w:sz w:val="20"/>
        </w:rPr>
        <w:t>como adulterante para sustituir la esencia natural de almendras amargas, derivados del petróleo, explosivos, fabricación de licores, fungicidas, industria química</w:t>
      </w:r>
      <w:r>
        <w:rPr>
          <w:spacing w:val="-1"/>
          <w:sz w:val="20"/>
        </w:rPr>
        <w:t> </w:t>
      </w:r>
      <w:r>
        <w:rPr>
          <w:sz w:val="20"/>
        </w:rPr>
        <w:t>como</w:t>
      </w:r>
      <w:r>
        <w:rPr>
          <w:spacing w:val="-1"/>
          <w:sz w:val="20"/>
        </w:rPr>
        <w:t> </w:t>
      </w:r>
      <w:r>
        <w:rPr>
          <w:sz w:val="20"/>
        </w:rPr>
        <w:t>productos intermediarios en la síntesis de anilina y derivados del alquitrán, insecticidas, perfumes, plásticos, telas,</w:t>
      </w:r>
      <w:r>
        <w:rPr>
          <w:spacing w:val="40"/>
          <w:sz w:val="20"/>
        </w:rPr>
        <w:t> </w:t>
      </w:r>
      <w:r>
        <w:rPr>
          <w:sz w:val="20"/>
        </w:rPr>
        <w:t>preparación de barnices, preparaciones farmacéuticas, pulidores de suelos, resinas sintéticas, reveladores de fotografía, personas trabajadoras de la producción o manipulación de nitro- benceno, toluidinas, trinitrotolueno y xilidinas.</w:t>
      </w:r>
    </w:p>
    <w:p>
      <w:pPr>
        <w:pStyle w:val="ListParagraph"/>
        <w:numPr>
          <w:ilvl w:val="2"/>
          <w:numId w:val="160"/>
        </w:numPr>
        <w:tabs>
          <w:tab w:pos="1045" w:val="left" w:leader="none"/>
          <w:tab w:pos="1058" w:val="left" w:leader="none"/>
        </w:tabs>
        <w:spacing w:line="240" w:lineRule="auto" w:before="229" w:after="0"/>
        <w:ind w:left="1058" w:right="33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8" w:after="0"/>
        <w:ind w:left="1069" w:right="0" w:hanging="443"/>
        <w:jc w:val="left"/>
      </w:pPr>
      <w:r>
        <w:rPr/>
        <w:t>Efectos</w:t>
      </w:r>
      <w:r>
        <w:rPr>
          <w:spacing w:val="-6"/>
        </w:rPr>
        <w:t> </w:t>
      </w:r>
      <w:r>
        <w:rPr/>
        <w:t>tóxicos</w:t>
      </w:r>
      <w:r>
        <w:rPr>
          <w:spacing w:val="-8"/>
        </w:rPr>
        <w:t> </w:t>
      </w:r>
      <w:r>
        <w:rPr/>
        <w:t>por</w:t>
      </w:r>
      <w:r>
        <w:rPr>
          <w:spacing w:val="-6"/>
        </w:rPr>
        <w:t> </w:t>
      </w:r>
      <w:r>
        <w:rPr/>
        <w:t>otros</w:t>
      </w:r>
      <w:r>
        <w:rPr>
          <w:spacing w:val="-7"/>
        </w:rPr>
        <w:t> </w:t>
      </w:r>
      <w:r>
        <w:rPr/>
        <w:t>gases,</w:t>
      </w:r>
      <w:r>
        <w:rPr>
          <w:spacing w:val="-8"/>
        </w:rPr>
        <w:t> </w:t>
      </w:r>
      <w:r>
        <w:rPr/>
        <w:t>humos</w:t>
      </w:r>
      <w:r>
        <w:rPr>
          <w:spacing w:val="-5"/>
        </w:rPr>
        <w:t> </w:t>
      </w:r>
      <w:r>
        <w:rPr/>
        <w:t>y</w:t>
      </w:r>
      <w:r>
        <w:rPr>
          <w:spacing w:val="-8"/>
        </w:rPr>
        <w:t> </w:t>
      </w:r>
      <w:r>
        <w:rPr/>
        <w:t>vapores</w:t>
      </w:r>
      <w:r>
        <w:rPr>
          <w:spacing w:val="-8"/>
        </w:rPr>
        <w:t> </w:t>
      </w:r>
      <w:r>
        <w:rPr/>
        <w:t>especificados:</w:t>
      </w:r>
      <w:r>
        <w:rPr>
          <w:spacing w:val="-8"/>
        </w:rPr>
        <w:t> </w:t>
      </w:r>
      <w:r>
        <w:rPr/>
        <w:t>óxido</w:t>
      </w:r>
      <w:r>
        <w:rPr>
          <w:spacing w:val="-7"/>
        </w:rPr>
        <w:t> </w:t>
      </w:r>
      <w:r>
        <w:rPr/>
        <w:t>de</w:t>
      </w:r>
      <w:r>
        <w:rPr>
          <w:spacing w:val="-7"/>
        </w:rPr>
        <w:t> </w:t>
      </w:r>
      <w:r>
        <w:rPr>
          <w:spacing w:val="-2"/>
        </w:rPr>
        <w:t>nitrógeno</w:t>
      </w:r>
    </w:p>
    <w:p>
      <w:pPr>
        <w:pStyle w:val="BodyText"/>
        <w:spacing w:before="1"/>
        <w:rPr>
          <w:rFonts w:ascii="Arial"/>
          <w:b/>
        </w:rPr>
      </w:pPr>
    </w:p>
    <w:p>
      <w:pPr>
        <w:pStyle w:val="BodyText"/>
        <w:ind w:left="626"/>
      </w:pPr>
      <w:r>
        <w:rPr/>
        <w:t>Código</w:t>
      </w:r>
      <w:r>
        <w:rPr>
          <w:spacing w:val="-8"/>
        </w:rPr>
        <w:t> </w:t>
      </w:r>
      <w:r>
        <w:rPr/>
        <w:t>CIE-11:</w:t>
      </w:r>
      <w:r>
        <w:rPr>
          <w:spacing w:val="-5"/>
        </w:rPr>
        <w:t> </w:t>
      </w:r>
      <w:r>
        <w:rPr/>
        <w:t>PE95,</w:t>
      </w:r>
      <w:r>
        <w:rPr>
          <w:spacing w:val="-5"/>
        </w:rPr>
        <w:t> </w:t>
      </w:r>
      <w:r>
        <w:rPr/>
        <w:t>PB36,</w:t>
      </w:r>
      <w:r>
        <w:rPr>
          <w:spacing w:val="-6"/>
        </w:rPr>
        <w:t> </w:t>
      </w:r>
      <w:r>
        <w:rPr/>
        <w:t>PH56,</w:t>
      </w:r>
      <w:r>
        <w:rPr>
          <w:spacing w:val="-5"/>
        </w:rPr>
        <w:t> </w:t>
      </w:r>
      <w:r>
        <w:rPr/>
        <w:t>NE61,</w:t>
      </w:r>
      <w:r>
        <w:rPr>
          <w:spacing w:val="-7"/>
        </w:rPr>
        <w:t> </w:t>
      </w:r>
      <w:r>
        <w:rPr>
          <w:spacing w:val="-2"/>
        </w:rPr>
        <w:t>XM69M3</w:t>
      </w:r>
    </w:p>
    <w:p>
      <w:pPr>
        <w:pStyle w:val="ListParagraph"/>
        <w:numPr>
          <w:ilvl w:val="2"/>
          <w:numId w:val="160"/>
        </w:numPr>
        <w:tabs>
          <w:tab w:pos="1045" w:val="left" w:leader="none"/>
          <w:tab w:pos="1058" w:val="left" w:leader="none"/>
        </w:tabs>
        <w:spacing w:line="240" w:lineRule="auto" w:before="229" w:after="0"/>
        <w:ind w:left="1058" w:right="338" w:hanging="432"/>
        <w:jc w:val="both"/>
        <w:rPr>
          <w:sz w:val="20"/>
        </w:rPr>
      </w:pPr>
      <w:r>
        <w:rPr>
          <w:sz w:val="20"/>
        </w:rPr>
        <w:t>Personas trabajadoras en contacto con gases, humos y vapores de óxidos de nitrógeno, soldadores y cortadores, que manejan los silos de hierbas forrajeras y maíz. Personas trabajadoras expuestas a humos de motores diésel, asimismo, aquellas que realizan actividades en el decapado con ácido nítrico de artículos de latón y cobre, fabricación de colorantes, explosivos, lacas y nitrocelulosa, fotograbado y huecograbado.</w:t>
      </w:r>
    </w:p>
    <w:p>
      <w:pPr>
        <w:pStyle w:val="BodyText"/>
      </w:pPr>
    </w:p>
    <w:p>
      <w:pPr>
        <w:pStyle w:val="ListParagraph"/>
        <w:numPr>
          <w:ilvl w:val="2"/>
          <w:numId w:val="160"/>
        </w:numPr>
        <w:tabs>
          <w:tab w:pos="1045" w:val="left" w:leader="none"/>
          <w:tab w:pos="1058" w:val="left" w:leader="none"/>
        </w:tabs>
        <w:spacing w:line="240" w:lineRule="auto" w:before="0" w:after="0"/>
        <w:ind w:left="1058" w:right="336"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6" w:after="0"/>
        <w:ind w:left="1069" w:right="0" w:hanging="443"/>
        <w:jc w:val="left"/>
      </w:pPr>
      <w:r>
        <w:rPr/>
        <w:t>Efectos</w:t>
      </w:r>
      <w:r>
        <w:rPr>
          <w:spacing w:val="-7"/>
        </w:rPr>
        <w:t> </w:t>
      </w:r>
      <w:r>
        <w:rPr/>
        <w:t>tóxicos</w:t>
      </w:r>
      <w:r>
        <w:rPr>
          <w:spacing w:val="-8"/>
        </w:rPr>
        <w:t> </w:t>
      </w:r>
      <w:r>
        <w:rPr/>
        <w:t>por</w:t>
      </w:r>
      <w:r>
        <w:rPr>
          <w:spacing w:val="-6"/>
        </w:rPr>
        <w:t> </w:t>
      </w:r>
      <w:r>
        <w:rPr/>
        <w:t>otros</w:t>
      </w:r>
      <w:r>
        <w:rPr>
          <w:spacing w:val="-8"/>
        </w:rPr>
        <w:t> </w:t>
      </w:r>
      <w:r>
        <w:rPr/>
        <w:t>gases,</w:t>
      </w:r>
      <w:r>
        <w:rPr>
          <w:spacing w:val="-8"/>
        </w:rPr>
        <w:t> </w:t>
      </w:r>
      <w:r>
        <w:rPr/>
        <w:t>humos</w:t>
      </w:r>
      <w:r>
        <w:rPr>
          <w:spacing w:val="-6"/>
        </w:rPr>
        <w:t> </w:t>
      </w:r>
      <w:r>
        <w:rPr/>
        <w:t>y</w:t>
      </w:r>
      <w:r>
        <w:rPr>
          <w:spacing w:val="-8"/>
        </w:rPr>
        <w:t> </w:t>
      </w:r>
      <w:r>
        <w:rPr/>
        <w:t>vapores</w:t>
      </w:r>
      <w:r>
        <w:rPr>
          <w:spacing w:val="-9"/>
        </w:rPr>
        <w:t> </w:t>
      </w:r>
      <w:r>
        <w:rPr/>
        <w:t>especificados:</w:t>
      </w:r>
      <w:r>
        <w:rPr>
          <w:spacing w:val="-5"/>
        </w:rPr>
        <w:t> </w:t>
      </w:r>
      <w:r>
        <w:rPr/>
        <w:t>sulfuro</w:t>
      </w:r>
      <w:r>
        <w:rPr>
          <w:spacing w:val="-8"/>
        </w:rPr>
        <w:t> </w:t>
      </w:r>
      <w:r>
        <w:rPr/>
        <w:t>de</w:t>
      </w:r>
      <w:r>
        <w:rPr>
          <w:spacing w:val="-8"/>
        </w:rPr>
        <w:t> </w:t>
      </w:r>
      <w:r>
        <w:rPr>
          <w:spacing w:val="-2"/>
        </w:rPr>
        <w:t>hidrógeno</w:t>
      </w:r>
    </w:p>
    <w:p>
      <w:pPr>
        <w:pStyle w:val="Heading3"/>
        <w:spacing w:after="0" w:line="240" w:lineRule="auto"/>
        <w:jc w:val="left"/>
        <w:sectPr>
          <w:pgSz w:w="12240" w:h="15840"/>
          <w:pgMar w:header="724" w:footer="712" w:top="1880" w:bottom="900" w:left="1080" w:right="1080"/>
        </w:sectPr>
      </w:pPr>
    </w:p>
    <w:p>
      <w:pPr>
        <w:pStyle w:val="BodyText"/>
        <w:rPr>
          <w:rFonts w:ascii="Arial"/>
          <w:b/>
        </w:rPr>
      </w:pPr>
    </w:p>
    <w:p>
      <w:pPr>
        <w:pStyle w:val="BodyText"/>
        <w:spacing w:before="66"/>
        <w:rPr>
          <w:rFonts w:ascii="Arial"/>
          <w:b/>
        </w:rPr>
      </w:pPr>
    </w:p>
    <w:p>
      <w:pPr>
        <w:pStyle w:val="BodyText"/>
        <w:ind w:left="626"/>
      </w:pPr>
      <w:r>
        <w:rPr/>
        <w:t>Código</w:t>
      </w:r>
      <w:r>
        <w:rPr>
          <w:spacing w:val="-9"/>
        </w:rPr>
        <w:t> </w:t>
      </w:r>
      <w:r>
        <w:rPr/>
        <w:t>CIE-11:</w:t>
      </w:r>
      <w:r>
        <w:rPr>
          <w:spacing w:val="-5"/>
        </w:rPr>
        <w:t> </w:t>
      </w:r>
      <w:r>
        <w:rPr/>
        <w:t>PE95,</w:t>
      </w:r>
      <w:r>
        <w:rPr>
          <w:spacing w:val="-6"/>
        </w:rPr>
        <w:t> </w:t>
      </w:r>
      <w:r>
        <w:rPr/>
        <w:t>PB36,</w:t>
      </w:r>
      <w:r>
        <w:rPr>
          <w:spacing w:val="-7"/>
        </w:rPr>
        <w:t> </w:t>
      </w:r>
      <w:r>
        <w:rPr/>
        <w:t>PH56,</w:t>
      </w:r>
      <w:r>
        <w:rPr>
          <w:spacing w:val="-7"/>
        </w:rPr>
        <w:t> </w:t>
      </w:r>
      <w:r>
        <w:rPr>
          <w:spacing w:val="-2"/>
        </w:rPr>
        <w:t>XM7FL0</w:t>
      </w:r>
    </w:p>
    <w:p>
      <w:pPr>
        <w:pStyle w:val="ListParagraph"/>
        <w:numPr>
          <w:ilvl w:val="2"/>
          <w:numId w:val="160"/>
        </w:numPr>
        <w:tabs>
          <w:tab w:pos="1045" w:val="left" w:leader="none"/>
          <w:tab w:pos="1058" w:val="left" w:leader="none"/>
        </w:tabs>
        <w:spacing w:line="240" w:lineRule="auto" w:before="229" w:after="0"/>
        <w:ind w:left="1058" w:right="335" w:hanging="432"/>
        <w:jc w:val="both"/>
        <w:rPr>
          <w:sz w:val="20"/>
        </w:rPr>
      </w:pPr>
      <w:r>
        <w:rPr>
          <w:sz w:val="20"/>
        </w:rPr>
        <w:t>Personas trabajadoras con actividades relacionadas en el almacén de excremento de animales para abono, bodegas pesqueras, de proyectos de excavación para la extracción de petróleo o gas, espacios confinados con materia orgánica en descomposición, en la industria de productos metálicos como candados de bronce y orfebrería en bronce, curtiembres, plantas de tratamiento de aguas residuales, personas trabajadoras en contacto con blanqueo, combustión de azufre, conservación de alimentos, estampadores, fabricación de ácido sulfúrico, fumigadores, gases, humos y vapores de sulfuro de hidrógeno, mineros (de las minas de azufre), papeles de colores, preparación de anhídrido sulfuroso en estado gaseoso y líquido, refrigeración y tintorería.</w:t>
      </w:r>
    </w:p>
    <w:p>
      <w:pPr>
        <w:pStyle w:val="ListParagraph"/>
        <w:numPr>
          <w:ilvl w:val="2"/>
          <w:numId w:val="160"/>
        </w:numPr>
        <w:tabs>
          <w:tab w:pos="1045" w:val="left" w:leader="none"/>
          <w:tab w:pos="1058" w:val="left" w:leader="none"/>
        </w:tabs>
        <w:spacing w:line="240" w:lineRule="auto" w:before="229" w:after="0"/>
        <w:ind w:left="1058" w:right="33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w:t>
      </w:r>
      <w:r>
        <w:rPr>
          <w:spacing w:val="40"/>
          <w:sz w:val="20"/>
        </w:rPr>
        <w:t> </w:t>
      </w:r>
      <w:r>
        <w:rPr>
          <w:sz w:val="20"/>
        </w:rPr>
        <w:t>vea obligada a prestar sus servicios.</w:t>
      </w:r>
    </w:p>
    <w:p>
      <w:pPr>
        <w:pStyle w:val="Heading3"/>
        <w:numPr>
          <w:ilvl w:val="1"/>
          <w:numId w:val="160"/>
        </w:numPr>
        <w:tabs>
          <w:tab w:pos="1069" w:val="left" w:leader="none"/>
        </w:tabs>
        <w:spacing w:line="240" w:lineRule="auto" w:before="229" w:after="0"/>
        <w:ind w:left="1069" w:right="0" w:hanging="443"/>
        <w:jc w:val="left"/>
      </w:pPr>
      <w:r>
        <w:rPr/>
        <w:t>Efectos</w:t>
      </w:r>
      <w:r>
        <w:rPr>
          <w:spacing w:val="-6"/>
        </w:rPr>
        <w:t> </w:t>
      </w:r>
      <w:r>
        <w:rPr/>
        <w:t>tóxicos</w:t>
      </w:r>
      <w:r>
        <w:rPr>
          <w:spacing w:val="-7"/>
        </w:rPr>
        <w:t> </w:t>
      </w:r>
      <w:r>
        <w:rPr/>
        <w:t>por</w:t>
      </w:r>
      <w:r>
        <w:rPr>
          <w:spacing w:val="-5"/>
        </w:rPr>
        <w:t> </w:t>
      </w:r>
      <w:r>
        <w:rPr/>
        <w:t>otros</w:t>
      </w:r>
      <w:r>
        <w:rPr>
          <w:spacing w:val="-7"/>
        </w:rPr>
        <w:t> </w:t>
      </w:r>
      <w:r>
        <w:rPr/>
        <w:t>gases,</w:t>
      </w:r>
      <w:r>
        <w:rPr>
          <w:spacing w:val="-7"/>
        </w:rPr>
        <w:t> </w:t>
      </w:r>
      <w:r>
        <w:rPr/>
        <w:t>humos</w:t>
      </w:r>
      <w:r>
        <w:rPr>
          <w:spacing w:val="-5"/>
        </w:rPr>
        <w:t> </w:t>
      </w:r>
      <w:r>
        <w:rPr/>
        <w:t>y</w:t>
      </w:r>
      <w:r>
        <w:rPr>
          <w:spacing w:val="-7"/>
        </w:rPr>
        <w:t> </w:t>
      </w:r>
      <w:r>
        <w:rPr/>
        <w:t>vapores:</w:t>
      </w:r>
      <w:r>
        <w:rPr>
          <w:spacing w:val="-6"/>
        </w:rPr>
        <w:t> </w:t>
      </w:r>
      <w:r>
        <w:rPr/>
        <w:t>cloro</w:t>
      </w:r>
      <w:r>
        <w:rPr>
          <w:spacing w:val="-6"/>
        </w:rPr>
        <w:t> </w:t>
      </w:r>
      <w:r>
        <w:rPr>
          <w:spacing w:val="-2"/>
        </w:rPr>
        <w:t>gaseoso</w:t>
      </w:r>
    </w:p>
    <w:p>
      <w:pPr>
        <w:pStyle w:val="BodyText"/>
        <w:rPr>
          <w:rFonts w:ascii="Arial"/>
          <w:b/>
        </w:rPr>
      </w:pPr>
    </w:p>
    <w:p>
      <w:pPr>
        <w:pStyle w:val="BodyText"/>
        <w:ind w:left="626"/>
      </w:pPr>
      <w:r>
        <w:rPr/>
        <w:t>Código</w:t>
      </w:r>
      <w:r>
        <w:rPr>
          <w:spacing w:val="-8"/>
        </w:rPr>
        <w:t> </w:t>
      </w:r>
      <w:r>
        <w:rPr/>
        <w:t>CIE-11:</w:t>
      </w:r>
      <w:r>
        <w:rPr>
          <w:spacing w:val="-6"/>
        </w:rPr>
        <w:t> </w:t>
      </w:r>
      <w:r>
        <w:rPr/>
        <w:t>PE95,</w:t>
      </w:r>
      <w:r>
        <w:rPr>
          <w:spacing w:val="-5"/>
        </w:rPr>
        <w:t> </w:t>
      </w:r>
      <w:r>
        <w:rPr/>
        <w:t>PB36,</w:t>
      </w:r>
      <w:r>
        <w:rPr>
          <w:spacing w:val="-7"/>
        </w:rPr>
        <w:t> </w:t>
      </w:r>
      <w:r>
        <w:rPr/>
        <w:t>PH56,</w:t>
      </w:r>
      <w:r>
        <w:rPr>
          <w:spacing w:val="-6"/>
        </w:rPr>
        <w:t> </w:t>
      </w:r>
      <w:r>
        <w:rPr/>
        <w:t>NE61,</w:t>
      </w:r>
      <w:r>
        <w:rPr>
          <w:spacing w:val="-7"/>
        </w:rPr>
        <w:t> </w:t>
      </w:r>
      <w:r>
        <w:rPr>
          <w:spacing w:val="-2"/>
        </w:rPr>
        <w:t>XM0GT6</w:t>
      </w:r>
    </w:p>
    <w:p>
      <w:pPr>
        <w:pStyle w:val="BodyText"/>
      </w:pPr>
    </w:p>
    <w:p>
      <w:pPr>
        <w:pStyle w:val="ListParagraph"/>
        <w:numPr>
          <w:ilvl w:val="2"/>
          <w:numId w:val="160"/>
        </w:numPr>
        <w:tabs>
          <w:tab w:pos="1045" w:val="left" w:leader="none"/>
          <w:tab w:pos="1058" w:val="left" w:leader="none"/>
        </w:tabs>
        <w:spacing w:line="240" w:lineRule="auto" w:before="0" w:after="0"/>
        <w:ind w:left="1058" w:right="334" w:hanging="432"/>
        <w:jc w:val="both"/>
        <w:rPr>
          <w:sz w:val="20"/>
        </w:rPr>
      </w:pPr>
      <w:r>
        <w:rPr>
          <w:sz w:val="20"/>
        </w:rPr>
        <w:t>Personas trabajadoras en la preparación del cloro y compuestos clorados, como desinfectante,</w:t>
      </w:r>
      <w:r>
        <w:rPr>
          <w:spacing w:val="40"/>
          <w:sz w:val="20"/>
        </w:rPr>
        <w:t> </w:t>
      </w:r>
      <w:r>
        <w:rPr>
          <w:sz w:val="20"/>
        </w:rPr>
        <w:t>en forma de disolventes, fabricación de plásticos y polímeros, fabricación de textiles y papel, productos agroquímicos y farmacéuticos, purificadores y blanqueadores, semiconductores eléctricos, personas trabajadoras de la industria del aluminio, criolita y teflón. Asimismo, es utilizado</w:t>
      </w:r>
      <w:r>
        <w:rPr>
          <w:spacing w:val="-3"/>
          <w:sz w:val="20"/>
        </w:rPr>
        <w:t> </w:t>
      </w:r>
      <w:r>
        <w:rPr>
          <w:sz w:val="20"/>
        </w:rPr>
        <w:t>como</w:t>
      </w:r>
      <w:r>
        <w:rPr>
          <w:spacing w:val="-3"/>
          <w:sz w:val="20"/>
        </w:rPr>
        <w:t> </w:t>
      </w:r>
      <w:r>
        <w:rPr>
          <w:sz w:val="20"/>
        </w:rPr>
        <w:t>intermediario</w:t>
      </w:r>
      <w:r>
        <w:rPr>
          <w:spacing w:val="-3"/>
          <w:sz w:val="20"/>
        </w:rPr>
        <w:t> </w:t>
      </w:r>
      <w:r>
        <w:rPr>
          <w:sz w:val="20"/>
        </w:rPr>
        <w:t>en</w:t>
      </w:r>
      <w:r>
        <w:rPr>
          <w:spacing w:val="-1"/>
          <w:sz w:val="20"/>
        </w:rPr>
        <w:t> </w:t>
      </w:r>
      <w:r>
        <w:rPr>
          <w:sz w:val="20"/>
        </w:rPr>
        <w:t>la</w:t>
      </w:r>
      <w:r>
        <w:rPr>
          <w:spacing w:val="-3"/>
          <w:sz w:val="20"/>
        </w:rPr>
        <w:t> </w:t>
      </w:r>
      <w:r>
        <w:rPr>
          <w:sz w:val="20"/>
        </w:rPr>
        <w:t>fabricación</w:t>
      </w:r>
      <w:r>
        <w:rPr>
          <w:spacing w:val="-1"/>
          <w:sz w:val="20"/>
        </w:rPr>
        <w:t> </w:t>
      </w:r>
      <w:r>
        <w:rPr>
          <w:sz w:val="20"/>
        </w:rPr>
        <w:t>de</w:t>
      </w:r>
      <w:r>
        <w:rPr>
          <w:spacing w:val="-3"/>
          <w:sz w:val="20"/>
        </w:rPr>
        <w:t> </w:t>
      </w:r>
      <w:r>
        <w:rPr>
          <w:sz w:val="20"/>
        </w:rPr>
        <w:t>otras</w:t>
      </w:r>
      <w:r>
        <w:rPr>
          <w:spacing w:val="-2"/>
          <w:sz w:val="20"/>
        </w:rPr>
        <w:t> </w:t>
      </w:r>
      <w:r>
        <w:rPr>
          <w:sz w:val="20"/>
        </w:rPr>
        <w:t>sustancias</w:t>
      </w:r>
      <w:r>
        <w:rPr>
          <w:spacing w:val="-2"/>
          <w:sz w:val="20"/>
        </w:rPr>
        <w:t> </w:t>
      </w:r>
      <w:r>
        <w:rPr>
          <w:sz w:val="20"/>
        </w:rPr>
        <w:t>en</w:t>
      </w:r>
      <w:r>
        <w:rPr>
          <w:spacing w:val="-1"/>
          <w:sz w:val="20"/>
        </w:rPr>
        <w:t> </w:t>
      </w:r>
      <w:r>
        <w:rPr>
          <w:sz w:val="20"/>
        </w:rPr>
        <w:t>las</w:t>
      </w:r>
      <w:r>
        <w:rPr>
          <w:spacing w:val="-2"/>
          <w:sz w:val="20"/>
        </w:rPr>
        <w:t> </w:t>
      </w:r>
      <w:r>
        <w:rPr>
          <w:sz w:val="20"/>
        </w:rPr>
        <w:t>que</w:t>
      </w:r>
      <w:r>
        <w:rPr>
          <w:spacing w:val="-2"/>
          <w:sz w:val="20"/>
        </w:rPr>
        <w:t> </w:t>
      </w:r>
      <w:r>
        <w:rPr>
          <w:sz w:val="20"/>
        </w:rPr>
        <w:t>no</w:t>
      </w:r>
      <w:r>
        <w:rPr>
          <w:spacing w:val="-1"/>
          <w:sz w:val="20"/>
        </w:rPr>
        <w:t> </w:t>
      </w:r>
      <w:r>
        <w:rPr>
          <w:sz w:val="20"/>
        </w:rPr>
        <w:t>está</w:t>
      </w:r>
      <w:r>
        <w:rPr>
          <w:spacing w:val="-4"/>
          <w:sz w:val="20"/>
        </w:rPr>
        <w:t> </w:t>
      </w:r>
      <w:r>
        <w:rPr>
          <w:sz w:val="20"/>
        </w:rPr>
        <w:t>contenida</w:t>
      </w:r>
      <w:r>
        <w:rPr>
          <w:spacing w:val="-1"/>
          <w:sz w:val="20"/>
        </w:rPr>
        <w:t> </w:t>
      </w:r>
      <w:r>
        <w:rPr>
          <w:sz w:val="20"/>
        </w:rPr>
        <w:t>en el producto final.</w:t>
      </w:r>
    </w:p>
    <w:p>
      <w:pPr>
        <w:pStyle w:val="ListParagraph"/>
        <w:numPr>
          <w:ilvl w:val="2"/>
          <w:numId w:val="160"/>
        </w:numPr>
        <w:tabs>
          <w:tab w:pos="1045" w:val="left" w:leader="none"/>
          <w:tab w:pos="1058" w:val="left" w:leader="none"/>
        </w:tabs>
        <w:spacing w:line="240" w:lineRule="auto" w:before="228" w:after="0"/>
        <w:ind w:left="1058" w:right="34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8" w:after="0"/>
        <w:ind w:left="1069" w:right="0" w:hanging="443"/>
        <w:jc w:val="left"/>
      </w:pPr>
      <w:r>
        <w:rPr/>
        <w:t>Efectos</w:t>
      </w:r>
      <w:r>
        <w:rPr>
          <w:spacing w:val="-7"/>
        </w:rPr>
        <w:t> </w:t>
      </w:r>
      <w:r>
        <w:rPr/>
        <w:t>tóxicos</w:t>
      </w:r>
      <w:r>
        <w:rPr>
          <w:spacing w:val="-8"/>
        </w:rPr>
        <w:t> </w:t>
      </w:r>
      <w:r>
        <w:rPr/>
        <w:t>por</w:t>
      </w:r>
      <w:r>
        <w:rPr>
          <w:spacing w:val="-6"/>
        </w:rPr>
        <w:t> </w:t>
      </w:r>
      <w:r>
        <w:rPr/>
        <w:t>plaguicidas.</w:t>
      </w:r>
      <w:r>
        <w:rPr>
          <w:spacing w:val="-8"/>
        </w:rPr>
        <w:t> </w:t>
      </w:r>
      <w:r>
        <w:rPr/>
        <w:t>Pentaclorofenol</w:t>
      </w:r>
      <w:r>
        <w:rPr>
          <w:spacing w:val="-8"/>
        </w:rPr>
        <w:t> </w:t>
      </w:r>
      <w:r>
        <w:rPr/>
        <w:t>(PCF)</w:t>
      </w:r>
      <w:r>
        <w:rPr>
          <w:spacing w:val="-4"/>
        </w:rPr>
        <w:t> </w:t>
      </w:r>
      <w:r>
        <w:rPr/>
        <w:t>y</w:t>
      </w:r>
      <w:r>
        <w:rPr>
          <w:spacing w:val="-10"/>
        </w:rPr>
        <w:t> </w:t>
      </w:r>
      <w:r>
        <w:rPr/>
        <w:t>4,6-</w:t>
      </w:r>
      <w:r>
        <w:rPr>
          <w:spacing w:val="-7"/>
        </w:rPr>
        <w:t> </w:t>
      </w:r>
      <w:r>
        <w:rPr/>
        <w:t>dinitro-o-cresol</w:t>
      </w:r>
      <w:r>
        <w:rPr>
          <w:spacing w:val="-8"/>
        </w:rPr>
        <w:t> </w:t>
      </w:r>
      <w:r>
        <w:rPr>
          <w:spacing w:val="-2"/>
        </w:rPr>
        <w:t>(DNOC)</w:t>
      </w:r>
    </w:p>
    <w:p>
      <w:pPr>
        <w:pStyle w:val="BodyText"/>
        <w:spacing w:before="1"/>
        <w:rPr>
          <w:rFonts w:ascii="Arial"/>
          <w:b/>
        </w:rPr>
      </w:pPr>
    </w:p>
    <w:p>
      <w:pPr>
        <w:pStyle w:val="BodyText"/>
        <w:ind w:left="626"/>
      </w:pPr>
      <w:r>
        <w:rPr/>
        <w:t>Código</w:t>
      </w:r>
      <w:r>
        <w:rPr>
          <w:spacing w:val="-8"/>
        </w:rPr>
        <w:t> </w:t>
      </w:r>
      <w:r>
        <w:rPr/>
        <w:t>CIE-11:</w:t>
      </w:r>
      <w:r>
        <w:rPr>
          <w:spacing w:val="-6"/>
        </w:rPr>
        <w:t> </w:t>
      </w:r>
      <w:r>
        <w:rPr/>
        <w:t>PB33,</w:t>
      </w:r>
      <w:r>
        <w:rPr>
          <w:spacing w:val="-5"/>
        </w:rPr>
        <w:t> </w:t>
      </w:r>
      <w:r>
        <w:rPr/>
        <w:t>PH53,</w:t>
      </w:r>
      <w:r>
        <w:rPr>
          <w:spacing w:val="-7"/>
        </w:rPr>
        <w:t> </w:t>
      </w:r>
      <w:r>
        <w:rPr/>
        <w:t>NE61,</w:t>
      </w:r>
      <w:r>
        <w:rPr>
          <w:spacing w:val="-5"/>
        </w:rPr>
        <w:t> </w:t>
      </w:r>
      <w:r>
        <w:rPr/>
        <w:t>PB33,</w:t>
      </w:r>
      <w:r>
        <w:rPr>
          <w:spacing w:val="-5"/>
        </w:rPr>
        <w:t> </w:t>
      </w:r>
      <w:r>
        <w:rPr/>
        <w:t>PH53,</w:t>
      </w:r>
      <w:r>
        <w:rPr>
          <w:spacing w:val="-6"/>
        </w:rPr>
        <w:t> </w:t>
      </w:r>
      <w:r>
        <w:rPr/>
        <w:t>NE61,</w:t>
      </w:r>
      <w:r>
        <w:rPr>
          <w:spacing w:val="-7"/>
        </w:rPr>
        <w:t> </w:t>
      </w:r>
      <w:r>
        <w:rPr/>
        <w:t>XM32P2,</w:t>
      </w:r>
      <w:r>
        <w:rPr>
          <w:spacing w:val="-5"/>
        </w:rPr>
        <w:t> </w:t>
      </w:r>
      <w:r>
        <w:rPr>
          <w:spacing w:val="-2"/>
        </w:rPr>
        <w:t>XM1ZR2</w:t>
      </w:r>
    </w:p>
    <w:p>
      <w:pPr>
        <w:pStyle w:val="ListParagraph"/>
        <w:numPr>
          <w:ilvl w:val="2"/>
          <w:numId w:val="160"/>
        </w:numPr>
        <w:tabs>
          <w:tab w:pos="1045" w:val="left" w:leader="none"/>
          <w:tab w:pos="1058" w:val="left" w:leader="none"/>
        </w:tabs>
        <w:spacing w:line="240" w:lineRule="auto" w:before="229" w:after="0"/>
        <w:ind w:left="1058" w:right="339" w:hanging="432"/>
        <w:jc w:val="both"/>
        <w:rPr>
          <w:sz w:val="20"/>
        </w:rPr>
      </w:pPr>
      <w:r>
        <w:rPr>
          <w:sz w:val="20"/>
        </w:rPr>
        <w:t>Personas trabajadoras que utilizan estos compuestos como</w:t>
      </w:r>
      <w:r>
        <w:rPr>
          <w:spacing w:val="-1"/>
          <w:sz w:val="20"/>
        </w:rPr>
        <w:t> </w:t>
      </w:r>
      <w:r>
        <w:rPr>
          <w:sz w:val="20"/>
        </w:rPr>
        <w:t>antipiréticos, aplicaciones en</w:t>
      </w:r>
      <w:r>
        <w:rPr>
          <w:spacing w:val="-1"/>
          <w:sz w:val="20"/>
        </w:rPr>
        <w:t> </w:t>
      </w:r>
      <w:r>
        <w:rPr>
          <w:sz w:val="20"/>
        </w:rPr>
        <w:t>síntesis de analgésicos, aplicadores de fungicidas y plaguicidas, carpinteros, ceras, conservación de madera, en la fabricación de colorantes y resinas, fungicidas e insecticidas, gomas, impregnante de fibras y textiles resistentes para vestir, plásticos, personas trabajadoras portuarios y uso </w:t>
      </w:r>
      <w:r>
        <w:rPr>
          <w:spacing w:val="-2"/>
          <w:sz w:val="20"/>
        </w:rPr>
        <w:t>forestal.</w:t>
      </w:r>
    </w:p>
    <w:p>
      <w:pPr>
        <w:pStyle w:val="BodyText"/>
      </w:pPr>
    </w:p>
    <w:p>
      <w:pPr>
        <w:pStyle w:val="ListParagraph"/>
        <w:numPr>
          <w:ilvl w:val="2"/>
          <w:numId w:val="160"/>
        </w:numPr>
        <w:tabs>
          <w:tab w:pos="1045" w:val="left" w:leader="none"/>
          <w:tab w:pos="1058" w:val="left" w:leader="none"/>
        </w:tabs>
        <w:spacing w:line="240" w:lineRule="auto" w:before="0" w:after="0"/>
        <w:ind w:left="1058" w:right="343"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6" w:after="0"/>
        <w:ind w:left="1069" w:right="0" w:hanging="443"/>
        <w:jc w:val="left"/>
      </w:pPr>
      <w:r>
        <w:rPr/>
        <w:t>Efectos</w:t>
      </w:r>
      <w:r>
        <w:rPr>
          <w:spacing w:val="-7"/>
        </w:rPr>
        <w:t> </w:t>
      </w:r>
      <w:r>
        <w:rPr/>
        <w:t>tóxicos</w:t>
      </w:r>
      <w:r>
        <w:rPr>
          <w:spacing w:val="-7"/>
        </w:rPr>
        <w:t> </w:t>
      </w:r>
      <w:r>
        <w:rPr/>
        <w:t>por</w:t>
      </w:r>
      <w:r>
        <w:rPr>
          <w:spacing w:val="-5"/>
        </w:rPr>
        <w:t> </w:t>
      </w:r>
      <w:r>
        <w:rPr/>
        <w:t>plomo</w:t>
      </w:r>
      <w:r>
        <w:rPr>
          <w:spacing w:val="-6"/>
        </w:rPr>
        <w:t> </w:t>
      </w:r>
      <w:r>
        <w:rPr/>
        <w:t>y</w:t>
      </w:r>
      <w:r>
        <w:rPr>
          <w:spacing w:val="-8"/>
        </w:rPr>
        <w:t> </w:t>
      </w:r>
      <w:r>
        <w:rPr/>
        <w:t>sus</w:t>
      </w:r>
      <w:r>
        <w:rPr>
          <w:spacing w:val="-4"/>
        </w:rPr>
        <w:t> </w:t>
      </w:r>
      <w:r>
        <w:rPr>
          <w:spacing w:val="-2"/>
        </w:rPr>
        <w:t>compuestos</w:t>
      </w:r>
    </w:p>
    <w:p>
      <w:pPr>
        <w:pStyle w:val="Heading3"/>
        <w:spacing w:after="0" w:line="240" w:lineRule="auto"/>
        <w:jc w:val="left"/>
        <w:sectPr>
          <w:pgSz w:w="12240" w:h="15840"/>
          <w:pgMar w:header="724" w:footer="712" w:top="1880" w:bottom="900" w:left="1080" w:right="1080"/>
        </w:sectPr>
      </w:pPr>
    </w:p>
    <w:p>
      <w:pPr>
        <w:pStyle w:val="BodyText"/>
        <w:rPr>
          <w:rFonts w:ascii="Arial"/>
          <w:b/>
        </w:rPr>
      </w:pPr>
    </w:p>
    <w:p>
      <w:pPr>
        <w:pStyle w:val="BodyText"/>
        <w:spacing w:before="66"/>
        <w:rPr>
          <w:rFonts w:ascii="Arial"/>
          <w:b/>
        </w:rPr>
      </w:pPr>
    </w:p>
    <w:p>
      <w:pPr>
        <w:pStyle w:val="BodyText"/>
        <w:ind w:left="338" w:firstLine="288"/>
      </w:pPr>
      <w:r>
        <w:rPr/>
        <w:t>Código CIE-11: NE61, 8D43.0Y, 8D43.2Y, GB55.1, FA25.10, CA60.Y, MA13.00, PE95, PB36, PH56, </w:t>
      </w:r>
      <w:r>
        <w:rPr>
          <w:spacing w:val="-2"/>
        </w:rPr>
        <w:t>XM0ZH6</w:t>
      </w:r>
    </w:p>
    <w:p>
      <w:pPr>
        <w:pStyle w:val="ListParagraph"/>
        <w:numPr>
          <w:ilvl w:val="2"/>
          <w:numId w:val="160"/>
        </w:numPr>
        <w:tabs>
          <w:tab w:pos="1045" w:val="left" w:leader="none"/>
          <w:tab w:pos="1058" w:val="left" w:leader="none"/>
        </w:tabs>
        <w:spacing w:line="240" w:lineRule="auto" w:before="230" w:after="0"/>
        <w:ind w:left="1058" w:right="332" w:hanging="432"/>
        <w:jc w:val="both"/>
        <w:rPr>
          <w:sz w:val="20"/>
        </w:rPr>
      </w:pPr>
      <w:r>
        <w:rPr>
          <w:sz w:val="20"/>
        </w:rPr>
        <w:t>Personas trabajadoras de albayalde, caucho, anticorrosivos, barnices, cerámica, envolturas de cables, esmalte y lacas, fabricantes de cajas para conservas, fundiciones de plomo, impresores, industria de acumuladores, baterías, insecticidas, juguetes, pigmentos, pintores, plomeros, soldadura, tubos, personas trabajadoras de la fabricación y manipulación de limpieza, plomo orgánico, preparación de carburantes y soldadura de los recipientes que lo contienen, personas trabajadoras de las fábricas de blindaje de material radioactivo, de la industria militar, de las refinerías de gasolina con plomo y de los surtidores de gasolina.</w:t>
      </w:r>
    </w:p>
    <w:p>
      <w:pPr>
        <w:pStyle w:val="ListParagraph"/>
        <w:numPr>
          <w:ilvl w:val="2"/>
          <w:numId w:val="160"/>
        </w:numPr>
        <w:tabs>
          <w:tab w:pos="1045" w:val="left" w:leader="none"/>
          <w:tab w:pos="1058" w:val="left" w:leader="none"/>
        </w:tabs>
        <w:spacing w:line="240" w:lineRule="auto" w:before="228" w:after="0"/>
        <w:ind w:left="1058" w:right="33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9" w:after="0"/>
        <w:ind w:left="1069" w:right="0" w:hanging="443"/>
        <w:jc w:val="left"/>
      </w:pPr>
      <w:r>
        <w:rPr/>
        <w:t>Efectos</w:t>
      </w:r>
      <w:r>
        <w:rPr>
          <w:spacing w:val="-7"/>
        </w:rPr>
        <w:t> </w:t>
      </w:r>
      <w:r>
        <w:rPr/>
        <w:t>tóxicos</w:t>
      </w:r>
      <w:r>
        <w:rPr>
          <w:spacing w:val="-7"/>
        </w:rPr>
        <w:t> </w:t>
      </w:r>
      <w:r>
        <w:rPr/>
        <w:t>por</w:t>
      </w:r>
      <w:r>
        <w:rPr>
          <w:spacing w:val="-8"/>
        </w:rPr>
        <w:t> </w:t>
      </w:r>
      <w:r>
        <w:rPr/>
        <w:t>rodenticida.</w:t>
      </w:r>
      <w:r>
        <w:rPr>
          <w:spacing w:val="-7"/>
        </w:rPr>
        <w:t> </w:t>
      </w:r>
      <w:r>
        <w:rPr/>
        <w:t>Sulfato</w:t>
      </w:r>
      <w:r>
        <w:rPr>
          <w:spacing w:val="-7"/>
        </w:rPr>
        <w:t> </w:t>
      </w:r>
      <w:r>
        <w:rPr/>
        <w:t>de</w:t>
      </w:r>
      <w:r>
        <w:rPr>
          <w:spacing w:val="-7"/>
        </w:rPr>
        <w:t> </w:t>
      </w:r>
      <w:r>
        <w:rPr>
          <w:spacing w:val="-2"/>
        </w:rPr>
        <w:t>talio</w:t>
      </w:r>
    </w:p>
    <w:p>
      <w:pPr>
        <w:pStyle w:val="BodyText"/>
        <w:rPr>
          <w:rFonts w:ascii="Arial"/>
          <w:b/>
        </w:rPr>
      </w:pPr>
    </w:p>
    <w:p>
      <w:pPr>
        <w:pStyle w:val="BodyText"/>
        <w:ind w:left="626"/>
      </w:pPr>
      <w:r>
        <w:rPr/>
        <w:t>Código</w:t>
      </w:r>
      <w:r>
        <w:rPr>
          <w:spacing w:val="-8"/>
        </w:rPr>
        <w:t> </w:t>
      </w:r>
      <w:r>
        <w:rPr/>
        <w:t>CIE-11:</w:t>
      </w:r>
      <w:r>
        <w:rPr>
          <w:spacing w:val="-6"/>
        </w:rPr>
        <w:t> </w:t>
      </w:r>
      <w:r>
        <w:rPr/>
        <w:t>PE93,</w:t>
      </w:r>
      <w:r>
        <w:rPr>
          <w:spacing w:val="-5"/>
        </w:rPr>
        <w:t> </w:t>
      </w:r>
      <w:r>
        <w:rPr/>
        <w:t>PB33,</w:t>
      </w:r>
      <w:r>
        <w:rPr>
          <w:spacing w:val="-7"/>
        </w:rPr>
        <w:t> </w:t>
      </w:r>
      <w:r>
        <w:rPr/>
        <w:t>PH53,</w:t>
      </w:r>
      <w:r>
        <w:rPr>
          <w:spacing w:val="-6"/>
        </w:rPr>
        <w:t> </w:t>
      </w:r>
      <w:r>
        <w:rPr/>
        <w:t>NE61,</w:t>
      </w:r>
      <w:r>
        <w:rPr>
          <w:spacing w:val="-7"/>
        </w:rPr>
        <w:t> </w:t>
      </w:r>
      <w:r>
        <w:rPr/>
        <w:t>XM2KK3,</w:t>
      </w:r>
      <w:r>
        <w:rPr>
          <w:spacing w:val="-5"/>
        </w:rPr>
        <w:t> </w:t>
      </w:r>
      <w:r>
        <w:rPr>
          <w:spacing w:val="-2"/>
        </w:rPr>
        <w:t>XM9YD2</w:t>
      </w:r>
    </w:p>
    <w:p>
      <w:pPr>
        <w:pStyle w:val="BodyText"/>
      </w:pPr>
    </w:p>
    <w:p>
      <w:pPr>
        <w:pStyle w:val="ListParagraph"/>
        <w:numPr>
          <w:ilvl w:val="2"/>
          <w:numId w:val="160"/>
        </w:numPr>
        <w:tabs>
          <w:tab w:pos="1045" w:val="left" w:leader="none"/>
          <w:tab w:pos="1058" w:val="left" w:leader="none"/>
        </w:tabs>
        <w:spacing w:line="240" w:lineRule="auto" w:before="0" w:after="0"/>
        <w:ind w:left="1058" w:right="332" w:hanging="432"/>
        <w:jc w:val="both"/>
        <w:rPr>
          <w:sz w:val="20"/>
        </w:rPr>
      </w:pPr>
      <w:r>
        <w:rPr>
          <w:sz w:val="20"/>
        </w:rPr>
        <w:t>Personas trabajadoras en actividades como: aplicación de raticidas en base a sulfato de talio y otros derivados que contienen el metal en general, industria del vidrio, envase, fabricación, formulación y transporte, elaboradores de termómetros de bajas temperaturas (-60°C o más), espectrómetros de infrarrojo y otros sistemas ópticos, fabricación de cristales de ioduro de sodio activados por talio para detectar radiación gamma, fabricadores de receptores de oxisulfuro de talio, celdas fotoeléctricas y transmisores de radiación infrarroja y preparación de sales de talio para fuegos artificiales.</w:t>
      </w:r>
    </w:p>
    <w:p>
      <w:pPr>
        <w:pStyle w:val="ListParagraph"/>
        <w:numPr>
          <w:ilvl w:val="2"/>
          <w:numId w:val="160"/>
        </w:numPr>
        <w:tabs>
          <w:tab w:pos="1045" w:val="left" w:leader="none"/>
          <w:tab w:pos="1058" w:val="left" w:leader="none"/>
        </w:tabs>
        <w:spacing w:line="240" w:lineRule="auto" w:before="228" w:after="0"/>
        <w:ind w:left="1058" w:right="33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9" w:after="0"/>
        <w:ind w:left="1069" w:right="0" w:hanging="443"/>
        <w:jc w:val="left"/>
      </w:pPr>
      <w:r>
        <w:rPr/>
        <w:t>Efectos</w:t>
      </w:r>
      <w:r>
        <w:rPr>
          <w:spacing w:val="-6"/>
        </w:rPr>
        <w:t> </w:t>
      </w:r>
      <w:r>
        <w:rPr/>
        <w:t>tóxicos</w:t>
      </w:r>
      <w:r>
        <w:rPr>
          <w:spacing w:val="-7"/>
        </w:rPr>
        <w:t> </w:t>
      </w:r>
      <w:r>
        <w:rPr/>
        <w:t>por</w:t>
      </w:r>
      <w:r>
        <w:rPr>
          <w:spacing w:val="-6"/>
        </w:rPr>
        <w:t> </w:t>
      </w:r>
      <w:r>
        <w:rPr/>
        <w:t>homólogos</w:t>
      </w:r>
      <w:r>
        <w:rPr>
          <w:spacing w:val="-7"/>
        </w:rPr>
        <w:t> </w:t>
      </w:r>
      <w:r>
        <w:rPr/>
        <w:t>del</w:t>
      </w:r>
      <w:r>
        <w:rPr>
          <w:spacing w:val="-7"/>
        </w:rPr>
        <w:t> </w:t>
      </w:r>
      <w:r>
        <w:rPr/>
        <w:t>benceno,</w:t>
      </w:r>
      <w:r>
        <w:rPr>
          <w:spacing w:val="-5"/>
        </w:rPr>
        <w:t> </w:t>
      </w:r>
      <w:r>
        <w:rPr/>
        <w:t>tolueno</w:t>
      </w:r>
      <w:r>
        <w:rPr>
          <w:spacing w:val="-7"/>
        </w:rPr>
        <w:t> </w:t>
      </w:r>
      <w:r>
        <w:rPr/>
        <w:t>y</w:t>
      </w:r>
      <w:r>
        <w:rPr>
          <w:spacing w:val="-8"/>
        </w:rPr>
        <w:t> </w:t>
      </w:r>
      <w:r>
        <w:rPr>
          <w:spacing w:val="-2"/>
        </w:rPr>
        <w:t>xileno</w:t>
      </w:r>
    </w:p>
    <w:p>
      <w:pPr>
        <w:pStyle w:val="BodyText"/>
        <w:rPr>
          <w:rFonts w:ascii="Arial"/>
          <w:b/>
        </w:rPr>
      </w:pPr>
    </w:p>
    <w:p>
      <w:pPr>
        <w:pStyle w:val="BodyText"/>
        <w:ind w:left="626"/>
      </w:pPr>
      <w:r>
        <w:rPr/>
        <w:t>Código</w:t>
      </w:r>
      <w:r>
        <w:rPr>
          <w:spacing w:val="-8"/>
        </w:rPr>
        <w:t> </w:t>
      </w:r>
      <w:r>
        <w:rPr/>
        <w:t>CIE-11:</w:t>
      </w:r>
      <w:r>
        <w:rPr>
          <w:spacing w:val="-5"/>
        </w:rPr>
        <w:t> </w:t>
      </w:r>
      <w:r>
        <w:rPr/>
        <w:t>PB31,</w:t>
      </w:r>
      <w:r>
        <w:rPr>
          <w:spacing w:val="-4"/>
        </w:rPr>
        <w:t> </w:t>
      </w:r>
      <w:r>
        <w:rPr/>
        <w:t>PH51,</w:t>
      </w:r>
      <w:r>
        <w:rPr>
          <w:spacing w:val="-6"/>
        </w:rPr>
        <w:t> </w:t>
      </w:r>
      <w:r>
        <w:rPr/>
        <w:t>PB36,</w:t>
      </w:r>
      <w:r>
        <w:rPr>
          <w:spacing w:val="-6"/>
        </w:rPr>
        <w:t> </w:t>
      </w:r>
      <w:r>
        <w:rPr/>
        <w:t>PE95,</w:t>
      </w:r>
      <w:r>
        <w:rPr>
          <w:spacing w:val="-5"/>
        </w:rPr>
        <w:t> </w:t>
      </w:r>
      <w:r>
        <w:rPr/>
        <w:t>PH56,</w:t>
      </w:r>
      <w:r>
        <w:rPr>
          <w:spacing w:val="-7"/>
        </w:rPr>
        <w:t> </w:t>
      </w:r>
      <w:r>
        <w:rPr/>
        <w:t>NE61,</w:t>
      </w:r>
      <w:r>
        <w:rPr>
          <w:spacing w:val="-6"/>
        </w:rPr>
        <w:t> </w:t>
      </w:r>
      <w:r>
        <w:rPr/>
        <w:t>PE91,</w:t>
      </w:r>
      <w:r>
        <w:rPr>
          <w:spacing w:val="-7"/>
        </w:rPr>
        <w:t> </w:t>
      </w:r>
      <w:r>
        <w:rPr/>
        <w:t>XM00E9,</w:t>
      </w:r>
      <w:r>
        <w:rPr>
          <w:spacing w:val="-6"/>
        </w:rPr>
        <w:t> </w:t>
      </w:r>
      <w:r>
        <w:rPr>
          <w:spacing w:val="-2"/>
        </w:rPr>
        <w:t>XM0D44</w:t>
      </w:r>
    </w:p>
    <w:p>
      <w:pPr>
        <w:pStyle w:val="BodyText"/>
      </w:pPr>
    </w:p>
    <w:p>
      <w:pPr>
        <w:pStyle w:val="ListParagraph"/>
        <w:numPr>
          <w:ilvl w:val="2"/>
          <w:numId w:val="160"/>
        </w:numPr>
        <w:tabs>
          <w:tab w:pos="1045" w:val="left" w:leader="none"/>
          <w:tab w:pos="1058" w:val="left" w:leader="none"/>
        </w:tabs>
        <w:spacing w:line="240" w:lineRule="auto" w:before="0" w:after="0"/>
        <w:ind w:left="1058" w:right="338" w:hanging="432"/>
        <w:jc w:val="both"/>
        <w:rPr>
          <w:sz w:val="20"/>
        </w:rPr>
      </w:pPr>
      <w:r>
        <w:rPr>
          <w:sz w:val="20"/>
        </w:rPr>
        <w:t>Personas trabajadoras de las industrias química, petroquímica y confección de prendas de vestir a</w:t>
      </w:r>
      <w:r>
        <w:rPr>
          <w:spacing w:val="-4"/>
          <w:sz w:val="20"/>
        </w:rPr>
        <w:t> </w:t>
      </w:r>
      <w:r>
        <w:rPr>
          <w:sz w:val="20"/>
        </w:rPr>
        <w:t>la</w:t>
      </w:r>
      <w:r>
        <w:rPr>
          <w:spacing w:val="-4"/>
          <w:sz w:val="20"/>
        </w:rPr>
        <w:t> </w:t>
      </w:r>
      <w:r>
        <w:rPr>
          <w:sz w:val="20"/>
        </w:rPr>
        <w:t>medida,</w:t>
      </w:r>
      <w:r>
        <w:rPr>
          <w:spacing w:val="-4"/>
          <w:sz w:val="20"/>
        </w:rPr>
        <w:t> </w:t>
      </w:r>
      <w:r>
        <w:rPr>
          <w:sz w:val="20"/>
        </w:rPr>
        <w:t>fabricación</w:t>
      </w:r>
      <w:r>
        <w:rPr>
          <w:spacing w:val="-2"/>
          <w:sz w:val="20"/>
        </w:rPr>
        <w:t> </w:t>
      </w:r>
      <w:r>
        <w:rPr>
          <w:sz w:val="20"/>
        </w:rPr>
        <w:t>de</w:t>
      </w:r>
      <w:r>
        <w:rPr>
          <w:spacing w:val="-2"/>
          <w:sz w:val="20"/>
        </w:rPr>
        <w:t> </w:t>
      </w:r>
      <w:r>
        <w:rPr>
          <w:sz w:val="20"/>
        </w:rPr>
        <w:t>cables</w:t>
      </w:r>
      <w:r>
        <w:rPr>
          <w:spacing w:val="-1"/>
          <w:sz w:val="20"/>
        </w:rPr>
        <w:t> </w:t>
      </w:r>
      <w:r>
        <w:rPr>
          <w:sz w:val="20"/>
        </w:rPr>
        <w:t>eléctricos,</w:t>
      </w:r>
      <w:r>
        <w:rPr>
          <w:spacing w:val="-4"/>
          <w:sz w:val="20"/>
        </w:rPr>
        <w:t> </w:t>
      </w:r>
      <w:r>
        <w:rPr>
          <w:sz w:val="20"/>
        </w:rPr>
        <w:t>hilos</w:t>
      </w:r>
      <w:r>
        <w:rPr>
          <w:spacing w:val="-3"/>
          <w:sz w:val="20"/>
        </w:rPr>
        <w:t> </w:t>
      </w:r>
      <w:r>
        <w:rPr>
          <w:sz w:val="20"/>
        </w:rPr>
        <w:t>metálicos,</w:t>
      </w:r>
      <w:r>
        <w:rPr>
          <w:spacing w:val="-2"/>
          <w:sz w:val="20"/>
        </w:rPr>
        <w:t> </w:t>
      </w:r>
      <w:r>
        <w:rPr>
          <w:sz w:val="20"/>
        </w:rPr>
        <w:t>calzado,</w:t>
      </w:r>
      <w:r>
        <w:rPr>
          <w:spacing w:val="-2"/>
          <w:sz w:val="20"/>
        </w:rPr>
        <w:t> </w:t>
      </w:r>
      <w:r>
        <w:rPr>
          <w:sz w:val="20"/>
        </w:rPr>
        <w:t>curtido y</w:t>
      </w:r>
      <w:r>
        <w:rPr>
          <w:spacing w:val="-5"/>
          <w:sz w:val="20"/>
        </w:rPr>
        <w:t> </w:t>
      </w:r>
      <w:r>
        <w:rPr>
          <w:sz w:val="20"/>
        </w:rPr>
        <w:t>acabado</w:t>
      </w:r>
      <w:r>
        <w:rPr>
          <w:spacing w:val="-2"/>
          <w:sz w:val="20"/>
        </w:rPr>
        <w:t> </w:t>
      </w:r>
      <w:r>
        <w:rPr>
          <w:sz w:val="20"/>
        </w:rPr>
        <w:t>de</w:t>
      </w:r>
      <w:r>
        <w:rPr>
          <w:spacing w:val="-2"/>
          <w:sz w:val="20"/>
        </w:rPr>
        <w:t> </w:t>
      </w:r>
      <w:r>
        <w:rPr>
          <w:sz w:val="20"/>
        </w:rPr>
        <w:t>cuero y</w:t>
      </w:r>
      <w:r>
        <w:rPr>
          <w:spacing w:val="-3"/>
          <w:sz w:val="20"/>
        </w:rPr>
        <w:t> </w:t>
      </w:r>
      <w:r>
        <w:rPr>
          <w:sz w:val="20"/>
        </w:rPr>
        <w:t>piel:</w:t>
      </w:r>
      <w:r>
        <w:rPr>
          <w:spacing w:val="-2"/>
          <w:sz w:val="20"/>
        </w:rPr>
        <w:t> </w:t>
      </w:r>
      <w:r>
        <w:rPr>
          <w:sz w:val="20"/>
        </w:rPr>
        <w:t>curtidores,</w:t>
      </w:r>
      <w:r>
        <w:rPr>
          <w:spacing w:val="-2"/>
          <w:sz w:val="20"/>
        </w:rPr>
        <w:t> </w:t>
      </w:r>
      <w:r>
        <w:rPr>
          <w:sz w:val="20"/>
        </w:rPr>
        <w:t>peleteros, taxidermistas y</w:t>
      </w:r>
      <w:r>
        <w:rPr>
          <w:spacing w:val="-3"/>
          <w:sz w:val="20"/>
        </w:rPr>
        <w:t> </w:t>
      </w:r>
      <w:r>
        <w:rPr>
          <w:sz w:val="20"/>
        </w:rPr>
        <w:t>zapateros que</w:t>
      </w:r>
      <w:r>
        <w:rPr>
          <w:spacing w:val="-2"/>
          <w:sz w:val="20"/>
        </w:rPr>
        <w:t> </w:t>
      </w:r>
      <w:r>
        <w:rPr>
          <w:sz w:val="20"/>
        </w:rPr>
        <w:t>manipulan estos</w:t>
      </w:r>
      <w:r>
        <w:rPr>
          <w:spacing w:val="-1"/>
          <w:sz w:val="20"/>
        </w:rPr>
        <w:t> </w:t>
      </w:r>
      <w:r>
        <w:rPr>
          <w:sz w:val="20"/>
        </w:rPr>
        <w:t>disolventes, así</w:t>
      </w:r>
      <w:r>
        <w:rPr>
          <w:spacing w:val="-2"/>
          <w:sz w:val="20"/>
        </w:rPr>
        <w:t> </w:t>
      </w:r>
      <w:r>
        <w:rPr>
          <w:sz w:val="20"/>
        </w:rPr>
        <w:t>como de la industria de: aldehído bencílica, artes gráficas y procesos de impresión, barnices, colorantes, del vestido, esmaltes para uñas, explosivos, fabricación de ácido benzoico,</w:t>
      </w:r>
      <w:r>
        <w:rPr>
          <w:spacing w:val="40"/>
          <w:sz w:val="20"/>
        </w:rPr>
        <w:t> </w:t>
      </w:r>
      <w:r>
        <w:rPr>
          <w:sz w:val="20"/>
        </w:rPr>
        <w:t>fabricación de nitrocelulosa, fotograbado, hulera, industria del calzado, industria hulera, industria petroquímica, lacas, pegamentos de caucho y plástico, pegamentos y adhesivos, peleteras y curtido del cuero, pinturas, textiles, cerámica, tintorería, tinturas para madera y lacas, trinitrotolueno (TNT) y vidrio.</w:t>
      </w:r>
    </w:p>
    <w:p>
      <w:pPr>
        <w:pStyle w:val="ListParagraph"/>
        <w:numPr>
          <w:ilvl w:val="2"/>
          <w:numId w:val="160"/>
        </w:numPr>
        <w:tabs>
          <w:tab w:pos="1045" w:val="left" w:leader="none"/>
          <w:tab w:pos="1058" w:val="left" w:leader="none"/>
        </w:tabs>
        <w:spacing w:line="240" w:lineRule="auto" w:before="229" w:after="0"/>
        <w:ind w:left="1058" w:right="345" w:hanging="432"/>
        <w:jc w:val="both"/>
        <w:rPr>
          <w:sz w:val="20"/>
        </w:rPr>
      </w:pPr>
      <w:r>
        <w:rPr>
          <w:sz w:val="20"/>
        </w:rPr>
        <w:t>Personas trabajadoras que presentan exposición de forma directa e indudable a la acción de los agentes</w:t>
      </w:r>
      <w:r>
        <w:rPr>
          <w:spacing w:val="34"/>
          <w:sz w:val="20"/>
        </w:rPr>
        <w:t> </w:t>
      </w:r>
      <w:r>
        <w:rPr>
          <w:sz w:val="20"/>
        </w:rPr>
        <w:t>causales</w:t>
      </w:r>
      <w:r>
        <w:rPr>
          <w:spacing w:val="37"/>
          <w:sz w:val="20"/>
        </w:rPr>
        <w:t> </w:t>
      </w:r>
      <w:r>
        <w:rPr>
          <w:sz w:val="20"/>
        </w:rPr>
        <w:t>establecidos</w:t>
      </w:r>
      <w:r>
        <w:rPr>
          <w:spacing w:val="37"/>
          <w:sz w:val="20"/>
        </w:rPr>
        <w:t> </w:t>
      </w:r>
      <w:r>
        <w:rPr>
          <w:sz w:val="20"/>
        </w:rPr>
        <w:t>en</w:t>
      </w:r>
      <w:r>
        <w:rPr>
          <w:spacing w:val="35"/>
          <w:sz w:val="20"/>
        </w:rPr>
        <w:t> </w:t>
      </w:r>
      <w:r>
        <w:rPr>
          <w:sz w:val="20"/>
        </w:rPr>
        <w:t>la</w:t>
      </w:r>
      <w:r>
        <w:rPr>
          <w:spacing w:val="33"/>
          <w:sz w:val="20"/>
        </w:rPr>
        <w:t> </w:t>
      </w:r>
      <w:r>
        <w:rPr>
          <w:sz w:val="20"/>
        </w:rPr>
        <w:t>fracción</w:t>
      </w:r>
      <w:r>
        <w:rPr>
          <w:spacing w:val="35"/>
          <w:sz w:val="20"/>
        </w:rPr>
        <w:t> </w:t>
      </w:r>
      <w:r>
        <w:rPr>
          <w:sz w:val="20"/>
        </w:rPr>
        <w:t>II</w:t>
      </w:r>
      <w:r>
        <w:rPr>
          <w:spacing w:val="36"/>
          <w:sz w:val="20"/>
        </w:rPr>
        <w:t> </w:t>
      </w:r>
      <w:r>
        <w:rPr>
          <w:sz w:val="20"/>
        </w:rPr>
        <w:t>de</w:t>
      </w:r>
      <w:r>
        <w:rPr>
          <w:spacing w:val="35"/>
          <w:sz w:val="20"/>
        </w:rPr>
        <w:t> </w:t>
      </w:r>
      <w:r>
        <w:rPr>
          <w:sz w:val="20"/>
        </w:rPr>
        <w:t>la</w:t>
      </w:r>
      <w:r>
        <w:rPr>
          <w:spacing w:val="33"/>
          <w:sz w:val="20"/>
        </w:rPr>
        <w:t> </w:t>
      </w:r>
      <w:r>
        <w:rPr>
          <w:sz w:val="20"/>
        </w:rPr>
        <w:t>cédula</w:t>
      </w:r>
      <w:r>
        <w:rPr>
          <w:spacing w:val="36"/>
          <w:sz w:val="20"/>
        </w:rPr>
        <w:t> </w:t>
      </w:r>
      <w:r>
        <w:rPr>
          <w:sz w:val="20"/>
        </w:rPr>
        <w:t>correspondiente</w:t>
      </w:r>
      <w:r>
        <w:rPr>
          <w:spacing w:val="36"/>
          <w:sz w:val="20"/>
        </w:rPr>
        <w:t> </w:t>
      </w:r>
      <w:r>
        <w:rPr>
          <w:sz w:val="20"/>
        </w:rPr>
        <w:t>contenida</w:t>
      </w:r>
      <w:r>
        <w:rPr>
          <w:spacing w:val="35"/>
          <w:sz w:val="20"/>
        </w:rPr>
        <w:t> </w:t>
      </w:r>
      <w:r>
        <w:rPr>
          <w:sz w:val="20"/>
        </w:rPr>
        <w:t>en</w:t>
      </w:r>
      <w:r>
        <w:rPr>
          <w:spacing w:val="36"/>
          <w:sz w:val="20"/>
        </w:rPr>
        <w:t> </w:t>
      </w:r>
      <w:r>
        <w:rPr>
          <w:sz w:val="20"/>
        </w:rPr>
        <w:t>el</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058" w:right="344"/>
        <w:jc w:val="both"/>
      </w:pPr>
      <w:r>
        <w:rPr/>
        <w:t>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30" w:after="0"/>
        <w:ind w:left="1069" w:right="0" w:hanging="443"/>
        <w:jc w:val="left"/>
      </w:pPr>
      <w:r>
        <w:rPr/>
        <w:t>Efectos</w:t>
      </w:r>
      <w:r>
        <w:rPr>
          <w:spacing w:val="-5"/>
        </w:rPr>
        <w:t> </w:t>
      </w:r>
      <w:r>
        <w:rPr/>
        <w:t>tóxicos</w:t>
      </w:r>
      <w:r>
        <w:rPr>
          <w:spacing w:val="-6"/>
        </w:rPr>
        <w:t> </w:t>
      </w:r>
      <w:r>
        <w:rPr/>
        <w:t>por</w:t>
      </w:r>
      <w:r>
        <w:rPr>
          <w:spacing w:val="-5"/>
        </w:rPr>
        <w:t> </w:t>
      </w:r>
      <w:r>
        <w:rPr/>
        <w:t>zinc</w:t>
      </w:r>
      <w:r>
        <w:rPr>
          <w:spacing w:val="-4"/>
        </w:rPr>
        <w:t> </w:t>
      </w:r>
      <w:r>
        <w:rPr/>
        <w:t>y</w:t>
      </w:r>
      <w:r>
        <w:rPr>
          <w:spacing w:val="-8"/>
        </w:rPr>
        <w:t> </w:t>
      </w:r>
      <w:r>
        <w:rPr/>
        <w:t>sus</w:t>
      </w:r>
      <w:r>
        <w:rPr>
          <w:spacing w:val="-4"/>
        </w:rPr>
        <w:t> </w:t>
      </w:r>
      <w:r>
        <w:rPr>
          <w:spacing w:val="-2"/>
        </w:rPr>
        <w:t>compuestos</w:t>
      </w:r>
    </w:p>
    <w:p>
      <w:pPr>
        <w:pStyle w:val="BodyText"/>
        <w:rPr>
          <w:rFonts w:ascii="Arial"/>
          <w:b/>
        </w:rPr>
      </w:pPr>
    </w:p>
    <w:p>
      <w:pPr>
        <w:pStyle w:val="BodyText"/>
        <w:ind w:left="626"/>
      </w:pPr>
      <w:r>
        <w:rPr/>
        <w:t>Código</w:t>
      </w:r>
      <w:r>
        <w:rPr>
          <w:spacing w:val="-8"/>
        </w:rPr>
        <w:t> </w:t>
      </w:r>
      <w:r>
        <w:rPr/>
        <w:t>CIE-11:</w:t>
      </w:r>
      <w:r>
        <w:rPr>
          <w:spacing w:val="-7"/>
        </w:rPr>
        <w:t> </w:t>
      </w:r>
      <w:r>
        <w:rPr/>
        <w:t>MA18.1,</w:t>
      </w:r>
      <w:r>
        <w:rPr>
          <w:spacing w:val="-6"/>
        </w:rPr>
        <w:t> </w:t>
      </w:r>
      <w:r>
        <w:rPr/>
        <w:t>PE95,</w:t>
      </w:r>
      <w:r>
        <w:rPr>
          <w:spacing w:val="-6"/>
        </w:rPr>
        <w:t> </w:t>
      </w:r>
      <w:r>
        <w:rPr/>
        <w:t>PB36,</w:t>
      </w:r>
      <w:r>
        <w:rPr>
          <w:spacing w:val="-7"/>
        </w:rPr>
        <w:t> </w:t>
      </w:r>
      <w:r>
        <w:rPr/>
        <w:t>NE61,</w:t>
      </w:r>
      <w:r>
        <w:rPr>
          <w:spacing w:val="-6"/>
        </w:rPr>
        <w:t> </w:t>
      </w:r>
      <w:r>
        <w:rPr>
          <w:spacing w:val="-2"/>
        </w:rPr>
        <w:t>XM1U95</w:t>
      </w:r>
    </w:p>
    <w:p>
      <w:pPr>
        <w:pStyle w:val="BodyText"/>
      </w:pPr>
    </w:p>
    <w:p>
      <w:pPr>
        <w:pStyle w:val="ListParagraph"/>
        <w:numPr>
          <w:ilvl w:val="2"/>
          <w:numId w:val="160"/>
        </w:numPr>
        <w:tabs>
          <w:tab w:pos="1045" w:val="left" w:leader="none"/>
          <w:tab w:pos="1058" w:val="left" w:leader="none"/>
        </w:tabs>
        <w:spacing w:line="240" w:lineRule="auto" w:before="0" w:after="0"/>
        <w:ind w:left="1058" w:right="342" w:hanging="432"/>
        <w:jc w:val="both"/>
        <w:rPr>
          <w:sz w:val="20"/>
        </w:rPr>
      </w:pPr>
      <w:r>
        <w:rPr>
          <w:sz w:val="20"/>
        </w:rPr>
        <w:t>Personas trabajadoras en actividades como: la fundición de latón o de la soldadura de metales galvanizados, fundidores y soldadores de metal y galvanización o estañado. Alguno de sus derivados se usa como pigmento y en la vulcanización del caucho. El cloruro de zinc se usa en baterías de celdillas seca, cemento dental y desodorante, conservadores de madera y pieles, fundición y flujos para soldado y refinamiento de aceites.</w:t>
      </w:r>
    </w:p>
    <w:p>
      <w:pPr>
        <w:pStyle w:val="BodyText"/>
      </w:pPr>
    </w:p>
    <w:p>
      <w:pPr>
        <w:pStyle w:val="ListParagraph"/>
        <w:numPr>
          <w:ilvl w:val="2"/>
          <w:numId w:val="160"/>
        </w:numPr>
        <w:tabs>
          <w:tab w:pos="1045" w:val="left" w:leader="none"/>
          <w:tab w:pos="1058" w:val="left" w:leader="none"/>
        </w:tabs>
        <w:spacing w:line="240" w:lineRule="auto" w:before="0" w:after="0"/>
        <w:ind w:left="1058" w:right="340" w:hanging="432"/>
        <w:jc w:val="both"/>
        <w:rPr>
          <w:sz w:val="20"/>
        </w:rPr>
      </w:pPr>
      <w:r>
        <w:rPr>
          <w:sz w:val="20"/>
        </w:rPr>
        <w:t>Personas trabajadoras de la industria de cerillas o fósforos, esmaltes, fábricas de cosméticos, fábricas de vasos opalescentes, plaguicidas, porcelanas, productos farmacéuticos, cemento, vidrio, pegamento blanco y rodenticidas. El zinc metálico purificado es moldeado y fundido para equipo eléctrico, herramientas, juguetes, maquinaria, partes automotrices y el zinc en aleación con el cobre forman el latón.</w:t>
      </w:r>
    </w:p>
    <w:p>
      <w:pPr>
        <w:pStyle w:val="ListParagraph"/>
        <w:numPr>
          <w:ilvl w:val="2"/>
          <w:numId w:val="160"/>
        </w:numPr>
        <w:tabs>
          <w:tab w:pos="1045" w:val="left" w:leader="none"/>
          <w:tab w:pos="1058" w:val="left" w:leader="none"/>
        </w:tabs>
        <w:spacing w:line="240" w:lineRule="auto" w:before="227" w:after="0"/>
        <w:ind w:left="1058" w:right="340"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8" w:after="0"/>
        <w:ind w:left="1069" w:right="0" w:hanging="443"/>
        <w:jc w:val="left"/>
      </w:pPr>
      <w:r>
        <w:rPr/>
        <w:t>Enfermedades</w:t>
      </w:r>
      <w:r>
        <w:rPr>
          <w:spacing w:val="-8"/>
        </w:rPr>
        <w:t> </w:t>
      </w:r>
      <w:r>
        <w:rPr/>
        <w:t>producidas</w:t>
      </w:r>
      <w:r>
        <w:rPr>
          <w:spacing w:val="-9"/>
        </w:rPr>
        <w:t> </w:t>
      </w:r>
      <w:r>
        <w:rPr/>
        <w:t>por</w:t>
      </w:r>
      <w:r>
        <w:rPr>
          <w:spacing w:val="-8"/>
        </w:rPr>
        <w:t> </w:t>
      </w:r>
      <w:r>
        <w:rPr/>
        <w:t>hormonas</w:t>
      </w:r>
      <w:r>
        <w:rPr>
          <w:spacing w:val="-6"/>
        </w:rPr>
        <w:t> </w:t>
      </w:r>
      <w:r>
        <w:rPr/>
        <w:t>y</w:t>
      </w:r>
      <w:r>
        <w:rPr>
          <w:spacing w:val="-9"/>
        </w:rPr>
        <w:t> </w:t>
      </w:r>
      <w:r>
        <w:rPr/>
        <w:t>sus</w:t>
      </w:r>
      <w:r>
        <w:rPr>
          <w:spacing w:val="-8"/>
        </w:rPr>
        <w:t> </w:t>
      </w:r>
      <w:r>
        <w:rPr/>
        <w:t>sustitutos</w:t>
      </w:r>
      <w:r>
        <w:rPr>
          <w:spacing w:val="-6"/>
        </w:rPr>
        <w:t> </w:t>
      </w:r>
      <w:r>
        <w:rPr/>
        <w:t>y</w:t>
      </w:r>
      <w:r>
        <w:rPr>
          <w:spacing w:val="-9"/>
        </w:rPr>
        <w:t> </w:t>
      </w:r>
      <w:r>
        <w:rPr/>
        <w:t>antagonistas</w:t>
      </w:r>
      <w:r>
        <w:rPr>
          <w:spacing w:val="-9"/>
        </w:rPr>
        <w:t> </w:t>
      </w:r>
      <w:r>
        <w:rPr>
          <w:spacing w:val="-2"/>
        </w:rPr>
        <w:t>sintéticos</w:t>
      </w:r>
    </w:p>
    <w:p>
      <w:pPr>
        <w:pStyle w:val="BodyText"/>
        <w:spacing w:before="2"/>
        <w:rPr>
          <w:rFonts w:ascii="Arial"/>
          <w:b/>
        </w:rPr>
      </w:pPr>
    </w:p>
    <w:p>
      <w:pPr>
        <w:pStyle w:val="BodyText"/>
        <w:ind w:left="626"/>
      </w:pPr>
      <w:r>
        <w:rPr/>
        <w:t>Código</w:t>
      </w:r>
      <w:r>
        <w:rPr>
          <w:spacing w:val="-8"/>
        </w:rPr>
        <w:t> </w:t>
      </w:r>
      <w:r>
        <w:rPr/>
        <w:t>CIE-11:</w:t>
      </w:r>
      <w:r>
        <w:rPr>
          <w:spacing w:val="-7"/>
        </w:rPr>
        <w:t> </w:t>
      </w:r>
      <w:r>
        <w:rPr/>
        <w:t>NE60,</w:t>
      </w:r>
      <w:r>
        <w:rPr>
          <w:spacing w:val="-6"/>
        </w:rPr>
        <w:t> </w:t>
      </w:r>
      <w:r>
        <w:rPr/>
        <w:t>PE88,</w:t>
      </w:r>
      <w:r>
        <w:rPr>
          <w:spacing w:val="-7"/>
        </w:rPr>
        <w:t> </w:t>
      </w:r>
      <w:r>
        <w:rPr/>
        <w:t>PB28,</w:t>
      </w:r>
      <w:r>
        <w:rPr>
          <w:spacing w:val="-7"/>
        </w:rPr>
        <w:t> </w:t>
      </w:r>
      <w:r>
        <w:rPr/>
        <w:t>PH48,</w:t>
      </w:r>
      <w:r>
        <w:rPr>
          <w:spacing w:val="-5"/>
        </w:rPr>
        <w:t> </w:t>
      </w:r>
      <w:r>
        <w:rPr/>
        <w:t>XM6W81,</w:t>
      </w:r>
      <w:r>
        <w:rPr>
          <w:spacing w:val="-6"/>
        </w:rPr>
        <w:t> </w:t>
      </w:r>
      <w:r>
        <w:rPr/>
        <w:t>XM5XB7,</w:t>
      </w:r>
      <w:r>
        <w:rPr>
          <w:spacing w:val="-7"/>
        </w:rPr>
        <w:t> </w:t>
      </w:r>
      <w:r>
        <w:rPr>
          <w:spacing w:val="-2"/>
        </w:rPr>
        <w:t>XM93X7</w:t>
      </w:r>
    </w:p>
    <w:p>
      <w:pPr>
        <w:pStyle w:val="ListParagraph"/>
        <w:numPr>
          <w:ilvl w:val="2"/>
          <w:numId w:val="160"/>
        </w:numPr>
        <w:tabs>
          <w:tab w:pos="1045" w:val="left" w:leader="none"/>
          <w:tab w:pos="1058" w:val="left" w:leader="none"/>
        </w:tabs>
        <w:spacing w:line="240" w:lineRule="auto" w:before="229" w:after="0"/>
        <w:ind w:left="1058" w:right="340" w:hanging="432"/>
        <w:jc w:val="both"/>
        <w:rPr>
          <w:sz w:val="20"/>
        </w:rPr>
      </w:pPr>
      <w:r>
        <w:rPr>
          <w:sz w:val="20"/>
        </w:rPr>
        <w:t>Personas trabajadoras de las industrias química y farmacéutica que sintetizan productos hormonales: anticonceptivos orales; andrógenos y sus congéneres anabólicos, antigonadotrofinas, antiestrógenos y antiandrógenos, no clasificados; otros estrógenos y progestágenos, hormonas tiroideas y otras hormonas y sustitutos sintéticos.</w:t>
      </w:r>
    </w:p>
    <w:p>
      <w:pPr>
        <w:pStyle w:val="ListParagraph"/>
        <w:numPr>
          <w:ilvl w:val="2"/>
          <w:numId w:val="160"/>
        </w:numPr>
        <w:tabs>
          <w:tab w:pos="1045" w:val="left" w:leader="none"/>
          <w:tab w:pos="1058" w:val="left" w:leader="none"/>
        </w:tabs>
        <w:spacing w:line="240" w:lineRule="auto" w:before="229" w:after="0"/>
        <w:ind w:left="1058" w:right="341"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6" w:after="0"/>
        <w:ind w:left="1069" w:right="0" w:hanging="443"/>
        <w:jc w:val="left"/>
      </w:pPr>
      <w:r>
        <w:rPr/>
        <w:t>Enfermedades</w:t>
      </w:r>
      <w:r>
        <w:rPr>
          <w:spacing w:val="-8"/>
        </w:rPr>
        <w:t> </w:t>
      </w:r>
      <w:r>
        <w:rPr/>
        <w:t>producidas</w:t>
      </w:r>
      <w:r>
        <w:rPr>
          <w:spacing w:val="-9"/>
        </w:rPr>
        <w:t> </w:t>
      </w:r>
      <w:r>
        <w:rPr/>
        <w:t>por</w:t>
      </w:r>
      <w:r>
        <w:rPr>
          <w:spacing w:val="-8"/>
        </w:rPr>
        <w:t> </w:t>
      </w:r>
      <w:r>
        <w:rPr/>
        <w:t>la</w:t>
      </w:r>
      <w:r>
        <w:rPr>
          <w:spacing w:val="-7"/>
        </w:rPr>
        <w:t> </w:t>
      </w:r>
      <w:r>
        <w:rPr/>
        <w:t>exposición</w:t>
      </w:r>
      <w:r>
        <w:rPr>
          <w:spacing w:val="-7"/>
        </w:rPr>
        <w:t> </w:t>
      </w:r>
      <w:r>
        <w:rPr/>
        <w:t>a</w:t>
      </w:r>
      <w:r>
        <w:rPr>
          <w:spacing w:val="-7"/>
        </w:rPr>
        <w:t> </w:t>
      </w:r>
      <w:r>
        <w:rPr>
          <w:spacing w:val="-2"/>
        </w:rPr>
        <w:t>antibióticos</w:t>
      </w:r>
    </w:p>
    <w:p>
      <w:pPr>
        <w:pStyle w:val="BodyText"/>
        <w:spacing w:before="4"/>
        <w:rPr>
          <w:rFonts w:ascii="Arial"/>
          <w:b/>
        </w:rPr>
      </w:pPr>
    </w:p>
    <w:p>
      <w:pPr>
        <w:pStyle w:val="BodyText"/>
        <w:ind w:left="626"/>
      </w:pPr>
      <w:r>
        <w:rPr/>
        <w:t>Código</w:t>
      </w:r>
      <w:r>
        <w:rPr>
          <w:spacing w:val="-9"/>
        </w:rPr>
        <w:t> </w:t>
      </w:r>
      <w:r>
        <w:rPr/>
        <w:t>CIE-11:</w:t>
      </w:r>
      <w:r>
        <w:rPr>
          <w:spacing w:val="-5"/>
        </w:rPr>
        <w:t> </w:t>
      </w:r>
      <w:r>
        <w:rPr/>
        <w:t>PE88,</w:t>
      </w:r>
      <w:r>
        <w:rPr>
          <w:spacing w:val="-5"/>
        </w:rPr>
        <w:t> </w:t>
      </w:r>
      <w:r>
        <w:rPr/>
        <w:t>PB28,</w:t>
      </w:r>
      <w:r>
        <w:rPr>
          <w:spacing w:val="-8"/>
        </w:rPr>
        <w:t> </w:t>
      </w:r>
      <w:r>
        <w:rPr/>
        <w:t>PH48,</w:t>
      </w:r>
      <w:r>
        <w:rPr>
          <w:spacing w:val="-5"/>
        </w:rPr>
        <w:t> </w:t>
      </w:r>
      <w:r>
        <w:rPr>
          <w:spacing w:val="-4"/>
        </w:rPr>
        <w:t>PC98</w:t>
      </w:r>
    </w:p>
    <w:p>
      <w:pPr>
        <w:pStyle w:val="ListParagraph"/>
        <w:numPr>
          <w:ilvl w:val="2"/>
          <w:numId w:val="160"/>
        </w:numPr>
        <w:tabs>
          <w:tab w:pos="1045" w:val="left" w:leader="none"/>
          <w:tab w:pos="1058" w:val="left" w:leader="none"/>
        </w:tabs>
        <w:spacing w:line="240" w:lineRule="auto" w:before="229" w:after="0"/>
        <w:ind w:left="1058" w:right="337" w:hanging="432"/>
        <w:jc w:val="both"/>
        <w:rPr>
          <w:sz w:val="20"/>
        </w:rPr>
      </w:pPr>
      <w:r>
        <w:rPr>
          <w:sz w:val="20"/>
        </w:rPr>
        <w:t>Personas trabajadoras encargadas de la fabricación, formulación y empaque de estas substancias en la industria químico-farmacéutica. Personas trabajadoras del sector salud, veterinarios, y operarios de laboratorios farmacéuticos.</w:t>
      </w:r>
    </w:p>
    <w:p>
      <w:pPr>
        <w:pStyle w:val="ListParagraph"/>
        <w:numPr>
          <w:ilvl w:val="2"/>
          <w:numId w:val="160"/>
        </w:numPr>
        <w:tabs>
          <w:tab w:pos="1045" w:val="left" w:leader="none"/>
          <w:tab w:pos="1058" w:val="left" w:leader="none"/>
        </w:tabs>
        <w:spacing w:line="240" w:lineRule="auto" w:before="229" w:after="0"/>
        <w:ind w:left="1058" w:right="336" w:hanging="432"/>
        <w:jc w:val="both"/>
        <w:rPr>
          <w:sz w:val="20"/>
        </w:rPr>
      </w:pPr>
      <w:r>
        <w:rPr>
          <w:sz w:val="20"/>
        </w:rPr>
        <w:t>Personas trabajadoras que presentan exposición de forma directa e indudable a la acción de los agentes causales establecidos en la fracción II de la cédula correspondiente contenida en el Catálogo</w:t>
      </w:r>
      <w:r>
        <w:rPr>
          <w:spacing w:val="37"/>
          <w:sz w:val="20"/>
        </w:rPr>
        <w:t> </w:t>
      </w:r>
      <w:r>
        <w:rPr>
          <w:sz w:val="20"/>
        </w:rPr>
        <w:t>de</w:t>
      </w:r>
      <w:r>
        <w:rPr>
          <w:spacing w:val="39"/>
          <w:sz w:val="20"/>
        </w:rPr>
        <w:t> </w:t>
      </w:r>
      <w:r>
        <w:rPr>
          <w:sz w:val="20"/>
        </w:rPr>
        <w:t>las</w:t>
      </w:r>
      <w:r>
        <w:rPr>
          <w:spacing w:val="38"/>
          <w:sz w:val="20"/>
        </w:rPr>
        <w:t> </w:t>
      </w:r>
      <w:r>
        <w:rPr>
          <w:sz w:val="20"/>
        </w:rPr>
        <w:t>Cédulas</w:t>
      </w:r>
      <w:r>
        <w:rPr>
          <w:spacing w:val="40"/>
          <w:sz w:val="20"/>
        </w:rPr>
        <w:t> </w:t>
      </w:r>
      <w:r>
        <w:rPr>
          <w:sz w:val="20"/>
        </w:rPr>
        <w:t>para</w:t>
      </w:r>
      <w:r>
        <w:rPr>
          <w:spacing w:val="37"/>
          <w:sz w:val="20"/>
        </w:rPr>
        <w:t> </w:t>
      </w:r>
      <w:r>
        <w:rPr>
          <w:sz w:val="20"/>
        </w:rPr>
        <w:t>la</w:t>
      </w:r>
      <w:r>
        <w:rPr>
          <w:spacing w:val="37"/>
          <w:sz w:val="20"/>
        </w:rPr>
        <w:t> </w:t>
      </w:r>
      <w:r>
        <w:rPr>
          <w:sz w:val="20"/>
        </w:rPr>
        <w:t>Valuación</w:t>
      </w:r>
      <w:r>
        <w:rPr>
          <w:spacing w:val="37"/>
          <w:sz w:val="20"/>
        </w:rPr>
        <w:t> </w:t>
      </w:r>
      <w:r>
        <w:rPr>
          <w:sz w:val="20"/>
        </w:rPr>
        <w:t>de</w:t>
      </w:r>
      <w:r>
        <w:rPr>
          <w:spacing w:val="37"/>
          <w:sz w:val="20"/>
        </w:rPr>
        <w:t> </w:t>
      </w:r>
      <w:r>
        <w:rPr>
          <w:sz w:val="20"/>
        </w:rPr>
        <w:t>las</w:t>
      </w:r>
      <w:r>
        <w:rPr>
          <w:spacing w:val="40"/>
          <w:sz w:val="20"/>
        </w:rPr>
        <w:t> </w:t>
      </w:r>
      <w:r>
        <w:rPr>
          <w:sz w:val="20"/>
        </w:rPr>
        <w:t>Enfermedades</w:t>
      </w:r>
      <w:r>
        <w:rPr>
          <w:spacing w:val="38"/>
          <w:sz w:val="20"/>
        </w:rPr>
        <w:t> </w:t>
      </w:r>
      <w:r>
        <w:rPr>
          <w:sz w:val="20"/>
        </w:rPr>
        <w:t>de</w:t>
      </w:r>
      <w:r>
        <w:rPr>
          <w:spacing w:val="36"/>
          <w:sz w:val="20"/>
        </w:rPr>
        <w:t> </w:t>
      </w:r>
      <w:r>
        <w:rPr>
          <w:sz w:val="20"/>
        </w:rPr>
        <w:t>Trabajo,</w:t>
      </w:r>
      <w:r>
        <w:rPr>
          <w:spacing w:val="39"/>
          <w:sz w:val="20"/>
        </w:rPr>
        <w:t> </w:t>
      </w:r>
      <w:r>
        <w:rPr>
          <w:sz w:val="20"/>
        </w:rPr>
        <w:t>que</w:t>
      </w:r>
      <w:r>
        <w:rPr>
          <w:spacing w:val="37"/>
          <w:sz w:val="20"/>
        </w:rPr>
        <w:t> </w:t>
      </w:r>
      <w:r>
        <w:rPr>
          <w:sz w:val="20"/>
        </w:rPr>
        <w:t>tengan</w:t>
      </w:r>
      <w:r>
        <w:rPr>
          <w:spacing w:val="36"/>
          <w:sz w:val="20"/>
        </w:rPr>
        <w:t> </w:t>
      </w:r>
      <w:r>
        <w:rPr>
          <w:sz w:val="20"/>
        </w:rPr>
        <w:t>su</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058"/>
      </w:pPr>
      <w:r>
        <w:rPr/>
        <w:t>origen</w:t>
      </w:r>
      <w:r>
        <w:rPr>
          <w:spacing w:val="33"/>
        </w:rPr>
        <w:t> </w:t>
      </w:r>
      <w:r>
        <w:rPr/>
        <w:t>o</w:t>
      </w:r>
      <w:r>
        <w:rPr>
          <w:spacing w:val="34"/>
        </w:rPr>
        <w:t> </w:t>
      </w:r>
      <w:r>
        <w:rPr/>
        <w:t>con</w:t>
      </w:r>
      <w:r>
        <w:rPr>
          <w:spacing w:val="34"/>
        </w:rPr>
        <w:t> </w:t>
      </w:r>
      <w:r>
        <w:rPr/>
        <w:t>motivo</w:t>
      </w:r>
      <w:r>
        <w:rPr>
          <w:spacing w:val="34"/>
        </w:rPr>
        <w:t> </w:t>
      </w:r>
      <w:r>
        <w:rPr/>
        <w:t>del</w:t>
      </w:r>
      <w:r>
        <w:rPr>
          <w:spacing w:val="32"/>
        </w:rPr>
        <w:t> </w:t>
      </w:r>
      <w:r>
        <w:rPr/>
        <w:t>trabajo</w:t>
      </w:r>
      <w:r>
        <w:rPr>
          <w:spacing w:val="34"/>
        </w:rPr>
        <w:t> </w:t>
      </w:r>
      <w:r>
        <w:rPr/>
        <w:t>o</w:t>
      </w:r>
      <w:r>
        <w:rPr>
          <w:spacing w:val="33"/>
        </w:rPr>
        <w:t> </w:t>
      </w:r>
      <w:r>
        <w:rPr/>
        <w:t>en</w:t>
      </w:r>
      <w:r>
        <w:rPr>
          <w:spacing w:val="34"/>
        </w:rPr>
        <w:t> </w:t>
      </w:r>
      <w:r>
        <w:rPr/>
        <w:t>el</w:t>
      </w:r>
      <w:r>
        <w:rPr>
          <w:spacing w:val="34"/>
        </w:rPr>
        <w:t> </w:t>
      </w:r>
      <w:r>
        <w:rPr/>
        <w:t>medio</w:t>
      </w:r>
      <w:r>
        <w:rPr>
          <w:spacing w:val="33"/>
        </w:rPr>
        <w:t> </w:t>
      </w:r>
      <w:r>
        <w:rPr/>
        <w:t>que</w:t>
      </w:r>
      <w:r>
        <w:rPr>
          <w:spacing w:val="34"/>
        </w:rPr>
        <w:t> </w:t>
      </w:r>
      <w:r>
        <w:rPr/>
        <w:t>la</w:t>
      </w:r>
      <w:r>
        <w:rPr>
          <w:spacing w:val="33"/>
        </w:rPr>
        <w:t> </w:t>
      </w:r>
      <w:r>
        <w:rPr/>
        <w:t>persona</w:t>
      </w:r>
      <w:r>
        <w:rPr>
          <w:spacing w:val="34"/>
        </w:rPr>
        <w:t> </w:t>
      </w:r>
      <w:r>
        <w:rPr/>
        <w:t>trabajadora</w:t>
      </w:r>
      <w:r>
        <w:rPr>
          <w:spacing w:val="33"/>
        </w:rPr>
        <w:t> </w:t>
      </w:r>
      <w:r>
        <w:rPr/>
        <w:t>se</w:t>
      </w:r>
      <w:r>
        <w:rPr>
          <w:spacing w:val="37"/>
        </w:rPr>
        <w:t> </w:t>
      </w:r>
      <w:r>
        <w:rPr/>
        <w:t>vea</w:t>
      </w:r>
      <w:r>
        <w:rPr>
          <w:spacing w:val="34"/>
        </w:rPr>
        <w:t> </w:t>
      </w:r>
      <w:r>
        <w:rPr/>
        <w:t>obligada</w:t>
      </w:r>
      <w:r>
        <w:rPr>
          <w:spacing w:val="34"/>
        </w:rPr>
        <w:t> </w:t>
      </w:r>
      <w:r>
        <w:rPr/>
        <w:t>a prestar sus servicios.</w:t>
      </w:r>
    </w:p>
    <w:p>
      <w:pPr>
        <w:pStyle w:val="Heading3"/>
        <w:numPr>
          <w:ilvl w:val="1"/>
          <w:numId w:val="160"/>
        </w:numPr>
        <w:tabs>
          <w:tab w:pos="1069" w:val="left" w:leader="none"/>
        </w:tabs>
        <w:spacing w:line="240" w:lineRule="auto" w:before="229" w:after="0"/>
        <w:ind w:left="1069" w:right="0" w:hanging="443"/>
        <w:jc w:val="left"/>
      </w:pPr>
      <w:r>
        <w:rPr/>
        <w:t>Intoxicación</w:t>
      </w:r>
      <w:r>
        <w:rPr>
          <w:spacing w:val="-8"/>
        </w:rPr>
        <w:t> </w:t>
      </w:r>
      <w:r>
        <w:rPr/>
        <w:t>por</w:t>
      </w:r>
      <w:r>
        <w:rPr>
          <w:spacing w:val="-8"/>
        </w:rPr>
        <w:t> </w:t>
      </w:r>
      <w:r>
        <w:rPr/>
        <w:t>otros</w:t>
      </w:r>
      <w:r>
        <w:rPr>
          <w:spacing w:val="-8"/>
        </w:rPr>
        <w:t> </w:t>
      </w:r>
      <w:r>
        <w:rPr/>
        <w:t>plaguicidas.</w:t>
      </w:r>
      <w:r>
        <w:rPr>
          <w:spacing w:val="-8"/>
        </w:rPr>
        <w:t> </w:t>
      </w:r>
      <w:r>
        <w:rPr>
          <w:spacing w:val="-2"/>
        </w:rPr>
        <w:t>Organicoclorados</w:t>
      </w:r>
    </w:p>
    <w:p>
      <w:pPr>
        <w:pStyle w:val="BodyText"/>
        <w:spacing w:before="3"/>
        <w:rPr>
          <w:rFonts w:ascii="Arial"/>
          <w:b/>
        </w:rPr>
      </w:pPr>
    </w:p>
    <w:p>
      <w:pPr>
        <w:pStyle w:val="BodyText"/>
        <w:ind w:left="626"/>
      </w:pPr>
      <w:r>
        <w:rPr/>
        <w:t>Código</w:t>
      </w:r>
      <w:r>
        <w:rPr>
          <w:spacing w:val="-8"/>
        </w:rPr>
        <w:t> </w:t>
      </w:r>
      <w:r>
        <w:rPr/>
        <w:t>CIE-11:</w:t>
      </w:r>
      <w:r>
        <w:rPr>
          <w:spacing w:val="-6"/>
        </w:rPr>
        <w:t> </w:t>
      </w:r>
      <w:r>
        <w:rPr/>
        <w:t>PE93,</w:t>
      </w:r>
      <w:r>
        <w:rPr>
          <w:spacing w:val="-5"/>
        </w:rPr>
        <w:t> </w:t>
      </w:r>
      <w:r>
        <w:rPr/>
        <w:t>PB33,</w:t>
      </w:r>
      <w:r>
        <w:rPr>
          <w:spacing w:val="-7"/>
        </w:rPr>
        <w:t> </w:t>
      </w:r>
      <w:r>
        <w:rPr/>
        <w:t>PH53,</w:t>
      </w:r>
      <w:r>
        <w:rPr>
          <w:spacing w:val="-5"/>
        </w:rPr>
        <w:t> </w:t>
      </w:r>
      <w:r>
        <w:rPr/>
        <w:t>NE61,</w:t>
      </w:r>
      <w:r>
        <w:rPr>
          <w:spacing w:val="-8"/>
        </w:rPr>
        <w:t> </w:t>
      </w:r>
      <w:r>
        <w:rPr/>
        <w:t>XM41B3,</w:t>
      </w:r>
      <w:r>
        <w:rPr>
          <w:spacing w:val="-5"/>
        </w:rPr>
        <w:t> </w:t>
      </w:r>
      <w:r>
        <w:rPr>
          <w:spacing w:val="-2"/>
        </w:rPr>
        <w:t>XM5E09</w:t>
      </w:r>
    </w:p>
    <w:p>
      <w:pPr>
        <w:pStyle w:val="ListParagraph"/>
        <w:numPr>
          <w:ilvl w:val="2"/>
          <w:numId w:val="160"/>
        </w:numPr>
        <w:tabs>
          <w:tab w:pos="1045" w:val="left" w:leader="none"/>
          <w:tab w:pos="1058" w:val="left" w:leader="none"/>
        </w:tabs>
        <w:spacing w:line="240" w:lineRule="auto" w:before="227" w:after="0"/>
        <w:ind w:left="1058" w:right="337" w:hanging="432"/>
        <w:jc w:val="both"/>
        <w:rPr>
          <w:sz w:val="20"/>
        </w:rPr>
      </w:pPr>
      <w:r>
        <w:rPr>
          <w:sz w:val="20"/>
        </w:rPr>
        <w:t>Personas trabajadoras en actividades como: almacenamiento, distribución y transporte del plaguicida, industria de síntesis y formulación, labores de saneamiento ambiental y control de plagas y vectores, trabajos de la producción y</w:t>
      </w:r>
      <w:r>
        <w:rPr>
          <w:spacing w:val="-3"/>
          <w:sz w:val="20"/>
        </w:rPr>
        <w:t> </w:t>
      </w:r>
      <w:r>
        <w:rPr>
          <w:sz w:val="20"/>
        </w:rPr>
        <w:t>manipulación de plaguicidas organoclorados aldrin y dieldrin, en trabajos donde se aplica el plaguicida en labores agrícolas vía manual y con </w:t>
      </w:r>
      <w:r>
        <w:rPr>
          <w:spacing w:val="-2"/>
          <w:sz w:val="20"/>
        </w:rPr>
        <w:t>aeronaves.</w:t>
      </w:r>
    </w:p>
    <w:p>
      <w:pPr>
        <w:pStyle w:val="BodyText"/>
      </w:pPr>
    </w:p>
    <w:p>
      <w:pPr>
        <w:pStyle w:val="ListParagraph"/>
        <w:numPr>
          <w:ilvl w:val="2"/>
          <w:numId w:val="160"/>
        </w:numPr>
        <w:tabs>
          <w:tab w:pos="1045" w:val="left" w:leader="none"/>
          <w:tab w:pos="1058" w:val="left" w:leader="none"/>
        </w:tabs>
        <w:spacing w:line="240" w:lineRule="auto" w:before="0" w:after="0"/>
        <w:ind w:left="1058" w:right="340"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7" w:after="0"/>
        <w:ind w:left="1069" w:right="0" w:hanging="443"/>
        <w:jc w:val="left"/>
      </w:pPr>
      <w:r>
        <w:rPr/>
        <w:t>Intoxicación</w:t>
      </w:r>
      <w:r>
        <w:rPr>
          <w:spacing w:val="-9"/>
        </w:rPr>
        <w:t> </w:t>
      </w:r>
      <w:r>
        <w:rPr/>
        <w:t>por</w:t>
      </w:r>
      <w:r>
        <w:rPr>
          <w:spacing w:val="-10"/>
        </w:rPr>
        <w:t> </w:t>
      </w:r>
      <w:r>
        <w:rPr/>
        <w:t>plaguicidas</w:t>
      </w:r>
      <w:r>
        <w:rPr>
          <w:spacing w:val="-10"/>
        </w:rPr>
        <w:t> </w:t>
      </w:r>
      <w:r>
        <w:rPr/>
        <w:t>organofosforados</w:t>
      </w:r>
      <w:r>
        <w:rPr>
          <w:spacing w:val="-6"/>
        </w:rPr>
        <w:t> </w:t>
      </w:r>
      <w:r>
        <w:rPr/>
        <w:t>y</w:t>
      </w:r>
      <w:r>
        <w:rPr>
          <w:spacing w:val="-12"/>
        </w:rPr>
        <w:t> </w:t>
      </w:r>
      <w:r>
        <w:rPr>
          <w:spacing w:val="-2"/>
        </w:rPr>
        <w:t>carbamatos</w:t>
      </w:r>
    </w:p>
    <w:p>
      <w:pPr>
        <w:pStyle w:val="BodyText"/>
        <w:spacing w:before="3"/>
        <w:rPr>
          <w:rFonts w:ascii="Arial"/>
          <w:b/>
        </w:rPr>
      </w:pPr>
    </w:p>
    <w:p>
      <w:pPr>
        <w:pStyle w:val="BodyText"/>
        <w:ind w:left="338" w:firstLine="288"/>
      </w:pPr>
      <w:r>
        <w:rPr/>
        <w:t>Código</w:t>
      </w:r>
      <w:r>
        <w:rPr>
          <w:spacing w:val="80"/>
        </w:rPr>
        <w:t> </w:t>
      </w:r>
      <w:r>
        <w:rPr/>
        <w:t>CIE-11:</w:t>
      </w:r>
      <w:r>
        <w:rPr>
          <w:spacing w:val="80"/>
        </w:rPr>
        <w:t> </w:t>
      </w:r>
      <w:r>
        <w:rPr/>
        <w:t>8D43.2Y,</w:t>
      </w:r>
      <w:r>
        <w:rPr>
          <w:spacing w:val="80"/>
        </w:rPr>
        <w:t> </w:t>
      </w:r>
      <w:r>
        <w:rPr/>
        <w:t>NE61,</w:t>
      </w:r>
      <w:r>
        <w:rPr>
          <w:spacing w:val="80"/>
        </w:rPr>
        <w:t> </w:t>
      </w:r>
      <w:r>
        <w:rPr/>
        <w:t>PE93,</w:t>
      </w:r>
      <w:r>
        <w:rPr>
          <w:spacing w:val="80"/>
        </w:rPr>
        <w:t> </w:t>
      </w:r>
      <w:r>
        <w:rPr/>
        <w:t>PB33,</w:t>
      </w:r>
      <w:r>
        <w:rPr>
          <w:spacing w:val="80"/>
        </w:rPr>
        <w:t> </w:t>
      </w:r>
      <w:r>
        <w:rPr/>
        <w:t>PH53,</w:t>
      </w:r>
      <w:r>
        <w:rPr>
          <w:spacing w:val="80"/>
        </w:rPr>
        <w:t> </w:t>
      </w:r>
      <w:r>
        <w:rPr/>
        <w:t>XM7154,</w:t>
      </w:r>
      <w:r>
        <w:rPr>
          <w:spacing w:val="80"/>
        </w:rPr>
        <w:t> </w:t>
      </w:r>
      <w:r>
        <w:rPr/>
        <w:t>XM96H3,</w:t>
      </w:r>
      <w:r>
        <w:rPr>
          <w:spacing w:val="80"/>
        </w:rPr>
        <w:t> </w:t>
      </w:r>
      <w:r>
        <w:rPr/>
        <w:t>XM14N6,</w:t>
      </w:r>
      <w:r>
        <w:rPr>
          <w:spacing w:val="80"/>
        </w:rPr>
        <w:t> </w:t>
      </w:r>
      <w:r>
        <w:rPr/>
        <w:t>XM0G23, XM7SU5, XM5F29</w:t>
      </w:r>
    </w:p>
    <w:p>
      <w:pPr>
        <w:pStyle w:val="ListParagraph"/>
        <w:numPr>
          <w:ilvl w:val="2"/>
          <w:numId w:val="160"/>
        </w:numPr>
        <w:tabs>
          <w:tab w:pos="1045" w:val="left" w:leader="none"/>
          <w:tab w:pos="1058" w:val="left" w:leader="none"/>
        </w:tabs>
        <w:spacing w:line="240" w:lineRule="auto" w:before="230" w:after="0"/>
        <w:ind w:left="1058" w:right="334" w:hanging="432"/>
        <w:jc w:val="both"/>
        <w:rPr>
          <w:sz w:val="20"/>
        </w:rPr>
      </w:pPr>
      <w:r>
        <w:rPr>
          <w:sz w:val="20"/>
        </w:rPr>
        <w:t>Personas trabajadoras en actividades, tales como: almacenamiento, distribución y transporte del plaguicida, industria de síntesis y formulación, trabajos de la producción y manipulación de plaguicidas orgánicofosforados y carbamatos, trabajos en donde se aplica el plaguicida en</w:t>
      </w:r>
      <w:r>
        <w:rPr>
          <w:spacing w:val="40"/>
          <w:sz w:val="20"/>
        </w:rPr>
        <w:t> </w:t>
      </w:r>
      <w:r>
        <w:rPr>
          <w:sz w:val="20"/>
        </w:rPr>
        <w:t>labores agrícolas vía manual y con aeronaves, labores de saneamiento ambiental y control de plagas y vectores.</w:t>
      </w:r>
    </w:p>
    <w:p>
      <w:pPr>
        <w:pStyle w:val="ListParagraph"/>
        <w:numPr>
          <w:ilvl w:val="2"/>
          <w:numId w:val="160"/>
        </w:numPr>
        <w:tabs>
          <w:tab w:pos="1045" w:val="left" w:leader="none"/>
          <w:tab w:pos="1058" w:val="left" w:leader="none"/>
        </w:tabs>
        <w:spacing w:line="240" w:lineRule="auto" w:before="227" w:after="0"/>
        <w:ind w:left="1058" w:right="341"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9" w:after="0"/>
        <w:ind w:left="1069" w:right="0" w:hanging="443"/>
        <w:jc w:val="left"/>
      </w:pPr>
      <w:r>
        <w:rPr/>
        <w:t>Intoxicación</w:t>
      </w:r>
      <w:r>
        <w:rPr>
          <w:spacing w:val="-8"/>
        </w:rPr>
        <w:t> </w:t>
      </w:r>
      <w:r>
        <w:rPr/>
        <w:t>por</w:t>
      </w:r>
      <w:r>
        <w:rPr>
          <w:spacing w:val="-8"/>
        </w:rPr>
        <w:t> </w:t>
      </w:r>
      <w:r>
        <w:rPr>
          <w:spacing w:val="-2"/>
        </w:rPr>
        <w:t>tetracloroetileno</w:t>
      </w:r>
    </w:p>
    <w:p>
      <w:pPr>
        <w:pStyle w:val="BodyText"/>
        <w:rPr>
          <w:rFonts w:ascii="Arial"/>
          <w:b/>
        </w:rPr>
      </w:pPr>
    </w:p>
    <w:p>
      <w:pPr>
        <w:pStyle w:val="BodyText"/>
        <w:ind w:left="626"/>
      </w:pPr>
      <w:r>
        <w:rPr/>
        <w:t>Código</w:t>
      </w:r>
      <w:r>
        <w:rPr>
          <w:spacing w:val="-8"/>
        </w:rPr>
        <w:t> </w:t>
      </w:r>
      <w:r>
        <w:rPr/>
        <w:t>CIE-11:</w:t>
      </w:r>
      <w:r>
        <w:rPr>
          <w:spacing w:val="-7"/>
        </w:rPr>
        <w:t> </w:t>
      </w:r>
      <w:r>
        <w:rPr/>
        <w:t>NE61,</w:t>
      </w:r>
      <w:r>
        <w:rPr>
          <w:spacing w:val="-7"/>
        </w:rPr>
        <w:t> </w:t>
      </w:r>
      <w:r>
        <w:rPr/>
        <w:t>PB35,</w:t>
      </w:r>
      <w:r>
        <w:rPr>
          <w:spacing w:val="-6"/>
        </w:rPr>
        <w:t> </w:t>
      </w:r>
      <w:r>
        <w:rPr/>
        <w:t>PH55,</w:t>
      </w:r>
      <w:r>
        <w:rPr>
          <w:spacing w:val="-7"/>
        </w:rPr>
        <w:t> </w:t>
      </w:r>
      <w:r>
        <w:rPr>
          <w:spacing w:val="-2"/>
        </w:rPr>
        <w:t>XM3DA8</w:t>
      </w:r>
    </w:p>
    <w:p>
      <w:pPr>
        <w:pStyle w:val="BodyText"/>
      </w:pPr>
    </w:p>
    <w:p>
      <w:pPr>
        <w:pStyle w:val="ListParagraph"/>
        <w:numPr>
          <w:ilvl w:val="2"/>
          <w:numId w:val="160"/>
        </w:numPr>
        <w:tabs>
          <w:tab w:pos="1045" w:val="left" w:leader="none"/>
          <w:tab w:pos="1058" w:val="left" w:leader="none"/>
        </w:tabs>
        <w:spacing w:line="240" w:lineRule="auto" w:before="0" w:after="0"/>
        <w:ind w:left="1058" w:right="339" w:hanging="432"/>
        <w:jc w:val="both"/>
        <w:rPr>
          <w:sz w:val="20"/>
        </w:rPr>
      </w:pPr>
      <w:r>
        <w:rPr>
          <w:sz w:val="20"/>
        </w:rPr>
        <w:t>Personas trabajadoras de acondicionadores de telas, adhesivos, anestesiólogos, desengrasado de artículos metálicos y de lana, fabricación de lubricantes de silicona, lavanderías, manufactura de frenos, productos para limpiar madera, quitamanchas y repelentes de agua. Personas empleadas de lavanderías y limpieza en seco.</w:t>
      </w:r>
    </w:p>
    <w:p>
      <w:pPr>
        <w:pStyle w:val="ListParagraph"/>
        <w:numPr>
          <w:ilvl w:val="2"/>
          <w:numId w:val="160"/>
        </w:numPr>
        <w:tabs>
          <w:tab w:pos="1045" w:val="left" w:leader="none"/>
          <w:tab w:pos="1058" w:val="left" w:leader="none"/>
        </w:tabs>
        <w:spacing w:line="240" w:lineRule="auto" w:before="229" w:after="0"/>
        <w:ind w:left="1058" w:right="33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w:t>
      </w:r>
      <w:r>
        <w:rPr>
          <w:spacing w:val="40"/>
          <w:sz w:val="20"/>
        </w:rPr>
        <w:t> </w:t>
      </w:r>
      <w:r>
        <w:rPr>
          <w:sz w:val="20"/>
        </w:rPr>
        <w:t>origen o con motivo del trabajo o en el medio que la persona trabajadora se vea obligada a prestar sus servicios.</w:t>
      </w:r>
    </w:p>
    <w:p>
      <w:pPr>
        <w:pStyle w:val="Heading3"/>
        <w:numPr>
          <w:ilvl w:val="1"/>
          <w:numId w:val="160"/>
        </w:numPr>
        <w:tabs>
          <w:tab w:pos="1069" w:val="left" w:leader="none"/>
        </w:tabs>
        <w:spacing w:line="240" w:lineRule="auto" w:before="226" w:after="0"/>
        <w:ind w:left="1069" w:right="0" w:hanging="443"/>
        <w:jc w:val="left"/>
      </w:pPr>
      <w:r>
        <w:rPr/>
        <w:t>Envenenamiento</w:t>
      </w:r>
      <w:r>
        <w:rPr>
          <w:spacing w:val="-9"/>
        </w:rPr>
        <w:t> </w:t>
      </w:r>
      <w:r>
        <w:rPr/>
        <w:t>por</w:t>
      </w:r>
      <w:r>
        <w:rPr>
          <w:spacing w:val="-7"/>
        </w:rPr>
        <w:t> </w:t>
      </w:r>
      <w:r>
        <w:rPr/>
        <w:t>picadura</w:t>
      </w:r>
      <w:r>
        <w:rPr>
          <w:spacing w:val="-9"/>
        </w:rPr>
        <w:t> </w:t>
      </w:r>
      <w:r>
        <w:rPr/>
        <w:t>de</w:t>
      </w:r>
      <w:r>
        <w:rPr>
          <w:spacing w:val="-8"/>
        </w:rPr>
        <w:t> </w:t>
      </w:r>
      <w:r>
        <w:rPr/>
        <w:t>artrópodos:</w:t>
      </w:r>
      <w:r>
        <w:rPr>
          <w:spacing w:val="-7"/>
        </w:rPr>
        <w:t> </w:t>
      </w:r>
      <w:r>
        <w:rPr/>
        <w:t>araña</w:t>
      </w:r>
      <w:r>
        <w:rPr>
          <w:spacing w:val="-7"/>
        </w:rPr>
        <w:t> </w:t>
      </w:r>
      <w:r>
        <w:rPr>
          <w:spacing w:val="-2"/>
        </w:rPr>
        <w:t>(latrodectismo)</w:t>
      </w:r>
    </w:p>
    <w:p>
      <w:pPr>
        <w:pStyle w:val="Heading3"/>
        <w:spacing w:after="0" w:line="240" w:lineRule="auto"/>
        <w:jc w:val="left"/>
        <w:sectPr>
          <w:pgSz w:w="12240" w:h="15840"/>
          <w:pgMar w:header="724" w:footer="712" w:top="1880" w:bottom="900" w:left="1080" w:right="1080"/>
        </w:sectPr>
      </w:pPr>
    </w:p>
    <w:p>
      <w:pPr>
        <w:pStyle w:val="BodyText"/>
        <w:rPr>
          <w:rFonts w:ascii="Arial"/>
          <w:b/>
        </w:rPr>
      </w:pPr>
    </w:p>
    <w:p>
      <w:pPr>
        <w:pStyle w:val="BodyText"/>
        <w:spacing w:before="66"/>
        <w:rPr>
          <w:rFonts w:ascii="Arial"/>
          <w:b/>
        </w:rPr>
      </w:pPr>
    </w:p>
    <w:p>
      <w:pPr>
        <w:pStyle w:val="BodyText"/>
        <w:ind w:left="626"/>
      </w:pPr>
      <w:r>
        <w:rPr/>
        <w:t>Código</w:t>
      </w:r>
      <w:r>
        <w:rPr>
          <w:spacing w:val="-10"/>
        </w:rPr>
        <w:t> </w:t>
      </w:r>
      <w:r>
        <w:rPr/>
        <w:t>CIE-11:</w:t>
      </w:r>
      <w:r>
        <w:rPr>
          <w:spacing w:val="-7"/>
        </w:rPr>
        <w:t> </w:t>
      </w:r>
      <w:r>
        <w:rPr/>
        <w:t>PG68,</w:t>
      </w:r>
      <w:r>
        <w:rPr>
          <w:spacing w:val="-8"/>
        </w:rPr>
        <w:t> </w:t>
      </w:r>
      <w:r>
        <w:rPr>
          <w:spacing w:val="-2"/>
        </w:rPr>
        <w:t>XE6UV</w:t>
      </w:r>
    </w:p>
    <w:p>
      <w:pPr>
        <w:pStyle w:val="ListParagraph"/>
        <w:numPr>
          <w:ilvl w:val="2"/>
          <w:numId w:val="160"/>
        </w:numPr>
        <w:tabs>
          <w:tab w:pos="1045" w:val="left" w:leader="none"/>
          <w:tab w:pos="1058" w:val="left" w:leader="none"/>
        </w:tabs>
        <w:spacing w:line="240" w:lineRule="auto" w:before="229" w:after="0"/>
        <w:ind w:left="1058" w:right="333" w:hanging="432"/>
        <w:jc w:val="both"/>
        <w:rPr>
          <w:sz w:val="20"/>
        </w:rPr>
      </w:pPr>
      <w:r>
        <w:rPr>
          <w:sz w:val="20"/>
        </w:rPr>
        <w:t>Personas trabajadoras en actividades agrícolas y ganaderas, forestales, caza y pesca, no clasificados anteriormente, personas trabajadoras domésticas, de limpieza, planchadores, jardineros, ayudantes de jardineros, biólogos y especialistas en ciencias del mar y oceanógrafos, agrónomos, ingenieros civiles y de la construcción, ingenieros en topografía, hidrología, geología y geodesia, arquitectos, planificadores urbanos y del transporte, auxiliares y técnicos en ciencias biológicas, químicas y</w:t>
      </w:r>
      <w:r>
        <w:rPr>
          <w:spacing w:val="-3"/>
          <w:sz w:val="20"/>
        </w:rPr>
        <w:t> </w:t>
      </w:r>
      <w:r>
        <w:rPr>
          <w:sz w:val="20"/>
        </w:rPr>
        <w:t>del medio ambiente, fumigadores y</w:t>
      </w:r>
      <w:r>
        <w:rPr>
          <w:spacing w:val="-3"/>
          <w:sz w:val="20"/>
        </w:rPr>
        <w:t> </w:t>
      </w:r>
      <w:r>
        <w:rPr>
          <w:sz w:val="20"/>
        </w:rPr>
        <w:t>controladores de plagas, encargados y personas trabajadoras en control de almacén y bodega, recamaristas y camaristas, recolectores de basura y material reciclable.</w:t>
      </w:r>
    </w:p>
    <w:p>
      <w:pPr>
        <w:pStyle w:val="ListParagraph"/>
        <w:numPr>
          <w:ilvl w:val="2"/>
          <w:numId w:val="160"/>
        </w:numPr>
        <w:tabs>
          <w:tab w:pos="1045" w:val="left" w:leader="none"/>
          <w:tab w:pos="1058" w:val="left" w:leader="none"/>
        </w:tabs>
        <w:spacing w:line="240" w:lineRule="auto" w:before="229" w:after="0"/>
        <w:ind w:left="1058" w:right="33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w:t>
      </w:r>
      <w:r>
        <w:rPr>
          <w:spacing w:val="40"/>
          <w:sz w:val="20"/>
        </w:rPr>
        <w:t> </w:t>
      </w:r>
      <w:r>
        <w:rPr>
          <w:sz w:val="20"/>
        </w:rPr>
        <w:t>origen o con motivo del trabajo o en el medio que la persona trabajadora se vea obligada a prestar sus servicios.</w:t>
      </w:r>
    </w:p>
    <w:p>
      <w:pPr>
        <w:pStyle w:val="Heading3"/>
        <w:numPr>
          <w:ilvl w:val="1"/>
          <w:numId w:val="160"/>
        </w:numPr>
        <w:tabs>
          <w:tab w:pos="1069" w:val="left" w:leader="none"/>
        </w:tabs>
        <w:spacing w:line="240" w:lineRule="auto" w:before="229" w:after="0"/>
        <w:ind w:left="1069" w:right="0" w:hanging="443"/>
        <w:jc w:val="left"/>
      </w:pPr>
      <w:r>
        <w:rPr/>
        <w:t>Envenenamiento</w:t>
      </w:r>
      <w:r>
        <w:rPr>
          <w:spacing w:val="-10"/>
        </w:rPr>
        <w:t> </w:t>
      </w:r>
      <w:r>
        <w:rPr/>
        <w:t>por</w:t>
      </w:r>
      <w:r>
        <w:rPr>
          <w:spacing w:val="-6"/>
        </w:rPr>
        <w:t> </w:t>
      </w:r>
      <w:r>
        <w:rPr/>
        <w:t>picadura</w:t>
      </w:r>
      <w:r>
        <w:rPr>
          <w:spacing w:val="-9"/>
        </w:rPr>
        <w:t> </w:t>
      </w:r>
      <w:r>
        <w:rPr/>
        <w:t>de</w:t>
      </w:r>
      <w:r>
        <w:rPr>
          <w:spacing w:val="-8"/>
        </w:rPr>
        <w:t> </w:t>
      </w:r>
      <w:r>
        <w:rPr/>
        <w:t>artrópodo:</w:t>
      </w:r>
      <w:r>
        <w:rPr>
          <w:spacing w:val="-7"/>
        </w:rPr>
        <w:t> </w:t>
      </w:r>
      <w:r>
        <w:rPr>
          <w:spacing w:val="-2"/>
        </w:rPr>
        <w:t>loxocelismo</w:t>
      </w:r>
    </w:p>
    <w:p>
      <w:pPr>
        <w:pStyle w:val="BodyText"/>
        <w:rPr>
          <w:rFonts w:ascii="Arial"/>
          <w:b/>
        </w:rPr>
      </w:pPr>
    </w:p>
    <w:p>
      <w:pPr>
        <w:pStyle w:val="BodyText"/>
        <w:ind w:left="626"/>
      </w:pPr>
      <w:r>
        <w:rPr/>
        <w:t>Código</w:t>
      </w:r>
      <w:r>
        <w:rPr>
          <w:spacing w:val="-9"/>
        </w:rPr>
        <w:t> </w:t>
      </w:r>
      <w:r>
        <w:rPr/>
        <w:t>CIE-11:</w:t>
      </w:r>
      <w:r>
        <w:rPr>
          <w:spacing w:val="-7"/>
        </w:rPr>
        <w:t> </w:t>
      </w:r>
      <w:r>
        <w:rPr/>
        <w:t>PA78,</w:t>
      </w:r>
      <w:r>
        <w:rPr>
          <w:spacing w:val="-8"/>
        </w:rPr>
        <w:t> </w:t>
      </w:r>
      <w:r>
        <w:rPr/>
        <w:t>XM6NN5,</w:t>
      </w:r>
      <w:r>
        <w:rPr>
          <w:spacing w:val="-8"/>
        </w:rPr>
        <w:t> </w:t>
      </w:r>
      <w:r>
        <w:rPr>
          <w:spacing w:val="-2"/>
        </w:rPr>
        <w:t>XM7JS2</w:t>
      </w:r>
    </w:p>
    <w:p>
      <w:pPr>
        <w:pStyle w:val="BodyText"/>
      </w:pPr>
    </w:p>
    <w:p>
      <w:pPr>
        <w:pStyle w:val="ListParagraph"/>
        <w:numPr>
          <w:ilvl w:val="2"/>
          <w:numId w:val="160"/>
        </w:numPr>
        <w:tabs>
          <w:tab w:pos="1045" w:val="left" w:leader="none"/>
          <w:tab w:pos="1058" w:val="left" w:leader="none"/>
        </w:tabs>
        <w:spacing w:line="240" w:lineRule="auto" w:before="0" w:after="0"/>
        <w:ind w:left="1058" w:right="335" w:hanging="432"/>
        <w:jc w:val="both"/>
        <w:rPr>
          <w:sz w:val="20"/>
        </w:rPr>
      </w:pPr>
      <w:r>
        <w:rPr>
          <w:sz w:val="20"/>
        </w:rPr>
        <w:t>Personas trabajadoras en actividades agrícolas y ganaderas, forestales, caza y pesca, no clasificados anteriormente; personas trabajadoras domésticas, de limpieza, planchadores y jardineros, ayudantes de jardineros; biólogos y especialistas en ciencias del mar y oceanógrafos, agrónomos, ingenieros civiles y de la construcción, ingenieros en topografía, hidrología, geología y geodesia, arquitectos, planificadores urbanos y del transporte, auxiliares y técnicos en ciencias biológicas, químicas y</w:t>
      </w:r>
      <w:r>
        <w:rPr>
          <w:spacing w:val="-3"/>
          <w:sz w:val="20"/>
        </w:rPr>
        <w:t> </w:t>
      </w:r>
      <w:r>
        <w:rPr>
          <w:sz w:val="20"/>
        </w:rPr>
        <w:t>del medio ambiente, fumigadores y</w:t>
      </w:r>
      <w:r>
        <w:rPr>
          <w:spacing w:val="-3"/>
          <w:sz w:val="20"/>
        </w:rPr>
        <w:t> </w:t>
      </w:r>
      <w:r>
        <w:rPr>
          <w:sz w:val="20"/>
        </w:rPr>
        <w:t>controladores de plagas, encargados y personas trabajadoras en control de almacén y bodega, recamaristas y camaristas, recolectores de basura y material reciclable.</w:t>
      </w:r>
    </w:p>
    <w:p>
      <w:pPr>
        <w:pStyle w:val="ListParagraph"/>
        <w:numPr>
          <w:ilvl w:val="2"/>
          <w:numId w:val="160"/>
        </w:numPr>
        <w:tabs>
          <w:tab w:pos="1045" w:val="left" w:leader="none"/>
          <w:tab w:pos="1058" w:val="left" w:leader="none"/>
        </w:tabs>
        <w:spacing w:line="240" w:lineRule="auto" w:before="228" w:after="0"/>
        <w:ind w:left="1058" w:right="343"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7" w:after="0"/>
        <w:ind w:left="1069" w:right="0" w:hanging="443"/>
        <w:jc w:val="left"/>
      </w:pPr>
      <w:r>
        <w:rPr/>
        <w:t>Envenenamiento</w:t>
      </w:r>
      <w:r>
        <w:rPr>
          <w:spacing w:val="-7"/>
        </w:rPr>
        <w:t> </w:t>
      </w:r>
      <w:r>
        <w:rPr/>
        <w:t>por</w:t>
      </w:r>
      <w:r>
        <w:rPr>
          <w:spacing w:val="-6"/>
        </w:rPr>
        <w:t> </w:t>
      </w:r>
      <w:r>
        <w:rPr/>
        <w:t>picadura</w:t>
      </w:r>
      <w:r>
        <w:rPr>
          <w:spacing w:val="-7"/>
        </w:rPr>
        <w:t> </w:t>
      </w:r>
      <w:r>
        <w:rPr/>
        <w:t>de</w:t>
      </w:r>
      <w:r>
        <w:rPr>
          <w:spacing w:val="-8"/>
        </w:rPr>
        <w:t> </w:t>
      </w:r>
      <w:r>
        <w:rPr/>
        <w:t>artrópodo:</w:t>
      </w:r>
      <w:r>
        <w:rPr>
          <w:spacing w:val="-7"/>
        </w:rPr>
        <w:t> </w:t>
      </w:r>
      <w:r>
        <w:rPr/>
        <w:t>alacrán</w:t>
      </w:r>
      <w:r>
        <w:rPr>
          <w:spacing w:val="-7"/>
        </w:rPr>
        <w:t> </w:t>
      </w:r>
      <w:r>
        <w:rPr/>
        <w:t>o</w:t>
      </w:r>
      <w:r>
        <w:rPr>
          <w:spacing w:val="-7"/>
        </w:rPr>
        <w:t> </w:t>
      </w:r>
      <w:r>
        <w:rPr>
          <w:spacing w:val="-2"/>
        </w:rPr>
        <w:t>escorpión</w:t>
      </w:r>
    </w:p>
    <w:p>
      <w:pPr>
        <w:pStyle w:val="BodyText"/>
        <w:spacing w:before="3"/>
        <w:rPr>
          <w:rFonts w:ascii="Arial"/>
          <w:b/>
        </w:rPr>
      </w:pPr>
    </w:p>
    <w:p>
      <w:pPr>
        <w:pStyle w:val="BodyText"/>
        <w:ind w:left="626"/>
      </w:pPr>
      <w:r>
        <w:rPr/>
        <w:t>Código</w:t>
      </w:r>
      <w:r>
        <w:rPr>
          <w:spacing w:val="-9"/>
        </w:rPr>
        <w:t> </w:t>
      </w:r>
      <w:r>
        <w:rPr/>
        <w:t>CIE-11:</w:t>
      </w:r>
      <w:r>
        <w:rPr>
          <w:spacing w:val="-7"/>
        </w:rPr>
        <w:t> </w:t>
      </w:r>
      <w:r>
        <w:rPr/>
        <w:t>NE61,</w:t>
      </w:r>
      <w:r>
        <w:rPr>
          <w:spacing w:val="-7"/>
        </w:rPr>
        <w:t> </w:t>
      </w:r>
      <w:r>
        <w:rPr>
          <w:spacing w:val="-2"/>
        </w:rPr>
        <w:t>XM9DM8</w:t>
      </w:r>
    </w:p>
    <w:p>
      <w:pPr>
        <w:pStyle w:val="ListParagraph"/>
        <w:numPr>
          <w:ilvl w:val="2"/>
          <w:numId w:val="160"/>
        </w:numPr>
        <w:tabs>
          <w:tab w:pos="1045" w:val="left" w:leader="none"/>
          <w:tab w:pos="1058" w:val="left" w:leader="none"/>
        </w:tabs>
        <w:spacing w:line="240" w:lineRule="auto" w:before="229" w:after="0"/>
        <w:ind w:left="1058" w:right="339" w:hanging="432"/>
        <w:jc w:val="both"/>
        <w:rPr>
          <w:sz w:val="20"/>
        </w:rPr>
      </w:pPr>
      <w:r>
        <w:rPr>
          <w:sz w:val="20"/>
        </w:rPr>
        <w:t>Personas trabajadoras en actividades agrícolas y ganaderas; forestales, caza y pesca, no clasificados anteriormente; personas trabajadoras domésticas, de limpieza, planchadores y jardineros; ayudantes de jardineros; biólogos y especialistas en ciencias del mar y oceanógrafos; agrónomos; ingenieros civiles y de la construcción; ingenieros en topografía, hidrología, geología y geodesia; arquitectos, planificadores urbanos y del transporte; auxiliares y técnicos en ciencias biológicas, químicas y</w:t>
      </w:r>
      <w:r>
        <w:rPr>
          <w:spacing w:val="-3"/>
          <w:sz w:val="20"/>
        </w:rPr>
        <w:t> </w:t>
      </w:r>
      <w:r>
        <w:rPr>
          <w:sz w:val="20"/>
        </w:rPr>
        <w:t>del medio ambiente; fumigadores y</w:t>
      </w:r>
      <w:r>
        <w:rPr>
          <w:spacing w:val="-3"/>
          <w:sz w:val="20"/>
        </w:rPr>
        <w:t> </w:t>
      </w:r>
      <w:r>
        <w:rPr>
          <w:sz w:val="20"/>
        </w:rPr>
        <w:t>controladores de plagas; encargados y personas trabajadoras en control de almacén y bodega; recamaristas y camaristas; recolectores de basura y material reciclable.</w:t>
      </w:r>
    </w:p>
    <w:p>
      <w:pPr>
        <w:pStyle w:val="ListParagraph"/>
        <w:numPr>
          <w:ilvl w:val="2"/>
          <w:numId w:val="160"/>
        </w:numPr>
        <w:tabs>
          <w:tab w:pos="1045" w:val="left" w:leader="none"/>
          <w:tab w:pos="1058" w:val="left" w:leader="none"/>
        </w:tabs>
        <w:spacing w:line="240" w:lineRule="auto" w:before="229" w:after="0"/>
        <w:ind w:left="1058" w:right="341" w:hanging="432"/>
        <w:jc w:val="both"/>
        <w:rPr>
          <w:sz w:val="20"/>
        </w:rPr>
      </w:pPr>
      <w:r>
        <w:rPr>
          <w:sz w:val="20"/>
        </w:rPr>
        <w:t>Personas trabajadoras que presentan exposición de forma directa e indudable a la acción de los agentes</w:t>
      </w:r>
      <w:r>
        <w:rPr>
          <w:spacing w:val="34"/>
          <w:sz w:val="20"/>
        </w:rPr>
        <w:t> </w:t>
      </w:r>
      <w:r>
        <w:rPr>
          <w:sz w:val="20"/>
        </w:rPr>
        <w:t>causales</w:t>
      </w:r>
      <w:r>
        <w:rPr>
          <w:spacing w:val="37"/>
          <w:sz w:val="20"/>
        </w:rPr>
        <w:t> </w:t>
      </w:r>
      <w:r>
        <w:rPr>
          <w:sz w:val="20"/>
        </w:rPr>
        <w:t>establecidos</w:t>
      </w:r>
      <w:r>
        <w:rPr>
          <w:spacing w:val="37"/>
          <w:sz w:val="20"/>
        </w:rPr>
        <w:t> </w:t>
      </w:r>
      <w:r>
        <w:rPr>
          <w:sz w:val="20"/>
        </w:rPr>
        <w:t>en</w:t>
      </w:r>
      <w:r>
        <w:rPr>
          <w:spacing w:val="35"/>
          <w:sz w:val="20"/>
        </w:rPr>
        <w:t> </w:t>
      </w:r>
      <w:r>
        <w:rPr>
          <w:sz w:val="20"/>
        </w:rPr>
        <w:t>la</w:t>
      </w:r>
      <w:r>
        <w:rPr>
          <w:spacing w:val="33"/>
          <w:sz w:val="20"/>
        </w:rPr>
        <w:t> </w:t>
      </w:r>
      <w:r>
        <w:rPr>
          <w:sz w:val="20"/>
        </w:rPr>
        <w:t>fracción</w:t>
      </w:r>
      <w:r>
        <w:rPr>
          <w:spacing w:val="35"/>
          <w:sz w:val="20"/>
        </w:rPr>
        <w:t> </w:t>
      </w:r>
      <w:r>
        <w:rPr>
          <w:sz w:val="20"/>
        </w:rPr>
        <w:t>II</w:t>
      </w:r>
      <w:r>
        <w:rPr>
          <w:spacing w:val="36"/>
          <w:sz w:val="20"/>
        </w:rPr>
        <w:t> </w:t>
      </w:r>
      <w:r>
        <w:rPr>
          <w:sz w:val="20"/>
        </w:rPr>
        <w:t>de</w:t>
      </w:r>
      <w:r>
        <w:rPr>
          <w:spacing w:val="35"/>
          <w:sz w:val="20"/>
        </w:rPr>
        <w:t> </w:t>
      </w:r>
      <w:r>
        <w:rPr>
          <w:sz w:val="20"/>
        </w:rPr>
        <w:t>la</w:t>
      </w:r>
      <w:r>
        <w:rPr>
          <w:spacing w:val="33"/>
          <w:sz w:val="20"/>
        </w:rPr>
        <w:t> </w:t>
      </w:r>
      <w:r>
        <w:rPr>
          <w:sz w:val="20"/>
        </w:rPr>
        <w:t>cédula</w:t>
      </w:r>
      <w:r>
        <w:rPr>
          <w:spacing w:val="36"/>
          <w:sz w:val="20"/>
        </w:rPr>
        <w:t> </w:t>
      </w:r>
      <w:r>
        <w:rPr>
          <w:sz w:val="20"/>
        </w:rPr>
        <w:t>correspondiente</w:t>
      </w:r>
      <w:r>
        <w:rPr>
          <w:spacing w:val="36"/>
          <w:sz w:val="20"/>
        </w:rPr>
        <w:t> </w:t>
      </w:r>
      <w:r>
        <w:rPr>
          <w:sz w:val="20"/>
        </w:rPr>
        <w:t>contenida</w:t>
      </w:r>
      <w:r>
        <w:rPr>
          <w:spacing w:val="35"/>
          <w:sz w:val="20"/>
        </w:rPr>
        <w:t> </w:t>
      </w:r>
      <w:r>
        <w:rPr>
          <w:sz w:val="20"/>
        </w:rPr>
        <w:t>en</w:t>
      </w:r>
      <w:r>
        <w:rPr>
          <w:spacing w:val="36"/>
          <w:sz w:val="20"/>
        </w:rPr>
        <w:t> </w:t>
      </w:r>
      <w:r>
        <w:rPr>
          <w:sz w:val="20"/>
        </w:rPr>
        <w:t>el</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058" w:right="344"/>
        <w:jc w:val="both"/>
      </w:pPr>
      <w:r>
        <w:rPr/>
        <w:t>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30" w:after="0"/>
        <w:ind w:left="1069" w:right="0" w:hanging="443"/>
        <w:jc w:val="left"/>
      </w:pPr>
      <w:r>
        <w:rPr/>
        <w:t>Envenenamiento</w:t>
      </w:r>
      <w:r>
        <w:rPr>
          <w:spacing w:val="-7"/>
        </w:rPr>
        <w:t> </w:t>
      </w:r>
      <w:r>
        <w:rPr/>
        <w:t>por</w:t>
      </w:r>
      <w:r>
        <w:rPr>
          <w:spacing w:val="-6"/>
        </w:rPr>
        <w:t> </w:t>
      </w:r>
      <w:r>
        <w:rPr/>
        <w:t>picadura</w:t>
      </w:r>
      <w:r>
        <w:rPr>
          <w:spacing w:val="-8"/>
        </w:rPr>
        <w:t> </w:t>
      </w:r>
      <w:r>
        <w:rPr/>
        <w:t>de</w:t>
      </w:r>
      <w:r>
        <w:rPr>
          <w:spacing w:val="-8"/>
        </w:rPr>
        <w:t> </w:t>
      </w:r>
      <w:r>
        <w:rPr/>
        <w:t>serpiente</w:t>
      </w:r>
      <w:r>
        <w:rPr>
          <w:spacing w:val="-7"/>
        </w:rPr>
        <w:t> </w:t>
      </w:r>
      <w:r>
        <w:rPr>
          <w:spacing w:val="-2"/>
        </w:rPr>
        <w:t>(ofidismo)</w:t>
      </w:r>
    </w:p>
    <w:p>
      <w:pPr>
        <w:pStyle w:val="BodyText"/>
        <w:rPr>
          <w:rFonts w:ascii="Arial"/>
          <w:b/>
        </w:rPr>
      </w:pPr>
    </w:p>
    <w:p>
      <w:pPr>
        <w:pStyle w:val="BodyText"/>
        <w:ind w:left="626"/>
      </w:pPr>
      <w:r>
        <w:rPr/>
        <w:t>Código</w:t>
      </w:r>
      <w:r>
        <w:rPr>
          <w:spacing w:val="-9"/>
        </w:rPr>
        <w:t> </w:t>
      </w:r>
      <w:r>
        <w:rPr/>
        <w:t>CIE-11:</w:t>
      </w:r>
      <w:r>
        <w:rPr>
          <w:spacing w:val="-7"/>
        </w:rPr>
        <w:t> </w:t>
      </w:r>
      <w:r>
        <w:rPr/>
        <w:t>NE61,</w:t>
      </w:r>
      <w:r>
        <w:rPr>
          <w:spacing w:val="-7"/>
        </w:rPr>
        <w:t> </w:t>
      </w:r>
      <w:r>
        <w:rPr>
          <w:spacing w:val="-2"/>
        </w:rPr>
        <w:t>XM4KN1</w:t>
      </w:r>
    </w:p>
    <w:p>
      <w:pPr>
        <w:pStyle w:val="BodyText"/>
      </w:pPr>
    </w:p>
    <w:p>
      <w:pPr>
        <w:pStyle w:val="ListParagraph"/>
        <w:numPr>
          <w:ilvl w:val="2"/>
          <w:numId w:val="160"/>
        </w:numPr>
        <w:tabs>
          <w:tab w:pos="1045" w:val="left" w:leader="none"/>
          <w:tab w:pos="1058" w:val="left" w:leader="none"/>
        </w:tabs>
        <w:spacing w:line="240" w:lineRule="auto" w:before="0" w:after="0"/>
        <w:ind w:left="1058" w:right="337" w:hanging="432"/>
        <w:jc w:val="both"/>
        <w:rPr>
          <w:sz w:val="20"/>
        </w:rPr>
      </w:pPr>
      <w:r>
        <w:rPr>
          <w:sz w:val="20"/>
        </w:rPr>
        <w:t>Personas trabajadoras en actividades agrícolas y ganaderas, forestales, caza y pesca, no clasificados anteriormente; personas trabajadoras domésticas, de limpieza, planchadores y jardineros, ayudantes de jardineros; biólogos y especialistas en ciencias del mar y oceanógrafos; agrónomos; ingenieros civiles y de la construcción; ingenieros en topografía, hidrología, geología y geodesia; arquitectos, planificadores urbanos y del transporte; auxiliares y técnicos en ciencias biológicas, químicas y</w:t>
      </w:r>
      <w:r>
        <w:rPr>
          <w:spacing w:val="-3"/>
          <w:sz w:val="20"/>
        </w:rPr>
        <w:t> </w:t>
      </w:r>
      <w:r>
        <w:rPr>
          <w:sz w:val="20"/>
        </w:rPr>
        <w:t>del medio ambiente; fumigadores y</w:t>
      </w:r>
      <w:r>
        <w:rPr>
          <w:spacing w:val="-3"/>
          <w:sz w:val="20"/>
        </w:rPr>
        <w:t> </w:t>
      </w:r>
      <w:r>
        <w:rPr>
          <w:sz w:val="20"/>
        </w:rPr>
        <w:t>controladores de plagas; encargados y personas trabajadoras en control de almacén y bodega; recamaristas y camaristas; recolectores de basura y material reciclable.</w:t>
      </w:r>
    </w:p>
    <w:p>
      <w:pPr>
        <w:pStyle w:val="ListParagraph"/>
        <w:numPr>
          <w:ilvl w:val="2"/>
          <w:numId w:val="160"/>
        </w:numPr>
        <w:tabs>
          <w:tab w:pos="1045" w:val="left" w:leader="none"/>
          <w:tab w:pos="1058" w:val="left" w:leader="none"/>
        </w:tabs>
        <w:spacing w:line="240" w:lineRule="auto" w:before="229" w:after="0"/>
        <w:ind w:left="1058" w:right="341"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7" w:val="left" w:leader="none"/>
        </w:tabs>
        <w:spacing w:line="240" w:lineRule="auto" w:before="228" w:after="0"/>
        <w:ind w:left="1067" w:right="0" w:hanging="441"/>
        <w:jc w:val="left"/>
      </w:pPr>
      <w:r>
        <w:rPr/>
        <w:t>Efectos</w:t>
      </w:r>
      <w:r>
        <w:rPr>
          <w:spacing w:val="-5"/>
        </w:rPr>
        <w:t> </w:t>
      </w:r>
      <w:r>
        <w:rPr/>
        <w:t>tóxicos</w:t>
      </w:r>
      <w:r>
        <w:rPr>
          <w:spacing w:val="-6"/>
        </w:rPr>
        <w:t> </w:t>
      </w:r>
      <w:r>
        <w:rPr/>
        <w:t>del</w:t>
      </w:r>
      <w:r>
        <w:rPr>
          <w:spacing w:val="-5"/>
        </w:rPr>
        <w:t> </w:t>
      </w:r>
      <w:r>
        <w:rPr/>
        <w:t>cromo</w:t>
      </w:r>
      <w:r>
        <w:rPr>
          <w:spacing w:val="-4"/>
        </w:rPr>
        <w:t> </w:t>
      </w:r>
      <w:r>
        <w:rPr/>
        <w:t>y</w:t>
      </w:r>
      <w:r>
        <w:rPr>
          <w:spacing w:val="-7"/>
        </w:rPr>
        <w:t> </w:t>
      </w:r>
      <w:r>
        <w:rPr/>
        <w:t>sus</w:t>
      </w:r>
      <w:r>
        <w:rPr>
          <w:spacing w:val="-6"/>
        </w:rPr>
        <w:t> </w:t>
      </w:r>
      <w:r>
        <w:rPr>
          <w:spacing w:val="-2"/>
        </w:rPr>
        <w:t>compuestos</w:t>
      </w:r>
    </w:p>
    <w:p>
      <w:pPr>
        <w:pStyle w:val="BodyText"/>
        <w:spacing w:before="1"/>
        <w:rPr>
          <w:rFonts w:ascii="Arial"/>
          <w:b/>
        </w:rPr>
      </w:pPr>
    </w:p>
    <w:p>
      <w:pPr>
        <w:pStyle w:val="BodyText"/>
        <w:ind w:left="626"/>
      </w:pPr>
      <w:r>
        <w:rPr/>
        <w:t>Código</w:t>
      </w:r>
      <w:r>
        <w:rPr>
          <w:spacing w:val="-8"/>
        </w:rPr>
        <w:t> </w:t>
      </w:r>
      <w:r>
        <w:rPr/>
        <w:t>CIE-11:</w:t>
      </w:r>
      <w:r>
        <w:rPr>
          <w:spacing w:val="-6"/>
        </w:rPr>
        <w:t> </w:t>
      </w:r>
      <w:r>
        <w:rPr/>
        <w:t>PE95,</w:t>
      </w:r>
      <w:r>
        <w:rPr>
          <w:spacing w:val="-5"/>
        </w:rPr>
        <w:t> </w:t>
      </w:r>
      <w:r>
        <w:rPr/>
        <w:t>PB36,</w:t>
      </w:r>
      <w:r>
        <w:rPr>
          <w:spacing w:val="-7"/>
        </w:rPr>
        <w:t> </w:t>
      </w:r>
      <w:r>
        <w:rPr/>
        <w:t>PH56,</w:t>
      </w:r>
      <w:r>
        <w:rPr>
          <w:spacing w:val="-6"/>
        </w:rPr>
        <w:t> </w:t>
      </w:r>
      <w:r>
        <w:rPr/>
        <w:t>NE61,</w:t>
      </w:r>
      <w:r>
        <w:rPr>
          <w:spacing w:val="-7"/>
        </w:rPr>
        <w:t> </w:t>
      </w:r>
      <w:r>
        <w:rPr>
          <w:spacing w:val="-2"/>
        </w:rPr>
        <w:t>XM9YJ8</w:t>
      </w:r>
    </w:p>
    <w:p>
      <w:pPr>
        <w:pStyle w:val="BodyText"/>
      </w:pPr>
    </w:p>
    <w:p>
      <w:pPr>
        <w:pStyle w:val="ListParagraph"/>
        <w:numPr>
          <w:ilvl w:val="2"/>
          <w:numId w:val="160"/>
        </w:numPr>
        <w:tabs>
          <w:tab w:pos="1045" w:val="left" w:leader="none"/>
          <w:tab w:pos="1058" w:val="left" w:leader="none"/>
        </w:tabs>
        <w:spacing w:line="240" w:lineRule="auto" w:before="0" w:after="0"/>
        <w:ind w:left="1058" w:right="338" w:hanging="432"/>
        <w:jc w:val="both"/>
        <w:rPr>
          <w:sz w:val="20"/>
        </w:rPr>
      </w:pPr>
      <w:r>
        <w:rPr>
          <w:sz w:val="20"/>
        </w:rPr>
        <w:t>Personas trabajadoras de la industria química y farmacéutica. Analista químico, auxiliares en áreas de ciencias químicas y biológicas. Personas trabajadoras de la construcción, productores de acero, soldadores, cromadores y personas trabajadoras de galvanoplastias, fabricantes de pigmentos, técnico dentista, entre otros.</w:t>
      </w:r>
    </w:p>
    <w:p>
      <w:pPr>
        <w:pStyle w:val="ListParagraph"/>
        <w:numPr>
          <w:ilvl w:val="2"/>
          <w:numId w:val="160"/>
        </w:numPr>
        <w:tabs>
          <w:tab w:pos="1045" w:val="left" w:leader="none"/>
          <w:tab w:pos="1058" w:val="left" w:leader="none"/>
        </w:tabs>
        <w:spacing w:line="240" w:lineRule="auto" w:before="229" w:after="0"/>
        <w:ind w:left="1058" w:right="33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6" w:after="0"/>
        <w:ind w:left="1069" w:right="0" w:hanging="443"/>
        <w:jc w:val="left"/>
      </w:pPr>
      <w:r>
        <w:rPr/>
        <w:t>Efectos</w:t>
      </w:r>
      <w:r>
        <w:rPr>
          <w:spacing w:val="-5"/>
        </w:rPr>
        <w:t> </w:t>
      </w:r>
      <w:r>
        <w:rPr/>
        <w:t>tóxicos</w:t>
      </w:r>
      <w:r>
        <w:rPr>
          <w:spacing w:val="-6"/>
        </w:rPr>
        <w:t> </w:t>
      </w:r>
      <w:r>
        <w:rPr/>
        <w:t>del</w:t>
      </w:r>
      <w:r>
        <w:rPr>
          <w:spacing w:val="-6"/>
        </w:rPr>
        <w:t> </w:t>
      </w:r>
      <w:r>
        <w:rPr/>
        <w:t>cadmio</w:t>
      </w:r>
      <w:r>
        <w:rPr>
          <w:spacing w:val="-4"/>
        </w:rPr>
        <w:t> </w:t>
      </w:r>
      <w:r>
        <w:rPr/>
        <w:t>y</w:t>
      </w:r>
      <w:r>
        <w:rPr>
          <w:spacing w:val="-8"/>
        </w:rPr>
        <w:t> </w:t>
      </w:r>
      <w:r>
        <w:rPr/>
        <w:t>sus</w:t>
      </w:r>
      <w:r>
        <w:rPr>
          <w:spacing w:val="-6"/>
        </w:rPr>
        <w:t> </w:t>
      </w:r>
      <w:r>
        <w:rPr>
          <w:spacing w:val="-2"/>
        </w:rPr>
        <w:t>compuestos</w:t>
      </w:r>
    </w:p>
    <w:p>
      <w:pPr>
        <w:pStyle w:val="BodyText"/>
        <w:spacing w:before="3"/>
        <w:rPr>
          <w:rFonts w:ascii="Arial"/>
          <w:b/>
        </w:rPr>
      </w:pPr>
    </w:p>
    <w:p>
      <w:pPr>
        <w:pStyle w:val="BodyText"/>
        <w:ind w:left="626"/>
      </w:pPr>
      <w:r>
        <w:rPr/>
        <w:t>Código</w:t>
      </w:r>
      <w:r>
        <w:rPr>
          <w:spacing w:val="-8"/>
        </w:rPr>
        <w:t> </w:t>
      </w:r>
      <w:r>
        <w:rPr/>
        <w:t>CIE-11:</w:t>
      </w:r>
      <w:r>
        <w:rPr>
          <w:spacing w:val="-7"/>
        </w:rPr>
        <w:t> </w:t>
      </w:r>
      <w:r>
        <w:rPr/>
        <w:t>GB55.1,</w:t>
      </w:r>
      <w:r>
        <w:rPr>
          <w:spacing w:val="-7"/>
        </w:rPr>
        <w:t> </w:t>
      </w:r>
      <w:r>
        <w:rPr/>
        <w:t>NE61,</w:t>
      </w:r>
      <w:r>
        <w:rPr>
          <w:spacing w:val="-5"/>
        </w:rPr>
        <w:t> </w:t>
      </w:r>
      <w:r>
        <w:rPr/>
        <w:t>PE95,</w:t>
      </w:r>
      <w:r>
        <w:rPr>
          <w:spacing w:val="-6"/>
        </w:rPr>
        <w:t> </w:t>
      </w:r>
      <w:r>
        <w:rPr/>
        <w:t>PB36,</w:t>
      </w:r>
      <w:r>
        <w:rPr>
          <w:spacing w:val="-5"/>
        </w:rPr>
        <w:t> </w:t>
      </w:r>
      <w:r>
        <w:rPr/>
        <w:t>PH56,</w:t>
      </w:r>
      <w:r>
        <w:rPr>
          <w:spacing w:val="-7"/>
        </w:rPr>
        <w:t> </w:t>
      </w:r>
      <w:r>
        <w:rPr>
          <w:spacing w:val="-2"/>
        </w:rPr>
        <w:t>XM0V73</w:t>
      </w:r>
    </w:p>
    <w:p>
      <w:pPr>
        <w:pStyle w:val="BodyText"/>
      </w:pPr>
    </w:p>
    <w:p>
      <w:pPr>
        <w:pStyle w:val="ListParagraph"/>
        <w:numPr>
          <w:ilvl w:val="2"/>
          <w:numId w:val="160"/>
        </w:numPr>
        <w:tabs>
          <w:tab w:pos="1045" w:val="left" w:leader="none"/>
          <w:tab w:pos="1058" w:val="left" w:leader="none"/>
        </w:tabs>
        <w:spacing w:line="240" w:lineRule="auto" w:before="0" w:after="0"/>
        <w:ind w:left="1058" w:right="341" w:hanging="432"/>
        <w:jc w:val="both"/>
        <w:rPr>
          <w:sz w:val="20"/>
        </w:rPr>
      </w:pPr>
      <w:r>
        <w:rPr>
          <w:sz w:val="20"/>
        </w:rPr>
        <w:t>Personas</w:t>
      </w:r>
      <w:r>
        <w:rPr>
          <w:spacing w:val="-3"/>
          <w:sz w:val="20"/>
        </w:rPr>
        <w:t> </w:t>
      </w:r>
      <w:r>
        <w:rPr>
          <w:sz w:val="20"/>
        </w:rPr>
        <w:t>trabajadoras</w:t>
      </w:r>
      <w:r>
        <w:rPr>
          <w:spacing w:val="-2"/>
          <w:sz w:val="20"/>
        </w:rPr>
        <w:t> </w:t>
      </w:r>
      <w:r>
        <w:rPr>
          <w:sz w:val="20"/>
        </w:rPr>
        <w:t>de</w:t>
      </w:r>
      <w:r>
        <w:rPr>
          <w:spacing w:val="-2"/>
          <w:sz w:val="20"/>
        </w:rPr>
        <w:t> </w:t>
      </w:r>
      <w:r>
        <w:rPr>
          <w:sz w:val="20"/>
        </w:rPr>
        <w:t>la</w:t>
      </w:r>
      <w:r>
        <w:rPr>
          <w:spacing w:val="-4"/>
          <w:sz w:val="20"/>
        </w:rPr>
        <w:t> </w:t>
      </w:r>
      <w:r>
        <w:rPr>
          <w:sz w:val="20"/>
        </w:rPr>
        <w:t>refinación y</w:t>
      </w:r>
      <w:r>
        <w:rPr>
          <w:spacing w:val="-7"/>
          <w:sz w:val="20"/>
        </w:rPr>
        <w:t> </w:t>
      </w:r>
      <w:r>
        <w:rPr>
          <w:sz w:val="20"/>
        </w:rPr>
        <w:t>fundición</w:t>
      </w:r>
      <w:r>
        <w:rPr>
          <w:spacing w:val="-4"/>
          <w:sz w:val="20"/>
        </w:rPr>
        <w:t> </w:t>
      </w:r>
      <w:r>
        <w:rPr>
          <w:sz w:val="20"/>
        </w:rPr>
        <w:t>de metales,</w:t>
      </w:r>
      <w:r>
        <w:rPr>
          <w:spacing w:val="-4"/>
          <w:sz w:val="20"/>
        </w:rPr>
        <w:t> </w:t>
      </w:r>
      <w:r>
        <w:rPr>
          <w:sz w:val="20"/>
        </w:rPr>
        <w:t>en</w:t>
      </w:r>
      <w:r>
        <w:rPr>
          <w:spacing w:val="-4"/>
          <w:sz w:val="20"/>
        </w:rPr>
        <w:t> </w:t>
      </w:r>
      <w:r>
        <w:rPr>
          <w:sz w:val="20"/>
        </w:rPr>
        <w:t>plantas</w:t>
      </w:r>
      <w:r>
        <w:rPr>
          <w:spacing w:val="-3"/>
          <w:sz w:val="20"/>
        </w:rPr>
        <w:t> </w:t>
      </w:r>
      <w:r>
        <w:rPr>
          <w:sz w:val="20"/>
        </w:rPr>
        <w:t>productoras</w:t>
      </w:r>
      <w:r>
        <w:rPr>
          <w:spacing w:val="-3"/>
          <w:sz w:val="20"/>
        </w:rPr>
        <w:t> </w:t>
      </w:r>
      <w:r>
        <w:rPr>
          <w:sz w:val="20"/>
        </w:rPr>
        <w:t>de</w:t>
      </w:r>
      <w:r>
        <w:rPr>
          <w:spacing w:val="-3"/>
          <w:sz w:val="20"/>
        </w:rPr>
        <w:t> </w:t>
      </w:r>
      <w:r>
        <w:rPr>
          <w:sz w:val="20"/>
        </w:rPr>
        <w:t>pilas,</w:t>
      </w:r>
      <w:r>
        <w:rPr>
          <w:spacing w:val="-4"/>
          <w:sz w:val="20"/>
        </w:rPr>
        <w:t> </w:t>
      </w:r>
      <w:r>
        <w:rPr>
          <w:sz w:val="20"/>
        </w:rPr>
        <w:t>en plantas de plásticos con cadmio, soldadores, de procesos de galvanoplastia (recubrimientos, revestimientos, galvanización) de metales, de la construcción, recicladores de partes</w:t>
      </w:r>
      <w:r>
        <w:rPr>
          <w:spacing w:val="40"/>
          <w:sz w:val="20"/>
        </w:rPr>
        <w:t> </w:t>
      </w:r>
      <w:r>
        <w:rPr>
          <w:sz w:val="20"/>
        </w:rPr>
        <w:t>electrónicas, recicladores de plásticos, astilleros, de plantas de incineración de residuos municipales, agrícolas. Personas trabajadoras recolectores y separadores de basura.</w:t>
      </w:r>
    </w:p>
    <w:p>
      <w:pPr>
        <w:pStyle w:val="ListParagraph"/>
        <w:numPr>
          <w:ilvl w:val="2"/>
          <w:numId w:val="160"/>
        </w:numPr>
        <w:tabs>
          <w:tab w:pos="1045" w:val="left" w:leader="none"/>
          <w:tab w:pos="1058" w:val="left" w:leader="none"/>
        </w:tabs>
        <w:spacing w:line="240" w:lineRule="auto" w:before="227" w:after="0"/>
        <w:ind w:left="1058" w:right="336" w:hanging="432"/>
        <w:jc w:val="both"/>
        <w:rPr>
          <w:sz w:val="20"/>
        </w:rPr>
      </w:pPr>
      <w:r>
        <w:rPr>
          <w:sz w:val="20"/>
        </w:rPr>
        <w:t>Personas trabajadoras que presentan exposición de forma directa e indudable a la acción de los agentes causales establecidos en la fracción II de la cédula correspondiente contenida en el Catálogo</w:t>
      </w:r>
      <w:r>
        <w:rPr>
          <w:spacing w:val="37"/>
          <w:sz w:val="20"/>
        </w:rPr>
        <w:t> </w:t>
      </w:r>
      <w:r>
        <w:rPr>
          <w:sz w:val="20"/>
        </w:rPr>
        <w:t>de</w:t>
      </w:r>
      <w:r>
        <w:rPr>
          <w:spacing w:val="39"/>
          <w:sz w:val="20"/>
        </w:rPr>
        <w:t> </w:t>
      </w:r>
      <w:r>
        <w:rPr>
          <w:sz w:val="20"/>
        </w:rPr>
        <w:t>las</w:t>
      </w:r>
      <w:r>
        <w:rPr>
          <w:spacing w:val="38"/>
          <w:sz w:val="20"/>
        </w:rPr>
        <w:t> </w:t>
      </w:r>
      <w:r>
        <w:rPr>
          <w:sz w:val="20"/>
        </w:rPr>
        <w:t>Cédulas</w:t>
      </w:r>
      <w:r>
        <w:rPr>
          <w:spacing w:val="40"/>
          <w:sz w:val="20"/>
        </w:rPr>
        <w:t> </w:t>
      </w:r>
      <w:r>
        <w:rPr>
          <w:sz w:val="20"/>
        </w:rPr>
        <w:t>para</w:t>
      </w:r>
      <w:r>
        <w:rPr>
          <w:spacing w:val="37"/>
          <w:sz w:val="20"/>
        </w:rPr>
        <w:t> </w:t>
      </w:r>
      <w:r>
        <w:rPr>
          <w:sz w:val="20"/>
        </w:rPr>
        <w:t>la</w:t>
      </w:r>
      <w:r>
        <w:rPr>
          <w:spacing w:val="37"/>
          <w:sz w:val="20"/>
        </w:rPr>
        <w:t> </w:t>
      </w:r>
      <w:r>
        <w:rPr>
          <w:sz w:val="20"/>
        </w:rPr>
        <w:t>Valuación</w:t>
      </w:r>
      <w:r>
        <w:rPr>
          <w:spacing w:val="37"/>
          <w:sz w:val="20"/>
        </w:rPr>
        <w:t> </w:t>
      </w:r>
      <w:r>
        <w:rPr>
          <w:sz w:val="20"/>
        </w:rPr>
        <w:t>de</w:t>
      </w:r>
      <w:r>
        <w:rPr>
          <w:spacing w:val="37"/>
          <w:sz w:val="20"/>
        </w:rPr>
        <w:t> </w:t>
      </w:r>
      <w:r>
        <w:rPr>
          <w:sz w:val="20"/>
        </w:rPr>
        <w:t>las</w:t>
      </w:r>
      <w:r>
        <w:rPr>
          <w:spacing w:val="40"/>
          <w:sz w:val="20"/>
        </w:rPr>
        <w:t> </w:t>
      </w:r>
      <w:r>
        <w:rPr>
          <w:sz w:val="20"/>
        </w:rPr>
        <w:t>Enfermedades</w:t>
      </w:r>
      <w:r>
        <w:rPr>
          <w:spacing w:val="38"/>
          <w:sz w:val="20"/>
        </w:rPr>
        <w:t> </w:t>
      </w:r>
      <w:r>
        <w:rPr>
          <w:sz w:val="20"/>
        </w:rPr>
        <w:t>de</w:t>
      </w:r>
      <w:r>
        <w:rPr>
          <w:spacing w:val="36"/>
          <w:sz w:val="20"/>
        </w:rPr>
        <w:t> </w:t>
      </w:r>
      <w:r>
        <w:rPr>
          <w:sz w:val="20"/>
        </w:rPr>
        <w:t>Trabajo,</w:t>
      </w:r>
      <w:r>
        <w:rPr>
          <w:spacing w:val="39"/>
          <w:sz w:val="20"/>
        </w:rPr>
        <w:t> </w:t>
      </w:r>
      <w:r>
        <w:rPr>
          <w:sz w:val="20"/>
        </w:rPr>
        <w:t>que</w:t>
      </w:r>
      <w:r>
        <w:rPr>
          <w:spacing w:val="37"/>
          <w:sz w:val="20"/>
        </w:rPr>
        <w:t> </w:t>
      </w:r>
      <w:r>
        <w:rPr>
          <w:sz w:val="20"/>
        </w:rPr>
        <w:t>tengan</w:t>
      </w:r>
      <w:r>
        <w:rPr>
          <w:spacing w:val="36"/>
          <w:sz w:val="20"/>
        </w:rPr>
        <w:t> </w:t>
      </w:r>
      <w:r>
        <w:rPr>
          <w:sz w:val="20"/>
        </w:rPr>
        <w:t>su</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058"/>
      </w:pPr>
      <w:r>
        <w:rPr/>
        <w:t>origen</w:t>
      </w:r>
      <w:r>
        <w:rPr>
          <w:spacing w:val="32"/>
        </w:rPr>
        <w:t> </w:t>
      </w:r>
      <w:r>
        <w:rPr/>
        <w:t>o</w:t>
      </w:r>
      <w:r>
        <w:rPr>
          <w:spacing w:val="34"/>
        </w:rPr>
        <w:t> </w:t>
      </w:r>
      <w:r>
        <w:rPr/>
        <w:t>con</w:t>
      </w:r>
      <w:r>
        <w:rPr>
          <w:spacing w:val="34"/>
        </w:rPr>
        <w:t> </w:t>
      </w:r>
      <w:r>
        <w:rPr/>
        <w:t>motivo</w:t>
      </w:r>
      <w:r>
        <w:rPr>
          <w:spacing w:val="34"/>
        </w:rPr>
        <w:t> </w:t>
      </w:r>
      <w:r>
        <w:rPr/>
        <w:t>del</w:t>
      </w:r>
      <w:r>
        <w:rPr>
          <w:spacing w:val="31"/>
        </w:rPr>
        <w:t> </w:t>
      </w:r>
      <w:r>
        <w:rPr/>
        <w:t>trabajo</w:t>
      </w:r>
      <w:r>
        <w:rPr>
          <w:spacing w:val="34"/>
        </w:rPr>
        <w:t> </w:t>
      </w:r>
      <w:r>
        <w:rPr/>
        <w:t>o</w:t>
      </w:r>
      <w:r>
        <w:rPr>
          <w:spacing w:val="32"/>
        </w:rPr>
        <w:t> </w:t>
      </w:r>
      <w:r>
        <w:rPr/>
        <w:t>en</w:t>
      </w:r>
      <w:r>
        <w:rPr>
          <w:spacing w:val="34"/>
        </w:rPr>
        <w:t> </w:t>
      </w:r>
      <w:r>
        <w:rPr/>
        <w:t>el</w:t>
      </w:r>
      <w:r>
        <w:rPr>
          <w:spacing w:val="33"/>
        </w:rPr>
        <w:t> </w:t>
      </w:r>
      <w:r>
        <w:rPr/>
        <w:t>medio</w:t>
      </w:r>
      <w:r>
        <w:rPr>
          <w:spacing w:val="32"/>
        </w:rPr>
        <w:t> </w:t>
      </w:r>
      <w:r>
        <w:rPr/>
        <w:t>que</w:t>
      </w:r>
      <w:r>
        <w:rPr>
          <w:spacing w:val="34"/>
        </w:rPr>
        <w:t> </w:t>
      </w:r>
      <w:r>
        <w:rPr/>
        <w:t>la</w:t>
      </w:r>
      <w:r>
        <w:rPr>
          <w:spacing w:val="32"/>
        </w:rPr>
        <w:t> </w:t>
      </w:r>
      <w:r>
        <w:rPr/>
        <w:t>persona</w:t>
      </w:r>
      <w:r>
        <w:rPr>
          <w:spacing w:val="34"/>
        </w:rPr>
        <w:t> </w:t>
      </w:r>
      <w:r>
        <w:rPr/>
        <w:t>trabajadora</w:t>
      </w:r>
      <w:r>
        <w:rPr>
          <w:spacing w:val="32"/>
        </w:rPr>
        <w:t> </w:t>
      </w:r>
      <w:r>
        <w:rPr/>
        <w:t>se</w:t>
      </w:r>
      <w:r>
        <w:rPr>
          <w:spacing w:val="37"/>
        </w:rPr>
        <w:t> </w:t>
      </w:r>
      <w:r>
        <w:rPr/>
        <w:t>vea</w:t>
      </w:r>
      <w:r>
        <w:rPr>
          <w:spacing w:val="34"/>
        </w:rPr>
        <w:t> </w:t>
      </w:r>
      <w:r>
        <w:rPr/>
        <w:t>obligada</w:t>
      </w:r>
      <w:r>
        <w:rPr>
          <w:spacing w:val="34"/>
        </w:rPr>
        <w:t> </w:t>
      </w:r>
      <w:r>
        <w:rPr/>
        <w:t>a prestar sus servicios.</w:t>
      </w:r>
    </w:p>
    <w:p>
      <w:pPr>
        <w:pStyle w:val="Heading3"/>
        <w:spacing w:before="229"/>
        <w:ind w:left="626"/>
      </w:pPr>
      <w:r>
        <w:rPr/>
        <w:t>Grupo</w:t>
      </w:r>
      <w:r>
        <w:rPr>
          <w:spacing w:val="-5"/>
        </w:rPr>
        <w:t> </w:t>
      </w:r>
      <w:r>
        <w:rPr/>
        <w:t>X.</w:t>
      </w:r>
      <w:r>
        <w:rPr>
          <w:spacing w:val="-4"/>
        </w:rPr>
        <w:t> </w:t>
      </w:r>
      <w:r>
        <w:rPr/>
        <w:t>Enfermedades</w:t>
      </w:r>
      <w:r>
        <w:rPr>
          <w:spacing w:val="-4"/>
        </w:rPr>
        <w:t> </w:t>
      </w:r>
      <w:r>
        <w:rPr/>
        <w:t>del</w:t>
      </w:r>
      <w:r>
        <w:rPr>
          <w:spacing w:val="-6"/>
        </w:rPr>
        <w:t> </w:t>
      </w:r>
      <w:r>
        <w:rPr/>
        <w:t>ojo</w:t>
      </w:r>
      <w:r>
        <w:rPr>
          <w:spacing w:val="-3"/>
        </w:rPr>
        <w:t> </w:t>
      </w:r>
      <w:r>
        <w:rPr/>
        <w:t>y</w:t>
      </w:r>
      <w:r>
        <w:rPr>
          <w:spacing w:val="-8"/>
        </w:rPr>
        <w:t> </w:t>
      </w:r>
      <w:r>
        <w:rPr/>
        <w:t>del</w:t>
      </w:r>
      <w:r>
        <w:rPr>
          <w:spacing w:val="-3"/>
        </w:rPr>
        <w:t> </w:t>
      </w:r>
      <w:r>
        <w:rPr>
          <w:spacing w:val="-4"/>
        </w:rPr>
        <w:t>oído</w:t>
      </w:r>
    </w:p>
    <w:p>
      <w:pPr>
        <w:pStyle w:val="BodyText"/>
        <w:spacing w:before="1"/>
        <w:rPr>
          <w:rFonts w:ascii="Arial"/>
          <w:b/>
        </w:rPr>
      </w:pPr>
    </w:p>
    <w:p>
      <w:pPr>
        <w:pStyle w:val="ListParagraph"/>
        <w:numPr>
          <w:ilvl w:val="1"/>
          <w:numId w:val="160"/>
        </w:numPr>
        <w:tabs>
          <w:tab w:pos="1069" w:val="left" w:leader="none"/>
        </w:tabs>
        <w:spacing w:line="240" w:lineRule="auto" w:before="0" w:after="0"/>
        <w:ind w:left="1069" w:right="0" w:hanging="443"/>
        <w:jc w:val="left"/>
        <w:rPr>
          <w:rFonts w:ascii="Arial" w:hAnsi="Arial"/>
          <w:b/>
          <w:sz w:val="20"/>
        </w:rPr>
      </w:pPr>
      <w:r>
        <w:rPr>
          <w:rFonts w:ascii="Arial" w:hAnsi="Arial"/>
          <w:b/>
          <w:sz w:val="20"/>
        </w:rPr>
        <w:t>Degeneraciones</w:t>
      </w:r>
      <w:r>
        <w:rPr>
          <w:rFonts w:ascii="Arial" w:hAnsi="Arial"/>
          <w:b/>
          <w:spacing w:val="-12"/>
          <w:sz w:val="20"/>
        </w:rPr>
        <w:t> </w:t>
      </w:r>
      <w:r>
        <w:rPr>
          <w:rFonts w:ascii="Arial" w:hAnsi="Arial"/>
          <w:b/>
          <w:sz w:val="20"/>
        </w:rPr>
        <w:t>o</w:t>
      </w:r>
      <w:r>
        <w:rPr>
          <w:rFonts w:ascii="Arial" w:hAnsi="Arial"/>
          <w:b/>
          <w:spacing w:val="-11"/>
          <w:sz w:val="20"/>
        </w:rPr>
        <w:t> </w:t>
      </w:r>
      <w:r>
        <w:rPr>
          <w:rFonts w:ascii="Arial" w:hAnsi="Arial"/>
          <w:b/>
          <w:sz w:val="20"/>
        </w:rPr>
        <w:t>depósitos</w:t>
      </w:r>
      <w:r>
        <w:rPr>
          <w:rFonts w:ascii="Arial" w:hAnsi="Arial"/>
          <w:b/>
          <w:spacing w:val="-11"/>
          <w:sz w:val="20"/>
        </w:rPr>
        <w:t> </w:t>
      </w:r>
      <w:r>
        <w:rPr>
          <w:rFonts w:ascii="Arial" w:hAnsi="Arial"/>
          <w:b/>
          <w:sz w:val="20"/>
        </w:rPr>
        <w:t>conjuntivales</w:t>
      </w:r>
      <w:r>
        <w:rPr>
          <w:rFonts w:ascii="Arial" w:hAnsi="Arial"/>
          <w:b/>
          <w:spacing w:val="-9"/>
          <w:sz w:val="20"/>
        </w:rPr>
        <w:t> </w:t>
      </w:r>
      <w:r>
        <w:rPr>
          <w:rFonts w:ascii="Arial" w:hAnsi="Arial"/>
          <w:b/>
          <w:sz w:val="20"/>
        </w:rPr>
        <w:t>o</w:t>
      </w:r>
      <w:r>
        <w:rPr>
          <w:rFonts w:ascii="Arial" w:hAnsi="Arial"/>
          <w:b/>
          <w:spacing w:val="-9"/>
          <w:sz w:val="20"/>
        </w:rPr>
        <w:t> </w:t>
      </w:r>
      <w:r>
        <w:rPr>
          <w:rFonts w:ascii="Arial" w:hAnsi="Arial"/>
          <w:b/>
          <w:sz w:val="20"/>
        </w:rPr>
        <w:t>subconjuntivales</w:t>
      </w:r>
      <w:r>
        <w:rPr>
          <w:rFonts w:ascii="Arial" w:hAnsi="Arial"/>
          <w:b/>
          <w:spacing w:val="-10"/>
          <w:sz w:val="20"/>
        </w:rPr>
        <w:t> </w:t>
      </w:r>
      <w:r>
        <w:rPr>
          <w:rFonts w:ascii="Arial" w:hAnsi="Arial"/>
          <w:b/>
          <w:sz w:val="20"/>
        </w:rPr>
        <w:t>(argirosis</w:t>
      </w:r>
      <w:r>
        <w:rPr>
          <w:rFonts w:ascii="Arial" w:hAnsi="Arial"/>
          <w:b/>
          <w:spacing w:val="-12"/>
          <w:sz w:val="20"/>
        </w:rPr>
        <w:t> </w:t>
      </w:r>
      <w:r>
        <w:rPr>
          <w:rFonts w:ascii="Arial" w:hAnsi="Arial"/>
          <w:b/>
          <w:spacing w:val="-2"/>
          <w:sz w:val="20"/>
        </w:rPr>
        <w:t>ocular)</w:t>
      </w:r>
    </w:p>
    <w:p>
      <w:pPr>
        <w:pStyle w:val="BodyText"/>
        <w:spacing w:before="1"/>
        <w:rPr>
          <w:rFonts w:ascii="Arial"/>
          <w:b/>
        </w:rPr>
      </w:pPr>
    </w:p>
    <w:p>
      <w:pPr>
        <w:pStyle w:val="BodyText"/>
        <w:ind w:left="626"/>
      </w:pPr>
      <w:r>
        <w:rPr/>
        <w:t>Código</w:t>
      </w:r>
      <w:r>
        <w:rPr>
          <w:spacing w:val="-10"/>
        </w:rPr>
        <w:t> </w:t>
      </w:r>
      <w:r>
        <w:rPr/>
        <w:t>CIE-11:</w:t>
      </w:r>
      <w:r>
        <w:rPr>
          <w:spacing w:val="-9"/>
        </w:rPr>
        <w:t> </w:t>
      </w:r>
      <w:r>
        <w:rPr>
          <w:spacing w:val="-2"/>
        </w:rPr>
        <w:t>9A61.6</w:t>
      </w:r>
    </w:p>
    <w:p>
      <w:pPr>
        <w:pStyle w:val="ListParagraph"/>
        <w:numPr>
          <w:ilvl w:val="2"/>
          <w:numId w:val="160"/>
        </w:numPr>
        <w:tabs>
          <w:tab w:pos="1045" w:val="left" w:leader="none"/>
          <w:tab w:pos="1058" w:val="left" w:leader="none"/>
        </w:tabs>
        <w:spacing w:line="240" w:lineRule="auto" w:before="229" w:after="0"/>
        <w:ind w:left="1058" w:right="337" w:hanging="432"/>
        <w:jc w:val="both"/>
        <w:rPr>
          <w:sz w:val="20"/>
        </w:rPr>
      </w:pPr>
      <w:r>
        <w:rPr>
          <w:sz w:val="20"/>
        </w:rPr>
        <w:t>Personas trabajadoras expuestas a las sales de plata, mineros de extracción de plata, manipuladores del metal y sus derivados, cinceladores, fabricantes de perlas de vidrio,</w:t>
      </w:r>
      <w:r>
        <w:rPr>
          <w:spacing w:val="40"/>
          <w:sz w:val="20"/>
        </w:rPr>
        <w:t> </w:t>
      </w:r>
      <w:r>
        <w:rPr>
          <w:sz w:val="20"/>
        </w:rPr>
        <w:t>fotógrafos, orfebres, plateros, pulidores, químicos de laboratorio y actividades relacionadas a la exposición del agente.</w:t>
      </w:r>
    </w:p>
    <w:p>
      <w:pPr>
        <w:pStyle w:val="BodyText"/>
      </w:pPr>
    </w:p>
    <w:p>
      <w:pPr>
        <w:pStyle w:val="ListParagraph"/>
        <w:numPr>
          <w:ilvl w:val="2"/>
          <w:numId w:val="160"/>
        </w:numPr>
        <w:tabs>
          <w:tab w:pos="1045" w:val="left" w:leader="none"/>
          <w:tab w:pos="1058" w:val="left" w:leader="none"/>
        </w:tabs>
        <w:spacing w:line="240" w:lineRule="auto" w:before="0" w:after="0"/>
        <w:ind w:left="1058" w:right="33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w:t>
      </w:r>
      <w:r>
        <w:rPr>
          <w:spacing w:val="40"/>
          <w:sz w:val="20"/>
        </w:rPr>
        <w:t> </w:t>
      </w:r>
      <w:r>
        <w:rPr>
          <w:sz w:val="20"/>
        </w:rPr>
        <w:t>origen o con motivo del trabajo o en el medio que la persona trabajadora se vea obligada a prestar sus servicios.</w:t>
      </w:r>
    </w:p>
    <w:p>
      <w:pPr>
        <w:pStyle w:val="Heading3"/>
        <w:numPr>
          <w:ilvl w:val="1"/>
          <w:numId w:val="160"/>
        </w:numPr>
        <w:tabs>
          <w:tab w:pos="1069" w:val="left" w:leader="none"/>
        </w:tabs>
        <w:spacing w:line="240" w:lineRule="auto" w:before="226" w:after="0"/>
        <w:ind w:left="1069" w:right="0" w:hanging="443"/>
        <w:jc w:val="left"/>
      </w:pPr>
      <w:r>
        <w:rPr>
          <w:spacing w:val="-2"/>
        </w:rPr>
        <w:t>Blefaroconjuntivitis</w:t>
      </w:r>
      <w:r>
        <w:rPr>
          <w:spacing w:val="16"/>
        </w:rPr>
        <w:t> </w:t>
      </w:r>
      <w:r>
        <w:rPr>
          <w:spacing w:val="-2"/>
        </w:rPr>
        <w:t>(blefaroconiosis)</w:t>
      </w:r>
    </w:p>
    <w:p>
      <w:pPr>
        <w:pStyle w:val="BodyText"/>
        <w:spacing w:before="3"/>
        <w:rPr>
          <w:rFonts w:ascii="Arial"/>
          <w:b/>
        </w:rPr>
      </w:pPr>
    </w:p>
    <w:p>
      <w:pPr>
        <w:pStyle w:val="BodyText"/>
        <w:ind w:left="626"/>
      </w:pPr>
      <w:r>
        <w:rPr/>
        <w:t>Código</w:t>
      </w:r>
      <w:r>
        <w:rPr>
          <w:spacing w:val="-10"/>
        </w:rPr>
        <w:t> </w:t>
      </w:r>
      <w:r>
        <w:rPr/>
        <w:t>CIE-11:</w:t>
      </w:r>
      <w:r>
        <w:rPr>
          <w:spacing w:val="-9"/>
        </w:rPr>
        <w:t> </w:t>
      </w:r>
      <w:r>
        <w:rPr>
          <w:spacing w:val="-2"/>
        </w:rPr>
        <w:t>9A60.4</w:t>
      </w:r>
    </w:p>
    <w:p>
      <w:pPr>
        <w:pStyle w:val="ListParagraph"/>
        <w:numPr>
          <w:ilvl w:val="2"/>
          <w:numId w:val="160"/>
        </w:numPr>
        <w:tabs>
          <w:tab w:pos="1045" w:val="left" w:leader="none"/>
          <w:tab w:pos="1058" w:val="left" w:leader="none"/>
        </w:tabs>
        <w:spacing w:line="240" w:lineRule="auto" w:before="230" w:after="0"/>
        <w:ind w:left="1058" w:right="339" w:hanging="432"/>
        <w:jc w:val="both"/>
        <w:rPr>
          <w:sz w:val="20"/>
        </w:rPr>
      </w:pPr>
      <w:r>
        <w:rPr>
          <w:sz w:val="20"/>
        </w:rPr>
        <w:t>Personas trabajadoras expuestas en actividades como afiladores, alfareros, canteros,</w:t>
      </w:r>
      <w:r>
        <w:rPr>
          <w:spacing w:val="40"/>
          <w:sz w:val="20"/>
        </w:rPr>
        <w:t> </w:t>
      </w:r>
      <w:r>
        <w:rPr>
          <w:sz w:val="20"/>
        </w:rPr>
        <w:t>carboneros, cementeros, colchoneros, esmeriladores, fabricantes de objetos de aluminio y</w:t>
      </w:r>
      <w:r>
        <w:rPr>
          <w:spacing w:val="-4"/>
          <w:sz w:val="20"/>
        </w:rPr>
        <w:t> </w:t>
      </w:r>
      <w:r>
        <w:rPr>
          <w:sz w:val="20"/>
        </w:rPr>
        <w:t>cobre, laneros, manipuladores de mercurio, mineros, panaderos, peleteros, pulidores y yeseros.</w:t>
      </w:r>
    </w:p>
    <w:p>
      <w:pPr>
        <w:pStyle w:val="ListParagraph"/>
        <w:numPr>
          <w:ilvl w:val="2"/>
          <w:numId w:val="160"/>
        </w:numPr>
        <w:tabs>
          <w:tab w:pos="1045" w:val="left" w:leader="none"/>
          <w:tab w:pos="1058" w:val="left" w:leader="none"/>
        </w:tabs>
        <w:spacing w:line="240" w:lineRule="auto" w:before="229" w:after="0"/>
        <w:ind w:left="1058" w:right="341"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5" w:val="left" w:leader="none"/>
        </w:tabs>
        <w:spacing w:line="240" w:lineRule="auto" w:before="226" w:after="0"/>
        <w:ind w:left="1065" w:right="0" w:hanging="439"/>
        <w:jc w:val="left"/>
      </w:pPr>
      <w:r>
        <w:rPr/>
        <w:t>Otras</w:t>
      </w:r>
      <w:r>
        <w:rPr>
          <w:spacing w:val="-11"/>
        </w:rPr>
        <w:t> </w:t>
      </w:r>
      <w:r>
        <w:rPr/>
        <w:t>cataratas</w:t>
      </w:r>
      <w:r>
        <w:rPr>
          <w:spacing w:val="-10"/>
        </w:rPr>
        <w:t> </w:t>
      </w:r>
      <w:r>
        <w:rPr/>
        <w:t>específicas</w:t>
      </w:r>
      <w:r>
        <w:rPr>
          <w:spacing w:val="-11"/>
        </w:rPr>
        <w:t> </w:t>
      </w:r>
      <w:r>
        <w:rPr/>
        <w:t>(cataratas</w:t>
      </w:r>
      <w:r>
        <w:rPr>
          <w:spacing w:val="-9"/>
        </w:rPr>
        <w:t> </w:t>
      </w:r>
      <w:r>
        <w:rPr/>
        <w:t>por</w:t>
      </w:r>
      <w:r>
        <w:rPr>
          <w:spacing w:val="-12"/>
        </w:rPr>
        <w:t> </w:t>
      </w:r>
      <w:r>
        <w:rPr>
          <w:spacing w:val="-2"/>
        </w:rPr>
        <w:t>radiaciones)</w:t>
      </w:r>
    </w:p>
    <w:p>
      <w:pPr>
        <w:pStyle w:val="BodyText"/>
        <w:spacing w:before="3"/>
        <w:rPr>
          <w:rFonts w:ascii="Arial"/>
          <w:b/>
        </w:rPr>
      </w:pPr>
    </w:p>
    <w:p>
      <w:pPr>
        <w:pStyle w:val="BodyText"/>
        <w:ind w:left="626"/>
      </w:pPr>
      <w:r>
        <w:rPr/>
        <w:t>Código</w:t>
      </w:r>
      <w:r>
        <w:rPr>
          <w:spacing w:val="-9"/>
        </w:rPr>
        <w:t> </w:t>
      </w:r>
      <w:r>
        <w:rPr/>
        <w:t>CIE-11:</w:t>
      </w:r>
      <w:r>
        <w:rPr>
          <w:spacing w:val="-7"/>
        </w:rPr>
        <w:t> </w:t>
      </w:r>
      <w:r>
        <w:rPr/>
        <w:t>9B10.2Y,</w:t>
      </w:r>
      <w:r>
        <w:rPr>
          <w:spacing w:val="-7"/>
        </w:rPr>
        <w:t> </w:t>
      </w:r>
      <w:r>
        <w:rPr/>
        <w:t>XK9J,</w:t>
      </w:r>
      <w:r>
        <w:rPr>
          <w:spacing w:val="-7"/>
        </w:rPr>
        <w:t> </w:t>
      </w:r>
      <w:r>
        <w:rPr/>
        <w:t>XK8G,</w:t>
      </w:r>
      <w:r>
        <w:rPr>
          <w:spacing w:val="-6"/>
        </w:rPr>
        <w:t> </w:t>
      </w:r>
      <w:r>
        <w:rPr/>
        <w:t>XK9K,</w:t>
      </w:r>
      <w:r>
        <w:rPr>
          <w:spacing w:val="-7"/>
        </w:rPr>
        <w:t> </w:t>
      </w:r>
      <w:r>
        <w:rPr>
          <w:spacing w:val="-4"/>
        </w:rPr>
        <w:t>XK70</w:t>
      </w:r>
    </w:p>
    <w:p>
      <w:pPr>
        <w:pStyle w:val="ListParagraph"/>
        <w:numPr>
          <w:ilvl w:val="2"/>
          <w:numId w:val="160"/>
        </w:numPr>
        <w:tabs>
          <w:tab w:pos="1045" w:val="left" w:leader="none"/>
          <w:tab w:pos="1058" w:val="left" w:leader="none"/>
        </w:tabs>
        <w:spacing w:line="240" w:lineRule="auto" w:before="227" w:after="0"/>
        <w:ind w:left="1058" w:right="340" w:hanging="432"/>
        <w:jc w:val="both"/>
        <w:rPr>
          <w:sz w:val="20"/>
        </w:rPr>
      </w:pPr>
      <w:r>
        <w:rPr>
          <w:sz w:val="20"/>
        </w:rPr>
        <w:t>Personas trabajadoras expuestas a las radiaciones ionizantes y no ionizantes como fundidores, herreros,</w:t>
      </w:r>
      <w:r>
        <w:rPr>
          <w:spacing w:val="-2"/>
          <w:sz w:val="20"/>
        </w:rPr>
        <w:t> </w:t>
      </w:r>
      <w:r>
        <w:rPr>
          <w:sz w:val="20"/>
        </w:rPr>
        <w:t>soldadores</w:t>
      </w:r>
      <w:r>
        <w:rPr>
          <w:spacing w:val="-1"/>
          <w:sz w:val="20"/>
        </w:rPr>
        <w:t> </w:t>
      </w:r>
      <w:r>
        <w:rPr>
          <w:sz w:val="20"/>
        </w:rPr>
        <w:t>con</w:t>
      </w:r>
      <w:r>
        <w:rPr>
          <w:spacing w:val="-1"/>
          <w:sz w:val="20"/>
        </w:rPr>
        <w:t> </w:t>
      </w:r>
      <w:r>
        <w:rPr>
          <w:sz w:val="20"/>
        </w:rPr>
        <w:t>oxiacetileno,</w:t>
      </w:r>
      <w:r>
        <w:rPr>
          <w:spacing w:val="-1"/>
          <w:sz w:val="20"/>
        </w:rPr>
        <w:t> </w:t>
      </w:r>
      <w:r>
        <w:rPr>
          <w:sz w:val="20"/>
        </w:rPr>
        <w:t>vidrieros,</w:t>
      </w:r>
      <w:r>
        <w:rPr>
          <w:spacing w:val="-1"/>
          <w:sz w:val="20"/>
        </w:rPr>
        <w:t> </w:t>
      </w:r>
      <w:r>
        <w:rPr>
          <w:sz w:val="20"/>
        </w:rPr>
        <w:t>técnicos y</w:t>
      </w:r>
      <w:r>
        <w:rPr>
          <w:spacing w:val="-3"/>
          <w:sz w:val="20"/>
        </w:rPr>
        <w:t> </w:t>
      </w:r>
      <w:r>
        <w:rPr>
          <w:sz w:val="20"/>
        </w:rPr>
        <w:t>personal</w:t>
      </w:r>
      <w:r>
        <w:rPr>
          <w:spacing w:val="-1"/>
          <w:sz w:val="20"/>
        </w:rPr>
        <w:t> </w:t>
      </w:r>
      <w:r>
        <w:rPr>
          <w:sz w:val="20"/>
        </w:rPr>
        <w:t>de</w:t>
      </w:r>
      <w:r>
        <w:rPr>
          <w:spacing w:val="-1"/>
          <w:sz w:val="20"/>
        </w:rPr>
        <w:t> </w:t>
      </w:r>
      <w:r>
        <w:rPr>
          <w:sz w:val="20"/>
        </w:rPr>
        <w:t>la</w:t>
      </w:r>
      <w:r>
        <w:rPr>
          <w:spacing w:val="-1"/>
          <w:sz w:val="20"/>
        </w:rPr>
        <w:t> </w:t>
      </w:r>
      <w:r>
        <w:rPr>
          <w:sz w:val="20"/>
        </w:rPr>
        <w:t>energía</w:t>
      </w:r>
      <w:r>
        <w:rPr>
          <w:spacing w:val="-1"/>
          <w:sz w:val="20"/>
        </w:rPr>
        <w:t> </w:t>
      </w:r>
      <w:r>
        <w:rPr>
          <w:sz w:val="20"/>
        </w:rPr>
        <w:t>atómica</w:t>
      </w:r>
      <w:r>
        <w:rPr>
          <w:spacing w:val="-1"/>
          <w:sz w:val="20"/>
        </w:rPr>
        <w:t> </w:t>
      </w:r>
      <w:r>
        <w:rPr>
          <w:sz w:val="20"/>
        </w:rPr>
        <w:t>y</w:t>
      </w:r>
      <w:r>
        <w:rPr>
          <w:spacing w:val="-3"/>
          <w:sz w:val="20"/>
        </w:rPr>
        <w:t> </w:t>
      </w:r>
      <w:r>
        <w:rPr>
          <w:sz w:val="20"/>
        </w:rPr>
        <w:t>otras fuentes de energía radiante. Personas trabajadoras expuestas en la fabricación y manipulación</w:t>
      </w:r>
      <w:r>
        <w:rPr>
          <w:spacing w:val="40"/>
          <w:sz w:val="20"/>
        </w:rPr>
        <w:t> </w:t>
      </w:r>
      <w:r>
        <w:rPr>
          <w:sz w:val="20"/>
        </w:rPr>
        <w:t>de los aparatos de rayos X, así como técnicos, personal de gabinete de rayos X y buceo</w:t>
      </w:r>
      <w:r>
        <w:rPr>
          <w:spacing w:val="40"/>
          <w:sz w:val="20"/>
        </w:rPr>
        <w:t> </w:t>
      </w:r>
      <w:r>
        <w:rPr>
          <w:sz w:val="20"/>
        </w:rPr>
        <w:t>industrial de inspección.</w:t>
      </w:r>
    </w:p>
    <w:p>
      <w:pPr>
        <w:pStyle w:val="BodyText"/>
      </w:pPr>
    </w:p>
    <w:p>
      <w:pPr>
        <w:pStyle w:val="ListParagraph"/>
        <w:numPr>
          <w:ilvl w:val="2"/>
          <w:numId w:val="160"/>
        </w:numPr>
        <w:tabs>
          <w:tab w:pos="1045" w:val="left" w:leader="none"/>
          <w:tab w:pos="1058" w:val="left" w:leader="none"/>
        </w:tabs>
        <w:spacing w:line="240" w:lineRule="auto" w:before="0" w:after="0"/>
        <w:ind w:left="1058" w:right="33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7" w:val="left" w:leader="none"/>
        </w:tabs>
        <w:spacing w:line="240" w:lineRule="auto" w:before="226" w:after="0"/>
        <w:ind w:left="1067" w:right="0" w:hanging="441"/>
        <w:jc w:val="left"/>
      </w:pPr>
      <w:r>
        <w:rPr/>
        <w:t>Otras</w:t>
      </w:r>
      <w:r>
        <w:rPr>
          <w:spacing w:val="-11"/>
        </w:rPr>
        <w:t> </w:t>
      </w:r>
      <w:r>
        <w:rPr/>
        <w:t>cataratas</w:t>
      </w:r>
      <w:r>
        <w:rPr>
          <w:spacing w:val="-9"/>
        </w:rPr>
        <w:t> </w:t>
      </w:r>
      <w:r>
        <w:rPr/>
        <w:t>específicas</w:t>
      </w:r>
      <w:r>
        <w:rPr>
          <w:spacing w:val="-11"/>
        </w:rPr>
        <w:t> </w:t>
      </w:r>
      <w:r>
        <w:rPr/>
        <w:t>(catarata</w:t>
      </w:r>
      <w:r>
        <w:rPr>
          <w:spacing w:val="-11"/>
        </w:rPr>
        <w:t> </w:t>
      </w:r>
      <w:r>
        <w:rPr/>
        <w:t>por</w:t>
      </w:r>
      <w:r>
        <w:rPr>
          <w:spacing w:val="-10"/>
        </w:rPr>
        <w:t> </w:t>
      </w:r>
      <w:r>
        <w:rPr/>
        <w:t>radiaciones</w:t>
      </w:r>
      <w:r>
        <w:rPr>
          <w:spacing w:val="-10"/>
        </w:rPr>
        <w:t> </w:t>
      </w:r>
      <w:r>
        <w:rPr>
          <w:spacing w:val="-2"/>
        </w:rPr>
        <w:t>eléctricas)</w:t>
      </w:r>
    </w:p>
    <w:p>
      <w:pPr>
        <w:pStyle w:val="Heading3"/>
        <w:spacing w:after="0" w:line="240" w:lineRule="auto"/>
        <w:jc w:val="left"/>
        <w:sectPr>
          <w:pgSz w:w="12240" w:h="15840"/>
          <w:pgMar w:header="724" w:footer="712" w:top="1880" w:bottom="900" w:left="1080" w:right="1080"/>
        </w:sectPr>
      </w:pPr>
    </w:p>
    <w:p>
      <w:pPr>
        <w:pStyle w:val="BodyText"/>
        <w:spacing w:before="65"/>
        <w:rPr>
          <w:rFonts w:ascii="Arial"/>
          <w:b/>
        </w:rPr>
      </w:pPr>
    </w:p>
    <w:p>
      <w:pPr>
        <w:pStyle w:val="BodyText"/>
        <w:ind w:left="626"/>
      </w:pPr>
      <w:r>
        <w:rPr/>
        <w:t>Código</w:t>
      </w:r>
      <w:r>
        <w:rPr>
          <w:spacing w:val="-9"/>
        </w:rPr>
        <w:t> </w:t>
      </w:r>
      <w:r>
        <w:rPr/>
        <w:t>CIE-11:</w:t>
      </w:r>
      <w:r>
        <w:rPr>
          <w:spacing w:val="-7"/>
        </w:rPr>
        <w:t> </w:t>
      </w:r>
      <w:r>
        <w:rPr/>
        <w:t>9B10.2Y,</w:t>
      </w:r>
      <w:r>
        <w:rPr>
          <w:spacing w:val="-7"/>
        </w:rPr>
        <w:t> </w:t>
      </w:r>
      <w:r>
        <w:rPr/>
        <w:t>XK9J,</w:t>
      </w:r>
      <w:r>
        <w:rPr>
          <w:spacing w:val="-7"/>
        </w:rPr>
        <w:t> </w:t>
      </w:r>
      <w:r>
        <w:rPr/>
        <w:t>XK8G,</w:t>
      </w:r>
      <w:r>
        <w:rPr>
          <w:spacing w:val="-6"/>
        </w:rPr>
        <w:t> </w:t>
      </w:r>
      <w:r>
        <w:rPr/>
        <w:t>XK9K,</w:t>
      </w:r>
      <w:r>
        <w:rPr>
          <w:spacing w:val="-7"/>
        </w:rPr>
        <w:t> </w:t>
      </w:r>
      <w:r>
        <w:rPr>
          <w:spacing w:val="-4"/>
        </w:rPr>
        <w:t>XK70</w:t>
      </w:r>
    </w:p>
    <w:p>
      <w:pPr>
        <w:pStyle w:val="ListParagraph"/>
        <w:numPr>
          <w:ilvl w:val="2"/>
          <w:numId w:val="160"/>
        </w:numPr>
        <w:tabs>
          <w:tab w:pos="1045" w:val="left" w:leader="none"/>
          <w:tab w:pos="1058" w:val="left" w:leader="none"/>
        </w:tabs>
        <w:spacing w:line="240" w:lineRule="auto" w:before="230" w:after="0"/>
        <w:ind w:left="1058" w:right="346" w:hanging="432"/>
        <w:jc w:val="both"/>
        <w:rPr>
          <w:sz w:val="20"/>
        </w:rPr>
      </w:pPr>
      <w:r>
        <w:rPr>
          <w:sz w:val="20"/>
        </w:rPr>
        <w:t>Personas trabajadoras expuestas a luz del arco voltaico durante la distribución, producción, transporte de la electricidad, de hornos eléctricos y soldadura eléctrica.</w:t>
      </w:r>
    </w:p>
    <w:p>
      <w:pPr>
        <w:pStyle w:val="ListParagraph"/>
        <w:numPr>
          <w:ilvl w:val="2"/>
          <w:numId w:val="160"/>
        </w:numPr>
        <w:tabs>
          <w:tab w:pos="1045" w:val="left" w:leader="none"/>
          <w:tab w:pos="1058" w:val="left" w:leader="none"/>
        </w:tabs>
        <w:spacing w:line="240" w:lineRule="auto" w:before="228" w:after="0"/>
        <w:ind w:left="1058" w:right="33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7" w:val="left" w:leader="none"/>
        </w:tabs>
        <w:spacing w:line="240" w:lineRule="auto" w:before="228" w:after="0"/>
        <w:ind w:left="1067" w:right="0" w:hanging="441"/>
        <w:jc w:val="left"/>
      </w:pPr>
      <w:r>
        <w:rPr/>
        <w:t>Otras</w:t>
      </w:r>
      <w:r>
        <w:rPr>
          <w:spacing w:val="-13"/>
        </w:rPr>
        <w:t> </w:t>
      </w:r>
      <w:r>
        <w:rPr/>
        <w:t>cataratas</w:t>
      </w:r>
      <w:r>
        <w:rPr>
          <w:spacing w:val="-11"/>
        </w:rPr>
        <w:t> </w:t>
      </w:r>
      <w:r>
        <w:rPr/>
        <w:t>específicas</w:t>
      </w:r>
      <w:r>
        <w:rPr>
          <w:spacing w:val="-13"/>
        </w:rPr>
        <w:t> </w:t>
      </w:r>
      <w:r>
        <w:rPr/>
        <w:t>(catarata</w:t>
      </w:r>
      <w:r>
        <w:rPr>
          <w:spacing w:val="-13"/>
        </w:rPr>
        <w:t> </w:t>
      </w:r>
      <w:r>
        <w:rPr>
          <w:spacing w:val="-2"/>
        </w:rPr>
        <w:t>tóxica)</w:t>
      </w:r>
    </w:p>
    <w:p>
      <w:pPr>
        <w:pStyle w:val="BodyText"/>
        <w:spacing w:before="2"/>
        <w:rPr>
          <w:rFonts w:ascii="Arial"/>
          <w:b/>
        </w:rPr>
      </w:pPr>
    </w:p>
    <w:p>
      <w:pPr>
        <w:pStyle w:val="BodyText"/>
        <w:ind w:left="626"/>
      </w:pPr>
      <w:r>
        <w:rPr/>
        <w:t>Código</w:t>
      </w:r>
      <w:r>
        <w:rPr>
          <w:spacing w:val="-9"/>
        </w:rPr>
        <w:t> </w:t>
      </w:r>
      <w:r>
        <w:rPr/>
        <w:t>CIE-11:</w:t>
      </w:r>
      <w:r>
        <w:rPr>
          <w:spacing w:val="-7"/>
        </w:rPr>
        <w:t> </w:t>
      </w:r>
      <w:r>
        <w:rPr/>
        <w:t>9B10.2Y,</w:t>
      </w:r>
      <w:r>
        <w:rPr>
          <w:spacing w:val="-7"/>
        </w:rPr>
        <w:t> </w:t>
      </w:r>
      <w:r>
        <w:rPr/>
        <w:t>XK9J,</w:t>
      </w:r>
      <w:r>
        <w:rPr>
          <w:spacing w:val="-7"/>
        </w:rPr>
        <w:t> </w:t>
      </w:r>
      <w:r>
        <w:rPr/>
        <w:t>XK8G,</w:t>
      </w:r>
      <w:r>
        <w:rPr>
          <w:spacing w:val="-6"/>
        </w:rPr>
        <w:t> </w:t>
      </w:r>
      <w:r>
        <w:rPr/>
        <w:t>XK9K,</w:t>
      </w:r>
      <w:r>
        <w:rPr>
          <w:spacing w:val="-7"/>
        </w:rPr>
        <w:t> </w:t>
      </w:r>
      <w:r>
        <w:rPr>
          <w:spacing w:val="-4"/>
        </w:rPr>
        <w:t>XK70</w:t>
      </w:r>
    </w:p>
    <w:p>
      <w:pPr>
        <w:pStyle w:val="ListParagraph"/>
        <w:numPr>
          <w:ilvl w:val="2"/>
          <w:numId w:val="160"/>
        </w:numPr>
        <w:tabs>
          <w:tab w:pos="1045" w:val="left" w:leader="none"/>
          <w:tab w:pos="1058" w:val="left" w:leader="none"/>
        </w:tabs>
        <w:spacing w:line="240" w:lineRule="auto" w:before="229" w:after="0"/>
        <w:ind w:left="1058" w:right="341" w:hanging="432"/>
        <w:jc w:val="both"/>
        <w:rPr>
          <w:sz w:val="20"/>
        </w:rPr>
      </w:pPr>
      <w:r>
        <w:rPr>
          <w:sz w:val="20"/>
        </w:rPr>
        <w:t>Personas trabajadoras expuestas en todas las actividades relacionadas con la producción de adhesivos para el hormigón, de plastificadores para PVC (anhídrido tálico), aromatizantes, colorantes,</w:t>
      </w:r>
      <w:r>
        <w:rPr>
          <w:spacing w:val="-3"/>
          <w:sz w:val="20"/>
        </w:rPr>
        <w:t> </w:t>
      </w:r>
      <w:r>
        <w:rPr>
          <w:sz w:val="20"/>
        </w:rPr>
        <w:t>componentes de</w:t>
      </w:r>
      <w:r>
        <w:rPr>
          <w:spacing w:val="-3"/>
          <w:sz w:val="20"/>
        </w:rPr>
        <w:t> </w:t>
      </w:r>
      <w:r>
        <w:rPr>
          <w:sz w:val="20"/>
        </w:rPr>
        <w:t>solventes para</w:t>
      </w:r>
      <w:r>
        <w:rPr>
          <w:spacing w:val="-1"/>
          <w:sz w:val="20"/>
        </w:rPr>
        <w:t> </w:t>
      </w:r>
      <w:r>
        <w:rPr>
          <w:sz w:val="20"/>
        </w:rPr>
        <w:t>plaguicidas,</w:t>
      </w:r>
      <w:r>
        <w:rPr>
          <w:spacing w:val="-3"/>
          <w:sz w:val="20"/>
        </w:rPr>
        <w:t> </w:t>
      </w:r>
      <w:r>
        <w:rPr>
          <w:sz w:val="20"/>
        </w:rPr>
        <w:t>curtientes,</w:t>
      </w:r>
      <w:r>
        <w:rPr>
          <w:spacing w:val="-3"/>
          <w:sz w:val="20"/>
        </w:rPr>
        <w:t> </w:t>
      </w:r>
      <w:r>
        <w:rPr>
          <w:sz w:val="20"/>
        </w:rPr>
        <w:t>sustancias</w:t>
      </w:r>
      <w:r>
        <w:rPr>
          <w:spacing w:val="-2"/>
          <w:sz w:val="20"/>
        </w:rPr>
        <w:t> </w:t>
      </w:r>
      <w:r>
        <w:rPr>
          <w:sz w:val="20"/>
        </w:rPr>
        <w:t>humectantes</w:t>
      </w:r>
      <w:r>
        <w:rPr>
          <w:spacing w:val="-2"/>
          <w:sz w:val="20"/>
        </w:rPr>
        <w:t> </w:t>
      </w:r>
      <w:r>
        <w:rPr>
          <w:sz w:val="20"/>
        </w:rPr>
        <w:t>en</w:t>
      </w:r>
      <w:r>
        <w:rPr>
          <w:spacing w:val="-1"/>
          <w:sz w:val="20"/>
        </w:rPr>
        <w:t> </w:t>
      </w:r>
      <w:r>
        <w:rPr>
          <w:sz w:val="20"/>
        </w:rPr>
        <w:t>la industria textil, productos químicos y farmacéuticos.</w:t>
      </w:r>
    </w:p>
    <w:p>
      <w:pPr>
        <w:pStyle w:val="ListParagraph"/>
        <w:numPr>
          <w:ilvl w:val="2"/>
          <w:numId w:val="160"/>
        </w:numPr>
        <w:tabs>
          <w:tab w:pos="1045" w:val="left" w:leader="none"/>
          <w:tab w:pos="1058" w:val="left" w:leader="none"/>
        </w:tabs>
        <w:spacing w:line="240" w:lineRule="auto" w:before="229" w:after="0"/>
        <w:ind w:left="1058" w:right="341"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6" w:after="0"/>
        <w:ind w:left="1069" w:right="0" w:hanging="443"/>
        <w:jc w:val="left"/>
      </w:pPr>
      <w:r>
        <w:rPr/>
        <w:t>Conjuntivitis</w:t>
      </w:r>
      <w:r>
        <w:rPr>
          <w:spacing w:val="-12"/>
        </w:rPr>
        <w:t> </w:t>
      </w:r>
      <w:r>
        <w:rPr/>
        <w:t>por</w:t>
      </w:r>
      <w:r>
        <w:rPr>
          <w:spacing w:val="-10"/>
        </w:rPr>
        <w:t> </w:t>
      </w:r>
      <w:r>
        <w:rPr/>
        <w:t>gérmenes</w:t>
      </w:r>
      <w:r>
        <w:rPr>
          <w:spacing w:val="-11"/>
        </w:rPr>
        <w:t> </w:t>
      </w:r>
      <w:r>
        <w:rPr/>
        <w:t>patógenos.</w:t>
      </w:r>
      <w:r>
        <w:rPr>
          <w:spacing w:val="-10"/>
        </w:rPr>
        <w:t> </w:t>
      </w:r>
      <w:r>
        <w:rPr/>
        <w:t>Conjuntivitis</w:t>
      </w:r>
      <w:r>
        <w:rPr>
          <w:spacing w:val="-11"/>
        </w:rPr>
        <w:t> </w:t>
      </w:r>
      <w:r>
        <w:rPr>
          <w:spacing w:val="-2"/>
        </w:rPr>
        <w:t>mucopurulenta</w:t>
      </w:r>
    </w:p>
    <w:p>
      <w:pPr>
        <w:pStyle w:val="BodyText"/>
        <w:spacing w:before="4"/>
        <w:rPr>
          <w:rFonts w:ascii="Arial"/>
          <w:b/>
        </w:rPr>
      </w:pPr>
    </w:p>
    <w:p>
      <w:pPr>
        <w:pStyle w:val="BodyText"/>
        <w:ind w:left="626"/>
      </w:pPr>
      <w:r>
        <w:rPr/>
        <w:t>Código</w:t>
      </w:r>
      <w:r>
        <w:rPr>
          <w:spacing w:val="-9"/>
        </w:rPr>
        <w:t> </w:t>
      </w:r>
      <w:r>
        <w:rPr/>
        <w:t>CIE-11:</w:t>
      </w:r>
      <w:r>
        <w:rPr>
          <w:spacing w:val="-7"/>
        </w:rPr>
        <w:t> </w:t>
      </w:r>
      <w:r>
        <w:rPr/>
        <w:t>9A60.Y,</w:t>
      </w:r>
      <w:r>
        <w:rPr>
          <w:spacing w:val="-6"/>
        </w:rPr>
        <w:t> </w:t>
      </w:r>
      <w:r>
        <w:rPr/>
        <w:t>9A60.3,</w:t>
      </w:r>
      <w:r>
        <w:rPr>
          <w:spacing w:val="-5"/>
        </w:rPr>
        <w:t> </w:t>
      </w:r>
      <w:r>
        <w:rPr/>
        <w:t>XK9J,</w:t>
      </w:r>
      <w:r>
        <w:rPr>
          <w:spacing w:val="-8"/>
        </w:rPr>
        <w:t> </w:t>
      </w:r>
      <w:r>
        <w:rPr/>
        <w:t>XK8G,</w:t>
      </w:r>
      <w:r>
        <w:rPr>
          <w:spacing w:val="-7"/>
        </w:rPr>
        <w:t> </w:t>
      </w:r>
      <w:r>
        <w:rPr/>
        <w:t>XK9K,</w:t>
      </w:r>
      <w:r>
        <w:rPr>
          <w:spacing w:val="-6"/>
        </w:rPr>
        <w:t> </w:t>
      </w:r>
      <w:r>
        <w:rPr>
          <w:spacing w:val="-4"/>
        </w:rPr>
        <w:t>XK70</w:t>
      </w:r>
    </w:p>
    <w:p>
      <w:pPr>
        <w:pStyle w:val="ListParagraph"/>
        <w:numPr>
          <w:ilvl w:val="2"/>
          <w:numId w:val="160"/>
        </w:numPr>
        <w:tabs>
          <w:tab w:pos="1045" w:val="left" w:leader="none"/>
          <w:tab w:pos="1058" w:val="left" w:leader="none"/>
        </w:tabs>
        <w:spacing w:line="240" w:lineRule="auto" w:before="229" w:after="0"/>
        <w:ind w:left="1058" w:right="337" w:hanging="432"/>
        <w:jc w:val="both"/>
        <w:rPr>
          <w:sz w:val="20"/>
        </w:rPr>
      </w:pPr>
      <w:r>
        <w:rPr>
          <w:sz w:val="20"/>
        </w:rPr>
        <w:t>Personas trabajadoras expuestas a los agentes causales como dentistas, enfermeras, paramédicos, laboratoristas, médicos, personal sanitario y veterinarios.</w:t>
      </w:r>
    </w:p>
    <w:p>
      <w:pPr>
        <w:pStyle w:val="ListParagraph"/>
        <w:numPr>
          <w:ilvl w:val="2"/>
          <w:numId w:val="160"/>
        </w:numPr>
        <w:tabs>
          <w:tab w:pos="1045" w:val="left" w:leader="none"/>
          <w:tab w:pos="1058" w:val="left" w:leader="none"/>
        </w:tabs>
        <w:spacing w:line="240" w:lineRule="auto" w:before="229" w:after="0"/>
        <w:ind w:left="1058" w:right="34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196" w:val="left" w:leader="none"/>
        </w:tabs>
        <w:spacing w:line="240" w:lineRule="auto" w:before="226" w:after="0"/>
        <w:ind w:left="338" w:right="343" w:firstLine="288"/>
        <w:jc w:val="left"/>
      </w:pPr>
      <w:r>
        <w:rPr/>
        <w:t>Conjuntivitis</w:t>
      </w:r>
      <w:r>
        <w:rPr>
          <w:spacing w:val="80"/>
          <w:w w:val="150"/>
        </w:rPr>
        <w:t> </w:t>
      </w:r>
      <w:r>
        <w:rPr/>
        <w:t>atópica</w:t>
      </w:r>
      <w:r>
        <w:rPr>
          <w:spacing w:val="80"/>
          <w:w w:val="150"/>
        </w:rPr>
        <w:t> </w:t>
      </w:r>
      <w:r>
        <w:rPr/>
        <w:t>aguda</w:t>
      </w:r>
      <w:r>
        <w:rPr>
          <w:spacing w:val="80"/>
          <w:w w:val="150"/>
        </w:rPr>
        <w:t> </w:t>
      </w:r>
      <w:r>
        <w:rPr/>
        <w:t>(retinopatías</w:t>
      </w:r>
      <w:r>
        <w:rPr>
          <w:spacing w:val="80"/>
          <w:w w:val="150"/>
        </w:rPr>
        <w:t> </w:t>
      </w:r>
      <w:r>
        <w:rPr/>
        <w:t>especificadas</w:t>
      </w:r>
      <w:r>
        <w:rPr>
          <w:spacing w:val="80"/>
          <w:w w:val="150"/>
        </w:rPr>
        <w:t> </w:t>
      </w:r>
      <w:r>
        <w:rPr/>
        <w:t>por</w:t>
      </w:r>
      <w:r>
        <w:rPr>
          <w:spacing w:val="80"/>
          <w:w w:val="150"/>
        </w:rPr>
        <w:t> </w:t>
      </w:r>
      <w:r>
        <w:rPr/>
        <w:t>agentes</w:t>
      </w:r>
      <w:r>
        <w:rPr>
          <w:spacing w:val="80"/>
          <w:w w:val="150"/>
        </w:rPr>
        <w:t> </w:t>
      </w:r>
      <w:r>
        <w:rPr/>
        <w:t>químicos</w:t>
      </w:r>
      <w:r>
        <w:rPr>
          <w:spacing w:val="80"/>
          <w:w w:val="150"/>
        </w:rPr>
        <w:t> </w:t>
      </w:r>
      <w:r>
        <w:rPr/>
        <w:t>y </w:t>
      </w:r>
      <w:r>
        <w:rPr>
          <w:spacing w:val="-2"/>
        </w:rPr>
        <w:t>alergizantes)</w:t>
      </w:r>
    </w:p>
    <w:p>
      <w:pPr>
        <w:pStyle w:val="BodyText"/>
        <w:spacing w:before="4"/>
        <w:rPr>
          <w:rFonts w:ascii="Arial"/>
          <w:b/>
        </w:rPr>
      </w:pPr>
    </w:p>
    <w:p>
      <w:pPr>
        <w:pStyle w:val="BodyText"/>
        <w:ind w:left="626"/>
      </w:pPr>
      <w:r>
        <w:rPr/>
        <w:t>Código</w:t>
      </w:r>
      <w:r>
        <w:rPr>
          <w:spacing w:val="-9"/>
        </w:rPr>
        <w:t> </w:t>
      </w:r>
      <w:r>
        <w:rPr/>
        <w:t>CIE-11:</w:t>
      </w:r>
      <w:r>
        <w:rPr>
          <w:spacing w:val="-7"/>
        </w:rPr>
        <w:t> </w:t>
      </w:r>
      <w:r>
        <w:rPr/>
        <w:t>9A60.01,</w:t>
      </w:r>
      <w:r>
        <w:rPr>
          <w:spacing w:val="-8"/>
        </w:rPr>
        <w:t> </w:t>
      </w:r>
      <w:r>
        <w:rPr/>
        <w:t>9A60.02,</w:t>
      </w:r>
      <w:r>
        <w:rPr>
          <w:spacing w:val="-7"/>
        </w:rPr>
        <w:t> </w:t>
      </w:r>
      <w:r>
        <w:rPr/>
        <w:t>XK9J,</w:t>
      </w:r>
      <w:r>
        <w:rPr>
          <w:spacing w:val="-7"/>
        </w:rPr>
        <w:t> </w:t>
      </w:r>
      <w:r>
        <w:rPr/>
        <w:t>XK8G,</w:t>
      </w:r>
      <w:r>
        <w:rPr>
          <w:spacing w:val="-6"/>
        </w:rPr>
        <w:t> </w:t>
      </w:r>
      <w:r>
        <w:rPr/>
        <w:t>XK9K,</w:t>
      </w:r>
      <w:r>
        <w:rPr>
          <w:spacing w:val="-8"/>
        </w:rPr>
        <w:t> </w:t>
      </w:r>
      <w:r>
        <w:rPr>
          <w:spacing w:val="-4"/>
        </w:rPr>
        <w:t>XK70</w:t>
      </w:r>
    </w:p>
    <w:p>
      <w:pPr>
        <w:pStyle w:val="ListParagraph"/>
        <w:numPr>
          <w:ilvl w:val="2"/>
          <w:numId w:val="160"/>
        </w:numPr>
        <w:tabs>
          <w:tab w:pos="1045" w:val="left" w:leader="none"/>
          <w:tab w:pos="1058" w:val="left" w:leader="none"/>
        </w:tabs>
        <w:spacing w:line="240" w:lineRule="auto" w:before="229" w:after="0"/>
        <w:ind w:left="1058" w:right="340" w:hanging="432"/>
        <w:jc w:val="both"/>
        <w:rPr>
          <w:sz w:val="20"/>
        </w:rPr>
      </w:pPr>
      <w:r>
        <w:rPr>
          <w:sz w:val="20"/>
        </w:rPr>
        <w:t>Personas trabajadoras expuestas a los agentes causales en la industria química y farmacéutica, de la celulosa, textil, farmacéutica, así como personas trabajadoras de la agricultura. Personas trabajadoras expuestas a sustancias químicas, tales como: campesinos, granjeros, ingenieros agrónomos,</w:t>
      </w:r>
      <w:r>
        <w:rPr>
          <w:spacing w:val="-5"/>
          <w:sz w:val="20"/>
        </w:rPr>
        <w:t> </w:t>
      </w:r>
      <w:r>
        <w:rPr>
          <w:sz w:val="20"/>
        </w:rPr>
        <w:t>letrineros,</w:t>
      </w:r>
      <w:r>
        <w:rPr>
          <w:spacing w:val="-4"/>
          <w:sz w:val="20"/>
        </w:rPr>
        <w:t> </w:t>
      </w:r>
      <w:r>
        <w:rPr>
          <w:sz w:val="20"/>
        </w:rPr>
        <w:t>panaderos,</w:t>
      </w:r>
      <w:r>
        <w:rPr>
          <w:spacing w:val="-4"/>
          <w:sz w:val="20"/>
        </w:rPr>
        <w:t> </w:t>
      </w:r>
      <w:r>
        <w:rPr>
          <w:sz w:val="20"/>
        </w:rPr>
        <w:t>poceros,</w:t>
      </w:r>
      <w:r>
        <w:rPr>
          <w:spacing w:val="-2"/>
          <w:sz w:val="20"/>
        </w:rPr>
        <w:t> </w:t>
      </w:r>
      <w:r>
        <w:rPr>
          <w:sz w:val="20"/>
        </w:rPr>
        <w:t>vidrieros</w:t>
      </w:r>
      <w:r>
        <w:rPr>
          <w:spacing w:val="-2"/>
          <w:sz w:val="20"/>
        </w:rPr>
        <w:t> </w:t>
      </w:r>
      <w:r>
        <w:rPr>
          <w:sz w:val="20"/>
        </w:rPr>
        <w:t>y</w:t>
      </w:r>
      <w:r>
        <w:rPr>
          <w:spacing w:val="-6"/>
          <w:sz w:val="20"/>
        </w:rPr>
        <w:t> </w:t>
      </w:r>
      <w:r>
        <w:rPr>
          <w:sz w:val="20"/>
        </w:rPr>
        <w:t>personal</w:t>
      </w:r>
      <w:r>
        <w:rPr>
          <w:spacing w:val="-5"/>
          <w:sz w:val="20"/>
        </w:rPr>
        <w:t> </w:t>
      </w:r>
      <w:r>
        <w:rPr>
          <w:sz w:val="20"/>
        </w:rPr>
        <w:t>en contacto</w:t>
      </w:r>
      <w:r>
        <w:rPr>
          <w:spacing w:val="-4"/>
          <w:sz w:val="20"/>
        </w:rPr>
        <w:t> </w:t>
      </w:r>
      <w:r>
        <w:rPr>
          <w:sz w:val="20"/>
        </w:rPr>
        <w:t>con</w:t>
      </w:r>
      <w:r>
        <w:rPr>
          <w:spacing w:val="-2"/>
          <w:sz w:val="20"/>
        </w:rPr>
        <w:t> </w:t>
      </w:r>
      <w:r>
        <w:rPr>
          <w:sz w:val="20"/>
        </w:rPr>
        <w:t>fibras</w:t>
      </w:r>
      <w:r>
        <w:rPr>
          <w:spacing w:val="-4"/>
          <w:sz w:val="20"/>
        </w:rPr>
        <w:t> </w:t>
      </w:r>
      <w:r>
        <w:rPr>
          <w:sz w:val="20"/>
        </w:rPr>
        <w:t>artificiales. Personal de la salud y de las fuerzas armadas.</w:t>
      </w:r>
    </w:p>
    <w:p>
      <w:pPr>
        <w:pStyle w:val="ListParagraph"/>
        <w:numPr>
          <w:ilvl w:val="2"/>
          <w:numId w:val="160"/>
        </w:numPr>
        <w:tabs>
          <w:tab w:pos="1045" w:val="left" w:leader="none"/>
          <w:tab w:pos="1058" w:val="left" w:leader="none"/>
        </w:tabs>
        <w:spacing w:line="240" w:lineRule="auto" w:before="227" w:after="0"/>
        <w:ind w:left="1058" w:right="336" w:hanging="432"/>
        <w:jc w:val="both"/>
        <w:rPr>
          <w:sz w:val="20"/>
        </w:rPr>
      </w:pPr>
      <w:r>
        <w:rPr>
          <w:sz w:val="20"/>
        </w:rPr>
        <w:t>Personas trabajadoras que presentan exposición de forma directa e indudable a la acción de los agentes</w:t>
      </w:r>
      <w:r>
        <w:rPr>
          <w:spacing w:val="35"/>
          <w:sz w:val="20"/>
        </w:rPr>
        <w:t> </w:t>
      </w:r>
      <w:r>
        <w:rPr>
          <w:sz w:val="20"/>
        </w:rPr>
        <w:t>causales</w:t>
      </w:r>
      <w:r>
        <w:rPr>
          <w:spacing w:val="38"/>
          <w:sz w:val="20"/>
        </w:rPr>
        <w:t> </w:t>
      </w:r>
      <w:r>
        <w:rPr>
          <w:sz w:val="20"/>
        </w:rPr>
        <w:t>establecidos</w:t>
      </w:r>
      <w:r>
        <w:rPr>
          <w:spacing w:val="38"/>
          <w:sz w:val="20"/>
        </w:rPr>
        <w:t> </w:t>
      </w:r>
      <w:r>
        <w:rPr>
          <w:sz w:val="20"/>
        </w:rPr>
        <w:t>en</w:t>
      </w:r>
      <w:r>
        <w:rPr>
          <w:spacing w:val="36"/>
          <w:sz w:val="20"/>
        </w:rPr>
        <w:t> </w:t>
      </w:r>
      <w:r>
        <w:rPr>
          <w:sz w:val="20"/>
        </w:rPr>
        <w:t>la</w:t>
      </w:r>
      <w:r>
        <w:rPr>
          <w:spacing w:val="34"/>
          <w:sz w:val="20"/>
        </w:rPr>
        <w:t> </w:t>
      </w:r>
      <w:r>
        <w:rPr>
          <w:sz w:val="20"/>
        </w:rPr>
        <w:t>fracción</w:t>
      </w:r>
      <w:r>
        <w:rPr>
          <w:spacing w:val="36"/>
          <w:sz w:val="20"/>
        </w:rPr>
        <w:t> </w:t>
      </w:r>
      <w:r>
        <w:rPr>
          <w:sz w:val="20"/>
        </w:rPr>
        <w:t>II</w:t>
      </w:r>
      <w:r>
        <w:rPr>
          <w:spacing w:val="37"/>
          <w:sz w:val="20"/>
        </w:rPr>
        <w:t> </w:t>
      </w:r>
      <w:r>
        <w:rPr>
          <w:sz w:val="20"/>
        </w:rPr>
        <w:t>de</w:t>
      </w:r>
      <w:r>
        <w:rPr>
          <w:spacing w:val="36"/>
          <w:sz w:val="20"/>
        </w:rPr>
        <w:t> </w:t>
      </w:r>
      <w:r>
        <w:rPr>
          <w:sz w:val="20"/>
        </w:rPr>
        <w:t>la</w:t>
      </w:r>
      <w:r>
        <w:rPr>
          <w:spacing w:val="34"/>
          <w:sz w:val="20"/>
        </w:rPr>
        <w:t> </w:t>
      </w:r>
      <w:r>
        <w:rPr>
          <w:sz w:val="20"/>
        </w:rPr>
        <w:t>cédula</w:t>
      </w:r>
      <w:r>
        <w:rPr>
          <w:spacing w:val="37"/>
          <w:sz w:val="20"/>
        </w:rPr>
        <w:t> </w:t>
      </w:r>
      <w:r>
        <w:rPr>
          <w:sz w:val="20"/>
        </w:rPr>
        <w:t>correspondiente</w:t>
      </w:r>
      <w:r>
        <w:rPr>
          <w:spacing w:val="37"/>
          <w:sz w:val="20"/>
        </w:rPr>
        <w:t> </w:t>
      </w:r>
      <w:r>
        <w:rPr>
          <w:sz w:val="20"/>
        </w:rPr>
        <w:t>contenida</w:t>
      </w:r>
      <w:r>
        <w:rPr>
          <w:spacing w:val="36"/>
          <w:sz w:val="20"/>
        </w:rPr>
        <w:t> </w:t>
      </w:r>
      <w:r>
        <w:rPr>
          <w:sz w:val="20"/>
        </w:rPr>
        <w:t>en</w:t>
      </w:r>
      <w:r>
        <w:rPr>
          <w:spacing w:val="37"/>
          <w:sz w:val="20"/>
        </w:rPr>
        <w:t> </w:t>
      </w:r>
      <w:r>
        <w:rPr>
          <w:sz w:val="20"/>
        </w:rPr>
        <w:t>el</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058" w:right="344"/>
        <w:jc w:val="both"/>
      </w:pPr>
      <w:r>
        <w:rPr/>
        <w:t>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30" w:after="0"/>
        <w:ind w:left="1069" w:right="0" w:hanging="443"/>
        <w:jc w:val="left"/>
      </w:pPr>
      <w:r>
        <w:rPr/>
        <w:t>Deterioro</w:t>
      </w:r>
      <w:r>
        <w:rPr>
          <w:spacing w:val="-6"/>
        </w:rPr>
        <w:t> </w:t>
      </w:r>
      <w:r>
        <w:rPr/>
        <w:t>leve</w:t>
      </w:r>
      <w:r>
        <w:rPr>
          <w:spacing w:val="-5"/>
        </w:rPr>
        <w:t> </w:t>
      </w:r>
      <w:r>
        <w:rPr/>
        <w:t>de</w:t>
      </w:r>
      <w:r>
        <w:rPr>
          <w:spacing w:val="-6"/>
        </w:rPr>
        <w:t> </w:t>
      </w:r>
      <w:r>
        <w:rPr/>
        <w:t>la</w:t>
      </w:r>
      <w:r>
        <w:rPr>
          <w:spacing w:val="-3"/>
        </w:rPr>
        <w:t> </w:t>
      </w:r>
      <w:r>
        <w:rPr/>
        <w:t>visión</w:t>
      </w:r>
      <w:r>
        <w:rPr>
          <w:spacing w:val="-5"/>
        </w:rPr>
        <w:t> </w:t>
      </w:r>
      <w:r>
        <w:rPr/>
        <w:t>y</w:t>
      </w:r>
      <w:r>
        <w:rPr>
          <w:spacing w:val="-8"/>
        </w:rPr>
        <w:t> </w:t>
      </w:r>
      <w:r>
        <w:rPr/>
        <w:t>deterioro</w:t>
      </w:r>
      <w:r>
        <w:rPr>
          <w:spacing w:val="-4"/>
        </w:rPr>
        <w:t> </w:t>
      </w:r>
      <w:r>
        <w:rPr/>
        <w:t>moderado</w:t>
      </w:r>
      <w:r>
        <w:rPr>
          <w:spacing w:val="-5"/>
        </w:rPr>
        <w:t> </w:t>
      </w:r>
      <w:r>
        <w:rPr/>
        <w:t>de</w:t>
      </w:r>
      <w:r>
        <w:rPr>
          <w:spacing w:val="-5"/>
        </w:rPr>
        <w:t> </w:t>
      </w:r>
      <w:r>
        <w:rPr/>
        <w:t>la</w:t>
      </w:r>
      <w:r>
        <w:rPr>
          <w:spacing w:val="-7"/>
        </w:rPr>
        <w:t> </w:t>
      </w:r>
      <w:r>
        <w:rPr>
          <w:spacing w:val="-2"/>
        </w:rPr>
        <w:t>visión</w:t>
      </w:r>
    </w:p>
    <w:p>
      <w:pPr>
        <w:pStyle w:val="BodyText"/>
        <w:rPr>
          <w:rFonts w:ascii="Arial"/>
          <w:b/>
        </w:rPr>
      </w:pPr>
    </w:p>
    <w:p>
      <w:pPr>
        <w:pStyle w:val="BodyText"/>
        <w:ind w:left="626"/>
      </w:pPr>
      <w:r>
        <w:rPr/>
        <w:t>Código</w:t>
      </w:r>
      <w:r>
        <w:rPr>
          <w:spacing w:val="-8"/>
        </w:rPr>
        <w:t> </w:t>
      </w:r>
      <w:r>
        <w:rPr/>
        <w:t>CIE-11:</w:t>
      </w:r>
      <w:r>
        <w:rPr>
          <w:spacing w:val="-6"/>
        </w:rPr>
        <w:t> </w:t>
      </w:r>
      <w:r>
        <w:rPr/>
        <w:t>9D90.1,</w:t>
      </w:r>
      <w:r>
        <w:rPr>
          <w:spacing w:val="-7"/>
        </w:rPr>
        <w:t> </w:t>
      </w:r>
      <w:r>
        <w:rPr/>
        <w:t>9D90.2,</w:t>
      </w:r>
      <w:r>
        <w:rPr>
          <w:spacing w:val="-5"/>
        </w:rPr>
        <w:t> </w:t>
      </w:r>
      <w:r>
        <w:rPr/>
        <w:t>XK9J,</w:t>
      </w:r>
      <w:r>
        <w:rPr>
          <w:spacing w:val="-6"/>
        </w:rPr>
        <w:t> </w:t>
      </w:r>
      <w:r>
        <w:rPr/>
        <w:t>XK8G,</w:t>
      </w:r>
      <w:r>
        <w:rPr>
          <w:spacing w:val="-7"/>
        </w:rPr>
        <w:t> </w:t>
      </w:r>
      <w:r>
        <w:rPr/>
        <w:t>XK9K,</w:t>
      </w:r>
      <w:r>
        <w:rPr>
          <w:spacing w:val="-5"/>
        </w:rPr>
        <w:t> </w:t>
      </w:r>
      <w:r>
        <w:rPr>
          <w:spacing w:val="-4"/>
        </w:rPr>
        <w:t>XK70</w:t>
      </w:r>
    </w:p>
    <w:p>
      <w:pPr>
        <w:pStyle w:val="BodyText"/>
      </w:pPr>
    </w:p>
    <w:p>
      <w:pPr>
        <w:pStyle w:val="ListParagraph"/>
        <w:numPr>
          <w:ilvl w:val="2"/>
          <w:numId w:val="160"/>
        </w:numPr>
        <w:tabs>
          <w:tab w:pos="1045" w:val="left" w:leader="none"/>
          <w:tab w:pos="1058" w:val="left" w:leader="none"/>
        </w:tabs>
        <w:spacing w:line="240" w:lineRule="auto" w:before="0" w:after="0"/>
        <w:ind w:left="1058" w:right="337" w:hanging="432"/>
        <w:jc w:val="both"/>
        <w:rPr>
          <w:sz w:val="20"/>
        </w:rPr>
      </w:pPr>
      <w:r>
        <w:rPr>
          <w:sz w:val="20"/>
        </w:rPr>
        <w:t>Personas trabajadoras expuestas al agente causal en la industria química, electrónica, manufacturas de plástico, producción de compuestos cloroalcalinos, germicidas y fabricación de amalgamas odontológicas. Personas trabajadoras expuestas al mercurio orgánico, tales como: agricultores, campesinos, granjeros, ingenieros agrónomos, técnicos dentales y odontólogos.</w:t>
      </w:r>
    </w:p>
    <w:p>
      <w:pPr>
        <w:pStyle w:val="ListParagraph"/>
        <w:numPr>
          <w:ilvl w:val="2"/>
          <w:numId w:val="160"/>
        </w:numPr>
        <w:tabs>
          <w:tab w:pos="1045" w:val="left" w:leader="none"/>
          <w:tab w:pos="1058" w:val="left" w:leader="none"/>
        </w:tabs>
        <w:spacing w:line="240" w:lineRule="auto" w:before="229" w:after="0"/>
        <w:ind w:left="1058" w:right="33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7" w:after="0"/>
        <w:ind w:left="1069" w:right="0" w:hanging="443"/>
        <w:jc w:val="left"/>
      </w:pPr>
      <w:r>
        <w:rPr/>
        <w:t>Efectos</w:t>
      </w:r>
      <w:r>
        <w:rPr>
          <w:spacing w:val="-6"/>
        </w:rPr>
        <w:t> </w:t>
      </w:r>
      <w:r>
        <w:rPr/>
        <w:t>del</w:t>
      </w:r>
      <w:r>
        <w:rPr>
          <w:spacing w:val="-6"/>
        </w:rPr>
        <w:t> </w:t>
      </w:r>
      <w:r>
        <w:rPr/>
        <w:t>ruido</w:t>
      </w:r>
      <w:r>
        <w:rPr>
          <w:spacing w:val="-6"/>
        </w:rPr>
        <w:t> </w:t>
      </w:r>
      <w:r>
        <w:rPr/>
        <w:t>sobre</w:t>
      </w:r>
      <w:r>
        <w:rPr>
          <w:spacing w:val="-7"/>
        </w:rPr>
        <w:t> </w:t>
      </w:r>
      <w:r>
        <w:rPr/>
        <w:t>el</w:t>
      </w:r>
      <w:r>
        <w:rPr>
          <w:spacing w:val="-6"/>
        </w:rPr>
        <w:t> </w:t>
      </w:r>
      <w:r>
        <w:rPr/>
        <w:t>oído</w:t>
      </w:r>
      <w:r>
        <w:rPr>
          <w:spacing w:val="-6"/>
        </w:rPr>
        <w:t> </w:t>
      </w:r>
      <w:r>
        <w:rPr/>
        <w:t>interno</w:t>
      </w:r>
      <w:r>
        <w:rPr>
          <w:spacing w:val="-7"/>
        </w:rPr>
        <w:t> </w:t>
      </w:r>
      <w:r>
        <w:rPr/>
        <w:t>(cortipatía</w:t>
      </w:r>
      <w:r>
        <w:rPr>
          <w:spacing w:val="-8"/>
        </w:rPr>
        <w:t> </w:t>
      </w:r>
      <w:r>
        <w:rPr/>
        <w:t>bilateral</w:t>
      </w:r>
      <w:r>
        <w:rPr>
          <w:spacing w:val="-5"/>
        </w:rPr>
        <w:t> </w:t>
      </w:r>
      <w:r>
        <w:rPr/>
        <w:t>por</w:t>
      </w:r>
      <w:r>
        <w:rPr>
          <w:spacing w:val="-7"/>
        </w:rPr>
        <w:t> </w:t>
      </w:r>
      <w:r>
        <w:rPr/>
        <w:t>trauma</w:t>
      </w:r>
      <w:r>
        <w:rPr>
          <w:spacing w:val="-8"/>
        </w:rPr>
        <w:t> </w:t>
      </w:r>
      <w:r>
        <w:rPr/>
        <w:t>acústico</w:t>
      </w:r>
      <w:r>
        <w:rPr>
          <w:spacing w:val="-7"/>
        </w:rPr>
        <w:t> </w:t>
      </w:r>
      <w:r>
        <w:rPr>
          <w:spacing w:val="-2"/>
        </w:rPr>
        <w:t>crónico)</w:t>
      </w:r>
    </w:p>
    <w:p>
      <w:pPr>
        <w:pStyle w:val="BodyText"/>
        <w:spacing w:before="3"/>
        <w:rPr>
          <w:rFonts w:ascii="Arial"/>
          <w:b/>
        </w:rPr>
      </w:pPr>
    </w:p>
    <w:p>
      <w:pPr>
        <w:pStyle w:val="BodyText"/>
        <w:ind w:left="626"/>
      </w:pPr>
      <w:r>
        <w:rPr/>
        <w:t>Código</w:t>
      </w:r>
      <w:r>
        <w:rPr>
          <w:spacing w:val="-10"/>
        </w:rPr>
        <w:t> </w:t>
      </w:r>
      <w:r>
        <w:rPr/>
        <w:t>CIE-11:</w:t>
      </w:r>
      <w:r>
        <w:rPr>
          <w:spacing w:val="-7"/>
        </w:rPr>
        <w:t> </w:t>
      </w:r>
      <w:r>
        <w:rPr>
          <w:spacing w:val="-4"/>
        </w:rPr>
        <w:t>AB37</w:t>
      </w:r>
    </w:p>
    <w:p>
      <w:pPr>
        <w:pStyle w:val="ListParagraph"/>
        <w:numPr>
          <w:ilvl w:val="2"/>
          <w:numId w:val="160"/>
        </w:numPr>
        <w:tabs>
          <w:tab w:pos="1045" w:val="left" w:leader="none"/>
          <w:tab w:pos="1058" w:val="left" w:leader="none"/>
        </w:tabs>
        <w:spacing w:line="240" w:lineRule="auto" w:before="229" w:after="0"/>
        <w:ind w:left="1058" w:right="339" w:hanging="432"/>
        <w:jc w:val="both"/>
        <w:rPr>
          <w:sz w:val="20"/>
        </w:rPr>
      </w:pPr>
      <w:r>
        <w:rPr>
          <w:sz w:val="20"/>
        </w:rPr>
        <w:t>Personas trabajadoras expuestas al agente causal en la industria metalúrgica, construcción, metal-mecánica, aviación, minera, textil y militar. Personas trabajadoras que realicen actividades de corte; cizallamiento; laminado; trefilado; estiramiento y perforación de piezas metálicas; fabricación, empleo y destrucción de municiones y explosivos, y trabajos de abrasión e </w:t>
      </w:r>
      <w:r>
        <w:rPr>
          <w:spacing w:val="-2"/>
          <w:sz w:val="20"/>
        </w:rPr>
        <w:t>hidráulicos.</w:t>
      </w:r>
    </w:p>
    <w:p>
      <w:pPr>
        <w:pStyle w:val="ListParagraph"/>
        <w:numPr>
          <w:ilvl w:val="2"/>
          <w:numId w:val="160"/>
        </w:numPr>
        <w:tabs>
          <w:tab w:pos="1045" w:val="left" w:leader="none"/>
          <w:tab w:pos="1058" w:val="left" w:leader="none"/>
        </w:tabs>
        <w:spacing w:line="240" w:lineRule="auto" w:before="228" w:after="0"/>
        <w:ind w:left="1058" w:right="335" w:hanging="432"/>
        <w:jc w:val="both"/>
        <w:rPr>
          <w:sz w:val="20"/>
        </w:rPr>
      </w:pPr>
      <w:r>
        <w:rPr>
          <w:sz w:val="20"/>
        </w:rPr>
        <w:t>Personas trabajadoras expuestas en la operación de maquinaria; electrógenos; molienda de piedras y minerales; reparación y operación de motores eléctricos de potencia, turbinas y todo motor de gran potencia; prueba de armas, y utilización de herramientas neumáticas, tales como: martillos, taladros, perforadores y compresores. Personas trabajadoras expuestas como aviadoras, personal de tierra, mecánicos, radiotelegrafistas, tejedores, coneros, trocileros, telefonistas, telegrafistas, músicos, personas trabajadoras de discotecas, ingenieros de audio y disco jockeys (DJs).</w:t>
      </w:r>
    </w:p>
    <w:p>
      <w:pPr>
        <w:pStyle w:val="BodyText"/>
      </w:pPr>
    </w:p>
    <w:p>
      <w:pPr>
        <w:pStyle w:val="ListParagraph"/>
        <w:numPr>
          <w:ilvl w:val="2"/>
          <w:numId w:val="160"/>
        </w:numPr>
        <w:tabs>
          <w:tab w:pos="1045" w:val="left" w:leader="none"/>
          <w:tab w:pos="1058" w:val="left" w:leader="none"/>
        </w:tabs>
        <w:spacing w:line="240" w:lineRule="auto" w:before="0" w:after="0"/>
        <w:ind w:left="1058" w:right="343"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7" w:after="0"/>
        <w:ind w:left="1069" w:right="0" w:hanging="443"/>
        <w:jc w:val="left"/>
      </w:pPr>
      <w:r>
        <w:rPr/>
        <w:t>Estrabismo</w:t>
      </w:r>
      <w:r>
        <w:rPr>
          <w:spacing w:val="-7"/>
        </w:rPr>
        <w:t> </w:t>
      </w:r>
      <w:r>
        <w:rPr/>
        <w:t>o</w:t>
      </w:r>
      <w:r>
        <w:rPr>
          <w:spacing w:val="-7"/>
        </w:rPr>
        <w:t> </w:t>
      </w:r>
      <w:r>
        <w:rPr/>
        <w:t>trastornos</w:t>
      </w:r>
      <w:r>
        <w:rPr>
          <w:spacing w:val="-7"/>
        </w:rPr>
        <w:t> </w:t>
      </w:r>
      <w:r>
        <w:rPr/>
        <w:t>de</w:t>
      </w:r>
      <w:r>
        <w:rPr>
          <w:spacing w:val="-7"/>
        </w:rPr>
        <w:t> </w:t>
      </w:r>
      <w:r>
        <w:rPr/>
        <w:t>la</w:t>
      </w:r>
      <w:r>
        <w:rPr>
          <w:spacing w:val="-8"/>
        </w:rPr>
        <w:t> </w:t>
      </w:r>
      <w:r>
        <w:rPr/>
        <w:t>movilidad</w:t>
      </w:r>
      <w:r>
        <w:rPr>
          <w:spacing w:val="-4"/>
        </w:rPr>
        <w:t> </w:t>
      </w:r>
      <w:r>
        <w:rPr/>
        <w:t>ocular,</w:t>
      </w:r>
      <w:r>
        <w:rPr>
          <w:spacing w:val="-7"/>
        </w:rPr>
        <w:t> </w:t>
      </w:r>
      <w:r>
        <w:rPr/>
        <w:t>sin</w:t>
      </w:r>
      <w:r>
        <w:rPr>
          <w:spacing w:val="-4"/>
        </w:rPr>
        <w:t> </w:t>
      </w:r>
      <w:r>
        <w:rPr>
          <w:spacing w:val="-2"/>
        </w:rPr>
        <w:t>especificación</w:t>
      </w:r>
    </w:p>
    <w:p>
      <w:pPr>
        <w:pStyle w:val="BodyText"/>
        <w:spacing w:before="3"/>
        <w:rPr>
          <w:rFonts w:ascii="Arial"/>
          <w:b/>
        </w:rPr>
      </w:pPr>
    </w:p>
    <w:p>
      <w:pPr>
        <w:pStyle w:val="BodyText"/>
        <w:ind w:left="626"/>
      </w:pPr>
      <w:r>
        <w:rPr/>
        <w:t>Código</w:t>
      </w:r>
      <w:r>
        <w:rPr>
          <w:spacing w:val="-8"/>
        </w:rPr>
        <w:t> </w:t>
      </w:r>
      <w:r>
        <w:rPr/>
        <w:t>CIE-11:</w:t>
      </w:r>
      <w:r>
        <w:rPr>
          <w:spacing w:val="-6"/>
        </w:rPr>
        <w:t> </w:t>
      </w:r>
      <w:r>
        <w:rPr/>
        <w:t>9C8Z,</w:t>
      </w:r>
      <w:r>
        <w:rPr>
          <w:spacing w:val="-6"/>
        </w:rPr>
        <w:t> </w:t>
      </w:r>
      <w:r>
        <w:rPr/>
        <w:t>XK9J,</w:t>
      </w:r>
      <w:r>
        <w:rPr>
          <w:spacing w:val="-6"/>
        </w:rPr>
        <w:t> </w:t>
      </w:r>
      <w:r>
        <w:rPr/>
        <w:t>XK8G,</w:t>
      </w:r>
      <w:r>
        <w:rPr>
          <w:spacing w:val="-7"/>
        </w:rPr>
        <w:t> </w:t>
      </w:r>
      <w:r>
        <w:rPr/>
        <w:t>XK9K,</w:t>
      </w:r>
      <w:r>
        <w:rPr>
          <w:spacing w:val="-6"/>
        </w:rPr>
        <w:t> </w:t>
      </w:r>
      <w:r>
        <w:rPr>
          <w:spacing w:val="-4"/>
        </w:rPr>
        <w:t>XK70</w:t>
      </w:r>
    </w:p>
    <w:p>
      <w:pPr>
        <w:pStyle w:val="ListParagraph"/>
        <w:numPr>
          <w:ilvl w:val="2"/>
          <w:numId w:val="160"/>
        </w:numPr>
        <w:tabs>
          <w:tab w:pos="1045" w:val="left" w:leader="none"/>
          <w:tab w:pos="1058" w:val="left" w:leader="none"/>
        </w:tabs>
        <w:spacing w:line="240" w:lineRule="auto" w:before="227" w:after="0"/>
        <w:ind w:left="1058" w:right="332" w:hanging="432"/>
        <w:jc w:val="both"/>
        <w:rPr>
          <w:sz w:val="20"/>
        </w:rPr>
      </w:pPr>
      <w:r>
        <w:rPr>
          <w:sz w:val="20"/>
        </w:rPr>
        <w:t>Personas trabajadoras expuestas al disulfuro de carbono y plomo en las industrias del plástico que utilicen aditivos a base de plomo, alfarería artesanal, cerámica, cristalería, macillas, pinturas</w:t>
      </w:r>
      <w:r>
        <w:rPr>
          <w:spacing w:val="40"/>
          <w:sz w:val="20"/>
        </w:rPr>
        <w:t> </w:t>
      </w:r>
      <w:r>
        <w:rPr>
          <w:sz w:val="20"/>
        </w:rPr>
        <w:t>y colorantes que contengan el citado metal. Personas trabajadoras en actividades de albayalde, barnices,</w:t>
      </w:r>
      <w:r>
        <w:rPr>
          <w:spacing w:val="-4"/>
          <w:sz w:val="20"/>
        </w:rPr>
        <w:t> </w:t>
      </w:r>
      <w:r>
        <w:rPr>
          <w:sz w:val="20"/>
        </w:rPr>
        <w:t>cerámica,</w:t>
      </w:r>
      <w:r>
        <w:rPr>
          <w:spacing w:val="-4"/>
          <w:sz w:val="20"/>
        </w:rPr>
        <w:t> </w:t>
      </w:r>
      <w:r>
        <w:rPr>
          <w:sz w:val="20"/>
        </w:rPr>
        <w:t>envolturas</w:t>
      </w:r>
      <w:r>
        <w:rPr>
          <w:spacing w:val="-3"/>
          <w:sz w:val="20"/>
        </w:rPr>
        <w:t> </w:t>
      </w:r>
      <w:r>
        <w:rPr>
          <w:sz w:val="20"/>
        </w:rPr>
        <w:t>de</w:t>
      </w:r>
      <w:r>
        <w:rPr>
          <w:spacing w:val="-5"/>
          <w:sz w:val="20"/>
        </w:rPr>
        <w:t> </w:t>
      </w:r>
      <w:r>
        <w:rPr>
          <w:sz w:val="20"/>
        </w:rPr>
        <w:t>cables,</w:t>
      </w:r>
      <w:r>
        <w:rPr>
          <w:spacing w:val="-2"/>
          <w:sz w:val="20"/>
        </w:rPr>
        <w:t> </w:t>
      </w:r>
      <w:r>
        <w:rPr>
          <w:sz w:val="20"/>
        </w:rPr>
        <w:t>esmaltes,</w:t>
      </w:r>
      <w:r>
        <w:rPr>
          <w:spacing w:val="-4"/>
          <w:sz w:val="20"/>
        </w:rPr>
        <w:t> </w:t>
      </w:r>
      <w:r>
        <w:rPr>
          <w:sz w:val="20"/>
        </w:rPr>
        <w:t>lacas,</w:t>
      </w:r>
      <w:r>
        <w:rPr>
          <w:spacing w:val="-4"/>
          <w:sz w:val="20"/>
        </w:rPr>
        <w:t> </w:t>
      </w:r>
      <w:r>
        <w:rPr>
          <w:sz w:val="20"/>
        </w:rPr>
        <w:t>preparación</w:t>
      </w:r>
      <w:r>
        <w:rPr>
          <w:spacing w:val="-3"/>
          <w:sz w:val="20"/>
        </w:rPr>
        <w:t> </w:t>
      </w:r>
      <w:r>
        <w:rPr>
          <w:sz w:val="20"/>
        </w:rPr>
        <w:t>de</w:t>
      </w:r>
      <w:r>
        <w:rPr>
          <w:spacing w:val="-5"/>
          <w:sz w:val="20"/>
        </w:rPr>
        <w:t> </w:t>
      </w:r>
      <w:r>
        <w:rPr>
          <w:sz w:val="20"/>
        </w:rPr>
        <w:t>carburantes y</w:t>
      </w:r>
      <w:r>
        <w:rPr>
          <w:spacing w:val="-7"/>
          <w:sz w:val="20"/>
        </w:rPr>
        <w:t> </w:t>
      </w:r>
      <w:r>
        <w:rPr>
          <w:sz w:val="20"/>
        </w:rPr>
        <w:t>fundición de plomo.</w:t>
      </w:r>
    </w:p>
    <w:p>
      <w:pPr>
        <w:pStyle w:val="ListParagraph"/>
        <w:spacing w:after="0" w:line="240" w:lineRule="auto"/>
        <w:jc w:val="both"/>
        <w:rPr>
          <w:sz w:val="20"/>
        </w:rPr>
        <w:sectPr>
          <w:pgSz w:w="12240" w:h="15840"/>
          <w:pgMar w:header="724" w:footer="712" w:top="1880" w:bottom="900" w:left="1080" w:right="1080"/>
        </w:sectPr>
      </w:pPr>
    </w:p>
    <w:p>
      <w:pPr>
        <w:pStyle w:val="BodyText"/>
      </w:pPr>
    </w:p>
    <w:p>
      <w:pPr>
        <w:pStyle w:val="BodyText"/>
        <w:spacing w:before="64"/>
      </w:pPr>
    </w:p>
    <w:p>
      <w:pPr>
        <w:pStyle w:val="ListParagraph"/>
        <w:numPr>
          <w:ilvl w:val="2"/>
          <w:numId w:val="160"/>
        </w:numPr>
        <w:tabs>
          <w:tab w:pos="1045" w:val="left" w:leader="none"/>
          <w:tab w:pos="1058" w:val="left" w:leader="none"/>
        </w:tabs>
        <w:spacing w:line="240" w:lineRule="auto" w:before="0" w:after="0"/>
        <w:ind w:left="1058" w:right="338" w:hanging="432"/>
        <w:jc w:val="both"/>
        <w:rPr>
          <w:sz w:val="20"/>
        </w:rPr>
      </w:pPr>
      <w:r>
        <w:rPr>
          <w:sz w:val="20"/>
        </w:rPr>
        <w:t>Personas trabajadoras expuestas en la fabricación de cajas para conservas, acumuladores, insecticidas, juguetes, pigmentos, tubos de plomo, plomo orgánico, artículos pirotécnicos, y fabricación y manipulación de productos de limpieza. Personas trabajadoras que laboran en fábricas de blindaje de material radioactivo, en la industria militar, en las refinerías de gasolina con plomo y en los surtidores de gasolina. Personas trabajadoras en actividades como: pintores, impresores, plomeros, soldadores de metales que contienen plomo, y personas trabajadoras que presentan exposición en ejercicio o con motivo del trabajo a los agentes causales.</w:t>
      </w:r>
    </w:p>
    <w:p>
      <w:pPr>
        <w:pStyle w:val="BodyText"/>
      </w:pPr>
    </w:p>
    <w:p>
      <w:pPr>
        <w:pStyle w:val="ListParagraph"/>
        <w:numPr>
          <w:ilvl w:val="2"/>
          <w:numId w:val="160"/>
        </w:numPr>
        <w:tabs>
          <w:tab w:pos="1045" w:val="left" w:leader="none"/>
          <w:tab w:pos="1058" w:val="left" w:leader="none"/>
        </w:tabs>
        <w:spacing w:line="240" w:lineRule="auto" w:before="1" w:after="0"/>
        <w:ind w:left="1058" w:right="33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w:t>
      </w:r>
      <w:r>
        <w:rPr>
          <w:spacing w:val="40"/>
          <w:sz w:val="20"/>
        </w:rPr>
        <w:t> </w:t>
      </w:r>
      <w:r>
        <w:rPr>
          <w:sz w:val="20"/>
        </w:rPr>
        <w:t>origen o con motivo del trabajo o en el medio que la persona trabajadora se vea obligada a prestar sus servicios.</w:t>
      </w:r>
    </w:p>
    <w:p>
      <w:pPr>
        <w:pStyle w:val="Heading3"/>
        <w:numPr>
          <w:ilvl w:val="1"/>
          <w:numId w:val="160"/>
        </w:numPr>
        <w:tabs>
          <w:tab w:pos="1067" w:val="left" w:leader="none"/>
        </w:tabs>
        <w:spacing w:line="240" w:lineRule="auto" w:before="226" w:after="0"/>
        <w:ind w:left="1067" w:right="0" w:hanging="441"/>
        <w:jc w:val="left"/>
      </w:pPr>
      <w:r>
        <w:rPr/>
        <w:t>Glaucoma,</w:t>
      </w:r>
      <w:r>
        <w:rPr>
          <w:spacing w:val="-9"/>
        </w:rPr>
        <w:t> </w:t>
      </w:r>
      <w:r>
        <w:rPr/>
        <w:t>sin</w:t>
      </w:r>
      <w:r>
        <w:rPr>
          <w:spacing w:val="-8"/>
        </w:rPr>
        <w:t> </w:t>
      </w:r>
      <w:r>
        <w:rPr/>
        <w:t>especificación</w:t>
      </w:r>
      <w:r>
        <w:rPr>
          <w:spacing w:val="-10"/>
        </w:rPr>
        <w:t> </w:t>
      </w:r>
      <w:r>
        <w:rPr/>
        <w:t>(glaucoma</w:t>
      </w:r>
      <w:r>
        <w:rPr>
          <w:spacing w:val="-11"/>
        </w:rPr>
        <w:t> </w:t>
      </w:r>
      <w:r>
        <w:rPr>
          <w:spacing w:val="-2"/>
        </w:rPr>
        <w:t>tóxico)</w:t>
      </w:r>
    </w:p>
    <w:p>
      <w:pPr>
        <w:pStyle w:val="BodyText"/>
        <w:spacing w:before="3"/>
        <w:rPr>
          <w:rFonts w:ascii="Arial"/>
          <w:b/>
        </w:rPr>
      </w:pPr>
    </w:p>
    <w:p>
      <w:pPr>
        <w:pStyle w:val="BodyText"/>
        <w:spacing w:before="1"/>
        <w:ind w:left="626"/>
      </w:pPr>
      <w:r>
        <w:rPr/>
        <w:t>Código</w:t>
      </w:r>
      <w:r>
        <w:rPr>
          <w:spacing w:val="-8"/>
        </w:rPr>
        <w:t> </w:t>
      </w:r>
      <w:r>
        <w:rPr/>
        <w:t>CIE-11:</w:t>
      </w:r>
      <w:r>
        <w:rPr>
          <w:spacing w:val="-6"/>
        </w:rPr>
        <w:t> </w:t>
      </w:r>
      <w:r>
        <w:rPr/>
        <w:t>9C61.</w:t>
      </w:r>
      <w:r>
        <w:rPr>
          <w:spacing w:val="-6"/>
        </w:rPr>
        <w:t> </w:t>
      </w:r>
      <w:r>
        <w:rPr/>
        <w:t>Z,</w:t>
      </w:r>
      <w:r>
        <w:rPr>
          <w:spacing w:val="-6"/>
        </w:rPr>
        <w:t> </w:t>
      </w:r>
      <w:r>
        <w:rPr/>
        <w:t>XK9J,</w:t>
      </w:r>
      <w:r>
        <w:rPr>
          <w:spacing w:val="-6"/>
        </w:rPr>
        <w:t> </w:t>
      </w:r>
      <w:r>
        <w:rPr/>
        <w:t>XK8G,</w:t>
      </w:r>
      <w:r>
        <w:rPr>
          <w:spacing w:val="-4"/>
        </w:rPr>
        <w:t> </w:t>
      </w:r>
      <w:r>
        <w:rPr/>
        <w:t>XK9K,</w:t>
      </w:r>
      <w:r>
        <w:rPr>
          <w:spacing w:val="-7"/>
        </w:rPr>
        <w:t> </w:t>
      </w:r>
      <w:r>
        <w:rPr>
          <w:spacing w:val="-4"/>
        </w:rPr>
        <w:t>XK70</w:t>
      </w:r>
    </w:p>
    <w:p>
      <w:pPr>
        <w:pStyle w:val="ListParagraph"/>
        <w:numPr>
          <w:ilvl w:val="2"/>
          <w:numId w:val="160"/>
        </w:numPr>
        <w:tabs>
          <w:tab w:pos="1045" w:val="left" w:leader="none"/>
          <w:tab w:pos="1058" w:val="left" w:leader="none"/>
        </w:tabs>
        <w:spacing w:line="240" w:lineRule="auto" w:before="229" w:after="0"/>
        <w:ind w:left="1058" w:right="343" w:hanging="432"/>
        <w:jc w:val="both"/>
        <w:rPr>
          <w:sz w:val="20"/>
        </w:rPr>
      </w:pPr>
      <w:r>
        <w:rPr>
          <w:sz w:val="20"/>
        </w:rPr>
        <w:t>Personas trabajadoras expuestas en</w:t>
      </w:r>
      <w:r>
        <w:rPr>
          <w:spacing w:val="-1"/>
          <w:sz w:val="20"/>
        </w:rPr>
        <w:t> </w:t>
      </w:r>
      <w:r>
        <w:rPr>
          <w:sz w:val="20"/>
        </w:rPr>
        <w:t>la</w:t>
      </w:r>
      <w:r>
        <w:rPr>
          <w:spacing w:val="-1"/>
          <w:sz w:val="20"/>
        </w:rPr>
        <w:t> </w:t>
      </w:r>
      <w:r>
        <w:rPr>
          <w:sz w:val="20"/>
        </w:rPr>
        <w:t>producción,</w:t>
      </w:r>
      <w:r>
        <w:rPr>
          <w:spacing w:val="-1"/>
          <w:sz w:val="20"/>
        </w:rPr>
        <w:t> </w:t>
      </w:r>
      <w:r>
        <w:rPr>
          <w:sz w:val="20"/>
        </w:rPr>
        <w:t>manipulación,</w:t>
      </w:r>
      <w:r>
        <w:rPr>
          <w:spacing w:val="-1"/>
          <w:sz w:val="20"/>
        </w:rPr>
        <w:t> </w:t>
      </w:r>
      <w:r>
        <w:rPr>
          <w:sz w:val="20"/>
        </w:rPr>
        <w:t>almacenamiento,</w:t>
      </w:r>
      <w:r>
        <w:rPr>
          <w:spacing w:val="-1"/>
          <w:sz w:val="20"/>
        </w:rPr>
        <w:t> </w:t>
      </w:r>
      <w:r>
        <w:rPr>
          <w:sz w:val="20"/>
        </w:rPr>
        <w:t>distribución y transporte de insecticidas orgánicos fosforados; labores de saneamiento ambiental; control de plagas y vectores, y en labores agrícolas vía manual y con aeronaves. Personas trabajadoras en actividades como anestesiólogos, fumigadores aéreos, ingenieros agrónomos, personas trabajadoras del campo en contacto con insecticidas y personal de fumigación.</w:t>
      </w:r>
    </w:p>
    <w:p>
      <w:pPr>
        <w:pStyle w:val="ListParagraph"/>
        <w:numPr>
          <w:ilvl w:val="2"/>
          <w:numId w:val="160"/>
        </w:numPr>
        <w:tabs>
          <w:tab w:pos="1045" w:val="left" w:leader="none"/>
          <w:tab w:pos="1058" w:val="left" w:leader="none"/>
        </w:tabs>
        <w:spacing w:line="240" w:lineRule="auto" w:before="227" w:after="0"/>
        <w:ind w:left="1058" w:right="34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6" w:after="0"/>
        <w:ind w:left="1069" w:right="0" w:hanging="443"/>
        <w:jc w:val="left"/>
      </w:pPr>
      <w:r>
        <w:rPr/>
        <w:t>Daño</w:t>
      </w:r>
      <w:r>
        <w:rPr>
          <w:spacing w:val="-9"/>
        </w:rPr>
        <w:t> </w:t>
      </w:r>
      <w:r>
        <w:rPr/>
        <w:t>auditivo</w:t>
      </w:r>
      <w:r>
        <w:rPr>
          <w:spacing w:val="-7"/>
        </w:rPr>
        <w:t> </w:t>
      </w:r>
      <w:r>
        <w:rPr/>
        <w:t>por</w:t>
      </w:r>
      <w:r>
        <w:rPr>
          <w:spacing w:val="-7"/>
        </w:rPr>
        <w:t> </w:t>
      </w:r>
      <w:r>
        <w:rPr/>
        <w:t>ototóxicos</w:t>
      </w:r>
      <w:r>
        <w:rPr>
          <w:spacing w:val="-8"/>
        </w:rPr>
        <w:t> </w:t>
      </w:r>
      <w:r>
        <w:rPr/>
        <w:t>(hipoacusia</w:t>
      </w:r>
      <w:r>
        <w:rPr>
          <w:spacing w:val="-6"/>
        </w:rPr>
        <w:t> </w:t>
      </w:r>
      <w:r>
        <w:rPr/>
        <w:t>y</w:t>
      </w:r>
      <w:r>
        <w:rPr>
          <w:spacing w:val="-7"/>
        </w:rPr>
        <w:t> </w:t>
      </w:r>
      <w:r>
        <w:rPr/>
        <w:t>vestibulopatías</w:t>
      </w:r>
      <w:r>
        <w:rPr>
          <w:spacing w:val="-8"/>
        </w:rPr>
        <w:t> </w:t>
      </w:r>
      <w:r>
        <w:rPr/>
        <w:t>por</w:t>
      </w:r>
      <w:r>
        <w:rPr>
          <w:spacing w:val="-5"/>
        </w:rPr>
        <w:t> </w:t>
      </w:r>
      <w:r>
        <w:rPr>
          <w:spacing w:val="-2"/>
        </w:rPr>
        <w:t>ototóxicos)</w:t>
      </w:r>
    </w:p>
    <w:p>
      <w:pPr>
        <w:pStyle w:val="BodyText"/>
        <w:spacing w:before="4"/>
        <w:rPr>
          <w:rFonts w:ascii="Arial"/>
          <w:b/>
        </w:rPr>
      </w:pPr>
    </w:p>
    <w:p>
      <w:pPr>
        <w:pStyle w:val="BodyText"/>
        <w:ind w:left="626"/>
      </w:pPr>
      <w:r>
        <w:rPr/>
        <w:t>Código</w:t>
      </w:r>
      <w:r>
        <w:rPr>
          <w:spacing w:val="-8"/>
        </w:rPr>
        <w:t> </w:t>
      </w:r>
      <w:r>
        <w:rPr/>
        <w:t>CIE-11:</w:t>
      </w:r>
      <w:r>
        <w:rPr>
          <w:spacing w:val="-4"/>
        </w:rPr>
        <w:t> </w:t>
      </w:r>
      <w:r>
        <w:rPr/>
        <w:t>Y</w:t>
      </w:r>
      <w:r>
        <w:rPr>
          <w:spacing w:val="-7"/>
        </w:rPr>
        <w:t> </w:t>
      </w:r>
      <w:r>
        <w:rPr/>
        <w:t>AB53;</w:t>
      </w:r>
      <w:r>
        <w:rPr>
          <w:spacing w:val="-6"/>
        </w:rPr>
        <w:t> </w:t>
      </w:r>
      <w:r>
        <w:rPr/>
        <w:t>AB32.5;</w:t>
      </w:r>
      <w:r>
        <w:rPr>
          <w:spacing w:val="-5"/>
        </w:rPr>
        <w:t> </w:t>
      </w:r>
      <w:r>
        <w:rPr>
          <w:spacing w:val="-2"/>
        </w:rPr>
        <w:t>AB32.Y</w:t>
      </w:r>
    </w:p>
    <w:p>
      <w:pPr>
        <w:pStyle w:val="ListParagraph"/>
        <w:numPr>
          <w:ilvl w:val="2"/>
          <w:numId w:val="160"/>
        </w:numPr>
        <w:tabs>
          <w:tab w:pos="1045" w:val="left" w:leader="none"/>
          <w:tab w:pos="1058" w:val="left" w:leader="none"/>
        </w:tabs>
        <w:spacing w:line="240" w:lineRule="auto" w:before="229" w:after="0"/>
        <w:ind w:left="1058" w:right="343" w:hanging="432"/>
        <w:jc w:val="both"/>
        <w:rPr>
          <w:sz w:val="20"/>
        </w:rPr>
      </w:pPr>
      <w:r>
        <w:rPr>
          <w:sz w:val="20"/>
        </w:rPr>
        <w:t>Personas trabajadoras expuestas en la agricultura, en las industrias química y farmacéutica, cristalería, cerámica, alfarería, a colorantes que contengan plomo, minería, imprenta, pinturas, textil, plástico, que utilicen aditivos con base a plomo y extracción de aceites, ceras y grasas.</w:t>
      </w:r>
    </w:p>
    <w:p>
      <w:pPr>
        <w:pStyle w:val="ListParagraph"/>
        <w:numPr>
          <w:ilvl w:val="2"/>
          <w:numId w:val="160"/>
        </w:numPr>
        <w:tabs>
          <w:tab w:pos="1045" w:val="left" w:leader="none"/>
          <w:tab w:pos="1058" w:val="left" w:leader="none"/>
        </w:tabs>
        <w:spacing w:line="240" w:lineRule="auto" w:before="229" w:after="0"/>
        <w:ind w:left="1058" w:right="339" w:hanging="432"/>
        <w:jc w:val="both"/>
        <w:rPr>
          <w:sz w:val="20"/>
        </w:rPr>
      </w:pPr>
      <w:r>
        <w:rPr>
          <w:sz w:val="20"/>
        </w:rPr>
        <w:t>Personas trabajadoras expuestas en la fabricación de acelerantes de vulcanización, caucho, amalgamas odontológicas, municiones de plomo, artículos pirotécnicos, plaguicidas, fungicidas, germicidas, rayón, tiocompuestos, xantatos, producción de compuestos cloro alcalinos y con disulfuro de carbono, tales como: celofán y esponjas artificiales. Personal de salud y de las fuerzas armadas.</w:t>
      </w:r>
    </w:p>
    <w:p>
      <w:pPr>
        <w:pStyle w:val="ListParagraph"/>
        <w:numPr>
          <w:ilvl w:val="2"/>
          <w:numId w:val="160"/>
        </w:numPr>
        <w:tabs>
          <w:tab w:pos="1045" w:val="left" w:leader="none"/>
          <w:tab w:pos="1058" w:val="left" w:leader="none"/>
        </w:tabs>
        <w:spacing w:line="240" w:lineRule="auto" w:before="227" w:after="0"/>
        <w:ind w:left="1058" w:right="342"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7" w:val="left" w:leader="none"/>
        </w:tabs>
        <w:spacing w:line="240" w:lineRule="auto" w:before="229" w:after="0"/>
        <w:ind w:left="1067" w:right="0" w:hanging="441"/>
        <w:jc w:val="left"/>
      </w:pPr>
      <w:r>
        <w:rPr/>
        <w:t>Trastornos</w:t>
      </w:r>
      <w:r>
        <w:rPr>
          <w:spacing w:val="-7"/>
        </w:rPr>
        <w:t> </w:t>
      </w:r>
      <w:r>
        <w:rPr/>
        <w:t>del</w:t>
      </w:r>
      <w:r>
        <w:rPr>
          <w:spacing w:val="-6"/>
        </w:rPr>
        <w:t> </w:t>
      </w:r>
      <w:r>
        <w:rPr/>
        <w:t>nervio</w:t>
      </w:r>
      <w:r>
        <w:rPr>
          <w:spacing w:val="-6"/>
        </w:rPr>
        <w:t> </w:t>
      </w:r>
      <w:r>
        <w:rPr>
          <w:spacing w:val="-2"/>
        </w:rPr>
        <w:t>óptico</w:t>
      </w:r>
    </w:p>
    <w:p>
      <w:pPr>
        <w:pStyle w:val="Heading3"/>
        <w:spacing w:after="0" w:line="240" w:lineRule="auto"/>
        <w:jc w:val="left"/>
        <w:sectPr>
          <w:pgSz w:w="12240" w:h="15840"/>
          <w:pgMar w:header="724" w:footer="712" w:top="1880" w:bottom="900" w:left="1080" w:right="1080"/>
        </w:sectPr>
      </w:pPr>
    </w:p>
    <w:p>
      <w:pPr>
        <w:pStyle w:val="BodyText"/>
        <w:rPr>
          <w:rFonts w:ascii="Arial"/>
          <w:b/>
        </w:rPr>
      </w:pPr>
    </w:p>
    <w:p>
      <w:pPr>
        <w:pStyle w:val="BodyText"/>
        <w:spacing w:before="66"/>
        <w:rPr>
          <w:rFonts w:ascii="Arial"/>
          <w:b/>
        </w:rPr>
      </w:pPr>
    </w:p>
    <w:p>
      <w:pPr>
        <w:pStyle w:val="BodyText"/>
        <w:ind w:left="626"/>
      </w:pPr>
      <w:r>
        <w:rPr/>
        <w:t>Código</w:t>
      </w:r>
      <w:r>
        <w:rPr>
          <w:spacing w:val="-8"/>
        </w:rPr>
        <w:t> </w:t>
      </w:r>
      <w:r>
        <w:rPr/>
        <w:t>CIE-11:</w:t>
      </w:r>
      <w:r>
        <w:rPr>
          <w:spacing w:val="-6"/>
        </w:rPr>
        <w:t> </w:t>
      </w:r>
      <w:r>
        <w:rPr/>
        <w:t>9C40.1,</w:t>
      </w:r>
      <w:r>
        <w:rPr>
          <w:spacing w:val="-7"/>
        </w:rPr>
        <w:t> </w:t>
      </w:r>
      <w:r>
        <w:rPr/>
        <w:t>9C40.Z,</w:t>
      </w:r>
      <w:r>
        <w:rPr>
          <w:spacing w:val="-7"/>
        </w:rPr>
        <w:t> </w:t>
      </w:r>
      <w:r>
        <w:rPr/>
        <w:t>XK9J,</w:t>
      </w:r>
      <w:r>
        <w:rPr>
          <w:spacing w:val="-6"/>
        </w:rPr>
        <w:t> </w:t>
      </w:r>
      <w:r>
        <w:rPr/>
        <w:t>XK8G,</w:t>
      </w:r>
      <w:r>
        <w:rPr>
          <w:spacing w:val="-7"/>
        </w:rPr>
        <w:t> </w:t>
      </w:r>
      <w:r>
        <w:rPr/>
        <w:t>XK9K,</w:t>
      </w:r>
      <w:r>
        <w:rPr>
          <w:spacing w:val="-3"/>
        </w:rPr>
        <w:t> </w:t>
      </w:r>
      <w:r>
        <w:rPr>
          <w:spacing w:val="-4"/>
        </w:rPr>
        <w:t>XK70</w:t>
      </w:r>
    </w:p>
    <w:p>
      <w:pPr>
        <w:pStyle w:val="ListParagraph"/>
        <w:numPr>
          <w:ilvl w:val="2"/>
          <w:numId w:val="160"/>
        </w:numPr>
        <w:tabs>
          <w:tab w:pos="1045" w:val="left" w:leader="none"/>
          <w:tab w:pos="1058" w:val="left" w:leader="none"/>
        </w:tabs>
        <w:spacing w:line="240" w:lineRule="auto" w:before="229" w:after="0"/>
        <w:ind w:left="1058" w:right="340" w:hanging="432"/>
        <w:jc w:val="both"/>
        <w:rPr>
          <w:sz w:val="20"/>
        </w:rPr>
      </w:pPr>
      <w:r>
        <w:rPr>
          <w:sz w:val="20"/>
        </w:rPr>
        <w:t>Personas trabajadoras expuestas a los agentes causales en la agricultura e industrias química, textil y minera.</w:t>
      </w:r>
    </w:p>
    <w:p>
      <w:pPr>
        <w:pStyle w:val="ListParagraph"/>
        <w:numPr>
          <w:ilvl w:val="2"/>
          <w:numId w:val="160"/>
        </w:numPr>
        <w:tabs>
          <w:tab w:pos="1045" w:val="left" w:leader="none"/>
          <w:tab w:pos="1058" w:val="left" w:leader="none"/>
        </w:tabs>
        <w:spacing w:line="240" w:lineRule="auto" w:before="228" w:after="0"/>
        <w:ind w:left="1058" w:right="345" w:hanging="432"/>
        <w:jc w:val="both"/>
        <w:rPr>
          <w:sz w:val="20"/>
        </w:rPr>
      </w:pPr>
      <w:r>
        <w:rPr>
          <w:sz w:val="20"/>
        </w:rPr>
        <w:t>Personas trabajadoras expuestas durante la producción del disulfuro de carbono, celofán, rayón, disolventes, caucho, esponjas artificiales, extracción de aceites, grasas y</w:t>
      </w:r>
      <w:r>
        <w:rPr>
          <w:spacing w:val="-1"/>
          <w:sz w:val="20"/>
        </w:rPr>
        <w:t> </w:t>
      </w:r>
      <w:r>
        <w:rPr>
          <w:sz w:val="20"/>
        </w:rPr>
        <w:t>ceras, lacas, adhesivos para</w:t>
      </w:r>
      <w:r>
        <w:rPr>
          <w:spacing w:val="-3"/>
          <w:sz w:val="20"/>
        </w:rPr>
        <w:t> </w:t>
      </w:r>
      <w:r>
        <w:rPr>
          <w:sz w:val="20"/>
        </w:rPr>
        <w:t>madera, agentes</w:t>
      </w:r>
      <w:r>
        <w:rPr>
          <w:spacing w:val="-2"/>
          <w:sz w:val="20"/>
        </w:rPr>
        <w:t> </w:t>
      </w:r>
      <w:r>
        <w:rPr>
          <w:sz w:val="20"/>
        </w:rPr>
        <w:t>de</w:t>
      </w:r>
      <w:r>
        <w:rPr>
          <w:spacing w:val="-3"/>
          <w:sz w:val="20"/>
        </w:rPr>
        <w:t> </w:t>
      </w:r>
      <w:r>
        <w:rPr>
          <w:sz w:val="20"/>
        </w:rPr>
        <w:t>flotación,</w:t>
      </w:r>
      <w:r>
        <w:rPr>
          <w:spacing w:val="-1"/>
          <w:sz w:val="20"/>
        </w:rPr>
        <w:t> </w:t>
      </w:r>
      <w:r>
        <w:rPr>
          <w:sz w:val="20"/>
        </w:rPr>
        <w:t>acelerantes</w:t>
      </w:r>
      <w:r>
        <w:rPr>
          <w:spacing w:val="-2"/>
          <w:sz w:val="20"/>
        </w:rPr>
        <w:t> </w:t>
      </w:r>
      <w:r>
        <w:rPr>
          <w:sz w:val="20"/>
        </w:rPr>
        <w:t>de</w:t>
      </w:r>
      <w:r>
        <w:rPr>
          <w:spacing w:val="-1"/>
          <w:sz w:val="20"/>
        </w:rPr>
        <w:t> </w:t>
      </w:r>
      <w:r>
        <w:rPr>
          <w:sz w:val="20"/>
        </w:rPr>
        <w:t>vulcanización,</w:t>
      </w:r>
      <w:r>
        <w:rPr>
          <w:spacing w:val="-1"/>
          <w:sz w:val="20"/>
        </w:rPr>
        <w:t> </w:t>
      </w:r>
      <w:r>
        <w:rPr>
          <w:sz w:val="20"/>
        </w:rPr>
        <w:t>plaguicidas,</w:t>
      </w:r>
      <w:r>
        <w:rPr>
          <w:spacing w:val="-3"/>
          <w:sz w:val="20"/>
        </w:rPr>
        <w:t> </w:t>
      </w:r>
      <w:r>
        <w:rPr>
          <w:sz w:val="20"/>
        </w:rPr>
        <w:t>resinas,</w:t>
      </w:r>
      <w:r>
        <w:rPr>
          <w:spacing w:val="-1"/>
          <w:sz w:val="20"/>
        </w:rPr>
        <w:t> </w:t>
      </w:r>
      <w:r>
        <w:rPr>
          <w:sz w:val="20"/>
        </w:rPr>
        <w:t>tiocianatos y xantatos.</w:t>
      </w:r>
    </w:p>
    <w:p>
      <w:pPr>
        <w:pStyle w:val="ListParagraph"/>
        <w:numPr>
          <w:ilvl w:val="2"/>
          <w:numId w:val="160"/>
        </w:numPr>
        <w:tabs>
          <w:tab w:pos="1045" w:val="left" w:leader="none"/>
          <w:tab w:pos="1058" w:val="left" w:leader="none"/>
        </w:tabs>
        <w:spacing w:line="240" w:lineRule="auto" w:before="229" w:after="0"/>
        <w:ind w:left="1058" w:right="339" w:hanging="432"/>
        <w:jc w:val="both"/>
        <w:rPr>
          <w:sz w:val="20"/>
        </w:rPr>
      </w:pPr>
      <w:r>
        <w:rPr>
          <w:sz w:val="20"/>
        </w:rPr>
        <w:t>Personas</w:t>
      </w:r>
      <w:r>
        <w:rPr>
          <w:spacing w:val="-3"/>
          <w:sz w:val="20"/>
        </w:rPr>
        <w:t> </w:t>
      </w:r>
      <w:r>
        <w:rPr>
          <w:sz w:val="20"/>
        </w:rPr>
        <w:t>trabajadoras</w:t>
      </w:r>
      <w:r>
        <w:rPr>
          <w:spacing w:val="-2"/>
          <w:sz w:val="20"/>
        </w:rPr>
        <w:t> </w:t>
      </w:r>
      <w:r>
        <w:rPr>
          <w:sz w:val="20"/>
        </w:rPr>
        <w:t>expuestas</w:t>
      </w:r>
      <w:r>
        <w:rPr>
          <w:spacing w:val="-3"/>
          <w:sz w:val="20"/>
        </w:rPr>
        <w:t> </w:t>
      </w:r>
      <w:r>
        <w:rPr>
          <w:sz w:val="20"/>
        </w:rPr>
        <w:t>al</w:t>
      </w:r>
      <w:r>
        <w:rPr>
          <w:spacing w:val="-5"/>
          <w:sz w:val="20"/>
        </w:rPr>
        <w:t> </w:t>
      </w:r>
      <w:r>
        <w:rPr>
          <w:sz w:val="20"/>
        </w:rPr>
        <w:t>talio</w:t>
      </w:r>
      <w:r>
        <w:rPr>
          <w:spacing w:val="-4"/>
          <w:sz w:val="20"/>
        </w:rPr>
        <w:t> </w:t>
      </w:r>
      <w:r>
        <w:rPr>
          <w:sz w:val="20"/>
        </w:rPr>
        <w:t>en</w:t>
      </w:r>
      <w:r>
        <w:rPr>
          <w:spacing w:val="-4"/>
          <w:sz w:val="20"/>
        </w:rPr>
        <w:t> </w:t>
      </w:r>
      <w:r>
        <w:rPr>
          <w:sz w:val="20"/>
        </w:rPr>
        <w:t>la</w:t>
      </w:r>
      <w:r>
        <w:rPr>
          <w:spacing w:val="-4"/>
          <w:sz w:val="20"/>
        </w:rPr>
        <w:t> </w:t>
      </w:r>
      <w:r>
        <w:rPr>
          <w:sz w:val="20"/>
        </w:rPr>
        <w:t>fabricación</w:t>
      </w:r>
      <w:r>
        <w:rPr>
          <w:spacing w:val="-5"/>
          <w:sz w:val="20"/>
        </w:rPr>
        <w:t> </w:t>
      </w:r>
      <w:r>
        <w:rPr>
          <w:sz w:val="20"/>
        </w:rPr>
        <w:t>de</w:t>
      </w:r>
      <w:r>
        <w:rPr>
          <w:spacing w:val="-4"/>
          <w:sz w:val="20"/>
        </w:rPr>
        <w:t> </w:t>
      </w:r>
      <w:r>
        <w:rPr>
          <w:sz w:val="20"/>
        </w:rPr>
        <w:t>células</w:t>
      </w:r>
      <w:r>
        <w:rPr>
          <w:spacing w:val="-3"/>
          <w:sz w:val="20"/>
        </w:rPr>
        <w:t> </w:t>
      </w:r>
      <w:r>
        <w:rPr>
          <w:sz w:val="20"/>
        </w:rPr>
        <w:t>fotoeléctricas,</w:t>
      </w:r>
      <w:r>
        <w:rPr>
          <w:spacing w:val="-4"/>
          <w:sz w:val="20"/>
        </w:rPr>
        <w:t> </w:t>
      </w:r>
      <w:r>
        <w:rPr>
          <w:sz w:val="20"/>
        </w:rPr>
        <w:t>vidrios</w:t>
      </w:r>
      <w:r>
        <w:rPr>
          <w:spacing w:val="-3"/>
          <w:sz w:val="20"/>
        </w:rPr>
        <w:t> </w:t>
      </w:r>
      <w:r>
        <w:rPr>
          <w:sz w:val="20"/>
        </w:rPr>
        <w:t>ópticos en la aplicación de los espectrofotómetros, del papel celofán, lámparas de tungsteno, obtención de piedras preciosas artificiales, raticidas, termómetros y en su utilización como catalizador en la activación del fósforo.</w:t>
      </w:r>
    </w:p>
    <w:p>
      <w:pPr>
        <w:pStyle w:val="BodyText"/>
      </w:pPr>
    </w:p>
    <w:p>
      <w:pPr>
        <w:pStyle w:val="ListParagraph"/>
        <w:numPr>
          <w:ilvl w:val="2"/>
          <w:numId w:val="160"/>
        </w:numPr>
        <w:tabs>
          <w:tab w:pos="1045" w:val="left" w:leader="none"/>
          <w:tab w:pos="1058" w:val="left" w:leader="none"/>
        </w:tabs>
        <w:spacing w:line="240" w:lineRule="auto" w:before="0" w:after="0"/>
        <w:ind w:left="1058" w:right="337" w:hanging="432"/>
        <w:jc w:val="both"/>
        <w:rPr>
          <w:sz w:val="20"/>
        </w:rPr>
      </w:pPr>
      <w:r>
        <w:rPr>
          <w:sz w:val="20"/>
        </w:rPr>
        <w:t>Personas trabajadoras expuestas al plomo en las industrias del plástico que utilicen aditivos a base de plomo, alfarería artesanal, cerámica, cristalería, macillas, pinturas y colorantes que contengan el citado metal.</w:t>
      </w:r>
    </w:p>
    <w:p>
      <w:pPr>
        <w:pStyle w:val="ListParagraph"/>
        <w:numPr>
          <w:ilvl w:val="2"/>
          <w:numId w:val="160"/>
        </w:numPr>
        <w:tabs>
          <w:tab w:pos="1045" w:val="left" w:leader="none"/>
          <w:tab w:pos="1058" w:val="left" w:leader="none"/>
        </w:tabs>
        <w:spacing w:line="240" w:lineRule="auto" w:before="229" w:after="0"/>
        <w:ind w:left="1058" w:right="347" w:hanging="432"/>
        <w:jc w:val="both"/>
        <w:rPr>
          <w:sz w:val="20"/>
        </w:rPr>
      </w:pPr>
      <w:r>
        <w:rPr>
          <w:sz w:val="20"/>
        </w:rPr>
        <w:t>Personas trabajadoras en actividades de albayalde, barnices, cerámica, envolturas de cables, esmaltes, lacas, preparación de carburantes y fundición de plomo.</w:t>
      </w:r>
    </w:p>
    <w:p>
      <w:pPr>
        <w:pStyle w:val="ListParagraph"/>
        <w:numPr>
          <w:ilvl w:val="2"/>
          <w:numId w:val="160"/>
        </w:numPr>
        <w:tabs>
          <w:tab w:pos="1045" w:val="left" w:leader="none"/>
          <w:tab w:pos="1058" w:val="left" w:leader="none"/>
        </w:tabs>
        <w:spacing w:line="240" w:lineRule="auto" w:before="228" w:after="0"/>
        <w:ind w:left="1058" w:right="342" w:hanging="432"/>
        <w:jc w:val="both"/>
        <w:rPr>
          <w:sz w:val="20"/>
        </w:rPr>
      </w:pPr>
      <w:r>
        <w:rPr>
          <w:sz w:val="20"/>
        </w:rPr>
        <w:t>Personas trabajadoras expuestas en la fabricación de cajas para conservas, acumuladores, insecticidas, juguetes, pigmentos, tubos de plomo, plomo orgánico, artículos pirotécnicos, y fabricación y manipulación de productos de limpieza.</w:t>
      </w:r>
    </w:p>
    <w:p>
      <w:pPr>
        <w:pStyle w:val="ListParagraph"/>
        <w:numPr>
          <w:ilvl w:val="2"/>
          <w:numId w:val="160"/>
        </w:numPr>
        <w:tabs>
          <w:tab w:pos="1045" w:val="left" w:leader="none"/>
          <w:tab w:pos="1058" w:val="left" w:leader="none"/>
        </w:tabs>
        <w:spacing w:line="240" w:lineRule="auto" w:before="229" w:after="0"/>
        <w:ind w:left="1058" w:right="345" w:hanging="432"/>
        <w:jc w:val="both"/>
        <w:rPr>
          <w:sz w:val="20"/>
        </w:rPr>
      </w:pPr>
      <w:r>
        <w:rPr>
          <w:sz w:val="20"/>
        </w:rPr>
        <w:t>Personas trabajadoras expuestas que laboran en fábricas de blindaje de material radioactivo, en la industria militar, en las refinerías de gasolina con plomo y</w:t>
      </w:r>
      <w:r>
        <w:rPr>
          <w:spacing w:val="-1"/>
          <w:sz w:val="20"/>
        </w:rPr>
        <w:t> </w:t>
      </w:r>
      <w:r>
        <w:rPr>
          <w:sz w:val="20"/>
        </w:rPr>
        <w:t>en los surtidores de gasolina.</w:t>
      </w:r>
    </w:p>
    <w:p>
      <w:pPr>
        <w:pStyle w:val="ListParagraph"/>
        <w:numPr>
          <w:ilvl w:val="2"/>
          <w:numId w:val="160"/>
        </w:numPr>
        <w:tabs>
          <w:tab w:pos="1045" w:val="left" w:leader="none"/>
          <w:tab w:pos="1058" w:val="left" w:leader="none"/>
        </w:tabs>
        <w:spacing w:line="240" w:lineRule="auto" w:before="228" w:after="0"/>
        <w:ind w:left="1058" w:right="342" w:hanging="432"/>
        <w:jc w:val="both"/>
        <w:rPr>
          <w:sz w:val="20"/>
        </w:rPr>
      </w:pPr>
      <w:r>
        <w:rPr>
          <w:sz w:val="20"/>
        </w:rPr>
        <w:t>Personas trabajadoras en actividades como: pintores, impresores, plomeros, soldadores de metales que contienen plomo, y personas trabajadoras que presentan exposición en ejercicio o con motivo del trabajo a los agentes causales.</w:t>
      </w:r>
    </w:p>
    <w:p>
      <w:pPr>
        <w:pStyle w:val="ListParagraph"/>
        <w:numPr>
          <w:ilvl w:val="2"/>
          <w:numId w:val="160"/>
        </w:numPr>
        <w:tabs>
          <w:tab w:pos="1045" w:val="left" w:leader="none"/>
          <w:tab w:pos="1058" w:val="left" w:leader="none"/>
        </w:tabs>
        <w:spacing w:line="240" w:lineRule="auto" w:before="229" w:after="0"/>
        <w:ind w:left="1058" w:right="33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7" w:val="left" w:leader="none"/>
        </w:tabs>
        <w:spacing w:line="240" w:lineRule="auto" w:before="226" w:after="0"/>
        <w:ind w:left="1067" w:right="0" w:hanging="441"/>
        <w:jc w:val="left"/>
      </w:pPr>
      <w:r>
        <w:rPr/>
        <w:t>Trastorno</w:t>
      </w:r>
      <w:r>
        <w:rPr>
          <w:spacing w:val="-6"/>
        </w:rPr>
        <w:t> </w:t>
      </w:r>
      <w:r>
        <w:rPr/>
        <w:t>del</w:t>
      </w:r>
      <w:r>
        <w:rPr>
          <w:spacing w:val="-7"/>
        </w:rPr>
        <w:t> </w:t>
      </w:r>
      <w:r>
        <w:rPr/>
        <w:t>nervio</w:t>
      </w:r>
      <w:r>
        <w:rPr>
          <w:spacing w:val="-7"/>
        </w:rPr>
        <w:t> </w:t>
      </w:r>
      <w:r>
        <w:rPr>
          <w:spacing w:val="-2"/>
        </w:rPr>
        <w:t>trigémino</w:t>
      </w:r>
    </w:p>
    <w:p>
      <w:pPr>
        <w:pStyle w:val="BodyText"/>
        <w:spacing w:before="3"/>
        <w:rPr>
          <w:rFonts w:ascii="Arial"/>
          <w:b/>
        </w:rPr>
      </w:pPr>
    </w:p>
    <w:p>
      <w:pPr>
        <w:pStyle w:val="BodyText"/>
        <w:spacing w:before="1"/>
        <w:ind w:left="626"/>
      </w:pPr>
      <w:r>
        <w:rPr/>
        <w:t>Código</w:t>
      </w:r>
      <w:r>
        <w:rPr>
          <w:spacing w:val="-8"/>
        </w:rPr>
        <w:t> </w:t>
      </w:r>
      <w:r>
        <w:rPr/>
        <w:t>CIE-11:</w:t>
      </w:r>
      <w:r>
        <w:rPr>
          <w:spacing w:val="-7"/>
        </w:rPr>
        <w:t> </w:t>
      </w:r>
      <w:r>
        <w:rPr/>
        <w:t>8B82,</w:t>
      </w:r>
      <w:r>
        <w:rPr>
          <w:spacing w:val="-7"/>
        </w:rPr>
        <w:t> </w:t>
      </w:r>
      <w:r>
        <w:rPr/>
        <w:t>XS5B,</w:t>
      </w:r>
      <w:r>
        <w:rPr>
          <w:spacing w:val="-7"/>
        </w:rPr>
        <w:t> </w:t>
      </w:r>
      <w:r>
        <w:rPr/>
        <w:t>XS5D,</w:t>
      </w:r>
      <w:r>
        <w:rPr>
          <w:spacing w:val="-7"/>
        </w:rPr>
        <w:t> </w:t>
      </w:r>
      <w:r>
        <w:rPr/>
        <w:t>XS9Q,</w:t>
      </w:r>
      <w:r>
        <w:rPr>
          <w:spacing w:val="-5"/>
        </w:rPr>
        <w:t> </w:t>
      </w:r>
      <w:r>
        <w:rPr>
          <w:spacing w:val="-4"/>
        </w:rPr>
        <w:t>XS2E</w:t>
      </w:r>
    </w:p>
    <w:p>
      <w:pPr>
        <w:pStyle w:val="ListParagraph"/>
        <w:numPr>
          <w:ilvl w:val="2"/>
          <w:numId w:val="160"/>
        </w:numPr>
        <w:tabs>
          <w:tab w:pos="1045" w:val="left" w:leader="none"/>
          <w:tab w:pos="1058" w:val="left" w:leader="none"/>
        </w:tabs>
        <w:spacing w:line="240" w:lineRule="auto" w:before="227" w:after="0"/>
        <w:ind w:left="1058" w:right="344" w:hanging="432"/>
        <w:jc w:val="both"/>
        <w:rPr>
          <w:sz w:val="20"/>
        </w:rPr>
      </w:pPr>
      <w:r>
        <w:rPr>
          <w:sz w:val="20"/>
        </w:rPr>
        <w:t>Personas</w:t>
      </w:r>
      <w:r>
        <w:rPr>
          <w:spacing w:val="-2"/>
          <w:sz w:val="20"/>
        </w:rPr>
        <w:t> </w:t>
      </w:r>
      <w:r>
        <w:rPr>
          <w:sz w:val="20"/>
        </w:rPr>
        <w:t>trabajadoras</w:t>
      </w:r>
      <w:r>
        <w:rPr>
          <w:spacing w:val="-2"/>
          <w:sz w:val="20"/>
        </w:rPr>
        <w:t> </w:t>
      </w:r>
      <w:r>
        <w:rPr>
          <w:sz w:val="20"/>
        </w:rPr>
        <w:t>expuestas</w:t>
      </w:r>
      <w:r>
        <w:rPr>
          <w:spacing w:val="-2"/>
          <w:sz w:val="20"/>
        </w:rPr>
        <w:t> </w:t>
      </w:r>
      <w:r>
        <w:rPr>
          <w:sz w:val="20"/>
        </w:rPr>
        <w:t>al</w:t>
      </w:r>
      <w:r>
        <w:rPr>
          <w:spacing w:val="-4"/>
          <w:sz w:val="20"/>
        </w:rPr>
        <w:t> </w:t>
      </w:r>
      <w:r>
        <w:rPr>
          <w:sz w:val="20"/>
        </w:rPr>
        <w:t>agente</w:t>
      </w:r>
      <w:r>
        <w:rPr>
          <w:spacing w:val="-3"/>
          <w:sz w:val="20"/>
        </w:rPr>
        <w:t> </w:t>
      </w:r>
      <w:r>
        <w:rPr>
          <w:sz w:val="20"/>
        </w:rPr>
        <w:t>causal</w:t>
      </w:r>
      <w:r>
        <w:rPr>
          <w:spacing w:val="-1"/>
          <w:sz w:val="20"/>
        </w:rPr>
        <w:t> </w:t>
      </w:r>
      <w:r>
        <w:rPr>
          <w:sz w:val="20"/>
        </w:rPr>
        <w:t>en</w:t>
      </w:r>
      <w:r>
        <w:rPr>
          <w:spacing w:val="-1"/>
          <w:sz w:val="20"/>
        </w:rPr>
        <w:t> </w:t>
      </w:r>
      <w:r>
        <w:rPr>
          <w:sz w:val="20"/>
        </w:rPr>
        <w:t>fábricas</w:t>
      </w:r>
      <w:r>
        <w:rPr>
          <w:spacing w:val="-2"/>
          <w:sz w:val="20"/>
        </w:rPr>
        <w:t> </w:t>
      </w:r>
      <w:r>
        <w:rPr>
          <w:sz w:val="20"/>
        </w:rPr>
        <w:t>de</w:t>
      </w:r>
      <w:r>
        <w:rPr>
          <w:spacing w:val="-4"/>
          <w:sz w:val="20"/>
        </w:rPr>
        <w:t> </w:t>
      </w:r>
      <w:r>
        <w:rPr>
          <w:sz w:val="20"/>
        </w:rPr>
        <w:t>artículos de</w:t>
      </w:r>
      <w:r>
        <w:rPr>
          <w:spacing w:val="-1"/>
          <w:sz w:val="20"/>
        </w:rPr>
        <w:t> </w:t>
      </w:r>
      <w:r>
        <w:rPr>
          <w:sz w:val="20"/>
        </w:rPr>
        <w:t>limpieza,</w:t>
      </w:r>
      <w:r>
        <w:rPr>
          <w:spacing w:val="-1"/>
          <w:sz w:val="20"/>
        </w:rPr>
        <w:t> </w:t>
      </w:r>
      <w:r>
        <w:rPr>
          <w:sz w:val="20"/>
        </w:rPr>
        <w:t>pinturas y de líquido corrector de escritura. Personas trabajadoras en actividades de limpieza de piezas metálicas, desengrasado, lavanderías y tintorerías.</w:t>
      </w:r>
    </w:p>
    <w:p>
      <w:pPr>
        <w:pStyle w:val="ListParagraph"/>
        <w:numPr>
          <w:ilvl w:val="2"/>
          <w:numId w:val="160"/>
        </w:numPr>
        <w:tabs>
          <w:tab w:pos="1045" w:val="left" w:leader="none"/>
          <w:tab w:pos="1058" w:val="left" w:leader="none"/>
        </w:tabs>
        <w:spacing w:line="240" w:lineRule="auto" w:before="228" w:after="0"/>
        <w:ind w:left="1058" w:right="34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w:t>
      </w:r>
      <w:r>
        <w:rPr>
          <w:spacing w:val="36"/>
          <w:sz w:val="20"/>
        </w:rPr>
        <w:t> </w:t>
      </w:r>
      <w:r>
        <w:rPr>
          <w:sz w:val="20"/>
        </w:rPr>
        <w:t>de</w:t>
      </w:r>
      <w:r>
        <w:rPr>
          <w:spacing w:val="38"/>
          <w:sz w:val="20"/>
        </w:rPr>
        <w:t> </w:t>
      </w:r>
      <w:r>
        <w:rPr>
          <w:sz w:val="20"/>
        </w:rPr>
        <w:t>las</w:t>
      </w:r>
      <w:r>
        <w:rPr>
          <w:spacing w:val="37"/>
          <w:sz w:val="20"/>
        </w:rPr>
        <w:t> </w:t>
      </w:r>
      <w:r>
        <w:rPr>
          <w:sz w:val="20"/>
        </w:rPr>
        <w:t>Cédulas</w:t>
      </w:r>
      <w:r>
        <w:rPr>
          <w:spacing w:val="39"/>
          <w:sz w:val="20"/>
        </w:rPr>
        <w:t> </w:t>
      </w:r>
      <w:r>
        <w:rPr>
          <w:sz w:val="20"/>
        </w:rPr>
        <w:t>para</w:t>
      </w:r>
      <w:r>
        <w:rPr>
          <w:spacing w:val="36"/>
          <w:sz w:val="20"/>
        </w:rPr>
        <w:t> </w:t>
      </w:r>
      <w:r>
        <w:rPr>
          <w:sz w:val="20"/>
        </w:rPr>
        <w:t>la</w:t>
      </w:r>
      <w:r>
        <w:rPr>
          <w:spacing w:val="36"/>
          <w:sz w:val="20"/>
        </w:rPr>
        <w:t> </w:t>
      </w:r>
      <w:r>
        <w:rPr>
          <w:sz w:val="20"/>
        </w:rPr>
        <w:t>Valuación</w:t>
      </w:r>
      <w:r>
        <w:rPr>
          <w:spacing w:val="36"/>
          <w:sz w:val="20"/>
        </w:rPr>
        <w:t> </w:t>
      </w:r>
      <w:r>
        <w:rPr>
          <w:sz w:val="20"/>
        </w:rPr>
        <w:t>de</w:t>
      </w:r>
      <w:r>
        <w:rPr>
          <w:spacing w:val="36"/>
          <w:sz w:val="20"/>
        </w:rPr>
        <w:t> </w:t>
      </w:r>
      <w:r>
        <w:rPr>
          <w:sz w:val="20"/>
        </w:rPr>
        <w:t>las</w:t>
      </w:r>
      <w:r>
        <w:rPr>
          <w:spacing w:val="39"/>
          <w:sz w:val="20"/>
        </w:rPr>
        <w:t> </w:t>
      </w:r>
      <w:r>
        <w:rPr>
          <w:sz w:val="20"/>
        </w:rPr>
        <w:t>Enfermedades</w:t>
      </w:r>
      <w:r>
        <w:rPr>
          <w:spacing w:val="37"/>
          <w:sz w:val="20"/>
        </w:rPr>
        <w:t> </w:t>
      </w:r>
      <w:r>
        <w:rPr>
          <w:sz w:val="20"/>
        </w:rPr>
        <w:t>de</w:t>
      </w:r>
      <w:r>
        <w:rPr>
          <w:spacing w:val="35"/>
          <w:sz w:val="20"/>
        </w:rPr>
        <w:t> </w:t>
      </w:r>
      <w:r>
        <w:rPr>
          <w:sz w:val="20"/>
        </w:rPr>
        <w:t>Trabajo,</w:t>
      </w:r>
      <w:r>
        <w:rPr>
          <w:spacing w:val="38"/>
          <w:sz w:val="20"/>
        </w:rPr>
        <w:t> </w:t>
      </w:r>
      <w:r>
        <w:rPr>
          <w:sz w:val="20"/>
        </w:rPr>
        <w:t>que</w:t>
      </w:r>
      <w:r>
        <w:rPr>
          <w:spacing w:val="36"/>
          <w:sz w:val="20"/>
        </w:rPr>
        <w:t> </w:t>
      </w:r>
      <w:r>
        <w:rPr>
          <w:sz w:val="20"/>
        </w:rPr>
        <w:t>tengan</w:t>
      </w:r>
      <w:r>
        <w:rPr>
          <w:spacing w:val="35"/>
          <w:sz w:val="20"/>
        </w:rPr>
        <w:t> </w:t>
      </w:r>
      <w:r>
        <w:rPr>
          <w:sz w:val="20"/>
        </w:rPr>
        <w:t>su</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058"/>
      </w:pPr>
      <w:r>
        <w:rPr/>
        <w:t>origen</w:t>
      </w:r>
      <w:r>
        <w:rPr>
          <w:spacing w:val="32"/>
        </w:rPr>
        <w:t> </w:t>
      </w:r>
      <w:r>
        <w:rPr/>
        <w:t>o</w:t>
      </w:r>
      <w:r>
        <w:rPr>
          <w:spacing w:val="34"/>
        </w:rPr>
        <w:t> </w:t>
      </w:r>
      <w:r>
        <w:rPr/>
        <w:t>con</w:t>
      </w:r>
      <w:r>
        <w:rPr>
          <w:spacing w:val="34"/>
        </w:rPr>
        <w:t> </w:t>
      </w:r>
      <w:r>
        <w:rPr/>
        <w:t>motivo</w:t>
      </w:r>
      <w:r>
        <w:rPr>
          <w:spacing w:val="34"/>
        </w:rPr>
        <w:t> </w:t>
      </w:r>
      <w:r>
        <w:rPr/>
        <w:t>del</w:t>
      </w:r>
      <w:r>
        <w:rPr>
          <w:spacing w:val="31"/>
        </w:rPr>
        <w:t> </w:t>
      </w:r>
      <w:r>
        <w:rPr/>
        <w:t>trabajo</w:t>
      </w:r>
      <w:r>
        <w:rPr>
          <w:spacing w:val="34"/>
        </w:rPr>
        <w:t> </w:t>
      </w:r>
      <w:r>
        <w:rPr/>
        <w:t>o</w:t>
      </w:r>
      <w:r>
        <w:rPr>
          <w:spacing w:val="32"/>
        </w:rPr>
        <w:t> </w:t>
      </w:r>
      <w:r>
        <w:rPr/>
        <w:t>en</w:t>
      </w:r>
      <w:r>
        <w:rPr>
          <w:spacing w:val="34"/>
        </w:rPr>
        <w:t> </w:t>
      </w:r>
      <w:r>
        <w:rPr/>
        <w:t>el</w:t>
      </w:r>
      <w:r>
        <w:rPr>
          <w:spacing w:val="33"/>
        </w:rPr>
        <w:t> </w:t>
      </w:r>
      <w:r>
        <w:rPr/>
        <w:t>medio</w:t>
      </w:r>
      <w:r>
        <w:rPr>
          <w:spacing w:val="32"/>
        </w:rPr>
        <w:t> </w:t>
      </w:r>
      <w:r>
        <w:rPr/>
        <w:t>que</w:t>
      </w:r>
      <w:r>
        <w:rPr>
          <w:spacing w:val="34"/>
        </w:rPr>
        <w:t> </w:t>
      </w:r>
      <w:r>
        <w:rPr/>
        <w:t>la</w:t>
      </w:r>
      <w:r>
        <w:rPr>
          <w:spacing w:val="32"/>
        </w:rPr>
        <w:t> </w:t>
      </w:r>
      <w:r>
        <w:rPr/>
        <w:t>persona</w:t>
      </w:r>
      <w:r>
        <w:rPr>
          <w:spacing w:val="34"/>
        </w:rPr>
        <w:t> </w:t>
      </w:r>
      <w:r>
        <w:rPr/>
        <w:t>trabajadora</w:t>
      </w:r>
      <w:r>
        <w:rPr>
          <w:spacing w:val="32"/>
        </w:rPr>
        <w:t> </w:t>
      </w:r>
      <w:r>
        <w:rPr/>
        <w:t>se</w:t>
      </w:r>
      <w:r>
        <w:rPr>
          <w:spacing w:val="37"/>
        </w:rPr>
        <w:t> </w:t>
      </w:r>
      <w:r>
        <w:rPr/>
        <w:t>vea</w:t>
      </w:r>
      <w:r>
        <w:rPr>
          <w:spacing w:val="34"/>
        </w:rPr>
        <w:t> </w:t>
      </w:r>
      <w:r>
        <w:rPr/>
        <w:t>obligada</w:t>
      </w:r>
      <w:r>
        <w:rPr>
          <w:spacing w:val="34"/>
        </w:rPr>
        <w:t> </w:t>
      </w:r>
      <w:r>
        <w:rPr/>
        <w:t>a prestar sus servicios.</w:t>
      </w:r>
    </w:p>
    <w:p>
      <w:pPr>
        <w:pStyle w:val="Heading3"/>
        <w:numPr>
          <w:ilvl w:val="1"/>
          <w:numId w:val="160"/>
        </w:numPr>
        <w:tabs>
          <w:tab w:pos="1093" w:val="left" w:leader="none"/>
        </w:tabs>
        <w:spacing w:line="240" w:lineRule="auto" w:before="229" w:after="0"/>
        <w:ind w:left="338" w:right="332" w:firstLine="288"/>
        <w:jc w:val="left"/>
      </w:pPr>
      <w:r>
        <w:rPr/>
        <w:t>Enfermedades infecciosas del oído externo, sin especificación (otitis externa infecciosa- otitis del nadador-)</w:t>
      </w:r>
    </w:p>
    <w:p>
      <w:pPr>
        <w:pStyle w:val="BodyText"/>
        <w:spacing w:before="1"/>
        <w:rPr>
          <w:rFonts w:ascii="Arial"/>
          <w:b/>
        </w:rPr>
      </w:pPr>
    </w:p>
    <w:p>
      <w:pPr>
        <w:pStyle w:val="BodyText"/>
        <w:ind w:left="626"/>
      </w:pPr>
      <w:r>
        <w:rPr/>
        <w:t>Código</w:t>
      </w:r>
      <w:r>
        <w:rPr>
          <w:spacing w:val="-8"/>
        </w:rPr>
        <w:t> </w:t>
      </w:r>
      <w:r>
        <w:rPr/>
        <w:t>CIE-11:</w:t>
      </w:r>
      <w:r>
        <w:rPr>
          <w:spacing w:val="-5"/>
        </w:rPr>
        <w:t> </w:t>
      </w:r>
      <w:r>
        <w:rPr/>
        <w:t>AA0Z,</w:t>
      </w:r>
      <w:r>
        <w:rPr>
          <w:spacing w:val="-7"/>
        </w:rPr>
        <w:t> </w:t>
      </w:r>
      <w:r>
        <w:rPr/>
        <w:t>XK9J,</w:t>
      </w:r>
      <w:r>
        <w:rPr>
          <w:spacing w:val="-7"/>
        </w:rPr>
        <w:t> </w:t>
      </w:r>
      <w:r>
        <w:rPr/>
        <w:t>XK8G,</w:t>
      </w:r>
      <w:r>
        <w:rPr>
          <w:spacing w:val="-7"/>
        </w:rPr>
        <w:t> </w:t>
      </w:r>
      <w:r>
        <w:rPr/>
        <w:t>XK9K,</w:t>
      </w:r>
      <w:r>
        <w:rPr>
          <w:spacing w:val="-7"/>
        </w:rPr>
        <w:t> </w:t>
      </w:r>
      <w:r>
        <w:rPr>
          <w:spacing w:val="-4"/>
        </w:rPr>
        <w:t>XK70</w:t>
      </w:r>
    </w:p>
    <w:p>
      <w:pPr>
        <w:pStyle w:val="BodyText"/>
      </w:pPr>
    </w:p>
    <w:p>
      <w:pPr>
        <w:pStyle w:val="ListParagraph"/>
        <w:numPr>
          <w:ilvl w:val="2"/>
          <w:numId w:val="160"/>
        </w:numPr>
        <w:tabs>
          <w:tab w:pos="1045" w:val="left" w:leader="none"/>
          <w:tab w:pos="1058" w:val="left" w:leader="none"/>
        </w:tabs>
        <w:spacing w:line="240" w:lineRule="auto" w:before="0" w:after="0"/>
        <w:ind w:left="1058" w:right="336" w:hanging="432"/>
        <w:jc w:val="both"/>
        <w:rPr>
          <w:sz w:val="20"/>
        </w:rPr>
      </w:pPr>
      <w:r>
        <w:rPr>
          <w:sz w:val="20"/>
        </w:rPr>
        <w:t>Personas trabajadoras en actividades acuáticas relacionadas con</w:t>
      </w:r>
      <w:r>
        <w:rPr>
          <w:spacing w:val="-1"/>
          <w:sz w:val="20"/>
        </w:rPr>
        <w:t> </w:t>
      </w:r>
      <w:r>
        <w:rPr>
          <w:sz w:val="20"/>
        </w:rPr>
        <w:t>inmersión</w:t>
      </w:r>
      <w:r>
        <w:rPr>
          <w:spacing w:val="-1"/>
          <w:sz w:val="20"/>
        </w:rPr>
        <w:t> </w:t>
      </w:r>
      <w:r>
        <w:rPr>
          <w:sz w:val="20"/>
        </w:rPr>
        <w:t>en agua</w:t>
      </w:r>
      <w:r>
        <w:rPr>
          <w:spacing w:val="-1"/>
          <w:sz w:val="20"/>
        </w:rPr>
        <w:t> </w:t>
      </w:r>
      <w:r>
        <w:rPr>
          <w:sz w:val="20"/>
        </w:rPr>
        <w:t>como</w:t>
      </w:r>
      <w:r>
        <w:rPr>
          <w:spacing w:val="-1"/>
          <w:sz w:val="20"/>
        </w:rPr>
        <w:t> </w:t>
      </w:r>
      <w:r>
        <w:rPr>
          <w:sz w:val="20"/>
        </w:rPr>
        <w:t>buzos excepto recreativo, maestros de natación, nadadores profesionales, clavadistas y personas trabajadoras acuícolas.</w:t>
      </w:r>
    </w:p>
    <w:p>
      <w:pPr>
        <w:pStyle w:val="ListParagraph"/>
        <w:numPr>
          <w:ilvl w:val="2"/>
          <w:numId w:val="160"/>
        </w:numPr>
        <w:tabs>
          <w:tab w:pos="1045" w:val="left" w:leader="none"/>
          <w:tab w:pos="1058" w:val="left" w:leader="none"/>
        </w:tabs>
        <w:spacing w:line="240" w:lineRule="auto" w:before="229" w:after="0"/>
        <w:ind w:left="1058" w:right="343"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7" w:val="left" w:leader="none"/>
        </w:tabs>
        <w:spacing w:line="240" w:lineRule="auto" w:before="229" w:after="0"/>
        <w:ind w:left="1067" w:right="0" w:hanging="441"/>
        <w:jc w:val="left"/>
      </w:pPr>
      <w:r>
        <w:rPr/>
        <w:t>Otitis</w:t>
      </w:r>
      <w:r>
        <w:rPr>
          <w:spacing w:val="-7"/>
        </w:rPr>
        <w:t> </w:t>
      </w:r>
      <w:r>
        <w:rPr/>
        <w:t>media</w:t>
      </w:r>
      <w:r>
        <w:rPr>
          <w:spacing w:val="-6"/>
        </w:rPr>
        <w:t> </w:t>
      </w:r>
      <w:r>
        <w:rPr/>
        <w:t>supurativa,</w:t>
      </w:r>
      <w:r>
        <w:rPr>
          <w:spacing w:val="-8"/>
        </w:rPr>
        <w:t> </w:t>
      </w:r>
      <w:r>
        <w:rPr/>
        <w:t>tubo</w:t>
      </w:r>
      <w:r>
        <w:rPr>
          <w:spacing w:val="-7"/>
        </w:rPr>
        <w:t> </w:t>
      </w:r>
      <w:r>
        <w:rPr/>
        <w:t>timpánico</w:t>
      </w:r>
      <w:r>
        <w:rPr>
          <w:spacing w:val="-8"/>
        </w:rPr>
        <w:t> </w:t>
      </w:r>
      <w:r>
        <w:rPr>
          <w:spacing w:val="-2"/>
        </w:rPr>
        <w:t>crónico</w:t>
      </w:r>
    </w:p>
    <w:p>
      <w:pPr>
        <w:pStyle w:val="BodyText"/>
        <w:rPr>
          <w:rFonts w:ascii="Arial"/>
          <w:b/>
        </w:rPr>
      </w:pPr>
    </w:p>
    <w:p>
      <w:pPr>
        <w:pStyle w:val="BodyText"/>
        <w:ind w:left="626"/>
      </w:pPr>
      <w:r>
        <w:rPr/>
        <w:t>Código</w:t>
      </w:r>
      <w:r>
        <w:rPr>
          <w:spacing w:val="-10"/>
        </w:rPr>
        <w:t> </w:t>
      </w:r>
      <w:r>
        <w:rPr/>
        <w:t>CIE-11:</w:t>
      </w:r>
      <w:r>
        <w:rPr>
          <w:spacing w:val="-7"/>
        </w:rPr>
        <w:t> </w:t>
      </w:r>
      <w:r>
        <w:rPr>
          <w:spacing w:val="-2"/>
        </w:rPr>
        <w:t>AA91.0</w:t>
      </w:r>
    </w:p>
    <w:p>
      <w:pPr>
        <w:pStyle w:val="BodyText"/>
      </w:pPr>
    </w:p>
    <w:p>
      <w:pPr>
        <w:pStyle w:val="ListParagraph"/>
        <w:numPr>
          <w:ilvl w:val="2"/>
          <w:numId w:val="160"/>
        </w:numPr>
        <w:tabs>
          <w:tab w:pos="1045" w:val="left" w:leader="none"/>
          <w:tab w:pos="1058" w:val="left" w:leader="none"/>
        </w:tabs>
        <w:spacing w:line="240" w:lineRule="auto" w:before="0" w:after="0"/>
        <w:ind w:left="1058" w:right="338" w:hanging="432"/>
        <w:jc w:val="both"/>
        <w:rPr>
          <w:sz w:val="20"/>
        </w:rPr>
      </w:pPr>
      <w:r>
        <w:rPr>
          <w:sz w:val="20"/>
        </w:rPr>
        <w:t>Personas trabajadoras expuestas a cambios repetidos de presión barométrica en actividades como</w:t>
      </w:r>
      <w:r>
        <w:rPr>
          <w:spacing w:val="-1"/>
          <w:sz w:val="20"/>
        </w:rPr>
        <w:t> </w:t>
      </w:r>
      <w:r>
        <w:rPr>
          <w:sz w:val="20"/>
        </w:rPr>
        <w:t>buceo excepto recreativo, exploradores, guías de</w:t>
      </w:r>
      <w:r>
        <w:rPr>
          <w:spacing w:val="-1"/>
          <w:sz w:val="20"/>
        </w:rPr>
        <w:t> </w:t>
      </w:r>
      <w:r>
        <w:rPr>
          <w:sz w:val="20"/>
        </w:rPr>
        <w:t>alpinismo,</w:t>
      </w:r>
      <w:r>
        <w:rPr>
          <w:spacing w:val="-1"/>
          <w:sz w:val="20"/>
        </w:rPr>
        <w:t> </w:t>
      </w:r>
      <w:r>
        <w:rPr>
          <w:sz w:val="20"/>
        </w:rPr>
        <w:t>investigadores, paleontólogos, pilotos, rescatistas, sobrecargos, mineros subterráneos, personas trabajadoras subacuáticos y </w:t>
      </w:r>
      <w:r>
        <w:rPr>
          <w:spacing w:val="-2"/>
          <w:sz w:val="20"/>
        </w:rPr>
        <w:t>aeroespaciales.</w:t>
      </w:r>
    </w:p>
    <w:p>
      <w:pPr>
        <w:pStyle w:val="ListParagraph"/>
        <w:numPr>
          <w:ilvl w:val="2"/>
          <w:numId w:val="160"/>
        </w:numPr>
        <w:tabs>
          <w:tab w:pos="1045" w:val="left" w:leader="none"/>
          <w:tab w:pos="1058" w:val="left" w:leader="none"/>
        </w:tabs>
        <w:spacing w:line="240" w:lineRule="auto" w:before="229" w:after="0"/>
        <w:ind w:left="1058" w:right="343"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7" w:val="left" w:leader="none"/>
        </w:tabs>
        <w:spacing w:line="240" w:lineRule="auto" w:before="226" w:after="0"/>
        <w:ind w:left="1067" w:right="0" w:hanging="441"/>
        <w:jc w:val="left"/>
      </w:pPr>
      <w:r>
        <w:rPr/>
        <w:t>Otitis</w:t>
      </w:r>
      <w:r>
        <w:rPr>
          <w:spacing w:val="-7"/>
        </w:rPr>
        <w:t> </w:t>
      </w:r>
      <w:r>
        <w:rPr/>
        <w:t>media</w:t>
      </w:r>
      <w:r>
        <w:rPr>
          <w:spacing w:val="-6"/>
        </w:rPr>
        <w:t> </w:t>
      </w:r>
      <w:r>
        <w:rPr/>
        <w:t>no</w:t>
      </w:r>
      <w:r>
        <w:rPr>
          <w:spacing w:val="-7"/>
        </w:rPr>
        <w:t> </w:t>
      </w:r>
      <w:r>
        <w:rPr/>
        <w:t>supurativa</w:t>
      </w:r>
      <w:r>
        <w:rPr>
          <w:spacing w:val="-8"/>
        </w:rPr>
        <w:t> </w:t>
      </w:r>
      <w:r>
        <w:rPr/>
        <w:t>sin</w:t>
      </w:r>
      <w:r>
        <w:rPr>
          <w:spacing w:val="-8"/>
        </w:rPr>
        <w:t> </w:t>
      </w:r>
      <w:r>
        <w:rPr/>
        <w:t>especificación</w:t>
      </w:r>
      <w:r>
        <w:rPr>
          <w:spacing w:val="-7"/>
        </w:rPr>
        <w:t> </w:t>
      </w:r>
      <w:r>
        <w:rPr/>
        <w:t>(otitis</w:t>
      </w:r>
      <w:r>
        <w:rPr>
          <w:spacing w:val="-9"/>
        </w:rPr>
        <w:t> </w:t>
      </w:r>
      <w:r>
        <w:rPr/>
        <w:t>media</w:t>
      </w:r>
      <w:r>
        <w:rPr>
          <w:spacing w:val="-6"/>
        </w:rPr>
        <w:t> </w:t>
      </w:r>
      <w:r>
        <w:rPr>
          <w:spacing w:val="-2"/>
        </w:rPr>
        <w:t>serosa)</w:t>
      </w:r>
    </w:p>
    <w:p>
      <w:pPr>
        <w:pStyle w:val="BodyText"/>
        <w:spacing w:before="3"/>
        <w:rPr>
          <w:rFonts w:ascii="Arial"/>
          <w:b/>
        </w:rPr>
      </w:pPr>
    </w:p>
    <w:p>
      <w:pPr>
        <w:pStyle w:val="BodyText"/>
        <w:spacing w:before="1"/>
        <w:ind w:left="626"/>
      </w:pPr>
      <w:r>
        <w:rPr/>
        <w:t>Código</w:t>
      </w:r>
      <w:r>
        <w:rPr>
          <w:spacing w:val="-10"/>
        </w:rPr>
        <w:t> </w:t>
      </w:r>
      <w:r>
        <w:rPr/>
        <w:t>CIE-11:</w:t>
      </w:r>
      <w:r>
        <w:rPr>
          <w:spacing w:val="-7"/>
        </w:rPr>
        <w:t> </w:t>
      </w:r>
      <w:r>
        <w:rPr>
          <w:spacing w:val="-4"/>
        </w:rPr>
        <w:t>AA8Z</w:t>
      </w:r>
    </w:p>
    <w:p>
      <w:pPr>
        <w:pStyle w:val="ListParagraph"/>
        <w:numPr>
          <w:ilvl w:val="2"/>
          <w:numId w:val="160"/>
        </w:numPr>
        <w:tabs>
          <w:tab w:pos="1045" w:val="left" w:leader="none"/>
          <w:tab w:pos="1058" w:val="left" w:leader="none"/>
        </w:tabs>
        <w:spacing w:line="240" w:lineRule="auto" w:before="229" w:after="0"/>
        <w:ind w:left="1058" w:right="346" w:hanging="432"/>
        <w:jc w:val="both"/>
        <w:rPr>
          <w:sz w:val="20"/>
        </w:rPr>
      </w:pPr>
      <w:r>
        <w:rPr>
          <w:sz w:val="20"/>
        </w:rPr>
        <w:t>Personas trabajadoras expuestas a temperaturas, gases, nieblas o vapores de sustancias irritantes, sensibilizantes (amoníaco o cloro), humedad y velocidad de aire excesivos.</w:t>
      </w:r>
    </w:p>
    <w:p>
      <w:pPr>
        <w:pStyle w:val="ListParagraph"/>
        <w:numPr>
          <w:ilvl w:val="2"/>
          <w:numId w:val="160"/>
        </w:numPr>
        <w:tabs>
          <w:tab w:pos="1045" w:val="left" w:leader="none"/>
          <w:tab w:pos="1058" w:val="left" w:leader="none"/>
        </w:tabs>
        <w:spacing w:line="240" w:lineRule="auto" w:before="228" w:after="0"/>
        <w:ind w:left="1058" w:right="33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7" w:val="left" w:leader="none"/>
        </w:tabs>
        <w:spacing w:line="240" w:lineRule="auto" w:before="227" w:after="0"/>
        <w:ind w:left="1067" w:right="0" w:hanging="441"/>
        <w:jc w:val="left"/>
      </w:pPr>
      <w:r>
        <w:rPr/>
        <w:t>Otitis</w:t>
      </w:r>
      <w:r>
        <w:rPr>
          <w:spacing w:val="-6"/>
        </w:rPr>
        <w:t> </w:t>
      </w:r>
      <w:r>
        <w:rPr/>
        <w:t>media</w:t>
      </w:r>
      <w:r>
        <w:rPr>
          <w:spacing w:val="-5"/>
        </w:rPr>
        <w:t> </w:t>
      </w:r>
      <w:r>
        <w:rPr/>
        <w:t>supurativa</w:t>
      </w:r>
      <w:r>
        <w:rPr>
          <w:spacing w:val="-7"/>
        </w:rPr>
        <w:t> </w:t>
      </w:r>
      <w:r>
        <w:rPr/>
        <w:t>sin</w:t>
      </w:r>
      <w:r>
        <w:rPr>
          <w:spacing w:val="-7"/>
        </w:rPr>
        <w:t> </w:t>
      </w:r>
      <w:r>
        <w:rPr>
          <w:spacing w:val="-2"/>
        </w:rPr>
        <w:t>especificación</w:t>
      </w:r>
    </w:p>
    <w:p>
      <w:pPr>
        <w:pStyle w:val="BodyText"/>
        <w:spacing w:before="3"/>
        <w:rPr>
          <w:rFonts w:ascii="Arial"/>
          <w:b/>
        </w:rPr>
      </w:pPr>
    </w:p>
    <w:p>
      <w:pPr>
        <w:pStyle w:val="BodyText"/>
        <w:ind w:left="626"/>
      </w:pPr>
      <w:r>
        <w:rPr/>
        <w:t>Código</w:t>
      </w:r>
      <w:r>
        <w:rPr>
          <w:spacing w:val="-10"/>
        </w:rPr>
        <w:t> </w:t>
      </w:r>
      <w:r>
        <w:rPr/>
        <w:t>CIE-11:</w:t>
      </w:r>
      <w:r>
        <w:rPr>
          <w:spacing w:val="-7"/>
        </w:rPr>
        <w:t> </w:t>
      </w:r>
      <w:r>
        <w:rPr>
          <w:spacing w:val="-4"/>
        </w:rPr>
        <w:t>AA9Z</w:t>
      </w:r>
    </w:p>
    <w:p>
      <w:pPr>
        <w:pStyle w:val="BodyText"/>
        <w:spacing w:after="0"/>
        <w:sectPr>
          <w:pgSz w:w="12240" w:h="15840"/>
          <w:pgMar w:header="724" w:footer="712" w:top="1880" w:bottom="900" w:left="1080" w:right="1080"/>
        </w:sectPr>
      </w:pPr>
    </w:p>
    <w:p>
      <w:pPr>
        <w:pStyle w:val="BodyText"/>
        <w:spacing w:before="66"/>
      </w:pPr>
    </w:p>
    <w:p>
      <w:pPr>
        <w:pStyle w:val="ListParagraph"/>
        <w:numPr>
          <w:ilvl w:val="2"/>
          <w:numId w:val="160"/>
        </w:numPr>
        <w:tabs>
          <w:tab w:pos="1045" w:val="left" w:leader="none"/>
          <w:tab w:pos="1058" w:val="left" w:leader="none"/>
        </w:tabs>
        <w:spacing w:line="240" w:lineRule="auto" w:before="0" w:after="0"/>
        <w:ind w:left="1058" w:right="342" w:hanging="432"/>
        <w:jc w:val="both"/>
        <w:rPr>
          <w:sz w:val="20"/>
        </w:rPr>
      </w:pPr>
      <w:r>
        <w:rPr>
          <w:sz w:val="20"/>
        </w:rPr>
        <w:t>Personas trabajadoras en actividades acuáticas relacionadas con inmersión en agua como</w:t>
      </w:r>
      <w:r>
        <w:rPr>
          <w:spacing w:val="40"/>
          <w:sz w:val="20"/>
        </w:rPr>
        <w:t> </w:t>
      </w:r>
      <w:r>
        <w:rPr>
          <w:sz w:val="20"/>
        </w:rPr>
        <w:t>buzos, investigadores marinos, maestros de natación, nadadores profesionales, clavadistas y personas trabajadoras acuícolas.</w:t>
      </w:r>
    </w:p>
    <w:p>
      <w:pPr>
        <w:pStyle w:val="ListParagraph"/>
        <w:numPr>
          <w:ilvl w:val="2"/>
          <w:numId w:val="160"/>
        </w:numPr>
        <w:tabs>
          <w:tab w:pos="1045" w:val="left" w:leader="none"/>
          <w:tab w:pos="1058" w:val="left" w:leader="none"/>
        </w:tabs>
        <w:spacing w:line="240" w:lineRule="auto" w:before="229" w:after="0"/>
        <w:ind w:left="1058" w:right="33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74" w:val="left" w:leader="none"/>
        </w:tabs>
        <w:spacing w:line="240" w:lineRule="auto" w:before="226" w:after="0"/>
        <w:ind w:left="338" w:right="346" w:firstLine="288"/>
        <w:jc w:val="left"/>
      </w:pPr>
      <w:r>
        <w:rPr/>
        <w:t>Trastornos de la función vestibular, sin especificación (enfermedad trastorno del laberinto del oído por vibraciones)</w:t>
      </w:r>
    </w:p>
    <w:p>
      <w:pPr>
        <w:pStyle w:val="BodyText"/>
        <w:spacing w:before="2"/>
        <w:rPr>
          <w:rFonts w:ascii="Arial"/>
          <w:b/>
        </w:rPr>
      </w:pPr>
    </w:p>
    <w:p>
      <w:pPr>
        <w:pStyle w:val="BodyText"/>
        <w:ind w:left="626"/>
      </w:pPr>
      <w:r>
        <w:rPr/>
        <w:t>Código</w:t>
      </w:r>
      <w:r>
        <w:rPr>
          <w:spacing w:val="-10"/>
        </w:rPr>
        <w:t> </w:t>
      </w:r>
      <w:r>
        <w:rPr/>
        <w:t>CIE-11:</w:t>
      </w:r>
      <w:r>
        <w:rPr>
          <w:spacing w:val="-7"/>
        </w:rPr>
        <w:t> </w:t>
      </w:r>
      <w:r>
        <w:rPr>
          <w:spacing w:val="-2"/>
        </w:rPr>
        <w:t>AB34.Z</w:t>
      </w:r>
    </w:p>
    <w:p>
      <w:pPr>
        <w:pStyle w:val="ListParagraph"/>
        <w:numPr>
          <w:ilvl w:val="2"/>
          <w:numId w:val="160"/>
        </w:numPr>
        <w:tabs>
          <w:tab w:pos="1045" w:val="left" w:leader="none"/>
          <w:tab w:pos="1058" w:val="left" w:leader="none"/>
        </w:tabs>
        <w:spacing w:line="240" w:lineRule="auto" w:before="229" w:after="0"/>
        <w:ind w:left="1058" w:right="338" w:hanging="432"/>
        <w:jc w:val="both"/>
        <w:rPr>
          <w:sz w:val="20"/>
        </w:rPr>
      </w:pPr>
      <w:r>
        <w:rPr>
          <w:sz w:val="20"/>
        </w:rPr>
        <w:t>Personas trabajadoras con exposición prolongada a vibraciones de cuerpo entero durante la operación de carretillas, elevadoras, camiones articulados y no articulados, ciclomotores, furgonetas,</w:t>
      </w:r>
      <w:r>
        <w:rPr>
          <w:spacing w:val="-3"/>
          <w:sz w:val="20"/>
        </w:rPr>
        <w:t> </w:t>
      </w:r>
      <w:r>
        <w:rPr>
          <w:sz w:val="20"/>
        </w:rPr>
        <w:t>autobuses,</w:t>
      </w:r>
      <w:r>
        <w:rPr>
          <w:spacing w:val="-5"/>
          <w:sz w:val="20"/>
        </w:rPr>
        <w:t> </w:t>
      </w:r>
      <w:r>
        <w:rPr>
          <w:sz w:val="20"/>
        </w:rPr>
        <w:t>tranvías,</w:t>
      </w:r>
      <w:r>
        <w:rPr>
          <w:spacing w:val="-5"/>
          <w:sz w:val="20"/>
        </w:rPr>
        <w:t> </w:t>
      </w:r>
      <w:r>
        <w:rPr>
          <w:sz w:val="20"/>
        </w:rPr>
        <w:t>tractores,</w:t>
      </w:r>
      <w:r>
        <w:rPr>
          <w:spacing w:val="-5"/>
          <w:sz w:val="20"/>
        </w:rPr>
        <w:t> </w:t>
      </w:r>
      <w:r>
        <w:rPr>
          <w:sz w:val="20"/>
        </w:rPr>
        <w:t>ferrocarriles,</w:t>
      </w:r>
      <w:r>
        <w:rPr>
          <w:spacing w:val="-5"/>
          <w:sz w:val="20"/>
        </w:rPr>
        <w:t> </w:t>
      </w:r>
      <w:r>
        <w:rPr>
          <w:sz w:val="20"/>
        </w:rPr>
        <w:t>vehículos</w:t>
      </w:r>
      <w:r>
        <w:rPr>
          <w:spacing w:val="-4"/>
          <w:sz w:val="20"/>
        </w:rPr>
        <w:t> </w:t>
      </w:r>
      <w:r>
        <w:rPr>
          <w:sz w:val="20"/>
        </w:rPr>
        <w:t>de</w:t>
      </w:r>
      <w:r>
        <w:rPr>
          <w:spacing w:val="-3"/>
          <w:sz w:val="20"/>
        </w:rPr>
        <w:t> </w:t>
      </w:r>
      <w:r>
        <w:rPr>
          <w:sz w:val="20"/>
        </w:rPr>
        <w:t>combate</w:t>
      </w:r>
      <w:r>
        <w:rPr>
          <w:spacing w:val="-6"/>
          <w:sz w:val="20"/>
        </w:rPr>
        <w:t> </w:t>
      </w:r>
      <w:r>
        <w:rPr>
          <w:sz w:val="20"/>
        </w:rPr>
        <w:t>blindado,</w:t>
      </w:r>
      <w:r>
        <w:rPr>
          <w:spacing w:val="-5"/>
          <w:sz w:val="20"/>
        </w:rPr>
        <w:t> </w:t>
      </w:r>
      <w:r>
        <w:rPr>
          <w:sz w:val="20"/>
        </w:rPr>
        <w:t>vehículos todo terreno, embarcaciones de alta velocidad, aeronaves de alas rígidas, aeroespaciales y helicópteros. Asimismo, personas trabajadoras que usan máquinas forestales, maquinaría de minas y canteras, maquinaría de movimiento de tierra, tales como: bulldozers, cargadoras, cucharas de arrastre, excavadoras, motoniveladoras, rodillos compactadores y volquetes. Operadores de simuladores visuales de base fija o pantallas gigantes.</w:t>
      </w:r>
    </w:p>
    <w:p>
      <w:pPr>
        <w:pStyle w:val="ListParagraph"/>
        <w:numPr>
          <w:ilvl w:val="2"/>
          <w:numId w:val="160"/>
        </w:numPr>
        <w:tabs>
          <w:tab w:pos="1045" w:val="left" w:leader="none"/>
          <w:tab w:pos="1058" w:val="left" w:leader="none"/>
        </w:tabs>
        <w:spacing w:line="240" w:lineRule="auto" w:before="229" w:after="0"/>
        <w:ind w:left="1058" w:right="33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w:t>
      </w:r>
      <w:r>
        <w:rPr>
          <w:spacing w:val="40"/>
          <w:sz w:val="20"/>
        </w:rPr>
        <w:t> </w:t>
      </w:r>
      <w:r>
        <w:rPr>
          <w:sz w:val="20"/>
        </w:rPr>
        <w:t>origen o con motivo del trabajo o en el medio que la persona trabajadora se vea obligada a prestar sus servicios.</w:t>
      </w:r>
    </w:p>
    <w:p>
      <w:pPr>
        <w:pStyle w:val="Heading3"/>
        <w:numPr>
          <w:ilvl w:val="1"/>
          <w:numId w:val="160"/>
        </w:numPr>
        <w:tabs>
          <w:tab w:pos="1067" w:val="left" w:leader="none"/>
        </w:tabs>
        <w:spacing w:line="240" w:lineRule="auto" w:before="228" w:after="0"/>
        <w:ind w:left="1067" w:right="0" w:hanging="441"/>
        <w:jc w:val="left"/>
      </w:pPr>
      <w:r>
        <w:rPr/>
        <w:t>Otra</w:t>
      </w:r>
      <w:r>
        <w:rPr>
          <w:spacing w:val="-8"/>
        </w:rPr>
        <w:t> </w:t>
      </w:r>
      <w:r>
        <w:rPr/>
        <w:t>parálisis</w:t>
      </w:r>
      <w:r>
        <w:rPr>
          <w:spacing w:val="-7"/>
        </w:rPr>
        <w:t> </w:t>
      </w:r>
      <w:r>
        <w:rPr/>
        <w:t>especificada</w:t>
      </w:r>
      <w:r>
        <w:rPr>
          <w:spacing w:val="-7"/>
        </w:rPr>
        <w:t> </w:t>
      </w:r>
      <w:r>
        <w:rPr/>
        <w:t>del</w:t>
      </w:r>
      <w:r>
        <w:rPr>
          <w:spacing w:val="-6"/>
        </w:rPr>
        <w:t> </w:t>
      </w:r>
      <w:r>
        <w:rPr/>
        <w:t>tercer</w:t>
      </w:r>
      <w:r>
        <w:rPr>
          <w:spacing w:val="-9"/>
        </w:rPr>
        <w:t> </w:t>
      </w:r>
      <w:r>
        <w:rPr/>
        <w:t>par</w:t>
      </w:r>
      <w:r>
        <w:rPr>
          <w:spacing w:val="-8"/>
        </w:rPr>
        <w:t> </w:t>
      </w:r>
      <w:r>
        <w:rPr/>
        <w:t>(implica</w:t>
      </w:r>
      <w:r>
        <w:rPr>
          <w:spacing w:val="-9"/>
        </w:rPr>
        <w:t> </w:t>
      </w:r>
      <w:r>
        <w:rPr/>
        <w:t>nervio</w:t>
      </w:r>
      <w:r>
        <w:rPr>
          <w:spacing w:val="-7"/>
        </w:rPr>
        <w:t> </w:t>
      </w:r>
      <w:r>
        <w:rPr/>
        <w:t>óculo</w:t>
      </w:r>
      <w:r>
        <w:rPr>
          <w:spacing w:val="-7"/>
        </w:rPr>
        <w:t> </w:t>
      </w:r>
      <w:r>
        <w:rPr>
          <w:spacing w:val="-2"/>
        </w:rPr>
        <w:t>motor)</w:t>
      </w:r>
    </w:p>
    <w:p>
      <w:pPr>
        <w:pStyle w:val="BodyText"/>
        <w:spacing w:before="1"/>
        <w:rPr>
          <w:rFonts w:ascii="Arial"/>
          <w:b/>
        </w:rPr>
      </w:pPr>
    </w:p>
    <w:p>
      <w:pPr>
        <w:pStyle w:val="BodyText"/>
        <w:ind w:left="626"/>
      </w:pPr>
      <w:r>
        <w:rPr/>
        <w:t>Código</w:t>
      </w:r>
      <w:r>
        <w:rPr>
          <w:spacing w:val="-9"/>
        </w:rPr>
        <w:t> </w:t>
      </w:r>
      <w:r>
        <w:rPr/>
        <w:t>CIE-11:</w:t>
      </w:r>
      <w:r>
        <w:rPr>
          <w:spacing w:val="-8"/>
        </w:rPr>
        <w:t> </w:t>
      </w:r>
      <w:r>
        <w:rPr/>
        <w:t>9C81.0Y,</w:t>
      </w:r>
      <w:r>
        <w:rPr>
          <w:spacing w:val="-6"/>
        </w:rPr>
        <w:t> </w:t>
      </w:r>
      <w:r>
        <w:rPr/>
        <w:t>XK9J,</w:t>
      </w:r>
      <w:r>
        <w:rPr>
          <w:spacing w:val="-7"/>
        </w:rPr>
        <w:t> </w:t>
      </w:r>
      <w:r>
        <w:rPr/>
        <w:t>XK8G,</w:t>
      </w:r>
      <w:r>
        <w:rPr>
          <w:spacing w:val="-6"/>
        </w:rPr>
        <w:t> </w:t>
      </w:r>
      <w:r>
        <w:rPr/>
        <w:t>XK9K,</w:t>
      </w:r>
      <w:r>
        <w:rPr>
          <w:spacing w:val="-8"/>
        </w:rPr>
        <w:t> </w:t>
      </w:r>
      <w:r>
        <w:rPr>
          <w:spacing w:val="-4"/>
        </w:rPr>
        <w:t>XK70</w:t>
      </w:r>
    </w:p>
    <w:p>
      <w:pPr>
        <w:pStyle w:val="ListParagraph"/>
        <w:numPr>
          <w:ilvl w:val="2"/>
          <w:numId w:val="160"/>
        </w:numPr>
        <w:tabs>
          <w:tab w:pos="1045" w:val="left" w:leader="none"/>
          <w:tab w:pos="1058" w:val="left" w:leader="none"/>
        </w:tabs>
        <w:spacing w:line="240" w:lineRule="auto" w:before="230" w:after="0"/>
        <w:ind w:left="1058" w:right="341" w:hanging="432"/>
        <w:jc w:val="both"/>
        <w:rPr>
          <w:sz w:val="20"/>
        </w:rPr>
      </w:pPr>
      <w:r>
        <w:rPr>
          <w:sz w:val="20"/>
        </w:rPr>
        <w:t>Personas trabajadoras expuestas en las industrias química, petroquímica, acero y gasera. Asimismo, personas trabajadoras expuestas en la producción de cálcica, cianida, cianamida y dicianidamida,</w:t>
      </w:r>
      <w:r>
        <w:rPr>
          <w:spacing w:val="-5"/>
          <w:sz w:val="20"/>
        </w:rPr>
        <w:t> </w:t>
      </w:r>
      <w:r>
        <w:rPr>
          <w:sz w:val="20"/>
        </w:rPr>
        <w:t>celulosa,</w:t>
      </w:r>
      <w:r>
        <w:rPr>
          <w:spacing w:val="-5"/>
          <w:sz w:val="20"/>
        </w:rPr>
        <w:t> </w:t>
      </w:r>
      <w:r>
        <w:rPr>
          <w:sz w:val="20"/>
        </w:rPr>
        <w:t>cianógeno,</w:t>
      </w:r>
      <w:r>
        <w:rPr>
          <w:spacing w:val="-3"/>
          <w:sz w:val="20"/>
        </w:rPr>
        <w:t> </w:t>
      </w:r>
      <w:r>
        <w:rPr>
          <w:sz w:val="20"/>
        </w:rPr>
        <w:t>amonio,</w:t>
      </w:r>
      <w:r>
        <w:rPr>
          <w:spacing w:val="-5"/>
          <w:sz w:val="20"/>
        </w:rPr>
        <w:t> </w:t>
      </w:r>
      <w:r>
        <w:rPr>
          <w:sz w:val="20"/>
        </w:rPr>
        <w:t>acrilato,</w:t>
      </w:r>
      <w:r>
        <w:rPr>
          <w:spacing w:val="-5"/>
          <w:sz w:val="20"/>
        </w:rPr>
        <w:t> </w:t>
      </w:r>
      <w:r>
        <w:rPr>
          <w:sz w:val="20"/>
        </w:rPr>
        <w:t>compuestos</w:t>
      </w:r>
      <w:r>
        <w:rPr>
          <w:spacing w:val="-4"/>
          <w:sz w:val="20"/>
        </w:rPr>
        <w:t> </w:t>
      </w:r>
      <w:r>
        <w:rPr>
          <w:sz w:val="20"/>
        </w:rPr>
        <w:t>nitrogenados y</w:t>
      </w:r>
      <w:r>
        <w:rPr>
          <w:spacing w:val="-6"/>
          <w:sz w:val="20"/>
        </w:rPr>
        <w:t> </w:t>
      </w:r>
      <w:r>
        <w:rPr>
          <w:sz w:val="20"/>
        </w:rPr>
        <w:t>en</w:t>
      </w:r>
      <w:r>
        <w:rPr>
          <w:spacing w:val="-6"/>
          <w:sz w:val="20"/>
        </w:rPr>
        <w:t> </w:t>
      </w:r>
      <w:r>
        <w:rPr>
          <w:sz w:val="20"/>
        </w:rPr>
        <w:t>la</w:t>
      </w:r>
      <w:r>
        <w:rPr>
          <w:spacing w:val="-5"/>
          <w:sz w:val="20"/>
        </w:rPr>
        <w:t> </w:t>
      </w:r>
      <w:r>
        <w:rPr>
          <w:sz w:val="20"/>
        </w:rPr>
        <w:t>síntesis</w:t>
      </w:r>
      <w:r>
        <w:rPr>
          <w:spacing w:val="-4"/>
          <w:sz w:val="20"/>
        </w:rPr>
        <w:t> </w:t>
      </w:r>
      <w:r>
        <w:rPr>
          <w:sz w:val="20"/>
        </w:rPr>
        <w:t>de químicos orgánicos.</w:t>
      </w:r>
    </w:p>
    <w:p>
      <w:pPr>
        <w:pStyle w:val="ListParagraph"/>
        <w:numPr>
          <w:ilvl w:val="2"/>
          <w:numId w:val="160"/>
        </w:numPr>
        <w:tabs>
          <w:tab w:pos="1045" w:val="left" w:leader="none"/>
          <w:tab w:pos="1058" w:val="left" w:leader="none"/>
        </w:tabs>
        <w:spacing w:line="240" w:lineRule="auto" w:before="229" w:after="0"/>
        <w:ind w:left="1058" w:right="339" w:hanging="432"/>
        <w:jc w:val="both"/>
        <w:rPr>
          <w:sz w:val="20"/>
        </w:rPr>
      </w:pPr>
      <w:r>
        <w:rPr>
          <w:sz w:val="20"/>
        </w:rPr>
        <w:t>Personas trabajadoras en contacto con defoliantes de las plantas de algodón, fertilizantes, germicidas, plaguicidas y en la extracción de oro y plata.</w:t>
      </w:r>
    </w:p>
    <w:p>
      <w:pPr>
        <w:pStyle w:val="ListParagraph"/>
        <w:numPr>
          <w:ilvl w:val="2"/>
          <w:numId w:val="160"/>
        </w:numPr>
        <w:tabs>
          <w:tab w:pos="1045" w:val="left" w:leader="none"/>
          <w:tab w:pos="1058" w:val="left" w:leader="none"/>
        </w:tabs>
        <w:spacing w:line="240" w:lineRule="auto" w:before="228" w:after="0"/>
        <w:ind w:left="1058" w:right="339" w:hanging="432"/>
        <w:jc w:val="both"/>
        <w:rPr>
          <w:sz w:val="20"/>
        </w:rPr>
      </w:pPr>
      <w:r>
        <w:rPr>
          <w:sz w:val="20"/>
        </w:rPr>
        <w:t>Personas trabajadoras en la agricultura, personas campesinas, granjeras, ingenieras agrónomas, joyeras, pulidores de metal y personas trabajadoras que presentan exposición en ejercicio o con motivo del trabajo al agente causal.</w:t>
      </w:r>
    </w:p>
    <w:p>
      <w:pPr>
        <w:pStyle w:val="ListParagraph"/>
        <w:numPr>
          <w:ilvl w:val="2"/>
          <w:numId w:val="160"/>
        </w:numPr>
        <w:tabs>
          <w:tab w:pos="1045" w:val="left" w:leader="none"/>
          <w:tab w:pos="1058" w:val="left" w:leader="none"/>
        </w:tabs>
        <w:spacing w:line="240" w:lineRule="auto" w:before="229" w:after="0"/>
        <w:ind w:left="1058" w:right="33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3"/>
      </w:pPr>
    </w:p>
    <w:p>
      <w:pPr>
        <w:pStyle w:val="Heading3"/>
        <w:numPr>
          <w:ilvl w:val="1"/>
          <w:numId w:val="160"/>
        </w:numPr>
        <w:tabs>
          <w:tab w:pos="1069" w:val="left" w:leader="none"/>
        </w:tabs>
        <w:spacing w:line="240" w:lineRule="auto" w:before="0" w:after="0"/>
        <w:ind w:left="1069" w:right="0" w:hanging="443"/>
        <w:jc w:val="left"/>
      </w:pPr>
      <w:r>
        <w:rPr>
          <w:spacing w:val="-2"/>
        </w:rPr>
        <w:t>Pterigión</w:t>
      </w:r>
    </w:p>
    <w:p>
      <w:pPr>
        <w:pStyle w:val="BodyText"/>
        <w:spacing w:before="3"/>
        <w:rPr>
          <w:rFonts w:ascii="Arial"/>
          <w:b/>
        </w:rPr>
      </w:pPr>
    </w:p>
    <w:p>
      <w:pPr>
        <w:pStyle w:val="BodyText"/>
        <w:ind w:left="626"/>
      </w:pPr>
      <w:r>
        <w:rPr/>
        <w:t>Código</w:t>
      </w:r>
      <w:r>
        <w:rPr>
          <w:spacing w:val="-10"/>
        </w:rPr>
        <w:t> </w:t>
      </w:r>
      <w:r>
        <w:rPr/>
        <w:t>CIE-11:</w:t>
      </w:r>
      <w:r>
        <w:rPr>
          <w:spacing w:val="-9"/>
        </w:rPr>
        <w:t> </w:t>
      </w:r>
      <w:r>
        <w:rPr>
          <w:spacing w:val="-2"/>
        </w:rPr>
        <w:t>9A61.1</w:t>
      </w:r>
    </w:p>
    <w:p>
      <w:pPr>
        <w:pStyle w:val="ListParagraph"/>
        <w:numPr>
          <w:ilvl w:val="2"/>
          <w:numId w:val="160"/>
        </w:numPr>
        <w:tabs>
          <w:tab w:pos="1045" w:val="left" w:leader="none"/>
          <w:tab w:pos="1058" w:val="left" w:leader="none"/>
        </w:tabs>
        <w:spacing w:line="240" w:lineRule="auto" w:before="230" w:after="0"/>
        <w:ind w:left="1058" w:right="336" w:hanging="432"/>
        <w:jc w:val="both"/>
        <w:rPr>
          <w:sz w:val="20"/>
        </w:rPr>
      </w:pPr>
      <w:r>
        <w:rPr>
          <w:sz w:val="20"/>
        </w:rPr>
        <w:t>Personas trabajadoras expuestas a vapores de mercurio; a la acción del ácido sulfhídrico (hidrógeno sulfurado); a la fabricación de sal, fibras artificiales a partir de la celulosa y vidriera. Personas trabajadoras expuestas a radiaciones ionizantes y no ionizantes durante la fabricación</w:t>
      </w:r>
      <w:r>
        <w:rPr>
          <w:spacing w:val="40"/>
          <w:sz w:val="20"/>
        </w:rPr>
        <w:t> </w:t>
      </w:r>
      <w:r>
        <w:rPr>
          <w:sz w:val="20"/>
        </w:rPr>
        <w:t>y manipulación de aparatos de rayos X y otras fuentes de energía radiante; personas</w:t>
      </w:r>
      <w:r>
        <w:rPr>
          <w:spacing w:val="40"/>
          <w:sz w:val="20"/>
        </w:rPr>
        <w:t> </w:t>
      </w:r>
      <w:r>
        <w:rPr>
          <w:sz w:val="20"/>
        </w:rPr>
        <w:t>trabajadoras que utilizan lámparas de arco y lámparas incandescentes de mercurio. Asimismo, personal expuesto a radiación ultravioleta solar.</w:t>
      </w:r>
    </w:p>
    <w:p>
      <w:pPr>
        <w:pStyle w:val="ListParagraph"/>
        <w:numPr>
          <w:ilvl w:val="2"/>
          <w:numId w:val="160"/>
        </w:numPr>
        <w:tabs>
          <w:tab w:pos="1045" w:val="left" w:leader="none"/>
          <w:tab w:pos="1058" w:val="left" w:leader="none"/>
        </w:tabs>
        <w:spacing w:line="240" w:lineRule="auto" w:before="227" w:after="0"/>
        <w:ind w:left="1058" w:right="336" w:hanging="432"/>
        <w:jc w:val="both"/>
        <w:rPr>
          <w:sz w:val="20"/>
        </w:rPr>
      </w:pPr>
      <w:r>
        <w:rPr>
          <w:sz w:val="20"/>
        </w:rPr>
        <w:t>Personas trabajadoras como artistas, cinematógrafos, campesinos, fundidores, soldadores, granjeros, herreros, hojalateros, horneros, ingenieros agrónomos, laminadores, letrineros, metalúrgicos, panaderos, poceros, radiólogos y personas trabajadoras que presentan exposición en ejercicio o con motivo del trabajo a los agentes causales.</w:t>
      </w:r>
    </w:p>
    <w:p>
      <w:pPr>
        <w:pStyle w:val="ListParagraph"/>
        <w:numPr>
          <w:ilvl w:val="2"/>
          <w:numId w:val="160"/>
        </w:numPr>
        <w:tabs>
          <w:tab w:pos="1045" w:val="left" w:leader="none"/>
          <w:tab w:pos="1058" w:val="left" w:leader="none"/>
        </w:tabs>
        <w:spacing w:line="240" w:lineRule="auto" w:before="230" w:after="0"/>
        <w:ind w:left="1058" w:right="33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7" w:val="left" w:leader="none"/>
        </w:tabs>
        <w:spacing w:line="240" w:lineRule="auto" w:before="226" w:after="0"/>
        <w:ind w:left="1067" w:right="0" w:hanging="441"/>
        <w:jc w:val="left"/>
      </w:pPr>
      <w:r>
        <w:rPr/>
        <w:t>Lesión</w:t>
      </w:r>
      <w:r>
        <w:rPr>
          <w:spacing w:val="-5"/>
        </w:rPr>
        <w:t> </w:t>
      </w:r>
      <w:r>
        <w:rPr/>
        <w:t>por</w:t>
      </w:r>
      <w:r>
        <w:rPr>
          <w:spacing w:val="-4"/>
        </w:rPr>
        <w:t> </w:t>
      </w:r>
      <w:r>
        <w:rPr/>
        <w:t>cuerpo</w:t>
      </w:r>
      <w:r>
        <w:rPr>
          <w:spacing w:val="-5"/>
        </w:rPr>
        <w:t> </w:t>
      </w:r>
      <w:r>
        <w:rPr/>
        <w:t>extraño</w:t>
      </w:r>
      <w:r>
        <w:rPr>
          <w:spacing w:val="-5"/>
        </w:rPr>
        <w:t> </w:t>
      </w:r>
      <w:r>
        <w:rPr/>
        <w:t>en</w:t>
      </w:r>
      <w:r>
        <w:rPr>
          <w:spacing w:val="-5"/>
        </w:rPr>
        <w:t> </w:t>
      </w:r>
      <w:r>
        <w:rPr/>
        <w:t>la</w:t>
      </w:r>
      <w:r>
        <w:rPr>
          <w:spacing w:val="-6"/>
        </w:rPr>
        <w:t> </w:t>
      </w:r>
      <w:r>
        <w:rPr/>
        <w:t>córnea</w:t>
      </w:r>
      <w:r>
        <w:rPr>
          <w:spacing w:val="-6"/>
        </w:rPr>
        <w:t> </w:t>
      </w:r>
      <w:r>
        <w:rPr/>
        <w:t>(incrustaciones</w:t>
      </w:r>
      <w:r>
        <w:rPr>
          <w:spacing w:val="-4"/>
        </w:rPr>
        <w:t> </w:t>
      </w:r>
      <w:r>
        <w:rPr/>
        <w:t>en</w:t>
      </w:r>
      <w:r>
        <w:rPr>
          <w:spacing w:val="-6"/>
        </w:rPr>
        <w:t> </w:t>
      </w:r>
      <w:r>
        <w:rPr/>
        <w:t>la</w:t>
      </w:r>
      <w:r>
        <w:rPr>
          <w:spacing w:val="-6"/>
        </w:rPr>
        <w:t> </w:t>
      </w:r>
      <w:r>
        <w:rPr/>
        <w:t>córnea</w:t>
      </w:r>
      <w:r>
        <w:rPr>
          <w:spacing w:val="-6"/>
        </w:rPr>
        <w:t> </w:t>
      </w:r>
      <w:r>
        <w:rPr/>
        <w:t>de</w:t>
      </w:r>
      <w:r>
        <w:rPr>
          <w:spacing w:val="-3"/>
        </w:rPr>
        <w:t> </w:t>
      </w:r>
      <w:r>
        <w:rPr/>
        <w:t>partículas</w:t>
      </w:r>
      <w:r>
        <w:rPr>
          <w:spacing w:val="-7"/>
        </w:rPr>
        <w:t> </w:t>
      </w:r>
      <w:r>
        <w:rPr>
          <w:spacing w:val="-2"/>
        </w:rPr>
        <w:t>duras)</w:t>
      </w:r>
    </w:p>
    <w:p>
      <w:pPr>
        <w:pStyle w:val="BodyText"/>
        <w:spacing w:before="3"/>
        <w:rPr>
          <w:rFonts w:ascii="Arial"/>
          <w:b/>
        </w:rPr>
      </w:pPr>
    </w:p>
    <w:p>
      <w:pPr>
        <w:pStyle w:val="BodyText"/>
        <w:ind w:left="626"/>
      </w:pPr>
      <w:r>
        <w:rPr/>
        <w:t>Código</w:t>
      </w:r>
      <w:r>
        <w:rPr>
          <w:spacing w:val="-8"/>
        </w:rPr>
        <w:t> </w:t>
      </w:r>
      <w:r>
        <w:rPr/>
        <w:t>CIE-11:</w:t>
      </w:r>
      <w:r>
        <w:rPr>
          <w:spacing w:val="-7"/>
        </w:rPr>
        <w:t> </w:t>
      </w:r>
      <w:r>
        <w:rPr/>
        <w:t>ND70.0,</w:t>
      </w:r>
      <w:r>
        <w:rPr>
          <w:spacing w:val="-8"/>
        </w:rPr>
        <w:t> </w:t>
      </w:r>
      <w:r>
        <w:rPr/>
        <w:t>XK9J,</w:t>
      </w:r>
      <w:r>
        <w:rPr>
          <w:spacing w:val="-7"/>
        </w:rPr>
        <w:t> </w:t>
      </w:r>
      <w:r>
        <w:rPr/>
        <w:t>XK8G,</w:t>
      </w:r>
      <w:r>
        <w:rPr>
          <w:spacing w:val="-5"/>
        </w:rPr>
        <w:t> </w:t>
      </w:r>
      <w:r>
        <w:rPr/>
        <w:t>XK9K,</w:t>
      </w:r>
      <w:r>
        <w:rPr>
          <w:spacing w:val="-7"/>
        </w:rPr>
        <w:t> </w:t>
      </w:r>
      <w:r>
        <w:rPr>
          <w:spacing w:val="-4"/>
        </w:rPr>
        <w:t>XK70</w:t>
      </w:r>
    </w:p>
    <w:p>
      <w:pPr>
        <w:pStyle w:val="ListParagraph"/>
        <w:numPr>
          <w:ilvl w:val="2"/>
          <w:numId w:val="160"/>
        </w:numPr>
        <w:tabs>
          <w:tab w:pos="1045" w:val="left" w:leader="none"/>
          <w:tab w:pos="1058" w:val="left" w:leader="none"/>
        </w:tabs>
        <w:spacing w:line="240" w:lineRule="auto" w:before="229" w:after="0"/>
        <w:ind w:left="1058" w:right="335" w:hanging="432"/>
        <w:jc w:val="both"/>
        <w:rPr>
          <w:sz w:val="20"/>
        </w:rPr>
      </w:pPr>
      <w:r>
        <w:rPr>
          <w:sz w:val="20"/>
        </w:rPr>
        <w:t>Personas trabajadoras expuestas a los agentes causales en las industrias minera, cementera, vidriera y metalúrgica. Personas trabajadoras como: afiladores, alfareros, carboneros, cementeros, esmeriladores, fundidores, herreros, hojalateros, horneros, laminadores, mineros, orfebres, vidrieros y personas trabajadoras que presentan exposición en ejercicio o con motivo</w:t>
      </w:r>
      <w:r>
        <w:rPr>
          <w:spacing w:val="40"/>
          <w:sz w:val="20"/>
        </w:rPr>
        <w:t> </w:t>
      </w:r>
      <w:r>
        <w:rPr>
          <w:sz w:val="20"/>
        </w:rPr>
        <w:t>del trabajo a los agentes causales.</w:t>
      </w:r>
    </w:p>
    <w:p>
      <w:pPr>
        <w:pStyle w:val="ListParagraph"/>
        <w:numPr>
          <w:ilvl w:val="2"/>
          <w:numId w:val="160"/>
        </w:numPr>
        <w:tabs>
          <w:tab w:pos="1045" w:val="left" w:leader="none"/>
          <w:tab w:pos="1058" w:val="left" w:leader="none"/>
        </w:tabs>
        <w:spacing w:line="240" w:lineRule="auto" w:before="228" w:after="0"/>
        <w:ind w:left="1058" w:right="334"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w:t>
      </w:r>
      <w:r>
        <w:rPr>
          <w:spacing w:val="40"/>
          <w:sz w:val="20"/>
        </w:rPr>
        <w:t> </w:t>
      </w:r>
      <w:r>
        <w:rPr>
          <w:sz w:val="20"/>
        </w:rPr>
        <w:t>origen o con motivo del trabajo o en el medio que la persona trabajadora se vea obligada a prestar sus servicios.</w:t>
      </w:r>
    </w:p>
    <w:p>
      <w:pPr>
        <w:pStyle w:val="Heading3"/>
        <w:numPr>
          <w:ilvl w:val="1"/>
          <w:numId w:val="160"/>
        </w:numPr>
        <w:tabs>
          <w:tab w:pos="1067" w:val="left" w:leader="none"/>
        </w:tabs>
        <w:spacing w:line="240" w:lineRule="auto" w:before="228" w:after="0"/>
        <w:ind w:left="1067" w:right="0" w:hanging="441"/>
        <w:jc w:val="left"/>
      </w:pPr>
      <w:r>
        <w:rPr/>
        <w:t>Queratoconjuntivitis</w:t>
      </w:r>
      <w:r>
        <w:rPr>
          <w:spacing w:val="-7"/>
        </w:rPr>
        <w:t> </w:t>
      </w:r>
      <w:r>
        <w:rPr/>
        <w:t>(por</w:t>
      </w:r>
      <w:r>
        <w:rPr>
          <w:spacing w:val="-9"/>
        </w:rPr>
        <w:t> </w:t>
      </w:r>
      <w:r>
        <w:rPr/>
        <w:t>agentes</w:t>
      </w:r>
      <w:r>
        <w:rPr>
          <w:spacing w:val="-9"/>
        </w:rPr>
        <w:t> </w:t>
      </w:r>
      <w:r>
        <w:rPr/>
        <w:t>químicos,</w:t>
      </w:r>
      <w:r>
        <w:rPr>
          <w:spacing w:val="-9"/>
        </w:rPr>
        <w:t> </w:t>
      </w:r>
      <w:r>
        <w:rPr/>
        <w:t>físicos</w:t>
      </w:r>
      <w:r>
        <w:rPr>
          <w:spacing w:val="-7"/>
        </w:rPr>
        <w:t> </w:t>
      </w:r>
      <w:r>
        <w:rPr/>
        <w:t>y</w:t>
      </w:r>
      <w:r>
        <w:rPr>
          <w:spacing w:val="-8"/>
        </w:rPr>
        <w:t> </w:t>
      </w:r>
      <w:r>
        <w:rPr>
          <w:spacing w:val="-2"/>
        </w:rPr>
        <w:t>alergizantes)</w:t>
      </w:r>
    </w:p>
    <w:p>
      <w:pPr>
        <w:pStyle w:val="BodyText"/>
        <w:spacing w:before="3"/>
        <w:rPr>
          <w:rFonts w:ascii="Arial"/>
          <w:b/>
        </w:rPr>
      </w:pPr>
    </w:p>
    <w:p>
      <w:pPr>
        <w:pStyle w:val="BodyText"/>
        <w:spacing w:before="1"/>
        <w:ind w:left="626"/>
      </w:pPr>
      <w:r>
        <w:rPr/>
        <w:t>Código</w:t>
      </w:r>
      <w:r>
        <w:rPr>
          <w:spacing w:val="-8"/>
        </w:rPr>
        <w:t> </w:t>
      </w:r>
      <w:r>
        <w:rPr/>
        <w:t>CIE-11:</w:t>
      </w:r>
      <w:r>
        <w:rPr>
          <w:spacing w:val="-7"/>
        </w:rPr>
        <w:t> </w:t>
      </w:r>
      <w:r>
        <w:rPr/>
        <w:t>9A60.Z,</w:t>
      </w:r>
      <w:r>
        <w:rPr>
          <w:spacing w:val="-7"/>
        </w:rPr>
        <w:t> </w:t>
      </w:r>
      <w:r>
        <w:rPr/>
        <w:t>XK9J,</w:t>
      </w:r>
      <w:r>
        <w:rPr>
          <w:spacing w:val="-7"/>
        </w:rPr>
        <w:t> </w:t>
      </w:r>
      <w:r>
        <w:rPr/>
        <w:t>XK8G,</w:t>
      </w:r>
      <w:r>
        <w:rPr>
          <w:spacing w:val="-7"/>
        </w:rPr>
        <w:t> </w:t>
      </w:r>
      <w:r>
        <w:rPr/>
        <w:t>XK9K,</w:t>
      </w:r>
      <w:r>
        <w:rPr>
          <w:spacing w:val="-8"/>
        </w:rPr>
        <w:t> </w:t>
      </w:r>
      <w:r>
        <w:rPr>
          <w:spacing w:val="-4"/>
        </w:rPr>
        <w:t>XK70</w:t>
      </w:r>
    </w:p>
    <w:p>
      <w:pPr>
        <w:pStyle w:val="ListParagraph"/>
        <w:numPr>
          <w:ilvl w:val="2"/>
          <w:numId w:val="160"/>
        </w:numPr>
        <w:tabs>
          <w:tab w:pos="1045" w:val="left" w:leader="none"/>
          <w:tab w:pos="1058" w:val="left" w:leader="none"/>
        </w:tabs>
        <w:spacing w:line="240" w:lineRule="auto" w:before="227" w:after="0"/>
        <w:ind w:left="1058" w:right="335" w:hanging="432"/>
        <w:jc w:val="both"/>
        <w:rPr>
          <w:sz w:val="20"/>
        </w:rPr>
      </w:pPr>
      <w:r>
        <w:rPr>
          <w:sz w:val="20"/>
        </w:rPr>
        <w:t>Personas trabajadoras expuestas a los agentes causales en la industria química, de la celulosa, textil, farmacéutica, así como de las personas trabajadoras de la agricultura. Personas trabajadoras expuestas a sustancias químicas, tales como: campesinos, granjeros, ingenieros agrónomos,</w:t>
      </w:r>
      <w:r>
        <w:rPr>
          <w:spacing w:val="-4"/>
          <w:sz w:val="20"/>
        </w:rPr>
        <w:t> </w:t>
      </w:r>
      <w:r>
        <w:rPr>
          <w:sz w:val="20"/>
        </w:rPr>
        <w:t>letrineros,</w:t>
      </w:r>
      <w:r>
        <w:rPr>
          <w:spacing w:val="-2"/>
          <w:sz w:val="20"/>
        </w:rPr>
        <w:t> </w:t>
      </w:r>
      <w:r>
        <w:rPr>
          <w:sz w:val="20"/>
        </w:rPr>
        <w:t>panaderos,</w:t>
      </w:r>
      <w:r>
        <w:rPr>
          <w:spacing w:val="-4"/>
          <w:sz w:val="20"/>
        </w:rPr>
        <w:t> </w:t>
      </w:r>
      <w:r>
        <w:rPr>
          <w:sz w:val="20"/>
        </w:rPr>
        <w:t>poceros,</w:t>
      </w:r>
      <w:r>
        <w:rPr>
          <w:spacing w:val="-2"/>
          <w:sz w:val="20"/>
        </w:rPr>
        <w:t> </w:t>
      </w:r>
      <w:r>
        <w:rPr>
          <w:sz w:val="20"/>
        </w:rPr>
        <w:t>vidrieros y</w:t>
      </w:r>
      <w:r>
        <w:rPr>
          <w:spacing w:val="-5"/>
          <w:sz w:val="20"/>
        </w:rPr>
        <w:t> </w:t>
      </w:r>
      <w:r>
        <w:rPr>
          <w:sz w:val="20"/>
        </w:rPr>
        <w:t>personal</w:t>
      </w:r>
      <w:r>
        <w:rPr>
          <w:spacing w:val="-5"/>
          <w:sz w:val="20"/>
        </w:rPr>
        <w:t> </w:t>
      </w:r>
      <w:r>
        <w:rPr>
          <w:sz w:val="20"/>
        </w:rPr>
        <w:t>en</w:t>
      </w:r>
      <w:r>
        <w:rPr>
          <w:spacing w:val="-2"/>
          <w:sz w:val="20"/>
        </w:rPr>
        <w:t> </w:t>
      </w:r>
      <w:r>
        <w:rPr>
          <w:sz w:val="20"/>
        </w:rPr>
        <w:t>contacto</w:t>
      </w:r>
      <w:r>
        <w:rPr>
          <w:spacing w:val="-4"/>
          <w:sz w:val="20"/>
        </w:rPr>
        <w:t> </w:t>
      </w:r>
      <w:r>
        <w:rPr>
          <w:sz w:val="20"/>
        </w:rPr>
        <w:t>con</w:t>
      </w:r>
      <w:r>
        <w:rPr>
          <w:spacing w:val="-3"/>
          <w:sz w:val="20"/>
        </w:rPr>
        <w:t> </w:t>
      </w:r>
      <w:r>
        <w:rPr>
          <w:sz w:val="20"/>
        </w:rPr>
        <w:t>fibras</w:t>
      </w:r>
      <w:r>
        <w:rPr>
          <w:spacing w:val="-2"/>
          <w:sz w:val="20"/>
        </w:rPr>
        <w:t> </w:t>
      </w:r>
      <w:r>
        <w:rPr>
          <w:sz w:val="20"/>
        </w:rPr>
        <w:t>artificiales.</w:t>
      </w:r>
    </w:p>
    <w:p>
      <w:pPr>
        <w:pStyle w:val="ListParagraph"/>
        <w:numPr>
          <w:ilvl w:val="2"/>
          <w:numId w:val="160"/>
        </w:numPr>
        <w:tabs>
          <w:tab w:pos="1045" w:val="left" w:leader="none"/>
          <w:tab w:pos="1058" w:val="left" w:leader="none"/>
        </w:tabs>
        <w:spacing w:line="240" w:lineRule="auto" w:before="229" w:after="0"/>
        <w:ind w:left="1058" w:right="342" w:hanging="432"/>
        <w:jc w:val="both"/>
        <w:rPr>
          <w:sz w:val="20"/>
        </w:rPr>
      </w:pPr>
      <w:r>
        <w:rPr>
          <w:sz w:val="20"/>
        </w:rPr>
        <w:t>Personas</w:t>
      </w:r>
      <w:r>
        <w:rPr>
          <w:spacing w:val="-4"/>
          <w:sz w:val="20"/>
        </w:rPr>
        <w:t> </w:t>
      </w:r>
      <w:r>
        <w:rPr>
          <w:sz w:val="20"/>
        </w:rPr>
        <w:t>trabajadoras</w:t>
      </w:r>
      <w:r>
        <w:rPr>
          <w:spacing w:val="-3"/>
          <w:sz w:val="20"/>
        </w:rPr>
        <w:t> </w:t>
      </w:r>
      <w:r>
        <w:rPr>
          <w:sz w:val="20"/>
        </w:rPr>
        <w:t>expuestas</w:t>
      </w:r>
      <w:r>
        <w:rPr>
          <w:spacing w:val="-4"/>
          <w:sz w:val="20"/>
        </w:rPr>
        <w:t> </w:t>
      </w:r>
      <w:r>
        <w:rPr>
          <w:sz w:val="20"/>
        </w:rPr>
        <w:t>a</w:t>
      </w:r>
      <w:r>
        <w:rPr>
          <w:spacing w:val="-6"/>
          <w:sz w:val="20"/>
        </w:rPr>
        <w:t> </w:t>
      </w:r>
      <w:r>
        <w:rPr>
          <w:sz w:val="20"/>
        </w:rPr>
        <w:t>radiaciones</w:t>
      </w:r>
      <w:r>
        <w:rPr>
          <w:spacing w:val="-4"/>
          <w:sz w:val="20"/>
        </w:rPr>
        <w:t> </w:t>
      </w:r>
      <w:r>
        <w:rPr>
          <w:sz w:val="20"/>
        </w:rPr>
        <w:t>ionizantes</w:t>
      </w:r>
      <w:r>
        <w:rPr>
          <w:spacing w:val="-2"/>
          <w:sz w:val="20"/>
        </w:rPr>
        <w:t> </w:t>
      </w:r>
      <w:r>
        <w:rPr>
          <w:sz w:val="20"/>
        </w:rPr>
        <w:t>y</w:t>
      </w:r>
      <w:r>
        <w:rPr>
          <w:spacing w:val="-6"/>
          <w:sz w:val="20"/>
        </w:rPr>
        <w:t> </w:t>
      </w:r>
      <w:r>
        <w:rPr>
          <w:sz w:val="20"/>
        </w:rPr>
        <w:t>no</w:t>
      </w:r>
      <w:r>
        <w:rPr>
          <w:spacing w:val="-4"/>
          <w:sz w:val="20"/>
        </w:rPr>
        <w:t> </w:t>
      </w:r>
      <w:r>
        <w:rPr>
          <w:sz w:val="20"/>
        </w:rPr>
        <w:t>ionizantes</w:t>
      </w:r>
      <w:r>
        <w:rPr>
          <w:spacing w:val="-4"/>
          <w:sz w:val="20"/>
        </w:rPr>
        <w:t> </w:t>
      </w:r>
      <w:r>
        <w:rPr>
          <w:sz w:val="20"/>
        </w:rPr>
        <w:t>durante</w:t>
      </w:r>
      <w:r>
        <w:rPr>
          <w:spacing w:val="-5"/>
          <w:sz w:val="20"/>
        </w:rPr>
        <w:t> </w:t>
      </w:r>
      <w:r>
        <w:rPr>
          <w:sz w:val="20"/>
        </w:rPr>
        <w:t>la</w:t>
      </w:r>
      <w:r>
        <w:rPr>
          <w:spacing w:val="-3"/>
          <w:sz w:val="20"/>
        </w:rPr>
        <w:t> </w:t>
      </w:r>
      <w:r>
        <w:rPr>
          <w:sz w:val="20"/>
        </w:rPr>
        <w:t>fabricación</w:t>
      </w:r>
      <w:r>
        <w:rPr>
          <w:spacing w:val="-1"/>
          <w:sz w:val="20"/>
        </w:rPr>
        <w:t> </w:t>
      </w:r>
      <w:r>
        <w:rPr>
          <w:sz w:val="20"/>
        </w:rPr>
        <w:t>y manipulación de aparatos de rayos X y otras fuentes de energía radiante; personas trabajadoras que utilizan lámparas de arco y lámparas incandescentes de mercurio. Asimismo, personal expuesto a radiación ultravioleta solar y vidriería.</w:t>
      </w:r>
    </w:p>
    <w:p>
      <w:pPr>
        <w:pStyle w:val="ListParagraph"/>
        <w:spacing w:after="0" w:line="240" w:lineRule="auto"/>
        <w:jc w:val="both"/>
        <w:rPr>
          <w:sz w:val="20"/>
        </w:rPr>
        <w:sectPr>
          <w:pgSz w:w="12240" w:h="15840"/>
          <w:pgMar w:header="724" w:footer="712" w:top="1880" w:bottom="900" w:left="1080" w:right="1080"/>
        </w:sectPr>
      </w:pPr>
    </w:p>
    <w:p>
      <w:pPr>
        <w:pStyle w:val="BodyText"/>
        <w:spacing w:before="66"/>
      </w:pPr>
    </w:p>
    <w:p>
      <w:pPr>
        <w:pStyle w:val="ListParagraph"/>
        <w:numPr>
          <w:ilvl w:val="2"/>
          <w:numId w:val="160"/>
        </w:numPr>
        <w:tabs>
          <w:tab w:pos="1045" w:val="left" w:leader="none"/>
          <w:tab w:pos="1058" w:val="left" w:leader="none"/>
        </w:tabs>
        <w:spacing w:line="240" w:lineRule="auto" w:before="0" w:after="0"/>
        <w:ind w:left="1058" w:right="339" w:hanging="432"/>
        <w:jc w:val="both"/>
        <w:rPr>
          <w:sz w:val="20"/>
        </w:rPr>
      </w:pPr>
      <w:r>
        <w:rPr>
          <w:sz w:val="20"/>
        </w:rPr>
        <w:t>Personas trabajadoras como artistas, cinematógrafos, campesinos, salineros, fundidores, soldadores, granjeros, herreros, hojalateros, horneros, ingenieros agrónomos, laminadores, letrineros, metalúrgicos, panaderos, poceros, radiólogos y personas trabajadoras que presentan exposición en ejercicio o con motivo del trabajo a los agentes causales.</w:t>
      </w:r>
    </w:p>
    <w:p>
      <w:pPr>
        <w:pStyle w:val="ListParagraph"/>
        <w:numPr>
          <w:ilvl w:val="2"/>
          <w:numId w:val="160"/>
        </w:numPr>
        <w:tabs>
          <w:tab w:pos="1045" w:val="left" w:leader="none"/>
          <w:tab w:pos="1058" w:val="left" w:leader="none"/>
        </w:tabs>
        <w:spacing w:line="240" w:lineRule="auto" w:before="227" w:after="0"/>
        <w:ind w:left="1058" w:right="33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8" w:after="0"/>
        <w:ind w:left="1069" w:right="0" w:hanging="443"/>
        <w:jc w:val="left"/>
      </w:pPr>
      <w:r>
        <w:rPr/>
        <w:t>Inflamación</w:t>
      </w:r>
      <w:r>
        <w:rPr>
          <w:spacing w:val="-14"/>
        </w:rPr>
        <w:t> </w:t>
      </w:r>
      <w:r>
        <w:rPr>
          <w:spacing w:val="-2"/>
        </w:rPr>
        <w:t>coriorretiniana</w:t>
      </w:r>
    </w:p>
    <w:p>
      <w:pPr>
        <w:pStyle w:val="BodyText"/>
        <w:spacing w:before="2"/>
        <w:rPr>
          <w:rFonts w:ascii="Arial"/>
          <w:b/>
        </w:rPr>
      </w:pPr>
    </w:p>
    <w:p>
      <w:pPr>
        <w:pStyle w:val="BodyText"/>
        <w:ind w:left="626"/>
      </w:pPr>
      <w:r>
        <w:rPr/>
        <w:t>Código</w:t>
      </w:r>
      <w:r>
        <w:rPr>
          <w:spacing w:val="-10"/>
        </w:rPr>
        <w:t> </w:t>
      </w:r>
      <w:r>
        <w:rPr/>
        <w:t>CIE-11:</w:t>
      </w:r>
      <w:r>
        <w:rPr>
          <w:spacing w:val="-9"/>
        </w:rPr>
        <w:t> </w:t>
      </w:r>
      <w:r>
        <w:rPr>
          <w:spacing w:val="-2"/>
        </w:rPr>
        <w:t>9B65.2</w:t>
      </w:r>
    </w:p>
    <w:p>
      <w:pPr>
        <w:pStyle w:val="ListParagraph"/>
        <w:numPr>
          <w:ilvl w:val="2"/>
          <w:numId w:val="160"/>
        </w:numPr>
        <w:tabs>
          <w:tab w:pos="1045" w:val="left" w:leader="none"/>
          <w:tab w:pos="1058" w:val="left" w:leader="none"/>
        </w:tabs>
        <w:spacing w:line="240" w:lineRule="auto" w:before="229" w:after="0"/>
        <w:ind w:left="1058" w:right="343" w:hanging="432"/>
        <w:jc w:val="both"/>
        <w:rPr>
          <w:sz w:val="20"/>
        </w:rPr>
      </w:pPr>
      <w:r>
        <w:rPr>
          <w:sz w:val="20"/>
        </w:rPr>
        <w:t>Personas trabajadoras expuestas a los agentes causales en</w:t>
      </w:r>
      <w:r>
        <w:rPr>
          <w:spacing w:val="-1"/>
          <w:sz w:val="20"/>
        </w:rPr>
        <w:t> </w:t>
      </w:r>
      <w:r>
        <w:rPr>
          <w:sz w:val="20"/>
        </w:rPr>
        <w:t>las industrias química,</w:t>
      </w:r>
      <w:r>
        <w:rPr>
          <w:spacing w:val="-1"/>
          <w:sz w:val="20"/>
        </w:rPr>
        <w:t> </w:t>
      </w:r>
      <w:r>
        <w:rPr>
          <w:sz w:val="20"/>
        </w:rPr>
        <w:t>farmacéutica, textil y peletería. Personas trabajadoras expuestas a naftalina y benceno en las fabricaciones de adhesivos para el hormigón, anhídrido ftálico (producción de plastificadores para PVC), aromatizantes,</w:t>
      </w:r>
      <w:r>
        <w:rPr>
          <w:spacing w:val="-2"/>
          <w:sz w:val="20"/>
        </w:rPr>
        <w:t> </w:t>
      </w:r>
      <w:r>
        <w:rPr>
          <w:sz w:val="20"/>
        </w:rPr>
        <w:t>colorantes, componentes</w:t>
      </w:r>
      <w:r>
        <w:rPr>
          <w:spacing w:val="-2"/>
          <w:sz w:val="20"/>
        </w:rPr>
        <w:t> </w:t>
      </w:r>
      <w:r>
        <w:rPr>
          <w:sz w:val="20"/>
        </w:rPr>
        <w:t>de</w:t>
      </w:r>
      <w:r>
        <w:rPr>
          <w:spacing w:val="-2"/>
          <w:sz w:val="20"/>
        </w:rPr>
        <w:t> </w:t>
      </w:r>
      <w:r>
        <w:rPr>
          <w:sz w:val="20"/>
        </w:rPr>
        <w:t>solventes</w:t>
      </w:r>
      <w:r>
        <w:rPr>
          <w:spacing w:val="-2"/>
          <w:sz w:val="20"/>
        </w:rPr>
        <w:t> </w:t>
      </w:r>
      <w:r>
        <w:rPr>
          <w:sz w:val="20"/>
        </w:rPr>
        <w:t>para</w:t>
      </w:r>
      <w:r>
        <w:rPr>
          <w:spacing w:val="-2"/>
          <w:sz w:val="20"/>
        </w:rPr>
        <w:t> </w:t>
      </w:r>
      <w:r>
        <w:rPr>
          <w:sz w:val="20"/>
        </w:rPr>
        <w:t>plaguicidas y</w:t>
      </w:r>
      <w:r>
        <w:rPr>
          <w:spacing w:val="-5"/>
          <w:sz w:val="20"/>
        </w:rPr>
        <w:t> </w:t>
      </w:r>
      <w:r>
        <w:rPr>
          <w:sz w:val="20"/>
        </w:rPr>
        <w:t>sustancias</w:t>
      </w:r>
      <w:r>
        <w:rPr>
          <w:spacing w:val="-2"/>
          <w:sz w:val="20"/>
        </w:rPr>
        <w:t> </w:t>
      </w:r>
      <w:r>
        <w:rPr>
          <w:sz w:val="20"/>
        </w:rPr>
        <w:t>humectantes para la industria textil.</w:t>
      </w:r>
    </w:p>
    <w:p>
      <w:pPr>
        <w:pStyle w:val="ListParagraph"/>
        <w:numPr>
          <w:ilvl w:val="2"/>
          <w:numId w:val="160"/>
        </w:numPr>
        <w:tabs>
          <w:tab w:pos="1045" w:val="left" w:leader="none"/>
          <w:tab w:pos="1058" w:val="left" w:leader="none"/>
        </w:tabs>
        <w:spacing w:line="240" w:lineRule="auto" w:before="230" w:after="0"/>
        <w:ind w:left="1058" w:right="340"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6" w:after="0"/>
        <w:ind w:left="1069" w:right="0" w:hanging="443"/>
        <w:jc w:val="left"/>
      </w:pPr>
      <w:r>
        <w:rPr/>
        <w:t>Enfermedad</w:t>
      </w:r>
      <w:r>
        <w:rPr>
          <w:spacing w:val="-9"/>
        </w:rPr>
        <w:t> </w:t>
      </w:r>
      <w:r>
        <w:rPr/>
        <w:t>por</w:t>
      </w:r>
      <w:r>
        <w:rPr>
          <w:spacing w:val="-7"/>
        </w:rPr>
        <w:t> </w:t>
      </w:r>
      <w:r>
        <w:rPr>
          <w:spacing w:val="-2"/>
        </w:rPr>
        <w:t>descompresión</w:t>
      </w:r>
    </w:p>
    <w:p>
      <w:pPr>
        <w:pStyle w:val="BodyText"/>
        <w:spacing w:before="3"/>
        <w:rPr>
          <w:rFonts w:ascii="Arial"/>
          <w:b/>
        </w:rPr>
      </w:pPr>
    </w:p>
    <w:p>
      <w:pPr>
        <w:pStyle w:val="BodyText"/>
        <w:ind w:left="626"/>
      </w:pPr>
      <w:r>
        <w:rPr/>
        <w:t>Código</w:t>
      </w:r>
      <w:r>
        <w:rPr>
          <w:spacing w:val="-10"/>
        </w:rPr>
        <w:t> </w:t>
      </w:r>
      <w:r>
        <w:rPr/>
        <w:t>CIE-11:</w:t>
      </w:r>
      <w:r>
        <w:rPr>
          <w:spacing w:val="-9"/>
        </w:rPr>
        <w:t> </w:t>
      </w:r>
      <w:r>
        <w:rPr>
          <w:spacing w:val="-2"/>
        </w:rPr>
        <w:t>NF04.2</w:t>
      </w:r>
    </w:p>
    <w:p>
      <w:pPr>
        <w:pStyle w:val="BodyText"/>
      </w:pPr>
    </w:p>
    <w:p>
      <w:pPr>
        <w:pStyle w:val="ListParagraph"/>
        <w:numPr>
          <w:ilvl w:val="2"/>
          <w:numId w:val="160"/>
        </w:numPr>
        <w:tabs>
          <w:tab w:pos="1045" w:val="left" w:leader="none"/>
          <w:tab w:pos="1058" w:val="left" w:leader="none"/>
        </w:tabs>
        <w:spacing w:line="240" w:lineRule="auto" w:before="0" w:after="0"/>
        <w:ind w:left="1058" w:right="339" w:hanging="432"/>
        <w:jc w:val="both"/>
        <w:rPr>
          <w:sz w:val="20"/>
        </w:rPr>
      </w:pPr>
      <w:r>
        <w:rPr>
          <w:sz w:val="20"/>
        </w:rPr>
        <w:t>Personas trabajadoras expuestas a cambios de presión barométrica como: buzos recreativos, buzos pescadores artesanales, buzos industriales, buzos militares, buzos científicos, buzos técnicos, buzos limpiadores de drenajes, excavadores, mineros subterráneos y personal aeroespacial y acompañantes o auxiliares (tender) en el interior de cámaras hiperbáricas (médicos, enfermeros y buzos); exploradores, guías de alpinismo, investigadores, paleontólogos</w:t>
      </w:r>
      <w:r>
        <w:rPr>
          <w:spacing w:val="40"/>
          <w:sz w:val="20"/>
        </w:rPr>
        <w:t> </w:t>
      </w:r>
      <w:r>
        <w:rPr>
          <w:sz w:val="20"/>
        </w:rPr>
        <w:t>y rescatistas.</w:t>
      </w:r>
    </w:p>
    <w:p>
      <w:pPr>
        <w:pStyle w:val="ListParagraph"/>
        <w:numPr>
          <w:ilvl w:val="2"/>
          <w:numId w:val="160"/>
        </w:numPr>
        <w:tabs>
          <w:tab w:pos="1045" w:val="left" w:leader="none"/>
          <w:tab w:pos="1058" w:val="left" w:leader="none"/>
        </w:tabs>
        <w:spacing w:line="240" w:lineRule="auto" w:before="227" w:after="0"/>
        <w:ind w:left="1058" w:right="336"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7" w:after="0"/>
        <w:ind w:left="1069" w:right="0" w:hanging="443"/>
        <w:jc w:val="left"/>
      </w:pPr>
      <w:r>
        <w:rPr/>
        <w:t>Embolismo</w:t>
      </w:r>
      <w:r>
        <w:rPr>
          <w:spacing w:val="-10"/>
        </w:rPr>
        <w:t> </w:t>
      </w:r>
      <w:r>
        <w:rPr/>
        <w:t>gaseoso</w:t>
      </w:r>
      <w:r>
        <w:rPr>
          <w:spacing w:val="-8"/>
        </w:rPr>
        <w:t> </w:t>
      </w:r>
      <w:r>
        <w:rPr/>
        <w:t>arterial</w:t>
      </w:r>
      <w:r>
        <w:rPr>
          <w:spacing w:val="-11"/>
        </w:rPr>
        <w:t> </w:t>
      </w:r>
      <w:r>
        <w:rPr>
          <w:spacing w:val="-2"/>
        </w:rPr>
        <w:t>cerebral</w:t>
      </w:r>
    </w:p>
    <w:p>
      <w:pPr>
        <w:pStyle w:val="BodyText"/>
        <w:spacing w:before="3"/>
        <w:rPr>
          <w:rFonts w:ascii="Arial"/>
          <w:b/>
        </w:rPr>
      </w:pPr>
    </w:p>
    <w:p>
      <w:pPr>
        <w:pStyle w:val="BodyText"/>
        <w:ind w:left="626"/>
      </w:pPr>
      <w:r>
        <w:rPr/>
        <w:t>Código</w:t>
      </w:r>
      <w:r>
        <w:rPr>
          <w:spacing w:val="-10"/>
        </w:rPr>
        <w:t> </w:t>
      </w:r>
      <w:r>
        <w:rPr/>
        <w:t>CIE-11:</w:t>
      </w:r>
      <w:r>
        <w:rPr>
          <w:spacing w:val="-7"/>
        </w:rPr>
        <w:t> </w:t>
      </w:r>
      <w:r>
        <w:rPr>
          <w:spacing w:val="-2"/>
        </w:rPr>
        <w:t>PL11.20</w:t>
      </w:r>
    </w:p>
    <w:p>
      <w:pPr>
        <w:pStyle w:val="ListParagraph"/>
        <w:numPr>
          <w:ilvl w:val="2"/>
          <w:numId w:val="160"/>
        </w:numPr>
        <w:tabs>
          <w:tab w:pos="1045" w:val="left" w:leader="none"/>
          <w:tab w:pos="1058" w:val="left" w:leader="none"/>
        </w:tabs>
        <w:spacing w:line="240" w:lineRule="auto" w:before="230" w:after="0"/>
        <w:ind w:left="1058" w:right="339" w:hanging="432"/>
        <w:jc w:val="both"/>
        <w:rPr>
          <w:sz w:val="20"/>
        </w:rPr>
      </w:pPr>
      <w:r>
        <w:rPr>
          <w:sz w:val="20"/>
        </w:rPr>
        <w:t>Personas trabajadoras expuestas a cambios de presión barométrica como: buzos recreativos, buzos pescadores artesanales, buzos industriales, buzos militares, buzos científicos, buzos técnicos, buzos limpiadores de drenajes, excavadores, mineros subterráneos y personal aeroespacial</w:t>
      </w:r>
      <w:r>
        <w:rPr>
          <w:spacing w:val="71"/>
          <w:sz w:val="20"/>
        </w:rPr>
        <w:t> </w:t>
      </w:r>
      <w:r>
        <w:rPr>
          <w:sz w:val="20"/>
        </w:rPr>
        <w:t>y</w:t>
      </w:r>
      <w:r>
        <w:rPr>
          <w:spacing w:val="66"/>
          <w:sz w:val="20"/>
        </w:rPr>
        <w:t> </w:t>
      </w:r>
      <w:r>
        <w:rPr>
          <w:sz w:val="20"/>
        </w:rPr>
        <w:t>acompañantes</w:t>
      </w:r>
      <w:r>
        <w:rPr>
          <w:spacing w:val="68"/>
          <w:sz w:val="20"/>
        </w:rPr>
        <w:t> </w:t>
      </w:r>
      <w:r>
        <w:rPr>
          <w:sz w:val="20"/>
        </w:rPr>
        <w:t>o</w:t>
      </w:r>
      <w:r>
        <w:rPr>
          <w:spacing w:val="69"/>
          <w:sz w:val="20"/>
        </w:rPr>
        <w:t> </w:t>
      </w:r>
      <w:r>
        <w:rPr>
          <w:sz w:val="20"/>
        </w:rPr>
        <w:t>auxiliares</w:t>
      </w:r>
      <w:r>
        <w:rPr>
          <w:spacing w:val="71"/>
          <w:sz w:val="20"/>
        </w:rPr>
        <w:t> </w:t>
      </w:r>
      <w:r>
        <w:rPr>
          <w:sz w:val="20"/>
        </w:rPr>
        <w:t>(tender)</w:t>
      </w:r>
      <w:r>
        <w:rPr>
          <w:spacing w:val="69"/>
          <w:sz w:val="20"/>
        </w:rPr>
        <w:t> </w:t>
      </w:r>
      <w:r>
        <w:rPr>
          <w:sz w:val="20"/>
        </w:rPr>
        <w:t>en</w:t>
      </w:r>
      <w:r>
        <w:rPr>
          <w:spacing w:val="69"/>
          <w:sz w:val="20"/>
        </w:rPr>
        <w:t> </w:t>
      </w:r>
      <w:r>
        <w:rPr>
          <w:sz w:val="20"/>
        </w:rPr>
        <w:t>el</w:t>
      </w:r>
      <w:r>
        <w:rPr>
          <w:spacing w:val="69"/>
          <w:sz w:val="20"/>
        </w:rPr>
        <w:t> </w:t>
      </w:r>
      <w:r>
        <w:rPr>
          <w:sz w:val="20"/>
        </w:rPr>
        <w:t>interior</w:t>
      </w:r>
      <w:r>
        <w:rPr>
          <w:spacing w:val="70"/>
          <w:sz w:val="20"/>
        </w:rPr>
        <w:t> </w:t>
      </w:r>
      <w:r>
        <w:rPr>
          <w:sz w:val="20"/>
        </w:rPr>
        <w:t>de</w:t>
      </w:r>
      <w:r>
        <w:rPr>
          <w:spacing w:val="69"/>
          <w:sz w:val="20"/>
        </w:rPr>
        <w:t> </w:t>
      </w:r>
      <w:r>
        <w:rPr>
          <w:sz w:val="20"/>
        </w:rPr>
        <w:t>cámaras</w:t>
      </w:r>
      <w:r>
        <w:rPr>
          <w:spacing w:val="68"/>
          <w:sz w:val="20"/>
        </w:rPr>
        <w:t> </w:t>
      </w:r>
      <w:r>
        <w:rPr>
          <w:sz w:val="20"/>
        </w:rPr>
        <w:t>hiperbáricas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058" w:right="382"/>
      </w:pPr>
      <w:r>
        <w:rPr/>
        <w:t>(médicos, enfermeros y buzos); exploradores, guías de alpinismo, investigadores, paleontólogos</w:t>
      </w:r>
      <w:r>
        <w:rPr>
          <w:spacing w:val="40"/>
        </w:rPr>
        <w:t> </w:t>
      </w:r>
      <w:r>
        <w:rPr/>
        <w:t>y rescatistas.</w:t>
      </w:r>
    </w:p>
    <w:p>
      <w:pPr>
        <w:pStyle w:val="BodyText"/>
      </w:pPr>
    </w:p>
    <w:p>
      <w:pPr>
        <w:pStyle w:val="ListParagraph"/>
        <w:numPr>
          <w:ilvl w:val="2"/>
          <w:numId w:val="160"/>
        </w:numPr>
        <w:tabs>
          <w:tab w:pos="1045" w:val="left" w:leader="none"/>
          <w:tab w:pos="1058" w:val="left" w:leader="none"/>
        </w:tabs>
        <w:spacing w:line="240" w:lineRule="auto" w:before="0" w:after="0"/>
        <w:ind w:left="1058" w:right="33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102" w:val="left" w:leader="none"/>
        </w:tabs>
        <w:spacing w:line="240" w:lineRule="auto" w:before="226" w:after="0"/>
        <w:ind w:left="338" w:right="345" w:firstLine="288"/>
        <w:jc w:val="left"/>
      </w:pPr>
      <w:r>
        <w:rPr/>
        <w:t>Disbarismo</w:t>
      </w:r>
      <w:r>
        <w:rPr>
          <w:spacing w:val="33"/>
        </w:rPr>
        <w:t> </w:t>
      </w:r>
      <w:r>
        <w:rPr/>
        <w:t>por</w:t>
      </w:r>
      <w:r>
        <w:rPr>
          <w:spacing w:val="34"/>
        </w:rPr>
        <w:t> </w:t>
      </w:r>
      <w:r>
        <w:rPr/>
        <w:t>efectos</w:t>
      </w:r>
      <w:r>
        <w:rPr>
          <w:spacing w:val="32"/>
        </w:rPr>
        <w:t> </w:t>
      </w:r>
      <w:r>
        <w:rPr/>
        <w:t>de</w:t>
      </w:r>
      <w:r>
        <w:rPr>
          <w:spacing w:val="32"/>
        </w:rPr>
        <w:t> </w:t>
      </w:r>
      <w:r>
        <w:rPr/>
        <w:t>la</w:t>
      </w:r>
      <w:r>
        <w:rPr>
          <w:spacing w:val="32"/>
        </w:rPr>
        <w:t> </w:t>
      </w:r>
      <w:r>
        <w:rPr/>
        <w:t>presión</w:t>
      </w:r>
      <w:r>
        <w:rPr>
          <w:spacing w:val="33"/>
        </w:rPr>
        <w:t> </w:t>
      </w:r>
      <w:r>
        <w:rPr/>
        <w:t>del</w:t>
      </w:r>
      <w:r>
        <w:rPr>
          <w:spacing w:val="32"/>
        </w:rPr>
        <w:t> </w:t>
      </w:r>
      <w:r>
        <w:rPr/>
        <w:t>aire</w:t>
      </w:r>
      <w:r>
        <w:rPr>
          <w:spacing w:val="34"/>
        </w:rPr>
        <w:t> </w:t>
      </w:r>
      <w:r>
        <w:rPr/>
        <w:t>y</w:t>
      </w:r>
      <w:r>
        <w:rPr>
          <w:spacing w:val="30"/>
        </w:rPr>
        <w:t> </w:t>
      </w:r>
      <w:r>
        <w:rPr/>
        <w:t>la</w:t>
      </w:r>
      <w:r>
        <w:rPr>
          <w:spacing w:val="32"/>
        </w:rPr>
        <w:t> </w:t>
      </w:r>
      <w:r>
        <w:rPr/>
        <w:t>presión</w:t>
      </w:r>
      <w:r>
        <w:rPr>
          <w:spacing w:val="33"/>
        </w:rPr>
        <w:t> </w:t>
      </w:r>
      <w:r>
        <w:rPr/>
        <w:t>del</w:t>
      </w:r>
      <w:r>
        <w:rPr>
          <w:spacing w:val="32"/>
        </w:rPr>
        <w:t> </w:t>
      </w:r>
      <w:r>
        <w:rPr/>
        <w:t>agua,</w:t>
      </w:r>
      <w:r>
        <w:rPr>
          <w:spacing w:val="32"/>
        </w:rPr>
        <w:t> </w:t>
      </w:r>
      <w:r>
        <w:rPr/>
        <w:t>sin</w:t>
      </w:r>
      <w:r>
        <w:rPr>
          <w:spacing w:val="33"/>
        </w:rPr>
        <w:t> </w:t>
      </w:r>
      <w:r>
        <w:rPr/>
        <w:t>especificación (barotrauma crónico)</w:t>
      </w:r>
    </w:p>
    <w:p>
      <w:pPr>
        <w:pStyle w:val="BodyText"/>
        <w:spacing w:before="4"/>
        <w:rPr>
          <w:rFonts w:ascii="Arial"/>
          <w:b/>
        </w:rPr>
      </w:pPr>
    </w:p>
    <w:p>
      <w:pPr>
        <w:pStyle w:val="BodyText"/>
        <w:ind w:left="626"/>
      </w:pPr>
      <w:r>
        <w:rPr/>
        <w:t>Código</w:t>
      </w:r>
      <w:r>
        <w:rPr>
          <w:spacing w:val="-10"/>
        </w:rPr>
        <w:t> </w:t>
      </w:r>
      <w:r>
        <w:rPr/>
        <w:t>CIE-11:</w:t>
      </w:r>
      <w:r>
        <w:rPr>
          <w:spacing w:val="-7"/>
        </w:rPr>
        <w:t> </w:t>
      </w:r>
      <w:r>
        <w:rPr>
          <w:spacing w:val="-4"/>
        </w:rPr>
        <w:t>AA90</w:t>
      </w:r>
    </w:p>
    <w:p>
      <w:pPr>
        <w:pStyle w:val="BodyText"/>
      </w:pPr>
    </w:p>
    <w:p>
      <w:pPr>
        <w:pStyle w:val="ListParagraph"/>
        <w:numPr>
          <w:ilvl w:val="2"/>
          <w:numId w:val="160"/>
        </w:numPr>
        <w:tabs>
          <w:tab w:pos="1045" w:val="left" w:leader="none"/>
          <w:tab w:pos="1058" w:val="left" w:leader="none"/>
        </w:tabs>
        <w:spacing w:line="240" w:lineRule="auto" w:before="0" w:after="0"/>
        <w:ind w:left="1058" w:right="336" w:hanging="432"/>
        <w:jc w:val="both"/>
        <w:rPr>
          <w:sz w:val="20"/>
        </w:rPr>
      </w:pPr>
      <w:r>
        <w:rPr>
          <w:sz w:val="20"/>
        </w:rPr>
        <w:t>Personas trabajadoras expuestas a cambios de presión barométrica como: buzos recreativos, buzos pescadores artesanales, buzos industriales, buzos militares, buzos científicos, buzos técnicos, buzos limpiadores de drenajes, excavadores, mineros subterráneos y personal aeroespacial y acompañantes o auxiliares (tender) en el interior de cámaras hiperbáricas (médicos, enfermeros y buzos); exploradores, guías de alpinismo, investigadores, paleontólogos</w:t>
      </w:r>
      <w:r>
        <w:rPr>
          <w:spacing w:val="40"/>
          <w:sz w:val="20"/>
        </w:rPr>
        <w:t> </w:t>
      </w:r>
      <w:r>
        <w:rPr>
          <w:sz w:val="20"/>
        </w:rPr>
        <w:t>y rescatistas.</w:t>
      </w:r>
    </w:p>
    <w:p>
      <w:pPr>
        <w:pStyle w:val="ListParagraph"/>
        <w:numPr>
          <w:ilvl w:val="2"/>
          <w:numId w:val="160"/>
        </w:numPr>
        <w:tabs>
          <w:tab w:pos="1045" w:val="left" w:leader="none"/>
          <w:tab w:pos="1058" w:val="left" w:leader="none"/>
        </w:tabs>
        <w:spacing w:line="240" w:lineRule="auto" w:before="227" w:after="0"/>
        <w:ind w:left="1058" w:right="343"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7" w:val="left" w:leader="none"/>
        </w:tabs>
        <w:spacing w:line="240" w:lineRule="auto" w:before="229" w:after="0"/>
        <w:ind w:left="1067" w:right="0" w:hanging="441"/>
        <w:jc w:val="left"/>
      </w:pPr>
      <w:r>
        <w:rPr/>
        <w:t>Otras</w:t>
      </w:r>
      <w:r>
        <w:rPr>
          <w:spacing w:val="-6"/>
        </w:rPr>
        <w:t> </w:t>
      </w:r>
      <w:r>
        <w:rPr/>
        <w:t>alteraciones</w:t>
      </w:r>
      <w:r>
        <w:rPr>
          <w:spacing w:val="-7"/>
        </w:rPr>
        <w:t> </w:t>
      </w:r>
      <w:r>
        <w:rPr/>
        <w:t>de</w:t>
      </w:r>
      <w:r>
        <w:rPr>
          <w:spacing w:val="-7"/>
        </w:rPr>
        <w:t> </w:t>
      </w:r>
      <w:r>
        <w:rPr/>
        <w:t>la</w:t>
      </w:r>
      <w:r>
        <w:rPr>
          <w:spacing w:val="-7"/>
        </w:rPr>
        <w:t> </w:t>
      </w:r>
      <w:r>
        <w:rPr/>
        <w:t>función</w:t>
      </w:r>
      <w:r>
        <w:rPr>
          <w:spacing w:val="-5"/>
        </w:rPr>
        <w:t> </w:t>
      </w:r>
      <w:r>
        <w:rPr/>
        <w:t>vestibular</w:t>
      </w:r>
      <w:r>
        <w:rPr>
          <w:spacing w:val="-7"/>
        </w:rPr>
        <w:t> </w:t>
      </w:r>
      <w:r>
        <w:rPr/>
        <w:t>(por</w:t>
      </w:r>
      <w:r>
        <w:rPr>
          <w:spacing w:val="-7"/>
        </w:rPr>
        <w:t> </w:t>
      </w:r>
      <w:r>
        <w:rPr>
          <w:spacing w:val="-2"/>
        </w:rPr>
        <w:t>tóxicos)</w:t>
      </w:r>
    </w:p>
    <w:p>
      <w:pPr>
        <w:pStyle w:val="BodyText"/>
        <w:spacing w:before="1"/>
        <w:rPr>
          <w:rFonts w:ascii="Arial"/>
          <w:b/>
        </w:rPr>
      </w:pPr>
    </w:p>
    <w:p>
      <w:pPr>
        <w:pStyle w:val="BodyText"/>
        <w:ind w:left="626"/>
      </w:pPr>
      <w:r>
        <w:rPr/>
        <w:t>Código</w:t>
      </w:r>
      <w:r>
        <w:rPr>
          <w:spacing w:val="-10"/>
        </w:rPr>
        <w:t> </w:t>
      </w:r>
      <w:r>
        <w:rPr/>
        <w:t>CIE-11:</w:t>
      </w:r>
      <w:r>
        <w:rPr>
          <w:spacing w:val="-7"/>
        </w:rPr>
        <w:t> </w:t>
      </w:r>
      <w:r>
        <w:rPr>
          <w:spacing w:val="-2"/>
        </w:rPr>
        <w:t>AB34.Y</w:t>
      </w:r>
    </w:p>
    <w:p>
      <w:pPr>
        <w:pStyle w:val="ListParagraph"/>
        <w:numPr>
          <w:ilvl w:val="2"/>
          <w:numId w:val="160"/>
        </w:numPr>
        <w:tabs>
          <w:tab w:pos="1045" w:val="left" w:leader="none"/>
          <w:tab w:pos="1058" w:val="left" w:leader="none"/>
        </w:tabs>
        <w:spacing w:line="240" w:lineRule="auto" w:before="229" w:after="0"/>
        <w:ind w:left="1058" w:right="334" w:hanging="432"/>
        <w:jc w:val="both"/>
        <w:rPr>
          <w:sz w:val="20"/>
        </w:rPr>
      </w:pPr>
      <w:r>
        <w:rPr>
          <w:sz w:val="20"/>
        </w:rPr>
        <w:t>Personas trabajadoras expuestas en la agricultura, en las industrias química y farmacéutica, cristalería, cerámica, alfarería, colorantes que contengan plomo, minería, imprenta, pinturas,</w:t>
      </w:r>
      <w:r>
        <w:rPr>
          <w:spacing w:val="40"/>
          <w:sz w:val="20"/>
        </w:rPr>
        <w:t> </w:t>
      </w:r>
      <w:r>
        <w:rPr>
          <w:sz w:val="20"/>
        </w:rPr>
        <w:t>textil, plástico que utilice aditivos con base a plomo y extracción de aceites, ceras y grasas.</w:t>
      </w:r>
    </w:p>
    <w:p>
      <w:pPr>
        <w:pStyle w:val="ListParagraph"/>
        <w:numPr>
          <w:ilvl w:val="2"/>
          <w:numId w:val="160"/>
        </w:numPr>
        <w:tabs>
          <w:tab w:pos="1045" w:val="left" w:leader="none"/>
          <w:tab w:pos="1058" w:val="left" w:leader="none"/>
        </w:tabs>
        <w:spacing w:line="240" w:lineRule="auto" w:before="229" w:after="0"/>
        <w:ind w:left="1058" w:right="341" w:hanging="432"/>
        <w:jc w:val="both"/>
        <w:rPr>
          <w:sz w:val="20"/>
        </w:rPr>
      </w:pPr>
      <w:r>
        <w:rPr>
          <w:sz w:val="20"/>
        </w:rPr>
        <w:t>Personas trabajadoras expuestas en la fabricación de acelerantes de vulcanización, caucho, amalgamas odontológicas, municiones de plomo, artículos pirotécnicos, plaguicidas, fungicidas, germicidas, rayón, tiocompuestos, xantatos, producción de compuestos cloro alcalinos y con disulfuro de carbono, tales como: celofán y esponjas artificiales.</w:t>
      </w:r>
    </w:p>
    <w:p>
      <w:pPr>
        <w:pStyle w:val="ListParagraph"/>
        <w:numPr>
          <w:ilvl w:val="2"/>
          <w:numId w:val="160"/>
        </w:numPr>
        <w:tabs>
          <w:tab w:pos="1046" w:val="left" w:leader="none"/>
        </w:tabs>
        <w:spacing w:line="240" w:lineRule="auto" w:before="229" w:after="0"/>
        <w:ind w:left="1046" w:right="0" w:hanging="420"/>
        <w:jc w:val="left"/>
        <w:rPr>
          <w:sz w:val="20"/>
        </w:rPr>
      </w:pPr>
      <w:r>
        <w:rPr>
          <w:sz w:val="20"/>
        </w:rPr>
        <w:t>Personas</w:t>
      </w:r>
      <w:r>
        <w:rPr>
          <w:spacing w:val="-6"/>
          <w:sz w:val="20"/>
        </w:rPr>
        <w:t> </w:t>
      </w:r>
      <w:r>
        <w:rPr>
          <w:sz w:val="20"/>
        </w:rPr>
        <w:t>trabajadoras</w:t>
      </w:r>
      <w:r>
        <w:rPr>
          <w:spacing w:val="-5"/>
          <w:sz w:val="20"/>
        </w:rPr>
        <w:t> </w:t>
      </w:r>
      <w:r>
        <w:rPr>
          <w:sz w:val="20"/>
        </w:rPr>
        <w:t>en</w:t>
      </w:r>
      <w:r>
        <w:rPr>
          <w:spacing w:val="-3"/>
          <w:sz w:val="20"/>
        </w:rPr>
        <w:t> </w:t>
      </w:r>
      <w:r>
        <w:rPr>
          <w:sz w:val="20"/>
        </w:rPr>
        <w:t>el</w:t>
      </w:r>
      <w:r>
        <w:rPr>
          <w:spacing w:val="-8"/>
          <w:sz w:val="20"/>
        </w:rPr>
        <w:t> </w:t>
      </w:r>
      <w:r>
        <w:rPr>
          <w:sz w:val="20"/>
        </w:rPr>
        <w:t>sector</w:t>
      </w:r>
      <w:r>
        <w:rPr>
          <w:spacing w:val="-6"/>
          <w:sz w:val="20"/>
        </w:rPr>
        <w:t> </w:t>
      </w:r>
      <w:r>
        <w:rPr>
          <w:sz w:val="20"/>
        </w:rPr>
        <w:t>salud</w:t>
      </w:r>
      <w:r>
        <w:rPr>
          <w:spacing w:val="-3"/>
          <w:sz w:val="20"/>
        </w:rPr>
        <w:t> </w:t>
      </w:r>
      <w:r>
        <w:rPr>
          <w:sz w:val="20"/>
        </w:rPr>
        <w:t>y</w:t>
      </w:r>
      <w:r>
        <w:rPr>
          <w:spacing w:val="-4"/>
          <w:sz w:val="20"/>
        </w:rPr>
        <w:t> </w:t>
      </w:r>
      <w:r>
        <w:rPr>
          <w:sz w:val="20"/>
        </w:rPr>
        <w:t>de</w:t>
      </w:r>
      <w:r>
        <w:rPr>
          <w:spacing w:val="-6"/>
          <w:sz w:val="20"/>
        </w:rPr>
        <w:t> </w:t>
      </w:r>
      <w:r>
        <w:rPr>
          <w:sz w:val="20"/>
        </w:rPr>
        <w:t>las</w:t>
      </w:r>
      <w:r>
        <w:rPr>
          <w:spacing w:val="-6"/>
          <w:sz w:val="20"/>
        </w:rPr>
        <w:t> </w:t>
      </w:r>
      <w:r>
        <w:rPr>
          <w:sz w:val="20"/>
        </w:rPr>
        <w:t>fuerzas</w:t>
      </w:r>
      <w:r>
        <w:rPr>
          <w:spacing w:val="-5"/>
          <w:sz w:val="20"/>
        </w:rPr>
        <w:t> </w:t>
      </w:r>
      <w:r>
        <w:rPr>
          <w:spacing w:val="-2"/>
          <w:sz w:val="20"/>
        </w:rPr>
        <w:t>armadas.</w:t>
      </w:r>
    </w:p>
    <w:p>
      <w:pPr>
        <w:pStyle w:val="ListParagraph"/>
        <w:numPr>
          <w:ilvl w:val="2"/>
          <w:numId w:val="160"/>
        </w:numPr>
        <w:tabs>
          <w:tab w:pos="1045" w:val="left" w:leader="none"/>
          <w:tab w:pos="1058" w:val="left" w:leader="none"/>
        </w:tabs>
        <w:spacing w:line="240" w:lineRule="auto" w:before="228" w:after="0"/>
        <w:ind w:left="1058" w:right="348" w:hanging="432"/>
        <w:jc w:val="both"/>
        <w:rPr>
          <w:sz w:val="20"/>
        </w:rPr>
      </w:pPr>
      <w:r>
        <w:rPr>
          <w:sz w:val="20"/>
        </w:rPr>
        <w:t>Personas trabajadoras expuestas en la fabricación y</w:t>
      </w:r>
      <w:r>
        <w:rPr>
          <w:spacing w:val="-3"/>
          <w:sz w:val="20"/>
        </w:rPr>
        <w:t> </w:t>
      </w:r>
      <w:r>
        <w:rPr>
          <w:sz w:val="20"/>
        </w:rPr>
        <w:t>reciclaje</w:t>
      </w:r>
      <w:r>
        <w:rPr>
          <w:spacing w:val="-1"/>
          <w:sz w:val="20"/>
        </w:rPr>
        <w:t> </w:t>
      </w:r>
      <w:r>
        <w:rPr>
          <w:sz w:val="20"/>
        </w:rPr>
        <w:t>de</w:t>
      </w:r>
      <w:r>
        <w:rPr>
          <w:spacing w:val="-1"/>
          <w:sz w:val="20"/>
        </w:rPr>
        <w:t> </w:t>
      </w:r>
      <w:r>
        <w:rPr>
          <w:sz w:val="20"/>
        </w:rPr>
        <w:t>acumuladores, fabricación y</w:t>
      </w:r>
      <w:r>
        <w:rPr>
          <w:spacing w:val="-3"/>
          <w:sz w:val="20"/>
        </w:rPr>
        <w:t> </w:t>
      </w:r>
      <w:r>
        <w:rPr>
          <w:sz w:val="20"/>
        </w:rPr>
        <w:t>uso de esmaltes, fundidores de plomo y artesanos que utilizan los metales pesados.</w:t>
      </w:r>
    </w:p>
    <w:p>
      <w:pPr>
        <w:pStyle w:val="ListParagraph"/>
        <w:numPr>
          <w:ilvl w:val="2"/>
          <w:numId w:val="160"/>
        </w:numPr>
        <w:tabs>
          <w:tab w:pos="1045" w:val="left" w:leader="none"/>
          <w:tab w:pos="1058" w:val="left" w:leader="none"/>
        </w:tabs>
        <w:spacing w:line="240" w:lineRule="auto" w:before="229" w:after="0"/>
        <w:ind w:left="1058" w:right="339"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ind w:left="626"/>
      </w:pPr>
      <w:r>
        <w:rPr/>
        <w:t>Grupo</w:t>
      </w:r>
      <w:r>
        <w:rPr>
          <w:spacing w:val="-10"/>
        </w:rPr>
        <w:t> </w:t>
      </w:r>
      <w:r>
        <w:rPr/>
        <w:t>XI.</w:t>
      </w:r>
      <w:r>
        <w:rPr>
          <w:spacing w:val="-6"/>
        </w:rPr>
        <w:t> </w:t>
      </w:r>
      <w:r>
        <w:rPr/>
        <w:t>Enfermedades</w:t>
      </w:r>
      <w:r>
        <w:rPr>
          <w:spacing w:val="-6"/>
        </w:rPr>
        <w:t> </w:t>
      </w:r>
      <w:r>
        <w:rPr/>
        <w:t>de</w:t>
      </w:r>
      <w:r>
        <w:rPr>
          <w:spacing w:val="-8"/>
        </w:rPr>
        <w:t> </w:t>
      </w:r>
      <w:r>
        <w:rPr/>
        <w:t>endocrinología</w:t>
      </w:r>
      <w:r>
        <w:rPr>
          <w:spacing w:val="-7"/>
        </w:rPr>
        <w:t> </w:t>
      </w:r>
      <w:r>
        <w:rPr/>
        <w:t>y</w:t>
      </w:r>
      <w:r>
        <w:rPr>
          <w:spacing w:val="-9"/>
        </w:rPr>
        <w:t> </w:t>
      </w:r>
      <w:r>
        <w:rPr>
          <w:spacing w:val="-2"/>
        </w:rPr>
        <w:t>genitourinarias</w:t>
      </w:r>
    </w:p>
    <w:p>
      <w:pPr>
        <w:pStyle w:val="Heading3"/>
        <w:spacing w:after="0"/>
        <w:sectPr>
          <w:pgSz w:w="12240" w:h="15840"/>
          <w:pgMar w:header="724" w:footer="712" w:top="1880" w:bottom="900" w:left="1080" w:right="1080"/>
        </w:sectPr>
      </w:pPr>
    </w:p>
    <w:p>
      <w:pPr>
        <w:pStyle w:val="BodyText"/>
        <w:rPr>
          <w:rFonts w:ascii="Arial"/>
          <w:b/>
        </w:rPr>
      </w:pPr>
    </w:p>
    <w:p>
      <w:pPr>
        <w:pStyle w:val="BodyText"/>
        <w:spacing w:before="63"/>
        <w:rPr>
          <w:rFonts w:ascii="Arial"/>
          <w:b/>
        </w:rPr>
      </w:pPr>
    </w:p>
    <w:p>
      <w:pPr>
        <w:pStyle w:val="ListParagraph"/>
        <w:numPr>
          <w:ilvl w:val="1"/>
          <w:numId w:val="160"/>
        </w:numPr>
        <w:tabs>
          <w:tab w:pos="1069" w:val="left" w:leader="none"/>
        </w:tabs>
        <w:spacing w:line="240" w:lineRule="auto" w:before="0" w:after="0"/>
        <w:ind w:left="1069" w:right="0" w:hanging="443"/>
        <w:jc w:val="left"/>
        <w:rPr>
          <w:rFonts w:ascii="Arial" w:hAnsi="Arial"/>
          <w:b/>
          <w:sz w:val="20"/>
        </w:rPr>
      </w:pPr>
      <w:r>
        <w:rPr>
          <w:rFonts w:ascii="Arial" w:hAnsi="Arial"/>
          <w:b/>
          <w:sz w:val="20"/>
        </w:rPr>
        <w:t>Pérdida</w:t>
      </w:r>
      <w:r>
        <w:rPr>
          <w:rFonts w:ascii="Arial" w:hAnsi="Arial"/>
          <w:b/>
          <w:spacing w:val="-7"/>
          <w:sz w:val="20"/>
        </w:rPr>
        <w:t> </w:t>
      </w:r>
      <w:r>
        <w:rPr>
          <w:rFonts w:ascii="Arial" w:hAnsi="Arial"/>
          <w:b/>
          <w:sz w:val="20"/>
        </w:rPr>
        <w:t>recurrente</w:t>
      </w:r>
      <w:r>
        <w:rPr>
          <w:rFonts w:ascii="Arial" w:hAnsi="Arial"/>
          <w:b/>
          <w:spacing w:val="-6"/>
          <w:sz w:val="20"/>
        </w:rPr>
        <w:t> </w:t>
      </w:r>
      <w:r>
        <w:rPr>
          <w:rFonts w:ascii="Arial" w:hAnsi="Arial"/>
          <w:b/>
          <w:sz w:val="20"/>
        </w:rPr>
        <w:t>de</w:t>
      </w:r>
      <w:r>
        <w:rPr>
          <w:rFonts w:ascii="Arial" w:hAnsi="Arial"/>
          <w:b/>
          <w:spacing w:val="-8"/>
          <w:sz w:val="20"/>
        </w:rPr>
        <w:t> </w:t>
      </w:r>
      <w:r>
        <w:rPr>
          <w:rFonts w:ascii="Arial" w:hAnsi="Arial"/>
          <w:b/>
          <w:spacing w:val="-2"/>
          <w:sz w:val="20"/>
        </w:rPr>
        <w:t>embarazo</w:t>
      </w:r>
    </w:p>
    <w:p>
      <w:pPr>
        <w:pStyle w:val="BodyText"/>
        <w:spacing w:before="3"/>
        <w:rPr>
          <w:rFonts w:ascii="Arial"/>
          <w:b/>
        </w:rPr>
      </w:pPr>
    </w:p>
    <w:p>
      <w:pPr>
        <w:pStyle w:val="BodyText"/>
        <w:spacing w:before="1"/>
        <w:ind w:left="626"/>
      </w:pPr>
      <w:r>
        <w:rPr/>
        <w:t>Código</w:t>
      </w:r>
      <w:r>
        <w:rPr>
          <w:spacing w:val="-10"/>
        </w:rPr>
        <w:t> </w:t>
      </w:r>
      <w:r>
        <w:rPr/>
        <w:t>CIE-11:</w:t>
      </w:r>
      <w:r>
        <w:rPr>
          <w:spacing w:val="-9"/>
        </w:rPr>
        <w:t> </w:t>
      </w:r>
      <w:r>
        <w:rPr>
          <w:spacing w:val="-4"/>
        </w:rPr>
        <w:t>GA33</w:t>
      </w:r>
    </w:p>
    <w:p>
      <w:pPr>
        <w:pStyle w:val="ListParagraph"/>
        <w:numPr>
          <w:ilvl w:val="2"/>
          <w:numId w:val="160"/>
        </w:numPr>
        <w:tabs>
          <w:tab w:pos="1045" w:val="left" w:leader="none"/>
          <w:tab w:pos="1058" w:val="left" w:leader="none"/>
        </w:tabs>
        <w:spacing w:line="240" w:lineRule="auto" w:before="229" w:after="0"/>
        <w:ind w:left="1058" w:right="341" w:hanging="432"/>
        <w:jc w:val="both"/>
        <w:rPr>
          <w:sz w:val="20"/>
        </w:rPr>
      </w:pPr>
      <w:r>
        <w:rPr>
          <w:sz w:val="20"/>
        </w:rPr>
        <w:t>Personas trabajadoras expuestas a medicamentos antineoplásicos, tales como: personas trabajadoras encargadas de la fabricación y formulación de estas substancias en la industria químico-farmacéutica. Personal de la salud que los prepara y aplica.</w:t>
      </w:r>
    </w:p>
    <w:p>
      <w:pPr>
        <w:pStyle w:val="ListParagraph"/>
        <w:numPr>
          <w:ilvl w:val="2"/>
          <w:numId w:val="160"/>
        </w:numPr>
        <w:tabs>
          <w:tab w:pos="1045" w:val="left" w:leader="none"/>
          <w:tab w:pos="1058" w:val="left" w:leader="none"/>
        </w:tabs>
        <w:spacing w:line="240" w:lineRule="auto" w:before="229" w:after="0"/>
        <w:ind w:left="1058" w:right="334" w:hanging="432"/>
        <w:jc w:val="both"/>
        <w:rPr>
          <w:sz w:val="20"/>
        </w:rPr>
      </w:pPr>
      <w:r>
        <w:rPr>
          <w:sz w:val="20"/>
        </w:rPr>
        <w:t>Personas trabajadoras expuestas al disulfuro de carbono, tales como: en la industria química, manufactura de rayón, barnices, aceleradores del hule, bromuros, celofán, cementos de neopreno, combustibles para cohetes, como solvente de sulfuros, fosfuros, pinturas,</w:t>
      </w:r>
      <w:r>
        <w:rPr>
          <w:spacing w:val="40"/>
          <w:sz w:val="20"/>
        </w:rPr>
        <w:t> </w:t>
      </w:r>
      <w:r>
        <w:rPr>
          <w:sz w:val="20"/>
        </w:rPr>
        <w:t>removedores de pintura y barnices, selenio, como componente de insecticidas y yoduros.</w:t>
      </w:r>
    </w:p>
    <w:p>
      <w:pPr>
        <w:pStyle w:val="ListParagraph"/>
        <w:numPr>
          <w:ilvl w:val="2"/>
          <w:numId w:val="160"/>
        </w:numPr>
        <w:tabs>
          <w:tab w:pos="1045" w:val="left" w:leader="none"/>
          <w:tab w:pos="1058" w:val="left" w:leader="none"/>
        </w:tabs>
        <w:spacing w:line="240" w:lineRule="auto" w:before="227" w:after="0"/>
        <w:ind w:left="1058" w:right="344" w:hanging="432"/>
        <w:jc w:val="both"/>
        <w:rPr>
          <w:sz w:val="20"/>
        </w:rPr>
      </w:pPr>
      <w:r>
        <w:rPr>
          <w:sz w:val="20"/>
        </w:rPr>
        <w:t>Personas</w:t>
      </w:r>
      <w:r>
        <w:rPr>
          <w:spacing w:val="-2"/>
          <w:sz w:val="20"/>
        </w:rPr>
        <w:t> </w:t>
      </w:r>
      <w:r>
        <w:rPr>
          <w:sz w:val="20"/>
        </w:rPr>
        <w:t>trabajadoras</w:t>
      </w:r>
      <w:r>
        <w:rPr>
          <w:spacing w:val="-1"/>
          <w:sz w:val="20"/>
        </w:rPr>
        <w:t> </w:t>
      </w:r>
      <w:r>
        <w:rPr>
          <w:sz w:val="20"/>
        </w:rPr>
        <w:t>expuestas</w:t>
      </w:r>
      <w:r>
        <w:rPr>
          <w:spacing w:val="-2"/>
          <w:sz w:val="20"/>
        </w:rPr>
        <w:t> </w:t>
      </w:r>
      <w:r>
        <w:rPr>
          <w:sz w:val="20"/>
        </w:rPr>
        <w:t>al</w:t>
      </w:r>
      <w:r>
        <w:rPr>
          <w:spacing w:val="-2"/>
          <w:sz w:val="20"/>
        </w:rPr>
        <w:t> </w:t>
      </w:r>
      <w:r>
        <w:rPr>
          <w:sz w:val="20"/>
        </w:rPr>
        <w:t>plomo,</w:t>
      </w:r>
      <w:r>
        <w:rPr>
          <w:spacing w:val="-3"/>
          <w:sz w:val="20"/>
        </w:rPr>
        <w:t> </w:t>
      </w:r>
      <w:r>
        <w:rPr>
          <w:sz w:val="20"/>
        </w:rPr>
        <w:t>tales</w:t>
      </w:r>
      <w:r>
        <w:rPr>
          <w:spacing w:val="-2"/>
          <w:sz w:val="20"/>
        </w:rPr>
        <w:t> </w:t>
      </w:r>
      <w:r>
        <w:rPr>
          <w:sz w:val="20"/>
        </w:rPr>
        <w:t>como:</w:t>
      </w:r>
      <w:r>
        <w:rPr>
          <w:spacing w:val="-3"/>
          <w:sz w:val="20"/>
        </w:rPr>
        <w:t> </w:t>
      </w:r>
      <w:r>
        <w:rPr>
          <w:sz w:val="20"/>
        </w:rPr>
        <w:t>trabajadoras</w:t>
      </w:r>
      <w:r>
        <w:rPr>
          <w:spacing w:val="-2"/>
          <w:sz w:val="20"/>
        </w:rPr>
        <w:t> </w:t>
      </w:r>
      <w:r>
        <w:rPr>
          <w:sz w:val="20"/>
        </w:rPr>
        <w:t>en</w:t>
      </w:r>
      <w:r>
        <w:rPr>
          <w:spacing w:val="-3"/>
          <w:sz w:val="20"/>
        </w:rPr>
        <w:t> </w:t>
      </w:r>
      <w:r>
        <w:rPr>
          <w:sz w:val="20"/>
        </w:rPr>
        <w:t>actividades</w:t>
      </w:r>
      <w:r>
        <w:rPr>
          <w:spacing w:val="-2"/>
          <w:sz w:val="20"/>
        </w:rPr>
        <w:t> </w:t>
      </w:r>
      <w:r>
        <w:rPr>
          <w:sz w:val="20"/>
        </w:rPr>
        <w:t>de</w:t>
      </w:r>
      <w:r>
        <w:rPr>
          <w:spacing w:val="-4"/>
          <w:sz w:val="20"/>
        </w:rPr>
        <w:t> </w:t>
      </w:r>
      <w:r>
        <w:rPr>
          <w:sz w:val="20"/>
        </w:rPr>
        <w:t>albayalde, barnices, cerámica, envolturas de cables, esmalte, lacas, preparación de carburantes y fundición de plomo.</w:t>
      </w:r>
    </w:p>
    <w:p>
      <w:pPr>
        <w:pStyle w:val="ListParagraph"/>
        <w:numPr>
          <w:ilvl w:val="2"/>
          <w:numId w:val="160"/>
        </w:numPr>
        <w:tabs>
          <w:tab w:pos="1045" w:val="left" w:leader="none"/>
          <w:tab w:pos="1058" w:val="left" w:leader="none"/>
        </w:tabs>
        <w:spacing w:line="240" w:lineRule="auto" w:before="228" w:after="0"/>
        <w:ind w:left="1058" w:right="331" w:hanging="432"/>
        <w:jc w:val="both"/>
        <w:rPr>
          <w:sz w:val="20"/>
        </w:rPr>
      </w:pPr>
      <w:r>
        <w:rPr>
          <w:sz w:val="20"/>
        </w:rPr>
        <w:t>Personas trabajadoras expuestas en la fabricación de cajas para conservas, acumuladores, insecticidas, juguetes, pigmentos, tubos de plomo, plomo orgánico, fabricación y manipulación de productos de limpieza. Personas trabajadoras expuestas que laboran en fábricas de blindaje de material radioactivo, en la industria militar, en las refinerías de gasolina con plomo y en los surtidores de gasolina. Personas trabajadoras en actividades como: pintoras, impresores, plomeras y soldadoras de metales que contienen plomo. Todas aquellas personas trabajadoras expuestas a estas sustancias en procesos de almacenamiento, aplicación, manejo, mantenimiento y producción.</w:t>
      </w:r>
    </w:p>
    <w:p>
      <w:pPr>
        <w:pStyle w:val="ListParagraph"/>
        <w:numPr>
          <w:ilvl w:val="2"/>
          <w:numId w:val="160"/>
        </w:numPr>
        <w:tabs>
          <w:tab w:pos="1045" w:val="left" w:leader="none"/>
          <w:tab w:pos="1058" w:val="left" w:leader="none"/>
        </w:tabs>
        <w:spacing w:line="240" w:lineRule="auto" w:before="229" w:after="0"/>
        <w:ind w:left="1058" w:right="343"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9" w:after="0"/>
        <w:ind w:left="1069" w:right="0" w:hanging="443"/>
        <w:jc w:val="left"/>
      </w:pPr>
      <w:r>
        <w:rPr>
          <w:spacing w:val="-2"/>
        </w:rPr>
        <w:t>Endometriosis</w:t>
      </w:r>
    </w:p>
    <w:p>
      <w:pPr>
        <w:pStyle w:val="BodyText"/>
        <w:rPr>
          <w:rFonts w:ascii="Arial"/>
          <w:b/>
        </w:rPr>
      </w:pPr>
    </w:p>
    <w:p>
      <w:pPr>
        <w:pStyle w:val="BodyText"/>
        <w:ind w:left="626"/>
      </w:pPr>
      <w:r>
        <w:rPr/>
        <w:t>Código</w:t>
      </w:r>
      <w:r>
        <w:rPr>
          <w:spacing w:val="-10"/>
        </w:rPr>
        <w:t> </w:t>
      </w:r>
      <w:r>
        <w:rPr/>
        <w:t>CIE-11:</w:t>
      </w:r>
      <w:r>
        <w:rPr>
          <w:spacing w:val="-9"/>
        </w:rPr>
        <w:t> </w:t>
      </w:r>
      <w:r>
        <w:rPr>
          <w:spacing w:val="-4"/>
        </w:rPr>
        <w:t>GA10</w:t>
      </w:r>
    </w:p>
    <w:p>
      <w:pPr>
        <w:pStyle w:val="BodyText"/>
      </w:pPr>
    </w:p>
    <w:p>
      <w:pPr>
        <w:pStyle w:val="ListParagraph"/>
        <w:numPr>
          <w:ilvl w:val="2"/>
          <w:numId w:val="160"/>
        </w:numPr>
        <w:tabs>
          <w:tab w:pos="1045" w:val="left" w:leader="none"/>
          <w:tab w:pos="1058" w:val="left" w:leader="none"/>
        </w:tabs>
        <w:spacing w:line="240" w:lineRule="auto" w:before="0" w:after="0"/>
        <w:ind w:left="1058" w:right="342" w:hanging="432"/>
        <w:jc w:val="both"/>
        <w:rPr>
          <w:sz w:val="20"/>
        </w:rPr>
      </w:pPr>
      <w:r>
        <w:rPr>
          <w:sz w:val="20"/>
        </w:rPr>
        <w:t>Personas trabajadoras en procesos industriales relacionadas con el cloro: personas trabajadoras expuestas al blanqueo de la pulpa y pasta de papel con cloro; a la fabricación de productos químicos orgánicos clorados, tales como: clorofenoles, bifenilos policlorados (PCBs), clorobenceno y pigmentos. Fabricación de plaguicidas.</w:t>
      </w:r>
    </w:p>
    <w:p>
      <w:pPr>
        <w:pStyle w:val="ListParagraph"/>
        <w:numPr>
          <w:ilvl w:val="2"/>
          <w:numId w:val="160"/>
        </w:numPr>
        <w:tabs>
          <w:tab w:pos="1045" w:val="left" w:leader="none"/>
          <w:tab w:pos="1058" w:val="left" w:leader="none"/>
        </w:tabs>
        <w:spacing w:line="240" w:lineRule="auto" w:before="229" w:after="0"/>
        <w:ind w:left="1058" w:right="341" w:hanging="432"/>
        <w:jc w:val="both"/>
        <w:rPr>
          <w:sz w:val="20"/>
        </w:rPr>
      </w:pPr>
      <w:r>
        <w:rPr>
          <w:sz w:val="20"/>
        </w:rPr>
        <w:t>Personas trabajadoras expuestas en los procesos térmicos, como son: hornos de cementeras, incineración de todo tipo de residuos; industria del acero, fundiciones y plantas de sinterización; producción de electricidad en centrales térmicas; producción de energía, calefacción con combustión de carbón, gasóleo o madera; reciclaje de metales no ferrosos, tales como: aluminio, cobre y zinc.</w:t>
      </w:r>
    </w:p>
    <w:p>
      <w:pPr>
        <w:pStyle w:val="BodyText"/>
      </w:pPr>
    </w:p>
    <w:p>
      <w:pPr>
        <w:pStyle w:val="ListParagraph"/>
        <w:numPr>
          <w:ilvl w:val="2"/>
          <w:numId w:val="160"/>
        </w:numPr>
        <w:tabs>
          <w:tab w:pos="1045" w:val="left" w:leader="none"/>
          <w:tab w:pos="1058" w:val="left" w:leader="none"/>
        </w:tabs>
        <w:spacing w:line="240" w:lineRule="auto" w:before="0" w:after="0"/>
        <w:ind w:left="1058" w:right="337" w:hanging="432"/>
        <w:jc w:val="both"/>
        <w:rPr>
          <w:sz w:val="20"/>
        </w:rPr>
      </w:pPr>
      <w:r>
        <w:rPr>
          <w:sz w:val="20"/>
        </w:rPr>
        <w:t>Personas trabajadoras que presentan exposición de forma directa e indudable a la acción de los agentes causales establecidos en la fracción II de la cédula correspondiente contenida en el Catálogo</w:t>
      </w:r>
      <w:r>
        <w:rPr>
          <w:spacing w:val="36"/>
          <w:sz w:val="20"/>
        </w:rPr>
        <w:t> </w:t>
      </w:r>
      <w:r>
        <w:rPr>
          <w:sz w:val="20"/>
        </w:rPr>
        <w:t>de</w:t>
      </w:r>
      <w:r>
        <w:rPr>
          <w:spacing w:val="38"/>
          <w:sz w:val="20"/>
        </w:rPr>
        <w:t> </w:t>
      </w:r>
      <w:r>
        <w:rPr>
          <w:sz w:val="20"/>
        </w:rPr>
        <w:t>las</w:t>
      </w:r>
      <w:r>
        <w:rPr>
          <w:spacing w:val="37"/>
          <w:sz w:val="20"/>
        </w:rPr>
        <w:t> </w:t>
      </w:r>
      <w:r>
        <w:rPr>
          <w:sz w:val="20"/>
        </w:rPr>
        <w:t>Cédulas</w:t>
      </w:r>
      <w:r>
        <w:rPr>
          <w:spacing w:val="39"/>
          <w:sz w:val="20"/>
        </w:rPr>
        <w:t> </w:t>
      </w:r>
      <w:r>
        <w:rPr>
          <w:sz w:val="20"/>
        </w:rPr>
        <w:t>para</w:t>
      </w:r>
      <w:r>
        <w:rPr>
          <w:spacing w:val="36"/>
          <w:sz w:val="20"/>
        </w:rPr>
        <w:t> </w:t>
      </w:r>
      <w:r>
        <w:rPr>
          <w:sz w:val="20"/>
        </w:rPr>
        <w:t>la</w:t>
      </w:r>
      <w:r>
        <w:rPr>
          <w:spacing w:val="36"/>
          <w:sz w:val="20"/>
        </w:rPr>
        <w:t> </w:t>
      </w:r>
      <w:r>
        <w:rPr>
          <w:sz w:val="20"/>
        </w:rPr>
        <w:t>Valuación</w:t>
      </w:r>
      <w:r>
        <w:rPr>
          <w:spacing w:val="36"/>
          <w:sz w:val="20"/>
        </w:rPr>
        <w:t> </w:t>
      </w:r>
      <w:r>
        <w:rPr>
          <w:sz w:val="20"/>
        </w:rPr>
        <w:t>de</w:t>
      </w:r>
      <w:r>
        <w:rPr>
          <w:spacing w:val="36"/>
          <w:sz w:val="20"/>
        </w:rPr>
        <w:t> </w:t>
      </w:r>
      <w:r>
        <w:rPr>
          <w:sz w:val="20"/>
        </w:rPr>
        <w:t>las</w:t>
      </w:r>
      <w:r>
        <w:rPr>
          <w:spacing w:val="39"/>
          <w:sz w:val="20"/>
        </w:rPr>
        <w:t> </w:t>
      </w:r>
      <w:r>
        <w:rPr>
          <w:sz w:val="20"/>
        </w:rPr>
        <w:t>Enfermedades</w:t>
      </w:r>
      <w:r>
        <w:rPr>
          <w:spacing w:val="37"/>
          <w:sz w:val="20"/>
        </w:rPr>
        <w:t> </w:t>
      </w:r>
      <w:r>
        <w:rPr>
          <w:sz w:val="20"/>
        </w:rPr>
        <w:t>de</w:t>
      </w:r>
      <w:r>
        <w:rPr>
          <w:spacing w:val="40"/>
          <w:sz w:val="20"/>
        </w:rPr>
        <w:t> </w:t>
      </w:r>
      <w:r>
        <w:rPr>
          <w:sz w:val="20"/>
        </w:rPr>
        <w:t>Trabajo,</w:t>
      </w:r>
      <w:r>
        <w:rPr>
          <w:spacing w:val="38"/>
          <w:sz w:val="20"/>
        </w:rPr>
        <w:t> </w:t>
      </w:r>
      <w:r>
        <w:rPr>
          <w:sz w:val="20"/>
        </w:rPr>
        <w:t>que</w:t>
      </w:r>
      <w:r>
        <w:rPr>
          <w:spacing w:val="36"/>
          <w:sz w:val="20"/>
        </w:rPr>
        <w:t> </w:t>
      </w:r>
      <w:r>
        <w:rPr>
          <w:sz w:val="20"/>
        </w:rPr>
        <w:t>tengan</w:t>
      </w:r>
      <w:r>
        <w:rPr>
          <w:spacing w:val="35"/>
          <w:sz w:val="20"/>
        </w:rPr>
        <w:t> </w:t>
      </w:r>
      <w:r>
        <w:rPr>
          <w:sz w:val="20"/>
        </w:rPr>
        <w:t>su</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058"/>
      </w:pPr>
      <w:r>
        <w:rPr/>
        <w:t>origen</w:t>
      </w:r>
      <w:r>
        <w:rPr>
          <w:spacing w:val="32"/>
        </w:rPr>
        <w:t> </w:t>
      </w:r>
      <w:r>
        <w:rPr/>
        <w:t>o</w:t>
      </w:r>
      <w:r>
        <w:rPr>
          <w:spacing w:val="34"/>
        </w:rPr>
        <w:t> </w:t>
      </w:r>
      <w:r>
        <w:rPr/>
        <w:t>con</w:t>
      </w:r>
      <w:r>
        <w:rPr>
          <w:spacing w:val="34"/>
        </w:rPr>
        <w:t> </w:t>
      </w:r>
      <w:r>
        <w:rPr/>
        <w:t>motivo</w:t>
      </w:r>
      <w:r>
        <w:rPr>
          <w:spacing w:val="34"/>
        </w:rPr>
        <w:t> </w:t>
      </w:r>
      <w:r>
        <w:rPr/>
        <w:t>del</w:t>
      </w:r>
      <w:r>
        <w:rPr>
          <w:spacing w:val="31"/>
        </w:rPr>
        <w:t> </w:t>
      </w:r>
      <w:r>
        <w:rPr/>
        <w:t>trabajo</w:t>
      </w:r>
      <w:r>
        <w:rPr>
          <w:spacing w:val="34"/>
        </w:rPr>
        <w:t> </w:t>
      </w:r>
      <w:r>
        <w:rPr/>
        <w:t>o</w:t>
      </w:r>
      <w:r>
        <w:rPr>
          <w:spacing w:val="32"/>
        </w:rPr>
        <w:t> </w:t>
      </w:r>
      <w:r>
        <w:rPr/>
        <w:t>en</w:t>
      </w:r>
      <w:r>
        <w:rPr>
          <w:spacing w:val="34"/>
        </w:rPr>
        <w:t> </w:t>
      </w:r>
      <w:r>
        <w:rPr/>
        <w:t>el</w:t>
      </w:r>
      <w:r>
        <w:rPr>
          <w:spacing w:val="33"/>
        </w:rPr>
        <w:t> </w:t>
      </w:r>
      <w:r>
        <w:rPr/>
        <w:t>medio</w:t>
      </w:r>
      <w:r>
        <w:rPr>
          <w:spacing w:val="32"/>
        </w:rPr>
        <w:t> </w:t>
      </w:r>
      <w:r>
        <w:rPr/>
        <w:t>que</w:t>
      </w:r>
      <w:r>
        <w:rPr>
          <w:spacing w:val="34"/>
        </w:rPr>
        <w:t> </w:t>
      </w:r>
      <w:r>
        <w:rPr/>
        <w:t>la</w:t>
      </w:r>
      <w:r>
        <w:rPr>
          <w:spacing w:val="32"/>
        </w:rPr>
        <w:t> </w:t>
      </w:r>
      <w:r>
        <w:rPr/>
        <w:t>persona</w:t>
      </w:r>
      <w:r>
        <w:rPr>
          <w:spacing w:val="34"/>
        </w:rPr>
        <w:t> </w:t>
      </w:r>
      <w:r>
        <w:rPr/>
        <w:t>trabajadora</w:t>
      </w:r>
      <w:r>
        <w:rPr>
          <w:spacing w:val="32"/>
        </w:rPr>
        <w:t> </w:t>
      </w:r>
      <w:r>
        <w:rPr/>
        <w:t>se</w:t>
      </w:r>
      <w:r>
        <w:rPr>
          <w:spacing w:val="37"/>
        </w:rPr>
        <w:t> </w:t>
      </w:r>
      <w:r>
        <w:rPr/>
        <w:t>vea</w:t>
      </w:r>
      <w:r>
        <w:rPr>
          <w:spacing w:val="34"/>
        </w:rPr>
        <w:t> </w:t>
      </w:r>
      <w:r>
        <w:rPr/>
        <w:t>obligada</w:t>
      </w:r>
      <w:r>
        <w:rPr>
          <w:spacing w:val="34"/>
        </w:rPr>
        <w:t> </w:t>
      </w:r>
      <w:r>
        <w:rPr/>
        <w:t>a prestar sus servicios.</w:t>
      </w:r>
    </w:p>
    <w:p>
      <w:pPr>
        <w:pStyle w:val="Heading3"/>
        <w:numPr>
          <w:ilvl w:val="1"/>
          <w:numId w:val="160"/>
        </w:numPr>
        <w:tabs>
          <w:tab w:pos="1069" w:val="left" w:leader="none"/>
        </w:tabs>
        <w:spacing w:line="240" w:lineRule="auto" w:before="229" w:after="0"/>
        <w:ind w:left="1069" w:right="0" w:hanging="443"/>
        <w:jc w:val="left"/>
      </w:pPr>
      <w:r>
        <w:rPr/>
        <w:t>Hipotiroidismo</w:t>
      </w:r>
      <w:r>
        <w:rPr>
          <w:spacing w:val="-6"/>
        </w:rPr>
        <w:t> </w:t>
      </w:r>
      <w:r>
        <w:rPr/>
        <w:t>por</w:t>
      </w:r>
      <w:r>
        <w:rPr>
          <w:spacing w:val="-7"/>
        </w:rPr>
        <w:t> </w:t>
      </w:r>
      <w:r>
        <w:rPr/>
        <w:t>el</w:t>
      </w:r>
      <w:r>
        <w:rPr>
          <w:spacing w:val="-4"/>
        </w:rPr>
        <w:t> </w:t>
      </w:r>
      <w:r>
        <w:rPr/>
        <w:t>uso</w:t>
      </w:r>
      <w:r>
        <w:rPr>
          <w:spacing w:val="-6"/>
        </w:rPr>
        <w:t> </w:t>
      </w:r>
      <w:r>
        <w:rPr/>
        <w:t>de</w:t>
      </w:r>
      <w:r>
        <w:rPr>
          <w:spacing w:val="-6"/>
        </w:rPr>
        <w:t> </w:t>
      </w:r>
      <w:r>
        <w:rPr/>
        <w:t>medicamentos</w:t>
      </w:r>
      <w:r>
        <w:rPr>
          <w:spacing w:val="-7"/>
        </w:rPr>
        <w:t> </w:t>
      </w:r>
      <w:r>
        <w:rPr/>
        <w:t>o</w:t>
      </w:r>
      <w:r>
        <w:rPr>
          <w:spacing w:val="-4"/>
        </w:rPr>
        <w:t> </w:t>
      </w:r>
      <w:r>
        <w:rPr/>
        <w:t>de</w:t>
      </w:r>
      <w:r>
        <w:rPr>
          <w:spacing w:val="-6"/>
        </w:rPr>
        <w:t> </w:t>
      </w:r>
      <w:r>
        <w:rPr/>
        <w:t>otras</w:t>
      </w:r>
      <w:r>
        <w:rPr>
          <w:spacing w:val="-6"/>
        </w:rPr>
        <w:t> </w:t>
      </w:r>
      <w:r>
        <w:rPr/>
        <w:t>sustancias</w:t>
      </w:r>
      <w:r>
        <w:rPr>
          <w:spacing w:val="-5"/>
        </w:rPr>
        <w:t> </w:t>
      </w:r>
      <w:r>
        <w:rPr>
          <w:spacing w:val="-2"/>
        </w:rPr>
        <w:t>exógenas</w:t>
      </w:r>
    </w:p>
    <w:p>
      <w:pPr>
        <w:pStyle w:val="BodyText"/>
        <w:spacing w:before="3"/>
        <w:rPr>
          <w:rFonts w:ascii="Arial"/>
          <w:b/>
        </w:rPr>
      </w:pPr>
    </w:p>
    <w:p>
      <w:pPr>
        <w:pStyle w:val="BodyText"/>
        <w:ind w:left="626"/>
      </w:pPr>
      <w:r>
        <w:rPr/>
        <w:t>Código</w:t>
      </w:r>
      <w:r>
        <w:rPr>
          <w:spacing w:val="-10"/>
        </w:rPr>
        <w:t> </w:t>
      </w:r>
      <w:r>
        <w:rPr/>
        <w:t>CIE-11:</w:t>
      </w:r>
      <w:r>
        <w:rPr>
          <w:spacing w:val="-9"/>
        </w:rPr>
        <w:t> </w:t>
      </w:r>
      <w:r>
        <w:rPr>
          <w:spacing w:val="-2"/>
        </w:rPr>
        <w:t>5A00.20</w:t>
      </w:r>
    </w:p>
    <w:p>
      <w:pPr>
        <w:pStyle w:val="ListParagraph"/>
        <w:numPr>
          <w:ilvl w:val="2"/>
          <w:numId w:val="160"/>
        </w:numPr>
        <w:tabs>
          <w:tab w:pos="1045" w:val="left" w:leader="none"/>
          <w:tab w:pos="1058" w:val="left" w:leader="none"/>
        </w:tabs>
        <w:spacing w:line="240" w:lineRule="auto" w:before="227" w:after="0"/>
        <w:ind w:left="1058" w:right="338" w:hanging="432"/>
        <w:jc w:val="both"/>
        <w:rPr>
          <w:sz w:val="20"/>
        </w:rPr>
      </w:pPr>
      <w:r>
        <w:rPr>
          <w:sz w:val="20"/>
        </w:rPr>
        <w:t>Personas trabajadoras expuestas al plomo. Personas trabajadoras en el uso de albayalde y elaboración de: barnices, cerámica, envolturas de cables, esmalte, lacas, preparación de carburantes y fundición de plomo. Personas trabajadoras expuestas en la fabricación de cajas para conservas, acumuladores, insecticidas, juguetes, pigmentos, tubos de plomo, plomo orgánico, fabricación y manipulación de productos de limpieza. Personas trabajadoras expuestas que</w:t>
      </w:r>
      <w:r>
        <w:rPr>
          <w:spacing w:val="-2"/>
          <w:sz w:val="20"/>
        </w:rPr>
        <w:t> </w:t>
      </w:r>
      <w:r>
        <w:rPr>
          <w:sz w:val="20"/>
        </w:rPr>
        <w:t>laboran</w:t>
      </w:r>
      <w:r>
        <w:rPr>
          <w:spacing w:val="-3"/>
          <w:sz w:val="20"/>
        </w:rPr>
        <w:t> </w:t>
      </w:r>
      <w:r>
        <w:rPr>
          <w:sz w:val="20"/>
        </w:rPr>
        <w:t>en</w:t>
      </w:r>
      <w:r>
        <w:rPr>
          <w:spacing w:val="-3"/>
          <w:sz w:val="20"/>
        </w:rPr>
        <w:t> </w:t>
      </w:r>
      <w:r>
        <w:rPr>
          <w:sz w:val="20"/>
        </w:rPr>
        <w:t>fábricas</w:t>
      </w:r>
      <w:r>
        <w:rPr>
          <w:spacing w:val="-1"/>
          <w:sz w:val="20"/>
        </w:rPr>
        <w:t> </w:t>
      </w:r>
      <w:r>
        <w:rPr>
          <w:sz w:val="20"/>
        </w:rPr>
        <w:t>de</w:t>
      </w:r>
      <w:r>
        <w:rPr>
          <w:spacing w:val="-2"/>
          <w:sz w:val="20"/>
        </w:rPr>
        <w:t> </w:t>
      </w:r>
      <w:r>
        <w:rPr>
          <w:sz w:val="20"/>
        </w:rPr>
        <w:t>blindaje</w:t>
      </w:r>
      <w:r>
        <w:rPr>
          <w:spacing w:val="-2"/>
          <w:sz w:val="20"/>
        </w:rPr>
        <w:t> </w:t>
      </w:r>
      <w:r>
        <w:rPr>
          <w:sz w:val="20"/>
        </w:rPr>
        <w:t>de</w:t>
      </w:r>
      <w:r>
        <w:rPr>
          <w:spacing w:val="-2"/>
          <w:sz w:val="20"/>
        </w:rPr>
        <w:t> </w:t>
      </w:r>
      <w:r>
        <w:rPr>
          <w:sz w:val="20"/>
        </w:rPr>
        <w:t>material</w:t>
      </w:r>
      <w:r>
        <w:rPr>
          <w:spacing w:val="-3"/>
          <w:sz w:val="20"/>
        </w:rPr>
        <w:t> </w:t>
      </w:r>
      <w:r>
        <w:rPr>
          <w:sz w:val="20"/>
        </w:rPr>
        <w:t>radioactivo,</w:t>
      </w:r>
      <w:r>
        <w:rPr>
          <w:spacing w:val="-2"/>
          <w:sz w:val="20"/>
        </w:rPr>
        <w:t> </w:t>
      </w:r>
      <w:r>
        <w:rPr>
          <w:sz w:val="20"/>
        </w:rPr>
        <w:t>en la</w:t>
      </w:r>
      <w:r>
        <w:rPr>
          <w:spacing w:val="-2"/>
          <w:sz w:val="20"/>
        </w:rPr>
        <w:t> </w:t>
      </w:r>
      <w:r>
        <w:rPr>
          <w:sz w:val="20"/>
        </w:rPr>
        <w:t>industria</w:t>
      </w:r>
      <w:r>
        <w:rPr>
          <w:spacing w:val="-2"/>
          <w:sz w:val="20"/>
        </w:rPr>
        <w:t> </w:t>
      </w:r>
      <w:r>
        <w:rPr>
          <w:sz w:val="20"/>
        </w:rPr>
        <w:t>militar, en</w:t>
      </w:r>
      <w:r>
        <w:rPr>
          <w:spacing w:val="-3"/>
          <w:sz w:val="20"/>
        </w:rPr>
        <w:t> </w:t>
      </w:r>
      <w:r>
        <w:rPr>
          <w:sz w:val="20"/>
        </w:rPr>
        <w:t>las</w:t>
      </w:r>
      <w:r>
        <w:rPr>
          <w:spacing w:val="-1"/>
          <w:sz w:val="20"/>
        </w:rPr>
        <w:t> </w:t>
      </w:r>
      <w:r>
        <w:rPr>
          <w:sz w:val="20"/>
        </w:rPr>
        <w:t>refinerías de gasolina con plomo y en los surtidores de gasolina. Personas trabajadoras en actividades como: pintores, impresores, plomeros y soldadores de metales que contienen plomo.</w:t>
      </w:r>
    </w:p>
    <w:p>
      <w:pPr>
        <w:pStyle w:val="ListParagraph"/>
        <w:numPr>
          <w:ilvl w:val="2"/>
          <w:numId w:val="160"/>
        </w:numPr>
        <w:tabs>
          <w:tab w:pos="1045" w:val="left" w:leader="none"/>
          <w:tab w:pos="1058" w:val="left" w:leader="none"/>
        </w:tabs>
        <w:spacing w:line="240" w:lineRule="auto" w:before="229" w:after="0"/>
        <w:ind w:left="1058" w:right="341" w:hanging="432"/>
        <w:jc w:val="both"/>
        <w:rPr>
          <w:sz w:val="20"/>
        </w:rPr>
      </w:pPr>
      <w:r>
        <w:rPr>
          <w:sz w:val="20"/>
        </w:rPr>
        <w:t>Personas trabajadoras expuestas a hidrocarburos halogenados, personas expuestas a estas sustancias en procesos de producción, manejo, almacenamiento, aplicación y mantenimiento, personas expuestas al tiouracilo, tíocianato y etilentiourea en la industria del caucho, fabricación de insecticidas y fungicidas.</w:t>
      </w:r>
    </w:p>
    <w:p>
      <w:pPr>
        <w:pStyle w:val="ListParagraph"/>
        <w:numPr>
          <w:ilvl w:val="2"/>
          <w:numId w:val="160"/>
        </w:numPr>
        <w:tabs>
          <w:tab w:pos="1045" w:val="left" w:leader="none"/>
          <w:tab w:pos="1058" w:val="left" w:leader="none"/>
        </w:tabs>
        <w:spacing w:line="240" w:lineRule="auto" w:before="229" w:after="0"/>
        <w:ind w:left="1058" w:right="337"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9" w:after="0"/>
        <w:ind w:left="1069" w:right="0" w:hanging="443"/>
        <w:jc w:val="left"/>
      </w:pPr>
      <w:r>
        <w:rPr/>
        <w:t>Infertilidad</w:t>
      </w:r>
      <w:r>
        <w:rPr>
          <w:spacing w:val="-14"/>
        </w:rPr>
        <w:t> </w:t>
      </w:r>
      <w:r>
        <w:rPr>
          <w:spacing w:val="-2"/>
        </w:rPr>
        <w:t>femenina</w:t>
      </w:r>
    </w:p>
    <w:p>
      <w:pPr>
        <w:pStyle w:val="BodyText"/>
        <w:spacing w:before="1"/>
        <w:rPr>
          <w:rFonts w:ascii="Arial"/>
          <w:b/>
        </w:rPr>
      </w:pPr>
    </w:p>
    <w:p>
      <w:pPr>
        <w:pStyle w:val="BodyText"/>
        <w:ind w:left="626"/>
      </w:pPr>
      <w:r>
        <w:rPr/>
        <w:t>Código</w:t>
      </w:r>
      <w:r>
        <w:rPr>
          <w:spacing w:val="-10"/>
        </w:rPr>
        <w:t> </w:t>
      </w:r>
      <w:r>
        <w:rPr/>
        <w:t>CIE-11:</w:t>
      </w:r>
      <w:r>
        <w:rPr>
          <w:spacing w:val="-9"/>
        </w:rPr>
        <w:t> </w:t>
      </w:r>
      <w:r>
        <w:rPr>
          <w:spacing w:val="-4"/>
        </w:rPr>
        <w:t>GA31</w:t>
      </w:r>
    </w:p>
    <w:p>
      <w:pPr>
        <w:pStyle w:val="ListParagraph"/>
        <w:numPr>
          <w:ilvl w:val="2"/>
          <w:numId w:val="160"/>
        </w:numPr>
        <w:tabs>
          <w:tab w:pos="1045" w:val="left" w:leader="none"/>
          <w:tab w:pos="1058" w:val="left" w:leader="none"/>
        </w:tabs>
        <w:spacing w:line="240" w:lineRule="auto" w:before="229" w:after="0"/>
        <w:ind w:left="1058" w:right="341" w:hanging="432"/>
        <w:jc w:val="both"/>
        <w:rPr>
          <w:sz w:val="20"/>
        </w:rPr>
      </w:pPr>
      <w:r>
        <w:rPr>
          <w:sz w:val="20"/>
        </w:rPr>
        <w:t>Personas trabajadoras expuestas a radiaciones ionizantes y que se exponen a los rayos X, tales como: personas trabajadoras de centrales nucleares; en la extracción y tratamiento de minerales radioactivos; fabricación y uso de equipos de radioterapia y de rayos X; todos los trabajos de las clínicas dentales, hospitales, sanatorios que expongan al personal de salud a la acción de los rayos X; plantas de producción de isótopos radioactivos; preparación de compuestos radiactivos incluyendo los productos químicos y farmacéuticos radioactivos; preparación y aplicación de productos fosforescentes radioactivos; radiografías industriales utilizando equipos de rayos X u otras fuentes de emisión de radiaciones gamma.</w:t>
      </w:r>
    </w:p>
    <w:p>
      <w:pPr>
        <w:pStyle w:val="ListParagraph"/>
        <w:numPr>
          <w:ilvl w:val="2"/>
          <w:numId w:val="160"/>
        </w:numPr>
        <w:tabs>
          <w:tab w:pos="1045" w:val="left" w:leader="none"/>
          <w:tab w:pos="1058" w:val="left" w:leader="none"/>
        </w:tabs>
        <w:spacing w:line="240" w:lineRule="auto" w:before="229" w:after="0"/>
        <w:ind w:left="1058" w:right="345" w:hanging="432"/>
        <w:jc w:val="both"/>
        <w:rPr>
          <w:sz w:val="20"/>
        </w:rPr>
      </w:pPr>
      <w:r>
        <w:rPr>
          <w:sz w:val="20"/>
        </w:rPr>
        <w:t>Personas trabajadoras expuestas a la anilina. Personas trabajadoras de la industria colorante, productos farmacéuticos, química, textil y tintas.</w:t>
      </w:r>
    </w:p>
    <w:p>
      <w:pPr>
        <w:pStyle w:val="ListParagraph"/>
        <w:numPr>
          <w:ilvl w:val="2"/>
          <w:numId w:val="160"/>
        </w:numPr>
        <w:tabs>
          <w:tab w:pos="1045" w:val="left" w:leader="none"/>
          <w:tab w:pos="1058" w:val="left" w:leader="none"/>
        </w:tabs>
        <w:spacing w:line="240" w:lineRule="auto" w:before="229" w:after="0"/>
        <w:ind w:left="1058" w:right="342" w:hanging="432"/>
        <w:jc w:val="both"/>
        <w:rPr>
          <w:sz w:val="20"/>
        </w:rPr>
      </w:pPr>
      <w:r>
        <w:rPr>
          <w:sz w:val="20"/>
        </w:rPr>
        <w:t>Personas trabajadoras expuestas al benceno, tales como: conductores de autobuses, fabricación de neumáticos, gasolineras, limpieza con disolventes orgánicos, operarios de motores diésel y refinación del petróleo.</w:t>
      </w:r>
    </w:p>
    <w:p>
      <w:pPr>
        <w:pStyle w:val="ListParagraph"/>
        <w:numPr>
          <w:ilvl w:val="2"/>
          <w:numId w:val="160"/>
        </w:numPr>
        <w:tabs>
          <w:tab w:pos="1045" w:val="left" w:leader="none"/>
          <w:tab w:pos="1058" w:val="left" w:leader="none"/>
        </w:tabs>
        <w:spacing w:line="240" w:lineRule="auto" w:before="228" w:after="0"/>
        <w:ind w:left="1058" w:right="337" w:hanging="432"/>
        <w:jc w:val="both"/>
        <w:rPr>
          <w:sz w:val="20"/>
        </w:rPr>
      </w:pPr>
      <w:r>
        <w:rPr>
          <w:sz w:val="20"/>
        </w:rPr>
        <w:t>Personas trabajadoras expuestas al mercurio, tales como: personas trabajadoras que laboran en la industria química (producción de acetileno), químico-farmacéutica, del bronce, curtiembres, damasquinado, dorado, niquelado y plateado. Personas trabajadoras expuestas en la fabricación del cloro, termómetros, fungicidas, cemento (polvos producidos por los hornos), lámparas de vapores</w:t>
      </w:r>
      <w:r>
        <w:rPr>
          <w:spacing w:val="76"/>
          <w:sz w:val="20"/>
        </w:rPr>
        <w:t> </w:t>
      </w:r>
      <w:r>
        <w:rPr>
          <w:sz w:val="20"/>
        </w:rPr>
        <w:t>de</w:t>
      </w:r>
      <w:r>
        <w:rPr>
          <w:spacing w:val="74"/>
          <w:sz w:val="20"/>
        </w:rPr>
        <w:t> </w:t>
      </w:r>
      <w:r>
        <w:rPr>
          <w:sz w:val="20"/>
        </w:rPr>
        <w:t>mercurio,</w:t>
      </w:r>
      <w:r>
        <w:rPr>
          <w:spacing w:val="72"/>
          <w:sz w:val="20"/>
        </w:rPr>
        <w:t> </w:t>
      </w:r>
      <w:r>
        <w:rPr>
          <w:sz w:val="20"/>
        </w:rPr>
        <w:t>manómetros,</w:t>
      </w:r>
      <w:r>
        <w:rPr>
          <w:spacing w:val="74"/>
          <w:sz w:val="20"/>
        </w:rPr>
        <w:t> </w:t>
      </w:r>
      <w:r>
        <w:rPr>
          <w:sz w:val="20"/>
        </w:rPr>
        <w:t>sombreros</w:t>
      </w:r>
      <w:r>
        <w:rPr>
          <w:spacing w:val="75"/>
          <w:sz w:val="20"/>
        </w:rPr>
        <w:t> </w:t>
      </w:r>
      <w:r>
        <w:rPr>
          <w:sz w:val="20"/>
        </w:rPr>
        <w:t>de</w:t>
      </w:r>
      <w:r>
        <w:rPr>
          <w:spacing w:val="71"/>
          <w:sz w:val="20"/>
        </w:rPr>
        <w:t> </w:t>
      </w:r>
      <w:r>
        <w:rPr>
          <w:sz w:val="20"/>
        </w:rPr>
        <w:t>fieltro,</w:t>
      </w:r>
      <w:r>
        <w:rPr>
          <w:spacing w:val="76"/>
          <w:sz w:val="20"/>
        </w:rPr>
        <w:t> </w:t>
      </w:r>
      <w:r>
        <w:rPr>
          <w:sz w:val="20"/>
        </w:rPr>
        <w:t>y</w:t>
      </w:r>
      <w:r>
        <w:rPr>
          <w:spacing w:val="71"/>
          <w:sz w:val="20"/>
        </w:rPr>
        <w:t> </w:t>
      </w:r>
      <w:r>
        <w:rPr>
          <w:sz w:val="20"/>
        </w:rPr>
        <w:t>fabricación</w:t>
      </w:r>
      <w:r>
        <w:rPr>
          <w:spacing w:val="77"/>
          <w:sz w:val="20"/>
        </w:rPr>
        <w:t> </w:t>
      </w:r>
      <w:r>
        <w:rPr>
          <w:sz w:val="20"/>
        </w:rPr>
        <w:t>y</w:t>
      </w:r>
      <w:r>
        <w:rPr>
          <w:spacing w:val="73"/>
          <w:sz w:val="20"/>
        </w:rPr>
        <w:t> </w:t>
      </w:r>
      <w:r>
        <w:rPr>
          <w:sz w:val="20"/>
        </w:rPr>
        <w:t>manipulación</w:t>
      </w:r>
      <w:r>
        <w:rPr>
          <w:spacing w:val="74"/>
          <w:sz w:val="20"/>
        </w:rPr>
        <w:t> </w:t>
      </w:r>
      <w:r>
        <w:rPr>
          <w:sz w:val="20"/>
        </w:rPr>
        <w:t>de</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058" w:right="338"/>
        <w:jc w:val="both"/>
      </w:pPr>
      <w:r>
        <w:rPr/>
        <w:t>explosivos. Personas trabajadoras expuestas en la conservación de semillas y electrólisis de las salmueras. Mineros de extracción de oro, plata y mercurio, y manipuladores del metal y sus derivados. Personas ayudantes, secretarias de servicios médicos y odontológicos.</w:t>
      </w:r>
    </w:p>
    <w:p>
      <w:pPr>
        <w:pStyle w:val="BodyText"/>
      </w:pPr>
    </w:p>
    <w:p>
      <w:pPr>
        <w:pStyle w:val="ListParagraph"/>
        <w:numPr>
          <w:ilvl w:val="2"/>
          <w:numId w:val="160"/>
        </w:numPr>
        <w:tabs>
          <w:tab w:pos="1045" w:val="left" w:leader="none"/>
          <w:tab w:pos="1058" w:val="left" w:leader="none"/>
        </w:tabs>
        <w:spacing w:line="240" w:lineRule="auto" w:before="1" w:after="0"/>
        <w:ind w:left="1058" w:right="340" w:hanging="432"/>
        <w:jc w:val="both"/>
        <w:rPr>
          <w:sz w:val="20"/>
        </w:rPr>
      </w:pPr>
      <w:r>
        <w:rPr>
          <w:sz w:val="20"/>
        </w:rPr>
        <w:t>Personas</w:t>
      </w:r>
      <w:r>
        <w:rPr>
          <w:spacing w:val="-3"/>
          <w:sz w:val="20"/>
        </w:rPr>
        <w:t> </w:t>
      </w:r>
      <w:r>
        <w:rPr>
          <w:sz w:val="20"/>
        </w:rPr>
        <w:t>trabajadoras</w:t>
      </w:r>
      <w:r>
        <w:rPr>
          <w:spacing w:val="-2"/>
          <w:sz w:val="20"/>
        </w:rPr>
        <w:t> </w:t>
      </w:r>
      <w:r>
        <w:rPr>
          <w:sz w:val="20"/>
        </w:rPr>
        <w:t>expuestas</w:t>
      </w:r>
      <w:r>
        <w:rPr>
          <w:spacing w:val="-3"/>
          <w:sz w:val="20"/>
        </w:rPr>
        <w:t> </w:t>
      </w:r>
      <w:r>
        <w:rPr>
          <w:sz w:val="20"/>
        </w:rPr>
        <w:t>a</w:t>
      </w:r>
      <w:r>
        <w:rPr>
          <w:spacing w:val="-4"/>
          <w:sz w:val="20"/>
        </w:rPr>
        <w:t> </w:t>
      </w:r>
      <w:r>
        <w:rPr>
          <w:sz w:val="20"/>
        </w:rPr>
        <w:t>estas</w:t>
      </w:r>
      <w:r>
        <w:rPr>
          <w:spacing w:val="-3"/>
          <w:sz w:val="20"/>
        </w:rPr>
        <w:t> </w:t>
      </w:r>
      <w:r>
        <w:rPr>
          <w:sz w:val="20"/>
        </w:rPr>
        <w:t>sustancias en</w:t>
      </w:r>
      <w:r>
        <w:rPr>
          <w:spacing w:val="-5"/>
          <w:sz w:val="20"/>
        </w:rPr>
        <w:t> </w:t>
      </w:r>
      <w:r>
        <w:rPr>
          <w:sz w:val="20"/>
        </w:rPr>
        <w:t>procesos</w:t>
      </w:r>
      <w:r>
        <w:rPr>
          <w:spacing w:val="-3"/>
          <w:sz w:val="20"/>
        </w:rPr>
        <w:t> </w:t>
      </w:r>
      <w:r>
        <w:rPr>
          <w:sz w:val="20"/>
        </w:rPr>
        <w:t>de</w:t>
      </w:r>
      <w:r>
        <w:rPr>
          <w:spacing w:val="-5"/>
          <w:sz w:val="20"/>
        </w:rPr>
        <w:t> </w:t>
      </w:r>
      <w:r>
        <w:rPr>
          <w:sz w:val="20"/>
        </w:rPr>
        <w:t>almacenamiento,</w:t>
      </w:r>
      <w:r>
        <w:rPr>
          <w:spacing w:val="-4"/>
          <w:sz w:val="20"/>
        </w:rPr>
        <w:t> </w:t>
      </w:r>
      <w:r>
        <w:rPr>
          <w:sz w:val="20"/>
        </w:rPr>
        <w:t>aplicación, manejo, mantenimiento y producción.</w:t>
      </w:r>
    </w:p>
    <w:p>
      <w:pPr>
        <w:pStyle w:val="ListParagraph"/>
        <w:numPr>
          <w:ilvl w:val="2"/>
          <w:numId w:val="160"/>
        </w:numPr>
        <w:tabs>
          <w:tab w:pos="1045" w:val="left" w:leader="none"/>
          <w:tab w:pos="1058" w:val="left" w:leader="none"/>
        </w:tabs>
        <w:spacing w:line="240" w:lineRule="auto" w:before="228" w:after="0"/>
        <w:ind w:left="1058" w:right="346" w:hanging="432"/>
        <w:jc w:val="both"/>
        <w:rPr>
          <w:sz w:val="20"/>
        </w:rPr>
      </w:pPr>
      <w:r>
        <w:rPr>
          <w:sz w:val="20"/>
        </w:rPr>
        <w:t>Personas trabajadoras expuestas al paramixovirus, tales como: médicos, enfermeras y personal de la salud.</w:t>
      </w:r>
    </w:p>
    <w:p>
      <w:pPr>
        <w:pStyle w:val="ListParagraph"/>
        <w:numPr>
          <w:ilvl w:val="2"/>
          <w:numId w:val="160"/>
        </w:numPr>
        <w:tabs>
          <w:tab w:pos="1045" w:val="left" w:leader="none"/>
          <w:tab w:pos="1058" w:val="left" w:leader="none"/>
        </w:tabs>
        <w:spacing w:line="240" w:lineRule="auto" w:before="228" w:after="0"/>
        <w:ind w:left="1058" w:right="338"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7" w:after="0"/>
        <w:ind w:left="1069" w:right="0" w:hanging="443"/>
        <w:jc w:val="left"/>
      </w:pPr>
      <w:r>
        <w:rPr/>
        <w:t>Infertilidad</w:t>
      </w:r>
      <w:r>
        <w:rPr>
          <w:spacing w:val="-11"/>
        </w:rPr>
        <w:t> </w:t>
      </w:r>
      <w:r>
        <w:rPr>
          <w:spacing w:val="-2"/>
        </w:rPr>
        <w:t>masculina</w:t>
      </w:r>
    </w:p>
    <w:p>
      <w:pPr>
        <w:pStyle w:val="BodyText"/>
        <w:spacing w:before="3"/>
        <w:rPr>
          <w:rFonts w:ascii="Arial"/>
          <w:b/>
        </w:rPr>
      </w:pPr>
    </w:p>
    <w:p>
      <w:pPr>
        <w:pStyle w:val="BodyText"/>
        <w:ind w:left="626"/>
      </w:pPr>
      <w:r>
        <w:rPr/>
        <w:t>Código</w:t>
      </w:r>
      <w:r>
        <w:rPr>
          <w:spacing w:val="-10"/>
        </w:rPr>
        <w:t> </w:t>
      </w:r>
      <w:r>
        <w:rPr/>
        <w:t>CIE-11:</w:t>
      </w:r>
      <w:r>
        <w:rPr>
          <w:spacing w:val="-9"/>
        </w:rPr>
        <w:t> </w:t>
      </w:r>
      <w:r>
        <w:rPr>
          <w:spacing w:val="-4"/>
        </w:rPr>
        <w:t>GB04</w:t>
      </w:r>
    </w:p>
    <w:p>
      <w:pPr>
        <w:pStyle w:val="ListParagraph"/>
        <w:numPr>
          <w:ilvl w:val="2"/>
          <w:numId w:val="160"/>
        </w:numPr>
        <w:tabs>
          <w:tab w:pos="1045" w:val="left" w:leader="none"/>
          <w:tab w:pos="1058" w:val="left" w:leader="none"/>
        </w:tabs>
        <w:spacing w:line="240" w:lineRule="auto" w:before="229" w:after="0"/>
        <w:ind w:left="1058" w:right="334" w:hanging="432"/>
        <w:jc w:val="both"/>
        <w:rPr>
          <w:sz w:val="20"/>
        </w:rPr>
      </w:pPr>
      <w:r>
        <w:rPr>
          <w:sz w:val="20"/>
        </w:rPr>
        <w:t>Personas trabajadoras expuestas a radiaciones ionizantes, tales como:</w:t>
      </w:r>
      <w:r>
        <w:rPr>
          <w:spacing w:val="-1"/>
          <w:sz w:val="20"/>
        </w:rPr>
        <w:t> </w:t>
      </w:r>
      <w:r>
        <w:rPr>
          <w:sz w:val="20"/>
        </w:rPr>
        <w:t>personas trabajadoras en centrales nucleares; extracción y tratamiento de minerales radioactivos; fabricación y uso de equipos de radioterapia y de rayos X; todos los trabajos de las clínicas dentales, hospitales, sanatorios que expongan al personal de salud a la acción de los rayos X; plantas de producción de isótopos radioactivos; preparación de compuestos radiactivos incluyendo los productos químicos y farmacéuticos radioactivos; preparación y aplicación de productos fosforescentes radioactivos;</w:t>
      </w:r>
      <w:r>
        <w:rPr>
          <w:spacing w:val="-2"/>
          <w:sz w:val="20"/>
        </w:rPr>
        <w:t> </w:t>
      </w:r>
      <w:r>
        <w:rPr>
          <w:sz w:val="20"/>
        </w:rPr>
        <w:t>radiografías</w:t>
      </w:r>
      <w:r>
        <w:rPr>
          <w:spacing w:val="-1"/>
          <w:sz w:val="20"/>
        </w:rPr>
        <w:t> </w:t>
      </w:r>
      <w:r>
        <w:rPr>
          <w:sz w:val="20"/>
        </w:rPr>
        <w:t>industriales</w:t>
      </w:r>
      <w:r>
        <w:rPr>
          <w:spacing w:val="-1"/>
          <w:sz w:val="20"/>
        </w:rPr>
        <w:t> </w:t>
      </w:r>
      <w:r>
        <w:rPr>
          <w:sz w:val="20"/>
        </w:rPr>
        <w:t>utilizando equipos</w:t>
      </w:r>
      <w:r>
        <w:rPr>
          <w:spacing w:val="-1"/>
          <w:sz w:val="20"/>
        </w:rPr>
        <w:t> </w:t>
      </w:r>
      <w:r>
        <w:rPr>
          <w:sz w:val="20"/>
        </w:rPr>
        <w:t>de</w:t>
      </w:r>
      <w:r>
        <w:rPr>
          <w:spacing w:val="-2"/>
          <w:sz w:val="20"/>
        </w:rPr>
        <w:t> </w:t>
      </w:r>
      <w:r>
        <w:rPr>
          <w:sz w:val="20"/>
        </w:rPr>
        <w:t>rayos</w:t>
      </w:r>
      <w:r>
        <w:rPr>
          <w:spacing w:val="-1"/>
          <w:sz w:val="20"/>
        </w:rPr>
        <w:t> </w:t>
      </w:r>
      <w:r>
        <w:rPr>
          <w:sz w:val="20"/>
        </w:rPr>
        <w:t>X u otras</w:t>
      </w:r>
      <w:r>
        <w:rPr>
          <w:spacing w:val="-1"/>
          <w:sz w:val="20"/>
        </w:rPr>
        <w:t> </w:t>
      </w:r>
      <w:r>
        <w:rPr>
          <w:sz w:val="20"/>
        </w:rPr>
        <w:t>fuentes</w:t>
      </w:r>
      <w:r>
        <w:rPr>
          <w:spacing w:val="-1"/>
          <w:sz w:val="20"/>
        </w:rPr>
        <w:t> </w:t>
      </w:r>
      <w:r>
        <w:rPr>
          <w:sz w:val="20"/>
        </w:rPr>
        <w:t>de</w:t>
      </w:r>
      <w:r>
        <w:rPr>
          <w:spacing w:val="-2"/>
          <w:sz w:val="20"/>
        </w:rPr>
        <w:t> </w:t>
      </w:r>
      <w:r>
        <w:rPr>
          <w:sz w:val="20"/>
        </w:rPr>
        <w:t>emisión de radiaciones gamma.</w:t>
      </w:r>
    </w:p>
    <w:p>
      <w:pPr>
        <w:pStyle w:val="ListParagraph"/>
        <w:numPr>
          <w:ilvl w:val="2"/>
          <w:numId w:val="160"/>
        </w:numPr>
        <w:tabs>
          <w:tab w:pos="1045" w:val="left" w:leader="none"/>
          <w:tab w:pos="1058" w:val="left" w:leader="none"/>
        </w:tabs>
        <w:spacing w:line="240" w:lineRule="auto" w:before="229" w:after="0"/>
        <w:ind w:left="1058" w:right="344" w:hanging="432"/>
        <w:jc w:val="both"/>
        <w:rPr>
          <w:sz w:val="20"/>
        </w:rPr>
      </w:pPr>
      <w:r>
        <w:rPr>
          <w:sz w:val="20"/>
        </w:rPr>
        <w:t>Personas trabajadoras expuestas a temperaturas elevadas, tales como: bomberos, fundidores, ladrilleros, mineros de la metalurgia, pavimentación de carreteras, personas trabajadoras de producción de acero y del vidrio.</w:t>
      </w:r>
    </w:p>
    <w:p>
      <w:pPr>
        <w:pStyle w:val="ListParagraph"/>
        <w:numPr>
          <w:ilvl w:val="2"/>
          <w:numId w:val="160"/>
        </w:numPr>
        <w:tabs>
          <w:tab w:pos="1045" w:val="left" w:leader="none"/>
          <w:tab w:pos="1058" w:val="left" w:leader="none"/>
        </w:tabs>
        <w:spacing w:line="240" w:lineRule="auto" w:before="229" w:after="0"/>
        <w:ind w:left="1058" w:right="347" w:hanging="432"/>
        <w:jc w:val="both"/>
        <w:rPr>
          <w:sz w:val="20"/>
        </w:rPr>
      </w:pPr>
      <w:r>
        <w:rPr>
          <w:sz w:val="20"/>
        </w:rPr>
        <w:t>Personas trabajadoras expuestas al cadmio, tales como: realizan aleaciones de metales, equipo eléctrico, fabricación de pigmentos, manufactura de baterías níquel-cadmio y vidrio.</w:t>
      </w:r>
    </w:p>
    <w:p>
      <w:pPr>
        <w:pStyle w:val="ListParagraph"/>
        <w:numPr>
          <w:ilvl w:val="2"/>
          <w:numId w:val="160"/>
        </w:numPr>
        <w:tabs>
          <w:tab w:pos="1045" w:val="left" w:leader="none"/>
          <w:tab w:pos="1058" w:val="left" w:leader="none"/>
        </w:tabs>
        <w:spacing w:line="240" w:lineRule="auto" w:before="228" w:after="0"/>
        <w:ind w:left="1058" w:right="344" w:hanging="432"/>
        <w:jc w:val="both"/>
        <w:rPr>
          <w:sz w:val="20"/>
        </w:rPr>
      </w:pPr>
      <w:r>
        <w:rPr>
          <w:sz w:val="20"/>
        </w:rPr>
        <w:t>Personas trabajadoras expuestas al dibromocloropropano (DBCP), tales como: personas trabajadoras de las industrias de producción de cloruro de vinilo, o en plantas de polimerización.</w:t>
      </w:r>
    </w:p>
    <w:p>
      <w:pPr>
        <w:pStyle w:val="ListParagraph"/>
        <w:numPr>
          <w:ilvl w:val="2"/>
          <w:numId w:val="160"/>
        </w:numPr>
        <w:tabs>
          <w:tab w:pos="1045" w:val="left" w:leader="none"/>
          <w:tab w:pos="1058" w:val="left" w:leader="none"/>
        </w:tabs>
        <w:spacing w:line="240" w:lineRule="auto" w:before="228" w:after="0"/>
        <w:ind w:left="1058" w:right="346" w:hanging="432"/>
        <w:jc w:val="both"/>
        <w:rPr>
          <w:sz w:val="20"/>
        </w:rPr>
      </w:pPr>
      <w:r>
        <w:rPr>
          <w:sz w:val="20"/>
        </w:rPr>
        <w:t>Personas trabajadoras expuestas a estrógenos, tales como: personas trabajadoras encargados de la fabricación de estas substancias en la industria químico-farmacéutica.</w:t>
      </w:r>
    </w:p>
    <w:p>
      <w:pPr>
        <w:pStyle w:val="ListParagraph"/>
        <w:numPr>
          <w:ilvl w:val="2"/>
          <w:numId w:val="160"/>
        </w:numPr>
        <w:tabs>
          <w:tab w:pos="1045" w:val="left" w:leader="none"/>
          <w:tab w:pos="1058" w:val="left" w:leader="none"/>
        </w:tabs>
        <w:spacing w:line="240" w:lineRule="auto" w:before="229" w:after="0"/>
        <w:ind w:left="1058" w:right="338" w:hanging="432"/>
        <w:jc w:val="both"/>
        <w:rPr>
          <w:sz w:val="20"/>
        </w:rPr>
      </w:pPr>
      <w:r>
        <w:rPr>
          <w:sz w:val="20"/>
        </w:rPr>
        <w:t>Personas trabajadoras expuestas a plomo: personas trabajadoras en actividades de albayalde, barnices, cerámica, envolturas de cables, esmalte, lacas, preparación de carburantes y fundición de plomo. Personas trabajadoras expuestas en la fabricación de cajas para conservas, acumuladores, insecticidas, juguetes, pigmentos, tubos de plomo, plomo orgánico, fabricación y manipulación de productos de limpieza. Personas trabajadoras expuestas que laboran en</w:t>
      </w:r>
      <w:r>
        <w:rPr>
          <w:spacing w:val="40"/>
          <w:sz w:val="20"/>
        </w:rPr>
        <w:t> </w:t>
      </w:r>
      <w:r>
        <w:rPr>
          <w:sz w:val="20"/>
        </w:rPr>
        <w:t>fábricas de blindaje de material radioactivo, en la industria militar, en las refinerías de gasolina con plomo y en los surtidores de gasolina. Personas trabajadoras en actividades como: pintores, impresores, plomeros y soldadores de metales que contienen plomo.</w:t>
      </w:r>
    </w:p>
    <w:p>
      <w:pPr>
        <w:pStyle w:val="ListParagraph"/>
        <w:spacing w:after="0" w:line="240" w:lineRule="auto"/>
        <w:jc w:val="both"/>
        <w:rPr>
          <w:sz w:val="20"/>
        </w:rPr>
        <w:sectPr>
          <w:pgSz w:w="12240" w:h="15840"/>
          <w:pgMar w:header="724" w:footer="712" w:top="1880" w:bottom="900" w:left="1080" w:right="1080"/>
        </w:sectPr>
      </w:pPr>
    </w:p>
    <w:p>
      <w:pPr>
        <w:pStyle w:val="BodyText"/>
        <w:spacing w:before="66"/>
      </w:pPr>
    </w:p>
    <w:p>
      <w:pPr>
        <w:pStyle w:val="ListParagraph"/>
        <w:numPr>
          <w:ilvl w:val="2"/>
          <w:numId w:val="160"/>
        </w:numPr>
        <w:tabs>
          <w:tab w:pos="1045" w:val="left" w:leader="none"/>
          <w:tab w:pos="1058" w:val="left" w:leader="none"/>
        </w:tabs>
        <w:spacing w:line="240" w:lineRule="auto" w:before="0" w:after="0"/>
        <w:ind w:left="1058" w:right="342" w:hanging="432"/>
        <w:jc w:val="both"/>
        <w:rPr>
          <w:sz w:val="20"/>
        </w:rPr>
      </w:pPr>
      <w:r>
        <w:rPr>
          <w:sz w:val="20"/>
        </w:rPr>
        <w:t>Personas trabajadoras expuestas al paramixovirus, tales como: médicos, enfermeras y personal de la salud.</w:t>
      </w:r>
    </w:p>
    <w:p>
      <w:pPr>
        <w:pStyle w:val="ListParagraph"/>
        <w:numPr>
          <w:ilvl w:val="2"/>
          <w:numId w:val="160"/>
        </w:numPr>
        <w:tabs>
          <w:tab w:pos="1045" w:val="left" w:leader="none"/>
          <w:tab w:pos="1058" w:val="left" w:leader="none"/>
        </w:tabs>
        <w:spacing w:line="240" w:lineRule="auto" w:before="228" w:after="0"/>
        <w:ind w:left="1058" w:right="33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 vea obligada a prestar sus servicios.</w:t>
      </w:r>
    </w:p>
    <w:p>
      <w:pPr>
        <w:pStyle w:val="Heading3"/>
        <w:numPr>
          <w:ilvl w:val="1"/>
          <w:numId w:val="160"/>
        </w:numPr>
        <w:tabs>
          <w:tab w:pos="1069" w:val="left" w:leader="none"/>
        </w:tabs>
        <w:spacing w:line="240" w:lineRule="auto" w:before="227" w:after="0"/>
        <w:ind w:left="1069" w:right="0" w:hanging="443"/>
        <w:jc w:val="left"/>
      </w:pPr>
      <w:r>
        <w:rPr/>
        <w:t>Nefropatía</w:t>
      </w:r>
      <w:r>
        <w:rPr>
          <w:spacing w:val="-9"/>
        </w:rPr>
        <w:t> </w:t>
      </w:r>
      <w:r>
        <w:rPr/>
        <w:t>inducida</w:t>
      </w:r>
      <w:r>
        <w:rPr>
          <w:spacing w:val="-8"/>
        </w:rPr>
        <w:t> </w:t>
      </w:r>
      <w:r>
        <w:rPr/>
        <w:t>por</w:t>
      </w:r>
      <w:r>
        <w:rPr>
          <w:spacing w:val="-10"/>
        </w:rPr>
        <w:t> </w:t>
      </w:r>
      <w:r>
        <w:rPr/>
        <w:t>metales</w:t>
      </w:r>
      <w:r>
        <w:rPr>
          <w:spacing w:val="-10"/>
        </w:rPr>
        <w:t> </w:t>
      </w:r>
      <w:r>
        <w:rPr>
          <w:spacing w:val="-2"/>
        </w:rPr>
        <w:t>pesados</w:t>
      </w:r>
    </w:p>
    <w:p>
      <w:pPr>
        <w:pStyle w:val="BodyText"/>
        <w:spacing w:before="3"/>
        <w:rPr>
          <w:rFonts w:ascii="Arial"/>
          <w:b/>
        </w:rPr>
      </w:pPr>
    </w:p>
    <w:p>
      <w:pPr>
        <w:pStyle w:val="BodyText"/>
        <w:ind w:left="626"/>
      </w:pPr>
      <w:r>
        <w:rPr/>
        <w:t>Código</w:t>
      </w:r>
      <w:r>
        <w:rPr>
          <w:spacing w:val="-10"/>
        </w:rPr>
        <w:t> </w:t>
      </w:r>
      <w:r>
        <w:rPr/>
        <w:t>CIE-11:</w:t>
      </w:r>
      <w:r>
        <w:rPr>
          <w:spacing w:val="-9"/>
        </w:rPr>
        <w:t> </w:t>
      </w:r>
      <w:r>
        <w:rPr>
          <w:spacing w:val="-2"/>
        </w:rPr>
        <w:t>GB55.1</w:t>
      </w:r>
    </w:p>
    <w:p>
      <w:pPr>
        <w:pStyle w:val="BodyText"/>
      </w:pPr>
    </w:p>
    <w:p>
      <w:pPr>
        <w:pStyle w:val="ListParagraph"/>
        <w:numPr>
          <w:ilvl w:val="2"/>
          <w:numId w:val="160"/>
        </w:numPr>
        <w:tabs>
          <w:tab w:pos="1045" w:val="left" w:leader="none"/>
          <w:tab w:pos="1058" w:val="left" w:leader="none"/>
        </w:tabs>
        <w:spacing w:line="240" w:lineRule="auto" w:before="0" w:after="0"/>
        <w:ind w:left="1058" w:right="336" w:hanging="432"/>
        <w:jc w:val="both"/>
        <w:rPr>
          <w:sz w:val="20"/>
        </w:rPr>
      </w:pPr>
      <w:r>
        <w:rPr>
          <w:sz w:val="20"/>
        </w:rPr>
        <w:t>Personas trabajadoras expuestas a plomo, tales como: personas trabajadoras en actividades relacionadas con el uso de albayalde y elaboración de barnices, cerámica, envolturas de cables, esmalte, lacas, preparación de carburantes y fundición de plomo. Personas trabajadoras expuestas en la fabricación de cajas para conservas, acumuladores, insecticidas, juguetes, pigmentos,</w:t>
      </w:r>
      <w:r>
        <w:rPr>
          <w:spacing w:val="-4"/>
          <w:sz w:val="20"/>
        </w:rPr>
        <w:t> </w:t>
      </w:r>
      <w:r>
        <w:rPr>
          <w:sz w:val="20"/>
        </w:rPr>
        <w:t>tubos</w:t>
      </w:r>
      <w:r>
        <w:rPr>
          <w:spacing w:val="-3"/>
          <w:sz w:val="20"/>
        </w:rPr>
        <w:t> </w:t>
      </w:r>
      <w:r>
        <w:rPr>
          <w:sz w:val="20"/>
        </w:rPr>
        <w:t>de</w:t>
      </w:r>
      <w:r>
        <w:rPr>
          <w:spacing w:val="-4"/>
          <w:sz w:val="20"/>
        </w:rPr>
        <w:t> </w:t>
      </w:r>
      <w:r>
        <w:rPr>
          <w:sz w:val="20"/>
        </w:rPr>
        <w:t>plomo,</w:t>
      </w:r>
      <w:r>
        <w:rPr>
          <w:spacing w:val="-4"/>
          <w:sz w:val="20"/>
        </w:rPr>
        <w:t> </w:t>
      </w:r>
      <w:r>
        <w:rPr>
          <w:sz w:val="20"/>
        </w:rPr>
        <w:t>plomo</w:t>
      </w:r>
      <w:r>
        <w:rPr>
          <w:spacing w:val="-4"/>
          <w:sz w:val="20"/>
        </w:rPr>
        <w:t> </w:t>
      </w:r>
      <w:r>
        <w:rPr>
          <w:sz w:val="20"/>
        </w:rPr>
        <w:t>orgánico,</w:t>
      </w:r>
      <w:r>
        <w:rPr>
          <w:spacing w:val="-2"/>
          <w:sz w:val="20"/>
        </w:rPr>
        <w:t> </w:t>
      </w:r>
      <w:r>
        <w:rPr>
          <w:sz w:val="20"/>
        </w:rPr>
        <w:t>fabricación</w:t>
      </w:r>
      <w:r>
        <w:rPr>
          <w:spacing w:val="-2"/>
          <w:sz w:val="20"/>
        </w:rPr>
        <w:t> </w:t>
      </w:r>
      <w:r>
        <w:rPr>
          <w:sz w:val="20"/>
        </w:rPr>
        <w:t>y</w:t>
      </w:r>
      <w:r>
        <w:rPr>
          <w:spacing w:val="-7"/>
          <w:sz w:val="20"/>
        </w:rPr>
        <w:t> </w:t>
      </w:r>
      <w:r>
        <w:rPr>
          <w:sz w:val="20"/>
        </w:rPr>
        <w:t>manipulación</w:t>
      </w:r>
      <w:r>
        <w:rPr>
          <w:spacing w:val="-4"/>
          <w:sz w:val="20"/>
        </w:rPr>
        <w:t> </w:t>
      </w:r>
      <w:r>
        <w:rPr>
          <w:sz w:val="20"/>
        </w:rPr>
        <w:t>de</w:t>
      </w:r>
      <w:r>
        <w:rPr>
          <w:spacing w:val="-2"/>
          <w:sz w:val="20"/>
        </w:rPr>
        <w:t> </w:t>
      </w:r>
      <w:r>
        <w:rPr>
          <w:sz w:val="20"/>
        </w:rPr>
        <w:t>productos</w:t>
      </w:r>
      <w:r>
        <w:rPr>
          <w:spacing w:val="-3"/>
          <w:sz w:val="20"/>
        </w:rPr>
        <w:t> </w:t>
      </w:r>
      <w:r>
        <w:rPr>
          <w:sz w:val="20"/>
        </w:rPr>
        <w:t>de</w:t>
      </w:r>
      <w:r>
        <w:rPr>
          <w:spacing w:val="-3"/>
          <w:sz w:val="20"/>
        </w:rPr>
        <w:t> </w:t>
      </w:r>
      <w:r>
        <w:rPr>
          <w:sz w:val="20"/>
        </w:rPr>
        <w:t>limpieza. Personas trabajadoras expuestas que laboran en fábricas de blindaje de material radioactivo, en la industria militar, en las refinerías de gasolina con plomo y en los surtidores de gasolina. Personas trabajadoras en actividades como: pintores, impresores, plomeros y soldadores de metales que contienen plomo.</w:t>
      </w:r>
    </w:p>
    <w:p>
      <w:pPr>
        <w:pStyle w:val="ListParagraph"/>
        <w:numPr>
          <w:ilvl w:val="2"/>
          <w:numId w:val="160"/>
        </w:numPr>
        <w:tabs>
          <w:tab w:pos="1045" w:val="left" w:leader="none"/>
          <w:tab w:pos="1058" w:val="left" w:leader="none"/>
        </w:tabs>
        <w:spacing w:line="240" w:lineRule="auto" w:before="226" w:after="0"/>
        <w:ind w:left="1058" w:right="334" w:hanging="432"/>
        <w:jc w:val="both"/>
        <w:rPr>
          <w:sz w:val="20"/>
        </w:rPr>
      </w:pPr>
      <w:r>
        <w:rPr>
          <w:sz w:val="20"/>
        </w:rPr>
        <w:t>Personas trabajadoras expuestas a mercurio: personas trabajadoras que laboran en la industria química (producción de acetileno), químico-farmacéutica, del bronce, curtiembres,</w:t>
      </w:r>
      <w:r>
        <w:rPr>
          <w:spacing w:val="40"/>
          <w:sz w:val="20"/>
        </w:rPr>
        <w:t> </w:t>
      </w:r>
      <w:r>
        <w:rPr>
          <w:sz w:val="20"/>
        </w:rPr>
        <w:t>damasquinado, dorado, niquelado y plateado. Personas trabajadoras expuestas en la fabricación del cloro, termómetros, fungicidas, cemento (polvos producidos por los hornos), lámparas de vapores de mercurio, manómetros, sombreros de fieltro, y fabricación y manipulación de explosivos. Personas trabajadoras expuestas en la conservación de semillas y electrólisis de las salmueras. Mineros de extracción de oro, plata y mercurio, y manipuladores del metal y sus derivados. Personas ayudantes, secretarias de servicios médicos y odontológicos.</w:t>
      </w:r>
    </w:p>
    <w:p>
      <w:pPr>
        <w:pStyle w:val="ListParagraph"/>
        <w:numPr>
          <w:ilvl w:val="2"/>
          <w:numId w:val="160"/>
        </w:numPr>
        <w:tabs>
          <w:tab w:pos="1045" w:val="left" w:leader="none"/>
          <w:tab w:pos="1058" w:val="left" w:leader="none"/>
        </w:tabs>
        <w:spacing w:line="240" w:lineRule="auto" w:before="229" w:after="0"/>
        <w:ind w:left="1058" w:right="342" w:hanging="432"/>
        <w:jc w:val="both"/>
        <w:rPr>
          <w:sz w:val="20"/>
        </w:rPr>
      </w:pPr>
      <w:r>
        <w:rPr>
          <w:sz w:val="20"/>
        </w:rPr>
        <w:t>Personas trabajadoras expuestas al cadmio, tales como: los que realizan aleaciones de metales, equipo eléctrico, fabricación de pigmentos, manufactura de baterías níquel-cadmio y vidrio.</w:t>
      </w:r>
    </w:p>
    <w:p>
      <w:pPr>
        <w:pStyle w:val="BodyText"/>
      </w:pPr>
    </w:p>
    <w:p>
      <w:pPr>
        <w:pStyle w:val="ListParagraph"/>
        <w:numPr>
          <w:ilvl w:val="2"/>
          <w:numId w:val="160"/>
        </w:numPr>
        <w:tabs>
          <w:tab w:pos="1045" w:val="left" w:leader="none"/>
          <w:tab w:pos="1058" w:val="left" w:leader="none"/>
        </w:tabs>
        <w:spacing w:line="240" w:lineRule="auto" w:before="0" w:after="0"/>
        <w:ind w:left="1058" w:right="335" w:hanging="432"/>
        <w:jc w:val="both"/>
        <w:rPr>
          <w:sz w:val="20"/>
        </w:rPr>
      </w:pPr>
      <w:r>
        <w:rPr>
          <w:sz w:val="20"/>
        </w:rPr>
        <w:t>Personas trabajadoras que presentan exposición de forma directa e indudable a la acción de los agentes causales establecidos en la fracción II de la cédula correspondiente contenida en el Catálogo de las Cédulas para la Valuación de las Enfermedades de Trabajo, que tengan su origen o con motivo del trabajo o en el medio que la persona trabajadora se</w:t>
      </w:r>
      <w:r>
        <w:rPr>
          <w:spacing w:val="40"/>
          <w:sz w:val="20"/>
        </w:rPr>
        <w:t> </w:t>
      </w:r>
      <w:r>
        <w:rPr>
          <w:sz w:val="20"/>
        </w:rPr>
        <w:t>vea obligada a prestar sus servicios.</w:t>
      </w:r>
    </w:p>
    <w:p>
      <w:pPr>
        <w:spacing w:before="227"/>
        <w:ind w:left="295" w:right="296" w:firstLine="0"/>
        <w:jc w:val="center"/>
        <w:rPr>
          <w:rFonts w:ascii="Arial" w:hAnsi="Arial"/>
          <w:b/>
          <w:sz w:val="20"/>
        </w:rPr>
      </w:pPr>
      <w:r>
        <w:rPr>
          <w:rFonts w:ascii="Arial" w:hAnsi="Arial"/>
          <w:b/>
          <w:sz w:val="20"/>
        </w:rPr>
        <w:t>TABLA</w:t>
      </w:r>
      <w:r>
        <w:rPr>
          <w:rFonts w:ascii="Arial" w:hAnsi="Arial"/>
          <w:b/>
          <w:spacing w:val="-7"/>
          <w:sz w:val="20"/>
        </w:rPr>
        <w:t> </w:t>
      </w:r>
      <w:r>
        <w:rPr>
          <w:rFonts w:ascii="Arial" w:hAnsi="Arial"/>
          <w:b/>
          <w:sz w:val="20"/>
        </w:rPr>
        <w:t>PARA</w:t>
      </w:r>
      <w:r>
        <w:rPr>
          <w:rFonts w:ascii="Arial" w:hAnsi="Arial"/>
          <w:b/>
          <w:spacing w:val="-7"/>
          <w:sz w:val="20"/>
        </w:rPr>
        <w:t> </w:t>
      </w:r>
      <w:r>
        <w:rPr>
          <w:rFonts w:ascii="Arial" w:hAnsi="Arial"/>
          <w:b/>
          <w:sz w:val="20"/>
        </w:rPr>
        <w:t>LA</w:t>
      </w:r>
      <w:r>
        <w:rPr>
          <w:rFonts w:ascii="Arial" w:hAnsi="Arial"/>
          <w:b/>
          <w:spacing w:val="-7"/>
          <w:sz w:val="20"/>
        </w:rPr>
        <w:t> </w:t>
      </w:r>
      <w:r>
        <w:rPr>
          <w:rFonts w:ascii="Arial" w:hAnsi="Arial"/>
          <w:b/>
          <w:sz w:val="20"/>
        </w:rPr>
        <w:t>VALUACIÓN</w:t>
      </w:r>
      <w:r>
        <w:rPr>
          <w:rFonts w:ascii="Arial" w:hAnsi="Arial"/>
          <w:b/>
          <w:spacing w:val="-5"/>
          <w:sz w:val="20"/>
        </w:rPr>
        <w:t> </w:t>
      </w:r>
      <w:r>
        <w:rPr>
          <w:rFonts w:ascii="Arial" w:hAnsi="Arial"/>
          <w:b/>
          <w:sz w:val="20"/>
        </w:rPr>
        <w:t>DE</w:t>
      </w:r>
      <w:r>
        <w:rPr>
          <w:rFonts w:ascii="Arial" w:hAnsi="Arial"/>
          <w:b/>
          <w:spacing w:val="-3"/>
          <w:sz w:val="20"/>
        </w:rPr>
        <w:t> </w:t>
      </w:r>
      <w:r>
        <w:rPr>
          <w:rFonts w:ascii="Arial" w:hAnsi="Arial"/>
          <w:b/>
          <w:sz w:val="20"/>
        </w:rPr>
        <w:t>INCAPACIDADES</w:t>
      </w:r>
      <w:r>
        <w:rPr>
          <w:rFonts w:ascii="Arial" w:hAnsi="Arial"/>
          <w:b/>
          <w:spacing w:val="-5"/>
          <w:sz w:val="20"/>
        </w:rPr>
        <w:t> </w:t>
      </w:r>
      <w:r>
        <w:rPr>
          <w:rFonts w:ascii="Arial" w:hAnsi="Arial"/>
          <w:b/>
          <w:sz w:val="20"/>
        </w:rPr>
        <w:t>PERMANENTES</w:t>
      </w:r>
      <w:r>
        <w:rPr>
          <w:rFonts w:ascii="Arial" w:hAnsi="Arial"/>
          <w:b/>
          <w:spacing w:val="-5"/>
          <w:sz w:val="20"/>
        </w:rPr>
        <w:t> </w:t>
      </w:r>
      <w:r>
        <w:rPr>
          <w:rFonts w:ascii="Arial" w:hAnsi="Arial"/>
          <w:b/>
          <w:sz w:val="20"/>
        </w:rPr>
        <w:t>RESULTANTES</w:t>
      </w:r>
      <w:r>
        <w:rPr>
          <w:rFonts w:ascii="Arial" w:hAnsi="Arial"/>
          <w:b/>
          <w:spacing w:val="-3"/>
          <w:sz w:val="20"/>
        </w:rPr>
        <w:t> </w:t>
      </w:r>
      <w:r>
        <w:rPr>
          <w:rFonts w:ascii="Arial" w:hAnsi="Arial"/>
          <w:b/>
          <w:sz w:val="20"/>
        </w:rPr>
        <w:t>DE</w:t>
      </w:r>
      <w:r>
        <w:rPr>
          <w:rFonts w:ascii="Arial" w:hAnsi="Arial"/>
          <w:b/>
          <w:spacing w:val="-5"/>
          <w:sz w:val="20"/>
        </w:rPr>
        <w:t> </w:t>
      </w:r>
      <w:r>
        <w:rPr>
          <w:rFonts w:ascii="Arial" w:hAnsi="Arial"/>
          <w:b/>
          <w:sz w:val="20"/>
        </w:rPr>
        <w:t>LOS RIESGOS DE TRABAJO</w:t>
      </w:r>
    </w:p>
    <w:p>
      <w:pPr>
        <w:spacing w:line="480" w:lineRule="auto" w:before="229" w:after="5"/>
        <w:ind w:left="4128" w:right="4127" w:firstLine="0"/>
        <w:jc w:val="center"/>
        <w:rPr>
          <w:rFonts w:ascii="Arial" w:hAnsi="Arial"/>
          <w:b/>
          <w:sz w:val="20"/>
        </w:rPr>
      </w:pPr>
      <w:r>
        <w:rPr>
          <w:rFonts w:ascii="Arial" w:hAnsi="Arial"/>
          <w:b/>
          <w:sz w:val="20"/>
        </w:rPr>
        <w:t>Miembro</w:t>
      </w:r>
      <w:r>
        <w:rPr>
          <w:rFonts w:ascii="Arial" w:hAnsi="Arial"/>
          <w:b/>
          <w:spacing w:val="-14"/>
          <w:sz w:val="20"/>
        </w:rPr>
        <w:t> </w:t>
      </w:r>
      <w:r>
        <w:rPr>
          <w:rFonts w:ascii="Arial" w:hAnsi="Arial"/>
          <w:b/>
          <w:sz w:val="20"/>
        </w:rPr>
        <w:t>superior </w:t>
      </w:r>
      <w:r>
        <w:rPr>
          <w:rFonts w:ascii="Arial" w:hAnsi="Arial"/>
          <w:b/>
          <w:spacing w:val="-2"/>
          <w:sz w:val="20"/>
        </w:rPr>
        <w:t>Pérdidas</w:t>
      </w: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7"/>
        <w:gridCol w:w="7065"/>
        <w:gridCol w:w="1447"/>
      </w:tblGrid>
      <w:tr>
        <w:trPr>
          <w:trHeight w:val="229" w:hRule="atLeast"/>
        </w:trPr>
        <w:tc>
          <w:tcPr>
            <w:tcW w:w="1037" w:type="dxa"/>
          </w:tcPr>
          <w:p>
            <w:pPr>
              <w:pStyle w:val="TableParagraph"/>
              <w:ind w:left="14"/>
              <w:rPr>
                <w:sz w:val="20"/>
              </w:rPr>
            </w:pPr>
            <w:r>
              <w:rPr>
                <w:spacing w:val="-10"/>
                <w:sz w:val="20"/>
              </w:rPr>
              <w:t>1</w:t>
            </w:r>
          </w:p>
        </w:tc>
        <w:tc>
          <w:tcPr>
            <w:tcW w:w="7065" w:type="dxa"/>
          </w:tcPr>
          <w:p>
            <w:pPr>
              <w:pStyle w:val="TableParagraph"/>
              <w:jc w:val="left"/>
              <w:rPr>
                <w:sz w:val="20"/>
              </w:rPr>
            </w:pPr>
            <w:r>
              <w:rPr>
                <w:sz w:val="20"/>
              </w:rPr>
              <w:t>Por</w:t>
            </w:r>
            <w:r>
              <w:rPr>
                <w:spacing w:val="-11"/>
                <w:sz w:val="20"/>
              </w:rPr>
              <w:t> </w:t>
            </w:r>
            <w:r>
              <w:rPr>
                <w:sz w:val="20"/>
              </w:rPr>
              <w:t>la</w:t>
            </w:r>
            <w:r>
              <w:rPr>
                <w:spacing w:val="-8"/>
                <w:sz w:val="20"/>
              </w:rPr>
              <w:t> </w:t>
            </w:r>
            <w:r>
              <w:rPr>
                <w:sz w:val="20"/>
              </w:rPr>
              <w:t>desarticulación</w:t>
            </w:r>
            <w:r>
              <w:rPr>
                <w:spacing w:val="-8"/>
                <w:sz w:val="20"/>
              </w:rPr>
              <w:t> </w:t>
            </w:r>
            <w:r>
              <w:rPr>
                <w:spacing w:val="-2"/>
                <w:sz w:val="20"/>
              </w:rPr>
              <w:t>interescapulotorácica.</w:t>
            </w:r>
          </w:p>
        </w:tc>
        <w:tc>
          <w:tcPr>
            <w:tcW w:w="1447" w:type="dxa"/>
          </w:tcPr>
          <w:p>
            <w:pPr>
              <w:pStyle w:val="TableParagraph"/>
              <w:ind w:left="10"/>
              <w:rPr>
                <w:sz w:val="20"/>
              </w:rPr>
            </w:pPr>
            <w:r>
              <w:rPr>
                <w:spacing w:val="-5"/>
                <w:sz w:val="20"/>
              </w:rPr>
              <w:t>85%</w:t>
            </w:r>
          </w:p>
        </w:tc>
      </w:tr>
      <w:tr>
        <w:trPr>
          <w:trHeight w:val="229" w:hRule="atLeast"/>
        </w:trPr>
        <w:tc>
          <w:tcPr>
            <w:tcW w:w="1037" w:type="dxa"/>
          </w:tcPr>
          <w:p>
            <w:pPr>
              <w:pStyle w:val="TableParagraph"/>
              <w:ind w:left="14"/>
              <w:rPr>
                <w:sz w:val="20"/>
              </w:rPr>
            </w:pPr>
            <w:r>
              <w:rPr>
                <w:spacing w:val="-10"/>
                <w:sz w:val="20"/>
              </w:rPr>
              <w:t>2</w:t>
            </w:r>
          </w:p>
        </w:tc>
        <w:tc>
          <w:tcPr>
            <w:tcW w:w="7065" w:type="dxa"/>
          </w:tcPr>
          <w:p>
            <w:pPr>
              <w:pStyle w:val="TableParagraph"/>
              <w:jc w:val="left"/>
              <w:rPr>
                <w:sz w:val="20"/>
              </w:rPr>
            </w:pPr>
            <w:r>
              <w:rPr>
                <w:sz w:val="20"/>
              </w:rPr>
              <w:t>Por</w:t>
            </w:r>
            <w:r>
              <w:rPr>
                <w:spacing w:val="-6"/>
                <w:sz w:val="20"/>
              </w:rPr>
              <w:t> </w:t>
            </w:r>
            <w:r>
              <w:rPr>
                <w:sz w:val="20"/>
              </w:rPr>
              <w:t>la</w:t>
            </w:r>
            <w:r>
              <w:rPr>
                <w:spacing w:val="-5"/>
                <w:sz w:val="20"/>
              </w:rPr>
              <w:t> </w:t>
            </w:r>
            <w:r>
              <w:rPr>
                <w:sz w:val="20"/>
              </w:rPr>
              <w:t>pérdida</w:t>
            </w:r>
            <w:r>
              <w:rPr>
                <w:spacing w:val="-6"/>
                <w:sz w:val="20"/>
              </w:rPr>
              <w:t> </w:t>
            </w:r>
            <w:r>
              <w:rPr>
                <w:sz w:val="20"/>
              </w:rPr>
              <w:t>parcial</w:t>
            </w:r>
            <w:r>
              <w:rPr>
                <w:spacing w:val="-6"/>
                <w:sz w:val="20"/>
              </w:rPr>
              <w:t> </w:t>
            </w:r>
            <w:r>
              <w:rPr>
                <w:sz w:val="20"/>
              </w:rPr>
              <w:t>de</w:t>
            </w:r>
            <w:r>
              <w:rPr>
                <w:spacing w:val="-3"/>
                <w:sz w:val="20"/>
              </w:rPr>
              <w:t> </w:t>
            </w:r>
            <w:r>
              <w:rPr>
                <w:sz w:val="20"/>
              </w:rPr>
              <w:t>la</w:t>
            </w:r>
            <w:r>
              <w:rPr>
                <w:spacing w:val="-2"/>
                <w:sz w:val="20"/>
              </w:rPr>
              <w:t> clavícula.</w:t>
            </w:r>
          </w:p>
        </w:tc>
        <w:tc>
          <w:tcPr>
            <w:tcW w:w="1447" w:type="dxa"/>
          </w:tcPr>
          <w:p>
            <w:pPr>
              <w:pStyle w:val="TableParagraph"/>
              <w:ind w:left="10"/>
              <w:rPr>
                <w:sz w:val="20"/>
              </w:rPr>
            </w:pPr>
            <w:r>
              <w:rPr>
                <w:spacing w:val="-5"/>
                <w:sz w:val="20"/>
              </w:rPr>
              <w:t>20%</w:t>
            </w:r>
          </w:p>
        </w:tc>
      </w:tr>
      <w:tr>
        <w:trPr>
          <w:trHeight w:val="229" w:hRule="atLeast"/>
        </w:trPr>
        <w:tc>
          <w:tcPr>
            <w:tcW w:w="1037" w:type="dxa"/>
          </w:tcPr>
          <w:p>
            <w:pPr>
              <w:pStyle w:val="TableParagraph"/>
              <w:ind w:left="14"/>
              <w:rPr>
                <w:sz w:val="20"/>
              </w:rPr>
            </w:pPr>
            <w:r>
              <w:rPr>
                <w:spacing w:val="-10"/>
                <w:sz w:val="20"/>
              </w:rPr>
              <w:t>3</w:t>
            </w:r>
          </w:p>
        </w:tc>
        <w:tc>
          <w:tcPr>
            <w:tcW w:w="7065" w:type="dxa"/>
          </w:tcPr>
          <w:p>
            <w:pPr>
              <w:pStyle w:val="TableParagraph"/>
              <w:jc w:val="left"/>
              <w:rPr>
                <w:sz w:val="20"/>
              </w:rPr>
            </w:pPr>
            <w:r>
              <w:rPr>
                <w:sz w:val="20"/>
              </w:rPr>
              <w:t>Por</w:t>
            </w:r>
            <w:r>
              <w:rPr>
                <w:spacing w:val="-8"/>
                <w:sz w:val="20"/>
              </w:rPr>
              <w:t> </w:t>
            </w:r>
            <w:r>
              <w:rPr>
                <w:sz w:val="20"/>
              </w:rPr>
              <w:t>la</w:t>
            </w:r>
            <w:r>
              <w:rPr>
                <w:spacing w:val="-7"/>
                <w:sz w:val="20"/>
              </w:rPr>
              <w:t> </w:t>
            </w:r>
            <w:r>
              <w:rPr>
                <w:sz w:val="20"/>
              </w:rPr>
              <w:t>desarticulación</w:t>
            </w:r>
            <w:r>
              <w:rPr>
                <w:spacing w:val="-7"/>
                <w:sz w:val="20"/>
              </w:rPr>
              <w:t> </w:t>
            </w:r>
            <w:r>
              <w:rPr>
                <w:sz w:val="20"/>
              </w:rPr>
              <w:t>del</w:t>
            </w:r>
            <w:r>
              <w:rPr>
                <w:spacing w:val="-6"/>
                <w:sz w:val="20"/>
              </w:rPr>
              <w:t> </w:t>
            </w:r>
            <w:r>
              <w:rPr>
                <w:spacing w:val="-2"/>
                <w:sz w:val="20"/>
              </w:rPr>
              <w:t>hombro.</w:t>
            </w:r>
          </w:p>
        </w:tc>
        <w:tc>
          <w:tcPr>
            <w:tcW w:w="1447" w:type="dxa"/>
          </w:tcPr>
          <w:p>
            <w:pPr>
              <w:pStyle w:val="TableParagraph"/>
              <w:ind w:left="10"/>
              <w:rPr>
                <w:sz w:val="20"/>
              </w:rPr>
            </w:pPr>
            <w:r>
              <w:rPr>
                <w:spacing w:val="-5"/>
                <w:sz w:val="20"/>
              </w:rPr>
              <w:t>80%</w:t>
            </w:r>
          </w:p>
        </w:tc>
      </w:tr>
      <w:tr>
        <w:trPr>
          <w:trHeight w:val="229" w:hRule="atLeast"/>
        </w:trPr>
        <w:tc>
          <w:tcPr>
            <w:tcW w:w="1037" w:type="dxa"/>
          </w:tcPr>
          <w:p>
            <w:pPr>
              <w:pStyle w:val="TableParagraph"/>
              <w:ind w:left="14"/>
              <w:rPr>
                <w:sz w:val="20"/>
              </w:rPr>
            </w:pPr>
            <w:r>
              <w:rPr>
                <w:spacing w:val="-10"/>
                <w:sz w:val="20"/>
              </w:rPr>
              <w:t>4</w:t>
            </w:r>
          </w:p>
        </w:tc>
        <w:tc>
          <w:tcPr>
            <w:tcW w:w="7065" w:type="dxa"/>
          </w:tcPr>
          <w:p>
            <w:pPr>
              <w:pStyle w:val="TableParagraph"/>
              <w:jc w:val="left"/>
              <w:rPr>
                <w:sz w:val="20"/>
              </w:rPr>
            </w:pPr>
            <w:r>
              <w:rPr>
                <w:sz w:val="20"/>
              </w:rPr>
              <w:t>Por</w:t>
            </w:r>
            <w:r>
              <w:rPr>
                <w:spacing w:val="-6"/>
                <w:sz w:val="20"/>
              </w:rPr>
              <w:t> </w:t>
            </w:r>
            <w:r>
              <w:rPr>
                <w:sz w:val="20"/>
              </w:rPr>
              <w:t>la</w:t>
            </w:r>
            <w:r>
              <w:rPr>
                <w:spacing w:val="-5"/>
                <w:sz w:val="20"/>
              </w:rPr>
              <w:t> </w:t>
            </w:r>
            <w:r>
              <w:rPr>
                <w:sz w:val="20"/>
              </w:rPr>
              <w:t>amputación</w:t>
            </w:r>
            <w:r>
              <w:rPr>
                <w:spacing w:val="-5"/>
                <w:sz w:val="20"/>
              </w:rPr>
              <w:t> </w:t>
            </w:r>
            <w:r>
              <w:rPr>
                <w:sz w:val="20"/>
              </w:rPr>
              <w:t>del</w:t>
            </w:r>
            <w:r>
              <w:rPr>
                <w:spacing w:val="-4"/>
                <w:sz w:val="20"/>
              </w:rPr>
              <w:t> </w:t>
            </w:r>
            <w:r>
              <w:rPr>
                <w:sz w:val="20"/>
              </w:rPr>
              <w:t>brazo,</w:t>
            </w:r>
            <w:r>
              <w:rPr>
                <w:spacing w:val="-5"/>
                <w:sz w:val="20"/>
              </w:rPr>
              <w:t> </w:t>
            </w:r>
            <w:r>
              <w:rPr>
                <w:sz w:val="20"/>
              </w:rPr>
              <w:t>entre</w:t>
            </w:r>
            <w:r>
              <w:rPr>
                <w:spacing w:val="-5"/>
                <w:sz w:val="20"/>
              </w:rPr>
              <w:t> </w:t>
            </w:r>
            <w:r>
              <w:rPr>
                <w:sz w:val="20"/>
              </w:rPr>
              <w:t>el</w:t>
            </w:r>
            <w:r>
              <w:rPr>
                <w:spacing w:val="-6"/>
                <w:sz w:val="20"/>
              </w:rPr>
              <w:t> </w:t>
            </w:r>
            <w:r>
              <w:rPr>
                <w:sz w:val="20"/>
              </w:rPr>
              <w:t>hombro</w:t>
            </w:r>
            <w:r>
              <w:rPr>
                <w:spacing w:val="-3"/>
                <w:sz w:val="20"/>
              </w:rPr>
              <w:t> </w:t>
            </w:r>
            <w:r>
              <w:rPr>
                <w:sz w:val="20"/>
              </w:rPr>
              <w:t>y</w:t>
            </w:r>
            <w:r>
              <w:rPr>
                <w:spacing w:val="-6"/>
                <w:sz w:val="20"/>
              </w:rPr>
              <w:t> </w:t>
            </w:r>
            <w:r>
              <w:rPr>
                <w:sz w:val="20"/>
              </w:rPr>
              <w:t>el</w:t>
            </w:r>
            <w:r>
              <w:rPr>
                <w:spacing w:val="-6"/>
                <w:sz w:val="20"/>
              </w:rPr>
              <w:t> </w:t>
            </w:r>
            <w:r>
              <w:rPr>
                <w:spacing w:val="-4"/>
                <w:sz w:val="20"/>
              </w:rPr>
              <w:t>codo.</w:t>
            </w:r>
          </w:p>
        </w:tc>
        <w:tc>
          <w:tcPr>
            <w:tcW w:w="1447" w:type="dxa"/>
          </w:tcPr>
          <w:p>
            <w:pPr>
              <w:pStyle w:val="TableParagraph"/>
              <w:ind w:left="10"/>
              <w:rPr>
                <w:sz w:val="20"/>
              </w:rPr>
            </w:pPr>
            <w:r>
              <w:rPr>
                <w:spacing w:val="-5"/>
                <w:sz w:val="20"/>
              </w:rPr>
              <w:t>80%</w:t>
            </w:r>
          </w:p>
        </w:tc>
      </w:tr>
    </w:tbl>
    <w:p>
      <w:pPr>
        <w:pStyle w:val="TableParagraph"/>
        <w:spacing w:after="0"/>
        <w:rPr>
          <w:sz w:val="20"/>
        </w:rPr>
        <w:sectPr>
          <w:pgSz w:w="12240" w:h="15840"/>
          <w:pgMar w:header="724" w:footer="712" w:top="1880" w:bottom="900" w:left="1080" w:right="1080"/>
        </w:sectPr>
      </w:pPr>
    </w:p>
    <w:p>
      <w:pPr>
        <w:pStyle w:val="BodyText"/>
        <w:spacing w:before="68"/>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7"/>
        <w:gridCol w:w="7065"/>
        <w:gridCol w:w="1447"/>
      </w:tblGrid>
      <w:tr>
        <w:trPr>
          <w:trHeight w:val="229" w:hRule="atLeast"/>
        </w:trPr>
        <w:tc>
          <w:tcPr>
            <w:tcW w:w="1037" w:type="dxa"/>
          </w:tcPr>
          <w:p>
            <w:pPr>
              <w:pStyle w:val="TableParagraph"/>
              <w:ind w:left="14"/>
              <w:rPr>
                <w:sz w:val="20"/>
              </w:rPr>
            </w:pPr>
            <w:r>
              <w:rPr>
                <w:spacing w:val="-10"/>
                <w:sz w:val="20"/>
              </w:rPr>
              <w:t>5</w:t>
            </w:r>
          </w:p>
        </w:tc>
        <w:tc>
          <w:tcPr>
            <w:tcW w:w="7065" w:type="dxa"/>
          </w:tcPr>
          <w:p>
            <w:pPr>
              <w:pStyle w:val="TableParagraph"/>
              <w:jc w:val="left"/>
              <w:rPr>
                <w:sz w:val="20"/>
              </w:rPr>
            </w:pPr>
            <w:r>
              <w:rPr>
                <w:sz w:val="20"/>
              </w:rPr>
              <w:t>Por</w:t>
            </w:r>
            <w:r>
              <w:rPr>
                <w:spacing w:val="-8"/>
                <w:sz w:val="20"/>
              </w:rPr>
              <w:t> </w:t>
            </w:r>
            <w:r>
              <w:rPr>
                <w:sz w:val="20"/>
              </w:rPr>
              <w:t>la</w:t>
            </w:r>
            <w:r>
              <w:rPr>
                <w:spacing w:val="-7"/>
                <w:sz w:val="20"/>
              </w:rPr>
              <w:t> </w:t>
            </w:r>
            <w:r>
              <w:rPr>
                <w:sz w:val="20"/>
              </w:rPr>
              <w:t>desarticulación</w:t>
            </w:r>
            <w:r>
              <w:rPr>
                <w:spacing w:val="-7"/>
                <w:sz w:val="20"/>
              </w:rPr>
              <w:t> </w:t>
            </w:r>
            <w:r>
              <w:rPr>
                <w:sz w:val="20"/>
              </w:rPr>
              <w:t>del</w:t>
            </w:r>
            <w:r>
              <w:rPr>
                <w:spacing w:val="-8"/>
                <w:sz w:val="20"/>
              </w:rPr>
              <w:t> </w:t>
            </w:r>
            <w:r>
              <w:rPr>
                <w:spacing w:val="-2"/>
                <w:sz w:val="20"/>
              </w:rPr>
              <w:t>codo.</w:t>
            </w:r>
          </w:p>
        </w:tc>
        <w:tc>
          <w:tcPr>
            <w:tcW w:w="1447" w:type="dxa"/>
          </w:tcPr>
          <w:p>
            <w:pPr>
              <w:pStyle w:val="TableParagraph"/>
              <w:ind w:left="10"/>
              <w:rPr>
                <w:sz w:val="20"/>
              </w:rPr>
            </w:pPr>
            <w:r>
              <w:rPr>
                <w:spacing w:val="-5"/>
                <w:sz w:val="20"/>
              </w:rPr>
              <w:t>80%</w:t>
            </w:r>
          </w:p>
        </w:tc>
      </w:tr>
      <w:tr>
        <w:trPr>
          <w:trHeight w:val="229" w:hRule="atLeast"/>
        </w:trPr>
        <w:tc>
          <w:tcPr>
            <w:tcW w:w="1037" w:type="dxa"/>
          </w:tcPr>
          <w:p>
            <w:pPr>
              <w:pStyle w:val="TableParagraph"/>
              <w:ind w:left="14"/>
              <w:rPr>
                <w:sz w:val="20"/>
              </w:rPr>
            </w:pPr>
            <w:r>
              <w:rPr>
                <w:spacing w:val="-10"/>
                <w:sz w:val="20"/>
              </w:rPr>
              <w:t>6</w:t>
            </w:r>
          </w:p>
        </w:tc>
        <w:tc>
          <w:tcPr>
            <w:tcW w:w="7065" w:type="dxa"/>
          </w:tcPr>
          <w:p>
            <w:pPr>
              <w:pStyle w:val="TableParagraph"/>
              <w:jc w:val="left"/>
              <w:rPr>
                <w:sz w:val="20"/>
              </w:rPr>
            </w:pPr>
            <w:r>
              <w:rPr>
                <w:sz w:val="20"/>
              </w:rPr>
              <w:t>Por</w:t>
            </w:r>
            <w:r>
              <w:rPr>
                <w:spacing w:val="-6"/>
                <w:sz w:val="20"/>
              </w:rPr>
              <w:t> </w:t>
            </w:r>
            <w:r>
              <w:rPr>
                <w:sz w:val="20"/>
              </w:rPr>
              <w:t>la</w:t>
            </w:r>
            <w:r>
              <w:rPr>
                <w:spacing w:val="-6"/>
                <w:sz w:val="20"/>
              </w:rPr>
              <w:t> </w:t>
            </w:r>
            <w:r>
              <w:rPr>
                <w:sz w:val="20"/>
              </w:rPr>
              <w:t>amputación</w:t>
            </w:r>
            <w:r>
              <w:rPr>
                <w:spacing w:val="-6"/>
                <w:sz w:val="20"/>
              </w:rPr>
              <w:t> </w:t>
            </w:r>
            <w:r>
              <w:rPr>
                <w:sz w:val="20"/>
              </w:rPr>
              <w:t>del</w:t>
            </w:r>
            <w:r>
              <w:rPr>
                <w:spacing w:val="-5"/>
                <w:sz w:val="20"/>
              </w:rPr>
              <w:t> </w:t>
            </w:r>
            <w:r>
              <w:rPr>
                <w:sz w:val="20"/>
              </w:rPr>
              <w:t>antebrazo</w:t>
            </w:r>
            <w:r>
              <w:rPr>
                <w:spacing w:val="-4"/>
                <w:sz w:val="20"/>
              </w:rPr>
              <w:t> </w:t>
            </w:r>
            <w:r>
              <w:rPr>
                <w:sz w:val="20"/>
              </w:rPr>
              <w:t>entre</w:t>
            </w:r>
            <w:r>
              <w:rPr>
                <w:spacing w:val="-6"/>
                <w:sz w:val="20"/>
              </w:rPr>
              <w:t> </w:t>
            </w:r>
            <w:r>
              <w:rPr>
                <w:sz w:val="20"/>
              </w:rPr>
              <w:t>el</w:t>
            </w:r>
            <w:r>
              <w:rPr>
                <w:spacing w:val="-6"/>
                <w:sz w:val="20"/>
              </w:rPr>
              <w:t> </w:t>
            </w:r>
            <w:r>
              <w:rPr>
                <w:sz w:val="20"/>
              </w:rPr>
              <w:t>codo</w:t>
            </w:r>
            <w:r>
              <w:rPr>
                <w:spacing w:val="-3"/>
                <w:sz w:val="20"/>
              </w:rPr>
              <w:t> </w:t>
            </w:r>
            <w:r>
              <w:rPr>
                <w:sz w:val="20"/>
              </w:rPr>
              <w:t>y</w:t>
            </w:r>
            <w:r>
              <w:rPr>
                <w:spacing w:val="-6"/>
                <w:sz w:val="20"/>
              </w:rPr>
              <w:t> </w:t>
            </w:r>
            <w:r>
              <w:rPr>
                <w:sz w:val="20"/>
              </w:rPr>
              <w:t>la</w:t>
            </w:r>
            <w:r>
              <w:rPr>
                <w:spacing w:val="-6"/>
                <w:sz w:val="20"/>
              </w:rPr>
              <w:t> </w:t>
            </w:r>
            <w:r>
              <w:rPr>
                <w:spacing w:val="-2"/>
                <w:sz w:val="20"/>
              </w:rPr>
              <w:t>muñeca.</w:t>
            </w:r>
          </w:p>
        </w:tc>
        <w:tc>
          <w:tcPr>
            <w:tcW w:w="1447" w:type="dxa"/>
          </w:tcPr>
          <w:p>
            <w:pPr>
              <w:pStyle w:val="TableParagraph"/>
              <w:ind w:left="10"/>
              <w:rPr>
                <w:sz w:val="20"/>
              </w:rPr>
            </w:pPr>
            <w:r>
              <w:rPr>
                <w:spacing w:val="-5"/>
                <w:sz w:val="20"/>
              </w:rPr>
              <w:t>75%</w:t>
            </w:r>
          </w:p>
        </w:tc>
      </w:tr>
      <w:tr>
        <w:trPr>
          <w:trHeight w:val="229" w:hRule="atLeast"/>
        </w:trPr>
        <w:tc>
          <w:tcPr>
            <w:tcW w:w="1037" w:type="dxa"/>
          </w:tcPr>
          <w:p>
            <w:pPr>
              <w:pStyle w:val="TableParagraph"/>
              <w:ind w:left="14"/>
              <w:rPr>
                <w:sz w:val="20"/>
              </w:rPr>
            </w:pPr>
            <w:r>
              <w:rPr>
                <w:spacing w:val="-10"/>
                <w:sz w:val="20"/>
              </w:rPr>
              <w:t>7</w:t>
            </w:r>
          </w:p>
        </w:tc>
        <w:tc>
          <w:tcPr>
            <w:tcW w:w="7065" w:type="dxa"/>
          </w:tcPr>
          <w:p>
            <w:pPr>
              <w:pStyle w:val="TableParagraph"/>
              <w:jc w:val="left"/>
              <w:rPr>
                <w:sz w:val="20"/>
              </w:rPr>
            </w:pPr>
            <w:r>
              <w:rPr>
                <w:sz w:val="20"/>
              </w:rPr>
              <w:t>Por</w:t>
            </w:r>
            <w:r>
              <w:rPr>
                <w:spacing w:val="-5"/>
                <w:sz w:val="20"/>
              </w:rPr>
              <w:t> </w:t>
            </w:r>
            <w:r>
              <w:rPr>
                <w:sz w:val="20"/>
              </w:rPr>
              <w:t>la</w:t>
            </w:r>
            <w:r>
              <w:rPr>
                <w:spacing w:val="-5"/>
                <w:sz w:val="20"/>
              </w:rPr>
              <w:t> </w:t>
            </w:r>
            <w:r>
              <w:rPr>
                <w:sz w:val="20"/>
              </w:rPr>
              <w:t>pérdida</w:t>
            </w:r>
            <w:r>
              <w:rPr>
                <w:spacing w:val="-6"/>
                <w:sz w:val="20"/>
              </w:rPr>
              <w:t> </w:t>
            </w:r>
            <w:r>
              <w:rPr>
                <w:sz w:val="20"/>
              </w:rPr>
              <w:t>total</w:t>
            </w:r>
            <w:r>
              <w:rPr>
                <w:spacing w:val="-6"/>
                <w:sz w:val="20"/>
              </w:rPr>
              <w:t> </w:t>
            </w:r>
            <w:r>
              <w:rPr>
                <w:sz w:val="20"/>
              </w:rPr>
              <w:t>de</w:t>
            </w:r>
            <w:r>
              <w:rPr>
                <w:spacing w:val="-3"/>
                <w:sz w:val="20"/>
              </w:rPr>
              <w:t> </w:t>
            </w:r>
            <w:r>
              <w:rPr>
                <w:sz w:val="20"/>
              </w:rPr>
              <w:t>la</w:t>
            </w:r>
            <w:r>
              <w:rPr>
                <w:spacing w:val="-3"/>
                <w:sz w:val="20"/>
              </w:rPr>
              <w:t> </w:t>
            </w:r>
            <w:r>
              <w:rPr>
                <w:spacing w:val="-2"/>
                <w:sz w:val="20"/>
              </w:rPr>
              <w:t>mano.</w:t>
            </w:r>
          </w:p>
        </w:tc>
        <w:tc>
          <w:tcPr>
            <w:tcW w:w="1447" w:type="dxa"/>
          </w:tcPr>
          <w:p>
            <w:pPr>
              <w:pStyle w:val="TableParagraph"/>
              <w:ind w:left="10"/>
              <w:rPr>
                <w:sz w:val="20"/>
              </w:rPr>
            </w:pPr>
            <w:r>
              <w:rPr>
                <w:spacing w:val="-5"/>
                <w:sz w:val="20"/>
              </w:rPr>
              <w:t>75%</w:t>
            </w:r>
          </w:p>
        </w:tc>
      </w:tr>
      <w:tr>
        <w:trPr>
          <w:trHeight w:val="229" w:hRule="atLeast"/>
        </w:trPr>
        <w:tc>
          <w:tcPr>
            <w:tcW w:w="1037" w:type="dxa"/>
          </w:tcPr>
          <w:p>
            <w:pPr>
              <w:pStyle w:val="TableParagraph"/>
              <w:ind w:left="14"/>
              <w:rPr>
                <w:sz w:val="20"/>
              </w:rPr>
            </w:pPr>
            <w:r>
              <w:rPr>
                <w:spacing w:val="-10"/>
                <w:sz w:val="20"/>
              </w:rPr>
              <w:t>8</w:t>
            </w:r>
          </w:p>
        </w:tc>
        <w:tc>
          <w:tcPr>
            <w:tcW w:w="7065" w:type="dxa"/>
          </w:tcPr>
          <w:p>
            <w:pPr>
              <w:pStyle w:val="TableParagraph"/>
              <w:jc w:val="left"/>
              <w:rPr>
                <w:sz w:val="20"/>
              </w:rPr>
            </w:pPr>
            <w:r>
              <w:rPr>
                <w:sz w:val="20"/>
              </w:rPr>
              <w:t>Por</w:t>
            </w:r>
            <w:r>
              <w:rPr>
                <w:spacing w:val="-5"/>
                <w:sz w:val="20"/>
              </w:rPr>
              <w:t> </w:t>
            </w:r>
            <w:r>
              <w:rPr>
                <w:sz w:val="20"/>
              </w:rPr>
              <w:t>la</w:t>
            </w:r>
            <w:r>
              <w:rPr>
                <w:spacing w:val="-5"/>
                <w:sz w:val="20"/>
              </w:rPr>
              <w:t> </w:t>
            </w:r>
            <w:r>
              <w:rPr>
                <w:sz w:val="20"/>
              </w:rPr>
              <w:t>pérdida</w:t>
            </w:r>
            <w:r>
              <w:rPr>
                <w:spacing w:val="-6"/>
                <w:sz w:val="20"/>
              </w:rPr>
              <w:t> </w:t>
            </w:r>
            <w:r>
              <w:rPr>
                <w:sz w:val="20"/>
              </w:rPr>
              <w:t>total</w:t>
            </w:r>
            <w:r>
              <w:rPr>
                <w:spacing w:val="-6"/>
                <w:sz w:val="20"/>
              </w:rPr>
              <w:t> </w:t>
            </w:r>
            <w:r>
              <w:rPr>
                <w:sz w:val="20"/>
              </w:rPr>
              <w:t>o</w:t>
            </w:r>
            <w:r>
              <w:rPr>
                <w:spacing w:val="-3"/>
                <w:sz w:val="20"/>
              </w:rPr>
              <w:t> </w:t>
            </w:r>
            <w:r>
              <w:rPr>
                <w:sz w:val="20"/>
              </w:rPr>
              <w:t>parcial</w:t>
            </w:r>
            <w:r>
              <w:rPr>
                <w:spacing w:val="-6"/>
                <w:sz w:val="20"/>
              </w:rPr>
              <w:t> </w:t>
            </w:r>
            <w:r>
              <w:rPr>
                <w:sz w:val="20"/>
              </w:rPr>
              <w:t>de</w:t>
            </w:r>
            <w:r>
              <w:rPr>
                <w:spacing w:val="-3"/>
                <w:sz w:val="20"/>
              </w:rPr>
              <w:t> </w:t>
            </w:r>
            <w:r>
              <w:rPr>
                <w:sz w:val="20"/>
              </w:rPr>
              <w:t>los</w:t>
            </w:r>
            <w:r>
              <w:rPr>
                <w:spacing w:val="-2"/>
                <w:sz w:val="20"/>
              </w:rPr>
              <w:t> </w:t>
            </w:r>
            <w:r>
              <w:rPr>
                <w:sz w:val="20"/>
              </w:rPr>
              <w:t>5</w:t>
            </w:r>
            <w:r>
              <w:rPr>
                <w:spacing w:val="-5"/>
                <w:sz w:val="20"/>
              </w:rPr>
              <w:t> </w:t>
            </w:r>
            <w:r>
              <w:rPr>
                <w:spacing w:val="-2"/>
                <w:sz w:val="20"/>
              </w:rPr>
              <w:t>metacarpianos.</w:t>
            </w:r>
          </w:p>
        </w:tc>
        <w:tc>
          <w:tcPr>
            <w:tcW w:w="1447" w:type="dxa"/>
          </w:tcPr>
          <w:p>
            <w:pPr>
              <w:pStyle w:val="TableParagraph"/>
              <w:ind w:left="10"/>
              <w:rPr>
                <w:sz w:val="20"/>
              </w:rPr>
            </w:pPr>
            <w:r>
              <w:rPr>
                <w:spacing w:val="-5"/>
                <w:sz w:val="20"/>
              </w:rPr>
              <w:t>75%</w:t>
            </w:r>
          </w:p>
        </w:tc>
      </w:tr>
      <w:tr>
        <w:trPr>
          <w:trHeight w:val="229" w:hRule="atLeast"/>
        </w:trPr>
        <w:tc>
          <w:tcPr>
            <w:tcW w:w="1037" w:type="dxa"/>
          </w:tcPr>
          <w:p>
            <w:pPr>
              <w:pStyle w:val="TableParagraph"/>
              <w:ind w:left="14"/>
              <w:rPr>
                <w:sz w:val="20"/>
              </w:rPr>
            </w:pPr>
            <w:r>
              <w:rPr>
                <w:spacing w:val="-10"/>
                <w:sz w:val="20"/>
              </w:rPr>
              <w:t>9</w:t>
            </w:r>
          </w:p>
        </w:tc>
        <w:tc>
          <w:tcPr>
            <w:tcW w:w="7065" w:type="dxa"/>
          </w:tcPr>
          <w:p>
            <w:pPr>
              <w:pStyle w:val="TableParagraph"/>
              <w:jc w:val="left"/>
              <w:rPr>
                <w:sz w:val="20"/>
              </w:rPr>
            </w:pPr>
            <w:r>
              <w:rPr>
                <w:sz w:val="20"/>
              </w:rPr>
              <w:t>Por</w:t>
            </w:r>
            <w:r>
              <w:rPr>
                <w:spacing w:val="-5"/>
                <w:sz w:val="20"/>
              </w:rPr>
              <w:t> </w:t>
            </w:r>
            <w:r>
              <w:rPr>
                <w:sz w:val="20"/>
              </w:rPr>
              <w:t>la</w:t>
            </w:r>
            <w:r>
              <w:rPr>
                <w:spacing w:val="-4"/>
                <w:sz w:val="20"/>
              </w:rPr>
              <w:t> </w:t>
            </w:r>
            <w:r>
              <w:rPr>
                <w:sz w:val="20"/>
              </w:rPr>
              <w:t>pérdida</w:t>
            </w:r>
            <w:r>
              <w:rPr>
                <w:spacing w:val="-5"/>
                <w:sz w:val="20"/>
              </w:rPr>
              <w:t> </w:t>
            </w:r>
            <w:r>
              <w:rPr>
                <w:sz w:val="20"/>
              </w:rPr>
              <w:t>de</w:t>
            </w:r>
            <w:r>
              <w:rPr>
                <w:spacing w:val="-4"/>
                <w:sz w:val="20"/>
              </w:rPr>
              <w:t> </w:t>
            </w:r>
            <w:r>
              <w:rPr>
                <w:sz w:val="20"/>
              </w:rPr>
              <w:t>los</w:t>
            </w:r>
            <w:r>
              <w:rPr>
                <w:spacing w:val="-3"/>
                <w:sz w:val="20"/>
              </w:rPr>
              <w:t> </w:t>
            </w:r>
            <w:r>
              <w:rPr>
                <w:sz w:val="20"/>
              </w:rPr>
              <w:t>5</w:t>
            </w:r>
            <w:r>
              <w:rPr>
                <w:spacing w:val="-4"/>
                <w:sz w:val="20"/>
              </w:rPr>
              <w:t> </w:t>
            </w:r>
            <w:r>
              <w:rPr>
                <w:spacing w:val="-2"/>
                <w:sz w:val="20"/>
              </w:rPr>
              <w:t>dedos.</w:t>
            </w:r>
          </w:p>
        </w:tc>
        <w:tc>
          <w:tcPr>
            <w:tcW w:w="1447" w:type="dxa"/>
          </w:tcPr>
          <w:p>
            <w:pPr>
              <w:pStyle w:val="TableParagraph"/>
              <w:ind w:left="10"/>
              <w:rPr>
                <w:sz w:val="20"/>
              </w:rPr>
            </w:pPr>
            <w:r>
              <w:rPr>
                <w:spacing w:val="-5"/>
                <w:sz w:val="20"/>
              </w:rPr>
              <w:t>70%</w:t>
            </w:r>
          </w:p>
        </w:tc>
      </w:tr>
      <w:tr>
        <w:trPr>
          <w:trHeight w:val="229" w:hRule="atLeast"/>
        </w:trPr>
        <w:tc>
          <w:tcPr>
            <w:tcW w:w="1037" w:type="dxa"/>
          </w:tcPr>
          <w:p>
            <w:pPr>
              <w:pStyle w:val="TableParagraph"/>
              <w:ind w:left="14" w:right="5"/>
              <w:rPr>
                <w:sz w:val="20"/>
              </w:rPr>
            </w:pPr>
            <w:r>
              <w:rPr>
                <w:spacing w:val="-5"/>
                <w:sz w:val="20"/>
              </w:rPr>
              <w:t>10</w:t>
            </w:r>
          </w:p>
        </w:tc>
        <w:tc>
          <w:tcPr>
            <w:tcW w:w="7065" w:type="dxa"/>
          </w:tcPr>
          <w:p>
            <w:pPr>
              <w:pStyle w:val="TableParagraph"/>
              <w:jc w:val="left"/>
              <w:rPr>
                <w:sz w:val="20"/>
              </w:rPr>
            </w:pPr>
            <w:r>
              <w:rPr>
                <w:sz w:val="20"/>
              </w:rPr>
              <w:t>Por</w:t>
            </w:r>
            <w:r>
              <w:rPr>
                <w:spacing w:val="-6"/>
                <w:sz w:val="20"/>
              </w:rPr>
              <w:t> </w:t>
            </w:r>
            <w:r>
              <w:rPr>
                <w:sz w:val="20"/>
              </w:rPr>
              <w:t>la</w:t>
            </w:r>
            <w:r>
              <w:rPr>
                <w:spacing w:val="-5"/>
                <w:sz w:val="20"/>
              </w:rPr>
              <w:t> </w:t>
            </w:r>
            <w:r>
              <w:rPr>
                <w:sz w:val="20"/>
              </w:rPr>
              <w:t>pérdida</w:t>
            </w:r>
            <w:r>
              <w:rPr>
                <w:spacing w:val="-6"/>
                <w:sz w:val="20"/>
              </w:rPr>
              <w:t> </w:t>
            </w:r>
            <w:r>
              <w:rPr>
                <w:sz w:val="20"/>
              </w:rPr>
              <w:t>de</w:t>
            </w:r>
            <w:r>
              <w:rPr>
                <w:spacing w:val="-5"/>
                <w:sz w:val="20"/>
              </w:rPr>
              <w:t> </w:t>
            </w:r>
            <w:r>
              <w:rPr>
                <w:sz w:val="20"/>
              </w:rPr>
              <w:t>4</w:t>
            </w:r>
            <w:r>
              <w:rPr>
                <w:spacing w:val="-3"/>
                <w:sz w:val="20"/>
              </w:rPr>
              <w:t> </w:t>
            </w:r>
            <w:r>
              <w:rPr>
                <w:sz w:val="20"/>
              </w:rPr>
              <w:t>dedos</w:t>
            </w:r>
            <w:r>
              <w:rPr>
                <w:spacing w:val="-2"/>
                <w:sz w:val="20"/>
              </w:rPr>
              <w:t> </w:t>
            </w:r>
            <w:r>
              <w:rPr>
                <w:sz w:val="20"/>
              </w:rPr>
              <w:t>de</w:t>
            </w:r>
            <w:r>
              <w:rPr>
                <w:spacing w:val="-6"/>
                <w:sz w:val="20"/>
              </w:rPr>
              <w:t> </w:t>
            </w:r>
            <w:r>
              <w:rPr>
                <w:sz w:val="20"/>
              </w:rPr>
              <w:t>la</w:t>
            </w:r>
            <w:r>
              <w:rPr>
                <w:spacing w:val="-6"/>
                <w:sz w:val="20"/>
              </w:rPr>
              <w:t> </w:t>
            </w:r>
            <w:r>
              <w:rPr>
                <w:sz w:val="20"/>
              </w:rPr>
              <w:t>mano,</w:t>
            </w:r>
            <w:r>
              <w:rPr>
                <w:spacing w:val="-5"/>
                <w:sz w:val="20"/>
              </w:rPr>
              <w:t> </w:t>
            </w:r>
            <w:r>
              <w:rPr>
                <w:sz w:val="20"/>
              </w:rPr>
              <w:t>incluyendo</w:t>
            </w:r>
            <w:r>
              <w:rPr>
                <w:spacing w:val="-4"/>
                <w:sz w:val="20"/>
              </w:rPr>
              <w:t> </w:t>
            </w:r>
            <w:r>
              <w:rPr>
                <w:sz w:val="20"/>
              </w:rPr>
              <w:t>el</w:t>
            </w:r>
            <w:r>
              <w:rPr>
                <w:spacing w:val="-4"/>
                <w:sz w:val="20"/>
              </w:rPr>
              <w:t> </w:t>
            </w:r>
            <w:r>
              <w:rPr>
                <w:spacing w:val="-2"/>
                <w:sz w:val="20"/>
              </w:rPr>
              <w:t>pulgar.</w:t>
            </w:r>
          </w:p>
        </w:tc>
        <w:tc>
          <w:tcPr>
            <w:tcW w:w="1447" w:type="dxa"/>
          </w:tcPr>
          <w:p>
            <w:pPr>
              <w:pStyle w:val="TableParagraph"/>
              <w:ind w:left="10"/>
              <w:rPr>
                <w:sz w:val="20"/>
              </w:rPr>
            </w:pPr>
            <w:r>
              <w:rPr>
                <w:spacing w:val="-5"/>
                <w:sz w:val="20"/>
              </w:rPr>
              <w:t>65%</w:t>
            </w:r>
          </w:p>
        </w:tc>
      </w:tr>
      <w:tr>
        <w:trPr>
          <w:trHeight w:val="690" w:hRule="atLeast"/>
        </w:trPr>
        <w:tc>
          <w:tcPr>
            <w:tcW w:w="1037" w:type="dxa"/>
          </w:tcPr>
          <w:p>
            <w:pPr>
              <w:pStyle w:val="TableParagraph"/>
              <w:spacing w:line="240" w:lineRule="auto" w:before="229"/>
              <w:ind w:left="14" w:right="5"/>
              <w:rPr>
                <w:sz w:val="20"/>
              </w:rPr>
            </w:pPr>
            <w:r>
              <w:rPr>
                <w:spacing w:val="-5"/>
                <w:sz w:val="20"/>
              </w:rPr>
              <w:t>11</w:t>
            </w:r>
          </w:p>
        </w:tc>
        <w:tc>
          <w:tcPr>
            <w:tcW w:w="7065" w:type="dxa"/>
          </w:tcPr>
          <w:p>
            <w:pPr>
              <w:pStyle w:val="TableParagraph"/>
              <w:spacing w:line="230" w:lineRule="exact"/>
              <w:ind w:right="60"/>
              <w:jc w:val="both"/>
              <w:rPr>
                <w:sz w:val="20"/>
              </w:rPr>
            </w:pPr>
            <w:r>
              <w:rPr>
                <w:sz w:val="20"/>
              </w:rPr>
              <w:t>Por la pérdida de 4 dedos de la mano incluyendo el pulgar y los metacarpianos correspondientes, aunque la pérdida de éstos no sea </w:t>
            </w:r>
            <w:r>
              <w:rPr>
                <w:spacing w:val="-2"/>
                <w:sz w:val="20"/>
              </w:rPr>
              <w:t>completa.</w:t>
            </w:r>
          </w:p>
        </w:tc>
        <w:tc>
          <w:tcPr>
            <w:tcW w:w="1447" w:type="dxa"/>
          </w:tcPr>
          <w:p>
            <w:pPr>
              <w:pStyle w:val="TableParagraph"/>
              <w:spacing w:line="240" w:lineRule="auto" w:before="229"/>
              <w:ind w:left="10"/>
              <w:rPr>
                <w:sz w:val="20"/>
              </w:rPr>
            </w:pPr>
            <w:r>
              <w:rPr>
                <w:spacing w:val="-5"/>
                <w:sz w:val="20"/>
              </w:rPr>
              <w:t>70%</w:t>
            </w:r>
          </w:p>
        </w:tc>
      </w:tr>
      <w:tr>
        <w:trPr>
          <w:trHeight w:val="229" w:hRule="atLeast"/>
        </w:trPr>
        <w:tc>
          <w:tcPr>
            <w:tcW w:w="1037" w:type="dxa"/>
          </w:tcPr>
          <w:p>
            <w:pPr>
              <w:pStyle w:val="TableParagraph"/>
              <w:ind w:left="14" w:right="5"/>
              <w:rPr>
                <w:sz w:val="20"/>
              </w:rPr>
            </w:pPr>
            <w:r>
              <w:rPr>
                <w:spacing w:val="-5"/>
                <w:sz w:val="20"/>
              </w:rPr>
              <w:t>12</w:t>
            </w:r>
          </w:p>
        </w:tc>
        <w:tc>
          <w:tcPr>
            <w:tcW w:w="7065" w:type="dxa"/>
          </w:tcPr>
          <w:p>
            <w:pPr>
              <w:pStyle w:val="TableParagraph"/>
              <w:jc w:val="left"/>
              <w:rPr>
                <w:sz w:val="20"/>
              </w:rPr>
            </w:pPr>
            <w:r>
              <w:rPr>
                <w:sz w:val="20"/>
              </w:rPr>
              <w:t>Por</w:t>
            </w:r>
            <w:r>
              <w:rPr>
                <w:spacing w:val="-6"/>
                <w:sz w:val="20"/>
              </w:rPr>
              <w:t> </w:t>
            </w:r>
            <w:r>
              <w:rPr>
                <w:sz w:val="20"/>
              </w:rPr>
              <w:t>la</w:t>
            </w:r>
            <w:r>
              <w:rPr>
                <w:spacing w:val="-5"/>
                <w:sz w:val="20"/>
              </w:rPr>
              <w:t> </w:t>
            </w:r>
            <w:r>
              <w:rPr>
                <w:sz w:val="20"/>
              </w:rPr>
              <w:t>pérdida</w:t>
            </w:r>
            <w:r>
              <w:rPr>
                <w:spacing w:val="-6"/>
                <w:sz w:val="20"/>
              </w:rPr>
              <w:t> </w:t>
            </w:r>
            <w:r>
              <w:rPr>
                <w:sz w:val="20"/>
              </w:rPr>
              <w:t>de</w:t>
            </w:r>
            <w:r>
              <w:rPr>
                <w:spacing w:val="-5"/>
                <w:sz w:val="20"/>
              </w:rPr>
              <w:t> </w:t>
            </w:r>
            <w:r>
              <w:rPr>
                <w:sz w:val="20"/>
              </w:rPr>
              <w:t>4</w:t>
            </w:r>
            <w:r>
              <w:rPr>
                <w:spacing w:val="-3"/>
                <w:sz w:val="20"/>
              </w:rPr>
              <w:t> </w:t>
            </w:r>
            <w:r>
              <w:rPr>
                <w:sz w:val="20"/>
              </w:rPr>
              <w:t>dedos</w:t>
            </w:r>
            <w:r>
              <w:rPr>
                <w:spacing w:val="-3"/>
                <w:sz w:val="20"/>
              </w:rPr>
              <w:t> </w:t>
            </w:r>
            <w:r>
              <w:rPr>
                <w:sz w:val="20"/>
              </w:rPr>
              <w:t>de</w:t>
            </w:r>
            <w:r>
              <w:rPr>
                <w:spacing w:val="-6"/>
                <w:sz w:val="20"/>
              </w:rPr>
              <w:t> </w:t>
            </w:r>
            <w:r>
              <w:rPr>
                <w:sz w:val="20"/>
              </w:rPr>
              <w:t>la</w:t>
            </w:r>
            <w:r>
              <w:rPr>
                <w:spacing w:val="-5"/>
                <w:sz w:val="20"/>
              </w:rPr>
              <w:t> </w:t>
            </w:r>
            <w:r>
              <w:rPr>
                <w:sz w:val="20"/>
              </w:rPr>
              <w:t>mano,</w:t>
            </w:r>
            <w:r>
              <w:rPr>
                <w:spacing w:val="-5"/>
                <w:sz w:val="20"/>
              </w:rPr>
              <w:t> </w:t>
            </w:r>
            <w:r>
              <w:rPr>
                <w:sz w:val="20"/>
              </w:rPr>
              <w:t>conservando</w:t>
            </w:r>
            <w:r>
              <w:rPr>
                <w:spacing w:val="-6"/>
                <w:sz w:val="20"/>
              </w:rPr>
              <w:t> </w:t>
            </w:r>
            <w:r>
              <w:rPr>
                <w:sz w:val="20"/>
              </w:rPr>
              <w:t>el</w:t>
            </w:r>
            <w:r>
              <w:rPr>
                <w:spacing w:val="-6"/>
                <w:sz w:val="20"/>
              </w:rPr>
              <w:t> </w:t>
            </w:r>
            <w:r>
              <w:rPr>
                <w:sz w:val="20"/>
              </w:rPr>
              <w:t>pulgar</w:t>
            </w:r>
            <w:r>
              <w:rPr>
                <w:spacing w:val="-6"/>
                <w:sz w:val="20"/>
              </w:rPr>
              <w:t> </w:t>
            </w:r>
            <w:r>
              <w:rPr>
                <w:spacing w:val="-2"/>
                <w:sz w:val="20"/>
              </w:rPr>
              <w:t>móvil.</w:t>
            </w:r>
          </w:p>
        </w:tc>
        <w:tc>
          <w:tcPr>
            <w:tcW w:w="1447" w:type="dxa"/>
          </w:tcPr>
          <w:p>
            <w:pPr>
              <w:pStyle w:val="TableParagraph"/>
              <w:ind w:left="10"/>
              <w:rPr>
                <w:sz w:val="20"/>
              </w:rPr>
            </w:pPr>
            <w:r>
              <w:rPr>
                <w:spacing w:val="-5"/>
                <w:sz w:val="20"/>
              </w:rPr>
              <w:t>50%</w:t>
            </w:r>
          </w:p>
        </w:tc>
      </w:tr>
      <w:tr>
        <w:trPr>
          <w:trHeight w:val="229" w:hRule="atLeast"/>
        </w:trPr>
        <w:tc>
          <w:tcPr>
            <w:tcW w:w="1037" w:type="dxa"/>
          </w:tcPr>
          <w:p>
            <w:pPr>
              <w:pStyle w:val="TableParagraph"/>
              <w:ind w:left="14" w:right="5"/>
              <w:rPr>
                <w:sz w:val="20"/>
              </w:rPr>
            </w:pPr>
            <w:r>
              <w:rPr>
                <w:spacing w:val="-5"/>
                <w:sz w:val="20"/>
              </w:rPr>
              <w:t>13</w:t>
            </w:r>
          </w:p>
        </w:tc>
        <w:tc>
          <w:tcPr>
            <w:tcW w:w="7065" w:type="dxa"/>
          </w:tcPr>
          <w:p>
            <w:pPr>
              <w:pStyle w:val="TableParagraph"/>
              <w:jc w:val="left"/>
              <w:rPr>
                <w:sz w:val="20"/>
              </w:rPr>
            </w:pPr>
            <w:r>
              <w:rPr>
                <w:sz w:val="20"/>
              </w:rPr>
              <w:t>Por</w:t>
            </w:r>
            <w:r>
              <w:rPr>
                <w:spacing w:val="-6"/>
                <w:sz w:val="20"/>
              </w:rPr>
              <w:t> </w:t>
            </w:r>
            <w:r>
              <w:rPr>
                <w:sz w:val="20"/>
              </w:rPr>
              <w:t>la</w:t>
            </w:r>
            <w:r>
              <w:rPr>
                <w:spacing w:val="-5"/>
                <w:sz w:val="20"/>
              </w:rPr>
              <w:t> </w:t>
            </w:r>
            <w:r>
              <w:rPr>
                <w:sz w:val="20"/>
              </w:rPr>
              <w:t>pérdida</w:t>
            </w:r>
            <w:r>
              <w:rPr>
                <w:spacing w:val="-6"/>
                <w:sz w:val="20"/>
              </w:rPr>
              <w:t> </w:t>
            </w:r>
            <w:r>
              <w:rPr>
                <w:sz w:val="20"/>
              </w:rPr>
              <w:t>de</w:t>
            </w:r>
            <w:r>
              <w:rPr>
                <w:spacing w:val="-5"/>
                <w:sz w:val="20"/>
              </w:rPr>
              <w:t> </w:t>
            </w:r>
            <w:r>
              <w:rPr>
                <w:sz w:val="20"/>
              </w:rPr>
              <w:t>4</w:t>
            </w:r>
            <w:r>
              <w:rPr>
                <w:spacing w:val="-3"/>
                <w:sz w:val="20"/>
              </w:rPr>
              <w:t> </w:t>
            </w:r>
            <w:r>
              <w:rPr>
                <w:sz w:val="20"/>
              </w:rPr>
              <w:t>dedos</w:t>
            </w:r>
            <w:r>
              <w:rPr>
                <w:spacing w:val="-3"/>
                <w:sz w:val="20"/>
              </w:rPr>
              <w:t> </w:t>
            </w:r>
            <w:r>
              <w:rPr>
                <w:sz w:val="20"/>
              </w:rPr>
              <w:t>de</w:t>
            </w:r>
            <w:r>
              <w:rPr>
                <w:spacing w:val="-6"/>
                <w:sz w:val="20"/>
              </w:rPr>
              <w:t> </w:t>
            </w:r>
            <w:r>
              <w:rPr>
                <w:sz w:val="20"/>
              </w:rPr>
              <w:t>la</w:t>
            </w:r>
            <w:r>
              <w:rPr>
                <w:spacing w:val="-5"/>
                <w:sz w:val="20"/>
              </w:rPr>
              <w:t> </w:t>
            </w:r>
            <w:r>
              <w:rPr>
                <w:sz w:val="20"/>
              </w:rPr>
              <w:t>mano,</w:t>
            </w:r>
            <w:r>
              <w:rPr>
                <w:spacing w:val="-5"/>
                <w:sz w:val="20"/>
              </w:rPr>
              <w:t> </w:t>
            </w:r>
            <w:r>
              <w:rPr>
                <w:sz w:val="20"/>
              </w:rPr>
              <w:t>conservando</w:t>
            </w:r>
            <w:r>
              <w:rPr>
                <w:spacing w:val="-6"/>
                <w:sz w:val="20"/>
              </w:rPr>
              <w:t> </w:t>
            </w:r>
            <w:r>
              <w:rPr>
                <w:sz w:val="20"/>
              </w:rPr>
              <w:t>el</w:t>
            </w:r>
            <w:r>
              <w:rPr>
                <w:spacing w:val="-6"/>
                <w:sz w:val="20"/>
              </w:rPr>
              <w:t> </w:t>
            </w:r>
            <w:r>
              <w:rPr>
                <w:sz w:val="20"/>
              </w:rPr>
              <w:t>pulgar</w:t>
            </w:r>
            <w:r>
              <w:rPr>
                <w:spacing w:val="-6"/>
                <w:sz w:val="20"/>
              </w:rPr>
              <w:t> </w:t>
            </w:r>
            <w:r>
              <w:rPr>
                <w:spacing w:val="-2"/>
                <w:sz w:val="20"/>
              </w:rPr>
              <w:t>inmóvil.</w:t>
            </w:r>
          </w:p>
        </w:tc>
        <w:tc>
          <w:tcPr>
            <w:tcW w:w="1447" w:type="dxa"/>
          </w:tcPr>
          <w:p>
            <w:pPr>
              <w:pStyle w:val="TableParagraph"/>
              <w:ind w:left="10"/>
              <w:rPr>
                <w:sz w:val="20"/>
              </w:rPr>
            </w:pPr>
            <w:r>
              <w:rPr>
                <w:spacing w:val="-5"/>
                <w:sz w:val="20"/>
              </w:rPr>
              <w:t>60%</w:t>
            </w:r>
          </w:p>
        </w:tc>
      </w:tr>
      <w:tr>
        <w:trPr>
          <w:trHeight w:val="230" w:hRule="atLeast"/>
        </w:trPr>
        <w:tc>
          <w:tcPr>
            <w:tcW w:w="1037" w:type="dxa"/>
          </w:tcPr>
          <w:p>
            <w:pPr>
              <w:pStyle w:val="TableParagraph"/>
              <w:ind w:left="14" w:right="5"/>
              <w:rPr>
                <w:sz w:val="20"/>
              </w:rPr>
            </w:pPr>
            <w:r>
              <w:rPr>
                <w:spacing w:val="-5"/>
                <w:sz w:val="20"/>
              </w:rPr>
              <w:t>14</w:t>
            </w:r>
          </w:p>
        </w:tc>
        <w:tc>
          <w:tcPr>
            <w:tcW w:w="7065" w:type="dxa"/>
          </w:tcPr>
          <w:p>
            <w:pPr>
              <w:pStyle w:val="TableParagraph"/>
              <w:jc w:val="left"/>
              <w:rPr>
                <w:sz w:val="20"/>
              </w:rPr>
            </w:pPr>
            <w:r>
              <w:rPr>
                <w:sz w:val="20"/>
              </w:rPr>
              <w:t>Por</w:t>
            </w:r>
            <w:r>
              <w:rPr>
                <w:spacing w:val="-6"/>
                <w:sz w:val="20"/>
              </w:rPr>
              <w:t> </w:t>
            </w:r>
            <w:r>
              <w:rPr>
                <w:sz w:val="20"/>
              </w:rPr>
              <w:t>la</w:t>
            </w:r>
            <w:r>
              <w:rPr>
                <w:spacing w:val="-6"/>
                <w:sz w:val="20"/>
              </w:rPr>
              <w:t> </w:t>
            </w:r>
            <w:r>
              <w:rPr>
                <w:sz w:val="20"/>
              </w:rPr>
              <w:t>pérdida</w:t>
            </w:r>
            <w:r>
              <w:rPr>
                <w:spacing w:val="-7"/>
                <w:sz w:val="20"/>
              </w:rPr>
              <w:t> </w:t>
            </w:r>
            <w:r>
              <w:rPr>
                <w:sz w:val="20"/>
              </w:rPr>
              <w:t>del</w:t>
            </w:r>
            <w:r>
              <w:rPr>
                <w:spacing w:val="-4"/>
                <w:sz w:val="20"/>
              </w:rPr>
              <w:t> </w:t>
            </w:r>
            <w:r>
              <w:rPr>
                <w:sz w:val="20"/>
              </w:rPr>
              <w:t>pulgar,</w:t>
            </w:r>
            <w:r>
              <w:rPr>
                <w:spacing w:val="-4"/>
                <w:sz w:val="20"/>
              </w:rPr>
              <w:t> </w:t>
            </w:r>
            <w:r>
              <w:rPr>
                <w:sz w:val="20"/>
              </w:rPr>
              <w:t>índice</w:t>
            </w:r>
            <w:r>
              <w:rPr>
                <w:spacing w:val="-2"/>
                <w:sz w:val="20"/>
              </w:rPr>
              <w:t> </w:t>
            </w:r>
            <w:r>
              <w:rPr>
                <w:sz w:val="20"/>
              </w:rPr>
              <w:t>y</w:t>
            </w:r>
            <w:r>
              <w:rPr>
                <w:spacing w:val="-9"/>
                <w:sz w:val="20"/>
              </w:rPr>
              <w:t> </w:t>
            </w:r>
            <w:r>
              <w:rPr>
                <w:spacing w:val="-2"/>
                <w:sz w:val="20"/>
              </w:rPr>
              <w:t>medio.</w:t>
            </w:r>
          </w:p>
        </w:tc>
        <w:tc>
          <w:tcPr>
            <w:tcW w:w="1447" w:type="dxa"/>
          </w:tcPr>
          <w:p>
            <w:pPr>
              <w:pStyle w:val="TableParagraph"/>
              <w:ind w:left="10"/>
              <w:rPr>
                <w:sz w:val="20"/>
              </w:rPr>
            </w:pPr>
            <w:r>
              <w:rPr>
                <w:spacing w:val="-5"/>
                <w:sz w:val="20"/>
              </w:rPr>
              <w:t>55%</w:t>
            </w:r>
          </w:p>
        </w:tc>
      </w:tr>
      <w:tr>
        <w:trPr>
          <w:trHeight w:val="229" w:hRule="atLeast"/>
        </w:trPr>
        <w:tc>
          <w:tcPr>
            <w:tcW w:w="1037" w:type="dxa"/>
          </w:tcPr>
          <w:p>
            <w:pPr>
              <w:pStyle w:val="TableParagraph"/>
              <w:ind w:left="14" w:right="5"/>
              <w:rPr>
                <w:sz w:val="20"/>
              </w:rPr>
            </w:pPr>
            <w:r>
              <w:rPr>
                <w:spacing w:val="-5"/>
                <w:sz w:val="20"/>
              </w:rPr>
              <w:t>15</w:t>
            </w:r>
          </w:p>
        </w:tc>
        <w:tc>
          <w:tcPr>
            <w:tcW w:w="7065" w:type="dxa"/>
          </w:tcPr>
          <w:p>
            <w:pPr>
              <w:pStyle w:val="TableParagraph"/>
              <w:jc w:val="left"/>
              <w:rPr>
                <w:sz w:val="20"/>
              </w:rPr>
            </w:pPr>
            <w:r>
              <w:rPr>
                <w:sz w:val="20"/>
              </w:rPr>
              <w:t>Por</w:t>
            </w:r>
            <w:r>
              <w:rPr>
                <w:spacing w:val="-6"/>
                <w:sz w:val="20"/>
              </w:rPr>
              <w:t> </w:t>
            </w:r>
            <w:r>
              <w:rPr>
                <w:sz w:val="20"/>
              </w:rPr>
              <w:t>la</w:t>
            </w:r>
            <w:r>
              <w:rPr>
                <w:spacing w:val="-5"/>
                <w:sz w:val="20"/>
              </w:rPr>
              <w:t> </w:t>
            </w:r>
            <w:r>
              <w:rPr>
                <w:sz w:val="20"/>
              </w:rPr>
              <w:t>pérdida</w:t>
            </w:r>
            <w:r>
              <w:rPr>
                <w:spacing w:val="-7"/>
                <w:sz w:val="20"/>
              </w:rPr>
              <w:t> </w:t>
            </w:r>
            <w:r>
              <w:rPr>
                <w:sz w:val="20"/>
              </w:rPr>
              <w:t>del</w:t>
            </w:r>
            <w:r>
              <w:rPr>
                <w:spacing w:val="-4"/>
                <w:sz w:val="20"/>
              </w:rPr>
              <w:t> </w:t>
            </w:r>
            <w:r>
              <w:rPr>
                <w:sz w:val="20"/>
              </w:rPr>
              <w:t>pulgar</w:t>
            </w:r>
            <w:r>
              <w:rPr>
                <w:spacing w:val="-1"/>
                <w:sz w:val="20"/>
              </w:rPr>
              <w:t> </w:t>
            </w:r>
            <w:r>
              <w:rPr>
                <w:sz w:val="20"/>
              </w:rPr>
              <w:t>y</w:t>
            </w:r>
            <w:r>
              <w:rPr>
                <w:spacing w:val="-6"/>
                <w:sz w:val="20"/>
              </w:rPr>
              <w:t> </w:t>
            </w:r>
            <w:r>
              <w:rPr>
                <w:sz w:val="20"/>
              </w:rPr>
              <w:t>del</w:t>
            </w:r>
            <w:r>
              <w:rPr>
                <w:spacing w:val="-5"/>
                <w:sz w:val="20"/>
              </w:rPr>
              <w:t> </w:t>
            </w:r>
            <w:r>
              <w:rPr>
                <w:spacing w:val="-2"/>
                <w:sz w:val="20"/>
              </w:rPr>
              <w:t>índice.</w:t>
            </w:r>
          </w:p>
        </w:tc>
        <w:tc>
          <w:tcPr>
            <w:tcW w:w="1447" w:type="dxa"/>
          </w:tcPr>
          <w:p>
            <w:pPr>
              <w:pStyle w:val="TableParagraph"/>
              <w:ind w:left="10"/>
              <w:rPr>
                <w:sz w:val="20"/>
              </w:rPr>
            </w:pPr>
            <w:r>
              <w:rPr>
                <w:spacing w:val="-5"/>
                <w:sz w:val="20"/>
              </w:rPr>
              <w:t>45%</w:t>
            </w:r>
          </w:p>
        </w:tc>
      </w:tr>
      <w:tr>
        <w:trPr>
          <w:trHeight w:val="460" w:hRule="atLeast"/>
        </w:trPr>
        <w:tc>
          <w:tcPr>
            <w:tcW w:w="1037" w:type="dxa"/>
          </w:tcPr>
          <w:p>
            <w:pPr>
              <w:pStyle w:val="TableParagraph"/>
              <w:spacing w:line="240" w:lineRule="auto" w:before="114"/>
              <w:ind w:left="14" w:right="5"/>
              <w:rPr>
                <w:sz w:val="20"/>
              </w:rPr>
            </w:pPr>
            <w:r>
              <w:rPr>
                <w:spacing w:val="-5"/>
                <w:sz w:val="20"/>
              </w:rPr>
              <w:t>16</w:t>
            </w:r>
          </w:p>
        </w:tc>
        <w:tc>
          <w:tcPr>
            <w:tcW w:w="7065" w:type="dxa"/>
          </w:tcPr>
          <w:p>
            <w:pPr>
              <w:pStyle w:val="TableParagraph"/>
              <w:spacing w:line="230" w:lineRule="exact"/>
              <w:jc w:val="left"/>
              <w:rPr>
                <w:sz w:val="20"/>
              </w:rPr>
            </w:pPr>
            <w:r>
              <w:rPr>
                <w:sz w:val="20"/>
              </w:rPr>
              <w:t>Por</w:t>
            </w:r>
            <w:r>
              <w:rPr>
                <w:spacing w:val="36"/>
                <w:sz w:val="20"/>
              </w:rPr>
              <w:t> </w:t>
            </w:r>
            <w:r>
              <w:rPr>
                <w:sz w:val="20"/>
              </w:rPr>
              <w:t>la</w:t>
            </w:r>
            <w:r>
              <w:rPr>
                <w:spacing w:val="35"/>
                <w:sz w:val="20"/>
              </w:rPr>
              <w:t> </w:t>
            </w:r>
            <w:r>
              <w:rPr>
                <w:sz w:val="20"/>
              </w:rPr>
              <w:t>pérdida</w:t>
            </w:r>
            <w:r>
              <w:rPr>
                <w:spacing w:val="34"/>
                <w:sz w:val="20"/>
              </w:rPr>
              <w:t> </w:t>
            </w:r>
            <w:r>
              <w:rPr>
                <w:sz w:val="20"/>
              </w:rPr>
              <w:t>del</w:t>
            </w:r>
            <w:r>
              <w:rPr>
                <w:spacing w:val="34"/>
                <w:sz w:val="20"/>
              </w:rPr>
              <w:t> </w:t>
            </w:r>
            <w:r>
              <w:rPr>
                <w:sz w:val="20"/>
              </w:rPr>
              <w:t>pulgar</w:t>
            </w:r>
            <w:r>
              <w:rPr>
                <w:spacing w:val="36"/>
                <w:sz w:val="20"/>
              </w:rPr>
              <w:t> </w:t>
            </w:r>
            <w:r>
              <w:rPr>
                <w:sz w:val="20"/>
              </w:rPr>
              <w:t>con</w:t>
            </w:r>
            <w:r>
              <w:rPr>
                <w:spacing w:val="34"/>
                <w:sz w:val="20"/>
              </w:rPr>
              <w:t> </w:t>
            </w:r>
            <w:r>
              <w:rPr>
                <w:sz w:val="20"/>
              </w:rPr>
              <w:t>el</w:t>
            </w:r>
            <w:r>
              <w:rPr>
                <w:spacing w:val="34"/>
                <w:sz w:val="20"/>
              </w:rPr>
              <w:t> </w:t>
            </w:r>
            <w:r>
              <w:rPr>
                <w:sz w:val="20"/>
              </w:rPr>
              <w:t>metacarpiano</w:t>
            </w:r>
            <w:r>
              <w:rPr>
                <w:spacing w:val="35"/>
                <w:sz w:val="20"/>
              </w:rPr>
              <w:t> </w:t>
            </w:r>
            <w:r>
              <w:rPr>
                <w:sz w:val="20"/>
              </w:rPr>
              <w:t>correspondiente</w:t>
            </w:r>
            <w:r>
              <w:rPr>
                <w:spacing w:val="35"/>
                <w:sz w:val="20"/>
              </w:rPr>
              <w:t> </w:t>
            </w:r>
            <w:r>
              <w:rPr>
                <w:sz w:val="20"/>
              </w:rPr>
              <w:t>o</w:t>
            </w:r>
            <w:r>
              <w:rPr>
                <w:spacing w:val="35"/>
                <w:sz w:val="20"/>
              </w:rPr>
              <w:t> </w:t>
            </w:r>
            <w:r>
              <w:rPr>
                <w:sz w:val="20"/>
              </w:rPr>
              <w:t>parte</w:t>
            </w:r>
            <w:r>
              <w:rPr>
                <w:spacing w:val="35"/>
                <w:sz w:val="20"/>
              </w:rPr>
              <w:t> </w:t>
            </w:r>
            <w:r>
              <w:rPr>
                <w:sz w:val="20"/>
              </w:rPr>
              <w:t>de </w:t>
            </w:r>
            <w:r>
              <w:rPr>
                <w:spacing w:val="-2"/>
                <w:sz w:val="20"/>
              </w:rPr>
              <w:t>éste.</w:t>
            </w:r>
          </w:p>
        </w:tc>
        <w:tc>
          <w:tcPr>
            <w:tcW w:w="1447" w:type="dxa"/>
          </w:tcPr>
          <w:p>
            <w:pPr>
              <w:pStyle w:val="TableParagraph"/>
              <w:spacing w:line="240" w:lineRule="auto" w:before="114"/>
              <w:ind w:left="10"/>
              <w:rPr>
                <w:sz w:val="20"/>
              </w:rPr>
            </w:pPr>
            <w:r>
              <w:rPr>
                <w:spacing w:val="-5"/>
                <w:sz w:val="20"/>
              </w:rPr>
              <w:t>35%</w:t>
            </w:r>
          </w:p>
        </w:tc>
      </w:tr>
      <w:tr>
        <w:trPr>
          <w:trHeight w:val="229" w:hRule="atLeast"/>
        </w:trPr>
        <w:tc>
          <w:tcPr>
            <w:tcW w:w="1037" w:type="dxa"/>
          </w:tcPr>
          <w:p>
            <w:pPr>
              <w:pStyle w:val="TableParagraph"/>
              <w:ind w:left="14" w:right="5"/>
              <w:rPr>
                <w:sz w:val="20"/>
              </w:rPr>
            </w:pPr>
            <w:r>
              <w:rPr>
                <w:spacing w:val="-5"/>
                <w:sz w:val="20"/>
              </w:rPr>
              <w:t>17</w:t>
            </w:r>
          </w:p>
        </w:tc>
        <w:tc>
          <w:tcPr>
            <w:tcW w:w="7065" w:type="dxa"/>
          </w:tcPr>
          <w:p>
            <w:pPr>
              <w:pStyle w:val="TableParagraph"/>
              <w:jc w:val="left"/>
              <w:rPr>
                <w:sz w:val="20"/>
              </w:rPr>
            </w:pPr>
            <w:r>
              <w:rPr>
                <w:sz w:val="20"/>
              </w:rPr>
              <w:t>Por</w:t>
            </w:r>
            <w:r>
              <w:rPr>
                <w:spacing w:val="-7"/>
                <w:sz w:val="20"/>
              </w:rPr>
              <w:t> </w:t>
            </w:r>
            <w:r>
              <w:rPr>
                <w:sz w:val="20"/>
              </w:rPr>
              <w:t>la</w:t>
            </w:r>
            <w:r>
              <w:rPr>
                <w:spacing w:val="-6"/>
                <w:sz w:val="20"/>
              </w:rPr>
              <w:t> </w:t>
            </w:r>
            <w:r>
              <w:rPr>
                <w:sz w:val="20"/>
              </w:rPr>
              <w:t>pérdida</w:t>
            </w:r>
            <w:r>
              <w:rPr>
                <w:spacing w:val="-7"/>
                <w:sz w:val="20"/>
              </w:rPr>
              <w:t> </w:t>
            </w:r>
            <w:r>
              <w:rPr>
                <w:sz w:val="20"/>
              </w:rPr>
              <w:t>del</w:t>
            </w:r>
            <w:r>
              <w:rPr>
                <w:spacing w:val="-5"/>
                <w:sz w:val="20"/>
              </w:rPr>
              <w:t> </w:t>
            </w:r>
            <w:r>
              <w:rPr>
                <w:sz w:val="20"/>
              </w:rPr>
              <w:t>pulgar</w:t>
            </w:r>
            <w:r>
              <w:rPr>
                <w:spacing w:val="-5"/>
                <w:sz w:val="20"/>
              </w:rPr>
              <w:t> </w:t>
            </w:r>
            <w:r>
              <w:rPr>
                <w:spacing w:val="-4"/>
                <w:sz w:val="20"/>
              </w:rPr>
              <w:t>solo.</w:t>
            </w:r>
          </w:p>
        </w:tc>
        <w:tc>
          <w:tcPr>
            <w:tcW w:w="1447" w:type="dxa"/>
          </w:tcPr>
          <w:p>
            <w:pPr>
              <w:pStyle w:val="TableParagraph"/>
              <w:ind w:left="10"/>
              <w:rPr>
                <w:sz w:val="20"/>
              </w:rPr>
            </w:pPr>
            <w:r>
              <w:rPr>
                <w:spacing w:val="-5"/>
                <w:sz w:val="20"/>
              </w:rPr>
              <w:t>30%</w:t>
            </w:r>
          </w:p>
        </w:tc>
      </w:tr>
      <w:tr>
        <w:trPr>
          <w:trHeight w:val="229" w:hRule="atLeast"/>
        </w:trPr>
        <w:tc>
          <w:tcPr>
            <w:tcW w:w="1037" w:type="dxa"/>
          </w:tcPr>
          <w:p>
            <w:pPr>
              <w:pStyle w:val="TableParagraph"/>
              <w:ind w:left="14" w:right="5"/>
              <w:rPr>
                <w:sz w:val="20"/>
              </w:rPr>
            </w:pPr>
            <w:r>
              <w:rPr>
                <w:spacing w:val="-5"/>
                <w:sz w:val="20"/>
              </w:rPr>
              <w:t>18</w:t>
            </w:r>
          </w:p>
        </w:tc>
        <w:tc>
          <w:tcPr>
            <w:tcW w:w="7065" w:type="dxa"/>
          </w:tcPr>
          <w:p>
            <w:pPr>
              <w:pStyle w:val="TableParagraph"/>
              <w:jc w:val="left"/>
              <w:rPr>
                <w:sz w:val="20"/>
              </w:rPr>
            </w:pPr>
            <w:r>
              <w:rPr>
                <w:sz w:val="20"/>
              </w:rPr>
              <w:t>Por</w:t>
            </w:r>
            <w:r>
              <w:rPr>
                <w:spacing w:val="-6"/>
                <w:sz w:val="20"/>
              </w:rPr>
              <w:t> </w:t>
            </w:r>
            <w:r>
              <w:rPr>
                <w:sz w:val="20"/>
              </w:rPr>
              <w:t>la</w:t>
            </w:r>
            <w:r>
              <w:rPr>
                <w:spacing w:val="-6"/>
                <w:sz w:val="20"/>
              </w:rPr>
              <w:t> </w:t>
            </w:r>
            <w:r>
              <w:rPr>
                <w:sz w:val="20"/>
              </w:rPr>
              <w:t>pérdida</w:t>
            </w:r>
            <w:r>
              <w:rPr>
                <w:spacing w:val="-7"/>
                <w:sz w:val="20"/>
              </w:rPr>
              <w:t> </w:t>
            </w:r>
            <w:r>
              <w:rPr>
                <w:sz w:val="20"/>
              </w:rPr>
              <w:t>parcial</w:t>
            </w:r>
            <w:r>
              <w:rPr>
                <w:spacing w:val="-7"/>
                <w:sz w:val="20"/>
              </w:rPr>
              <w:t> </w:t>
            </w:r>
            <w:r>
              <w:rPr>
                <w:sz w:val="20"/>
              </w:rPr>
              <w:t>de</w:t>
            </w:r>
            <w:r>
              <w:rPr>
                <w:spacing w:val="-4"/>
                <w:sz w:val="20"/>
              </w:rPr>
              <w:t> </w:t>
            </w:r>
            <w:r>
              <w:rPr>
                <w:sz w:val="20"/>
              </w:rPr>
              <w:t>la</w:t>
            </w:r>
            <w:r>
              <w:rPr>
                <w:spacing w:val="-2"/>
                <w:sz w:val="20"/>
              </w:rPr>
              <w:t> </w:t>
            </w:r>
            <w:r>
              <w:rPr>
                <w:sz w:val="20"/>
              </w:rPr>
              <w:t>falange</w:t>
            </w:r>
            <w:r>
              <w:rPr>
                <w:spacing w:val="-4"/>
                <w:sz w:val="20"/>
              </w:rPr>
              <w:t> </w:t>
            </w:r>
            <w:r>
              <w:rPr>
                <w:sz w:val="20"/>
              </w:rPr>
              <w:t>proximal</w:t>
            </w:r>
            <w:r>
              <w:rPr>
                <w:spacing w:val="-7"/>
                <w:sz w:val="20"/>
              </w:rPr>
              <w:t> </w:t>
            </w:r>
            <w:r>
              <w:rPr>
                <w:sz w:val="20"/>
              </w:rPr>
              <w:t>del</w:t>
            </w:r>
            <w:r>
              <w:rPr>
                <w:spacing w:val="-7"/>
                <w:sz w:val="20"/>
              </w:rPr>
              <w:t> </w:t>
            </w:r>
            <w:r>
              <w:rPr>
                <w:sz w:val="20"/>
              </w:rPr>
              <w:t>dedo</w:t>
            </w:r>
            <w:r>
              <w:rPr>
                <w:spacing w:val="-2"/>
                <w:sz w:val="20"/>
              </w:rPr>
              <w:t> pulgar.</w:t>
            </w:r>
          </w:p>
        </w:tc>
        <w:tc>
          <w:tcPr>
            <w:tcW w:w="1447" w:type="dxa"/>
          </w:tcPr>
          <w:p>
            <w:pPr>
              <w:pStyle w:val="TableParagraph"/>
              <w:ind w:left="10"/>
              <w:rPr>
                <w:sz w:val="20"/>
              </w:rPr>
            </w:pPr>
            <w:r>
              <w:rPr>
                <w:spacing w:val="-5"/>
                <w:sz w:val="20"/>
              </w:rPr>
              <w:t>25%</w:t>
            </w:r>
          </w:p>
        </w:tc>
      </w:tr>
      <w:tr>
        <w:trPr>
          <w:trHeight w:val="229" w:hRule="atLeast"/>
        </w:trPr>
        <w:tc>
          <w:tcPr>
            <w:tcW w:w="1037" w:type="dxa"/>
          </w:tcPr>
          <w:p>
            <w:pPr>
              <w:pStyle w:val="TableParagraph"/>
              <w:ind w:left="14" w:right="5"/>
              <w:rPr>
                <w:sz w:val="20"/>
              </w:rPr>
            </w:pPr>
            <w:r>
              <w:rPr>
                <w:spacing w:val="-5"/>
                <w:sz w:val="20"/>
              </w:rPr>
              <w:t>19</w:t>
            </w:r>
          </w:p>
        </w:tc>
        <w:tc>
          <w:tcPr>
            <w:tcW w:w="7065" w:type="dxa"/>
          </w:tcPr>
          <w:p>
            <w:pPr>
              <w:pStyle w:val="TableParagraph"/>
              <w:jc w:val="left"/>
              <w:rPr>
                <w:sz w:val="20"/>
              </w:rPr>
            </w:pPr>
            <w:r>
              <w:rPr>
                <w:sz w:val="20"/>
              </w:rPr>
              <w:t>Por</w:t>
            </w:r>
            <w:r>
              <w:rPr>
                <w:spacing w:val="-5"/>
                <w:sz w:val="20"/>
              </w:rPr>
              <w:t> </w:t>
            </w:r>
            <w:r>
              <w:rPr>
                <w:sz w:val="20"/>
              </w:rPr>
              <w:t>la</w:t>
            </w:r>
            <w:r>
              <w:rPr>
                <w:spacing w:val="-6"/>
                <w:sz w:val="20"/>
              </w:rPr>
              <w:t> </w:t>
            </w:r>
            <w:r>
              <w:rPr>
                <w:sz w:val="20"/>
              </w:rPr>
              <w:t>pérdida</w:t>
            </w:r>
            <w:r>
              <w:rPr>
                <w:spacing w:val="-6"/>
                <w:sz w:val="20"/>
              </w:rPr>
              <w:t> </w:t>
            </w:r>
            <w:r>
              <w:rPr>
                <w:sz w:val="20"/>
              </w:rPr>
              <w:t>de</w:t>
            </w:r>
            <w:r>
              <w:rPr>
                <w:spacing w:val="-6"/>
                <w:sz w:val="20"/>
              </w:rPr>
              <w:t> </w:t>
            </w:r>
            <w:r>
              <w:rPr>
                <w:sz w:val="20"/>
              </w:rPr>
              <w:t>la</w:t>
            </w:r>
            <w:r>
              <w:rPr>
                <w:spacing w:val="-6"/>
                <w:sz w:val="20"/>
              </w:rPr>
              <w:t> </w:t>
            </w:r>
            <w:r>
              <w:rPr>
                <w:sz w:val="20"/>
              </w:rPr>
              <w:t>falange</w:t>
            </w:r>
            <w:r>
              <w:rPr>
                <w:spacing w:val="-3"/>
                <w:sz w:val="20"/>
              </w:rPr>
              <w:t> </w:t>
            </w:r>
            <w:r>
              <w:rPr>
                <w:sz w:val="20"/>
              </w:rPr>
              <w:t>distal</w:t>
            </w:r>
            <w:r>
              <w:rPr>
                <w:spacing w:val="-7"/>
                <w:sz w:val="20"/>
              </w:rPr>
              <w:t> </w:t>
            </w:r>
            <w:r>
              <w:rPr>
                <w:sz w:val="20"/>
              </w:rPr>
              <w:t>del</w:t>
            </w:r>
            <w:r>
              <w:rPr>
                <w:spacing w:val="-5"/>
                <w:sz w:val="20"/>
              </w:rPr>
              <w:t> </w:t>
            </w:r>
            <w:r>
              <w:rPr>
                <w:spacing w:val="-2"/>
                <w:sz w:val="20"/>
              </w:rPr>
              <w:t>pulgar.</w:t>
            </w:r>
          </w:p>
        </w:tc>
        <w:tc>
          <w:tcPr>
            <w:tcW w:w="1447" w:type="dxa"/>
          </w:tcPr>
          <w:p>
            <w:pPr>
              <w:pStyle w:val="TableParagraph"/>
              <w:ind w:left="10"/>
              <w:rPr>
                <w:sz w:val="20"/>
              </w:rPr>
            </w:pPr>
            <w:r>
              <w:rPr>
                <w:spacing w:val="-5"/>
                <w:sz w:val="20"/>
              </w:rPr>
              <w:t>20%</w:t>
            </w:r>
          </w:p>
        </w:tc>
      </w:tr>
      <w:tr>
        <w:trPr>
          <w:trHeight w:val="229" w:hRule="atLeast"/>
        </w:trPr>
        <w:tc>
          <w:tcPr>
            <w:tcW w:w="1037" w:type="dxa"/>
          </w:tcPr>
          <w:p>
            <w:pPr>
              <w:pStyle w:val="TableParagraph"/>
              <w:ind w:left="14" w:right="5"/>
              <w:rPr>
                <w:sz w:val="20"/>
              </w:rPr>
            </w:pPr>
            <w:r>
              <w:rPr>
                <w:spacing w:val="-5"/>
                <w:sz w:val="20"/>
              </w:rPr>
              <w:t>20</w:t>
            </w:r>
          </w:p>
        </w:tc>
        <w:tc>
          <w:tcPr>
            <w:tcW w:w="7065" w:type="dxa"/>
          </w:tcPr>
          <w:p>
            <w:pPr>
              <w:pStyle w:val="TableParagraph"/>
              <w:jc w:val="left"/>
              <w:rPr>
                <w:sz w:val="20"/>
              </w:rPr>
            </w:pPr>
            <w:r>
              <w:rPr>
                <w:sz w:val="20"/>
              </w:rPr>
              <w:t>Por</w:t>
            </w:r>
            <w:r>
              <w:rPr>
                <w:spacing w:val="-7"/>
                <w:sz w:val="20"/>
              </w:rPr>
              <w:t> </w:t>
            </w:r>
            <w:r>
              <w:rPr>
                <w:sz w:val="20"/>
              </w:rPr>
              <w:t>la</w:t>
            </w:r>
            <w:r>
              <w:rPr>
                <w:spacing w:val="-6"/>
                <w:sz w:val="20"/>
              </w:rPr>
              <w:t> </w:t>
            </w:r>
            <w:r>
              <w:rPr>
                <w:sz w:val="20"/>
              </w:rPr>
              <w:t>pérdida</w:t>
            </w:r>
            <w:r>
              <w:rPr>
                <w:spacing w:val="-6"/>
                <w:sz w:val="20"/>
              </w:rPr>
              <w:t> </w:t>
            </w:r>
            <w:r>
              <w:rPr>
                <w:sz w:val="20"/>
              </w:rPr>
              <w:t>parcial</w:t>
            </w:r>
            <w:r>
              <w:rPr>
                <w:spacing w:val="-7"/>
                <w:sz w:val="20"/>
              </w:rPr>
              <w:t> </w:t>
            </w:r>
            <w:r>
              <w:rPr>
                <w:sz w:val="20"/>
              </w:rPr>
              <w:t>de</w:t>
            </w:r>
            <w:r>
              <w:rPr>
                <w:spacing w:val="-5"/>
                <w:sz w:val="20"/>
              </w:rPr>
              <w:t> </w:t>
            </w:r>
            <w:r>
              <w:rPr>
                <w:sz w:val="20"/>
              </w:rPr>
              <w:t>la</w:t>
            </w:r>
            <w:r>
              <w:rPr>
                <w:spacing w:val="-2"/>
                <w:sz w:val="20"/>
              </w:rPr>
              <w:t> </w:t>
            </w:r>
            <w:r>
              <w:rPr>
                <w:sz w:val="20"/>
              </w:rPr>
              <w:t>falange</w:t>
            </w:r>
            <w:r>
              <w:rPr>
                <w:spacing w:val="-4"/>
                <w:sz w:val="20"/>
              </w:rPr>
              <w:t> </w:t>
            </w:r>
            <w:r>
              <w:rPr>
                <w:sz w:val="20"/>
              </w:rPr>
              <w:t>distal</w:t>
            </w:r>
            <w:r>
              <w:rPr>
                <w:spacing w:val="-5"/>
                <w:sz w:val="20"/>
              </w:rPr>
              <w:t> </w:t>
            </w:r>
            <w:r>
              <w:rPr>
                <w:sz w:val="20"/>
              </w:rPr>
              <w:t>del</w:t>
            </w:r>
            <w:r>
              <w:rPr>
                <w:spacing w:val="-5"/>
                <w:sz w:val="20"/>
              </w:rPr>
              <w:t> </w:t>
            </w:r>
            <w:r>
              <w:rPr>
                <w:spacing w:val="-2"/>
                <w:sz w:val="20"/>
              </w:rPr>
              <w:t>pulgar.</w:t>
            </w:r>
          </w:p>
        </w:tc>
        <w:tc>
          <w:tcPr>
            <w:tcW w:w="1447" w:type="dxa"/>
          </w:tcPr>
          <w:p>
            <w:pPr>
              <w:pStyle w:val="TableParagraph"/>
              <w:ind w:left="10"/>
              <w:rPr>
                <w:sz w:val="20"/>
              </w:rPr>
            </w:pPr>
            <w:r>
              <w:rPr>
                <w:spacing w:val="-5"/>
                <w:sz w:val="20"/>
              </w:rPr>
              <w:t>10%</w:t>
            </w:r>
          </w:p>
        </w:tc>
      </w:tr>
      <w:tr>
        <w:trPr>
          <w:trHeight w:val="229" w:hRule="atLeast"/>
        </w:trPr>
        <w:tc>
          <w:tcPr>
            <w:tcW w:w="1037" w:type="dxa"/>
          </w:tcPr>
          <w:p>
            <w:pPr>
              <w:pStyle w:val="TableParagraph"/>
              <w:ind w:left="14" w:right="5"/>
              <w:rPr>
                <w:sz w:val="20"/>
              </w:rPr>
            </w:pPr>
            <w:r>
              <w:rPr>
                <w:spacing w:val="-5"/>
                <w:sz w:val="20"/>
              </w:rPr>
              <w:t>21</w:t>
            </w:r>
          </w:p>
        </w:tc>
        <w:tc>
          <w:tcPr>
            <w:tcW w:w="7065" w:type="dxa"/>
          </w:tcPr>
          <w:p>
            <w:pPr>
              <w:pStyle w:val="TableParagraph"/>
              <w:jc w:val="left"/>
              <w:rPr>
                <w:sz w:val="20"/>
              </w:rPr>
            </w:pPr>
            <w:r>
              <w:rPr>
                <w:sz w:val="20"/>
              </w:rPr>
              <w:t>Por</w:t>
            </w:r>
            <w:r>
              <w:rPr>
                <w:spacing w:val="-6"/>
                <w:sz w:val="20"/>
              </w:rPr>
              <w:t> </w:t>
            </w:r>
            <w:r>
              <w:rPr>
                <w:sz w:val="20"/>
              </w:rPr>
              <w:t>la</w:t>
            </w:r>
            <w:r>
              <w:rPr>
                <w:spacing w:val="-6"/>
                <w:sz w:val="20"/>
              </w:rPr>
              <w:t> </w:t>
            </w:r>
            <w:r>
              <w:rPr>
                <w:sz w:val="20"/>
              </w:rPr>
              <w:t>pérdida</w:t>
            </w:r>
            <w:r>
              <w:rPr>
                <w:spacing w:val="-7"/>
                <w:sz w:val="20"/>
              </w:rPr>
              <w:t> </w:t>
            </w:r>
            <w:r>
              <w:rPr>
                <w:sz w:val="20"/>
              </w:rPr>
              <w:t>del</w:t>
            </w:r>
            <w:r>
              <w:rPr>
                <w:spacing w:val="-5"/>
                <w:sz w:val="20"/>
              </w:rPr>
              <w:t> </w:t>
            </w:r>
            <w:r>
              <w:rPr>
                <w:sz w:val="20"/>
              </w:rPr>
              <w:t>índice</w:t>
            </w:r>
            <w:r>
              <w:rPr>
                <w:spacing w:val="-5"/>
                <w:sz w:val="20"/>
              </w:rPr>
              <w:t> </w:t>
            </w:r>
            <w:r>
              <w:rPr>
                <w:sz w:val="20"/>
              </w:rPr>
              <w:t>con</w:t>
            </w:r>
            <w:r>
              <w:rPr>
                <w:spacing w:val="-6"/>
                <w:sz w:val="20"/>
              </w:rPr>
              <w:t> </w:t>
            </w:r>
            <w:r>
              <w:rPr>
                <w:sz w:val="20"/>
              </w:rPr>
              <w:t>el</w:t>
            </w:r>
            <w:r>
              <w:rPr>
                <w:spacing w:val="-5"/>
                <w:sz w:val="20"/>
              </w:rPr>
              <w:t> </w:t>
            </w:r>
            <w:r>
              <w:rPr>
                <w:sz w:val="20"/>
              </w:rPr>
              <w:t>metacarpiano</w:t>
            </w:r>
            <w:r>
              <w:rPr>
                <w:spacing w:val="-4"/>
                <w:sz w:val="20"/>
              </w:rPr>
              <w:t> </w:t>
            </w:r>
            <w:r>
              <w:rPr>
                <w:sz w:val="20"/>
              </w:rPr>
              <w:t>o</w:t>
            </w:r>
            <w:r>
              <w:rPr>
                <w:spacing w:val="-7"/>
                <w:sz w:val="20"/>
              </w:rPr>
              <w:t> </w:t>
            </w:r>
            <w:r>
              <w:rPr>
                <w:sz w:val="20"/>
              </w:rPr>
              <w:t>parte</w:t>
            </w:r>
            <w:r>
              <w:rPr>
                <w:spacing w:val="-4"/>
                <w:sz w:val="20"/>
              </w:rPr>
              <w:t> </w:t>
            </w:r>
            <w:r>
              <w:rPr>
                <w:sz w:val="20"/>
              </w:rPr>
              <w:t>de</w:t>
            </w:r>
            <w:r>
              <w:rPr>
                <w:spacing w:val="-6"/>
                <w:sz w:val="20"/>
              </w:rPr>
              <w:t> </w:t>
            </w:r>
            <w:r>
              <w:rPr>
                <w:spacing w:val="-2"/>
                <w:sz w:val="20"/>
              </w:rPr>
              <w:t>éste.</w:t>
            </w:r>
          </w:p>
        </w:tc>
        <w:tc>
          <w:tcPr>
            <w:tcW w:w="1447" w:type="dxa"/>
          </w:tcPr>
          <w:p>
            <w:pPr>
              <w:pStyle w:val="TableParagraph"/>
              <w:ind w:left="10"/>
              <w:rPr>
                <w:sz w:val="20"/>
              </w:rPr>
            </w:pPr>
            <w:r>
              <w:rPr>
                <w:spacing w:val="-5"/>
                <w:sz w:val="20"/>
              </w:rPr>
              <w:t>25%</w:t>
            </w:r>
          </w:p>
        </w:tc>
      </w:tr>
      <w:tr>
        <w:trPr>
          <w:trHeight w:val="229" w:hRule="atLeast"/>
        </w:trPr>
        <w:tc>
          <w:tcPr>
            <w:tcW w:w="1037" w:type="dxa"/>
          </w:tcPr>
          <w:p>
            <w:pPr>
              <w:pStyle w:val="TableParagraph"/>
              <w:ind w:left="14" w:right="5"/>
              <w:rPr>
                <w:sz w:val="20"/>
              </w:rPr>
            </w:pPr>
            <w:r>
              <w:rPr>
                <w:spacing w:val="-5"/>
                <w:sz w:val="20"/>
              </w:rPr>
              <w:t>22</w:t>
            </w:r>
          </w:p>
        </w:tc>
        <w:tc>
          <w:tcPr>
            <w:tcW w:w="7065" w:type="dxa"/>
          </w:tcPr>
          <w:p>
            <w:pPr>
              <w:pStyle w:val="TableParagraph"/>
              <w:jc w:val="left"/>
              <w:rPr>
                <w:sz w:val="20"/>
              </w:rPr>
            </w:pPr>
            <w:r>
              <w:rPr>
                <w:sz w:val="20"/>
              </w:rPr>
              <w:t>Por</w:t>
            </w:r>
            <w:r>
              <w:rPr>
                <w:spacing w:val="-6"/>
                <w:sz w:val="20"/>
              </w:rPr>
              <w:t> </w:t>
            </w:r>
            <w:r>
              <w:rPr>
                <w:sz w:val="20"/>
              </w:rPr>
              <w:t>la</w:t>
            </w:r>
            <w:r>
              <w:rPr>
                <w:spacing w:val="-5"/>
                <w:sz w:val="20"/>
              </w:rPr>
              <w:t> </w:t>
            </w:r>
            <w:r>
              <w:rPr>
                <w:sz w:val="20"/>
              </w:rPr>
              <w:t>pérdida</w:t>
            </w:r>
            <w:r>
              <w:rPr>
                <w:spacing w:val="-6"/>
                <w:sz w:val="20"/>
              </w:rPr>
              <w:t> </w:t>
            </w:r>
            <w:r>
              <w:rPr>
                <w:sz w:val="20"/>
              </w:rPr>
              <w:t>del</w:t>
            </w:r>
            <w:r>
              <w:rPr>
                <w:spacing w:val="-5"/>
                <w:sz w:val="20"/>
              </w:rPr>
              <w:t> </w:t>
            </w:r>
            <w:r>
              <w:rPr>
                <w:sz w:val="20"/>
              </w:rPr>
              <w:t>dedo</w:t>
            </w:r>
            <w:r>
              <w:rPr>
                <w:spacing w:val="-5"/>
                <w:sz w:val="20"/>
              </w:rPr>
              <w:t> </w:t>
            </w:r>
            <w:r>
              <w:rPr>
                <w:spacing w:val="-2"/>
                <w:sz w:val="20"/>
              </w:rPr>
              <w:t>índice.</w:t>
            </w:r>
          </w:p>
        </w:tc>
        <w:tc>
          <w:tcPr>
            <w:tcW w:w="1447" w:type="dxa"/>
          </w:tcPr>
          <w:p>
            <w:pPr>
              <w:pStyle w:val="TableParagraph"/>
              <w:ind w:left="10"/>
              <w:rPr>
                <w:sz w:val="20"/>
              </w:rPr>
            </w:pPr>
            <w:r>
              <w:rPr>
                <w:spacing w:val="-5"/>
                <w:sz w:val="20"/>
              </w:rPr>
              <w:t>20%</w:t>
            </w:r>
          </w:p>
        </w:tc>
      </w:tr>
      <w:tr>
        <w:trPr>
          <w:trHeight w:val="232" w:hRule="atLeast"/>
        </w:trPr>
        <w:tc>
          <w:tcPr>
            <w:tcW w:w="1037" w:type="dxa"/>
          </w:tcPr>
          <w:p>
            <w:pPr>
              <w:pStyle w:val="TableParagraph"/>
              <w:spacing w:before="1"/>
              <w:ind w:left="14" w:right="5"/>
              <w:rPr>
                <w:sz w:val="20"/>
              </w:rPr>
            </w:pPr>
            <w:r>
              <w:rPr>
                <w:spacing w:val="-5"/>
                <w:sz w:val="20"/>
              </w:rPr>
              <w:t>23</w:t>
            </w:r>
          </w:p>
        </w:tc>
        <w:tc>
          <w:tcPr>
            <w:tcW w:w="7065" w:type="dxa"/>
          </w:tcPr>
          <w:p>
            <w:pPr>
              <w:pStyle w:val="TableParagraph"/>
              <w:spacing w:before="1"/>
              <w:jc w:val="left"/>
              <w:rPr>
                <w:sz w:val="20"/>
              </w:rPr>
            </w:pPr>
            <w:r>
              <w:rPr>
                <w:sz w:val="20"/>
              </w:rPr>
              <w:t>Por</w:t>
            </w:r>
            <w:r>
              <w:rPr>
                <w:spacing w:val="-6"/>
                <w:sz w:val="20"/>
              </w:rPr>
              <w:t> </w:t>
            </w:r>
            <w:r>
              <w:rPr>
                <w:sz w:val="20"/>
              </w:rPr>
              <w:t>la</w:t>
            </w:r>
            <w:r>
              <w:rPr>
                <w:spacing w:val="-6"/>
                <w:sz w:val="20"/>
              </w:rPr>
              <w:t> </w:t>
            </w:r>
            <w:r>
              <w:rPr>
                <w:sz w:val="20"/>
              </w:rPr>
              <w:t>pérdida</w:t>
            </w:r>
            <w:r>
              <w:rPr>
                <w:spacing w:val="-6"/>
                <w:sz w:val="20"/>
              </w:rPr>
              <w:t> </w:t>
            </w:r>
            <w:r>
              <w:rPr>
                <w:sz w:val="20"/>
              </w:rPr>
              <w:t>parcial</w:t>
            </w:r>
            <w:r>
              <w:rPr>
                <w:spacing w:val="-7"/>
                <w:sz w:val="20"/>
              </w:rPr>
              <w:t> </w:t>
            </w:r>
            <w:r>
              <w:rPr>
                <w:sz w:val="20"/>
              </w:rPr>
              <w:t>de</w:t>
            </w:r>
            <w:r>
              <w:rPr>
                <w:spacing w:val="-4"/>
                <w:sz w:val="20"/>
              </w:rPr>
              <w:t> </w:t>
            </w:r>
            <w:r>
              <w:rPr>
                <w:sz w:val="20"/>
              </w:rPr>
              <w:t>la</w:t>
            </w:r>
            <w:r>
              <w:rPr>
                <w:spacing w:val="-2"/>
                <w:sz w:val="20"/>
              </w:rPr>
              <w:t> </w:t>
            </w:r>
            <w:r>
              <w:rPr>
                <w:sz w:val="20"/>
              </w:rPr>
              <w:t>falange</w:t>
            </w:r>
            <w:r>
              <w:rPr>
                <w:spacing w:val="-4"/>
                <w:sz w:val="20"/>
              </w:rPr>
              <w:t> </w:t>
            </w:r>
            <w:r>
              <w:rPr>
                <w:sz w:val="20"/>
              </w:rPr>
              <w:t>proximal</w:t>
            </w:r>
            <w:r>
              <w:rPr>
                <w:spacing w:val="-6"/>
                <w:sz w:val="20"/>
              </w:rPr>
              <w:t> </w:t>
            </w:r>
            <w:r>
              <w:rPr>
                <w:sz w:val="20"/>
              </w:rPr>
              <w:t>del</w:t>
            </w:r>
            <w:r>
              <w:rPr>
                <w:spacing w:val="-7"/>
                <w:sz w:val="20"/>
              </w:rPr>
              <w:t> </w:t>
            </w:r>
            <w:r>
              <w:rPr>
                <w:sz w:val="20"/>
              </w:rPr>
              <w:t>dedo</w:t>
            </w:r>
            <w:r>
              <w:rPr>
                <w:spacing w:val="-4"/>
                <w:sz w:val="20"/>
              </w:rPr>
              <w:t> </w:t>
            </w:r>
            <w:r>
              <w:rPr>
                <w:spacing w:val="-2"/>
                <w:sz w:val="20"/>
              </w:rPr>
              <w:t>índice.</w:t>
            </w:r>
          </w:p>
        </w:tc>
        <w:tc>
          <w:tcPr>
            <w:tcW w:w="1447" w:type="dxa"/>
          </w:tcPr>
          <w:p>
            <w:pPr>
              <w:pStyle w:val="TableParagraph"/>
              <w:spacing w:before="1"/>
              <w:ind w:left="10"/>
              <w:rPr>
                <w:sz w:val="20"/>
              </w:rPr>
            </w:pPr>
            <w:r>
              <w:rPr>
                <w:spacing w:val="-5"/>
                <w:sz w:val="20"/>
              </w:rPr>
              <w:t>16%</w:t>
            </w:r>
          </w:p>
        </w:tc>
      </w:tr>
      <w:tr>
        <w:trPr>
          <w:trHeight w:val="457" w:hRule="atLeast"/>
        </w:trPr>
        <w:tc>
          <w:tcPr>
            <w:tcW w:w="1037" w:type="dxa"/>
          </w:tcPr>
          <w:p>
            <w:pPr>
              <w:pStyle w:val="TableParagraph"/>
              <w:spacing w:line="240" w:lineRule="auto" w:before="114"/>
              <w:ind w:left="14" w:right="5"/>
              <w:rPr>
                <w:sz w:val="20"/>
              </w:rPr>
            </w:pPr>
            <w:r>
              <w:rPr>
                <w:spacing w:val="-5"/>
                <w:sz w:val="20"/>
              </w:rPr>
              <w:t>24</w:t>
            </w:r>
          </w:p>
        </w:tc>
        <w:tc>
          <w:tcPr>
            <w:tcW w:w="7065" w:type="dxa"/>
          </w:tcPr>
          <w:p>
            <w:pPr>
              <w:pStyle w:val="TableParagraph"/>
              <w:spacing w:line="228" w:lineRule="exact"/>
              <w:jc w:val="left"/>
              <w:rPr>
                <w:sz w:val="20"/>
              </w:rPr>
            </w:pPr>
            <w:r>
              <w:rPr>
                <w:sz w:val="20"/>
              </w:rPr>
              <w:t>Por la pérdida de la falange distal, con mutilación o pérdida de falange media del índice.</w:t>
            </w:r>
          </w:p>
        </w:tc>
        <w:tc>
          <w:tcPr>
            <w:tcW w:w="1447" w:type="dxa"/>
          </w:tcPr>
          <w:p>
            <w:pPr>
              <w:pStyle w:val="TableParagraph"/>
              <w:spacing w:line="240" w:lineRule="auto" w:before="114"/>
              <w:ind w:left="10"/>
              <w:rPr>
                <w:sz w:val="20"/>
              </w:rPr>
            </w:pPr>
            <w:r>
              <w:rPr>
                <w:spacing w:val="-5"/>
                <w:sz w:val="20"/>
              </w:rPr>
              <w:t>12%</w:t>
            </w:r>
          </w:p>
        </w:tc>
      </w:tr>
      <w:tr>
        <w:trPr>
          <w:trHeight w:val="232" w:hRule="atLeast"/>
        </w:trPr>
        <w:tc>
          <w:tcPr>
            <w:tcW w:w="1037" w:type="dxa"/>
          </w:tcPr>
          <w:p>
            <w:pPr>
              <w:pStyle w:val="TableParagraph"/>
              <w:spacing w:before="1"/>
              <w:ind w:left="14" w:right="5"/>
              <w:rPr>
                <w:sz w:val="20"/>
              </w:rPr>
            </w:pPr>
            <w:r>
              <w:rPr>
                <w:spacing w:val="-5"/>
                <w:sz w:val="20"/>
              </w:rPr>
              <w:t>25</w:t>
            </w:r>
          </w:p>
        </w:tc>
        <w:tc>
          <w:tcPr>
            <w:tcW w:w="7065" w:type="dxa"/>
          </w:tcPr>
          <w:p>
            <w:pPr>
              <w:pStyle w:val="TableParagraph"/>
              <w:spacing w:before="1"/>
              <w:jc w:val="left"/>
              <w:rPr>
                <w:sz w:val="20"/>
              </w:rPr>
            </w:pPr>
            <w:r>
              <w:rPr>
                <w:sz w:val="20"/>
              </w:rPr>
              <w:t>Por</w:t>
            </w:r>
            <w:r>
              <w:rPr>
                <w:spacing w:val="-6"/>
                <w:sz w:val="20"/>
              </w:rPr>
              <w:t> </w:t>
            </w:r>
            <w:r>
              <w:rPr>
                <w:sz w:val="20"/>
              </w:rPr>
              <w:t>la</w:t>
            </w:r>
            <w:r>
              <w:rPr>
                <w:spacing w:val="-5"/>
                <w:sz w:val="20"/>
              </w:rPr>
              <w:t> </w:t>
            </w:r>
            <w:r>
              <w:rPr>
                <w:sz w:val="20"/>
              </w:rPr>
              <w:t>pérdida</w:t>
            </w:r>
            <w:r>
              <w:rPr>
                <w:spacing w:val="-7"/>
                <w:sz w:val="20"/>
              </w:rPr>
              <w:t> </w:t>
            </w:r>
            <w:r>
              <w:rPr>
                <w:sz w:val="20"/>
              </w:rPr>
              <w:t>de</w:t>
            </w:r>
            <w:r>
              <w:rPr>
                <w:spacing w:val="-5"/>
                <w:sz w:val="20"/>
              </w:rPr>
              <w:t> </w:t>
            </w:r>
            <w:r>
              <w:rPr>
                <w:sz w:val="20"/>
              </w:rPr>
              <w:t>la</w:t>
            </w:r>
            <w:r>
              <w:rPr>
                <w:spacing w:val="-5"/>
                <w:sz w:val="20"/>
              </w:rPr>
              <w:t> </w:t>
            </w:r>
            <w:r>
              <w:rPr>
                <w:sz w:val="20"/>
              </w:rPr>
              <w:t>falange</w:t>
            </w:r>
            <w:r>
              <w:rPr>
                <w:spacing w:val="-4"/>
                <w:sz w:val="20"/>
              </w:rPr>
              <w:t> </w:t>
            </w:r>
            <w:r>
              <w:rPr>
                <w:sz w:val="20"/>
              </w:rPr>
              <w:t>distal</w:t>
            </w:r>
            <w:r>
              <w:rPr>
                <w:spacing w:val="-6"/>
                <w:sz w:val="20"/>
              </w:rPr>
              <w:t> </w:t>
            </w:r>
            <w:r>
              <w:rPr>
                <w:sz w:val="20"/>
              </w:rPr>
              <w:t>del</w:t>
            </w:r>
            <w:r>
              <w:rPr>
                <w:spacing w:val="-7"/>
                <w:sz w:val="20"/>
              </w:rPr>
              <w:t> </w:t>
            </w:r>
            <w:r>
              <w:rPr>
                <w:spacing w:val="-2"/>
                <w:sz w:val="20"/>
              </w:rPr>
              <w:t>índice.</w:t>
            </w:r>
          </w:p>
        </w:tc>
        <w:tc>
          <w:tcPr>
            <w:tcW w:w="1447" w:type="dxa"/>
          </w:tcPr>
          <w:p>
            <w:pPr>
              <w:pStyle w:val="TableParagraph"/>
              <w:spacing w:before="1"/>
              <w:ind w:left="10"/>
              <w:rPr>
                <w:sz w:val="20"/>
              </w:rPr>
            </w:pPr>
            <w:r>
              <w:rPr>
                <w:spacing w:val="-5"/>
                <w:sz w:val="20"/>
              </w:rPr>
              <w:t>6%</w:t>
            </w:r>
          </w:p>
        </w:tc>
      </w:tr>
      <w:tr>
        <w:trPr>
          <w:trHeight w:val="229" w:hRule="atLeast"/>
        </w:trPr>
        <w:tc>
          <w:tcPr>
            <w:tcW w:w="1037" w:type="dxa"/>
          </w:tcPr>
          <w:p>
            <w:pPr>
              <w:pStyle w:val="TableParagraph"/>
              <w:ind w:left="14" w:right="5"/>
              <w:rPr>
                <w:sz w:val="20"/>
              </w:rPr>
            </w:pPr>
            <w:r>
              <w:rPr>
                <w:spacing w:val="-5"/>
                <w:sz w:val="20"/>
              </w:rPr>
              <w:t>26</w:t>
            </w:r>
          </w:p>
        </w:tc>
        <w:tc>
          <w:tcPr>
            <w:tcW w:w="7065" w:type="dxa"/>
          </w:tcPr>
          <w:p>
            <w:pPr>
              <w:pStyle w:val="TableParagraph"/>
              <w:jc w:val="left"/>
              <w:rPr>
                <w:sz w:val="20"/>
              </w:rPr>
            </w:pPr>
            <w:r>
              <w:rPr>
                <w:sz w:val="20"/>
              </w:rPr>
              <w:t>Por</w:t>
            </w:r>
            <w:r>
              <w:rPr>
                <w:spacing w:val="-7"/>
                <w:sz w:val="20"/>
              </w:rPr>
              <w:t> </w:t>
            </w:r>
            <w:r>
              <w:rPr>
                <w:sz w:val="20"/>
              </w:rPr>
              <w:t>la</w:t>
            </w:r>
            <w:r>
              <w:rPr>
                <w:spacing w:val="-6"/>
                <w:sz w:val="20"/>
              </w:rPr>
              <w:t> </w:t>
            </w:r>
            <w:r>
              <w:rPr>
                <w:sz w:val="20"/>
              </w:rPr>
              <w:t>pérdida</w:t>
            </w:r>
            <w:r>
              <w:rPr>
                <w:spacing w:val="-6"/>
                <w:sz w:val="20"/>
              </w:rPr>
              <w:t> </w:t>
            </w:r>
            <w:r>
              <w:rPr>
                <w:sz w:val="20"/>
              </w:rPr>
              <w:t>parcial</w:t>
            </w:r>
            <w:r>
              <w:rPr>
                <w:spacing w:val="-7"/>
                <w:sz w:val="20"/>
              </w:rPr>
              <w:t> </w:t>
            </w:r>
            <w:r>
              <w:rPr>
                <w:sz w:val="20"/>
              </w:rPr>
              <w:t>de</w:t>
            </w:r>
            <w:r>
              <w:rPr>
                <w:spacing w:val="-5"/>
                <w:sz w:val="20"/>
              </w:rPr>
              <w:t> </w:t>
            </w:r>
            <w:r>
              <w:rPr>
                <w:sz w:val="20"/>
              </w:rPr>
              <w:t>la</w:t>
            </w:r>
            <w:r>
              <w:rPr>
                <w:spacing w:val="-2"/>
                <w:sz w:val="20"/>
              </w:rPr>
              <w:t> </w:t>
            </w:r>
            <w:r>
              <w:rPr>
                <w:sz w:val="20"/>
              </w:rPr>
              <w:t>falange</w:t>
            </w:r>
            <w:r>
              <w:rPr>
                <w:spacing w:val="-4"/>
                <w:sz w:val="20"/>
              </w:rPr>
              <w:t> </w:t>
            </w:r>
            <w:r>
              <w:rPr>
                <w:sz w:val="20"/>
              </w:rPr>
              <w:t>distal</w:t>
            </w:r>
            <w:r>
              <w:rPr>
                <w:spacing w:val="-5"/>
                <w:sz w:val="20"/>
              </w:rPr>
              <w:t> </w:t>
            </w:r>
            <w:r>
              <w:rPr>
                <w:sz w:val="20"/>
              </w:rPr>
              <w:t>del</w:t>
            </w:r>
            <w:r>
              <w:rPr>
                <w:spacing w:val="-5"/>
                <w:sz w:val="20"/>
              </w:rPr>
              <w:t> </w:t>
            </w:r>
            <w:r>
              <w:rPr>
                <w:spacing w:val="-2"/>
                <w:sz w:val="20"/>
              </w:rPr>
              <w:t>índice.</w:t>
            </w:r>
          </w:p>
        </w:tc>
        <w:tc>
          <w:tcPr>
            <w:tcW w:w="1447" w:type="dxa"/>
          </w:tcPr>
          <w:p>
            <w:pPr>
              <w:pStyle w:val="TableParagraph"/>
              <w:ind w:left="10"/>
              <w:rPr>
                <w:sz w:val="20"/>
              </w:rPr>
            </w:pPr>
            <w:r>
              <w:rPr>
                <w:spacing w:val="-5"/>
                <w:sz w:val="20"/>
              </w:rPr>
              <w:t>2%</w:t>
            </w:r>
          </w:p>
        </w:tc>
      </w:tr>
      <w:tr>
        <w:trPr>
          <w:trHeight w:val="458" w:hRule="atLeast"/>
        </w:trPr>
        <w:tc>
          <w:tcPr>
            <w:tcW w:w="1037" w:type="dxa"/>
          </w:tcPr>
          <w:p>
            <w:pPr>
              <w:pStyle w:val="TableParagraph"/>
              <w:spacing w:line="240" w:lineRule="auto" w:before="115"/>
              <w:ind w:left="14" w:right="5"/>
              <w:rPr>
                <w:sz w:val="20"/>
              </w:rPr>
            </w:pPr>
            <w:r>
              <w:rPr>
                <w:spacing w:val="-5"/>
                <w:sz w:val="20"/>
              </w:rPr>
              <w:t>27</w:t>
            </w:r>
          </w:p>
        </w:tc>
        <w:tc>
          <w:tcPr>
            <w:tcW w:w="7065" w:type="dxa"/>
          </w:tcPr>
          <w:p>
            <w:pPr>
              <w:pStyle w:val="TableParagraph"/>
              <w:spacing w:line="228" w:lineRule="exact"/>
              <w:jc w:val="left"/>
              <w:rPr>
                <w:sz w:val="20"/>
              </w:rPr>
            </w:pPr>
            <w:r>
              <w:rPr>
                <w:sz w:val="20"/>
              </w:rPr>
              <w:t>Por</w:t>
            </w:r>
            <w:r>
              <w:rPr>
                <w:spacing w:val="27"/>
                <w:sz w:val="20"/>
              </w:rPr>
              <w:t> </w:t>
            </w:r>
            <w:r>
              <w:rPr>
                <w:sz w:val="20"/>
              </w:rPr>
              <w:t>la</w:t>
            </w:r>
            <w:r>
              <w:rPr>
                <w:spacing w:val="26"/>
                <w:sz w:val="20"/>
              </w:rPr>
              <w:t> </w:t>
            </w:r>
            <w:r>
              <w:rPr>
                <w:sz w:val="20"/>
              </w:rPr>
              <w:t>pérdida</w:t>
            </w:r>
            <w:r>
              <w:rPr>
                <w:spacing w:val="26"/>
                <w:sz w:val="20"/>
              </w:rPr>
              <w:t> </w:t>
            </w:r>
            <w:r>
              <w:rPr>
                <w:sz w:val="20"/>
              </w:rPr>
              <w:t>del</w:t>
            </w:r>
            <w:r>
              <w:rPr>
                <w:spacing w:val="26"/>
                <w:sz w:val="20"/>
              </w:rPr>
              <w:t> </w:t>
            </w:r>
            <w:r>
              <w:rPr>
                <w:sz w:val="20"/>
              </w:rPr>
              <w:t>dedo</w:t>
            </w:r>
            <w:r>
              <w:rPr>
                <w:spacing w:val="24"/>
                <w:sz w:val="20"/>
              </w:rPr>
              <w:t> </w:t>
            </w:r>
            <w:r>
              <w:rPr>
                <w:sz w:val="20"/>
              </w:rPr>
              <w:t>medio</w:t>
            </w:r>
            <w:r>
              <w:rPr>
                <w:spacing w:val="24"/>
                <w:sz w:val="20"/>
              </w:rPr>
              <w:t> </w:t>
            </w:r>
            <w:r>
              <w:rPr>
                <w:sz w:val="20"/>
              </w:rPr>
              <w:t>con</w:t>
            </w:r>
            <w:r>
              <w:rPr>
                <w:spacing w:val="26"/>
                <w:sz w:val="20"/>
              </w:rPr>
              <w:t> </w:t>
            </w:r>
            <w:r>
              <w:rPr>
                <w:sz w:val="20"/>
              </w:rPr>
              <w:t>pérdida</w:t>
            </w:r>
            <w:r>
              <w:rPr>
                <w:spacing w:val="26"/>
                <w:sz w:val="20"/>
              </w:rPr>
              <w:t> </w:t>
            </w:r>
            <w:r>
              <w:rPr>
                <w:sz w:val="20"/>
              </w:rPr>
              <w:t>de</w:t>
            </w:r>
            <w:r>
              <w:rPr>
                <w:spacing w:val="24"/>
                <w:sz w:val="20"/>
              </w:rPr>
              <w:t> </w:t>
            </w:r>
            <w:r>
              <w:rPr>
                <w:sz w:val="20"/>
              </w:rPr>
              <w:t>su</w:t>
            </w:r>
            <w:r>
              <w:rPr>
                <w:spacing w:val="26"/>
                <w:sz w:val="20"/>
              </w:rPr>
              <w:t> </w:t>
            </w:r>
            <w:r>
              <w:rPr>
                <w:sz w:val="20"/>
              </w:rPr>
              <w:t>metacarpiano</w:t>
            </w:r>
            <w:r>
              <w:rPr>
                <w:spacing w:val="24"/>
                <w:sz w:val="20"/>
              </w:rPr>
              <w:t> </w:t>
            </w:r>
            <w:r>
              <w:rPr>
                <w:sz w:val="20"/>
              </w:rPr>
              <w:t>o</w:t>
            </w:r>
            <w:r>
              <w:rPr>
                <w:spacing w:val="26"/>
                <w:sz w:val="20"/>
              </w:rPr>
              <w:t> </w:t>
            </w:r>
            <w:r>
              <w:rPr>
                <w:sz w:val="20"/>
              </w:rPr>
              <w:t>parte</w:t>
            </w:r>
            <w:r>
              <w:rPr>
                <w:spacing w:val="24"/>
                <w:sz w:val="20"/>
              </w:rPr>
              <w:t> </w:t>
            </w:r>
            <w:r>
              <w:rPr>
                <w:sz w:val="20"/>
              </w:rPr>
              <w:t>de </w:t>
            </w:r>
            <w:r>
              <w:rPr>
                <w:spacing w:val="-2"/>
                <w:sz w:val="20"/>
              </w:rPr>
              <w:t>éste.</w:t>
            </w:r>
          </w:p>
        </w:tc>
        <w:tc>
          <w:tcPr>
            <w:tcW w:w="1447" w:type="dxa"/>
          </w:tcPr>
          <w:p>
            <w:pPr>
              <w:pStyle w:val="TableParagraph"/>
              <w:spacing w:line="240" w:lineRule="auto" w:before="115"/>
              <w:ind w:left="10"/>
              <w:rPr>
                <w:sz w:val="20"/>
              </w:rPr>
            </w:pPr>
            <w:r>
              <w:rPr>
                <w:spacing w:val="-5"/>
                <w:sz w:val="20"/>
              </w:rPr>
              <w:t>18%</w:t>
            </w:r>
          </w:p>
        </w:tc>
      </w:tr>
      <w:tr>
        <w:trPr>
          <w:trHeight w:val="232" w:hRule="atLeast"/>
        </w:trPr>
        <w:tc>
          <w:tcPr>
            <w:tcW w:w="1037" w:type="dxa"/>
          </w:tcPr>
          <w:p>
            <w:pPr>
              <w:pStyle w:val="TableParagraph"/>
              <w:spacing w:before="1"/>
              <w:ind w:left="14" w:right="5"/>
              <w:rPr>
                <w:sz w:val="20"/>
              </w:rPr>
            </w:pPr>
            <w:r>
              <w:rPr>
                <w:spacing w:val="-5"/>
                <w:sz w:val="20"/>
              </w:rPr>
              <w:t>28</w:t>
            </w:r>
          </w:p>
        </w:tc>
        <w:tc>
          <w:tcPr>
            <w:tcW w:w="7065" w:type="dxa"/>
          </w:tcPr>
          <w:p>
            <w:pPr>
              <w:pStyle w:val="TableParagraph"/>
              <w:spacing w:before="1"/>
              <w:jc w:val="left"/>
              <w:rPr>
                <w:sz w:val="20"/>
              </w:rPr>
            </w:pPr>
            <w:r>
              <w:rPr>
                <w:sz w:val="20"/>
              </w:rPr>
              <w:t>Por</w:t>
            </w:r>
            <w:r>
              <w:rPr>
                <w:spacing w:val="-6"/>
                <w:sz w:val="20"/>
              </w:rPr>
              <w:t> </w:t>
            </w:r>
            <w:r>
              <w:rPr>
                <w:sz w:val="20"/>
              </w:rPr>
              <w:t>la</w:t>
            </w:r>
            <w:r>
              <w:rPr>
                <w:spacing w:val="-5"/>
                <w:sz w:val="20"/>
              </w:rPr>
              <w:t> </w:t>
            </w:r>
            <w:r>
              <w:rPr>
                <w:sz w:val="20"/>
              </w:rPr>
              <w:t>pérdida</w:t>
            </w:r>
            <w:r>
              <w:rPr>
                <w:spacing w:val="-6"/>
                <w:sz w:val="20"/>
              </w:rPr>
              <w:t> </w:t>
            </w:r>
            <w:r>
              <w:rPr>
                <w:sz w:val="20"/>
              </w:rPr>
              <w:t>del</w:t>
            </w:r>
            <w:r>
              <w:rPr>
                <w:spacing w:val="-5"/>
                <w:sz w:val="20"/>
              </w:rPr>
              <w:t> </w:t>
            </w:r>
            <w:r>
              <w:rPr>
                <w:sz w:val="20"/>
              </w:rPr>
              <w:t>dedo</w:t>
            </w:r>
            <w:r>
              <w:rPr>
                <w:spacing w:val="-5"/>
                <w:sz w:val="20"/>
              </w:rPr>
              <w:t> </w:t>
            </w:r>
            <w:r>
              <w:rPr>
                <w:spacing w:val="-2"/>
                <w:sz w:val="20"/>
              </w:rPr>
              <w:t>medio.</w:t>
            </w:r>
          </w:p>
        </w:tc>
        <w:tc>
          <w:tcPr>
            <w:tcW w:w="1447" w:type="dxa"/>
          </w:tcPr>
          <w:p>
            <w:pPr>
              <w:pStyle w:val="TableParagraph"/>
              <w:spacing w:before="1"/>
              <w:ind w:left="10"/>
              <w:rPr>
                <w:sz w:val="20"/>
              </w:rPr>
            </w:pPr>
            <w:r>
              <w:rPr>
                <w:spacing w:val="-5"/>
                <w:sz w:val="20"/>
              </w:rPr>
              <w:t>15%</w:t>
            </w:r>
          </w:p>
        </w:tc>
      </w:tr>
      <w:tr>
        <w:trPr>
          <w:trHeight w:val="229" w:hRule="atLeast"/>
        </w:trPr>
        <w:tc>
          <w:tcPr>
            <w:tcW w:w="1037" w:type="dxa"/>
          </w:tcPr>
          <w:p>
            <w:pPr>
              <w:pStyle w:val="TableParagraph"/>
              <w:ind w:left="14" w:right="5"/>
              <w:rPr>
                <w:sz w:val="20"/>
              </w:rPr>
            </w:pPr>
            <w:r>
              <w:rPr>
                <w:spacing w:val="-5"/>
                <w:sz w:val="20"/>
              </w:rPr>
              <w:t>29</w:t>
            </w:r>
          </w:p>
        </w:tc>
        <w:tc>
          <w:tcPr>
            <w:tcW w:w="7065" w:type="dxa"/>
          </w:tcPr>
          <w:p>
            <w:pPr>
              <w:pStyle w:val="TableParagraph"/>
              <w:jc w:val="left"/>
              <w:rPr>
                <w:sz w:val="20"/>
              </w:rPr>
            </w:pPr>
            <w:r>
              <w:rPr>
                <w:sz w:val="20"/>
              </w:rPr>
              <w:t>Por</w:t>
            </w:r>
            <w:r>
              <w:rPr>
                <w:spacing w:val="-6"/>
                <w:sz w:val="20"/>
              </w:rPr>
              <w:t> </w:t>
            </w:r>
            <w:r>
              <w:rPr>
                <w:sz w:val="20"/>
              </w:rPr>
              <w:t>la</w:t>
            </w:r>
            <w:r>
              <w:rPr>
                <w:spacing w:val="-6"/>
                <w:sz w:val="20"/>
              </w:rPr>
              <w:t> </w:t>
            </w:r>
            <w:r>
              <w:rPr>
                <w:sz w:val="20"/>
              </w:rPr>
              <w:t>pérdida</w:t>
            </w:r>
            <w:r>
              <w:rPr>
                <w:spacing w:val="-7"/>
                <w:sz w:val="20"/>
              </w:rPr>
              <w:t> </w:t>
            </w:r>
            <w:r>
              <w:rPr>
                <w:sz w:val="20"/>
              </w:rPr>
              <w:t>parcial</w:t>
            </w:r>
            <w:r>
              <w:rPr>
                <w:spacing w:val="-7"/>
                <w:sz w:val="20"/>
              </w:rPr>
              <w:t> </w:t>
            </w:r>
            <w:r>
              <w:rPr>
                <w:sz w:val="20"/>
              </w:rPr>
              <w:t>de</w:t>
            </w:r>
            <w:r>
              <w:rPr>
                <w:spacing w:val="-4"/>
                <w:sz w:val="20"/>
              </w:rPr>
              <w:t> </w:t>
            </w:r>
            <w:r>
              <w:rPr>
                <w:sz w:val="20"/>
              </w:rPr>
              <w:t>la</w:t>
            </w:r>
            <w:r>
              <w:rPr>
                <w:spacing w:val="-2"/>
                <w:sz w:val="20"/>
              </w:rPr>
              <w:t> </w:t>
            </w:r>
            <w:r>
              <w:rPr>
                <w:sz w:val="20"/>
              </w:rPr>
              <w:t>falange</w:t>
            </w:r>
            <w:r>
              <w:rPr>
                <w:spacing w:val="-4"/>
                <w:sz w:val="20"/>
              </w:rPr>
              <w:t> </w:t>
            </w:r>
            <w:r>
              <w:rPr>
                <w:sz w:val="20"/>
              </w:rPr>
              <w:t>proximal</w:t>
            </w:r>
            <w:r>
              <w:rPr>
                <w:spacing w:val="-7"/>
                <w:sz w:val="20"/>
              </w:rPr>
              <w:t> </w:t>
            </w:r>
            <w:r>
              <w:rPr>
                <w:sz w:val="20"/>
              </w:rPr>
              <w:t>del</w:t>
            </w:r>
            <w:r>
              <w:rPr>
                <w:spacing w:val="-7"/>
                <w:sz w:val="20"/>
              </w:rPr>
              <w:t> </w:t>
            </w:r>
            <w:r>
              <w:rPr>
                <w:sz w:val="20"/>
              </w:rPr>
              <w:t>dedo</w:t>
            </w:r>
            <w:r>
              <w:rPr>
                <w:spacing w:val="-2"/>
                <w:sz w:val="20"/>
              </w:rPr>
              <w:t> medio.</w:t>
            </w:r>
          </w:p>
        </w:tc>
        <w:tc>
          <w:tcPr>
            <w:tcW w:w="1447" w:type="dxa"/>
          </w:tcPr>
          <w:p>
            <w:pPr>
              <w:pStyle w:val="TableParagraph"/>
              <w:ind w:left="10"/>
              <w:rPr>
                <w:sz w:val="20"/>
              </w:rPr>
            </w:pPr>
            <w:r>
              <w:rPr>
                <w:spacing w:val="-5"/>
                <w:sz w:val="20"/>
              </w:rPr>
              <w:t>13%</w:t>
            </w:r>
          </w:p>
        </w:tc>
      </w:tr>
      <w:tr>
        <w:trPr>
          <w:trHeight w:val="460" w:hRule="atLeast"/>
        </w:trPr>
        <w:tc>
          <w:tcPr>
            <w:tcW w:w="1037" w:type="dxa"/>
          </w:tcPr>
          <w:p>
            <w:pPr>
              <w:pStyle w:val="TableParagraph"/>
              <w:spacing w:line="240" w:lineRule="auto" w:before="114"/>
              <w:ind w:left="14" w:right="5"/>
              <w:rPr>
                <w:sz w:val="20"/>
              </w:rPr>
            </w:pPr>
            <w:r>
              <w:rPr>
                <w:spacing w:val="-5"/>
                <w:sz w:val="20"/>
              </w:rPr>
              <w:t>30</w:t>
            </w:r>
          </w:p>
        </w:tc>
        <w:tc>
          <w:tcPr>
            <w:tcW w:w="7065" w:type="dxa"/>
          </w:tcPr>
          <w:p>
            <w:pPr>
              <w:pStyle w:val="TableParagraph"/>
              <w:spacing w:line="230" w:lineRule="exact"/>
              <w:jc w:val="left"/>
              <w:rPr>
                <w:sz w:val="20"/>
              </w:rPr>
            </w:pPr>
            <w:r>
              <w:rPr>
                <w:sz w:val="20"/>
              </w:rPr>
              <w:t>Por</w:t>
            </w:r>
            <w:r>
              <w:rPr>
                <w:spacing w:val="38"/>
                <w:sz w:val="20"/>
              </w:rPr>
              <w:t> </w:t>
            </w:r>
            <w:r>
              <w:rPr>
                <w:sz w:val="20"/>
              </w:rPr>
              <w:t>la</w:t>
            </w:r>
            <w:r>
              <w:rPr>
                <w:spacing w:val="37"/>
                <w:sz w:val="20"/>
              </w:rPr>
              <w:t> </w:t>
            </w:r>
            <w:r>
              <w:rPr>
                <w:sz w:val="20"/>
              </w:rPr>
              <w:t>pérdida</w:t>
            </w:r>
            <w:r>
              <w:rPr>
                <w:spacing w:val="37"/>
                <w:sz w:val="20"/>
              </w:rPr>
              <w:t> </w:t>
            </w:r>
            <w:r>
              <w:rPr>
                <w:sz w:val="20"/>
              </w:rPr>
              <w:t>de</w:t>
            </w:r>
            <w:r>
              <w:rPr>
                <w:spacing w:val="39"/>
                <w:sz w:val="20"/>
              </w:rPr>
              <w:t> </w:t>
            </w:r>
            <w:r>
              <w:rPr>
                <w:sz w:val="20"/>
              </w:rPr>
              <w:t>la</w:t>
            </w:r>
            <w:r>
              <w:rPr>
                <w:spacing w:val="37"/>
                <w:sz w:val="20"/>
              </w:rPr>
              <w:t> </w:t>
            </w:r>
            <w:r>
              <w:rPr>
                <w:sz w:val="20"/>
              </w:rPr>
              <w:t>falange</w:t>
            </w:r>
            <w:r>
              <w:rPr>
                <w:spacing w:val="36"/>
                <w:sz w:val="20"/>
              </w:rPr>
              <w:t> </w:t>
            </w:r>
            <w:r>
              <w:rPr>
                <w:sz w:val="20"/>
              </w:rPr>
              <w:t>distal</w:t>
            </w:r>
            <w:r>
              <w:rPr>
                <w:spacing w:val="36"/>
                <w:sz w:val="20"/>
              </w:rPr>
              <w:t> </w:t>
            </w:r>
            <w:r>
              <w:rPr>
                <w:sz w:val="20"/>
              </w:rPr>
              <w:t>con</w:t>
            </w:r>
            <w:r>
              <w:rPr>
                <w:spacing w:val="37"/>
                <w:sz w:val="20"/>
              </w:rPr>
              <w:t> </w:t>
            </w:r>
            <w:r>
              <w:rPr>
                <w:sz w:val="20"/>
              </w:rPr>
              <w:t>mutilación</w:t>
            </w:r>
            <w:r>
              <w:rPr>
                <w:spacing w:val="36"/>
                <w:sz w:val="20"/>
              </w:rPr>
              <w:t> </w:t>
            </w:r>
            <w:r>
              <w:rPr>
                <w:sz w:val="20"/>
              </w:rPr>
              <w:t>o</w:t>
            </w:r>
            <w:r>
              <w:rPr>
                <w:spacing w:val="39"/>
                <w:sz w:val="20"/>
              </w:rPr>
              <w:t> </w:t>
            </w:r>
            <w:r>
              <w:rPr>
                <w:sz w:val="20"/>
              </w:rPr>
              <w:t>pérdida</w:t>
            </w:r>
            <w:r>
              <w:rPr>
                <w:spacing w:val="36"/>
                <w:sz w:val="20"/>
              </w:rPr>
              <w:t> </w:t>
            </w:r>
            <w:r>
              <w:rPr>
                <w:sz w:val="20"/>
              </w:rPr>
              <w:t>de</w:t>
            </w:r>
            <w:r>
              <w:rPr>
                <w:spacing w:val="37"/>
                <w:sz w:val="20"/>
              </w:rPr>
              <w:t> </w:t>
            </w:r>
            <w:r>
              <w:rPr>
                <w:sz w:val="20"/>
              </w:rPr>
              <w:t>la</w:t>
            </w:r>
            <w:r>
              <w:rPr>
                <w:spacing w:val="37"/>
                <w:sz w:val="20"/>
              </w:rPr>
              <w:t> </w:t>
            </w:r>
            <w:r>
              <w:rPr>
                <w:sz w:val="20"/>
              </w:rPr>
              <w:t>falange media del dedo medio.</w:t>
            </w:r>
          </w:p>
        </w:tc>
        <w:tc>
          <w:tcPr>
            <w:tcW w:w="1447" w:type="dxa"/>
          </w:tcPr>
          <w:p>
            <w:pPr>
              <w:pStyle w:val="TableParagraph"/>
              <w:spacing w:line="240" w:lineRule="auto" w:before="114"/>
              <w:ind w:left="10"/>
              <w:rPr>
                <w:sz w:val="20"/>
              </w:rPr>
            </w:pPr>
            <w:r>
              <w:rPr>
                <w:spacing w:val="-5"/>
                <w:sz w:val="20"/>
              </w:rPr>
              <w:t>10%</w:t>
            </w:r>
          </w:p>
        </w:tc>
      </w:tr>
      <w:tr>
        <w:trPr>
          <w:trHeight w:val="229" w:hRule="atLeast"/>
        </w:trPr>
        <w:tc>
          <w:tcPr>
            <w:tcW w:w="1037" w:type="dxa"/>
          </w:tcPr>
          <w:p>
            <w:pPr>
              <w:pStyle w:val="TableParagraph"/>
              <w:ind w:left="14" w:right="5"/>
              <w:rPr>
                <w:sz w:val="20"/>
              </w:rPr>
            </w:pPr>
            <w:r>
              <w:rPr>
                <w:spacing w:val="-5"/>
                <w:sz w:val="20"/>
              </w:rPr>
              <w:t>31</w:t>
            </w:r>
          </w:p>
        </w:tc>
        <w:tc>
          <w:tcPr>
            <w:tcW w:w="7065" w:type="dxa"/>
          </w:tcPr>
          <w:p>
            <w:pPr>
              <w:pStyle w:val="TableParagraph"/>
              <w:jc w:val="left"/>
              <w:rPr>
                <w:sz w:val="20"/>
              </w:rPr>
            </w:pPr>
            <w:r>
              <w:rPr>
                <w:sz w:val="20"/>
              </w:rPr>
              <w:t>Por</w:t>
            </w:r>
            <w:r>
              <w:rPr>
                <w:spacing w:val="-6"/>
                <w:sz w:val="20"/>
              </w:rPr>
              <w:t> </w:t>
            </w:r>
            <w:r>
              <w:rPr>
                <w:sz w:val="20"/>
              </w:rPr>
              <w:t>la</w:t>
            </w:r>
            <w:r>
              <w:rPr>
                <w:spacing w:val="-5"/>
                <w:sz w:val="20"/>
              </w:rPr>
              <w:t> </w:t>
            </w:r>
            <w:r>
              <w:rPr>
                <w:sz w:val="20"/>
              </w:rPr>
              <w:t>pérdida</w:t>
            </w:r>
            <w:r>
              <w:rPr>
                <w:spacing w:val="-7"/>
                <w:sz w:val="20"/>
              </w:rPr>
              <w:t> </w:t>
            </w:r>
            <w:r>
              <w:rPr>
                <w:sz w:val="20"/>
              </w:rPr>
              <w:t>de</w:t>
            </w:r>
            <w:r>
              <w:rPr>
                <w:spacing w:val="-5"/>
                <w:sz w:val="20"/>
              </w:rPr>
              <w:t> </w:t>
            </w:r>
            <w:r>
              <w:rPr>
                <w:sz w:val="20"/>
              </w:rPr>
              <w:t>la</w:t>
            </w:r>
            <w:r>
              <w:rPr>
                <w:spacing w:val="-6"/>
                <w:sz w:val="20"/>
              </w:rPr>
              <w:t> </w:t>
            </w:r>
            <w:r>
              <w:rPr>
                <w:sz w:val="20"/>
              </w:rPr>
              <w:t>falange</w:t>
            </w:r>
            <w:r>
              <w:rPr>
                <w:spacing w:val="-3"/>
                <w:sz w:val="20"/>
              </w:rPr>
              <w:t> </w:t>
            </w:r>
            <w:r>
              <w:rPr>
                <w:sz w:val="20"/>
              </w:rPr>
              <w:t>distal</w:t>
            </w:r>
            <w:r>
              <w:rPr>
                <w:spacing w:val="-7"/>
                <w:sz w:val="20"/>
              </w:rPr>
              <w:t> </w:t>
            </w:r>
            <w:r>
              <w:rPr>
                <w:sz w:val="20"/>
              </w:rPr>
              <w:t>del</w:t>
            </w:r>
            <w:r>
              <w:rPr>
                <w:spacing w:val="-4"/>
                <w:sz w:val="20"/>
              </w:rPr>
              <w:t> </w:t>
            </w:r>
            <w:r>
              <w:rPr>
                <w:sz w:val="20"/>
              </w:rPr>
              <w:t>dedo</w:t>
            </w:r>
            <w:r>
              <w:rPr>
                <w:spacing w:val="-6"/>
                <w:sz w:val="20"/>
              </w:rPr>
              <w:t> </w:t>
            </w:r>
            <w:r>
              <w:rPr>
                <w:spacing w:val="-2"/>
                <w:sz w:val="20"/>
              </w:rPr>
              <w:t>medio.</w:t>
            </w:r>
          </w:p>
        </w:tc>
        <w:tc>
          <w:tcPr>
            <w:tcW w:w="1447" w:type="dxa"/>
          </w:tcPr>
          <w:p>
            <w:pPr>
              <w:pStyle w:val="TableParagraph"/>
              <w:ind w:left="10"/>
              <w:rPr>
                <w:sz w:val="20"/>
              </w:rPr>
            </w:pPr>
            <w:r>
              <w:rPr>
                <w:spacing w:val="-5"/>
                <w:sz w:val="20"/>
              </w:rPr>
              <w:t>5%</w:t>
            </w:r>
          </w:p>
        </w:tc>
      </w:tr>
      <w:tr>
        <w:trPr>
          <w:trHeight w:val="229" w:hRule="atLeast"/>
        </w:trPr>
        <w:tc>
          <w:tcPr>
            <w:tcW w:w="1037" w:type="dxa"/>
          </w:tcPr>
          <w:p>
            <w:pPr>
              <w:pStyle w:val="TableParagraph"/>
              <w:ind w:left="14" w:right="5"/>
              <w:rPr>
                <w:sz w:val="20"/>
              </w:rPr>
            </w:pPr>
            <w:r>
              <w:rPr>
                <w:spacing w:val="-5"/>
                <w:sz w:val="20"/>
              </w:rPr>
              <w:t>32</w:t>
            </w:r>
          </w:p>
        </w:tc>
        <w:tc>
          <w:tcPr>
            <w:tcW w:w="7065" w:type="dxa"/>
          </w:tcPr>
          <w:p>
            <w:pPr>
              <w:pStyle w:val="TableParagraph"/>
              <w:jc w:val="left"/>
              <w:rPr>
                <w:sz w:val="20"/>
              </w:rPr>
            </w:pPr>
            <w:r>
              <w:rPr>
                <w:sz w:val="20"/>
              </w:rPr>
              <w:t>Por</w:t>
            </w:r>
            <w:r>
              <w:rPr>
                <w:spacing w:val="-7"/>
                <w:sz w:val="20"/>
              </w:rPr>
              <w:t> </w:t>
            </w:r>
            <w:r>
              <w:rPr>
                <w:sz w:val="20"/>
              </w:rPr>
              <w:t>la</w:t>
            </w:r>
            <w:r>
              <w:rPr>
                <w:spacing w:val="-6"/>
                <w:sz w:val="20"/>
              </w:rPr>
              <w:t> </w:t>
            </w:r>
            <w:r>
              <w:rPr>
                <w:sz w:val="20"/>
              </w:rPr>
              <w:t>pérdida</w:t>
            </w:r>
            <w:r>
              <w:rPr>
                <w:spacing w:val="-7"/>
                <w:sz w:val="20"/>
              </w:rPr>
              <w:t> </w:t>
            </w:r>
            <w:r>
              <w:rPr>
                <w:sz w:val="20"/>
              </w:rPr>
              <w:t>parcial</w:t>
            </w:r>
            <w:r>
              <w:rPr>
                <w:spacing w:val="-7"/>
                <w:sz w:val="20"/>
              </w:rPr>
              <w:t> </w:t>
            </w:r>
            <w:r>
              <w:rPr>
                <w:sz w:val="20"/>
              </w:rPr>
              <w:t>de</w:t>
            </w:r>
            <w:r>
              <w:rPr>
                <w:spacing w:val="-4"/>
                <w:sz w:val="20"/>
              </w:rPr>
              <w:t> </w:t>
            </w:r>
            <w:r>
              <w:rPr>
                <w:sz w:val="20"/>
              </w:rPr>
              <w:t>la</w:t>
            </w:r>
            <w:r>
              <w:rPr>
                <w:spacing w:val="-2"/>
                <w:sz w:val="20"/>
              </w:rPr>
              <w:t> </w:t>
            </w:r>
            <w:r>
              <w:rPr>
                <w:sz w:val="20"/>
              </w:rPr>
              <w:t>falange</w:t>
            </w:r>
            <w:r>
              <w:rPr>
                <w:spacing w:val="-5"/>
                <w:sz w:val="20"/>
              </w:rPr>
              <w:t> </w:t>
            </w:r>
            <w:r>
              <w:rPr>
                <w:sz w:val="20"/>
              </w:rPr>
              <w:t>distal</w:t>
            </w:r>
            <w:r>
              <w:rPr>
                <w:spacing w:val="-5"/>
                <w:sz w:val="20"/>
              </w:rPr>
              <w:t> </w:t>
            </w:r>
            <w:r>
              <w:rPr>
                <w:sz w:val="20"/>
              </w:rPr>
              <w:t>del</w:t>
            </w:r>
            <w:r>
              <w:rPr>
                <w:spacing w:val="-5"/>
                <w:sz w:val="20"/>
              </w:rPr>
              <w:t> </w:t>
            </w:r>
            <w:r>
              <w:rPr>
                <w:sz w:val="20"/>
              </w:rPr>
              <w:t>dedo</w:t>
            </w:r>
            <w:r>
              <w:rPr>
                <w:spacing w:val="-7"/>
                <w:sz w:val="20"/>
              </w:rPr>
              <w:t> </w:t>
            </w:r>
            <w:r>
              <w:rPr>
                <w:spacing w:val="-2"/>
                <w:sz w:val="20"/>
              </w:rPr>
              <w:t>medio.</w:t>
            </w:r>
          </w:p>
        </w:tc>
        <w:tc>
          <w:tcPr>
            <w:tcW w:w="1447" w:type="dxa"/>
          </w:tcPr>
          <w:p>
            <w:pPr>
              <w:pStyle w:val="TableParagraph"/>
              <w:ind w:left="10"/>
              <w:rPr>
                <w:sz w:val="20"/>
              </w:rPr>
            </w:pPr>
            <w:r>
              <w:rPr>
                <w:spacing w:val="-5"/>
                <w:sz w:val="20"/>
              </w:rPr>
              <w:t>2%</w:t>
            </w:r>
          </w:p>
        </w:tc>
      </w:tr>
      <w:tr>
        <w:trPr>
          <w:trHeight w:val="460" w:hRule="atLeast"/>
        </w:trPr>
        <w:tc>
          <w:tcPr>
            <w:tcW w:w="1037" w:type="dxa"/>
          </w:tcPr>
          <w:p>
            <w:pPr>
              <w:pStyle w:val="TableParagraph"/>
              <w:spacing w:line="240" w:lineRule="auto" w:before="114"/>
              <w:ind w:left="14" w:right="5"/>
              <w:rPr>
                <w:sz w:val="20"/>
              </w:rPr>
            </w:pPr>
            <w:r>
              <w:rPr>
                <w:spacing w:val="-5"/>
                <w:sz w:val="20"/>
              </w:rPr>
              <w:t>33</w:t>
            </w:r>
          </w:p>
        </w:tc>
        <w:tc>
          <w:tcPr>
            <w:tcW w:w="7065" w:type="dxa"/>
          </w:tcPr>
          <w:p>
            <w:pPr>
              <w:pStyle w:val="TableParagraph"/>
              <w:spacing w:line="230" w:lineRule="exact"/>
              <w:jc w:val="left"/>
              <w:rPr>
                <w:sz w:val="20"/>
              </w:rPr>
            </w:pPr>
            <w:r>
              <w:rPr>
                <w:sz w:val="20"/>
              </w:rPr>
              <w:t>Por</w:t>
            </w:r>
            <w:r>
              <w:rPr>
                <w:spacing w:val="25"/>
                <w:sz w:val="20"/>
              </w:rPr>
              <w:t> </w:t>
            </w:r>
            <w:r>
              <w:rPr>
                <w:sz w:val="20"/>
              </w:rPr>
              <w:t>la</w:t>
            </w:r>
            <w:r>
              <w:rPr>
                <w:spacing w:val="24"/>
                <w:sz w:val="20"/>
              </w:rPr>
              <w:t> </w:t>
            </w:r>
            <w:r>
              <w:rPr>
                <w:sz w:val="20"/>
              </w:rPr>
              <w:t>pérdida</w:t>
            </w:r>
            <w:r>
              <w:rPr>
                <w:spacing w:val="24"/>
                <w:sz w:val="20"/>
              </w:rPr>
              <w:t> </w:t>
            </w:r>
            <w:r>
              <w:rPr>
                <w:sz w:val="20"/>
              </w:rPr>
              <w:t>del</w:t>
            </w:r>
            <w:r>
              <w:rPr>
                <w:spacing w:val="24"/>
                <w:sz w:val="20"/>
              </w:rPr>
              <w:t> </w:t>
            </w:r>
            <w:r>
              <w:rPr>
                <w:sz w:val="20"/>
              </w:rPr>
              <w:t>dedo</w:t>
            </w:r>
            <w:r>
              <w:rPr>
                <w:spacing w:val="26"/>
                <w:sz w:val="20"/>
              </w:rPr>
              <w:t> </w:t>
            </w:r>
            <w:r>
              <w:rPr>
                <w:sz w:val="20"/>
              </w:rPr>
              <w:t>anular</w:t>
            </w:r>
            <w:r>
              <w:rPr>
                <w:spacing w:val="25"/>
                <w:sz w:val="20"/>
              </w:rPr>
              <w:t> </w:t>
            </w:r>
            <w:r>
              <w:rPr>
                <w:sz w:val="20"/>
              </w:rPr>
              <w:t>con</w:t>
            </w:r>
            <w:r>
              <w:rPr>
                <w:spacing w:val="24"/>
                <w:sz w:val="20"/>
              </w:rPr>
              <w:t> </w:t>
            </w:r>
            <w:r>
              <w:rPr>
                <w:sz w:val="20"/>
              </w:rPr>
              <w:t>pérdida</w:t>
            </w:r>
            <w:r>
              <w:rPr>
                <w:spacing w:val="24"/>
                <w:sz w:val="20"/>
              </w:rPr>
              <w:t> </w:t>
            </w:r>
            <w:r>
              <w:rPr>
                <w:sz w:val="20"/>
              </w:rPr>
              <w:t>de</w:t>
            </w:r>
            <w:r>
              <w:rPr>
                <w:spacing w:val="24"/>
                <w:sz w:val="20"/>
              </w:rPr>
              <w:t> </w:t>
            </w:r>
            <w:r>
              <w:rPr>
                <w:sz w:val="20"/>
              </w:rPr>
              <w:t>su</w:t>
            </w:r>
            <w:r>
              <w:rPr>
                <w:spacing w:val="24"/>
                <w:sz w:val="20"/>
              </w:rPr>
              <w:t> </w:t>
            </w:r>
            <w:r>
              <w:rPr>
                <w:sz w:val="20"/>
              </w:rPr>
              <w:t>metacarpiano</w:t>
            </w:r>
            <w:r>
              <w:rPr>
                <w:spacing w:val="24"/>
                <w:sz w:val="20"/>
              </w:rPr>
              <w:t> </w:t>
            </w:r>
            <w:r>
              <w:rPr>
                <w:sz w:val="20"/>
              </w:rPr>
              <w:t>o</w:t>
            </w:r>
            <w:r>
              <w:rPr>
                <w:spacing w:val="24"/>
                <w:sz w:val="20"/>
              </w:rPr>
              <w:t> </w:t>
            </w:r>
            <w:r>
              <w:rPr>
                <w:sz w:val="20"/>
              </w:rPr>
              <w:t>parte</w:t>
            </w:r>
            <w:r>
              <w:rPr>
                <w:spacing w:val="24"/>
                <w:sz w:val="20"/>
              </w:rPr>
              <w:t> </w:t>
            </w:r>
            <w:r>
              <w:rPr>
                <w:sz w:val="20"/>
              </w:rPr>
              <w:t>de </w:t>
            </w:r>
            <w:r>
              <w:rPr>
                <w:spacing w:val="-2"/>
                <w:sz w:val="20"/>
              </w:rPr>
              <w:t>éste.</w:t>
            </w:r>
          </w:p>
        </w:tc>
        <w:tc>
          <w:tcPr>
            <w:tcW w:w="1447" w:type="dxa"/>
          </w:tcPr>
          <w:p>
            <w:pPr>
              <w:pStyle w:val="TableParagraph"/>
              <w:spacing w:line="240" w:lineRule="auto" w:before="114"/>
              <w:ind w:left="10"/>
              <w:rPr>
                <w:sz w:val="20"/>
              </w:rPr>
            </w:pPr>
            <w:r>
              <w:rPr>
                <w:spacing w:val="-5"/>
                <w:sz w:val="20"/>
              </w:rPr>
              <w:t>15%</w:t>
            </w:r>
          </w:p>
        </w:tc>
      </w:tr>
      <w:tr>
        <w:trPr>
          <w:trHeight w:val="229" w:hRule="atLeast"/>
        </w:trPr>
        <w:tc>
          <w:tcPr>
            <w:tcW w:w="1037" w:type="dxa"/>
          </w:tcPr>
          <w:p>
            <w:pPr>
              <w:pStyle w:val="TableParagraph"/>
              <w:ind w:left="14" w:right="5"/>
              <w:rPr>
                <w:sz w:val="20"/>
              </w:rPr>
            </w:pPr>
            <w:r>
              <w:rPr>
                <w:spacing w:val="-5"/>
                <w:sz w:val="20"/>
              </w:rPr>
              <w:t>34</w:t>
            </w:r>
          </w:p>
        </w:tc>
        <w:tc>
          <w:tcPr>
            <w:tcW w:w="7065" w:type="dxa"/>
          </w:tcPr>
          <w:p>
            <w:pPr>
              <w:pStyle w:val="TableParagraph"/>
              <w:jc w:val="left"/>
              <w:rPr>
                <w:sz w:val="20"/>
              </w:rPr>
            </w:pPr>
            <w:r>
              <w:rPr>
                <w:sz w:val="20"/>
              </w:rPr>
              <w:t>Por</w:t>
            </w:r>
            <w:r>
              <w:rPr>
                <w:spacing w:val="-6"/>
                <w:sz w:val="20"/>
              </w:rPr>
              <w:t> </w:t>
            </w:r>
            <w:r>
              <w:rPr>
                <w:sz w:val="20"/>
              </w:rPr>
              <w:t>la</w:t>
            </w:r>
            <w:r>
              <w:rPr>
                <w:spacing w:val="-5"/>
                <w:sz w:val="20"/>
              </w:rPr>
              <w:t> </w:t>
            </w:r>
            <w:r>
              <w:rPr>
                <w:sz w:val="20"/>
              </w:rPr>
              <w:t>pérdida</w:t>
            </w:r>
            <w:r>
              <w:rPr>
                <w:spacing w:val="-6"/>
                <w:sz w:val="20"/>
              </w:rPr>
              <w:t> </w:t>
            </w:r>
            <w:r>
              <w:rPr>
                <w:sz w:val="20"/>
              </w:rPr>
              <w:t>del</w:t>
            </w:r>
            <w:r>
              <w:rPr>
                <w:spacing w:val="-5"/>
                <w:sz w:val="20"/>
              </w:rPr>
              <w:t> </w:t>
            </w:r>
            <w:r>
              <w:rPr>
                <w:sz w:val="20"/>
              </w:rPr>
              <w:t>dedo</w:t>
            </w:r>
            <w:r>
              <w:rPr>
                <w:spacing w:val="-5"/>
                <w:sz w:val="20"/>
              </w:rPr>
              <w:t> </w:t>
            </w:r>
            <w:r>
              <w:rPr>
                <w:spacing w:val="-2"/>
                <w:sz w:val="20"/>
              </w:rPr>
              <w:t>anular.</w:t>
            </w:r>
          </w:p>
        </w:tc>
        <w:tc>
          <w:tcPr>
            <w:tcW w:w="1447" w:type="dxa"/>
          </w:tcPr>
          <w:p>
            <w:pPr>
              <w:pStyle w:val="TableParagraph"/>
              <w:ind w:left="10"/>
              <w:rPr>
                <w:sz w:val="20"/>
              </w:rPr>
            </w:pPr>
            <w:r>
              <w:rPr>
                <w:spacing w:val="-5"/>
                <w:sz w:val="20"/>
              </w:rPr>
              <w:t>12%</w:t>
            </w:r>
          </w:p>
        </w:tc>
      </w:tr>
      <w:tr>
        <w:trPr>
          <w:trHeight w:val="229" w:hRule="atLeast"/>
        </w:trPr>
        <w:tc>
          <w:tcPr>
            <w:tcW w:w="1037" w:type="dxa"/>
          </w:tcPr>
          <w:p>
            <w:pPr>
              <w:pStyle w:val="TableParagraph"/>
              <w:ind w:left="14" w:right="5"/>
              <w:rPr>
                <w:sz w:val="20"/>
              </w:rPr>
            </w:pPr>
            <w:r>
              <w:rPr>
                <w:spacing w:val="-5"/>
                <w:sz w:val="20"/>
              </w:rPr>
              <w:t>35</w:t>
            </w:r>
          </w:p>
        </w:tc>
        <w:tc>
          <w:tcPr>
            <w:tcW w:w="7065" w:type="dxa"/>
          </w:tcPr>
          <w:p>
            <w:pPr>
              <w:pStyle w:val="TableParagraph"/>
              <w:jc w:val="left"/>
              <w:rPr>
                <w:sz w:val="20"/>
              </w:rPr>
            </w:pPr>
            <w:r>
              <w:rPr>
                <w:sz w:val="20"/>
              </w:rPr>
              <w:t>Por</w:t>
            </w:r>
            <w:r>
              <w:rPr>
                <w:spacing w:val="-6"/>
                <w:sz w:val="20"/>
              </w:rPr>
              <w:t> </w:t>
            </w:r>
            <w:r>
              <w:rPr>
                <w:sz w:val="20"/>
              </w:rPr>
              <w:t>la</w:t>
            </w:r>
            <w:r>
              <w:rPr>
                <w:spacing w:val="-6"/>
                <w:sz w:val="20"/>
              </w:rPr>
              <w:t> </w:t>
            </w:r>
            <w:r>
              <w:rPr>
                <w:sz w:val="20"/>
              </w:rPr>
              <w:t>pérdida</w:t>
            </w:r>
            <w:r>
              <w:rPr>
                <w:spacing w:val="-7"/>
                <w:sz w:val="20"/>
              </w:rPr>
              <w:t> </w:t>
            </w:r>
            <w:r>
              <w:rPr>
                <w:sz w:val="20"/>
              </w:rPr>
              <w:t>parcial</w:t>
            </w:r>
            <w:r>
              <w:rPr>
                <w:spacing w:val="-7"/>
                <w:sz w:val="20"/>
              </w:rPr>
              <w:t> </w:t>
            </w:r>
            <w:r>
              <w:rPr>
                <w:sz w:val="20"/>
              </w:rPr>
              <w:t>de</w:t>
            </w:r>
            <w:r>
              <w:rPr>
                <w:spacing w:val="-4"/>
                <w:sz w:val="20"/>
              </w:rPr>
              <w:t> </w:t>
            </w:r>
            <w:r>
              <w:rPr>
                <w:sz w:val="20"/>
              </w:rPr>
              <w:t>la</w:t>
            </w:r>
            <w:r>
              <w:rPr>
                <w:spacing w:val="-2"/>
                <w:sz w:val="20"/>
              </w:rPr>
              <w:t> </w:t>
            </w:r>
            <w:r>
              <w:rPr>
                <w:sz w:val="20"/>
              </w:rPr>
              <w:t>falange</w:t>
            </w:r>
            <w:r>
              <w:rPr>
                <w:spacing w:val="-4"/>
                <w:sz w:val="20"/>
              </w:rPr>
              <w:t> </w:t>
            </w:r>
            <w:r>
              <w:rPr>
                <w:sz w:val="20"/>
              </w:rPr>
              <w:t>proximal</w:t>
            </w:r>
            <w:r>
              <w:rPr>
                <w:spacing w:val="-7"/>
                <w:sz w:val="20"/>
              </w:rPr>
              <w:t> </w:t>
            </w:r>
            <w:r>
              <w:rPr>
                <w:sz w:val="20"/>
              </w:rPr>
              <w:t>del</w:t>
            </w:r>
            <w:r>
              <w:rPr>
                <w:spacing w:val="-7"/>
                <w:sz w:val="20"/>
              </w:rPr>
              <w:t> </w:t>
            </w:r>
            <w:r>
              <w:rPr>
                <w:sz w:val="20"/>
              </w:rPr>
              <w:t>dedo</w:t>
            </w:r>
            <w:r>
              <w:rPr>
                <w:spacing w:val="-2"/>
                <w:sz w:val="20"/>
              </w:rPr>
              <w:t> anular.</w:t>
            </w:r>
          </w:p>
        </w:tc>
        <w:tc>
          <w:tcPr>
            <w:tcW w:w="1447" w:type="dxa"/>
          </w:tcPr>
          <w:p>
            <w:pPr>
              <w:pStyle w:val="TableParagraph"/>
              <w:ind w:left="10"/>
              <w:rPr>
                <w:sz w:val="20"/>
              </w:rPr>
            </w:pPr>
            <w:r>
              <w:rPr>
                <w:spacing w:val="-5"/>
                <w:sz w:val="20"/>
              </w:rPr>
              <w:t>10%</w:t>
            </w:r>
          </w:p>
        </w:tc>
      </w:tr>
      <w:tr>
        <w:trPr>
          <w:trHeight w:val="460" w:hRule="atLeast"/>
        </w:trPr>
        <w:tc>
          <w:tcPr>
            <w:tcW w:w="1037" w:type="dxa"/>
          </w:tcPr>
          <w:p>
            <w:pPr>
              <w:pStyle w:val="TableParagraph"/>
              <w:spacing w:line="240" w:lineRule="auto" w:before="114"/>
              <w:ind w:left="14" w:right="5"/>
              <w:rPr>
                <w:sz w:val="20"/>
              </w:rPr>
            </w:pPr>
            <w:r>
              <w:rPr>
                <w:spacing w:val="-5"/>
                <w:sz w:val="20"/>
              </w:rPr>
              <w:t>36</w:t>
            </w:r>
          </w:p>
        </w:tc>
        <w:tc>
          <w:tcPr>
            <w:tcW w:w="7065" w:type="dxa"/>
          </w:tcPr>
          <w:p>
            <w:pPr>
              <w:pStyle w:val="TableParagraph"/>
              <w:spacing w:line="230" w:lineRule="exact"/>
              <w:jc w:val="left"/>
              <w:rPr>
                <w:sz w:val="20"/>
              </w:rPr>
            </w:pPr>
            <w:r>
              <w:rPr>
                <w:sz w:val="20"/>
              </w:rPr>
              <w:t>Por</w:t>
            </w:r>
            <w:r>
              <w:rPr>
                <w:spacing w:val="37"/>
                <w:sz w:val="20"/>
              </w:rPr>
              <w:t> </w:t>
            </w:r>
            <w:r>
              <w:rPr>
                <w:sz w:val="20"/>
              </w:rPr>
              <w:t>la</w:t>
            </w:r>
            <w:r>
              <w:rPr>
                <w:spacing w:val="36"/>
                <w:sz w:val="20"/>
              </w:rPr>
              <w:t> </w:t>
            </w:r>
            <w:r>
              <w:rPr>
                <w:sz w:val="20"/>
              </w:rPr>
              <w:t>pérdida</w:t>
            </w:r>
            <w:r>
              <w:rPr>
                <w:spacing w:val="36"/>
                <w:sz w:val="20"/>
              </w:rPr>
              <w:t> </w:t>
            </w:r>
            <w:r>
              <w:rPr>
                <w:sz w:val="20"/>
              </w:rPr>
              <w:t>de</w:t>
            </w:r>
            <w:r>
              <w:rPr>
                <w:spacing w:val="38"/>
                <w:sz w:val="20"/>
              </w:rPr>
              <w:t> </w:t>
            </w:r>
            <w:r>
              <w:rPr>
                <w:sz w:val="20"/>
              </w:rPr>
              <w:t>la</w:t>
            </w:r>
            <w:r>
              <w:rPr>
                <w:spacing w:val="36"/>
                <w:sz w:val="20"/>
              </w:rPr>
              <w:t> </w:t>
            </w:r>
            <w:r>
              <w:rPr>
                <w:sz w:val="20"/>
              </w:rPr>
              <w:t>falange</w:t>
            </w:r>
            <w:r>
              <w:rPr>
                <w:spacing w:val="35"/>
                <w:sz w:val="20"/>
              </w:rPr>
              <w:t> </w:t>
            </w:r>
            <w:r>
              <w:rPr>
                <w:sz w:val="20"/>
              </w:rPr>
              <w:t>distal</w:t>
            </w:r>
            <w:r>
              <w:rPr>
                <w:spacing w:val="35"/>
                <w:sz w:val="20"/>
              </w:rPr>
              <w:t> </w:t>
            </w:r>
            <w:r>
              <w:rPr>
                <w:sz w:val="20"/>
              </w:rPr>
              <w:t>con</w:t>
            </w:r>
            <w:r>
              <w:rPr>
                <w:spacing w:val="36"/>
                <w:sz w:val="20"/>
              </w:rPr>
              <w:t> </w:t>
            </w:r>
            <w:r>
              <w:rPr>
                <w:sz w:val="20"/>
              </w:rPr>
              <w:t>mutilación</w:t>
            </w:r>
            <w:r>
              <w:rPr>
                <w:spacing w:val="35"/>
                <w:sz w:val="20"/>
              </w:rPr>
              <w:t> </w:t>
            </w:r>
            <w:r>
              <w:rPr>
                <w:sz w:val="20"/>
              </w:rPr>
              <w:t>o</w:t>
            </w:r>
            <w:r>
              <w:rPr>
                <w:spacing w:val="38"/>
                <w:sz w:val="20"/>
              </w:rPr>
              <w:t> </w:t>
            </w:r>
            <w:r>
              <w:rPr>
                <w:sz w:val="20"/>
              </w:rPr>
              <w:t>pérdida</w:t>
            </w:r>
            <w:r>
              <w:rPr>
                <w:spacing w:val="35"/>
                <w:sz w:val="20"/>
              </w:rPr>
              <w:t> </w:t>
            </w:r>
            <w:r>
              <w:rPr>
                <w:sz w:val="20"/>
              </w:rPr>
              <w:t>de</w:t>
            </w:r>
            <w:r>
              <w:rPr>
                <w:spacing w:val="36"/>
                <w:sz w:val="20"/>
              </w:rPr>
              <w:t> </w:t>
            </w:r>
            <w:r>
              <w:rPr>
                <w:sz w:val="20"/>
              </w:rPr>
              <w:t>la</w:t>
            </w:r>
            <w:r>
              <w:rPr>
                <w:spacing w:val="36"/>
                <w:sz w:val="20"/>
              </w:rPr>
              <w:t> </w:t>
            </w:r>
            <w:r>
              <w:rPr>
                <w:sz w:val="20"/>
              </w:rPr>
              <w:t>falange media del anular.</w:t>
            </w:r>
          </w:p>
        </w:tc>
        <w:tc>
          <w:tcPr>
            <w:tcW w:w="1447" w:type="dxa"/>
          </w:tcPr>
          <w:p>
            <w:pPr>
              <w:pStyle w:val="TableParagraph"/>
              <w:spacing w:line="240" w:lineRule="auto" w:before="114"/>
              <w:ind w:left="10"/>
              <w:rPr>
                <w:sz w:val="20"/>
              </w:rPr>
            </w:pPr>
            <w:r>
              <w:rPr>
                <w:spacing w:val="-5"/>
                <w:sz w:val="20"/>
              </w:rPr>
              <w:t>8%</w:t>
            </w:r>
          </w:p>
        </w:tc>
      </w:tr>
      <w:tr>
        <w:trPr>
          <w:trHeight w:val="230" w:hRule="atLeast"/>
        </w:trPr>
        <w:tc>
          <w:tcPr>
            <w:tcW w:w="1037" w:type="dxa"/>
          </w:tcPr>
          <w:p>
            <w:pPr>
              <w:pStyle w:val="TableParagraph"/>
              <w:ind w:left="14" w:right="5"/>
              <w:rPr>
                <w:sz w:val="20"/>
              </w:rPr>
            </w:pPr>
            <w:r>
              <w:rPr>
                <w:spacing w:val="-5"/>
                <w:sz w:val="20"/>
              </w:rPr>
              <w:t>37</w:t>
            </w:r>
          </w:p>
        </w:tc>
        <w:tc>
          <w:tcPr>
            <w:tcW w:w="7065" w:type="dxa"/>
          </w:tcPr>
          <w:p>
            <w:pPr>
              <w:pStyle w:val="TableParagraph"/>
              <w:jc w:val="left"/>
              <w:rPr>
                <w:sz w:val="20"/>
              </w:rPr>
            </w:pPr>
            <w:r>
              <w:rPr>
                <w:sz w:val="20"/>
              </w:rPr>
              <w:t>Por</w:t>
            </w:r>
            <w:r>
              <w:rPr>
                <w:spacing w:val="-6"/>
                <w:sz w:val="20"/>
              </w:rPr>
              <w:t> </w:t>
            </w:r>
            <w:r>
              <w:rPr>
                <w:sz w:val="20"/>
              </w:rPr>
              <w:t>la</w:t>
            </w:r>
            <w:r>
              <w:rPr>
                <w:spacing w:val="-5"/>
                <w:sz w:val="20"/>
              </w:rPr>
              <w:t> </w:t>
            </w:r>
            <w:r>
              <w:rPr>
                <w:sz w:val="20"/>
              </w:rPr>
              <w:t>pérdida</w:t>
            </w:r>
            <w:r>
              <w:rPr>
                <w:spacing w:val="-6"/>
                <w:sz w:val="20"/>
              </w:rPr>
              <w:t> </w:t>
            </w:r>
            <w:r>
              <w:rPr>
                <w:sz w:val="20"/>
              </w:rPr>
              <w:t>de</w:t>
            </w:r>
            <w:r>
              <w:rPr>
                <w:spacing w:val="-6"/>
                <w:sz w:val="20"/>
              </w:rPr>
              <w:t> </w:t>
            </w:r>
            <w:r>
              <w:rPr>
                <w:sz w:val="20"/>
              </w:rPr>
              <w:t>la</w:t>
            </w:r>
            <w:r>
              <w:rPr>
                <w:spacing w:val="-5"/>
                <w:sz w:val="20"/>
              </w:rPr>
              <w:t> </w:t>
            </w:r>
            <w:r>
              <w:rPr>
                <w:sz w:val="20"/>
              </w:rPr>
              <w:t>falange</w:t>
            </w:r>
            <w:r>
              <w:rPr>
                <w:spacing w:val="-4"/>
                <w:sz w:val="20"/>
              </w:rPr>
              <w:t> </w:t>
            </w:r>
            <w:r>
              <w:rPr>
                <w:sz w:val="20"/>
              </w:rPr>
              <w:t>distal</w:t>
            </w:r>
            <w:r>
              <w:rPr>
                <w:spacing w:val="-6"/>
                <w:sz w:val="20"/>
              </w:rPr>
              <w:t> </w:t>
            </w:r>
            <w:r>
              <w:rPr>
                <w:sz w:val="20"/>
              </w:rPr>
              <w:t>del</w:t>
            </w:r>
            <w:r>
              <w:rPr>
                <w:spacing w:val="-2"/>
                <w:sz w:val="20"/>
              </w:rPr>
              <w:t> anular.</w:t>
            </w:r>
          </w:p>
        </w:tc>
        <w:tc>
          <w:tcPr>
            <w:tcW w:w="1447" w:type="dxa"/>
          </w:tcPr>
          <w:p>
            <w:pPr>
              <w:pStyle w:val="TableParagraph"/>
              <w:ind w:left="10"/>
              <w:rPr>
                <w:sz w:val="20"/>
              </w:rPr>
            </w:pPr>
            <w:r>
              <w:rPr>
                <w:spacing w:val="-5"/>
                <w:sz w:val="20"/>
              </w:rPr>
              <w:t>4%</w:t>
            </w:r>
          </w:p>
        </w:tc>
      </w:tr>
      <w:tr>
        <w:trPr>
          <w:trHeight w:val="229" w:hRule="atLeast"/>
        </w:trPr>
        <w:tc>
          <w:tcPr>
            <w:tcW w:w="1037" w:type="dxa"/>
          </w:tcPr>
          <w:p>
            <w:pPr>
              <w:pStyle w:val="TableParagraph"/>
              <w:ind w:left="14" w:right="5"/>
              <w:rPr>
                <w:sz w:val="20"/>
              </w:rPr>
            </w:pPr>
            <w:r>
              <w:rPr>
                <w:spacing w:val="-5"/>
                <w:sz w:val="20"/>
              </w:rPr>
              <w:t>38</w:t>
            </w:r>
          </w:p>
        </w:tc>
        <w:tc>
          <w:tcPr>
            <w:tcW w:w="7065" w:type="dxa"/>
          </w:tcPr>
          <w:p>
            <w:pPr>
              <w:pStyle w:val="TableParagraph"/>
              <w:jc w:val="left"/>
              <w:rPr>
                <w:sz w:val="20"/>
              </w:rPr>
            </w:pPr>
            <w:r>
              <w:rPr>
                <w:sz w:val="20"/>
              </w:rPr>
              <w:t>Por</w:t>
            </w:r>
            <w:r>
              <w:rPr>
                <w:spacing w:val="-7"/>
                <w:sz w:val="20"/>
              </w:rPr>
              <w:t> </w:t>
            </w:r>
            <w:r>
              <w:rPr>
                <w:sz w:val="20"/>
              </w:rPr>
              <w:t>la</w:t>
            </w:r>
            <w:r>
              <w:rPr>
                <w:spacing w:val="-6"/>
                <w:sz w:val="20"/>
              </w:rPr>
              <w:t> </w:t>
            </w:r>
            <w:r>
              <w:rPr>
                <w:sz w:val="20"/>
              </w:rPr>
              <w:t>pérdida</w:t>
            </w:r>
            <w:r>
              <w:rPr>
                <w:spacing w:val="-6"/>
                <w:sz w:val="20"/>
              </w:rPr>
              <w:t> </w:t>
            </w:r>
            <w:r>
              <w:rPr>
                <w:sz w:val="20"/>
              </w:rPr>
              <w:t>parcial</w:t>
            </w:r>
            <w:r>
              <w:rPr>
                <w:spacing w:val="-7"/>
                <w:sz w:val="20"/>
              </w:rPr>
              <w:t> </w:t>
            </w:r>
            <w:r>
              <w:rPr>
                <w:sz w:val="20"/>
              </w:rPr>
              <w:t>de</w:t>
            </w:r>
            <w:r>
              <w:rPr>
                <w:spacing w:val="-5"/>
                <w:sz w:val="20"/>
              </w:rPr>
              <w:t> </w:t>
            </w:r>
            <w:r>
              <w:rPr>
                <w:sz w:val="20"/>
              </w:rPr>
              <w:t>la</w:t>
            </w:r>
            <w:r>
              <w:rPr>
                <w:spacing w:val="-2"/>
                <w:sz w:val="20"/>
              </w:rPr>
              <w:t> </w:t>
            </w:r>
            <w:r>
              <w:rPr>
                <w:sz w:val="20"/>
              </w:rPr>
              <w:t>falange</w:t>
            </w:r>
            <w:r>
              <w:rPr>
                <w:spacing w:val="-4"/>
                <w:sz w:val="20"/>
              </w:rPr>
              <w:t> </w:t>
            </w:r>
            <w:r>
              <w:rPr>
                <w:sz w:val="20"/>
              </w:rPr>
              <w:t>distal</w:t>
            </w:r>
            <w:r>
              <w:rPr>
                <w:spacing w:val="-5"/>
                <w:sz w:val="20"/>
              </w:rPr>
              <w:t> </w:t>
            </w:r>
            <w:r>
              <w:rPr>
                <w:sz w:val="20"/>
              </w:rPr>
              <w:t>del</w:t>
            </w:r>
            <w:r>
              <w:rPr>
                <w:spacing w:val="-5"/>
                <w:sz w:val="20"/>
              </w:rPr>
              <w:t> </w:t>
            </w:r>
            <w:r>
              <w:rPr>
                <w:spacing w:val="-2"/>
                <w:sz w:val="20"/>
              </w:rPr>
              <w:t>anular.</w:t>
            </w:r>
          </w:p>
        </w:tc>
        <w:tc>
          <w:tcPr>
            <w:tcW w:w="1447" w:type="dxa"/>
          </w:tcPr>
          <w:p>
            <w:pPr>
              <w:pStyle w:val="TableParagraph"/>
              <w:ind w:left="10"/>
              <w:rPr>
                <w:sz w:val="20"/>
              </w:rPr>
            </w:pPr>
            <w:r>
              <w:rPr>
                <w:spacing w:val="-5"/>
                <w:sz w:val="20"/>
              </w:rPr>
              <w:t>2%</w:t>
            </w:r>
          </w:p>
        </w:tc>
      </w:tr>
      <w:tr>
        <w:trPr>
          <w:trHeight w:val="460" w:hRule="atLeast"/>
        </w:trPr>
        <w:tc>
          <w:tcPr>
            <w:tcW w:w="1037" w:type="dxa"/>
          </w:tcPr>
          <w:p>
            <w:pPr>
              <w:pStyle w:val="TableParagraph"/>
              <w:spacing w:line="240" w:lineRule="auto" w:before="114"/>
              <w:ind w:left="14" w:right="5"/>
              <w:rPr>
                <w:sz w:val="20"/>
              </w:rPr>
            </w:pPr>
            <w:r>
              <w:rPr>
                <w:spacing w:val="-5"/>
                <w:sz w:val="20"/>
              </w:rPr>
              <w:t>39</w:t>
            </w:r>
          </w:p>
        </w:tc>
        <w:tc>
          <w:tcPr>
            <w:tcW w:w="7065" w:type="dxa"/>
          </w:tcPr>
          <w:p>
            <w:pPr>
              <w:pStyle w:val="TableParagraph"/>
              <w:spacing w:line="230" w:lineRule="exact"/>
              <w:jc w:val="left"/>
              <w:rPr>
                <w:sz w:val="20"/>
              </w:rPr>
            </w:pPr>
            <w:r>
              <w:rPr>
                <w:sz w:val="20"/>
              </w:rPr>
              <w:t>Por la pérdida del dedo meñique con pérdida de su metacarpiano o parte de </w:t>
            </w:r>
            <w:r>
              <w:rPr>
                <w:spacing w:val="-2"/>
                <w:sz w:val="20"/>
              </w:rPr>
              <w:t>éste.</w:t>
            </w:r>
          </w:p>
        </w:tc>
        <w:tc>
          <w:tcPr>
            <w:tcW w:w="1447" w:type="dxa"/>
          </w:tcPr>
          <w:p>
            <w:pPr>
              <w:pStyle w:val="TableParagraph"/>
              <w:spacing w:line="240" w:lineRule="auto" w:before="114"/>
              <w:ind w:left="10"/>
              <w:rPr>
                <w:sz w:val="20"/>
              </w:rPr>
            </w:pPr>
            <w:r>
              <w:rPr>
                <w:spacing w:val="-5"/>
                <w:sz w:val="20"/>
              </w:rPr>
              <w:t>15%</w:t>
            </w:r>
          </w:p>
        </w:tc>
      </w:tr>
      <w:tr>
        <w:trPr>
          <w:trHeight w:val="229" w:hRule="atLeast"/>
        </w:trPr>
        <w:tc>
          <w:tcPr>
            <w:tcW w:w="1037" w:type="dxa"/>
          </w:tcPr>
          <w:p>
            <w:pPr>
              <w:pStyle w:val="TableParagraph"/>
              <w:ind w:left="14" w:right="5"/>
              <w:rPr>
                <w:sz w:val="20"/>
              </w:rPr>
            </w:pPr>
            <w:r>
              <w:rPr>
                <w:spacing w:val="-5"/>
                <w:sz w:val="20"/>
              </w:rPr>
              <w:t>40</w:t>
            </w:r>
          </w:p>
        </w:tc>
        <w:tc>
          <w:tcPr>
            <w:tcW w:w="7065" w:type="dxa"/>
          </w:tcPr>
          <w:p>
            <w:pPr>
              <w:pStyle w:val="TableParagraph"/>
              <w:jc w:val="left"/>
              <w:rPr>
                <w:sz w:val="20"/>
              </w:rPr>
            </w:pPr>
            <w:r>
              <w:rPr>
                <w:sz w:val="20"/>
              </w:rPr>
              <w:t>Por</w:t>
            </w:r>
            <w:r>
              <w:rPr>
                <w:spacing w:val="-6"/>
                <w:sz w:val="20"/>
              </w:rPr>
              <w:t> </w:t>
            </w:r>
            <w:r>
              <w:rPr>
                <w:sz w:val="20"/>
              </w:rPr>
              <w:t>la</w:t>
            </w:r>
            <w:r>
              <w:rPr>
                <w:spacing w:val="-5"/>
                <w:sz w:val="20"/>
              </w:rPr>
              <w:t> </w:t>
            </w:r>
            <w:r>
              <w:rPr>
                <w:sz w:val="20"/>
              </w:rPr>
              <w:t>pérdida</w:t>
            </w:r>
            <w:r>
              <w:rPr>
                <w:spacing w:val="-6"/>
                <w:sz w:val="20"/>
              </w:rPr>
              <w:t> </w:t>
            </w:r>
            <w:r>
              <w:rPr>
                <w:sz w:val="20"/>
              </w:rPr>
              <w:t>del</w:t>
            </w:r>
            <w:r>
              <w:rPr>
                <w:spacing w:val="-5"/>
                <w:sz w:val="20"/>
              </w:rPr>
              <w:t> </w:t>
            </w:r>
            <w:r>
              <w:rPr>
                <w:sz w:val="20"/>
              </w:rPr>
              <w:t>dedo</w:t>
            </w:r>
            <w:r>
              <w:rPr>
                <w:spacing w:val="-5"/>
                <w:sz w:val="20"/>
              </w:rPr>
              <w:t> </w:t>
            </w:r>
            <w:r>
              <w:rPr>
                <w:spacing w:val="-2"/>
                <w:sz w:val="20"/>
              </w:rPr>
              <w:t>meñique.</w:t>
            </w:r>
          </w:p>
        </w:tc>
        <w:tc>
          <w:tcPr>
            <w:tcW w:w="1447" w:type="dxa"/>
          </w:tcPr>
          <w:p>
            <w:pPr>
              <w:pStyle w:val="TableParagraph"/>
              <w:ind w:left="10"/>
              <w:rPr>
                <w:sz w:val="20"/>
              </w:rPr>
            </w:pPr>
            <w:r>
              <w:rPr>
                <w:spacing w:val="-5"/>
                <w:sz w:val="20"/>
              </w:rPr>
              <w:t>12%</w:t>
            </w:r>
          </w:p>
        </w:tc>
      </w:tr>
      <w:tr>
        <w:trPr>
          <w:trHeight w:val="229" w:hRule="atLeast"/>
        </w:trPr>
        <w:tc>
          <w:tcPr>
            <w:tcW w:w="1037" w:type="dxa"/>
          </w:tcPr>
          <w:p>
            <w:pPr>
              <w:pStyle w:val="TableParagraph"/>
              <w:ind w:left="14" w:right="5"/>
              <w:rPr>
                <w:sz w:val="20"/>
              </w:rPr>
            </w:pPr>
            <w:r>
              <w:rPr>
                <w:spacing w:val="-5"/>
                <w:sz w:val="20"/>
              </w:rPr>
              <w:t>41</w:t>
            </w:r>
          </w:p>
        </w:tc>
        <w:tc>
          <w:tcPr>
            <w:tcW w:w="7065" w:type="dxa"/>
          </w:tcPr>
          <w:p>
            <w:pPr>
              <w:pStyle w:val="TableParagraph"/>
              <w:jc w:val="left"/>
              <w:rPr>
                <w:sz w:val="20"/>
              </w:rPr>
            </w:pPr>
            <w:r>
              <w:rPr>
                <w:sz w:val="20"/>
              </w:rPr>
              <w:t>Por</w:t>
            </w:r>
            <w:r>
              <w:rPr>
                <w:spacing w:val="-6"/>
                <w:sz w:val="20"/>
              </w:rPr>
              <w:t> </w:t>
            </w:r>
            <w:r>
              <w:rPr>
                <w:sz w:val="20"/>
              </w:rPr>
              <w:t>la</w:t>
            </w:r>
            <w:r>
              <w:rPr>
                <w:spacing w:val="-5"/>
                <w:sz w:val="20"/>
              </w:rPr>
              <w:t> </w:t>
            </w:r>
            <w:r>
              <w:rPr>
                <w:sz w:val="20"/>
              </w:rPr>
              <w:t>pérdida</w:t>
            </w:r>
            <w:r>
              <w:rPr>
                <w:spacing w:val="-7"/>
                <w:sz w:val="20"/>
              </w:rPr>
              <w:t> </w:t>
            </w:r>
            <w:r>
              <w:rPr>
                <w:sz w:val="20"/>
              </w:rPr>
              <w:t>parcial</w:t>
            </w:r>
            <w:r>
              <w:rPr>
                <w:spacing w:val="-6"/>
                <w:sz w:val="20"/>
              </w:rPr>
              <w:t> </w:t>
            </w:r>
            <w:r>
              <w:rPr>
                <w:sz w:val="20"/>
              </w:rPr>
              <w:t>de</w:t>
            </w:r>
            <w:r>
              <w:rPr>
                <w:spacing w:val="-4"/>
                <w:sz w:val="20"/>
              </w:rPr>
              <w:t> </w:t>
            </w:r>
            <w:r>
              <w:rPr>
                <w:sz w:val="20"/>
              </w:rPr>
              <w:t>la</w:t>
            </w:r>
            <w:r>
              <w:rPr>
                <w:spacing w:val="-2"/>
                <w:sz w:val="20"/>
              </w:rPr>
              <w:t> </w:t>
            </w:r>
            <w:r>
              <w:rPr>
                <w:sz w:val="20"/>
              </w:rPr>
              <w:t>falange</w:t>
            </w:r>
            <w:r>
              <w:rPr>
                <w:spacing w:val="-3"/>
                <w:sz w:val="20"/>
              </w:rPr>
              <w:t> </w:t>
            </w:r>
            <w:r>
              <w:rPr>
                <w:sz w:val="20"/>
              </w:rPr>
              <w:t>proximal</w:t>
            </w:r>
            <w:r>
              <w:rPr>
                <w:spacing w:val="-7"/>
                <w:sz w:val="20"/>
              </w:rPr>
              <w:t> </w:t>
            </w:r>
            <w:r>
              <w:rPr>
                <w:sz w:val="20"/>
              </w:rPr>
              <w:t>del</w:t>
            </w:r>
            <w:r>
              <w:rPr>
                <w:spacing w:val="-6"/>
                <w:sz w:val="20"/>
              </w:rPr>
              <w:t> </w:t>
            </w:r>
            <w:r>
              <w:rPr>
                <w:sz w:val="20"/>
              </w:rPr>
              <w:t>dedo</w:t>
            </w:r>
            <w:r>
              <w:rPr>
                <w:spacing w:val="-2"/>
                <w:sz w:val="20"/>
              </w:rPr>
              <w:t> meñique.</w:t>
            </w:r>
          </w:p>
        </w:tc>
        <w:tc>
          <w:tcPr>
            <w:tcW w:w="1447" w:type="dxa"/>
          </w:tcPr>
          <w:p>
            <w:pPr>
              <w:pStyle w:val="TableParagraph"/>
              <w:ind w:left="10"/>
              <w:rPr>
                <w:sz w:val="20"/>
              </w:rPr>
            </w:pPr>
            <w:r>
              <w:rPr>
                <w:spacing w:val="-5"/>
                <w:sz w:val="20"/>
              </w:rPr>
              <w:t>10%</w:t>
            </w:r>
          </w:p>
        </w:tc>
      </w:tr>
      <w:tr>
        <w:trPr>
          <w:trHeight w:val="460" w:hRule="atLeast"/>
        </w:trPr>
        <w:tc>
          <w:tcPr>
            <w:tcW w:w="1037" w:type="dxa"/>
          </w:tcPr>
          <w:p>
            <w:pPr>
              <w:pStyle w:val="TableParagraph"/>
              <w:spacing w:line="240" w:lineRule="auto" w:before="114"/>
              <w:ind w:left="14" w:right="5"/>
              <w:rPr>
                <w:sz w:val="20"/>
              </w:rPr>
            </w:pPr>
            <w:r>
              <w:rPr>
                <w:spacing w:val="-5"/>
                <w:sz w:val="20"/>
              </w:rPr>
              <w:t>42</w:t>
            </w:r>
          </w:p>
        </w:tc>
        <w:tc>
          <w:tcPr>
            <w:tcW w:w="7065" w:type="dxa"/>
          </w:tcPr>
          <w:p>
            <w:pPr>
              <w:pStyle w:val="TableParagraph"/>
              <w:spacing w:line="230" w:lineRule="exact"/>
              <w:jc w:val="left"/>
              <w:rPr>
                <w:sz w:val="20"/>
              </w:rPr>
            </w:pPr>
            <w:r>
              <w:rPr>
                <w:sz w:val="20"/>
              </w:rPr>
              <w:t>Por</w:t>
            </w:r>
            <w:r>
              <w:rPr>
                <w:spacing w:val="37"/>
                <w:sz w:val="20"/>
              </w:rPr>
              <w:t> </w:t>
            </w:r>
            <w:r>
              <w:rPr>
                <w:sz w:val="20"/>
              </w:rPr>
              <w:t>la</w:t>
            </w:r>
            <w:r>
              <w:rPr>
                <w:spacing w:val="36"/>
                <w:sz w:val="20"/>
              </w:rPr>
              <w:t> </w:t>
            </w:r>
            <w:r>
              <w:rPr>
                <w:sz w:val="20"/>
              </w:rPr>
              <w:t>pérdida</w:t>
            </w:r>
            <w:r>
              <w:rPr>
                <w:spacing w:val="36"/>
                <w:sz w:val="20"/>
              </w:rPr>
              <w:t> </w:t>
            </w:r>
            <w:r>
              <w:rPr>
                <w:sz w:val="20"/>
              </w:rPr>
              <w:t>de</w:t>
            </w:r>
            <w:r>
              <w:rPr>
                <w:spacing w:val="38"/>
                <w:sz w:val="20"/>
              </w:rPr>
              <w:t> </w:t>
            </w:r>
            <w:r>
              <w:rPr>
                <w:sz w:val="20"/>
              </w:rPr>
              <w:t>la</w:t>
            </w:r>
            <w:r>
              <w:rPr>
                <w:spacing w:val="36"/>
                <w:sz w:val="20"/>
              </w:rPr>
              <w:t> </w:t>
            </w:r>
            <w:r>
              <w:rPr>
                <w:sz w:val="20"/>
              </w:rPr>
              <w:t>falange</w:t>
            </w:r>
            <w:r>
              <w:rPr>
                <w:spacing w:val="35"/>
                <w:sz w:val="20"/>
              </w:rPr>
              <w:t> </w:t>
            </w:r>
            <w:r>
              <w:rPr>
                <w:sz w:val="20"/>
              </w:rPr>
              <w:t>distal</w:t>
            </w:r>
            <w:r>
              <w:rPr>
                <w:spacing w:val="35"/>
                <w:sz w:val="20"/>
              </w:rPr>
              <w:t> </w:t>
            </w:r>
            <w:r>
              <w:rPr>
                <w:sz w:val="20"/>
              </w:rPr>
              <w:t>con</w:t>
            </w:r>
            <w:r>
              <w:rPr>
                <w:spacing w:val="36"/>
                <w:sz w:val="20"/>
              </w:rPr>
              <w:t> </w:t>
            </w:r>
            <w:r>
              <w:rPr>
                <w:sz w:val="20"/>
              </w:rPr>
              <w:t>mutilación</w:t>
            </w:r>
            <w:r>
              <w:rPr>
                <w:spacing w:val="35"/>
                <w:sz w:val="20"/>
              </w:rPr>
              <w:t> </w:t>
            </w:r>
            <w:r>
              <w:rPr>
                <w:sz w:val="20"/>
              </w:rPr>
              <w:t>o</w:t>
            </w:r>
            <w:r>
              <w:rPr>
                <w:spacing w:val="38"/>
                <w:sz w:val="20"/>
              </w:rPr>
              <w:t> </w:t>
            </w:r>
            <w:r>
              <w:rPr>
                <w:sz w:val="20"/>
              </w:rPr>
              <w:t>pérdida</w:t>
            </w:r>
            <w:r>
              <w:rPr>
                <w:spacing w:val="35"/>
                <w:sz w:val="20"/>
              </w:rPr>
              <w:t> </w:t>
            </w:r>
            <w:r>
              <w:rPr>
                <w:sz w:val="20"/>
              </w:rPr>
              <w:t>de</w:t>
            </w:r>
            <w:r>
              <w:rPr>
                <w:spacing w:val="36"/>
                <w:sz w:val="20"/>
              </w:rPr>
              <w:t> </w:t>
            </w:r>
            <w:r>
              <w:rPr>
                <w:sz w:val="20"/>
              </w:rPr>
              <w:t>la</w:t>
            </w:r>
            <w:r>
              <w:rPr>
                <w:spacing w:val="36"/>
                <w:sz w:val="20"/>
              </w:rPr>
              <w:t> </w:t>
            </w:r>
            <w:r>
              <w:rPr>
                <w:sz w:val="20"/>
              </w:rPr>
              <w:t>falange media del meñique.</w:t>
            </w:r>
          </w:p>
        </w:tc>
        <w:tc>
          <w:tcPr>
            <w:tcW w:w="1447" w:type="dxa"/>
          </w:tcPr>
          <w:p>
            <w:pPr>
              <w:pStyle w:val="TableParagraph"/>
              <w:spacing w:line="240" w:lineRule="auto" w:before="114"/>
              <w:ind w:left="10"/>
              <w:rPr>
                <w:sz w:val="20"/>
              </w:rPr>
            </w:pPr>
            <w:r>
              <w:rPr>
                <w:spacing w:val="-5"/>
                <w:sz w:val="20"/>
              </w:rPr>
              <w:t>8%</w:t>
            </w:r>
          </w:p>
        </w:tc>
      </w:tr>
      <w:tr>
        <w:trPr>
          <w:trHeight w:val="229" w:hRule="atLeast"/>
        </w:trPr>
        <w:tc>
          <w:tcPr>
            <w:tcW w:w="1037" w:type="dxa"/>
          </w:tcPr>
          <w:p>
            <w:pPr>
              <w:pStyle w:val="TableParagraph"/>
              <w:ind w:left="14" w:right="5"/>
              <w:rPr>
                <w:sz w:val="20"/>
              </w:rPr>
            </w:pPr>
            <w:r>
              <w:rPr>
                <w:spacing w:val="-5"/>
                <w:sz w:val="20"/>
              </w:rPr>
              <w:t>43</w:t>
            </w:r>
          </w:p>
        </w:tc>
        <w:tc>
          <w:tcPr>
            <w:tcW w:w="7065" w:type="dxa"/>
          </w:tcPr>
          <w:p>
            <w:pPr>
              <w:pStyle w:val="TableParagraph"/>
              <w:jc w:val="left"/>
              <w:rPr>
                <w:sz w:val="20"/>
              </w:rPr>
            </w:pPr>
            <w:r>
              <w:rPr>
                <w:sz w:val="20"/>
              </w:rPr>
              <w:t>Por</w:t>
            </w:r>
            <w:r>
              <w:rPr>
                <w:spacing w:val="-6"/>
                <w:sz w:val="20"/>
              </w:rPr>
              <w:t> </w:t>
            </w:r>
            <w:r>
              <w:rPr>
                <w:sz w:val="20"/>
              </w:rPr>
              <w:t>la</w:t>
            </w:r>
            <w:r>
              <w:rPr>
                <w:spacing w:val="-5"/>
                <w:sz w:val="20"/>
              </w:rPr>
              <w:t> </w:t>
            </w:r>
            <w:r>
              <w:rPr>
                <w:sz w:val="20"/>
              </w:rPr>
              <w:t>pérdida</w:t>
            </w:r>
            <w:r>
              <w:rPr>
                <w:spacing w:val="-7"/>
                <w:sz w:val="20"/>
              </w:rPr>
              <w:t> </w:t>
            </w:r>
            <w:r>
              <w:rPr>
                <w:sz w:val="20"/>
              </w:rPr>
              <w:t>de</w:t>
            </w:r>
            <w:r>
              <w:rPr>
                <w:spacing w:val="-5"/>
                <w:sz w:val="20"/>
              </w:rPr>
              <w:t> </w:t>
            </w:r>
            <w:r>
              <w:rPr>
                <w:sz w:val="20"/>
              </w:rPr>
              <w:t>la</w:t>
            </w:r>
            <w:r>
              <w:rPr>
                <w:spacing w:val="-5"/>
                <w:sz w:val="20"/>
              </w:rPr>
              <w:t> </w:t>
            </w:r>
            <w:r>
              <w:rPr>
                <w:sz w:val="20"/>
              </w:rPr>
              <w:t>falange</w:t>
            </w:r>
            <w:r>
              <w:rPr>
                <w:spacing w:val="-4"/>
                <w:sz w:val="20"/>
              </w:rPr>
              <w:t> </w:t>
            </w:r>
            <w:r>
              <w:rPr>
                <w:sz w:val="20"/>
              </w:rPr>
              <w:t>distal</w:t>
            </w:r>
            <w:r>
              <w:rPr>
                <w:spacing w:val="-6"/>
                <w:sz w:val="20"/>
              </w:rPr>
              <w:t> </w:t>
            </w:r>
            <w:r>
              <w:rPr>
                <w:sz w:val="20"/>
              </w:rPr>
              <w:t>del</w:t>
            </w:r>
            <w:r>
              <w:rPr>
                <w:spacing w:val="-7"/>
                <w:sz w:val="20"/>
              </w:rPr>
              <w:t> </w:t>
            </w:r>
            <w:r>
              <w:rPr>
                <w:spacing w:val="-2"/>
                <w:sz w:val="20"/>
              </w:rPr>
              <w:t>meñique.</w:t>
            </w:r>
          </w:p>
        </w:tc>
        <w:tc>
          <w:tcPr>
            <w:tcW w:w="1447" w:type="dxa"/>
          </w:tcPr>
          <w:p>
            <w:pPr>
              <w:pStyle w:val="TableParagraph"/>
              <w:ind w:left="10"/>
              <w:rPr>
                <w:sz w:val="20"/>
              </w:rPr>
            </w:pPr>
            <w:r>
              <w:rPr>
                <w:spacing w:val="-5"/>
                <w:sz w:val="20"/>
              </w:rPr>
              <w:t>4%</w:t>
            </w:r>
          </w:p>
        </w:tc>
      </w:tr>
      <w:tr>
        <w:trPr>
          <w:trHeight w:val="229" w:hRule="atLeast"/>
        </w:trPr>
        <w:tc>
          <w:tcPr>
            <w:tcW w:w="1037" w:type="dxa"/>
          </w:tcPr>
          <w:p>
            <w:pPr>
              <w:pStyle w:val="TableParagraph"/>
              <w:ind w:left="14" w:right="5"/>
              <w:rPr>
                <w:sz w:val="20"/>
              </w:rPr>
            </w:pPr>
            <w:r>
              <w:rPr>
                <w:spacing w:val="-5"/>
                <w:sz w:val="20"/>
              </w:rPr>
              <w:t>44</w:t>
            </w:r>
          </w:p>
        </w:tc>
        <w:tc>
          <w:tcPr>
            <w:tcW w:w="7065" w:type="dxa"/>
          </w:tcPr>
          <w:p>
            <w:pPr>
              <w:pStyle w:val="TableParagraph"/>
              <w:jc w:val="left"/>
              <w:rPr>
                <w:sz w:val="20"/>
              </w:rPr>
            </w:pPr>
            <w:r>
              <w:rPr>
                <w:sz w:val="20"/>
              </w:rPr>
              <w:t>Por</w:t>
            </w:r>
            <w:r>
              <w:rPr>
                <w:spacing w:val="-7"/>
                <w:sz w:val="20"/>
              </w:rPr>
              <w:t> </w:t>
            </w:r>
            <w:r>
              <w:rPr>
                <w:sz w:val="20"/>
              </w:rPr>
              <w:t>la</w:t>
            </w:r>
            <w:r>
              <w:rPr>
                <w:spacing w:val="-6"/>
                <w:sz w:val="20"/>
              </w:rPr>
              <w:t> </w:t>
            </w:r>
            <w:r>
              <w:rPr>
                <w:sz w:val="20"/>
              </w:rPr>
              <w:t>pérdida</w:t>
            </w:r>
            <w:r>
              <w:rPr>
                <w:spacing w:val="-6"/>
                <w:sz w:val="20"/>
              </w:rPr>
              <w:t> </w:t>
            </w:r>
            <w:r>
              <w:rPr>
                <w:sz w:val="20"/>
              </w:rPr>
              <w:t>parcial</w:t>
            </w:r>
            <w:r>
              <w:rPr>
                <w:spacing w:val="-7"/>
                <w:sz w:val="20"/>
              </w:rPr>
              <w:t> </w:t>
            </w:r>
            <w:r>
              <w:rPr>
                <w:sz w:val="20"/>
              </w:rPr>
              <w:t>de</w:t>
            </w:r>
            <w:r>
              <w:rPr>
                <w:spacing w:val="-5"/>
                <w:sz w:val="20"/>
              </w:rPr>
              <w:t> </w:t>
            </w:r>
            <w:r>
              <w:rPr>
                <w:sz w:val="20"/>
              </w:rPr>
              <w:t>la</w:t>
            </w:r>
            <w:r>
              <w:rPr>
                <w:spacing w:val="-2"/>
                <w:sz w:val="20"/>
              </w:rPr>
              <w:t> </w:t>
            </w:r>
            <w:r>
              <w:rPr>
                <w:sz w:val="20"/>
              </w:rPr>
              <w:t>falange</w:t>
            </w:r>
            <w:r>
              <w:rPr>
                <w:spacing w:val="-4"/>
                <w:sz w:val="20"/>
              </w:rPr>
              <w:t> </w:t>
            </w:r>
            <w:r>
              <w:rPr>
                <w:sz w:val="20"/>
              </w:rPr>
              <w:t>distal</w:t>
            </w:r>
            <w:r>
              <w:rPr>
                <w:spacing w:val="-5"/>
                <w:sz w:val="20"/>
              </w:rPr>
              <w:t> </w:t>
            </w:r>
            <w:r>
              <w:rPr>
                <w:sz w:val="20"/>
              </w:rPr>
              <w:t>del</w:t>
            </w:r>
            <w:r>
              <w:rPr>
                <w:spacing w:val="-5"/>
                <w:sz w:val="20"/>
              </w:rPr>
              <w:t> </w:t>
            </w:r>
            <w:r>
              <w:rPr>
                <w:spacing w:val="-2"/>
                <w:sz w:val="20"/>
              </w:rPr>
              <w:t>meñique.</w:t>
            </w:r>
          </w:p>
        </w:tc>
        <w:tc>
          <w:tcPr>
            <w:tcW w:w="1447" w:type="dxa"/>
          </w:tcPr>
          <w:p>
            <w:pPr>
              <w:pStyle w:val="TableParagraph"/>
              <w:ind w:left="10"/>
              <w:rPr>
                <w:sz w:val="20"/>
              </w:rPr>
            </w:pPr>
            <w:r>
              <w:rPr>
                <w:spacing w:val="-5"/>
                <w:sz w:val="20"/>
              </w:rPr>
              <w:t>2%</w:t>
            </w:r>
          </w:p>
        </w:tc>
      </w:tr>
    </w:tbl>
    <w:p>
      <w:pPr>
        <w:pStyle w:val="TableParagraph"/>
        <w:spacing w:after="0"/>
        <w:rPr>
          <w:sz w:val="20"/>
        </w:rPr>
        <w:sectPr>
          <w:pgSz w:w="12240" w:h="15840"/>
          <w:pgMar w:header="724" w:footer="712" w:top="1880" w:bottom="900" w:left="1080" w:right="1080"/>
        </w:sectPr>
      </w:pPr>
    </w:p>
    <w:p>
      <w:pPr>
        <w:pStyle w:val="BodyText"/>
        <w:rPr>
          <w:rFonts w:ascii="Arial"/>
          <w:b/>
        </w:rPr>
      </w:pPr>
    </w:p>
    <w:p>
      <w:pPr>
        <w:pStyle w:val="BodyText"/>
        <w:spacing w:before="63"/>
        <w:rPr>
          <w:rFonts w:ascii="Arial"/>
          <w:b/>
        </w:rPr>
      </w:pPr>
    </w:p>
    <w:p>
      <w:pPr>
        <w:spacing w:before="0"/>
        <w:ind w:left="296" w:right="296" w:firstLine="0"/>
        <w:jc w:val="center"/>
        <w:rPr>
          <w:rFonts w:ascii="Arial"/>
          <w:b/>
          <w:sz w:val="20"/>
        </w:rPr>
      </w:pPr>
      <w:r>
        <w:rPr>
          <w:rFonts w:ascii="Arial"/>
          <w:b/>
          <w:spacing w:val="-2"/>
          <w:sz w:val="20"/>
        </w:rPr>
        <w:t>Anquilosis</w:t>
      </w:r>
    </w:p>
    <w:p>
      <w:pPr>
        <w:pStyle w:val="BodyText"/>
        <w:spacing w:before="1"/>
        <w:rPr>
          <w:rFonts w:ascii="Arial"/>
          <w:b/>
        </w:rPr>
      </w:pPr>
    </w:p>
    <w:p>
      <w:pPr>
        <w:spacing w:before="0"/>
        <w:ind w:left="296" w:right="296" w:firstLine="0"/>
        <w:jc w:val="center"/>
        <w:rPr>
          <w:rFonts w:ascii="Arial" w:hAnsi="Arial"/>
          <w:b/>
          <w:sz w:val="20"/>
        </w:rPr>
      </w:pPr>
      <w:r>
        <w:rPr>
          <w:rFonts w:ascii="Arial" w:hAnsi="Arial"/>
          <w:b/>
          <w:sz w:val="20"/>
        </w:rPr>
        <w:t>Pérdida</w:t>
      </w:r>
      <w:r>
        <w:rPr>
          <w:rFonts w:ascii="Arial" w:hAnsi="Arial"/>
          <w:b/>
          <w:spacing w:val="-7"/>
          <w:sz w:val="20"/>
        </w:rPr>
        <w:t> </w:t>
      </w:r>
      <w:r>
        <w:rPr>
          <w:rFonts w:ascii="Arial" w:hAnsi="Arial"/>
          <w:b/>
          <w:sz w:val="20"/>
        </w:rPr>
        <w:t>completa</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movilidad</w:t>
      </w:r>
      <w:r>
        <w:rPr>
          <w:rFonts w:ascii="Arial" w:hAnsi="Arial"/>
          <w:b/>
          <w:spacing w:val="-7"/>
          <w:sz w:val="20"/>
        </w:rPr>
        <w:t> </w:t>
      </w:r>
      <w:r>
        <w:rPr>
          <w:rFonts w:ascii="Arial" w:hAnsi="Arial"/>
          <w:b/>
          <w:spacing w:val="-2"/>
          <w:sz w:val="20"/>
        </w:rPr>
        <w:t>articular</w:t>
      </w:r>
    </w:p>
    <w:p>
      <w:pPr>
        <w:pStyle w:val="BodyText"/>
        <w:spacing w:before="4"/>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2"/>
        <w:gridCol w:w="7060"/>
        <w:gridCol w:w="1457"/>
      </w:tblGrid>
      <w:tr>
        <w:trPr>
          <w:trHeight w:val="229" w:hRule="atLeast"/>
        </w:trPr>
        <w:tc>
          <w:tcPr>
            <w:tcW w:w="1032" w:type="dxa"/>
          </w:tcPr>
          <w:p>
            <w:pPr>
              <w:pStyle w:val="TableParagraph"/>
              <w:ind w:left="9"/>
              <w:rPr>
                <w:sz w:val="20"/>
              </w:rPr>
            </w:pPr>
            <w:r>
              <w:rPr>
                <w:spacing w:val="-5"/>
                <w:sz w:val="20"/>
              </w:rPr>
              <w:t>45</w:t>
            </w:r>
          </w:p>
        </w:tc>
        <w:tc>
          <w:tcPr>
            <w:tcW w:w="7060" w:type="dxa"/>
          </w:tcPr>
          <w:p>
            <w:pPr>
              <w:pStyle w:val="TableParagraph"/>
              <w:jc w:val="left"/>
              <w:rPr>
                <w:sz w:val="20"/>
              </w:rPr>
            </w:pPr>
            <w:r>
              <w:rPr>
                <w:sz w:val="20"/>
              </w:rPr>
              <w:t>Completa</w:t>
            </w:r>
            <w:r>
              <w:rPr>
                <w:spacing w:val="-9"/>
                <w:sz w:val="20"/>
              </w:rPr>
              <w:t> </w:t>
            </w:r>
            <w:r>
              <w:rPr>
                <w:sz w:val="20"/>
              </w:rPr>
              <w:t>del</w:t>
            </w:r>
            <w:r>
              <w:rPr>
                <w:spacing w:val="-7"/>
                <w:sz w:val="20"/>
              </w:rPr>
              <w:t> </w:t>
            </w:r>
            <w:r>
              <w:rPr>
                <w:sz w:val="20"/>
              </w:rPr>
              <w:t>hombro</w:t>
            </w:r>
            <w:r>
              <w:rPr>
                <w:spacing w:val="-7"/>
                <w:sz w:val="20"/>
              </w:rPr>
              <w:t> </w:t>
            </w:r>
            <w:r>
              <w:rPr>
                <w:sz w:val="20"/>
              </w:rPr>
              <w:t>con</w:t>
            </w:r>
            <w:r>
              <w:rPr>
                <w:spacing w:val="-9"/>
                <w:sz w:val="20"/>
              </w:rPr>
              <w:t> </w:t>
            </w:r>
            <w:r>
              <w:rPr>
                <w:sz w:val="20"/>
              </w:rPr>
              <w:t>movilidad</w:t>
            </w:r>
            <w:r>
              <w:rPr>
                <w:spacing w:val="-6"/>
                <w:sz w:val="20"/>
              </w:rPr>
              <w:t> </w:t>
            </w:r>
            <w:r>
              <w:rPr>
                <w:sz w:val="20"/>
              </w:rPr>
              <w:t>del</w:t>
            </w:r>
            <w:r>
              <w:rPr>
                <w:spacing w:val="-7"/>
                <w:sz w:val="20"/>
              </w:rPr>
              <w:t> </w:t>
            </w:r>
            <w:r>
              <w:rPr>
                <w:spacing w:val="-2"/>
                <w:sz w:val="20"/>
              </w:rPr>
              <w:t>omóplato.</w:t>
            </w:r>
          </w:p>
        </w:tc>
        <w:tc>
          <w:tcPr>
            <w:tcW w:w="1457" w:type="dxa"/>
          </w:tcPr>
          <w:p>
            <w:pPr>
              <w:pStyle w:val="TableParagraph"/>
              <w:ind w:left="11" w:right="1"/>
              <w:rPr>
                <w:sz w:val="20"/>
              </w:rPr>
            </w:pPr>
            <w:r>
              <w:rPr>
                <w:spacing w:val="-5"/>
                <w:sz w:val="20"/>
              </w:rPr>
              <w:t>40%</w:t>
            </w:r>
          </w:p>
        </w:tc>
      </w:tr>
      <w:tr>
        <w:trPr>
          <w:trHeight w:val="229" w:hRule="atLeast"/>
        </w:trPr>
        <w:tc>
          <w:tcPr>
            <w:tcW w:w="1032" w:type="dxa"/>
          </w:tcPr>
          <w:p>
            <w:pPr>
              <w:pStyle w:val="TableParagraph"/>
              <w:ind w:left="9"/>
              <w:rPr>
                <w:sz w:val="20"/>
              </w:rPr>
            </w:pPr>
            <w:r>
              <w:rPr>
                <w:spacing w:val="-5"/>
                <w:sz w:val="20"/>
              </w:rPr>
              <w:t>46</w:t>
            </w:r>
          </w:p>
        </w:tc>
        <w:tc>
          <w:tcPr>
            <w:tcW w:w="7060" w:type="dxa"/>
          </w:tcPr>
          <w:p>
            <w:pPr>
              <w:pStyle w:val="TableParagraph"/>
              <w:jc w:val="left"/>
              <w:rPr>
                <w:sz w:val="20"/>
              </w:rPr>
            </w:pPr>
            <w:r>
              <w:rPr>
                <w:sz w:val="20"/>
              </w:rPr>
              <w:t>Completa</w:t>
            </w:r>
            <w:r>
              <w:rPr>
                <w:spacing w:val="-8"/>
                <w:sz w:val="20"/>
              </w:rPr>
              <w:t> </w:t>
            </w:r>
            <w:r>
              <w:rPr>
                <w:sz w:val="20"/>
              </w:rPr>
              <w:t>del</w:t>
            </w:r>
            <w:r>
              <w:rPr>
                <w:spacing w:val="-7"/>
                <w:sz w:val="20"/>
              </w:rPr>
              <w:t> </w:t>
            </w:r>
            <w:r>
              <w:rPr>
                <w:sz w:val="20"/>
              </w:rPr>
              <w:t>hombro</w:t>
            </w:r>
            <w:r>
              <w:rPr>
                <w:spacing w:val="-7"/>
                <w:sz w:val="20"/>
              </w:rPr>
              <w:t> </w:t>
            </w:r>
            <w:r>
              <w:rPr>
                <w:sz w:val="20"/>
              </w:rPr>
              <w:t>con</w:t>
            </w:r>
            <w:r>
              <w:rPr>
                <w:spacing w:val="-7"/>
                <w:sz w:val="20"/>
              </w:rPr>
              <w:t> </w:t>
            </w:r>
            <w:r>
              <w:rPr>
                <w:sz w:val="20"/>
              </w:rPr>
              <w:t>fijación</w:t>
            </w:r>
            <w:r>
              <w:rPr>
                <w:spacing w:val="-8"/>
                <w:sz w:val="20"/>
              </w:rPr>
              <w:t> </w:t>
            </w:r>
            <w:r>
              <w:rPr>
                <w:sz w:val="20"/>
              </w:rPr>
              <w:t>e</w:t>
            </w:r>
            <w:r>
              <w:rPr>
                <w:spacing w:val="-6"/>
                <w:sz w:val="20"/>
              </w:rPr>
              <w:t> </w:t>
            </w:r>
            <w:r>
              <w:rPr>
                <w:sz w:val="20"/>
              </w:rPr>
              <w:t>inmovilidad</w:t>
            </w:r>
            <w:r>
              <w:rPr>
                <w:spacing w:val="-5"/>
                <w:sz w:val="20"/>
              </w:rPr>
              <w:t> </w:t>
            </w:r>
            <w:r>
              <w:rPr>
                <w:sz w:val="20"/>
              </w:rPr>
              <w:t>del</w:t>
            </w:r>
            <w:r>
              <w:rPr>
                <w:spacing w:val="-8"/>
                <w:sz w:val="20"/>
              </w:rPr>
              <w:t> </w:t>
            </w:r>
            <w:r>
              <w:rPr>
                <w:spacing w:val="-2"/>
                <w:sz w:val="20"/>
              </w:rPr>
              <w:t>omóplato.</w:t>
            </w:r>
          </w:p>
        </w:tc>
        <w:tc>
          <w:tcPr>
            <w:tcW w:w="1457" w:type="dxa"/>
          </w:tcPr>
          <w:p>
            <w:pPr>
              <w:pStyle w:val="TableParagraph"/>
              <w:ind w:left="11" w:right="1"/>
              <w:rPr>
                <w:sz w:val="20"/>
              </w:rPr>
            </w:pPr>
            <w:r>
              <w:rPr>
                <w:spacing w:val="-5"/>
                <w:sz w:val="20"/>
              </w:rPr>
              <w:t>55%</w:t>
            </w:r>
          </w:p>
        </w:tc>
      </w:tr>
      <w:tr>
        <w:trPr>
          <w:trHeight w:val="229" w:hRule="atLeast"/>
        </w:trPr>
        <w:tc>
          <w:tcPr>
            <w:tcW w:w="1032" w:type="dxa"/>
          </w:tcPr>
          <w:p>
            <w:pPr>
              <w:pStyle w:val="TableParagraph"/>
              <w:ind w:left="9"/>
              <w:rPr>
                <w:sz w:val="20"/>
              </w:rPr>
            </w:pPr>
            <w:r>
              <w:rPr>
                <w:spacing w:val="-5"/>
                <w:sz w:val="20"/>
              </w:rPr>
              <w:t>47</w:t>
            </w:r>
          </w:p>
        </w:tc>
        <w:tc>
          <w:tcPr>
            <w:tcW w:w="7060" w:type="dxa"/>
          </w:tcPr>
          <w:p>
            <w:pPr>
              <w:pStyle w:val="TableParagraph"/>
              <w:jc w:val="left"/>
              <w:rPr>
                <w:sz w:val="20"/>
              </w:rPr>
            </w:pPr>
            <w:r>
              <w:rPr>
                <w:sz w:val="20"/>
              </w:rPr>
              <w:t>Completa</w:t>
            </w:r>
            <w:r>
              <w:rPr>
                <w:spacing w:val="-7"/>
                <w:sz w:val="20"/>
              </w:rPr>
              <w:t> </w:t>
            </w:r>
            <w:r>
              <w:rPr>
                <w:sz w:val="20"/>
              </w:rPr>
              <w:t>del</w:t>
            </w:r>
            <w:r>
              <w:rPr>
                <w:spacing w:val="-6"/>
                <w:sz w:val="20"/>
              </w:rPr>
              <w:t> </w:t>
            </w:r>
            <w:r>
              <w:rPr>
                <w:sz w:val="20"/>
              </w:rPr>
              <w:t>codo</w:t>
            </w:r>
            <w:r>
              <w:rPr>
                <w:spacing w:val="-6"/>
                <w:sz w:val="20"/>
              </w:rPr>
              <w:t> </w:t>
            </w:r>
            <w:r>
              <w:rPr>
                <w:sz w:val="20"/>
              </w:rPr>
              <w:t>en</w:t>
            </w:r>
            <w:r>
              <w:rPr>
                <w:spacing w:val="-5"/>
                <w:sz w:val="20"/>
              </w:rPr>
              <w:t> </w:t>
            </w:r>
            <w:r>
              <w:rPr>
                <w:sz w:val="20"/>
              </w:rPr>
              <w:t>posición</w:t>
            </w:r>
            <w:r>
              <w:rPr>
                <w:spacing w:val="-6"/>
                <w:sz w:val="20"/>
              </w:rPr>
              <w:t> </w:t>
            </w:r>
            <w:r>
              <w:rPr>
                <w:sz w:val="20"/>
              </w:rPr>
              <w:t>de</w:t>
            </w:r>
            <w:r>
              <w:rPr>
                <w:spacing w:val="-5"/>
                <w:sz w:val="20"/>
              </w:rPr>
              <w:t> </w:t>
            </w:r>
            <w:r>
              <w:rPr>
                <w:sz w:val="20"/>
              </w:rPr>
              <w:t>flexión</w:t>
            </w:r>
            <w:r>
              <w:rPr>
                <w:spacing w:val="-5"/>
                <w:sz w:val="20"/>
              </w:rPr>
              <w:t> </w:t>
            </w:r>
            <w:r>
              <w:rPr>
                <w:sz w:val="20"/>
              </w:rPr>
              <w:t>entre</w:t>
            </w:r>
            <w:r>
              <w:rPr>
                <w:spacing w:val="-5"/>
                <w:sz w:val="20"/>
              </w:rPr>
              <w:t> </w:t>
            </w:r>
            <w:r>
              <w:rPr>
                <w:sz w:val="20"/>
              </w:rPr>
              <w:t>75</w:t>
            </w:r>
            <w:r>
              <w:rPr>
                <w:spacing w:val="-2"/>
                <w:sz w:val="20"/>
              </w:rPr>
              <w:t> </w:t>
            </w:r>
            <w:r>
              <w:rPr>
                <w:sz w:val="20"/>
              </w:rPr>
              <w:t>y</w:t>
            </w:r>
            <w:r>
              <w:rPr>
                <w:spacing w:val="-8"/>
                <w:sz w:val="20"/>
              </w:rPr>
              <w:t> </w:t>
            </w:r>
            <w:r>
              <w:rPr>
                <w:sz w:val="20"/>
              </w:rPr>
              <w:t>140</w:t>
            </w:r>
            <w:r>
              <w:rPr>
                <w:spacing w:val="-5"/>
                <w:sz w:val="20"/>
              </w:rPr>
              <w:t> </w:t>
            </w:r>
            <w:r>
              <w:rPr>
                <w:spacing w:val="-2"/>
                <w:sz w:val="20"/>
              </w:rPr>
              <w:t>grados.</w:t>
            </w:r>
          </w:p>
        </w:tc>
        <w:tc>
          <w:tcPr>
            <w:tcW w:w="1457" w:type="dxa"/>
          </w:tcPr>
          <w:p>
            <w:pPr>
              <w:pStyle w:val="TableParagraph"/>
              <w:ind w:left="11" w:right="1"/>
              <w:rPr>
                <w:sz w:val="20"/>
              </w:rPr>
            </w:pPr>
            <w:r>
              <w:rPr>
                <w:spacing w:val="-5"/>
                <w:sz w:val="20"/>
              </w:rPr>
              <w:t>35%</w:t>
            </w:r>
          </w:p>
        </w:tc>
      </w:tr>
      <w:tr>
        <w:trPr>
          <w:trHeight w:val="229" w:hRule="atLeast"/>
        </w:trPr>
        <w:tc>
          <w:tcPr>
            <w:tcW w:w="1032" w:type="dxa"/>
          </w:tcPr>
          <w:p>
            <w:pPr>
              <w:pStyle w:val="TableParagraph"/>
              <w:ind w:left="9"/>
              <w:rPr>
                <w:sz w:val="20"/>
              </w:rPr>
            </w:pPr>
            <w:r>
              <w:rPr>
                <w:spacing w:val="-5"/>
                <w:sz w:val="20"/>
              </w:rPr>
              <w:t>48</w:t>
            </w:r>
          </w:p>
        </w:tc>
        <w:tc>
          <w:tcPr>
            <w:tcW w:w="7060" w:type="dxa"/>
          </w:tcPr>
          <w:p>
            <w:pPr>
              <w:pStyle w:val="TableParagraph"/>
              <w:jc w:val="left"/>
              <w:rPr>
                <w:sz w:val="20"/>
              </w:rPr>
            </w:pPr>
            <w:r>
              <w:rPr>
                <w:sz w:val="20"/>
              </w:rPr>
              <w:t>Completa</w:t>
            </w:r>
            <w:r>
              <w:rPr>
                <w:spacing w:val="-7"/>
                <w:sz w:val="20"/>
              </w:rPr>
              <w:t> </w:t>
            </w:r>
            <w:r>
              <w:rPr>
                <w:sz w:val="20"/>
              </w:rPr>
              <w:t>del</w:t>
            </w:r>
            <w:r>
              <w:rPr>
                <w:spacing w:val="-6"/>
                <w:sz w:val="20"/>
              </w:rPr>
              <w:t> </w:t>
            </w:r>
            <w:r>
              <w:rPr>
                <w:sz w:val="20"/>
              </w:rPr>
              <w:t>codo</w:t>
            </w:r>
            <w:r>
              <w:rPr>
                <w:spacing w:val="-6"/>
                <w:sz w:val="20"/>
              </w:rPr>
              <w:t> </w:t>
            </w:r>
            <w:r>
              <w:rPr>
                <w:sz w:val="20"/>
              </w:rPr>
              <w:t>en</w:t>
            </w:r>
            <w:r>
              <w:rPr>
                <w:spacing w:val="-5"/>
                <w:sz w:val="20"/>
              </w:rPr>
              <w:t> </w:t>
            </w:r>
            <w:r>
              <w:rPr>
                <w:sz w:val="20"/>
              </w:rPr>
              <w:t>posición</w:t>
            </w:r>
            <w:r>
              <w:rPr>
                <w:spacing w:val="-6"/>
                <w:sz w:val="20"/>
              </w:rPr>
              <w:t> </w:t>
            </w:r>
            <w:r>
              <w:rPr>
                <w:sz w:val="20"/>
              </w:rPr>
              <w:t>de</w:t>
            </w:r>
            <w:r>
              <w:rPr>
                <w:spacing w:val="-6"/>
                <w:sz w:val="20"/>
              </w:rPr>
              <w:t> </w:t>
            </w:r>
            <w:r>
              <w:rPr>
                <w:sz w:val="20"/>
              </w:rPr>
              <w:t>flexión</w:t>
            </w:r>
            <w:r>
              <w:rPr>
                <w:spacing w:val="-5"/>
                <w:sz w:val="20"/>
              </w:rPr>
              <w:t> </w:t>
            </w:r>
            <w:r>
              <w:rPr>
                <w:sz w:val="20"/>
              </w:rPr>
              <w:t>menor</w:t>
            </w:r>
            <w:r>
              <w:rPr>
                <w:spacing w:val="-5"/>
                <w:sz w:val="20"/>
              </w:rPr>
              <w:t> </w:t>
            </w:r>
            <w:r>
              <w:rPr>
                <w:sz w:val="20"/>
              </w:rPr>
              <w:t>de</w:t>
            </w:r>
            <w:r>
              <w:rPr>
                <w:spacing w:val="-4"/>
                <w:sz w:val="20"/>
              </w:rPr>
              <w:t> </w:t>
            </w:r>
            <w:r>
              <w:rPr>
                <w:sz w:val="20"/>
              </w:rPr>
              <w:t>75</w:t>
            </w:r>
            <w:r>
              <w:rPr>
                <w:spacing w:val="-5"/>
                <w:sz w:val="20"/>
              </w:rPr>
              <w:t> </w:t>
            </w:r>
            <w:r>
              <w:rPr>
                <w:spacing w:val="-2"/>
                <w:sz w:val="20"/>
              </w:rPr>
              <w:t>grados.</w:t>
            </w:r>
          </w:p>
        </w:tc>
        <w:tc>
          <w:tcPr>
            <w:tcW w:w="1457" w:type="dxa"/>
          </w:tcPr>
          <w:p>
            <w:pPr>
              <w:pStyle w:val="TableParagraph"/>
              <w:ind w:left="11" w:right="1"/>
              <w:rPr>
                <w:sz w:val="20"/>
              </w:rPr>
            </w:pPr>
            <w:r>
              <w:rPr>
                <w:spacing w:val="-5"/>
                <w:sz w:val="20"/>
              </w:rPr>
              <w:t>50%</w:t>
            </w:r>
          </w:p>
        </w:tc>
      </w:tr>
      <w:tr>
        <w:trPr>
          <w:trHeight w:val="229" w:hRule="atLeast"/>
        </w:trPr>
        <w:tc>
          <w:tcPr>
            <w:tcW w:w="1032" w:type="dxa"/>
          </w:tcPr>
          <w:p>
            <w:pPr>
              <w:pStyle w:val="TableParagraph"/>
              <w:ind w:left="9"/>
              <w:rPr>
                <w:sz w:val="20"/>
              </w:rPr>
            </w:pPr>
            <w:r>
              <w:rPr>
                <w:spacing w:val="-5"/>
                <w:sz w:val="20"/>
              </w:rPr>
              <w:t>49</w:t>
            </w:r>
          </w:p>
        </w:tc>
        <w:tc>
          <w:tcPr>
            <w:tcW w:w="7060" w:type="dxa"/>
          </w:tcPr>
          <w:p>
            <w:pPr>
              <w:pStyle w:val="TableParagraph"/>
              <w:jc w:val="left"/>
              <w:rPr>
                <w:sz w:val="20"/>
              </w:rPr>
            </w:pPr>
            <w:r>
              <w:rPr>
                <w:sz w:val="20"/>
              </w:rPr>
              <w:t>De</w:t>
            </w:r>
            <w:r>
              <w:rPr>
                <w:spacing w:val="-7"/>
                <w:sz w:val="20"/>
              </w:rPr>
              <w:t> </w:t>
            </w:r>
            <w:r>
              <w:rPr>
                <w:sz w:val="20"/>
              </w:rPr>
              <w:t>torsión,</w:t>
            </w:r>
            <w:r>
              <w:rPr>
                <w:spacing w:val="-6"/>
                <w:sz w:val="20"/>
              </w:rPr>
              <w:t> </w:t>
            </w:r>
            <w:r>
              <w:rPr>
                <w:sz w:val="20"/>
              </w:rPr>
              <w:t>con</w:t>
            </w:r>
            <w:r>
              <w:rPr>
                <w:spacing w:val="-7"/>
                <w:sz w:val="20"/>
              </w:rPr>
              <w:t> </w:t>
            </w:r>
            <w:r>
              <w:rPr>
                <w:sz w:val="20"/>
              </w:rPr>
              <w:t>supresión</w:t>
            </w:r>
            <w:r>
              <w:rPr>
                <w:spacing w:val="-5"/>
                <w:sz w:val="20"/>
              </w:rPr>
              <w:t> </w:t>
            </w:r>
            <w:r>
              <w:rPr>
                <w:sz w:val="20"/>
              </w:rPr>
              <w:t>de</w:t>
            </w:r>
            <w:r>
              <w:rPr>
                <w:spacing w:val="-6"/>
                <w:sz w:val="20"/>
              </w:rPr>
              <w:t> </w:t>
            </w:r>
            <w:r>
              <w:rPr>
                <w:sz w:val="20"/>
              </w:rPr>
              <w:t>los</w:t>
            </w:r>
            <w:r>
              <w:rPr>
                <w:spacing w:val="-6"/>
                <w:sz w:val="20"/>
              </w:rPr>
              <w:t> </w:t>
            </w:r>
            <w:r>
              <w:rPr>
                <w:sz w:val="20"/>
              </w:rPr>
              <w:t>movimientos</w:t>
            </w:r>
            <w:r>
              <w:rPr>
                <w:spacing w:val="-5"/>
                <w:sz w:val="20"/>
              </w:rPr>
              <w:t> </w:t>
            </w:r>
            <w:r>
              <w:rPr>
                <w:sz w:val="20"/>
              </w:rPr>
              <w:t>de</w:t>
            </w:r>
            <w:r>
              <w:rPr>
                <w:spacing w:val="-7"/>
                <w:sz w:val="20"/>
              </w:rPr>
              <w:t> </w:t>
            </w:r>
            <w:r>
              <w:rPr>
                <w:sz w:val="20"/>
              </w:rPr>
              <w:t>pronación</w:t>
            </w:r>
            <w:r>
              <w:rPr>
                <w:spacing w:val="-2"/>
                <w:sz w:val="20"/>
              </w:rPr>
              <w:t> </w:t>
            </w:r>
            <w:r>
              <w:rPr>
                <w:sz w:val="20"/>
              </w:rPr>
              <w:t>y</w:t>
            </w:r>
            <w:r>
              <w:rPr>
                <w:spacing w:val="-10"/>
                <w:sz w:val="20"/>
              </w:rPr>
              <w:t> </w:t>
            </w:r>
            <w:r>
              <w:rPr>
                <w:spacing w:val="-2"/>
                <w:sz w:val="20"/>
              </w:rPr>
              <w:t>supinación.</w:t>
            </w:r>
          </w:p>
        </w:tc>
        <w:tc>
          <w:tcPr>
            <w:tcW w:w="1457" w:type="dxa"/>
          </w:tcPr>
          <w:p>
            <w:pPr>
              <w:pStyle w:val="TableParagraph"/>
              <w:ind w:left="11" w:right="1"/>
              <w:rPr>
                <w:sz w:val="20"/>
              </w:rPr>
            </w:pPr>
            <w:r>
              <w:rPr>
                <w:spacing w:val="-5"/>
                <w:sz w:val="20"/>
              </w:rPr>
              <w:t>25%</w:t>
            </w:r>
          </w:p>
        </w:tc>
      </w:tr>
      <w:tr>
        <w:trPr>
          <w:trHeight w:val="229" w:hRule="atLeast"/>
        </w:trPr>
        <w:tc>
          <w:tcPr>
            <w:tcW w:w="1032" w:type="dxa"/>
          </w:tcPr>
          <w:p>
            <w:pPr>
              <w:pStyle w:val="TableParagraph"/>
              <w:ind w:left="9"/>
              <w:rPr>
                <w:sz w:val="20"/>
              </w:rPr>
            </w:pPr>
            <w:r>
              <w:rPr>
                <w:spacing w:val="-5"/>
                <w:sz w:val="20"/>
              </w:rPr>
              <w:t>50</w:t>
            </w:r>
          </w:p>
        </w:tc>
        <w:tc>
          <w:tcPr>
            <w:tcW w:w="7060" w:type="dxa"/>
          </w:tcPr>
          <w:p>
            <w:pPr>
              <w:pStyle w:val="TableParagraph"/>
              <w:jc w:val="left"/>
              <w:rPr>
                <w:sz w:val="20"/>
              </w:rPr>
            </w:pPr>
            <w:r>
              <w:rPr>
                <w:sz w:val="20"/>
              </w:rPr>
              <w:t>Completa</w:t>
            </w:r>
            <w:r>
              <w:rPr>
                <w:spacing w:val="-7"/>
                <w:sz w:val="20"/>
              </w:rPr>
              <w:t> </w:t>
            </w:r>
            <w:r>
              <w:rPr>
                <w:sz w:val="20"/>
              </w:rPr>
              <w:t>de</w:t>
            </w:r>
            <w:r>
              <w:rPr>
                <w:spacing w:val="-5"/>
                <w:sz w:val="20"/>
              </w:rPr>
              <w:t> </w:t>
            </w:r>
            <w:r>
              <w:rPr>
                <w:sz w:val="20"/>
              </w:rPr>
              <w:t>la</w:t>
            </w:r>
            <w:r>
              <w:rPr>
                <w:spacing w:val="-5"/>
                <w:sz w:val="20"/>
              </w:rPr>
              <w:t> </w:t>
            </w:r>
            <w:r>
              <w:rPr>
                <w:sz w:val="20"/>
              </w:rPr>
              <w:t>muñeca</w:t>
            </w:r>
            <w:r>
              <w:rPr>
                <w:spacing w:val="-6"/>
                <w:sz w:val="20"/>
              </w:rPr>
              <w:t> </w:t>
            </w:r>
            <w:r>
              <w:rPr>
                <w:sz w:val="20"/>
              </w:rPr>
              <w:t>en</w:t>
            </w:r>
            <w:r>
              <w:rPr>
                <w:spacing w:val="-3"/>
                <w:sz w:val="20"/>
              </w:rPr>
              <w:t> </w:t>
            </w:r>
            <w:r>
              <w:rPr>
                <w:spacing w:val="-2"/>
                <w:sz w:val="20"/>
              </w:rPr>
              <w:t>extensión.</w:t>
            </w:r>
          </w:p>
        </w:tc>
        <w:tc>
          <w:tcPr>
            <w:tcW w:w="1457" w:type="dxa"/>
          </w:tcPr>
          <w:p>
            <w:pPr>
              <w:pStyle w:val="TableParagraph"/>
              <w:ind w:left="11" w:right="1"/>
              <w:rPr>
                <w:sz w:val="20"/>
              </w:rPr>
            </w:pPr>
            <w:r>
              <w:rPr>
                <w:spacing w:val="-5"/>
                <w:sz w:val="20"/>
              </w:rPr>
              <w:t>60%</w:t>
            </w:r>
          </w:p>
        </w:tc>
      </w:tr>
      <w:tr>
        <w:trPr>
          <w:trHeight w:val="229" w:hRule="atLeast"/>
        </w:trPr>
        <w:tc>
          <w:tcPr>
            <w:tcW w:w="1032" w:type="dxa"/>
          </w:tcPr>
          <w:p>
            <w:pPr>
              <w:pStyle w:val="TableParagraph"/>
              <w:ind w:left="9"/>
              <w:rPr>
                <w:sz w:val="20"/>
              </w:rPr>
            </w:pPr>
            <w:r>
              <w:rPr>
                <w:spacing w:val="-5"/>
                <w:sz w:val="20"/>
              </w:rPr>
              <w:t>51</w:t>
            </w:r>
          </w:p>
        </w:tc>
        <w:tc>
          <w:tcPr>
            <w:tcW w:w="7060" w:type="dxa"/>
          </w:tcPr>
          <w:p>
            <w:pPr>
              <w:pStyle w:val="TableParagraph"/>
              <w:jc w:val="left"/>
              <w:rPr>
                <w:sz w:val="20"/>
              </w:rPr>
            </w:pPr>
            <w:r>
              <w:rPr>
                <w:sz w:val="20"/>
              </w:rPr>
              <w:t>Completa</w:t>
            </w:r>
            <w:r>
              <w:rPr>
                <w:spacing w:val="-7"/>
                <w:sz w:val="20"/>
              </w:rPr>
              <w:t> </w:t>
            </w:r>
            <w:r>
              <w:rPr>
                <w:sz w:val="20"/>
              </w:rPr>
              <w:t>de</w:t>
            </w:r>
            <w:r>
              <w:rPr>
                <w:spacing w:val="-5"/>
                <w:sz w:val="20"/>
              </w:rPr>
              <w:t> </w:t>
            </w:r>
            <w:r>
              <w:rPr>
                <w:sz w:val="20"/>
              </w:rPr>
              <w:t>la</w:t>
            </w:r>
            <w:r>
              <w:rPr>
                <w:spacing w:val="-5"/>
                <w:sz w:val="20"/>
              </w:rPr>
              <w:t> </w:t>
            </w:r>
            <w:r>
              <w:rPr>
                <w:sz w:val="20"/>
              </w:rPr>
              <w:t>muñeca</w:t>
            </w:r>
            <w:r>
              <w:rPr>
                <w:spacing w:val="-6"/>
                <w:sz w:val="20"/>
              </w:rPr>
              <w:t> </w:t>
            </w:r>
            <w:r>
              <w:rPr>
                <w:sz w:val="20"/>
              </w:rPr>
              <w:t>en</w:t>
            </w:r>
            <w:r>
              <w:rPr>
                <w:spacing w:val="-3"/>
                <w:sz w:val="20"/>
              </w:rPr>
              <w:t> </w:t>
            </w:r>
            <w:r>
              <w:rPr>
                <w:spacing w:val="-2"/>
                <w:sz w:val="20"/>
              </w:rPr>
              <w:t>flexión.</w:t>
            </w:r>
          </w:p>
        </w:tc>
        <w:tc>
          <w:tcPr>
            <w:tcW w:w="1457" w:type="dxa"/>
          </w:tcPr>
          <w:p>
            <w:pPr>
              <w:pStyle w:val="TableParagraph"/>
              <w:ind w:left="11" w:right="1"/>
              <w:rPr>
                <w:sz w:val="20"/>
              </w:rPr>
            </w:pPr>
            <w:r>
              <w:rPr>
                <w:spacing w:val="-5"/>
                <w:sz w:val="20"/>
              </w:rPr>
              <w:t>45%</w:t>
            </w:r>
          </w:p>
        </w:tc>
      </w:tr>
      <w:tr>
        <w:trPr>
          <w:trHeight w:val="460" w:hRule="atLeast"/>
        </w:trPr>
        <w:tc>
          <w:tcPr>
            <w:tcW w:w="1032" w:type="dxa"/>
          </w:tcPr>
          <w:p>
            <w:pPr>
              <w:pStyle w:val="TableParagraph"/>
              <w:spacing w:line="240" w:lineRule="auto" w:before="115"/>
              <w:ind w:left="9"/>
              <w:rPr>
                <w:sz w:val="20"/>
              </w:rPr>
            </w:pPr>
            <w:r>
              <w:rPr>
                <w:spacing w:val="-5"/>
                <w:sz w:val="20"/>
              </w:rPr>
              <w:t>52</w:t>
            </w:r>
          </w:p>
        </w:tc>
        <w:tc>
          <w:tcPr>
            <w:tcW w:w="7060" w:type="dxa"/>
          </w:tcPr>
          <w:p>
            <w:pPr>
              <w:pStyle w:val="TableParagraph"/>
              <w:spacing w:line="230" w:lineRule="exact"/>
              <w:jc w:val="left"/>
              <w:rPr>
                <w:sz w:val="20"/>
              </w:rPr>
            </w:pPr>
            <w:r>
              <w:rPr>
                <w:sz w:val="20"/>
              </w:rPr>
              <w:t>Anquilosis</w:t>
            </w:r>
            <w:r>
              <w:rPr>
                <w:spacing w:val="35"/>
                <w:sz w:val="20"/>
              </w:rPr>
              <w:t> </w:t>
            </w:r>
            <w:r>
              <w:rPr>
                <w:sz w:val="20"/>
              </w:rPr>
              <w:t>de</w:t>
            </w:r>
            <w:r>
              <w:rPr>
                <w:spacing w:val="33"/>
                <w:sz w:val="20"/>
              </w:rPr>
              <w:t> </w:t>
            </w:r>
            <w:r>
              <w:rPr>
                <w:sz w:val="20"/>
              </w:rPr>
              <w:t>todas</w:t>
            </w:r>
            <w:r>
              <w:rPr>
                <w:spacing w:val="35"/>
                <w:sz w:val="20"/>
              </w:rPr>
              <w:t> </w:t>
            </w:r>
            <w:r>
              <w:rPr>
                <w:sz w:val="20"/>
              </w:rPr>
              <w:t>las</w:t>
            </w:r>
            <w:r>
              <w:rPr>
                <w:spacing w:val="34"/>
                <w:sz w:val="20"/>
              </w:rPr>
              <w:t> </w:t>
            </w:r>
            <w:r>
              <w:rPr>
                <w:sz w:val="20"/>
              </w:rPr>
              <w:t>articulaciones</w:t>
            </w:r>
            <w:r>
              <w:rPr>
                <w:spacing w:val="32"/>
                <w:sz w:val="20"/>
              </w:rPr>
              <w:t> </w:t>
            </w:r>
            <w:r>
              <w:rPr>
                <w:sz w:val="20"/>
              </w:rPr>
              <w:t>de</w:t>
            </w:r>
            <w:r>
              <w:rPr>
                <w:spacing w:val="33"/>
                <w:sz w:val="20"/>
              </w:rPr>
              <w:t> </w:t>
            </w:r>
            <w:r>
              <w:rPr>
                <w:sz w:val="20"/>
              </w:rPr>
              <w:t>los</w:t>
            </w:r>
            <w:r>
              <w:rPr>
                <w:spacing w:val="34"/>
                <w:sz w:val="20"/>
              </w:rPr>
              <w:t> </w:t>
            </w:r>
            <w:r>
              <w:rPr>
                <w:sz w:val="20"/>
              </w:rPr>
              <w:t>dedos</w:t>
            </w:r>
            <w:r>
              <w:rPr>
                <w:spacing w:val="34"/>
                <w:sz w:val="20"/>
              </w:rPr>
              <w:t> </w:t>
            </w:r>
            <w:r>
              <w:rPr>
                <w:sz w:val="20"/>
              </w:rPr>
              <w:t>de</w:t>
            </w:r>
            <w:r>
              <w:rPr>
                <w:spacing w:val="33"/>
                <w:sz w:val="20"/>
              </w:rPr>
              <w:t> </w:t>
            </w:r>
            <w:r>
              <w:rPr>
                <w:sz w:val="20"/>
              </w:rPr>
              <w:t>la</w:t>
            </w:r>
            <w:r>
              <w:rPr>
                <w:spacing w:val="33"/>
                <w:sz w:val="20"/>
              </w:rPr>
              <w:t> </w:t>
            </w:r>
            <w:r>
              <w:rPr>
                <w:sz w:val="20"/>
              </w:rPr>
              <w:t>mano</w:t>
            </w:r>
            <w:r>
              <w:rPr>
                <w:spacing w:val="31"/>
                <w:sz w:val="20"/>
              </w:rPr>
              <w:t> </w:t>
            </w:r>
            <w:r>
              <w:rPr>
                <w:sz w:val="20"/>
              </w:rPr>
              <w:t>en</w:t>
            </w:r>
            <w:r>
              <w:rPr>
                <w:spacing w:val="33"/>
                <w:sz w:val="20"/>
              </w:rPr>
              <w:t> </w:t>
            </w:r>
            <w:r>
              <w:rPr>
                <w:sz w:val="20"/>
              </w:rPr>
              <w:t>flexión (mano en garra) o extensión (mano extendida).</w:t>
            </w:r>
          </w:p>
        </w:tc>
        <w:tc>
          <w:tcPr>
            <w:tcW w:w="1457" w:type="dxa"/>
          </w:tcPr>
          <w:p>
            <w:pPr>
              <w:pStyle w:val="TableParagraph"/>
              <w:spacing w:line="240" w:lineRule="auto" w:before="115"/>
              <w:ind w:left="11" w:right="1"/>
              <w:rPr>
                <w:sz w:val="20"/>
              </w:rPr>
            </w:pPr>
            <w:r>
              <w:rPr>
                <w:spacing w:val="-5"/>
                <w:sz w:val="20"/>
              </w:rPr>
              <w:t>75%</w:t>
            </w:r>
          </w:p>
        </w:tc>
      </w:tr>
      <w:tr>
        <w:trPr>
          <w:trHeight w:val="229" w:hRule="atLeast"/>
        </w:trPr>
        <w:tc>
          <w:tcPr>
            <w:tcW w:w="1032" w:type="dxa"/>
          </w:tcPr>
          <w:p>
            <w:pPr>
              <w:pStyle w:val="TableParagraph"/>
              <w:ind w:left="9"/>
              <w:rPr>
                <w:sz w:val="20"/>
              </w:rPr>
            </w:pPr>
            <w:r>
              <w:rPr>
                <w:spacing w:val="-5"/>
                <w:sz w:val="20"/>
              </w:rPr>
              <w:t>53</w:t>
            </w:r>
          </w:p>
        </w:tc>
        <w:tc>
          <w:tcPr>
            <w:tcW w:w="7060" w:type="dxa"/>
          </w:tcPr>
          <w:p>
            <w:pPr>
              <w:pStyle w:val="TableParagraph"/>
              <w:jc w:val="left"/>
              <w:rPr>
                <w:sz w:val="20"/>
              </w:rPr>
            </w:pPr>
            <w:r>
              <w:rPr>
                <w:sz w:val="20"/>
              </w:rPr>
              <w:t>Carpo-metacarpiana</w:t>
            </w:r>
            <w:r>
              <w:rPr>
                <w:spacing w:val="-14"/>
                <w:sz w:val="20"/>
              </w:rPr>
              <w:t> </w:t>
            </w:r>
            <w:r>
              <w:rPr>
                <w:sz w:val="20"/>
              </w:rPr>
              <w:t>del</w:t>
            </w:r>
            <w:r>
              <w:rPr>
                <w:spacing w:val="-12"/>
                <w:sz w:val="20"/>
              </w:rPr>
              <w:t> </w:t>
            </w:r>
            <w:r>
              <w:rPr>
                <w:spacing w:val="-2"/>
                <w:sz w:val="20"/>
              </w:rPr>
              <w:t>pulgar.</w:t>
            </w:r>
          </w:p>
        </w:tc>
        <w:tc>
          <w:tcPr>
            <w:tcW w:w="1457" w:type="dxa"/>
          </w:tcPr>
          <w:p>
            <w:pPr>
              <w:pStyle w:val="TableParagraph"/>
              <w:ind w:left="11" w:right="1"/>
              <w:rPr>
                <w:sz w:val="20"/>
              </w:rPr>
            </w:pPr>
            <w:r>
              <w:rPr>
                <w:spacing w:val="-5"/>
                <w:sz w:val="20"/>
              </w:rPr>
              <w:t>20%</w:t>
            </w:r>
          </w:p>
        </w:tc>
      </w:tr>
      <w:tr>
        <w:trPr>
          <w:trHeight w:val="229" w:hRule="atLeast"/>
        </w:trPr>
        <w:tc>
          <w:tcPr>
            <w:tcW w:w="1032" w:type="dxa"/>
          </w:tcPr>
          <w:p>
            <w:pPr>
              <w:pStyle w:val="TableParagraph"/>
              <w:ind w:left="9"/>
              <w:rPr>
                <w:sz w:val="20"/>
              </w:rPr>
            </w:pPr>
            <w:r>
              <w:rPr>
                <w:spacing w:val="-5"/>
                <w:sz w:val="20"/>
              </w:rPr>
              <w:t>54</w:t>
            </w:r>
          </w:p>
        </w:tc>
        <w:tc>
          <w:tcPr>
            <w:tcW w:w="7060" w:type="dxa"/>
          </w:tcPr>
          <w:p>
            <w:pPr>
              <w:pStyle w:val="TableParagraph"/>
              <w:jc w:val="left"/>
              <w:rPr>
                <w:sz w:val="20"/>
              </w:rPr>
            </w:pPr>
            <w:r>
              <w:rPr>
                <w:sz w:val="20"/>
              </w:rPr>
              <w:t>Metacarpo-falángica</w:t>
            </w:r>
            <w:r>
              <w:rPr>
                <w:spacing w:val="-14"/>
                <w:sz w:val="20"/>
              </w:rPr>
              <w:t> </w:t>
            </w:r>
            <w:r>
              <w:rPr>
                <w:sz w:val="20"/>
              </w:rPr>
              <w:t>del</w:t>
            </w:r>
            <w:r>
              <w:rPr>
                <w:spacing w:val="-13"/>
                <w:sz w:val="20"/>
              </w:rPr>
              <w:t> </w:t>
            </w:r>
            <w:r>
              <w:rPr>
                <w:spacing w:val="-2"/>
                <w:sz w:val="20"/>
              </w:rPr>
              <w:t>pulgar.</w:t>
            </w:r>
          </w:p>
        </w:tc>
        <w:tc>
          <w:tcPr>
            <w:tcW w:w="1457" w:type="dxa"/>
          </w:tcPr>
          <w:p>
            <w:pPr>
              <w:pStyle w:val="TableParagraph"/>
              <w:ind w:left="11" w:right="1"/>
              <w:rPr>
                <w:sz w:val="20"/>
              </w:rPr>
            </w:pPr>
            <w:r>
              <w:rPr>
                <w:spacing w:val="-5"/>
                <w:sz w:val="20"/>
              </w:rPr>
              <w:t>12%</w:t>
            </w:r>
          </w:p>
        </w:tc>
      </w:tr>
      <w:tr>
        <w:trPr>
          <w:trHeight w:val="229" w:hRule="atLeast"/>
        </w:trPr>
        <w:tc>
          <w:tcPr>
            <w:tcW w:w="1032" w:type="dxa"/>
          </w:tcPr>
          <w:p>
            <w:pPr>
              <w:pStyle w:val="TableParagraph"/>
              <w:ind w:left="9"/>
              <w:rPr>
                <w:sz w:val="20"/>
              </w:rPr>
            </w:pPr>
            <w:r>
              <w:rPr>
                <w:spacing w:val="-5"/>
                <w:sz w:val="20"/>
              </w:rPr>
              <w:t>55</w:t>
            </w:r>
          </w:p>
        </w:tc>
        <w:tc>
          <w:tcPr>
            <w:tcW w:w="7060" w:type="dxa"/>
          </w:tcPr>
          <w:p>
            <w:pPr>
              <w:pStyle w:val="TableParagraph"/>
              <w:jc w:val="left"/>
              <w:rPr>
                <w:sz w:val="20"/>
              </w:rPr>
            </w:pPr>
            <w:r>
              <w:rPr>
                <w:sz w:val="20"/>
              </w:rPr>
              <w:t>Interfalángica</w:t>
            </w:r>
            <w:r>
              <w:rPr>
                <w:spacing w:val="-9"/>
                <w:sz w:val="20"/>
              </w:rPr>
              <w:t> </w:t>
            </w:r>
            <w:r>
              <w:rPr>
                <w:sz w:val="20"/>
              </w:rPr>
              <w:t>del</w:t>
            </w:r>
            <w:r>
              <w:rPr>
                <w:spacing w:val="-11"/>
                <w:sz w:val="20"/>
              </w:rPr>
              <w:t> </w:t>
            </w:r>
            <w:r>
              <w:rPr>
                <w:spacing w:val="-2"/>
                <w:sz w:val="20"/>
              </w:rPr>
              <w:t>pulgar.</w:t>
            </w:r>
          </w:p>
        </w:tc>
        <w:tc>
          <w:tcPr>
            <w:tcW w:w="1457" w:type="dxa"/>
          </w:tcPr>
          <w:p>
            <w:pPr>
              <w:pStyle w:val="TableParagraph"/>
              <w:ind w:left="11" w:right="1"/>
              <w:rPr>
                <w:sz w:val="20"/>
              </w:rPr>
            </w:pPr>
            <w:r>
              <w:rPr>
                <w:spacing w:val="-5"/>
                <w:sz w:val="20"/>
              </w:rPr>
              <w:t>6%</w:t>
            </w:r>
          </w:p>
        </w:tc>
      </w:tr>
      <w:tr>
        <w:trPr>
          <w:trHeight w:val="229" w:hRule="atLeast"/>
        </w:trPr>
        <w:tc>
          <w:tcPr>
            <w:tcW w:w="1032" w:type="dxa"/>
          </w:tcPr>
          <w:p>
            <w:pPr>
              <w:pStyle w:val="TableParagraph"/>
              <w:ind w:left="9"/>
              <w:rPr>
                <w:sz w:val="20"/>
              </w:rPr>
            </w:pPr>
            <w:r>
              <w:rPr>
                <w:spacing w:val="-5"/>
                <w:sz w:val="20"/>
              </w:rPr>
              <w:t>56</w:t>
            </w:r>
          </w:p>
        </w:tc>
        <w:tc>
          <w:tcPr>
            <w:tcW w:w="7060" w:type="dxa"/>
          </w:tcPr>
          <w:p>
            <w:pPr>
              <w:pStyle w:val="TableParagraph"/>
              <w:jc w:val="left"/>
              <w:rPr>
                <w:sz w:val="20"/>
              </w:rPr>
            </w:pPr>
            <w:r>
              <w:rPr>
                <w:sz w:val="20"/>
              </w:rPr>
              <w:t>De</w:t>
            </w:r>
            <w:r>
              <w:rPr>
                <w:spacing w:val="-7"/>
                <w:sz w:val="20"/>
              </w:rPr>
              <w:t> </w:t>
            </w:r>
            <w:r>
              <w:rPr>
                <w:sz w:val="20"/>
              </w:rPr>
              <w:t>las</w:t>
            </w:r>
            <w:r>
              <w:rPr>
                <w:spacing w:val="-6"/>
                <w:sz w:val="20"/>
              </w:rPr>
              <w:t> </w:t>
            </w:r>
            <w:r>
              <w:rPr>
                <w:sz w:val="20"/>
              </w:rPr>
              <w:t>dos</w:t>
            </w:r>
            <w:r>
              <w:rPr>
                <w:spacing w:val="-6"/>
                <w:sz w:val="20"/>
              </w:rPr>
              <w:t> </w:t>
            </w:r>
            <w:r>
              <w:rPr>
                <w:sz w:val="20"/>
              </w:rPr>
              <w:t>articulaciones</w:t>
            </w:r>
            <w:r>
              <w:rPr>
                <w:spacing w:val="-5"/>
                <w:sz w:val="20"/>
              </w:rPr>
              <w:t> </w:t>
            </w:r>
            <w:r>
              <w:rPr>
                <w:sz w:val="20"/>
              </w:rPr>
              <w:t>del</w:t>
            </w:r>
            <w:r>
              <w:rPr>
                <w:spacing w:val="-8"/>
                <w:sz w:val="20"/>
              </w:rPr>
              <w:t> </w:t>
            </w:r>
            <w:r>
              <w:rPr>
                <w:spacing w:val="-2"/>
                <w:sz w:val="20"/>
              </w:rPr>
              <w:t>pulgar.</w:t>
            </w:r>
          </w:p>
        </w:tc>
        <w:tc>
          <w:tcPr>
            <w:tcW w:w="1457" w:type="dxa"/>
          </w:tcPr>
          <w:p>
            <w:pPr>
              <w:pStyle w:val="TableParagraph"/>
              <w:ind w:left="11" w:right="1"/>
              <w:rPr>
                <w:sz w:val="20"/>
              </w:rPr>
            </w:pPr>
            <w:r>
              <w:rPr>
                <w:spacing w:val="-5"/>
                <w:sz w:val="20"/>
              </w:rPr>
              <w:t>18%</w:t>
            </w:r>
          </w:p>
        </w:tc>
      </w:tr>
      <w:tr>
        <w:trPr>
          <w:trHeight w:val="232" w:hRule="atLeast"/>
        </w:trPr>
        <w:tc>
          <w:tcPr>
            <w:tcW w:w="1032" w:type="dxa"/>
          </w:tcPr>
          <w:p>
            <w:pPr>
              <w:pStyle w:val="TableParagraph"/>
              <w:spacing w:before="1"/>
              <w:ind w:left="9"/>
              <w:rPr>
                <w:sz w:val="20"/>
              </w:rPr>
            </w:pPr>
            <w:r>
              <w:rPr>
                <w:spacing w:val="-5"/>
                <w:sz w:val="20"/>
              </w:rPr>
              <w:t>57</w:t>
            </w:r>
          </w:p>
        </w:tc>
        <w:tc>
          <w:tcPr>
            <w:tcW w:w="7060" w:type="dxa"/>
          </w:tcPr>
          <w:p>
            <w:pPr>
              <w:pStyle w:val="TableParagraph"/>
              <w:spacing w:before="1"/>
              <w:jc w:val="left"/>
              <w:rPr>
                <w:sz w:val="20"/>
              </w:rPr>
            </w:pPr>
            <w:r>
              <w:rPr>
                <w:sz w:val="20"/>
              </w:rPr>
              <w:t>De</w:t>
            </w:r>
            <w:r>
              <w:rPr>
                <w:spacing w:val="-9"/>
                <w:sz w:val="20"/>
              </w:rPr>
              <w:t> </w:t>
            </w:r>
            <w:r>
              <w:rPr>
                <w:sz w:val="20"/>
              </w:rPr>
              <w:t>las</w:t>
            </w:r>
            <w:r>
              <w:rPr>
                <w:spacing w:val="-7"/>
                <w:sz w:val="20"/>
              </w:rPr>
              <w:t> </w:t>
            </w:r>
            <w:r>
              <w:rPr>
                <w:sz w:val="20"/>
              </w:rPr>
              <w:t>articulaciones</w:t>
            </w:r>
            <w:r>
              <w:rPr>
                <w:spacing w:val="-8"/>
                <w:sz w:val="20"/>
              </w:rPr>
              <w:t> </w:t>
            </w:r>
            <w:r>
              <w:rPr>
                <w:sz w:val="20"/>
              </w:rPr>
              <w:t>del</w:t>
            </w:r>
            <w:r>
              <w:rPr>
                <w:spacing w:val="-7"/>
                <w:sz w:val="20"/>
              </w:rPr>
              <w:t> </w:t>
            </w:r>
            <w:r>
              <w:rPr>
                <w:sz w:val="20"/>
              </w:rPr>
              <w:t>pulgar</w:t>
            </w:r>
            <w:r>
              <w:rPr>
                <w:spacing w:val="-4"/>
                <w:sz w:val="20"/>
              </w:rPr>
              <w:t> </w:t>
            </w:r>
            <w:r>
              <w:rPr>
                <w:sz w:val="20"/>
              </w:rPr>
              <w:t>y</w:t>
            </w:r>
            <w:r>
              <w:rPr>
                <w:spacing w:val="-11"/>
                <w:sz w:val="20"/>
              </w:rPr>
              <w:t> </w:t>
            </w:r>
            <w:r>
              <w:rPr>
                <w:sz w:val="20"/>
              </w:rPr>
              <w:t>carpo-metacarpiana</w:t>
            </w:r>
            <w:r>
              <w:rPr>
                <w:spacing w:val="-8"/>
                <w:sz w:val="20"/>
              </w:rPr>
              <w:t> </w:t>
            </w:r>
            <w:r>
              <w:rPr>
                <w:sz w:val="20"/>
              </w:rPr>
              <w:t>del</w:t>
            </w:r>
            <w:r>
              <w:rPr>
                <w:spacing w:val="-8"/>
                <w:sz w:val="20"/>
              </w:rPr>
              <w:t> </w:t>
            </w:r>
            <w:r>
              <w:rPr>
                <w:spacing w:val="-2"/>
                <w:sz w:val="20"/>
              </w:rPr>
              <w:t>pulgar.</w:t>
            </w:r>
          </w:p>
        </w:tc>
        <w:tc>
          <w:tcPr>
            <w:tcW w:w="1457" w:type="dxa"/>
          </w:tcPr>
          <w:p>
            <w:pPr>
              <w:pStyle w:val="TableParagraph"/>
              <w:spacing w:before="1"/>
              <w:ind w:left="11" w:right="1"/>
              <w:rPr>
                <w:sz w:val="20"/>
              </w:rPr>
            </w:pPr>
            <w:r>
              <w:rPr>
                <w:spacing w:val="-5"/>
                <w:sz w:val="20"/>
              </w:rPr>
              <w:t>38%</w:t>
            </w:r>
          </w:p>
        </w:tc>
      </w:tr>
      <w:tr>
        <w:trPr>
          <w:trHeight w:val="229" w:hRule="atLeast"/>
        </w:trPr>
        <w:tc>
          <w:tcPr>
            <w:tcW w:w="1032" w:type="dxa"/>
          </w:tcPr>
          <w:p>
            <w:pPr>
              <w:pStyle w:val="TableParagraph"/>
              <w:ind w:left="9"/>
              <w:rPr>
                <w:sz w:val="20"/>
              </w:rPr>
            </w:pPr>
            <w:r>
              <w:rPr>
                <w:spacing w:val="-5"/>
                <w:sz w:val="20"/>
              </w:rPr>
              <w:t>58</w:t>
            </w:r>
          </w:p>
        </w:tc>
        <w:tc>
          <w:tcPr>
            <w:tcW w:w="7060" w:type="dxa"/>
          </w:tcPr>
          <w:p>
            <w:pPr>
              <w:pStyle w:val="TableParagraph"/>
              <w:jc w:val="left"/>
              <w:rPr>
                <w:sz w:val="20"/>
              </w:rPr>
            </w:pPr>
            <w:r>
              <w:rPr>
                <w:spacing w:val="-2"/>
                <w:sz w:val="20"/>
              </w:rPr>
              <w:t>Articulación</w:t>
            </w:r>
            <w:r>
              <w:rPr>
                <w:spacing w:val="8"/>
                <w:sz w:val="20"/>
              </w:rPr>
              <w:t> </w:t>
            </w:r>
            <w:r>
              <w:rPr>
                <w:spacing w:val="-2"/>
                <w:sz w:val="20"/>
              </w:rPr>
              <w:t>metacarpo-falángica</w:t>
            </w:r>
            <w:r>
              <w:rPr>
                <w:spacing w:val="10"/>
                <w:sz w:val="20"/>
              </w:rPr>
              <w:t> </w:t>
            </w:r>
            <w:r>
              <w:rPr>
                <w:spacing w:val="-2"/>
                <w:sz w:val="20"/>
              </w:rPr>
              <w:t>del</w:t>
            </w:r>
            <w:r>
              <w:rPr>
                <w:spacing w:val="7"/>
                <w:sz w:val="20"/>
              </w:rPr>
              <w:t> </w:t>
            </w:r>
            <w:r>
              <w:rPr>
                <w:spacing w:val="-2"/>
                <w:sz w:val="20"/>
              </w:rPr>
              <w:t>índice.</w:t>
            </w:r>
          </w:p>
        </w:tc>
        <w:tc>
          <w:tcPr>
            <w:tcW w:w="1457" w:type="dxa"/>
          </w:tcPr>
          <w:p>
            <w:pPr>
              <w:pStyle w:val="TableParagraph"/>
              <w:ind w:left="11" w:right="1"/>
              <w:rPr>
                <w:sz w:val="20"/>
              </w:rPr>
            </w:pPr>
            <w:r>
              <w:rPr>
                <w:spacing w:val="-5"/>
                <w:sz w:val="20"/>
              </w:rPr>
              <w:t>7%</w:t>
            </w:r>
          </w:p>
        </w:tc>
      </w:tr>
      <w:tr>
        <w:trPr>
          <w:trHeight w:val="229" w:hRule="atLeast"/>
        </w:trPr>
        <w:tc>
          <w:tcPr>
            <w:tcW w:w="1032" w:type="dxa"/>
          </w:tcPr>
          <w:p>
            <w:pPr>
              <w:pStyle w:val="TableParagraph"/>
              <w:ind w:left="9"/>
              <w:rPr>
                <w:sz w:val="20"/>
              </w:rPr>
            </w:pPr>
            <w:r>
              <w:rPr>
                <w:spacing w:val="-5"/>
                <w:sz w:val="20"/>
              </w:rPr>
              <w:t>59</w:t>
            </w:r>
          </w:p>
        </w:tc>
        <w:tc>
          <w:tcPr>
            <w:tcW w:w="7060" w:type="dxa"/>
          </w:tcPr>
          <w:p>
            <w:pPr>
              <w:pStyle w:val="TableParagraph"/>
              <w:jc w:val="left"/>
              <w:rPr>
                <w:sz w:val="20"/>
              </w:rPr>
            </w:pPr>
            <w:r>
              <w:rPr>
                <w:sz w:val="20"/>
              </w:rPr>
              <w:t>Articulación</w:t>
            </w:r>
            <w:r>
              <w:rPr>
                <w:spacing w:val="-8"/>
                <w:sz w:val="20"/>
              </w:rPr>
              <w:t> </w:t>
            </w:r>
            <w:r>
              <w:rPr>
                <w:sz w:val="20"/>
              </w:rPr>
              <w:t>entre</w:t>
            </w:r>
            <w:r>
              <w:rPr>
                <w:spacing w:val="-5"/>
                <w:sz w:val="20"/>
              </w:rPr>
              <w:t> </w:t>
            </w:r>
            <w:r>
              <w:rPr>
                <w:sz w:val="20"/>
              </w:rPr>
              <w:t>la</w:t>
            </w:r>
            <w:r>
              <w:rPr>
                <w:spacing w:val="-7"/>
                <w:sz w:val="20"/>
              </w:rPr>
              <w:t> </w:t>
            </w:r>
            <w:r>
              <w:rPr>
                <w:sz w:val="20"/>
              </w:rPr>
              <w:t>falange</w:t>
            </w:r>
            <w:r>
              <w:rPr>
                <w:spacing w:val="-8"/>
                <w:sz w:val="20"/>
              </w:rPr>
              <w:t> </w:t>
            </w:r>
            <w:r>
              <w:rPr>
                <w:sz w:val="20"/>
              </w:rPr>
              <w:t>proximal</w:t>
            </w:r>
            <w:r>
              <w:rPr>
                <w:spacing w:val="-6"/>
                <w:sz w:val="20"/>
              </w:rPr>
              <w:t> </w:t>
            </w:r>
            <w:r>
              <w:rPr>
                <w:sz w:val="20"/>
              </w:rPr>
              <w:t>y</w:t>
            </w:r>
            <w:r>
              <w:rPr>
                <w:spacing w:val="-10"/>
                <w:sz w:val="20"/>
              </w:rPr>
              <w:t> </w:t>
            </w:r>
            <w:r>
              <w:rPr>
                <w:sz w:val="20"/>
              </w:rPr>
              <w:t>media</w:t>
            </w:r>
            <w:r>
              <w:rPr>
                <w:spacing w:val="-5"/>
                <w:sz w:val="20"/>
              </w:rPr>
              <w:t> </w:t>
            </w:r>
            <w:r>
              <w:rPr>
                <w:sz w:val="20"/>
              </w:rPr>
              <w:t>del</w:t>
            </w:r>
            <w:r>
              <w:rPr>
                <w:spacing w:val="-8"/>
                <w:sz w:val="20"/>
              </w:rPr>
              <w:t> </w:t>
            </w:r>
            <w:r>
              <w:rPr>
                <w:spacing w:val="-2"/>
                <w:sz w:val="20"/>
              </w:rPr>
              <w:t>índice.</w:t>
            </w:r>
          </w:p>
        </w:tc>
        <w:tc>
          <w:tcPr>
            <w:tcW w:w="1457" w:type="dxa"/>
          </w:tcPr>
          <w:p>
            <w:pPr>
              <w:pStyle w:val="TableParagraph"/>
              <w:ind w:left="11" w:right="1"/>
              <w:rPr>
                <w:sz w:val="20"/>
              </w:rPr>
            </w:pPr>
            <w:r>
              <w:rPr>
                <w:spacing w:val="-5"/>
                <w:sz w:val="20"/>
              </w:rPr>
              <w:t>10%</w:t>
            </w:r>
          </w:p>
        </w:tc>
      </w:tr>
      <w:tr>
        <w:trPr>
          <w:trHeight w:val="229" w:hRule="atLeast"/>
        </w:trPr>
        <w:tc>
          <w:tcPr>
            <w:tcW w:w="1032" w:type="dxa"/>
          </w:tcPr>
          <w:p>
            <w:pPr>
              <w:pStyle w:val="TableParagraph"/>
              <w:ind w:left="9"/>
              <w:rPr>
                <w:sz w:val="20"/>
              </w:rPr>
            </w:pPr>
            <w:r>
              <w:rPr>
                <w:spacing w:val="-5"/>
                <w:sz w:val="20"/>
              </w:rPr>
              <w:t>60</w:t>
            </w:r>
          </w:p>
        </w:tc>
        <w:tc>
          <w:tcPr>
            <w:tcW w:w="7060" w:type="dxa"/>
          </w:tcPr>
          <w:p>
            <w:pPr>
              <w:pStyle w:val="TableParagraph"/>
              <w:jc w:val="left"/>
              <w:rPr>
                <w:sz w:val="20"/>
              </w:rPr>
            </w:pPr>
            <w:r>
              <w:rPr>
                <w:sz w:val="20"/>
              </w:rPr>
              <w:t>Articulación</w:t>
            </w:r>
            <w:r>
              <w:rPr>
                <w:spacing w:val="-8"/>
                <w:sz w:val="20"/>
              </w:rPr>
              <w:t> </w:t>
            </w:r>
            <w:r>
              <w:rPr>
                <w:sz w:val="20"/>
              </w:rPr>
              <w:t>entre</w:t>
            </w:r>
            <w:r>
              <w:rPr>
                <w:spacing w:val="-6"/>
                <w:sz w:val="20"/>
              </w:rPr>
              <w:t> </w:t>
            </w:r>
            <w:r>
              <w:rPr>
                <w:sz w:val="20"/>
              </w:rPr>
              <w:t>las</w:t>
            </w:r>
            <w:r>
              <w:rPr>
                <w:spacing w:val="-7"/>
                <w:sz w:val="20"/>
              </w:rPr>
              <w:t> </w:t>
            </w:r>
            <w:r>
              <w:rPr>
                <w:sz w:val="20"/>
              </w:rPr>
              <w:t>falanges</w:t>
            </w:r>
            <w:r>
              <w:rPr>
                <w:spacing w:val="-7"/>
                <w:sz w:val="20"/>
              </w:rPr>
              <w:t> </w:t>
            </w:r>
            <w:r>
              <w:rPr>
                <w:sz w:val="20"/>
              </w:rPr>
              <w:t>media</w:t>
            </w:r>
            <w:r>
              <w:rPr>
                <w:spacing w:val="-6"/>
                <w:sz w:val="20"/>
              </w:rPr>
              <w:t> </w:t>
            </w:r>
            <w:r>
              <w:rPr>
                <w:sz w:val="20"/>
              </w:rPr>
              <w:t>y</w:t>
            </w:r>
            <w:r>
              <w:rPr>
                <w:spacing w:val="-9"/>
                <w:sz w:val="20"/>
              </w:rPr>
              <w:t> </w:t>
            </w:r>
            <w:r>
              <w:rPr>
                <w:sz w:val="20"/>
              </w:rPr>
              <w:t>distal</w:t>
            </w:r>
            <w:r>
              <w:rPr>
                <w:spacing w:val="-6"/>
                <w:sz w:val="20"/>
              </w:rPr>
              <w:t> </w:t>
            </w:r>
            <w:r>
              <w:rPr>
                <w:sz w:val="20"/>
              </w:rPr>
              <w:t>del</w:t>
            </w:r>
            <w:r>
              <w:rPr>
                <w:spacing w:val="-7"/>
                <w:sz w:val="20"/>
              </w:rPr>
              <w:t> </w:t>
            </w:r>
            <w:r>
              <w:rPr>
                <w:spacing w:val="-2"/>
                <w:sz w:val="20"/>
              </w:rPr>
              <w:t>índice.</w:t>
            </w:r>
          </w:p>
        </w:tc>
        <w:tc>
          <w:tcPr>
            <w:tcW w:w="1457" w:type="dxa"/>
          </w:tcPr>
          <w:p>
            <w:pPr>
              <w:pStyle w:val="TableParagraph"/>
              <w:ind w:left="11" w:right="1"/>
              <w:rPr>
                <w:sz w:val="20"/>
              </w:rPr>
            </w:pPr>
            <w:r>
              <w:rPr>
                <w:spacing w:val="-5"/>
                <w:sz w:val="20"/>
              </w:rPr>
              <w:t>4%</w:t>
            </w:r>
          </w:p>
        </w:tc>
      </w:tr>
      <w:tr>
        <w:trPr>
          <w:trHeight w:val="229" w:hRule="atLeast"/>
        </w:trPr>
        <w:tc>
          <w:tcPr>
            <w:tcW w:w="1032" w:type="dxa"/>
          </w:tcPr>
          <w:p>
            <w:pPr>
              <w:pStyle w:val="TableParagraph"/>
              <w:ind w:left="9"/>
              <w:rPr>
                <w:sz w:val="20"/>
              </w:rPr>
            </w:pPr>
            <w:r>
              <w:rPr>
                <w:spacing w:val="-5"/>
                <w:sz w:val="20"/>
              </w:rPr>
              <w:t>61</w:t>
            </w:r>
          </w:p>
        </w:tc>
        <w:tc>
          <w:tcPr>
            <w:tcW w:w="7060" w:type="dxa"/>
          </w:tcPr>
          <w:p>
            <w:pPr>
              <w:pStyle w:val="TableParagraph"/>
              <w:jc w:val="left"/>
              <w:rPr>
                <w:sz w:val="20"/>
              </w:rPr>
            </w:pPr>
            <w:r>
              <w:rPr>
                <w:sz w:val="20"/>
              </w:rPr>
              <w:t>De</w:t>
            </w:r>
            <w:r>
              <w:rPr>
                <w:spacing w:val="-9"/>
                <w:sz w:val="20"/>
              </w:rPr>
              <w:t> </w:t>
            </w:r>
            <w:r>
              <w:rPr>
                <w:sz w:val="20"/>
              </w:rPr>
              <w:t>las</w:t>
            </w:r>
            <w:r>
              <w:rPr>
                <w:spacing w:val="-7"/>
                <w:sz w:val="20"/>
              </w:rPr>
              <w:t> </w:t>
            </w:r>
            <w:r>
              <w:rPr>
                <w:sz w:val="20"/>
              </w:rPr>
              <w:t>articulaciones</w:t>
            </w:r>
            <w:r>
              <w:rPr>
                <w:spacing w:val="-6"/>
                <w:sz w:val="20"/>
              </w:rPr>
              <w:t> </w:t>
            </w:r>
            <w:r>
              <w:rPr>
                <w:sz w:val="20"/>
              </w:rPr>
              <w:t>interfalángica</w:t>
            </w:r>
            <w:r>
              <w:rPr>
                <w:spacing w:val="-6"/>
                <w:sz w:val="20"/>
              </w:rPr>
              <w:t> </w:t>
            </w:r>
            <w:r>
              <w:rPr>
                <w:sz w:val="20"/>
              </w:rPr>
              <w:t>proximal</w:t>
            </w:r>
            <w:r>
              <w:rPr>
                <w:spacing w:val="-7"/>
                <w:sz w:val="20"/>
              </w:rPr>
              <w:t> </w:t>
            </w:r>
            <w:r>
              <w:rPr>
                <w:sz w:val="20"/>
              </w:rPr>
              <w:t>y</w:t>
            </w:r>
            <w:r>
              <w:rPr>
                <w:spacing w:val="-9"/>
                <w:sz w:val="20"/>
              </w:rPr>
              <w:t> </w:t>
            </w:r>
            <w:r>
              <w:rPr>
                <w:sz w:val="20"/>
              </w:rPr>
              <w:t>distal</w:t>
            </w:r>
            <w:r>
              <w:rPr>
                <w:spacing w:val="-8"/>
                <w:sz w:val="20"/>
              </w:rPr>
              <w:t> </w:t>
            </w:r>
            <w:r>
              <w:rPr>
                <w:sz w:val="20"/>
              </w:rPr>
              <w:t>del</w:t>
            </w:r>
            <w:r>
              <w:rPr>
                <w:spacing w:val="-9"/>
                <w:sz w:val="20"/>
              </w:rPr>
              <w:t> </w:t>
            </w:r>
            <w:r>
              <w:rPr>
                <w:spacing w:val="-2"/>
                <w:sz w:val="20"/>
              </w:rPr>
              <w:t>índice.</w:t>
            </w:r>
          </w:p>
        </w:tc>
        <w:tc>
          <w:tcPr>
            <w:tcW w:w="1457" w:type="dxa"/>
          </w:tcPr>
          <w:p>
            <w:pPr>
              <w:pStyle w:val="TableParagraph"/>
              <w:ind w:left="11" w:right="1"/>
              <w:rPr>
                <w:sz w:val="20"/>
              </w:rPr>
            </w:pPr>
            <w:r>
              <w:rPr>
                <w:spacing w:val="-5"/>
                <w:sz w:val="20"/>
              </w:rPr>
              <w:t>14%</w:t>
            </w:r>
          </w:p>
        </w:tc>
      </w:tr>
      <w:tr>
        <w:trPr>
          <w:trHeight w:val="229" w:hRule="atLeast"/>
        </w:trPr>
        <w:tc>
          <w:tcPr>
            <w:tcW w:w="1032" w:type="dxa"/>
          </w:tcPr>
          <w:p>
            <w:pPr>
              <w:pStyle w:val="TableParagraph"/>
              <w:ind w:left="9"/>
              <w:rPr>
                <w:sz w:val="20"/>
              </w:rPr>
            </w:pPr>
            <w:r>
              <w:rPr>
                <w:spacing w:val="-5"/>
                <w:sz w:val="20"/>
              </w:rPr>
              <w:t>62</w:t>
            </w:r>
          </w:p>
        </w:tc>
        <w:tc>
          <w:tcPr>
            <w:tcW w:w="7060" w:type="dxa"/>
          </w:tcPr>
          <w:p>
            <w:pPr>
              <w:pStyle w:val="TableParagraph"/>
              <w:jc w:val="left"/>
              <w:rPr>
                <w:sz w:val="20"/>
              </w:rPr>
            </w:pPr>
            <w:r>
              <w:rPr>
                <w:sz w:val="20"/>
              </w:rPr>
              <w:t>De</w:t>
            </w:r>
            <w:r>
              <w:rPr>
                <w:spacing w:val="-7"/>
                <w:sz w:val="20"/>
              </w:rPr>
              <w:t> </w:t>
            </w:r>
            <w:r>
              <w:rPr>
                <w:sz w:val="20"/>
              </w:rPr>
              <w:t>las</w:t>
            </w:r>
            <w:r>
              <w:rPr>
                <w:spacing w:val="-6"/>
                <w:sz w:val="20"/>
              </w:rPr>
              <w:t> </w:t>
            </w:r>
            <w:r>
              <w:rPr>
                <w:sz w:val="20"/>
              </w:rPr>
              <w:t>tres</w:t>
            </w:r>
            <w:r>
              <w:rPr>
                <w:spacing w:val="-5"/>
                <w:sz w:val="20"/>
              </w:rPr>
              <w:t> </w:t>
            </w:r>
            <w:r>
              <w:rPr>
                <w:sz w:val="20"/>
              </w:rPr>
              <w:t>articulaciones</w:t>
            </w:r>
            <w:r>
              <w:rPr>
                <w:spacing w:val="-4"/>
                <w:sz w:val="20"/>
              </w:rPr>
              <w:t> </w:t>
            </w:r>
            <w:r>
              <w:rPr>
                <w:sz w:val="20"/>
              </w:rPr>
              <w:t>del</w:t>
            </w:r>
            <w:r>
              <w:rPr>
                <w:spacing w:val="-8"/>
                <w:sz w:val="20"/>
              </w:rPr>
              <w:t> </w:t>
            </w:r>
            <w:r>
              <w:rPr>
                <w:spacing w:val="-2"/>
                <w:sz w:val="20"/>
              </w:rPr>
              <w:t>índice.</w:t>
            </w:r>
          </w:p>
        </w:tc>
        <w:tc>
          <w:tcPr>
            <w:tcW w:w="1457" w:type="dxa"/>
          </w:tcPr>
          <w:p>
            <w:pPr>
              <w:pStyle w:val="TableParagraph"/>
              <w:ind w:left="11" w:right="1"/>
              <w:rPr>
                <w:sz w:val="20"/>
              </w:rPr>
            </w:pPr>
            <w:r>
              <w:rPr>
                <w:spacing w:val="-5"/>
                <w:sz w:val="20"/>
              </w:rPr>
              <w:t>21%</w:t>
            </w:r>
          </w:p>
        </w:tc>
      </w:tr>
      <w:tr>
        <w:trPr>
          <w:trHeight w:val="229" w:hRule="atLeast"/>
        </w:trPr>
        <w:tc>
          <w:tcPr>
            <w:tcW w:w="1032" w:type="dxa"/>
          </w:tcPr>
          <w:p>
            <w:pPr>
              <w:pStyle w:val="TableParagraph"/>
              <w:ind w:left="9"/>
              <w:rPr>
                <w:sz w:val="20"/>
              </w:rPr>
            </w:pPr>
            <w:r>
              <w:rPr>
                <w:spacing w:val="-5"/>
                <w:sz w:val="20"/>
              </w:rPr>
              <w:t>63</w:t>
            </w:r>
          </w:p>
        </w:tc>
        <w:tc>
          <w:tcPr>
            <w:tcW w:w="7060" w:type="dxa"/>
          </w:tcPr>
          <w:p>
            <w:pPr>
              <w:pStyle w:val="TableParagraph"/>
              <w:jc w:val="left"/>
              <w:rPr>
                <w:sz w:val="20"/>
              </w:rPr>
            </w:pPr>
            <w:r>
              <w:rPr>
                <w:sz w:val="20"/>
              </w:rPr>
              <w:t>Articulación</w:t>
            </w:r>
            <w:r>
              <w:rPr>
                <w:spacing w:val="-13"/>
                <w:sz w:val="20"/>
              </w:rPr>
              <w:t> </w:t>
            </w:r>
            <w:r>
              <w:rPr>
                <w:sz w:val="20"/>
              </w:rPr>
              <w:t>metacarpo-falángica</w:t>
            </w:r>
            <w:r>
              <w:rPr>
                <w:spacing w:val="-11"/>
                <w:sz w:val="20"/>
              </w:rPr>
              <w:t> </w:t>
            </w:r>
            <w:r>
              <w:rPr>
                <w:sz w:val="20"/>
              </w:rPr>
              <w:t>del</w:t>
            </w:r>
            <w:r>
              <w:rPr>
                <w:spacing w:val="-13"/>
                <w:sz w:val="20"/>
              </w:rPr>
              <w:t> </w:t>
            </w:r>
            <w:r>
              <w:rPr>
                <w:sz w:val="20"/>
              </w:rPr>
              <w:t>dedo</w:t>
            </w:r>
            <w:r>
              <w:rPr>
                <w:spacing w:val="-13"/>
                <w:sz w:val="20"/>
              </w:rPr>
              <w:t> </w:t>
            </w:r>
            <w:r>
              <w:rPr>
                <w:spacing w:val="-2"/>
                <w:sz w:val="20"/>
              </w:rPr>
              <w:t>medio.</w:t>
            </w:r>
          </w:p>
        </w:tc>
        <w:tc>
          <w:tcPr>
            <w:tcW w:w="1457" w:type="dxa"/>
          </w:tcPr>
          <w:p>
            <w:pPr>
              <w:pStyle w:val="TableParagraph"/>
              <w:ind w:left="11" w:right="1"/>
              <w:rPr>
                <w:sz w:val="20"/>
              </w:rPr>
            </w:pPr>
            <w:r>
              <w:rPr>
                <w:spacing w:val="-5"/>
                <w:sz w:val="20"/>
              </w:rPr>
              <w:t>5%</w:t>
            </w:r>
          </w:p>
        </w:tc>
      </w:tr>
      <w:tr>
        <w:trPr>
          <w:trHeight w:val="229" w:hRule="atLeast"/>
        </w:trPr>
        <w:tc>
          <w:tcPr>
            <w:tcW w:w="1032" w:type="dxa"/>
          </w:tcPr>
          <w:p>
            <w:pPr>
              <w:pStyle w:val="TableParagraph"/>
              <w:ind w:left="9"/>
              <w:rPr>
                <w:sz w:val="20"/>
              </w:rPr>
            </w:pPr>
            <w:r>
              <w:rPr>
                <w:spacing w:val="-5"/>
                <w:sz w:val="20"/>
              </w:rPr>
              <w:t>64</w:t>
            </w:r>
          </w:p>
        </w:tc>
        <w:tc>
          <w:tcPr>
            <w:tcW w:w="7060" w:type="dxa"/>
          </w:tcPr>
          <w:p>
            <w:pPr>
              <w:pStyle w:val="TableParagraph"/>
              <w:jc w:val="left"/>
              <w:rPr>
                <w:sz w:val="20"/>
              </w:rPr>
            </w:pPr>
            <w:r>
              <w:rPr>
                <w:sz w:val="20"/>
              </w:rPr>
              <w:t>Articulación</w:t>
            </w:r>
            <w:r>
              <w:rPr>
                <w:spacing w:val="-8"/>
                <w:sz w:val="20"/>
              </w:rPr>
              <w:t> </w:t>
            </w:r>
            <w:r>
              <w:rPr>
                <w:sz w:val="20"/>
              </w:rPr>
              <w:t>entre</w:t>
            </w:r>
            <w:r>
              <w:rPr>
                <w:spacing w:val="-6"/>
                <w:sz w:val="20"/>
              </w:rPr>
              <w:t> </w:t>
            </w:r>
            <w:r>
              <w:rPr>
                <w:sz w:val="20"/>
              </w:rPr>
              <w:t>las</w:t>
            </w:r>
            <w:r>
              <w:rPr>
                <w:spacing w:val="-6"/>
                <w:sz w:val="20"/>
              </w:rPr>
              <w:t> </w:t>
            </w:r>
            <w:r>
              <w:rPr>
                <w:sz w:val="20"/>
              </w:rPr>
              <w:t>falanges</w:t>
            </w:r>
            <w:r>
              <w:rPr>
                <w:spacing w:val="-7"/>
                <w:sz w:val="20"/>
              </w:rPr>
              <w:t> </w:t>
            </w:r>
            <w:r>
              <w:rPr>
                <w:sz w:val="20"/>
              </w:rPr>
              <w:t>proximal</w:t>
            </w:r>
            <w:r>
              <w:rPr>
                <w:spacing w:val="-6"/>
                <w:sz w:val="20"/>
              </w:rPr>
              <w:t> </w:t>
            </w:r>
            <w:r>
              <w:rPr>
                <w:sz w:val="20"/>
              </w:rPr>
              <w:t>y</w:t>
            </w:r>
            <w:r>
              <w:rPr>
                <w:spacing w:val="-10"/>
                <w:sz w:val="20"/>
              </w:rPr>
              <w:t> </w:t>
            </w:r>
            <w:r>
              <w:rPr>
                <w:sz w:val="20"/>
              </w:rPr>
              <w:t>media</w:t>
            </w:r>
            <w:r>
              <w:rPr>
                <w:spacing w:val="-6"/>
                <w:sz w:val="20"/>
              </w:rPr>
              <w:t> </w:t>
            </w:r>
            <w:r>
              <w:rPr>
                <w:sz w:val="20"/>
              </w:rPr>
              <w:t>del</w:t>
            </w:r>
            <w:r>
              <w:rPr>
                <w:spacing w:val="-8"/>
                <w:sz w:val="20"/>
              </w:rPr>
              <w:t> </w:t>
            </w:r>
            <w:r>
              <w:rPr>
                <w:sz w:val="20"/>
              </w:rPr>
              <w:t>dedo</w:t>
            </w:r>
            <w:r>
              <w:rPr>
                <w:spacing w:val="-8"/>
                <w:sz w:val="20"/>
              </w:rPr>
              <w:t> </w:t>
            </w:r>
            <w:r>
              <w:rPr>
                <w:spacing w:val="-2"/>
                <w:sz w:val="20"/>
              </w:rPr>
              <w:t>medio.</w:t>
            </w:r>
          </w:p>
        </w:tc>
        <w:tc>
          <w:tcPr>
            <w:tcW w:w="1457" w:type="dxa"/>
          </w:tcPr>
          <w:p>
            <w:pPr>
              <w:pStyle w:val="TableParagraph"/>
              <w:ind w:left="11" w:right="1"/>
              <w:rPr>
                <w:sz w:val="20"/>
              </w:rPr>
            </w:pPr>
            <w:r>
              <w:rPr>
                <w:spacing w:val="-5"/>
                <w:sz w:val="20"/>
              </w:rPr>
              <w:t>7%</w:t>
            </w:r>
          </w:p>
        </w:tc>
      </w:tr>
      <w:tr>
        <w:trPr>
          <w:trHeight w:val="230" w:hRule="atLeast"/>
        </w:trPr>
        <w:tc>
          <w:tcPr>
            <w:tcW w:w="1032" w:type="dxa"/>
          </w:tcPr>
          <w:p>
            <w:pPr>
              <w:pStyle w:val="TableParagraph"/>
              <w:ind w:left="9"/>
              <w:rPr>
                <w:sz w:val="20"/>
              </w:rPr>
            </w:pPr>
            <w:r>
              <w:rPr>
                <w:spacing w:val="-5"/>
                <w:sz w:val="20"/>
              </w:rPr>
              <w:t>65</w:t>
            </w:r>
          </w:p>
        </w:tc>
        <w:tc>
          <w:tcPr>
            <w:tcW w:w="7060" w:type="dxa"/>
          </w:tcPr>
          <w:p>
            <w:pPr>
              <w:pStyle w:val="TableParagraph"/>
              <w:jc w:val="left"/>
              <w:rPr>
                <w:sz w:val="20"/>
              </w:rPr>
            </w:pPr>
            <w:r>
              <w:rPr>
                <w:sz w:val="20"/>
              </w:rPr>
              <w:t>Articulación</w:t>
            </w:r>
            <w:r>
              <w:rPr>
                <w:spacing w:val="-8"/>
                <w:sz w:val="20"/>
              </w:rPr>
              <w:t> </w:t>
            </w:r>
            <w:r>
              <w:rPr>
                <w:sz w:val="20"/>
              </w:rPr>
              <w:t>entre</w:t>
            </w:r>
            <w:r>
              <w:rPr>
                <w:spacing w:val="-6"/>
                <w:sz w:val="20"/>
              </w:rPr>
              <w:t> </w:t>
            </w:r>
            <w:r>
              <w:rPr>
                <w:sz w:val="20"/>
              </w:rPr>
              <w:t>las</w:t>
            </w:r>
            <w:r>
              <w:rPr>
                <w:spacing w:val="-6"/>
                <w:sz w:val="20"/>
              </w:rPr>
              <w:t> </w:t>
            </w:r>
            <w:r>
              <w:rPr>
                <w:sz w:val="20"/>
              </w:rPr>
              <w:t>falanges</w:t>
            </w:r>
            <w:r>
              <w:rPr>
                <w:spacing w:val="-7"/>
                <w:sz w:val="20"/>
              </w:rPr>
              <w:t> </w:t>
            </w:r>
            <w:r>
              <w:rPr>
                <w:sz w:val="20"/>
              </w:rPr>
              <w:t>media</w:t>
            </w:r>
            <w:r>
              <w:rPr>
                <w:spacing w:val="-6"/>
                <w:sz w:val="20"/>
              </w:rPr>
              <w:t> </w:t>
            </w:r>
            <w:r>
              <w:rPr>
                <w:sz w:val="20"/>
              </w:rPr>
              <w:t>y</w:t>
            </w:r>
            <w:r>
              <w:rPr>
                <w:spacing w:val="-8"/>
                <w:sz w:val="20"/>
              </w:rPr>
              <w:t> </w:t>
            </w:r>
            <w:r>
              <w:rPr>
                <w:sz w:val="20"/>
              </w:rPr>
              <w:t>distal</w:t>
            </w:r>
            <w:r>
              <w:rPr>
                <w:spacing w:val="-6"/>
                <w:sz w:val="20"/>
              </w:rPr>
              <w:t> </w:t>
            </w:r>
            <w:r>
              <w:rPr>
                <w:sz w:val="20"/>
              </w:rPr>
              <w:t>del</w:t>
            </w:r>
            <w:r>
              <w:rPr>
                <w:spacing w:val="-7"/>
                <w:sz w:val="20"/>
              </w:rPr>
              <w:t> </w:t>
            </w:r>
            <w:r>
              <w:rPr>
                <w:sz w:val="20"/>
              </w:rPr>
              <w:t>dedo</w:t>
            </w:r>
            <w:r>
              <w:rPr>
                <w:spacing w:val="-6"/>
                <w:sz w:val="20"/>
              </w:rPr>
              <w:t> </w:t>
            </w:r>
            <w:r>
              <w:rPr>
                <w:spacing w:val="-2"/>
                <w:sz w:val="20"/>
              </w:rPr>
              <w:t>medio.</w:t>
            </w:r>
          </w:p>
        </w:tc>
        <w:tc>
          <w:tcPr>
            <w:tcW w:w="1457" w:type="dxa"/>
          </w:tcPr>
          <w:p>
            <w:pPr>
              <w:pStyle w:val="TableParagraph"/>
              <w:ind w:left="11" w:right="1"/>
              <w:rPr>
                <w:sz w:val="20"/>
              </w:rPr>
            </w:pPr>
            <w:r>
              <w:rPr>
                <w:spacing w:val="-5"/>
                <w:sz w:val="20"/>
              </w:rPr>
              <w:t>2%</w:t>
            </w:r>
          </w:p>
        </w:tc>
      </w:tr>
      <w:tr>
        <w:trPr>
          <w:trHeight w:val="229" w:hRule="atLeast"/>
        </w:trPr>
        <w:tc>
          <w:tcPr>
            <w:tcW w:w="1032" w:type="dxa"/>
          </w:tcPr>
          <w:p>
            <w:pPr>
              <w:pStyle w:val="TableParagraph"/>
              <w:ind w:left="9"/>
              <w:rPr>
                <w:sz w:val="20"/>
              </w:rPr>
            </w:pPr>
            <w:r>
              <w:rPr>
                <w:spacing w:val="-5"/>
                <w:sz w:val="20"/>
              </w:rPr>
              <w:t>66</w:t>
            </w:r>
          </w:p>
        </w:tc>
        <w:tc>
          <w:tcPr>
            <w:tcW w:w="7060" w:type="dxa"/>
          </w:tcPr>
          <w:p>
            <w:pPr>
              <w:pStyle w:val="TableParagraph"/>
              <w:jc w:val="left"/>
              <w:rPr>
                <w:sz w:val="20"/>
              </w:rPr>
            </w:pPr>
            <w:r>
              <w:rPr>
                <w:sz w:val="20"/>
              </w:rPr>
              <w:t>De</w:t>
            </w:r>
            <w:r>
              <w:rPr>
                <w:spacing w:val="-8"/>
                <w:sz w:val="20"/>
              </w:rPr>
              <w:t> </w:t>
            </w:r>
            <w:r>
              <w:rPr>
                <w:sz w:val="20"/>
              </w:rPr>
              <w:t>las</w:t>
            </w:r>
            <w:r>
              <w:rPr>
                <w:spacing w:val="-8"/>
                <w:sz w:val="20"/>
              </w:rPr>
              <w:t> </w:t>
            </w:r>
            <w:r>
              <w:rPr>
                <w:sz w:val="20"/>
              </w:rPr>
              <w:t>articulaciones</w:t>
            </w:r>
            <w:r>
              <w:rPr>
                <w:spacing w:val="-5"/>
                <w:sz w:val="20"/>
              </w:rPr>
              <w:t> </w:t>
            </w:r>
            <w:r>
              <w:rPr>
                <w:sz w:val="20"/>
              </w:rPr>
              <w:t>interfalángica</w:t>
            </w:r>
            <w:r>
              <w:rPr>
                <w:spacing w:val="-6"/>
                <w:sz w:val="20"/>
              </w:rPr>
              <w:t> </w:t>
            </w:r>
            <w:r>
              <w:rPr>
                <w:sz w:val="20"/>
              </w:rPr>
              <w:t>proximal</w:t>
            </w:r>
            <w:r>
              <w:rPr>
                <w:spacing w:val="-7"/>
                <w:sz w:val="20"/>
              </w:rPr>
              <w:t> </w:t>
            </w:r>
            <w:r>
              <w:rPr>
                <w:sz w:val="20"/>
              </w:rPr>
              <w:t>y</w:t>
            </w:r>
            <w:r>
              <w:rPr>
                <w:spacing w:val="-9"/>
                <w:sz w:val="20"/>
              </w:rPr>
              <w:t> </w:t>
            </w:r>
            <w:r>
              <w:rPr>
                <w:sz w:val="20"/>
              </w:rPr>
              <w:t>distal</w:t>
            </w:r>
            <w:r>
              <w:rPr>
                <w:spacing w:val="-7"/>
                <w:sz w:val="20"/>
              </w:rPr>
              <w:t> </w:t>
            </w:r>
            <w:r>
              <w:rPr>
                <w:sz w:val="20"/>
              </w:rPr>
              <w:t>del</w:t>
            </w:r>
            <w:r>
              <w:rPr>
                <w:spacing w:val="-9"/>
                <w:sz w:val="20"/>
              </w:rPr>
              <w:t> </w:t>
            </w:r>
            <w:r>
              <w:rPr>
                <w:sz w:val="20"/>
              </w:rPr>
              <w:t>dedo</w:t>
            </w:r>
            <w:r>
              <w:rPr>
                <w:spacing w:val="-6"/>
                <w:sz w:val="20"/>
              </w:rPr>
              <w:t> </w:t>
            </w:r>
            <w:r>
              <w:rPr>
                <w:spacing w:val="-2"/>
                <w:sz w:val="20"/>
              </w:rPr>
              <w:t>medio.</w:t>
            </w:r>
          </w:p>
        </w:tc>
        <w:tc>
          <w:tcPr>
            <w:tcW w:w="1457" w:type="dxa"/>
          </w:tcPr>
          <w:p>
            <w:pPr>
              <w:pStyle w:val="TableParagraph"/>
              <w:ind w:left="11" w:right="1"/>
              <w:rPr>
                <w:sz w:val="20"/>
              </w:rPr>
            </w:pPr>
            <w:r>
              <w:rPr>
                <w:spacing w:val="-5"/>
                <w:sz w:val="20"/>
              </w:rPr>
              <w:t>10%</w:t>
            </w:r>
          </w:p>
        </w:tc>
      </w:tr>
      <w:tr>
        <w:trPr>
          <w:trHeight w:val="229" w:hRule="atLeast"/>
        </w:trPr>
        <w:tc>
          <w:tcPr>
            <w:tcW w:w="1032" w:type="dxa"/>
          </w:tcPr>
          <w:p>
            <w:pPr>
              <w:pStyle w:val="TableParagraph"/>
              <w:ind w:left="9"/>
              <w:rPr>
                <w:sz w:val="20"/>
              </w:rPr>
            </w:pPr>
            <w:r>
              <w:rPr>
                <w:spacing w:val="-5"/>
                <w:sz w:val="20"/>
              </w:rPr>
              <w:t>67</w:t>
            </w:r>
          </w:p>
        </w:tc>
        <w:tc>
          <w:tcPr>
            <w:tcW w:w="7060" w:type="dxa"/>
          </w:tcPr>
          <w:p>
            <w:pPr>
              <w:pStyle w:val="TableParagraph"/>
              <w:jc w:val="left"/>
              <w:rPr>
                <w:sz w:val="20"/>
              </w:rPr>
            </w:pPr>
            <w:r>
              <w:rPr>
                <w:sz w:val="20"/>
              </w:rPr>
              <w:t>De</w:t>
            </w:r>
            <w:r>
              <w:rPr>
                <w:spacing w:val="-7"/>
                <w:sz w:val="20"/>
              </w:rPr>
              <w:t> </w:t>
            </w:r>
            <w:r>
              <w:rPr>
                <w:sz w:val="20"/>
              </w:rPr>
              <w:t>las</w:t>
            </w:r>
            <w:r>
              <w:rPr>
                <w:spacing w:val="-6"/>
                <w:sz w:val="20"/>
              </w:rPr>
              <w:t> </w:t>
            </w:r>
            <w:r>
              <w:rPr>
                <w:sz w:val="20"/>
              </w:rPr>
              <w:t>tres</w:t>
            </w:r>
            <w:r>
              <w:rPr>
                <w:spacing w:val="-5"/>
                <w:sz w:val="20"/>
              </w:rPr>
              <w:t> </w:t>
            </w:r>
            <w:r>
              <w:rPr>
                <w:sz w:val="20"/>
              </w:rPr>
              <w:t>articulaciones</w:t>
            </w:r>
            <w:r>
              <w:rPr>
                <w:spacing w:val="-4"/>
                <w:sz w:val="20"/>
              </w:rPr>
              <w:t> </w:t>
            </w:r>
            <w:r>
              <w:rPr>
                <w:sz w:val="20"/>
              </w:rPr>
              <w:t>del</w:t>
            </w:r>
            <w:r>
              <w:rPr>
                <w:spacing w:val="-7"/>
                <w:sz w:val="20"/>
              </w:rPr>
              <w:t> </w:t>
            </w:r>
            <w:r>
              <w:rPr>
                <w:sz w:val="20"/>
              </w:rPr>
              <w:t>dedo</w:t>
            </w:r>
            <w:r>
              <w:rPr>
                <w:spacing w:val="-5"/>
                <w:sz w:val="20"/>
              </w:rPr>
              <w:t> </w:t>
            </w:r>
            <w:r>
              <w:rPr>
                <w:spacing w:val="-2"/>
                <w:sz w:val="20"/>
              </w:rPr>
              <w:t>medio.</w:t>
            </w:r>
          </w:p>
        </w:tc>
        <w:tc>
          <w:tcPr>
            <w:tcW w:w="1457" w:type="dxa"/>
          </w:tcPr>
          <w:p>
            <w:pPr>
              <w:pStyle w:val="TableParagraph"/>
              <w:ind w:left="11" w:right="1"/>
              <w:rPr>
                <w:sz w:val="20"/>
              </w:rPr>
            </w:pPr>
            <w:r>
              <w:rPr>
                <w:spacing w:val="-5"/>
                <w:sz w:val="20"/>
              </w:rPr>
              <w:t>15%</w:t>
            </w:r>
          </w:p>
        </w:tc>
      </w:tr>
      <w:tr>
        <w:trPr>
          <w:trHeight w:val="229" w:hRule="atLeast"/>
        </w:trPr>
        <w:tc>
          <w:tcPr>
            <w:tcW w:w="1032" w:type="dxa"/>
          </w:tcPr>
          <w:p>
            <w:pPr>
              <w:pStyle w:val="TableParagraph"/>
              <w:ind w:left="9"/>
              <w:rPr>
                <w:sz w:val="20"/>
              </w:rPr>
            </w:pPr>
            <w:r>
              <w:rPr>
                <w:spacing w:val="-5"/>
                <w:sz w:val="20"/>
              </w:rPr>
              <w:t>68</w:t>
            </w:r>
          </w:p>
        </w:tc>
        <w:tc>
          <w:tcPr>
            <w:tcW w:w="7060" w:type="dxa"/>
          </w:tcPr>
          <w:p>
            <w:pPr>
              <w:pStyle w:val="TableParagraph"/>
              <w:jc w:val="left"/>
              <w:rPr>
                <w:sz w:val="20"/>
              </w:rPr>
            </w:pPr>
            <w:r>
              <w:rPr>
                <w:spacing w:val="-2"/>
                <w:sz w:val="20"/>
              </w:rPr>
              <w:t>Articulación</w:t>
            </w:r>
            <w:r>
              <w:rPr>
                <w:spacing w:val="8"/>
                <w:sz w:val="20"/>
              </w:rPr>
              <w:t> </w:t>
            </w:r>
            <w:r>
              <w:rPr>
                <w:spacing w:val="-2"/>
                <w:sz w:val="20"/>
              </w:rPr>
              <w:t>metacarpo-falángica</w:t>
            </w:r>
            <w:r>
              <w:rPr>
                <w:spacing w:val="10"/>
                <w:sz w:val="20"/>
              </w:rPr>
              <w:t> </w:t>
            </w:r>
            <w:r>
              <w:rPr>
                <w:spacing w:val="-2"/>
                <w:sz w:val="20"/>
              </w:rPr>
              <w:t>del</w:t>
            </w:r>
            <w:r>
              <w:rPr>
                <w:spacing w:val="7"/>
                <w:sz w:val="20"/>
              </w:rPr>
              <w:t> </w:t>
            </w:r>
            <w:r>
              <w:rPr>
                <w:spacing w:val="-2"/>
                <w:sz w:val="20"/>
              </w:rPr>
              <w:t>anular.</w:t>
            </w:r>
          </w:p>
        </w:tc>
        <w:tc>
          <w:tcPr>
            <w:tcW w:w="1457" w:type="dxa"/>
          </w:tcPr>
          <w:p>
            <w:pPr>
              <w:pStyle w:val="TableParagraph"/>
              <w:ind w:left="11" w:right="1"/>
              <w:rPr>
                <w:sz w:val="20"/>
              </w:rPr>
            </w:pPr>
            <w:r>
              <w:rPr>
                <w:spacing w:val="-5"/>
                <w:sz w:val="20"/>
              </w:rPr>
              <w:t>3%</w:t>
            </w:r>
          </w:p>
        </w:tc>
      </w:tr>
      <w:tr>
        <w:trPr>
          <w:trHeight w:val="229" w:hRule="atLeast"/>
        </w:trPr>
        <w:tc>
          <w:tcPr>
            <w:tcW w:w="1032" w:type="dxa"/>
          </w:tcPr>
          <w:p>
            <w:pPr>
              <w:pStyle w:val="TableParagraph"/>
              <w:ind w:left="9"/>
              <w:rPr>
                <w:sz w:val="20"/>
              </w:rPr>
            </w:pPr>
            <w:r>
              <w:rPr>
                <w:spacing w:val="-5"/>
                <w:sz w:val="20"/>
              </w:rPr>
              <w:t>69</w:t>
            </w:r>
          </w:p>
        </w:tc>
        <w:tc>
          <w:tcPr>
            <w:tcW w:w="7060" w:type="dxa"/>
          </w:tcPr>
          <w:p>
            <w:pPr>
              <w:pStyle w:val="TableParagraph"/>
              <w:jc w:val="left"/>
              <w:rPr>
                <w:sz w:val="20"/>
              </w:rPr>
            </w:pPr>
            <w:r>
              <w:rPr>
                <w:sz w:val="20"/>
              </w:rPr>
              <w:t>Articulación</w:t>
            </w:r>
            <w:r>
              <w:rPr>
                <w:spacing w:val="-8"/>
                <w:sz w:val="20"/>
              </w:rPr>
              <w:t> </w:t>
            </w:r>
            <w:r>
              <w:rPr>
                <w:sz w:val="20"/>
              </w:rPr>
              <w:t>entre</w:t>
            </w:r>
            <w:r>
              <w:rPr>
                <w:spacing w:val="-6"/>
                <w:sz w:val="20"/>
              </w:rPr>
              <w:t> </w:t>
            </w:r>
            <w:r>
              <w:rPr>
                <w:sz w:val="20"/>
              </w:rPr>
              <w:t>las</w:t>
            </w:r>
            <w:r>
              <w:rPr>
                <w:spacing w:val="-6"/>
                <w:sz w:val="20"/>
              </w:rPr>
              <w:t> </w:t>
            </w:r>
            <w:r>
              <w:rPr>
                <w:sz w:val="20"/>
              </w:rPr>
              <w:t>falanges</w:t>
            </w:r>
            <w:r>
              <w:rPr>
                <w:spacing w:val="-7"/>
                <w:sz w:val="20"/>
              </w:rPr>
              <w:t> </w:t>
            </w:r>
            <w:r>
              <w:rPr>
                <w:sz w:val="20"/>
              </w:rPr>
              <w:t>proximal</w:t>
            </w:r>
            <w:r>
              <w:rPr>
                <w:spacing w:val="-6"/>
                <w:sz w:val="20"/>
              </w:rPr>
              <w:t> </w:t>
            </w:r>
            <w:r>
              <w:rPr>
                <w:sz w:val="20"/>
              </w:rPr>
              <w:t>y</w:t>
            </w:r>
            <w:r>
              <w:rPr>
                <w:spacing w:val="-10"/>
                <w:sz w:val="20"/>
              </w:rPr>
              <w:t> </w:t>
            </w:r>
            <w:r>
              <w:rPr>
                <w:sz w:val="20"/>
              </w:rPr>
              <w:t>media</w:t>
            </w:r>
            <w:r>
              <w:rPr>
                <w:spacing w:val="-6"/>
                <w:sz w:val="20"/>
              </w:rPr>
              <w:t> </w:t>
            </w:r>
            <w:r>
              <w:rPr>
                <w:sz w:val="20"/>
              </w:rPr>
              <w:t>del</w:t>
            </w:r>
            <w:r>
              <w:rPr>
                <w:spacing w:val="-8"/>
                <w:sz w:val="20"/>
              </w:rPr>
              <w:t> </w:t>
            </w:r>
            <w:r>
              <w:rPr>
                <w:spacing w:val="-2"/>
                <w:sz w:val="20"/>
              </w:rPr>
              <w:t>anular.</w:t>
            </w:r>
          </w:p>
        </w:tc>
        <w:tc>
          <w:tcPr>
            <w:tcW w:w="1457" w:type="dxa"/>
          </w:tcPr>
          <w:p>
            <w:pPr>
              <w:pStyle w:val="TableParagraph"/>
              <w:ind w:left="11" w:right="1"/>
              <w:rPr>
                <w:sz w:val="20"/>
              </w:rPr>
            </w:pPr>
            <w:r>
              <w:rPr>
                <w:spacing w:val="-5"/>
                <w:sz w:val="20"/>
              </w:rPr>
              <w:t>5%</w:t>
            </w:r>
          </w:p>
        </w:tc>
      </w:tr>
      <w:tr>
        <w:trPr>
          <w:trHeight w:val="232" w:hRule="atLeast"/>
        </w:trPr>
        <w:tc>
          <w:tcPr>
            <w:tcW w:w="1032" w:type="dxa"/>
          </w:tcPr>
          <w:p>
            <w:pPr>
              <w:pStyle w:val="TableParagraph"/>
              <w:spacing w:before="1"/>
              <w:ind w:left="9"/>
              <w:rPr>
                <w:sz w:val="20"/>
              </w:rPr>
            </w:pPr>
            <w:r>
              <w:rPr>
                <w:spacing w:val="-5"/>
                <w:sz w:val="20"/>
              </w:rPr>
              <w:t>70</w:t>
            </w:r>
          </w:p>
        </w:tc>
        <w:tc>
          <w:tcPr>
            <w:tcW w:w="7060" w:type="dxa"/>
          </w:tcPr>
          <w:p>
            <w:pPr>
              <w:pStyle w:val="TableParagraph"/>
              <w:spacing w:before="1"/>
              <w:jc w:val="left"/>
              <w:rPr>
                <w:sz w:val="20"/>
              </w:rPr>
            </w:pPr>
            <w:r>
              <w:rPr>
                <w:sz w:val="20"/>
              </w:rPr>
              <w:t>Articulación</w:t>
            </w:r>
            <w:r>
              <w:rPr>
                <w:spacing w:val="-8"/>
                <w:sz w:val="20"/>
              </w:rPr>
              <w:t> </w:t>
            </w:r>
            <w:r>
              <w:rPr>
                <w:sz w:val="20"/>
              </w:rPr>
              <w:t>entre</w:t>
            </w:r>
            <w:r>
              <w:rPr>
                <w:spacing w:val="-6"/>
                <w:sz w:val="20"/>
              </w:rPr>
              <w:t> </w:t>
            </w:r>
            <w:r>
              <w:rPr>
                <w:sz w:val="20"/>
              </w:rPr>
              <w:t>las</w:t>
            </w:r>
            <w:r>
              <w:rPr>
                <w:spacing w:val="-7"/>
                <w:sz w:val="20"/>
              </w:rPr>
              <w:t> </w:t>
            </w:r>
            <w:r>
              <w:rPr>
                <w:sz w:val="20"/>
              </w:rPr>
              <w:t>falanges</w:t>
            </w:r>
            <w:r>
              <w:rPr>
                <w:spacing w:val="-7"/>
                <w:sz w:val="20"/>
              </w:rPr>
              <w:t> </w:t>
            </w:r>
            <w:r>
              <w:rPr>
                <w:sz w:val="20"/>
              </w:rPr>
              <w:t>media</w:t>
            </w:r>
            <w:r>
              <w:rPr>
                <w:spacing w:val="-6"/>
                <w:sz w:val="20"/>
              </w:rPr>
              <w:t> </w:t>
            </w:r>
            <w:r>
              <w:rPr>
                <w:sz w:val="20"/>
              </w:rPr>
              <w:t>y</w:t>
            </w:r>
            <w:r>
              <w:rPr>
                <w:spacing w:val="-9"/>
                <w:sz w:val="20"/>
              </w:rPr>
              <w:t> </w:t>
            </w:r>
            <w:r>
              <w:rPr>
                <w:sz w:val="20"/>
              </w:rPr>
              <w:t>distal</w:t>
            </w:r>
            <w:r>
              <w:rPr>
                <w:spacing w:val="-6"/>
                <w:sz w:val="20"/>
              </w:rPr>
              <w:t> </w:t>
            </w:r>
            <w:r>
              <w:rPr>
                <w:sz w:val="20"/>
              </w:rPr>
              <w:t>del</w:t>
            </w:r>
            <w:r>
              <w:rPr>
                <w:spacing w:val="-7"/>
                <w:sz w:val="20"/>
              </w:rPr>
              <w:t> </w:t>
            </w:r>
            <w:r>
              <w:rPr>
                <w:spacing w:val="-2"/>
                <w:sz w:val="20"/>
              </w:rPr>
              <w:t>anular.</w:t>
            </w:r>
          </w:p>
        </w:tc>
        <w:tc>
          <w:tcPr>
            <w:tcW w:w="1457" w:type="dxa"/>
          </w:tcPr>
          <w:p>
            <w:pPr>
              <w:pStyle w:val="TableParagraph"/>
              <w:spacing w:before="1"/>
              <w:ind w:left="11" w:right="1"/>
              <w:rPr>
                <w:sz w:val="20"/>
              </w:rPr>
            </w:pPr>
            <w:r>
              <w:rPr>
                <w:spacing w:val="-5"/>
                <w:sz w:val="20"/>
              </w:rPr>
              <w:t>2%</w:t>
            </w:r>
          </w:p>
        </w:tc>
      </w:tr>
      <w:tr>
        <w:trPr>
          <w:trHeight w:val="229" w:hRule="atLeast"/>
        </w:trPr>
        <w:tc>
          <w:tcPr>
            <w:tcW w:w="1032" w:type="dxa"/>
          </w:tcPr>
          <w:p>
            <w:pPr>
              <w:pStyle w:val="TableParagraph"/>
              <w:ind w:left="9"/>
              <w:rPr>
                <w:sz w:val="20"/>
              </w:rPr>
            </w:pPr>
            <w:r>
              <w:rPr>
                <w:spacing w:val="-5"/>
                <w:sz w:val="20"/>
              </w:rPr>
              <w:t>71</w:t>
            </w:r>
          </w:p>
        </w:tc>
        <w:tc>
          <w:tcPr>
            <w:tcW w:w="7060" w:type="dxa"/>
          </w:tcPr>
          <w:p>
            <w:pPr>
              <w:pStyle w:val="TableParagraph"/>
              <w:jc w:val="left"/>
              <w:rPr>
                <w:sz w:val="20"/>
              </w:rPr>
            </w:pPr>
            <w:r>
              <w:rPr>
                <w:sz w:val="20"/>
              </w:rPr>
              <w:t>De</w:t>
            </w:r>
            <w:r>
              <w:rPr>
                <w:spacing w:val="-9"/>
                <w:sz w:val="20"/>
              </w:rPr>
              <w:t> </w:t>
            </w:r>
            <w:r>
              <w:rPr>
                <w:sz w:val="20"/>
              </w:rPr>
              <w:t>las</w:t>
            </w:r>
            <w:r>
              <w:rPr>
                <w:spacing w:val="-7"/>
                <w:sz w:val="20"/>
              </w:rPr>
              <w:t> </w:t>
            </w:r>
            <w:r>
              <w:rPr>
                <w:sz w:val="20"/>
              </w:rPr>
              <w:t>articulaciones</w:t>
            </w:r>
            <w:r>
              <w:rPr>
                <w:spacing w:val="-6"/>
                <w:sz w:val="20"/>
              </w:rPr>
              <w:t> </w:t>
            </w:r>
            <w:r>
              <w:rPr>
                <w:sz w:val="20"/>
              </w:rPr>
              <w:t>interfalángica</w:t>
            </w:r>
            <w:r>
              <w:rPr>
                <w:spacing w:val="-6"/>
                <w:sz w:val="20"/>
              </w:rPr>
              <w:t> </w:t>
            </w:r>
            <w:r>
              <w:rPr>
                <w:sz w:val="20"/>
              </w:rPr>
              <w:t>proximal</w:t>
            </w:r>
            <w:r>
              <w:rPr>
                <w:spacing w:val="-7"/>
                <w:sz w:val="20"/>
              </w:rPr>
              <w:t> </w:t>
            </w:r>
            <w:r>
              <w:rPr>
                <w:sz w:val="20"/>
              </w:rPr>
              <w:t>y</w:t>
            </w:r>
            <w:r>
              <w:rPr>
                <w:spacing w:val="-9"/>
                <w:sz w:val="20"/>
              </w:rPr>
              <w:t> </w:t>
            </w:r>
            <w:r>
              <w:rPr>
                <w:sz w:val="20"/>
              </w:rPr>
              <w:t>distal</w:t>
            </w:r>
            <w:r>
              <w:rPr>
                <w:spacing w:val="-8"/>
                <w:sz w:val="20"/>
              </w:rPr>
              <w:t> </w:t>
            </w:r>
            <w:r>
              <w:rPr>
                <w:sz w:val="20"/>
              </w:rPr>
              <w:t>del</w:t>
            </w:r>
            <w:r>
              <w:rPr>
                <w:spacing w:val="-9"/>
                <w:sz w:val="20"/>
              </w:rPr>
              <w:t> </w:t>
            </w:r>
            <w:r>
              <w:rPr>
                <w:spacing w:val="-2"/>
                <w:sz w:val="20"/>
              </w:rPr>
              <w:t>anular.</w:t>
            </w:r>
          </w:p>
        </w:tc>
        <w:tc>
          <w:tcPr>
            <w:tcW w:w="1457" w:type="dxa"/>
          </w:tcPr>
          <w:p>
            <w:pPr>
              <w:pStyle w:val="TableParagraph"/>
              <w:ind w:left="11" w:right="1"/>
              <w:rPr>
                <w:sz w:val="20"/>
              </w:rPr>
            </w:pPr>
            <w:r>
              <w:rPr>
                <w:spacing w:val="-5"/>
                <w:sz w:val="20"/>
              </w:rPr>
              <w:t>8%</w:t>
            </w:r>
          </w:p>
        </w:tc>
      </w:tr>
      <w:tr>
        <w:trPr>
          <w:trHeight w:val="229" w:hRule="atLeast"/>
        </w:trPr>
        <w:tc>
          <w:tcPr>
            <w:tcW w:w="1032" w:type="dxa"/>
          </w:tcPr>
          <w:p>
            <w:pPr>
              <w:pStyle w:val="TableParagraph"/>
              <w:ind w:left="9"/>
              <w:rPr>
                <w:sz w:val="20"/>
              </w:rPr>
            </w:pPr>
            <w:r>
              <w:rPr>
                <w:spacing w:val="-5"/>
                <w:sz w:val="20"/>
              </w:rPr>
              <w:t>72</w:t>
            </w:r>
          </w:p>
        </w:tc>
        <w:tc>
          <w:tcPr>
            <w:tcW w:w="7060" w:type="dxa"/>
          </w:tcPr>
          <w:p>
            <w:pPr>
              <w:pStyle w:val="TableParagraph"/>
              <w:jc w:val="left"/>
              <w:rPr>
                <w:sz w:val="20"/>
              </w:rPr>
            </w:pPr>
            <w:r>
              <w:rPr>
                <w:sz w:val="20"/>
              </w:rPr>
              <w:t>De</w:t>
            </w:r>
            <w:r>
              <w:rPr>
                <w:spacing w:val="-7"/>
                <w:sz w:val="20"/>
              </w:rPr>
              <w:t> </w:t>
            </w:r>
            <w:r>
              <w:rPr>
                <w:sz w:val="20"/>
              </w:rPr>
              <w:t>las</w:t>
            </w:r>
            <w:r>
              <w:rPr>
                <w:spacing w:val="-6"/>
                <w:sz w:val="20"/>
              </w:rPr>
              <w:t> </w:t>
            </w:r>
            <w:r>
              <w:rPr>
                <w:sz w:val="20"/>
              </w:rPr>
              <w:t>tres</w:t>
            </w:r>
            <w:r>
              <w:rPr>
                <w:spacing w:val="-5"/>
                <w:sz w:val="20"/>
              </w:rPr>
              <w:t> </w:t>
            </w:r>
            <w:r>
              <w:rPr>
                <w:sz w:val="20"/>
              </w:rPr>
              <w:t>articulaciones</w:t>
            </w:r>
            <w:r>
              <w:rPr>
                <w:spacing w:val="-4"/>
                <w:sz w:val="20"/>
              </w:rPr>
              <w:t> </w:t>
            </w:r>
            <w:r>
              <w:rPr>
                <w:sz w:val="20"/>
              </w:rPr>
              <w:t>del</w:t>
            </w:r>
            <w:r>
              <w:rPr>
                <w:spacing w:val="-8"/>
                <w:sz w:val="20"/>
              </w:rPr>
              <w:t> </w:t>
            </w:r>
            <w:r>
              <w:rPr>
                <w:spacing w:val="-2"/>
                <w:sz w:val="20"/>
              </w:rPr>
              <w:t>anular.</w:t>
            </w:r>
          </w:p>
        </w:tc>
        <w:tc>
          <w:tcPr>
            <w:tcW w:w="1457" w:type="dxa"/>
          </w:tcPr>
          <w:p>
            <w:pPr>
              <w:pStyle w:val="TableParagraph"/>
              <w:ind w:left="11" w:right="1"/>
              <w:rPr>
                <w:sz w:val="20"/>
              </w:rPr>
            </w:pPr>
            <w:r>
              <w:rPr>
                <w:spacing w:val="-5"/>
                <w:sz w:val="20"/>
              </w:rPr>
              <w:t>12%</w:t>
            </w:r>
          </w:p>
        </w:tc>
      </w:tr>
      <w:tr>
        <w:trPr>
          <w:trHeight w:val="229" w:hRule="atLeast"/>
        </w:trPr>
        <w:tc>
          <w:tcPr>
            <w:tcW w:w="1032" w:type="dxa"/>
          </w:tcPr>
          <w:p>
            <w:pPr>
              <w:pStyle w:val="TableParagraph"/>
              <w:ind w:left="9"/>
              <w:rPr>
                <w:sz w:val="20"/>
              </w:rPr>
            </w:pPr>
            <w:r>
              <w:rPr>
                <w:spacing w:val="-5"/>
                <w:sz w:val="20"/>
              </w:rPr>
              <w:t>73</w:t>
            </w:r>
          </w:p>
        </w:tc>
        <w:tc>
          <w:tcPr>
            <w:tcW w:w="7060" w:type="dxa"/>
          </w:tcPr>
          <w:p>
            <w:pPr>
              <w:pStyle w:val="TableParagraph"/>
              <w:jc w:val="left"/>
              <w:rPr>
                <w:sz w:val="20"/>
              </w:rPr>
            </w:pPr>
            <w:r>
              <w:rPr>
                <w:spacing w:val="-2"/>
                <w:sz w:val="20"/>
              </w:rPr>
              <w:t>Articulación</w:t>
            </w:r>
            <w:r>
              <w:rPr>
                <w:spacing w:val="8"/>
                <w:sz w:val="20"/>
              </w:rPr>
              <w:t> </w:t>
            </w:r>
            <w:r>
              <w:rPr>
                <w:spacing w:val="-2"/>
                <w:sz w:val="20"/>
              </w:rPr>
              <w:t>metacarpo-falángica</w:t>
            </w:r>
            <w:r>
              <w:rPr>
                <w:spacing w:val="10"/>
                <w:sz w:val="20"/>
              </w:rPr>
              <w:t> </w:t>
            </w:r>
            <w:r>
              <w:rPr>
                <w:spacing w:val="-2"/>
                <w:sz w:val="20"/>
              </w:rPr>
              <w:t>del</w:t>
            </w:r>
            <w:r>
              <w:rPr>
                <w:spacing w:val="7"/>
                <w:sz w:val="20"/>
              </w:rPr>
              <w:t> </w:t>
            </w:r>
            <w:r>
              <w:rPr>
                <w:spacing w:val="-2"/>
                <w:sz w:val="20"/>
              </w:rPr>
              <w:t>meñique.</w:t>
            </w:r>
          </w:p>
        </w:tc>
        <w:tc>
          <w:tcPr>
            <w:tcW w:w="1457" w:type="dxa"/>
          </w:tcPr>
          <w:p>
            <w:pPr>
              <w:pStyle w:val="TableParagraph"/>
              <w:ind w:left="11" w:right="1"/>
              <w:rPr>
                <w:sz w:val="20"/>
              </w:rPr>
            </w:pPr>
            <w:r>
              <w:rPr>
                <w:spacing w:val="-5"/>
                <w:sz w:val="20"/>
              </w:rPr>
              <w:t>3%</w:t>
            </w:r>
          </w:p>
        </w:tc>
      </w:tr>
      <w:tr>
        <w:trPr>
          <w:trHeight w:val="229" w:hRule="atLeast"/>
        </w:trPr>
        <w:tc>
          <w:tcPr>
            <w:tcW w:w="1032" w:type="dxa"/>
          </w:tcPr>
          <w:p>
            <w:pPr>
              <w:pStyle w:val="TableParagraph"/>
              <w:ind w:left="9"/>
              <w:rPr>
                <w:sz w:val="20"/>
              </w:rPr>
            </w:pPr>
            <w:r>
              <w:rPr>
                <w:spacing w:val="-5"/>
                <w:sz w:val="20"/>
              </w:rPr>
              <w:t>74</w:t>
            </w:r>
          </w:p>
        </w:tc>
        <w:tc>
          <w:tcPr>
            <w:tcW w:w="7060" w:type="dxa"/>
          </w:tcPr>
          <w:p>
            <w:pPr>
              <w:pStyle w:val="TableParagraph"/>
              <w:jc w:val="left"/>
              <w:rPr>
                <w:sz w:val="20"/>
              </w:rPr>
            </w:pPr>
            <w:r>
              <w:rPr>
                <w:sz w:val="20"/>
              </w:rPr>
              <w:t>Articulación</w:t>
            </w:r>
            <w:r>
              <w:rPr>
                <w:spacing w:val="-8"/>
                <w:sz w:val="20"/>
              </w:rPr>
              <w:t> </w:t>
            </w:r>
            <w:r>
              <w:rPr>
                <w:sz w:val="20"/>
              </w:rPr>
              <w:t>entre</w:t>
            </w:r>
            <w:r>
              <w:rPr>
                <w:spacing w:val="-6"/>
                <w:sz w:val="20"/>
              </w:rPr>
              <w:t> </w:t>
            </w:r>
            <w:r>
              <w:rPr>
                <w:sz w:val="20"/>
              </w:rPr>
              <w:t>las</w:t>
            </w:r>
            <w:r>
              <w:rPr>
                <w:spacing w:val="-6"/>
                <w:sz w:val="20"/>
              </w:rPr>
              <w:t> </w:t>
            </w:r>
            <w:r>
              <w:rPr>
                <w:sz w:val="20"/>
              </w:rPr>
              <w:t>falanges</w:t>
            </w:r>
            <w:r>
              <w:rPr>
                <w:spacing w:val="-7"/>
                <w:sz w:val="20"/>
              </w:rPr>
              <w:t> </w:t>
            </w:r>
            <w:r>
              <w:rPr>
                <w:sz w:val="20"/>
              </w:rPr>
              <w:t>proximal</w:t>
            </w:r>
            <w:r>
              <w:rPr>
                <w:spacing w:val="-7"/>
                <w:sz w:val="20"/>
              </w:rPr>
              <w:t> </w:t>
            </w:r>
            <w:r>
              <w:rPr>
                <w:sz w:val="20"/>
              </w:rPr>
              <w:t>y</w:t>
            </w:r>
            <w:r>
              <w:rPr>
                <w:spacing w:val="-10"/>
                <w:sz w:val="20"/>
              </w:rPr>
              <w:t> </w:t>
            </w:r>
            <w:r>
              <w:rPr>
                <w:sz w:val="20"/>
              </w:rPr>
              <w:t>media</w:t>
            </w:r>
            <w:r>
              <w:rPr>
                <w:spacing w:val="-6"/>
                <w:sz w:val="20"/>
              </w:rPr>
              <w:t> </w:t>
            </w:r>
            <w:r>
              <w:rPr>
                <w:sz w:val="20"/>
              </w:rPr>
              <w:t>del</w:t>
            </w:r>
            <w:r>
              <w:rPr>
                <w:spacing w:val="-8"/>
                <w:sz w:val="20"/>
              </w:rPr>
              <w:t> </w:t>
            </w:r>
            <w:r>
              <w:rPr>
                <w:spacing w:val="-2"/>
                <w:sz w:val="20"/>
              </w:rPr>
              <w:t>meñique.</w:t>
            </w:r>
          </w:p>
        </w:tc>
        <w:tc>
          <w:tcPr>
            <w:tcW w:w="1457" w:type="dxa"/>
          </w:tcPr>
          <w:p>
            <w:pPr>
              <w:pStyle w:val="TableParagraph"/>
              <w:ind w:left="11" w:right="1"/>
              <w:rPr>
                <w:sz w:val="20"/>
              </w:rPr>
            </w:pPr>
            <w:r>
              <w:rPr>
                <w:spacing w:val="-5"/>
                <w:sz w:val="20"/>
              </w:rPr>
              <w:t>5%</w:t>
            </w:r>
          </w:p>
        </w:tc>
      </w:tr>
      <w:tr>
        <w:trPr>
          <w:trHeight w:val="229" w:hRule="atLeast"/>
        </w:trPr>
        <w:tc>
          <w:tcPr>
            <w:tcW w:w="1032" w:type="dxa"/>
          </w:tcPr>
          <w:p>
            <w:pPr>
              <w:pStyle w:val="TableParagraph"/>
              <w:ind w:left="9"/>
              <w:rPr>
                <w:sz w:val="20"/>
              </w:rPr>
            </w:pPr>
            <w:r>
              <w:rPr>
                <w:spacing w:val="-5"/>
                <w:sz w:val="20"/>
              </w:rPr>
              <w:t>75</w:t>
            </w:r>
          </w:p>
        </w:tc>
        <w:tc>
          <w:tcPr>
            <w:tcW w:w="7060" w:type="dxa"/>
          </w:tcPr>
          <w:p>
            <w:pPr>
              <w:pStyle w:val="TableParagraph"/>
              <w:jc w:val="left"/>
              <w:rPr>
                <w:sz w:val="20"/>
              </w:rPr>
            </w:pPr>
            <w:r>
              <w:rPr>
                <w:sz w:val="20"/>
              </w:rPr>
              <w:t>Articulación</w:t>
            </w:r>
            <w:r>
              <w:rPr>
                <w:spacing w:val="-8"/>
                <w:sz w:val="20"/>
              </w:rPr>
              <w:t> </w:t>
            </w:r>
            <w:r>
              <w:rPr>
                <w:sz w:val="20"/>
              </w:rPr>
              <w:t>entre</w:t>
            </w:r>
            <w:r>
              <w:rPr>
                <w:spacing w:val="-6"/>
                <w:sz w:val="20"/>
              </w:rPr>
              <w:t> </w:t>
            </w:r>
            <w:r>
              <w:rPr>
                <w:sz w:val="20"/>
              </w:rPr>
              <w:t>las</w:t>
            </w:r>
            <w:r>
              <w:rPr>
                <w:spacing w:val="-7"/>
                <w:sz w:val="20"/>
              </w:rPr>
              <w:t> </w:t>
            </w:r>
            <w:r>
              <w:rPr>
                <w:sz w:val="20"/>
              </w:rPr>
              <w:t>falanges</w:t>
            </w:r>
            <w:r>
              <w:rPr>
                <w:spacing w:val="-7"/>
                <w:sz w:val="20"/>
              </w:rPr>
              <w:t> </w:t>
            </w:r>
            <w:r>
              <w:rPr>
                <w:sz w:val="20"/>
              </w:rPr>
              <w:t>media</w:t>
            </w:r>
            <w:r>
              <w:rPr>
                <w:spacing w:val="-6"/>
                <w:sz w:val="20"/>
              </w:rPr>
              <w:t> </w:t>
            </w:r>
            <w:r>
              <w:rPr>
                <w:sz w:val="20"/>
              </w:rPr>
              <w:t>y</w:t>
            </w:r>
            <w:r>
              <w:rPr>
                <w:spacing w:val="-9"/>
                <w:sz w:val="20"/>
              </w:rPr>
              <w:t> </w:t>
            </w:r>
            <w:r>
              <w:rPr>
                <w:sz w:val="20"/>
              </w:rPr>
              <w:t>distal</w:t>
            </w:r>
            <w:r>
              <w:rPr>
                <w:spacing w:val="-6"/>
                <w:sz w:val="20"/>
              </w:rPr>
              <w:t> </w:t>
            </w:r>
            <w:r>
              <w:rPr>
                <w:sz w:val="20"/>
              </w:rPr>
              <w:t>del</w:t>
            </w:r>
            <w:r>
              <w:rPr>
                <w:spacing w:val="-7"/>
                <w:sz w:val="20"/>
              </w:rPr>
              <w:t> </w:t>
            </w:r>
            <w:r>
              <w:rPr>
                <w:spacing w:val="-2"/>
                <w:sz w:val="20"/>
              </w:rPr>
              <w:t>meñique.</w:t>
            </w:r>
          </w:p>
        </w:tc>
        <w:tc>
          <w:tcPr>
            <w:tcW w:w="1457" w:type="dxa"/>
          </w:tcPr>
          <w:p>
            <w:pPr>
              <w:pStyle w:val="TableParagraph"/>
              <w:ind w:left="11" w:right="1"/>
              <w:rPr>
                <w:sz w:val="20"/>
              </w:rPr>
            </w:pPr>
            <w:r>
              <w:rPr>
                <w:spacing w:val="-5"/>
                <w:sz w:val="20"/>
              </w:rPr>
              <w:t>2%</w:t>
            </w:r>
          </w:p>
        </w:tc>
      </w:tr>
      <w:tr>
        <w:trPr>
          <w:trHeight w:val="229" w:hRule="atLeast"/>
        </w:trPr>
        <w:tc>
          <w:tcPr>
            <w:tcW w:w="1032" w:type="dxa"/>
          </w:tcPr>
          <w:p>
            <w:pPr>
              <w:pStyle w:val="TableParagraph"/>
              <w:ind w:left="9"/>
              <w:rPr>
                <w:sz w:val="20"/>
              </w:rPr>
            </w:pPr>
            <w:r>
              <w:rPr>
                <w:spacing w:val="-5"/>
                <w:sz w:val="20"/>
              </w:rPr>
              <w:t>76</w:t>
            </w:r>
          </w:p>
        </w:tc>
        <w:tc>
          <w:tcPr>
            <w:tcW w:w="7060" w:type="dxa"/>
          </w:tcPr>
          <w:p>
            <w:pPr>
              <w:pStyle w:val="TableParagraph"/>
              <w:jc w:val="left"/>
              <w:rPr>
                <w:sz w:val="20"/>
              </w:rPr>
            </w:pPr>
            <w:r>
              <w:rPr>
                <w:sz w:val="20"/>
              </w:rPr>
              <w:t>De</w:t>
            </w:r>
            <w:r>
              <w:rPr>
                <w:spacing w:val="-9"/>
                <w:sz w:val="20"/>
              </w:rPr>
              <w:t> </w:t>
            </w:r>
            <w:r>
              <w:rPr>
                <w:sz w:val="20"/>
              </w:rPr>
              <w:t>las</w:t>
            </w:r>
            <w:r>
              <w:rPr>
                <w:spacing w:val="-7"/>
                <w:sz w:val="20"/>
              </w:rPr>
              <w:t> </w:t>
            </w:r>
            <w:r>
              <w:rPr>
                <w:sz w:val="20"/>
              </w:rPr>
              <w:t>articulaciones</w:t>
            </w:r>
            <w:r>
              <w:rPr>
                <w:spacing w:val="-6"/>
                <w:sz w:val="20"/>
              </w:rPr>
              <w:t> </w:t>
            </w:r>
            <w:r>
              <w:rPr>
                <w:sz w:val="20"/>
              </w:rPr>
              <w:t>interfalángica</w:t>
            </w:r>
            <w:r>
              <w:rPr>
                <w:spacing w:val="-6"/>
                <w:sz w:val="20"/>
              </w:rPr>
              <w:t> </w:t>
            </w:r>
            <w:r>
              <w:rPr>
                <w:sz w:val="20"/>
              </w:rPr>
              <w:t>proximal</w:t>
            </w:r>
            <w:r>
              <w:rPr>
                <w:spacing w:val="-7"/>
                <w:sz w:val="20"/>
              </w:rPr>
              <w:t> </w:t>
            </w:r>
            <w:r>
              <w:rPr>
                <w:sz w:val="20"/>
              </w:rPr>
              <w:t>y</w:t>
            </w:r>
            <w:r>
              <w:rPr>
                <w:spacing w:val="-9"/>
                <w:sz w:val="20"/>
              </w:rPr>
              <w:t> </w:t>
            </w:r>
            <w:r>
              <w:rPr>
                <w:sz w:val="20"/>
              </w:rPr>
              <w:t>distal</w:t>
            </w:r>
            <w:r>
              <w:rPr>
                <w:spacing w:val="-8"/>
                <w:sz w:val="20"/>
              </w:rPr>
              <w:t> </w:t>
            </w:r>
            <w:r>
              <w:rPr>
                <w:sz w:val="20"/>
              </w:rPr>
              <w:t>del</w:t>
            </w:r>
            <w:r>
              <w:rPr>
                <w:spacing w:val="-9"/>
                <w:sz w:val="20"/>
              </w:rPr>
              <w:t> </w:t>
            </w:r>
            <w:r>
              <w:rPr>
                <w:spacing w:val="-2"/>
                <w:sz w:val="20"/>
              </w:rPr>
              <w:t>meñique.</w:t>
            </w:r>
          </w:p>
        </w:tc>
        <w:tc>
          <w:tcPr>
            <w:tcW w:w="1457" w:type="dxa"/>
          </w:tcPr>
          <w:p>
            <w:pPr>
              <w:pStyle w:val="TableParagraph"/>
              <w:ind w:left="11" w:right="1"/>
              <w:rPr>
                <w:sz w:val="20"/>
              </w:rPr>
            </w:pPr>
            <w:r>
              <w:rPr>
                <w:spacing w:val="-5"/>
                <w:sz w:val="20"/>
              </w:rPr>
              <w:t>8%</w:t>
            </w:r>
          </w:p>
        </w:tc>
      </w:tr>
      <w:tr>
        <w:trPr>
          <w:trHeight w:val="229" w:hRule="atLeast"/>
        </w:trPr>
        <w:tc>
          <w:tcPr>
            <w:tcW w:w="1032" w:type="dxa"/>
          </w:tcPr>
          <w:p>
            <w:pPr>
              <w:pStyle w:val="TableParagraph"/>
              <w:ind w:left="9"/>
              <w:rPr>
                <w:sz w:val="20"/>
              </w:rPr>
            </w:pPr>
            <w:r>
              <w:rPr>
                <w:spacing w:val="-5"/>
                <w:sz w:val="20"/>
              </w:rPr>
              <w:t>77</w:t>
            </w:r>
          </w:p>
        </w:tc>
        <w:tc>
          <w:tcPr>
            <w:tcW w:w="7060" w:type="dxa"/>
          </w:tcPr>
          <w:p>
            <w:pPr>
              <w:pStyle w:val="TableParagraph"/>
              <w:jc w:val="left"/>
              <w:rPr>
                <w:sz w:val="20"/>
              </w:rPr>
            </w:pPr>
            <w:r>
              <w:rPr>
                <w:sz w:val="20"/>
              </w:rPr>
              <w:t>De</w:t>
            </w:r>
            <w:r>
              <w:rPr>
                <w:spacing w:val="-7"/>
                <w:sz w:val="20"/>
              </w:rPr>
              <w:t> </w:t>
            </w:r>
            <w:r>
              <w:rPr>
                <w:sz w:val="20"/>
              </w:rPr>
              <w:t>las</w:t>
            </w:r>
            <w:r>
              <w:rPr>
                <w:spacing w:val="-6"/>
                <w:sz w:val="20"/>
              </w:rPr>
              <w:t> </w:t>
            </w:r>
            <w:r>
              <w:rPr>
                <w:sz w:val="20"/>
              </w:rPr>
              <w:t>tres</w:t>
            </w:r>
            <w:r>
              <w:rPr>
                <w:spacing w:val="-4"/>
                <w:sz w:val="20"/>
              </w:rPr>
              <w:t> </w:t>
            </w:r>
            <w:r>
              <w:rPr>
                <w:sz w:val="20"/>
              </w:rPr>
              <w:t>articulaciones</w:t>
            </w:r>
            <w:r>
              <w:rPr>
                <w:spacing w:val="-4"/>
                <w:sz w:val="20"/>
              </w:rPr>
              <w:t> </w:t>
            </w:r>
            <w:r>
              <w:rPr>
                <w:sz w:val="20"/>
              </w:rPr>
              <w:t>del</w:t>
            </w:r>
            <w:r>
              <w:rPr>
                <w:spacing w:val="-8"/>
                <w:sz w:val="20"/>
              </w:rPr>
              <w:t> </w:t>
            </w:r>
            <w:r>
              <w:rPr>
                <w:spacing w:val="-2"/>
                <w:sz w:val="20"/>
              </w:rPr>
              <w:t>meñique.</w:t>
            </w:r>
          </w:p>
        </w:tc>
        <w:tc>
          <w:tcPr>
            <w:tcW w:w="1457" w:type="dxa"/>
          </w:tcPr>
          <w:p>
            <w:pPr>
              <w:pStyle w:val="TableParagraph"/>
              <w:ind w:left="11" w:right="1"/>
              <w:rPr>
                <w:sz w:val="20"/>
              </w:rPr>
            </w:pPr>
            <w:r>
              <w:rPr>
                <w:spacing w:val="-5"/>
                <w:sz w:val="20"/>
              </w:rPr>
              <w:t>12%</w:t>
            </w:r>
          </w:p>
        </w:tc>
      </w:tr>
    </w:tbl>
    <w:p>
      <w:pPr>
        <w:pStyle w:val="BodyText"/>
        <w:spacing w:before="22"/>
        <w:rPr>
          <w:rFonts w:ascii="Arial"/>
          <w:b/>
        </w:rPr>
      </w:pPr>
    </w:p>
    <w:p>
      <w:pPr>
        <w:spacing w:before="0"/>
        <w:ind w:left="296" w:right="296" w:firstLine="0"/>
        <w:jc w:val="center"/>
        <w:rPr>
          <w:rFonts w:ascii="Arial"/>
          <w:b/>
          <w:sz w:val="20"/>
        </w:rPr>
      </w:pPr>
      <w:r>
        <w:rPr>
          <w:rFonts w:ascii="Arial"/>
          <w:b/>
          <w:sz w:val="20"/>
        </w:rPr>
        <w:t>Rigideces</w:t>
      </w:r>
      <w:r>
        <w:rPr>
          <w:rFonts w:ascii="Arial"/>
          <w:b/>
          <w:spacing w:val="-14"/>
          <w:sz w:val="20"/>
        </w:rPr>
        <w:t> </w:t>
      </w:r>
      <w:r>
        <w:rPr>
          <w:rFonts w:ascii="Arial"/>
          <w:b/>
          <w:spacing w:val="-2"/>
          <w:sz w:val="20"/>
        </w:rPr>
        <w:t>articulares</w:t>
      </w:r>
    </w:p>
    <w:p>
      <w:pPr>
        <w:pStyle w:val="BodyText"/>
        <w:spacing w:before="1"/>
        <w:rPr>
          <w:rFonts w:ascii="Arial"/>
          <w:b/>
        </w:rPr>
      </w:pPr>
    </w:p>
    <w:p>
      <w:pPr>
        <w:spacing w:before="0"/>
        <w:ind w:left="382" w:right="386" w:firstLine="0"/>
        <w:jc w:val="center"/>
        <w:rPr>
          <w:rFonts w:ascii="Arial" w:hAnsi="Arial"/>
          <w:b/>
          <w:sz w:val="20"/>
        </w:rPr>
      </w:pPr>
      <w:r>
        <w:rPr>
          <w:rFonts w:ascii="Arial" w:hAnsi="Arial"/>
          <w:b/>
          <w:sz w:val="20"/>
        </w:rPr>
        <w:t>Disminución</w:t>
      </w:r>
      <w:r>
        <w:rPr>
          <w:rFonts w:ascii="Arial" w:hAnsi="Arial"/>
          <w:b/>
          <w:spacing w:val="-8"/>
          <w:sz w:val="20"/>
        </w:rPr>
        <w:t> </w:t>
      </w: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8"/>
          <w:sz w:val="20"/>
        </w:rPr>
        <w:t> </w:t>
      </w:r>
      <w:r>
        <w:rPr>
          <w:rFonts w:ascii="Arial" w:hAnsi="Arial"/>
          <w:b/>
          <w:sz w:val="20"/>
        </w:rPr>
        <w:t>movimientos</w:t>
      </w:r>
      <w:r>
        <w:rPr>
          <w:rFonts w:ascii="Arial" w:hAnsi="Arial"/>
          <w:b/>
          <w:spacing w:val="-9"/>
          <w:sz w:val="20"/>
        </w:rPr>
        <w:t> </w:t>
      </w:r>
      <w:r>
        <w:rPr>
          <w:rFonts w:ascii="Arial" w:hAnsi="Arial"/>
          <w:b/>
          <w:sz w:val="20"/>
        </w:rPr>
        <w:t>por</w:t>
      </w:r>
      <w:r>
        <w:rPr>
          <w:rFonts w:ascii="Arial" w:hAnsi="Arial"/>
          <w:b/>
          <w:spacing w:val="-8"/>
          <w:sz w:val="20"/>
        </w:rPr>
        <w:t> </w:t>
      </w:r>
      <w:r>
        <w:rPr>
          <w:rFonts w:ascii="Arial" w:hAnsi="Arial"/>
          <w:b/>
          <w:sz w:val="20"/>
        </w:rPr>
        <w:t>lesiones</w:t>
      </w:r>
      <w:r>
        <w:rPr>
          <w:rFonts w:ascii="Arial" w:hAnsi="Arial"/>
          <w:b/>
          <w:spacing w:val="-9"/>
          <w:sz w:val="20"/>
        </w:rPr>
        <w:t> </w:t>
      </w:r>
      <w:r>
        <w:rPr>
          <w:rFonts w:ascii="Arial" w:hAnsi="Arial"/>
          <w:b/>
          <w:sz w:val="20"/>
        </w:rPr>
        <w:t>articulares,</w:t>
      </w:r>
      <w:r>
        <w:rPr>
          <w:rFonts w:ascii="Arial" w:hAnsi="Arial"/>
          <w:b/>
          <w:spacing w:val="-8"/>
          <w:sz w:val="20"/>
        </w:rPr>
        <w:t> </w:t>
      </w:r>
      <w:r>
        <w:rPr>
          <w:rFonts w:ascii="Arial" w:hAnsi="Arial"/>
          <w:b/>
          <w:sz w:val="20"/>
        </w:rPr>
        <w:t>tendinosas</w:t>
      </w:r>
      <w:r>
        <w:rPr>
          <w:rFonts w:ascii="Arial" w:hAnsi="Arial"/>
          <w:b/>
          <w:spacing w:val="-9"/>
          <w:sz w:val="20"/>
        </w:rPr>
        <w:t> </w:t>
      </w:r>
      <w:r>
        <w:rPr>
          <w:rFonts w:ascii="Arial" w:hAnsi="Arial"/>
          <w:b/>
          <w:sz w:val="20"/>
        </w:rPr>
        <w:t>o</w:t>
      </w:r>
      <w:r>
        <w:rPr>
          <w:rFonts w:ascii="Arial" w:hAnsi="Arial"/>
          <w:b/>
          <w:spacing w:val="-9"/>
          <w:sz w:val="20"/>
        </w:rPr>
        <w:t> </w:t>
      </w:r>
      <w:r>
        <w:rPr>
          <w:rFonts w:ascii="Arial" w:hAnsi="Arial"/>
          <w:b/>
          <w:spacing w:val="-2"/>
          <w:sz w:val="20"/>
        </w:rPr>
        <w:t>musculares</w:t>
      </w:r>
    </w:p>
    <w:p>
      <w:pPr>
        <w:pStyle w:val="BodyText"/>
        <w:spacing w:before="1"/>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2"/>
        <w:gridCol w:w="7060"/>
        <w:gridCol w:w="1457"/>
      </w:tblGrid>
      <w:tr>
        <w:trPr>
          <w:trHeight w:val="232" w:hRule="atLeast"/>
        </w:trPr>
        <w:tc>
          <w:tcPr>
            <w:tcW w:w="1032" w:type="dxa"/>
          </w:tcPr>
          <w:p>
            <w:pPr>
              <w:pStyle w:val="TableParagraph"/>
              <w:spacing w:before="1"/>
              <w:ind w:left="9"/>
              <w:rPr>
                <w:sz w:val="20"/>
              </w:rPr>
            </w:pPr>
            <w:r>
              <w:rPr>
                <w:spacing w:val="-5"/>
                <w:sz w:val="20"/>
              </w:rPr>
              <w:t>78</w:t>
            </w:r>
          </w:p>
        </w:tc>
        <w:tc>
          <w:tcPr>
            <w:tcW w:w="7060" w:type="dxa"/>
          </w:tcPr>
          <w:p>
            <w:pPr>
              <w:pStyle w:val="TableParagraph"/>
              <w:spacing w:before="1"/>
              <w:jc w:val="left"/>
              <w:rPr>
                <w:sz w:val="20"/>
              </w:rPr>
            </w:pPr>
            <w:r>
              <w:rPr>
                <w:sz w:val="20"/>
              </w:rPr>
              <w:t>Del</w:t>
            </w:r>
            <w:r>
              <w:rPr>
                <w:spacing w:val="-8"/>
                <w:sz w:val="20"/>
              </w:rPr>
              <w:t> </w:t>
            </w:r>
            <w:r>
              <w:rPr>
                <w:sz w:val="20"/>
              </w:rPr>
              <w:t>hombro,</w:t>
            </w:r>
            <w:r>
              <w:rPr>
                <w:spacing w:val="-7"/>
                <w:sz w:val="20"/>
              </w:rPr>
              <w:t> </w:t>
            </w:r>
            <w:r>
              <w:rPr>
                <w:sz w:val="20"/>
              </w:rPr>
              <w:t>afectando</w:t>
            </w:r>
            <w:r>
              <w:rPr>
                <w:spacing w:val="-7"/>
                <w:sz w:val="20"/>
              </w:rPr>
              <w:t> </w:t>
            </w:r>
            <w:r>
              <w:rPr>
                <w:sz w:val="20"/>
              </w:rPr>
              <w:t>principalmente</w:t>
            </w:r>
            <w:r>
              <w:rPr>
                <w:spacing w:val="-7"/>
                <w:sz w:val="20"/>
              </w:rPr>
              <w:t> </w:t>
            </w:r>
            <w:r>
              <w:rPr>
                <w:sz w:val="20"/>
              </w:rPr>
              <w:t>la</w:t>
            </w:r>
            <w:r>
              <w:rPr>
                <w:spacing w:val="-7"/>
                <w:sz w:val="20"/>
              </w:rPr>
              <w:t> </w:t>
            </w:r>
            <w:r>
              <w:rPr>
                <w:sz w:val="20"/>
              </w:rPr>
              <w:t>flexión</w:t>
            </w:r>
            <w:r>
              <w:rPr>
                <w:spacing w:val="-5"/>
                <w:sz w:val="20"/>
              </w:rPr>
              <w:t> </w:t>
            </w:r>
            <w:r>
              <w:rPr>
                <w:sz w:val="20"/>
              </w:rPr>
              <w:t>y</w:t>
            </w:r>
            <w:r>
              <w:rPr>
                <w:spacing w:val="-9"/>
                <w:sz w:val="20"/>
              </w:rPr>
              <w:t> </w:t>
            </w:r>
            <w:r>
              <w:rPr>
                <w:sz w:val="20"/>
              </w:rPr>
              <w:t>la</w:t>
            </w:r>
            <w:r>
              <w:rPr>
                <w:spacing w:val="-8"/>
                <w:sz w:val="20"/>
              </w:rPr>
              <w:t> </w:t>
            </w:r>
            <w:r>
              <w:rPr>
                <w:spacing w:val="-2"/>
                <w:sz w:val="20"/>
              </w:rPr>
              <w:t>abducción.</w:t>
            </w:r>
          </w:p>
        </w:tc>
        <w:tc>
          <w:tcPr>
            <w:tcW w:w="1457" w:type="dxa"/>
          </w:tcPr>
          <w:p>
            <w:pPr>
              <w:pStyle w:val="TableParagraph"/>
              <w:spacing w:before="1"/>
              <w:ind w:left="11" w:right="3"/>
              <w:rPr>
                <w:sz w:val="20"/>
              </w:rPr>
            </w:pPr>
            <w:r>
              <w:rPr>
                <w:sz w:val="20"/>
              </w:rPr>
              <w:t>10</w:t>
            </w:r>
            <w:r>
              <w:rPr>
                <w:spacing w:val="-3"/>
                <w:sz w:val="20"/>
              </w:rPr>
              <w:t> </w:t>
            </w:r>
            <w:r>
              <w:rPr>
                <w:sz w:val="20"/>
              </w:rPr>
              <w:t>a</w:t>
            </w:r>
            <w:r>
              <w:rPr>
                <w:spacing w:val="-1"/>
                <w:sz w:val="20"/>
              </w:rPr>
              <w:t> </w:t>
            </w:r>
            <w:r>
              <w:rPr>
                <w:spacing w:val="-5"/>
                <w:sz w:val="20"/>
              </w:rPr>
              <w:t>30%</w:t>
            </w:r>
          </w:p>
        </w:tc>
      </w:tr>
      <w:tr>
        <w:trPr>
          <w:trHeight w:val="457" w:hRule="atLeast"/>
        </w:trPr>
        <w:tc>
          <w:tcPr>
            <w:tcW w:w="1032" w:type="dxa"/>
          </w:tcPr>
          <w:p>
            <w:pPr>
              <w:pStyle w:val="TableParagraph"/>
              <w:spacing w:line="240" w:lineRule="auto" w:before="112"/>
              <w:ind w:left="9"/>
              <w:rPr>
                <w:sz w:val="20"/>
              </w:rPr>
            </w:pPr>
            <w:r>
              <w:rPr>
                <w:spacing w:val="-5"/>
                <w:sz w:val="20"/>
              </w:rPr>
              <w:t>79</w:t>
            </w:r>
          </w:p>
        </w:tc>
        <w:tc>
          <w:tcPr>
            <w:tcW w:w="7060" w:type="dxa"/>
          </w:tcPr>
          <w:p>
            <w:pPr>
              <w:pStyle w:val="TableParagraph"/>
              <w:spacing w:line="228" w:lineRule="exact"/>
              <w:jc w:val="left"/>
              <w:rPr>
                <w:sz w:val="20"/>
              </w:rPr>
            </w:pPr>
            <w:r>
              <w:rPr>
                <w:sz w:val="20"/>
              </w:rPr>
              <w:t>Del codo, que no permite la extensión completa, con un ángulo de flexión de 90 a 140 grados.</w:t>
            </w:r>
          </w:p>
        </w:tc>
        <w:tc>
          <w:tcPr>
            <w:tcW w:w="1457" w:type="dxa"/>
          </w:tcPr>
          <w:p>
            <w:pPr>
              <w:pStyle w:val="TableParagraph"/>
              <w:spacing w:line="240" w:lineRule="auto" w:before="112"/>
              <w:ind w:left="11" w:right="1"/>
              <w:rPr>
                <w:sz w:val="20"/>
              </w:rPr>
            </w:pPr>
            <w:r>
              <w:rPr>
                <w:spacing w:val="-5"/>
                <w:sz w:val="20"/>
              </w:rPr>
              <w:t>30%</w:t>
            </w:r>
          </w:p>
        </w:tc>
      </w:tr>
      <w:tr>
        <w:trPr>
          <w:trHeight w:val="460" w:hRule="atLeast"/>
        </w:trPr>
        <w:tc>
          <w:tcPr>
            <w:tcW w:w="1032" w:type="dxa"/>
          </w:tcPr>
          <w:p>
            <w:pPr>
              <w:pStyle w:val="TableParagraph"/>
              <w:spacing w:line="240" w:lineRule="auto" w:before="114"/>
              <w:ind w:left="9"/>
              <w:rPr>
                <w:sz w:val="20"/>
              </w:rPr>
            </w:pPr>
            <w:r>
              <w:rPr>
                <w:spacing w:val="-5"/>
                <w:sz w:val="20"/>
              </w:rPr>
              <w:t>80</w:t>
            </w:r>
          </w:p>
        </w:tc>
        <w:tc>
          <w:tcPr>
            <w:tcW w:w="7060" w:type="dxa"/>
          </w:tcPr>
          <w:p>
            <w:pPr>
              <w:pStyle w:val="TableParagraph"/>
              <w:spacing w:line="230" w:lineRule="exact"/>
              <w:jc w:val="left"/>
              <w:rPr>
                <w:sz w:val="20"/>
              </w:rPr>
            </w:pPr>
            <w:r>
              <w:rPr>
                <w:sz w:val="20"/>
              </w:rPr>
              <w:t>Del</w:t>
            </w:r>
            <w:r>
              <w:rPr>
                <w:spacing w:val="28"/>
                <w:sz w:val="20"/>
              </w:rPr>
              <w:t> </w:t>
            </w:r>
            <w:r>
              <w:rPr>
                <w:sz w:val="20"/>
              </w:rPr>
              <w:t>codo,</w:t>
            </w:r>
            <w:r>
              <w:rPr>
                <w:spacing w:val="31"/>
                <w:sz w:val="20"/>
              </w:rPr>
              <w:t> </w:t>
            </w:r>
            <w:r>
              <w:rPr>
                <w:sz w:val="20"/>
              </w:rPr>
              <w:t>que</w:t>
            </w:r>
            <w:r>
              <w:rPr>
                <w:spacing w:val="29"/>
                <w:sz w:val="20"/>
              </w:rPr>
              <w:t> </w:t>
            </w:r>
            <w:r>
              <w:rPr>
                <w:sz w:val="20"/>
              </w:rPr>
              <w:t>no</w:t>
            </w:r>
            <w:r>
              <w:rPr>
                <w:spacing w:val="31"/>
                <w:sz w:val="20"/>
              </w:rPr>
              <w:t> </w:t>
            </w:r>
            <w:r>
              <w:rPr>
                <w:sz w:val="20"/>
              </w:rPr>
              <w:t>permite</w:t>
            </w:r>
            <w:r>
              <w:rPr>
                <w:spacing w:val="28"/>
                <w:sz w:val="20"/>
              </w:rPr>
              <w:t> </w:t>
            </w:r>
            <w:r>
              <w:rPr>
                <w:sz w:val="20"/>
              </w:rPr>
              <w:t>la</w:t>
            </w:r>
            <w:r>
              <w:rPr>
                <w:spacing w:val="31"/>
                <w:sz w:val="20"/>
              </w:rPr>
              <w:t> </w:t>
            </w:r>
            <w:r>
              <w:rPr>
                <w:sz w:val="20"/>
              </w:rPr>
              <w:t>extensión</w:t>
            </w:r>
            <w:r>
              <w:rPr>
                <w:spacing w:val="30"/>
                <w:sz w:val="20"/>
              </w:rPr>
              <w:t> </w:t>
            </w:r>
            <w:r>
              <w:rPr>
                <w:sz w:val="20"/>
              </w:rPr>
              <w:t>completa,</w:t>
            </w:r>
            <w:r>
              <w:rPr>
                <w:spacing w:val="29"/>
                <w:sz w:val="20"/>
              </w:rPr>
              <w:t> </w:t>
            </w:r>
            <w:r>
              <w:rPr>
                <w:sz w:val="20"/>
              </w:rPr>
              <w:t>con</w:t>
            </w:r>
            <w:r>
              <w:rPr>
                <w:spacing w:val="29"/>
                <w:sz w:val="20"/>
              </w:rPr>
              <w:t> </w:t>
            </w:r>
            <w:r>
              <w:rPr>
                <w:sz w:val="20"/>
              </w:rPr>
              <w:t>un</w:t>
            </w:r>
            <w:r>
              <w:rPr>
                <w:spacing w:val="30"/>
                <w:sz w:val="20"/>
              </w:rPr>
              <w:t> </w:t>
            </w:r>
            <w:r>
              <w:rPr>
                <w:sz w:val="20"/>
              </w:rPr>
              <w:t>ángulo</w:t>
            </w:r>
            <w:r>
              <w:rPr>
                <w:spacing w:val="31"/>
                <w:sz w:val="20"/>
              </w:rPr>
              <w:t> </w:t>
            </w:r>
            <w:r>
              <w:rPr>
                <w:sz w:val="20"/>
              </w:rPr>
              <w:t>de</w:t>
            </w:r>
            <w:r>
              <w:rPr>
                <w:spacing w:val="30"/>
                <w:sz w:val="20"/>
              </w:rPr>
              <w:t> </w:t>
            </w:r>
            <w:r>
              <w:rPr>
                <w:sz w:val="20"/>
              </w:rPr>
              <w:t>flexión menor de 90 grados.</w:t>
            </w:r>
          </w:p>
        </w:tc>
        <w:tc>
          <w:tcPr>
            <w:tcW w:w="1457" w:type="dxa"/>
          </w:tcPr>
          <w:p>
            <w:pPr>
              <w:pStyle w:val="TableParagraph"/>
              <w:spacing w:line="240" w:lineRule="auto" w:before="114"/>
              <w:ind w:left="11" w:right="1"/>
              <w:rPr>
                <w:sz w:val="20"/>
              </w:rPr>
            </w:pPr>
            <w:r>
              <w:rPr>
                <w:spacing w:val="-5"/>
                <w:sz w:val="20"/>
              </w:rPr>
              <w:t>20%</w:t>
            </w:r>
          </w:p>
        </w:tc>
      </w:tr>
      <w:tr>
        <w:trPr>
          <w:trHeight w:val="232" w:hRule="atLeast"/>
        </w:trPr>
        <w:tc>
          <w:tcPr>
            <w:tcW w:w="1032" w:type="dxa"/>
          </w:tcPr>
          <w:p>
            <w:pPr>
              <w:pStyle w:val="TableParagraph"/>
              <w:spacing w:line="212" w:lineRule="exact"/>
              <w:ind w:left="9"/>
              <w:rPr>
                <w:sz w:val="20"/>
              </w:rPr>
            </w:pPr>
            <w:r>
              <w:rPr>
                <w:spacing w:val="-5"/>
                <w:sz w:val="20"/>
              </w:rPr>
              <w:t>81</w:t>
            </w:r>
          </w:p>
        </w:tc>
        <w:tc>
          <w:tcPr>
            <w:tcW w:w="7060" w:type="dxa"/>
          </w:tcPr>
          <w:p>
            <w:pPr>
              <w:pStyle w:val="TableParagraph"/>
              <w:spacing w:line="212" w:lineRule="exact"/>
              <w:jc w:val="left"/>
              <w:rPr>
                <w:sz w:val="20"/>
              </w:rPr>
            </w:pPr>
            <w:r>
              <w:rPr>
                <w:sz w:val="20"/>
              </w:rPr>
              <w:t>Del</w:t>
            </w:r>
            <w:r>
              <w:rPr>
                <w:spacing w:val="3"/>
                <w:sz w:val="20"/>
              </w:rPr>
              <w:t> </w:t>
            </w:r>
            <w:r>
              <w:rPr>
                <w:sz w:val="20"/>
              </w:rPr>
              <w:t>codo,</w:t>
            </w:r>
            <w:r>
              <w:rPr>
                <w:spacing w:val="7"/>
                <w:sz w:val="20"/>
              </w:rPr>
              <w:t> </w:t>
            </w:r>
            <w:r>
              <w:rPr>
                <w:sz w:val="20"/>
              </w:rPr>
              <w:t>que</w:t>
            </w:r>
            <w:r>
              <w:rPr>
                <w:spacing w:val="7"/>
                <w:sz w:val="20"/>
              </w:rPr>
              <w:t> </w:t>
            </w:r>
            <w:r>
              <w:rPr>
                <w:sz w:val="20"/>
              </w:rPr>
              <w:t>permite</w:t>
            </w:r>
            <w:r>
              <w:rPr>
                <w:spacing w:val="4"/>
                <w:sz w:val="20"/>
              </w:rPr>
              <w:t> </w:t>
            </w:r>
            <w:r>
              <w:rPr>
                <w:sz w:val="20"/>
              </w:rPr>
              <w:t>la</w:t>
            </w:r>
            <w:r>
              <w:rPr>
                <w:spacing w:val="7"/>
                <w:sz w:val="20"/>
              </w:rPr>
              <w:t> </w:t>
            </w:r>
            <w:r>
              <w:rPr>
                <w:sz w:val="20"/>
              </w:rPr>
              <w:t>extensión</w:t>
            </w:r>
            <w:r>
              <w:rPr>
                <w:spacing w:val="5"/>
                <w:sz w:val="20"/>
              </w:rPr>
              <w:t> </w:t>
            </w:r>
            <w:r>
              <w:rPr>
                <w:sz w:val="20"/>
              </w:rPr>
              <w:t>completa,</w:t>
            </w:r>
            <w:r>
              <w:rPr>
                <w:spacing w:val="5"/>
                <w:sz w:val="20"/>
              </w:rPr>
              <w:t> </w:t>
            </w:r>
            <w:r>
              <w:rPr>
                <w:sz w:val="20"/>
              </w:rPr>
              <w:t>con</w:t>
            </w:r>
            <w:r>
              <w:rPr>
                <w:spacing w:val="6"/>
                <w:sz w:val="20"/>
              </w:rPr>
              <w:t> </w:t>
            </w:r>
            <w:r>
              <w:rPr>
                <w:sz w:val="20"/>
              </w:rPr>
              <w:t>un</w:t>
            </w:r>
            <w:r>
              <w:rPr>
                <w:spacing w:val="6"/>
                <w:sz w:val="20"/>
              </w:rPr>
              <w:t> </w:t>
            </w:r>
            <w:r>
              <w:rPr>
                <w:sz w:val="20"/>
              </w:rPr>
              <w:t>ángulo</w:t>
            </w:r>
            <w:r>
              <w:rPr>
                <w:spacing w:val="7"/>
                <w:sz w:val="20"/>
              </w:rPr>
              <w:t> </w:t>
            </w:r>
            <w:r>
              <w:rPr>
                <w:sz w:val="20"/>
              </w:rPr>
              <w:t>de</w:t>
            </w:r>
            <w:r>
              <w:rPr>
                <w:spacing w:val="4"/>
                <w:sz w:val="20"/>
              </w:rPr>
              <w:t> </w:t>
            </w:r>
            <w:r>
              <w:rPr>
                <w:sz w:val="20"/>
              </w:rPr>
              <w:t>flexión</w:t>
            </w:r>
            <w:r>
              <w:rPr>
                <w:spacing w:val="5"/>
                <w:sz w:val="20"/>
              </w:rPr>
              <w:t> </w:t>
            </w:r>
            <w:r>
              <w:rPr>
                <w:spacing w:val="-2"/>
                <w:sz w:val="20"/>
              </w:rPr>
              <w:t>hasta</w:t>
            </w:r>
          </w:p>
        </w:tc>
        <w:tc>
          <w:tcPr>
            <w:tcW w:w="1457" w:type="dxa"/>
          </w:tcPr>
          <w:p>
            <w:pPr>
              <w:pStyle w:val="TableParagraph"/>
              <w:spacing w:line="212" w:lineRule="exact"/>
              <w:ind w:left="11" w:right="1"/>
              <w:rPr>
                <w:sz w:val="20"/>
              </w:rPr>
            </w:pPr>
            <w:r>
              <w:rPr>
                <w:spacing w:val="-5"/>
                <w:sz w:val="20"/>
              </w:rPr>
              <w:t>10%</w:t>
            </w:r>
          </w:p>
        </w:tc>
      </w:tr>
    </w:tbl>
    <w:p>
      <w:pPr>
        <w:pStyle w:val="TableParagraph"/>
        <w:spacing w:after="0" w:line="212" w:lineRule="exact"/>
        <w:rPr>
          <w:sz w:val="20"/>
        </w:rPr>
        <w:sectPr>
          <w:pgSz w:w="12240" w:h="15840"/>
          <w:pgMar w:header="724" w:footer="712" w:top="1880" w:bottom="900" w:left="1080" w:right="1080"/>
        </w:sectPr>
      </w:pPr>
    </w:p>
    <w:p>
      <w:pPr>
        <w:pStyle w:val="BodyText"/>
        <w:spacing w:before="68"/>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2"/>
        <w:gridCol w:w="7060"/>
        <w:gridCol w:w="1457"/>
      </w:tblGrid>
      <w:tr>
        <w:trPr>
          <w:trHeight w:val="229" w:hRule="atLeast"/>
        </w:trPr>
        <w:tc>
          <w:tcPr>
            <w:tcW w:w="1032" w:type="dxa"/>
          </w:tcPr>
          <w:p>
            <w:pPr>
              <w:pStyle w:val="TableParagraph"/>
              <w:spacing w:line="240" w:lineRule="auto"/>
              <w:ind w:left="0"/>
              <w:jc w:val="left"/>
              <w:rPr>
                <w:rFonts w:ascii="Times New Roman"/>
                <w:sz w:val="16"/>
              </w:rPr>
            </w:pPr>
          </w:p>
        </w:tc>
        <w:tc>
          <w:tcPr>
            <w:tcW w:w="7060" w:type="dxa"/>
          </w:tcPr>
          <w:p>
            <w:pPr>
              <w:pStyle w:val="TableParagraph"/>
              <w:jc w:val="left"/>
              <w:rPr>
                <w:sz w:val="20"/>
              </w:rPr>
            </w:pPr>
            <w:r>
              <w:rPr>
                <w:sz w:val="20"/>
              </w:rPr>
              <w:t>70</w:t>
            </w:r>
            <w:r>
              <w:rPr>
                <w:spacing w:val="-4"/>
                <w:sz w:val="20"/>
              </w:rPr>
              <w:t> </w:t>
            </w:r>
            <w:r>
              <w:rPr>
                <w:spacing w:val="-2"/>
                <w:sz w:val="20"/>
              </w:rPr>
              <w:t>grados.</w:t>
            </w:r>
          </w:p>
        </w:tc>
        <w:tc>
          <w:tcPr>
            <w:tcW w:w="1457" w:type="dxa"/>
          </w:tcPr>
          <w:p>
            <w:pPr>
              <w:pStyle w:val="TableParagraph"/>
              <w:spacing w:line="240" w:lineRule="auto"/>
              <w:ind w:left="0"/>
              <w:jc w:val="left"/>
              <w:rPr>
                <w:rFonts w:ascii="Times New Roman"/>
                <w:sz w:val="16"/>
              </w:rPr>
            </w:pPr>
          </w:p>
        </w:tc>
      </w:tr>
      <w:tr>
        <w:trPr>
          <w:trHeight w:val="460" w:hRule="atLeast"/>
        </w:trPr>
        <w:tc>
          <w:tcPr>
            <w:tcW w:w="1032" w:type="dxa"/>
          </w:tcPr>
          <w:p>
            <w:pPr>
              <w:pStyle w:val="TableParagraph"/>
              <w:spacing w:line="240" w:lineRule="auto" w:before="114"/>
              <w:ind w:left="9"/>
              <w:rPr>
                <w:sz w:val="20"/>
              </w:rPr>
            </w:pPr>
            <w:r>
              <w:rPr>
                <w:spacing w:val="-5"/>
                <w:sz w:val="20"/>
              </w:rPr>
              <w:t>82</w:t>
            </w:r>
          </w:p>
        </w:tc>
        <w:tc>
          <w:tcPr>
            <w:tcW w:w="7060" w:type="dxa"/>
          </w:tcPr>
          <w:p>
            <w:pPr>
              <w:pStyle w:val="TableParagraph"/>
              <w:spacing w:line="230" w:lineRule="exact"/>
              <w:jc w:val="left"/>
              <w:rPr>
                <w:sz w:val="20"/>
              </w:rPr>
            </w:pPr>
            <w:r>
              <w:rPr>
                <w:sz w:val="20"/>
              </w:rPr>
              <w:t>Del codo, que permite la extensión completa, con un ángulo de flexión hasta 110 grados.</w:t>
            </w:r>
          </w:p>
        </w:tc>
        <w:tc>
          <w:tcPr>
            <w:tcW w:w="1457" w:type="dxa"/>
          </w:tcPr>
          <w:p>
            <w:pPr>
              <w:pStyle w:val="TableParagraph"/>
              <w:spacing w:line="240" w:lineRule="auto" w:before="114"/>
              <w:ind w:left="11" w:right="1"/>
              <w:rPr>
                <w:sz w:val="20"/>
              </w:rPr>
            </w:pPr>
            <w:r>
              <w:rPr>
                <w:spacing w:val="-5"/>
                <w:sz w:val="20"/>
              </w:rPr>
              <w:t>5%</w:t>
            </w:r>
          </w:p>
        </w:tc>
      </w:tr>
      <w:tr>
        <w:trPr>
          <w:trHeight w:val="229" w:hRule="atLeast"/>
        </w:trPr>
        <w:tc>
          <w:tcPr>
            <w:tcW w:w="1032" w:type="dxa"/>
          </w:tcPr>
          <w:p>
            <w:pPr>
              <w:pStyle w:val="TableParagraph"/>
              <w:ind w:left="9"/>
              <w:rPr>
                <w:sz w:val="20"/>
              </w:rPr>
            </w:pPr>
            <w:r>
              <w:rPr>
                <w:spacing w:val="-5"/>
                <w:sz w:val="20"/>
              </w:rPr>
              <w:t>83</w:t>
            </w:r>
          </w:p>
        </w:tc>
        <w:tc>
          <w:tcPr>
            <w:tcW w:w="7060" w:type="dxa"/>
          </w:tcPr>
          <w:p>
            <w:pPr>
              <w:pStyle w:val="TableParagraph"/>
              <w:jc w:val="left"/>
              <w:rPr>
                <w:sz w:val="20"/>
              </w:rPr>
            </w:pPr>
            <w:r>
              <w:rPr>
                <w:sz w:val="20"/>
              </w:rPr>
              <w:t>De</w:t>
            </w:r>
            <w:r>
              <w:rPr>
                <w:spacing w:val="-7"/>
                <w:sz w:val="20"/>
              </w:rPr>
              <w:t> </w:t>
            </w:r>
            <w:r>
              <w:rPr>
                <w:sz w:val="20"/>
              </w:rPr>
              <w:t>torsión,</w:t>
            </w:r>
            <w:r>
              <w:rPr>
                <w:spacing w:val="-6"/>
                <w:sz w:val="20"/>
              </w:rPr>
              <w:t> </w:t>
            </w:r>
            <w:r>
              <w:rPr>
                <w:sz w:val="20"/>
              </w:rPr>
              <w:t>con</w:t>
            </w:r>
            <w:r>
              <w:rPr>
                <w:spacing w:val="-7"/>
                <w:sz w:val="20"/>
              </w:rPr>
              <w:t> </w:t>
            </w:r>
            <w:r>
              <w:rPr>
                <w:sz w:val="20"/>
              </w:rPr>
              <w:t>limitación</w:t>
            </w:r>
            <w:r>
              <w:rPr>
                <w:spacing w:val="-5"/>
                <w:sz w:val="20"/>
              </w:rPr>
              <w:t> </w:t>
            </w:r>
            <w:r>
              <w:rPr>
                <w:sz w:val="20"/>
              </w:rPr>
              <w:t>de</w:t>
            </w:r>
            <w:r>
              <w:rPr>
                <w:spacing w:val="-7"/>
                <w:sz w:val="20"/>
              </w:rPr>
              <w:t> </w:t>
            </w:r>
            <w:r>
              <w:rPr>
                <w:sz w:val="20"/>
              </w:rPr>
              <w:t>los</w:t>
            </w:r>
            <w:r>
              <w:rPr>
                <w:spacing w:val="-5"/>
                <w:sz w:val="20"/>
              </w:rPr>
              <w:t> </w:t>
            </w:r>
            <w:r>
              <w:rPr>
                <w:sz w:val="20"/>
              </w:rPr>
              <w:t>movimientos</w:t>
            </w:r>
            <w:r>
              <w:rPr>
                <w:spacing w:val="-6"/>
                <w:sz w:val="20"/>
              </w:rPr>
              <w:t> </w:t>
            </w:r>
            <w:r>
              <w:rPr>
                <w:sz w:val="20"/>
              </w:rPr>
              <w:t>de</w:t>
            </w:r>
            <w:r>
              <w:rPr>
                <w:spacing w:val="-6"/>
                <w:sz w:val="20"/>
              </w:rPr>
              <w:t> </w:t>
            </w:r>
            <w:r>
              <w:rPr>
                <w:sz w:val="20"/>
              </w:rPr>
              <w:t>pronación</w:t>
            </w:r>
            <w:r>
              <w:rPr>
                <w:spacing w:val="-3"/>
                <w:sz w:val="20"/>
              </w:rPr>
              <w:t> </w:t>
            </w:r>
            <w:r>
              <w:rPr>
                <w:sz w:val="20"/>
              </w:rPr>
              <w:t>y</w:t>
            </w:r>
            <w:r>
              <w:rPr>
                <w:spacing w:val="-9"/>
                <w:sz w:val="20"/>
              </w:rPr>
              <w:t> </w:t>
            </w:r>
            <w:r>
              <w:rPr>
                <w:spacing w:val="-2"/>
                <w:sz w:val="20"/>
              </w:rPr>
              <w:t>supinación.</w:t>
            </w:r>
          </w:p>
        </w:tc>
        <w:tc>
          <w:tcPr>
            <w:tcW w:w="1457" w:type="dxa"/>
          </w:tcPr>
          <w:p>
            <w:pPr>
              <w:pStyle w:val="TableParagraph"/>
              <w:ind w:left="11" w:right="3"/>
              <w:rPr>
                <w:sz w:val="20"/>
              </w:rPr>
            </w:pPr>
            <w:r>
              <w:rPr>
                <w:sz w:val="20"/>
              </w:rPr>
              <w:t>5</w:t>
            </w:r>
            <w:r>
              <w:rPr>
                <w:spacing w:val="-3"/>
                <w:sz w:val="20"/>
              </w:rPr>
              <w:t> </w:t>
            </w:r>
            <w:r>
              <w:rPr>
                <w:sz w:val="20"/>
              </w:rPr>
              <w:t>a</w:t>
            </w:r>
            <w:r>
              <w:rPr>
                <w:spacing w:val="-3"/>
                <w:sz w:val="20"/>
              </w:rPr>
              <w:t> </w:t>
            </w:r>
            <w:r>
              <w:rPr>
                <w:spacing w:val="-5"/>
                <w:sz w:val="20"/>
              </w:rPr>
              <w:t>15%</w:t>
            </w:r>
          </w:p>
        </w:tc>
      </w:tr>
      <w:tr>
        <w:trPr>
          <w:trHeight w:val="229" w:hRule="atLeast"/>
        </w:trPr>
        <w:tc>
          <w:tcPr>
            <w:tcW w:w="1032" w:type="dxa"/>
          </w:tcPr>
          <w:p>
            <w:pPr>
              <w:pStyle w:val="TableParagraph"/>
              <w:ind w:left="9"/>
              <w:rPr>
                <w:sz w:val="20"/>
              </w:rPr>
            </w:pPr>
            <w:r>
              <w:rPr>
                <w:spacing w:val="-5"/>
                <w:sz w:val="20"/>
              </w:rPr>
              <w:t>84</w:t>
            </w:r>
          </w:p>
        </w:tc>
        <w:tc>
          <w:tcPr>
            <w:tcW w:w="7060" w:type="dxa"/>
          </w:tcPr>
          <w:p>
            <w:pPr>
              <w:pStyle w:val="TableParagraph"/>
              <w:jc w:val="left"/>
              <w:rPr>
                <w:sz w:val="20"/>
              </w:rPr>
            </w:pPr>
            <w:r>
              <w:rPr>
                <w:sz w:val="20"/>
              </w:rPr>
              <w:t>De</w:t>
            </w:r>
            <w:r>
              <w:rPr>
                <w:spacing w:val="-4"/>
                <w:sz w:val="20"/>
              </w:rPr>
              <w:t> </w:t>
            </w:r>
            <w:r>
              <w:rPr>
                <w:sz w:val="20"/>
              </w:rPr>
              <w:t>la</w:t>
            </w:r>
            <w:r>
              <w:rPr>
                <w:spacing w:val="-4"/>
                <w:sz w:val="20"/>
              </w:rPr>
              <w:t> </w:t>
            </w:r>
            <w:r>
              <w:rPr>
                <w:spacing w:val="-2"/>
                <w:sz w:val="20"/>
              </w:rPr>
              <w:t>muñeca.</w:t>
            </w:r>
          </w:p>
        </w:tc>
        <w:tc>
          <w:tcPr>
            <w:tcW w:w="1457" w:type="dxa"/>
          </w:tcPr>
          <w:p>
            <w:pPr>
              <w:pStyle w:val="TableParagraph"/>
              <w:ind w:left="11" w:right="3"/>
              <w:rPr>
                <w:sz w:val="20"/>
              </w:rPr>
            </w:pPr>
            <w:r>
              <w:rPr>
                <w:sz w:val="20"/>
              </w:rPr>
              <w:t>10</w:t>
            </w:r>
            <w:r>
              <w:rPr>
                <w:spacing w:val="-3"/>
                <w:sz w:val="20"/>
              </w:rPr>
              <w:t> </w:t>
            </w:r>
            <w:r>
              <w:rPr>
                <w:sz w:val="20"/>
              </w:rPr>
              <w:t>a</w:t>
            </w:r>
            <w:r>
              <w:rPr>
                <w:spacing w:val="-1"/>
                <w:sz w:val="20"/>
              </w:rPr>
              <w:t> </w:t>
            </w:r>
            <w:r>
              <w:rPr>
                <w:spacing w:val="-5"/>
                <w:sz w:val="20"/>
              </w:rPr>
              <w:t>15%</w:t>
            </w:r>
          </w:p>
        </w:tc>
      </w:tr>
      <w:tr>
        <w:trPr>
          <w:trHeight w:val="229" w:hRule="atLeast"/>
        </w:trPr>
        <w:tc>
          <w:tcPr>
            <w:tcW w:w="1032" w:type="dxa"/>
          </w:tcPr>
          <w:p>
            <w:pPr>
              <w:pStyle w:val="TableParagraph"/>
              <w:ind w:left="9"/>
              <w:rPr>
                <w:sz w:val="20"/>
              </w:rPr>
            </w:pPr>
            <w:r>
              <w:rPr>
                <w:spacing w:val="-5"/>
                <w:sz w:val="20"/>
              </w:rPr>
              <w:t>85</w:t>
            </w:r>
          </w:p>
        </w:tc>
        <w:tc>
          <w:tcPr>
            <w:tcW w:w="7060" w:type="dxa"/>
          </w:tcPr>
          <w:p>
            <w:pPr>
              <w:pStyle w:val="TableParagraph"/>
              <w:jc w:val="left"/>
              <w:rPr>
                <w:sz w:val="20"/>
              </w:rPr>
            </w:pPr>
            <w:r>
              <w:rPr>
                <w:sz w:val="20"/>
              </w:rPr>
              <w:t>Metacarpo-falángica</w:t>
            </w:r>
            <w:r>
              <w:rPr>
                <w:spacing w:val="-14"/>
                <w:sz w:val="20"/>
              </w:rPr>
              <w:t> </w:t>
            </w:r>
            <w:r>
              <w:rPr>
                <w:sz w:val="20"/>
              </w:rPr>
              <w:t>del</w:t>
            </w:r>
            <w:r>
              <w:rPr>
                <w:spacing w:val="-13"/>
                <w:sz w:val="20"/>
              </w:rPr>
              <w:t> </w:t>
            </w:r>
            <w:r>
              <w:rPr>
                <w:spacing w:val="-2"/>
                <w:sz w:val="20"/>
              </w:rPr>
              <w:t>pulgar.</w:t>
            </w:r>
          </w:p>
        </w:tc>
        <w:tc>
          <w:tcPr>
            <w:tcW w:w="1457" w:type="dxa"/>
          </w:tcPr>
          <w:p>
            <w:pPr>
              <w:pStyle w:val="TableParagraph"/>
              <w:ind w:left="11" w:right="1"/>
              <w:rPr>
                <w:sz w:val="20"/>
              </w:rPr>
            </w:pPr>
            <w:r>
              <w:rPr>
                <w:sz w:val="20"/>
              </w:rPr>
              <w:t>2</w:t>
            </w:r>
            <w:r>
              <w:rPr>
                <w:spacing w:val="-3"/>
                <w:sz w:val="20"/>
              </w:rPr>
              <w:t> </w:t>
            </w:r>
            <w:r>
              <w:rPr>
                <w:sz w:val="20"/>
              </w:rPr>
              <w:t>a</w:t>
            </w:r>
            <w:r>
              <w:rPr>
                <w:spacing w:val="-2"/>
                <w:sz w:val="20"/>
              </w:rPr>
              <w:t> </w:t>
            </w:r>
            <w:r>
              <w:rPr>
                <w:spacing w:val="-5"/>
                <w:sz w:val="20"/>
              </w:rPr>
              <w:t>5%</w:t>
            </w:r>
          </w:p>
        </w:tc>
      </w:tr>
      <w:tr>
        <w:trPr>
          <w:trHeight w:val="229" w:hRule="atLeast"/>
        </w:trPr>
        <w:tc>
          <w:tcPr>
            <w:tcW w:w="1032" w:type="dxa"/>
          </w:tcPr>
          <w:p>
            <w:pPr>
              <w:pStyle w:val="TableParagraph"/>
              <w:ind w:left="9"/>
              <w:rPr>
                <w:sz w:val="20"/>
              </w:rPr>
            </w:pPr>
            <w:r>
              <w:rPr>
                <w:spacing w:val="-5"/>
                <w:sz w:val="20"/>
              </w:rPr>
              <w:t>86</w:t>
            </w:r>
          </w:p>
        </w:tc>
        <w:tc>
          <w:tcPr>
            <w:tcW w:w="7060" w:type="dxa"/>
          </w:tcPr>
          <w:p>
            <w:pPr>
              <w:pStyle w:val="TableParagraph"/>
              <w:jc w:val="left"/>
              <w:rPr>
                <w:sz w:val="20"/>
              </w:rPr>
            </w:pPr>
            <w:r>
              <w:rPr>
                <w:sz w:val="20"/>
              </w:rPr>
              <w:t>Interfalángica</w:t>
            </w:r>
            <w:r>
              <w:rPr>
                <w:spacing w:val="-9"/>
                <w:sz w:val="20"/>
              </w:rPr>
              <w:t> </w:t>
            </w:r>
            <w:r>
              <w:rPr>
                <w:sz w:val="20"/>
              </w:rPr>
              <w:t>del</w:t>
            </w:r>
            <w:r>
              <w:rPr>
                <w:spacing w:val="-11"/>
                <w:sz w:val="20"/>
              </w:rPr>
              <w:t> </w:t>
            </w:r>
            <w:r>
              <w:rPr>
                <w:spacing w:val="-2"/>
                <w:sz w:val="20"/>
              </w:rPr>
              <w:t>pulgar.</w:t>
            </w:r>
          </w:p>
        </w:tc>
        <w:tc>
          <w:tcPr>
            <w:tcW w:w="1457" w:type="dxa"/>
          </w:tcPr>
          <w:p>
            <w:pPr>
              <w:pStyle w:val="TableParagraph"/>
              <w:ind w:left="11" w:right="1"/>
              <w:rPr>
                <w:sz w:val="20"/>
              </w:rPr>
            </w:pPr>
            <w:r>
              <w:rPr>
                <w:spacing w:val="-5"/>
                <w:sz w:val="20"/>
              </w:rPr>
              <w:t>5%</w:t>
            </w:r>
          </w:p>
        </w:tc>
      </w:tr>
      <w:tr>
        <w:trPr>
          <w:trHeight w:val="229" w:hRule="atLeast"/>
        </w:trPr>
        <w:tc>
          <w:tcPr>
            <w:tcW w:w="1032" w:type="dxa"/>
          </w:tcPr>
          <w:p>
            <w:pPr>
              <w:pStyle w:val="TableParagraph"/>
              <w:ind w:left="9"/>
              <w:rPr>
                <w:sz w:val="20"/>
              </w:rPr>
            </w:pPr>
            <w:r>
              <w:rPr>
                <w:spacing w:val="-5"/>
                <w:sz w:val="20"/>
              </w:rPr>
              <w:t>87</w:t>
            </w:r>
          </w:p>
        </w:tc>
        <w:tc>
          <w:tcPr>
            <w:tcW w:w="7060" w:type="dxa"/>
          </w:tcPr>
          <w:p>
            <w:pPr>
              <w:pStyle w:val="TableParagraph"/>
              <w:jc w:val="left"/>
              <w:rPr>
                <w:sz w:val="20"/>
              </w:rPr>
            </w:pPr>
            <w:r>
              <w:rPr>
                <w:sz w:val="20"/>
              </w:rPr>
              <w:t>De</w:t>
            </w:r>
            <w:r>
              <w:rPr>
                <w:spacing w:val="-7"/>
                <w:sz w:val="20"/>
              </w:rPr>
              <w:t> </w:t>
            </w:r>
            <w:r>
              <w:rPr>
                <w:sz w:val="20"/>
              </w:rPr>
              <w:t>las</w:t>
            </w:r>
            <w:r>
              <w:rPr>
                <w:spacing w:val="-6"/>
                <w:sz w:val="20"/>
              </w:rPr>
              <w:t> </w:t>
            </w:r>
            <w:r>
              <w:rPr>
                <w:sz w:val="20"/>
              </w:rPr>
              <w:t>dos</w:t>
            </w:r>
            <w:r>
              <w:rPr>
                <w:spacing w:val="-6"/>
                <w:sz w:val="20"/>
              </w:rPr>
              <w:t> </w:t>
            </w:r>
            <w:r>
              <w:rPr>
                <w:sz w:val="20"/>
              </w:rPr>
              <w:t>articulaciones</w:t>
            </w:r>
            <w:r>
              <w:rPr>
                <w:spacing w:val="-5"/>
                <w:sz w:val="20"/>
              </w:rPr>
              <w:t> </w:t>
            </w:r>
            <w:r>
              <w:rPr>
                <w:sz w:val="20"/>
              </w:rPr>
              <w:t>del</w:t>
            </w:r>
            <w:r>
              <w:rPr>
                <w:spacing w:val="-8"/>
                <w:sz w:val="20"/>
              </w:rPr>
              <w:t> </w:t>
            </w:r>
            <w:r>
              <w:rPr>
                <w:spacing w:val="-2"/>
                <w:sz w:val="20"/>
              </w:rPr>
              <w:t>pulgar.</w:t>
            </w:r>
          </w:p>
        </w:tc>
        <w:tc>
          <w:tcPr>
            <w:tcW w:w="1457" w:type="dxa"/>
          </w:tcPr>
          <w:p>
            <w:pPr>
              <w:pStyle w:val="TableParagraph"/>
              <w:ind w:left="11" w:right="3"/>
              <w:rPr>
                <w:sz w:val="20"/>
              </w:rPr>
            </w:pPr>
            <w:r>
              <w:rPr>
                <w:sz w:val="20"/>
              </w:rPr>
              <w:t>5</w:t>
            </w:r>
            <w:r>
              <w:rPr>
                <w:spacing w:val="-3"/>
                <w:sz w:val="20"/>
              </w:rPr>
              <w:t> </w:t>
            </w:r>
            <w:r>
              <w:rPr>
                <w:sz w:val="20"/>
              </w:rPr>
              <w:t>a</w:t>
            </w:r>
            <w:r>
              <w:rPr>
                <w:spacing w:val="-3"/>
                <w:sz w:val="20"/>
              </w:rPr>
              <w:t> </w:t>
            </w:r>
            <w:r>
              <w:rPr>
                <w:spacing w:val="-5"/>
                <w:sz w:val="20"/>
              </w:rPr>
              <w:t>10%</w:t>
            </w:r>
          </w:p>
        </w:tc>
      </w:tr>
      <w:tr>
        <w:trPr>
          <w:trHeight w:val="229" w:hRule="atLeast"/>
        </w:trPr>
        <w:tc>
          <w:tcPr>
            <w:tcW w:w="1032" w:type="dxa"/>
          </w:tcPr>
          <w:p>
            <w:pPr>
              <w:pStyle w:val="TableParagraph"/>
              <w:ind w:left="9"/>
              <w:rPr>
                <w:sz w:val="20"/>
              </w:rPr>
            </w:pPr>
            <w:r>
              <w:rPr>
                <w:spacing w:val="-5"/>
                <w:sz w:val="20"/>
              </w:rPr>
              <w:t>88</w:t>
            </w:r>
          </w:p>
        </w:tc>
        <w:tc>
          <w:tcPr>
            <w:tcW w:w="7060" w:type="dxa"/>
          </w:tcPr>
          <w:p>
            <w:pPr>
              <w:pStyle w:val="TableParagraph"/>
              <w:jc w:val="left"/>
              <w:rPr>
                <w:sz w:val="20"/>
              </w:rPr>
            </w:pPr>
            <w:r>
              <w:rPr>
                <w:sz w:val="20"/>
              </w:rPr>
              <w:t>Metacarpo-falángica</w:t>
            </w:r>
            <w:r>
              <w:rPr>
                <w:spacing w:val="-14"/>
                <w:sz w:val="20"/>
              </w:rPr>
              <w:t> </w:t>
            </w:r>
            <w:r>
              <w:rPr>
                <w:sz w:val="20"/>
              </w:rPr>
              <w:t>del</w:t>
            </w:r>
            <w:r>
              <w:rPr>
                <w:spacing w:val="-13"/>
                <w:sz w:val="20"/>
              </w:rPr>
              <w:t> </w:t>
            </w:r>
            <w:r>
              <w:rPr>
                <w:spacing w:val="-2"/>
                <w:sz w:val="20"/>
              </w:rPr>
              <w:t>índice.</w:t>
            </w:r>
          </w:p>
        </w:tc>
        <w:tc>
          <w:tcPr>
            <w:tcW w:w="1457" w:type="dxa"/>
          </w:tcPr>
          <w:p>
            <w:pPr>
              <w:pStyle w:val="TableParagraph"/>
              <w:ind w:left="11" w:right="1"/>
              <w:rPr>
                <w:sz w:val="20"/>
              </w:rPr>
            </w:pPr>
            <w:r>
              <w:rPr>
                <w:spacing w:val="-5"/>
                <w:sz w:val="20"/>
              </w:rPr>
              <w:t>3%</w:t>
            </w:r>
          </w:p>
        </w:tc>
      </w:tr>
      <w:tr>
        <w:trPr>
          <w:trHeight w:val="229" w:hRule="atLeast"/>
        </w:trPr>
        <w:tc>
          <w:tcPr>
            <w:tcW w:w="1032" w:type="dxa"/>
          </w:tcPr>
          <w:p>
            <w:pPr>
              <w:pStyle w:val="TableParagraph"/>
              <w:ind w:left="9"/>
              <w:rPr>
                <w:sz w:val="20"/>
              </w:rPr>
            </w:pPr>
            <w:r>
              <w:rPr>
                <w:spacing w:val="-5"/>
                <w:sz w:val="20"/>
              </w:rPr>
              <w:t>89</w:t>
            </w:r>
          </w:p>
        </w:tc>
        <w:tc>
          <w:tcPr>
            <w:tcW w:w="7060" w:type="dxa"/>
          </w:tcPr>
          <w:p>
            <w:pPr>
              <w:pStyle w:val="TableParagraph"/>
              <w:jc w:val="left"/>
              <w:rPr>
                <w:sz w:val="20"/>
              </w:rPr>
            </w:pPr>
            <w:r>
              <w:rPr>
                <w:sz w:val="20"/>
              </w:rPr>
              <w:t>De</w:t>
            </w:r>
            <w:r>
              <w:rPr>
                <w:spacing w:val="-8"/>
                <w:sz w:val="20"/>
              </w:rPr>
              <w:t> </w:t>
            </w:r>
            <w:r>
              <w:rPr>
                <w:sz w:val="20"/>
              </w:rPr>
              <w:t>la</w:t>
            </w:r>
            <w:r>
              <w:rPr>
                <w:spacing w:val="-7"/>
                <w:sz w:val="20"/>
              </w:rPr>
              <w:t> </w:t>
            </w:r>
            <w:r>
              <w:rPr>
                <w:sz w:val="20"/>
              </w:rPr>
              <w:t>articulación</w:t>
            </w:r>
            <w:r>
              <w:rPr>
                <w:spacing w:val="-7"/>
                <w:sz w:val="20"/>
              </w:rPr>
              <w:t> </w:t>
            </w:r>
            <w:r>
              <w:rPr>
                <w:sz w:val="20"/>
              </w:rPr>
              <w:t>interfalángica</w:t>
            </w:r>
            <w:r>
              <w:rPr>
                <w:spacing w:val="-7"/>
                <w:sz w:val="20"/>
              </w:rPr>
              <w:t> </w:t>
            </w:r>
            <w:r>
              <w:rPr>
                <w:sz w:val="20"/>
              </w:rPr>
              <w:t>proximal</w:t>
            </w:r>
            <w:r>
              <w:rPr>
                <w:spacing w:val="-9"/>
                <w:sz w:val="20"/>
              </w:rPr>
              <w:t> </w:t>
            </w:r>
            <w:r>
              <w:rPr>
                <w:sz w:val="20"/>
              </w:rPr>
              <w:t>o</w:t>
            </w:r>
            <w:r>
              <w:rPr>
                <w:spacing w:val="-8"/>
                <w:sz w:val="20"/>
              </w:rPr>
              <w:t> </w:t>
            </w:r>
            <w:r>
              <w:rPr>
                <w:sz w:val="20"/>
              </w:rPr>
              <w:t>distal</w:t>
            </w:r>
            <w:r>
              <w:rPr>
                <w:spacing w:val="-6"/>
                <w:sz w:val="20"/>
              </w:rPr>
              <w:t> </w:t>
            </w:r>
            <w:r>
              <w:rPr>
                <w:sz w:val="20"/>
              </w:rPr>
              <w:t>del</w:t>
            </w:r>
            <w:r>
              <w:rPr>
                <w:spacing w:val="-9"/>
                <w:sz w:val="20"/>
              </w:rPr>
              <w:t> </w:t>
            </w:r>
            <w:r>
              <w:rPr>
                <w:spacing w:val="-2"/>
                <w:sz w:val="20"/>
              </w:rPr>
              <w:t>índice.</w:t>
            </w:r>
          </w:p>
        </w:tc>
        <w:tc>
          <w:tcPr>
            <w:tcW w:w="1457" w:type="dxa"/>
          </w:tcPr>
          <w:p>
            <w:pPr>
              <w:pStyle w:val="TableParagraph"/>
              <w:ind w:left="11" w:right="1"/>
              <w:rPr>
                <w:sz w:val="20"/>
              </w:rPr>
            </w:pPr>
            <w:r>
              <w:rPr>
                <w:spacing w:val="-5"/>
                <w:sz w:val="20"/>
              </w:rPr>
              <w:t>6%</w:t>
            </w:r>
          </w:p>
        </w:tc>
      </w:tr>
      <w:tr>
        <w:trPr>
          <w:trHeight w:val="229" w:hRule="atLeast"/>
        </w:trPr>
        <w:tc>
          <w:tcPr>
            <w:tcW w:w="1032" w:type="dxa"/>
          </w:tcPr>
          <w:p>
            <w:pPr>
              <w:pStyle w:val="TableParagraph"/>
              <w:ind w:left="9"/>
              <w:rPr>
                <w:sz w:val="20"/>
              </w:rPr>
            </w:pPr>
            <w:r>
              <w:rPr>
                <w:spacing w:val="-5"/>
                <w:sz w:val="20"/>
              </w:rPr>
              <w:t>90</w:t>
            </w:r>
          </w:p>
        </w:tc>
        <w:tc>
          <w:tcPr>
            <w:tcW w:w="7060" w:type="dxa"/>
          </w:tcPr>
          <w:p>
            <w:pPr>
              <w:pStyle w:val="TableParagraph"/>
              <w:jc w:val="left"/>
              <w:rPr>
                <w:sz w:val="20"/>
              </w:rPr>
            </w:pPr>
            <w:r>
              <w:rPr>
                <w:sz w:val="20"/>
              </w:rPr>
              <w:t>De</w:t>
            </w:r>
            <w:r>
              <w:rPr>
                <w:spacing w:val="-8"/>
                <w:sz w:val="20"/>
              </w:rPr>
              <w:t> </w:t>
            </w:r>
            <w:r>
              <w:rPr>
                <w:sz w:val="20"/>
              </w:rPr>
              <w:t>la</w:t>
            </w:r>
            <w:r>
              <w:rPr>
                <w:spacing w:val="-7"/>
                <w:sz w:val="20"/>
              </w:rPr>
              <w:t> </w:t>
            </w:r>
            <w:r>
              <w:rPr>
                <w:sz w:val="20"/>
              </w:rPr>
              <w:t>articulación</w:t>
            </w:r>
            <w:r>
              <w:rPr>
                <w:spacing w:val="-7"/>
                <w:sz w:val="20"/>
              </w:rPr>
              <w:t> </w:t>
            </w:r>
            <w:r>
              <w:rPr>
                <w:sz w:val="20"/>
              </w:rPr>
              <w:t>interfalángica</w:t>
            </w:r>
            <w:r>
              <w:rPr>
                <w:spacing w:val="-7"/>
                <w:sz w:val="20"/>
              </w:rPr>
              <w:t> </w:t>
            </w:r>
            <w:r>
              <w:rPr>
                <w:sz w:val="20"/>
              </w:rPr>
              <w:t>proximal</w:t>
            </w:r>
            <w:r>
              <w:rPr>
                <w:spacing w:val="-7"/>
                <w:sz w:val="20"/>
              </w:rPr>
              <w:t> </w:t>
            </w:r>
            <w:r>
              <w:rPr>
                <w:sz w:val="20"/>
              </w:rPr>
              <w:t>y</w:t>
            </w:r>
            <w:r>
              <w:rPr>
                <w:spacing w:val="-10"/>
                <w:sz w:val="20"/>
              </w:rPr>
              <w:t> </w:t>
            </w:r>
            <w:r>
              <w:rPr>
                <w:sz w:val="20"/>
              </w:rPr>
              <w:t>distal</w:t>
            </w:r>
            <w:r>
              <w:rPr>
                <w:spacing w:val="-7"/>
                <w:sz w:val="20"/>
              </w:rPr>
              <w:t> </w:t>
            </w:r>
            <w:r>
              <w:rPr>
                <w:sz w:val="20"/>
              </w:rPr>
              <w:t>del</w:t>
            </w:r>
            <w:r>
              <w:rPr>
                <w:spacing w:val="-4"/>
                <w:sz w:val="20"/>
              </w:rPr>
              <w:t> </w:t>
            </w:r>
            <w:r>
              <w:rPr>
                <w:spacing w:val="-2"/>
                <w:sz w:val="20"/>
              </w:rPr>
              <w:t>índice.</w:t>
            </w:r>
          </w:p>
        </w:tc>
        <w:tc>
          <w:tcPr>
            <w:tcW w:w="1457" w:type="dxa"/>
          </w:tcPr>
          <w:p>
            <w:pPr>
              <w:pStyle w:val="TableParagraph"/>
              <w:ind w:left="11" w:right="1"/>
              <w:rPr>
                <w:sz w:val="20"/>
              </w:rPr>
            </w:pPr>
            <w:r>
              <w:rPr>
                <w:spacing w:val="-5"/>
                <w:sz w:val="20"/>
              </w:rPr>
              <w:t>12%</w:t>
            </w:r>
          </w:p>
        </w:tc>
      </w:tr>
      <w:tr>
        <w:trPr>
          <w:trHeight w:val="230" w:hRule="atLeast"/>
        </w:trPr>
        <w:tc>
          <w:tcPr>
            <w:tcW w:w="1032" w:type="dxa"/>
          </w:tcPr>
          <w:p>
            <w:pPr>
              <w:pStyle w:val="TableParagraph"/>
              <w:ind w:left="9"/>
              <w:rPr>
                <w:sz w:val="20"/>
              </w:rPr>
            </w:pPr>
            <w:r>
              <w:rPr>
                <w:spacing w:val="-5"/>
                <w:sz w:val="20"/>
              </w:rPr>
              <w:t>91</w:t>
            </w:r>
          </w:p>
        </w:tc>
        <w:tc>
          <w:tcPr>
            <w:tcW w:w="7060" w:type="dxa"/>
          </w:tcPr>
          <w:p>
            <w:pPr>
              <w:pStyle w:val="TableParagraph"/>
              <w:jc w:val="left"/>
              <w:rPr>
                <w:sz w:val="20"/>
              </w:rPr>
            </w:pPr>
            <w:r>
              <w:rPr>
                <w:sz w:val="20"/>
              </w:rPr>
              <w:t>De</w:t>
            </w:r>
            <w:r>
              <w:rPr>
                <w:spacing w:val="-7"/>
                <w:sz w:val="20"/>
              </w:rPr>
              <w:t> </w:t>
            </w:r>
            <w:r>
              <w:rPr>
                <w:sz w:val="20"/>
              </w:rPr>
              <w:t>las</w:t>
            </w:r>
            <w:r>
              <w:rPr>
                <w:spacing w:val="-6"/>
                <w:sz w:val="20"/>
              </w:rPr>
              <w:t> </w:t>
            </w:r>
            <w:r>
              <w:rPr>
                <w:sz w:val="20"/>
              </w:rPr>
              <w:t>tres</w:t>
            </w:r>
            <w:r>
              <w:rPr>
                <w:spacing w:val="-5"/>
                <w:sz w:val="20"/>
              </w:rPr>
              <w:t> </w:t>
            </w:r>
            <w:r>
              <w:rPr>
                <w:sz w:val="20"/>
              </w:rPr>
              <w:t>articulaciones</w:t>
            </w:r>
            <w:r>
              <w:rPr>
                <w:spacing w:val="-4"/>
                <w:sz w:val="20"/>
              </w:rPr>
              <w:t> </w:t>
            </w:r>
            <w:r>
              <w:rPr>
                <w:sz w:val="20"/>
              </w:rPr>
              <w:t>del</w:t>
            </w:r>
            <w:r>
              <w:rPr>
                <w:spacing w:val="-8"/>
                <w:sz w:val="20"/>
              </w:rPr>
              <w:t> </w:t>
            </w:r>
            <w:r>
              <w:rPr>
                <w:spacing w:val="-2"/>
                <w:sz w:val="20"/>
              </w:rPr>
              <w:t>índice.</w:t>
            </w:r>
          </w:p>
        </w:tc>
        <w:tc>
          <w:tcPr>
            <w:tcW w:w="1457" w:type="dxa"/>
          </w:tcPr>
          <w:p>
            <w:pPr>
              <w:pStyle w:val="TableParagraph"/>
              <w:ind w:left="11" w:right="1"/>
              <w:rPr>
                <w:sz w:val="20"/>
              </w:rPr>
            </w:pPr>
            <w:r>
              <w:rPr>
                <w:spacing w:val="-5"/>
                <w:sz w:val="20"/>
              </w:rPr>
              <w:t>15%</w:t>
            </w:r>
          </w:p>
        </w:tc>
      </w:tr>
      <w:tr>
        <w:trPr>
          <w:trHeight w:val="229" w:hRule="atLeast"/>
        </w:trPr>
        <w:tc>
          <w:tcPr>
            <w:tcW w:w="1032" w:type="dxa"/>
          </w:tcPr>
          <w:p>
            <w:pPr>
              <w:pStyle w:val="TableParagraph"/>
              <w:ind w:left="9"/>
              <w:rPr>
                <w:sz w:val="20"/>
              </w:rPr>
            </w:pPr>
            <w:r>
              <w:rPr>
                <w:spacing w:val="-5"/>
                <w:sz w:val="20"/>
              </w:rPr>
              <w:t>92</w:t>
            </w:r>
          </w:p>
        </w:tc>
        <w:tc>
          <w:tcPr>
            <w:tcW w:w="7060" w:type="dxa"/>
          </w:tcPr>
          <w:p>
            <w:pPr>
              <w:pStyle w:val="TableParagraph"/>
              <w:jc w:val="left"/>
              <w:rPr>
                <w:sz w:val="20"/>
              </w:rPr>
            </w:pPr>
            <w:r>
              <w:rPr>
                <w:sz w:val="20"/>
              </w:rPr>
              <w:t>De</w:t>
            </w:r>
            <w:r>
              <w:rPr>
                <w:spacing w:val="-7"/>
                <w:sz w:val="20"/>
              </w:rPr>
              <w:t> </w:t>
            </w:r>
            <w:r>
              <w:rPr>
                <w:sz w:val="20"/>
              </w:rPr>
              <w:t>una</w:t>
            </w:r>
            <w:r>
              <w:rPr>
                <w:spacing w:val="-7"/>
                <w:sz w:val="20"/>
              </w:rPr>
              <w:t> </w:t>
            </w:r>
            <w:r>
              <w:rPr>
                <w:sz w:val="20"/>
              </w:rPr>
              <w:t>sola</w:t>
            </w:r>
            <w:r>
              <w:rPr>
                <w:spacing w:val="-6"/>
                <w:sz w:val="20"/>
              </w:rPr>
              <w:t> </w:t>
            </w:r>
            <w:r>
              <w:rPr>
                <w:sz w:val="20"/>
              </w:rPr>
              <w:t>articulación</w:t>
            </w:r>
            <w:r>
              <w:rPr>
                <w:spacing w:val="-5"/>
                <w:sz w:val="20"/>
              </w:rPr>
              <w:t> </w:t>
            </w:r>
            <w:r>
              <w:rPr>
                <w:sz w:val="20"/>
              </w:rPr>
              <w:t>del</w:t>
            </w:r>
            <w:r>
              <w:rPr>
                <w:spacing w:val="-8"/>
                <w:sz w:val="20"/>
              </w:rPr>
              <w:t> </w:t>
            </w:r>
            <w:r>
              <w:rPr>
                <w:sz w:val="20"/>
              </w:rPr>
              <w:t>dedo</w:t>
            </w:r>
            <w:r>
              <w:rPr>
                <w:spacing w:val="-7"/>
                <w:sz w:val="20"/>
              </w:rPr>
              <w:t> </w:t>
            </w:r>
            <w:r>
              <w:rPr>
                <w:spacing w:val="-2"/>
                <w:sz w:val="20"/>
              </w:rPr>
              <w:t>medio.</w:t>
            </w:r>
          </w:p>
        </w:tc>
        <w:tc>
          <w:tcPr>
            <w:tcW w:w="1457" w:type="dxa"/>
          </w:tcPr>
          <w:p>
            <w:pPr>
              <w:pStyle w:val="TableParagraph"/>
              <w:ind w:left="11" w:right="1"/>
              <w:rPr>
                <w:sz w:val="20"/>
              </w:rPr>
            </w:pPr>
            <w:r>
              <w:rPr>
                <w:spacing w:val="-5"/>
                <w:sz w:val="20"/>
              </w:rPr>
              <w:t>2%</w:t>
            </w:r>
          </w:p>
        </w:tc>
      </w:tr>
      <w:tr>
        <w:trPr>
          <w:trHeight w:val="229" w:hRule="atLeast"/>
        </w:trPr>
        <w:tc>
          <w:tcPr>
            <w:tcW w:w="1032" w:type="dxa"/>
          </w:tcPr>
          <w:p>
            <w:pPr>
              <w:pStyle w:val="TableParagraph"/>
              <w:ind w:left="9"/>
              <w:rPr>
                <w:sz w:val="20"/>
              </w:rPr>
            </w:pPr>
            <w:r>
              <w:rPr>
                <w:spacing w:val="-5"/>
                <w:sz w:val="20"/>
              </w:rPr>
              <w:t>93</w:t>
            </w:r>
          </w:p>
        </w:tc>
        <w:tc>
          <w:tcPr>
            <w:tcW w:w="7060" w:type="dxa"/>
          </w:tcPr>
          <w:p>
            <w:pPr>
              <w:pStyle w:val="TableParagraph"/>
              <w:jc w:val="left"/>
              <w:rPr>
                <w:sz w:val="20"/>
              </w:rPr>
            </w:pPr>
            <w:r>
              <w:rPr>
                <w:sz w:val="20"/>
              </w:rPr>
              <w:t>De</w:t>
            </w:r>
            <w:r>
              <w:rPr>
                <w:spacing w:val="-8"/>
                <w:sz w:val="20"/>
              </w:rPr>
              <w:t> </w:t>
            </w:r>
            <w:r>
              <w:rPr>
                <w:sz w:val="20"/>
              </w:rPr>
              <w:t>dos</w:t>
            </w:r>
            <w:r>
              <w:rPr>
                <w:spacing w:val="-6"/>
                <w:sz w:val="20"/>
              </w:rPr>
              <w:t> </w:t>
            </w:r>
            <w:r>
              <w:rPr>
                <w:sz w:val="20"/>
              </w:rPr>
              <w:t>articulaciones</w:t>
            </w:r>
            <w:r>
              <w:rPr>
                <w:spacing w:val="-7"/>
                <w:sz w:val="20"/>
              </w:rPr>
              <w:t> </w:t>
            </w:r>
            <w:r>
              <w:rPr>
                <w:sz w:val="20"/>
              </w:rPr>
              <w:t>del</w:t>
            </w:r>
            <w:r>
              <w:rPr>
                <w:spacing w:val="-7"/>
                <w:sz w:val="20"/>
              </w:rPr>
              <w:t> </w:t>
            </w:r>
            <w:r>
              <w:rPr>
                <w:sz w:val="20"/>
              </w:rPr>
              <w:t>dedo</w:t>
            </w:r>
            <w:r>
              <w:rPr>
                <w:spacing w:val="-8"/>
                <w:sz w:val="20"/>
              </w:rPr>
              <w:t> </w:t>
            </w:r>
            <w:r>
              <w:rPr>
                <w:spacing w:val="-2"/>
                <w:sz w:val="20"/>
              </w:rPr>
              <w:t>medio.</w:t>
            </w:r>
          </w:p>
        </w:tc>
        <w:tc>
          <w:tcPr>
            <w:tcW w:w="1457" w:type="dxa"/>
          </w:tcPr>
          <w:p>
            <w:pPr>
              <w:pStyle w:val="TableParagraph"/>
              <w:ind w:left="11" w:right="1"/>
              <w:rPr>
                <w:sz w:val="20"/>
              </w:rPr>
            </w:pPr>
            <w:r>
              <w:rPr>
                <w:spacing w:val="-5"/>
                <w:sz w:val="20"/>
              </w:rPr>
              <w:t>4%</w:t>
            </w:r>
          </w:p>
        </w:tc>
      </w:tr>
      <w:tr>
        <w:trPr>
          <w:trHeight w:val="232" w:hRule="atLeast"/>
        </w:trPr>
        <w:tc>
          <w:tcPr>
            <w:tcW w:w="1032" w:type="dxa"/>
          </w:tcPr>
          <w:p>
            <w:pPr>
              <w:pStyle w:val="TableParagraph"/>
              <w:spacing w:before="1"/>
              <w:ind w:left="9"/>
              <w:rPr>
                <w:sz w:val="20"/>
              </w:rPr>
            </w:pPr>
            <w:r>
              <w:rPr>
                <w:spacing w:val="-5"/>
                <w:sz w:val="20"/>
              </w:rPr>
              <w:t>94</w:t>
            </w:r>
          </w:p>
        </w:tc>
        <w:tc>
          <w:tcPr>
            <w:tcW w:w="7060" w:type="dxa"/>
          </w:tcPr>
          <w:p>
            <w:pPr>
              <w:pStyle w:val="TableParagraph"/>
              <w:spacing w:before="1"/>
              <w:jc w:val="left"/>
              <w:rPr>
                <w:sz w:val="20"/>
              </w:rPr>
            </w:pPr>
            <w:r>
              <w:rPr>
                <w:sz w:val="20"/>
              </w:rPr>
              <w:t>De</w:t>
            </w:r>
            <w:r>
              <w:rPr>
                <w:spacing w:val="-7"/>
                <w:sz w:val="20"/>
              </w:rPr>
              <w:t> </w:t>
            </w:r>
            <w:r>
              <w:rPr>
                <w:sz w:val="20"/>
              </w:rPr>
              <w:t>las</w:t>
            </w:r>
            <w:r>
              <w:rPr>
                <w:spacing w:val="-6"/>
                <w:sz w:val="20"/>
              </w:rPr>
              <w:t> </w:t>
            </w:r>
            <w:r>
              <w:rPr>
                <w:sz w:val="20"/>
              </w:rPr>
              <w:t>tres</w:t>
            </w:r>
            <w:r>
              <w:rPr>
                <w:spacing w:val="-5"/>
                <w:sz w:val="20"/>
              </w:rPr>
              <w:t> </w:t>
            </w:r>
            <w:r>
              <w:rPr>
                <w:sz w:val="20"/>
              </w:rPr>
              <w:t>articulaciones</w:t>
            </w:r>
            <w:r>
              <w:rPr>
                <w:spacing w:val="-4"/>
                <w:sz w:val="20"/>
              </w:rPr>
              <w:t> </w:t>
            </w:r>
            <w:r>
              <w:rPr>
                <w:sz w:val="20"/>
              </w:rPr>
              <w:t>del</w:t>
            </w:r>
            <w:r>
              <w:rPr>
                <w:spacing w:val="-7"/>
                <w:sz w:val="20"/>
              </w:rPr>
              <w:t> </w:t>
            </w:r>
            <w:r>
              <w:rPr>
                <w:sz w:val="20"/>
              </w:rPr>
              <w:t>dedo</w:t>
            </w:r>
            <w:r>
              <w:rPr>
                <w:spacing w:val="-5"/>
                <w:sz w:val="20"/>
              </w:rPr>
              <w:t> </w:t>
            </w:r>
            <w:r>
              <w:rPr>
                <w:spacing w:val="-2"/>
                <w:sz w:val="20"/>
              </w:rPr>
              <w:t>medio.</w:t>
            </w:r>
          </w:p>
        </w:tc>
        <w:tc>
          <w:tcPr>
            <w:tcW w:w="1457" w:type="dxa"/>
          </w:tcPr>
          <w:p>
            <w:pPr>
              <w:pStyle w:val="TableParagraph"/>
              <w:spacing w:before="1"/>
              <w:ind w:left="11" w:right="1"/>
              <w:rPr>
                <w:sz w:val="20"/>
              </w:rPr>
            </w:pPr>
            <w:r>
              <w:rPr>
                <w:sz w:val="20"/>
              </w:rPr>
              <w:t>6</w:t>
            </w:r>
            <w:r>
              <w:rPr>
                <w:spacing w:val="-3"/>
                <w:sz w:val="20"/>
              </w:rPr>
              <w:t> </w:t>
            </w:r>
            <w:r>
              <w:rPr>
                <w:sz w:val="20"/>
              </w:rPr>
              <w:t>a</w:t>
            </w:r>
            <w:r>
              <w:rPr>
                <w:spacing w:val="-2"/>
                <w:sz w:val="20"/>
              </w:rPr>
              <w:t> </w:t>
            </w:r>
            <w:r>
              <w:rPr>
                <w:spacing w:val="-5"/>
                <w:sz w:val="20"/>
              </w:rPr>
              <w:t>8%</w:t>
            </w:r>
          </w:p>
        </w:tc>
      </w:tr>
      <w:tr>
        <w:trPr>
          <w:trHeight w:val="229" w:hRule="atLeast"/>
        </w:trPr>
        <w:tc>
          <w:tcPr>
            <w:tcW w:w="1032" w:type="dxa"/>
          </w:tcPr>
          <w:p>
            <w:pPr>
              <w:pStyle w:val="TableParagraph"/>
              <w:ind w:left="9"/>
              <w:rPr>
                <w:sz w:val="20"/>
              </w:rPr>
            </w:pPr>
            <w:r>
              <w:rPr>
                <w:spacing w:val="-5"/>
                <w:sz w:val="20"/>
              </w:rPr>
              <w:t>95</w:t>
            </w:r>
          </w:p>
        </w:tc>
        <w:tc>
          <w:tcPr>
            <w:tcW w:w="7060" w:type="dxa"/>
          </w:tcPr>
          <w:p>
            <w:pPr>
              <w:pStyle w:val="TableParagraph"/>
              <w:jc w:val="left"/>
              <w:rPr>
                <w:sz w:val="20"/>
              </w:rPr>
            </w:pPr>
            <w:r>
              <w:rPr>
                <w:sz w:val="20"/>
              </w:rPr>
              <w:t>De</w:t>
            </w:r>
            <w:r>
              <w:rPr>
                <w:spacing w:val="-7"/>
                <w:sz w:val="20"/>
              </w:rPr>
              <w:t> </w:t>
            </w:r>
            <w:r>
              <w:rPr>
                <w:sz w:val="20"/>
              </w:rPr>
              <w:t>una</w:t>
            </w:r>
            <w:r>
              <w:rPr>
                <w:spacing w:val="-7"/>
                <w:sz w:val="20"/>
              </w:rPr>
              <w:t> </w:t>
            </w:r>
            <w:r>
              <w:rPr>
                <w:sz w:val="20"/>
              </w:rPr>
              <w:t>sola</w:t>
            </w:r>
            <w:r>
              <w:rPr>
                <w:spacing w:val="-6"/>
                <w:sz w:val="20"/>
              </w:rPr>
              <w:t> </w:t>
            </w:r>
            <w:r>
              <w:rPr>
                <w:sz w:val="20"/>
              </w:rPr>
              <w:t>articulación</w:t>
            </w:r>
            <w:r>
              <w:rPr>
                <w:spacing w:val="-5"/>
                <w:sz w:val="20"/>
              </w:rPr>
              <w:t> </w:t>
            </w:r>
            <w:r>
              <w:rPr>
                <w:sz w:val="20"/>
              </w:rPr>
              <w:t>del</w:t>
            </w:r>
            <w:r>
              <w:rPr>
                <w:spacing w:val="-8"/>
                <w:sz w:val="20"/>
              </w:rPr>
              <w:t> </w:t>
            </w:r>
            <w:r>
              <w:rPr>
                <w:spacing w:val="-2"/>
                <w:sz w:val="20"/>
              </w:rPr>
              <w:t>anular.</w:t>
            </w:r>
          </w:p>
        </w:tc>
        <w:tc>
          <w:tcPr>
            <w:tcW w:w="1457" w:type="dxa"/>
          </w:tcPr>
          <w:p>
            <w:pPr>
              <w:pStyle w:val="TableParagraph"/>
              <w:ind w:left="11" w:right="1"/>
              <w:rPr>
                <w:sz w:val="20"/>
              </w:rPr>
            </w:pPr>
            <w:r>
              <w:rPr>
                <w:spacing w:val="-5"/>
                <w:sz w:val="20"/>
              </w:rPr>
              <w:t>2%</w:t>
            </w:r>
          </w:p>
        </w:tc>
      </w:tr>
      <w:tr>
        <w:trPr>
          <w:trHeight w:val="229" w:hRule="atLeast"/>
        </w:trPr>
        <w:tc>
          <w:tcPr>
            <w:tcW w:w="1032" w:type="dxa"/>
          </w:tcPr>
          <w:p>
            <w:pPr>
              <w:pStyle w:val="TableParagraph"/>
              <w:ind w:left="9"/>
              <w:rPr>
                <w:sz w:val="20"/>
              </w:rPr>
            </w:pPr>
            <w:r>
              <w:rPr>
                <w:spacing w:val="-5"/>
                <w:sz w:val="20"/>
              </w:rPr>
              <w:t>96</w:t>
            </w:r>
          </w:p>
        </w:tc>
        <w:tc>
          <w:tcPr>
            <w:tcW w:w="7060" w:type="dxa"/>
          </w:tcPr>
          <w:p>
            <w:pPr>
              <w:pStyle w:val="TableParagraph"/>
              <w:jc w:val="left"/>
              <w:rPr>
                <w:sz w:val="20"/>
              </w:rPr>
            </w:pPr>
            <w:r>
              <w:rPr>
                <w:sz w:val="20"/>
              </w:rPr>
              <w:t>De</w:t>
            </w:r>
            <w:r>
              <w:rPr>
                <w:spacing w:val="-8"/>
                <w:sz w:val="20"/>
              </w:rPr>
              <w:t> </w:t>
            </w:r>
            <w:r>
              <w:rPr>
                <w:sz w:val="20"/>
              </w:rPr>
              <w:t>dos</w:t>
            </w:r>
            <w:r>
              <w:rPr>
                <w:spacing w:val="-6"/>
                <w:sz w:val="20"/>
              </w:rPr>
              <w:t> </w:t>
            </w:r>
            <w:r>
              <w:rPr>
                <w:sz w:val="20"/>
              </w:rPr>
              <w:t>articulaciones</w:t>
            </w:r>
            <w:r>
              <w:rPr>
                <w:spacing w:val="-7"/>
                <w:sz w:val="20"/>
              </w:rPr>
              <w:t> </w:t>
            </w:r>
            <w:r>
              <w:rPr>
                <w:sz w:val="20"/>
              </w:rPr>
              <w:t>del</w:t>
            </w:r>
            <w:r>
              <w:rPr>
                <w:spacing w:val="-7"/>
                <w:sz w:val="20"/>
              </w:rPr>
              <w:t> </w:t>
            </w:r>
            <w:r>
              <w:rPr>
                <w:spacing w:val="-2"/>
                <w:sz w:val="20"/>
              </w:rPr>
              <w:t>anular.</w:t>
            </w:r>
          </w:p>
        </w:tc>
        <w:tc>
          <w:tcPr>
            <w:tcW w:w="1457" w:type="dxa"/>
          </w:tcPr>
          <w:p>
            <w:pPr>
              <w:pStyle w:val="TableParagraph"/>
              <w:ind w:left="11" w:right="1"/>
              <w:rPr>
                <w:sz w:val="20"/>
              </w:rPr>
            </w:pPr>
            <w:r>
              <w:rPr>
                <w:spacing w:val="-5"/>
                <w:sz w:val="20"/>
              </w:rPr>
              <w:t>3%</w:t>
            </w:r>
          </w:p>
        </w:tc>
      </w:tr>
      <w:tr>
        <w:trPr>
          <w:trHeight w:val="229" w:hRule="atLeast"/>
        </w:trPr>
        <w:tc>
          <w:tcPr>
            <w:tcW w:w="1032" w:type="dxa"/>
          </w:tcPr>
          <w:p>
            <w:pPr>
              <w:pStyle w:val="TableParagraph"/>
              <w:ind w:left="9"/>
              <w:rPr>
                <w:sz w:val="20"/>
              </w:rPr>
            </w:pPr>
            <w:r>
              <w:rPr>
                <w:spacing w:val="-5"/>
                <w:sz w:val="20"/>
              </w:rPr>
              <w:t>97</w:t>
            </w:r>
          </w:p>
        </w:tc>
        <w:tc>
          <w:tcPr>
            <w:tcW w:w="7060" w:type="dxa"/>
          </w:tcPr>
          <w:p>
            <w:pPr>
              <w:pStyle w:val="TableParagraph"/>
              <w:jc w:val="left"/>
              <w:rPr>
                <w:sz w:val="20"/>
              </w:rPr>
            </w:pPr>
            <w:r>
              <w:rPr>
                <w:sz w:val="20"/>
              </w:rPr>
              <w:t>De</w:t>
            </w:r>
            <w:r>
              <w:rPr>
                <w:spacing w:val="-7"/>
                <w:sz w:val="20"/>
              </w:rPr>
              <w:t> </w:t>
            </w:r>
            <w:r>
              <w:rPr>
                <w:sz w:val="20"/>
              </w:rPr>
              <w:t>las</w:t>
            </w:r>
            <w:r>
              <w:rPr>
                <w:spacing w:val="-6"/>
                <w:sz w:val="20"/>
              </w:rPr>
              <w:t> </w:t>
            </w:r>
            <w:r>
              <w:rPr>
                <w:sz w:val="20"/>
              </w:rPr>
              <w:t>tres</w:t>
            </w:r>
            <w:r>
              <w:rPr>
                <w:spacing w:val="-5"/>
                <w:sz w:val="20"/>
              </w:rPr>
              <w:t> </w:t>
            </w:r>
            <w:r>
              <w:rPr>
                <w:sz w:val="20"/>
              </w:rPr>
              <w:t>articulaciones</w:t>
            </w:r>
            <w:r>
              <w:rPr>
                <w:spacing w:val="-4"/>
                <w:sz w:val="20"/>
              </w:rPr>
              <w:t> </w:t>
            </w:r>
            <w:r>
              <w:rPr>
                <w:sz w:val="20"/>
              </w:rPr>
              <w:t>del</w:t>
            </w:r>
            <w:r>
              <w:rPr>
                <w:spacing w:val="-8"/>
                <w:sz w:val="20"/>
              </w:rPr>
              <w:t> </w:t>
            </w:r>
            <w:r>
              <w:rPr>
                <w:spacing w:val="-2"/>
                <w:sz w:val="20"/>
              </w:rPr>
              <w:t>anular.</w:t>
            </w:r>
          </w:p>
        </w:tc>
        <w:tc>
          <w:tcPr>
            <w:tcW w:w="1457" w:type="dxa"/>
          </w:tcPr>
          <w:p>
            <w:pPr>
              <w:pStyle w:val="TableParagraph"/>
              <w:ind w:left="11" w:right="1"/>
              <w:rPr>
                <w:sz w:val="20"/>
              </w:rPr>
            </w:pPr>
            <w:r>
              <w:rPr>
                <w:sz w:val="20"/>
              </w:rPr>
              <w:t>5</w:t>
            </w:r>
            <w:r>
              <w:rPr>
                <w:spacing w:val="-3"/>
                <w:sz w:val="20"/>
              </w:rPr>
              <w:t> </w:t>
            </w:r>
            <w:r>
              <w:rPr>
                <w:sz w:val="20"/>
              </w:rPr>
              <w:t>a</w:t>
            </w:r>
            <w:r>
              <w:rPr>
                <w:spacing w:val="-2"/>
                <w:sz w:val="20"/>
              </w:rPr>
              <w:t> </w:t>
            </w:r>
            <w:r>
              <w:rPr>
                <w:spacing w:val="-5"/>
                <w:sz w:val="20"/>
              </w:rPr>
              <w:t>6%</w:t>
            </w:r>
          </w:p>
        </w:tc>
      </w:tr>
      <w:tr>
        <w:trPr>
          <w:trHeight w:val="229" w:hRule="atLeast"/>
        </w:trPr>
        <w:tc>
          <w:tcPr>
            <w:tcW w:w="1032" w:type="dxa"/>
          </w:tcPr>
          <w:p>
            <w:pPr>
              <w:pStyle w:val="TableParagraph"/>
              <w:ind w:left="9"/>
              <w:rPr>
                <w:sz w:val="20"/>
              </w:rPr>
            </w:pPr>
            <w:r>
              <w:rPr>
                <w:spacing w:val="-5"/>
                <w:sz w:val="20"/>
              </w:rPr>
              <w:t>98</w:t>
            </w:r>
          </w:p>
        </w:tc>
        <w:tc>
          <w:tcPr>
            <w:tcW w:w="7060" w:type="dxa"/>
          </w:tcPr>
          <w:p>
            <w:pPr>
              <w:pStyle w:val="TableParagraph"/>
              <w:jc w:val="left"/>
              <w:rPr>
                <w:sz w:val="20"/>
              </w:rPr>
            </w:pPr>
            <w:r>
              <w:rPr>
                <w:sz w:val="20"/>
              </w:rPr>
              <w:t>De</w:t>
            </w:r>
            <w:r>
              <w:rPr>
                <w:spacing w:val="-7"/>
                <w:sz w:val="20"/>
              </w:rPr>
              <w:t> </w:t>
            </w:r>
            <w:r>
              <w:rPr>
                <w:sz w:val="20"/>
              </w:rPr>
              <w:t>una</w:t>
            </w:r>
            <w:r>
              <w:rPr>
                <w:spacing w:val="-7"/>
                <w:sz w:val="20"/>
              </w:rPr>
              <w:t> </w:t>
            </w:r>
            <w:r>
              <w:rPr>
                <w:sz w:val="20"/>
              </w:rPr>
              <w:t>sola</w:t>
            </w:r>
            <w:r>
              <w:rPr>
                <w:spacing w:val="-6"/>
                <w:sz w:val="20"/>
              </w:rPr>
              <w:t> </w:t>
            </w:r>
            <w:r>
              <w:rPr>
                <w:sz w:val="20"/>
              </w:rPr>
              <w:t>articulación</w:t>
            </w:r>
            <w:r>
              <w:rPr>
                <w:spacing w:val="-5"/>
                <w:sz w:val="20"/>
              </w:rPr>
              <w:t> </w:t>
            </w:r>
            <w:r>
              <w:rPr>
                <w:sz w:val="20"/>
              </w:rPr>
              <w:t>del</w:t>
            </w:r>
            <w:r>
              <w:rPr>
                <w:spacing w:val="-8"/>
                <w:sz w:val="20"/>
              </w:rPr>
              <w:t> </w:t>
            </w:r>
            <w:r>
              <w:rPr>
                <w:spacing w:val="-2"/>
                <w:sz w:val="20"/>
              </w:rPr>
              <w:t>meñique.</w:t>
            </w:r>
          </w:p>
        </w:tc>
        <w:tc>
          <w:tcPr>
            <w:tcW w:w="1457" w:type="dxa"/>
          </w:tcPr>
          <w:p>
            <w:pPr>
              <w:pStyle w:val="TableParagraph"/>
              <w:ind w:left="11" w:right="1"/>
              <w:rPr>
                <w:sz w:val="20"/>
              </w:rPr>
            </w:pPr>
            <w:r>
              <w:rPr>
                <w:spacing w:val="-5"/>
                <w:sz w:val="20"/>
              </w:rPr>
              <w:t>2%</w:t>
            </w:r>
          </w:p>
        </w:tc>
      </w:tr>
      <w:tr>
        <w:trPr>
          <w:trHeight w:val="229" w:hRule="atLeast"/>
        </w:trPr>
        <w:tc>
          <w:tcPr>
            <w:tcW w:w="1032" w:type="dxa"/>
          </w:tcPr>
          <w:p>
            <w:pPr>
              <w:pStyle w:val="TableParagraph"/>
              <w:ind w:left="9"/>
              <w:rPr>
                <w:sz w:val="20"/>
              </w:rPr>
            </w:pPr>
            <w:r>
              <w:rPr>
                <w:spacing w:val="-5"/>
                <w:sz w:val="20"/>
              </w:rPr>
              <w:t>99</w:t>
            </w:r>
          </w:p>
        </w:tc>
        <w:tc>
          <w:tcPr>
            <w:tcW w:w="7060" w:type="dxa"/>
          </w:tcPr>
          <w:p>
            <w:pPr>
              <w:pStyle w:val="TableParagraph"/>
              <w:jc w:val="left"/>
              <w:rPr>
                <w:sz w:val="20"/>
              </w:rPr>
            </w:pPr>
            <w:r>
              <w:rPr>
                <w:sz w:val="20"/>
              </w:rPr>
              <w:t>De</w:t>
            </w:r>
            <w:r>
              <w:rPr>
                <w:spacing w:val="-9"/>
                <w:sz w:val="20"/>
              </w:rPr>
              <w:t> </w:t>
            </w:r>
            <w:r>
              <w:rPr>
                <w:sz w:val="20"/>
              </w:rPr>
              <w:t>dos</w:t>
            </w:r>
            <w:r>
              <w:rPr>
                <w:spacing w:val="-5"/>
                <w:sz w:val="20"/>
              </w:rPr>
              <w:t> </w:t>
            </w:r>
            <w:r>
              <w:rPr>
                <w:sz w:val="20"/>
              </w:rPr>
              <w:t>articulaciones</w:t>
            </w:r>
            <w:r>
              <w:rPr>
                <w:spacing w:val="-8"/>
                <w:sz w:val="20"/>
              </w:rPr>
              <w:t> </w:t>
            </w:r>
            <w:r>
              <w:rPr>
                <w:sz w:val="20"/>
              </w:rPr>
              <w:t>del</w:t>
            </w:r>
            <w:r>
              <w:rPr>
                <w:spacing w:val="-7"/>
                <w:sz w:val="20"/>
              </w:rPr>
              <w:t> </w:t>
            </w:r>
            <w:r>
              <w:rPr>
                <w:spacing w:val="-2"/>
                <w:sz w:val="20"/>
              </w:rPr>
              <w:t>meñique.</w:t>
            </w:r>
          </w:p>
        </w:tc>
        <w:tc>
          <w:tcPr>
            <w:tcW w:w="1457" w:type="dxa"/>
          </w:tcPr>
          <w:p>
            <w:pPr>
              <w:pStyle w:val="TableParagraph"/>
              <w:ind w:left="11" w:right="1"/>
              <w:rPr>
                <w:sz w:val="20"/>
              </w:rPr>
            </w:pPr>
            <w:r>
              <w:rPr>
                <w:spacing w:val="-5"/>
                <w:sz w:val="20"/>
              </w:rPr>
              <w:t>3%</w:t>
            </w:r>
          </w:p>
        </w:tc>
      </w:tr>
      <w:tr>
        <w:trPr>
          <w:trHeight w:val="229" w:hRule="atLeast"/>
        </w:trPr>
        <w:tc>
          <w:tcPr>
            <w:tcW w:w="1032" w:type="dxa"/>
          </w:tcPr>
          <w:p>
            <w:pPr>
              <w:pStyle w:val="TableParagraph"/>
              <w:ind w:left="9"/>
              <w:rPr>
                <w:sz w:val="20"/>
              </w:rPr>
            </w:pPr>
            <w:r>
              <w:rPr>
                <w:spacing w:val="-5"/>
                <w:sz w:val="20"/>
              </w:rPr>
              <w:t>100</w:t>
            </w:r>
          </w:p>
        </w:tc>
        <w:tc>
          <w:tcPr>
            <w:tcW w:w="7060" w:type="dxa"/>
          </w:tcPr>
          <w:p>
            <w:pPr>
              <w:pStyle w:val="TableParagraph"/>
              <w:jc w:val="left"/>
              <w:rPr>
                <w:sz w:val="20"/>
              </w:rPr>
            </w:pPr>
            <w:r>
              <w:rPr>
                <w:sz w:val="20"/>
              </w:rPr>
              <w:t>De</w:t>
            </w:r>
            <w:r>
              <w:rPr>
                <w:spacing w:val="-7"/>
                <w:sz w:val="20"/>
              </w:rPr>
              <w:t> </w:t>
            </w:r>
            <w:r>
              <w:rPr>
                <w:sz w:val="20"/>
              </w:rPr>
              <w:t>las</w:t>
            </w:r>
            <w:r>
              <w:rPr>
                <w:spacing w:val="-6"/>
                <w:sz w:val="20"/>
              </w:rPr>
              <w:t> </w:t>
            </w:r>
            <w:r>
              <w:rPr>
                <w:sz w:val="20"/>
              </w:rPr>
              <w:t>tres</w:t>
            </w:r>
            <w:r>
              <w:rPr>
                <w:spacing w:val="-5"/>
                <w:sz w:val="20"/>
              </w:rPr>
              <w:t> </w:t>
            </w:r>
            <w:r>
              <w:rPr>
                <w:sz w:val="20"/>
              </w:rPr>
              <w:t>articulaciones</w:t>
            </w:r>
            <w:r>
              <w:rPr>
                <w:spacing w:val="-4"/>
                <w:sz w:val="20"/>
              </w:rPr>
              <w:t> </w:t>
            </w:r>
            <w:r>
              <w:rPr>
                <w:sz w:val="20"/>
              </w:rPr>
              <w:t>del</w:t>
            </w:r>
            <w:r>
              <w:rPr>
                <w:spacing w:val="-8"/>
                <w:sz w:val="20"/>
              </w:rPr>
              <w:t> </w:t>
            </w:r>
            <w:r>
              <w:rPr>
                <w:spacing w:val="-2"/>
                <w:sz w:val="20"/>
              </w:rPr>
              <w:t>meñique.</w:t>
            </w:r>
          </w:p>
        </w:tc>
        <w:tc>
          <w:tcPr>
            <w:tcW w:w="1457" w:type="dxa"/>
          </w:tcPr>
          <w:p>
            <w:pPr>
              <w:pStyle w:val="TableParagraph"/>
              <w:ind w:left="11" w:right="1"/>
              <w:rPr>
                <w:sz w:val="20"/>
              </w:rPr>
            </w:pPr>
            <w:r>
              <w:rPr>
                <w:sz w:val="20"/>
              </w:rPr>
              <w:t>5</w:t>
            </w:r>
            <w:r>
              <w:rPr>
                <w:spacing w:val="-3"/>
                <w:sz w:val="20"/>
              </w:rPr>
              <w:t> </w:t>
            </w:r>
            <w:r>
              <w:rPr>
                <w:sz w:val="20"/>
              </w:rPr>
              <w:t>a</w:t>
            </w:r>
            <w:r>
              <w:rPr>
                <w:spacing w:val="-2"/>
                <w:sz w:val="20"/>
              </w:rPr>
              <w:t> </w:t>
            </w:r>
            <w:r>
              <w:rPr>
                <w:spacing w:val="-5"/>
                <w:sz w:val="20"/>
              </w:rPr>
              <w:t>6%</w:t>
            </w:r>
          </w:p>
        </w:tc>
      </w:tr>
    </w:tbl>
    <w:p>
      <w:pPr>
        <w:pStyle w:val="BodyText"/>
        <w:spacing w:before="11"/>
        <w:rPr>
          <w:rFonts w:ascii="Arial"/>
          <w:b/>
        </w:rPr>
      </w:pPr>
    </w:p>
    <w:p>
      <w:pPr>
        <w:spacing w:before="0"/>
        <w:ind w:left="294" w:right="296" w:firstLine="0"/>
        <w:jc w:val="center"/>
        <w:rPr>
          <w:rFonts w:ascii="Arial"/>
          <w:b/>
          <w:sz w:val="20"/>
        </w:rPr>
      </w:pPr>
      <w:r>
        <w:rPr>
          <w:rFonts w:ascii="Arial"/>
          <w:b/>
          <w:spacing w:val="-2"/>
          <w:sz w:val="20"/>
        </w:rPr>
        <w:t>Pseudoartrosis</w:t>
      </w:r>
    </w:p>
    <w:p>
      <w:pPr>
        <w:pStyle w:val="BodyText"/>
        <w:spacing w:before="4"/>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2"/>
        <w:gridCol w:w="7060"/>
        <w:gridCol w:w="1457"/>
      </w:tblGrid>
      <w:tr>
        <w:trPr>
          <w:trHeight w:val="460" w:hRule="atLeast"/>
        </w:trPr>
        <w:tc>
          <w:tcPr>
            <w:tcW w:w="1032" w:type="dxa"/>
          </w:tcPr>
          <w:p>
            <w:pPr>
              <w:pStyle w:val="TableParagraph"/>
              <w:spacing w:line="240" w:lineRule="auto" w:before="114"/>
              <w:ind w:left="9"/>
              <w:rPr>
                <w:sz w:val="20"/>
              </w:rPr>
            </w:pPr>
            <w:r>
              <w:rPr>
                <w:spacing w:val="-5"/>
                <w:sz w:val="20"/>
              </w:rPr>
              <w:t>101</w:t>
            </w:r>
          </w:p>
        </w:tc>
        <w:tc>
          <w:tcPr>
            <w:tcW w:w="7060" w:type="dxa"/>
          </w:tcPr>
          <w:p>
            <w:pPr>
              <w:pStyle w:val="TableParagraph"/>
              <w:spacing w:line="230" w:lineRule="exact"/>
              <w:jc w:val="left"/>
              <w:rPr>
                <w:sz w:val="20"/>
              </w:rPr>
            </w:pPr>
            <w:r>
              <w:rPr>
                <w:sz w:val="20"/>
              </w:rPr>
              <w:t>Del hombro, consecutiva a resecciones amplias o pérdidas considerables de sustancia ósea.</w:t>
            </w:r>
          </w:p>
        </w:tc>
        <w:tc>
          <w:tcPr>
            <w:tcW w:w="1457" w:type="dxa"/>
          </w:tcPr>
          <w:p>
            <w:pPr>
              <w:pStyle w:val="TableParagraph"/>
              <w:spacing w:line="240" w:lineRule="auto" w:before="114"/>
              <w:ind w:left="11" w:right="1"/>
              <w:rPr>
                <w:sz w:val="20"/>
              </w:rPr>
            </w:pPr>
            <w:r>
              <w:rPr>
                <w:spacing w:val="-5"/>
                <w:sz w:val="20"/>
              </w:rPr>
              <w:t>60%</w:t>
            </w:r>
          </w:p>
        </w:tc>
      </w:tr>
      <w:tr>
        <w:trPr>
          <w:trHeight w:val="230" w:hRule="atLeast"/>
        </w:trPr>
        <w:tc>
          <w:tcPr>
            <w:tcW w:w="1032" w:type="dxa"/>
          </w:tcPr>
          <w:p>
            <w:pPr>
              <w:pStyle w:val="TableParagraph"/>
              <w:ind w:left="9"/>
              <w:rPr>
                <w:sz w:val="20"/>
              </w:rPr>
            </w:pPr>
            <w:r>
              <w:rPr>
                <w:spacing w:val="-5"/>
                <w:sz w:val="20"/>
              </w:rPr>
              <w:t>102</w:t>
            </w:r>
          </w:p>
        </w:tc>
        <w:tc>
          <w:tcPr>
            <w:tcW w:w="7060" w:type="dxa"/>
          </w:tcPr>
          <w:p>
            <w:pPr>
              <w:pStyle w:val="TableParagraph"/>
              <w:jc w:val="left"/>
              <w:rPr>
                <w:sz w:val="20"/>
              </w:rPr>
            </w:pPr>
            <w:r>
              <w:rPr>
                <w:sz w:val="20"/>
              </w:rPr>
              <w:t>De</w:t>
            </w:r>
            <w:r>
              <w:rPr>
                <w:spacing w:val="-4"/>
                <w:sz w:val="20"/>
              </w:rPr>
              <w:t> </w:t>
            </w:r>
            <w:r>
              <w:rPr>
                <w:sz w:val="20"/>
              </w:rPr>
              <w:t>la</w:t>
            </w:r>
            <w:r>
              <w:rPr>
                <w:spacing w:val="-4"/>
                <w:sz w:val="20"/>
              </w:rPr>
              <w:t> </w:t>
            </w:r>
            <w:r>
              <w:rPr>
                <w:spacing w:val="-2"/>
                <w:sz w:val="20"/>
              </w:rPr>
              <w:t>clavícula.</w:t>
            </w:r>
          </w:p>
        </w:tc>
        <w:tc>
          <w:tcPr>
            <w:tcW w:w="1457" w:type="dxa"/>
          </w:tcPr>
          <w:p>
            <w:pPr>
              <w:pStyle w:val="TableParagraph"/>
              <w:ind w:left="11" w:right="1"/>
              <w:rPr>
                <w:sz w:val="20"/>
              </w:rPr>
            </w:pPr>
            <w:r>
              <w:rPr>
                <w:spacing w:val="-5"/>
                <w:sz w:val="20"/>
              </w:rPr>
              <w:t>30%</w:t>
            </w:r>
          </w:p>
        </w:tc>
      </w:tr>
      <w:tr>
        <w:trPr>
          <w:trHeight w:val="229" w:hRule="atLeast"/>
        </w:trPr>
        <w:tc>
          <w:tcPr>
            <w:tcW w:w="1032" w:type="dxa"/>
          </w:tcPr>
          <w:p>
            <w:pPr>
              <w:pStyle w:val="TableParagraph"/>
              <w:ind w:left="9"/>
              <w:rPr>
                <w:sz w:val="20"/>
              </w:rPr>
            </w:pPr>
            <w:r>
              <w:rPr>
                <w:spacing w:val="-5"/>
                <w:sz w:val="20"/>
              </w:rPr>
              <w:t>103</w:t>
            </w:r>
          </w:p>
        </w:tc>
        <w:tc>
          <w:tcPr>
            <w:tcW w:w="7060" w:type="dxa"/>
          </w:tcPr>
          <w:p>
            <w:pPr>
              <w:pStyle w:val="TableParagraph"/>
              <w:jc w:val="left"/>
              <w:rPr>
                <w:sz w:val="20"/>
              </w:rPr>
            </w:pPr>
            <w:r>
              <w:rPr>
                <w:sz w:val="20"/>
              </w:rPr>
              <w:t>De</w:t>
            </w:r>
            <w:r>
              <w:rPr>
                <w:spacing w:val="-4"/>
                <w:sz w:val="20"/>
              </w:rPr>
              <w:t> </w:t>
            </w:r>
            <w:r>
              <w:rPr>
                <w:sz w:val="20"/>
              </w:rPr>
              <w:t>la</w:t>
            </w:r>
            <w:r>
              <w:rPr>
                <w:spacing w:val="-4"/>
                <w:sz w:val="20"/>
              </w:rPr>
              <w:t> </w:t>
            </w:r>
            <w:r>
              <w:rPr>
                <w:spacing w:val="-2"/>
                <w:sz w:val="20"/>
              </w:rPr>
              <w:t>escápula.</w:t>
            </w:r>
          </w:p>
        </w:tc>
        <w:tc>
          <w:tcPr>
            <w:tcW w:w="1457" w:type="dxa"/>
          </w:tcPr>
          <w:p>
            <w:pPr>
              <w:pStyle w:val="TableParagraph"/>
              <w:ind w:left="11" w:right="1"/>
              <w:rPr>
                <w:sz w:val="20"/>
              </w:rPr>
            </w:pPr>
            <w:r>
              <w:rPr>
                <w:spacing w:val="-5"/>
                <w:sz w:val="20"/>
              </w:rPr>
              <w:t>30%</w:t>
            </w:r>
          </w:p>
        </w:tc>
      </w:tr>
      <w:tr>
        <w:trPr>
          <w:trHeight w:val="229" w:hRule="atLeast"/>
        </w:trPr>
        <w:tc>
          <w:tcPr>
            <w:tcW w:w="1032" w:type="dxa"/>
          </w:tcPr>
          <w:p>
            <w:pPr>
              <w:pStyle w:val="TableParagraph"/>
              <w:ind w:left="9"/>
              <w:rPr>
                <w:sz w:val="20"/>
              </w:rPr>
            </w:pPr>
            <w:r>
              <w:rPr>
                <w:spacing w:val="-5"/>
                <w:sz w:val="20"/>
              </w:rPr>
              <w:t>104</w:t>
            </w:r>
          </w:p>
        </w:tc>
        <w:tc>
          <w:tcPr>
            <w:tcW w:w="7060" w:type="dxa"/>
          </w:tcPr>
          <w:p>
            <w:pPr>
              <w:pStyle w:val="TableParagraph"/>
              <w:jc w:val="left"/>
              <w:rPr>
                <w:sz w:val="20"/>
              </w:rPr>
            </w:pPr>
            <w:r>
              <w:rPr>
                <w:sz w:val="20"/>
              </w:rPr>
              <w:t>Del</w:t>
            </w:r>
            <w:r>
              <w:rPr>
                <w:spacing w:val="-7"/>
                <w:sz w:val="20"/>
              </w:rPr>
              <w:t> </w:t>
            </w:r>
            <w:r>
              <w:rPr>
                <w:spacing w:val="-2"/>
                <w:sz w:val="20"/>
              </w:rPr>
              <w:t>húmero.</w:t>
            </w:r>
          </w:p>
        </w:tc>
        <w:tc>
          <w:tcPr>
            <w:tcW w:w="1457" w:type="dxa"/>
          </w:tcPr>
          <w:p>
            <w:pPr>
              <w:pStyle w:val="TableParagraph"/>
              <w:ind w:left="11" w:right="1"/>
              <w:rPr>
                <w:sz w:val="20"/>
              </w:rPr>
            </w:pPr>
            <w:r>
              <w:rPr>
                <w:spacing w:val="-5"/>
                <w:sz w:val="20"/>
              </w:rPr>
              <w:t>45%</w:t>
            </w:r>
          </w:p>
        </w:tc>
      </w:tr>
      <w:tr>
        <w:trPr>
          <w:trHeight w:val="460" w:hRule="atLeast"/>
        </w:trPr>
        <w:tc>
          <w:tcPr>
            <w:tcW w:w="1032" w:type="dxa"/>
          </w:tcPr>
          <w:p>
            <w:pPr>
              <w:pStyle w:val="TableParagraph"/>
              <w:spacing w:line="240" w:lineRule="auto" w:before="114"/>
              <w:ind w:left="9"/>
              <w:rPr>
                <w:sz w:val="20"/>
              </w:rPr>
            </w:pPr>
            <w:r>
              <w:rPr>
                <w:spacing w:val="-5"/>
                <w:sz w:val="20"/>
              </w:rPr>
              <w:t>105</w:t>
            </w:r>
          </w:p>
        </w:tc>
        <w:tc>
          <w:tcPr>
            <w:tcW w:w="7060" w:type="dxa"/>
          </w:tcPr>
          <w:p>
            <w:pPr>
              <w:pStyle w:val="TableParagraph"/>
              <w:spacing w:line="230" w:lineRule="exact"/>
              <w:jc w:val="left"/>
              <w:rPr>
                <w:sz w:val="20"/>
              </w:rPr>
            </w:pPr>
            <w:r>
              <w:rPr>
                <w:sz w:val="20"/>
              </w:rPr>
              <w:t>Del</w:t>
            </w:r>
            <w:r>
              <w:rPr>
                <w:spacing w:val="34"/>
                <w:sz w:val="20"/>
              </w:rPr>
              <w:t> </w:t>
            </w:r>
            <w:r>
              <w:rPr>
                <w:sz w:val="20"/>
              </w:rPr>
              <w:t>codo,</w:t>
            </w:r>
            <w:r>
              <w:rPr>
                <w:spacing w:val="35"/>
                <w:sz w:val="20"/>
              </w:rPr>
              <w:t> </w:t>
            </w:r>
            <w:r>
              <w:rPr>
                <w:sz w:val="20"/>
              </w:rPr>
              <w:t>consecutiva</w:t>
            </w:r>
            <w:r>
              <w:rPr>
                <w:spacing w:val="37"/>
                <w:sz w:val="20"/>
              </w:rPr>
              <w:t> </w:t>
            </w:r>
            <w:r>
              <w:rPr>
                <w:sz w:val="20"/>
              </w:rPr>
              <w:t>a</w:t>
            </w:r>
            <w:r>
              <w:rPr>
                <w:spacing w:val="35"/>
                <w:sz w:val="20"/>
              </w:rPr>
              <w:t> </w:t>
            </w:r>
            <w:r>
              <w:rPr>
                <w:sz w:val="20"/>
              </w:rPr>
              <w:t>resecciones</w:t>
            </w:r>
            <w:r>
              <w:rPr>
                <w:spacing w:val="36"/>
                <w:sz w:val="20"/>
              </w:rPr>
              <w:t> </w:t>
            </w:r>
            <w:r>
              <w:rPr>
                <w:sz w:val="20"/>
              </w:rPr>
              <w:t>amplias</w:t>
            </w:r>
            <w:r>
              <w:rPr>
                <w:spacing w:val="36"/>
                <w:sz w:val="20"/>
              </w:rPr>
              <w:t> </w:t>
            </w:r>
            <w:r>
              <w:rPr>
                <w:sz w:val="20"/>
              </w:rPr>
              <w:t>o</w:t>
            </w:r>
            <w:r>
              <w:rPr>
                <w:spacing w:val="35"/>
                <w:sz w:val="20"/>
              </w:rPr>
              <w:t> </w:t>
            </w:r>
            <w:r>
              <w:rPr>
                <w:sz w:val="20"/>
              </w:rPr>
              <w:t>pérdidas</w:t>
            </w:r>
            <w:r>
              <w:rPr>
                <w:spacing w:val="36"/>
                <w:sz w:val="20"/>
              </w:rPr>
              <w:t> </w:t>
            </w:r>
            <w:r>
              <w:rPr>
                <w:sz w:val="20"/>
              </w:rPr>
              <w:t>considerables</w:t>
            </w:r>
            <w:r>
              <w:rPr>
                <w:spacing w:val="36"/>
                <w:sz w:val="20"/>
              </w:rPr>
              <w:t> </w:t>
            </w:r>
            <w:r>
              <w:rPr>
                <w:sz w:val="20"/>
              </w:rPr>
              <w:t>de substancia ósea.</w:t>
            </w:r>
          </w:p>
        </w:tc>
        <w:tc>
          <w:tcPr>
            <w:tcW w:w="1457" w:type="dxa"/>
          </w:tcPr>
          <w:p>
            <w:pPr>
              <w:pStyle w:val="TableParagraph"/>
              <w:spacing w:line="240" w:lineRule="auto" w:before="114"/>
              <w:ind w:left="11" w:right="1"/>
              <w:rPr>
                <w:sz w:val="20"/>
              </w:rPr>
            </w:pPr>
            <w:r>
              <w:rPr>
                <w:spacing w:val="-5"/>
                <w:sz w:val="20"/>
              </w:rPr>
              <w:t>55%</w:t>
            </w:r>
          </w:p>
        </w:tc>
      </w:tr>
      <w:tr>
        <w:trPr>
          <w:trHeight w:val="229" w:hRule="atLeast"/>
        </w:trPr>
        <w:tc>
          <w:tcPr>
            <w:tcW w:w="1032" w:type="dxa"/>
          </w:tcPr>
          <w:p>
            <w:pPr>
              <w:pStyle w:val="TableParagraph"/>
              <w:ind w:left="9"/>
              <w:rPr>
                <w:sz w:val="20"/>
              </w:rPr>
            </w:pPr>
            <w:r>
              <w:rPr>
                <w:spacing w:val="-5"/>
                <w:sz w:val="20"/>
              </w:rPr>
              <w:t>106</w:t>
            </w:r>
          </w:p>
        </w:tc>
        <w:tc>
          <w:tcPr>
            <w:tcW w:w="7060" w:type="dxa"/>
          </w:tcPr>
          <w:p>
            <w:pPr>
              <w:pStyle w:val="TableParagraph"/>
              <w:jc w:val="left"/>
              <w:rPr>
                <w:sz w:val="20"/>
              </w:rPr>
            </w:pPr>
            <w:r>
              <w:rPr>
                <w:sz w:val="20"/>
              </w:rPr>
              <w:t>Del</w:t>
            </w:r>
            <w:r>
              <w:rPr>
                <w:spacing w:val="-6"/>
                <w:sz w:val="20"/>
              </w:rPr>
              <w:t> </w:t>
            </w:r>
            <w:r>
              <w:rPr>
                <w:sz w:val="20"/>
              </w:rPr>
              <w:t>antebrazo,</w:t>
            </w:r>
            <w:r>
              <w:rPr>
                <w:spacing w:val="-5"/>
                <w:sz w:val="20"/>
              </w:rPr>
              <w:t> </w:t>
            </w:r>
            <w:r>
              <w:rPr>
                <w:sz w:val="20"/>
              </w:rPr>
              <w:t>de</w:t>
            </w:r>
            <w:r>
              <w:rPr>
                <w:spacing w:val="-7"/>
                <w:sz w:val="20"/>
              </w:rPr>
              <w:t> </w:t>
            </w:r>
            <w:r>
              <w:rPr>
                <w:sz w:val="20"/>
              </w:rPr>
              <w:t>un</w:t>
            </w:r>
            <w:r>
              <w:rPr>
                <w:spacing w:val="-7"/>
                <w:sz w:val="20"/>
              </w:rPr>
              <w:t> </w:t>
            </w:r>
            <w:r>
              <w:rPr>
                <w:sz w:val="20"/>
              </w:rPr>
              <w:t>solo</w:t>
            </w:r>
            <w:r>
              <w:rPr>
                <w:spacing w:val="-6"/>
                <w:sz w:val="20"/>
              </w:rPr>
              <w:t> </w:t>
            </w:r>
            <w:r>
              <w:rPr>
                <w:spacing w:val="-2"/>
                <w:sz w:val="20"/>
              </w:rPr>
              <w:t>hueso.</w:t>
            </w:r>
          </w:p>
        </w:tc>
        <w:tc>
          <w:tcPr>
            <w:tcW w:w="1457" w:type="dxa"/>
          </w:tcPr>
          <w:p>
            <w:pPr>
              <w:pStyle w:val="TableParagraph"/>
              <w:ind w:left="11" w:right="1"/>
              <w:rPr>
                <w:sz w:val="20"/>
              </w:rPr>
            </w:pPr>
            <w:r>
              <w:rPr>
                <w:spacing w:val="-5"/>
                <w:sz w:val="20"/>
              </w:rPr>
              <w:t>30%</w:t>
            </w:r>
          </w:p>
        </w:tc>
      </w:tr>
      <w:tr>
        <w:trPr>
          <w:trHeight w:val="229" w:hRule="atLeast"/>
        </w:trPr>
        <w:tc>
          <w:tcPr>
            <w:tcW w:w="1032" w:type="dxa"/>
          </w:tcPr>
          <w:p>
            <w:pPr>
              <w:pStyle w:val="TableParagraph"/>
              <w:ind w:left="9"/>
              <w:rPr>
                <w:sz w:val="20"/>
              </w:rPr>
            </w:pPr>
            <w:r>
              <w:rPr>
                <w:spacing w:val="-5"/>
                <w:sz w:val="20"/>
              </w:rPr>
              <w:t>107</w:t>
            </w:r>
          </w:p>
        </w:tc>
        <w:tc>
          <w:tcPr>
            <w:tcW w:w="7060" w:type="dxa"/>
          </w:tcPr>
          <w:p>
            <w:pPr>
              <w:pStyle w:val="TableParagraph"/>
              <w:jc w:val="left"/>
              <w:rPr>
                <w:sz w:val="20"/>
              </w:rPr>
            </w:pPr>
            <w:r>
              <w:rPr>
                <w:sz w:val="20"/>
              </w:rPr>
              <w:t>Del</w:t>
            </w:r>
            <w:r>
              <w:rPr>
                <w:spacing w:val="-7"/>
                <w:sz w:val="20"/>
              </w:rPr>
              <w:t> </w:t>
            </w:r>
            <w:r>
              <w:rPr>
                <w:sz w:val="20"/>
              </w:rPr>
              <w:t>antebrazo,</w:t>
            </w:r>
            <w:r>
              <w:rPr>
                <w:spacing w:val="-5"/>
                <w:sz w:val="20"/>
              </w:rPr>
              <w:t> </w:t>
            </w:r>
            <w:r>
              <w:rPr>
                <w:sz w:val="20"/>
              </w:rPr>
              <w:t>de</w:t>
            </w:r>
            <w:r>
              <w:rPr>
                <w:spacing w:val="-6"/>
                <w:sz w:val="20"/>
              </w:rPr>
              <w:t> </w:t>
            </w:r>
            <w:r>
              <w:rPr>
                <w:sz w:val="20"/>
              </w:rPr>
              <w:t>los</w:t>
            </w:r>
            <w:r>
              <w:rPr>
                <w:spacing w:val="-6"/>
                <w:sz w:val="20"/>
              </w:rPr>
              <w:t> </w:t>
            </w:r>
            <w:r>
              <w:rPr>
                <w:sz w:val="20"/>
              </w:rPr>
              <w:t>dos</w:t>
            </w:r>
            <w:r>
              <w:rPr>
                <w:spacing w:val="-5"/>
                <w:sz w:val="20"/>
              </w:rPr>
              <w:t> </w:t>
            </w:r>
            <w:r>
              <w:rPr>
                <w:spacing w:val="-2"/>
                <w:sz w:val="20"/>
              </w:rPr>
              <w:t>huesos.</w:t>
            </w:r>
          </w:p>
        </w:tc>
        <w:tc>
          <w:tcPr>
            <w:tcW w:w="1457" w:type="dxa"/>
          </w:tcPr>
          <w:p>
            <w:pPr>
              <w:pStyle w:val="TableParagraph"/>
              <w:ind w:left="11" w:right="1"/>
              <w:rPr>
                <w:sz w:val="20"/>
              </w:rPr>
            </w:pPr>
            <w:r>
              <w:rPr>
                <w:spacing w:val="-5"/>
                <w:sz w:val="20"/>
              </w:rPr>
              <w:t>50%</w:t>
            </w:r>
          </w:p>
        </w:tc>
      </w:tr>
      <w:tr>
        <w:trPr>
          <w:trHeight w:val="460" w:hRule="atLeast"/>
        </w:trPr>
        <w:tc>
          <w:tcPr>
            <w:tcW w:w="1032" w:type="dxa"/>
          </w:tcPr>
          <w:p>
            <w:pPr>
              <w:pStyle w:val="TableParagraph"/>
              <w:spacing w:line="240" w:lineRule="auto" w:before="114"/>
              <w:ind w:left="9"/>
              <w:rPr>
                <w:sz w:val="20"/>
              </w:rPr>
            </w:pPr>
            <w:r>
              <w:rPr>
                <w:spacing w:val="-5"/>
                <w:sz w:val="20"/>
              </w:rPr>
              <w:t>108</w:t>
            </w:r>
          </w:p>
        </w:tc>
        <w:tc>
          <w:tcPr>
            <w:tcW w:w="7060" w:type="dxa"/>
          </w:tcPr>
          <w:p>
            <w:pPr>
              <w:pStyle w:val="TableParagraph"/>
              <w:spacing w:line="230" w:lineRule="exact"/>
              <w:ind w:right="56"/>
              <w:jc w:val="left"/>
              <w:rPr>
                <w:sz w:val="20"/>
              </w:rPr>
            </w:pPr>
            <w:r>
              <w:rPr>
                <w:sz w:val="20"/>
              </w:rPr>
              <w:t>De la muñeca, consecutiva a resecciones amplias o pérdidas considerables de substancia ósea.</w:t>
            </w:r>
          </w:p>
        </w:tc>
        <w:tc>
          <w:tcPr>
            <w:tcW w:w="1457" w:type="dxa"/>
          </w:tcPr>
          <w:p>
            <w:pPr>
              <w:pStyle w:val="TableParagraph"/>
              <w:spacing w:line="240" w:lineRule="auto" w:before="114"/>
              <w:ind w:left="11" w:right="1"/>
              <w:rPr>
                <w:sz w:val="20"/>
              </w:rPr>
            </w:pPr>
            <w:r>
              <w:rPr>
                <w:spacing w:val="-5"/>
                <w:sz w:val="20"/>
              </w:rPr>
              <w:t>40%</w:t>
            </w:r>
          </w:p>
        </w:tc>
      </w:tr>
      <w:tr>
        <w:trPr>
          <w:trHeight w:val="229" w:hRule="atLeast"/>
        </w:trPr>
        <w:tc>
          <w:tcPr>
            <w:tcW w:w="1032" w:type="dxa"/>
          </w:tcPr>
          <w:p>
            <w:pPr>
              <w:pStyle w:val="TableParagraph"/>
              <w:ind w:left="9"/>
              <w:rPr>
                <w:sz w:val="20"/>
              </w:rPr>
            </w:pPr>
            <w:r>
              <w:rPr>
                <w:spacing w:val="-5"/>
                <w:sz w:val="20"/>
              </w:rPr>
              <w:t>109</w:t>
            </w:r>
          </w:p>
        </w:tc>
        <w:tc>
          <w:tcPr>
            <w:tcW w:w="7060" w:type="dxa"/>
          </w:tcPr>
          <w:p>
            <w:pPr>
              <w:pStyle w:val="TableParagraph"/>
              <w:jc w:val="left"/>
              <w:rPr>
                <w:sz w:val="20"/>
              </w:rPr>
            </w:pPr>
            <w:r>
              <w:rPr>
                <w:sz w:val="20"/>
              </w:rPr>
              <w:t>De</w:t>
            </w:r>
            <w:r>
              <w:rPr>
                <w:spacing w:val="-6"/>
                <w:sz w:val="20"/>
              </w:rPr>
              <w:t> </w:t>
            </w:r>
            <w:r>
              <w:rPr>
                <w:sz w:val="20"/>
              </w:rPr>
              <w:t>todos</w:t>
            </w:r>
            <w:r>
              <w:rPr>
                <w:spacing w:val="-5"/>
                <w:sz w:val="20"/>
              </w:rPr>
              <w:t> </w:t>
            </w:r>
            <w:r>
              <w:rPr>
                <w:sz w:val="20"/>
              </w:rPr>
              <w:t>los</w:t>
            </w:r>
            <w:r>
              <w:rPr>
                <w:spacing w:val="-5"/>
                <w:sz w:val="20"/>
              </w:rPr>
              <w:t> </w:t>
            </w:r>
            <w:r>
              <w:rPr>
                <w:sz w:val="20"/>
              </w:rPr>
              <w:t>huesos</w:t>
            </w:r>
            <w:r>
              <w:rPr>
                <w:spacing w:val="-3"/>
                <w:sz w:val="20"/>
              </w:rPr>
              <w:t> </w:t>
            </w:r>
            <w:r>
              <w:rPr>
                <w:sz w:val="20"/>
              </w:rPr>
              <w:t>del</w:t>
            </w:r>
            <w:r>
              <w:rPr>
                <w:spacing w:val="-7"/>
                <w:sz w:val="20"/>
              </w:rPr>
              <w:t> </w:t>
            </w:r>
            <w:r>
              <w:rPr>
                <w:spacing w:val="-2"/>
                <w:sz w:val="20"/>
              </w:rPr>
              <w:t>metacarpo.</w:t>
            </w:r>
          </w:p>
        </w:tc>
        <w:tc>
          <w:tcPr>
            <w:tcW w:w="1457" w:type="dxa"/>
          </w:tcPr>
          <w:p>
            <w:pPr>
              <w:pStyle w:val="TableParagraph"/>
              <w:ind w:left="11" w:right="1"/>
              <w:rPr>
                <w:sz w:val="20"/>
              </w:rPr>
            </w:pPr>
            <w:r>
              <w:rPr>
                <w:spacing w:val="-5"/>
                <w:sz w:val="20"/>
              </w:rPr>
              <w:t>40%</w:t>
            </w:r>
          </w:p>
        </w:tc>
      </w:tr>
      <w:tr>
        <w:trPr>
          <w:trHeight w:val="229" w:hRule="atLeast"/>
        </w:trPr>
        <w:tc>
          <w:tcPr>
            <w:tcW w:w="1032" w:type="dxa"/>
          </w:tcPr>
          <w:p>
            <w:pPr>
              <w:pStyle w:val="TableParagraph"/>
              <w:ind w:left="9"/>
              <w:rPr>
                <w:sz w:val="20"/>
              </w:rPr>
            </w:pPr>
            <w:r>
              <w:rPr>
                <w:spacing w:val="-5"/>
                <w:sz w:val="20"/>
              </w:rPr>
              <w:t>110</w:t>
            </w:r>
          </w:p>
        </w:tc>
        <w:tc>
          <w:tcPr>
            <w:tcW w:w="7060" w:type="dxa"/>
          </w:tcPr>
          <w:p>
            <w:pPr>
              <w:pStyle w:val="TableParagraph"/>
              <w:jc w:val="left"/>
              <w:rPr>
                <w:sz w:val="20"/>
              </w:rPr>
            </w:pPr>
            <w:r>
              <w:rPr>
                <w:sz w:val="20"/>
              </w:rPr>
              <w:t>De</w:t>
            </w:r>
            <w:r>
              <w:rPr>
                <w:spacing w:val="-6"/>
                <w:sz w:val="20"/>
              </w:rPr>
              <w:t> </w:t>
            </w:r>
            <w:r>
              <w:rPr>
                <w:sz w:val="20"/>
              </w:rPr>
              <w:t>un</w:t>
            </w:r>
            <w:r>
              <w:rPr>
                <w:spacing w:val="-3"/>
                <w:sz w:val="20"/>
              </w:rPr>
              <w:t> </w:t>
            </w:r>
            <w:r>
              <w:rPr>
                <w:sz w:val="20"/>
              </w:rPr>
              <w:t>solo</w:t>
            </w:r>
            <w:r>
              <w:rPr>
                <w:spacing w:val="-4"/>
                <w:sz w:val="20"/>
              </w:rPr>
              <w:t> </w:t>
            </w:r>
            <w:r>
              <w:rPr>
                <w:spacing w:val="-2"/>
                <w:sz w:val="20"/>
              </w:rPr>
              <w:t>metacarpiano.</w:t>
            </w:r>
          </w:p>
        </w:tc>
        <w:tc>
          <w:tcPr>
            <w:tcW w:w="1457" w:type="dxa"/>
          </w:tcPr>
          <w:p>
            <w:pPr>
              <w:pStyle w:val="TableParagraph"/>
              <w:ind w:left="11" w:right="1"/>
              <w:rPr>
                <w:sz w:val="20"/>
              </w:rPr>
            </w:pPr>
            <w:r>
              <w:rPr>
                <w:spacing w:val="-5"/>
                <w:sz w:val="20"/>
              </w:rPr>
              <w:t>10%</w:t>
            </w:r>
          </w:p>
        </w:tc>
      </w:tr>
      <w:tr>
        <w:trPr>
          <w:trHeight w:val="229" w:hRule="atLeast"/>
        </w:trPr>
        <w:tc>
          <w:tcPr>
            <w:tcW w:w="1032" w:type="dxa"/>
          </w:tcPr>
          <w:p>
            <w:pPr>
              <w:pStyle w:val="TableParagraph"/>
              <w:ind w:left="9"/>
              <w:rPr>
                <w:sz w:val="20"/>
              </w:rPr>
            </w:pPr>
            <w:r>
              <w:rPr>
                <w:spacing w:val="-5"/>
                <w:sz w:val="20"/>
              </w:rPr>
              <w:t>111</w:t>
            </w:r>
          </w:p>
        </w:tc>
        <w:tc>
          <w:tcPr>
            <w:tcW w:w="7060" w:type="dxa"/>
          </w:tcPr>
          <w:p>
            <w:pPr>
              <w:pStyle w:val="TableParagraph"/>
              <w:jc w:val="left"/>
              <w:rPr>
                <w:sz w:val="20"/>
              </w:rPr>
            </w:pPr>
            <w:r>
              <w:rPr>
                <w:sz w:val="20"/>
              </w:rPr>
              <w:t>De</w:t>
            </w:r>
            <w:r>
              <w:rPr>
                <w:spacing w:val="-6"/>
                <w:sz w:val="20"/>
              </w:rPr>
              <w:t> </w:t>
            </w:r>
            <w:r>
              <w:rPr>
                <w:sz w:val="20"/>
              </w:rPr>
              <w:t>la</w:t>
            </w:r>
            <w:r>
              <w:rPr>
                <w:spacing w:val="-6"/>
                <w:sz w:val="20"/>
              </w:rPr>
              <w:t> </w:t>
            </w:r>
            <w:r>
              <w:rPr>
                <w:sz w:val="20"/>
              </w:rPr>
              <w:t>falange</w:t>
            </w:r>
            <w:r>
              <w:rPr>
                <w:spacing w:val="-5"/>
                <w:sz w:val="20"/>
              </w:rPr>
              <w:t> </w:t>
            </w:r>
            <w:r>
              <w:rPr>
                <w:sz w:val="20"/>
              </w:rPr>
              <w:t>distal</w:t>
            </w:r>
            <w:r>
              <w:rPr>
                <w:spacing w:val="-7"/>
                <w:sz w:val="20"/>
              </w:rPr>
              <w:t> </w:t>
            </w:r>
            <w:r>
              <w:rPr>
                <w:sz w:val="20"/>
              </w:rPr>
              <w:t>del</w:t>
            </w:r>
            <w:r>
              <w:rPr>
                <w:spacing w:val="-5"/>
                <w:sz w:val="20"/>
              </w:rPr>
              <w:t> </w:t>
            </w:r>
            <w:r>
              <w:rPr>
                <w:spacing w:val="-2"/>
                <w:sz w:val="20"/>
              </w:rPr>
              <w:t>pulgar.</w:t>
            </w:r>
          </w:p>
        </w:tc>
        <w:tc>
          <w:tcPr>
            <w:tcW w:w="1457" w:type="dxa"/>
          </w:tcPr>
          <w:p>
            <w:pPr>
              <w:pStyle w:val="TableParagraph"/>
              <w:ind w:left="11" w:right="1"/>
              <w:rPr>
                <w:sz w:val="20"/>
              </w:rPr>
            </w:pPr>
            <w:r>
              <w:rPr>
                <w:spacing w:val="-5"/>
                <w:sz w:val="20"/>
              </w:rPr>
              <w:t>8%</w:t>
            </w:r>
          </w:p>
        </w:tc>
      </w:tr>
      <w:tr>
        <w:trPr>
          <w:trHeight w:val="229" w:hRule="atLeast"/>
        </w:trPr>
        <w:tc>
          <w:tcPr>
            <w:tcW w:w="1032" w:type="dxa"/>
          </w:tcPr>
          <w:p>
            <w:pPr>
              <w:pStyle w:val="TableParagraph"/>
              <w:ind w:left="9"/>
              <w:rPr>
                <w:sz w:val="20"/>
              </w:rPr>
            </w:pPr>
            <w:r>
              <w:rPr>
                <w:spacing w:val="-5"/>
                <w:sz w:val="20"/>
              </w:rPr>
              <w:t>112</w:t>
            </w:r>
          </w:p>
        </w:tc>
        <w:tc>
          <w:tcPr>
            <w:tcW w:w="7060" w:type="dxa"/>
          </w:tcPr>
          <w:p>
            <w:pPr>
              <w:pStyle w:val="TableParagraph"/>
              <w:jc w:val="left"/>
              <w:rPr>
                <w:sz w:val="20"/>
              </w:rPr>
            </w:pPr>
            <w:r>
              <w:rPr>
                <w:sz w:val="20"/>
              </w:rPr>
              <w:t>De</w:t>
            </w:r>
            <w:r>
              <w:rPr>
                <w:spacing w:val="-7"/>
                <w:sz w:val="20"/>
              </w:rPr>
              <w:t> </w:t>
            </w:r>
            <w:r>
              <w:rPr>
                <w:sz w:val="20"/>
              </w:rPr>
              <w:t>la</w:t>
            </w:r>
            <w:r>
              <w:rPr>
                <w:spacing w:val="-6"/>
                <w:sz w:val="20"/>
              </w:rPr>
              <w:t> </w:t>
            </w:r>
            <w:r>
              <w:rPr>
                <w:sz w:val="20"/>
              </w:rPr>
              <w:t>falange</w:t>
            </w:r>
            <w:r>
              <w:rPr>
                <w:spacing w:val="-5"/>
                <w:sz w:val="20"/>
              </w:rPr>
              <w:t> </w:t>
            </w:r>
            <w:r>
              <w:rPr>
                <w:sz w:val="20"/>
              </w:rPr>
              <w:t>distal</w:t>
            </w:r>
            <w:r>
              <w:rPr>
                <w:spacing w:val="-7"/>
                <w:sz w:val="20"/>
              </w:rPr>
              <w:t> </w:t>
            </w:r>
            <w:r>
              <w:rPr>
                <w:sz w:val="20"/>
              </w:rPr>
              <w:t>del</w:t>
            </w:r>
            <w:r>
              <w:rPr>
                <w:spacing w:val="-6"/>
                <w:sz w:val="20"/>
              </w:rPr>
              <w:t> </w:t>
            </w:r>
            <w:r>
              <w:rPr>
                <w:sz w:val="20"/>
              </w:rPr>
              <w:t>dedo</w:t>
            </w:r>
            <w:r>
              <w:rPr>
                <w:spacing w:val="-6"/>
                <w:sz w:val="20"/>
              </w:rPr>
              <w:t> </w:t>
            </w:r>
            <w:r>
              <w:rPr>
                <w:sz w:val="20"/>
              </w:rPr>
              <w:t>índice,</w:t>
            </w:r>
            <w:r>
              <w:rPr>
                <w:spacing w:val="-6"/>
                <w:sz w:val="20"/>
              </w:rPr>
              <w:t> </w:t>
            </w:r>
            <w:r>
              <w:rPr>
                <w:sz w:val="20"/>
              </w:rPr>
              <w:t>medio</w:t>
            </w:r>
            <w:r>
              <w:rPr>
                <w:spacing w:val="-4"/>
                <w:sz w:val="20"/>
              </w:rPr>
              <w:t> </w:t>
            </w:r>
            <w:r>
              <w:rPr>
                <w:sz w:val="20"/>
              </w:rPr>
              <w:t>anular</w:t>
            </w:r>
            <w:r>
              <w:rPr>
                <w:spacing w:val="-4"/>
                <w:sz w:val="20"/>
              </w:rPr>
              <w:t> </w:t>
            </w:r>
            <w:r>
              <w:rPr>
                <w:sz w:val="20"/>
              </w:rPr>
              <w:t>o</w:t>
            </w:r>
            <w:r>
              <w:rPr>
                <w:spacing w:val="-6"/>
                <w:sz w:val="20"/>
              </w:rPr>
              <w:t> </w:t>
            </w:r>
            <w:r>
              <w:rPr>
                <w:spacing w:val="-2"/>
                <w:sz w:val="20"/>
              </w:rPr>
              <w:t>meñique.</w:t>
            </w:r>
          </w:p>
        </w:tc>
        <w:tc>
          <w:tcPr>
            <w:tcW w:w="1457" w:type="dxa"/>
          </w:tcPr>
          <w:p>
            <w:pPr>
              <w:pStyle w:val="TableParagraph"/>
              <w:ind w:left="11" w:right="1"/>
              <w:rPr>
                <w:sz w:val="20"/>
              </w:rPr>
            </w:pPr>
            <w:r>
              <w:rPr>
                <w:spacing w:val="-5"/>
                <w:sz w:val="20"/>
              </w:rPr>
              <w:t>6%</w:t>
            </w:r>
          </w:p>
        </w:tc>
      </w:tr>
      <w:tr>
        <w:trPr>
          <w:trHeight w:val="229" w:hRule="atLeast"/>
        </w:trPr>
        <w:tc>
          <w:tcPr>
            <w:tcW w:w="1032" w:type="dxa"/>
          </w:tcPr>
          <w:p>
            <w:pPr>
              <w:pStyle w:val="TableParagraph"/>
              <w:ind w:left="9"/>
              <w:rPr>
                <w:sz w:val="20"/>
              </w:rPr>
            </w:pPr>
            <w:r>
              <w:rPr>
                <w:spacing w:val="-5"/>
                <w:sz w:val="20"/>
              </w:rPr>
              <w:t>113</w:t>
            </w:r>
          </w:p>
        </w:tc>
        <w:tc>
          <w:tcPr>
            <w:tcW w:w="7060" w:type="dxa"/>
          </w:tcPr>
          <w:p>
            <w:pPr>
              <w:pStyle w:val="TableParagraph"/>
              <w:jc w:val="left"/>
              <w:rPr>
                <w:sz w:val="20"/>
              </w:rPr>
            </w:pPr>
            <w:r>
              <w:rPr>
                <w:sz w:val="20"/>
              </w:rPr>
              <w:t>De</w:t>
            </w:r>
            <w:r>
              <w:rPr>
                <w:spacing w:val="-6"/>
                <w:sz w:val="20"/>
              </w:rPr>
              <w:t> </w:t>
            </w:r>
            <w:r>
              <w:rPr>
                <w:sz w:val="20"/>
              </w:rPr>
              <w:t>la</w:t>
            </w:r>
            <w:r>
              <w:rPr>
                <w:spacing w:val="-6"/>
                <w:sz w:val="20"/>
              </w:rPr>
              <w:t> </w:t>
            </w:r>
            <w:r>
              <w:rPr>
                <w:sz w:val="20"/>
              </w:rPr>
              <w:t>falange</w:t>
            </w:r>
            <w:r>
              <w:rPr>
                <w:spacing w:val="-4"/>
                <w:sz w:val="20"/>
              </w:rPr>
              <w:t> </w:t>
            </w:r>
            <w:r>
              <w:rPr>
                <w:sz w:val="20"/>
              </w:rPr>
              <w:t>proximal</w:t>
            </w:r>
            <w:r>
              <w:rPr>
                <w:spacing w:val="-7"/>
                <w:sz w:val="20"/>
              </w:rPr>
              <w:t> </w:t>
            </w:r>
            <w:r>
              <w:rPr>
                <w:sz w:val="20"/>
              </w:rPr>
              <w:t>del</w:t>
            </w:r>
            <w:r>
              <w:rPr>
                <w:spacing w:val="-4"/>
                <w:sz w:val="20"/>
              </w:rPr>
              <w:t> </w:t>
            </w:r>
            <w:r>
              <w:rPr>
                <w:spacing w:val="-2"/>
                <w:sz w:val="20"/>
              </w:rPr>
              <w:t>pulgar.</w:t>
            </w:r>
          </w:p>
        </w:tc>
        <w:tc>
          <w:tcPr>
            <w:tcW w:w="1457" w:type="dxa"/>
          </w:tcPr>
          <w:p>
            <w:pPr>
              <w:pStyle w:val="TableParagraph"/>
              <w:ind w:left="11" w:right="1"/>
              <w:rPr>
                <w:sz w:val="20"/>
              </w:rPr>
            </w:pPr>
            <w:r>
              <w:rPr>
                <w:spacing w:val="-5"/>
                <w:sz w:val="20"/>
              </w:rPr>
              <w:t>15%</w:t>
            </w:r>
          </w:p>
        </w:tc>
      </w:tr>
      <w:tr>
        <w:trPr>
          <w:trHeight w:val="230" w:hRule="atLeast"/>
        </w:trPr>
        <w:tc>
          <w:tcPr>
            <w:tcW w:w="1032" w:type="dxa"/>
          </w:tcPr>
          <w:p>
            <w:pPr>
              <w:pStyle w:val="TableParagraph"/>
              <w:ind w:left="9"/>
              <w:rPr>
                <w:sz w:val="20"/>
              </w:rPr>
            </w:pPr>
            <w:r>
              <w:rPr>
                <w:spacing w:val="-5"/>
                <w:sz w:val="20"/>
              </w:rPr>
              <w:t>114</w:t>
            </w:r>
          </w:p>
        </w:tc>
        <w:tc>
          <w:tcPr>
            <w:tcW w:w="7060" w:type="dxa"/>
          </w:tcPr>
          <w:p>
            <w:pPr>
              <w:pStyle w:val="TableParagraph"/>
              <w:jc w:val="left"/>
              <w:rPr>
                <w:sz w:val="20"/>
              </w:rPr>
            </w:pPr>
            <w:r>
              <w:rPr>
                <w:sz w:val="20"/>
              </w:rPr>
              <w:t>De</w:t>
            </w:r>
            <w:r>
              <w:rPr>
                <w:spacing w:val="-6"/>
                <w:sz w:val="20"/>
              </w:rPr>
              <w:t> </w:t>
            </w:r>
            <w:r>
              <w:rPr>
                <w:sz w:val="20"/>
              </w:rPr>
              <w:t>la</w:t>
            </w:r>
            <w:r>
              <w:rPr>
                <w:spacing w:val="-5"/>
                <w:sz w:val="20"/>
              </w:rPr>
              <w:t> </w:t>
            </w:r>
            <w:r>
              <w:rPr>
                <w:sz w:val="20"/>
              </w:rPr>
              <w:t>falange</w:t>
            </w:r>
            <w:r>
              <w:rPr>
                <w:spacing w:val="-4"/>
                <w:sz w:val="20"/>
              </w:rPr>
              <w:t> </w:t>
            </w:r>
            <w:r>
              <w:rPr>
                <w:sz w:val="20"/>
              </w:rPr>
              <w:t>proximal</w:t>
            </w:r>
            <w:r>
              <w:rPr>
                <w:spacing w:val="-6"/>
                <w:sz w:val="20"/>
              </w:rPr>
              <w:t> </w:t>
            </w:r>
            <w:r>
              <w:rPr>
                <w:sz w:val="20"/>
              </w:rPr>
              <w:t>o</w:t>
            </w:r>
            <w:r>
              <w:rPr>
                <w:spacing w:val="-7"/>
                <w:sz w:val="20"/>
              </w:rPr>
              <w:t> </w:t>
            </w:r>
            <w:r>
              <w:rPr>
                <w:sz w:val="20"/>
              </w:rPr>
              <w:t>media</w:t>
            </w:r>
            <w:r>
              <w:rPr>
                <w:spacing w:val="-5"/>
                <w:sz w:val="20"/>
              </w:rPr>
              <w:t> </w:t>
            </w:r>
            <w:r>
              <w:rPr>
                <w:sz w:val="20"/>
              </w:rPr>
              <w:t>del</w:t>
            </w:r>
            <w:r>
              <w:rPr>
                <w:spacing w:val="-6"/>
                <w:sz w:val="20"/>
              </w:rPr>
              <w:t> </w:t>
            </w:r>
            <w:r>
              <w:rPr>
                <w:spacing w:val="-2"/>
                <w:sz w:val="20"/>
              </w:rPr>
              <w:t>índice.</w:t>
            </w:r>
          </w:p>
        </w:tc>
        <w:tc>
          <w:tcPr>
            <w:tcW w:w="1457" w:type="dxa"/>
          </w:tcPr>
          <w:p>
            <w:pPr>
              <w:pStyle w:val="TableParagraph"/>
              <w:ind w:left="11" w:right="1"/>
              <w:rPr>
                <w:sz w:val="20"/>
              </w:rPr>
            </w:pPr>
            <w:r>
              <w:rPr>
                <w:spacing w:val="-5"/>
                <w:sz w:val="20"/>
              </w:rPr>
              <w:t>10%</w:t>
            </w:r>
          </w:p>
        </w:tc>
      </w:tr>
      <w:tr>
        <w:trPr>
          <w:trHeight w:val="460" w:hRule="atLeast"/>
        </w:trPr>
        <w:tc>
          <w:tcPr>
            <w:tcW w:w="1032" w:type="dxa"/>
          </w:tcPr>
          <w:p>
            <w:pPr>
              <w:pStyle w:val="TableParagraph"/>
              <w:spacing w:line="240" w:lineRule="auto" w:before="114"/>
              <w:ind w:left="9"/>
              <w:rPr>
                <w:sz w:val="20"/>
              </w:rPr>
            </w:pPr>
            <w:r>
              <w:rPr>
                <w:spacing w:val="-5"/>
                <w:sz w:val="20"/>
              </w:rPr>
              <w:t>115</w:t>
            </w:r>
          </w:p>
        </w:tc>
        <w:tc>
          <w:tcPr>
            <w:tcW w:w="7060" w:type="dxa"/>
          </w:tcPr>
          <w:p>
            <w:pPr>
              <w:pStyle w:val="TableParagraph"/>
              <w:spacing w:line="230" w:lineRule="exact"/>
              <w:jc w:val="left"/>
              <w:rPr>
                <w:sz w:val="20"/>
              </w:rPr>
            </w:pPr>
            <w:r>
              <w:rPr>
                <w:sz w:val="20"/>
              </w:rPr>
              <w:t>De la falange proximal o media del dedo medio, anular o meñique, por cada </w:t>
            </w:r>
            <w:r>
              <w:rPr>
                <w:spacing w:val="-2"/>
                <w:sz w:val="20"/>
              </w:rPr>
              <w:t>falange.</w:t>
            </w:r>
          </w:p>
        </w:tc>
        <w:tc>
          <w:tcPr>
            <w:tcW w:w="1457" w:type="dxa"/>
          </w:tcPr>
          <w:p>
            <w:pPr>
              <w:pStyle w:val="TableParagraph"/>
              <w:spacing w:line="240" w:lineRule="auto" w:before="114"/>
              <w:ind w:left="11" w:right="1"/>
              <w:rPr>
                <w:sz w:val="20"/>
              </w:rPr>
            </w:pPr>
            <w:r>
              <w:rPr>
                <w:spacing w:val="-5"/>
                <w:sz w:val="20"/>
              </w:rPr>
              <w:t>5%</w:t>
            </w:r>
          </w:p>
        </w:tc>
      </w:tr>
    </w:tbl>
    <w:p>
      <w:pPr>
        <w:pStyle w:val="BodyText"/>
        <w:spacing w:before="5"/>
        <w:rPr>
          <w:rFonts w:ascii="Arial"/>
          <w:b/>
        </w:rPr>
      </w:pPr>
    </w:p>
    <w:p>
      <w:pPr>
        <w:spacing w:before="0"/>
        <w:ind w:left="292" w:right="299" w:firstLine="0"/>
        <w:jc w:val="center"/>
        <w:rPr>
          <w:rFonts w:ascii="Arial" w:hAnsi="Arial"/>
          <w:b/>
          <w:sz w:val="20"/>
        </w:rPr>
      </w:pPr>
      <w:r>
        <w:rPr>
          <w:rFonts w:ascii="Arial" w:hAnsi="Arial"/>
          <w:b/>
          <w:sz w:val="20"/>
        </w:rPr>
        <w:t>Cicatrices</w:t>
      </w:r>
      <w:r>
        <w:rPr>
          <w:rFonts w:ascii="Arial" w:hAnsi="Arial"/>
          <w:b/>
          <w:spacing w:val="-7"/>
          <w:sz w:val="20"/>
        </w:rPr>
        <w:t> </w:t>
      </w:r>
      <w:r>
        <w:rPr>
          <w:rFonts w:ascii="Arial" w:hAnsi="Arial"/>
          <w:b/>
          <w:sz w:val="20"/>
        </w:rPr>
        <w:t>retráctiles</w:t>
      </w:r>
      <w:r>
        <w:rPr>
          <w:rFonts w:ascii="Arial" w:hAnsi="Arial"/>
          <w:b/>
          <w:spacing w:val="-9"/>
          <w:sz w:val="20"/>
        </w:rPr>
        <w:t> </w:t>
      </w:r>
      <w:r>
        <w:rPr>
          <w:rFonts w:ascii="Arial" w:hAnsi="Arial"/>
          <w:b/>
          <w:sz w:val="20"/>
        </w:rPr>
        <w:t>que</w:t>
      </w:r>
      <w:r>
        <w:rPr>
          <w:rFonts w:ascii="Arial" w:hAnsi="Arial"/>
          <w:b/>
          <w:spacing w:val="-6"/>
          <w:sz w:val="20"/>
        </w:rPr>
        <w:t> </w:t>
      </w:r>
      <w:r>
        <w:rPr>
          <w:rFonts w:ascii="Arial" w:hAnsi="Arial"/>
          <w:b/>
          <w:sz w:val="20"/>
        </w:rPr>
        <w:t>no</w:t>
      </w:r>
      <w:r>
        <w:rPr>
          <w:rFonts w:ascii="Arial" w:hAnsi="Arial"/>
          <w:b/>
          <w:spacing w:val="-8"/>
          <w:sz w:val="20"/>
        </w:rPr>
        <w:t> </w:t>
      </w:r>
      <w:r>
        <w:rPr>
          <w:rFonts w:ascii="Arial" w:hAnsi="Arial"/>
          <w:b/>
          <w:sz w:val="20"/>
        </w:rPr>
        <w:t>puedan</w:t>
      </w:r>
      <w:r>
        <w:rPr>
          <w:rFonts w:ascii="Arial" w:hAnsi="Arial"/>
          <w:b/>
          <w:spacing w:val="-7"/>
          <w:sz w:val="20"/>
        </w:rPr>
        <w:t> </w:t>
      </w:r>
      <w:r>
        <w:rPr>
          <w:rFonts w:ascii="Arial" w:hAnsi="Arial"/>
          <w:b/>
          <w:sz w:val="20"/>
        </w:rPr>
        <w:t>ser</w:t>
      </w:r>
      <w:r>
        <w:rPr>
          <w:rFonts w:ascii="Arial" w:hAnsi="Arial"/>
          <w:b/>
          <w:spacing w:val="-8"/>
          <w:sz w:val="20"/>
        </w:rPr>
        <w:t> </w:t>
      </w:r>
      <w:r>
        <w:rPr>
          <w:rFonts w:ascii="Arial" w:hAnsi="Arial"/>
          <w:b/>
          <w:sz w:val="20"/>
        </w:rPr>
        <w:t>resueltas</w:t>
      </w:r>
      <w:r>
        <w:rPr>
          <w:rFonts w:ascii="Arial" w:hAnsi="Arial"/>
          <w:b/>
          <w:spacing w:val="-7"/>
          <w:sz w:val="20"/>
        </w:rPr>
        <w:t> </w:t>
      </w:r>
      <w:r>
        <w:rPr>
          <w:rFonts w:ascii="Arial" w:hAnsi="Arial"/>
          <w:b/>
          <w:spacing w:val="-2"/>
          <w:sz w:val="20"/>
        </w:rPr>
        <w:t>quirúrgicamente</w:t>
      </w:r>
    </w:p>
    <w:p>
      <w:pPr>
        <w:pStyle w:val="BodyText"/>
        <w:spacing w:before="4"/>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2"/>
        <w:gridCol w:w="7060"/>
        <w:gridCol w:w="1457"/>
      </w:tblGrid>
      <w:tr>
        <w:trPr>
          <w:trHeight w:val="229" w:hRule="atLeast"/>
        </w:trPr>
        <w:tc>
          <w:tcPr>
            <w:tcW w:w="1032" w:type="dxa"/>
          </w:tcPr>
          <w:p>
            <w:pPr>
              <w:pStyle w:val="TableParagraph"/>
              <w:ind w:left="9"/>
              <w:rPr>
                <w:sz w:val="20"/>
              </w:rPr>
            </w:pPr>
            <w:r>
              <w:rPr>
                <w:spacing w:val="-5"/>
                <w:sz w:val="20"/>
              </w:rPr>
              <w:t>116</w:t>
            </w:r>
          </w:p>
        </w:tc>
        <w:tc>
          <w:tcPr>
            <w:tcW w:w="7060" w:type="dxa"/>
          </w:tcPr>
          <w:p>
            <w:pPr>
              <w:pStyle w:val="TableParagraph"/>
              <w:jc w:val="left"/>
              <w:rPr>
                <w:sz w:val="20"/>
              </w:rPr>
            </w:pPr>
            <w:r>
              <w:rPr>
                <w:sz w:val="20"/>
              </w:rPr>
              <w:t>De</w:t>
            </w:r>
            <w:r>
              <w:rPr>
                <w:spacing w:val="-6"/>
                <w:sz w:val="20"/>
              </w:rPr>
              <w:t> </w:t>
            </w:r>
            <w:r>
              <w:rPr>
                <w:sz w:val="20"/>
              </w:rPr>
              <w:t>la</w:t>
            </w:r>
            <w:r>
              <w:rPr>
                <w:spacing w:val="-6"/>
                <w:sz w:val="20"/>
              </w:rPr>
              <w:t> </w:t>
            </w:r>
            <w:r>
              <w:rPr>
                <w:sz w:val="20"/>
              </w:rPr>
              <w:t>axila,</w:t>
            </w:r>
            <w:r>
              <w:rPr>
                <w:spacing w:val="-6"/>
                <w:sz w:val="20"/>
              </w:rPr>
              <w:t> </w:t>
            </w:r>
            <w:r>
              <w:rPr>
                <w:sz w:val="20"/>
              </w:rPr>
              <w:t>según</w:t>
            </w:r>
            <w:r>
              <w:rPr>
                <w:spacing w:val="-5"/>
                <w:sz w:val="20"/>
              </w:rPr>
              <w:t> </w:t>
            </w:r>
            <w:r>
              <w:rPr>
                <w:sz w:val="20"/>
              </w:rPr>
              <w:t>el</w:t>
            </w:r>
            <w:r>
              <w:rPr>
                <w:spacing w:val="-6"/>
                <w:sz w:val="20"/>
              </w:rPr>
              <w:t> </w:t>
            </w:r>
            <w:r>
              <w:rPr>
                <w:sz w:val="20"/>
              </w:rPr>
              <w:t>grado</w:t>
            </w:r>
            <w:r>
              <w:rPr>
                <w:spacing w:val="-5"/>
                <w:sz w:val="20"/>
              </w:rPr>
              <w:t> </w:t>
            </w:r>
            <w:r>
              <w:rPr>
                <w:sz w:val="20"/>
              </w:rPr>
              <w:t>de</w:t>
            </w:r>
            <w:r>
              <w:rPr>
                <w:spacing w:val="-6"/>
                <w:sz w:val="20"/>
              </w:rPr>
              <w:t> </w:t>
            </w:r>
            <w:r>
              <w:rPr>
                <w:sz w:val="20"/>
              </w:rPr>
              <w:t>limitación</w:t>
            </w:r>
            <w:r>
              <w:rPr>
                <w:spacing w:val="-5"/>
                <w:sz w:val="20"/>
              </w:rPr>
              <w:t> </w:t>
            </w:r>
            <w:r>
              <w:rPr>
                <w:sz w:val="20"/>
              </w:rPr>
              <w:t>de</w:t>
            </w:r>
            <w:r>
              <w:rPr>
                <w:spacing w:val="-5"/>
                <w:sz w:val="20"/>
              </w:rPr>
              <w:t> </w:t>
            </w:r>
            <w:r>
              <w:rPr>
                <w:sz w:val="20"/>
              </w:rPr>
              <w:t>los</w:t>
            </w:r>
            <w:r>
              <w:rPr>
                <w:spacing w:val="-6"/>
                <w:sz w:val="20"/>
              </w:rPr>
              <w:t> </w:t>
            </w:r>
            <w:r>
              <w:rPr>
                <w:sz w:val="20"/>
              </w:rPr>
              <w:t>movimientos</w:t>
            </w:r>
            <w:r>
              <w:rPr>
                <w:spacing w:val="-5"/>
                <w:sz w:val="20"/>
              </w:rPr>
              <w:t> </w:t>
            </w:r>
            <w:r>
              <w:rPr>
                <w:sz w:val="20"/>
              </w:rPr>
              <w:t>del</w:t>
            </w:r>
            <w:r>
              <w:rPr>
                <w:spacing w:val="-5"/>
                <w:sz w:val="20"/>
              </w:rPr>
              <w:t> </w:t>
            </w:r>
            <w:r>
              <w:rPr>
                <w:spacing w:val="-2"/>
                <w:sz w:val="20"/>
              </w:rPr>
              <w:t>brazo.</w:t>
            </w:r>
          </w:p>
        </w:tc>
        <w:tc>
          <w:tcPr>
            <w:tcW w:w="1457" w:type="dxa"/>
          </w:tcPr>
          <w:p>
            <w:pPr>
              <w:pStyle w:val="TableParagraph"/>
              <w:ind w:left="11" w:right="3"/>
              <w:rPr>
                <w:sz w:val="20"/>
              </w:rPr>
            </w:pPr>
            <w:r>
              <w:rPr>
                <w:sz w:val="20"/>
              </w:rPr>
              <w:t>20</w:t>
            </w:r>
            <w:r>
              <w:rPr>
                <w:spacing w:val="-3"/>
                <w:sz w:val="20"/>
              </w:rPr>
              <w:t> </w:t>
            </w:r>
            <w:r>
              <w:rPr>
                <w:sz w:val="20"/>
              </w:rPr>
              <w:t>a</w:t>
            </w:r>
            <w:r>
              <w:rPr>
                <w:spacing w:val="-1"/>
                <w:sz w:val="20"/>
              </w:rPr>
              <w:t> </w:t>
            </w:r>
            <w:r>
              <w:rPr>
                <w:spacing w:val="-5"/>
                <w:sz w:val="20"/>
              </w:rPr>
              <w:t>50%</w:t>
            </w:r>
          </w:p>
        </w:tc>
      </w:tr>
      <w:tr>
        <w:trPr>
          <w:trHeight w:val="460" w:hRule="atLeast"/>
        </w:trPr>
        <w:tc>
          <w:tcPr>
            <w:tcW w:w="1032" w:type="dxa"/>
          </w:tcPr>
          <w:p>
            <w:pPr>
              <w:pStyle w:val="TableParagraph"/>
              <w:spacing w:line="240" w:lineRule="auto" w:before="114"/>
              <w:ind w:left="9"/>
              <w:rPr>
                <w:sz w:val="20"/>
              </w:rPr>
            </w:pPr>
            <w:r>
              <w:rPr>
                <w:spacing w:val="-5"/>
                <w:sz w:val="20"/>
              </w:rPr>
              <w:t>117</w:t>
            </w:r>
          </w:p>
        </w:tc>
        <w:tc>
          <w:tcPr>
            <w:tcW w:w="7060" w:type="dxa"/>
          </w:tcPr>
          <w:p>
            <w:pPr>
              <w:pStyle w:val="TableParagraph"/>
              <w:spacing w:line="230" w:lineRule="exact"/>
              <w:jc w:val="left"/>
              <w:rPr>
                <w:sz w:val="20"/>
              </w:rPr>
            </w:pPr>
            <w:r>
              <w:rPr>
                <w:sz w:val="20"/>
              </w:rPr>
              <w:t>Del codo, que no permite la extensión completa, con un ángulo de flexión de 90 a 140 grados.</w:t>
            </w:r>
          </w:p>
        </w:tc>
        <w:tc>
          <w:tcPr>
            <w:tcW w:w="1457" w:type="dxa"/>
          </w:tcPr>
          <w:p>
            <w:pPr>
              <w:pStyle w:val="TableParagraph"/>
              <w:spacing w:line="240" w:lineRule="auto" w:before="114"/>
              <w:ind w:left="11" w:right="1"/>
              <w:rPr>
                <w:sz w:val="20"/>
              </w:rPr>
            </w:pPr>
            <w:r>
              <w:rPr>
                <w:spacing w:val="-5"/>
                <w:sz w:val="20"/>
              </w:rPr>
              <w:t>30%</w:t>
            </w:r>
          </w:p>
        </w:tc>
      </w:tr>
      <w:tr>
        <w:trPr>
          <w:trHeight w:val="229" w:hRule="atLeast"/>
        </w:trPr>
        <w:tc>
          <w:tcPr>
            <w:tcW w:w="1032" w:type="dxa"/>
          </w:tcPr>
          <w:p>
            <w:pPr>
              <w:pStyle w:val="TableParagraph"/>
              <w:ind w:left="9"/>
              <w:rPr>
                <w:sz w:val="20"/>
              </w:rPr>
            </w:pPr>
            <w:r>
              <w:rPr>
                <w:spacing w:val="-5"/>
                <w:sz w:val="20"/>
              </w:rPr>
              <w:t>118</w:t>
            </w:r>
          </w:p>
        </w:tc>
        <w:tc>
          <w:tcPr>
            <w:tcW w:w="7060" w:type="dxa"/>
          </w:tcPr>
          <w:p>
            <w:pPr>
              <w:pStyle w:val="TableParagraph"/>
              <w:jc w:val="left"/>
              <w:rPr>
                <w:sz w:val="20"/>
              </w:rPr>
            </w:pPr>
            <w:r>
              <w:rPr>
                <w:sz w:val="20"/>
              </w:rPr>
              <w:t>Del</w:t>
            </w:r>
            <w:r>
              <w:rPr>
                <w:spacing w:val="25"/>
                <w:sz w:val="20"/>
              </w:rPr>
              <w:t> </w:t>
            </w:r>
            <w:r>
              <w:rPr>
                <w:sz w:val="20"/>
              </w:rPr>
              <w:t>codo,</w:t>
            </w:r>
            <w:r>
              <w:rPr>
                <w:spacing w:val="29"/>
                <w:sz w:val="20"/>
              </w:rPr>
              <w:t> </w:t>
            </w:r>
            <w:r>
              <w:rPr>
                <w:sz w:val="20"/>
              </w:rPr>
              <w:t>que</w:t>
            </w:r>
            <w:r>
              <w:rPr>
                <w:spacing w:val="27"/>
                <w:sz w:val="20"/>
              </w:rPr>
              <w:t> </w:t>
            </w:r>
            <w:r>
              <w:rPr>
                <w:sz w:val="20"/>
              </w:rPr>
              <w:t>no</w:t>
            </w:r>
            <w:r>
              <w:rPr>
                <w:spacing w:val="28"/>
                <w:sz w:val="20"/>
              </w:rPr>
              <w:t> </w:t>
            </w:r>
            <w:r>
              <w:rPr>
                <w:sz w:val="20"/>
              </w:rPr>
              <w:t>permite</w:t>
            </w:r>
            <w:r>
              <w:rPr>
                <w:spacing w:val="26"/>
                <w:sz w:val="20"/>
              </w:rPr>
              <w:t> </w:t>
            </w:r>
            <w:r>
              <w:rPr>
                <w:sz w:val="20"/>
              </w:rPr>
              <w:t>la</w:t>
            </w:r>
            <w:r>
              <w:rPr>
                <w:spacing w:val="29"/>
                <w:sz w:val="20"/>
              </w:rPr>
              <w:t> </w:t>
            </w:r>
            <w:r>
              <w:rPr>
                <w:sz w:val="20"/>
              </w:rPr>
              <w:t>extensión</w:t>
            </w:r>
            <w:r>
              <w:rPr>
                <w:spacing w:val="27"/>
                <w:sz w:val="20"/>
              </w:rPr>
              <w:t> </w:t>
            </w:r>
            <w:r>
              <w:rPr>
                <w:sz w:val="20"/>
              </w:rPr>
              <w:t>completa,</w:t>
            </w:r>
            <w:r>
              <w:rPr>
                <w:spacing w:val="27"/>
                <w:sz w:val="20"/>
              </w:rPr>
              <w:t> </w:t>
            </w:r>
            <w:r>
              <w:rPr>
                <w:sz w:val="20"/>
              </w:rPr>
              <w:t>con</w:t>
            </w:r>
            <w:r>
              <w:rPr>
                <w:spacing w:val="27"/>
                <w:sz w:val="20"/>
              </w:rPr>
              <w:t> </w:t>
            </w:r>
            <w:r>
              <w:rPr>
                <w:sz w:val="20"/>
              </w:rPr>
              <w:t>un</w:t>
            </w:r>
            <w:r>
              <w:rPr>
                <w:spacing w:val="28"/>
                <w:sz w:val="20"/>
              </w:rPr>
              <w:t> </w:t>
            </w:r>
            <w:r>
              <w:rPr>
                <w:sz w:val="20"/>
              </w:rPr>
              <w:t>ángulo</w:t>
            </w:r>
            <w:r>
              <w:rPr>
                <w:spacing w:val="28"/>
                <w:sz w:val="20"/>
              </w:rPr>
              <w:t> </w:t>
            </w:r>
            <w:r>
              <w:rPr>
                <w:sz w:val="20"/>
              </w:rPr>
              <w:t>de</w:t>
            </w:r>
            <w:r>
              <w:rPr>
                <w:spacing w:val="28"/>
                <w:sz w:val="20"/>
              </w:rPr>
              <w:t> </w:t>
            </w:r>
            <w:r>
              <w:rPr>
                <w:spacing w:val="-2"/>
                <w:sz w:val="20"/>
              </w:rPr>
              <w:t>flexión</w:t>
            </w:r>
          </w:p>
        </w:tc>
        <w:tc>
          <w:tcPr>
            <w:tcW w:w="1457" w:type="dxa"/>
          </w:tcPr>
          <w:p>
            <w:pPr>
              <w:pStyle w:val="TableParagraph"/>
              <w:ind w:left="11" w:right="1"/>
              <w:rPr>
                <w:sz w:val="20"/>
              </w:rPr>
            </w:pPr>
            <w:r>
              <w:rPr>
                <w:spacing w:val="-5"/>
                <w:sz w:val="20"/>
              </w:rPr>
              <w:t>20%</w:t>
            </w:r>
          </w:p>
        </w:tc>
      </w:tr>
    </w:tbl>
    <w:p>
      <w:pPr>
        <w:pStyle w:val="TableParagraph"/>
        <w:spacing w:after="0"/>
        <w:rPr>
          <w:sz w:val="20"/>
        </w:rPr>
        <w:sectPr>
          <w:pgSz w:w="12240" w:h="15840"/>
          <w:pgMar w:header="724" w:footer="712" w:top="1880" w:bottom="900" w:left="1080" w:right="1080"/>
        </w:sectPr>
      </w:pPr>
    </w:p>
    <w:p>
      <w:pPr>
        <w:pStyle w:val="BodyText"/>
        <w:spacing w:before="68"/>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2"/>
        <w:gridCol w:w="7060"/>
        <w:gridCol w:w="1457"/>
      </w:tblGrid>
      <w:tr>
        <w:trPr>
          <w:trHeight w:val="229" w:hRule="atLeast"/>
        </w:trPr>
        <w:tc>
          <w:tcPr>
            <w:tcW w:w="1032" w:type="dxa"/>
          </w:tcPr>
          <w:p>
            <w:pPr>
              <w:pStyle w:val="TableParagraph"/>
              <w:spacing w:line="240" w:lineRule="auto"/>
              <w:ind w:left="0"/>
              <w:jc w:val="left"/>
              <w:rPr>
                <w:rFonts w:ascii="Times New Roman"/>
                <w:sz w:val="16"/>
              </w:rPr>
            </w:pPr>
          </w:p>
        </w:tc>
        <w:tc>
          <w:tcPr>
            <w:tcW w:w="7060" w:type="dxa"/>
          </w:tcPr>
          <w:p>
            <w:pPr>
              <w:pStyle w:val="TableParagraph"/>
              <w:jc w:val="left"/>
              <w:rPr>
                <w:sz w:val="20"/>
              </w:rPr>
            </w:pPr>
            <w:r>
              <w:rPr>
                <w:sz w:val="20"/>
              </w:rPr>
              <w:t>menor</w:t>
            </w:r>
            <w:r>
              <w:rPr>
                <w:spacing w:val="-5"/>
                <w:sz w:val="20"/>
              </w:rPr>
              <w:t> </w:t>
            </w:r>
            <w:r>
              <w:rPr>
                <w:sz w:val="20"/>
              </w:rPr>
              <w:t>de</w:t>
            </w:r>
            <w:r>
              <w:rPr>
                <w:spacing w:val="-4"/>
                <w:sz w:val="20"/>
              </w:rPr>
              <w:t> </w:t>
            </w:r>
            <w:r>
              <w:rPr>
                <w:sz w:val="20"/>
              </w:rPr>
              <w:t>90</w:t>
            </w:r>
            <w:r>
              <w:rPr>
                <w:spacing w:val="-5"/>
                <w:sz w:val="20"/>
              </w:rPr>
              <w:t> </w:t>
            </w:r>
            <w:r>
              <w:rPr>
                <w:spacing w:val="-2"/>
                <w:sz w:val="20"/>
              </w:rPr>
              <w:t>grados.</w:t>
            </w:r>
          </w:p>
        </w:tc>
        <w:tc>
          <w:tcPr>
            <w:tcW w:w="1457" w:type="dxa"/>
          </w:tcPr>
          <w:p>
            <w:pPr>
              <w:pStyle w:val="TableParagraph"/>
              <w:spacing w:line="240" w:lineRule="auto"/>
              <w:ind w:left="0"/>
              <w:jc w:val="left"/>
              <w:rPr>
                <w:rFonts w:ascii="Times New Roman"/>
                <w:sz w:val="16"/>
              </w:rPr>
            </w:pPr>
          </w:p>
        </w:tc>
      </w:tr>
      <w:tr>
        <w:trPr>
          <w:trHeight w:val="460" w:hRule="atLeast"/>
        </w:trPr>
        <w:tc>
          <w:tcPr>
            <w:tcW w:w="1032" w:type="dxa"/>
          </w:tcPr>
          <w:p>
            <w:pPr>
              <w:pStyle w:val="TableParagraph"/>
              <w:spacing w:line="240" w:lineRule="auto" w:before="114"/>
              <w:ind w:left="9"/>
              <w:rPr>
                <w:sz w:val="20"/>
              </w:rPr>
            </w:pPr>
            <w:r>
              <w:rPr>
                <w:spacing w:val="-5"/>
                <w:sz w:val="20"/>
              </w:rPr>
              <w:t>119</w:t>
            </w:r>
          </w:p>
        </w:tc>
        <w:tc>
          <w:tcPr>
            <w:tcW w:w="7060" w:type="dxa"/>
          </w:tcPr>
          <w:p>
            <w:pPr>
              <w:pStyle w:val="TableParagraph"/>
              <w:spacing w:line="230" w:lineRule="exact"/>
              <w:ind w:right="56"/>
              <w:jc w:val="left"/>
              <w:rPr>
                <w:sz w:val="20"/>
              </w:rPr>
            </w:pPr>
            <w:r>
              <w:rPr>
                <w:sz w:val="20"/>
              </w:rPr>
              <w:t>Del codo, que permite la extensión completa, con un ángulo de flexión hasta 70 grados.</w:t>
            </w:r>
          </w:p>
        </w:tc>
        <w:tc>
          <w:tcPr>
            <w:tcW w:w="1457" w:type="dxa"/>
          </w:tcPr>
          <w:p>
            <w:pPr>
              <w:pStyle w:val="TableParagraph"/>
              <w:spacing w:line="240" w:lineRule="auto" w:before="114"/>
              <w:ind w:left="11" w:right="1"/>
              <w:rPr>
                <w:sz w:val="20"/>
              </w:rPr>
            </w:pPr>
            <w:r>
              <w:rPr>
                <w:spacing w:val="-5"/>
                <w:sz w:val="20"/>
              </w:rPr>
              <w:t>10%</w:t>
            </w:r>
          </w:p>
        </w:tc>
      </w:tr>
      <w:tr>
        <w:trPr>
          <w:trHeight w:val="457" w:hRule="atLeast"/>
        </w:trPr>
        <w:tc>
          <w:tcPr>
            <w:tcW w:w="1032" w:type="dxa"/>
          </w:tcPr>
          <w:p>
            <w:pPr>
              <w:pStyle w:val="TableParagraph"/>
              <w:spacing w:line="240" w:lineRule="auto" w:before="114"/>
              <w:ind w:left="9"/>
              <w:rPr>
                <w:sz w:val="20"/>
              </w:rPr>
            </w:pPr>
            <w:r>
              <w:rPr>
                <w:spacing w:val="-5"/>
                <w:sz w:val="20"/>
              </w:rPr>
              <w:t>120</w:t>
            </w:r>
          </w:p>
        </w:tc>
        <w:tc>
          <w:tcPr>
            <w:tcW w:w="7060" w:type="dxa"/>
          </w:tcPr>
          <w:p>
            <w:pPr>
              <w:pStyle w:val="TableParagraph"/>
              <w:spacing w:line="228" w:lineRule="exact"/>
              <w:jc w:val="left"/>
              <w:rPr>
                <w:sz w:val="20"/>
              </w:rPr>
            </w:pPr>
            <w:r>
              <w:rPr>
                <w:sz w:val="20"/>
              </w:rPr>
              <w:t>Del codo, que permite la extensión completa, con un ángulo de flexión hasta 110 grados.</w:t>
            </w:r>
          </w:p>
        </w:tc>
        <w:tc>
          <w:tcPr>
            <w:tcW w:w="1457" w:type="dxa"/>
          </w:tcPr>
          <w:p>
            <w:pPr>
              <w:pStyle w:val="TableParagraph"/>
              <w:spacing w:line="240" w:lineRule="auto" w:before="114"/>
              <w:ind w:left="11" w:right="1"/>
              <w:rPr>
                <w:sz w:val="20"/>
              </w:rPr>
            </w:pPr>
            <w:r>
              <w:rPr>
                <w:spacing w:val="-5"/>
                <w:sz w:val="20"/>
              </w:rPr>
              <w:t>5%</w:t>
            </w:r>
          </w:p>
        </w:tc>
      </w:tr>
      <w:tr>
        <w:trPr>
          <w:trHeight w:val="462" w:hRule="atLeast"/>
        </w:trPr>
        <w:tc>
          <w:tcPr>
            <w:tcW w:w="1032" w:type="dxa"/>
          </w:tcPr>
          <w:p>
            <w:pPr>
              <w:pStyle w:val="TableParagraph"/>
              <w:spacing w:line="240" w:lineRule="auto" w:before="114"/>
              <w:ind w:left="9"/>
              <w:rPr>
                <w:sz w:val="20"/>
              </w:rPr>
            </w:pPr>
            <w:r>
              <w:rPr>
                <w:spacing w:val="-5"/>
                <w:sz w:val="20"/>
              </w:rPr>
              <w:t>121</w:t>
            </w:r>
          </w:p>
        </w:tc>
        <w:tc>
          <w:tcPr>
            <w:tcW w:w="7060" w:type="dxa"/>
          </w:tcPr>
          <w:p>
            <w:pPr>
              <w:pStyle w:val="TableParagraph"/>
              <w:spacing w:line="228" w:lineRule="exact"/>
              <w:jc w:val="left"/>
              <w:rPr>
                <w:sz w:val="20"/>
              </w:rPr>
            </w:pPr>
            <w:r>
              <w:rPr>
                <w:sz w:val="20"/>
              </w:rPr>
              <w:t>De</w:t>
            </w:r>
            <w:r>
              <w:rPr>
                <w:spacing w:val="28"/>
                <w:sz w:val="20"/>
              </w:rPr>
              <w:t> </w:t>
            </w:r>
            <w:r>
              <w:rPr>
                <w:sz w:val="20"/>
              </w:rPr>
              <w:t>la</w:t>
            </w:r>
            <w:r>
              <w:rPr>
                <w:spacing w:val="27"/>
                <w:sz w:val="20"/>
              </w:rPr>
              <w:t> </w:t>
            </w:r>
            <w:r>
              <w:rPr>
                <w:sz w:val="20"/>
              </w:rPr>
              <w:t>aponeurosis</w:t>
            </w:r>
            <w:r>
              <w:rPr>
                <w:spacing w:val="29"/>
                <w:sz w:val="20"/>
              </w:rPr>
              <w:t> </w:t>
            </w:r>
            <w:r>
              <w:rPr>
                <w:sz w:val="20"/>
              </w:rPr>
              <w:t>palmar</w:t>
            </w:r>
            <w:r>
              <w:rPr>
                <w:spacing w:val="26"/>
                <w:sz w:val="20"/>
              </w:rPr>
              <w:t> </w:t>
            </w:r>
            <w:r>
              <w:rPr>
                <w:sz w:val="20"/>
              </w:rPr>
              <w:t>que</w:t>
            </w:r>
            <w:r>
              <w:rPr>
                <w:spacing w:val="28"/>
                <w:sz w:val="20"/>
              </w:rPr>
              <w:t> </w:t>
            </w:r>
            <w:r>
              <w:rPr>
                <w:sz w:val="20"/>
              </w:rPr>
              <w:t>afecten</w:t>
            </w:r>
            <w:r>
              <w:rPr>
                <w:spacing w:val="27"/>
                <w:sz w:val="20"/>
              </w:rPr>
              <w:t> </w:t>
            </w:r>
            <w:r>
              <w:rPr>
                <w:sz w:val="20"/>
              </w:rPr>
              <w:t>la</w:t>
            </w:r>
            <w:r>
              <w:rPr>
                <w:spacing w:val="27"/>
                <w:sz w:val="20"/>
              </w:rPr>
              <w:t> </w:t>
            </w:r>
            <w:r>
              <w:rPr>
                <w:sz w:val="20"/>
              </w:rPr>
              <w:t>flexión o</w:t>
            </w:r>
            <w:r>
              <w:rPr>
                <w:spacing w:val="30"/>
                <w:sz w:val="20"/>
              </w:rPr>
              <w:t> </w:t>
            </w:r>
            <w:r>
              <w:rPr>
                <w:sz w:val="20"/>
              </w:rPr>
              <w:t>extensión,</w:t>
            </w:r>
            <w:r>
              <w:rPr>
                <w:spacing w:val="27"/>
                <w:sz w:val="20"/>
              </w:rPr>
              <w:t> </w:t>
            </w:r>
            <w:r>
              <w:rPr>
                <w:sz w:val="20"/>
              </w:rPr>
              <w:t>la</w:t>
            </w:r>
            <w:r>
              <w:rPr>
                <w:spacing w:val="27"/>
                <w:sz w:val="20"/>
              </w:rPr>
              <w:t> </w:t>
            </w:r>
            <w:r>
              <w:rPr>
                <w:sz w:val="20"/>
              </w:rPr>
              <w:t>pronación, supinación, o que produzca rigideces combinadas.</w:t>
            </w:r>
          </w:p>
        </w:tc>
        <w:tc>
          <w:tcPr>
            <w:tcW w:w="1457" w:type="dxa"/>
          </w:tcPr>
          <w:p>
            <w:pPr>
              <w:pStyle w:val="TableParagraph"/>
              <w:spacing w:line="240" w:lineRule="auto" w:before="114"/>
              <w:ind w:left="11" w:right="3"/>
              <w:rPr>
                <w:sz w:val="20"/>
              </w:rPr>
            </w:pPr>
            <w:r>
              <w:rPr>
                <w:sz w:val="20"/>
              </w:rPr>
              <w:t>10</w:t>
            </w:r>
            <w:r>
              <w:rPr>
                <w:spacing w:val="-3"/>
                <w:sz w:val="20"/>
              </w:rPr>
              <w:t> </w:t>
            </w:r>
            <w:r>
              <w:rPr>
                <w:sz w:val="20"/>
              </w:rPr>
              <w:t>a</w:t>
            </w:r>
            <w:r>
              <w:rPr>
                <w:spacing w:val="-1"/>
                <w:sz w:val="20"/>
              </w:rPr>
              <w:t> </w:t>
            </w:r>
            <w:r>
              <w:rPr>
                <w:spacing w:val="-5"/>
                <w:sz w:val="20"/>
              </w:rPr>
              <w:t>30%</w:t>
            </w:r>
          </w:p>
        </w:tc>
      </w:tr>
    </w:tbl>
    <w:p>
      <w:pPr>
        <w:spacing w:before="227"/>
        <w:ind w:left="292" w:right="297" w:firstLine="0"/>
        <w:jc w:val="center"/>
        <w:rPr>
          <w:rFonts w:ascii="Arial" w:hAnsi="Arial"/>
          <w:b/>
          <w:sz w:val="20"/>
        </w:rPr>
      </w:pPr>
      <w:r>
        <w:rPr>
          <w:rFonts w:ascii="Arial" w:hAnsi="Arial"/>
          <w:b/>
          <w:sz w:val="20"/>
        </w:rPr>
        <w:t>Trastornos</w:t>
      </w:r>
      <w:r>
        <w:rPr>
          <w:rFonts w:ascii="Arial" w:hAnsi="Arial"/>
          <w:b/>
          <w:spacing w:val="-4"/>
          <w:sz w:val="20"/>
        </w:rPr>
        <w:t> </w:t>
      </w:r>
      <w:r>
        <w:rPr>
          <w:rFonts w:ascii="Arial" w:hAnsi="Arial"/>
          <w:b/>
          <w:sz w:val="20"/>
        </w:rPr>
        <w:t>funcionales</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los</w:t>
      </w:r>
      <w:r>
        <w:rPr>
          <w:rFonts w:ascii="Arial" w:hAnsi="Arial"/>
          <w:b/>
          <w:spacing w:val="-4"/>
          <w:sz w:val="20"/>
        </w:rPr>
        <w:t> </w:t>
      </w:r>
      <w:r>
        <w:rPr>
          <w:rFonts w:ascii="Arial" w:hAnsi="Arial"/>
          <w:b/>
          <w:sz w:val="20"/>
        </w:rPr>
        <w:t>dedos,</w:t>
      </w:r>
      <w:r>
        <w:rPr>
          <w:rFonts w:ascii="Arial" w:hAnsi="Arial"/>
          <w:b/>
          <w:spacing w:val="-4"/>
          <w:sz w:val="20"/>
        </w:rPr>
        <w:t> </w:t>
      </w:r>
      <w:r>
        <w:rPr>
          <w:rFonts w:ascii="Arial" w:hAnsi="Arial"/>
          <w:b/>
          <w:sz w:val="20"/>
        </w:rPr>
        <w:t>consecutivos</w:t>
      </w:r>
      <w:r>
        <w:rPr>
          <w:rFonts w:ascii="Arial" w:hAnsi="Arial"/>
          <w:b/>
          <w:spacing w:val="-4"/>
          <w:sz w:val="20"/>
        </w:rPr>
        <w:t> </w:t>
      </w:r>
      <w:r>
        <w:rPr>
          <w:rFonts w:ascii="Arial" w:hAnsi="Arial"/>
          <w:b/>
          <w:sz w:val="20"/>
        </w:rPr>
        <w:t>a</w:t>
      </w:r>
      <w:r>
        <w:rPr>
          <w:rFonts w:ascii="Arial" w:hAnsi="Arial"/>
          <w:b/>
          <w:spacing w:val="-5"/>
          <w:sz w:val="20"/>
        </w:rPr>
        <w:t> </w:t>
      </w:r>
      <w:r>
        <w:rPr>
          <w:rFonts w:ascii="Arial" w:hAnsi="Arial"/>
          <w:b/>
          <w:sz w:val="20"/>
        </w:rPr>
        <w:t>lesiones</w:t>
      </w:r>
      <w:r>
        <w:rPr>
          <w:rFonts w:ascii="Arial" w:hAnsi="Arial"/>
          <w:b/>
          <w:spacing w:val="-4"/>
          <w:sz w:val="20"/>
        </w:rPr>
        <w:t> </w:t>
      </w:r>
      <w:r>
        <w:rPr>
          <w:rFonts w:ascii="Arial" w:hAnsi="Arial"/>
          <w:b/>
          <w:sz w:val="20"/>
        </w:rPr>
        <w:t>no</w:t>
      </w:r>
      <w:r>
        <w:rPr>
          <w:rFonts w:ascii="Arial" w:hAnsi="Arial"/>
          <w:b/>
          <w:spacing w:val="-3"/>
          <w:sz w:val="20"/>
        </w:rPr>
        <w:t> </w:t>
      </w:r>
      <w:r>
        <w:rPr>
          <w:rFonts w:ascii="Arial" w:hAnsi="Arial"/>
          <w:b/>
          <w:sz w:val="20"/>
        </w:rPr>
        <w:t>articulares,</w:t>
      </w:r>
      <w:r>
        <w:rPr>
          <w:rFonts w:ascii="Arial" w:hAnsi="Arial"/>
          <w:b/>
          <w:spacing w:val="-4"/>
          <w:sz w:val="20"/>
        </w:rPr>
        <w:t> </w:t>
      </w:r>
      <w:r>
        <w:rPr>
          <w:rFonts w:ascii="Arial" w:hAnsi="Arial"/>
          <w:b/>
          <w:sz w:val="20"/>
        </w:rPr>
        <w:t>sino</w:t>
      </w:r>
      <w:r>
        <w:rPr>
          <w:rFonts w:ascii="Arial" w:hAnsi="Arial"/>
          <w:b/>
          <w:spacing w:val="-3"/>
          <w:sz w:val="20"/>
        </w:rPr>
        <w:t> </w:t>
      </w:r>
      <w:r>
        <w:rPr>
          <w:rFonts w:ascii="Arial" w:hAnsi="Arial"/>
          <w:b/>
          <w:sz w:val="20"/>
        </w:rPr>
        <w:t>a</w:t>
      </w:r>
      <w:r>
        <w:rPr>
          <w:rFonts w:ascii="Arial" w:hAnsi="Arial"/>
          <w:b/>
          <w:spacing w:val="-2"/>
          <w:sz w:val="20"/>
        </w:rPr>
        <w:t> </w:t>
      </w:r>
      <w:r>
        <w:rPr>
          <w:rFonts w:ascii="Arial" w:hAnsi="Arial"/>
          <w:b/>
          <w:sz w:val="20"/>
        </w:rPr>
        <w:t>sección</w:t>
      </w:r>
      <w:r>
        <w:rPr>
          <w:rFonts w:ascii="Arial" w:hAnsi="Arial"/>
          <w:b/>
          <w:spacing w:val="-3"/>
          <w:sz w:val="20"/>
        </w:rPr>
        <w:t> </w:t>
      </w:r>
      <w:r>
        <w:rPr>
          <w:rFonts w:ascii="Arial" w:hAnsi="Arial"/>
          <w:b/>
          <w:sz w:val="20"/>
        </w:rPr>
        <w:t>o pérdida de los tendones extensores o flexores, adherencias o cicatrices</w:t>
      </w:r>
    </w:p>
    <w:p>
      <w:pPr>
        <w:pStyle w:val="BodyText"/>
        <w:spacing w:before="1"/>
        <w:rPr>
          <w:rFonts w:ascii="Arial"/>
          <w:b/>
        </w:rPr>
      </w:pPr>
    </w:p>
    <w:p>
      <w:pPr>
        <w:spacing w:before="0"/>
        <w:ind w:left="294" w:right="296" w:firstLine="0"/>
        <w:jc w:val="center"/>
        <w:rPr>
          <w:rFonts w:ascii="Arial" w:hAnsi="Arial"/>
          <w:b/>
          <w:sz w:val="20"/>
        </w:rPr>
      </w:pPr>
      <w:r>
        <w:rPr>
          <w:rFonts w:ascii="Arial" w:hAnsi="Arial"/>
          <w:b/>
          <w:sz w:val="20"/>
        </w:rPr>
        <w:t>Flexión</w:t>
      </w:r>
      <w:r>
        <w:rPr>
          <w:rFonts w:ascii="Arial" w:hAnsi="Arial"/>
          <w:b/>
          <w:spacing w:val="-6"/>
          <w:sz w:val="20"/>
        </w:rPr>
        <w:t> </w:t>
      </w:r>
      <w:r>
        <w:rPr>
          <w:rFonts w:ascii="Arial" w:hAnsi="Arial"/>
          <w:b/>
          <w:sz w:val="20"/>
        </w:rPr>
        <w:t>permanente</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uno</w:t>
      </w:r>
      <w:r>
        <w:rPr>
          <w:rFonts w:ascii="Arial" w:hAnsi="Arial"/>
          <w:b/>
          <w:spacing w:val="-5"/>
          <w:sz w:val="20"/>
        </w:rPr>
        <w:t> </w:t>
      </w:r>
      <w:r>
        <w:rPr>
          <w:rFonts w:ascii="Arial" w:hAnsi="Arial"/>
          <w:b/>
          <w:sz w:val="20"/>
        </w:rPr>
        <w:t>o</w:t>
      </w:r>
      <w:r>
        <w:rPr>
          <w:rFonts w:ascii="Arial" w:hAnsi="Arial"/>
          <w:b/>
          <w:spacing w:val="-7"/>
          <w:sz w:val="20"/>
        </w:rPr>
        <w:t> </w:t>
      </w:r>
      <w:r>
        <w:rPr>
          <w:rFonts w:ascii="Arial" w:hAnsi="Arial"/>
          <w:b/>
          <w:sz w:val="20"/>
        </w:rPr>
        <w:t>varios</w:t>
      </w:r>
      <w:r>
        <w:rPr>
          <w:rFonts w:ascii="Arial" w:hAnsi="Arial"/>
          <w:b/>
          <w:spacing w:val="-6"/>
          <w:sz w:val="20"/>
        </w:rPr>
        <w:t> </w:t>
      </w:r>
      <w:r>
        <w:rPr>
          <w:rFonts w:ascii="Arial" w:hAnsi="Arial"/>
          <w:b/>
          <w:spacing w:val="-2"/>
          <w:sz w:val="20"/>
        </w:rPr>
        <w:t>dedos</w:t>
      </w:r>
    </w:p>
    <w:p>
      <w:pPr>
        <w:pStyle w:val="BodyText"/>
        <w:spacing w:before="4"/>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2"/>
        <w:gridCol w:w="7060"/>
        <w:gridCol w:w="1457"/>
      </w:tblGrid>
      <w:tr>
        <w:trPr>
          <w:trHeight w:val="229" w:hRule="atLeast"/>
        </w:trPr>
        <w:tc>
          <w:tcPr>
            <w:tcW w:w="1032" w:type="dxa"/>
          </w:tcPr>
          <w:p>
            <w:pPr>
              <w:pStyle w:val="TableParagraph"/>
              <w:ind w:left="9"/>
              <w:rPr>
                <w:sz w:val="20"/>
              </w:rPr>
            </w:pPr>
            <w:r>
              <w:rPr>
                <w:spacing w:val="-5"/>
                <w:sz w:val="20"/>
              </w:rPr>
              <w:t>122</w:t>
            </w:r>
          </w:p>
        </w:tc>
        <w:tc>
          <w:tcPr>
            <w:tcW w:w="7060" w:type="dxa"/>
          </w:tcPr>
          <w:p>
            <w:pPr>
              <w:pStyle w:val="TableParagraph"/>
              <w:jc w:val="left"/>
              <w:rPr>
                <w:sz w:val="20"/>
              </w:rPr>
            </w:pPr>
            <w:r>
              <w:rPr>
                <w:sz w:val="20"/>
              </w:rPr>
              <w:t>De</w:t>
            </w:r>
            <w:r>
              <w:rPr>
                <w:spacing w:val="-7"/>
                <w:sz w:val="20"/>
              </w:rPr>
              <w:t> </w:t>
            </w:r>
            <w:r>
              <w:rPr>
                <w:sz w:val="20"/>
              </w:rPr>
              <w:t>las</w:t>
            </w:r>
            <w:r>
              <w:rPr>
                <w:spacing w:val="-6"/>
                <w:sz w:val="20"/>
              </w:rPr>
              <w:t> </w:t>
            </w:r>
            <w:r>
              <w:rPr>
                <w:sz w:val="20"/>
              </w:rPr>
              <w:t>dos</w:t>
            </w:r>
            <w:r>
              <w:rPr>
                <w:spacing w:val="-6"/>
                <w:sz w:val="20"/>
              </w:rPr>
              <w:t> </w:t>
            </w:r>
            <w:r>
              <w:rPr>
                <w:sz w:val="20"/>
              </w:rPr>
              <w:t>articulaciones</w:t>
            </w:r>
            <w:r>
              <w:rPr>
                <w:spacing w:val="-5"/>
                <w:sz w:val="20"/>
              </w:rPr>
              <w:t> </w:t>
            </w:r>
            <w:r>
              <w:rPr>
                <w:sz w:val="20"/>
              </w:rPr>
              <w:t>del</w:t>
            </w:r>
            <w:r>
              <w:rPr>
                <w:spacing w:val="-8"/>
                <w:sz w:val="20"/>
              </w:rPr>
              <w:t> </w:t>
            </w:r>
            <w:r>
              <w:rPr>
                <w:spacing w:val="-2"/>
                <w:sz w:val="20"/>
              </w:rPr>
              <w:t>pulgar.</w:t>
            </w:r>
          </w:p>
        </w:tc>
        <w:tc>
          <w:tcPr>
            <w:tcW w:w="1457" w:type="dxa"/>
          </w:tcPr>
          <w:p>
            <w:pPr>
              <w:pStyle w:val="TableParagraph"/>
              <w:ind w:left="11" w:right="3"/>
              <w:rPr>
                <w:sz w:val="20"/>
              </w:rPr>
            </w:pPr>
            <w:r>
              <w:rPr>
                <w:sz w:val="20"/>
              </w:rPr>
              <w:t>10</w:t>
            </w:r>
            <w:r>
              <w:rPr>
                <w:spacing w:val="-3"/>
                <w:sz w:val="20"/>
              </w:rPr>
              <w:t> </w:t>
            </w:r>
            <w:r>
              <w:rPr>
                <w:sz w:val="20"/>
              </w:rPr>
              <w:t>a</w:t>
            </w:r>
            <w:r>
              <w:rPr>
                <w:spacing w:val="-1"/>
                <w:sz w:val="20"/>
              </w:rPr>
              <w:t> </w:t>
            </w:r>
            <w:r>
              <w:rPr>
                <w:spacing w:val="-5"/>
                <w:sz w:val="20"/>
              </w:rPr>
              <w:t>25%</w:t>
            </w:r>
          </w:p>
        </w:tc>
      </w:tr>
      <w:tr>
        <w:trPr>
          <w:trHeight w:val="229" w:hRule="atLeast"/>
        </w:trPr>
        <w:tc>
          <w:tcPr>
            <w:tcW w:w="1032" w:type="dxa"/>
          </w:tcPr>
          <w:p>
            <w:pPr>
              <w:pStyle w:val="TableParagraph"/>
              <w:ind w:left="9"/>
              <w:rPr>
                <w:sz w:val="20"/>
              </w:rPr>
            </w:pPr>
            <w:r>
              <w:rPr>
                <w:spacing w:val="-5"/>
                <w:sz w:val="20"/>
              </w:rPr>
              <w:t>123</w:t>
            </w:r>
          </w:p>
        </w:tc>
        <w:tc>
          <w:tcPr>
            <w:tcW w:w="7060" w:type="dxa"/>
          </w:tcPr>
          <w:p>
            <w:pPr>
              <w:pStyle w:val="TableParagraph"/>
              <w:jc w:val="left"/>
              <w:rPr>
                <w:sz w:val="20"/>
              </w:rPr>
            </w:pPr>
            <w:r>
              <w:rPr>
                <w:sz w:val="20"/>
              </w:rPr>
              <w:t>De</w:t>
            </w:r>
            <w:r>
              <w:rPr>
                <w:spacing w:val="-7"/>
                <w:sz w:val="20"/>
              </w:rPr>
              <w:t> </w:t>
            </w:r>
            <w:r>
              <w:rPr>
                <w:sz w:val="20"/>
              </w:rPr>
              <w:t>las</w:t>
            </w:r>
            <w:r>
              <w:rPr>
                <w:spacing w:val="-5"/>
                <w:sz w:val="20"/>
              </w:rPr>
              <w:t> </w:t>
            </w:r>
            <w:r>
              <w:rPr>
                <w:sz w:val="20"/>
              </w:rPr>
              <w:t>tres</w:t>
            </w:r>
            <w:r>
              <w:rPr>
                <w:spacing w:val="-4"/>
                <w:sz w:val="20"/>
              </w:rPr>
              <w:t> </w:t>
            </w:r>
            <w:r>
              <w:rPr>
                <w:sz w:val="20"/>
              </w:rPr>
              <w:t>articulaciones</w:t>
            </w:r>
            <w:r>
              <w:rPr>
                <w:spacing w:val="-3"/>
                <w:sz w:val="20"/>
              </w:rPr>
              <w:t> </w:t>
            </w:r>
            <w:r>
              <w:rPr>
                <w:sz w:val="20"/>
              </w:rPr>
              <w:t>del</w:t>
            </w:r>
            <w:r>
              <w:rPr>
                <w:spacing w:val="-7"/>
                <w:sz w:val="20"/>
              </w:rPr>
              <w:t> </w:t>
            </w:r>
            <w:r>
              <w:rPr>
                <w:sz w:val="20"/>
              </w:rPr>
              <w:t>índice</w:t>
            </w:r>
            <w:r>
              <w:rPr>
                <w:spacing w:val="-5"/>
                <w:sz w:val="20"/>
              </w:rPr>
              <w:t> </w:t>
            </w:r>
            <w:r>
              <w:rPr>
                <w:sz w:val="20"/>
              </w:rPr>
              <w:t>o</w:t>
            </w:r>
            <w:r>
              <w:rPr>
                <w:spacing w:val="-6"/>
                <w:sz w:val="20"/>
              </w:rPr>
              <w:t> </w:t>
            </w:r>
            <w:r>
              <w:rPr>
                <w:sz w:val="20"/>
              </w:rPr>
              <w:t>dedo</w:t>
            </w:r>
            <w:r>
              <w:rPr>
                <w:spacing w:val="-5"/>
                <w:sz w:val="20"/>
              </w:rPr>
              <w:t> </w:t>
            </w:r>
            <w:r>
              <w:rPr>
                <w:spacing w:val="-2"/>
                <w:sz w:val="20"/>
              </w:rPr>
              <w:t>medio.</w:t>
            </w:r>
          </w:p>
        </w:tc>
        <w:tc>
          <w:tcPr>
            <w:tcW w:w="1457" w:type="dxa"/>
          </w:tcPr>
          <w:p>
            <w:pPr>
              <w:pStyle w:val="TableParagraph"/>
              <w:ind w:left="11" w:right="3"/>
              <w:rPr>
                <w:sz w:val="20"/>
              </w:rPr>
            </w:pPr>
            <w:r>
              <w:rPr>
                <w:sz w:val="20"/>
              </w:rPr>
              <w:t>8</w:t>
            </w:r>
            <w:r>
              <w:rPr>
                <w:spacing w:val="-3"/>
                <w:sz w:val="20"/>
              </w:rPr>
              <w:t> </w:t>
            </w:r>
            <w:r>
              <w:rPr>
                <w:sz w:val="20"/>
              </w:rPr>
              <w:t>a</w:t>
            </w:r>
            <w:r>
              <w:rPr>
                <w:spacing w:val="-3"/>
                <w:sz w:val="20"/>
              </w:rPr>
              <w:t> </w:t>
            </w:r>
            <w:r>
              <w:rPr>
                <w:spacing w:val="-5"/>
                <w:sz w:val="20"/>
              </w:rPr>
              <w:t>15%</w:t>
            </w:r>
          </w:p>
        </w:tc>
      </w:tr>
      <w:tr>
        <w:trPr>
          <w:trHeight w:val="229" w:hRule="atLeast"/>
        </w:trPr>
        <w:tc>
          <w:tcPr>
            <w:tcW w:w="1032" w:type="dxa"/>
          </w:tcPr>
          <w:p>
            <w:pPr>
              <w:pStyle w:val="TableParagraph"/>
              <w:ind w:left="9"/>
              <w:rPr>
                <w:sz w:val="20"/>
              </w:rPr>
            </w:pPr>
            <w:r>
              <w:rPr>
                <w:spacing w:val="-5"/>
                <w:sz w:val="20"/>
              </w:rPr>
              <w:t>124</w:t>
            </w:r>
          </w:p>
        </w:tc>
        <w:tc>
          <w:tcPr>
            <w:tcW w:w="7060" w:type="dxa"/>
          </w:tcPr>
          <w:p>
            <w:pPr>
              <w:pStyle w:val="TableParagraph"/>
              <w:jc w:val="left"/>
              <w:rPr>
                <w:sz w:val="20"/>
              </w:rPr>
            </w:pPr>
            <w:r>
              <w:rPr>
                <w:sz w:val="20"/>
              </w:rPr>
              <w:t>De</w:t>
            </w:r>
            <w:r>
              <w:rPr>
                <w:spacing w:val="-7"/>
                <w:sz w:val="20"/>
              </w:rPr>
              <w:t> </w:t>
            </w:r>
            <w:r>
              <w:rPr>
                <w:sz w:val="20"/>
              </w:rPr>
              <w:t>las</w:t>
            </w:r>
            <w:r>
              <w:rPr>
                <w:spacing w:val="-5"/>
                <w:sz w:val="20"/>
              </w:rPr>
              <w:t> </w:t>
            </w:r>
            <w:r>
              <w:rPr>
                <w:sz w:val="20"/>
              </w:rPr>
              <w:t>tres</w:t>
            </w:r>
            <w:r>
              <w:rPr>
                <w:spacing w:val="-4"/>
                <w:sz w:val="20"/>
              </w:rPr>
              <w:t> </w:t>
            </w:r>
            <w:r>
              <w:rPr>
                <w:sz w:val="20"/>
              </w:rPr>
              <w:t>articulaciones</w:t>
            </w:r>
            <w:r>
              <w:rPr>
                <w:spacing w:val="-4"/>
                <w:sz w:val="20"/>
              </w:rPr>
              <w:t> </w:t>
            </w:r>
            <w:r>
              <w:rPr>
                <w:sz w:val="20"/>
              </w:rPr>
              <w:t>del</w:t>
            </w:r>
            <w:r>
              <w:rPr>
                <w:spacing w:val="-7"/>
                <w:sz w:val="20"/>
              </w:rPr>
              <w:t> </w:t>
            </w:r>
            <w:r>
              <w:rPr>
                <w:sz w:val="20"/>
              </w:rPr>
              <w:t>anular</w:t>
            </w:r>
            <w:r>
              <w:rPr>
                <w:spacing w:val="-6"/>
                <w:sz w:val="20"/>
              </w:rPr>
              <w:t> </w:t>
            </w:r>
            <w:r>
              <w:rPr>
                <w:sz w:val="20"/>
              </w:rPr>
              <w:t>o</w:t>
            </w:r>
            <w:r>
              <w:rPr>
                <w:spacing w:val="-7"/>
                <w:sz w:val="20"/>
              </w:rPr>
              <w:t> </w:t>
            </w:r>
            <w:r>
              <w:rPr>
                <w:spacing w:val="-2"/>
                <w:sz w:val="20"/>
              </w:rPr>
              <w:t>meñique.</w:t>
            </w:r>
          </w:p>
        </w:tc>
        <w:tc>
          <w:tcPr>
            <w:tcW w:w="1457" w:type="dxa"/>
          </w:tcPr>
          <w:p>
            <w:pPr>
              <w:pStyle w:val="TableParagraph"/>
              <w:ind w:left="11" w:right="3"/>
              <w:rPr>
                <w:sz w:val="20"/>
              </w:rPr>
            </w:pPr>
            <w:r>
              <w:rPr>
                <w:sz w:val="20"/>
              </w:rPr>
              <w:t>8</w:t>
            </w:r>
            <w:r>
              <w:rPr>
                <w:spacing w:val="-3"/>
                <w:sz w:val="20"/>
              </w:rPr>
              <w:t> </w:t>
            </w:r>
            <w:r>
              <w:rPr>
                <w:sz w:val="20"/>
              </w:rPr>
              <w:t>a</w:t>
            </w:r>
            <w:r>
              <w:rPr>
                <w:spacing w:val="-3"/>
                <w:sz w:val="20"/>
              </w:rPr>
              <w:t> </w:t>
            </w:r>
            <w:r>
              <w:rPr>
                <w:spacing w:val="-5"/>
                <w:sz w:val="20"/>
              </w:rPr>
              <w:t>12%</w:t>
            </w:r>
          </w:p>
        </w:tc>
      </w:tr>
      <w:tr>
        <w:trPr>
          <w:trHeight w:val="229" w:hRule="atLeast"/>
        </w:trPr>
        <w:tc>
          <w:tcPr>
            <w:tcW w:w="1032" w:type="dxa"/>
          </w:tcPr>
          <w:p>
            <w:pPr>
              <w:pStyle w:val="TableParagraph"/>
              <w:ind w:left="9"/>
              <w:rPr>
                <w:sz w:val="20"/>
              </w:rPr>
            </w:pPr>
            <w:r>
              <w:rPr>
                <w:spacing w:val="-5"/>
                <w:sz w:val="20"/>
              </w:rPr>
              <w:t>125</w:t>
            </w:r>
          </w:p>
        </w:tc>
        <w:tc>
          <w:tcPr>
            <w:tcW w:w="7060" w:type="dxa"/>
          </w:tcPr>
          <w:p>
            <w:pPr>
              <w:pStyle w:val="TableParagraph"/>
              <w:jc w:val="left"/>
              <w:rPr>
                <w:sz w:val="20"/>
              </w:rPr>
            </w:pPr>
            <w:r>
              <w:rPr>
                <w:sz w:val="20"/>
              </w:rPr>
              <w:t>De</w:t>
            </w:r>
            <w:r>
              <w:rPr>
                <w:spacing w:val="-7"/>
                <w:sz w:val="20"/>
              </w:rPr>
              <w:t> </w:t>
            </w:r>
            <w:r>
              <w:rPr>
                <w:sz w:val="20"/>
              </w:rPr>
              <w:t>todas</w:t>
            </w:r>
            <w:r>
              <w:rPr>
                <w:spacing w:val="-5"/>
                <w:sz w:val="20"/>
              </w:rPr>
              <w:t> </w:t>
            </w:r>
            <w:r>
              <w:rPr>
                <w:sz w:val="20"/>
              </w:rPr>
              <w:t>las</w:t>
            </w:r>
            <w:r>
              <w:rPr>
                <w:spacing w:val="-6"/>
                <w:sz w:val="20"/>
              </w:rPr>
              <w:t> </w:t>
            </w:r>
            <w:r>
              <w:rPr>
                <w:sz w:val="20"/>
              </w:rPr>
              <w:t>articulaciones</w:t>
            </w:r>
            <w:r>
              <w:rPr>
                <w:spacing w:val="-4"/>
                <w:sz w:val="20"/>
              </w:rPr>
              <w:t> </w:t>
            </w:r>
            <w:r>
              <w:rPr>
                <w:sz w:val="20"/>
              </w:rPr>
              <w:t>de</w:t>
            </w:r>
            <w:r>
              <w:rPr>
                <w:spacing w:val="-7"/>
                <w:sz w:val="20"/>
              </w:rPr>
              <w:t> </w:t>
            </w:r>
            <w:r>
              <w:rPr>
                <w:sz w:val="20"/>
              </w:rPr>
              <w:t>todos</w:t>
            </w:r>
            <w:r>
              <w:rPr>
                <w:spacing w:val="-6"/>
                <w:sz w:val="20"/>
              </w:rPr>
              <w:t> </w:t>
            </w:r>
            <w:r>
              <w:rPr>
                <w:sz w:val="20"/>
              </w:rPr>
              <w:t>los</w:t>
            </w:r>
            <w:r>
              <w:rPr>
                <w:spacing w:val="-5"/>
                <w:sz w:val="20"/>
              </w:rPr>
              <w:t> </w:t>
            </w:r>
            <w:r>
              <w:rPr>
                <w:sz w:val="20"/>
              </w:rPr>
              <w:t>dedos</w:t>
            </w:r>
            <w:r>
              <w:rPr>
                <w:spacing w:val="-6"/>
                <w:sz w:val="20"/>
              </w:rPr>
              <w:t> </w:t>
            </w:r>
            <w:r>
              <w:rPr>
                <w:sz w:val="20"/>
              </w:rPr>
              <w:t>de</w:t>
            </w:r>
            <w:r>
              <w:rPr>
                <w:spacing w:val="-4"/>
                <w:sz w:val="20"/>
              </w:rPr>
              <w:t> </w:t>
            </w:r>
            <w:r>
              <w:rPr>
                <w:sz w:val="20"/>
              </w:rPr>
              <w:t>la</w:t>
            </w:r>
            <w:r>
              <w:rPr>
                <w:spacing w:val="-7"/>
                <w:sz w:val="20"/>
              </w:rPr>
              <w:t> </w:t>
            </w:r>
            <w:r>
              <w:rPr>
                <w:spacing w:val="-4"/>
                <w:sz w:val="20"/>
              </w:rPr>
              <w:t>mano.</w:t>
            </w:r>
          </w:p>
        </w:tc>
        <w:tc>
          <w:tcPr>
            <w:tcW w:w="1457" w:type="dxa"/>
          </w:tcPr>
          <w:p>
            <w:pPr>
              <w:pStyle w:val="TableParagraph"/>
              <w:ind w:left="11" w:right="3"/>
              <w:rPr>
                <w:sz w:val="20"/>
              </w:rPr>
            </w:pPr>
            <w:r>
              <w:rPr>
                <w:sz w:val="20"/>
              </w:rPr>
              <w:t>65</w:t>
            </w:r>
            <w:r>
              <w:rPr>
                <w:spacing w:val="-3"/>
                <w:sz w:val="20"/>
              </w:rPr>
              <w:t> </w:t>
            </w:r>
            <w:r>
              <w:rPr>
                <w:sz w:val="20"/>
              </w:rPr>
              <w:t>a</w:t>
            </w:r>
            <w:r>
              <w:rPr>
                <w:spacing w:val="-1"/>
                <w:sz w:val="20"/>
              </w:rPr>
              <w:t> </w:t>
            </w:r>
            <w:r>
              <w:rPr>
                <w:spacing w:val="-5"/>
                <w:sz w:val="20"/>
              </w:rPr>
              <w:t>75%</w:t>
            </w:r>
          </w:p>
        </w:tc>
      </w:tr>
      <w:tr>
        <w:trPr>
          <w:trHeight w:val="229" w:hRule="atLeast"/>
        </w:trPr>
        <w:tc>
          <w:tcPr>
            <w:tcW w:w="1032" w:type="dxa"/>
          </w:tcPr>
          <w:p>
            <w:pPr>
              <w:pStyle w:val="TableParagraph"/>
              <w:ind w:left="9"/>
              <w:rPr>
                <w:sz w:val="20"/>
              </w:rPr>
            </w:pPr>
            <w:r>
              <w:rPr>
                <w:spacing w:val="-5"/>
                <w:sz w:val="20"/>
              </w:rPr>
              <w:t>126</w:t>
            </w:r>
          </w:p>
        </w:tc>
        <w:tc>
          <w:tcPr>
            <w:tcW w:w="7060" w:type="dxa"/>
          </w:tcPr>
          <w:p>
            <w:pPr>
              <w:pStyle w:val="TableParagraph"/>
              <w:jc w:val="left"/>
              <w:rPr>
                <w:sz w:val="20"/>
              </w:rPr>
            </w:pPr>
            <w:r>
              <w:rPr>
                <w:sz w:val="20"/>
              </w:rPr>
              <w:t>De</w:t>
            </w:r>
            <w:r>
              <w:rPr>
                <w:spacing w:val="-7"/>
                <w:sz w:val="20"/>
              </w:rPr>
              <w:t> </w:t>
            </w:r>
            <w:r>
              <w:rPr>
                <w:sz w:val="20"/>
              </w:rPr>
              <w:t>cuatro</w:t>
            </w:r>
            <w:r>
              <w:rPr>
                <w:spacing w:val="-4"/>
                <w:sz w:val="20"/>
              </w:rPr>
              <w:t> </w:t>
            </w:r>
            <w:r>
              <w:rPr>
                <w:sz w:val="20"/>
              </w:rPr>
              <w:t>dedos</w:t>
            </w:r>
            <w:r>
              <w:rPr>
                <w:spacing w:val="-6"/>
                <w:sz w:val="20"/>
              </w:rPr>
              <w:t> </w:t>
            </w:r>
            <w:r>
              <w:rPr>
                <w:sz w:val="20"/>
              </w:rPr>
              <w:t>de</w:t>
            </w:r>
            <w:r>
              <w:rPr>
                <w:spacing w:val="-4"/>
                <w:sz w:val="20"/>
              </w:rPr>
              <w:t> </w:t>
            </w:r>
            <w:r>
              <w:rPr>
                <w:sz w:val="20"/>
              </w:rPr>
              <w:t>la</w:t>
            </w:r>
            <w:r>
              <w:rPr>
                <w:spacing w:val="-5"/>
                <w:sz w:val="20"/>
              </w:rPr>
              <w:t> </w:t>
            </w:r>
            <w:r>
              <w:rPr>
                <w:sz w:val="20"/>
              </w:rPr>
              <w:t>mano</w:t>
            </w:r>
            <w:r>
              <w:rPr>
                <w:spacing w:val="-6"/>
                <w:sz w:val="20"/>
              </w:rPr>
              <w:t> </w:t>
            </w:r>
            <w:r>
              <w:rPr>
                <w:sz w:val="20"/>
              </w:rPr>
              <w:t>excluyendo</w:t>
            </w:r>
            <w:r>
              <w:rPr>
                <w:spacing w:val="-5"/>
                <w:sz w:val="20"/>
              </w:rPr>
              <w:t> </w:t>
            </w:r>
            <w:r>
              <w:rPr>
                <w:sz w:val="20"/>
              </w:rPr>
              <w:t>el</w:t>
            </w:r>
            <w:r>
              <w:rPr>
                <w:spacing w:val="-6"/>
                <w:sz w:val="20"/>
              </w:rPr>
              <w:t> </w:t>
            </w:r>
            <w:r>
              <w:rPr>
                <w:spacing w:val="-2"/>
                <w:sz w:val="20"/>
              </w:rPr>
              <w:t>pulgar.</w:t>
            </w:r>
          </w:p>
        </w:tc>
        <w:tc>
          <w:tcPr>
            <w:tcW w:w="1457" w:type="dxa"/>
          </w:tcPr>
          <w:p>
            <w:pPr>
              <w:pStyle w:val="TableParagraph"/>
              <w:ind w:left="11" w:right="3"/>
              <w:rPr>
                <w:sz w:val="20"/>
              </w:rPr>
            </w:pPr>
            <w:r>
              <w:rPr>
                <w:sz w:val="20"/>
              </w:rPr>
              <w:t>45</w:t>
            </w:r>
            <w:r>
              <w:rPr>
                <w:spacing w:val="-3"/>
                <w:sz w:val="20"/>
              </w:rPr>
              <w:t> </w:t>
            </w:r>
            <w:r>
              <w:rPr>
                <w:sz w:val="20"/>
              </w:rPr>
              <w:t>a</w:t>
            </w:r>
            <w:r>
              <w:rPr>
                <w:spacing w:val="-1"/>
                <w:sz w:val="20"/>
              </w:rPr>
              <w:t> </w:t>
            </w:r>
            <w:r>
              <w:rPr>
                <w:spacing w:val="-5"/>
                <w:sz w:val="20"/>
              </w:rPr>
              <w:t>50%</w:t>
            </w:r>
          </w:p>
        </w:tc>
      </w:tr>
    </w:tbl>
    <w:p>
      <w:pPr>
        <w:pStyle w:val="BodyText"/>
        <w:spacing w:before="1"/>
        <w:rPr>
          <w:rFonts w:ascii="Arial"/>
          <w:b/>
        </w:rPr>
      </w:pPr>
    </w:p>
    <w:p>
      <w:pPr>
        <w:spacing w:before="0"/>
        <w:ind w:left="294" w:right="296" w:firstLine="0"/>
        <w:jc w:val="center"/>
        <w:rPr>
          <w:rFonts w:ascii="Arial" w:hAnsi="Arial"/>
          <w:b/>
          <w:sz w:val="20"/>
        </w:rPr>
      </w:pPr>
      <w:r>
        <w:rPr>
          <w:rFonts w:ascii="Arial" w:hAnsi="Arial"/>
          <w:b/>
          <w:sz w:val="20"/>
        </w:rPr>
        <w:t>Extensión</w:t>
      </w:r>
      <w:r>
        <w:rPr>
          <w:rFonts w:ascii="Arial" w:hAnsi="Arial"/>
          <w:b/>
          <w:spacing w:val="-9"/>
          <w:sz w:val="20"/>
        </w:rPr>
        <w:t> </w:t>
      </w:r>
      <w:r>
        <w:rPr>
          <w:rFonts w:ascii="Arial" w:hAnsi="Arial"/>
          <w:b/>
          <w:sz w:val="20"/>
        </w:rPr>
        <w:t>permanente</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uno</w:t>
      </w:r>
      <w:r>
        <w:rPr>
          <w:rFonts w:ascii="Arial" w:hAnsi="Arial"/>
          <w:b/>
          <w:spacing w:val="-6"/>
          <w:sz w:val="20"/>
        </w:rPr>
        <w:t> </w:t>
      </w:r>
      <w:r>
        <w:rPr>
          <w:rFonts w:ascii="Arial" w:hAnsi="Arial"/>
          <w:b/>
          <w:sz w:val="20"/>
        </w:rPr>
        <w:t>o</w:t>
      </w:r>
      <w:r>
        <w:rPr>
          <w:rFonts w:ascii="Arial" w:hAnsi="Arial"/>
          <w:b/>
          <w:spacing w:val="-7"/>
          <w:sz w:val="20"/>
        </w:rPr>
        <w:t> </w:t>
      </w:r>
      <w:r>
        <w:rPr>
          <w:rFonts w:ascii="Arial" w:hAnsi="Arial"/>
          <w:b/>
          <w:sz w:val="20"/>
        </w:rPr>
        <w:t>varios</w:t>
      </w:r>
      <w:r>
        <w:rPr>
          <w:rFonts w:ascii="Arial" w:hAnsi="Arial"/>
          <w:b/>
          <w:spacing w:val="-6"/>
          <w:sz w:val="20"/>
        </w:rPr>
        <w:t> </w:t>
      </w:r>
      <w:r>
        <w:rPr>
          <w:rFonts w:ascii="Arial" w:hAnsi="Arial"/>
          <w:b/>
          <w:spacing w:val="-2"/>
          <w:sz w:val="20"/>
        </w:rPr>
        <w:t>dedos</w:t>
      </w:r>
    </w:p>
    <w:p>
      <w:pPr>
        <w:pStyle w:val="BodyText"/>
        <w:spacing w:before="3"/>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2"/>
        <w:gridCol w:w="7060"/>
        <w:gridCol w:w="1457"/>
      </w:tblGrid>
      <w:tr>
        <w:trPr>
          <w:trHeight w:val="229" w:hRule="atLeast"/>
        </w:trPr>
        <w:tc>
          <w:tcPr>
            <w:tcW w:w="1032" w:type="dxa"/>
          </w:tcPr>
          <w:p>
            <w:pPr>
              <w:pStyle w:val="TableParagraph"/>
              <w:ind w:left="9"/>
              <w:rPr>
                <w:sz w:val="20"/>
              </w:rPr>
            </w:pPr>
            <w:r>
              <w:rPr>
                <w:spacing w:val="-5"/>
                <w:sz w:val="20"/>
              </w:rPr>
              <w:t>127</w:t>
            </w:r>
          </w:p>
        </w:tc>
        <w:tc>
          <w:tcPr>
            <w:tcW w:w="7060" w:type="dxa"/>
          </w:tcPr>
          <w:p>
            <w:pPr>
              <w:pStyle w:val="TableParagraph"/>
              <w:jc w:val="left"/>
              <w:rPr>
                <w:sz w:val="20"/>
              </w:rPr>
            </w:pPr>
            <w:r>
              <w:rPr>
                <w:sz w:val="20"/>
              </w:rPr>
              <w:t>De</w:t>
            </w:r>
            <w:r>
              <w:rPr>
                <w:spacing w:val="-7"/>
                <w:sz w:val="20"/>
              </w:rPr>
              <w:t> </w:t>
            </w:r>
            <w:r>
              <w:rPr>
                <w:sz w:val="20"/>
              </w:rPr>
              <w:t>las</w:t>
            </w:r>
            <w:r>
              <w:rPr>
                <w:spacing w:val="-6"/>
                <w:sz w:val="20"/>
              </w:rPr>
              <w:t> </w:t>
            </w:r>
            <w:r>
              <w:rPr>
                <w:sz w:val="20"/>
              </w:rPr>
              <w:t>dos</w:t>
            </w:r>
            <w:r>
              <w:rPr>
                <w:spacing w:val="-6"/>
                <w:sz w:val="20"/>
              </w:rPr>
              <w:t> </w:t>
            </w:r>
            <w:r>
              <w:rPr>
                <w:sz w:val="20"/>
              </w:rPr>
              <w:t>articulaciones</w:t>
            </w:r>
            <w:r>
              <w:rPr>
                <w:spacing w:val="-5"/>
                <w:sz w:val="20"/>
              </w:rPr>
              <w:t> </w:t>
            </w:r>
            <w:r>
              <w:rPr>
                <w:sz w:val="20"/>
              </w:rPr>
              <w:t>del</w:t>
            </w:r>
            <w:r>
              <w:rPr>
                <w:spacing w:val="-8"/>
                <w:sz w:val="20"/>
              </w:rPr>
              <w:t> </w:t>
            </w:r>
            <w:r>
              <w:rPr>
                <w:spacing w:val="-2"/>
                <w:sz w:val="20"/>
              </w:rPr>
              <w:t>pulgar.</w:t>
            </w:r>
          </w:p>
        </w:tc>
        <w:tc>
          <w:tcPr>
            <w:tcW w:w="1457" w:type="dxa"/>
          </w:tcPr>
          <w:p>
            <w:pPr>
              <w:pStyle w:val="TableParagraph"/>
              <w:ind w:left="11" w:right="3"/>
              <w:rPr>
                <w:sz w:val="20"/>
              </w:rPr>
            </w:pPr>
            <w:r>
              <w:rPr>
                <w:sz w:val="20"/>
              </w:rPr>
              <w:t>18</w:t>
            </w:r>
            <w:r>
              <w:rPr>
                <w:spacing w:val="-3"/>
                <w:sz w:val="20"/>
              </w:rPr>
              <w:t> </w:t>
            </w:r>
            <w:r>
              <w:rPr>
                <w:sz w:val="20"/>
              </w:rPr>
              <w:t>a</w:t>
            </w:r>
            <w:r>
              <w:rPr>
                <w:spacing w:val="-1"/>
                <w:sz w:val="20"/>
              </w:rPr>
              <w:t> </w:t>
            </w:r>
            <w:r>
              <w:rPr>
                <w:spacing w:val="-5"/>
                <w:sz w:val="20"/>
              </w:rPr>
              <w:t>22%</w:t>
            </w:r>
          </w:p>
        </w:tc>
      </w:tr>
      <w:tr>
        <w:trPr>
          <w:trHeight w:val="229" w:hRule="atLeast"/>
        </w:trPr>
        <w:tc>
          <w:tcPr>
            <w:tcW w:w="1032" w:type="dxa"/>
          </w:tcPr>
          <w:p>
            <w:pPr>
              <w:pStyle w:val="TableParagraph"/>
              <w:ind w:left="9"/>
              <w:rPr>
                <w:sz w:val="20"/>
              </w:rPr>
            </w:pPr>
            <w:r>
              <w:rPr>
                <w:spacing w:val="-5"/>
                <w:sz w:val="20"/>
              </w:rPr>
              <w:t>128</w:t>
            </w:r>
          </w:p>
        </w:tc>
        <w:tc>
          <w:tcPr>
            <w:tcW w:w="7060" w:type="dxa"/>
          </w:tcPr>
          <w:p>
            <w:pPr>
              <w:pStyle w:val="TableParagraph"/>
              <w:jc w:val="left"/>
              <w:rPr>
                <w:sz w:val="20"/>
              </w:rPr>
            </w:pPr>
            <w:r>
              <w:rPr>
                <w:sz w:val="20"/>
              </w:rPr>
              <w:t>De</w:t>
            </w:r>
            <w:r>
              <w:rPr>
                <w:spacing w:val="-7"/>
                <w:sz w:val="20"/>
              </w:rPr>
              <w:t> </w:t>
            </w:r>
            <w:r>
              <w:rPr>
                <w:sz w:val="20"/>
              </w:rPr>
              <w:t>las</w:t>
            </w:r>
            <w:r>
              <w:rPr>
                <w:spacing w:val="-6"/>
                <w:sz w:val="20"/>
              </w:rPr>
              <w:t> </w:t>
            </w:r>
            <w:r>
              <w:rPr>
                <w:sz w:val="20"/>
              </w:rPr>
              <w:t>tres</w:t>
            </w:r>
            <w:r>
              <w:rPr>
                <w:spacing w:val="-5"/>
                <w:sz w:val="20"/>
              </w:rPr>
              <w:t> </w:t>
            </w:r>
            <w:r>
              <w:rPr>
                <w:sz w:val="20"/>
              </w:rPr>
              <w:t>articulaciones</w:t>
            </w:r>
            <w:r>
              <w:rPr>
                <w:spacing w:val="-4"/>
                <w:sz w:val="20"/>
              </w:rPr>
              <w:t> </w:t>
            </w:r>
            <w:r>
              <w:rPr>
                <w:sz w:val="20"/>
              </w:rPr>
              <w:t>del</w:t>
            </w:r>
            <w:r>
              <w:rPr>
                <w:spacing w:val="-8"/>
                <w:sz w:val="20"/>
              </w:rPr>
              <w:t> </w:t>
            </w:r>
            <w:r>
              <w:rPr>
                <w:spacing w:val="-2"/>
                <w:sz w:val="20"/>
              </w:rPr>
              <w:t>índice.</w:t>
            </w:r>
          </w:p>
        </w:tc>
        <w:tc>
          <w:tcPr>
            <w:tcW w:w="1457" w:type="dxa"/>
          </w:tcPr>
          <w:p>
            <w:pPr>
              <w:pStyle w:val="TableParagraph"/>
              <w:ind w:left="11" w:right="3"/>
              <w:rPr>
                <w:sz w:val="20"/>
              </w:rPr>
            </w:pPr>
            <w:r>
              <w:rPr>
                <w:sz w:val="20"/>
              </w:rPr>
              <w:t>10</w:t>
            </w:r>
            <w:r>
              <w:rPr>
                <w:spacing w:val="-3"/>
                <w:sz w:val="20"/>
              </w:rPr>
              <w:t> </w:t>
            </w:r>
            <w:r>
              <w:rPr>
                <w:sz w:val="20"/>
              </w:rPr>
              <w:t>a</w:t>
            </w:r>
            <w:r>
              <w:rPr>
                <w:spacing w:val="-1"/>
                <w:sz w:val="20"/>
              </w:rPr>
              <w:t> </w:t>
            </w:r>
            <w:r>
              <w:rPr>
                <w:spacing w:val="-5"/>
                <w:sz w:val="20"/>
              </w:rPr>
              <w:t>15%</w:t>
            </w:r>
          </w:p>
        </w:tc>
      </w:tr>
      <w:tr>
        <w:trPr>
          <w:trHeight w:val="229" w:hRule="atLeast"/>
        </w:trPr>
        <w:tc>
          <w:tcPr>
            <w:tcW w:w="1032" w:type="dxa"/>
          </w:tcPr>
          <w:p>
            <w:pPr>
              <w:pStyle w:val="TableParagraph"/>
              <w:ind w:left="9"/>
              <w:rPr>
                <w:sz w:val="20"/>
              </w:rPr>
            </w:pPr>
            <w:r>
              <w:rPr>
                <w:spacing w:val="-5"/>
                <w:sz w:val="20"/>
              </w:rPr>
              <w:t>129</w:t>
            </w:r>
          </w:p>
        </w:tc>
        <w:tc>
          <w:tcPr>
            <w:tcW w:w="7060" w:type="dxa"/>
          </w:tcPr>
          <w:p>
            <w:pPr>
              <w:pStyle w:val="TableParagraph"/>
              <w:jc w:val="left"/>
              <w:rPr>
                <w:sz w:val="20"/>
              </w:rPr>
            </w:pPr>
            <w:r>
              <w:rPr>
                <w:sz w:val="20"/>
              </w:rPr>
              <w:t>De</w:t>
            </w:r>
            <w:r>
              <w:rPr>
                <w:spacing w:val="-7"/>
                <w:sz w:val="20"/>
              </w:rPr>
              <w:t> </w:t>
            </w:r>
            <w:r>
              <w:rPr>
                <w:sz w:val="20"/>
              </w:rPr>
              <w:t>las</w:t>
            </w:r>
            <w:r>
              <w:rPr>
                <w:spacing w:val="-6"/>
                <w:sz w:val="20"/>
              </w:rPr>
              <w:t> </w:t>
            </w:r>
            <w:r>
              <w:rPr>
                <w:sz w:val="20"/>
              </w:rPr>
              <w:t>tres</w:t>
            </w:r>
            <w:r>
              <w:rPr>
                <w:spacing w:val="-5"/>
                <w:sz w:val="20"/>
              </w:rPr>
              <w:t> </w:t>
            </w:r>
            <w:r>
              <w:rPr>
                <w:sz w:val="20"/>
              </w:rPr>
              <w:t>articulaciones</w:t>
            </w:r>
            <w:r>
              <w:rPr>
                <w:spacing w:val="-4"/>
                <w:sz w:val="20"/>
              </w:rPr>
              <w:t> </w:t>
            </w:r>
            <w:r>
              <w:rPr>
                <w:sz w:val="20"/>
              </w:rPr>
              <w:t>del</w:t>
            </w:r>
            <w:r>
              <w:rPr>
                <w:spacing w:val="-8"/>
                <w:sz w:val="20"/>
              </w:rPr>
              <w:t> </w:t>
            </w:r>
            <w:r>
              <w:rPr>
                <w:spacing w:val="-2"/>
                <w:sz w:val="20"/>
              </w:rPr>
              <w:t>medio.</w:t>
            </w:r>
          </w:p>
        </w:tc>
        <w:tc>
          <w:tcPr>
            <w:tcW w:w="1457" w:type="dxa"/>
          </w:tcPr>
          <w:p>
            <w:pPr>
              <w:pStyle w:val="TableParagraph"/>
              <w:ind w:left="11" w:right="3"/>
              <w:rPr>
                <w:sz w:val="20"/>
              </w:rPr>
            </w:pPr>
            <w:r>
              <w:rPr>
                <w:sz w:val="20"/>
              </w:rPr>
              <w:t>8</w:t>
            </w:r>
            <w:r>
              <w:rPr>
                <w:spacing w:val="-3"/>
                <w:sz w:val="20"/>
              </w:rPr>
              <w:t> </w:t>
            </w:r>
            <w:r>
              <w:rPr>
                <w:sz w:val="20"/>
              </w:rPr>
              <w:t>a</w:t>
            </w:r>
            <w:r>
              <w:rPr>
                <w:spacing w:val="-3"/>
                <w:sz w:val="20"/>
              </w:rPr>
              <w:t> </w:t>
            </w:r>
            <w:r>
              <w:rPr>
                <w:spacing w:val="-5"/>
                <w:sz w:val="20"/>
              </w:rPr>
              <w:t>12%</w:t>
            </w:r>
          </w:p>
        </w:tc>
      </w:tr>
      <w:tr>
        <w:trPr>
          <w:trHeight w:val="229" w:hRule="atLeast"/>
        </w:trPr>
        <w:tc>
          <w:tcPr>
            <w:tcW w:w="1032" w:type="dxa"/>
          </w:tcPr>
          <w:p>
            <w:pPr>
              <w:pStyle w:val="TableParagraph"/>
              <w:ind w:left="9"/>
              <w:rPr>
                <w:sz w:val="20"/>
              </w:rPr>
            </w:pPr>
            <w:r>
              <w:rPr>
                <w:spacing w:val="-5"/>
                <w:sz w:val="20"/>
              </w:rPr>
              <w:t>130</w:t>
            </w:r>
          </w:p>
        </w:tc>
        <w:tc>
          <w:tcPr>
            <w:tcW w:w="7060" w:type="dxa"/>
          </w:tcPr>
          <w:p>
            <w:pPr>
              <w:pStyle w:val="TableParagraph"/>
              <w:jc w:val="left"/>
              <w:rPr>
                <w:sz w:val="20"/>
              </w:rPr>
            </w:pPr>
            <w:r>
              <w:rPr>
                <w:sz w:val="20"/>
              </w:rPr>
              <w:t>De</w:t>
            </w:r>
            <w:r>
              <w:rPr>
                <w:spacing w:val="-7"/>
                <w:sz w:val="20"/>
              </w:rPr>
              <w:t> </w:t>
            </w:r>
            <w:r>
              <w:rPr>
                <w:sz w:val="20"/>
              </w:rPr>
              <w:t>las</w:t>
            </w:r>
            <w:r>
              <w:rPr>
                <w:spacing w:val="-5"/>
                <w:sz w:val="20"/>
              </w:rPr>
              <w:t> </w:t>
            </w:r>
            <w:r>
              <w:rPr>
                <w:sz w:val="20"/>
              </w:rPr>
              <w:t>tres</w:t>
            </w:r>
            <w:r>
              <w:rPr>
                <w:spacing w:val="-4"/>
                <w:sz w:val="20"/>
              </w:rPr>
              <w:t> </w:t>
            </w:r>
            <w:r>
              <w:rPr>
                <w:sz w:val="20"/>
              </w:rPr>
              <w:t>articulaciones</w:t>
            </w:r>
            <w:r>
              <w:rPr>
                <w:spacing w:val="-4"/>
                <w:sz w:val="20"/>
              </w:rPr>
              <w:t> </w:t>
            </w:r>
            <w:r>
              <w:rPr>
                <w:sz w:val="20"/>
              </w:rPr>
              <w:t>del</w:t>
            </w:r>
            <w:r>
              <w:rPr>
                <w:spacing w:val="-7"/>
                <w:sz w:val="20"/>
              </w:rPr>
              <w:t> </w:t>
            </w:r>
            <w:r>
              <w:rPr>
                <w:sz w:val="20"/>
              </w:rPr>
              <w:t>anular</w:t>
            </w:r>
            <w:r>
              <w:rPr>
                <w:spacing w:val="-6"/>
                <w:sz w:val="20"/>
              </w:rPr>
              <w:t> </w:t>
            </w:r>
            <w:r>
              <w:rPr>
                <w:sz w:val="20"/>
              </w:rPr>
              <w:t>o</w:t>
            </w:r>
            <w:r>
              <w:rPr>
                <w:spacing w:val="-7"/>
                <w:sz w:val="20"/>
              </w:rPr>
              <w:t> </w:t>
            </w:r>
            <w:r>
              <w:rPr>
                <w:spacing w:val="-2"/>
                <w:sz w:val="20"/>
              </w:rPr>
              <w:t>meñique.</w:t>
            </w:r>
          </w:p>
        </w:tc>
        <w:tc>
          <w:tcPr>
            <w:tcW w:w="1457" w:type="dxa"/>
          </w:tcPr>
          <w:p>
            <w:pPr>
              <w:pStyle w:val="TableParagraph"/>
              <w:ind w:left="11" w:right="3"/>
              <w:rPr>
                <w:sz w:val="20"/>
              </w:rPr>
            </w:pPr>
            <w:r>
              <w:rPr>
                <w:sz w:val="20"/>
              </w:rPr>
              <w:t>8</w:t>
            </w:r>
            <w:r>
              <w:rPr>
                <w:spacing w:val="-3"/>
                <w:sz w:val="20"/>
              </w:rPr>
              <w:t> </w:t>
            </w:r>
            <w:r>
              <w:rPr>
                <w:sz w:val="20"/>
              </w:rPr>
              <w:t>a</w:t>
            </w:r>
            <w:r>
              <w:rPr>
                <w:spacing w:val="-3"/>
                <w:sz w:val="20"/>
              </w:rPr>
              <w:t> </w:t>
            </w:r>
            <w:r>
              <w:rPr>
                <w:spacing w:val="-5"/>
                <w:sz w:val="20"/>
              </w:rPr>
              <w:t>12%</w:t>
            </w:r>
          </w:p>
        </w:tc>
      </w:tr>
      <w:tr>
        <w:trPr>
          <w:trHeight w:val="460" w:hRule="atLeast"/>
        </w:trPr>
        <w:tc>
          <w:tcPr>
            <w:tcW w:w="1032" w:type="dxa"/>
          </w:tcPr>
          <w:p>
            <w:pPr>
              <w:pStyle w:val="TableParagraph"/>
              <w:spacing w:line="240" w:lineRule="auto" w:before="114"/>
              <w:ind w:left="9"/>
              <w:rPr>
                <w:sz w:val="20"/>
              </w:rPr>
            </w:pPr>
            <w:r>
              <w:rPr>
                <w:spacing w:val="-5"/>
                <w:sz w:val="20"/>
              </w:rPr>
              <w:t>131</w:t>
            </w:r>
          </w:p>
        </w:tc>
        <w:tc>
          <w:tcPr>
            <w:tcW w:w="7060" w:type="dxa"/>
          </w:tcPr>
          <w:p>
            <w:pPr>
              <w:pStyle w:val="TableParagraph"/>
              <w:spacing w:line="230" w:lineRule="exact"/>
              <w:jc w:val="left"/>
              <w:rPr>
                <w:sz w:val="20"/>
              </w:rPr>
            </w:pPr>
            <w:r>
              <w:rPr>
                <w:sz w:val="20"/>
              </w:rPr>
              <w:t>Extensión permanente de todas las articulaciones de todos los dedos de la</w:t>
            </w:r>
            <w:r>
              <w:rPr>
                <w:spacing w:val="40"/>
                <w:sz w:val="20"/>
              </w:rPr>
              <w:t> </w:t>
            </w:r>
            <w:r>
              <w:rPr>
                <w:spacing w:val="-4"/>
                <w:sz w:val="20"/>
              </w:rPr>
              <w:t>mano.</w:t>
            </w:r>
          </w:p>
        </w:tc>
        <w:tc>
          <w:tcPr>
            <w:tcW w:w="1457" w:type="dxa"/>
          </w:tcPr>
          <w:p>
            <w:pPr>
              <w:pStyle w:val="TableParagraph"/>
              <w:spacing w:line="240" w:lineRule="auto" w:before="114"/>
              <w:ind w:left="11" w:right="3"/>
              <w:rPr>
                <w:sz w:val="20"/>
              </w:rPr>
            </w:pPr>
            <w:r>
              <w:rPr>
                <w:sz w:val="20"/>
              </w:rPr>
              <w:t>65</w:t>
            </w:r>
            <w:r>
              <w:rPr>
                <w:spacing w:val="-3"/>
                <w:sz w:val="20"/>
              </w:rPr>
              <w:t> </w:t>
            </w:r>
            <w:r>
              <w:rPr>
                <w:sz w:val="20"/>
              </w:rPr>
              <w:t>a</w:t>
            </w:r>
            <w:r>
              <w:rPr>
                <w:spacing w:val="-1"/>
                <w:sz w:val="20"/>
              </w:rPr>
              <w:t> </w:t>
            </w:r>
            <w:r>
              <w:rPr>
                <w:spacing w:val="-5"/>
                <w:sz w:val="20"/>
              </w:rPr>
              <w:t>75%</w:t>
            </w:r>
          </w:p>
        </w:tc>
      </w:tr>
      <w:tr>
        <w:trPr>
          <w:trHeight w:val="229" w:hRule="atLeast"/>
        </w:trPr>
        <w:tc>
          <w:tcPr>
            <w:tcW w:w="1032" w:type="dxa"/>
          </w:tcPr>
          <w:p>
            <w:pPr>
              <w:pStyle w:val="TableParagraph"/>
              <w:ind w:left="9"/>
              <w:rPr>
                <w:sz w:val="20"/>
              </w:rPr>
            </w:pPr>
            <w:r>
              <w:rPr>
                <w:spacing w:val="-5"/>
                <w:sz w:val="20"/>
              </w:rPr>
              <w:t>132</w:t>
            </w:r>
          </w:p>
        </w:tc>
        <w:tc>
          <w:tcPr>
            <w:tcW w:w="7060" w:type="dxa"/>
          </w:tcPr>
          <w:p>
            <w:pPr>
              <w:pStyle w:val="TableParagraph"/>
              <w:jc w:val="left"/>
              <w:rPr>
                <w:sz w:val="20"/>
              </w:rPr>
            </w:pPr>
            <w:r>
              <w:rPr>
                <w:sz w:val="20"/>
              </w:rPr>
              <w:t>Extensión</w:t>
            </w:r>
            <w:r>
              <w:rPr>
                <w:spacing w:val="-8"/>
                <w:sz w:val="20"/>
              </w:rPr>
              <w:t> </w:t>
            </w:r>
            <w:r>
              <w:rPr>
                <w:sz w:val="20"/>
              </w:rPr>
              <w:t>permanente</w:t>
            </w:r>
            <w:r>
              <w:rPr>
                <w:spacing w:val="-7"/>
                <w:sz w:val="20"/>
              </w:rPr>
              <w:t> </w:t>
            </w:r>
            <w:r>
              <w:rPr>
                <w:sz w:val="20"/>
              </w:rPr>
              <w:t>de</w:t>
            </w:r>
            <w:r>
              <w:rPr>
                <w:spacing w:val="-7"/>
                <w:sz w:val="20"/>
              </w:rPr>
              <w:t> </w:t>
            </w:r>
            <w:r>
              <w:rPr>
                <w:sz w:val="20"/>
              </w:rPr>
              <w:t>cuatro</w:t>
            </w:r>
            <w:r>
              <w:rPr>
                <w:spacing w:val="-7"/>
                <w:sz w:val="20"/>
              </w:rPr>
              <w:t> </w:t>
            </w:r>
            <w:r>
              <w:rPr>
                <w:sz w:val="20"/>
              </w:rPr>
              <w:t>dedos</w:t>
            </w:r>
            <w:r>
              <w:rPr>
                <w:spacing w:val="-5"/>
                <w:sz w:val="20"/>
              </w:rPr>
              <w:t> </w:t>
            </w:r>
            <w:r>
              <w:rPr>
                <w:sz w:val="20"/>
              </w:rPr>
              <w:t>de</w:t>
            </w:r>
            <w:r>
              <w:rPr>
                <w:spacing w:val="-6"/>
                <w:sz w:val="20"/>
              </w:rPr>
              <w:t> </w:t>
            </w:r>
            <w:r>
              <w:rPr>
                <w:sz w:val="20"/>
              </w:rPr>
              <w:t>la</w:t>
            </w:r>
            <w:r>
              <w:rPr>
                <w:spacing w:val="-7"/>
                <w:sz w:val="20"/>
              </w:rPr>
              <w:t> </w:t>
            </w:r>
            <w:r>
              <w:rPr>
                <w:sz w:val="20"/>
              </w:rPr>
              <w:t>mano,</w:t>
            </w:r>
            <w:r>
              <w:rPr>
                <w:spacing w:val="-6"/>
                <w:sz w:val="20"/>
              </w:rPr>
              <w:t> </w:t>
            </w:r>
            <w:r>
              <w:rPr>
                <w:sz w:val="20"/>
              </w:rPr>
              <w:t>excluyendo</w:t>
            </w:r>
            <w:r>
              <w:rPr>
                <w:spacing w:val="-7"/>
                <w:sz w:val="20"/>
              </w:rPr>
              <w:t> </w:t>
            </w:r>
            <w:r>
              <w:rPr>
                <w:sz w:val="20"/>
              </w:rPr>
              <w:t>el</w:t>
            </w:r>
            <w:r>
              <w:rPr>
                <w:spacing w:val="-7"/>
                <w:sz w:val="20"/>
              </w:rPr>
              <w:t> </w:t>
            </w:r>
            <w:r>
              <w:rPr>
                <w:spacing w:val="-2"/>
                <w:sz w:val="20"/>
              </w:rPr>
              <w:t>pulgar.</w:t>
            </w:r>
          </w:p>
        </w:tc>
        <w:tc>
          <w:tcPr>
            <w:tcW w:w="1457" w:type="dxa"/>
          </w:tcPr>
          <w:p>
            <w:pPr>
              <w:pStyle w:val="TableParagraph"/>
              <w:ind w:left="11" w:right="1"/>
              <w:rPr>
                <w:sz w:val="20"/>
              </w:rPr>
            </w:pPr>
            <w:r>
              <w:rPr>
                <w:spacing w:val="-5"/>
                <w:sz w:val="20"/>
              </w:rPr>
              <w:t>50%</w:t>
            </w:r>
          </w:p>
        </w:tc>
      </w:tr>
    </w:tbl>
    <w:p>
      <w:pPr>
        <w:pStyle w:val="BodyText"/>
        <w:spacing w:before="1"/>
        <w:rPr>
          <w:rFonts w:ascii="Arial"/>
          <w:b/>
        </w:rPr>
      </w:pPr>
    </w:p>
    <w:p>
      <w:pPr>
        <w:spacing w:before="0"/>
        <w:ind w:left="295" w:right="296" w:firstLine="0"/>
        <w:jc w:val="center"/>
        <w:rPr>
          <w:rFonts w:ascii="Arial"/>
          <w:b/>
          <w:sz w:val="20"/>
        </w:rPr>
      </w:pPr>
      <w:r>
        <w:rPr>
          <w:rFonts w:ascii="Arial"/>
          <w:b/>
          <w:sz w:val="20"/>
        </w:rPr>
        <w:t>Secuelas</w:t>
      </w:r>
      <w:r>
        <w:rPr>
          <w:rFonts w:ascii="Arial"/>
          <w:b/>
          <w:spacing w:val="-9"/>
          <w:sz w:val="20"/>
        </w:rPr>
        <w:t> </w:t>
      </w:r>
      <w:r>
        <w:rPr>
          <w:rFonts w:ascii="Arial"/>
          <w:b/>
          <w:sz w:val="20"/>
        </w:rPr>
        <w:t>de</w:t>
      </w:r>
      <w:r>
        <w:rPr>
          <w:rFonts w:ascii="Arial"/>
          <w:b/>
          <w:spacing w:val="-8"/>
          <w:sz w:val="20"/>
        </w:rPr>
        <w:t> </w:t>
      </w:r>
      <w:r>
        <w:rPr>
          <w:rFonts w:ascii="Arial"/>
          <w:b/>
          <w:spacing w:val="-2"/>
          <w:sz w:val="20"/>
        </w:rPr>
        <w:t>fracturas</w:t>
      </w:r>
    </w:p>
    <w:p>
      <w:pPr>
        <w:pStyle w:val="BodyText"/>
        <w:spacing w:before="4"/>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2"/>
        <w:gridCol w:w="7060"/>
        <w:gridCol w:w="1457"/>
      </w:tblGrid>
      <w:tr>
        <w:trPr>
          <w:trHeight w:val="229" w:hRule="atLeast"/>
        </w:trPr>
        <w:tc>
          <w:tcPr>
            <w:tcW w:w="1032" w:type="dxa"/>
          </w:tcPr>
          <w:p>
            <w:pPr>
              <w:pStyle w:val="TableParagraph"/>
              <w:ind w:left="9"/>
              <w:rPr>
                <w:sz w:val="20"/>
              </w:rPr>
            </w:pPr>
            <w:r>
              <w:rPr>
                <w:spacing w:val="-5"/>
                <w:sz w:val="20"/>
              </w:rPr>
              <w:t>133</w:t>
            </w:r>
          </w:p>
        </w:tc>
        <w:tc>
          <w:tcPr>
            <w:tcW w:w="7060" w:type="dxa"/>
          </w:tcPr>
          <w:p>
            <w:pPr>
              <w:pStyle w:val="TableParagraph"/>
              <w:jc w:val="left"/>
              <w:rPr>
                <w:sz w:val="20"/>
              </w:rPr>
            </w:pPr>
            <w:r>
              <w:rPr>
                <w:sz w:val="20"/>
              </w:rPr>
              <w:t>De</w:t>
            </w:r>
            <w:r>
              <w:rPr>
                <w:spacing w:val="-8"/>
                <w:sz w:val="20"/>
              </w:rPr>
              <w:t> </w:t>
            </w:r>
            <w:r>
              <w:rPr>
                <w:sz w:val="20"/>
              </w:rPr>
              <w:t>la</w:t>
            </w:r>
            <w:r>
              <w:rPr>
                <w:spacing w:val="-8"/>
                <w:sz w:val="20"/>
              </w:rPr>
              <w:t> </w:t>
            </w:r>
            <w:r>
              <w:rPr>
                <w:sz w:val="20"/>
              </w:rPr>
              <w:t>escápula,</w:t>
            </w:r>
            <w:r>
              <w:rPr>
                <w:spacing w:val="-6"/>
                <w:sz w:val="20"/>
              </w:rPr>
              <w:t> </w:t>
            </w:r>
            <w:r>
              <w:rPr>
                <w:sz w:val="20"/>
              </w:rPr>
              <w:t>cuando</w:t>
            </w:r>
            <w:r>
              <w:rPr>
                <w:spacing w:val="-7"/>
                <w:sz w:val="20"/>
              </w:rPr>
              <w:t> </w:t>
            </w:r>
            <w:r>
              <w:rPr>
                <w:sz w:val="20"/>
              </w:rPr>
              <w:t>produzca</w:t>
            </w:r>
            <w:r>
              <w:rPr>
                <w:spacing w:val="-6"/>
                <w:sz w:val="20"/>
              </w:rPr>
              <w:t> </w:t>
            </w:r>
            <w:r>
              <w:rPr>
                <w:sz w:val="20"/>
              </w:rPr>
              <w:t>rigidez</w:t>
            </w:r>
            <w:r>
              <w:rPr>
                <w:spacing w:val="-6"/>
                <w:sz w:val="20"/>
              </w:rPr>
              <w:t> </w:t>
            </w:r>
            <w:r>
              <w:rPr>
                <w:sz w:val="20"/>
              </w:rPr>
              <w:t>de</w:t>
            </w:r>
            <w:r>
              <w:rPr>
                <w:spacing w:val="-9"/>
                <w:sz w:val="20"/>
              </w:rPr>
              <w:t> </w:t>
            </w:r>
            <w:r>
              <w:rPr>
                <w:spacing w:val="-2"/>
                <w:sz w:val="20"/>
              </w:rPr>
              <w:t>hombro.</w:t>
            </w:r>
          </w:p>
        </w:tc>
        <w:tc>
          <w:tcPr>
            <w:tcW w:w="1457" w:type="dxa"/>
          </w:tcPr>
          <w:p>
            <w:pPr>
              <w:pStyle w:val="TableParagraph"/>
              <w:ind w:left="11" w:right="3"/>
              <w:rPr>
                <w:sz w:val="20"/>
              </w:rPr>
            </w:pPr>
            <w:r>
              <w:rPr>
                <w:sz w:val="20"/>
              </w:rPr>
              <w:t>10</w:t>
            </w:r>
            <w:r>
              <w:rPr>
                <w:spacing w:val="-3"/>
                <w:sz w:val="20"/>
              </w:rPr>
              <w:t> </w:t>
            </w:r>
            <w:r>
              <w:rPr>
                <w:sz w:val="20"/>
              </w:rPr>
              <w:t>a</w:t>
            </w:r>
            <w:r>
              <w:rPr>
                <w:spacing w:val="-1"/>
                <w:sz w:val="20"/>
              </w:rPr>
              <w:t> </w:t>
            </w:r>
            <w:r>
              <w:rPr>
                <w:spacing w:val="-5"/>
                <w:sz w:val="20"/>
              </w:rPr>
              <w:t>30%</w:t>
            </w:r>
          </w:p>
        </w:tc>
      </w:tr>
      <w:tr>
        <w:trPr>
          <w:trHeight w:val="229" w:hRule="atLeast"/>
        </w:trPr>
        <w:tc>
          <w:tcPr>
            <w:tcW w:w="1032" w:type="dxa"/>
          </w:tcPr>
          <w:p>
            <w:pPr>
              <w:pStyle w:val="TableParagraph"/>
              <w:ind w:left="9"/>
              <w:rPr>
                <w:sz w:val="20"/>
              </w:rPr>
            </w:pPr>
            <w:r>
              <w:rPr>
                <w:spacing w:val="-5"/>
                <w:sz w:val="20"/>
              </w:rPr>
              <w:t>134</w:t>
            </w:r>
          </w:p>
        </w:tc>
        <w:tc>
          <w:tcPr>
            <w:tcW w:w="7060" w:type="dxa"/>
          </w:tcPr>
          <w:p>
            <w:pPr>
              <w:pStyle w:val="TableParagraph"/>
              <w:jc w:val="left"/>
              <w:rPr>
                <w:sz w:val="20"/>
              </w:rPr>
            </w:pPr>
            <w:r>
              <w:rPr>
                <w:sz w:val="20"/>
              </w:rPr>
              <w:t>De</w:t>
            </w:r>
            <w:r>
              <w:rPr>
                <w:spacing w:val="-8"/>
                <w:sz w:val="20"/>
              </w:rPr>
              <w:t> </w:t>
            </w:r>
            <w:r>
              <w:rPr>
                <w:sz w:val="20"/>
              </w:rPr>
              <w:t>la</w:t>
            </w:r>
            <w:r>
              <w:rPr>
                <w:spacing w:val="-8"/>
                <w:sz w:val="20"/>
              </w:rPr>
              <w:t> </w:t>
            </w:r>
            <w:r>
              <w:rPr>
                <w:sz w:val="20"/>
              </w:rPr>
              <w:t>clavícula,</w:t>
            </w:r>
            <w:r>
              <w:rPr>
                <w:spacing w:val="-8"/>
                <w:sz w:val="20"/>
              </w:rPr>
              <w:t> </w:t>
            </w:r>
            <w:r>
              <w:rPr>
                <w:sz w:val="20"/>
              </w:rPr>
              <w:t>cuando</w:t>
            </w:r>
            <w:r>
              <w:rPr>
                <w:spacing w:val="-8"/>
                <w:sz w:val="20"/>
              </w:rPr>
              <w:t> </w:t>
            </w:r>
            <w:r>
              <w:rPr>
                <w:sz w:val="20"/>
              </w:rPr>
              <w:t>produzca</w:t>
            </w:r>
            <w:r>
              <w:rPr>
                <w:spacing w:val="-6"/>
                <w:sz w:val="20"/>
              </w:rPr>
              <w:t> </w:t>
            </w:r>
            <w:r>
              <w:rPr>
                <w:sz w:val="20"/>
              </w:rPr>
              <w:t>rigidez</w:t>
            </w:r>
            <w:r>
              <w:rPr>
                <w:spacing w:val="-6"/>
                <w:sz w:val="20"/>
              </w:rPr>
              <w:t> </w:t>
            </w:r>
            <w:r>
              <w:rPr>
                <w:sz w:val="20"/>
              </w:rPr>
              <w:t>del</w:t>
            </w:r>
            <w:r>
              <w:rPr>
                <w:spacing w:val="-7"/>
                <w:sz w:val="20"/>
              </w:rPr>
              <w:t> </w:t>
            </w:r>
            <w:r>
              <w:rPr>
                <w:spacing w:val="-2"/>
                <w:sz w:val="20"/>
              </w:rPr>
              <w:t>hombro.</w:t>
            </w:r>
          </w:p>
        </w:tc>
        <w:tc>
          <w:tcPr>
            <w:tcW w:w="1457" w:type="dxa"/>
          </w:tcPr>
          <w:p>
            <w:pPr>
              <w:pStyle w:val="TableParagraph"/>
              <w:ind w:left="11" w:right="3"/>
              <w:rPr>
                <w:sz w:val="20"/>
              </w:rPr>
            </w:pPr>
            <w:r>
              <w:rPr>
                <w:sz w:val="20"/>
              </w:rPr>
              <w:t>10</w:t>
            </w:r>
            <w:r>
              <w:rPr>
                <w:spacing w:val="-3"/>
                <w:sz w:val="20"/>
              </w:rPr>
              <w:t> </w:t>
            </w:r>
            <w:r>
              <w:rPr>
                <w:sz w:val="20"/>
              </w:rPr>
              <w:t>a</w:t>
            </w:r>
            <w:r>
              <w:rPr>
                <w:spacing w:val="-1"/>
                <w:sz w:val="20"/>
              </w:rPr>
              <w:t> </w:t>
            </w:r>
            <w:r>
              <w:rPr>
                <w:spacing w:val="-5"/>
                <w:sz w:val="20"/>
              </w:rPr>
              <w:t>30%</w:t>
            </w:r>
          </w:p>
        </w:tc>
      </w:tr>
      <w:tr>
        <w:trPr>
          <w:trHeight w:val="229" w:hRule="atLeast"/>
        </w:trPr>
        <w:tc>
          <w:tcPr>
            <w:tcW w:w="1032" w:type="dxa"/>
          </w:tcPr>
          <w:p>
            <w:pPr>
              <w:pStyle w:val="TableParagraph"/>
              <w:ind w:left="9"/>
              <w:rPr>
                <w:sz w:val="20"/>
              </w:rPr>
            </w:pPr>
            <w:r>
              <w:rPr>
                <w:spacing w:val="-5"/>
                <w:sz w:val="20"/>
              </w:rPr>
              <w:t>135</w:t>
            </w:r>
          </w:p>
        </w:tc>
        <w:tc>
          <w:tcPr>
            <w:tcW w:w="7060" w:type="dxa"/>
          </w:tcPr>
          <w:p>
            <w:pPr>
              <w:pStyle w:val="TableParagraph"/>
              <w:jc w:val="left"/>
              <w:rPr>
                <w:sz w:val="20"/>
              </w:rPr>
            </w:pPr>
            <w:r>
              <w:rPr>
                <w:sz w:val="20"/>
              </w:rPr>
              <w:t>Del</w:t>
            </w:r>
            <w:r>
              <w:rPr>
                <w:spacing w:val="-8"/>
                <w:sz w:val="20"/>
              </w:rPr>
              <w:t> </w:t>
            </w:r>
            <w:r>
              <w:rPr>
                <w:sz w:val="20"/>
              </w:rPr>
              <w:t>húmero,</w:t>
            </w:r>
            <w:r>
              <w:rPr>
                <w:spacing w:val="-9"/>
                <w:sz w:val="20"/>
              </w:rPr>
              <w:t> </w:t>
            </w:r>
            <w:r>
              <w:rPr>
                <w:sz w:val="20"/>
              </w:rPr>
              <w:t>cuando</w:t>
            </w:r>
            <w:r>
              <w:rPr>
                <w:spacing w:val="-8"/>
                <w:sz w:val="20"/>
              </w:rPr>
              <w:t> </w:t>
            </w:r>
            <w:r>
              <w:rPr>
                <w:sz w:val="20"/>
              </w:rPr>
              <w:t>produzca</w:t>
            </w:r>
            <w:r>
              <w:rPr>
                <w:spacing w:val="-9"/>
                <w:sz w:val="20"/>
              </w:rPr>
              <w:t> </w:t>
            </w:r>
            <w:r>
              <w:rPr>
                <w:sz w:val="20"/>
              </w:rPr>
              <w:t>rigidez,</w:t>
            </w:r>
            <w:r>
              <w:rPr>
                <w:spacing w:val="-8"/>
                <w:sz w:val="20"/>
              </w:rPr>
              <w:t> </w:t>
            </w:r>
            <w:r>
              <w:rPr>
                <w:sz w:val="20"/>
              </w:rPr>
              <w:t>atrofia</w:t>
            </w:r>
            <w:r>
              <w:rPr>
                <w:spacing w:val="-9"/>
                <w:sz w:val="20"/>
              </w:rPr>
              <w:t> </w:t>
            </w:r>
            <w:r>
              <w:rPr>
                <w:spacing w:val="-2"/>
                <w:sz w:val="20"/>
              </w:rPr>
              <w:t>muscular.</w:t>
            </w:r>
          </w:p>
        </w:tc>
        <w:tc>
          <w:tcPr>
            <w:tcW w:w="1457" w:type="dxa"/>
          </w:tcPr>
          <w:p>
            <w:pPr>
              <w:pStyle w:val="TableParagraph"/>
              <w:ind w:left="11" w:right="3"/>
              <w:rPr>
                <w:sz w:val="20"/>
              </w:rPr>
            </w:pPr>
            <w:r>
              <w:rPr>
                <w:sz w:val="20"/>
              </w:rPr>
              <w:t>10</w:t>
            </w:r>
            <w:r>
              <w:rPr>
                <w:spacing w:val="-3"/>
                <w:sz w:val="20"/>
              </w:rPr>
              <w:t> </w:t>
            </w:r>
            <w:r>
              <w:rPr>
                <w:sz w:val="20"/>
              </w:rPr>
              <w:t>a</w:t>
            </w:r>
            <w:r>
              <w:rPr>
                <w:spacing w:val="-1"/>
                <w:sz w:val="20"/>
              </w:rPr>
              <w:t> </w:t>
            </w:r>
            <w:r>
              <w:rPr>
                <w:spacing w:val="-5"/>
                <w:sz w:val="20"/>
              </w:rPr>
              <w:t>30%</w:t>
            </w:r>
          </w:p>
        </w:tc>
      </w:tr>
      <w:tr>
        <w:trPr>
          <w:trHeight w:val="460" w:hRule="atLeast"/>
        </w:trPr>
        <w:tc>
          <w:tcPr>
            <w:tcW w:w="1032" w:type="dxa"/>
          </w:tcPr>
          <w:p>
            <w:pPr>
              <w:pStyle w:val="TableParagraph"/>
              <w:spacing w:line="240" w:lineRule="auto" w:before="114"/>
              <w:ind w:left="9"/>
              <w:rPr>
                <w:sz w:val="20"/>
              </w:rPr>
            </w:pPr>
            <w:r>
              <w:rPr>
                <w:spacing w:val="-5"/>
                <w:sz w:val="20"/>
              </w:rPr>
              <w:t>136</w:t>
            </w:r>
          </w:p>
        </w:tc>
        <w:tc>
          <w:tcPr>
            <w:tcW w:w="7060" w:type="dxa"/>
          </w:tcPr>
          <w:p>
            <w:pPr>
              <w:pStyle w:val="TableParagraph"/>
              <w:spacing w:line="230" w:lineRule="exact"/>
              <w:jc w:val="left"/>
              <w:rPr>
                <w:sz w:val="20"/>
              </w:rPr>
            </w:pPr>
            <w:r>
              <w:rPr>
                <w:sz w:val="20"/>
              </w:rPr>
              <w:t>Del</w:t>
            </w:r>
            <w:r>
              <w:rPr>
                <w:spacing w:val="-3"/>
                <w:sz w:val="20"/>
              </w:rPr>
              <w:t> </w:t>
            </w:r>
            <w:r>
              <w:rPr>
                <w:sz w:val="20"/>
              </w:rPr>
              <w:t>olécranon,</w:t>
            </w:r>
            <w:r>
              <w:rPr>
                <w:spacing w:val="-2"/>
                <w:sz w:val="20"/>
              </w:rPr>
              <w:t> </w:t>
            </w:r>
            <w:r>
              <w:rPr>
                <w:sz w:val="20"/>
              </w:rPr>
              <w:t>que</w:t>
            </w:r>
            <w:r>
              <w:rPr>
                <w:spacing w:val="-3"/>
                <w:sz w:val="20"/>
              </w:rPr>
              <w:t> </w:t>
            </w:r>
            <w:r>
              <w:rPr>
                <w:sz w:val="20"/>
              </w:rPr>
              <w:t>no</w:t>
            </w:r>
            <w:r>
              <w:rPr>
                <w:spacing w:val="-2"/>
                <w:sz w:val="20"/>
              </w:rPr>
              <w:t> </w:t>
            </w:r>
            <w:r>
              <w:rPr>
                <w:sz w:val="20"/>
              </w:rPr>
              <w:t>permite</w:t>
            </w:r>
            <w:r>
              <w:rPr>
                <w:spacing w:val="-2"/>
                <w:sz w:val="20"/>
              </w:rPr>
              <w:t> </w:t>
            </w:r>
            <w:r>
              <w:rPr>
                <w:sz w:val="20"/>
              </w:rPr>
              <w:t>la</w:t>
            </w:r>
            <w:r>
              <w:rPr>
                <w:spacing w:val="-2"/>
                <w:sz w:val="20"/>
              </w:rPr>
              <w:t> </w:t>
            </w:r>
            <w:r>
              <w:rPr>
                <w:sz w:val="20"/>
              </w:rPr>
              <w:t>extensión</w:t>
            </w:r>
            <w:r>
              <w:rPr>
                <w:spacing w:val="-2"/>
                <w:sz w:val="20"/>
              </w:rPr>
              <w:t> </w:t>
            </w:r>
            <w:r>
              <w:rPr>
                <w:sz w:val="20"/>
              </w:rPr>
              <w:t>completa</w:t>
            </w:r>
            <w:r>
              <w:rPr>
                <w:spacing w:val="-1"/>
                <w:sz w:val="20"/>
              </w:rPr>
              <w:t> </w:t>
            </w:r>
            <w:r>
              <w:rPr>
                <w:sz w:val="20"/>
              </w:rPr>
              <w:t>con</w:t>
            </w:r>
            <w:r>
              <w:rPr>
                <w:spacing w:val="-3"/>
                <w:sz w:val="20"/>
              </w:rPr>
              <w:t> </w:t>
            </w:r>
            <w:r>
              <w:rPr>
                <w:sz w:val="20"/>
              </w:rPr>
              <w:t>un</w:t>
            </w:r>
            <w:r>
              <w:rPr>
                <w:spacing w:val="-3"/>
                <w:sz w:val="20"/>
              </w:rPr>
              <w:t> </w:t>
            </w:r>
            <w:r>
              <w:rPr>
                <w:sz w:val="20"/>
              </w:rPr>
              <w:t>ángulo</w:t>
            </w:r>
            <w:r>
              <w:rPr>
                <w:spacing w:val="-2"/>
                <w:sz w:val="20"/>
              </w:rPr>
              <w:t> </w:t>
            </w:r>
            <w:r>
              <w:rPr>
                <w:sz w:val="20"/>
              </w:rPr>
              <w:t>de</w:t>
            </w:r>
            <w:r>
              <w:rPr>
                <w:spacing w:val="-2"/>
                <w:sz w:val="20"/>
              </w:rPr>
              <w:t> </w:t>
            </w:r>
            <w:r>
              <w:rPr>
                <w:sz w:val="20"/>
              </w:rPr>
              <w:t>flexión de 90 a 140 grados.</w:t>
            </w:r>
          </w:p>
        </w:tc>
        <w:tc>
          <w:tcPr>
            <w:tcW w:w="1457" w:type="dxa"/>
          </w:tcPr>
          <w:p>
            <w:pPr>
              <w:pStyle w:val="TableParagraph"/>
              <w:spacing w:line="240" w:lineRule="auto" w:before="114"/>
              <w:ind w:left="11" w:right="1"/>
              <w:rPr>
                <w:sz w:val="20"/>
              </w:rPr>
            </w:pPr>
            <w:r>
              <w:rPr>
                <w:spacing w:val="-5"/>
                <w:sz w:val="20"/>
              </w:rPr>
              <w:t>30%</w:t>
            </w:r>
          </w:p>
        </w:tc>
      </w:tr>
      <w:tr>
        <w:trPr>
          <w:trHeight w:val="460" w:hRule="atLeast"/>
        </w:trPr>
        <w:tc>
          <w:tcPr>
            <w:tcW w:w="1032" w:type="dxa"/>
          </w:tcPr>
          <w:p>
            <w:pPr>
              <w:pStyle w:val="TableParagraph"/>
              <w:spacing w:line="240" w:lineRule="auto" w:before="114"/>
              <w:ind w:left="9"/>
              <w:rPr>
                <w:sz w:val="20"/>
              </w:rPr>
            </w:pPr>
            <w:r>
              <w:rPr>
                <w:spacing w:val="-5"/>
                <w:sz w:val="20"/>
              </w:rPr>
              <w:t>137</w:t>
            </w:r>
          </w:p>
        </w:tc>
        <w:tc>
          <w:tcPr>
            <w:tcW w:w="7060" w:type="dxa"/>
          </w:tcPr>
          <w:p>
            <w:pPr>
              <w:pStyle w:val="TableParagraph"/>
              <w:spacing w:line="230" w:lineRule="exact"/>
              <w:jc w:val="left"/>
              <w:rPr>
                <w:sz w:val="20"/>
              </w:rPr>
            </w:pPr>
            <w:r>
              <w:rPr>
                <w:sz w:val="20"/>
              </w:rPr>
              <w:t>Del</w:t>
            </w:r>
            <w:r>
              <w:rPr>
                <w:spacing w:val="40"/>
                <w:sz w:val="20"/>
              </w:rPr>
              <w:t> </w:t>
            </w:r>
            <w:r>
              <w:rPr>
                <w:sz w:val="20"/>
              </w:rPr>
              <w:t>olécranon,</w:t>
            </w:r>
            <w:r>
              <w:rPr>
                <w:spacing w:val="40"/>
                <w:sz w:val="20"/>
              </w:rPr>
              <w:t> </w:t>
            </w:r>
            <w:r>
              <w:rPr>
                <w:sz w:val="20"/>
              </w:rPr>
              <w:t>que</w:t>
            </w:r>
            <w:r>
              <w:rPr>
                <w:spacing w:val="40"/>
                <w:sz w:val="20"/>
              </w:rPr>
              <w:t> </w:t>
            </w:r>
            <w:r>
              <w:rPr>
                <w:sz w:val="20"/>
              </w:rPr>
              <w:t>no</w:t>
            </w:r>
            <w:r>
              <w:rPr>
                <w:spacing w:val="40"/>
                <w:sz w:val="20"/>
              </w:rPr>
              <w:t> </w:t>
            </w:r>
            <w:r>
              <w:rPr>
                <w:sz w:val="20"/>
              </w:rPr>
              <w:t>permite</w:t>
            </w:r>
            <w:r>
              <w:rPr>
                <w:spacing w:val="40"/>
                <w:sz w:val="20"/>
              </w:rPr>
              <w:t> </w:t>
            </w:r>
            <w:r>
              <w:rPr>
                <w:sz w:val="20"/>
              </w:rPr>
              <w:t>la</w:t>
            </w:r>
            <w:r>
              <w:rPr>
                <w:spacing w:val="40"/>
                <w:sz w:val="20"/>
              </w:rPr>
              <w:t> </w:t>
            </w:r>
            <w:r>
              <w:rPr>
                <w:sz w:val="20"/>
              </w:rPr>
              <w:t>extensión</w:t>
            </w:r>
            <w:r>
              <w:rPr>
                <w:spacing w:val="40"/>
                <w:sz w:val="20"/>
              </w:rPr>
              <w:t> </w:t>
            </w:r>
            <w:r>
              <w:rPr>
                <w:sz w:val="20"/>
              </w:rPr>
              <w:t>completa,</w:t>
            </w:r>
            <w:r>
              <w:rPr>
                <w:spacing w:val="40"/>
                <w:sz w:val="20"/>
              </w:rPr>
              <w:t> </w:t>
            </w:r>
            <w:r>
              <w:rPr>
                <w:sz w:val="20"/>
              </w:rPr>
              <w:t>con</w:t>
            </w:r>
            <w:r>
              <w:rPr>
                <w:spacing w:val="40"/>
                <w:sz w:val="20"/>
              </w:rPr>
              <w:t> </w:t>
            </w:r>
            <w:r>
              <w:rPr>
                <w:sz w:val="20"/>
              </w:rPr>
              <w:t>un</w:t>
            </w:r>
            <w:r>
              <w:rPr>
                <w:spacing w:val="40"/>
                <w:sz w:val="20"/>
              </w:rPr>
              <w:t> </w:t>
            </w:r>
            <w:r>
              <w:rPr>
                <w:sz w:val="20"/>
              </w:rPr>
              <w:t>ángulo</w:t>
            </w:r>
            <w:r>
              <w:rPr>
                <w:spacing w:val="40"/>
                <w:sz w:val="20"/>
              </w:rPr>
              <w:t> </w:t>
            </w:r>
            <w:r>
              <w:rPr>
                <w:sz w:val="20"/>
              </w:rPr>
              <w:t>de flexión menor de 90 grados.</w:t>
            </w:r>
          </w:p>
        </w:tc>
        <w:tc>
          <w:tcPr>
            <w:tcW w:w="1457" w:type="dxa"/>
          </w:tcPr>
          <w:p>
            <w:pPr>
              <w:pStyle w:val="TableParagraph"/>
              <w:spacing w:line="240" w:lineRule="auto" w:before="114"/>
              <w:ind w:left="11" w:right="1"/>
              <w:rPr>
                <w:sz w:val="20"/>
              </w:rPr>
            </w:pPr>
            <w:r>
              <w:rPr>
                <w:spacing w:val="-5"/>
                <w:sz w:val="20"/>
              </w:rPr>
              <w:t>20%</w:t>
            </w:r>
          </w:p>
        </w:tc>
      </w:tr>
      <w:tr>
        <w:trPr>
          <w:trHeight w:val="460" w:hRule="atLeast"/>
        </w:trPr>
        <w:tc>
          <w:tcPr>
            <w:tcW w:w="1032" w:type="dxa"/>
          </w:tcPr>
          <w:p>
            <w:pPr>
              <w:pStyle w:val="TableParagraph"/>
              <w:spacing w:line="240" w:lineRule="auto" w:before="114"/>
              <w:ind w:left="9"/>
              <w:rPr>
                <w:sz w:val="20"/>
              </w:rPr>
            </w:pPr>
            <w:r>
              <w:rPr>
                <w:spacing w:val="-5"/>
                <w:sz w:val="20"/>
              </w:rPr>
              <w:t>138</w:t>
            </w:r>
          </w:p>
        </w:tc>
        <w:tc>
          <w:tcPr>
            <w:tcW w:w="7060" w:type="dxa"/>
          </w:tcPr>
          <w:p>
            <w:pPr>
              <w:pStyle w:val="TableParagraph"/>
              <w:spacing w:line="230" w:lineRule="exact"/>
              <w:jc w:val="left"/>
              <w:rPr>
                <w:sz w:val="20"/>
              </w:rPr>
            </w:pPr>
            <w:r>
              <w:rPr>
                <w:sz w:val="20"/>
              </w:rPr>
              <w:t>Del olécranon, que permite la extensión completa, con un ángulo de flexión hasta 70 grados.</w:t>
            </w:r>
          </w:p>
        </w:tc>
        <w:tc>
          <w:tcPr>
            <w:tcW w:w="1457" w:type="dxa"/>
          </w:tcPr>
          <w:p>
            <w:pPr>
              <w:pStyle w:val="TableParagraph"/>
              <w:spacing w:line="240" w:lineRule="auto" w:before="114"/>
              <w:ind w:left="11" w:right="1"/>
              <w:rPr>
                <w:sz w:val="20"/>
              </w:rPr>
            </w:pPr>
            <w:r>
              <w:rPr>
                <w:spacing w:val="-5"/>
                <w:sz w:val="20"/>
              </w:rPr>
              <w:t>10%</w:t>
            </w:r>
          </w:p>
        </w:tc>
      </w:tr>
      <w:tr>
        <w:trPr>
          <w:trHeight w:val="460" w:hRule="atLeast"/>
        </w:trPr>
        <w:tc>
          <w:tcPr>
            <w:tcW w:w="1032" w:type="dxa"/>
          </w:tcPr>
          <w:p>
            <w:pPr>
              <w:pStyle w:val="TableParagraph"/>
              <w:spacing w:line="240" w:lineRule="auto" w:before="115"/>
              <w:ind w:left="9"/>
              <w:rPr>
                <w:sz w:val="20"/>
              </w:rPr>
            </w:pPr>
            <w:r>
              <w:rPr>
                <w:spacing w:val="-5"/>
                <w:sz w:val="20"/>
              </w:rPr>
              <w:t>139</w:t>
            </w:r>
          </w:p>
        </w:tc>
        <w:tc>
          <w:tcPr>
            <w:tcW w:w="7060" w:type="dxa"/>
          </w:tcPr>
          <w:p>
            <w:pPr>
              <w:pStyle w:val="TableParagraph"/>
              <w:spacing w:line="232" w:lineRule="exact"/>
              <w:jc w:val="left"/>
              <w:rPr>
                <w:sz w:val="20"/>
              </w:rPr>
            </w:pPr>
            <w:r>
              <w:rPr>
                <w:sz w:val="20"/>
              </w:rPr>
              <w:t>Del</w:t>
            </w:r>
            <w:r>
              <w:rPr>
                <w:spacing w:val="29"/>
                <w:sz w:val="20"/>
              </w:rPr>
              <w:t> </w:t>
            </w:r>
            <w:r>
              <w:rPr>
                <w:sz w:val="20"/>
              </w:rPr>
              <w:t>olécranon</w:t>
            </w:r>
            <w:r>
              <w:rPr>
                <w:spacing w:val="30"/>
                <w:sz w:val="20"/>
              </w:rPr>
              <w:t> </w:t>
            </w:r>
            <w:r>
              <w:rPr>
                <w:sz w:val="20"/>
              </w:rPr>
              <w:t>que</w:t>
            </w:r>
            <w:r>
              <w:rPr>
                <w:spacing w:val="29"/>
                <w:sz w:val="20"/>
              </w:rPr>
              <w:t> </w:t>
            </w:r>
            <w:r>
              <w:rPr>
                <w:sz w:val="20"/>
              </w:rPr>
              <w:t>permite</w:t>
            </w:r>
            <w:r>
              <w:rPr>
                <w:spacing w:val="27"/>
                <w:sz w:val="20"/>
              </w:rPr>
              <w:t> </w:t>
            </w:r>
            <w:r>
              <w:rPr>
                <w:sz w:val="20"/>
              </w:rPr>
              <w:t>la</w:t>
            </w:r>
            <w:r>
              <w:rPr>
                <w:spacing w:val="29"/>
                <w:sz w:val="20"/>
              </w:rPr>
              <w:t> </w:t>
            </w:r>
            <w:r>
              <w:rPr>
                <w:sz w:val="20"/>
              </w:rPr>
              <w:t>extensión</w:t>
            </w:r>
            <w:r>
              <w:rPr>
                <w:spacing w:val="27"/>
                <w:sz w:val="20"/>
              </w:rPr>
              <w:t> </w:t>
            </w:r>
            <w:r>
              <w:rPr>
                <w:sz w:val="20"/>
              </w:rPr>
              <w:t>completa</w:t>
            </w:r>
            <w:r>
              <w:rPr>
                <w:spacing w:val="27"/>
                <w:sz w:val="20"/>
              </w:rPr>
              <w:t> </w:t>
            </w:r>
            <w:r>
              <w:rPr>
                <w:sz w:val="20"/>
              </w:rPr>
              <w:t>con</w:t>
            </w:r>
            <w:r>
              <w:rPr>
                <w:spacing w:val="27"/>
                <w:sz w:val="20"/>
              </w:rPr>
              <w:t> </w:t>
            </w:r>
            <w:r>
              <w:rPr>
                <w:sz w:val="20"/>
              </w:rPr>
              <w:t>un</w:t>
            </w:r>
            <w:r>
              <w:rPr>
                <w:spacing w:val="30"/>
                <w:sz w:val="20"/>
              </w:rPr>
              <w:t> </w:t>
            </w:r>
            <w:r>
              <w:rPr>
                <w:sz w:val="20"/>
              </w:rPr>
              <w:t>ángulo</w:t>
            </w:r>
            <w:r>
              <w:rPr>
                <w:spacing w:val="29"/>
                <w:sz w:val="20"/>
              </w:rPr>
              <w:t> </w:t>
            </w:r>
            <w:r>
              <w:rPr>
                <w:sz w:val="20"/>
              </w:rPr>
              <w:t>de</w:t>
            </w:r>
            <w:r>
              <w:rPr>
                <w:spacing w:val="27"/>
                <w:sz w:val="20"/>
              </w:rPr>
              <w:t> </w:t>
            </w:r>
            <w:r>
              <w:rPr>
                <w:sz w:val="20"/>
              </w:rPr>
              <w:t>flexión hasta 110 grados.</w:t>
            </w:r>
          </w:p>
        </w:tc>
        <w:tc>
          <w:tcPr>
            <w:tcW w:w="1457" w:type="dxa"/>
          </w:tcPr>
          <w:p>
            <w:pPr>
              <w:pStyle w:val="TableParagraph"/>
              <w:spacing w:line="240" w:lineRule="auto" w:before="115"/>
              <w:ind w:left="11" w:right="1"/>
              <w:rPr>
                <w:sz w:val="20"/>
              </w:rPr>
            </w:pPr>
            <w:r>
              <w:rPr>
                <w:spacing w:val="-5"/>
                <w:sz w:val="20"/>
              </w:rPr>
              <w:t>5%</w:t>
            </w:r>
          </w:p>
        </w:tc>
      </w:tr>
      <w:tr>
        <w:trPr>
          <w:trHeight w:val="226" w:hRule="atLeast"/>
        </w:trPr>
        <w:tc>
          <w:tcPr>
            <w:tcW w:w="1032" w:type="dxa"/>
          </w:tcPr>
          <w:p>
            <w:pPr>
              <w:pStyle w:val="TableParagraph"/>
              <w:spacing w:line="207" w:lineRule="exact"/>
              <w:ind w:left="9"/>
              <w:rPr>
                <w:sz w:val="20"/>
              </w:rPr>
            </w:pPr>
            <w:r>
              <w:rPr>
                <w:spacing w:val="-5"/>
                <w:sz w:val="20"/>
              </w:rPr>
              <w:t>140</w:t>
            </w:r>
          </w:p>
        </w:tc>
        <w:tc>
          <w:tcPr>
            <w:tcW w:w="7060" w:type="dxa"/>
          </w:tcPr>
          <w:p>
            <w:pPr>
              <w:pStyle w:val="TableParagraph"/>
              <w:spacing w:line="207" w:lineRule="exact"/>
              <w:jc w:val="left"/>
              <w:rPr>
                <w:sz w:val="20"/>
              </w:rPr>
            </w:pPr>
            <w:r>
              <w:rPr>
                <w:sz w:val="20"/>
              </w:rPr>
              <w:t>Distal</w:t>
            </w:r>
            <w:r>
              <w:rPr>
                <w:spacing w:val="-7"/>
                <w:sz w:val="20"/>
              </w:rPr>
              <w:t> </w:t>
            </w:r>
            <w:r>
              <w:rPr>
                <w:sz w:val="20"/>
              </w:rPr>
              <w:t>de</w:t>
            </w:r>
            <w:r>
              <w:rPr>
                <w:spacing w:val="-6"/>
                <w:sz w:val="20"/>
              </w:rPr>
              <w:t> </w:t>
            </w:r>
            <w:r>
              <w:rPr>
                <w:sz w:val="20"/>
              </w:rPr>
              <w:t>los</w:t>
            </w:r>
            <w:r>
              <w:rPr>
                <w:spacing w:val="-7"/>
                <w:sz w:val="20"/>
              </w:rPr>
              <w:t> </w:t>
            </w:r>
            <w:r>
              <w:rPr>
                <w:sz w:val="20"/>
              </w:rPr>
              <w:t>huesos</w:t>
            </w:r>
            <w:r>
              <w:rPr>
                <w:spacing w:val="-6"/>
                <w:sz w:val="20"/>
              </w:rPr>
              <w:t> </w:t>
            </w:r>
            <w:r>
              <w:rPr>
                <w:sz w:val="20"/>
              </w:rPr>
              <w:t>del</w:t>
            </w:r>
            <w:r>
              <w:rPr>
                <w:spacing w:val="-6"/>
                <w:sz w:val="20"/>
              </w:rPr>
              <w:t> </w:t>
            </w:r>
            <w:r>
              <w:rPr>
                <w:sz w:val="20"/>
              </w:rPr>
              <w:t>antebrazo,</w:t>
            </w:r>
            <w:r>
              <w:rPr>
                <w:spacing w:val="-8"/>
                <w:sz w:val="20"/>
              </w:rPr>
              <w:t> </w:t>
            </w:r>
            <w:r>
              <w:rPr>
                <w:sz w:val="20"/>
              </w:rPr>
              <w:t>cuando</w:t>
            </w:r>
            <w:r>
              <w:rPr>
                <w:spacing w:val="-7"/>
                <w:sz w:val="20"/>
              </w:rPr>
              <w:t> </w:t>
            </w:r>
            <w:r>
              <w:rPr>
                <w:sz w:val="20"/>
              </w:rPr>
              <w:t>produzcan</w:t>
            </w:r>
            <w:r>
              <w:rPr>
                <w:spacing w:val="-6"/>
                <w:sz w:val="20"/>
              </w:rPr>
              <w:t> </w:t>
            </w:r>
            <w:r>
              <w:rPr>
                <w:sz w:val="20"/>
              </w:rPr>
              <w:t>rigidez</w:t>
            </w:r>
            <w:r>
              <w:rPr>
                <w:spacing w:val="-8"/>
                <w:sz w:val="20"/>
              </w:rPr>
              <w:t> </w:t>
            </w:r>
            <w:r>
              <w:rPr>
                <w:sz w:val="20"/>
              </w:rPr>
              <w:t>de</w:t>
            </w:r>
            <w:r>
              <w:rPr>
                <w:spacing w:val="-6"/>
                <w:sz w:val="20"/>
              </w:rPr>
              <w:t> </w:t>
            </w:r>
            <w:r>
              <w:rPr>
                <w:sz w:val="20"/>
              </w:rPr>
              <w:t>la</w:t>
            </w:r>
            <w:r>
              <w:rPr>
                <w:spacing w:val="-5"/>
                <w:sz w:val="20"/>
              </w:rPr>
              <w:t> </w:t>
            </w:r>
            <w:r>
              <w:rPr>
                <w:spacing w:val="-2"/>
                <w:sz w:val="20"/>
              </w:rPr>
              <w:t>muñeca.</w:t>
            </w:r>
          </w:p>
        </w:tc>
        <w:tc>
          <w:tcPr>
            <w:tcW w:w="1457" w:type="dxa"/>
          </w:tcPr>
          <w:p>
            <w:pPr>
              <w:pStyle w:val="TableParagraph"/>
              <w:spacing w:line="207" w:lineRule="exact"/>
              <w:ind w:left="11" w:right="3"/>
              <w:rPr>
                <w:sz w:val="20"/>
              </w:rPr>
            </w:pPr>
            <w:r>
              <w:rPr>
                <w:sz w:val="20"/>
              </w:rPr>
              <w:t>10</w:t>
            </w:r>
            <w:r>
              <w:rPr>
                <w:spacing w:val="-3"/>
                <w:sz w:val="20"/>
              </w:rPr>
              <w:t> </w:t>
            </w:r>
            <w:r>
              <w:rPr>
                <w:sz w:val="20"/>
              </w:rPr>
              <w:t>a</w:t>
            </w:r>
            <w:r>
              <w:rPr>
                <w:spacing w:val="-1"/>
                <w:sz w:val="20"/>
              </w:rPr>
              <w:t> </w:t>
            </w:r>
            <w:r>
              <w:rPr>
                <w:spacing w:val="-5"/>
                <w:sz w:val="20"/>
              </w:rPr>
              <w:t>20%</w:t>
            </w:r>
          </w:p>
        </w:tc>
      </w:tr>
      <w:tr>
        <w:trPr>
          <w:trHeight w:val="460" w:hRule="atLeast"/>
        </w:trPr>
        <w:tc>
          <w:tcPr>
            <w:tcW w:w="1032" w:type="dxa"/>
          </w:tcPr>
          <w:p>
            <w:pPr>
              <w:pStyle w:val="TableParagraph"/>
              <w:spacing w:line="240" w:lineRule="auto" w:before="114"/>
              <w:ind w:left="9"/>
              <w:rPr>
                <w:sz w:val="20"/>
              </w:rPr>
            </w:pPr>
            <w:r>
              <w:rPr>
                <w:spacing w:val="-5"/>
                <w:sz w:val="20"/>
              </w:rPr>
              <w:t>141</w:t>
            </w:r>
          </w:p>
        </w:tc>
        <w:tc>
          <w:tcPr>
            <w:tcW w:w="7060" w:type="dxa"/>
          </w:tcPr>
          <w:p>
            <w:pPr>
              <w:pStyle w:val="TableParagraph"/>
              <w:spacing w:line="230" w:lineRule="exact"/>
              <w:jc w:val="left"/>
              <w:rPr>
                <w:sz w:val="20"/>
              </w:rPr>
            </w:pPr>
            <w:r>
              <w:rPr>
                <w:sz w:val="20"/>
              </w:rPr>
              <w:t>Proximal</w:t>
            </w:r>
            <w:r>
              <w:rPr>
                <w:spacing w:val="80"/>
                <w:sz w:val="20"/>
              </w:rPr>
              <w:t> </w:t>
            </w:r>
            <w:r>
              <w:rPr>
                <w:sz w:val="20"/>
              </w:rPr>
              <w:t>de</w:t>
            </w:r>
            <w:r>
              <w:rPr>
                <w:spacing w:val="80"/>
                <w:sz w:val="20"/>
              </w:rPr>
              <w:t> </w:t>
            </w:r>
            <w:r>
              <w:rPr>
                <w:sz w:val="20"/>
              </w:rPr>
              <w:t>los</w:t>
            </w:r>
            <w:r>
              <w:rPr>
                <w:spacing w:val="80"/>
                <w:sz w:val="20"/>
              </w:rPr>
              <w:t> </w:t>
            </w:r>
            <w:r>
              <w:rPr>
                <w:sz w:val="20"/>
              </w:rPr>
              <w:t>huesos</w:t>
            </w:r>
            <w:r>
              <w:rPr>
                <w:spacing w:val="80"/>
                <w:sz w:val="20"/>
              </w:rPr>
              <w:t> </w:t>
            </w:r>
            <w:r>
              <w:rPr>
                <w:sz w:val="20"/>
              </w:rPr>
              <w:t>del</w:t>
            </w:r>
            <w:r>
              <w:rPr>
                <w:spacing w:val="80"/>
                <w:sz w:val="20"/>
              </w:rPr>
              <w:t> </w:t>
            </w:r>
            <w:r>
              <w:rPr>
                <w:sz w:val="20"/>
              </w:rPr>
              <w:t>antebrazo,</w:t>
            </w:r>
            <w:r>
              <w:rPr>
                <w:spacing w:val="80"/>
                <w:sz w:val="20"/>
              </w:rPr>
              <w:t> </w:t>
            </w:r>
            <w:r>
              <w:rPr>
                <w:sz w:val="20"/>
              </w:rPr>
              <w:t>cuando</w:t>
            </w:r>
            <w:r>
              <w:rPr>
                <w:spacing w:val="80"/>
                <w:sz w:val="20"/>
              </w:rPr>
              <w:t> </w:t>
            </w:r>
            <w:r>
              <w:rPr>
                <w:sz w:val="20"/>
              </w:rPr>
              <w:t>produzcan</w:t>
            </w:r>
            <w:r>
              <w:rPr>
                <w:spacing w:val="80"/>
                <w:sz w:val="20"/>
              </w:rPr>
              <w:t> </w:t>
            </w:r>
            <w:r>
              <w:rPr>
                <w:sz w:val="20"/>
              </w:rPr>
              <w:t>rigidez</w:t>
            </w:r>
            <w:r>
              <w:rPr>
                <w:spacing w:val="80"/>
                <w:sz w:val="20"/>
              </w:rPr>
              <w:t> </w:t>
            </w:r>
            <w:r>
              <w:rPr>
                <w:sz w:val="20"/>
              </w:rPr>
              <w:t>de pronación y/o supinación.</w:t>
            </w:r>
          </w:p>
        </w:tc>
        <w:tc>
          <w:tcPr>
            <w:tcW w:w="1457" w:type="dxa"/>
          </w:tcPr>
          <w:p>
            <w:pPr>
              <w:pStyle w:val="TableParagraph"/>
              <w:spacing w:line="240" w:lineRule="auto" w:before="114"/>
              <w:ind w:left="11" w:right="3"/>
              <w:rPr>
                <w:sz w:val="20"/>
              </w:rPr>
            </w:pPr>
            <w:r>
              <w:rPr>
                <w:sz w:val="20"/>
              </w:rPr>
              <w:t>10</w:t>
            </w:r>
            <w:r>
              <w:rPr>
                <w:spacing w:val="-3"/>
                <w:sz w:val="20"/>
              </w:rPr>
              <w:t> </w:t>
            </w:r>
            <w:r>
              <w:rPr>
                <w:sz w:val="20"/>
              </w:rPr>
              <w:t>a</w:t>
            </w:r>
            <w:r>
              <w:rPr>
                <w:spacing w:val="-1"/>
                <w:sz w:val="20"/>
              </w:rPr>
              <w:t> </w:t>
            </w:r>
            <w:r>
              <w:rPr>
                <w:spacing w:val="-5"/>
                <w:sz w:val="20"/>
              </w:rPr>
              <w:t>20%</w:t>
            </w:r>
          </w:p>
        </w:tc>
      </w:tr>
      <w:tr>
        <w:trPr>
          <w:trHeight w:val="457" w:hRule="atLeast"/>
        </w:trPr>
        <w:tc>
          <w:tcPr>
            <w:tcW w:w="1032" w:type="dxa"/>
          </w:tcPr>
          <w:p>
            <w:pPr>
              <w:pStyle w:val="TableParagraph"/>
              <w:spacing w:line="240" w:lineRule="auto" w:before="112"/>
              <w:ind w:left="9"/>
              <w:rPr>
                <w:sz w:val="20"/>
              </w:rPr>
            </w:pPr>
            <w:r>
              <w:rPr>
                <w:spacing w:val="-5"/>
                <w:sz w:val="20"/>
              </w:rPr>
              <w:t>142</w:t>
            </w:r>
          </w:p>
        </w:tc>
        <w:tc>
          <w:tcPr>
            <w:tcW w:w="7060" w:type="dxa"/>
          </w:tcPr>
          <w:p>
            <w:pPr>
              <w:pStyle w:val="TableParagraph"/>
              <w:spacing w:line="228" w:lineRule="exact"/>
              <w:jc w:val="left"/>
              <w:rPr>
                <w:sz w:val="20"/>
              </w:rPr>
            </w:pPr>
            <w:r>
              <w:rPr>
                <w:sz w:val="20"/>
              </w:rPr>
              <w:t>De</w:t>
            </w:r>
            <w:r>
              <w:rPr>
                <w:spacing w:val="40"/>
                <w:sz w:val="20"/>
              </w:rPr>
              <w:t> </w:t>
            </w:r>
            <w:r>
              <w:rPr>
                <w:sz w:val="20"/>
              </w:rPr>
              <w:t>los</w:t>
            </w:r>
            <w:r>
              <w:rPr>
                <w:spacing w:val="40"/>
                <w:sz w:val="20"/>
              </w:rPr>
              <w:t> </w:t>
            </w:r>
            <w:r>
              <w:rPr>
                <w:sz w:val="20"/>
              </w:rPr>
              <w:t>huesos</w:t>
            </w:r>
            <w:r>
              <w:rPr>
                <w:spacing w:val="40"/>
                <w:sz w:val="20"/>
              </w:rPr>
              <w:t> </w:t>
            </w:r>
            <w:r>
              <w:rPr>
                <w:sz w:val="20"/>
              </w:rPr>
              <w:t>del</w:t>
            </w:r>
            <w:r>
              <w:rPr>
                <w:spacing w:val="40"/>
                <w:sz w:val="20"/>
              </w:rPr>
              <w:t> </w:t>
            </w:r>
            <w:r>
              <w:rPr>
                <w:sz w:val="20"/>
              </w:rPr>
              <w:t>antebrazo,</w:t>
            </w:r>
            <w:r>
              <w:rPr>
                <w:spacing w:val="40"/>
                <w:sz w:val="20"/>
              </w:rPr>
              <w:t> </w:t>
            </w:r>
            <w:r>
              <w:rPr>
                <w:sz w:val="20"/>
              </w:rPr>
              <w:t>cuando</w:t>
            </w:r>
            <w:r>
              <w:rPr>
                <w:spacing w:val="40"/>
                <w:sz w:val="20"/>
              </w:rPr>
              <w:t> </w:t>
            </w:r>
            <w:r>
              <w:rPr>
                <w:sz w:val="20"/>
              </w:rPr>
              <w:t>produzcan</w:t>
            </w:r>
            <w:r>
              <w:rPr>
                <w:spacing w:val="40"/>
                <w:sz w:val="20"/>
              </w:rPr>
              <w:t> </w:t>
            </w:r>
            <w:r>
              <w:rPr>
                <w:sz w:val="20"/>
              </w:rPr>
              <w:t>rigidez</w:t>
            </w:r>
            <w:r>
              <w:rPr>
                <w:spacing w:val="40"/>
                <w:sz w:val="20"/>
              </w:rPr>
              <w:t> </w:t>
            </w:r>
            <w:r>
              <w:rPr>
                <w:sz w:val="20"/>
              </w:rPr>
              <w:t>de</w:t>
            </w:r>
            <w:r>
              <w:rPr>
                <w:spacing w:val="40"/>
                <w:sz w:val="20"/>
              </w:rPr>
              <w:t> </w:t>
            </w:r>
            <w:r>
              <w:rPr>
                <w:sz w:val="20"/>
              </w:rPr>
              <w:t>la</w:t>
            </w:r>
            <w:r>
              <w:rPr>
                <w:spacing w:val="40"/>
                <w:sz w:val="20"/>
              </w:rPr>
              <w:t> </w:t>
            </w:r>
            <w:r>
              <w:rPr>
                <w:sz w:val="20"/>
              </w:rPr>
              <w:t>muñeca</w:t>
            </w:r>
            <w:r>
              <w:rPr>
                <w:spacing w:val="40"/>
                <w:sz w:val="20"/>
              </w:rPr>
              <w:t> </w:t>
            </w:r>
            <w:r>
              <w:rPr>
                <w:sz w:val="20"/>
              </w:rPr>
              <w:t>y limitación para la pronación y/o supinación.</w:t>
            </w:r>
          </w:p>
        </w:tc>
        <w:tc>
          <w:tcPr>
            <w:tcW w:w="1457" w:type="dxa"/>
          </w:tcPr>
          <w:p>
            <w:pPr>
              <w:pStyle w:val="TableParagraph"/>
              <w:spacing w:line="240" w:lineRule="auto" w:before="112"/>
              <w:ind w:left="11" w:right="3"/>
              <w:rPr>
                <w:sz w:val="20"/>
              </w:rPr>
            </w:pPr>
            <w:r>
              <w:rPr>
                <w:sz w:val="20"/>
              </w:rPr>
              <w:t>10</w:t>
            </w:r>
            <w:r>
              <w:rPr>
                <w:spacing w:val="-3"/>
                <w:sz w:val="20"/>
              </w:rPr>
              <w:t> </w:t>
            </w:r>
            <w:r>
              <w:rPr>
                <w:sz w:val="20"/>
              </w:rPr>
              <w:t>a</w:t>
            </w:r>
            <w:r>
              <w:rPr>
                <w:spacing w:val="-1"/>
                <w:sz w:val="20"/>
              </w:rPr>
              <w:t> </w:t>
            </w:r>
            <w:r>
              <w:rPr>
                <w:spacing w:val="-5"/>
                <w:sz w:val="20"/>
              </w:rPr>
              <w:t>20%</w:t>
            </w:r>
          </w:p>
        </w:tc>
      </w:tr>
      <w:tr>
        <w:trPr>
          <w:trHeight w:val="232" w:hRule="atLeast"/>
        </w:trPr>
        <w:tc>
          <w:tcPr>
            <w:tcW w:w="1032" w:type="dxa"/>
          </w:tcPr>
          <w:p>
            <w:pPr>
              <w:pStyle w:val="TableParagraph"/>
              <w:spacing w:line="212" w:lineRule="exact"/>
              <w:ind w:left="9"/>
              <w:rPr>
                <w:sz w:val="20"/>
              </w:rPr>
            </w:pPr>
            <w:r>
              <w:rPr>
                <w:spacing w:val="-5"/>
                <w:sz w:val="20"/>
              </w:rPr>
              <w:t>143</w:t>
            </w:r>
          </w:p>
        </w:tc>
        <w:tc>
          <w:tcPr>
            <w:tcW w:w="7060" w:type="dxa"/>
          </w:tcPr>
          <w:p>
            <w:pPr>
              <w:pStyle w:val="TableParagraph"/>
              <w:spacing w:line="212" w:lineRule="exact"/>
              <w:jc w:val="left"/>
              <w:rPr>
                <w:sz w:val="20"/>
              </w:rPr>
            </w:pPr>
            <w:r>
              <w:rPr>
                <w:sz w:val="20"/>
              </w:rPr>
              <w:t>Del</w:t>
            </w:r>
            <w:r>
              <w:rPr>
                <w:spacing w:val="-7"/>
                <w:sz w:val="20"/>
              </w:rPr>
              <w:t> </w:t>
            </w:r>
            <w:r>
              <w:rPr>
                <w:sz w:val="20"/>
              </w:rPr>
              <w:t>metacarpo,</w:t>
            </w:r>
            <w:r>
              <w:rPr>
                <w:spacing w:val="-6"/>
                <w:sz w:val="20"/>
              </w:rPr>
              <w:t> </w:t>
            </w:r>
            <w:r>
              <w:rPr>
                <w:sz w:val="20"/>
              </w:rPr>
              <w:t>con</w:t>
            </w:r>
            <w:r>
              <w:rPr>
                <w:spacing w:val="-6"/>
                <w:sz w:val="20"/>
              </w:rPr>
              <w:t> </w:t>
            </w:r>
            <w:r>
              <w:rPr>
                <w:sz w:val="20"/>
              </w:rPr>
              <w:t>desviación</w:t>
            </w:r>
            <w:r>
              <w:rPr>
                <w:spacing w:val="-7"/>
                <w:sz w:val="20"/>
              </w:rPr>
              <w:t> </w:t>
            </w:r>
            <w:r>
              <w:rPr>
                <w:sz w:val="20"/>
              </w:rPr>
              <w:t>secundaria</w:t>
            </w:r>
            <w:r>
              <w:rPr>
                <w:spacing w:val="-5"/>
                <w:sz w:val="20"/>
              </w:rPr>
              <w:t> </w:t>
            </w:r>
            <w:r>
              <w:rPr>
                <w:sz w:val="20"/>
              </w:rPr>
              <w:t>de</w:t>
            </w:r>
            <w:r>
              <w:rPr>
                <w:spacing w:val="-6"/>
                <w:sz w:val="20"/>
              </w:rPr>
              <w:t> </w:t>
            </w:r>
            <w:r>
              <w:rPr>
                <w:sz w:val="20"/>
              </w:rPr>
              <w:t>la</w:t>
            </w:r>
            <w:r>
              <w:rPr>
                <w:spacing w:val="-6"/>
                <w:sz w:val="20"/>
              </w:rPr>
              <w:t> </w:t>
            </w:r>
            <w:r>
              <w:rPr>
                <w:sz w:val="20"/>
              </w:rPr>
              <w:t>mano</w:t>
            </w:r>
            <w:r>
              <w:rPr>
                <w:spacing w:val="-4"/>
                <w:sz w:val="20"/>
              </w:rPr>
              <w:t> </w:t>
            </w:r>
            <w:r>
              <w:rPr>
                <w:sz w:val="20"/>
              </w:rPr>
              <w:t>y</w:t>
            </w:r>
            <w:r>
              <w:rPr>
                <w:spacing w:val="-9"/>
                <w:sz w:val="20"/>
              </w:rPr>
              <w:t> </w:t>
            </w:r>
            <w:r>
              <w:rPr>
                <w:sz w:val="20"/>
              </w:rPr>
              <w:t>rigidez</w:t>
            </w:r>
            <w:r>
              <w:rPr>
                <w:spacing w:val="-6"/>
                <w:sz w:val="20"/>
              </w:rPr>
              <w:t> </w:t>
            </w:r>
            <w:r>
              <w:rPr>
                <w:sz w:val="20"/>
              </w:rPr>
              <w:t>de</w:t>
            </w:r>
            <w:r>
              <w:rPr>
                <w:spacing w:val="-5"/>
                <w:sz w:val="20"/>
              </w:rPr>
              <w:t> </w:t>
            </w:r>
            <w:r>
              <w:rPr>
                <w:sz w:val="20"/>
              </w:rPr>
              <w:t>los</w:t>
            </w:r>
            <w:r>
              <w:rPr>
                <w:spacing w:val="-3"/>
                <w:sz w:val="20"/>
              </w:rPr>
              <w:t> </w:t>
            </w:r>
            <w:r>
              <w:rPr>
                <w:spacing w:val="-2"/>
                <w:sz w:val="20"/>
              </w:rPr>
              <w:t>dedos.</w:t>
            </w:r>
          </w:p>
        </w:tc>
        <w:tc>
          <w:tcPr>
            <w:tcW w:w="1457" w:type="dxa"/>
          </w:tcPr>
          <w:p>
            <w:pPr>
              <w:pStyle w:val="TableParagraph"/>
              <w:spacing w:line="212" w:lineRule="exact"/>
              <w:ind w:left="11" w:right="3"/>
              <w:rPr>
                <w:sz w:val="20"/>
              </w:rPr>
            </w:pPr>
            <w:r>
              <w:rPr>
                <w:sz w:val="20"/>
              </w:rPr>
              <w:t>10</w:t>
            </w:r>
            <w:r>
              <w:rPr>
                <w:spacing w:val="-3"/>
                <w:sz w:val="20"/>
              </w:rPr>
              <w:t> </w:t>
            </w:r>
            <w:r>
              <w:rPr>
                <w:sz w:val="20"/>
              </w:rPr>
              <w:t>a</w:t>
            </w:r>
            <w:r>
              <w:rPr>
                <w:spacing w:val="-1"/>
                <w:sz w:val="20"/>
              </w:rPr>
              <w:t> </w:t>
            </w:r>
            <w:r>
              <w:rPr>
                <w:spacing w:val="-5"/>
                <w:sz w:val="20"/>
              </w:rPr>
              <w:t>20%</w:t>
            </w:r>
          </w:p>
        </w:tc>
      </w:tr>
    </w:tbl>
    <w:p>
      <w:pPr>
        <w:pStyle w:val="BodyText"/>
        <w:rPr>
          <w:rFonts w:ascii="Arial"/>
          <w:b/>
        </w:rPr>
      </w:pPr>
    </w:p>
    <w:p>
      <w:pPr>
        <w:spacing w:before="0"/>
        <w:ind w:left="295" w:right="296" w:firstLine="0"/>
        <w:jc w:val="center"/>
        <w:rPr>
          <w:rFonts w:ascii="Arial" w:hAnsi="Arial"/>
          <w:b/>
          <w:sz w:val="20"/>
        </w:rPr>
      </w:pPr>
      <w:r>
        <w:rPr>
          <w:rFonts w:ascii="Arial" w:hAnsi="Arial"/>
          <w:b/>
          <w:sz w:val="20"/>
        </w:rPr>
        <w:t>Parálisis</w:t>
      </w:r>
      <w:r>
        <w:rPr>
          <w:rFonts w:ascii="Arial" w:hAnsi="Arial"/>
          <w:b/>
          <w:spacing w:val="-10"/>
          <w:sz w:val="20"/>
        </w:rPr>
        <w:t> </w:t>
      </w:r>
      <w:r>
        <w:rPr>
          <w:rFonts w:ascii="Arial" w:hAnsi="Arial"/>
          <w:b/>
          <w:sz w:val="20"/>
        </w:rPr>
        <w:t>completas</w:t>
      </w:r>
      <w:r>
        <w:rPr>
          <w:rFonts w:ascii="Arial" w:hAnsi="Arial"/>
          <w:b/>
          <w:spacing w:val="-6"/>
          <w:sz w:val="20"/>
        </w:rPr>
        <w:t> </w:t>
      </w:r>
      <w:r>
        <w:rPr>
          <w:rFonts w:ascii="Arial" w:hAnsi="Arial"/>
          <w:b/>
          <w:sz w:val="20"/>
        </w:rPr>
        <w:t>e</w:t>
      </w:r>
      <w:r>
        <w:rPr>
          <w:rFonts w:ascii="Arial" w:hAnsi="Arial"/>
          <w:b/>
          <w:spacing w:val="-9"/>
          <w:sz w:val="20"/>
        </w:rPr>
        <w:t> </w:t>
      </w:r>
      <w:r>
        <w:rPr>
          <w:rFonts w:ascii="Arial" w:hAnsi="Arial"/>
          <w:b/>
          <w:sz w:val="20"/>
        </w:rPr>
        <w:t>incompletas</w:t>
      </w:r>
      <w:r>
        <w:rPr>
          <w:rFonts w:ascii="Arial" w:hAnsi="Arial"/>
          <w:b/>
          <w:spacing w:val="-8"/>
          <w:sz w:val="20"/>
        </w:rPr>
        <w:t> </w:t>
      </w:r>
      <w:r>
        <w:rPr>
          <w:rFonts w:ascii="Arial" w:hAnsi="Arial"/>
          <w:b/>
          <w:sz w:val="20"/>
        </w:rPr>
        <w:t>(paresias)</w:t>
      </w:r>
      <w:r>
        <w:rPr>
          <w:rFonts w:ascii="Arial" w:hAnsi="Arial"/>
          <w:b/>
          <w:spacing w:val="-8"/>
          <w:sz w:val="20"/>
        </w:rPr>
        <w:t> </w:t>
      </w:r>
      <w:r>
        <w:rPr>
          <w:rFonts w:ascii="Arial" w:hAnsi="Arial"/>
          <w:b/>
          <w:sz w:val="20"/>
        </w:rPr>
        <w:t>por</w:t>
      </w:r>
      <w:r>
        <w:rPr>
          <w:rFonts w:ascii="Arial" w:hAnsi="Arial"/>
          <w:b/>
          <w:spacing w:val="-8"/>
          <w:sz w:val="20"/>
        </w:rPr>
        <w:t> </w:t>
      </w:r>
      <w:r>
        <w:rPr>
          <w:rFonts w:ascii="Arial" w:hAnsi="Arial"/>
          <w:b/>
          <w:sz w:val="20"/>
        </w:rPr>
        <w:t>lesiones</w:t>
      </w:r>
      <w:r>
        <w:rPr>
          <w:rFonts w:ascii="Arial" w:hAnsi="Arial"/>
          <w:b/>
          <w:spacing w:val="-7"/>
          <w:sz w:val="20"/>
        </w:rPr>
        <w:t> </w:t>
      </w:r>
      <w:r>
        <w:rPr>
          <w:rFonts w:ascii="Arial" w:hAnsi="Arial"/>
          <w:b/>
          <w:sz w:val="20"/>
        </w:rPr>
        <w:t>de</w:t>
      </w:r>
      <w:r>
        <w:rPr>
          <w:rFonts w:ascii="Arial" w:hAnsi="Arial"/>
          <w:b/>
          <w:spacing w:val="-8"/>
          <w:sz w:val="20"/>
        </w:rPr>
        <w:t> </w:t>
      </w:r>
      <w:r>
        <w:rPr>
          <w:rFonts w:ascii="Arial" w:hAnsi="Arial"/>
          <w:b/>
          <w:sz w:val="20"/>
        </w:rPr>
        <w:t>nervios</w:t>
      </w:r>
      <w:r>
        <w:rPr>
          <w:rFonts w:ascii="Arial" w:hAnsi="Arial"/>
          <w:b/>
          <w:spacing w:val="-9"/>
          <w:sz w:val="20"/>
        </w:rPr>
        <w:t> </w:t>
      </w:r>
      <w:r>
        <w:rPr>
          <w:rFonts w:ascii="Arial" w:hAnsi="Arial"/>
          <w:b/>
          <w:spacing w:val="-2"/>
          <w:sz w:val="20"/>
        </w:rPr>
        <w:t>periféricos</w:t>
      </w:r>
    </w:p>
    <w:p>
      <w:pPr>
        <w:spacing w:after="0"/>
        <w:jc w:val="center"/>
        <w:rPr>
          <w:rFonts w:ascii="Arial" w:hAnsi="Arial"/>
          <w:b/>
          <w:sz w:val="20"/>
        </w:rPr>
        <w:sectPr>
          <w:pgSz w:w="12240" w:h="15840"/>
          <w:pgMar w:header="724" w:footer="712" w:top="1880" w:bottom="900" w:left="1080" w:right="1080"/>
        </w:sectPr>
      </w:pPr>
    </w:p>
    <w:p>
      <w:pPr>
        <w:pStyle w:val="BodyText"/>
        <w:spacing w:before="68"/>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2"/>
        <w:gridCol w:w="7060"/>
        <w:gridCol w:w="1457"/>
      </w:tblGrid>
      <w:tr>
        <w:trPr>
          <w:trHeight w:val="229" w:hRule="atLeast"/>
        </w:trPr>
        <w:tc>
          <w:tcPr>
            <w:tcW w:w="1032" w:type="dxa"/>
          </w:tcPr>
          <w:p>
            <w:pPr>
              <w:pStyle w:val="TableParagraph"/>
              <w:ind w:left="9"/>
              <w:rPr>
                <w:sz w:val="20"/>
              </w:rPr>
            </w:pPr>
            <w:r>
              <w:rPr>
                <w:spacing w:val="-5"/>
                <w:sz w:val="20"/>
              </w:rPr>
              <w:t>144</w:t>
            </w:r>
          </w:p>
        </w:tc>
        <w:tc>
          <w:tcPr>
            <w:tcW w:w="7060" w:type="dxa"/>
          </w:tcPr>
          <w:p>
            <w:pPr>
              <w:pStyle w:val="TableParagraph"/>
              <w:jc w:val="left"/>
              <w:rPr>
                <w:sz w:val="20"/>
              </w:rPr>
            </w:pPr>
            <w:r>
              <w:rPr>
                <w:sz w:val="20"/>
              </w:rPr>
              <w:t>Parálisis</w:t>
            </w:r>
            <w:r>
              <w:rPr>
                <w:spacing w:val="-7"/>
                <w:sz w:val="20"/>
              </w:rPr>
              <w:t> </w:t>
            </w:r>
            <w:r>
              <w:rPr>
                <w:sz w:val="20"/>
              </w:rPr>
              <w:t>total</w:t>
            </w:r>
            <w:r>
              <w:rPr>
                <w:spacing w:val="-8"/>
                <w:sz w:val="20"/>
              </w:rPr>
              <w:t> </w:t>
            </w:r>
            <w:r>
              <w:rPr>
                <w:sz w:val="20"/>
              </w:rPr>
              <w:t>del</w:t>
            </w:r>
            <w:r>
              <w:rPr>
                <w:spacing w:val="-8"/>
                <w:sz w:val="20"/>
              </w:rPr>
              <w:t> </w:t>
            </w:r>
            <w:r>
              <w:rPr>
                <w:sz w:val="20"/>
              </w:rPr>
              <w:t>miembro</w:t>
            </w:r>
            <w:r>
              <w:rPr>
                <w:spacing w:val="-9"/>
                <w:sz w:val="20"/>
              </w:rPr>
              <w:t> </w:t>
            </w:r>
            <w:r>
              <w:rPr>
                <w:spacing w:val="-2"/>
                <w:sz w:val="20"/>
              </w:rPr>
              <w:t>superior.</w:t>
            </w:r>
          </w:p>
        </w:tc>
        <w:tc>
          <w:tcPr>
            <w:tcW w:w="1457" w:type="dxa"/>
          </w:tcPr>
          <w:p>
            <w:pPr>
              <w:pStyle w:val="TableParagraph"/>
              <w:ind w:left="11" w:right="1"/>
              <w:rPr>
                <w:sz w:val="20"/>
              </w:rPr>
            </w:pPr>
            <w:r>
              <w:rPr>
                <w:spacing w:val="-5"/>
                <w:sz w:val="20"/>
              </w:rPr>
              <w:t>70%</w:t>
            </w:r>
          </w:p>
        </w:tc>
      </w:tr>
      <w:tr>
        <w:trPr>
          <w:trHeight w:val="229" w:hRule="atLeast"/>
        </w:trPr>
        <w:tc>
          <w:tcPr>
            <w:tcW w:w="1032" w:type="dxa"/>
          </w:tcPr>
          <w:p>
            <w:pPr>
              <w:pStyle w:val="TableParagraph"/>
              <w:ind w:left="9"/>
              <w:rPr>
                <w:sz w:val="20"/>
              </w:rPr>
            </w:pPr>
            <w:r>
              <w:rPr>
                <w:spacing w:val="-5"/>
                <w:sz w:val="20"/>
              </w:rPr>
              <w:t>145</w:t>
            </w:r>
          </w:p>
        </w:tc>
        <w:tc>
          <w:tcPr>
            <w:tcW w:w="7060" w:type="dxa"/>
          </w:tcPr>
          <w:p>
            <w:pPr>
              <w:pStyle w:val="TableParagraph"/>
              <w:jc w:val="left"/>
              <w:rPr>
                <w:sz w:val="20"/>
              </w:rPr>
            </w:pPr>
            <w:r>
              <w:rPr>
                <w:sz w:val="20"/>
              </w:rPr>
              <w:t>Parálisis</w:t>
            </w:r>
            <w:r>
              <w:rPr>
                <w:spacing w:val="-8"/>
                <w:sz w:val="20"/>
              </w:rPr>
              <w:t> </w:t>
            </w:r>
            <w:r>
              <w:rPr>
                <w:sz w:val="20"/>
              </w:rPr>
              <w:t>del</w:t>
            </w:r>
            <w:r>
              <w:rPr>
                <w:spacing w:val="-8"/>
                <w:sz w:val="20"/>
              </w:rPr>
              <w:t> </w:t>
            </w:r>
            <w:r>
              <w:rPr>
                <w:sz w:val="20"/>
              </w:rPr>
              <w:t>tronco</w:t>
            </w:r>
            <w:r>
              <w:rPr>
                <w:spacing w:val="-8"/>
                <w:sz w:val="20"/>
              </w:rPr>
              <w:t> </w:t>
            </w:r>
            <w:r>
              <w:rPr>
                <w:spacing w:val="-2"/>
                <w:sz w:val="20"/>
              </w:rPr>
              <w:t>superior.</w:t>
            </w:r>
          </w:p>
        </w:tc>
        <w:tc>
          <w:tcPr>
            <w:tcW w:w="1457" w:type="dxa"/>
          </w:tcPr>
          <w:p>
            <w:pPr>
              <w:pStyle w:val="TableParagraph"/>
              <w:ind w:left="11" w:right="1"/>
              <w:rPr>
                <w:sz w:val="20"/>
              </w:rPr>
            </w:pPr>
            <w:r>
              <w:rPr>
                <w:spacing w:val="-5"/>
                <w:sz w:val="20"/>
              </w:rPr>
              <w:t>50%</w:t>
            </w:r>
          </w:p>
        </w:tc>
      </w:tr>
      <w:tr>
        <w:trPr>
          <w:trHeight w:val="229" w:hRule="atLeast"/>
        </w:trPr>
        <w:tc>
          <w:tcPr>
            <w:tcW w:w="1032" w:type="dxa"/>
          </w:tcPr>
          <w:p>
            <w:pPr>
              <w:pStyle w:val="TableParagraph"/>
              <w:ind w:left="9"/>
              <w:rPr>
                <w:sz w:val="20"/>
              </w:rPr>
            </w:pPr>
            <w:r>
              <w:rPr>
                <w:spacing w:val="-5"/>
                <w:sz w:val="20"/>
              </w:rPr>
              <w:t>146</w:t>
            </w:r>
          </w:p>
        </w:tc>
        <w:tc>
          <w:tcPr>
            <w:tcW w:w="7060" w:type="dxa"/>
          </w:tcPr>
          <w:p>
            <w:pPr>
              <w:pStyle w:val="TableParagraph"/>
              <w:jc w:val="left"/>
              <w:rPr>
                <w:sz w:val="20"/>
              </w:rPr>
            </w:pPr>
            <w:r>
              <w:rPr>
                <w:sz w:val="20"/>
              </w:rPr>
              <w:t>Parálisis</w:t>
            </w:r>
            <w:r>
              <w:rPr>
                <w:spacing w:val="-8"/>
                <w:sz w:val="20"/>
              </w:rPr>
              <w:t> </w:t>
            </w:r>
            <w:r>
              <w:rPr>
                <w:sz w:val="20"/>
              </w:rPr>
              <w:t>del</w:t>
            </w:r>
            <w:r>
              <w:rPr>
                <w:spacing w:val="-8"/>
                <w:sz w:val="20"/>
              </w:rPr>
              <w:t> </w:t>
            </w:r>
            <w:r>
              <w:rPr>
                <w:sz w:val="20"/>
              </w:rPr>
              <w:t>tronco</w:t>
            </w:r>
            <w:r>
              <w:rPr>
                <w:spacing w:val="-8"/>
                <w:sz w:val="20"/>
              </w:rPr>
              <w:t> </w:t>
            </w:r>
            <w:r>
              <w:rPr>
                <w:spacing w:val="-2"/>
                <w:sz w:val="20"/>
              </w:rPr>
              <w:t>medio.</w:t>
            </w:r>
          </w:p>
        </w:tc>
        <w:tc>
          <w:tcPr>
            <w:tcW w:w="1457" w:type="dxa"/>
          </w:tcPr>
          <w:p>
            <w:pPr>
              <w:pStyle w:val="TableParagraph"/>
              <w:ind w:left="11" w:right="1"/>
              <w:rPr>
                <w:sz w:val="20"/>
              </w:rPr>
            </w:pPr>
            <w:r>
              <w:rPr>
                <w:spacing w:val="-5"/>
                <w:sz w:val="20"/>
              </w:rPr>
              <w:t>50%</w:t>
            </w:r>
          </w:p>
        </w:tc>
      </w:tr>
      <w:tr>
        <w:trPr>
          <w:trHeight w:val="229" w:hRule="atLeast"/>
        </w:trPr>
        <w:tc>
          <w:tcPr>
            <w:tcW w:w="1032" w:type="dxa"/>
          </w:tcPr>
          <w:p>
            <w:pPr>
              <w:pStyle w:val="TableParagraph"/>
              <w:ind w:left="9"/>
              <w:rPr>
                <w:sz w:val="20"/>
              </w:rPr>
            </w:pPr>
            <w:r>
              <w:rPr>
                <w:spacing w:val="-5"/>
                <w:sz w:val="20"/>
              </w:rPr>
              <w:t>147</w:t>
            </w:r>
          </w:p>
        </w:tc>
        <w:tc>
          <w:tcPr>
            <w:tcW w:w="7060" w:type="dxa"/>
          </w:tcPr>
          <w:p>
            <w:pPr>
              <w:pStyle w:val="TableParagraph"/>
              <w:jc w:val="left"/>
              <w:rPr>
                <w:sz w:val="20"/>
              </w:rPr>
            </w:pPr>
            <w:r>
              <w:rPr>
                <w:sz w:val="20"/>
              </w:rPr>
              <w:t>Parálisis</w:t>
            </w:r>
            <w:r>
              <w:rPr>
                <w:spacing w:val="-8"/>
                <w:sz w:val="20"/>
              </w:rPr>
              <w:t> </w:t>
            </w:r>
            <w:r>
              <w:rPr>
                <w:sz w:val="20"/>
              </w:rPr>
              <w:t>del</w:t>
            </w:r>
            <w:r>
              <w:rPr>
                <w:spacing w:val="-8"/>
                <w:sz w:val="20"/>
              </w:rPr>
              <w:t> </w:t>
            </w:r>
            <w:r>
              <w:rPr>
                <w:sz w:val="20"/>
              </w:rPr>
              <w:t>tronco</w:t>
            </w:r>
            <w:r>
              <w:rPr>
                <w:spacing w:val="-6"/>
                <w:sz w:val="20"/>
              </w:rPr>
              <w:t> </w:t>
            </w:r>
            <w:r>
              <w:rPr>
                <w:spacing w:val="-2"/>
                <w:sz w:val="20"/>
              </w:rPr>
              <w:t>inferior.</w:t>
            </w:r>
          </w:p>
        </w:tc>
        <w:tc>
          <w:tcPr>
            <w:tcW w:w="1457" w:type="dxa"/>
          </w:tcPr>
          <w:p>
            <w:pPr>
              <w:pStyle w:val="TableParagraph"/>
              <w:ind w:left="11" w:right="1"/>
              <w:rPr>
                <w:sz w:val="20"/>
              </w:rPr>
            </w:pPr>
            <w:r>
              <w:rPr>
                <w:spacing w:val="-5"/>
                <w:sz w:val="20"/>
              </w:rPr>
              <w:t>50%</w:t>
            </w:r>
          </w:p>
        </w:tc>
      </w:tr>
      <w:tr>
        <w:trPr>
          <w:trHeight w:val="229" w:hRule="atLeast"/>
        </w:trPr>
        <w:tc>
          <w:tcPr>
            <w:tcW w:w="1032" w:type="dxa"/>
          </w:tcPr>
          <w:p>
            <w:pPr>
              <w:pStyle w:val="TableParagraph"/>
              <w:ind w:left="9"/>
              <w:rPr>
                <w:sz w:val="20"/>
              </w:rPr>
            </w:pPr>
            <w:r>
              <w:rPr>
                <w:spacing w:val="-5"/>
                <w:sz w:val="20"/>
              </w:rPr>
              <w:t>148</w:t>
            </w:r>
          </w:p>
        </w:tc>
        <w:tc>
          <w:tcPr>
            <w:tcW w:w="7060" w:type="dxa"/>
          </w:tcPr>
          <w:p>
            <w:pPr>
              <w:pStyle w:val="TableParagraph"/>
              <w:jc w:val="left"/>
              <w:rPr>
                <w:sz w:val="20"/>
              </w:rPr>
            </w:pPr>
            <w:r>
              <w:rPr>
                <w:sz w:val="20"/>
              </w:rPr>
              <w:t>Parálisis</w:t>
            </w:r>
            <w:r>
              <w:rPr>
                <w:spacing w:val="-9"/>
                <w:sz w:val="20"/>
              </w:rPr>
              <w:t> </w:t>
            </w:r>
            <w:r>
              <w:rPr>
                <w:sz w:val="20"/>
              </w:rPr>
              <w:t>del</w:t>
            </w:r>
            <w:r>
              <w:rPr>
                <w:spacing w:val="-9"/>
                <w:sz w:val="20"/>
              </w:rPr>
              <w:t> </w:t>
            </w:r>
            <w:r>
              <w:rPr>
                <w:sz w:val="20"/>
              </w:rPr>
              <w:t>nervio</w:t>
            </w:r>
            <w:r>
              <w:rPr>
                <w:spacing w:val="-7"/>
                <w:sz w:val="20"/>
              </w:rPr>
              <w:t> </w:t>
            </w:r>
            <w:r>
              <w:rPr>
                <w:spacing w:val="-2"/>
                <w:sz w:val="20"/>
              </w:rPr>
              <w:t>subescapular.</w:t>
            </w:r>
          </w:p>
        </w:tc>
        <w:tc>
          <w:tcPr>
            <w:tcW w:w="1457" w:type="dxa"/>
          </w:tcPr>
          <w:p>
            <w:pPr>
              <w:pStyle w:val="TableParagraph"/>
              <w:ind w:left="11" w:right="1"/>
              <w:rPr>
                <w:sz w:val="20"/>
              </w:rPr>
            </w:pPr>
            <w:r>
              <w:rPr>
                <w:spacing w:val="-5"/>
                <w:sz w:val="20"/>
              </w:rPr>
              <w:t>12%</w:t>
            </w:r>
          </w:p>
        </w:tc>
      </w:tr>
      <w:tr>
        <w:trPr>
          <w:trHeight w:val="229" w:hRule="atLeast"/>
        </w:trPr>
        <w:tc>
          <w:tcPr>
            <w:tcW w:w="1032" w:type="dxa"/>
          </w:tcPr>
          <w:p>
            <w:pPr>
              <w:pStyle w:val="TableParagraph"/>
              <w:ind w:left="9"/>
              <w:rPr>
                <w:sz w:val="20"/>
              </w:rPr>
            </w:pPr>
            <w:r>
              <w:rPr>
                <w:spacing w:val="-5"/>
                <w:sz w:val="20"/>
              </w:rPr>
              <w:t>149</w:t>
            </w:r>
          </w:p>
        </w:tc>
        <w:tc>
          <w:tcPr>
            <w:tcW w:w="7060" w:type="dxa"/>
          </w:tcPr>
          <w:p>
            <w:pPr>
              <w:pStyle w:val="TableParagraph"/>
              <w:jc w:val="left"/>
              <w:rPr>
                <w:sz w:val="20"/>
              </w:rPr>
            </w:pPr>
            <w:r>
              <w:rPr>
                <w:sz w:val="20"/>
              </w:rPr>
              <w:t>Parálisis</w:t>
            </w:r>
            <w:r>
              <w:rPr>
                <w:spacing w:val="-7"/>
                <w:sz w:val="20"/>
              </w:rPr>
              <w:t> </w:t>
            </w:r>
            <w:r>
              <w:rPr>
                <w:sz w:val="20"/>
              </w:rPr>
              <w:t>del</w:t>
            </w:r>
            <w:r>
              <w:rPr>
                <w:spacing w:val="-7"/>
                <w:sz w:val="20"/>
              </w:rPr>
              <w:t> </w:t>
            </w:r>
            <w:r>
              <w:rPr>
                <w:sz w:val="20"/>
              </w:rPr>
              <w:t>nervio</w:t>
            </w:r>
            <w:r>
              <w:rPr>
                <w:spacing w:val="-6"/>
                <w:sz w:val="20"/>
              </w:rPr>
              <w:t> </w:t>
            </w:r>
            <w:r>
              <w:rPr>
                <w:sz w:val="20"/>
              </w:rPr>
              <w:t>circunflejo</w:t>
            </w:r>
            <w:r>
              <w:rPr>
                <w:spacing w:val="-8"/>
                <w:sz w:val="20"/>
              </w:rPr>
              <w:t> </w:t>
            </w:r>
            <w:r>
              <w:rPr>
                <w:sz w:val="20"/>
              </w:rPr>
              <w:t>o</w:t>
            </w:r>
            <w:r>
              <w:rPr>
                <w:spacing w:val="-8"/>
                <w:sz w:val="20"/>
              </w:rPr>
              <w:t> </w:t>
            </w:r>
            <w:r>
              <w:rPr>
                <w:spacing w:val="-2"/>
                <w:sz w:val="20"/>
              </w:rPr>
              <w:t>axilar.</w:t>
            </w:r>
          </w:p>
        </w:tc>
        <w:tc>
          <w:tcPr>
            <w:tcW w:w="1457" w:type="dxa"/>
          </w:tcPr>
          <w:p>
            <w:pPr>
              <w:pStyle w:val="TableParagraph"/>
              <w:ind w:left="11" w:right="1"/>
              <w:rPr>
                <w:sz w:val="20"/>
              </w:rPr>
            </w:pPr>
            <w:r>
              <w:rPr>
                <w:spacing w:val="-5"/>
                <w:sz w:val="20"/>
              </w:rPr>
              <w:t>30%</w:t>
            </w:r>
          </w:p>
        </w:tc>
      </w:tr>
      <w:tr>
        <w:trPr>
          <w:trHeight w:val="229" w:hRule="atLeast"/>
        </w:trPr>
        <w:tc>
          <w:tcPr>
            <w:tcW w:w="1032" w:type="dxa"/>
          </w:tcPr>
          <w:p>
            <w:pPr>
              <w:pStyle w:val="TableParagraph"/>
              <w:ind w:left="9"/>
              <w:rPr>
                <w:sz w:val="20"/>
              </w:rPr>
            </w:pPr>
            <w:r>
              <w:rPr>
                <w:spacing w:val="-5"/>
                <w:sz w:val="20"/>
              </w:rPr>
              <w:t>150</w:t>
            </w:r>
          </w:p>
        </w:tc>
        <w:tc>
          <w:tcPr>
            <w:tcW w:w="7060" w:type="dxa"/>
          </w:tcPr>
          <w:p>
            <w:pPr>
              <w:pStyle w:val="TableParagraph"/>
              <w:jc w:val="left"/>
              <w:rPr>
                <w:sz w:val="20"/>
              </w:rPr>
            </w:pPr>
            <w:r>
              <w:rPr>
                <w:sz w:val="20"/>
              </w:rPr>
              <w:t>Parálisis</w:t>
            </w:r>
            <w:r>
              <w:rPr>
                <w:spacing w:val="-10"/>
                <w:sz w:val="20"/>
              </w:rPr>
              <w:t> </w:t>
            </w:r>
            <w:r>
              <w:rPr>
                <w:sz w:val="20"/>
              </w:rPr>
              <w:t>del</w:t>
            </w:r>
            <w:r>
              <w:rPr>
                <w:spacing w:val="-10"/>
                <w:sz w:val="20"/>
              </w:rPr>
              <w:t> </w:t>
            </w:r>
            <w:r>
              <w:rPr>
                <w:sz w:val="20"/>
              </w:rPr>
              <w:t>nervio</w:t>
            </w:r>
            <w:r>
              <w:rPr>
                <w:spacing w:val="-9"/>
                <w:sz w:val="20"/>
              </w:rPr>
              <w:t> </w:t>
            </w:r>
            <w:r>
              <w:rPr>
                <w:sz w:val="20"/>
              </w:rPr>
              <w:t>músculo-</w:t>
            </w:r>
            <w:r>
              <w:rPr>
                <w:spacing w:val="-2"/>
                <w:sz w:val="20"/>
              </w:rPr>
              <w:t>cutáneo.</w:t>
            </w:r>
          </w:p>
        </w:tc>
        <w:tc>
          <w:tcPr>
            <w:tcW w:w="1457" w:type="dxa"/>
          </w:tcPr>
          <w:p>
            <w:pPr>
              <w:pStyle w:val="TableParagraph"/>
              <w:ind w:left="11" w:right="1"/>
              <w:rPr>
                <w:sz w:val="20"/>
              </w:rPr>
            </w:pPr>
            <w:r>
              <w:rPr>
                <w:spacing w:val="-5"/>
                <w:sz w:val="20"/>
              </w:rPr>
              <w:t>35%</w:t>
            </w:r>
          </w:p>
        </w:tc>
      </w:tr>
      <w:tr>
        <w:trPr>
          <w:trHeight w:val="229" w:hRule="atLeast"/>
        </w:trPr>
        <w:tc>
          <w:tcPr>
            <w:tcW w:w="1032" w:type="dxa"/>
          </w:tcPr>
          <w:p>
            <w:pPr>
              <w:pStyle w:val="TableParagraph"/>
              <w:ind w:left="9"/>
              <w:rPr>
                <w:sz w:val="20"/>
              </w:rPr>
            </w:pPr>
            <w:r>
              <w:rPr>
                <w:spacing w:val="-5"/>
                <w:sz w:val="20"/>
              </w:rPr>
              <w:t>151</w:t>
            </w:r>
          </w:p>
        </w:tc>
        <w:tc>
          <w:tcPr>
            <w:tcW w:w="7060" w:type="dxa"/>
          </w:tcPr>
          <w:p>
            <w:pPr>
              <w:pStyle w:val="TableParagraph"/>
              <w:jc w:val="left"/>
              <w:rPr>
                <w:sz w:val="20"/>
              </w:rPr>
            </w:pPr>
            <w:r>
              <w:rPr>
                <w:sz w:val="20"/>
              </w:rPr>
              <w:t>Parálisis</w:t>
            </w:r>
            <w:r>
              <w:rPr>
                <w:spacing w:val="-7"/>
                <w:sz w:val="20"/>
              </w:rPr>
              <w:t> </w:t>
            </w:r>
            <w:r>
              <w:rPr>
                <w:sz w:val="20"/>
              </w:rPr>
              <w:t>del</w:t>
            </w:r>
            <w:r>
              <w:rPr>
                <w:spacing w:val="-6"/>
                <w:sz w:val="20"/>
              </w:rPr>
              <w:t> </w:t>
            </w:r>
            <w:r>
              <w:rPr>
                <w:sz w:val="20"/>
              </w:rPr>
              <w:t>nervio</w:t>
            </w:r>
            <w:r>
              <w:rPr>
                <w:spacing w:val="-6"/>
                <w:sz w:val="20"/>
              </w:rPr>
              <w:t> </w:t>
            </w:r>
            <w:r>
              <w:rPr>
                <w:sz w:val="20"/>
              </w:rPr>
              <w:t>mediano</w:t>
            </w:r>
            <w:r>
              <w:rPr>
                <w:spacing w:val="-7"/>
                <w:sz w:val="20"/>
              </w:rPr>
              <w:t> </w:t>
            </w:r>
            <w:r>
              <w:rPr>
                <w:sz w:val="20"/>
              </w:rPr>
              <w:t>en</w:t>
            </w:r>
            <w:r>
              <w:rPr>
                <w:spacing w:val="-6"/>
                <w:sz w:val="20"/>
              </w:rPr>
              <w:t> </w:t>
            </w:r>
            <w:r>
              <w:rPr>
                <w:sz w:val="20"/>
              </w:rPr>
              <w:t>el</w:t>
            </w:r>
            <w:r>
              <w:rPr>
                <w:spacing w:val="-7"/>
                <w:sz w:val="20"/>
              </w:rPr>
              <w:t> </w:t>
            </w:r>
            <w:r>
              <w:rPr>
                <w:spacing w:val="-2"/>
                <w:sz w:val="20"/>
              </w:rPr>
              <w:t>brazo.</w:t>
            </w:r>
          </w:p>
        </w:tc>
        <w:tc>
          <w:tcPr>
            <w:tcW w:w="1457" w:type="dxa"/>
          </w:tcPr>
          <w:p>
            <w:pPr>
              <w:pStyle w:val="TableParagraph"/>
              <w:ind w:left="11" w:right="1"/>
              <w:rPr>
                <w:sz w:val="20"/>
              </w:rPr>
            </w:pPr>
            <w:r>
              <w:rPr>
                <w:spacing w:val="-5"/>
                <w:sz w:val="20"/>
              </w:rPr>
              <w:t>45%</w:t>
            </w:r>
          </w:p>
        </w:tc>
      </w:tr>
      <w:tr>
        <w:trPr>
          <w:trHeight w:val="229" w:hRule="atLeast"/>
        </w:trPr>
        <w:tc>
          <w:tcPr>
            <w:tcW w:w="1032" w:type="dxa"/>
          </w:tcPr>
          <w:p>
            <w:pPr>
              <w:pStyle w:val="TableParagraph"/>
              <w:ind w:left="9"/>
              <w:rPr>
                <w:sz w:val="20"/>
              </w:rPr>
            </w:pPr>
            <w:r>
              <w:rPr>
                <w:spacing w:val="-5"/>
                <w:sz w:val="20"/>
              </w:rPr>
              <w:t>152</w:t>
            </w:r>
          </w:p>
        </w:tc>
        <w:tc>
          <w:tcPr>
            <w:tcW w:w="7060" w:type="dxa"/>
          </w:tcPr>
          <w:p>
            <w:pPr>
              <w:pStyle w:val="TableParagraph"/>
              <w:jc w:val="left"/>
              <w:rPr>
                <w:sz w:val="20"/>
              </w:rPr>
            </w:pPr>
            <w:r>
              <w:rPr>
                <w:sz w:val="20"/>
              </w:rPr>
              <w:t>Parálisis</w:t>
            </w:r>
            <w:r>
              <w:rPr>
                <w:spacing w:val="-7"/>
                <w:sz w:val="20"/>
              </w:rPr>
              <w:t> </w:t>
            </w:r>
            <w:r>
              <w:rPr>
                <w:sz w:val="20"/>
              </w:rPr>
              <w:t>del</w:t>
            </w:r>
            <w:r>
              <w:rPr>
                <w:spacing w:val="-7"/>
                <w:sz w:val="20"/>
              </w:rPr>
              <w:t> </w:t>
            </w:r>
            <w:r>
              <w:rPr>
                <w:sz w:val="20"/>
              </w:rPr>
              <w:t>nervio</w:t>
            </w:r>
            <w:r>
              <w:rPr>
                <w:spacing w:val="-6"/>
                <w:sz w:val="20"/>
              </w:rPr>
              <w:t> </w:t>
            </w:r>
            <w:r>
              <w:rPr>
                <w:sz w:val="20"/>
              </w:rPr>
              <w:t>mediano</w:t>
            </w:r>
            <w:r>
              <w:rPr>
                <w:spacing w:val="-7"/>
                <w:sz w:val="20"/>
              </w:rPr>
              <w:t> </w:t>
            </w:r>
            <w:r>
              <w:rPr>
                <w:sz w:val="20"/>
              </w:rPr>
              <w:t>en</w:t>
            </w:r>
            <w:r>
              <w:rPr>
                <w:spacing w:val="-6"/>
                <w:sz w:val="20"/>
              </w:rPr>
              <w:t> </w:t>
            </w:r>
            <w:r>
              <w:rPr>
                <w:sz w:val="20"/>
              </w:rPr>
              <w:t>la</w:t>
            </w:r>
            <w:r>
              <w:rPr>
                <w:spacing w:val="-8"/>
                <w:sz w:val="20"/>
              </w:rPr>
              <w:t> </w:t>
            </w:r>
            <w:r>
              <w:rPr>
                <w:spacing w:val="-2"/>
                <w:sz w:val="20"/>
              </w:rPr>
              <w:t>muñeca.</w:t>
            </w:r>
          </w:p>
        </w:tc>
        <w:tc>
          <w:tcPr>
            <w:tcW w:w="1457" w:type="dxa"/>
          </w:tcPr>
          <w:p>
            <w:pPr>
              <w:pStyle w:val="TableParagraph"/>
              <w:ind w:left="11" w:right="1"/>
              <w:rPr>
                <w:sz w:val="20"/>
              </w:rPr>
            </w:pPr>
            <w:r>
              <w:rPr>
                <w:spacing w:val="-5"/>
                <w:sz w:val="20"/>
              </w:rPr>
              <w:t>30%</w:t>
            </w:r>
          </w:p>
        </w:tc>
      </w:tr>
      <w:tr>
        <w:trPr>
          <w:trHeight w:val="229" w:hRule="atLeast"/>
        </w:trPr>
        <w:tc>
          <w:tcPr>
            <w:tcW w:w="1032" w:type="dxa"/>
          </w:tcPr>
          <w:p>
            <w:pPr>
              <w:pStyle w:val="TableParagraph"/>
              <w:ind w:left="9"/>
              <w:rPr>
                <w:sz w:val="20"/>
              </w:rPr>
            </w:pPr>
            <w:r>
              <w:rPr>
                <w:spacing w:val="-5"/>
                <w:sz w:val="20"/>
              </w:rPr>
              <w:t>153</w:t>
            </w:r>
          </w:p>
        </w:tc>
        <w:tc>
          <w:tcPr>
            <w:tcW w:w="7060" w:type="dxa"/>
          </w:tcPr>
          <w:p>
            <w:pPr>
              <w:pStyle w:val="TableParagraph"/>
              <w:jc w:val="left"/>
              <w:rPr>
                <w:sz w:val="20"/>
              </w:rPr>
            </w:pPr>
            <w:r>
              <w:rPr>
                <w:sz w:val="20"/>
              </w:rPr>
              <w:t>Parálisis</w:t>
            </w:r>
            <w:r>
              <w:rPr>
                <w:spacing w:val="-7"/>
                <w:sz w:val="20"/>
              </w:rPr>
              <w:t> </w:t>
            </w:r>
            <w:r>
              <w:rPr>
                <w:sz w:val="20"/>
              </w:rPr>
              <w:t>del</w:t>
            </w:r>
            <w:r>
              <w:rPr>
                <w:spacing w:val="-7"/>
                <w:sz w:val="20"/>
              </w:rPr>
              <w:t> </w:t>
            </w:r>
            <w:r>
              <w:rPr>
                <w:sz w:val="20"/>
              </w:rPr>
              <w:t>nervio</w:t>
            </w:r>
            <w:r>
              <w:rPr>
                <w:spacing w:val="-5"/>
                <w:sz w:val="20"/>
              </w:rPr>
              <w:t> </w:t>
            </w:r>
            <w:r>
              <w:rPr>
                <w:sz w:val="20"/>
              </w:rPr>
              <w:t>ulnar</w:t>
            </w:r>
            <w:r>
              <w:rPr>
                <w:spacing w:val="-7"/>
                <w:sz w:val="20"/>
              </w:rPr>
              <w:t> </w:t>
            </w:r>
            <w:r>
              <w:rPr>
                <w:sz w:val="20"/>
              </w:rPr>
              <w:t>si</w:t>
            </w:r>
            <w:r>
              <w:rPr>
                <w:spacing w:val="-6"/>
                <w:sz w:val="20"/>
              </w:rPr>
              <w:t> </w:t>
            </w:r>
            <w:r>
              <w:rPr>
                <w:sz w:val="20"/>
              </w:rPr>
              <w:t>está</w:t>
            </w:r>
            <w:r>
              <w:rPr>
                <w:spacing w:val="-9"/>
                <w:sz w:val="20"/>
              </w:rPr>
              <w:t> </w:t>
            </w:r>
            <w:r>
              <w:rPr>
                <w:sz w:val="20"/>
              </w:rPr>
              <w:t>lesionado</w:t>
            </w:r>
            <w:r>
              <w:rPr>
                <w:spacing w:val="-5"/>
                <w:sz w:val="20"/>
              </w:rPr>
              <w:t> </w:t>
            </w:r>
            <w:r>
              <w:rPr>
                <w:sz w:val="20"/>
              </w:rPr>
              <w:t>arriba</w:t>
            </w:r>
            <w:r>
              <w:rPr>
                <w:spacing w:val="-8"/>
                <w:sz w:val="20"/>
              </w:rPr>
              <w:t> </w:t>
            </w:r>
            <w:r>
              <w:rPr>
                <w:sz w:val="20"/>
              </w:rPr>
              <w:t>del</w:t>
            </w:r>
            <w:r>
              <w:rPr>
                <w:spacing w:val="-8"/>
                <w:sz w:val="20"/>
              </w:rPr>
              <w:t> </w:t>
            </w:r>
            <w:r>
              <w:rPr>
                <w:spacing w:val="-4"/>
                <w:sz w:val="20"/>
              </w:rPr>
              <w:t>codo.</w:t>
            </w:r>
          </w:p>
        </w:tc>
        <w:tc>
          <w:tcPr>
            <w:tcW w:w="1457" w:type="dxa"/>
          </w:tcPr>
          <w:p>
            <w:pPr>
              <w:pStyle w:val="TableParagraph"/>
              <w:ind w:left="11" w:right="1"/>
              <w:rPr>
                <w:sz w:val="20"/>
              </w:rPr>
            </w:pPr>
            <w:r>
              <w:rPr>
                <w:spacing w:val="-5"/>
                <w:sz w:val="20"/>
              </w:rPr>
              <w:t>35%</w:t>
            </w:r>
          </w:p>
        </w:tc>
      </w:tr>
      <w:tr>
        <w:trPr>
          <w:trHeight w:val="229" w:hRule="atLeast"/>
        </w:trPr>
        <w:tc>
          <w:tcPr>
            <w:tcW w:w="1032" w:type="dxa"/>
          </w:tcPr>
          <w:p>
            <w:pPr>
              <w:pStyle w:val="TableParagraph"/>
              <w:ind w:left="9"/>
              <w:rPr>
                <w:sz w:val="20"/>
              </w:rPr>
            </w:pPr>
            <w:r>
              <w:rPr>
                <w:spacing w:val="-5"/>
                <w:sz w:val="20"/>
              </w:rPr>
              <w:t>154</w:t>
            </w:r>
          </w:p>
        </w:tc>
        <w:tc>
          <w:tcPr>
            <w:tcW w:w="7060" w:type="dxa"/>
          </w:tcPr>
          <w:p>
            <w:pPr>
              <w:pStyle w:val="TableParagraph"/>
              <w:jc w:val="left"/>
              <w:rPr>
                <w:sz w:val="20"/>
              </w:rPr>
            </w:pPr>
            <w:r>
              <w:rPr>
                <w:sz w:val="20"/>
              </w:rPr>
              <w:t>Parálisis</w:t>
            </w:r>
            <w:r>
              <w:rPr>
                <w:spacing w:val="-7"/>
                <w:sz w:val="20"/>
              </w:rPr>
              <w:t> </w:t>
            </w:r>
            <w:r>
              <w:rPr>
                <w:sz w:val="20"/>
              </w:rPr>
              <w:t>del</w:t>
            </w:r>
            <w:r>
              <w:rPr>
                <w:spacing w:val="-7"/>
                <w:sz w:val="20"/>
              </w:rPr>
              <w:t> </w:t>
            </w:r>
            <w:r>
              <w:rPr>
                <w:sz w:val="20"/>
              </w:rPr>
              <w:t>nervio</w:t>
            </w:r>
            <w:r>
              <w:rPr>
                <w:spacing w:val="-6"/>
                <w:sz w:val="20"/>
              </w:rPr>
              <w:t> </w:t>
            </w:r>
            <w:r>
              <w:rPr>
                <w:sz w:val="20"/>
              </w:rPr>
              <w:t>ulnar</w:t>
            </w:r>
            <w:r>
              <w:rPr>
                <w:spacing w:val="-6"/>
                <w:sz w:val="20"/>
              </w:rPr>
              <w:t> </w:t>
            </w:r>
            <w:r>
              <w:rPr>
                <w:sz w:val="20"/>
              </w:rPr>
              <w:t>si</w:t>
            </w:r>
            <w:r>
              <w:rPr>
                <w:spacing w:val="-7"/>
                <w:sz w:val="20"/>
              </w:rPr>
              <w:t> </w:t>
            </w:r>
            <w:r>
              <w:rPr>
                <w:sz w:val="20"/>
              </w:rPr>
              <w:t>está</w:t>
            </w:r>
            <w:r>
              <w:rPr>
                <w:spacing w:val="-8"/>
                <w:sz w:val="20"/>
              </w:rPr>
              <w:t> </w:t>
            </w:r>
            <w:r>
              <w:rPr>
                <w:sz w:val="20"/>
              </w:rPr>
              <w:t>lesionado</w:t>
            </w:r>
            <w:r>
              <w:rPr>
                <w:spacing w:val="-6"/>
                <w:sz w:val="20"/>
              </w:rPr>
              <w:t> </w:t>
            </w:r>
            <w:r>
              <w:rPr>
                <w:sz w:val="20"/>
              </w:rPr>
              <w:t>abajo</w:t>
            </w:r>
            <w:r>
              <w:rPr>
                <w:spacing w:val="-8"/>
                <w:sz w:val="20"/>
              </w:rPr>
              <w:t> </w:t>
            </w:r>
            <w:r>
              <w:rPr>
                <w:sz w:val="20"/>
              </w:rPr>
              <w:t>del</w:t>
            </w:r>
            <w:r>
              <w:rPr>
                <w:spacing w:val="-8"/>
                <w:sz w:val="20"/>
              </w:rPr>
              <w:t> </w:t>
            </w:r>
            <w:r>
              <w:rPr>
                <w:spacing w:val="-4"/>
                <w:sz w:val="20"/>
              </w:rPr>
              <w:t>codo.</w:t>
            </w:r>
          </w:p>
        </w:tc>
        <w:tc>
          <w:tcPr>
            <w:tcW w:w="1457" w:type="dxa"/>
          </w:tcPr>
          <w:p>
            <w:pPr>
              <w:pStyle w:val="TableParagraph"/>
              <w:ind w:left="11" w:right="1"/>
              <w:rPr>
                <w:sz w:val="20"/>
              </w:rPr>
            </w:pPr>
            <w:r>
              <w:rPr>
                <w:spacing w:val="-5"/>
                <w:sz w:val="20"/>
              </w:rPr>
              <w:t>30%</w:t>
            </w:r>
          </w:p>
        </w:tc>
      </w:tr>
      <w:tr>
        <w:trPr>
          <w:trHeight w:val="232" w:hRule="atLeast"/>
        </w:trPr>
        <w:tc>
          <w:tcPr>
            <w:tcW w:w="1032" w:type="dxa"/>
          </w:tcPr>
          <w:p>
            <w:pPr>
              <w:pStyle w:val="TableParagraph"/>
              <w:spacing w:before="2"/>
              <w:ind w:left="9"/>
              <w:rPr>
                <w:sz w:val="20"/>
              </w:rPr>
            </w:pPr>
            <w:r>
              <w:rPr>
                <w:spacing w:val="-5"/>
                <w:sz w:val="20"/>
              </w:rPr>
              <w:t>155</w:t>
            </w:r>
          </w:p>
        </w:tc>
        <w:tc>
          <w:tcPr>
            <w:tcW w:w="7060" w:type="dxa"/>
          </w:tcPr>
          <w:p>
            <w:pPr>
              <w:pStyle w:val="TableParagraph"/>
              <w:spacing w:before="2"/>
              <w:jc w:val="left"/>
              <w:rPr>
                <w:sz w:val="20"/>
              </w:rPr>
            </w:pPr>
            <w:r>
              <w:rPr>
                <w:sz w:val="20"/>
              </w:rPr>
              <w:t>Parálisis</w:t>
            </w:r>
            <w:r>
              <w:rPr>
                <w:spacing w:val="-7"/>
                <w:sz w:val="20"/>
              </w:rPr>
              <w:t> </w:t>
            </w:r>
            <w:r>
              <w:rPr>
                <w:sz w:val="20"/>
              </w:rPr>
              <w:t>del</w:t>
            </w:r>
            <w:r>
              <w:rPr>
                <w:spacing w:val="-7"/>
                <w:sz w:val="20"/>
              </w:rPr>
              <w:t> </w:t>
            </w:r>
            <w:r>
              <w:rPr>
                <w:sz w:val="20"/>
              </w:rPr>
              <w:t>nervio</w:t>
            </w:r>
            <w:r>
              <w:rPr>
                <w:spacing w:val="-5"/>
                <w:sz w:val="20"/>
              </w:rPr>
              <w:t> </w:t>
            </w:r>
            <w:r>
              <w:rPr>
                <w:sz w:val="20"/>
              </w:rPr>
              <w:t>radial</w:t>
            </w:r>
            <w:r>
              <w:rPr>
                <w:spacing w:val="-7"/>
                <w:sz w:val="20"/>
              </w:rPr>
              <w:t> </w:t>
            </w:r>
            <w:r>
              <w:rPr>
                <w:sz w:val="20"/>
              </w:rPr>
              <w:t>si</w:t>
            </w:r>
            <w:r>
              <w:rPr>
                <w:spacing w:val="-6"/>
                <w:sz w:val="20"/>
              </w:rPr>
              <w:t> </w:t>
            </w:r>
            <w:r>
              <w:rPr>
                <w:sz w:val="20"/>
              </w:rPr>
              <w:t>está</w:t>
            </w:r>
            <w:r>
              <w:rPr>
                <w:spacing w:val="-9"/>
                <w:sz w:val="20"/>
              </w:rPr>
              <w:t> </w:t>
            </w:r>
            <w:r>
              <w:rPr>
                <w:sz w:val="20"/>
              </w:rPr>
              <w:t>lesionado</w:t>
            </w:r>
            <w:r>
              <w:rPr>
                <w:spacing w:val="-7"/>
                <w:sz w:val="20"/>
              </w:rPr>
              <w:t> </w:t>
            </w:r>
            <w:r>
              <w:rPr>
                <w:sz w:val="20"/>
              </w:rPr>
              <w:t>arriba</w:t>
            </w:r>
            <w:r>
              <w:rPr>
                <w:spacing w:val="-8"/>
                <w:sz w:val="20"/>
              </w:rPr>
              <w:t> </w:t>
            </w:r>
            <w:r>
              <w:rPr>
                <w:sz w:val="20"/>
              </w:rPr>
              <w:t>del</w:t>
            </w:r>
            <w:r>
              <w:rPr>
                <w:spacing w:val="-9"/>
                <w:sz w:val="20"/>
              </w:rPr>
              <w:t> </w:t>
            </w:r>
            <w:r>
              <w:rPr>
                <w:spacing w:val="-2"/>
                <w:sz w:val="20"/>
              </w:rPr>
              <w:t>codo.</w:t>
            </w:r>
          </w:p>
        </w:tc>
        <w:tc>
          <w:tcPr>
            <w:tcW w:w="1457" w:type="dxa"/>
          </w:tcPr>
          <w:p>
            <w:pPr>
              <w:pStyle w:val="TableParagraph"/>
              <w:spacing w:before="2"/>
              <w:ind w:left="11" w:right="1"/>
              <w:rPr>
                <w:sz w:val="20"/>
              </w:rPr>
            </w:pPr>
            <w:r>
              <w:rPr>
                <w:spacing w:val="-5"/>
                <w:sz w:val="20"/>
              </w:rPr>
              <w:t>50%</w:t>
            </w:r>
          </w:p>
        </w:tc>
      </w:tr>
      <w:tr>
        <w:trPr>
          <w:trHeight w:val="229" w:hRule="atLeast"/>
        </w:trPr>
        <w:tc>
          <w:tcPr>
            <w:tcW w:w="1032" w:type="dxa"/>
          </w:tcPr>
          <w:p>
            <w:pPr>
              <w:pStyle w:val="TableParagraph"/>
              <w:ind w:left="9"/>
              <w:rPr>
                <w:sz w:val="20"/>
              </w:rPr>
            </w:pPr>
            <w:r>
              <w:rPr>
                <w:spacing w:val="-5"/>
                <w:sz w:val="20"/>
              </w:rPr>
              <w:t>156</w:t>
            </w:r>
          </w:p>
        </w:tc>
        <w:tc>
          <w:tcPr>
            <w:tcW w:w="7060" w:type="dxa"/>
          </w:tcPr>
          <w:p>
            <w:pPr>
              <w:pStyle w:val="TableParagraph"/>
              <w:jc w:val="left"/>
              <w:rPr>
                <w:sz w:val="20"/>
              </w:rPr>
            </w:pPr>
            <w:r>
              <w:rPr>
                <w:sz w:val="20"/>
              </w:rPr>
              <w:t>Parálisis</w:t>
            </w:r>
            <w:r>
              <w:rPr>
                <w:spacing w:val="-7"/>
                <w:sz w:val="20"/>
              </w:rPr>
              <w:t> </w:t>
            </w:r>
            <w:r>
              <w:rPr>
                <w:sz w:val="20"/>
              </w:rPr>
              <w:t>del</w:t>
            </w:r>
            <w:r>
              <w:rPr>
                <w:spacing w:val="-6"/>
                <w:sz w:val="20"/>
              </w:rPr>
              <w:t> </w:t>
            </w:r>
            <w:r>
              <w:rPr>
                <w:sz w:val="20"/>
              </w:rPr>
              <w:t>nervio</w:t>
            </w:r>
            <w:r>
              <w:rPr>
                <w:spacing w:val="-6"/>
                <w:sz w:val="20"/>
              </w:rPr>
              <w:t> </w:t>
            </w:r>
            <w:r>
              <w:rPr>
                <w:sz w:val="20"/>
              </w:rPr>
              <w:t>radial</w:t>
            </w:r>
            <w:r>
              <w:rPr>
                <w:spacing w:val="-7"/>
                <w:sz w:val="20"/>
              </w:rPr>
              <w:t> </w:t>
            </w:r>
            <w:r>
              <w:rPr>
                <w:sz w:val="20"/>
              </w:rPr>
              <w:t>si</w:t>
            </w:r>
            <w:r>
              <w:rPr>
                <w:spacing w:val="-6"/>
                <w:sz w:val="20"/>
              </w:rPr>
              <w:t> </w:t>
            </w:r>
            <w:r>
              <w:rPr>
                <w:sz w:val="20"/>
              </w:rPr>
              <w:t>está</w:t>
            </w:r>
            <w:r>
              <w:rPr>
                <w:spacing w:val="-8"/>
                <w:sz w:val="20"/>
              </w:rPr>
              <w:t> </w:t>
            </w:r>
            <w:r>
              <w:rPr>
                <w:sz w:val="20"/>
              </w:rPr>
              <w:t>lesionado</w:t>
            </w:r>
            <w:r>
              <w:rPr>
                <w:spacing w:val="-8"/>
                <w:sz w:val="20"/>
              </w:rPr>
              <w:t> </w:t>
            </w:r>
            <w:r>
              <w:rPr>
                <w:sz w:val="20"/>
              </w:rPr>
              <w:t>abajo</w:t>
            </w:r>
            <w:r>
              <w:rPr>
                <w:spacing w:val="-7"/>
                <w:sz w:val="20"/>
              </w:rPr>
              <w:t> </w:t>
            </w:r>
            <w:r>
              <w:rPr>
                <w:sz w:val="20"/>
              </w:rPr>
              <w:t>del</w:t>
            </w:r>
            <w:r>
              <w:rPr>
                <w:spacing w:val="-8"/>
                <w:sz w:val="20"/>
              </w:rPr>
              <w:t> </w:t>
            </w:r>
            <w:r>
              <w:rPr>
                <w:spacing w:val="-4"/>
                <w:sz w:val="20"/>
              </w:rPr>
              <w:t>codo.</w:t>
            </w:r>
          </w:p>
        </w:tc>
        <w:tc>
          <w:tcPr>
            <w:tcW w:w="1457" w:type="dxa"/>
          </w:tcPr>
          <w:p>
            <w:pPr>
              <w:pStyle w:val="TableParagraph"/>
              <w:ind w:left="11" w:right="1"/>
              <w:rPr>
                <w:sz w:val="20"/>
              </w:rPr>
            </w:pPr>
            <w:r>
              <w:rPr>
                <w:spacing w:val="-5"/>
                <w:sz w:val="20"/>
              </w:rPr>
              <w:t>40%</w:t>
            </w:r>
          </w:p>
        </w:tc>
      </w:tr>
      <w:tr>
        <w:trPr>
          <w:trHeight w:val="918" w:hRule="atLeast"/>
        </w:trPr>
        <w:tc>
          <w:tcPr>
            <w:tcW w:w="1032" w:type="dxa"/>
          </w:tcPr>
          <w:p>
            <w:pPr>
              <w:pStyle w:val="TableParagraph"/>
              <w:spacing w:line="240" w:lineRule="auto" w:before="112"/>
              <w:ind w:left="0"/>
              <w:jc w:val="left"/>
              <w:rPr>
                <w:rFonts w:ascii="Arial"/>
                <w:b/>
                <w:sz w:val="20"/>
              </w:rPr>
            </w:pPr>
          </w:p>
          <w:p>
            <w:pPr>
              <w:pStyle w:val="TableParagraph"/>
              <w:spacing w:line="240" w:lineRule="auto"/>
              <w:ind w:left="9"/>
              <w:rPr>
                <w:sz w:val="20"/>
              </w:rPr>
            </w:pPr>
            <w:r>
              <w:rPr>
                <w:spacing w:val="-5"/>
                <w:sz w:val="20"/>
              </w:rPr>
              <w:t>157</w:t>
            </w:r>
          </w:p>
        </w:tc>
        <w:tc>
          <w:tcPr>
            <w:tcW w:w="7060" w:type="dxa"/>
          </w:tcPr>
          <w:p>
            <w:pPr>
              <w:pStyle w:val="TableParagraph"/>
              <w:spacing w:line="240" w:lineRule="auto"/>
              <w:ind w:right="61"/>
              <w:jc w:val="both"/>
              <w:rPr>
                <w:sz w:val="20"/>
              </w:rPr>
            </w:pPr>
            <w:r>
              <w:rPr>
                <w:sz w:val="20"/>
              </w:rPr>
              <w:t>En caso de parálisis combinadas por lesiones de los nervios antes mencionados en ambos miembros, se sumarán los porcentajes correspondientes</w:t>
            </w:r>
            <w:r>
              <w:rPr>
                <w:spacing w:val="46"/>
                <w:sz w:val="20"/>
              </w:rPr>
              <w:t> </w:t>
            </w:r>
            <w:r>
              <w:rPr>
                <w:sz w:val="20"/>
              </w:rPr>
              <w:t>a</w:t>
            </w:r>
            <w:r>
              <w:rPr>
                <w:spacing w:val="46"/>
                <w:sz w:val="20"/>
              </w:rPr>
              <w:t> </w:t>
            </w:r>
            <w:r>
              <w:rPr>
                <w:sz w:val="20"/>
              </w:rPr>
              <w:t>cada</w:t>
            </w:r>
            <w:r>
              <w:rPr>
                <w:spacing w:val="48"/>
                <w:sz w:val="20"/>
              </w:rPr>
              <w:t> </w:t>
            </w:r>
            <w:r>
              <w:rPr>
                <w:sz w:val="20"/>
              </w:rPr>
              <w:t>uno,</w:t>
            </w:r>
            <w:r>
              <w:rPr>
                <w:spacing w:val="46"/>
                <w:sz w:val="20"/>
              </w:rPr>
              <w:t> </w:t>
            </w:r>
            <w:r>
              <w:rPr>
                <w:sz w:val="20"/>
              </w:rPr>
              <w:t>sin</w:t>
            </w:r>
            <w:r>
              <w:rPr>
                <w:spacing w:val="46"/>
                <w:sz w:val="20"/>
              </w:rPr>
              <w:t> </w:t>
            </w:r>
            <w:r>
              <w:rPr>
                <w:sz w:val="20"/>
              </w:rPr>
              <w:t>que</w:t>
            </w:r>
            <w:r>
              <w:rPr>
                <w:spacing w:val="47"/>
                <w:sz w:val="20"/>
              </w:rPr>
              <w:t> </w:t>
            </w:r>
            <w:r>
              <w:rPr>
                <w:sz w:val="20"/>
              </w:rPr>
              <w:t>en</w:t>
            </w:r>
            <w:r>
              <w:rPr>
                <w:spacing w:val="45"/>
                <w:sz w:val="20"/>
              </w:rPr>
              <w:t> </w:t>
            </w:r>
            <w:r>
              <w:rPr>
                <w:sz w:val="20"/>
              </w:rPr>
              <w:t>ningún</w:t>
            </w:r>
            <w:r>
              <w:rPr>
                <w:spacing w:val="45"/>
                <w:sz w:val="20"/>
              </w:rPr>
              <w:t> </w:t>
            </w:r>
            <w:r>
              <w:rPr>
                <w:sz w:val="20"/>
              </w:rPr>
              <w:t>caso</w:t>
            </w:r>
            <w:r>
              <w:rPr>
                <w:spacing w:val="46"/>
                <w:sz w:val="20"/>
              </w:rPr>
              <w:t> </w:t>
            </w:r>
            <w:r>
              <w:rPr>
                <w:sz w:val="20"/>
              </w:rPr>
              <w:t>las</w:t>
            </w:r>
            <w:r>
              <w:rPr>
                <w:spacing w:val="47"/>
                <w:sz w:val="20"/>
              </w:rPr>
              <w:t> </w:t>
            </w:r>
            <w:r>
              <w:rPr>
                <w:spacing w:val="-2"/>
                <w:sz w:val="20"/>
              </w:rPr>
              <w:t>incapacidades</w:t>
            </w:r>
          </w:p>
          <w:p>
            <w:pPr>
              <w:pStyle w:val="TableParagraph"/>
              <w:spacing w:line="209" w:lineRule="exact"/>
              <w:jc w:val="both"/>
              <w:rPr>
                <w:sz w:val="20"/>
              </w:rPr>
            </w:pPr>
            <w:r>
              <w:rPr>
                <w:sz w:val="20"/>
              </w:rPr>
              <w:t>sumadas</w:t>
            </w:r>
            <w:r>
              <w:rPr>
                <w:spacing w:val="-5"/>
                <w:sz w:val="20"/>
              </w:rPr>
              <w:t> </w:t>
            </w:r>
            <w:r>
              <w:rPr>
                <w:sz w:val="20"/>
              </w:rPr>
              <w:t>pasen</w:t>
            </w:r>
            <w:r>
              <w:rPr>
                <w:spacing w:val="-4"/>
                <w:sz w:val="20"/>
              </w:rPr>
              <w:t> </w:t>
            </w:r>
            <w:r>
              <w:rPr>
                <w:sz w:val="20"/>
              </w:rPr>
              <w:t>del</w:t>
            </w:r>
            <w:r>
              <w:rPr>
                <w:spacing w:val="-7"/>
                <w:sz w:val="20"/>
              </w:rPr>
              <w:t> </w:t>
            </w:r>
            <w:r>
              <w:rPr>
                <w:sz w:val="20"/>
              </w:rPr>
              <w:t>cien</w:t>
            </w:r>
            <w:r>
              <w:rPr>
                <w:spacing w:val="-5"/>
                <w:sz w:val="20"/>
              </w:rPr>
              <w:t> </w:t>
            </w:r>
            <w:r>
              <w:rPr>
                <w:sz w:val="20"/>
              </w:rPr>
              <w:t>por</w:t>
            </w:r>
            <w:r>
              <w:rPr>
                <w:spacing w:val="-5"/>
                <w:sz w:val="20"/>
              </w:rPr>
              <w:t> </w:t>
            </w:r>
            <w:r>
              <w:rPr>
                <w:spacing w:val="-2"/>
                <w:sz w:val="20"/>
              </w:rPr>
              <w:t>ciento.</w:t>
            </w:r>
          </w:p>
        </w:tc>
        <w:tc>
          <w:tcPr>
            <w:tcW w:w="1457" w:type="dxa"/>
          </w:tcPr>
          <w:p>
            <w:pPr>
              <w:pStyle w:val="TableParagraph"/>
              <w:spacing w:line="240" w:lineRule="auto" w:before="112"/>
              <w:ind w:left="0"/>
              <w:jc w:val="left"/>
              <w:rPr>
                <w:rFonts w:ascii="Arial"/>
                <w:b/>
                <w:sz w:val="20"/>
              </w:rPr>
            </w:pPr>
          </w:p>
          <w:p>
            <w:pPr>
              <w:pStyle w:val="TableParagraph"/>
              <w:spacing w:line="240" w:lineRule="auto"/>
              <w:ind w:left="11"/>
              <w:rPr>
                <w:sz w:val="20"/>
              </w:rPr>
            </w:pPr>
            <w:r>
              <w:rPr>
                <w:spacing w:val="-2"/>
                <w:sz w:val="20"/>
              </w:rPr>
              <w:t>-</w:t>
            </w:r>
            <w:r>
              <w:rPr>
                <w:spacing w:val="-12"/>
                <w:sz w:val="20"/>
              </w:rPr>
              <w:t>-</w:t>
            </w:r>
          </w:p>
        </w:tc>
      </w:tr>
      <w:tr>
        <w:trPr>
          <w:trHeight w:val="921" w:hRule="atLeast"/>
        </w:trPr>
        <w:tc>
          <w:tcPr>
            <w:tcW w:w="1032" w:type="dxa"/>
          </w:tcPr>
          <w:p>
            <w:pPr>
              <w:pStyle w:val="TableParagraph"/>
              <w:spacing w:line="240" w:lineRule="auto" w:before="114"/>
              <w:ind w:left="0"/>
              <w:jc w:val="left"/>
              <w:rPr>
                <w:rFonts w:ascii="Arial"/>
                <w:b/>
                <w:sz w:val="20"/>
              </w:rPr>
            </w:pPr>
          </w:p>
          <w:p>
            <w:pPr>
              <w:pStyle w:val="TableParagraph"/>
              <w:spacing w:line="240" w:lineRule="auto" w:before="1"/>
              <w:ind w:left="9"/>
              <w:rPr>
                <w:sz w:val="20"/>
              </w:rPr>
            </w:pPr>
            <w:r>
              <w:rPr>
                <w:spacing w:val="-5"/>
                <w:sz w:val="20"/>
              </w:rPr>
              <w:t>158</w:t>
            </w:r>
          </w:p>
        </w:tc>
        <w:tc>
          <w:tcPr>
            <w:tcW w:w="7060" w:type="dxa"/>
          </w:tcPr>
          <w:p>
            <w:pPr>
              <w:pStyle w:val="TableParagraph"/>
              <w:spacing w:line="230" w:lineRule="exact"/>
              <w:ind w:right="58"/>
              <w:jc w:val="both"/>
              <w:rPr>
                <w:sz w:val="20"/>
              </w:rPr>
            </w:pPr>
            <w:r>
              <w:rPr>
                <w:sz w:val="20"/>
              </w:rPr>
              <w:t>En caso de parálisis incompleta o parcial (paresias), los porcentajes serán reducidos proporcionalmente de acuerdo con el grado de impotencia funcional. El valor máximo otorgado no podrá ser superior al valor mínimo</w:t>
            </w:r>
            <w:r>
              <w:rPr>
                <w:spacing w:val="40"/>
                <w:sz w:val="20"/>
              </w:rPr>
              <w:t> </w:t>
            </w:r>
            <w:r>
              <w:rPr>
                <w:sz w:val="20"/>
              </w:rPr>
              <w:t>que se otorga por parálisis.</w:t>
            </w:r>
          </w:p>
        </w:tc>
        <w:tc>
          <w:tcPr>
            <w:tcW w:w="1457" w:type="dxa"/>
          </w:tcPr>
          <w:p>
            <w:pPr>
              <w:pStyle w:val="TableParagraph"/>
              <w:spacing w:line="240" w:lineRule="auto" w:before="114"/>
              <w:ind w:left="0"/>
              <w:jc w:val="left"/>
              <w:rPr>
                <w:rFonts w:ascii="Arial"/>
                <w:b/>
                <w:sz w:val="20"/>
              </w:rPr>
            </w:pPr>
          </w:p>
          <w:p>
            <w:pPr>
              <w:pStyle w:val="TableParagraph"/>
              <w:spacing w:line="240" w:lineRule="auto" w:before="1"/>
              <w:ind w:left="11"/>
              <w:rPr>
                <w:sz w:val="20"/>
              </w:rPr>
            </w:pPr>
            <w:r>
              <w:rPr>
                <w:spacing w:val="-2"/>
                <w:sz w:val="20"/>
              </w:rPr>
              <w:t>-</w:t>
            </w:r>
            <w:r>
              <w:rPr>
                <w:spacing w:val="-12"/>
                <w:sz w:val="20"/>
              </w:rPr>
              <w:t>-</w:t>
            </w:r>
          </w:p>
        </w:tc>
      </w:tr>
      <w:tr>
        <w:trPr>
          <w:trHeight w:val="229" w:hRule="atLeast"/>
        </w:trPr>
        <w:tc>
          <w:tcPr>
            <w:tcW w:w="1032" w:type="dxa"/>
          </w:tcPr>
          <w:p>
            <w:pPr>
              <w:pStyle w:val="TableParagraph"/>
              <w:ind w:left="9"/>
              <w:rPr>
                <w:sz w:val="20"/>
              </w:rPr>
            </w:pPr>
            <w:r>
              <w:rPr>
                <w:spacing w:val="-5"/>
                <w:sz w:val="20"/>
              </w:rPr>
              <w:t>159</w:t>
            </w:r>
          </w:p>
        </w:tc>
        <w:tc>
          <w:tcPr>
            <w:tcW w:w="7060" w:type="dxa"/>
          </w:tcPr>
          <w:p>
            <w:pPr>
              <w:pStyle w:val="TableParagraph"/>
              <w:jc w:val="left"/>
              <w:rPr>
                <w:sz w:val="20"/>
              </w:rPr>
            </w:pPr>
            <w:r>
              <w:rPr>
                <w:sz w:val="20"/>
              </w:rPr>
              <w:t>Síndrome</w:t>
            </w:r>
            <w:r>
              <w:rPr>
                <w:spacing w:val="-10"/>
                <w:sz w:val="20"/>
              </w:rPr>
              <w:t> </w:t>
            </w:r>
            <w:r>
              <w:rPr>
                <w:sz w:val="20"/>
              </w:rPr>
              <w:t>de</w:t>
            </w:r>
            <w:r>
              <w:rPr>
                <w:spacing w:val="-10"/>
                <w:sz w:val="20"/>
              </w:rPr>
              <w:t> </w:t>
            </w:r>
            <w:r>
              <w:rPr>
                <w:sz w:val="20"/>
              </w:rPr>
              <w:t>dolor</w:t>
            </w:r>
            <w:r>
              <w:rPr>
                <w:spacing w:val="-9"/>
                <w:sz w:val="20"/>
              </w:rPr>
              <w:t> </w:t>
            </w:r>
            <w:r>
              <w:rPr>
                <w:sz w:val="20"/>
              </w:rPr>
              <w:t>regional</w:t>
            </w:r>
            <w:r>
              <w:rPr>
                <w:spacing w:val="-9"/>
                <w:sz w:val="20"/>
              </w:rPr>
              <w:t> </w:t>
            </w:r>
            <w:r>
              <w:rPr>
                <w:sz w:val="20"/>
              </w:rPr>
              <w:t>complejo</w:t>
            </w:r>
            <w:r>
              <w:rPr>
                <w:spacing w:val="-9"/>
                <w:sz w:val="20"/>
              </w:rPr>
              <w:t> </w:t>
            </w:r>
            <w:r>
              <w:rPr>
                <w:sz w:val="20"/>
              </w:rPr>
              <w:t>hombro-</w:t>
            </w:r>
            <w:r>
              <w:rPr>
                <w:spacing w:val="-4"/>
                <w:sz w:val="20"/>
              </w:rPr>
              <w:t>mano.</w:t>
            </w:r>
          </w:p>
        </w:tc>
        <w:tc>
          <w:tcPr>
            <w:tcW w:w="1457" w:type="dxa"/>
          </w:tcPr>
          <w:p>
            <w:pPr>
              <w:pStyle w:val="TableParagraph"/>
              <w:ind w:left="11" w:right="3"/>
              <w:rPr>
                <w:sz w:val="20"/>
              </w:rPr>
            </w:pPr>
            <w:r>
              <w:rPr>
                <w:sz w:val="20"/>
              </w:rPr>
              <w:t>20</w:t>
            </w:r>
            <w:r>
              <w:rPr>
                <w:spacing w:val="-3"/>
                <w:sz w:val="20"/>
              </w:rPr>
              <w:t> </w:t>
            </w:r>
            <w:r>
              <w:rPr>
                <w:sz w:val="20"/>
              </w:rPr>
              <w:t>a</w:t>
            </w:r>
            <w:r>
              <w:rPr>
                <w:spacing w:val="-1"/>
                <w:sz w:val="20"/>
              </w:rPr>
              <w:t> </w:t>
            </w:r>
            <w:r>
              <w:rPr>
                <w:spacing w:val="-5"/>
                <w:sz w:val="20"/>
              </w:rPr>
              <w:t>60%</w:t>
            </w:r>
          </w:p>
        </w:tc>
      </w:tr>
      <w:tr>
        <w:trPr>
          <w:trHeight w:val="229" w:hRule="atLeast"/>
        </w:trPr>
        <w:tc>
          <w:tcPr>
            <w:tcW w:w="1032" w:type="dxa"/>
          </w:tcPr>
          <w:p>
            <w:pPr>
              <w:pStyle w:val="TableParagraph"/>
              <w:ind w:left="9"/>
              <w:rPr>
                <w:sz w:val="20"/>
              </w:rPr>
            </w:pPr>
            <w:r>
              <w:rPr>
                <w:spacing w:val="-5"/>
                <w:sz w:val="20"/>
              </w:rPr>
              <w:t>160</w:t>
            </w:r>
          </w:p>
        </w:tc>
        <w:tc>
          <w:tcPr>
            <w:tcW w:w="7060" w:type="dxa"/>
          </w:tcPr>
          <w:p>
            <w:pPr>
              <w:pStyle w:val="TableParagraph"/>
              <w:jc w:val="left"/>
              <w:rPr>
                <w:sz w:val="20"/>
              </w:rPr>
            </w:pPr>
            <w:r>
              <w:rPr>
                <w:sz w:val="20"/>
              </w:rPr>
              <w:t>Síndrome</w:t>
            </w:r>
            <w:r>
              <w:rPr>
                <w:spacing w:val="-9"/>
                <w:sz w:val="20"/>
              </w:rPr>
              <w:t> </w:t>
            </w:r>
            <w:r>
              <w:rPr>
                <w:sz w:val="20"/>
              </w:rPr>
              <w:t>de</w:t>
            </w:r>
            <w:r>
              <w:rPr>
                <w:spacing w:val="-9"/>
                <w:sz w:val="20"/>
              </w:rPr>
              <w:t> </w:t>
            </w:r>
            <w:r>
              <w:rPr>
                <w:sz w:val="20"/>
              </w:rPr>
              <w:t>dolor</w:t>
            </w:r>
            <w:r>
              <w:rPr>
                <w:spacing w:val="-8"/>
                <w:sz w:val="20"/>
              </w:rPr>
              <w:t> </w:t>
            </w:r>
            <w:r>
              <w:rPr>
                <w:sz w:val="20"/>
              </w:rPr>
              <w:t>regional</w:t>
            </w:r>
            <w:r>
              <w:rPr>
                <w:spacing w:val="-7"/>
                <w:sz w:val="20"/>
              </w:rPr>
              <w:t> </w:t>
            </w:r>
            <w:r>
              <w:rPr>
                <w:sz w:val="20"/>
              </w:rPr>
              <w:t>complejo</w:t>
            </w:r>
            <w:r>
              <w:rPr>
                <w:spacing w:val="-8"/>
                <w:sz w:val="20"/>
              </w:rPr>
              <w:t> </w:t>
            </w:r>
            <w:r>
              <w:rPr>
                <w:spacing w:val="-2"/>
                <w:sz w:val="20"/>
              </w:rPr>
              <w:t>hombro.</w:t>
            </w:r>
          </w:p>
        </w:tc>
        <w:tc>
          <w:tcPr>
            <w:tcW w:w="1457" w:type="dxa"/>
          </w:tcPr>
          <w:p>
            <w:pPr>
              <w:pStyle w:val="TableParagraph"/>
              <w:ind w:left="11" w:right="3"/>
              <w:rPr>
                <w:sz w:val="20"/>
              </w:rPr>
            </w:pPr>
            <w:r>
              <w:rPr>
                <w:sz w:val="20"/>
              </w:rPr>
              <w:t>10</w:t>
            </w:r>
            <w:r>
              <w:rPr>
                <w:spacing w:val="-3"/>
                <w:sz w:val="20"/>
              </w:rPr>
              <w:t> </w:t>
            </w:r>
            <w:r>
              <w:rPr>
                <w:sz w:val="20"/>
              </w:rPr>
              <w:t>a</w:t>
            </w:r>
            <w:r>
              <w:rPr>
                <w:spacing w:val="-1"/>
                <w:sz w:val="20"/>
              </w:rPr>
              <w:t> </w:t>
            </w:r>
            <w:r>
              <w:rPr>
                <w:spacing w:val="-5"/>
                <w:sz w:val="20"/>
              </w:rPr>
              <w:t>30%</w:t>
            </w:r>
          </w:p>
        </w:tc>
      </w:tr>
      <w:tr>
        <w:trPr>
          <w:trHeight w:val="229" w:hRule="atLeast"/>
        </w:trPr>
        <w:tc>
          <w:tcPr>
            <w:tcW w:w="1032" w:type="dxa"/>
          </w:tcPr>
          <w:p>
            <w:pPr>
              <w:pStyle w:val="TableParagraph"/>
              <w:ind w:left="9"/>
              <w:rPr>
                <w:sz w:val="20"/>
              </w:rPr>
            </w:pPr>
            <w:r>
              <w:rPr>
                <w:spacing w:val="-5"/>
                <w:sz w:val="20"/>
              </w:rPr>
              <w:t>161</w:t>
            </w:r>
          </w:p>
        </w:tc>
        <w:tc>
          <w:tcPr>
            <w:tcW w:w="7060" w:type="dxa"/>
          </w:tcPr>
          <w:p>
            <w:pPr>
              <w:pStyle w:val="TableParagraph"/>
              <w:jc w:val="left"/>
              <w:rPr>
                <w:sz w:val="20"/>
              </w:rPr>
            </w:pPr>
            <w:r>
              <w:rPr>
                <w:sz w:val="20"/>
              </w:rPr>
              <w:t>Síndrome</w:t>
            </w:r>
            <w:r>
              <w:rPr>
                <w:spacing w:val="-9"/>
                <w:sz w:val="20"/>
              </w:rPr>
              <w:t> </w:t>
            </w:r>
            <w:r>
              <w:rPr>
                <w:sz w:val="20"/>
              </w:rPr>
              <w:t>de</w:t>
            </w:r>
            <w:r>
              <w:rPr>
                <w:spacing w:val="-9"/>
                <w:sz w:val="20"/>
              </w:rPr>
              <w:t> </w:t>
            </w:r>
            <w:r>
              <w:rPr>
                <w:sz w:val="20"/>
              </w:rPr>
              <w:t>dolor</w:t>
            </w:r>
            <w:r>
              <w:rPr>
                <w:spacing w:val="-9"/>
                <w:sz w:val="20"/>
              </w:rPr>
              <w:t> </w:t>
            </w:r>
            <w:r>
              <w:rPr>
                <w:sz w:val="20"/>
              </w:rPr>
              <w:t>regional</w:t>
            </w:r>
            <w:r>
              <w:rPr>
                <w:spacing w:val="-8"/>
                <w:sz w:val="20"/>
              </w:rPr>
              <w:t> </w:t>
            </w:r>
            <w:r>
              <w:rPr>
                <w:sz w:val="20"/>
              </w:rPr>
              <w:t>complejo</w:t>
            </w:r>
            <w:r>
              <w:rPr>
                <w:spacing w:val="-12"/>
                <w:sz w:val="20"/>
              </w:rPr>
              <w:t> </w:t>
            </w:r>
            <w:r>
              <w:rPr>
                <w:sz w:val="20"/>
              </w:rPr>
              <w:t>mano-</w:t>
            </w:r>
            <w:r>
              <w:rPr>
                <w:spacing w:val="-2"/>
                <w:sz w:val="20"/>
              </w:rPr>
              <w:t>muñeca.</w:t>
            </w:r>
          </w:p>
        </w:tc>
        <w:tc>
          <w:tcPr>
            <w:tcW w:w="1457" w:type="dxa"/>
          </w:tcPr>
          <w:p>
            <w:pPr>
              <w:pStyle w:val="TableParagraph"/>
              <w:ind w:left="11" w:right="3"/>
              <w:rPr>
                <w:sz w:val="20"/>
              </w:rPr>
            </w:pPr>
            <w:r>
              <w:rPr>
                <w:sz w:val="20"/>
              </w:rPr>
              <w:t>10</w:t>
            </w:r>
            <w:r>
              <w:rPr>
                <w:spacing w:val="-3"/>
                <w:sz w:val="20"/>
              </w:rPr>
              <w:t> </w:t>
            </w:r>
            <w:r>
              <w:rPr>
                <w:sz w:val="20"/>
              </w:rPr>
              <w:t>a</w:t>
            </w:r>
            <w:r>
              <w:rPr>
                <w:spacing w:val="-1"/>
                <w:sz w:val="20"/>
              </w:rPr>
              <w:t> </w:t>
            </w:r>
            <w:r>
              <w:rPr>
                <w:spacing w:val="-5"/>
                <w:sz w:val="20"/>
              </w:rPr>
              <w:t>30%</w:t>
            </w:r>
          </w:p>
        </w:tc>
      </w:tr>
    </w:tbl>
    <w:p>
      <w:pPr>
        <w:pStyle w:val="BodyText"/>
        <w:spacing w:before="10"/>
        <w:rPr>
          <w:rFonts w:ascii="Arial"/>
          <w:b/>
        </w:rPr>
      </w:pPr>
    </w:p>
    <w:p>
      <w:pPr>
        <w:spacing w:before="0"/>
        <w:ind w:left="293" w:right="296" w:firstLine="0"/>
        <w:jc w:val="center"/>
        <w:rPr>
          <w:rFonts w:ascii="Arial" w:hAnsi="Arial"/>
          <w:b/>
          <w:sz w:val="20"/>
        </w:rPr>
      </w:pPr>
      <w:r>
        <w:rPr>
          <w:rFonts w:ascii="Arial" w:hAnsi="Arial"/>
          <w:b/>
          <w:sz w:val="20"/>
        </w:rPr>
        <w:t>Luxaciones</w:t>
      </w:r>
      <w:r>
        <w:rPr>
          <w:rFonts w:ascii="Arial" w:hAnsi="Arial"/>
          <w:b/>
          <w:spacing w:val="-8"/>
          <w:sz w:val="20"/>
        </w:rPr>
        <w:t> </w:t>
      </w:r>
      <w:r>
        <w:rPr>
          <w:rFonts w:ascii="Arial" w:hAnsi="Arial"/>
          <w:b/>
          <w:sz w:val="20"/>
        </w:rPr>
        <w:t>que</w:t>
      </w:r>
      <w:r>
        <w:rPr>
          <w:rFonts w:ascii="Arial" w:hAnsi="Arial"/>
          <w:b/>
          <w:spacing w:val="-8"/>
          <w:sz w:val="20"/>
        </w:rPr>
        <w:t> </w:t>
      </w:r>
      <w:r>
        <w:rPr>
          <w:rFonts w:ascii="Arial" w:hAnsi="Arial"/>
          <w:b/>
          <w:sz w:val="20"/>
        </w:rPr>
        <w:t>no</w:t>
      </w:r>
      <w:r>
        <w:rPr>
          <w:rFonts w:ascii="Arial" w:hAnsi="Arial"/>
          <w:b/>
          <w:spacing w:val="-7"/>
          <w:sz w:val="20"/>
        </w:rPr>
        <w:t> </w:t>
      </w:r>
      <w:r>
        <w:rPr>
          <w:rFonts w:ascii="Arial" w:hAnsi="Arial"/>
          <w:b/>
          <w:sz w:val="20"/>
        </w:rPr>
        <w:t>puedan</w:t>
      </w:r>
      <w:r>
        <w:rPr>
          <w:rFonts w:ascii="Arial" w:hAnsi="Arial"/>
          <w:b/>
          <w:spacing w:val="-7"/>
          <w:sz w:val="20"/>
        </w:rPr>
        <w:t> </w:t>
      </w:r>
      <w:r>
        <w:rPr>
          <w:rFonts w:ascii="Arial" w:hAnsi="Arial"/>
          <w:b/>
          <w:sz w:val="20"/>
        </w:rPr>
        <w:t>ser</w:t>
      </w:r>
      <w:r>
        <w:rPr>
          <w:rFonts w:ascii="Arial" w:hAnsi="Arial"/>
          <w:b/>
          <w:spacing w:val="-6"/>
          <w:sz w:val="20"/>
        </w:rPr>
        <w:t> </w:t>
      </w:r>
      <w:r>
        <w:rPr>
          <w:rFonts w:ascii="Arial" w:hAnsi="Arial"/>
          <w:b/>
          <w:sz w:val="20"/>
        </w:rPr>
        <w:t>resueltas</w:t>
      </w:r>
      <w:r>
        <w:rPr>
          <w:rFonts w:ascii="Arial" w:hAnsi="Arial"/>
          <w:b/>
          <w:spacing w:val="-8"/>
          <w:sz w:val="20"/>
        </w:rPr>
        <w:t> </w:t>
      </w:r>
      <w:r>
        <w:rPr>
          <w:rFonts w:ascii="Arial" w:hAnsi="Arial"/>
          <w:b/>
          <w:spacing w:val="-2"/>
          <w:sz w:val="20"/>
        </w:rPr>
        <w:t>quirúrgicamente</w:t>
      </w:r>
    </w:p>
    <w:p>
      <w:pPr>
        <w:pStyle w:val="BodyText"/>
        <w:spacing w:before="4"/>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15"/>
        <w:gridCol w:w="7077"/>
        <w:gridCol w:w="1457"/>
      </w:tblGrid>
      <w:tr>
        <w:trPr>
          <w:trHeight w:val="229" w:hRule="atLeast"/>
        </w:trPr>
        <w:tc>
          <w:tcPr>
            <w:tcW w:w="1015" w:type="dxa"/>
          </w:tcPr>
          <w:p>
            <w:pPr>
              <w:pStyle w:val="TableParagraph"/>
              <w:ind w:left="12"/>
              <w:rPr>
                <w:sz w:val="20"/>
              </w:rPr>
            </w:pPr>
            <w:r>
              <w:rPr>
                <w:spacing w:val="-5"/>
                <w:sz w:val="20"/>
              </w:rPr>
              <w:t>162</w:t>
            </w:r>
          </w:p>
        </w:tc>
        <w:tc>
          <w:tcPr>
            <w:tcW w:w="7077" w:type="dxa"/>
          </w:tcPr>
          <w:p>
            <w:pPr>
              <w:pStyle w:val="TableParagraph"/>
              <w:ind w:left="69"/>
              <w:jc w:val="left"/>
              <w:rPr>
                <w:sz w:val="20"/>
              </w:rPr>
            </w:pPr>
            <w:r>
              <w:rPr>
                <w:sz w:val="20"/>
              </w:rPr>
              <w:t>De</w:t>
            </w:r>
            <w:r>
              <w:rPr>
                <w:spacing w:val="-8"/>
                <w:sz w:val="20"/>
              </w:rPr>
              <w:t> </w:t>
            </w:r>
            <w:r>
              <w:rPr>
                <w:sz w:val="20"/>
              </w:rPr>
              <w:t>la</w:t>
            </w:r>
            <w:r>
              <w:rPr>
                <w:spacing w:val="-8"/>
                <w:sz w:val="20"/>
              </w:rPr>
              <w:t> </w:t>
            </w:r>
            <w:r>
              <w:rPr>
                <w:sz w:val="20"/>
              </w:rPr>
              <w:t>clavícula,</w:t>
            </w:r>
            <w:r>
              <w:rPr>
                <w:spacing w:val="-5"/>
                <w:sz w:val="20"/>
              </w:rPr>
              <w:t> </w:t>
            </w:r>
            <w:r>
              <w:rPr>
                <w:sz w:val="20"/>
              </w:rPr>
              <w:t>no</w:t>
            </w:r>
            <w:r>
              <w:rPr>
                <w:spacing w:val="-9"/>
                <w:sz w:val="20"/>
              </w:rPr>
              <w:t> </w:t>
            </w:r>
            <w:r>
              <w:rPr>
                <w:sz w:val="20"/>
              </w:rPr>
              <w:t>reducida</w:t>
            </w:r>
            <w:r>
              <w:rPr>
                <w:spacing w:val="-7"/>
                <w:sz w:val="20"/>
              </w:rPr>
              <w:t> </w:t>
            </w:r>
            <w:r>
              <w:rPr>
                <w:sz w:val="20"/>
              </w:rPr>
              <w:t>o</w:t>
            </w:r>
            <w:r>
              <w:rPr>
                <w:spacing w:val="-7"/>
                <w:sz w:val="20"/>
              </w:rPr>
              <w:t> </w:t>
            </w:r>
            <w:r>
              <w:rPr>
                <w:sz w:val="20"/>
              </w:rPr>
              <w:t>irreductible</w:t>
            </w:r>
            <w:r>
              <w:rPr>
                <w:spacing w:val="-8"/>
                <w:sz w:val="20"/>
              </w:rPr>
              <w:t> </w:t>
            </w:r>
            <w:r>
              <w:rPr>
                <w:spacing w:val="-2"/>
                <w:sz w:val="20"/>
              </w:rPr>
              <w:t>esternoclavicular.</w:t>
            </w:r>
          </w:p>
        </w:tc>
        <w:tc>
          <w:tcPr>
            <w:tcW w:w="1457" w:type="dxa"/>
          </w:tcPr>
          <w:p>
            <w:pPr>
              <w:pStyle w:val="TableParagraph"/>
              <w:ind w:left="11" w:right="1"/>
              <w:rPr>
                <w:sz w:val="20"/>
              </w:rPr>
            </w:pPr>
            <w:r>
              <w:rPr>
                <w:spacing w:val="-5"/>
                <w:sz w:val="20"/>
              </w:rPr>
              <w:t>5%</w:t>
            </w:r>
          </w:p>
        </w:tc>
      </w:tr>
      <w:tr>
        <w:trPr>
          <w:trHeight w:val="229" w:hRule="atLeast"/>
        </w:trPr>
        <w:tc>
          <w:tcPr>
            <w:tcW w:w="1015" w:type="dxa"/>
          </w:tcPr>
          <w:p>
            <w:pPr>
              <w:pStyle w:val="TableParagraph"/>
              <w:ind w:left="12"/>
              <w:rPr>
                <w:sz w:val="20"/>
              </w:rPr>
            </w:pPr>
            <w:r>
              <w:rPr>
                <w:spacing w:val="-5"/>
                <w:sz w:val="20"/>
              </w:rPr>
              <w:t>163</w:t>
            </w:r>
          </w:p>
        </w:tc>
        <w:tc>
          <w:tcPr>
            <w:tcW w:w="7077" w:type="dxa"/>
          </w:tcPr>
          <w:p>
            <w:pPr>
              <w:pStyle w:val="TableParagraph"/>
              <w:ind w:left="69"/>
              <w:jc w:val="left"/>
              <w:rPr>
                <w:sz w:val="20"/>
              </w:rPr>
            </w:pPr>
            <w:r>
              <w:rPr>
                <w:sz w:val="20"/>
              </w:rPr>
              <w:t>De</w:t>
            </w:r>
            <w:r>
              <w:rPr>
                <w:spacing w:val="-8"/>
                <w:sz w:val="20"/>
              </w:rPr>
              <w:t> </w:t>
            </w:r>
            <w:r>
              <w:rPr>
                <w:sz w:val="20"/>
              </w:rPr>
              <w:t>la</w:t>
            </w:r>
            <w:r>
              <w:rPr>
                <w:spacing w:val="-8"/>
                <w:sz w:val="20"/>
              </w:rPr>
              <w:t> </w:t>
            </w:r>
            <w:r>
              <w:rPr>
                <w:sz w:val="20"/>
              </w:rPr>
              <w:t>clavícula,</w:t>
            </w:r>
            <w:r>
              <w:rPr>
                <w:spacing w:val="-5"/>
                <w:sz w:val="20"/>
              </w:rPr>
              <w:t> </w:t>
            </w:r>
            <w:r>
              <w:rPr>
                <w:sz w:val="20"/>
              </w:rPr>
              <w:t>no</w:t>
            </w:r>
            <w:r>
              <w:rPr>
                <w:spacing w:val="-8"/>
                <w:sz w:val="20"/>
              </w:rPr>
              <w:t> </w:t>
            </w:r>
            <w:r>
              <w:rPr>
                <w:sz w:val="20"/>
              </w:rPr>
              <w:t>reducida</w:t>
            </w:r>
            <w:r>
              <w:rPr>
                <w:spacing w:val="-8"/>
                <w:sz w:val="20"/>
              </w:rPr>
              <w:t> </w:t>
            </w:r>
            <w:r>
              <w:rPr>
                <w:sz w:val="20"/>
              </w:rPr>
              <w:t>o</w:t>
            </w:r>
            <w:r>
              <w:rPr>
                <w:spacing w:val="-6"/>
                <w:sz w:val="20"/>
              </w:rPr>
              <w:t> </w:t>
            </w:r>
            <w:r>
              <w:rPr>
                <w:sz w:val="20"/>
              </w:rPr>
              <w:t>irreductible</w:t>
            </w:r>
            <w:r>
              <w:rPr>
                <w:spacing w:val="-8"/>
                <w:sz w:val="20"/>
              </w:rPr>
              <w:t> </w:t>
            </w:r>
            <w:r>
              <w:rPr>
                <w:spacing w:val="-2"/>
                <w:sz w:val="20"/>
              </w:rPr>
              <w:t>acromioclavicular.</w:t>
            </w:r>
          </w:p>
        </w:tc>
        <w:tc>
          <w:tcPr>
            <w:tcW w:w="1457" w:type="dxa"/>
          </w:tcPr>
          <w:p>
            <w:pPr>
              <w:pStyle w:val="TableParagraph"/>
              <w:ind w:left="11" w:right="1"/>
              <w:rPr>
                <w:sz w:val="20"/>
              </w:rPr>
            </w:pPr>
            <w:r>
              <w:rPr>
                <w:spacing w:val="-2"/>
                <w:sz w:val="20"/>
              </w:rPr>
              <w:t>10-</w:t>
            </w:r>
            <w:r>
              <w:rPr>
                <w:spacing w:val="-5"/>
                <w:sz w:val="20"/>
              </w:rPr>
              <w:t>30%</w:t>
            </w:r>
          </w:p>
        </w:tc>
      </w:tr>
      <w:tr>
        <w:trPr>
          <w:trHeight w:val="229" w:hRule="atLeast"/>
        </w:trPr>
        <w:tc>
          <w:tcPr>
            <w:tcW w:w="1015" w:type="dxa"/>
          </w:tcPr>
          <w:p>
            <w:pPr>
              <w:pStyle w:val="TableParagraph"/>
              <w:ind w:left="12"/>
              <w:rPr>
                <w:sz w:val="20"/>
              </w:rPr>
            </w:pPr>
            <w:r>
              <w:rPr>
                <w:spacing w:val="-5"/>
                <w:sz w:val="20"/>
              </w:rPr>
              <w:t>164</w:t>
            </w:r>
          </w:p>
        </w:tc>
        <w:tc>
          <w:tcPr>
            <w:tcW w:w="7077" w:type="dxa"/>
          </w:tcPr>
          <w:p>
            <w:pPr>
              <w:pStyle w:val="TableParagraph"/>
              <w:ind w:left="69"/>
              <w:jc w:val="left"/>
              <w:rPr>
                <w:sz w:val="20"/>
              </w:rPr>
            </w:pPr>
            <w:r>
              <w:rPr>
                <w:sz w:val="20"/>
              </w:rPr>
              <w:t>Del</w:t>
            </w:r>
            <w:r>
              <w:rPr>
                <w:spacing w:val="-6"/>
                <w:sz w:val="20"/>
              </w:rPr>
              <w:t> </w:t>
            </w:r>
            <w:r>
              <w:rPr>
                <w:sz w:val="20"/>
              </w:rPr>
              <w:t>hombro,</w:t>
            </w:r>
            <w:r>
              <w:rPr>
                <w:spacing w:val="-6"/>
                <w:sz w:val="20"/>
              </w:rPr>
              <w:t> </w:t>
            </w:r>
            <w:r>
              <w:rPr>
                <w:spacing w:val="-2"/>
                <w:sz w:val="20"/>
              </w:rPr>
              <w:t>glenohumeral.</w:t>
            </w:r>
          </w:p>
        </w:tc>
        <w:tc>
          <w:tcPr>
            <w:tcW w:w="1457" w:type="dxa"/>
          </w:tcPr>
          <w:p>
            <w:pPr>
              <w:pStyle w:val="TableParagraph"/>
              <w:ind w:left="11" w:right="1"/>
              <w:rPr>
                <w:sz w:val="20"/>
              </w:rPr>
            </w:pPr>
            <w:r>
              <w:rPr>
                <w:spacing w:val="-5"/>
                <w:sz w:val="20"/>
              </w:rPr>
              <w:t>30%</w:t>
            </w:r>
          </w:p>
        </w:tc>
      </w:tr>
      <w:tr>
        <w:trPr>
          <w:trHeight w:val="229" w:hRule="atLeast"/>
        </w:trPr>
        <w:tc>
          <w:tcPr>
            <w:tcW w:w="1015" w:type="dxa"/>
          </w:tcPr>
          <w:p>
            <w:pPr>
              <w:pStyle w:val="TableParagraph"/>
              <w:ind w:left="12"/>
              <w:rPr>
                <w:sz w:val="20"/>
              </w:rPr>
            </w:pPr>
            <w:r>
              <w:rPr>
                <w:spacing w:val="-5"/>
                <w:sz w:val="20"/>
              </w:rPr>
              <w:t>165</w:t>
            </w:r>
          </w:p>
        </w:tc>
        <w:tc>
          <w:tcPr>
            <w:tcW w:w="7077" w:type="dxa"/>
          </w:tcPr>
          <w:p>
            <w:pPr>
              <w:pStyle w:val="TableParagraph"/>
              <w:ind w:left="69"/>
              <w:jc w:val="left"/>
              <w:rPr>
                <w:sz w:val="20"/>
              </w:rPr>
            </w:pPr>
            <w:r>
              <w:rPr>
                <w:sz w:val="20"/>
              </w:rPr>
              <w:t>Del</w:t>
            </w:r>
            <w:r>
              <w:rPr>
                <w:spacing w:val="-9"/>
                <w:sz w:val="20"/>
              </w:rPr>
              <w:t> </w:t>
            </w:r>
            <w:r>
              <w:rPr>
                <w:spacing w:val="-2"/>
                <w:sz w:val="20"/>
              </w:rPr>
              <w:t>codo.</w:t>
            </w:r>
          </w:p>
        </w:tc>
        <w:tc>
          <w:tcPr>
            <w:tcW w:w="1457" w:type="dxa"/>
          </w:tcPr>
          <w:p>
            <w:pPr>
              <w:pStyle w:val="TableParagraph"/>
              <w:ind w:left="11" w:right="1"/>
              <w:rPr>
                <w:sz w:val="20"/>
              </w:rPr>
            </w:pPr>
            <w:r>
              <w:rPr>
                <w:spacing w:val="-5"/>
                <w:sz w:val="20"/>
              </w:rPr>
              <w:t>25%</w:t>
            </w:r>
          </w:p>
        </w:tc>
      </w:tr>
      <w:tr>
        <w:trPr>
          <w:trHeight w:val="229" w:hRule="atLeast"/>
        </w:trPr>
        <w:tc>
          <w:tcPr>
            <w:tcW w:w="1015" w:type="dxa"/>
          </w:tcPr>
          <w:p>
            <w:pPr>
              <w:pStyle w:val="TableParagraph"/>
              <w:ind w:left="12"/>
              <w:rPr>
                <w:sz w:val="20"/>
              </w:rPr>
            </w:pPr>
            <w:r>
              <w:rPr>
                <w:spacing w:val="-5"/>
                <w:sz w:val="20"/>
              </w:rPr>
              <w:t>166</w:t>
            </w:r>
          </w:p>
        </w:tc>
        <w:tc>
          <w:tcPr>
            <w:tcW w:w="7077" w:type="dxa"/>
          </w:tcPr>
          <w:p>
            <w:pPr>
              <w:pStyle w:val="TableParagraph"/>
              <w:ind w:left="69"/>
              <w:jc w:val="left"/>
              <w:rPr>
                <w:sz w:val="20"/>
              </w:rPr>
            </w:pPr>
            <w:r>
              <w:rPr>
                <w:sz w:val="20"/>
              </w:rPr>
              <w:t>De</w:t>
            </w:r>
            <w:r>
              <w:rPr>
                <w:spacing w:val="-7"/>
                <w:sz w:val="20"/>
              </w:rPr>
              <w:t> </w:t>
            </w:r>
            <w:r>
              <w:rPr>
                <w:sz w:val="20"/>
              </w:rPr>
              <w:t>la</w:t>
            </w:r>
            <w:r>
              <w:rPr>
                <w:spacing w:val="-6"/>
                <w:sz w:val="20"/>
              </w:rPr>
              <w:t> </w:t>
            </w:r>
            <w:r>
              <w:rPr>
                <w:sz w:val="20"/>
              </w:rPr>
              <w:t>muñeca</w:t>
            </w:r>
            <w:r>
              <w:rPr>
                <w:spacing w:val="-6"/>
                <w:sz w:val="20"/>
              </w:rPr>
              <w:t> </w:t>
            </w:r>
            <w:r>
              <w:rPr>
                <w:sz w:val="20"/>
              </w:rPr>
              <w:t>(radiocarpal</w:t>
            </w:r>
            <w:r>
              <w:rPr>
                <w:spacing w:val="-3"/>
                <w:sz w:val="20"/>
              </w:rPr>
              <w:t> </w:t>
            </w:r>
            <w:r>
              <w:rPr>
                <w:sz w:val="20"/>
              </w:rPr>
              <w:t>o</w:t>
            </w:r>
            <w:r>
              <w:rPr>
                <w:spacing w:val="-6"/>
                <w:sz w:val="20"/>
              </w:rPr>
              <w:t> </w:t>
            </w:r>
            <w:r>
              <w:rPr>
                <w:spacing w:val="-2"/>
                <w:sz w:val="20"/>
              </w:rPr>
              <w:t>radioulnar).</w:t>
            </w:r>
          </w:p>
        </w:tc>
        <w:tc>
          <w:tcPr>
            <w:tcW w:w="1457" w:type="dxa"/>
          </w:tcPr>
          <w:p>
            <w:pPr>
              <w:pStyle w:val="TableParagraph"/>
              <w:ind w:left="11" w:right="1"/>
              <w:rPr>
                <w:sz w:val="20"/>
              </w:rPr>
            </w:pPr>
            <w:r>
              <w:rPr>
                <w:spacing w:val="-5"/>
                <w:sz w:val="20"/>
              </w:rPr>
              <w:t>25%</w:t>
            </w:r>
          </w:p>
        </w:tc>
      </w:tr>
      <w:tr>
        <w:trPr>
          <w:trHeight w:val="229" w:hRule="atLeast"/>
        </w:trPr>
        <w:tc>
          <w:tcPr>
            <w:tcW w:w="1015" w:type="dxa"/>
          </w:tcPr>
          <w:p>
            <w:pPr>
              <w:pStyle w:val="TableParagraph"/>
              <w:ind w:left="12"/>
              <w:rPr>
                <w:sz w:val="20"/>
              </w:rPr>
            </w:pPr>
            <w:r>
              <w:rPr>
                <w:spacing w:val="-5"/>
                <w:sz w:val="20"/>
              </w:rPr>
              <w:t>167</w:t>
            </w:r>
          </w:p>
        </w:tc>
        <w:tc>
          <w:tcPr>
            <w:tcW w:w="7077" w:type="dxa"/>
          </w:tcPr>
          <w:p>
            <w:pPr>
              <w:pStyle w:val="TableParagraph"/>
              <w:ind w:left="69"/>
              <w:jc w:val="left"/>
              <w:rPr>
                <w:sz w:val="20"/>
              </w:rPr>
            </w:pPr>
            <w:r>
              <w:rPr>
                <w:sz w:val="20"/>
              </w:rPr>
              <w:t>De</w:t>
            </w:r>
            <w:r>
              <w:rPr>
                <w:spacing w:val="-6"/>
                <w:sz w:val="20"/>
              </w:rPr>
              <w:t> </w:t>
            </w:r>
            <w:r>
              <w:rPr>
                <w:sz w:val="20"/>
              </w:rPr>
              <w:t>los</w:t>
            </w:r>
            <w:r>
              <w:rPr>
                <w:spacing w:val="-5"/>
                <w:sz w:val="20"/>
              </w:rPr>
              <w:t> </w:t>
            </w:r>
            <w:r>
              <w:rPr>
                <w:sz w:val="20"/>
              </w:rPr>
              <w:t>huesos</w:t>
            </w:r>
            <w:r>
              <w:rPr>
                <w:spacing w:val="-3"/>
                <w:sz w:val="20"/>
              </w:rPr>
              <w:t> </w:t>
            </w:r>
            <w:r>
              <w:rPr>
                <w:sz w:val="20"/>
              </w:rPr>
              <w:t>del</w:t>
            </w:r>
            <w:r>
              <w:rPr>
                <w:spacing w:val="-5"/>
                <w:sz w:val="20"/>
              </w:rPr>
              <w:t> </w:t>
            </w:r>
            <w:r>
              <w:rPr>
                <w:spacing w:val="-2"/>
                <w:sz w:val="20"/>
              </w:rPr>
              <w:t>carpo.</w:t>
            </w:r>
          </w:p>
        </w:tc>
        <w:tc>
          <w:tcPr>
            <w:tcW w:w="1457" w:type="dxa"/>
          </w:tcPr>
          <w:p>
            <w:pPr>
              <w:pStyle w:val="TableParagraph"/>
              <w:ind w:left="11" w:right="1"/>
              <w:rPr>
                <w:sz w:val="20"/>
              </w:rPr>
            </w:pPr>
            <w:r>
              <w:rPr>
                <w:spacing w:val="-5"/>
                <w:sz w:val="20"/>
              </w:rPr>
              <w:t>25%</w:t>
            </w:r>
          </w:p>
        </w:tc>
      </w:tr>
      <w:tr>
        <w:trPr>
          <w:trHeight w:val="229" w:hRule="atLeast"/>
        </w:trPr>
        <w:tc>
          <w:tcPr>
            <w:tcW w:w="1015" w:type="dxa"/>
          </w:tcPr>
          <w:p>
            <w:pPr>
              <w:pStyle w:val="TableParagraph"/>
              <w:ind w:left="12"/>
              <w:rPr>
                <w:sz w:val="20"/>
              </w:rPr>
            </w:pPr>
            <w:r>
              <w:rPr>
                <w:spacing w:val="-5"/>
                <w:sz w:val="20"/>
              </w:rPr>
              <w:t>168</w:t>
            </w:r>
          </w:p>
        </w:tc>
        <w:tc>
          <w:tcPr>
            <w:tcW w:w="7077" w:type="dxa"/>
          </w:tcPr>
          <w:p>
            <w:pPr>
              <w:pStyle w:val="TableParagraph"/>
              <w:ind w:left="69"/>
              <w:jc w:val="left"/>
              <w:rPr>
                <w:sz w:val="20"/>
              </w:rPr>
            </w:pPr>
            <w:r>
              <w:rPr>
                <w:sz w:val="20"/>
              </w:rPr>
              <w:t>De</w:t>
            </w:r>
            <w:r>
              <w:rPr>
                <w:spacing w:val="-5"/>
                <w:sz w:val="20"/>
              </w:rPr>
              <w:t> </w:t>
            </w:r>
            <w:r>
              <w:rPr>
                <w:sz w:val="20"/>
              </w:rPr>
              <w:t>un</w:t>
            </w:r>
            <w:r>
              <w:rPr>
                <w:spacing w:val="-2"/>
                <w:sz w:val="20"/>
              </w:rPr>
              <w:t> metacarpiano.</w:t>
            </w:r>
          </w:p>
        </w:tc>
        <w:tc>
          <w:tcPr>
            <w:tcW w:w="1457" w:type="dxa"/>
          </w:tcPr>
          <w:p>
            <w:pPr>
              <w:pStyle w:val="TableParagraph"/>
              <w:ind w:left="11" w:right="1"/>
              <w:rPr>
                <w:sz w:val="20"/>
              </w:rPr>
            </w:pPr>
            <w:r>
              <w:rPr>
                <w:spacing w:val="-5"/>
                <w:sz w:val="20"/>
              </w:rPr>
              <w:t>8%</w:t>
            </w:r>
          </w:p>
        </w:tc>
      </w:tr>
      <w:tr>
        <w:trPr>
          <w:trHeight w:val="229" w:hRule="atLeast"/>
        </w:trPr>
        <w:tc>
          <w:tcPr>
            <w:tcW w:w="1015" w:type="dxa"/>
          </w:tcPr>
          <w:p>
            <w:pPr>
              <w:pStyle w:val="TableParagraph"/>
              <w:ind w:left="12"/>
              <w:rPr>
                <w:sz w:val="20"/>
              </w:rPr>
            </w:pPr>
            <w:r>
              <w:rPr>
                <w:spacing w:val="-5"/>
                <w:sz w:val="20"/>
              </w:rPr>
              <w:t>169</w:t>
            </w:r>
          </w:p>
        </w:tc>
        <w:tc>
          <w:tcPr>
            <w:tcW w:w="7077" w:type="dxa"/>
          </w:tcPr>
          <w:p>
            <w:pPr>
              <w:pStyle w:val="TableParagraph"/>
              <w:ind w:left="69"/>
              <w:jc w:val="left"/>
              <w:rPr>
                <w:sz w:val="20"/>
              </w:rPr>
            </w:pPr>
            <w:r>
              <w:rPr>
                <w:sz w:val="20"/>
              </w:rPr>
              <w:t>Del</w:t>
            </w:r>
            <w:r>
              <w:rPr>
                <w:spacing w:val="-10"/>
                <w:sz w:val="20"/>
              </w:rPr>
              <w:t> </w:t>
            </w:r>
            <w:r>
              <w:rPr>
                <w:sz w:val="20"/>
              </w:rPr>
              <w:t>cuarto</w:t>
            </w:r>
            <w:r>
              <w:rPr>
                <w:spacing w:val="-1"/>
                <w:sz w:val="20"/>
              </w:rPr>
              <w:t> </w:t>
            </w:r>
            <w:r>
              <w:rPr>
                <w:sz w:val="20"/>
              </w:rPr>
              <w:t>y</w:t>
            </w:r>
            <w:r>
              <w:rPr>
                <w:spacing w:val="-9"/>
                <w:sz w:val="20"/>
              </w:rPr>
              <w:t> </w:t>
            </w:r>
            <w:r>
              <w:rPr>
                <w:sz w:val="20"/>
              </w:rPr>
              <w:t>quinto</w:t>
            </w:r>
            <w:r>
              <w:rPr>
                <w:spacing w:val="-7"/>
                <w:sz w:val="20"/>
              </w:rPr>
              <w:t> </w:t>
            </w:r>
            <w:r>
              <w:rPr>
                <w:spacing w:val="-2"/>
                <w:sz w:val="20"/>
              </w:rPr>
              <w:t>metacarpianos.</w:t>
            </w:r>
          </w:p>
        </w:tc>
        <w:tc>
          <w:tcPr>
            <w:tcW w:w="1457" w:type="dxa"/>
          </w:tcPr>
          <w:p>
            <w:pPr>
              <w:pStyle w:val="TableParagraph"/>
              <w:ind w:left="11" w:right="1"/>
              <w:rPr>
                <w:sz w:val="20"/>
              </w:rPr>
            </w:pPr>
            <w:r>
              <w:rPr>
                <w:spacing w:val="-5"/>
                <w:sz w:val="20"/>
              </w:rPr>
              <w:t>20%</w:t>
            </w:r>
          </w:p>
        </w:tc>
      </w:tr>
      <w:tr>
        <w:trPr>
          <w:trHeight w:val="229" w:hRule="atLeast"/>
        </w:trPr>
        <w:tc>
          <w:tcPr>
            <w:tcW w:w="1015" w:type="dxa"/>
          </w:tcPr>
          <w:p>
            <w:pPr>
              <w:pStyle w:val="TableParagraph"/>
              <w:ind w:left="12"/>
              <w:rPr>
                <w:sz w:val="20"/>
              </w:rPr>
            </w:pPr>
            <w:r>
              <w:rPr>
                <w:spacing w:val="-5"/>
                <w:sz w:val="20"/>
              </w:rPr>
              <w:t>170</w:t>
            </w:r>
          </w:p>
        </w:tc>
        <w:tc>
          <w:tcPr>
            <w:tcW w:w="7077" w:type="dxa"/>
          </w:tcPr>
          <w:p>
            <w:pPr>
              <w:pStyle w:val="TableParagraph"/>
              <w:ind w:left="69"/>
              <w:jc w:val="left"/>
              <w:rPr>
                <w:sz w:val="20"/>
              </w:rPr>
            </w:pPr>
            <w:r>
              <w:rPr>
                <w:sz w:val="20"/>
              </w:rPr>
              <w:t>De</w:t>
            </w:r>
            <w:r>
              <w:rPr>
                <w:spacing w:val="-8"/>
                <w:sz w:val="20"/>
              </w:rPr>
              <w:t> </w:t>
            </w:r>
            <w:r>
              <w:rPr>
                <w:sz w:val="20"/>
              </w:rPr>
              <w:t>todos</w:t>
            </w:r>
            <w:r>
              <w:rPr>
                <w:spacing w:val="-4"/>
                <w:sz w:val="20"/>
              </w:rPr>
              <w:t> </w:t>
            </w:r>
            <w:r>
              <w:rPr>
                <w:sz w:val="20"/>
              </w:rPr>
              <w:t>los</w:t>
            </w:r>
            <w:r>
              <w:rPr>
                <w:spacing w:val="-4"/>
                <w:sz w:val="20"/>
              </w:rPr>
              <w:t> </w:t>
            </w:r>
            <w:r>
              <w:rPr>
                <w:spacing w:val="-2"/>
                <w:sz w:val="20"/>
              </w:rPr>
              <w:t>metacarpianos.</w:t>
            </w:r>
          </w:p>
        </w:tc>
        <w:tc>
          <w:tcPr>
            <w:tcW w:w="1457" w:type="dxa"/>
          </w:tcPr>
          <w:p>
            <w:pPr>
              <w:pStyle w:val="TableParagraph"/>
              <w:ind w:left="11" w:right="1"/>
              <w:rPr>
                <w:sz w:val="20"/>
              </w:rPr>
            </w:pPr>
            <w:r>
              <w:rPr>
                <w:spacing w:val="-5"/>
                <w:sz w:val="20"/>
              </w:rPr>
              <w:t>40%</w:t>
            </w:r>
          </w:p>
        </w:tc>
      </w:tr>
      <w:tr>
        <w:trPr>
          <w:trHeight w:val="229" w:hRule="atLeast"/>
        </w:trPr>
        <w:tc>
          <w:tcPr>
            <w:tcW w:w="1015" w:type="dxa"/>
          </w:tcPr>
          <w:p>
            <w:pPr>
              <w:pStyle w:val="TableParagraph"/>
              <w:ind w:left="12"/>
              <w:rPr>
                <w:sz w:val="20"/>
              </w:rPr>
            </w:pPr>
            <w:r>
              <w:rPr>
                <w:spacing w:val="-5"/>
                <w:sz w:val="20"/>
              </w:rPr>
              <w:t>171</w:t>
            </w:r>
          </w:p>
        </w:tc>
        <w:tc>
          <w:tcPr>
            <w:tcW w:w="7077" w:type="dxa"/>
          </w:tcPr>
          <w:p>
            <w:pPr>
              <w:pStyle w:val="TableParagraph"/>
              <w:ind w:left="69"/>
              <w:jc w:val="left"/>
              <w:rPr>
                <w:sz w:val="20"/>
              </w:rPr>
            </w:pPr>
            <w:r>
              <w:rPr>
                <w:sz w:val="20"/>
              </w:rPr>
              <w:t>Metacarpo-falángica</w:t>
            </w:r>
            <w:r>
              <w:rPr>
                <w:spacing w:val="-14"/>
                <w:sz w:val="20"/>
              </w:rPr>
              <w:t> </w:t>
            </w:r>
            <w:r>
              <w:rPr>
                <w:sz w:val="20"/>
              </w:rPr>
              <w:t>del</w:t>
            </w:r>
            <w:r>
              <w:rPr>
                <w:spacing w:val="-13"/>
                <w:sz w:val="20"/>
              </w:rPr>
              <w:t> </w:t>
            </w:r>
            <w:r>
              <w:rPr>
                <w:spacing w:val="-2"/>
                <w:sz w:val="20"/>
              </w:rPr>
              <w:t>pulgar.</w:t>
            </w:r>
          </w:p>
        </w:tc>
        <w:tc>
          <w:tcPr>
            <w:tcW w:w="1457" w:type="dxa"/>
          </w:tcPr>
          <w:p>
            <w:pPr>
              <w:pStyle w:val="TableParagraph"/>
              <w:ind w:left="11" w:right="1"/>
              <w:rPr>
                <w:sz w:val="20"/>
              </w:rPr>
            </w:pPr>
            <w:r>
              <w:rPr>
                <w:spacing w:val="-5"/>
                <w:sz w:val="20"/>
              </w:rPr>
              <w:t>25%</w:t>
            </w:r>
          </w:p>
        </w:tc>
      </w:tr>
      <w:tr>
        <w:trPr>
          <w:trHeight w:val="229" w:hRule="atLeast"/>
        </w:trPr>
        <w:tc>
          <w:tcPr>
            <w:tcW w:w="1015" w:type="dxa"/>
          </w:tcPr>
          <w:p>
            <w:pPr>
              <w:pStyle w:val="TableParagraph"/>
              <w:ind w:left="12"/>
              <w:rPr>
                <w:sz w:val="20"/>
              </w:rPr>
            </w:pPr>
            <w:r>
              <w:rPr>
                <w:spacing w:val="-5"/>
                <w:sz w:val="20"/>
              </w:rPr>
              <w:t>172</w:t>
            </w:r>
          </w:p>
        </w:tc>
        <w:tc>
          <w:tcPr>
            <w:tcW w:w="7077" w:type="dxa"/>
          </w:tcPr>
          <w:p>
            <w:pPr>
              <w:pStyle w:val="TableParagraph"/>
              <w:ind w:left="69"/>
              <w:jc w:val="left"/>
              <w:rPr>
                <w:sz w:val="20"/>
              </w:rPr>
            </w:pPr>
            <w:r>
              <w:rPr>
                <w:sz w:val="20"/>
              </w:rPr>
              <w:t>De</w:t>
            </w:r>
            <w:r>
              <w:rPr>
                <w:spacing w:val="-6"/>
                <w:sz w:val="20"/>
              </w:rPr>
              <w:t> </w:t>
            </w:r>
            <w:r>
              <w:rPr>
                <w:sz w:val="20"/>
              </w:rPr>
              <w:t>la</w:t>
            </w:r>
            <w:r>
              <w:rPr>
                <w:spacing w:val="-6"/>
                <w:sz w:val="20"/>
              </w:rPr>
              <w:t> </w:t>
            </w:r>
            <w:r>
              <w:rPr>
                <w:sz w:val="20"/>
              </w:rPr>
              <w:t>falange</w:t>
            </w:r>
            <w:r>
              <w:rPr>
                <w:spacing w:val="-5"/>
                <w:sz w:val="20"/>
              </w:rPr>
              <w:t> </w:t>
            </w:r>
            <w:r>
              <w:rPr>
                <w:sz w:val="20"/>
              </w:rPr>
              <w:t>distal</w:t>
            </w:r>
            <w:r>
              <w:rPr>
                <w:spacing w:val="-7"/>
                <w:sz w:val="20"/>
              </w:rPr>
              <w:t> </w:t>
            </w:r>
            <w:r>
              <w:rPr>
                <w:sz w:val="20"/>
              </w:rPr>
              <w:t>del</w:t>
            </w:r>
            <w:r>
              <w:rPr>
                <w:spacing w:val="-5"/>
                <w:sz w:val="20"/>
              </w:rPr>
              <w:t> </w:t>
            </w:r>
            <w:r>
              <w:rPr>
                <w:spacing w:val="-2"/>
                <w:sz w:val="20"/>
              </w:rPr>
              <w:t>pulgar.</w:t>
            </w:r>
          </w:p>
        </w:tc>
        <w:tc>
          <w:tcPr>
            <w:tcW w:w="1457" w:type="dxa"/>
          </w:tcPr>
          <w:p>
            <w:pPr>
              <w:pStyle w:val="TableParagraph"/>
              <w:ind w:left="11" w:right="1"/>
              <w:rPr>
                <w:sz w:val="20"/>
              </w:rPr>
            </w:pPr>
            <w:r>
              <w:rPr>
                <w:spacing w:val="-5"/>
                <w:sz w:val="20"/>
              </w:rPr>
              <w:t>5%</w:t>
            </w:r>
          </w:p>
        </w:tc>
      </w:tr>
      <w:tr>
        <w:trPr>
          <w:trHeight w:val="232" w:hRule="atLeast"/>
        </w:trPr>
        <w:tc>
          <w:tcPr>
            <w:tcW w:w="1015" w:type="dxa"/>
          </w:tcPr>
          <w:p>
            <w:pPr>
              <w:pStyle w:val="TableParagraph"/>
              <w:spacing w:before="1"/>
              <w:ind w:left="12"/>
              <w:rPr>
                <w:sz w:val="20"/>
              </w:rPr>
            </w:pPr>
            <w:r>
              <w:rPr>
                <w:spacing w:val="-5"/>
                <w:sz w:val="20"/>
              </w:rPr>
              <w:t>173</w:t>
            </w:r>
          </w:p>
        </w:tc>
        <w:tc>
          <w:tcPr>
            <w:tcW w:w="7077" w:type="dxa"/>
          </w:tcPr>
          <w:p>
            <w:pPr>
              <w:pStyle w:val="TableParagraph"/>
              <w:spacing w:before="1"/>
              <w:ind w:left="69"/>
              <w:jc w:val="left"/>
              <w:rPr>
                <w:sz w:val="20"/>
              </w:rPr>
            </w:pPr>
            <w:r>
              <w:rPr>
                <w:sz w:val="20"/>
              </w:rPr>
              <w:t>De</w:t>
            </w:r>
            <w:r>
              <w:rPr>
                <w:spacing w:val="-6"/>
                <w:sz w:val="20"/>
              </w:rPr>
              <w:t> </w:t>
            </w:r>
            <w:r>
              <w:rPr>
                <w:sz w:val="20"/>
              </w:rPr>
              <w:t>la</w:t>
            </w:r>
            <w:r>
              <w:rPr>
                <w:spacing w:val="-6"/>
                <w:sz w:val="20"/>
              </w:rPr>
              <w:t> </w:t>
            </w:r>
            <w:r>
              <w:rPr>
                <w:sz w:val="20"/>
              </w:rPr>
              <w:t>falange</w:t>
            </w:r>
            <w:r>
              <w:rPr>
                <w:spacing w:val="-5"/>
                <w:sz w:val="20"/>
              </w:rPr>
              <w:t> </w:t>
            </w:r>
            <w:r>
              <w:rPr>
                <w:sz w:val="20"/>
              </w:rPr>
              <w:t>proximal</w:t>
            </w:r>
            <w:r>
              <w:rPr>
                <w:spacing w:val="-6"/>
                <w:sz w:val="20"/>
              </w:rPr>
              <w:t> </w:t>
            </w:r>
            <w:r>
              <w:rPr>
                <w:sz w:val="20"/>
              </w:rPr>
              <w:t>o</w:t>
            </w:r>
            <w:r>
              <w:rPr>
                <w:spacing w:val="-7"/>
                <w:sz w:val="20"/>
              </w:rPr>
              <w:t> </w:t>
            </w:r>
            <w:r>
              <w:rPr>
                <w:sz w:val="20"/>
              </w:rPr>
              <w:t>media</w:t>
            </w:r>
            <w:r>
              <w:rPr>
                <w:spacing w:val="-6"/>
                <w:sz w:val="20"/>
              </w:rPr>
              <w:t> </w:t>
            </w:r>
            <w:r>
              <w:rPr>
                <w:sz w:val="20"/>
              </w:rPr>
              <w:t>de</w:t>
            </w:r>
            <w:r>
              <w:rPr>
                <w:spacing w:val="-4"/>
                <w:sz w:val="20"/>
              </w:rPr>
              <w:t> </w:t>
            </w:r>
            <w:r>
              <w:rPr>
                <w:sz w:val="20"/>
              </w:rPr>
              <w:t>cualquier</w:t>
            </w:r>
            <w:r>
              <w:rPr>
                <w:spacing w:val="-5"/>
                <w:sz w:val="20"/>
              </w:rPr>
              <w:t> </w:t>
            </w:r>
            <w:r>
              <w:rPr>
                <w:sz w:val="20"/>
              </w:rPr>
              <w:t>otro</w:t>
            </w:r>
            <w:r>
              <w:rPr>
                <w:spacing w:val="-6"/>
                <w:sz w:val="20"/>
              </w:rPr>
              <w:t> </w:t>
            </w:r>
            <w:r>
              <w:rPr>
                <w:spacing w:val="-4"/>
                <w:sz w:val="20"/>
              </w:rPr>
              <w:t>dedo.</w:t>
            </w:r>
          </w:p>
        </w:tc>
        <w:tc>
          <w:tcPr>
            <w:tcW w:w="1457" w:type="dxa"/>
          </w:tcPr>
          <w:p>
            <w:pPr>
              <w:pStyle w:val="TableParagraph"/>
              <w:spacing w:before="1"/>
              <w:ind w:left="11" w:right="1"/>
              <w:rPr>
                <w:sz w:val="20"/>
              </w:rPr>
            </w:pPr>
            <w:r>
              <w:rPr>
                <w:spacing w:val="-5"/>
                <w:sz w:val="20"/>
              </w:rPr>
              <w:t>10%</w:t>
            </w:r>
          </w:p>
        </w:tc>
      </w:tr>
      <w:tr>
        <w:trPr>
          <w:trHeight w:val="229" w:hRule="atLeast"/>
        </w:trPr>
        <w:tc>
          <w:tcPr>
            <w:tcW w:w="1015" w:type="dxa"/>
          </w:tcPr>
          <w:p>
            <w:pPr>
              <w:pStyle w:val="TableParagraph"/>
              <w:ind w:left="12"/>
              <w:rPr>
                <w:sz w:val="20"/>
              </w:rPr>
            </w:pPr>
            <w:r>
              <w:rPr>
                <w:spacing w:val="-5"/>
                <w:sz w:val="20"/>
              </w:rPr>
              <w:t>174</w:t>
            </w:r>
          </w:p>
        </w:tc>
        <w:tc>
          <w:tcPr>
            <w:tcW w:w="7077" w:type="dxa"/>
          </w:tcPr>
          <w:p>
            <w:pPr>
              <w:pStyle w:val="TableParagraph"/>
              <w:ind w:left="69"/>
              <w:jc w:val="left"/>
              <w:rPr>
                <w:sz w:val="20"/>
              </w:rPr>
            </w:pPr>
            <w:r>
              <w:rPr>
                <w:sz w:val="20"/>
              </w:rPr>
              <w:t>De</w:t>
            </w:r>
            <w:r>
              <w:rPr>
                <w:spacing w:val="-6"/>
                <w:sz w:val="20"/>
              </w:rPr>
              <w:t> </w:t>
            </w:r>
            <w:r>
              <w:rPr>
                <w:sz w:val="20"/>
              </w:rPr>
              <w:t>la</w:t>
            </w:r>
            <w:r>
              <w:rPr>
                <w:spacing w:val="-6"/>
                <w:sz w:val="20"/>
              </w:rPr>
              <w:t> </w:t>
            </w:r>
            <w:r>
              <w:rPr>
                <w:sz w:val="20"/>
              </w:rPr>
              <w:t>falange</w:t>
            </w:r>
            <w:r>
              <w:rPr>
                <w:spacing w:val="-5"/>
                <w:sz w:val="20"/>
              </w:rPr>
              <w:t> </w:t>
            </w:r>
            <w:r>
              <w:rPr>
                <w:sz w:val="20"/>
              </w:rPr>
              <w:t>distal</w:t>
            </w:r>
            <w:r>
              <w:rPr>
                <w:spacing w:val="-7"/>
                <w:sz w:val="20"/>
              </w:rPr>
              <w:t> </w:t>
            </w:r>
            <w:r>
              <w:rPr>
                <w:sz w:val="20"/>
              </w:rPr>
              <w:t>de</w:t>
            </w:r>
            <w:r>
              <w:rPr>
                <w:spacing w:val="-6"/>
                <w:sz w:val="20"/>
              </w:rPr>
              <w:t> </w:t>
            </w:r>
            <w:r>
              <w:rPr>
                <w:sz w:val="20"/>
              </w:rPr>
              <w:t>cualquier</w:t>
            </w:r>
            <w:r>
              <w:rPr>
                <w:spacing w:val="-6"/>
                <w:sz w:val="20"/>
              </w:rPr>
              <w:t> </w:t>
            </w:r>
            <w:r>
              <w:rPr>
                <w:sz w:val="20"/>
              </w:rPr>
              <w:t>otro</w:t>
            </w:r>
            <w:r>
              <w:rPr>
                <w:spacing w:val="-4"/>
                <w:sz w:val="20"/>
              </w:rPr>
              <w:t> dedo.</w:t>
            </w:r>
          </w:p>
        </w:tc>
        <w:tc>
          <w:tcPr>
            <w:tcW w:w="1457" w:type="dxa"/>
          </w:tcPr>
          <w:p>
            <w:pPr>
              <w:pStyle w:val="TableParagraph"/>
              <w:ind w:left="11" w:right="1"/>
              <w:rPr>
                <w:sz w:val="20"/>
              </w:rPr>
            </w:pPr>
            <w:r>
              <w:rPr>
                <w:spacing w:val="-5"/>
                <w:sz w:val="20"/>
              </w:rPr>
              <w:t>4%</w:t>
            </w:r>
          </w:p>
        </w:tc>
      </w:tr>
    </w:tbl>
    <w:p>
      <w:pPr>
        <w:pStyle w:val="BodyText"/>
        <w:spacing w:before="7"/>
        <w:rPr>
          <w:rFonts w:ascii="Arial"/>
          <w:b/>
        </w:rPr>
      </w:pPr>
    </w:p>
    <w:p>
      <w:pPr>
        <w:spacing w:before="0"/>
        <w:ind w:left="296" w:right="296" w:firstLine="0"/>
        <w:jc w:val="center"/>
        <w:rPr>
          <w:rFonts w:ascii="Arial" w:hAnsi="Arial"/>
          <w:b/>
          <w:sz w:val="20"/>
        </w:rPr>
      </w:pPr>
      <w:r>
        <w:rPr>
          <w:rFonts w:ascii="Arial" w:hAnsi="Arial"/>
          <w:b/>
          <w:spacing w:val="-2"/>
          <w:sz w:val="20"/>
        </w:rPr>
        <w:t>Músculos</w:t>
      </w:r>
    </w:p>
    <w:p>
      <w:pPr>
        <w:pStyle w:val="BodyText"/>
        <w:spacing w:before="1"/>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3"/>
        <w:gridCol w:w="7079"/>
        <w:gridCol w:w="1466"/>
      </w:tblGrid>
      <w:tr>
        <w:trPr>
          <w:trHeight w:val="460" w:hRule="atLeast"/>
        </w:trPr>
        <w:tc>
          <w:tcPr>
            <w:tcW w:w="1003" w:type="dxa"/>
          </w:tcPr>
          <w:p>
            <w:pPr>
              <w:pStyle w:val="TableParagraph"/>
              <w:spacing w:line="240" w:lineRule="auto" w:before="114"/>
              <w:ind w:left="10" w:right="1"/>
              <w:rPr>
                <w:sz w:val="20"/>
              </w:rPr>
            </w:pPr>
            <w:r>
              <w:rPr>
                <w:spacing w:val="-5"/>
                <w:sz w:val="20"/>
              </w:rPr>
              <w:t>175</w:t>
            </w:r>
          </w:p>
        </w:tc>
        <w:tc>
          <w:tcPr>
            <w:tcW w:w="7079" w:type="dxa"/>
          </w:tcPr>
          <w:p>
            <w:pPr>
              <w:pStyle w:val="TableParagraph"/>
              <w:spacing w:line="230" w:lineRule="exact"/>
              <w:jc w:val="left"/>
              <w:rPr>
                <w:sz w:val="20"/>
              </w:rPr>
            </w:pPr>
            <w:r>
              <w:rPr>
                <w:sz w:val="20"/>
              </w:rPr>
              <w:t>Amiotrofia del hombro mayor o igual a un centímetro, sin anquilosis ni rigidez </w:t>
            </w:r>
            <w:r>
              <w:rPr>
                <w:spacing w:val="-2"/>
                <w:sz w:val="20"/>
              </w:rPr>
              <w:t>articular.</w:t>
            </w:r>
          </w:p>
        </w:tc>
        <w:tc>
          <w:tcPr>
            <w:tcW w:w="1466" w:type="dxa"/>
          </w:tcPr>
          <w:p>
            <w:pPr>
              <w:pStyle w:val="TableParagraph"/>
              <w:spacing w:line="240" w:lineRule="auto" w:before="114"/>
              <w:ind w:left="12"/>
              <w:rPr>
                <w:sz w:val="20"/>
              </w:rPr>
            </w:pPr>
            <w:r>
              <w:rPr>
                <w:spacing w:val="-5"/>
                <w:sz w:val="20"/>
              </w:rPr>
              <w:t>15%</w:t>
            </w:r>
          </w:p>
        </w:tc>
      </w:tr>
      <w:tr>
        <w:trPr>
          <w:trHeight w:val="460" w:hRule="atLeast"/>
        </w:trPr>
        <w:tc>
          <w:tcPr>
            <w:tcW w:w="1003" w:type="dxa"/>
          </w:tcPr>
          <w:p>
            <w:pPr>
              <w:pStyle w:val="TableParagraph"/>
              <w:spacing w:line="240" w:lineRule="auto" w:before="114"/>
              <w:ind w:left="10" w:right="1"/>
              <w:rPr>
                <w:sz w:val="20"/>
              </w:rPr>
            </w:pPr>
            <w:r>
              <w:rPr>
                <w:spacing w:val="-5"/>
                <w:sz w:val="20"/>
              </w:rPr>
              <w:t>176</w:t>
            </w:r>
          </w:p>
        </w:tc>
        <w:tc>
          <w:tcPr>
            <w:tcW w:w="7079" w:type="dxa"/>
          </w:tcPr>
          <w:p>
            <w:pPr>
              <w:pStyle w:val="TableParagraph"/>
              <w:spacing w:line="230" w:lineRule="exact"/>
              <w:jc w:val="left"/>
              <w:rPr>
                <w:sz w:val="20"/>
              </w:rPr>
            </w:pPr>
            <w:r>
              <w:rPr>
                <w:sz w:val="20"/>
              </w:rPr>
              <w:t>Amiotrofia</w:t>
            </w:r>
            <w:r>
              <w:rPr>
                <w:spacing w:val="40"/>
                <w:sz w:val="20"/>
              </w:rPr>
              <w:t> </w:t>
            </w:r>
            <w:r>
              <w:rPr>
                <w:sz w:val="20"/>
              </w:rPr>
              <w:t>del</w:t>
            </w:r>
            <w:r>
              <w:rPr>
                <w:spacing w:val="40"/>
                <w:sz w:val="20"/>
              </w:rPr>
              <w:t> </w:t>
            </w:r>
            <w:r>
              <w:rPr>
                <w:sz w:val="20"/>
              </w:rPr>
              <w:t>brazo</w:t>
            </w:r>
            <w:r>
              <w:rPr>
                <w:spacing w:val="40"/>
                <w:sz w:val="20"/>
              </w:rPr>
              <w:t> </w:t>
            </w:r>
            <w:r>
              <w:rPr>
                <w:sz w:val="20"/>
              </w:rPr>
              <w:t>o</w:t>
            </w:r>
            <w:r>
              <w:rPr>
                <w:spacing w:val="40"/>
                <w:sz w:val="20"/>
              </w:rPr>
              <w:t> </w:t>
            </w:r>
            <w:r>
              <w:rPr>
                <w:sz w:val="20"/>
              </w:rPr>
              <w:t>del</w:t>
            </w:r>
            <w:r>
              <w:rPr>
                <w:spacing w:val="40"/>
                <w:sz w:val="20"/>
              </w:rPr>
              <w:t> </w:t>
            </w:r>
            <w:r>
              <w:rPr>
                <w:sz w:val="20"/>
              </w:rPr>
              <w:t>antebrazo</w:t>
            </w:r>
            <w:r>
              <w:rPr>
                <w:spacing w:val="40"/>
                <w:sz w:val="20"/>
              </w:rPr>
              <w:t> </w:t>
            </w:r>
            <w:r>
              <w:rPr>
                <w:sz w:val="20"/>
              </w:rPr>
              <w:t>mayor</w:t>
            </w:r>
            <w:r>
              <w:rPr>
                <w:spacing w:val="40"/>
                <w:sz w:val="20"/>
              </w:rPr>
              <w:t> </w:t>
            </w:r>
            <w:r>
              <w:rPr>
                <w:sz w:val="20"/>
              </w:rPr>
              <w:t>o</w:t>
            </w:r>
            <w:r>
              <w:rPr>
                <w:spacing w:val="40"/>
                <w:sz w:val="20"/>
              </w:rPr>
              <w:t> </w:t>
            </w:r>
            <w:r>
              <w:rPr>
                <w:sz w:val="20"/>
              </w:rPr>
              <w:t>igual</w:t>
            </w:r>
            <w:r>
              <w:rPr>
                <w:spacing w:val="40"/>
                <w:sz w:val="20"/>
              </w:rPr>
              <w:t> </w:t>
            </w:r>
            <w:r>
              <w:rPr>
                <w:sz w:val="20"/>
              </w:rPr>
              <w:t>a</w:t>
            </w:r>
            <w:r>
              <w:rPr>
                <w:spacing w:val="40"/>
                <w:sz w:val="20"/>
              </w:rPr>
              <w:t> </w:t>
            </w:r>
            <w:r>
              <w:rPr>
                <w:sz w:val="20"/>
              </w:rPr>
              <w:t>un</w:t>
            </w:r>
            <w:r>
              <w:rPr>
                <w:spacing w:val="40"/>
                <w:sz w:val="20"/>
              </w:rPr>
              <w:t> </w:t>
            </w:r>
            <w:r>
              <w:rPr>
                <w:sz w:val="20"/>
              </w:rPr>
              <w:t>centímetro,</w:t>
            </w:r>
            <w:r>
              <w:rPr>
                <w:spacing w:val="40"/>
                <w:sz w:val="20"/>
              </w:rPr>
              <w:t> </w:t>
            </w:r>
            <w:r>
              <w:rPr>
                <w:sz w:val="20"/>
              </w:rPr>
              <w:t>sin anquilosis ni rigidez articular.</w:t>
            </w:r>
          </w:p>
        </w:tc>
        <w:tc>
          <w:tcPr>
            <w:tcW w:w="1466" w:type="dxa"/>
          </w:tcPr>
          <w:p>
            <w:pPr>
              <w:pStyle w:val="TableParagraph"/>
              <w:spacing w:line="240" w:lineRule="auto" w:before="114"/>
              <w:ind w:left="12" w:right="3"/>
              <w:rPr>
                <w:sz w:val="20"/>
              </w:rPr>
            </w:pPr>
            <w:r>
              <w:rPr>
                <w:sz w:val="20"/>
              </w:rPr>
              <w:t>10</w:t>
            </w:r>
            <w:r>
              <w:rPr>
                <w:spacing w:val="-3"/>
                <w:sz w:val="20"/>
              </w:rPr>
              <w:t> </w:t>
            </w:r>
            <w:r>
              <w:rPr>
                <w:sz w:val="20"/>
              </w:rPr>
              <w:t>a</w:t>
            </w:r>
            <w:r>
              <w:rPr>
                <w:spacing w:val="-1"/>
                <w:sz w:val="20"/>
              </w:rPr>
              <w:t> </w:t>
            </w:r>
            <w:r>
              <w:rPr>
                <w:spacing w:val="-5"/>
                <w:sz w:val="20"/>
              </w:rPr>
              <w:t>15%</w:t>
            </w:r>
          </w:p>
        </w:tc>
      </w:tr>
      <w:tr>
        <w:trPr>
          <w:trHeight w:val="460" w:hRule="atLeast"/>
        </w:trPr>
        <w:tc>
          <w:tcPr>
            <w:tcW w:w="1003" w:type="dxa"/>
          </w:tcPr>
          <w:p>
            <w:pPr>
              <w:pStyle w:val="TableParagraph"/>
              <w:spacing w:line="240" w:lineRule="auto" w:before="114"/>
              <w:ind w:left="10" w:right="1"/>
              <w:rPr>
                <w:sz w:val="20"/>
              </w:rPr>
            </w:pPr>
            <w:r>
              <w:rPr>
                <w:spacing w:val="-5"/>
                <w:sz w:val="20"/>
              </w:rPr>
              <w:t>177</w:t>
            </w:r>
          </w:p>
        </w:tc>
        <w:tc>
          <w:tcPr>
            <w:tcW w:w="7079" w:type="dxa"/>
          </w:tcPr>
          <w:p>
            <w:pPr>
              <w:pStyle w:val="TableParagraph"/>
              <w:spacing w:line="230" w:lineRule="exact"/>
              <w:jc w:val="left"/>
              <w:rPr>
                <w:sz w:val="20"/>
              </w:rPr>
            </w:pPr>
            <w:r>
              <w:rPr>
                <w:sz w:val="20"/>
              </w:rPr>
              <w:t>Amiotrofia de la mano mayor o igual a un centímetro, sin anquilosis ni rigidez </w:t>
            </w:r>
            <w:r>
              <w:rPr>
                <w:spacing w:val="-2"/>
                <w:sz w:val="20"/>
              </w:rPr>
              <w:t>articular.</w:t>
            </w:r>
          </w:p>
        </w:tc>
        <w:tc>
          <w:tcPr>
            <w:tcW w:w="1466" w:type="dxa"/>
          </w:tcPr>
          <w:p>
            <w:pPr>
              <w:pStyle w:val="TableParagraph"/>
              <w:spacing w:line="240" w:lineRule="auto" w:before="114"/>
              <w:ind w:left="12" w:right="2"/>
              <w:rPr>
                <w:sz w:val="20"/>
              </w:rPr>
            </w:pPr>
            <w:r>
              <w:rPr>
                <w:sz w:val="20"/>
              </w:rPr>
              <w:t>5</w:t>
            </w:r>
            <w:r>
              <w:rPr>
                <w:spacing w:val="-3"/>
                <w:sz w:val="20"/>
              </w:rPr>
              <w:t> </w:t>
            </w:r>
            <w:r>
              <w:rPr>
                <w:sz w:val="20"/>
              </w:rPr>
              <w:t>a</w:t>
            </w:r>
            <w:r>
              <w:rPr>
                <w:spacing w:val="-3"/>
                <w:sz w:val="20"/>
              </w:rPr>
              <w:t> </w:t>
            </w:r>
            <w:r>
              <w:rPr>
                <w:spacing w:val="-5"/>
                <w:sz w:val="20"/>
              </w:rPr>
              <w:t>10%</w:t>
            </w:r>
          </w:p>
        </w:tc>
      </w:tr>
    </w:tbl>
    <w:p>
      <w:pPr>
        <w:pStyle w:val="TableParagraph"/>
        <w:spacing w:after="0" w:line="240" w:lineRule="auto"/>
        <w:rPr>
          <w:sz w:val="20"/>
        </w:rPr>
        <w:sectPr>
          <w:pgSz w:w="12240" w:h="15840"/>
          <w:pgMar w:header="724" w:footer="712" w:top="1880" w:bottom="900" w:left="1080" w:right="1080"/>
        </w:sectPr>
      </w:pPr>
    </w:p>
    <w:p>
      <w:pPr>
        <w:pStyle w:val="BodyText"/>
        <w:spacing w:before="63"/>
        <w:rPr>
          <w:rFonts w:ascii="Arial"/>
          <w:b/>
        </w:rPr>
      </w:pPr>
    </w:p>
    <w:p>
      <w:pPr>
        <w:spacing w:before="0"/>
        <w:ind w:left="296" w:right="296" w:firstLine="0"/>
        <w:jc w:val="center"/>
        <w:rPr>
          <w:rFonts w:ascii="Arial"/>
          <w:b/>
          <w:sz w:val="20"/>
        </w:rPr>
      </w:pPr>
      <w:r>
        <w:rPr>
          <w:rFonts w:ascii="Arial"/>
          <w:b/>
          <w:spacing w:val="-2"/>
          <w:sz w:val="20"/>
        </w:rPr>
        <w:t>Vasos</w:t>
      </w:r>
    </w:p>
    <w:p>
      <w:pPr>
        <w:pStyle w:val="BodyText"/>
        <w:spacing w:before="3" w:after="1"/>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3"/>
        <w:gridCol w:w="7089"/>
        <w:gridCol w:w="1457"/>
      </w:tblGrid>
      <w:tr>
        <w:trPr>
          <w:trHeight w:val="1379" w:hRule="atLeast"/>
        </w:trPr>
        <w:tc>
          <w:tcPr>
            <w:tcW w:w="1003" w:type="dxa"/>
          </w:tcPr>
          <w:p>
            <w:pPr>
              <w:pStyle w:val="TableParagraph"/>
              <w:spacing w:line="240" w:lineRule="auto"/>
              <w:ind w:left="0"/>
              <w:jc w:val="left"/>
              <w:rPr>
                <w:rFonts w:ascii="Arial"/>
                <w:b/>
                <w:sz w:val="20"/>
              </w:rPr>
            </w:pPr>
          </w:p>
          <w:p>
            <w:pPr>
              <w:pStyle w:val="TableParagraph"/>
              <w:spacing w:line="240" w:lineRule="auto" w:before="115"/>
              <w:ind w:left="0"/>
              <w:jc w:val="left"/>
              <w:rPr>
                <w:rFonts w:ascii="Arial"/>
                <w:b/>
                <w:sz w:val="20"/>
              </w:rPr>
            </w:pPr>
          </w:p>
          <w:p>
            <w:pPr>
              <w:pStyle w:val="TableParagraph"/>
              <w:spacing w:line="240" w:lineRule="auto"/>
              <w:ind w:left="10" w:right="1"/>
              <w:rPr>
                <w:sz w:val="20"/>
              </w:rPr>
            </w:pPr>
            <w:r>
              <w:rPr>
                <w:spacing w:val="-5"/>
                <w:sz w:val="20"/>
              </w:rPr>
              <w:t>178</w:t>
            </w:r>
          </w:p>
        </w:tc>
        <w:tc>
          <w:tcPr>
            <w:tcW w:w="7089" w:type="dxa"/>
          </w:tcPr>
          <w:p>
            <w:pPr>
              <w:pStyle w:val="TableParagraph"/>
              <w:spacing w:line="240" w:lineRule="auto"/>
              <w:ind w:right="60"/>
              <w:jc w:val="both"/>
              <w:rPr>
                <w:sz w:val="20"/>
              </w:rPr>
            </w:pPr>
            <w:r>
              <w:rPr>
                <w:sz w:val="20"/>
              </w:rPr>
              <w:t>Las secuelas y lesiones arteriales y venosas se valuarán de acuerdo con la magnitud de las alteraciones orgánicas y los trastornos funcionales que produzcan (amputaciones, rigideces articulares, lesiones de los nervios periféricos,</w:t>
            </w:r>
            <w:r>
              <w:rPr>
                <w:spacing w:val="24"/>
                <w:sz w:val="20"/>
              </w:rPr>
              <w:t> </w:t>
            </w:r>
            <w:r>
              <w:rPr>
                <w:sz w:val="20"/>
              </w:rPr>
              <w:t>atrofia</w:t>
            </w:r>
            <w:r>
              <w:rPr>
                <w:spacing w:val="25"/>
                <w:sz w:val="20"/>
              </w:rPr>
              <w:t> </w:t>
            </w:r>
            <w:r>
              <w:rPr>
                <w:sz w:val="20"/>
              </w:rPr>
              <w:t>de</w:t>
            </w:r>
            <w:r>
              <w:rPr>
                <w:spacing w:val="24"/>
                <w:sz w:val="20"/>
              </w:rPr>
              <w:t> </w:t>
            </w:r>
            <w:r>
              <w:rPr>
                <w:sz w:val="20"/>
              </w:rPr>
              <w:t>masas</w:t>
            </w:r>
            <w:r>
              <w:rPr>
                <w:spacing w:val="26"/>
                <w:sz w:val="20"/>
              </w:rPr>
              <w:t> </w:t>
            </w:r>
            <w:r>
              <w:rPr>
                <w:sz w:val="20"/>
              </w:rPr>
              <w:t>musculares,</w:t>
            </w:r>
            <w:r>
              <w:rPr>
                <w:spacing w:val="25"/>
                <w:sz w:val="20"/>
              </w:rPr>
              <w:t> </w:t>
            </w:r>
            <w:r>
              <w:rPr>
                <w:sz w:val="20"/>
              </w:rPr>
              <w:t>entre</w:t>
            </w:r>
            <w:r>
              <w:rPr>
                <w:spacing w:val="27"/>
                <w:sz w:val="20"/>
              </w:rPr>
              <w:t> </w:t>
            </w:r>
            <w:r>
              <w:rPr>
                <w:sz w:val="20"/>
              </w:rPr>
              <w:t>otros).</w:t>
            </w:r>
            <w:r>
              <w:rPr>
                <w:spacing w:val="25"/>
                <w:sz w:val="20"/>
              </w:rPr>
              <w:t> </w:t>
            </w:r>
            <w:r>
              <w:rPr>
                <w:sz w:val="20"/>
              </w:rPr>
              <w:t>En</w:t>
            </w:r>
            <w:r>
              <w:rPr>
                <w:spacing w:val="26"/>
                <w:sz w:val="20"/>
              </w:rPr>
              <w:t> </w:t>
            </w:r>
            <w:r>
              <w:rPr>
                <w:sz w:val="20"/>
              </w:rPr>
              <w:t>caso</w:t>
            </w:r>
            <w:r>
              <w:rPr>
                <w:spacing w:val="25"/>
                <w:sz w:val="20"/>
              </w:rPr>
              <w:t> </w:t>
            </w:r>
            <w:r>
              <w:rPr>
                <w:sz w:val="20"/>
              </w:rPr>
              <w:t>de</w:t>
            </w:r>
            <w:r>
              <w:rPr>
                <w:spacing w:val="27"/>
                <w:sz w:val="20"/>
              </w:rPr>
              <w:t> </w:t>
            </w:r>
            <w:r>
              <w:rPr>
                <w:spacing w:val="-2"/>
                <w:sz w:val="20"/>
              </w:rPr>
              <w:t>lesiones</w:t>
            </w:r>
          </w:p>
          <w:p>
            <w:pPr>
              <w:pStyle w:val="TableParagraph"/>
              <w:spacing w:line="228" w:lineRule="exact"/>
              <w:ind w:right="64"/>
              <w:jc w:val="both"/>
              <w:rPr>
                <w:sz w:val="20"/>
              </w:rPr>
            </w:pPr>
            <w:r>
              <w:rPr>
                <w:sz w:val="20"/>
              </w:rPr>
              <w:t>bilaterales,</w:t>
            </w:r>
            <w:r>
              <w:rPr>
                <w:spacing w:val="-3"/>
                <w:sz w:val="20"/>
              </w:rPr>
              <w:t> </w:t>
            </w:r>
            <w:r>
              <w:rPr>
                <w:sz w:val="20"/>
              </w:rPr>
              <w:t>se</w:t>
            </w:r>
            <w:r>
              <w:rPr>
                <w:spacing w:val="-3"/>
                <w:sz w:val="20"/>
              </w:rPr>
              <w:t> </w:t>
            </w:r>
            <w:r>
              <w:rPr>
                <w:sz w:val="20"/>
              </w:rPr>
              <w:t>sumarán</w:t>
            </w:r>
            <w:r>
              <w:rPr>
                <w:spacing w:val="-3"/>
                <w:sz w:val="20"/>
              </w:rPr>
              <w:t> </w:t>
            </w:r>
            <w:r>
              <w:rPr>
                <w:sz w:val="20"/>
              </w:rPr>
              <w:t>los porcentajes</w:t>
            </w:r>
            <w:r>
              <w:rPr>
                <w:spacing w:val="-2"/>
                <w:sz w:val="20"/>
              </w:rPr>
              <w:t> </w:t>
            </w:r>
            <w:r>
              <w:rPr>
                <w:sz w:val="20"/>
              </w:rPr>
              <w:t>correspondientes</w:t>
            </w:r>
            <w:r>
              <w:rPr>
                <w:spacing w:val="-2"/>
                <w:sz w:val="20"/>
              </w:rPr>
              <w:t> </w:t>
            </w:r>
            <w:r>
              <w:rPr>
                <w:sz w:val="20"/>
              </w:rPr>
              <w:t>a</w:t>
            </w:r>
            <w:r>
              <w:rPr>
                <w:spacing w:val="-3"/>
                <w:sz w:val="20"/>
              </w:rPr>
              <w:t> </w:t>
            </w:r>
            <w:r>
              <w:rPr>
                <w:sz w:val="20"/>
              </w:rPr>
              <w:t>cada</w:t>
            </w:r>
            <w:r>
              <w:rPr>
                <w:spacing w:val="-4"/>
                <w:sz w:val="20"/>
              </w:rPr>
              <w:t> </w:t>
            </w:r>
            <w:r>
              <w:rPr>
                <w:sz w:val="20"/>
              </w:rPr>
              <w:t>miembro,</w:t>
            </w:r>
            <w:r>
              <w:rPr>
                <w:spacing w:val="-3"/>
                <w:sz w:val="20"/>
              </w:rPr>
              <w:t> </w:t>
            </w:r>
            <w:r>
              <w:rPr>
                <w:sz w:val="20"/>
              </w:rPr>
              <w:t>sin que en ningún caso sobrepasen del cien por ciento.</w:t>
            </w:r>
          </w:p>
        </w:tc>
        <w:tc>
          <w:tcPr>
            <w:tcW w:w="1457" w:type="dxa"/>
          </w:tcPr>
          <w:p>
            <w:pPr>
              <w:pStyle w:val="TableParagraph"/>
              <w:spacing w:line="240" w:lineRule="auto"/>
              <w:ind w:left="0"/>
              <w:jc w:val="left"/>
              <w:rPr>
                <w:rFonts w:ascii="Arial"/>
                <w:b/>
                <w:sz w:val="20"/>
              </w:rPr>
            </w:pPr>
          </w:p>
          <w:p>
            <w:pPr>
              <w:pStyle w:val="TableParagraph"/>
              <w:spacing w:line="240" w:lineRule="auto" w:before="115"/>
              <w:ind w:left="0"/>
              <w:jc w:val="left"/>
              <w:rPr>
                <w:rFonts w:ascii="Arial"/>
                <w:b/>
                <w:sz w:val="20"/>
              </w:rPr>
            </w:pPr>
          </w:p>
          <w:p>
            <w:pPr>
              <w:pStyle w:val="TableParagraph"/>
              <w:spacing w:line="240" w:lineRule="auto"/>
              <w:ind w:left="11"/>
              <w:rPr>
                <w:sz w:val="20"/>
              </w:rPr>
            </w:pPr>
            <w:r>
              <w:rPr>
                <w:spacing w:val="-2"/>
                <w:sz w:val="20"/>
              </w:rPr>
              <w:t>-</w:t>
            </w:r>
            <w:r>
              <w:rPr>
                <w:spacing w:val="-12"/>
                <w:sz w:val="20"/>
              </w:rPr>
              <w:t>-</w:t>
            </w:r>
          </w:p>
        </w:tc>
      </w:tr>
      <w:tr>
        <w:trPr>
          <w:trHeight w:val="1612" w:hRule="atLeast"/>
        </w:trPr>
        <w:tc>
          <w:tcPr>
            <w:tcW w:w="1003" w:type="dxa"/>
          </w:tcPr>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10" w:right="1"/>
              <w:rPr>
                <w:sz w:val="20"/>
              </w:rPr>
            </w:pPr>
            <w:r>
              <w:rPr>
                <w:spacing w:val="-5"/>
                <w:sz w:val="20"/>
              </w:rPr>
              <w:t>179</w:t>
            </w:r>
          </w:p>
        </w:tc>
        <w:tc>
          <w:tcPr>
            <w:tcW w:w="7089" w:type="dxa"/>
          </w:tcPr>
          <w:p>
            <w:pPr>
              <w:pStyle w:val="TableParagraph"/>
              <w:spacing w:line="240" w:lineRule="auto" w:before="1"/>
              <w:ind w:right="60"/>
              <w:jc w:val="both"/>
              <w:rPr>
                <w:sz w:val="20"/>
              </w:rPr>
            </w:pPr>
            <w:r>
              <w:rPr>
                <w:sz w:val="20"/>
              </w:rPr>
              <w:t>En los músicos instrumentistas, mecanógrafos, relojeros, joyeros</w:t>
            </w:r>
            <w:r>
              <w:rPr>
                <w:spacing w:val="40"/>
                <w:sz w:val="20"/>
              </w:rPr>
              <w:t> </w:t>
            </w:r>
            <w:r>
              <w:rPr>
                <w:sz w:val="20"/>
              </w:rPr>
              <w:t>ensamblador de partes electrónicas, etc. y labores similares, la pérdida, anquilosis, pseudoartrosis, luxaciones, parálisis, retracciones cicatrizales y rigideces de los dedos utilizados efectivamente en el trabajo, así como en los casos</w:t>
            </w:r>
            <w:r>
              <w:rPr>
                <w:spacing w:val="-2"/>
                <w:sz w:val="20"/>
              </w:rPr>
              <w:t> </w:t>
            </w:r>
            <w:r>
              <w:rPr>
                <w:sz w:val="20"/>
              </w:rPr>
              <w:t>de</w:t>
            </w:r>
            <w:r>
              <w:rPr>
                <w:spacing w:val="-4"/>
                <w:sz w:val="20"/>
              </w:rPr>
              <w:t> </w:t>
            </w:r>
            <w:r>
              <w:rPr>
                <w:sz w:val="20"/>
              </w:rPr>
              <w:t>retracciones</w:t>
            </w:r>
            <w:r>
              <w:rPr>
                <w:spacing w:val="-2"/>
                <w:sz w:val="20"/>
              </w:rPr>
              <w:t> </w:t>
            </w:r>
            <w:r>
              <w:rPr>
                <w:sz w:val="20"/>
              </w:rPr>
              <w:t>de</w:t>
            </w:r>
            <w:r>
              <w:rPr>
                <w:spacing w:val="-1"/>
                <w:sz w:val="20"/>
              </w:rPr>
              <w:t> </w:t>
            </w:r>
            <w:r>
              <w:rPr>
                <w:sz w:val="20"/>
              </w:rPr>
              <w:t>la</w:t>
            </w:r>
            <w:r>
              <w:rPr>
                <w:spacing w:val="-1"/>
                <w:sz w:val="20"/>
              </w:rPr>
              <w:t> </w:t>
            </w:r>
            <w:r>
              <w:rPr>
                <w:sz w:val="20"/>
              </w:rPr>
              <w:t>aponeurosis</w:t>
            </w:r>
            <w:r>
              <w:rPr>
                <w:spacing w:val="-2"/>
                <w:sz w:val="20"/>
              </w:rPr>
              <w:t> </w:t>
            </w:r>
            <w:r>
              <w:rPr>
                <w:sz w:val="20"/>
              </w:rPr>
              <w:t>palmar</w:t>
            </w:r>
            <w:r>
              <w:rPr>
                <w:spacing w:val="-2"/>
                <w:sz w:val="20"/>
              </w:rPr>
              <w:t> </w:t>
            </w:r>
            <w:r>
              <w:rPr>
                <w:sz w:val="20"/>
              </w:rPr>
              <w:t>de</w:t>
            </w:r>
            <w:r>
              <w:rPr>
                <w:spacing w:val="-4"/>
                <w:sz w:val="20"/>
              </w:rPr>
              <w:t> </w:t>
            </w:r>
            <w:r>
              <w:rPr>
                <w:sz w:val="20"/>
              </w:rPr>
              <w:t>la</w:t>
            </w:r>
            <w:r>
              <w:rPr>
                <w:spacing w:val="-3"/>
                <w:sz w:val="20"/>
              </w:rPr>
              <w:t> </w:t>
            </w:r>
            <w:r>
              <w:rPr>
                <w:sz w:val="20"/>
              </w:rPr>
              <w:t>mano</w:t>
            </w:r>
            <w:r>
              <w:rPr>
                <w:spacing w:val="-3"/>
                <w:sz w:val="20"/>
              </w:rPr>
              <w:t> </w:t>
            </w:r>
            <w:r>
              <w:rPr>
                <w:sz w:val="20"/>
              </w:rPr>
              <w:t>que</w:t>
            </w:r>
            <w:r>
              <w:rPr>
                <w:spacing w:val="-3"/>
                <w:sz w:val="20"/>
              </w:rPr>
              <w:t> </w:t>
            </w:r>
            <w:r>
              <w:rPr>
                <w:sz w:val="20"/>
              </w:rPr>
              <w:t>interese</w:t>
            </w:r>
            <w:r>
              <w:rPr>
                <w:spacing w:val="-1"/>
                <w:sz w:val="20"/>
              </w:rPr>
              <w:t> </w:t>
            </w:r>
            <w:r>
              <w:rPr>
                <w:sz w:val="20"/>
              </w:rPr>
              <w:t>esos mismos</w:t>
            </w:r>
            <w:r>
              <w:rPr>
                <w:spacing w:val="-5"/>
                <w:sz w:val="20"/>
              </w:rPr>
              <w:t> </w:t>
            </w:r>
            <w:r>
              <w:rPr>
                <w:sz w:val="20"/>
              </w:rPr>
              <w:t>dedos,</w:t>
            </w:r>
            <w:r>
              <w:rPr>
                <w:spacing w:val="-6"/>
                <w:sz w:val="20"/>
              </w:rPr>
              <w:t> </w:t>
            </w:r>
            <w:r>
              <w:rPr>
                <w:sz w:val="20"/>
              </w:rPr>
              <w:t>se</w:t>
            </w:r>
            <w:r>
              <w:rPr>
                <w:spacing w:val="-5"/>
                <w:sz w:val="20"/>
              </w:rPr>
              <w:t> </w:t>
            </w:r>
            <w:r>
              <w:rPr>
                <w:sz w:val="20"/>
              </w:rPr>
              <w:t>aumentará</w:t>
            </w:r>
            <w:r>
              <w:rPr>
                <w:spacing w:val="-6"/>
                <w:sz w:val="20"/>
              </w:rPr>
              <w:t> </w:t>
            </w:r>
            <w:r>
              <w:rPr>
                <w:sz w:val="20"/>
              </w:rPr>
              <w:t>hasta</w:t>
            </w:r>
            <w:r>
              <w:rPr>
                <w:spacing w:val="-5"/>
                <w:sz w:val="20"/>
              </w:rPr>
              <w:t> </w:t>
            </w:r>
            <w:r>
              <w:rPr>
                <w:sz w:val="20"/>
              </w:rPr>
              <w:t>el</w:t>
            </w:r>
            <w:r>
              <w:rPr>
                <w:spacing w:val="-5"/>
                <w:sz w:val="20"/>
              </w:rPr>
              <w:t> </w:t>
            </w:r>
            <w:r>
              <w:rPr>
                <w:sz w:val="20"/>
              </w:rPr>
              <w:t>250%,</w:t>
            </w:r>
            <w:r>
              <w:rPr>
                <w:spacing w:val="-6"/>
                <w:sz w:val="20"/>
              </w:rPr>
              <w:t> </w:t>
            </w:r>
            <w:r>
              <w:rPr>
                <w:sz w:val="20"/>
              </w:rPr>
              <w:t>observándose</w:t>
            </w:r>
            <w:r>
              <w:rPr>
                <w:spacing w:val="-5"/>
                <w:sz w:val="20"/>
              </w:rPr>
              <w:t> </w:t>
            </w:r>
            <w:r>
              <w:rPr>
                <w:sz w:val="20"/>
              </w:rPr>
              <w:t>lo</w:t>
            </w:r>
            <w:r>
              <w:rPr>
                <w:spacing w:val="-6"/>
                <w:sz w:val="20"/>
              </w:rPr>
              <w:t> </w:t>
            </w:r>
            <w:r>
              <w:rPr>
                <w:sz w:val="20"/>
              </w:rPr>
              <w:t>dispuesto</w:t>
            </w:r>
            <w:r>
              <w:rPr>
                <w:spacing w:val="-5"/>
                <w:sz w:val="20"/>
              </w:rPr>
              <w:t> </w:t>
            </w:r>
            <w:r>
              <w:rPr>
                <w:sz w:val="20"/>
              </w:rPr>
              <w:t>en</w:t>
            </w:r>
            <w:r>
              <w:rPr>
                <w:spacing w:val="-4"/>
                <w:sz w:val="20"/>
              </w:rPr>
              <w:t> </w:t>
            </w:r>
            <w:r>
              <w:rPr>
                <w:spacing w:val="-5"/>
                <w:sz w:val="20"/>
              </w:rPr>
              <w:t>el</w:t>
            </w:r>
          </w:p>
          <w:p>
            <w:pPr>
              <w:pStyle w:val="TableParagraph"/>
              <w:spacing w:before="1"/>
              <w:jc w:val="both"/>
              <w:rPr>
                <w:sz w:val="20"/>
              </w:rPr>
            </w:pPr>
            <w:r>
              <w:rPr>
                <w:sz w:val="20"/>
              </w:rPr>
              <w:t>artículo</w:t>
            </w:r>
            <w:r>
              <w:rPr>
                <w:spacing w:val="-4"/>
                <w:sz w:val="20"/>
              </w:rPr>
              <w:t> </w:t>
            </w:r>
            <w:r>
              <w:rPr>
                <w:sz w:val="20"/>
              </w:rPr>
              <w:t>494</w:t>
            </w:r>
            <w:r>
              <w:rPr>
                <w:spacing w:val="-3"/>
                <w:sz w:val="20"/>
              </w:rPr>
              <w:t> </w:t>
            </w:r>
            <w:r>
              <w:rPr>
                <w:sz w:val="20"/>
              </w:rPr>
              <w:t>de</w:t>
            </w:r>
            <w:r>
              <w:rPr>
                <w:spacing w:val="-4"/>
                <w:sz w:val="20"/>
              </w:rPr>
              <w:t> </w:t>
            </w:r>
            <w:r>
              <w:rPr>
                <w:sz w:val="20"/>
              </w:rPr>
              <w:t>la</w:t>
            </w:r>
            <w:r>
              <w:rPr>
                <w:spacing w:val="-3"/>
                <w:sz w:val="20"/>
              </w:rPr>
              <w:t> </w:t>
            </w:r>
            <w:r>
              <w:rPr>
                <w:sz w:val="20"/>
              </w:rPr>
              <w:t>Ley</w:t>
            </w:r>
            <w:r>
              <w:rPr>
                <w:spacing w:val="-8"/>
                <w:sz w:val="20"/>
              </w:rPr>
              <w:t> </w:t>
            </w:r>
            <w:r>
              <w:rPr>
                <w:sz w:val="20"/>
              </w:rPr>
              <w:t>Federal</w:t>
            </w:r>
            <w:r>
              <w:rPr>
                <w:spacing w:val="-7"/>
                <w:sz w:val="20"/>
              </w:rPr>
              <w:t> </w:t>
            </w:r>
            <w:r>
              <w:rPr>
                <w:sz w:val="20"/>
              </w:rPr>
              <w:t>del</w:t>
            </w:r>
            <w:r>
              <w:rPr>
                <w:spacing w:val="-6"/>
                <w:sz w:val="20"/>
              </w:rPr>
              <w:t> </w:t>
            </w:r>
            <w:r>
              <w:rPr>
                <w:spacing w:val="-2"/>
                <w:sz w:val="20"/>
              </w:rPr>
              <w:t>Trabajo.</w:t>
            </w:r>
          </w:p>
        </w:tc>
        <w:tc>
          <w:tcPr>
            <w:tcW w:w="1457" w:type="dxa"/>
          </w:tcPr>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11"/>
              <w:rPr>
                <w:sz w:val="20"/>
              </w:rPr>
            </w:pPr>
            <w:r>
              <w:rPr>
                <w:spacing w:val="-2"/>
                <w:sz w:val="20"/>
              </w:rPr>
              <w:t>-</w:t>
            </w:r>
            <w:r>
              <w:rPr>
                <w:spacing w:val="-12"/>
                <w:sz w:val="20"/>
              </w:rPr>
              <w:t>-</w:t>
            </w:r>
          </w:p>
        </w:tc>
      </w:tr>
    </w:tbl>
    <w:p>
      <w:pPr>
        <w:spacing w:line="480" w:lineRule="auto" w:before="226" w:after="4"/>
        <w:ind w:left="4128" w:right="4127" w:firstLine="0"/>
        <w:jc w:val="center"/>
        <w:rPr>
          <w:rFonts w:ascii="Arial" w:hAnsi="Arial"/>
          <w:b/>
          <w:sz w:val="20"/>
        </w:rPr>
      </w:pPr>
      <w:r>
        <w:rPr>
          <w:rFonts w:ascii="Arial" w:hAnsi="Arial"/>
          <w:b/>
          <w:sz w:val="20"/>
        </w:rPr>
        <w:t>Miembro</w:t>
      </w:r>
      <w:r>
        <w:rPr>
          <w:rFonts w:ascii="Arial" w:hAnsi="Arial"/>
          <w:b/>
          <w:spacing w:val="-14"/>
          <w:sz w:val="20"/>
        </w:rPr>
        <w:t> </w:t>
      </w:r>
      <w:r>
        <w:rPr>
          <w:rFonts w:ascii="Arial" w:hAnsi="Arial"/>
          <w:b/>
          <w:sz w:val="20"/>
        </w:rPr>
        <w:t>inferior </w:t>
      </w:r>
      <w:r>
        <w:rPr>
          <w:rFonts w:ascii="Arial" w:hAnsi="Arial"/>
          <w:b/>
          <w:spacing w:val="-2"/>
          <w:sz w:val="20"/>
        </w:rPr>
        <w:t>Pérdidas</w:t>
      </w: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3"/>
        <w:gridCol w:w="7089"/>
        <w:gridCol w:w="1457"/>
      </w:tblGrid>
      <w:tr>
        <w:trPr>
          <w:trHeight w:val="229" w:hRule="atLeast"/>
        </w:trPr>
        <w:tc>
          <w:tcPr>
            <w:tcW w:w="1003" w:type="dxa"/>
          </w:tcPr>
          <w:p>
            <w:pPr>
              <w:pStyle w:val="TableParagraph"/>
              <w:ind w:left="10" w:right="1"/>
              <w:rPr>
                <w:sz w:val="20"/>
              </w:rPr>
            </w:pPr>
            <w:r>
              <w:rPr>
                <w:spacing w:val="-5"/>
                <w:sz w:val="20"/>
              </w:rPr>
              <w:t>180</w:t>
            </w:r>
          </w:p>
        </w:tc>
        <w:tc>
          <w:tcPr>
            <w:tcW w:w="7089" w:type="dxa"/>
          </w:tcPr>
          <w:p>
            <w:pPr>
              <w:pStyle w:val="TableParagraph"/>
              <w:jc w:val="left"/>
              <w:rPr>
                <w:sz w:val="20"/>
              </w:rPr>
            </w:pPr>
            <w:r>
              <w:rPr>
                <w:sz w:val="20"/>
              </w:rPr>
              <w:t>Por</w:t>
            </w:r>
            <w:r>
              <w:rPr>
                <w:spacing w:val="-6"/>
                <w:sz w:val="20"/>
              </w:rPr>
              <w:t> </w:t>
            </w:r>
            <w:r>
              <w:rPr>
                <w:sz w:val="20"/>
              </w:rPr>
              <w:t>la</w:t>
            </w:r>
            <w:r>
              <w:rPr>
                <w:spacing w:val="-6"/>
                <w:sz w:val="20"/>
              </w:rPr>
              <w:t> </w:t>
            </w:r>
            <w:r>
              <w:rPr>
                <w:sz w:val="20"/>
              </w:rPr>
              <w:t>desarticulación</w:t>
            </w:r>
            <w:r>
              <w:rPr>
                <w:spacing w:val="-6"/>
                <w:sz w:val="20"/>
              </w:rPr>
              <w:t> </w:t>
            </w:r>
            <w:r>
              <w:rPr>
                <w:sz w:val="20"/>
              </w:rPr>
              <w:t>de</w:t>
            </w:r>
            <w:r>
              <w:rPr>
                <w:spacing w:val="-6"/>
                <w:sz w:val="20"/>
              </w:rPr>
              <w:t> </w:t>
            </w:r>
            <w:r>
              <w:rPr>
                <w:sz w:val="20"/>
              </w:rPr>
              <w:t>la</w:t>
            </w:r>
            <w:r>
              <w:rPr>
                <w:spacing w:val="-4"/>
                <w:sz w:val="20"/>
              </w:rPr>
              <w:t> </w:t>
            </w:r>
            <w:r>
              <w:rPr>
                <w:spacing w:val="-2"/>
                <w:sz w:val="20"/>
              </w:rPr>
              <w:t>cadera.</w:t>
            </w:r>
          </w:p>
        </w:tc>
        <w:tc>
          <w:tcPr>
            <w:tcW w:w="1457" w:type="dxa"/>
          </w:tcPr>
          <w:p>
            <w:pPr>
              <w:pStyle w:val="TableParagraph"/>
              <w:ind w:left="11" w:right="1"/>
              <w:rPr>
                <w:sz w:val="20"/>
              </w:rPr>
            </w:pPr>
            <w:r>
              <w:rPr>
                <w:spacing w:val="-5"/>
                <w:sz w:val="20"/>
              </w:rPr>
              <w:t>80%</w:t>
            </w:r>
          </w:p>
        </w:tc>
      </w:tr>
      <w:tr>
        <w:trPr>
          <w:trHeight w:val="229" w:hRule="atLeast"/>
        </w:trPr>
        <w:tc>
          <w:tcPr>
            <w:tcW w:w="1003" w:type="dxa"/>
          </w:tcPr>
          <w:p>
            <w:pPr>
              <w:pStyle w:val="TableParagraph"/>
              <w:ind w:left="10" w:right="1"/>
              <w:rPr>
                <w:sz w:val="20"/>
              </w:rPr>
            </w:pPr>
            <w:r>
              <w:rPr>
                <w:spacing w:val="-5"/>
                <w:sz w:val="20"/>
              </w:rPr>
              <w:t>181</w:t>
            </w:r>
          </w:p>
        </w:tc>
        <w:tc>
          <w:tcPr>
            <w:tcW w:w="7089" w:type="dxa"/>
          </w:tcPr>
          <w:p>
            <w:pPr>
              <w:pStyle w:val="TableParagraph"/>
              <w:jc w:val="left"/>
              <w:rPr>
                <w:sz w:val="20"/>
              </w:rPr>
            </w:pPr>
            <w:r>
              <w:rPr>
                <w:sz w:val="20"/>
              </w:rPr>
              <w:t>Por</w:t>
            </w:r>
            <w:r>
              <w:rPr>
                <w:spacing w:val="-6"/>
                <w:sz w:val="20"/>
              </w:rPr>
              <w:t> </w:t>
            </w:r>
            <w:r>
              <w:rPr>
                <w:sz w:val="20"/>
              </w:rPr>
              <w:t>la</w:t>
            </w:r>
            <w:r>
              <w:rPr>
                <w:spacing w:val="-5"/>
                <w:sz w:val="20"/>
              </w:rPr>
              <w:t> </w:t>
            </w:r>
            <w:r>
              <w:rPr>
                <w:sz w:val="20"/>
              </w:rPr>
              <w:t>amputación</w:t>
            </w:r>
            <w:r>
              <w:rPr>
                <w:spacing w:val="-5"/>
                <w:sz w:val="20"/>
              </w:rPr>
              <w:t> </w:t>
            </w:r>
            <w:r>
              <w:rPr>
                <w:sz w:val="20"/>
              </w:rPr>
              <w:t>del</w:t>
            </w:r>
            <w:r>
              <w:rPr>
                <w:spacing w:val="-5"/>
                <w:sz w:val="20"/>
              </w:rPr>
              <w:t> </w:t>
            </w:r>
            <w:r>
              <w:rPr>
                <w:sz w:val="20"/>
              </w:rPr>
              <w:t>muslo,</w:t>
            </w:r>
            <w:r>
              <w:rPr>
                <w:spacing w:val="-6"/>
                <w:sz w:val="20"/>
              </w:rPr>
              <w:t> </w:t>
            </w:r>
            <w:r>
              <w:rPr>
                <w:sz w:val="20"/>
              </w:rPr>
              <w:t>entre</w:t>
            </w:r>
            <w:r>
              <w:rPr>
                <w:spacing w:val="-5"/>
                <w:sz w:val="20"/>
              </w:rPr>
              <w:t> </w:t>
            </w:r>
            <w:r>
              <w:rPr>
                <w:sz w:val="20"/>
              </w:rPr>
              <w:t>la</w:t>
            </w:r>
            <w:r>
              <w:rPr>
                <w:spacing w:val="-5"/>
                <w:sz w:val="20"/>
              </w:rPr>
              <w:t> </w:t>
            </w:r>
            <w:r>
              <w:rPr>
                <w:sz w:val="20"/>
              </w:rPr>
              <w:t>cadera</w:t>
            </w:r>
            <w:r>
              <w:rPr>
                <w:spacing w:val="-3"/>
                <w:sz w:val="20"/>
              </w:rPr>
              <w:t> </w:t>
            </w:r>
            <w:r>
              <w:rPr>
                <w:sz w:val="20"/>
              </w:rPr>
              <w:t>y</w:t>
            </w:r>
            <w:r>
              <w:rPr>
                <w:spacing w:val="-6"/>
                <w:sz w:val="20"/>
              </w:rPr>
              <w:t> </w:t>
            </w:r>
            <w:r>
              <w:rPr>
                <w:sz w:val="20"/>
              </w:rPr>
              <w:t>la</w:t>
            </w:r>
            <w:r>
              <w:rPr>
                <w:spacing w:val="-3"/>
                <w:sz w:val="20"/>
              </w:rPr>
              <w:t> </w:t>
            </w:r>
            <w:r>
              <w:rPr>
                <w:spacing w:val="-2"/>
                <w:sz w:val="20"/>
              </w:rPr>
              <w:t>rodilla.</w:t>
            </w:r>
          </w:p>
        </w:tc>
        <w:tc>
          <w:tcPr>
            <w:tcW w:w="1457" w:type="dxa"/>
          </w:tcPr>
          <w:p>
            <w:pPr>
              <w:pStyle w:val="TableParagraph"/>
              <w:ind w:left="11" w:right="1"/>
              <w:rPr>
                <w:sz w:val="20"/>
              </w:rPr>
            </w:pPr>
            <w:r>
              <w:rPr>
                <w:spacing w:val="-5"/>
                <w:sz w:val="20"/>
              </w:rPr>
              <w:t>80%</w:t>
            </w:r>
          </w:p>
        </w:tc>
      </w:tr>
      <w:tr>
        <w:trPr>
          <w:trHeight w:val="229" w:hRule="atLeast"/>
        </w:trPr>
        <w:tc>
          <w:tcPr>
            <w:tcW w:w="1003" w:type="dxa"/>
          </w:tcPr>
          <w:p>
            <w:pPr>
              <w:pStyle w:val="TableParagraph"/>
              <w:ind w:left="10" w:right="1"/>
              <w:rPr>
                <w:sz w:val="20"/>
              </w:rPr>
            </w:pPr>
            <w:r>
              <w:rPr>
                <w:spacing w:val="-5"/>
                <w:sz w:val="20"/>
              </w:rPr>
              <w:t>182</w:t>
            </w:r>
          </w:p>
        </w:tc>
        <w:tc>
          <w:tcPr>
            <w:tcW w:w="7089" w:type="dxa"/>
          </w:tcPr>
          <w:p>
            <w:pPr>
              <w:pStyle w:val="TableParagraph"/>
              <w:jc w:val="left"/>
              <w:rPr>
                <w:sz w:val="20"/>
              </w:rPr>
            </w:pPr>
            <w:r>
              <w:rPr>
                <w:sz w:val="20"/>
              </w:rPr>
              <w:t>Por</w:t>
            </w:r>
            <w:r>
              <w:rPr>
                <w:spacing w:val="-6"/>
                <w:sz w:val="20"/>
              </w:rPr>
              <w:t> </w:t>
            </w:r>
            <w:r>
              <w:rPr>
                <w:sz w:val="20"/>
              </w:rPr>
              <w:t>la</w:t>
            </w:r>
            <w:r>
              <w:rPr>
                <w:spacing w:val="-6"/>
                <w:sz w:val="20"/>
              </w:rPr>
              <w:t> </w:t>
            </w:r>
            <w:r>
              <w:rPr>
                <w:sz w:val="20"/>
              </w:rPr>
              <w:t>desarticulación</w:t>
            </w:r>
            <w:r>
              <w:rPr>
                <w:spacing w:val="-6"/>
                <w:sz w:val="20"/>
              </w:rPr>
              <w:t> </w:t>
            </w:r>
            <w:r>
              <w:rPr>
                <w:sz w:val="20"/>
              </w:rPr>
              <w:t>de</w:t>
            </w:r>
            <w:r>
              <w:rPr>
                <w:spacing w:val="-6"/>
                <w:sz w:val="20"/>
              </w:rPr>
              <w:t> </w:t>
            </w:r>
            <w:r>
              <w:rPr>
                <w:sz w:val="20"/>
              </w:rPr>
              <w:t>la</w:t>
            </w:r>
            <w:r>
              <w:rPr>
                <w:spacing w:val="-4"/>
                <w:sz w:val="20"/>
              </w:rPr>
              <w:t> </w:t>
            </w:r>
            <w:r>
              <w:rPr>
                <w:spacing w:val="-2"/>
                <w:sz w:val="20"/>
              </w:rPr>
              <w:t>rodilla.</w:t>
            </w:r>
          </w:p>
        </w:tc>
        <w:tc>
          <w:tcPr>
            <w:tcW w:w="1457" w:type="dxa"/>
          </w:tcPr>
          <w:p>
            <w:pPr>
              <w:pStyle w:val="TableParagraph"/>
              <w:ind w:left="11" w:right="1"/>
              <w:rPr>
                <w:sz w:val="20"/>
              </w:rPr>
            </w:pPr>
            <w:r>
              <w:rPr>
                <w:spacing w:val="-5"/>
                <w:sz w:val="20"/>
              </w:rPr>
              <w:t>70%</w:t>
            </w:r>
          </w:p>
        </w:tc>
      </w:tr>
      <w:tr>
        <w:trPr>
          <w:trHeight w:val="460" w:hRule="atLeast"/>
        </w:trPr>
        <w:tc>
          <w:tcPr>
            <w:tcW w:w="1003" w:type="dxa"/>
          </w:tcPr>
          <w:p>
            <w:pPr>
              <w:pStyle w:val="TableParagraph"/>
              <w:spacing w:line="240" w:lineRule="auto" w:before="114"/>
              <w:ind w:left="10" w:right="1"/>
              <w:rPr>
                <w:sz w:val="20"/>
              </w:rPr>
            </w:pPr>
            <w:r>
              <w:rPr>
                <w:spacing w:val="-5"/>
                <w:sz w:val="20"/>
              </w:rPr>
              <w:t>183</w:t>
            </w:r>
          </w:p>
        </w:tc>
        <w:tc>
          <w:tcPr>
            <w:tcW w:w="7089" w:type="dxa"/>
          </w:tcPr>
          <w:p>
            <w:pPr>
              <w:pStyle w:val="TableParagraph"/>
              <w:spacing w:line="230" w:lineRule="exact"/>
              <w:jc w:val="left"/>
              <w:rPr>
                <w:sz w:val="20"/>
              </w:rPr>
            </w:pPr>
            <w:r>
              <w:rPr>
                <w:sz w:val="20"/>
              </w:rPr>
              <w:t>Por la extirpación de la rótula, con movilidad anormal</w:t>
            </w:r>
            <w:r>
              <w:rPr>
                <w:spacing w:val="-1"/>
                <w:sz w:val="20"/>
              </w:rPr>
              <w:t> </w:t>
            </w:r>
            <w:r>
              <w:rPr>
                <w:sz w:val="20"/>
              </w:rPr>
              <w:t>de la rodilla y</w:t>
            </w:r>
            <w:r>
              <w:rPr>
                <w:spacing w:val="-3"/>
                <w:sz w:val="20"/>
              </w:rPr>
              <w:t> </w:t>
            </w:r>
            <w:r>
              <w:rPr>
                <w:sz w:val="20"/>
              </w:rPr>
              <w:t>amiotrofia del tríceps.</w:t>
            </w:r>
          </w:p>
        </w:tc>
        <w:tc>
          <w:tcPr>
            <w:tcW w:w="1457" w:type="dxa"/>
          </w:tcPr>
          <w:p>
            <w:pPr>
              <w:pStyle w:val="TableParagraph"/>
              <w:spacing w:line="240" w:lineRule="auto" w:before="114"/>
              <w:ind w:left="11" w:right="1"/>
              <w:rPr>
                <w:sz w:val="20"/>
              </w:rPr>
            </w:pPr>
            <w:r>
              <w:rPr>
                <w:spacing w:val="-5"/>
                <w:sz w:val="20"/>
              </w:rPr>
              <w:t>40%</w:t>
            </w:r>
          </w:p>
        </w:tc>
      </w:tr>
      <w:tr>
        <w:trPr>
          <w:trHeight w:val="229" w:hRule="atLeast"/>
        </w:trPr>
        <w:tc>
          <w:tcPr>
            <w:tcW w:w="1003" w:type="dxa"/>
          </w:tcPr>
          <w:p>
            <w:pPr>
              <w:pStyle w:val="TableParagraph"/>
              <w:ind w:left="10" w:right="1"/>
              <w:rPr>
                <w:sz w:val="20"/>
              </w:rPr>
            </w:pPr>
            <w:r>
              <w:rPr>
                <w:spacing w:val="-5"/>
                <w:sz w:val="20"/>
              </w:rPr>
              <w:t>184</w:t>
            </w:r>
          </w:p>
        </w:tc>
        <w:tc>
          <w:tcPr>
            <w:tcW w:w="7089" w:type="dxa"/>
          </w:tcPr>
          <w:p>
            <w:pPr>
              <w:pStyle w:val="TableParagraph"/>
              <w:jc w:val="left"/>
              <w:rPr>
                <w:sz w:val="20"/>
              </w:rPr>
            </w:pPr>
            <w:r>
              <w:rPr>
                <w:sz w:val="20"/>
              </w:rPr>
              <w:t>Por</w:t>
            </w:r>
            <w:r>
              <w:rPr>
                <w:spacing w:val="-6"/>
                <w:sz w:val="20"/>
              </w:rPr>
              <w:t> </w:t>
            </w:r>
            <w:r>
              <w:rPr>
                <w:sz w:val="20"/>
              </w:rPr>
              <w:t>la</w:t>
            </w:r>
            <w:r>
              <w:rPr>
                <w:spacing w:val="-5"/>
                <w:sz w:val="20"/>
              </w:rPr>
              <w:t> </w:t>
            </w:r>
            <w:r>
              <w:rPr>
                <w:sz w:val="20"/>
              </w:rPr>
              <w:t>amputación</w:t>
            </w:r>
            <w:r>
              <w:rPr>
                <w:spacing w:val="-5"/>
                <w:sz w:val="20"/>
              </w:rPr>
              <w:t> </w:t>
            </w:r>
            <w:r>
              <w:rPr>
                <w:sz w:val="20"/>
              </w:rPr>
              <w:t>de</w:t>
            </w:r>
            <w:r>
              <w:rPr>
                <w:spacing w:val="-5"/>
                <w:sz w:val="20"/>
              </w:rPr>
              <w:t> </w:t>
            </w:r>
            <w:r>
              <w:rPr>
                <w:sz w:val="20"/>
              </w:rPr>
              <w:t>la</w:t>
            </w:r>
            <w:r>
              <w:rPr>
                <w:spacing w:val="-5"/>
                <w:sz w:val="20"/>
              </w:rPr>
              <w:t> </w:t>
            </w:r>
            <w:r>
              <w:rPr>
                <w:sz w:val="20"/>
              </w:rPr>
              <w:t>pierna,</w:t>
            </w:r>
            <w:r>
              <w:rPr>
                <w:spacing w:val="-5"/>
                <w:sz w:val="20"/>
              </w:rPr>
              <w:t> </w:t>
            </w:r>
            <w:r>
              <w:rPr>
                <w:sz w:val="20"/>
              </w:rPr>
              <w:t>entre</w:t>
            </w:r>
            <w:r>
              <w:rPr>
                <w:spacing w:val="-5"/>
                <w:sz w:val="20"/>
              </w:rPr>
              <w:t> </w:t>
            </w:r>
            <w:r>
              <w:rPr>
                <w:sz w:val="20"/>
              </w:rPr>
              <w:t>la</w:t>
            </w:r>
            <w:r>
              <w:rPr>
                <w:spacing w:val="-5"/>
                <w:sz w:val="20"/>
              </w:rPr>
              <w:t> </w:t>
            </w:r>
            <w:r>
              <w:rPr>
                <w:sz w:val="20"/>
              </w:rPr>
              <w:t>rodilla</w:t>
            </w:r>
            <w:r>
              <w:rPr>
                <w:spacing w:val="-1"/>
                <w:sz w:val="20"/>
              </w:rPr>
              <w:t> </w:t>
            </w:r>
            <w:r>
              <w:rPr>
                <w:sz w:val="20"/>
              </w:rPr>
              <w:t>y</w:t>
            </w:r>
            <w:r>
              <w:rPr>
                <w:spacing w:val="-6"/>
                <w:sz w:val="20"/>
              </w:rPr>
              <w:t> </w:t>
            </w:r>
            <w:r>
              <w:rPr>
                <w:sz w:val="20"/>
              </w:rPr>
              <w:t>el</w:t>
            </w:r>
            <w:r>
              <w:rPr>
                <w:spacing w:val="-6"/>
                <w:sz w:val="20"/>
              </w:rPr>
              <w:t> </w:t>
            </w:r>
            <w:r>
              <w:rPr>
                <w:spacing w:val="-2"/>
                <w:sz w:val="20"/>
              </w:rPr>
              <w:t>tobillo.</w:t>
            </w:r>
          </w:p>
        </w:tc>
        <w:tc>
          <w:tcPr>
            <w:tcW w:w="1457" w:type="dxa"/>
          </w:tcPr>
          <w:p>
            <w:pPr>
              <w:pStyle w:val="TableParagraph"/>
              <w:ind w:left="11" w:right="1"/>
              <w:rPr>
                <w:sz w:val="20"/>
              </w:rPr>
            </w:pPr>
            <w:r>
              <w:rPr>
                <w:spacing w:val="-5"/>
                <w:sz w:val="20"/>
              </w:rPr>
              <w:t>65%</w:t>
            </w:r>
          </w:p>
        </w:tc>
      </w:tr>
      <w:tr>
        <w:trPr>
          <w:trHeight w:val="229" w:hRule="atLeast"/>
        </w:trPr>
        <w:tc>
          <w:tcPr>
            <w:tcW w:w="1003" w:type="dxa"/>
          </w:tcPr>
          <w:p>
            <w:pPr>
              <w:pStyle w:val="TableParagraph"/>
              <w:ind w:left="10" w:right="1"/>
              <w:rPr>
                <w:sz w:val="20"/>
              </w:rPr>
            </w:pPr>
            <w:r>
              <w:rPr>
                <w:spacing w:val="-5"/>
                <w:sz w:val="20"/>
              </w:rPr>
              <w:t>185</w:t>
            </w:r>
          </w:p>
        </w:tc>
        <w:tc>
          <w:tcPr>
            <w:tcW w:w="7089" w:type="dxa"/>
          </w:tcPr>
          <w:p>
            <w:pPr>
              <w:pStyle w:val="TableParagraph"/>
              <w:jc w:val="left"/>
              <w:rPr>
                <w:sz w:val="20"/>
              </w:rPr>
            </w:pPr>
            <w:r>
              <w:rPr>
                <w:sz w:val="20"/>
              </w:rPr>
              <w:t>Por</w:t>
            </w:r>
            <w:r>
              <w:rPr>
                <w:spacing w:val="-5"/>
                <w:sz w:val="20"/>
              </w:rPr>
              <w:t> </w:t>
            </w:r>
            <w:r>
              <w:rPr>
                <w:sz w:val="20"/>
              </w:rPr>
              <w:t>la</w:t>
            </w:r>
            <w:r>
              <w:rPr>
                <w:spacing w:val="-5"/>
                <w:sz w:val="20"/>
              </w:rPr>
              <w:t> </w:t>
            </w:r>
            <w:r>
              <w:rPr>
                <w:sz w:val="20"/>
              </w:rPr>
              <w:t>pérdida</w:t>
            </w:r>
            <w:r>
              <w:rPr>
                <w:spacing w:val="-6"/>
                <w:sz w:val="20"/>
              </w:rPr>
              <w:t> </w:t>
            </w:r>
            <w:r>
              <w:rPr>
                <w:sz w:val="20"/>
              </w:rPr>
              <w:t>total</w:t>
            </w:r>
            <w:r>
              <w:rPr>
                <w:spacing w:val="-6"/>
                <w:sz w:val="20"/>
              </w:rPr>
              <w:t> </w:t>
            </w:r>
            <w:r>
              <w:rPr>
                <w:sz w:val="20"/>
              </w:rPr>
              <w:t>del</w:t>
            </w:r>
            <w:r>
              <w:rPr>
                <w:spacing w:val="-6"/>
                <w:sz w:val="20"/>
              </w:rPr>
              <w:t> </w:t>
            </w:r>
            <w:r>
              <w:rPr>
                <w:spacing w:val="-4"/>
                <w:sz w:val="20"/>
              </w:rPr>
              <w:t>pie.</w:t>
            </w:r>
          </w:p>
        </w:tc>
        <w:tc>
          <w:tcPr>
            <w:tcW w:w="1457" w:type="dxa"/>
          </w:tcPr>
          <w:p>
            <w:pPr>
              <w:pStyle w:val="TableParagraph"/>
              <w:ind w:left="11" w:right="1"/>
              <w:rPr>
                <w:sz w:val="20"/>
              </w:rPr>
            </w:pPr>
            <w:r>
              <w:rPr>
                <w:spacing w:val="-5"/>
                <w:sz w:val="20"/>
              </w:rPr>
              <w:t>55%</w:t>
            </w:r>
          </w:p>
        </w:tc>
      </w:tr>
      <w:tr>
        <w:trPr>
          <w:trHeight w:val="230" w:hRule="atLeast"/>
        </w:trPr>
        <w:tc>
          <w:tcPr>
            <w:tcW w:w="1003" w:type="dxa"/>
          </w:tcPr>
          <w:p>
            <w:pPr>
              <w:pStyle w:val="TableParagraph"/>
              <w:ind w:left="10" w:right="1"/>
              <w:rPr>
                <w:sz w:val="20"/>
              </w:rPr>
            </w:pPr>
            <w:r>
              <w:rPr>
                <w:spacing w:val="-5"/>
                <w:sz w:val="20"/>
              </w:rPr>
              <w:t>186</w:t>
            </w:r>
          </w:p>
        </w:tc>
        <w:tc>
          <w:tcPr>
            <w:tcW w:w="7089" w:type="dxa"/>
          </w:tcPr>
          <w:p>
            <w:pPr>
              <w:pStyle w:val="TableParagraph"/>
              <w:jc w:val="left"/>
              <w:rPr>
                <w:sz w:val="20"/>
              </w:rPr>
            </w:pPr>
            <w:r>
              <w:rPr>
                <w:sz w:val="20"/>
              </w:rPr>
              <w:t>Por</w:t>
            </w:r>
            <w:r>
              <w:rPr>
                <w:spacing w:val="-6"/>
                <w:sz w:val="20"/>
              </w:rPr>
              <w:t> </w:t>
            </w:r>
            <w:r>
              <w:rPr>
                <w:sz w:val="20"/>
              </w:rPr>
              <w:t>la</w:t>
            </w:r>
            <w:r>
              <w:rPr>
                <w:spacing w:val="-6"/>
                <w:sz w:val="20"/>
              </w:rPr>
              <w:t> </w:t>
            </w:r>
            <w:r>
              <w:rPr>
                <w:sz w:val="20"/>
              </w:rPr>
              <w:t>mutilación</w:t>
            </w:r>
            <w:r>
              <w:rPr>
                <w:spacing w:val="-5"/>
                <w:sz w:val="20"/>
              </w:rPr>
              <w:t> </w:t>
            </w:r>
            <w:r>
              <w:rPr>
                <w:sz w:val="20"/>
              </w:rPr>
              <w:t>de</w:t>
            </w:r>
            <w:r>
              <w:rPr>
                <w:spacing w:val="-7"/>
                <w:sz w:val="20"/>
              </w:rPr>
              <w:t> </w:t>
            </w:r>
            <w:r>
              <w:rPr>
                <w:sz w:val="20"/>
              </w:rPr>
              <w:t>un</w:t>
            </w:r>
            <w:r>
              <w:rPr>
                <w:spacing w:val="-6"/>
                <w:sz w:val="20"/>
              </w:rPr>
              <w:t> </w:t>
            </w:r>
            <w:r>
              <w:rPr>
                <w:sz w:val="20"/>
              </w:rPr>
              <w:t>pie</w:t>
            </w:r>
            <w:r>
              <w:rPr>
                <w:spacing w:val="-4"/>
                <w:sz w:val="20"/>
              </w:rPr>
              <w:t> </w:t>
            </w:r>
            <w:r>
              <w:rPr>
                <w:sz w:val="20"/>
              </w:rPr>
              <w:t>con</w:t>
            </w:r>
            <w:r>
              <w:rPr>
                <w:spacing w:val="-6"/>
                <w:sz w:val="20"/>
              </w:rPr>
              <w:t> </w:t>
            </w:r>
            <w:r>
              <w:rPr>
                <w:sz w:val="20"/>
              </w:rPr>
              <w:t>conservación</w:t>
            </w:r>
            <w:r>
              <w:rPr>
                <w:spacing w:val="-6"/>
                <w:sz w:val="20"/>
              </w:rPr>
              <w:t> </w:t>
            </w:r>
            <w:r>
              <w:rPr>
                <w:sz w:val="20"/>
              </w:rPr>
              <w:t>del</w:t>
            </w:r>
            <w:r>
              <w:rPr>
                <w:spacing w:val="-7"/>
                <w:sz w:val="20"/>
              </w:rPr>
              <w:t> </w:t>
            </w:r>
            <w:r>
              <w:rPr>
                <w:spacing w:val="-2"/>
                <w:sz w:val="20"/>
              </w:rPr>
              <w:t>talón.</w:t>
            </w:r>
          </w:p>
        </w:tc>
        <w:tc>
          <w:tcPr>
            <w:tcW w:w="1457" w:type="dxa"/>
          </w:tcPr>
          <w:p>
            <w:pPr>
              <w:pStyle w:val="TableParagraph"/>
              <w:ind w:left="11" w:right="1"/>
              <w:rPr>
                <w:sz w:val="20"/>
              </w:rPr>
            </w:pPr>
            <w:r>
              <w:rPr>
                <w:spacing w:val="-5"/>
                <w:sz w:val="20"/>
              </w:rPr>
              <w:t>45%</w:t>
            </w:r>
          </w:p>
        </w:tc>
      </w:tr>
      <w:tr>
        <w:trPr>
          <w:trHeight w:val="229" w:hRule="atLeast"/>
        </w:trPr>
        <w:tc>
          <w:tcPr>
            <w:tcW w:w="1003" w:type="dxa"/>
          </w:tcPr>
          <w:p>
            <w:pPr>
              <w:pStyle w:val="TableParagraph"/>
              <w:ind w:left="10" w:right="1"/>
              <w:rPr>
                <w:sz w:val="20"/>
              </w:rPr>
            </w:pPr>
            <w:r>
              <w:rPr>
                <w:spacing w:val="-5"/>
                <w:sz w:val="20"/>
              </w:rPr>
              <w:t>187</w:t>
            </w:r>
          </w:p>
        </w:tc>
        <w:tc>
          <w:tcPr>
            <w:tcW w:w="7089" w:type="dxa"/>
          </w:tcPr>
          <w:p>
            <w:pPr>
              <w:pStyle w:val="TableParagraph"/>
              <w:jc w:val="left"/>
              <w:rPr>
                <w:sz w:val="20"/>
              </w:rPr>
            </w:pPr>
            <w:r>
              <w:rPr>
                <w:sz w:val="20"/>
              </w:rPr>
              <w:t>Por</w:t>
            </w:r>
            <w:r>
              <w:rPr>
                <w:spacing w:val="-5"/>
                <w:sz w:val="20"/>
              </w:rPr>
              <w:t> </w:t>
            </w:r>
            <w:r>
              <w:rPr>
                <w:sz w:val="20"/>
              </w:rPr>
              <w:t>la</w:t>
            </w:r>
            <w:r>
              <w:rPr>
                <w:spacing w:val="-5"/>
                <w:sz w:val="20"/>
              </w:rPr>
              <w:t> </w:t>
            </w:r>
            <w:r>
              <w:rPr>
                <w:sz w:val="20"/>
              </w:rPr>
              <w:t>pérdida</w:t>
            </w:r>
            <w:r>
              <w:rPr>
                <w:spacing w:val="-5"/>
                <w:sz w:val="20"/>
              </w:rPr>
              <w:t> </w:t>
            </w:r>
            <w:r>
              <w:rPr>
                <w:sz w:val="20"/>
              </w:rPr>
              <w:t>parcial</w:t>
            </w:r>
            <w:r>
              <w:rPr>
                <w:spacing w:val="-6"/>
                <w:sz w:val="20"/>
              </w:rPr>
              <w:t> </w:t>
            </w:r>
            <w:r>
              <w:rPr>
                <w:sz w:val="20"/>
              </w:rPr>
              <w:t>o</w:t>
            </w:r>
            <w:r>
              <w:rPr>
                <w:spacing w:val="-5"/>
                <w:sz w:val="20"/>
              </w:rPr>
              <w:t> </w:t>
            </w:r>
            <w:r>
              <w:rPr>
                <w:sz w:val="20"/>
              </w:rPr>
              <w:t>total</w:t>
            </w:r>
            <w:r>
              <w:rPr>
                <w:spacing w:val="-6"/>
                <w:sz w:val="20"/>
              </w:rPr>
              <w:t> </w:t>
            </w:r>
            <w:r>
              <w:rPr>
                <w:sz w:val="20"/>
              </w:rPr>
              <w:t>del</w:t>
            </w:r>
            <w:r>
              <w:rPr>
                <w:spacing w:val="-5"/>
                <w:sz w:val="20"/>
              </w:rPr>
              <w:t> </w:t>
            </w:r>
            <w:r>
              <w:rPr>
                <w:spacing w:val="-2"/>
                <w:sz w:val="20"/>
              </w:rPr>
              <w:t>calcáneo.</w:t>
            </w:r>
          </w:p>
        </w:tc>
        <w:tc>
          <w:tcPr>
            <w:tcW w:w="1457" w:type="dxa"/>
          </w:tcPr>
          <w:p>
            <w:pPr>
              <w:pStyle w:val="TableParagraph"/>
              <w:ind w:left="11" w:right="3"/>
              <w:rPr>
                <w:sz w:val="20"/>
              </w:rPr>
            </w:pPr>
            <w:r>
              <w:rPr>
                <w:sz w:val="20"/>
              </w:rPr>
              <w:t>10</w:t>
            </w:r>
            <w:r>
              <w:rPr>
                <w:spacing w:val="-3"/>
                <w:sz w:val="20"/>
              </w:rPr>
              <w:t> </w:t>
            </w:r>
            <w:r>
              <w:rPr>
                <w:sz w:val="20"/>
              </w:rPr>
              <w:t>a</w:t>
            </w:r>
            <w:r>
              <w:rPr>
                <w:spacing w:val="-1"/>
                <w:sz w:val="20"/>
              </w:rPr>
              <w:t> </w:t>
            </w:r>
            <w:r>
              <w:rPr>
                <w:spacing w:val="-5"/>
                <w:sz w:val="20"/>
              </w:rPr>
              <w:t>30%</w:t>
            </w:r>
          </w:p>
        </w:tc>
      </w:tr>
      <w:tr>
        <w:trPr>
          <w:trHeight w:val="229" w:hRule="atLeast"/>
        </w:trPr>
        <w:tc>
          <w:tcPr>
            <w:tcW w:w="1003" w:type="dxa"/>
          </w:tcPr>
          <w:p>
            <w:pPr>
              <w:pStyle w:val="TableParagraph"/>
              <w:ind w:left="10" w:right="1"/>
              <w:rPr>
                <w:sz w:val="20"/>
              </w:rPr>
            </w:pPr>
            <w:r>
              <w:rPr>
                <w:spacing w:val="-5"/>
                <w:sz w:val="20"/>
              </w:rPr>
              <w:t>188</w:t>
            </w:r>
          </w:p>
        </w:tc>
        <w:tc>
          <w:tcPr>
            <w:tcW w:w="7089" w:type="dxa"/>
          </w:tcPr>
          <w:p>
            <w:pPr>
              <w:pStyle w:val="TableParagraph"/>
              <w:jc w:val="left"/>
              <w:rPr>
                <w:sz w:val="20"/>
              </w:rPr>
            </w:pPr>
            <w:r>
              <w:rPr>
                <w:sz w:val="20"/>
              </w:rPr>
              <w:t>Por</w:t>
            </w:r>
            <w:r>
              <w:rPr>
                <w:spacing w:val="-10"/>
                <w:sz w:val="20"/>
              </w:rPr>
              <w:t> </w:t>
            </w:r>
            <w:r>
              <w:rPr>
                <w:sz w:val="20"/>
              </w:rPr>
              <w:t>la</w:t>
            </w:r>
            <w:r>
              <w:rPr>
                <w:spacing w:val="-9"/>
                <w:sz w:val="20"/>
              </w:rPr>
              <w:t> </w:t>
            </w:r>
            <w:r>
              <w:rPr>
                <w:sz w:val="20"/>
              </w:rPr>
              <w:t>desarticulación</w:t>
            </w:r>
            <w:r>
              <w:rPr>
                <w:spacing w:val="-10"/>
                <w:sz w:val="20"/>
              </w:rPr>
              <w:t> </w:t>
            </w:r>
            <w:r>
              <w:rPr>
                <w:sz w:val="20"/>
              </w:rPr>
              <w:t>medio-</w:t>
            </w:r>
            <w:r>
              <w:rPr>
                <w:spacing w:val="-2"/>
                <w:sz w:val="20"/>
              </w:rPr>
              <w:t>tarsiana.</w:t>
            </w:r>
          </w:p>
        </w:tc>
        <w:tc>
          <w:tcPr>
            <w:tcW w:w="1457" w:type="dxa"/>
          </w:tcPr>
          <w:p>
            <w:pPr>
              <w:pStyle w:val="TableParagraph"/>
              <w:ind w:left="11" w:right="1"/>
              <w:rPr>
                <w:sz w:val="20"/>
              </w:rPr>
            </w:pPr>
            <w:r>
              <w:rPr>
                <w:spacing w:val="-5"/>
                <w:sz w:val="20"/>
              </w:rPr>
              <w:t>40%</w:t>
            </w:r>
          </w:p>
        </w:tc>
      </w:tr>
      <w:tr>
        <w:trPr>
          <w:trHeight w:val="229" w:hRule="atLeast"/>
        </w:trPr>
        <w:tc>
          <w:tcPr>
            <w:tcW w:w="1003" w:type="dxa"/>
          </w:tcPr>
          <w:p>
            <w:pPr>
              <w:pStyle w:val="TableParagraph"/>
              <w:ind w:left="10" w:right="1"/>
              <w:rPr>
                <w:sz w:val="20"/>
              </w:rPr>
            </w:pPr>
            <w:r>
              <w:rPr>
                <w:spacing w:val="-5"/>
                <w:sz w:val="20"/>
              </w:rPr>
              <w:t>189</w:t>
            </w:r>
          </w:p>
        </w:tc>
        <w:tc>
          <w:tcPr>
            <w:tcW w:w="7089" w:type="dxa"/>
          </w:tcPr>
          <w:p>
            <w:pPr>
              <w:pStyle w:val="TableParagraph"/>
              <w:jc w:val="left"/>
              <w:rPr>
                <w:sz w:val="20"/>
              </w:rPr>
            </w:pPr>
            <w:r>
              <w:rPr>
                <w:sz w:val="20"/>
              </w:rPr>
              <w:t>Por</w:t>
            </w:r>
            <w:r>
              <w:rPr>
                <w:spacing w:val="-8"/>
                <w:sz w:val="20"/>
              </w:rPr>
              <w:t> </w:t>
            </w:r>
            <w:r>
              <w:rPr>
                <w:sz w:val="20"/>
              </w:rPr>
              <w:t>la</w:t>
            </w:r>
            <w:r>
              <w:rPr>
                <w:spacing w:val="-8"/>
                <w:sz w:val="20"/>
              </w:rPr>
              <w:t> </w:t>
            </w:r>
            <w:r>
              <w:rPr>
                <w:sz w:val="20"/>
              </w:rPr>
              <w:t>desarticulación</w:t>
            </w:r>
            <w:r>
              <w:rPr>
                <w:spacing w:val="-7"/>
                <w:sz w:val="20"/>
              </w:rPr>
              <w:t> </w:t>
            </w:r>
            <w:r>
              <w:rPr>
                <w:sz w:val="20"/>
              </w:rPr>
              <w:t>tarso</w:t>
            </w:r>
            <w:r>
              <w:rPr>
                <w:spacing w:val="-6"/>
                <w:sz w:val="20"/>
              </w:rPr>
              <w:t> </w:t>
            </w:r>
            <w:r>
              <w:rPr>
                <w:spacing w:val="-2"/>
                <w:sz w:val="20"/>
              </w:rPr>
              <w:t>metatarsiana.</w:t>
            </w:r>
          </w:p>
        </w:tc>
        <w:tc>
          <w:tcPr>
            <w:tcW w:w="1457" w:type="dxa"/>
          </w:tcPr>
          <w:p>
            <w:pPr>
              <w:pStyle w:val="TableParagraph"/>
              <w:ind w:left="11" w:right="1"/>
              <w:rPr>
                <w:sz w:val="20"/>
              </w:rPr>
            </w:pPr>
            <w:r>
              <w:rPr>
                <w:spacing w:val="-5"/>
                <w:sz w:val="20"/>
              </w:rPr>
              <w:t>30%</w:t>
            </w:r>
          </w:p>
        </w:tc>
      </w:tr>
      <w:tr>
        <w:trPr>
          <w:trHeight w:val="232" w:hRule="atLeast"/>
        </w:trPr>
        <w:tc>
          <w:tcPr>
            <w:tcW w:w="1003" w:type="dxa"/>
          </w:tcPr>
          <w:p>
            <w:pPr>
              <w:pStyle w:val="TableParagraph"/>
              <w:spacing w:before="1"/>
              <w:ind w:left="10" w:right="1"/>
              <w:rPr>
                <w:sz w:val="20"/>
              </w:rPr>
            </w:pPr>
            <w:r>
              <w:rPr>
                <w:spacing w:val="-5"/>
                <w:sz w:val="20"/>
              </w:rPr>
              <w:t>190</w:t>
            </w:r>
          </w:p>
        </w:tc>
        <w:tc>
          <w:tcPr>
            <w:tcW w:w="7089" w:type="dxa"/>
          </w:tcPr>
          <w:p>
            <w:pPr>
              <w:pStyle w:val="TableParagraph"/>
              <w:spacing w:before="1"/>
              <w:jc w:val="left"/>
              <w:rPr>
                <w:sz w:val="20"/>
              </w:rPr>
            </w:pPr>
            <w:r>
              <w:rPr>
                <w:sz w:val="20"/>
              </w:rPr>
              <w:t>Por</w:t>
            </w:r>
            <w:r>
              <w:rPr>
                <w:spacing w:val="-5"/>
                <w:sz w:val="20"/>
              </w:rPr>
              <w:t> </w:t>
            </w:r>
            <w:r>
              <w:rPr>
                <w:sz w:val="20"/>
              </w:rPr>
              <w:t>la</w:t>
            </w:r>
            <w:r>
              <w:rPr>
                <w:spacing w:val="-5"/>
                <w:sz w:val="20"/>
              </w:rPr>
              <w:t> </w:t>
            </w:r>
            <w:r>
              <w:rPr>
                <w:sz w:val="20"/>
              </w:rPr>
              <w:t>pérdida</w:t>
            </w:r>
            <w:r>
              <w:rPr>
                <w:spacing w:val="-6"/>
                <w:sz w:val="20"/>
              </w:rPr>
              <w:t> </w:t>
            </w:r>
            <w:r>
              <w:rPr>
                <w:sz w:val="20"/>
              </w:rPr>
              <w:t>de</w:t>
            </w:r>
            <w:r>
              <w:rPr>
                <w:spacing w:val="-5"/>
                <w:sz w:val="20"/>
              </w:rPr>
              <w:t> </w:t>
            </w:r>
            <w:r>
              <w:rPr>
                <w:sz w:val="20"/>
              </w:rPr>
              <w:t>los</w:t>
            </w:r>
            <w:r>
              <w:rPr>
                <w:spacing w:val="-4"/>
                <w:sz w:val="20"/>
              </w:rPr>
              <w:t> </w:t>
            </w:r>
            <w:r>
              <w:rPr>
                <w:sz w:val="20"/>
              </w:rPr>
              <w:t>cinco</w:t>
            </w:r>
            <w:r>
              <w:rPr>
                <w:spacing w:val="-3"/>
                <w:sz w:val="20"/>
              </w:rPr>
              <w:t> </w:t>
            </w:r>
            <w:r>
              <w:rPr>
                <w:spacing w:val="-2"/>
                <w:sz w:val="20"/>
              </w:rPr>
              <w:t>dedos.</w:t>
            </w:r>
          </w:p>
        </w:tc>
        <w:tc>
          <w:tcPr>
            <w:tcW w:w="1457" w:type="dxa"/>
          </w:tcPr>
          <w:p>
            <w:pPr>
              <w:pStyle w:val="TableParagraph"/>
              <w:spacing w:before="1"/>
              <w:ind w:left="11" w:right="1"/>
              <w:rPr>
                <w:sz w:val="20"/>
              </w:rPr>
            </w:pPr>
            <w:r>
              <w:rPr>
                <w:spacing w:val="-5"/>
                <w:sz w:val="20"/>
              </w:rPr>
              <w:t>25%</w:t>
            </w:r>
          </w:p>
        </w:tc>
      </w:tr>
      <w:tr>
        <w:trPr>
          <w:trHeight w:val="229" w:hRule="atLeast"/>
        </w:trPr>
        <w:tc>
          <w:tcPr>
            <w:tcW w:w="1003" w:type="dxa"/>
          </w:tcPr>
          <w:p>
            <w:pPr>
              <w:pStyle w:val="TableParagraph"/>
              <w:ind w:left="10" w:right="1"/>
              <w:rPr>
                <w:sz w:val="20"/>
              </w:rPr>
            </w:pPr>
            <w:r>
              <w:rPr>
                <w:spacing w:val="-5"/>
                <w:sz w:val="20"/>
              </w:rPr>
              <w:t>191</w:t>
            </w:r>
          </w:p>
        </w:tc>
        <w:tc>
          <w:tcPr>
            <w:tcW w:w="7089" w:type="dxa"/>
          </w:tcPr>
          <w:p>
            <w:pPr>
              <w:pStyle w:val="TableParagraph"/>
              <w:jc w:val="left"/>
              <w:rPr>
                <w:sz w:val="20"/>
              </w:rPr>
            </w:pPr>
            <w:r>
              <w:rPr>
                <w:sz w:val="20"/>
              </w:rPr>
              <w:t>Por</w:t>
            </w:r>
            <w:r>
              <w:rPr>
                <w:spacing w:val="-6"/>
                <w:sz w:val="20"/>
              </w:rPr>
              <w:t> </w:t>
            </w:r>
            <w:r>
              <w:rPr>
                <w:sz w:val="20"/>
              </w:rPr>
              <w:t>la</w:t>
            </w:r>
            <w:r>
              <w:rPr>
                <w:spacing w:val="-5"/>
                <w:sz w:val="20"/>
              </w:rPr>
              <w:t> </w:t>
            </w:r>
            <w:r>
              <w:rPr>
                <w:sz w:val="20"/>
              </w:rPr>
              <w:t>pérdida</w:t>
            </w:r>
            <w:r>
              <w:rPr>
                <w:spacing w:val="-6"/>
                <w:sz w:val="20"/>
              </w:rPr>
              <w:t> </w:t>
            </w:r>
            <w:r>
              <w:rPr>
                <w:sz w:val="20"/>
              </w:rPr>
              <w:t>del</w:t>
            </w:r>
            <w:r>
              <w:rPr>
                <w:spacing w:val="-5"/>
                <w:sz w:val="20"/>
              </w:rPr>
              <w:t> </w:t>
            </w:r>
            <w:r>
              <w:rPr>
                <w:sz w:val="20"/>
              </w:rPr>
              <w:t>primer</w:t>
            </w:r>
            <w:r>
              <w:rPr>
                <w:spacing w:val="-5"/>
                <w:sz w:val="20"/>
              </w:rPr>
              <w:t> </w:t>
            </w:r>
            <w:r>
              <w:rPr>
                <w:sz w:val="20"/>
              </w:rPr>
              <w:t>dedo,</w:t>
            </w:r>
            <w:r>
              <w:rPr>
                <w:spacing w:val="-6"/>
                <w:sz w:val="20"/>
              </w:rPr>
              <w:t> </w:t>
            </w:r>
            <w:r>
              <w:rPr>
                <w:sz w:val="20"/>
              </w:rPr>
              <w:t>con</w:t>
            </w:r>
            <w:r>
              <w:rPr>
                <w:spacing w:val="-5"/>
                <w:sz w:val="20"/>
              </w:rPr>
              <w:t> </w:t>
            </w:r>
            <w:r>
              <w:rPr>
                <w:sz w:val="20"/>
              </w:rPr>
              <w:t>pérdida</w:t>
            </w:r>
            <w:r>
              <w:rPr>
                <w:spacing w:val="-6"/>
                <w:sz w:val="20"/>
              </w:rPr>
              <w:t> </w:t>
            </w:r>
            <w:r>
              <w:rPr>
                <w:sz w:val="20"/>
              </w:rPr>
              <w:t>o</w:t>
            </w:r>
            <w:r>
              <w:rPr>
                <w:spacing w:val="-4"/>
                <w:sz w:val="20"/>
              </w:rPr>
              <w:t> </w:t>
            </w:r>
            <w:r>
              <w:rPr>
                <w:sz w:val="20"/>
              </w:rPr>
              <w:t>mutilación</w:t>
            </w:r>
            <w:r>
              <w:rPr>
                <w:spacing w:val="-6"/>
                <w:sz w:val="20"/>
              </w:rPr>
              <w:t> </w:t>
            </w:r>
            <w:r>
              <w:rPr>
                <w:sz w:val="20"/>
              </w:rPr>
              <w:t>de</w:t>
            </w:r>
            <w:r>
              <w:rPr>
                <w:spacing w:val="-5"/>
                <w:sz w:val="20"/>
              </w:rPr>
              <w:t> </w:t>
            </w:r>
            <w:r>
              <w:rPr>
                <w:sz w:val="20"/>
              </w:rPr>
              <w:t>su</w:t>
            </w:r>
            <w:r>
              <w:rPr>
                <w:spacing w:val="-6"/>
                <w:sz w:val="20"/>
              </w:rPr>
              <w:t> </w:t>
            </w:r>
            <w:r>
              <w:rPr>
                <w:spacing w:val="-2"/>
                <w:sz w:val="20"/>
              </w:rPr>
              <w:t>metatarsiano.</w:t>
            </w:r>
          </w:p>
        </w:tc>
        <w:tc>
          <w:tcPr>
            <w:tcW w:w="1457" w:type="dxa"/>
          </w:tcPr>
          <w:p>
            <w:pPr>
              <w:pStyle w:val="TableParagraph"/>
              <w:ind w:left="11" w:right="1"/>
              <w:rPr>
                <w:sz w:val="20"/>
              </w:rPr>
            </w:pPr>
            <w:r>
              <w:rPr>
                <w:spacing w:val="-5"/>
                <w:sz w:val="20"/>
              </w:rPr>
              <w:t>25%</w:t>
            </w:r>
          </w:p>
        </w:tc>
      </w:tr>
      <w:tr>
        <w:trPr>
          <w:trHeight w:val="229" w:hRule="atLeast"/>
        </w:trPr>
        <w:tc>
          <w:tcPr>
            <w:tcW w:w="1003" w:type="dxa"/>
          </w:tcPr>
          <w:p>
            <w:pPr>
              <w:pStyle w:val="TableParagraph"/>
              <w:ind w:left="10" w:right="1"/>
              <w:rPr>
                <w:sz w:val="20"/>
              </w:rPr>
            </w:pPr>
            <w:r>
              <w:rPr>
                <w:spacing w:val="-5"/>
                <w:sz w:val="20"/>
              </w:rPr>
              <w:t>192</w:t>
            </w:r>
          </w:p>
        </w:tc>
        <w:tc>
          <w:tcPr>
            <w:tcW w:w="7089" w:type="dxa"/>
          </w:tcPr>
          <w:p>
            <w:pPr>
              <w:pStyle w:val="TableParagraph"/>
              <w:jc w:val="left"/>
              <w:rPr>
                <w:sz w:val="20"/>
              </w:rPr>
            </w:pPr>
            <w:r>
              <w:rPr>
                <w:sz w:val="20"/>
              </w:rPr>
              <w:t>Por</w:t>
            </w:r>
            <w:r>
              <w:rPr>
                <w:spacing w:val="-6"/>
                <w:sz w:val="20"/>
              </w:rPr>
              <w:t> </w:t>
            </w:r>
            <w:r>
              <w:rPr>
                <w:sz w:val="20"/>
              </w:rPr>
              <w:t>la</w:t>
            </w:r>
            <w:r>
              <w:rPr>
                <w:spacing w:val="-5"/>
                <w:sz w:val="20"/>
              </w:rPr>
              <w:t> </w:t>
            </w:r>
            <w:r>
              <w:rPr>
                <w:sz w:val="20"/>
              </w:rPr>
              <w:t>pérdida</w:t>
            </w:r>
            <w:r>
              <w:rPr>
                <w:spacing w:val="-6"/>
                <w:sz w:val="20"/>
              </w:rPr>
              <w:t> </w:t>
            </w:r>
            <w:r>
              <w:rPr>
                <w:sz w:val="20"/>
              </w:rPr>
              <w:t>del</w:t>
            </w:r>
            <w:r>
              <w:rPr>
                <w:spacing w:val="-5"/>
                <w:sz w:val="20"/>
              </w:rPr>
              <w:t> </w:t>
            </w:r>
            <w:r>
              <w:rPr>
                <w:sz w:val="20"/>
              </w:rPr>
              <w:t>primer</w:t>
            </w:r>
            <w:r>
              <w:rPr>
                <w:spacing w:val="-3"/>
                <w:sz w:val="20"/>
              </w:rPr>
              <w:t> </w:t>
            </w:r>
            <w:r>
              <w:rPr>
                <w:sz w:val="20"/>
              </w:rPr>
              <w:t>dedo</w:t>
            </w:r>
            <w:r>
              <w:rPr>
                <w:spacing w:val="-7"/>
                <w:sz w:val="20"/>
              </w:rPr>
              <w:t> </w:t>
            </w:r>
            <w:r>
              <w:rPr>
                <w:spacing w:val="-4"/>
                <w:sz w:val="20"/>
              </w:rPr>
              <w:t>sólo.</w:t>
            </w:r>
          </w:p>
        </w:tc>
        <w:tc>
          <w:tcPr>
            <w:tcW w:w="1457" w:type="dxa"/>
          </w:tcPr>
          <w:p>
            <w:pPr>
              <w:pStyle w:val="TableParagraph"/>
              <w:ind w:left="11" w:right="1"/>
              <w:rPr>
                <w:sz w:val="20"/>
              </w:rPr>
            </w:pPr>
            <w:r>
              <w:rPr>
                <w:spacing w:val="-5"/>
                <w:sz w:val="20"/>
              </w:rPr>
              <w:t>15%</w:t>
            </w:r>
          </w:p>
        </w:tc>
      </w:tr>
      <w:tr>
        <w:trPr>
          <w:trHeight w:val="229" w:hRule="atLeast"/>
        </w:trPr>
        <w:tc>
          <w:tcPr>
            <w:tcW w:w="1003" w:type="dxa"/>
          </w:tcPr>
          <w:p>
            <w:pPr>
              <w:pStyle w:val="TableParagraph"/>
              <w:ind w:left="10" w:right="1"/>
              <w:rPr>
                <w:sz w:val="20"/>
              </w:rPr>
            </w:pPr>
            <w:r>
              <w:rPr>
                <w:spacing w:val="-5"/>
                <w:sz w:val="20"/>
              </w:rPr>
              <w:t>193</w:t>
            </w:r>
          </w:p>
        </w:tc>
        <w:tc>
          <w:tcPr>
            <w:tcW w:w="7089" w:type="dxa"/>
          </w:tcPr>
          <w:p>
            <w:pPr>
              <w:pStyle w:val="TableParagraph"/>
              <w:jc w:val="left"/>
              <w:rPr>
                <w:sz w:val="20"/>
              </w:rPr>
            </w:pPr>
            <w:r>
              <w:rPr>
                <w:sz w:val="20"/>
              </w:rPr>
              <w:t>Por</w:t>
            </w:r>
            <w:r>
              <w:rPr>
                <w:spacing w:val="-6"/>
                <w:sz w:val="20"/>
              </w:rPr>
              <w:t> </w:t>
            </w:r>
            <w:r>
              <w:rPr>
                <w:sz w:val="20"/>
              </w:rPr>
              <w:t>la</w:t>
            </w:r>
            <w:r>
              <w:rPr>
                <w:spacing w:val="-5"/>
                <w:sz w:val="20"/>
              </w:rPr>
              <w:t> </w:t>
            </w:r>
            <w:r>
              <w:rPr>
                <w:sz w:val="20"/>
              </w:rPr>
              <w:t>pérdida</w:t>
            </w:r>
            <w:r>
              <w:rPr>
                <w:spacing w:val="-6"/>
                <w:sz w:val="20"/>
              </w:rPr>
              <w:t> </w:t>
            </w:r>
            <w:r>
              <w:rPr>
                <w:sz w:val="20"/>
              </w:rPr>
              <w:t>parcial</w:t>
            </w:r>
            <w:r>
              <w:rPr>
                <w:spacing w:val="-6"/>
                <w:sz w:val="20"/>
              </w:rPr>
              <w:t> </w:t>
            </w:r>
            <w:r>
              <w:rPr>
                <w:sz w:val="20"/>
              </w:rPr>
              <w:t>o</w:t>
            </w:r>
            <w:r>
              <w:rPr>
                <w:spacing w:val="-5"/>
                <w:sz w:val="20"/>
              </w:rPr>
              <w:t> </w:t>
            </w:r>
            <w:r>
              <w:rPr>
                <w:sz w:val="20"/>
              </w:rPr>
              <w:t>total</w:t>
            </w:r>
            <w:r>
              <w:rPr>
                <w:spacing w:val="-6"/>
                <w:sz w:val="20"/>
              </w:rPr>
              <w:t> </w:t>
            </w:r>
            <w:r>
              <w:rPr>
                <w:sz w:val="20"/>
              </w:rPr>
              <w:t>de</w:t>
            </w:r>
            <w:r>
              <w:rPr>
                <w:spacing w:val="-4"/>
                <w:sz w:val="20"/>
              </w:rPr>
              <w:t> </w:t>
            </w:r>
            <w:r>
              <w:rPr>
                <w:sz w:val="20"/>
              </w:rPr>
              <w:t>la</w:t>
            </w:r>
            <w:r>
              <w:rPr>
                <w:spacing w:val="-3"/>
                <w:sz w:val="20"/>
              </w:rPr>
              <w:t> </w:t>
            </w:r>
            <w:r>
              <w:rPr>
                <w:sz w:val="20"/>
              </w:rPr>
              <w:t>falange</w:t>
            </w:r>
            <w:r>
              <w:rPr>
                <w:spacing w:val="-6"/>
                <w:sz w:val="20"/>
              </w:rPr>
              <w:t> </w:t>
            </w:r>
            <w:r>
              <w:rPr>
                <w:sz w:val="20"/>
              </w:rPr>
              <w:t>distal</w:t>
            </w:r>
            <w:r>
              <w:rPr>
                <w:spacing w:val="-6"/>
                <w:sz w:val="20"/>
              </w:rPr>
              <w:t> </w:t>
            </w:r>
            <w:r>
              <w:rPr>
                <w:sz w:val="20"/>
              </w:rPr>
              <w:t>del</w:t>
            </w:r>
            <w:r>
              <w:rPr>
                <w:spacing w:val="-4"/>
                <w:sz w:val="20"/>
              </w:rPr>
              <w:t> </w:t>
            </w:r>
            <w:r>
              <w:rPr>
                <w:sz w:val="20"/>
              </w:rPr>
              <w:t>primer</w:t>
            </w:r>
            <w:r>
              <w:rPr>
                <w:spacing w:val="-5"/>
                <w:sz w:val="20"/>
              </w:rPr>
              <w:t> </w:t>
            </w:r>
            <w:r>
              <w:rPr>
                <w:spacing w:val="-2"/>
                <w:sz w:val="20"/>
              </w:rPr>
              <w:t>dedo.</w:t>
            </w:r>
          </w:p>
        </w:tc>
        <w:tc>
          <w:tcPr>
            <w:tcW w:w="1457" w:type="dxa"/>
          </w:tcPr>
          <w:p>
            <w:pPr>
              <w:pStyle w:val="TableParagraph"/>
              <w:ind w:left="11" w:right="1"/>
              <w:rPr>
                <w:sz w:val="20"/>
              </w:rPr>
            </w:pPr>
            <w:r>
              <w:rPr>
                <w:spacing w:val="-5"/>
                <w:sz w:val="20"/>
              </w:rPr>
              <w:t>7%</w:t>
            </w:r>
          </w:p>
        </w:tc>
      </w:tr>
      <w:tr>
        <w:trPr>
          <w:trHeight w:val="229" w:hRule="atLeast"/>
        </w:trPr>
        <w:tc>
          <w:tcPr>
            <w:tcW w:w="1003" w:type="dxa"/>
          </w:tcPr>
          <w:p>
            <w:pPr>
              <w:pStyle w:val="TableParagraph"/>
              <w:ind w:left="10" w:right="1"/>
              <w:rPr>
                <w:sz w:val="20"/>
              </w:rPr>
            </w:pPr>
            <w:r>
              <w:rPr>
                <w:spacing w:val="-5"/>
                <w:sz w:val="20"/>
              </w:rPr>
              <w:t>194</w:t>
            </w:r>
          </w:p>
        </w:tc>
        <w:tc>
          <w:tcPr>
            <w:tcW w:w="7089" w:type="dxa"/>
          </w:tcPr>
          <w:p>
            <w:pPr>
              <w:pStyle w:val="TableParagraph"/>
              <w:jc w:val="left"/>
              <w:rPr>
                <w:sz w:val="20"/>
              </w:rPr>
            </w:pPr>
            <w:r>
              <w:rPr>
                <w:sz w:val="20"/>
              </w:rPr>
              <w:t>Por</w:t>
            </w:r>
            <w:r>
              <w:rPr>
                <w:spacing w:val="-5"/>
                <w:sz w:val="20"/>
              </w:rPr>
              <w:t> </w:t>
            </w:r>
            <w:r>
              <w:rPr>
                <w:sz w:val="20"/>
              </w:rPr>
              <w:t>la</w:t>
            </w:r>
            <w:r>
              <w:rPr>
                <w:spacing w:val="-5"/>
                <w:sz w:val="20"/>
              </w:rPr>
              <w:t> </w:t>
            </w:r>
            <w:r>
              <w:rPr>
                <w:sz w:val="20"/>
              </w:rPr>
              <w:t>pérdida</w:t>
            </w:r>
            <w:r>
              <w:rPr>
                <w:spacing w:val="-5"/>
                <w:sz w:val="20"/>
              </w:rPr>
              <w:t> </w:t>
            </w:r>
            <w:r>
              <w:rPr>
                <w:sz w:val="20"/>
              </w:rPr>
              <w:t>de</w:t>
            </w:r>
            <w:r>
              <w:rPr>
                <w:spacing w:val="-5"/>
                <w:sz w:val="20"/>
              </w:rPr>
              <w:t> </w:t>
            </w:r>
            <w:r>
              <w:rPr>
                <w:sz w:val="20"/>
              </w:rPr>
              <w:t>un</w:t>
            </w:r>
            <w:r>
              <w:rPr>
                <w:spacing w:val="-5"/>
                <w:sz w:val="20"/>
              </w:rPr>
              <w:t> </w:t>
            </w:r>
            <w:r>
              <w:rPr>
                <w:sz w:val="20"/>
              </w:rPr>
              <w:t>dedo</w:t>
            </w:r>
            <w:r>
              <w:rPr>
                <w:spacing w:val="-3"/>
                <w:sz w:val="20"/>
              </w:rPr>
              <w:t> </w:t>
            </w:r>
            <w:r>
              <w:rPr>
                <w:sz w:val="20"/>
              </w:rPr>
              <w:t>que</w:t>
            </w:r>
            <w:r>
              <w:rPr>
                <w:spacing w:val="-3"/>
                <w:sz w:val="20"/>
              </w:rPr>
              <w:t> </w:t>
            </w:r>
            <w:r>
              <w:rPr>
                <w:sz w:val="20"/>
              </w:rPr>
              <w:t>no</w:t>
            </w:r>
            <w:r>
              <w:rPr>
                <w:spacing w:val="-6"/>
                <w:sz w:val="20"/>
              </w:rPr>
              <w:t> </w:t>
            </w:r>
            <w:r>
              <w:rPr>
                <w:sz w:val="20"/>
              </w:rPr>
              <w:t>sea</w:t>
            </w:r>
            <w:r>
              <w:rPr>
                <w:spacing w:val="-2"/>
                <w:sz w:val="20"/>
              </w:rPr>
              <w:t> </w:t>
            </w:r>
            <w:r>
              <w:rPr>
                <w:sz w:val="20"/>
              </w:rPr>
              <w:t>el</w:t>
            </w:r>
            <w:r>
              <w:rPr>
                <w:spacing w:val="-4"/>
                <w:sz w:val="20"/>
              </w:rPr>
              <w:t> </w:t>
            </w:r>
            <w:r>
              <w:rPr>
                <w:spacing w:val="-2"/>
                <w:sz w:val="20"/>
              </w:rPr>
              <w:t>primero.</w:t>
            </w:r>
          </w:p>
        </w:tc>
        <w:tc>
          <w:tcPr>
            <w:tcW w:w="1457" w:type="dxa"/>
          </w:tcPr>
          <w:p>
            <w:pPr>
              <w:pStyle w:val="TableParagraph"/>
              <w:ind w:left="11" w:right="1"/>
              <w:rPr>
                <w:sz w:val="20"/>
              </w:rPr>
            </w:pPr>
            <w:r>
              <w:rPr>
                <w:spacing w:val="-5"/>
                <w:sz w:val="20"/>
              </w:rPr>
              <w:t>5%</w:t>
            </w:r>
          </w:p>
        </w:tc>
      </w:tr>
      <w:tr>
        <w:trPr>
          <w:trHeight w:val="460" w:hRule="atLeast"/>
        </w:trPr>
        <w:tc>
          <w:tcPr>
            <w:tcW w:w="1003" w:type="dxa"/>
          </w:tcPr>
          <w:p>
            <w:pPr>
              <w:pStyle w:val="TableParagraph"/>
              <w:spacing w:line="240" w:lineRule="auto" w:before="114"/>
              <w:ind w:left="10" w:right="1"/>
              <w:rPr>
                <w:sz w:val="20"/>
              </w:rPr>
            </w:pPr>
            <w:r>
              <w:rPr>
                <w:spacing w:val="-5"/>
                <w:sz w:val="20"/>
              </w:rPr>
              <w:t>195</w:t>
            </w:r>
          </w:p>
        </w:tc>
        <w:tc>
          <w:tcPr>
            <w:tcW w:w="7089" w:type="dxa"/>
          </w:tcPr>
          <w:p>
            <w:pPr>
              <w:pStyle w:val="TableParagraph"/>
              <w:spacing w:line="230" w:lineRule="exact"/>
              <w:jc w:val="left"/>
              <w:rPr>
                <w:sz w:val="20"/>
              </w:rPr>
            </w:pPr>
            <w:r>
              <w:rPr>
                <w:sz w:val="20"/>
              </w:rPr>
              <w:t>Por</w:t>
            </w:r>
            <w:r>
              <w:rPr>
                <w:spacing w:val="40"/>
                <w:sz w:val="20"/>
              </w:rPr>
              <w:t> </w:t>
            </w:r>
            <w:r>
              <w:rPr>
                <w:sz w:val="20"/>
              </w:rPr>
              <w:t>la</w:t>
            </w:r>
            <w:r>
              <w:rPr>
                <w:spacing w:val="40"/>
                <w:sz w:val="20"/>
              </w:rPr>
              <w:t> </w:t>
            </w:r>
            <w:r>
              <w:rPr>
                <w:sz w:val="20"/>
              </w:rPr>
              <w:t>pérdida</w:t>
            </w:r>
            <w:r>
              <w:rPr>
                <w:spacing w:val="40"/>
                <w:sz w:val="20"/>
              </w:rPr>
              <w:t> </w:t>
            </w:r>
            <w:r>
              <w:rPr>
                <w:sz w:val="20"/>
              </w:rPr>
              <w:t>parcial</w:t>
            </w:r>
            <w:r>
              <w:rPr>
                <w:spacing w:val="40"/>
                <w:sz w:val="20"/>
              </w:rPr>
              <w:t> </w:t>
            </w:r>
            <w:r>
              <w:rPr>
                <w:sz w:val="20"/>
              </w:rPr>
              <w:t>de</w:t>
            </w:r>
            <w:r>
              <w:rPr>
                <w:spacing w:val="40"/>
                <w:sz w:val="20"/>
              </w:rPr>
              <w:t> </w:t>
            </w:r>
            <w:r>
              <w:rPr>
                <w:sz w:val="20"/>
              </w:rPr>
              <w:t>la</w:t>
            </w:r>
            <w:r>
              <w:rPr>
                <w:spacing w:val="40"/>
                <w:sz w:val="20"/>
              </w:rPr>
              <w:t> </w:t>
            </w:r>
            <w:r>
              <w:rPr>
                <w:sz w:val="20"/>
              </w:rPr>
              <w:t>falange</w:t>
            </w:r>
            <w:r>
              <w:rPr>
                <w:spacing w:val="40"/>
                <w:sz w:val="20"/>
              </w:rPr>
              <w:t> </w:t>
            </w:r>
            <w:r>
              <w:rPr>
                <w:sz w:val="20"/>
              </w:rPr>
              <w:t>proximal</w:t>
            </w:r>
            <w:r>
              <w:rPr>
                <w:spacing w:val="40"/>
                <w:sz w:val="20"/>
              </w:rPr>
              <w:t> </w:t>
            </w:r>
            <w:r>
              <w:rPr>
                <w:sz w:val="20"/>
              </w:rPr>
              <w:t>de</w:t>
            </w:r>
            <w:r>
              <w:rPr>
                <w:spacing w:val="40"/>
                <w:sz w:val="20"/>
              </w:rPr>
              <w:t> </w:t>
            </w:r>
            <w:r>
              <w:rPr>
                <w:sz w:val="20"/>
              </w:rPr>
              <w:t>un</w:t>
            </w:r>
            <w:r>
              <w:rPr>
                <w:spacing w:val="40"/>
                <w:sz w:val="20"/>
              </w:rPr>
              <w:t> </w:t>
            </w:r>
            <w:r>
              <w:rPr>
                <w:sz w:val="20"/>
              </w:rPr>
              <w:t>dedo</w:t>
            </w:r>
            <w:r>
              <w:rPr>
                <w:spacing w:val="40"/>
                <w:sz w:val="20"/>
              </w:rPr>
              <w:t> </w:t>
            </w:r>
            <w:r>
              <w:rPr>
                <w:sz w:val="20"/>
              </w:rPr>
              <w:t>que</w:t>
            </w:r>
            <w:r>
              <w:rPr>
                <w:spacing w:val="40"/>
                <w:sz w:val="20"/>
              </w:rPr>
              <w:t> </w:t>
            </w:r>
            <w:r>
              <w:rPr>
                <w:sz w:val="20"/>
              </w:rPr>
              <w:t>no</w:t>
            </w:r>
            <w:r>
              <w:rPr>
                <w:spacing w:val="40"/>
                <w:sz w:val="20"/>
              </w:rPr>
              <w:t> </w:t>
            </w:r>
            <w:r>
              <w:rPr>
                <w:sz w:val="20"/>
              </w:rPr>
              <w:t>sea</w:t>
            </w:r>
            <w:r>
              <w:rPr>
                <w:spacing w:val="40"/>
                <w:sz w:val="20"/>
              </w:rPr>
              <w:t> </w:t>
            </w:r>
            <w:r>
              <w:rPr>
                <w:sz w:val="20"/>
              </w:rPr>
              <w:t>el </w:t>
            </w:r>
            <w:r>
              <w:rPr>
                <w:spacing w:val="-2"/>
                <w:sz w:val="20"/>
              </w:rPr>
              <w:t>primero.</w:t>
            </w:r>
          </w:p>
        </w:tc>
        <w:tc>
          <w:tcPr>
            <w:tcW w:w="1457" w:type="dxa"/>
          </w:tcPr>
          <w:p>
            <w:pPr>
              <w:pStyle w:val="TableParagraph"/>
              <w:spacing w:line="240" w:lineRule="auto" w:before="114"/>
              <w:ind w:left="11" w:right="1"/>
              <w:rPr>
                <w:sz w:val="20"/>
              </w:rPr>
            </w:pPr>
            <w:r>
              <w:rPr>
                <w:spacing w:val="-5"/>
                <w:sz w:val="20"/>
              </w:rPr>
              <w:t>4%</w:t>
            </w:r>
          </w:p>
        </w:tc>
      </w:tr>
      <w:tr>
        <w:trPr>
          <w:trHeight w:val="460" w:hRule="atLeast"/>
        </w:trPr>
        <w:tc>
          <w:tcPr>
            <w:tcW w:w="1003" w:type="dxa"/>
          </w:tcPr>
          <w:p>
            <w:pPr>
              <w:pStyle w:val="TableParagraph"/>
              <w:spacing w:line="240" w:lineRule="auto" w:before="114"/>
              <w:ind w:left="10" w:right="1"/>
              <w:rPr>
                <w:sz w:val="20"/>
              </w:rPr>
            </w:pPr>
            <w:r>
              <w:rPr>
                <w:spacing w:val="-5"/>
                <w:sz w:val="20"/>
              </w:rPr>
              <w:t>196</w:t>
            </w:r>
          </w:p>
        </w:tc>
        <w:tc>
          <w:tcPr>
            <w:tcW w:w="7089" w:type="dxa"/>
          </w:tcPr>
          <w:p>
            <w:pPr>
              <w:pStyle w:val="TableParagraph"/>
              <w:spacing w:line="230" w:lineRule="exact"/>
              <w:jc w:val="left"/>
              <w:rPr>
                <w:sz w:val="20"/>
              </w:rPr>
            </w:pPr>
            <w:r>
              <w:rPr>
                <w:sz w:val="20"/>
              </w:rPr>
              <w:t>Por</w:t>
            </w:r>
            <w:r>
              <w:rPr>
                <w:spacing w:val="34"/>
                <w:sz w:val="20"/>
              </w:rPr>
              <w:t> </w:t>
            </w:r>
            <w:r>
              <w:rPr>
                <w:sz w:val="20"/>
              </w:rPr>
              <w:t>la</w:t>
            </w:r>
            <w:r>
              <w:rPr>
                <w:spacing w:val="33"/>
                <w:sz w:val="20"/>
              </w:rPr>
              <w:t> </w:t>
            </w:r>
            <w:r>
              <w:rPr>
                <w:sz w:val="20"/>
              </w:rPr>
              <w:t>pérdida</w:t>
            </w:r>
            <w:r>
              <w:rPr>
                <w:spacing w:val="35"/>
                <w:sz w:val="20"/>
              </w:rPr>
              <w:t> </w:t>
            </w:r>
            <w:r>
              <w:rPr>
                <w:sz w:val="20"/>
              </w:rPr>
              <w:t>de</w:t>
            </w:r>
            <w:r>
              <w:rPr>
                <w:spacing w:val="35"/>
                <w:sz w:val="20"/>
              </w:rPr>
              <w:t> </w:t>
            </w:r>
            <w:r>
              <w:rPr>
                <w:sz w:val="20"/>
              </w:rPr>
              <w:t>la</w:t>
            </w:r>
            <w:r>
              <w:rPr>
                <w:spacing w:val="33"/>
                <w:sz w:val="20"/>
              </w:rPr>
              <w:t> </w:t>
            </w:r>
            <w:r>
              <w:rPr>
                <w:sz w:val="20"/>
              </w:rPr>
              <w:t>falange</w:t>
            </w:r>
            <w:r>
              <w:rPr>
                <w:spacing w:val="33"/>
                <w:sz w:val="20"/>
              </w:rPr>
              <w:t> </w:t>
            </w:r>
            <w:r>
              <w:rPr>
                <w:sz w:val="20"/>
              </w:rPr>
              <w:t>distal,</w:t>
            </w:r>
            <w:r>
              <w:rPr>
                <w:spacing w:val="34"/>
                <w:sz w:val="20"/>
              </w:rPr>
              <w:t> </w:t>
            </w:r>
            <w:r>
              <w:rPr>
                <w:sz w:val="20"/>
              </w:rPr>
              <w:t>con</w:t>
            </w:r>
            <w:r>
              <w:rPr>
                <w:spacing w:val="33"/>
                <w:sz w:val="20"/>
              </w:rPr>
              <w:t> </w:t>
            </w:r>
            <w:r>
              <w:rPr>
                <w:sz w:val="20"/>
              </w:rPr>
              <w:t>mutilación</w:t>
            </w:r>
            <w:r>
              <w:rPr>
                <w:spacing w:val="33"/>
                <w:sz w:val="20"/>
              </w:rPr>
              <w:t> </w:t>
            </w:r>
            <w:r>
              <w:rPr>
                <w:sz w:val="20"/>
              </w:rPr>
              <w:t>o</w:t>
            </w:r>
            <w:r>
              <w:rPr>
                <w:spacing w:val="36"/>
                <w:sz w:val="20"/>
              </w:rPr>
              <w:t> </w:t>
            </w:r>
            <w:r>
              <w:rPr>
                <w:sz w:val="20"/>
              </w:rPr>
              <w:t>pérdida</w:t>
            </w:r>
            <w:r>
              <w:rPr>
                <w:spacing w:val="33"/>
                <w:sz w:val="20"/>
              </w:rPr>
              <w:t> </w:t>
            </w:r>
            <w:r>
              <w:rPr>
                <w:sz w:val="20"/>
              </w:rPr>
              <w:t>de</w:t>
            </w:r>
            <w:r>
              <w:rPr>
                <w:spacing w:val="33"/>
                <w:sz w:val="20"/>
              </w:rPr>
              <w:t> </w:t>
            </w:r>
            <w:r>
              <w:rPr>
                <w:sz w:val="20"/>
              </w:rPr>
              <w:t>la</w:t>
            </w:r>
            <w:r>
              <w:rPr>
                <w:spacing w:val="33"/>
                <w:sz w:val="20"/>
              </w:rPr>
              <w:t> </w:t>
            </w:r>
            <w:r>
              <w:rPr>
                <w:sz w:val="20"/>
              </w:rPr>
              <w:t>falange media de un dedo que no sea el primero.</w:t>
            </w:r>
          </w:p>
        </w:tc>
        <w:tc>
          <w:tcPr>
            <w:tcW w:w="1457" w:type="dxa"/>
          </w:tcPr>
          <w:p>
            <w:pPr>
              <w:pStyle w:val="TableParagraph"/>
              <w:spacing w:line="240" w:lineRule="auto" w:before="114"/>
              <w:ind w:left="11" w:right="1"/>
              <w:rPr>
                <w:sz w:val="20"/>
              </w:rPr>
            </w:pPr>
            <w:r>
              <w:rPr>
                <w:spacing w:val="-5"/>
                <w:sz w:val="20"/>
              </w:rPr>
              <w:t>3%</w:t>
            </w:r>
          </w:p>
        </w:tc>
      </w:tr>
      <w:tr>
        <w:trPr>
          <w:trHeight w:val="460" w:hRule="atLeast"/>
        </w:trPr>
        <w:tc>
          <w:tcPr>
            <w:tcW w:w="1003" w:type="dxa"/>
          </w:tcPr>
          <w:p>
            <w:pPr>
              <w:pStyle w:val="TableParagraph"/>
              <w:spacing w:line="240" w:lineRule="auto" w:before="115"/>
              <w:ind w:left="10" w:right="1"/>
              <w:rPr>
                <w:sz w:val="20"/>
              </w:rPr>
            </w:pPr>
            <w:r>
              <w:rPr>
                <w:spacing w:val="-5"/>
                <w:sz w:val="20"/>
              </w:rPr>
              <w:t>197</w:t>
            </w:r>
          </w:p>
        </w:tc>
        <w:tc>
          <w:tcPr>
            <w:tcW w:w="7089" w:type="dxa"/>
          </w:tcPr>
          <w:p>
            <w:pPr>
              <w:pStyle w:val="TableParagraph"/>
              <w:spacing w:line="232" w:lineRule="exact"/>
              <w:jc w:val="left"/>
              <w:rPr>
                <w:sz w:val="20"/>
              </w:rPr>
            </w:pPr>
            <w:r>
              <w:rPr>
                <w:sz w:val="20"/>
              </w:rPr>
              <w:t>Por</w:t>
            </w:r>
            <w:r>
              <w:rPr>
                <w:spacing w:val="23"/>
                <w:sz w:val="20"/>
              </w:rPr>
              <w:t> </w:t>
            </w:r>
            <w:r>
              <w:rPr>
                <w:sz w:val="20"/>
              </w:rPr>
              <w:t>la</w:t>
            </w:r>
            <w:r>
              <w:rPr>
                <w:spacing w:val="22"/>
                <w:sz w:val="20"/>
              </w:rPr>
              <w:t> </w:t>
            </w:r>
            <w:r>
              <w:rPr>
                <w:sz w:val="20"/>
              </w:rPr>
              <w:t>pérdida</w:t>
            </w:r>
            <w:r>
              <w:rPr>
                <w:spacing w:val="22"/>
                <w:sz w:val="20"/>
              </w:rPr>
              <w:t> </w:t>
            </w:r>
            <w:r>
              <w:rPr>
                <w:sz w:val="20"/>
              </w:rPr>
              <w:t>parcial</w:t>
            </w:r>
            <w:r>
              <w:rPr>
                <w:spacing w:val="21"/>
                <w:sz w:val="20"/>
              </w:rPr>
              <w:t> </w:t>
            </w:r>
            <w:r>
              <w:rPr>
                <w:sz w:val="20"/>
              </w:rPr>
              <w:t>o</w:t>
            </w:r>
            <w:r>
              <w:rPr>
                <w:spacing w:val="24"/>
                <w:sz w:val="20"/>
              </w:rPr>
              <w:t> </w:t>
            </w:r>
            <w:r>
              <w:rPr>
                <w:sz w:val="20"/>
              </w:rPr>
              <w:t>total</w:t>
            </w:r>
            <w:r>
              <w:rPr>
                <w:spacing w:val="21"/>
                <w:sz w:val="20"/>
              </w:rPr>
              <w:t> </w:t>
            </w:r>
            <w:r>
              <w:rPr>
                <w:sz w:val="20"/>
              </w:rPr>
              <w:t>de</w:t>
            </w:r>
            <w:r>
              <w:rPr>
                <w:spacing w:val="22"/>
                <w:sz w:val="20"/>
              </w:rPr>
              <w:t> </w:t>
            </w:r>
            <w:r>
              <w:rPr>
                <w:sz w:val="20"/>
              </w:rPr>
              <w:t>la</w:t>
            </w:r>
            <w:r>
              <w:rPr>
                <w:spacing w:val="22"/>
                <w:sz w:val="20"/>
              </w:rPr>
              <w:t> </w:t>
            </w:r>
            <w:r>
              <w:rPr>
                <w:sz w:val="20"/>
              </w:rPr>
              <w:t>falange</w:t>
            </w:r>
            <w:r>
              <w:rPr>
                <w:spacing w:val="22"/>
                <w:sz w:val="20"/>
              </w:rPr>
              <w:t> </w:t>
            </w:r>
            <w:r>
              <w:rPr>
                <w:sz w:val="20"/>
              </w:rPr>
              <w:t>distal</w:t>
            </w:r>
            <w:r>
              <w:rPr>
                <w:spacing w:val="21"/>
                <w:sz w:val="20"/>
              </w:rPr>
              <w:t> </w:t>
            </w:r>
            <w:r>
              <w:rPr>
                <w:sz w:val="20"/>
              </w:rPr>
              <w:t>de</w:t>
            </w:r>
            <w:r>
              <w:rPr>
                <w:spacing w:val="24"/>
                <w:sz w:val="20"/>
              </w:rPr>
              <w:t> </w:t>
            </w:r>
            <w:r>
              <w:rPr>
                <w:sz w:val="20"/>
              </w:rPr>
              <w:t>un</w:t>
            </w:r>
            <w:r>
              <w:rPr>
                <w:spacing w:val="22"/>
                <w:sz w:val="20"/>
              </w:rPr>
              <w:t> </w:t>
            </w:r>
            <w:r>
              <w:rPr>
                <w:sz w:val="20"/>
              </w:rPr>
              <w:t>dedo</w:t>
            </w:r>
            <w:r>
              <w:rPr>
                <w:spacing w:val="22"/>
                <w:sz w:val="20"/>
              </w:rPr>
              <w:t> </w:t>
            </w:r>
            <w:r>
              <w:rPr>
                <w:sz w:val="20"/>
              </w:rPr>
              <w:t>que</w:t>
            </w:r>
            <w:r>
              <w:rPr>
                <w:spacing w:val="22"/>
                <w:sz w:val="20"/>
              </w:rPr>
              <w:t> </w:t>
            </w:r>
            <w:r>
              <w:rPr>
                <w:sz w:val="20"/>
              </w:rPr>
              <w:t>no</w:t>
            </w:r>
            <w:r>
              <w:rPr>
                <w:spacing w:val="22"/>
                <w:sz w:val="20"/>
              </w:rPr>
              <w:t> </w:t>
            </w:r>
            <w:r>
              <w:rPr>
                <w:sz w:val="20"/>
              </w:rPr>
              <w:t>sea</w:t>
            </w:r>
            <w:r>
              <w:rPr>
                <w:spacing w:val="24"/>
                <w:sz w:val="20"/>
              </w:rPr>
              <w:t> </w:t>
            </w:r>
            <w:r>
              <w:rPr>
                <w:sz w:val="20"/>
              </w:rPr>
              <w:t>el </w:t>
            </w:r>
            <w:r>
              <w:rPr>
                <w:spacing w:val="-2"/>
                <w:sz w:val="20"/>
              </w:rPr>
              <w:t>primero.</w:t>
            </w:r>
          </w:p>
        </w:tc>
        <w:tc>
          <w:tcPr>
            <w:tcW w:w="1457" w:type="dxa"/>
          </w:tcPr>
          <w:p>
            <w:pPr>
              <w:pStyle w:val="TableParagraph"/>
              <w:spacing w:line="240" w:lineRule="auto" w:before="115"/>
              <w:ind w:left="11" w:right="1"/>
              <w:rPr>
                <w:sz w:val="20"/>
              </w:rPr>
            </w:pPr>
            <w:r>
              <w:rPr>
                <w:spacing w:val="-5"/>
                <w:sz w:val="20"/>
              </w:rPr>
              <w:t>2%</w:t>
            </w:r>
          </w:p>
        </w:tc>
      </w:tr>
      <w:tr>
        <w:trPr>
          <w:trHeight w:val="454" w:hRule="atLeast"/>
        </w:trPr>
        <w:tc>
          <w:tcPr>
            <w:tcW w:w="1003" w:type="dxa"/>
          </w:tcPr>
          <w:p>
            <w:pPr>
              <w:pStyle w:val="TableParagraph"/>
              <w:spacing w:line="240" w:lineRule="auto" w:before="111"/>
              <w:ind w:left="10" w:right="1"/>
              <w:rPr>
                <w:sz w:val="20"/>
              </w:rPr>
            </w:pPr>
            <w:r>
              <w:rPr>
                <w:spacing w:val="-5"/>
                <w:sz w:val="20"/>
              </w:rPr>
              <w:t>198</w:t>
            </w:r>
          </w:p>
        </w:tc>
        <w:tc>
          <w:tcPr>
            <w:tcW w:w="7089" w:type="dxa"/>
          </w:tcPr>
          <w:p>
            <w:pPr>
              <w:pStyle w:val="TableParagraph"/>
              <w:spacing w:line="228" w:lineRule="exact"/>
              <w:jc w:val="left"/>
              <w:rPr>
                <w:sz w:val="20"/>
              </w:rPr>
            </w:pPr>
            <w:r>
              <w:rPr>
                <w:sz w:val="20"/>
              </w:rPr>
              <w:t>Por la pérdida del</w:t>
            </w:r>
            <w:r>
              <w:rPr>
                <w:spacing w:val="-3"/>
                <w:sz w:val="20"/>
              </w:rPr>
              <w:t> </w:t>
            </w:r>
            <w:r>
              <w:rPr>
                <w:sz w:val="20"/>
              </w:rPr>
              <w:t>segundo,</w:t>
            </w:r>
            <w:r>
              <w:rPr>
                <w:spacing w:val="-2"/>
                <w:sz w:val="20"/>
              </w:rPr>
              <w:t> </w:t>
            </w:r>
            <w:r>
              <w:rPr>
                <w:sz w:val="20"/>
              </w:rPr>
              <w:t>tercero o</w:t>
            </w:r>
            <w:r>
              <w:rPr>
                <w:spacing w:val="-2"/>
                <w:sz w:val="20"/>
              </w:rPr>
              <w:t> </w:t>
            </w:r>
            <w:r>
              <w:rPr>
                <w:sz w:val="20"/>
              </w:rPr>
              <w:t>cuarto</w:t>
            </w:r>
            <w:r>
              <w:rPr>
                <w:spacing w:val="-2"/>
                <w:sz w:val="20"/>
              </w:rPr>
              <w:t> </w:t>
            </w:r>
            <w:r>
              <w:rPr>
                <w:sz w:val="20"/>
              </w:rPr>
              <w:t>dedo con mutilación</w:t>
            </w:r>
            <w:r>
              <w:rPr>
                <w:spacing w:val="-2"/>
                <w:sz w:val="20"/>
              </w:rPr>
              <w:t> </w:t>
            </w:r>
            <w:r>
              <w:rPr>
                <w:sz w:val="20"/>
              </w:rPr>
              <w:t>o pérdida</w:t>
            </w:r>
            <w:r>
              <w:rPr>
                <w:spacing w:val="-2"/>
                <w:sz w:val="20"/>
              </w:rPr>
              <w:t> </w:t>
            </w:r>
            <w:r>
              <w:rPr>
                <w:sz w:val="20"/>
              </w:rPr>
              <w:t>de su metatarsiano, conservando el primero o quinto dedo.</w:t>
            </w:r>
          </w:p>
        </w:tc>
        <w:tc>
          <w:tcPr>
            <w:tcW w:w="1457" w:type="dxa"/>
          </w:tcPr>
          <w:p>
            <w:pPr>
              <w:pStyle w:val="TableParagraph"/>
              <w:spacing w:line="240" w:lineRule="auto" w:before="111"/>
              <w:ind w:left="11" w:right="1"/>
              <w:rPr>
                <w:sz w:val="20"/>
              </w:rPr>
            </w:pPr>
            <w:r>
              <w:rPr>
                <w:spacing w:val="-5"/>
                <w:sz w:val="20"/>
              </w:rPr>
              <w:t>8%</w:t>
            </w:r>
          </w:p>
        </w:tc>
      </w:tr>
      <w:tr>
        <w:trPr>
          <w:trHeight w:val="231" w:hRule="atLeast"/>
        </w:trPr>
        <w:tc>
          <w:tcPr>
            <w:tcW w:w="1003" w:type="dxa"/>
          </w:tcPr>
          <w:p>
            <w:pPr>
              <w:pStyle w:val="TableParagraph"/>
              <w:ind w:left="10" w:right="1"/>
              <w:rPr>
                <w:sz w:val="20"/>
              </w:rPr>
            </w:pPr>
            <w:r>
              <w:rPr>
                <w:spacing w:val="-5"/>
                <w:sz w:val="20"/>
              </w:rPr>
              <w:t>199</w:t>
            </w:r>
          </w:p>
        </w:tc>
        <w:tc>
          <w:tcPr>
            <w:tcW w:w="7089" w:type="dxa"/>
          </w:tcPr>
          <w:p>
            <w:pPr>
              <w:pStyle w:val="TableParagraph"/>
              <w:jc w:val="left"/>
              <w:rPr>
                <w:sz w:val="20"/>
              </w:rPr>
            </w:pPr>
            <w:r>
              <w:rPr>
                <w:sz w:val="20"/>
              </w:rPr>
              <w:t>Por</w:t>
            </w:r>
            <w:r>
              <w:rPr>
                <w:spacing w:val="-7"/>
                <w:sz w:val="20"/>
              </w:rPr>
              <w:t> </w:t>
            </w:r>
            <w:r>
              <w:rPr>
                <w:sz w:val="20"/>
              </w:rPr>
              <w:t>la</w:t>
            </w:r>
            <w:r>
              <w:rPr>
                <w:spacing w:val="-6"/>
                <w:sz w:val="20"/>
              </w:rPr>
              <w:t> </w:t>
            </w:r>
            <w:r>
              <w:rPr>
                <w:sz w:val="20"/>
              </w:rPr>
              <w:t>pérdida</w:t>
            </w:r>
            <w:r>
              <w:rPr>
                <w:spacing w:val="-7"/>
                <w:sz w:val="20"/>
              </w:rPr>
              <w:t> </w:t>
            </w:r>
            <w:r>
              <w:rPr>
                <w:sz w:val="20"/>
              </w:rPr>
              <w:t>del</w:t>
            </w:r>
            <w:r>
              <w:rPr>
                <w:spacing w:val="-5"/>
                <w:sz w:val="20"/>
              </w:rPr>
              <w:t> </w:t>
            </w:r>
            <w:r>
              <w:rPr>
                <w:sz w:val="20"/>
              </w:rPr>
              <w:t>quinto</w:t>
            </w:r>
            <w:r>
              <w:rPr>
                <w:spacing w:val="-4"/>
                <w:sz w:val="20"/>
              </w:rPr>
              <w:t> </w:t>
            </w:r>
            <w:r>
              <w:rPr>
                <w:sz w:val="20"/>
              </w:rPr>
              <w:t>dedo</w:t>
            </w:r>
            <w:r>
              <w:rPr>
                <w:spacing w:val="-7"/>
                <w:sz w:val="20"/>
              </w:rPr>
              <w:t> </w:t>
            </w:r>
            <w:r>
              <w:rPr>
                <w:sz w:val="20"/>
              </w:rPr>
              <w:t>con</w:t>
            </w:r>
            <w:r>
              <w:rPr>
                <w:spacing w:val="-7"/>
                <w:sz w:val="20"/>
              </w:rPr>
              <w:t> </w:t>
            </w:r>
            <w:r>
              <w:rPr>
                <w:sz w:val="20"/>
              </w:rPr>
              <w:t>mutilación</w:t>
            </w:r>
            <w:r>
              <w:rPr>
                <w:spacing w:val="-6"/>
                <w:sz w:val="20"/>
              </w:rPr>
              <w:t> </w:t>
            </w:r>
            <w:r>
              <w:rPr>
                <w:sz w:val="20"/>
              </w:rPr>
              <w:t>o</w:t>
            </w:r>
            <w:r>
              <w:rPr>
                <w:spacing w:val="-5"/>
                <w:sz w:val="20"/>
              </w:rPr>
              <w:t> </w:t>
            </w:r>
            <w:r>
              <w:rPr>
                <w:sz w:val="20"/>
              </w:rPr>
              <w:t>pérdida</w:t>
            </w:r>
            <w:r>
              <w:rPr>
                <w:spacing w:val="-5"/>
                <w:sz w:val="20"/>
              </w:rPr>
              <w:t> </w:t>
            </w:r>
            <w:r>
              <w:rPr>
                <w:sz w:val="20"/>
              </w:rPr>
              <w:t>de</w:t>
            </w:r>
            <w:r>
              <w:rPr>
                <w:spacing w:val="-7"/>
                <w:sz w:val="20"/>
              </w:rPr>
              <w:t> </w:t>
            </w:r>
            <w:r>
              <w:rPr>
                <w:sz w:val="20"/>
              </w:rPr>
              <w:t>su</w:t>
            </w:r>
            <w:r>
              <w:rPr>
                <w:spacing w:val="-6"/>
                <w:sz w:val="20"/>
              </w:rPr>
              <w:t> </w:t>
            </w:r>
            <w:r>
              <w:rPr>
                <w:spacing w:val="-2"/>
                <w:sz w:val="20"/>
              </w:rPr>
              <w:t>metatarsiano</w:t>
            </w:r>
          </w:p>
        </w:tc>
        <w:tc>
          <w:tcPr>
            <w:tcW w:w="1457" w:type="dxa"/>
          </w:tcPr>
          <w:p>
            <w:pPr>
              <w:pStyle w:val="TableParagraph"/>
              <w:ind w:left="11" w:right="1"/>
              <w:rPr>
                <w:sz w:val="20"/>
              </w:rPr>
            </w:pPr>
            <w:r>
              <w:rPr>
                <w:spacing w:val="-5"/>
                <w:sz w:val="20"/>
              </w:rPr>
              <w:t>20%</w:t>
            </w:r>
          </w:p>
        </w:tc>
      </w:tr>
    </w:tbl>
    <w:p>
      <w:pPr>
        <w:pStyle w:val="BodyText"/>
        <w:spacing w:before="7"/>
        <w:rPr>
          <w:rFonts w:ascii="Arial"/>
          <w:b/>
        </w:rPr>
      </w:pPr>
    </w:p>
    <w:p>
      <w:pPr>
        <w:spacing w:before="0"/>
        <w:ind w:left="296" w:right="296" w:firstLine="0"/>
        <w:jc w:val="center"/>
        <w:rPr>
          <w:rFonts w:ascii="Arial"/>
          <w:b/>
          <w:sz w:val="20"/>
        </w:rPr>
      </w:pPr>
      <w:r>
        <w:rPr>
          <w:rFonts w:ascii="Arial"/>
          <w:b/>
          <w:spacing w:val="-2"/>
          <w:sz w:val="20"/>
        </w:rPr>
        <w:t>Anquilosis</w:t>
      </w:r>
    </w:p>
    <w:p>
      <w:pPr>
        <w:pStyle w:val="BodyText"/>
        <w:spacing w:before="3"/>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3"/>
        <w:gridCol w:w="7089"/>
        <w:gridCol w:w="1457"/>
      </w:tblGrid>
      <w:tr>
        <w:trPr>
          <w:trHeight w:val="229" w:hRule="atLeast"/>
        </w:trPr>
        <w:tc>
          <w:tcPr>
            <w:tcW w:w="1003" w:type="dxa"/>
          </w:tcPr>
          <w:p>
            <w:pPr>
              <w:pStyle w:val="TableParagraph"/>
              <w:ind w:left="10" w:right="1"/>
              <w:rPr>
                <w:sz w:val="20"/>
              </w:rPr>
            </w:pPr>
            <w:r>
              <w:rPr>
                <w:spacing w:val="-5"/>
                <w:sz w:val="20"/>
              </w:rPr>
              <w:t>200</w:t>
            </w:r>
          </w:p>
        </w:tc>
        <w:tc>
          <w:tcPr>
            <w:tcW w:w="7089" w:type="dxa"/>
          </w:tcPr>
          <w:p>
            <w:pPr>
              <w:pStyle w:val="TableParagraph"/>
              <w:jc w:val="left"/>
              <w:rPr>
                <w:sz w:val="20"/>
              </w:rPr>
            </w:pPr>
            <w:r>
              <w:rPr>
                <w:sz w:val="20"/>
              </w:rPr>
              <w:t>Completa</w:t>
            </w:r>
            <w:r>
              <w:rPr>
                <w:spacing w:val="-10"/>
                <w:sz w:val="20"/>
              </w:rPr>
              <w:t> </w:t>
            </w:r>
            <w:r>
              <w:rPr>
                <w:sz w:val="20"/>
              </w:rPr>
              <w:t>de</w:t>
            </w:r>
            <w:r>
              <w:rPr>
                <w:spacing w:val="-8"/>
                <w:sz w:val="20"/>
              </w:rPr>
              <w:t> </w:t>
            </w:r>
            <w:r>
              <w:rPr>
                <w:sz w:val="20"/>
              </w:rPr>
              <w:t>la</w:t>
            </w:r>
            <w:r>
              <w:rPr>
                <w:spacing w:val="-8"/>
                <w:sz w:val="20"/>
              </w:rPr>
              <w:t> </w:t>
            </w:r>
            <w:r>
              <w:rPr>
                <w:sz w:val="20"/>
              </w:rPr>
              <w:t>articulación</w:t>
            </w:r>
            <w:r>
              <w:rPr>
                <w:spacing w:val="-7"/>
                <w:sz w:val="20"/>
              </w:rPr>
              <w:t> </w:t>
            </w:r>
            <w:r>
              <w:rPr>
                <w:sz w:val="20"/>
              </w:rPr>
              <w:t>coxofemoral,</w:t>
            </w:r>
            <w:r>
              <w:rPr>
                <w:spacing w:val="-8"/>
                <w:sz w:val="20"/>
              </w:rPr>
              <w:t> </w:t>
            </w:r>
            <w:r>
              <w:rPr>
                <w:sz w:val="20"/>
              </w:rPr>
              <w:t>en</w:t>
            </w:r>
            <w:r>
              <w:rPr>
                <w:spacing w:val="-9"/>
                <w:sz w:val="20"/>
              </w:rPr>
              <w:t> </w:t>
            </w:r>
            <w:r>
              <w:rPr>
                <w:spacing w:val="-2"/>
                <w:sz w:val="20"/>
              </w:rPr>
              <w:t>rectitud.</w:t>
            </w:r>
          </w:p>
        </w:tc>
        <w:tc>
          <w:tcPr>
            <w:tcW w:w="1457" w:type="dxa"/>
          </w:tcPr>
          <w:p>
            <w:pPr>
              <w:pStyle w:val="TableParagraph"/>
              <w:ind w:left="11" w:right="1"/>
              <w:rPr>
                <w:sz w:val="20"/>
              </w:rPr>
            </w:pPr>
            <w:r>
              <w:rPr>
                <w:spacing w:val="-5"/>
                <w:sz w:val="20"/>
              </w:rPr>
              <w:t>55%</w:t>
            </w:r>
          </w:p>
        </w:tc>
      </w:tr>
      <w:tr>
        <w:trPr>
          <w:trHeight w:val="460" w:hRule="atLeast"/>
        </w:trPr>
        <w:tc>
          <w:tcPr>
            <w:tcW w:w="1003" w:type="dxa"/>
          </w:tcPr>
          <w:p>
            <w:pPr>
              <w:pStyle w:val="TableParagraph"/>
              <w:spacing w:line="240" w:lineRule="auto" w:before="114"/>
              <w:ind w:left="10" w:right="1"/>
              <w:rPr>
                <w:sz w:val="20"/>
              </w:rPr>
            </w:pPr>
            <w:r>
              <w:rPr>
                <w:spacing w:val="-5"/>
                <w:sz w:val="20"/>
              </w:rPr>
              <w:t>201</w:t>
            </w:r>
          </w:p>
        </w:tc>
        <w:tc>
          <w:tcPr>
            <w:tcW w:w="7089" w:type="dxa"/>
          </w:tcPr>
          <w:p>
            <w:pPr>
              <w:pStyle w:val="TableParagraph"/>
              <w:spacing w:line="230" w:lineRule="exact"/>
              <w:jc w:val="left"/>
              <w:rPr>
                <w:sz w:val="20"/>
              </w:rPr>
            </w:pPr>
            <w:r>
              <w:rPr>
                <w:sz w:val="20"/>
              </w:rPr>
              <w:t>De</w:t>
            </w:r>
            <w:r>
              <w:rPr>
                <w:spacing w:val="-3"/>
                <w:sz w:val="20"/>
              </w:rPr>
              <w:t> </w:t>
            </w:r>
            <w:r>
              <w:rPr>
                <w:sz w:val="20"/>
              </w:rPr>
              <w:t>la</w:t>
            </w:r>
            <w:r>
              <w:rPr>
                <w:spacing w:val="-3"/>
                <w:sz w:val="20"/>
              </w:rPr>
              <w:t> </w:t>
            </w:r>
            <w:r>
              <w:rPr>
                <w:sz w:val="20"/>
              </w:rPr>
              <w:t>articulación</w:t>
            </w:r>
            <w:r>
              <w:rPr>
                <w:spacing w:val="-3"/>
                <w:sz w:val="20"/>
              </w:rPr>
              <w:t> </w:t>
            </w:r>
            <w:r>
              <w:rPr>
                <w:sz w:val="20"/>
              </w:rPr>
              <w:t>coxofemoral</w:t>
            </w:r>
            <w:r>
              <w:rPr>
                <w:spacing w:val="-2"/>
                <w:sz w:val="20"/>
              </w:rPr>
              <w:t> </w:t>
            </w:r>
            <w:r>
              <w:rPr>
                <w:sz w:val="20"/>
              </w:rPr>
              <w:t>en</w:t>
            </w:r>
            <w:r>
              <w:rPr>
                <w:spacing w:val="-2"/>
                <w:sz w:val="20"/>
              </w:rPr>
              <w:t> </w:t>
            </w:r>
            <w:r>
              <w:rPr>
                <w:sz w:val="20"/>
              </w:rPr>
              <w:t>posición</w:t>
            </w:r>
            <w:r>
              <w:rPr>
                <w:spacing w:val="-2"/>
                <w:sz w:val="20"/>
              </w:rPr>
              <w:t> </w:t>
            </w:r>
            <w:r>
              <w:rPr>
                <w:sz w:val="20"/>
              </w:rPr>
              <w:t>de</w:t>
            </w:r>
            <w:r>
              <w:rPr>
                <w:spacing w:val="-4"/>
                <w:sz w:val="20"/>
              </w:rPr>
              <w:t> </w:t>
            </w:r>
            <w:r>
              <w:rPr>
                <w:sz w:val="20"/>
              </w:rPr>
              <w:t>flexión, aducción,</w:t>
            </w:r>
            <w:r>
              <w:rPr>
                <w:spacing w:val="-3"/>
                <w:sz w:val="20"/>
              </w:rPr>
              <w:t> </w:t>
            </w:r>
            <w:r>
              <w:rPr>
                <w:sz w:val="20"/>
              </w:rPr>
              <w:t>abducción y/o </w:t>
            </w:r>
            <w:r>
              <w:rPr>
                <w:spacing w:val="-2"/>
                <w:sz w:val="20"/>
              </w:rPr>
              <w:t>rotación.</w:t>
            </w:r>
          </w:p>
        </w:tc>
        <w:tc>
          <w:tcPr>
            <w:tcW w:w="1457" w:type="dxa"/>
          </w:tcPr>
          <w:p>
            <w:pPr>
              <w:pStyle w:val="TableParagraph"/>
              <w:spacing w:line="240" w:lineRule="auto" w:before="114"/>
              <w:ind w:left="11" w:right="1"/>
              <w:rPr>
                <w:sz w:val="20"/>
              </w:rPr>
            </w:pPr>
            <w:r>
              <w:rPr>
                <w:spacing w:val="-5"/>
                <w:sz w:val="20"/>
              </w:rPr>
              <w:t>65%</w:t>
            </w:r>
          </w:p>
        </w:tc>
      </w:tr>
    </w:tbl>
    <w:p>
      <w:pPr>
        <w:pStyle w:val="TableParagraph"/>
        <w:spacing w:after="0" w:line="240" w:lineRule="auto"/>
        <w:rPr>
          <w:sz w:val="20"/>
        </w:rPr>
        <w:sectPr>
          <w:pgSz w:w="12240" w:h="15840"/>
          <w:pgMar w:header="724" w:footer="712" w:top="1880" w:bottom="900" w:left="1080" w:right="1080"/>
        </w:sectPr>
      </w:pPr>
    </w:p>
    <w:p>
      <w:pPr>
        <w:pStyle w:val="BodyText"/>
        <w:spacing w:before="68"/>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3"/>
        <w:gridCol w:w="7089"/>
        <w:gridCol w:w="1457"/>
      </w:tblGrid>
      <w:tr>
        <w:trPr>
          <w:trHeight w:val="229" w:hRule="atLeast"/>
        </w:trPr>
        <w:tc>
          <w:tcPr>
            <w:tcW w:w="1003" w:type="dxa"/>
          </w:tcPr>
          <w:p>
            <w:pPr>
              <w:pStyle w:val="TableParagraph"/>
              <w:ind w:left="10" w:right="1"/>
              <w:rPr>
                <w:sz w:val="20"/>
              </w:rPr>
            </w:pPr>
            <w:r>
              <w:rPr>
                <w:spacing w:val="-5"/>
                <w:sz w:val="20"/>
              </w:rPr>
              <w:t>202</w:t>
            </w:r>
          </w:p>
        </w:tc>
        <w:tc>
          <w:tcPr>
            <w:tcW w:w="7089" w:type="dxa"/>
          </w:tcPr>
          <w:p>
            <w:pPr>
              <w:pStyle w:val="TableParagraph"/>
              <w:jc w:val="left"/>
              <w:rPr>
                <w:sz w:val="20"/>
              </w:rPr>
            </w:pPr>
            <w:r>
              <w:rPr>
                <w:sz w:val="20"/>
              </w:rPr>
              <w:t>De</w:t>
            </w:r>
            <w:r>
              <w:rPr>
                <w:spacing w:val="-8"/>
                <w:sz w:val="20"/>
              </w:rPr>
              <w:t> </w:t>
            </w:r>
            <w:r>
              <w:rPr>
                <w:sz w:val="20"/>
              </w:rPr>
              <w:t>las</w:t>
            </w:r>
            <w:r>
              <w:rPr>
                <w:spacing w:val="-6"/>
                <w:sz w:val="20"/>
              </w:rPr>
              <w:t> </w:t>
            </w:r>
            <w:r>
              <w:rPr>
                <w:sz w:val="20"/>
              </w:rPr>
              <w:t>dos</w:t>
            </w:r>
            <w:r>
              <w:rPr>
                <w:spacing w:val="-7"/>
                <w:sz w:val="20"/>
              </w:rPr>
              <w:t> </w:t>
            </w:r>
            <w:r>
              <w:rPr>
                <w:sz w:val="20"/>
              </w:rPr>
              <w:t>articulaciones</w:t>
            </w:r>
            <w:r>
              <w:rPr>
                <w:spacing w:val="-6"/>
                <w:sz w:val="20"/>
              </w:rPr>
              <w:t> </w:t>
            </w:r>
            <w:r>
              <w:rPr>
                <w:spacing w:val="-2"/>
                <w:sz w:val="20"/>
              </w:rPr>
              <w:t>coxofemorales.</w:t>
            </w:r>
          </w:p>
        </w:tc>
        <w:tc>
          <w:tcPr>
            <w:tcW w:w="1457" w:type="dxa"/>
          </w:tcPr>
          <w:p>
            <w:pPr>
              <w:pStyle w:val="TableParagraph"/>
              <w:ind w:left="11" w:right="1"/>
              <w:rPr>
                <w:sz w:val="20"/>
              </w:rPr>
            </w:pPr>
            <w:r>
              <w:rPr>
                <w:spacing w:val="-4"/>
                <w:sz w:val="20"/>
              </w:rPr>
              <w:t>100%</w:t>
            </w:r>
          </w:p>
        </w:tc>
      </w:tr>
      <w:tr>
        <w:trPr>
          <w:trHeight w:val="229" w:hRule="atLeast"/>
        </w:trPr>
        <w:tc>
          <w:tcPr>
            <w:tcW w:w="1003" w:type="dxa"/>
          </w:tcPr>
          <w:p>
            <w:pPr>
              <w:pStyle w:val="TableParagraph"/>
              <w:ind w:left="10" w:right="1"/>
              <w:rPr>
                <w:sz w:val="20"/>
              </w:rPr>
            </w:pPr>
            <w:r>
              <w:rPr>
                <w:spacing w:val="-5"/>
                <w:sz w:val="20"/>
              </w:rPr>
              <w:t>203</w:t>
            </w:r>
          </w:p>
        </w:tc>
        <w:tc>
          <w:tcPr>
            <w:tcW w:w="7089" w:type="dxa"/>
          </w:tcPr>
          <w:p>
            <w:pPr>
              <w:pStyle w:val="TableParagraph"/>
              <w:jc w:val="left"/>
              <w:rPr>
                <w:sz w:val="20"/>
              </w:rPr>
            </w:pPr>
            <w:r>
              <w:rPr>
                <w:sz w:val="20"/>
              </w:rPr>
              <w:t>De</w:t>
            </w:r>
            <w:r>
              <w:rPr>
                <w:spacing w:val="-6"/>
                <w:sz w:val="20"/>
              </w:rPr>
              <w:t> </w:t>
            </w:r>
            <w:r>
              <w:rPr>
                <w:sz w:val="20"/>
              </w:rPr>
              <w:t>la</w:t>
            </w:r>
            <w:r>
              <w:rPr>
                <w:spacing w:val="-5"/>
                <w:sz w:val="20"/>
              </w:rPr>
              <w:t> </w:t>
            </w:r>
            <w:r>
              <w:rPr>
                <w:sz w:val="20"/>
              </w:rPr>
              <w:t>rodilla</w:t>
            </w:r>
            <w:r>
              <w:rPr>
                <w:spacing w:val="-4"/>
                <w:sz w:val="20"/>
              </w:rPr>
              <w:t> </w:t>
            </w:r>
            <w:r>
              <w:rPr>
                <w:sz w:val="20"/>
              </w:rPr>
              <w:t>en</w:t>
            </w:r>
            <w:r>
              <w:rPr>
                <w:spacing w:val="-6"/>
                <w:sz w:val="20"/>
              </w:rPr>
              <w:t> </w:t>
            </w:r>
            <w:r>
              <w:rPr>
                <w:sz w:val="20"/>
              </w:rPr>
              <w:t>posición</w:t>
            </w:r>
            <w:r>
              <w:rPr>
                <w:spacing w:val="-5"/>
                <w:sz w:val="20"/>
              </w:rPr>
              <w:t> </w:t>
            </w:r>
            <w:r>
              <w:rPr>
                <w:sz w:val="20"/>
              </w:rPr>
              <w:t>de</w:t>
            </w:r>
            <w:r>
              <w:rPr>
                <w:spacing w:val="-3"/>
                <w:sz w:val="20"/>
              </w:rPr>
              <w:t> </w:t>
            </w:r>
            <w:r>
              <w:rPr>
                <w:sz w:val="20"/>
              </w:rPr>
              <w:t>flexión</w:t>
            </w:r>
            <w:r>
              <w:rPr>
                <w:spacing w:val="-7"/>
                <w:sz w:val="20"/>
              </w:rPr>
              <w:t> </w:t>
            </w:r>
            <w:r>
              <w:rPr>
                <w:sz w:val="20"/>
              </w:rPr>
              <w:t>mayor</w:t>
            </w:r>
            <w:r>
              <w:rPr>
                <w:spacing w:val="-5"/>
                <w:sz w:val="20"/>
              </w:rPr>
              <w:t> </w:t>
            </w:r>
            <w:r>
              <w:rPr>
                <w:sz w:val="20"/>
              </w:rPr>
              <w:t>de</w:t>
            </w:r>
            <w:r>
              <w:rPr>
                <w:spacing w:val="-5"/>
                <w:sz w:val="20"/>
              </w:rPr>
              <w:t> </w:t>
            </w:r>
            <w:r>
              <w:rPr>
                <w:sz w:val="20"/>
              </w:rPr>
              <w:t>45</w:t>
            </w:r>
            <w:r>
              <w:rPr>
                <w:spacing w:val="-4"/>
                <w:sz w:val="20"/>
              </w:rPr>
              <w:t> </w:t>
            </w:r>
            <w:r>
              <w:rPr>
                <w:sz w:val="20"/>
              </w:rPr>
              <w:t>grados</w:t>
            </w:r>
            <w:r>
              <w:rPr>
                <w:spacing w:val="-2"/>
                <w:sz w:val="20"/>
              </w:rPr>
              <w:t> </w:t>
            </w:r>
            <w:r>
              <w:rPr>
                <w:sz w:val="20"/>
              </w:rPr>
              <w:t>y</w:t>
            </w:r>
            <w:r>
              <w:rPr>
                <w:spacing w:val="-8"/>
                <w:sz w:val="20"/>
              </w:rPr>
              <w:t> </w:t>
            </w:r>
            <w:r>
              <w:rPr>
                <w:sz w:val="20"/>
              </w:rPr>
              <w:t>hasta</w:t>
            </w:r>
            <w:r>
              <w:rPr>
                <w:spacing w:val="-6"/>
                <w:sz w:val="20"/>
              </w:rPr>
              <w:t> </w:t>
            </w:r>
            <w:r>
              <w:rPr>
                <w:sz w:val="20"/>
              </w:rPr>
              <w:t>140</w:t>
            </w:r>
            <w:r>
              <w:rPr>
                <w:spacing w:val="-5"/>
                <w:sz w:val="20"/>
              </w:rPr>
              <w:t> </w:t>
            </w:r>
            <w:r>
              <w:rPr>
                <w:spacing w:val="-2"/>
                <w:sz w:val="20"/>
              </w:rPr>
              <w:t>grados.</w:t>
            </w:r>
          </w:p>
        </w:tc>
        <w:tc>
          <w:tcPr>
            <w:tcW w:w="1457" w:type="dxa"/>
          </w:tcPr>
          <w:p>
            <w:pPr>
              <w:pStyle w:val="TableParagraph"/>
              <w:ind w:left="11" w:right="1"/>
              <w:rPr>
                <w:sz w:val="20"/>
              </w:rPr>
            </w:pPr>
            <w:r>
              <w:rPr>
                <w:spacing w:val="-5"/>
                <w:sz w:val="20"/>
              </w:rPr>
              <w:t>65%</w:t>
            </w:r>
          </w:p>
        </w:tc>
      </w:tr>
      <w:tr>
        <w:trPr>
          <w:trHeight w:val="229" w:hRule="atLeast"/>
        </w:trPr>
        <w:tc>
          <w:tcPr>
            <w:tcW w:w="1003" w:type="dxa"/>
          </w:tcPr>
          <w:p>
            <w:pPr>
              <w:pStyle w:val="TableParagraph"/>
              <w:ind w:left="10" w:right="1"/>
              <w:rPr>
                <w:sz w:val="20"/>
              </w:rPr>
            </w:pPr>
            <w:r>
              <w:rPr>
                <w:spacing w:val="-5"/>
                <w:sz w:val="20"/>
              </w:rPr>
              <w:t>204</w:t>
            </w:r>
          </w:p>
        </w:tc>
        <w:tc>
          <w:tcPr>
            <w:tcW w:w="7089" w:type="dxa"/>
          </w:tcPr>
          <w:p>
            <w:pPr>
              <w:pStyle w:val="TableParagraph"/>
              <w:jc w:val="left"/>
              <w:rPr>
                <w:sz w:val="20"/>
              </w:rPr>
            </w:pPr>
            <w:r>
              <w:rPr>
                <w:sz w:val="20"/>
              </w:rPr>
              <w:t>De</w:t>
            </w:r>
            <w:r>
              <w:rPr>
                <w:spacing w:val="-6"/>
                <w:sz w:val="20"/>
              </w:rPr>
              <w:t> </w:t>
            </w:r>
            <w:r>
              <w:rPr>
                <w:sz w:val="20"/>
              </w:rPr>
              <w:t>la</w:t>
            </w:r>
            <w:r>
              <w:rPr>
                <w:spacing w:val="-6"/>
                <w:sz w:val="20"/>
              </w:rPr>
              <w:t> </w:t>
            </w:r>
            <w:r>
              <w:rPr>
                <w:sz w:val="20"/>
              </w:rPr>
              <w:t>rodilla</w:t>
            </w:r>
            <w:r>
              <w:rPr>
                <w:spacing w:val="-4"/>
                <w:sz w:val="20"/>
              </w:rPr>
              <w:t> </w:t>
            </w:r>
            <w:r>
              <w:rPr>
                <w:sz w:val="20"/>
              </w:rPr>
              <w:t>en</w:t>
            </w:r>
            <w:r>
              <w:rPr>
                <w:spacing w:val="-7"/>
                <w:sz w:val="20"/>
              </w:rPr>
              <w:t> </w:t>
            </w:r>
            <w:r>
              <w:rPr>
                <w:sz w:val="20"/>
              </w:rPr>
              <w:t>posición</w:t>
            </w:r>
            <w:r>
              <w:rPr>
                <w:spacing w:val="-6"/>
                <w:sz w:val="20"/>
              </w:rPr>
              <w:t> </w:t>
            </w:r>
            <w:r>
              <w:rPr>
                <w:sz w:val="20"/>
              </w:rPr>
              <w:t>de</w:t>
            </w:r>
            <w:r>
              <w:rPr>
                <w:spacing w:val="-2"/>
                <w:sz w:val="20"/>
              </w:rPr>
              <w:t> </w:t>
            </w:r>
            <w:r>
              <w:rPr>
                <w:sz w:val="20"/>
              </w:rPr>
              <w:t>flexión</w:t>
            </w:r>
            <w:r>
              <w:rPr>
                <w:spacing w:val="-5"/>
                <w:sz w:val="20"/>
              </w:rPr>
              <w:t> </w:t>
            </w:r>
            <w:r>
              <w:rPr>
                <w:sz w:val="20"/>
              </w:rPr>
              <w:t>hasta</w:t>
            </w:r>
            <w:r>
              <w:rPr>
                <w:spacing w:val="-4"/>
                <w:sz w:val="20"/>
              </w:rPr>
              <w:t> </w:t>
            </w:r>
            <w:r>
              <w:rPr>
                <w:sz w:val="20"/>
              </w:rPr>
              <w:t>45</w:t>
            </w:r>
            <w:r>
              <w:rPr>
                <w:spacing w:val="-6"/>
                <w:sz w:val="20"/>
              </w:rPr>
              <w:t> </w:t>
            </w:r>
            <w:r>
              <w:rPr>
                <w:spacing w:val="-2"/>
                <w:sz w:val="20"/>
              </w:rPr>
              <w:t>grados.</w:t>
            </w:r>
          </w:p>
        </w:tc>
        <w:tc>
          <w:tcPr>
            <w:tcW w:w="1457" w:type="dxa"/>
          </w:tcPr>
          <w:p>
            <w:pPr>
              <w:pStyle w:val="TableParagraph"/>
              <w:ind w:left="11" w:right="1"/>
              <w:rPr>
                <w:sz w:val="20"/>
              </w:rPr>
            </w:pPr>
            <w:r>
              <w:rPr>
                <w:spacing w:val="-5"/>
                <w:sz w:val="20"/>
              </w:rPr>
              <w:t>40%</w:t>
            </w:r>
          </w:p>
        </w:tc>
      </w:tr>
      <w:tr>
        <w:trPr>
          <w:trHeight w:val="229" w:hRule="atLeast"/>
        </w:trPr>
        <w:tc>
          <w:tcPr>
            <w:tcW w:w="1003" w:type="dxa"/>
          </w:tcPr>
          <w:p>
            <w:pPr>
              <w:pStyle w:val="TableParagraph"/>
              <w:ind w:left="10" w:right="1"/>
              <w:rPr>
                <w:sz w:val="20"/>
              </w:rPr>
            </w:pPr>
            <w:r>
              <w:rPr>
                <w:spacing w:val="-5"/>
                <w:sz w:val="20"/>
              </w:rPr>
              <w:t>205</w:t>
            </w:r>
          </w:p>
        </w:tc>
        <w:tc>
          <w:tcPr>
            <w:tcW w:w="7089" w:type="dxa"/>
          </w:tcPr>
          <w:p>
            <w:pPr>
              <w:pStyle w:val="TableParagraph"/>
              <w:jc w:val="left"/>
              <w:rPr>
                <w:sz w:val="20"/>
              </w:rPr>
            </w:pPr>
            <w:r>
              <w:rPr>
                <w:sz w:val="20"/>
              </w:rPr>
              <w:t>De</w:t>
            </w:r>
            <w:r>
              <w:rPr>
                <w:spacing w:val="-6"/>
                <w:sz w:val="20"/>
              </w:rPr>
              <w:t> </w:t>
            </w:r>
            <w:r>
              <w:rPr>
                <w:sz w:val="20"/>
              </w:rPr>
              <w:t>la</w:t>
            </w:r>
            <w:r>
              <w:rPr>
                <w:spacing w:val="-6"/>
                <w:sz w:val="20"/>
              </w:rPr>
              <w:t> </w:t>
            </w:r>
            <w:r>
              <w:rPr>
                <w:sz w:val="20"/>
              </w:rPr>
              <w:t>rodilla</w:t>
            </w:r>
            <w:r>
              <w:rPr>
                <w:spacing w:val="-4"/>
                <w:sz w:val="20"/>
              </w:rPr>
              <w:t> </w:t>
            </w:r>
            <w:r>
              <w:rPr>
                <w:sz w:val="20"/>
              </w:rPr>
              <w:t>en</w:t>
            </w:r>
            <w:r>
              <w:rPr>
                <w:spacing w:val="-7"/>
                <w:sz w:val="20"/>
              </w:rPr>
              <w:t> </w:t>
            </w:r>
            <w:r>
              <w:rPr>
                <w:sz w:val="20"/>
              </w:rPr>
              <w:t>genu</w:t>
            </w:r>
            <w:r>
              <w:rPr>
                <w:spacing w:val="-4"/>
                <w:sz w:val="20"/>
              </w:rPr>
              <w:t> </w:t>
            </w:r>
            <w:r>
              <w:rPr>
                <w:sz w:val="20"/>
              </w:rPr>
              <w:t>valgum</w:t>
            </w:r>
            <w:r>
              <w:rPr>
                <w:spacing w:val="-1"/>
                <w:sz w:val="20"/>
              </w:rPr>
              <w:t> </w:t>
            </w:r>
            <w:r>
              <w:rPr>
                <w:sz w:val="20"/>
              </w:rPr>
              <w:t>o</w:t>
            </w:r>
            <w:r>
              <w:rPr>
                <w:spacing w:val="-7"/>
                <w:sz w:val="20"/>
              </w:rPr>
              <w:t> </w:t>
            </w:r>
            <w:r>
              <w:rPr>
                <w:sz w:val="20"/>
              </w:rPr>
              <w:t>genu</w:t>
            </w:r>
            <w:r>
              <w:rPr>
                <w:spacing w:val="-7"/>
                <w:sz w:val="20"/>
              </w:rPr>
              <w:t> </w:t>
            </w:r>
            <w:r>
              <w:rPr>
                <w:spacing w:val="-2"/>
                <w:sz w:val="20"/>
              </w:rPr>
              <w:t>varum.</w:t>
            </w:r>
          </w:p>
        </w:tc>
        <w:tc>
          <w:tcPr>
            <w:tcW w:w="1457" w:type="dxa"/>
          </w:tcPr>
          <w:p>
            <w:pPr>
              <w:pStyle w:val="TableParagraph"/>
              <w:ind w:left="11" w:right="1"/>
              <w:rPr>
                <w:sz w:val="20"/>
              </w:rPr>
            </w:pPr>
            <w:r>
              <w:rPr>
                <w:spacing w:val="-5"/>
                <w:sz w:val="20"/>
              </w:rPr>
              <w:t>50%</w:t>
            </w:r>
          </w:p>
        </w:tc>
      </w:tr>
      <w:tr>
        <w:trPr>
          <w:trHeight w:val="229" w:hRule="atLeast"/>
        </w:trPr>
        <w:tc>
          <w:tcPr>
            <w:tcW w:w="1003" w:type="dxa"/>
          </w:tcPr>
          <w:p>
            <w:pPr>
              <w:pStyle w:val="TableParagraph"/>
              <w:ind w:left="10" w:right="1"/>
              <w:rPr>
                <w:sz w:val="20"/>
              </w:rPr>
            </w:pPr>
            <w:r>
              <w:rPr>
                <w:spacing w:val="-5"/>
                <w:sz w:val="20"/>
              </w:rPr>
              <w:t>206</w:t>
            </w:r>
          </w:p>
        </w:tc>
        <w:tc>
          <w:tcPr>
            <w:tcW w:w="7089" w:type="dxa"/>
          </w:tcPr>
          <w:p>
            <w:pPr>
              <w:pStyle w:val="TableParagraph"/>
              <w:jc w:val="left"/>
              <w:rPr>
                <w:sz w:val="20"/>
              </w:rPr>
            </w:pPr>
            <w:r>
              <w:rPr>
                <w:sz w:val="20"/>
              </w:rPr>
              <w:t>Del</w:t>
            </w:r>
            <w:r>
              <w:rPr>
                <w:spacing w:val="-8"/>
                <w:sz w:val="20"/>
              </w:rPr>
              <w:t> </w:t>
            </w:r>
            <w:r>
              <w:rPr>
                <w:sz w:val="20"/>
              </w:rPr>
              <w:t>tobillo</w:t>
            </w:r>
            <w:r>
              <w:rPr>
                <w:spacing w:val="-6"/>
                <w:sz w:val="20"/>
              </w:rPr>
              <w:t> </w:t>
            </w:r>
            <w:r>
              <w:rPr>
                <w:sz w:val="20"/>
              </w:rPr>
              <w:t>en</w:t>
            </w:r>
            <w:r>
              <w:rPr>
                <w:spacing w:val="-7"/>
                <w:sz w:val="20"/>
              </w:rPr>
              <w:t> </w:t>
            </w:r>
            <w:r>
              <w:rPr>
                <w:sz w:val="20"/>
              </w:rPr>
              <w:t>ángulo</w:t>
            </w:r>
            <w:r>
              <w:rPr>
                <w:spacing w:val="-6"/>
                <w:sz w:val="20"/>
              </w:rPr>
              <w:t> </w:t>
            </w:r>
            <w:r>
              <w:rPr>
                <w:spacing w:val="-2"/>
                <w:sz w:val="20"/>
              </w:rPr>
              <w:t>recto.</w:t>
            </w:r>
          </w:p>
        </w:tc>
        <w:tc>
          <w:tcPr>
            <w:tcW w:w="1457" w:type="dxa"/>
          </w:tcPr>
          <w:p>
            <w:pPr>
              <w:pStyle w:val="TableParagraph"/>
              <w:ind w:left="11" w:right="1"/>
              <w:rPr>
                <w:sz w:val="20"/>
              </w:rPr>
            </w:pPr>
            <w:r>
              <w:rPr>
                <w:spacing w:val="-5"/>
                <w:sz w:val="20"/>
              </w:rPr>
              <w:t>15%</w:t>
            </w:r>
          </w:p>
        </w:tc>
      </w:tr>
      <w:tr>
        <w:trPr>
          <w:trHeight w:val="229" w:hRule="atLeast"/>
        </w:trPr>
        <w:tc>
          <w:tcPr>
            <w:tcW w:w="1003" w:type="dxa"/>
          </w:tcPr>
          <w:p>
            <w:pPr>
              <w:pStyle w:val="TableParagraph"/>
              <w:ind w:left="10" w:right="1"/>
              <w:rPr>
                <w:sz w:val="20"/>
              </w:rPr>
            </w:pPr>
            <w:r>
              <w:rPr>
                <w:spacing w:val="-5"/>
                <w:sz w:val="20"/>
              </w:rPr>
              <w:t>207</w:t>
            </w:r>
          </w:p>
        </w:tc>
        <w:tc>
          <w:tcPr>
            <w:tcW w:w="7089" w:type="dxa"/>
          </w:tcPr>
          <w:p>
            <w:pPr>
              <w:pStyle w:val="TableParagraph"/>
              <w:jc w:val="left"/>
              <w:rPr>
                <w:sz w:val="20"/>
              </w:rPr>
            </w:pPr>
            <w:r>
              <w:rPr>
                <w:sz w:val="20"/>
              </w:rPr>
              <w:t>Del</w:t>
            </w:r>
            <w:r>
              <w:rPr>
                <w:spacing w:val="-7"/>
                <w:sz w:val="20"/>
              </w:rPr>
              <w:t> </w:t>
            </w:r>
            <w:r>
              <w:rPr>
                <w:sz w:val="20"/>
              </w:rPr>
              <w:t>tobillo</w:t>
            </w:r>
            <w:r>
              <w:rPr>
                <w:spacing w:val="-6"/>
                <w:sz w:val="20"/>
              </w:rPr>
              <w:t> </w:t>
            </w:r>
            <w:r>
              <w:rPr>
                <w:sz w:val="20"/>
              </w:rPr>
              <w:t>en</w:t>
            </w:r>
            <w:r>
              <w:rPr>
                <w:spacing w:val="-6"/>
                <w:sz w:val="20"/>
              </w:rPr>
              <w:t> </w:t>
            </w:r>
            <w:r>
              <w:rPr>
                <w:sz w:val="20"/>
              </w:rPr>
              <w:t>ángulo</w:t>
            </w:r>
            <w:r>
              <w:rPr>
                <w:spacing w:val="-6"/>
                <w:sz w:val="20"/>
              </w:rPr>
              <w:t> </w:t>
            </w:r>
            <w:r>
              <w:rPr>
                <w:sz w:val="20"/>
              </w:rPr>
              <w:t>recto,</w:t>
            </w:r>
            <w:r>
              <w:rPr>
                <w:spacing w:val="-4"/>
                <w:sz w:val="20"/>
              </w:rPr>
              <w:t> </w:t>
            </w:r>
            <w:r>
              <w:rPr>
                <w:sz w:val="20"/>
              </w:rPr>
              <w:t>con</w:t>
            </w:r>
            <w:r>
              <w:rPr>
                <w:spacing w:val="-6"/>
                <w:sz w:val="20"/>
              </w:rPr>
              <w:t> </w:t>
            </w:r>
            <w:r>
              <w:rPr>
                <w:sz w:val="20"/>
              </w:rPr>
              <w:t>rigidez</w:t>
            </w:r>
            <w:r>
              <w:rPr>
                <w:spacing w:val="-5"/>
                <w:sz w:val="20"/>
              </w:rPr>
              <w:t> </w:t>
            </w:r>
            <w:r>
              <w:rPr>
                <w:sz w:val="20"/>
              </w:rPr>
              <w:t>de</w:t>
            </w:r>
            <w:r>
              <w:rPr>
                <w:spacing w:val="-5"/>
                <w:sz w:val="20"/>
              </w:rPr>
              <w:t> </w:t>
            </w:r>
            <w:r>
              <w:rPr>
                <w:sz w:val="20"/>
              </w:rPr>
              <w:t>los</w:t>
            </w:r>
            <w:r>
              <w:rPr>
                <w:spacing w:val="-5"/>
                <w:sz w:val="20"/>
              </w:rPr>
              <w:t> </w:t>
            </w:r>
            <w:r>
              <w:rPr>
                <w:spacing w:val="-2"/>
                <w:sz w:val="20"/>
              </w:rPr>
              <w:t>dedos.</w:t>
            </w:r>
          </w:p>
        </w:tc>
        <w:tc>
          <w:tcPr>
            <w:tcW w:w="1457" w:type="dxa"/>
          </w:tcPr>
          <w:p>
            <w:pPr>
              <w:pStyle w:val="TableParagraph"/>
              <w:ind w:left="11" w:right="1"/>
              <w:rPr>
                <w:sz w:val="20"/>
              </w:rPr>
            </w:pPr>
            <w:r>
              <w:rPr>
                <w:spacing w:val="-5"/>
                <w:sz w:val="20"/>
              </w:rPr>
              <w:t>30%</w:t>
            </w:r>
          </w:p>
        </w:tc>
      </w:tr>
      <w:tr>
        <w:trPr>
          <w:trHeight w:val="229" w:hRule="atLeast"/>
        </w:trPr>
        <w:tc>
          <w:tcPr>
            <w:tcW w:w="1003" w:type="dxa"/>
          </w:tcPr>
          <w:p>
            <w:pPr>
              <w:pStyle w:val="TableParagraph"/>
              <w:ind w:left="10" w:right="1"/>
              <w:rPr>
                <w:sz w:val="20"/>
              </w:rPr>
            </w:pPr>
            <w:r>
              <w:rPr>
                <w:spacing w:val="-5"/>
                <w:sz w:val="20"/>
              </w:rPr>
              <w:t>208</w:t>
            </w:r>
          </w:p>
        </w:tc>
        <w:tc>
          <w:tcPr>
            <w:tcW w:w="7089" w:type="dxa"/>
          </w:tcPr>
          <w:p>
            <w:pPr>
              <w:pStyle w:val="TableParagraph"/>
              <w:jc w:val="left"/>
              <w:rPr>
                <w:sz w:val="20"/>
              </w:rPr>
            </w:pPr>
            <w:r>
              <w:rPr>
                <w:sz w:val="20"/>
              </w:rPr>
              <w:t>Del</w:t>
            </w:r>
            <w:r>
              <w:rPr>
                <w:spacing w:val="-7"/>
                <w:sz w:val="20"/>
              </w:rPr>
              <w:t> </w:t>
            </w:r>
            <w:r>
              <w:rPr>
                <w:sz w:val="20"/>
              </w:rPr>
              <w:t>tobillo,</w:t>
            </w:r>
            <w:r>
              <w:rPr>
                <w:spacing w:val="-7"/>
                <w:sz w:val="20"/>
              </w:rPr>
              <w:t> </w:t>
            </w:r>
            <w:r>
              <w:rPr>
                <w:sz w:val="20"/>
              </w:rPr>
              <w:t>cuando</w:t>
            </w:r>
            <w:r>
              <w:rPr>
                <w:spacing w:val="-6"/>
                <w:sz w:val="20"/>
              </w:rPr>
              <w:t> </w:t>
            </w:r>
            <w:r>
              <w:rPr>
                <w:sz w:val="20"/>
              </w:rPr>
              <w:t>la</w:t>
            </w:r>
            <w:r>
              <w:rPr>
                <w:spacing w:val="-6"/>
                <w:sz w:val="20"/>
              </w:rPr>
              <w:t> </w:t>
            </w:r>
            <w:r>
              <w:rPr>
                <w:sz w:val="20"/>
              </w:rPr>
              <w:t>posición</w:t>
            </w:r>
            <w:r>
              <w:rPr>
                <w:spacing w:val="-7"/>
                <w:sz w:val="20"/>
              </w:rPr>
              <w:t> </w:t>
            </w:r>
            <w:r>
              <w:rPr>
                <w:sz w:val="20"/>
              </w:rPr>
              <w:t>es</w:t>
            </w:r>
            <w:r>
              <w:rPr>
                <w:spacing w:val="-5"/>
                <w:sz w:val="20"/>
              </w:rPr>
              <w:t> </w:t>
            </w:r>
            <w:r>
              <w:rPr>
                <w:sz w:val="20"/>
              </w:rPr>
              <w:t>diferente</w:t>
            </w:r>
            <w:r>
              <w:rPr>
                <w:spacing w:val="-4"/>
                <w:sz w:val="20"/>
              </w:rPr>
              <w:t> </w:t>
            </w:r>
            <w:r>
              <w:rPr>
                <w:sz w:val="20"/>
              </w:rPr>
              <w:t>a</w:t>
            </w:r>
            <w:r>
              <w:rPr>
                <w:spacing w:val="-4"/>
                <w:sz w:val="20"/>
              </w:rPr>
              <w:t> </w:t>
            </w:r>
            <w:r>
              <w:rPr>
                <w:sz w:val="20"/>
              </w:rPr>
              <w:t>la</w:t>
            </w:r>
            <w:r>
              <w:rPr>
                <w:spacing w:val="-6"/>
                <w:sz w:val="20"/>
              </w:rPr>
              <w:t> </w:t>
            </w:r>
            <w:r>
              <w:rPr>
                <w:spacing w:val="-2"/>
                <w:sz w:val="20"/>
              </w:rPr>
              <w:t>neutra.</w:t>
            </w:r>
          </w:p>
        </w:tc>
        <w:tc>
          <w:tcPr>
            <w:tcW w:w="1457" w:type="dxa"/>
          </w:tcPr>
          <w:p>
            <w:pPr>
              <w:pStyle w:val="TableParagraph"/>
              <w:ind w:left="11" w:right="1"/>
              <w:rPr>
                <w:sz w:val="20"/>
              </w:rPr>
            </w:pPr>
            <w:r>
              <w:rPr>
                <w:spacing w:val="-5"/>
                <w:sz w:val="20"/>
              </w:rPr>
              <w:t>55%</w:t>
            </w:r>
          </w:p>
        </w:tc>
      </w:tr>
      <w:tr>
        <w:trPr>
          <w:trHeight w:val="229" w:hRule="atLeast"/>
        </w:trPr>
        <w:tc>
          <w:tcPr>
            <w:tcW w:w="1003" w:type="dxa"/>
          </w:tcPr>
          <w:p>
            <w:pPr>
              <w:pStyle w:val="TableParagraph"/>
              <w:ind w:left="10" w:right="1"/>
              <w:rPr>
                <w:sz w:val="20"/>
              </w:rPr>
            </w:pPr>
            <w:r>
              <w:rPr>
                <w:spacing w:val="-5"/>
                <w:sz w:val="20"/>
              </w:rPr>
              <w:t>209</w:t>
            </w:r>
          </w:p>
        </w:tc>
        <w:tc>
          <w:tcPr>
            <w:tcW w:w="7089" w:type="dxa"/>
          </w:tcPr>
          <w:p>
            <w:pPr>
              <w:pStyle w:val="TableParagraph"/>
              <w:jc w:val="left"/>
              <w:rPr>
                <w:sz w:val="20"/>
              </w:rPr>
            </w:pPr>
            <w:r>
              <w:rPr>
                <w:sz w:val="20"/>
              </w:rPr>
              <w:t>De</w:t>
            </w:r>
            <w:r>
              <w:rPr>
                <w:spacing w:val="-7"/>
                <w:sz w:val="20"/>
              </w:rPr>
              <w:t> </w:t>
            </w:r>
            <w:r>
              <w:rPr>
                <w:sz w:val="20"/>
              </w:rPr>
              <w:t>cualquier</w:t>
            </w:r>
            <w:r>
              <w:rPr>
                <w:spacing w:val="-7"/>
                <w:sz w:val="20"/>
              </w:rPr>
              <w:t> </w:t>
            </w:r>
            <w:r>
              <w:rPr>
                <w:sz w:val="20"/>
              </w:rPr>
              <w:t>dedo,</w:t>
            </w:r>
            <w:r>
              <w:rPr>
                <w:spacing w:val="-7"/>
                <w:sz w:val="20"/>
              </w:rPr>
              <w:t> </w:t>
            </w:r>
            <w:r>
              <w:rPr>
                <w:sz w:val="20"/>
              </w:rPr>
              <w:t>en</w:t>
            </w:r>
            <w:r>
              <w:rPr>
                <w:spacing w:val="-4"/>
                <w:sz w:val="20"/>
              </w:rPr>
              <w:t> </w:t>
            </w:r>
            <w:r>
              <w:rPr>
                <w:spacing w:val="-2"/>
                <w:sz w:val="20"/>
              </w:rPr>
              <w:t>extensión.</w:t>
            </w:r>
          </w:p>
        </w:tc>
        <w:tc>
          <w:tcPr>
            <w:tcW w:w="1457" w:type="dxa"/>
          </w:tcPr>
          <w:p>
            <w:pPr>
              <w:pStyle w:val="TableParagraph"/>
              <w:ind w:left="11" w:right="1"/>
              <w:rPr>
                <w:sz w:val="20"/>
              </w:rPr>
            </w:pPr>
            <w:r>
              <w:rPr>
                <w:spacing w:val="-5"/>
                <w:sz w:val="20"/>
              </w:rPr>
              <w:t>5%</w:t>
            </w:r>
          </w:p>
        </w:tc>
      </w:tr>
      <w:tr>
        <w:trPr>
          <w:trHeight w:val="232" w:hRule="atLeast"/>
        </w:trPr>
        <w:tc>
          <w:tcPr>
            <w:tcW w:w="1003" w:type="dxa"/>
          </w:tcPr>
          <w:p>
            <w:pPr>
              <w:pStyle w:val="TableParagraph"/>
              <w:spacing w:line="212" w:lineRule="exact"/>
              <w:ind w:left="10" w:right="1"/>
              <w:rPr>
                <w:sz w:val="20"/>
              </w:rPr>
            </w:pPr>
            <w:r>
              <w:rPr>
                <w:spacing w:val="-5"/>
                <w:sz w:val="20"/>
              </w:rPr>
              <w:t>210</w:t>
            </w:r>
          </w:p>
        </w:tc>
        <w:tc>
          <w:tcPr>
            <w:tcW w:w="7089" w:type="dxa"/>
          </w:tcPr>
          <w:p>
            <w:pPr>
              <w:pStyle w:val="TableParagraph"/>
              <w:spacing w:line="212" w:lineRule="exact"/>
              <w:jc w:val="left"/>
              <w:rPr>
                <w:sz w:val="20"/>
              </w:rPr>
            </w:pPr>
            <w:r>
              <w:rPr>
                <w:sz w:val="20"/>
              </w:rPr>
              <w:t>De</w:t>
            </w:r>
            <w:r>
              <w:rPr>
                <w:spacing w:val="-7"/>
                <w:sz w:val="20"/>
              </w:rPr>
              <w:t> </w:t>
            </w:r>
            <w:r>
              <w:rPr>
                <w:sz w:val="20"/>
              </w:rPr>
              <w:t>cualquier</w:t>
            </w:r>
            <w:r>
              <w:rPr>
                <w:spacing w:val="-7"/>
                <w:sz w:val="20"/>
              </w:rPr>
              <w:t> </w:t>
            </w:r>
            <w:r>
              <w:rPr>
                <w:sz w:val="20"/>
              </w:rPr>
              <w:t>dedo,</w:t>
            </w:r>
            <w:r>
              <w:rPr>
                <w:spacing w:val="-7"/>
                <w:sz w:val="20"/>
              </w:rPr>
              <w:t> </w:t>
            </w:r>
            <w:r>
              <w:rPr>
                <w:sz w:val="20"/>
              </w:rPr>
              <w:t>cuando</w:t>
            </w:r>
            <w:r>
              <w:rPr>
                <w:spacing w:val="-6"/>
                <w:sz w:val="20"/>
              </w:rPr>
              <w:t> </w:t>
            </w:r>
            <w:r>
              <w:rPr>
                <w:sz w:val="20"/>
              </w:rPr>
              <w:t>la</w:t>
            </w:r>
            <w:r>
              <w:rPr>
                <w:spacing w:val="-7"/>
                <w:sz w:val="20"/>
              </w:rPr>
              <w:t> </w:t>
            </w:r>
            <w:r>
              <w:rPr>
                <w:sz w:val="20"/>
              </w:rPr>
              <w:t>posición</w:t>
            </w:r>
            <w:r>
              <w:rPr>
                <w:spacing w:val="-7"/>
                <w:sz w:val="20"/>
              </w:rPr>
              <w:t> </w:t>
            </w:r>
            <w:r>
              <w:rPr>
                <w:sz w:val="20"/>
              </w:rPr>
              <w:t>es</w:t>
            </w:r>
            <w:r>
              <w:rPr>
                <w:spacing w:val="-6"/>
                <w:sz w:val="20"/>
              </w:rPr>
              <w:t> </w:t>
            </w:r>
            <w:r>
              <w:rPr>
                <w:sz w:val="20"/>
              </w:rPr>
              <w:t>diferente</w:t>
            </w:r>
            <w:r>
              <w:rPr>
                <w:spacing w:val="-5"/>
                <w:sz w:val="20"/>
              </w:rPr>
              <w:t> </w:t>
            </w:r>
            <w:r>
              <w:rPr>
                <w:sz w:val="20"/>
              </w:rPr>
              <w:t>a</w:t>
            </w:r>
            <w:r>
              <w:rPr>
                <w:spacing w:val="-5"/>
                <w:sz w:val="20"/>
              </w:rPr>
              <w:t> </w:t>
            </w:r>
            <w:r>
              <w:rPr>
                <w:sz w:val="20"/>
              </w:rPr>
              <w:t>la</w:t>
            </w:r>
            <w:r>
              <w:rPr>
                <w:spacing w:val="-5"/>
                <w:sz w:val="20"/>
              </w:rPr>
              <w:t> </w:t>
            </w:r>
            <w:r>
              <w:rPr>
                <w:spacing w:val="-2"/>
                <w:sz w:val="20"/>
              </w:rPr>
              <w:t>neutra.</w:t>
            </w:r>
          </w:p>
        </w:tc>
        <w:tc>
          <w:tcPr>
            <w:tcW w:w="1457" w:type="dxa"/>
          </w:tcPr>
          <w:p>
            <w:pPr>
              <w:pStyle w:val="TableParagraph"/>
              <w:spacing w:line="212" w:lineRule="exact"/>
              <w:ind w:left="11" w:right="1"/>
              <w:rPr>
                <w:sz w:val="20"/>
              </w:rPr>
            </w:pPr>
            <w:r>
              <w:rPr>
                <w:spacing w:val="-5"/>
                <w:sz w:val="20"/>
              </w:rPr>
              <w:t>15%</w:t>
            </w:r>
          </w:p>
        </w:tc>
      </w:tr>
    </w:tbl>
    <w:p>
      <w:pPr>
        <w:pStyle w:val="BodyText"/>
        <w:spacing w:before="1"/>
        <w:rPr>
          <w:rFonts w:ascii="Arial"/>
          <w:b/>
        </w:rPr>
      </w:pPr>
    </w:p>
    <w:p>
      <w:pPr>
        <w:spacing w:before="0"/>
        <w:ind w:left="296" w:right="296" w:firstLine="0"/>
        <w:jc w:val="center"/>
        <w:rPr>
          <w:rFonts w:ascii="Arial"/>
          <w:b/>
          <w:sz w:val="20"/>
        </w:rPr>
      </w:pPr>
      <w:r>
        <w:rPr>
          <w:rFonts w:ascii="Arial"/>
          <w:b/>
          <w:sz w:val="20"/>
        </w:rPr>
        <w:t>Rigideces</w:t>
      </w:r>
      <w:r>
        <w:rPr>
          <w:rFonts w:ascii="Arial"/>
          <w:b/>
          <w:spacing w:val="-14"/>
          <w:sz w:val="20"/>
        </w:rPr>
        <w:t> </w:t>
      </w:r>
      <w:r>
        <w:rPr>
          <w:rFonts w:ascii="Arial"/>
          <w:b/>
          <w:spacing w:val="-2"/>
          <w:sz w:val="20"/>
        </w:rPr>
        <w:t>articulares</w:t>
      </w:r>
    </w:p>
    <w:p>
      <w:pPr>
        <w:pStyle w:val="BodyText"/>
        <w:spacing w:before="1"/>
        <w:rPr>
          <w:rFonts w:ascii="Arial"/>
          <w:b/>
        </w:rPr>
      </w:pPr>
    </w:p>
    <w:p>
      <w:pPr>
        <w:spacing w:before="0"/>
        <w:ind w:left="382" w:right="386" w:firstLine="0"/>
        <w:jc w:val="center"/>
        <w:rPr>
          <w:rFonts w:ascii="Arial" w:hAnsi="Arial"/>
          <w:b/>
          <w:sz w:val="20"/>
        </w:rPr>
      </w:pPr>
      <w:r>
        <w:rPr>
          <w:rFonts w:ascii="Arial" w:hAnsi="Arial"/>
          <w:b/>
          <w:sz w:val="20"/>
        </w:rPr>
        <w:t>Disminución</w:t>
      </w:r>
      <w:r>
        <w:rPr>
          <w:rFonts w:ascii="Arial" w:hAnsi="Arial"/>
          <w:b/>
          <w:spacing w:val="-8"/>
          <w:sz w:val="20"/>
        </w:rPr>
        <w:t> </w:t>
      </w: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8"/>
          <w:sz w:val="20"/>
        </w:rPr>
        <w:t> </w:t>
      </w:r>
      <w:r>
        <w:rPr>
          <w:rFonts w:ascii="Arial" w:hAnsi="Arial"/>
          <w:b/>
          <w:sz w:val="20"/>
        </w:rPr>
        <w:t>movimientos</w:t>
      </w:r>
      <w:r>
        <w:rPr>
          <w:rFonts w:ascii="Arial" w:hAnsi="Arial"/>
          <w:b/>
          <w:spacing w:val="-9"/>
          <w:sz w:val="20"/>
        </w:rPr>
        <w:t> </w:t>
      </w:r>
      <w:r>
        <w:rPr>
          <w:rFonts w:ascii="Arial" w:hAnsi="Arial"/>
          <w:b/>
          <w:sz w:val="20"/>
        </w:rPr>
        <w:t>por</w:t>
      </w:r>
      <w:r>
        <w:rPr>
          <w:rFonts w:ascii="Arial" w:hAnsi="Arial"/>
          <w:b/>
          <w:spacing w:val="-8"/>
          <w:sz w:val="20"/>
        </w:rPr>
        <w:t> </w:t>
      </w:r>
      <w:r>
        <w:rPr>
          <w:rFonts w:ascii="Arial" w:hAnsi="Arial"/>
          <w:b/>
          <w:sz w:val="20"/>
        </w:rPr>
        <w:t>lesiones</w:t>
      </w:r>
      <w:r>
        <w:rPr>
          <w:rFonts w:ascii="Arial" w:hAnsi="Arial"/>
          <w:b/>
          <w:spacing w:val="-9"/>
          <w:sz w:val="20"/>
        </w:rPr>
        <w:t> </w:t>
      </w:r>
      <w:r>
        <w:rPr>
          <w:rFonts w:ascii="Arial" w:hAnsi="Arial"/>
          <w:b/>
          <w:sz w:val="20"/>
        </w:rPr>
        <w:t>articulares,</w:t>
      </w:r>
      <w:r>
        <w:rPr>
          <w:rFonts w:ascii="Arial" w:hAnsi="Arial"/>
          <w:b/>
          <w:spacing w:val="-8"/>
          <w:sz w:val="20"/>
        </w:rPr>
        <w:t> </w:t>
      </w:r>
      <w:r>
        <w:rPr>
          <w:rFonts w:ascii="Arial" w:hAnsi="Arial"/>
          <w:b/>
          <w:sz w:val="20"/>
        </w:rPr>
        <w:t>tendinosas</w:t>
      </w:r>
      <w:r>
        <w:rPr>
          <w:rFonts w:ascii="Arial" w:hAnsi="Arial"/>
          <w:b/>
          <w:spacing w:val="-9"/>
          <w:sz w:val="20"/>
        </w:rPr>
        <w:t> </w:t>
      </w:r>
      <w:r>
        <w:rPr>
          <w:rFonts w:ascii="Arial" w:hAnsi="Arial"/>
          <w:b/>
          <w:sz w:val="20"/>
        </w:rPr>
        <w:t>o</w:t>
      </w:r>
      <w:r>
        <w:rPr>
          <w:rFonts w:ascii="Arial" w:hAnsi="Arial"/>
          <w:b/>
          <w:spacing w:val="-9"/>
          <w:sz w:val="20"/>
        </w:rPr>
        <w:t> </w:t>
      </w:r>
      <w:r>
        <w:rPr>
          <w:rFonts w:ascii="Arial" w:hAnsi="Arial"/>
          <w:b/>
          <w:spacing w:val="-2"/>
          <w:sz w:val="20"/>
        </w:rPr>
        <w:t>musculares</w:t>
      </w:r>
    </w:p>
    <w:p>
      <w:pPr>
        <w:pStyle w:val="BodyText"/>
        <w:spacing w:before="4"/>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3"/>
        <w:gridCol w:w="7089"/>
        <w:gridCol w:w="1457"/>
      </w:tblGrid>
      <w:tr>
        <w:trPr>
          <w:trHeight w:val="229" w:hRule="atLeast"/>
        </w:trPr>
        <w:tc>
          <w:tcPr>
            <w:tcW w:w="1003" w:type="dxa"/>
          </w:tcPr>
          <w:p>
            <w:pPr>
              <w:pStyle w:val="TableParagraph"/>
              <w:ind w:left="10" w:right="1"/>
              <w:rPr>
                <w:sz w:val="20"/>
              </w:rPr>
            </w:pPr>
            <w:r>
              <w:rPr>
                <w:spacing w:val="-5"/>
                <w:sz w:val="20"/>
              </w:rPr>
              <w:t>211</w:t>
            </w:r>
          </w:p>
        </w:tc>
        <w:tc>
          <w:tcPr>
            <w:tcW w:w="7089" w:type="dxa"/>
          </w:tcPr>
          <w:p>
            <w:pPr>
              <w:pStyle w:val="TableParagraph"/>
              <w:jc w:val="left"/>
              <w:rPr>
                <w:sz w:val="20"/>
              </w:rPr>
            </w:pPr>
            <w:r>
              <w:rPr>
                <w:sz w:val="20"/>
              </w:rPr>
              <w:t>De</w:t>
            </w:r>
            <w:r>
              <w:rPr>
                <w:spacing w:val="-6"/>
                <w:sz w:val="20"/>
              </w:rPr>
              <w:t> </w:t>
            </w:r>
            <w:r>
              <w:rPr>
                <w:sz w:val="20"/>
              </w:rPr>
              <w:t>la</w:t>
            </w:r>
            <w:r>
              <w:rPr>
                <w:spacing w:val="-5"/>
                <w:sz w:val="20"/>
              </w:rPr>
              <w:t> </w:t>
            </w:r>
            <w:r>
              <w:rPr>
                <w:sz w:val="20"/>
              </w:rPr>
              <w:t>cadera,</w:t>
            </w:r>
            <w:r>
              <w:rPr>
                <w:spacing w:val="-6"/>
                <w:sz w:val="20"/>
              </w:rPr>
              <w:t> </w:t>
            </w:r>
            <w:r>
              <w:rPr>
                <w:sz w:val="20"/>
              </w:rPr>
              <w:t>con</w:t>
            </w:r>
            <w:r>
              <w:rPr>
                <w:spacing w:val="-6"/>
                <w:sz w:val="20"/>
              </w:rPr>
              <w:t> </w:t>
            </w:r>
            <w:r>
              <w:rPr>
                <w:sz w:val="20"/>
              </w:rPr>
              <w:t>flexión</w:t>
            </w:r>
            <w:r>
              <w:rPr>
                <w:spacing w:val="-6"/>
                <w:sz w:val="20"/>
              </w:rPr>
              <w:t> </w:t>
            </w:r>
            <w:r>
              <w:rPr>
                <w:sz w:val="20"/>
              </w:rPr>
              <w:t>mayor</w:t>
            </w:r>
            <w:r>
              <w:rPr>
                <w:spacing w:val="-3"/>
                <w:sz w:val="20"/>
              </w:rPr>
              <w:t> </w:t>
            </w:r>
            <w:r>
              <w:rPr>
                <w:sz w:val="20"/>
              </w:rPr>
              <w:t>a</w:t>
            </w:r>
            <w:r>
              <w:rPr>
                <w:spacing w:val="-5"/>
                <w:sz w:val="20"/>
              </w:rPr>
              <w:t> </w:t>
            </w:r>
            <w:r>
              <w:rPr>
                <w:sz w:val="20"/>
              </w:rPr>
              <w:t>90</w:t>
            </w:r>
            <w:r>
              <w:rPr>
                <w:spacing w:val="-1"/>
                <w:sz w:val="20"/>
              </w:rPr>
              <w:t> </w:t>
            </w:r>
            <w:r>
              <w:rPr>
                <w:sz w:val="20"/>
              </w:rPr>
              <w:t>grados</w:t>
            </w:r>
            <w:r>
              <w:rPr>
                <w:spacing w:val="-3"/>
                <w:sz w:val="20"/>
              </w:rPr>
              <w:t> </w:t>
            </w:r>
            <w:r>
              <w:rPr>
                <w:sz w:val="20"/>
              </w:rPr>
              <w:t>y</w:t>
            </w:r>
            <w:r>
              <w:rPr>
                <w:spacing w:val="-6"/>
                <w:sz w:val="20"/>
              </w:rPr>
              <w:t> </w:t>
            </w:r>
            <w:r>
              <w:rPr>
                <w:sz w:val="20"/>
              </w:rPr>
              <w:t>extensión</w:t>
            </w:r>
            <w:r>
              <w:rPr>
                <w:spacing w:val="-7"/>
                <w:sz w:val="20"/>
              </w:rPr>
              <w:t> </w:t>
            </w:r>
            <w:r>
              <w:rPr>
                <w:sz w:val="20"/>
              </w:rPr>
              <w:t>mayor</w:t>
            </w:r>
            <w:r>
              <w:rPr>
                <w:spacing w:val="-5"/>
                <w:sz w:val="20"/>
              </w:rPr>
              <w:t> </w:t>
            </w:r>
            <w:r>
              <w:rPr>
                <w:sz w:val="20"/>
              </w:rPr>
              <w:t>10</w:t>
            </w:r>
            <w:r>
              <w:rPr>
                <w:spacing w:val="-4"/>
                <w:sz w:val="20"/>
              </w:rPr>
              <w:t> </w:t>
            </w:r>
            <w:r>
              <w:rPr>
                <w:spacing w:val="-2"/>
                <w:sz w:val="20"/>
              </w:rPr>
              <w:t>grados.</w:t>
            </w:r>
          </w:p>
        </w:tc>
        <w:tc>
          <w:tcPr>
            <w:tcW w:w="1457" w:type="dxa"/>
          </w:tcPr>
          <w:p>
            <w:pPr>
              <w:pStyle w:val="TableParagraph"/>
              <w:ind w:left="11" w:right="3"/>
              <w:rPr>
                <w:sz w:val="20"/>
              </w:rPr>
            </w:pPr>
            <w:r>
              <w:rPr>
                <w:sz w:val="20"/>
              </w:rPr>
              <w:t>15</w:t>
            </w:r>
            <w:r>
              <w:rPr>
                <w:spacing w:val="-3"/>
                <w:sz w:val="20"/>
              </w:rPr>
              <w:t> </w:t>
            </w:r>
            <w:r>
              <w:rPr>
                <w:sz w:val="20"/>
              </w:rPr>
              <w:t>a</w:t>
            </w:r>
            <w:r>
              <w:rPr>
                <w:spacing w:val="-1"/>
                <w:sz w:val="20"/>
              </w:rPr>
              <w:t> </w:t>
            </w:r>
            <w:r>
              <w:rPr>
                <w:spacing w:val="-5"/>
                <w:sz w:val="20"/>
              </w:rPr>
              <w:t>25%</w:t>
            </w:r>
          </w:p>
        </w:tc>
      </w:tr>
      <w:tr>
        <w:trPr>
          <w:trHeight w:val="460" w:hRule="atLeast"/>
        </w:trPr>
        <w:tc>
          <w:tcPr>
            <w:tcW w:w="1003" w:type="dxa"/>
          </w:tcPr>
          <w:p>
            <w:pPr>
              <w:pStyle w:val="TableParagraph"/>
              <w:spacing w:line="240" w:lineRule="auto" w:before="114"/>
              <w:ind w:left="10" w:right="1"/>
              <w:rPr>
                <w:sz w:val="20"/>
              </w:rPr>
            </w:pPr>
            <w:r>
              <w:rPr>
                <w:spacing w:val="-5"/>
                <w:sz w:val="20"/>
              </w:rPr>
              <w:t>212</w:t>
            </w:r>
          </w:p>
        </w:tc>
        <w:tc>
          <w:tcPr>
            <w:tcW w:w="7089" w:type="dxa"/>
          </w:tcPr>
          <w:p>
            <w:pPr>
              <w:pStyle w:val="TableParagraph"/>
              <w:spacing w:line="230" w:lineRule="exact"/>
              <w:jc w:val="left"/>
              <w:rPr>
                <w:sz w:val="20"/>
              </w:rPr>
            </w:pPr>
            <w:r>
              <w:rPr>
                <w:sz w:val="20"/>
              </w:rPr>
              <w:t>De</w:t>
            </w:r>
            <w:r>
              <w:rPr>
                <w:spacing w:val="-2"/>
                <w:sz w:val="20"/>
              </w:rPr>
              <w:t> </w:t>
            </w:r>
            <w:r>
              <w:rPr>
                <w:sz w:val="20"/>
              </w:rPr>
              <w:t>la</w:t>
            </w:r>
            <w:r>
              <w:rPr>
                <w:spacing w:val="-2"/>
                <w:sz w:val="20"/>
              </w:rPr>
              <w:t> </w:t>
            </w:r>
            <w:r>
              <w:rPr>
                <w:sz w:val="20"/>
              </w:rPr>
              <w:t>cadera,</w:t>
            </w:r>
            <w:r>
              <w:rPr>
                <w:spacing w:val="-2"/>
                <w:sz w:val="20"/>
              </w:rPr>
              <w:t> </w:t>
            </w:r>
            <w:r>
              <w:rPr>
                <w:sz w:val="20"/>
              </w:rPr>
              <w:t>con</w:t>
            </w:r>
            <w:r>
              <w:rPr>
                <w:spacing w:val="-2"/>
                <w:sz w:val="20"/>
              </w:rPr>
              <w:t> </w:t>
            </w:r>
            <w:r>
              <w:rPr>
                <w:sz w:val="20"/>
              </w:rPr>
              <w:t>flexión</w:t>
            </w:r>
            <w:r>
              <w:rPr>
                <w:spacing w:val="-3"/>
                <w:sz w:val="20"/>
              </w:rPr>
              <w:t> </w:t>
            </w:r>
            <w:r>
              <w:rPr>
                <w:sz w:val="20"/>
              </w:rPr>
              <w:t>menor</w:t>
            </w:r>
            <w:r>
              <w:rPr>
                <w:spacing w:val="-1"/>
                <w:sz w:val="20"/>
              </w:rPr>
              <w:t> </w:t>
            </w:r>
            <w:r>
              <w:rPr>
                <w:sz w:val="20"/>
              </w:rPr>
              <w:t>o igual</w:t>
            </w:r>
            <w:r>
              <w:rPr>
                <w:spacing w:val="-3"/>
                <w:sz w:val="20"/>
              </w:rPr>
              <w:t> </w:t>
            </w:r>
            <w:r>
              <w:rPr>
                <w:sz w:val="20"/>
              </w:rPr>
              <w:t>a 90</w:t>
            </w:r>
            <w:r>
              <w:rPr>
                <w:spacing w:val="-2"/>
                <w:sz w:val="20"/>
              </w:rPr>
              <w:t> </w:t>
            </w:r>
            <w:r>
              <w:rPr>
                <w:sz w:val="20"/>
              </w:rPr>
              <w:t>grados y</w:t>
            </w:r>
            <w:r>
              <w:rPr>
                <w:spacing w:val="-3"/>
                <w:sz w:val="20"/>
              </w:rPr>
              <w:t> </w:t>
            </w:r>
            <w:r>
              <w:rPr>
                <w:sz w:val="20"/>
              </w:rPr>
              <w:t>extensión</w:t>
            </w:r>
            <w:r>
              <w:rPr>
                <w:spacing w:val="-2"/>
                <w:sz w:val="20"/>
              </w:rPr>
              <w:t> </w:t>
            </w:r>
            <w:r>
              <w:rPr>
                <w:sz w:val="20"/>
              </w:rPr>
              <w:t>menor</w:t>
            </w:r>
            <w:r>
              <w:rPr>
                <w:spacing w:val="-1"/>
                <w:sz w:val="20"/>
              </w:rPr>
              <w:t> </w:t>
            </w:r>
            <w:r>
              <w:rPr>
                <w:sz w:val="20"/>
              </w:rPr>
              <w:t>o</w:t>
            </w:r>
            <w:r>
              <w:rPr>
                <w:spacing w:val="-2"/>
                <w:sz w:val="20"/>
              </w:rPr>
              <w:t> </w:t>
            </w:r>
            <w:r>
              <w:rPr>
                <w:sz w:val="20"/>
              </w:rPr>
              <w:t>igual 10 grados.</w:t>
            </w:r>
          </w:p>
        </w:tc>
        <w:tc>
          <w:tcPr>
            <w:tcW w:w="1457" w:type="dxa"/>
          </w:tcPr>
          <w:p>
            <w:pPr>
              <w:pStyle w:val="TableParagraph"/>
              <w:spacing w:line="240" w:lineRule="auto" w:before="114"/>
              <w:ind w:left="11" w:right="3"/>
              <w:rPr>
                <w:sz w:val="20"/>
              </w:rPr>
            </w:pPr>
            <w:r>
              <w:rPr>
                <w:sz w:val="20"/>
              </w:rPr>
              <w:t>30</w:t>
            </w:r>
            <w:r>
              <w:rPr>
                <w:spacing w:val="-3"/>
                <w:sz w:val="20"/>
              </w:rPr>
              <w:t> </w:t>
            </w:r>
            <w:r>
              <w:rPr>
                <w:sz w:val="20"/>
              </w:rPr>
              <w:t>a</w:t>
            </w:r>
            <w:r>
              <w:rPr>
                <w:spacing w:val="-1"/>
                <w:sz w:val="20"/>
              </w:rPr>
              <w:t> </w:t>
            </w:r>
            <w:r>
              <w:rPr>
                <w:spacing w:val="-5"/>
                <w:sz w:val="20"/>
              </w:rPr>
              <w:t>40%</w:t>
            </w:r>
          </w:p>
        </w:tc>
      </w:tr>
      <w:tr>
        <w:trPr>
          <w:trHeight w:val="229" w:hRule="atLeast"/>
        </w:trPr>
        <w:tc>
          <w:tcPr>
            <w:tcW w:w="1003" w:type="dxa"/>
          </w:tcPr>
          <w:p>
            <w:pPr>
              <w:pStyle w:val="TableParagraph"/>
              <w:ind w:left="10" w:right="1"/>
              <w:rPr>
                <w:sz w:val="20"/>
              </w:rPr>
            </w:pPr>
            <w:r>
              <w:rPr>
                <w:spacing w:val="-5"/>
                <w:sz w:val="20"/>
              </w:rPr>
              <w:t>213</w:t>
            </w:r>
          </w:p>
        </w:tc>
        <w:tc>
          <w:tcPr>
            <w:tcW w:w="7089" w:type="dxa"/>
          </w:tcPr>
          <w:p>
            <w:pPr>
              <w:pStyle w:val="TableParagraph"/>
              <w:jc w:val="left"/>
              <w:rPr>
                <w:sz w:val="20"/>
              </w:rPr>
            </w:pPr>
            <w:r>
              <w:rPr>
                <w:sz w:val="20"/>
              </w:rPr>
              <w:t>De</w:t>
            </w:r>
            <w:r>
              <w:rPr>
                <w:spacing w:val="-8"/>
                <w:sz w:val="20"/>
              </w:rPr>
              <w:t> </w:t>
            </w:r>
            <w:r>
              <w:rPr>
                <w:sz w:val="20"/>
              </w:rPr>
              <w:t>la</w:t>
            </w:r>
            <w:r>
              <w:rPr>
                <w:spacing w:val="-7"/>
                <w:sz w:val="20"/>
              </w:rPr>
              <w:t> </w:t>
            </w:r>
            <w:r>
              <w:rPr>
                <w:sz w:val="20"/>
              </w:rPr>
              <w:t>rodilla,</w:t>
            </w:r>
            <w:r>
              <w:rPr>
                <w:spacing w:val="-5"/>
                <w:sz w:val="20"/>
              </w:rPr>
              <w:t> </w:t>
            </w:r>
            <w:r>
              <w:rPr>
                <w:sz w:val="20"/>
              </w:rPr>
              <w:t>que</w:t>
            </w:r>
            <w:r>
              <w:rPr>
                <w:spacing w:val="-6"/>
                <w:sz w:val="20"/>
              </w:rPr>
              <w:t> </w:t>
            </w:r>
            <w:r>
              <w:rPr>
                <w:sz w:val="20"/>
              </w:rPr>
              <w:t>permita</w:t>
            </w:r>
            <w:r>
              <w:rPr>
                <w:spacing w:val="-8"/>
                <w:sz w:val="20"/>
              </w:rPr>
              <w:t> </w:t>
            </w:r>
            <w:r>
              <w:rPr>
                <w:sz w:val="20"/>
              </w:rPr>
              <w:t>la</w:t>
            </w:r>
            <w:r>
              <w:rPr>
                <w:spacing w:val="-6"/>
                <w:sz w:val="20"/>
              </w:rPr>
              <w:t> </w:t>
            </w:r>
            <w:r>
              <w:rPr>
                <w:sz w:val="20"/>
              </w:rPr>
              <w:t>extensión</w:t>
            </w:r>
            <w:r>
              <w:rPr>
                <w:spacing w:val="-8"/>
                <w:sz w:val="20"/>
              </w:rPr>
              <w:t> </w:t>
            </w:r>
            <w:r>
              <w:rPr>
                <w:sz w:val="20"/>
              </w:rPr>
              <w:t>completa,</w:t>
            </w:r>
            <w:r>
              <w:rPr>
                <w:spacing w:val="-5"/>
                <w:sz w:val="20"/>
              </w:rPr>
              <w:t> </w:t>
            </w:r>
            <w:r>
              <w:rPr>
                <w:sz w:val="20"/>
              </w:rPr>
              <w:t>según</w:t>
            </w:r>
            <w:r>
              <w:rPr>
                <w:spacing w:val="-6"/>
                <w:sz w:val="20"/>
              </w:rPr>
              <w:t> </w:t>
            </w:r>
            <w:r>
              <w:rPr>
                <w:sz w:val="20"/>
              </w:rPr>
              <w:t>el</w:t>
            </w:r>
            <w:r>
              <w:rPr>
                <w:spacing w:val="-6"/>
                <w:sz w:val="20"/>
              </w:rPr>
              <w:t> </w:t>
            </w:r>
            <w:r>
              <w:rPr>
                <w:sz w:val="20"/>
              </w:rPr>
              <w:t>ángulo</w:t>
            </w:r>
            <w:r>
              <w:rPr>
                <w:spacing w:val="-5"/>
                <w:sz w:val="20"/>
              </w:rPr>
              <w:t> </w:t>
            </w:r>
            <w:r>
              <w:rPr>
                <w:sz w:val="20"/>
              </w:rPr>
              <w:t>de</w:t>
            </w:r>
            <w:r>
              <w:rPr>
                <w:spacing w:val="-9"/>
                <w:sz w:val="20"/>
              </w:rPr>
              <w:t> </w:t>
            </w:r>
            <w:r>
              <w:rPr>
                <w:spacing w:val="-2"/>
                <w:sz w:val="20"/>
              </w:rPr>
              <w:t>flexión.</w:t>
            </w:r>
          </w:p>
        </w:tc>
        <w:tc>
          <w:tcPr>
            <w:tcW w:w="1457" w:type="dxa"/>
          </w:tcPr>
          <w:p>
            <w:pPr>
              <w:pStyle w:val="TableParagraph"/>
              <w:ind w:left="11" w:right="3"/>
              <w:rPr>
                <w:sz w:val="20"/>
              </w:rPr>
            </w:pPr>
            <w:r>
              <w:rPr>
                <w:sz w:val="20"/>
              </w:rPr>
              <w:t>10</w:t>
            </w:r>
            <w:r>
              <w:rPr>
                <w:spacing w:val="-3"/>
                <w:sz w:val="20"/>
              </w:rPr>
              <w:t> </w:t>
            </w:r>
            <w:r>
              <w:rPr>
                <w:sz w:val="20"/>
              </w:rPr>
              <w:t>a</w:t>
            </w:r>
            <w:r>
              <w:rPr>
                <w:spacing w:val="-1"/>
                <w:sz w:val="20"/>
              </w:rPr>
              <w:t> </w:t>
            </w:r>
            <w:r>
              <w:rPr>
                <w:spacing w:val="-5"/>
                <w:sz w:val="20"/>
              </w:rPr>
              <w:t>20%</w:t>
            </w:r>
          </w:p>
        </w:tc>
      </w:tr>
      <w:tr>
        <w:trPr>
          <w:trHeight w:val="460" w:hRule="atLeast"/>
        </w:trPr>
        <w:tc>
          <w:tcPr>
            <w:tcW w:w="1003" w:type="dxa"/>
          </w:tcPr>
          <w:p>
            <w:pPr>
              <w:pStyle w:val="TableParagraph"/>
              <w:spacing w:line="240" w:lineRule="auto" w:before="114"/>
              <w:ind w:left="10" w:right="1"/>
              <w:rPr>
                <w:sz w:val="20"/>
              </w:rPr>
            </w:pPr>
            <w:r>
              <w:rPr>
                <w:spacing w:val="-5"/>
                <w:sz w:val="20"/>
              </w:rPr>
              <w:t>214</w:t>
            </w:r>
          </w:p>
        </w:tc>
        <w:tc>
          <w:tcPr>
            <w:tcW w:w="7089" w:type="dxa"/>
          </w:tcPr>
          <w:p>
            <w:pPr>
              <w:pStyle w:val="TableParagraph"/>
              <w:spacing w:line="230" w:lineRule="exact"/>
              <w:jc w:val="left"/>
              <w:rPr>
                <w:sz w:val="20"/>
              </w:rPr>
            </w:pPr>
            <w:r>
              <w:rPr>
                <w:sz w:val="20"/>
              </w:rPr>
              <w:t>De la rodilla que no permita la extensión completa o casi completa, según el ángulo de flexión.</w:t>
            </w:r>
          </w:p>
        </w:tc>
        <w:tc>
          <w:tcPr>
            <w:tcW w:w="1457" w:type="dxa"/>
          </w:tcPr>
          <w:p>
            <w:pPr>
              <w:pStyle w:val="TableParagraph"/>
              <w:spacing w:line="240" w:lineRule="auto" w:before="114"/>
              <w:ind w:left="11" w:right="3"/>
              <w:rPr>
                <w:sz w:val="20"/>
              </w:rPr>
            </w:pPr>
            <w:r>
              <w:rPr>
                <w:sz w:val="20"/>
              </w:rPr>
              <w:t>25</w:t>
            </w:r>
            <w:r>
              <w:rPr>
                <w:spacing w:val="-3"/>
                <w:sz w:val="20"/>
              </w:rPr>
              <w:t> </w:t>
            </w:r>
            <w:r>
              <w:rPr>
                <w:sz w:val="20"/>
              </w:rPr>
              <w:t>a</w:t>
            </w:r>
            <w:r>
              <w:rPr>
                <w:spacing w:val="-1"/>
                <w:sz w:val="20"/>
              </w:rPr>
              <w:t> </w:t>
            </w:r>
            <w:r>
              <w:rPr>
                <w:spacing w:val="-5"/>
                <w:sz w:val="20"/>
              </w:rPr>
              <w:t>35%</w:t>
            </w:r>
          </w:p>
        </w:tc>
      </w:tr>
      <w:tr>
        <w:trPr>
          <w:trHeight w:val="460" w:hRule="atLeast"/>
        </w:trPr>
        <w:tc>
          <w:tcPr>
            <w:tcW w:w="1003" w:type="dxa"/>
          </w:tcPr>
          <w:p>
            <w:pPr>
              <w:pStyle w:val="TableParagraph"/>
              <w:spacing w:line="240" w:lineRule="auto" w:before="114"/>
              <w:ind w:left="10" w:right="1"/>
              <w:rPr>
                <w:sz w:val="20"/>
              </w:rPr>
            </w:pPr>
            <w:r>
              <w:rPr>
                <w:spacing w:val="-5"/>
                <w:sz w:val="20"/>
              </w:rPr>
              <w:t>215</w:t>
            </w:r>
          </w:p>
        </w:tc>
        <w:tc>
          <w:tcPr>
            <w:tcW w:w="7089" w:type="dxa"/>
          </w:tcPr>
          <w:p>
            <w:pPr>
              <w:pStyle w:val="TableParagraph"/>
              <w:spacing w:line="230" w:lineRule="exact"/>
              <w:jc w:val="left"/>
              <w:rPr>
                <w:sz w:val="20"/>
              </w:rPr>
            </w:pPr>
            <w:r>
              <w:rPr>
                <w:sz w:val="20"/>
              </w:rPr>
              <w:t>Del tobillo, con flexión mayor o igual a 10 grados y extensión mayor o igual a 30 grados.</w:t>
            </w:r>
          </w:p>
        </w:tc>
        <w:tc>
          <w:tcPr>
            <w:tcW w:w="1457" w:type="dxa"/>
          </w:tcPr>
          <w:p>
            <w:pPr>
              <w:pStyle w:val="TableParagraph"/>
              <w:spacing w:line="240" w:lineRule="auto" w:before="114"/>
              <w:ind w:left="11" w:right="3"/>
              <w:rPr>
                <w:sz w:val="20"/>
              </w:rPr>
            </w:pPr>
            <w:r>
              <w:rPr>
                <w:sz w:val="20"/>
              </w:rPr>
              <w:t>5</w:t>
            </w:r>
            <w:r>
              <w:rPr>
                <w:spacing w:val="-3"/>
                <w:sz w:val="20"/>
              </w:rPr>
              <w:t> </w:t>
            </w:r>
            <w:r>
              <w:rPr>
                <w:sz w:val="20"/>
              </w:rPr>
              <w:t>a</w:t>
            </w:r>
            <w:r>
              <w:rPr>
                <w:spacing w:val="-3"/>
                <w:sz w:val="20"/>
              </w:rPr>
              <w:t> </w:t>
            </w:r>
            <w:r>
              <w:rPr>
                <w:spacing w:val="-5"/>
                <w:sz w:val="20"/>
              </w:rPr>
              <w:t>10%</w:t>
            </w:r>
          </w:p>
        </w:tc>
      </w:tr>
      <w:tr>
        <w:trPr>
          <w:trHeight w:val="229" w:hRule="atLeast"/>
        </w:trPr>
        <w:tc>
          <w:tcPr>
            <w:tcW w:w="1003" w:type="dxa"/>
          </w:tcPr>
          <w:p>
            <w:pPr>
              <w:pStyle w:val="TableParagraph"/>
              <w:ind w:left="10" w:right="1"/>
              <w:rPr>
                <w:sz w:val="20"/>
              </w:rPr>
            </w:pPr>
            <w:r>
              <w:rPr>
                <w:spacing w:val="-5"/>
                <w:sz w:val="20"/>
              </w:rPr>
              <w:t>216</w:t>
            </w:r>
          </w:p>
        </w:tc>
        <w:tc>
          <w:tcPr>
            <w:tcW w:w="7089" w:type="dxa"/>
          </w:tcPr>
          <w:p>
            <w:pPr>
              <w:pStyle w:val="TableParagraph"/>
              <w:jc w:val="left"/>
              <w:rPr>
                <w:sz w:val="20"/>
              </w:rPr>
            </w:pPr>
            <w:r>
              <w:rPr>
                <w:sz w:val="20"/>
              </w:rPr>
              <w:t>Del</w:t>
            </w:r>
            <w:r>
              <w:rPr>
                <w:spacing w:val="-6"/>
                <w:sz w:val="20"/>
              </w:rPr>
              <w:t> </w:t>
            </w:r>
            <w:r>
              <w:rPr>
                <w:sz w:val="20"/>
              </w:rPr>
              <w:t>tobillo,</w:t>
            </w:r>
            <w:r>
              <w:rPr>
                <w:spacing w:val="-5"/>
                <w:sz w:val="20"/>
              </w:rPr>
              <w:t> </w:t>
            </w:r>
            <w:r>
              <w:rPr>
                <w:sz w:val="20"/>
              </w:rPr>
              <w:t>con</w:t>
            </w:r>
            <w:r>
              <w:rPr>
                <w:spacing w:val="-5"/>
                <w:sz w:val="20"/>
              </w:rPr>
              <w:t> </w:t>
            </w:r>
            <w:r>
              <w:rPr>
                <w:sz w:val="20"/>
              </w:rPr>
              <w:t>flexión</w:t>
            </w:r>
            <w:r>
              <w:rPr>
                <w:spacing w:val="-5"/>
                <w:sz w:val="20"/>
              </w:rPr>
              <w:t> </w:t>
            </w:r>
            <w:r>
              <w:rPr>
                <w:sz w:val="20"/>
              </w:rPr>
              <w:t>menor</w:t>
            </w:r>
            <w:r>
              <w:rPr>
                <w:spacing w:val="-5"/>
                <w:sz w:val="20"/>
              </w:rPr>
              <w:t> </w:t>
            </w:r>
            <w:r>
              <w:rPr>
                <w:sz w:val="20"/>
              </w:rPr>
              <w:t>a</w:t>
            </w:r>
            <w:r>
              <w:rPr>
                <w:spacing w:val="-5"/>
                <w:sz w:val="20"/>
              </w:rPr>
              <w:t> </w:t>
            </w:r>
            <w:r>
              <w:rPr>
                <w:sz w:val="20"/>
              </w:rPr>
              <w:t>10</w:t>
            </w:r>
            <w:r>
              <w:rPr>
                <w:spacing w:val="-3"/>
                <w:sz w:val="20"/>
              </w:rPr>
              <w:t> </w:t>
            </w:r>
            <w:r>
              <w:rPr>
                <w:sz w:val="20"/>
              </w:rPr>
              <w:t>grados</w:t>
            </w:r>
            <w:r>
              <w:rPr>
                <w:spacing w:val="-2"/>
                <w:sz w:val="20"/>
              </w:rPr>
              <w:t> </w:t>
            </w:r>
            <w:r>
              <w:rPr>
                <w:sz w:val="20"/>
              </w:rPr>
              <w:t>y</w:t>
            </w:r>
            <w:r>
              <w:rPr>
                <w:spacing w:val="-6"/>
                <w:sz w:val="20"/>
              </w:rPr>
              <w:t> </w:t>
            </w:r>
            <w:r>
              <w:rPr>
                <w:sz w:val="20"/>
              </w:rPr>
              <w:t>extensión</w:t>
            </w:r>
            <w:r>
              <w:rPr>
                <w:spacing w:val="-3"/>
                <w:sz w:val="20"/>
              </w:rPr>
              <w:t> </w:t>
            </w:r>
            <w:r>
              <w:rPr>
                <w:sz w:val="20"/>
              </w:rPr>
              <w:t>menor</w:t>
            </w:r>
            <w:r>
              <w:rPr>
                <w:spacing w:val="-5"/>
                <w:sz w:val="20"/>
              </w:rPr>
              <w:t> </w:t>
            </w:r>
            <w:r>
              <w:rPr>
                <w:sz w:val="20"/>
              </w:rPr>
              <w:t>a</w:t>
            </w:r>
            <w:r>
              <w:rPr>
                <w:spacing w:val="-5"/>
                <w:sz w:val="20"/>
              </w:rPr>
              <w:t> </w:t>
            </w:r>
            <w:r>
              <w:rPr>
                <w:sz w:val="20"/>
              </w:rPr>
              <w:t>30</w:t>
            </w:r>
            <w:r>
              <w:rPr>
                <w:spacing w:val="-6"/>
                <w:sz w:val="20"/>
              </w:rPr>
              <w:t> </w:t>
            </w:r>
            <w:r>
              <w:rPr>
                <w:spacing w:val="-2"/>
                <w:sz w:val="20"/>
              </w:rPr>
              <w:t>grados.</w:t>
            </w:r>
          </w:p>
        </w:tc>
        <w:tc>
          <w:tcPr>
            <w:tcW w:w="1457" w:type="dxa"/>
          </w:tcPr>
          <w:p>
            <w:pPr>
              <w:pStyle w:val="TableParagraph"/>
              <w:ind w:left="11" w:right="3"/>
              <w:rPr>
                <w:sz w:val="20"/>
              </w:rPr>
            </w:pPr>
            <w:r>
              <w:rPr>
                <w:sz w:val="20"/>
              </w:rPr>
              <w:t>10</w:t>
            </w:r>
            <w:r>
              <w:rPr>
                <w:spacing w:val="-3"/>
                <w:sz w:val="20"/>
              </w:rPr>
              <w:t> </w:t>
            </w:r>
            <w:r>
              <w:rPr>
                <w:sz w:val="20"/>
              </w:rPr>
              <w:t>a</w:t>
            </w:r>
            <w:r>
              <w:rPr>
                <w:spacing w:val="-1"/>
                <w:sz w:val="20"/>
              </w:rPr>
              <w:t> </w:t>
            </w:r>
            <w:r>
              <w:rPr>
                <w:spacing w:val="-5"/>
                <w:sz w:val="20"/>
              </w:rPr>
              <w:t>20%</w:t>
            </w:r>
          </w:p>
        </w:tc>
      </w:tr>
      <w:tr>
        <w:trPr>
          <w:trHeight w:val="229" w:hRule="atLeast"/>
        </w:trPr>
        <w:tc>
          <w:tcPr>
            <w:tcW w:w="1003" w:type="dxa"/>
          </w:tcPr>
          <w:p>
            <w:pPr>
              <w:pStyle w:val="TableParagraph"/>
              <w:ind w:left="10" w:right="1"/>
              <w:rPr>
                <w:sz w:val="20"/>
              </w:rPr>
            </w:pPr>
            <w:r>
              <w:rPr>
                <w:spacing w:val="-5"/>
                <w:sz w:val="20"/>
              </w:rPr>
              <w:t>217</w:t>
            </w:r>
          </w:p>
        </w:tc>
        <w:tc>
          <w:tcPr>
            <w:tcW w:w="7089" w:type="dxa"/>
          </w:tcPr>
          <w:p>
            <w:pPr>
              <w:pStyle w:val="TableParagraph"/>
              <w:jc w:val="left"/>
              <w:rPr>
                <w:sz w:val="20"/>
              </w:rPr>
            </w:pPr>
            <w:r>
              <w:rPr>
                <w:sz w:val="20"/>
              </w:rPr>
              <w:t>De</w:t>
            </w:r>
            <w:r>
              <w:rPr>
                <w:spacing w:val="-9"/>
                <w:sz w:val="20"/>
              </w:rPr>
              <w:t> </w:t>
            </w:r>
            <w:r>
              <w:rPr>
                <w:sz w:val="20"/>
              </w:rPr>
              <w:t>cualquier</w:t>
            </w:r>
            <w:r>
              <w:rPr>
                <w:spacing w:val="-9"/>
                <w:sz w:val="20"/>
              </w:rPr>
              <w:t> </w:t>
            </w:r>
            <w:r>
              <w:rPr>
                <w:spacing w:val="-4"/>
                <w:sz w:val="20"/>
              </w:rPr>
              <w:t>dedo.</w:t>
            </w:r>
          </w:p>
        </w:tc>
        <w:tc>
          <w:tcPr>
            <w:tcW w:w="1457" w:type="dxa"/>
          </w:tcPr>
          <w:p>
            <w:pPr>
              <w:pStyle w:val="TableParagraph"/>
              <w:ind w:left="11" w:right="1"/>
              <w:rPr>
                <w:sz w:val="20"/>
              </w:rPr>
            </w:pPr>
            <w:r>
              <w:rPr>
                <w:spacing w:val="-5"/>
                <w:sz w:val="20"/>
              </w:rPr>
              <w:t>2%</w:t>
            </w:r>
          </w:p>
        </w:tc>
      </w:tr>
    </w:tbl>
    <w:p>
      <w:pPr>
        <w:pStyle w:val="BodyText"/>
        <w:rPr>
          <w:rFonts w:ascii="Arial"/>
          <w:b/>
        </w:rPr>
      </w:pPr>
    </w:p>
    <w:p>
      <w:pPr>
        <w:spacing w:before="1"/>
        <w:ind w:left="294" w:right="296" w:firstLine="0"/>
        <w:jc w:val="center"/>
        <w:rPr>
          <w:rFonts w:ascii="Arial"/>
          <w:b/>
          <w:sz w:val="20"/>
        </w:rPr>
      </w:pPr>
      <w:r>
        <w:rPr>
          <w:rFonts w:ascii="Arial"/>
          <w:b/>
          <w:spacing w:val="-2"/>
          <w:sz w:val="20"/>
        </w:rPr>
        <w:t>Pseudoartrosis</w:t>
      </w:r>
    </w:p>
    <w:p>
      <w:pPr>
        <w:spacing w:before="228"/>
        <w:ind w:left="293" w:right="296" w:firstLine="0"/>
        <w:jc w:val="center"/>
        <w:rPr>
          <w:rFonts w:ascii="Arial" w:hAnsi="Arial"/>
          <w:b/>
          <w:sz w:val="20"/>
        </w:rPr>
      </w:pPr>
      <w:r>
        <w:rPr>
          <w:rFonts w:ascii="Arial" w:hAnsi="Arial"/>
          <w:b/>
          <w:sz w:val="20"/>
        </w:rPr>
        <w:t>Atrófica,</w:t>
      </w:r>
      <w:r>
        <w:rPr>
          <w:rFonts w:ascii="Arial" w:hAnsi="Arial"/>
          <w:b/>
          <w:spacing w:val="-10"/>
          <w:sz w:val="20"/>
        </w:rPr>
        <w:t> </w:t>
      </w:r>
      <w:r>
        <w:rPr>
          <w:rFonts w:ascii="Arial" w:hAnsi="Arial"/>
          <w:b/>
          <w:sz w:val="20"/>
        </w:rPr>
        <w:t>normotrófica</w:t>
      </w:r>
      <w:r>
        <w:rPr>
          <w:rFonts w:ascii="Arial" w:hAnsi="Arial"/>
          <w:b/>
          <w:spacing w:val="-11"/>
          <w:sz w:val="20"/>
        </w:rPr>
        <w:t> </w:t>
      </w:r>
      <w:r>
        <w:rPr>
          <w:rFonts w:ascii="Arial" w:hAnsi="Arial"/>
          <w:b/>
          <w:sz w:val="20"/>
        </w:rPr>
        <w:t>o</w:t>
      </w:r>
      <w:r>
        <w:rPr>
          <w:rFonts w:ascii="Arial" w:hAnsi="Arial"/>
          <w:b/>
          <w:spacing w:val="-10"/>
          <w:sz w:val="20"/>
        </w:rPr>
        <w:t> </w:t>
      </w:r>
      <w:r>
        <w:rPr>
          <w:rFonts w:ascii="Arial" w:hAnsi="Arial"/>
          <w:b/>
          <w:spacing w:val="-2"/>
          <w:sz w:val="20"/>
        </w:rPr>
        <w:t>hipertrófica</w:t>
      </w:r>
    </w:p>
    <w:p>
      <w:pPr>
        <w:pStyle w:val="BodyText"/>
        <w:spacing w:before="4"/>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3"/>
        <w:gridCol w:w="7089"/>
        <w:gridCol w:w="1457"/>
      </w:tblGrid>
      <w:tr>
        <w:trPr>
          <w:trHeight w:val="460" w:hRule="atLeast"/>
        </w:trPr>
        <w:tc>
          <w:tcPr>
            <w:tcW w:w="1003" w:type="dxa"/>
          </w:tcPr>
          <w:p>
            <w:pPr>
              <w:pStyle w:val="TableParagraph"/>
              <w:spacing w:line="240" w:lineRule="auto" w:before="114"/>
              <w:ind w:left="10" w:right="1"/>
              <w:rPr>
                <w:sz w:val="20"/>
              </w:rPr>
            </w:pPr>
            <w:r>
              <w:rPr>
                <w:spacing w:val="-5"/>
                <w:sz w:val="20"/>
              </w:rPr>
              <w:t>218</w:t>
            </w:r>
          </w:p>
        </w:tc>
        <w:tc>
          <w:tcPr>
            <w:tcW w:w="7089" w:type="dxa"/>
          </w:tcPr>
          <w:p>
            <w:pPr>
              <w:pStyle w:val="TableParagraph"/>
              <w:spacing w:line="230" w:lineRule="exact"/>
              <w:jc w:val="left"/>
              <w:rPr>
                <w:sz w:val="20"/>
              </w:rPr>
            </w:pPr>
            <w:r>
              <w:rPr>
                <w:sz w:val="20"/>
              </w:rPr>
              <w:t>De</w:t>
            </w:r>
            <w:r>
              <w:rPr>
                <w:spacing w:val="-2"/>
                <w:sz w:val="20"/>
              </w:rPr>
              <w:t> </w:t>
            </w:r>
            <w:r>
              <w:rPr>
                <w:sz w:val="20"/>
              </w:rPr>
              <w:t>la</w:t>
            </w:r>
            <w:r>
              <w:rPr>
                <w:spacing w:val="-2"/>
                <w:sz w:val="20"/>
              </w:rPr>
              <w:t> </w:t>
            </w:r>
            <w:r>
              <w:rPr>
                <w:sz w:val="20"/>
              </w:rPr>
              <w:t>cadera,</w:t>
            </w:r>
            <w:r>
              <w:rPr>
                <w:spacing w:val="-1"/>
                <w:sz w:val="20"/>
              </w:rPr>
              <w:t> </w:t>
            </w:r>
            <w:r>
              <w:rPr>
                <w:sz w:val="20"/>
              </w:rPr>
              <w:t>consecutiva a</w:t>
            </w:r>
            <w:r>
              <w:rPr>
                <w:spacing w:val="-2"/>
                <w:sz w:val="20"/>
              </w:rPr>
              <w:t> </w:t>
            </w:r>
            <w:r>
              <w:rPr>
                <w:sz w:val="20"/>
              </w:rPr>
              <w:t>resecciones</w:t>
            </w:r>
            <w:r>
              <w:rPr>
                <w:spacing w:val="-1"/>
                <w:sz w:val="20"/>
              </w:rPr>
              <w:t> </w:t>
            </w:r>
            <w:r>
              <w:rPr>
                <w:sz w:val="20"/>
              </w:rPr>
              <w:t>amplias</w:t>
            </w:r>
            <w:r>
              <w:rPr>
                <w:spacing w:val="-1"/>
                <w:sz w:val="20"/>
              </w:rPr>
              <w:t> </w:t>
            </w:r>
            <w:r>
              <w:rPr>
                <w:sz w:val="20"/>
              </w:rPr>
              <w:t>con pérdida</w:t>
            </w:r>
            <w:r>
              <w:rPr>
                <w:spacing w:val="-2"/>
                <w:sz w:val="20"/>
              </w:rPr>
              <w:t> </w:t>
            </w:r>
            <w:r>
              <w:rPr>
                <w:sz w:val="20"/>
              </w:rPr>
              <w:t>considerable</w:t>
            </w:r>
            <w:r>
              <w:rPr>
                <w:spacing w:val="-2"/>
                <w:sz w:val="20"/>
              </w:rPr>
              <w:t> </w:t>
            </w:r>
            <w:r>
              <w:rPr>
                <w:sz w:val="20"/>
              </w:rPr>
              <w:t>de substancia ósea.</w:t>
            </w:r>
          </w:p>
        </w:tc>
        <w:tc>
          <w:tcPr>
            <w:tcW w:w="1457" w:type="dxa"/>
          </w:tcPr>
          <w:p>
            <w:pPr>
              <w:pStyle w:val="TableParagraph"/>
              <w:spacing w:line="240" w:lineRule="auto" w:before="114"/>
              <w:ind w:left="11" w:right="3"/>
              <w:rPr>
                <w:sz w:val="20"/>
              </w:rPr>
            </w:pPr>
            <w:r>
              <w:rPr>
                <w:sz w:val="20"/>
              </w:rPr>
              <w:t>50</w:t>
            </w:r>
            <w:r>
              <w:rPr>
                <w:spacing w:val="-3"/>
                <w:sz w:val="20"/>
              </w:rPr>
              <w:t> </w:t>
            </w:r>
            <w:r>
              <w:rPr>
                <w:sz w:val="20"/>
              </w:rPr>
              <w:t>a</w:t>
            </w:r>
            <w:r>
              <w:rPr>
                <w:spacing w:val="-1"/>
                <w:sz w:val="20"/>
              </w:rPr>
              <w:t> </w:t>
            </w:r>
            <w:r>
              <w:rPr>
                <w:spacing w:val="-5"/>
                <w:sz w:val="20"/>
              </w:rPr>
              <w:t>70%</w:t>
            </w:r>
          </w:p>
        </w:tc>
      </w:tr>
      <w:tr>
        <w:trPr>
          <w:trHeight w:val="229" w:hRule="atLeast"/>
        </w:trPr>
        <w:tc>
          <w:tcPr>
            <w:tcW w:w="1003" w:type="dxa"/>
          </w:tcPr>
          <w:p>
            <w:pPr>
              <w:pStyle w:val="TableParagraph"/>
              <w:ind w:left="10" w:right="1"/>
              <w:rPr>
                <w:sz w:val="20"/>
              </w:rPr>
            </w:pPr>
            <w:r>
              <w:rPr>
                <w:spacing w:val="-5"/>
                <w:sz w:val="20"/>
              </w:rPr>
              <w:t>219</w:t>
            </w:r>
          </w:p>
        </w:tc>
        <w:tc>
          <w:tcPr>
            <w:tcW w:w="7089" w:type="dxa"/>
          </w:tcPr>
          <w:p>
            <w:pPr>
              <w:pStyle w:val="TableParagraph"/>
              <w:jc w:val="left"/>
              <w:rPr>
                <w:sz w:val="20"/>
              </w:rPr>
            </w:pPr>
            <w:r>
              <w:rPr>
                <w:sz w:val="20"/>
              </w:rPr>
              <w:t>Del</w:t>
            </w:r>
            <w:r>
              <w:rPr>
                <w:spacing w:val="-9"/>
                <w:sz w:val="20"/>
              </w:rPr>
              <w:t> </w:t>
            </w:r>
            <w:r>
              <w:rPr>
                <w:spacing w:val="-2"/>
                <w:sz w:val="20"/>
              </w:rPr>
              <w:t>fémur.</w:t>
            </w:r>
          </w:p>
        </w:tc>
        <w:tc>
          <w:tcPr>
            <w:tcW w:w="1457" w:type="dxa"/>
          </w:tcPr>
          <w:p>
            <w:pPr>
              <w:pStyle w:val="TableParagraph"/>
              <w:ind w:left="11" w:right="3"/>
              <w:rPr>
                <w:sz w:val="20"/>
              </w:rPr>
            </w:pPr>
            <w:r>
              <w:rPr>
                <w:sz w:val="20"/>
              </w:rPr>
              <w:t>40</w:t>
            </w:r>
            <w:r>
              <w:rPr>
                <w:spacing w:val="-3"/>
                <w:sz w:val="20"/>
              </w:rPr>
              <w:t> </w:t>
            </w:r>
            <w:r>
              <w:rPr>
                <w:sz w:val="20"/>
              </w:rPr>
              <w:t>a</w:t>
            </w:r>
            <w:r>
              <w:rPr>
                <w:spacing w:val="-1"/>
                <w:sz w:val="20"/>
              </w:rPr>
              <w:t> </w:t>
            </w:r>
            <w:r>
              <w:rPr>
                <w:spacing w:val="-5"/>
                <w:sz w:val="20"/>
              </w:rPr>
              <w:t>60%</w:t>
            </w:r>
          </w:p>
        </w:tc>
      </w:tr>
      <w:tr>
        <w:trPr>
          <w:trHeight w:val="229" w:hRule="atLeast"/>
        </w:trPr>
        <w:tc>
          <w:tcPr>
            <w:tcW w:w="1003" w:type="dxa"/>
          </w:tcPr>
          <w:p>
            <w:pPr>
              <w:pStyle w:val="TableParagraph"/>
              <w:ind w:left="10" w:right="1"/>
              <w:rPr>
                <w:sz w:val="20"/>
              </w:rPr>
            </w:pPr>
            <w:r>
              <w:rPr>
                <w:spacing w:val="-5"/>
                <w:sz w:val="20"/>
              </w:rPr>
              <w:t>220</w:t>
            </w:r>
          </w:p>
        </w:tc>
        <w:tc>
          <w:tcPr>
            <w:tcW w:w="7089" w:type="dxa"/>
          </w:tcPr>
          <w:p>
            <w:pPr>
              <w:pStyle w:val="TableParagraph"/>
              <w:jc w:val="left"/>
              <w:rPr>
                <w:sz w:val="20"/>
              </w:rPr>
            </w:pPr>
            <w:r>
              <w:rPr>
                <w:sz w:val="20"/>
              </w:rPr>
              <w:t>De</w:t>
            </w:r>
            <w:r>
              <w:rPr>
                <w:spacing w:val="-7"/>
                <w:sz w:val="20"/>
              </w:rPr>
              <w:t> </w:t>
            </w:r>
            <w:r>
              <w:rPr>
                <w:sz w:val="20"/>
              </w:rPr>
              <w:t>la</w:t>
            </w:r>
            <w:r>
              <w:rPr>
                <w:spacing w:val="-7"/>
                <w:sz w:val="20"/>
              </w:rPr>
              <w:t> </w:t>
            </w:r>
            <w:r>
              <w:rPr>
                <w:sz w:val="20"/>
              </w:rPr>
              <w:t>rodilla</w:t>
            </w:r>
            <w:r>
              <w:rPr>
                <w:spacing w:val="-7"/>
                <w:sz w:val="20"/>
              </w:rPr>
              <w:t> </w:t>
            </w:r>
            <w:r>
              <w:rPr>
                <w:sz w:val="20"/>
              </w:rPr>
              <w:t>con</w:t>
            </w:r>
            <w:r>
              <w:rPr>
                <w:spacing w:val="-7"/>
                <w:sz w:val="20"/>
              </w:rPr>
              <w:t> </w:t>
            </w:r>
            <w:r>
              <w:rPr>
                <w:sz w:val="20"/>
              </w:rPr>
              <w:t>pierna</w:t>
            </w:r>
            <w:r>
              <w:rPr>
                <w:spacing w:val="-5"/>
                <w:sz w:val="20"/>
              </w:rPr>
              <w:t> </w:t>
            </w:r>
            <w:r>
              <w:rPr>
                <w:sz w:val="20"/>
              </w:rPr>
              <w:t>en</w:t>
            </w:r>
            <w:r>
              <w:rPr>
                <w:spacing w:val="-5"/>
                <w:sz w:val="20"/>
              </w:rPr>
              <w:t> </w:t>
            </w:r>
            <w:r>
              <w:rPr>
                <w:sz w:val="20"/>
              </w:rPr>
              <w:t>péndulo</w:t>
            </w:r>
            <w:r>
              <w:rPr>
                <w:spacing w:val="-7"/>
                <w:sz w:val="20"/>
              </w:rPr>
              <w:t> </w:t>
            </w:r>
            <w:r>
              <w:rPr>
                <w:sz w:val="20"/>
              </w:rPr>
              <w:t>(consecutiva</w:t>
            </w:r>
            <w:r>
              <w:rPr>
                <w:spacing w:val="-7"/>
                <w:sz w:val="20"/>
              </w:rPr>
              <w:t> </w:t>
            </w:r>
            <w:r>
              <w:rPr>
                <w:sz w:val="20"/>
              </w:rPr>
              <w:t>a</w:t>
            </w:r>
            <w:r>
              <w:rPr>
                <w:spacing w:val="-8"/>
                <w:sz w:val="20"/>
              </w:rPr>
              <w:t> </w:t>
            </w:r>
            <w:r>
              <w:rPr>
                <w:sz w:val="20"/>
              </w:rPr>
              <w:t>resecciones</w:t>
            </w:r>
            <w:r>
              <w:rPr>
                <w:spacing w:val="-6"/>
                <w:sz w:val="20"/>
              </w:rPr>
              <w:t> </w:t>
            </w:r>
            <w:r>
              <w:rPr>
                <w:sz w:val="20"/>
              </w:rPr>
              <w:t>de</w:t>
            </w:r>
            <w:r>
              <w:rPr>
                <w:spacing w:val="-6"/>
                <w:sz w:val="20"/>
              </w:rPr>
              <w:t> </w:t>
            </w:r>
            <w:r>
              <w:rPr>
                <w:spacing w:val="-2"/>
                <w:sz w:val="20"/>
              </w:rPr>
              <w:t>rodilla).</w:t>
            </w:r>
          </w:p>
        </w:tc>
        <w:tc>
          <w:tcPr>
            <w:tcW w:w="1457" w:type="dxa"/>
          </w:tcPr>
          <w:p>
            <w:pPr>
              <w:pStyle w:val="TableParagraph"/>
              <w:ind w:left="11" w:right="3"/>
              <w:rPr>
                <w:sz w:val="20"/>
              </w:rPr>
            </w:pPr>
            <w:r>
              <w:rPr>
                <w:sz w:val="20"/>
              </w:rPr>
              <w:t>40</w:t>
            </w:r>
            <w:r>
              <w:rPr>
                <w:spacing w:val="-3"/>
                <w:sz w:val="20"/>
              </w:rPr>
              <w:t> </w:t>
            </w:r>
            <w:r>
              <w:rPr>
                <w:sz w:val="20"/>
              </w:rPr>
              <w:t>a</w:t>
            </w:r>
            <w:r>
              <w:rPr>
                <w:spacing w:val="-1"/>
                <w:sz w:val="20"/>
              </w:rPr>
              <w:t> </w:t>
            </w:r>
            <w:r>
              <w:rPr>
                <w:spacing w:val="-5"/>
                <w:sz w:val="20"/>
              </w:rPr>
              <w:t>60%</w:t>
            </w:r>
          </w:p>
        </w:tc>
      </w:tr>
      <w:tr>
        <w:trPr>
          <w:trHeight w:val="229" w:hRule="atLeast"/>
        </w:trPr>
        <w:tc>
          <w:tcPr>
            <w:tcW w:w="1003" w:type="dxa"/>
          </w:tcPr>
          <w:p>
            <w:pPr>
              <w:pStyle w:val="TableParagraph"/>
              <w:ind w:left="10" w:right="1"/>
              <w:rPr>
                <w:sz w:val="20"/>
              </w:rPr>
            </w:pPr>
            <w:r>
              <w:rPr>
                <w:spacing w:val="-5"/>
                <w:sz w:val="20"/>
              </w:rPr>
              <w:t>221</w:t>
            </w:r>
          </w:p>
        </w:tc>
        <w:tc>
          <w:tcPr>
            <w:tcW w:w="7089" w:type="dxa"/>
          </w:tcPr>
          <w:p>
            <w:pPr>
              <w:pStyle w:val="TableParagraph"/>
              <w:jc w:val="left"/>
              <w:rPr>
                <w:sz w:val="20"/>
              </w:rPr>
            </w:pPr>
            <w:r>
              <w:rPr>
                <w:sz w:val="20"/>
              </w:rPr>
              <w:t>De</w:t>
            </w:r>
            <w:r>
              <w:rPr>
                <w:spacing w:val="-6"/>
                <w:sz w:val="20"/>
              </w:rPr>
              <w:t> </w:t>
            </w:r>
            <w:r>
              <w:rPr>
                <w:sz w:val="20"/>
              </w:rPr>
              <w:t>la</w:t>
            </w:r>
            <w:r>
              <w:rPr>
                <w:spacing w:val="-6"/>
                <w:sz w:val="20"/>
              </w:rPr>
              <w:t> </w:t>
            </w:r>
            <w:r>
              <w:rPr>
                <w:sz w:val="20"/>
              </w:rPr>
              <w:t>rótula</w:t>
            </w:r>
            <w:r>
              <w:rPr>
                <w:spacing w:val="-5"/>
                <w:sz w:val="20"/>
              </w:rPr>
              <w:t> </w:t>
            </w:r>
            <w:r>
              <w:rPr>
                <w:sz w:val="20"/>
              </w:rPr>
              <w:t>con</w:t>
            </w:r>
            <w:r>
              <w:rPr>
                <w:spacing w:val="-6"/>
                <w:sz w:val="20"/>
              </w:rPr>
              <w:t> </w:t>
            </w:r>
            <w:r>
              <w:rPr>
                <w:sz w:val="20"/>
              </w:rPr>
              <w:t>extensión</w:t>
            </w:r>
            <w:r>
              <w:rPr>
                <w:spacing w:val="-4"/>
                <w:sz w:val="20"/>
              </w:rPr>
              <w:t> </w:t>
            </w:r>
            <w:r>
              <w:rPr>
                <w:sz w:val="20"/>
              </w:rPr>
              <w:t>completa</w:t>
            </w:r>
            <w:r>
              <w:rPr>
                <w:spacing w:val="-2"/>
                <w:sz w:val="20"/>
              </w:rPr>
              <w:t> </w:t>
            </w:r>
            <w:r>
              <w:rPr>
                <w:sz w:val="20"/>
              </w:rPr>
              <w:t>y</w:t>
            </w:r>
            <w:r>
              <w:rPr>
                <w:spacing w:val="-8"/>
                <w:sz w:val="20"/>
              </w:rPr>
              <w:t> </w:t>
            </w:r>
            <w:r>
              <w:rPr>
                <w:sz w:val="20"/>
              </w:rPr>
              <w:t>flexión</w:t>
            </w:r>
            <w:r>
              <w:rPr>
                <w:spacing w:val="-7"/>
                <w:sz w:val="20"/>
              </w:rPr>
              <w:t> </w:t>
            </w:r>
            <w:r>
              <w:rPr>
                <w:sz w:val="20"/>
              </w:rPr>
              <w:t>menor</w:t>
            </w:r>
            <w:r>
              <w:rPr>
                <w:spacing w:val="-6"/>
                <w:sz w:val="20"/>
              </w:rPr>
              <w:t> </w:t>
            </w:r>
            <w:r>
              <w:rPr>
                <w:sz w:val="20"/>
              </w:rPr>
              <w:t>o</w:t>
            </w:r>
            <w:r>
              <w:rPr>
                <w:spacing w:val="-3"/>
                <w:sz w:val="20"/>
              </w:rPr>
              <w:t> </w:t>
            </w:r>
            <w:r>
              <w:rPr>
                <w:sz w:val="20"/>
              </w:rPr>
              <w:t>igual</w:t>
            </w:r>
            <w:r>
              <w:rPr>
                <w:spacing w:val="-5"/>
                <w:sz w:val="20"/>
              </w:rPr>
              <w:t> </w:t>
            </w:r>
            <w:r>
              <w:rPr>
                <w:sz w:val="20"/>
              </w:rPr>
              <w:t>a</w:t>
            </w:r>
            <w:r>
              <w:rPr>
                <w:spacing w:val="-6"/>
                <w:sz w:val="20"/>
              </w:rPr>
              <w:t> </w:t>
            </w:r>
            <w:r>
              <w:rPr>
                <w:sz w:val="20"/>
              </w:rPr>
              <w:t>90</w:t>
            </w:r>
            <w:r>
              <w:rPr>
                <w:spacing w:val="-4"/>
                <w:sz w:val="20"/>
              </w:rPr>
              <w:t> </w:t>
            </w:r>
            <w:r>
              <w:rPr>
                <w:spacing w:val="-2"/>
                <w:sz w:val="20"/>
              </w:rPr>
              <w:t>grados.</w:t>
            </w:r>
          </w:p>
        </w:tc>
        <w:tc>
          <w:tcPr>
            <w:tcW w:w="1457" w:type="dxa"/>
          </w:tcPr>
          <w:p>
            <w:pPr>
              <w:pStyle w:val="TableParagraph"/>
              <w:ind w:left="11" w:right="1"/>
              <w:rPr>
                <w:sz w:val="20"/>
              </w:rPr>
            </w:pPr>
            <w:r>
              <w:rPr>
                <w:spacing w:val="-5"/>
                <w:sz w:val="20"/>
              </w:rPr>
              <w:t>15%</w:t>
            </w:r>
          </w:p>
        </w:tc>
      </w:tr>
      <w:tr>
        <w:trPr>
          <w:trHeight w:val="229" w:hRule="atLeast"/>
        </w:trPr>
        <w:tc>
          <w:tcPr>
            <w:tcW w:w="1003" w:type="dxa"/>
          </w:tcPr>
          <w:p>
            <w:pPr>
              <w:pStyle w:val="TableParagraph"/>
              <w:ind w:left="10" w:right="1"/>
              <w:rPr>
                <w:sz w:val="20"/>
              </w:rPr>
            </w:pPr>
            <w:r>
              <w:rPr>
                <w:spacing w:val="-5"/>
                <w:sz w:val="20"/>
              </w:rPr>
              <w:t>222</w:t>
            </w:r>
          </w:p>
        </w:tc>
        <w:tc>
          <w:tcPr>
            <w:tcW w:w="7089" w:type="dxa"/>
          </w:tcPr>
          <w:p>
            <w:pPr>
              <w:pStyle w:val="TableParagraph"/>
              <w:jc w:val="left"/>
              <w:rPr>
                <w:sz w:val="20"/>
              </w:rPr>
            </w:pPr>
            <w:r>
              <w:rPr>
                <w:sz w:val="20"/>
              </w:rPr>
              <w:t>De</w:t>
            </w:r>
            <w:r>
              <w:rPr>
                <w:spacing w:val="-6"/>
                <w:sz w:val="20"/>
              </w:rPr>
              <w:t> </w:t>
            </w:r>
            <w:r>
              <w:rPr>
                <w:sz w:val="20"/>
              </w:rPr>
              <w:t>la</w:t>
            </w:r>
            <w:r>
              <w:rPr>
                <w:spacing w:val="-6"/>
                <w:sz w:val="20"/>
              </w:rPr>
              <w:t> </w:t>
            </w:r>
            <w:r>
              <w:rPr>
                <w:sz w:val="20"/>
              </w:rPr>
              <w:t>rótula</w:t>
            </w:r>
            <w:r>
              <w:rPr>
                <w:spacing w:val="-6"/>
                <w:sz w:val="20"/>
              </w:rPr>
              <w:t> </w:t>
            </w:r>
            <w:r>
              <w:rPr>
                <w:sz w:val="20"/>
              </w:rPr>
              <w:t>con</w:t>
            </w:r>
            <w:r>
              <w:rPr>
                <w:spacing w:val="-5"/>
                <w:sz w:val="20"/>
              </w:rPr>
              <w:t> </w:t>
            </w:r>
            <w:r>
              <w:rPr>
                <w:sz w:val="20"/>
              </w:rPr>
              <w:t>extensión</w:t>
            </w:r>
            <w:r>
              <w:rPr>
                <w:spacing w:val="-6"/>
                <w:sz w:val="20"/>
              </w:rPr>
              <w:t> </w:t>
            </w:r>
            <w:r>
              <w:rPr>
                <w:sz w:val="20"/>
              </w:rPr>
              <w:t>incompleta</w:t>
            </w:r>
            <w:r>
              <w:rPr>
                <w:spacing w:val="-5"/>
                <w:sz w:val="20"/>
              </w:rPr>
              <w:t> </w:t>
            </w:r>
            <w:r>
              <w:rPr>
                <w:sz w:val="20"/>
              </w:rPr>
              <w:t>y</w:t>
            </w:r>
            <w:r>
              <w:rPr>
                <w:spacing w:val="-8"/>
                <w:sz w:val="20"/>
              </w:rPr>
              <w:t> </w:t>
            </w:r>
            <w:r>
              <w:rPr>
                <w:sz w:val="20"/>
              </w:rPr>
              <w:t>flexión</w:t>
            </w:r>
            <w:r>
              <w:rPr>
                <w:spacing w:val="-4"/>
                <w:sz w:val="20"/>
              </w:rPr>
              <w:t> </w:t>
            </w:r>
            <w:r>
              <w:rPr>
                <w:sz w:val="20"/>
              </w:rPr>
              <w:t>mayor</w:t>
            </w:r>
            <w:r>
              <w:rPr>
                <w:spacing w:val="-3"/>
                <w:sz w:val="20"/>
              </w:rPr>
              <w:t> </w:t>
            </w:r>
            <w:r>
              <w:rPr>
                <w:sz w:val="20"/>
              </w:rPr>
              <w:t>o</w:t>
            </w:r>
            <w:r>
              <w:rPr>
                <w:spacing w:val="-6"/>
                <w:sz w:val="20"/>
              </w:rPr>
              <w:t> </w:t>
            </w:r>
            <w:r>
              <w:rPr>
                <w:sz w:val="20"/>
              </w:rPr>
              <w:t>igual</w:t>
            </w:r>
            <w:r>
              <w:rPr>
                <w:spacing w:val="-6"/>
                <w:sz w:val="20"/>
              </w:rPr>
              <w:t> </w:t>
            </w:r>
            <w:r>
              <w:rPr>
                <w:sz w:val="20"/>
              </w:rPr>
              <w:t>a</w:t>
            </w:r>
            <w:r>
              <w:rPr>
                <w:spacing w:val="-4"/>
                <w:sz w:val="20"/>
              </w:rPr>
              <w:t> </w:t>
            </w:r>
            <w:r>
              <w:rPr>
                <w:sz w:val="20"/>
              </w:rPr>
              <w:t>90</w:t>
            </w:r>
            <w:r>
              <w:rPr>
                <w:spacing w:val="-6"/>
                <w:sz w:val="20"/>
              </w:rPr>
              <w:t> </w:t>
            </w:r>
            <w:r>
              <w:rPr>
                <w:spacing w:val="-2"/>
                <w:sz w:val="20"/>
              </w:rPr>
              <w:t>grados.</w:t>
            </w:r>
          </w:p>
        </w:tc>
        <w:tc>
          <w:tcPr>
            <w:tcW w:w="1457" w:type="dxa"/>
          </w:tcPr>
          <w:p>
            <w:pPr>
              <w:pStyle w:val="TableParagraph"/>
              <w:ind w:left="11" w:right="1"/>
              <w:rPr>
                <w:sz w:val="20"/>
              </w:rPr>
            </w:pPr>
            <w:r>
              <w:rPr>
                <w:spacing w:val="-5"/>
                <w:sz w:val="20"/>
              </w:rPr>
              <w:t>20%</w:t>
            </w:r>
          </w:p>
        </w:tc>
      </w:tr>
      <w:tr>
        <w:trPr>
          <w:trHeight w:val="229" w:hRule="atLeast"/>
        </w:trPr>
        <w:tc>
          <w:tcPr>
            <w:tcW w:w="1003" w:type="dxa"/>
          </w:tcPr>
          <w:p>
            <w:pPr>
              <w:pStyle w:val="TableParagraph"/>
              <w:ind w:left="10" w:right="1"/>
              <w:rPr>
                <w:sz w:val="20"/>
              </w:rPr>
            </w:pPr>
            <w:r>
              <w:rPr>
                <w:spacing w:val="-5"/>
                <w:sz w:val="20"/>
              </w:rPr>
              <w:t>223</w:t>
            </w:r>
          </w:p>
        </w:tc>
        <w:tc>
          <w:tcPr>
            <w:tcW w:w="7089" w:type="dxa"/>
          </w:tcPr>
          <w:p>
            <w:pPr>
              <w:pStyle w:val="TableParagraph"/>
              <w:jc w:val="left"/>
              <w:rPr>
                <w:sz w:val="20"/>
              </w:rPr>
            </w:pPr>
            <w:r>
              <w:rPr>
                <w:sz w:val="20"/>
              </w:rPr>
              <w:t>De</w:t>
            </w:r>
            <w:r>
              <w:rPr>
                <w:spacing w:val="-6"/>
                <w:sz w:val="20"/>
              </w:rPr>
              <w:t> </w:t>
            </w:r>
            <w:r>
              <w:rPr>
                <w:sz w:val="20"/>
              </w:rPr>
              <w:t>la</w:t>
            </w:r>
            <w:r>
              <w:rPr>
                <w:spacing w:val="-6"/>
                <w:sz w:val="20"/>
              </w:rPr>
              <w:t> </w:t>
            </w:r>
            <w:r>
              <w:rPr>
                <w:sz w:val="20"/>
              </w:rPr>
              <w:t>rótula</w:t>
            </w:r>
            <w:r>
              <w:rPr>
                <w:spacing w:val="-5"/>
                <w:sz w:val="20"/>
              </w:rPr>
              <w:t> </w:t>
            </w:r>
            <w:r>
              <w:rPr>
                <w:sz w:val="20"/>
              </w:rPr>
              <w:t>con</w:t>
            </w:r>
            <w:r>
              <w:rPr>
                <w:spacing w:val="-6"/>
                <w:sz w:val="20"/>
              </w:rPr>
              <w:t> </w:t>
            </w:r>
            <w:r>
              <w:rPr>
                <w:sz w:val="20"/>
              </w:rPr>
              <w:t>extensión</w:t>
            </w:r>
            <w:r>
              <w:rPr>
                <w:spacing w:val="-6"/>
                <w:sz w:val="20"/>
              </w:rPr>
              <w:t> </w:t>
            </w:r>
            <w:r>
              <w:rPr>
                <w:sz w:val="20"/>
              </w:rPr>
              <w:t>incompleta</w:t>
            </w:r>
            <w:r>
              <w:rPr>
                <w:spacing w:val="-5"/>
                <w:sz w:val="20"/>
              </w:rPr>
              <w:t> </w:t>
            </w:r>
            <w:r>
              <w:rPr>
                <w:sz w:val="20"/>
              </w:rPr>
              <w:t>y</w:t>
            </w:r>
            <w:r>
              <w:rPr>
                <w:spacing w:val="-8"/>
                <w:sz w:val="20"/>
              </w:rPr>
              <w:t> </w:t>
            </w:r>
            <w:r>
              <w:rPr>
                <w:sz w:val="20"/>
              </w:rPr>
              <w:t>flexión</w:t>
            </w:r>
            <w:r>
              <w:rPr>
                <w:spacing w:val="-4"/>
                <w:sz w:val="20"/>
              </w:rPr>
              <w:t> </w:t>
            </w:r>
            <w:r>
              <w:rPr>
                <w:sz w:val="20"/>
              </w:rPr>
              <w:t>menor</w:t>
            </w:r>
            <w:r>
              <w:rPr>
                <w:spacing w:val="-5"/>
                <w:sz w:val="20"/>
              </w:rPr>
              <w:t> </w:t>
            </w:r>
            <w:r>
              <w:rPr>
                <w:sz w:val="20"/>
              </w:rPr>
              <w:t>a</w:t>
            </w:r>
            <w:r>
              <w:rPr>
                <w:spacing w:val="-6"/>
                <w:sz w:val="20"/>
              </w:rPr>
              <w:t> </w:t>
            </w:r>
            <w:r>
              <w:rPr>
                <w:sz w:val="20"/>
              </w:rPr>
              <w:t>90</w:t>
            </w:r>
            <w:r>
              <w:rPr>
                <w:spacing w:val="-5"/>
                <w:sz w:val="20"/>
              </w:rPr>
              <w:t> </w:t>
            </w:r>
            <w:r>
              <w:rPr>
                <w:spacing w:val="-2"/>
                <w:sz w:val="20"/>
              </w:rPr>
              <w:t>grados.</w:t>
            </w:r>
          </w:p>
        </w:tc>
        <w:tc>
          <w:tcPr>
            <w:tcW w:w="1457" w:type="dxa"/>
          </w:tcPr>
          <w:p>
            <w:pPr>
              <w:pStyle w:val="TableParagraph"/>
              <w:ind w:left="11" w:right="1"/>
              <w:rPr>
                <w:sz w:val="20"/>
              </w:rPr>
            </w:pPr>
            <w:r>
              <w:rPr>
                <w:spacing w:val="-5"/>
                <w:sz w:val="20"/>
              </w:rPr>
              <w:t>40%</w:t>
            </w:r>
          </w:p>
        </w:tc>
      </w:tr>
      <w:tr>
        <w:trPr>
          <w:trHeight w:val="229" w:hRule="atLeast"/>
        </w:trPr>
        <w:tc>
          <w:tcPr>
            <w:tcW w:w="1003" w:type="dxa"/>
          </w:tcPr>
          <w:p>
            <w:pPr>
              <w:pStyle w:val="TableParagraph"/>
              <w:ind w:left="10" w:right="1"/>
              <w:rPr>
                <w:sz w:val="20"/>
              </w:rPr>
            </w:pPr>
            <w:r>
              <w:rPr>
                <w:spacing w:val="-5"/>
                <w:sz w:val="20"/>
              </w:rPr>
              <w:t>224</w:t>
            </w:r>
          </w:p>
        </w:tc>
        <w:tc>
          <w:tcPr>
            <w:tcW w:w="7089" w:type="dxa"/>
          </w:tcPr>
          <w:p>
            <w:pPr>
              <w:pStyle w:val="TableParagraph"/>
              <w:jc w:val="left"/>
              <w:rPr>
                <w:sz w:val="20"/>
              </w:rPr>
            </w:pPr>
            <w:r>
              <w:rPr>
                <w:sz w:val="20"/>
              </w:rPr>
              <w:t>De</w:t>
            </w:r>
            <w:r>
              <w:rPr>
                <w:spacing w:val="-4"/>
                <w:sz w:val="20"/>
              </w:rPr>
              <w:t> </w:t>
            </w:r>
            <w:r>
              <w:rPr>
                <w:sz w:val="20"/>
              </w:rPr>
              <w:t>la</w:t>
            </w:r>
            <w:r>
              <w:rPr>
                <w:spacing w:val="-4"/>
                <w:sz w:val="20"/>
              </w:rPr>
              <w:t> </w:t>
            </w:r>
            <w:r>
              <w:rPr>
                <w:sz w:val="20"/>
              </w:rPr>
              <w:t>tibia</w:t>
            </w:r>
            <w:r>
              <w:rPr>
                <w:spacing w:val="-2"/>
                <w:sz w:val="20"/>
              </w:rPr>
              <w:t> </w:t>
            </w:r>
            <w:r>
              <w:rPr>
                <w:sz w:val="20"/>
              </w:rPr>
              <w:t>y</w:t>
            </w:r>
            <w:r>
              <w:rPr>
                <w:spacing w:val="-4"/>
                <w:sz w:val="20"/>
              </w:rPr>
              <w:t> </w:t>
            </w:r>
            <w:r>
              <w:rPr>
                <w:sz w:val="20"/>
              </w:rPr>
              <w:t>el</w:t>
            </w:r>
            <w:r>
              <w:rPr>
                <w:spacing w:val="-3"/>
                <w:sz w:val="20"/>
              </w:rPr>
              <w:t> </w:t>
            </w:r>
            <w:r>
              <w:rPr>
                <w:spacing w:val="-2"/>
                <w:sz w:val="20"/>
              </w:rPr>
              <w:t>peroné.</w:t>
            </w:r>
          </w:p>
        </w:tc>
        <w:tc>
          <w:tcPr>
            <w:tcW w:w="1457" w:type="dxa"/>
          </w:tcPr>
          <w:p>
            <w:pPr>
              <w:pStyle w:val="TableParagraph"/>
              <w:ind w:left="11" w:right="3"/>
              <w:rPr>
                <w:sz w:val="20"/>
              </w:rPr>
            </w:pPr>
            <w:r>
              <w:rPr>
                <w:sz w:val="20"/>
              </w:rPr>
              <w:t>40</w:t>
            </w:r>
            <w:r>
              <w:rPr>
                <w:spacing w:val="-3"/>
                <w:sz w:val="20"/>
              </w:rPr>
              <w:t> </w:t>
            </w:r>
            <w:r>
              <w:rPr>
                <w:sz w:val="20"/>
              </w:rPr>
              <w:t>a</w:t>
            </w:r>
            <w:r>
              <w:rPr>
                <w:spacing w:val="-1"/>
                <w:sz w:val="20"/>
              </w:rPr>
              <w:t> </w:t>
            </w:r>
            <w:r>
              <w:rPr>
                <w:spacing w:val="-5"/>
                <w:sz w:val="20"/>
              </w:rPr>
              <w:t>60%</w:t>
            </w:r>
          </w:p>
        </w:tc>
      </w:tr>
      <w:tr>
        <w:trPr>
          <w:trHeight w:val="229" w:hRule="atLeast"/>
        </w:trPr>
        <w:tc>
          <w:tcPr>
            <w:tcW w:w="1003" w:type="dxa"/>
          </w:tcPr>
          <w:p>
            <w:pPr>
              <w:pStyle w:val="TableParagraph"/>
              <w:ind w:left="10" w:right="1"/>
              <w:rPr>
                <w:sz w:val="20"/>
              </w:rPr>
            </w:pPr>
            <w:r>
              <w:rPr>
                <w:spacing w:val="-5"/>
                <w:sz w:val="20"/>
              </w:rPr>
              <w:t>225</w:t>
            </w:r>
          </w:p>
        </w:tc>
        <w:tc>
          <w:tcPr>
            <w:tcW w:w="7089" w:type="dxa"/>
          </w:tcPr>
          <w:p>
            <w:pPr>
              <w:pStyle w:val="TableParagraph"/>
              <w:jc w:val="left"/>
              <w:rPr>
                <w:sz w:val="20"/>
              </w:rPr>
            </w:pPr>
            <w:r>
              <w:rPr>
                <w:sz w:val="20"/>
              </w:rPr>
              <w:t>De</w:t>
            </w:r>
            <w:r>
              <w:rPr>
                <w:spacing w:val="-5"/>
                <w:sz w:val="20"/>
              </w:rPr>
              <w:t> </w:t>
            </w:r>
            <w:r>
              <w:rPr>
                <w:sz w:val="20"/>
              </w:rPr>
              <w:t>la</w:t>
            </w:r>
            <w:r>
              <w:rPr>
                <w:spacing w:val="-4"/>
                <w:sz w:val="20"/>
              </w:rPr>
              <w:t> </w:t>
            </w:r>
            <w:r>
              <w:rPr>
                <w:sz w:val="20"/>
              </w:rPr>
              <w:t>tibia</w:t>
            </w:r>
            <w:r>
              <w:rPr>
                <w:spacing w:val="-4"/>
                <w:sz w:val="20"/>
              </w:rPr>
              <w:t> sola.</w:t>
            </w:r>
          </w:p>
        </w:tc>
        <w:tc>
          <w:tcPr>
            <w:tcW w:w="1457" w:type="dxa"/>
          </w:tcPr>
          <w:p>
            <w:pPr>
              <w:pStyle w:val="TableParagraph"/>
              <w:ind w:left="11" w:right="3"/>
              <w:rPr>
                <w:sz w:val="20"/>
              </w:rPr>
            </w:pPr>
            <w:r>
              <w:rPr>
                <w:sz w:val="20"/>
              </w:rPr>
              <w:t>30</w:t>
            </w:r>
            <w:r>
              <w:rPr>
                <w:spacing w:val="-3"/>
                <w:sz w:val="20"/>
              </w:rPr>
              <w:t> </w:t>
            </w:r>
            <w:r>
              <w:rPr>
                <w:sz w:val="20"/>
              </w:rPr>
              <w:t>a</w:t>
            </w:r>
            <w:r>
              <w:rPr>
                <w:spacing w:val="-1"/>
                <w:sz w:val="20"/>
              </w:rPr>
              <w:t> </w:t>
            </w:r>
            <w:r>
              <w:rPr>
                <w:spacing w:val="-5"/>
                <w:sz w:val="20"/>
              </w:rPr>
              <w:t>40%</w:t>
            </w:r>
          </w:p>
        </w:tc>
      </w:tr>
      <w:tr>
        <w:trPr>
          <w:trHeight w:val="232" w:hRule="atLeast"/>
        </w:trPr>
        <w:tc>
          <w:tcPr>
            <w:tcW w:w="1003" w:type="dxa"/>
          </w:tcPr>
          <w:p>
            <w:pPr>
              <w:pStyle w:val="TableParagraph"/>
              <w:spacing w:before="1"/>
              <w:ind w:left="10" w:right="1"/>
              <w:rPr>
                <w:sz w:val="20"/>
              </w:rPr>
            </w:pPr>
            <w:r>
              <w:rPr>
                <w:spacing w:val="-5"/>
                <w:sz w:val="20"/>
              </w:rPr>
              <w:t>226</w:t>
            </w:r>
          </w:p>
        </w:tc>
        <w:tc>
          <w:tcPr>
            <w:tcW w:w="7089" w:type="dxa"/>
          </w:tcPr>
          <w:p>
            <w:pPr>
              <w:pStyle w:val="TableParagraph"/>
              <w:spacing w:before="1"/>
              <w:jc w:val="left"/>
              <w:rPr>
                <w:sz w:val="20"/>
              </w:rPr>
            </w:pPr>
            <w:r>
              <w:rPr>
                <w:sz w:val="20"/>
              </w:rPr>
              <w:t>Del</w:t>
            </w:r>
            <w:r>
              <w:rPr>
                <w:spacing w:val="-7"/>
                <w:sz w:val="20"/>
              </w:rPr>
              <w:t> </w:t>
            </w:r>
            <w:r>
              <w:rPr>
                <w:sz w:val="20"/>
              </w:rPr>
              <w:t>peroné</w:t>
            </w:r>
            <w:r>
              <w:rPr>
                <w:spacing w:val="-8"/>
                <w:sz w:val="20"/>
              </w:rPr>
              <w:t> </w:t>
            </w:r>
            <w:r>
              <w:rPr>
                <w:spacing w:val="-2"/>
                <w:sz w:val="20"/>
              </w:rPr>
              <w:t>sólo.</w:t>
            </w:r>
          </w:p>
        </w:tc>
        <w:tc>
          <w:tcPr>
            <w:tcW w:w="1457" w:type="dxa"/>
          </w:tcPr>
          <w:p>
            <w:pPr>
              <w:pStyle w:val="TableParagraph"/>
              <w:spacing w:before="1"/>
              <w:ind w:left="11" w:right="3"/>
              <w:rPr>
                <w:sz w:val="20"/>
              </w:rPr>
            </w:pPr>
            <w:r>
              <w:rPr>
                <w:sz w:val="20"/>
              </w:rPr>
              <w:t>8</w:t>
            </w:r>
            <w:r>
              <w:rPr>
                <w:spacing w:val="-3"/>
                <w:sz w:val="20"/>
              </w:rPr>
              <w:t> </w:t>
            </w:r>
            <w:r>
              <w:rPr>
                <w:sz w:val="20"/>
              </w:rPr>
              <w:t>a</w:t>
            </w:r>
            <w:r>
              <w:rPr>
                <w:spacing w:val="-3"/>
                <w:sz w:val="20"/>
              </w:rPr>
              <w:t> </w:t>
            </w:r>
            <w:r>
              <w:rPr>
                <w:spacing w:val="-5"/>
                <w:sz w:val="20"/>
              </w:rPr>
              <w:t>18%</w:t>
            </w:r>
          </w:p>
        </w:tc>
      </w:tr>
      <w:tr>
        <w:trPr>
          <w:trHeight w:val="229" w:hRule="atLeast"/>
        </w:trPr>
        <w:tc>
          <w:tcPr>
            <w:tcW w:w="1003" w:type="dxa"/>
          </w:tcPr>
          <w:p>
            <w:pPr>
              <w:pStyle w:val="TableParagraph"/>
              <w:ind w:left="10" w:right="1"/>
              <w:rPr>
                <w:sz w:val="20"/>
              </w:rPr>
            </w:pPr>
            <w:r>
              <w:rPr>
                <w:spacing w:val="-5"/>
                <w:sz w:val="20"/>
              </w:rPr>
              <w:t>227</w:t>
            </w:r>
          </w:p>
        </w:tc>
        <w:tc>
          <w:tcPr>
            <w:tcW w:w="7089" w:type="dxa"/>
          </w:tcPr>
          <w:p>
            <w:pPr>
              <w:pStyle w:val="TableParagraph"/>
              <w:jc w:val="left"/>
              <w:rPr>
                <w:sz w:val="20"/>
              </w:rPr>
            </w:pPr>
            <w:r>
              <w:rPr>
                <w:sz w:val="20"/>
              </w:rPr>
              <w:t>Del</w:t>
            </w:r>
            <w:r>
              <w:rPr>
                <w:spacing w:val="-5"/>
                <w:sz w:val="20"/>
              </w:rPr>
              <w:t> </w:t>
            </w:r>
            <w:r>
              <w:rPr>
                <w:sz w:val="20"/>
              </w:rPr>
              <w:t>primero</w:t>
            </w:r>
            <w:r>
              <w:rPr>
                <w:spacing w:val="-5"/>
                <w:sz w:val="20"/>
              </w:rPr>
              <w:t> </w:t>
            </w:r>
            <w:r>
              <w:rPr>
                <w:sz w:val="20"/>
              </w:rPr>
              <w:t>o</w:t>
            </w:r>
            <w:r>
              <w:rPr>
                <w:spacing w:val="-5"/>
                <w:sz w:val="20"/>
              </w:rPr>
              <w:t> </w:t>
            </w:r>
            <w:r>
              <w:rPr>
                <w:sz w:val="20"/>
              </w:rPr>
              <w:t>del</w:t>
            </w:r>
            <w:r>
              <w:rPr>
                <w:spacing w:val="-6"/>
                <w:sz w:val="20"/>
              </w:rPr>
              <w:t> </w:t>
            </w:r>
            <w:r>
              <w:rPr>
                <w:sz w:val="20"/>
              </w:rPr>
              <w:t>último</w:t>
            </w:r>
            <w:r>
              <w:rPr>
                <w:spacing w:val="-5"/>
                <w:sz w:val="20"/>
              </w:rPr>
              <w:t> </w:t>
            </w:r>
            <w:r>
              <w:rPr>
                <w:spacing w:val="-2"/>
                <w:sz w:val="20"/>
              </w:rPr>
              <w:t>metatarsiano.</w:t>
            </w:r>
          </w:p>
        </w:tc>
        <w:tc>
          <w:tcPr>
            <w:tcW w:w="1457" w:type="dxa"/>
          </w:tcPr>
          <w:p>
            <w:pPr>
              <w:pStyle w:val="TableParagraph"/>
              <w:ind w:left="11" w:right="3"/>
              <w:rPr>
                <w:sz w:val="20"/>
              </w:rPr>
            </w:pPr>
            <w:r>
              <w:rPr>
                <w:sz w:val="20"/>
              </w:rPr>
              <w:t>8</w:t>
            </w:r>
            <w:r>
              <w:rPr>
                <w:spacing w:val="-3"/>
                <w:sz w:val="20"/>
              </w:rPr>
              <w:t> </w:t>
            </w:r>
            <w:r>
              <w:rPr>
                <w:sz w:val="20"/>
              </w:rPr>
              <w:t>a</w:t>
            </w:r>
            <w:r>
              <w:rPr>
                <w:spacing w:val="-3"/>
                <w:sz w:val="20"/>
              </w:rPr>
              <w:t> </w:t>
            </w:r>
            <w:r>
              <w:rPr>
                <w:spacing w:val="-5"/>
                <w:sz w:val="20"/>
              </w:rPr>
              <w:t>15%</w:t>
            </w:r>
          </w:p>
        </w:tc>
      </w:tr>
      <w:tr>
        <w:trPr>
          <w:trHeight w:val="230" w:hRule="atLeast"/>
        </w:trPr>
        <w:tc>
          <w:tcPr>
            <w:tcW w:w="1003" w:type="dxa"/>
          </w:tcPr>
          <w:p>
            <w:pPr>
              <w:pStyle w:val="TableParagraph"/>
              <w:ind w:left="10" w:right="1"/>
              <w:rPr>
                <w:sz w:val="20"/>
              </w:rPr>
            </w:pPr>
            <w:r>
              <w:rPr>
                <w:spacing w:val="-5"/>
                <w:sz w:val="20"/>
              </w:rPr>
              <w:t>228</w:t>
            </w:r>
          </w:p>
        </w:tc>
        <w:tc>
          <w:tcPr>
            <w:tcW w:w="7089" w:type="dxa"/>
          </w:tcPr>
          <w:p>
            <w:pPr>
              <w:pStyle w:val="TableParagraph"/>
              <w:jc w:val="left"/>
              <w:rPr>
                <w:sz w:val="20"/>
              </w:rPr>
            </w:pPr>
            <w:r>
              <w:rPr>
                <w:sz w:val="20"/>
              </w:rPr>
              <w:t>Del</w:t>
            </w:r>
            <w:r>
              <w:rPr>
                <w:spacing w:val="-8"/>
                <w:sz w:val="20"/>
              </w:rPr>
              <w:t> </w:t>
            </w:r>
            <w:r>
              <w:rPr>
                <w:sz w:val="20"/>
              </w:rPr>
              <w:t>segundo,</w:t>
            </w:r>
            <w:r>
              <w:rPr>
                <w:spacing w:val="-6"/>
                <w:sz w:val="20"/>
              </w:rPr>
              <w:t> </w:t>
            </w:r>
            <w:r>
              <w:rPr>
                <w:sz w:val="20"/>
              </w:rPr>
              <w:t>tercero</w:t>
            </w:r>
            <w:r>
              <w:rPr>
                <w:spacing w:val="-7"/>
                <w:sz w:val="20"/>
              </w:rPr>
              <w:t> </w:t>
            </w:r>
            <w:r>
              <w:rPr>
                <w:sz w:val="20"/>
              </w:rPr>
              <w:t>o</w:t>
            </w:r>
            <w:r>
              <w:rPr>
                <w:spacing w:val="-6"/>
                <w:sz w:val="20"/>
              </w:rPr>
              <w:t> </w:t>
            </w:r>
            <w:r>
              <w:rPr>
                <w:sz w:val="20"/>
              </w:rPr>
              <w:t>cuarto</w:t>
            </w:r>
            <w:r>
              <w:rPr>
                <w:spacing w:val="-8"/>
                <w:sz w:val="20"/>
              </w:rPr>
              <w:t> </w:t>
            </w:r>
            <w:r>
              <w:rPr>
                <w:spacing w:val="-2"/>
                <w:sz w:val="20"/>
              </w:rPr>
              <w:t>metatarsiano.</w:t>
            </w:r>
          </w:p>
        </w:tc>
        <w:tc>
          <w:tcPr>
            <w:tcW w:w="1457" w:type="dxa"/>
          </w:tcPr>
          <w:p>
            <w:pPr>
              <w:pStyle w:val="TableParagraph"/>
              <w:ind w:left="11" w:right="1"/>
              <w:rPr>
                <w:sz w:val="20"/>
              </w:rPr>
            </w:pPr>
            <w:r>
              <w:rPr>
                <w:spacing w:val="-5"/>
                <w:sz w:val="20"/>
              </w:rPr>
              <w:t>5%</w:t>
            </w:r>
          </w:p>
        </w:tc>
      </w:tr>
    </w:tbl>
    <w:p>
      <w:pPr>
        <w:pStyle w:val="BodyText"/>
        <w:spacing w:before="4"/>
        <w:rPr>
          <w:rFonts w:ascii="Arial"/>
          <w:b/>
        </w:rPr>
      </w:pPr>
    </w:p>
    <w:p>
      <w:pPr>
        <w:spacing w:before="0"/>
        <w:ind w:left="292" w:right="299" w:firstLine="0"/>
        <w:jc w:val="center"/>
        <w:rPr>
          <w:rFonts w:ascii="Arial" w:hAnsi="Arial"/>
          <w:b/>
          <w:sz w:val="20"/>
        </w:rPr>
      </w:pPr>
      <w:r>
        <w:rPr>
          <w:rFonts w:ascii="Arial" w:hAnsi="Arial"/>
          <w:b/>
          <w:sz w:val="20"/>
        </w:rPr>
        <w:t>Cicatrices</w:t>
      </w:r>
      <w:r>
        <w:rPr>
          <w:rFonts w:ascii="Arial" w:hAnsi="Arial"/>
          <w:b/>
          <w:spacing w:val="-7"/>
          <w:sz w:val="20"/>
        </w:rPr>
        <w:t> </w:t>
      </w:r>
      <w:r>
        <w:rPr>
          <w:rFonts w:ascii="Arial" w:hAnsi="Arial"/>
          <w:b/>
          <w:sz w:val="20"/>
        </w:rPr>
        <w:t>retráctiles</w:t>
      </w:r>
      <w:r>
        <w:rPr>
          <w:rFonts w:ascii="Arial" w:hAnsi="Arial"/>
          <w:b/>
          <w:spacing w:val="-9"/>
          <w:sz w:val="20"/>
        </w:rPr>
        <w:t> </w:t>
      </w:r>
      <w:r>
        <w:rPr>
          <w:rFonts w:ascii="Arial" w:hAnsi="Arial"/>
          <w:b/>
          <w:sz w:val="20"/>
        </w:rPr>
        <w:t>que</w:t>
      </w:r>
      <w:r>
        <w:rPr>
          <w:rFonts w:ascii="Arial" w:hAnsi="Arial"/>
          <w:b/>
          <w:spacing w:val="-6"/>
          <w:sz w:val="20"/>
        </w:rPr>
        <w:t> </w:t>
      </w:r>
      <w:r>
        <w:rPr>
          <w:rFonts w:ascii="Arial" w:hAnsi="Arial"/>
          <w:b/>
          <w:sz w:val="20"/>
        </w:rPr>
        <w:t>no</w:t>
      </w:r>
      <w:r>
        <w:rPr>
          <w:rFonts w:ascii="Arial" w:hAnsi="Arial"/>
          <w:b/>
          <w:spacing w:val="-8"/>
          <w:sz w:val="20"/>
        </w:rPr>
        <w:t> </w:t>
      </w:r>
      <w:r>
        <w:rPr>
          <w:rFonts w:ascii="Arial" w:hAnsi="Arial"/>
          <w:b/>
          <w:sz w:val="20"/>
        </w:rPr>
        <w:t>puedan</w:t>
      </w:r>
      <w:r>
        <w:rPr>
          <w:rFonts w:ascii="Arial" w:hAnsi="Arial"/>
          <w:b/>
          <w:spacing w:val="-7"/>
          <w:sz w:val="20"/>
        </w:rPr>
        <w:t> </w:t>
      </w:r>
      <w:r>
        <w:rPr>
          <w:rFonts w:ascii="Arial" w:hAnsi="Arial"/>
          <w:b/>
          <w:sz w:val="20"/>
        </w:rPr>
        <w:t>ser</w:t>
      </w:r>
      <w:r>
        <w:rPr>
          <w:rFonts w:ascii="Arial" w:hAnsi="Arial"/>
          <w:b/>
          <w:spacing w:val="-8"/>
          <w:sz w:val="20"/>
        </w:rPr>
        <w:t> </w:t>
      </w:r>
      <w:r>
        <w:rPr>
          <w:rFonts w:ascii="Arial" w:hAnsi="Arial"/>
          <w:b/>
          <w:sz w:val="20"/>
        </w:rPr>
        <w:t>resueltas</w:t>
      </w:r>
      <w:r>
        <w:rPr>
          <w:rFonts w:ascii="Arial" w:hAnsi="Arial"/>
          <w:b/>
          <w:spacing w:val="-7"/>
          <w:sz w:val="20"/>
        </w:rPr>
        <w:t> </w:t>
      </w:r>
      <w:r>
        <w:rPr>
          <w:rFonts w:ascii="Arial" w:hAnsi="Arial"/>
          <w:b/>
          <w:spacing w:val="-2"/>
          <w:sz w:val="20"/>
        </w:rPr>
        <w:t>quirúrgicamente</w:t>
      </w:r>
    </w:p>
    <w:p>
      <w:pPr>
        <w:pStyle w:val="BodyText"/>
        <w:spacing w:before="1"/>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3"/>
        <w:gridCol w:w="7089"/>
        <w:gridCol w:w="1457"/>
      </w:tblGrid>
      <w:tr>
        <w:trPr>
          <w:trHeight w:val="232" w:hRule="atLeast"/>
        </w:trPr>
        <w:tc>
          <w:tcPr>
            <w:tcW w:w="1003" w:type="dxa"/>
          </w:tcPr>
          <w:p>
            <w:pPr>
              <w:pStyle w:val="TableParagraph"/>
              <w:spacing w:before="1"/>
              <w:ind w:left="10" w:right="1"/>
              <w:rPr>
                <w:sz w:val="20"/>
              </w:rPr>
            </w:pPr>
            <w:r>
              <w:rPr>
                <w:spacing w:val="-5"/>
                <w:sz w:val="20"/>
              </w:rPr>
              <w:t>229</w:t>
            </w:r>
          </w:p>
        </w:tc>
        <w:tc>
          <w:tcPr>
            <w:tcW w:w="7089" w:type="dxa"/>
          </w:tcPr>
          <w:p>
            <w:pPr>
              <w:pStyle w:val="TableParagraph"/>
              <w:spacing w:before="1"/>
              <w:jc w:val="left"/>
              <w:rPr>
                <w:sz w:val="20"/>
              </w:rPr>
            </w:pPr>
            <w:r>
              <w:rPr>
                <w:sz w:val="20"/>
              </w:rPr>
              <w:t>De</w:t>
            </w:r>
            <w:r>
              <w:rPr>
                <w:spacing w:val="-6"/>
                <w:sz w:val="20"/>
              </w:rPr>
              <w:t> </w:t>
            </w:r>
            <w:r>
              <w:rPr>
                <w:sz w:val="20"/>
              </w:rPr>
              <w:t>la</w:t>
            </w:r>
            <w:r>
              <w:rPr>
                <w:spacing w:val="-5"/>
                <w:sz w:val="20"/>
              </w:rPr>
              <w:t> </w:t>
            </w:r>
            <w:r>
              <w:rPr>
                <w:sz w:val="20"/>
              </w:rPr>
              <w:t>rodilla</w:t>
            </w:r>
            <w:r>
              <w:rPr>
                <w:spacing w:val="-3"/>
                <w:sz w:val="20"/>
              </w:rPr>
              <w:t> </w:t>
            </w:r>
            <w:r>
              <w:rPr>
                <w:sz w:val="20"/>
              </w:rPr>
              <w:t>en</w:t>
            </w:r>
            <w:r>
              <w:rPr>
                <w:spacing w:val="-6"/>
                <w:sz w:val="20"/>
              </w:rPr>
              <w:t> </w:t>
            </w:r>
            <w:r>
              <w:rPr>
                <w:sz w:val="20"/>
              </w:rPr>
              <w:t>posición</w:t>
            </w:r>
            <w:r>
              <w:rPr>
                <w:spacing w:val="-6"/>
                <w:sz w:val="20"/>
              </w:rPr>
              <w:t> </w:t>
            </w:r>
            <w:r>
              <w:rPr>
                <w:sz w:val="20"/>
              </w:rPr>
              <w:t>de</w:t>
            </w:r>
            <w:r>
              <w:rPr>
                <w:spacing w:val="-3"/>
                <w:sz w:val="20"/>
              </w:rPr>
              <w:t> </w:t>
            </w:r>
            <w:r>
              <w:rPr>
                <w:sz w:val="20"/>
              </w:rPr>
              <w:t>flexión</w:t>
            </w:r>
            <w:r>
              <w:rPr>
                <w:spacing w:val="-6"/>
                <w:sz w:val="20"/>
              </w:rPr>
              <w:t> </w:t>
            </w:r>
            <w:r>
              <w:rPr>
                <w:sz w:val="20"/>
              </w:rPr>
              <w:t>mayor</w:t>
            </w:r>
            <w:r>
              <w:rPr>
                <w:spacing w:val="-5"/>
                <w:sz w:val="20"/>
              </w:rPr>
              <w:t> </w:t>
            </w:r>
            <w:r>
              <w:rPr>
                <w:sz w:val="20"/>
              </w:rPr>
              <w:t>a</w:t>
            </w:r>
            <w:r>
              <w:rPr>
                <w:spacing w:val="-4"/>
                <w:sz w:val="20"/>
              </w:rPr>
              <w:t> </w:t>
            </w:r>
            <w:r>
              <w:rPr>
                <w:sz w:val="20"/>
              </w:rPr>
              <w:t>45</w:t>
            </w:r>
            <w:r>
              <w:rPr>
                <w:spacing w:val="-3"/>
                <w:sz w:val="20"/>
              </w:rPr>
              <w:t> </w:t>
            </w:r>
            <w:r>
              <w:rPr>
                <w:sz w:val="20"/>
              </w:rPr>
              <w:t>grados</w:t>
            </w:r>
            <w:r>
              <w:rPr>
                <w:spacing w:val="-2"/>
                <w:sz w:val="20"/>
              </w:rPr>
              <w:t> </w:t>
            </w:r>
            <w:r>
              <w:rPr>
                <w:sz w:val="20"/>
              </w:rPr>
              <w:t>y</w:t>
            </w:r>
            <w:r>
              <w:rPr>
                <w:spacing w:val="-6"/>
                <w:sz w:val="20"/>
              </w:rPr>
              <w:t> </w:t>
            </w:r>
            <w:r>
              <w:rPr>
                <w:sz w:val="20"/>
              </w:rPr>
              <w:t>hasta</w:t>
            </w:r>
            <w:r>
              <w:rPr>
                <w:spacing w:val="-7"/>
                <w:sz w:val="20"/>
              </w:rPr>
              <w:t> </w:t>
            </w:r>
            <w:r>
              <w:rPr>
                <w:sz w:val="20"/>
              </w:rPr>
              <w:t>140</w:t>
            </w:r>
            <w:r>
              <w:rPr>
                <w:spacing w:val="-5"/>
                <w:sz w:val="20"/>
              </w:rPr>
              <w:t> </w:t>
            </w:r>
            <w:r>
              <w:rPr>
                <w:spacing w:val="-2"/>
                <w:sz w:val="20"/>
              </w:rPr>
              <w:t>grados.</w:t>
            </w:r>
          </w:p>
        </w:tc>
        <w:tc>
          <w:tcPr>
            <w:tcW w:w="1457" w:type="dxa"/>
          </w:tcPr>
          <w:p>
            <w:pPr>
              <w:pStyle w:val="TableParagraph"/>
              <w:spacing w:before="1"/>
              <w:ind w:left="11" w:right="3"/>
              <w:rPr>
                <w:sz w:val="20"/>
              </w:rPr>
            </w:pPr>
            <w:r>
              <w:rPr>
                <w:sz w:val="20"/>
              </w:rPr>
              <w:t>30</w:t>
            </w:r>
            <w:r>
              <w:rPr>
                <w:spacing w:val="-3"/>
                <w:sz w:val="20"/>
              </w:rPr>
              <w:t> </w:t>
            </w:r>
            <w:r>
              <w:rPr>
                <w:sz w:val="20"/>
              </w:rPr>
              <w:t>a</w:t>
            </w:r>
            <w:r>
              <w:rPr>
                <w:spacing w:val="-1"/>
                <w:sz w:val="20"/>
              </w:rPr>
              <w:t> </w:t>
            </w:r>
            <w:r>
              <w:rPr>
                <w:spacing w:val="-5"/>
                <w:sz w:val="20"/>
              </w:rPr>
              <w:t>50%</w:t>
            </w:r>
          </w:p>
        </w:tc>
      </w:tr>
      <w:tr>
        <w:trPr>
          <w:trHeight w:val="229" w:hRule="atLeast"/>
        </w:trPr>
        <w:tc>
          <w:tcPr>
            <w:tcW w:w="1003" w:type="dxa"/>
          </w:tcPr>
          <w:p>
            <w:pPr>
              <w:pStyle w:val="TableParagraph"/>
              <w:ind w:left="10" w:right="1"/>
              <w:rPr>
                <w:sz w:val="20"/>
              </w:rPr>
            </w:pPr>
            <w:r>
              <w:rPr>
                <w:spacing w:val="-5"/>
                <w:sz w:val="20"/>
              </w:rPr>
              <w:t>230</w:t>
            </w:r>
          </w:p>
        </w:tc>
        <w:tc>
          <w:tcPr>
            <w:tcW w:w="7089" w:type="dxa"/>
          </w:tcPr>
          <w:p>
            <w:pPr>
              <w:pStyle w:val="TableParagraph"/>
              <w:jc w:val="left"/>
              <w:rPr>
                <w:sz w:val="20"/>
              </w:rPr>
            </w:pPr>
            <w:r>
              <w:rPr>
                <w:sz w:val="20"/>
              </w:rPr>
              <w:t>De</w:t>
            </w:r>
            <w:r>
              <w:rPr>
                <w:spacing w:val="-6"/>
                <w:sz w:val="20"/>
              </w:rPr>
              <w:t> </w:t>
            </w:r>
            <w:r>
              <w:rPr>
                <w:sz w:val="20"/>
              </w:rPr>
              <w:t>la</w:t>
            </w:r>
            <w:r>
              <w:rPr>
                <w:spacing w:val="-6"/>
                <w:sz w:val="20"/>
              </w:rPr>
              <w:t> </w:t>
            </w:r>
            <w:r>
              <w:rPr>
                <w:sz w:val="20"/>
              </w:rPr>
              <w:t>rodilla</w:t>
            </w:r>
            <w:r>
              <w:rPr>
                <w:spacing w:val="-4"/>
                <w:sz w:val="20"/>
              </w:rPr>
              <w:t> </w:t>
            </w:r>
            <w:r>
              <w:rPr>
                <w:sz w:val="20"/>
              </w:rPr>
              <w:t>en</w:t>
            </w:r>
            <w:r>
              <w:rPr>
                <w:spacing w:val="-6"/>
                <w:sz w:val="20"/>
              </w:rPr>
              <w:t> </w:t>
            </w:r>
            <w:r>
              <w:rPr>
                <w:sz w:val="20"/>
              </w:rPr>
              <w:t>posición</w:t>
            </w:r>
            <w:r>
              <w:rPr>
                <w:spacing w:val="-6"/>
                <w:sz w:val="20"/>
              </w:rPr>
              <w:t> </w:t>
            </w:r>
            <w:r>
              <w:rPr>
                <w:sz w:val="20"/>
              </w:rPr>
              <w:t>de</w:t>
            </w:r>
            <w:r>
              <w:rPr>
                <w:spacing w:val="-4"/>
                <w:sz w:val="20"/>
              </w:rPr>
              <w:t> </w:t>
            </w:r>
            <w:r>
              <w:rPr>
                <w:sz w:val="20"/>
              </w:rPr>
              <w:t>flexión</w:t>
            </w:r>
            <w:r>
              <w:rPr>
                <w:spacing w:val="-5"/>
                <w:sz w:val="20"/>
              </w:rPr>
              <w:t> </w:t>
            </w:r>
            <w:r>
              <w:rPr>
                <w:sz w:val="20"/>
              </w:rPr>
              <w:t>de</w:t>
            </w:r>
            <w:r>
              <w:rPr>
                <w:spacing w:val="-6"/>
                <w:sz w:val="20"/>
              </w:rPr>
              <w:t> </w:t>
            </w:r>
            <w:r>
              <w:rPr>
                <w:sz w:val="20"/>
              </w:rPr>
              <w:t>10</w:t>
            </w:r>
            <w:r>
              <w:rPr>
                <w:spacing w:val="-6"/>
                <w:sz w:val="20"/>
              </w:rPr>
              <w:t> </w:t>
            </w:r>
            <w:r>
              <w:rPr>
                <w:sz w:val="20"/>
              </w:rPr>
              <w:t>grados</w:t>
            </w:r>
            <w:r>
              <w:rPr>
                <w:spacing w:val="-5"/>
                <w:sz w:val="20"/>
              </w:rPr>
              <w:t> </w:t>
            </w:r>
            <w:r>
              <w:rPr>
                <w:sz w:val="20"/>
              </w:rPr>
              <w:t>hasta</w:t>
            </w:r>
            <w:r>
              <w:rPr>
                <w:spacing w:val="-4"/>
                <w:sz w:val="20"/>
              </w:rPr>
              <w:t> </w:t>
            </w:r>
            <w:r>
              <w:rPr>
                <w:sz w:val="20"/>
              </w:rPr>
              <w:t>45</w:t>
            </w:r>
            <w:r>
              <w:rPr>
                <w:spacing w:val="-5"/>
                <w:sz w:val="20"/>
              </w:rPr>
              <w:t> </w:t>
            </w:r>
            <w:r>
              <w:rPr>
                <w:spacing w:val="-2"/>
                <w:sz w:val="20"/>
              </w:rPr>
              <w:t>grados.</w:t>
            </w:r>
          </w:p>
        </w:tc>
        <w:tc>
          <w:tcPr>
            <w:tcW w:w="1457" w:type="dxa"/>
          </w:tcPr>
          <w:p>
            <w:pPr>
              <w:pStyle w:val="TableParagraph"/>
              <w:ind w:left="11" w:right="3"/>
              <w:rPr>
                <w:sz w:val="20"/>
              </w:rPr>
            </w:pPr>
            <w:r>
              <w:rPr>
                <w:sz w:val="20"/>
              </w:rPr>
              <w:t>20</w:t>
            </w:r>
            <w:r>
              <w:rPr>
                <w:spacing w:val="-3"/>
                <w:sz w:val="20"/>
              </w:rPr>
              <w:t> </w:t>
            </w:r>
            <w:r>
              <w:rPr>
                <w:sz w:val="20"/>
              </w:rPr>
              <w:t>a</w:t>
            </w:r>
            <w:r>
              <w:rPr>
                <w:spacing w:val="-1"/>
                <w:sz w:val="20"/>
              </w:rPr>
              <w:t> </w:t>
            </w:r>
            <w:r>
              <w:rPr>
                <w:spacing w:val="-5"/>
                <w:sz w:val="20"/>
              </w:rPr>
              <w:t>30%</w:t>
            </w:r>
          </w:p>
        </w:tc>
      </w:tr>
      <w:tr>
        <w:trPr>
          <w:trHeight w:val="229" w:hRule="atLeast"/>
        </w:trPr>
        <w:tc>
          <w:tcPr>
            <w:tcW w:w="1003" w:type="dxa"/>
          </w:tcPr>
          <w:p>
            <w:pPr>
              <w:pStyle w:val="TableParagraph"/>
              <w:ind w:left="10"/>
              <w:rPr>
                <w:sz w:val="20"/>
              </w:rPr>
            </w:pPr>
            <w:r>
              <w:rPr>
                <w:spacing w:val="-5"/>
                <w:sz w:val="20"/>
              </w:rPr>
              <w:t>231</w:t>
            </w:r>
          </w:p>
        </w:tc>
        <w:tc>
          <w:tcPr>
            <w:tcW w:w="7089" w:type="dxa"/>
          </w:tcPr>
          <w:p>
            <w:pPr>
              <w:pStyle w:val="TableParagraph"/>
              <w:jc w:val="left"/>
              <w:rPr>
                <w:sz w:val="20"/>
              </w:rPr>
            </w:pPr>
            <w:r>
              <w:rPr>
                <w:sz w:val="20"/>
              </w:rPr>
              <w:t>Del</w:t>
            </w:r>
            <w:r>
              <w:rPr>
                <w:spacing w:val="-6"/>
                <w:sz w:val="20"/>
              </w:rPr>
              <w:t> </w:t>
            </w:r>
            <w:r>
              <w:rPr>
                <w:sz w:val="20"/>
              </w:rPr>
              <w:t>hueco</w:t>
            </w:r>
            <w:r>
              <w:rPr>
                <w:spacing w:val="-6"/>
                <w:sz w:val="20"/>
              </w:rPr>
              <w:t> </w:t>
            </w:r>
            <w:r>
              <w:rPr>
                <w:sz w:val="20"/>
              </w:rPr>
              <w:t>poplíteo,</w:t>
            </w:r>
            <w:r>
              <w:rPr>
                <w:spacing w:val="-5"/>
                <w:sz w:val="20"/>
              </w:rPr>
              <w:t> </w:t>
            </w:r>
            <w:r>
              <w:rPr>
                <w:sz w:val="20"/>
              </w:rPr>
              <w:t>que</w:t>
            </w:r>
            <w:r>
              <w:rPr>
                <w:spacing w:val="-5"/>
                <w:sz w:val="20"/>
              </w:rPr>
              <w:t> </w:t>
            </w:r>
            <w:r>
              <w:rPr>
                <w:sz w:val="20"/>
              </w:rPr>
              <w:t>limiten</w:t>
            </w:r>
            <w:r>
              <w:rPr>
                <w:spacing w:val="-5"/>
                <w:sz w:val="20"/>
              </w:rPr>
              <w:t> </w:t>
            </w:r>
            <w:r>
              <w:rPr>
                <w:sz w:val="20"/>
              </w:rPr>
              <w:t>la</w:t>
            </w:r>
            <w:r>
              <w:rPr>
                <w:spacing w:val="-5"/>
                <w:sz w:val="20"/>
              </w:rPr>
              <w:t> </w:t>
            </w:r>
            <w:r>
              <w:rPr>
                <w:sz w:val="20"/>
              </w:rPr>
              <w:t>extensión</w:t>
            </w:r>
            <w:r>
              <w:rPr>
                <w:spacing w:val="-6"/>
                <w:sz w:val="20"/>
              </w:rPr>
              <w:t> </w:t>
            </w:r>
            <w:r>
              <w:rPr>
                <w:sz w:val="20"/>
              </w:rPr>
              <w:t>a</w:t>
            </w:r>
            <w:r>
              <w:rPr>
                <w:spacing w:val="-7"/>
                <w:sz w:val="20"/>
              </w:rPr>
              <w:t> </w:t>
            </w:r>
            <w:r>
              <w:rPr>
                <w:sz w:val="20"/>
              </w:rPr>
              <w:t>menos</w:t>
            </w:r>
            <w:r>
              <w:rPr>
                <w:spacing w:val="-6"/>
                <w:sz w:val="20"/>
              </w:rPr>
              <w:t> </w:t>
            </w:r>
            <w:r>
              <w:rPr>
                <w:sz w:val="20"/>
              </w:rPr>
              <w:t>de</w:t>
            </w:r>
            <w:r>
              <w:rPr>
                <w:spacing w:val="-6"/>
                <w:sz w:val="20"/>
              </w:rPr>
              <w:t> </w:t>
            </w:r>
            <w:r>
              <w:rPr>
                <w:sz w:val="20"/>
              </w:rPr>
              <w:t>90</w:t>
            </w:r>
            <w:r>
              <w:rPr>
                <w:spacing w:val="-5"/>
                <w:sz w:val="20"/>
              </w:rPr>
              <w:t> </w:t>
            </w:r>
            <w:r>
              <w:rPr>
                <w:spacing w:val="-2"/>
                <w:sz w:val="20"/>
              </w:rPr>
              <w:t>grados.</w:t>
            </w:r>
          </w:p>
        </w:tc>
        <w:tc>
          <w:tcPr>
            <w:tcW w:w="1457" w:type="dxa"/>
          </w:tcPr>
          <w:p>
            <w:pPr>
              <w:pStyle w:val="TableParagraph"/>
              <w:ind w:left="11" w:right="3"/>
              <w:rPr>
                <w:sz w:val="20"/>
              </w:rPr>
            </w:pPr>
            <w:r>
              <w:rPr>
                <w:sz w:val="20"/>
              </w:rPr>
              <w:t>50</w:t>
            </w:r>
            <w:r>
              <w:rPr>
                <w:spacing w:val="-3"/>
                <w:sz w:val="20"/>
              </w:rPr>
              <w:t> </w:t>
            </w:r>
            <w:r>
              <w:rPr>
                <w:sz w:val="20"/>
              </w:rPr>
              <w:t>a</w:t>
            </w:r>
            <w:r>
              <w:rPr>
                <w:spacing w:val="-1"/>
                <w:sz w:val="20"/>
              </w:rPr>
              <w:t> </w:t>
            </w:r>
            <w:r>
              <w:rPr>
                <w:spacing w:val="-5"/>
                <w:sz w:val="20"/>
              </w:rPr>
              <w:t>60%</w:t>
            </w:r>
          </w:p>
        </w:tc>
      </w:tr>
      <w:tr>
        <w:trPr>
          <w:trHeight w:val="229" w:hRule="atLeast"/>
        </w:trPr>
        <w:tc>
          <w:tcPr>
            <w:tcW w:w="1003" w:type="dxa"/>
          </w:tcPr>
          <w:p>
            <w:pPr>
              <w:pStyle w:val="TableParagraph"/>
              <w:ind w:left="10" w:right="1"/>
              <w:rPr>
                <w:sz w:val="20"/>
              </w:rPr>
            </w:pPr>
            <w:r>
              <w:rPr>
                <w:spacing w:val="-5"/>
                <w:sz w:val="20"/>
              </w:rPr>
              <w:t>232</w:t>
            </w:r>
          </w:p>
        </w:tc>
        <w:tc>
          <w:tcPr>
            <w:tcW w:w="7089" w:type="dxa"/>
          </w:tcPr>
          <w:p>
            <w:pPr>
              <w:pStyle w:val="TableParagraph"/>
              <w:jc w:val="left"/>
              <w:rPr>
                <w:sz w:val="20"/>
              </w:rPr>
            </w:pPr>
            <w:r>
              <w:rPr>
                <w:sz w:val="20"/>
              </w:rPr>
              <w:t>De</w:t>
            </w:r>
            <w:r>
              <w:rPr>
                <w:spacing w:val="-5"/>
                <w:sz w:val="20"/>
              </w:rPr>
              <w:t> </w:t>
            </w:r>
            <w:r>
              <w:rPr>
                <w:sz w:val="20"/>
              </w:rPr>
              <w:t>la</w:t>
            </w:r>
            <w:r>
              <w:rPr>
                <w:spacing w:val="-5"/>
                <w:sz w:val="20"/>
              </w:rPr>
              <w:t> </w:t>
            </w:r>
            <w:r>
              <w:rPr>
                <w:sz w:val="20"/>
              </w:rPr>
              <w:t>planta</w:t>
            </w:r>
            <w:r>
              <w:rPr>
                <w:spacing w:val="-5"/>
                <w:sz w:val="20"/>
              </w:rPr>
              <w:t> </w:t>
            </w:r>
            <w:r>
              <w:rPr>
                <w:sz w:val="20"/>
              </w:rPr>
              <w:t>del</w:t>
            </w:r>
            <w:r>
              <w:rPr>
                <w:spacing w:val="-3"/>
                <w:sz w:val="20"/>
              </w:rPr>
              <w:t> </w:t>
            </w:r>
            <w:r>
              <w:rPr>
                <w:sz w:val="20"/>
              </w:rPr>
              <w:t>pie,</w:t>
            </w:r>
            <w:r>
              <w:rPr>
                <w:spacing w:val="-5"/>
                <w:sz w:val="20"/>
              </w:rPr>
              <w:t> </w:t>
            </w:r>
            <w:r>
              <w:rPr>
                <w:sz w:val="20"/>
              </w:rPr>
              <w:t>con</w:t>
            </w:r>
            <w:r>
              <w:rPr>
                <w:spacing w:val="-6"/>
                <w:sz w:val="20"/>
              </w:rPr>
              <w:t> </w:t>
            </w:r>
            <w:r>
              <w:rPr>
                <w:sz w:val="20"/>
              </w:rPr>
              <w:t>retracción</w:t>
            </w:r>
            <w:r>
              <w:rPr>
                <w:spacing w:val="-5"/>
                <w:sz w:val="20"/>
              </w:rPr>
              <w:t> </w:t>
            </w:r>
            <w:r>
              <w:rPr>
                <w:sz w:val="20"/>
              </w:rPr>
              <w:t>de</w:t>
            </w:r>
            <w:r>
              <w:rPr>
                <w:spacing w:val="-5"/>
                <w:sz w:val="20"/>
              </w:rPr>
              <w:t> </w:t>
            </w:r>
            <w:r>
              <w:rPr>
                <w:sz w:val="20"/>
              </w:rPr>
              <w:t>la</w:t>
            </w:r>
            <w:r>
              <w:rPr>
                <w:spacing w:val="-5"/>
                <w:sz w:val="20"/>
              </w:rPr>
              <w:t> </w:t>
            </w:r>
            <w:r>
              <w:rPr>
                <w:sz w:val="20"/>
              </w:rPr>
              <w:t>punta</w:t>
            </w:r>
            <w:r>
              <w:rPr>
                <w:spacing w:val="-3"/>
                <w:sz w:val="20"/>
              </w:rPr>
              <w:t> </w:t>
            </w:r>
            <w:r>
              <w:rPr>
                <w:sz w:val="20"/>
              </w:rPr>
              <w:t>hacia</w:t>
            </w:r>
            <w:r>
              <w:rPr>
                <w:spacing w:val="-5"/>
                <w:sz w:val="20"/>
              </w:rPr>
              <w:t> </w:t>
            </w:r>
            <w:r>
              <w:rPr>
                <w:sz w:val="20"/>
              </w:rPr>
              <w:t>uno</w:t>
            </w:r>
            <w:r>
              <w:rPr>
                <w:spacing w:val="-6"/>
                <w:sz w:val="20"/>
              </w:rPr>
              <w:t> </w:t>
            </w:r>
            <w:r>
              <w:rPr>
                <w:sz w:val="20"/>
              </w:rPr>
              <w:t>de</w:t>
            </w:r>
            <w:r>
              <w:rPr>
                <w:spacing w:val="-4"/>
                <w:sz w:val="20"/>
              </w:rPr>
              <w:t> </w:t>
            </w:r>
            <w:r>
              <w:rPr>
                <w:sz w:val="20"/>
              </w:rPr>
              <w:t>sus</w:t>
            </w:r>
            <w:r>
              <w:rPr>
                <w:spacing w:val="-4"/>
                <w:sz w:val="20"/>
              </w:rPr>
              <w:t> </w:t>
            </w:r>
            <w:r>
              <w:rPr>
                <w:spacing w:val="-2"/>
                <w:sz w:val="20"/>
              </w:rPr>
              <w:t>bordes.</w:t>
            </w:r>
          </w:p>
        </w:tc>
        <w:tc>
          <w:tcPr>
            <w:tcW w:w="1457" w:type="dxa"/>
          </w:tcPr>
          <w:p>
            <w:pPr>
              <w:pStyle w:val="TableParagraph"/>
              <w:ind w:left="11" w:right="3"/>
              <w:rPr>
                <w:sz w:val="20"/>
              </w:rPr>
            </w:pPr>
            <w:r>
              <w:rPr>
                <w:sz w:val="20"/>
              </w:rPr>
              <w:t>20</w:t>
            </w:r>
            <w:r>
              <w:rPr>
                <w:spacing w:val="-3"/>
                <w:sz w:val="20"/>
              </w:rPr>
              <w:t> </w:t>
            </w:r>
            <w:r>
              <w:rPr>
                <w:sz w:val="20"/>
              </w:rPr>
              <w:t>a</w:t>
            </w:r>
            <w:r>
              <w:rPr>
                <w:spacing w:val="-1"/>
                <w:sz w:val="20"/>
              </w:rPr>
              <w:t> </w:t>
            </w:r>
            <w:r>
              <w:rPr>
                <w:spacing w:val="-5"/>
                <w:sz w:val="20"/>
              </w:rPr>
              <w:t>40%</w:t>
            </w:r>
          </w:p>
        </w:tc>
      </w:tr>
    </w:tbl>
    <w:p>
      <w:pPr>
        <w:spacing w:before="229"/>
        <w:ind w:left="295" w:right="296" w:firstLine="0"/>
        <w:jc w:val="center"/>
        <w:rPr>
          <w:rFonts w:ascii="Arial"/>
          <w:b/>
          <w:sz w:val="20"/>
        </w:rPr>
      </w:pPr>
      <w:r>
        <w:rPr>
          <w:rFonts w:ascii="Arial"/>
          <w:b/>
          <w:sz w:val="20"/>
        </w:rPr>
        <w:t>Secuelas</w:t>
      </w:r>
      <w:r>
        <w:rPr>
          <w:rFonts w:ascii="Arial"/>
          <w:b/>
          <w:spacing w:val="-9"/>
          <w:sz w:val="20"/>
        </w:rPr>
        <w:t> </w:t>
      </w:r>
      <w:r>
        <w:rPr>
          <w:rFonts w:ascii="Arial"/>
          <w:b/>
          <w:sz w:val="20"/>
        </w:rPr>
        <w:t>de</w:t>
      </w:r>
      <w:r>
        <w:rPr>
          <w:rFonts w:ascii="Arial"/>
          <w:b/>
          <w:spacing w:val="-8"/>
          <w:sz w:val="20"/>
        </w:rPr>
        <w:t> </w:t>
      </w:r>
      <w:r>
        <w:rPr>
          <w:rFonts w:ascii="Arial"/>
          <w:b/>
          <w:spacing w:val="-2"/>
          <w:sz w:val="20"/>
        </w:rPr>
        <w:t>fracturas</w:t>
      </w:r>
    </w:p>
    <w:p>
      <w:pPr>
        <w:spacing w:after="0"/>
        <w:jc w:val="center"/>
        <w:rPr>
          <w:rFonts w:ascii="Arial"/>
          <w:b/>
          <w:sz w:val="20"/>
        </w:rPr>
        <w:sectPr>
          <w:pgSz w:w="12240" w:h="15840"/>
          <w:pgMar w:header="724" w:footer="712" w:top="1880" w:bottom="900" w:left="1080" w:right="1080"/>
        </w:sectPr>
      </w:pPr>
    </w:p>
    <w:p>
      <w:pPr>
        <w:pStyle w:val="BodyText"/>
        <w:rPr>
          <w:rFonts w:ascii="Arial"/>
          <w:b/>
        </w:rPr>
      </w:pPr>
    </w:p>
    <w:p>
      <w:pPr>
        <w:pStyle w:val="BodyText"/>
        <w:spacing w:before="66"/>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3"/>
        <w:gridCol w:w="7089"/>
        <w:gridCol w:w="1457"/>
      </w:tblGrid>
      <w:tr>
        <w:trPr>
          <w:trHeight w:val="460" w:hRule="atLeast"/>
        </w:trPr>
        <w:tc>
          <w:tcPr>
            <w:tcW w:w="1003" w:type="dxa"/>
          </w:tcPr>
          <w:p>
            <w:pPr>
              <w:pStyle w:val="TableParagraph"/>
              <w:spacing w:line="240" w:lineRule="auto" w:before="114"/>
              <w:ind w:left="10" w:right="1"/>
              <w:rPr>
                <w:sz w:val="20"/>
              </w:rPr>
            </w:pPr>
            <w:r>
              <w:rPr>
                <w:spacing w:val="-5"/>
                <w:sz w:val="20"/>
              </w:rPr>
              <w:t>233</w:t>
            </w:r>
          </w:p>
        </w:tc>
        <w:tc>
          <w:tcPr>
            <w:tcW w:w="7089" w:type="dxa"/>
          </w:tcPr>
          <w:p>
            <w:pPr>
              <w:pStyle w:val="TableParagraph"/>
              <w:spacing w:line="228" w:lineRule="exact"/>
              <w:jc w:val="left"/>
              <w:rPr>
                <w:sz w:val="20"/>
              </w:rPr>
            </w:pPr>
            <w:r>
              <w:rPr>
                <w:sz w:val="20"/>
              </w:rPr>
              <w:t>De la pelvis, con dolores persistentes y dificultad moderada para la marcha y los esfuerzos.</w:t>
            </w:r>
          </w:p>
        </w:tc>
        <w:tc>
          <w:tcPr>
            <w:tcW w:w="1457" w:type="dxa"/>
          </w:tcPr>
          <w:p>
            <w:pPr>
              <w:pStyle w:val="TableParagraph"/>
              <w:spacing w:line="240" w:lineRule="auto" w:before="114"/>
              <w:ind w:left="11" w:right="3"/>
              <w:rPr>
                <w:sz w:val="20"/>
              </w:rPr>
            </w:pPr>
            <w:r>
              <w:rPr>
                <w:sz w:val="20"/>
              </w:rPr>
              <w:t>15</w:t>
            </w:r>
            <w:r>
              <w:rPr>
                <w:spacing w:val="-3"/>
                <w:sz w:val="20"/>
              </w:rPr>
              <w:t> </w:t>
            </w:r>
            <w:r>
              <w:rPr>
                <w:sz w:val="20"/>
              </w:rPr>
              <w:t>a</w:t>
            </w:r>
            <w:r>
              <w:rPr>
                <w:spacing w:val="-1"/>
                <w:sz w:val="20"/>
              </w:rPr>
              <w:t> </w:t>
            </w:r>
            <w:r>
              <w:rPr>
                <w:spacing w:val="-5"/>
                <w:sz w:val="20"/>
              </w:rPr>
              <w:t>25%</w:t>
            </w:r>
          </w:p>
        </w:tc>
      </w:tr>
      <w:tr>
        <w:trPr>
          <w:trHeight w:val="460" w:hRule="atLeast"/>
        </w:trPr>
        <w:tc>
          <w:tcPr>
            <w:tcW w:w="1003" w:type="dxa"/>
          </w:tcPr>
          <w:p>
            <w:pPr>
              <w:pStyle w:val="TableParagraph"/>
              <w:spacing w:line="240" w:lineRule="auto" w:before="114"/>
              <w:ind w:left="10" w:right="1"/>
              <w:rPr>
                <w:sz w:val="20"/>
              </w:rPr>
            </w:pPr>
            <w:r>
              <w:rPr>
                <w:spacing w:val="-5"/>
                <w:sz w:val="20"/>
              </w:rPr>
              <w:t>234</w:t>
            </w:r>
          </w:p>
        </w:tc>
        <w:tc>
          <w:tcPr>
            <w:tcW w:w="7089" w:type="dxa"/>
          </w:tcPr>
          <w:p>
            <w:pPr>
              <w:pStyle w:val="TableParagraph"/>
              <w:spacing w:line="230" w:lineRule="exact"/>
              <w:jc w:val="left"/>
              <w:rPr>
                <w:sz w:val="20"/>
              </w:rPr>
            </w:pPr>
            <w:r>
              <w:rPr>
                <w:sz w:val="20"/>
              </w:rPr>
              <w:t>De</w:t>
            </w:r>
            <w:r>
              <w:rPr>
                <w:spacing w:val="31"/>
                <w:sz w:val="20"/>
              </w:rPr>
              <w:t> </w:t>
            </w:r>
            <w:r>
              <w:rPr>
                <w:sz w:val="20"/>
              </w:rPr>
              <w:t>la</w:t>
            </w:r>
            <w:r>
              <w:rPr>
                <w:spacing w:val="31"/>
                <w:sz w:val="20"/>
              </w:rPr>
              <w:t> </w:t>
            </w:r>
            <w:r>
              <w:rPr>
                <w:sz w:val="20"/>
              </w:rPr>
              <w:t>pelvis,</w:t>
            </w:r>
            <w:r>
              <w:rPr>
                <w:spacing w:val="31"/>
                <w:sz w:val="20"/>
              </w:rPr>
              <w:t> </w:t>
            </w:r>
            <w:r>
              <w:rPr>
                <w:sz w:val="20"/>
              </w:rPr>
              <w:t>con</w:t>
            </w:r>
            <w:r>
              <w:rPr>
                <w:spacing w:val="31"/>
                <w:sz w:val="20"/>
              </w:rPr>
              <w:t> </w:t>
            </w:r>
            <w:r>
              <w:rPr>
                <w:sz w:val="20"/>
              </w:rPr>
              <w:t>acortamiento</w:t>
            </w:r>
            <w:r>
              <w:rPr>
                <w:spacing w:val="31"/>
                <w:sz w:val="20"/>
              </w:rPr>
              <w:t> </w:t>
            </w:r>
            <w:r>
              <w:rPr>
                <w:sz w:val="20"/>
              </w:rPr>
              <w:t>o</w:t>
            </w:r>
            <w:r>
              <w:rPr>
                <w:spacing w:val="31"/>
                <w:sz w:val="20"/>
              </w:rPr>
              <w:t> </w:t>
            </w:r>
            <w:r>
              <w:rPr>
                <w:sz w:val="20"/>
              </w:rPr>
              <w:t>desviación</w:t>
            </w:r>
            <w:r>
              <w:rPr>
                <w:spacing w:val="31"/>
                <w:sz w:val="20"/>
              </w:rPr>
              <w:t> </w:t>
            </w:r>
            <w:r>
              <w:rPr>
                <w:sz w:val="20"/>
              </w:rPr>
              <w:t>del</w:t>
            </w:r>
            <w:r>
              <w:rPr>
                <w:spacing w:val="30"/>
                <w:sz w:val="20"/>
              </w:rPr>
              <w:t> </w:t>
            </w:r>
            <w:r>
              <w:rPr>
                <w:sz w:val="20"/>
              </w:rPr>
              <w:t>miembro</w:t>
            </w:r>
            <w:r>
              <w:rPr>
                <w:spacing w:val="32"/>
                <w:sz w:val="20"/>
              </w:rPr>
              <w:t> </w:t>
            </w:r>
            <w:r>
              <w:rPr>
                <w:sz w:val="20"/>
              </w:rPr>
              <w:t>inferior</w:t>
            </w:r>
            <w:r>
              <w:rPr>
                <w:spacing w:val="32"/>
                <w:sz w:val="20"/>
              </w:rPr>
              <w:t> </w:t>
            </w:r>
            <w:r>
              <w:rPr>
                <w:sz w:val="20"/>
              </w:rPr>
              <w:t>con</w:t>
            </w:r>
            <w:r>
              <w:rPr>
                <w:spacing w:val="31"/>
                <w:sz w:val="20"/>
              </w:rPr>
              <w:t> </w:t>
            </w:r>
            <w:r>
              <w:rPr>
                <w:sz w:val="20"/>
              </w:rPr>
              <w:t>o</w:t>
            </w:r>
            <w:r>
              <w:rPr>
                <w:spacing w:val="31"/>
                <w:sz w:val="20"/>
              </w:rPr>
              <w:t> </w:t>
            </w:r>
            <w:r>
              <w:rPr>
                <w:sz w:val="20"/>
              </w:rPr>
              <w:t>sin rigidez de la cadera.</w:t>
            </w:r>
          </w:p>
        </w:tc>
        <w:tc>
          <w:tcPr>
            <w:tcW w:w="1457" w:type="dxa"/>
          </w:tcPr>
          <w:p>
            <w:pPr>
              <w:pStyle w:val="TableParagraph"/>
              <w:spacing w:line="240" w:lineRule="auto" w:before="114"/>
              <w:ind w:left="11" w:right="3"/>
              <w:rPr>
                <w:sz w:val="20"/>
              </w:rPr>
            </w:pPr>
            <w:r>
              <w:rPr>
                <w:sz w:val="20"/>
              </w:rPr>
              <w:t>25</w:t>
            </w:r>
            <w:r>
              <w:rPr>
                <w:spacing w:val="-3"/>
                <w:sz w:val="20"/>
              </w:rPr>
              <w:t> </w:t>
            </w:r>
            <w:r>
              <w:rPr>
                <w:sz w:val="20"/>
              </w:rPr>
              <w:t>a</w:t>
            </w:r>
            <w:r>
              <w:rPr>
                <w:spacing w:val="-1"/>
                <w:sz w:val="20"/>
              </w:rPr>
              <w:t> </w:t>
            </w:r>
            <w:r>
              <w:rPr>
                <w:spacing w:val="-5"/>
                <w:sz w:val="20"/>
              </w:rPr>
              <w:t>50%</w:t>
            </w:r>
          </w:p>
        </w:tc>
      </w:tr>
      <w:tr>
        <w:trPr>
          <w:trHeight w:val="229" w:hRule="atLeast"/>
        </w:trPr>
        <w:tc>
          <w:tcPr>
            <w:tcW w:w="1003" w:type="dxa"/>
          </w:tcPr>
          <w:p>
            <w:pPr>
              <w:pStyle w:val="TableParagraph"/>
              <w:ind w:left="10" w:right="1"/>
              <w:rPr>
                <w:sz w:val="20"/>
              </w:rPr>
            </w:pPr>
            <w:r>
              <w:rPr>
                <w:spacing w:val="-5"/>
                <w:sz w:val="20"/>
              </w:rPr>
              <w:t>235</w:t>
            </w:r>
          </w:p>
        </w:tc>
        <w:tc>
          <w:tcPr>
            <w:tcW w:w="7089" w:type="dxa"/>
          </w:tcPr>
          <w:p>
            <w:pPr>
              <w:pStyle w:val="TableParagraph"/>
              <w:jc w:val="left"/>
              <w:rPr>
                <w:sz w:val="20"/>
              </w:rPr>
            </w:pPr>
            <w:r>
              <w:rPr>
                <w:sz w:val="20"/>
              </w:rPr>
              <w:t>Del</w:t>
            </w:r>
            <w:r>
              <w:rPr>
                <w:spacing w:val="-6"/>
                <w:sz w:val="20"/>
              </w:rPr>
              <w:t> </w:t>
            </w:r>
            <w:r>
              <w:rPr>
                <w:sz w:val="20"/>
              </w:rPr>
              <w:t>acetábulo,</w:t>
            </w:r>
            <w:r>
              <w:rPr>
                <w:spacing w:val="-6"/>
                <w:sz w:val="20"/>
              </w:rPr>
              <w:t> </w:t>
            </w:r>
            <w:r>
              <w:rPr>
                <w:sz w:val="20"/>
              </w:rPr>
              <w:t>con</w:t>
            </w:r>
            <w:r>
              <w:rPr>
                <w:spacing w:val="-6"/>
                <w:sz w:val="20"/>
              </w:rPr>
              <w:t> </w:t>
            </w:r>
            <w:r>
              <w:rPr>
                <w:sz w:val="20"/>
              </w:rPr>
              <w:t>hundimiento</w:t>
            </w:r>
            <w:r>
              <w:rPr>
                <w:spacing w:val="-7"/>
                <w:sz w:val="20"/>
              </w:rPr>
              <w:t> </w:t>
            </w:r>
            <w:r>
              <w:rPr>
                <w:sz w:val="20"/>
              </w:rPr>
              <w:t>con</w:t>
            </w:r>
            <w:r>
              <w:rPr>
                <w:spacing w:val="-6"/>
                <w:sz w:val="20"/>
              </w:rPr>
              <w:t> </w:t>
            </w:r>
            <w:r>
              <w:rPr>
                <w:sz w:val="20"/>
              </w:rPr>
              <w:t>o</w:t>
            </w:r>
            <w:r>
              <w:rPr>
                <w:spacing w:val="-8"/>
                <w:sz w:val="20"/>
              </w:rPr>
              <w:t> </w:t>
            </w:r>
            <w:r>
              <w:rPr>
                <w:sz w:val="20"/>
              </w:rPr>
              <w:t>sin</w:t>
            </w:r>
            <w:r>
              <w:rPr>
                <w:spacing w:val="-6"/>
                <w:sz w:val="20"/>
              </w:rPr>
              <w:t> </w:t>
            </w:r>
            <w:r>
              <w:rPr>
                <w:sz w:val="20"/>
              </w:rPr>
              <w:t>rigidez</w:t>
            </w:r>
            <w:r>
              <w:rPr>
                <w:spacing w:val="-7"/>
                <w:sz w:val="20"/>
              </w:rPr>
              <w:t> </w:t>
            </w:r>
            <w:r>
              <w:rPr>
                <w:sz w:val="20"/>
              </w:rPr>
              <w:t>de</w:t>
            </w:r>
            <w:r>
              <w:rPr>
                <w:spacing w:val="-5"/>
                <w:sz w:val="20"/>
              </w:rPr>
              <w:t> </w:t>
            </w:r>
            <w:r>
              <w:rPr>
                <w:sz w:val="20"/>
              </w:rPr>
              <w:t>la</w:t>
            </w:r>
            <w:r>
              <w:rPr>
                <w:spacing w:val="-2"/>
                <w:sz w:val="20"/>
              </w:rPr>
              <w:t> cadera.</w:t>
            </w:r>
          </w:p>
        </w:tc>
        <w:tc>
          <w:tcPr>
            <w:tcW w:w="1457" w:type="dxa"/>
          </w:tcPr>
          <w:p>
            <w:pPr>
              <w:pStyle w:val="TableParagraph"/>
              <w:ind w:left="11" w:right="3"/>
              <w:rPr>
                <w:sz w:val="20"/>
              </w:rPr>
            </w:pPr>
            <w:r>
              <w:rPr>
                <w:sz w:val="20"/>
              </w:rPr>
              <w:t>15</w:t>
            </w:r>
            <w:r>
              <w:rPr>
                <w:spacing w:val="-3"/>
                <w:sz w:val="20"/>
              </w:rPr>
              <w:t> </w:t>
            </w:r>
            <w:r>
              <w:rPr>
                <w:sz w:val="20"/>
              </w:rPr>
              <w:t>a</w:t>
            </w:r>
            <w:r>
              <w:rPr>
                <w:spacing w:val="-1"/>
                <w:sz w:val="20"/>
              </w:rPr>
              <w:t> </w:t>
            </w:r>
            <w:r>
              <w:rPr>
                <w:spacing w:val="-5"/>
                <w:sz w:val="20"/>
              </w:rPr>
              <w:t>40%</w:t>
            </w:r>
          </w:p>
        </w:tc>
      </w:tr>
      <w:tr>
        <w:trPr>
          <w:trHeight w:val="460" w:hRule="atLeast"/>
        </w:trPr>
        <w:tc>
          <w:tcPr>
            <w:tcW w:w="1003" w:type="dxa"/>
          </w:tcPr>
          <w:p>
            <w:pPr>
              <w:pStyle w:val="TableParagraph"/>
              <w:spacing w:line="240" w:lineRule="auto" w:before="114"/>
              <w:ind w:left="10" w:right="1"/>
              <w:rPr>
                <w:sz w:val="20"/>
              </w:rPr>
            </w:pPr>
            <w:r>
              <w:rPr>
                <w:spacing w:val="-5"/>
                <w:sz w:val="20"/>
              </w:rPr>
              <w:t>236</w:t>
            </w:r>
          </w:p>
        </w:tc>
        <w:tc>
          <w:tcPr>
            <w:tcW w:w="7089" w:type="dxa"/>
          </w:tcPr>
          <w:p>
            <w:pPr>
              <w:pStyle w:val="TableParagraph"/>
              <w:spacing w:line="230" w:lineRule="exact"/>
              <w:jc w:val="left"/>
              <w:rPr>
                <w:sz w:val="20"/>
              </w:rPr>
            </w:pPr>
            <w:r>
              <w:rPr>
                <w:sz w:val="20"/>
              </w:rPr>
              <w:t>De la rama horizontal del pubis, con ligeros dolores persistentes y moderada dificultad para la marcha o los esfuerzos.</w:t>
            </w:r>
          </w:p>
        </w:tc>
        <w:tc>
          <w:tcPr>
            <w:tcW w:w="1457" w:type="dxa"/>
          </w:tcPr>
          <w:p>
            <w:pPr>
              <w:pStyle w:val="TableParagraph"/>
              <w:spacing w:line="240" w:lineRule="auto" w:before="114"/>
              <w:ind w:left="11" w:right="3"/>
              <w:rPr>
                <w:sz w:val="20"/>
              </w:rPr>
            </w:pPr>
            <w:r>
              <w:rPr>
                <w:sz w:val="20"/>
              </w:rPr>
              <w:t>15</w:t>
            </w:r>
            <w:r>
              <w:rPr>
                <w:spacing w:val="-3"/>
                <w:sz w:val="20"/>
              </w:rPr>
              <w:t> </w:t>
            </w:r>
            <w:r>
              <w:rPr>
                <w:sz w:val="20"/>
              </w:rPr>
              <w:t>a</w:t>
            </w:r>
            <w:r>
              <w:rPr>
                <w:spacing w:val="-1"/>
                <w:sz w:val="20"/>
              </w:rPr>
              <w:t> </w:t>
            </w:r>
            <w:r>
              <w:rPr>
                <w:spacing w:val="-5"/>
                <w:sz w:val="20"/>
              </w:rPr>
              <w:t>20%</w:t>
            </w:r>
          </w:p>
        </w:tc>
      </w:tr>
      <w:tr>
        <w:trPr>
          <w:trHeight w:val="460" w:hRule="atLeast"/>
        </w:trPr>
        <w:tc>
          <w:tcPr>
            <w:tcW w:w="1003" w:type="dxa"/>
          </w:tcPr>
          <w:p>
            <w:pPr>
              <w:pStyle w:val="TableParagraph"/>
              <w:spacing w:line="240" w:lineRule="auto" w:before="114"/>
              <w:ind w:left="10" w:right="1"/>
              <w:rPr>
                <w:sz w:val="20"/>
              </w:rPr>
            </w:pPr>
            <w:r>
              <w:rPr>
                <w:spacing w:val="-5"/>
                <w:sz w:val="20"/>
              </w:rPr>
              <w:t>237</w:t>
            </w:r>
          </w:p>
        </w:tc>
        <w:tc>
          <w:tcPr>
            <w:tcW w:w="7089" w:type="dxa"/>
          </w:tcPr>
          <w:p>
            <w:pPr>
              <w:pStyle w:val="TableParagraph"/>
              <w:spacing w:line="230" w:lineRule="exact"/>
              <w:jc w:val="left"/>
              <w:rPr>
                <w:sz w:val="20"/>
              </w:rPr>
            </w:pPr>
            <w:r>
              <w:rPr>
                <w:sz w:val="20"/>
              </w:rPr>
              <w:t>De</w:t>
            </w:r>
            <w:r>
              <w:rPr>
                <w:spacing w:val="40"/>
                <w:sz w:val="20"/>
              </w:rPr>
              <w:t> </w:t>
            </w:r>
            <w:r>
              <w:rPr>
                <w:sz w:val="20"/>
              </w:rPr>
              <w:t>la</w:t>
            </w:r>
            <w:r>
              <w:rPr>
                <w:spacing w:val="40"/>
                <w:sz w:val="20"/>
              </w:rPr>
              <w:t> </w:t>
            </w:r>
            <w:r>
              <w:rPr>
                <w:sz w:val="20"/>
              </w:rPr>
              <w:t>rama</w:t>
            </w:r>
            <w:r>
              <w:rPr>
                <w:spacing w:val="40"/>
                <w:sz w:val="20"/>
              </w:rPr>
              <w:t> </w:t>
            </w:r>
            <w:r>
              <w:rPr>
                <w:sz w:val="20"/>
              </w:rPr>
              <w:t>isquiopúbica,</w:t>
            </w:r>
            <w:r>
              <w:rPr>
                <w:spacing w:val="40"/>
                <w:sz w:val="20"/>
              </w:rPr>
              <w:t> </w:t>
            </w:r>
            <w:r>
              <w:rPr>
                <w:sz w:val="20"/>
              </w:rPr>
              <w:t>con</w:t>
            </w:r>
            <w:r>
              <w:rPr>
                <w:spacing w:val="40"/>
                <w:sz w:val="20"/>
              </w:rPr>
              <w:t> </w:t>
            </w:r>
            <w:r>
              <w:rPr>
                <w:sz w:val="20"/>
              </w:rPr>
              <w:t>moderada</w:t>
            </w:r>
            <w:r>
              <w:rPr>
                <w:spacing w:val="40"/>
                <w:sz w:val="20"/>
              </w:rPr>
              <w:t> </w:t>
            </w:r>
            <w:r>
              <w:rPr>
                <w:sz w:val="20"/>
              </w:rPr>
              <w:t>dificultad</w:t>
            </w:r>
            <w:r>
              <w:rPr>
                <w:spacing w:val="40"/>
                <w:sz w:val="20"/>
              </w:rPr>
              <w:t> </w:t>
            </w:r>
            <w:r>
              <w:rPr>
                <w:sz w:val="20"/>
              </w:rPr>
              <w:t>para</w:t>
            </w:r>
            <w:r>
              <w:rPr>
                <w:spacing w:val="40"/>
                <w:sz w:val="20"/>
              </w:rPr>
              <w:t> </w:t>
            </w:r>
            <w:r>
              <w:rPr>
                <w:sz w:val="20"/>
              </w:rPr>
              <w:t>la</w:t>
            </w:r>
            <w:r>
              <w:rPr>
                <w:spacing w:val="40"/>
                <w:sz w:val="20"/>
              </w:rPr>
              <w:t> </w:t>
            </w:r>
            <w:r>
              <w:rPr>
                <w:sz w:val="20"/>
              </w:rPr>
              <w:t>marcha</w:t>
            </w:r>
            <w:r>
              <w:rPr>
                <w:spacing w:val="40"/>
                <w:sz w:val="20"/>
              </w:rPr>
              <w:t> </w:t>
            </w:r>
            <w:r>
              <w:rPr>
                <w:sz w:val="20"/>
              </w:rPr>
              <w:t>y</w:t>
            </w:r>
            <w:r>
              <w:rPr>
                <w:spacing w:val="40"/>
                <w:sz w:val="20"/>
              </w:rPr>
              <w:t> </w:t>
            </w:r>
            <w:r>
              <w:rPr>
                <w:sz w:val="20"/>
              </w:rPr>
              <w:t>los</w:t>
            </w:r>
            <w:r>
              <w:rPr>
                <w:spacing w:val="40"/>
                <w:sz w:val="20"/>
              </w:rPr>
              <w:t> </w:t>
            </w:r>
            <w:r>
              <w:rPr>
                <w:spacing w:val="-2"/>
                <w:sz w:val="20"/>
              </w:rPr>
              <w:t>esfuerzos.</w:t>
            </w:r>
          </w:p>
        </w:tc>
        <w:tc>
          <w:tcPr>
            <w:tcW w:w="1457" w:type="dxa"/>
          </w:tcPr>
          <w:p>
            <w:pPr>
              <w:pStyle w:val="TableParagraph"/>
              <w:spacing w:line="240" w:lineRule="auto" w:before="114"/>
              <w:ind w:left="11" w:right="3"/>
              <w:rPr>
                <w:sz w:val="20"/>
              </w:rPr>
            </w:pPr>
            <w:r>
              <w:rPr>
                <w:sz w:val="20"/>
              </w:rPr>
              <w:t>15</w:t>
            </w:r>
            <w:r>
              <w:rPr>
                <w:spacing w:val="-3"/>
                <w:sz w:val="20"/>
              </w:rPr>
              <w:t> </w:t>
            </w:r>
            <w:r>
              <w:rPr>
                <w:sz w:val="20"/>
              </w:rPr>
              <w:t>a</w:t>
            </w:r>
            <w:r>
              <w:rPr>
                <w:spacing w:val="-1"/>
                <w:sz w:val="20"/>
              </w:rPr>
              <w:t> </w:t>
            </w:r>
            <w:r>
              <w:rPr>
                <w:spacing w:val="-5"/>
                <w:sz w:val="20"/>
              </w:rPr>
              <w:t>20%</w:t>
            </w:r>
          </w:p>
        </w:tc>
      </w:tr>
      <w:tr>
        <w:trPr>
          <w:trHeight w:val="460" w:hRule="atLeast"/>
        </w:trPr>
        <w:tc>
          <w:tcPr>
            <w:tcW w:w="1003" w:type="dxa"/>
          </w:tcPr>
          <w:p>
            <w:pPr>
              <w:pStyle w:val="TableParagraph"/>
              <w:spacing w:line="240" w:lineRule="auto" w:before="114"/>
              <w:ind w:left="10" w:right="1"/>
              <w:rPr>
                <w:sz w:val="20"/>
              </w:rPr>
            </w:pPr>
            <w:r>
              <w:rPr>
                <w:spacing w:val="-5"/>
                <w:sz w:val="20"/>
              </w:rPr>
              <w:t>238</w:t>
            </w:r>
          </w:p>
        </w:tc>
        <w:tc>
          <w:tcPr>
            <w:tcW w:w="7089" w:type="dxa"/>
          </w:tcPr>
          <w:p>
            <w:pPr>
              <w:pStyle w:val="TableParagraph"/>
              <w:spacing w:line="230" w:lineRule="exact"/>
              <w:jc w:val="left"/>
              <w:rPr>
                <w:sz w:val="20"/>
              </w:rPr>
            </w:pPr>
            <w:r>
              <w:rPr>
                <w:sz w:val="20"/>
              </w:rPr>
              <w:t>De</w:t>
            </w:r>
            <w:r>
              <w:rPr>
                <w:spacing w:val="30"/>
                <w:sz w:val="20"/>
              </w:rPr>
              <w:t> </w:t>
            </w:r>
            <w:r>
              <w:rPr>
                <w:sz w:val="20"/>
              </w:rPr>
              <w:t>la</w:t>
            </w:r>
            <w:r>
              <w:rPr>
                <w:spacing w:val="30"/>
                <w:sz w:val="20"/>
              </w:rPr>
              <w:t> </w:t>
            </w:r>
            <w:r>
              <w:rPr>
                <w:sz w:val="20"/>
              </w:rPr>
              <w:t>rama</w:t>
            </w:r>
            <w:r>
              <w:rPr>
                <w:spacing w:val="30"/>
                <w:sz w:val="20"/>
              </w:rPr>
              <w:t> </w:t>
            </w:r>
            <w:r>
              <w:rPr>
                <w:sz w:val="20"/>
              </w:rPr>
              <w:t>horizontal</w:t>
            </w:r>
            <w:r>
              <w:rPr>
                <w:spacing w:val="32"/>
                <w:sz w:val="20"/>
              </w:rPr>
              <w:t> </w:t>
            </w:r>
            <w:r>
              <w:rPr>
                <w:sz w:val="20"/>
              </w:rPr>
              <w:t>y</w:t>
            </w:r>
            <w:r>
              <w:rPr>
                <w:spacing w:val="27"/>
                <w:sz w:val="20"/>
              </w:rPr>
              <w:t> </w:t>
            </w:r>
            <w:r>
              <w:rPr>
                <w:sz w:val="20"/>
              </w:rPr>
              <w:t>de</w:t>
            </w:r>
            <w:r>
              <w:rPr>
                <w:spacing w:val="30"/>
                <w:sz w:val="20"/>
              </w:rPr>
              <w:t> </w:t>
            </w:r>
            <w:r>
              <w:rPr>
                <w:sz w:val="20"/>
              </w:rPr>
              <w:t>la</w:t>
            </w:r>
            <w:r>
              <w:rPr>
                <w:spacing w:val="30"/>
                <w:sz w:val="20"/>
              </w:rPr>
              <w:t> </w:t>
            </w:r>
            <w:r>
              <w:rPr>
                <w:sz w:val="20"/>
              </w:rPr>
              <w:t>rama</w:t>
            </w:r>
            <w:r>
              <w:rPr>
                <w:spacing w:val="30"/>
                <w:sz w:val="20"/>
              </w:rPr>
              <w:t> </w:t>
            </w:r>
            <w:r>
              <w:rPr>
                <w:sz w:val="20"/>
              </w:rPr>
              <w:t>isquiopúbica,</w:t>
            </w:r>
            <w:r>
              <w:rPr>
                <w:spacing w:val="35"/>
                <w:sz w:val="20"/>
              </w:rPr>
              <w:t> </w:t>
            </w:r>
            <w:r>
              <w:rPr>
                <w:sz w:val="20"/>
              </w:rPr>
              <w:t>con</w:t>
            </w:r>
            <w:r>
              <w:rPr>
                <w:spacing w:val="30"/>
                <w:sz w:val="20"/>
              </w:rPr>
              <w:t> </w:t>
            </w:r>
            <w:r>
              <w:rPr>
                <w:sz w:val="20"/>
              </w:rPr>
              <w:t>dolores</w:t>
            </w:r>
            <w:r>
              <w:rPr>
                <w:spacing w:val="32"/>
                <w:sz w:val="20"/>
              </w:rPr>
              <w:t> </w:t>
            </w:r>
            <w:r>
              <w:rPr>
                <w:sz w:val="20"/>
              </w:rPr>
              <w:t>persistentes, trastornos vesicales y acentuada dificultad para la marcha o los esfuerzos.</w:t>
            </w:r>
          </w:p>
        </w:tc>
        <w:tc>
          <w:tcPr>
            <w:tcW w:w="1457" w:type="dxa"/>
          </w:tcPr>
          <w:p>
            <w:pPr>
              <w:pStyle w:val="TableParagraph"/>
              <w:spacing w:line="240" w:lineRule="auto" w:before="114"/>
              <w:ind w:left="11" w:right="3"/>
              <w:rPr>
                <w:sz w:val="20"/>
              </w:rPr>
            </w:pPr>
            <w:r>
              <w:rPr>
                <w:sz w:val="20"/>
              </w:rPr>
              <w:t>40</w:t>
            </w:r>
            <w:r>
              <w:rPr>
                <w:spacing w:val="-3"/>
                <w:sz w:val="20"/>
              </w:rPr>
              <w:t> </w:t>
            </w:r>
            <w:r>
              <w:rPr>
                <w:sz w:val="20"/>
              </w:rPr>
              <w:t>a</w:t>
            </w:r>
            <w:r>
              <w:rPr>
                <w:spacing w:val="-1"/>
                <w:sz w:val="20"/>
              </w:rPr>
              <w:t> </w:t>
            </w:r>
            <w:r>
              <w:rPr>
                <w:spacing w:val="-5"/>
                <w:sz w:val="20"/>
              </w:rPr>
              <w:t>60%</w:t>
            </w:r>
          </w:p>
        </w:tc>
      </w:tr>
      <w:tr>
        <w:trPr>
          <w:trHeight w:val="230" w:hRule="atLeast"/>
        </w:trPr>
        <w:tc>
          <w:tcPr>
            <w:tcW w:w="1003" w:type="dxa"/>
          </w:tcPr>
          <w:p>
            <w:pPr>
              <w:pStyle w:val="TableParagraph"/>
              <w:ind w:left="10" w:right="1"/>
              <w:rPr>
                <w:sz w:val="20"/>
              </w:rPr>
            </w:pPr>
            <w:r>
              <w:rPr>
                <w:spacing w:val="-5"/>
                <w:sz w:val="20"/>
              </w:rPr>
              <w:t>239</w:t>
            </w:r>
          </w:p>
        </w:tc>
        <w:tc>
          <w:tcPr>
            <w:tcW w:w="7089" w:type="dxa"/>
          </w:tcPr>
          <w:p>
            <w:pPr>
              <w:pStyle w:val="TableParagraph"/>
              <w:jc w:val="left"/>
              <w:rPr>
                <w:sz w:val="20"/>
              </w:rPr>
            </w:pPr>
            <w:r>
              <w:rPr>
                <w:sz w:val="20"/>
              </w:rPr>
              <w:t>Del</w:t>
            </w:r>
            <w:r>
              <w:rPr>
                <w:spacing w:val="-8"/>
                <w:sz w:val="20"/>
              </w:rPr>
              <w:t> </w:t>
            </w:r>
            <w:r>
              <w:rPr>
                <w:sz w:val="20"/>
              </w:rPr>
              <w:t>cuello</w:t>
            </w:r>
            <w:r>
              <w:rPr>
                <w:spacing w:val="-6"/>
                <w:sz w:val="20"/>
              </w:rPr>
              <w:t> </w:t>
            </w:r>
            <w:r>
              <w:rPr>
                <w:sz w:val="20"/>
              </w:rPr>
              <w:t>del</w:t>
            </w:r>
            <w:r>
              <w:rPr>
                <w:spacing w:val="-8"/>
                <w:sz w:val="20"/>
              </w:rPr>
              <w:t> </w:t>
            </w:r>
            <w:r>
              <w:rPr>
                <w:sz w:val="20"/>
              </w:rPr>
              <w:t>fémur</w:t>
            </w:r>
            <w:r>
              <w:rPr>
                <w:spacing w:val="-3"/>
                <w:sz w:val="20"/>
              </w:rPr>
              <w:t> </w:t>
            </w:r>
            <w:r>
              <w:rPr>
                <w:sz w:val="20"/>
              </w:rPr>
              <w:t>y</w:t>
            </w:r>
            <w:r>
              <w:rPr>
                <w:spacing w:val="-12"/>
                <w:sz w:val="20"/>
              </w:rPr>
              <w:t> </w:t>
            </w:r>
            <w:r>
              <w:rPr>
                <w:sz w:val="20"/>
              </w:rPr>
              <w:t>región</w:t>
            </w:r>
            <w:r>
              <w:rPr>
                <w:spacing w:val="-7"/>
                <w:sz w:val="20"/>
              </w:rPr>
              <w:t> </w:t>
            </w:r>
            <w:r>
              <w:rPr>
                <w:sz w:val="20"/>
              </w:rPr>
              <w:t>trocantérea,</w:t>
            </w:r>
            <w:r>
              <w:rPr>
                <w:spacing w:val="-6"/>
                <w:sz w:val="20"/>
              </w:rPr>
              <w:t> </w:t>
            </w:r>
            <w:r>
              <w:rPr>
                <w:sz w:val="20"/>
              </w:rPr>
              <w:t>con</w:t>
            </w:r>
            <w:r>
              <w:rPr>
                <w:spacing w:val="-7"/>
                <w:sz w:val="20"/>
              </w:rPr>
              <w:t> </w:t>
            </w:r>
            <w:r>
              <w:rPr>
                <w:sz w:val="20"/>
              </w:rPr>
              <w:t>rigidez,</w:t>
            </w:r>
            <w:r>
              <w:rPr>
                <w:spacing w:val="-4"/>
                <w:sz w:val="20"/>
              </w:rPr>
              <w:t> </w:t>
            </w:r>
            <w:r>
              <w:rPr>
                <w:sz w:val="20"/>
              </w:rPr>
              <w:t>claudicación</w:t>
            </w:r>
            <w:r>
              <w:rPr>
                <w:spacing w:val="-5"/>
                <w:sz w:val="20"/>
              </w:rPr>
              <w:t> </w:t>
            </w:r>
            <w:r>
              <w:rPr>
                <w:sz w:val="20"/>
              </w:rPr>
              <w:t>y</w:t>
            </w:r>
            <w:r>
              <w:rPr>
                <w:spacing w:val="-7"/>
                <w:sz w:val="20"/>
              </w:rPr>
              <w:t> </w:t>
            </w:r>
            <w:r>
              <w:rPr>
                <w:spacing w:val="-2"/>
                <w:sz w:val="20"/>
              </w:rPr>
              <w:t>dolor.</w:t>
            </w:r>
          </w:p>
        </w:tc>
        <w:tc>
          <w:tcPr>
            <w:tcW w:w="1457" w:type="dxa"/>
          </w:tcPr>
          <w:p>
            <w:pPr>
              <w:pStyle w:val="TableParagraph"/>
              <w:ind w:left="11" w:right="3"/>
              <w:rPr>
                <w:sz w:val="20"/>
              </w:rPr>
            </w:pPr>
            <w:r>
              <w:rPr>
                <w:sz w:val="20"/>
              </w:rPr>
              <w:t>30</w:t>
            </w:r>
            <w:r>
              <w:rPr>
                <w:spacing w:val="-3"/>
                <w:sz w:val="20"/>
              </w:rPr>
              <w:t> </w:t>
            </w:r>
            <w:r>
              <w:rPr>
                <w:sz w:val="20"/>
              </w:rPr>
              <w:t>a</w:t>
            </w:r>
            <w:r>
              <w:rPr>
                <w:spacing w:val="-1"/>
                <w:sz w:val="20"/>
              </w:rPr>
              <w:t> </w:t>
            </w:r>
            <w:r>
              <w:rPr>
                <w:spacing w:val="-5"/>
                <w:sz w:val="20"/>
              </w:rPr>
              <w:t>40%</w:t>
            </w:r>
          </w:p>
        </w:tc>
      </w:tr>
      <w:tr>
        <w:trPr>
          <w:trHeight w:val="460" w:hRule="atLeast"/>
        </w:trPr>
        <w:tc>
          <w:tcPr>
            <w:tcW w:w="1003" w:type="dxa"/>
          </w:tcPr>
          <w:p>
            <w:pPr>
              <w:pStyle w:val="TableParagraph"/>
              <w:spacing w:line="240" w:lineRule="auto" w:before="114"/>
              <w:ind w:left="10" w:right="1"/>
              <w:rPr>
                <w:sz w:val="20"/>
              </w:rPr>
            </w:pPr>
            <w:r>
              <w:rPr>
                <w:spacing w:val="-5"/>
                <w:sz w:val="20"/>
              </w:rPr>
              <w:t>240</w:t>
            </w:r>
          </w:p>
        </w:tc>
        <w:tc>
          <w:tcPr>
            <w:tcW w:w="7089" w:type="dxa"/>
          </w:tcPr>
          <w:p>
            <w:pPr>
              <w:pStyle w:val="TableParagraph"/>
              <w:spacing w:line="230" w:lineRule="exact"/>
              <w:jc w:val="left"/>
              <w:rPr>
                <w:sz w:val="20"/>
              </w:rPr>
            </w:pPr>
            <w:r>
              <w:rPr>
                <w:sz w:val="20"/>
              </w:rPr>
              <w:t>Del</w:t>
            </w:r>
            <w:r>
              <w:rPr>
                <w:spacing w:val="40"/>
                <w:sz w:val="20"/>
              </w:rPr>
              <w:t> </w:t>
            </w:r>
            <w:r>
              <w:rPr>
                <w:sz w:val="20"/>
              </w:rPr>
              <w:t>cuello</w:t>
            </w:r>
            <w:r>
              <w:rPr>
                <w:spacing w:val="40"/>
                <w:sz w:val="20"/>
              </w:rPr>
              <w:t> </w:t>
            </w:r>
            <w:r>
              <w:rPr>
                <w:sz w:val="20"/>
              </w:rPr>
              <w:t>del</w:t>
            </w:r>
            <w:r>
              <w:rPr>
                <w:spacing w:val="40"/>
                <w:sz w:val="20"/>
              </w:rPr>
              <w:t> </w:t>
            </w:r>
            <w:r>
              <w:rPr>
                <w:sz w:val="20"/>
              </w:rPr>
              <w:t>fémur</w:t>
            </w:r>
            <w:r>
              <w:rPr>
                <w:spacing w:val="40"/>
                <w:sz w:val="20"/>
              </w:rPr>
              <w:t> </w:t>
            </w:r>
            <w:r>
              <w:rPr>
                <w:sz w:val="20"/>
              </w:rPr>
              <w:t>y</w:t>
            </w:r>
            <w:r>
              <w:rPr>
                <w:spacing w:val="40"/>
                <w:sz w:val="20"/>
              </w:rPr>
              <w:t> </w:t>
            </w:r>
            <w:r>
              <w:rPr>
                <w:sz w:val="20"/>
              </w:rPr>
              <w:t>región</w:t>
            </w:r>
            <w:r>
              <w:rPr>
                <w:spacing w:val="40"/>
                <w:sz w:val="20"/>
              </w:rPr>
              <w:t> </w:t>
            </w:r>
            <w:r>
              <w:rPr>
                <w:sz w:val="20"/>
              </w:rPr>
              <w:t>trocantérea,</w:t>
            </w:r>
            <w:r>
              <w:rPr>
                <w:spacing w:val="40"/>
                <w:sz w:val="20"/>
              </w:rPr>
              <w:t> </w:t>
            </w:r>
            <w:r>
              <w:rPr>
                <w:sz w:val="20"/>
              </w:rPr>
              <w:t>con</w:t>
            </w:r>
            <w:r>
              <w:rPr>
                <w:spacing w:val="40"/>
                <w:sz w:val="20"/>
              </w:rPr>
              <w:t> </w:t>
            </w:r>
            <w:r>
              <w:rPr>
                <w:sz w:val="20"/>
              </w:rPr>
              <w:t>acortamiento</w:t>
            </w:r>
            <w:r>
              <w:rPr>
                <w:spacing w:val="40"/>
                <w:sz w:val="20"/>
              </w:rPr>
              <w:t> </w:t>
            </w:r>
            <w:r>
              <w:rPr>
                <w:sz w:val="20"/>
              </w:rPr>
              <w:t>mayor</w:t>
            </w:r>
            <w:r>
              <w:rPr>
                <w:spacing w:val="40"/>
                <w:sz w:val="20"/>
              </w:rPr>
              <w:t> </w:t>
            </w:r>
            <w:r>
              <w:rPr>
                <w:sz w:val="20"/>
              </w:rPr>
              <w:t>a</w:t>
            </w:r>
            <w:r>
              <w:rPr>
                <w:spacing w:val="40"/>
                <w:sz w:val="20"/>
              </w:rPr>
              <w:t> </w:t>
            </w:r>
            <w:r>
              <w:rPr>
                <w:sz w:val="20"/>
              </w:rPr>
              <w:t>6</w:t>
            </w:r>
            <w:r>
              <w:rPr>
                <w:spacing w:val="80"/>
                <w:sz w:val="20"/>
              </w:rPr>
              <w:t> </w:t>
            </w:r>
            <w:r>
              <w:rPr>
                <w:sz w:val="20"/>
              </w:rPr>
              <w:t>centímetros, rigideces articulares y desviaciones angulares.</w:t>
            </w:r>
          </w:p>
        </w:tc>
        <w:tc>
          <w:tcPr>
            <w:tcW w:w="1457" w:type="dxa"/>
          </w:tcPr>
          <w:p>
            <w:pPr>
              <w:pStyle w:val="TableParagraph"/>
              <w:spacing w:line="240" w:lineRule="auto" w:before="114"/>
              <w:ind w:left="11" w:right="3"/>
              <w:rPr>
                <w:sz w:val="20"/>
              </w:rPr>
            </w:pPr>
            <w:r>
              <w:rPr>
                <w:sz w:val="20"/>
              </w:rPr>
              <w:t>60</w:t>
            </w:r>
            <w:r>
              <w:rPr>
                <w:spacing w:val="-3"/>
                <w:sz w:val="20"/>
              </w:rPr>
              <w:t> </w:t>
            </w:r>
            <w:r>
              <w:rPr>
                <w:sz w:val="20"/>
              </w:rPr>
              <w:t>a</w:t>
            </w:r>
            <w:r>
              <w:rPr>
                <w:spacing w:val="-1"/>
                <w:sz w:val="20"/>
              </w:rPr>
              <w:t> </w:t>
            </w:r>
            <w:r>
              <w:rPr>
                <w:spacing w:val="-5"/>
                <w:sz w:val="20"/>
              </w:rPr>
              <w:t>80%</w:t>
            </w:r>
          </w:p>
        </w:tc>
      </w:tr>
      <w:tr>
        <w:trPr>
          <w:trHeight w:val="460" w:hRule="atLeast"/>
        </w:trPr>
        <w:tc>
          <w:tcPr>
            <w:tcW w:w="1003" w:type="dxa"/>
          </w:tcPr>
          <w:p>
            <w:pPr>
              <w:pStyle w:val="TableParagraph"/>
              <w:spacing w:line="240" w:lineRule="auto" w:before="114"/>
              <w:ind w:left="10" w:right="1"/>
              <w:rPr>
                <w:sz w:val="20"/>
              </w:rPr>
            </w:pPr>
            <w:r>
              <w:rPr>
                <w:spacing w:val="-5"/>
                <w:sz w:val="20"/>
              </w:rPr>
              <w:t>241</w:t>
            </w:r>
          </w:p>
        </w:tc>
        <w:tc>
          <w:tcPr>
            <w:tcW w:w="7089" w:type="dxa"/>
          </w:tcPr>
          <w:p>
            <w:pPr>
              <w:pStyle w:val="TableParagraph"/>
              <w:spacing w:line="230" w:lineRule="exact"/>
              <w:jc w:val="left"/>
              <w:rPr>
                <w:sz w:val="20"/>
              </w:rPr>
            </w:pPr>
            <w:r>
              <w:rPr>
                <w:sz w:val="20"/>
              </w:rPr>
              <w:t>De</w:t>
            </w:r>
            <w:r>
              <w:rPr>
                <w:spacing w:val="40"/>
                <w:sz w:val="20"/>
              </w:rPr>
              <w:t> </w:t>
            </w:r>
            <w:r>
              <w:rPr>
                <w:sz w:val="20"/>
              </w:rPr>
              <w:t>la</w:t>
            </w:r>
            <w:r>
              <w:rPr>
                <w:spacing w:val="40"/>
                <w:sz w:val="20"/>
              </w:rPr>
              <w:t> </w:t>
            </w:r>
            <w:r>
              <w:rPr>
                <w:sz w:val="20"/>
              </w:rPr>
              <w:t>diáfisis</w:t>
            </w:r>
            <w:r>
              <w:rPr>
                <w:spacing w:val="40"/>
                <w:sz w:val="20"/>
              </w:rPr>
              <w:t> </w:t>
            </w:r>
            <w:r>
              <w:rPr>
                <w:sz w:val="20"/>
              </w:rPr>
              <w:t>femoral,</w:t>
            </w:r>
            <w:r>
              <w:rPr>
                <w:spacing w:val="40"/>
                <w:sz w:val="20"/>
              </w:rPr>
              <w:t> </w:t>
            </w:r>
            <w:r>
              <w:rPr>
                <w:sz w:val="20"/>
              </w:rPr>
              <w:t>con</w:t>
            </w:r>
            <w:r>
              <w:rPr>
                <w:spacing w:val="40"/>
                <w:sz w:val="20"/>
              </w:rPr>
              <w:t> </w:t>
            </w:r>
            <w:r>
              <w:rPr>
                <w:sz w:val="20"/>
              </w:rPr>
              <w:t>acortamiento</w:t>
            </w:r>
            <w:r>
              <w:rPr>
                <w:spacing w:val="40"/>
                <w:sz w:val="20"/>
              </w:rPr>
              <w:t> </w:t>
            </w:r>
            <w:r>
              <w:rPr>
                <w:sz w:val="20"/>
              </w:rPr>
              <w:t>de</w:t>
            </w:r>
            <w:r>
              <w:rPr>
                <w:spacing w:val="40"/>
                <w:sz w:val="20"/>
              </w:rPr>
              <w:t> </w:t>
            </w:r>
            <w:r>
              <w:rPr>
                <w:sz w:val="20"/>
              </w:rPr>
              <w:t>1</w:t>
            </w:r>
            <w:r>
              <w:rPr>
                <w:spacing w:val="40"/>
                <w:sz w:val="20"/>
              </w:rPr>
              <w:t> </w:t>
            </w:r>
            <w:r>
              <w:rPr>
                <w:sz w:val="20"/>
              </w:rPr>
              <w:t>a</w:t>
            </w:r>
            <w:r>
              <w:rPr>
                <w:spacing w:val="40"/>
                <w:sz w:val="20"/>
              </w:rPr>
              <w:t> </w:t>
            </w:r>
            <w:r>
              <w:rPr>
                <w:sz w:val="20"/>
              </w:rPr>
              <w:t>4</w:t>
            </w:r>
            <w:r>
              <w:rPr>
                <w:spacing w:val="40"/>
                <w:sz w:val="20"/>
              </w:rPr>
              <w:t> </w:t>
            </w:r>
            <w:r>
              <w:rPr>
                <w:sz w:val="20"/>
              </w:rPr>
              <w:t>centímetros,</w:t>
            </w:r>
            <w:r>
              <w:rPr>
                <w:spacing w:val="40"/>
                <w:sz w:val="20"/>
              </w:rPr>
              <w:t> </w:t>
            </w:r>
            <w:r>
              <w:rPr>
                <w:sz w:val="20"/>
              </w:rPr>
              <w:t>con</w:t>
            </w:r>
            <w:r>
              <w:rPr>
                <w:spacing w:val="40"/>
                <w:sz w:val="20"/>
              </w:rPr>
              <w:t> </w:t>
            </w:r>
            <w:r>
              <w:rPr>
                <w:sz w:val="20"/>
              </w:rPr>
              <w:t>o</w:t>
            </w:r>
            <w:r>
              <w:rPr>
                <w:spacing w:val="40"/>
                <w:sz w:val="20"/>
              </w:rPr>
              <w:t> </w:t>
            </w:r>
            <w:r>
              <w:rPr>
                <w:sz w:val="20"/>
              </w:rPr>
              <w:t>sin rigidez, con o sin atrofia muscular.</w:t>
            </w:r>
          </w:p>
        </w:tc>
        <w:tc>
          <w:tcPr>
            <w:tcW w:w="1457" w:type="dxa"/>
          </w:tcPr>
          <w:p>
            <w:pPr>
              <w:pStyle w:val="TableParagraph"/>
              <w:spacing w:line="240" w:lineRule="auto" w:before="114"/>
              <w:ind w:left="11" w:right="3"/>
              <w:rPr>
                <w:sz w:val="20"/>
              </w:rPr>
            </w:pPr>
            <w:r>
              <w:rPr>
                <w:sz w:val="20"/>
              </w:rPr>
              <w:t>8</w:t>
            </w:r>
            <w:r>
              <w:rPr>
                <w:spacing w:val="-3"/>
                <w:sz w:val="20"/>
              </w:rPr>
              <w:t> </w:t>
            </w:r>
            <w:r>
              <w:rPr>
                <w:sz w:val="20"/>
              </w:rPr>
              <w:t>a</w:t>
            </w:r>
            <w:r>
              <w:rPr>
                <w:spacing w:val="-3"/>
                <w:sz w:val="20"/>
              </w:rPr>
              <w:t> </w:t>
            </w:r>
            <w:r>
              <w:rPr>
                <w:spacing w:val="-5"/>
                <w:sz w:val="20"/>
              </w:rPr>
              <w:t>15%</w:t>
            </w:r>
          </w:p>
        </w:tc>
      </w:tr>
      <w:tr>
        <w:trPr>
          <w:trHeight w:val="460" w:hRule="atLeast"/>
        </w:trPr>
        <w:tc>
          <w:tcPr>
            <w:tcW w:w="1003" w:type="dxa"/>
          </w:tcPr>
          <w:p>
            <w:pPr>
              <w:pStyle w:val="TableParagraph"/>
              <w:spacing w:line="240" w:lineRule="auto" w:before="114"/>
              <w:ind w:left="10" w:right="1"/>
              <w:rPr>
                <w:sz w:val="20"/>
              </w:rPr>
            </w:pPr>
            <w:r>
              <w:rPr>
                <w:spacing w:val="-5"/>
                <w:sz w:val="20"/>
              </w:rPr>
              <w:t>242</w:t>
            </w:r>
          </w:p>
        </w:tc>
        <w:tc>
          <w:tcPr>
            <w:tcW w:w="7089" w:type="dxa"/>
          </w:tcPr>
          <w:p>
            <w:pPr>
              <w:pStyle w:val="TableParagraph"/>
              <w:spacing w:line="230" w:lineRule="exact"/>
              <w:jc w:val="left"/>
              <w:rPr>
                <w:sz w:val="20"/>
              </w:rPr>
            </w:pPr>
            <w:r>
              <w:rPr>
                <w:sz w:val="20"/>
              </w:rPr>
              <w:t>De</w:t>
            </w:r>
            <w:r>
              <w:rPr>
                <w:spacing w:val="77"/>
                <w:sz w:val="20"/>
              </w:rPr>
              <w:t> </w:t>
            </w:r>
            <w:r>
              <w:rPr>
                <w:sz w:val="20"/>
              </w:rPr>
              <w:t>la</w:t>
            </w:r>
            <w:r>
              <w:rPr>
                <w:spacing w:val="79"/>
                <w:sz w:val="20"/>
              </w:rPr>
              <w:t> </w:t>
            </w:r>
            <w:r>
              <w:rPr>
                <w:sz w:val="20"/>
              </w:rPr>
              <w:t>diáfisis</w:t>
            </w:r>
            <w:r>
              <w:rPr>
                <w:spacing w:val="78"/>
                <w:sz w:val="20"/>
              </w:rPr>
              <w:t> </w:t>
            </w:r>
            <w:r>
              <w:rPr>
                <w:sz w:val="20"/>
              </w:rPr>
              <w:t>femoral,</w:t>
            </w:r>
            <w:r>
              <w:rPr>
                <w:spacing w:val="77"/>
                <w:sz w:val="20"/>
              </w:rPr>
              <w:t> </w:t>
            </w:r>
            <w:r>
              <w:rPr>
                <w:sz w:val="20"/>
              </w:rPr>
              <w:t>con</w:t>
            </w:r>
            <w:r>
              <w:rPr>
                <w:spacing w:val="76"/>
                <w:sz w:val="20"/>
              </w:rPr>
              <w:t> </w:t>
            </w:r>
            <w:r>
              <w:rPr>
                <w:sz w:val="20"/>
              </w:rPr>
              <w:t>acortamiento</w:t>
            </w:r>
            <w:r>
              <w:rPr>
                <w:spacing w:val="77"/>
                <w:sz w:val="20"/>
              </w:rPr>
              <w:t> </w:t>
            </w:r>
            <w:r>
              <w:rPr>
                <w:sz w:val="20"/>
              </w:rPr>
              <w:t>de</w:t>
            </w:r>
            <w:r>
              <w:rPr>
                <w:spacing w:val="79"/>
                <w:sz w:val="20"/>
              </w:rPr>
              <w:t> </w:t>
            </w:r>
            <w:r>
              <w:rPr>
                <w:sz w:val="20"/>
              </w:rPr>
              <w:t>3</w:t>
            </w:r>
            <w:r>
              <w:rPr>
                <w:spacing w:val="77"/>
                <w:sz w:val="20"/>
              </w:rPr>
              <w:t> </w:t>
            </w:r>
            <w:r>
              <w:rPr>
                <w:sz w:val="20"/>
              </w:rPr>
              <w:t>a</w:t>
            </w:r>
            <w:r>
              <w:rPr>
                <w:spacing w:val="79"/>
                <w:sz w:val="20"/>
              </w:rPr>
              <w:t> </w:t>
            </w:r>
            <w:r>
              <w:rPr>
                <w:sz w:val="20"/>
              </w:rPr>
              <w:t>6</w:t>
            </w:r>
            <w:r>
              <w:rPr>
                <w:spacing w:val="77"/>
                <w:sz w:val="20"/>
              </w:rPr>
              <w:t> </w:t>
            </w:r>
            <w:r>
              <w:rPr>
                <w:sz w:val="20"/>
              </w:rPr>
              <w:t>centímetros,</w:t>
            </w:r>
            <w:r>
              <w:rPr>
                <w:spacing w:val="77"/>
                <w:sz w:val="20"/>
              </w:rPr>
              <w:t> </w:t>
            </w:r>
            <w:r>
              <w:rPr>
                <w:sz w:val="20"/>
              </w:rPr>
              <w:t>atrofia muscular, sin rigidez articular.</w:t>
            </w:r>
          </w:p>
        </w:tc>
        <w:tc>
          <w:tcPr>
            <w:tcW w:w="1457" w:type="dxa"/>
          </w:tcPr>
          <w:p>
            <w:pPr>
              <w:pStyle w:val="TableParagraph"/>
              <w:spacing w:line="240" w:lineRule="auto" w:before="114"/>
              <w:ind w:left="11" w:right="3"/>
              <w:rPr>
                <w:sz w:val="20"/>
              </w:rPr>
            </w:pPr>
            <w:r>
              <w:rPr>
                <w:sz w:val="20"/>
              </w:rPr>
              <w:t>15</w:t>
            </w:r>
            <w:r>
              <w:rPr>
                <w:spacing w:val="-3"/>
                <w:sz w:val="20"/>
              </w:rPr>
              <w:t> </w:t>
            </w:r>
            <w:r>
              <w:rPr>
                <w:sz w:val="20"/>
              </w:rPr>
              <w:t>a</w:t>
            </w:r>
            <w:r>
              <w:rPr>
                <w:spacing w:val="-1"/>
                <w:sz w:val="20"/>
              </w:rPr>
              <w:t> </w:t>
            </w:r>
            <w:r>
              <w:rPr>
                <w:spacing w:val="-5"/>
                <w:sz w:val="20"/>
              </w:rPr>
              <w:t>30%</w:t>
            </w:r>
          </w:p>
        </w:tc>
      </w:tr>
      <w:tr>
        <w:trPr>
          <w:trHeight w:val="460" w:hRule="atLeast"/>
        </w:trPr>
        <w:tc>
          <w:tcPr>
            <w:tcW w:w="1003" w:type="dxa"/>
          </w:tcPr>
          <w:p>
            <w:pPr>
              <w:pStyle w:val="TableParagraph"/>
              <w:spacing w:line="240" w:lineRule="auto" w:before="114"/>
              <w:ind w:left="10" w:right="1"/>
              <w:rPr>
                <w:sz w:val="20"/>
              </w:rPr>
            </w:pPr>
            <w:r>
              <w:rPr>
                <w:spacing w:val="-5"/>
                <w:sz w:val="20"/>
              </w:rPr>
              <w:t>243</w:t>
            </w:r>
          </w:p>
        </w:tc>
        <w:tc>
          <w:tcPr>
            <w:tcW w:w="7089" w:type="dxa"/>
          </w:tcPr>
          <w:p>
            <w:pPr>
              <w:pStyle w:val="TableParagraph"/>
              <w:spacing w:line="230" w:lineRule="exact"/>
              <w:ind w:right="64"/>
              <w:jc w:val="left"/>
              <w:rPr>
                <w:sz w:val="20"/>
              </w:rPr>
            </w:pPr>
            <w:r>
              <w:rPr>
                <w:sz w:val="20"/>
              </w:rPr>
              <w:t>De</w:t>
            </w:r>
            <w:r>
              <w:rPr>
                <w:spacing w:val="-2"/>
                <w:sz w:val="20"/>
              </w:rPr>
              <w:t> </w:t>
            </w:r>
            <w:r>
              <w:rPr>
                <w:sz w:val="20"/>
              </w:rPr>
              <w:t>la</w:t>
            </w:r>
            <w:r>
              <w:rPr>
                <w:spacing w:val="-2"/>
                <w:sz w:val="20"/>
              </w:rPr>
              <w:t> </w:t>
            </w:r>
            <w:r>
              <w:rPr>
                <w:sz w:val="20"/>
              </w:rPr>
              <w:t>diáfisis</w:t>
            </w:r>
            <w:r>
              <w:rPr>
                <w:spacing w:val="-1"/>
                <w:sz w:val="20"/>
              </w:rPr>
              <w:t> </w:t>
            </w:r>
            <w:r>
              <w:rPr>
                <w:sz w:val="20"/>
              </w:rPr>
              <w:t>femoral,</w:t>
            </w:r>
            <w:r>
              <w:rPr>
                <w:spacing w:val="-2"/>
                <w:sz w:val="20"/>
              </w:rPr>
              <w:t> </w:t>
            </w:r>
            <w:r>
              <w:rPr>
                <w:sz w:val="20"/>
              </w:rPr>
              <w:t>con</w:t>
            </w:r>
            <w:r>
              <w:rPr>
                <w:spacing w:val="-3"/>
                <w:sz w:val="20"/>
              </w:rPr>
              <w:t> </w:t>
            </w:r>
            <w:r>
              <w:rPr>
                <w:sz w:val="20"/>
              </w:rPr>
              <w:t>acortamiento</w:t>
            </w:r>
            <w:r>
              <w:rPr>
                <w:spacing w:val="-2"/>
                <w:sz w:val="20"/>
              </w:rPr>
              <w:t> </w:t>
            </w:r>
            <w:r>
              <w:rPr>
                <w:sz w:val="20"/>
              </w:rPr>
              <w:t>de</w:t>
            </w:r>
            <w:r>
              <w:rPr>
                <w:spacing w:val="-2"/>
                <w:sz w:val="20"/>
              </w:rPr>
              <w:t> </w:t>
            </w:r>
            <w:r>
              <w:rPr>
                <w:sz w:val="20"/>
              </w:rPr>
              <w:t>3 a</w:t>
            </w:r>
            <w:r>
              <w:rPr>
                <w:spacing w:val="-2"/>
                <w:sz w:val="20"/>
              </w:rPr>
              <w:t> </w:t>
            </w:r>
            <w:r>
              <w:rPr>
                <w:sz w:val="20"/>
              </w:rPr>
              <w:t>6</w:t>
            </w:r>
            <w:r>
              <w:rPr>
                <w:spacing w:val="-2"/>
                <w:sz w:val="20"/>
              </w:rPr>
              <w:t> </w:t>
            </w:r>
            <w:r>
              <w:rPr>
                <w:sz w:val="20"/>
              </w:rPr>
              <w:t>centímetros,</w:t>
            </w:r>
            <w:r>
              <w:rPr>
                <w:spacing w:val="-2"/>
                <w:sz w:val="20"/>
              </w:rPr>
              <w:t> </w:t>
            </w:r>
            <w:r>
              <w:rPr>
                <w:sz w:val="20"/>
              </w:rPr>
              <w:t>atrofia</w:t>
            </w:r>
            <w:r>
              <w:rPr>
                <w:spacing w:val="-4"/>
                <w:sz w:val="20"/>
              </w:rPr>
              <w:t> </w:t>
            </w:r>
            <w:r>
              <w:rPr>
                <w:sz w:val="20"/>
              </w:rPr>
              <w:t>muscular y rigidez articular.</w:t>
            </w:r>
          </w:p>
        </w:tc>
        <w:tc>
          <w:tcPr>
            <w:tcW w:w="1457" w:type="dxa"/>
          </w:tcPr>
          <w:p>
            <w:pPr>
              <w:pStyle w:val="TableParagraph"/>
              <w:spacing w:line="240" w:lineRule="auto" w:before="114"/>
              <w:ind w:left="11" w:right="3"/>
              <w:rPr>
                <w:sz w:val="20"/>
              </w:rPr>
            </w:pPr>
            <w:r>
              <w:rPr>
                <w:sz w:val="20"/>
              </w:rPr>
              <w:t>30</w:t>
            </w:r>
            <w:r>
              <w:rPr>
                <w:spacing w:val="-3"/>
                <w:sz w:val="20"/>
              </w:rPr>
              <w:t> </w:t>
            </w:r>
            <w:r>
              <w:rPr>
                <w:sz w:val="20"/>
              </w:rPr>
              <w:t>a</w:t>
            </w:r>
            <w:r>
              <w:rPr>
                <w:spacing w:val="-1"/>
                <w:sz w:val="20"/>
              </w:rPr>
              <w:t> </w:t>
            </w:r>
            <w:r>
              <w:rPr>
                <w:spacing w:val="-5"/>
                <w:sz w:val="20"/>
              </w:rPr>
              <w:t>40%</w:t>
            </w:r>
          </w:p>
        </w:tc>
      </w:tr>
      <w:tr>
        <w:trPr>
          <w:trHeight w:val="460" w:hRule="atLeast"/>
        </w:trPr>
        <w:tc>
          <w:tcPr>
            <w:tcW w:w="1003" w:type="dxa"/>
          </w:tcPr>
          <w:p>
            <w:pPr>
              <w:pStyle w:val="TableParagraph"/>
              <w:spacing w:line="240" w:lineRule="auto" w:before="114"/>
              <w:ind w:left="10" w:right="1"/>
              <w:rPr>
                <w:sz w:val="20"/>
              </w:rPr>
            </w:pPr>
            <w:r>
              <w:rPr>
                <w:spacing w:val="-5"/>
                <w:sz w:val="20"/>
              </w:rPr>
              <w:t>244</w:t>
            </w:r>
          </w:p>
        </w:tc>
        <w:tc>
          <w:tcPr>
            <w:tcW w:w="7089" w:type="dxa"/>
          </w:tcPr>
          <w:p>
            <w:pPr>
              <w:pStyle w:val="TableParagraph"/>
              <w:spacing w:line="230" w:lineRule="exact"/>
              <w:jc w:val="left"/>
              <w:rPr>
                <w:sz w:val="20"/>
              </w:rPr>
            </w:pPr>
            <w:r>
              <w:rPr>
                <w:sz w:val="20"/>
              </w:rPr>
              <w:t>De</w:t>
            </w:r>
            <w:r>
              <w:rPr>
                <w:spacing w:val="67"/>
                <w:sz w:val="20"/>
              </w:rPr>
              <w:t> </w:t>
            </w:r>
            <w:r>
              <w:rPr>
                <w:sz w:val="20"/>
              </w:rPr>
              <w:t>la</w:t>
            </w:r>
            <w:r>
              <w:rPr>
                <w:spacing w:val="67"/>
                <w:sz w:val="20"/>
              </w:rPr>
              <w:t> </w:t>
            </w:r>
            <w:r>
              <w:rPr>
                <w:sz w:val="20"/>
              </w:rPr>
              <w:t>diáfisis</w:t>
            </w:r>
            <w:r>
              <w:rPr>
                <w:spacing w:val="68"/>
                <w:sz w:val="20"/>
              </w:rPr>
              <w:t> </w:t>
            </w:r>
            <w:r>
              <w:rPr>
                <w:sz w:val="20"/>
              </w:rPr>
              <w:t>femoral,</w:t>
            </w:r>
            <w:r>
              <w:rPr>
                <w:spacing w:val="67"/>
                <w:sz w:val="20"/>
              </w:rPr>
              <w:t> </w:t>
            </w:r>
            <w:r>
              <w:rPr>
                <w:sz w:val="20"/>
              </w:rPr>
              <w:t>con</w:t>
            </w:r>
            <w:r>
              <w:rPr>
                <w:spacing w:val="67"/>
                <w:sz w:val="20"/>
              </w:rPr>
              <w:t> </w:t>
            </w:r>
            <w:r>
              <w:rPr>
                <w:sz w:val="20"/>
              </w:rPr>
              <w:t>acortamiento</w:t>
            </w:r>
            <w:r>
              <w:rPr>
                <w:spacing w:val="69"/>
                <w:sz w:val="20"/>
              </w:rPr>
              <w:t> </w:t>
            </w:r>
            <w:r>
              <w:rPr>
                <w:sz w:val="20"/>
              </w:rPr>
              <w:t>de</w:t>
            </w:r>
            <w:r>
              <w:rPr>
                <w:spacing w:val="67"/>
                <w:sz w:val="20"/>
              </w:rPr>
              <w:t> </w:t>
            </w:r>
            <w:r>
              <w:rPr>
                <w:sz w:val="20"/>
              </w:rPr>
              <w:t>6</w:t>
            </w:r>
            <w:r>
              <w:rPr>
                <w:spacing w:val="67"/>
                <w:sz w:val="20"/>
              </w:rPr>
              <w:t> </w:t>
            </w:r>
            <w:r>
              <w:rPr>
                <w:sz w:val="20"/>
              </w:rPr>
              <w:t>a</w:t>
            </w:r>
            <w:r>
              <w:rPr>
                <w:spacing w:val="69"/>
                <w:sz w:val="20"/>
              </w:rPr>
              <w:t> </w:t>
            </w:r>
            <w:r>
              <w:rPr>
                <w:sz w:val="20"/>
              </w:rPr>
              <w:t>12</w:t>
            </w:r>
            <w:r>
              <w:rPr>
                <w:spacing w:val="67"/>
                <w:sz w:val="20"/>
              </w:rPr>
              <w:t> </w:t>
            </w:r>
            <w:r>
              <w:rPr>
                <w:sz w:val="20"/>
              </w:rPr>
              <w:t>centímetros,</w:t>
            </w:r>
            <w:r>
              <w:rPr>
                <w:spacing w:val="67"/>
                <w:sz w:val="20"/>
              </w:rPr>
              <w:t> </w:t>
            </w:r>
            <w:r>
              <w:rPr>
                <w:sz w:val="20"/>
              </w:rPr>
              <w:t>atrofia muscular y rigideces articulares.</w:t>
            </w:r>
          </w:p>
        </w:tc>
        <w:tc>
          <w:tcPr>
            <w:tcW w:w="1457" w:type="dxa"/>
          </w:tcPr>
          <w:p>
            <w:pPr>
              <w:pStyle w:val="TableParagraph"/>
              <w:spacing w:line="240" w:lineRule="auto" w:before="114"/>
              <w:ind w:left="11" w:right="3"/>
              <w:rPr>
                <w:sz w:val="20"/>
              </w:rPr>
            </w:pPr>
            <w:r>
              <w:rPr>
                <w:sz w:val="20"/>
              </w:rPr>
              <w:t>30</w:t>
            </w:r>
            <w:r>
              <w:rPr>
                <w:spacing w:val="-3"/>
                <w:sz w:val="20"/>
              </w:rPr>
              <w:t> </w:t>
            </w:r>
            <w:r>
              <w:rPr>
                <w:sz w:val="20"/>
              </w:rPr>
              <w:t>a</w:t>
            </w:r>
            <w:r>
              <w:rPr>
                <w:spacing w:val="-1"/>
                <w:sz w:val="20"/>
              </w:rPr>
              <w:t> </w:t>
            </w:r>
            <w:r>
              <w:rPr>
                <w:spacing w:val="-5"/>
                <w:sz w:val="20"/>
              </w:rPr>
              <w:t>50%</w:t>
            </w:r>
          </w:p>
        </w:tc>
      </w:tr>
      <w:tr>
        <w:trPr>
          <w:trHeight w:val="460" w:hRule="atLeast"/>
        </w:trPr>
        <w:tc>
          <w:tcPr>
            <w:tcW w:w="1003" w:type="dxa"/>
          </w:tcPr>
          <w:p>
            <w:pPr>
              <w:pStyle w:val="TableParagraph"/>
              <w:spacing w:line="240" w:lineRule="auto" w:before="114"/>
              <w:ind w:left="10" w:right="1"/>
              <w:rPr>
                <w:sz w:val="20"/>
              </w:rPr>
            </w:pPr>
            <w:r>
              <w:rPr>
                <w:spacing w:val="-5"/>
                <w:sz w:val="20"/>
              </w:rPr>
              <w:t>245</w:t>
            </w:r>
          </w:p>
        </w:tc>
        <w:tc>
          <w:tcPr>
            <w:tcW w:w="7089" w:type="dxa"/>
          </w:tcPr>
          <w:p>
            <w:pPr>
              <w:pStyle w:val="TableParagraph"/>
              <w:spacing w:line="230" w:lineRule="exact"/>
              <w:jc w:val="left"/>
              <w:rPr>
                <w:sz w:val="20"/>
              </w:rPr>
            </w:pPr>
            <w:r>
              <w:rPr>
                <w:sz w:val="20"/>
              </w:rPr>
              <w:t>De</w:t>
            </w:r>
            <w:r>
              <w:rPr>
                <w:spacing w:val="31"/>
                <w:sz w:val="20"/>
              </w:rPr>
              <w:t> </w:t>
            </w:r>
            <w:r>
              <w:rPr>
                <w:sz w:val="20"/>
              </w:rPr>
              <w:t>la</w:t>
            </w:r>
            <w:r>
              <w:rPr>
                <w:spacing w:val="31"/>
                <w:sz w:val="20"/>
              </w:rPr>
              <w:t> </w:t>
            </w:r>
            <w:r>
              <w:rPr>
                <w:sz w:val="20"/>
              </w:rPr>
              <w:t>diáfisis</w:t>
            </w:r>
            <w:r>
              <w:rPr>
                <w:spacing w:val="32"/>
                <w:sz w:val="20"/>
              </w:rPr>
              <w:t> </w:t>
            </w:r>
            <w:r>
              <w:rPr>
                <w:sz w:val="20"/>
              </w:rPr>
              <w:t>femoral,</w:t>
            </w:r>
            <w:r>
              <w:rPr>
                <w:spacing w:val="31"/>
                <w:sz w:val="20"/>
              </w:rPr>
              <w:t> </w:t>
            </w:r>
            <w:r>
              <w:rPr>
                <w:sz w:val="20"/>
              </w:rPr>
              <w:t>con</w:t>
            </w:r>
            <w:r>
              <w:rPr>
                <w:spacing w:val="33"/>
                <w:sz w:val="20"/>
              </w:rPr>
              <w:t> </w:t>
            </w:r>
            <w:r>
              <w:rPr>
                <w:sz w:val="20"/>
              </w:rPr>
              <w:t>acortamiento</w:t>
            </w:r>
            <w:r>
              <w:rPr>
                <w:spacing w:val="31"/>
                <w:sz w:val="20"/>
              </w:rPr>
              <w:t> </w:t>
            </w:r>
            <w:r>
              <w:rPr>
                <w:sz w:val="20"/>
              </w:rPr>
              <w:t>de</w:t>
            </w:r>
            <w:r>
              <w:rPr>
                <w:spacing w:val="31"/>
                <w:sz w:val="20"/>
              </w:rPr>
              <w:t> </w:t>
            </w:r>
            <w:r>
              <w:rPr>
                <w:sz w:val="20"/>
              </w:rPr>
              <w:t>6</w:t>
            </w:r>
            <w:r>
              <w:rPr>
                <w:spacing w:val="33"/>
                <w:sz w:val="20"/>
              </w:rPr>
              <w:t> </w:t>
            </w:r>
            <w:r>
              <w:rPr>
                <w:sz w:val="20"/>
              </w:rPr>
              <w:t>a</w:t>
            </w:r>
            <w:r>
              <w:rPr>
                <w:spacing w:val="31"/>
                <w:sz w:val="20"/>
              </w:rPr>
              <w:t> </w:t>
            </w:r>
            <w:r>
              <w:rPr>
                <w:sz w:val="20"/>
              </w:rPr>
              <w:t>12</w:t>
            </w:r>
            <w:r>
              <w:rPr>
                <w:spacing w:val="33"/>
                <w:sz w:val="20"/>
              </w:rPr>
              <w:t> </w:t>
            </w:r>
            <w:r>
              <w:rPr>
                <w:sz w:val="20"/>
              </w:rPr>
              <w:t>centímetros,</w:t>
            </w:r>
            <w:r>
              <w:rPr>
                <w:spacing w:val="31"/>
                <w:sz w:val="20"/>
              </w:rPr>
              <w:t> </w:t>
            </w:r>
            <w:r>
              <w:rPr>
                <w:sz w:val="20"/>
              </w:rPr>
              <w:t>desviación angular externa, atrofia muscular y flexión de la rodilla menor de 35 grados.</w:t>
            </w:r>
          </w:p>
        </w:tc>
        <w:tc>
          <w:tcPr>
            <w:tcW w:w="1457" w:type="dxa"/>
          </w:tcPr>
          <w:p>
            <w:pPr>
              <w:pStyle w:val="TableParagraph"/>
              <w:spacing w:line="240" w:lineRule="auto" w:before="114"/>
              <w:ind w:left="11" w:right="3"/>
              <w:rPr>
                <w:sz w:val="20"/>
              </w:rPr>
            </w:pPr>
            <w:r>
              <w:rPr>
                <w:sz w:val="20"/>
              </w:rPr>
              <w:t>50</w:t>
            </w:r>
            <w:r>
              <w:rPr>
                <w:spacing w:val="-3"/>
                <w:sz w:val="20"/>
              </w:rPr>
              <w:t> </w:t>
            </w:r>
            <w:r>
              <w:rPr>
                <w:sz w:val="20"/>
              </w:rPr>
              <w:t>a</w:t>
            </w:r>
            <w:r>
              <w:rPr>
                <w:spacing w:val="-1"/>
                <w:sz w:val="20"/>
              </w:rPr>
              <w:t> </w:t>
            </w:r>
            <w:r>
              <w:rPr>
                <w:spacing w:val="-5"/>
                <w:sz w:val="20"/>
              </w:rPr>
              <w:t>70%</w:t>
            </w:r>
          </w:p>
        </w:tc>
      </w:tr>
      <w:tr>
        <w:trPr>
          <w:trHeight w:val="458" w:hRule="atLeast"/>
        </w:trPr>
        <w:tc>
          <w:tcPr>
            <w:tcW w:w="1003" w:type="dxa"/>
          </w:tcPr>
          <w:p>
            <w:pPr>
              <w:pStyle w:val="TableParagraph"/>
              <w:spacing w:line="240" w:lineRule="auto" w:before="112"/>
              <w:ind w:left="10" w:right="1"/>
              <w:rPr>
                <w:sz w:val="20"/>
              </w:rPr>
            </w:pPr>
            <w:r>
              <w:rPr>
                <w:spacing w:val="-5"/>
                <w:sz w:val="20"/>
              </w:rPr>
              <w:t>246</w:t>
            </w:r>
          </w:p>
        </w:tc>
        <w:tc>
          <w:tcPr>
            <w:tcW w:w="7089" w:type="dxa"/>
          </w:tcPr>
          <w:p>
            <w:pPr>
              <w:pStyle w:val="TableParagraph"/>
              <w:spacing w:line="228" w:lineRule="exact"/>
              <w:jc w:val="left"/>
              <w:rPr>
                <w:sz w:val="20"/>
              </w:rPr>
            </w:pPr>
            <w:r>
              <w:rPr>
                <w:sz w:val="20"/>
              </w:rPr>
              <w:t>De</w:t>
            </w:r>
            <w:r>
              <w:rPr>
                <w:spacing w:val="-4"/>
                <w:sz w:val="20"/>
              </w:rPr>
              <w:t> </w:t>
            </w:r>
            <w:r>
              <w:rPr>
                <w:sz w:val="20"/>
              </w:rPr>
              <w:t>los</w:t>
            </w:r>
            <w:r>
              <w:rPr>
                <w:spacing w:val="-3"/>
                <w:sz w:val="20"/>
              </w:rPr>
              <w:t> </w:t>
            </w:r>
            <w:r>
              <w:rPr>
                <w:sz w:val="20"/>
              </w:rPr>
              <w:t>cóndilos</w:t>
            </w:r>
            <w:r>
              <w:rPr>
                <w:spacing w:val="-3"/>
                <w:sz w:val="20"/>
              </w:rPr>
              <w:t> </w:t>
            </w:r>
            <w:r>
              <w:rPr>
                <w:sz w:val="20"/>
              </w:rPr>
              <w:t>femorales</w:t>
            </w:r>
            <w:r>
              <w:rPr>
                <w:spacing w:val="-1"/>
                <w:sz w:val="20"/>
              </w:rPr>
              <w:t> </w:t>
            </w:r>
            <w:r>
              <w:rPr>
                <w:sz w:val="20"/>
              </w:rPr>
              <w:t>y/o</w:t>
            </w:r>
            <w:r>
              <w:rPr>
                <w:spacing w:val="-4"/>
                <w:sz w:val="20"/>
              </w:rPr>
              <w:t> </w:t>
            </w:r>
            <w:r>
              <w:rPr>
                <w:sz w:val="20"/>
              </w:rPr>
              <w:t>tuberosidades</w:t>
            </w:r>
            <w:r>
              <w:rPr>
                <w:spacing w:val="-3"/>
                <w:sz w:val="20"/>
              </w:rPr>
              <w:t> </w:t>
            </w:r>
            <w:r>
              <w:rPr>
                <w:sz w:val="20"/>
              </w:rPr>
              <w:t>tibiales,</w:t>
            </w:r>
            <w:r>
              <w:rPr>
                <w:spacing w:val="-4"/>
                <w:sz w:val="20"/>
              </w:rPr>
              <w:t> </w:t>
            </w:r>
            <w:r>
              <w:rPr>
                <w:sz w:val="20"/>
              </w:rPr>
              <w:t>con</w:t>
            </w:r>
            <w:r>
              <w:rPr>
                <w:spacing w:val="-5"/>
                <w:sz w:val="20"/>
              </w:rPr>
              <w:t> </w:t>
            </w:r>
            <w:r>
              <w:rPr>
                <w:sz w:val="20"/>
              </w:rPr>
              <w:t>rigideces</w:t>
            </w:r>
            <w:r>
              <w:rPr>
                <w:spacing w:val="-3"/>
                <w:sz w:val="20"/>
              </w:rPr>
              <w:t> </w:t>
            </w:r>
            <w:r>
              <w:rPr>
                <w:sz w:val="20"/>
              </w:rPr>
              <w:t>articulares, desviaciones, aumento de volumen de la rodilla, y/o alteración de la marcha.</w:t>
            </w:r>
          </w:p>
        </w:tc>
        <w:tc>
          <w:tcPr>
            <w:tcW w:w="1457" w:type="dxa"/>
          </w:tcPr>
          <w:p>
            <w:pPr>
              <w:pStyle w:val="TableParagraph"/>
              <w:spacing w:line="240" w:lineRule="auto" w:before="112"/>
              <w:ind w:left="11" w:right="3"/>
              <w:rPr>
                <w:sz w:val="20"/>
              </w:rPr>
            </w:pPr>
            <w:r>
              <w:rPr>
                <w:sz w:val="20"/>
              </w:rPr>
              <w:t>30</w:t>
            </w:r>
            <w:r>
              <w:rPr>
                <w:spacing w:val="-3"/>
                <w:sz w:val="20"/>
              </w:rPr>
              <w:t> </w:t>
            </w:r>
            <w:r>
              <w:rPr>
                <w:sz w:val="20"/>
              </w:rPr>
              <w:t>a</w:t>
            </w:r>
            <w:r>
              <w:rPr>
                <w:spacing w:val="-1"/>
                <w:sz w:val="20"/>
              </w:rPr>
              <w:t> </w:t>
            </w:r>
            <w:r>
              <w:rPr>
                <w:spacing w:val="-5"/>
                <w:sz w:val="20"/>
              </w:rPr>
              <w:t>50%</w:t>
            </w:r>
          </w:p>
        </w:tc>
      </w:tr>
      <w:tr>
        <w:trPr>
          <w:trHeight w:val="229" w:hRule="atLeast"/>
        </w:trPr>
        <w:tc>
          <w:tcPr>
            <w:tcW w:w="1003" w:type="dxa"/>
          </w:tcPr>
          <w:p>
            <w:pPr>
              <w:pStyle w:val="TableParagraph"/>
              <w:ind w:left="10" w:right="1"/>
              <w:rPr>
                <w:sz w:val="20"/>
              </w:rPr>
            </w:pPr>
            <w:r>
              <w:rPr>
                <w:spacing w:val="-5"/>
                <w:sz w:val="20"/>
              </w:rPr>
              <w:t>247</w:t>
            </w:r>
          </w:p>
        </w:tc>
        <w:tc>
          <w:tcPr>
            <w:tcW w:w="7089" w:type="dxa"/>
          </w:tcPr>
          <w:p>
            <w:pPr>
              <w:pStyle w:val="TableParagraph"/>
              <w:jc w:val="left"/>
              <w:rPr>
                <w:sz w:val="20"/>
              </w:rPr>
            </w:pPr>
            <w:r>
              <w:rPr>
                <w:sz w:val="20"/>
              </w:rPr>
              <w:t>De</w:t>
            </w:r>
            <w:r>
              <w:rPr>
                <w:spacing w:val="-7"/>
                <w:sz w:val="20"/>
              </w:rPr>
              <w:t> </w:t>
            </w:r>
            <w:r>
              <w:rPr>
                <w:sz w:val="20"/>
              </w:rPr>
              <w:t>la</w:t>
            </w:r>
            <w:r>
              <w:rPr>
                <w:spacing w:val="-6"/>
                <w:sz w:val="20"/>
              </w:rPr>
              <w:t> </w:t>
            </w:r>
            <w:r>
              <w:rPr>
                <w:sz w:val="20"/>
              </w:rPr>
              <w:t>rótula,</w:t>
            </w:r>
            <w:r>
              <w:rPr>
                <w:spacing w:val="-7"/>
                <w:sz w:val="20"/>
              </w:rPr>
              <w:t> </w:t>
            </w:r>
            <w:r>
              <w:rPr>
                <w:sz w:val="20"/>
              </w:rPr>
              <w:t>con</w:t>
            </w:r>
            <w:r>
              <w:rPr>
                <w:spacing w:val="-7"/>
                <w:sz w:val="20"/>
              </w:rPr>
              <w:t> </w:t>
            </w:r>
            <w:r>
              <w:rPr>
                <w:sz w:val="20"/>
              </w:rPr>
              <w:t>extensión</w:t>
            </w:r>
            <w:r>
              <w:rPr>
                <w:spacing w:val="-4"/>
                <w:sz w:val="20"/>
              </w:rPr>
              <w:t> </w:t>
            </w:r>
            <w:r>
              <w:rPr>
                <w:sz w:val="20"/>
              </w:rPr>
              <w:t>completa</w:t>
            </w:r>
            <w:r>
              <w:rPr>
                <w:spacing w:val="-3"/>
                <w:sz w:val="20"/>
              </w:rPr>
              <w:t> </w:t>
            </w:r>
            <w:r>
              <w:rPr>
                <w:sz w:val="20"/>
              </w:rPr>
              <w:t>y</w:t>
            </w:r>
            <w:r>
              <w:rPr>
                <w:spacing w:val="-9"/>
                <w:sz w:val="20"/>
              </w:rPr>
              <w:t> </w:t>
            </w:r>
            <w:r>
              <w:rPr>
                <w:sz w:val="20"/>
              </w:rPr>
              <w:t>flexión</w:t>
            </w:r>
            <w:r>
              <w:rPr>
                <w:spacing w:val="-6"/>
                <w:sz w:val="20"/>
              </w:rPr>
              <w:t> </w:t>
            </w:r>
            <w:r>
              <w:rPr>
                <w:sz w:val="20"/>
              </w:rPr>
              <w:t>poco</w:t>
            </w:r>
            <w:r>
              <w:rPr>
                <w:spacing w:val="-4"/>
                <w:sz w:val="20"/>
              </w:rPr>
              <w:t> </w:t>
            </w:r>
            <w:r>
              <w:rPr>
                <w:spacing w:val="-2"/>
                <w:sz w:val="20"/>
              </w:rPr>
              <w:t>limitada.</w:t>
            </w:r>
          </w:p>
        </w:tc>
        <w:tc>
          <w:tcPr>
            <w:tcW w:w="1457" w:type="dxa"/>
          </w:tcPr>
          <w:p>
            <w:pPr>
              <w:pStyle w:val="TableParagraph"/>
              <w:ind w:left="11" w:right="1"/>
              <w:rPr>
                <w:sz w:val="20"/>
              </w:rPr>
            </w:pPr>
            <w:r>
              <w:rPr>
                <w:spacing w:val="-5"/>
                <w:sz w:val="20"/>
              </w:rPr>
              <w:t>10%</w:t>
            </w:r>
          </w:p>
        </w:tc>
      </w:tr>
      <w:tr>
        <w:trPr>
          <w:trHeight w:val="460" w:hRule="atLeast"/>
        </w:trPr>
        <w:tc>
          <w:tcPr>
            <w:tcW w:w="1003" w:type="dxa"/>
          </w:tcPr>
          <w:p>
            <w:pPr>
              <w:pStyle w:val="TableParagraph"/>
              <w:spacing w:line="240" w:lineRule="auto" w:before="114"/>
              <w:ind w:left="10" w:right="1"/>
              <w:rPr>
                <w:sz w:val="20"/>
              </w:rPr>
            </w:pPr>
            <w:r>
              <w:rPr>
                <w:spacing w:val="-5"/>
                <w:sz w:val="20"/>
              </w:rPr>
              <w:t>248</w:t>
            </w:r>
          </w:p>
        </w:tc>
        <w:tc>
          <w:tcPr>
            <w:tcW w:w="7089" w:type="dxa"/>
          </w:tcPr>
          <w:p>
            <w:pPr>
              <w:pStyle w:val="TableParagraph"/>
              <w:spacing w:line="228" w:lineRule="exact"/>
              <w:jc w:val="left"/>
              <w:rPr>
                <w:sz w:val="20"/>
              </w:rPr>
            </w:pPr>
            <w:r>
              <w:rPr>
                <w:sz w:val="20"/>
              </w:rPr>
              <w:t>De</w:t>
            </w:r>
            <w:r>
              <w:rPr>
                <w:spacing w:val="40"/>
                <w:sz w:val="20"/>
              </w:rPr>
              <w:t> </w:t>
            </w:r>
            <w:r>
              <w:rPr>
                <w:sz w:val="20"/>
              </w:rPr>
              <w:t>la</w:t>
            </w:r>
            <w:r>
              <w:rPr>
                <w:spacing w:val="40"/>
                <w:sz w:val="20"/>
              </w:rPr>
              <w:t> </w:t>
            </w:r>
            <w:r>
              <w:rPr>
                <w:sz w:val="20"/>
              </w:rPr>
              <w:t>tibia</w:t>
            </w:r>
            <w:r>
              <w:rPr>
                <w:spacing w:val="62"/>
                <w:sz w:val="20"/>
              </w:rPr>
              <w:t> </w:t>
            </w:r>
            <w:r>
              <w:rPr>
                <w:sz w:val="20"/>
              </w:rPr>
              <w:t>y</w:t>
            </w:r>
            <w:r>
              <w:rPr>
                <w:spacing w:val="40"/>
                <w:sz w:val="20"/>
              </w:rPr>
              <w:t> </w:t>
            </w:r>
            <w:r>
              <w:rPr>
                <w:sz w:val="20"/>
              </w:rPr>
              <w:t>el</w:t>
            </w:r>
            <w:r>
              <w:rPr>
                <w:spacing w:val="40"/>
                <w:sz w:val="20"/>
              </w:rPr>
              <w:t> </w:t>
            </w:r>
            <w:r>
              <w:rPr>
                <w:sz w:val="20"/>
              </w:rPr>
              <w:t>peroné,</w:t>
            </w:r>
            <w:r>
              <w:rPr>
                <w:spacing w:val="62"/>
                <w:sz w:val="20"/>
              </w:rPr>
              <w:t> </w:t>
            </w:r>
            <w:r>
              <w:rPr>
                <w:sz w:val="20"/>
              </w:rPr>
              <w:t>con</w:t>
            </w:r>
            <w:r>
              <w:rPr>
                <w:spacing w:val="40"/>
                <w:sz w:val="20"/>
              </w:rPr>
              <w:t> </w:t>
            </w:r>
            <w:r>
              <w:rPr>
                <w:sz w:val="20"/>
              </w:rPr>
              <w:t>acortamiento</w:t>
            </w:r>
            <w:r>
              <w:rPr>
                <w:spacing w:val="65"/>
                <w:sz w:val="20"/>
              </w:rPr>
              <w:t> </w:t>
            </w:r>
            <w:r>
              <w:rPr>
                <w:sz w:val="20"/>
              </w:rPr>
              <w:t>de</w:t>
            </w:r>
            <w:r>
              <w:rPr>
                <w:spacing w:val="40"/>
                <w:sz w:val="20"/>
              </w:rPr>
              <w:t> </w:t>
            </w:r>
            <w:r>
              <w:rPr>
                <w:sz w:val="20"/>
              </w:rPr>
              <w:t>2</w:t>
            </w:r>
            <w:r>
              <w:rPr>
                <w:spacing w:val="40"/>
                <w:sz w:val="20"/>
              </w:rPr>
              <w:t> </w:t>
            </w:r>
            <w:r>
              <w:rPr>
                <w:sz w:val="20"/>
              </w:rPr>
              <w:t>a</w:t>
            </w:r>
            <w:r>
              <w:rPr>
                <w:spacing w:val="40"/>
                <w:sz w:val="20"/>
              </w:rPr>
              <w:t> </w:t>
            </w:r>
            <w:r>
              <w:rPr>
                <w:sz w:val="20"/>
              </w:rPr>
              <w:t>4</w:t>
            </w:r>
            <w:r>
              <w:rPr>
                <w:spacing w:val="40"/>
                <w:sz w:val="20"/>
              </w:rPr>
              <w:t> </w:t>
            </w:r>
            <w:r>
              <w:rPr>
                <w:sz w:val="20"/>
              </w:rPr>
              <w:t>centímetros,</w:t>
            </w:r>
            <w:r>
              <w:rPr>
                <w:spacing w:val="40"/>
                <w:sz w:val="20"/>
              </w:rPr>
              <w:t> </w:t>
            </w:r>
            <w:r>
              <w:rPr>
                <w:sz w:val="20"/>
              </w:rPr>
              <w:t>atrofia muscular, con o sin rigidez.</w:t>
            </w:r>
          </w:p>
        </w:tc>
        <w:tc>
          <w:tcPr>
            <w:tcW w:w="1457" w:type="dxa"/>
          </w:tcPr>
          <w:p>
            <w:pPr>
              <w:pStyle w:val="TableParagraph"/>
              <w:spacing w:line="240" w:lineRule="auto" w:before="114"/>
              <w:ind w:left="11" w:right="3"/>
              <w:rPr>
                <w:sz w:val="20"/>
              </w:rPr>
            </w:pPr>
            <w:r>
              <w:rPr>
                <w:sz w:val="20"/>
              </w:rPr>
              <w:t>15</w:t>
            </w:r>
            <w:r>
              <w:rPr>
                <w:spacing w:val="-3"/>
                <w:sz w:val="20"/>
              </w:rPr>
              <w:t> </w:t>
            </w:r>
            <w:r>
              <w:rPr>
                <w:sz w:val="20"/>
              </w:rPr>
              <w:t>a</w:t>
            </w:r>
            <w:r>
              <w:rPr>
                <w:spacing w:val="-1"/>
                <w:sz w:val="20"/>
              </w:rPr>
              <w:t> </w:t>
            </w:r>
            <w:r>
              <w:rPr>
                <w:spacing w:val="-5"/>
                <w:sz w:val="20"/>
              </w:rPr>
              <w:t>30%</w:t>
            </w:r>
          </w:p>
        </w:tc>
      </w:tr>
      <w:tr>
        <w:trPr>
          <w:trHeight w:val="690" w:hRule="atLeast"/>
        </w:trPr>
        <w:tc>
          <w:tcPr>
            <w:tcW w:w="1003" w:type="dxa"/>
          </w:tcPr>
          <w:p>
            <w:pPr>
              <w:pStyle w:val="TableParagraph"/>
              <w:spacing w:line="240" w:lineRule="auto" w:before="229"/>
              <w:ind w:left="10" w:right="1"/>
              <w:rPr>
                <w:sz w:val="20"/>
              </w:rPr>
            </w:pPr>
            <w:r>
              <w:rPr>
                <w:spacing w:val="-5"/>
                <w:sz w:val="20"/>
              </w:rPr>
              <w:t>249</w:t>
            </w:r>
          </w:p>
        </w:tc>
        <w:tc>
          <w:tcPr>
            <w:tcW w:w="7089" w:type="dxa"/>
          </w:tcPr>
          <w:p>
            <w:pPr>
              <w:pStyle w:val="TableParagraph"/>
              <w:spacing w:line="230" w:lineRule="exact"/>
              <w:ind w:right="61"/>
              <w:jc w:val="both"/>
              <w:rPr>
                <w:sz w:val="20"/>
              </w:rPr>
            </w:pPr>
            <w:r>
              <w:rPr>
                <w:sz w:val="20"/>
              </w:rPr>
              <w:t>De la tibia y el peroné, con acortamiento de más de 4 centímetros, consolidación angular, desviación de la pierna hacia fuera o hacia adentro, desviación secundaria del pie, marcha posible con o sin rigidez.</w:t>
            </w:r>
          </w:p>
        </w:tc>
        <w:tc>
          <w:tcPr>
            <w:tcW w:w="1457" w:type="dxa"/>
          </w:tcPr>
          <w:p>
            <w:pPr>
              <w:pStyle w:val="TableParagraph"/>
              <w:spacing w:line="240" w:lineRule="auto" w:before="229"/>
              <w:ind w:left="11" w:right="3"/>
              <w:rPr>
                <w:sz w:val="20"/>
              </w:rPr>
            </w:pPr>
            <w:r>
              <w:rPr>
                <w:sz w:val="20"/>
              </w:rPr>
              <w:t>35</w:t>
            </w:r>
            <w:r>
              <w:rPr>
                <w:spacing w:val="-3"/>
                <w:sz w:val="20"/>
              </w:rPr>
              <w:t> </w:t>
            </w:r>
            <w:r>
              <w:rPr>
                <w:sz w:val="20"/>
              </w:rPr>
              <w:t>a</w:t>
            </w:r>
            <w:r>
              <w:rPr>
                <w:spacing w:val="-1"/>
                <w:sz w:val="20"/>
              </w:rPr>
              <w:t> </w:t>
            </w:r>
            <w:r>
              <w:rPr>
                <w:spacing w:val="-5"/>
                <w:sz w:val="20"/>
              </w:rPr>
              <w:t>50%</w:t>
            </w:r>
          </w:p>
        </w:tc>
      </w:tr>
      <w:tr>
        <w:trPr>
          <w:trHeight w:val="460" w:hRule="atLeast"/>
        </w:trPr>
        <w:tc>
          <w:tcPr>
            <w:tcW w:w="1003" w:type="dxa"/>
          </w:tcPr>
          <w:p>
            <w:pPr>
              <w:pStyle w:val="TableParagraph"/>
              <w:spacing w:line="240" w:lineRule="auto" w:before="114"/>
              <w:ind w:left="10" w:right="1"/>
              <w:rPr>
                <w:sz w:val="20"/>
              </w:rPr>
            </w:pPr>
            <w:r>
              <w:rPr>
                <w:spacing w:val="-5"/>
                <w:sz w:val="20"/>
              </w:rPr>
              <w:t>250</w:t>
            </w:r>
          </w:p>
        </w:tc>
        <w:tc>
          <w:tcPr>
            <w:tcW w:w="7089" w:type="dxa"/>
          </w:tcPr>
          <w:p>
            <w:pPr>
              <w:pStyle w:val="TableParagraph"/>
              <w:spacing w:line="230" w:lineRule="exact"/>
              <w:jc w:val="left"/>
              <w:rPr>
                <w:sz w:val="20"/>
              </w:rPr>
            </w:pPr>
            <w:r>
              <w:rPr>
                <w:sz w:val="20"/>
              </w:rPr>
              <w:t>De</w:t>
            </w:r>
            <w:r>
              <w:rPr>
                <w:spacing w:val="68"/>
                <w:sz w:val="20"/>
              </w:rPr>
              <w:t> </w:t>
            </w:r>
            <w:r>
              <w:rPr>
                <w:sz w:val="20"/>
              </w:rPr>
              <w:t>la</w:t>
            </w:r>
            <w:r>
              <w:rPr>
                <w:spacing w:val="68"/>
                <w:sz w:val="20"/>
              </w:rPr>
              <w:t> </w:t>
            </w:r>
            <w:r>
              <w:rPr>
                <w:sz w:val="20"/>
              </w:rPr>
              <w:t>tibia</w:t>
            </w:r>
            <w:r>
              <w:rPr>
                <w:spacing w:val="73"/>
                <w:sz w:val="20"/>
              </w:rPr>
              <w:t> </w:t>
            </w:r>
            <w:r>
              <w:rPr>
                <w:sz w:val="20"/>
              </w:rPr>
              <w:t>y</w:t>
            </w:r>
            <w:r>
              <w:rPr>
                <w:spacing w:val="65"/>
                <w:sz w:val="20"/>
              </w:rPr>
              <w:t> </w:t>
            </w:r>
            <w:r>
              <w:rPr>
                <w:sz w:val="20"/>
              </w:rPr>
              <w:t>el</w:t>
            </w:r>
            <w:r>
              <w:rPr>
                <w:spacing w:val="70"/>
                <w:sz w:val="20"/>
              </w:rPr>
              <w:t> </w:t>
            </w:r>
            <w:r>
              <w:rPr>
                <w:sz w:val="20"/>
              </w:rPr>
              <w:t>peroné,</w:t>
            </w:r>
            <w:r>
              <w:rPr>
                <w:spacing w:val="70"/>
                <w:sz w:val="20"/>
              </w:rPr>
              <w:t> </w:t>
            </w:r>
            <w:r>
              <w:rPr>
                <w:sz w:val="20"/>
              </w:rPr>
              <w:t>con</w:t>
            </w:r>
            <w:r>
              <w:rPr>
                <w:spacing w:val="68"/>
                <w:sz w:val="20"/>
              </w:rPr>
              <w:t> </w:t>
            </w:r>
            <w:r>
              <w:rPr>
                <w:sz w:val="20"/>
              </w:rPr>
              <w:t>acortamiento</w:t>
            </w:r>
            <w:r>
              <w:rPr>
                <w:spacing w:val="68"/>
                <w:sz w:val="20"/>
              </w:rPr>
              <w:t> </w:t>
            </w:r>
            <w:r>
              <w:rPr>
                <w:sz w:val="20"/>
              </w:rPr>
              <w:t>de</w:t>
            </w:r>
            <w:r>
              <w:rPr>
                <w:spacing w:val="68"/>
                <w:sz w:val="20"/>
              </w:rPr>
              <w:t> </w:t>
            </w:r>
            <w:r>
              <w:rPr>
                <w:sz w:val="20"/>
              </w:rPr>
              <w:t>más</w:t>
            </w:r>
            <w:r>
              <w:rPr>
                <w:spacing w:val="69"/>
                <w:sz w:val="20"/>
              </w:rPr>
              <w:t> </w:t>
            </w:r>
            <w:r>
              <w:rPr>
                <w:sz w:val="20"/>
              </w:rPr>
              <w:t>de</w:t>
            </w:r>
            <w:r>
              <w:rPr>
                <w:spacing w:val="70"/>
                <w:sz w:val="20"/>
              </w:rPr>
              <w:t> </w:t>
            </w:r>
            <w:r>
              <w:rPr>
                <w:sz w:val="20"/>
              </w:rPr>
              <w:t>4</w:t>
            </w:r>
            <w:r>
              <w:rPr>
                <w:spacing w:val="68"/>
                <w:sz w:val="20"/>
              </w:rPr>
              <w:t> </w:t>
            </w:r>
            <w:r>
              <w:rPr>
                <w:sz w:val="20"/>
              </w:rPr>
              <w:t>centímetros</w:t>
            </w:r>
            <w:r>
              <w:rPr>
                <w:spacing w:val="69"/>
                <w:sz w:val="20"/>
              </w:rPr>
              <w:t> </w:t>
            </w:r>
            <w:r>
              <w:rPr>
                <w:sz w:val="20"/>
              </w:rPr>
              <w:t>o consolidación angular, marcha imposible, con o sin rigidez.</w:t>
            </w:r>
          </w:p>
        </w:tc>
        <w:tc>
          <w:tcPr>
            <w:tcW w:w="1457" w:type="dxa"/>
          </w:tcPr>
          <w:p>
            <w:pPr>
              <w:pStyle w:val="TableParagraph"/>
              <w:spacing w:line="240" w:lineRule="auto" w:before="114"/>
              <w:ind w:left="11" w:right="3"/>
              <w:rPr>
                <w:sz w:val="20"/>
              </w:rPr>
            </w:pPr>
            <w:r>
              <w:rPr>
                <w:sz w:val="20"/>
              </w:rPr>
              <w:t>55</w:t>
            </w:r>
            <w:r>
              <w:rPr>
                <w:spacing w:val="-3"/>
                <w:sz w:val="20"/>
              </w:rPr>
              <w:t> </w:t>
            </w:r>
            <w:r>
              <w:rPr>
                <w:sz w:val="20"/>
              </w:rPr>
              <w:t>a</w:t>
            </w:r>
            <w:r>
              <w:rPr>
                <w:spacing w:val="-1"/>
                <w:sz w:val="20"/>
              </w:rPr>
              <w:t> </w:t>
            </w:r>
            <w:r>
              <w:rPr>
                <w:spacing w:val="-5"/>
                <w:sz w:val="20"/>
              </w:rPr>
              <w:t>70%</w:t>
            </w:r>
          </w:p>
        </w:tc>
      </w:tr>
      <w:tr>
        <w:trPr>
          <w:trHeight w:val="229" w:hRule="atLeast"/>
        </w:trPr>
        <w:tc>
          <w:tcPr>
            <w:tcW w:w="1003" w:type="dxa"/>
          </w:tcPr>
          <w:p>
            <w:pPr>
              <w:pStyle w:val="TableParagraph"/>
              <w:ind w:left="10" w:right="1"/>
              <w:rPr>
                <w:sz w:val="20"/>
              </w:rPr>
            </w:pPr>
            <w:r>
              <w:rPr>
                <w:spacing w:val="-5"/>
                <w:sz w:val="20"/>
              </w:rPr>
              <w:t>251</w:t>
            </w:r>
          </w:p>
        </w:tc>
        <w:tc>
          <w:tcPr>
            <w:tcW w:w="7089" w:type="dxa"/>
          </w:tcPr>
          <w:p>
            <w:pPr>
              <w:pStyle w:val="TableParagraph"/>
              <w:jc w:val="left"/>
              <w:rPr>
                <w:sz w:val="20"/>
              </w:rPr>
            </w:pPr>
            <w:r>
              <w:rPr>
                <w:sz w:val="20"/>
              </w:rPr>
              <w:t>De</w:t>
            </w:r>
            <w:r>
              <w:rPr>
                <w:spacing w:val="-6"/>
                <w:sz w:val="20"/>
              </w:rPr>
              <w:t> </w:t>
            </w:r>
            <w:r>
              <w:rPr>
                <w:sz w:val="20"/>
              </w:rPr>
              <w:t>la</w:t>
            </w:r>
            <w:r>
              <w:rPr>
                <w:spacing w:val="-6"/>
                <w:sz w:val="20"/>
              </w:rPr>
              <w:t> </w:t>
            </w:r>
            <w:r>
              <w:rPr>
                <w:sz w:val="20"/>
              </w:rPr>
              <w:t>tibia,</w:t>
            </w:r>
            <w:r>
              <w:rPr>
                <w:spacing w:val="-6"/>
                <w:sz w:val="20"/>
              </w:rPr>
              <w:t> </w:t>
            </w:r>
            <w:r>
              <w:rPr>
                <w:sz w:val="20"/>
              </w:rPr>
              <w:t>con</w:t>
            </w:r>
            <w:r>
              <w:rPr>
                <w:spacing w:val="-5"/>
                <w:sz w:val="20"/>
              </w:rPr>
              <w:t> </w:t>
            </w:r>
            <w:r>
              <w:rPr>
                <w:sz w:val="20"/>
              </w:rPr>
              <w:t>dolor,</w:t>
            </w:r>
            <w:r>
              <w:rPr>
                <w:spacing w:val="-5"/>
                <w:sz w:val="20"/>
              </w:rPr>
              <w:t> </w:t>
            </w:r>
            <w:r>
              <w:rPr>
                <w:sz w:val="20"/>
              </w:rPr>
              <w:t>atrofia</w:t>
            </w:r>
            <w:r>
              <w:rPr>
                <w:spacing w:val="-6"/>
                <w:sz w:val="20"/>
              </w:rPr>
              <w:t> </w:t>
            </w:r>
            <w:r>
              <w:rPr>
                <w:sz w:val="20"/>
              </w:rPr>
              <w:t>muscular</w:t>
            </w:r>
            <w:r>
              <w:rPr>
                <w:spacing w:val="-3"/>
                <w:sz w:val="20"/>
              </w:rPr>
              <w:t> </w:t>
            </w:r>
            <w:r>
              <w:rPr>
                <w:sz w:val="20"/>
              </w:rPr>
              <w:t>y</w:t>
            </w:r>
            <w:r>
              <w:rPr>
                <w:spacing w:val="-9"/>
                <w:sz w:val="20"/>
              </w:rPr>
              <w:t> </w:t>
            </w:r>
            <w:r>
              <w:rPr>
                <w:sz w:val="20"/>
              </w:rPr>
              <w:t>rigidez</w:t>
            </w:r>
            <w:r>
              <w:rPr>
                <w:spacing w:val="-5"/>
                <w:sz w:val="20"/>
              </w:rPr>
              <w:t> </w:t>
            </w:r>
            <w:r>
              <w:rPr>
                <w:spacing w:val="-2"/>
                <w:sz w:val="20"/>
              </w:rPr>
              <w:t>articular.</w:t>
            </w:r>
          </w:p>
        </w:tc>
        <w:tc>
          <w:tcPr>
            <w:tcW w:w="1457" w:type="dxa"/>
          </w:tcPr>
          <w:p>
            <w:pPr>
              <w:pStyle w:val="TableParagraph"/>
              <w:ind w:left="11" w:right="3"/>
              <w:rPr>
                <w:sz w:val="20"/>
              </w:rPr>
            </w:pPr>
            <w:r>
              <w:rPr>
                <w:sz w:val="20"/>
              </w:rPr>
              <w:t>10</w:t>
            </w:r>
            <w:r>
              <w:rPr>
                <w:spacing w:val="-3"/>
                <w:sz w:val="20"/>
              </w:rPr>
              <w:t> </w:t>
            </w:r>
            <w:r>
              <w:rPr>
                <w:sz w:val="20"/>
              </w:rPr>
              <w:t>a</w:t>
            </w:r>
            <w:r>
              <w:rPr>
                <w:spacing w:val="-1"/>
                <w:sz w:val="20"/>
              </w:rPr>
              <w:t> </w:t>
            </w:r>
            <w:r>
              <w:rPr>
                <w:spacing w:val="-5"/>
                <w:sz w:val="20"/>
              </w:rPr>
              <w:t>25%</w:t>
            </w:r>
          </w:p>
        </w:tc>
      </w:tr>
      <w:tr>
        <w:trPr>
          <w:trHeight w:val="229" w:hRule="atLeast"/>
        </w:trPr>
        <w:tc>
          <w:tcPr>
            <w:tcW w:w="1003" w:type="dxa"/>
          </w:tcPr>
          <w:p>
            <w:pPr>
              <w:pStyle w:val="TableParagraph"/>
              <w:ind w:left="10"/>
              <w:rPr>
                <w:sz w:val="20"/>
              </w:rPr>
            </w:pPr>
            <w:r>
              <w:rPr>
                <w:spacing w:val="-5"/>
                <w:sz w:val="20"/>
              </w:rPr>
              <w:t>252</w:t>
            </w:r>
          </w:p>
        </w:tc>
        <w:tc>
          <w:tcPr>
            <w:tcW w:w="7089" w:type="dxa"/>
          </w:tcPr>
          <w:p>
            <w:pPr>
              <w:pStyle w:val="TableParagraph"/>
              <w:jc w:val="left"/>
              <w:rPr>
                <w:sz w:val="20"/>
              </w:rPr>
            </w:pPr>
            <w:r>
              <w:rPr>
                <w:sz w:val="20"/>
              </w:rPr>
              <w:t>Del</w:t>
            </w:r>
            <w:r>
              <w:rPr>
                <w:spacing w:val="-5"/>
                <w:sz w:val="20"/>
              </w:rPr>
              <w:t> </w:t>
            </w:r>
            <w:r>
              <w:rPr>
                <w:sz w:val="20"/>
              </w:rPr>
              <w:t>peroné,</w:t>
            </w:r>
            <w:r>
              <w:rPr>
                <w:spacing w:val="-6"/>
                <w:sz w:val="20"/>
              </w:rPr>
              <w:t> </w:t>
            </w:r>
            <w:r>
              <w:rPr>
                <w:sz w:val="20"/>
              </w:rPr>
              <w:t>con</w:t>
            </w:r>
            <w:r>
              <w:rPr>
                <w:spacing w:val="-3"/>
                <w:sz w:val="20"/>
              </w:rPr>
              <w:t> </w:t>
            </w:r>
            <w:r>
              <w:rPr>
                <w:sz w:val="20"/>
              </w:rPr>
              <w:t>dolor,</w:t>
            </w:r>
            <w:r>
              <w:rPr>
                <w:spacing w:val="-3"/>
                <w:sz w:val="20"/>
              </w:rPr>
              <w:t> </w:t>
            </w:r>
            <w:r>
              <w:rPr>
                <w:sz w:val="20"/>
              </w:rPr>
              <w:t>atrofia</w:t>
            </w:r>
            <w:r>
              <w:rPr>
                <w:spacing w:val="-6"/>
                <w:sz w:val="20"/>
              </w:rPr>
              <w:t> </w:t>
            </w:r>
            <w:r>
              <w:rPr>
                <w:sz w:val="20"/>
              </w:rPr>
              <w:t>muscular</w:t>
            </w:r>
            <w:r>
              <w:rPr>
                <w:spacing w:val="-5"/>
                <w:sz w:val="20"/>
              </w:rPr>
              <w:t> </w:t>
            </w:r>
            <w:r>
              <w:rPr>
                <w:sz w:val="20"/>
              </w:rPr>
              <w:t>con</w:t>
            </w:r>
            <w:r>
              <w:rPr>
                <w:spacing w:val="-7"/>
                <w:sz w:val="20"/>
              </w:rPr>
              <w:t> </w:t>
            </w:r>
            <w:r>
              <w:rPr>
                <w:sz w:val="20"/>
              </w:rPr>
              <w:t>o</w:t>
            </w:r>
            <w:r>
              <w:rPr>
                <w:spacing w:val="-6"/>
                <w:sz w:val="20"/>
              </w:rPr>
              <w:t> </w:t>
            </w:r>
            <w:r>
              <w:rPr>
                <w:sz w:val="20"/>
              </w:rPr>
              <w:t>sin</w:t>
            </w:r>
            <w:r>
              <w:rPr>
                <w:spacing w:val="-6"/>
                <w:sz w:val="20"/>
              </w:rPr>
              <w:t> </w:t>
            </w:r>
            <w:r>
              <w:rPr>
                <w:spacing w:val="-2"/>
                <w:sz w:val="20"/>
              </w:rPr>
              <w:t>rigidez.</w:t>
            </w:r>
          </w:p>
        </w:tc>
        <w:tc>
          <w:tcPr>
            <w:tcW w:w="1457" w:type="dxa"/>
          </w:tcPr>
          <w:p>
            <w:pPr>
              <w:pStyle w:val="TableParagraph"/>
              <w:ind w:left="11" w:right="3"/>
              <w:rPr>
                <w:sz w:val="20"/>
              </w:rPr>
            </w:pPr>
            <w:r>
              <w:rPr>
                <w:sz w:val="20"/>
              </w:rPr>
              <w:t>5</w:t>
            </w:r>
            <w:r>
              <w:rPr>
                <w:spacing w:val="-3"/>
                <w:sz w:val="20"/>
              </w:rPr>
              <w:t> </w:t>
            </w:r>
            <w:r>
              <w:rPr>
                <w:sz w:val="20"/>
              </w:rPr>
              <w:t>a</w:t>
            </w:r>
            <w:r>
              <w:rPr>
                <w:spacing w:val="-3"/>
                <w:sz w:val="20"/>
              </w:rPr>
              <w:t> </w:t>
            </w:r>
            <w:r>
              <w:rPr>
                <w:spacing w:val="-5"/>
                <w:sz w:val="20"/>
              </w:rPr>
              <w:t>10%</w:t>
            </w:r>
          </w:p>
        </w:tc>
      </w:tr>
      <w:tr>
        <w:trPr>
          <w:trHeight w:val="460" w:hRule="atLeast"/>
        </w:trPr>
        <w:tc>
          <w:tcPr>
            <w:tcW w:w="1003" w:type="dxa"/>
          </w:tcPr>
          <w:p>
            <w:pPr>
              <w:pStyle w:val="TableParagraph"/>
              <w:spacing w:line="240" w:lineRule="auto" w:before="114"/>
              <w:ind w:left="10" w:right="1"/>
              <w:rPr>
                <w:sz w:val="20"/>
              </w:rPr>
            </w:pPr>
            <w:r>
              <w:rPr>
                <w:spacing w:val="-5"/>
                <w:sz w:val="20"/>
              </w:rPr>
              <w:t>253</w:t>
            </w:r>
          </w:p>
        </w:tc>
        <w:tc>
          <w:tcPr>
            <w:tcW w:w="7089" w:type="dxa"/>
          </w:tcPr>
          <w:p>
            <w:pPr>
              <w:pStyle w:val="TableParagraph"/>
              <w:spacing w:line="230" w:lineRule="exact"/>
              <w:jc w:val="left"/>
              <w:rPr>
                <w:sz w:val="20"/>
              </w:rPr>
            </w:pPr>
            <w:r>
              <w:rPr>
                <w:sz w:val="20"/>
              </w:rPr>
              <w:t>Maleolares o maleolar, con desviación del pie hacia adentro</w:t>
            </w:r>
            <w:r>
              <w:rPr>
                <w:spacing w:val="28"/>
                <w:sz w:val="20"/>
              </w:rPr>
              <w:t> </w:t>
            </w:r>
            <w:r>
              <w:rPr>
                <w:sz w:val="20"/>
              </w:rPr>
              <w:t>y/o con atrofia</w:t>
            </w:r>
            <w:r>
              <w:rPr>
                <w:spacing w:val="40"/>
                <w:sz w:val="20"/>
              </w:rPr>
              <w:t> </w:t>
            </w:r>
            <w:r>
              <w:rPr>
                <w:sz w:val="20"/>
              </w:rPr>
              <w:t>muscular y rigidez articular.</w:t>
            </w:r>
          </w:p>
        </w:tc>
        <w:tc>
          <w:tcPr>
            <w:tcW w:w="1457" w:type="dxa"/>
          </w:tcPr>
          <w:p>
            <w:pPr>
              <w:pStyle w:val="TableParagraph"/>
              <w:spacing w:line="240" w:lineRule="auto" w:before="114"/>
              <w:ind w:left="11" w:right="3"/>
              <w:rPr>
                <w:sz w:val="20"/>
              </w:rPr>
            </w:pPr>
            <w:r>
              <w:rPr>
                <w:sz w:val="20"/>
              </w:rPr>
              <w:t>25</w:t>
            </w:r>
            <w:r>
              <w:rPr>
                <w:spacing w:val="-3"/>
                <w:sz w:val="20"/>
              </w:rPr>
              <w:t> </w:t>
            </w:r>
            <w:r>
              <w:rPr>
                <w:sz w:val="20"/>
              </w:rPr>
              <w:t>a</w:t>
            </w:r>
            <w:r>
              <w:rPr>
                <w:spacing w:val="-1"/>
                <w:sz w:val="20"/>
              </w:rPr>
              <w:t> </w:t>
            </w:r>
            <w:r>
              <w:rPr>
                <w:spacing w:val="-5"/>
                <w:sz w:val="20"/>
              </w:rPr>
              <w:t>40%</w:t>
            </w:r>
          </w:p>
        </w:tc>
      </w:tr>
      <w:tr>
        <w:trPr>
          <w:trHeight w:val="460" w:hRule="atLeast"/>
        </w:trPr>
        <w:tc>
          <w:tcPr>
            <w:tcW w:w="1003" w:type="dxa"/>
          </w:tcPr>
          <w:p>
            <w:pPr>
              <w:pStyle w:val="TableParagraph"/>
              <w:spacing w:line="240" w:lineRule="auto" w:before="114"/>
              <w:ind w:left="10" w:right="1"/>
              <w:rPr>
                <w:sz w:val="20"/>
              </w:rPr>
            </w:pPr>
            <w:r>
              <w:rPr>
                <w:spacing w:val="-5"/>
                <w:sz w:val="20"/>
              </w:rPr>
              <w:t>254</w:t>
            </w:r>
          </w:p>
        </w:tc>
        <w:tc>
          <w:tcPr>
            <w:tcW w:w="7089" w:type="dxa"/>
          </w:tcPr>
          <w:p>
            <w:pPr>
              <w:pStyle w:val="TableParagraph"/>
              <w:spacing w:line="230" w:lineRule="exact"/>
              <w:jc w:val="left"/>
              <w:rPr>
                <w:sz w:val="20"/>
              </w:rPr>
            </w:pPr>
            <w:r>
              <w:rPr>
                <w:sz w:val="20"/>
              </w:rPr>
              <w:t>Maleolares</w:t>
            </w:r>
            <w:r>
              <w:rPr>
                <w:spacing w:val="34"/>
                <w:sz w:val="20"/>
              </w:rPr>
              <w:t> </w:t>
            </w:r>
            <w:r>
              <w:rPr>
                <w:sz w:val="20"/>
              </w:rPr>
              <w:t>o</w:t>
            </w:r>
            <w:r>
              <w:rPr>
                <w:spacing w:val="35"/>
                <w:sz w:val="20"/>
              </w:rPr>
              <w:t> </w:t>
            </w:r>
            <w:r>
              <w:rPr>
                <w:sz w:val="20"/>
              </w:rPr>
              <w:t>maleolar,</w:t>
            </w:r>
            <w:r>
              <w:rPr>
                <w:spacing w:val="33"/>
                <w:sz w:val="20"/>
              </w:rPr>
              <w:t> </w:t>
            </w:r>
            <w:r>
              <w:rPr>
                <w:sz w:val="20"/>
              </w:rPr>
              <w:t>con</w:t>
            </w:r>
            <w:r>
              <w:rPr>
                <w:spacing w:val="32"/>
                <w:sz w:val="20"/>
              </w:rPr>
              <w:t> </w:t>
            </w:r>
            <w:r>
              <w:rPr>
                <w:sz w:val="20"/>
              </w:rPr>
              <w:t>desviación</w:t>
            </w:r>
            <w:r>
              <w:rPr>
                <w:spacing w:val="32"/>
                <w:sz w:val="20"/>
              </w:rPr>
              <w:t> </w:t>
            </w:r>
            <w:r>
              <w:rPr>
                <w:sz w:val="20"/>
              </w:rPr>
              <w:t>del</w:t>
            </w:r>
            <w:r>
              <w:rPr>
                <w:spacing w:val="34"/>
                <w:sz w:val="20"/>
              </w:rPr>
              <w:t> </w:t>
            </w:r>
            <w:r>
              <w:rPr>
                <w:sz w:val="20"/>
              </w:rPr>
              <w:t>pie</w:t>
            </w:r>
            <w:r>
              <w:rPr>
                <w:spacing w:val="32"/>
                <w:sz w:val="20"/>
              </w:rPr>
              <w:t> </w:t>
            </w:r>
            <w:r>
              <w:rPr>
                <w:sz w:val="20"/>
              </w:rPr>
              <w:t>hacia</w:t>
            </w:r>
            <w:r>
              <w:rPr>
                <w:spacing w:val="35"/>
                <w:sz w:val="20"/>
              </w:rPr>
              <w:t> </w:t>
            </w:r>
            <w:r>
              <w:rPr>
                <w:sz w:val="20"/>
              </w:rPr>
              <w:t>afuera</w:t>
            </w:r>
            <w:r>
              <w:rPr>
                <w:spacing w:val="37"/>
                <w:sz w:val="20"/>
              </w:rPr>
              <w:t> </w:t>
            </w:r>
            <w:r>
              <w:rPr>
                <w:sz w:val="20"/>
              </w:rPr>
              <w:t>y/o</w:t>
            </w:r>
            <w:r>
              <w:rPr>
                <w:spacing w:val="40"/>
                <w:sz w:val="20"/>
              </w:rPr>
              <w:t> </w:t>
            </w:r>
            <w:r>
              <w:rPr>
                <w:sz w:val="20"/>
              </w:rPr>
              <w:t>con</w:t>
            </w:r>
            <w:r>
              <w:rPr>
                <w:spacing w:val="34"/>
                <w:sz w:val="20"/>
              </w:rPr>
              <w:t> </w:t>
            </w:r>
            <w:r>
              <w:rPr>
                <w:sz w:val="20"/>
              </w:rPr>
              <w:t>atrofia muscular y rigidez articular.</w:t>
            </w:r>
          </w:p>
        </w:tc>
        <w:tc>
          <w:tcPr>
            <w:tcW w:w="1457" w:type="dxa"/>
          </w:tcPr>
          <w:p>
            <w:pPr>
              <w:pStyle w:val="TableParagraph"/>
              <w:spacing w:line="240" w:lineRule="auto" w:before="114"/>
              <w:ind w:left="11" w:right="3"/>
              <w:rPr>
                <w:sz w:val="20"/>
              </w:rPr>
            </w:pPr>
            <w:r>
              <w:rPr>
                <w:sz w:val="20"/>
              </w:rPr>
              <w:t>25</w:t>
            </w:r>
            <w:r>
              <w:rPr>
                <w:spacing w:val="-3"/>
                <w:sz w:val="20"/>
              </w:rPr>
              <w:t> </w:t>
            </w:r>
            <w:r>
              <w:rPr>
                <w:sz w:val="20"/>
              </w:rPr>
              <w:t>a</w:t>
            </w:r>
            <w:r>
              <w:rPr>
                <w:spacing w:val="-1"/>
                <w:sz w:val="20"/>
              </w:rPr>
              <w:t> </w:t>
            </w:r>
            <w:r>
              <w:rPr>
                <w:spacing w:val="-5"/>
                <w:sz w:val="20"/>
              </w:rPr>
              <w:t>40%</w:t>
            </w:r>
          </w:p>
        </w:tc>
      </w:tr>
      <w:tr>
        <w:trPr>
          <w:trHeight w:val="230" w:hRule="atLeast"/>
        </w:trPr>
        <w:tc>
          <w:tcPr>
            <w:tcW w:w="1003" w:type="dxa"/>
          </w:tcPr>
          <w:p>
            <w:pPr>
              <w:pStyle w:val="TableParagraph"/>
              <w:ind w:left="10" w:right="1"/>
              <w:rPr>
                <w:sz w:val="20"/>
              </w:rPr>
            </w:pPr>
            <w:r>
              <w:rPr>
                <w:spacing w:val="-5"/>
                <w:sz w:val="20"/>
              </w:rPr>
              <w:t>255</w:t>
            </w:r>
          </w:p>
        </w:tc>
        <w:tc>
          <w:tcPr>
            <w:tcW w:w="7089" w:type="dxa"/>
          </w:tcPr>
          <w:p>
            <w:pPr>
              <w:pStyle w:val="TableParagraph"/>
              <w:jc w:val="left"/>
              <w:rPr>
                <w:sz w:val="20"/>
              </w:rPr>
            </w:pPr>
            <w:r>
              <w:rPr>
                <w:sz w:val="20"/>
              </w:rPr>
              <w:t>Del</w:t>
            </w:r>
            <w:r>
              <w:rPr>
                <w:spacing w:val="-8"/>
                <w:sz w:val="20"/>
              </w:rPr>
              <w:t> </w:t>
            </w:r>
            <w:r>
              <w:rPr>
                <w:sz w:val="20"/>
              </w:rPr>
              <w:t>tarso,</w:t>
            </w:r>
            <w:r>
              <w:rPr>
                <w:spacing w:val="-6"/>
                <w:sz w:val="20"/>
              </w:rPr>
              <w:t> </w:t>
            </w:r>
            <w:r>
              <w:rPr>
                <w:sz w:val="20"/>
              </w:rPr>
              <w:t>con</w:t>
            </w:r>
            <w:r>
              <w:rPr>
                <w:spacing w:val="-5"/>
                <w:sz w:val="20"/>
              </w:rPr>
              <w:t> </w:t>
            </w:r>
            <w:r>
              <w:rPr>
                <w:sz w:val="20"/>
              </w:rPr>
              <w:t>pie</w:t>
            </w:r>
            <w:r>
              <w:rPr>
                <w:spacing w:val="-7"/>
                <w:sz w:val="20"/>
              </w:rPr>
              <w:t> </w:t>
            </w:r>
            <w:r>
              <w:rPr>
                <w:sz w:val="20"/>
              </w:rPr>
              <w:t>plano</w:t>
            </w:r>
            <w:r>
              <w:rPr>
                <w:spacing w:val="-6"/>
                <w:sz w:val="20"/>
              </w:rPr>
              <w:t> </w:t>
            </w:r>
            <w:r>
              <w:rPr>
                <w:sz w:val="20"/>
              </w:rPr>
              <w:t>postraumático</w:t>
            </w:r>
            <w:r>
              <w:rPr>
                <w:spacing w:val="-6"/>
                <w:sz w:val="20"/>
              </w:rPr>
              <w:t> </w:t>
            </w:r>
            <w:r>
              <w:rPr>
                <w:sz w:val="20"/>
              </w:rPr>
              <w:t>doloroso</w:t>
            </w:r>
            <w:r>
              <w:rPr>
                <w:spacing w:val="-6"/>
                <w:sz w:val="20"/>
              </w:rPr>
              <w:t> </w:t>
            </w:r>
            <w:r>
              <w:rPr>
                <w:sz w:val="20"/>
              </w:rPr>
              <w:t>con</w:t>
            </w:r>
            <w:r>
              <w:rPr>
                <w:spacing w:val="-6"/>
                <w:sz w:val="20"/>
              </w:rPr>
              <w:t> </w:t>
            </w:r>
            <w:r>
              <w:rPr>
                <w:sz w:val="20"/>
              </w:rPr>
              <w:t>o</w:t>
            </w:r>
            <w:r>
              <w:rPr>
                <w:spacing w:val="-4"/>
                <w:sz w:val="20"/>
              </w:rPr>
              <w:t> </w:t>
            </w:r>
            <w:r>
              <w:rPr>
                <w:sz w:val="20"/>
              </w:rPr>
              <w:t>sin</w:t>
            </w:r>
            <w:r>
              <w:rPr>
                <w:spacing w:val="-6"/>
                <w:sz w:val="20"/>
              </w:rPr>
              <w:t> </w:t>
            </w:r>
            <w:r>
              <w:rPr>
                <w:spacing w:val="-2"/>
                <w:sz w:val="20"/>
              </w:rPr>
              <w:t>rigidez.</w:t>
            </w:r>
          </w:p>
        </w:tc>
        <w:tc>
          <w:tcPr>
            <w:tcW w:w="1457" w:type="dxa"/>
          </w:tcPr>
          <w:p>
            <w:pPr>
              <w:pStyle w:val="TableParagraph"/>
              <w:ind w:left="11" w:right="3"/>
              <w:rPr>
                <w:sz w:val="20"/>
              </w:rPr>
            </w:pPr>
            <w:r>
              <w:rPr>
                <w:sz w:val="20"/>
              </w:rPr>
              <w:t>15</w:t>
            </w:r>
            <w:r>
              <w:rPr>
                <w:spacing w:val="-3"/>
                <w:sz w:val="20"/>
              </w:rPr>
              <w:t> </w:t>
            </w:r>
            <w:r>
              <w:rPr>
                <w:sz w:val="20"/>
              </w:rPr>
              <w:t>a</w:t>
            </w:r>
            <w:r>
              <w:rPr>
                <w:spacing w:val="-1"/>
                <w:sz w:val="20"/>
              </w:rPr>
              <w:t> </w:t>
            </w:r>
            <w:r>
              <w:rPr>
                <w:spacing w:val="-5"/>
                <w:sz w:val="20"/>
              </w:rPr>
              <w:t>20%</w:t>
            </w:r>
          </w:p>
        </w:tc>
      </w:tr>
      <w:tr>
        <w:trPr>
          <w:trHeight w:val="229" w:hRule="atLeast"/>
        </w:trPr>
        <w:tc>
          <w:tcPr>
            <w:tcW w:w="1003" w:type="dxa"/>
          </w:tcPr>
          <w:p>
            <w:pPr>
              <w:pStyle w:val="TableParagraph"/>
              <w:ind w:left="10" w:right="1"/>
              <w:rPr>
                <w:sz w:val="20"/>
              </w:rPr>
            </w:pPr>
            <w:r>
              <w:rPr>
                <w:spacing w:val="-5"/>
                <w:sz w:val="20"/>
              </w:rPr>
              <w:t>256</w:t>
            </w:r>
          </w:p>
        </w:tc>
        <w:tc>
          <w:tcPr>
            <w:tcW w:w="7089" w:type="dxa"/>
          </w:tcPr>
          <w:p>
            <w:pPr>
              <w:pStyle w:val="TableParagraph"/>
              <w:jc w:val="left"/>
              <w:rPr>
                <w:sz w:val="20"/>
              </w:rPr>
            </w:pPr>
            <w:r>
              <w:rPr>
                <w:sz w:val="20"/>
              </w:rPr>
              <w:t>Del</w:t>
            </w:r>
            <w:r>
              <w:rPr>
                <w:spacing w:val="-7"/>
                <w:sz w:val="20"/>
              </w:rPr>
              <w:t> </w:t>
            </w:r>
            <w:r>
              <w:rPr>
                <w:sz w:val="20"/>
              </w:rPr>
              <w:t>tarso,</w:t>
            </w:r>
            <w:r>
              <w:rPr>
                <w:spacing w:val="-6"/>
                <w:sz w:val="20"/>
              </w:rPr>
              <w:t> </w:t>
            </w:r>
            <w:r>
              <w:rPr>
                <w:sz w:val="20"/>
              </w:rPr>
              <w:t>con</w:t>
            </w:r>
            <w:r>
              <w:rPr>
                <w:spacing w:val="-5"/>
                <w:sz w:val="20"/>
              </w:rPr>
              <w:t> </w:t>
            </w:r>
            <w:r>
              <w:rPr>
                <w:sz w:val="20"/>
              </w:rPr>
              <w:t>desviación</w:t>
            </w:r>
            <w:r>
              <w:rPr>
                <w:spacing w:val="-5"/>
                <w:sz w:val="20"/>
              </w:rPr>
              <w:t> </w:t>
            </w:r>
            <w:r>
              <w:rPr>
                <w:sz w:val="20"/>
              </w:rPr>
              <w:t>del</w:t>
            </w:r>
            <w:r>
              <w:rPr>
                <w:spacing w:val="-7"/>
                <w:sz w:val="20"/>
              </w:rPr>
              <w:t> </w:t>
            </w:r>
            <w:r>
              <w:rPr>
                <w:sz w:val="20"/>
              </w:rPr>
              <w:t>pie</w:t>
            </w:r>
            <w:r>
              <w:rPr>
                <w:spacing w:val="-4"/>
                <w:sz w:val="20"/>
              </w:rPr>
              <w:t> </w:t>
            </w:r>
            <w:r>
              <w:rPr>
                <w:sz w:val="20"/>
              </w:rPr>
              <w:t>hacia</w:t>
            </w:r>
            <w:r>
              <w:rPr>
                <w:spacing w:val="-6"/>
                <w:sz w:val="20"/>
              </w:rPr>
              <w:t> </w:t>
            </w:r>
            <w:r>
              <w:rPr>
                <w:sz w:val="20"/>
              </w:rPr>
              <w:t>adentro</w:t>
            </w:r>
            <w:r>
              <w:rPr>
                <w:spacing w:val="-4"/>
                <w:sz w:val="20"/>
              </w:rPr>
              <w:t> </w:t>
            </w:r>
            <w:r>
              <w:rPr>
                <w:sz w:val="20"/>
              </w:rPr>
              <w:t>o</w:t>
            </w:r>
            <w:r>
              <w:rPr>
                <w:spacing w:val="-7"/>
                <w:sz w:val="20"/>
              </w:rPr>
              <w:t> </w:t>
            </w:r>
            <w:r>
              <w:rPr>
                <w:sz w:val="20"/>
              </w:rPr>
              <w:t>hacia</w:t>
            </w:r>
            <w:r>
              <w:rPr>
                <w:spacing w:val="-4"/>
                <w:sz w:val="20"/>
              </w:rPr>
              <w:t> </w:t>
            </w:r>
            <w:r>
              <w:rPr>
                <w:spacing w:val="-2"/>
                <w:sz w:val="20"/>
              </w:rPr>
              <w:t>afuera.</w:t>
            </w:r>
          </w:p>
        </w:tc>
        <w:tc>
          <w:tcPr>
            <w:tcW w:w="1457" w:type="dxa"/>
          </w:tcPr>
          <w:p>
            <w:pPr>
              <w:pStyle w:val="TableParagraph"/>
              <w:ind w:left="11" w:right="3"/>
              <w:rPr>
                <w:sz w:val="20"/>
              </w:rPr>
            </w:pPr>
            <w:r>
              <w:rPr>
                <w:sz w:val="20"/>
              </w:rPr>
              <w:t>20</w:t>
            </w:r>
            <w:r>
              <w:rPr>
                <w:spacing w:val="-3"/>
                <w:sz w:val="20"/>
              </w:rPr>
              <w:t> </w:t>
            </w:r>
            <w:r>
              <w:rPr>
                <w:sz w:val="20"/>
              </w:rPr>
              <w:t>a</w:t>
            </w:r>
            <w:r>
              <w:rPr>
                <w:spacing w:val="-1"/>
                <w:sz w:val="20"/>
              </w:rPr>
              <w:t> </w:t>
            </w:r>
            <w:r>
              <w:rPr>
                <w:spacing w:val="-5"/>
                <w:sz w:val="20"/>
              </w:rPr>
              <w:t>30%</w:t>
            </w:r>
          </w:p>
        </w:tc>
      </w:tr>
      <w:tr>
        <w:trPr>
          <w:trHeight w:val="460" w:hRule="atLeast"/>
        </w:trPr>
        <w:tc>
          <w:tcPr>
            <w:tcW w:w="1003" w:type="dxa"/>
          </w:tcPr>
          <w:p>
            <w:pPr>
              <w:pStyle w:val="TableParagraph"/>
              <w:spacing w:line="240" w:lineRule="auto" w:before="114"/>
              <w:ind w:left="10" w:right="1"/>
              <w:rPr>
                <w:sz w:val="20"/>
              </w:rPr>
            </w:pPr>
            <w:r>
              <w:rPr>
                <w:spacing w:val="-5"/>
                <w:sz w:val="20"/>
              </w:rPr>
              <w:t>257</w:t>
            </w:r>
          </w:p>
        </w:tc>
        <w:tc>
          <w:tcPr>
            <w:tcW w:w="7089" w:type="dxa"/>
          </w:tcPr>
          <w:p>
            <w:pPr>
              <w:pStyle w:val="TableParagraph"/>
              <w:spacing w:line="230" w:lineRule="exact"/>
              <w:jc w:val="left"/>
              <w:rPr>
                <w:sz w:val="20"/>
              </w:rPr>
            </w:pPr>
            <w:r>
              <w:rPr>
                <w:sz w:val="20"/>
              </w:rPr>
              <w:t>Del</w:t>
            </w:r>
            <w:r>
              <w:rPr>
                <w:spacing w:val="-4"/>
                <w:sz w:val="20"/>
              </w:rPr>
              <w:t> </w:t>
            </w:r>
            <w:r>
              <w:rPr>
                <w:sz w:val="20"/>
              </w:rPr>
              <w:t>tarso,</w:t>
            </w:r>
            <w:r>
              <w:rPr>
                <w:spacing w:val="-3"/>
                <w:sz w:val="20"/>
              </w:rPr>
              <w:t> </w:t>
            </w:r>
            <w:r>
              <w:rPr>
                <w:sz w:val="20"/>
              </w:rPr>
              <w:t>con</w:t>
            </w:r>
            <w:r>
              <w:rPr>
                <w:spacing w:val="-1"/>
                <w:sz w:val="20"/>
              </w:rPr>
              <w:t> </w:t>
            </w:r>
            <w:r>
              <w:rPr>
                <w:sz w:val="20"/>
              </w:rPr>
              <w:t>deformación</w:t>
            </w:r>
            <w:r>
              <w:rPr>
                <w:spacing w:val="-4"/>
                <w:sz w:val="20"/>
              </w:rPr>
              <w:t> </w:t>
            </w:r>
            <w:r>
              <w:rPr>
                <w:sz w:val="20"/>
              </w:rPr>
              <w:t>considerable, inmovilidad</w:t>
            </w:r>
            <w:r>
              <w:rPr>
                <w:spacing w:val="-1"/>
                <w:sz w:val="20"/>
              </w:rPr>
              <w:t> </w:t>
            </w:r>
            <w:r>
              <w:rPr>
                <w:sz w:val="20"/>
              </w:rPr>
              <w:t>de</w:t>
            </w:r>
            <w:r>
              <w:rPr>
                <w:spacing w:val="-3"/>
                <w:sz w:val="20"/>
              </w:rPr>
              <w:t> </w:t>
            </w:r>
            <w:r>
              <w:rPr>
                <w:sz w:val="20"/>
              </w:rPr>
              <w:t>los</w:t>
            </w:r>
            <w:r>
              <w:rPr>
                <w:spacing w:val="-2"/>
                <w:sz w:val="20"/>
              </w:rPr>
              <w:t> </w:t>
            </w:r>
            <w:r>
              <w:rPr>
                <w:sz w:val="20"/>
              </w:rPr>
              <w:t>dedos y</w:t>
            </w:r>
            <w:r>
              <w:rPr>
                <w:spacing w:val="-6"/>
                <w:sz w:val="20"/>
              </w:rPr>
              <w:t> </w:t>
            </w:r>
            <w:r>
              <w:rPr>
                <w:sz w:val="20"/>
              </w:rPr>
              <w:t>atrofia</w:t>
            </w:r>
            <w:r>
              <w:rPr>
                <w:spacing w:val="-1"/>
                <w:sz w:val="20"/>
              </w:rPr>
              <w:t> </w:t>
            </w:r>
            <w:r>
              <w:rPr>
                <w:sz w:val="20"/>
              </w:rPr>
              <w:t>de la pierna.</w:t>
            </w:r>
          </w:p>
        </w:tc>
        <w:tc>
          <w:tcPr>
            <w:tcW w:w="1457" w:type="dxa"/>
          </w:tcPr>
          <w:p>
            <w:pPr>
              <w:pStyle w:val="TableParagraph"/>
              <w:spacing w:line="240" w:lineRule="auto" w:before="114"/>
              <w:ind w:left="11" w:right="3"/>
              <w:rPr>
                <w:sz w:val="20"/>
              </w:rPr>
            </w:pPr>
            <w:r>
              <w:rPr>
                <w:sz w:val="20"/>
              </w:rPr>
              <w:t>30</w:t>
            </w:r>
            <w:r>
              <w:rPr>
                <w:spacing w:val="-3"/>
                <w:sz w:val="20"/>
              </w:rPr>
              <w:t> </w:t>
            </w:r>
            <w:r>
              <w:rPr>
                <w:sz w:val="20"/>
              </w:rPr>
              <w:t>a</w:t>
            </w:r>
            <w:r>
              <w:rPr>
                <w:spacing w:val="-1"/>
                <w:sz w:val="20"/>
              </w:rPr>
              <w:t> </w:t>
            </w:r>
            <w:r>
              <w:rPr>
                <w:spacing w:val="-5"/>
                <w:sz w:val="20"/>
              </w:rPr>
              <w:t>50%</w:t>
            </w:r>
          </w:p>
        </w:tc>
      </w:tr>
      <w:tr>
        <w:trPr>
          <w:trHeight w:val="229" w:hRule="atLeast"/>
        </w:trPr>
        <w:tc>
          <w:tcPr>
            <w:tcW w:w="1003" w:type="dxa"/>
          </w:tcPr>
          <w:p>
            <w:pPr>
              <w:pStyle w:val="TableParagraph"/>
              <w:ind w:left="10" w:right="1"/>
              <w:rPr>
                <w:sz w:val="20"/>
              </w:rPr>
            </w:pPr>
            <w:r>
              <w:rPr>
                <w:spacing w:val="-5"/>
                <w:sz w:val="20"/>
              </w:rPr>
              <w:t>258</w:t>
            </w:r>
          </w:p>
        </w:tc>
        <w:tc>
          <w:tcPr>
            <w:tcW w:w="7089" w:type="dxa"/>
          </w:tcPr>
          <w:p>
            <w:pPr>
              <w:pStyle w:val="TableParagraph"/>
              <w:jc w:val="left"/>
              <w:rPr>
                <w:sz w:val="20"/>
              </w:rPr>
            </w:pPr>
            <w:r>
              <w:rPr>
                <w:sz w:val="20"/>
              </w:rPr>
              <w:t>Del</w:t>
            </w:r>
            <w:r>
              <w:rPr>
                <w:spacing w:val="-10"/>
                <w:sz w:val="20"/>
              </w:rPr>
              <w:t> </w:t>
            </w:r>
            <w:r>
              <w:rPr>
                <w:sz w:val="20"/>
              </w:rPr>
              <w:t>metatarso,</w:t>
            </w:r>
            <w:r>
              <w:rPr>
                <w:spacing w:val="-8"/>
                <w:sz w:val="20"/>
              </w:rPr>
              <w:t> </w:t>
            </w:r>
            <w:r>
              <w:rPr>
                <w:sz w:val="20"/>
              </w:rPr>
              <w:t>con</w:t>
            </w:r>
            <w:r>
              <w:rPr>
                <w:spacing w:val="-6"/>
                <w:sz w:val="20"/>
              </w:rPr>
              <w:t> </w:t>
            </w:r>
            <w:r>
              <w:rPr>
                <w:sz w:val="20"/>
              </w:rPr>
              <w:t>dolor,</w:t>
            </w:r>
            <w:r>
              <w:rPr>
                <w:spacing w:val="-6"/>
                <w:sz w:val="20"/>
              </w:rPr>
              <w:t> </w:t>
            </w:r>
            <w:r>
              <w:rPr>
                <w:sz w:val="20"/>
              </w:rPr>
              <w:t>desviaciones</w:t>
            </w:r>
            <w:r>
              <w:rPr>
                <w:spacing w:val="-7"/>
                <w:sz w:val="20"/>
              </w:rPr>
              <w:t> </w:t>
            </w:r>
            <w:r>
              <w:rPr>
                <w:sz w:val="20"/>
              </w:rPr>
              <w:t>o</w:t>
            </w:r>
            <w:r>
              <w:rPr>
                <w:spacing w:val="-6"/>
                <w:sz w:val="20"/>
              </w:rPr>
              <w:t> </w:t>
            </w:r>
            <w:r>
              <w:rPr>
                <w:sz w:val="20"/>
              </w:rPr>
              <w:t>impotencia</w:t>
            </w:r>
            <w:r>
              <w:rPr>
                <w:spacing w:val="-9"/>
                <w:sz w:val="20"/>
              </w:rPr>
              <w:t> </w:t>
            </w:r>
            <w:r>
              <w:rPr>
                <w:spacing w:val="-2"/>
                <w:sz w:val="20"/>
              </w:rPr>
              <w:t>funcional.</w:t>
            </w:r>
          </w:p>
        </w:tc>
        <w:tc>
          <w:tcPr>
            <w:tcW w:w="1457" w:type="dxa"/>
          </w:tcPr>
          <w:p>
            <w:pPr>
              <w:pStyle w:val="TableParagraph"/>
              <w:ind w:left="11" w:right="3"/>
              <w:rPr>
                <w:sz w:val="20"/>
              </w:rPr>
            </w:pPr>
            <w:r>
              <w:rPr>
                <w:sz w:val="20"/>
              </w:rPr>
              <w:t>10</w:t>
            </w:r>
            <w:r>
              <w:rPr>
                <w:spacing w:val="-3"/>
                <w:sz w:val="20"/>
              </w:rPr>
              <w:t> </w:t>
            </w:r>
            <w:r>
              <w:rPr>
                <w:sz w:val="20"/>
              </w:rPr>
              <w:t>a</w:t>
            </w:r>
            <w:r>
              <w:rPr>
                <w:spacing w:val="-1"/>
                <w:sz w:val="20"/>
              </w:rPr>
              <w:t> </w:t>
            </w:r>
            <w:r>
              <w:rPr>
                <w:spacing w:val="-5"/>
                <w:sz w:val="20"/>
              </w:rPr>
              <w:t>20%</w:t>
            </w:r>
          </w:p>
        </w:tc>
      </w:tr>
    </w:tbl>
    <w:p>
      <w:pPr>
        <w:pStyle w:val="BodyText"/>
        <w:spacing w:before="6"/>
        <w:rPr>
          <w:rFonts w:ascii="Arial"/>
          <w:b/>
        </w:rPr>
      </w:pPr>
    </w:p>
    <w:p>
      <w:pPr>
        <w:spacing w:before="0"/>
        <w:ind w:left="292" w:right="299" w:firstLine="0"/>
        <w:jc w:val="center"/>
        <w:rPr>
          <w:rFonts w:ascii="Arial" w:hAnsi="Arial"/>
          <w:b/>
          <w:sz w:val="20"/>
        </w:rPr>
      </w:pPr>
      <w:r>
        <w:rPr>
          <w:rFonts w:ascii="Arial" w:hAnsi="Arial"/>
          <w:b/>
          <w:sz w:val="20"/>
        </w:rPr>
        <w:t>Parálisis</w:t>
      </w:r>
      <w:r>
        <w:rPr>
          <w:rFonts w:ascii="Arial" w:hAnsi="Arial"/>
          <w:b/>
          <w:spacing w:val="-10"/>
          <w:sz w:val="20"/>
        </w:rPr>
        <w:t> </w:t>
      </w:r>
      <w:r>
        <w:rPr>
          <w:rFonts w:ascii="Arial" w:hAnsi="Arial"/>
          <w:b/>
          <w:sz w:val="20"/>
        </w:rPr>
        <w:t>completas</w:t>
      </w:r>
      <w:r>
        <w:rPr>
          <w:rFonts w:ascii="Arial" w:hAnsi="Arial"/>
          <w:b/>
          <w:spacing w:val="-9"/>
          <w:sz w:val="20"/>
        </w:rPr>
        <w:t> </w:t>
      </w:r>
      <w:r>
        <w:rPr>
          <w:rFonts w:ascii="Arial" w:hAnsi="Arial"/>
          <w:b/>
          <w:sz w:val="20"/>
        </w:rPr>
        <w:t>o</w:t>
      </w:r>
      <w:r>
        <w:rPr>
          <w:rFonts w:ascii="Arial" w:hAnsi="Arial"/>
          <w:b/>
          <w:spacing w:val="-7"/>
          <w:sz w:val="20"/>
        </w:rPr>
        <w:t> </w:t>
      </w:r>
      <w:r>
        <w:rPr>
          <w:rFonts w:ascii="Arial" w:hAnsi="Arial"/>
          <w:b/>
          <w:sz w:val="20"/>
        </w:rPr>
        <w:t>incompletas</w:t>
      </w:r>
      <w:r>
        <w:rPr>
          <w:rFonts w:ascii="Arial" w:hAnsi="Arial"/>
          <w:b/>
          <w:spacing w:val="-9"/>
          <w:sz w:val="20"/>
        </w:rPr>
        <w:t> </w:t>
      </w:r>
      <w:r>
        <w:rPr>
          <w:rFonts w:ascii="Arial" w:hAnsi="Arial"/>
          <w:b/>
          <w:sz w:val="20"/>
        </w:rPr>
        <w:t>(paresias)</w:t>
      </w:r>
      <w:r>
        <w:rPr>
          <w:rFonts w:ascii="Arial" w:hAnsi="Arial"/>
          <w:b/>
          <w:spacing w:val="-8"/>
          <w:sz w:val="20"/>
        </w:rPr>
        <w:t> </w:t>
      </w:r>
      <w:r>
        <w:rPr>
          <w:rFonts w:ascii="Arial" w:hAnsi="Arial"/>
          <w:b/>
          <w:sz w:val="20"/>
        </w:rPr>
        <w:t>por</w:t>
      </w:r>
      <w:r>
        <w:rPr>
          <w:rFonts w:ascii="Arial" w:hAnsi="Arial"/>
          <w:b/>
          <w:spacing w:val="-9"/>
          <w:sz w:val="20"/>
        </w:rPr>
        <w:t> </w:t>
      </w:r>
      <w:r>
        <w:rPr>
          <w:rFonts w:ascii="Arial" w:hAnsi="Arial"/>
          <w:b/>
          <w:sz w:val="20"/>
        </w:rPr>
        <w:t>lesiones</w:t>
      </w:r>
      <w:r>
        <w:rPr>
          <w:rFonts w:ascii="Arial" w:hAnsi="Arial"/>
          <w:b/>
          <w:spacing w:val="-8"/>
          <w:sz w:val="20"/>
        </w:rPr>
        <w:t> </w:t>
      </w:r>
      <w:r>
        <w:rPr>
          <w:rFonts w:ascii="Arial" w:hAnsi="Arial"/>
          <w:b/>
          <w:sz w:val="20"/>
        </w:rPr>
        <w:t>de</w:t>
      </w:r>
      <w:r>
        <w:rPr>
          <w:rFonts w:ascii="Arial" w:hAnsi="Arial"/>
          <w:b/>
          <w:spacing w:val="-9"/>
          <w:sz w:val="20"/>
        </w:rPr>
        <w:t> </w:t>
      </w:r>
      <w:r>
        <w:rPr>
          <w:rFonts w:ascii="Arial" w:hAnsi="Arial"/>
          <w:b/>
          <w:sz w:val="20"/>
        </w:rPr>
        <w:t>nervios</w:t>
      </w:r>
      <w:r>
        <w:rPr>
          <w:rFonts w:ascii="Arial" w:hAnsi="Arial"/>
          <w:b/>
          <w:spacing w:val="-9"/>
          <w:sz w:val="20"/>
        </w:rPr>
        <w:t> </w:t>
      </w:r>
      <w:r>
        <w:rPr>
          <w:rFonts w:ascii="Arial" w:hAnsi="Arial"/>
          <w:b/>
          <w:spacing w:val="-2"/>
          <w:sz w:val="20"/>
        </w:rPr>
        <w:t>periféricos</w:t>
      </w:r>
    </w:p>
    <w:p>
      <w:pPr>
        <w:pStyle w:val="BodyText"/>
        <w:spacing w:before="4"/>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3"/>
        <w:gridCol w:w="7089"/>
        <w:gridCol w:w="1457"/>
      </w:tblGrid>
      <w:tr>
        <w:trPr>
          <w:trHeight w:val="229" w:hRule="atLeast"/>
        </w:trPr>
        <w:tc>
          <w:tcPr>
            <w:tcW w:w="1003" w:type="dxa"/>
          </w:tcPr>
          <w:p>
            <w:pPr>
              <w:pStyle w:val="TableParagraph"/>
              <w:ind w:left="10" w:right="1"/>
              <w:rPr>
                <w:sz w:val="20"/>
              </w:rPr>
            </w:pPr>
            <w:r>
              <w:rPr>
                <w:spacing w:val="-5"/>
                <w:sz w:val="20"/>
              </w:rPr>
              <w:t>259</w:t>
            </w:r>
          </w:p>
        </w:tc>
        <w:tc>
          <w:tcPr>
            <w:tcW w:w="7089" w:type="dxa"/>
          </w:tcPr>
          <w:p>
            <w:pPr>
              <w:pStyle w:val="TableParagraph"/>
              <w:jc w:val="left"/>
              <w:rPr>
                <w:sz w:val="20"/>
              </w:rPr>
            </w:pPr>
            <w:r>
              <w:rPr>
                <w:sz w:val="20"/>
              </w:rPr>
              <w:t>Parálisis</w:t>
            </w:r>
            <w:r>
              <w:rPr>
                <w:spacing w:val="-7"/>
                <w:sz w:val="20"/>
              </w:rPr>
              <w:t> </w:t>
            </w:r>
            <w:r>
              <w:rPr>
                <w:sz w:val="20"/>
              </w:rPr>
              <w:t>total</w:t>
            </w:r>
            <w:r>
              <w:rPr>
                <w:spacing w:val="-8"/>
                <w:sz w:val="20"/>
              </w:rPr>
              <w:t> </w:t>
            </w:r>
            <w:r>
              <w:rPr>
                <w:sz w:val="20"/>
              </w:rPr>
              <w:t>del</w:t>
            </w:r>
            <w:r>
              <w:rPr>
                <w:spacing w:val="-8"/>
                <w:sz w:val="20"/>
              </w:rPr>
              <w:t> </w:t>
            </w:r>
            <w:r>
              <w:rPr>
                <w:sz w:val="20"/>
              </w:rPr>
              <w:t>miembro</w:t>
            </w:r>
            <w:r>
              <w:rPr>
                <w:spacing w:val="-7"/>
                <w:sz w:val="20"/>
              </w:rPr>
              <w:t> </w:t>
            </w:r>
            <w:r>
              <w:rPr>
                <w:spacing w:val="-2"/>
                <w:sz w:val="20"/>
              </w:rPr>
              <w:t>inferior.</w:t>
            </w:r>
          </w:p>
        </w:tc>
        <w:tc>
          <w:tcPr>
            <w:tcW w:w="1457" w:type="dxa"/>
          </w:tcPr>
          <w:p>
            <w:pPr>
              <w:pStyle w:val="TableParagraph"/>
              <w:ind w:left="11" w:right="1"/>
              <w:rPr>
                <w:sz w:val="20"/>
              </w:rPr>
            </w:pPr>
            <w:r>
              <w:rPr>
                <w:spacing w:val="-5"/>
                <w:sz w:val="20"/>
              </w:rPr>
              <w:t>70%</w:t>
            </w:r>
          </w:p>
        </w:tc>
      </w:tr>
      <w:tr>
        <w:trPr>
          <w:trHeight w:val="229" w:hRule="atLeast"/>
        </w:trPr>
        <w:tc>
          <w:tcPr>
            <w:tcW w:w="1003" w:type="dxa"/>
          </w:tcPr>
          <w:p>
            <w:pPr>
              <w:pStyle w:val="TableParagraph"/>
              <w:ind w:left="10" w:right="1"/>
              <w:rPr>
                <w:sz w:val="20"/>
              </w:rPr>
            </w:pPr>
            <w:r>
              <w:rPr>
                <w:spacing w:val="-5"/>
                <w:sz w:val="20"/>
              </w:rPr>
              <w:t>260</w:t>
            </w:r>
          </w:p>
        </w:tc>
        <w:tc>
          <w:tcPr>
            <w:tcW w:w="7089" w:type="dxa"/>
          </w:tcPr>
          <w:p>
            <w:pPr>
              <w:pStyle w:val="TableParagraph"/>
              <w:jc w:val="left"/>
              <w:rPr>
                <w:sz w:val="20"/>
              </w:rPr>
            </w:pPr>
            <w:r>
              <w:rPr>
                <w:sz w:val="20"/>
              </w:rPr>
              <w:t>Parálisis</w:t>
            </w:r>
            <w:r>
              <w:rPr>
                <w:spacing w:val="-9"/>
                <w:sz w:val="20"/>
              </w:rPr>
              <w:t> </w:t>
            </w:r>
            <w:r>
              <w:rPr>
                <w:sz w:val="20"/>
              </w:rPr>
              <w:t>del</w:t>
            </w:r>
            <w:r>
              <w:rPr>
                <w:spacing w:val="-8"/>
                <w:sz w:val="20"/>
              </w:rPr>
              <w:t> </w:t>
            </w:r>
            <w:r>
              <w:rPr>
                <w:sz w:val="20"/>
              </w:rPr>
              <w:t>nervio</w:t>
            </w:r>
            <w:r>
              <w:rPr>
                <w:spacing w:val="-7"/>
                <w:sz w:val="20"/>
              </w:rPr>
              <w:t> </w:t>
            </w:r>
            <w:r>
              <w:rPr>
                <w:sz w:val="20"/>
              </w:rPr>
              <w:t>ciático</w:t>
            </w:r>
            <w:r>
              <w:rPr>
                <w:spacing w:val="-8"/>
                <w:sz w:val="20"/>
              </w:rPr>
              <w:t> </w:t>
            </w:r>
            <w:r>
              <w:rPr>
                <w:spacing w:val="-2"/>
                <w:sz w:val="20"/>
              </w:rPr>
              <w:t>mayor.</w:t>
            </w:r>
          </w:p>
        </w:tc>
        <w:tc>
          <w:tcPr>
            <w:tcW w:w="1457" w:type="dxa"/>
          </w:tcPr>
          <w:p>
            <w:pPr>
              <w:pStyle w:val="TableParagraph"/>
              <w:ind w:left="11" w:right="1"/>
              <w:rPr>
                <w:sz w:val="20"/>
              </w:rPr>
            </w:pPr>
            <w:r>
              <w:rPr>
                <w:spacing w:val="-5"/>
                <w:sz w:val="20"/>
              </w:rPr>
              <w:t>60%</w:t>
            </w:r>
          </w:p>
        </w:tc>
      </w:tr>
    </w:tbl>
    <w:p>
      <w:pPr>
        <w:pStyle w:val="TableParagraph"/>
        <w:spacing w:after="0"/>
        <w:rPr>
          <w:sz w:val="20"/>
        </w:rPr>
        <w:sectPr>
          <w:pgSz w:w="12240" w:h="15840"/>
          <w:pgMar w:header="724" w:footer="712" w:top="1880" w:bottom="900" w:left="1080" w:right="1080"/>
        </w:sectPr>
      </w:pPr>
    </w:p>
    <w:p>
      <w:pPr>
        <w:pStyle w:val="BodyText"/>
        <w:spacing w:before="68"/>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3"/>
        <w:gridCol w:w="7089"/>
        <w:gridCol w:w="1457"/>
      </w:tblGrid>
      <w:tr>
        <w:trPr>
          <w:trHeight w:val="229" w:hRule="atLeast"/>
        </w:trPr>
        <w:tc>
          <w:tcPr>
            <w:tcW w:w="1003" w:type="dxa"/>
          </w:tcPr>
          <w:p>
            <w:pPr>
              <w:pStyle w:val="TableParagraph"/>
              <w:ind w:left="10" w:right="1"/>
              <w:rPr>
                <w:sz w:val="20"/>
              </w:rPr>
            </w:pPr>
            <w:r>
              <w:rPr>
                <w:spacing w:val="-5"/>
                <w:sz w:val="20"/>
              </w:rPr>
              <w:t>261</w:t>
            </w:r>
          </w:p>
        </w:tc>
        <w:tc>
          <w:tcPr>
            <w:tcW w:w="7089" w:type="dxa"/>
          </w:tcPr>
          <w:p>
            <w:pPr>
              <w:pStyle w:val="TableParagraph"/>
              <w:jc w:val="left"/>
              <w:rPr>
                <w:sz w:val="20"/>
              </w:rPr>
            </w:pPr>
            <w:r>
              <w:rPr>
                <w:sz w:val="20"/>
              </w:rPr>
              <w:t>Parálisis</w:t>
            </w:r>
            <w:r>
              <w:rPr>
                <w:spacing w:val="-7"/>
                <w:sz w:val="20"/>
              </w:rPr>
              <w:t> </w:t>
            </w:r>
            <w:r>
              <w:rPr>
                <w:sz w:val="20"/>
              </w:rPr>
              <w:t>del</w:t>
            </w:r>
            <w:r>
              <w:rPr>
                <w:spacing w:val="-9"/>
                <w:sz w:val="20"/>
              </w:rPr>
              <w:t> </w:t>
            </w:r>
            <w:r>
              <w:rPr>
                <w:sz w:val="20"/>
              </w:rPr>
              <w:t>ciático</w:t>
            </w:r>
            <w:r>
              <w:rPr>
                <w:spacing w:val="-8"/>
                <w:sz w:val="20"/>
              </w:rPr>
              <w:t> </w:t>
            </w:r>
            <w:r>
              <w:rPr>
                <w:sz w:val="20"/>
              </w:rPr>
              <w:t>poplíteo</w:t>
            </w:r>
            <w:r>
              <w:rPr>
                <w:spacing w:val="-8"/>
                <w:sz w:val="20"/>
              </w:rPr>
              <w:t> </w:t>
            </w:r>
            <w:r>
              <w:rPr>
                <w:sz w:val="20"/>
              </w:rPr>
              <w:t>externo</w:t>
            </w:r>
            <w:r>
              <w:rPr>
                <w:spacing w:val="-6"/>
                <w:sz w:val="20"/>
              </w:rPr>
              <w:t> </w:t>
            </w:r>
            <w:r>
              <w:rPr>
                <w:sz w:val="20"/>
              </w:rPr>
              <w:t>o</w:t>
            </w:r>
            <w:r>
              <w:rPr>
                <w:spacing w:val="-8"/>
                <w:sz w:val="20"/>
              </w:rPr>
              <w:t> </w:t>
            </w:r>
            <w:r>
              <w:rPr>
                <w:spacing w:val="-2"/>
                <w:sz w:val="20"/>
              </w:rPr>
              <w:t>peroneo.</w:t>
            </w:r>
          </w:p>
        </w:tc>
        <w:tc>
          <w:tcPr>
            <w:tcW w:w="1457" w:type="dxa"/>
          </w:tcPr>
          <w:p>
            <w:pPr>
              <w:pStyle w:val="TableParagraph"/>
              <w:ind w:left="11" w:right="1"/>
              <w:rPr>
                <w:sz w:val="20"/>
              </w:rPr>
            </w:pPr>
            <w:r>
              <w:rPr>
                <w:spacing w:val="-5"/>
                <w:sz w:val="20"/>
              </w:rPr>
              <w:t>35%</w:t>
            </w:r>
          </w:p>
        </w:tc>
      </w:tr>
      <w:tr>
        <w:trPr>
          <w:trHeight w:val="229" w:hRule="atLeast"/>
        </w:trPr>
        <w:tc>
          <w:tcPr>
            <w:tcW w:w="1003" w:type="dxa"/>
          </w:tcPr>
          <w:p>
            <w:pPr>
              <w:pStyle w:val="TableParagraph"/>
              <w:ind w:left="10" w:right="1"/>
              <w:rPr>
                <w:sz w:val="20"/>
              </w:rPr>
            </w:pPr>
            <w:r>
              <w:rPr>
                <w:spacing w:val="-5"/>
                <w:sz w:val="20"/>
              </w:rPr>
              <w:t>262</w:t>
            </w:r>
          </w:p>
        </w:tc>
        <w:tc>
          <w:tcPr>
            <w:tcW w:w="7089" w:type="dxa"/>
          </w:tcPr>
          <w:p>
            <w:pPr>
              <w:pStyle w:val="TableParagraph"/>
              <w:jc w:val="left"/>
              <w:rPr>
                <w:sz w:val="20"/>
              </w:rPr>
            </w:pPr>
            <w:r>
              <w:rPr>
                <w:sz w:val="20"/>
              </w:rPr>
              <w:t>Parálisis</w:t>
            </w:r>
            <w:r>
              <w:rPr>
                <w:spacing w:val="-7"/>
                <w:sz w:val="20"/>
              </w:rPr>
              <w:t> </w:t>
            </w:r>
            <w:r>
              <w:rPr>
                <w:sz w:val="20"/>
              </w:rPr>
              <w:t>del</w:t>
            </w:r>
            <w:r>
              <w:rPr>
                <w:spacing w:val="-9"/>
                <w:sz w:val="20"/>
              </w:rPr>
              <w:t> </w:t>
            </w:r>
            <w:r>
              <w:rPr>
                <w:sz w:val="20"/>
              </w:rPr>
              <w:t>ciático</w:t>
            </w:r>
            <w:r>
              <w:rPr>
                <w:spacing w:val="-8"/>
                <w:sz w:val="20"/>
              </w:rPr>
              <w:t> </w:t>
            </w:r>
            <w:r>
              <w:rPr>
                <w:sz w:val="20"/>
              </w:rPr>
              <w:t>poplíteo</w:t>
            </w:r>
            <w:r>
              <w:rPr>
                <w:spacing w:val="-8"/>
                <w:sz w:val="20"/>
              </w:rPr>
              <w:t> </w:t>
            </w:r>
            <w:r>
              <w:rPr>
                <w:sz w:val="20"/>
              </w:rPr>
              <w:t>interno</w:t>
            </w:r>
            <w:r>
              <w:rPr>
                <w:spacing w:val="-6"/>
                <w:sz w:val="20"/>
              </w:rPr>
              <w:t> </w:t>
            </w:r>
            <w:r>
              <w:rPr>
                <w:sz w:val="20"/>
              </w:rPr>
              <w:t>o</w:t>
            </w:r>
            <w:r>
              <w:rPr>
                <w:spacing w:val="-8"/>
                <w:sz w:val="20"/>
              </w:rPr>
              <w:t> </w:t>
            </w:r>
            <w:r>
              <w:rPr>
                <w:spacing w:val="-2"/>
                <w:sz w:val="20"/>
              </w:rPr>
              <w:t>tibial.</w:t>
            </w:r>
          </w:p>
        </w:tc>
        <w:tc>
          <w:tcPr>
            <w:tcW w:w="1457" w:type="dxa"/>
          </w:tcPr>
          <w:p>
            <w:pPr>
              <w:pStyle w:val="TableParagraph"/>
              <w:ind w:left="11" w:right="1"/>
              <w:rPr>
                <w:sz w:val="20"/>
              </w:rPr>
            </w:pPr>
            <w:r>
              <w:rPr>
                <w:spacing w:val="-5"/>
                <w:sz w:val="20"/>
              </w:rPr>
              <w:t>30%</w:t>
            </w:r>
          </w:p>
        </w:tc>
      </w:tr>
      <w:tr>
        <w:trPr>
          <w:trHeight w:val="229" w:hRule="atLeast"/>
        </w:trPr>
        <w:tc>
          <w:tcPr>
            <w:tcW w:w="1003" w:type="dxa"/>
          </w:tcPr>
          <w:p>
            <w:pPr>
              <w:pStyle w:val="TableParagraph"/>
              <w:ind w:left="10" w:right="1"/>
              <w:rPr>
                <w:sz w:val="20"/>
              </w:rPr>
            </w:pPr>
            <w:r>
              <w:rPr>
                <w:spacing w:val="-5"/>
                <w:sz w:val="20"/>
              </w:rPr>
              <w:t>263</w:t>
            </w:r>
          </w:p>
        </w:tc>
        <w:tc>
          <w:tcPr>
            <w:tcW w:w="7089" w:type="dxa"/>
          </w:tcPr>
          <w:p>
            <w:pPr>
              <w:pStyle w:val="TableParagraph"/>
              <w:jc w:val="left"/>
              <w:rPr>
                <w:sz w:val="20"/>
              </w:rPr>
            </w:pPr>
            <w:r>
              <w:rPr>
                <w:sz w:val="20"/>
              </w:rPr>
              <w:t>Parálisis</w:t>
            </w:r>
            <w:r>
              <w:rPr>
                <w:spacing w:val="-8"/>
                <w:sz w:val="20"/>
              </w:rPr>
              <w:t> </w:t>
            </w:r>
            <w:r>
              <w:rPr>
                <w:sz w:val="20"/>
              </w:rPr>
              <w:t>combinada</w:t>
            </w:r>
            <w:r>
              <w:rPr>
                <w:spacing w:val="-9"/>
                <w:sz w:val="20"/>
              </w:rPr>
              <w:t> </w:t>
            </w:r>
            <w:r>
              <w:rPr>
                <w:sz w:val="20"/>
              </w:rPr>
              <w:t>del</w:t>
            </w:r>
            <w:r>
              <w:rPr>
                <w:spacing w:val="-9"/>
                <w:sz w:val="20"/>
              </w:rPr>
              <w:t> </w:t>
            </w:r>
            <w:r>
              <w:rPr>
                <w:sz w:val="20"/>
              </w:rPr>
              <w:t>ciático</w:t>
            </w:r>
            <w:r>
              <w:rPr>
                <w:spacing w:val="-9"/>
                <w:sz w:val="20"/>
              </w:rPr>
              <w:t> </w:t>
            </w:r>
            <w:r>
              <w:rPr>
                <w:sz w:val="20"/>
              </w:rPr>
              <w:t>poplíteo</w:t>
            </w:r>
            <w:r>
              <w:rPr>
                <w:spacing w:val="-7"/>
                <w:sz w:val="20"/>
              </w:rPr>
              <w:t> </w:t>
            </w:r>
            <w:r>
              <w:rPr>
                <w:sz w:val="20"/>
              </w:rPr>
              <w:t>interno</w:t>
            </w:r>
            <w:r>
              <w:rPr>
                <w:spacing w:val="-5"/>
                <w:sz w:val="20"/>
              </w:rPr>
              <w:t> </w:t>
            </w:r>
            <w:r>
              <w:rPr>
                <w:sz w:val="20"/>
              </w:rPr>
              <w:t>y</w:t>
            </w:r>
            <w:r>
              <w:rPr>
                <w:spacing w:val="-9"/>
                <w:sz w:val="20"/>
              </w:rPr>
              <w:t> </w:t>
            </w:r>
            <w:r>
              <w:rPr>
                <w:sz w:val="20"/>
              </w:rPr>
              <w:t>del</w:t>
            </w:r>
            <w:r>
              <w:rPr>
                <w:spacing w:val="-9"/>
                <w:sz w:val="20"/>
              </w:rPr>
              <w:t> </w:t>
            </w:r>
            <w:r>
              <w:rPr>
                <w:sz w:val="20"/>
              </w:rPr>
              <w:t>ciático</w:t>
            </w:r>
            <w:r>
              <w:rPr>
                <w:spacing w:val="-7"/>
                <w:sz w:val="20"/>
              </w:rPr>
              <w:t> </w:t>
            </w:r>
            <w:r>
              <w:rPr>
                <w:sz w:val="20"/>
              </w:rPr>
              <w:t>poplíteo</w:t>
            </w:r>
            <w:r>
              <w:rPr>
                <w:spacing w:val="-9"/>
                <w:sz w:val="20"/>
              </w:rPr>
              <w:t> </w:t>
            </w:r>
            <w:r>
              <w:rPr>
                <w:spacing w:val="-2"/>
                <w:sz w:val="20"/>
              </w:rPr>
              <w:t>externo.</w:t>
            </w:r>
          </w:p>
        </w:tc>
        <w:tc>
          <w:tcPr>
            <w:tcW w:w="1457" w:type="dxa"/>
          </w:tcPr>
          <w:p>
            <w:pPr>
              <w:pStyle w:val="TableParagraph"/>
              <w:ind w:left="11" w:right="1"/>
              <w:rPr>
                <w:sz w:val="20"/>
              </w:rPr>
            </w:pPr>
            <w:r>
              <w:rPr>
                <w:spacing w:val="-5"/>
                <w:sz w:val="20"/>
              </w:rPr>
              <w:t>40%</w:t>
            </w:r>
          </w:p>
        </w:tc>
      </w:tr>
      <w:tr>
        <w:trPr>
          <w:trHeight w:val="229" w:hRule="atLeast"/>
        </w:trPr>
        <w:tc>
          <w:tcPr>
            <w:tcW w:w="1003" w:type="dxa"/>
          </w:tcPr>
          <w:p>
            <w:pPr>
              <w:pStyle w:val="TableParagraph"/>
              <w:ind w:left="10" w:right="1"/>
              <w:rPr>
                <w:sz w:val="20"/>
              </w:rPr>
            </w:pPr>
            <w:r>
              <w:rPr>
                <w:spacing w:val="-5"/>
                <w:sz w:val="20"/>
              </w:rPr>
              <w:t>264</w:t>
            </w:r>
          </w:p>
        </w:tc>
        <w:tc>
          <w:tcPr>
            <w:tcW w:w="7089" w:type="dxa"/>
          </w:tcPr>
          <w:p>
            <w:pPr>
              <w:pStyle w:val="TableParagraph"/>
              <w:jc w:val="left"/>
              <w:rPr>
                <w:sz w:val="20"/>
              </w:rPr>
            </w:pPr>
            <w:r>
              <w:rPr>
                <w:sz w:val="20"/>
              </w:rPr>
              <w:t>Parálisis</w:t>
            </w:r>
            <w:r>
              <w:rPr>
                <w:spacing w:val="-7"/>
                <w:sz w:val="20"/>
              </w:rPr>
              <w:t> </w:t>
            </w:r>
            <w:r>
              <w:rPr>
                <w:sz w:val="20"/>
              </w:rPr>
              <w:t>del</w:t>
            </w:r>
            <w:r>
              <w:rPr>
                <w:spacing w:val="-7"/>
                <w:sz w:val="20"/>
              </w:rPr>
              <w:t> </w:t>
            </w:r>
            <w:r>
              <w:rPr>
                <w:sz w:val="20"/>
              </w:rPr>
              <w:t>nervio</w:t>
            </w:r>
            <w:r>
              <w:rPr>
                <w:spacing w:val="-6"/>
                <w:sz w:val="20"/>
              </w:rPr>
              <w:t> </w:t>
            </w:r>
            <w:r>
              <w:rPr>
                <w:sz w:val="20"/>
              </w:rPr>
              <w:t>crural</w:t>
            </w:r>
            <w:r>
              <w:rPr>
                <w:spacing w:val="-9"/>
                <w:sz w:val="20"/>
              </w:rPr>
              <w:t> </w:t>
            </w:r>
            <w:r>
              <w:rPr>
                <w:sz w:val="20"/>
              </w:rPr>
              <w:t>o</w:t>
            </w:r>
            <w:r>
              <w:rPr>
                <w:spacing w:val="-6"/>
                <w:sz w:val="20"/>
              </w:rPr>
              <w:t> </w:t>
            </w:r>
            <w:r>
              <w:rPr>
                <w:spacing w:val="-2"/>
                <w:sz w:val="20"/>
              </w:rPr>
              <w:t>femoral.</w:t>
            </w:r>
          </w:p>
        </w:tc>
        <w:tc>
          <w:tcPr>
            <w:tcW w:w="1457" w:type="dxa"/>
          </w:tcPr>
          <w:p>
            <w:pPr>
              <w:pStyle w:val="TableParagraph"/>
              <w:ind w:left="11" w:right="1"/>
              <w:rPr>
                <w:sz w:val="20"/>
              </w:rPr>
            </w:pPr>
            <w:r>
              <w:rPr>
                <w:spacing w:val="-5"/>
                <w:sz w:val="20"/>
              </w:rPr>
              <w:t>50%</w:t>
            </w:r>
          </w:p>
        </w:tc>
      </w:tr>
      <w:tr>
        <w:trPr>
          <w:trHeight w:val="918" w:hRule="atLeast"/>
        </w:trPr>
        <w:tc>
          <w:tcPr>
            <w:tcW w:w="1003" w:type="dxa"/>
          </w:tcPr>
          <w:p>
            <w:pPr>
              <w:pStyle w:val="TableParagraph"/>
              <w:spacing w:line="240" w:lineRule="auto" w:before="114"/>
              <w:ind w:left="0"/>
              <w:jc w:val="left"/>
              <w:rPr>
                <w:rFonts w:ascii="Arial"/>
                <w:b/>
                <w:sz w:val="20"/>
              </w:rPr>
            </w:pPr>
          </w:p>
          <w:p>
            <w:pPr>
              <w:pStyle w:val="TableParagraph"/>
              <w:spacing w:line="240" w:lineRule="auto" w:before="1"/>
              <w:ind w:left="10" w:right="1"/>
              <w:rPr>
                <w:sz w:val="20"/>
              </w:rPr>
            </w:pPr>
            <w:r>
              <w:rPr>
                <w:spacing w:val="-5"/>
                <w:sz w:val="20"/>
              </w:rPr>
              <w:t>265</w:t>
            </w:r>
          </w:p>
        </w:tc>
        <w:tc>
          <w:tcPr>
            <w:tcW w:w="7089" w:type="dxa"/>
          </w:tcPr>
          <w:p>
            <w:pPr>
              <w:pStyle w:val="TableParagraph"/>
              <w:tabs>
                <w:tab w:pos="1503" w:val="left" w:leader="none"/>
                <w:tab w:pos="1970" w:val="left" w:leader="none"/>
                <w:tab w:pos="2815" w:val="left" w:leader="none"/>
                <w:tab w:pos="3997" w:val="left" w:leader="none"/>
                <w:tab w:pos="4453" w:val="left" w:leader="none"/>
                <w:tab w:pos="5474" w:val="left" w:leader="none"/>
                <w:tab w:pos="5973" w:val="left" w:leader="none"/>
              </w:tabs>
              <w:spacing w:line="240" w:lineRule="auto"/>
              <w:ind w:right="64"/>
              <w:jc w:val="left"/>
              <w:rPr>
                <w:sz w:val="20"/>
              </w:rPr>
            </w:pPr>
            <w:r>
              <w:rPr>
                <w:sz w:val="20"/>
              </w:rPr>
              <w:t>En</w:t>
            </w:r>
            <w:r>
              <w:rPr>
                <w:spacing w:val="80"/>
                <w:sz w:val="20"/>
              </w:rPr>
              <w:t> </w:t>
            </w:r>
            <w:r>
              <w:rPr>
                <w:sz w:val="20"/>
              </w:rPr>
              <w:t>caso</w:t>
            </w:r>
            <w:r>
              <w:rPr>
                <w:spacing w:val="80"/>
                <w:sz w:val="20"/>
              </w:rPr>
              <w:t> </w:t>
            </w:r>
            <w:r>
              <w:rPr>
                <w:sz w:val="20"/>
              </w:rPr>
              <w:t>de</w:t>
            </w:r>
            <w:r>
              <w:rPr>
                <w:spacing w:val="80"/>
                <w:sz w:val="20"/>
              </w:rPr>
              <w:t> </w:t>
            </w:r>
            <w:r>
              <w:rPr>
                <w:sz w:val="20"/>
              </w:rPr>
              <w:t>parálisis</w:t>
            </w:r>
            <w:r>
              <w:rPr>
                <w:spacing w:val="80"/>
                <w:sz w:val="20"/>
              </w:rPr>
              <w:t> </w:t>
            </w:r>
            <w:r>
              <w:rPr>
                <w:sz w:val="20"/>
              </w:rPr>
              <w:t>combinadas</w:t>
            </w:r>
            <w:r>
              <w:rPr>
                <w:spacing w:val="80"/>
                <w:sz w:val="20"/>
              </w:rPr>
              <w:t> </w:t>
            </w:r>
            <w:r>
              <w:rPr>
                <w:sz w:val="20"/>
              </w:rPr>
              <w:t>por</w:t>
            </w:r>
            <w:r>
              <w:rPr>
                <w:spacing w:val="80"/>
                <w:sz w:val="20"/>
              </w:rPr>
              <w:t> </w:t>
            </w:r>
            <w:r>
              <w:rPr>
                <w:sz w:val="20"/>
              </w:rPr>
              <w:t>lesiones</w:t>
            </w:r>
            <w:r>
              <w:rPr>
                <w:spacing w:val="80"/>
                <w:sz w:val="20"/>
              </w:rPr>
              <w:t> </w:t>
            </w:r>
            <w:r>
              <w:rPr>
                <w:sz w:val="20"/>
              </w:rPr>
              <w:t>de</w:t>
            </w:r>
            <w:r>
              <w:rPr>
                <w:spacing w:val="80"/>
                <w:sz w:val="20"/>
              </w:rPr>
              <w:t> </w:t>
            </w:r>
            <w:r>
              <w:rPr>
                <w:sz w:val="20"/>
              </w:rPr>
              <w:t>los</w:t>
            </w:r>
            <w:r>
              <w:rPr>
                <w:spacing w:val="80"/>
                <w:sz w:val="20"/>
              </w:rPr>
              <w:t> </w:t>
            </w:r>
            <w:r>
              <w:rPr>
                <w:sz w:val="20"/>
              </w:rPr>
              <w:t>nervios</w:t>
            </w:r>
            <w:r>
              <w:rPr>
                <w:spacing w:val="80"/>
                <w:sz w:val="20"/>
              </w:rPr>
              <w:t> </w:t>
            </w:r>
            <w:r>
              <w:rPr>
                <w:sz w:val="20"/>
              </w:rPr>
              <w:t>antes </w:t>
            </w:r>
            <w:r>
              <w:rPr>
                <w:spacing w:val="-2"/>
                <w:sz w:val="20"/>
              </w:rPr>
              <w:t>mencionados</w:t>
            </w:r>
            <w:r>
              <w:rPr>
                <w:sz w:val="20"/>
              </w:rPr>
              <w:tab/>
            </w:r>
            <w:r>
              <w:rPr>
                <w:spacing w:val="-5"/>
                <w:sz w:val="20"/>
              </w:rPr>
              <w:t>en</w:t>
            </w:r>
            <w:r>
              <w:rPr>
                <w:sz w:val="20"/>
              </w:rPr>
              <w:tab/>
            </w:r>
            <w:r>
              <w:rPr>
                <w:spacing w:val="-4"/>
                <w:sz w:val="20"/>
              </w:rPr>
              <w:t>ambos</w:t>
            </w:r>
            <w:r>
              <w:rPr>
                <w:sz w:val="20"/>
              </w:rPr>
              <w:tab/>
            </w:r>
            <w:r>
              <w:rPr>
                <w:spacing w:val="-2"/>
                <w:sz w:val="20"/>
              </w:rPr>
              <w:t>miembros,</w:t>
            </w:r>
            <w:r>
              <w:rPr>
                <w:sz w:val="20"/>
              </w:rPr>
              <w:tab/>
            </w:r>
            <w:r>
              <w:rPr>
                <w:spacing w:val="-5"/>
                <w:sz w:val="20"/>
              </w:rPr>
              <w:t>se</w:t>
            </w:r>
            <w:r>
              <w:rPr>
                <w:sz w:val="20"/>
              </w:rPr>
              <w:tab/>
            </w:r>
            <w:r>
              <w:rPr>
                <w:spacing w:val="-2"/>
                <w:sz w:val="20"/>
              </w:rPr>
              <w:t>sumarán</w:t>
            </w:r>
            <w:r>
              <w:rPr>
                <w:sz w:val="20"/>
              </w:rPr>
              <w:tab/>
            </w:r>
            <w:r>
              <w:rPr>
                <w:spacing w:val="-5"/>
                <w:sz w:val="20"/>
              </w:rPr>
              <w:t>los</w:t>
            </w:r>
            <w:r>
              <w:rPr>
                <w:sz w:val="20"/>
              </w:rPr>
              <w:tab/>
            </w:r>
            <w:r>
              <w:rPr>
                <w:spacing w:val="-2"/>
                <w:sz w:val="20"/>
              </w:rPr>
              <w:t>porcentajes</w:t>
            </w:r>
          </w:p>
          <w:p>
            <w:pPr>
              <w:pStyle w:val="TableParagraph"/>
              <w:spacing w:line="228" w:lineRule="exact"/>
              <w:jc w:val="left"/>
              <w:rPr>
                <w:sz w:val="20"/>
              </w:rPr>
            </w:pPr>
            <w:r>
              <w:rPr>
                <w:sz w:val="20"/>
              </w:rPr>
              <w:t>correspondientes</w:t>
            </w:r>
            <w:r>
              <w:rPr>
                <w:spacing w:val="40"/>
                <w:sz w:val="20"/>
              </w:rPr>
              <w:t> </w:t>
            </w:r>
            <w:r>
              <w:rPr>
                <w:sz w:val="20"/>
              </w:rPr>
              <w:t>a</w:t>
            </w:r>
            <w:r>
              <w:rPr>
                <w:spacing w:val="40"/>
                <w:sz w:val="20"/>
              </w:rPr>
              <w:t> </w:t>
            </w:r>
            <w:r>
              <w:rPr>
                <w:sz w:val="20"/>
              </w:rPr>
              <w:t>cada</w:t>
            </w:r>
            <w:r>
              <w:rPr>
                <w:spacing w:val="40"/>
                <w:sz w:val="20"/>
              </w:rPr>
              <w:t> </w:t>
            </w:r>
            <w:r>
              <w:rPr>
                <w:sz w:val="20"/>
              </w:rPr>
              <w:t>uno,</w:t>
            </w:r>
            <w:r>
              <w:rPr>
                <w:spacing w:val="40"/>
                <w:sz w:val="20"/>
              </w:rPr>
              <w:t> </w:t>
            </w:r>
            <w:r>
              <w:rPr>
                <w:sz w:val="20"/>
              </w:rPr>
              <w:t>sin</w:t>
            </w:r>
            <w:r>
              <w:rPr>
                <w:spacing w:val="40"/>
                <w:sz w:val="20"/>
              </w:rPr>
              <w:t> </w:t>
            </w:r>
            <w:r>
              <w:rPr>
                <w:sz w:val="20"/>
              </w:rPr>
              <w:t>que</w:t>
            </w:r>
            <w:r>
              <w:rPr>
                <w:spacing w:val="40"/>
                <w:sz w:val="20"/>
              </w:rPr>
              <w:t> </w:t>
            </w:r>
            <w:r>
              <w:rPr>
                <w:sz w:val="20"/>
              </w:rPr>
              <w:t>en</w:t>
            </w:r>
            <w:r>
              <w:rPr>
                <w:spacing w:val="40"/>
                <w:sz w:val="20"/>
              </w:rPr>
              <w:t> </w:t>
            </w:r>
            <w:r>
              <w:rPr>
                <w:sz w:val="20"/>
              </w:rPr>
              <w:t>ningún</w:t>
            </w:r>
            <w:r>
              <w:rPr>
                <w:spacing w:val="40"/>
                <w:sz w:val="20"/>
              </w:rPr>
              <w:t> </w:t>
            </w:r>
            <w:r>
              <w:rPr>
                <w:sz w:val="20"/>
              </w:rPr>
              <w:t>caso</w:t>
            </w:r>
            <w:r>
              <w:rPr>
                <w:spacing w:val="40"/>
                <w:sz w:val="20"/>
              </w:rPr>
              <w:t> </w:t>
            </w:r>
            <w:r>
              <w:rPr>
                <w:sz w:val="20"/>
              </w:rPr>
              <w:t>las</w:t>
            </w:r>
            <w:r>
              <w:rPr>
                <w:spacing w:val="40"/>
                <w:sz w:val="20"/>
              </w:rPr>
              <w:t> </w:t>
            </w:r>
            <w:r>
              <w:rPr>
                <w:sz w:val="20"/>
              </w:rPr>
              <w:t>incapacidades sumadas pasen del cien por ciento.</w:t>
            </w:r>
          </w:p>
        </w:tc>
        <w:tc>
          <w:tcPr>
            <w:tcW w:w="1457" w:type="dxa"/>
          </w:tcPr>
          <w:p>
            <w:pPr>
              <w:pStyle w:val="TableParagraph"/>
              <w:spacing w:line="240" w:lineRule="auto" w:before="114"/>
              <w:ind w:left="0"/>
              <w:jc w:val="left"/>
              <w:rPr>
                <w:rFonts w:ascii="Arial"/>
                <w:b/>
                <w:sz w:val="20"/>
              </w:rPr>
            </w:pPr>
          </w:p>
          <w:p>
            <w:pPr>
              <w:pStyle w:val="TableParagraph"/>
              <w:spacing w:line="240" w:lineRule="auto" w:before="1"/>
              <w:ind w:left="11"/>
              <w:rPr>
                <w:sz w:val="20"/>
              </w:rPr>
            </w:pPr>
            <w:r>
              <w:rPr>
                <w:spacing w:val="-2"/>
                <w:sz w:val="20"/>
              </w:rPr>
              <w:t>-</w:t>
            </w:r>
            <w:r>
              <w:rPr>
                <w:spacing w:val="-12"/>
                <w:sz w:val="20"/>
              </w:rPr>
              <w:t>-</w:t>
            </w:r>
          </w:p>
        </w:tc>
      </w:tr>
      <w:tr>
        <w:trPr>
          <w:trHeight w:val="920" w:hRule="atLeast"/>
        </w:trPr>
        <w:tc>
          <w:tcPr>
            <w:tcW w:w="1003" w:type="dxa"/>
          </w:tcPr>
          <w:p>
            <w:pPr>
              <w:pStyle w:val="TableParagraph"/>
              <w:spacing w:line="240" w:lineRule="auto" w:before="114"/>
              <w:ind w:left="0"/>
              <w:jc w:val="left"/>
              <w:rPr>
                <w:rFonts w:ascii="Arial"/>
                <w:b/>
                <w:sz w:val="20"/>
              </w:rPr>
            </w:pPr>
          </w:p>
          <w:p>
            <w:pPr>
              <w:pStyle w:val="TableParagraph"/>
              <w:spacing w:line="240" w:lineRule="auto" w:before="1"/>
              <w:ind w:left="10" w:right="1"/>
              <w:rPr>
                <w:sz w:val="20"/>
              </w:rPr>
            </w:pPr>
            <w:r>
              <w:rPr>
                <w:spacing w:val="-5"/>
                <w:sz w:val="20"/>
              </w:rPr>
              <w:t>266</w:t>
            </w:r>
          </w:p>
        </w:tc>
        <w:tc>
          <w:tcPr>
            <w:tcW w:w="7089" w:type="dxa"/>
          </w:tcPr>
          <w:p>
            <w:pPr>
              <w:pStyle w:val="TableParagraph"/>
              <w:spacing w:line="240" w:lineRule="auto" w:before="1"/>
              <w:ind w:right="58"/>
              <w:jc w:val="both"/>
              <w:rPr>
                <w:sz w:val="20"/>
              </w:rPr>
            </w:pPr>
            <w:r>
              <w:rPr>
                <w:sz w:val="20"/>
              </w:rPr>
              <w:t>En caso de parálisis incompleta o parcial (paresias), los porcentajes serán reducidos proporcionalmente de acuerdo con el grado de impotencia funcional.</w:t>
            </w:r>
            <w:r>
              <w:rPr>
                <w:spacing w:val="-3"/>
                <w:sz w:val="20"/>
              </w:rPr>
              <w:t> </w:t>
            </w:r>
            <w:r>
              <w:rPr>
                <w:sz w:val="20"/>
              </w:rPr>
              <w:t>El</w:t>
            </w:r>
            <w:r>
              <w:rPr>
                <w:spacing w:val="-3"/>
                <w:sz w:val="20"/>
              </w:rPr>
              <w:t> </w:t>
            </w:r>
            <w:r>
              <w:rPr>
                <w:sz w:val="20"/>
              </w:rPr>
              <w:t>valor</w:t>
            </w:r>
            <w:r>
              <w:rPr>
                <w:spacing w:val="-2"/>
                <w:sz w:val="20"/>
              </w:rPr>
              <w:t> </w:t>
            </w:r>
            <w:r>
              <w:rPr>
                <w:sz w:val="20"/>
              </w:rPr>
              <w:t>máximo</w:t>
            </w:r>
            <w:r>
              <w:rPr>
                <w:spacing w:val="-4"/>
                <w:sz w:val="20"/>
              </w:rPr>
              <w:t> </w:t>
            </w:r>
            <w:r>
              <w:rPr>
                <w:sz w:val="20"/>
              </w:rPr>
              <w:t>otorgado</w:t>
            </w:r>
            <w:r>
              <w:rPr>
                <w:spacing w:val="-3"/>
                <w:sz w:val="20"/>
              </w:rPr>
              <w:t> </w:t>
            </w:r>
            <w:r>
              <w:rPr>
                <w:sz w:val="20"/>
              </w:rPr>
              <w:t>no</w:t>
            </w:r>
            <w:r>
              <w:rPr>
                <w:spacing w:val="-3"/>
                <w:sz w:val="20"/>
              </w:rPr>
              <w:t> </w:t>
            </w:r>
            <w:r>
              <w:rPr>
                <w:sz w:val="20"/>
              </w:rPr>
              <w:t>podrá</w:t>
            </w:r>
            <w:r>
              <w:rPr>
                <w:spacing w:val="-4"/>
                <w:sz w:val="20"/>
              </w:rPr>
              <w:t> </w:t>
            </w:r>
            <w:r>
              <w:rPr>
                <w:sz w:val="20"/>
              </w:rPr>
              <w:t>ser</w:t>
            </w:r>
            <w:r>
              <w:rPr>
                <w:spacing w:val="-4"/>
                <w:sz w:val="20"/>
              </w:rPr>
              <w:t> </w:t>
            </w:r>
            <w:r>
              <w:rPr>
                <w:sz w:val="20"/>
              </w:rPr>
              <w:t>superior</w:t>
            </w:r>
            <w:r>
              <w:rPr>
                <w:spacing w:val="-3"/>
                <w:sz w:val="20"/>
              </w:rPr>
              <w:t> </w:t>
            </w:r>
            <w:r>
              <w:rPr>
                <w:sz w:val="20"/>
              </w:rPr>
              <w:t>al</w:t>
            </w:r>
            <w:r>
              <w:rPr>
                <w:spacing w:val="-3"/>
                <w:sz w:val="20"/>
              </w:rPr>
              <w:t> </w:t>
            </w:r>
            <w:r>
              <w:rPr>
                <w:sz w:val="20"/>
              </w:rPr>
              <w:t>valor</w:t>
            </w:r>
            <w:r>
              <w:rPr>
                <w:spacing w:val="-4"/>
                <w:sz w:val="20"/>
              </w:rPr>
              <w:t> </w:t>
            </w:r>
            <w:r>
              <w:rPr>
                <w:sz w:val="20"/>
              </w:rPr>
              <w:t>mínimo que</w:t>
            </w:r>
          </w:p>
          <w:p>
            <w:pPr>
              <w:pStyle w:val="TableParagraph"/>
              <w:spacing w:line="209" w:lineRule="exact"/>
              <w:jc w:val="both"/>
              <w:rPr>
                <w:sz w:val="20"/>
              </w:rPr>
            </w:pPr>
            <w:r>
              <w:rPr>
                <w:sz w:val="20"/>
              </w:rPr>
              <w:t>se</w:t>
            </w:r>
            <w:r>
              <w:rPr>
                <w:spacing w:val="-7"/>
                <w:sz w:val="20"/>
              </w:rPr>
              <w:t> </w:t>
            </w:r>
            <w:r>
              <w:rPr>
                <w:sz w:val="20"/>
              </w:rPr>
              <w:t>otorga</w:t>
            </w:r>
            <w:r>
              <w:rPr>
                <w:spacing w:val="-4"/>
                <w:sz w:val="20"/>
              </w:rPr>
              <w:t> </w:t>
            </w:r>
            <w:r>
              <w:rPr>
                <w:sz w:val="20"/>
              </w:rPr>
              <w:t>por</w:t>
            </w:r>
            <w:r>
              <w:rPr>
                <w:spacing w:val="-4"/>
                <w:sz w:val="20"/>
              </w:rPr>
              <w:t> </w:t>
            </w:r>
            <w:r>
              <w:rPr>
                <w:spacing w:val="-2"/>
                <w:sz w:val="20"/>
              </w:rPr>
              <w:t>parálisis.</w:t>
            </w:r>
          </w:p>
        </w:tc>
        <w:tc>
          <w:tcPr>
            <w:tcW w:w="1457" w:type="dxa"/>
          </w:tcPr>
          <w:p>
            <w:pPr>
              <w:pStyle w:val="TableParagraph"/>
              <w:spacing w:line="240" w:lineRule="auto" w:before="114"/>
              <w:ind w:left="0"/>
              <w:jc w:val="left"/>
              <w:rPr>
                <w:rFonts w:ascii="Arial"/>
                <w:b/>
                <w:sz w:val="20"/>
              </w:rPr>
            </w:pPr>
          </w:p>
          <w:p>
            <w:pPr>
              <w:pStyle w:val="TableParagraph"/>
              <w:spacing w:line="240" w:lineRule="auto" w:before="1"/>
              <w:ind w:left="11"/>
              <w:rPr>
                <w:sz w:val="20"/>
              </w:rPr>
            </w:pPr>
            <w:r>
              <w:rPr>
                <w:spacing w:val="-2"/>
                <w:sz w:val="20"/>
              </w:rPr>
              <w:t>-</w:t>
            </w:r>
            <w:r>
              <w:rPr>
                <w:spacing w:val="-12"/>
                <w:sz w:val="20"/>
              </w:rPr>
              <w:t>-</w:t>
            </w:r>
          </w:p>
        </w:tc>
      </w:tr>
      <w:tr>
        <w:trPr>
          <w:trHeight w:val="230" w:hRule="atLeast"/>
        </w:trPr>
        <w:tc>
          <w:tcPr>
            <w:tcW w:w="1003" w:type="dxa"/>
          </w:tcPr>
          <w:p>
            <w:pPr>
              <w:pStyle w:val="TableParagraph"/>
              <w:ind w:left="10" w:right="1"/>
              <w:rPr>
                <w:sz w:val="20"/>
              </w:rPr>
            </w:pPr>
            <w:r>
              <w:rPr>
                <w:spacing w:val="-5"/>
                <w:sz w:val="20"/>
              </w:rPr>
              <w:t>267</w:t>
            </w:r>
          </w:p>
        </w:tc>
        <w:tc>
          <w:tcPr>
            <w:tcW w:w="7089" w:type="dxa"/>
          </w:tcPr>
          <w:p>
            <w:pPr>
              <w:pStyle w:val="TableParagraph"/>
              <w:jc w:val="left"/>
              <w:rPr>
                <w:sz w:val="20"/>
              </w:rPr>
            </w:pPr>
            <w:r>
              <w:rPr>
                <w:sz w:val="20"/>
              </w:rPr>
              <w:t>Con</w:t>
            </w:r>
            <w:r>
              <w:rPr>
                <w:spacing w:val="-8"/>
                <w:sz w:val="20"/>
              </w:rPr>
              <w:t> </w:t>
            </w:r>
            <w:r>
              <w:rPr>
                <w:sz w:val="20"/>
              </w:rPr>
              <w:t>síndrome</w:t>
            </w:r>
            <w:r>
              <w:rPr>
                <w:spacing w:val="-7"/>
                <w:sz w:val="20"/>
              </w:rPr>
              <w:t> </w:t>
            </w:r>
            <w:r>
              <w:rPr>
                <w:sz w:val="20"/>
              </w:rPr>
              <w:t>de</w:t>
            </w:r>
            <w:r>
              <w:rPr>
                <w:spacing w:val="-6"/>
                <w:sz w:val="20"/>
              </w:rPr>
              <w:t> </w:t>
            </w:r>
            <w:r>
              <w:rPr>
                <w:sz w:val="20"/>
              </w:rPr>
              <w:t>dolor</w:t>
            </w:r>
            <w:r>
              <w:rPr>
                <w:spacing w:val="-7"/>
                <w:sz w:val="20"/>
              </w:rPr>
              <w:t> </w:t>
            </w:r>
            <w:r>
              <w:rPr>
                <w:sz w:val="20"/>
              </w:rPr>
              <w:t>regional</w:t>
            </w:r>
            <w:r>
              <w:rPr>
                <w:spacing w:val="-8"/>
                <w:sz w:val="20"/>
              </w:rPr>
              <w:t> </w:t>
            </w:r>
            <w:r>
              <w:rPr>
                <w:sz w:val="20"/>
              </w:rPr>
              <w:t>complejo</w:t>
            </w:r>
            <w:r>
              <w:rPr>
                <w:spacing w:val="-6"/>
                <w:sz w:val="20"/>
              </w:rPr>
              <w:t> </w:t>
            </w:r>
            <w:r>
              <w:rPr>
                <w:spacing w:val="-2"/>
                <w:sz w:val="20"/>
              </w:rPr>
              <w:t>sacroilíaco.</w:t>
            </w:r>
          </w:p>
        </w:tc>
        <w:tc>
          <w:tcPr>
            <w:tcW w:w="1457" w:type="dxa"/>
          </w:tcPr>
          <w:p>
            <w:pPr>
              <w:pStyle w:val="TableParagraph"/>
              <w:ind w:left="11" w:right="3"/>
              <w:rPr>
                <w:sz w:val="20"/>
              </w:rPr>
            </w:pPr>
            <w:r>
              <w:rPr>
                <w:sz w:val="20"/>
              </w:rPr>
              <w:t>35</w:t>
            </w:r>
            <w:r>
              <w:rPr>
                <w:spacing w:val="-3"/>
                <w:sz w:val="20"/>
              </w:rPr>
              <w:t> </w:t>
            </w:r>
            <w:r>
              <w:rPr>
                <w:sz w:val="20"/>
              </w:rPr>
              <w:t>a</w:t>
            </w:r>
            <w:r>
              <w:rPr>
                <w:spacing w:val="-1"/>
                <w:sz w:val="20"/>
              </w:rPr>
              <w:t> </w:t>
            </w:r>
            <w:r>
              <w:rPr>
                <w:spacing w:val="-5"/>
                <w:sz w:val="20"/>
              </w:rPr>
              <w:t>40%</w:t>
            </w:r>
          </w:p>
        </w:tc>
      </w:tr>
      <w:tr>
        <w:trPr>
          <w:trHeight w:val="229" w:hRule="atLeast"/>
        </w:trPr>
        <w:tc>
          <w:tcPr>
            <w:tcW w:w="1003" w:type="dxa"/>
          </w:tcPr>
          <w:p>
            <w:pPr>
              <w:pStyle w:val="TableParagraph"/>
              <w:ind w:left="10" w:right="1"/>
              <w:rPr>
                <w:sz w:val="20"/>
              </w:rPr>
            </w:pPr>
            <w:r>
              <w:rPr>
                <w:spacing w:val="-5"/>
                <w:sz w:val="20"/>
              </w:rPr>
              <w:t>268</w:t>
            </w:r>
          </w:p>
        </w:tc>
        <w:tc>
          <w:tcPr>
            <w:tcW w:w="7089" w:type="dxa"/>
          </w:tcPr>
          <w:p>
            <w:pPr>
              <w:pStyle w:val="TableParagraph"/>
              <w:jc w:val="left"/>
              <w:rPr>
                <w:sz w:val="20"/>
              </w:rPr>
            </w:pPr>
            <w:r>
              <w:rPr>
                <w:sz w:val="20"/>
              </w:rPr>
              <w:t>Con</w:t>
            </w:r>
            <w:r>
              <w:rPr>
                <w:spacing w:val="-8"/>
                <w:sz w:val="20"/>
              </w:rPr>
              <w:t> </w:t>
            </w:r>
            <w:r>
              <w:rPr>
                <w:sz w:val="20"/>
              </w:rPr>
              <w:t>síndrome</w:t>
            </w:r>
            <w:r>
              <w:rPr>
                <w:spacing w:val="-6"/>
                <w:sz w:val="20"/>
              </w:rPr>
              <w:t> </w:t>
            </w:r>
            <w:r>
              <w:rPr>
                <w:sz w:val="20"/>
              </w:rPr>
              <w:t>de</w:t>
            </w:r>
            <w:r>
              <w:rPr>
                <w:spacing w:val="-6"/>
                <w:sz w:val="20"/>
              </w:rPr>
              <w:t> </w:t>
            </w:r>
            <w:r>
              <w:rPr>
                <w:sz w:val="20"/>
              </w:rPr>
              <w:t>dolor</w:t>
            </w:r>
            <w:r>
              <w:rPr>
                <w:spacing w:val="-7"/>
                <w:sz w:val="20"/>
              </w:rPr>
              <w:t> </w:t>
            </w:r>
            <w:r>
              <w:rPr>
                <w:sz w:val="20"/>
              </w:rPr>
              <w:t>regional</w:t>
            </w:r>
            <w:r>
              <w:rPr>
                <w:spacing w:val="-7"/>
                <w:sz w:val="20"/>
              </w:rPr>
              <w:t> </w:t>
            </w:r>
            <w:r>
              <w:rPr>
                <w:sz w:val="20"/>
              </w:rPr>
              <w:t>complejo</w:t>
            </w:r>
            <w:r>
              <w:rPr>
                <w:spacing w:val="-6"/>
                <w:sz w:val="20"/>
              </w:rPr>
              <w:t> </w:t>
            </w:r>
            <w:r>
              <w:rPr>
                <w:sz w:val="20"/>
              </w:rPr>
              <w:t>de</w:t>
            </w:r>
            <w:r>
              <w:rPr>
                <w:spacing w:val="-7"/>
                <w:sz w:val="20"/>
              </w:rPr>
              <w:t> </w:t>
            </w:r>
            <w:r>
              <w:rPr>
                <w:spacing w:val="-2"/>
                <w:sz w:val="20"/>
              </w:rPr>
              <w:t>cadera.</w:t>
            </w:r>
          </w:p>
        </w:tc>
        <w:tc>
          <w:tcPr>
            <w:tcW w:w="1457" w:type="dxa"/>
          </w:tcPr>
          <w:p>
            <w:pPr>
              <w:pStyle w:val="TableParagraph"/>
              <w:ind w:left="11" w:right="3"/>
              <w:rPr>
                <w:sz w:val="20"/>
              </w:rPr>
            </w:pPr>
            <w:r>
              <w:rPr>
                <w:sz w:val="20"/>
              </w:rPr>
              <w:t>25</w:t>
            </w:r>
            <w:r>
              <w:rPr>
                <w:spacing w:val="-3"/>
                <w:sz w:val="20"/>
              </w:rPr>
              <w:t> </w:t>
            </w:r>
            <w:r>
              <w:rPr>
                <w:sz w:val="20"/>
              </w:rPr>
              <w:t>a</w:t>
            </w:r>
            <w:r>
              <w:rPr>
                <w:spacing w:val="-1"/>
                <w:sz w:val="20"/>
              </w:rPr>
              <w:t> </w:t>
            </w:r>
            <w:r>
              <w:rPr>
                <w:spacing w:val="-5"/>
                <w:sz w:val="20"/>
              </w:rPr>
              <w:t>35%</w:t>
            </w:r>
          </w:p>
        </w:tc>
      </w:tr>
      <w:tr>
        <w:trPr>
          <w:trHeight w:val="229" w:hRule="atLeast"/>
        </w:trPr>
        <w:tc>
          <w:tcPr>
            <w:tcW w:w="1003" w:type="dxa"/>
          </w:tcPr>
          <w:p>
            <w:pPr>
              <w:pStyle w:val="TableParagraph"/>
              <w:ind w:left="10" w:right="1"/>
              <w:rPr>
                <w:sz w:val="20"/>
              </w:rPr>
            </w:pPr>
            <w:r>
              <w:rPr>
                <w:spacing w:val="-5"/>
                <w:sz w:val="20"/>
              </w:rPr>
              <w:t>269</w:t>
            </w:r>
          </w:p>
        </w:tc>
        <w:tc>
          <w:tcPr>
            <w:tcW w:w="7089" w:type="dxa"/>
          </w:tcPr>
          <w:p>
            <w:pPr>
              <w:pStyle w:val="TableParagraph"/>
              <w:jc w:val="left"/>
              <w:rPr>
                <w:sz w:val="20"/>
              </w:rPr>
            </w:pPr>
            <w:r>
              <w:rPr>
                <w:sz w:val="20"/>
              </w:rPr>
              <w:t>Con</w:t>
            </w:r>
            <w:r>
              <w:rPr>
                <w:spacing w:val="-8"/>
                <w:sz w:val="20"/>
              </w:rPr>
              <w:t> </w:t>
            </w:r>
            <w:r>
              <w:rPr>
                <w:sz w:val="20"/>
              </w:rPr>
              <w:t>síndrome</w:t>
            </w:r>
            <w:r>
              <w:rPr>
                <w:spacing w:val="-6"/>
                <w:sz w:val="20"/>
              </w:rPr>
              <w:t> </w:t>
            </w:r>
            <w:r>
              <w:rPr>
                <w:sz w:val="20"/>
              </w:rPr>
              <w:t>de</w:t>
            </w:r>
            <w:r>
              <w:rPr>
                <w:spacing w:val="-6"/>
                <w:sz w:val="20"/>
              </w:rPr>
              <w:t> </w:t>
            </w:r>
            <w:r>
              <w:rPr>
                <w:sz w:val="20"/>
              </w:rPr>
              <w:t>dolor</w:t>
            </w:r>
            <w:r>
              <w:rPr>
                <w:spacing w:val="-7"/>
                <w:sz w:val="20"/>
              </w:rPr>
              <w:t> </w:t>
            </w:r>
            <w:r>
              <w:rPr>
                <w:sz w:val="20"/>
              </w:rPr>
              <w:t>regional</w:t>
            </w:r>
            <w:r>
              <w:rPr>
                <w:spacing w:val="-7"/>
                <w:sz w:val="20"/>
              </w:rPr>
              <w:t> </w:t>
            </w:r>
            <w:r>
              <w:rPr>
                <w:sz w:val="20"/>
              </w:rPr>
              <w:t>complejo</w:t>
            </w:r>
            <w:r>
              <w:rPr>
                <w:spacing w:val="-6"/>
                <w:sz w:val="20"/>
              </w:rPr>
              <w:t> </w:t>
            </w:r>
            <w:r>
              <w:rPr>
                <w:sz w:val="20"/>
              </w:rPr>
              <w:t>de</w:t>
            </w:r>
            <w:r>
              <w:rPr>
                <w:spacing w:val="-7"/>
                <w:sz w:val="20"/>
              </w:rPr>
              <w:t> </w:t>
            </w:r>
            <w:r>
              <w:rPr>
                <w:spacing w:val="-2"/>
                <w:sz w:val="20"/>
              </w:rPr>
              <w:t>rodilla.</w:t>
            </w:r>
          </w:p>
        </w:tc>
        <w:tc>
          <w:tcPr>
            <w:tcW w:w="1457" w:type="dxa"/>
          </w:tcPr>
          <w:p>
            <w:pPr>
              <w:pStyle w:val="TableParagraph"/>
              <w:ind w:left="11" w:right="3"/>
              <w:rPr>
                <w:sz w:val="20"/>
              </w:rPr>
            </w:pPr>
            <w:r>
              <w:rPr>
                <w:sz w:val="20"/>
              </w:rPr>
              <w:t>20</w:t>
            </w:r>
            <w:r>
              <w:rPr>
                <w:spacing w:val="-3"/>
                <w:sz w:val="20"/>
              </w:rPr>
              <w:t> </w:t>
            </w:r>
            <w:r>
              <w:rPr>
                <w:sz w:val="20"/>
              </w:rPr>
              <w:t>a</w:t>
            </w:r>
            <w:r>
              <w:rPr>
                <w:spacing w:val="-1"/>
                <w:sz w:val="20"/>
              </w:rPr>
              <w:t> </w:t>
            </w:r>
            <w:r>
              <w:rPr>
                <w:spacing w:val="-5"/>
                <w:sz w:val="20"/>
              </w:rPr>
              <w:t>30%</w:t>
            </w:r>
          </w:p>
        </w:tc>
      </w:tr>
      <w:tr>
        <w:trPr>
          <w:trHeight w:val="232" w:hRule="atLeast"/>
        </w:trPr>
        <w:tc>
          <w:tcPr>
            <w:tcW w:w="1003" w:type="dxa"/>
          </w:tcPr>
          <w:p>
            <w:pPr>
              <w:pStyle w:val="TableParagraph"/>
              <w:spacing w:line="212" w:lineRule="exact"/>
              <w:ind w:left="10" w:right="1"/>
              <w:rPr>
                <w:sz w:val="20"/>
              </w:rPr>
            </w:pPr>
            <w:r>
              <w:rPr>
                <w:spacing w:val="-5"/>
                <w:sz w:val="20"/>
              </w:rPr>
              <w:t>270</w:t>
            </w:r>
          </w:p>
        </w:tc>
        <w:tc>
          <w:tcPr>
            <w:tcW w:w="7089" w:type="dxa"/>
          </w:tcPr>
          <w:p>
            <w:pPr>
              <w:pStyle w:val="TableParagraph"/>
              <w:spacing w:line="212" w:lineRule="exact"/>
              <w:jc w:val="left"/>
              <w:rPr>
                <w:sz w:val="20"/>
              </w:rPr>
            </w:pPr>
            <w:r>
              <w:rPr>
                <w:sz w:val="20"/>
              </w:rPr>
              <w:t>Con</w:t>
            </w:r>
            <w:r>
              <w:rPr>
                <w:spacing w:val="-8"/>
                <w:sz w:val="20"/>
              </w:rPr>
              <w:t> </w:t>
            </w:r>
            <w:r>
              <w:rPr>
                <w:sz w:val="20"/>
              </w:rPr>
              <w:t>síndrome</w:t>
            </w:r>
            <w:r>
              <w:rPr>
                <w:spacing w:val="-6"/>
                <w:sz w:val="20"/>
              </w:rPr>
              <w:t> </w:t>
            </w:r>
            <w:r>
              <w:rPr>
                <w:sz w:val="20"/>
              </w:rPr>
              <w:t>de</w:t>
            </w:r>
            <w:r>
              <w:rPr>
                <w:spacing w:val="-7"/>
                <w:sz w:val="20"/>
              </w:rPr>
              <w:t> </w:t>
            </w:r>
            <w:r>
              <w:rPr>
                <w:sz w:val="20"/>
              </w:rPr>
              <w:t>dolor</w:t>
            </w:r>
            <w:r>
              <w:rPr>
                <w:spacing w:val="-4"/>
                <w:sz w:val="20"/>
              </w:rPr>
              <w:t> </w:t>
            </w:r>
            <w:r>
              <w:rPr>
                <w:sz w:val="20"/>
              </w:rPr>
              <w:t>regional</w:t>
            </w:r>
            <w:r>
              <w:rPr>
                <w:spacing w:val="-8"/>
                <w:sz w:val="20"/>
              </w:rPr>
              <w:t> </w:t>
            </w:r>
            <w:r>
              <w:rPr>
                <w:sz w:val="20"/>
              </w:rPr>
              <w:t>complejo</w:t>
            </w:r>
            <w:r>
              <w:rPr>
                <w:spacing w:val="-6"/>
                <w:sz w:val="20"/>
              </w:rPr>
              <w:t> </w:t>
            </w:r>
            <w:r>
              <w:rPr>
                <w:sz w:val="20"/>
              </w:rPr>
              <w:t>de</w:t>
            </w:r>
            <w:r>
              <w:rPr>
                <w:spacing w:val="-5"/>
                <w:sz w:val="20"/>
              </w:rPr>
              <w:t> </w:t>
            </w:r>
            <w:r>
              <w:rPr>
                <w:spacing w:val="-4"/>
                <w:sz w:val="20"/>
              </w:rPr>
              <w:t>pie.</w:t>
            </w:r>
          </w:p>
        </w:tc>
        <w:tc>
          <w:tcPr>
            <w:tcW w:w="1457" w:type="dxa"/>
          </w:tcPr>
          <w:p>
            <w:pPr>
              <w:pStyle w:val="TableParagraph"/>
              <w:spacing w:line="212" w:lineRule="exact"/>
              <w:ind w:left="11" w:right="3"/>
              <w:rPr>
                <w:sz w:val="20"/>
              </w:rPr>
            </w:pPr>
            <w:r>
              <w:rPr>
                <w:sz w:val="20"/>
              </w:rPr>
              <w:t>10</w:t>
            </w:r>
            <w:r>
              <w:rPr>
                <w:spacing w:val="-3"/>
                <w:sz w:val="20"/>
              </w:rPr>
              <w:t> </w:t>
            </w:r>
            <w:r>
              <w:rPr>
                <w:sz w:val="20"/>
              </w:rPr>
              <w:t>a</w:t>
            </w:r>
            <w:r>
              <w:rPr>
                <w:spacing w:val="-1"/>
                <w:sz w:val="20"/>
              </w:rPr>
              <w:t> </w:t>
            </w:r>
            <w:r>
              <w:rPr>
                <w:spacing w:val="-5"/>
                <w:sz w:val="20"/>
              </w:rPr>
              <w:t>20%</w:t>
            </w:r>
          </w:p>
        </w:tc>
      </w:tr>
    </w:tbl>
    <w:p>
      <w:pPr>
        <w:pStyle w:val="BodyText"/>
        <w:spacing w:before="1"/>
        <w:rPr>
          <w:rFonts w:ascii="Arial"/>
          <w:b/>
        </w:rPr>
      </w:pPr>
    </w:p>
    <w:p>
      <w:pPr>
        <w:spacing w:before="0"/>
        <w:ind w:left="293" w:right="296" w:firstLine="0"/>
        <w:jc w:val="center"/>
        <w:rPr>
          <w:rFonts w:ascii="Arial" w:hAnsi="Arial"/>
          <w:b/>
          <w:sz w:val="20"/>
        </w:rPr>
      </w:pPr>
      <w:r>
        <w:rPr>
          <w:rFonts w:ascii="Arial" w:hAnsi="Arial"/>
          <w:b/>
          <w:sz w:val="20"/>
        </w:rPr>
        <w:t>Luxaciones</w:t>
      </w:r>
      <w:r>
        <w:rPr>
          <w:rFonts w:ascii="Arial" w:hAnsi="Arial"/>
          <w:b/>
          <w:spacing w:val="-8"/>
          <w:sz w:val="20"/>
        </w:rPr>
        <w:t> </w:t>
      </w:r>
      <w:r>
        <w:rPr>
          <w:rFonts w:ascii="Arial" w:hAnsi="Arial"/>
          <w:b/>
          <w:sz w:val="20"/>
        </w:rPr>
        <w:t>que</w:t>
      </w:r>
      <w:r>
        <w:rPr>
          <w:rFonts w:ascii="Arial" w:hAnsi="Arial"/>
          <w:b/>
          <w:spacing w:val="-8"/>
          <w:sz w:val="20"/>
        </w:rPr>
        <w:t> </w:t>
      </w:r>
      <w:r>
        <w:rPr>
          <w:rFonts w:ascii="Arial" w:hAnsi="Arial"/>
          <w:b/>
          <w:sz w:val="20"/>
        </w:rPr>
        <w:t>no</w:t>
      </w:r>
      <w:r>
        <w:rPr>
          <w:rFonts w:ascii="Arial" w:hAnsi="Arial"/>
          <w:b/>
          <w:spacing w:val="-7"/>
          <w:sz w:val="20"/>
        </w:rPr>
        <w:t> </w:t>
      </w:r>
      <w:r>
        <w:rPr>
          <w:rFonts w:ascii="Arial" w:hAnsi="Arial"/>
          <w:b/>
          <w:sz w:val="20"/>
        </w:rPr>
        <w:t>puedan</w:t>
      </w:r>
      <w:r>
        <w:rPr>
          <w:rFonts w:ascii="Arial" w:hAnsi="Arial"/>
          <w:b/>
          <w:spacing w:val="-7"/>
          <w:sz w:val="20"/>
        </w:rPr>
        <w:t> </w:t>
      </w:r>
      <w:r>
        <w:rPr>
          <w:rFonts w:ascii="Arial" w:hAnsi="Arial"/>
          <w:b/>
          <w:sz w:val="20"/>
        </w:rPr>
        <w:t>ser</w:t>
      </w:r>
      <w:r>
        <w:rPr>
          <w:rFonts w:ascii="Arial" w:hAnsi="Arial"/>
          <w:b/>
          <w:spacing w:val="-6"/>
          <w:sz w:val="20"/>
        </w:rPr>
        <w:t> </w:t>
      </w:r>
      <w:r>
        <w:rPr>
          <w:rFonts w:ascii="Arial" w:hAnsi="Arial"/>
          <w:b/>
          <w:sz w:val="20"/>
        </w:rPr>
        <w:t>resueltas</w:t>
      </w:r>
      <w:r>
        <w:rPr>
          <w:rFonts w:ascii="Arial" w:hAnsi="Arial"/>
          <w:b/>
          <w:spacing w:val="-8"/>
          <w:sz w:val="20"/>
        </w:rPr>
        <w:t> </w:t>
      </w:r>
      <w:r>
        <w:rPr>
          <w:rFonts w:ascii="Arial" w:hAnsi="Arial"/>
          <w:b/>
          <w:spacing w:val="-2"/>
          <w:sz w:val="20"/>
        </w:rPr>
        <w:t>quirúrgicamente</w:t>
      </w:r>
    </w:p>
    <w:p>
      <w:pPr>
        <w:pStyle w:val="BodyText"/>
        <w:spacing w:before="4"/>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3"/>
        <w:gridCol w:w="7089"/>
        <w:gridCol w:w="1457"/>
      </w:tblGrid>
      <w:tr>
        <w:trPr>
          <w:trHeight w:val="229" w:hRule="atLeast"/>
        </w:trPr>
        <w:tc>
          <w:tcPr>
            <w:tcW w:w="1003" w:type="dxa"/>
          </w:tcPr>
          <w:p>
            <w:pPr>
              <w:pStyle w:val="TableParagraph"/>
              <w:ind w:left="333"/>
              <w:jc w:val="left"/>
              <w:rPr>
                <w:sz w:val="20"/>
              </w:rPr>
            </w:pPr>
            <w:r>
              <w:rPr>
                <w:spacing w:val="-5"/>
                <w:sz w:val="20"/>
              </w:rPr>
              <w:t>271</w:t>
            </w:r>
          </w:p>
        </w:tc>
        <w:tc>
          <w:tcPr>
            <w:tcW w:w="7089" w:type="dxa"/>
          </w:tcPr>
          <w:p>
            <w:pPr>
              <w:pStyle w:val="TableParagraph"/>
              <w:jc w:val="left"/>
              <w:rPr>
                <w:sz w:val="20"/>
              </w:rPr>
            </w:pPr>
            <w:r>
              <w:rPr>
                <w:sz w:val="20"/>
              </w:rPr>
              <w:t>Del</w:t>
            </w:r>
            <w:r>
              <w:rPr>
                <w:spacing w:val="-7"/>
                <w:sz w:val="20"/>
              </w:rPr>
              <w:t> </w:t>
            </w:r>
            <w:r>
              <w:rPr>
                <w:sz w:val="20"/>
              </w:rPr>
              <w:t>pubis,</w:t>
            </w:r>
            <w:r>
              <w:rPr>
                <w:spacing w:val="-8"/>
                <w:sz w:val="20"/>
              </w:rPr>
              <w:t> </w:t>
            </w:r>
            <w:r>
              <w:rPr>
                <w:sz w:val="20"/>
              </w:rPr>
              <w:t>irreductible</w:t>
            </w:r>
            <w:r>
              <w:rPr>
                <w:spacing w:val="-6"/>
                <w:sz w:val="20"/>
              </w:rPr>
              <w:t> </w:t>
            </w:r>
            <w:r>
              <w:rPr>
                <w:sz w:val="20"/>
              </w:rPr>
              <w:t>o</w:t>
            </w:r>
            <w:r>
              <w:rPr>
                <w:spacing w:val="-6"/>
                <w:sz w:val="20"/>
              </w:rPr>
              <w:t> </w:t>
            </w:r>
            <w:r>
              <w:rPr>
                <w:sz w:val="20"/>
              </w:rPr>
              <w:t>inveterada,</w:t>
            </w:r>
            <w:r>
              <w:rPr>
                <w:spacing w:val="-7"/>
                <w:sz w:val="20"/>
              </w:rPr>
              <w:t> </w:t>
            </w:r>
            <w:r>
              <w:rPr>
                <w:sz w:val="20"/>
              </w:rPr>
              <w:t>o</w:t>
            </w:r>
            <w:r>
              <w:rPr>
                <w:spacing w:val="-8"/>
                <w:sz w:val="20"/>
              </w:rPr>
              <w:t> </w:t>
            </w:r>
            <w:r>
              <w:rPr>
                <w:sz w:val="20"/>
              </w:rPr>
              <w:t>relajación</w:t>
            </w:r>
            <w:r>
              <w:rPr>
                <w:spacing w:val="-7"/>
                <w:sz w:val="20"/>
              </w:rPr>
              <w:t> </w:t>
            </w:r>
            <w:r>
              <w:rPr>
                <w:sz w:val="20"/>
              </w:rPr>
              <w:t>extensa</w:t>
            </w:r>
            <w:r>
              <w:rPr>
                <w:spacing w:val="-8"/>
                <w:sz w:val="20"/>
              </w:rPr>
              <w:t> </w:t>
            </w:r>
            <w:r>
              <w:rPr>
                <w:sz w:val="20"/>
              </w:rPr>
              <w:t>de</w:t>
            </w:r>
            <w:r>
              <w:rPr>
                <w:spacing w:val="-5"/>
                <w:sz w:val="20"/>
              </w:rPr>
              <w:t> </w:t>
            </w:r>
            <w:r>
              <w:rPr>
                <w:sz w:val="20"/>
              </w:rPr>
              <w:t>la</w:t>
            </w:r>
            <w:r>
              <w:rPr>
                <w:spacing w:val="-8"/>
                <w:sz w:val="20"/>
              </w:rPr>
              <w:t> </w:t>
            </w:r>
            <w:r>
              <w:rPr>
                <w:spacing w:val="-2"/>
                <w:sz w:val="20"/>
              </w:rPr>
              <w:t>sínfisis.</w:t>
            </w:r>
          </w:p>
        </w:tc>
        <w:tc>
          <w:tcPr>
            <w:tcW w:w="1457" w:type="dxa"/>
          </w:tcPr>
          <w:p>
            <w:pPr>
              <w:pStyle w:val="TableParagraph"/>
              <w:ind w:left="304"/>
              <w:jc w:val="left"/>
              <w:rPr>
                <w:sz w:val="20"/>
              </w:rPr>
            </w:pPr>
            <w:r>
              <w:rPr>
                <w:sz w:val="20"/>
              </w:rPr>
              <w:t>25</w:t>
            </w:r>
            <w:r>
              <w:rPr>
                <w:spacing w:val="-3"/>
                <w:sz w:val="20"/>
              </w:rPr>
              <w:t> </w:t>
            </w:r>
            <w:r>
              <w:rPr>
                <w:sz w:val="20"/>
              </w:rPr>
              <w:t>a</w:t>
            </w:r>
            <w:r>
              <w:rPr>
                <w:spacing w:val="-1"/>
                <w:sz w:val="20"/>
              </w:rPr>
              <w:t> </w:t>
            </w:r>
            <w:r>
              <w:rPr>
                <w:spacing w:val="-5"/>
                <w:sz w:val="20"/>
              </w:rPr>
              <w:t>40%</w:t>
            </w:r>
          </w:p>
        </w:tc>
      </w:tr>
    </w:tbl>
    <w:p>
      <w:pPr>
        <w:spacing w:before="228"/>
        <w:ind w:left="296" w:right="296" w:firstLine="0"/>
        <w:jc w:val="center"/>
        <w:rPr>
          <w:rFonts w:ascii="Arial" w:hAnsi="Arial"/>
          <w:b/>
          <w:sz w:val="20"/>
        </w:rPr>
      </w:pPr>
      <w:r>
        <w:rPr>
          <w:rFonts w:ascii="Arial" w:hAnsi="Arial"/>
          <w:b/>
          <w:spacing w:val="-2"/>
          <w:sz w:val="20"/>
        </w:rPr>
        <w:t>Músculos</w:t>
      </w:r>
    </w:p>
    <w:p>
      <w:pPr>
        <w:pStyle w:val="BodyText"/>
        <w:spacing w:before="3"/>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3"/>
        <w:gridCol w:w="7089"/>
        <w:gridCol w:w="1457"/>
      </w:tblGrid>
      <w:tr>
        <w:trPr>
          <w:trHeight w:val="460" w:hRule="atLeast"/>
        </w:trPr>
        <w:tc>
          <w:tcPr>
            <w:tcW w:w="1003" w:type="dxa"/>
          </w:tcPr>
          <w:p>
            <w:pPr>
              <w:pStyle w:val="TableParagraph"/>
              <w:spacing w:line="240" w:lineRule="auto" w:before="114"/>
              <w:ind w:left="10" w:right="1"/>
              <w:rPr>
                <w:sz w:val="20"/>
              </w:rPr>
            </w:pPr>
            <w:r>
              <w:rPr>
                <w:spacing w:val="-5"/>
                <w:sz w:val="20"/>
              </w:rPr>
              <w:t>272</w:t>
            </w:r>
          </w:p>
        </w:tc>
        <w:tc>
          <w:tcPr>
            <w:tcW w:w="7089" w:type="dxa"/>
          </w:tcPr>
          <w:p>
            <w:pPr>
              <w:pStyle w:val="TableParagraph"/>
              <w:spacing w:line="230" w:lineRule="exact"/>
              <w:jc w:val="left"/>
              <w:rPr>
                <w:sz w:val="20"/>
              </w:rPr>
            </w:pPr>
            <w:r>
              <w:rPr>
                <w:sz w:val="20"/>
              </w:rPr>
              <w:t>Amiotrofia mayor o igual a un centímetro del muslo, sin anquilosis ni rigidez</w:t>
            </w:r>
            <w:r>
              <w:rPr>
                <w:spacing w:val="40"/>
                <w:sz w:val="20"/>
              </w:rPr>
              <w:t> </w:t>
            </w:r>
            <w:r>
              <w:rPr>
                <w:spacing w:val="-2"/>
                <w:sz w:val="20"/>
              </w:rPr>
              <w:t>articular.</w:t>
            </w:r>
          </w:p>
        </w:tc>
        <w:tc>
          <w:tcPr>
            <w:tcW w:w="1457" w:type="dxa"/>
          </w:tcPr>
          <w:p>
            <w:pPr>
              <w:pStyle w:val="TableParagraph"/>
              <w:spacing w:line="240" w:lineRule="auto" w:before="114"/>
              <w:ind w:left="11" w:right="1"/>
              <w:rPr>
                <w:sz w:val="20"/>
              </w:rPr>
            </w:pPr>
            <w:r>
              <w:rPr>
                <w:spacing w:val="-5"/>
                <w:sz w:val="20"/>
              </w:rPr>
              <w:t>30%</w:t>
            </w:r>
          </w:p>
        </w:tc>
      </w:tr>
      <w:tr>
        <w:trPr>
          <w:trHeight w:val="460" w:hRule="atLeast"/>
        </w:trPr>
        <w:tc>
          <w:tcPr>
            <w:tcW w:w="1003" w:type="dxa"/>
          </w:tcPr>
          <w:p>
            <w:pPr>
              <w:pStyle w:val="TableParagraph"/>
              <w:spacing w:line="240" w:lineRule="auto" w:before="114"/>
              <w:ind w:left="10" w:right="1"/>
              <w:rPr>
                <w:sz w:val="20"/>
              </w:rPr>
            </w:pPr>
            <w:r>
              <w:rPr>
                <w:spacing w:val="-5"/>
                <w:sz w:val="20"/>
              </w:rPr>
              <w:t>273</w:t>
            </w:r>
          </w:p>
        </w:tc>
        <w:tc>
          <w:tcPr>
            <w:tcW w:w="7089" w:type="dxa"/>
          </w:tcPr>
          <w:p>
            <w:pPr>
              <w:pStyle w:val="TableParagraph"/>
              <w:spacing w:line="230" w:lineRule="exact"/>
              <w:jc w:val="left"/>
              <w:rPr>
                <w:sz w:val="20"/>
              </w:rPr>
            </w:pPr>
            <w:r>
              <w:rPr>
                <w:sz w:val="20"/>
              </w:rPr>
              <w:t>Amiotrofia</w:t>
            </w:r>
            <w:r>
              <w:rPr>
                <w:spacing w:val="31"/>
                <w:sz w:val="20"/>
              </w:rPr>
              <w:t> </w:t>
            </w:r>
            <w:r>
              <w:rPr>
                <w:sz w:val="20"/>
              </w:rPr>
              <w:t>mayor</w:t>
            </w:r>
            <w:r>
              <w:rPr>
                <w:spacing w:val="32"/>
                <w:sz w:val="20"/>
              </w:rPr>
              <w:t> </w:t>
            </w:r>
            <w:r>
              <w:rPr>
                <w:sz w:val="20"/>
              </w:rPr>
              <w:t>o</w:t>
            </w:r>
            <w:r>
              <w:rPr>
                <w:spacing w:val="33"/>
                <w:sz w:val="20"/>
              </w:rPr>
              <w:t> </w:t>
            </w:r>
            <w:r>
              <w:rPr>
                <w:sz w:val="20"/>
              </w:rPr>
              <w:t>igual</w:t>
            </w:r>
            <w:r>
              <w:rPr>
                <w:spacing w:val="32"/>
                <w:sz w:val="20"/>
              </w:rPr>
              <w:t> </w:t>
            </w:r>
            <w:r>
              <w:rPr>
                <w:sz w:val="20"/>
              </w:rPr>
              <w:t>a</w:t>
            </w:r>
            <w:r>
              <w:rPr>
                <w:spacing w:val="31"/>
                <w:sz w:val="20"/>
              </w:rPr>
              <w:t> </w:t>
            </w:r>
            <w:r>
              <w:rPr>
                <w:sz w:val="20"/>
              </w:rPr>
              <w:t>un</w:t>
            </w:r>
            <w:r>
              <w:rPr>
                <w:spacing w:val="31"/>
                <w:sz w:val="20"/>
              </w:rPr>
              <w:t> </w:t>
            </w:r>
            <w:r>
              <w:rPr>
                <w:sz w:val="20"/>
              </w:rPr>
              <w:t>centímetro</w:t>
            </w:r>
            <w:r>
              <w:rPr>
                <w:spacing w:val="31"/>
                <w:sz w:val="20"/>
              </w:rPr>
              <w:t> </w:t>
            </w:r>
            <w:r>
              <w:rPr>
                <w:sz w:val="20"/>
              </w:rPr>
              <w:t>del</w:t>
            </w:r>
            <w:r>
              <w:rPr>
                <w:spacing w:val="33"/>
                <w:sz w:val="20"/>
              </w:rPr>
              <w:t> </w:t>
            </w:r>
            <w:r>
              <w:rPr>
                <w:sz w:val="20"/>
              </w:rPr>
              <w:t>lóculo</w:t>
            </w:r>
            <w:r>
              <w:rPr>
                <w:spacing w:val="33"/>
                <w:sz w:val="20"/>
              </w:rPr>
              <w:t> </w:t>
            </w:r>
            <w:r>
              <w:rPr>
                <w:sz w:val="20"/>
              </w:rPr>
              <w:t>anterior</w:t>
            </w:r>
            <w:r>
              <w:rPr>
                <w:spacing w:val="32"/>
                <w:sz w:val="20"/>
              </w:rPr>
              <w:t> </w:t>
            </w:r>
            <w:r>
              <w:rPr>
                <w:sz w:val="20"/>
              </w:rPr>
              <w:t>del</w:t>
            </w:r>
            <w:r>
              <w:rPr>
                <w:spacing w:val="30"/>
                <w:sz w:val="20"/>
              </w:rPr>
              <w:t> </w:t>
            </w:r>
            <w:r>
              <w:rPr>
                <w:sz w:val="20"/>
              </w:rPr>
              <w:t>muslo,</w:t>
            </w:r>
            <w:r>
              <w:rPr>
                <w:spacing w:val="31"/>
                <w:sz w:val="20"/>
              </w:rPr>
              <w:t> </w:t>
            </w:r>
            <w:r>
              <w:rPr>
                <w:sz w:val="20"/>
              </w:rPr>
              <w:t>sin anquilosis ni rigidez articular.</w:t>
            </w:r>
          </w:p>
        </w:tc>
        <w:tc>
          <w:tcPr>
            <w:tcW w:w="1457" w:type="dxa"/>
          </w:tcPr>
          <w:p>
            <w:pPr>
              <w:pStyle w:val="TableParagraph"/>
              <w:spacing w:line="240" w:lineRule="auto" w:before="114"/>
              <w:ind w:left="11" w:right="1"/>
              <w:rPr>
                <w:sz w:val="20"/>
              </w:rPr>
            </w:pPr>
            <w:r>
              <w:rPr>
                <w:spacing w:val="-5"/>
                <w:sz w:val="20"/>
              </w:rPr>
              <w:t>20%</w:t>
            </w:r>
          </w:p>
        </w:tc>
      </w:tr>
      <w:tr>
        <w:trPr>
          <w:trHeight w:val="460" w:hRule="atLeast"/>
        </w:trPr>
        <w:tc>
          <w:tcPr>
            <w:tcW w:w="1003" w:type="dxa"/>
          </w:tcPr>
          <w:p>
            <w:pPr>
              <w:pStyle w:val="TableParagraph"/>
              <w:spacing w:line="240" w:lineRule="auto" w:before="114"/>
              <w:ind w:left="10" w:right="1"/>
              <w:rPr>
                <w:sz w:val="20"/>
              </w:rPr>
            </w:pPr>
            <w:r>
              <w:rPr>
                <w:spacing w:val="-5"/>
                <w:sz w:val="20"/>
              </w:rPr>
              <w:t>274</w:t>
            </w:r>
          </w:p>
        </w:tc>
        <w:tc>
          <w:tcPr>
            <w:tcW w:w="7089" w:type="dxa"/>
          </w:tcPr>
          <w:p>
            <w:pPr>
              <w:pStyle w:val="TableParagraph"/>
              <w:spacing w:line="230" w:lineRule="exact"/>
              <w:jc w:val="left"/>
              <w:rPr>
                <w:sz w:val="20"/>
              </w:rPr>
            </w:pPr>
            <w:r>
              <w:rPr>
                <w:sz w:val="20"/>
              </w:rPr>
              <w:t>Amiotrofia mayor o igual a un centímetro de la pierna, sin anquilosis ni rigidez </w:t>
            </w:r>
            <w:r>
              <w:rPr>
                <w:spacing w:val="-2"/>
                <w:sz w:val="20"/>
              </w:rPr>
              <w:t>articular.</w:t>
            </w:r>
          </w:p>
        </w:tc>
        <w:tc>
          <w:tcPr>
            <w:tcW w:w="1457" w:type="dxa"/>
          </w:tcPr>
          <w:p>
            <w:pPr>
              <w:pStyle w:val="TableParagraph"/>
              <w:spacing w:line="240" w:lineRule="auto" w:before="114"/>
              <w:ind w:left="11" w:right="1"/>
              <w:rPr>
                <w:sz w:val="20"/>
              </w:rPr>
            </w:pPr>
            <w:r>
              <w:rPr>
                <w:spacing w:val="-5"/>
                <w:sz w:val="20"/>
              </w:rPr>
              <w:t>30%</w:t>
            </w:r>
          </w:p>
        </w:tc>
      </w:tr>
      <w:tr>
        <w:trPr>
          <w:trHeight w:val="457" w:hRule="atLeast"/>
        </w:trPr>
        <w:tc>
          <w:tcPr>
            <w:tcW w:w="1003" w:type="dxa"/>
          </w:tcPr>
          <w:p>
            <w:pPr>
              <w:pStyle w:val="TableParagraph"/>
              <w:spacing w:line="240" w:lineRule="auto" w:before="114"/>
              <w:ind w:left="10" w:right="1"/>
              <w:rPr>
                <w:sz w:val="20"/>
              </w:rPr>
            </w:pPr>
            <w:r>
              <w:rPr>
                <w:spacing w:val="-5"/>
                <w:sz w:val="20"/>
              </w:rPr>
              <w:t>275</w:t>
            </w:r>
          </w:p>
        </w:tc>
        <w:tc>
          <w:tcPr>
            <w:tcW w:w="7089" w:type="dxa"/>
          </w:tcPr>
          <w:p>
            <w:pPr>
              <w:pStyle w:val="TableParagraph"/>
              <w:spacing w:line="228" w:lineRule="exact"/>
              <w:jc w:val="left"/>
              <w:rPr>
                <w:sz w:val="20"/>
              </w:rPr>
            </w:pPr>
            <w:r>
              <w:rPr>
                <w:sz w:val="20"/>
              </w:rPr>
              <w:t>Amiotrofia</w:t>
            </w:r>
            <w:r>
              <w:rPr>
                <w:spacing w:val="40"/>
                <w:sz w:val="20"/>
              </w:rPr>
              <w:t> </w:t>
            </w:r>
            <w:r>
              <w:rPr>
                <w:sz w:val="20"/>
              </w:rPr>
              <w:t>mayor</w:t>
            </w:r>
            <w:r>
              <w:rPr>
                <w:spacing w:val="40"/>
                <w:sz w:val="20"/>
              </w:rPr>
              <w:t> </w:t>
            </w:r>
            <w:r>
              <w:rPr>
                <w:sz w:val="20"/>
              </w:rPr>
              <w:t>o</w:t>
            </w:r>
            <w:r>
              <w:rPr>
                <w:spacing w:val="40"/>
                <w:sz w:val="20"/>
              </w:rPr>
              <w:t> </w:t>
            </w:r>
            <w:r>
              <w:rPr>
                <w:sz w:val="20"/>
              </w:rPr>
              <w:t>igual</w:t>
            </w:r>
            <w:r>
              <w:rPr>
                <w:spacing w:val="40"/>
                <w:sz w:val="20"/>
              </w:rPr>
              <w:t> </w:t>
            </w:r>
            <w:r>
              <w:rPr>
                <w:sz w:val="20"/>
              </w:rPr>
              <w:t>a</w:t>
            </w:r>
            <w:r>
              <w:rPr>
                <w:spacing w:val="40"/>
                <w:sz w:val="20"/>
              </w:rPr>
              <w:t> </w:t>
            </w:r>
            <w:r>
              <w:rPr>
                <w:sz w:val="20"/>
              </w:rPr>
              <w:t>un</w:t>
            </w:r>
            <w:r>
              <w:rPr>
                <w:spacing w:val="40"/>
                <w:sz w:val="20"/>
              </w:rPr>
              <w:t> </w:t>
            </w:r>
            <w:r>
              <w:rPr>
                <w:sz w:val="20"/>
              </w:rPr>
              <w:t>centímetro</w:t>
            </w:r>
            <w:r>
              <w:rPr>
                <w:spacing w:val="40"/>
                <w:sz w:val="20"/>
              </w:rPr>
              <w:t> </w:t>
            </w:r>
            <w:r>
              <w:rPr>
                <w:sz w:val="20"/>
              </w:rPr>
              <w:t>del</w:t>
            </w:r>
            <w:r>
              <w:rPr>
                <w:spacing w:val="40"/>
                <w:sz w:val="20"/>
              </w:rPr>
              <w:t> </w:t>
            </w:r>
            <w:r>
              <w:rPr>
                <w:sz w:val="20"/>
              </w:rPr>
              <w:t>lóculo</w:t>
            </w:r>
            <w:r>
              <w:rPr>
                <w:spacing w:val="40"/>
                <w:sz w:val="20"/>
              </w:rPr>
              <w:t> </w:t>
            </w:r>
            <w:r>
              <w:rPr>
                <w:sz w:val="20"/>
              </w:rPr>
              <w:t>antero-externo</w:t>
            </w:r>
            <w:r>
              <w:rPr>
                <w:spacing w:val="40"/>
                <w:sz w:val="20"/>
              </w:rPr>
              <w:t> </w:t>
            </w:r>
            <w:r>
              <w:rPr>
                <w:sz w:val="20"/>
              </w:rPr>
              <w:t>de</w:t>
            </w:r>
            <w:r>
              <w:rPr>
                <w:spacing w:val="40"/>
                <w:sz w:val="20"/>
              </w:rPr>
              <w:t> </w:t>
            </w:r>
            <w:r>
              <w:rPr>
                <w:sz w:val="20"/>
              </w:rPr>
              <w:t>la pierna, sin anquilosis ni rigidez articular.</w:t>
            </w:r>
          </w:p>
        </w:tc>
        <w:tc>
          <w:tcPr>
            <w:tcW w:w="1457" w:type="dxa"/>
          </w:tcPr>
          <w:p>
            <w:pPr>
              <w:pStyle w:val="TableParagraph"/>
              <w:spacing w:line="240" w:lineRule="auto" w:before="114"/>
              <w:ind w:left="11" w:right="1"/>
              <w:rPr>
                <w:sz w:val="20"/>
              </w:rPr>
            </w:pPr>
            <w:r>
              <w:rPr>
                <w:spacing w:val="-5"/>
                <w:sz w:val="20"/>
              </w:rPr>
              <w:t>15%</w:t>
            </w:r>
          </w:p>
        </w:tc>
      </w:tr>
      <w:tr>
        <w:trPr>
          <w:trHeight w:val="232" w:hRule="atLeast"/>
        </w:trPr>
        <w:tc>
          <w:tcPr>
            <w:tcW w:w="1003" w:type="dxa"/>
          </w:tcPr>
          <w:p>
            <w:pPr>
              <w:pStyle w:val="TableParagraph"/>
              <w:spacing w:before="1"/>
              <w:ind w:left="10" w:right="1"/>
              <w:rPr>
                <w:sz w:val="20"/>
              </w:rPr>
            </w:pPr>
            <w:r>
              <w:rPr>
                <w:spacing w:val="-5"/>
                <w:sz w:val="20"/>
              </w:rPr>
              <w:t>276</w:t>
            </w:r>
          </w:p>
        </w:tc>
        <w:tc>
          <w:tcPr>
            <w:tcW w:w="7089" w:type="dxa"/>
          </w:tcPr>
          <w:p>
            <w:pPr>
              <w:pStyle w:val="TableParagraph"/>
              <w:spacing w:before="1"/>
              <w:jc w:val="left"/>
              <w:rPr>
                <w:sz w:val="20"/>
              </w:rPr>
            </w:pPr>
            <w:r>
              <w:rPr>
                <w:sz w:val="20"/>
              </w:rPr>
              <w:t>Amiotrofia</w:t>
            </w:r>
            <w:r>
              <w:rPr>
                <w:spacing w:val="-6"/>
                <w:sz w:val="20"/>
              </w:rPr>
              <w:t> </w:t>
            </w:r>
            <w:r>
              <w:rPr>
                <w:sz w:val="20"/>
              </w:rPr>
              <w:t>total</w:t>
            </w:r>
            <w:r>
              <w:rPr>
                <w:spacing w:val="-7"/>
                <w:sz w:val="20"/>
              </w:rPr>
              <w:t> </w:t>
            </w:r>
            <w:r>
              <w:rPr>
                <w:sz w:val="20"/>
              </w:rPr>
              <w:t>mayor</w:t>
            </w:r>
            <w:r>
              <w:rPr>
                <w:spacing w:val="-6"/>
                <w:sz w:val="20"/>
              </w:rPr>
              <w:t> </w:t>
            </w:r>
            <w:r>
              <w:rPr>
                <w:sz w:val="20"/>
              </w:rPr>
              <w:t>o</w:t>
            </w:r>
            <w:r>
              <w:rPr>
                <w:spacing w:val="-4"/>
                <w:sz w:val="20"/>
              </w:rPr>
              <w:t> </w:t>
            </w:r>
            <w:r>
              <w:rPr>
                <w:sz w:val="20"/>
              </w:rPr>
              <w:t>igual</w:t>
            </w:r>
            <w:r>
              <w:rPr>
                <w:spacing w:val="-7"/>
                <w:sz w:val="20"/>
              </w:rPr>
              <w:t> </w:t>
            </w:r>
            <w:r>
              <w:rPr>
                <w:sz w:val="20"/>
              </w:rPr>
              <w:t>a</w:t>
            </w:r>
            <w:r>
              <w:rPr>
                <w:spacing w:val="-5"/>
                <w:sz w:val="20"/>
              </w:rPr>
              <w:t> </w:t>
            </w:r>
            <w:r>
              <w:rPr>
                <w:sz w:val="20"/>
              </w:rPr>
              <w:t>un</w:t>
            </w:r>
            <w:r>
              <w:rPr>
                <w:spacing w:val="-6"/>
                <w:sz w:val="20"/>
              </w:rPr>
              <w:t> </w:t>
            </w:r>
            <w:r>
              <w:rPr>
                <w:sz w:val="20"/>
              </w:rPr>
              <w:t>centímetro</w:t>
            </w:r>
            <w:r>
              <w:rPr>
                <w:spacing w:val="-6"/>
                <w:sz w:val="20"/>
              </w:rPr>
              <w:t> </w:t>
            </w:r>
            <w:r>
              <w:rPr>
                <w:sz w:val="20"/>
              </w:rPr>
              <w:t>del</w:t>
            </w:r>
            <w:r>
              <w:rPr>
                <w:spacing w:val="-5"/>
                <w:sz w:val="20"/>
              </w:rPr>
              <w:t> </w:t>
            </w:r>
            <w:r>
              <w:rPr>
                <w:sz w:val="20"/>
              </w:rPr>
              <w:t>miembro</w:t>
            </w:r>
            <w:r>
              <w:rPr>
                <w:spacing w:val="-6"/>
                <w:sz w:val="20"/>
              </w:rPr>
              <w:t> </w:t>
            </w:r>
            <w:r>
              <w:rPr>
                <w:spacing w:val="-2"/>
                <w:sz w:val="20"/>
              </w:rPr>
              <w:t>inferior.</w:t>
            </w:r>
          </w:p>
        </w:tc>
        <w:tc>
          <w:tcPr>
            <w:tcW w:w="1457" w:type="dxa"/>
          </w:tcPr>
          <w:p>
            <w:pPr>
              <w:pStyle w:val="TableParagraph"/>
              <w:spacing w:before="1"/>
              <w:ind w:left="11" w:right="1"/>
              <w:rPr>
                <w:sz w:val="20"/>
              </w:rPr>
            </w:pPr>
            <w:r>
              <w:rPr>
                <w:spacing w:val="-5"/>
                <w:sz w:val="20"/>
              </w:rPr>
              <w:t>40%</w:t>
            </w:r>
          </w:p>
        </w:tc>
      </w:tr>
    </w:tbl>
    <w:p>
      <w:pPr>
        <w:spacing w:before="226"/>
        <w:ind w:left="296" w:right="296" w:firstLine="0"/>
        <w:jc w:val="center"/>
        <w:rPr>
          <w:rFonts w:ascii="Arial"/>
          <w:b/>
          <w:sz w:val="20"/>
        </w:rPr>
      </w:pPr>
      <w:r>
        <w:rPr>
          <w:rFonts w:ascii="Arial"/>
          <w:b/>
          <w:spacing w:val="-2"/>
          <w:sz w:val="20"/>
        </w:rPr>
        <w:t>Vasos</w:t>
      </w:r>
    </w:p>
    <w:p>
      <w:pPr>
        <w:pStyle w:val="BodyText"/>
        <w:spacing w:before="4"/>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21"/>
        <w:gridCol w:w="1563"/>
      </w:tblGrid>
      <w:tr>
        <w:trPr>
          <w:trHeight w:val="921" w:hRule="atLeast"/>
        </w:trPr>
        <w:tc>
          <w:tcPr>
            <w:tcW w:w="1066" w:type="dxa"/>
          </w:tcPr>
          <w:p>
            <w:pPr>
              <w:pStyle w:val="TableParagraph"/>
              <w:spacing w:line="240" w:lineRule="auto" w:before="114"/>
              <w:ind w:left="0"/>
              <w:jc w:val="left"/>
              <w:rPr>
                <w:rFonts w:ascii="Arial"/>
                <w:b/>
                <w:sz w:val="20"/>
              </w:rPr>
            </w:pPr>
          </w:p>
          <w:p>
            <w:pPr>
              <w:pStyle w:val="TableParagraph"/>
              <w:spacing w:line="240" w:lineRule="auto" w:before="1"/>
              <w:ind w:left="9"/>
              <w:rPr>
                <w:sz w:val="20"/>
              </w:rPr>
            </w:pPr>
            <w:r>
              <w:rPr>
                <w:spacing w:val="-5"/>
                <w:sz w:val="20"/>
              </w:rPr>
              <w:t>277</w:t>
            </w:r>
          </w:p>
        </w:tc>
        <w:tc>
          <w:tcPr>
            <w:tcW w:w="6921" w:type="dxa"/>
          </w:tcPr>
          <w:p>
            <w:pPr>
              <w:pStyle w:val="TableParagraph"/>
              <w:spacing w:line="230" w:lineRule="exact"/>
              <w:ind w:right="64"/>
              <w:jc w:val="both"/>
              <w:rPr>
                <w:sz w:val="20"/>
              </w:rPr>
            </w:pPr>
            <w:r>
              <w:rPr>
                <w:sz w:val="20"/>
              </w:rPr>
              <w:t>Las secuelas de lesiones arteriales y venosas se valuarán de acuerdo con</w:t>
            </w:r>
            <w:r>
              <w:rPr>
                <w:spacing w:val="40"/>
                <w:sz w:val="20"/>
              </w:rPr>
              <w:t> </w:t>
            </w:r>
            <w:r>
              <w:rPr>
                <w:sz w:val="20"/>
              </w:rPr>
              <w:t>la magnitud de las alteraciones orgánicas y los trastornos funcionales que produzcan (amputaciones, rigideces articulares, lesiones de los nervios periféricos, atrofia de masas musculares, entre otros).</w:t>
            </w:r>
          </w:p>
        </w:tc>
        <w:tc>
          <w:tcPr>
            <w:tcW w:w="1563" w:type="dxa"/>
          </w:tcPr>
          <w:p>
            <w:pPr>
              <w:pStyle w:val="TableParagraph"/>
              <w:spacing w:line="240" w:lineRule="auto" w:before="114"/>
              <w:ind w:left="0"/>
              <w:jc w:val="left"/>
              <w:rPr>
                <w:rFonts w:ascii="Arial"/>
                <w:b/>
                <w:sz w:val="20"/>
              </w:rPr>
            </w:pPr>
          </w:p>
          <w:p>
            <w:pPr>
              <w:pStyle w:val="TableParagraph"/>
              <w:spacing w:line="240" w:lineRule="auto" w:before="1"/>
              <w:ind w:left="14"/>
              <w:rPr>
                <w:sz w:val="20"/>
              </w:rPr>
            </w:pPr>
            <w:r>
              <w:rPr>
                <w:spacing w:val="-2"/>
                <w:sz w:val="20"/>
              </w:rPr>
              <w:t>-</w:t>
            </w:r>
            <w:r>
              <w:rPr>
                <w:spacing w:val="-12"/>
                <w:sz w:val="20"/>
              </w:rPr>
              <w:t>-</w:t>
            </w:r>
          </w:p>
        </w:tc>
      </w:tr>
      <w:tr>
        <w:trPr>
          <w:trHeight w:val="229" w:hRule="atLeast"/>
        </w:trPr>
        <w:tc>
          <w:tcPr>
            <w:tcW w:w="1066" w:type="dxa"/>
          </w:tcPr>
          <w:p>
            <w:pPr>
              <w:pStyle w:val="TableParagraph"/>
              <w:ind w:left="9"/>
              <w:rPr>
                <w:sz w:val="20"/>
              </w:rPr>
            </w:pPr>
            <w:r>
              <w:rPr>
                <w:spacing w:val="-5"/>
                <w:sz w:val="20"/>
              </w:rPr>
              <w:t>278</w:t>
            </w:r>
          </w:p>
        </w:tc>
        <w:tc>
          <w:tcPr>
            <w:tcW w:w="6921" w:type="dxa"/>
          </w:tcPr>
          <w:p>
            <w:pPr>
              <w:pStyle w:val="TableParagraph"/>
              <w:jc w:val="left"/>
              <w:rPr>
                <w:sz w:val="20"/>
              </w:rPr>
            </w:pPr>
            <w:r>
              <w:rPr>
                <w:spacing w:val="-2"/>
                <w:sz w:val="20"/>
              </w:rPr>
              <w:t>Tromboflebitis</w:t>
            </w:r>
            <w:r>
              <w:rPr>
                <w:spacing w:val="10"/>
                <w:sz w:val="20"/>
              </w:rPr>
              <w:t> </w:t>
            </w:r>
            <w:r>
              <w:rPr>
                <w:spacing w:val="-2"/>
                <w:sz w:val="20"/>
              </w:rPr>
              <w:t>crónica.</w:t>
            </w:r>
          </w:p>
        </w:tc>
        <w:tc>
          <w:tcPr>
            <w:tcW w:w="1563" w:type="dxa"/>
          </w:tcPr>
          <w:p>
            <w:pPr>
              <w:pStyle w:val="TableParagraph"/>
              <w:ind w:left="14" w:right="3"/>
              <w:rPr>
                <w:sz w:val="20"/>
              </w:rPr>
            </w:pPr>
            <w:r>
              <w:rPr>
                <w:sz w:val="20"/>
              </w:rPr>
              <w:t>15</w:t>
            </w:r>
            <w:r>
              <w:rPr>
                <w:spacing w:val="-3"/>
                <w:sz w:val="20"/>
              </w:rPr>
              <w:t> </w:t>
            </w:r>
            <w:r>
              <w:rPr>
                <w:sz w:val="20"/>
              </w:rPr>
              <w:t>a</w:t>
            </w:r>
            <w:r>
              <w:rPr>
                <w:spacing w:val="-1"/>
                <w:sz w:val="20"/>
              </w:rPr>
              <w:t> </w:t>
            </w:r>
            <w:r>
              <w:rPr>
                <w:spacing w:val="-5"/>
                <w:sz w:val="20"/>
              </w:rPr>
              <w:t>25%</w:t>
            </w:r>
          </w:p>
        </w:tc>
      </w:tr>
      <w:tr>
        <w:trPr>
          <w:trHeight w:val="460" w:hRule="atLeast"/>
        </w:trPr>
        <w:tc>
          <w:tcPr>
            <w:tcW w:w="1066" w:type="dxa"/>
          </w:tcPr>
          <w:p>
            <w:pPr>
              <w:pStyle w:val="TableParagraph"/>
              <w:spacing w:line="240" w:lineRule="auto" w:before="115"/>
              <w:ind w:left="9"/>
              <w:rPr>
                <w:sz w:val="20"/>
              </w:rPr>
            </w:pPr>
            <w:r>
              <w:rPr>
                <w:spacing w:val="-5"/>
                <w:sz w:val="20"/>
              </w:rPr>
              <w:t>279</w:t>
            </w:r>
          </w:p>
        </w:tc>
        <w:tc>
          <w:tcPr>
            <w:tcW w:w="6921" w:type="dxa"/>
          </w:tcPr>
          <w:p>
            <w:pPr>
              <w:pStyle w:val="TableParagraph"/>
              <w:spacing w:line="232" w:lineRule="exact"/>
              <w:ind w:right="62"/>
              <w:jc w:val="left"/>
              <w:rPr>
                <w:sz w:val="20"/>
              </w:rPr>
            </w:pPr>
            <w:r>
              <w:rPr>
                <w:sz w:val="20"/>
              </w:rPr>
              <w:t>Úlceras varicosas recidivantes con escasa respuesta a tratamiento, según su extensión.</w:t>
            </w:r>
          </w:p>
        </w:tc>
        <w:tc>
          <w:tcPr>
            <w:tcW w:w="1563" w:type="dxa"/>
          </w:tcPr>
          <w:p>
            <w:pPr>
              <w:pStyle w:val="TableParagraph"/>
              <w:spacing w:line="240" w:lineRule="auto" w:before="115"/>
              <w:ind w:left="14" w:right="2"/>
              <w:rPr>
                <w:sz w:val="20"/>
              </w:rPr>
            </w:pPr>
            <w:r>
              <w:rPr>
                <w:sz w:val="20"/>
              </w:rPr>
              <w:t>8</w:t>
            </w:r>
            <w:r>
              <w:rPr>
                <w:spacing w:val="-3"/>
                <w:sz w:val="20"/>
              </w:rPr>
              <w:t> </w:t>
            </w:r>
            <w:r>
              <w:rPr>
                <w:sz w:val="20"/>
              </w:rPr>
              <w:t>a</w:t>
            </w:r>
            <w:r>
              <w:rPr>
                <w:spacing w:val="-3"/>
                <w:sz w:val="20"/>
              </w:rPr>
              <w:t> </w:t>
            </w:r>
            <w:r>
              <w:rPr>
                <w:spacing w:val="-5"/>
                <w:sz w:val="20"/>
              </w:rPr>
              <w:t>20%</w:t>
            </w:r>
          </w:p>
        </w:tc>
      </w:tr>
      <w:tr>
        <w:trPr>
          <w:trHeight w:val="457" w:hRule="atLeast"/>
        </w:trPr>
        <w:tc>
          <w:tcPr>
            <w:tcW w:w="1066" w:type="dxa"/>
          </w:tcPr>
          <w:p>
            <w:pPr>
              <w:pStyle w:val="TableParagraph"/>
              <w:spacing w:line="240" w:lineRule="auto" w:before="111"/>
              <w:ind w:left="9"/>
              <w:rPr>
                <w:sz w:val="20"/>
              </w:rPr>
            </w:pPr>
            <w:r>
              <w:rPr>
                <w:spacing w:val="-5"/>
                <w:sz w:val="20"/>
              </w:rPr>
              <w:t>280</w:t>
            </w:r>
          </w:p>
        </w:tc>
        <w:tc>
          <w:tcPr>
            <w:tcW w:w="6921" w:type="dxa"/>
          </w:tcPr>
          <w:p>
            <w:pPr>
              <w:pStyle w:val="TableParagraph"/>
              <w:spacing w:line="226" w:lineRule="exact"/>
              <w:jc w:val="left"/>
              <w:rPr>
                <w:sz w:val="20"/>
              </w:rPr>
            </w:pPr>
            <w:r>
              <w:rPr>
                <w:sz w:val="20"/>
              </w:rPr>
              <w:t>Varices</w:t>
            </w:r>
            <w:r>
              <w:rPr>
                <w:spacing w:val="18"/>
                <w:sz w:val="20"/>
              </w:rPr>
              <w:t> </w:t>
            </w:r>
            <w:r>
              <w:rPr>
                <w:sz w:val="20"/>
              </w:rPr>
              <w:t>con</w:t>
            </w:r>
            <w:r>
              <w:rPr>
                <w:spacing w:val="19"/>
                <w:sz w:val="20"/>
              </w:rPr>
              <w:t> </w:t>
            </w:r>
            <w:r>
              <w:rPr>
                <w:sz w:val="20"/>
              </w:rPr>
              <w:t>edema</w:t>
            </w:r>
            <w:r>
              <w:rPr>
                <w:spacing w:val="17"/>
                <w:sz w:val="20"/>
              </w:rPr>
              <w:t> </w:t>
            </w:r>
            <w:r>
              <w:rPr>
                <w:sz w:val="20"/>
              </w:rPr>
              <w:t>crónico,</w:t>
            </w:r>
            <w:r>
              <w:rPr>
                <w:spacing w:val="17"/>
                <w:sz w:val="20"/>
              </w:rPr>
              <w:t> </w:t>
            </w:r>
            <w:r>
              <w:rPr>
                <w:sz w:val="20"/>
              </w:rPr>
              <w:t>cambios</w:t>
            </w:r>
            <w:r>
              <w:rPr>
                <w:spacing w:val="18"/>
                <w:sz w:val="20"/>
              </w:rPr>
              <w:t> </w:t>
            </w:r>
            <w:r>
              <w:rPr>
                <w:sz w:val="20"/>
              </w:rPr>
              <w:t>tróficos</w:t>
            </w:r>
            <w:r>
              <w:rPr>
                <w:spacing w:val="18"/>
                <w:sz w:val="20"/>
              </w:rPr>
              <w:t> </w:t>
            </w:r>
            <w:r>
              <w:rPr>
                <w:sz w:val="20"/>
              </w:rPr>
              <w:t>de</w:t>
            </w:r>
            <w:r>
              <w:rPr>
                <w:spacing w:val="16"/>
                <w:sz w:val="20"/>
              </w:rPr>
              <w:t> </w:t>
            </w:r>
            <w:r>
              <w:rPr>
                <w:sz w:val="20"/>
              </w:rPr>
              <w:t>piel,</w:t>
            </w:r>
            <w:r>
              <w:rPr>
                <w:spacing w:val="18"/>
                <w:sz w:val="20"/>
              </w:rPr>
              <w:t> </w:t>
            </w:r>
            <w:r>
              <w:rPr>
                <w:sz w:val="20"/>
              </w:rPr>
              <w:t>no</w:t>
            </w:r>
            <w:r>
              <w:rPr>
                <w:spacing w:val="16"/>
                <w:sz w:val="20"/>
              </w:rPr>
              <w:t> </w:t>
            </w:r>
            <w:r>
              <w:rPr>
                <w:sz w:val="20"/>
              </w:rPr>
              <w:t>controlables</w:t>
            </w:r>
            <w:r>
              <w:rPr>
                <w:spacing w:val="20"/>
                <w:sz w:val="20"/>
              </w:rPr>
              <w:t> </w:t>
            </w:r>
            <w:r>
              <w:rPr>
                <w:sz w:val="20"/>
              </w:rPr>
              <w:t>y</w:t>
            </w:r>
            <w:r>
              <w:rPr>
                <w:spacing w:val="14"/>
                <w:sz w:val="20"/>
              </w:rPr>
              <w:t> </w:t>
            </w:r>
            <w:r>
              <w:rPr>
                <w:spacing w:val="-5"/>
                <w:sz w:val="20"/>
              </w:rPr>
              <w:t>no</w:t>
            </w:r>
          </w:p>
          <w:p>
            <w:pPr>
              <w:pStyle w:val="TableParagraph"/>
              <w:jc w:val="left"/>
              <w:rPr>
                <w:sz w:val="20"/>
              </w:rPr>
            </w:pPr>
            <w:r>
              <w:rPr>
                <w:sz w:val="20"/>
              </w:rPr>
              <w:t>susceptibles</w:t>
            </w:r>
            <w:r>
              <w:rPr>
                <w:spacing w:val="-9"/>
                <w:sz w:val="20"/>
              </w:rPr>
              <w:t> </w:t>
            </w:r>
            <w:r>
              <w:rPr>
                <w:sz w:val="20"/>
              </w:rPr>
              <w:t>de</w:t>
            </w:r>
            <w:r>
              <w:rPr>
                <w:spacing w:val="-7"/>
                <w:sz w:val="20"/>
              </w:rPr>
              <w:t> </w:t>
            </w:r>
            <w:r>
              <w:rPr>
                <w:sz w:val="20"/>
              </w:rPr>
              <w:t>tratamiento</w:t>
            </w:r>
            <w:r>
              <w:rPr>
                <w:spacing w:val="-7"/>
                <w:sz w:val="20"/>
              </w:rPr>
              <w:t> </w:t>
            </w:r>
            <w:r>
              <w:rPr>
                <w:sz w:val="20"/>
              </w:rPr>
              <w:t>médico</w:t>
            </w:r>
            <w:r>
              <w:rPr>
                <w:spacing w:val="-9"/>
                <w:sz w:val="20"/>
              </w:rPr>
              <w:t> </w:t>
            </w:r>
            <w:r>
              <w:rPr>
                <w:spacing w:val="-2"/>
                <w:sz w:val="20"/>
              </w:rPr>
              <w:t>quirúrgico.</w:t>
            </w:r>
          </w:p>
        </w:tc>
        <w:tc>
          <w:tcPr>
            <w:tcW w:w="1563" w:type="dxa"/>
          </w:tcPr>
          <w:p>
            <w:pPr>
              <w:pStyle w:val="TableParagraph"/>
              <w:spacing w:line="240" w:lineRule="auto" w:before="111"/>
              <w:ind w:left="14" w:right="2"/>
              <w:rPr>
                <w:sz w:val="20"/>
              </w:rPr>
            </w:pPr>
            <w:r>
              <w:rPr>
                <w:sz w:val="20"/>
              </w:rPr>
              <w:t>8</w:t>
            </w:r>
            <w:r>
              <w:rPr>
                <w:spacing w:val="-3"/>
                <w:sz w:val="20"/>
              </w:rPr>
              <w:t> </w:t>
            </w:r>
            <w:r>
              <w:rPr>
                <w:sz w:val="20"/>
              </w:rPr>
              <w:t>a</w:t>
            </w:r>
            <w:r>
              <w:rPr>
                <w:spacing w:val="-3"/>
                <w:sz w:val="20"/>
              </w:rPr>
              <w:t> </w:t>
            </w:r>
            <w:r>
              <w:rPr>
                <w:spacing w:val="-5"/>
                <w:sz w:val="20"/>
              </w:rPr>
              <w:t>20%</w:t>
            </w:r>
          </w:p>
        </w:tc>
      </w:tr>
      <w:tr>
        <w:trPr>
          <w:trHeight w:val="690" w:hRule="atLeast"/>
        </w:trPr>
        <w:tc>
          <w:tcPr>
            <w:tcW w:w="1066" w:type="dxa"/>
          </w:tcPr>
          <w:p>
            <w:pPr>
              <w:pStyle w:val="TableParagraph"/>
              <w:spacing w:line="240" w:lineRule="auto" w:before="229"/>
              <w:ind w:left="9"/>
              <w:rPr>
                <w:sz w:val="20"/>
              </w:rPr>
            </w:pPr>
            <w:r>
              <w:rPr>
                <w:spacing w:val="-5"/>
                <w:sz w:val="20"/>
              </w:rPr>
              <w:t>281</w:t>
            </w:r>
          </w:p>
        </w:tc>
        <w:tc>
          <w:tcPr>
            <w:tcW w:w="6921" w:type="dxa"/>
          </w:tcPr>
          <w:p>
            <w:pPr>
              <w:pStyle w:val="TableParagraph"/>
              <w:tabs>
                <w:tab w:pos="558" w:val="left" w:leader="none"/>
                <w:tab w:pos="1227" w:val="left" w:leader="none"/>
                <w:tab w:pos="1692" w:val="left" w:leader="none"/>
                <w:tab w:pos="2672" w:val="left" w:leader="none"/>
                <w:tab w:pos="3826" w:val="left" w:leader="none"/>
                <w:tab w:pos="4281" w:val="left" w:leader="none"/>
                <w:tab w:pos="5306" w:val="left" w:leader="none"/>
                <w:tab w:pos="5807" w:val="left" w:leader="none"/>
              </w:tabs>
              <w:spacing w:line="229" w:lineRule="exact"/>
              <w:jc w:val="left"/>
              <w:rPr>
                <w:sz w:val="20"/>
              </w:rPr>
            </w:pPr>
            <w:r>
              <w:rPr>
                <w:spacing w:val="-5"/>
                <w:sz w:val="20"/>
              </w:rPr>
              <w:t>En</w:t>
            </w:r>
            <w:r>
              <w:rPr>
                <w:sz w:val="20"/>
              </w:rPr>
              <w:tab/>
            </w:r>
            <w:r>
              <w:rPr>
                <w:spacing w:val="-4"/>
                <w:sz w:val="20"/>
              </w:rPr>
              <w:t>caso</w:t>
            </w:r>
            <w:r>
              <w:rPr>
                <w:sz w:val="20"/>
              </w:rPr>
              <w:tab/>
            </w:r>
            <w:r>
              <w:rPr>
                <w:spacing w:val="-5"/>
                <w:sz w:val="20"/>
              </w:rPr>
              <w:t>de</w:t>
            </w:r>
            <w:r>
              <w:rPr>
                <w:sz w:val="20"/>
              </w:rPr>
              <w:tab/>
            </w:r>
            <w:r>
              <w:rPr>
                <w:spacing w:val="-2"/>
                <w:sz w:val="20"/>
              </w:rPr>
              <w:t>lesiones</w:t>
            </w:r>
            <w:r>
              <w:rPr>
                <w:sz w:val="20"/>
              </w:rPr>
              <w:tab/>
            </w:r>
            <w:r>
              <w:rPr>
                <w:spacing w:val="-2"/>
                <w:sz w:val="20"/>
              </w:rPr>
              <w:t>bilaterales</w:t>
            </w:r>
            <w:r>
              <w:rPr>
                <w:sz w:val="20"/>
              </w:rPr>
              <w:tab/>
            </w:r>
            <w:r>
              <w:rPr>
                <w:spacing w:val="-5"/>
                <w:sz w:val="20"/>
              </w:rPr>
              <w:t>se</w:t>
            </w:r>
            <w:r>
              <w:rPr>
                <w:sz w:val="20"/>
              </w:rPr>
              <w:tab/>
            </w:r>
            <w:r>
              <w:rPr>
                <w:spacing w:val="-2"/>
                <w:sz w:val="20"/>
              </w:rPr>
              <w:t>sumarán</w:t>
            </w:r>
            <w:r>
              <w:rPr>
                <w:sz w:val="20"/>
              </w:rPr>
              <w:tab/>
            </w:r>
            <w:r>
              <w:rPr>
                <w:spacing w:val="-5"/>
                <w:sz w:val="20"/>
              </w:rPr>
              <w:t>los</w:t>
            </w:r>
            <w:r>
              <w:rPr>
                <w:sz w:val="20"/>
              </w:rPr>
              <w:tab/>
            </w:r>
            <w:r>
              <w:rPr>
                <w:spacing w:val="-2"/>
                <w:sz w:val="20"/>
              </w:rPr>
              <w:t>porcentajes</w:t>
            </w:r>
          </w:p>
          <w:p>
            <w:pPr>
              <w:pStyle w:val="TableParagraph"/>
              <w:spacing w:line="228" w:lineRule="exact"/>
              <w:jc w:val="left"/>
              <w:rPr>
                <w:sz w:val="20"/>
              </w:rPr>
            </w:pPr>
            <w:r>
              <w:rPr>
                <w:sz w:val="20"/>
              </w:rPr>
              <w:t>correspondientes a cada miembro, sin que en ningún caso sobrepasen del cien por ciento.</w:t>
            </w:r>
          </w:p>
        </w:tc>
        <w:tc>
          <w:tcPr>
            <w:tcW w:w="1563" w:type="dxa"/>
          </w:tcPr>
          <w:p>
            <w:pPr>
              <w:pStyle w:val="TableParagraph"/>
              <w:spacing w:line="240" w:lineRule="auto" w:before="229"/>
              <w:ind w:left="14"/>
              <w:rPr>
                <w:sz w:val="20"/>
              </w:rPr>
            </w:pPr>
            <w:r>
              <w:rPr>
                <w:spacing w:val="-2"/>
                <w:sz w:val="20"/>
              </w:rPr>
              <w:t>-</w:t>
            </w:r>
            <w:r>
              <w:rPr>
                <w:spacing w:val="-12"/>
                <w:sz w:val="20"/>
              </w:rPr>
              <w:t>-</w:t>
            </w:r>
          </w:p>
        </w:tc>
      </w:tr>
    </w:tbl>
    <w:p>
      <w:pPr>
        <w:spacing w:line="480" w:lineRule="auto" w:before="227"/>
        <w:ind w:left="4378" w:right="4376" w:firstLine="0"/>
        <w:jc w:val="center"/>
        <w:rPr>
          <w:rFonts w:ascii="Arial" w:hAnsi="Arial"/>
          <w:b/>
          <w:sz w:val="20"/>
        </w:rPr>
      </w:pPr>
      <w:r>
        <w:rPr>
          <w:rFonts w:ascii="Arial" w:hAnsi="Arial"/>
          <w:b/>
          <w:spacing w:val="-2"/>
          <w:sz w:val="20"/>
        </w:rPr>
        <w:t>Cabeza Cráneo</w:t>
      </w:r>
    </w:p>
    <w:p>
      <w:pPr>
        <w:spacing w:after="0" w:line="480" w:lineRule="auto"/>
        <w:jc w:val="center"/>
        <w:rPr>
          <w:rFonts w:ascii="Arial" w:hAnsi="Arial"/>
          <w:b/>
          <w:sz w:val="20"/>
        </w:rPr>
        <w:sectPr>
          <w:pgSz w:w="12240" w:h="15840"/>
          <w:pgMar w:header="724" w:footer="712" w:top="1880" w:bottom="900" w:left="1080" w:right="1080"/>
        </w:sectPr>
      </w:pPr>
    </w:p>
    <w:p>
      <w:pPr>
        <w:pStyle w:val="BodyText"/>
        <w:rPr>
          <w:rFonts w:ascii="Arial"/>
          <w:b/>
        </w:rPr>
      </w:pPr>
    </w:p>
    <w:p>
      <w:pPr>
        <w:pStyle w:val="BodyText"/>
        <w:spacing w:before="66"/>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24"/>
        <w:gridCol w:w="1561"/>
      </w:tblGrid>
      <w:tr>
        <w:trPr>
          <w:trHeight w:val="460" w:hRule="atLeast"/>
        </w:trPr>
        <w:tc>
          <w:tcPr>
            <w:tcW w:w="1066" w:type="dxa"/>
          </w:tcPr>
          <w:p>
            <w:pPr>
              <w:pStyle w:val="TableParagraph"/>
              <w:spacing w:line="240" w:lineRule="auto" w:before="114"/>
              <w:ind w:left="9"/>
              <w:rPr>
                <w:sz w:val="20"/>
              </w:rPr>
            </w:pPr>
            <w:r>
              <w:rPr>
                <w:spacing w:val="-5"/>
                <w:sz w:val="20"/>
              </w:rPr>
              <w:t>282</w:t>
            </w:r>
          </w:p>
        </w:tc>
        <w:tc>
          <w:tcPr>
            <w:tcW w:w="6924" w:type="dxa"/>
          </w:tcPr>
          <w:p>
            <w:pPr>
              <w:pStyle w:val="TableParagraph"/>
              <w:spacing w:line="228" w:lineRule="exact"/>
              <w:jc w:val="left"/>
              <w:rPr>
                <w:sz w:val="20"/>
              </w:rPr>
            </w:pPr>
            <w:r>
              <w:rPr>
                <w:sz w:val="20"/>
              </w:rPr>
              <w:t>Los</w:t>
            </w:r>
            <w:r>
              <w:rPr>
                <w:spacing w:val="31"/>
                <w:sz w:val="20"/>
              </w:rPr>
              <w:t> </w:t>
            </w:r>
            <w:r>
              <w:rPr>
                <w:sz w:val="20"/>
              </w:rPr>
              <w:t>trastornos</w:t>
            </w:r>
            <w:r>
              <w:rPr>
                <w:spacing w:val="31"/>
                <w:sz w:val="20"/>
              </w:rPr>
              <w:t> </w:t>
            </w:r>
            <w:r>
              <w:rPr>
                <w:sz w:val="20"/>
              </w:rPr>
              <w:t>mentales</w:t>
            </w:r>
            <w:r>
              <w:rPr>
                <w:spacing w:val="31"/>
                <w:sz w:val="20"/>
              </w:rPr>
              <w:t> </w:t>
            </w:r>
            <w:r>
              <w:rPr>
                <w:sz w:val="20"/>
              </w:rPr>
              <w:t>orgánicos</w:t>
            </w:r>
            <w:r>
              <w:rPr>
                <w:spacing w:val="36"/>
                <w:sz w:val="20"/>
              </w:rPr>
              <w:t> </w:t>
            </w:r>
            <w:r>
              <w:rPr>
                <w:sz w:val="20"/>
              </w:rPr>
              <w:t>y</w:t>
            </w:r>
            <w:r>
              <w:rPr>
                <w:spacing w:val="27"/>
                <w:sz w:val="20"/>
              </w:rPr>
              <w:t> </w:t>
            </w:r>
            <w:r>
              <w:rPr>
                <w:sz w:val="20"/>
              </w:rPr>
              <w:t>afectivos</w:t>
            </w:r>
            <w:r>
              <w:rPr>
                <w:spacing w:val="31"/>
                <w:sz w:val="20"/>
              </w:rPr>
              <w:t> </w:t>
            </w:r>
            <w:r>
              <w:rPr>
                <w:sz w:val="20"/>
              </w:rPr>
              <w:t>se</w:t>
            </w:r>
            <w:r>
              <w:rPr>
                <w:spacing w:val="32"/>
                <w:sz w:val="20"/>
              </w:rPr>
              <w:t> </w:t>
            </w:r>
            <w:r>
              <w:rPr>
                <w:sz w:val="20"/>
              </w:rPr>
              <w:t>valuarán</w:t>
            </w:r>
            <w:r>
              <w:rPr>
                <w:spacing w:val="30"/>
                <w:sz w:val="20"/>
              </w:rPr>
              <w:t> </w:t>
            </w:r>
            <w:r>
              <w:rPr>
                <w:sz w:val="20"/>
              </w:rPr>
              <w:t>conforme</w:t>
            </w:r>
            <w:r>
              <w:rPr>
                <w:spacing w:val="30"/>
                <w:sz w:val="20"/>
              </w:rPr>
              <w:t> </w:t>
            </w:r>
            <w:r>
              <w:rPr>
                <w:sz w:val="20"/>
              </w:rPr>
              <w:t>a</w:t>
            </w:r>
            <w:r>
              <w:rPr>
                <w:spacing w:val="30"/>
                <w:sz w:val="20"/>
              </w:rPr>
              <w:t> </w:t>
            </w:r>
            <w:r>
              <w:rPr>
                <w:sz w:val="20"/>
              </w:rPr>
              <w:t>la Tabla XV.</w:t>
            </w:r>
          </w:p>
        </w:tc>
        <w:tc>
          <w:tcPr>
            <w:tcW w:w="1561" w:type="dxa"/>
          </w:tcPr>
          <w:p>
            <w:pPr>
              <w:pStyle w:val="TableParagraph"/>
              <w:spacing w:line="240" w:lineRule="auto" w:before="114"/>
              <w:ind w:left="11" w:right="5"/>
              <w:rPr>
                <w:sz w:val="20"/>
              </w:rPr>
            </w:pPr>
            <w:r>
              <w:rPr>
                <w:spacing w:val="-2"/>
                <w:sz w:val="20"/>
              </w:rPr>
              <w:t>-</w:t>
            </w:r>
            <w:r>
              <w:rPr>
                <w:spacing w:val="-12"/>
                <w:sz w:val="20"/>
              </w:rPr>
              <w:t>-</w:t>
            </w:r>
          </w:p>
        </w:tc>
      </w:tr>
      <w:tr>
        <w:trPr>
          <w:trHeight w:val="690" w:hRule="atLeast"/>
        </w:trPr>
        <w:tc>
          <w:tcPr>
            <w:tcW w:w="1066" w:type="dxa"/>
          </w:tcPr>
          <w:p>
            <w:pPr>
              <w:pStyle w:val="TableParagraph"/>
              <w:spacing w:line="240" w:lineRule="auto" w:before="229"/>
              <w:ind w:left="9"/>
              <w:rPr>
                <w:sz w:val="20"/>
              </w:rPr>
            </w:pPr>
            <w:r>
              <w:rPr>
                <w:spacing w:val="-5"/>
                <w:sz w:val="20"/>
              </w:rPr>
              <w:t>283</w:t>
            </w:r>
          </w:p>
        </w:tc>
        <w:tc>
          <w:tcPr>
            <w:tcW w:w="6924" w:type="dxa"/>
          </w:tcPr>
          <w:p>
            <w:pPr>
              <w:pStyle w:val="TableParagraph"/>
              <w:spacing w:line="230" w:lineRule="exact"/>
              <w:ind w:right="62"/>
              <w:jc w:val="both"/>
              <w:rPr>
                <w:sz w:val="20"/>
              </w:rPr>
            </w:pPr>
            <w:r>
              <w:rPr>
                <w:sz w:val="20"/>
              </w:rPr>
              <w:t>El</w:t>
            </w:r>
            <w:r>
              <w:rPr>
                <w:spacing w:val="-3"/>
                <w:sz w:val="20"/>
              </w:rPr>
              <w:t> </w:t>
            </w:r>
            <w:r>
              <w:rPr>
                <w:sz w:val="20"/>
              </w:rPr>
              <w:t>síndrome</w:t>
            </w:r>
            <w:r>
              <w:rPr>
                <w:spacing w:val="-3"/>
                <w:sz w:val="20"/>
              </w:rPr>
              <w:t> </w:t>
            </w:r>
            <w:r>
              <w:rPr>
                <w:sz w:val="20"/>
              </w:rPr>
              <w:t>cráneo-encefálico</w:t>
            </w:r>
            <w:r>
              <w:rPr>
                <w:spacing w:val="-3"/>
                <w:sz w:val="20"/>
              </w:rPr>
              <w:t> </w:t>
            </w:r>
            <w:r>
              <w:rPr>
                <w:sz w:val="20"/>
              </w:rPr>
              <w:t>tardío</w:t>
            </w:r>
            <w:r>
              <w:rPr>
                <w:spacing w:val="-1"/>
                <w:sz w:val="20"/>
              </w:rPr>
              <w:t> </w:t>
            </w:r>
            <w:r>
              <w:rPr>
                <w:sz w:val="20"/>
              </w:rPr>
              <w:t>postconmocional, se</w:t>
            </w:r>
            <w:r>
              <w:rPr>
                <w:spacing w:val="-3"/>
                <w:sz w:val="20"/>
              </w:rPr>
              <w:t> </w:t>
            </w:r>
            <w:r>
              <w:rPr>
                <w:sz w:val="20"/>
              </w:rPr>
              <w:t>valuará</w:t>
            </w:r>
            <w:r>
              <w:rPr>
                <w:spacing w:val="-3"/>
                <w:sz w:val="20"/>
              </w:rPr>
              <w:t> </w:t>
            </w:r>
            <w:r>
              <w:rPr>
                <w:sz w:val="20"/>
              </w:rPr>
              <w:t>conforme a</w:t>
            </w:r>
            <w:r>
              <w:rPr>
                <w:spacing w:val="-4"/>
                <w:sz w:val="20"/>
              </w:rPr>
              <w:t> </w:t>
            </w:r>
            <w:r>
              <w:rPr>
                <w:sz w:val="20"/>
              </w:rPr>
              <w:t>la</w:t>
            </w:r>
            <w:r>
              <w:rPr>
                <w:spacing w:val="-4"/>
                <w:sz w:val="20"/>
              </w:rPr>
              <w:t> </w:t>
            </w:r>
            <w:r>
              <w:rPr>
                <w:sz w:val="20"/>
              </w:rPr>
              <w:t>Tabla</w:t>
            </w:r>
            <w:r>
              <w:rPr>
                <w:spacing w:val="-3"/>
                <w:sz w:val="20"/>
              </w:rPr>
              <w:t> </w:t>
            </w:r>
            <w:r>
              <w:rPr>
                <w:sz w:val="20"/>
              </w:rPr>
              <w:t>XV,</w:t>
            </w:r>
            <w:r>
              <w:rPr>
                <w:spacing w:val="-3"/>
                <w:sz w:val="20"/>
              </w:rPr>
              <w:t> </w:t>
            </w:r>
            <w:r>
              <w:rPr>
                <w:sz w:val="20"/>
              </w:rPr>
              <w:t>independientemente</w:t>
            </w:r>
            <w:r>
              <w:rPr>
                <w:spacing w:val="-5"/>
                <w:sz w:val="20"/>
              </w:rPr>
              <w:t> </w:t>
            </w:r>
            <w:r>
              <w:rPr>
                <w:sz w:val="20"/>
              </w:rPr>
              <w:t>del</w:t>
            </w:r>
            <w:r>
              <w:rPr>
                <w:spacing w:val="-5"/>
                <w:sz w:val="20"/>
              </w:rPr>
              <w:t> </w:t>
            </w:r>
            <w:r>
              <w:rPr>
                <w:sz w:val="20"/>
              </w:rPr>
              <w:t>daño</w:t>
            </w:r>
            <w:r>
              <w:rPr>
                <w:spacing w:val="-3"/>
                <w:sz w:val="20"/>
              </w:rPr>
              <w:t> </w:t>
            </w:r>
            <w:r>
              <w:rPr>
                <w:sz w:val="20"/>
              </w:rPr>
              <w:t>colateral,</w:t>
            </w:r>
            <w:r>
              <w:rPr>
                <w:spacing w:val="-3"/>
                <w:sz w:val="20"/>
              </w:rPr>
              <w:t> </w:t>
            </w:r>
            <w:r>
              <w:rPr>
                <w:sz w:val="20"/>
              </w:rPr>
              <w:t>que</w:t>
            </w:r>
            <w:r>
              <w:rPr>
                <w:spacing w:val="-3"/>
                <w:sz w:val="20"/>
              </w:rPr>
              <w:t> </w:t>
            </w:r>
            <w:r>
              <w:rPr>
                <w:sz w:val="20"/>
              </w:rPr>
              <w:t>se</w:t>
            </w:r>
            <w:r>
              <w:rPr>
                <w:spacing w:val="-3"/>
                <w:sz w:val="20"/>
              </w:rPr>
              <w:t> </w:t>
            </w:r>
            <w:r>
              <w:rPr>
                <w:sz w:val="20"/>
              </w:rPr>
              <w:t>valuará</w:t>
            </w:r>
            <w:r>
              <w:rPr>
                <w:spacing w:val="-3"/>
                <w:sz w:val="20"/>
              </w:rPr>
              <w:t> </w:t>
            </w:r>
            <w:r>
              <w:rPr>
                <w:sz w:val="20"/>
              </w:rPr>
              <w:t>con</w:t>
            </w:r>
            <w:r>
              <w:rPr>
                <w:spacing w:val="-4"/>
                <w:sz w:val="20"/>
              </w:rPr>
              <w:t> </w:t>
            </w:r>
            <w:r>
              <w:rPr>
                <w:sz w:val="20"/>
              </w:rPr>
              <w:t>la fracción que corresponda.</w:t>
            </w:r>
          </w:p>
        </w:tc>
        <w:tc>
          <w:tcPr>
            <w:tcW w:w="1561" w:type="dxa"/>
          </w:tcPr>
          <w:p>
            <w:pPr>
              <w:pStyle w:val="TableParagraph"/>
              <w:spacing w:line="240" w:lineRule="auto" w:before="229"/>
              <w:ind w:left="11" w:right="5"/>
              <w:rPr>
                <w:sz w:val="20"/>
              </w:rPr>
            </w:pPr>
            <w:r>
              <w:rPr>
                <w:spacing w:val="-2"/>
                <w:sz w:val="20"/>
              </w:rPr>
              <w:t>-</w:t>
            </w:r>
            <w:r>
              <w:rPr>
                <w:spacing w:val="-12"/>
                <w:sz w:val="20"/>
              </w:rPr>
              <w:t>-</w:t>
            </w:r>
          </w:p>
        </w:tc>
      </w:tr>
      <w:tr>
        <w:trPr>
          <w:trHeight w:val="229" w:hRule="atLeast"/>
        </w:trPr>
        <w:tc>
          <w:tcPr>
            <w:tcW w:w="1066" w:type="dxa"/>
          </w:tcPr>
          <w:p>
            <w:pPr>
              <w:pStyle w:val="TableParagraph"/>
              <w:ind w:left="9"/>
              <w:rPr>
                <w:sz w:val="20"/>
              </w:rPr>
            </w:pPr>
            <w:r>
              <w:rPr>
                <w:spacing w:val="-5"/>
                <w:sz w:val="20"/>
              </w:rPr>
              <w:t>284</w:t>
            </w:r>
          </w:p>
        </w:tc>
        <w:tc>
          <w:tcPr>
            <w:tcW w:w="6924" w:type="dxa"/>
          </w:tcPr>
          <w:p>
            <w:pPr>
              <w:pStyle w:val="TableParagraph"/>
              <w:jc w:val="left"/>
              <w:rPr>
                <w:sz w:val="20"/>
              </w:rPr>
            </w:pPr>
            <w:r>
              <w:rPr>
                <w:sz w:val="20"/>
              </w:rPr>
              <w:t>Avulsión</w:t>
            </w:r>
            <w:r>
              <w:rPr>
                <w:spacing w:val="-5"/>
                <w:sz w:val="20"/>
              </w:rPr>
              <w:t> </w:t>
            </w:r>
            <w:r>
              <w:rPr>
                <w:sz w:val="20"/>
              </w:rPr>
              <w:t>o</w:t>
            </w:r>
            <w:r>
              <w:rPr>
                <w:spacing w:val="-6"/>
                <w:sz w:val="20"/>
              </w:rPr>
              <w:t> </w:t>
            </w:r>
            <w:r>
              <w:rPr>
                <w:sz w:val="20"/>
              </w:rPr>
              <w:t>pérdida</w:t>
            </w:r>
            <w:r>
              <w:rPr>
                <w:spacing w:val="-6"/>
                <w:sz w:val="20"/>
              </w:rPr>
              <w:t> </w:t>
            </w:r>
            <w:r>
              <w:rPr>
                <w:sz w:val="20"/>
              </w:rPr>
              <w:t>mayor</w:t>
            </w:r>
            <w:r>
              <w:rPr>
                <w:spacing w:val="-5"/>
                <w:sz w:val="20"/>
              </w:rPr>
              <w:t> </w:t>
            </w:r>
            <w:r>
              <w:rPr>
                <w:sz w:val="20"/>
              </w:rPr>
              <w:t>a</w:t>
            </w:r>
            <w:r>
              <w:rPr>
                <w:spacing w:val="-4"/>
                <w:sz w:val="20"/>
              </w:rPr>
              <w:t> </w:t>
            </w:r>
            <w:r>
              <w:rPr>
                <w:sz w:val="20"/>
              </w:rPr>
              <w:t>10</w:t>
            </w:r>
            <w:r>
              <w:rPr>
                <w:spacing w:val="-6"/>
                <w:sz w:val="20"/>
              </w:rPr>
              <w:t> </w:t>
            </w:r>
            <w:r>
              <w:rPr>
                <w:sz w:val="20"/>
              </w:rPr>
              <w:t>centímetros</w:t>
            </w:r>
            <w:r>
              <w:rPr>
                <w:spacing w:val="-5"/>
                <w:sz w:val="20"/>
              </w:rPr>
              <w:t> </w:t>
            </w:r>
            <w:r>
              <w:rPr>
                <w:sz w:val="20"/>
              </w:rPr>
              <w:t>de</w:t>
            </w:r>
            <w:r>
              <w:rPr>
                <w:spacing w:val="-7"/>
                <w:sz w:val="20"/>
              </w:rPr>
              <w:t> </w:t>
            </w:r>
            <w:r>
              <w:rPr>
                <w:sz w:val="20"/>
              </w:rPr>
              <w:t>la</w:t>
            </w:r>
            <w:r>
              <w:rPr>
                <w:spacing w:val="-3"/>
                <w:sz w:val="20"/>
              </w:rPr>
              <w:t> </w:t>
            </w:r>
            <w:r>
              <w:rPr>
                <w:sz w:val="20"/>
              </w:rPr>
              <w:t>piel</w:t>
            </w:r>
            <w:r>
              <w:rPr>
                <w:spacing w:val="-7"/>
                <w:sz w:val="20"/>
              </w:rPr>
              <w:t> </w:t>
            </w:r>
            <w:r>
              <w:rPr>
                <w:spacing w:val="-2"/>
                <w:sz w:val="20"/>
              </w:rPr>
              <w:t>cabelluda.</w:t>
            </w:r>
          </w:p>
        </w:tc>
        <w:tc>
          <w:tcPr>
            <w:tcW w:w="1561" w:type="dxa"/>
          </w:tcPr>
          <w:p>
            <w:pPr>
              <w:pStyle w:val="TableParagraph"/>
              <w:ind w:left="11" w:right="9"/>
              <w:rPr>
                <w:sz w:val="20"/>
              </w:rPr>
            </w:pPr>
            <w:r>
              <w:rPr>
                <w:sz w:val="20"/>
              </w:rPr>
              <w:t>20</w:t>
            </w:r>
            <w:r>
              <w:rPr>
                <w:spacing w:val="-3"/>
                <w:sz w:val="20"/>
              </w:rPr>
              <w:t> </w:t>
            </w:r>
            <w:r>
              <w:rPr>
                <w:sz w:val="20"/>
              </w:rPr>
              <w:t>a</w:t>
            </w:r>
            <w:r>
              <w:rPr>
                <w:spacing w:val="-1"/>
                <w:sz w:val="20"/>
              </w:rPr>
              <w:t> </w:t>
            </w:r>
            <w:r>
              <w:rPr>
                <w:spacing w:val="-5"/>
                <w:sz w:val="20"/>
              </w:rPr>
              <w:t>35%</w:t>
            </w:r>
          </w:p>
        </w:tc>
      </w:tr>
      <w:tr>
        <w:trPr>
          <w:trHeight w:val="460" w:hRule="atLeast"/>
        </w:trPr>
        <w:tc>
          <w:tcPr>
            <w:tcW w:w="1066" w:type="dxa"/>
          </w:tcPr>
          <w:p>
            <w:pPr>
              <w:pStyle w:val="TableParagraph"/>
              <w:spacing w:line="240" w:lineRule="auto" w:before="114"/>
              <w:ind w:left="9"/>
              <w:rPr>
                <w:sz w:val="20"/>
              </w:rPr>
            </w:pPr>
            <w:r>
              <w:rPr>
                <w:spacing w:val="-5"/>
                <w:sz w:val="20"/>
              </w:rPr>
              <w:t>285</w:t>
            </w:r>
          </w:p>
        </w:tc>
        <w:tc>
          <w:tcPr>
            <w:tcW w:w="6924" w:type="dxa"/>
          </w:tcPr>
          <w:p>
            <w:pPr>
              <w:pStyle w:val="TableParagraph"/>
              <w:spacing w:line="230" w:lineRule="exact"/>
              <w:jc w:val="left"/>
              <w:rPr>
                <w:sz w:val="20"/>
              </w:rPr>
            </w:pPr>
            <w:r>
              <w:rPr>
                <w:sz w:val="20"/>
              </w:rPr>
              <w:t>Pérdida</w:t>
            </w:r>
            <w:r>
              <w:rPr>
                <w:spacing w:val="38"/>
                <w:sz w:val="20"/>
              </w:rPr>
              <w:t> </w:t>
            </w:r>
            <w:r>
              <w:rPr>
                <w:sz w:val="20"/>
              </w:rPr>
              <w:t>ósea</w:t>
            </w:r>
            <w:r>
              <w:rPr>
                <w:spacing w:val="38"/>
                <w:sz w:val="20"/>
              </w:rPr>
              <w:t> </w:t>
            </w:r>
            <w:r>
              <w:rPr>
                <w:sz w:val="20"/>
              </w:rPr>
              <w:t>del</w:t>
            </w:r>
            <w:r>
              <w:rPr>
                <w:spacing w:val="35"/>
                <w:sz w:val="20"/>
              </w:rPr>
              <w:t> </w:t>
            </w:r>
            <w:r>
              <w:rPr>
                <w:sz w:val="20"/>
              </w:rPr>
              <w:t>cráneo</w:t>
            </w:r>
            <w:r>
              <w:rPr>
                <w:spacing w:val="38"/>
                <w:sz w:val="20"/>
              </w:rPr>
              <w:t> </w:t>
            </w:r>
            <w:r>
              <w:rPr>
                <w:sz w:val="20"/>
              </w:rPr>
              <w:t>hasta</w:t>
            </w:r>
            <w:r>
              <w:rPr>
                <w:spacing w:val="38"/>
                <w:sz w:val="20"/>
              </w:rPr>
              <w:t> </w:t>
            </w:r>
            <w:r>
              <w:rPr>
                <w:sz w:val="20"/>
              </w:rPr>
              <w:t>de</w:t>
            </w:r>
            <w:r>
              <w:rPr>
                <w:spacing w:val="38"/>
                <w:sz w:val="20"/>
              </w:rPr>
              <w:t> </w:t>
            </w:r>
            <w:r>
              <w:rPr>
                <w:sz w:val="20"/>
              </w:rPr>
              <w:t>5</w:t>
            </w:r>
            <w:r>
              <w:rPr>
                <w:spacing w:val="36"/>
                <w:sz w:val="20"/>
              </w:rPr>
              <w:t> </w:t>
            </w:r>
            <w:r>
              <w:rPr>
                <w:sz w:val="20"/>
              </w:rPr>
              <w:t>centímetros</w:t>
            </w:r>
            <w:r>
              <w:rPr>
                <w:spacing w:val="37"/>
                <w:sz w:val="20"/>
              </w:rPr>
              <w:t> </w:t>
            </w:r>
            <w:r>
              <w:rPr>
                <w:sz w:val="20"/>
              </w:rPr>
              <w:t>de</w:t>
            </w:r>
            <w:r>
              <w:rPr>
                <w:spacing w:val="35"/>
                <w:sz w:val="20"/>
              </w:rPr>
              <w:t> </w:t>
            </w:r>
            <w:r>
              <w:rPr>
                <w:sz w:val="20"/>
              </w:rPr>
              <w:t>diámetro,</w:t>
            </w:r>
            <w:r>
              <w:rPr>
                <w:spacing w:val="36"/>
                <w:sz w:val="20"/>
              </w:rPr>
              <w:t> </w:t>
            </w:r>
            <w:r>
              <w:rPr>
                <w:sz w:val="20"/>
              </w:rPr>
              <w:t>con</w:t>
            </w:r>
            <w:r>
              <w:rPr>
                <w:spacing w:val="35"/>
                <w:sz w:val="20"/>
              </w:rPr>
              <w:t> </w:t>
            </w:r>
            <w:r>
              <w:rPr>
                <w:sz w:val="20"/>
              </w:rPr>
              <w:t>o</w:t>
            </w:r>
            <w:r>
              <w:rPr>
                <w:spacing w:val="38"/>
                <w:sz w:val="20"/>
              </w:rPr>
              <w:t> </w:t>
            </w:r>
            <w:r>
              <w:rPr>
                <w:sz w:val="20"/>
              </w:rPr>
              <w:t>sin </w:t>
            </w:r>
            <w:r>
              <w:rPr>
                <w:spacing w:val="-2"/>
                <w:sz w:val="20"/>
              </w:rPr>
              <w:t>prótesis.</w:t>
            </w:r>
          </w:p>
        </w:tc>
        <w:tc>
          <w:tcPr>
            <w:tcW w:w="1561" w:type="dxa"/>
          </w:tcPr>
          <w:p>
            <w:pPr>
              <w:pStyle w:val="TableParagraph"/>
              <w:spacing w:line="240" w:lineRule="auto" w:before="114"/>
              <w:ind w:left="11" w:right="9"/>
              <w:rPr>
                <w:sz w:val="20"/>
              </w:rPr>
            </w:pPr>
            <w:r>
              <w:rPr>
                <w:sz w:val="20"/>
              </w:rPr>
              <w:t>10</w:t>
            </w:r>
            <w:r>
              <w:rPr>
                <w:spacing w:val="-3"/>
                <w:sz w:val="20"/>
              </w:rPr>
              <w:t> </w:t>
            </w:r>
            <w:r>
              <w:rPr>
                <w:sz w:val="20"/>
              </w:rPr>
              <w:t>a</w:t>
            </w:r>
            <w:r>
              <w:rPr>
                <w:spacing w:val="-1"/>
                <w:sz w:val="20"/>
              </w:rPr>
              <w:t> </w:t>
            </w:r>
            <w:r>
              <w:rPr>
                <w:spacing w:val="-5"/>
                <w:sz w:val="20"/>
              </w:rPr>
              <w:t>20%</w:t>
            </w:r>
          </w:p>
        </w:tc>
      </w:tr>
      <w:tr>
        <w:trPr>
          <w:trHeight w:val="460" w:hRule="atLeast"/>
        </w:trPr>
        <w:tc>
          <w:tcPr>
            <w:tcW w:w="1066" w:type="dxa"/>
          </w:tcPr>
          <w:p>
            <w:pPr>
              <w:pStyle w:val="TableParagraph"/>
              <w:spacing w:line="240" w:lineRule="auto" w:before="114"/>
              <w:ind w:left="9"/>
              <w:rPr>
                <w:sz w:val="20"/>
              </w:rPr>
            </w:pPr>
            <w:r>
              <w:rPr>
                <w:spacing w:val="-5"/>
                <w:sz w:val="20"/>
              </w:rPr>
              <w:t>286</w:t>
            </w:r>
          </w:p>
        </w:tc>
        <w:tc>
          <w:tcPr>
            <w:tcW w:w="6924" w:type="dxa"/>
          </w:tcPr>
          <w:p>
            <w:pPr>
              <w:pStyle w:val="TableParagraph"/>
              <w:spacing w:line="230" w:lineRule="exact"/>
              <w:jc w:val="left"/>
              <w:rPr>
                <w:sz w:val="20"/>
              </w:rPr>
            </w:pPr>
            <w:r>
              <w:rPr>
                <w:sz w:val="20"/>
              </w:rPr>
              <w:t>Pérdida</w:t>
            </w:r>
            <w:r>
              <w:rPr>
                <w:spacing w:val="40"/>
                <w:sz w:val="20"/>
              </w:rPr>
              <w:t> </w:t>
            </w:r>
            <w:r>
              <w:rPr>
                <w:sz w:val="20"/>
              </w:rPr>
              <w:t>ósea</w:t>
            </w:r>
            <w:r>
              <w:rPr>
                <w:spacing w:val="40"/>
                <w:sz w:val="20"/>
              </w:rPr>
              <w:t> </w:t>
            </w:r>
            <w:r>
              <w:rPr>
                <w:sz w:val="20"/>
              </w:rPr>
              <w:t>del</w:t>
            </w:r>
            <w:r>
              <w:rPr>
                <w:spacing w:val="40"/>
                <w:sz w:val="20"/>
              </w:rPr>
              <w:t> </w:t>
            </w:r>
            <w:r>
              <w:rPr>
                <w:sz w:val="20"/>
              </w:rPr>
              <w:t>cráneo</w:t>
            </w:r>
            <w:r>
              <w:rPr>
                <w:spacing w:val="40"/>
                <w:sz w:val="20"/>
              </w:rPr>
              <w:t> </w:t>
            </w:r>
            <w:r>
              <w:rPr>
                <w:sz w:val="20"/>
              </w:rPr>
              <w:t>mayor</w:t>
            </w:r>
            <w:r>
              <w:rPr>
                <w:spacing w:val="40"/>
                <w:sz w:val="20"/>
              </w:rPr>
              <w:t> </w:t>
            </w:r>
            <w:r>
              <w:rPr>
                <w:sz w:val="20"/>
              </w:rPr>
              <w:t>a</w:t>
            </w:r>
            <w:r>
              <w:rPr>
                <w:spacing w:val="40"/>
                <w:sz w:val="20"/>
              </w:rPr>
              <w:t> </w:t>
            </w:r>
            <w:r>
              <w:rPr>
                <w:sz w:val="20"/>
              </w:rPr>
              <w:t>5</w:t>
            </w:r>
            <w:r>
              <w:rPr>
                <w:spacing w:val="40"/>
                <w:sz w:val="20"/>
              </w:rPr>
              <w:t> </w:t>
            </w:r>
            <w:r>
              <w:rPr>
                <w:sz w:val="20"/>
              </w:rPr>
              <w:t>centímetros</w:t>
            </w:r>
            <w:r>
              <w:rPr>
                <w:spacing w:val="40"/>
                <w:sz w:val="20"/>
              </w:rPr>
              <w:t> </w:t>
            </w:r>
            <w:r>
              <w:rPr>
                <w:sz w:val="20"/>
              </w:rPr>
              <w:t>de</w:t>
            </w:r>
            <w:r>
              <w:rPr>
                <w:spacing w:val="40"/>
                <w:sz w:val="20"/>
              </w:rPr>
              <w:t> </w:t>
            </w:r>
            <w:r>
              <w:rPr>
                <w:sz w:val="20"/>
              </w:rPr>
              <w:t>diámetro,</w:t>
            </w:r>
            <w:r>
              <w:rPr>
                <w:spacing w:val="40"/>
                <w:sz w:val="20"/>
              </w:rPr>
              <w:t> </w:t>
            </w:r>
            <w:r>
              <w:rPr>
                <w:sz w:val="20"/>
              </w:rPr>
              <w:t>con</w:t>
            </w:r>
            <w:r>
              <w:rPr>
                <w:spacing w:val="40"/>
                <w:sz w:val="20"/>
              </w:rPr>
              <w:t> </w:t>
            </w:r>
            <w:r>
              <w:rPr>
                <w:sz w:val="20"/>
              </w:rPr>
              <w:t>o</w:t>
            </w:r>
            <w:r>
              <w:rPr>
                <w:spacing w:val="40"/>
                <w:sz w:val="20"/>
              </w:rPr>
              <w:t> </w:t>
            </w:r>
            <w:r>
              <w:rPr>
                <w:sz w:val="20"/>
              </w:rPr>
              <w:t>sin </w:t>
            </w:r>
            <w:r>
              <w:rPr>
                <w:spacing w:val="-2"/>
                <w:sz w:val="20"/>
              </w:rPr>
              <w:t>prótesis.</w:t>
            </w:r>
          </w:p>
        </w:tc>
        <w:tc>
          <w:tcPr>
            <w:tcW w:w="1561" w:type="dxa"/>
          </w:tcPr>
          <w:p>
            <w:pPr>
              <w:pStyle w:val="TableParagraph"/>
              <w:spacing w:line="240" w:lineRule="auto" w:before="114"/>
              <w:ind w:left="11" w:right="9"/>
              <w:rPr>
                <w:sz w:val="20"/>
              </w:rPr>
            </w:pPr>
            <w:r>
              <w:rPr>
                <w:sz w:val="20"/>
              </w:rPr>
              <w:t>20</w:t>
            </w:r>
            <w:r>
              <w:rPr>
                <w:spacing w:val="-3"/>
                <w:sz w:val="20"/>
              </w:rPr>
              <w:t> </w:t>
            </w:r>
            <w:r>
              <w:rPr>
                <w:sz w:val="20"/>
              </w:rPr>
              <w:t>a</w:t>
            </w:r>
            <w:r>
              <w:rPr>
                <w:spacing w:val="-1"/>
                <w:sz w:val="20"/>
              </w:rPr>
              <w:t> </w:t>
            </w:r>
            <w:r>
              <w:rPr>
                <w:spacing w:val="-5"/>
                <w:sz w:val="20"/>
              </w:rPr>
              <w:t>30%</w:t>
            </w:r>
          </w:p>
        </w:tc>
      </w:tr>
      <w:tr>
        <w:trPr>
          <w:trHeight w:val="460" w:hRule="atLeast"/>
        </w:trPr>
        <w:tc>
          <w:tcPr>
            <w:tcW w:w="1066" w:type="dxa"/>
          </w:tcPr>
          <w:p>
            <w:pPr>
              <w:pStyle w:val="TableParagraph"/>
              <w:spacing w:line="240" w:lineRule="auto" w:before="115"/>
              <w:ind w:left="9"/>
              <w:rPr>
                <w:sz w:val="20"/>
              </w:rPr>
            </w:pPr>
            <w:r>
              <w:rPr>
                <w:spacing w:val="-5"/>
                <w:sz w:val="20"/>
              </w:rPr>
              <w:t>287</w:t>
            </w:r>
          </w:p>
        </w:tc>
        <w:tc>
          <w:tcPr>
            <w:tcW w:w="6924" w:type="dxa"/>
          </w:tcPr>
          <w:p>
            <w:pPr>
              <w:pStyle w:val="TableParagraph"/>
              <w:spacing w:line="230" w:lineRule="exact"/>
              <w:jc w:val="left"/>
              <w:rPr>
                <w:sz w:val="20"/>
              </w:rPr>
            </w:pPr>
            <w:r>
              <w:rPr>
                <w:sz w:val="20"/>
              </w:rPr>
              <w:t>Epilepsia traumática no curable quirúrgicamente, cuando las crisis puedan ser controladas médicamente y permitan desempeñar algún trabajo.</w:t>
            </w:r>
          </w:p>
        </w:tc>
        <w:tc>
          <w:tcPr>
            <w:tcW w:w="1561" w:type="dxa"/>
          </w:tcPr>
          <w:p>
            <w:pPr>
              <w:pStyle w:val="TableParagraph"/>
              <w:spacing w:line="240" w:lineRule="auto" w:before="115"/>
              <w:ind w:left="11" w:right="9"/>
              <w:rPr>
                <w:sz w:val="20"/>
              </w:rPr>
            </w:pPr>
            <w:r>
              <w:rPr>
                <w:sz w:val="20"/>
              </w:rPr>
              <w:t>50</w:t>
            </w:r>
            <w:r>
              <w:rPr>
                <w:spacing w:val="-3"/>
                <w:sz w:val="20"/>
              </w:rPr>
              <w:t> </w:t>
            </w:r>
            <w:r>
              <w:rPr>
                <w:sz w:val="20"/>
              </w:rPr>
              <w:t>a</w:t>
            </w:r>
            <w:r>
              <w:rPr>
                <w:spacing w:val="-1"/>
                <w:sz w:val="20"/>
              </w:rPr>
              <w:t> </w:t>
            </w:r>
            <w:r>
              <w:rPr>
                <w:spacing w:val="-5"/>
                <w:sz w:val="20"/>
              </w:rPr>
              <w:t>70%</w:t>
            </w:r>
          </w:p>
        </w:tc>
      </w:tr>
      <w:tr>
        <w:trPr>
          <w:trHeight w:val="690" w:hRule="atLeast"/>
        </w:trPr>
        <w:tc>
          <w:tcPr>
            <w:tcW w:w="1066" w:type="dxa"/>
          </w:tcPr>
          <w:p>
            <w:pPr>
              <w:pStyle w:val="TableParagraph"/>
              <w:spacing w:line="240" w:lineRule="auto" w:before="229"/>
              <w:ind w:left="9"/>
              <w:rPr>
                <w:sz w:val="20"/>
              </w:rPr>
            </w:pPr>
            <w:r>
              <w:rPr>
                <w:spacing w:val="-5"/>
                <w:sz w:val="20"/>
              </w:rPr>
              <w:t>288</w:t>
            </w:r>
          </w:p>
        </w:tc>
        <w:tc>
          <w:tcPr>
            <w:tcW w:w="6924" w:type="dxa"/>
          </w:tcPr>
          <w:p>
            <w:pPr>
              <w:pStyle w:val="TableParagraph"/>
              <w:spacing w:line="230" w:lineRule="exact"/>
              <w:ind w:right="68"/>
              <w:jc w:val="both"/>
              <w:rPr>
                <w:sz w:val="20"/>
              </w:rPr>
            </w:pPr>
            <w:r>
              <w:rPr>
                <w:sz w:val="20"/>
              </w:rPr>
              <w:t>Por epilepsia traumática no curable quirúrgicamente, cuando las crisis no puedan ser controladas médicamente y no permitan el desempeño de ningún trabajo.</w:t>
            </w:r>
          </w:p>
        </w:tc>
        <w:tc>
          <w:tcPr>
            <w:tcW w:w="1561" w:type="dxa"/>
          </w:tcPr>
          <w:p>
            <w:pPr>
              <w:pStyle w:val="TableParagraph"/>
              <w:spacing w:line="240" w:lineRule="auto" w:before="229"/>
              <w:ind w:left="11" w:right="6"/>
              <w:rPr>
                <w:sz w:val="20"/>
              </w:rPr>
            </w:pPr>
            <w:r>
              <w:rPr>
                <w:spacing w:val="-4"/>
                <w:sz w:val="20"/>
              </w:rPr>
              <w:t>100%</w:t>
            </w:r>
          </w:p>
        </w:tc>
      </w:tr>
      <w:tr>
        <w:trPr>
          <w:trHeight w:val="457" w:hRule="atLeast"/>
        </w:trPr>
        <w:tc>
          <w:tcPr>
            <w:tcW w:w="1066" w:type="dxa"/>
          </w:tcPr>
          <w:p>
            <w:pPr>
              <w:pStyle w:val="TableParagraph"/>
              <w:spacing w:line="240" w:lineRule="auto" w:before="114"/>
              <w:ind w:left="9"/>
              <w:rPr>
                <w:sz w:val="20"/>
              </w:rPr>
            </w:pPr>
            <w:r>
              <w:rPr>
                <w:spacing w:val="-5"/>
                <w:sz w:val="20"/>
              </w:rPr>
              <w:t>289</w:t>
            </w:r>
          </w:p>
        </w:tc>
        <w:tc>
          <w:tcPr>
            <w:tcW w:w="6924" w:type="dxa"/>
          </w:tcPr>
          <w:p>
            <w:pPr>
              <w:pStyle w:val="TableParagraph"/>
              <w:spacing w:line="228" w:lineRule="exact"/>
              <w:jc w:val="left"/>
              <w:rPr>
                <w:sz w:val="20"/>
              </w:rPr>
            </w:pPr>
            <w:r>
              <w:rPr>
                <w:sz w:val="20"/>
              </w:rPr>
              <w:t>Por epilepsia no traumática, no curable quirúrgicamente, cuando las crisis puedan</w:t>
            </w:r>
            <w:r>
              <w:rPr>
                <w:spacing w:val="-10"/>
                <w:sz w:val="20"/>
              </w:rPr>
              <w:t> </w:t>
            </w:r>
            <w:r>
              <w:rPr>
                <w:sz w:val="20"/>
              </w:rPr>
              <w:t>ser</w:t>
            </w:r>
            <w:r>
              <w:rPr>
                <w:spacing w:val="-9"/>
                <w:sz w:val="20"/>
              </w:rPr>
              <w:t> </w:t>
            </w:r>
            <w:r>
              <w:rPr>
                <w:sz w:val="20"/>
              </w:rPr>
              <w:t>controladas</w:t>
            </w:r>
            <w:r>
              <w:rPr>
                <w:spacing w:val="-9"/>
                <w:sz w:val="20"/>
              </w:rPr>
              <w:t> </w:t>
            </w:r>
            <w:r>
              <w:rPr>
                <w:sz w:val="20"/>
              </w:rPr>
              <w:t>médicamente</w:t>
            </w:r>
            <w:r>
              <w:rPr>
                <w:spacing w:val="-7"/>
                <w:sz w:val="20"/>
              </w:rPr>
              <w:t> </w:t>
            </w:r>
            <w:r>
              <w:rPr>
                <w:sz w:val="20"/>
              </w:rPr>
              <w:t>y</w:t>
            </w:r>
            <w:r>
              <w:rPr>
                <w:spacing w:val="-10"/>
                <w:sz w:val="20"/>
              </w:rPr>
              <w:t> </w:t>
            </w:r>
            <w:r>
              <w:rPr>
                <w:sz w:val="20"/>
              </w:rPr>
              <w:t>permitan</w:t>
            </w:r>
            <w:r>
              <w:rPr>
                <w:spacing w:val="-10"/>
                <w:sz w:val="20"/>
              </w:rPr>
              <w:t> </w:t>
            </w:r>
            <w:r>
              <w:rPr>
                <w:sz w:val="20"/>
              </w:rPr>
              <w:t>desempeñar</w:t>
            </w:r>
            <w:r>
              <w:rPr>
                <w:spacing w:val="-8"/>
                <w:sz w:val="20"/>
              </w:rPr>
              <w:t> </w:t>
            </w:r>
            <w:r>
              <w:rPr>
                <w:sz w:val="20"/>
              </w:rPr>
              <w:t>algún</w:t>
            </w:r>
            <w:r>
              <w:rPr>
                <w:spacing w:val="-9"/>
                <w:sz w:val="20"/>
              </w:rPr>
              <w:t> </w:t>
            </w:r>
            <w:r>
              <w:rPr>
                <w:spacing w:val="-2"/>
                <w:sz w:val="20"/>
              </w:rPr>
              <w:t>trabajo.</w:t>
            </w:r>
          </w:p>
        </w:tc>
        <w:tc>
          <w:tcPr>
            <w:tcW w:w="1561" w:type="dxa"/>
          </w:tcPr>
          <w:p>
            <w:pPr>
              <w:pStyle w:val="TableParagraph"/>
              <w:spacing w:line="240" w:lineRule="auto" w:before="114"/>
              <w:ind w:left="11" w:right="9"/>
              <w:rPr>
                <w:sz w:val="20"/>
              </w:rPr>
            </w:pPr>
            <w:r>
              <w:rPr>
                <w:sz w:val="20"/>
              </w:rPr>
              <w:t>50</w:t>
            </w:r>
            <w:r>
              <w:rPr>
                <w:spacing w:val="-3"/>
                <w:sz w:val="20"/>
              </w:rPr>
              <w:t> </w:t>
            </w:r>
            <w:r>
              <w:rPr>
                <w:sz w:val="20"/>
              </w:rPr>
              <w:t>a</w:t>
            </w:r>
            <w:r>
              <w:rPr>
                <w:spacing w:val="-1"/>
                <w:sz w:val="20"/>
              </w:rPr>
              <w:t> </w:t>
            </w:r>
            <w:r>
              <w:rPr>
                <w:spacing w:val="-5"/>
                <w:sz w:val="20"/>
              </w:rPr>
              <w:t>70%</w:t>
            </w:r>
          </w:p>
        </w:tc>
      </w:tr>
      <w:tr>
        <w:trPr>
          <w:trHeight w:val="690" w:hRule="atLeast"/>
        </w:trPr>
        <w:tc>
          <w:tcPr>
            <w:tcW w:w="1066" w:type="dxa"/>
          </w:tcPr>
          <w:p>
            <w:pPr>
              <w:pStyle w:val="TableParagraph"/>
              <w:spacing w:line="240" w:lineRule="auto" w:before="229"/>
              <w:ind w:left="9"/>
              <w:rPr>
                <w:sz w:val="20"/>
              </w:rPr>
            </w:pPr>
            <w:r>
              <w:rPr>
                <w:spacing w:val="-5"/>
                <w:sz w:val="20"/>
              </w:rPr>
              <w:t>290</w:t>
            </w:r>
          </w:p>
        </w:tc>
        <w:tc>
          <w:tcPr>
            <w:tcW w:w="6924" w:type="dxa"/>
          </w:tcPr>
          <w:p>
            <w:pPr>
              <w:pStyle w:val="TableParagraph"/>
              <w:spacing w:line="240" w:lineRule="auto" w:before="1"/>
              <w:ind w:right="67"/>
              <w:jc w:val="left"/>
              <w:rPr>
                <w:sz w:val="20"/>
              </w:rPr>
            </w:pPr>
            <w:r>
              <w:rPr>
                <w:sz w:val="20"/>
              </w:rPr>
              <w:t>Por epilepsia no traumática, no curable quirúrgicamente, cuando las crisis no</w:t>
            </w:r>
            <w:r>
              <w:rPr>
                <w:spacing w:val="21"/>
                <w:sz w:val="20"/>
              </w:rPr>
              <w:t> </w:t>
            </w:r>
            <w:r>
              <w:rPr>
                <w:sz w:val="20"/>
              </w:rPr>
              <w:t>puedan</w:t>
            </w:r>
            <w:r>
              <w:rPr>
                <w:spacing w:val="23"/>
                <w:sz w:val="20"/>
              </w:rPr>
              <w:t> </w:t>
            </w:r>
            <w:r>
              <w:rPr>
                <w:sz w:val="20"/>
              </w:rPr>
              <w:t>ser</w:t>
            </w:r>
            <w:r>
              <w:rPr>
                <w:spacing w:val="22"/>
                <w:sz w:val="20"/>
              </w:rPr>
              <w:t> </w:t>
            </w:r>
            <w:r>
              <w:rPr>
                <w:sz w:val="20"/>
              </w:rPr>
              <w:t>controladas</w:t>
            </w:r>
            <w:r>
              <w:rPr>
                <w:spacing w:val="23"/>
                <w:sz w:val="20"/>
              </w:rPr>
              <w:t> </w:t>
            </w:r>
            <w:r>
              <w:rPr>
                <w:sz w:val="20"/>
              </w:rPr>
              <w:t>médicamente</w:t>
            </w:r>
            <w:r>
              <w:rPr>
                <w:spacing w:val="23"/>
                <w:sz w:val="20"/>
              </w:rPr>
              <w:t> </w:t>
            </w:r>
            <w:r>
              <w:rPr>
                <w:sz w:val="20"/>
              </w:rPr>
              <w:t>y</w:t>
            </w:r>
            <w:r>
              <w:rPr>
                <w:spacing w:val="21"/>
                <w:sz w:val="20"/>
              </w:rPr>
              <w:t> </w:t>
            </w:r>
            <w:r>
              <w:rPr>
                <w:sz w:val="20"/>
              </w:rPr>
              <w:t>no</w:t>
            </w:r>
            <w:r>
              <w:rPr>
                <w:spacing w:val="22"/>
                <w:sz w:val="20"/>
              </w:rPr>
              <w:t> </w:t>
            </w:r>
            <w:r>
              <w:rPr>
                <w:sz w:val="20"/>
              </w:rPr>
              <w:t>permitan</w:t>
            </w:r>
            <w:r>
              <w:rPr>
                <w:spacing w:val="23"/>
                <w:sz w:val="20"/>
              </w:rPr>
              <w:t> </w:t>
            </w:r>
            <w:r>
              <w:rPr>
                <w:sz w:val="20"/>
              </w:rPr>
              <w:t>el</w:t>
            </w:r>
            <w:r>
              <w:rPr>
                <w:spacing w:val="21"/>
                <w:sz w:val="20"/>
              </w:rPr>
              <w:t> </w:t>
            </w:r>
            <w:r>
              <w:rPr>
                <w:sz w:val="20"/>
              </w:rPr>
              <w:t>desempeño</w:t>
            </w:r>
            <w:r>
              <w:rPr>
                <w:spacing w:val="21"/>
                <w:sz w:val="20"/>
              </w:rPr>
              <w:t> </w:t>
            </w:r>
            <w:r>
              <w:rPr>
                <w:spacing w:val="-5"/>
                <w:sz w:val="20"/>
              </w:rPr>
              <w:t>de</w:t>
            </w:r>
          </w:p>
          <w:p>
            <w:pPr>
              <w:pStyle w:val="TableParagraph"/>
              <w:spacing w:line="209" w:lineRule="exact"/>
              <w:jc w:val="left"/>
              <w:rPr>
                <w:sz w:val="20"/>
              </w:rPr>
            </w:pPr>
            <w:r>
              <w:rPr>
                <w:sz w:val="20"/>
              </w:rPr>
              <w:t>ningún</w:t>
            </w:r>
            <w:r>
              <w:rPr>
                <w:spacing w:val="-11"/>
                <w:sz w:val="20"/>
              </w:rPr>
              <w:t> </w:t>
            </w:r>
            <w:r>
              <w:rPr>
                <w:spacing w:val="-2"/>
                <w:sz w:val="20"/>
              </w:rPr>
              <w:t>trabajo.</w:t>
            </w:r>
          </w:p>
        </w:tc>
        <w:tc>
          <w:tcPr>
            <w:tcW w:w="1561" w:type="dxa"/>
          </w:tcPr>
          <w:p>
            <w:pPr>
              <w:pStyle w:val="TableParagraph"/>
              <w:spacing w:line="240" w:lineRule="auto" w:before="229"/>
              <w:ind w:left="11" w:right="6"/>
              <w:rPr>
                <w:sz w:val="20"/>
              </w:rPr>
            </w:pPr>
            <w:r>
              <w:rPr>
                <w:spacing w:val="-4"/>
                <w:sz w:val="20"/>
              </w:rPr>
              <w:t>100%</w:t>
            </w:r>
          </w:p>
        </w:tc>
      </w:tr>
      <w:tr>
        <w:trPr>
          <w:trHeight w:val="229" w:hRule="atLeast"/>
        </w:trPr>
        <w:tc>
          <w:tcPr>
            <w:tcW w:w="1066" w:type="dxa"/>
          </w:tcPr>
          <w:p>
            <w:pPr>
              <w:pStyle w:val="TableParagraph"/>
              <w:ind w:left="9"/>
              <w:rPr>
                <w:sz w:val="20"/>
              </w:rPr>
            </w:pPr>
            <w:r>
              <w:rPr>
                <w:spacing w:val="-5"/>
                <w:sz w:val="20"/>
              </w:rPr>
              <w:t>291</w:t>
            </w:r>
          </w:p>
        </w:tc>
        <w:tc>
          <w:tcPr>
            <w:tcW w:w="6924" w:type="dxa"/>
          </w:tcPr>
          <w:p>
            <w:pPr>
              <w:pStyle w:val="TableParagraph"/>
              <w:jc w:val="left"/>
              <w:rPr>
                <w:sz w:val="20"/>
              </w:rPr>
            </w:pPr>
            <w:r>
              <w:rPr>
                <w:spacing w:val="-2"/>
                <w:sz w:val="20"/>
              </w:rPr>
              <w:t>Epilepsia</w:t>
            </w:r>
            <w:r>
              <w:rPr>
                <w:spacing w:val="3"/>
                <w:sz w:val="20"/>
              </w:rPr>
              <w:t> </w:t>
            </w:r>
            <w:r>
              <w:rPr>
                <w:spacing w:val="-2"/>
                <w:sz w:val="20"/>
              </w:rPr>
              <w:t>jacksoniana.</w:t>
            </w:r>
          </w:p>
        </w:tc>
        <w:tc>
          <w:tcPr>
            <w:tcW w:w="1561" w:type="dxa"/>
          </w:tcPr>
          <w:p>
            <w:pPr>
              <w:pStyle w:val="TableParagraph"/>
              <w:ind w:left="11" w:right="9"/>
              <w:rPr>
                <w:sz w:val="20"/>
              </w:rPr>
            </w:pPr>
            <w:r>
              <w:rPr>
                <w:sz w:val="20"/>
              </w:rPr>
              <w:t>10</w:t>
            </w:r>
            <w:r>
              <w:rPr>
                <w:spacing w:val="-3"/>
                <w:sz w:val="20"/>
              </w:rPr>
              <w:t> </w:t>
            </w:r>
            <w:r>
              <w:rPr>
                <w:sz w:val="20"/>
              </w:rPr>
              <w:t>a</w:t>
            </w:r>
            <w:r>
              <w:rPr>
                <w:spacing w:val="-1"/>
                <w:sz w:val="20"/>
              </w:rPr>
              <w:t> </w:t>
            </w:r>
            <w:r>
              <w:rPr>
                <w:spacing w:val="-5"/>
                <w:sz w:val="20"/>
              </w:rPr>
              <w:t>25%</w:t>
            </w:r>
          </w:p>
        </w:tc>
      </w:tr>
      <w:tr>
        <w:trPr>
          <w:trHeight w:val="229" w:hRule="atLeast"/>
        </w:trPr>
        <w:tc>
          <w:tcPr>
            <w:tcW w:w="1066" w:type="dxa"/>
          </w:tcPr>
          <w:p>
            <w:pPr>
              <w:pStyle w:val="TableParagraph"/>
              <w:ind w:left="9"/>
              <w:rPr>
                <w:sz w:val="20"/>
              </w:rPr>
            </w:pPr>
            <w:r>
              <w:rPr>
                <w:spacing w:val="-5"/>
                <w:sz w:val="20"/>
              </w:rPr>
              <w:t>292</w:t>
            </w:r>
          </w:p>
        </w:tc>
        <w:tc>
          <w:tcPr>
            <w:tcW w:w="6924" w:type="dxa"/>
          </w:tcPr>
          <w:p>
            <w:pPr>
              <w:pStyle w:val="TableParagraph"/>
              <w:jc w:val="left"/>
              <w:rPr>
                <w:sz w:val="20"/>
              </w:rPr>
            </w:pPr>
            <w:r>
              <w:rPr>
                <w:sz w:val="20"/>
              </w:rPr>
              <w:t>Disosmia</w:t>
            </w:r>
            <w:r>
              <w:rPr>
                <w:spacing w:val="-7"/>
                <w:sz w:val="20"/>
              </w:rPr>
              <w:t> </w:t>
            </w:r>
            <w:r>
              <w:rPr>
                <w:sz w:val="20"/>
              </w:rPr>
              <w:t>o</w:t>
            </w:r>
            <w:r>
              <w:rPr>
                <w:spacing w:val="-8"/>
                <w:sz w:val="20"/>
              </w:rPr>
              <w:t> </w:t>
            </w:r>
            <w:r>
              <w:rPr>
                <w:sz w:val="20"/>
              </w:rPr>
              <w:t>anosmia</w:t>
            </w:r>
            <w:r>
              <w:rPr>
                <w:spacing w:val="-6"/>
                <w:sz w:val="20"/>
              </w:rPr>
              <w:t> </w:t>
            </w:r>
            <w:r>
              <w:rPr>
                <w:sz w:val="20"/>
              </w:rPr>
              <w:t>por</w:t>
            </w:r>
            <w:r>
              <w:rPr>
                <w:spacing w:val="-4"/>
                <w:sz w:val="20"/>
              </w:rPr>
              <w:t> </w:t>
            </w:r>
            <w:r>
              <w:rPr>
                <w:sz w:val="20"/>
              </w:rPr>
              <w:t>lesión</w:t>
            </w:r>
            <w:r>
              <w:rPr>
                <w:spacing w:val="-8"/>
                <w:sz w:val="20"/>
              </w:rPr>
              <w:t> </w:t>
            </w:r>
            <w:r>
              <w:rPr>
                <w:sz w:val="20"/>
              </w:rPr>
              <w:t>del</w:t>
            </w:r>
            <w:r>
              <w:rPr>
                <w:spacing w:val="-6"/>
                <w:sz w:val="20"/>
              </w:rPr>
              <w:t> </w:t>
            </w:r>
            <w:r>
              <w:rPr>
                <w:sz w:val="20"/>
              </w:rPr>
              <w:t>nervio</w:t>
            </w:r>
            <w:r>
              <w:rPr>
                <w:spacing w:val="-5"/>
                <w:sz w:val="20"/>
              </w:rPr>
              <w:t> </w:t>
            </w:r>
            <w:r>
              <w:rPr>
                <w:spacing w:val="-2"/>
                <w:sz w:val="20"/>
              </w:rPr>
              <w:t>olfativo.</w:t>
            </w:r>
          </w:p>
        </w:tc>
        <w:tc>
          <w:tcPr>
            <w:tcW w:w="1561" w:type="dxa"/>
          </w:tcPr>
          <w:p>
            <w:pPr>
              <w:pStyle w:val="TableParagraph"/>
              <w:ind w:left="11" w:right="6"/>
              <w:rPr>
                <w:sz w:val="20"/>
              </w:rPr>
            </w:pPr>
            <w:r>
              <w:rPr>
                <w:spacing w:val="-5"/>
                <w:sz w:val="20"/>
              </w:rPr>
              <w:t>5%</w:t>
            </w:r>
          </w:p>
        </w:tc>
      </w:tr>
      <w:tr>
        <w:trPr>
          <w:trHeight w:val="229" w:hRule="atLeast"/>
        </w:trPr>
        <w:tc>
          <w:tcPr>
            <w:tcW w:w="1066" w:type="dxa"/>
          </w:tcPr>
          <w:p>
            <w:pPr>
              <w:pStyle w:val="TableParagraph"/>
              <w:ind w:left="9"/>
              <w:rPr>
                <w:sz w:val="20"/>
              </w:rPr>
            </w:pPr>
            <w:r>
              <w:rPr>
                <w:spacing w:val="-5"/>
                <w:sz w:val="20"/>
              </w:rPr>
              <w:t>293</w:t>
            </w:r>
          </w:p>
        </w:tc>
        <w:tc>
          <w:tcPr>
            <w:tcW w:w="6924" w:type="dxa"/>
          </w:tcPr>
          <w:p>
            <w:pPr>
              <w:pStyle w:val="TableParagraph"/>
              <w:jc w:val="left"/>
              <w:rPr>
                <w:sz w:val="20"/>
              </w:rPr>
            </w:pPr>
            <w:r>
              <w:rPr>
                <w:sz w:val="20"/>
              </w:rPr>
              <w:t>Disgeusia</w:t>
            </w:r>
            <w:r>
              <w:rPr>
                <w:spacing w:val="-8"/>
                <w:sz w:val="20"/>
              </w:rPr>
              <w:t> </w:t>
            </w:r>
            <w:r>
              <w:rPr>
                <w:sz w:val="20"/>
              </w:rPr>
              <w:t>o</w:t>
            </w:r>
            <w:r>
              <w:rPr>
                <w:spacing w:val="-5"/>
                <w:sz w:val="20"/>
              </w:rPr>
              <w:t> </w:t>
            </w:r>
            <w:r>
              <w:rPr>
                <w:spacing w:val="-2"/>
                <w:sz w:val="20"/>
              </w:rPr>
              <w:t>ageusia.</w:t>
            </w:r>
          </w:p>
        </w:tc>
        <w:tc>
          <w:tcPr>
            <w:tcW w:w="1561" w:type="dxa"/>
          </w:tcPr>
          <w:p>
            <w:pPr>
              <w:pStyle w:val="TableParagraph"/>
              <w:ind w:left="11" w:right="6"/>
              <w:rPr>
                <w:sz w:val="20"/>
              </w:rPr>
            </w:pPr>
            <w:r>
              <w:rPr>
                <w:spacing w:val="-5"/>
                <w:sz w:val="20"/>
              </w:rPr>
              <w:t>10%</w:t>
            </w:r>
          </w:p>
        </w:tc>
      </w:tr>
      <w:tr>
        <w:trPr>
          <w:trHeight w:val="232" w:hRule="atLeast"/>
        </w:trPr>
        <w:tc>
          <w:tcPr>
            <w:tcW w:w="1066" w:type="dxa"/>
          </w:tcPr>
          <w:p>
            <w:pPr>
              <w:pStyle w:val="TableParagraph"/>
              <w:spacing w:before="1"/>
              <w:ind w:left="9"/>
              <w:rPr>
                <w:sz w:val="20"/>
              </w:rPr>
            </w:pPr>
            <w:r>
              <w:rPr>
                <w:spacing w:val="-5"/>
                <w:sz w:val="20"/>
              </w:rPr>
              <w:t>294</w:t>
            </w:r>
          </w:p>
        </w:tc>
        <w:tc>
          <w:tcPr>
            <w:tcW w:w="6924" w:type="dxa"/>
          </w:tcPr>
          <w:p>
            <w:pPr>
              <w:pStyle w:val="TableParagraph"/>
              <w:spacing w:before="1"/>
              <w:jc w:val="left"/>
              <w:rPr>
                <w:sz w:val="20"/>
              </w:rPr>
            </w:pPr>
            <w:r>
              <w:rPr>
                <w:sz w:val="20"/>
              </w:rPr>
              <w:t>Por</w:t>
            </w:r>
            <w:r>
              <w:rPr>
                <w:spacing w:val="-6"/>
                <w:sz w:val="20"/>
              </w:rPr>
              <w:t> </w:t>
            </w:r>
            <w:r>
              <w:rPr>
                <w:sz w:val="20"/>
              </w:rPr>
              <w:t>lesión</w:t>
            </w:r>
            <w:r>
              <w:rPr>
                <w:spacing w:val="-5"/>
                <w:sz w:val="20"/>
              </w:rPr>
              <w:t> </w:t>
            </w:r>
            <w:r>
              <w:rPr>
                <w:sz w:val="20"/>
              </w:rPr>
              <w:t>del</w:t>
            </w:r>
            <w:r>
              <w:rPr>
                <w:spacing w:val="-7"/>
                <w:sz w:val="20"/>
              </w:rPr>
              <w:t> </w:t>
            </w:r>
            <w:r>
              <w:rPr>
                <w:sz w:val="20"/>
              </w:rPr>
              <w:t>nervio</w:t>
            </w:r>
            <w:r>
              <w:rPr>
                <w:spacing w:val="-5"/>
                <w:sz w:val="20"/>
              </w:rPr>
              <w:t> </w:t>
            </w:r>
            <w:r>
              <w:rPr>
                <w:spacing w:val="-2"/>
                <w:sz w:val="20"/>
              </w:rPr>
              <w:t>trigémino.</w:t>
            </w:r>
          </w:p>
        </w:tc>
        <w:tc>
          <w:tcPr>
            <w:tcW w:w="1561" w:type="dxa"/>
          </w:tcPr>
          <w:p>
            <w:pPr>
              <w:pStyle w:val="TableParagraph"/>
              <w:spacing w:before="1"/>
              <w:ind w:left="11" w:right="9"/>
              <w:rPr>
                <w:sz w:val="20"/>
              </w:rPr>
            </w:pPr>
            <w:r>
              <w:rPr>
                <w:sz w:val="20"/>
              </w:rPr>
              <w:t>15</w:t>
            </w:r>
            <w:r>
              <w:rPr>
                <w:spacing w:val="-3"/>
                <w:sz w:val="20"/>
              </w:rPr>
              <w:t> </w:t>
            </w:r>
            <w:r>
              <w:rPr>
                <w:sz w:val="20"/>
              </w:rPr>
              <w:t>a</w:t>
            </w:r>
            <w:r>
              <w:rPr>
                <w:spacing w:val="-1"/>
                <w:sz w:val="20"/>
              </w:rPr>
              <w:t> </w:t>
            </w:r>
            <w:r>
              <w:rPr>
                <w:spacing w:val="-5"/>
                <w:sz w:val="20"/>
              </w:rPr>
              <w:t>30%</w:t>
            </w:r>
          </w:p>
        </w:tc>
      </w:tr>
      <w:tr>
        <w:trPr>
          <w:trHeight w:val="229" w:hRule="atLeast"/>
        </w:trPr>
        <w:tc>
          <w:tcPr>
            <w:tcW w:w="1066" w:type="dxa"/>
          </w:tcPr>
          <w:p>
            <w:pPr>
              <w:pStyle w:val="TableParagraph"/>
              <w:ind w:left="9"/>
              <w:rPr>
                <w:sz w:val="20"/>
              </w:rPr>
            </w:pPr>
            <w:r>
              <w:rPr>
                <w:spacing w:val="-5"/>
                <w:sz w:val="20"/>
              </w:rPr>
              <w:t>295</w:t>
            </w:r>
          </w:p>
        </w:tc>
        <w:tc>
          <w:tcPr>
            <w:tcW w:w="6924" w:type="dxa"/>
          </w:tcPr>
          <w:p>
            <w:pPr>
              <w:pStyle w:val="TableParagraph"/>
              <w:jc w:val="left"/>
              <w:rPr>
                <w:sz w:val="20"/>
              </w:rPr>
            </w:pPr>
            <w:r>
              <w:rPr>
                <w:sz w:val="20"/>
              </w:rPr>
              <w:t>Por</w:t>
            </w:r>
            <w:r>
              <w:rPr>
                <w:spacing w:val="-6"/>
                <w:sz w:val="20"/>
              </w:rPr>
              <w:t> </w:t>
            </w:r>
            <w:r>
              <w:rPr>
                <w:sz w:val="20"/>
              </w:rPr>
              <w:t>lesión</w:t>
            </w:r>
            <w:r>
              <w:rPr>
                <w:spacing w:val="-5"/>
                <w:sz w:val="20"/>
              </w:rPr>
              <w:t> </w:t>
            </w:r>
            <w:r>
              <w:rPr>
                <w:sz w:val="20"/>
              </w:rPr>
              <w:t>del</w:t>
            </w:r>
            <w:r>
              <w:rPr>
                <w:spacing w:val="-7"/>
                <w:sz w:val="20"/>
              </w:rPr>
              <w:t> </w:t>
            </w:r>
            <w:r>
              <w:rPr>
                <w:sz w:val="20"/>
              </w:rPr>
              <w:t>nervio</w:t>
            </w:r>
            <w:r>
              <w:rPr>
                <w:spacing w:val="-5"/>
                <w:sz w:val="20"/>
              </w:rPr>
              <w:t> </w:t>
            </w:r>
            <w:r>
              <w:rPr>
                <w:spacing w:val="-2"/>
                <w:sz w:val="20"/>
              </w:rPr>
              <w:t>facial.</w:t>
            </w:r>
          </w:p>
        </w:tc>
        <w:tc>
          <w:tcPr>
            <w:tcW w:w="1561" w:type="dxa"/>
          </w:tcPr>
          <w:p>
            <w:pPr>
              <w:pStyle w:val="TableParagraph"/>
              <w:ind w:left="11" w:right="9"/>
              <w:rPr>
                <w:sz w:val="20"/>
              </w:rPr>
            </w:pPr>
            <w:r>
              <w:rPr>
                <w:sz w:val="20"/>
              </w:rPr>
              <w:t>15</w:t>
            </w:r>
            <w:r>
              <w:rPr>
                <w:spacing w:val="-3"/>
                <w:sz w:val="20"/>
              </w:rPr>
              <w:t> </w:t>
            </w:r>
            <w:r>
              <w:rPr>
                <w:sz w:val="20"/>
              </w:rPr>
              <w:t>a</w:t>
            </w:r>
            <w:r>
              <w:rPr>
                <w:spacing w:val="-1"/>
                <w:sz w:val="20"/>
              </w:rPr>
              <w:t> </w:t>
            </w:r>
            <w:r>
              <w:rPr>
                <w:spacing w:val="-5"/>
                <w:sz w:val="20"/>
              </w:rPr>
              <w:t>30%</w:t>
            </w:r>
          </w:p>
        </w:tc>
      </w:tr>
      <w:tr>
        <w:trPr>
          <w:trHeight w:val="458" w:hRule="atLeast"/>
        </w:trPr>
        <w:tc>
          <w:tcPr>
            <w:tcW w:w="1066" w:type="dxa"/>
          </w:tcPr>
          <w:p>
            <w:pPr>
              <w:pStyle w:val="TableParagraph"/>
              <w:spacing w:line="240" w:lineRule="auto" w:before="115"/>
              <w:ind w:left="9"/>
              <w:rPr>
                <w:sz w:val="20"/>
              </w:rPr>
            </w:pPr>
            <w:r>
              <w:rPr>
                <w:spacing w:val="-5"/>
                <w:sz w:val="20"/>
              </w:rPr>
              <w:t>296</w:t>
            </w:r>
          </w:p>
        </w:tc>
        <w:tc>
          <w:tcPr>
            <w:tcW w:w="6924" w:type="dxa"/>
          </w:tcPr>
          <w:p>
            <w:pPr>
              <w:pStyle w:val="TableParagraph"/>
              <w:spacing w:line="228" w:lineRule="exact"/>
              <w:jc w:val="left"/>
              <w:rPr>
                <w:sz w:val="20"/>
              </w:rPr>
            </w:pPr>
            <w:r>
              <w:rPr>
                <w:sz w:val="20"/>
              </w:rPr>
              <w:t>Por</w:t>
            </w:r>
            <w:r>
              <w:rPr>
                <w:spacing w:val="80"/>
                <w:sz w:val="20"/>
              </w:rPr>
              <w:t> </w:t>
            </w:r>
            <w:r>
              <w:rPr>
                <w:sz w:val="20"/>
              </w:rPr>
              <w:t>lesión</w:t>
            </w:r>
            <w:r>
              <w:rPr>
                <w:spacing w:val="80"/>
                <w:sz w:val="20"/>
              </w:rPr>
              <w:t> </w:t>
            </w:r>
            <w:r>
              <w:rPr>
                <w:sz w:val="20"/>
              </w:rPr>
              <w:t>del</w:t>
            </w:r>
            <w:r>
              <w:rPr>
                <w:spacing w:val="80"/>
                <w:sz w:val="20"/>
              </w:rPr>
              <w:t> </w:t>
            </w:r>
            <w:r>
              <w:rPr>
                <w:sz w:val="20"/>
              </w:rPr>
              <w:t>neumogástrico</w:t>
            </w:r>
            <w:r>
              <w:rPr>
                <w:spacing w:val="80"/>
                <w:sz w:val="20"/>
              </w:rPr>
              <w:t> </w:t>
            </w:r>
            <w:r>
              <w:rPr>
                <w:sz w:val="20"/>
              </w:rPr>
              <w:t>o</w:t>
            </w:r>
            <w:r>
              <w:rPr>
                <w:spacing w:val="80"/>
                <w:sz w:val="20"/>
              </w:rPr>
              <w:t> </w:t>
            </w:r>
            <w:r>
              <w:rPr>
                <w:sz w:val="20"/>
              </w:rPr>
              <w:t>vago</w:t>
            </w:r>
            <w:r>
              <w:rPr>
                <w:spacing w:val="80"/>
                <w:sz w:val="20"/>
              </w:rPr>
              <w:t> </w:t>
            </w:r>
            <w:r>
              <w:rPr>
                <w:sz w:val="20"/>
              </w:rPr>
              <w:t>(según</w:t>
            </w:r>
            <w:r>
              <w:rPr>
                <w:spacing w:val="80"/>
                <w:sz w:val="20"/>
              </w:rPr>
              <w:t> </w:t>
            </w:r>
            <w:r>
              <w:rPr>
                <w:sz w:val="20"/>
              </w:rPr>
              <w:t>el</w:t>
            </w:r>
            <w:r>
              <w:rPr>
                <w:spacing w:val="80"/>
                <w:sz w:val="20"/>
              </w:rPr>
              <w:t> </w:t>
            </w:r>
            <w:r>
              <w:rPr>
                <w:sz w:val="20"/>
              </w:rPr>
              <w:t>grado</w:t>
            </w:r>
            <w:r>
              <w:rPr>
                <w:spacing w:val="80"/>
                <w:sz w:val="20"/>
              </w:rPr>
              <w:t> </w:t>
            </w:r>
            <w:r>
              <w:rPr>
                <w:sz w:val="20"/>
              </w:rPr>
              <w:t>de</w:t>
            </w:r>
            <w:r>
              <w:rPr>
                <w:spacing w:val="80"/>
                <w:sz w:val="20"/>
              </w:rPr>
              <w:t> </w:t>
            </w:r>
            <w:r>
              <w:rPr>
                <w:sz w:val="20"/>
              </w:rPr>
              <w:t>trastornos funcionales comprobados).</w:t>
            </w:r>
          </w:p>
        </w:tc>
        <w:tc>
          <w:tcPr>
            <w:tcW w:w="1561" w:type="dxa"/>
          </w:tcPr>
          <w:p>
            <w:pPr>
              <w:pStyle w:val="TableParagraph"/>
              <w:spacing w:line="240" w:lineRule="auto" w:before="115"/>
              <w:ind w:left="11" w:right="9"/>
              <w:rPr>
                <w:sz w:val="20"/>
              </w:rPr>
            </w:pPr>
            <w:r>
              <w:rPr>
                <w:sz w:val="20"/>
              </w:rPr>
              <w:t>10</w:t>
            </w:r>
            <w:r>
              <w:rPr>
                <w:spacing w:val="-3"/>
                <w:sz w:val="20"/>
              </w:rPr>
              <w:t> </w:t>
            </w:r>
            <w:r>
              <w:rPr>
                <w:sz w:val="20"/>
              </w:rPr>
              <w:t>a</w:t>
            </w:r>
            <w:r>
              <w:rPr>
                <w:spacing w:val="-1"/>
                <w:sz w:val="20"/>
              </w:rPr>
              <w:t> </w:t>
            </w:r>
            <w:r>
              <w:rPr>
                <w:spacing w:val="-5"/>
                <w:sz w:val="20"/>
              </w:rPr>
              <w:t>50%</w:t>
            </w:r>
          </w:p>
        </w:tc>
      </w:tr>
      <w:tr>
        <w:trPr>
          <w:trHeight w:val="232" w:hRule="atLeast"/>
        </w:trPr>
        <w:tc>
          <w:tcPr>
            <w:tcW w:w="1066" w:type="dxa"/>
          </w:tcPr>
          <w:p>
            <w:pPr>
              <w:pStyle w:val="TableParagraph"/>
              <w:spacing w:before="1"/>
              <w:ind w:left="9"/>
              <w:rPr>
                <w:sz w:val="20"/>
              </w:rPr>
            </w:pPr>
            <w:r>
              <w:rPr>
                <w:spacing w:val="-5"/>
                <w:sz w:val="20"/>
              </w:rPr>
              <w:t>297</w:t>
            </w:r>
          </w:p>
        </w:tc>
        <w:tc>
          <w:tcPr>
            <w:tcW w:w="6924" w:type="dxa"/>
          </w:tcPr>
          <w:p>
            <w:pPr>
              <w:pStyle w:val="TableParagraph"/>
              <w:spacing w:before="1"/>
              <w:jc w:val="left"/>
              <w:rPr>
                <w:sz w:val="20"/>
              </w:rPr>
            </w:pPr>
            <w:r>
              <w:rPr>
                <w:sz w:val="20"/>
              </w:rPr>
              <w:t>Por</w:t>
            </w:r>
            <w:r>
              <w:rPr>
                <w:spacing w:val="-6"/>
                <w:sz w:val="20"/>
              </w:rPr>
              <w:t> </w:t>
            </w:r>
            <w:r>
              <w:rPr>
                <w:sz w:val="20"/>
              </w:rPr>
              <w:t>lesión</w:t>
            </w:r>
            <w:r>
              <w:rPr>
                <w:spacing w:val="-5"/>
                <w:sz w:val="20"/>
              </w:rPr>
              <w:t> </w:t>
            </w:r>
            <w:r>
              <w:rPr>
                <w:sz w:val="20"/>
              </w:rPr>
              <w:t>del</w:t>
            </w:r>
            <w:r>
              <w:rPr>
                <w:spacing w:val="-6"/>
                <w:sz w:val="20"/>
              </w:rPr>
              <w:t> </w:t>
            </w:r>
            <w:r>
              <w:rPr>
                <w:sz w:val="20"/>
              </w:rPr>
              <w:t>nervio</w:t>
            </w:r>
            <w:r>
              <w:rPr>
                <w:spacing w:val="-4"/>
                <w:sz w:val="20"/>
              </w:rPr>
              <w:t> </w:t>
            </w:r>
            <w:r>
              <w:rPr>
                <w:spacing w:val="-2"/>
                <w:sz w:val="20"/>
              </w:rPr>
              <w:t>espinal.</w:t>
            </w:r>
          </w:p>
        </w:tc>
        <w:tc>
          <w:tcPr>
            <w:tcW w:w="1561" w:type="dxa"/>
          </w:tcPr>
          <w:p>
            <w:pPr>
              <w:pStyle w:val="TableParagraph"/>
              <w:spacing w:before="1"/>
              <w:ind w:left="11" w:right="9"/>
              <w:rPr>
                <w:sz w:val="20"/>
              </w:rPr>
            </w:pPr>
            <w:r>
              <w:rPr>
                <w:sz w:val="20"/>
              </w:rPr>
              <w:t>10</w:t>
            </w:r>
            <w:r>
              <w:rPr>
                <w:spacing w:val="-3"/>
                <w:sz w:val="20"/>
              </w:rPr>
              <w:t> </w:t>
            </w:r>
            <w:r>
              <w:rPr>
                <w:sz w:val="20"/>
              </w:rPr>
              <w:t>a</w:t>
            </w:r>
            <w:r>
              <w:rPr>
                <w:spacing w:val="-1"/>
                <w:sz w:val="20"/>
              </w:rPr>
              <w:t> </w:t>
            </w:r>
            <w:r>
              <w:rPr>
                <w:spacing w:val="-5"/>
                <w:sz w:val="20"/>
              </w:rPr>
              <w:t>40%</w:t>
            </w:r>
          </w:p>
        </w:tc>
      </w:tr>
      <w:tr>
        <w:trPr>
          <w:trHeight w:val="229" w:hRule="atLeast"/>
        </w:trPr>
        <w:tc>
          <w:tcPr>
            <w:tcW w:w="1066" w:type="dxa"/>
          </w:tcPr>
          <w:p>
            <w:pPr>
              <w:pStyle w:val="TableParagraph"/>
              <w:ind w:left="9"/>
              <w:rPr>
                <w:sz w:val="20"/>
              </w:rPr>
            </w:pPr>
            <w:r>
              <w:rPr>
                <w:spacing w:val="-5"/>
                <w:sz w:val="20"/>
              </w:rPr>
              <w:t>298</w:t>
            </w:r>
          </w:p>
        </w:tc>
        <w:tc>
          <w:tcPr>
            <w:tcW w:w="6924" w:type="dxa"/>
          </w:tcPr>
          <w:p>
            <w:pPr>
              <w:pStyle w:val="TableParagraph"/>
              <w:jc w:val="left"/>
              <w:rPr>
                <w:sz w:val="20"/>
              </w:rPr>
            </w:pPr>
            <w:r>
              <w:rPr>
                <w:sz w:val="20"/>
              </w:rPr>
              <w:t>Por</w:t>
            </w:r>
            <w:r>
              <w:rPr>
                <w:spacing w:val="-7"/>
                <w:sz w:val="20"/>
              </w:rPr>
              <w:t> </w:t>
            </w:r>
            <w:r>
              <w:rPr>
                <w:sz w:val="20"/>
              </w:rPr>
              <w:t>lesión</w:t>
            </w:r>
            <w:r>
              <w:rPr>
                <w:spacing w:val="-6"/>
                <w:sz w:val="20"/>
              </w:rPr>
              <w:t> </w:t>
            </w:r>
            <w:r>
              <w:rPr>
                <w:sz w:val="20"/>
              </w:rPr>
              <w:t>del</w:t>
            </w:r>
            <w:r>
              <w:rPr>
                <w:spacing w:val="-7"/>
                <w:sz w:val="20"/>
              </w:rPr>
              <w:t> </w:t>
            </w:r>
            <w:r>
              <w:rPr>
                <w:sz w:val="20"/>
              </w:rPr>
              <w:t>nervio</w:t>
            </w:r>
            <w:r>
              <w:rPr>
                <w:spacing w:val="-5"/>
                <w:sz w:val="20"/>
              </w:rPr>
              <w:t> </w:t>
            </w:r>
            <w:r>
              <w:rPr>
                <w:sz w:val="20"/>
              </w:rPr>
              <w:t>hipogloso,</w:t>
            </w:r>
            <w:r>
              <w:rPr>
                <w:spacing w:val="-6"/>
                <w:sz w:val="20"/>
              </w:rPr>
              <w:t> </w:t>
            </w:r>
            <w:r>
              <w:rPr>
                <w:sz w:val="20"/>
              </w:rPr>
              <w:t>cuando</w:t>
            </w:r>
            <w:r>
              <w:rPr>
                <w:spacing w:val="-5"/>
                <w:sz w:val="20"/>
              </w:rPr>
              <w:t> </w:t>
            </w:r>
            <w:r>
              <w:rPr>
                <w:sz w:val="20"/>
              </w:rPr>
              <w:t>es</w:t>
            </w:r>
            <w:r>
              <w:rPr>
                <w:spacing w:val="-6"/>
                <w:sz w:val="20"/>
              </w:rPr>
              <w:t> </w:t>
            </w:r>
            <w:r>
              <w:rPr>
                <w:spacing w:val="-2"/>
                <w:sz w:val="20"/>
              </w:rPr>
              <w:t>unilateral.</w:t>
            </w:r>
          </w:p>
        </w:tc>
        <w:tc>
          <w:tcPr>
            <w:tcW w:w="1561" w:type="dxa"/>
          </w:tcPr>
          <w:p>
            <w:pPr>
              <w:pStyle w:val="TableParagraph"/>
              <w:ind w:left="11" w:right="6"/>
              <w:rPr>
                <w:sz w:val="20"/>
              </w:rPr>
            </w:pPr>
            <w:r>
              <w:rPr>
                <w:spacing w:val="-5"/>
                <w:sz w:val="20"/>
              </w:rPr>
              <w:t>15%</w:t>
            </w:r>
          </w:p>
        </w:tc>
      </w:tr>
      <w:tr>
        <w:trPr>
          <w:trHeight w:val="229" w:hRule="atLeast"/>
        </w:trPr>
        <w:tc>
          <w:tcPr>
            <w:tcW w:w="1066" w:type="dxa"/>
          </w:tcPr>
          <w:p>
            <w:pPr>
              <w:pStyle w:val="TableParagraph"/>
              <w:ind w:left="9"/>
              <w:rPr>
                <w:sz w:val="20"/>
              </w:rPr>
            </w:pPr>
            <w:r>
              <w:rPr>
                <w:spacing w:val="-5"/>
                <w:sz w:val="20"/>
              </w:rPr>
              <w:t>299</w:t>
            </w:r>
          </w:p>
        </w:tc>
        <w:tc>
          <w:tcPr>
            <w:tcW w:w="6924" w:type="dxa"/>
          </w:tcPr>
          <w:p>
            <w:pPr>
              <w:pStyle w:val="TableParagraph"/>
              <w:jc w:val="left"/>
              <w:rPr>
                <w:sz w:val="20"/>
              </w:rPr>
            </w:pPr>
            <w:r>
              <w:rPr>
                <w:sz w:val="20"/>
              </w:rPr>
              <w:t>Por</w:t>
            </w:r>
            <w:r>
              <w:rPr>
                <w:spacing w:val="-7"/>
                <w:sz w:val="20"/>
              </w:rPr>
              <w:t> </w:t>
            </w:r>
            <w:r>
              <w:rPr>
                <w:sz w:val="20"/>
              </w:rPr>
              <w:t>lesión</w:t>
            </w:r>
            <w:r>
              <w:rPr>
                <w:spacing w:val="-6"/>
                <w:sz w:val="20"/>
              </w:rPr>
              <w:t> </w:t>
            </w:r>
            <w:r>
              <w:rPr>
                <w:sz w:val="20"/>
              </w:rPr>
              <w:t>del</w:t>
            </w:r>
            <w:r>
              <w:rPr>
                <w:spacing w:val="-8"/>
                <w:sz w:val="20"/>
              </w:rPr>
              <w:t> </w:t>
            </w:r>
            <w:r>
              <w:rPr>
                <w:sz w:val="20"/>
              </w:rPr>
              <w:t>nervio</w:t>
            </w:r>
            <w:r>
              <w:rPr>
                <w:spacing w:val="-5"/>
                <w:sz w:val="20"/>
              </w:rPr>
              <w:t> </w:t>
            </w:r>
            <w:r>
              <w:rPr>
                <w:sz w:val="20"/>
              </w:rPr>
              <w:t>hipogloso,</w:t>
            </w:r>
            <w:r>
              <w:rPr>
                <w:spacing w:val="-6"/>
                <w:sz w:val="20"/>
              </w:rPr>
              <w:t> </w:t>
            </w:r>
            <w:r>
              <w:rPr>
                <w:spacing w:val="-2"/>
                <w:sz w:val="20"/>
              </w:rPr>
              <w:t>bilateral.</w:t>
            </w:r>
          </w:p>
        </w:tc>
        <w:tc>
          <w:tcPr>
            <w:tcW w:w="1561" w:type="dxa"/>
          </w:tcPr>
          <w:p>
            <w:pPr>
              <w:pStyle w:val="TableParagraph"/>
              <w:ind w:left="11" w:right="6"/>
              <w:rPr>
                <w:sz w:val="20"/>
              </w:rPr>
            </w:pPr>
            <w:r>
              <w:rPr>
                <w:spacing w:val="-5"/>
                <w:sz w:val="20"/>
              </w:rPr>
              <w:t>60%</w:t>
            </w:r>
          </w:p>
        </w:tc>
      </w:tr>
      <w:tr>
        <w:trPr>
          <w:trHeight w:val="229" w:hRule="atLeast"/>
        </w:trPr>
        <w:tc>
          <w:tcPr>
            <w:tcW w:w="1066" w:type="dxa"/>
          </w:tcPr>
          <w:p>
            <w:pPr>
              <w:pStyle w:val="TableParagraph"/>
              <w:ind w:left="9"/>
              <w:rPr>
                <w:sz w:val="20"/>
              </w:rPr>
            </w:pPr>
            <w:r>
              <w:rPr>
                <w:spacing w:val="-5"/>
                <w:sz w:val="20"/>
              </w:rPr>
              <w:t>300</w:t>
            </w:r>
          </w:p>
        </w:tc>
        <w:tc>
          <w:tcPr>
            <w:tcW w:w="6924" w:type="dxa"/>
          </w:tcPr>
          <w:p>
            <w:pPr>
              <w:pStyle w:val="TableParagraph"/>
              <w:jc w:val="left"/>
              <w:rPr>
                <w:sz w:val="20"/>
              </w:rPr>
            </w:pPr>
            <w:r>
              <w:rPr>
                <w:spacing w:val="-2"/>
                <w:sz w:val="20"/>
              </w:rPr>
              <w:t>Monoplejia</w:t>
            </w:r>
            <w:r>
              <w:rPr>
                <w:spacing w:val="3"/>
                <w:sz w:val="20"/>
              </w:rPr>
              <w:t> </w:t>
            </w:r>
            <w:r>
              <w:rPr>
                <w:spacing w:val="-2"/>
                <w:sz w:val="20"/>
              </w:rPr>
              <w:t>superior.</w:t>
            </w:r>
          </w:p>
        </w:tc>
        <w:tc>
          <w:tcPr>
            <w:tcW w:w="1561" w:type="dxa"/>
          </w:tcPr>
          <w:p>
            <w:pPr>
              <w:pStyle w:val="TableParagraph"/>
              <w:ind w:left="11" w:right="6"/>
              <w:rPr>
                <w:sz w:val="20"/>
              </w:rPr>
            </w:pPr>
            <w:r>
              <w:rPr>
                <w:spacing w:val="-5"/>
                <w:sz w:val="20"/>
              </w:rPr>
              <w:t>70%</w:t>
            </w:r>
          </w:p>
        </w:tc>
      </w:tr>
      <w:tr>
        <w:trPr>
          <w:trHeight w:val="229" w:hRule="atLeast"/>
        </w:trPr>
        <w:tc>
          <w:tcPr>
            <w:tcW w:w="1066" w:type="dxa"/>
          </w:tcPr>
          <w:p>
            <w:pPr>
              <w:pStyle w:val="TableParagraph"/>
              <w:ind w:left="9"/>
              <w:rPr>
                <w:sz w:val="20"/>
              </w:rPr>
            </w:pPr>
            <w:r>
              <w:rPr>
                <w:spacing w:val="-5"/>
                <w:sz w:val="20"/>
              </w:rPr>
              <w:t>301</w:t>
            </w:r>
          </w:p>
        </w:tc>
        <w:tc>
          <w:tcPr>
            <w:tcW w:w="6924" w:type="dxa"/>
          </w:tcPr>
          <w:p>
            <w:pPr>
              <w:pStyle w:val="TableParagraph"/>
              <w:jc w:val="left"/>
              <w:rPr>
                <w:sz w:val="20"/>
              </w:rPr>
            </w:pPr>
            <w:r>
              <w:rPr>
                <w:spacing w:val="-2"/>
                <w:sz w:val="20"/>
              </w:rPr>
              <w:t>Monoparesia</w:t>
            </w:r>
            <w:r>
              <w:rPr>
                <w:spacing w:val="6"/>
                <w:sz w:val="20"/>
              </w:rPr>
              <w:t> </w:t>
            </w:r>
            <w:r>
              <w:rPr>
                <w:spacing w:val="-2"/>
                <w:sz w:val="20"/>
              </w:rPr>
              <w:t>superior.</w:t>
            </w:r>
          </w:p>
        </w:tc>
        <w:tc>
          <w:tcPr>
            <w:tcW w:w="1561" w:type="dxa"/>
          </w:tcPr>
          <w:p>
            <w:pPr>
              <w:pStyle w:val="TableParagraph"/>
              <w:ind w:left="11" w:right="9"/>
              <w:rPr>
                <w:sz w:val="20"/>
              </w:rPr>
            </w:pPr>
            <w:r>
              <w:rPr>
                <w:sz w:val="20"/>
              </w:rPr>
              <w:t>20</w:t>
            </w:r>
            <w:r>
              <w:rPr>
                <w:spacing w:val="-3"/>
                <w:sz w:val="20"/>
              </w:rPr>
              <w:t> </w:t>
            </w:r>
            <w:r>
              <w:rPr>
                <w:sz w:val="20"/>
              </w:rPr>
              <w:t>a</w:t>
            </w:r>
            <w:r>
              <w:rPr>
                <w:spacing w:val="-1"/>
                <w:sz w:val="20"/>
              </w:rPr>
              <w:t> </w:t>
            </w:r>
            <w:r>
              <w:rPr>
                <w:spacing w:val="-5"/>
                <w:sz w:val="20"/>
              </w:rPr>
              <w:t>40%</w:t>
            </w:r>
          </w:p>
        </w:tc>
      </w:tr>
      <w:tr>
        <w:trPr>
          <w:trHeight w:val="229" w:hRule="atLeast"/>
        </w:trPr>
        <w:tc>
          <w:tcPr>
            <w:tcW w:w="1066" w:type="dxa"/>
          </w:tcPr>
          <w:p>
            <w:pPr>
              <w:pStyle w:val="TableParagraph"/>
              <w:ind w:left="9"/>
              <w:rPr>
                <w:sz w:val="20"/>
              </w:rPr>
            </w:pPr>
            <w:r>
              <w:rPr>
                <w:spacing w:val="-5"/>
                <w:sz w:val="20"/>
              </w:rPr>
              <w:t>302</w:t>
            </w:r>
          </w:p>
        </w:tc>
        <w:tc>
          <w:tcPr>
            <w:tcW w:w="6924" w:type="dxa"/>
          </w:tcPr>
          <w:p>
            <w:pPr>
              <w:pStyle w:val="TableParagraph"/>
              <w:jc w:val="left"/>
              <w:rPr>
                <w:sz w:val="20"/>
              </w:rPr>
            </w:pPr>
            <w:r>
              <w:rPr>
                <w:sz w:val="20"/>
              </w:rPr>
              <w:t>Monoplejia</w:t>
            </w:r>
            <w:r>
              <w:rPr>
                <w:spacing w:val="-10"/>
                <w:sz w:val="20"/>
              </w:rPr>
              <w:t> </w:t>
            </w:r>
            <w:r>
              <w:rPr>
                <w:sz w:val="20"/>
              </w:rPr>
              <w:t>inferior,</w:t>
            </w:r>
            <w:r>
              <w:rPr>
                <w:spacing w:val="-11"/>
                <w:sz w:val="20"/>
              </w:rPr>
              <w:t> </w:t>
            </w:r>
            <w:r>
              <w:rPr>
                <w:sz w:val="20"/>
              </w:rPr>
              <w:t>marcha</w:t>
            </w:r>
            <w:r>
              <w:rPr>
                <w:spacing w:val="-13"/>
                <w:sz w:val="20"/>
              </w:rPr>
              <w:t> </w:t>
            </w:r>
            <w:r>
              <w:rPr>
                <w:spacing w:val="-2"/>
                <w:sz w:val="20"/>
              </w:rPr>
              <w:t>espasmódica.</w:t>
            </w:r>
          </w:p>
        </w:tc>
        <w:tc>
          <w:tcPr>
            <w:tcW w:w="1561" w:type="dxa"/>
          </w:tcPr>
          <w:p>
            <w:pPr>
              <w:pStyle w:val="TableParagraph"/>
              <w:ind w:left="11" w:right="9"/>
              <w:rPr>
                <w:sz w:val="20"/>
              </w:rPr>
            </w:pPr>
            <w:r>
              <w:rPr>
                <w:sz w:val="20"/>
              </w:rPr>
              <w:t>40</w:t>
            </w:r>
            <w:r>
              <w:rPr>
                <w:spacing w:val="-3"/>
                <w:sz w:val="20"/>
              </w:rPr>
              <w:t> </w:t>
            </w:r>
            <w:r>
              <w:rPr>
                <w:sz w:val="20"/>
              </w:rPr>
              <w:t>a</w:t>
            </w:r>
            <w:r>
              <w:rPr>
                <w:spacing w:val="-1"/>
                <w:sz w:val="20"/>
              </w:rPr>
              <w:t> </w:t>
            </w:r>
            <w:r>
              <w:rPr>
                <w:spacing w:val="-5"/>
                <w:sz w:val="20"/>
              </w:rPr>
              <w:t>70%</w:t>
            </w:r>
          </w:p>
        </w:tc>
      </w:tr>
      <w:tr>
        <w:trPr>
          <w:trHeight w:val="229" w:hRule="atLeast"/>
        </w:trPr>
        <w:tc>
          <w:tcPr>
            <w:tcW w:w="1066" w:type="dxa"/>
          </w:tcPr>
          <w:p>
            <w:pPr>
              <w:pStyle w:val="TableParagraph"/>
              <w:ind w:left="9"/>
              <w:rPr>
                <w:sz w:val="20"/>
              </w:rPr>
            </w:pPr>
            <w:r>
              <w:rPr>
                <w:spacing w:val="-5"/>
                <w:sz w:val="20"/>
              </w:rPr>
              <w:t>303</w:t>
            </w:r>
          </w:p>
        </w:tc>
        <w:tc>
          <w:tcPr>
            <w:tcW w:w="6924" w:type="dxa"/>
          </w:tcPr>
          <w:p>
            <w:pPr>
              <w:pStyle w:val="TableParagraph"/>
              <w:jc w:val="left"/>
              <w:rPr>
                <w:sz w:val="20"/>
              </w:rPr>
            </w:pPr>
            <w:r>
              <w:rPr>
                <w:sz w:val="20"/>
              </w:rPr>
              <w:t>Monoparesia</w:t>
            </w:r>
            <w:r>
              <w:rPr>
                <w:spacing w:val="-12"/>
                <w:sz w:val="20"/>
              </w:rPr>
              <w:t> </w:t>
            </w:r>
            <w:r>
              <w:rPr>
                <w:sz w:val="20"/>
              </w:rPr>
              <w:t>inferior,</w:t>
            </w:r>
            <w:r>
              <w:rPr>
                <w:spacing w:val="-11"/>
                <w:sz w:val="20"/>
              </w:rPr>
              <w:t> </w:t>
            </w:r>
            <w:r>
              <w:rPr>
                <w:sz w:val="20"/>
              </w:rPr>
              <w:t>marcha</w:t>
            </w:r>
            <w:r>
              <w:rPr>
                <w:spacing w:val="-11"/>
                <w:sz w:val="20"/>
              </w:rPr>
              <w:t> </w:t>
            </w:r>
            <w:r>
              <w:rPr>
                <w:spacing w:val="-2"/>
                <w:sz w:val="20"/>
              </w:rPr>
              <w:t>posible.</w:t>
            </w:r>
          </w:p>
        </w:tc>
        <w:tc>
          <w:tcPr>
            <w:tcW w:w="1561" w:type="dxa"/>
          </w:tcPr>
          <w:p>
            <w:pPr>
              <w:pStyle w:val="TableParagraph"/>
              <w:ind w:left="11" w:right="9"/>
              <w:rPr>
                <w:sz w:val="20"/>
              </w:rPr>
            </w:pPr>
            <w:r>
              <w:rPr>
                <w:sz w:val="20"/>
              </w:rPr>
              <w:t>20</w:t>
            </w:r>
            <w:r>
              <w:rPr>
                <w:spacing w:val="-3"/>
                <w:sz w:val="20"/>
              </w:rPr>
              <w:t> </w:t>
            </w:r>
            <w:r>
              <w:rPr>
                <w:sz w:val="20"/>
              </w:rPr>
              <w:t>a</w:t>
            </w:r>
            <w:r>
              <w:rPr>
                <w:spacing w:val="-1"/>
                <w:sz w:val="20"/>
              </w:rPr>
              <w:t> </w:t>
            </w:r>
            <w:r>
              <w:rPr>
                <w:spacing w:val="-5"/>
                <w:sz w:val="20"/>
              </w:rPr>
              <w:t>40%</w:t>
            </w:r>
          </w:p>
        </w:tc>
      </w:tr>
      <w:tr>
        <w:trPr>
          <w:trHeight w:val="229" w:hRule="atLeast"/>
        </w:trPr>
        <w:tc>
          <w:tcPr>
            <w:tcW w:w="1066" w:type="dxa"/>
          </w:tcPr>
          <w:p>
            <w:pPr>
              <w:pStyle w:val="TableParagraph"/>
              <w:ind w:left="9"/>
              <w:rPr>
                <w:sz w:val="20"/>
              </w:rPr>
            </w:pPr>
            <w:r>
              <w:rPr>
                <w:spacing w:val="-5"/>
                <w:sz w:val="20"/>
              </w:rPr>
              <w:t>304</w:t>
            </w:r>
          </w:p>
        </w:tc>
        <w:tc>
          <w:tcPr>
            <w:tcW w:w="6924" w:type="dxa"/>
          </w:tcPr>
          <w:p>
            <w:pPr>
              <w:pStyle w:val="TableParagraph"/>
              <w:jc w:val="left"/>
              <w:rPr>
                <w:sz w:val="20"/>
              </w:rPr>
            </w:pPr>
            <w:r>
              <w:rPr>
                <w:spacing w:val="-2"/>
                <w:sz w:val="20"/>
              </w:rPr>
              <w:t>Paraplejia.</w:t>
            </w:r>
          </w:p>
        </w:tc>
        <w:tc>
          <w:tcPr>
            <w:tcW w:w="1561" w:type="dxa"/>
          </w:tcPr>
          <w:p>
            <w:pPr>
              <w:pStyle w:val="TableParagraph"/>
              <w:ind w:left="11" w:right="6"/>
              <w:rPr>
                <w:sz w:val="20"/>
              </w:rPr>
            </w:pPr>
            <w:r>
              <w:rPr>
                <w:spacing w:val="-4"/>
                <w:sz w:val="20"/>
              </w:rPr>
              <w:t>100%</w:t>
            </w:r>
          </w:p>
        </w:tc>
      </w:tr>
      <w:tr>
        <w:trPr>
          <w:trHeight w:val="229" w:hRule="atLeast"/>
        </w:trPr>
        <w:tc>
          <w:tcPr>
            <w:tcW w:w="1066" w:type="dxa"/>
          </w:tcPr>
          <w:p>
            <w:pPr>
              <w:pStyle w:val="TableParagraph"/>
              <w:ind w:left="9"/>
              <w:rPr>
                <w:sz w:val="20"/>
              </w:rPr>
            </w:pPr>
            <w:r>
              <w:rPr>
                <w:spacing w:val="-5"/>
                <w:sz w:val="20"/>
              </w:rPr>
              <w:t>305</w:t>
            </w:r>
          </w:p>
        </w:tc>
        <w:tc>
          <w:tcPr>
            <w:tcW w:w="6924" w:type="dxa"/>
          </w:tcPr>
          <w:p>
            <w:pPr>
              <w:pStyle w:val="TableParagraph"/>
              <w:jc w:val="left"/>
              <w:rPr>
                <w:sz w:val="20"/>
              </w:rPr>
            </w:pPr>
            <w:r>
              <w:rPr>
                <w:sz w:val="20"/>
              </w:rPr>
              <w:t>Paraparesia,</w:t>
            </w:r>
            <w:r>
              <w:rPr>
                <w:spacing w:val="-12"/>
                <w:sz w:val="20"/>
              </w:rPr>
              <w:t> </w:t>
            </w:r>
            <w:r>
              <w:rPr>
                <w:sz w:val="20"/>
              </w:rPr>
              <w:t>marcha</w:t>
            </w:r>
            <w:r>
              <w:rPr>
                <w:spacing w:val="-10"/>
                <w:sz w:val="20"/>
              </w:rPr>
              <w:t> </w:t>
            </w:r>
            <w:r>
              <w:rPr>
                <w:spacing w:val="-2"/>
                <w:sz w:val="20"/>
              </w:rPr>
              <w:t>posible.</w:t>
            </w:r>
          </w:p>
        </w:tc>
        <w:tc>
          <w:tcPr>
            <w:tcW w:w="1561" w:type="dxa"/>
          </w:tcPr>
          <w:p>
            <w:pPr>
              <w:pStyle w:val="TableParagraph"/>
              <w:ind w:left="11" w:right="9"/>
              <w:rPr>
                <w:sz w:val="20"/>
              </w:rPr>
            </w:pPr>
            <w:r>
              <w:rPr>
                <w:sz w:val="20"/>
              </w:rPr>
              <w:t>50</w:t>
            </w:r>
            <w:r>
              <w:rPr>
                <w:spacing w:val="-3"/>
                <w:sz w:val="20"/>
              </w:rPr>
              <w:t> </w:t>
            </w:r>
            <w:r>
              <w:rPr>
                <w:sz w:val="20"/>
              </w:rPr>
              <w:t>a</w:t>
            </w:r>
            <w:r>
              <w:rPr>
                <w:spacing w:val="-1"/>
                <w:sz w:val="20"/>
              </w:rPr>
              <w:t> </w:t>
            </w:r>
            <w:r>
              <w:rPr>
                <w:spacing w:val="-5"/>
                <w:sz w:val="20"/>
              </w:rPr>
              <w:t>70%</w:t>
            </w:r>
          </w:p>
        </w:tc>
      </w:tr>
      <w:tr>
        <w:trPr>
          <w:trHeight w:val="229" w:hRule="atLeast"/>
        </w:trPr>
        <w:tc>
          <w:tcPr>
            <w:tcW w:w="1066" w:type="dxa"/>
          </w:tcPr>
          <w:p>
            <w:pPr>
              <w:pStyle w:val="TableParagraph"/>
              <w:ind w:left="9"/>
              <w:rPr>
                <w:sz w:val="20"/>
              </w:rPr>
            </w:pPr>
            <w:r>
              <w:rPr>
                <w:spacing w:val="-5"/>
                <w:sz w:val="20"/>
              </w:rPr>
              <w:t>306</w:t>
            </w:r>
          </w:p>
        </w:tc>
        <w:tc>
          <w:tcPr>
            <w:tcW w:w="6924" w:type="dxa"/>
          </w:tcPr>
          <w:p>
            <w:pPr>
              <w:pStyle w:val="TableParagraph"/>
              <w:jc w:val="left"/>
              <w:rPr>
                <w:sz w:val="20"/>
              </w:rPr>
            </w:pPr>
            <w:r>
              <w:rPr>
                <w:sz w:val="20"/>
              </w:rPr>
              <w:t>Paraparesia,</w:t>
            </w:r>
            <w:r>
              <w:rPr>
                <w:spacing w:val="-13"/>
                <w:sz w:val="20"/>
              </w:rPr>
              <w:t> </w:t>
            </w:r>
            <w:r>
              <w:rPr>
                <w:sz w:val="20"/>
              </w:rPr>
              <w:t>marcha</w:t>
            </w:r>
            <w:r>
              <w:rPr>
                <w:spacing w:val="-10"/>
                <w:sz w:val="20"/>
              </w:rPr>
              <w:t> </w:t>
            </w:r>
            <w:r>
              <w:rPr>
                <w:spacing w:val="-2"/>
                <w:sz w:val="20"/>
              </w:rPr>
              <w:t>imposible.</w:t>
            </w:r>
          </w:p>
        </w:tc>
        <w:tc>
          <w:tcPr>
            <w:tcW w:w="1561" w:type="dxa"/>
          </w:tcPr>
          <w:p>
            <w:pPr>
              <w:pStyle w:val="TableParagraph"/>
              <w:ind w:left="11" w:right="9"/>
              <w:rPr>
                <w:sz w:val="20"/>
              </w:rPr>
            </w:pPr>
            <w:r>
              <w:rPr>
                <w:sz w:val="20"/>
              </w:rPr>
              <w:t>70</w:t>
            </w:r>
            <w:r>
              <w:rPr>
                <w:spacing w:val="-3"/>
                <w:sz w:val="20"/>
              </w:rPr>
              <w:t> </w:t>
            </w:r>
            <w:r>
              <w:rPr>
                <w:sz w:val="20"/>
              </w:rPr>
              <w:t>a</w:t>
            </w:r>
            <w:r>
              <w:rPr>
                <w:spacing w:val="-1"/>
                <w:sz w:val="20"/>
              </w:rPr>
              <w:t> </w:t>
            </w:r>
            <w:r>
              <w:rPr>
                <w:spacing w:val="-5"/>
                <w:sz w:val="20"/>
              </w:rPr>
              <w:t>90%</w:t>
            </w:r>
          </w:p>
        </w:tc>
      </w:tr>
      <w:tr>
        <w:trPr>
          <w:trHeight w:val="229" w:hRule="atLeast"/>
        </w:trPr>
        <w:tc>
          <w:tcPr>
            <w:tcW w:w="1066" w:type="dxa"/>
          </w:tcPr>
          <w:p>
            <w:pPr>
              <w:pStyle w:val="TableParagraph"/>
              <w:ind w:left="9"/>
              <w:rPr>
                <w:sz w:val="20"/>
              </w:rPr>
            </w:pPr>
            <w:r>
              <w:rPr>
                <w:spacing w:val="-5"/>
                <w:sz w:val="20"/>
              </w:rPr>
              <w:t>307</w:t>
            </w:r>
          </w:p>
        </w:tc>
        <w:tc>
          <w:tcPr>
            <w:tcW w:w="6924" w:type="dxa"/>
          </w:tcPr>
          <w:p>
            <w:pPr>
              <w:pStyle w:val="TableParagraph"/>
              <w:jc w:val="left"/>
              <w:rPr>
                <w:sz w:val="20"/>
              </w:rPr>
            </w:pPr>
            <w:r>
              <w:rPr>
                <w:spacing w:val="-2"/>
                <w:sz w:val="20"/>
              </w:rPr>
              <w:t>Hemiplejia.</w:t>
            </w:r>
          </w:p>
        </w:tc>
        <w:tc>
          <w:tcPr>
            <w:tcW w:w="1561" w:type="dxa"/>
          </w:tcPr>
          <w:p>
            <w:pPr>
              <w:pStyle w:val="TableParagraph"/>
              <w:ind w:left="11" w:right="9"/>
              <w:rPr>
                <w:sz w:val="20"/>
              </w:rPr>
            </w:pPr>
            <w:r>
              <w:rPr>
                <w:sz w:val="20"/>
              </w:rPr>
              <w:t>70</w:t>
            </w:r>
            <w:r>
              <w:rPr>
                <w:spacing w:val="-3"/>
                <w:sz w:val="20"/>
              </w:rPr>
              <w:t> </w:t>
            </w:r>
            <w:r>
              <w:rPr>
                <w:sz w:val="20"/>
              </w:rPr>
              <w:t>a</w:t>
            </w:r>
            <w:r>
              <w:rPr>
                <w:spacing w:val="-1"/>
                <w:sz w:val="20"/>
              </w:rPr>
              <w:t> </w:t>
            </w:r>
            <w:r>
              <w:rPr>
                <w:spacing w:val="-5"/>
                <w:sz w:val="20"/>
              </w:rPr>
              <w:t>90%</w:t>
            </w:r>
          </w:p>
        </w:tc>
      </w:tr>
      <w:tr>
        <w:trPr>
          <w:trHeight w:val="229" w:hRule="atLeast"/>
        </w:trPr>
        <w:tc>
          <w:tcPr>
            <w:tcW w:w="1066" w:type="dxa"/>
          </w:tcPr>
          <w:p>
            <w:pPr>
              <w:pStyle w:val="TableParagraph"/>
              <w:ind w:left="9"/>
              <w:rPr>
                <w:sz w:val="20"/>
              </w:rPr>
            </w:pPr>
            <w:r>
              <w:rPr>
                <w:spacing w:val="-5"/>
                <w:sz w:val="20"/>
              </w:rPr>
              <w:t>308</w:t>
            </w:r>
          </w:p>
        </w:tc>
        <w:tc>
          <w:tcPr>
            <w:tcW w:w="6924" w:type="dxa"/>
          </w:tcPr>
          <w:p>
            <w:pPr>
              <w:pStyle w:val="TableParagraph"/>
              <w:jc w:val="left"/>
              <w:rPr>
                <w:sz w:val="20"/>
              </w:rPr>
            </w:pPr>
            <w:r>
              <w:rPr>
                <w:spacing w:val="-2"/>
                <w:sz w:val="20"/>
              </w:rPr>
              <w:t>Hemiparesia.</w:t>
            </w:r>
          </w:p>
        </w:tc>
        <w:tc>
          <w:tcPr>
            <w:tcW w:w="1561" w:type="dxa"/>
          </w:tcPr>
          <w:p>
            <w:pPr>
              <w:pStyle w:val="TableParagraph"/>
              <w:ind w:left="11" w:right="9"/>
              <w:rPr>
                <w:sz w:val="20"/>
              </w:rPr>
            </w:pPr>
            <w:r>
              <w:rPr>
                <w:sz w:val="20"/>
              </w:rPr>
              <w:t>20</w:t>
            </w:r>
            <w:r>
              <w:rPr>
                <w:spacing w:val="-3"/>
                <w:sz w:val="20"/>
              </w:rPr>
              <w:t> </w:t>
            </w:r>
            <w:r>
              <w:rPr>
                <w:sz w:val="20"/>
              </w:rPr>
              <w:t>a</w:t>
            </w:r>
            <w:r>
              <w:rPr>
                <w:spacing w:val="-1"/>
                <w:sz w:val="20"/>
              </w:rPr>
              <w:t> </w:t>
            </w:r>
            <w:r>
              <w:rPr>
                <w:spacing w:val="-5"/>
                <w:sz w:val="20"/>
              </w:rPr>
              <w:t>60%</w:t>
            </w:r>
          </w:p>
        </w:tc>
      </w:tr>
      <w:tr>
        <w:trPr>
          <w:trHeight w:val="230" w:hRule="atLeast"/>
        </w:trPr>
        <w:tc>
          <w:tcPr>
            <w:tcW w:w="1066" w:type="dxa"/>
          </w:tcPr>
          <w:p>
            <w:pPr>
              <w:pStyle w:val="TableParagraph"/>
              <w:ind w:left="9"/>
              <w:rPr>
                <w:sz w:val="20"/>
              </w:rPr>
            </w:pPr>
            <w:r>
              <w:rPr>
                <w:spacing w:val="-5"/>
                <w:sz w:val="20"/>
              </w:rPr>
              <w:t>309</w:t>
            </w:r>
          </w:p>
        </w:tc>
        <w:tc>
          <w:tcPr>
            <w:tcW w:w="6924" w:type="dxa"/>
          </w:tcPr>
          <w:p>
            <w:pPr>
              <w:pStyle w:val="TableParagraph"/>
              <w:jc w:val="left"/>
              <w:rPr>
                <w:sz w:val="20"/>
              </w:rPr>
            </w:pPr>
            <w:r>
              <w:rPr>
                <w:spacing w:val="-2"/>
                <w:sz w:val="20"/>
              </w:rPr>
              <w:t>Cuadriplejia.</w:t>
            </w:r>
          </w:p>
        </w:tc>
        <w:tc>
          <w:tcPr>
            <w:tcW w:w="1561" w:type="dxa"/>
          </w:tcPr>
          <w:p>
            <w:pPr>
              <w:pStyle w:val="TableParagraph"/>
              <w:ind w:left="11" w:right="6"/>
              <w:rPr>
                <w:sz w:val="20"/>
              </w:rPr>
            </w:pPr>
            <w:r>
              <w:rPr>
                <w:spacing w:val="-4"/>
                <w:sz w:val="20"/>
              </w:rPr>
              <w:t>100%</w:t>
            </w:r>
          </w:p>
        </w:tc>
      </w:tr>
      <w:tr>
        <w:trPr>
          <w:trHeight w:val="232" w:hRule="atLeast"/>
        </w:trPr>
        <w:tc>
          <w:tcPr>
            <w:tcW w:w="1066" w:type="dxa"/>
          </w:tcPr>
          <w:p>
            <w:pPr>
              <w:pStyle w:val="TableParagraph"/>
              <w:spacing w:before="1"/>
              <w:ind w:left="9"/>
              <w:rPr>
                <w:sz w:val="20"/>
              </w:rPr>
            </w:pPr>
            <w:r>
              <w:rPr>
                <w:spacing w:val="-5"/>
                <w:sz w:val="20"/>
              </w:rPr>
              <w:t>310</w:t>
            </w:r>
          </w:p>
        </w:tc>
        <w:tc>
          <w:tcPr>
            <w:tcW w:w="6924" w:type="dxa"/>
          </w:tcPr>
          <w:p>
            <w:pPr>
              <w:pStyle w:val="TableParagraph"/>
              <w:spacing w:before="1"/>
              <w:jc w:val="left"/>
              <w:rPr>
                <w:sz w:val="20"/>
              </w:rPr>
            </w:pPr>
            <w:r>
              <w:rPr>
                <w:spacing w:val="-2"/>
                <w:sz w:val="20"/>
              </w:rPr>
              <w:t>Cuadriparesia.</w:t>
            </w:r>
          </w:p>
        </w:tc>
        <w:tc>
          <w:tcPr>
            <w:tcW w:w="1561" w:type="dxa"/>
          </w:tcPr>
          <w:p>
            <w:pPr>
              <w:pStyle w:val="TableParagraph"/>
              <w:spacing w:before="1"/>
              <w:ind w:left="11" w:right="9"/>
              <w:rPr>
                <w:sz w:val="20"/>
              </w:rPr>
            </w:pPr>
            <w:r>
              <w:rPr>
                <w:sz w:val="20"/>
              </w:rPr>
              <w:t>50</w:t>
            </w:r>
            <w:r>
              <w:rPr>
                <w:spacing w:val="-3"/>
                <w:sz w:val="20"/>
              </w:rPr>
              <w:t> </w:t>
            </w:r>
            <w:r>
              <w:rPr>
                <w:sz w:val="20"/>
              </w:rPr>
              <w:t>a</w:t>
            </w:r>
            <w:r>
              <w:rPr>
                <w:spacing w:val="-1"/>
                <w:sz w:val="20"/>
              </w:rPr>
              <w:t> </w:t>
            </w:r>
            <w:r>
              <w:rPr>
                <w:spacing w:val="-5"/>
                <w:sz w:val="20"/>
              </w:rPr>
              <w:t>70%</w:t>
            </w:r>
          </w:p>
        </w:tc>
      </w:tr>
      <w:tr>
        <w:trPr>
          <w:trHeight w:val="229" w:hRule="atLeast"/>
        </w:trPr>
        <w:tc>
          <w:tcPr>
            <w:tcW w:w="1066" w:type="dxa"/>
          </w:tcPr>
          <w:p>
            <w:pPr>
              <w:pStyle w:val="TableParagraph"/>
              <w:ind w:left="9"/>
              <w:rPr>
                <w:sz w:val="20"/>
              </w:rPr>
            </w:pPr>
            <w:r>
              <w:rPr>
                <w:spacing w:val="-5"/>
                <w:sz w:val="20"/>
              </w:rPr>
              <w:t>311</w:t>
            </w:r>
          </w:p>
        </w:tc>
        <w:tc>
          <w:tcPr>
            <w:tcW w:w="6924" w:type="dxa"/>
          </w:tcPr>
          <w:p>
            <w:pPr>
              <w:pStyle w:val="TableParagraph"/>
              <w:jc w:val="left"/>
              <w:rPr>
                <w:sz w:val="20"/>
              </w:rPr>
            </w:pPr>
            <w:r>
              <w:rPr>
                <w:sz w:val="20"/>
              </w:rPr>
              <w:t>Diabetes</w:t>
            </w:r>
            <w:r>
              <w:rPr>
                <w:spacing w:val="-9"/>
                <w:sz w:val="20"/>
              </w:rPr>
              <w:t> </w:t>
            </w:r>
            <w:r>
              <w:rPr>
                <w:sz w:val="20"/>
              </w:rPr>
              <w:t>azucarada</w:t>
            </w:r>
            <w:r>
              <w:rPr>
                <w:spacing w:val="-7"/>
                <w:sz w:val="20"/>
              </w:rPr>
              <w:t> </w:t>
            </w:r>
            <w:r>
              <w:rPr>
                <w:sz w:val="20"/>
              </w:rPr>
              <w:t>o</w:t>
            </w:r>
            <w:r>
              <w:rPr>
                <w:spacing w:val="-9"/>
                <w:sz w:val="20"/>
              </w:rPr>
              <w:t> </w:t>
            </w:r>
            <w:r>
              <w:rPr>
                <w:spacing w:val="-2"/>
                <w:sz w:val="20"/>
              </w:rPr>
              <w:t>insípida.</w:t>
            </w:r>
          </w:p>
        </w:tc>
        <w:tc>
          <w:tcPr>
            <w:tcW w:w="1561" w:type="dxa"/>
          </w:tcPr>
          <w:p>
            <w:pPr>
              <w:pStyle w:val="TableParagraph"/>
              <w:ind w:left="11" w:right="9"/>
              <w:rPr>
                <w:sz w:val="20"/>
              </w:rPr>
            </w:pPr>
            <w:r>
              <w:rPr>
                <w:sz w:val="20"/>
              </w:rPr>
              <w:t>10</w:t>
            </w:r>
            <w:r>
              <w:rPr>
                <w:spacing w:val="-3"/>
                <w:sz w:val="20"/>
              </w:rPr>
              <w:t> </w:t>
            </w:r>
            <w:r>
              <w:rPr>
                <w:sz w:val="20"/>
              </w:rPr>
              <w:t>a</w:t>
            </w:r>
            <w:r>
              <w:rPr>
                <w:spacing w:val="-1"/>
                <w:sz w:val="20"/>
              </w:rPr>
              <w:t> </w:t>
            </w:r>
            <w:r>
              <w:rPr>
                <w:spacing w:val="-5"/>
                <w:sz w:val="20"/>
              </w:rPr>
              <w:t>40%</w:t>
            </w:r>
          </w:p>
        </w:tc>
      </w:tr>
      <w:tr>
        <w:trPr>
          <w:trHeight w:val="229" w:hRule="atLeast"/>
        </w:trPr>
        <w:tc>
          <w:tcPr>
            <w:tcW w:w="1066" w:type="dxa"/>
          </w:tcPr>
          <w:p>
            <w:pPr>
              <w:pStyle w:val="TableParagraph"/>
              <w:ind w:left="9"/>
              <w:rPr>
                <w:sz w:val="20"/>
              </w:rPr>
            </w:pPr>
            <w:r>
              <w:rPr>
                <w:spacing w:val="-5"/>
                <w:sz w:val="20"/>
              </w:rPr>
              <w:t>312</w:t>
            </w:r>
          </w:p>
        </w:tc>
        <w:tc>
          <w:tcPr>
            <w:tcW w:w="6924" w:type="dxa"/>
          </w:tcPr>
          <w:p>
            <w:pPr>
              <w:pStyle w:val="TableParagraph"/>
              <w:jc w:val="left"/>
              <w:rPr>
                <w:sz w:val="20"/>
              </w:rPr>
            </w:pPr>
            <w:r>
              <w:rPr>
                <w:sz w:val="20"/>
              </w:rPr>
              <w:t>Afasia</w:t>
            </w:r>
            <w:r>
              <w:rPr>
                <w:spacing w:val="-8"/>
                <w:sz w:val="20"/>
              </w:rPr>
              <w:t> </w:t>
            </w:r>
            <w:r>
              <w:rPr>
                <w:spacing w:val="-2"/>
                <w:sz w:val="20"/>
              </w:rPr>
              <w:t>discreta.</w:t>
            </w:r>
          </w:p>
        </w:tc>
        <w:tc>
          <w:tcPr>
            <w:tcW w:w="1561" w:type="dxa"/>
          </w:tcPr>
          <w:p>
            <w:pPr>
              <w:pStyle w:val="TableParagraph"/>
              <w:ind w:left="11" w:right="9"/>
              <w:rPr>
                <w:sz w:val="20"/>
              </w:rPr>
            </w:pPr>
            <w:r>
              <w:rPr>
                <w:sz w:val="20"/>
              </w:rPr>
              <w:t>20</w:t>
            </w:r>
            <w:r>
              <w:rPr>
                <w:spacing w:val="-4"/>
                <w:sz w:val="20"/>
              </w:rPr>
              <w:t> </w:t>
            </w:r>
            <w:r>
              <w:rPr>
                <w:sz w:val="20"/>
              </w:rPr>
              <w:t>a</w:t>
            </w:r>
            <w:r>
              <w:rPr>
                <w:spacing w:val="-1"/>
                <w:sz w:val="20"/>
              </w:rPr>
              <w:t> </w:t>
            </w:r>
            <w:r>
              <w:rPr>
                <w:spacing w:val="-5"/>
                <w:sz w:val="20"/>
              </w:rPr>
              <w:t>30%</w:t>
            </w:r>
          </w:p>
        </w:tc>
      </w:tr>
      <w:tr>
        <w:trPr>
          <w:trHeight w:val="229" w:hRule="atLeast"/>
        </w:trPr>
        <w:tc>
          <w:tcPr>
            <w:tcW w:w="1066" w:type="dxa"/>
          </w:tcPr>
          <w:p>
            <w:pPr>
              <w:pStyle w:val="TableParagraph"/>
              <w:ind w:left="9"/>
              <w:rPr>
                <w:sz w:val="20"/>
              </w:rPr>
            </w:pPr>
            <w:r>
              <w:rPr>
                <w:spacing w:val="-5"/>
                <w:sz w:val="20"/>
              </w:rPr>
              <w:t>313</w:t>
            </w:r>
          </w:p>
        </w:tc>
        <w:tc>
          <w:tcPr>
            <w:tcW w:w="6924" w:type="dxa"/>
          </w:tcPr>
          <w:p>
            <w:pPr>
              <w:pStyle w:val="TableParagraph"/>
              <w:jc w:val="left"/>
              <w:rPr>
                <w:sz w:val="20"/>
              </w:rPr>
            </w:pPr>
            <w:r>
              <w:rPr>
                <w:sz w:val="20"/>
              </w:rPr>
              <w:t>Afasia</w:t>
            </w:r>
            <w:r>
              <w:rPr>
                <w:spacing w:val="-11"/>
                <w:sz w:val="20"/>
              </w:rPr>
              <w:t> </w:t>
            </w:r>
            <w:r>
              <w:rPr>
                <w:sz w:val="20"/>
              </w:rPr>
              <w:t>acentuada,</w:t>
            </w:r>
            <w:r>
              <w:rPr>
                <w:spacing w:val="-9"/>
                <w:sz w:val="20"/>
              </w:rPr>
              <w:t> </w:t>
            </w:r>
            <w:r>
              <w:rPr>
                <w:spacing w:val="-2"/>
                <w:sz w:val="20"/>
              </w:rPr>
              <w:t>aislada.</w:t>
            </w:r>
          </w:p>
        </w:tc>
        <w:tc>
          <w:tcPr>
            <w:tcW w:w="1561" w:type="dxa"/>
          </w:tcPr>
          <w:p>
            <w:pPr>
              <w:pStyle w:val="TableParagraph"/>
              <w:ind w:left="11" w:right="9"/>
              <w:rPr>
                <w:sz w:val="20"/>
              </w:rPr>
            </w:pPr>
            <w:r>
              <w:rPr>
                <w:sz w:val="20"/>
              </w:rPr>
              <w:t>40</w:t>
            </w:r>
            <w:r>
              <w:rPr>
                <w:spacing w:val="-3"/>
                <w:sz w:val="20"/>
              </w:rPr>
              <w:t> </w:t>
            </w:r>
            <w:r>
              <w:rPr>
                <w:sz w:val="20"/>
              </w:rPr>
              <w:t>a</w:t>
            </w:r>
            <w:r>
              <w:rPr>
                <w:spacing w:val="-1"/>
                <w:sz w:val="20"/>
              </w:rPr>
              <w:t> </w:t>
            </w:r>
            <w:r>
              <w:rPr>
                <w:spacing w:val="-5"/>
                <w:sz w:val="20"/>
              </w:rPr>
              <w:t>80%</w:t>
            </w:r>
          </w:p>
        </w:tc>
      </w:tr>
      <w:tr>
        <w:trPr>
          <w:trHeight w:val="229" w:hRule="atLeast"/>
        </w:trPr>
        <w:tc>
          <w:tcPr>
            <w:tcW w:w="1066" w:type="dxa"/>
          </w:tcPr>
          <w:p>
            <w:pPr>
              <w:pStyle w:val="TableParagraph"/>
              <w:ind w:left="9"/>
              <w:rPr>
                <w:sz w:val="20"/>
              </w:rPr>
            </w:pPr>
            <w:r>
              <w:rPr>
                <w:spacing w:val="-5"/>
                <w:sz w:val="20"/>
              </w:rPr>
              <w:t>314</w:t>
            </w:r>
          </w:p>
        </w:tc>
        <w:tc>
          <w:tcPr>
            <w:tcW w:w="6924" w:type="dxa"/>
          </w:tcPr>
          <w:p>
            <w:pPr>
              <w:pStyle w:val="TableParagraph"/>
              <w:jc w:val="left"/>
              <w:rPr>
                <w:sz w:val="20"/>
              </w:rPr>
            </w:pPr>
            <w:r>
              <w:rPr>
                <w:sz w:val="20"/>
              </w:rPr>
              <w:t>Afasia</w:t>
            </w:r>
            <w:r>
              <w:rPr>
                <w:spacing w:val="-7"/>
                <w:sz w:val="20"/>
              </w:rPr>
              <w:t> </w:t>
            </w:r>
            <w:r>
              <w:rPr>
                <w:sz w:val="20"/>
              </w:rPr>
              <w:t>con</w:t>
            </w:r>
            <w:r>
              <w:rPr>
                <w:spacing w:val="-5"/>
                <w:sz w:val="20"/>
              </w:rPr>
              <w:t> </w:t>
            </w:r>
            <w:r>
              <w:rPr>
                <w:spacing w:val="-2"/>
                <w:sz w:val="20"/>
              </w:rPr>
              <w:t>hemiplejia.</w:t>
            </w:r>
          </w:p>
        </w:tc>
        <w:tc>
          <w:tcPr>
            <w:tcW w:w="1561" w:type="dxa"/>
          </w:tcPr>
          <w:p>
            <w:pPr>
              <w:pStyle w:val="TableParagraph"/>
              <w:ind w:left="11" w:right="6"/>
              <w:rPr>
                <w:sz w:val="20"/>
              </w:rPr>
            </w:pPr>
            <w:r>
              <w:rPr>
                <w:spacing w:val="-4"/>
                <w:sz w:val="20"/>
              </w:rPr>
              <w:t>100%</w:t>
            </w:r>
          </w:p>
        </w:tc>
      </w:tr>
      <w:tr>
        <w:trPr>
          <w:trHeight w:val="229" w:hRule="atLeast"/>
        </w:trPr>
        <w:tc>
          <w:tcPr>
            <w:tcW w:w="1066" w:type="dxa"/>
          </w:tcPr>
          <w:p>
            <w:pPr>
              <w:pStyle w:val="TableParagraph"/>
              <w:ind w:left="9"/>
              <w:rPr>
                <w:sz w:val="20"/>
              </w:rPr>
            </w:pPr>
            <w:r>
              <w:rPr>
                <w:spacing w:val="-5"/>
                <w:sz w:val="20"/>
              </w:rPr>
              <w:t>315</w:t>
            </w:r>
          </w:p>
        </w:tc>
        <w:tc>
          <w:tcPr>
            <w:tcW w:w="6924" w:type="dxa"/>
          </w:tcPr>
          <w:p>
            <w:pPr>
              <w:pStyle w:val="TableParagraph"/>
              <w:jc w:val="left"/>
              <w:rPr>
                <w:sz w:val="20"/>
              </w:rPr>
            </w:pPr>
            <w:r>
              <w:rPr>
                <w:spacing w:val="-2"/>
                <w:sz w:val="20"/>
              </w:rPr>
              <w:t>Agrafia.</w:t>
            </w:r>
          </w:p>
        </w:tc>
        <w:tc>
          <w:tcPr>
            <w:tcW w:w="1561" w:type="dxa"/>
          </w:tcPr>
          <w:p>
            <w:pPr>
              <w:pStyle w:val="TableParagraph"/>
              <w:ind w:left="11" w:right="9"/>
              <w:rPr>
                <w:sz w:val="20"/>
              </w:rPr>
            </w:pPr>
            <w:r>
              <w:rPr>
                <w:sz w:val="20"/>
              </w:rPr>
              <w:t>20</w:t>
            </w:r>
            <w:r>
              <w:rPr>
                <w:spacing w:val="-3"/>
                <w:sz w:val="20"/>
              </w:rPr>
              <w:t> </w:t>
            </w:r>
            <w:r>
              <w:rPr>
                <w:sz w:val="20"/>
              </w:rPr>
              <w:t>a</w:t>
            </w:r>
            <w:r>
              <w:rPr>
                <w:spacing w:val="-1"/>
                <w:sz w:val="20"/>
              </w:rPr>
              <w:t> </w:t>
            </w:r>
            <w:r>
              <w:rPr>
                <w:spacing w:val="-5"/>
                <w:sz w:val="20"/>
              </w:rPr>
              <w:t>30%</w:t>
            </w:r>
          </w:p>
        </w:tc>
      </w:tr>
    </w:tbl>
    <w:p>
      <w:pPr>
        <w:pStyle w:val="BodyText"/>
        <w:spacing w:before="18"/>
        <w:rPr>
          <w:rFonts w:ascii="Arial"/>
          <w:b/>
        </w:rPr>
      </w:pPr>
    </w:p>
    <w:p>
      <w:pPr>
        <w:spacing w:before="1"/>
        <w:ind w:left="296" w:right="296" w:firstLine="0"/>
        <w:jc w:val="center"/>
        <w:rPr>
          <w:rFonts w:ascii="Arial"/>
          <w:b/>
          <w:sz w:val="20"/>
        </w:rPr>
      </w:pPr>
      <w:r>
        <w:rPr>
          <w:rFonts w:ascii="Arial"/>
          <w:b/>
          <w:spacing w:val="-4"/>
          <w:sz w:val="20"/>
        </w:rPr>
        <w:t>Cara</w:t>
      </w:r>
    </w:p>
    <w:p>
      <w:pPr>
        <w:spacing w:after="0"/>
        <w:jc w:val="center"/>
        <w:rPr>
          <w:rFonts w:ascii="Arial"/>
          <w:b/>
          <w:sz w:val="20"/>
        </w:rPr>
        <w:sectPr>
          <w:pgSz w:w="12240" w:h="15840"/>
          <w:pgMar w:header="724" w:footer="712" w:top="1880" w:bottom="900" w:left="1080" w:right="1080"/>
        </w:sectPr>
      </w:pPr>
    </w:p>
    <w:p>
      <w:pPr>
        <w:pStyle w:val="BodyText"/>
        <w:spacing w:before="68"/>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24"/>
        <w:gridCol w:w="1561"/>
      </w:tblGrid>
      <w:tr>
        <w:trPr>
          <w:trHeight w:val="460" w:hRule="atLeast"/>
        </w:trPr>
        <w:tc>
          <w:tcPr>
            <w:tcW w:w="1066" w:type="dxa"/>
          </w:tcPr>
          <w:p>
            <w:pPr>
              <w:pStyle w:val="TableParagraph"/>
              <w:spacing w:line="240" w:lineRule="auto" w:before="114"/>
              <w:ind w:left="9"/>
              <w:rPr>
                <w:sz w:val="20"/>
              </w:rPr>
            </w:pPr>
            <w:r>
              <w:rPr>
                <w:spacing w:val="-5"/>
                <w:sz w:val="20"/>
              </w:rPr>
              <w:t>316</w:t>
            </w:r>
          </w:p>
        </w:tc>
        <w:tc>
          <w:tcPr>
            <w:tcW w:w="6924" w:type="dxa"/>
          </w:tcPr>
          <w:p>
            <w:pPr>
              <w:pStyle w:val="TableParagraph"/>
              <w:spacing w:line="230" w:lineRule="exact"/>
              <w:ind w:right="67"/>
              <w:jc w:val="left"/>
              <w:rPr>
                <w:sz w:val="20"/>
              </w:rPr>
            </w:pPr>
            <w:r>
              <w:rPr>
                <w:sz w:val="20"/>
              </w:rPr>
              <w:t>Mutilaciones extensas, cuando comprendan los dos maxilares superiores y la nariz, según la pérdida de substancia de las partes blandas.</w:t>
            </w:r>
          </w:p>
        </w:tc>
        <w:tc>
          <w:tcPr>
            <w:tcW w:w="1561" w:type="dxa"/>
          </w:tcPr>
          <w:p>
            <w:pPr>
              <w:pStyle w:val="TableParagraph"/>
              <w:spacing w:line="240" w:lineRule="auto" w:before="114"/>
              <w:ind w:left="11" w:right="4"/>
              <w:rPr>
                <w:sz w:val="20"/>
              </w:rPr>
            </w:pPr>
            <w:r>
              <w:rPr>
                <w:sz w:val="20"/>
              </w:rPr>
              <w:t>90</w:t>
            </w:r>
            <w:r>
              <w:rPr>
                <w:spacing w:val="-3"/>
                <w:sz w:val="20"/>
              </w:rPr>
              <w:t> </w:t>
            </w:r>
            <w:r>
              <w:rPr>
                <w:sz w:val="20"/>
              </w:rPr>
              <w:t>a</w:t>
            </w:r>
            <w:r>
              <w:rPr>
                <w:spacing w:val="-1"/>
                <w:sz w:val="20"/>
              </w:rPr>
              <w:t> </w:t>
            </w:r>
            <w:r>
              <w:rPr>
                <w:spacing w:val="-4"/>
                <w:sz w:val="20"/>
              </w:rPr>
              <w:t>100%</w:t>
            </w:r>
          </w:p>
        </w:tc>
      </w:tr>
      <w:tr>
        <w:trPr>
          <w:trHeight w:val="229" w:hRule="atLeast"/>
        </w:trPr>
        <w:tc>
          <w:tcPr>
            <w:tcW w:w="1066" w:type="dxa"/>
          </w:tcPr>
          <w:p>
            <w:pPr>
              <w:pStyle w:val="TableParagraph"/>
              <w:ind w:left="9"/>
              <w:rPr>
                <w:sz w:val="20"/>
              </w:rPr>
            </w:pPr>
            <w:r>
              <w:rPr>
                <w:spacing w:val="-5"/>
                <w:sz w:val="20"/>
              </w:rPr>
              <w:t>317</w:t>
            </w:r>
          </w:p>
        </w:tc>
        <w:tc>
          <w:tcPr>
            <w:tcW w:w="6924" w:type="dxa"/>
          </w:tcPr>
          <w:p>
            <w:pPr>
              <w:pStyle w:val="TableParagraph"/>
              <w:jc w:val="left"/>
              <w:rPr>
                <w:sz w:val="20"/>
              </w:rPr>
            </w:pPr>
            <w:r>
              <w:rPr>
                <w:sz w:val="20"/>
              </w:rPr>
              <w:t>Mutilaciones</w:t>
            </w:r>
            <w:r>
              <w:rPr>
                <w:spacing w:val="-7"/>
                <w:sz w:val="20"/>
              </w:rPr>
              <w:t> </w:t>
            </w:r>
            <w:r>
              <w:rPr>
                <w:sz w:val="20"/>
              </w:rPr>
              <w:t>que</w:t>
            </w:r>
            <w:r>
              <w:rPr>
                <w:spacing w:val="-6"/>
                <w:sz w:val="20"/>
              </w:rPr>
              <w:t> </w:t>
            </w:r>
            <w:r>
              <w:rPr>
                <w:sz w:val="20"/>
              </w:rPr>
              <w:t>comprendan</w:t>
            </w:r>
            <w:r>
              <w:rPr>
                <w:spacing w:val="-8"/>
                <w:sz w:val="20"/>
              </w:rPr>
              <w:t> </w:t>
            </w:r>
            <w:r>
              <w:rPr>
                <w:sz w:val="20"/>
              </w:rPr>
              <w:t>el</w:t>
            </w:r>
            <w:r>
              <w:rPr>
                <w:spacing w:val="-8"/>
                <w:sz w:val="20"/>
              </w:rPr>
              <w:t> </w:t>
            </w:r>
            <w:r>
              <w:rPr>
                <w:sz w:val="20"/>
              </w:rPr>
              <w:t>maxilar</w:t>
            </w:r>
            <w:r>
              <w:rPr>
                <w:spacing w:val="-5"/>
                <w:sz w:val="20"/>
              </w:rPr>
              <w:t> </w:t>
            </w:r>
            <w:r>
              <w:rPr>
                <w:sz w:val="20"/>
              </w:rPr>
              <w:t>y</w:t>
            </w:r>
            <w:r>
              <w:rPr>
                <w:spacing w:val="-9"/>
                <w:sz w:val="20"/>
              </w:rPr>
              <w:t> </w:t>
            </w:r>
            <w:r>
              <w:rPr>
                <w:sz w:val="20"/>
              </w:rPr>
              <w:t>la</w:t>
            </w:r>
            <w:r>
              <w:rPr>
                <w:spacing w:val="-8"/>
                <w:sz w:val="20"/>
              </w:rPr>
              <w:t> </w:t>
            </w:r>
            <w:r>
              <w:rPr>
                <w:spacing w:val="-2"/>
                <w:sz w:val="20"/>
              </w:rPr>
              <w:t>mandíbula.</w:t>
            </w:r>
          </w:p>
        </w:tc>
        <w:tc>
          <w:tcPr>
            <w:tcW w:w="1561" w:type="dxa"/>
          </w:tcPr>
          <w:p>
            <w:pPr>
              <w:pStyle w:val="TableParagraph"/>
              <w:ind w:left="11" w:right="7"/>
              <w:rPr>
                <w:sz w:val="20"/>
              </w:rPr>
            </w:pPr>
            <w:r>
              <w:rPr>
                <w:sz w:val="20"/>
              </w:rPr>
              <w:t>90</w:t>
            </w:r>
            <w:r>
              <w:rPr>
                <w:spacing w:val="-3"/>
                <w:sz w:val="20"/>
              </w:rPr>
              <w:t> </w:t>
            </w:r>
            <w:r>
              <w:rPr>
                <w:sz w:val="20"/>
              </w:rPr>
              <w:t>a</w:t>
            </w:r>
            <w:r>
              <w:rPr>
                <w:spacing w:val="-1"/>
                <w:sz w:val="20"/>
              </w:rPr>
              <w:t> </w:t>
            </w:r>
            <w:r>
              <w:rPr>
                <w:spacing w:val="-4"/>
                <w:sz w:val="20"/>
              </w:rPr>
              <w:t>100%</w:t>
            </w:r>
          </w:p>
        </w:tc>
      </w:tr>
      <w:tr>
        <w:trPr>
          <w:trHeight w:val="457" w:hRule="atLeast"/>
        </w:trPr>
        <w:tc>
          <w:tcPr>
            <w:tcW w:w="1066" w:type="dxa"/>
          </w:tcPr>
          <w:p>
            <w:pPr>
              <w:pStyle w:val="TableParagraph"/>
              <w:spacing w:line="240" w:lineRule="auto" w:before="114"/>
              <w:ind w:left="9"/>
              <w:rPr>
                <w:sz w:val="20"/>
              </w:rPr>
            </w:pPr>
            <w:r>
              <w:rPr>
                <w:spacing w:val="-5"/>
                <w:sz w:val="20"/>
              </w:rPr>
              <w:t>318</w:t>
            </w:r>
          </w:p>
        </w:tc>
        <w:tc>
          <w:tcPr>
            <w:tcW w:w="6924" w:type="dxa"/>
          </w:tcPr>
          <w:p>
            <w:pPr>
              <w:pStyle w:val="TableParagraph"/>
              <w:spacing w:line="228" w:lineRule="exact"/>
              <w:jc w:val="left"/>
              <w:rPr>
                <w:sz w:val="20"/>
              </w:rPr>
            </w:pPr>
            <w:r>
              <w:rPr>
                <w:sz w:val="20"/>
              </w:rPr>
              <w:t>Mutilación de la rama horizontal de la mandíbula sin prótesis posible, o del maxilar en su totalidad.</w:t>
            </w:r>
          </w:p>
        </w:tc>
        <w:tc>
          <w:tcPr>
            <w:tcW w:w="1561" w:type="dxa"/>
          </w:tcPr>
          <w:p>
            <w:pPr>
              <w:pStyle w:val="TableParagraph"/>
              <w:spacing w:line="240" w:lineRule="auto" w:before="114"/>
              <w:ind w:left="11" w:right="9"/>
              <w:rPr>
                <w:sz w:val="20"/>
              </w:rPr>
            </w:pPr>
            <w:r>
              <w:rPr>
                <w:sz w:val="20"/>
              </w:rPr>
              <w:t>60</w:t>
            </w:r>
            <w:r>
              <w:rPr>
                <w:spacing w:val="-3"/>
                <w:sz w:val="20"/>
              </w:rPr>
              <w:t> </w:t>
            </w:r>
            <w:r>
              <w:rPr>
                <w:sz w:val="20"/>
              </w:rPr>
              <w:t>a</w:t>
            </w:r>
            <w:r>
              <w:rPr>
                <w:spacing w:val="-1"/>
                <w:sz w:val="20"/>
              </w:rPr>
              <w:t> </w:t>
            </w:r>
            <w:r>
              <w:rPr>
                <w:spacing w:val="-5"/>
                <w:sz w:val="20"/>
              </w:rPr>
              <w:t>80%</w:t>
            </w:r>
          </w:p>
        </w:tc>
      </w:tr>
      <w:tr>
        <w:trPr>
          <w:trHeight w:val="232" w:hRule="atLeast"/>
        </w:trPr>
        <w:tc>
          <w:tcPr>
            <w:tcW w:w="1066" w:type="dxa"/>
          </w:tcPr>
          <w:p>
            <w:pPr>
              <w:pStyle w:val="TableParagraph"/>
              <w:spacing w:before="1"/>
              <w:ind w:left="9"/>
              <w:rPr>
                <w:sz w:val="20"/>
              </w:rPr>
            </w:pPr>
            <w:r>
              <w:rPr>
                <w:spacing w:val="-5"/>
                <w:sz w:val="20"/>
              </w:rPr>
              <w:t>319</w:t>
            </w:r>
          </w:p>
        </w:tc>
        <w:tc>
          <w:tcPr>
            <w:tcW w:w="6924" w:type="dxa"/>
          </w:tcPr>
          <w:p>
            <w:pPr>
              <w:pStyle w:val="TableParagraph"/>
              <w:spacing w:before="1"/>
              <w:jc w:val="left"/>
              <w:rPr>
                <w:sz w:val="20"/>
              </w:rPr>
            </w:pPr>
            <w:r>
              <w:rPr>
                <w:sz w:val="20"/>
              </w:rPr>
              <w:t>Pseudoartrosis</w:t>
            </w:r>
            <w:r>
              <w:rPr>
                <w:spacing w:val="-9"/>
                <w:sz w:val="20"/>
              </w:rPr>
              <w:t> </w:t>
            </w:r>
            <w:r>
              <w:rPr>
                <w:sz w:val="20"/>
              </w:rPr>
              <w:t>del</w:t>
            </w:r>
            <w:r>
              <w:rPr>
                <w:spacing w:val="-10"/>
                <w:sz w:val="20"/>
              </w:rPr>
              <w:t> </w:t>
            </w:r>
            <w:r>
              <w:rPr>
                <w:sz w:val="20"/>
              </w:rPr>
              <w:t>maxilar</w:t>
            </w:r>
            <w:r>
              <w:rPr>
                <w:spacing w:val="-7"/>
                <w:sz w:val="20"/>
              </w:rPr>
              <w:t> </w:t>
            </w:r>
            <w:r>
              <w:rPr>
                <w:sz w:val="20"/>
              </w:rPr>
              <w:t>con</w:t>
            </w:r>
            <w:r>
              <w:rPr>
                <w:spacing w:val="-10"/>
                <w:sz w:val="20"/>
              </w:rPr>
              <w:t> </w:t>
            </w:r>
            <w:r>
              <w:rPr>
                <w:sz w:val="20"/>
              </w:rPr>
              <w:t>masticación</w:t>
            </w:r>
            <w:r>
              <w:rPr>
                <w:spacing w:val="-11"/>
                <w:sz w:val="20"/>
              </w:rPr>
              <w:t> </w:t>
            </w:r>
            <w:r>
              <w:rPr>
                <w:spacing w:val="-2"/>
                <w:sz w:val="20"/>
              </w:rPr>
              <w:t>imposible.</w:t>
            </w:r>
          </w:p>
        </w:tc>
        <w:tc>
          <w:tcPr>
            <w:tcW w:w="1561" w:type="dxa"/>
          </w:tcPr>
          <w:p>
            <w:pPr>
              <w:pStyle w:val="TableParagraph"/>
              <w:spacing w:before="1"/>
              <w:ind w:left="11" w:right="9"/>
              <w:rPr>
                <w:sz w:val="20"/>
              </w:rPr>
            </w:pPr>
            <w:r>
              <w:rPr>
                <w:sz w:val="20"/>
              </w:rPr>
              <w:t>50</w:t>
            </w:r>
            <w:r>
              <w:rPr>
                <w:spacing w:val="-3"/>
                <w:sz w:val="20"/>
              </w:rPr>
              <w:t> </w:t>
            </w:r>
            <w:r>
              <w:rPr>
                <w:sz w:val="20"/>
              </w:rPr>
              <w:t>a</w:t>
            </w:r>
            <w:r>
              <w:rPr>
                <w:spacing w:val="-1"/>
                <w:sz w:val="20"/>
              </w:rPr>
              <w:t> </w:t>
            </w:r>
            <w:r>
              <w:rPr>
                <w:spacing w:val="-5"/>
                <w:sz w:val="20"/>
              </w:rPr>
              <w:t>60%</w:t>
            </w:r>
          </w:p>
        </w:tc>
      </w:tr>
      <w:tr>
        <w:trPr>
          <w:trHeight w:val="229" w:hRule="atLeast"/>
        </w:trPr>
        <w:tc>
          <w:tcPr>
            <w:tcW w:w="1066" w:type="dxa"/>
          </w:tcPr>
          <w:p>
            <w:pPr>
              <w:pStyle w:val="TableParagraph"/>
              <w:ind w:left="9"/>
              <w:rPr>
                <w:sz w:val="20"/>
              </w:rPr>
            </w:pPr>
            <w:r>
              <w:rPr>
                <w:spacing w:val="-5"/>
                <w:sz w:val="20"/>
              </w:rPr>
              <w:t>320</w:t>
            </w:r>
          </w:p>
        </w:tc>
        <w:tc>
          <w:tcPr>
            <w:tcW w:w="6924" w:type="dxa"/>
          </w:tcPr>
          <w:p>
            <w:pPr>
              <w:pStyle w:val="TableParagraph"/>
              <w:jc w:val="left"/>
              <w:rPr>
                <w:sz w:val="20"/>
              </w:rPr>
            </w:pPr>
            <w:r>
              <w:rPr>
                <w:sz w:val="20"/>
              </w:rPr>
              <w:t>Pseudoartrosis</w:t>
            </w:r>
            <w:r>
              <w:rPr>
                <w:spacing w:val="-9"/>
                <w:sz w:val="20"/>
              </w:rPr>
              <w:t> </w:t>
            </w:r>
            <w:r>
              <w:rPr>
                <w:sz w:val="20"/>
              </w:rPr>
              <w:t>del</w:t>
            </w:r>
            <w:r>
              <w:rPr>
                <w:spacing w:val="-9"/>
                <w:sz w:val="20"/>
              </w:rPr>
              <w:t> </w:t>
            </w:r>
            <w:r>
              <w:rPr>
                <w:sz w:val="20"/>
              </w:rPr>
              <w:t>maxilar</w:t>
            </w:r>
            <w:r>
              <w:rPr>
                <w:spacing w:val="-7"/>
                <w:sz w:val="20"/>
              </w:rPr>
              <w:t> </w:t>
            </w:r>
            <w:r>
              <w:rPr>
                <w:sz w:val="20"/>
              </w:rPr>
              <w:t>con</w:t>
            </w:r>
            <w:r>
              <w:rPr>
                <w:spacing w:val="-10"/>
                <w:sz w:val="20"/>
              </w:rPr>
              <w:t> </w:t>
            </w:r>
            <w:r>
              <w:rPr>
                <w:sz w:val="20"/>
              </w:rPr>
              <w:t>masticación</w:t>
            </w:r>
            <w:r>
              <w:rPr>
                <w:spacing w:val="-10"/>
                <w:sz w:val="20"/>
              </w:rPr>
              <w:t> </w:t>
            </w:r>
            <w:r>
              <w:rPr>
                <w:sz w:val="20"/>
              </w:rPr>
              <w:t>posible,</w:t>
            </w:r>
            <w:r>
              <w:rPr>
                <w:spacing w:val="-9"/>
                <w:sz w:val="20"/>
              </w:rPr>
              <w:t> </w:t>
            </w:r>
            <w:r>
              <w:rPr>
                <w:sz w:val="20"/>
              </w:rPr>
              <w:t>pero</w:t>
            </w:r>
            <w:r>
              <w:rPr>
                <w:spacing w:val="-9"/>
                <w:sz w:val="20"/>
              </w:rPr>
              <w:t> </w:t>
            </w:r>
            <w:r>
              <w:rPr>
                <w:spacing w:val="-2"/>
                <w:sz w:val="20"/>
              </w:rPr>
              <w:t>limitada.</w:t>
            </w:r>
          </w:p>
        </w:tc>
        <w:tc>
          <w:tcPr>
            <w:tcW w:w="1561" w:type="dxa"/>
          </w:tcPr>
          <w:p>
            <w:pPr>
              <w:pStyle w:val="TableParagraph"/>
              <w:ind w:left="11" w:right="9"/>
              <w:rPr>
                <w:sz w:val="20"/>
              </w:rPr>
            </w:pPr>
            <w:r>
              <w:rPr>
                <w:sz w:val="20"/>
              </w:rPr>
              <w:t>20</w:t>
            </w:r>
            <w:r>
              <w:rPr>
                <w:spacing w:val="-3"/>
                <w:sz w:val="20"/>
              </w:rPr>
              <w:t> </w:t>
            </w:r>
            <w:r>
              <w:rPr>
                <w:sz w:val="20"/>
              </w:rPr>
              <w:t>a</w:t>
            </w:r>
            <w:r>
              <w:rPr>
                <w:spacing w:val="-1"/>
                <w:sz w:val="20"/>
              </w:rPr>
              <w:t> </w:t>
            </w:r>
            <w:r>
              <w:rPr>
                <w:spacing w:val="-5"/>
                <w:sz w:val="20"/>
              </w:rPr>
              <w:t>30%</w:t>
            </w:r>
          </w:p>
        </w:tc>
      </w:tr>
      <w:tr>
        <w:trPr>
          <w:trHeight w:val="460" w:hRule="atLeast"/>
        </w:trPr>
        <w:tc>
          <w:tcPr>
            <w:tcW w:w="1066" w:type="dxa"/>
          </w:tcPr>
          <w:p>
            <w:pPr>
              <w:pStyle w:val="TableParagraph"/>
              <w:spacing w:line="240" w:lineRule="auto" w:before="114"/>
              <w:ind w:left="9"/>
              <w:rPr>
                <w:sz w:val="20"/>
              </w:rPr>
            </w:pPr>
            <w:r>
              <w:rPr>
                <w:spacing w:val="-5"/>
                <w:sz w:val="20"/>
              </w:rPr>
              <w:t>321</w:t>
            </w:r>
          </w:p>
        </w:tc>
        <w:tc>
          <w:tcPr>
            <w:tcW w:w="6924" w:type="dxa"/>
          </w:tcPr>
          <w:p>
            <w:pPr>
              <w:pStyle w:val="TableParagraph"/>
              <w:spacing w:line="230" w:lineRule="exact"/>
              <w:jc w:val="left"/>
              <w:rPr>
                <w:sz w:val="20"/>
              </w:rPr>
            </w:pPr>
            <w:r>
              <w:rPr>
                <w:sz w:val="20"/>
              </w:rPr>
              <w:t>Pseudoartrosis</w:t>
            </w:r>
            <w:r>
              <w:rPr>
                <w:spacing w:val="-2"/>
                <w:sz w:val="20"/>
              </w:rPr>
              <w:t> </w:t>
            </w:r>
            <w:r>
              <w:rPr>
                <w:sz w:val="20"/>
              </w:rPr>
              <w:t>del</w:t>
            </w:r>
            <w:r>
              <w:rPr>
                <w:spacing w:val="-4"/>
                <w:sz w:val="20"/>
              </w:rPr>
              <w:t> </w:t>
            </w:r>
            <w:r>
              <w:rPr>
                <w:sz w:val="20"/>
              </w:rPr>
              <w:t>maxilar</w:t>
            </w:r>
            <w:r>
              <w:rPr>
                <w:spacing w:val="-2"/>
                <w:sz w:val="20"/>
              </w:rPr>
              <w:t> </w:t>
            </w:r>
            <w:r>
              <w:rPr>
                <w:sz w:val="20"/>
              </w:rPr>
              <w:t>con</w:t>
            </w:r>
            <w:r>
              <w:rPr>
                <w:spacing w:val="-4"/>
                <w:sz w:val="20"/>
              </w:rPr>
              <w:t> </w:t>
            </w:r>
            <w:r>
              <w:rPr>
                <w:sz w:val="20"/>
              </w:rPr>
              <w:t>masticación</w:t>
            </w:r>
            <w:r>
              <w:rPr>
                <w:spacing w:val="-4"/>
                <w:sz w:val="20"/>
              </w:rPr>
              <w:t> </w:t>
            </w:r>
            <w:r>
              <w:rPr>
                <w:sz w:val="20"/>
              </w:rPr>
              <w:t>posible,</w:t>
            </w:r>
            <w:r>
              <w:rPr>
                <w:spacing w:val="-2"/>
                <w:sz w:val="20"/>
              </w:rPr>
              <w:t> </w:t>
            </w:r>
            <w:r>
              <w:rPr>
                <w:sz w:val="20"/>
              </w:rPr>
              <w:t>en</w:t>
            </w:r>
            <w:r>
              <w:rPr>
                <w:spacing w:val="-3"/>
                <w:sz w:val="20"/>
              </w:rPr>
              <w:t> </w:t>
            </w:r>
            <w:r>
              <w:rPr>
                <w:sz w:val="20"/>
              </w:rPr>
              <w:t>caso</w:t>
            </w:r>
            <w:r>
              <w:rPr>
                <w:spacing w:val="-3"/>
                <w:sz w:val="20"/>
              </w:rPr>
              <w:t> </w:t>
            </w:r>
            <w:r>
              <w:rPr>
                <w:sz w:val="20"/>
              </w:rPr>
              <w:t>de</w:t>
            </w:r>
            <w:r>
              <w:rPr>
                <w:spacing w:val="-4"/>
                <w:sz w:val="20"/>
              </w:rPr>
              <w:t> </w:t>
            </w:r>
            <w:r>
              <w:rPr>
                <w:sz w:val="20"/>
              </w:rPr>
              <w:t>prótesis</w:t>
            </w:r>
            <w:r>
              <w:rPr>
                <w:spacing w:val="-2"/>
                <w:sz w:val="20"/>
              </w:rPr>
              <w:t> </w:t>
            </w:r>
            <w:r>
              <w:rPr>
                <w:sz w:val="20"/>
              </w:rPr>
              <w:t>con mejoría comprobada de la masticación.</w:t>
            </w:r>
          </w:p>
        </w:tc>
        <w:tc>
          <w:tcPr>
            <w:tcW w:w="1561" w:type="dxa"/>
          </w:tcPr>
          <w:p>
            <w:pPr>
              <w:pStyle w:val="TableParagraph"/>
              <w:spacing w:line="240" w:lineRule="auto" w:before="114"/>
              <w:ind w:left="11" w:right="8"/>
              <w:rPr>
                <w:sz w:val="20"/>
              </w:rPr>
            </w:pPr>
            <w:r>
              <w:rPr>
                <w:sz w:val="20"/>
              </w:rPr>
              <w:t>5</w:t>
            </w:r>
            <w:r>
              <w:rPr>
                <w:spacing w:val="-3"/>
                <w:sz w:val="20"/>
              </w:rPr>
              <w:t> </w:t>
            </w:r>
            <w:r>
              <w:rPr>
                <w:sz w:val="20"/>
              </w:rPr>
              <w:t>a</w:t>
            </w:r>
            <w:r>
              <w:rPr>
                <w:spacing w:val="-3"/>
                <w:sz w:val="20"/>
              </w:rPr>
              <w:t> </w:t>
            </w:r>
            <w:r>
              <w:rPr>
                <w:spacing w:val="-5"/>
                <w:sz w:val="20"/>
              </w:rPr>
              <w:t>15%</w:t>
            </w:r>
          </w:p>
        </w:tc>
      </w:tr>
      <w:tr>
        <w:trPr>
          <w:trHeight w:val="457" w:hRule="atLeast"/>
        </w:trPr>
        <w:tc>
          <w:tcPr>
            <w:tcW w:w="1066" w:type="dxa"/>
          </w:tcPr>
          <w:p>
            <w:pPr>
              <w:pStyle w:val="TableParagraph"/>
              <w:spacing w:line="240" w:lineRule="auto" w:before="114"/>
              <w:ind w:left="9"/>
              <w:rPr>
                <w:sz w:val="20"/>
              </w:rPr>
            </w:pPr>
            <w:r>
              <w:rPr>
                <w:spacing w:val="-5"/>
                <w:sz w:val="20"/>
              </w:rPr>
              <w:t>322</w:t>
            </w:r>
          </w:p>
        </w:tc>
        <w:tc>
          <w:tcPr>
            <w:tcW w:w="6924" w:type="dxa"/>
          </w:tcPr>
          <w:p>
            <w:pPr>
              <w:pStyle w:val="TableParagraph"/>
              <w:tabs>
                <w:tab w:pos="1107" w:val="left" w:leader="none"/>
                <w:tab w:pos="1575" w:val="left" w:leader="none"/>
                <w:tab w:pos="2778" w:val="left" w:leader="none"/>
                <w:tab w:pos="3248" w:val="left" w:leader="none"/>
                <w:tab w:pos="3651" w:val="left" w:leader="none"/>
                <w:tab w:pos="4555" w:val="left" w:leader="none"/>
                <w:tab w:pos="5565" w:val="left" w:leader="none"/>
                <w:tab w:pos="6032" w:val="left" w:leader="none"/>
              </w:tabs>
              <w:spacing w:line="228" w:lineRule="exact"/>
              <w:ind w:right="62"/>
              <w:jc w:val="left"/>
              <w:rPr>
                <w:sz w:val="20"/>
              </w:rPr>
            </w:pPr>
            <w:r>
              <w:rPr>
                <w:spacing w:val="-2"/>
                <w:sz w:val="20"/>
              </w:rPr>
              <w:t>Pérdidas</w:t>
            </w:r>
            <w:r>
              <w:rPr>
                <w:sz w:val="20"/>
              </w:rPr>
              <w:tab/>
            </w:r>
            <w:r>
              <w:rPr>
                <w:spacing w:val="-6"/>
                <w:sz w:val="20"/>
              </w:rPr>
              <w:t>de</w:t>
            </w:r>
            <w:r>
              <w:rPr>
                <w:sz w:val="20"/>
              </w:rPr>
              <w:tab/>
            </w:r>
            <w:r>
              <w:rPr>
                <w:spacing w:val="-2"/>
                <w:sz w:val="20"/>
              </w:rPr>
              <w:t>substancia</w:t>
            </w:r>
            <w:r>
              <w:rPr>
                <w:sz w:val="20"/>
              </w:rPr>
              <w:tab/>
            </w:r>
            <w:r>
              <w:rPr>
                <w:spacing w:val="-6"/>
                <w:sz w:val="20"/>
              </w:rPr>
              <w:t>en</w:t>
            </w:r>
            <w:r>
              <w:rPr>
                <w:sz w:val="20"/>
              </w:rPr>
              <w:tab/>
            </w:r>
            <w:r>
              <w:rPr>
                <w:spacing w:val="-6"/>
                <w:sz w:val="20"/>
              </w:rPr>
              <w:t>la</w:t>
            </w:r>
            <w:r>
              <w:rPr>
                <w:sz w:val="20"/>
              </w:rPr>
              <w:tab/>
            </w:r>
            <w:r>
              <w:rPr>
                <w:spacing w:val="-2"/>
                <w:sz w:val="20"/>
              </w:rPr>
              <w:t>bóveda</w:t>
            </w:r>
            <w:r>
              <w:rPr>
                <w:sz w:val="20"/>
              </w:rPr>
              <w:tab/>
            </w:r>
            <w:r>
              <w:rPr>
                <w:spacing w:val="-2"/>
                <w:sz w:val="20"/>
              </w:rPr>
              <w:t>palatina,</w:t>
            </w:r>
            <w:r>
              <w:rPr>
                <w:sz w:val="20"/>
              </w:rPr>
              <w:tab/>
            </w:r>
            <w:r>
              <w:rPr>
                <w:spacing w:val="-6"/>
                <w:sz w:val="20"/>
              </w:rPr>
              <w:t>no</w:t>
            </w:r>
            <w:r>
              <w:rPr>
                <w:sz w:val="20"/>
              </w:rPr>
              <w:tab/>
            </w:r>
            <w:r>
              <w:rPr>
                <w:spacing w:val="-2"/>
                <w:sz w:val="20"/>
              </w:rPr>
              <w:t>resueltas </w:t>
            </w:r>
            <w:r>
              <w:rPr>
                <w:sz w:val="20"/>
              </w:rPr>
              <w:t>quirúrgicamente, según el sitio y la extensión.</w:t>
            </w:r>
          </w:p>
        </w:tc>
        <w:tc>
          <w:tcPr>
            <w:tcW w:w="1561" w:type="dxa"/>
          </w:tcPr>
          <w:p>
            <w:pPr>
              <w:pStyle w:val="TableParagraph"/>
              <w:spacing w:line="240" w:lineRule="auto" w:before="114"/>
              <w:ind w:left="11" w:right="9"/>
              <w:rPr>
                <w:sz w:val="20"/>
              </w:rPr>
            </w:pPr>
            <w:r>
              <w:rPr>
                <w:sz w:val="20"/>
              </w:rPr>
              <w:t>15</w:t>
            </w:r>
            <w:r>
              <w:rPr>
                <w:spacing w:val="-3"/>
                <w:sz w:val="20"/>
              </w:rPr>
              <w:t> </w:t>
            </w:r>
            <w:r>
              <w:rPr>
                <w:sz w:val="20"/>
              </w:rPr>
              <w:t>a</w:t>
            </w:r>
            <w:r>
              <w:rPr>
                <w:spacing w:val="-1"/>
                <w:sz w:val="20"/>
              </w:rPr>
              <w:t> </w:t>
            </w:r>
            <w:r>
              <w:rPr>
                <w:spacing w:val="-5"/>
                <w:sz w:val="20"/>
              </w:rPr>
              <w:t>35%</w:t>
            </w:r>
          </w:p>
        </w:tc>
      </w:tr>
      <w:tr>
        <w:trPr>
          <w:trHeight w:val="460" w:hRule="atLeast"/>
        </w:trPr>
        <w:tc>
          <w:tcPr>
            <w:tcW w:w="1066" w:type="dxa"/>
          </w:tcPr>
          <w:p>
            <w:pPr>
              <w:pStyle w:val="TableParagraph"/>
              <w:spacing w:line="240" w:lineRule="auto" w:before="115"/>
              <w:ind w:left="9"/>
              <w:rPr>
                <w:sz w:val="20"/>
              </w:rPr>
            </w:pPr>
            <w:r>
              <w:rPr>
                <w:spacing w:val="-5"/>
                <w:sz w:val="20"/>
              </w:rPr>
              <w:t>323</w:t>
            </w:r>
          </w:p>
        </w:tc>
        <w:tc>
          <w:tcPr>
            <w:tcW w:w="6924" w:type="dxa"/>
          </w:tcPr>
          <w:p>
            <w:pPr>
              <w:pStyle w:val="TableParagraph"/>
              <w:spacing w:line="228" w:lineRule="exact"/>
              <w:jc w:val="left"/>
              <w:rPr>
                <w:sz w:val="20"/>
              </w:rPr>
            </w:pPr>
            <w:r>
              <w:rPr>
                <w:sz w:val="20"/>
              </w:rPr>
              <w:t>Pérdidas</w:t>
            </w:r>
            <w:r>
              <w:rPr>
                <w:spacing w:val="40"/>
                <w:sz w:val="20"/>
              </w:rPr>
              <w:t> </w:t>
            </w:r>
            <w:r>
              <w:rPr>
                <w:sz w:val="20"/>
              </w:rPr>
              <w:t>de</w:t>
            </w:r>
            <w:r>
              <w:rPr>
                <w:spacing w:val="40"/>
                <w:sz w:val="20"/>
              </w:rPr>
              <w:t> </w:t>
            </w:r>
            <w:r>
              <w:rPr>
                <w:sz w:val="20"/>
              </w:rPr>
              <w:t>substancia</w:t>
            </w:r>
            <w:r>
              <w:rPr>
                <w:spacing w:val="40"/>
                <w:sz w:val="20"/>
              </w:rPr>
              <w:t> </w:t>
            </w:r>
            <w:r>
              <w:rPr>
                <w:sz w:val="20"/>
              </w:rPr>
              <w:t>en</w:t>
            </w:r>
            <w:r>
              <w:rPr>
                <w:spacing w:val="40"/>
                <w:sz w:val="20"/>
              </w:rPr>
              <w:t> </w:t>
            </w:r>
            <w:r>
              <w:rPr>
                <w:sz w:val="20"/>
              </w:rPr>
              <w:t>la</w:t>
            </w:r>
            <w:r>
              <w:rPr>
                <w:spacing w:val="40"/>
                <w:sz w:val="20"/>
              </w:rPr>
              <w:t> </w:t>
            </w:r>
            <w:r>
              <w:rPr>
                <w:sz w:val="20"/>
              </w:rPr>
              <w:t>bóveda</w:t>
            </w:r>
            <w:r>
              <w:rPr>
                <w:spacing w:val="40"/>
                <w:sz w:val="20"/>
              </w:rPr>
              <w:t> </w:t>
            </w:r>
            <w:r>
              <w:rPr>
                <w:sz w:val="20"/>
              </w:rPr>
              <w:t>palatina,</w:t>
            </w:r>
            <w:r>
              <w:rPr>
                <w:spacing w:val="40"/>
                <w:sz w:val="20"/>
              </w:rPr>
              <w:t> </w:t>
            </w:r>
            <w:r>
              <w:rPr>
                <w:sz w:val="20"/>
              </w:rPr>
              <w:t>en</w:t>
            </w:r>
            <w:r>
              <w:rPr>
                <w:spacing w:val="40"/>
                <w:sz w:val="20"/>
              </w:rPr>
              <w:t> </w:t>
            </w:r>
            <w:r>
              <w:rPr>
                <w:sz w:val="20"/>
              </w:rPr>
              <w:t>caso</w:t>
            </w:r>
            <w:r>
              <w:rPr>
                <w:spacing w:val="40"/>
                <w:sz w:val="20"/>
              </w:rPr>
              <w:t> </w:t>
            </w:r>
            <w:r>
              <w:rPr>
                <w:sz w:val="20"/>
              </w:rPr>
              <w:t>de</w:t>
            </w:r>
            <w:r>
              <w:rPr>
                <w:spacing w:val="40"/>
                <w:sz w:val="20"/>
              </w:rPr>
              <w:t> </w:t>
            </w:r>
            <w:r>
              <w:rPr>
                <w:sz w:val="20"/>
              </w:rPr>
              <w:t>prótesis</w:t>
            </w:r>
            <w:r>
              <w:rPr>
                <w:spacing w:val="40"/>
                <w:sz w:val="20"/>
              </w:rPr>
              <w:t> </w:t>
            </w:r>
            <w:r>
              <w:rPr>
                <w:sz w:val="20"/>
              </w:rPr>
              <w:t>con mejoría funcional comprobada.</w:t>
            </w:r>
          </w:p>
        </w:tc>
        <w:tc>
          <w:tcPr>
            <w:tcW w:w="1561" w:type="dxa"/>
          </w:tcPr>
          <w:p>
            <w:pPr>
              <w:pStyle w:val="TableParagraph"/>
              <w:spacing w:line="240" w:lineRule="auto" w:before="115"/>
              <w:ind w:left="11" w:right="8"/>
              <w:rPr>
                <w:sz w:val="20"/>
              </w:rPr>
            </w:pPr>
            <w:r>
              <w:rPr>
                <w:sz w:val="20"/>
              </w:rPr>
              <w:t>5</w:t>
            </w:r>
            <w:r>
              <w:rPr>
                <w:spacing w:val="-3"/>
                <w:sz w:val="20"/>
              </w:rPr>
              <w:t> </w:t>
            </w:r>
            <w:r>
              <w:rPr>
                <w:sz w:val="20"/>
              </w:rPr>
              <w:t>a</w:t>
            </w:r>
            <w:r>
              <w:rPr>
                <w:spacing w:val="-3"/>
                <w:sz w:val="20"/>
              </w:rPr>
              <w:t> </w:t>
            </w:r>
            <w:r>
              <w:rPr>
                <w:spacing w:val="-5"/>
                <w:sz w:val="20"/>
              </w:rPr>
              <w:t>10%</w:t>
            </w:r>
          </w:p>
        </w:tc>
      </w:tr>
      <w:tr>
        <w:trPr>
          <w:trHeight w:val="460" w:hRule="atLeast"/>
        </w:trPr>
        <w:tc>
          <w:tcPr>
            <w:tcW w:w="1066" w:type="dxa"/>
          </w:tcPr>
          <w:p>
            <w:pPr>
              <w:pStyle w:val="TableParagraph"/>
              <w:spacing w:line="240" w:lineRule="auto" w:before="114"/>
              <w:ind w:left="9"/>
              <w:rPr>
                <w:sz w:val="20"/>
              </w:rPr>
            </w:pPr>
            <w:r>
              <w:rPr>
                <w:spacing w:val="-5"/>
                <w:sz w:val="20"/>
              </w:rPr>
              <w:t>324</w:t>
            </w:r>
          </w:p>
        </w:tc>
        <w:tc>
          <w:tcPr>
            <w:tcW w:w="6924" w:type="dxa"/>
          </w:tcPr>
          <w:p>
            <w:pPr>
              <w:pStyle w:val="TableParagraph"/>
              <w:spacing w:line="230" w:lineRule="exact"/>
              <w:jc w:val="left"/>
              <w:rPr>
                <w:sz w:val="20"/>
              </w:rPr>
            </w:pPr>
            <w:r>
              <w:rPr>
                <w:sz w:val="20"/>
              </w:rPr>
              <w:t>Pseudoartrosis</w:t>
            </w:r>
            <w:r>
              <w:rPr>
                <w:spacing w:val="34"/>
                <w:sz w:val="20"/>
              </w:rPr>
              <w:t> </w:t>
            </w:r>
            <w:r>
              <w:rPr>
                <w:sz w:val="20"/>
              </w:rPr>
              <w:t>de</w:t>
            </w:r>
            <w:r>
              <w:rPr>
                <w:spacing w:val="32"/>
                <w:sz w:val="20"/>
              </w:rPr>
              <w:t> </w:t>
            </w:r>
            <w:r>
              <w:rPr>
                <w:sz w:val="20"/>
              </w:rPr>
              <w:t>la</w:t>
            </w:r>
            <w:r>
              <w:rPr>
                <w:spacing w:val="31"/>
                <w:sz w:val="20"/>
              </w:rPr>
              <w:t> </w:t>
            </w:r>
            <w:r>
              <w:rPr>
                <w:sz w:val="20"/>
              </w:rPr>
              <w:t>rama</w:t>
            </w:r>
            <w:r>
              <w:rPr>
                <w:spacing w:val="29"/>
                <w:sz w:val="20"/>
              </w:rPr>
              <w:t> </w:t>
            </w:r>
            <w:r>
              <w:rPr>
                <w:sz w:val="20"/>
              </w:rPr>
              <w:t>ascendente</w:t>
            </w:r>
            <w:r>
              <w:rPr>
                <w:spacing w:val="32"/>
                <w:sz w:val="20"/>
              </w:rPr>
              <w:t> </w:t>
            </w:r>
            <w:r>
              <w:rPr>
                <w:sz w:val="20"/>
              </w:rPr>
              <w:t>de</w:t>
            </w:r>
            <w:r>
              <w:rPr>
                <w:spacing w:val="32"/>
                <w:sz w:val="20"/>
              </w:rPr>
              <w:t> </w:t>
            </w:r>
            <w:r>
              <w:rPr>
                <w:sz w:val="20"/>
              </w:rPr>
              <w:t>la</w:t>
            </w:r>
            <w:r>
              <w:rPr>
                <w:spacing w:val="31"/>
                <w:sz w:val="20"/>
              </w:rPr>
              <w:t> </w:t>
            </w:r>
            <w:r>
              <w:rPr>
                <w:sz w:val="20"/>
              </w:rPr>
              <w:t>mandíbula,</w:t>
            </w:r>
            <w:r>
              <w:rPr>
                <w:spacing w:val="32"/>
                <w:sz w:val="20"/>
              </w:rPr>
              <w:t> </w:t>
            </w:r>
            <w:r>
              <w:rPr>
                <w:sz w:val="20"/>
              </w:rPr>
              <w:t>con</w:t>
            </w:r>
            <w:r>
              <w:rPr>
                <w:spacing w:val="31"/>
                <w:sz w:val="20"/>
              </w:rPr>
              <w:t> </w:t>
            </w:r>
            <w:r>
              <w:rPr>
                <w:sz w:val="20"/>
              </w:rPr>
              <w:t>masticación </w:t>
            </w:r>
            <w:r>
              <w:rPr>
                <w:spacing w:val="-2"/>
                <w:sz w:val="20"/>
              </w:rPr>
              <w:t>posible.</w:t>
            </w:r>
          </w:p>
        </w:tc>
        <w:tc>
          <w:tcPr>
            <w:tcW w:w="1561" w:type="dxa"/>
          </w:tcPr>
          <w:p>
            <w:pPr>
              <w:pStyle w:val="TableParagraph"/>
              <w:spacing w:line="240" w:lineRule="auto" w:before="114"/>
              <w:ind w:left="11" w:right="8"/>
              <w:rPr>
                <w:sz w:val="20"/>
              </w:rPr>
            </w:pPr>
            <w:r>
              <w:rPr>
                <w:sz w:val="20"/>
              </w:rPr>
              <w:t>5</w:t>
            </w:r>
            <w:r>
              <w:rPr>
                <w:spacing w:val="-3"/>
                <w:sz w:val="20"/>
              </w:rPr>
              <w:t> </w:t>
            </w:r>
            <w:r>
              <w:rPr>
                <w:sz w:val="20"/>
              </w:rPr>
              <w:t>a</w:t>
            </w:r>
            <w:r>
              <w:rPr>
                <w:spacing w:val="-3"/>
                <w:sz w:val="20"/>
              </w:rPr>
              <w:t> </w:t>
            </w:r>
            <w:r>
              <w:rPr>
                <w:spacing w:val="-5"/>
                <w:sz w:val="20"/>
              </w:rPr>
              <w:t>10%</w:t>
            </w:r>
          </w:p>
        </w:tc>
      </w:tr>
      <w:tr>
        <w:trPr>
          <w:trHeight w:val="460" w:hRule="atLeast"/>
        </w:trPr>
        <w:tc>
          <w:tcPr>
            <w:tcW w:w="1066" w:type="dxa"/>
          </w:tcPr>
          <w:p>
            <w:pPr>
              <w:pStyle w:val="TableParagraph"/>
              <w:spacing w:line="240" w:lineRule="auto" w:before="114"/>
              <w:ind w:left="9"/>
              <w:rPr>
                <w:sz w:val="20"/>
              </w:rPr>
            </w:pPr>
            <w:r>
              <w:rPr>
                <w:spacing w:val="-5"/>
                <w:sz w:val="20"/>
              </w:rPr>
              <w:t>325</w:t>
            </w:r>
          </w:p>
        </w:tc>
        <w:tc>
          <w:tcPr>
            <w:tcW w:w="6924" w:type="dxa"/>
          </w:tcPr>
          <w:p>
            <w:pPr>
              <w:pStyle w:val="TableParagraph"/>
              <w:spacing w:line="230" w:lineRule="exact"/>
              <w:jc w:val="left"/>
              <w:rPr>
                <w:sz w:val="20"/>
              </w:rPr>
            </w:pPr>
            <w:r>
              <w:rPr>
                <w:sz w:val="20"/>
              </w:rPr>
              <w:t>Pseudoartrosis</w:t>
            </w:r>
            <w:r>
              <w:rPr>
                <w:spacing w:val="39"/>
                <w:sz w:val="20"/>
              </w:rPr>
              <w:t> </w:t>
            </w:r>
            <w:r>
              <w:rPr>
                <w:sz w:val="20"/>
              </w:rPr>
              <w:t>de</w:t>
            </w:r>
            <w:r>
              <w:rPr>
                <w:spacing w:val="39"/>
                <w:sz w:val="20"/>
              </w:rPr>
              <w:t> </w:t>
            </w:r>
            <w:r>
              <w:rPr>
                <w:sz w:val="20"/>
              </w:rPr>
              <w:t>la</w:t>
            </w:r>
            <w:r>
              <w:rPr>
                <w:spacing w:val="37"/>
                <w:sz w:val="20"/>
              </w:rPr>
              <w:t> </w:t>
            </w:r>
            <w:r>
              <w:rPr>
                <w:sz w:val="20"/>
              </w:rPr>
              <w:t>rama</w:t>
            </w:r>
            <w:r>
              <w:rPr>
                <w:spacing w:val="37"/>
                <w:sz w:val="20"/>
              </w:rPr>
              <w:t> </w:t>
            </w:r>
            <w:r>
              <w:rPr>
                <w:sz w:val="20"/>
              </w:rPr>
              <w:t>ascendente</w:t>
            </w:r>
            <w:r>
              <w:rPr>
                <w:spacing w:val="37"/>
                <w:sz w:val="20"/>
              </w:rPr>
              <w:t> </w:t>
            </w:r>
            <w:r>
              <w:rPr>
                <w:sz w:val="20"/>
              </w:rPr>
              <w:t>de</w:t>
            </w:r>
            <w:r>
              <w:rPr>
                <w:spacing w:val="37"/>
                <w:sz w:val="20"/>
              </w:rPr>
              <w:t> </w:t>
            </w:r>
            <w:r>
              <w:rPr>
                <w:sz w:val="20"/>
              </w:rPr>
              <w:t>la</w:t>
            </w:r>
            <w:r>
              <w:rPr>
                <w:spacing w:val="37"/>
                <w:sz w:val="20"/>
              </w:rPr>
              <w:t> </w:t>
            </w:r>
            <w:r>
              <w:rPr>
                <w:sz w:val="20"/>
              </w:rPr>
              <w:t>mandíbula</w:t>
            </w:r>
            <w:r>
              <w:rPr>
                <w:spacing w:val="37"/>
                <w:sz w:val="20"/>
              </w:rPr>
              <w:t> </w:t>
            </w:r>
            <w:r>
              <w:rPr>
                <w:sz w:val="20"/>
              </w:rPr>
              <w:t>con</w:t>
            </w:r>
            <w:r>
              <w:rPr>
                <w:spacing w:val="37"/>
                <w:sz w:val="20"/>
              </w:rPr>
              <w:t> </w:t>
            </w:r>
            <w:r>
              <w:rPr>
                <w:sz w:val="20"/>
              </w:rPr>
              <w:t>masticación </w:t>
            </w:r>
            <w:r>
              <w:rPr>
                <w:spacing w:val="-2"/>
                <w:sz w:val="20"/>
              </w:rPr>
              <w:t>imposible.</w:t>
            </w:r>
          </w:p>
        </w:tc>
        <w:tc>
          <w:tcPr>
            <w:tcW w:w="1561" w:type="dxa"/>
          </w:tcPr>
          <w:p>
            <w:pPr>
              <w:pStyle w:val="TableParagraph"/>
              <w:spacing w:line="240" w:lineRule="auto" w:before="114"/>
              <w:ind w:left="11" w:right="9"/>
              <w:rPr>
                <w:sz w:val="20"/>
              </w:rPr>
            </w:pPr>
            <w:r>
              <w:rPr>
                <w:sz w:val="20"/>
              </w:rPr>
              <w:t>15</w:t>
            </w:r>
            <w:r>
              <w:rPr>
                <w:spacing w:val="-3"/>
                <w:sz w:val="20"/>
              </w:rPr>
              <w:t> </w:t>
            </w:r>
            <w:r>
              <w:rPr>
                <w:sz w:val="20"/>
              </w:rPr>
              <w:t>a</w:t>
            </w:r>
            <w:r>
              <w:rPr>
                <w:spacing w:val="-1"/>
                <w:sz w:val="20"/>
              </w:rPr>
              <w:t> </w:t>
            </w:r>
            <w:r>
              <w:rPr>
                <w:spacing w:val="-5"/>
                <w:sz w:val="20"/>
              </w:rPr>
              <w:t>25%</w:t>
            </w:r>
          </w:p>
        </w:tc>
      </w:tr>
      <w:tr>
        <w:trPr>
          <w:trHeight w:val="460" w:hRule="atLeast"/>
        </w:trPr>
        <w:tc>
          <w:tcPr>
            <w:tcW w:w="1066" w:type="dxa"/>
          </w:tcPr>
          <w:p>
            <w:pPr>
              <w:pStyle w:val="TableParagraph"/>
              <w:spacing w:line="240" w:lineRule="auto" w:before="114"/>
              <w:ind w:left="9"/>
              <w:rPr>
                <w:sz w:val="20"/>
              </w:rPr>
            </w:pPr>
            <w:r>
              <w:rPr>
                <w:spacing w:val="-5"/>
                <w:sz w:val="20"/>
              </w:rPr>
              <w:t>326</w:t>
            </w:r>
          </w:p>
        </w:tc>
        <w:tc>
          <w:tcPr>
            <w:tcW w:w="6924" w:type="dxa"/>
          </w:tcPr>
          <w:p>
            <w:pPr>
              <w:pStyle w:val="TableParagraph"/>
              <w:spacing w:line="230" w:lineRule="exact"/>
              <w:jc w:val="left"/>
              <w:rPr>
                <w:sz w:val="20"/>
              </w:rPr>
            </w:pPr>
            <w:r>
              <w:rPr>
                <w:sz w:val="20"/>
              </w:rPr>
              <w:t>Pseudoartrosis</w:t>
            </w:r>
            <w:r>
              <w:rPr>
                <w:spacing w:val="40"/>
                <w:sz w:val="20"/>
              </w:rPr>
              <w:t> </w:t>
            </w:r>
            <w:r>
              <w:rPr>
                <w:sz w:val="20"/>
              </w:rPr>
              <w:t>de</w:t>
            </w:r>
            <w:r>
              <w:rPr>
                <w:spacing w:val="40"/>
                <w:sz w:val="20"/>
              </w:rPr>
              <w:t> </w:t>
            </w:r>
            <w:r>
              <w:rPr>
                <w:sz w:val="20"/>
              </w:rPr>
              <w:t>la</w:t>
            </w:r>
            <w:r>
              <w:rPr>
                <w:spacing w:val="40"/>
                <w:sz w:val="20"/>
              </w:rPr>
              <w:t> </w:t>
            </w:r>
            <w:r>
              <w:rPr>
                <w:sz w:val="20"/>
              </w:rPr>
              <w:t>rama</w:t>
            </w:r>
            <w:r>
              <w:rPr>
                <w:spacing w:val="40"/>
                <w:sz w:val="20"/>
              </w:rPr>
              <w:t> </w:t>
            </w:r>
            <w:r>
              <w:rPr>
                <w:sz w:val="20"/>
              </w:rPr>
              <w:t>horizontal</w:t>
            </w:r>
            <w:r>
              <w:rPr>
                <w:spacing w:val="40"/>
                <w:sz w:val="20"/>
              </w:rPr>
              <w:t> </w:t>
            </w:r>
            <w:r>
              <w:rPr>
                <w:sz w:val="20"/>
              </w:rPr>
              <w:t>de</w:t>
            </w:r>
            <w:r>
              <w:rPr>
                <w:spacing w:val="40"/>
                <w:sz w:val="20"/>
              </w:rPr>
              <w:t> </w:t>
            </w:r>
            <w:r>
              <w:rPr>
                <w:sz w:val="20"/>
              </w:rPr>
              <w:t>la</w:t>
            </w:r>
            <w:r>
              <w:rPr>
                <w:spacing w:val="40"/>
                <w:sz w:val="20"/>
              </w:rPr>
              <w:t> </w:t>
            </w:r>
            <w:r>
              <w:rPr>
                <w:sz w:val="20"/>
              </w:rPr>
              <w:t>mandíbula</w:t>
            </w:r>
            <w:r>
              <w:rPr>
                <w:spacing w:val="40"/>
                <w:sz w:val="20"/>
              </w:rPr>
              <w:t> </w:t>
            </w:r>
            <w:r>
              <w:rPr>
                <w:sz w:val="20"/>
              </w:rPr>
              <w:t>con</w:t>
            </w:r>
            <w:r>
              <w:rPr>
                <w:spacing w:val="40"/>
                <w:sz w:val="20"/>
              </w:rPr>
              <w:t> </w:t>
            </w:r>
            <w:r>
              <w:rPr>
                <w:sz w:val="20"/>
              </w:rPr>
              <w:t>masticación </w:t>
            </w:r>
            <w:r>
              <w:rPr>
                <w:spacing w:val="-2"/>
                <w:sz w:val="20"/>
              </w:rPr>
              <w:t>posible.</w:t>
            </w:r>
          </w:p>
        </w:tc>
        <w:tc>
          <w:tcPr>
            <w:tcW w:w="1561" w:type="dxa"/>
          </w:tcPr>
          <w:p>
            <w:pPr>
              <w:pStyle w:val="TableParagraph"/>
              <w:spacing w:line="240" w:lineRule="auto" w:before="114"/>
              <w:ind w:left="11" w:right="9"/>
              <w:rPr>
                <w:sz w:val="20"/>
              </w:rPr>
            </w:pPr>
            <w:r>
              <w:rPr>
                <w:sz w:val="20"/>
              </w:rPr>
              <w:t>10</w:t>
            </w:r>
            <w:r>
              <w:rPr>
                <w:spacing w:val="-3"/>
                <w:sz w:val="20"/>
              </w:rPr>
              <w:t> </w:t>
            </w:r>
            <w:r>
              <w:rPr>
                <w:sz w:val="20"/>
              </w:rPr>
              <w:t>a</w:t>
            </w:r>
            <w:r>
              <w:rPr>
                <w:spacing w:val="-1"/>
                <w:sz w:val="20"/>
              </w:rPr>
              <w:t> </w:t>
            </w:r>
            <w:r>
              <w:rPr>
                <w:spacing w:val="-5"/>
                <w:sz w:val="20"/>
              </w:rPr>
              <w:t>20%</w:t>
            </w:r>
          </w:p>
        </w:tc>
      </w:tr>
      <w:tr>
        <w:trPr>
          <w:trHeight w:val="460" w:hRule="atLeast"/>
        </w:trPr>
        <w:tc>
          <w:tcPr>
            <w:tcW w:w="1066" w:type="dxa"/>
          </w:tcPr>
          <w:p>
            <w:pPr>
              <w:pStyle w:val="TableParagraph"/>
              <w:spacing w:line="240" w:lineRule="auto" w:before="114"/>
              <w:ind w:left="9"/>
              <w:rPr>
                <w:sz w:val="20"/>
              </w:rPr>
            </w:pPr>
            <w:r>
              <w:rPr>
                <w:spacing w:val="-5"/>
                <w:sz w:val="20"/>
              </w:rPr>
              <w:t>327</w:t>
            </w:r>
          </w:p>
        </w:tc>
        <w:tc>
          <w:tcPr>
            <w:tcW w:w="6924" w:type="dxa"/>
          </w:tcPr>
          <w:p>
            <w:pPr>
              <w:pStyle w:val="TableParagraph"/>
              <w:spacing w:line="230" w:lineRule="exact"/>
              <w:jc w:val="left"/>
              <w:rPr>
                <w:sz w:val="20"/>
              </w:rPr>
            </w:pPr>
            <w:r>
              <w:rPr>
                <w:sz w:val="20"/>
              </w:rPr>
              <w:t>Pseudoartrosis</w:t>
            </w:r>
            <w:r>
              <w:rPr>
                <w:spacing w:val="40"/>
                <w:sz w:val="20"/>
              </w:rPr>
              <w:t> </w:t>
            </w:r>
            <w:r>
              <w:rPr>
                <w:sz w:val="20"/>
              </w:rPr>
              <w:t>de</w:t>
            </w:r>
            <w:r>
              <w:rPr>
                <w:spacing w:val="40"/>
                <w:sz w:val="20"/>
              </w:rPr>
              <w:t> </w:t>
            </w:r>
            <w:r>
              <w:rPr>
                <w:sz w:val="20"/>
              </w:rPr>
              <w:t>la</w:t>
            </w:r>
            <w:r>
              <w:rPr>
                <w:spacing w:val="40"/>
                <w:sz w:val="20"/>
              </w:rPr>
              <w:t> </w:t>
            </w:r>
            <w:r>
              <w:rPr>
                <w:sz w:val="20"/>
              </w:rPr>
              <w:t>rama</w:t>
            </w:r>
            <w:r>
              <w:rPr>
                <w:spacing w:val="40"/>
                <w:sz w:val="20"/>
              </w:rPr>
              <w:t> </w:t>
            </w:r>
            <w:r>
              <w:rPr>
                <w:sz w:val="20"/>
              </w:rPr>
              <w:t>horizontal</w:t>
            </w:r>
            <w:r>
              <w:rPr>
                <w:spacing w:val="40"/>
                <w:sz w:val="20"/>
              </w:rPr>
              <w:t> </w:t>
            </w:r>
            <w:r>
              <w:rPr>
                <w:sz w:val="20"/>
              </w:rPr>
              <w:t>de</w:t>
            </w:r>
            <w:r>
              <w:rPr>
                <w:spacing w:val="40"/>
                <w:sz w:val="20"/>
              </w:rPr>
              <w:t> </w:t>
            </w:r>
            <w:r>
              <w:rPr>
                <w:sz w:val="20"/>
              </w:rPr>
              <w:t>la</w:t>
            </w:r>
            <w:r>
              <w:rPr>
                <w:spacing w:val="40"/>
                <w:sz w:val="20"/>
              </w:rPr>
              <w:t> </w:t>
            </w:r>
            <w:r>
              <w:rPr>
                <w:sz w:val="20"/>
              </w:rPr>
              <w:t>mandíbula</w:t>
            </w:r>
            <w:r>
              <w:rPr>
                <w:spacing w:val="40"/>
                <w:sz w:val="20"/>
              </w:rPr>
              <w:t> </w:t>
            </w:r>
            <w:r>
              <w:rPr>
                <w:sz w:val="20"/>
              </w:rPr>
              <w:t>con</w:t>
            </w:r>
            <w:r>
              <w:rPr>
                <w:spacing w:val="40"/>
                <w:sz w:val="20"/>
              </w:rPr>
              <w:t> </w:t>
            </w:r>
            <w:r>
              <w:rPr>
                <w:sz w:val="20"/>
              </w:rPr>
              <w:t>masticación </w:t>
            </w:r>
            <w:r>
              <w:rPr>
                <w:spacing w:val="-2"/>
                <w:sz w:val="20"/>
              </w:rPr>
              <w:t>imposible.</w:t>
            </w:r>
          </w:p>
        </w:tc>
        <w:tc>
          <w:tcPr>
            <w:tcW w:w="1561" w:type="dxa"/>
          </w:tcPr>
          <w:p>
            <w:pPr>
              <w:pStyle w:val="TableParagraph"/>
              <w:spacing w:line="240" w:lineRule="auto" w:before="114"/>
              <w:ind w:left="11" w:right="9"/>
              <w:rPr>
                <w:sz w:val="20"/>
              </w:rPr>
            </w:pPr>
            <w:r>
              <w:rPr>
                <w:sz w:val="20"/>
              </w:rPr>
              <w:t>25</w:t>
            </w:r>
            <w:r>
              <w:rPr>
                <w:spacing w:val="-3"/>
                <w:sz w:val="20"/>
              </w:rPr>
              <w:t> </w:t>
            </w:r>
            <w:r>
              <w:rPr>
                <w:sz w:val="20"/>
              </w:rPr>
              <w:t>a</w:t>
            </w:r>
            <w:r>
              <w:rPr>
                <w:spacing w:val="-1"/>
                <w:sz w:val="20"/>
              </w:rPr>
              <w:t> </w:t>
            </w:r>
            <w:r>
              <w:rPr>
                <w:spacing w:val="-5"/>
                <w:sz w:val="20"/>
              </w:rPr>
              <w:t>35%</w:t>
            </w:r>
          </w:p>
        </w:tc>
      </w:tr>
      <w:tr>
        <w:trPr>
          <w:trHeight w:val="229" w:hRule="atLeast"/>
        </w:trPr>
        <w:tc>
          <w:tcPr>
            <w:tcW w:w="1066" w:type="dxa"/>
          </w:tcPr>
          <w:p>
            <w:pPr>
              <w:pStyle w:val="TableParagraph"/>
              <w:ind w:left="9"/>
              <w:rPr>
                <w:sz w:val="20"/>
              </w:rPr>
            </w:pPr>
            <w:r>
              <w:rPr>
                <w:spacing w:val="-5"/>
                <w:sz w:val="20"/>
              </w:rPr>
              <w:t>328</w:t>
            </w:r>
          </w:p>
        </w:tc>
        <w:tc>
          <w:tcPr>
            <w:tcW w:w="6924" w:type="dxa"/>
          </w:tcPr>
          <w:p>
            <w:pPr>
              <w:pStyle w:val="TableParagraph"/>
              <w:jc w:val="left"/>
              <w:rPr>
                <w:sz w:val="20"/>
              </w:rPr>
            </w:pPr>
            <w:r>
              <w:rPr>
                <w:sz w:val="20"/>
              </w:rPr>
              <w:t>Pseudoartrosis</w:t>
            </w:r>
            <w:r>
              <w:rPr>
                <w:spacing w:val="-8"/>
                <w:sz w:val="20"/>
              </w:rPr>
              <w:t> </w:t>
            </w:r>
            <w:r>
              <w:rPr>
                <w:sz w:val="20"/>
              </w:rPr>
              <w:t>de</w:t>
            </w:r>
            <w:r>
              <w:rPr>
                <w:spacing w:val="-8"/>
                <w:sz w:val="20"/>
              </w:rPr>
              <w:t> </w:t>
            </w:r>
            <w:r>
              <w:rPr>
                <w:sz w:val="20"/>
              </w:rPr>
              <w:t>la</w:t>
            </w:r>
            <w:r>
              <w:rPr>
                <w:spacing w:val="-8"/>
                <w:sz w:val="20"/>
              </w:rPr>
              <w:t> </w:t>
            </w:r>
            <w:r>
              <w:rPr>
                <w:spacing w:val="-2"/>
                <w:sz w:val="20"/>
              </w:rPr>
              <w:t>sínfisis.</w:t>
            </w:r>
          </w:p>
        </w:tc>
        <w:tc>
          <w:tcPr>
            <w:tcW w:w="1561" w:type="dxa"/>
          </w:tcPr>
          <w:p>
            <w:pPr>
              <w:pStyle w:val="TableParagraph"/>
              <w:ind w:left="11" w:right="9"/>
              <w:rPr>
                <w:sz w:val="20"/>
              </w:rPr>
            </w:pPr>
            <w:r>
              <w:rPr>
                <w:sz w:val="20"/>
              </w:rPr>
              <w:t>25</w:t>
            </w:r>
            <w:r>
              <w:rPr>
                <w:spacing w:val="-3"/>
                <w:sz w:val="20"/>
              </w:rPr>
              <w:t> </w:t>
            </w:r>
            <w:r>
              <w:rPr>
                <w:sz w:val="20"/>
              </w:rPr>
              <w:t>a</w:t>
            </w:r>
            <w:r>
              <w:rPr>
                <w:spacing w:val="-1"/>
                <w:sz w:val="20"/>
              </w:rPr>
              <w:t> </w:t>
            </w:r>
            <w:r>
              <w:rPr>
                <w:spacing w:val="-5"/>
                <w:sz w:val="20"/>
              </w:rPr>
              <w:t>30%</w:t>
            </w:r>
          </w:p>
        </w:tc>
      </w:tr>
      <w:tr>
        <w:trPr>
          <w:trHeight w:val="229" w:hRule="atLeast"/>
        </w:trPr>
        <w:tc>
          <w:tcPr>
            <w:tcW w:w="1066" w:type="dxa"/>
          </w:tcPr>
          <w:p>
            <w:pPr>
              <w:pStyle w:val="TableParagraph"/>
              <w:ind w:left="9"/>
              <w:rPr>
                <w:sz w:val="20"/>
              </w:rPr>
            </w:pPr>
            <w:r>
              <w:rPr>
                <w:spacing w:val="-5"/>
                <w:sz w:val="20"/>
              </w:rPr>
              <w:t>329</w:t>
            </w:r>
          </w:p>
        </w:tc>
        <w:tc>
          <w:tcPr>
            <w:tcW w:w="6924" w:type="dxa"/>
          </w:tcPr>
          <w:p>
            <w:pPr>
              <w:pStyle w:val="TableParagraph"/>
              <w:jc w:val="left"/>
              <w:rPr>
                <w:sz w:val="20"/>
              </w:rPr>
            </w:pPr>
            <w:r>
              <w:rPr>
                <w:sz w:val="20"/>
              </w:rPr>
              <w:t>Pseudoartrosis</w:t>
            </w:r>
            <w:r>
              <w:rPr>
                <w:spacing w:val="-8"/>
                <w:sz w:val="20"/>
              </w:rPr>
              <w:t> </w:t>
            </w:r>
            <w:r>
              <w:rPr>
                <w:sz w:val="20"/>
              </w:rPr>
              <w:t>de</w:t>
            </w:r>
            <w:r>
              <w:rPr>
                <w:spacing w:val="-8"/>
                <w:sz w:val="20"/>
              </w:rPr>
              <w:t> </w:t>
            </w:r>
            <w:r>
              <w:rPr>
                <w:sz w:val="20"/>
              </w:rPr>
              <w:t>la</w:t>
            </w:r>
            <w:r>
              <w:rPr>
                <w:spacing w:val="-8"/>
                <w:sz w:val="20"/>
              </w:rPr>
              <w:t> </w:t>
            </w:r>
            <w:r>
              <w:rPr>
                <w:sz w:val="20"/>
              </w:rPr>
              <w:t>sínfisis</w:t>
            </w:r>
            <w:r>
              <w:rPr>
                <w:spacing w:val="-7"/>
                <w:sz w:val="20"/>
              </w:rPr>
              <w:t> </w:t>
            </w:r>
            <w:r>
              <w:rPr>
                <w:sz w:val="20"/>
              </w:rPr>
              <w:t>con</w:t>
            </w:r>
            <w:r>
              <w:rPr>
                <w:spacing w:val="-9"/>
                <w:sz w:val="20"/>
              </w:rPr>
              <w:t> </w:t>
            </w:r>
            <w:r>
              <w:rPr>
                <w:sz w:val="20"/>
              </w:rPr>
              <w:t>masticación</w:t>
            </w:r>
            <w:r>
              <w:rPr>
                <w:spacing w:val="-9"/>
                <w:sz w:val="20"/>
              </w:rPr>
              <w:t> </w:t>
            </w:r>
            <w:r>
              <w:rPr>
                <w:spacing w:val="-2"/>
                <w:sz w:val="20"/>
              </w:rPr>
              <w:t>imposible.</w:t>
            </w:r>
          </w:p>
        </w:tc>
        <w:tc>
          <w:tcPr>
            <w:tcW w:w="1561" w:type="dxa"/>
          </w:tcPr>
          <w:p>
            <w:pPr>
              <w:pStyle w:val="TableParagraph"/>
              <w:ind w:left="11" w:right="9"/>
              <w:rPr>
                <w:sz w:val="20"/>
              </w:rPr>
            </w:pPr>
            <w:r>
              <w:rPr>
                <w:sz w:val="20"/>
              </w:rPr>
              <w:t>25</w:t>
            </w:r>
            <w:r>
              <w:rPr>
                <w:spacing w:val="-3"/>
                <w:sz w:val="20"/>
              </w:rPr>
              <w:t> </w:t>
            </w:r>
            <w:r>
              <w:rPr>
                <w:sz w:val="20"/>
              </w:rPr>
              <w:t>a</w:t>
            </w:r>
            <w:r>
              <w:rPr>
                <w:spacing w:val="-1"/>
                <w:sz w:val="20"/>
              </w:rPr>
              <w:t> </w:t>
            </w:r>
            <w:r>
              <w:rPr>
                <w:spacing w:val="-5"/>
                <w:sz w:val="20"/>
              </w:rPr>
              <w:t>40%</w:t>
            </w:r>
          </w:p>
        </w:tc>
      </w:tr>
      <w:tr>
        <w:trPr>
          <w:trHeight w:val="460" w:hRule="atLeast"/>
        </w:trPr>
        <w:tc>
          <w:tcPr>
            <w:tcW w:w="1066" w:type="dxa"/>
          </w:tcPr>
          <w:p>
            <w:pPr>
              <w:pStyle w:val="TableParagraph"/>
              <w:spacing w:line="240" w:lineRule="auto" w:before="114"/>
              <w:ind w:left="9"/>
              <w:rPr>
                <w:sz w:val="20"/>
              </w:rPr>
            </w:pPr>
            <w:r>
              <w:rPr>
                <w:spacing w:val="-5"/>
                <w:sz w:val="20"/>
              </w:rPr>
              <w:t>330</w:t>
            </w:r>
          </w:p>
        </w:tc>
        <w:tc>
          <w:tcPr>
            <w:tcW w:w="6924" w:type="dxa"/>
          </w:tcPr>
          <w:p>
            <w:pPr>
              <w:pStyle w:val="TableParagraph"/>
              <w:spacing w:line="230" w:lineRule="exact"/>
              <w:jc w:val="left"/>
              <w:rPr>
                <w:sz w:val="20"/>
              </w:rPr>
            </w:pPr>
            <w:r>
              <w:rPr>
                <w:sz w:val="20"/>
              </w:rPr>
              <w:t>Pseudoartrosis de la mandíbula. En caso de prótesis con mejoría funcional </w:t>
            </w:r>
            <w:r>
              <w:rPr>
                <w:spacing w:val="-2"/>
                <w:sz w:val="20"/>
              </w:rPr>
              <w:t>comprobada.</w:t>
            </w:r>
          </w:p>
        </w:tc>
        <w:tc>
          <w:tcPr>
            <w:tcW w:w="1561" w:type="dxa"/>
          </w:tcPr>
          <w:p>
            <w:pPr>
              <w:pStyle w:val="TableParagraph"/>
              <w:spacing w:line="240" w:lineRule="auto" w:before="114"/>
              <w:ind w:left="11" w:right="8"/>
              <w:rPr>
                <w:sz w:val="20"/>
              </w:rPr>
            </w:pPr>
            <w:r>
              <w:rPr>
                <w:sz w:val="20"/>
              </w:rPr>
              <w:t>5</w:t>
            </w:r>
            <w:r>
              <w:rPr>
                <w:spacing w:val="-3"/>
                <w:sz w:val="20"/>
              </w:rPr>
              <w:t> </w:t>
            </w:r>
            <w:r>
              <w:rPr>
                <w:sz w:val="20"/>
              </w:rPr>
              <w:t>a</w:t>
            </w:r>
            <w:r>
              <w:rPr>
                <w:spacing w:val="-2"/>
                <w:sz w:val="20"/>
              </w:rPr>
              <w:t> </w:t>
            </w:r>
            <w:r>
              <w:rPr>
                <w:spacing w:val="-5"/>
                <w:sz w:val="20"/>
              </w:rPr>
              <w:t>20%</w:t>
            </w:r>
          </w:p>
        </w:tc>
      </w:tr>
      <w:tr>
        <w:trPr>
          <w:trHeight w:val="460" w:hRule="atLeast"/>
        </w:trPr>
        <w:tc>
          <w:tcPr>
            <w:tcW w:w="1066" w:type="dxa"/>
          </w:tcPr>
          <w:p>
            <w:pPr>
              <w:pStyle w:val="TableParagraph"/>
              <w:spacing w:line="240" w:lineRule="auto" w:before="114"/>
              <w:ind w:left="9"/>
              <w:rPr>
                <w:sz w:val="20"/>
              </w:rPr>
            </w:pPr>
            <w:r>
              <w:rPr>
                <w:spacing w:val="-5"/>
                <w:sz w:val="20"/>
              </w:rPr>
              <w:t>331</w:t>
            </w:r>
          </w:p>
        </w:tc>
        <w:tc>
          <w:tcPr>
            <w:tcW w:w="6924" w:type="dxa"/>
          </w:tcPr>
          <w:p>
            <w:pPr>
              <w:pStyle w:val="TableParagraph"/>
              <w:spacing w:line="230" w:lineRule="exact"/>
              <w:jc w:val="left"/>
              <w:rPr>
                <w:sz w:val="20"/>
              </w:rPr>
            </w:pPr>
            <w:r>
              <w:rPr>
                <w:sz w:val="20"/>
              </w:rPr>
              <w:t>Pseudoartrosis</w:t>
            </w:r>
            <w:r>
              <w:rPr>
                <w:spacing w:val="72"/>
                <w:sz w:val="20"/>
              </w:rPr>
              <w:t> </w:t>
            </w:r>
            <w:r>
              <w:rPr>
                <w:sz w:val="20"/>
              </w:rPr>
              <w:t>de</w:t>
            </w:r>
            <w:r>
              <w:rPr>
                <w:spacing w:val="73"/>
                <w:sz w:val="20"/>
              </w:rPr>
              <w:t> </w:t>
            </w:r>
            <w:r>
              <w:rPr>
                <w:sz w:val="20"/>
              </w:rPr>
              <w:t>la</w:t>
            </w:r>
            <w:r>
              <w:rPr>
                <w:spacing w:val="71"/>
                <w:sz w:val="20"/>
              </w:rPr>
              <w:t> </w:t>
            </w:r>
            <w:r>
              <w:rPr>
                <w:sz w:val="20"/>
              </w:rPr>
              <w:t>mandíbula</w:t>
            </w:r>
            <w:r>
              <w:rPr>
                <w:spacing w:val="71"/>
                <w:sz w:val="20"/>
              </w:rPr>
              <w:t> </w:t>
            </w:r>
            <w:r>
              <w:rPr>
                <w:sz w:val="20"/>
              </w:rPr>
              <w:t>con</w:t>
            </w:r>
            <w:r>
              <w:rPr>
                <w:spacing w:val="71"/>
                <w:sz w:val="20"/>
              </w:rPr>
              <w:t> </w:t>
            </w:r>
            <w:r>
              <w:rPr>
                <w:sz w:val="20"/>
              </w:rPr>
              <w:t>o</w:t>
            </w:r>
            <w:r>
              <w:rPr>
                <w:spacing w:val="71"/>
                <w:sz w:val="20"/>
              </w:rPr>
              <w:t> </w:t>
            </w:r>
            <w:r>
              <w:rPr>
                <w:sz w:val="20"/>
              </w:rPr>
              <w:t>sin</w:t>
            </w:r>
            <w:r>
              <w:rPr>
                <w:spacing w:val="71"/>
                <w:sz w:val="20"/>
              </w:rPr>
              <w:t> </w:t>
            </w:r>
            <w:r>
              <w:rPr>
                <w:sz w:val="20"/>
              </w:rPr>
              <w:t>pérdida</w:t>
            </w:r>
            <w:r>
              <w:rPr>
                <w:spacing w:val="71"/>
                <w:sz w:val="20"/>
              </w:rPr>
              <w:t> </w:t>
            </w:r>
            <w:r>
              <w:rPr>
                <w:sz w:val="20"/>
              </w:rPr>
              <w:t>de</w:t>
            </w:r>
            <w:r>
              <w:rPr>
                <w:spacing w:val="70"/>
                <w:sz w:val="20"/>
              </w:rPr>
              <w:t> </w:t>
            </w:r>
            <w:r>
              <w:rPr>
                <w:sz w:val="20"/>
              </w:rPr>
              <w:t>substancia,</w:t>
            </w:r>
            <w:r>
              <w:rPr>
                <w:spacing w:val="73"/>
                <w:sz w:val="20"/>
              </w:rPr>
              <w:t> </w:t>
            </w:r>
            <w:r>
              <w:rPr>
                <w:sz w:val="20"/>
              </w:rPr>
              <w:t>no resuelta quirúrgicamente, con masticación insuficiente o abolida.</w:t>
            </w:r>
          </w:p>
        </w:tc>
        <w:tc>
          <w:tcPr>
            <w:tcW w:w="1561" w:type="dxa"/>
          </w:tcPr>
          <w:p>
            <w:pPr>
              <w:pStyle w:val="TableParagraph"/>
              <w:spacing w:line="240" w:lineRule="auto" w:before="114"/>
              <w:ind w:left="11" w:right="9"/>
              <w:rPr>
                <w:sz w:val="20"/>
              </w:rPr>
            </w:pPr>
            <w:r>
              <w:rPr>
                <w:sz w:val="20"/>
              </w:rPr>
              <w:t>50</w:t>
            </w:r>
            <w:r>
              <w:rPr>
                <w:spacing w:val="-3"/>
                <w:sz w:val="20"/>
              </w:rPr>
              <w:t> </w:t>
            </w:r>
            <w:r>
              <w:rPr>
                <w:sz w:val="20"/>
              </w:rPr>
              <w:t>a</w:t>
            </w:r>
            <w:r>
              <w:rPr>
                <w:spacing w:val="-1"/>
                <w:sz w:val="20"/>
              </w:rPr>
              <w:t> </w:t>
            </w:r>
            <w:r>
              <w:rPr>
                <w:spacing w:val="-5"/>
                <w:sz w:val="20"/>
              </w:rPr>
              <w:t>60%</w:t>
            </w:r>
          </w:p>
        </w:tc>
      </w:tr>
      <w:tr>
        <w:trPr>
          <w:trHeight w:val="690" w:hRule="atLeast"/>
        </w:trPr>
        <w:tc>
          <w:tcPr>
            <w:tcW w:w="1066" w:type="dxa"/>
          </w:tcPr>
          <w:p>
            <w:pPr>
              <w:pStyle w:val="TableParagraph"/>
              <w:spacing w:line="240" w:lineRule="auto" w:before="229"/>
              <w:ind w:left="9"/>
              <w:rPr>
                <w:sz w:val="20"/>
              </w:rPr>
            </w:pPr>
            <w:r>
              <w:rPr>
                <w:spacing w:val="-5"/>
                <w:sz w:val="20"/>
              </w:rPr>
              <w:t>332</w:t>
            </w:r>
          </w:p>
        </w:tc>
        <w:tc>
          <w:tcPr>
            <w:tcW w:w="6924" w:type="dxa"/>
          </w:tcPr>
          <w:p>
            <w:pPr>
              <w:pStyle w:val="TableParagraph"/>
              <w:spacing w:line="230" w:lineRule="exact"/>
              <w:ind w:right="65"/>
              <w:jc w:val="both"/>
              <w:rPr>
                <w:sz w:val="20"/>
              </w:rPr>
            </w:pPr>
            <w:r>
              <w:rPr>
                <w:sz w:val="20"/>
              </w:rPr>
              <w:t>Consolidaciones defectuosas de la mandíbula y maxilar, que dificulten la articulación de los arcos dentarios y limiten la masticación, cuando la apertura oral sea menos a 4 centímetros.</w:t>
            </w:r>
          </w:p>
        </w:tc>
        <w:tc>
          <w:tcPr>
            <w:tcW w:w="1561" w:type="dxa"/>
          </w:tcPr>
          <w:p>
            <w:pPr>
              <w:pStyle w:val="TableParagraph"/>
              <w:spacing w:line="240" w:lineRule="auto" w:before="229"/>
              <w:ind w:left="11" w:right="9"/>
              <w:rPr>
                <w:sz w:val="20"/>
              </w:rPr>
            </w:pPr>
            <w:r>
              <w:rPr>
                <w:sz w:val="20"/>
              </w:rPr>
              <w:t>20</w:t>
            </w:r>
            <w:r>
              <w:rPr>
                <w:spacing w:val="-3"/>
                <w:sz w:val="20"/>
              </w:rPr>
              <w:t> </w:t>
            </w:r>
            <w:r>
              <w:rPr>
                <w:sz w:val="20"/>
              </w:rPr>
              <w:t>a</w:t>
            </w:r>
            <w:r>
              <w:rPr>
                <w:spacing w:val="-1"/>
                <w:sz w:val="20"/>
              </w:rPr>
              <w:t> </w:t>
            </w:r>
            <w:r>
              <w:rPr>
                <w:spacing w:val="-5"/>
                <w:sz w:val="20"/>
              </w:rPr>
              <w:t>30%</w:t>
            </w:r>
          </w:p>
        </w:tc>
      </w:tr>
      <w:tr>
        <w:trPr>
          <w:trHeight w:val="688" w:hRule="atLeast"/>
        </w:trPr>
        <w:tc>
          <w:tcPr>
            <w:tcW w:w="1066" w:type="dxa"/>
          </w:tcPr>
          <w:p>
            <w:pPr>
              <w:pStyle w:val="TableParagraph"/>
              <w:spacing w:line="240" w:lineRule="auto" w:before="229"/>
              <w:ind w:left="9"/>
              <w:rPr>
                <w:sz w:val="20"/>
              </w:rPr>
            </w:pPr>
            <w:r>
              <w:rPr>
                <w:spacing w:val="-5"/>
                <w:sz w:val="20"/>
              </w:rPr>
              <w:t>333</w:t>
            </w:r>
          </w:p>
        </w:tc>
        <w:tc>
          <w:tcPr>
            <w:tcW w:w="6924" w:type="dxa"/>
          </w:tcPr>
          <w:p>
            <w:pPr>
              <w:pStyle w:val="TableParagraph"/>
              <w:spacing w:line="229" w:lineRule="exact"/>
              <w:jc w:val="left"/>
              <w:rPr>
                <w:sz w:val="20"/>
              </w:rPr>
            </w:pPr>
            <w:r>
              <w:rPr>
                <w:sz w:val="20"/>
              </w:rPr>
              <w:t>Consolidaciones</w:t>
            </w:r>
            <w:r>
              <w:rPr>
                <w:spacing w:val="29"/>
                <w:sz w:val="20"/>
              </w:rPr>
              <w:t> </w:t>
            </w:r>
            <w:r>
              <w:rPr>
                <w:sz w:val="20"/>
              </w:rPr>
              <w:t>defectuosas</w:t>
            </w:r>
            <w:r>
              <w:rPr>
                <w:spacing w:val="29"/>
                <w:sz w:val="20"/>
              </w:rPr>
              <w:t> </w:t>
            </w:r>
            <w:r>
              <w:rPr>
                <w:sz w:val="20"/>
              </w:rPr>
              <w:t>de</w:t>
            </w:r>
            <w:r>
              <w:rPr>
                <w:spacing w:val="28"/>
                <w:sz w:val="20"/>
              </w:rPr>
              <w:t> </w:t>
            </w:r>
            <w:r>
              <w:rPr>
                <w:sz w:val="20"/>
              </w:rPr>
              <w:t>la</w:t>
            </w:r>
            <w:r>
              <w:rPr>
                <w:spacing w:val="28"/>
                <w:sz w:val="20"/>
              </w:rPr>
              <w:t> </w:t>
            </w:r>
            <w:r>
              <w:rPr>
                <w:sz w:val="20"/>
              </w:rPr>
              <w:t>mandíbula</w:t>
            </w:r>
            <w:r>
              <w:rPr>
                <w:spacing w:val="33"/>
                <w:sz w:val="20"/>
              </w:rPr>
              <w:t> </w:t>
            </w:r>
            <w:r>
              <w:rPr>
                <w:sz w:val="20"/>
              </w:rPr>
              <w:t>y</w:t>
            </w:r>
            <w:r>
              <w:rPr>
                <w:spacing w:val="25"/>
                <w:sz w:val="20"/>
              </w:rPr>
              <w:t> </w:t>
            </w:r>
            <w:r>
              <w:rPr>
                <w:sz w:val="20"/>
              </w:rPr>
              <w:t>maxilar,</w:t>
            </w:r>
            <w:r>
              <w:rPr>
                <w:spacing w:val="29"/>
                <w:sz w:val="20"/>
              </w:rPr>
              <w:t> </w:t>
            </w:r>
            <w:r>
              <w:rPr>
                <w:sz w:val="20"/>
              </w:rPr>
              <w:t>que</w:t>
            </w:r>
            <w:r>
              <w:rPr>
                <w:spacing w:val="28"/>
                <w:sz w:val="20"/>
              </w:rPr>
              <w:t> </w:t>
            </w:r>
            <w:r>
              <w:rPr>
                <w:sz w:val="20"/>
              </w:rPr>
              <w:t>dificulten</w:t>
            </w:r>
            <w:r>
              <w:rPr>
                <w:spacing w:val="28"/>
                <w:sz w:val="20"/>
              </w:rPr>
              <w:t> </w:t>
            </w:r>
            <w:r>
              <w:rPr>
                <w:spacing w:val="-5"/>
                <w:sz w:val="20"/>
              </w:rPr>
              <w:t>la</w:t>
            </w:r>
          </w:p>
          <w:p>
            <w:pPr>
              <w:pStyle w:val="TableParagraph"/>
              <w:spacing w:line="228" w:lineRule="exact"/>
              <w:jc w:val="left"/>
              <w:rPr>
                <w:sz w:val="20"/>
              </w:rPr>
            </w:pPr>
            <w:r>
              <w:rPr>
                <w:sz w:val="20"/>
              </w:rPr>
              <w:t>articulación</w:t>
            </w:r>
            <w:r>
              <w:rPr>
                <w:spacing w:val="33"/>
                <w:sz w:val="20"/>
              </w:rPr>
              <w:t> </w:t>
            </w:r>
            <w:r>
              <w:rPr>
                <w:sz w:val="20"/>
              </w:rPr>
              <w:t>de</w:t>
            </w:r>
            <w:r>
              <w:rPr>
                <w:spacing w:val="33"/>
                <w:sz w:val="20"/>
              </w:rPr>
              <w:t> </w:t>
            </w:r>
            <w:r>
              <w:rPr>
                <w:sz w:val="20"/>
              </w:rPr>
              <w:t>los</w:t>
            </w:r>
            <w:r>
              <w:rPr>
                <w:spacing w:val="34"/>
                <w:sz w:val="20"/>
              </w:rPr>
              <w:t> </w:t>
            </w:r>
            <w:r>
              <w:rPr>
                <w:sz w:val="20"/>
              </w:rPr>
              <w:t>arcos</w:t>
            </w:r>
            <w:r>
              <w:rPr>
                <w:spacing w:val="37"/>
                <w:sz w:val="20"/>
              </w:rPr>
              <w:t> </w:t>
            </w:r>
            <w:r>
              <w:rPr>
                <w:sz w:val="20"/>
              </w:rPr>
              <w:t>dentarios,</w:t>
            </w:r>
            <w:r>
              <w:rPr>
                <w:spacing w:val="34"/>
                <w:sz w:val="20"/>
              </w:rPr>
              <w:t> </w:t>
            </w:r>
            <w:r>
              <w:rPr>
                <w:sz w:val="20"/>
              </w:rPr>
              <w:t>cuando</w:t>
            </w:r>
            <w:r>
              <w:rPr>
                <w:spacing w:val="36"/>
                <w:sz w:val="20"/>
              </w:rPr>
              <w:t> </w:t>
            </w:r>
            <w:r>
              <w:rPr>
                <w:sz w:val="20"/>
              </w:rPr>
              <w:t>la</w:t>
            </w:r>
            <w:r>
              <w:rPr>
                <w:spacing w:val="36"/>
                <w:sz w:val="20"/>
              </w:rPr>
              <w:t> </w:t>
            </w:r>
            <w:r>
              <w:rPr>
                <w:sz w:val="20"/>
              </w:rPr>
              <w:t>apertura</w:t>
            </w:r>
            <w:r>
              <w:rPr>
                <w:spacing w:val="34"/>
                <w:sz w:val="20"/>
              </w:rPr>
              <w:t> </w:t>
            </w:r>
            <w:r>
              <w:rPr>
                <w:sz w:val="20"/>
              </w:rPr>
              <w:t>oral</w:t>
            </w:r>
            <w:r>
              <w:rPr>
                <w:spacing w:val="33"/>
                <w:sz w:val="20"/>
              </w:rPr>
              <w:t> </w:t>
            </w:r>
            <w:r>
              <w:rPr>
                <w:sz w:val="20"/>
              </w:rPr>
              <w:t>sea</w:t>
            </w:r>
            <w:r>
              <w:rPr>
                <w:spacing w:val="33"/>
                <w:sz w:val="20"/>
              </w:rPr>
              <w:t> </w:t>
            </w:r>
            <w:r>
              <w:rPr>
                <w:sz w:val="20"/>
              </w:rPr>
              <w:t>mayor</w:t>
            </w:r>
            <w:r>
              <w:rPr>
                <w:spacing w:val="34"/>
                <w:sz w:val="20"/>
              </w:rPr>
              <w:t> </w:t>
            </w:r>
            <w:r>
              <w:rPr>
                <w:sz w:val="20"/>
              </w:rPr>
              <w:t>o igual a 4 centímetros.</w:t>
            </w:r>
          </w:p>
        </w:tc>
        <w:tc>
          <w:tcPr>
            <w:tcW w:w="1561" w:type="dxa"/>
          </w:tcPr>
          <w:p>
            <w:pPr>
              <w:pStyle w:val="TableParagraph"/>
              <w:spacing w:line="240" w:lineRule="auto" w:before="229"/>
              <w:ind w:left="11" w:right="8"/>
              <w:rPr>
                <w:sz w:val="20"/>
              </w:rPr>
            </w:pPr>
            <w:r>
              <w:rPr>
                <w:sz w:val="20"/>
              </w:rPr>
              <w:t>5</w:t>
            </w:r>
            <w:r>
              <w:rPr>
                <w:spacing w:val="-3"/>
                <w:sz w:val="20"/>
              </w:rPr>
              <w:t> </w:t>
            </w:r>
            <w:r>
              <w:rPr>
                <w:sz w:val="20"/>
              </w:rPr>
              <w:t>a</w:t>
            </w:r>
            <w:r>
              <w:rPr>
                <w:spacing w:val="-3"/>
                <w:sz w:val="20"/>
              </w:rPr>
              <w:t> </w:t>
            </w:r>
            <w:r>
              <w:rPr>
                <w:spacing w:val="-5"/>
                <w:sz w:val="20"/>
              </w:rPr>
              <w:t>15%</w:t>
            </w:r>
          </w:p>
        </w:tc>
      </w:tr>
      <w:tr>
        <w:trPr>
          <w:trHeight w:val="690" w:hRule="atLeast"/>
        </w:trPr>
        <w:tc>
          <w:tcPr>
            <w:tcW w:w="1066" w:type="dxa"/>
          </w:tcPr>
          <w:p>
            <w:pPr>
              <w:pStyle w:val="TableParagraph"/>
              <w:spacing w:line="240" w:lineRule="auto" w:before="229"/>
              <w:ind w:left="9"/>
              <w:rPr>
                <w:sz w:val="20"/>
              </w:rPr>
            </w:pPr>
            <w:r>
              <w:rPr>
                <w:spacing w:val="-5"/>
                <w:sz w:val="20"/>
              </w:rPr>
              <w:t>334</w:t>
            </w:r>
          </w:p>
        </w:tc>
        <w:tc>
          <w:tcPr>
            <w:tcW w:w="6924" w:type="dxa"/>
          </w:tcPr>
          <w:p>
            <w:pPr>
              <w:pStyle w:val="TableParagraph"/>
              <w:spacing w:line="230" w:lineRule="exact"/>
              <w:ind w:right="67"/>
              <w:jc w:val="both"/>
              <w:rPr>
                <w:sz w:val="20"/>
              </w:rPr>
            </w:pPr>
            <w:r>
              <w:rPr>
                <w:sz w:val="20"/>
              </w:rPr>
              <w:t>Consolidaciones defectuosas de la mandíbula y maxilar, que dificulten la articulación de los arcos dentarios, cuando con un aparato protésico se corrija la masticación.</w:t>
            </w:r>
          </w:p>
        </w:tc>
        <w:tc>
          <w:tcPr>
            <w:tcW w:w="1561" w:type="dxa"/>
          </w:tcPr>
          <w:p>
            <w:pPr>
              <w:pStyle w:val="TableParagraph"/>
              <w:spacing w:line="240" w:lineRule="auto" w:before="229"/>
              <w:ind w:left="11" w:right="8"/>
              <w:rPr>
                <w:sz w:val="20"/>
              </w:rPr>
            </w:pPr>
            <w:r>
              <w:rPr>
                <w:sz w:val="20"/>
              </w:rPr>
              <w:t>5</w:t>
            </w:r>
            <w:r>
              <w:rPr>
                <w:spacing w:val="-3"/>
                <w:sz w:val="20"/>
              </w:rPr>
              <w:t> </w:t>
            </w:r>
            <w:r>
              <w:rPr>
                <w:sz w:val="20"/>
              </w:rPr>
              <w:t>a</w:t>
            </w:r>
            <w:r>
              <w:rPr>
                <w:spacing w:val="-3"/>
                <w:sz w:val="20"/>
              </w:rPr>
              <w:t> </w:t>
            </w:r>
            <w:r>
              <w:rPr>
                <w:spacing w:val="-5"/>
                <w:sz w:val="20"/>
              </w:rPr>
              <w:t>10%</w:t>
            </w:r>
          </w:p>
        </w:tc>
      </w:tr>
      <w:tr>
        <w:trPr>
          <w:trHeight w:val="229" w:hRule="atLeast"/>
        </w:trPr>
        <w:tc>
          <w:tcPr>
            <w:tcW w:w="1066" w:type="dxa"/>
          </w:tcPr>
          <w:p>
            <w:pPr>
              <w:pStyle w:val="TableParagraph"/>
              <w:ind w:left="9"/>
              <w:rPr>
                <w:sz w:val="20"/>
              </w:rPr>
            </w:pPr>
            <w:r>
              <w:rPr>
                <w:spacing w:val="-5"/>
                <w:sz w:val="20"/>
              </w:rPr>
              <w:t>335</w:t>
            </w:r>
          </w:p>
        </w:tc>
        <w:tc>
          <w:tcPr>
            <w:tcW w:w="6924" w:type="dxa"/>
          </w:tcPr>
          <w:p>
            <w:pPr>
              <w:pStyle w:val="TableParagraph"/>
              <w:jc w:val="left"/>
              <w:rPr>
                <w:sz w:val="20"/>
              </w:rPr>
            </w:pPr>
            <w:r>
              <w:rPr>
                <w:sz w:val="20"/>
              </w:rPr>
              <w:t>Pérdida</w:t>
            </w:r>
            <w:r>
              <w:rPr>
                <w:spacing w:val="-7"/>
                <w:sz w:val="20"/>
              </w:rPr>
              <w:t> </w:t>
            </w:r>
            <w:r>
              <w:rPr>
                <w:sz w:val="20"/>
              </w:rPr>
              <w:t>de</w:t>
            </w:r>
            <w:r>
              <w:rPr>
                <w:spacing w:val="-6"/>
                <w:sz w:val="20"/>
              </w:rPr>
              <w:t> </w:t>
            </w:r>
            <w:r>
              <w:rPr>
                <w:sz w:val="20"/>
              </w:rPr>
              <w:t>uno</w:t>
            </w:r>
            <w:r>
              <w:rPr>
                <w:spacing w:val="-6"/>
                <w:sz w:val="20"/>
              </w:rPr>
              <w:t> </w:t>
            </w:r>
            <w:r>
              <w:rPr>
                <w:sz w:val="20"/>
              </w:rPr>
              <w:t>o</w:t>
            </w:r>
            <w:r>
              <w:rPr>
                <w:spacing w:val="-5"/>
                <w:sz w:val="20"/>
              </w:rPr>
              <w:t> </w:t>
            </w:r>
            <w:r>
              <w:rPr>
                <w:sz w:val="20"/>
              </w:rPr>
              <w:t>varios</w:t>
            </w:r>
            <w:r>
              <w:rPr>
                <w:spacing w:val="-6"/>
                <w:sz w:val="20"/>
              </w:rPr>
              <w:t> </w:t>
            </w:r>
            <w:r>
              <w:rPr>
                <w:sz w:val="20"/>
              </w:rPr>
              <w:t>dientes:</w:t>
            </w:r>
            <w:r>
              <w:rPr>
                <w:spacing w:val="-7"/>
                <w:sz w:val="20"/>
              </w:rPr>
              <w:t> </w:t>
            </w:r>
            <w:r>
              <w:rPr>
                <w:spacing w:val="-2"/>
                <w:sz w:val="20"/>
              </w:rPr>
              <w:t>reposición.</w:t>
            </w:r>
          </w:p>
        </w:tc>
        <w:tc>
          <w:tcPr>
            <w:tcW w:w="1561" w:type="dxa"/>
          </w:tcPr>
          <w:p>
            <w:pPr>
              <w:pStyle w:val="TableParagraph"/>
              <w:ind w:left="11" w:right="6"/>
              <w:rPr>
                <w:sz w:val="20"/>
              </w:rPr>
            </w:pPr>
            <w:r>
              <w:rPr>
                <w:spacing w:val="-2"/>
                <w:sz w:val="20"/>
              </w:rPr>
              <w:t>-</w:t>
            </w:r>
            <w:r>
              <w:rPr>
                <w:spacing w:val="-12"/>
                <w:sz w:val="20"/>
              </w:rPr>
              <w:t>-</w:t>
            </w:r>
          </w:p>
        </w:tc>
      </w:tr>
      <w:tr>
        <w:trPr>
          <w:trHeight w:val="229" w:hRule="atLeast"/>
        </w:trPr>
        <w:tc>
          <w:tcPr>
            <w:tcW w:w="1066" w:type="dxa"/>
          </w:tcPr>
          <w:p>
            <w:pPr>
              <w:pStyle w:val="TableParagraph"/>
              <w:ind w:left="9"/>
              <w:rPr>
                <w:sz w:val="20"/>
              </w:rPr>
            </w:pPr>
            <w:r>
              <w:rPr>
                <w:spacing w:val="-5"/>
                <w:sz w:val="20"/>
              </w:rPr>
              <w:t>336</w:t>
            </w:r>
          </w:p>
        </w:tc>
        <w:tc>
          <w:tcPr>
            <w:tcW w:w="6924" w:type="dxa"/>
          </w:tcPr>
          <w:p>
            <w:pPr>
              <w:pStyle w:val="TableParagraph"/>
              <w:jc w:val="left"/>
              <w:rPr>
                <w:sz w:val="20"/>
              </w:rPr>
            </w:pPr>
            <w:r>
              <w:rPr>
                <w:sz w:val="20"/>
              </w:rPr>
              <w:t>Pérdida</w:t>
            </w:r>
            <w:r>
              <w:rPr>
                <w:spacing w:val="-6"/>
                <w:sz w:val="20"/>
              </w:rPr>
              <w:t> </w:t>
            </w:r>
            <w:r>
              <w:rPr>
                <w:sz w:val="20"/>
              </w:rPr>
              <w:t>total</w:t>
            </w:r>
            <w:r>
              <w:rPr>
                <w:spacing w:val="-7"/>
                <w:sz w:val="20"/>
              </w:rPr>
              <w:t> </w:t>
            </w:r>
            <w:r>
              <w:rPr>
                <w:sz w:val="20"/>
              </w:rPr>
              <w:t>de</w:t>
            </w:r>
            <w:r>
              <w:rPr>
                <w:spacing w:val="-6"/>
                <w:sz w:val="20"/>
              </w:rPr>
              <w:t> </w:t>
            </w:r>
            <w:r>
              <w:rPr>
                <w:sz w:val="20"/>
              </w:rPr>
              <w:t>la</w:t>
            </w:r>
            <w:r>
              <w:rPr>
                <w:spacing w:val="-7"/>
                <w:sz w:val="20"/>
              </w:rPr>
              <w:t> </w:t>
            </w:r>
            <w:r>
              <w:rPr>
                <w:sz w:val="20"/>
              </w:rPr>
              <w:t>dentadura,</w:t>
            </w:r>
            <w:r>
              <w:rPr>
                <w:spacing w:val="-6"/>
                <w:sz w:val="20"/>
              </w:rPr>
              <w:t> </w:t>
            </w:r>
            <w:r>
              <w:rPr>
                <w:sz w:val="20"/>
              </w:rPr>
              <w:t>prótesis</w:t>
            </w:r>
            <w:r>
              <w:rPr>
                <w:spacing w:val="-6"/>
                <w:sz w:val="20"/>
              </w:rPr>
              <w:t> </w:t>
            </w:r>
            <w:r>
              <w:rPr>
                <w:sz w:val="20"/>
              </w:rPr>
              <w:t>no</w:t>
            </w:r>
            <w:r>
              <w:rPr>
                <w:spacing w:val="-7"/>
                <w:sz w:val="20"/>
              </w:rPr>
              <w:t> </w:t>
            </w:r>
            <w:r>
              <w:rPr>
                <w:spacing w:val="-2"/>
                <w:sz w:val="20"/>
              </w:rPr>
              <w:t>tolerada.</w:t>
            </w:r>
          </w:p>
        </w:tc>
        <w:tc>
          <w:tcPr>
            <w:tcW w:w="1561" w:type="dxa"/>
          </w:tcPr>
          <w:p>
            <w:pPr>
              <w:pStyle w:val="TableParagraph"/>
              <w:ind w:left="11" w:right="6"/>
              <w:rPr>
                <w:sz w:val="20"/>
              </w:rPr>
            </w:pPr>
            <w:r>
              <w:rPr>
                <w:spacing w:val="-5"/>
                <w:sz w:val="20"/>
              </w:rPr>
              <w:t>30%</w:t>
            </w:r>
          </w:p>
        </w:tc>
      </w:tr>
      <w:tr>
        <w:trPr>
          <w:trHeight w:val="229" w:hRule="atLeast"/>
        </w:trPr>
        <w:tc>
          <w:tcPr>
            <w:tcW w:w="1066" w:type="dxa"/>
          </w:tcPr>
          <w:p>
            <w:pPr>
              <w:pStyle w:val="TableParagraph"/>
              <w:ind w:left="9"/>
              <w:rPr>
                <w:sz w:val="20"/>
              </w:rPr>
            </w:pPr>
            <w:r>
              <w:rPr>
                <w:spacing w:val="-5"/>
                <w:sz w:val="20"/>
              </w:rPr>
              <w:t>337</w:t>
            </w:r>
          </w:p>
        </w:tc>
        <w:tc>
          <w:tcPr>
            <w:tcW w:w="6924" w:type="dxa"/>
          </w:tcPr>
          <w:p>
            <w:pPr>
              <w:pStyle w:val="TableParagraph"/>
              <w:jc w:val="left"/>
              <w:rPr>
                <w:sz w:val="20"/>
              </w:rPr>
            </w:pPr>
            <w:r>
              <w:rPr>
                <w:sz w:val="20"/>
              </w:rPr>
              <w:t>Pérdida</w:t>
            </w:r>
            <w:r>
              <w:rPr>
                <w:spacing w:val="-6"/>
                <w:sz w:val="20"/>
              </w:rPr>
              <w:t> </w:t>
            </w:r>
            <w:r>
              <w:rPr>
                <w:sz w:val="20"/>
              </w:rPr>
              <w:t>total</w:t>
            </w:r>
            <w:r>
              <w:rPr>
                <w:spacing w:val="-8"/>
                <w:sz w:val="20"/>
              </w:rPr>
              <w:t> </w:t>
            </w:r>
            <w:r>
              <w:rPr>
                <w:sz w:val="20"/>
              </w:rPr>
              <w:t>de</w:t>
            </w:r>
            <w:r>
              <w:rPr>
                <w:spacing w:val="-6"/>
                <w:sz w:val="20"/>
              </w:rPr>
              <w:t> </w:t>
            </w:r>
            <w:r>
              <w:rPr>
                <w:sz w:val="20"/>
              </w:rPr>
              <w:t>la</w:t>
            </w:r>
            <w:r>
              <w:rPr>
                <w:spacing w:val="-7"/>
                <w:sz w:val="20"/>
              </w:rPr>
              <w:t> </w:t>
            </w:r>
            <w:r>
              <w:rPr>
                <w:sz w:val="20"/>
              </w:rPr>
              <w:t>dentadura,</w:t>
            </w:r>
            <w:r>
              <w:rPr>
                <w:spacing w:val="-7"/>
                <w:sz w:val="20"/>
              </w:rPr>
              <w:t> </w:t>
            </w:r>
            <w:r>
              <w:rPr>
                <w:sz w:val="20"/>
              </w:rPr>
              <w:t>prótesis</w:t>
            </w:r>
            <w:r>
              <w:rPr>
                <w:spacing w:val="-6"/>
                <w:sz w:val="20"/>
              </w:rPr>
              <w:t> </w:t>
            </w:r>
            <w:r>
              <w:rPr>
                <w:spacing w:val="-2"/>
                <w:sz w:val="20"/>
              </w:rPr>
              <w:t>tolerada.</w:t>
            </w:r>
          </w:p>
        </w:tc>
        <w:tc>
          <w:tcPr>
            <w:tcW w:w="1561" w:type="dxa"/>
          </w:tcPr>
          <w:p>
            <w:pPr>
              <w:pStyle w:val="TableParagraph"/>
              <w:ind w:left="11" w:right="6"/>
              <w:rPr>
                <w:sz w:val="20"/>
              </w:rPr>
            </w:pPr>
            <w:r>
              <w:rPr>
                <w:spacing w:val="-5"/>
                <w:sz w:val="20"/>
              </w:rPr>
              <w:t>15%</w:t>
            </w:r>
          </w:p>
        </w:tc>
      </w:tr>
      <w:tr>
        <w:trPr>
          <w:trHeight w:val="229" w:hRule="atLeast"/>
        </w:trPr>
        <w:tc>
          <w:tcPr>
            <w:tcW w:w="1066" w:type="dxa"/>
          </w:tcPr>
          <w:p>
            <w:pPr>
              <w:pStyle w:val="TableParagraph"/>
              <w:ind w:left="9"/>
              <w:rPr>
                <w:sz w:val="20"/>
              </w:rPr>
            </w:pPr>
            <w:r>
              <w:rPr>
                <w:spacing w:val="-5"/>
                <w:sz w:val="20"/>
              </w:rPr>
              <w:t>338</w:t>
            </w:r>
          </w:p>
        </w:tc>
        <w:tc>
          <w:tcPr>
            <w:tcW w:w="6924" w:type="dxa"/>
          </w:tcPr>
          <w:p>
            <w:pPr>
              <w:pStyle w:val="TableParagraph"/>
              <w:jc w:val="left"/>
              <w:rPr>
                <w:sz w:val="20"/>
              </w:rPr>
            </w:pPr>
            <w:r>
              <w:rPr>
                <w:sz w:val="20"/>
              </w:rPr>
              <w:t>Pérdida</w:t>
            </w:r>
            <w:r>
              <w:rPr>
                <w:spacing w:val="-8"/>
                <w:sz w:val="20"/>
              </w:rPr>
              <w:t> </w:t>
            </w:r>
            <w:r>
              <w:rPr>
                <w:sz w:val="20"/>
              </w:rPr>
              <w:t>completa</w:t>
            </w:r>
            <w:r>
              <w:rPr>
                <w:spacing w:val="-7"/>
                <w:sz w:val="20"/>
              </w:rPr>
              <w:t> </w:t>
            </w:r>
            <w:r>
              <w:rPr>
                <w:sz w:val="20"/>
              </w:rPr>
              <w:t>de</w:t>
            </w:r>
            <w:r>
              <w:rPr>
                <w:spacing w:val="-5"/>
                <w:sz w:val="20"/>
              </w:rPr>
              <w:t> </w:t>
            </w:r>
            <w:r>
              <w:rPr>
                <w:sz w:val="20"/>
              </w:rPr>
              <w:t>un</w:t>
            </w:r>
            <w:r>
              <w:rPr>
                <w:spacing w:val="-6"/>
                <w:sz w:val="20"/>
              </w:rPr>
              <w:t> </w:t>
            </w:r>
            <w:r>
              <w:rPr>
                <w:sz w:val="20"/>
              </w:rPr>
              <w:t>arco</w:t>
            </w:r>
            <w:r>
              <w:rPr>
                <w:spacing w:val="-7"/>
                <w:sz w:val="20"/>
              </w:rPr>
              <w:t> </w:t>
            </w:r>
            <w:r>
              <w:rPr>
                <w:sz w:val="20"/>
              </w:rPr>
              <w:t>dentario,</w:t>
            </w:r>
            <w:r>
              <w:rPr>
                <w:spacing w:val="-7"/>
                <w:sz w:val="20"/>
              </w:rPr>
              <w:t> </w:t>
            </w:r>
            <w:r>
              <w:rPr>
                <w:sz w:val="20"/>
              </w:rPr>
              <w:t>prótesis</w:t>
            </w:r>
            <w:r>
              <w:rPr>
                <w:spacing w:val="-6"/>
                <w:sz w:val="20"/>
              </w:rPr>
              <w:t> </w:t>
            </w:r>
            <w:r>
              <w:rPr>
                <w:sz w:val="20"/>
              </w:rPr>
              <w:t>no</w:t>
            </w:r>
            <w:r>
              <w:rPr>
                <w:spacing w:val="-7"/>
                <w:sz w:val="20"/>
              </w:rPr>
              <w:t> </w:t>
            </w:r>
            <w:r>
              <w:rPr>
                <w:spacing w:val="-2"/>
                <w:sz w:val="20"/>
              </w:rPr>
              <w:t>tolerada.</w:t>
            </w:r>
          </w:p>
        </w:tc>
        <w:tc>
          <w:tcPr>
            <w:tcW w:w="1561" w:type="dxa"/>
          </w:tcPr>
          <w:p>
            <w:pPr>
              <w:pStyle w:val="TableParagraph"/>
              <w:ind w:left="11" w:right="6"/>
              <w:rPr>
                <w:sz w:val="20"/>
              </w:rPr>
            </w:pPr>
            <w:r>
              <w:rPr>
                <w:spacing w:val="-5"/>
                <w:sz w:val="20"/>
              </w:rPr>
              <w:t>20%</w:t>
            </w:r>
          </w:p>
        </w:tc>
      </w:tr>
      <w:tr>
        <w:trPr>
          <w:trHeight w:val="229" w:hRule="atLeast"/>
        </w:trPr>
        <w:tc>
          <w:tcPr>
            <w:tcW w:w="1066" w:type="dxa"/>
          </w:tcPr>
          <w:p>
            <w:pPr>
              <w:pStyle w:val="TableParagraph"/>
              <w:ind w:left="9"/>
              <w:rPr>
                <w:sz w:val="20"/>
              </w:rPr>
            </w:pPr>
            <w:r>
              <w:rPr>
                <w:spacing w:val="-5"/>
                <w:sz w:val="20"/>
              </w:rPr>
              <w:t>339</w:t>
            </w:r>
          </w:p>
        </w:tc>
        <w:tc>
          <w:tcPr>
            <w:tcW w:w="6924" w:type="dxa"/>
          </w:tcPr>
          <w:p>
            <w:pPr>
              <w:pStyle w:val="TableParagraph"/>
              <w:jc w:val="left"/>
              <w:rPr>
                <w:sz w:val="20"/>
              </w:rPr>
            </w:pPr>
            <w:r>
              <w:rPr>
                <w:sz w:val="20"/>
              </w:rPr>
              <w:t>Pérdida</w:t>
            </w:r>
            <w:r>
              <w:rPr>
                <w:spacing w:val="-9"/>
                <w:sz w:val="20"/>
              </w:rPr>
              <w:t> </w:t>
            </w:r>
            <w:r>
              <w:rPr>
                <w:sz w:val="20"/>
              </w:rPr>
              <w:t>completa</w:t>
            </w:r>
            <w:r>
              <w:rPr>
                <w:spacing w:val="-7"/>
                <w:sz w:val="20"/>
              </w:rPr>
              <w:t> </w:t>
            </w:r>
            <w:r>
              <w:rPr>
                <w:sz w:val="20"/>
              </w:rPr>
              <w:t>de</w:t>
            </w:r>
            <w:r>
              <w:rPr>
                <w:spacing w:val="-6"/>
                <w:sz w:val="20"/>
              </w:rPr>
              <w:t> </w:t>
            </w:r>
            <w:r>
              <w:rPr>
                <w:sz w:val="20"/>
              </w:rPr>
              <w:t>un</w:t>
            </w:r>
            <w:r>
              <w:rPr>
                <w:spacing w:val="-7"/>
                <w:sz w:val="20"/>
              </w:rPr>
              <w:t> </w:t>
            </w:r>
            <w:r>
              <w:rPr>
                <w:sz w:val="20"/>
              </w:rPr>
              <w:t>arco</w:t>
            </w:r>
            <w:r>
              <w:rPr>
                <w:spacing w:val="-7"/>
                <w:sz w:val="20"/>
              </w:rPr>
              <w:t> </w:t>
            </w:r>
            <w:r>
              <w:rPr>
                <w:sz w:val="20"/>
              </w:rPr>
              <w:t>dentario,</w:t>
            </w:r>
            <w:r>
              <w:rPr>
                <w:spacing w:val="-8"/>
                <w:sz w:val="20"/>
              </w:rPr>
              <w:t> </w:t>
            </w:r>
            <w:r>
              <w:rPr>
                <w:sz w:val="20"/>
              </w:rPr>
              <w:t>prótesis</w:t>
            </w:r>
            <w:r>
              <w:rPr>
                <w:spacing w:val="-7"/>
                <w:sz w:val="20"/>
              </w:rPr>
              <w:t> </w:t>
            </w:r>
            <w:r>
              <w:rPr>
                <w:spacing w:val="-2"/>
                <w:sz w:val="20"/>
              </w:rPr>
              <w:t>tolerada.</w:t>
            </w:r>
          </w:p>
        </w:tc>
        <w:tc>
          <w:tcPr>
            <w:tcW w:w="1561" w:type="dxa"/>
          </w:tcPr>
          <w:p>
            <w:pPr>
              <w:pStyle w:val="TableParagraph"/>
              <w:ind w:left="11" w:right="6"/>
              <w:rPr>
                <w:sz w:val="20"/>
              </w:rPr>
            </w:pPr>
            <w:r>
              <w:rPr>
                <w:spacing w:val="-5"/>
                <w:sz w:val="20"/>
              </w:rPr>
              <w:t>10%</w:t>
            </w:r>
          </w:p>
        </w:tc>
      </w:tr>
      <w:tr>
        <w:trPr>
          <w:trHeight w:val="232" w:hRule="atLeast"/>
        </w:trPr>
        <w:tc>
          <w:tcPr>
            <w:tcW w:w="1066" w:type="dxa"/>
          </w:tcPr>
          <w:p>
            <w:pPr>
              <w:pStyle w:val="TableParagraph"/>
              <w:spacing w:before="2"/>
              <w:ind w:left="9"/>
              <w:rPr>
                <w:sz w:val="20"/>
              </w:rPr>
            </w:pPr>
            <w:r>
              <w:rPr>
                <w:spacing w:val="-5"/>
                <w:sz w:val="20"/>
              </w:rPr>
              <w:t>340</w:t>
            </w:r>
          </w:p>
        </w:tc>
        <w:tc>
          <w:tcPr>
            <w:tcW w:w="6924" w:type="dxa"/>
          </w:tcPr>
          <w:p>
            <w:pPr>
              <w:pStyle w:val="TableParagraph"/>
              <w:spacing w:before="2"/>
              <w:jc w:val="left"/>
              <w:rPr>
                <w:sz w:val="20"/>
              </w:rPr>
            </w:pPr>
            <w:r>
              <w:rPr>
                <w:sz w:val="20"/>
              </w:rPr>
              <w:t>Pérdida</w:t>
            </w:r>
            <w:r>
              <w:rPr>
                <w:spacing w:val="-6"/>
                <w:sz w:val="20"/>
              </w:rPr>
              <w:t> </w:t>
            </w:r>
            <w:r>
              <w:rPr>
                <w:sz w:val="20"/>
              </w:rPr>
              <w:t>de</w:t>
            </w:r>
            <w:r>
              <w:rPr>
                <w:spacing w:val="-5"/>
                <w:sz w:val="20"/>
              </w:rPr>
              <w:t> </w:t>
            </w:r>
            <w:r>
              <w:rPr>
                <w:sz w:val="20"/>
              </w:rPr>
              <w:t>la</w:t>
            </w:r>
            <w:r>
              <w:rPr>
                <w:spacing w:val="-6"/>
                <w:sz w:val="20"/>
              </w:rPr>
              <w:t> </w:t>
            </w:r>
            <w:r>
              <w:rPr>
                <w:sz w:val="20"/>
              </w:rPr>
              <w:t>mitad</w:t>
            </w:r>
            <w:r>
              <w:rPr>
                <w:spacing w:val="-5"/>
                <w:sz w:val="20"/>
              </w:rPr>
              <w:t> </w:t>
            </w:r>
            <w:r>
              <w:rPr>
                <w:sz w:val="20"/>
              </w:rPr>
              <w:t>de</w:t>
            </w:r>
            <w:r>
              <w:rPr>
                <w:spacing w:val="-7"/>
                <w:sz w:val="20"/>
              </w:rPr>
              <w:t> </w:t>
            </w:r>
            <w:r>
              <w:rPr>
                <w:sz w:val="20"/>
              </w:rPr>
              <w:t>un</w:t>
            </w:r>
            <w:r>
              <w:rPr>
                <w:spacing w:val="-6"/>
                <w:sz w:val="20"/>
              </w:rPr>
              <w:t> </w:t>
            </w:r>
            <w:r>
              <w:rPr>
                <w:sz w:val="20"/>
              </w:rPr>
              <w:t>arco</w:t>
            </w:r>
            <w:r>
              <w:rPr>
                <w:spacing w:val="-6"/>
                <w:sz w:val="20"/>
              </w:rPr>
              <w:t> </w:t>
            </w:r>
            <w:r>
              <w:rPr>
                <w:sz w:val="20"/>
              </w:rPr>
              <w:t>dentario,</w:t>
            </w:r>
            <w:r>
              <w:rPr>
                <w:spacing w:val="-4"/>
                <w:sz w:val="20"/>
              </w:rPr>
              <w:t> </w:t>
            </w:r>
            <w:r>
              <w:rPr>
                <w:sz w:val="20"/>
              </w:rPr>
              <w:t>prótesis</w:t>
            </w:r>
            <w:r>
              <w:rPr>
                <w:spacing w:val="-5"/>
                <w:sz w:val="20"/>
              </w:rPr>
              <w:t> </w:t>
            </w:r>
            <w:r>
              <w:rPr>
                <w:sz w:val="20"/>
              </w:rPr>
              <w:t>no</w:t>
            </w:r>
            <w:r>
              <w:rPr>
                <w:spacing w:val="-7"/>
                <w:sz w:val="20"/>
              </w:rPr>
              <w:t> </w:t>
            </w:r>
            <w:r>
              <w:rPr>
                <w:spacing w:val="-2"/>
                <w:sz w:val="20"/>
              </w:rPr>
              <w:t>tolerada.</w:t>
            </w:r>
          </w:p>
        </w:tc>
        <w:tc>
          <w:tcPr>
            <w:tcW w:w="1561" w:type="dxa"/>
          </w:tcPr>
          <w:p>
            <w:pPr>
              <w:pStyle w:val="TableParagraph"/>
              <w:spacing w:before="2"/>
              <w:ind w:left="11" w:right="6"/>
              <w:rPr>
                <w:sz w:val="20"/>
              </w:rPr>
            </w:pPr>
            <w:r>
              <w:rPr>
                <w:spacing w:val="-5"/>
                <w:sz w:val="20"/>
              </w:rPr>
              <w:t>15%</w:t>
            </w:r>
          </w:p>
        </w:tc>
      </w:tr>
      <w:tr>
        <w:trPr>
          <w:trHeight w:val="229" w:hRule="atLeast"/>
        </w:trPr>
        <w:tc>
          <w:tcPr>
            <w:tcW w:w="1066" w:type="dxa"/>
          </w:tcPr>
          <w:p>
            <w:pPr>
              <w:pStyle w:val="TableParagraph"/>
              <w:ind w:left="9"/>
              <w:rPr>
                <w:sz w:val="20"/>
              </w:rPr>
            </w:pPr>
            <w:r>
              <w:rPr>
                <w:spacing w:val="-5"/>
                <w:sz w:val="20"/>
              </w:rPr>
              <w:t>341</w:t>
            </w:r>
          </w:p>
        </w:tc>
        <w:tc>
          <w:tcPr>
            <w:tcW w:w="6924" w:type="dxa"/>
          </w:tcPr>
          <w:p>
            <w:pPr>
              <w:pStyle w:val="TableParagraph"/>
              <w:jc w:val="left"/>
              <w:rPr>
                <w:sz w:val="20"/>
              </w:rPr>
            </w:pPr>
            <w:r>
              <w:rPr>
                <w:sz w:val="20"/>
              </w:rPr>
              <w:t>Pérdida</w:t>
            </w:r>
            <w:r>
              <w:rPr>
                <w:spacing w:val="-6"/>
                <w:sz w:val="20"/>
              </w:rPr>
              <w:t> </w:t>
            </w:r>
            <w:r>
              <w:rPr>
                <w:sz w:val="20"/>
              </w:rPr>
              <w:t>de</w:t>
            </w:r>
            <w:r>
              <w:rPr>
                <w:spacing w:val="-5"/>
                <w:sz w:val="20"/>
              </w:rPr>
              <w:t> </w:t>
            </w:r>
            <w:r>
              <w:rPr>
                <w:sz w:val="20"/>
              </w:rPr>
              <w:t>la</w:t>
            </w:r>
            <w:r>
              <w:rPr>
                <w:spacing w:val="-6"/>
                <w:sz w:val="20"/>
              </w:rPr>
              <w:t> </w:t>
            </w:r>
            <w:r>
              <w:rPr>
                <w:sz w:val="20"/>
              </w:rPr>
              <w:t>mitad</w:t>
            </w:r>
            <w:r>
              <w:rPr>
                <w:spacing w:val="-6"/>
                <w:sz w:val="20"/>
              </w:rPr>
              <w:t> </w:t>
            </w:r>
            <w:r>
              <w:rPr>
                <w:sz w:val="20"/>
              </w:rPr>
              <w:t>de</w:t>
            </w:r>
            <w:r>
              <w:rPr>
                <w:spacing w:val="-7"/>
                <w:sz w:val="20"/>
              </w:rPr>
              <w:t> </w:t>
            </w:r>
            <w:r>
              <w:rPr>
                <w:sz w:val="20"/>
              </w:rPr>
              <w:t>un</w:t>
            </w:r>
            <w:r>
              <w:rPr>
                <w:spacing w:val="-6"/>
                <w:sz w:val="20"/>
              </w:rPr>
              <w:t> </w:t>
            </w:r>
            <w:r>
              <w:rPr>
                <w:sz w:val="20"/>
              </w:rPr>
              <w:t>arco</w:t>
            </w:r>
            <w:r>
              <w:rPr>
                <w:spacing w:val="-6"/>
                <w:sz w:val="20"/>
              </w:rPr>
              <w:t> </w:t>
            </w:r>
            <w:r>
              <w:rPr>
                <w:sz w:val="20"/>
              </w:rPr>
              <w:t>dentario,</w:t>
            </w:r>
            <w:r>
              <w:rPr>
                <w:spacing w:val="-5"/>
                <w:sz w:val="20"/>
              </w:rPr>
              <w:t> </w:t>
            </w:r>
            <w:r>
              <w:rPr>
                <w:sz w:val="20"/>
              </w:rPr>
              <w:t>prótesis</w:t>
            </w:r>
            <w:r>
              <w:rPr>
                <w:spacing w:val="-5"/>
                <w:sz w:val="20"/>
              </w:rPr>
              <w:t> </w:t>
            </w:r>
            <w:r>
              <w:rPr>
                <w:spacing w:val="-2"/>
                <w:sz w:val="20"/>
              </w:rPr>
              <w:t>tolerada.</w:t>
            </w:r>
          </w:p>
        </w:tc>
        <w:tc>
          <w:tcPr>
            <w:tcW w:w="1561" w:type="dxa"/>
          </w:tcPr>
          <w:p>
            <w:pPr>
              <w:pStyle w:val="TableParagraph"/>
              <w:ind w:left="11" w:right="6"/>
              <w:rPr>
                <w:sz w:val="20"/>
              </w:rPr>
            </w:pPr>
            <w:r>
              <w:rPr>
                <w:spacing w:val="-5"/>
                <w:sz w:val="20"/>
              </w:rPr>
              <w:t>5%</w:t>
            </w:r>
          </w:p>
        </w:tc>
      </w:tr>
      <w:tr>
        <w:trPr>
          <w:trHeight w:val="460" w:hRule="atLeast"/>
        </w:trPr>
        <w:tc>
          <w:tcPr>
            <w:tcW w:w="1066" w:type="dxa"/>
          </w:tcPr>
          <w:p>
            <w:pPr>
              <w:pStyle w:val="TableParagraph"/>
              <w:spacing w:line="240" w:lineRule="auto" w:before="114"/>
              <w:ind w:left="9"/>
              <w:rPr>
                <w:sz w:val="20"/>
              </w:rPr>
            </w:pPr>
            <w:r>
              <w:rPr>
                <w:spacing w:val="-5"/>
                <w:sz w:val="20"/>
              </w:rPr>
              <w:t>342</w:t>
            </w:r>
          </w:p>
        </w:tc>
        <w:tc>
          <w:tcPr>
            <w:tcW w:w="6924" w:type="dxa"/>
          </w:tcPr>
          <w:p>
            <w:pPr>
              <w:pStyle w:val="TableParagraph"/>
              <w:spacing w:line="230" w:lineRule="exact"/>
              <w:jc w:val="left"/>
              <w:rPr>
                <w:sz w:val="20"/>
              </w:rPr>
            </w:pPr>
            <w:r>
              <w:rPr>
                <w:sz w:val="20"/>
              </w:rPr>
              <w:t>Bridas cicatrizales que limiten la abertura de la boca, impidiendo la higiene bucal, la pronunciación, la masticación o dejen escurrir la saliva.</w:t>
            </w:r>
          </w:p>
        </w:tc>
        <w:tc>
          <w:tcPr>
            <w:tcW w:w="1561" w:type="dxa"/>
          </w:tcPr>
          <w:p>
            <w:pPr>
              <w:pStyle w:val="TableParagraph"/>
              <w:spacing w:line="240" w:lineRule="auto" w:before="114"/>
              <w:ind w:left="11" w:right="9"/>
              <w:rPr>
                <w:sz w:val="20"/>
              </w:rPr>
            </w:pPr>
            <w:r>
              <w:rPr>
                <w:sz w:val="20"/>
              </w:rPr>
              <w:t>20</w:t>
            </w:r>
            <w:r>
              <w:rPr>
                <w:spacing w:val="-3"/>
                <w:sz w:val="20"/>
              </w:rPr>
              <w:t> </w:t>
            </w:r>
            <w:r>
              <w:rPr>
                <w:sz w:val="20"/>
              </w:rPr>
              <w:t>a</w:t>
            </w:r>
            <w:r>
              <w:rPr>
                <w:spacing w:val="-1"/>
                <w:sz w:val="20"/>
              </w:rPr>
              <w:t> </w:t>
            </w:r>
            <w:r>
              <w:rPr>
                <w:spacing w:val="-5"/>
                <w:sz w:val="20"/>
              </w:rPr>
              <w:t>50%</w:t>
            </w:r>
          </w:p>
        </w:tc>
      </w:tr>
      <w:tr>
        <w:trPr>
          <w:trHeight w:val="457" w:hRule="atLeast"/>
        </w:trPr>
        <w:tc>
          <w:tcPr>
            <w:tcW w:w="1066" w:type="dxa"/>
          </w:tcPr>
          <w:p>
            <w:pPr>
              <w:pStyle w:val="TableParagraph"/>
              <w:spacing w:line="240" w:lineRule="auto" w:before="112"/>
              <w:ind w:left="9"/>
              <w:rPr>
                <w:sz w:val="20"/>
              </w:rPr>
            </w:pPr>
            <w:r>
              <w:rPr>
                <w:spacing w:val="-5"/>
                <w:sz w:val="20"/>
              </w:rPr>
              <w:t>343</w:t>
            </w:r>
          </w:p>
        </w:tc>
        <w:tc>
          <w:tcPr>
            <w:tcW w:w="6924" w:type="dxa"/>
          </w:tcPr>
          <w:p>
            <w:pPr>
              <w:pStyle w:val="TableParagraph"/>
              <w:spacing w:line="228" w:lineRule="exact"/>
              <w:ind w:right="67"/>
              <w:jc w:val="left"/>
              <w:rPr>
                <w:sz w:val="20"/>
              </w:rPr>
            </w:pPr>
            <w:r>
              <w:rPr>
                <w:sz w:val="20"/>
              </w:rPr>
              <w:t>Luxación irreductible de la articulación temporomandibular, según el grado de entorpecimiento funcional.</w:t>
            </w:r>
          </w:p>
        </w:tc>
        <w:tc>
          <w:tcPr>
            <w:tcW w:w="1561" w:type="dxa"/>
          </w:tcPr>
          <w:p>
            <w:pPr>
              <w:pStyle w:val="TableParagraph"/>
              <w:spacing w:line="240" w:lineRule="auto" w:before="112"/>
              <w:ind w:left="11" w:right="9"/>
              <w:rPr>
                <w:sz w:val="20"/>
              </w:rPr>
            </w:pPr>
            <w:r>
              <w:rPr>
                <w:sz w:val="20"/>
              </w:rPr>
              <w:t>20</w:t>
            </w:r>
            <w:r>
              <w:rPr>
                <w:spacing w:val="-3"/>
                <w:sz w:val="20"/>
              </w:rPr>
              <w:t> </w:t>
            </w:r>
            <w:r>
              <w:rPr>
                <w:sz w:val="20"/>
              </w:rPr>
              <w:t>a</w:t>
            </w:r>
            <w:r>
              <w:rPr>
                <w:spacing w:val="-1"/>
                <w:sz w:val="20"/>
              </w:rPr>
              <w:t> </w:t>
            </w:r>
            <w:r>
              <w:rPr>
                <w:spacing w:val="-5"/>
                <w:sz w:val="20"/>
              </w:rPr>
              <w:t>35%</w:t>
            </w:r>
          </w:p>
        </w:tc>
      </w:tr>
      <w:tr>
        <w:trPr>
          <w:trHeight w:val="460" w:hRule="atLeast"/>
        </w:trPr>
        <w:tc>
          <w:tcPr>
            <w:tcW w:w="1066" w:type="dxa"/>
          </w:tcPr>
          <w:p>
            <w:pPr>
              <w:pStyle w:val="TableParagraph"/>
              <w:spacing w:line="240" w:lineRule="auto" w:before="114"/>
              <w:ind w:left="9"/>
              <w:rPr>
                <w:sz w:val="20"/>
              </w:rPr>
            </w:pPr>
            <w:r>
              <w:rPr>
                <w:spacing w:val="-5"/>
                <w:sz w:val="20"/>
              </w:rPr>
              <w:t>344</w:t>
            </w:r>
          </w:p>
        </w:tc>
        <w:tc>
          <w:tcPr>
            <w:tcW w:w="6924" w:type="dxa"/>
          </w:tcPr>
          <w:p>
            <w:pPr>
              <w:pStyle w:val="TableParagraph"/>
              <w:spacing w:line="230" w:lineRule="exact"/>
              <w:jc w:val="left"/>
              <w:rPr>
                <w:sz w:val="20"/>
              </w:rPr>
            </w:pPr>
            <w:r>
              <w:rPr>
                <w:sz w:val="20"/>
              </w:rPr>
              <w:t>Amputaciones o mutilaciones de la lengua, según el entorpecimiento de la palabra y de la deglución.</w:t>
            </w:r>
          </w:p>
        </w:tc>
        <w:tc>
          <w:tcPr>
            <w:tcW w:w="1561" w:type="dxa"/>
          </w:tcPr>
          <w:p>
            <w:pPr>
              <w:pStyle w:val="TableParagraph"/>
              <w:spacing w:line="240" w:lineRule="auto" w:before="114"/>
              <w:ind w:left="11" w:right="9"/>
              <w:rPr>
                <w:sz w:val="20"/>
              </w:rPr>
            </w:pPr>
            <w:r>
              <w:rPr>
                <w:sz w:val="20"/>
              </w:rPr>
              <w:t>20</w:t>
            </w:r>
            <w:r>
              <w:rPr>
                <w:spacing w:val="-3"/>
                <w:sz w:val="20"/>
              </w:rPr>
              <w:t> </w:t>
            </w:r>
            <w:r>
              <w:rPr>
                <w:sz w:val="20"/>
              </w:rPr>
              <w:t>a</w:t>
            </w:r>
            <w:r>
              <w:rPr>
                <w:spacing w:val="-1"/>
                <w:sz w:val="20"/>
              </w:rPr>
              <w:t> </w:t>
            </w:r>
            <w:r>
              <w:rPr>
                <w:spacing w:val="-5"/>
                <w:sz w:val="20"/>
              </w:rPr>
              <w:t>40%</w:t>
            </w:r>
          </w:p>
        </w:tc>
      </w:tr>
      <w:tr>
        <w:trPr>
          <w:trHeight w:val="232" w:hRule="atLeast"/>
        </w:trPr>
        <w:tc>
          <w:tcPr>
            <w:tcW w:w="1066" w:type="dxa"/>
          </w:tcPr>
          <w:p>
            <w:pPr>
              <w:pStyle w:val="TableParagraph"/>
              <w:spacing w:line="212" w:lineRule="exact"/>
              <w:ind w:left="9"/>
              <w:rPr>
                <w:sz w:val="20"/>
              </w:rPr>
            </w:pPr>
            <w:r>
              <w:rPr>
                <w:spacing w:val="-5"/>
                <w:sz w:val="20"/>
              </w:rPr>
              <w:t>345</w:t>
            </w:r>
          </w:p>
        </w:tc>
        <w:tc>
          <w:tcPr>
            <w:tcW w:w="6924" w:type="dxa"/>
          </w:tcPr>
          <w:p>
            <w:pPr>
              <w:pStyle w:val="TableParagraph"/>
              <w:spacing w:line="212" w:lineRule="exact"/>
              <w:jc w:val="left"/>
              <w:rPr>
                <w:sz w:val="20"/>
              </w:rPr>
            </w:pPr>
            <w:r>
              <w:rPr>
                <w:sz w:val="20"/>
              </w:rPr>
              <w:t>Fístula</w:t>
            </w:r>
            <w:r>
              <w:rPr>
                <w:spacing w:val="-8"/>
                <w:sz w:val="20"/>
              </w:rPr>
              <w:t> </w:t>
            </w:r>
            <w:r>
              <w:rPr>
                <w:sz w:val="20"/>
              </w:rPr>
              <w:t>salival</w:t>
            </w:r>
            <w:r>
              <w:rPr>
                <w:spacing w:val="-9"/>
                <w:sz w:val="20"/>
              </w:rPr>
              <w:t> </w:t>
            </w:r>
            <w:r>
              <w:rPr>
                <w:sz w:val="20"/>
              </w:rPr>
              <w:t>no</w:t>
            </w:r>
            <w:r>
              <w:rPr>
                <w:spacing w:val="-7"/>
                <w:sz w:val="20"/>
              </w:rPr>
              <w:t> </w:t>
            </w:r>
            <w:r>
              <w:rPr>
                <w:sz w:val="20"/>
              </w:rPr>
              <w:t>resuelta</w:t>
            </w:r>
            <w:r>
              <w:rPr>
                <w:spacing w:val="-6"/>
                <w:sz w:val="20"/>
              </w:rPr>
              <w:t> </w:t>
            </w:r>
            <w:r>
              <w:rPr>
                <w:spacing w:val="-2"/>
                <w:sz w:val="20"/>
              </w:rPr>
              <w:t>quirúrgicamente.</w:t>
            </w:r>
          </w:p>
        </w:tc>
        <w:tc>
          <w:tcPr>
            <w:tcW w:w="1561" w:type="dxa"/>
          </w:tcPr>
          <w:p>
            <w:pPr>
              <w:pStyle w:val="TableParagraph"/>
              <w:spacing w:line="212" w:lineRule="exact"/>
              <w:ind w:left="11" w:right="9"/>
              <w:rPr>
                <w:sz w:val="20"/>
              </w:rPr>
            </w:pPr>
            <w:r>
              <w:rPr>
                <w:sz w:val="20"/>
              </w:rPr>
              <w:t>10</w:t>
            </w:r>
            <w:r>
              <w:rPr>
                <w:spacing w:val="-3"/>
                <w:sz w:val="20"/>
              </w:rPr>
              <w:t> </w:t>
            </w:r>
            <w:r>
              <w:rPr>
                <w:sz w:val="20"/>
              </w:rPr>
              <w:t>a</w:t>
            </w:r>
            <w:r>
              <w:rPr>
                <w:spacing w:val="-1"/>
                <w:sz w:val="20"/>
              </w:rPr>
              <w:t> </w:t>
            </w:r>
            <w:r>
              <w:rPr>
                <w:spacing w:val="-5"/>
                <w:sz w:val="20"/>
              </w:rPr>
              <w:t>20%</w:t>
            </w:r>
          </w:p>
        </w:tc>
      </w:tr>
    </w:tbl>
    <w:p>
      <w:pPr>
        <w:pStyle w:val="TableParagraph"/>
        <w:spacing w:after="0" w:line="212" w:lineRule="exact"/>
        <w:rPr>
          <w:sz w:val="20"/>
        </w:rPr>
        <w:sectPr>
          <w:pgSz w:w="12240" w:h="15840"/>
          <w:pgMar w:header="724" w:footer="712" w:top="1880" w:bottom="900" w:left="1080" w:right="1080"/>
        </w:sectPr>
      </w:pPr>
    </w:p>
    <w:p>
      <w:pPr>
        <w:pStyle w:val="BodyText"/>
        <w:spacing w:before="63"/>
        <w:rPr>
          <w:rFonts w:ascii="Arial"/>
          <w:b/>
        </w:rPr>
      </w:pPr>
    </w:p>
    <w:p>
      <w:pPr>
        <w:spacing w:before="0"/>
        <w:ind w:left="296" w:right="296" w:firstLine="0"/>
        <w:jc w:val="center"/>
        <w:rPr>
          <w:rFonts w:ascii="Arial"/>
          <w:b/>
          <w:sz w:val="20"/>
        </w:rPr>
      </w:pPr>
      <w:r>
        <w:rPr>
          <w:rFonts w:ascii="Arial"/>
          <w:b/>
          <w:spacing w:val="-4"/>
          <w:sz w:val="20"/>
        </w:rPr>
        <w:t>Ojos</w:t>
      </w:r>
    </w:p>
    <w:p>
      <w:pPr>
        <w:pStyle w:val="BodyText"/>
        <w:spacing w:before="3" w:after="1"/>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24"/>
        <w:gridCol w:w="1561"/>
      </w:tblGrid>
      <w:tr>
        <w:trPr>
          <w:trHeight w:val="229" w:hRule="atLeast"/>
        </w:trPr>
        <w:tc>
          <w:tcPr>
            <w:tcW w:w="1066" w:type="dxa"/>
          </w:tcPr>
          <w:p>
            <w:pPr>
              <w:pStyle w:val="TableParagraph"/>
              <w:ind w:left="9"/>
              <w:rPr>
                <w:sz w:val="20"/>
              </w:rPr>
            </w:pPr>
            <w:r>
              <w:rPr>
                <w:spacing w:val="-5"/>
                <w:sz w:val="20"/>
              </w:rPr>
              <w:t>346</w:t>
            </w:r>
          </w:p>
        </w:tc>
        <w:tc>
          <w:tcPr>
            <w:tcW w:w="6924" w:type="dxa"/>
          </w:tcPr>
          <w:p>
            <w:pPr>
              <w:pStyle w:val="TableParagraph"/>
              <w:jc w:val="left"/>
              <w:rPr>
                <w:sz w:val="20"/>
              </w:rPr>
            </w:pPr>
            <w:r>
              <w:rPr>
                <w:sz w:val="20"/>
              </w:rPr>
              <w:t>Ceguera</w:t>
            </w:r>
            <w:r>
              <w:rPr>
                <w:spacing w:val="-7"/>
                <w:sz w:val="20"/>
              </w:rPr>
              <w:t> </w:t>
            </w:r>
            <w:r>
              <w:rPr>
                <w:sz w:val="20"/>
              </w:rPr>
              <w:t>total,</w:t>
            </w:r>
            <w:r>
              <w:rPr>
                <w:spacing w:val="-7"/>
                <w:sz w:val="20"/>
              </w:rPr>
              <w:t> </w:t>
            </w:r>
            <w:r>
              <w:rPr>
                <w:sz w:val="20"/>
              </w:rPr>
              <w:t>con</w:t>
            </w:r>
            <w:r>
              <w:rPr>
                <w:spacing w:val="-8"/>
                <w:sz w:val="20"/>
              </w:rPr>
              <w:t> </w:t>
            </w:r>
            <w:r>
              <w:rPr>
                <w:sz w:val="20"/>
              </w:rPr>
              <w:t>conservación</w:t>
            </w:r>
            <w:r>
              <w:rPr>
                <w:spacing w:val="-6"/>
                <w:sz w:val="20"/>
              </w:rPr>
              <w:t> </w:t>
            </w:r>
            <w:r>
              <w:rPr>
                <w:sz w:val="20"/>
              </w:rPr>
              <w:t>o</w:t>
            </w:r>
            <w:r>
              <w:rPr>
                <w:spacing w:val="-7"/>
                <w:sz w:val="20"/>
              </w:rPr>
              <w:t> </w:t>
            </w:r>
            <w:r>
              <w:rPr>
                <w:sz w:val="20"/>
              </w:rPr>
              <w:t>pérdida</w:t>
            </w:r>
            <w:r>
              <w:rPr>
                <w:spacing w:val="-8"/>
                <w:sz w:val="20"/>
              </w:rPr>
              <w:t> </w:t>
            </w:r>
            <w:r>
              <w:rPr>
                <w:sz w:val="20"/>
              </w:rPr>
              <w:t>de</w:t>
            </w:r>
            <w:r>
              <w:rPr>
                <w:spacing w:val="-7"/>
                <w:sz w:val="20"/>
              </w:rPr>
              <w:t> </w:t>
            </w:r>
            <w:r>
              <w:rPr>
                <w:sz w:val="20"/>
              </w:rPr>
              <w:t>los</w:t>
            </w:r>
            <w:r>
              <w:rPr>
                <w:spacing w:val="-6"/>
                <w:sz w:val="20"/>
              </w:rPr>
              <w:t> </w:t>
            </w:r>
            <w:r>
              <w:rPr>
                <w:sz w:val="20"/>
              </w:rPr>
              <w:t>globos</w:t>
            </w:r>
            <w:r>
              <w:rPr>
                <w:spacing w:val="-6"/>
                <w:sz w:val="20"/>
              </w:rPr>
              <w:t> </w:t>
            </w:r>
            <w:r>
              <w:rPr>
                <w:spacing w:val="-2"/>
                <w:sz w:val="20"/>
              </w:rPr>
              <w:t>oculares.</w:t>
            </w:r>
          </w:p>
        </w:tc>
        <w:tc>
          <w:tcPr>
            <w:tcW w:w="1561" w:type="dxa"/>
          </w:tcPr>
          <w:p>
            <w:pPr>
              <w:pStyle w:val="TableParagraph"/>
              <w:ind w:left="11" w:right="6"/>
              <w:rPr>
                <w:sz w:val="20"/>
              </w:rPr>
            </w:pPr>
            <w:r>
              <w:rPr>
                <w:spacing w:val="-4"/>
                <w:sz w:val="20"/>
              </w:rPr>
              <w:t>100%</w:t>
            </w:r>
          </w:p>
        </w:tc>
      </w:tr>
      <w:tr>
        <w:trPr>
          <w:trHeight w:val="690" w:hRule="atLeast"/>
        </w:trPr>
        <w:tc>
          <w:tcPr>
            <w:tcW w:w="1066" w:type="dxa"/>
          </w:tcPr>
          <w:p>
            <w:pPr>
              <w:pStyle w:val="TableParagraph"/>
              <w:spacing w:line="240" w:lineRule="auto" w:before="229"/>
              <w:ind w:left="9"/>
              <w:rPr>
                <w:sz w:val="20"/>
              </w:rPr>
            </w:pPr>
            <w:r>
              <w:rPr>
                <w:spacing w:val="-5"/>
                <w:sz w:val="20"/>
              </w:rPr>
              <w:t>347</w:t>
            </w:r>
          </w:p>
        </w:tc>
        <w:tc>
          <w:tcPr>
            <w:tcW w:w="6924" w:type="dxa"/>
          </w:tcPr>
          <w:p>
            <w:pPr>
              <w:pStyle w:val="TableParagraph"/>
              <w:spacing w:line="230" w:lineRule="exact"/>
              <w:ind w:right="65"/>
              <w:jc w:val="both"/>
              <w:rPr>
                <w:sz w:val="20"/>
              </w:rPr>
            </w:pPr>
            <w:r>
              <w:rPr>
                <w:sz w:val="20"/>
              </w:rPr>
              <w:t>Pérdida o disminución permanente (cuando ya no puede ser mejorada con anteojos) de la agudeza visual (visión restante con corrección óptica).</w:t>
            </w:r>
            <w:r>
              <w:rPr>
                <w:spacing w:val="40"/>
                <w:sz w:val="20"/>
              </w:rPr>
              <w:t> </w:t>
            </w:r>
            <w:r>
              <w:rPr>
                <w:sz w:val="20"/>
              </w:rPr>
              <w:t>Véase Tabla I.</w:t>
            </w:r>
          </w:p>
        </w:tc>
        <w:tc>
          <w:tcPr>
            <w:tcW w:w="1561" w:type="dxa"/>
          </w:tcPr>
          <w:p>
            <w:pPr>
              <w:pStyle w:val="TableParagraph"/>
              <w:spacing w:line="240" w:lineRule="auto" w:before="229"/>
              <w:ind w:left="11" w:right="5"/>
              <w:rPr>
                <w:sz w:val="20"/>
              </w:rPr>
            </w:pPr>
            <w:r>
              <w:rPr>
                <w:spacing w:val="-2"/>
                <w:sz w:val="20"/>
              </w:rPr>
              <w:t>-</w:t>
            </w:r>
            <w:r>
              <w:rPr>
                <w:spacing w:val="-12"/>
                <w:sz w:val="20"/>
              </w:rPr>
              <w:t>-</w:t>
            </w:r>
          </w:p>
        </w:tc>
      </w:tr>
    </w:tbl>
    <w:p>
      <w:pPr>
        <w:pStyle w:val="ListParagraph"/>
        <w:numPr>
          <w:ilvl w:val="0"/>
          <w:numId w:val="168"/>
        </w:numPr>
        <w:tabs>
          <w:tab w:pos="1045" w:val="left" w:leader="none"/>
          <w:tab w:pos="1058" w:val="left" w:leader="none"/>
        </w:tabs>
        <w:spacing w:line="240" w:lineRule="auto" w:before="229" w:after="0"/>
        <w:ind w:left="1058" w:right="335" w:hanging="432"/>
        <w:jc w:val="both"/>
        <w:rPr>
          <w:sz w:val="20"/>
        </w:rPr>
      </w:pPr>
      <w:r>
        <w:rPr>
          <w:sz w:val="20"/>
        </w:rPr>
        <w:t>En los casos de pérdida o disminución de la agudeza visual en un solo ojo, estando el otro sano, debajo de la primera línea horizontal, en la que están señalados los diversos grados indemnizables de pérdida o disminución, aparecen inscritos los porcentajes de incapacidad correspondientes a cada grado (segunda línea horizontal).</w:t>
      </w:r>
    </w:p>
    <w:p>
      <w:pPr>
        <w:pStyle w:val="ListParagraph"/>
        <w:numPr>
          <w:ilvl w:val="0"/>
          <w:numId w:val="168"/>
        </w:numPr>
        <w:tabs>
          <w:tab w:pos="1045" w:val="left" w:leader="none"/>
          <w:tab w:pos="1058" w:val="left" w:leader="none"/>
        </w:tabs>
        <w:spacing w:line="240" w:lineRule="auto" w:before="230" w:after="0"/>
        <w:ind w:left="1058" w:right="343" w:hanging="432"/>
        <w:jc w:val="both"/>
        <w:rPr>
          <w:sz w:val="20"/>
        </w:rPr>
      </w:pPr>
      <w:r>
        <w:rPr>
          <w:sz w:val="20"/>
        </w:rPr>
        <w:t>En los casos de pérdida o disminución de la agudeza visual en un solo ojo, estando el otro enfermo por afección ajena al trabajo, si la visión restante en cada ojo es igual o inferior a 0.2, el porcentaje de incapacidad indemnizable aparece en la intersección de la columna vertical y de la línea horizontal correspondiente.</w:t>
      </w:r>
    </w:p>
    <w:p>
      <w:pPr>
        <w:pStyle w:val="ListParagraph"/>
        <w:numPr>
          <w:ilvl w:val="0"/>
          <w:numId w:val="168"/>
        </w:numPr>
        <w:tabs>
          <w:tab w:pos="1045" w:val="left" w:leader="none"/>
          <w:tab w:pos="1058" w:val="left" w:leader="none"/>
        </w:tabs>
        <w:spacing w:line="240" w:lineRule="auto" w:before="229" w:after="0"/>
        <w:ind w:left="1058" w:right="344" w:hanging="432"/>
        <w:jc w:val="both"/>
        <w:rPr>
          <w:sz w:val="20"/>
        </w:rPr>
      </w:pPr>
      <w:r>
        <w:rPr>
          <w:sz w:val="20"/>
        </w:rPr>
        <w:t>En los casos de pérdida o disminución bilateral de la agudeza visual, a consecuencia de riesgo</w:t>
      </w:r>
      <w:r>
        <w:rPr>
          <w:spacing w:val="40"/>
          <w:sz w:val="20"/>
        </w:rPr>
        <w:t> </w:t>
      </w:r>
      <w:r>
        <w:rPr>
          <w:sz w:val="20"/>
        </w:rPr>
        <w:t>de trabajo en ambos ojos, el porcentaje de incapacidad indemnizable aparece en la intersección de la columna vertical y de la línea horizontal correspondiente.</w:t>
      </w:r>
    </w:p>
    <w:p>
      <w:pPr>
        <w:pStyle w:val="BodyText"/>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2"/>
        <w:gridCol w:w="924"/>
        <w:gridCol w:w="638"/>
        <w:gridCol w:w="636"/>
        <w:gridCol w:w="638"/>
        <w:gridCol w:w="638"/>
        <w:gridCol w:w="638"/>
        <w:gridCol w:w="638"/>
        <w:gridCol w:w="638"/>
        <w:gridCol w:w="636"/>
        <w:gridCol w:w="638"/>
        <w:gridCol w:w="975"/>
        <w:gridCol w:w="986"/>
      </w:tblGrid>
      <w:tr>
        <w:trPr>
          <w:trHeight w:val="688" w:hRule="atLeast"/>
        </w:trPr>
        <w:tc>
          <w:tcPr>
            <w:tcW w:w="9545" w:type="dxa"/>
            <w:gridSpan w:val="13"/>
            <w:shd w:val="clear" w:color="auto" w:fill="C0C0C0"/>
          </w:tcPr>
          <w:p>
            <w:pPr>
              <w:pStyle w:val="TableParagraph"/>
              <w:spacing w:line="227" w:lineRule="exact"/>
              <w:ind w:left="17"/>
              <w:rPr>
                <w:rFonts w:ascii="Arial"/>
                <w:b/>
                <w:sz w:val="20"/>
              </w:rPr>
            </w:pPr>
            <w:r>
              <w:rPr>
                <w:rFonts w:ascii="Arial"/>
                <w:b/>
                <w:sz w:val="20"/>
              </w:rPr>
              <w:t>Tabla</w:t>
            </w:r>
            <w:r>
              <w:rPr>
                <w:rFonts w:ascii="Arial"/>
                <w:b/>
                <w:spacing w:val="-8"/>
                <w:sz w:val="20"/>
              </w:rPr>
              <w:t> </w:t>
            </w:r>
            <w:r>
              <w:rPr>
                <w:rFonts w:ascii="Arial"/>
                <w:b/>
                <w:spacing w:val="-10"/>
                <w:sz w:val="20"/>
              </w:rPr>
              <w:t>I</w:t>
            </w:r>
          </w:p>
          <w:p>
            <w:pPr>
              <w:pStyle w:val="TableParagraph"/>
              <w:spacing w:line="213" w:lineRule="exact" w:before="228"/>
              <w:ind w:left="17" w:right="4"/>
              <w:rPr>
                <w:rFonts w:ascii="Arial" w:hAnsi="Arial"/>
                <w:b/>
                <w:sz w:val="20"/>
              </w:rPr>
            </w:pPr>
            <w:r>
              <w:rPr>
                <w:rFonts w:ascii="Arial" w:hAnsi="Arial"/>
                <w:b/>
                <w:sz w:val="20"/>
              </w:rPr>
              <w:t>Pérdida</w:t>
            </w:r>
            <w:r>
              <w:rPr>
                <w:rFonts w:ascii="Arial" w:hAnsi="Arial"/>
                <w:b/>
                <w:spacing w:val="-7"/>
                <w:sz w:val="20"/>
              </w:rPr>
              <w:t> </w:t>
            </w:r>
            <w:r>
              <w:rPr>
                <w:rFonts w:ascii="Arial" w:hAnsi="Arial"/>
                <w:b/>
                <w:sz w:val="20"/>
              </w:rPr>
              <w:t>o</w:t>
            </w:r>
            <w:r>
              <w:rPr>
                <w:rFonts w:ascii="Arial" w:hAnsi="Arial"/>
                <w:b/>
                <w:spacing w:val="-7"/>
                <w:sz w:val="20"/>
              </w:rPr>
              <w:t> </w:t>
            </w:r>
            <w:r>
              <w:rPr>
                <w:rFonts w:ascii="Arial" w:hAnsi="Arial"/>
                <w:b/>
                <w:sz w:val="20"/>
              </w:rPr>
              <w:t>disminución</w:t>
            </w:r>
            <w:r>
              <w:rPr>
                <w:rFonts w:ascii="Arial" w:hAnsi="Arial"/>
                <w:b/>
                <w:spacing w:val="-6"/>
                <w:sz w:val="20"/>
              </w:rPr>
              <w:t> </w:t>
            </w:r>
            <w:r>
              <w:rPr>
                <w:rFonts w:ascii="Arial" w:hAnsi="Arial"/>
                <w:b/>
                <w:sz w:val="20"/>
              </w:rPr>
              <w:t>permanente</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agudeza</w:t>
            </w:r>
            <w:r>
              <w:rPr>
                <w:rFonts w:ascii="Arial" w:hAnsi="Arial"/>
                <w:b/>
                <w:spacing w:val="-7"/>
                <w:sz w:val="20"/>
              </w:rPr>
              <w:t> </w:t>
            </w:r>
            <w:r>
              <w:rPr>
                <w:rFonts w:ascii="Arial" w:hAnsi="Arial"/>
                <w:b/>
                <w:spacing w:val="-2"/>
                <w:sz w:val="20"/>
              </w:rPr>
              <w:t>visual</w:t>
            </w:r>
          </w:p>
        </w:tc>
      </w:tr>
      <w:tr>
        <w:trPr>
          <w:trHeight w:val="229" w:hRule="atLeast"/>
        </w:trPr>
        <w:tc>
          <w:tcPr>
            <w:tcW w:w="922" w:type="dxa"/>
            <w:shd w:val="clear" w:color="auto" w:fill="C0C0C0"/>
          </w:tcPr>
          <w:p>
            <w:pPr>
              <w:pStyle w:val="TableParagraph"/>
              <w:ind w:left="14" w:right="3"/>
              <w:rPr>
                <w:rFonts w:ascii="Arial"/>
                <w:b/>
                <w:sz w:val="20"/>
              </w:rPr>
            </w:pPr>
            <w:r>
              <w:rPr>
                <w:rFonts w:ascii="Arial"/>
                <w:b/>
                <w:spacing w:val="-4"/>
                <w:sz w:val="20"/>
              </w:rPr>
              <w:t>A.V.</w:t>
            </w:r>
          </w:p>
        </w:tc>
        <w:tc>
          <w:tcPr>
            <w:tcW w:w="924" w:type="dxa"/>
            <w:shd w:val="clear" w:color="auto" w:fill="C0C0C0"/>
          </w:tcPr>
          <w:p>
            <w:pPr>
              <w:pStyle w:val="TableParagraph"/>
              <w:ind w:left="11"/>
              <w:rPr>
                <w:rFonts w:ascii="Arial"/>
                <w:b/>
                <w:sz w:val="20"/>
              </w:rPr>
            </w:pPr>
            <w:r>
              <w:rPr>
                <w:rFonts w:ascii="Arial"/>
                <w:b/>
                <w:sz w:val="20"/>
              </w:rPr>
              <w:t>1</w:t>
            </w:r>
            <w:r>
              <w:rPr>
                <w:rFonts w:ascii="Arial"/>
                <w:b/>
                <w:spacing w:val="-3"/>
                <w:sz w:val="20"/>
              </w:rPr>
              <w:t> </w:t>
            </w:r>
            <w:r>
              <w:rPr>
                <w:rFonts w:ascii="Arial"/>
                <w:b/>
                <w:sz w:val="20"/>
              </w:rPr>
              <w:t>a</w:t>
            </w:r>
            <w:r>
              <w:rPr>
                <w:rFonts w:ascii="Arial"/>
                <w:b/>
                <w:spacing w:val="-3"/>
                <w:sz w:val="20"/>
              </w:rPr>
              <w:t> </w:t>
            </w:r>
            <w:r>
              <w:rPr>
                <w:rFonts w:ascii="Arial"/>
                <w:b/>
                <w:spacing w:val="-5"/>
                <w:sz w:val="20"/>
              </w:rPr>
              <w:t>0.8</w:t>
            </w:r>
          </w:p>
        </w:tc>
        <w:tc>
          <w:tcPr>
            <w:tcW w:w="638" w:type="dxa"/>
            <w:shd w:val="clear" w:color="auto" w:fill="C0C0C0"/>
          </w:tcPr>
          <w:p>
            <w:pPr>
              <w:pStyle w:val="TableParagraph"/>
              <w:ind w:left="18" w:right="7"/>
              <w:rPr>
                <w:rFonts w:ascii="Arial"/>
                <w:b/>
                <w:sz w:val="20"/>
              </w:rPr>
            </w:pPr>
            <w:r>
              <w:rPr>
                <w:rFonts w:ascii="Arial"/>
                <w:b/>
                <w:spacing w:val="-5"/>
                <w:sz w:val="20"/>
              </w:rPr>
              <w:t>0.7</w:t>
            </w:r>
          </w:p>
        </w:tc>
        <w:tc>
          <w:tcPr>
            <w:tcW w:w="636" w:type="dxa"/>
            <w:shd w:val="clear" w:color="auto" w:fill="C0C0C0"/>
          </w:tcPr>
          <w:p>
            <w:pPr>
              <w:pStyle w:val="TableParagraph"/>
              <w:ind w:left="15" w:right="5"/>
              <w:rPr>
                <w:rFonts w:ascii="Arial"/>
                <w:b/>
                <w:sz w:val="20"/>
              </w:rPr>
            </w:pPr>
            <w:r>
              <w:rPr>
                <w:rFonts w:ascii="Arial"/>
                <w:b/>
                <w:spacing w:val="-5"/>
                <w:sz w:val="20"/>
              </w:rPr>
              <w:t>0.6</w:t>
            </w:r>
          </w:p>
        </w:tc>
        <w:tc>
          <w:tcPr>
            <w:tcW w:w="638" w:type="dxa"/>
            <w:shd w:val="clear" w:color="auto" w:fill="C0C0C0"/>
          </w:tcPr>
          <w:p>
            <w:pPr>
              <w:pStyle w:val="TableParagraph"/>
              <w:ind w:left="18" w:right="5"/>
              <w:rPr>
                <w:rFonts w:ascii="Arial"/>
                <w:b/>
                <w:sz w:val="20"/>
              </w:rPr>
            </w:pPr>
            <w:r>
              <w:rPr>
                <w:rFonts w:ascii="Arial"/>
                <w:b/>
                <w:spacing w:val="-5"/>
                <w:sz w:val="20"/>
              </w:rPr>
              <w:t>0.5</w:t>
            </w:r>
          </w:p>
        </w:tc>
        <w:tc>
          <w:tcPr>
            <w:tcW w:w="638" w:type="dxa"/>
            <w:shd w:val="clear" w:color="auto" w:fill="C0C0C0"/>
          </w:tcPr>
          <w:p>
            <w:pPr>
              <w:pStyle w:val="TableParagraph"/>
              <w:ind w:left="18" w:right="4"/>
              <w:rPr>
                <w:rFonts w:ascii="Arial"/>
                <w:b/>
                <w:sz w:val="20"/>
              </w:rPr>
            </w:pPr>
            <w:r>
              <w:rPr>
                <w:rFonts w:ascii="Arial"/>
                <w:b/>
                <w:spacing w:val="-5"/>
                <w:sz w:val="20"/>
              </w:rPr>
              <w:t>0.4</w:t>
            </w:r>
          </w:p>
        </w:tc>
        <w:tc>
          <w:tcPr>
            <w:tcW w:w="638" w:type="dxa"/>
            <w:shd w:val="clear" w:color="auto" w:fill="C0C0C0"/>
          </w:tcPr>
          <w:p>
            <w:pPr>
              <w:pStyle w:val="TableParagraph"/>
              <w:ind w:left="18" w:right="4"/>
              <w:rPr>
                <w:rFonts w:ascii="Arial"/>
                <w:b/>
                <w:sz w:val="20"/>
              </w:rPr>
            </w:pPr>
            <w:r>
              <w:rPr>
                <w:rFonts w:ascii="Arial"/>
                <w:b/>
                <w:spacing w:val="-5"/>
                <w:sz w:val="20"/>
              </w:rPr>
              <w:t>0.3</w:t>
            </w:r>
          </w:p>
        </w:tc>
        <w:tc>
          <w:tcPr>
            <w:tcW w:w="638" w:type="dxa"/>
            <w:shd w:val="clear" w:color="auto" w:fill="C0C0C0"/>
          </w:tcPr>
          <w:p>
            <w:pPr>
              <w:pStyle w:val="TableParagraph"/>
              <w:ind w:left="18" w:right="2"/>
              <w:rPr>
                <w:rFonts w:ascii="Arial"/>
                <w:b/>
                <w:sz w:val="20"/>
              </w:rPr>
            </w:pPr>
            <w:r>
              <w:rPr>
                <w:rFonts w:ascii="Arial"/>
                <w:b/>
                <w:spacing w:val="-5"/>
                <w:sz w:val="20"/>
              </w:rPr>
              <w:t>0.2</w:t>
            </w:r>
          </w:p>
        </w:tc>
        <w:tc>
          <w:tcPr>
            <w:tcW w:w="638" w:type="dxa"/>
            <w:shd w:val="clear" w:color="auto" w:fill="C0C0C0"/>
          </w:tcPr>
          <w:p>
            <w:pPr>
              <w:pStyle w:val="TableParagraph"/>
              <w:ind w:left="18" w:right="1"/>
              <w:rPr>
                <w:rFonts w:ascii="Arial"/>
                <w:b/>
                <w:sz w:val="20"/>
              </w:rPr>
            </w:pPr>
            <w:r>
              <w:rPr>
                <w:rFonts w:ascii="Arial"/>
                <w:b/>
                <w:spacing w:val="-5"/>
                <w:sz w:val="20"/>
              </w:rPr>
              <w:t>0.1</w:t>
            </w:r>
          </w:p>
        </w:tc>
        <w:tc>
          <w:tcPr>
            <w:tcW w:w="636" w:type="dxa"/>
            <w:shd w:val="clear" w:color="auto" w:fill="C0C0C0"/>
          </w:tcPr>
          <w:p>
            <w:pPr>
              <w:pStyle w:val="TableParagraph"/>
              <w:ind w:left="15"/>
              <w:rPr>
                <w:rFonts w:ascii="Arial"/>
                <w:b/>
                <w:sz w:val="20"/>
              </w:rPr>
            </w:pPr>
            <w:r>
              <w:rPr>
                <w:rFonts w:ascii="Arial"/>
                <w:b/>
                <w:spacing w:val="-4"/>
                <w:sz w:val="20"/>
              </w:rPr>
              <w:t>0.05</w:t>
            </w:r>
          </w:p>
        </w:tc>
        <w:tc>
          <w:tcPr>
            <w:tcW w:w="638" w:type="dxa"/>
            <w:shd w:val="clear" w:color="auto" w:fill="C0C0C0"/>
          </w:tcPr>
          <w:p>
            <w:pPr>
              <w:pStyle w:val="TableParagraph"/>
              <w:ind w:left="18"/>
              <w:rPr>
                <w:rFonts w:ascii="Arial"/>
                <w:b/>
                <w:sz w:val="20"/>
              </w:rPr>
            </w:pPr>
            <w:r>
              <w:rPr>
                <w:rFonts w:ascii="Arial"/>
                <w:b/>
                <w:spacing w:val="-5"/>
                <w:sz w:val="20"/>
              </w:rPr>
              <w:t>0.</w:t>
            </w:r>
          </w:p>
        </w:tc>
        <w:tc>
          <w:tcPr>
            <w:tcW w:w="975" w:type="dxa"/>
            <w:shd w:val="clear" w:color="auto" w:fill="C0C0C0"/>
          </w:tcPr>
          <w:p>
            <w:pPr>
              <w:pStyle w:val="TableParagraph"/>
              <w:ind w:left="16" w:right="1"/>
              <w:rPr>
                <w:rFonts w:ascii="Arial"/>
                <w:b/>
                <w:sz w:val="20"/>
              </w:rPr>
            </w:pPr>
            <w:r>
              <w:rPr>
                <w:rFonts w:ascii="Arial"/>
                <w:b/>
                <w:sz w:val="20"/>
              </w:rPr>
              <w:t>E.c/p</w:t>
            </w:r>
            <w:r>
              <w:rPr>
                <w:rFonts w:ascii="Arial"/>
                <w:b/>
                <w:spacing w:val="-5"/>
                <w:sz w:val="20"/>
              </w:rPr>
              <w:t> </w:t>
            </w:r>
            <w:r>
              <w:rPr>
                <w:rFonts w:ascii="Arial"/>
                <w:b/>
                <w:spacing w:val="-10"/>
                <w:sz w:val="20"/>
              </w:rPr>
              <w:t>*</w:t>
            </w:r>
          </w:p>
        </w:tc>
        <w:tc>
          <w:tcPr>
            <w:tcW w:w="986" w:type="dxa"/>
            <w:shd w:val="clear" w:color="auto" w:fill="C0C0C0"/>
          </w:tcPr>
          <w:p>
            <w:pPr>
              <w:pStyle w:val="TableParagraph"/>
              <w:ind w:left="19"/>
              <w:rPr>
                <w:rFonts w:ascii="Arial"/>
                <w:b/>
                <w:sz w:val="20"/>
              </w:rPr>
            </w:pPr>
            <w:r>
              <w:rPr>
                <w:rFonts w:ascii="Arial"/>
                <w:b/>
                <w:sz w:val="20"/>
              </w:rPr>
              <w:t>E.p/i.</w:t>
            </w:r>
            <w:r>
              <w:rPr>
                <w:rFonts w:ascii="Arial"/>
                <w:b/>
                <w:spacing w:val="-5"/>
                <w:sz w:val="20"/>
              </w:rPr>
              <w:t> **</w:t>
            </w:r>
          </w:p>
        </w:tc>
      </w:tr>
      <w:tr>
        <w:trPr>
          <w:trHeight w:val="229" w:hRule="atLeast"/>
        </w:trPr>
        <w:tc>
          <w:tcPr>
            <w:tcW w:w="922" w:type="dxa"/>
          </w:tcPr>
          <w:p>
            <w:pPr>
              <w:pStyle w:val="TableParagraph"/>
              <w:ind w:left="14" w:right="5"/>
              <w:rPr>
                <w:sz w:val="20"/>
              </w:rPr>
            </w:pPr>
            <w:r>
              <w:rPr>
                <w:sz w:val="20"/>
              </w:rPr>
              <w:t>1</w:t>
            </w:r>
            <w:r>
              <w:rPr>
                <w:spacing w:val="-3"/>
                <w:sz w:val="20"/>
              </w:rPr>
              <w:t> </w:t>
            </w:r>
            <w:r>
              <w:rPr>
                <w:sz w:val="20"/>
              </w:rPr>
              <w:t>a</w:t>
            </w:r>
            <w:r>
              <w:rPr>
                <w:spacing w:val="-3"/>
                <w:sz w:val="20"/>
              </w:rPr>
              <w:t> </w:t>
            </w:r>
            <w:r>
              <w:rPr>
                <w:spacing w:val="-5"/>
                <w:sz w:val="20"/>
              </w:rPr>
              <w:t>0.8</w:t>
            </w:r>
          </w:p>
        </w:tc>
        <w:tc>
          <w:tcPr>
            <w:tcW w:w="924" w:type="dxa"/>
          </w:tcPr>
          <w:p>
            <w:pPr>
              <w:pStyle w:val="TableParagraph"/>
              <w:ind w:left="11" w:right="1"/>
              <w:rPr>
                <w:sz w:val="20"/>
              </w:rPr>
            </w:pPr>
            <w:r>
              <w:rPr>
                <w:spacing w:val="-5"/>
                <w:sz w:val="20"/>
              </w:rPr>
              <w:t>0%</w:t>
            </w:r>
          </w:p>
        </w:tc>
        <w:tc>
          <w:tcPr>
            <w:tcW w:w="638" w:type="dxa"/>
          </w:tcPr>
          <w:p>
            <w:pPr>
              <w:pStyle w:val="TableParagraph"/>
              <w:ind w:left="18" w:right="6"/>
              <w:rPr>
                <w:sz w:val="20"/>
              </w:rPr>
            </w:pPr>
            <w:r>
              <w:rPr>
                <w:spacing w:val="-5"/>
                <w:sz w:val="20"/>
              </w:rPr>
              <w:t>6%</w:t>
            </w:r>
          </w:p>
        </w:tc>
        <w:tc>
          <w:tcPr>
            <w:tcW w:w="636" w:type="dxa"/>
          </w:tcPr>
          <w:p>
            <w:pPr>
              <w:pStyle w:val="TableParagraph"/>
              <w:ind w:left="15" w:right="3"/>
              <w:rPr>
                <w:sz w:val="20"/>
              </w:rPr>
            </w:pPr>
            <w:r>
              <w:rPr>
                <w:spacing w:val="-5"/>
                <w:sz w:val="20"/>
              </w:rPr>
              <w:t>9%</w:t>
            </w:r>
          </w:p>
        </w:tc>
        <w:tc>
          <w:tcPr>
            <w:tcW w:w="638" w:type="dxa"/>
          </w:tcPr>
          <w:p>
            <w:pPr>
              <w:pStyle w:val="TableParagraph"/>
              <w:ind w:left="18" w:right="8"/>
              <w:rPr>
                <w:sz w:val="20"/>
              </w:rPr>
            </w:pPr>
            <w:r>
              <w:rPr>
                <w:spacing w:val="-5"/>
                <w:sz w:val="20"/>
              </w:rPr>
              <w:t>12%</w:t>
            </w:r>
          </w:p>
        </w:tc>
        <w:tc>
          <w:tcPr>
            <w:tcW w:w="638" w:type="dxa"/>
          </w:tcPr>
          <w:p>
            <w:pPr>
              <w:pStyle w:val="TableParagraph"/>
              <w:ind w:left="18" w:right="8"/>
              <w:rPr>
                <w:sz w:val="20"/>
              </w:rPr>
            </w:pPr>
            <w:r>
              <w:rPr>
                <w:spacing w:val="-5"/>
                <w:sz w:val="20"/>
              </w:rPr>
              <w:t>15%</w:t>
            </w:r>
          </w:p>
        </w:tc>
        <w:tc>
          <w:tcPr>
            <w:tcW w:w="638" w:type="dxa"/>
          </w:tcPr>
          <w:p>
            <w:pPr>
              <w:pStyle w:val="TableParagraph"/>
              <w:ind w:left="18" w:right="7"/>
              <w:rPr>
                <w:sz w:val="20"/>
              </w:rPr>
            </w:pPr>
            <w:r>
              <w:rPr>
                <w:spacing w:val="-5"/>
                <w:sz w:val="20"/>
              </w:rPr>
              <w:t>20%</w:t>
            </w:r>
          </w:p>
        </w:tc>
        <w:tc>
          <w:tcPr>
            <w:tcW w:w="638" w:type="dxa"/>
          </w:tcPr>
          <w:p>
            <w:pPr>
              <w:pStyle w:val="TableParagraph"/>
              <w:ind w:left="18" w:right="6"/>
              <w:rPr>
                <w:sz w:val="20"/>
              </w:rPr>
            </w:pPr>
            <w:r>
              <w:rPr>
                <w:spacing w:val="-5"/>
                <w:sz w:val="20"/>
              </w:rPr>
              <w:t>30%</w:t>
            </w:r>
          </w:p>
        </w:tc>
        <w:tc>
          <w:tcPr>
            <w:tcW w:w="638" w:type="dxa"/>
          </w:tcPr>
          <w:p>
            <w:pPr>
              <w:pStyle w:val="TableParagraph"/>
              <w:ind w:left="18" w:right="4"/>
              <w:rPr>
                <w:sz w:val="20"/>
              </w:rPr>
            </w:pPr>
            <w:r>
              <w:rPr>
                <w:spacing w:val="-5"/>
                <w:sz w:val="20"/>
              </w:rPr>
              <w:t>35%</w:t>
            </w:r>
          </w:p>
        </w:tc>
        <w:tc>
          <w:tcPr>
            <w:tcW w:w="636" w:type="dxa"/>
          </w:tcPr>
          <w:p>
            <w:pPr>
              <w:pStyle w:val="TableParagraph"/>
              <w:ind w:left="15" w:right="3"/>
              <w:rPr>
                <w:sz w:val="20"/>
              </w:rPr>
            </w:pPr>
            <w:r>
              <w:rPr>
                <w:spacing w:val="-5"/>
                <w:sz w:val="20"/>
              </w:rPr>
              <w:t>40%</w:t>
            </w:r>
          </w:p>
        </w:tc>
        <w:tc>
          <w:tcPr>
            <w:tcW w:w="638" w:type="dxa"/>
          </w:tcPr>
          <w:p>
            <w:pPr>
              <w:pStyle w:val="TableParagraph"/>
              <w:ind w:left="18" w:right="4"/>
              <w:rPr>
                <w:sz w:val="20"/>
              </w:rPr>
            </w:pPr>
            <w:r>
              <w:rPr>
                <w:spacing w:val="-5"/>
                <w:sz w:val="20"/>
              </w:rPr>
              <w:t>45%</w:t>
            </w:r>
          </w:p>
        </w:tc>
        <w:tc>
          <w:tcPr>
            <w:tcW w:w="975" w:type="dxa"/>
          </w:tcPr>
          <w:p>
            <w:pPr>
              <w:pStyle w:val="TableParagraph"/>
              <w:ind w:left="16" w:right="1"/>
              <w:rPr>
                <w:sz w:val="20"/>
              </w:rPr>
            </w:pPr>
            <w:r>
              <w:rPr>
                <w:spacing w:val="-5"/>
                <w:sz w:val="20"/>
              </w:rPr>
              <w:t>50%</w:t>
            </w:r>
          </w:p>
        </w:tc>
        <w:tc>
          <w:tcPr>
            <w:tcW w:w="986" w:type="dxa"/>
          </w:tcPr>
          <w:p>
            <w:pPr>
              <w:pStyle w:val="TableParagraph"/>
              <w:ind w:left="19" w:right="1"/>
              <w:rPr>
                <w:sz w:val="20"/>
              </w:rPr>
            </w:pPr>
            <w:r>
              <w:rPr>
                <w:spacing w:val="-5"/>
                <w:sz w:val="20"/>
              </w:rPr>
              <w:t>60%</w:t>
            </w:r>
          </w:p>
        </w:tc>
      </w:tr>
      <w:tr>
        <w:trPr>
          <w:trHeight w:val="229" w:hRule="atLeast"/>
        </w:trPr>
        <w:tc>
          <w:tcPr>
            <w:tcW w:w="922" w:type="dxa"/>
          </w:tcPr>
          <w:p>
            <w:pPr>
              <w:pStyle w:val="TableParagraph"/>
              <w:ind w:left="14" w:right="3"/>
              <w:rPr>
                <w:sz w:val="20"/>
              </w:rPr>
            </w:pPr>
            <w:r>
              <w:rPr>
                <w:spacing w:val="-5"/>
                <w:sz w:val="20"/>
              </w:rPr>
              <w:t>0.7</w:t>
            </w:r>
          </w:p>
        </w:tc>
        <w:tc>
          <w:tcPr>
            <w:tcW w:w="924" w:type="dxa"/>
          </w:tcPr>
          <w:p>
            <w:pPr>
              <w:pStyle w:val="TableParagraph"/>
              <w:ind w:left="11" w:right="1"/>
              <w:rPr>
                <w:sz w:val="20"/>
              </w:rPr>
            </w:pPr>
            <w:r>
              <w:rPr>
                <w:spacing w:val="-5"/>
                <w:sz w:val="20"/>
              </w:rPr>
              <w:t>6%</w:t>
            </w:r>
          </w:p>
        </w:tc>
        <w:tc>
          <w:tcPr>
            <w:tcW w:w="638" w:type="dxa"/>
          </w:tcPr>
          <w:p>
            <w:pPr>
              <w:pStyle w:val="TableParagraph"/>
              <w:ind w:left="18" w:right="9"/>
              <w:rPr>
                <w:sz w:val="20"/>
              </w:rPr>
            </w:pPr>
            <w:r>
              <w:rPr>
                <w:spacing w:val="-5"/>
                <w:sz w:val="20"/>
              </w:rPr>
              <w:t>13</w:t>
            </w:r>
          </w:p>
        </w:tc>
        <w:tc>
          <w:tcPr>
            <w:tcW w:w="636" w:type="dxa"/>
          </w:tcPr>
          <w:p>
            <w:pPr>
              <w:pStyle w:val="TableParagraph"/>
              <w:ind w:left="15" w:right="7"/>
              <w:rPr>
                <w:sz w:val="20"/>
              </w:rPr>
            </w:pPr>
            <w:r>
              <w:rPr>
                <w:spacing w:val="-5"/>
                <w:sz w:val="20"/>
              </w:rPr>
              <w:t>16</w:t>
            </w:r>
          </w:p>
        </w:tc>
        <w:tc>
          <w:tcPr>
            <w:tcW w:w="638" w:type="dxa"/>
          </w:tcPr>
          <w:p>
            <w:pPr>
              <w:pStyle w:val="TableParagraph"/>
              <w:ind w:left="18" w:right="7"/>
              <w:rPr>
                <w:sz w:val="20"/>
              </w:rPr>
            </w:pPr>
            <w:r>
              <w:rPr>
                <w:spacing w:val="-5"/>
                <w:sz w:val="20"/>
              </w:rPr>
              <w:t>19</w:t>
            </w:r>
          </w:p>
        </w:tc>
        <w:tc>
          <w:tcPr>
            <w:tcW w:w="638" w:type="dxa"/>
          </w:tcPr>
          <w:p>
            <w:pPr>
              <w:pStyle w:val="TableParagraph"/>
              <w:ind w:left="18" w:right="7"/>
              <w:rPr>
                <w:sz w:val="20"/>
              </w:rPr>
            </w:pPr>
            <w:r>
              <w:rPr>
                <w:spacing w:val="-5"/>
                <w:sz w:val="20"/>
              </w:rPr>
              <w:t>22</w:t>
            </w:r>
          </w:p>
        </w:tc>
        <w:tc>
          <w:tcPr>
            <w:tcW w:w="638" w:type="dxa"/>
          </w:tcPr>
          <w:p>
            <w:pPr>
              <w:pStyle w:val="TableParagraph"/>
              <w:ind w:left="18" w:right="6"/>
              <w:rPr>
                <w:sz w:val="20"/>
              </w:rPr>
            </w:pPr>
            <w:r>
              <w:rPr>
                <w:spacing w:val="-5"/>
                <w:sz w:val="20"/>
              </w:rPr>
              <w:t>27</w:t>
            </w:r>
          </w:p>
        </w:tc>
        <w:tc>
          <w:tcPr>
            <w:tcW w:w="638" w:type="dxa"/>
          </w:tcPr>
          <w:p>
            <w:pPr>
              <w:pStyle w:val="TableParagraph"/>
              <w:ind w:left="18" w:right="4"/>
              <w:rPr>
                <w:sz w:val="20"/>
              </w:rPr>
            </w:pPr>
            <w:r>
              <w:rPr>
                <w:spacing w:val="-5"/>
                <w:sz w:val="20"/>
              </w:rPr>
              <w:t>37</w:t>
            </w:r>
          </w:p>
        </w:tc>
        <w:tc>
          <w:tcPr>
            <w:tcW w:w="638" w:type="dxa"/>
          </w:tcPr>
          <w:p>
            <w:pPr>
              <w:pStyle w:val="TableParagraph"/>
              <w:ind w:left="18" w:right="3"/>
              <w:rPr>
                <w:sz w:val="20"/>
              </w:rPr>
            </w:pPr>
            <w:r>
              <w:rPr>
                <w:spacing w:val="-5"/>
                <w:sz w:val="20"/>
              </w:rPr>
              <w:t>42</w:t>
            </w:r>
          </w:p>
        </w:tc>
        <w:tc>
          <w:tcPr>
            <w:tcW w:w="636" w:type="dxa"/>
          </w:tcPr>
          <w:p>
            <w:pPr>
              <w:pStyle w:val="TableParagraph"/>
              <w:ind w:left="15" w:right="2"/>
              <w:rPr>
                <w:sz w:val="20"/>
              </w:rPr>
            </w:pPr>
            <w:r>
              <w:rPr>
                <w:spacing w:val="-5"/>
                <w:sz w:val="20"/>
              </w:rPr>
              <w:t>47</w:t>
            </w:r>
          </w:p>
        </w:tc>
        <w:tc>
          <w:tcPr>
            <w:tcW w:w="638" w:type="dxa"/>
          </w:tcPr>
          <w:p>
            <w:pPr>
              <w:pStyle w:val="TableParagraph"/>
              <w:ind w:left="18" w:right="3"/>
              <w:rPr>
                <w:sz w:val="20"/>
              </w:rPr>
            </w:pPr>
            <w:r>
              <w:rPr>
                <w:spacing w:val="-5"/>
                <w:sz w:val="20"/>
              </w:rPr>
              <w:t>52</w:t>
            </w:r>
          </w:p>
        </w:tc>
        <w:tc>
          <w:tcPr>
            <w:tcW w:w="975" w:type="dxa"/>
          </w:tcPr>
          <w:p>
            <w:pPr>
              <w:pStyle w:val="TableParagraph"/>
              <w:ind w:left="16"/>
              <w:rPr>
                <w:sz w:val="20"/>
              </w:rPr>
            </w:pPr>
            <w:r>
              <w:rPr>
                <w:spacing w:val="-5"/>
                <w:sz w:val="20"/>
              </w:rPr>
              <w:t>57</w:t>
            </w:r>
          </w:p>
        </w:tc>
        <w:tc>
          <w:tcPr>
            <w:tcW w:w="986" w:type="dxa"/>
          </w:tcPr>
          <w:p>
            <w:pPr>
              <w:pStyle w:val="TableParagraph"/>
              <w:ind w:left="19"/>
              <w:rPr>
                <w:sz w:val="20"/>
              </w:rPr>
            </w:pPr>
            <w:r>
              <w:rPr>
                <w:spacing w:val="-5"/>
                <w:sz w:val="20"/>
              </w:rPr>
              <w:t>67</w:t>
            </w:r>
          </w:p>
        </w:tc>
      </w:tr>
      <w:tr>
        <w:trPr>
          <w:trHeight w:val="232" w:hRule="atLeast"/>
        </w:trPr>
        <w:tc>
          <w:tcPr>
            <w:tcW w:w="922" w:type="dxa"/>
          </w:tcPr>
          <w:p>
            <w:pPr>
              <w:pStyle w:val="TableParagraph"/>
              <w:spacing w:before="2"/>
              <w:ind w:left="14" w:right="3"/>
              <w:rPr>
                <w:sz w:val="20"/>
              </w:rPr>
            </w:pPr>
            <w:r>
              <w:rPr>
                <w:spacing w:val="-5"/>
                <w:sz w:val="20"/>
              </w:rPr>
              <w:t>0.6</w:t>
            </w:r>
          </w:p>
        </w:tc>
        <w:tc>
          <w:tcPr>
            <w:tcW w:w="924" w:type="dxa"/>
          </w:tcPr>
          <w:p>
            <w:pPr>
              <w:pStyle w:val="TableParagraph"/>
              <w:spacing w:before="2"/>
              <w:ind w:left="11" w:right="1"/>
              <w:rPr>
                <w:sz w:val="20"/>
              </w:rPr>
            </w:pPr>
            <w:r>
              <w:rPr>
                <w:spacing w:val="-5"/>
                <w:sz w:val="20"/>
              </w:rPr>
              <w:t>9%</w:t>
            </w:r>
          </w:p>
        </w:tc>
        <w:tc>
          <w:tcPr>
            <w:tcW w:w="638" w:type="dxa"/>
          </w:tcPr>
          <w:p>
            <w:pPr>
              <w:pStyle w:val="TableParagraph"/>
              <w:spacing w:before="2"/>
              <w:ind w:left="18" w:right="9"/>
              <w:rPr>
                <w:sz w:val="20"/>
              </w:rPr>
            </w:pPr>
            <w:r>
              <w:rPr>
                <w:spacing w:val="-5"/>
                <w:sz w:val="20"/>
              </w:rPr>
              <w:t>16</w:t>
            </w:r>
          </w:p>
        </w:tc>
        <w:tc>
          <w:tcPr>
            <w:tcW w:w="636" w:type="dxa"/>
          </w:tcPr>
          <w:p>
            <w:pPr>
              <w:pStyle w:val="TableParagraph"/>
              <w:spacing w:before="2"/>
              <w:ind w:left="15" w:right="7"/>
              <w:rPr>
                <w:sz w:val="20"/>
              </w:rPr>
            </w:pPr>
            <w:r>
              <w:rPr>
                <w:spacing w:val="-5"/>
                <w:sz w:val="20"/>
              </w:rPr>
              <w:t>19</w:t>
            </w:r>
          </w:p>
        </w:tc>
        <w:tc>
          <w:tcPr>
            <w:tcW w:w="638" w:type="dxa"/>
          </w:tcPr>
          <w:p>
            <w:pPr>
              <w:pStyle w:val="TableParagraph"/>
              <w:spacing w:before="2"/>
              <w:ind w:left="18" w:right="7"/>
              <w:rPr>
                <w:sz w:val="20"/>
              </w:rPr>
            </w:pPr>
            <w:r>
              <w:rPr>
                <w:spacing w:val="-5"/>
                <w:sz w:val="20"/>
              </w:rPr>
              <w:t>22</w:t>
            </w:r>
          </w:p>
        </w:tc>
        <w:tc>
          <w:tcPr>
            <w:tcW w:w="638" w:type="dxa"/>
          </w:tcPr>
          <w:p>
            <w:pPr>
              <w:pStyle w:val="TableParagraph"/>
              <w:spacing w:before="2"/>
              <w:ind w:left="18" w:right="7"/>
              <w:rPr>
                <w:sz w:val="20"/>
              </w:rPr>
            </w:pPr>
            <w:r>
              <w:rPr>
                <w:spacing w:val="-5"/>
                <w:sz w:val="20"/>
              </w:rPr>
              <w:t>25</w:t>
            </w:r>
          </w:p>
        </w:tc>
        <w:tc>
          <w:tcPr>
            <w:tcW w:w="638" w:type="dxa"/>
          </w:tcPr>
          <w:p>
            <w:pPr>
              <w:pStyle w:val="TableParagraph"/>
              <w:spacing w:before="2"/>
              <w:ind w:left="18" w:right="6"/>
              <w:rPr>
                <w:sz w:val="20"/>
              </w:rPr>
            </w:pPr>
            <w:r>
              <w:rPr>
                <w:spacing w:val="-5"/>
                <w:sz w:val="20"/>
              </w:rPr>
              <w:t>30</w:t>
            </w:r>
          </w:p>
        </w:tc>
        <w:tc>
          <w:tcPr>
            <w:tcW w:w="638" w:type="dxa"/>
          </w:tcPr>
          <w:p>
            <w:pPr>
              <w:pStyle w:val="TableParagraph"/>
              <w:spacing w:before="2"/>
              <w:ind w:left="18" w:right="4"/>
              <w:rPr>
                <w:sz w:val="20"/>
              </w:rPr>
            </w:pPr>
            <w:r>
              <w:rPr>
                <w:spacing w:val="-5"/>
                <w:sz w:val="20"/>
              </w:rPr>
              <w:t>40</w:t>
            </w:r>
          </w:p>
        </w:tc>
        <w:tc>
          <w:tcPr>
            <w:tcW w:w="638" w:type="dxa"/>
          </w:tcPr>
          <w:p>
            <w:pPr>
              <w:pStyle w:val="TableParagraph"/>
              <w:spacing w:before="2"/>
              <w:ind w:left="18" w:right="3"/>
              <w:rPr>
                <w:sz w:val="20"/>
              </w:rPr>
            </w:pPr>
            <w:r>
              <w:rPr>
                <w:spacing w:val="-5"/>
                <w:sz w:val="20"/>
              </w:rPr>
              <w:t>45</w:t>
            </w:r>
          </w:p>
        </w:tc>
        <w:tc>
          <w:tcPr>
            <w:tcW w:w="636" w:type="dxa"/>
          </w:tcPr>
          <w:p>
            <w:pPr>
              <w:pStyle w:val="TableParagraph"/>
              <w:spacing w:before="2"/>
              <w:ind w:left="15" w:right="2"/>
              <w:rPr>
                <w:sz w:val="20"/>
              </w:rPr>
            </w:pPr>
            <w:r>
              <w:rPr>
                <w:spacing w:val="-5"/>
                <w:sz w:val="20"/>
              </w:rPr>
              <w:t>50</w:t>
            </w:r>
          </w:p>
        </w:tc>
        <w:tc>
          <w:tcPr>
            <w:tcW w:w="638" w:type="dxa"/>
          </w:tcPr>
          <w:p>
            <w:pPr>
              <w:pStyle w:val="TableParagraph"/>
              <w:spacing w:before="2"/>
              <w:ind w:left="18" w:right="3"/>
              <w:rPr>
                <w:sz w:val="20"/>
              </w:rPr>
            </w:pPr>
            <w:r>
              <w:rPr>
                <w:spacing w:val="-5"/>
                <w:sz w:val="20"/>
              </w:rPr>
              <w:t>55</w:t>
            </w:r>
          </w:p>
        </w:tc>
        <w:tc>
          <w:tcPr>
            <w:tcW w:w="975" w:type="dxa"/>
          </w:tcPr>
          <w:p>
            <w:pPr>
              <w:pStyle w:val="TableParagraph"/>
              <w:spacing w:before="2"/>
              <w:ind w:left="16"/>
              <w:rPr>
                <w:sz w:val="20"/>
              </w:rPr>
            </w:pPr>
            <w:r>
              <w:rPr>
                <w:spacing w:val="-5"/>
                <w:sz w:val="20"/>
              </w:rPr>
              <w:t>62</w:t>
            </w:r>
          </w:p>
        </w:tc>
        <w:tc>
          <w:tcPr>
            <w:tcW w:w="986" w:type="dxa"/>
          </w:tcPr>
          <w:p>
            <w:pPr>
              <w:pStyle w:val="TableParagraph"/>
              <w:spacing w:before="2"/>
              <w:ind w:left="19"/>
              <w:rPr>
                <w:sz w:val="20"/>
              </w:rPr>
            </w:pPr>
            <w:r>
              <w:rPr>
                <w:spacing w:val="-5"/>
                <w:sz w:val="20"/>
              </w:rPr>
              <w:t>72</w:t>
            </w:r>
          </w:p>
        </w:tc>
      </w:tr>
      <w:tr>
        <w:trPr>
          <w:trHeight w:val="229" w:hRule="atLeast"/>
        </w:trPr>
        <w:tc>
          <w:tcPr>
            <w:tcW w:w="922" w:type="dxa"/>
          </w:tcPr>
          <w:p>
            <w:pPr>
              <w:pStyle w:val="TableParagraph"/>
              <w:ind w:left="14" w:right="3"/>
              <w:rPr>
                <w:sz w:val="20"/>
              </w:rPr>
            </w:pPr>
            <w:r>
              <w:rPr>
                <w:spacing w:val="-5"/>
                <w:sz w:val="20"/>
              </w:rPr>
              <w:t>0.5</w:t>
            </w:r>
          </w:p>
        </w:tc>
        <w:tc>
          <w:tcPr>
            <w:tcW w:w="924" w:type="dxa"/>
          </w:tcPr>
          <w:p>
            <w:pPr>
              <w:pStyle w:val="TableParagraph"/>
              <w:ind w:left="11" w:right="1"/>
              <w:rPr>
                <w:sz w:val="20"/>
              </w:rPr>
            </w:pPr>
            <w:r>
              <w:rPr>
                <w:spacing w:val="-5"/>
                <w:sz w:val="20"/>
              </w:rPr>
              <w:t>12%</w:t>
            </w:r>
          </w:p>
        </w:tc>
        <w:tc>
          <w:tcPr>
            <w:tcW w:w="638" w:type="dxa"/>
          </w:tcPr>
          <w:p>
            <w:pPr>
              <w:pStyle w:val="TableParagraph"/>
              <w:ind w:left="18" w:right="9"/>
              <w:rPr>
                <w:sz w:val="20"/>
              </w:rPr>
            </w:pPr>
            <w:r>
              <w:rPr>
                <w:spacing w:val="-5"/>
                <w:sz w:val="20"/>
              </w:rPr>
              <w:t>19</w:t>
            </w:r>
          </w:p>
        </w:tc>
        <w:tc>
          <w:tcPr>
            <w:tcW w:w="636" w:type="dxa"/>
          </w:tcPr>
          <w:p>
            <w:pPr>
              <w:pStyle w:val="TableParagraph"/>
              <w:ind w:left="15" w:right="7"/>
              <w:rPr>
                <w:sz w:val="20"/>
              </w:rPr>
            </w:pPr>
            <w:r>
              <w:rPr>
                <w:spacing w:val="-5"/>
                <w:sz w:val="20"/>
              </w:rPr>
              <w:t>22</w:t>
            </w:r>
          </w:p>
        </w:tc>
        <w:tc>
          <w:tcPr>
            <w:tcW w:w="638" w:type="dxa"/>
          </w:tcPr>
          <w:p>
            <w:pPr>
              <w:pStyle w:val="TableParagraph"/>
              <w:ind w:left="18" w:right="7"/>
              <w:rPr>
                <w:sz w:val="20"/>
              </w:rPr>
            </w:pPr>
            <w:r>
              <w:rPr>
                <w:spacing w:val="-5"/>
                <w:sz w:val="20"/>
              </w:rPr>
              <w:t>25</w:t>
            </w:r>
          </w:p>
        </w:tc>
        <w:tc>
          <w:tcPr>
            <w:tcW w:w="638" w:type="dxa"/>
          </w:tcPr>
          <w:p>
            <w:pPr>
              <w:pStyle w:val="TableParagraph"/>
              <w:ind w:left="18" w:right="7"/>
              <w:rPr>
                <w:sz w:val="20"/>
              </w:rPr>
            </w:pPr>
            <w:r>
              <w:rPr>
                <w:spacing w:val="-5"/>
                <w:sz w:val="20"/>
              </w:rPr>
              <w:t>28</w:t>
            </w:r>
          </w:p>
        </w:tc>
        <w:tc>
          <w:tcPr>
            <w:tcW w:w="638" w:type="dxa"/>
          </w:tcPr>
          <w:p>
            <w:pPr>
              <w:pStyle w:val="TableParagraph"/>
              <w:ind w:left="18" w:right="6"/>
              <w:rPr>
                <w:sz w:val="20"/>
              </w:rPr>
            </w:pPr>
            <w:r>
              <w:rPr>
                <w:spacing w:val="-5"/>
                <w:sz w:val="20"/>
              </w:rPr>
              <w:t>33</w:t>
            </w:r>
          </w:p>
        </w:tc>
        <w:tc>
          <w:tcPr>
            <w:tcW w:w="638" w:type="dxa"/>
          </w:tcPr>
          <w:p>
            <w:pPr>
              <w:pStyle w:val="TableParagraph"/>
              <w:ind w:left="18" w:right="4"/>
              <w:rPr>
                <w:sz w:val="20"/>
              </w:rPr>
            </w:pPr>
            <w:r>
              <w:rPr>
                <w:spacing w:val="-5"/>
                <w:sz w:val="20"/>
              </w:rPr>
              <w:t>43</w:t>
            </w:r>
          </w:p>
        </w:tc>
        <w:tc>
          <w:tcPr>
            <w:tcW w:w="638" w:type="dxa"/>
          </w:tcPr>
          <w:p>
            <w:pPr>
              <w:pStyle w:val="TableParagraph"/>
              <w:ind w:left="18" w:right="3"/>
              <w:rPr>
                <w:sz w:val="20"/>
              </w:rPr>
            </w:pPr>
            <w:r>
              <w:rPr>
                <w:spacing w:val="-5"/>
                <w:sz w:val="20"/>
              </w:rPr>
              <w:t>50</w:t>
            </w:r>
          </w:p>
        </w:tc>
        <w:tc>
          <w:tcPr>
            <w:tcW w:w="636" w:type="dxa"/>
          </w:tcPr>
          <w:p>
            <w:pPr>
              <w:pStyle w:val="TableParagraph"/>
              <w:ind w:left="15" w:right="2"/>
              <w:rPr>
                <w:sz w:val="20"/>
              </w:rPr>
            </w:pPr>
            <w:r>
              <w:rPr>
                <w:spacing w:val="-5"/>
                <w:sz w:val="20"/>
              </w:rPr>
              <w:t>55</w:t>
            </w:r>
          </w:p>
        </w:tc>
        <w:tc>
          <w:tcPr>
            <w:tcW w:w="638" w:type="dxa"/>
          </w:tcPr>
          <w:p>
            <w:pPr>
              <w:pStyle w:val="TableParagraph"/>
              <w:ind w:left="18" w:right="3"/>
              <w:rPr>
                <w:sz w:val="20"/>
              </w:rPr>
            </w:pPr>
            <w:r>
              <w:rPr>
                <w:spacing w:val="-5"/>
                <w:sz w:val="20"/>
              </w:rPr>
              <w:t>60</w:t>
            </w:r>
          </w:p>
        </w:tc>
        <w:tc>
          <w:tcPr>
            <w:tcW w:w="975" w:type="dxa"/>
          </w:tcPr>
          <w:p>
            <w:pPr>
              <w:pStyle w:val="TableParagraph"/>
              <w:ind w:left="16"/>
              <w:rPr>
                <w:sz w:val="20"/>
              </w:rPr>
            </w:pPr>
            <w:r>
              <w:rPr>
                <w:spacing w:val="-5"/>
                <w:sz w:val="20"/>
              </w:rPr>
              <w:t>67</w:t>
            </w:r>
          </w:p>
        </w:tc>
        <w:tc>
          <w:tcPr>
            <w:tcW w:w="986" w:type="dxa"/>
          </w:tcPr>
          <w:p>
            <w:pPr>
              <w:pStyle w:val="TableParagraph"/>
              <w:ind w:left="19"/>
              <w:rPr>
                <w:sz w:val="20"/>
              </w:rPr>
            </w:pPr>
            <w:r>
              <w:rPr>
                <w:spacing w:val="-5"/>
                <w:sz w:val="20"/>
              </w:rPr>
              <w:t>77</w:t>
            </w:r>
          </w:p>
        </w:tc>
      </w:tr>
      <w:tr>
        <w:trPr>
          <w:trHeight w:val="229" w:hRule="atLeast"/>
        </w:trPr>
        <w:tc>
          <w:tcPr>
            <w:tcW w:w="922" w:type="dxa"/>
          </w:tcPr>
          <w:p>
            <w:pPr>
              <w:pStyle w:val="TableParagraph"/>
              <w:ind w:left="14" w:right="3"/>
              <w:rPr>
                <w:sz w:val="20"/>
              </w:rPr>
            </w:pPr>
            <w:r>
              <w:rPr>
                <w:spacing w:val="-5"/>
                <w:sz w:val="20"/>
              </w:rPr>
              <w:t>0.4</w:t>
            </w:r>
          </w:p>
        </w:tc>
        <w:tc>
          <w:tcPr>
            <w:tcW w:w="924" w:type="dxa"/>
          </w:tcPr>
          <w:p>
            <w:pPr>
              <w:pStyle w:val="TableParagraph"/>
              <w:ind w:left="11" w:right="1"/>
              <w:rPr>
                <w:sz w:val="20"/>
              </w:rPr>
            </w:pPr>
            <w:r>
              <w:rPr>
                <w:spacing w:val="-5"/>
                <w:sz w:val="20"/>
              </w:rPr>
              <w:t>15%</w:t>
            </w:r>
          </w:p>
        </w:tc>
        <w:tc>
          <w:tcPr>
            <w:tcW w:w="638" w:type="dxa"/>
          </w:tcPr>
          <w:p>
            <w:pPr>
              <w:pStyle w:val="TableParagraph"/>
              <w:ind w:left="18" w:right="9"/>
              <w:rPr>
                <w:sz w:val="20"/>
              </w:rPr>
            </w:pPr>
            <w:r>
              <w:rPr>
                <w:spacing w:val="-5"/>
                <w:sz w:val="20"/>
              </w:rPr>
              <w:t>22</w:t>
            </w:r>
          </w:p>
        </w:tc>
        <w:tc>
          <w:tcPr>
            <w:tcW w:w="636" w:type="dxa"/>
          </w:tcPr>
          <w:p>
            <w:pPr>
              <w:pStyle w:val="TableParagraph"/>
              <w:ind w:left="15" w:right="7"/>
              <w:rPr>
                <w:sz w:val="20"/>
              </w:rPr>
            </w:pPr>
            <w:r>
              <w:rPr>
                <w:spacing w:val="-5"/>
                <w:sz w:val="20"/>
              </w:rPr>
              <w:t>25</w:t>
            </w:r>
          </w:p>
        </w:tc>
        <w:tc>
          <w:tcPr>
            <w:tcW w:w="638" w:type="dxa"/>
          </w:tcPr>
          <w:p>
            <w:pPr>
              <w:pStyle w:val="TableParagraph"/>
              <w:ind w:left="18" w:right="7"/>
              <w:rPr>
                <w:sz w:val="20"/>
              </w:rPr>
            </w:pPr>
            <w:r>
              <w:rPr>
                <w:spacing w:val="-5"/>
                <w:sz w:val="20"/>
              </w:rPr>
              <w:t>28</w:t>
            </w:r>
          </w:p>
        </w:tc>
        <w:tc>
          <w:tcPr>
            <w:tcW w:w="638" w:type="dxa"/>
          </w:tcPr>
          <w:p>
            <w:pPr>
              <w:pStyle w:val="TableParagraph"/>
              <w:ind w:left="18" w:right="7"/>
              <w:rPr>
                <w:sz w:val="20"/>
              </w:rPr>
            </w:pPr>
            <w:r>
              <w:rPr>
                <w:spacing w:val="-5"/>
                <w:sz w:val="20"/>
              </w:rPr>
              <w:t>31</w:t>
            </w:r>
          </w:p>
        </w:tc>
        <w:tc>
          <w:tcPr>
            <w:tcW w:w="638" w:type="dxa"/>
          </w:tcPr>
          <w:p>
            <w:pPr>
              <w:pStyle w:val="TableParagraph"/>
              <w:ind w:left="18" w:right="6"/>
              <w:rPr>
                <w:sz w:val="20"/>
              </w:rPr>
            </w:pPr>
            <w:r>
              <w:rPr>
                <w:spacing w:val="-5"/>
                <w:sz w:val="20"/>
              </w:rPr>
              <w:t>40</w:t>
            </w:r>
          </w:p>
        </w:tc>
        <w:tc>
          <w:tcPr>
            <w:tcW w:w="638" w:type="dxa"/>
          </w:tcPr>
          <w:p>
            <w:pPr>
              <w:pStyle w:val="TableParagraph"/>
              <w:ind w:left="18" w:right="4"/>
              <w:rPr>
                <w:sz w:val="20"/>
              </w:rPr>
            </w:pPr>
            <w:r>
              <w:rPr>
                <w:spacing w:val="-5"/>
                <w:sz w:val="20"/>
              </w:rPr>
              <w:t>50</w:t>
            </w:r>
          </w:p>
        </w:tc>
        <w:tc>
          <w:tcPr>
            <w:tcW w:w="638" w:type="dxa"/>
          </w:tcPr>
          <w:p>
            <w:pPr>
              <w:pStyle w:val="TableParagraph"/>
              <w:ind w:left="18" w:right="3"/>
              <w:rPr>
                <w:sz w:val="20"/>
              </w:rPr>
            </w:pPr>
            <w:r>
              <w:rPr>
                <w:spacing w:val="-5"/>
                <w:sz w:val="20"/>
              </w:rPr>
              <w:t>60</w:t>
            </w:r>
          </w:p>
        </w:tc>
        <w:tc>
          <w:tcPr>
            <w:tcW w:w="636" w:type="dxa"/>
          </w:tcPr>
          <w:p>
            <w:pPr>
              <w:pStyle w:val="TableParagraph"/>
              <w:ind w:left="15" w:right="2"/>
              <w:rPr>
                <w:sz w:val="20"/>
              </w:rPr>
            </w:pPr>
            <w:r>
              <w:rPr>
                <w:spacing w:val="-5"/>
                <w:sz w:val="20"/>
              </w:rPr>
              <w:t>65</w:t>
            </w:r>
          </w:p>
        </w:tc>
        <w:tc>
          <w:tcPr>
            <w:tcW w:w="638" w:type="dxa"/>
          </w:tcPr>
          <w:p>
            <w:pPr>
              <w:pStyle w:val="TableParagraph"/>
              <w:ind w:left="18" w:right="3"/>
              <w:rPr>
                <w:sz w:val="20"/>
              </w:rPr>
            </w:pPr>
            <w:r>
              <w:rPr>
                <w:spacing w:val="-5"/>
                <w:sz w:val="20"/>
              </w:rPr>
              <w:t>70</w:t>
            </w:r>
          </w:p>
        </w:tc>
        <w:tc>
          <w:tcPr>
            <w:tcW w:w="975" w:type="dxa"/>
          </w:tcPr>
          <w:p>
            <w:pPr>
              <w:pStyle w:val="TableParagraph"/>
              <w:ind w:left="16"/>
              <w:rPr>
                <w:sz w:val="20"/>
              </w:rPr>
            </w:pPr>
            <w:r>
              <w:rPr>
                <w:spacing w:val="-5"/>
                <w:sz w:val="20"/>
              </w:rPr>
              <w:t>75</w:t>
            </w:r>
          </w:p>
        </w:tc>
        <w:tc>
          <w:tcPr>
            <w:tcW w:w="986" w:type="dxa"/>
          </w:tcPr>
          <w:p>
            <w:pPr>
              <w:pStyle w:val="TableParagraph"/>
              <w:ind w:left="19"/>
              <w:rPr>
                <w:sz w:val="20"/>
              </w:rPr>
            </w:pPr>
            <w:r>
              <w:rPr>
                <w:spacing w:val="-5"/>
                <w:sz w:val="20"/>
              </w:rPr>
              <w:t>82</w:t>
            </w:r>
          </w:p>
        </w:tc>
      </w:tr>
      <w:tr>
        <w:trPr>
          <w:trHeight w:val="229" w:hRule="atLeast"/>
        </w:trPr>
        <w:tc>
          <w:tcPr>
            <w:tcW w:w="922" w:type="dxa"/>
          </w:tcPr>
          <w:p>
            <w:pPr>
              <w:pStyle w:val="TableParagraph"/>
              <w:ind w:left="14" w:right="3"/>
              <w:rPr>
                <w:sz w:val="20"/>
              </w:rPr>
            </w:pPr>
            <w:r>
              <w:rPr>
                <w:spacing w:val="-5"/>
                <w:sz w:val="20"/>
              </w:rPr>
              <w:t>0.3</w:t>
            </w:r>
          </w:p>
        </w:tc>
        <w:tc>
          <w:tcPr>
            <w:tcW w:w="924" w:type="dxa"/>
          </w:tcPr>
          <w:p>
            <w:pPr>
              <w:pStyle w:val="TableParagraph"/>
              <w:ind w:left="11" w:right="1"/>
              <w:rPr>
                <w:sz w:val="20"/>
              </w:rPr>
            </w:pPr>
            <w:r>
              <w:rPr>
                <w:spacing w:val="-5"/>
                <w:sz w:val="20"/>
              </w:rPr>
              <w:t>20%</w:t>
            </w:r>
          </w:p>
        </w:tc>
        <w:tc>
          <w:tcPr>
            <w:tcW w:w="638" w:type="dxa"/>
          </w:tcPr>
          <w:p>
            <w:pPr>
              <w:pStyle w:val="TableParagraph"/>
              <w:ind w:left="18" w:right="9"/>
              <w:rPr>
                <w:sz w:val="20"/>
              </w:rPr>
            </w:pPr>
            <w:r>
              <w:rPr>
                <w:spacing w:val="-5"/>
                <w:sz w:val="20"/>
              </w:rPr>
              <w:t>27</w:t>
            </w:r>
          </w:p>
        </w:tc>
        <w:tc>
          <w:tcPr>
            <w:tcW w:w="636" w:type="dxa"/>
          </w:tcPr>
          <w:p>
            <w:pPr>
              <w:pStyle w:val="TableParagraph"/>
              <w:ind w:left="15" w:right="7"/>
              <w:rPr>
                <w:sz w:val="20"/>
              </w:rPr>
            </w:pPr>
            <w:r>
              <w:rPr>
                <w:spacing w:val="-5"/>
                <w:sz w:val="20"/>
              </w:rPr>
              <w:t>30</w:t>
            </w:r>
          </w:p>
        </w:tc>
        <w:tc>
          <w:tcPr>
            <w:tcW w:w="638" w:type="dxa"/>
          </w:tcPr>
          <w:p>
            <w:pPr>
              <w:pStyle w:val="TableParagraph"/>
              <w:ind w:left="18" w:right="7"/>
              <w:rPr>
                <w:sz w:val="20"/>
              </w:rPr>
            </w:pPr>
            <w:r>
              <w:rPr>
                <w:spacing w:val="-5"/>
                <w:sz w:val="20"/>
              </w:rPr>
              <w:t>33</w:t>
            </w:r>
          </w:p>
        </w:tc>
        <w:tc>
          <w:tcPr>
            <w:tcW w:w="638" w:type="dxa"/>
          </w:tcPr>
          <w:p>
            <w:pPr>
              <w:pStyle w:val="TableParagraph"/>
              <w:ind w:left="18" w:right="7"/>
              <w:rPr>
                <w:sz w:val="20"/>
              </w:rPr>
            </w:pPr>
            <w:r>
              <w:rPr>
                <w:spacing w:val="-5"/>
                <w:sz w:val="20"/>
              </w:rPr>
              <w:t>40</w:t>
            </w:r>
          </w:p>
        </w:tc>
        <w:tc>
          <w:tcPr>
            <w:tcW w:w="638" w:type="dxa"/>
          </w:tcPr>
          <w:p>
            <w:pPr>
              <w:pStyle w:val="TableParagraph"/>
              <w:ind w:left="18" w:right="6"/>
              <w:rPr>
                <w:sz w:val="20"/>
              </w:rPr>
            </w:pPr>
            <w:r>
              <w:rPr>
                <w:spacing w:val="-5"/>
                <w:sz w:val="20"/>
              </w:rPr>
              <w:t>50</w:t>
            </w:r>
          </w:p>
        </w:tc>
        <w:tc>
          <w:tcPr>
            <w:tcW w:w="638" w:type="dxa"/>
          </w:tcPr>
          <w:p>
            <w:pPr>
              <w:pStyle w:val="TableParagraph"/>
              <w:ind w:left="18" w:right="4"/>
              <w:rPr>
                <w:sz w:val="20"/>
              </w:rPr>
            </w:pPr>
            <w:r>
              <w:rPr>
                <w:spacing w:val="-5"/>
                <w:sz w:val="20"/>
              </w:rPr>
              <w:t>60</w:t>
            </w:r>
          </w:p>
        </w:tc>
        <w:tc>
          <w:tcPr>
            <w:tcW w:w="638" w:type="dxa"/>
          </w:tcPr>
          <w:p>
            <w:pPr>
              <w:pStyle w:val="TableParagraph"/>
              <w:ind w:left="18" w:right="3"/>
              <w:rPr>
                <w:sz w:val="20"/>
              </w:rPr>
            </w:pPr>
            <w:r>
              <w:rPr>
                <w:spacing w:val="-5"/>
                <w:sz w:val="20"/>
              </w:rPr>
              <w:t>70</w:t>
            </w:r>
          </w:p>
        </w:tc>
        <w:tc>
          <w:tcPr>
            <w:tcW w:w="636" w:type="dxa"/>
          </w:tcPr>
          <w:p>
            <w:pPr>
              <w:pStyle w:val="TableParagraph"/>
              <w:ind w:left="15" w:right="2"/>
              <w:rPr>
                <w:sz w:val="20"/>
              </w:rPr>
            </w:pPr>
            <w:r>
              <w:rPr>
                <w:spacing w:val="-5"/>
                <w:sz w:val="20"/>
              </w:rPr>
              <w:t>75</w:t>
            </w:r>
          </w:p>
        </w:tc>
        <w:tc>
          <w:tcPr>
            <w:tcW w:w="638" w:type="dxa"/>
          </w:tcPr>
          <w:p>
            <w:pPr>
              <w:pStyle w:val="TableParagraph"/>
              <w:ind w:left="18" w:right="3"/>
              <w:rPr>
                <w:sz w:val="20"/>
              </w:rPr>
            </w:pPr>
            <w:r>
              <w:rPr>
                <w:spacing w:val="-5"/>
                <w:sz w:val="20"/>
              </w:rPr>
              <w:t>80</w:t>
            </w:r>
          </w:p>
        </w:tc>
        <w:tc>
          <w:tcPr>
            <w:tcW w:w="975" w:type="dxa"/>
          </w:tcPr>
          <w:p>
            <w:pPr>
              <w:pStyle w:val="TableParagraph"/>
              <w:ind w:left="16"/>
              <w:rPr>
                <w:sz w:val="20"/>
              </w:rPr>
            </w:pPr>
            <w:r>
              <w:rPr>
                <w:spacing w:val="-5"/>
                <w:sz w:val="20"/>
              </w:rPr>
              <w:t>85</w:t>
            </w:r>
          </w:p>
        </w:tc>
        <w:tc>
          <w:tcPr>
            <w:tcW w:w="986" w:type="dxa"/>
          </w:tcPr>
          <w:p>
            <w:pPr>
              <w:pStyle w:val="TableParagraph"/>
              <w:ind w:left="19"/>
              <w:rPr>
                <w:sz w:val="20"/>
              </w:rPr>
            </w:pPr>
            <w:r>
              <w:rPr>
                <w:spacing w:val="-5"/>
                <w:sz w:val="20"/>
              </w:rPr>
              <w:t>90</w:t>
            </w:r>
          </w:p>
        </w:tc>
      </w:tr>
      <w:tr>
        <w:trPr>
          <w:trHeight w:val="229" w:hRule="atLeast"/>
        </w:trPr>
        <w:tc>
          <w:tcPr>
            <w:tcW w:w="922" w:type="dxa"/>
          </w:tcPr>
          <w:p>
            <w:pPr>
              <w:pStyle w:val="TableParagraph"/>
              <w:ind w:left="14" w:right="3"/>
              <w:rPr>
                <w:sz w:val="20"/>
              </w:rPr>
            </w:pPr>
            <w:r>
              <w:rPr>
                <w:spacing w:val="-5"/>
                <w:sz w:val="20"/>
              </w:rPr>
              <w:t>0.2</w:t>
            </w:r>
          </w:p>
        </w:tc>
        <w:tc>
          <w:tcPr>
            <w:tcW w:w="924" w:type="dxa"/>
          </w:tcPr>
          <w:p>
            <w:pPr>
              <w:pStyle w:val="TableParagraph"/>
              <w:ind w:left="11" w:right="1"/>
              <w:rPr>
                <w:sz w:val="20"/>
              </w:rPr>
            </w:pPr>
            <w:r>
              <w:rPr>
                <w:spacing w:val="-5"/>
                <w:sz w:val="20"/>
              </w:rPr>
              <w:t>30%</w:t>
            </w:r>
          </w:p>
        </w:tc>
        <w:tc>
          <w:tcPr>
            <w:tcW w:w="638" w:type="dxa"/>
          </w:tcPr>
          <w:p>
            <w:pPr>
              <w:pStyle w:val="TableParagraph"/>
              <w:ind w:left="18" w:right="9"/>
              <w:rPr>
                <w:sz w:val="20"/>
              </w:rPr>
            </w:pPr>
            <w:r>
              <w:rPr>
                <w:spacing w:val="-5"/>
                <w:sz w:val="20"/>
              </w:rPr>
              <w:t>37</w:t>
            </w:r>
          </w:p>
        </w:tc>
        <w:tc>
          <w:tcPr>
            <w:tcW w:w="636" w:type="dxa"/>
          </w:tcPr>
          <w:p>
            <w:pPr>
              <w:pStyle w:val="TableParagraph"/>
              <w:ind w:left="15" w:right="7"/>
              <w:rPr>
                <w:sz w:val="20"/>
              </w:rPr>
            </w:pPr>
            <w:r>
              <w:rPr>
                <w:spacing w:val="-5"/>
                <w:sz w:val="20"/>
              </w:rPr>
              <w:t>40</w:t>
            </w:r>
          </w:p>
        </w:tc>
        <w:tc>
          <w:tcPr>
            <w:tcW w:w="638" w:type="dxa"/>
          </w:tcPr>
          <w:p>
            <w:pPr>
              <w:pStyle w:val="TableParagraph"/>
              <w:ind w:left="18" w:right="7"/>
              <w:rPr>
                <w:sz w:val="20"/>
              </w:rPr>
            </w:pPr>
            <w:r>
              <w:rPr>
                <w:spacing w:val="-5"/>
                <w:sz w:val="20"/>
              </w:rPr>
              <w:t>43</w:t>
            </w:r>
          </w:p>
        </w:tc>
        <w:tc>
          <w:tcPr>
            <w:tcW w:w="638" w:type="dxa"/>
          </w:tcPr>
          <w:p>
            <w:pPr>
              <w:pStyle w:val="TableParagraph"/>
              <w:ind w:left="18" w:right="7"/>
              <w:rPr>
                <w:sz w:val="20"/>
              </w:rPr>
            </w:pPr>
            <w:r>
              <w:rPr>
                <w:spacing w:val="-5"/>
                <w:sz w:val="20"/>
              </w:rPr>
              <w:t>50</w:t>
            </w:r>
          </w:p>
        </w:tc>
        <w:tc>
          <w:tcPr>
            <w:tcW w:w="638" w:type="dxa"/>
          </w:tcPr>
          <w:p>
            <w:pPr>
              <w:pStyle w:val="TableParagraph"/>
              <w:ind w:left="18" w:right="6"/>
              <w:rPr>
                <w:sz w:val="20"/>
              </w:rPr>
            </w:pPr>
            <w:r>
              <w:rPr>
                <w:spacing w:val="-5"/>
                <w:sz w:val="20"/>
              </w:rPr>
              <w:t>60</w:t>
            </w:r>
          </w:p>
        </w:tc>
        <w:tc>
          <w:tcPr>
            <w:tcW w:w="638" w:type="dxa"/>
          </w:tcPr>
          <w:p>
            <w:pPr>
              <w:pStyle w:val="TableParagraph"/>
              <w:ind w:left="18" w:right="4"/>
              <w:rPr>
                <w:sz w:val="20"/>
              </w:rPr>
            </w:pPr>
            <w:r>
              <w:rPr>
                <w:spacing w:val="-5"/>
                <w:sz w:val="20"/>
              </w:rPr>
              <w:t>70</w:t>
            </w:r>
          </w:p>
        </w:tc>
        <w:tc>
          <w:tcPr>
            <w:tcW w:w="638" w:type="dxa"/>
          </w:tcPr>
          <w:p>
            <w:pPr>
              <w:pStyle w:val="TableParagraph"/>
              <w:ind w:left="18" w:right="3"/>
              <w:rPr>
                <w:sz w:val="20"/>
              </w:rPr>
            </w:pPr>
            <w:r>
              <w:rPr>
                <w:spacing w:val="-5"/>
                <w:sz w:val="20"/>
              </w:rPr>
              <w:t>77</w:t>
            </w:r>
          </w:p>
        </w:tc>
        <w:tc>
          <w:tcPr>
            <w:tcW w:w="636" w:type="dxa"/>
          </w:tcPr>
          <w:p>
            <w:pPr>
              <w:pStyle w:val="TableParagraph"/>
              <w:ind w:left="15" w:right="2"/>
              <w:rPr>
                <w:sz w:val="20"/>
              </w:rPr>
            </w:pPr>
            <w:r>
              <w:rPr>
                <w:spacing w:val="-5"/>
                <w:sz w:val="20"/>
              </w:rPr>
              <w:t>85</w:t>
            </w:r>
          </w:p>
        </w:tc>
        <w:tc>
          <w:tcPr>
            <w:tcW w:w="638" w:type="dxa"/>
          </w:tcPr>
          <w:p>
            <w:pPr>
              <w:pStyle w:val="TableParagraph"/>
              <w:ind w:left="18" w:right="3"/>
              <w:rPr>
                <w:sz w:val="20"/>
              </w:rPr>
            </w:pPr>
            <w:r>
              <w:rPr>
                <w:spacing w:val="-5"/>
                <w:sz w:val="20"/>
              </w:rPr>
              <w:t>90</w:t>
            </w:r>
          </w:p>
        </w:tc>
        <w:tc>
          <w:tcPr>
            <w:tcW w:w="975" w:type="dxa"/>
          </w:tcPr>
          <w:p>
            <w:pPr>
              <w:pStyle w:val="TableParagraph"/>
              <w:ind w:left="16"/>
              <w:rPr>
                <w:sz w:val="20"/>
              </w:rPr>
            </w:pPr>
            <w:r>
              <w:rPr>
                <w:spacing w:val="-5"/>
                <w:sz w:val="20"/>
              </w:rPr>
              <w:t>95</w:t>
            </w:r>
          </w:p>
        </w:tc>
        <w:tc>
          <w:tcPr>
            <w:tcW w:w="986" w:type="dxa"/>
          </w:tcPr>
          <w:p>
            <w:pPr>
              <w:pStyle w:val="TableParagraph"/>
              <w:ind w:left="19"/>
              <w:rPr>
                <w:sz w:val="20"/>
              </w:rPr>
            </w:pPr>
            <w:r>
              <w:rPr>
                <w:spacing w:val="-5"/>
                <w:sz w:val="20"/>
              </w:rPr>
              <w:t>98</w:t>
            </w:r>
          </w:p>
        </w:tc>
      </w:tr>
      <w:tr>
        <w:trPr>
          <w:trHeight w:val="229" w:hRule="atLeast"/>
        </w:trPr>
        <w:tc>
          <w:tcPr>
            <w:tcW w:w="922" w:type="dxa"/>
          </w:tcPr>
          <w:p>
            <w:pPr>
              <w:pStyle w:val="TableParagraph"/>
              <w:ind w:left="14" w:right="3"/>
              <w:rPr>
                <w:sz w:val="20"/>
              </w:rPr>
            </w:pPr>
            <w:r>
              <w:rPr>
                <w:spacing w:val="-5"/>
                <w:sz w:val="20"/>
              </w:rPr>
              <w:t>0.1</w:t>
            </w:r>
          </w:p>
        </w:tc>
        <w:tc>
          <w:tcPr>
            <w:tcW w:w="924" w:type="dxa"/>
          </w:tcPr>
          <w:p>
            <w:pPr>
              <w:pStyle w:val="TableParagraph"/>
              <w:ind w:left="11" w:right="1"/>
              <w:rPr>
                <w:sz w:val="20"/>
              </w:rPr>
            </w:pPr>
            <w:r>
              <w:rPr>
                <w:spacing w:val="-5"/>
                <w:sz w:val="20"/>
              </w:rPr>
              <w:t>35%</w:t>
            </w:r>
          </w:p>
        </w:tc>
        <w:tc>
          <w:tcPr>
            <w:tcW w:w="638" w:type="dxa"/>
          </w:tcPr>
          <w:p>
            <w:pPr>
              <w:pStyle w:val="TableParagraph"/>
              <w:ind w:left="18" w:right="9"/>
              <w:rPr>
                <w:sz w:val="20"/>
              </w:rPr>
            </w:pPr>
            <w:r>
              <w:rPr>
                <w:spacing w:val="-5"/>
                <w:sz w:val="20"/>
              </w:rPr>
              <w:t>42</w:t>
            </w:r>
          </w:p>
        </w:tc>
        <w:tc>
          <w:tcPr>
            <w:tcW w:w="636" w:type="dxa"/>
          </w:tcPr>
          <w:p>
            <w:pPr>
              <w:pStyle w:val="TableParagraph"/>
              <w:ind w:left="15" w:right="7"/>
              <w:rPr>
                <w:sz w:val="20"/>
              </w:rPr>
            </w:pPr>
            <w:r>
              <w:rPr>
                <w:spacing w:val="-5"/>
                <w:sz w:val="20"/>
              </w:rPr>
              <w:t>45</w:t>
            </w:r>
          </w:p>
        </w:tc>
        <w:tc>
          <w:tcPr>
            <w:tcW w:w="638" w:type="dxa"/>
          </w:tcPr>
          <w:p>
            <w:pPr>
              <w:pStyle w:val="TableParagraph"/>
              <w:ind w:left="18" w:right="7"/>
              <w:rPr>
                <w:sz w:val="20"/>
              </w:rPr>
            </w:pPr>
            <w:r>
              <w:rPr>
                <w:spacing w:val="-5"/>
                <w:sz w:val="20"/>
              </w:rPr>
              <w:t>50</w:t>
            </w:r>
          </w:p>
        </w:tc>
        <w:tc>
          <w:tcPr>
            <w:tcW w:w="638" w:type="dxa"/>
          </w:tcPr>
          <w:p>
            <w:pPr>
              <w:pStyle w:val="TableParagraph"/>
              <w:ind w:left="18" w:right="7"/>
              <w:rPr>
                <w:sz w:val="20"/>
              </w:rPr>
            </w:pPr>
            <w:r>
              <w:rPr>
                <w:spacing w:val="-5"/>
                <w:sz w:val="20"/>
              </w:rPr>
              <w:t>60</w:t>
            </w:r>
          </w:p>
        </w:tc>
        <w:tc>
          <w:tcPr>
            <w:tcW w:w="638" w:type="dxa"/>
          </w:tcPr>
          <w:p>
            <w:pPr>
              <w:pStyle w:val="TableParagraph"/>
              <w:ind w:left="18" w:right="6"/>
              <w:rPr>
                <w:sz w:val="20"/>
              </w:rPr>
            </w:pPr>
            <w:r>
              <w:rPr>
                <w:spacing w:val="-5"/>
                <w:sz w:val="20"/>
              </w:rPr>
              <w:t>70</w:t>
            </w:r>
          </w:p>
        </w:tc>
        <w:tc>
          <w:tcPr>
            <w:tcW w:w="638" w:type="dxa"/>
          </w:tcPr>
          <w:p>
            <w:pPr>
              <w:pStyle w:val="TableParagraph"/>
              <w:ind w:left="18" w:right="4"/>
              <w:rPr>
                <w:sz w:val="20"/>
              </w:rPr>
            </w:pPr>
            <w:r>
              <w:rPr>
                <w:spacing w:val="-5"/>
                <w:sz w:val="20"/>
              </w:rPr>
              <w:t>77</w:t>
            </w:r>
          </w:p>
        </w:tc>
        <w:tc>
          <w:tcPr>
            <w:tcW w:w="638" w:type="dxa"/>
          </w:tcPr>
          <w:p>
            <w:pPr>
              <w:pStyle w:val="TableParagraph"/>
              <w:ind w:left="18" w:right="3"/>
              <w:rPr>
                <w:sz w:val="20"/>
              </w:rPr>
            </w:pPr>
            <w:r>
              <w:rPr>
                <w:spacing w:val="-5"/>
                <w:sz w:val="20"/>
              </w:rPr>
              <w:t>90</w:t>
            </w:r>
          </w:p>
        </w:tc>
        <w:tc>
          <w:tcPr>
            <w:tcW w:w="636" w:type="dxa"/>
          </w:tcPr>
          <w:p>
            <w:pPr>
              <w:pStyle w:val="TableParagraph"/>
              <w:ind w:left="15" w:right="2"/>
              <w:rPr>
                <w:sz w:val="20"/>
              </w:rPr>
            </w:pPr>
            <w:r>
              <w:rPr>
                <w:spacing w:val="-5"/>
                <w:sz w:val="20"/>
              </w:rPr>
              <w:t>95</w:t>
            </w:r>
          </w:p>
        </w:tc>
        <w:tc>
          <w:tcPr>
            <w:tcW w:w="638" w:type="dxa"/>
          </w:tcPr>
          <w:p>
            <w:pPr>
              <w:pStyle w:val="TableParagraph"/>
              <w:ind w:left="18" w:right="3"/>
              <w:rPr>
                <w:sz w:val="20"/>
              </w:rPr>
            </w:pPr>
            <w:r>
              <w:rPr>
                <w:spacing w:val="-5"/>
                <w:sz w:val="20"/>
              </w:rPr>
              <w:t>98</w:t>
            </w:r>
          </w:p>
        </w:tc>
        <w:tc>
          <w:tcPr>
            <w:tcW w:w="975" w:type="dxa"/>
          </w:tcPr>
          <w:p>
            <w:pPr>
              <w:pStyle w:val="TableParagraph"/>
              <w:ind w:left="16"/>
              <w:rPr>
                <w:sz w:val="20"/>
              </w:rPr>
            </w:pPr>
            <w:r>
              <w:rPr>
                <w:spacing w:val="-5"/>
                <w:sz w:val="20"/>
              </w:rPr>
              <w:t>100</w:t>
            </w:r>
          </w:p>
        </w:tc>
        <w:tc>
          <w:tcPr>
            <w:tcW w:w="986" w:type="dxa"/>
          </w:tcPr>
          <w:p>
            <w:pPr>
              <w:pStyle w:val="TableParagraph"/>
              <w:ind w:left="19"/>
              <w:rPr>
                <w:sz w:val="20"/>
              </w:rPr>
            </w:pPr>
            <w:r>
              <w:rPr>
                <w:spacing w:val="-5"/>
                <w:sz w:val="20"/>
              </w:rPr>
              <w:t>100</w:t>
            </w:r>
          </w:p>
        </w:tc>
      </w:tr>
      <w:tr>
        <w:trPr>
          <w:trHeight w:val="229" w:hRule="atLeast"/>
        </w:trPr>
        <w:tc>
          <w:tcPr>
            <w:tcW w:w="922" w:type="dxa"/>
          </w:tcPr>
          <w:p>
            <w:pPr>
              <w:pStyle w:val="TableParagraph"/>
              <w:ind w:left="14" w:right="3"/>
              <w:rPr>
                <w:sz w:val="20"/>
              </w:rPr>
            </w:pPr>
            <w:r>
              <w:rPr>
                <w:spacing w:val="-4"/>
                <w:sz w:val="20"/>
              </w:rPr>
              <w:t>0.05</w:t>
            </w:r>
          </w:p>
        </w:tc>
        <w:tc>
          <w:tcPr>
            <w:tcW w:w="924" w:type="dxa"/>
          </w:tcPr>
          <w:p>
            <w:pPr>
              <w:pStyle w:val="TableParagraph"/>
              <w:ind w:left="11" w:right="1"/>
              <w:rPr>
                <w:sz w:val="20"/>
              </w:rPr>
            </w:pPr>
            <w:r>
              <w:rPr>
                <w:spacing w:val="-5"/>
                <w:sz w:val="20"/>
              </w:rPr>
              <w:t>40%</w:t>
            </w:r>
          </w:p>
        </w:tc>
        <w:tc>
          <w:tcPr>
            <w:tcW w:w="638" w:type="dxa"/>
          </w:tcPr>
          <w:p>
            <w:pPr>
              <w:pStyle w:val="TableParagraph"/>
              <w:ind w:left="18" w:right="9"/>
              <w:rPr>
                <w:sz w:val="20"/>
              </w:rPr>
            </w:pPr>
            <w:r>
              <w:rPr>
                <w:spacing w:val="-5"/>
                <w:sz w:val="20"/>
              </w:rPr>
              <w:t>47</w:t>
            </w:r>
          </w:p>
        </w:tc>
        <w:tc>
          <w:tcPr>
            <w:tcW w:w="636" w:type="dxa"/>
          </w:tcPr>
          <w:p>
            <w:pPr>
              <w:pStyle w:val="TableParagraph"/>
              <w:ind w:left="15" w:right="7"/>
              <w:rPr>
                <w:sz w:val="20"/>
              </w:rPr>
            </w:pPr>
            <w:r>
              <w:rPr>
                <w:spacing w:val="-5"/>
                <w:sz w:val="20"/>
              </w:rPr>
              <w:t>50</w:t>
            </w:r>
          </w:p>
        </w:tc>
        <w:tc>
          <w:tcPr>
            <w:tcW w:w="638" w:type="dxa"/>
          </w:tcPr>
          <w:p>
            <w:pPr>
              <w:pStyle w:val="TableParagraph"/>
              <w:ind w:left="18" w:right="7"/>
              <w:rPr>
                <w:sz w:val="20"/>
              </w:rPr>
            </w:pPr>
            <w:r>
              <w:rPr>
                <w:spacing w:val="-5"/>
                <w:sz w:val="20"/>
              </w:rPr>
              <w:t>55</w:t>
            </w:r>
          </w:p>
        </w:tc>
        <w:tc>
          <w:tcPr>
            <w:tcW w:w="638" w:type="dxa"/>
          </w:tcPr>
          <w:p>
            <w:pPr>
              <w:pStyle w:val="TableParagraph"/>
              <w:ind w:left="18" w:right="7"/>
              <w:rPr>
                <w:sz w:val="20"/>
              </w:rPr>
            </w:pPr>
            <w:r>
              <w:rPr>
                <w:spacing w:val="-5"/>
                <w:sz w:val="20"/>
              </w:rPr>
              <w:t>65</w:t>
            </w:r>
          </w:p>
        </w:tc>
        <w:tc>
          <w:tcPr>
            <w:tcW w:w="638" w:type="dxa"/>
          </w:tcPr>
          <w:p>
            <w:pPr>
              <w:pStyle w:val="TableParagraph"/>
              <w:ind w:left="18" w:right="6"/>
              <w:rPr>
                <w:sz w:val="20"/>
              </w:rPr>
            </w:pPr>
            <w:r>
              <w:rPr>
                <w:spacing w:val="-5"/>
                <w:sz w:val="20"/>
              </w:rPr>
              <w:t>75</w:t>
            </w:r>
          </w:p>
        </w:tc>
        <w:tc>
          <w:tcPr>
            <w:tcW w:w="638" w:type="dxa"/>
          </w:tcPr>
          <w:p>
            <w:pPr>
              <w:pStyle w:val="TableParagraph"/>
              <w:ind w:left="18" w:right="4"/>
              <w:rPr>
                <w:sz w:val="20"/>
              </w:rPr>
            </w:pPr>
            <w:r>
              <w:rPr>
                <w:spacing w:val="-5"/>
                <w:sz w:val="20"/>
              </w:rPr>
              <w:t>85</w:t>
            </w:r>
          </w:p>
        </w:tc>
        <w:tc>
          <w:tcPr>
            <w:tcW w:w="638" w:type="dxa"/>
          </w:tcPr>
          <w:p>
            <w:pPr>
              <w:pStyle w:val="TableParagraph"/>
              <w:ind w:left="18" w:right="3"/>
              <w:rPr>
                <w:sz w:val="20"/>
              </w:rPr>
            </w:pPr>
            <w:r>
              <w:rPr>
                <w:spacing w:val="-5"/>
                <w:sz w:val="20"/>
              </w:rPr>
              <w:t>95</w:t>
            </w:r>
          </w:p>
        </w:tc>
        <w:tc>
          <w:tcPr>
            <w:tcW w:w="636" w:type="dxa"/>
          </w:tcPr>
          <w:p>
            <w:pPr>
              <w:pStyle w:val="TableParagraph"/>
              <w:ind w:left="15" w:right="2"/>
              <w:rPr>
                <w:sz w:val="20"/>
              </w:rPr>
            </w:pPr>
            <w:r>
              <w:rPr>
                <w:spacing w:val="-5"/>
                <w:sz w:val="20"/>
              </w:rPr>
              <w:t>98</w:t>
            </w:r>
          </w:p>
        </w:tc>
        <w:tc>
          <w:tcPr>
            <w:tcW w:w="638" w:type="dxa"/>
          </w:tcPr>
          <w:p>
            <w:pPr>
              <w:pStyle w:val="TableParagraph"/>
              <w:ind w:left="18" w:right="3"/>
              <w:rPr>
                <w:sz w:val="20"/>
              </w:rPr>
            </w:pPr>
            <w:r>
              <w:rPr>
                <w:spacing w:val="-5"/>
                <w:sz w:val="20"/>
              </w:rPr>
              <w:t>100</w:t>
            </w:r>
          </w:p>
        </w:tc>
        <w:tc>
          <w:tcPr>
            <w:tcW w:w="975" w:type="dxa"/>
          </w:tcPr>
          <w:p>
            <w:pPr>
              <w:pStyle w:val="TableParagraph"/>
              <w:ind w:left="16"/>
              <w:rPr>
                <w:sz w:val="20"/>
              </w:rPr>
            </w:pPr>
            <w:r>
              <w:rPr>
                <w:spacing w:val="-5"/>
                <w:sz w:val="20"/>
              </w:rPr>
              <w:t>100</w:t>
            </w:r>
          </w:p>
        </w:tc>
        <w:tc>
          <w:tcPr>
            <w:tcW w:w="986" w:type="dxa"/>
          </w:tcPr>
          <w:p>
            <w:pPr>
              <w:pStyle w:val="TableParagraph"/>
              <w:ind w:left="19"/>
              <w:rPr>
                <w:sz w:val="20"/>
              </w:rPr>
            </w:pPr>
            <w:r>
              <w:rPr>
                <w:spacing w:val="-5"/>
                <w:sz w:val="20"/>
              </w:rPr>
              <w:t>100</w:t>
            </w:r>
          </w:p>
        </w:tc>
      </w:tr>
      <w:tr>
        <w:trPr>
          <w:trHeight w:val="229" w:hRule="atLeast"/>
        </w:trPr>
        <w:tc>
          <w:tcPr>
            <w:tcW w:w="922" w:type="dxa"/>
          </w:tcPr>
          <w:p>
            <w:pPr>
              <w:pStyle w:val="TableParagraph"/>
              <w:ind w:left="14"/>
              <w:rPr>
                <w:sz w:val="20"/>
              </w:rPr>
            </w:pPr>
            <w:r>
              <w:rPr>
                <w:spacing w:val="-10"/>
                <w:sz w:val="20"/>
              </w:rPr>
              <w:t>0</w:t>
            </w:r>
          </w:p>
        </w:tc>
        <w:tc>
          <w:tcPr>
            <w:tcW w:w="924" w:type="dxa"/>
          </w:tcPr>
          <w:p>
            <w:pPr>
              <w:pStyle w:val="TableParagraph"/>
              <w:ind w:left="11" w:right="1"/>
              <w:rPr>
                <w:sz w:val="20"/>
              </w:rPr>
            </w:pPr>
            <w:r>
              <w:rPr>
                <w:spacing w:val="-5"/>
                <w:sz w:val="20"/>
              </w:rPr>
              <w:t>45%</w:t>
            </w:r>
          </w:p>
        </w:tc>
        <w:tc>
          <w:tcPr>
            <w:tcW w:w="638" w:type="dxa"/>
          </w:tcPr>
          <w:p>
            <w:pPr>
              <w:pStyle w:val="TableParagraph"/>
              <w:ind w:left="18" w:right="9"/>
              <w:rPr>
                <w:sz w:val="20"/>
              </w:rPr>
            </w:pPr>
            <w:r>
              <w:rPr>
                <w:spacing w:val="-5"/>
                <w:sz w:val="20"/>
              </w:rPr>
              <w:t>52</w:t>
            </w:r>
          </w:p>
        </w:tc>
        <w:tc>
          <w:tcPr>
            <w:tcW w:w="636" w:type="dxa"/>
          </w:tcPr>
          <w:p>
            <w:pPr>
              <w:pStyle w:val="TableParagraph"/>
              <w:ind w:left="15" w:right="7"/>
              <w:rPr>
                <w:sz w:val="20"/>
              </w:rPr>
            </w:pPr>
            <w:r>
              <w:rPr>
                <w:spacing w:val="-5"/>
                <w:sz w:val="20"/>
              </w:rPr>
              <w:t>55</w:t>
            </w:r>
          </w:p>
        </w:tc>
        <w:tc>
          <w:tcPr>
            <w:tcW w:w="638" w:type="dxa"/>
          </w:tcPr>
          <w:p>
            <w:pPr>
              <w:pStyle w:val="TableParagraph"/>
              <w:ind w:left="18" w:right="7"/>
              <w:rPr>
                <w:sz w:val="20"/>
              </w:rPr>
            </w:pPr>
            <w:r>
              <w:rPr>
                <w:spacing w:val="-5"/>
                <w:sz w:val="20"/>
              </w:rPr>
              <w:t>60</w:t>
            </w:r>
          </w:p>
        </w:tc>
        <w:tc>
          <w:tcPr>
            <w:tcW w:w="638" w:type="dxa"/>
          </w:tcPr>
          <w:p>
            <w:pPr>
              <w:pStyle w:val="TableParagraph"/>
              <w:ind w:left="18" w:right="7"/>
              <w:rPr>
                <w:sz w:val="20"/>
              </w:rPr>
            </w:pPr>
            <w:r>
              <w:rPr>
                <w:spacing w:val="-5"/>
                <w:sz w:val="20"/>
              </w:rPr>
              <w:t>70</w:t>
            </w:r>
          </w:p>
        </w:tc>
        <w:tc>
          <w:tcPr>
            <w:tcW w:w="638" w:type="dxa"/>
          </w:tcPr>
          <w:p>
            <w:pPr>
              <w:pStyle w:val="TableParagraph"/>
              <w:ind w:left="18" w:right="6"/>
              <w:rPr>
                <w:sz w:val="20"/>
              </w:rPr>
            </w:pPr>
            <w:r>
              <w:rPr>
                <w:spacing w:val="-5"/>
                <w:sz w:val="20"/>
              </w:rPr>
              <w:t>80</w:t>
            </w:r>
          </w:p>
        </w:tc>
        <w:tc>
          <w:tcPr>
            <w:tcW w:w="638" w:type="dxa"/>
          </w:tcPr>
          <w:p>
            <w:pPr>
              <w:pStyle w:val="TableParagraph"/>
              <w:ind w:left="18" w:right="4"/>
              <w:rPr>
                <w:sz w:val="20"/>
              </w:rPr>
            </w:pPr>
            <w:r>
              <w:rPr>
                <w:spacing w:val="-5"/>
                <w:sz w:val="20"/>
              </w:rPr>
              <w:t>90</w:t>
            </w:r>
          </w:p>
        </w:tc>
        <w:tc>
          <w:tcPr>
            <w:tcW w:w="638" w:type="dxa"/>
          </w:tcPr>
          <w:p>
            <w:pPr>
              <w:pStyle w:val="TableParagraph"/>
              <w:ind w:left="18" w:right="3"/>
              <w:rPr>
                <w:sz w:val="20"/>
              </w:rPr>
            </w:pPr>
            <w:r>
              <w:rPr>
                <w:spacing w:val="-5"/>
                <w:sz w:val="20"/>
              </w:rPr>
              <w:t>98</w:t>
            </w:r>
          </w:p>
        </w:tc>
        <w:tc>
          <w:tcPr>
            <w:tcW w:w="636" w:type="dxa"/>
          </w:tcPr>
          <w:p>
            <w:pPr>
              <w:pStyle w:val="TableParagraph"/>
              <w:ind w:left="15" w:right="2"/>
              <w:rPr>
                <w:sz w:val="20"/>
              </w:rPr>
            </w:pPr>
            <w:r>
              <w:rPr>
                <w:spacing w:val="-5"/>
                <w:sz w:val="20"/>
              </w:rPr>
              <w:t>100</w:t>
            </w:r>
          </w:p>
        </w:tc>
        <w:tc>
          <w:tcPr>
            <w:tcW w:w="638" w:type="dxa"/>
          </w:tcPr>
          <w:p>
            <w:pPr>
              <w:pStyle w:val="TableParagraph"/>
              <w:ind w:left="18" w:right="3"/>
              <w:rPr>
                <w:sz w:val="20"/>
              </w:rPr>
            </w:pPr>
            <w:r>
              <w:rPr>
                <w:spacing w:val="-5"/>
                <w:sz w:val="20"/>
              </w:rPr>
              <w:t>100</w:t>
            </w:r>
          </w:p>
        </w:tc>
        <w:tc>
          <w:tcPr>
            <w:tcW w:w="975" w:type="dxa"/>
          </w:tcPr>
          <w:p>
            <w:pPr>
              <w:pStyle w:val="TableParagraph"/>
              <w:ind w:left="16"/>
              <w:rPr>
                <w:sz w:val="20"/>
              </w:rPr>
            </w:pPr>
            <w:r>
              <w:rPr>
                <w:spacing w:val="-5"/>
                <w:sz w:val="20"/>
              </w:rPr>
              <w:t>100</w:t>
            </w:r>
          </w:p>
        </w:tc>
        <w:tc>
          <w:tcPr>
            <w:tcW w:w="986" w:type="dxa"/>
          </w:tcPr>
          <w:p>
            <w:pPr>
              <w:pStyle w:val="TableParagraph"/>
              <w:ind w:left="19"/>
              <w:rPr>
                <w:sz w:val="20"/>
              </w:rPr>
            </w:pPr>
            <w:r>
              <w:rPr>
                <w:spacing w:val="-5"/>
                <w:sz w:val="20"/>
              </w:rPr>
              <w:t>100</w:t>
            </w:r>
          </w:p>
        </w:tc>
      </w:tr>
      <w:tr>
        <w:trPr>
          <w:trHeight w:val="229" w:hRule="atLeast"/>
        </w:trPr>
        <w:tc>
          <w:tcPr>
            <w:tcW w:w="922" w:type="dxa"/>
          </w:tcPr>
          <w:p>
            <w:pPr>
              <w:pStyle w:val="TableParagraph"/>
              <w:ind w:left="14" w:right="3"/>
              <w:rPr>
                <w:sz w:val="20"/>
              </w:rPr>
            </w:pPr>
            <w:r>
              <w:rPr>
                <w:sz w:val="20"/>
              </w:rPr>
              <w:t>E.c/p</w:t>
            </w:r>
            <w:r>
              <w:rPr>
                <w:spacing w:val="-6"/>
                <w:sz w:val="20"/>
              </w:rPr>
              <w:t> </w:t>
            </w:r>
            <w:r>
              <w:rPr>
                <w:spacing w:val="-10"/>
                <w:sz w:val="20"/>
              </w:rPr>
              <w:t>*</w:t>
            </w:r>
          </w:p>
        </w:tc>
        <w:tc>
          <w:tcPr>
            <w:tcW w:w="924" w:type="dxa"/>
          </w:tcPr>
          <w:p>
            <w:pPr>
              <w:pStyle w:val="TableParagraph"/>
              <w:ind w:left="11" w:right="1"/>
              <w:rPr>
                <w:sz w:val="20"/>
              </w:rPr>
            </w:pPr>
            <w:r>
              <w:rPr>
                <w:spacing w:val="-5"/>
                <w:sz w:val="20"/>
              </w:rPr>
              <w:t>50%</w:t>
            </w:r>
          </w:p>
        </w:tc>
        <w:tc>
          <w:tcPr>
            <w:tcW w:w="638" w:type="dxa"/>
          </w:tcPr>
          <w:p>
            <w:pPr>
              <w:pStyle w:val="TableParagraph"/>
              <w:ind w:left="18" w:right="9"/>
              <w:rPr>
                <w:sz w:val="20"/>
              </w:rPr>
            </w:pPr>
            <w:r>
              <w:rPr>
                <w:spacing w:val="-5"/>
                <w:sz w:val="20"/>
              </w:rPr>
              <w:t>57</w:t>
            </w:r>
          </w:p>
        </w:tc>
        <w:tc>
          <w:tcPr>
            <w:tcW w:w="636" w:type="dxa"/>
          </w:tcPr>
          <w:p>
            <w:pPr>
              <w:pStyle w:val="TableParagraph"/>
              <w:ind w:left="15" w:right="7"/>
              <w:rPr>
                <w:sz w:val="20"/>
              </w:rPr>
            </w:pPr>
            <w:r>
              <w:rPr>
                <w:spacing w:val="-5"/>
                <w:sz w:val="20"/>
              </w:rPr>
              <w:t>62</w:t>
            </w:r>
          </w:p>
        </w:tc>
        <w:tc>
          <w:tcPr>
            <w:tcW w:w="638" w:type="dxa"/>
          </w:tcPr>
          <w:p>
            <w:pPr>
              <w:pStyle w:val="TableParagraph"/>
              <w:ind w:left="18" w:right="7"/>
              <w:rPr>
                <w:sz w:val="20"/>
              </w:rPr>
            </w:pPr>
            <w:r>
              <w:rPr>
                <w:spacing w:val="-5"/>
                <w:sz w:val="20"/>
              </w:rPr>
              <w:t>67</w:t>
            </w:r>
          </w:p>
        </w:tc>
        <w:tc>
          <w:tcPr>
            <w:tcW w:w="638" w:type="dxa"/>
          </w:tcPr>
          <w:p>
            <w:pPr>
              <w:pStyle w:val="TableParagraph"/>
              <w:ind w:left="18" w:right="7"/>
              <w:rPr>
                <w:sz w:val="20"/>
              </w:rPr>
            </w:pPr>
            <w:r>
              <w:rPr>
                <w:spacing w:val="-5"/>
                <w:sz w:val="20"/>
              </w:rPr>
              <w:t>75</w:t>
            </w:r>
          </w:p>
        </w:tc>
        <w:tc>
          <w:tcPr>
            <w:tcW w:w="638" w:type="dxa"/>
          </w:tcPr>
          <w:p>
            <w:pPr>
              <w:pStyle w:val="TableParagraph"/>
              <w:ind w:left="18" w:right="6"/>
              <w:rPr>
                <w:sz w:val="20"/>
              </w:rPr>
            </w:pPr>
            <w:r>
              <w:rPr>
                <w:spacing w:val="-5"/>
                <w:sz w:val="20"/>
              </w:rPr>
              <w:t>85</w:t>
            </w:r>
          </w:p>
        </w:tc>
        <w:tc>
          <w:tcPr>
            <w:tcW w:w="638" w:type="dxa"/>
          </w:tcPr>
          <w:p>
            <w:pPr>
              <w:pStyle w:val="TableParagraph"/>
              <w:ind w:left="18" w:right="4"/>
              <w:rPr>
                <w:sz w:val="20"/>
              </w:rPr>
            </w:pPr>
            <w:r>
              <w:rPr>
                <w:spacing w:val="-5"/>
                <w:sz w:val="20"/>
              </w:rPr>
              <w:t>95</w:t>
            </w:r>
          </w:p>
        </w:tc>
        <w:tc>
          <w:tcPr>
            <w:tcW w:w="638" w:type="dxa"/>
          </w:tcPr>
          <w:p>
            <w:pPr>
              <w:pStyle w:val="TableParagraph"/>
              <w:ind w:left="18" w:right="3"/>
              <w:rPr>
                <w:sz w:val="20"/>
              </w:rPr>
            </w:pPr>
            <w:r>
              <w:rPr>
                <w:spacing w:val="-5"/>
                <w:sz w:val="20"/>
              </w:rPr>
              <w:t>100</w:t>
            </w:r>
          </w:p>
        </w:tc>
        <w:tc>
          <w:tcPr>
            <w:tcW w:w="636" w:type="dxa"/>
          </w:tcPr>
          <w:p>
            <w:pPr>
              <w:pStyle w:val="TableParagraph"/>
              <w:ind w:left="15" w:right="2"/>
              <w:rPr>
                <w:sz w:val="20"/>
              </w:rPr>
            </w:pPr>
            <w:r>
              <w:rPr>
                <w:spacing w:val="-5"/>
                <w:sz w:val="20"/>
              </w:rPr>
              <w:t>100</w:t>
            </w:r>
          </w:p>
        </w:tc>
        <w:tc>
          <w:tcPr>
            <w:tcW w:w="638" w:type="dxa"/>
          </w:tcPr>
          <w:p>
            <w:pPr>
              <w:pStyle w:val="TableParagraph"/>
              <w:ind w:left="18" w:right="3"/>
              <w:rPr>
                <w:sz w:val="20"/>
              </w:rPr>
            </w:pPr>
            <w:r>
              <w:rPr>
                <w:spacing w:val="-5"/>
                <w:sz w:val="20"/>
              </w:rPr>
              <w:t>100</w:t>
            </w:r>
          </w:p>
        </w:tc>
        <w:tc>
          <w:tcPr>
            <w:tcW w:w="975" w:type="dxa"/>
          </w:tcPr>
          <w:p>
            <w:pPr>
              <w:pStyle w:val="TableParagraph"/>
              <w:ind w:left="16"/>
              <w:rPr>
                <w:sz w:val="20"/>
              </w:rPr>
            </w:pPr>
            <w:r>
              <w:rPr>
                <w:spacing w:val="-5"/>
                <w:sz w:val="20"/>
              </w:rPr>
              <w:t>100</w:t>
            </w:r>
          </w:p>
        </w:tc>
        <w:tc>
          <w:tcPr>
            <w:tcW w:w="986" w:type="dxa"/>
          </w:tcPr>
          <w:p>
            <w:pPr>
              <w:pStyle w:val="TableParagraph"/>
              <w:ind w:left="19"/>
              <w:rPr>
                <w:sz w:val="20"/>
              </w:rPr>
            </w:pPr>
            <w:r>
              <w:rPr>
                <w:spacing w:val="-5"/>
                <w:sz w:val="20"/>
              </w:rPr>
              <w:t>100</w:t>
            </w:r>
          </w:p>
        </w:tc>
      </w:tr>
      <w:tr>
        <w:trPr>
          <w:trHeight w:val="232" w:hRule="atLeast"/>
        </w:trPr>
        <w:tc>
          <w:tcPr>
            <w:tcW w:w="922" w:type="dxa"/>
          </w:tcPr>
          <w:p>
            <w:pPr>
              <w:pStyle w:val="TableParagraph"/>
              <w:spacing w:line="212" w:lineRule="exact"/>
              <w:ind w:left="14" w:right="5"/>
              <w:rPr>
                <w:sz w:val="20"/>
              </w:rPr>
            </w:pPr>
            <w:r>
              <w:rPr>
                <w:sz w:val="20"/>
              </w:rPr>
              <w:t>E.p/i</w:t>
            </w:r>
            <w:r>
              <w:rPr>
                <w:spacing w:val="-8"/>
                <w:sz w:val="20"/>
              </w:rPr>
              <w:t> </w:t>
            </w:r>
            <w:r>
              <w:rPr>
                <w:spacing w:val="-7"/>
                <w:sz w:val="20"/>
              </w:rPr>
              <w:t>**</w:t>
            </w:r>
          </w:p>
        </w:tc>
        <w:tc>
          <w:tcPr>
            <w:tcW w:w="924" w:type="dxa"/>
          </w:tcPr>
          <w:p>
            <w:pPr>
              <w:pStyle w:val="TableParagraph"/>
              <w:spacing w:line="212" w:lineRule="exact"/>
              <w:ind w:left="11" w:right="1"/>
              <w:rPr>
                <w:sz w:val="20"/>
              </w:rPr>
            </w:pPr>
            <w:r>
              <w:rPr>
                <w:spacing w:val="-5"/>
                <w:sz w:val="20"/>
              </w:rPr>
              <w:t>60%</w:t>
            </w:r>
          </w:p>
        </w:tc>
        <w:tc>
          <w:tcPr>
            <w:tcW w:w="638" w:type="dxa"/>
          </w:tcPr>
          <w:p>
            <w:pPr>
              <w:pStyle w:val="TableParagraph"/>
              <w:spacing w:line="212" w:lineRule="exact"/>
              <w:ind w:left="18" w:right="9"/>
              <w:rPr>
                <w:sz w:val="20"/>
              </w:rPr>
            </w:pPr>
            <w:r>
              <w:rPr>
                <w:spacing w:val="-5"/>
                <w:sz w:val="20"/>
              </w:rPr>
              <w:t>67</w:t>
            </w:r>
          </w:p>
        </w:tc>
        <w:tc>
          <w:tcPr>
            <w:tcW w:w="636" w:type="dxa"/>
          </w:tcPr>
          <w:p>
            <w:pPr>
              <w:pStyle w:val="TableParagraph"/>
              <w:spacing w:line="212" w:lineRule="exact"/>
              <w:ind w:left="15" w:right="7"/>
              <w:rPr>
                <w:sz w:val="20"/>
              </w:rPr>
            </w:pPr>
            <w:r>
              <w:rPr>
                <w:spacing w:val="-5"/>
                <w:sz w:val="20"/>
              </w:rPr>
              <w:t>72</w:t>
            </w:r>
          </w:p>
        </w:tc>
        <w:tc>
          <w:tcPr>
            <w:tcW w:w="638" w:type="dxa"/>
          </w:tcPr>
          <w:p>
            <w:pPr>
              <w:pStyle w:val="TableParagraph"/>
              <w:spacing w:line="212" w:lineRule="exact"/>
              <w:ind w:left="18" w:right="7"/>
              <w:rPr>
                <w:sz w:val="20"/>
              </w:rPr>
            </w:pPr>
            <w:r>
              <w:rPr>
                <w:spacing w:val="-5"/>
                <w:sz w:val="20"/>
              </w:rPr>
              <w:t>77</w:t>
            </w:r>
          </w:p>
        </w:tc>
        <w:tc>
          <w:tcPr>
            <w:tcW w:w="638" w:type="dxa"/>
          </w:tcPr>
          <w:p>
            <w:pPr>
              <w:pStyle w:val="TableParagraph"/>
              <w:spacing w:line="212" w:lineRule="exact"/>
              <w:ind w:left="18" w:right="7"/>
              <w:rPr>
                <w:sz w:val="20"/>
              </w:rPr>
            </w:pPr>
            <w:r>
              <w:rPr>
                <w:spacing w:val="-5"/>
                <w:sz w:val="20"/>
              </w:rPr>
              <w:t>82</w:t>
            </w:r>
          </w:p>
        </w:tc>
        <w:tc>
          <w:tcPr>
            <w:tcW w:w="638" w:type="dxa"/>
          </w:tcPr>
          <w:p>
            <w:pPr>
              <w:pStyle w:val="TableParagraph"/>
              <w:spacing w:line="212" w:lineRule="exact"/>
              <w:ind w:left="18" w:right="6"/>
              <w:rPr>
                <w:sz w:val="20"/>
              </w:rPr>
            </w:pPr>
            <w:r>
              <w:rPr>
                <w:spacing w:val="-5"/>
                <w:sz w:val="20"/>
              </w:rPr>
              <w:t>90</w:t>
            </w:r>
          </w:p>
        </w:tc>
        <w:tc>
          <w:tcPr>
            <w:tcW w:w="638" w:type="dxa"/>
          </w:tcPr>
          <w:p>
            <w:pPr>
              <w:pStyle w:val="TableParagraph"/>
              <w:spacing w:line="212" w:lineRule="exact"/>
              <w:ind w:left="18" w:right="4"/>
              <w:rPr>
                <w:sz w:val="20"/>
              </w:rPr>
            </w:pPr>
            <w:r>
              <w:rPr>
                <w:spacing w:val="-5"/>
                <w:sz w:val="20"/>
              </w:rPr>
              <w:t>98</w:t>
            </w:r>
          </w:p>
        </w:tc>
        <w:tc>
          <w:tcPr>
            <w:tcW w:w="638" w:type="dxa"/>
          </w:tcPr>
          <w:p>
            <w:pPr>
              <w:pStyle w:val="TableParagraph"/>
              <w:spacing w:line="212" w:lineRule="exact"/>
              <w:ind w:left="18" w:right="3"/>
              <w:rPr>
                <w:sz w:val="20"/>
              </w:rPr>
            </w:pPr>
            <w:r>
              <w:rPr>
                <w:spacing w:val="-5"/>
                <w:sz w:val="20"/>
              </w:rPr>
              <w:t>100</w:t>
            </w:r>
          </w:p>
        </w:tc>
        <w:tc>
          <w:tcPr>
            <w:tcW w:w="636" w:type="dxa"/>
          </w:tcPr>
          <w:p>
            <w:pPr>
              <w:pStyle w:val="TableParagraph"/>
              <w:spacing w:line="212" w:lineRule="exact"/>
              <w:ind w:left="15" w:right="2"/>
              <w:rPr>
                <w:sz w:val="20"/>
              </w:rPr>
            </w:pPr>
            <w:r>
              <w:rPr>
                <w:spacing w:val="-5"/>
                <w:sz w:val="20"/>
              </w:rPr>
              <w:t>100</w:t>
            </w:r>
          </w:p>
        </w:tc>
        <w:tc>
          <w:tcPr>
            <w:tcW w:w="638" w:type="dxa"/>
          </w:tcPr>
          <w:p>
            <w:pPr>
              <w:pStyle w:val="TableParagraph"/>
              <w:spacing w:line="212" w:lineRule="exact"/>
              <w:ind w:left="18" w:right="3"/>
              <w:rPr>
                <w:sz w:val="20"/>
              </w:rPr>
            </w:pPr>
            <w:r>
              <w:rPr>
                <w:spacing w:val="-5"/>
                <w:sz w:val="20"/>
              </w:rPr>
              <w:t>100</w:t>
            </w:r>
          </w:p>
        </w:tc>
        <w:tc>
          <w:tcPr>
            <w:tcW w:w="975" w:type="dxa"/>
          </w:tcPr>
          <w:p>
            <w:pPr>
              <w:pStyle w:val="TableParagraph"/>
              <w:spacing w:line="212" w:lineRule="exact"/>
              <w:ind w:left="16"/>
              <w:rPr>
                <w:sz w:val="20"/>
              </w:rPr>
            </w:pPr>
            <w:r>
              <w:rPr>
                <w:spacing w:val="-5"/>
                <w:sz w:val="20"/>
              </w:rPr>
              <w:t>100</w:t>
            </w:r>
          </w:p>
        </w:tc>
        <w:tc>
          <w:tcPr>
            <w:tcW w:w="986" w:type="dxa"/>
          </w:tcPr>
          <w:p>
            <w:pPr>
              <w:pStyle w:val="TableParagraph"/>
              <w:spacing w:line="212" w:lineRule="exact"/>
              <w:ind w:left="19"/>
              <w:rPr>
                <w:sz w:val="20"/>
              </w:rPr>
            </w:pPr>
            <w:r>
              <w:rPr>
                <w:spacing w:val="-5"/>
                <w:sz w:val="20"/>
              </w:rPr>
              <w:t>100</w:t>
            </w:r>
          </w:p>
        </w:tc>
      </w:tr>
    </w:tbl>
    <w:p>
      <w:pPr>
        <w:pStyle w:val="BodyText"/>
        <w:spacing w:before="6"/>
        <w:ind w:left="626"/>
      </w:pPr>
      <w:r>
        <w:rPr/>
        <w:t>*</w:t>
      </w:r>
      <w:r>
        <w:rPr>
          <w:spacing w:val="-7"/>
        </w:rPr>
        <w:t> </w:t>
      </w:r>
      <w:r>
        <w:rPr/>
        <w:t>Enucleación</w:t>
      </w:r>
      <w:r>
        <w:rPr>
          <w:spacing w:val="-7"/>
        </w:rPr>
        <w:t> </w:t>
      </w:r>
      <w:r>
        <w:rPr/>
        <w:t>con</w:t>
      </w:r>
      <w:r>
        <w:rPr>
          <w:spacing w:val="-6"/>
        </w:rPr>
        <w:t> </w:t>
      </w:r>
      <w:r>
        <w:rPr>
          <w:spacing w:val="-2"/>
        </w:rPr>
        <w:t>prótesis.</w:t>
      </w:r>
    </w:p>
    <w:p>
      <w:pPr>
        <w:pStyle w:val="BodyText"/>
        <w:spacing w:before="1"/>
        <w:ind w:left="626"/>
      </w:pPr>
      <w:r>
        <w:rPr/>
        <w:t>**</w:t>
      </w:r>
      <w:r>
        <w:rPr>
          <w:spacing w:val="-8"/>
        </w:rPr>
        <w:t> </w:t>
      </w:r>
      <w:r>
        <w:rPr/>
        <w:t>Enucleación,</w:t>
      </w:r>
      <w:r>
        <w:rPr>
          <w:spacing w:val="-7"/>
        </w:rPr>
        <w:t> </w:t>
      </w:r>
      <w:r>
        <w:rPr/>
        <w:t>prótesis</w:t>
      </w:r>
      <w:r>
        <w:rPr>
          <w:spacing w:val="-8"/>
        </w:rPr>
        <w:t> </w:t>
      </w:r>
      <w:r>
        <w:rPr>
          <w:spacing w:val="-2"/>
        </w:rPr>
        <w:t>imposible.</w:t>
      </w:r>
    </w:p>
    <w:p>
      <w:pPr>
        <w:pStyle w:val="BodyText"/>
        <w:spacing w:before="1"/>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8484"/>
      </w:tblGrid>
      <w:tr>
        <w:trPr>
          <w:trHeight w:val="691" w:hRule="atLeast"/>
        </w:trPr>
        <w:tc>
          <w:tcPr>
            <w:tcW w:w="1066" w:type="dxa"/>
          </w:tcPr>
          <w:p>
            <w:pPr>
              <w:pStyle w:val="TableParagraph"/>
              <w:spacing w:line="240" w:lineRule="auto"/>
              <w:ind w:left="0"/>
              <w:jc w:val="left"/>
              <w:rPr>
                <w:sz w:val="20"/>
              </w:rPr>
            </w:pPr>
          </w:p>
          <w:p>
            <w:pPr>
              <w:pStyle w:val="TableParagraph"/>
              <w:spacing w:line="240" w:lineRule="auto"/>
              <w:ind w:left="9"/>
              <w:rPr>
                <w:sz w:val="20"/>
              </w:rPr>
            </w:pPr>
            <w:r>
              <w:rPr>
                <w:spacing w:val="-5"/>
                <w:sz w:val="20"/>
              </w:rPr>
              <w:t>348</w:t>
            </w:r>
          </w:p>
        </w:tc>
        <w:tc>
          <w:tcPr>
            <w:tcW w:w="8484" w:type="dxa"/>
          </w:tcPr>
          <w:p>
            <w:pPr>
              <w:pStyle w:val="TableParagraph"/>
              <w:spacing w:line="229" w:lineRule="exact"/>
              <w:jc w:val="left"/>
              <w:rPr>
                <w:sz w:val="20"/>
              </w:rPr>
            </w:pPr>
            <w:r>
              <w:rPr>
                <w:sz w:val="20"/>
              </w:rPr>
              <w:t>Pérdida</w:t>
            </w:r>
            <w:r>
              <w:rPr>
                <w:spacing w:val="20"/>
                <w:sz w:val="20"/>
              </w:rPr>
              <w:t> </w:t>
            </w:r>
            <w:r>
              <w:rPr>
                <w:sz w:val="20"/>
              </w:rPr>
              <w:t>o</w:t>
            </w:r>
            <w:r>
              <w:rPr>
                <w:spacing w:val="20"/>
                <w:sz w:val="20"/>
              </w:rPr>
              <w:t> </w:t>
            </w:r>
            <w:r>
              <w:rPr>
                <w:sz w:val="20"/>
              </w:rPr>
              <w:t>disminución</w:t>
            </w:r>
            <w:r>
              <w:rPr>
                <w:spacing w:val="21"/>
                <w:sz w:val="20"/>
              </w:rPr>
              <w:t> </w:t>
            </w:r>
            <w:r>
              <w:rPr>
                <w:sz w:val="20"/>
              </w:rPr>
              <w:t>permanente</w:t>
            </w:r>
            <w:r>
              <w:rPr>
                <w:spacing w:val="20"/>
                <w:sz w:val="20"/>
              </w:rPr>
              <w:t> </w:t>
            </w:r>
            <w:r>
              <w:rPr>
                <w:sz w:val="20"/>
              </w:rPr>
              <w:t>de</w:t>
            </w:r>
            <w:r>
              <w:rPr>
                <w:spacing w:val="21"/>
                <w:sz w:val="20"/>
              </w:rPr>
              <w:t> </w:t>
            </w:r>
            <w:r>
              <w:rPr>
                <w:sz w:val="20"/>
              </w:rPr>
              <w:t>la</w:t>
            </w:r>
            <w:r>
              <w:rPr>
                <w:spacing w:val="20"/>
                <w:sz w:val="20"/>
              </w:rPr>
              <w:t> </w:t>
            </w:r>
            <w:r>
              <w:rPr>
                <w:sz w:val="20"/>
              </w:rPr>
              <w:t>agudeza</w:t>
            </w:r>
            <w:r>
              <w:rPr>
                <w:spacing w:val="21"/>
                <w:sz w:val="20"/>
              </w:rPr>
              <w:t> </w:t>
            </w:r>
            <w:r>
              <w:rPr>
                <w:sz w:val="20"/>
              </w:rPr>
              <w:t>visual</w:t>
            </w:r>
            <w:r>
              <w:rPr>
                <w:spacing w:val="20"/>
                <w:sz w:val="20"/>
              </w:rPr>
              <w:t> </w:t>
            </w:r>
            <w:r>
              <w:rPr>
                <w:sz w:val="20"/>
              </w:rPr>
              <w:t>en</w:t>
            </w:r>
            <w:r>
              <w:rPr>
                <w:spacing w:val="21"/>
                <w:sz w:val="20"/>
              </w:rPr>
              <w:t> </w:t>
            </w:r>
            <w:r>
              <w:rPr>
                <w:sz w:val="20"/>
              </w:rPr>
              <w:t>sujetos</w:t>
            </w:r>
            <w:r>
              <w:rPr>
                <w:spacing w:val="21"/>
                <w:sz w:val="20"/>
              </w:rPr>
              <w:t> </w:t>
            </w:r>
            <w:r>
              <w:rPr>
                <w:sz w:val="20"/>
              </w:rPr>
              <w:t>monóculos.</w:t>
            </w:r>
            <w:r>
              <w:rPr>
                <w:spacing w:val="21"/>
                <w:sz w:val="20"/>
              </w:rPr>
              <w:t> </w:t>
            </w:r>
            <w:r>
              <w:rPr>
                <w:sz w:val="20"/>
              </w:rPr>
              <w:t>Ceguera</w:t>
            </w:r>
            <w:r>
              <w:rPr>
                <w:spacing w:val="20"/>
                <w:sz w:val="20"/>
              </w:rPr>
              <w:t> </w:t>
            </w:r>
            <w:r>
              <w:rPr>
                <w:spacing w:val="-10"/>
                <w:sz w:val="20"/>
              </w:rPr>
              <w:t>o</w:t>
            </w:r>
          </w:p>
          <w:p>
            <w:pPr>
              <w:pStyle w:val="TableParagraph"/>
              <w:spacing w:line="230" w:lineRule="atLeast"/>
              <w:ind w:right="83"/>
              <w:jc w:val="left"/>
              <w:rPr>
                <w:sz w:val="20"/>
              </w:rPr>
            </w:pPr>
            <w:r>
              <w:rPr>
                <w:sz w:val="20"/>
              </w:rPr>
              <w:t>visión inferior a 0.05 en el ojo contralateral (visión restante con corrección óptica). Ver Tabla</w:t>
            </w:r>
            <w:r>
              <w:rPr>
                <w:spacing w:val="40"/>
                <w:sz w:val="20"/>
              </w:rPr>
              <w:t> </w:t>
            </w:r>
            <w:r>
              <w:rPr>
                <w:spacing w:val="-4"/>
                <w:sz w:val="20"/>
              </w:rPr>
              <w:t>II.</w:t>
            </w:r>
          </w:p>
        </w:tc>
      </w:tr>
    </w:tbl>
    <w:p>
      <w:pPr>
        <w:pStyle w:val="BodyText"/>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774"/>
        <w:gridCol w:w="4774"/>
      </w:tblGrid>
      <w:tr>
        <w:trPr>
          <w:trHeight w:val="690" w:hRule="atLeast"/>
        </w:trPr>
        <w:tc>
          <w:tcPr>
            <w:tcW w:w="9548" w:type="dxa"/>
            <w:gridSpan w:val="2"/>
            <w:shd w:val="clear" w:color="auto" w:fill="C0C0C0"/>
          </w:tcPr>
          <w:p>
            <w:pPr>
              <w:pStyle w:val="TableParagraph"/>
              <w:spacing w:line="227" w:lineRule="exact"/>
              <w:ind w:left="13" w:right="1"/>
              <w:rPr>
                <w:rFonts w:ascii="Arial"/>
                <w:b/>
                <w:sz w:val="20"/>
              </w:rPr>
            </w:pPr>
            <w:r>
              <w:rPr>
                <w:rFonts w:ascii="Arial"/>
                <w:b/>
                <w:sz w:val="20"/>
              </w:rPr>
              <w:t>Tabla</w:t>
            </w:r>
            <w:r>
              <w:rPr>
                <w:rFonts w:ascii="Arial"/>
                <w:b/>
                <w:spacing w:val="-8"/>
                <w:sz w:val="20"/>
              </w:rPr>
              <w:t> </w:t>
            </w:r>
            <w:r>
              <w:rPr>
                <w:rFonts w:ascii="Arial"/>
                <w:b/>
                <w:spacing w:val="-5"/>
                <w:sz w:val="20"/>
              </w:rPr>
              <w:t>II</w:t>
            </w:r>
          </w:p>
          <w:p>
            <w:pPr>
              <w:pStyle w:val="TableParagraph"/>
              <w:spacing w:line="240" w:lineRule="auto"/>
              <w:ind w:left="0"/>
              <w:jc w:val="left"/>
              <w:rPr>
                <w:sz w:val="20"/>
              </w:rPr>
            </w:pPr>
          </w:p>
          <w:p>
            <w:pPr>
              <w:pStyle w:val="TableParagraph"/>
              <w:spacing w:line="213" w:lineRule="exact" w:before="1"/>
              <w:ind w:left="13" w:right="8"/>
              <w:rPr>
                <w:rFonts w:ascii="Arial" w:hAnsi="Arial"/>
                <w:b/>
                <w:sz w:val="20"/>
              </w:rPr>
            </w:pPr>
            <w:r>
              <w:rPr>
                <w:rFonts w:ascii="Arial" w:hAnsi="Arial"/>
                <w:b/>
                <w:sz w:val="20"/>
              </w:rPr>
              <w:t>Pérdida</w:t>
            </w:r>
            <w:r>
              <w:rPr>
                <w:rFonts w:ascii="Arial" w:hAnsi="Arial"/>
                <w:b/>
                <w:spacing w:val="-7"/>
                <w:sz w:val="20"/>
              </w:rPr>
              <w:t> </w:t>
            </w:r>
            <w:r>
              <w:rPr>
                <w:rFonts w:ascii="Arial" w:hAnsi="Arial"/>
                <w:b/>
                <w:sz w:val="20"/>
              </w:rPr>
              <w:t>o</w:t>
            </w:r>
            <w:r>
              <w:rPr>
                <w:rFonts w:ascii="Arial" w:hAnsi="Arial"/>
                <w:b/>
                <w:spacing w:val="-7"/>
                <w:sz w:val="20"/>
              </w:rPr>
              <w:t> </w:t>
            </w:r>
            <w:r>
              <w:rPr>
                <w:rFonts w:ascii="Arial" w:hAnsi="Arial"/>
                <w:b/>
                <w:sz w:val="20"/>
              </w:rPr>
              <w:t>disminución</w:t>
            </w:r>
            <w:r>
              <w:rPr>
                <w:rFonts w:ascii="Arial" w:hAnsi="Arial"/>
                <w:b/>
                <w:spacing w:val="-6"/>
                <w:sz w:val="20"/>
              </w:rPr>
              <w:t> </w:t>
            </w:r>
            <w:r>
              <w:rPr>
                <w:rFonts w:ascii="Arial" w:hAnsi="Arial"/>
                <w:b/>
                <w:sz w:val="20"/>
              </w:rPr>
              <w:t>permanente</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agudeza</w:t>
            </w:r>
            <w:r>
              <w:rPr>
                <w:rFonts w:ascii="Arial" w:hAnsi="Arial"/>
                <w:b/>
                <w:spacing w:val="-6"/>
                <w:sz w:val="20"/>
              </w:rPr>
              <w:t> </w:t>
            </w:r>
            <w:r>
              <w:rPr>
                <w:rFonts w:ascii="Arial" w:hAnsi="Arial"/>
                <w:b/>
                <w:sz w:val="20"/>
              </w:rPr>
              <w:t>visual</w:t>
            </w:r>
            <w:r>
              <w:rPr>
                <w:rFonts w:ascii="Arial" w:hAnsi="Arial"/>
                <w:b/>
                <w:spacing w:val="-7"/>
                <w:sz w:val="20"/>
              </w:rPr>
              <w:t> </w:t>
            </w:r>
            <w:r>
              <w:rPr>
                <w:rFonts w:ascii="Arial" w:hAnsi="Arial"/>
                <w:b/>
                <w:sz w:val="20"/>
              </w:rPr>
              <w:t>en</w:t>
            </w:r>
            <w:r>
              <w:rPr>
                <w:rFonts w:ascii="Arial" w:hAnsi="Arial"/>
                <w:b/>
                <w:spacing w:val="-4"/>
                <w:sz w:val="20"/>
              </w:rPr>
              <w:t> </w:t>
            </w:r>
            <w:r>
              <w:rPr>
                <w:rFonts w:ascii="Arial" w:hAnsi="Arial"/>
                <w:b/>
                <w:sz w:val="20"/>
              </w:rPr>
              <w:t>sujetos</w:t>
            </w:r>
            <w:r>
              <w:rPr>
                <w:rFonts w:ascii="Arial" w:hAnsi="Arial"/>
                <w:b/>
                <w:spacing w:val="-5"/>
                <w:sz w:val="20"/>
              </w:rPr>
              <w:t> </w:t>
            </w:r>
            <w:r>
              <w:rPr>
                <w:rFonts w:ascii="Arial" w:hAnsi="Arial"/>
                <w:b/>
                <w:spacing w:val="-2"/>
                <w:sz w:val="20"/>
              </w:rPr>
              <w:t>monóculos</w:t>
            </w:r>
          </w:p>
        </w:tc>
      </w:tr>
      <w:tr>
        <w:trPr>
          <w:trHeight w:val="457" w:hRule="atLeast"/>
        </w:trPr>
        <w:tc>
          <w:tcPr>
            <w:tcW w:w="4774" w:type="dxa"/>
            <w:shd w:val="clear" w:color="auto" w:fill="C0C0C0"/>
          </w:tcPr>
          <w:p>
            <w:pPr>
              <w:pStyle w:val="TableParagraph"/>
              <w:spacing w:line="240" w:lineRule="auto" w:before="109"/>
              <w:ind w:left="12" w:right="2"/>
              <w:rPr>
                <w:rFonts w:ascii="Arial"/>
                <w:b/>
                <w:sz w:val="20"/>
              </w:rPr>
            </w:pPr>
            <w:r>
              <w:rPr>
                <w:rFonts w:ascii="Arial"/>
                <w:b/>
                <w:sz w:val="20"/>
              </w:rPr>
              <w:t>Agudeza</w:t>
            </w:r>
            <w:r>
              <w:rPr>
                <w:rFonts w:ascii="Arial"/>
                <w:b/>
                <w:spacing w:val="-12"/>
                <w:sz w:val="20"/>
              </w:rPr>
              <w:t> </w:t>
            </w:r>
            <w:r>
              <w:rPr>
                <w:rFonts w:ascii="Arial"/>
                <w:b/>
                <w:spacing w:val="-2"/>
                <w:sz w:val="20"/>
              </w:rPr>
              <w:t>visual</w:t>
            </w:r>
          </w:p>
        </w:tc>
        <w:tc>
          <w:tcPr>
            <w:tcW w:w="4774" w:type="dxa"/>
            <w:shd w:val="clear" w:color="auto" w:fill="C0C0C0"/>
          </w:tcPr>
          <w:p>
            <w:pPr>
              <w:pStyle w:val="TableParagraph"/>
              <w:spacing w:line="228" w:lineRule="exact"/>
              <w:ind w:left="2229" w:right="255" w:hanging="1724"/>
              <w:jc w:val="left"/>
              <w:rPr>
                <w:rFonts w:ascii="Arial"/>
                <w:b/>
                <w:sz w:val="20"/>
              </w:rPr>
            </w:pPr>
            <w:r>
              <w:rPr>
                <w:rFonts w:ascii="Arial"/>
                <w:b/>
                <w:sz w:val="20"/>
              </w:rPr>
              <w:t>Incapacidades</w:t>
            </w:r>
            <w:r>
              <w:rPr>
                <w:rFonts w:ascii="Arial"/>
                <w:b/>
                <w:spacing w:val="-12"/>
                <w:sz w:val="20"/>
              </w:rPr>
              <w:t> </w:t>
            </w:r>
            <w:r>
              <w:rPr>
                <w:rFonts w:ascii="Arial"/>
                <w:b/>
                <w:sz w:val="20"/>
              </w:rPr>
              <w:t>en</w:t>
            </w:r>
            <w:r>
              <w:rPr>
                <w:rFonts w:ascii="Arial"/>
                <w:b/>
                <w:spacing w:val="-13"/>
                <w:sz w:val="20"/>
              </w:rPr>
              <w:t> </w:t>
            </w:r>
            <w:r>
              <w:rPr>
                <w:rFonts w:ascii="Arial"/>
                <w:b/>
                <w:sz w:val="20"/>
              </w:rPr>
              <w:t>persona</w:t>
            </w:r>
            <w:r>
              <w:rPr>
                <w:rFonts w:ascii="Arial"/>
                <w:b/>
                <w:spacing w:val="-13"/>
                <w:sz w:val="20"/>
              </w:rPr>
              <w:t> </w:t>
            </w:r>
            <w:r>
              <w:rPr>
                <w:rFonts w:ascii="Arial"/>
                <w:b/>
                <w:sz w:val="20"/>
              </w:rPr>
              <w:t>trabajadoras </w:t>
            </w:r>
            <w:r>
              <w:rPr>
                <w:rFonts w:ascii="Arial"/>
                <w:b/>
                <w:spacing w:val="-4"/>
                <w:sz w:val="20"/>
              </w:rPr>
              <w:t>(%)</w:t>
            </w:r>
          </w:p>
        </w:tc>
      </w:tr>
      <w:tr>
        <w:trPr>
          <w:trHeight w:val="229" w:hRule="atLeast"/>
        </w:trPr>
        <w:tc>
          <w:tcPr>
            <w:tcW w:w="4774" w:type="dxa"/>
          </w:tcPr>
          <w:p>
            <w:pPr>
              <w:pStyle w:val="TableParagraph"/>
              <w:ind w:left="12" w:right="4"/>
              <w:rPr>
                <w:sz w:val="20"/>
              </w:rPr>
            </w:pPr>
            <w:r>
              <w:rPr>
                <w:spacing w:val="-5"/>
                <w:sz w:val="20"/>
              </w:rPr>
              <w:t>0.7</w:t>
            </w:r>
          </w:p>
        </w:tc>
        <w:tc>
          <w:tcPr>
            <w:tcW w:w="4774" w:type="dxa"/>
          </w:tcPr>
          <w:p>
            <w:pPr>
              <w:pStyle w:val="TableParagraph"/>
              <w:ind w:left="12"/>
              <w:rPr>
                <w:sz w:val="20"/>
              </w:rPr>
            </w:pPr>
            <w:r>
              <w:rPr>
                <w:spacing w:val="-5"/>
                <w:sz w:val="20"/>
              </w:rPr>
              <w:t>13</w:t>
            </w:r>
          </w:p>
        </w:tc>
      </w:tr>
      <w:tr>
        <w:trPr>
          <w:trHeight w:val="232" w:hRule="atLeast"/>
        </w:trPr>
        <w:tc>
          <w:tcPr>
            <w:tcW w:w="4774" w:type="dxa"/>
          </w:tcPr>
          <w:p>
            <w:pPr>
              <w:pStyle w:val="TableParagraph"/>
              <w:spacing w:before="1"/>
              <w:ind w:left="12" w:right="4"/>
              <w:rPr>
                <w:sz w:val="20"/>
              </w:rPr>
            </w:pPr>
            <w:r>
              <w:rPr>
                <w:spacing w:val="-5"/>
                <w:sz w:val="20"/>
              </w:rPr>
              <w:t>0.6</w:t>
            </w:r>
          </w:p>
        </w:tc>
        <w:tc>
          <w:tcPr>
            <w:tcW w:w="4774" w:type="dxa"/>
          </w:tcPr>
          <w:p>
            <w:pPr>
              <w:pStyle w:val="TableParagraph"/>
              <w:spacing w:before="1"/>
              <w:ind w:left="12"/>
              <w:rPr>
                <w:sz w:val="20"/>
              </w:rPr>
            </w:pPr>
            <w:r>
              <w:rPr>
                <w:spacing w:val="-5"/>
                <w:sz w:val="20"/>
              </w:rPr>
              <w:t>19</w:t>
            </w:r>
          </w:p>
        </w:tc>
      </w:tr>
    </w:tbl>
    <w:p>
      <w:pPr>
        <w:pStyle w:val="TableParagraph"/>
        <w:spacing w:after="0"/>
        <w:rPr>
          <w:sz w:val="20"/>
        </w:rPr>
        <w:sectPr>
          <w:pgSz w:w="12240" w:h="15840"/>
          <w:pgMar w:header="724" w:footer="712" w:top="1880" w:bottom="900" w:left="1080" w:right="1080"/>
        </w:sectPr>
      </w:pPr>
    </w:p>
    <w:p>
      <w:pPr>
        <w:pStyle w:val="BodyText"/>
        <w:spacing w:before="68"/>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774"/>
        <w:gridCol w:w="4774"/>
      </w:tblGrid>
      <w:tr>
        <w:trPr>
          <w:trHeight w:val="229" w:hRule="atLeast"/>
        </w:trPr>
        <w:tc>
          <w:tcPr>
            <w:tcW w:w="4774" w:type="dxa"/>
          </w:tcPr>
          <w:p>
            <w:pPr>
              <w:pStyle w:val="TableParagraph"/>
              <w:ind w:left="12" w:right="4"/>
              <w:rPr>
                <w:sz w:val="20"/>
              </w:rPr>
            </w:pPr>
            <w:r>
              <w:rPr>
                <w:spacing w:val="-5"/>
                <w:sz w:val="20"/>
              </w:rPr>
              <w:t>0.5</w:t>
            </w:r>
          </w:p>
        </w:tc>
        <w:tc>
          <w:tcPr>
            <w:tcW w:w="4774" w:type="dxa"/>
          </w:tcPr>
          <w:p>
            <w:pPr>
              <w:pStyle w:val="TableParagraph"/>
              <w:ind w:left="12"/>
              <w:rPr>
                <w:sz w:val="20"/>
              </w:rPr>
            </w:pPr>
            <w:r>
              <w:rPr>
                <w:spacing w:val="-5"/>
                <w:sz w:val="20"/>
              </w:rPr>
              <w:t>25</w:t>
            </w:r>
          </w:p>
        </w:tc>
      </w:tr>
      <w:tr>
        <w:trPr>
          <w:trHeight w:val="229" w:hRule="atLeast"/>
        </w:trPr>
        <w:tc>
          <w:tcPr>
            <w:tcW w:w="4774" w:type="dxa"/>
          </w:tcPr>
          <w:p>
            <w:pPr>
              <w:pStyle w:val="TableParagraph"/>
              <w:ind w:left="12" w:right="4"/>
              <w:rPr>
                <w:sz w:val="20"/>
              </w:rPr>
            </w:pPr>
            <w:r>
              <w:rPr>
                <w:spacing w:val="-5"/>
                <w:sz w:val="20"/>
              </w:rPr>
              <w:t>0.4</w:t>
            </w:r>
          </w:p>
        </w:tc>
        <w:tc>
          <w:tcPr>
            <w:tcW w:w="4774" w:type="dxa"/>
          </w:tcPr>
          <w:p>
            <w:pPr>
              <w:pStyle w:val="TableParagraph"/>
              <w:ind w:left="12"/>
              <w:rPr>
                <w:sz w:val="20"/>
              </w:rPr>
            </w:pPr>
            <w:r>
              <w:rPr>
                <w:spacing w:val="-5"/>
                <w:sz w:val="20"/>
              </w:rPr>
              <w:t>31</w:t>
            </w:r>
          </w:p>
        </w:tc>
      </w:tr>
      <w:tr>
        <w:trPr>
          <w:trHeight w:val="229" w:hRule="atLeast"/>
        </w:trPr>
        <w:tc>
          <w:tcPr>
            <w:tcW w:w="4774" w:type="dxa"/>
          </w:tcPr>
          <w:p>
            <w:pPr>
              <w:pStyle w:val="TableParagraph"/>
              <w:ind w:left="12" w:right="4"/>
              <w:rPr>
                <w:sz w:val="20"/>
              </w:rPr>
            </w:pPr>
            <w:r>
              <w:rPr>
                <w:spacing w:val="-5"/>
                <w:sz w:val="20"/>
              </w:rPr>
              <w:t>0.3</w:t>
            </w:r>
          </w:p>
        </w:tc>
        <w:tc>
          <w:tcPr>
            <w:tcW w:w="4774" w:type="dxa"/>
          </w:tcPr>
          <w:p>
            <w:pPr>
              <w:pStyle w:val="TableParagraph"/>
              <w:ind w:left="12"/>
              <w:rPr>
                <w:sz w:val="20"/>
              </w:rPr>
            </w:pPr>
            <w:r>
              <w:rPr>
                <w:spacing w:val="-5"/>
                <w:sz w:val="20"/>
              </w:rPr>
              <w:t>50</w:t>
            </w:r>
          </w:p>
        </w:tc>
      </w:tr>
      <w:tr>
        <w:trPr>
          <w:trHeight w:val="229" w:hRule="atLeast"/>
        </w:trPr>
        <w:tc>
          <w:tcPr>
            <w:tcW w:w="4774" w:type="dxa"/>
          </w:tcPr>
          <w:p>
            <w:pPr>
              <w:pStyle w:val="TableParagraph"/>
              <w:ind w:left="12" w:right="4"/>
              <w:rPr>
                <w:sz w:val="20"/>
              </w:rPr>
            </w:pPr>
            <w:r>
              <w:rPr>
                <w:spacing w:val="-5"/>
                <w:sz w:val="20"/>
              </w:rPr>
              <w:t>0.2</w:t>
            </w:r>
          </w:p>
        </w:tc>
        <w:tc>
          <w:tcPr>
            <w:tcW w:w="4774" w:type="dxa"/>
          </w:tcPr>
          <w:p>
            <w:pPr>
              <w:pStyle w:val="TableParagraph"/>
              <w:ind w:left="12"/>
              <w:rPr>
                <w:sz w:val="20"/>
              </w:rPr>
            </w:pPr>
            <w:r>
              <w:rPr>
                <w:spacing w:val="-5"/>
                <w:sz w:val="20"/>
              </w:rPr>
              <w:t>70</w:t>
            </w:r>
          </w:p>
        </w:tc>
      </w:tr>
      <w:tr>
        <w:trPr>
          <w:trHeight w:val="229" w:hRule="atLeast"/>
        </w:trPr>
        <w:tc>
          <w:tcPr>
            <w:tcW w:w="4774" w:type="dxa"/>
          </w:tcPr>
          <w:p>
            <w:pPr>
              <w:pStyle w:val="TableParagraph"/>
              <w:ind w:left="12" w:right="4"/>
              <w:rPr>
                <w:sz w:val="20"/>
              </w:rPr>
            </w:pPr>
            <w:r>
              <w:rPr>
                <w:spacing w:val="-5"/>
                <w:sz w:val="20"/>
              </w:rPr>
              <w:t>0.1</w:t>
            </w:r>
          </w:p>
        </w:tc>
        <w:tc>
          <w:tcPr>
            <w:tcW w:w="4774" w:type="dxa"/>
          </w:tcPr>
          <w:p>
            <w:pPr>
              <w:pStyle w:val="TableParagraph"/>
              <w:ind w:left="12"/>
              <w:rPr>
                <w:sz w:val="20"/>
              </w:rPr>
            </w:pPr>
            <w:r>
              <w:rPr>
                <w:spacing w:val="-5"/>
                <w:sz w:val="20"/>
              </w:rPr>
              <w:t>90</w:t>
            </w:r>
          </w:p>
        </w:tc>
      </w:tr>
      <w:tr>
        <w:trPr>
          <w:trHeight w:val="229" w:hRule="atLeast"/>
        </w:trPr>
        <w:tc>
          <w:tcPr>
            <w:tcW w:w="4774" w:type="dxa"/>
          </w:tcPr>
          <w:p>
            <w:pPr>
              <w:pStyle w:val="TableParagraph"/>
              <w:ind w:left="12" w:right="4"/>
              <w:rPr>
                <w:sz w:val="20"/>
              </w:rPr>
            </w:pPr>
            <w:r>
              <w:rPr>
                <w:spacing w:val="-4"/>
                <w:sz w:val="20"/>
              </w:rPr>
              <w:t>0.05</w:t>
            </w:r>
          </w:p>
        </w:tc>
        <w:tc>
          <w:tcPr>
            <w:tcW w:w="4774" w:type="dxa"/>
          </w:tcPr>
          <w:p>
            <w:pPr>
              <w:pStyle w:val="TableParagraph"/>
              <w:ind w:left="12"/>
              <w:rPr>
                <w:sz w:val="20"/>
              </w:rPr>
            </w:pPr>
            <w:r>
              <w:rPr>
                <w:spacing w:val="-5"/>
                <w:sz w:val="20"/>
              </w:rPr>
              <w:t>100</w:t>
            </w:r>
          </w:p>
        </w:tc>
      </w:tr>
      <w:tr>
        <w:trPr>
          <w:trHeight w:val="229" w:hRule="atLeast"/>
        </w:trPr>
        <w:tc>
          <w:tcPr>
            <w:tcW w:w="4774" w:type="dxa"/>
          </w:tcPr>
          <w:p>
            <w:pPr>
              <w:pStyle w:val="TableParagraph"/>
              <w:ind w:left="12" w:right="1"/>
              <w:rPr>
                <w:sz w:val="20"/>
              </w:rPr>
            </w:pPr>
            <w:r>
              <w:rPr>
                <w:spacing w:val="-10"/>
                <w:sz w:val="20"/>
              </w:rPr>
              <w:t>0</w:t>
            </w:r>
          </w:p>
        </w:tc>
        <w:tc>
          <w:tcPr>
            <w:tcW w:w="4774" w:type="dxa"/>
          </w:tcPr>
          <w:p>
            <w:pPr>
              <w:pStyle w:val="TableParagraph"/>
              <w:ind w:left="12"/>
              <w:rPr>
                <w:sz w:val="20"/>
              </w:rPr>
            </w:pPr>
            <w:r>
              <w:rPr>
                <w:spacing w:val="-5"/>
                <w:sz w:val="20"/>
              </w:rPr>
              <w:t>100</w:t>
            </w:r>
          </w:p>
        </w:tc>
      </w:tr>
    </w:tbl>
    <w:p>
      <w:pPr>
        <w:pStyle w:val="BodyText"/>
        <w:spacing w:before="5"/>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8484"/>
      </w:tblGrid>
      <w:tr>
        <w:trPr>
          <w:trHeight w:val="690" w:hRule="atLeast"/>
        </w:trPr>
        <w:tc>
          <w:tcPr>
            <w:tcW w:w="1066" w:type="dxa"/>
          </w:tcPr>
          <w:p>
            <w:pPr>
              <w:pStyle w:val="TableParagraph"/>
              <w:spacing w:line="240" w:lineRule="auto" w:before="229"/>
              <w:ind w:left="9"/>
              <w:rPr>
                <w:sz w:val="20"/>
              </w:rPr>
            </w:pPr>
            <w:r>
              <w:rPr>
                <w:spacing w:val="-5"/>
                <w:sz w:val="20"/>
              </w:rPr>
              <w:t>349</w:t>
            </w:r>
          </w:p>
        </w:tc>
        <w:tc>
          <w:tcPr>
            <w:tcW w:w="8484" w:type="dxa"/>
          </w:tcPr>
          <w:p>
            <w:pPr>
              <w:pStyle w:val="TableParagraph"/>
              <w:spacing w:line="230" w:lineRule="exact"/>
              <w:ind w:right="60"/>
              <w:jc w:val="both"/>
              <w:rPr>
                <w:sz w:val="20"/>
              </w:rPr>
            </w:pPr>
            <w:r>
              <w:rPr>
                <w:sz w:val="20"/>
              </w:rPr>
              <w:t>Al aceptarse en servicio a las personas trabajadoras, se considerará para reclamaciones posteriores por pérdida de la agudeza visual, que tienen la unidad, aunque tuvieran 0. 8 (8 décimos en cada ojo).</w:t>
            </w:r>
          </w:p>
        </w:tc>
      </w:tr>
    </w:tbl>
    <w:p>
      <w:pPr>
        <w:spacing w:before="228"/>
        <w:ind w:left="379" w:right="386" w:firstLine="0"/>
        <w:jc w:val="center"/>
        <w:rPr>
          <w:rFonts w:ascii="Arial" w:hAnsi="Arial"/>
          <w:b/>
          <w:sz w:val="20"/>
        </w:rPr>
      </w:pPr>
      <w:r>
        <w:rPr>
          <w:rFonts w:ascii="Arial" w:hAnsi="Arial"/>
          <w:b/>
          <w:sz w:val="20"/>
        </w:rPr>
        <w:t>Disminución</w:t>
      </w:r>
      <w:r>
        <w:rPr>
          <w:rFonts w:ascii="Arial" w:hAnsi="Arial"/>
          <w:b/>
          <w:spacing w:val="-3"/>
          <w:sz w:val="20"/>
        </w:rPr>
        <w:t> </w:t>
      </w:r>
      <w:r>
        <w:rPr>
          <w:rFonts w:ascii="Arial" w:hAnsi="Arial"/>
          <w:b/>
          <w:sz w:val="20"/>
        </w:rPr>
        <w:t>del</w:t>
      </w:r>
      <w:r>
        <w:rPr>
          <w:rFonts w:ascii="Arial" w:hAnsi="Arial"/>
          <w:b/>
          <w:spacing w:val="-4"/>
          <w:sz w:val="20"/>
        </w:rPr>
        <w:t> </w:t>
      </w:r>
      <w:r>
        <w:rPr>
          <w:rFonts w:ascii="Arial" w:hAnsi="Arial"/>
          <w:b/>
          <w:sz w:val="20"/>
        </w:rPr>
        <w:t>campo</w:t>
      </w:r>
      <w:r>
        <w:rPr>
          <w:rFonts w:ascii="Arial" w:hAnsi="Arial"/>
          <w:b/>
          <w:spacing w:val="-3"/>
          <w:sz w:val="20"/>
        </w:rPr>
        <w:t> </w:t>
      </w:r>
      <w:r>
        <w:rPr>
          <w:rFonts w:ascii="Arial" w:hAnsi="Arial"/>
          <w:b/>
          <w:sz w:val="20"/>
        </w:rPr>
        <w:t>visual</w:t>
      </w:r>
      <w:r>
        <w:rPr>
          <w:rFonts w:ascii="Arial" w:hAnsi="Arial"/>
          <w:b/>
          <w:spacing w:val="-4"/>
          <w:sz w:val="20"/>
        </w:rPr>
        <w:t> </w:t>
      </w:r>
      <w:r>
        <w:rPr>
          <w:rFonts w:ascii="Arial" w:hAnsi="Arial"/>
          <w:b/>
          <w:sz w:val="20"/>
        </w:rPr>
        <w:t>uni</w:t>
      </w:r>
      <w:r>
        <w:rPr>
          <w:rFonts w:ascii="Arial" w:hAnsi="Arial"/>
          <w:b/>
          <w:spacing w:val="-4"/>
          <w:sz w:val="20"/>
        </w:rPr>
        <w:t> </w:t>
      </w:r>
      <w:r>
        <w:rPr>
          <w:rFonts w:ascii="Arial" w:hAnsi="Arial"/>
          <w:b/>
          <w:sz w:val="20"/>
        </w:rPr>
        <w:t>o</w:t>
      </w:r>
      <w:r>
        <w:rPr>
          <w:rFonts w:ascii="Arial" w:hAnsi="Arial"/>
          <w:b/>
          <w:spacing w:val="-4"/>
          <w:sz w:val="20"/>
        </w:rPr>
        <w:t> </w:t>
      </w:r>
      <w:r>
        <w:rPr>
          <w:rFonts w:ascii="Arial" w:hAnsi="Arial"/>
          <w:b/>
          <w:sz w:val="20"/>
        </w:rPr>
        <w:t>bilateral</w:t>
      </w:r>
      <w:r>
        <w:rPr>
          <w:rFonts w:ascii="Arial" w:hAnsi="Arial"/>
          <w:b/>
          <w:spacing w:val="-4"/>
          <w:sz w:val="20"/>
        </w:rPr>
        <w:t> </w:t>
      </w:r>
      <w:r>
        <w:rPr>
          <w:rFonts w:ascii="Arial" w:hAnsi="Arial"/>
          <w:b/>
          <w:sz w:val="20"/>
        </w:rPr>
        <w:t>con</w:t>
      </w:r>
      <w:r>
        <w:rPr>
          <w:rFonts w:ascii="Arial" w:hAnsi="Arial"/>
          <w:b/>
          <w:spacing w:val="-1"/>
          <w:sz w:val="20"/>
        </w:rPr>
        <w:t> </w:t>
      </w:r>
      <w:r>
        <w:rPr>
          <w:rFonts w:ascii="Arial" w:hAnsi="Arial"/>
          <w:b/>
          <w:sz w:val="20"/>
        </w:rPr>
        <w:t>agudeza</w:t>
      </w:r>
      <w:r>
        <w:rPr>
          <w:rFonts w:ascii="Arial" w:hAnsi="Arial"/>
          <w:b/>
          <w:spacing w:val="-4"/>
          <w:sz w:val="20"/>
        </w:rPr>
        <w:t> </w:t>
      </w:r>
      <w:r>
        <w:rPr>
          <w:rFonts w:ascii="Arial" w:hAnsi="Arial"/>
          <w:b/>
          <w:sz w:val="20"/>
        </w:rPr>
        <w:t>visual</w:t>
      </w:r>
      <w:r>
        <w:rPr>
          <w:rFonts w:ascii="Arial" w:hAnsi="Arial"/>
          <w:b/>
          <w:spacing w:val="-4"/>
          <w:sz w:val="20"/>
        </w:rPr>
        <w:t> </w:t>
      </w:r>
      <w:r>
        <w:rPr>
          <w:rFonts w:ascii="Arial" w:hAnsi="Arial"/>
          <w:b/>
          <w:sz w:val="20"/>
        </w:rPr>
        <w:t>normal</w:t>
      </w:r>
      <w:r>
        <w:rPr>
          <w:rFonts w:ascii="Arial" w:hAnsi="Arial"/>
          <w:b/>
          <w:spacing w:val="-4"/>
          <w:sz w:val="20"/>
        </w:rPr>
        <w:t> </w:t>
      </w:r>
      <w:r>
        <w:rPr>
          <w:rFonts w:ascii="Arial" w:hAnsi="Arial"/>
          <w:b/>
          <w:sz w:val="20"/>
        </w:rPr>
        <w:t>o</w:t>
      </w:r>
      <w:r>
        <w:rPr>
          <w:rFonts w:ascii="Arial" w:hAnsi="Arial"/>
          <w:b/>
          <w:spacing w:val="-4"/>
          <w:sz w:val="20"/>
        </w:rPr>
        <w:t> </w:t>
      </w:r>
      <w:r>
        <w:rPr>
          <w:rFonts w:ascii="Arial" w:hAnsi="Arial"/>
          <w:b/>
          <w:sz w:val="20"/>
        </w:rPr>
        <w:t>disminuida</w:t>
      </w:r>
      <w:r>
        <w:rPr>
          <w:rFonts w:ascii="Arial" w:hAnsi="Arial"/>
          <w:b/>
          <w:spacing w:val="-4"/>
          <w:sz w:val="20"/>
        </w:rPr>
        <w:t> </w:t>
      </w:r>
      <w:r>
        <w:rPr>
          <w:rFonts w:ascii="Arial" w:hAnsi="Arial"/>
          <w:b/>
          <w:sz w:val="20"/>
        </w:rPr>
        <w:t>aplicando los artículos siguientes:</w:t>
      </w:r>
    </w:p>
    <w:p>
      <w:pPr>
        <w:spacing w:before="229"/>
        <w:ind w:left="295" w:right="296" w:firstLine="0"/>
        <w:jc w:val="center"/>
        <w:rPr>
          <w:rFonts w:ascii="Arial" w:hAnsi="Arial"/>
          <w:b/>
          <w:sz w:val="20"/>
        </w:rPr>
      </w:pPr>
      <w:r>
        <w:rPr>
          <w:rFonts w:ascii="Arial" w:hAnsi="Arial"/>
          <w:b/>
          <w:sz w:val="20"/>
        </w:rPr>
        <w:t>Deficiencia</w:t>
      </w:r>
      <w:r>
        <w:rPr>
          <w:rFonts w:ascii="Arial" w:hAnsi="Arial"/>
          <w:b/>
          <w:spacing w:val="-7"/>
          <w:sz w:val="20"/>
        </w:rPr>
        <w:t> </w:t>
      </w:r>
      <w:r>
        <w:rPr>
          <w:rFonts w:ascii="Arial" w:hAnsi="Arial"/>
          <w:b/>
          <w:sz w:val="20"/>
        </w:rPr>
        <w:t>visual</w:t>
      </w:r>
      <w:r>
        <w:rPr>
          <w:rFonts w:ascii="Arial" w:hAnsi="Arial"/>
          <w:b/>
          <w:spacing w:val="-5"/>
          <w:sz w:val="20"/>
        </w:rPr>
        <w:t> </w:t>
      </w:r>
      <w:r>
        <w:rPr>
          <w:rFonts w:ascii="Arial" w:hAnsi="Arial"/>
          <w:b/>
          <w:sz w:val="20"/>
        </w:rPr>
        <w:t>por</w:t>
      </w:r>
      <w:r>
        <w:rPr>
          <w:rFonts w:ascii="Arial" w:hAnsi="Arial"/>
          <w:b/>
          <w:spacing w:val="-6"/>
          <w:sz w:val="20"/>
        </w:rPr>
        <w:t> </w:t>
      </w:r>
      <w:r>
        <w:rPr>
          <w:rFonts w:ascii="Arial" w:hAnsi="Arial"/>
          <w:b/>
          <w:sz w:val="20"/>
        </w:rPr>
        <w:t>déficit</w:t>
      </w:r>
      <w:r>
        <w:rPr>
          <w:rFonts w:ascii="Arial" w:hAnsi="Arial"/>
          <w:b/>
          <w:spacing w:val="-5"/>
          <w:sz w:val="20"/>
        </w:rPr>
        <w:t> </w:t>
      </w:r>
      <w:r>
        <w:rPr>
          <w:rFonts w:ascii="Arial" w:hAnsi="Arial"/>
          <w:b/>
          <w:sz w:val="20"/>
        </w:rPr>
        <w:t>del</w:t>
      </w:r>
      <w:r>
        <w:rPr>
          <w:rFonts w:ascii="Arial" w:hAnsi="Arial"/>
          <w:b/>
          <w:spacing w:val="-6"/>
          <w:sz w:val="20"/>
        </w:rPr>
        <w:t> </w:t>
      </w:r>
      <w:r>
        <w:rPr>
          <w:rFonts w:ascii="Arial" w:hAnsi="Arial"/>
          <w:b/>
          <w:sz w:val="20"/>
        </w:rPr>
        <w:t>campo</w:t>
      </w:r>
      <w:r>
        <w:rPr>
          <w:rFonts w:ascii="Arial" w:hAnsi="Arial"/>
          <w:b/>
          <w:spacing w:val="-5"/>
          <w:sz w:val="20"/>
        </w:rPr>
        <w:t> </w:t>
      </w:r>
      <w:r>
        <w:rPr>
          <w:rFonts w:ascii="Arial" w:hAnsi="Arial"/>
          <w:b/>
          <w:sz w:val="20"/>
        </w:rPr>
        <w:t>visual</w:t>
      </w:r>
      <w:r>
        <w:rPr>
          <w:rFonts w:ascii="Arial" w:hAnsi="Arial"/>
          <w:b/>
          <w:spacing w:val="-6"/>
          <w:sz w:val="20"/>
        </w:rPr>
        <w:t> </w:t>
      </w:r>
      <w:r>
        <w:rPr>
          <w:rFonts w:ascii="Arial" w:hAnsi="Arial"/>
          <w:b/>
          <w:spacing w:val="-2"/>
          <w:sz w:val="20"/>
        </w:rPr>
        <w:t>binocular</w:t>
      </w:r>
    </w:p>
    <w:p>
      <w:pPr>
        <w:pStyle w:val="BodyText"/>
        <w:spacing w:before="3"/>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813"/>
        <w:gridCol w:w="1671"/>
      </w:tblGrid>
      <w:tr>
        <w:trPr>
          <w:trHeight w:val="229" w:hRule="atLeast"/>
        </w:trPr>
        <w:tc>
          <w:tcPr>
            <w:tcW w:w="1066" w:type="dxa"/>
          </w:tcPr>
          <w:p>
            <w:pPr>
              <w:pStyle w:val="TableParagraph"/>
              <w:ind w:left="9"/>
              <w:rPr>
                <w:sz w:val="20"/>
              </w:rPr>
            </w:pPr>
            <w:r>
              <w:rPr>
                <w:spacing w:val="-5"/>
                <w:sz w:val="20"/>
              </w:rPr>
              <w:t>350</w:t>
            </w:r>
          </w:p>
        </w:tc>
        <w:tc>
          <w:tcPr>
            <w:tcW w:w="6813" w:type="dxa"/>
          </w:tcPr>
          <w:p>
            <w:pPr>
              <w:pStyle w:val="TableParagraph"/>
              <w:jc w:val="left"/>
              <w:rPr>
                <w:sz w:val="20"/>
              </w:rPr>
            </w:pPr>
            <w:r>
              <w:rPr>
                <w:sz w:val="20"/>
              </w:rPr>
              <w:t>Cuadrantanopsia</w:t>
            </w:r>
            <w:r>
              <w:rPr>
                <w:spacing w:val="-10"/>
                <w:sz w:val="20"/>
              </w:rPr>
              <w:t> </w:t>
            </w:r>
            <w:r>
              <w:rPr>
                <w:sz w:val="20"/>
              </w:rPr>
              <w:t>homónima</w:t>
            </w:r>
            <w:r>
              <w:rPr>
                <w:spacing w:val="-10"/>
                <w:sz w:val="20"/>
              </w:rPr>
              <w:t> </w:t>
            </w:r>
            <w:r>
              <w:rPr>
                <w:sz w:val="20"/>
              </w:rPr>
              <w:t>(derecha</w:t>
            </w:r>
            <w:r>
              <w:rPr>
                <w:spacing w:val="-9"/>
                <w:sz w:val="20"/>
              </w:rPr>
              <w:t> </w:t>
            </w:r>
            <w:r>
              <w:rPr>
                <w:sz w:val="20"/>
              </w:rPr>
              <w:t>o</w:t>
            </w:r>
            <w:r>
              <w:rPr>
                <w:spacing w:val="-8"/>
                <w:sz w:val="20"/>
              </w:rPr>
              <w:t> </w:t>
            </w:r>
            <w:r>
              <w:rPr>
                <w:spacing w:val="-2"/>
                <w:sz w:val="20"/>
              </w:rPr>
              <w:t>izquierda).</w:t>
            </w:r>
          </w:p>
        </w:tc>
        <w:tc>
          <w:tcPr>
            <w:tcW w:w="1671" w:type="dxa"/>
          </w:tcPr>
          <w:p>
            <w:pPr>
              <w:pStyle w:val="TableParagraph"/>
              <w:ind w:left="6"/>
              <w:rPr>
                <w:sz w:val="20"/>
              </w:rPr>
            </w:pPr>
            <w:r>
              <w:rPr>
                <w:spacing w:val="-5"/>
                <w:sz w:val="20"/>
              </w:rPr>
              <w:t>26%</w:t>
            </w:r>
          </w:p>
        </w:tc>
      </w:tr>
      <w:tr>
        <w:trPr>
          <w:trHeight w:val="232" w:hRule="atLeast"/>
        </w:trPr>
        <w:tc>
          <w:tcPr>
            <w:tcW w:w="1066" w:type="dxa"/>
          </w:tcPr>
          <w:p>
            <w:pPr>
              <w:pStyle w:val="TableParagraph"/>
              <w:spacing w:line="212" w:lineRule="exact"/>
              <w:ind w:left="9"/>
              <w:rPr>
                <w:sz w:val="20"/>
              </w:rPr>
            </w:pPr>
            <w:r>
              <w:rPr>
                <w:spacing w:val="-5"/>
                <w:sz w:val="20"/>
              </w:rPr>
              <w:t>351</w:t>
            </w:r>
          </w:p>
        </w:tc>
        <w:tc>
          <w:tcPr>
            <w:tcW w:w="6813" w:type="dxa"/>
          </w:tcPr>
          <w:p>
            <w:pPr>
              <w:pStyle w:val="TableParagraph"/>
              <w:spacing w:line="212" w:lineRule="exact"/>
              <w:jc w:val="left"/>
              <w:rPr>
                <w:sz w:val="20"/>
              </w:rPr>
            </w:pPr>
            <w:r>
              <w:rPr>
                <w:spacing w:val="-2"/>
                <w:sz w:val="20"/>
              </w:rPr>
              <w:t>Cuadrantanopsia</w:t>
            </w:r>
            <w:r>
              <w:rPr>
                <w:spacing w:val="8"/>
                <w:sz w:val="20"/>
              </w:rPr>
              <w:t> </w:t>
            </w:r>
            <w:r>
              <w:rPr>
                <w:spacing w:val="-2"/>
                <w:sz w:val="20"/>
              </w:rPr>
              <w:t>bitemporal.</w:t>
            </w:r>
          </w:p>
        </w:tc>
        <w:tc>
          <w:tcPr>
            <w:tcW w:w="1671" w:type="dxa"/>
          </w:tcPr>
          <w:p>
            <w:pPr>
              <w:pStyle w:val="TableParagraph"/>
              <w:spacing w:line="212" w:lineRule="exact"/>
              <w:ind w:left="6"/>
              <w:rPr>
                <w:sz w:val="20"/>
              </w:rPr>
            </w:pPr>
            <w:r>
              <w:rPr>
                <w:spacing w:val="-5"/>
                <w:sz w:val="20"/>
              </w:rPr>
              <w:t>26%</w:t>
            </w:r>
          </w:p>
        </w:tc>
      </w:tr>
    </w:tbl>
    <w:p>
      <w:pPr>
        <w:spacing w:before="225"/>
        <w:ind w:left="292" w:right="297" w:firstLine="0"/>
        <w:jc w:val="center"/>
        <w:rPr>
          <w:rFonts w:ascii="Arial" w:hAnsi="Arial"/>
          <w:b/>
          <w:sz w:val="20"/>
        </w:rPr>
      </w:pPr>
      <w:r>
        <w:rPr>
          <w:rFonts w:ascii="Arial" w:hAnsi="Arial"/>
          <w:b/>
          <w:sz w:val="20"/>
        </w:rPr>
        <w:t>Deficiencia</w:t>
      </w:r>
      <w:r>
        <w:rPr>
          <w:rFonts w:ascii="Arial" w:hAnsi="Arial"/>
          <w:b/>
          <w:spacing w:val="-8"/>
          <w:sz w:val="20"/>
        </w:rPr>
        <w:t> </w:t>
      </w:r>
      <w:r>
        <w:rPr>
          <w:rFonts w:ascii="Arial" w:hAnsi="Arial"/>
          <w:b/>
          <w:sz w:val="20"/>
        </w:rPr>
        <w:t>visual</w:t>
      </w:r>
      <w:r>
        <w:rPr>
          <w:rFonts w:ascii="Arial" w:hAnsi="Arial"/>
          <w:b/>
          <w:spacing w:val="-5"/>
          <w:sz w:val="20"/>
        </w:rPr>
        <w:t> </w:t>
      </w:r>
      <w:r>
        <w:rPr>
          <w:rFonts w:ascii="Arial" w:hAnsi="Arial"/>
          <w:b/>
          <w:sz w:val="20"/>
        </w:rPr>
        <w:t>por</w:t>
      </w:r>
      <w:r>
        <w:rPr>
          <w:rFonts w:ascii="Arial" w:hAnsi="Arial"/>
          <w:b/>
          <w:spacing w:val="-7"/>
          <w:sz w:val="20"/>
        </w:rPr>
        <w:t> </w:t>
      </w:r>
      <w:r>
        <w:rPr>
          <w:rFonts w:ascii="Arial" w:hAnsi="Arial"/>
          <w:b/>
          <w:sz w:val="20"/>
        </w:rPr>
        <w:t>déficit</w:t>
      </w:r>
      <w:r>
        <w:rPr>
          <w:rFonts w:ascii="Arial" w:hAnsi="Arial"/>
          <w:b/>
          <w:spacing w:val="-6"/>
          <w:sz w:val="20"/>
        </w:rPr>
        <w:t> </w:t>
      </w:r>
      <w:r>
        <w:rPr>
          <w:rFonts w:ascii="Arial" w:hAnsi="Arial"/>
          <w:b/>
          <w:sz w:val="20"/>
        </w:rPr>
        <w:t>concéntrico</w:t>
      </w:r>
      <w:r>
        <w:rPr>
          <w:rFonts w:ascii="Arial" w:hAnsi="Arial"/>
          <w:b/>
          <w:spacing w:val="-7"/>
          <w:sz w:val="20"/>
        </w:rPr>
        <w:t> </w:t>
      </w:r>
      <w:r>
        <w:rPr>
          <w:rFonts w:ascii="Arial" w:hAnsi="Arial"/>
          <w:b/>
          <w:sz w:val="20"/>
        </w:rPr>
        <w:t>del</w:t>
      </w:r>
      <w:r>
        <w:rPr>
          <w:rFonts w:ascii="Arial" w:hAnsi="Arial"/>
          <w:b/>
          <w:spacing w:val="-5"/>
          <w:sz w:val="20"/>
        </w:rPr>
        <w:t> </w:t>
      </w:r>
      <w:r>
        <w:rPr>
          <w:rFonts w:ascii="Arial" w:hAnsi="Arial"/>
          <w:b/>
          <w:sz w:val="20"/>
        </w:rPr>
        <w:t>campo</w:t>
      </w:r>
      <w:r>
        <w:rPr>
          <w:rFonts w:ascii="Arial" w:hAnsi="Arial"/>
          <w:b/>
          <w:spacing w:val="-6"/>
          <w:sz w:val="20"/>
        </w:rPr>
        <w:t> </w:t>
      </w:r>
      <w:r>
        <w:rPr>
          <w:rFonts w:ascii="Arial" w:hAnsi="Arial"/>
          <w:b/>
          <w:sz w:val="20"/>
        </w:rPr>
        <w:t>visual</w:t>
      </w:r>
      <w:r>
        <w:rPr>
          <w:rFonts w:ascii="Arial" w:hAnsi="Arial"/>
          <w:b/>
          <w:spacing w:val="-7"/>
          <w:sz w:val="20"/>
        </w:rPr>
        <w:t> </w:t>
      </w:r>
      <w:r>
        <w:rPr>
          <w:rFonts w:ascii="Arial" w:hAnsi="Arial"/>
          <w:b/>
          <w:spacing w:val="-2"/>
          <w:sz w:val="20"/>
        </w:rPr>
        <w:t>unilocular</w:t>
      </w:r>
    </w:p>
    <w:p>
      <w:pPr>
        <w:pStyle w:val="BodyText"/>
        <w:spacing w:before="4"/>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806"/>
        <w:gridCol w:w="1678"/>
      </w:tblGrid>
      <w:tr>
        <w:trPr>
          <w:trHeight w:val="229" w:hRule="atLeast"/>
        </w:trPr>
        <w:tc>
          <w:tcPr>
            <w:tcW w:w="1066" w:type="dxa"/>
          </w:tcPr>
          <w:p>
            <w:pPr>
              <w:pStyle w:val="TableParagraph"/>
              <w:ind w:left="9"/>
              <w:rPr>
                <w:sz w:val="20"/>
              </w:rPr>
            </w:pPr>
            <w:r>
              <w:rPr>
                <w:spacing w:val="-5"/>
                <w:sz w:val="20"/>
              </w:rPr>
              <w:t>352</w:t>
            </w:r>
          </w:p>
        </w:tc>
        <w:tc>
          <w:tcPr>
            <w:tcW w:w="6806" w:type="dxa"/>
          </w:tcPr>
          <w:p>
            <w:pPr>
              <w:pStyle w:val="TableParagraph"/>
              <w:jc w:val="left"/>
              <w:rPr>
                <w:sz w:val="20"/>
              </w:rPr>
            </w:pPr>
            <w:r>
              <w:rPr>
                <w:sz w:val="20"/>
              </w:rPr>
              <w:t>Pérdida</w:t>
            </w:r>
            <w:r>
              <w:rPr>
                <w:spacing w:val="-5"/>
                <w:sz w:val="20"/>
              </w:rPr>
              <w:t> </w:t>
            </w:r>
            <w:r>
              <w:rPr>
                <w:sz w:val="20"/>
              </w:rPr>
              <w:t>total</w:t>
            </w:r>
            <w:r>
              <w:rPr>
                <w:spacing w:val="-6"/>
                <w:sz w:val="20"/>
              </w:rPr>
              <w:t> </w:t>
            </w:r>
            <w:r>
              <w:rPr>
                <w:sz w:val="20"/>
              </w:rPr>
              <w:t>o</w:t>
            </w:r>
            <w:r>
              <w:rPr>
                <w:spacing w:val="-4"/>
                <w:sz w:val="20"/>
              </w:rPr>
              <w:t> </w:t>
            </w:r>
            <w:r>
              <w:rPr>
                <w:sz w:val="20"/>
              </w:rPr>
              <w:t>parcial</w:t>
            </w:r>
            <w:r>
              <w:rPr>
                <w:spacing w:val="-5"/>
                <w:sz w:val="20"/>
              </w:rPr>
              <w:t> </w:t>
            </w:r>
            <w:r>
              <w:rPr>
                <w:sz w:val="20"/>
              </w:rPr>
              <w:t>de</w:t>
            </w:r>
            <w:r>
              <w:rPr>
                <w:spacing w:val="-6"/>
                <w:sz w:val="20"/>
              </w:rPr>
              <w:t> </w:t>
            </w:r>
            <w:r>
              <w:rPr>
                <w:sz w:val="20"/>
              </w:rPr>
              <w:t>un</w:t>
            </w:r>
            <w:r>
              <w:rPr>
                <w:spacing w:val="-6"/>
                <w:sz w:val="20"/>
              </w:rPr>
              <w:t> </w:t>
            </w:r>
            <w:r>
              <w:rPr>
                <w:spacing w:val="-2"/>
                <w:sz w:val="20"/>
              </w:rPr>
              <w:t>cuadrante.</w:t>
            </w:r>
          </w:p>
        </w:tc>
        <w:tc>
          <w:tcPr>
            <w:tcW w:w="1678" w:type="dxa"/>
          </w:tcPr>
          <w:p>
            <w:pPr>
              <w:pStyle w:val="TableParagraph"/>
              <w:ind w:left="11" w:right="3"/>
              <w:rPr>
                <w:sz w:val="20"/>
              </w:rPr>
            </w:pPr>
            <w:r>
              <w:rPr>
                <w:spacing w:val="-5"/>
                <w:sz w:val="20"/>
              </w:rPr>
              <w:t>13%</w:t>
            </w:r>
          </w:p>
        </w:tc>
      </w:tr>
      <w:tr>
        <w:trPr>
          <w:trHeight w:val="229" w:hRule="atLeast"/>
        </w:trPr>
        <w:tc>
          <w:tcPr>
            <w:tcW w:w="1066" w:type="dxa"/>
          </w:tcPr>
          <w:p>
            <w:pPr>
              <w:pStyle w:val="TableParagraph"/>
              <w:ind w:left="9"/>
              <w:rPr>
                <w:sz w:val="20"/>
              </w:rPr>
            </w:pPr>
            <w:r>
              <w:rPr>
                <w:spacing w:val="-5"/>
                <w:sz w:val="20"/>
              </w:rPr>
              <w:t>353</w:t>
            </w:r>
          </w:p>
        </w:tc>
        <w:tc>
          <w:tcPr>
            <w:tcW w:w="6806" w:type="dxa"/>
          </w:tcPr>
          <w:p>
            <w:pPr>
              <w:pStyle w:val="TableParagraph"/>
              <w:jc w:val="left"/>
              <w:rPr>
                <w:sz w:val="20"/>
              </w:rPr>
            </w:pPr>
            <w:r>
              <w:rPr>
                <w:sz w:val="20"/>
              </w:rPr>
              <w:t>Pérdida</w:t>
            </w:r>
            <w:r>
              <w:rPr>
                <w:spacing w:val="-5"/>
                <w:sz w:val="20"/>
              </w:rPr>
              <w:t> </w:t>
            </w:r>
            <w:r>
              <w:rPr>
                <w:sz w:val="20"/>
              </w:rPr>
              <w:t>total</w:t>
            </w:r>
            <w:r>
              <w:rPr>
                <w:spacing w:val="-7"/>
                <w:sz w:val="20"/>
              </w:rPr>
              <w:t> </w:t>
            </w:r>
            <w:r>
              <w:rPr>
                <w:sz w:val="20"/>
              </w:rPr>
              <w:t>o</w:t>
            </w:r>
            <w:r>
              <w:rPr>
                <w:spacing w:val="-4"/>
                <w:sz w:val="20"/>
              </w:rPr>
              <w:t> </w:t>
            </w:r>
            <w:r>
              <w:rPr>
                <w:sz w:val="20"/>
              </w:rPr>
              <w:t>parcial</w:t>
            </w:r>
            <w:r>
              <w:rPr>
                <w:spacing w:val="-4"/>
                <w:sz w:val="20"/>
              </w:rPr>
              <w:t> </w:t>
            </w:r>
            <w:r>
              <w:rPr>
                <w:sz w:val="20"/>
              </w:rPr>
              <w:t>de</w:t>
            </w:r>
            <w:r>
              <w:rPr>
                <w:spacing w:val="-7"/>
                <w:sz w:val="20"/>
              </w:rPr>
              <w:t> </w:t>
            </w:r>
            <w:r>
              <w:rPr>
                <w:sz w:val="20"/>
              </w:rPr>
              <w:t>dos</w:t>
            </w:r>
            <w:r>
              <w:rPr>
                <w:spacing w:val="-5"/>
                <w:sz w:val="20"/>
              </w:rPr>
              <w:t> </w:t>
            </w:r>
            <w:r>
              <w:rPr>
                <w:spacing w:val="-2"/>
                <w:sz w:val="20"/>
              </w:rPr>
              <w:t>cuadrantes.</w:t>
            </w:r>
          </w:p>
        </w:tc>
        <w:tc>
          <w:tcPr>
            <w:tcW w:w="1678" w:type="dxa"/>
          </w:tcPr>
          <w:p>
            <w:pPr>
              <w:pStyle w:val="TableParagraph"/>
              <w:ind w:left="11" w:right="3"/>
              <w:rPr>
                <w:sz w:val="20"/>
              </w:rPr>
            </w:pPr>
            <w:r>
              <w:rPr>
                <w:spacing w:val="-5"/>
                <w:sz w:val="20"/>
              </w:rPr>
              <w:t>26%</w:t>
            </w:r>
          </w:p>
        </w:tc>
      </w:tr>
      <w:tr>
        <w:trPr>
          <w:trHeight w:val="229" w:hRule="atLeast"/>
        </w:trPr>
        <w:tc>
          <w:tcPr>
            <w:tcW w:w="1066" w:type="dxa"/>
          </w:tcPr>
          <w:p>
            <w:pPr>
              <w:pStyle w:val="TableParagraph"/>
              <w:ind w:left="9"/>
              <w:rPr>
                <w:sz w:val="20"/>
              </w:rPr>
            </w:pPr>
            <w:r>
              <w:rPr>
                <w:spacing w:val="-5"/>
                <w:sz w:val="20"/>
              </w:rPr>
              <w:t>354</w:t>
            </w:r>
          </w:p>
        </w:tc>
        <w:tc>
          <w:tcPr>
            <w:tcW w:w="6806" w:type="dxa"/>
          </w:tcPr>
          <w:p>
            <w:pPr>
              <w:pStyle w:val="TableParagraph"/>
              <w:jc w:val="left"/>
              <w:rPr>
                <w:sz w:val="20"/>
              </w:rPr>
            </w:pPr>
            <w:r>
              <w:rPr>
                <w:sz w:val="20"/>
              </w:rPr>
              <w:t>Pérdida</w:t>
            </w:r>
            <w:r>
              <w:rPr>
                <w:spacing w:val="-5"/>
                <w:sz w:val="20"/>
              </w:rPr>
              <w:t> </w:t>
            </w:r>
            <w:r>
              <w:rPr>
                <w:sz w:val="20"/>
              </w:rPr>
              <w:t>total</w:t>
            </w:r>
            <w:r>
              <w:rPr>
                <w:spacing w:val="-6"/>
                <w:sz w:val="20"/>
              </w:rPr>
              <w:t> </w:t>
            </w:r>
            <w:r>
              <w:rPr>
                <w:sz w:val="20"/>
              </w:rPr>
              <w:t>o</w:t>
            </w:r>
            <w:r>
              <w:rPr>
                <w:spacing w:val="-3"/>
                <w:sz w:val="20"/>
              </w:rPr>
              <w:t> </w:t>
            </w:r>
            <w:r>
              <w:rPr>
                <w:sz w:val="20"/>
              </w:rPr>
              <w:t>parcial</w:t>
            </w:r>
            <w:r>
              <w:rPr>
                <w:spacing w:val="-5"/>
                <w:sz w:val="20"/>
              </w:rPr>
              <w:t> </w:t>
            </w:r>
            <w:r>
              <w:rPr>
                <w:sz w:val="20"/>
              </w:rPr>
              <w:t>de</w:t>
            </w:r>
            <w:r>
              <w:rPr>
                <w:spacing w:val="-6"/>
                <w:sz w:val="20"/>
              </w:rPr>
              <w:t> </w:t>
            </w:r>
            <w:r>
              <w:rPr>
                <w:sz w:val="20"/>
              </w:rPr>
              <w:t>tres</w:t>
            </w:r>
            <w:r>
              <w:rPr>
                <w:spacing w:val="-5"/>
                <w:sz w:val="20"/>
              </w:rPr>
              <w:t> </w:t>
            </w:r>
            <w:r>
              <w:rPr>
                <w:spacing w:val="-2"/>
                <w:sz w:val="20"/>
              </w:rPr>
              <w:t>cuadrantes.</w:t>
            </w:r>
          </w:p>
        </w:tc>
        <w:tc>
          <w:tcPr>
            <w:tcW w:w="1678" w:type="dxa"/>
          </w:tcPr>
          <w:p>
            <w:pPr>
              <w:pStyle w:val="TableParagraph"/>
              <w:ind w:left="11" w:right="3"/>
              <w:rPr>
                <w:sz w:val="20"/>
              </w:rPr>
            </w:pPr>
            <w:r>
              <w:rPr>
                <w:spacing w:val="-5"/>
                <w:sz w:val="20"/>
              </w:rPr>
              <w:t>40%</w:t>
            </w:r>
          </w:p>
        </w:tc>
      </w:tr>
      <w:tr>
        <w:trPr>
          <w:trHeight w:val="229" w:hRule="atLeast"/>
        </w:trPr>
        <w:tc>
          <w:tcPr>
            <w:tcW w:w="1066" w:type="dxa"/>
          </w:tcPr>
          <w:p>
            <w:pPr>
              <w:pStyle w:val="TableParagraph"/>
              <w:ind w:left="9"/>
              <w:rPr>
                <w:sz w:val="20"/>
              </w:rPr>
            </w:pPr>
            <w:r>
              <w:rPr>
                <w:spacing w:val="-5"/>
                <w:sz w:val="20"/>
              </w:rPr>
              <w:t>355</w:t>
            </w:r>
          </w:p>
        </w:tc>
        <w:tc>
          <w:tcPr>
            <w:tcW w:w="6806" w:type="dxa"/>
          </w:tcPr>
          <w:p>
            <w:pPr>
              <w:pStyle w:val="TableParagraph"/>
              <w:jc w:val="left"/>
              <w:rPr>
                <w:sz w:val="20"/>
              </w:rPr>
            </w:pPr>
            <w:r>
              <w:rPr>
                <w:sz w:val="20"/>
              </w:rPr>
              <w:t>Pérdida</w:t>
            </w:r>
            <w:r>
              <w:rPr>
                <w:spacing w:val="-6"/>
                <w:sz w:val="20"/>
              </w:rPr>
              <w:t> </w:t>
            </w:r>
            <w:r>
              <w:rPr>
                <w:sz w:val="20"/>
              </w:rPr>
              <w:t>total</w:t>
            </w:r>
            <w:r>
              <w:rPr>
                <w:spacing w:val="-7"/>
                <w:sz w:val="20"/>
              </w:rPr>
              <w:t> </w:t>
            </w:r>
            <w:r>
              <w:rPr>
                <w:sz w:val="20"/>
              </w:rPr>
              <w:t>o</w:t>
            </w:r>
            <w:r>
              <w:rPr>
                <w:spacing w:val="-4"/>
                <w:sz w:val="20"/>
              </w:rPr>
              <w:t> </w:t>
            </w:r>
            <w:r>
              <w:rPr>
                <w:sz w:val="20"/>
              </w:rPr>
              <w:t>parcial</w:t>
            </w:r>
            <w:r>
              <w:rPr>
                <w:spacing w:val="-6"/>
                <w:sz w:val="20"/>
              </w:rPr>
              <w:t> </w:t>
            </w:r>
            <w:r>
              <w:rPr>
                <w:sz w:val="20"/>
              </w:rPr>
              <w:t>de</w:t>
            </w:r>
            <w:r>
              <w:rPr>
                <w:spacing w:val="-5"/>
                <w:sz w:val="20"/>
              </w:rPr>
              <w:t> </w:t>
            </w:r>
            <w:r>
              <w:rPr>
                <w:sz w:val="20"/>
              </w:rPr>
              <w:t>los</w:t>
            </w:r>
            <w:r>
              <w:rPr>
                <w:spacing w:val="-5"/>
                <w:sz w:val="20"/>
              </w:rPr>
              <w:t> </w:t>
            </w:r>
            <w:r>
              <w:rPr>
                <w:sz w:val="20"/>
              </w:rPr>
              <w:t>cuatro</w:t>
            </w:r>
            <w:r>
              <w:rPr>
                <w:spacing w:val="-7"/>
                <w:sz w:val="20"/>
              </w:rPr>
              <w:t> </w:t>
            </w:r>
            <w:r>
              <w:rPr>
                <w:spacing w:val="-2"/>
                <w:sz w:val="20"/>
              </w:rPr>
              <w:t>cuadrantes.</w:t>
            </w:r>
          </w:p>
        </w:tc>
        <w:tc>
          <w:tcPr>
            <w:tcW w:w="1678" w:type="dxa"/>
          </w:tcPr>
          <w:p>
            <w:pPr>
              <w:pStyle w:val="TableParagraph"/>
              <w:ind w:left="11" w:right="3"/>
              <w:rPr>
                <w:sz w:val="20"/>
              </w:rPr>
            </w:pPr>
            <w:r>
              <w:rPr>
                <w:spacing w:val="-5"/>
                <w:sz w:val="20"/>
              </w:rPr>
              <w:t>50%</w:t>
            </w:r>
          </w:p>
        </w:tc>
      </w:tr>
      <w:tr>
        <w:trPr>
          <w:trHeight w:val="460" w:hRule="atLeast"/>
        </w:trPr>
        <w:tc>
          <w:tcPr>
            <w:tcW w:w="1066" w:type="dxa"/>
          </w:tcPr>
          <w:p>
            <w:pPr>
              <w:pStyle w:val="TableParagraph"/>
              <w:spacing w:line="240" w:lineRule="auto" w:before="115"/>
              <w:ind w:left="9"/>
              <w:rPr>
                <w:sz w:val="20"/>
              </w:rPr>
            </w:pPr>
            <w:r>
              <w:rPr>
                <w:spacing w:val="-5"/>
                <w:sz w:val="20"/>
              </w:rPr>
              <w:t>356</w:t>
            </w:r>
          </w:p>
        </w:tc>
        <w:tc>
          <w:tcPr>
            <w:tcW w:w="8484" w:type="dxa"/>
            <w:gridSpan w:val="2"/>
          </w:tcPr>
          <w:p>
            <w:pPr>
              <w:pStyle w:val="TableParagraph"/>
              <w:spacing w:line="230" w:lineRule="exact"/>
              <w:ind w:right="83"/>
              <w:jc w:val="left"/>
              <w:rPr>
                <w:sz w:val="20"/>
              </w:rPr>
            </w:pPr>
            <w:r>
              <w:rPr>
                <w:sz w:val="20"/>
              </w:rPr>
              <w:t>Los escotomas se valuarán según la determinación de pérdida del campo visual, aplicando</w:t>
            </w:r>
            <w:r>
              <w:rPr>
                <w:spacing w:val="40"/>
                <w:sz w:val="20"/>
              </w:rPr>
              <w:t> </w:t>
            </w:r>
            <w:r>
              <w:rPr>
                <w:sz w:val="20"/>
              </w:rPr>
              <w:t>las fracciones anteriores.</w:t>
            </w:r>
          </w:p>
        </w:tc>
      </w:tr>
    </w:tbl>
    <w:p>
      <w:pPr>
        <w:pStyle w:val="BodyText"/>
        <w:rPr>
          <w:rFonts w:ascii="Arial"/>
          <w:b/>
        </w:rPr>
      </w:pPr>
    </w:p>
    <w:p>
      <w:pPr>
        <w:spacing w:before="1"/>
        <w:ind w:left="295" w:right="296" w:firstLine="0"/>
        <w:jc w:val="center"/>
        <w:rPr>
          <w:rFonts w:ascii="Arial" w:hAnsi="Arial"/>
          <w:b/>
          <w:sz w:val="20"/>
        </w:rPr>
      </w:pPr>
      <w:r>
        <w:rPr>
          <w:rFonts w:ascii="Arial" w:hAnsi="Arial"/>
          <w:b/>
          <w:sz w:val="20"/>
        </w:rPr>
        <w:t>Deficiencia</w:t>
      </w:r>
      <w:r>
        <w:rPr>
          <w:rFonts w:ascii="Arial" w:hAnsi="Arial"/>
          <w:b/>
          <w:spacing w:val="-8"/>
          <w:sz w:val="20"/>
        </w:rPr>
        <w:t> </w:t>
      </w:r>
      <w:r>
        <w:rPr>
          <w:rFonts w:ascii="Arial" w:hAnsi="Arial"/>
          <w:b/>
          <w:sz w:val="20"/>
        </w:rPr>
        <w:t>visual</w:t>
      </w:r>
      <w:r>
        <w:rPr>
          <w:rFonts w:ascii="Arial" w:hAnsi="Arial"/>
          <w:b/>
          <w:spacing w:val="-6"/>
          <w:sz w:val="20"/>
        </w:rPr>
        <w:t> </w:t>
      </w:r>
      <w:r>
        <w:rPr>
          <w:rFonts w:ascii="Arial" w:hAnsi="Arial"/>
          <w:b/>
          <w:sz w:val="20"/>
        </w:rPr>
        <w:t>por</w:t>
      </w:r>
      <w:r>
        <w:rPr>
          <w:rFonts w:ascii="Arial" w:hAnsi="Arial"/>
          <w:b/>
          <w:spacing w:val="-7"/>
          <w:sz w:val="20"/>
        </w:rPr>
        <w:t> </w:t>
      </w:r>
      <w:r>
        <w:rPr>
          <w:rFonts w:ascii="Arial" w:hAnsi="Arial"/>
          <w:b/>
          <w:sz w:val="20"/>
        </w:rPr>
        <w:t>déficit</w:t>
      </w:r>
      <w:r>
        <w:rPr>
          <w:rFonts w:ascii="Arial" w:hAnsi="Arial"/>
          <w:b/>
          <w:spacing w:val="-6"/>
          <w:sz w:val="20"/>
        </w:rPr>
        <w:t> </w:t>
      </w:r>
      <w:r>
        <w:rPr>
          <w:rFonts w:ascii="Arial" w:hAnsi="Arial"/>
          <w:b/>
          <w:sz w:val="20"/>
        </w:rPr>
        <w:t>concéntrico</w:t>
      </w:r>
      <w:r>
        <w:rPr>
          <w:rFonts w:ascii="Arial" w:hAnsi="Arial"/>
          <w:b/>
          <w:spacing w:val="-4"/>
          <w:sz w:val="20"/>
        </w:rPr>
        <w:t> </w:t>
      </w:r>
      <w:r>
        <w:rPr>
          <w:rFonts w:ascii="Arial" w:hAnsi="Arial"/>
          <w:b/>
          <w:sz w:val="20"/>
        </w:rPr>
        <w:t>del</w:t>
      </w:r>
      <w:r>
        <w:rPr>
          <w:rFonts w:ascii="Arial" w:hAnsi="Arial"/>
          <w:b/>
          <w:spacing w:val="-5"/>
          <w:sz w:val="20"/>
        </w:rPr>
        <w:t> </w:t>
      </w:r>
      <w:r>
        <w:rPr>
          <w:rFonts w:ascii="Arial" w:hAnsi="Arial"/>
          <w:b/>
          <w:sz w:val="20"/>
        </w:rPr>
        <w:t>campo</w:t>
      </w:r>
      <w:r>
        <w:rPr>
          <w:rFonts w:ascii="Arial" w:hAnsi="Arial"/>
          <w:b/>
          <w:spacing w:val="-7"/>
          <w:sz w:val="20"/>
        </w:rPr>
        <w:t> </w:t>
      </w:r>
      <w:r>
        <w:rPr>
          <w:rFonts w:ascii="Arial" w:hAnsi="Arial"/>
          <w:b/>
          <w:spacing w:val="-2"/>
          <w:sz w:val="20"/>
        </w:rPr>
        <w:t>visual</w:t>
      </w:r>
    </w:p>
    <w:p>
      <w:pPr>
        <w:pStyle w:val="BodyText"/>
        <w:spacing w:before="3"/>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806"/>
        <w:gridCol w:w="1678"/>
      </w:tblGrid>
      <w:tr>
        <w:trPr>
          <w:trHeight w:val="229" w:hRule="atLeast"/>
        </w:trPr>
        <w:tc>
          <w:tcPr>
            <w:tcW w:w="1066" w:type="dxa"/>
          </w:tcPr>
          <w:p>
            <w:pPr>
              <w:pStyle w:val="TableParagraph"/>
              <w:ind w:left="9"/>
              <w:rPr>
                <w:sz w:val="20"/>
              </w:rPr>
            </w:pPr>
            <w:r>
              <w:rPr>
                <w:spacing w:val="-5"/>
                <w:sz w:val="20"/>
              </w:rPr>
              <w:t>357</w:t>
            </w:r>
          </w:p>
        </w:tc>
        <w:tc>
          <w:tcPr>
            <w:tcW w:w="6806" w:type="dxa"/>
          </w:tcPr>
          <w:p>
            <w:pPr>
              <w:pStyle w:val="TableParagraph"/>
              <w:jc w:val="left"/>
              <w:rPr>
                <w:sz w:val="20"/>
              </w:rPr>
            </w:pPr>
            <w:r>
              <w:rPr>
                <w:sz w:val="20"/>
              </w:rPr>
              <w:t>Nictalopía</w:t>
            </w:r>
            <w:r>
              <w:rPr>
                <w:spacing w:val="-13"/>
                <w:sz w:val="20"/>
              </w:rPr>
              <w:t> </w:t>
            </w:r>
            <w:r>
              <w:rPr>
                <w:spacing w:val="-2"/>
                <w:sz w:val="20"/>
              </w:rPr>
              <w:t>adquirida.</w:t>
            </w:r>
          </w:p>
        </w:tc>
        <w:tc>
          <w:tcPr>
            <w:tcW w:w="1678" w:type="dxa"/>
          </w:tcPr>
          <w:p>
            <w:pPr>
              <w:pStyle w:val="TableParagraph"/>
              <w:ind w:left="11" w:right="3"/>
              <w:rPr>
                <w:sz w:val="20"/>
              </w:rPr>
            </w:pPr>
            <w:r>
              <w:rPr>
                <w:spacing w:val="-5"/>
                <w:sz w:val="20"/>
              </w:rPr>
              <w:t>30%</w:t>
            </w:r>
          </w:p>
        </w:tc>
      </w:tr>
      <w:tr>
        <w:trPr>
          <w:trHeight w:val="460" w:hRule="atLeast"/>
        </w:trPr>
        <w:tc>
          <w:tcPr>
            <w:tcW w:w="1066" w:type="dxa"/>
          </w:tcPr>
          <w:p>
            <w:pPr>
              <w:pStyle w:val="TableParagraph"/>
              <w:spacing w:line="240" w:lineRule="auto" w:before="114"/>
              <w:ind w:left="9"/>
              <w:rPr>
                <w:sz w:val="20"/>
              </w:rPr>
            </w:pPr>
            <w:r>
              <w:rPr>
                <w:spacing w:val="-5"/>
                <w:sz w:val="20"/>
              </w:rPr>
              <w:t>358</w:t>
            </w:r>
          </w:p>
        </w:tc>
        <w:tc>
          <w:tcPr>
            <w:tcW w:w="6806" w:type="dxa"/>
          </w:tcPr>
          <w:p>
            <w:pPr>
              <w:pStyle w:val="TableParagraph"/>
              <w:spacing w:line="230" w:lineRule="exact"/>
              <w:ind w:right="36"/>
              <w:jc w:val="left"/>
              <w:rPr>
                <w:sz w:val="20"/>
              </w:rPr>
            </w:pPr>
            <w:r>
              <w:rPr>
                <w:sz w:val="20"/>
              </w:rPr>
              <w:t>Estrechamiento del campo visual, con conservación de 30 grados o más, en un solo ojo.</w:t>
            </w:r>
          </w:p>
        </w:tc>
        <w:tc>
          <w:tcPr>
            <w:tcW w:w="1678" w:type="dxa"/>
          </w:tcPr>
          <w:p>
            <w:pPr>
              <w:pStyle w:val="TableParagraph"/>
              <w:spacing w:line="240" w:lineRule="auto" w:before="114"/>
              <w:ind w:left="11"/>
              <w:rPr>
                <w:sz w:val="20"/>
              </w:rPr>
            </w:pPr>
            <w:r>
              <w:rPr>
                <w:sz w:val="20"/>
              </w:rPr>
              <w:t>10</w:t>
            </w:r>
            <w:r>
              <w:rPr>
                <w:spacing w:val="-3"/>
                <w:sz w:val="20"/>
              </w:rPr>
              <w:t> </w:t>
            </w:r>
            <w:r>
              <w:rPr>
                <w:sz w:val="20"/>
              </w:rPr>
              <w:t>a</w:t>
            </w:r>
            <w:r>
              <w:rPr>
                <w:spacing w:val="-1"/>
                <w:sz w:val="20"/>
              </w:rPr>
              <w:t> </w:t>
            </w:r>
            <w:r>
              <w:rPr>
                <w:spacing w:val="-5"/>
                <w:sz w:val="20"/>
              </w:rPr>
              <w:t>15%</w:t>
            </w:r>
          </w:p>
        </w:tc>
      </w:tr>
      <w:tr>
        <w:trPr>
          <w:trHeight w:val="460" w:hRule="atLeast"/>
        </w:trPr>
        <w:tc>
          <w:tcPr>
            <w:tcW w:w="1066" w:type="dxa"/>
          </w:tcPr>
          <w:p>
            <w:pPr>
              <w:pStyle w:val="TableParagraph"/>
              <w:spacing w:line="240" w:lineRule="auto" w:before="114"/>
              <w:ind w:left="9"/>
              <w:rPr>
                <w:sz w:val="20"/>
              </w:rPr>
            </w:pPr>
            <w:r>
              <w:rPr>
                <w:spacing w:val="-5"/>
                <w:sz w:val="20"/>
              </w:rPr>
              <w:t>359</w:t>
            </w:r>
          </w:p>
        </w:tc>
        <w:tc>
          <w:tcPr>
            <w:tcW w:w="6806" w:type="dxa"/>
          </w:tcPr>
          <w:p>
            <w:pPr>
              <w:pStyle w:val="TableParagraph"/>
              <w:spacing w:line="230" w:lineRule="exact"/>
              <w:ind w:right="36"/>
              <w:jc w:val="left"/>
              <w:rPr>
                <w:sz w:val="20"/>
              </w:rPr>
            </w:pPr>
            <w:r>
              <w:rPr>
                <w:sz w:val="20"/>
              </w:rPr>
              <w:t>Estrechamiento del campo visual, con conservación de 30 grados o más, en ambos ojos.</w:t>
            </w:r>
          </w:p>
        </w:tc>
        <w:tc>
          <w:tcPr>
            <w:tcW w:w="1678" w:type="dxa"/>
          </w:tcPr>
          <w:p>
            <w:pPr>
              <w:pStyle w:val="TableParagraph"/>
              <w:spacing w:line="240" w:lineRule="auto" w:before="114"/>
              <w:ind w:left="11"/>
              <w:rPr>
                <w:sz w:val="20"/>
              </w:rPr>
            </w:pPr>
            <w:r>
              <w:rPr>
                <w:sz w:val="20"/>
              </w:rPr>
              <w:t>20</w:t>
            </w:r>
            <w:r>
              <w:rPr>
                <w:spacing w:val="-3"/>
                <w:sz w:val="20"/>
              </w:rPr>
              <w:t> </w:t>
            </w:r>
            <w:r>
              <w:rPr>
                <w:sz w:val="20"/>
              </w:rPr>
              <w:t>a</w:t>
            </w:r>
            <w:r>
              <w:rPr>
                <w:spacing w:val="-1"/>
                <w:sz w:val="20"/>
              </w:rPr>
              <w:t> </w:t>
            </w:r>
            <w:r>
              <w:rPr>
                <w:spacing w:val="-5"/>
                <w:sz w:val="20"/>
              </w:rPr>
              <w:t>30%</w:t>
            </w:r>
          </w:p>
        </w:tc>
      </w:tr>
      <w:tr>
        <w:trPr>
          <w:trHeight w:val="460" w:hRule="atLeast"/>
        </w:trPr>
        <w:tc>
          <w:tcPr>
            <w:tcW w:w="1066" w:type="dxa"/>
          </w:tcPr>
          <w:p>
            <w:pPr>
              <w:pStyle w:val="TableParagraph"/>
              <w:spacing w:line="240" w:lineRule="auto" w:before="114"/>
              <w:ind w:left="9"/>
              <w:rPr>
                <w:sz w:val="20"/>
              </w:rPr>
            </w:pPr>
            <w:r>
              <w:rPr>
                <w:spacing w:val="-5"/>
                <w:sz w:val="20"/>
              </w:rPr>
              <w:t>360</w:t>
            </w:r>
          </w:p>
        </w:tc>
        <w:tc>
          <w:tcPr>
            <w:tcW w:w="6806" w:type="dxa"/>
          </w:tcPr>
          <w:p>
            <w:pPr>
              <w:pStyle w:val="TableParagraph"/>
              <w:spacing w:line="230" w:lineRule="exact"/>
              <w:jc w:val="left"/>
              <w:rPr>
                <w:sz w:val="20"/>
              </w:rPr>
            </w:pPr>
            <w:r>
              <w:rPr>
                <w:sz w:val="20"/>
              </w:rPr>
              <w:t>Estrechamiento</w:t>
            </w:r>
            <w:r>
              <w:rPr>
                <w:spacing w:val="40"/>
                <w:sz w:val="20"/>
              </w:rPr>
              <w:t> </w:t>
            </w:r>
            <w:r>
              <w:rPr>
                <w:sz w:val="20"/>
              </w:rPr>
              <w:t>del</w:t>
            </w:r>
            <w:r>
              <w:rPr>
                <w:spacing w:val="40"/>
                <w:sz w:val="20"/>
              </w:rPr>
              <w:t> </w:t>
            </w:r>
            <w:r>
              <w:rPr>
                <w:sz w:val="20"/>
              </w:rPr>
              <w:t>campo</w:t>
            </w:r>
            <w:r>
              <w:rPr>
                <w:spacing w:val="40"/>
                <w:sz w:val="20"/>
              </w:rPr>
              <w:t> </w:t>
            </w:r>
            <w:r>
              <w:rPr>
                <w:sz w:val="20"/>
              </w:rPr>
              <w:t>visual,</w:t>
            </w:r>
            <w:r>
              <w:rPr>
                <w:spacing w:val="40"/>
                <w:sz w:val="20"/>
              </w:rPr>
              <w:t> </w:t>
            </w:r>
            <w:r>
              <w:rPr>
                <w:sz w:val="20"/>
              </w:rPr>
              <w:t>con</w:t>
            </w:r>
            <w:r>
              <w:rPr>
                <w:spacing w:val="40"/>
                <w:sz w:val="20"/>
              </w:rPr>
              <w:t> </w:t>
            </w:r>
            <w:r>
              <w:rPr>
                <w:sz w:val="20"/>
              </w:rPr>
              <w:t>conservación</w:t>
            </w:r>
            <w:r>
              <w:rPr>
                <w:spacing w:val="40"/>
                <w:sz w:val="20"/>
              </w:rPr>
              <w:t> </w:t>
            </w:r>
            <w:r>
              <w:rPr>
                <w:sz w:val="20"/>
              </w:rPr>
              <w:t>de</w:t>
            </w:r>
            <w:r>
              <w:rPr>
                <w:spacing w:val="40"/>
                <w:sz w:val="20"/>
              </w:rPr>
              <w:t> </w:t>
            </w:r>
            <w:r>
              <w:rPr>
                <w:sz w:val="20"/>
              </w:rPr>
              <w:t>menos</w:t>
            </w:r>
            <w:r>
              <w:rPr>
                <w:spacing w:val="40"/>
                <w:sz w:val="20"/>
              </w:rPr>
              <w:t> </w:t>
            </w:r>
            <w:r>
              <w:rPr>
                <w:sz w:val="20"/>
              </w:rPr>
              <w:t>de</w:t>
            </w:r>
            <w:r>
              <w:rPr>
                <w:spacing w:val="40"/>
                <w:sz w:val="20"/>
              </w:rPr>
              <w:t> </w:t>
            </w:r>
            <w:r>
              <w:rPr>
                <w:sz w:val="20"/>
              </w:rPr>
              <w:t>30 grados en un solo ojo.</w:t>
            </w:r>
          </w:p>
        </w:tc>
        <w:tc>
          <w:tcPr>
            <w:tcW w:w="1678" w:type="dxa"/>
          </w:tcPr>
          <w:p>
            <w:pPr>
              <w:pStyle w:val="TableParagraph"/>
              <w:spacing w:line="240" w:lineRule="auto" w:before="114"/>
              <w:ind w:left="11"/>
              <w:rPr>
                <w:sz w:val="20"/>
              </w:rPr>
            </w:pPr>
            <w:r>
              <w:rPr>
                <w:sz w:val="20"/>
              </w:rPr>
              <w:t>30</w:t>
            </w:r>
            <w:r>
              <w:rPr>
                <w:spacing w:val="-3"/>
                <w:sz w:val="20"/>
              </w:rPr>
              <w:t> </w:t>
            </w:r>
            <w:r>
              <w:rPr>
                <w:sz w:val="20"/>
              </w:rPr>
              <w:t>a</w:t>
            </w:r>
            <w:r>
              <w:rPr>
                <w:spacing w:val="-1"/>
                <w:sz w:val="20"/>
              </w:rPr>
              <w:t> </w:t>
            </w:r>
            <w:r>
              <w:rPr>
                <w:spacing w:val="-5"/>
                <w:sz w:val="20"/>
              </w:rPr>
              <w:t>50%</w:t>
            </w:r>
          </w:p>
        </w:tc>
      </w:tr>
      <w:tr>
        <w:trPr>
          <w:trHeight w:val="460" w:hRule="atLeast"/>
        </w:trPr>
        <w:tc>
          <w:tcPr>
            <w:tcW w:w="1066" w:type="dxa"/>
          </w:tcPr>
          <w:p>
            <w:pPr>
              <w:pStyle w:val="TableParagraph"/>
              <w:spacing w:line="240" w:lineRule="auto" w:before="114"/>
              <w:ind w:left="9"/>
              <w:rPr>
                <w:sz w:val="20"/>
              </w:rPr>
            </w:pPr>
            <w:r>
              <w:rPr>
                <w:spacing w:val="-5"/>
                <w:sz w:val="20"/>
              </w:rPr>
              <w:t>361</w:t>
            </w:r>
          </w:p>
        </w:tc>
        <w:tc>
          <w:tcPr>
            <w:tcW w:w="6806" w:type="dxa"/>
          </w:tcPr>
          <w:p>
            <w:pPr>
              <w:pStyle w:val="TableParagraph"/>
              <w:spacing w:line="230" w:lineRule="exact"/>
              <w:jc w:val="left"/>
              <w:rPr>
                <w:sz w:val="20"/>
              </w:rPr>
            </w:pPr>
            <w:r>
              <w:rPr>
                <w:sz w:val="20"/>
              </w:rPr>
              <w:t>Estrechamiento</w:t>
            </w:r>
            <w:r>
              <w:rPr>
                <w:spacing w:val="40"/>
                <w:sz w:val="20"/>
              </w:rPr>
              <w:t> </w:t>
            </w:r>
            <w:r>
              <w:rPr>
                <w:sz w:val="20"/>
              </w:rPr>
              <w:t>del</w:t>
            </w:r>
            <w:r>
              <w:rPr>
                <w:spacing w:val="40"/>
                <w:sz w:val="20"/>
              </w:rPr>
              <w:t> </w:t>
            </w:r>
            <w:r>
              <w:rPr>
                <w:sz w:val="20"/>
              </w:rPr>
              <w:t>campo</w:t>
            </w:r>
            <w:r>
              <w:rPr>
                <w:spacing w:val="40"/>
                <w:sz w:val="20"/>
              </w:rPr>
              <w:t> </w:t>
            </w:r>
            <w:r>
              <w:rPr>
                <w:sz w:val="20"/>
              </w:rPr>
              <w:t>visual,</w:t>
            </w:r>
            <w:r>
              <w:rPr>
                <w:spacing w:val="40"/>
                <w:sz w:val="20"/>
              </w:rPr>
              <w:t> </w:t>
            </w:r>
            <w:r>
              <w:rPr>
                <w:sz w:val="20"/>
              </w:rPr>
              <w:t>con</w:t>
            </w:r>
            <w:r>
              <w:rPr>
                <w:spacing w:val="40"/>
                <w:sz w:val="20"/>
              </w:rPr>
              <w:t> </w:t>
            </w:r>
            <w:r>
              <w:rPr>
                <w:sz w:val="20"/>
              </w:rPr>
              <w:t>conservación</w:t>
            </w:r>
            <w:r>
              <w:rPr>
                <w:spacing w:val="40"/>
                <w:sz w:val="20"/>
              </w:rPr>
              <w:t> </w:t>
            </w:r>
            <w:r>
              <w:rPr>
                <w:sz w:val="20"/>
              </w:rPr>
              <w:t>de</w:t>
            </w:r>
            <w:r>
              <w:rPr>
                <w:spacing w:val="40"/>
                <w:sz w:val="20"/>
              </w:rPr>
              <w:t> </w:t>
            </w:r>
            <w:r>
              <w:rPr>
                <w:sz w:val="20"/>
              </w:rPr>
              <w:t>menos</w:t>
            </w:r>
            <w:r>
              <w:rPr>
                <w:spacing w:val="40"/>
                <w:sz w:val="20"/>
              </w:rPr>
              <w:t> </w:t>
            </w:r>
            <w:r>
              <w:rPr>
                <w:sz w:val="20"/>
              </w:rPr>
              <w:t>de</w:t>
            </w:r>
            <w:r>
              <w:rPr>
                <w:spacing w:val="40"/>
                <w:sz w:val="20"/>
              </w:rPr>
              <w:t> </w:t>
            </w:r>
            <w:r>
              <w:rPr>
                <w:sz w:val="20"/>
              </w:rPr>
              <w:t>30 grados, en ambos ojos.</w:t>
            </w:r>
          </w:p>
        </w:tc>
        <w:tc>
          <w:tcPr>
            <w:tcW w:w="1678" w:type="dxa"/>
          </w:tcPr>
          <w:p>
            <w:pPr>
              <w:pStyle w:val="TableParagraph"/>
              <w:spacing w:line="240" w:lineRule="auto" w:before="114"/>
              <w:ind w:left="11" w:right="3"/>
              <w:rPr>
                <w:sz w:val="20"/>
              </w:rPr>
            </w:pPr>
            <w:r>
              <w:rPr>
                <w:sz w:val="20"/>
              </w:rPr>
              <w:t>30</w:t>
            </w:r>
            <w:r>
              <w:rPr>
                <w:spacing w:val="-3"/>
                <w:sz w:val="20"/>
              </w:rPr>
              <w:t> </w:t>
            </w:r>
            <w:r>
              <w:rPr>
                <w:sz w:val="20"/>
              </w:rPr>
              <w:t>a</w:t>
            </w:r>
            <w:r>
              <w:rPr>
                <w:spacing w:val="-1"/>
                <w:sz w:val="20"/>
              </w:rPr>
              <w:t> </w:t>
            </w:r>
            <w:r>
              <w:rPr>
                <w:spacing w:val="-4"/>
                <w:sz w:val="20"/>
              </w:rPr>
              <w:t>100%</w:t>
            </w:r>
          </w:p>
        </w:tc>
      </w:tr>
    </w:tbl>
    <w:p>
      <w:pPr>
        <w:spacing w:before="229"/>
        <w:ind w:left="294" w:right="296" w:firstLine="0"/>
        <w:jc w:val="center"/>
        <w:rPr>
          <w:rFonts w:ascii="Arial"/>
          <w:b/>
          <w:sz w:val="20"/>
        </w:rPr>
      </w:pPr>
      <w:r>
        <w:rPr>
          <w:rFonts w:ascii="Arial"/>
          <w:b/>
          <w:spacing w:val="-2"/>
          <w:sz w:val="20"/>
        </w:rPr>
        <w:t>Hemianopsias</w:t>
      </w:r>
      <w:r>
        <w:rPr>
          <w:rFonts w:ascii="Arial"/>
          <w:b/>
          <w:spacing w:val="9"/>
          <w:sz w:val="20"/>
        </w:rPr>
        <w:t> </w:t>
      </w:r>
      <w:r>
        <w:rPr>
          <w:rFonts w:ascii="Arial"/>
          <w:b/>
          <w:spacing w:val="-2"/>
          <w:sz w:val="20"/>
        </w:rPr>
        <w:t>verticales</w:t>
      </w:r>
    </w:p>
    <w:p>
      <w:pPr>
        <w:pStyle w:val="BodyText"/>
        <w:spacing w:before="1"/>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844"/>
        <w:gridCol w:w="1639"/>
      </w:tblGrid>
      <w:tr>
        <w:trPr>
          <w:trHeight w:val="229" w:hRule="atLeast"/>
        </w:trPr>
        <w:tc>
          <w:tcPr>
            <w:tcW w:w="1066" w:type="dxa"/>
          </w:tcPr>
          <w:p>
            <w:pPr>
              <w:pStyle w:val="TableParagraph"/>
              <w:ind w:left="9"/>
              <w:rPr>
                <w:sz w:val="20"/>
              </w:rPr>
            </w:pPr>
            <w:r>
              <w:rPr>
                <w:spacing w:val="-5"/>
                <w:sz w:val="20"/>
              </w:rPr>
              <w:t>362</w:t>
            </w:r>
          </w:p>
        </w:tc>
        <w:tc>
          <w:tcPr>
            <w:tcW w:w="6844" w:type="dxa"/>
          </w:tcPr>
          <w:p>
            <w:pPr>
              <w:pStyle w:val="TableParagraph"/>
              <w:jc w:val="left"/>
              <w:rPr>
                <w:sz w:val="20"/>
              </w:rPr>
            </w:pPr>
            <w:r>
              <w:rPr>
                <w:sz w:val="20"/>
              </w:rPr>
              <w:t>Homónimas,</w:t>
            </w:r>
            <w:r>
              <w:rPr>
                <w:spacing w:val="-7"/>
                <w:sz w:val="20"/>
              </w:rPr>
              <w:t> </w:t>
            </w:r>
            <w:r>
              <w:rPr>
                <w:sz w:val="20"/>
              </w:rPr>
              <w:t>derecha</w:t>
            </w:r>
            <w:r>
              <w:rPr>
                <w:spacing w:val="-8"/>
                <w:sz w:val="20"/>
              </w:rPr>
              <w:t> </w:t>
            </w:r>
            <w:r>
              <w:rPr>
                <w:sz w:val="20"/>
              </w:rPr>
              <w:t>o</w:t>
            </w:r>
            <w:r>
              <w:rPr>
                <w:spacing w:val="-7"/>
                <w:sz w:val="20"/>
              </w:rPr>
              <w:t> </w:t>
            </w:r>
            <w:r>
              <w:rPr>
                <w:spacing w:val="-2"/>
                <w:sz w:val="20"/>
              </w:rPr>
              <w:t>izquierda.</w:t>
            </w:r>
          </w:p>
        </w:tc>
        <w:tc>
          <w:tcPr>
            <w:tcW w:w="1639" w:type="dxa"/>
          </w:tcPr>
          <w:p>
            <w:pPr>
              <w:pStyle w:val="TableParagraph"/>
              <w:ind w:left="7"/>
              <w:rPr>
                <w:sz w:val="20"/>
              </w:rPr>
            </w:pPr>
            <w:r>
              <w:rPr>
                <w:sz w:val="20"/>
              </w:rPr>
              <w:t>40</w:t>
            </w:r>
            <w:r>
              <w:rPr>
                <w:spacing w:val="-3"/>
                <w:sz w:val="20"/>
              </w:rPr>
              <w:t> </w:t>
            </w:r>
            <w:r>
              <w:rPr>
                <w:sz w:val="20"/>
              </w:rPr>
              <w:t>a</w:t>
            </w:r>
            <w:r>
              <w:rPr>
                <w:spacing w:val="-1"/>
                <w:sz w:val="20"/>
              </w:rPr>
              <w:t> </w:t>
            </w:r>
            <w:r>
              <w:rPr>
                <w:spacing w:val="-5"/>
                <w:sz w:val="20"/>
              </w:rPr>
              <w:t>50%</w:t>
            </w:r>
          </w:p>
        </w:tc>
      </w:tr>
      <w:tr>
        <w:trPr>
          <w:trHeight w:val="232" w:hRule="atLeast"/>
        </w:trPr>
        <w:tc>
          <w:tcPr>
            <w:tcW w:w="1066" w:type="dxa"/>
          </w:tcPr>
          <w:p>
            <w:pPr>
              <w:pStyle w:val="TableParagraph"/>
              <w:spacing w:before="1"/>
              <w:ind w:left="9"/>
              <w:rPr>
                <w:sz w:val="20"/>
              </w:rPr>
            </w:pPr>
            <w:r>
              <w:rPr>
                <w:spacing w:val="-5"/>
                <w:sz w:val="20"/>
              </w:rPr>
              <w:t>363</w:t>
            </w:r>
          </w:p>
        </w:tc>
        <w:tc>
          <w:tcPr>
            <w:tcW w:w="6844" w:type="dxa"/>
          </w:tcPr>
          <w:p>
            <w:pPr>
              <w:pStyle w:val="TableParagraph"/>
              <w:spacing w:before="1"/>
              <w:jc w:val="left"/>
              <w:rPr>
                <w:sz w:val="20"/>
              </w:rPr>
            </w:pPr>
            <w:r>
              <w:rPr>
                <w:sz w:val="20"/>
              </w:rPr>
              <w:t>Heterónimas</w:t>
            </w:r>
            <w:r>
              <w:rPr>
                <w:spacing w:val="-14"/>
                <w:sz w:val="20"/>
              </w:rPr>
              <w:t> </w:t>
            </w:r>
            <w:r>
              <w:rPr>
                <w:spacing w:val="-2"/>
                <w:sz w:val="20"/>
              </w:rPr>
              <w:t>binasales.</w:t>
            </w:r>
          </w:p>
        </w:tc>
        <w:tc>
          <w:tcPr>
            <w:tcW w:w="1639" w:type="dxa"/>
          </w:tcPr>
          <w:p>
            <w:pPr>
              <w:pStyle w:val="TableParagraph"/>
              <w:spacing w:before="1"/>
              <w:ind w:left="7"/>
              <w:rPr>
                <w:sz w:val="20"/>
              </w:rPr>
            </w:pPr>
            <w:r>
              <w:rPr>
                <w:sz w:val="20"/>
              </w:rPr>
              <w:t>40</w:t>
            </w:r>
            <w:r>
              <w:rPr>
                <w:spacing w:val="-3"/>
                <w:sz w:val="20"/>
              </w:rPr>
              <w:t> </w:t>
            </w:r>
            <w:r>
              <w:rPr>
                <w:sz w:val="20"/>
              </w:rPr>
              <w:t>a</w:t>
            </w:r>
            <w:r>
              <w:rPr>
                <w:spacing w:val="-1"/>
                <w:sz w:val="20"/>
              </w:rPr>
              <w:t> </w:t>
            </w:r>
            <w:r>
              <w:rPr>
                <w:spacing w:val="-5"/>
                <w:sz w:val="20"/>
              </w:rPr>
              <w:t>50%</w:t>
            </w:r>
          </w:p>
        </w:tc>
      </w:tr>
      <w:tr>
        <w:trPr>
          <w:trHeight w:val="229" w:hRule="atLeast"/>
        </w:trPr>
        <w:tc>
          <w:tcPr>
            <w:tcW w:w="1066" w:type="dxa"/>
          </w:tcPr>
          <w:p>
            <w:pPr>
              <w:pStyle w:val="TableParagraph"/>
              <w:ind w:left="9"/>
              <w:rPr>
                <w:sz w:val="20"/>
              </w:rPr>
            </w:pPr>
            <w:r>
              <w:rPr>
                <w:spacing w:val="-5"/>
                <w:sz w:val="20"/>
              </w:rPr>
              <w:t>364</w:t>
            </w:r>
          </w:p>
        </w:tc>
        <w:tc>
          <w:tcPr>
            <w:tcW w:w="6844" w:type="dxa"/>
          </w:tcPr>
          <w:p>
            <w:pPr>
              <w:pStyle w:val="TableParagraph"/>
              <w:jc w:val="left"/>
              <w:rPr>
                <w:sz w:val="20"/>
              </w:rPr>
            </w:pPr>
            <w:r>
              <w:rPr>
                <w:sz w:val="20"/>
              </w:rPr>
              <w:t>Heterónimas</w:t>
            </w:r>
            <w:r>
              <w:rPr>
                <w:spacing w:val="-14"/>
                <w:sz w:val="20"/>
              </w:rPr>
              <w:t> </w:t>
            </w:r>
            <w:r>
              <w:rPr>
                <w:spacing w:val="-2"/>
                <w:sz w:val="20"/>
              </w:rPr>
              <w:t>bitemporales.</w:t>
            </w:r>
          </w:p>
        </w:tc>
        <w:tc>
          <w:tcPr>
            <w:tcW w:w="1639" w:type="dxa"/>
          </w:tcPr>
          <w:p>
            <w:pPr>
              <w:pStyle w:val="TableParagraph"/>
              <w:ind w:left="7"/>
              <w:rPr>
                <w:sz w:val="20"/>
              </w:rPr>
            </w:pPr>
            <w:r>
              <w:rPr>
                <w:sz w:val="20"/>
              </w:rPr>
              <w:t>50</w:t>
            </w:r>
            <w:r>
              <w:rPr>
                <w:spacing w:val="-3"/>
                <w:sz w:val="20"/>
              </w:rPr>
              <w:t> </w:t>
            </w:r>
            <w:r>
              <w:rPr>
                <w:sz w:val="20"/>
              </w:rPr>
              <w:t>a</w:t>
            </w:r>
            <w:r>
              <w:rPr>
                <w:spacing w:val="-1"/>
                <w:sz w:val="20"/>
              </w:rPr>
              <w:t> </w:t>
            </w:r>
            <w:r>
              <w:rPr>
                <w:spacing w:val="-5"/>
                <w:sz w:val="20"/>
              </w:rPr>
              <w:t>60%</w:t>
            </w:r>
          </w:p>
        </w:tc>
      </w:tr>
    </w:tbl>
    <w:p>
      <w:pPr>
        <w:spacing w:before="226"/>
        <w:ind w:left="294" w:right="296" w:firstLine="0"/>
        <w:jc w:val="center"/>
        <w:rPr>
          <w:rFonts w:ascii="Arial"/>
          <w:b/>
          <w:sz w:val="20"/>
        </w:rPr>
      </w:pPr>
      <w:r>
        <w:rPr>
          <w:rFonts w:ascii="Arial"/>
          <w:b/>
          <w:spacing w:val="-2"/>
          <w:sz w:val="20"/>
        </w:rPr>
        <w:t>Hemianopsias</w:t>
      </w:r>
      <w:r>
        <w:rPr>
          <w:rFonts w:ascii="Arial"/>
          <w:b/>
          <w:spacing w:val="9"/>
          <w:sz w:val="20"/>
        </w:rPr>
        <w:t> </w:t>
      </w:r>
      <w:r>
        <w:rPr>
          <w:rFonts w:ascii="Arial"/>
          <w:b/>
          <w:spacing w:val="-2"/>
          <w:sz w:val="20"/>
        </w:rPr>
        <w:t>horizontales</w:t>
      </w:r>
    </w:p>
    <w:p>
      <w:pPr>
        <w:pStyle w:val="BodyText"/>
        <w:spacing w:before="3" w:after="1"/>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866"/>
        <w:gridCol w:w="1618"/>
      </w:tblGrid>
      <w:tr>
        <w:trPr>
          <w:trHeight w:val="229" w:hRule="atLeast"/>
        </w:trPr>
        <w:tc>
          <w:tcPr>
            <w:tcW w:w="1066" w:type="dxa"/>
          </w:tcPr>
          <w:p>
            <w:pPr>
              <w:pStyle w:val="TableParagraph"/>
              <w:ind w:left="9"/>
              <w:rPr>
                <w:sz w:val="20"/>
              </w:rPr>
            </w:pPr>
            <w:r>
              <w:rPr>
                <w:spacing w:val="-5"/>
                <w:sz w:val="20"/>
              </w:rPr>
              <w:t>365</w:t>
            </w:r>
          </w:p>
        </w:tc>
        <w:tc>
          <w:tcPr>
            <w:tcW w:w="6866" w:type="dxa"/>
          </w:tcPr>
          <w:p>
            <w:pPr>
              <w:pStyle w:val="TableParagraph"/>
              <w:jc w:val="left"/>
              <w:rPr>
                <w:sz w:val="20"/>
              </w:rPr>
            </w:pPr>
            <w:r>
              <w:rPr>
                <w:spacing w:val="-2"/>
                <w:sz w:val="20"/>
              </w:rPr>
              <w:t>Superiores.</w:t>
            </w:r>
          </w:p>
        </w:tc>
        <w:tc>
          <w:tcPr>
            <w:tcW w:w="1618" w:type="dxa"/>
          </w:tcPr>
          <w:p>
            <w:pPr>
              <w:pStyle w:val="TableParagraph"/>
              <w:ind w:left="8"/>
              <w:rPr>
                <w:sz w:val="20"/>
              </w:rPr>
            </w:pPr>
            <w:r>
              <w:rPr>
                <w:sz w:val="20"/>
              </w:rPr>
              <w:t>10</w:t>
            </w:r>
            <w:r>
              <w:rPr>
                <w:spacing w:val="-3"/>
                <w:sz w:val="20"/>
              </w:rPr>
              <w:t> </w:t>
            </w:r>
            <w:r>
              <w:rPr>
                <w:sz w:val="20"/>
              </w:rPr>
              <w:t>a</w:t>
            </w:r>
            <w:r>
              <w:rPr>
                <w:spacing w:val="-1"/>
                <w:sz w:val="20"/>
              </w:rPr>
              <w:t> </w:t>
            </w:r>
            <w:r>
              <w:rPr>
                <w:spacing w:val="-5"/>
                <w:sz w:val="20"/>
              </w:rPr>
              <w:t>15%</w:t>
            </w:r>
          </w:p>
        </w:tc>
      </w:tr>
      <w:tr>
        <w:trPr>
          <w:trHeight w:val="232" w:hRule="atLeast"/>
        </w:trPr>
        <w:tc>
          <w:tcPr>
            <w:tcW w:w="1066" w:type="dxa"/>
          </w:tcPr>
          <w:p>
            <w:pPr>
              <w:pStyle w:val="TableParagraph"/>
              <w:spacing w:line="212" w:lineRule="exact"/>
              <w:ind w:left="9"/>
              <w:rPr>
                <w:sz w:val="20"/>
              </w:rPr>
            </w:pPr>
            <w:r>
              <w:rPr>
                <w:spacing w:val="-5"/>
                <w:sz w:val="20"/>
              </w:rPr>
              <w:t>366</w:t>
            </w:r>
          </w:p>
        </w:tc>
        <w:tc>
          <w:tcPr>
            <w:tcW w:w="6866" w:type="dxa"/>
          </w:tcPr>
          <w:p>
            <w:pPr>
              <w:pStyle w:val="TableParagraph"/>
              <w:spacing w:line="212" w:lineRule="exact"/>
              <w:jc w:val="left"/>
              <w:rPr>
                <w:sz w:val="20"/>
              </w:rPr>
            </w:pPr>
            <w:r>
              <w:rPr>
                <w:spacing w:val="-2"/>
                <w:sz w:val="20"/>
              </w:rPr>
              <w:t>Inferiores.</w:t>
            </w:r>
          </w:p>
        </w:tc>
        <w:tc>
          <w:tcPr>
            <w:tcW w:w="1618" w:type="dxa"/>
          </w:tcPr>
          <w:p>
            <w:pPr>
              <w:pStyle w:val="TableParagraph"/>
              <w:spacing w:line="212" w:lineRule="exact"/>
              <w:ind w:left="8"/>
              <w:rPr>
                <w:sz w:val="20"/>
              </w:rPr>
            </w:pPr>
            <w:r>
              <w:rPr>
                <w:sz w:val="20"/>
              </w:rPr>
              <w:t>30</w:t>
            </w:r>
            <w:r>
              <w:rPr>
                <w:spacing w:val="-3"/>
                <w:sz w:val="20"/>
              </w:rPr>
              <w:t> </w:t>
            </w:r>
            <w:r>
              <w:rPr>
                <w:sz w:val="20"/>
              </w:rPr>
              <w:t>a</w:t>
            </w:r>
            <w:r>
              <w:rPr>
                <w:spacing w:val="-1"/>
                <w:sz w:val="20"/>
              </w:rPr>
              <w:t> </w:t>
            </w:r>
            <w:r>
              <w:rPr>
                <w:spacing w:val="-5"/>
                <w:sz w:val="20"/>
              </w:rPr>
              <w:t>50%</w:t>
            </w:r>
          </w:p>
        </w:tc>
      </w:tr>
    </w:tbl>
    <w:p>
      <w:pPr>
        <w:pStyle w:val="TableParagraph"/>
        <w:spacing w:after="0" w:line="212" w:lineRule="exact"/>
        <w:rPr>
          <w:sz w:val="20"/>
        </w:rPr>
        <w:sectPr>
          <w:pgSz w:w="12240" w:h="15840"/>
          <w:pgMar w:header="724" w:footer="712" w:top="1880" w:bottom="900" w:left="1080" w:right="1080"/>
        </w:sectPr>
      </w:pPr>
    </w:p>
    <w:p>
      <w:pPr>
        <w:pStyle w:val="BodyText"/>
        <w:rPr>
          <w:rFonts w:ascii="Arial"/>
          <w:b/>
        </w:rPr>
      </w:pPr>
    </w:p>
    <w:p>
      <w:pPr>
        <w:pStyle w:val="BodyText"/>
        <w:spacing w:before="63"/>
        <w:rPr>
          <w:rFonts w:ascii="Arial"/>
          <w:b/>
        </w:rPr>
      </w:pPr>
    </w:p>
    <w:p>
      <w:pPr>
        <w:spacing w:before="0"/>
        <w:ind w:left="301" w:right="296" w:firstLine="0"/>
        <w:jc w:val="center"/>
        <w:rPr>
          <w:rFonts w:ascii="Arial" w:hAnsi="Arial"/>
          <w:b/>
          <w:sz w:val="20"/>
        </w:rPr>
      </w:pPr>
      <w:r>
        <w:rPr>
          <w:rFonts w:ascii="Arial" w:hAnsi="Arial"/>
          <w:b/>
          <w:sz w:val="20"/>
        </w:rPr>
        <w:t>Hemianopsia</w:t>
      </w:r>
      <w:r>
        <w:rPr>
          <w:rFonts w:ascii="Arial" w:hAnsi="Arial"/>
          <w:b/>
          <w:spacing w:val="-4"/>
          <w:sz w:val="20"/>
        </w:rPr>
        <w:t> </w:t>
      </w:r>
      <w:r>
        <w:rPr>
          <w:rFonts w:ascii="Arial" w:hAnsi="Arial"/>
          <w:b/>
          <w:sz w:val="20"/>
        </w:rPr>
        <w:t>en</w:t>
      </w:r>
      <w:r>
        <w:rPr>
          <w:rFonts w:ascii="Arial" w:hAnsi="Arial"/>
          <w:b/>
          <w:spacing w:val="-1"/>
          <w:sz w:val="20"/>
        </w:rPr>
        <w:t> </w:t>
      </w:r>
      <w:r>
        <w:rPr>
          <w:rFonts w:ascii="Arial" w:hAnsi="Arial"/>
          <w:b/>
          <w:sz w:val="20"/>
        </w:rPr>
        <w:t>sujetos</w:t>
      </w:r>
      <w:r>
        <w:rPr>
          <w:rFonts w:ascii="Arial" w:hAnsi="Arial"/>
          <w:b/>
          <w:spacing w:val="-2"/>
          <w:sz w:val="20"/>
        </w:rPr>
        <w:t> </w:t>
      </w:r>
      <w:r>
        <w:rPr>
          <w:rFonts w:ascii="Arial" w:hAnsi="Arial"/>
          <w:b/>
          <w:sz w:val="20"/>
        </w:rPr>
        <w:t>monóculos</w:t>
      </w:r>
      <w:r>
        <w:rPr>
          <w:rFonts w:ascii="Arial" w:hAnsi="Arial"/>
          <w:b/>
          <w:spacing w:val="-4"/>
          <w:sz w:val="20"/>
        </w:rPr>
        <w:t> </w:t>
      </w:r>
      <w:r>
        <w:rPr>
          <w:rFonts w:ascii="Arial" w:hAnsi="Arial"/>
          <w:b/>
          <w:sz w:val="20"/>
        </w:rPr>
        <w:t>(visión</w:t>
      </w:r>
      <w:r>
        <w:rPr>
          <w:rFonts w:ascii="Arial" w:hAnsi="Arial"/>
          <w:b/>
          <w:spacing w:val="-3"/>
          <w:sz w:val="20"/>
        </w:rPr>
        <w:t> </w:t>
      </w:r>
      <w:r>
        <w:rPr>
          <w:rFonts w:ascii="Arial" w:hAnsi="Arial"/>
          <w:b/>
          <w:sz w:val="20"/>
        </w:rPr>
        <w:t>conservada</w:t>
      </w:r>
      <w:r>
        <w:rPr>
          <w:rFonts w:ascii="Arial" w:hAnsi="Arial"/>
          <w:b/>
          <w:spacing w:val="-4"/>
          <w:sz w:val="20"/>
        </w:rPr>
        <w:t> </w:t>
      </w:r>
      <w:r>
        <w:rPr>
          <w:rFonts w:ascii="Arial" w:hAnsi="Arial"/>
          <w:b/>
          <w:sz w:val="20"/>
        </w:rPr>
        <w:t>en</w:t>
      </w:r>
      <w:r>
        <w:rPr>
          <w:rFonts w:ascii="Arial" w:hAnsi="Arial"/>
          <w:b/>
          <w:spacing w:val="-4"/>
          <w:sz w:val="20"/>
        </w:rPr>
        <w:t> </w:t>
      </w:r>
      <w:r>
        <w:rPr>
          <w:rFonts w:ascii="Arial" w:hAnsi="Arial"/>
          <w:b/>
          <w:sz w:val="20"/>
        </w:rPr>
        <w:t>un</w:t>
      </w:r>
      <w:r>
        <w:rPr>
          <w:rFonts w:ascii="Arial" w:hAnsi="Arial"/>
          <w:b/>
          <w:spacing w:val="-3"/>
          <w:sz w:val="20"/>
        </w:rPr>
        <w:t> </w:t>
      </w:r>
      <w:r>
        <w:rPr>
          <w:rFonts w:ascii="Arial" w:hAnsi="Arial"/>
          <w:b/>
          <w:sz w:val="20"/>
        </w:rPr>
        <w:t>ojo</w:t>
      </w:r>
      <w:r>
        <w:rPr>
          <w:rFonts w:ascii="Arial" w:hAnsi="Arial"/>
          <w:b/>
          <w:spacing w:val="-1"/>
          <w:sz w:val="20"/>
        </w:rPr>
        <w:t> </w:t>
      </w:r>
      <w:r>
        <w:rPr>
          <w:rFonts w:ascii="Arial" w:hAnsi="Arial"/>
          <w:b/>
          <w:sz w:val="20"/>
        </w:rPr>
        <w:t>y</w:t>
      </w:r>
      <w:r>
        <w:rPr>
          <w:rFonts w:ascii="Arial" w:hAnsi="Arial"/>
          <w:b/>
          <w:spacing w:val="-4"/>
          <w:sz w:val="20"/>
        </w:rPr>
        <w:t> </w:t>
      </w:r>
      <w:r>
        <w:rPr>
          <w:rFonts w:ascii="Arial" w:hAnsi="Arial"/>
          <w:b/>
          <w:sz w:val="20"/>
        </w:rPr>
        <w:t>abolida</w:t>
      </w:r>
      <w:r>
        <w:rPr>
          <w:rFonts w:ascii="Arial" w:hAnsi="Arial"/>
          <w:b/>
          <w:spacing w:val="-2"/>
          <w:sz w:val="20"/>
        </w:rPr>
        <w:t> </w:t>
      </w:r>
      <w:r>
        <w:rPr>
          <w:rFonts w:ascii="Arial" w:hAnsi="Arial"/>
          <w:b/>
          <w:sz w:val="20"/>
        </w:rPr>
        <w:t>o</w:t>
      </w:r>
      <w:r>
        <w:rPr>
          <w:rFonts w:ascii="Arial" w:hAnsi="Arial"/>
          <w:b/>
          <w:spacing w:val="-3"/>
          <w:sz w:val="20"/>
        </w:rPr>
        <w:t> </w:t>
      </w:r>
      <w:r>
        <w:rPr>
          <w:rFonts w:ascii="Arial" w:hAnsi="Arial"/>
          <w:b/>
          <w:sz w:val="20"/>
        </w:rPr>
        <w:t>menor</w:t>
      </w:r>
      <w:r>
        <w:rPr>
          <w:rFonts w:ascii="Arial" w:hAnsi="Arial"/>
          <w:b/>
          <w:spacing w:val="-4"/>
          <w:sz w:val="20"/>
        </w:rPr>
        <w:t> </w:t>
      </w:r>
      <w:r>
        <w:rPr>
          <w:rFonts w:ascii="Arial" w:hAnsi="Arial"/>
          <w:b/>
          <w:sz w:val="20"/>
        </w:rPr>
        <w:t>a</w:t>
      </w:r>
      <w:r>
        <w:rPr>
          <w:rFonts w:ascii="Arial" w:hAnsi="Arial"/>
          <w:b/>
          <w:spacing w:val="-2"/>
          <w:sz w:val="20"/>
        </w:rPr>
        <w:t> </w:t>
      </w:r>
      <w:r>
        <w:rPr>
          <w:rFonts w:ascii="Arial" w:hAnsi="Arial"/>
          <w:b/>
          <w:sz w:val="20"/>
        </w:rPr>
        <w:t>0.05</w:t>
      </w:r>
      <w:r>
        <w:rPr>
          <w:rFonts w:ascii="Arial" w:hAnsi="Arial"/>
          <w:b/>
          <w:spacing w:val="-4"/>
          <w:sz w:val="20"/>
        </w:rPr>
        <w:t> </w:t>
      </w:r>
      <w:r>
        <w:rPr>
          <w:rFonts w:ascii="Arial" w:hAnsi="Arial"/>
          <w:b/>
          <w:sz w:val="20"/>
        </w:rPr>
        <w:t>en</w:t>
      </w:r>
      <w:r>
        <w:rPr>
          <w:rFonts w:ascii="Arial" w:hAnsi="Arial"/>
          <w:b/>
          <w:spacing w:val="-1"/>
          <w:sz w:val="20"/>
        </w:rPr>
        <w:t> </w:t>
      </w:r>
      <w:r>
        <w:rPr>
          <w:rFonts w:ascii="Arial" w:hAnsi="Arial"/>
          <w:b/>
          <w:sz w:val="20"/>
        </w:rPr>
        <w:t>el contralateral), con visión central</w:t>
      </w:r>
    </w:p>
    <w:p>
      <w:pPr>
        <w:pStyle w:val="BodyText"/>
        <w:spacing w:before="4"/>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07"/>
        <w:gridCol w:w="1577"/>
      </w:tblGrid>
      <w:tr>
        <w:trPr>
          <w:trHeight w:val="229" w:hRule="atLeast"/>
        </w:trPr>
        <w:tc>
          <w:tcPr>
            <w:tcW w:w="1066" w:type="dxa"/>
          </w:tcPr>
          <w:p>
            <w:pPr>
              <w:pStyle w:val="TableParagraph"/>
              <w:ind w:left="9"/>
              <w:rPr>
                <w:sz w:val="20"/>
              </w:rPr>
            </w:pPr>
            <w:r>
              <w:rPr>
                <w:spacing w:val="-5"/>
                <w:sz w:val="20"/>
              </w:rPr>
              <w:t>367</w:t>
            </w:r>
          </w:p>
        </w:tc>
        <w:tc>
          <w:tcPr>
            <w:tcW w:w="6907" w:type="dxa"/>
          </w:tcPr>
          <w:p>
            <w:pPr>
              <w:pStyle w:val="TableParagraph"/>
              <w:jc w:val="left"/>
              <w:rPr>
                <w:sz w:val="20"/>
              </w:rPr>
            </w:pPr>
            <w:r>
              <w:rPr>
                <w:spacing w:val="-2"/>
                <w:sz w:val="20"/>
              </w:rPr>
              <w:t>Nasal.</w:t>
            </w:r>
          </w:p>
        </w:tc>
        <w:tc>
          <w:tcPr>
            <w:tcW w:w="1577" w:type="dxa"/>
          </w:tcPr>
          <w:p>
            <w:pPr>
              <w:pStyle w:val="TableParagraph"/>
              <w:ind w:left="9" w:right="3"/>
              <w:rPr>
                <w:sz w:val="20"/>
              </w:rPr>
            </w:pPr>
            <w:r>
              <w:rPr>
                <w:sz w:val="20"/>
              </w:rPr>
              <w:t>60</w:t>
            </w:r>
            <w:r>
              <w:rPr>
                <w:spacing w:val="-3"/>
                <w:sz w:val="20"/>
              </w:rPr>
              <w:t> </w:t>
            </w:r>
            <w:r>
              <w:rPr>
                <w:sz w:val="20"/>
              </w:rPr>
              <w:t>a</w:t>
            </w:r>
            <w:r>
              <w:rPr>
                <w:spacing w:val="-1"/>
                <w:sz w:val="20"/>
              </w:rPr>
              <w:t> </w:t>
            </w:r>
            <w:r>
              <w:rPr>
                <w:spacing w:val="-5"/>
                <w:sz w:val="20"/>
              </w:rPr>
              <w:t>70%</w:t>
            </w:r>
          </w:p>
        </w:tc>
      </w:tr>
      <w:tr>
        <w:trPr>
          <w:trHeight w:val="229" w:hRule="atLeast"/>
        </w:trPr>
        <w:tc>
          <w:tcPr>
            <w:tcW w:w="1066" w:type="dxa"/>
          </w:tcPr>
          <w:p>
            <w:pPr>
              <w:pStyle w:val="TableParagraph"/>
              <w:ind w:left="9"/>
              <w:rPr>
                <w:sz w:val="20"/>
              </w:rPr>
            </w:pPr>
            <w:r>
              <w:rPr>
                <w:spacing w:val="-5"/>
                <w:sz w:val="20"/>
              </w:rPr>
              <w:t>368</w:t>
            </w:r>
          </w:p>
        </w:tc>
        <w:tc>
          <w:tcPr>
            <w:tcW w:w="6907" w:type="dxa"/>
          </w:tcPr>
          <w:p>
            <w:pPr>
              <w:pStyle w:val="TableParagraph"/>
              <w:jc w:val="left"/>
              <w:rPr>
                <w:sz w:val="20"/>
              </w:rPr>
            </w:pPr>
            <w:r>
              <w:rPr>
                <w:spacing w:val="-2"/>
                <w:sz w:val="20"/>
              </w:rPr>
              <w:t>Inferior.</w:t>
            </w:r>
          </w:p>
        </w:tc>
        <w:tc>
          <w:tcPr>
            <w:tcW w:w="1577" w:type="dxa"/>
          </w:tcPr>
          <w:p>
            <w:pPr>
              <w:pStyle w:val="TableParagraph"/>
              <w:ind w:left="9" w:right="3"/>
              <w:rPr>
                <w:sz w:val="20"/>
              </w:rPr>
            </w:pPr>
            <w:r>
              <w:rPr>
                <w:sz w:val="20"/>
              </w:rPr>
              <w:t>70</w:t>
            </w:r>
            <w:r>
              <w:rPr>
                <w:spacing w:val="-3"/>
                <w:sz w:val="20"/>
              </w:rPr>
              <w:t> </w:t>
            </w:r>
            <w:r>
              <w:rPr>
                <w:sz w:val="20"/>
              </w:rPr>
              <w:t>a</w:t>
            </w:r>
            <w:r>
              <w:rPr>
                <w:spacing w:val="-1"/>
                <w:sz w:val="20"/>
              </w:rPr>
              <w:t> </w:t>
            </w:r>
            <w:r>
              <w:rPr>
                <w:spacing w:val="-5"/>
                <w:sz w:val="20"/>
              </w:rPr>
              <w:t>80%</w:t>
            </w:r>
          </w:p>
        </w:tc>
      </w:tr>
      <w:tr>
        <w:trPr>
          <w:trHeight w:val="229" w:hRule="atLeast"/>
        </w:trPr>
        <w:tc>
          <w:tcPr>
            <w:tcW w:w="1066" w:type="dxa"/>
          </w:tcPr>
          <w:p>
            <w:pPr>
              <w:pStyle w:val="TableParagraph"/>
              <w:ind w:left="9"/>
              <w:rPr>
                <w:sz w:val="20"/>
              </w:rPr>
            </w:pPr>
            <w:r>
              <w:rPr>
                <w:spacing w:val="-5"/>
                <w:sz w:val="20"/>
              </w:rPr>
              <w:t>369</w:t>
            </w:r>
          </w:p>
        </w:tc>
        <w:tc>
          <w:tcPr>
            <w:tcW w:w="6907" w:type="dxa"/>
          </w:tcPr>
          <w:p>
            <w:pPr>
              <w:pStyle w:val="TableParagraph"/>
              <w:jc w:val="left"/>
              <w:rPr>
                <w:sz w:val="20"/>
              </w:rPr>
            </w:pPr>
            <w:r>
              <w:rPr>
                <w:spacing w:val="-2"/>
                <w:sz w:val="20"/>
              </w:rPr>
              <w:t>Temporal.</w:t>
            </w:r>
          </w:p>
        </w:tc>
        <w:tc>
          <w:tcPr>
            <w:tcW w:w="1577" w:type="dxa"/>
          </w:tcPr>
          <w:p>
            <w:pPr>
              <w:pStyle w:val="TableParagraph"/>
              <w:ind w:left="9" w:right="3"/>
              <w:rPr>
                <w:sz w:val="20"/>
              </w:rPr>
            </w:pPr>
            <w:r>
              <w:rPr>
                <w:sz w:val="20"/>
              </w:rPr>
              <w:t>80</w:t>
            </w:r>
            <w:r>
              <w:rPr>
                <w:spacing w:val="-3"/>
                <w:sz w:val="20"/>
              </w:rPr>
              <w:t> </w:t>
            </w:r>
            <w:r>
              <w:rPr>
                <w:sz w:val="20"/>
              </w:rPr>
              <w:t>a</w:t>
            </w:r>
            <w:r>
              <w:rPr>
                <w:spacing w:val="-1"/>
                <w:sz w:val="20"/>
              </w:rPr>
              <w:t> </w:t>
            </w:r>
            <w:r>
              <w:rPr>
                <w:spacing w:val="-5"/>
                <w:sz w:val="20"/>
              </w:rPr>
              <w:t>90%</w:t>
            </w:r>
          </w:p>
        </w:tc>
      </w:tr>
      <w:tr>
        <w:trPr>
          <w:trHeight w:val="920" w:hRule="atLeast"/>
        </w:trPr>
        <w:tc>
          <w:tcPr>
            <w:tcW w:w="1066" w:type="dxa"/>
          </w:tcPr>
          <w:p>
            <w:pPr>
              <w:pStyle w:val="TableParagraph"/>
              <w:spacing w:line="240" w:lineRule="auto" w:before="114"/>
              <w:ind w:left="0"/>
              <w:jc w:val="left"/>
              <w:rPr>
                <w:rFonts w:ascii="Arial"/>
                <w:b/>
                <w:sz w:val="20"/>
              </w:rPr>
            </w:pPr>
          </w:p>
          <w:p>
            <w:pPr>
              <w:pStyle w:val="TableParagraph"/>
              <w:spacing w:line="240" w:lineRule="auto" w:before="1"/>
              <w:ind w:left="9"/>
              <w:rPr>
                <w:sz w:val="20"/>
              </w:rPr>
            </w:pPr>
            <w:r>
              <w:rPr>
                <w:spacing w:val="-5"/>
                <w:sz w:val="20"/>
              </w:rPr>
              <w:t>370</w:t>
            </w:r>
          </w:p>
        </w:tc>
        <w:tc>
          <w:tcPr>
            <w:tcW w:w="6907" w:type="dxa"/>
          </w:tcPr>
          <w:p>
            <w:pPr>
              <w:pStyle w:val="TableParagraph"/>
              <w:spacing w:line="230" w:lineRule="exact"/>
              <w:ind w:right="57"/>
              <w:jc w:val="both"/>
              <w:rPr>
                <w:sz w:val="20"/>
              </w:rPr>
            </w:pPr>
            <w:r>
              <w:rPr>
                <w:sz w:val="20"/>
              </w:rPr>
              <w:t>En los casos de hemianopsia con pérdida de la visión central uni o bilateral se agregará al porcentaje de valuación correspondiente a la hemianopsia,</w:t>
            </w:r>
            <w:r>
              <w:rPr>
                <w:spacing w:val="40"/>
                <w:sz w:val="20"/>
              </w:rPr>
              <w:t> </w:t>
            </w:r>
            <w:r>
              <w:rPr>
                <w:sz w:val="20"/>
              </w:rPr>
              <w:t>el relativo a la visión restante, observándose lo dispuesto en el artículo 494 de la Ley Federal del Trabajo.</w:t>
            </w:r>
          </w:p>
        </w:tc>
        <w:tc>
          <w:tcPr>
            <w:tcW w:w="1577" w:type="dxa"/>
          </w:tcPr>
          <w:p>
            <w:pPr>
              <w:pStyle w:val="TableParagraph"/>
              <w:spacing w:line="240" w:lineRule="auto" w:before="114"/>
              <w:ind w:left="0"/>
              <w:jc w:val="left"/>
              <w:rPr>
                <w:rFonts w:ascii="Arial"/>
                <w:b/>
                <w:sz w:val="20"/>
              </w:rPr>
            </w:pPr>
          </w:p>
          <w:p>
            <w:pPr>
              <w:pStyle w:val="TableParagraph"/>
              <w:spacing w:line="240" w:lineRule="auto" w:before="1"/>
              <w:ind w:left="9"/>
              <w:rPr>
                <w:sz w:val="20"/>
              </w:rPr>
            </w:pPr>
            <w:r>
              <w:rPr>
                <w:spacing w:val="-2"/>
                <w:sz w:val="20"/>
              </w:rPr>
              <w:t>-</w:t>
            </w:r>
            <w:r>
              <w:rPr>
                <w:spacing w:val="-12"/>
                <w:sz w:val="20"/>
              </w:rPr>
              <w:t>-</w:t>
            </w:r>
          </w:p>
        </w:tc>
      </w:tr>
    </w:tbl>
    <w:p>
      <w:pPr>
        <w:pStyle w:val="BodyText"/>
        <w:spacing w:before="1"/>
        <w:rPr>
          <w:rFonts w:ascii="Arial"/>
          <w:b/>
        </w:rPr>
      </w:pPr>
    </w:p>
    <w:p>
      <w:pPr>
        <w:spacing w:before="0"/>
        <w:ind w:left="296" w:right="296" w:firstLine="0"/>
        <w:jc w:val="center"/>
        <w:rPr>
          <w:rFonts w:ascii="Arial"/>
          <w:b/>
          <w:sz w:val="20"/>
        </w:rPr>
      </w:pPr>
      <w:r>
        <w:rPr>
          <w:rFonts w:ascii="Arial"/>
          <w:b/>
          <w:sz w:val="20"/>
        </w:rPr>
        <w:t>Trastornos</w:t>
      </w:r>
      <w:r>
        <w:rPr>
          <w:rFonts w:ascii="Arial"/>
          <w:b/>
          <w:spacing w:val="-9"/>
          <w:sz w:val="20"/>
        </w:rPr>
        <w:t> </w:t>
      </w:r>
      <w:r>
        <w:rPr>
          <w:rFonts w:ascii="Arial"/>
          <w:b/>
          <w:sz w:val="20"/>
        </w:rPr>
        <w:t>de</w:t>
      </w:r>
      <w:r>
        <w:rPr>
          <w:rFonts w:ascii="Arial"/>
          <w:b/>
          <w:spacing w:val="-8"/>
          <w:sz w:val="20"/>
        </w:rPr>
        <w:t> </w:t>
      </w:r>
      <w:r>
        <w:rPr>
          <w:rFonts w:ascii="Arial"/>
          <w:b/>
          <w:sz w:val="20"/>
        </w:rPr>
        <w:t>la</w:t>
      </w:r>
      <w:r>
        <w:rPr>
          <w:rFonts w:ascii="Arial"/>
          <w:b/>
          <w:spacing w:val="-8"/>
          <w:sz w:val="20"/>
        </w:rPr>
        <w:t> </w:t>
      </w:r>
      <w:r>
        <w:rPr>
          <w:rFonts w:ascii="Arial"/>
          <w:b/>
          <w:sz w:val="20"/>
        </w:rPr>
        <w:t>movilidad</w:t>
      </w:r>
      <w:r>
        <w:rPr>
          <w:rFonts w:ascii="Arial"/>
          <w:b/>
          <w:spacing w:val="-7"/>
          <w:sz w:val="20"/>
        </w:rPr>
        <w:t> </w:t>
      </w:r>
      <w:r>
        <w:rPr>
          <w:rFonts w:ascii="Arial"/>
          <w:b/>
          <w:spacing w:val="-2"/>
          <w:sz w:val="20"/>
        </w:rPr>
        <w:t>ocular</w:t>
      </w:r>
    </w:p>
    <w:p>
      <w:pPr>
        <w:pStyle w:val="BodyText"/>
        <w:spacing w:before="1"/>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14"/>
        <w:gridCol w:w="1570"/>
      </w:tblGrid>
      <w:tr>
        <w:trPr>
          <w:trHeight w:val="462" w:hRule="atLeast"/>
        </w:trPr>
        <w:tc>
          <w:tcPr>
            <w:tcW w:w="1066" w:type="dxa"/>
          </w:tcPr>
          <w:p>
            <w:pPr>
              <w:pStyle w:val="TableParagraph"/>
              <w:spacing w:line="240" w:lineRule="auto" w:before="114"/>
              <w:ind w:left="9"/>
              <w:rPr>
                <w:sz w:val="20"/>
              </w:rPr>
            </w:pPr>
            <w:r>
              <w:rPr>
                <w:spacing w:val="-5"/>
                <w:sz w:val="20"/>
              </w:rPr>
              <w:t>371</w:t>
            </w:r>
          </w:p>
        </w:tc>
        <w:tc>
          <w:tcPr>
            <w:tcW w:w="6914" w:type="dxa"/>
          </w:tcPr>
          <w:p>
            <w:pPr>
              <w:pStyle w:val="TableParagraph"/>
              <w:spacing w:line="228" w:lineRule="exact"/>
              <w:ind w:right="63"/>
              <w:jc w:val="left"/>
              <w:rPr>
                <w:sz w:val="20"/>
              </w:rPr>
            </w:pPr>
            <w:r>
              <w:rPr>
                <w:sz w:val="20"/>
              </w:rPr>
              <w:t>Estrabismo por lesión muscular o alteración nerviosa correspondiente, sin </w:t>
            </w:r>
            <w:r>
              <w:rPr>
                <w:spacing w:val="-2"/>
                <w:sz w:val="20"/>
              </w:rPr>
              <w:t>diplopía.</w:t>
            </w:r>
          </w:p>
        </w:tc>
        <w:tc>
          <w:tcPr>
            <w:tcW w:w="1570" w:type="dxa"/>
          </w:tcPr>
          <w:p>
            <w:pPr>
              <w:pStyle w:val="TableParagraph"/>
              <w:spacing w:line="240" w:lineRule="auto" w:before="114"/>
              <w:ind w:left="6"/>
              <w:rPr>
                <w:sz w:val="20"/>
              </w:rPr>
            </w:pPr>
            <w:r>
              <w:rPr>
                <w:spacing w:val="-5"/>
                <w:sz w:val="20"/>
              </w:rPr>
              <w:t>10%</w:t>
            </w:r>
          </w:p>
        </w:tc>
      </w:tr>
    </w:tbl>
    <w:p>
      <w:pPr>
        <w:spacing w:before="225"/>
        <w:ind w:left="292" w:right="297" w:firstLine="0"/>
        <w:jc w:val="center"/>
        <w:rPr>
          <w:rFonts w:ascii="Arial" w:hAnsi="Arial"/>
          <w:b/>
          <w:sz w:val="20"/>
        </w:rPr>
      </w:pPr>
      <w:r>
        <w:rPr>
          <w:rFonts w:ascii="Arial" w:hAnsi="Arial"/>
          <w:b/>
          <w:sz w:val="20"/>
        </w:rPr>
        <w:t>Diplopía</w:t>
      </w:r>
      <w:r>
        <w:rPr>
          <w:rFonts w:ascii="Arial" w:hAnsi="Arial"/>
          <w:b/>
          <w:spacing w:val="-9"/>
          <w:sz w:val="20"/>
        </w:rPr>
        <w:t> </w:t>
      </w:r>
      <w:r>
        <w:rPr>
          <w:rFonts w:ascii="Arial" w:hAnsi="Arial"/>
          <w:b/>
          <w:sz w:val="20"/>
        </w:rPr>
        <w:t>uni</w:t>
      </w:r>
      <w:r>
        <w:rPr>
          <w:rFonts w:ascii="Arial" w:hAnsi="Arial"/>
          <w:b/>
          <w:spacing w:val="-7"/>
          <w:sz w:val="20"/>
        </w:rPr>
        <w:t> </w:t>
      </w:r>
      <w:r>
        <w:rPr>
          <w:rFonts w:ascii="Arial" w:hAnsi="Arial"/>
          <w:b/>
          <w:sz w:val="20"/>
        </w:rPr>
        <w:t>o</w:t>
      </w:r>
      <w:r>
        <w:rPr>
          <w:rFonts w:ascii="Arial" w:hAnsi="Arial"/>
          <w:b/>
          <w:spacing w:val="-8"/>
          <w:sz w:val="20"/>
        </w:rPr>
        <w:t> </w:t>
      </w:r>
      <w:r>
        <w:rPr>
          <w:rFonts w:ascii="Arial" w:hAnsi="Arial"/>
          <w:b/>
          <w:sz w:val="20"/>
        </w:rPr>
        <w:t>bilateral</w:t>
      </w:r>
      <w:r>
        <w:rPr>
          <w:rFonts w:ascii="Arial" w:hAnsi="Arial"/>
          <w:b/>
          <w:spacing w:val="-7"/>
          <w:sz w:val="20"/>
        </w:rPr>
        <w:t> </w:t>
      </w:r>
      <w:r>
        <w:rPr>
          <w:rFonts w:ascii="Arial" w:hAnsi="Arial"/>
          <w:b/>
          <w:sz w:val="20"/>
        </w:rPr>
        <w:t>(no</w:t>
      </w:r>
      <w:r>
        <w:rPr>
          <w:rFonts w:ascii="Arial" w:hAnsi="Arial"/>
          <w:b/>
          <w:spacing w:val="-7"/>
          <w:sz w:val="20"/>
        </w:rPr>
        <w:t> </w:t>
      </w:r>
      <w:r>
        <w:rPr>
          <w:rFonts w:ascii="Arial" w:hAnsi="Arial"/>
          <w:b/>
          <w:sz w:val="20"/>
        </w:rPr>
        <w:t>susceptibles</w:t>
      </w:r>
      <w:r>
        <w:rPr>
          <w:rFonts w:ascii="Arial" w:hAnsi="Arial"/>
          <w:b/>
          <w:spacing w:val="-8"/>
          <w:sz w:val="20"/>
        </w:rPr>
        <w:t> </w:t>
      </w:r>
      <w:r>
        <w:rPr>
          <w:rFonts w:ascii="Arial" w:hAnsi="Arial"/>
          <w:b/>
          <w:sz w:val="20"/>
        </w:rPr>
        <w:t>de</w:t>
      </w:r>
      <w:r>
        <w:rPr>
          <w:rFonts w:ascii="Arial" w:hAnsi="Arial"/>
          <w:b/>
          <w:spacing w:val="-5"/>
          <w:sz w:val="20"/>
        </w:rPr>
        <w:t> </w:t>
      </w:r>
      <w:r>
        <w:rPr>
          <w:rFonts w:ascii="Arial" w:hAnsi="Arial"/>
          <w:b/>
          <w:spacing w:val="-2"/>
          <w:sz w:val="20"/>
        </w:rPr>
        <w:t>corrección)</w:t>
      </w:r>
    </w:p>
    <w:p>
      <w:pPr>
        <w:pStyle w:val="BodyText"/>
        <w:spacing w:before="3" w:after="1"/>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79"/>
        <w:gridCol w:w="1505"/>
      </w:tblGrid>
      <w:tr>
        <w:trPr>
          <w:trHeight w:val="229" w:hRule="atLeast"/>
        </w:trPr>
        <w:tc>
          <w:tcPr>
            <w:tcW w:w="1066" w:type="dxa"/>
          </w:tcPr>
          <w:p>
            <w:pPr>
              <w:pStyle w:val="TableParagraph"/>
              <w:ind w:left="9"/>
              <w:rPr>
                <w:sz w:val="20"/>
              </w:rPr>
            </w:pPr>
            <w:r>
              <w:rPr>
                <w:spacing w:val="-5"/>
                <w:sz w:val="20"/>
              </w:rPr>
              <w:t>372</w:t>
            </w:r>
          </w:p>
        </w:tc>
        <w:tc>
          <w:tcPr>
            <w:tcW w:w="6979" w:type="dxa"/>
          </w:tcPr>
          <w:p>
            <w:pPr>
              <w:pStyle w:val="TableParagraph"/>
              <w:jc w:val="left"/>
              <w:rPr>
                <w:sz w:val="20"/>
              </w:rPr>
            </w:pPr>
            <w:r>
              <w:rPr>
                <w:spacing w:val="-2"/>
                <w:sz w:val="20"/>
              </w:rPr>
              <w:t>Horizontal.</w:t>
            </w:r>
          </w:p>
        </w:tc>
        <w:tc>
          <w:tcPr>
            <w:tcW w:w="1505" w:type="dxa"/>
          </w:tcPr>
          <w:p>
            <w:pPr>
              <w:pStyle w:val="TableParagraph"/>
              <w:ind w:left="9" w:right="1"/>
              <w:rPr>
                <w:sz w:val="20"/>
              </w:rPr>
            </w:pPr>
            <w:r>
              <w:rPr>
                <w:spacing w:val="-5"/>
                <w:sz w:val="20"/>
              </w:rPr>
              <w:t>30%</w:t>
            </w:r>
          </w:p>
        </w:tc>
      </w:tr>
      <w:tr>
        <w:trPr>
          <w:trHeight w:val="229" w:hRule="atLeast"/>
        </w:trPr>
        <w:tc>
          <w:tcPr>
            <w:tcW w:w="1066" w:type="dxa"/>
          </w:tcPr>
          <w:p>
            <w:pPr>
              <w:pStyle w:val="TableParagraph"/>
              <w:ind w:left="9"/>
              <w:rPr>
                <w:sz w:val="20"/>
              </w:rPr>
            </w:pPr>
            <w:r>
              <w:rPr>
                <w:spacing w:val="-5"/>
                <w:sz w:val="20"/>
              </w:rPr>
              <w:t>373</w:t>
            </w:r>
          </w:p>
        </w:tc>
        <w:tc>
          <w:tcPr>
            <w:tcW w:w="6979" w:type="dxa"/>
          </w:tcPr>
          <w:p>
            <w:pPr>
              <w:pStyle w:val="TableParagraph"/>
              <w:jc w:val="left"/>
              <w:rPr>
                <w:sz w:val="20"/>
              </w:rPr>
            </w:pPr>
            <w:r>
              <w:rPr>
                <w:spacing w:val="-2"/>
                <w:sz w:val="20"/>
              </w:rPr>
              <w:t>Vertical.</w:t>
            </w:r>
          </w:p>
        </w:tc>
        <w:tc>
          <w:tcPr>
            <w:tcW w:w="1505" w:type="dxa"/>
          </w:tcPr>
          <w:p>
            <w:pPr>
              <w:pStyle w:val="TableParagraph"/>
              <w:ind w:left="9" w:right="1"/>
              <w:rPr>
                <w:sz w:val="20"/>
              </w:rPr>
            </w:pPr>
            <w:r>
              <w:rPr>
                <w:spacing w:val="-5"/>
                <w:sz w:val="20"/>
              </w:rPr>
              <w:t>30%</w:t>
            </w:r>
          </w:p>
        </w:tc>
      </w:tr>
      <w:tr>
        <w:trPr>
          <w:trHeight w:val="229" w:hRule="atLeast"/>
        </w:trPr>
        <w:tc>
          <w:tcPr>
            <w:tcW w:w="1066" w:type="dxa"/>
          </w:tcPr>
          <w:p>
            <w:pPr>
              <w:pStyle w:val="TableParagraph"/>
              <w:ind w:left="9"/>
              <w:rPr>
                <w:sz w:val="20"/>
              </w:rPr>
            </w:pPr>
            <w:r>
              <w:rPr>
                <w:spacing w:val="-5"/>
                <w:sz w:val="20"/>
              </w:rPr>
              <w:t>374</w:t>
            </w:r>
          </w:p>
        </w:tc>
        <w:tc>
          <w:tcPr>
            <w:tcW w:w="6979" w:type="dxa"/>
          </w:tcPr>
          <w:p>
            <w:pPr>
              <w:pStyle w:val="TableParagraph"/>
              <w:jc w:val="left"/>
              <w:rPr>
                <w:sz w:val="20"/>
              </w:rPr>
            </w:pPr>
            <w:r>
              <w:rPr>
                <w:spacing w:val="-2"/>
                <w:sz w:val="20"/>
              </w:rPr>
              <w:t>Oblicua.</w:t>
            </w:r>
          </w:p>
        </w:tc>
        <w:tc>
          <w:tcPr>
            <w:tcW w:w="1505" w:type="dxa"/>
          </w:tcPr>
          <w:p>
            <w:pPr>
              <w:pStyle w:val="TableParagraph"/>
              <w:ind w:left="9" w:right="1"/>
              <w:rPr>
                <w:sz w:val="20"/>
              </w:rPr>
            </w:pPr>
            <w:r>
              <w:rPr>
                <w:spacing w:val="-5"/>
                <w:sz w:val="20"/>
              </w:rPr>
              <w:t>30%</w:t>
            </w:r>
          </w:p>
        </w:tc>
      </w:tr>
      <w:tr>
        <w:trPr>
          <w:trHeight w:val="690" w:hRule="atLeast"/>
        </w:trPr>
        <w:tc>
          <w:tcPr>
            <w:tcW w:w="1066" w:type="dxa"/>
          </w:tcPr>
          <w:p>
            <w:pPr>
              <w:pStyle w:val="TableParagraph"/>
              <w:spacing w:line="240" w:lineRule="auto" w:before="229"/>
              <w:ind w:left="9"/>
              <w:rPr>
                <w:sz w:val="20"/>
              </w:rPr>
            </w:pPr>
            <w:r>
              <w:rPr>
                <w:spacing w:val="-5"/>
                <w:sz w:val="20"/>
              </w:rPr>
              <w:t>375</w:t>
            </w:r>
          </w:p>
        </w:tc>
        <w:tc>
          <w:tcPr>
            <w:tcW w:w="6979" w:type="dxa"/>
          </w:tcPr>
          <w:p>
            <w:pPr>
              <w:pStyle w:val="TableParagraph"/>
              <w:spacing w:line="230" w:lineRule="exact"/>
              <w:ind w:right="57"/>
              <w:jc w:val="both"/>
              <w:rPr>
                <w:sz w:val="20"/>
              </w:rPr>
            </w:pPr>
            <w:r>
              <w:rPr>
                <w:sz w:val="20"/>
              </w:rPr>
              <w:t>En cualquiera de las anteriores cuando se encuentre afectada la posición primaria de la mirada (central) se agregará un 20%, y cuando esté afectada la mirada en la parte inferior del campo se agregará un 10%.</w:t>
            </w:r>
          </w:p>
        </w:tc>
        <w:tc>
          <w:tcPr>
            <w:tcW w:w="1505" w:type="dxa"/>
          </w:tcPr>
          <w:p>
            <w:pPr>
              <w:pStyle w:val="TableParagraph"/>
              <w:spacing w:line="240" w:lineRule="auto" w:before="229"/>
              <w:ind w:left="9"/>
              <w:rPr>
                <w:sz w:val="20"/>
              </w:rPr>
            </w:pPr>
            <w:r>
              <w:rPr>
                <w:spacing w:val="-2"/>
                <w:sz w:val="20"/>
              </w:rPr>
              <w:t>-</w:t>
            </w:r>
            <w:r>
              <w:rPr>
                <w:spacing w:val="-12"/>
                <w:sz w:val="20"/>
              </w:rPr>
              <w:t>-</w:t>
            </w:r>
          </w:p>
        </w:tc>
      </w:tr>
      <w:tr>
        <w:trPr>
          <w:trHeight w:val="460" w:hRule="atLeast"/>
        </w:trPr>
        <w:tc>
          <w:tcPr>
            <w:tcW w:w="1066" w:type="dxa"/>
          </w:tcPr>
          <w:p>
            <w:pPr>
              <w:pStyle w:val="TableParagraph"/>
              <w:spacing w:line="240" w:lineRule="auto" w:before="114"/>
              <w:ind w:left="9"/>
              <w:rPr>
                <w:sz w:val="20"/>
              </w:rPr>
            </w:pPr>
            <w:r>
              <w:rPr>
                <w:spacing w:val="-5"/>
                <w:sz w:val="20"/>
              </w:rPr>
              <w:t>376</w:t>
            </w:r>
          </w:p>
        </w:tc>
        <w:tc>
          <w:tcPr>
            <w:tcW w:w="6979" w:type="dxa"/>
          </w:tcPr>
          <w:p>
            <w:pPr>
              <w:pStyle w:val="TableParagraph"/>
              <w:spacing w:line="230" w:lineRule="exact"/>
              <w:jc w:val="left"/>
              <w:rPr>
                <w:sz w:val="20"/>
              </w:rPr>
            </w:pPr>
            <w:r>
              <w:rPr>
                <w:sz w:val="20"/>
              </w:rPr>
              <w:t>Diplopía,</w:t>
            </w:r>
            <w:r>
              <w:rPr>
                <w:spacing w:val="40"/>
                <w:sz w:val="20"/>
              </w:rPr>
              <w:t> </w:t>
            </w:r>
            <w:r>
              <w:rPr>
                <w:sz w:val="20"/>
              </w:rPr>
              <w:t>acompañada</w:t>
            </w:r>
            <w:r>
              <w:rPr>
                <w:spacing w:val="40"/>
                <w:sz w:val="20"/>
              </w:rPr>
              <w:t> </w:t>
            </w:r>
            <w:r>
              <w:rPr>
                <w:sz w:val="20"/>
              </w:rPr>
              <w:t>o</w:t>
            </w:r>
            <w:r>
              <w:rPr>
                <w:spacing w:val="40"/>
                <w:sz w:val="20"/>
              </w:rPr>
              <w:t> </w:t>
            </w:r>
            <w:r>
              <w:rPr>
                <w:sz w:val="20"/>
              </w:rPr>
              <w:t>no</w:t>
            </w:r>
            <w:r>
              <w:rPr>
                <w:spacing w:val="40"/>
                <w:sz w:val="20"/>
              </w:rPr>
              <w:t> </w:t>
            </w:r>
            <w:r>
              <w:rPr>
                <w:sz w:val="20"/>
              </w:rPr>
              <w:t>de</w:t>
            </w:r>
            <w:r>
              <w:rPr>
                <w:spacing w:val="40"/>
                <w:sz w:val="20"/>
              </w:rPr>
              <w:t> </w:t>
            </w:r>
            <w:r>
              <w:rPr>
                <w:sz w:val="20"/>
              </w:rPr>
              <w:t>ptosis</w:t>
            </w:r>
            <w:r>
              <w:rPr>
                <w:spacing w:val="40"/>
                <w:sz w:val="20"/>
              </w:rPr>
              <w:t> </w:t>
            </w:r>
            <w:r>
              <w:rPr>
                <w:sz w:val="20"/>
              </w:rPr>
              <w:t>palpebral,</w:t>
            </w:r>
            <w:r>
              <w:rPr>
                <w:spacing w:val="40"/>
                <w:sz w:val="20"/>
              </w:rPr>
              <w:t> </w:t>
            </w:r>
            <w:r>
              <w:rPr>
                <w:sz w:val="20"/>
              </w:rPr>
              <w:t>con</w:t>
            </w:r>
            <w:r>
              <w:rPr>
                <w:spacing w:val="40"/>
                <w:sz w:val="20"/>
              </w:rPr>
              <w:t> </w:t>
            </w:r>
            <w:r>
              <w:rPr>
                <w:sz w:val="20"/>
              </w:rPr>
              <w:t>o</w:t>
            </w:r>
            <w:r>
              <w:rPr>
                <w:spacing w:val="40"/>
                <w:sz w:val="20"/>
              </w:rPr>
              <w:t> </w:t>
            </w:r>
            <w:r>
              <w:rPr>
                <w:sz w:val="20"/>
              </w:rPr>
              <w:t>sin</w:t>
            </w:r>
            <w:r>
              <w:rPr>
                <w:spacing w:val="40"/>
                <w:sz w:val="20"/>
              </w:rPr>
              <w:t> </w:t>
            </w:r>
            <w:r>
              <w:rPr>
                <w:sz w:val="20"/>
              </w:rPr>
              <w:t>oftalmoplejía interna, que amerita la oclusión de un ojo.</w:t>
            </w:r>
          </w:p>
        </w:tc>
        <w:tc>
          <w:tcPr>
            <w:tcW w:w="1505" w:type="dxa"/>
          </w:tcPr>
          <w:p>
            <w:pPr>
              <w:pStyle w:val="TableParagraph"/>
              <w:spacing w:line="240" w:lineRule="auto" w:before="114"/>
              <w:ind w:left="9" w:right="1"/>
              <w:rPr>
                <w:sz w:val="20"/>
              </w:rPr>
            </w:pPr>
            <w:r>
              <w:rPr>
                <w:spacing w:val="-5"/>
                <w:sz w:val="20"/>
              </w:rPr>
              <w:t>50%</w:t>
            </w:r>
          </w:p>
        </w:tc>
      </w:tr>
      <w:tr>
        <w:trPr>
          <w:trHeight w:val="690" w:hRule="atLeast"/>
        </w:trPr>
        <w:tc>
          <w:tcPr>
            <w:tcW w:w="1066" w:type="dxa"/>
          </w:tcPr>
          <w:p>
            <w:pPr>
              <w:pStyle w:val="TableParagraph"/>
              <w:spacing w:line="240" w:lineRule="auto" w:before="229"/>
              <w:ind w:left="9"/>
              <w:rPr>
                <w:sz w:val="20"/>
              </w:rPr>
            </w:pPr>
            <w:r>
              <w:rPr>
                <w:spacing w:val="-5"/>
                <w:sz w:val="20"/>
              </w:rPr>
              <w:t>377</w:t>
            </w:r>
          </w:p>
        </w:tc>
        <w:tc>
          <w:tcPr>
            <w:tcW w:w="6979" w:type="dxa"/>
          </w:tcPr>
          <w:p>
            <w:pPr>
              <w:pStyle w:val="TableParagraph"/>
              <w:spacing w:line="230" w:lineRule="exact"/>
              <w:ind w:right="60"/>
              <w:jc w:val="both"/>
              <w:rPr>
                <w:sz w:val="20"/>
              </w:rPr>
            </w:pPr>
            <w:r>
              <w:rPr>
                <w:sz w:val="20"/>
              </w:rPr>
              <w:t>Diplopía, por lesión nerviosa bilateral que limita los movimientos de ambos ojos y reduce el campo visual por la desviación, originando desviación de cabeza para fijar, además de la oclusión de un ojo.</w:t>
            </w:r>
          </w:p>
        </w:tc>
        <w:tc>
          <w:tcPr>
            <w:tcW w:w="1505" w:type="dxa"/>
          </w:tcPr>
          <w:p>
            <w:pPr>
              <w:pStyle w:val="TableParagraph"/>
              <w:spacing w:line="240" w:lineRule="auto" w:before="229"/>
              <w:ind w:left="9" w:right="1"/>
              <w:rPr>
                <w:sz w:val="20"/>
              </w:rPr>
            </w:pPr>
            <w:r>
              <w:rPr>
                <w:spacing w:val="-5"/>
                <w:sz w:val="20"/>
              </w:rPr>
              <w:t>60%</w:t>
            </w:r>
          </w:p>
        </w:tc>
      </w:tr>
    </w:tbl>
    <w:p>
      <w:pPr>
        <w:pStyle w:val="BodyText"/>
        <w:spacing w:before="1"/>
        <w:rPr>
          <w:rFonts w:ascii="Arial"/>
          <w:b/>
        </w:rPr>
      </w:pPr>
    </w:p>
    <w:p>
      <w:pPr>
        <w:spacing w:before="0"/>
        <w:ind w:left="295" w:right="296" w:firstLine="0"/>
        <w:jc w:val="center"/>
        <w:rPr>
          <w:rFonts w:ascii="Arial"/>
          <w:b/>
          <w:sz w:val="20"/>
        </w:rPr>
      </w:pPr>
      <w:r>
        <w:rPr>
          <w:rFonts w:ascii="Arial"/>
          <w:b/>
          <w:spacing w:val="-2"/>
          <w:sz w:val="20"/>
        </w:rPr>
        <w:t>Discromatopsias</w:t>
      </w:r>
    </w:p>
    <w:p>
      <w:pPr>
        <w:pStyle w:val="BodyText"/>
        <w:spacing w:before="1"/>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26"/>
        <w:gridCol w:w="1558"/>
      </w:tblGrid>
      <w:tr>
        <w:trPr>
          <w:trHeight w:val="229" w:hRule="atLeast"/>
        </w:trPr>
        <w:tc>
          <w:tcPr>
            <w:tcW w:w="1066" w:type="dxa"/>
          </w:tcPr>
          <w:p>
            <w:pPr>
              <w:pStyle w:val="TableParagraph"/>
              <w:ind w:left="9"/>
              <w:rPr>
                <w:sz w:val="20"/>
              </w:rPr>
            </w:pPr>
            <w:r>
              <w:rPr>
                <w:spacing w:val="-5"/>
                <w:sz w:val="20"/>
              </w:rPr>
              <w:t>378</w:t>
            </w:r>
          </w:p>
        </w:tc>
        <w:tc>
          <w:tcPr>
            <w:tcW w:w="6926" w:type="dxa"/>
          </w:tcPr>
          <w:p>
            <w:pPr>
              <w:pStyle w:val="TableParagraph"/>
              <w:jc w:val="left"/>
              <w:rPr>
                <w:sz w:val="20"/>
              </w:rPr>
            </w:pPr>
            <w:r>
              <w:rPr>
                <w:spacing w:val="-2"/>
                <w:sz w:val="20"/>
              </w:rPr>
              <w:t>Discromatopsia</w:t>
            </w:r>
            <w:r>
              <w:rPr>
                <w:spacing w:val="7"/>
                <w:sz w:val="20"/>
              </w:rPr>
              <w:t> </w:t>
            </w:r>
            <w:r>
              <w:rPr>
                <w:spacing w:val="-2"/>
                <w:sz w:val="20"/>
              </w:rPr>
              <w:t>adquirida</w:t>
            </w:r>
            <w:r>
              <w:rPr>
                <w:spacing w:val="8"/>
                <w:sz w:val="20"/>
              </w:rPr>
              <w:t> </w:t>
            </w:r>
            <w:r>
              <w:rPr>
                <w:spacing w:val="-2"/>
                <w:sz w:val="20"/>
              </w:rPr>
              <w:t>unilateral.</w:t>
            </w:r>
          </w:p>
        </w:tc>
        <w:tc>
          <w:tcPr>
            <w:tcW w:w="1558" w:type="dxa"/>
          </w:tcPr>
          <w:p>
            <w:pPr>
              <w:pStyle w:val="TableParagraph"/>
              <w:ind w:left="8"/>
              <w:rPr>
                <w:sz w:val="20"/>
              </w:rPr>
            </w:pPr>
            <w:r>
              <w:rPr>
                <w:spacing w:val="-5"/>
                <w:sz w:val="20"/>
              </w:rPr>
              <w:t>15%</w:t>
            </w:r>
          </w:p>
        </w:tc>
      </w:tr>
      <w:tr>
        <w:trPr>
          <w:trHeight w:val="232" w:hRule="atLeast"/>
        </w:trPr>
        <w:tc>
          <w:tcPr>
            <w:tcW w:w="1066" w:type="dxa"/>
          </w:tcPr>
          <w:p>
            <w:pPr>
              <w:pStyle w:val="TableParagraph"/>
              <w:spacing w:before="1"/>
              <w:ind w:left="9"/>
              <w:rPr>
                <w:sz w:val="20"/>
              </w:rPr>
            </w:pPr>
            <w:r>
              <w:rPr>
                <w:spacing w:val="-5"/>
                <w:sz w:val="20"/>
              </w:rPr>
              <w:t>379</w:t>
            </w:r>
          </w:p>
        </w:tc>
        <w:tc>
          <w:tcPr>
            <w:tcW w:w="6926" w:type="dxa"/>
          </w:tcPr>
          <w:p>
            <w:pPr>
              <w:pStyle w:val="TableParagraph"/>
              <w:spacing w:before="1"/>
              <w:jc w:val="left"/>
              <w:rPr>
                <w:sz w:val="20"/>
              </w:rPr>
            </w:pPr>
            <w:r>
              <w:rPr>
                <w:spacing w:val="-2"/>
                <w:sz w:val="20"/>
              </w:rPr>
              <w:t>Discromatopsia</w:t>
            </w:r>
            <w:r>
              <w:rPr>
                <w:spacing w:val="7"/>
                <w:sz w:val="20"/>
              </w:rPr>
              <w:t> </w:t>
            </w:r>
            <w:r>
              <w:rPr>
                <w:spacing w:val="-2"/>
                <w:sz w:val="20"/>
              </w:rPr>
              <w:t>adquirida</w:t>
            </w:r>
            <w:r>
              <w:rPr>
                <w:spacing w:val="8"/>
                <w:sz w:val="20"/>
              </w:rPr>
              <w:t> </w:t>
            </w:r>
            <w:r>
              <w:rPr>
                <w:spacing w:val="-2"/>
                <w:sz w:val="20"/>
              </w:rPr>
              <w:t>bilateral.</w:t>
            </w:r>
          </w:p>
        </w:tc>
        <w:tc>
          <w:tcPr>
            <w:tcW w:w="1558" w:type="dxa"/>
          </w:tcPr>
          <w:p>
            <w:pPr>
              <w:pStyle w:val="TableParagraph"/>
              <w:spacing w:before="1"/>
              <w:ind w:left="8"/>
              <w:rPr>
                <w:sz w:val="20"/>
              </w:rPr>
            </w:pPr>
            <w:r>
              <w:rPr>
                <w:spacing w:val="-5"/>
                <w:sz w:val="20"/>
              </w:rPr>
              <w:t>30%</w:t>
            </w:r>
          </w:p>
        </w:tc>
      </w:tr>
    </w:tbl>
    <w:p>
      <w:pPr>
        <w:spacing w:before="225"/>
        <w:ind w:left="296" w:right="296" w:firstLine="0"/>
        <w:jc w:val="center"/>
        <w:rPr>
          <w:rFonts w:ascii="Arial"/>
          <w:b/>
          <w:sz w:val="20"/>
        </w:rPr>
      </w:pPr>
      <w:r>
        <w:rPr>
          <w:rFonts w:ascii="Arial"/>
          <w:b/>
          <w:sz w:val="20"/>
        </w:rPr>
        <w:t>Otras</w:t>
      </w:r>
      <w:r>
        <w:rPr>
          <w:rFonts w:ascii="Arial"/>
          <w:b/>
          <w:spacing w:val="-10"/>
          <w:sz w:val="20"/>
        </w:rPr>
        <w:t> </w:t>
      </w:r>
      <w:r>
        <w:rPr>
          <w:rFonts w:ascii="Arial"/>
          <w:b/>
          <w:spacing w:val="-2"/>
          <w:sz w:val="20"/>
        </w:rPr>
        <w:t>lesiones</w:t>
      </w:r>
    </w:p>
    <w:p>
      <w:pPr>
        <w:pStyle w:val="BodyText"/>
        <w:spacing w:before="4"/>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828"/>
        <w:gridCol w:w="1657"/>
      </w:tblGrid>
      <w:tr>
        <w:trPr>
          <w:trHeight w:val="229" w:hRule="atLeast"/>
        </w:trPr>
        <w:tc>
          <w:tcPr>
            <w:tcW w:w="1066" w:type="dxa"/>
          </w:tcPr>
          <w:p>
            <w:pPr>
              <w:pStyle w:val="TableParagraph"/>
              <w:ind w:left="9"/>
              <w:rPr>
                <w:sz w:val="20"/>
              </w:rPr>
            </w:pPr>
            <w:r>
              <w:rPr>
                <w:spacing w:val="-5"/>
                <w:sz w:val="20"/>
              </w:rPr>
              <w:t>380</w:t>
            </w:r>
          </w:p>
        </w:tc>
        <w:tc>
          <w:tcPr>
            <w:tcW w:w="6828" w:type="dxa"/>
          </w:tcPr>
          <w:p>
            <w:pPr>
              <w:pStyle w:val="TableParagraph"/>
              <w:jc w:val="left"/>
              <w:rPr>
                <w:sz w:val="20"/>
              </w:rPr>
            </w:pPr>
            <w:r>
              <w:rPr>
                <w:sz w:val="20"/>
              </w:rPr>
              <w:t>Afaquia</w:t>
            </w:r>
            <w:r>
              <w:rPr>
                <w:spacing w:val="-8"/>
                <w:sz w:val="20"/>
              </w:rPr>
              <w:t> </w:t>
            </w:r>
            <w:r>
              <w:rPr>
                <w:sz w:val="20"/>
              </w:rPr>
              <w:t>unilateral</w:t>
            </w:r>
            <w:r>
              <w:rPr>
                <w:spacing w:val="-8"/>
                <w:sz w:val="20"/>
              </w:rPr>
              <w:t> </w:t>
            </w:r>
            <w:r>
              <w:rPr>
                <w:sz w:val="20"/>
              </w:rPr>
              <w:t>corregible</w:t>
            </w:r>
            <w:r>
              <w:rPr>
                <w:spacing w:val="-7"/>
                <w:sz w:val="20"/>
              </w:rPr>
              <w:t> </w:t>
            </w:r>
            <w:r>
              <w:rPr>
                <w:sz w:val="20"/>
              </w:rPr>
              <w:t>con</w:t>
            </w:r>
            <w:r>
              <w:rPr>
                <w:spacing w:val="-7"/>
                <w:sz w:val="20"/>
              </w:rPr>
              <w:t> </w:t>
            </w:r>
            <w:r>
              <w:rPr>
                <w:sz w:val="20"/>
              </w:rPr>
              <w:t>lente</w:t>
            </w:r>
            <w:r>
              <w:rPr>
                <w:spacing w:val="-7"/>
                <w:sz w:val="20"/>
              </w:rPr>
              <w:t> </w:t>
            </w:r>
            <w:r>
              <w:rPr>
                <w:sz w:val="20"/>
              </w:rPr>
              <w:t>de</w:t>
            </w:r>
            <w:r>
              <w:rPr>
                <w:spacing w:val="-7"/>
                <w:sz w:val="20"/>
              </w:rPr>
              <w:t> </w:t>
            </w:r>
            <w:r>
              <w:rPr>
                <w:sz w:val="20"/>
              </w:rPr>
              <w:t>contacto</w:t>
            </w:r>
            <w:r>
              <w:rPr>
                <w:spacing w:val="-8"/>
                <w:sz w:val="20"/>
              </w:rPr>
              <w:t> </w:t>
            </w:r>
            <w:r>
              <w:rPr>
                <w:sz w:val="20"/>
              </w:rPr>
              <w:t>o</w:t>
            </w:r>
            <w:r>
              <w:rPr>
                <w:spacing w:val="-6"/>
                <w:sz w:val="20"/>
              </w:rPr>
              <w:t> </w:t>
            </w:r>
            <w:r>
              <w:rPr>
                <w:spacing w:val="-2"/>
                <w:sz w:val="20"/>
              </w:rPr>
              <w:t>intraocular.</w:t>
            </w:r>
          </w:p>
        </w:tc>
        <w:tc>
          <w:tcPr>
            <w:tcW w:w="1657" w:type="dxa"/>
          </w:tcPr>
          <w:p>
            <w:pPr>
              <w:pStyle w:val="TableParagraph"/>
              <w:ind w:left="6" w:right="1"/>
              <w:rPr>
                <w:sz w:val="20"/>
              </w:rPr>
            </w:pPr>
            <w:r>
              <w:rPr>
                <w:spacing w:val="-5"/>
                <w:sz w:val="20"/>
              </w:rPr>
              <w:t>10%</w:t>
            </w:r>
          </w:p>
        </w:tc>
      </w:tr>
      <w:tr>
        <w:trPr>
          <w:trHeight w:val="229" w:hRule="atLeast"/>
        </w:trPr>
        <w:tc>
          <w:tcPr>
            <w:tcW w:w="1066" w:type="dxa"/>
          </w:tcPr>
          <w:p>
            <w:pPr>
              <w:pStyle w:val="TableParagraph"/>
              <w:ind w:left="9"/>
              <w:rPr>
                <w:sz w:val="20"/>
              </w:rPr>
            </w:pPr>
            <w:r>
              <w:rPr>
                <w:spacing w:val="-5"/>
                <w:sz w:val="20"/>
              </w:rPr>
              <w:t>381</w:t>
            </w:r>
          </w:p>
        </w:tc>
        <w:tc>
          <w:tcPr>
            <w:tcW w:w="6828" w:type="dxa"/>
          </w:tcPr>
          <w:p>
            <w:pPr>
              <w:pStyle w:val="TableParagraph"/>
              <w:jc w:val="left"/>
              <w:rPr>
                <w:sz w:val="20"/>
              </w:rPr>
            </w:pPr>
            <w:r>
              <w:rPr>
                <w:sz w:val="20"/>
              </w:rPr>
              <w:t>Afaquia</w:t>
            </w:r>
            <w:r>
              <w:rPr>
                <w:spacing w:val="-8"/>
                <w:sz w:val="20"/>
              </w:rPr>
              <w:t> </w:t>
            </w:r>
            <w:r>
              <w:rPr>
                <w:sz w:val="20"/>
              </w:rPr>
              <w:t>bilateral</w:t>
            </w:r>
            <w:r>
              <w:rPr>
                <w:spacing w:val="-8"/>
                <w:sz w:val="20"/>
              </w:rPr>
              <w:t> </w:t>
            </w:r>
            <w:r>
              <w:rPr>
                <w:sz w:val="20"/>
              </w:rPr>
              <w:t>corregible</w:t>
            </w:r>
            <w:r>
              <w:rPr>
                <w:spacing w:val="-6"/>
                <w:sz w:val="20"/>
              </w:rPr>
              <w:t> </w:t>
            </w:r>
            <w:r>
              <w:rPr>
                <w:sz w:val="20"/>
              </w:rPr>
              <w:t>con</w:t>
            </w:r>
            <w:r>
              <w:rPr>
                <w:spacing w:val="-8"/>
                <w:sz w:val="20"/>
              </w:rPr>
              <w:t> </w:t>
            </w:r>
            <w:r>
              <w:rPr>
                <w:sz w:val="20"/>
              </w:rPr>
              <w:t>lentes</w:t>
            </w:r>
            <w:r>
              <w:rPr>
                <w:spacing w:val="-7"/>
                <w:sz w:val="20"/>
              </w:rPr>
              <w:t> </w:t>
            </w:r>
            <w:r>
              <w:rPr>
                <w:sz w:val="20"/>
              </w:rPr>
              <w:t>de</w:t>
            </w:r>
            <w:r>
              <w:rPr>
                <w:spacing w:val="-7"/>
                <w:sz w:val="20"/>
              </w:rPr>
              <w:t> </w:t>
            </w:r>
            <w:r>
              <w:rPr>
                <w:sz w:val="20"/>
              </w:rPr>
              <w:t>contacto</w:t>
            </w:r>
            <w:r>
              <w:rPr>
                <w:spacing w:val="-9"/>
                <w:sz w:val="20"/>
              </w:rPr>
              <w:t> </w:t>
            </w:r>
            <w:r>
              <w:rPr>
                <w:sz w:val="20"/>
              </w:rPr>
              <w:t>o</w:t>
            </w:r>
            <w:r>
              <w:rPr>
                <w:spacing w:val="-6"/>
                <w:sz w:val="20"/>
              </w:rPr>
              <w:t> </w:t>
            </w:r>
            <w:r>
              <w:rPr>
                <w:spacing w:val="-2"/>
                <w:sz w:val="20"/>
              </w:rPr>
              <w:t>intraoculares.</w:t>
            </w:r>
          </w:p>
        </w:tc>
        <w:tc>
          <w:tcPr>
            <w:tcW w:w="1657" w:type="dxa"/>
          </w:tcPr>
          <w:p>
            <w:pPr>
              <w:pStyle w:val="TableParagraph"/>
              <w:ind w:left="6" w:right="1"/>
              <w:rPr>
                <w:sz w:val="20"/>
              </w:rPr>
            </w:pPr>
            <w:r>
              <w:rPr>
                <w:spacing w:val="-5"/>
                <w:sz w:val="20"/>
              </w:rPr>
              <w:t>20%</w:t>
            </w:r>
          </w:p>
        </w:tc>
      </w:tr>
      <w:tr>
        <w:trPr>
          <w:trHeight w:val="921" w:hRule="atLeast"/>
        </w:trPr>
        <w:tc>
          <w:tcPr>
            <w:tcW w:w="1066" w:type="dxa"/>
          </w:tcPr>
          <w:p>
            <w:pPr>
              <w:pStyle w:val="TableParagraph"/>
              <w:spacing w:line="240" w:lineRule="auto" w:before="115"/>
              <w:ind w:left="0"/>
              <w:jc w:val="left"/>
              <w:rPr>
                <w:rFonts w:ascii="Arial"/>
                <w:b/>
                <w:sz w:val="20"/>
              </w:rPr>
            </w:pPr>
          </w:p>
          <w:p>
            <w:pPr>
              <w:pStyle w:val="TableParagraph"/>
              <w:spacing w:line="240" w:lineRule="auto"/>
              <w:ind w:left="9"/>
              <w:rPr>
                <w:sz w:val="20"/>
              </w:rPr>
            </w:pPr>
            <w:r>
              <w:rPr>
                <w:spacing w:val="-5"/>
                <w:sz w:val="20"/>
              </w:rPr>
              <w:t>382</w:t>
            </w:r>
          </w:p>
        </w:tc>
        <w:tc>
          <w:tcPr>
            <w:tcW w:w="6828" w:type="dxa"/>
          </w:tcPr>
          <w:p>
            <w:pPr>
              <w:pStyle w:val="TableParagraph"/>
              <w:spacing w:line="240" w:lineRule="auto"/>
              <w:jc w:val="left"/>
              <w:rPr>
                <w:sz w:val="20"/>
              </w:rPr>
            </w:pPr>
            <w:r>
              <w:rPr>
                <w:sz w:val="20"/>
              </w:rPr>
              <w:t>En</w:t>
            </w:r>
            <w:r>
              <w:rPr>
                <w:spacing w:val="40"/>
                <w:sz w:val="20"/>
              </w:rPr>
              <w:t> </w:t>
            </w:r>
            <w:r>
              <w:rPr>
                <w:sz w:val="20"/>
              </w:rPr>
              <w:t>las</w:t>
            </w:r>
            <w:r>
              <w:rPr>
                <w:spacing w:val="40"/>
                <w:sz w:val="20"/>
              </w:rPr>
              <w:t> </w:t>
            </w:r>
            <w:r>
              <w:rPr>
                <w:sz w:val="20"/>
              </w:rPr>
              <w:t>dos</w:t>
            </w:r>
            <w:r>
              <w:rPr>
                <w:spacing w:val="40"/>
                <w:sz w:val="20"/>
              </w:rPr>
              <w:t> </w:t>
            </w:r>
            <w:r>
              <w:rPr>
                <w:sz w:val="20"/>
              </w:rPr>
              <w:t>fracciones</w:t>
            </w:r>
            <w:r>
              <w:rPr>
                <w:spacing w:val="40"/>
                <w:sz w:val="20"/>
              </w:rPr>
              <w:t> </w:t>
            </w:r>
            <w:r>
              <w:rPr>
                <w:sz w:val="20"/>
              </w:rPr>
              <w:t>anteriores</w:t>
            </w:r>
            <w:r>
              <w:rPr>
                <w:spacing w:val="40"/>
                <w:sz w:val="20"/>
              </w:rPr>
              <w:t> </w:t>
            </w:r>
            <w:r>
              <w:rPr>
                <w:sz w:val="20"/>
              </w:rPr>
              <w:t>se</w:t>
            </w:r>
            <w:r>
              <w:rPr>
                <w:spacing w:val="40"/>
                <w:sz w:val="20"/>
              </w:rPr>
              <w:t> </w:t>
            </w:r>
            <w:r>
              <w:rPr>
                <w:sz w:val="20"/>
              </w:rPr>
              <w:t>les</w:t>
            </w:r>
            <w:r>
              <w:rPr>
                <w:spacing w:val="40"/>
                <w:sz w:val="20"/>
              </w:rPr>
              <w:t> </w:t>
            </w:r>
            <w:r>
              <w:rPr>
                <w:sz w:val="20"/>
              </w:rPr>
              <w:t>agregará</w:t>
            </w:r>
            <w:r>
              <w:rPr>
                <w:spacing w:val="40"/>
                <w:sz w:val="20"/>
              </w:rPr>
              <w:t> </w:t>
            </w:r>
            <w:r>
              <w:rPr>
                <w:sz w:val="20"/>
              </w:rPr>
              <w:t>la</w:t>
            </w:r>
            <w:r>
              <w:rPr>
                <w:spacing w:val="40"/>
                <w:sz w:val="20"/>
              </w:rPr>
              <w:t> </w:t>
            </w:r>
            <w:r>
              <w:rPr>
                <w:sz w:val="20"/>
              </w:rPr>
              <w:t>incapacidad</w:t>
            </w:r>
            <w:r>
              <w:rPr>
                <w:spacing w:val="40"/>
                <w:sz w:val="20"/>
              </w:rPr>
              <w:t> </w:t>
            </w:r>
            <w:r>
              <w:rPr>
                <w:sz w:val="20"/>
              </w:rPr>
              <w:t>que</w:t>
            </w:r>
            <w:r>
              <w:rPr>
                <w:spacing w:val="40"/>
                <w:sz w:val="20"/>
              </w:rPr>
              <w:t> </w:t>
            </w:r>
            <w:r>
              <w:rPr>
                <w:sz w:val="20"/>
              </w:rPr>
              <w:t>corresponda</w:t>
            </w:r>
            <w:r>
              <w:rPr>
                <w:spacing w:val="58"/>
                <w:sz w:val="20"/>
              </w:rPr>
              <w:t> </w:t>
            </w:r>
            <w:r>
              <w:rPr>
                <w:sz w:val="20"/>
              </w:rPr>
              <w:t>de</w:t>
            </w:r>
            <w:r>
              <w:rPr>
                <w:spacing w:val="58"/>
                <w:sz w:val="20"/>
              </w:rPr>
              <w:t> </w:t>
            </w:r>
            <w:r>
              <w:rPr>
                <w:sz w:val="20"/>
              </w:rPr>
              <w:t>acuerdo</w:t>
            </w:r>
            <w:r>
              <w:rPr>
                <w:spacing w:val="59"/>
                <w:sz w:val="20"/>
              </w:rPr>
              <w:t> </w:t>
            </w:r>
            <w:r>
              <w:rPr>
                <w:sz w:val="20"/>
              </w:rPr>
              <w:t>con</w:t>
            </w:r>
            <w:r>
              <w:rPr>
                <w:spacing w:val="56"/>
                <w:sz w:val="20"/>
              </w:rPr>
              <w:t> </w:t>
            </w:r>
            <w:r>
              <w:rPr>
                <w:sz w:val="20"/>
              </w:rPr>
              <w:t>la</w:t>
            </w:r>
            <w:r>
              <w:rPr>
                <w:spacing w:val="57"/>
                <w:sz w:val="20"/>
              </w:rPr>
              <w:t> </w:t>
            </w:r>
            <w:r>
              <w:rPr>
                <w:sz w:val="20"/>
              </w:rPr>
              <w:t>disminución</w:t>
            </w:r>
            <w:r>
              <w:rPr>
                <w:spacing w:val="58"/>
                <w:sz w:val="20"/>
              </w:rPr>
              <w:t> </w:t>
            </w:r>
            <w:r>
              <w:rPr>
                <w:sz w:val="20"/>
              </w:rPr>
              <w:t>de</w:t>
            </w:r>
            <w:r>
              <w:rPr>
                <w:spacing w:val="58"/>
                <w:sz w:val="20"/>
              </w:rPr>
              <w:t> </w:t>
            </w:r>
            <w:r>
              <w:rPr>
                <w:sz w:val="20"/>
              </w:rPr>
              <w:t>la</w:t>
            </w:r>
            <w:r>
              <w:rPr>
                <w:spacing w:val="58"/>
                <w:sz w:val="20"/>
              </w:rPr>
              <w:t> </w:t>
            </w:r>
            <w:r>
              <w:rPr>
                <w:sz w:val="20"/>
              </w:rPr>
              <w:t>agudeza</w:t>
            </w:r>
            <w:r>
              <w:rPr>
                <w:spacing w:val="59"/>
                <w:sz w:val="20"/>
              </w:rPr>
              <w:t> </w:t>
            </w:r>
            <w:r>
              <w:rPr>
                <w:sz w:val="20"/>
              </w:rPr>
              <w:t>visual</w:t>
            </w:r>
            <w:r>
              <w:rPr>
                <w:spacing w:val="58"/>
                <w:sz w:val="20"/>
              </w:rPr>
              <w:t> </w:t>
            </w:r>
            <w:r>
              <w:rPr>
                <w:spacing w:val="-5"/>
                <w:sz w:val="20"/>
              </w:rPr>
              <w:t>no</w:t>
            </w:r>
          </w:p>
          <w:p>
            <w:pPr>
              <w:pStyle w:val="TableParagraph"/>
              <w:spacing w:line="230" w:lineRule="atLeast"/>
              <w:jc w:val="left"/>
              <w:rPr>
                <w:sz w:val="20"/>
              </w:rPr>
            </w:pPr>
            <w:r>
              <w:rPr>
                <w:sz w:val="20"/>
              </w:rPr>
              <w:t>corregible,</w:t>
            </w:r>
            <w:r>
              <w:rPr>
                <w:spacing w:val="80"/>
                <w:sz w:val="20"/>
              </w:rPr>
              <w:t> </w:t>
            </w:r>
            <w:r>
              <w:rPr>
                <w:sz w:val="20"/>
              </w:rPr>
              <w:t>sin</w:t>
            </w:r>
            <w:r>
              <w:rPr>
                <w:spacing w:val="80"/>
                <w:sz w:val="20"/>
              </w:rPr>
              <w:t> </w:t>
            </w:r>
            <w:r>
              <w:rPr>
                <w:sz w:val="20"/>
              </w:rPr>
              <w:t>que</w:t>
            </w:r>
            <w:r>
              <w:rPr>
                <w:spacing w:val="80"/>
                <w:sz w:val="20"/>
              </w:rPr>
              <w:t> </w:t>
            </w:r>
            <w:r>
              <w:rPr>
                <w:sz w:val="20"/>
              </w:rPr>
              <w:t>la</w:t>
            </w:r>
            <w:r>
              <w:rPr>
                <w:spacing w:val="80"/>
                <w:sz w:val="20"/>
              </w:rPr>
              <w:t> </w:t>
            </w:r>
            <w:r>
              <w:rPr>
                <w:sz w:val="20"/>
              </w:rPr>
              <w:t>suma</w:t>
            </w:r>
            <w:r>
              <w:rPr>
                <w:spacing w:val="80"/>
                <w:sz w:val="20"/>
              </w:rPr>
              <w:t> </w:t>
            </w:r>
            <w:r>
              <w:rPr>
                <w:sz w:val="20"/>
              </w:rPr>
              <w:t>sobrepase</w:t>
            </w:r>
            <w:r>
              <w:rPr>
                <w:spacing w:val="80"/>
                <w:sz w:val="20"/>
              </w:rPr>
              <w:t> </w:t>
            </w:r>
            <w:r>
              <w:rPr>
                <w:sz w:val="20"/>
              </w:rPr>
              <w:t>el</w:t>
            </w:r>
            <w:r>
              <w:rPr>
                <w:spacing w:val="80"/>
                <w:sz w:val="20"/>
              </w:rPr>
              <w:t> </w:t>
            </w:r>
            <w:r>
              <w:rPr>
                <w:sz w:val="20"/>
              </w:rPr>
              <w:t>100%,</w:t>
            </w:r>
            <w:r>
              <w:rPr>
                <w:spacing w:val="80"/>
                <w:sz w:val="20"/>
              </w:rPr>
              <w:t> </w:t>
            </w:r>
            <w:r>
              <w:rPr>
                <w:sz w:val="20"/>
              </w:rPr>
              <w:t>conforme</w:t>
            </w:r>
            <w:r>
              <w:rPr>
                <w:spacing w:val="80"/>
                <w:sz w:val="20"/>
              </w:rPr>
              <w:t> </w:t>
            </w:r>
            <w:r>
              <w:rPr>
                <w:sz w:val="20"/>
              </w:rPr>
              <w:t>a</w:t>
            </w:r>
            <w:r>
              <w:rPr>
                <w:spacing w:val="80"/>
                <w:sz w:val="20"/>
              </w:rPr>
              <w:t> </w:t>
            </w:r>
            <w:r>
              <w:rPr>
                <w:sz w:val="20"/>
              </w:rPr>
              <w:t>las</w:t>
            </w:r>
            <w:r>
              <w:rPr>
                <w:spacing w:val="80"/>
                <w:sz w:val="20"/>
              </w:rPr>
              <w:t> </w:t>
            </w:r>
            <w:r>
              <w:rPr>
                <w:sz w:val="20"/>
              </w:rPr>
              <w:t>estipulaciones del artículo 494 de la Ley Federal del Trabajo.</w:t>
            </w:r>
          </w:p>
        </w:tc>
        <w:tc>
          <w:tcPr>
            <w:tcW w:w="1657" w:type="dxa"/>
          </w:tcPr>
          <w:p>
            <w:pPr>
              <w:pStyle w:val="TableParagraph"/>
              <w:spacing w:line="240" w:lineRule="auto" w:before="115"/>
              <w:ind w:left="0"/>
              <w:jc w:val="left"/>
              <w:rPr>
                <w:rFonts w:ascii="Arial"/>
                <w:b/>
                <w:sz w:val="20"/>
              </w:rPr>
            </w:pPr>
          </w:p>
          <w:p>
            <w:pPr>
              <w:pStyle w:val="TableParagraph"/>
              <w:spacing w:line="240" w:lineRule="auto"/>
              <w:ind w:left="6"/>
              <w:rPr>
                <w:sz w:val="20"/>
              </w:rPr>
            </w:pPr>
            <w:r>
              <w:rPr>
                <w:spacing w:val="-2"/>
                <w:sz w:val="20"/>
              </w:rPr>
              <w:t>-</w:t>
            </w:r>
            <w:r>
              <w:rPr>
                <w:spacing w:val="-12"/>
                <w:sz w:val="20"/>
              </w:rPr>
              <w:t>-</w:t>
            </w:r>
          </w:p>
        </w:tc>
      </w:tr>
      <w:tr>
        <w:trPr>
          <w:trHeight w:val="460" w:hRule="atLeast"/>
        </w:trPr>
        <w:tc>
          <w:tcPr>
            <w:tcW w:w="1066" w:type="dxa"/>
          </w:tcPr>
          <w:p>
            <w:pPr>
              <w:pStyle w:val="TableParagraph"/>
              <w:spacing w:line="240" w:lineRule="auto" w:before="114"/>
              <w:ind w:left="9"/>
              <w:rPr>
                <w:sz w:val="20"/>
              </w:rPr>
            </w:pPr>
            <w:r>
              <w:rPr>
                <w:spacing w:val="-5"/>
                <w:sz w:val="20"/>
              </w:rPr>
              <w:t>383</w:t>
            </w:r>
          </w:p>
        </w:tc>
        <w:tc>
          <w:tcPr>
            <w:tcW w:w="6828" w:type="dxa"/>
          </w:tcPr>
          <w:p>
            <w:pPr>
              <w:pStyle w:val="TableParagraph"/>
              <w:spacing w:line="230" w:lineRule="exact"/>
              <w:jc w:val="left"/>
              <w:rPr>
                <w:sz w:val="20"/>
              </w:rPr>
            </w:pPr>
            <w:r>
              <w:rPr>
                <w:sz w:val="20"/>
              </w:rPr>
              <w:t>Midriasis, iridodiálisis o iridectomía</w:t>
            </w:r>
            <w:r>
              <w:rPr>
                <w:spacing w:val="-2"/>
                <w:sz w:val="20"/>
              </w:rPr>
              <w:t> </w:t>
            </w:r>
            <w:r>
              <w:rPr>
                <w:sz w:val="20"/>
              </w:rPr>
              <w:t>en</w:t>
            </w:r>
            <w:r>
              <w:rPr>
                <w:spacing w:val="-2"/>
                <w:sz w:val="20"/>
              </w:rPr>
              <w:t> </w:t>
            </w:r>
            <w:r>
              <w:rPr>
                <w:sz w:val="20"/>
              </w:rPr>
              <w:t>sector, cuando ocasionan trastornos funcionales, en un ojo.</w:t>
            </w:r>
          </w:p>
        </w:tc>
        <w:tc>
          <w:tcPr>
            <w:tcW w:w="1657" w:type="dxa"/>
          </w:tcPr>
          <w:p>
            <w:pPr>
              <w:pStyle w:val="TableParagraph"/>
              <w:spacing w:line="240" w:lineRule="auto" w:before="114"/>
              <w:ind w:left="6" w:right="1"/>
              <w:rPr>
                <w:sz w:val="20"/>
              </w:rPr>
            </w:pPr>
            <w:r>
              <w:rPr>
                <w:spacing w:val="-5"/>
                <w:sz w:val="20"/>
              </w:rPr>
              <w:t>10%</w:t>
            </w:r>
          </w:p>
        </w:tc>
      </w:tr>
      <w:tr>
        <w:trPr>
          <w:trHeight w:val="460" w:hRule="atLeast"/>
        </w:trPr>
        <w:tc>
          <w:tcPr>
            <w:tcW w:w="1066" w:type="dxa"/>
          </w:tcPr>
          <w:p>
            <w:pPr>
              <w:pStyle w:val="TableParagraph"/>
              <w:spacing w:line="240" w:lineRule="auto" w:before="114"/>
              <w:ind w:left="9"/>
              <w:rPr>
                <w:sz w:val="20"/>
              </w:rPr>
            </w:pPr>
            <w:r>
              <w:rPr>
                <w:spacing w:val="-5"/>
                <w:sz w:val="20"/>
              </w:rPr>
              <w:t>384</w:t>
            </w:r>
          </w:p>
        </w:tc>
        <w:tc>
          <w:tcPr>
            <w:tcW w:w="6828" w:type="dxa"/>
          </w:tcPr>
          <w:p>
            <w:pPr>
              <w:pStyle w:val="TableParagraph"/>
              <w:spacing w:line="230" w:lineRule="exact"/>
              <w:jc w:val="left"/>
              <w:rPr>
                <w:sz w:val="20"/>
              </w:rPr>
            </w:pPr>
            <w:r>
              <w:rPr>
                <w:sz w:val="20"/>
              </w:rPr>
              <w:t>Midriasis, iridodiálisis o iridectomía</w:t>
            </w:r>
            <w:r>
              <w:rPr>
                <w:spacing w:val="-3"/>
                <w:sz w:val="20"/>
              </w:rPr>
              <w:t> </w:t>
            </w:r>
            <w:r>
              <w:rPr>
                <w:sz w:val="20"/>
              </w:rPr>
              <w:t>en</w:t>
            </w:r>
            <w:r>
              <w:rPr>
                <w:spacing w:val="-3"/>
                <w:sz w:val="20"/>
              </w:rPr>
              <w:t> </w:t>
            </w:r>
            <w:r>
              <w:rPr>
                <w:sz w:val="20"/>
              </w:rPr>
              <w:t>sector, cuando ocasionan</w:t>
            </w:r>
            <w:r>
              <w:rPr>
                <w:spacing w:val="-1"/>
                <w:sz w:val="20"/>
              </w:rPr>
              <w:t> </w:t>
            </w:r>
            <w:r>
              <w:rPr>
                <w:sz w:val="20"/>
              </w:rPr>
              <w:t>trastornos funcionales, en ambos ojos.</w:t>
            </w:r>
          </w:p>
        </w:tc>
        <w:tc>
          <w:tcPr>
            <w:tcW w:w="1657" w:type="dxa"/>
          </w:tcPr>
          <w:p>
            <w:pPr>
              <w:pStyle w:val="TableParagraph"/>
              <w:spacing w:line="240" w:lineRule="auto" w:before="114"/>
              <w:ind w:left="6" w:right="1"/>
              <w:rPr>
                <w:sz w:val="20"/>
              </w:rPr>
            </w:pPr>
            <w:r>
              <w:rPr>
                <w:spacing w:val="-5"/>
                <w:sz w:val="20"/>
              </w:rPr>
              <w:t>20%</w:t>
            </w:r>
          </w:p>
        </w:tc>
      </w:tr>
    </w:tbl>
    <w:p>
      <w:pPr>
        <w:spacing w:before="229"/>
        <w:ind w:left="292" w:right="296" w:firstLine="0"/>
        <w:jc w:val="center"/>
        <w:rPr>
          <w:rFonts w:ascii="Arial" w:hAnsi="Arial"/>
          <w:b/>
          <w:sz w:val="20"/>
        </w:rPr>
      </w:pPr>
      <w:r>
        <w:rPr>
          <w:rFonts w:ascii="Arial" w:hAnsi="Arial"/>
          <w:b/>
          <w:sz w:val="20"/>
        </w:rPr>
        <w:t>Ptosis</w:t>
      </w:r>
      <w:r>
        <w:rPr>
          <w:rFonts w:ascii="Arial" w:hAnsi="Arial"/>
          <w:b/>
          <w:spacing w:val="-6"/>
          <w:sz w:val="20"/>
        </w:rPr>
        <w:t> </w:t>
      </w:r>
      <w:r>
        <w:rPr>
          <w:rFonts w:ascii="Arial" w:hAnsi="Arial"/>
          <w:b/>
          <w:sz w:val="20"/>
        </w:rPr>
        <w:t>palpebral</w:t>
      </w:r>
      <w:r>
        <w:rPr>
          <w:rFonts w:ascii="Arial" w:hAnsi="Arial"/>
          <w:b/>
          <w:spacing w:val="-5"/>
          <w:sz w:val="20"/>
        </w:rPr>
        <w:t> </w:t>
      </w:r>
      <w:r>
        <w:rPr>
          <w:rFonts w:ascii="Arial" w:hAnsi="Arial"/>
          <w:b/>
          <w:sz w:val="20"/>
        </w:rPr>
        <w:t>o</w:t>
      </w:r>
      <w:r>
        <w:rPr>
          <w:rFonts w:ascii="Arial" w:hAnsi="Arial"/>
          <w:b/>
          <w:spacing w:val="-5"/>
          <w:sz w:val="20"/>
        </w:rPr>
        <w:t> </w:t>
      </w:r>
      <w:r>
        <w:rPr>
          <w:rFonts w:ascii="Arial" w:hAnsi="Arial"/>
          <w:b/>
          <w:sz w:val="20"/>
        </w:rPr>
        <w:t>blefaroespasmo</w:t>
      </w:r>
      <w:r>
        <w:rPr>
          <w:rFonts w:ascii="Arial" w:hAnsi="Arial"/>
          <w:b/>
          <w:spacing w:val="-5"/>
          <w:sz w:val="20"/>
        </w:rPr>
        <w:t> </w:t>
      </w:r>
      <w:r>
        <w:rPr>
          <w:rFonts w:ascii="Arial" w:hAnsi="Arial"/>
          <w:b/>
          <w:sz w:val="20"/>
        </w:rPr>
        <w:t>unilaterales,</w:t>
      </w:r>
      <w:r>
        <w:rPr>
          <w:rFonts w:ascii="Arial" w:hAnsi="Arial"/>
          <w:b/>
          <w:spacing w:val="-5"/>
          <w:sz w:val="20"/>
        </w:rPr>
        <w:t> </w:t>
      </w:r>
      <w:r>
        <w:rPr>
          <w:rFonts w:ascii="Arial" w:hAnsi="Arial"/>
          <w:b/>
          <w:sz w:val="20"/>
        </w:rPr>
        <w:t>no</w:t>
      </w:r>
      <w:r>
        <w:rPr>
          <w:rFonts w:ascii="Arial" w:hAnsi="Arial"/>
          <w:b/>
          <w:spacing w:val="-3"/>
          <w:sz w:val="20"/>
        </w:rPr>
        <w:t> </w:t>
      </w:r>
      <w:r>
        <w:rPr>
          <w:rFonts w:ascii="Arial" w:hAnsi="Arial"/>
          <w:b/>
          <w:sz w:val="20"/>
        </w:rPr>
        <w:t>resueltos</w:t>
      </w:r>
      <w:r>
        <w:rPr>
          <w:rFonts w:ascii="Arial" w:hAnsi="Arial"/>
          <w:b/>
          <w:spacing w:val="-5"/>
          <w:sz w:val="20"/>
        </w:rPr>
        <w:t> </w:t>
      </w:r>
      <w:r>
        <w:rPr>
          <w:rFonts w:ascii="Arial" w:hAnsi="Arial"/>
          <w:b/>
          <w:sz w:val="20"/>
        </w:rPr>
        <w:t>quirúrgicamente,</w:t>
      </w:r>
      <w:r>
        <w:rPr>
          <w:rFonts w:ascii="Arial" w:hAnsi="Arial"/>
          <w:b/>
          <w:spacing w:val="-5"/>
          <w:sz w:val="20"/>
        </w:rPr>
        <w:t> </w:t>
      </w:r>
      <w:r>
        <w:rPr>
          <w:rFonts w:ascii="Arial" w:hAnsi="Arial"/>
          <w:b/>
          <w:sz w:val="20"/>
        </w:rPr>
        <w:t>cuando</w:t>
      </w:r>
      <w:r>
        <w:rPr>
          <w:rFonts w:ascii="Arial" w:hAnsi="Arial"/>
          <w:b/>
          <w:spacing w:val="-5"/>
          <w:sz w:val="20"/>
        </w:rPr>
        <w:t> </w:t>
      </w:r>
      <w:r>
        <w:rPr>
          <w:rFonts w:ascii="Arial" w:hAnsi="Arial"/>
          <w:b/>
          <w:sz w:val="20"/>
        </w:rPr>
        <w:t>cubren</w:t>
      </w:r>
      <w:r>
        <w:rPr>
          <w:rFonts w:ascii="Arial" w:hAnsi="Arial"/>
          <w:b/>
          <w:spacing w:val="-5"/>
          <w:sz w:val="20"/>
        </w:rPr>
        <w:t> </w:t>
      </w:r>
      <w:r>
        <w:rPr>
          <w:rFonts w:ascii="Arial" w:hAnsi="Arial"/>
          <w:b/>
          <w:sz w:val="20"/>
        </w:rPr>
        <w:t>el área pupilar</w:t>
      </w:r>
    </w:p>
    <w:p>
      <w:pPr>
        <w:spacing w:after="0"/>
        <w:jc w:val="center"/>
        <w:rPr>
          <w:rFonts w:ascii="Arial" w:hAnsi="Arial"/>
          <w:b/>
          <w:sz w:val="20"/>
        </w:rPr>
        <w:sectPr>
          <w:pgSz w:w="12240" w:h="15840"/>
          <w:pgMar w:header="724" w:footer="712" w:top="1880" w:bottom="900" w:left="1080" w:right="1080"/>
        </w:sectPr>
      </w:pPr>
    </w:p>
    <w:p>
      <w:pPr>
        <w:pStyle w:val="BodyText"/>
        <w:rPr>
          <w:rFonts w:ascii="Arial"/>
          <w:b/>
        </w:rPr>
      </w:pPr>
    </w:p>
    <w:p>
      <w:pPr>
        <w:pStyle w:val="BodyText"/>
        <w:spacing w:before="66"/>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801"/>
        <w:gridCol w:w="1683"/>
      </w:tblGrid>
      <w:tr>
        <w:trPr>
          <w:trHeight w:val="232" w:hRule="atLeast"/>
        </w:trPr>
        <w:tc>
          <w:tcPr>
            <w:tcW w:w="1066" w:type="dxa"/>
          </w:tcPr>
          <w:p>
            <w:pPr>
              <w:pStyle w:val="TableParagraph"/>
              <w:spacing w:before="1"/>
              <w:ind w:left="9"/>
              <w:rPr>
                <w:sz w:val="20"/>
              </w:rPr>
            </w:pPr>
            <w:r>
              <w:rPr>
                <w:spacing w:val="-5"/>
                <w:sz w:val="20"/>
              </w:rPr>
              <w:t>385</w:t>
            </w:r>
          </w:p>
        </w:tc>
        <w:tc>
          <w:tcPr>
            <w:tcW w:w="6801" w:type="dxa"/>
          </w:tcPr>
          <w:p>
            <w:pPr>
              <w:pStyle w:val="TableParagraph"/>
              <w:spacing w:before="1"/>
              <w:jc w:val="left"/>
              <w:rPr>
                <w:sz w:val="20"/>
              </w:rPr>
            </w:pPr>
            <w:r>
              <w:rPr>
                <w:sz w:val="20"/>
              </w:rPr>
              <w:t>Ptosis</w:t>
            </w:r>
            <w:r>
              <w:rPr>
                <w:spacing w:val="-10"/>
                <w:sz w:val="20"/>
              </w:rPr>
              <w:t> </w:t>
            </w:r>
            <w:r>
              <w:rPr>
                <w:sz w:val="20"/>
              </w:rPr>
              <w:t>palpebral,</w:t>
            </w:r>
            <w:r>
              <w:rPr>
                <w:spacing w:val="-9"/>
                <w:sz w:val="20"/>
              </w:rPr>
              <w:t> </w:t>
            </w:r>
            <w:r>
              <w:rPr>
                <w:sz w:val="20"/>
              </w:rPr>
              <w:t>pupila</w:t>
            </w:r>
            <w:r>
              <w:rPr>
                <w:spacing w:val="-10"/>
                <w:sz w:val="20"/>
              </w:rPr>
              <w:t> </w:t>
            </w:r>
            <w:r>
              <w:rPr>
                <w:spacing w:val="-2"/>
                <w:sz w:val="20"/>
              </w:rPr>
              <w:t>descubierta.</w:t>
            </w:r>
          </w:p>
        </w:tc>
        <w:tc>
          <w:tcPr>
            <w:tcW w:w="1683" w:type="dxa"/>
          </w:tcPr>
          <w:p>
            <w:pPr>
              <w:pStyle w:val="TableParagraph"/>
              <w:spacing w:before="1"/>
              <w:ind w:left="14" w:right="5"/>
              <w:rPr>
                <w:sz w:val="20"/>
              </w:rPr>
            </w:pPr>
            <w:r>
              <w:rPr>
                <w:spacing w:val="-5"/>
                <w:sz w:val="20"/>
              </w:rPr>
              <w:t>10%</w:t>
            </w:r>
          </w:p>
        </w:tc>
      </w:tr>
      <w:tr>
        <w:trPr>
          <w:trHeight w:val="457" w:hRule="atLeast"/>
        </w:trPr>
        <w:tc>
          <w:tcPr>
            <w:tcW w:w="1066" w:type="dxa"/>
          </w:tcPr>
          <w:p>
            <w:pPr>
              <w:pStyle w:val="TableParagraph"/>
              <w:spacing w:line="240" w:lineRule="auto" w:before="114"/>
              <w:ind w:left="9"/>
              <w:rPr>
                <w:sz w:val="20"/>
              </w:rPr>
            </w:pPr>
            <w:r>
              <w:rPr>
                <w:spacing w:val="-5"/>
                <w:sz w:val="20"/>
              </w:rPr>
              <w:t>386</w:t>
            </w:r>
          </w:p>
        </w:tc>
        <w:tc>
          <w:tcPr>
            <w:tcW w:w="6801" w:type="dxa"/>
          </w:tcPr>
          <w:p>
            <w:pPr>
              <w:pStyle w:val="TableParagraph"/>
              <w:spacing w:line="228" w:lineRule="exact"/>
              <w:ind w:right="20"/>
              <w:jc w:val="left"/>
              <w:rPr>
                <w:sz w:val="20"/>
              </w:rPr>
            </w:pPr>
            <w:r>
              <w:rPr>
                <w:sz w:val="20"/>
              </w:rPr>
              <w:t>Ptosis</w:t>
            </w:r>
            <w:r>
              <w:rPr>
                <w:spacing w:val="-2"/>
                <w:sz w:val="20"/>
              </w:rPr>
              <w:t> </w:t>
            </w:r>
            <w:r>
              <w:rPr>
                <w:sz w:val="20"/>
              </w:rPr>
              <w:t>palpebral</w:t>
            </w:r>
            <w:r>
              <w:rPr>
                <w:spacing w:val="-3"/>
                <w:sz w:val="20"/>
              </w:rPr>
              <w:t> </w:t>
            </w:r>
            <w:r>
              <w:rPr>
                <w:sz w:val="20"/>
              </w:rPr>
              <w:t>en</w:t>
            </w:r>
            <w:r>
              <w:rPr>
                <w:spacing w:val="-3"/>
                <w:sz w:val="20"/>
              </w:rPr>
              <w:t> </w:t>
            </w:r>
            <w:r>
              <w:rPr>
                <w:sz w:val="20"/>
              </w:rPr>
              <w:t>forma</w:t>
            </w:r>
            <w:r>
              <w:rPr>
                <w:spacing w:val="-5"/>
                <w:sz w:val="20"/>
              </w:rPr>
              <w:t> </w:t>
            </w:r>
            <w:r>
              <w:rPr>
                <w:sz w:val="20"/>
              </w:rPr>
              <w:t>mínima,</w:t>
            </w:r>
            <w:r>
              <w:rPr>
                <w:spacing w:val="-5"/>
                <w:sz w:val="20"/>
              </w:rPr>
              <w:t> </w:t>
            </w:r>
            <w:r>
              <w:rPr>
                <w:sz w:val="20"/>
              </w:rPr>
              <w:t>con</w:t>
            </w:r>
            <w:r>
              <w:rPr>
                <w:spacing w:val="-6"/>
                <w:sz w:val="20"/>
              </w:rPr>
              <w:t> </w:t>
            </w:r>
            <w:r>
              <w:rPr>
                <w:sz w:val="20"/>
              </w:rPr>
              <w:t>elevación</w:t>
            </w:r>
            <w:r>
              <w:rPr>
                <w:spacing w:val="-5"/>
                <w:sz w:val="20"/>
              </w:rPr>
              <w:t> </w:t>
            </w:r>
            <w:r>
              <w:rPr>
                <w:sz w:val="20"/>
              </w:rPr>
              <w:t>del</w:t>
            </w:r>
            <w:r>
              <w:rPr>
                <w:spacing w:val="-2"/>
                <w:sz w:val="20"/>
              </w:rPr>
              <w:t> </w:t>
            </w:r>
            <w:r>
              <w:rPr>
                <w:sz w:val="20"/>
              </w:rPr>
              <w:t>párpado</w:t>
            </w:r>
            <w:r>
              <w:rPr>
                <w:spacing w:val="-6"/>
                <w:sz w:val="20"/>
              </w:rPr>
              <w:t> </w:t>
            </w:r>
            <w:r>
              <w:rPr>
                <w:sz w:val="20"/>
              </w:rPr>
              <w:t>superior</w:t>
            </w:r>
            <w:r>
              <w:rPr>
                <w:spacing w:val="-5"/>
                <w:sz w:val="20"/>
              </w:rPr>
              <w:t> </w:t>
            </w:r>
            <w:r>
              <w:rPr>
                <w:sz w:val="20"/>
              </w:rPr>
              <w:t>de</w:t>
            </w:r>
            <w:r>
              <w:rPr>
                <w:spacing w:val="-3"/>
                <w:sz w:val="20"/>
              </w:rPr>
              <w:t> </w:t>
            </w:r>
            <w:r>
              <w:rPr>
                <w:sz w:val="20"/>
              </w:rPr>
              <w:t>7 a 9 mm.</w:t>
            </w:r>
          </w:p>
        </w:tc>
        <w:tc>
          <w:tcPr>
            <w:tcW w:w="1683" w:type="dxa"/>
          </w:tcPr>
          <w:p>
            <w:pPr>
              <w:pStyle w:val="TableParagraph"/>
              <w:spacing w:line="240" w:lineRule="auto" w:before="114"/>
              <w:ind w:left="14" w:right="5"/>
              <w:rPr>
                <w:sz w:val="20"/>
              </w:rPr>
            </w:pPr>
            <w:r>
              <w:rPr>
                <w:spacing w:val="-5"/>
                <w:sz w:val="20"/>
              </w:rPr>
              <w:t>15%</w:t>
            </w:r>
          </w:p>
        </w:tc>
      </w:tr>
      <w:tr>
        <w:trPr>
          <w:trHeight w:val="460" w:hRule="atLeast"/>
        </w:trPr>
        <w:tc>
          <w:tcPr>
            <w:tcW w:w="1066" w:type="dxa"/>
          </w:tcPr>
          <w:p>
            <w:pPr>
              <w:pStyle w:val="TableParagraph"/>
              <w:spacing w:line="240" w:lineRule="auto" w:before="114"/>
              <w:ind w:left="9"/>
              <w:rPr>
                <w:sz w:val="20"/>
              </w:rPr>
            </w:pPr>
            <w:r>
              <w:rPr>
                <w:spacing w:val="-5"/>
                <w:sz w:val="20"/>
              </w:rPr>
              <w:t>387</w:t>
            </w:r>
          </w:p>
        </w:tc>
        <w:tc>
          <w:tcPr>
            <w:tcW w:w="6801" w:type="dxa"/>
          </w:tcPr>
          <w:p>
            <w:pPr>
              <w:pStyle w:val="TableParagraph"/>
              <w:spacing w:line="230" w:lineRule="exact"/>
              <w:ind w:right="20"/>
              <w:jc w:val="left"/>
              <w:rPr>
                <w:sz w:val="20"/>
              </w:rPr>
            </w:pPr>
            <w:r>
              <w:rPr>
                <w:sz w:val="20"/>
              </w:rPr>
              <w:t>Ptosis palpebral, en forma moderada, con elevación del párpado superior de 1 a 6 mm.</w:t>
            </w:r>
          </w:p>
        </w:tc>
        <w:tc>
          <w:tcPr>
            <w:tcW w:w="1683" w:type="dxa"/>
          </w:tcPr>
          <w:p>
            <w:pPr>
              <w:pStyle w:val="TableParagraph"/>
              <w:spacing w:line="240" w:lineRule="auto" w:before="114"/>
              <w:ind w:left="14" w:right="5"/>
              <w:rPr>
                <w:sz w:val="20"/>
              </w:rPr>
            </w:pPr>
            <w:r>
              <w:rPr>
                <w:spacing w:val="-5"/>
                <w:sz w:val="20"/>
              </w:rPr>
              <w:t>20%</w:t>
            </w:r>
          </w:p>
        </w:tc>
      </w:tr>
      <w:tr>
        <w:trPr>
          <w:trHeight w:val="229" w:hRule="atLeast"/>
        </w:trPr>
        <w:tc>
          <w:tcPr>
            <w:tcW w:w="1066" w:type="dxa"/>
          </w:tcPr>
          <w:p>
            <w:pPr>
              <w:pStyle w:val="TableParagraph"/>
              <w:ind w:left="9"/>
              <w:rPr>
                <w:sz w:val="20"/>
              </w:rPr>
            </w:pPr>
            <w:r>
              <w:rPr>
                <w:spacing w:val="-5"/>
                <w:sz w:val="20"/>
              </w:rPr>
              <w:t>388</w:t>
            </w:r>
          </w:p>
        </w:tc>
        <w:tc>
          <w:tcPr>
            <w:tcW w:w="6801" w:type="dxa"/>
          </w:tcPr>
          <w:p>
            <w:pPr>
              <w:pStyle w:val="TableParagraph"/>
              <w:jc w:val="left"/>
              <w:rPr>
                <w:sz w:val="20"/>
              </w:rPr>
            </w:pPr>
            <w:r>
              <w:rPr>
                <w:sz w:val="20"/>
              </w:rPr>
              <w:t>Ptosis</w:t>
            </w:r>
            <w:r>
              <w:rPr>
                <w:spacing w:val="-6"/>
                <w:sz w:val="20"/>
              </w:rPr>
              <w:t> </w:t>
            </w:r>
            <w:r>
              <w:rPr>
                <w:sz w:val="20"/>
              </w:rPr>
              <w:t>palpebral,</w:t>
            </w:r>
            <w:r>
              <w:rPr>
                <w:spacing w:val="-6"/>
                <w:sz w:val="20"/>
              </w:rPr>
              <w:t> </w:t>
            </w:r>
            <w:r>
              <w:rPr>
                <w:sz w:val="20"/>
              </w:rPr>
              <w:t>en</w:t>
            </w:r>
            <w:r>
              <w:rPr>
                <w:spacing w:val="-8"/>
                <w:sz w:val="20"/>
              </w:rPr>
              <w:t> </w:t>
            </w:r>
            <w:r>
              <w:rPr>
                <w:sz w:val="20"/>
              </w:rPr>
              <w:t>forma</w:t>
            </w:r>
            <w:r>
              <w:rPr>
                <w:spacing w:val="-10"/>
                <w:sz w:val="20"/>
              </w:rPr>
              <w:t> </w:t>
            </w:r>
            <w:r>
              <w:rPr>
                <w:sz w:val="20"/>
              </w:rPr>
              <w:t>severa,</w:t>
            </w:r>
            <w:r>
              <w:rPr>
                <w:spacing w:val="-7"/>
                <w:sz w:val="20"/>
              </w:rPr>
              <w:t> </w:t>
            </w:r>
            <w:r>
              <w:rPr>
                <w:sz w:val="20"/>
              </w:rPr>
              <w:t>sin</w:t>
            </w:r>
            <w:r>
              <w:rPr>
                <w:spacing w:val="-8"/>
                <w:sz w:val="20"/>
              </w:rPr>
              <w:t> </w:t>
            </w:r>
            <w:r>
              <w:rPr>
                <w:sz w:val="20"/>
              </w:rPr>
              <w:t>elevación</w:t>
            </w:r>
            <w:r>
              <w:rPr>
                <w:spacing w:val="-6"/>
                <w:sz w:val="20"/>
              </w:rPr>
              <w:t> </w:t>
            </w:r>
            <w:r>
              <w:rPr>
                <w:sz w:val="20"/>
              </w:rPr>
              <w:t>del</w:t>
            </w:r>
            <w:r>
              <w:rPr>
                <w:spacing w:val="-8"/>
                <w:sz w:val="20"/>
              </w:rPr>
              <w:t> </w:t>
            </w:r>
            <w:r>
              <w:rPr>
                <w:sz w:val="20"/>
              </w:rPr>
              <w:t>párpado</w:t>
            </w:r>
            <w:r>
              <w:rPr>
                <w:spacing w:val="-8"/>
                <w:sz w:val="20"/>
              </w:rPr>
              <w:t> </w:t>
            </w:r>
            <w:r>
              <w:rPr>
                <w:spacing w:val="-2"/>
                <w:sz w:val="20"/>
              </w:rPr>
              <w:t>superior.</w:t>
            </w:r>
          </w:p>
        </w:tc>
        <w:tc>
          <w:tcPr>
            <w:tcW w:w="1683" w:type="dxa"/>
          </w:tcPr>
          <w:p>
            <w:pPr>
              <w:pStyle w:val="TableParagraph"/>
              <w:ind w:left="14" w:right="5"/>
              <w:rPr>
                <w:sz w:val="20"/>
              </w:rPr>
            </w:pPr>
            <w:r>
              <w:rPr>
                <w:spacing w:val="-5"/>
                <w:sz w:val="20"/>
              </w:rPr>
              <w:t>30%</w:t>
            </w:r>
          </w:p>
        </w:tc>
      </w:tr>
      <w:tr>
        <w:trPr>
          <w:trHeight w:val="462" w:hRule="atLeast"/>
        </w:trPr>
        <w:tc>
          <w:tcPr>
            <w:tcW w:w="1066" w:type="dxa"/>
          </w:tcPr>
          <w:p>
            <w:pPr>
              <w:pStyle w:val="TableParagraph"/>
              <w:spacing w:line="240" w:lineRule="auto" w:before="114"/>
              <w:ind w:left="9"/>
              <w:rPr>
                <w:sz w:val="20"/>
              </w:rPr>
            </w:pPr>
            <w:r>
              <w:rPr>
                <w:spacing w:val="-5"/>
                <w:sz w:val="20"/>
              </w:rPr>
              <w:t>389</w:t>
            </w:r>
          </w:p>
        </w:tc>
        <w:tc>
          <w:tcPr>
            <w:tcW w:w="6801" w:type="dxa"/>
          </w:tcPr>
          <w:p>
            <w:pPr>
              <w:pStyle w:val="TableParagraph"/>
              <w:spacing w:line="230" w:lineRule="exact"/>
              <w:jc w:val="left"/>
              <w:rPr>
                <w:sz w:val="20"/>
              </w:rPr>
            </w:pPr>
            <w:r>
              <w:rPr>
                <w:sz w:val="20"/>
              </w:rPr>
              <w:t>A</w:t>
            </w:r>
            <w:r>
              <w:rPr>
                <w:spacing w:val="40"/>
                <w:sz w:val="20"/>
              </w:rPr>
              <w:t> </w:t>
            </w:r>
            <w:r>
              <w:rPr>
                <w:sz w:val="20"/>
              </w:rPr>
              <w:t>esta</w:t>
            </w:r>
            <w:r>
              <w:rPr>
                <w:spacing w:val="40"/>
                <w:sz w:val="20"/>
              </w:rPr>
              <w:t> </w:t>
            </w:r>
            <w:r>
              <w:rPr>
                <w:sz w:val="20"/>
              </w:rPr>
              <w:t>incapacidad</w:t>
            </w:r>
            <w:r>
              <w:rPr>
                <w:spacing w:val="40"/>
                <w:sz w:val="20"/>
              </w:rPr>
              <w:t> </w:t>
            </w:r>
            <w:r>
              <w:rPr>
                <w:sz w:val="20"/>
              </w:rPr>
              <w:t>se</w:t>
            </w:r>
            <w:r>
              <w:rPr>
                <w:spacing w:val="40"/>
                <w:sz w:val="20"/>
              </w:rPr>
              <w:t> </w:t>
            </w:r>
            <w:r>
              <w:rPr>
                <w:sz w:val="20"/>
              </w:rPr>
              <w:t>le</w:t>
            </w:r>
            <w:r>
              <w:rPr>
                <w:spacing w:val="40"/>
                <w:sz w:val="20"/>
              </w:rPr>
              <w:t> </w:t>
            </w:r>
            <w:r>
              <w:rPr>
                <w:sz w:val="20"/>
              </w:rPr>
              <w:t>deberá</w:t>
            </w:r>
            <w:r>
              <w:rPr>
                <w:spacing w:val="40"/>
                <w:sz w:val="20"/>
              </w:rPr>
              <w:t> </w:t>
            </w:r>
            <w:r>
              <w:rPr>
                <w:sz w:val="20"/>
              </w:rPr>
              <w:t>sumar</w:t>
            </w:r>
            <w:r>
              <w:rPr>
                <w:spacing w:val="40"/>
                <w:sz w:val="20"/>
              </w:rPr>
              <w:t> </w:t>
            </w:r>
            <w:r>
              <w:rPr>
                <w:sz w:val="20"/>
              </w:rPr>
              <w:t>la</w:t>
            </w:r>
            <w:r>
              <w:rPr>
                <w:spacing w:val="40"/>
                <w:sz w:val="20"/>
              </w:rPr>
              <w:t> </w:t>
            </w:r>
            <w:r>
              <w:rPr>
                <w:sz w:val="20"/>
              </w:rPr>
              <w:t>disminución</w:t>
            </w:r>
            <w:r>
              <w:rPr>
                <w:spacing w:val="40"/>
                <w:sz w:val="20"/>
              </w:rPr>
              <w:t> </w:t>
            </w:r>
            <w:r>
              <w:rPr>
                <w:sz w:val="20"/>
              </w:rPr>
              <w:t>de</w:t>
            </w:r>
            <w:r>
              <w:rPr>
                <w:spacing w:val="40"/>
                <w:sz w:val="20"/>
              </w:rPr>
              <w:t> </w:t>
            </w:r>
            <w:r>
              <w:rPr>
                <w:sz w:val="20"/>
              </w:rPr>
              <w:t>la</w:t>
            </w:r>
            <w:r>
              <w:rPr>
                <w:spacing w:val="40"/>
                <w:sz w:val="20"/>
              </w:rPr>
              <w:t> </w:t>
            </w:r>
            <w:r>
              <w:rPr>
                <w:sz w:val="20"/>
              </w:rPr>
              <w:t>agudeza visual sin que exceda del 100%.</w:t>
            </w:r>
          </w:p>
        </w:tc>
        <w:tc>
          <w:tcPr>
            <w:tcW w:w="1683" w:type="dxa"/>
          </w:tcPr>
          <w:p>
            <w:pPr>
              <w:pStyle w:val="TableParagraph"/>
              <w:spacing w:line="240" w:lineRule="auto" w:before="114"/>
              <w:ind w:left="14"/>
              <w:rPr>
                <w:sz w:val="20"/>
              </w:rPr>
            </w:pPr>
            <w:r>
              <w:rPr>
                <w:spacing w:val="-2"/>
                <w:sz w:val="20"/>
              </w:rPr>
              <w:t>-</w:t>
            </w:r>
            <w:r>
              <w:rPr>
                <w:spacing w:val="-12"/>
                <w:sz w:val="20"/>
              </w:rPr>
              <w:t>-</w:t>
            </w:r>
          </w:p>
        </w:tc>
      </w:tr>
    </w:tbl>
    <w:p>
      <w:pPr>
        <w:spacing w:before="227"/>
        <w:ind w:left="298" w:right="296" w:firstLine="0"/>
        <w:jc w:val="center"/>
        <w:rPr>
          <w:rFonts w:ascii="Arial" w:hAnsi="Arial"/>
          <w:b/>
          <w:sz w:val="20"/>
        </w:rPr>
      </w:pPr>
      <w:r>
        <w:rPr>
          <w:rFonts w:ascii="Arial" w:hAnsi="Arial"/>
          <w:b/>
          <w:sz w:val="20"/>
        </w:rPr>
        <w:t>Ptosis</w:t>
      </w:r>
      <w:r>
        <w:rPr>
          <w:rFonts w:ascii="Arial" w:hAnsi="Arial"/>
          <w:b/>
          <w:spacing w:val="-6"/>
          <w:sz w:val="20"/>
        </w:rPr>
        <w:t> </w:t>
      </w:r>
      <w:r>
        <w:rPr>
          <w:rFonts w:ascii="Arial" w:hAnsi="Arial"/>
          <w:b/>
          <w:sz w:val="20"/>
        </w:rPr>
        <w:t>palpebral</w:t>
      </w:r>
      <w:r>
        <w:rPr>
          <w:rFonts w:ascii="Arial" w:hAnsi="Arial"/>
          <w:b/>
          <w:spacing w:val="-5"/>
          <w:sz w:val="20"/>
        </w:rPr>
        <w:t> </w:t>
      </w:r>
      <w:r>
        <w:rPr>
          <w:rFonts w:ascii="Arial" w:hAnsi="Arial"/>
          <w:b/>
          <w:sz w:val="20"/>
        </w:rPr>
        <w:t>o</w:t>
      </w:r>
      <w:r>
        <w:rPr>
          <w:rFonts w:ascii="Arial" w:hAnsi="Arial"/>
          <w:b/>
          <w:spacing w:val="-4"/>
          <w:sz w:val="20"/>
        </w:rPr>
        <w:t> </w:t>
      </w:r>
      <w:r>
        <w:rPr>
          <w:rFonts w:ascii="Arial" w:hAnsi="Arial"/>
          <w:b/>
          <w:sz w:val="20"/>
        </w:rPr>
        <w:t>blefaroespasmo</w:t>
      </w:r>
      <w:r>
        <w:rPr>
          <w:rFonts w:ascii="Arial" w:hAnsi="Arial"/>
          <w:b/>
          <w:spacing w:val="-4"/>
          <w:sz w:val="20"/>
        </w:rPr>
        <w:t> </w:t>
      </w:r>
      <w:r>
        <w:rPr>
          <w:rFonts w:ascii="Arial" w:hAnsi="Arial"/>
          <w:b/>
          <w:sz w:val="20"/>
        </w:rPr>
        <w:t>bilateral</w:t>
      </w:r>
      <w:r>
        <w:rPr>
          <w:rFonts w:ascii="Arial" w:hAnsi="Arial"/>
          <w:b/>
          <w:spacing w:val="-5"/>
          <w:sz w:val="20"/>
        </w:rPr>
        <w:t> </w:t>
      </w:r>
      <w:r>
        <w:rPr>
          <w:rFonts w:ascii="Arial" w:hAnsi="Arial"/>
          <w:b/>
          <w:sz w:val="20"/>
        </w:rPr>
        <w:t>no</w:t>
      </w:r>
      <w:r>
        <w:rPr>
          <w:rFonts w:ascii="Arial" w:hAnsi="Arial"/>
          <w:b/>
          <w:spacing w:val="-2"/>
          <w:sz w:val="20"/>
        </w:rPr>
        <w:t> </w:t>
      </w:r>
      <w:r>
        <w:rPr>
          <w:rFonts w:ascii="Arial" w:hAnsi="Arial"/>
          <w:b/>
          <w:sz w:val="20"/>
        </w:rPr>
        <w:t>resuelto</w:t>
      </w:r>
      <w:r>
        <w:rPr>
          <w:rFonts w:ascii="Arial" w:hAnsi="Arial"/>
          <w:b/>
          <w:spacing w:val="-4"/>
          <w:sz w:val="20"/>
        </w:rPr>
        <w:t> </w:t>
      </w:r>
      <w:r>
        <w:rPr>
          <w:rFonts w:ascii="Arial" w:hAnsi="Arial"/>
          <w:b/>
          <w:sz w:val="20"/>
        </w:rPr>
        <w:t>quirúrgicamente,</w:t>
      </w:r>
      <w:r>
        <w:rPr>
          <w:rFonts w:ascii="Arial" w:hAnsi="Arial"/>
          <w:b/>
          <w:spacing w:val="-3"/>
          <w:sz w:val="20"/>
        </w:rPr>
        <w:t> </w:t>
      </w:r>
      <w:r>
        <w:rPr>
          <w:rFonts w:ascii="Arial" w:hAnsi="Arial"/>
          <w:b/>
          <w:sz w:val="20"/>
        </w:rPr>
        <w:t>cuando</w:t>
      </w:r>
      <w:r>
        <w:rPr>
          <w:rFonts w:ascii="Arial" w:hAnsi="Arial"/>
          <w:b/>
          <w:spacing w:val="-4"/>
          <w:sz w:val="20"/>
        </w:rPr>
        <w:t> </w:t>
      </w:r>
      <w:r>
        <w:rPr>
          <w:rFonts w:ascii="Arial" w:hAnsi="Arial"/>
          <w:b/>
          <w:sz w:val="20"/>
        </w:rPr>
        <w:t>cubren</w:t>
      </w:r>
      <w:r>
        <w:rPr>
          <w:rFonts w:ascii="Arial" w:hAnsi="Arial"/>
          <w:b/>
          <w:spacing w:val="-2"/>
          <w:sz w:val="20"/>
        </w:rPr>
        <w:t> </w:t>
      </w:r>
      <w:r>
        <w:rPr>
          <w:rFonts w:ascii="Arial" w:hAnsi="Arial"/>
          <w:b/>
          <w:sz w:val="20"/>
        </w:rPr>
        <w:t>el</w:t>
      </w:r>
      <w:r>
        <w:rPr>
          <w:rFonts w:ascii="Arial" w:hAnsi="Arial"/>
          <w:b/>
          <w:spacing w:val="-5"/>
          <w:sz w:val="20"/>
        </w:rPr>
        <w:t> </w:t>
      </w:r>
      <w:r>
        <w:rPr>
          <w:rFonts w:ascii="Arial" w:hAnsi="Arial"/>
          <w:b/>
          <w:sz w:val="20"/>
        </w:rPr>
        <w:t>área </w:t>
      </w:r>
      <w:r>
        <w:rPr>
          <w:rFonts w:ascii="Arial" w:hAnsi="Arial"/>
          <w:b/>
          <w:spacing w:val="-2"/>
          <w:sz w:val="20"/>
        </w:rPr>
        <w:t>pupilar</w:t>
      </w:r>
    </w:p>
    <w:p>
      <w:pPr>
        <w:pStyle w:val="BodyText"/>
        <w:spacing w:before="4" w:after="1"/>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02"/>
        <w:gridCol w:w="1582"/>
      </w:tblGrid>
      <w:tr>
        <w:trPr>
          <w:trHeight w:val="229" w:hRule="atLeast"/>
        </w:trPr>
        <w:tc>
          <w:tcPr>
            <w:tcW w:w="1066" w:type="dxa"/>
          </w:tcPr>
          <w:p>
            <w:pPr>
              <w:pStyle w:val="TableParagraph"/>
              <w:ind w:left="9"/>
              <w:rPr>
                <w:sz w:val="20"/>
              </w:rPr>
            </w:pPr>
            <w:r>
              <w:rPr>
                <w:spacing w:val="-5"/>
                <w:sz w:val="20"/>
              </w:rPr>
              <w:t>390</w:t>
            </w:r>
          </w:p>
        </w:tc>
        <w:tc>
          <w:tcPr>
            <w:tcW w:w="6902" w:type="dxa"/>
          </w:tcPr>
          <w:p>
            <w:pPr>
              <w:pStyle w:val="TableParagraph"/>
              <w:jc w:val="left"/>
              <w:rPr>
                <w:sz w:val="20"/>
              </w:rPr>
            </w:pPr>
            <w:r>
              <w:rPr>
                <w:sz w:val="20"/>
              </w:rPr>
              <w:t>Ptosis</w:t>
            </w:r>
            <w:r>
              <w:rPr>
                <w:spacing w:val="-10"/>
                <w:sz w:val="20"/>
              </w:rPr>
              <w:t> </w:t>
            </w:r>
            <w:r>
              <w:rPr>
                <w:sz w:val="20"/>
              </w:rPr>
              <w:t>palpebral,</w:t>
            </w:r>
            <w:r>
              <w:rPr>
                <w:spacing w:val="-9"/>
                <w:sz w:val="20"/>
              </w:rPr>
              <w:t> </w:t>
            </w:r>
            <w:r>
              <w:rPr>
                <w:sz w:val="20"/>
              </w:rPr>
              <w:t>pupilas</w:t>
            </w:r>
            <w:r>
              <w:rPr>
                <w:spacing w:val="-10"/>
                <w:sz w:val="20"/>
              </w:rPr>
              <w:t> </w:t>
            </w:r>
            <w:r>
              <w:rPr>
                <w:spacing w:val="-2"/>
                <w:sz w:val="20"/>
              </w:rPr>
              <w:t>descubiertas.</w:t>
            </w:r>
          </w:p>
        </w:tc>
        <w:tc>
          <w:tcPr>
            <w:tcW w:w="1582" w:type="dxa"/>
          </w:tcPr>
          <w:p>
            <w:pPr>
              <w:pStyle w:val="TableParagraph"/>
              <w:ind w:left="14" w:right="6"/>
              <w:rPr>
                <w:sz w:val="20"/>
              </w:rPr>
            </w:pPr>
            <w:r>
              <w:rPr>
                <w:spacing w:val="-5"/>
                <w:sz w:val="20"/>
              </w:rPr>
              <w:t>20%</w:t>
            </w:r>
          </w:p>
        </w:tc>
      </w:tr>
      <w:tr>
        <w:trPr>
          <w:trHeight w:val="460" w:hRule="atLeast"/>
        </w:trPr>
        <w:tc>
          <w:tcPr>
            <w:tcW w:w="1066" w:type="dxa"/>
          </w:tcPr>
          <w:p>
            <w:pPr>
              <w:pStyle w:val="TableParagraph"/>
              <w:spacing w:line="240" w:lineRule="auto" w:before="114"/>
              <w:ind w:left="9"/>
              <w:rPr>
                <w:sz w:val="20"/>
              </w:rPr>
            </w:pPr>
            <w:r>
              <w:rPr>
                <w:spacing w:val="-5"/>
                <w:sz w:val="20"/>
              </w:rPr>
              <w:t>391</w:t>
            </w:r>
          </w:p>
        </w:tc>
        <w:tc>
          <w:tcPr>
            <w:tcW w:w="6902" w:type="dxa"/>
          </w:tcPr>
          <w:p>
            <w:pPr>
              <w:pStyle w:val="TableParagraph"/>
              <w:spacing w:line="230" w:lineRule="exact"/>
              <w:ind w:right="65"/>
              <w:jc w:val="left"/>
              <w:rPr>
                <w:sz w:val="20"/>
              </w:rPr>
            </w:pPr>
            <w:r>
              <w:rPr>
                <w:sz w:val="20"/>
              </w:rPr>
              <w:t>Ptosis palpebral, en forma mínima con elevación del párpado superior de 7 a 9 mm.</w:t>
            </w:r>
          </w:p>
        </w:tc>
        <w:tc>
          <w:tcPr>
            <w:tcW w:w="1582" w:type="dxa"/>
          </w:tcPr>
          <w:p>
            <w:pPr>
              <w:pStyle w:val="TableParagraph"/>
              <w:spacing w:line="240" w:lineRule="auto" w:before="114"/>
              <w:ind w:left="14" w:right="6"/>
              <w:rPr>
                <w:sz w:val="20"/>
              </w:rPr>
            </w:pPr>
            <w:r>
              <w:rPr>
                <w:spacing w:val="-5"/>
                <w:sz w:val="20"/>
              </w:rPr>
              <w:t>30%</w:t>
            </w:r>
          </w:p>
        </w:tc>
      </w:tr>
      <w:tr>
        <w:trPr>
          <w:trHeight w:val="460" w:hRule="atLeast"/>
        </w:trPr>
        <w:tc>
          <w:tcPr>
            <w:tcW w:w="1066" w:type="dxa"/>
          </w:tcPr>
          <w:p>
            <w:pPr>
              <w:pStyle w:val="TableParagraph"/>
              <w:spacing w:line="240" w:lineRule="auto" w:before="114"/>
              <w:ind w:left="9"/>
              <w:rPr>
                <w:sz w:val="20"/>
              </w:rPr>
            </w:pPr>
            <w:r>
              <w:rPr>
                <w:spacing w:val="-5"/>
                <w:sz w:val="20"/>
              </w:rPr>
              <w:t>392</w:t>
            </w:r>
          </w:p>
        </w:tc>
        <w:tc>
          <w:tcPr>
            <w:tcW w:w="6902" w:type="dxa"/>
          </w:tcPr>
          <w:p>
            <w:pPr>
              <w:pStyle w:val="TableParagraph"/>
              <w:spacing w:line="230" w:lineRule="exact"/>
              <w:ind w:right="65"/>
              <w:jc w:val="left"/>
              <w:rPr>
                <w:sz w:val="20"/>
              </w:rPr>
            </w:pPr>
            <w:r>
              <w:rPr>
                <w:sz w:val="20"/>
              </w:rPr>
              <w:t>Ptosis palpebral,</w:t>
            </w:r>
            <w:r>
              <w:rPr>
                <w:spacing w:val="-2"/>
                <w:sz w:val="20"/>
              </w:rPr>
              <w:t> </w:t>
            </w:r>
            <w:r>
              <w:rPr>
                <w:sz w:val="20"/>
              </w:rPr>
              <w:t>en</w:t>
            </w:r>
            <w:r>
              <w:rPr>
                <w:spacing w:val="-2"/>
                <w:sz w:val="20"/>
              </w:rPr>
              <w:t> </w:t>
            </w:r>
            <w:r>
              <w:rPr>
                <w:sz w:val="20"/>
              </w:rPr>
              <w:t>forma</w:t>
            </w:r>
            <w:r>
              <w:rPr>
                <w:spacing w:val="-3"/>
                <w:sz w:val="20"/>
              </w:rPr>
              <w:t> </w:t>
            </w:r>
            <w:r>
              <w:rPr>
                <w:sz w:val="20"/>
              </w:rPr>
              <w:t>moderada</w:t>
            </w:r>
            <w:r>
              <w:rPr>
                <w:spacing w:val="-3"/>
                <w:sz w:val="20"/>
              </w:rPr>
              <w:t> </w:t>
            </w:r>
            <w:r>
              <w:rPr>
                <w:sz w:val="20"/>
              </w:rPr>
              <w:t>con</w:t>
            </w:r>
            <w:r>
              <w:rPr>
                <w:spacing w:val="-2"/>
                <w:sz w:val="20"/>
              </w:rPr>
              <w:t> </w:t>
            </w:r>
            <w:r>
              <w:rPr>
                <w:sz w:val="20"/>
              </w:rPr>
              <w:t>elevación</w:t>
            </w:r>
            <w:r>
              <w:rPr>
                <w:spacing w:val="-2"/>
                <w:sz w:val="20"/>
              </w:rPr>
              <w:t> </w:t>
            </w:r>
            <w:r>
              <w:rPr>
                <w:sz w:val="20"/>
              </w:rPr>
              <w:t>del</w:t>
            </w:r>
            <w:r>
              <w:rPr>
                <w:spacing w:val="-3"/>
                <w:sz w:val="20"/>
              </w:rPr>
              <w:t> </w:t>
            </w:r>
            <w:r>
              <w:rPr>
                <w:sz w:val="20"/>
              </w:rPr>
              <w:t>párpado</w:t>
            </w:r>
            <w:r>
              <w:rPr>
                <w:spacing w:val="-4"/>
                <w:sz w:val="20"/>
              </w:rPr>
              <w:t> </w:t>
            </w:r>
            <w:r>
              <w:rPr>
                <w:sz w:val="20"/>
              </w:rPr>
              <w:t>superior</w:t>
            </w:r>
            <w:r>
              <w:rPr>
                <w:spacing w:val="-3"/>
                <w:sz w:val="20"/>
              </w:rPr>
              <w:t> </w:t>
            </w:r>
            <w:r>
              <w:rPr>
                <w:sz w:val="20"/>
              </w:rPr>
              <w:t>de 1 a 6 mm.</w:t>
            </w:r>
          </w:p>
        </w:tc>
        <w:tc>
          <w:tcPr>
            <w:tcW w:w="1582" w:type="dxa"/>
          </w:tcPr>
          <w:p>
            <w:pPr>
              <w:pStyle w:val="TableParagraph"/>
              <w:spacing w:line="240" w:lineRule="auto" w:before="114"/>
              <w:ind w:left="14" w:right="5"/>
              <w:rPr>
                <w:sz w:val="20"/>
              </w:rPr>
            </w:pPr>
            <w:r>
              <w:rPr>
                <w:spacing w:val="-5"/>
                <w:sz w:val="20"/>
              </w:rPr>
              <w:t>40%</w:t>
            </w:r>
          </w:p>
        </w:tc>
      </w:tr>
      <w:tr>
        <w:trPr>
          <w:trHeight w:val="229" w:hRule="atLeast"/>
        </w:trPr>
        <w:tc>
          <w:tcPr>
            <w:tcW w:w="1066" w:type="dxa"/>
          </w:tcPr>
          <w:p>
            <w:pPr>
              <w:pStyle w:val="TableParagraph"/>
              <w:ind w:left="9"/>
              <w:rPr>
                <w:sz w:val="20"/>
              </w:rPr>
            </w:pPr>
            <w:r>
              <w:rPr>
                <w:spacing w:val="-5"/>
                <w:sz w:val="20"/>
              </w:rPr>
              <w:t>393</w:t>
            </w:r>
          </w:p>
        </w:tc>
        <w:tc>
          <w:tcPr>
            <w:tcW w:w="6902" w:type="dxa"/>
          </w:tcPr>
          <w:p>
            <w:pPr>
              <w:pStyle w:val="TableParagraph"/>
              <w:jc w:val="left"/>
              <w:rPr>
                <w:sz w:val="20"/>
              </w:rPr>
            </w:pPr>
            <w:r>
              <w:rPr>
                <w:sz w:val="20"/>
              </w:rPr>
              <w:t>Ptosis</w:t>
            </w:r>
            <w:r>
              <w:rPr>
                <w:spacing w:val="-7"/>
                <w:sz w:val="20"/>
              </w:rPr>
              <w:t> </w:t>
            </w:r>
            <w:r>
              <w:rPr>
                <w:sz w:val="20"/>
              </w:rPr>
              <w:t>palpebral,</w:t>
            </w:r>
            <w:r>
              <w:rPr>
                <w:spacing w:val="-6"/>
                <w:sz w:val="20"/>
              </w:rPr>
              <w:t> </w:t>
            </w:r>
            <w:r>
              <w:rPr>
                <w:sz w:val="20"/>
              </w:rPr>
              <w:t>en</w:t>
            </w:r>
            <w:r>
              <w:rPr>
                <w:spacing w:val="-8"/>
                <w:sz w:val="20"/>
              </w:rPr>
              <w:t> </w:t>
            </w:r>
            <w:r>
              <w:rPr>
                <w:sz w:val="20"/>
              </w:rPr>
              <w:t>forma</w:t>
            </w:r>
            <w:r>
              <w:rPr>
                <w:spacing w:val="-10"/>
                <w:sz w:val="20"/>
              </w:rPr>
              <w:t> </w:t>
            </w:r>
            <w:r>
              <w:rPr>
                <w:sz w:val="20"/>
              </w:rPr>
              <w:t>severa,</w:t>
            </w:r>
            <w:r>
              <w:rPr>
                <w:spacing w:val="-7"/>
                <w:sz w:val="20"/>
              </w:rPr>
              <w:t> </w:t>
            </w:r>
            <w:r>
              <w:rPr>
                <w:sz w:val="20"/>
              </w:rPr>
              <w:t>sin</w:t>
            </w:r>
            <w:r>
              <w:rPr>
                <w:spacing w:val="-8"/>
                <w:sz w:val="20"/>
              </w:rPr>
              <w:t> </w:t>
            </w:r>
            <w:r>
              <w:rPr>
                <w:sz w:val="20"/>
              </w:rPr>
              <w:t>elevación</w:t>
            </w:r>
            <w:r>
              <w:rPr>
                <w:spacing w:val="-6"/>
                <w:sz w:val="20"/>
              </w:rPr>
              <w:t> </w:t>
            </w:r>
            <w:r>
              <w:rPr>
                <w:sz w:val="20"/>
              </w:rPr>
              <w:t>del</w:t>
            </w:r>
            <w:r>
              <w:rPr>
                <w:spacing w:val="-8"/>
                <w:sz w:val="20"/>
              </w:rPr>
              <w:t> </w:t>
            </w:r>
            <w:r>
              <w:rPr>
                <w:sz w:val="20"/>
              </w:rPr>
              <w:t>párpado</w:t>
            </w:r>
            <w:r>
              <w:rPr>
                <w:spacing w:val="-8"/>
                <w:sz w:val="20"/>
              </w:rPr>
              <w:t> </w:t>
            </w:r>
            <w:r>
              <w:rPr>
                <w:spacing w:val="-2"/>
                <w:sz w:val="20"/>
              </w:rPr>
              <w:t>superior.</w:t>
            </w:r>
          </w:p>
        </w:tc>
        <w:tc>
          <w:tcPr>
            <w:tcW w:w="1582" w:type="dxa"/>
          </w:tcPr>
          <w:p>
            <w:pPr>
              <w:pStyle w:val="TableParagraph"/>
              <w:ind w:left="14" w:right="6"/>
              <w:rPr>
                <w:sz w:val="20"/>
              </w:rPr>
            </w:pPr>
            <w:r>
              <w:rPr>
                <w:spacing w:val="-5"/>
                <w:sz w:val="20"/>
              </w:rPr>
              <w:t>60%</w:t>
            </w:r>
          </w:p>
        </w:tc>
      </w:tr>
      <w:tr>
        <w:trPr>
          <w:trHeight w:val="460" w:hRule="atLeast"/>
        </w:trPr>
        <w:tc>
          <w:tcPr>
            <w:tcW w:w="1066" w:type="dxa"/>
          </w:tcPr>
          <w:p>
            <w:pPr>
              <w:pStyle w:val="TableParagraph"/>
              <w:spacing w:line="240" w:lineRule="auto" w:before="114"/>
              <w:ind w:left="9"/>
              <w:rPr>
                <w:sz w:val="20"/>
              </w:rPr>
            </w:pPr>
            <w:r>
              <w:rPr>
                <w:spacing w:val="-5"/>
                <w:sz w:val="20"/>
              </w:rPr>
              <w:t>394</w:t>
            </w:r>
          </w:p>
        </w:tc>
        <w:tc>
          <w:tcPr>
            <w:tcW w:w="6902" w:type="dxa"/>
          </w:tcPr>
          <w:p>
            <w:pPr>
              <w:pStyle w:val="TableParagraph"/>
              <w:spacing w:line="230" w:lineRule="exact"/>
              <w:jc w:val="left"/>
              <w:rPr>
                <w:sz w:val="20"/>
              </w:rPr>
            </w:pPr>
            <w:r>
              <w:rPr>
                <w:sz w:val="20"/>
              </w:rPr>
              <w:t>A esta incapacidad se le deberá sumar la disminución de la agudeza visual sin que exceda del 100%.</w:t>
            </w:r>
          </w:p>
        </w:tc>
        <w:tc>
          <w:tcPr>
            <w:tcW w:w="1582" w:type="dxa"/>
          </w:tcPr>
          <w:p>
            <w:pPr>
              <w:pStyle w:val="TableParagraph"/>
              <w:spacing w:line="240" w:lineRule="auto" w:before="114"/>
              <w:ind w:left="14"/>
              <w:rPr>
                <w:sz w:val="20"/>
              </w:rPr>
            </w:pPr>
            <w:r>
              <w:rPr>
                <w:spacing w:val="-2"/>
                <w:sz w:val="20"/>
              </w:rPr>
              <w:t>-</w:t>
            </w:r>
            <w:r>
              <w:rPr>
                <w:spacing w:val="-12"/>
                <w:sz w:val="20"/>
              </w:rPr>
              <w:t>-</w:t>
            </w:r>
          </w:p>
        </w:tc>
      </w:tr>
    </w:tbl>
    <w:p>
      <w:pPr>
        <w:spacing w:before="229"/>
        <w:ind w:left="338" w:right="0" w:firstLine="0"/>
        <w:jc w:val="left"/>
        <w:rPr>
          <w:rFonts w:ascii="Arial" w:hAnsi="Arial"/>
          <w:b/>
          <w:sz w:val="20"/>
        </w:rPr>
      </w:pPr>
      <w:r>
        <w:rPr>
          <w:rFonts w:ascii="Arial" w:hAnsi="Arial"/>
          <w:b/>
          <w:sz w:val="20"/>
        </w:rPr>
        <w:t>Incapacidades</w:t>
      </w:r>
      <w:r>
        <w:rPr>
          <w:rFonts w:ascii="Arial" w:hAnsi="Arial"/>
          <w:b/>
          <w:spacing w:val="31"/>
          <w:sz w:val="20"/>
        </w:rPr>
        <w:t> </w:t>
      </w:r>
      <w:r>
        <w:rPr>
          <w:rFonts w:ascii="Arial" w:hAnsi="Arial"/>
          <w:b/>
          <w:sz w:val="20"/>
        </w:rPr>
        <w:t>que</w:t>
      </w:r>
      <w:r>
        <w:rPr>
          <w:rFonts w:ascii="Arial" w:hAnsi="Arial"/>
          <w:b/>
          <w:spacing w:val="31"/>
          <w:sz w:val="20"/>
        </w:rPr>
        <w:t> </w:t>
      </w:r>
      <w:r>
        <w:rPr>
          <w:rFonts w:ascii="Arial" w:hAnsi="Arial"/>
          <w:b/>
          <w:sz w:val="20"/>
        </w:rPr>
        <w:t>se</w:t>
      </w:r>
      <w:r>
        <w:rPr>
          <w:rFonts w:ascii="Arial" w:hAnsi="Arial"/>
          <w:b/>
          <w:spacing w:val="31"/>
          <w:sz w:val="20"/>
        </w:rPr>
        <w:t> </w:t>
      </w:r>
      <w:r>
        <w:rPr>
          <w:rFonts w:ascii="Arial" w:hAnsi="Arial"/>
          <w:b/>
          <w:sz w:val="20"/>
        </w:rPr>
        <w:t>basan</w:t>
      </w:r>
      <w:r>
        <w:rPr>
          <w:rFonts w:ascii="Arial" w:hAnsi="Arial"/>
          <w:b/>
          <w:spacing w:val="32"/>
          <w:sz w:val="20"/>
        </w:rPr>
        <w:t> </w:t>
      </w:r>
      <w:r>
        <w:rPr>
          <w:rFonts w:ascii="Arial" w:hAnsi="Arial"/>
          <w:b/>
          <w:sz w:val="20"/>
        </w:rPr>
        <w:t>en</w:t>
      </w:r>
      <w:r>
        <w:rPr>
          <w:rFonts w:ascii="Arial" w:hAnsi="Arial"/>
          <w:b/>
          <w:spacing w:val="34"/>
          <w:sz w:val="20"/>
        </w:rPr>
        <w:t> </w:t>
      </w:r>
      <w:r>
        <w:rPr>
          <w:rFonts w:ascii="Arial" w:hAnsi="Arial"/>
          <w:b/>
          <w:sz w:val="20"/>
        </w:rPr>
        <w:t>el</w:t>
      </w:r>
      <w:r>
        <w:rPr>
          <w:rFonts w:ascii="Arial" w:hAnsi="Arial"/>
          <w:b/>
          <w:spacing w:val="31"/>
          <w:sz w:val="20"/>
        </w:rPr>
        <w:t> </w:t>
      </w:r>
      <w:r>
        <w:rPr>
          <w:rFonts w:ascii="Arial" w:hAnsi="Arial"/>
          <w:b/>
          <w:sz w:val="20"/>
        </w:rPr>
        <w:t>grado</w:t>
      </w:r>
      <w:r>
        <w:rPr>
          <w:rFonts w:ascii="Arial" w:hAnsi="Arial"/>
          <w:b/>
          <w:spacing w:val="32"/>
          <w:sz w:val="20"/>
        </w:rPr>
        <w:t> </w:t>
      </w:r>
      <w:r>
        <w:rPr>
          <w:rFonts w:ascii="Arial" w:hAnsi="Arial"/>
          <w:b/>
          <w:sz w:val="20"/>
        </w:rPr>
        <w:t>de</w:t>
      </w:r>
      <w:r>
        <w:rPr>
          <w:rFonts w:ascii="Arial" w:hAnsi="Arial"/>
          <w:b/>
          <w:spacing w:val="31"/>
          <w:sz w:val="20"/>
        </w:rPr>
        <w:t> </w:t>
      </w:r>
      <w:r>
        <w:rPr>
          <w:rFonts w:ascii="Arial" w:hAnsi="Arial"/>
          <w:b/>
          <w:sz w:val="20"/>
        </w:rPr>
        <w:t>la</w:t>
      </w:r>
      <w:r>
        <w:rPr>
          <w:rFonts w:ascii="Arial" w:hAnsi="Arial"/>
          <w:b/>
          <w:spacing w:val="33"/>
          <w:sz w:val="20"/>
        </w:rPr>
        <w:t> </w:t>
      </w:r>
      <w:r>
        <w:rPr>
          <w:rFonts w:ascii="Arial" w:hAnsi="Arial"/>
          <w:b/>
          <w:sz w:val="20"/>
        </w:rPr>
        <w:t>visión,</w:t>
      </w:r>
      <w:r>
        <w:rPr>
          <w:rFonts w:ascii="Arial" w:hAnsi="Arial"/>
          <w:b/>
          <w:spacing w:val="31"/>
          <w:sz w:val="20"/>
        </w:rPr>
        <w:t> </w:t>
      </w:r>
      <w:r>
        <w:rPr>
          <w:rFonts w:ascii="Arial" w:hAnsi="Arial"/>
          <w:b/>
          <w:sz w:val="20"/>
        </w:rPr>
        <w:t>según</w:t>
      </w:r>
      <w:r>
        <w:rPr>
          <w:rFonts w:ascii="Arial" w:hAnsi="Arial"/>
          <w:b/>
          <w:spacing w:val="32"/>
          <w:sz w:val="20"/>
        </w:rPr>
        <w:t> </w:t>
      </w:r>
      <w:r>
        <w:rPr>
          <w:rFonts w:ascii="Arial" w:hAnsi="Arial"/>
          <w:b/>
          <w:sz w:val="20"/>
        </w:rPr>
        <w:t>en</w:t>
      </w:r>
      <w:r>
        <w:rPr>
          <w:rFonts w:ascii="Arial" w:hAnsi="Arial"/>
          <w:b/>
          <w:spacing w:val="32"/>
          <w:sz w:val="20"/>
        </w:rPr>
        <w:t> </w:t>
      </w:r>
      <w:r>
        <w:rPr>
          <w:rFonts w:ascii="Arial" w:hAnsi="Arial"/>
          <w:b/>
          <w:sz w:val="20"/>
        </w:rPr>
        <w:t>qué</w:t>
      </w:r>
      <w:r>
        <w:rPr>
          <w:rFonts w:ascii="Arial" w:hAnsi="Arial"/>
          <w:b/>
          <w:spacing w:val="38"/>
          <w:sz w:val="20"/>
        </w:rPr>
        <w:t> </w:t>
      </w:r>
      <w:r>
        <w:rPr>
          <w:rFonts w:ascii="Arial" w:hAnsi="Arial"/>
          <w:b/>
          <w:sz w:val="20"/>
        </w:rPr>
        <w:t>posición</w:t>
      </w:r>
      <w:r>
        <w:rPr>
          <w:rFonts w:ascii="Arial" w:hAnsi="Arial"/>
          <w:b/>
          <w:spacing w:val="32"/>
          <w:sz w:val="20"/>
        </w:rPr>
        <w:t> </w:t>
      </w:r>
      <w:r>
        <w:rPr>
          <w:rFonts w:ascii="Arial" w:hAnsi="Arial"/>
          <w:b/>
          <w:sz w:val="20"/>
        </w:rPr>
        <w:t>primaria</w:t>
      </w:r>
      <w:r>
        <w:rPr>
          <w:rFonts w:ascii="Arial" w:hAnsi="Arial"/>
          <w:b/>
          <w:spacing w:val="31"/>
          <w:sz w:val="20"/>
        </w:rPr>
        <w:t> </w:t>
      </w:r>
      <w:r>
        <w:rPr>
          <w:rFonts w:ascii="Arial" w:hAnsi="Arial"/>
          <w:b/>
          <w:sz w:val="20"/>
        </w:rPr>
        <w:t>(mirada horizontal de frente). La pupila está más o menos descubierta</w:t>
      </w:r>
    </w:p>
    <w:p>
      <w:pPr>
        <w:pStyle w:val="BodyText"/>
        <w:spacing w:before="1" w:after="1"/>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40"/>
        <w:gridCol w:w="1543"/>
      </w:tblGrid>
      <w:tr>
        <w:trPr>
          <w:trHeight w:val="460" w:hRule="atLeast"/>
        </w:trPr>
        <w:tc>
          <w:tcPr>
            <w:tcW w:w="1066" w:type="dxa"/>
          </w:tcPr>
          <w:p>
            <w:pPr>
              <w:pStyle w:val="TableParagraph"/>
              <w:spacing w:line="240" w:lineRule="auto" w:before="114"/>
              <w:ind w:left="9"/>
              <w:rPr>
                <w:sz w:val="20"/>
              </w:rPr>
            </w:pPr>
            <w:r>
              <w:rPr>
                <w:spacing w:val="-5"/>
                <w:sz w:val="20"/>
              </w:rPr>
              <w:t>395</w:t>
            </w:r>
          </w:p>
        </w:tc>
        <w:tc>
          <w:tcPr>
            <w:tcW w:w="6940" w:type="dxa"/>
          </w:tcPr>
          <w:p>
            <w:pPr>
              <w:pStyle w:val="TableParagraph"/>
              <w:spacing w:line="230" w:lineRule="exact"/>
              <w:jc w:val="left"/>
              <w:rPr>
                <w:sz w:val="20"/>
              </w:rPr>
            </w:pPr>
            <w:r>
              <w:rPr>
                <w:sz w:val="20"/>
              </w:rPr>
              <w:t>Desviación</w:t>
            </w:r>
            <w:r>
              <w:rPr>
                <w:spacing w:val="40"/>
                <w:sz w:val="20"/>
              </w:rPr>
              <w:t> </w:t>
            </w:r>
            <w:r>
              <w:rPr>
                <w:sz w:val="20"/>
              </w:rPr>
              <w:t>de</w:t>
            </w:r>
            <w:r>
              <w:rPr>
                <w:spacing w:val="40"/>
                <w:sz w:val="20"/>
              </w:rPr>
              <w:t> </w:t>
            </w:r>
            <w:r>
              <w:rPr>
                <w:sz w:val="20"/>
              </w:rPr>
              <w:t>los</w:t>
            </w:r>
            <w:r>
              <w:rPr>
                <w:spacing w:val="40"/>
                <w:sz w:val="20"/>
              </w:rPr>
              <w:t> </w:t>
            </w:r>
            <w:r>
              <w:rPr>
                <w:sz w:val="20"/>
              </w:rPr>
              <w:t>bordes</w:t>
            </w:r>
            <w:r>
              <w:rPr>
                <w:spacing w:val="80"/>
                <w:sz w:val="20"/>
              </w:rPr>
              <w:t> </w:t>
            </w:r>
            <w:r>
              <w:rPr>
                <w:sz w:val="20"/>
              </w:rPr>
              <w:t>palpebrales</w:t>
            </w:r>
            <w:r>
              <w:rPr>
                <w:spacing w:val="40"/>
                <w:sz w:val="20"/>
              </w:rPr>
              <w:t> </w:t>
            </w:r>
            <w:r>
              <w:rPr>
                <w:sz w:val="20"/>
              </w:rPr>
              <w:t>(entropión,</w:t>
            </w:r>
            <w:r>
              <w:rPr>
                <w:spacing w:val="80"/>
                <w:sz w:val="20"/>
              </w:rPr>
              <w:t> </w:t>
            </w:r>
            <w:r>
              <w:rPr>
                <w:sz w:val="20"/>
              </w:rPr>
              <w:t>ectropión,</w:t>
            </w:r>
            <w:r>
              <w:rPr>
                <w:spacing w:val="80"/>
                <w:sz w:val="20"/>
              </w:rPr>
              <w:t> </w:t>
            </w:r>
            <w:r>
              <w:rPr>
                <w:sz w:val="20"/>
              </w:rPr>
              <w:t>triquiasis, cicatrices deformantes, simblefarón y anquilobléfaron) unilateral.</w:t>
            </w:r>
          </w:p>
        </w:tc>
        <w:tc>
          <w:tcPr>
            <w:tcW w:w="1543" w:type="dxa"/>
          </w:tcPr>
          <w:p>
            <w:pPr>
              <w:pStyle w:val="TableParagraph"/>
              <w:spacing w:line="240" w:lineRule="auto" w:before="114"/>
              <w:ind w:left="11" w:right="6"/>
              <w:rPr>
                <w:sz w:val="20"/>
              </w:rPr>
            </w:pPr>
            <w:r>
              <w:rPr>
                <w:spacing w:val="-5"/>
                <w:sz w:val="20"/>
              </w:rPr>
              <w:t>15%</w:t>
            </w:r>
          </w:p>
        </w:tc>
      </w:tr>
      <w:tr>
        <w:trPr>
          <w:trHeight w:val="229" w:hRule="atLeast"/>
        </w:trPr>
        <w:tc>
          <w:tcPr>
            <w:tcW w:w="1066" w:type="dxa"/>
          </w:tcPr>
          <w:p>
            <w:pPr>
              <w:pStyle w:val="TableParagraph"/>
              <w:ind w:left="9"/>
              <w:rPr>
                <w:sz w:val="20"/>
              </w:rPr>
            </w:pPr>
            <w:r>
              <w:rPr>
                <w:spacing w:val="-5"/>
                <w:sz w:val="20"/>
              </w:rPr>
              <w:t>396</w:t>
            </w:r>
          </w:p>
        </w:tc>
        <w:tc>
          <w:tcPr>
            <w:tcW w:w="6940" w:type="dxa"/>
          </w:tcPr>
          <w:p>
            <w:pPr>
              <w:pStyle w:val="TableParagraph"/>
              <w:jc w:val="left"/>
              <w:rPr>
                <w:sz w:val="20"/>
              </w:rPr>
            </w:pPr>
            <w:r>
              <w:rPr>
                <w:spacing w:val="-2"/>
                <w:sz w:val="20"/>
              </w:rPr>
              <w:t>Bilateral.</w:t>
            </w:r>
          </w:p>
        </w:tc>
        <w:tc>
          <w:tcPr>
            <w:tcW w:w="1543" w:type="dxa"/>
          </w:tcPr>
          <w:p>
            <w:pPr>
              <w:pStyle w:val="TableParagraph"/>
              <w:ind w:left="11" w:right="6"/>
              <w:rPr>
                <w:sz w:val="20"/>
              </w:rPr>
            </w:pPr>
            <w:r>
              <w:rPr>
                <w:spacing w:val="-5"/>
                <w:sz w:val="20"/>
              </w:rPr>
              <w:t>25%</w:t>
            </w:r>
          </w:p>
        </w:tc>
      </w:tr>
    </w:tbl>
    <w:p>
      <w:pPr>
        <w:spacing w:before="228"/>
        <w:ind w:left="295" w:right="296" w:firstLine="0"/>
        <w:jc w:val="center"/>
        <w:rPr>
          <w:rFonts w:ascii="Arial" w:hAnsi="Arial"/>
          <w:b/>
          <w:sz w:val="20"/>
        </w:rPr>
      </w:pPr>
      <w:r>
        <w:rPr>
          <w:rFonts w:ascii="Arial" w:hAnsi="Arial"/>
          <w:b/>
          <w:sz w:val="20"/>
        </w:rPr>
        <w:t>Alteraciones</w:t>
      </w:r>
      <w:r>
        <w:rPr>
          <w:rFonts w:ascii="Arial" w:hAnsi="Arial"/>
          <w:b/>
          <w:spacing w:val="-8"/>
          <w:sz w:val="20"/>
        </w:rPr>
        <w:t> </w:t>
      </w: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7"/>
          <w:sz w:val="20"/>
        </w:rPr>
        <w:t> </w:t>
      </w:r>
      <w:r>
        <w:rPr>
          <w:rFonts w:ascii="Arial" w:hAnsi="Arial"/>
          <w:b/>
          <w:sz w:val="20"/>
        </w:rPr>
        <w:t>vías</w:t>
      </w:r>
      <w:r>
        <w:rPr>
          <w:rFonts w:ascii="Arial" w:hAnsi="Arial"/>
          <w:b/>
          <w:spacing w:val="-8"/>
          <w:sz w:val="20"/>
        </w:rPr>
        <w:t> </w:t>
      </w:r>
      <w:r>
        <w:rPr>
          <w:rFonts w:ascii="Arial" w:hAnsi="Arial"/>
          <w:b/>
          <w:spacing w:val="-2"/>
          <w:sz w:val="20"/>
        </w:rPr>
        <w:t>lagrimales</w:t>
      </w:r>
    </w:p>
    <w:p>
      <w:pPr>
        <w:pStyle w:val="BodyText"/>
        <w:spacing w:before="4"/>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40"/>
        <w:gridCol w:w="1543"/>
      </w:tblGrid>
      <w:tr>
        <w:trPr>
          <w:trHeight w:val="229" w:hRule="atLeast"/>
        </w:trPr>
        <w:tc>
          <w:tcPr>
            <w:tcW w:w="1066" w:type="dxa"/>
          </w:tcPr>
          <w:p>
            <w:pPr>
              <w:pStyle w:val="TableParagraph"/>
              <w:ind w:left="9"/>
              <w:rPr>
                <w:sz w:val="20"/>
              </w:rPr>
            </w:pPr>
            <w:r>
              <w:rPr>
                <w:spacing w:val="-5"/>
                <w:sz w:val="20"/>
              </w:rPr>
              <w:t>397</w:t>
            </w:r>
          </w:p>
        </w:tc>
        <w:tc>
          <w:tcPr>
            <w:tcW w:w="6940" w:type="dxa"/>
          </w:tcPr>
          <w:p>
            <w:pPr>
              <w:pStyle w:val="TableParagraph"/>
              <w:jc w:val="left"/>
              <w:rPr>
                <w:sz w:val="20"/>
              </w:rPr>
            </w:pPr>
            <w:r>
              <w:rPr>
                <w:sz w:val="20"/>
              </w:rPr>
              <w:t>Lagoftalmos</w:t>
            </w:r>
            <w:r>
              <w:rPr>
                <w:spacing w:val="-10"/>
                <w:sz w:val="20"/>
              </w:rPr>
              <w:t> </w:t>
            </w:r>
            <w:r>
              <w:rPr>
                <w:sz w:val="20"/>
              </w:rPr>
              <w:t>cicatrizal</w:t>
            </w:r>
            <w:r>
              <w:rPr>
                <w:spacing w:val="-10"/>
                <w:sz w:val="20"/>
              </w:rPr>
              <w:t> </w:t>
            </w:r>
            <w:r>
              <w:rPr>
                <w:sz w:val="20"/>
              </w:rPr>
              <w:t>o</w:t>
            </w:r>
            <w:r>
              <w:rPr>
                <w:spacing w:val="-11"/>
                <w:sz w:val="20"/>
              </w:rPr>
              <w:t> </w:t>
            </w:r>
            <w:r>
              <w:rPr>
                <w:sz w:val="20"/>
              </w:rPr>
              <w:t>paralítico</w:t>
            </w:r>
            <w:r>
              <w:rPr>
                <w:spacing w:val="-10"/>
                <w:sz w:val="20"/>
              </w:rPr>
              <w:t> </w:t>
            </w:r>
            <w:r>
              <w:rPr>
                <w:spacing w:val="-2"/>
                <w:sz w:val="20"/>
              </w:rPr>
              <w:t>unilateral.</w:t>
            </w:r>
          </w:p>
        </w:tc>
        <w:tc>
          <w:tcPr>
            <w:tcW w:w="1543" w:type="dxa"/>
          </w:tcPr>
          <w:p>
            <w:pPr>
              <w:pStyle w:val="TableParagraph"/>
              <w:ind w:left="11" w:right="6"/>
              <w:rPr>
                <w:sz w:val="20"/>
              </w:rPr>
            </w:pPr>
            <w:r>
              <w:rPr>
                <w:spacing w:val="-5"/>
                <w:sz w:val="20"/>
              </w:rPr>
              <w:t>15%</w:t>
            </w:r>
          </w:p>
        </w:tc>
      </w:tr>
      <w:tr>
        <w:trPr>
          <w:trHeight w:val="229" w:hRule="atLeast"/>
        </w:trPr>
        <w:tc>
          <w:tcPr>
            <w:tcW w:w="1066" w:type="dxa"/>
          </w:tcPr>
          <w:p>
            <w:pPr>
              <w:pStyle w:val="TableParagraph"/>
              <w:ind w:left="9"/>
              <w:rPr>
                <w:sz w:val="20"/>
              </w:rPr>
            </w:pPr>
            <w:r>
              <w:rPr>
                <w:spacing w:val="-5"/>
                <w:sz w:val="20"/>
              </w:rPr>
              <w:t>398</w:t>
            </w:r>
          </w:p>
        </w:tc>
        <w:tc>
          <w:tcPr>
            <w:tcW w:w="6940" w:type="dxa"/>
          </w:tcPr>
          <w:p>
            <w:pPr>
              <w:pStyle w:val="TableParagraph"/>
              <w:jc w:val="left"/>
              <w:rPr>
                <w:sz w:val="20"/>
              </w:rPr>
            </w:pPr>
            <w:r>
              <w:rPr>
                <w:sz w:val="20"/>
              </w:rPr>
              <w:t>Lagoftalmos</w:t>
            </w:r>
            <w:r>
              <w:rPr>
                <w:spacing w:val="-10"/>
                <w:sz w:val="20"/>
              </w:rPr>
              <w:t> </w:t>
            </w:r>
            <w:r>
              <w:rPr>
                <w:sz w:val="20"/>
              </w:rPr>
              <w:t>cicatrizal</w:t>
            </w:r>
            <w:r>
              <w:rPr>
                <w:spacing w:val="-10"/>
                <w:sz w:val="20"/>
              </w:rPr>
              <w:t> </w:t>
            </w:r>
            <w:r>
              <w:rPr>
                <w:sz w:val="20"/>
              </w:rPr>
              <w:t>o</w:t>
            </w:r>
            <w:r>
              <w:rPr>
                <w:spacing w:val="-11"/>
                <w:sz w:val="20"/>
              </w:rPr>
              <w:t> </w:t>
            </w:r>
            <w:r>
              <w:rPr>
                <w:sz w:val="20"/>
              </w:rPr>
              <w:t>paralítico</w:t>
            </w:r>
            <w:r>
              <w:rPr>
                <w:spacing w:val="-10"/>
                <w:sz w:val="20"/>
              </w:rPr>
              <w:t> </w:t>
            </w:r>
            <w:r>
              <w:rPr>
                <w:spacing w:val="-2"/>
                <w:sz w:val="20"/>
              </w:rPr>
              <w:t>bilateral.</w:t>
            </w:r>
          </w:p>
        </w:tc>
        <w:tc>
          <w:tcPr>
            <w:tcW w:w="1543" w:type="dxa"/>
          </w:tcPr>
          <w:p>
            <w:pPr>
              <w:pStyle w:val="TableParagraph"/>
              <w:ind w:left="11" w:right="6"/>
              <w:rPr>
                <w:sz w:val="20"/>
              </w:rPr>
            </w:pPr>
            <w:r>
              <w:rPr>
                <w:spacing w:val="-5"/>
                <w:sz w:val="20"/>
              </w:rPr>
              <w:t>25%</w:t>
            </w:r>
          </w:p>
        </w:tc>
      </w:tr>
      <w:tr>
        <w:trPr>
          <w:trHeight w:val="229" w:hRule="atLeast"/>
        </w:trPr>
        <w:tc>
          <w:tcPr>
            <w:tcW w:w="1066" w:type="dxa"/>
          </w:tcPr>
          <w:p>
            <w:pPr>
              <w:pStyle w:val="TableParagraph"/>
              <w:ind w:left="9"/>
              <w:rPr>
                <w:sz w:val="20"/>
              </w:rPr>
            </w:pPr>
            <w:r>
              <w:rPr>
                <w:spacing w:val="-5"/>
                <w:sz w:val="20"/>
              </w:rPr>
              <w:t>399</w:t>
            </w:r>
          </w:p>
        </w:tc>
        <w:tc>
          <w:tcPr>
            <w:tcW w:w="6940" w:type="dxa"/>
          </w:tcPr>
          <w:p>
            <w:pPr>
              <w:pStyle w:val="TableParagraph"/>
              <w:jc w:val="left"/>
              <w:rPr>
                <w:sz w:val="20"/>
              </w:rPr>
            </w:pPr>
            <w:r>
              <w:rPr>
                <w:sz w:val="20"/>
              </w:rPr>
              <w:t>Epifora</w:t>
            </w:r>
            <w:r>
              <w:rPr>
                <w:spacing w:val="-10"/>
                <w:sz w:val="20"/>
              </w:rPr>
              <w:t> </w:t>
            </w:r>
            <w:r>
              <w:rPr>
                <w:spacing w:val="-2"/>
                <w:sz w:val="20"/>
              </w:rPr>
              <w:t>unilateral.</w:t>
            </w:r>
          </w:p>
        </w:tc>
        <w:tc>
          <w:tcPr>
            <w:tcW w:w="1543" w:type="dxa"/>
          </w:tcPr>
          <w:p>
            <w:pPr>
              <w:pStyle w:val="TableParagraph"/>
              <w:ind w:left="11" w:right="6"/>
              <w:rPr>
                <w:sz w:val="20"/>
              </w:rPr>
            </w:pPr>
            <w:r>
              <w:rPr>
                <w:spacing w:val="-5"/>
                <w:sz w:val="20"/>
              </w:rPr>
              <w:t>10%</w:t>
            </w:r>
          </w:p>
        </w:tc>
      </w:tr>
      <w:tr>
        <w:trPr>
          <w:trHeight w:val="229" w:hRule="atLeast"/>
        </w:trPr>
        <w:tc>
          <w:tcPr>
            <w:tcW w:w="1066" w:type="dxa"/>
          </w:tcPr>
          <w:p>
            <w:pPr>
              <w:pStyle w:val="TableParagraph"/>
              <w:ind w:left="9"/>
              <w:rPr>
                <w:sz w:val="20"/>
              </w:rPr>
            </w:pPr>
            <w:r>
              <w:rPr>
                <w:spacing w:val="-5"/>
                <w:sz w:val="20"/>
              </w:rPr>
              <w:t>400</w:t>
            </w:r>
          </w:p>
        </w:tc>
        <w:tc>
          <w:tcPr>
            <w:tcW w:w="6940" w:type="dxa"/>
          </w:tcPr>
          <w:p>
            <w:pPr>
              <w:pStyle w:val="TableParagraph"/>
              <w:jc w:val="left"/>
              <w:rPr>
                <w:sz w:val="20"/>
              </w:rPr>
            </w:pPr>
            <w:r>
              <w:rPr>
                <w:sz w:val="20"/>
              </w:rPr>
              <w:t>Epifora</w:t>
            </w:r>
            <w:r>
              <w:rPr>
                <w:spacing w:val="-10"/>
                <w:sz w:val="20"/>
              </w:rPr>
              <w:t> </w:t>
            </w:r>
            <w:r>
              <w:rPr>
                <w:spacing w:val="-2"/>
                <w:sz w:val="20"/>
              </w:rPr>
              <w:t>bilateral.</w:t>
            </w:r>
          </w:p>
        </w:tc>
        <w:tc>
          <w:tcPr>
            <w:tcW w:w="1543" w:type="dxa"/>
          </w:tcPr>
          <w:p>
            <w:pPr>
              <w:pStyle w:val="TableParagraph"/>
              <w:ind w:left="11" w:right="6"/>
              <w:rPr>
                <w:sz w:val="20"/>
              </w:rPr>
            </w:pPr>
            <w:r>
              <w:rPr>
                <w:spacing w:val="-5"/>
                <w:sz w:val="20"/>
              </w:rPr>
              <w:t>20%</w:t>
            </w:r>
          </w:p>
        </w:tc>
      </w:tr>
      <w:tr>
        <w:trPr>
          <w:trHeight w:val="229" w:hRule="atLeast"/>
        </w:trPr>
        <w:tc>
          <w:tcPr>
            <w:tcW w:w="1066" w:type="dxa"/>
          </w:tcPr>
          <w:p>
            <w:pPr>
              <w:pStyle w:val="TableParagraph"/>
              <w:ind w:left="9"/>
              <w:rPr>
                <w:sz w:val="20"/>
              </w:rPr>
            </w:pPr>
            <w:r>
              <w:rPr>
                <w:spacing w:val="-5"/>
                <w:sz w:val="20"/>
              </w:rPr>
              <w:t>401</w:t>
            </w:r>
          </w:p>
        </w:tc>
        <w:tc>
          <w:tcPr>
            <w:tcW w:w="6940" w:type="dxa"/>
          </w:tcPr>
          <w:p>
            <w:pPr>
              <w:pStyle w:val="TableParagraph"/>
              <w:jc w:val="left"/>
              <w:rPr>
                <w:sz w:val="20"/>
              </w:rPr>
            </w:pPr>
            <w:r>
              <w:rPr>
                <w:sz w:val="20"/>
              </w:rPr>
              <w:t>Fístula(s)</w:t>
            </w:r>
            <w:r>
              <w:rPr>
                <w:spacing w:val="-9"/>
                <w:sz w:val="20"/>
              </w:rPr>
              <w:t> </w:t>
            </w:r>
            <w:r>
              <w:rPr>
                <w:sz w:val="20"/>
              </w:rPr>
              <w:t>lagrimal</w:t>
            </w:r>
            <w:r>
              <w:rPr>
                <w:spacing w:val="-11"/>
                <w:sz w:val="20"/>
              </w:rPr>
              <w:t> </w:t>
            </w:r>
            <w:r>
              <w:rPr>
                <w:spacing w:val="-2"/>
                <w:sz w:val="20"/>
              </w:rPr>
              <w:t>unilateral.</w:t>
            </w:r>
          </w:p>
        </w:tc>
        <w:tc>
          <w:tcPr>
            <w:tcW w:w="1543" w:type="dxa"/>
          </w:tcPr>
          <w:p>
            <w:pPr>
              <w:pStyle w:val="TableParagraph"/>
              <w:ind w:left="11" w:right="6"/>
              <w:rPr>
                <w:sz w:val="20"/>
              </w:rPr>
            </w:pPr>
            <w:r>
              <w:rPr>
                <w:spacing w:val="-5"/>
                <w:sz w:val="20"/>
              </w:rPr>
              <w:t>20%</w:t>
            </w:r>
          </w:p>
        </w:tc>
      </w:tr>
      <w:tr>
        <w:trPr>
          <w:trHeight w:val="232" w:hRule="atLeast"/>
        </w:trPr>
        <w:tc>
          <w:tcPr>
            <w:tcW w:w="1066" w:type="dxa"/>
          </w:tcPr>
          <w:p>
            <w:pPr>
              <w:pStyle w:val="TableParagraph"/>
              <w:spacing w:line="212" w:lineRule="exact"/>
              <w:ind w:left="9"/>
              <w:rPr>
                <w:sz w:val="20"/>
              </w:rPr>
            </w:pPr>
            <w:r>
              <w:rPr>
                <w:spacing w:val="-5"/>
                <w:sz w:val="20"/>
              </w:rPr>
              <w:t>402</w:t>
            </w:r>
          </w:p>
        </w:tc>
        <w:tc>
          <w:tcPr>
            <w:tcW w:w="6940" w:type="dxa"/>
          </w:tcPr>
          <w:p>
            <w:pPr>
              <w:pStyle w:val="TableParagraph"/>
              <w:spacing w:line="212" w:lineRule="exact"/>
              <w:jc w:val="left"/>
              <w:rPr>
                <w:sz w:val="20"/>
              </w:rPr>
            </w:pPr>
            <w:r>
              <w:rPr>
                <w:sz w:val="20"/>
              </w:rPr>
              <w:t>Fístula(s)</w:t>
            </w:r>
            <w:r>
              <w:rPr>
                <w:spacing w:val="-9"/>
                <w:sz w:val="20"/>
              </w:rPr>
              <w:t> </w:t>
            </w:r>
            <w:r>
              <w:rPr>
                <w:sz w:val="20"/>
              </w:rPr>
              <w:t>lagrimal</w:t>
            </w:r>
            <w:r>
              <w:rPr>
                <w:spacing w:val="-11"/>
                <w:sz w:val="20"/>
              </w:rPr>
              <w:t> </w:t>
            </w:r>
            <w:r>
              <w:rPr>
                <w:spacing w:val="-2"/>
                <w:sz w:val="20"/>
              </w:rPr>
              <w:t>bilateral.</w:t>
            </w:r>
          </w:p>
        </w:tc>
        <w:tc>
          <w:tcPr>
            <w:tcW w:w="1543" w:type="dxa"/>
          </w:tcPr>
          <w:p>
            <w:pPr>
              <w:pStyle w:val="TableParagraph"/>
              <w:spacing w:line="212" w:lineRule="exact"/>
              <w:ind w:left="11" w:right="6"/>
              <w:rPr>
                <w:sz w:val="20"/>
              </w:rPr>
            </w:pPr>
            <w:r>
              <w:rPr>
                <w:spacing w:val="-5"/>
                <w:sz w:val="20"/>
              </w:rPr>
              <w:t>30%</w:t>
            </w:r>
          </w:p>
        </w:tc>
      </w:tr>
    </w:tbl>
    <w:p>
      <w:pPr>
        <w:spacing w:before="229"/>
        <w:ind w:left="295" w:right="296" w:firstLine="0"/>
        <w:jc w:val="center"/>
        <w:rPr>
          <w:rFonts w:ascii="Arial"/>
          <w:b/>
          <w:sz w:val="20"/>
        </w:rPr>
      </w:pPr>
      <w:r>
        <w:rPr>
          <w:rFonts w:ascii="Arial"/>
          <w:b/>
          <w:spacing w:val="-2"/>
          <w:sz w:val="20"/>
        </w:rPr>
        <w:t>Nariz</w:t>
      </w:r>
    </w:p>
    <w:p>
      <w:pPr>
        <w:pStyle w:val="BodyText"/>
        <w:spacing w:before="3"/>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04"/>
        <w:gridCol w:w="1579"/>
      </w:tblGrid>
      <w:tr>
        <w:trPr>
          <w:trHeight w:val="229" w:hRule="atLeast"/>
        </w:trPr>
        <w:tc>
          <w:tcPr>
            <w:tcW w:w="1066" w:type="dxa"/>
          </w:tcPr>
          <w:p>
            <w:pPr>
              <w:pStyle w:val="TableParagraph"/>
              <w:ind w:left="9"/>
              <w:rPr>
                <w:sz w:val="20"/>
              </w:rPr>
            </w:pPr>
            <w:r>
              <w:rPr>
                <w:spacing w:val="-5"/>
                <w:sz w:val="20"/>
              </w:rPr>
              <w:t>403</w:t>
            </w:r>
          </w:p>
        </w:tc>
        <w:tc>
          <w:tcPr>
            <w:tcW w:w="6904" w:type="dxa"/>
          </w:tcPr>
          <w:p>
            <w:pPr>
              <w:pStyle w:val="TableParagraph"/>
              <w:jc w:val="left"/>
              <w:rPr>
                <w:sz w:val="20"/>
              </w:rPr>
            </w:pPr>
            <w:r>
              <w:rPr>
                <w:sz w:val="20"/>
              </w:rPr>
              <w:t>Mutilación</w:t>
            </w:r>
            <w:r>
              <w:rPr>
                <w:spacing w:val="-6"/>
                <w:sz w:val="20"/>
              </w:rPr>
              <w:t> </w:t>
            </w:r>
            <w:r>
              <w:rPr>
                <w:sz w:val="20"/>
              </w:rPr>
              <w:t>parcial</w:t>
            </w:r>
            <w:r>
              <w:rPr>
                <w:spacing w:val="-8"/>
                <w:sz w:val="20"/>
              </w:rPr>
              <w:t> </w:t>
            </w:r>
            <w:r>
              <w:rPr>
                <w:sz w:val="20"/>
              </w:rPr>
              <w:t>de</w:t>
            </w:r>
            <w:r>
              <w:rPr>
                <w:spacing w:val="-7"/>
                <w:sz w:val="20"/>
              </w:rPr>
              <w:t> </w:t>
            </w:r>
            <w:r>
              <w:rPr>
                <w:sz w:val="20"/>
              </w:rPr>
              <w:t>la</w:t>
            </w:r>
            <w:r>
              <w:rPr>
                <w:spacing w:val="-7"/>
                <w:sz w:val="20"/>
              </w:rPr>
              <w:t> </w:t>
            </w:r>
            <w:r>
              <w:rPr>
                <w:sz w:val="20"/>
              </w:rPr>
              <w:t>nariz,</w:t>
            </w:r>
            <w:r>
              <w:rPr>
                <w:spacing w:val="-7"/>
                <w:sz w:val="20"/>
              </w:rPr>
              <w:t> </w:t>
            </w:r>
            <w:r>
              <w:rPr>
                <w:sz w:val="20"/>
              </w:rPr>
              <w:t>sin</w:t>
            </w:r>
            <w:r>
              <w:rPr>
                <w:spacing w:val="-7"/>
                <w:sz w:val="20"/>
              </w:rPr>
              <w:t> </w:t>
            </w:r>
            <w:r>
              <w:rPr>
                <w:sz w:val="20"/>
              </w:rPr>
              <w:t>estenosis,</w:t>
            </w:r>
            <w:r>
              <w:rPr>
                <w:spacing w:val="-7"/>
                <w:sz w:val="20"/>
              </w:rPr>
              <w:t> </w:t>
            </w:r>
            <w:r>
              <w:rPr>
                <w:sz w:val="20"/>
              </w:rPr>
              <w:t>no</w:t>
            </w:r>
            <w:r>
              <w:rPr>
                <w:spacing w:val="-6"/>
                <w:sz w:val="20"/>
              </w:rPr>
              <w:t> </w:t>
            </w:r>
            <w:r>
              <w:rPr>
                <w:sz w:val="20"/>
              </w:rPr>
              <w:t>corregida</w:t>
            </w:r>
            <w:r>
              <w:rPr>
                <w:spacing w:val="-8"/>
                <w:sz w:val="20"/>
              </w:rPr>
              <w:t> </w:t>
            </w:r>
            <w:r>
              <w:rPr>
                <w:spacing w:val="-2"/>
                <w:sz w:val="20"/>
              </w:rPr>
              <w:t>plásticamente.</w:t>
            </w:r>
          </w:p>
        </w:tc>
        <w:tc>
          <w:tcPr>
            <w:tcW w:w="1579" w:type="dxa"/>
          </w:tcPr>
          <w:p>
            <w:pPr>
              <w:pStyle w:val="TableParagraph"/>
              <w:ind w:left="17" w:right="10"/>
              <w:rPr>
                <w:sz w:val="20"/>
              </w:rPr>
            </w:pPr>
            <w:r>
              <w:rPr>
                <w:spacing w:val="-5"/>
                <w:sz w:val="20"/>
              </w:rPr>
              <w:t>20%</w:t>
            </w:r>
          </w:p>
        </w:tc>
      </w:tr>
      <w:tr>
        <w:trPr>
          <w:trHeight w:val="230" w:hRule="atLeast"/>
        </w:trPr>
        <w:tc>
          <w:tcPr>
            <w:tcW w:w="1066" w:type="dxa"/>
          </w:tcPr>
          <w:p>
            <w:pPr>
              <w:pStyle w:val="TableParagraph"/>
              <w:ind w:left="9"/>
              <w:rPr>
                <w:sz w:val="20"/>
              </w:rPr>
            </w:pPr>
            <w:r>
              <w:rPr>
                <w:spacing w:val="-5"/>
                <w:sz w:val="20"/>
              </w:rPr>
              <w:t>404</w:t>
            </w:r>
          </w:p>
        </w:tc>
        <w:tc>
          <w:tcPr>
            <w:tcW w:w="6904" w:type="dxa"/>
          </w:tcPr>
          <w:p>
            <w:pPr>
              <w:pStyle w:val="TableParagraph"/>
              <w:jc w:val="left"/>
              <w:rPr>
                <w:sz w:val="20"/>
              </w:rPr>
            </w:pPr>
            <w:r>
              <w:rPr>
                <w:sz w:val="20"/>
              </w:rPr>
              <w:t>Pérdida</w:t>
            </w:r>
            <w:r>
              <w:rPr>
                <w:spacing w:val="-7"/>
                <w:sz w:val="20"/>
              </w:rPr>
              <w:t> </w:t>
            </w:r>
            <w:r>
              <w:rPr>
                <w:sz w:val="20"/>
              </w:rPr>
              <w:t>de</w:t>
            </w:r>
            <w:r>
              <w:rPr>
                <w:spacing w:val="-6"/>
                <w:sz w:val="20"/>
              </w:rPr>
              <w:t> </w:t>
            </w:r>
            <w:r>
              <w:rPr>
                <w:sz w:val="20"/>
              </w:rPr>
              <w:t>la</w:t>
            </w:r>
            <w:r>
              <w:rPr>
                <w:spacing w:val="-5"/>
                <w:sz w:val="20"/>
              </w:rPr>
              <w:t> </w:t>
            </w:r>
            <w:r>
              <w:rPr>
                <w:sz w:val="20"/>
              </w:rPr>
              <w:t>nariz</w:t>
            </w:r>
            <w:r>
              <w:rPr>
                <w:spacing w:val="-8"/>
                <w:sz w:val="20"/>
              </w:rPr>
              <w:t> </w:t>
            </w:r>
            <w:r>
              <w:rPr>
                <w:sz w:val="20"/>
              </w:rPr>
              <w:t>sin</w:t>
            </w:r>
            <w:r>
              <w:rPr>
                <w:spacing w:val="-8"/>
                <w:sz w:val="20"/>
              </w:rPr>
              <w:t> </w:t>
            </w:r>
            <w:r>
              <w:rPr>
                <w:sz w:val="20"/>
              </w:rPr>
              <w:t>estenosis,</w:t>
            </w:r>
            <w:r>
              <w:rPr>
                <w:spacing w:val="-7"/>
                <w:sz w:val="20"/>
              </w:rPr>
              <w:t> </w:t>
            </w:r>
            <w:r>
              <w:rPr>
                <w:sz w:val="20"/>
              </w:rPr>
              <w:t>no</w:t>
            </w:r>
            <w:r>
              <w:rPr>
                <w:spacing w:val="-7"/>
                <w:sz w:val="20"/>
              </w:rPr>
              <w:t> </w:t>
            </w:r>
            <w:r>
              <w:rPr>
                <w:sz w:val="20"/>
              </w:rPr>
              <w:t>reparada</w:t>
            </w:r>
            <w:r>
              <w:rPr>
                <w:spacing w:val="-5"/>
                <w:sz w:val="20"/>
              </w:rPr>
              <w:t> </w:t>
            </w:r>
            <w:r>
              <w:rPr>
                <w:spacing w:val="-2"/>
                <w:sz w:val="20"/>
              </w:rPr>
              <w:t>plásticamente.</w:t>
            </w:r>
          </w:p>
        </w:tc>
        <w:tc>
          <w:tcPr>
            <w:tcW w:w="1579" w:type="dxa"/>
          </w:tcPr>
          <w:p>
            <w:pPr>
              <w:pStyle w:val="TableParagraph"/>
              <w:ind w:left="17" w:right="10"/>
              <w:rPr>
                <w:sz w:val="20"/>
              </w:rPr>
            </w:pPr>
            <w:r>
              <w:rPr>
                <w:spacing w:val="-5"/>
                <w:sz w:val="20"/>
              </w:rPr>
              <w:t>40%</w:t>
            </w:r>
          </w:p>
        </w:tc>
      </w:tr>
      <w:tr>
        <w:trPr>
          <w:trHeight w:val="229" w:hRule="atLeast"/>
        </w:trPr>
        <w:tc>
          <w:tcPr>
            <w:tcW w:w="1066" w:type="dxa"/>
          </w:tcPr>
          <w:p>
            <w:pPr>
              <w:pStyle w:val="TableParagraph"/>
              <w:ind w:left="9"/>
              <w:rPr>
                <w:sz w:val="20"/>
              </w:rPr>
            </w:pPr>
            <w:r>
              <w:rPr>
                <w:spacing w:val="-5"/>
                <w:sz w:val="20"/>
              </w:rPr>
              <w:t>405</w:t>
            </w:r>
          </w:p>
        </w:tc>
        <w:tc>
          <w:tcPr>
            <w:tcW w:w="6904" w:type="dxa"/>
          </w:tcPr>
          <w:p>
            <w:pPr>
              <w:pStyle w:val="TableParagraph"/>
              <w:jc w:val="left"/>
              <w:rPr>
                <w:sz w:val="20"/>
              </w:rPr>
            </w:pPr>
            <w:r>
              <w:rPr>
                <w:sz w:val="20"/>
              </w:rPr>
              <w:t>Cuando</w:t>
            </w:r>
            <w:r>
              <w:rPr>
                <w:spacing w:val="-10"/>
                <w:sz w:val="20"/>
              </w:rPr>
              <w:t> </w:t>
            </w:r>
            <w:r>
              <w:rPr>
                <w:sz w:val="20"/>
              </w:rPr>
              <w:t>haya</w:t>
            </w:r>
            <w:r>
              <w:rPr>
                <w:spacing w:val="-8"/>
                <w:sz w:val="20"/>
              </w:rPr>
              <w:t> </w:t>
            </w:r>
            <w:r>
              <w:rPr>
                <w:sz w:val="20"/>
              </w:rPr>
              <w:t>sido</w:t>
            </w:r>
            <w:r>
              <w:rPr>
                <w:spacing w:val="-9"/>
                <w:sz w:val="20"/>
              </w:rPr>
              <w:t> </w:t>
            </w:r>
            <w:r>
              <w:rPr>
                <w:sz w:val="20"/>
              </w:rPr>
              <w:t>reparada</w:t>
            </w:r>
            <w:r>
              <w:rPr>
                <w:spacing w:val="-9"/>
                <w:sz w:val="20"/>
              </w:rPr>
              <w:t> </w:t>
            </w:r>
            <w:r>
              <w:rPr>
                <w:spacing w:val="-2"/>
                <w:sz w:val="20"/>
              </w:rPr>
              <w:t>plásticamente.</w:t>
            </w:r>
          </w:p>
        </w:tc>
        <w:tc>
          <w:tcPr>
            <w:tcW w:w="1579" w:type="dxa"/>
          </w:tcPr>
          <w:p>
            <w:pPr>
              <w:pStyle w:val="TableParagraph"/>
              <w:ind w:left="17" w:right="7"/>
              <w:rPr>
                <w:sz w:val="20"/>
              </w:rPr>
            </w:pPr>
            <w:r>
              <w:rPr>
                <w:sz w:val="20"/>
              </w:rPr>
              <w:t>15</w:t>
            </w:r>
            <w:r>
              <w:rPr>
                <w:spacing w:val="-3"/>
                <w:sz w:val="20"/>
              </w:rPr>
              <w:t> </w:t>
            </w:r>
            <w:r>
              <w:rPr>
                <w:sz w:val="20"/>
              </w:rPr>
              <w:t>a</w:t>
            </w:r>
            <w:r>
              <w:rPr>
                <w:spacing w:val="-1"/>
                <w:sz w:val="20"/>
              </w:rPr>
              <w:t> </w:t>
            </w:r>
            <w:r>
              <w:rPr>
                <w:spacing w:val="-5"/>
                <w:sz w:val="20"/>
              </w:rPr>
              <w:t>20%</w:t>
            </w:r>
          </w:p>
        </w:tc>
      </w:tr>
      <w:tr>
        <w:trPr>
          <w:trHeight w:val="232" w:hRule="atLeast"/>
        </w:trPr>
        <w:tc>
          <w:tcPr>
            <w:tcW w:w="1066" w:type="dxa"/>
          </w:tcPr>
          <w:p>
            <w:pPr>
              <w:pStyle w:val="TableParagraph"/>
              <w:spacing w:line="212" w:lineRule="exact"/>
              <w:ind w:left="9"/>
              <w:rPr>
                <w:sz w:val="20"/>
              </w:rPr>
            </w:pPr>
            <w:r>
              <w:rPr>
                <w:spacing w:val="-5"/>
                <w:sz w:val="20"/>
              </w:rPr>
              <w:t>406</w:t>
            </w:r>
          </w:p>
        </w:tc>
        <w:tc>
          <w:tcPr>
            <w:tcW w:w="6904" w:type="dxa"/>
          </w:tcPr>
          <w:p>
            <w:pPr>
              <w:pStyle w:val="TableParagraph"/>
              <w:spacing w:line="212" w:lineRule="exact"/>
              <w:jc w:val="left"/>
              <w:rPr>
                <w:sz w:val="20"/>
              </w:rPr>
            </w:pPr>
            <w:r>
              <w:rPr>
                <w:sz w:val="20"/>
              </w:rPr>
              <w:t>Cuando</w:t>
            </w:r>
            <w:r>
              <w:rPr>
                <w:spacing w:val="-7"/>
                <w:sz w:val="20"/>
              </w:rPr>
              <w:t> </w:t>
            </w:r>
            <w:r>
              <w:rPr>
                <w:sz w:val="20"/>
              </w:rPr>
              <w:t>la</w:t>
            </w:r>
            <w:r>
              <w:rPr>
                <w:spacing w:val="-8"/>
                <w:sz w:val="20"/>
              </w:rPr>
              <w:t> </w:t>
            </w:r>
            <w:r>
              <w:rPr>
                <w:sz w:val="20"/>
              </w:rPr>
              <w:t>nariz</w:t>
            </w:r>
            <w:r>
              <w:rPr>
                <w:spacing w:val="-8"/>
                <w:sz w:val="20"/>
              </w:rPr>
              <w:t> </w:t>
            </w:r>
            <w:r>
              <w:rPr>
                <w:sz w:val="20"/>
              </w:rPr>
              <w:t>quede</w:t>
            </w:r>
            <w:r>
              <w:rPr>
                <w:spacing w:val="-8"/>
                <w:sz w:val="20"/>
              </w:rPr>
              <w:t> </w:t>
            </w:r>
            <w:r>
              <w:rPr>
                <w:sz w:val="20"/>
              </w:rPr>
              <w:t>reducida</w:t>
            </w:r>
            <w:r>
              <w:rPr>
                <w:spacing w:val="-6"/>
                <w:sz w:val="20"/>
              </w:rPr>
              <w:t> </w:t>
            </w:r>
            <w:r>
              <w:rPr>
                <w:sz w:val="20"/>
              </w:rPr>
              <w:t>a</w:t>
            </w:r>
            <w:r>
              <w:rPr>
                <w:spacing w:val="-8"/>
                <w:sz w:val="20"/>
              </w:rPr>
              <w:t> </w:t>
            </w:r>
            <w:r>
              <w:rPr>
                <w:sz w:val="20"/>
              </w:rPr>
              <w:t>muñón</w:t>
            </w:r>
            <w:r>
              <w:rPr>
                <w:spacing w:val="-8"/>
                <w:sz w:val="20"/>
              </w:rPr>
              <w:t> </w:t>
            </w:r>
            <w:r>
              <w:rPr>
                <w:sz w:val="20"/>
              </w:rPr>
              <w:t>cicatrizal,</w:t>
            </w:r>
            <w:r>
              <w:rPr>
                <w:spacing w:val="-8"/>
                <w:sz w:val="20"/>
              </w:rPr>
              <w:t> </w:t>
            </w:r>
            <w:r>
              <w:rPr>
                <w:sz w:val="20"/>
              </w:rPr>
              <w:t>con</w:t>
            </w:r>
            <w:r>
              <w:rPr>
                <w:spacing w:val="-8"/>
                <w:sz w:val="20"/>
              </w:rPr>
              <w:t> </w:t>
            </w:r>
            <w:r>
              <w:rPr>
                <w:spacing w:val="-2"/>
                <w:sz w:val="20"/>
              </w:rPr>
              <w:t>estenosis.</w:t>
            </w:r>
          </w:p>
        </w:tc>
        <w:tc>
          <w:tcPr>
            <w:tcW w:w="1579" w:type="dxa"/>
          </w:tcPr>
          <w:p>
            <w:pPr>
              <w:pStyle w:val="TableParagraph"/>
              <w:spacing w:line="212" w:lineRule="exact"/>
              <w:ind w:left="17" w:right="7"/>
              <w:rPr>
                <w:sz w:val="20"/>
              </w:rPr>
            </w:pPr>
            <w:r>
              <w:rPr>
                <w:sz w:val="20"/>
              </w:rPr>
              <w:t>30</w:t>
            </w:r>
            <w:r>
              <w:rPr>
                <w:spacing w:val="-3"/>
                <w:sz w:val="20"/>
              </w:rPr>
              <w:t> </w:t>
            </w:r>
            <w:r>
              <w:rPr>
                <w:sz w:val="20"/>
              </w:rPr>
              <w:t>a</w:t>
            </w:r>
            <w:r>
              <w:rPr>
                <w:spacing w:val="-1"/>
                <w:sz w:val="20"/>
              </w:rPr>
              <w:t> </w:t>
            </w:r>
            <w:r>
              <w:rPr>
                <w:spacing w:val="-5"/>
                <w:sz w:val="20"/>
              </w:rPr>
              <w:t>50%</w:t>
            </w:r>
          </w:p>
        </w:tc>
      </w:tr>
    </w:tbl>
    <w:p>
      <w:pPr>
        <w:spacing w:before="227"/>
        <w:ind w:left="297" w:right="296" w:firstLine="0"/>
        <w:jc w:val="center"/>
        <w:rPr>
          <w:rFonts w:ascii="Arial" w:hAnsi="Arial"/>
          <w:b/>
          <w:sz w:val="20"/>
        </w:rPr>
      </w:pPr>
      <w:r>
        <w:rPr>
          <w:rFonts w:ascii="Arial" w:hAnsi="Arial"/>
          <w:b/>
          <w:spacing w:val="-2"/>
          <w:sz w:val="20"/>
        </w:rPr>
        <w:t>Oídos</w:t>
      </w:r>
    </w:p>
    <w:p>
      <w:pPr>
        <w:pStyle w:val="BodyText"/>
        <w:spacing w:before="3"/>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02"/>
        <w:gridCol w:w="1582"/>
      </w:tblGrid>
      <w:tr>
        <w:trPr>
          <w:trHeight w:val="460" w:hRule="atLeast"/>
        </w:trPr>
        <w:tc>
          <w:tcPr>
            <w:tcW w:w="1066" w:type="dxa"/>
          </w:tcPr>
          <w:p>
            <w:pPr>
              <w:pStyle w:val="TableParagraph"/>
              <w:spacing w:line="240" w:lineRule="auto" w:before="114"/>
              <w:ind w:left="9"/>
              <w:rPr>
                <w:sz w:val="20"/>
              </w:rPr>
            </w:pPr>
            <w:r>
              <w:rPr>
                <w:spacing w:val="-5"/>
                <w:sz w:val="20"/>
              </w:rPr>
              <w:t>407</w:t>
            </w:r>
          </w:p>
        </w:tc>
        <w:tc>
          <w:tcPr>
            <w:tcW w:w="6902" w:type="dxa"/>
          </w:tcPr>
          <w:p>
            <w:pPr>
              <w:pStyle w:val="TableParagraph"/>
              <w:spacing w:line="230" w:lineRule="exact"/>
              <w:jc w:val="left"/>
              <w:rPr>
                <w:sz w:val="20"/>
              </w:rPr>
            </w:pPr>
            <w:r>
              <w:rPr>
                <w:sz w:val="20"/>
              </w:rPr>
              <w:t>Pérdida o deformación total del pabellón auricular, unilateral, sin estenosis del conducto auditivo externo.</w:t>
            </w:r>
          </w:p>
        </w:tc>
        <w:tc>
          <w:tcPr>
            <w:tcW w:w="1582" w:type="dxa"/>
          </w:tcPr>
          <w:p>
            <w:pPr>
              <w:pStyle w:val="TableParagraph"/>
              <w:spacing w:line="240" w:lineRule="auto" w:before="114"/>
              <w:ind w:left="14" w:right="6"/>
              <w:rPr>
                <w:sz w:val="20"/>
              </w:rPr>
            </w:pPr>
            <w:r>
              <w:rPr>
                <w:spacing w:val="-5"/>
                <w:sz w:val="20"/>
              </w:rPr>
              <w:t>10%</w:t>
            </w:r>
          </w:p>
        </w:tc>
      </w:tr>
      <w:tr>
        <w:trPr>
          <w:trHeight w:val="460" w:hRule="atLeast"/>
        </w:trPr>
        <w:tc>
          <w:tcPr>
            <w:tcW w:w="1066" w:type="dxa"/>
          </w:tcPr>
          <w:p>
            <w:pPr>
              <w:pStyle w:val="TableParagraph"/>
              <w:spacing w:line="240" w:lineRule="auto" w:before="114"/>
              <w:ind w:left="9"/>
              <w:rPr>
                <w:sz w:val="20"/>
              </w:rPr>
            </w:pPr>
            <w:r>
              <w:rPr>
                <w:spacing w:val="-5"/>
                <w:sz w:val="20"/>
              </w:rPr>
              <w:t>408</w:t>
            </w:r>
          </w:p>
        </w:tc>
        <w:tc>
          <w:tcPr>
            <w:tcW w:w="6902" w:type="dxa"/>
          </w:tcPr>
          <w:p>
            <w:pPr>
              <w:pStyle w:val="TableParagraph"/>
              <w:spacing w:line="230" w:lineRule="exact"/>
              <w:jc w:val="left"/>
              <w:rPr>
                <w:sz w:val="20"/>
              </w:rPr>
            </w:pPr>
            <w:r>
              <w:rPr>
                <w:sz w:val="20"/>
              </w:rPr>
              <w:t>Pérdida</w:t>
            </w:r>
            <w:r>
              <w:rPr>
                <w:spacing w:val="80"/>
                <w:sz w:val="20"/>
              </w:rPr>
              <w:t> </w:t>
            </w:r>
            <w:r>
              <w:rPr>
                <w:sz w:val="20"/>
              </w:rPr>
              <w:t>o</w:t>
            </w:r>
            <w:r>
              <w:rPr>
                <w:spacing w:val="80"/>
                <w:sz w:val="20"/>
              </w:rPr>
              <w:t> </w:t>
            </w:r>
            <w:r>
              <w:rPr>
                <w:sz w:val="20"/>
              </w:rPr>
              <w:t>deformación</w:t>
            </w:r>
            <w:r>
              <w:rPr>
                <w:spacing w:val="80"/>
                <w:sz w:val="20"/>
              </w:rPr>
              <w:t> </w:t>
            </w:r>
            <w:r>
              <w:rPr>
                <w:sz w:val="20"/>
              </w:rPr>
              <w:t>parcial</w:t>
            </w:r>
            <w:r>
              <w:rPr>
                <w:spacing w:val="80"/>
                <w:sz w:val="20"/>
              </w:rPr>
              <w:t> </w:t>
            </w:r>
            <w:r>
              <w:rPr>
                <w:sz w:val="20"/>
              </w:rPr>
              <w:t>del</w:t>
            </w:r>
            <w:r>
              <w:rPr>
                <w:spacing w:val="80"/>
                <w:sz w:val="20"/>
              </w:rPr>
              <w:t> </w:t>
            </w:r>
            <w:r>
              <w:rPr>
                <w:sz w:val="20"/>
              </w:rPr>
              <w:t>pabellón</w:t>
            </w:r>
            <w:r>
              <w:rPr>
                <w:spacing w:val="80"/>
                <w:sz w:val="20"/>
              </w:rPr>
              <w:t> </w:t>
            </w:r>
            <w:r>
              <w:rPr>
                <w:sz w:val="20"/>
              </w:rPr>
              <w:t>auricular,</w:t>
            </w:r>
            <w:r>
              <w:rPr>
                <w:spacing w:val="80"/>
                <w:sz w:val="20"/>
              </w:rPr>
              <w:t> </w:t>
            </w:r>
            <w:r>
              <w:rPr>
                <w:sz w:val="20"/>
              </w:rPr>
              <w:t>unilateral,</w:t>
            </w:r>
            <w:r>
              <w:rPr>
                <w:spacing w:val="80"/>
                <w:sz w:val="20"/>
              </w:rPr>
              <w:t> </w:t>
            </w:r>
            <w:r>
              <w:rPr>
                <w:sz w:val="20"/>
              </w:rPr>
              <w:t>sin estenosis del conducto auditivo externo.</w:t>
            </w:r>
          </w:p>
        </w:tc>
        <w:tc>
          <w:tcPr>
            <w:tcW w:w="1582" w:type="dxa"/>
          </w:tcPr>
          <w:p>
            <w:pPr>
              <w:pStyle w:val="TableParagraph"/>
              <w:spacing w:line="240" w:lineRule="auto" w:before="114"/>
              <w:ind w:left="14" w:right="1"/>
              <w:rPr>
                <w:sz w:val="20"/>
              </w:rPr>
            </w:pPr>
            <w:r>
              <w:rPr>
                <w:spacing w:val="-5"/>
                <w:sz w:val="20"/>
              </w:rPr>
              <w:t>7%</w:t>
            </w:r>
          </w:p>
        </w:tc>
      </w:tr>
    </w:tbl>
    <w:p>
      <w:pPr>
        <w:pStyle w:val="TableParagraph"/>
        <w:spacing w:after="0" w:line="240" w:lineRule="auto"/>
        <w:rPr>
          <w:sz w:val="20"/>
        </w:rPr>
        <w:sectPr>
          <w:pgSz w:w="12240" w:h="15840"/>
          <w:pgMar w:header="724" w:footer="712" w:top="1880" w:bottom="900" w:left="1080" w:right="1080"/>
        </w:sectPr>
      </w:pPr>
    </w:p>
    <w:p>
      <w:pPr>
        <w:pStyle w:val="BodyText"/>
        <w:spacing w:before="68"/>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02"/>
        <w:gridCol w:w="1582"/>
      </w:tblGrid>
      <w:tr>
        <w:trPr>
          <w:trHeight w:val="460" w:hRule="atLeast"/>
        </w:trPr>
        <w:tc>
          <w:tcPr>
            <w:tcW w:w="1066" w:type="dxa"/>
          </w:tcPr>
          <w:p>
            <w:pPr>
              <w:pStyle w:val="TableParagraph"/>
              <w:spacing w:line="240" w:lineRule="auto" w:before="114"/>
              <w:ind w:left="9"/>
              <w:rPr>
                <w:sz w:val="20"/>
              </w:rPr>
            </w:pPr>
            <w:r>
              <w:rPr>
                <w:spacing w:val="-5"/>
                <w:sz w:val="20"/>
              </w:rPr>
              <w:t>409</w:t>
            </w:r>
          </w:p>
        </w:tc>
        <w:tc>
          <w:tcPr>
            <w:tcW w:w="6902" w:type="dxa"/>
          </w:tcPr>
          <w:p>
            <w:pPr>
              <w:pStyle w:val="TableParagraph"/>
              <w:spacing w:line="230" w:lineRule="exact"/>
              <w:ind w:right="65"/>
              <w:jc w:val="left"/>
              <w:rPr>
                <w:sz w:val="20"/>
              </w:rPr>
            </w:pPr>
            <w:r>
              <w:rPr>
                <w:sz w:val="20"/>
              </w:rPr>
              <w:t>Pérdida o</w:t>
            </w:r>
            <w:r>
              <w:rPr>
                <w:spacing w:val="27"/>
                <w:sz w:val="20"/>
              </w:rPr>
              <w:t> </w:t>
            </w:r>
            <w:r>
              <w:rPr>
                <w:sz w:val="20"/>
              </w:rPr>
              <w:t>deformación total del pabellón auricular,</w:t>
            </w:r>
            <w:r>
              <w:rPr>
                <w:spacing w:val="25"/>
                <w:sz w:val="20"/>
              </w:rPr>
              <w:t> </w:t>
            </w:r>
            <w:r>
              <w:rPr>
                <w:sz w:val="20"/>
              </w:rPr>
              <w:t>bilateral, sin</w:t>
            </w:r>
            <w:r>
              <w:rPr>
                <w:spacing w:val="27"/>
                <w:sz w:val="20"/>
              </w:rPr>
              <w:t> </w:t>
            </w:r>
            <w:r>
              <w:rPr>
                <w:sz w:val="20"/>
              </w:rPr>
              <w:t>estenosis del conducto auditivo externo.</w:t>
            </w:r>
          </w:p>
        </w:tc>
        <w:tc>
          <w:tcPr>
            <w:tcW w:w="1582" w:type="dxa"/>
          </w:tcPr>
          <w:p>
            <w:pPr>
              <w:pStyle w:val="TableParagraph"/>
              <w:spacing w:line="240" w:lineRule="auto" w:before="114"/>
              <w:ind w:left="14" w:right="6"/>
              <w:rPr>
                <w:sz w:val="20"/>
              </w:rPr>
            </w:pPr>
            <w:r>
              <w:rPr>
                <w:spacing w:val="-5"/>
                <w:sz w:val="20"/>
              </w:rPr>
              <w:t>20%</w:t>
            </w:r>
          </w:p>
        </w:tc>
      </w:tr>
      <w:tr>
        <w:trPr>
          <w:trHeight w:val="457" w:hRule="atLeast"/>
        </w:trPr>
        <w:tc>
          <w:tcPr>
            <w:tcW w:w="1066" w:type="dxa"/>
          </w:tcPr>
          <w:p>
            <w:pPr>
              <w:pStyle w:val="TableParagraph"/>
              <w:spacing w:line="240" w:lineRule="auto" w:before="114"/>
              <w:ind w:left="9"/>
              <w:rPr>
                <w:sz w:val="20"/>
              </w:rPr>
            </w:pPr>
            <w:r>
              <w:rPr>
                <w:spacing w:val="-5"/>
                <w:sz w:val="20"/>
              </w:rPr>
              <w:t>410</w:t>
            </w:r>
          </w:p>
        </w:tc>
        <w:tc>
          <w:tcPr>
            <w:tcW w:w="6902" w:type="dxa"/>
          </w:tcPr>
          <w:p>
            <w:pPr>
              <w:pStyle w:val="TableParagraph"/>
              <w:spacing w:line="228" w:lineRule="exact"/>
              <w:jc w:val="left"/>
              <w:rPr>
                <w:sz w:val="20"/>
              </w:rPr>
            </w:pPr>
            <w:r>
              <w:rPr>
                <w:sz w:val="20"/>
              </w:rPr>
              <w:t>Pérdida o deformación parcial del pabellón auricular, bilateral, sin estenosis del conducto auditivo externo.</w:t>
            </w:r>
          </w:p>
        </w:tc>
        <w:tc>
          <w:tcPr>
            <w:tcW w:w="1582" w:type="dxa"/>
          </w:tcPr>
          <w:p>
            <w:pPr>
              <w:pStyle w:val="TableParagraph"/>
              <w:spacing w:line="240" w:lineRule="auto" w:before="114"/>
              <w:ind w:left="14" w:right="6"/>
              <w:rPr>
                <w:sz w:val="20"/>
              </w:rPr>
            </w:pPr>
            <w:r>
              <w:rPr>
                <w:spacing w:val="-5"/>
                <w:sz w:val="20"/>
              </w:rPr>
              <w:t>15%</w:t>
            </w:r>
          </w:p>
        </w:tc>
      </w:tr>
      <w:tr>
        <w:trPr>
          <w:trHeight w:val="460" w:hRule="atLeast"/>
        </w:trPr>
        <w:tc>
          <w:tcPr>
            <w:tcW w:w="1066" w:type="dxa"/>
          </w:tcPr>
          <w:p>
            <w:pPr>
              <w:pStyle w:val="TableParagraph"/>
              <w:spacing w:line="240" w:lineRule="auto" w:before="114"/>
              <w:ind w:left="9"/>
              <w:rPr>
                <w:sz w:val="20"/>
              </w:rPr>
            </w:pPr>
            <w:r>
              <w:rPr>
                <w:spacing w:val="-5"/>
                <w:sz w:val="20"/>
              </w:rPr>
              <w:t>411</w:t>
            </w:r>
          </w:p>
        </w:tc>
        <w:tc>
          <w:tcPr>
            <w:tcW w:w="6902" w:type="dxa"/>
          </w:tcPr>
          <w:p>
            <w:pPr>
              <w:pStyle w:val="TableParagraph"/>
              <w:spacing w:line="230" w:lineRule="exact"/>
              <w:jc w:val="left"/>
              <w:rPr>
                <w:sz w:val="20"/>
              </w:rPr>
            </w:pPr>
            <w:r>
              <w:rPr>
                <w:sz w:val="20"/>
              </w:rPr>
              <w:t>Pérdida o deformación total del pabellón auricular, unilateral, con estenosis del conducto auditivo externo.</w:t>
            </w:r>
          </w:p>
        </w:tc>
        <w:tc>
          <w:tcPr>
            <w:tcW w:w="1582" w:type="dxa"/>
          </w:tcPr>
          <w:p>
            <w:pPr>
              <w:pStyle w:val="TableParagraph"/>
              <w:spacing w:line="240" w:lineRule="auto" w:before="114"/>
              <w:ind w:left="14" w:right="6"/>
              <w:rPr>
                <w:sz w:val="20"/>
              </w:rPr>
            </w:pPr>
            <w:r>
              <w:rPr>
                <w:spacing w:val="-5"/>
                <w:sz w:val="20"/>
              </w:rPr>
              <w:t>15%</w:t>
            </w:r>
          </w:p>
        </w:tc>
      </w:tr>
      <w:tr>
        <w:trPr>
          <w:trHeight w:val="460" w:hRule="atLeast"/>
        </w:trPr>
        <w:tc>
          <w:tcPr>
            <w:tcW w:w="1066" w:type="dxa"/>
          </w:tcPr>
          <w:p>
            <w:pPr>
              <w:pStyle w:val="TableParagraph"/>
              <w:spacing w:line="240" w:lineRule="auto" w:before="114"/>
              <w:ind w:left="9"/>
              <w:rPr>
                <w:sz w:val="20"/>
              </w:rPr>
            </w:pPr>
            <w:r>
              <w:rPr>
                <w:spacing w:val="-5"/>
                <w:sz w:val="20"/>
              </w:rPr>
              <w:t>412</w:t>
            </w:r>
          </w:p>
        </w:tc>
        <w:tc>
          <w:tcPr>
            <w:tcW w:w="6902" w:type="dxa"/>
          </w:tcPr>
          <w:p>
            <w:pPr>
              <w:pStyle w:val="TableParagraph"/>
              <w:spacing w:line="230" w:lineRule="exact"/>
              <w:jc w:val="left"/>
              <w:rPr>
                <w:sz w:val="20"/>
              </w:rPr>
            </w:pPr>
            <w:r>
              <w:rPr>
                <w:sz w:val="20"/>
              </w:rPr>
              <w:t>Pérdida</w:t>
            </w:r>
            <w:r>
              <w:rPr>
                <w:spacing w:val="80"/>
                <w:sz w:val="20"/>
              </w:rPr>
              <w:t> </w:t>
            </w:r>
            <w:r>
              <w:rPr>
                <w:sz w:val="20"/>
              </w:rPr>
              <w:t>o</w:t>
            </w:r>
            <w:r>
              <w:rPr>
                <w:spacing w:val="80"/>
                <w:sz w:val="20"/>
              </w:rPr>
              <w:t> </w:t>
            </w:r>
            <w:r>
              <w:rPr>
                <w:sz w:val="20"/>
              </w:rPr>
              <w:t>deformación</w:t>
            </w:r>
            <w:r>
              <w:rPr>
                <w:spacing w:val="80"/>
                <w:sz w:val="20"/>
              </w:rPr>
              <w:t> </w:t>
            </w:r>
            <w:r>
              <w:rPr>
                <w:sz w:val="20"/>
              </w:rPr>
              <w:t>parcial</w:t>
            </w:r>
            <w:r>
              <w:rPr>
                <w:spacing w:val="80"/>
                <w:sz w:val="20"/>
              </w:rPr>
              <w:t> </w:t>
            </w:r>
            <w:r>
              <w:rPr>
                <w:sz w:val="20"/>
              </w:rPr>
              <w:t>del</w:t>
            </w:r>
            <w:r>
              <w:rPr>
                <w:spacing w:val="80"/>
                <w:sz w:val="20"/>
              </w:rPr>
              <w:t> </w:t>
            </w:r>
            <w:r>
              <w:rPr>
                <w:sz w:val="20"/>
              </w:rPr>
              <w:t>pabellón</w:t>
            </w:r>
            <w:r>
              <w:rPr>
                <w:spacing w:val="80"/>
                <w:sz w:val="20"/>
              </w:rPr>
              <w:t> </w:t>
            </w:r>
            <w:r>
              <w:rPr>
                <w:sz w:val="20"/>
              </w:rPr>
              <w:t>auricular,</w:t>
            </w:r>
            <w:r>
              <w:rPr>
                <w:spacing w:val="80"/>
                <w:sz w:val="20"/>
              </w:rPr>
              <w:t> </w:t>
            </w:r>
            <w:r>
              <w:rPr>
                <w:sz w:val="20"/>
              </w:rPr>
              <w:t>unilateral,</w:t>
            </w:r>
            <w:r>
              <w:rPr>
                <w:spacing w:val="80"/>
                <w:sz w:val="20"/>
              </w:rPr>
              <w:t> </w:t>
            </w:r>
            <w:r>
              <w:rPr>
                <w:sz w:val="20"/>
              </w:rPr>
              <w:t>con estenosis del conducto auditivo externo.</w:t>
            </w:r>
          </w:p>
        </w:tc>
        <w:tc>
          <w:tcPr>
            <w:tcW w:w="1582" w:type="dxa"/>
          </w:tcPr>
          <w:p>
            <w:pPr>
              <w:pStyle w:val="TableParagraph"/>
              <w:spacing w:line="240" w:lineRule="auto" w:before="114"/>
              <w:ind w:left="14" w:right="6"/>
              <w:rPr>
                <w:sz w:val="20"/>
              </w:rPr>
            </w:pPr>
            <w:r>
              <w:rPr>
                <w:spacing w:val="-5"/>
                <w:sz w:val="20"/>
              </w:rPr>
              <w:t>12%</w:t>
            </w:r>
          </w:p>
        </w:tc>
      </w:tr>
      <w:tr>
        <w:trPr>
          <w:trHeight w:val="460" w:hRule="atLeast"/>
        </w:trPr>
        <w:tc>
          <w:tcPr>
            <w:tcW w:w="1066" w:type="dxa"/>
          </w:tcPr>
          <w:p>
            <w:pPr>
              <w:pStyle w:val="TableParagraph"/>
              <w:spacing w:line="240" w:lineRule="auto" w:before="114"/>
              <w:ind w:left="9"/>
              <w:rPr>
                <w:sz w:val="20"/>
              </w:rPr>
            </w:pPr>
            <w:r>
              <w:rPr>
                <w:spacing w:val="-5"/>
                <w:sz w:val="20"/>
              </w:rPr>
              <w:t>413</w:t>
            </w:r>
          </w:p>
        </w:tc>
        <w:tc>
          <w:tcPr>
            <w:tcW w:w="6902" w:type="dxa"/>
          </w:tcPr>
          <w:p>
            <w:pPr>
              <w:pStyle w:val="TableParagraph"/>
              <w:spacing w:line="230" w:lineRule="exact"/>
              <w:ind w:right="65"/>
              <w:jc w:val="left"/>
              <w:rPr>
                <w:sz w:val="20"/>
              </w:rPr>
            </w:pPr>
            <w:r>
              <w:rPr>
                <w:sz w:val="20"/>
              </w:rPr>
              <w:t>Pérdida o deformación total del pabellón auricular bilateral, con estenosis</w:t>
            </w:r>
            <w:r>
              <w:rPr>
                <w:spacing w:val="40"/>
                <w:sz w:val="20"/>
              </w:rPr>
              <w:t> </w:t>
            </w:r>
            <w:r>
              <w:rPr>
                <w:sz w:val="20"/>
              </w:rPr>
              <w:t>del conducto auditivo externo.</w:t>
            </w:r>
          </w:p>
        </w:tc>
        <w:tc>
          <w:tcPr>
            <w:tcW w:w="1582" w:type="dxa"/>
          </w:tcPr>
          <w:p>
            <w:pPr>
              <w:pStyle w:val="TableParagraph"/>
              <w:spacing w:line="240" w:lineRule="auto" w:before="114"/>
              <w:ind w:left="14" w:right="6"/>
              <w:rPr>
                <w:sz w:val="20"/>
              </w:rPr>
            </w:pPr>
            <w:r>
              <w:rPr>
                <w:spacing w:val="-5"/>
                <w:sz w:val="20"/>
              </w:rPr>
              <w:t>30%</w:t>
            </w:r>
          </w:p>
        </w:tc>
      </w:tr>
      <w:tr>
        <w:trPr>
          <w:trHeight w:val="460" w:hRule="atLeast"/>
        </w:trPr>
        <w:tc>
          <w:tcPr>
            <w:tcW w:w="1066" w:type="dxa"/>
          </w:tcPr>
          <w:p>
            <w:pPr>
              <w:pStyle w:val="TableParagraph"/>
              <w:spacing w:line="240" w:lineRule="auto" w:before="114"/>
              <w:ind w:left="9"/>
              <w:rPr>
                <w:sz w:val="20"/>
              </w:rPr>
            </w:pPr>
            <w:r>
              <w:rPr>
                <w:spacing w:val="-5"/>
                <w:sz w:val="20"/>
              </w:rPr>
              <w:t>414</w:t>
            </w:r>
          </w:p>
        </w:tc>
        <w:tc>
          <w:tcPr>
            <w:tcW w:w="6902" w:type="dxa"/>
          </w:tcPr>
          <w:p>
            <w:pPr>
              <w:pStyle w:val="TableParagraph"/>
              <w:spacing w:line="230" w:lineRule="exact"/>
              <w:jc w:val="left"/>
              <w:rPr>
                <w:sz w:val="20"/>
              </w:rPr>
            </w:pPr>
            <w:r>
              <w:rPr>
                <w:sz w:val="20"/>
              </w:rPr>
              <w:t>Pérdida o deformación</w:t>
            </w:r>
            <w:r>
              <w:rPr>
                <w:spacing w:val="-1"/>
                <w:sz w:val="20"/>
              </w:rPr>
              <w:t> </w:t>
            </w:r>
            <w:r>
              <w:rPr>
                <w:sz w:val="20"/>
              </w:rPr>
              <w:t>parcial del pabellón auricular bilateral, con</w:t>
            </w:r>
            <w:r>
              <w:rPr>
                <w:spacing w:val="-1"/>
                <w:sz w:val="20"/>
              </w:rPr>
              <w:t> </w:t>
            </w:r>
            <w:r>
              <w:rPr>
                <w:sz w:val="20"/>
              </w:rPr>
              <w:t>estenosis del conducto auditivo externo.</w:t>
            </w:r>
          </w:p>
        </w:tc>
        <w:tc>
          <w:tcPr>
            <w:tcW w:w="1582" w:type="dxa"/>
          </w:tcPr>
          <w:p>
            <w:pPr>
              <w:pStyle w:val="TableParagraph"/>
              <w:spacing w:line="240" w:lineRule="auto" w:before="114"/>
              <w:ind w:left="14" w:right="6"/>
              <w:rPr>
                <w:sz w:val="20"/>
              </w:rPr>
            </w:pPr>
            <w:r>
              <w:rPr>
                <w:spacing w:val="-5"/>
                <w:sz w:val="20"/>
              </w:rPr>
              <w:t>25%</w:t>
            </w:r>
          </w:p>
        </w:tc>
      </w:tr>
      <w:tr>
        <w:trPr>
          <w:trHeight w:val="230" w:hRule="atLeast"/>
        </w:trPr>
        <w:tc>
          <w:tcPr>
            <w:tcW w:w="1066" w:type="dxa"/>
          </w:tcPr>
          <w:p>
            <w:pPr>
              <w:pStyle w:val="TableParagraph"/>
              <w:ind w:left="9"/>
              <w:rPr>
                <w:sz w:val="20"/>
              </w:rPr>
            </w:pPr>
            <w:r>
              <w:rPr>
                <w:spacing w:val="-5"/>
                <w:sz w:val="20"/>
              </w:rPr>
              <w:t>415</w:t>
            </w:r>
          </w:p>
        </w:tc>
        <w:tc>
          <w:tcPr>
            <w:tcW w:w="6902" w:type="dxa"/>
          </w:tcPr>
          <w:p>
            <w:pPr>
              <w:pStyle w:val="TableParagraph"/>
              <w:jc w:val="left"/>
              <w:rPr>
                <w:sz w:val="20"/>
              </w:rPr>
            </w:pPr>
            <w:r>
              <w:rPr>
                <w:sz w:val="20"/>
              </w:rPr>
              <w:t>Obliteración</w:t>
            </w:r>
            <w:r>
              <w:rPr>
                <w:spacing w:val="-9"/>
                <w:sz w:val="20"/>
              </w:rPr>
              <w:t> </w:t>
            </w:r>
            <w:r>
              <w:rPr>
                <w:sz w:val="20"/>
              </w:rPr>
              <w:t>total</w:t>
            </w:r>
            <w:r>
              <w:rPr>
                <w:spacing w:val="-8"/>
                <w:sz w:val="20"/>
              </w:rPr>
              <w:t> </w:t>
            </w:r>
            <w:r>
              <w:rPr>
                <w:sz w:val="20"/>
              </w:rPr>
              <w:t>del</w:t>
            </w:r>
            <w:r>
              <w:rPr>
                <w:spacing w:val="-10"/>
                <w:sz w:val="20"/>
              </w:rPr>
              <w:t> </w:t>
            </w:r>
            <w:r>
              <w:rPr>
                <w:sz w:val="20"/>
              </w:rPr>
              <w:t>conducto</w:t>
            </w:r>
            <w:r>
              <w:rPr>
                <w:spacing w:val="-10"/>
                <w:sz w:val="20"/>
              </w:rPr>
              <w:t> </w:t>
            </w:r>
            <w:r>
              <w:rPr>
                <w:sz w:val="20"/>
              </w:rPr>
              <w:t>auditivo</w:t>
            </w:r>
            <w:r>
              <w:rPr>
                <w:spacing w:val="-8"/>
                <w:sz w:val="20"/>
              </w:rPr>
              <w:t> </w:t>
            </w:r>
            <w:r>
              <w:rPr>
                <w:sz w:val="20"/>
              </w:rPr>
              <w:t>externo</w:t>
            </w:r>
            <w:r>
              <w:rPr>
                <w:spacing w:val="-9"/>
                <w:sz w:val="20"/>
              </w:rPr>
              <w:t> </w:t>
            </w:r>
            <w:r>
              <w:rPr>
                <w:spacing w:val="-2"/>
                <w:sz w:val="20"/>
              </w:rPr>
              <w:t>unilateral.</w:t>
            </w:r>
          </w:p>
        </w:tc>
        <w:tc>
          <w:tcPr>
            <w:tcW w:w="1582" w:type="dxa"/>
          </w:tcPr>
          <w:p>
            <w:pPr>
              <w:pStyle w:val="TableParagraph"/>
              <w:ind w:left="14" w:right="6"/>
              <w:rPr>
                <w:sz w:val="20"/>
              </w:rPr>
            </w:pPr>
            <w:r>
              <w:rPr>
                <w:spacing w:val="-5"/>
                <w:sz w:val="20"/>
              </w:rPr>
              <w:t>20%</w:t>
            </w:r>
          </w:p>
        </w:tc>
      </w:tr>
      <w:tr>
        <w:trPr>
          <w:trHeight w:val="229" w:hRule="atLeast"/>
        </w:trPr>
        <w:tc>
          <w:tcPr>
            <w:tcW w:w="1066" w:type="dxa"/>
          </w:tcPr>
          <w:p>
            <w:pPr>
              <w:pStyle w:val="TableParagraph"/>
              <w:ind w:left="9"/>
              <w:rPr>
                <w:sz w:val="20"/>
              </w:rPr>
            </w:pPr>
            <w:r>
              <w:rPr>
                <w:spacing w:val="-5"/>
                <w:sz w:val="20"/>
              </w:rPr>
              <w:t>416</w:t>
            </w:r>
          </w:p>
        </w:tc>
        <w:tc>
          <w:tcPr>
            <w:tcW w:w="6902" w:type="dxa"/>
          </w:tcPr>
          <w:p>
            <w:pPr>
              <w:pStyle w:val="TableParagraph"/>
              <w:jc w:val="left"/>
              <w:rPr>
                <w:sz w:val="20"/>
              </w:rPr>
            </w:pPr>
            <w:r>
              <w:rPr>
                <w:sz w:val="20"/>
              </w:rPr>
              <w:t>Obliteración</w:t>
            </w:r>
            <w:r>
              <w:rPr>
                <w:spacing w:val="-9"/>
                <w:sz w:val="20"/>
              </w:rPr>
              <w:t> </w:t>
            </w:r>
            <w:r>
              <w:rPr>
                <w:sz w:val="20"/>
              </w:rPr>
              <w:t>total</w:t>
            </w:r>
            <w:r>
              <w:rPr>
                <w:spacing w:val="-8"/>
                <w:sz w:val="20"/>
              </w:rPr>
              <w:t> </w:t>
            </w:r>
            <w:r>
              <w:rPr>
                <w:sz w:val="20"/>
              </w:rPr>
              <w:t>del</w:t>
            </w:r>
            <w:r>
              <w:rPr>
                <w:spacing w:val="-10"/>
                <w:sz w:val="20"/>
              </w:rPr>
              <w:t> </w:t>
            </w:r>
            <w:r>
              <w:rPr>
                <w:sz w:val="20"/>
              </w:rPr>
              <w:t>conducto</w:t>
            </w:r>
            <w:r>
              <w:rPr>
                <w:spacing w:val="-10"/>
                <w:sz w:val="20"/>
              </w:rPr>
              <w:t> </w:t>
            </w:r>
            <w:r>
              <w:rPr>
                <w:sz w:val="20"/>
              </w:rPr>
              <w:t>auditivo</w:t>
            </w:r>
            <w:r>
              <w:rPr>
                <w:spacing w:val="-8"/>
                <w:sz w:val="20"/>
              </w:rPr>
              <w:t> </w:t>
            </w:r>
            <w:r>
              <w:rPr>
                <w:sz w:val="20"/>
              </w:rPr>
              <w:t>externo</w:t>
            </w:r>
            <w:r>
              <w:rPr>
                <w:spacing w:val="-9"/>
                <w:sz w:val="20"/>
              </w:rPr>
              <w:t> </w:t>
            </w:r>
            <w:r>
              <w:rPr>
                <w:spacing w:val="-2"/>
                <w:sz w:val="20"/>
              </w:rPr>
              <w:t>bilateral.</w:t>
            </w:r>
          </w:p>
        </w:tc>
        <w:tc>
          <w:tcPr>
            <w:tcW w:w="1582" w:type="dxa"/>
          </w:tcPr>
          <w:p>
            <w:pPr>
              <w:pStyle w:val="TableParagraph"/>
              <w:ind w:left="14" w:right="6"/>
              <w:rPr>
                <w:sz w:val="20"/>
              </w:rPr>
            </w:pPr>
            <w:r>
              <w:rPr>
                <w:spacing w:val="-5"/>
                <w:sz w:val="20"/>
              </w:rPr>
              <w:t>40%</w:t>
            </w:r>
          </w:p>
        </w:tc>
      </w:tr>
      <w:tr>
        <w:trPr>
          <w:trHeight w:val="460" w:hRule="atLeast"/>
        </w:trPr>
        <w:tc>
          <w:tcPr>
            <w:tcW w:w="1066" w:type="dxa"/>
          </w:tcPr>
          <w:p>
            <w:pPr>
              <w:pStyle w:val="TableParagraph"/>
              <w:spacing w:line="240" w:lineRule="auto" w:before="114"/>
              <w:ind w:left="9"/>
              <w:rPr>
                <w:sz w:val="20"/>
              </w:rPr>
            </w:pPr>
            <w:r>
              <w:rPr>
                <w:spacing w:val="-5"/>
                <w:sz w:val="20"/>
              </w:rPr>
              <w:t>417</w:t>
            </w:r>
          </w:p>
        </w:tc>
        <w:tc>
          <w:tcPr>
            <w:tcW w:w="6902" w:type="dxa"/>
          </w:tcPr>
          <w:p>
            <w:pPr>
              <w:pStyle w:val="TableParagraph"/>
              <w:spacing w:line="230" w:lineRule="exact"/>
              <w:jc w:val="left"/>
              <w:rPr>
                <w:sz w:val="20"/>
              </w:rPr>
            </w:pPr>
            <w:r>
              <w:rPr>
                <w:sz w:val="20"/>
              </w:rPr>
              <w:t>Pérdida de la membrana timpánica unilateral (subtotal o total), con injerto </w:t>
            </w:r>
            <w:r>
              <w:rPr>
                <w:spacing w:val="-2"/>
                <w:sz w:val="20"/>
              </w:rPr>
              <w:t>funcional.</w:t>
            </w:r>
          </w:p>
        </w:tc>
        <w:tc>
          <w:tcPr>
            <w:tcW w:w="1582" w:type="dxa"/>
          </w:tcPr>
          <w:p>
            <w:pPr>
              <w:pStyle w:val="TableParagraph"/>
              <w:spacing w:line="240" w:lineRule="auto" w:before="114"/>
              <w:ind w:left="14" w:right="1"/>
              <w:rPr>
                <w:sz w:val="20"/>
              </w:rPr>
            </w:pPr>
            <w:r>
              <w:rPr>
                <w:spacing w:val="-5"/>
                <w:sz w:val="20"/>
              </w:rPr>
              <w:t>5%</w:t>
            </w:r>
          </w:p>
        </w:tc>
      </w:tr>
      <w:tr>
        <w:trPr>
          <w:trHeight w:val="460" w:hRule="atLeast"/>
        </w:trPr>
        <w:tc>
          <w:tcPr>
            <w:tcW w:w="1066" w:type="dxa"/>
          </w:tcPr>
          <w:p>
            <w:pPr>
              <w:pStyle w:val="TableParagraph"/>
              <w:spacing w:line="240" w:lineRule="auto" w:before="114"/>
              <w:ind w:left="9"/>
              <w:rPr>
                <w:sz w:val="20"/>
              </w:rPr>
            </w:pPr>
            <w:r>
              <w:rPr>
                <w:spacing w:val="-5"/>
                <w:sz w:val="20"/>
              </w:rPr>
              <w:t>418</w:t>
            </w:r>
          </w:p>
        </w:tc>
        <w:tc>
          <w:tcPr>
            <w:tcW w:w="6902" w:type="dxa"/>
          </w:tcPr>
          <w:p>
            <w:pPr>
              <w:pStyle w:val="TableParagraph"/>
              <w:spacing w:line="230" w:lineRule="exact"/>
              <w:jc w:val="left"/>
              <w:rPr>
                <w:sz w:val="20"/>
              </w:rPr>
            </w:pPr>
            <w:r>
              <w:rPr>
                <w:sz w:val="20"/>
              </w:rPr>
              <w:t>Pérdida</w:t>
            </w:r>
            <w:r>
              <w:rPr>
                <w:spacing w:val="32"/>
                <w:sz w:val="20"/>
              </w:rPr>
              <w:t> </w:t>
            </w:r>
            <w:r>
              <w:rPr>
                <w:sz w:val="20"/>
              </w:rPr>
              <w:t>de</w:t>
            </w:r>
            <w:r>
              <w:rPr>
                <w:spacing w:val="32"/>
                <w:sz w:val="20"/>
              </w:rPr>
              <w:t> </w:t>
            </w:r>
            <w:r>
              <w:rPr>
                <w:sz w:val="20"/>
              </w:rPr>
              <w:t>la</w:t>
            </w:r>
            <w:r>
              <w:rPr>
                <w:spacing w:val="32"/>
                <w:sz w:val="20"/>
              </w:rPr>
              <w:t> </w:t>
            </w:r>
            <w:r>
              <w:rPr>
                <w:sz w:val="20"/>
              </w:rPr>
              <w:t>membrana</w:t>
            </w:r>
            <w:r>
              <w:rPr>
                <w:spacing w:val="32"/>
                <w:sz w:val="20"/>
              </w:rPr>
              <w:t> </w:t>
            </w:r>
            <w:r>
              <w:rPr>
                <w:sz w:val="20"/>
              </w:rPr>
              <w:t>timpánica</w:t>
            </w:r>
            <w:r>
              <w:rPr>
                <w:spacing w:val="32"/>
                <w:sz w:val="20"/>
              </w:rPr>
              <w:t> </w:t>
            </w:r>
            <w:r>
              <w:rPr>
                <w:sz w:val="20"/>
              </w:rPr>
              <w:t>bilateral</w:t>
            </w:r>
            <w:r>
              <w:rPr>
                <w:spacing w:val="31"/>
                <w:sz w:val="20"/>
              </w:rPr>
              <w:t> </w:t>
            </w:r>
            <w:r>
              <w:rPr>
                <w:sz w:val="20"/>
              </w:rPr>
              <w:t>(subtotal</w:t>
            </w:r>
            <w:r>
              <w:rPr>
                <w:spacing w:val="33"/>
                <w:sz w:val="20"/>
              </w:rPr>
              <w:t> </w:t>
            </w:r>
            <w:r>
              <w:rPr>
                <w:sz w:val="20"/>
              </w:rPr>
              <w:t>o</w:t>
            </w:r>
            <w:r>
              <w:rPr>
                <w:spacing w:val="32"/>
                <w:sz w:val="20"/>
              </w:rPr>
              <w:t> </w:t>
            </w:r>
            <w:r>
              <w:rPr>
                <w:sz w:val="20"/>
              </w:rPr>
              <w:t>total),</w:t>
            </w:r>
            <w:r>
              <w:rPr>
                <w:spacing w:val="33"/>
                <w:sz w:val="20"/>
              </w:rPr>
              <w:t> </w:t>
            </w:r>
            <w:r>
              <w:rPr>
                <w:sz w:val="20"/>
              </w:rPr>
              <w:t>con</w:t>
            </w:r>
            <w:r>
              <w:rPr>
                <w:spacing w:val="34"/>
                <w:sz w:val="20"/>
              </w:rPr>
              <w:t> </w:t>
            </w:r>
            <w:r>
              <w:rPr>
                <w:sz w:val="20"/>
              </w:rPr>
              <w:t>injerto </w:t>
            </w:r>
            <w:r>
              <w:rPr>
                <w:spacing w:val="-2"/>
                <w:sz w:val="20"/>
              </w:rPr>
              <w:t>funcional.</w:t>
            </w:r>
          </w:p>
        </w:tc>
        <w:tc>
          <w:tcPr>
            <w:tcW w:w="1582" w:type="dxa"/>
          </w:tcPr>
          <w:p>
            <w:pPr>
              <w:pStyle w:val="TableParagraph"/>
              <w:spacing w:line="240" w:lineRule="auto" w:before="114"/>
              <w:ind w:left="14" w:right="6"/>
              <w:rPr>
                <w:sz w:val="20"/>
              </w:rPr>
            </w:pPr>
            <w:r>
              <w:rPr>
                <w:spacing w:val="-5"/>
                <w:sz w:val="20"/>
              </w:rPr>
              <w:t>10%</w:t>
            </w:r>
          </w:p>
        </w:tc>
      </w:tr>
      <w:tr>
        <w:trPr>
          <w:trHeight w:val="460" w:hRule="atLeast"/>
        </w:trPr>
        <w:tc>
          <w:tcPr>
            <w:tcW w:w="1066" w:type="dxa"/>
          </w:tcPr>
          <w:p>
            <w:pPr>
              <w:pStyle w:val="TableParagraph"/>
              <w:spacing w:line="240" w:lineRule="auto" w:before="114"/>
              <w:ind w:left="9"/>
              <w:rPr>
                <w:sz w:val="20"/>
              </w:rPr>
            </w:pPr>
            <w:r>
              <w:rPr>
                <w:spacing w:val="-5"/>
                <w:sz w:val="20"/>
              </w:rPr>
              <w:t>419</w:t>
            </w:r>
          </w:p>
        </w:tc>
        <w:tc>
          <w:tcPr>
            <w:tcW w:w="6902" w:type="dxa"/>
          </w:tcPr>
          <w:p>
            <w:pPr>
              <w:pStyle w:val="TableParagraph"/>
              <w:spacing w:line="230" w:lineRule="exact"/>
              <w:ind w:right="101"/>
              <w:jc w:val="left"/>
              <w:rPr>
                <w:sz w:val="20"/>
              </w:rPr>
            </w:pPr>
            <w:r>
              <w:rPr>
                <w:sz w:val="20"/>
              </w:rPr>
              <w:t>Pérdida de la membrana timpánica unilateral (subtotal o total), con injerto</w:t>
            </w:r>
            <w:r>
              <w:rPr>
                <w:spacing w:val="40"/>
                <w:sz w:val="20"/>
              </w:rPr>
              <w:t> </w:t>
            </w:r>
            <w:r>
              <w:rPr>
                <w:sz w:val="20"/>
              </w:rPr>
              <w:t>no funcional o sin posibilidad quirúrgica.</w:t>
            </w:r>
          </w:p>
        </w:tc>
        <w:tc>
          <w:tcPr>
            <w:tcW w:w="1582" w:type="dxa"/>
          </w:tcPr>
          <w:p>
            <w:pPr>
              <w:pStyle w:val="TableParagraph"/>
              <w:spacing w:line="240" w:lineRule="auto" w:before="114"/>
              <w:ind w:left="14" w:right="6"/>
              <w:rPr>
                <w:sz w:val="20"/>
              </w:rPr>
            </w:pPr>
            <w:r>
              <w:rPr>
                <w:spacing w:val="-5"/>
                <w:sz w:val="20"/>
              </w:rPr>
              <w:t>20%</w:t>
            </w:r>
          </w:p>
        </w:tc>
      </w:tr>
      <w:tr>
        <w:trPr>
          <w:trHeight w:val="460" w:hRule="atLeast"/>
        </w:trPr>
        <w:tc>
          <w:tcPr>
            <w:tcW w:w="1066" w:type="dxa"/>
          </w:tcPr>
          <w:p>
            <w:pPr>
              <w:pStyle w:val="TableParagraph"/>
              <w:spacing w:line="240" w:lineRule="auto" w:before="114"/>
              <w:ind w:left="9"/>
              <w:rPr>
                <w:sz w:val="20"/>
              </w:rPr>
            </w:pPr>
            <w:r>
              <w:rPr>
                <w:spacing w:val="-5"/>
                <w:sz w:val="20"/>
              </w:rPr>
              <w:t>420</w:t>
            </w:r>
          </w:p>
        </w:tc>
        <w:tc>
          <w:tcPr>
            <w:tcW w:w="6902" w:type="dxa"/>
          </w:tcPr>
          <w:p>
            <w:pPr>
              <w:pStyle w:val="TableParagraph"/>
              <w:spacing w:line="230" w:lineRule="exact"/>
              <w:jc w:val="left"/>
              <w:rPr>
                <w:sz w:val="20"/>
              </w:rPr>
            </w:pPr>
            <w:r>
              <w:rPr>
                <w:sz w:val="20"/>
              </w:rPr>
              <w:t>Pérdida de la membrana timpánica bilateral (subtotal o total), con injerto no funcional o sin posibilidad quirúrgica.</w:t>
            </w:r>
          </w:p>
        </w:tc>
        <w:tc>
          <w:tcPr>
            <w:tcW w:w="1582" w:type="dxa"/>
          </w:tcPr>
          <w:p>
            <w:pPr>
              <w:pStyle w:val="TableParagraph"/>
              <w:spacing w:line="240" w:lineRule="auto" w:before="114"/>
              <w:ind w:left="14" w:right="6"/>
              <w:rPr>
                <w:sz w:val="20"/>
              </w:rPr>
            </w:pPr>
            <w:r>
              <w:rPr>
                <w:spacing w:val="-5"/>
                <w:sz w:val="20"/>
              </w:rPr>
              <w:t>40%</w:t>
            </w:r>
          </w:p>
        </w:tc>
      </w:tr>
      <w:tr>
        <w:trPr>
          <w:trHeight w:val="690" w:hRule="atLeast"/>
        </w:trPr>
        <w:tc>
          <w:tcPr>
            <w:tcW w:w="1066" w:type="dxa"/>
          </w:tcPr>
          <w:p>
            <w:pPr>
              <w:pStyle w:val="TableParagraph"/>
              <w:spacing w:line="240" w:lineRule="auto" w:before="229"/>
              <w:ind w:left="9"/>
              <w:rPr>
                <w:sz w:val="20"/>
              </w:rPr>
            </w:pPr>
            <w:r>
              <w:rPr>
                <w:spacing w:val="-5"/>
                <w:sz w:val="20"/>
              </w:rPr>
              <w:t>421</w:t>
            </w:r>
          </w:p>
        </w:tc>
        <w:tc>
          <w:tcPr>
            <w:tcW w:w="6902" w:type="dxa"/>
          </w:tcPr>
          <w:p>
            <w:pPr>
              <w:pStyle w:val="TableParagraph"/>
              <w:spacing w:line="240" w:lineRule="auto"/>
              <w:jc w:val="left"/>
              <w:rPr>
                <w:sz w:val="20"/>
              </w:rPr>
            </w:pPr>
            <w:r>
              <w:rPr>
                <w:sz w:val="20"/>
              </w:rPr>
              <w:t>Alteraciones anatómicas</w:t>
            </w:r>
            <w:r>
              <w:rPr>
                <w:spacing w:val="-1"/>
                <w:sz w:val="20"/>
              </w:rPr>
              <w:t> </w:t>
            </w:r>
            <w:r>
              <w:rPr>
                <w:sz w:val="20"/>
              </w:rPr>
              <w:t>irreversibles</w:t>
            </w:r>
            <w:r>
              <w:rPr>
                <w:spacing w:val="-1"/>
                <w:sz w:val="20"/>
              </w:rPr>
              <w:t> </w:t>
            </w:r>
            <w:r>
              <w:rPr>
                <w:sz w:val="20"/>
              </w:rPr>
              <w:t>de las estructuras de</w:t>
            </w:r>
            <w:r>
              <w:rPr>
                <w:spacing w:val="-2"/>
                <w:sz w:val="20"/>
              </w:rPr>
              <w:t> </w:t>
            </w:r>
            <w:r>
              <w:rPr>
                <w:sz w:val="20"/>
              </w:rPr>
              <w:t>oído</w:t>
            </w:r>
            <w:r>
              <w:rPr>
                <w:spacing w:val="-2"/>
                <w:sz w:val="20"/>
              </w:rPr>
              <w:t> </w:t>
            </w:r>
            <w:r>
              <w:rPr>
                <w:sz w:val="20"/>
              </w:rPr>
              <w:t>medio y</w:t>
            </w:r>
            <w:r>
              <w:rPr>
                <w:spacing w:val="-2"/>
                <w:sz w:val="20"/>
              </w:rPr>
              <w:t> </w:t>
            </w:r>
            <w:r>
              <w:rPr>
                <w:sz w:val="20"/>
              </w:rPr>
              <w:t>de la cadena osicular; unilateral.</w:t>
            </w:r>
          </w:p>
          <w:p>
            <w:pPr>
              <w:pStyle w:val="TableParagraph"/>
              <w:jc w:val="left"/>
              <w:rPr>
                <w:sz w:val="20"/>
              </w:rPr>
            </w:pPr>
            <w:r>
              <w:rPr>
                <w:sz w:val="20"/>
              </w:rPr>
              <w:t>Incluye</w:t>
            </w:r>
            <w:r>
              <w:rPr>
                <w:spacing w:val="-6"/>
                <w:sz w:val="20"/>
              </w:rPr>
              <w:t> </w:t>
            </w:r>
            <w:r>
              <w:rPr>
                <w:sz w:val="20"/>
              </w:rPr>
              <w:t>la</w:t>
            </w:r>
            <w:r>
              <w:rPr>
                <w:spacing w:val="-5"/>
                <w:sz w:val="20"/>
              </w:rPr>
              <w:t> </w:t>
            </w:r>
            <w:r>
              <w:rPr>
                <w:sz w:val="20"/>
              </w:rPr>
              <w:t>perdida</w:t>
            </w:r>
            <w:r>
              <w:rPr>
                <w:spacing w:val="-6"/>
                <w:sz w:val="20"/>
              </w:rPr>
              <w:t> </w:t>
            </w:r>
            <w:r>
              <w:rPr>
                <w:sz w:val="20"/>
              </w:rPr>
              <w:t>de</w:t>
            </w:r>
            <w:r>
              <w:rPr>
                <w:spacing w:val="-6"/>
                <w:sz w:val="20"/>
              </w:rPr>
              <w:t> </w:t>
            </w:r>
            <w:r>
              <w:rPr>
                <w:sz w:val="20"/>
              </w:rPr>
              <w:t>la</w:t>
            </w:r>
            <w:r>
              <w:rPr>
                <w:spacing w:val="-7"/>
                <w:sz w:val="20"/>
              </w:rPr>
              <w:t> </w:t>
            </w:r>
            <w:r>
              <w:rPr>
                <w:sz w:val="20"/>
              </w:rPr>
              <w:t>membrana</w:t>
            </w:r>
            <w:r>
              <w:rPr>
                <w:spacing w:val="-8"/>
                <w:sz w:val="20"/>
              </w:rPr>
              <w:t> </w:t>
            </w:r>
            <w:r>
              <w:rPr>
                <w:spacing w:val="-2"/>
                <w:sz w:val="20"/>
              </w:rPr>
              <w:t>timpánica.</w:t>
            </w:r>
          </w:p>
        </w:tc>
        <w:tc>
          <w:tcPr>
            <w:tcW w:w="1582" w:type="dxa"/>
          </w:tcPr>
          <w:p>
            <w:pPr>
              <w:pStyle w:val="TableParagraph"/>
              <w:spacing w:line="240" w:lineRule="auto" w:before="229"/>
              <w:ind w:left="14" w:right="6"/>
              <w:rPr>
                <w:sz w:val="20"/>
              </w:rPr>
            </w:pPr>
            <w:r>
              <w:rPr>
                <w:spacing w:val="-5"/>
                <w:sz w:val="20"/>
              </w:rPr>
              <w:t>20%</w:t>
            </w:r>
          </w:p>
        </w:tc>
      </w:tr>
      <w:tr>
        <w:trPr>
          <w:trHeight w:val="458" w:hRule="atLeast"/>
        </w:trPr>
        <w:tc>
          <w:tcPr>
            <w:tcW w:w="1066" w:type="dxa"/>
          </w:tcPr>
          <w:p>
            <w:pPr>
              <w:pStyle w:val="TableParagraph"/>
              <w:spacing w:line="240" w:lineRule="auto" w:before="112"/>
              <w:ind w:left="9"/>
              <w:rPr>
                <w:sz w:val="20"/>
              </w:rPr>
            </w:pPr>
            <w:r>
              <w:rPr>
                <w:spacing w:val="-5"/>
                <w:sz w:val="20"/>
              </w:rPr>
              <w:t>422</w:t>
            </w:r>
          </w:p>
        </w:tc>
        <w:tc>
          <w:tcPr>
            <w:tcW w:w="6902" w:type="dxa"/>
          </w:tcPr>
          <w:p>
            <w:pPr>
              <w:pStyle w:val="TableParagraph"/>
              <w:spacing w:line="228" w:lineRule="exact"/>
              <w:jc w:val="left"/>
              <w:rPr>
                <w:sz w:val="20"/>
              </w:rPr>
            </w:pPr>
            <w:r>
              <w:rPr>
                <w:sz w:val="20"/>
              </w:rPr>
              <w:t>Alteraciones anatómicas</w:t>
            </w:r>
            <w:r>
              <w:rPr>
                <w:spacing w:val="-1"/>
                <w:sz w:val="20"/>
              </w:rPr>
              <w:t> </w:t>
            </w:r>
            <w:r>
              <w:rPr>
                <w:sz w:val="20"/>
              </w:rPr>
              <w:t>irreversibles</w:t>
            </w:r>
            <w:r>
              <w:rPr>
                <w:spacing w:val="-1"/>
                <w:sz w:val="20"/>
              </w:rPr>
              <w:t> </w:t>
            </w:r>
            <w:r>
              <w:rPr>
                <w:sz w:val="20"/>
              </w:rPr>
              <w:t>de las estructuras de</w:t>
            </w:r>
            <w:r>
              <w:rPr>
                <w:spacing w:val="-2"/>
                <w:sz w:val="20"/>
              </w:rPr>
              <w:t> </w:t>
            </w:r>
            <w:r>
              <w:rPr>
                <w:sz w:val="20"/>
              </w:rPr>
              <w:t>oído</w:t>
            </w:r>
            <w:r>
              <w:rPr>
                <w:spacing w:val="-2"/>
                <w:sz w:val="20"/>
              </w:rPr>
              <w:t> </w:t>
            </w:r>
            <w:r>
              <w:rPr>
                <w:sz w:val="20"/>
              </w:rPr>
              <w:t>medio y</w:t>
            </w:r>
            <w:r>
              <w:rPr>
                <w:spacing w:val="-2"/>
                <w:sz w:val="20"/>
              </w:rPr>
              <w:t> </w:t>
            </w:r>
            <w:r>
              <w:rPr>
                <w:sz w:val="20"/>
              </w:rPr>
              <w:t>de la cadena osicular; bilateral. Incluye la perdida de la membrana timpánica.</w:t>
            </w:r>
          </w:p>
        </w:tc>
        <w:tc>
          <w:tcPr>
            <w:tcW w:w="1582" w:type="dxa"/>
          </w:tcPr>
          <w:p>
            <w:pPr>
              <w:pStyle w:val="TableParagraph"/>
              <w:spacing w:line="240" w:lineRule="auto" w:before="112"/>
              <w:ind w:left="14" w:right="6"/>
              <w:rPr>
                <w:sz w:val="20"/>
              </w:rPr>
            </w:pPr>
            <w:r>
              <w:rPr>
                <w:spacing w:val="-5"/>
                <w:sz w:val="20"/>
              </w:rPr>
              <w:t>40%</w:t>
            </w:r>
          </w:p>
        </w:tc>
      </w:tr>
      <w:tr>
        <w:trPr>
          <w:trHeight w:val="460" w:hRule="atLeast"/>
        </w:trPr>
        <w:tc>
          <w:tcPr>
            <w:tcW w:w="1066" w:type="dxa"/>
          </w:tcPr>
          <w:p>
            <w:pPr>
              <w:pStyle w:val="TableParagraph"/>
              <w:spacing w:line="240" w:lineRule="auto" w:before="114"/>
              <w:ind w:left="9"/>
              <w:rPr>
                <w:sz w:val="20"/>
              </w:rPr>
            </w:pPr>
            <w:r>
              <w:rPr>
                <w:spacing w:val="-5"/>
                <w:sz w:val="20"/>
              </w:rPr>
              <w:t>423</w:t>
            </w:r>
          </w:p>
        </w:tc>
        <w:tc>
          <w:tcPr>
            <w:tcW w:w="6902" w:type="dxa"/>
          </w:tcPr>
          <w:p>
            <w:pPr>
              <w:pStyle w:val="TableParagraph"/>
              <w:spacing w:line="230" w:lineRule="exact"/>
              <w:jc w:val="left"/>
              <w:rPr>
                <w:sz w:val="20"/>
              </w:rPr>
            </w:pPr>
            <w:r>
              <w:rPr>
                <w:sz w:val="20"/>
              </w:rPr>
              <w:t>Disfunción</w:t>
            </w:r>
            <w:r>
              <w:rPr>
                <w:spacing w:val="80"/>
                <w:sz w:val="20"/>
              </w:rPr>
              <w:t> </w:t>
            </w:r>
            <w:r>
              <w:rPr>
                <w:sz w:val="20"/>
              </w:rPr>
              <w:t>de</w:t>
            </w:r>
            <w:r>
              <w:rPr>
                <w:spacing w:val="80"/>
                <w:sz w:val="20"/>
              </w:rPr>
              <w:t> </w:t>
            </w:r>
            <w:r>
              <w:rPr>
                <w:sz w:val="20"/>
              </w:rPr>
              <w:t>la</w:t>
            </w:r>
            <w:r>
              <w:rPr>
                <w:spacing w:val="80"/>
                <w:sz w:val="20"/>
              </w:rPr>
              <w:t> </w:t>
            </w:r>
            <w:r>
              <w:rPr>
                <w:sz w:val="20"/>
              </w:rPr>
              <w:t>tuba</w:t>
            </w:r>
            <w:r>
              <w:rPr>
                <w:spacing w:val="80"/>
                <w:sz w:val="20"/>
              </w:rPr>
              <w:t> </w:t>
            </w:r>
            <w:r>
              <w:rPr>
                <w:sz w:val="20"/>
              </w:rPr>
              <w:t>auditiva</w:t>
            </w:r>
            <w:r>
              <w:rPr>
                <w:spacing w:val="80"/>
                <w:sz w:val="20"/>
              </w:rPr>
              <w:t> </w:t>
            </w:r>
            <w:r>
              <w:rPr>
                <w:sz w:val="20"/>
              </w:rPr>
              <w:t>unilateral,</w:t>
            </w:r>
            <w:r>
              <w:rPr>
                <w:spacing w:val="80"/>
                <w:sz w:val="20"/>
              </w:rPr>
              <w:t> </w:t>
            </w:r>
            <w:r>
              <w:rPr>
                <w:sz w:val="20"/>
              </w:rPr>
              <w:t>irreversible</w:t>
            </w:r>
            <w:r>
              <w:rPr>
                <w:spacing w:val="80"/>
                <w:sz w:val="20"/>
              </w:rPr>
              <w:t> </w:t>
            </w:r>
            <w:r>
              <w:rPr>
                <w:sz w:val="20"/>
              </w:rPr>
              <w:t>y</w:t>
            </w:r>
            <w:r>
              <w:rPr>
                <w:spacing w:val="80"/>
                <w:sz w:val="20"/>
              </w:rPr>
              <w:t> </w:t>
            </w:r>
            <w:r>
              <w:rPr>
                <w:sz w:val="20"/>
              </w:rPr>
              <w:t>resistente</w:t>
            </w:r>
            <w:r>
              <w:rPr>
                <w:spacing w:val="80"/>
                <w:sz w:val="20"/>
              </w:rPr>
              <w:t> </w:t>
            </w:r>
            <w:r>
              <w:rPr>
                <w:sz w:val="20"/>
              </w:rPr>
              <w:t>a </w:t>
            </w:r>
            <w:r>
              <w:rPr>
                <w:spacing w:val="-2"/>
                <w:sz w:val="20"/>
              </w:rPr>
              <w:t>tratamiento.</w:t>
            </w:r>
          </w:p>
        </w:tc>
        <w:tc>
          <w:tcPr>
            <w:tcW w:w="1582" w:type="dxa"/>
          </w:tcPr>
          <w:p>
            <w:pPr>
              <w:pStyle w:val="TableParagraph"/>
              <w:spacing w:line="240" w:lineRule="auto" w:before="114"/>
              <w:ind w:left="14" w:right="6"/>
              <w:rPr>
                <w:sz w:val="20"/>
              </w:rPr>
            </w:pPr>
            <w:r>
              <w:rPr>
                <w:spacing w:val="-5"/>
                <w:sz w:val="20"/>
              </w:rPr>
              <w:t>20%</w:t>
            </w:r>
          </w:p>
        </w:tc>
      </w:tr>
      <w:tr>
        <w:trPr>
          <w:trHeight w:val="460" w:hRule="atLeast"/>
        </w:trPr>
        <w:tc>
          <w:tcPr>
            <w:tcW w:w="1066" w:type="dxa"/>
          </w:tcPr>
          <w:p>
            <w:pPr>
              <w:pStyle w:val="TableParagraph"/>
              <w:spacing w:line="240" w:lineRule="auto" w:before="114"/>
              <w:ind w:left="9"/>
              <w:rPr>
                <w:sz w:val="20"/>
              </w:rPr>
            </w:pPr>
            <w:r>
              <w:rPr>
                <w:spacing w:val="-5"/>
                <w:sz w:val="20"/>
              </w:rPr>
              <w:t>424</w:t>
            </w:r>
          </w:p>
        </w:tc>
        <w:tc>
          <w:tcPr>
            <w:tcW w:w="6902" w:type="dxa"/>
          </w:tcPr>
          <w:p>
            <w:pPr>
              <w:pStyle w:val="TableParagraph"/>
              <w:spacing w:line="230" w:lineRule="exact"/>
              <w:jc w:val="left"/>
              <w:rPr>
                <w:sz w:val="20"/>
              </w:rPr>
            </w:pPr>
            <w:r>
              <w:rPr>
                <w:sz w:val="20"/>
              </w:rPr>
              <w:t>Disfunción</w:t>
            </w:r>
            <w:r>
              <w:rPr>
                <w:spacing w:val="80"/>
                <w:sz w:val="20"/>
              </w:rPr>
              <w:t> </w:t>
            </w:r>
            <w:r>
              <w:rPr>
                <w:sz w:val="20"/>
              </w:rPr>
              <w:t>de</w:t>
            </w:r>
            <w:r>
              <w:rPr>
                <w:spacing w:val="80"/>
                <w:sz w:val="20"/>
              </w:rPr>
              <w:t> </w:t>
            </w:r>
            <w:r>
              <w:rPr>
                <w:sz w:val="20"/>
              </w:rPr>
              <w:t>la</w:t>
            </w:r>
            <w:r>
              <w:rPr>
                <w:spacing w:val="80"/>
                <w:sz w:val="20"/>
              </w:rPr>
              <w:t> </w:t>
            </w:r>
            <w:r>
              <w:rPr>
                <w:sz w:val="20"/>
              </w:rPr>
              <w:t>tuba</w:t>
            </w:r>
            <w:r>
              <w:rPr>
                <w:spacing w:val="80"/>
                <w:sz w:val="20"/>
              </w:rPr>
              <w:t> </w:t>
            </w:r>
            <w:r>
              <w:rPr>
                <w:sz w:val="20"/>
              </w:rPr>
              <w:t>auditiva</w:t>
            </w:r>
            <w:r>
              <w:rPr>
                <w:spacing w:val="80"/>
                <w:sz w:val="20"/>
              </w:rPr>
              <w:t> </w:t>
            </w:r>
            <w:r>
              <w:rPr>
                <w:sz w:val="20"/>
              </w:rPr>
              <w:t>bilateral,</w:t>
            </w:r>
            <w:r>
              <w:rPr>
                <w:spacing w:val="80"/>
                <w:w w:val="150"/>
                <w:sz w:val="20"/>
              </w:rPr>
              <w:t> </w:t>
            </w:r>
            <w:r>
              <w:rPr>
                <w:sz w:val="20"/>
              </w:rPr>
              <w:t>irreversible</w:t>
            </w:r>
            <w:r>
              <w:rPr>
                <w:spacing w:val="80"/>
                <w:w w:val="150"/>
                <w:sz w:val="20"/>
              </w:rPr>
              <w:t> </w:t>
            </w:r>
            <w:r>
              <w:rPr>
                <w:sz w:val="20"/>
              </w:rPr>
              <w:t>y</w:t>
            </w:r>
            <w:r>
              <w:rPr>
                <w:spacing w:val="80"/>
                <w:sz w:val="20"/>
              </w:rPr>
              <w:t> </w:t>
            </w:r>
            <w:r>
              <w:rPr>
                <w:sz w:val="20"/>
              </w:rPr>
              <w:t>resistente</w:t>
            </w:r>
            <w:r>
              <w:rPr>
                <w:spacing w:val="80"/>
                <w:sz w:val="20"/>
              </w:rPr>
              <w:t> </w:t>
            </w:r>
            <w:r>
              <w:rPr>
                <w:sz w:val="20"/>
              </w:rPr>
              <w:t>a</w:t>
            </w:r>
            <w:r>
              <w:rPr>
                <w:spacing w:val="40"/>
                <w:sz w:val="20"/>
              </w:rPr>
              <w:t> </w:t>
            </w:r>
            <w:r>
              <w:rPr>
                <w:spacing w:val="-2"/>
                <w:sz w:val="20"/>
              </w:rPr>
              <w:t>tratamiento.</w:t>
            </w:r>
          </w:p>
        </w:tc>
        <w:tc>
          <w:tcPr>
            <w:tcW w:w="1582" w:type="dxa"/>
          </w:tcPr>
          <w:p>
            <w:pPr>
              <w:pStyle w:val="TableParagraph"/>
              <w:spacing w:line="240" w:lineRule="auto" w:before="114"/>
              <w:ind w:left="14" w:right="6"/>
              <w:rPr>
                <w:sz w:val="20"/>
              </w:rPr>
            </w:pPr>
            <w:r>
              <w:rPr>
                <w:spacing w:val="-5"/>
                <w:sz w:val="20"/>
              </w:rPr>
              <w:t>40%</w:t>
            </w:r>
          </w:p>
        </w:tc>
      </w:tr>
      <w:tr>
        <w:trPr>
          <w:trHeight w:val="1151" w:hRule="atLeast"/>
        </w:trPr>
        <w:tc>
          <w:tcPr>
            <w:tcW w:w="1066" w:type="dxa"/>
          </w:tcPr>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9"/>
              <w:rPr>
                <w:sz w:val="20"/>
              </w:rPr>
            </w:pPr>
            <w:r>
              <w:rPr>
                <w:spacing w:val="-5"/>
                <w:sz w:val="20"/>
              </w:rPr>
              <w:t>425</w:t>
            </w:r>
          </w:p>
        </w:tc>
        <w:tc>
          <w:tcPr>
            <w:tcW w:w="6902" w:type="dxa"/>
          </w:tcPr>
          <w:p>
            <w:pPr>
              <w:pStyle w:val="TableParagraph"/>
              <w:spacing w:line="230" w:lineRule="exact"/>
              <w:ind w:right="60"/>
              <w:jc w:val="both"/>
              <w:rPr>
                <w:sz w:val="20"/>
              </w:rPr>
            </w:pPr>
            <w:r>
              <w:rPr>
                <w:sz w:val="20"/>
              </w:rPr>
              <w:t>Disfunción de la tuba auditiva uni o bilateral, irreversible y resistente a tratamiento que interfiere de manera continua con las actividades laborales aun cuando no afecten las actividades de la vida diaria. Cuyo óptimo funcionamiento de la tuba auditiva, sea indispensable para su desempeño </w:t>
            </w:r>
            <w:r>
              <w:rPr>
                <w:spacing w:val="-2"/>
                <w:sz w:val="20"/>
              </w:rPr>
              <w:t>laboral.</w:t>
            </w:r>
          </w:p>
        </w:tc>
        <w:tc>
          <w:tcPr>
            <w:tcW w:w="1582" w:type="dxa"/>
          </w:tcPr>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14" w:right="6"/>
              <w:rPr>
                <w:sz w:val="20"/>
              </w:rPr>
            </w:pPr>
            <w:r>
              <w:rPr>
                <w:spacing w:val="-5"/>
                <w:sz w:val="20"/>
              </w:rPr>
              <w:t>50%</w:t>
            </w:r>
          </w:p>
        </w:tc>
      </w:tr>
      <w:tr>
        <w:trPr>
          <w:trHeight w:val="229" w:hRule="atLeast"/>
        </w:trPr>
        <w:tc>
          <w:tcPr>
            <w:tcW w:w="1066" w:type="dxa"/>
          </w:tcPr>
          <w:p>
            <w:pPr>
              <w:pStyle w:val="TableParagraph"/>
              <w:ind w:left="9"/>
              <w:rPr>
                <w:sz w:val="20"/>
              </w:rPr>
            </w:pPr>
            <w:r>
              <w:rPr>
                <w:spacing w:val="-5"/>
                <w:sz w:val="20"/>
              </w:rPr>
              <w:t>426</w:t>
            </w:r>
          </w:p>
        </w:tc>
        <w:tc>
          <w:tcPr>
            <w:tcW w:w="6902" w:type="dxa"/>
          </w:tcPr>
          <w:p>
            <w:pPr>
              <w:pStyle w:val="TableParagraph"/>
              <w:jc w:val="left"/>
              <w:rPr>
                <w:sz w:val="20"/>
              </w:rPr>
            </w:pPr>
            <w:r>
              <w:rPr>
                <w:sz w:val="20"/>
              </w:rPr>
              <w:t>Acúfeno</w:t>
            </w:r>
            <w:r>
              <w:rPr>
                <w:spacing w:val="-13"/>
                <w:sz w:val="20"/>
              </w:rPr>
              <w:t> </w:t>
            </w:r>
            <w:r>
              <w:rPr>
                <w:sz w:val="20"/>
              </w:rPr>
              <w:t>unilateral</w:t>
            </w:r>
            <w:r>
              <w:rPr>
                <w:spacing w:val="-13"/>
                <w:sz w:val="20"/>
              </w:rPr>
              <w:t> </w:t>
            </w:r>
            <w:r>
              <w:rPr>
                <w:sz w:val="20"/>
              </w:rPr>
              <w:t>debidamente</w:t>
            </w:r>
            <w:r>
              <w:rPr>
                <w:spacing w:val="-14"/>
                <w:sz w:val="20"/>
              </w:rPr>
              <w:t> </w:t>
            </w:r>
            <w:r>
              <w:rPr>
                <w:spacing w:val="-2"/>
                <w:sz w:val="20"/>
              </w:rPr>
              <w:t>comprobado.</w:t>
            </w:r>
          </w:p>
        </w:tc>
        <w:tc>
          <w:tcPr>
            <w:tcW w:w="1582" w:type="dxa"/>
          </w:tcPr>
          <w:p>
            <w:pPr>
              <w:pStyle w:val="TableParagraph"/>
              <w:ind w:left="14" w:right="1"/>
              <w:rPr>
                <w:sz w:val="20"/>
              </w:rPr>
            </w:pPr>
            <w:r>
              <w:rPr>
                <w:spacing w:val="-5"/>
                <w:sz w:val="20"/>
              </w:rPr>
              <w:t>5%</w:t>
            </w:r>
          </w:p>
        </w:tc>
      </w:tr>
      <w:tr>
        <w:trPr>
          <w:trHeight w:val="229" w:hRule="atLeast"/>
        </w:trPr>
        <w:tc>
          <w:tcPr>
            <w:tcW w:w="1066" w:type="dxa"/>
          </w:tcPr>
          <w:p>
            <w:pPr>
              <w:pStyle w:val="TableParagraph"/>
              <w:ind w:left="9"/>
              <w:rPr>
                <w:sz w:val="20"/>
              </w:rPr>
            </w:pPr>
            <w:r>
              <w:rPr>
                <w:spacing w:val="-5"/>
                <w:sz w:val="20"/>
              </w:rPr>
              <w:t>427</w:t>
            </w:r>
          </w:p>
        </w:tc>
        <w:tc>
          <w:tcPr>
            <w:tcW w:w="6902" w:type="dxa"/>
          </w:tcPr>
          <w:p>
            <w:pPr>
              <w:pStyle w:val="TableParagraph"/>
              <w:jc w:val="left"/>
              <w:rPr>
                <w:sz w:val="20"/>
              </w:rPr>
            </w:pPr>
            <w:r>
              <w:rPr>
                <w:spacing w:val="-2"/>
                <w:sz w:val="20"/>
              </w:rPr>
              <w:t>Hiperacusia</w:t>
            </w:r>
            <w:r>
              <w:rPr>
                <w:spacing w:val="8"/>
                <w:sz w:val="20"/>
              </w:rPr>
              <w:t> </w:t>
            </w:r>
            <w:r>
              <w:rPr>
                <w:spacing w:val="-2"/>
                <w:sz w:val="20"/>
              </w:rPr>
              <w:t>debidamente</w:t>
            </w:r>
            <w:r>
              <w:rPr>
                <w:spacing w:val="4"/>
                <w:sz w:val="20"/>
              </w:rPr>
              <w:t> </w:t>
            </w:r>
            <w:r>
              <w:rPr>
                <w:spacing w:val="-2"/>
                <w:sz w:val="20"/>
              </w:rPr>
              <w:t>comprobada.</w:t>
            </w:r>
          </w:p>
        </w:tc>
        <w:tc>
          <w:tcPr>
            <w:tcW w:w="1582" w:type="dxa"/>
          </w:tcPr>
          <w:p>
            <w:pPr>
              <w:pStyle w:val="TableParagraph"/>
              <w:ind w:left="14" w:right="1"/>
              <w:rPr>
                <w:sz w:val="20"/>
              </w:rPr>
            </w:pPr>
            <w:r>
              <w:rPr>
                <w:spacing w:val="-5"/>
                <w:sz w:val="20"/>
              </w:rPr>
              <w:t>5%</w:t>
            </w:r>
          </w:p>
        </w:tc>
      </w:tr>
      <w:tr>
        <w:trPr>
          <w:trHeight w:val="690" w:hRule="atLeast"/>
        </w:trPr>
        <w:tc>
          <w:tcPr>
            <w:tcW w:w="1066" w:type="dxa"/>
          </w:tcPr>
          <w:p>
            <w:pPr>
              <w:pStyle w:val="TableParagraph"/>
              <w:spacing w:line="240" w:lineRule="auto" w:before="229"/>
              <w:ind w:left="9"/>
              <w:rPr>
                <w:sz w:val="20"/>
              </w:rPr>
            </w:pPr>
            <w:r>
              <w:rPr>
                <w:spacing w:val="-5"/>
                <w:sz w:val="20"/>
              </w:rPr>
              <w:t>428</w:t>
            </w:r>
          </w:p>
        </w:tc>
        <w:tc>
          <w:tcPr>
            <w:tcW w:w="6902" w:type="dxa"/>
          </w:tcPr>
          <w:p>
            <w:pPr>
              <w:pStyle w:val="TableParagraph"/>
              <w:spacing w:line="229" w:lineRule="exact"/>
              <w:jc w:val="left"/>
              <w:rPr>
                <w:sz w:val="20"/>
              </w:rPr>
            </w:pPr>
            <w:r>
              <w:rPr>
                <w:sz w:val="20"/>
              </w:rPr>
              <w:t>Disfunción</w:t>
            </w:r>
            <w:r>
              <w:rPr>
                <w:spacing w:val="-12"/>
                <w:sz w:val="20"/>
              </w:rPr>
              <w:t> </w:t>
            </w:r>
            <w:r>
              <w:rPr>
                <w:sz w:val="20"/>
              </w:rPr>
              <w:t>vestibular</w:t>
            </w:r>
            <w:r>
              <w:rPr>
                <w:spacing w:val="-11"/>
                <w:sz w:val="20"/>
              </w:rPr>
              <w:t> </w:t>
            </w:r>
            <w:r>
              <w:rPr>
                <w:sz w:val="20"/>
              </w:rPr>
              <w:t>debidamente</w:t>
            </w:r>
            <w:r>
              <w:rPr>
                <w:spacing w:val="-13"/>
                <w:sz w:val="20"/>
              </w:rPr>
              <w:t> </w:t>
            </w:r>
            <w:r>
              <w:rPr>
                <w:spacing w:val="-2"/>
                <w:sz w:val="20"/>
              </w:rPr>
              <w:t>comprobada.</w:t>
            </w:r>
          </w:p>
          <w:p>
            <w:pPr>
              <w:pStyle w:val="TableParagraph"/>
              <w:spacing w:line="213" w:lineRule="exact" w:before="228"/>
              <w:jc w:val="left"/>
              <w:rPr>
                <w:sz w:val="20"/>
              </w:rPr>
            </w:pPr>
            <w:r>
              <w:rPr>
                <w:sz w:val="20"/>
              </w:rPr>
              <w:t>Se</w:t>
            </w:r>
            <w:r>
              <w:rPr>
                <w:spacing w:val="-6"/>
                <w:sz w:val="20"/>
              </w:rPr>
              <w:t> </w:t>
            </w:r>
            <w:r>
              <w:rPr>
                <w:sz w:val="20"/>
              </w:rPr>
              <w:t>valuará</w:t>
            </w:r>
            <w:r>
              <w:rPr>
                <w:spacing w:val="-5"/>
                <w:sz w:val="20"/>
              </w:rPr>
              <w:t> </w:t>
            </w:r>
            <w:r>
              <w:rPr>
                <w:sz w:val="20"/>
              </w:rPr>
              <w:t>siguiendo</w:t>
            </w:r>
            <w:r>
              <w:rPr>
                <w:spacing w:val="-5"/>
                <w:sz w:val="20"/>
              </w:rPr>
              <w:t> </w:t>
            </w:r>
            <w:r>
              <w:rPr>
                <w:sz w:val="20"/>
              </w:rPr>
              <w:t>las</w:t>
            </w:r>
            <w:r>
              <w:rPr>
                <w:spacing w:val="-4"/>
                <w:sz w:val="20"/>
              </w:rPr>
              <w:t> </w:t>
            </w:r>
            <w:r>
              <w:rPr>
                <w:sz w:val="20"/>
              </w:rPr>
              <w:t>normas</w:t>
            </w:r>
            <w:r>
              <w:rPr>
                <w:spacing w:val="-6"/>
                <w:sz w:val="20"/>
              </w:rPr>
              <w:t> </w:t>
            </w:r>
            <w:r>
              <w:rPr>
                <w:sz w:val="20"/>
              </w:rPr>
              <w:t>de</w:t>
            </w:r>
            <w:r>
              <w:rPr>
                <w:spacing w:val="-8"/>
                <w:sz w:val="20"/>
              </w:rPr>
              <w:t> </w:t>
            </w:r>
            <w:r>
              <w:rPr>
                <w:sz w:val="20"/>
              </w:rPr>
              <w:t>la</w:t>
            </w:r>
            <w:r>
              <w:rPr>
                <w:spacing w:val="-7"/>
                <w:sz w:val="20"/>
              </w:rPr>
              <w:t> </w:t>
            </w:r>
            <w:r>
              <w:rPr>
                <w:sz w:val="20"/>
              </w:rPr>
              <w:t>Tabla</w:t>
            </w:r>
            <w:r>
              <w:rPr>
                <w:spacing w:val="-7"/>
                <w:sz w:val="20"/>
              </w:rPr>
              <w:t> </w:t>
            </w:r>
            <w:r>
              <w:rPr>
                <w:spacing w:val="-4"/>
                <w:sz w:val="20"/>
              </w:rPr>
              <w:t>III.</w:t>
            </w:r>
          </w:p>
        </w:tc>
        <w:tc>
          <w:tcPr>
            <w:tcW w:w="1582" w:type="dxa"/>
          </w:tcPr>
          <w:p>
            <w:pPr>
              <w:pStyle w:val="TableParagraph"/>
              <w:spacing w:line="240" w:lineRule="auto" w:before="229"/>
              <w:ind w:left="14"/>
              <w:rPr>
                <w:sz w:val="20"/>
              </w:rPr>
            </w:pPr>
            <w:r>
              <w:rPr>
                <w:spacing w:val="-2"/>
                <w:sz w:val="20"/>
              </w:rPr>
              <w:t>-</w:t>
            </w:r>
            <w:r>
              <w:rPr>
                <w:spacing w:val="-12"/>
                <w:sz w:val="20"/>
              </w:rPr>
              <w:t>-</w:t>
            </w:r>
          </w:p>
        </w:tc>
      </w:tr>
    </w:tbl>
    <w:p>
      <w:pPr>
        <w:pStyle w:val="BodyText"/>
        <w:spacing w:before="8"/>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58"/>
        <w:gridCol w:w="2591"/>
        <w:gridCol w:w="1758"/>
        <w:gridCol w:w="1425"/>
        <w:gridCol w:w="1321"/>
      </w:tblGrid>
      <w:tr>
        <w:trPr>
          <w:trHeight w:val="688" w:hRule="atLeast"/>
        </w:trPr>
        <w:tc>
          <w:tcPr>
            <w:tcW w:w="9553" w:type="dxa"/>
            <w:gridSpan w:val="5"/>
            <w:shd w:val="clear" w:color="auto" w:fill="C0C0C0"/>
          </w:tcPr>
          <w:p>
            <w:pPr>
              <w:pStyle w:val="TableParagraph"/>
              <w:spacing w:line="227" w:lineRule="exact"/>
              <w:ind w:left="11"/>
              <w:rPr>
                <w:rFonts w:ascii="Arial"/>
                <w:b/>
                <w:sz w:val="20"/>
              </w:rPr>
            </w:pPr>
            <w:r>
              <w:rPr>
                <w:rFonts w:ascii="Arial"/>
                <w:b/>
                <w:sz w:val="20"/>
              </w:rPr>
              <w:t>Tabla</w:t>
            </w:r>
            <w:r>
              <w:rPr>
                <w:rFonts w:ascii="Arial"/>
                <w:b/>
                <w:spacing w:val="-8"/>
                <w:sz w:val="20"/>
              </w:rPr>
              <w:t> </w:t>
            </w:r>
            <w:r>
              <w:rPr>
                <w:rFonts w:ascii="Arial"/>
                <w:b/>
                <w:sz w:val="20"/>
              </w:rPr>
              <w:t>III-</w:t>
            </w:r>
            <w:r>
              <w:rPr>
                <w:rFonts w:ascii="Arial"/>
                <w:b/>
                <w:spacing w:val="-10"/>
                <w:sz w:val="20"/>
              </w:rPr>
              <w:t>A</w:t>
            </w:r>
          </w:p>
          <w:p>
            <w:pPr>
              <w:pStyle w:val="TableParagraph"/>
              <w:spacing w:line="213" w:lineRule="exact" w:before="228"/>
              <w:ind w:left="11" w:right="7"/>
              <w:rPr>
                <w:rFonts w:ascii="Arial" w:hAnsi="Arial"/>
                <w:b/>
                <w:sz w:val="20"/>
              </w:rPr>
            </w:pPr>
            <w:r>
              <w:rPr>
                <w:rFonts w:ascii="Arial" w:hAnsi="Arial"/>
                <w:b/>
                <w:sz w:val="20"/>
              </w:rPr>
              <w:t>Disfunción</w:t>
            </w:r>
            <w:r>
              <w:rPr>
                <w:rFonts w:ascii="Arial" w:hAnsi="Arial"/>
                <w:b/>
                <w:spacing w:val="-10"/>
                <w:sz w:val="20"/>
              </w:rPr>
              <w:t> </w:t>
            </w:r>
            <w:r>
              <w:rPr>
                <w:rFonts w:ascii="Arial" w:hAnsi="Arial"/>
                <w:b/>
                <w:spacing w:val="-2"/>
                <w:sz w:val="20"/>
              </w:rPr>
              <w:t>vestibular</w:t>
            </w:r>
          </w:p>
        </w:tc>
      </w:tr>
      <w:tr>
        <w:trPr>
          <w:trHeight w:val="1381" w:hRule="atLeast"/>
        </w:trPr>
        <w:tc>
          <w:tcPr>
            <w:tcW w:w="2458" w:type="dxa"/>
            <w:shd w:val="clear" w:color="auto" w:fill="C0C0C0"/>
          </w:tcPr>
          <w:p>
            <w:pPr>
              <w:pStyle w:val="TableParagraph"/>
              <w:spacing w:line="240" w:lineRule="auto"/>
              <w:ind w:left="81" w:right="67"/>
              <w:rPr>
                <w:rFonts w:ascii="Arial" w:hAnsi="Arial"/>
                <w:b/>
                <w:sz w:val="20"/>
              </w:rPr>
            </w:pPr>
            <w:r>
              <w:rPr>
                <w:rFonts w:ascii="Arial" w:hAnsi="Arial"/>
                <w:b/>
                <w:sz w:val="20"/>
              </w:rPr>
              <w:t>Evaluación</w:t>
            </w:r>
            <w:r>
              <w:rPr>
                <w:rFonts w:ascii="Arial" w:hAnsi="Arial"/>
                <w:b/>
                <w:spacing w:val="-14"/>
                <w:sz w:val="20"/>
              </w:rPr>
              <w:t> </w:t>
            </w:r>
            <w:r>
              <w:rPr>
                <w:rFonts w:ascii="Arial" w:hAnsi="Arial"/>
                <w:b/>
                <w:sz w:val="20"/>
              </w:rPr>
              <w:t>completa</w:t>
            </w:r>
            <w:r>
              <w:rPr>
                <w:rFonts w:ascii="Arial" w:hAnsi="Arial"/>
                <w:b/>
                <w:spacing w:val="-14"/>
                <w:sz w:val="20"/>
              </w:rPr>
              <w:t> </w:t>
            </w:r>
            <w:r>
              <w:rPr>
                <w:rFonts w:ascii="Arial" w:hAnsi="Arial"/>
                <w:b/>
                <w:sz w:val="20"/>
              </w:rPr>
              <w:t>y pruebas pertinentes para establecer el </w:t>
            </w:r>
            <w:r>
              <w:rPr>
                <w:rFonts w:ascii="Arial" w:hAnsi="Arial"/>
                <w:b/>
                <w:spacing w:val="-2"/>
                <w:sz w:val="20"/>
              </w:rPr>
              <w:t>diagnóstico</w:t>
            </w:r>
          </w:p>
          <w:p>
            <w:pPr>
              <w:pStyle w:val="TableParagraph"/>
              <w:spacing w:line="215" w:lineRule="exact" w:before="226"/>
              <w:ind w:left="81" w:right="71"/>
              <w:rPr>
                <w:rFonts w:ascii="Arial"/>
                <w:b/>
                <w:sz w:val="20"/>
              </w:rPr>
            </w:pPr>
            <w:r>
              <w:rPr>
                <w:rFonts w:ascii="Arial"/>
                <w:b/>
                <w:sz w:val="20"/>
              </w:rPr>
              <w:t>(contar</w:t>
            </w:r>
            <w:r>
              <w:rPr>
                <w:rFonts w:ascii="Arial"/>
                <w:b/>
                <w:spacing w:val="-9"/>
                <w:sz w:val="20"/>
              </w:rPr>
              <w:t> </w:t>
            </w:r>
            <w:r>
              <w:rPr>
                <w:rFonts w:ascii="Arial"/>
                <w:b/>
                <w:sz w:val="20"/>
              </w:rPr>
              <w:t>con</w:t>
            </w:r>
            <w:r>
              <w:rPr>
                <w:rFonts w:ascii="Arial"/>
                <w:b/>
                <w:spacing w:val="-4"/>
                <w:sz w:val="20"/>
              </w:rPr>
              <w:t> </w:t>
            </w:r>
            <w:r>
              <w:rPr>
                <w:rFonts w:ascii="Arial"/>
                <w:b/>
                <w:sz w:val="20"/>
              </w:rPr>
              <w:t>al</w:t>
            </w:r>
            <w:r>
              <w:rPr>
                <w:rFonts w:ascii="Arial"/>
                <w:b/>
                <w:spacing w:val="-3"/>
                <w:sz w:val="20"/>
              </w:rPr>
              <w:t> </w:t>
            </w:r>
            <w:r>
              <w:rPr>
                <w:rFonts w:ascii="Arial"/>
                <w:b/>
                <w:spacing w:val="-2"/>
                <w:sz w:val="20"/>
              </w:rPr>
              <w:t>menos</w:t>
            </w:r>
          </w:p>
        </w:tc>
        <w:tc>
          <w:tcPr>
            <w:tcW w:w="2591" w:type="dxa"/>
            <w:shd w:val="clear" w:color="auto" w:fill="C0C0C0"/>
          </w:tcPr>
          <w:p>
            <w:pPr>
              <w:pStyle w:val="TableParagraph"/>
              <w:spacing w:line="240" w:lineRule="auto"/>
              <w:ind w:left="83" w:right="69" w:firstLine="1"/>
              <w:rPr>
                <w:rFonts w:ascii="Arial"/>
                <w:b/>
                <w:sz w:val="20"/>
              </w:rPr>
            </w:pPr>
            <w:r>
              <w:rPr>
                <w:rFonts w:ascii="Arial"/>
                <w:b/>
                <w:sz w:val="20"/>
              </w:rPr>
              <w:t>Pruebas</w:t>
            </w:r>
            <w:r>
              <w:rPr>
                <w:rFonts w:ascii="Arial"/>
                <w:b/>
                <w:spacing w:val="-8"/>
                <w:sz w:val="20"/>
              </w:rPr>
              <w:t> </w:t>
            </w:r>
            <w:r>
              <w:rPr>
                <w:rFonts w:ascii="Arial"/>
                <w:b/>
                <w:sz w:val="20"/>
              </w:rPr>
              <w:t>de</w:t>
            </w:r>
            <w:r>
              <w:rPr>
                <w:rFonts w:ascii="Arial"/>
                <w:b/>
                <w:spacing w:val="-7"/>
                <w:sz w:val="20"/>
              </w:rPr>
              <w:t> </w:t>
            </w:r>
            <w:r>
              <w:rPr>
                <w:rFonts w:ascii="Arial"/>
                <w:b/>
                <w:sz w:val="20"/>
              </w:rPr>
              <w:t>Gabinete</w:t>
            </w:r>
            <w:r>
              <w:rPr>
                <w:rFonts w:ascii="Arial"/>
                <w:b/>
                <w:spacing w:val="-5"/>
                <w:sz w:val="20"/>
              </w:rPr>
              <w:t> </w:t>
            </w:r>
            <w:r>
              <w:rPr>
                <w:rFonts w:ascii="Arial"/>
                <w:b/>
                <w:sz w:val="20"/>
              </w:rPr>
              <w:t>con una</w:t>
            </w:r>
            <w:r>
              <w:rPr>
                <w:rFonts w:ascii="Arial"/>
                <w:b/>
                <w:spacing w:val="-11"/>
                <w:sz w:val="20"/>
              </w:rPr>
              <w:t> </w:t>
            </w:r>
            <w:r>
              <w:rPr>
                <w:rFonts w:ascii="Arial"/>
                <w:b/>
                <w:sz w:val="20"/>
              </w:rPr>
              <w:t>vigencia</w:t>
            </w:r>
            <w:r>
              <w:rPr>
                <w:rFonts w:ascii="Arial"/>
                <w:b/>
                <w:spacing w:val="-11"/>
                <w:sz w:val="20"/>
              </w:rPr>
              <w:t> </w:t>
            </w:r>
            <w:r>
              <w:rPr>
                <w:rFonts w:ascii="Arial"/>
                <w:b/>
                <w:sz w:val="20"/>
              </w:rPr>
              <w:t>de</w:t>
            </w:r>
            <w:r>
              <w:rPr>
                <w:rFonts w:ascii="Arial"/>
                <w:b/>
                <w:spacing w:val="-9"/>
                <w:sz w:val="20"/>
              </w:rPr>
              <w:t> </w:t>
            </w:r>
            <w:r>
              <w:rPr>
                <w:rFonts w:ascii="Arial"/>
                <w:b/>
                <w:sz w:val="20"/>
              </w:rPr>
              <w:t>al</w:t>
            </w:r>
            <w:r>
              <w:rPr>
                <w:rFonts w:ascii="Arial"/>
                <w:b/>
                <w:spacing w:val="-11"/>
                <w:sz w:val="20"/>
              </w:rPr>
              <w:t> </w:t>
            </w:r>
            <w:r>
              <w:rPr>
                <w:rFonts w:ascii="Arial"/>
                <w:b/>
                <w:sz w:val="20"/>
              </w:rPr>
              <w:t>menos 3 meses</w:t>
            </w:r>
          </w:p>
          <w:p>
            <w:pPr>
              <w:pStyle w:val="TableParagraph"/>
              <w:spacing w:line="228" w:lineRule="exact" w:before="215"/>
              <w:ind w:left="13"/>
              <w:rPr>
                <w:rFonts w:ascii="Arial"/>
                <w:b/>
                <w:sz w:val="20"/>
              </w:rPr>
            </w:pPr>
            <w:r>
              <w:rPr>
                <w:rFonts w:ascii="Arial"/>
                <w:b/>
                <w:sz w:val="20"/>
              </w:rPr>
              <w:t>(contar</w:t>
            </w:r>
            <w:r>
              <w:rPr>
                <w:rFonts w:ascii="Arial"/>
                <w:b/>
                <w:spacing w:val="-12"/>
                <w:sz w:val="20"/>
              </w:rPr>
              <w:t> </w:t>
            </w:r>
            <w:r>
              <w:rPr>
                <w:rFonts w:ascii="Arial"/>
                <w:b/>
                <w:sz w:val="20"/>
              </w:rPr>
              <w:t>con</w:t>
            </w:r>
            <w:r>
              <w:rPr>
                <w:rFonts w:ascii="Arial"/>
                <w:b/>
                <w:spacing w:val="-10"/>
                <w:sz w:val="20"/>
              </w:rPr>
              <w:t> </w:t>
            </w:r>
            <w:r>
              <w:rPr>
                <w:rFonts w:ascii="Arial"/>
                <w:b/>
                <w:sz w:val="20"/>
              </w:rPr>
              <w:t>al</w:t>
            </w:r>
            <w:r>
              <w:rPr>
                <w:rFonts w:ascii="Arial"/>
                <w:b/>
                <w:spacing w:val="-9"/>
                <w:sz w:val="20"/>
              </w:rPr>
              <w:t> </w:t>
            </w:r>
            <w:r>
              <w:rPr>
                <w:rFonts w:ascii="Arial"/>
                <w:b/>
                <w:sz w:val="20"/>
              </w:rPr>
              <w:t>menos</w:t>
            </w:r>
            <w:r>
              <w:rPr>
                <w:rFonts w:ascii="Arial"/>
                <w:b/>
                <w:spacing w:val="-11"/>
                <w:sz w:val="20"/>
              </w:rPr>
              <w:t> </w:t>
            </w:r>
            <w:r>
              <w:rPr>
                <w:rFonts w:ascii="Arial"/>
                <w:b/>
                <w:sz w:val="20"/>
              </w:rPr>
              <w:t>una prueba alterada)</w:t>
            </w:r>
          </w:p>
        </w:tc>
        <w:tc>
          <w:tcPr>
            <w:tcW w:w="1758" w:type="dxa"/>
            <w:shd w:val="clear" w:color="auto" w:fill="C0C0C0"/>
          </w:tcPr>
          <w:p>
            <w:pPr>
              <w:pStyle w:val="TableParagraph"/>
              <w:spacing w:line="240" w:lineRule="auto"/>
              <w:ind w:left="116" w:right="107" w:firstLine="2"/>
              <w:rPr>
                <w:rFonts w:ascii="Arial"/>
                <w:b/>
                <w:sz w:val="20"/>
              </w:rPr>
            </w:pPr>
            <w:r>
              <w:rPr>
                <w:rFonts w:ascii="Arial"/>
                <w:b/>
                <w:sz w:val="20"/>
              </w:rPr>
              <w:t>Alteraciones</w:t>
            </w:r>
            <w:r>
              <w:rPr>
                <w:rFonts w:ascii="Arial"/>
                <w:b/>
                <w:spacing w:val="-12"/>
                <w:sz w:val="20"/>
              </w:rPr>
              <w:t> </w:t>
            </w:r>
            <w:r>
              <w:rPr>
                <w:rFonts w:ascii="Arial"/>
                <w:b/>
                <w:sz w:val="20"/>
              </w:rPr>
              <w:t>en las actividades de</w:t>
            </w:r>
            <w:r>
              <w:rPr>
                <w:rFonts w:ascii="Arial"/>
                <w:b/>
                <w:spacing w:val="-14"/>
                <w:sz w:val="20"/>
              </w:rPr>
              <w:t> </w:t>
            </w:r>
            <w:r>
              <w:rPr>
                <w:rFonts w:ascii="Arial"/>
                <w:b/>
                <w:sz w:val="20"/>
              </w:rPr>
              <w:t>su</w:t>
            </w:r>
            <w:r>
              <w:rPr>
                <w:rFonts w:ascii="Arial"/>
                <w:b/>
                <w:spacing w:val="-14"/>
                <w:sz w:val="20"/>
              </w:rPr>
              <w:t> </w:t>
            </w:r>
            <w:r>
              <w:rPr>
                <w:rFonts w:ascii="Arial"/>
                <w:b/>
                <w:sz w:val="20"/>
              </w:rPr>
              <w:t>puesto</w:t>
            </w:r>
            <w:r>
              <w:rPr>
                <w:rFonts w:ascii="Arial"/>
                <w:b/>
                <w:spacing w:val="-14"/>
                <w:sz w:val="20"/>
              </w:rPr>
              <w:t> </w:t>
            </w:r>
            <w:r>
              <w:rPr>
                <w:rFonts w:ascii="Arial"/>
                <w:b/>
                <w:sz w:val="20"/>
              </w:rPr>
              <w:t>de </w:t>
            </w:r>
            <w:r>
              <w:rPr>
                <w:rFonts w:ascii="Arial"/>
                <w:b/>
                <w:spacing w:val="-2"/>
                <w:sz w:val="20"/>
              </w:rPr>
              <w:t>trabajo</w:t>
            </w:r>
          </w:p>
        </w:tc>
        <w:tc>
          <w:tcPr>
            <w:tcW w:w="1425" w:type="dxa"/>
            <w:shd w:val="clear" w:color="auto" w:fill="C0C0C0"/>
          </w:tcPr>
          <w:p>
            <w:pPr>
              <w:pStyle w:val="TableParagraph"/>
              <w:spacing w:line="240" w:lineRule="auto"/>
              <w:ind w:left="264" w:right="256" w:firstLine="7"/>
              <w:jc w:val="both"/>
              <w:rPr>
                <w:rFonts w:ascii="Arial" w:hAnsi="Arial"/>
                <w:b/>
                <w:sz w:val="20"/>
              </w:rPr>
            </w:pPr>
            <w:r>
              <w:rPr>
                <w:rFonts w:ascii="Arial" w:hAnsi="Arial"/>
                <w:b/>
                <w:sz w:val="20"/>
              </w:rPr>
              <w:t>Grado</w:t>
            </w:r>
            <w:r>
              <w:rPr>
                <w:rFonts w:ascii="Arial" w:hAnsi="Arial"/>
                <w:b/>
                <w:spacing w:val="-14"/>
                <w:sz w:val="20"/>
              </w:rPr>
              <w:t> </w:t>
            </w:r>
            <w:r>
              <w:rPr>
                <w:rFonts w:ascii="Arial" w:hAnsi="Arial"/>
                <w:b/>
                <w:sz w:val="20"/>
              </w:rPr>
              <w:t>de </w:t>
            </w:r>
            <w:r>
              <w:rPr>
                <w:rFonts w:ascii="Arial" w:hAnsi="Arial"/>
                <w:b/>
                <w:spacing w:val="-2"/>
                <w:sz w:val="20"/>
              </w:rPr>
              <w:t>afección funcional</w:t>
            </w:r>
          </w:p>
        </w:tc>
        <w:tc>
          <w:tcPr>
            <w:tcW w:w="1321" w:type="dxa"/>
            <w:shd w:val="clear" w:color="auto" w:fill="C0C0C0"/>
          </w:tcPr>
          <w:p>
            <w:pPr>
              <w:pStyle w:val="TableParagraph"/>
              <w:spacing w:line="240" w:lineRule="auto"/>
              <w:ind w:left="78" w:right="72" w:firstLine="1"/>
              <w:rPr>
                <w:rFonts w:ascii="Arial"/>
                <w:b/>
                <w:sz w:val="20"/>
              </w:rPr>
            </w:pPr>
            <w:r>
              <w:rPr>
                <w:rFonts w:ascii="Arial"/>
                <w:b/>
                <w:spacing w:val="-2"/>
                <w:sz w:val="20"/>
              </w:rPr>
              <w:t>Porcentaje </w:t>
            </w:r>
            <w:r>
              <w:rPr>
                <w:rFonts w:ascii="Arial"/>
                <w:b/>
                <w:spacing w:val="-6"/>
                <w:sz w:val="20"/>
              </w:rPr>
              <w:t>de </w:t>
            </w:r>
            <w:r>
              <w:rPr>
                <w:rFonts w:ascii="Arial"/>
                <w:b/>
                <w:spacing w:val="-2"/>
                <w:sz w:val="20"/>
              </w:rPr>
              <w:t>incapacidad permanente</w:t>
            </w:r>
          </w:p>
        </w:tc>
      </w:tr>
    </w:tbl>
    <w:p>
      <w:pPr>
        <w:pStyle w:val="TableParagraph"/>
        <w:spacing w:after="0" w:line="240" w:lineRule="auto"/>
        <w:rPr>
          <w:rFonts w:ascii="Arial"/>
          <w:b/>
          <w:sz w:val="20"/>
        </w:rPr>
        <w:sectPr>
          <w:pgSz w:w="12240" w:h="15840"/>
          <w:pgMar w:header="724" w:footer="712" w:top="1880" w:bottom="900" w:left="1080" w:right="1080"/>
        </w:sectPr>
      </w:pPr>
    </w:p>
    <w:p>
      <w:pPr>
        <w:pStyle w:val="BodyText"/>
        <w:spacing w:before="68"/>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58"/>
        <w:gridCol w:w="2591"/>
        <w:gridCol w:w="1758"/>
        <w:gridCol w:w="1425"/>
        <w:gridCol w:w="1321"/>
      </w:tblGrid>
      <w:tr>
        <w:trPr>
          <w:trHeight w:val="229" w:hRule="atLeast"/>
        </w:trPr>
        <w:tc>
          <w:tcPr>
            <w:tcW w:w="2458" w:type="dxa"/>
            <w:shd w:val="clear" w:color="auto" w:fill="C0C0C0"/>
          </w:tcPr>
          <w:p>
            <w:pPr>
              <w:pStyle w:val="TableParagraph"/>
              <w:ind w:left="244"/>
              <w:jc w:val="left"/>
              <w:rPr>
                <w:rFonts w:ascii="Arial"/>
                <w:b/>
                <w:sz w:val="20"/>
              </w:rPr>
            </w:pPr>
            <w:r>
              <w:rPr>
                <w:rFonts w:ascii="Arial"/>
                <w:b/>
                <w:sz w:val="20"/>
              </w:rPr>
              <w:t>una</w:t>
            </w:r>
            <w:r>
              <w:rPr>
                <w:rFonts w:ascii="Arial"/>
                <w:b/>
                <w:spacing w:val="-9"/>
                <w:sz w:val="20"/>
              </w:rPr>
              <w:t> </w:t>
            </w:r>
            <w:r>
              <w:rPr>
                <w:rFonts w:ascii="Arial"/>
                <w:b/>
                <w:sz w:val="20"/>
              </w:rPr>
              <w:t>prueba</w:t>
            </w:r>
            <w:r>
              <w:rPr>
                <w:rFonts w:ascii="Arial"/>
                <w:b/>
                <w:spacing w:val="-7"/>
                <w:sz w:val="20"/>
              </w:rPr>
              <w:t> </w:t>
            </w:r>
            <w:r>
              <w:rPr>
                <w:rFonts w:ascii="Arial"/>
                <w:b/>
                <w:spacing w:val="-2"/>
                <w:sz w:val="20"/>
              </w:rPr>
              <w:t>alterada)</w:t>
            </w:r>
          </w:p>
        </w:tc>
        <w:tc>
          <w:tcPr>
            <w:tcW w:w="2591" w:type="dxa"/>
            <w:shd w:val="clear" w:color="auto" w:fill="C0C0C0"/>
          </w:tcPr>
          <w:p>
            <w:pPr>
              <w:pStyle w:val="TableParagraph"/>
              <w:spacing w:line="240" w:lineRule="auto"/>
              <w:ind w:left="0"/>
              <w:jc w:val="left"/>
              <w:rPr>
                <w:rFonts w:ascii="Times New Roman"/>
                <w:sz w:val="16"/>
              </w:rPr>
            </w:pPr>
          </w:p>
        </w:tc>
        <w:tc>
          <w:tcPr>
            <w:tcW w:w="1758" w:type="dxa"/>
            <w:shd w:val="clear" w:color="auto" w:fill="C0C0C0"/>
          </w:tcPr>
          <w:p>
            <w:pPr>
              <w:pStyle w:val="TableParagraph"/>
              <w:spacing w:line="240" w:lineRule="auto"/>
              <w:ind w:left="0"/>
              <w:jc w:val="left"/>
              <w:rPr>
                <w:rFonts w:ascii="Times New Roman"/>
                <w:sz w:val="16"/>
              </w:rPr>
            </w:pPr>
          </w:p>
        </w:tc>
        <w:tc>
          <w:tcPr>
            <w:tcW w:w="1425" w:type="dxa"/>
            <w:shd w:val="clear" w:color="auto" w:fill="C0C0C0"/>
          </w:tcPr>
          <w:p>
            <w:pPr>
              <w:pStyle w:val="TableParagraph"/>
              <w:spacing w:line="240" w:lineRule="auto"/>
              <w:ind w:left="0"/>
              <w:jc w:val="left"/>
              <w:rPr>
                <w:rFonts w:ascii="Times New Roman"/>
                <w:sz w:val="16"/>
              </w:rPr>
            </w:pPr>
          </w:p>
        </w:tc>
        <w:tc>
          <w:tcPr>
            <w:tcW w:w="1321" w:type="dxa"/>
            <w:shd w:val="clear" w:color="auto" w:fill="C0C0C0"/>
          </w:tcPr>
          <w:p>
            <w:pPr>
              <w:pStyle w:val="TableParagraph"/>
              <w:spacing w:line="240" w:lineRule="auto"/>
              <w:ind w:left="0"/>
              <w:jc w:val="left"/>
              <w:rPr>
                <w:rFonts w:ascii="Times New Roman"/>
                <w:sz w:val="16"/>
              </w:rPr>
            </w:pPr>
          </w:p>
        </w:tc>
      </w:tr>
      <w:tr>
        <w:trPr>
          <w:trHeight w:val="2123" w:hRule="atLeast"/>
        </w:trPr>
        <w:tc>
          <w:tcPr>
            <w:tcW w:w="2458" w:type="dxa"/>
          </w:tcPr>
          <w:p>
            <w:pPr>
              <w:pStyle w:val="TableParagraph"/>
              <w:spacing w:line="240" w:lineRule="auto"/>
              <w:ind w:right="131"/>
              <w:jc w:val="left"/>
              <w:rPr>
                <w:sz w:val="20"/>
              </w:rPr>
            </w:pPr>
            <w:r>
              <w:rPr>
                <w:spacing w:val="-2"/>
                <w:sz w:val="20"/>
              </w:rPr>
              <w:t>Evaluación </w:t>
            </w:r>
            <w:r>
              <w:rPr>
                <w:sz w:val="20"/>
              </w:rPr>
              <w:t>otoneurológica</w:t>
            </w:r>
            <w:r>
              <w:rPr>
                <w:spacing w:val="-14"/>
                <w:sz w:val="20"/>
              </w:rPr>
              <w:t> </w:t>
            </w:r>
            <w:r>
              <w:rPr>
                <w:sz w:val="20"/>
              </w:rPr>
              <w:t>completa:</w:t>
            </w:r>
          </w:p>
          <w:p>
            <w:pPr>
              <w:pStyle w:val="TableParagraph"/>
              <w:numPr>
                <w:ilvl w:val="0"/>
                <w:numId w:val="169"/>
              </w:numPr>
              <w:tabs>
                <w:tab w:pos="358" w:val="left" w:leader="none"/>
              </w:tabs>
              <w:spacing w:line="245" w:lineRule="exact" w:before="226" w:after="0"/>
              <w:ind w:left="358" w:right="0" w:hanging="287"/>
              <w:jc w:val="left"/>
              <w:rPr>
                <w:sz w:val="20"/>
              </w:rPr>
            </w:pPr>
            <w:r>
              <w:rPr>
                <w:sz w:val="20"/>
              </w:rPr>
              <w:t>De</w:t>
            </w:r>
            <w:r>
              <w:rPr>
                <w:spacing w:val="-4"/>
                <w:sz w:val="20"/>
              </w:rPr>
              <w:t> </w:t>
            </w:r>
            <w:r>
              <w:rPr>
                <w:sz w:val="20"/>
              </w:rPr>
              <w:t>la</w:t>
            </w:r>
            <w:r>
              <w:rPr>
                <w:spacing w:val="-4"/>
                <w:sz w:val="20"/>
              </w:rPr>
              <w:t> </w:t>
            </w:r>
            <w:r>
              <w:rPr>
                <w:spacing w:val="-2"/>
                <w:sz w:val="20"/>
              </w:rPr>
              <w:t>marcha;</w:t>
            </w:r>
          </w:p>
          <w:p>
            <w:pPr>
              <w:pStyle w:val="TableParagraph"/>
              <w:numPr>
                <w:ilvl w:val="0"/>
                <w:numId w:val="169"/>
              </w:numPr>
              <w:tabs>
                <w:tab w:pos="359" w:val="left" w:leader="none"/>
                <w:tab w:pos="1259" w:val="left" w:leader="none"/>
              </w:tabs>
              <w:spacing w:line="240" w:lineRule="auto" w:before="0" w:after="0"/>
              <w:ind w:left="359" w:right="59" w:hanging="288"/>
              <w:jc w:val="left"/>
              <w:rPr>
                <w:sz w:val="20"/>
              </w:rPr>
            </w:pPr>
            <w:r>
              <w:rPr>
                <w:spacing w:val="-6"/>
                <w:sz w:val="20"/>
              </w:rPr>
              <w:t>De</w:t>
            </w:r>
            <w:r>
              <w:rPr>
                <w:sz w:val="20"/>
              </w:rPr>
              <w:tab/>
            </w:r>
            <w:r>
              <w:rPr>
                <w:spacing w:val="-2"/>
                <w:sz w:val="20"/>
              </w:rPr>
              <w:t>movimientos oculares;</w:t>
            </w:r>
          </w:p>
          <w:p>
            <w:pPr>
              <w:pStyle w:val="TableParagraph"/>
              <w:numPr>
                <w:ilvl w:val="0"/>
                <w:numId w:val="169"/>
              </w:numPr>
              <w:tabs>
                <w:tab w:pos="358" w:val="left" w:leader="none"/>
              </w:tabs>
              <w:spacing w:line="243" w:lineRule="exact" w:before="0" w:after="0"/>
              <w:ind w:left="358" w:right="0" w:hanging="287"/>
              <w:jc w:val="left"/>
              <w:rPr>
                <w:sz w:val="20"/>
              </w:rPr>
            </w:pPr>
            <w:r>
              <w:rPr>
                <w:sz w:val="20"/>
              </w:rPr>
              <w:t>Pruebas</w:t>
            </w:r>
            <w:r>
              <w:rPr>
                <w:spacing w:val="-11"/>
                <w:sz w:val="20"/>
              </w:rPr>
              <w:t> </w:t>
            </w:r>
            <w:r>
              <w:rPr>
                <w:sz w:val="20"/>
              </w:rPr>
              <w:t>postulares,</w:t>
            </w:r>
            <w:r>
              <w:rPr>
                <w:spacing w:val="-7"/>
                <w:sz w:val="20"/>
              </w:rPr>
              <w:t> </w:t>
            </w:r>
            <w:r>
              <w:rPr>
                <w:spacing w:val="-10"/>
                <w:sz w:val="20"/>
              </w:rPr>
              <w:t>y</w:t>
            </w:r>
          </w:p>
          <w:p>
            <w:pPr>
              <w:pStyle w:val="TableParagraph"/>
              <w:numPr>
                <w:ilvl w:val="0"/>
                <w:numId w:val="169"/>
              </w:numPr>
              <w:tabs>
                <w:tab w:pos="359" w:val="left" w:leader="none"/>
                <w:tab w:pos="1316" w:val="left" w:leader="none"/>
              </w:tabs>
              <w:spacing w:line="230" w:lineRule="exact" w:before="0" w:after="0"/>
              <w:ind w:left="359" w:right="61" w:hanging="288"/>
              <w:jc w:val="left"/>
              <w:rPr>
                <w:sz w:val="20"/>
              </w:rPr>
            </w:pPr>
            <w:r>
              <w:rPr>
                <w:spacing w:val="-2"/>
                <w:sz w:val="20"/>
              </w:rPr>
              <w:t>Pruebas</w:t>
            </w:r>
            <w:r>
              <w:rPr>
                <w:sz w:val="20"/>
              </w:rPr>
              <w:tab/>
            </w:r>
            <w:r>
              <w:rPr>
                <w:spacing w:val="-2"/>
                <w:sz w:val="20"/>
              </w:rPr>
              <w:t>vestibulares complementarias.</w:t>
            </w:r>
          </w:p>
        </w:tc>
        <w:tc>
          <w:tcPr>
            <w:tcW w:w="2591" w:type="dxa"/>
          </w:tcPr>
          <w:p>
            <w:pPr>
              <w:pStyle w:val="TableParagraph"/>
              <w:numPr>
                <w:ilvl w:val="0"/>
                <w:numId w:val="170"/>
              </w:numPr>
              <w:tabs>
                <w:tab w:pos="357" w:val="left" w:leader="none"/>
                <w:tab w:pos="359" w:val="left" w:leader="none"/>
              </w:tabs>
              <w:spacing w:line="240" w:lineRule="auto" w:before="0" w:after="0"/>
              <w:ind w:left="359" w:right="57" w:hanging="289"/>
              <w:jc w:val="both"/>
              <w:rPr>
                <w:sz w:val="20"/>
              </w:rPr>
            </w:pPr>
            <w:r>
              <w:rPr>
                <w:sz w:val="20"/>
              </w:rPr>
              <w:t>Pruebas bitérmicas con agua, y</w:t>
            </w:r>
          </w:p>
          <w:p>
            <w:pPr>
              <w:pStyle w:val="TableParagraph"/>
              <w:numPr>
                <w:ilvl w:val="0"/>
                <w:numId w:val="170"/>
              </w:numPr>
              <w:tabs>
                <w:tab w:pos="357" w:val="left" w:leader="none"/>
                <w:tab w:pos="359" w:val="left" w:leader="none"/>
              </w:tabs>
              <w:spacing w:line="240" w:lineRule="auto" w:before="0" w:after="0"/>
              <w:ind w:left="359" w:right="55" w:hanging="289"/>
              <w:jc w:val="both"/>
              <w:rPr>
                <w:sz w:val="20"/>
              </w:rPr>
            </w:pPr>
            <w:r>
              <w:rPr>
                <w:sz w:val="20"/>
              </w:rPr>
              <w:t>Pruebas rotatorias con videonistagmografía o </w:t>
            </w:r>
            <w:r>
              <w:rPr>
                <w:spacing w:val="-2"/>
                <w:sz w:val="20"/>
              </w:rPr>
              <w:t>electronistagmografía.</w:t>
            </w:r>
          </w:p>
          <w:p>
            <w:pPr>
              <w:pStyle w:val="TableParagraph"/>
              <w:tabs>
                <w:tab w:pos="527" w:val="left" w:leader="none"/>
                <w:tab w:pos="891" w:val="left" w:leader="none"/>
                <w:tab w:pos="1759" w:val="left" w:leader="none"/>
                <w:tab w:pos="2303" w:val="left" w:leader="none"/>
              </w:tabs>
              <w:spacing w:line="240" w:lineRule="auto" w:before="225"/>
              <w:ind w:right="58"/>
              <w:jc w:val="left"/>
              <w:rPr>
                <w:sz w:val="20"/>
              </w:rPr>
            </w:pPr>
            <w:r>
              <w:rPr>
                <w:spacing w:val="-6"/>
                <w:sz w:val="20"/>
              </w:rPr>
              <w:t>En</w:t>
            </w:r>
            <w:r>
              <w:rPr>
                <w:sz w:val="20"/>
              </w:rPr>
              <w:tab/>
            </w:r>
            <w:r>
              <w:rPr>
                <w:spacing w:val="-6"/>
                <w:sz w:val="20"/>
              </w:rPr>
              <w:t>la</w:t>
            </w:r>
            <w:r>
              <w:rPr>
                <w:sz w:val="20"/>
              </w:rPr>
              <w:tab/>
            </w:r>
            <w:r>
              <w:rPr>
                <w:spacing w:val="-2"/>
                <w:sz w:val="20"/>
              </w:rPr>
              <w:t>medida</w:t>
            </w:r>
            <w:r>
              <w:rPr>
                <w:sz w:val="20"/>
              </w:rPr>
              <w:tab/>
            </w:r>
            <w:r>
              <w:rPr>
                <w:spacing w:val="-4"/>
                <w:sz w:val="20"/>
              </w:rPr>
              <w:t>que</w:t>
            </w:r>
            <w:r>
              <w:rPr>
                <w:sz w:val="20"/>
              </w:rPr>
              <w:tab/>
            </w:r>
            <w:r>
              <w:rPr>
                <w:spacing w:val="-6"/>
                <w:sz w:val="20"/>
              </w:rPr>
              <w:t>se </w:t>
            </w:r>
            <w:r>
              <w:rPr>
                <w:spacing w:val="-2"/>
                <w:sz w:val="20"/>
              </w:rPr>
              <w:t>disponga;</w:t>
            </w:r>
          </w:p>
        </w:tc>
        <w:tc>
          <w:tcPr>
            <w:tcW w:w="1758" w:type="dxa"/>
          </w:tcPr>
          <w:p>
            <w:pPr>
              <w:pStyle w:val="TableParagraph"/>
              <w:tabs>
                <w:tab w:pos="681" w:val="left" w:leader="none"/>
                <w:tab w:pos="1358" w:val="left" w:leader="none"/>
                <w:tab w:pos="1459" w:val="left" w:leader="none"/>
                <w:tab w:pos="1526" w:val="left" w:leader="none"/>
              </w:tabs>
              <w:spacing w:line="240" w:lineRule="auto"/>
              <w:ind w:left="70" w:right="59"/>
              <w:jc w:val="left"/>
              <w:rPr>
                <w:sz w:val="20"/>
              </w:rPr>
            </w:pPr>
            <w:r>
              <w:rPr>
                <w:sz w:val="20"/>
              </w:rPr>
              <w:t>Desequilibrio</w:t>
            </w:r>
            <w:r>
              <w:rPr>
                <w:spacing w:val="28"/>
                <w:sz w:val="20"/>
              </w:rPr>
              <w:t> </w:t>
            </w:r>
            <w:r>
              <w:rPr>
                <w:sz w:val="20"/>
              </w:rPr>
              <w:t>que </w:t>
            </w:r>
            <w:r>
              <w:rPr>
                <w:spacing w:val="-2"/>
                <w:sz w:val="20"/>
              </w:rPr>
              <w:t>interfiere</w:t>
            </w:r>
            <w:r>
              <w:rPr>
                <w:sz w:val="20"/>
              </w:rPr>
              <w:tab/>
              <w:tab/>
            </w:r>
            <w:r>
              <w:rPr>
                <w:spacing w:val="-6"/>
                <w:sz w:val="20"/>
              </w:rPr>
              <w:t>de </w:t>
            </w:r>
            <w:r>
              <w:rPr>
                <w:spacing w:val="-2"/>
                <w:sz w:val="20"/>
              </w:rPr>
              <w:t>manera intermitente</w:t>
            </w:r>
            <w:r>
              <w:rPr>
                <w:sz w:val="20"/>
              </w:rPr>
              <w:tab/>
            </w:r>
            <w:r>
              <w:rPr>
                <w:spacing w:val="-4"/>
                <w:sz w:val="20"/>
              </w:rPr>
              <w:t>con las</w:t>
            </w:r>
            <w:r>
              <w:rPr>
                <w:sz w:val="20"/>
              </w:rPr>
              <w:tab/>
            </w:r>
            <w:r>
              <w:rPr>
                <w:spacing w:val="-2"/>
                <w:sz w:val="20"/>
              </w:rPr>
              <w:t>actividades laborales,</w:t>
            </w:r>
            <w:r>
              <w:rPr>
                <w:sz w:val="20"/>
              </w:rPr>
              <w:tab/>
              <w:tab/>
              <w:tab/>
            </w:r>
            <w:r>
              <w:rPr>
                <w:spacing w:val="-6"/>
                <w:sz w:val="20"/>
              </w:rPr>
              <w:t>al </w:t>
            </w:r>
            <w:r>
              <w:rPr>
                <w:sz w:val="20"/>
              </w:rPr>
              <w:t>menos</w:t>
            </w:r>
            <w:r>
              <w:rPr>
                <w:spacing w:val="80"/>
                <w:sz w:val="20"/>
              </w:rPr>
              <w:t> </w:t>
            </w:r>
            <w:r>
              <w:rPr>
                <w:sz w:val="20"/>
              </w:rPr>
              <w:t>una</w:t>
            </w:r>
            <w:r>
              <w:rPr>
                <w:spacing w:val="80"/>
                <w:sz w:val="20"/>
              </w:rPr>
              <w:t> </w:t>
            </w:r>
            <w:r>
              <w:rPr>
                <w:sz w:val="20"/>
              </w:rPr>
              <w:t>vez cada 3 meses.</w:t>
            </w:r>
          </w:p>
        </w:tc>
        <w:tc>
          <w:tcPr>
            <w:tcW w:w="1425" w:type="dxa"/>
          </w:tcPr>
          <w:p>
            <w:pPr>
              <w:pStyle w:val="TableParagraph"/>
              <w:spacing w:line="227" w:lineRule="exact"/>
              <w:ind w:left="6"/>
              <w:rPr>
                <w:rFonts w:ascii="Arial"/>
                <w:b/>
                <w:sz w:val="20"/>
              </w:rPr>
            </w:pPr>
            <w:r>
              <w:rPr>
                <w:rFonts w:ascii="Arial"/>
                <w:b/>
                <w:spacing w:val="-10"/>
                <w:sz w:val="20"/>
              </w:rPr>
              <w:t>1</w:t>
            </w:r>
          </w:p>
          <w:p>
            <w:pPr>
              <w:pStyle w:val="TableParagraph"/>
              <w:spacing w:line="240" w:lineRule="auto" w:before="228"/>
              <w:ind w:left="6" w:right="1"/>
              <w:rPr>
                <w:rFonts w:ascii="Arial"/>
                <w:b/>
                <w:sz w:val="20"/>
              </w:rPr>
            </w:pPr>
            <w:r>
              <w:rPr>
                <w:rFonts w:ascii="Arial"/>
                <w:b/>
                <w:spacing w:val="-4"/>
                <w:sz w:val="20"/>
              </w:rPr>
              <w:t>Leve</w:t>
            </w:r>
          </w:p>
        </w:tc>
        <w:tc>
          <w:tcPr>
            <w:tcW w:w="1321" w:type="dxa"/>
          </w:tcPr>
          <w:p>
            <w:pPr>
              <w:pStyle w:val="TableParagraph"/>
              <w:spacing w:line="229" w:lineRule="exact"/>
              <w:ind w:left="1"/>
              <w:rPr>
                <w:sz w:val="20"/>
              </w:rPr>
            </w:pPr>
            <w:r>
              <w:rPr>
                <w:spacing w:val="-2"/>
                <w:sz w:val="20"/>
              </w:rPr>
              <w:t>10-</w:t>
            </w:r>
            <w:r>
              <w:rPr>
                <w:spacing w:val="-5"/>
                <w:sz w:val="20"/>
              </w:rPr>
              <w:t>30%</w:t>
            </w:r>
          </w:p>
        </w:tc>
      </w:tr>
      <w:tr>
        <w:trPr>
          <w:trHeight w:val="2299" w:hRule="atLeast"/>
        </w:trPr>
        <w:tc>
          <w:tcPr>
            <w:tcW w:w="2458" w:type="dxa"/>
            <w:vMerge w:val="restart"/>
          </w:tcPr>
          <w:p>
            <w:pPr>
              <w:pStyle w:val="TableParagraph"/>
              <w:spacing w:line="229" w:lineRule="exact"/>
              <w:jc w:val="left"/>
              <w:rPr>
                <w:sz w:val="20"/>
              </w:rPr>
            </w:pPr>
            <w:r>
              <w:rPr>
                <w:sz w:val="20"/>
              </w:rPr>
              <w:t>Según</w:t>
            </w:r>
            <w:r>
              <w:rPr>
                <w:spacing w:val="-7"/>
                <w:sz w:val="20"/>
              </w:rPr>
              <w:t> </w:t>
            </w:r>
            <w:r>
              <w:rPr>
                <w:sz w:val="20"/>
              </w:rPr>
              <w:t>se</w:t>
            </w:r>
            <w:r>
              <w:rPr>
                <w:spacing w:val="-6"/>
                <w:sz w:val="20"/>
              </w:rPr>
              <w:t> </w:t>
            </w:r>
            <w:r>
              <w:rPr>
                <w:spacing w:val="-2"/>
                <w:sz w:val="20"/>
              </w:rPr>
              <w:t>requiera:</w:t>
            </w:r>
          </w:p>
          <w:p>
            <w:pPr>
              <w:pStyle w:val="TableParagraph"/>
              <w:numPr>
                <w:ilvl w:val="0"/>
                <w:numId w:val="171"/>
              </w:numPr>
              <w:tabs>
                <w:tab w:pos="359" w:val="left" w:leader="none"/>
              </w:tabs>
              <w:spacing w:line="240" w:lineRule="auto" w:before="230" w:after="0"/>
              <w:ind w:left="359" w:right="150" w:hanging="288"/>
              <w:jc w:val="both"/>
              <w:rPr>
                <w:sz w:val="20"/>
              </w:rPr>
            </w:pPr>
            <w:r>
              <w:rPr>
                <w:spacing w:val="-2"/>
                <w:sz w:val="20"/>
              </w:rPr>
              <w:t>Evaluación </w:t>
            </w:r>
            <w:r>
              <w:rPr>
                <w:sz w:val="20"/>
              </w:rPr>
              <w:t>audiológica</w:t>
            </w:r>
            <w:r>
              <w:rPr>
                <w:spacing w:val="-14"/>
                <w:sz w:val="20"/>
              </w:rPr>
              <w:t> </w:t>
            </w:r>
            <w:r>
              <w:rPr>
                <w:sz w:val="20"/>
              </w:rPr>
              <w:t>completa:</w:t>
            </w:r>
          </w:p>
          <w:p>
            <w:pPr>
              <w:pStyle w:val="TableParagraph"/>
              <w:numPr>
                <w:ilvl w:val="0"/>
                <w:numId w:val="171"/>
              </w:numPr>
              <w:tabs>
                <w:tab w:pos="359" w:val="left" w:leader="none"/>
              </w:tabs>
              <w:spacing w:line="240" w:lineRule="auto" w:before="0" w:after="0"/>
              <w:ind w:left="359" w:right="59" w:hanging="288"/>
              <w:jc w:val="both"/>
              <w:rPr>
                <w:sz w:val="20"/>
              </w:rPr>
            </w:pPr>
            <w:r>
              <w:rPr>
                <w:sz w:val="20"/>
              </w:rPr>
              <w:t>Estudio Audiológico </w:t>
            </w:r>
            <w:r>
              <w:rPr>
                <w:spacing w:val="-2"/>
                <w:sz w:val="20"/>
              </w:rPr>
              <w:t>completo;</w:t>
            </w:r>
          </w:p>
          <w:p>
            <w:pPr>
              <w:pStyle w:val="TableParagraph"/>
              <w:numPr>
                <w:ilvl w:val="0"/>
                <w:numId w:val="171"/>
              </w:numPr>
              <w:tabs>
                <w:tab w:pos="359" w:val="left" w:leader="none"/>
              </w:tabs>
              <w:spacing w:line="242" w:lineRule="auto" w:before="0" w:after="0"/>
              <w:ind w:left="359" w:right="58" w:hanging="288"/>
              <w:jc w:val="both"/>
              <w:rPr>
                <w:sz w:val="20"/>
              </w:rPr>
            </w:pPr>
            <w:r>
              <w:rPr>
                <w:sz w:val="20"/>
              </w:rPr>
              <w:t>Estudio de oído</w:t>
            </w:r>
            <w:r>
              <w:rPr>
                <w:spacing w:val="40"/>
                <w:sz w:val="20"/>
              </w:rPr>
              <w:t> </w:t>
            </w:r>
            <w:r>
              <w:rPr>
                <w:sz w:val="20"/>
              </w:rPr>
              <w:t>medio, y</w:t>
            </w:r>
          </w:p>
          <w:p>
            <w:pPr>
              <w:pStyle w:val="TableParagraph"/>
              <w:numPr>
                <w:ilvl w:val="0"/>
                <w:numId w:val="171"/>
              </w:numPr>
              <w:tabs>
                <w:tab w:pos="359" w:val="left" w:leader="none"/>
              </w:tabs>
              <w:spacing w:line="240" w:lineRule="auto" w:before="0" w:after="0"/>
              <w:ind w:left="359" w:right="128" w:hanging="288"/>
              <w:jc w:val="both"/>
              <w:rPr>
                <w:sz w:val="20"/>
              </w:rPr>
            </w:pPr>
            <w:r>
              <w:rPr>
                <w:spacing w:val="-2"/>
                <w:sz w:val="20"/>
              </w:rPr>
              <w:t>Evaluación </w:t>
            </w:r>
            <w:r>
              <w:rPr>
                <w:sz w:val="20"/>
              </w:rPr>
              <w:t>neurológica</w:t>
            </w:r>
            <w:r>
              <w:rPr>
                <w:spacing w:val="-14"/>
                <w:sz w:val="20"/>
              </w:rPr>
              <w:t> </w:t>
            </w:r>
            <w:r>
              <w:rPr>
                <w:sz w:val="20"/>
              </w:rPr>
              <w:t>completa.</w:t>
            </w:r>
          </w:p>
          <w:p>
            <w:pPr>
              <w:pStyle w:val="TableParagraph"/>
              <w:numPr>
                <w:ilvl w:val="0"/>
                <w:numId w:val="171"/>
              </w:numPr>
              <w:tabs>
                <w:tab w:pos="359" w:val="left" w:leader="none"/>
              </w:tabs>
              <w:spacing w:line="240" w:lineRule="auto" w:before="0" w:after="0"/>
              <w:ind w:left="359" w:right="59" w:hanging="288"/>
              <w:jc w:val="both"/>
              <w:rPr>
                <w:sz w:val="20"/>
              </w:rPr>
            </w:pPr>
            <w:r>
              <w:rPr>
                <w:sz w:val="20"/>
              </w:rPr>
              <w:t>Otras evaluaciones específicas que </w:t>
            </w:r>
            <w:r>
              <w:rPr>
                <w:sz w:val="20"/>
              </w:rPr>
              <w:t>se </w:t>
            </w:r>
            <w:r>
              <w:rPr>
                <w:spacing w:val="-2"/>
                <w:sz w:val="20"/>
              </w:rPr>
              <w:t>requieran.</w:t>
            </w:r>
          </w:p>
        </w:tc>
        <w:tc>
          <w:tcPr>
            <w:tcW w:w="2591" w:type="dxa"/>
            <w:vMerge w:val="restart"/>
          </w:tcPr>
          <w:p>
            <w:pPr>
              <w:pStyle w:val="TableParagraph"/>
              <w:numPr>
                <w:ilvl w:val="0"/>
                <w:numId w:val="172"/>
              </w:numPr>
              <w:tabs>
                <w:tab w:pos="357" w:val="left" w:leader="none"/>
                <w:tab w:pos="359" w:val="left" w:leader="none"/>
              </w:tabs>
              <w:spacing w:line="240" w:lineRule="auto" w:before="0" w:after="0"/>
              <w:ind w:left="359" w:right="55" w:hanging="289"/>
              <w:jc w:val="both"/>
              <w:rPr>
                <w:sz w:val="20"/>
              </w:rPr>
            </w:pPr>
            <w:r>
              <w:rPr>
                <w:sz w:val="20"/>
              </w:rPr>
              <w:t>Pruebas de impulso cefálico</w:t>
            </w:r>
            <w:r>
              <w:rPr>
                <w:spacing w:val="-3"/>
                <w:sz w:val="20"/>
              </w:rPr>
              <w:t> </w:t>
            </w:r>
            <w:r>
              <w:rPr>
                <w:sz w:val="20"/>
              </w:rPr>
              <w:t>tridimensional y potenciales miogénicos evocados por estímulo </w:t>
            </w:r>
            <w:r>
              <w:rPr>
                <w:spacing w:val="-2"/>
                <w:sz w:val="20"/>
              </w:rPr>
              <w:t>vestibular.</w:t>
            </w:r>
          </w:p>
        </w:tc>
        <w:tc>
          <w:tcPr>
            <w:tcW w:w="1758" w:type="dxa"/>
          </w:tcPr>
          <w:p>
            <w:pPr>
              <w:pStyle w:val="TableParagraph"/>
              <w:tabs>
                <w:tab w:pos="1425" w:val="left" w:leader="none"/>
                <w:tab w:pos="1459" w:val="left" w:leader="none"/>
              </w:tabs>
              <w:spacing w:line="240" w:lineRule="auto"/>
              <w:ind w:left="70" w:right="60"/>
              <w:jc w:val="both"/>
              <w:rPr>
                <w:sz w:val="20"/>
              </w:rPr>
            </w:pPr>
            <w:r>
              <w:rPr>
                <w:sz w:val="20"/>
              </w:rPr>
              <w:t>Desequilibrio que </w:t>
            </w:r>
            <w:r>
              <w:rPr>
                <w:spacing w:val="-2"/>
                <w:sz w:val="20"/>
              </w:rPr>
              <w:t>interfiere</w:t>
            </w:r>
            <w:r>
              <w:rPr>
                <w:sz w:val="20"/>
              </w:rPr>
              <w:tab/>
              <w:tab/>
            </w:r>
            <w:r>
              <w:rPr>
                <w:spacing w:val="-6"/>
                <w:sz w:val="20"/>
              </w:rPr>
              <w:t>de </w:t>
            </w:r>
            <w:r>
              <w:rPr>
                <w:sz w:val="20"/>
              </w:rPr>
              <w:t>manera continua </w:t>
            </w:r>
            <w:r>
              <w:rPr>
                <w:spacing w:val="-5"/>
                <w:sz w:val="20"/>
              </w:rPr>
              <w:t>con</w:t>
            </w:r>
            <w:r>
              <w:rPr>
                <w:sz w:val="20"/>
              </w:rPr>
              <w:tab/>
            </w:r>
            <w:r>
              <w:rPr>
                <w:spacing w:val="-5"/>
                <w:sz w:val="20"/>
              </w:rPr>
              <w:t>las</w:t>
            </w:r>
          </w:p>
          <w:p>
            <w:pPr>
              <w:pStyle w:val="TableParagraph"/>
              <w:tabs>
                <w:tab w:pos="1348" w:val="left" w:leader="none"/>
              </w:tabs>
              <w:spacing w:line="240" w:lineRule="auto"/>
              <w:ind w:left="70" w:right="60"/>
              <w:jc w:val="left"/>
              <w:rPr>
                <w:sz w:val="20"/>
              </w:rPr>
            </w:pPr>
            <w:r>
              <w:rPr>
                <w:spacing w:val="-2"/>
                <w:sz w:val="20"/>
              </w:rPr>
              <w:t>actividades laborales,</w:t>
            </w:r>
            <w:r>
              <w:rPr>
                <w:sz w:val="20"/>
              </w:rPr>
              <w:tab/>
            </w:r>
            <w:r>
              <w:rPr>
                <w:spacing w:val="-4"/>
                <w:sz w:val="20"/>
              </w:rPr>
              <w:t>que </w:t>
            </w:r>
            <w:r>
              <w:rPr>
                <w:spacing w:val="-2"/>
                <w:sz w:val="20"/>
              </w:rPr>
              <w:t>impliquen movimientos</w:t>
            </w:r>
          </w:p>
          <w:p>
            <w:pPr>
              <w:pStyle w:val="TableParagraph"/>
              <w:spacing w:line="228" w:lineRule="exact"/>
              <w:ind w:left="70" w:right="60"/>
              <w:jc w:val="left"/>
              <w:rPr>
                <w:sz w:val="20"/>
              </w:rPr>
            </w:pPr>
            <w:r>
              <w:rPr>
                <w:spacing w:val="-2"/>
                <w:sz w:val="20"/>
              </w:rPr>
              <w:t>craneoencefálicos bruscos.</w:t>
            </w:r>
          </w:p>
        </w:tc>
        <w:tc>
          <w:tcPr>
            <w:tcW w:w="1425" w:type="dxa"/>
          </w:tcPr>
          <w:p>
            <w:pPr>
              <w:pStyle w:val="TableParagraph"/>
              <w:spacing w:line="227" w:lineRule="exact"/>
              <w:ind w:left="6"/>
              <w:rPr>
                <w:rFonts w:ascii="Arial"/>
                <w:b/>
                <w:sz w:val="20"/>
              </w:rPr>
            </w:pPr>
            <w:r>
              <w:rPr>
                <w:rFonts w:ascii="Arial"/>
                <w:b/>
                <w:spacing w:val="-10"/>
                <w:sz w:val="20"/>
              </w:rPr>
              <w:t>2</w:t>
            </w:r>
          </w:p>
          <w:p>
            <w:pPr>
              <w:pStyle w:val="TableParagraph"/>
              <w:spacing w:line="240" w:lineRule="auto" w:before="1"/>
              <w:ind w:left="0"/>
              <w:jc w:val="left"/>
              <w:rPr>
                <w:rFonts w:ascii="Arial"/>
                <w:b/>
                <w:sz w:val="20"/>
              </w:rPr>
            </w:pPr>
          </w:p>
          <w:p>
            <w:pPr>
              <w:pStyle w:val="TableParagraph"/>
              <w:spacing w:line="240" w:lineRule="auto"/>
              <w:ind w:left="6" w:right="4"/>
              <w:rPr>
                <w:rFonts w:ascii="Arial"/>
                <w:b/>
                <w:sz w:val="20"/>
              </w:rPr>
            </w:pPr>
            <w:r>
              <w:rPr>
                <w:rFonts w:ascii="Arial"/>
                <w:b/>
                <w:spacing w:val="-2"/>
                <w:sz w:val="20"/>
              </w:rPr>
              <w:t>Moderada</w:t>
            </w:r>
          </w:p>
        </w:tc>
        <w:tc>
          <w:tcPr>
            <w:tcW w:w="1321" w:type="dxa"/>
          </w:tcPr>
          <w:p>
            <w:pPr>
              <w:pStyle w:val="TableParagraph"/>
              <w:spacing w:line="229" w:lineRule="exact"/>
              <w:ind w:left="1"/>
              <w:rPr>
                <w:sz w:val="20"/>
              </w:rPr>
            </w:pPr>
            <w:r>
              <w:rPr>
                <w:spacing w:val="-2"/>
                <w:sz w:val="20"/>
              </w:rPr>
              <w:t>31-</w:t>
            </w:r>
            <w:r>
              <w:rPr>
                <w:spacing w:val="-5"/>
                <w:sz w:val="20"/>
              </w:rPr>
              <w:t>60%</w:t>
            </w:r>
          </w:p>
        </w:tc>
      </w:tr>
      <w:tr>
        <w:trPr>
          <w:trHeight w:val="2531" w:hRule="atLeast"/>
        </w:trPr>
        <w:tc>
          <w:tcPr>
            <w:tcW w:w="2458" w:type="dxa"/>
            <w:vMerge/>
            <w:tcBorders>
              <w:top w:val="nil"/>
            </w:tcBorders>
          </w:tcPr>
          <w:p>
            <w:pPr>
              <w:rPr>
                <w:sz w:val="2"/>
                <w:szCs w:val="2"/>
              </w:rPr>
            </w:pPr>
          </w:p>
        </w:tc>
        <w:tc>
          <w:tcPr>
            <w:tcW w:w="2591" w:type="dxa"/>
            <w:vMerge/>
            <w:tcBorders>
              <w:top w:val="nil"/>
            </w:tcBorders>
          </w:tcPr>
          <w:p>
            <w:pPr>
              <w:rPr>
                <w:sz w:val="2"/>
                <w:szCs w:val="2"/>
              </w:rPr>
            </w:pPr>
          </w:p>
        </w:tc>
        <w:tc>
          <w:tcPr>
            <w:tcW w:w="1758" w:type="dxa"/>
          </w:tcPr>
          <w:p>
            <w:pPr>
              <w:pStyle w:val="TableParagraph"/>
              <w:tabs>
                <w:tab w:pos="1425" w:val="left" w:leader="none"/>
                <w:tab w:pos="1459" w:val="left" w:leader="none"/>
              </w:tabs>
              <w:spacing w:line="240" w:lineRule="auto"/>
              <w:ind w:left="70" w:right="60"/>
              <w:jc w:val="both"/>
              <w:rPr>
                <w:sz w:val="20"/>
              </w:rPr>
            </w:pPr>
            <w:r>
              <w:rPr>
                <w:sz w:val="20"/>
              </w:rPr>
              <w:t>Desequilibrio que </w:t>
            </w:r>
            <w:r>
              <w:rPr>
                <w:spacing w:val="-2"/>
                <w:sz w:val="20"/>
              </w:rPr>
              <w:t>interfiere</w:t>
            </w:r>
            <w:r>
              <w:rPr>
                <w:sz w:val="20"/>
              </w:rPr>
              <w:tab/>
              <w:tab/>
            </w:r>
            <w:r>
              <w:rPr>
                <w:spacing w:val="-6"/>
                <w:sz w:val="20"/>
              </w:rPr>
              <w:t>de </w:t>
            </w:r>
            <w:r>
              <w:rPr>
                <w:sz w:val="20"/>
              </w:rPr>
              <w:t>manera continua </w:t>
            </w:r>
            <w:r>
              <w:rPr>
                <w:spacing w:val="-5"/>
                <w:sz w:val="20"/>
              </w:rPr>
              <w:t>con</w:t>
            </w:r>
            <w:r>
              <w:rPr>
                <w:sz w:val="20"/>
              </w:rPr>
              <w:tab/>
            </w:r>
            <w:r>
              <w:rPr>
                <w:spacing w:val="-5"/>
                <w:sz w:val="20"/>
              </w:rPr>
              <w:t>las</w:t>
            </w:r>
          </w:p>
          <w:p>
            <w:pPr>
              <w:pStyle w:val="TableParagraph"/>
              <w:spacing w:line="240" w:lineRule="auto" w:before="1"/>
              <w:ind w:left="70" w:right="60"/>
              <w:jc w:val="both"/>
              <w:rPr>
                <w:sz w:val="20"/>
              </w:rPr>
            </w:pPr>
            <w:r>
              <w:rPr>
                <w:spacing w:val="-2"/>
                <w:sz w:val="20"/>
              </w:rPr>
              <w:t>actividades </w:t>
            </w:r>
            <w:r>
              <w:rPr>
                <w:sz w:val="20"/>
              </w:rPr>
              <w:t>laborales</w:t>
            </w:r>
            <w:r>
              <w:rPr>
                <w:spacing w:val="68"/>
                <w:w w:val="150"/>
                <w:sz w:val="20"/>
              </w:rPr>
              <w:t>   </w:t>
            </w:r>
            <w:r>
              <w:rPr>
                <w:spacing w:val="-5"/>
                <w:sz w:val="20"/>
              </w:rPr>
              <w:t>aun</w:t>
            </w:r>
          </w:p>
          <w:p>
            <w:pPr>
              <w:pStyle w:val="TableParagraph"/>
              <w:tabs>
                <w:tab w:pos="1459" w:val="left" w:leader="none"/>
              </w:tabs>
              <w:spacing w:line="240" w:lineRule="auto"/>
              <w:ind w:left="70" w:right="60"/>
              <w:jc w:val="left"/>
              <w:rPr>
                <w:sz w:val="20"/>
              </w:rPr>
            </w:pPr>
            <w:r>
              <w:rPr>
                <w:spacing w:val="-2"/>
                <w:sz w:val="20"/>
              </w:rPr>
              <w:t>cuando</w:t>
            </w:r>
            <w:r>
              <w:rPr>
                <w:sz w:val="20"/>
              </w:rPr>
              <w:tab/>
            </w:r>
            <w:r>
              <w:rPr>
                <w:spacing w:val="-6"/>
                <w:sz w:val="20"/>
              </w:rPr>
              <w:t>no </w:t>
            </w:r>
            <w:r>
              <w:rPr>
                <w:spacing w:val="-2"/>
                <w:sz w:val="20"/>
              </w:rPr>
              <w:t>impliquen movimientos</w:t>
            </w:r>
          </w:p>
          <w:p>
            <w:pPr>
              <w:pStyle w:val="TableParagraph"/>
              <w:spacing w:line="230" w:lineRule="atLeast"/>
              <w:ind w:left="70" w:right="60"/>
              <w:jc w:val="left"/>
              <w:rPr>
                <w:sz w:val="20"/>
              </w:rPr>
            </w:pPr>
            <w:r>
              <w:rPr>
                <w:spacing w:val="-2"/>
                <w:sz w:val="20"/>
              </w:rPr>
              <w:t>craneoencefálicos bruscos.</w:t>
            </w:r>
          </w:p>
        </w:tc>
        <w:tc>
          <w:tcPr>
            <w:tcW w:w="1425" w:type="dxa"/>
          </w:tcPr>
          <w:p>
            <w:pPr>
              <w:pStyle w:val="TableParagraph"/>
              <w:spacing w:line="227" w:lineRule="exact"/>
              <w:ind w:left="6"/>
              <w:rPr>
                <w:rFonts w:ascii="Arial"/>
                <w:b/>
                <w:sz w:val="20"/>
              </w:rPr>
            </w:pPr>
            <w:r>
              <w:rPr>
                <w:rFonts w:ascii="Arial"/>
                <w:b/>
                <w:spacing w:val="-10"/>
                <w:sz w:val="20"/>
              </w:rPr>
              <w:t>3</w:t>
            </w:r>
          </w:p>
          <w:p>
            <w:pPr>
              <w:pStyle w:val="TableParagraph"/>
              <w:spacing w:line="240" w:lineRule="auto"/>
              <w:ind w:left="0"/>
              <w:jc w:val="left"/>
              <w:rPr>
                <w:rFonts w:ascii="Arial"/>
                <w:b/>
                <w:sz w:val="20"/>
              </w:rPr>
            </w:pPr>
          </w:p>
          <w:p>
            <w:pPr>
              <w:pStyle w:val="TableParagraph"/>
              <w:spacing w:line="240" w:lineRule="auto" w:before="1"/>
              <w:ind w:left="6"/>
              <w:rPr>
                <w:rFonts w:ascii="Arial"/>
                <w:b/>
                <w:sz w:val="20"/>
              </w:rPr>
            </w:pPr>
            <w:r>
              <w:rPr>
                <w:rFonts w:ascii="Arial"/>
                <w:b/>
                <w:spacing w:val="-2"/>
                <w:sz w:val="20"/>
              </w:rPr>
              <w:t>Severa</w:t>
            </w:r>
          </w:p>
        </w:tc>
        <w:tc>
          <w:tcPr>
            <w:tcW w:w="1321" w:type="dxa"/>
          </w:tcPr>
          <w:p>
            <w:pPr>
              <w:pStyle w:val="TableParagraph"/>
              <w:spacing w:line="229" w:lineRule="exact"/>
              <w:ind w:left="1"/>
              <w:rPr>
                <w:sz w:val="20"/>
              </w:rPr>
            </w:pPr>
            <w:r>
              <w:rPr>
                <w:spacing w:val="-2"/>
                <w:sz w:val="20"/>
              </w:rPr>
              <w:t>61-</w:t>
            </w:r>
            <w:r>
              <w:rPr>
                <w:spacing w:val="-5"/>
                <w:sz w:val="20"/>
              </w:rPr>
              <w:t>90%</w:t>
            </w:r>
          </w:p>
        </w:tc>
      </w:tr>
      <w:tr>
        <w:trPr>
          <w:trHeight w:val="2529" w:hRule="atLeast"/>
        </w:trPr>
        <w:tc>
          <w:tcPr>
            <w:tcW w:w="2458" w:type="dxa"/>
            <w:vMerge/>
            <w:tcBorders>
              <w:top w:val="nil"/>
            </w:tcBorders>
          </w:tcPr>
          <w:p>
            <w:pPr>
              <w:rPr>
                <w:sz w:val="2"/>
                <w:szCs w:val="2"/>
              </w:rPr>
            </w:pPr>
          </w:p>
        </w:tc>
        <w:tc>
          <w:tcPr>
            <w:tcW w:w="2591" w:type="dxa"/>
            <w:vMerge/>
            <w:tcBorders>
              <w:top w:val="nil"/>
            </w:tcBorders>
          </w:tcPr>
          <w:p>
            <w:pPr>
              <w:rPr>
                <w:sz w:val="2"/>
                <w:szCs w:val="2"/>
              </w:rPr>
            </w:pPr>
          </w:p>
        </w:tc>
        <w:tc>
          <w:tcPr>
            <w:tcW w:w="1758" w:type="dxa"/>
          </w:tcPr>
          <w:p>
            <w:pPr>
              <w:pStyle w:val="TableParagraph"/>
              <w:tabs>
                <w:tab w:pos="1526" w:val="left" w:leader="none"/>
              </w:tabs>
              <w:spacing w:line="240" w:lineRule="auto"/>
              <w:ind w:left="70" w:right="60"/>
              <w:jc w:val="left"/>
              <w:rPr>
                <w:sz w:val="20"/>
              </w:rPr>
            </w:pPr>
            <w:r>
              <w:rPr>
                <w:sz w:val="20"/>
              </w:rPr>
              <w:t>Desequilibrio</w:t>
            </w:r>
            <w:r>
              <w:rPr>
                <w:spacing w:val="27"/>
                <w:sz w:val="20"/>
              </w:rPr>
              <w:t> </w:t>
            </w:r>
            <w:r>
              <w:rPr>
                <w:sz w:val="20"/>
              </w:rPr>
              <w:t>que </w:t>
            </w:r>
            <w:r>
              <w:rPr>
                <w:spacing w:val="-2"/>
                <w:sz w:val="20"/>
              </w:rPr>
              <w:t>impide</w:t>
            </w:r>
            <w:r>
              <w:rPr>
                <w:sz w:val="20"/>
              </w:rPr>
              <w:tab/>
            </w:r>
            <w:r>
              <w:rPr>
                <w:spacing w:val="-5"/>
                <w:sz w:val="20"/>
              </w:rPr>
              <w:t>la</w:t>
            </w:r>
          </w:p>
          <w:p>
            <w:pPr>
              <w:pStyle w:val="TableParagraph"/>
              <w:tabs>
                <w:tab w:pos="1024" w:val="left" w:leader="none"/>
                <w:tab w:pos="1425" w:val="left" w:leader="none"/>
                <w:tab w:pos="1583" w:val="left" w:leader="none"/>
              </w:tabs>
              <w:spacing w:line="240" w:lineRule="auto"/>
              <w:ind w:left="70" w:right="58"/>
              <w:jc w:val="left"/>
              <w:rPr>
                <w:sz w:val="20"/>
              </w:rPr>
            </w:pPr>
            <w:r>
              <w:rPr>
                <w:spacing w:val="-2"/>
                <w:sz w:val="20"/>
              </w:rPr>
              <w:t>deambulación independiente</w:t>
            </w:r>
            <w:r>
              <w:rPr>
                <w:sz w:val="20"/>
              </w:rPr>
              <w:tab/>
              <w:tab/>
            </w:r>
            <w:r>
              <w:rPr>
                <w:spacing w:val="-10"/>
                <w:sz w:val="20"/>
              </w:rPr>
              <w:t>y </w:t>
            </w:r>
            <w:r>
              <w:rPr>
                <w:spacing w:val="-2"/>
                <w:sz w:val="20"/>
              </w:rPr>
              <w:t>requiere</w:t>
            </w:r>
            <w:r>
              <w:rPr>
                <w:spacing w:val="40"/>
                <w:sz w:val="20"/>
              </w:rPr>
              <w:t> </w:t>
            </w:r>
            <w:r>
              <w:rPr>
                <w:spacing w:val="-2"/>
                <w:sz w:val="20"/>
              </w:rPr>
              <w:t>asistencia </w:t>
            </w:r>
            <w:r>
              <w:rPr>
                <w:sz w:val="20"/>
              </w:rPr>
              <w:t>continua</w:t>
            </w:r>
            <w:r>
              <w:rPr>
                <w:spacing w:val="40"/>
                <w:sz w:val="20"/>
              </w:rPr>
              <w:t> </w:t>
            </w:r>
            <w:r>
              <w:rPr>
                <w:sz w:val="20"/>
              </w:rPr>
              <w:t>de</w:t>
            </w:r>
            <w:r>
              <w:rPr>
                <w:spacing w:val="40"/>
                <w:sz w:val="20"/>
              </w:rPr>
              <w:t> </w:t>
            </w:r>
            <w:r>
              <w:rPr>
                <w:sz w:val="20"/>
              </w:rPr>
              <w:t>otra </w:t>
            </w:r>
            <w:r>
              <w:rPr>
                <w:spacing w:val="-2"/>
                <w:sz w:val="20"/>
              </w:rPr>
              <w:t>persona.</w:t>
            </w:r>
            <w:r>
              <w:rPr>
                <w:sz w:val="20"/>
              </w:rPr>
              <w:tab/>
              <w:tab/>
            </w:r>
            <w:r>
              <w:rPr>
                <w:spacing w:val="-6"/>
                <w:sz w:val="20"/>
              </w:rPr>
              <w:t>No </w:t>
            </w:r>
            <w:r>
              <w:rPr>
                <w:spacing w:val="-2"/>
                <w:sz w:val="20"/>
              </w:rPr>
              <w:t>puede</w:t>
            </w:r>
            <w:r>
              <w:rPr>
                <w:sz w:val="20"/>
              </w:rPr>
              <w:tab/>
            </w:r>
            <w:r>
              <w:rPr>
                <w:spacing w:val="-2"/>
                <w:sz w:val="20"/>
              </w:rPr>
              <w:t>realizar </w:t>
            </w:r>
            <w:r>
              <w:rPr>
                <w:sz w:val="20"/>
              </w:rPr>
              <w:t>ninguna</w:t>
            </w:r>
            <w:r>
              <w:rPr>
                <w:spacing w:val="45"/>
                <w:sz w:val="20"/>
              </w:rPr>
              <w:t> </w:t>
            </w:r>
            <w:r>
              <w:rPr>
                <w:spacing w:val="-2"/>
                <w:sz w:val="20"/>
              </w:rPr>
              <w:t>actividad</w:t>
            </w:r>
          </w:p>
          <w:p>
            <w:pPr>
              <w:pStyle w:val="TableParagraph"/>
              <w:ind w:left="70"/>
              <w:jc w:val="left"/>
              <w:rPr>
                <w:sz w:val="20"/>
              </w:rPr>
            </w:pPr>
            <w:r>
              <w:rPr>
                <w:spacing w:val="-2"/>
                <w:sz w:val="20"/>
              </w:rPr>
              <w:t>laboral.</w:t>
            </w:r>
          </w:p>
        </w:tc>
        <w:tc>
          <w:tcPr>
            <w:tcW w:w="1425" w:type="dxa"/>
          </w:tcPr>
          <w:p>
            <w:pPr>
              <w:pStyle w:val="TableParagraph"/>
              <w:spacing w:line="240" w:lineRule="auto"/>
              <w:ind w:left="496" w:hanging="360"/>
              <w:jc w:val="left"/>
              <w:rPr>
                <w:rFonts w:ascii="Arial"/>
                <w:b/>
                <w:sz w:val="20"/>
              </w:rPr>
            </w:pPr>
            <w:r>
              <w:rPr>
                <w:rFonts w:ascii="Arial"/>
                <w:b/>
                <w:spacing w:val="-2"/>
                <w:sz w:val="20"/>
              </w:rPr>
              <w:t>Permanente total</w:t>
            </w:r>
          </w:p>
        </w:tc>
        <w:tc>
          <w:tcPr>
            <w:tcW w:w="1321" w:type="dxa"/>
          </w:tcPr>
          <w:p>
            <w:pPr>
              <w:pStyle w:val="TableParagraph"/>
              <w:spacing w:line="229" w:lineRule="exact"/>
              <w:ind w:left="1"/>
              <w:rPr>
                <w:sz w:val="20"/>
              </w:rPr>
            </w:pPr>
            <w:r>
              <w:rPr>
                <w:spacing w:val="-4"/>
                <w:sz w:val="20"/>
              </w:rPr>
              <w:t>100%</w:t>
            </w:r>
          </w:p>
        </w:tc>
      </w:tr>
      <w:tr>
        <w:trPr>
          <w:trHeight w:val="691" w:hRule="atLeast"/>
        </w:trPr>
        <w:tc>
          <w:tcPr>
            <w:tcW w:w="9553" w:type="dxa"/>
            <w:gridSpan w:val="5"/>
          </w:tcPr>
          <w:p>
            <w:pPr>
              <w:pStyle w:val="TableParagraph"/>
              <w:spacing w:line="230" w:lineRule="exact"/>
              <w:ind w:right="65"/>
              <w:jc w:val="both"/>
              <w:rPr>
                <w:sz w:val="20"/>
              </w:rPr>
            </w:pPr>
            <w:r>
              <w:rPr>
                <w:sz w:val="20"/>
              </w:rPr>
              <w:t>Adicionalmente a lo establecido en el artículo 492 de la Ley Federal del Trabajo, se debe considerar otorgar el valor máximo del rango del porcentaje de incapacidad, cuando el desempeño de sus actividades laborales pueda poner en riesgo su vida, la de terceros o el patrimonio.</w:t>
            </w:r>
          </w:p>
        </w:tc>
      </w:tr>
    </w:tbl>
    <w:p>
      <w:pPr>
        <w:pStyle w:val="BodyText"/>
        <w:spacing w:before="2"/>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8"/>
        <w:gridCol w:w="6902"/>
        <w:gridCol w:w="1580"/>
      </w:tblGrid>
      <w:tr>
        <w:trPr>
          <w:trHeight w:val="229" w:hRule="atLeast"/>
        </w:trPr>
        <w:tc>
          <w:tcPr>
            <w:tcW w:w="1068" w:type="dxa"/>
          </w:tcPr>
          <w:p>
            <w:pPr>
              <w:pStyle w:val="TableParagraph"/>
              <w:ind w:left="11"/>
              <w:rPr>
                <w:sz w:val="20"/>
              </w:rPr>
            </w:pPr>
            <w:r>
              <w:rPr>
                <w:spacing w:val="-5"/>
                <w:sz w:val="20"/>
              </w:rPr>
              <w:t>429</w:t>
            </w:r>
          </w:p>
        </w:tc>
        <w:tc>
          <w:tcPr>
            <w:tcW w:w="6902" w:type="dxa"/>
          </w:tcPr>
          <w:p>
            <w:pPr>
              <w:pStyle w:val="TableParagraph"/>
              <w:jc w:val="left"/>
              <w:rPr>
                <w:sz w:val="20"/>
              </w:rPr>
            </w:pPr>
            <w:r>
              <w:rPr>
                <w:sz w:val="20"/>
              </w:rPr>
              <w:t>Disfunción</w:t>
            </w:r>
            <w:r>
              <w:rPr>
                <w:spacing w:val="-11"/>
                <w:sz w:val="20"/>
              </w:rPr>
              <w:t> </w:t>
            </w:r>
            <w:r>
              <w:rPr>
                <w:sz w:val="20"/>
              </w:rPr>
              <w:t>tubárica</w:t>
            </w:r>
            <w:r>
              <w:rPr>
                <w:spacing w:val="-9"/>
                <w:sz w:val="20"/>
              </w:rPr>
              <w:t> </w:t>
            </w:r>
            <w:r>
              <w:rPr>
                <w:sz w:val="20"/>
              </w:rPr>
              <w:t>crónica</w:t>
            </w:r>
            <w:r>
              <w:rPr>
                <w:spacing w:val="-8"/>
                <w:sz w:val="20"/>
              </w:rPr>
              <w:t> </w:t>
            </w:r>
            <w:r>
              <w:rPr>
                <w:sz w:val="20"/>
              </w:rPr>
              <w:t>bilateral,</w:t>
            </w:r>
            <w:r>
              <w:rPr>
                <w:spacing w:val="-9"/>
                <w:sz w:val="20"/>
              </w:rPr>
              <w:t> </w:t>
            </w:r>
            <w:r>
              <w:rPr>
                <w:sz w:val="20"/>
              </w:rPr>
              <w:t>resistente</w:t>
            </w:r>
            <w:r>
              <w:rPr>
                <w:spacing w:val="-10"/>
                <w:sz w:val="20"/>
              </w:rPr>
              <w:t> </w:t>
            </w:r>
            <w:r>
              <w:rPr>
                <w:sz w:val="20"/>
              </w:rPr>
              <w:t>a</w:t>
            </w:r>
            <w:r>
              <w:rPr>
                <w:spacing w:val="-10"/>
                <w:sz w:val="20"/>
              </w:rPr>
              <w:t> </w:t>
            </w:r>
            <w:r>
              <w:rPr>
                <w:spacing w:val="-2"/>
                <w:sz w:val="20"/>
              </w:rPr>
              <w:t>tratamiento.</w:t>
            </w:r>
          </w:p>
        </w:tc>
        <w:tc>
          <w:tcPr>
            <w:tcW w:w="1580" w:type="dxa"/>
          </w:tcPr>
          <w:p>
            <w:pPr>
              <w:pStyle w:val="TableParagraph"/>
              <w:ind w:left="7" w:right="3"/>
              <w:rPr>
                <w:sz w:val="20"/>
              </w:rPr>
            </w:pPr>
            <w:r>
              <w:rPr>
                <w:sz w:val="20"/>
              </w:rPr>
              <w:t>30</w:t>
            </w:r>
            <w:r>
              <w:rPr>
                <w:spacing w:val="-3"/>
                <w:sz w:val="20"/>
              </w:rPr>
              <w:t> </w:t>
            </w:r>
            <w:r>
              <w:rPr>
                <w:sz w:val="20"/>
              </w:rPr>
              <w:t>a</w:t>
            </w:r>
            <w:r>
              <w:rPr>
                <w:spacing w:val="-1"/>
                <w:sz w:val="20"/>
              </w:rPr>
              <w:t> </w:t>
            </w:r>
            <w:r>
              <w:rPr>
                <w:spacing w:val="-5"/>
                <w:sz w:val="20"/>
              </w:rPr>
              <w:t>40%</w:t>
            </w:r>
          </w:p>
        </w:tc>
      </w:tr>
      <w:tr>
        <w:trPr>
          <w:trHeight w:val="229" w:hRule="atLeast"/>
        </w:trPr>
        <w:tc>
          <w:tcPr>
            <w:tcW w:w="1068" w:type="dxa"/>
          </w:tcPr>
          <w:p>
            <w:pPr>
              <w:pStyle w:val="TableParagraph"/>
              <w:ind w:left="11"/>
              <w:rPr>
                <w:sz w:val="20"/>
              </w:rPr>
            </w:pPr>
            <w:r>
              <w:rPr>
                <w:spacing w:val="-5"/>
                <w:sz w:val="20"/>
              </w:rPr>
              <w:t>430</w:t>
            </w:r>
          </w:p>
        </w:tc>
        <w:tc>
          <w:tcPr>
            <w:tcW w:w="6902" w:type="dxa"/>
          </w:tcPr>
          <w:p>
            <w:pPr>
              <w:pStyle w:val="TableParagraph"/>
              <w:jc w:val="left"/>
              <w:rPr>
                <w:sz w:val="20"/>
              </w:rPr>
            </w:pPr>
            <w:r>
              <w:rPr>
                <w:sz w:val="20"/>
              </w:rPr>
              <w:t>Disfunción</w:t>
            </w:r>
            <w:r>
              <w:rPr>
                <w:spacing w:val="-11"/>
                <w:sz w:val="20"/>
              </w:rPr>
              <w:t> </w:t>
            </w:r>
            <w:r>
              <w:rPr>
                <w:sz w:val="20"/>
              </w:rPr>
              <w:t>tubárica</w:t>
            </w:r>
            <w:r>
              <w:rPr>
                <w:spacing w:val="-9"/>
                <w:sz w:val="20"/>
              </w:rPr>
              <w:t> </w:t>
            </w:r>
            <w:r>
              <w:rPr>
                <w:sz w:val="20"/>
              </w:rPr>
              <w:t>crónica</w:t>
            </w:r>
            <w:r>
              <w:rPr>
                <w:spacing w:val="-8"/>
                <w:sz w:val="20"/>
              </w:rPr>
              <w:t> </w:t>
            </w:r>
            <w:r>
              <w:rPr>
                <w:sz w:val="20"/>
              </w:rPr>
              <w:t>unilateral,</w:t>
            </w:r>
            <w:r>
              <w:rPr>
                <w:spacing w:val="-10"/>
                <w:sz w:val="20"/>
              </w:rPr>
              <w:t> </w:t>
            </w:r>
            <w:r>
              <w:rPr>
                <w:sz w:val="20"/>
              </w:rPr>
              <w:t>resistente</w:t>
            </w:r>
            <w:r>
              <w:rPr>
                <w:spacing w:val="-10"/>
                <w:sz w:val="20"/>
              </w:rPr>
              <w:t> </w:t>
            </w:r>
            <w:r>
              <w:rPr>
                <w:sz w:val="20"/>
              </w:rPr>
              <w:t>a</w:t>
            </w:r>
            <w:r>
              <w:rPr>
                <w:spacing w:val="-8"/>
                <w:sz w:val="20"/>
              </w:rPr>
              <w:t> </w:t>
            </w:r>
            <w:r>
              <w:rPr>
                <w:spacing w:val="-2"/>
                <w:sz w:val="20"/>
              </w:rPr>
              <w:t>tratamiento.</w:t>
            </w:r>
          </w:p>
        </w:tc>
        <w:tc>
          <w:tcPr>
            <w:tcW w:w="1580" w:type="dxa"/>
          </w:tcPr>
          <w:p>
            <w:pPr>
              <w:pStyle w:val="TableParagraph"/>
              <w:ind w:left="7" w:right="3"/>
              <w:rPr>
                <w:sz w:val="20"/>
              </w:rPr>
            </w:pPr>
            <w:r>
              <w:rPr>
                <w:sz w:val="20"/>
              </w:rPr>
              <w:t>15</w:t>
            </w:r>
            <w:r>
              <w:rPr>
                <w:spacing w:val="-3"/>
                <w:sz w:val="20"/>
              </w:rPr>
              <w:t> </w:t>
            </w:r>
            <w:r>
              <w:rPr>
                <w:sz w:val="20"/>
              </w:rPr>
              <w:t>a</w:t>
            </w:r>
            <w:r>
              <w:rPr>
                <w:spacing w:val="-1"/>
                <w:sz w:val="20"/>
              </w:rPr>
              <w:t> </w:t>
            </w:r>
            <w:r>
              <w:rPr>
                <w:spacing w:val="-5"/>
                <w:sz w:val="20"/>
              </w:rPr>
              <w:t>20%</w:t>
            </w:r>
          </w:p>
        </w:tc>
      </w:tr>
      <w:tr>
        <w:trPr>
          <w:trHeight w:val="229" w:hRule="atLeast"/>
        </w:trPr>
        <w:tc>
          <w:tcPr>
            <w:tcW w:w="1068" w:type="dxa"/>
          </w:tcPr>
          <w:p>
            <w:pPr>
              <w:pStyle w:val="TableParagraph"/>
              <w:ind w:left="11"/>
              <w:rPr>
                <w:sz w:val="20"/>
              </w:rPr>
            </w:pPr>
            <w:r>
              <w:rPr>
                <w:spacing w:val="-5"/>
                <w:sz w:val="20"/>
              </w:rPr>
              <w:t>431</w:t>
            </w:r>
          </w:p>
        </w:tc>
        <w:tc>
          <w:tcPr>
            <w:tcW w:w="6902" w:type="dxa"/>
          </w:tcPr>
          <w:p>
            <w:pPr>
              <w:pStyle w:val="TableParagraph"/>
              <w:jc w:val="left"/>
              <w:rPr>
                <w:sz w:val="20"/>
              </w:rPr>
            </w:pPr>
            <w:r>
              <w:rPr>
                <w:sz w:val="20"/>
              </w:rPr>
              <w:t>Acufeno</w:t>
            </w:r>
            <w:r>
              <w:rPr>
                <w:spacing w:val="-12"/>
                <w:sz w:val="20"/>
              </w:rPr>
              <w:t> </w:t>
            </w:r>
            <w:r>
              <w:rPr>
                <w:sz w:val="20"/>
              </w:rPr>
              <w:t>bilateral</w:t>
            </w:r>
            <w:r>
              <w:rPr>
                <w:spacing w:val="-12"/>
                <w:sz w:val="20"/>
              </w:rPr>
              <w:t> </w:t>
            </w:r>
            <w:r>
              <w:rPr>
                <w:sz w:val="20"/>
              </w:rPr>
              <w:t>debidamente</w:t>
            </w:r>
            <w:r>
              <w:rPr>
                <w:spacing w:val="-12"/>
                <w:sz w:val="20"/>
              </w:rPr>
              <w:t> </w:t>
            </w:r>
            <w:r>
              <w:rPr>
                <w:spacing w:val="-2"/>
                <w:sz w:val="20"/>
              </w:rPr>
              <w:t>comprobado.</w:t>
            </w:r>
          </w:p>
        </w:tc>
        <w:tc>
          <w:tcPr>
            <w:tcW w:w="1580" w:type="dxa"/>
          </w:tcPr>
          <w:p>
            <w:pPr>
              <w:pStyle w:val="TableParagraph"/>
              <w:ind w:left="7" w:right="1"/>
              <w:rPr>
                <w:sz w:val="20"/>
              </w:rPr>
            </w:pPr>
            <w:r>
              <w:rPr>
                <w:spacing w:val="-5"/>
                <w:sz w:val="20"/>
              </w:rPr>
              <w:t>10%</w:t>
            </w:r>
          </w:p>
        </w:tc>
      </w:tr>
      <w:tr>
        <w:trPr>
          <w:trHeight w:val="460" w:hRule="atLeast"/>
        </w:trPr>
        <w:tc>
          <w:tcPr>
            <w:tcW w:w="1068" w:type="dxa"/>
          </w:tcPr>
          <w:p>
            <w:pPr>
              <w:pStyle w:val="TableParagraph"/>
              <w:spacing w:line="240" w:lineRule="auto" w:before="114"/>
              <w:ind w:left="11"/>
              <w:rPr>
                <w:sz w:val="20"/>
              </w:rPr>
            </w:pPr>
            <w:r>
              <w:rPr>
                <w:spacing w:val="-5"/>
                <w:sz w:val="20"/>
              </w:rPr>
              <w:t>432</w:t>
            </w:r>
          </w:p>
        </w:tc>
        <w:tc>
          <w:tcPr>
            <w:tcW w:w="6902" w:type="dxa"/>
          </w:tcPr>
          <w:p>
            <w:pPr>
              <w:pStyle w:val="TableParagraph"/>
              <w:spacing w:line="230" w:lineRule="exact"/>
              <w:jc w:val="left"/>
              <w:rPr>
                <w:sz w:val="20"/>
              </w:rPr>
            </w:pPr>
            <w:r>
              <w:rPr>
                <w:sz w:val="20"/>
              </w:rPr>
              <w:t>Sorderas</w:t>
            </w:r>
            <w:r>
              <w:rPr>
                <w:spacing w:val="-4"/>
                <w:sz w:val="20"/>
              </w:rPr>
              <w:t> </w:t>
            </w:r>
            <w:r>
              <w:rPr>
                <w:sz w:val="20"/>
              </w:rPr>
              <w:t>e</w:t>
            </w:r>
            <w:r>
              <w:rPr>
                <w:spacing w:val="-3"/>
                <w:sz w:val="20"/>
              </w:rPr>
              <w:t> </w:t>
            </w:r>
            <w:r>
              <w:rPr>
                <w:sz w:val="20"/>
              </w:rPr>
              <w:t>hipoacusias</w:t>
            </w:r>
            <w:r>
              <w:rPr>
                <w:spacing w:val="-4"/>
                <w:sz w:val="20"/>
              </w:rPr>
              <w:t> </w:t>
            </w:r>
            <w:r>
              <w:rPr>
                <w:sz w:val="20"/>
              </w:rPr>
              <w:t>profesionales.</w:t>
            </w:r>
            <w:r>
              <w:rPr>
                <w:spacing w:val="-5"/>
                <w:sz w:val="20"/>
              </w:rPr>
              <w:t> </w:t>
            </w:r>
            <w:r>
              <w:rPr>
                <w:sz w:val="20"/>
              </w:rPr>
              <w:t>Se</w:t>
            </w:r>
            <w:r>
              <w:rPr>
                <w:spacing w:val="-3"/>
                <w:sz w:val="20"/>
              </w:rPr>
              <w:t> </w:t>
            </w:r>
            <w:r>
              <w:rPr>
                <w:sz w:val="20"/>
              </w:rPr>
              <w:t>valuarán</w:t>
            </w:r>
            <w:r>
              <w:rPr>
                <w:spacing w:val="-5"/>
                <w:sz w:val="20"/>
              </w:rPr>
              <w:t> </w:t>
            </w:r>
            <w:r>
              <w:rPr>
                <w:sz w:val="20"/>
              </w:rPr>
              <w:t>siguiendo</w:t>
            </w:r>
            <w:r>
              <w:rPr>
                <w:spacing w:val="-3"/>
                <w:sz w:val="20"/>
              </w:rPr>
              <w:t> </w:t>
            </w:r>
            <w:r>
              <w:rPr>
                <w:sz w:val="20"/>
              </w:rPr>
              <w:t>las</w:t>
            </w:r>
            <w:r>
              <w:rPr>
                <w:spacing w:val="-4"/>
                <w:sz w:val="20"/>
              </w:rPr>
              <w:t> </w:t>
            </w:r>
            <w:r>
              <w:rPr>
                <w:sz w:val="20"/>
              </w:rPr>
              <w:t>normas</w:t>
            </w:r>
            <w:r>
              <w:rPr>
                <w:spacing w:val="-4"/>
                <w:sz w:val="20"/>
              </w:rPr>
              <w:t> </w:t>
            </w:r>
            <w:r>
              <w:rPr>
                <w:sz w:val="20"/>
              </w:rPr>
              <w:t>de la Tabla III-B.</w:t>
            </w:r>
          </w:p>
        </w:tc>
        <w:tc>
          <w:tcPr>
            <w:tcW w:w="1580" w:type="dxa"/>
          </w:tcPr>
          <w:p>
            <w:pPr>
              <w:pStyle w:val="TableParagraph"/>
              <w:spacing w:line="240" w:lineRule="auto" w:before="114"/>
              <w:ind w:left="7"/>
              <w:rPr>
                <w:sz w:val="20"/>
              </w:rPr>
            </w:pPr>
            <w:r>
              <w:rPr>
                <w:spacing w:val="-2"/>
                <w:sz w:val="20"/>
              </w:rPr>
              <w:t>-</w:t>
            </w:r>
            <w:r>
              <w:rPr>
                <w:spacing w:val="-12"/>
                <w:sz w:val="20"/>
              </w:rPr>
              <w:t>-</w:t>
            </w:r>
          </w:p>
        </w:tc>
      </w:tr>
    </w:tbl>
    <w:p>
      <w:pPr>
        <w:pStyle w:val="TableParagraph"/>
        <w:spacing w:after="0" w:line="240" w:lineRule="auto"/>
        <w:rPr>
          <w:sz w:val="20"/>
        </w:rPr>
        <w:sectPr>
          <w:pgSz w:w="12240" w:h="15840"/>
          <w:pgMar w:header="724" w:footer="712" w:top="1880" w:bottom="900" w:left="1080" w:right="1080"/>
        </w:sectPr>
      </w:pPr>
    </w:p>
    <w:p>
      <w:pPr>
        <w:pStyle w:val="BodyText"/>
        <w:spacing w:before="68"/>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87"/>
        <w:gridCol w:w="2878"/>
        <w:gridCol w:w="302"/>
        <w:gridCol w:w="2726"/>
        <w:gridCol w:w="1953"/>
      </w:tblGrid>
      <w:tr>
        <w:trPr>
          <w:trHeight w:val="688" w:hRule="atLeast"/>
        </w:trPr>
        <w:tc>
          <w:tcPr>
            <w:tcW w:w="9546" w:type="dxa"/>
            <w:gridSpan w:val="5"/>
            <w:shd w:val="clear" w:color="auto" w:fill="C0C0C0"/>
          </w:tcPr>
          <w:p>
            <w:pPr>
              <w:pStyle w:val="TableParagraph"/>
              <w:spacing w:line="227" w:lineRule="exact"/>
              <w:ind w:left="16"/>
              <w:rPr>
                <w:rFonts w:ascii="Arial"/>
                <w:b/>
                <w:sz w:val="20"/>
              </w:rPr>
            </w:pPr>
            <w:r>
              <w:rPr>
                <w:rFonts w:ascii="Arial"/>
                <w:b/>
                <w:sz w:val="20"/>
              </w:rPr>
              <w:t>Tabla</w:t>
            </w:r>
            <w:r>
              <w:rPr>
                <w:rFonts w:ascii="Arial"/>
                <w:b/>
                <w:spacing w:val="-11"/>
                <w:sz w:val="20"/>
              </w:rPr>
              <w:t> </w:t>
            </w:r>
            <w:r>
              <w:rPr>
                <w:rFonts w:ascii="Arial"/>
                <w:b/>
                <w:sz w:val="20"/>
              </w:rPr>
              <w:t>III-</w:t>
            </w:r>
            <w:r>
              <w:rPr>
                <w:rFonts w:ascii="Arial"/>
                <w:b/>
                <w:spacing w:val="-10"/>
                <w:sz w:val="20"/>
              </w:rPr>
              <w:t>B</w:t>
            </w:r>
          </w:p>
          <w:p>
            <w:pPr>
              <w:pStyle w:val="TableParagraph"/>
              <w:spacing w:line="213" w:lineRule="exact" w:before="228"/>
              <w:ind w:left="16" w:right="7"/>
              <w:rPr>
                <w:rFonts w:ascii="Arial"/>
                <w:b/>
                <w:sz w:val="20"/>
              </w:rPr>
            </w:pPr>
            <w:r>
              <w:rPr>
                <w:rFonts w:ascii="Arial"/>
                <w:b/>
                <w:sz w:val="20"/>
              </w:rPr>
              <w:t>Sorderas</w:t>
            </w:r>
            <w:r>
              <w:rPr>
                <w:rFonts w:ascii="Arial"/>
                <w:b/>
                <w:spacing w:val="-9"/>
                <w:sz w:val="20"/>
              </w:rPr>
              <w:t> </w:t>
            </w:r>
            <w:r>
              <w:rPr>
                <w:rFonts w:ascii="Arial"/>
                <w:b/>
                <w:sz w:val="20"/>
              </w:rPr>
              <w:t>e</w:t>
            </w:r>
            <w:r>
              <w:rPr>
                <w:rFonts w:ascii="Arial"/>
                <w:b/>
                <w:spacing w:val="-10"/>
                <w:sz w:val="20"/>
              </w:rPr>
              <w:t> </w:t>
            </w:r>
            <w:r>
              <w:rPr>
                <w:rFonts w:ascii="Arial"/>
                <w:b/>
                <w:sz w:val="20"/>
              </w:rPr>
              <w:t>hipoacusias</w:t>
            </w:r>
            <w:r>
              <w:rPr>
                <w:rFonts w:ascii="Arial"/>
                <w:b/>
                <w:spacing w:val="-10"/>
                <w:sz w:val="20"/>
              </w:rPr>
              <w:t> </w:t>
            </w:r>
            <w:r>
              <w:rPr>
                <w:rFonts w:ascii="Arial"/>
                <w:b/>
                <w:spacing w:val="-2"/>
                <w:sz w:val="20"/>
              </w:rPr>
              <w:t>profesionales</w:t>
            </w:r>
          </w:p>
        </w:tc>
      </w:tr>
      <w:tr>
        <w:trPr>
          <w:trHeight w:val="920" w:hRule="atLeast"/>
        </w:trPr>
        <w:tc>
          <w:tcPr>
            <w:tcW w:w="1687" w:type="dxa"/>
            <w:shd w:val="clear" w:color="auto" w:fill="C0C0C0"/>
          </w:tcPr>
          <w:p>
            <w:pPr>
              <w:pStyle w:val="TableParagraph"/>
              <w:spacing w:line="230" w:lineRule="exact"/>
              <w:ind w:left="12"/>
              <w:rPr>
                <w:rFonts w:ascii="Arial"/>
                <w:b/>
                <w:sz w:val="20"/>
              </w:rPr>
            </w:pPr>
            <w:r>
              <w:rPr>
                <w:rFonts w:ascii="Arial"/>
                <w:b/>
                <w:sz w:val="20"/>
              </w:rPr>
              <w:t>Porcentaje</w:t>
            </w:r>
            <w:r>
              <w:rPr>
                <w:rFonts w:ascii="Arial"/>
                <w:b/>
                <w:spacing w:val="-14"/>
                <w:sz w:val="20"/>
              </w:rPr>
              <w:t> </w:t>
            </w:r>
            <w:r>
              <w:rPr>
                <w:rFonts w:ascii="Arial"/>
                <w:b/>
                <w:sz w:val="20"/>
              </w:rPr>
              <w:t>de </w:t>
            </w:r>
            <w:r>
              <w:rPr>
                <w:rFonts w:ascii="Arial"/>
                <w:b/>
                <w:spacing w:val="-2"/>
                <w:sz w:val="20"/>
              </w:rPr>
              <w:t>hipoacusia bilateral combinada</w:t>
            </w:r>
          </w:p>
        </w:tc>
        <w:tc>
          <w:tcPr>
            <w:tcW w:w="2878" w:type="dxa"/>
            <w:shd w:val="clear" w:color="auto" w:fill="C0C0C0"/>
          </w:tcPr>
          <w:p>
            <w:pPr>
              <w:pStyle w:val="TableParagraph"/>
              <w:spacing w:line="240" w:lineRule="auto"/>
              <w:ind w:left="623" w:hanging="449"/>
              <w:jc w:val="left"/>
              <w:rPr>
                <w:rFonts w:ascii="Arial" w:hAnsi="Arial"/>
                <w:b/>
                <w:sz w:val="20"/>
              </w:rPr>
            </w:pPr>
            <w:r>
              <w:rPr>
                <w:rFonts w:ascii="Arial" w:hAnsi="Arial"/>
                <w:b/>
                <w:sz w:val="20"/>
              </w:rPr>
              <w:t>Porcentaje</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incapacidad órgano funcional</w:t>
            </w:r>
          </w:p>
        </w:tc>
        <w:tc>
          <w:tcPr>
            <w:tcW w:w="302" w:type="dxa"/>
            <w:vMerge w:val="restart"/>
            <w:shd w:val="clear" w:color="auto" w:fill="C0C0C0"/>
          </w:tcPr>
          <w:p>
            <w:pPr>
              <w:pStyle w:val="TableParagraph"/>
              <w:spacing w:line="240" w:lineRule="auto"/>
              <w:ind w:left="0"/>
              <w:jc w:val="left"/>
              <w:rPr>
                <w:rFonts w:ascii="Times New Roman"/>
                <w:sz w:val="18"/>
              </w:rPr>
            </w:pPr>
          </w:p>
        </w:tc>
        <w:tc>
          <w:tcPr>
            <w:tcW w:w="2726" w:type="dxa"/>
            <w:shd w:val="clear" w:color="auto" w:fill="C0C0C0"/>
          </w:tcPr>
          <w:p>
            <w:pPr>
              <w:pStyle w:val="TableParagraph"/>
              <w:spacing w:line="240" w:lineRule="auto"/>
              <w:ind w:left="423" w:hanging="267"/>
              <w:jc w:val="left"/>
              <w:rPr>
                <w:rFonts w:ascii="Arial"/>
                <w:b/>
                <w:sz w:val="20"/>
              </w:rPr>
            </w:pPr>
            <w:r>
              <w:rPr>
                <w:rFonts w:ascii="Arial"/>
                <w:b/>
                <w:sz w:val="20"/>
              </w:rPr>
              <w:t>Porcentaje</w:t>
            </w:r>
            <w:r>
              <w:rPr>
                <w:rFonts w:ascii="Arial"/>
                <w:b/>
                <w:spacing w:val="-14"/>
                <w:sz w:val="20"/>
              </w:rPr>
              <w:t> </w:t>
            </w:r>
            <w:r>
              <w:rPr>
                <w:rFonts w:ascii="Arial"/>
                <w:b/>
                <w:sz w:val="20"/>
              </w:rPr>
              <w:t>de</w:t>
            </w:r>
            <w:r>
              <w:rPr>
                <w:rFonts w:ascii="Arial"/>
                <w:b/>
                <w:spacing w:val="-14"/>
                <w:sz w:val="20"/>
              </w:rPr>
              <w:t> </w:t>
            </w:r>
            <w:r>
              <w:rPr>
                <w:rFonts w:ascii="Arial"/>
                <w:b/>
                <w:sz w:val="20"/>
              </w:rPr>
              <w:t>hipoacusia bilateral combinada</w:t>
            </w:r>
          </w:p>
        </w:tc>
        <w:tc>
          <w:tcPr>
            <w:tcW w:w="1953" w:type="dxa"/>
            <w:shd w:val="clear" w:color="auto" w:fill="C0C0C0"/>
          </w:tcPr>
          <w:p>
            <w:pPr>
              <w:pStyle w:val="TableParagraph"/>
              <w:spacing w:line="240" w:lineRule="auto"/>
              <w:ind w:left="166" w:right="150" w:firstLine="4"/>
              <w:rPr>
                <w:rFonts w:ascii="Arial" w:hAnsi="Arial"/>
                <w:b/>
                <w:sz w:val="20"/>
              </w:rPr>
            </w:pPr>
            <w:r>
              <w:rPr>
                <w:rFonts w:ascii="Arial" w:hAnsi="Arial"/>
                <w:b/>
                <w:sz w:val="20"/>
              </w:rPr>
              <w:t>Porcentaje de </w:t>
            </w:r>
            <w:r>
              <w:rPr>
                <w:rFonts w:ascii="Arial" w:hAnsi="Arial"/>
                <w:b/>
                <w:spacing w:val="-2"/>
                <w:sz w:val="20"/>
              </w:rPr>
              <w:t>incapacidad </w:t>
            </w:r>
            <w:r>
              <w:rPr>
                <w:rFonts w:ascii="Arial" w:hAnsi="Arial"/>
                <w:b/>
                <w:sz w:val="20"/>
              </w:rPr>
              <w:t>órgano</w:t>
            </w:r>
            <w:r>
              <w:rPr>
                <w:rFonts w:ascii="Arial" w:hAnsi="Arial"/>
                <w:b/>
                <w:spacing w:val="-14"/>
                <w:sz w:val="20"/>
              </w:rPr>
              <w:t> </w:t>
            </w:r>
            <w:r>
              <w:rPr>
                <w:rFonts w:ascii="Arial" w:hAnsi="Arial"/>
                <w:b/>
                <w:sz w:val="20"/>
              </w:rPr>
              <w:t>funcional</w:t>
            </w:r>
          </w:p>
        </w:tc>
      </w:tr>
      <w:tr>
        <w:trPr>
          <w:trHeight w:val="229" w:hRule="atLeast"/>
        </w:trPr>
        <w:tc>
          <w:tcPr>
            <w:tcW w:w="1687" w:type="dxa"/>
          </w:tcPr>
          <w:p>
            <w:pPr>
              <w:pStyle w:val="TableParagraph"/>
              <w:ind w:left="12"/>
              <w:rPr>
                <w:sz w:val="20"/>
              </w:rPr>
            </w:pPr>
            <w:r>
              <w:rPr>
                <w:spacing w:val="-5"/>
                <w:sz w:val="20"/>
              </w:rPr>
              <w:t>10</w:t>
            </w:r>
          </w:p>
        </w:tc>
        <w:tc>
          <w:tcPr>
            <w:tcW w:w="2878" w:type="dxa"/>
          </w:tcPr>
          <w:p>
            <w:pPr>
              <w:pStyle w:val="TableParagraph"/>
              <w:ind w:left="8"/>
              <w:rPr>
                <w:sz w:val="20"/>
              </w:rPr>
            </w:pPr>
            <w:r>
              <w:rPr>
                <w:spacing w:val="-5"/>
                <w:sz w:val="20"/>
              </w:rPr>
              <w:t>10</w:t>
            </w:r>
          </w:p>
        </w:tc>
        <w:tc>
          <w:tcPr>
            <w:tcW w:w="302" w:type="dxa"/>
            <w:vMerge/>
            <w:tcBorders>
              <w:top w:val="nil"/>
            </w:tcBorders>
            <w:shd w:val="clear" w:color="auto" w:fill="C0C0C0"/>
          </w:tcPr>
          <w:p>
            <w:pPr>
              <w:rPr>
                <w:sz w:val="2"/>
                <w:szCs w:val="2"/>
              </w:rPr>
            </w:pPr>
          </w:p>
        </w:tc>
        <w:tc>
          <w:tcPr>
            <w:tcW w:w="2726" w:type="dxa"/>
          </w:tcPr>
          <w:p>
            <w:pPr>
              <w:pStyle w:val="TableParagraph"/>
              <w:ind w:left="12"/>
              <w:rPr>
                <w:sz w:val="20"/>
              </w:rPr>
            </w:pPr>
            <w:r>
              <w:rPr>
                <w:spacing w:val="-5"/>
                <w:sz w:val="20"/>
              </w:rPr>
              <w:t>18</w:t>
            </w:r>
          </w:p>
        </w:tc>
        <w:tc>
          <w:tcPr>
            <w:tcW w:w="1953" w:type="dxa"/>
          </w:tcPr>
          <w:p>
            <w:pPr>
              <w:pStyle w:val="TableParagraph"/>
              <w:ind w:left="19"/>
              <w:rPr>
                <w:sz w:val="20"/>
              </w:rPr>
            </w:pPr>
            <w:r>
              <w:rPr>
                <w:spacing w:val="-5"/>
                <w:sz w:val="20"/>
              </w:rPr>
              <w:t>16</w:t>
            </w:r>
          </w:p>
        </w:tc>
      </w:tr>
      <w:tr>
        <w:trPr>
          <w:trHeight w:val="229" w:hRule="atLeast"/>
        </w:trPr>
        <w:tc>
          <w:tcPr>
            <w:tcW w:w="1687" w:type="dxa"/>
          </w:tcPr>
          <w:p>
            <w:pPr>
              <w:pStyle w:val="TableParagraph"/>
              <w:ind w:left="12"/>
              <w:rPr>
                <w:sz w:val="20"/>
              </w:rPr>
            </w:pPr>
            <w:r>
              <w:rPr>
                <w:spacing w:val="-5"/>
                <w:sz w:val="20"/>
              </w:rPr>
              <w:t>11</w:t>
            </w:r>
          </w:p>
        </w:tc>
        <w:tc>
          <w:tcPr>
            <w:tcW w:w="2878" w:type="dxa"/>
          </w:tcPr>
          <w:p>
            <w:pPr>
              <w:pStyle w:val="TableParagraph"/>
              <w:ind w:left="8"/>
              <w:rPr>
                <w:sz w:val="20"/>
              </w:rPr>
            </w:pPr>
            <w:r>
              <w:rPr>
                <w:spacing w:val="-5"/>
                <w:sz w:val="20"/>
              </w:rPr>
              <w:t>11</w:t>
            </w:r>
          </w:p>
        </w:tc>
        <w:tc>
          <w:tcPr>
            <w:tcW w:w="302" w:type="dxa"/>
            <w:vMerge/>
            <w:tcBorders>
              <w:top w:val="nil"/>
            </w:tcBorders>
            <w:shd w:val="clear" w:color="auto" w:fill="C0C0C0"/>
          </w:tcPr>
          <w:p>
            <w:pPr>
              <w:rPr>
                <w:sz w:val="2"/>
                <w:szCs w:val="2"/>
              </w:rPr>
            </w:pPr>
          </w:p>
        </w:tc>
        <w:tc>
          <w:tcPr>
            <w:tcW w:w="2726" w:type="dxa"/>
          </w:tcPr>
          <w:p>
            <w:pPr>
              <w:pStyle w:val="TableParagraph"/>
              <w:ind w:left="12"/>
              <w:rPr>
                <w:sz w:val="20"/>
              </w:rPr>
            </w:pPr>
            <w:r>
              <w:rPr>
                <w:spacing w:val="-5"/>
                <w:sz w:val="20"/>
              </w:rPr>
              <w:t>19</w:t>
            </w:r>
          </w:p>
        </w:tc>
        <w:tc>
          <w:tcPr>
            <w:tcW w:w="1953" w:type="dxa"/>
          </w:tcPr>
          <w:p>
            <w:pPr>
              <w:pStyle w:val="TableParagraph"/>
              <w:ind w:left="19"/>
              <w:rPr>
                <w:sz w:val="20"/>
              </w:rPr>
            </w:pPr>
            <w:r>
              <w:rPr>
                <w:spacing w:val="-5"/>
                <w:sz w:val="20"/>
              </w:rPr>
              <w:t>16</w:t>
            </w:r>
          </w:p>
        </w:tc>
      </w:tr>
      <w:tr>
        <w:trPr>
          <w:trHeight w:val="229" w:hRule="atLeast"/>
        </w:trPr>
        <w:tc>
          <w:tcPr>
            <w:tcW w:w="1687" w:type="dxa"/>
          </w:tcPr>
          <w:p>
            <w:pPr>
              <w:pStyle w:val="TableParagraph"/>
              <w:ind w:left="12"/>
              <w:rPr>
                <w:sz w:val="20"/>
              </w:rPr>
            </w:pPr>
            <w:r>
              <w:rPr>
                <w:spacing w:val="-5"/>
                <w:sz w:val="20"/>
              </w:rPr>
              <w:t>12</w:t>
            </w:r>
          </w:p>
        </w:tc>
        <w:tc>
          <w:tcPr>
            <w:tcW w:w="2878" w:type="dxa"/>
          </w:tcPr>
          <w:p>
            <w:pPr>
              <w:pStyle w:val="TableParagraph"/>
              <w:ind w:left="8"/>
              <w:rPr>
                <w:sz w:val="20"/>
              </w:rPr>
            </w:pPr>
            <w:r>
              <w:rPr>
                <w:spacing w:val="-5"/>
                <w:sz w:val="20"/>
              </w:rPr>
              <w:t>12</w:t>
            </w:r>
          </w:p>
        </w:tc>
        <w:tc>
          <w:tcPr>
            <w:tcW w:w="302" w:type="dxa"/>
            <w:vMerge/>
            <w:tcBorders>
              <w:top w:val="nil"/>
            </w:tcBorders>
            <w:shd w:val="clear" w:color="auto" w:fill="C0C0C0"/>
          </w:tcPr>
          <w:p>
            <w:pPr>
              <w:rPr>
                <w:sz w:val="2"/>
                <w:szCs w:val="2"/>
              </w:rPr>
            </w:pPr>
          </w:p>
        </w:tc>
        <w:tc>
          <w:tcPr>
            <w:tcW w:w="2726" w:type="dxa"/>
          </w:tcPr>
          <w:p>
            <w:pPr>
              <w:pStyle w:val="TableParagraph"/>
              <w:ind w:left="12"/>
              <w:rPr>
                <w:sz w:val="20"/>
              </w:rPr>
            </w:pPr>
            <w:r>
              <w:rPr>
                <w:spacing w:val="-5"/>
                <w:sz w:val="20"/>
              </w:rPr>
              <w:t>20</w:t>
            </w:r>
          </w:p>
        </w:tc>
        <w:tc>
          <w:tcPr>
            <w:tcW w:w="1953" w:type="dxa"/>
          </w:tcPr>
          <w:p>
            <w:pPr>
              <w:pStyle w:val="TableParagraph"/>
              <w:ind w:left="19"/>
              <w:rPr>
                <w:sz w:val="20"/>
              </w:rPr>
            </w:pPr>
            <w:r>
              <w:rPr>
                <w:spacing w:val="-5"/>
                <w:sz w:val="20"/>
              </w:rPr>
              <w:t>17</w:t>
            </w:r>
          </w:p>
        </w:tc>
      </w:tr>
      <w:tr>
        <w:trPr>
          <w:trHeight w:val="229" w:hRule="atLeast"/>
        </w:trPr>
        <w:tc>
          <w:tcPr>
            <w:tcW w:w="1687" w:type="dxa"/>
          </w:tcPr>
          <w:p>
            <w:pPr>
              <w:pStyle w:val="TableParagraph"/>
              <w:ind w:left="12"/>
              <w:rPr>
                <w:sz w:val="20"/>
              </w:rPr>
            </w:pPr>
            <w:r>
              <w:rPr>
                <w:spacing w:val="-5"/>
                <w:sz w:val="20"/>
              </w:rPr>
              <w:t>13</w:t>
            </w:r>
          </w:p>
        </w:tc>
        <w:tc>
          <w:tcPr>
            <w:tcW w:w="2878" w:type="dxa"/>
          </w:tcPr>
          <w:p>
            <w:pPr>
              <w:pStyle w:val="TableParagraph"/>
              <w:ind w:left="8"/>
              <w:rPr>
                <w:sz w:val="20"/>
              </w:rPr>
            </w:pPr>
            <w:r>
              <w:rPr>
                <w:spacing w:val="-5"/>
                <w:sz w:val="20"/>
              </w:rPr>
              <w:t>12</w:t>
            </w:r>
          </w:p>
        </w:tc>
        <w:tc>
          <w:tcPr>
            <w:tcW w:w="302" w:type="dxa"/>
            <w:vMerge/>
            <w:tcBorders>
              <w:top w:val="nil"/>
            </w:tcBorders>
            <w:shd w:val="clear" w:color="auto" w:fill="C0C0C0"/>
          </w:tcPr>
          <w:p>
            <w:pPr>
              <w:rPr>
                <w:sz w:val="2"/>
                <w:szCs w:val="2"/>
              </w:rPr>
            </w:pPr>
          </w:p>
        </w:tc>
        <w:tc>
          <w:tcPr>
            <w:tcW w:w="2726" w:type="dxa"/>
          </w:tcPr>
          <w:p>
            <w:pPr>
              <w:pStyle w:val="TableParagraph"/>
              <w:ind w:left="12"/>
              <w:rPr>
                <w:sz w:val="20"/>
              </w:rPr>
            </w:pPr>
            <w:r>
              <w:rPr>
                <w:spacing w:val="-5"/>
                <w:sz w:val="20"/>
              </w:rPr>
              <w:t>21</w:t>
            </w:r>
          </w:p>
        </w:tc>
        <w:tc>
          <w:tcPr>
            <w:tcW w:w="1953" w:type="dxa"/>
          </w:tcPr>
          <w:p>
            <w:pPr>
              <w:pStyle w:val="TableParagraph"/>
              <w:ind w:left="19"/>
              <w:rPr>
                <w:sz w:val="20"/>
              </w:rPr>
            </w:pPr>
            <w:r>
              <w:rPr>
                <w:spacing w:val="-5"/>
                <w:sz w:val="20"/>
              </w:rPr>
              <w:t>18</w:t>
            </w:r>
          </w:p>
        </w:tc>
      </w:tr>
      <w:tr>
        <w:trPr>
          <w:trHeight w:val="229" w:hRule="atLeast"/>
        </w:trPr>
        <w:tc>
          <w:tcPr>
            <w:tcW w:w="1687" w:type="dxa"/>
          </w:tcPr>
          <w:p>
            <w:pPr>
              <w:pStyle w:val="TableParagraph"/>
              <w:ind w:left="12"/>
              <w:rPr>
                <w:sz w:val="20"/>
              </w:rPr>
            </w:pPr>
            <w:r>
              <w:rPr>
                <w:spacing w:val="-5"/>
                <w:sz w:val="20"/>
              </w:rPr>
              <w:t>14</w:t>
            </w:r>
          </w:p>
        </w:tc>
        <w:tc>
          <w:tcPr>
            <w:tcW w:w="2878" w:type="dxa"/>
          </w:tcPr>
          <w:p>
            <w:pPr>
              <w:pStyle w:val="TableParagraph"/>
              <w:ind w:left="8"/>
              <w:rPr>
                <w:sz w:val="20"/>
              </w:rPr>
            </w:pPr>
            <w:r>
              <w:rPr>
                <w:spacing w:val="-5"/>
                <w:sz w:val="20"/>
              </w:rPr>
              <w:t>13</w:t>
            </w:r>
          </w:p>
        </w:tc>
        <w:tc>
          <w:tcPr>
            <w:tcW w:w="302" w:type="dxa"/>
            <w:vMerge/>
            <w:tcBorders>
              <w:top w:val="nil"/>
            </w:tcBorders>
            <w:shd w:val="clear" w:color="auto" w:fill="C0C0C0"/>
          </w:tcPr>
          <w:p>
            <w:pPr>
              <w:rPr>
                <w:sz w:val="2"/>
                <w:szCs w:val="2"/>
              </w:rPr>
            </w:pPr>
          </w:p>
        </w:tc>
        <w:tc>
          <w:tcPr>
            <w:tcW w:w="2726" w:type="dxa"/>
          </w:tcPr>
          <w:p>
            <w:pPr>
              <w:pStyle w:val="TableParagraph"/>
              <w:ind w:left="12"/>
              <w:rPr>
                <w:sz w:val="20"/>
              </w:rPr>
            </w:pPr>
            <w:r>
              <w:rPr>
                <w:spacing w:val="-5"/>
                <w:sz w:val="20"/>
              </w:rPr>
              <w:t>22</w:t>
            </w:r>
          </w:p>
        </w:tc>
        <w:tc>
          <w:tcPr>
            <w:tcW w:w="1953" w:type="dxa"/>
          </w:tcPr>
          <w:p>
            <w:pPr>
              <w:pStyle w:val="TableParagraph"/>
              <w:ind w:left="19"/>
              <w:rPr>
                <w:sz w:val="20"/>
              </w:rPr>
            </w:pPr>
            <w:r>
              <w:rPr>
                <w:spacing w:val="-5"/>
                <w:sz w:val="20"/>
              </w:rPr>
              <w:t>18</w:t>
            </w:r>
          </w:p>
        </w:tc>
      </w:tr>
      <w:tr>
        <w:trPr>
          <w:trHeight w:val="230" w:hRule="atLeast"/>
        </w:trPr>
        <w:tc>
          <w:tcPr>
            <w:tcW w:w="1687" w:type="dxa"/>
          </w:tcPr>
          <w:p>
            <w:pPr>
              <w:pStyle w:val="TableParagraph"/>
              <w:ind w:left="12"/>
              <w:rPr>
                <w:sz w:val="20"/>
              </w:rPr>
            </w:pPr>
            <w:r>
              <w:rPr>
                <w:spacing w:val="-5"/>
                <w:sz w:val="20"/>
              </w:rPr>
              <w:t>15</w:t>
            </w:r>
          </w:p>
        </w:tc>
        <w:tc>
          <w:tcPr>
            <w:tcW w:w="2878" w:type="dxa"/>
          </w:tcPr>
          <w:p>
            <w:pPr>
              <w:pStyle w:val="TableParagraph"/>
              <w:ind w:left="8"/>
              <w:rPr>
                <w:sz w:val="20"/>
              </w:rPr>
            </w:pPr>
            <w:r>
              <w:rPr>
                <w:spacing w:val="-5"/>
                <w:sz w:val="20"/>
              </w:rPr>
              <w:t>14</w:t>
            </w:r>
          </w:p>
        </w:tc>
        <w:tc>
          <w:tcPr>
            <w:tcW w:w="302" w:type="dxa"/>
            <w:vMerge/>
            <w:tcBorders>
              <w:top w:val="nil"/>
            </w:tcBorders>
            <w:shd w:val="clear" w:color="auto" w:fill="C0C0C0"/>
          </w:tcPr>
          <w:p>
            <w:pPr>
              <w:rPr>
                <w:sz w:val="2"/>
                <w:szCs w:val="2"/>
              </w:rPr>
            </w:pPr>
          </w:p>
        </w:tc>
        <w:tc>
          <w:tcPr>
            <w:tcW w:w="2726" w:type="dxa"/>
          </w:tcPr>
          <w:p>
            <w:pPr>
              <w:pStyle w:val="TableParagraph"/>
              <w:ind w:left="12"/>
              <w:rPr>
                <w:sz w:val="20"/>
              </w:rPr>
            </w:pPr>
            <w:r>
              <w:rPr>
                <w:spacing w:val="-5"/>
                <w:sz w:val="20"/>
              </w:rPr>
              <w:t>23</w:t>
            </w:r>
          </w:p>
        </w:tc>
        <w:tc>
          <w:tcPr>
            <w:tcW w:w="1953" w:type="dxa"/>
          </w:tcPr>
          <w:p>
            <w:pPr>
              <w:pStyle w:val="TableParagraph"/>
              <w:ind w:left="19"/>
              <w:rPr>
                <w:sz w:val="20"/>
              </w:rPr>
            </w:pPr>
            <w:r>
              <w:rPr>
                <w:spacing w:val="-5"/>
                <w:sz w:val="20"/>
              </w:rPr>
              <w:t>19</w:t>
            </w:r>
          </w:p>
        </w:tc>
      </w:tr>
      <w:tr>
        <w:trPr>
          <w:trHeight w:val="229" w:hRule="atLeast"/>
        </w:trPr>
        <w:tc>
          <w:tcPr>
            <w:tcW w:w="1687" w:type="dxa"/>
          </w:tcPr>
          <w:p>
            <w:pPr>
              <w:pStyle w:val="TableParagraph"/>
              <w:ind w:left="12"/>
              <w:rPr>
                <w:sz w:val="20"/>
              </w:rPr>
            </w:pPr>
            <w:r>
              <w:rPr>
                <w:spacing w:val="-5"/>
                <w:sz w:val="20"/>
              </w:rPr>
              <w:t>16</w:t>
            </w:r>
          </w:p>
        </w:tc>
        <w:tc>
          <w:tcPr>
            <w:tcW w:w="2878" w:type="dxa"/>
          </w:tcPr>
          <w:p>
            <w:pPr>
              <w:pStyle w:val="TableParagraph"/>
              <w:ind w:left="8"/>
              <w:rPr>
                <w:sz w:val="20"/>
              </w:rPr>
            </w:pPr>
            <w:r>
              <w:rPr>
                <w:spacing w:val="-5"/>
                <w:sz w:val="20"/>
              </w:rPr>
              <w:t>15</w:t>
            </w:r>
          </w:p>
        </w:tc>
        <w:tc>
          <w:tcPr>
            <w:tcW w:w="302" w:type="dxa"/>
            <w:vMerge/>
            <w:tcBorders>
              <w:top w:val="nil"/>
            </w:tcBorders>
            <w:shd w:val="clear" w:color="auto" w:fill="C0C0C0"/>
          </w:tcPr>
          <w:p>
            <w:pPr>
              <w:rPr>
                <w:sz w:val="2"/>
                <w:szCs w:val="2"/>
              </w:rPr>
            </w:pPr>
          </w:p>
        </w:tc>
        <w:tc>
          <w:tcPr>
            <w:tcW w:w="2726" w:type="dxa"/>
          </w:tcPr>
          <w:p>
            <w:pPr>
              <w:pStyle w:val="TableParagraph"/>
              <w:ind w:left="12"/>
              <w:rPr>
                <w:sz w:val="20"/>
              </w:rPr>
            </w:pPr>
            <w:r>
              <w:rPr>
                <w:spacing w:val="-5"/>
                <w:sz w:val="20"/>
              </w:rPr>
              <w:t>24</w:t>
            </w:r>
          </w:p>
        </w:tc>
        <w:tc>
          <w:tcPr>
            <w:tcW w:w="1953" w:type="dxa"/>
          </w:tcPr>
          <w:p>
            <w:pPr>
              <w:pStyle w:val="TableParagraph"/>
              <w:ind w:left="19"/>
              <w:rPr>
                <w:sz w:val="20"/>
              </w:rPr>
            </w:pPr>
            <w:r>
              <w:rPr>
                <w:spacing w:val="-5"/>
                <w:sz w:val="20"/>
              </w:rPr>
              <w:t>19</w:t>
            </w:r>
          </w:p>
        </w:tc>
      </w:tr>
      <w:tr>
        <w:trPr>
          <w:trHeight w:val="232" w:hRule="atLeast"/>
        </w:trPr>
        <w:tc>
          <w:tcPr>
            <w:tcW w:w="1687" w:type="dxa"/>
          </w:tcPr>
          <w:p>
            <w:pPr>
              <w:pStyle w:val="TableParagraph"/>
              <w:spacing w:before="1"/>
              <w:ind w:left="12"/>
              <w:rPr>
                <w:sz w:val="20"/>
              </w:rPr>
            </w:pPr>
            <w:r>
              <w:rPr>
                <w:spacing w:val="-5"/>
                <w:sz w:val="20"/>
              </w:rPr>
              <w:t>17</w:t>
            </w:r>
          </w:p>
        </w:tc>
        <w:tc>
          <w:tcPr>
            <w:tcW w:w="2878" w:type="dxa"/>
          </w:tcPr>
          <w:p>
            <w:pPr>
              <w:pStyle w:val="TableParagraph"/>
              <w:spacing w:before="1"/>
              <w:ind w:left="8"/>
              <w:rPr>
                <w:sz w:val="20"/>
              </w:rPr>
            </w:pPr>
            <w:r>
              <w:rPr>
                <w:spacing w:val="-5"/>
                <w:sz w:val="20"/>
              </w:rPr>
              <w:t>15</w:t>
            </w:r>
          </w:p>
        </w:tc>
        <w:tc>
          <w:tcPr>
            <w:tcW w:w="302" w:type="dxa"/>
            <w:shd w:val="clear" w:color="auto" w:fill="C0C0C0"/>
          </w:tcPr>
          <w:p>
            <w:pPr>
              <w:pStyle w:val="TableParagraph"/>
              <w:spacing w:line="240" w:lineRule="auto"/>
              <w:ind w:left="0"/>
              <w:jc w:val="left"/>
              <w:rPr>
                <w:rFonts w:ascii="Times New Roman"/>
                <w:sz w:val="16"/>
              </w:rPr>
            </w:pPr>
          </w:p>
        </w:tc>
        <w:tc>
          <w:tcPr>
            <w:tcW w:w="2726" w:type="dxa"/>
          </w:tcPr>
          <w:p>
            <w:pPr>
              <w:pStyle w:val="TableParagraph"/>
              <w:spacing w:before="1"/>
              <w:ind w:left="12"/>
              <w:rPr>
                <w:sz w:val="20"/>
              </w:rPr>
            </w:pPr>
            <w:r>
              <w:rPr>
                <w:spacing w:val="-5"/>
                <w:sz w:val="20"/>
              </w:rPr>
              <w:t>25</w:t>
            </w:r>
          </w:p>
        </w:tc>
        <w:tc>
          <w:tcPr>
            <w:tcW w:w="1953" w:type="dxa"/>
          </w:tcPr>
          <w:p>
            <w:pPr>
              <w:pStyle w:val="TableParagraph"/>
              <w:spacing w:before="1"/>
              <w:ind w:left="19"/>
              <w:rPr>
                <w:sz w:val="20"/>
              </w:rPr>
            </w:pPr>
            <w:r>
              <w:rPr>
                <w:spacing w:val="-5"/>
                <w:sz w:val="20"/>
              </w:rPr>
              <w:t>20</w:t>
            </w:r>
          </w:p>
        </w:tc>
      </w:tr>
      <w:tr>
        <w:trPr>
          <w:trHeight w:val="229" w:hRule="atLeast"/>
        </w:trPr>
        <w:tc>
          <w:tcPr>
            <w:tcW w:w="9546" w:type="dxa"/>
            <w:gridSpan w:val="5"/>
            <w:shd w:val="clear" w:color="auto" w:fill="C0C0C0"/>
          </w:tcPr>
          <w:p>
            <w:pPr>
              <w:pStyle w:val="TableParagraph"/>
              <w:ind w:left="16" w:right="5"/>
              <w:rPr>
                <w:rFonts w:ascii="Arial" w:hAnsi="Arial"/>
                <w:b/>
                <w:sz w:val="20"/>
              </w:rPr>
            </w:pPr>
            <w:r>
              <w:rPr>
                <w:rFonts w:ascii="Arial" w:hAnsi="Arial"/>
                <w:b/>
                <w:sz w:val="20"/>
              </w:rPr>
              <w:t>Cálculo</w:t>
            </w:r>
            <w:r>
              <w:rPr>
                <w:rFonts w:ascii="Arial" w:hAnsi="Arial"/>
                <w:b/>
                <w:spacing w:val="-7"/>
                <w:sz w:val="20"/>
              </w:rPr>
              <w:t> </w:t>
            </w:r>
            <w:r>
              <w:rPr>
                <w:rFonts w:ascii="Arial" w:hAnsi="Arial"/>
                <w:b/>
                <w:sz w:val="20"/>
              </w:rPr>
              <w:t>de</w:t>
            </w:r>
            <w:r>
              <w:rPr>
                <w:rFonts w:ascii="Arial" w:hAnsi="Arial"/>
                <w:b/>
                <w:spacing w:val="-6"/>
                <w:sz w:val="20"/>
              </w:rPr>
              <w:t> </w:t>
            </w:r>
            <w:r>
              <w:rPr>
                <w:rFonts w:ascii="Arial" w:hAnsi="Arial"/>
                <w:b/>
                <w:spacing w:val="-2"/>
                <w:sz w:val="20"/>
              </w:rPr>
              <w:t>Fletcher</w:t>
            </w:r>
          </w:p>
        </w:tc>
      </w:tr>
      <w:tr>
        <w:trPr>
          <w:trHeight w:val="8280" w:hRule="atLeast"/>
        </w:trPr>
        <w:tc>
          <w:tcPr>
            <w:tcW w:w="9546" w:type="dxa"/>
            <w:gridSpan w:val="5"/>
          </w:tcPr>
          <w:p>
            <w:pPr>
              <w:pStyle w:val="TableParagraph"/>
              <w:spacing w:line="240" w:lineRule="auto"/>
              <w:ind w:right="59"/>
              <w:jc w:val="both"/>
              <w:rPr>
                <w:sz w:val="20"/>
              </w:rPr>
            </w:pPr>
            <w:r>
              <w:rPr>
                <w:sz w:val="20"/>
              </w:rPr>
              <w:t>Cálculo de la incapacidad parcial permanente por obtención de la hipoacusia bilateral combinada de acuerdo a los umbrales obtenidos de la audiometría tonal y utilizando el procedimiento para la valuación de hipoacusias de: Fletcher, A.M.A. modificada por: De La Cruz Ávila, Gómez Cruz, Gutiérrez Farfán, Jiménez Ruiz, Rojo Ramírez, Toledo Ortiz, Torres Valenzuela, Velasco Reyna, Zarate Cabrera (octubre de 2016).</w:t>
            </w:r>
          </w:p>
          <w:p>
            <w:pPr>
              <w:pStyle w:val="TableParagraph"/>
              <w:spacing w:line="240" w:lineRule="auto" w:before="229"/>
              <w:ind w:right="53"/>
              <w:jc w:val="both"/>
              <w:rPr>
                <w:sz w:val="20"/>
              </w:rPr>
            </w:pPr>
            <w:r>
              <w:rPr>
                <w:sz w:val="20"/>
              </w:rPr>
              <w:t>Dependiendo del mecanismo de lesión y secuela se podrán utilizar uno de los siguientes rangos de </w:t>
            </w:r>
            <w:r>
              <w:rPr>
                <w:spacing w:val="-2"/>
                <w:sz w:val="20"/>
              </w:rPr>
              <w:t>frecuencia:</w:t>
            </w:r>
          </w:p>
          <w:p>
            <w:pPr>
              <w:pStyle w:val="TableParagraph"/>
              <w:numPr>
                <w:ilvl w:val="0"/>
                <w:numId w:val="173"/>
              </w:numPr>
              <w:tabs>
                <w:tab w:pos="359" w:val="left" w:leader="none"/>
              </w:tabs>
              <w:spacing w:line="242" w:lineRule="auto" w:before="227" w:after="0"/>
              <w:ind w:left="359" w:right="62" w:hanging="288"/>
              <w:jc w:val="left"/>
              <w:rPr>
                <w:sz w:val="20"/>
              </w:rPr>
            </w:pPr>
            <w:r>
              <w:rPr>
                <w:sz w:val="20"/>
              </w:rPr>
              <w:t>Para</w:t>
            </w:r>
            <w:r>
              <w:rPr>
                <w:spacing w:val="22"/>
                <w:sz w:val="20"/>
              </w:rPr>
              <w:t> </w:t>
            </w:r>
            <w:r>
              <w:rPr>
                <w:sz w:val="20"/>
              </w:rPr>
              <w:t>lesiones</w:t>
            </w:r>
            <w:r>
              <w:rPr>
                <w:spacing w:val="21"/>
                <w:sz w:val="20"/>
              </w:rPr>
              <w:t> </w:t>
            </w:r>
            <w:r>
              <w:rPr>
                <w:sz w:val="20"/>
              </w:rPr>
              <w:t>que</w:t>
            </w:r>
            <w:r>
              <w:rPr>
                <w:spacing w:val="21"/>
                <w:sz w:val="20"/>
              </w:rPr>
              <w:t> </w:t>
            </w:r>
            <w:r>
              <w:rPr>
                <w:sz w:val="20"/>
              </w:rPr>
              <w:t>abarquen</w:t>
            </w:r>
            <w:r>
              <w:rPr>
                <w:spacing w:val="22"/>
                <w:sz w:val="20"/>
              </w:rPr>
              <w:t> </w:t>
            </w:r>
            <w:r>
              <w:rPr>
                <w:sz w:val="20"/>
              </w:rPr>
              <w:t>el</w:t>
            </w:r>
            <w:r>
              <w:rPr>
                <w:spacing w:val="21"/>
                <w:sz w:val="20"/>
              </w:rPr>
              <w:t> </w:t>
            </w:r>
            <w:r>
              <w:rPr>
                <w:sz w:val="20"/>
              </w:rPr>
              <w:t>umbral</w:t>
            </w:r>
            <w:r>
              <w:rPr>
                <w:spacing w:val="20"/>
                <w:sz w:val="20"/>
              </w:rPr>
              <w:t> </w:t>
            </w:r>
            <w:r>
              <w:rPr>
                <w:sz w:val="20"/>
              </w:rPr>
              <w:t>mínimo</w:t>
            </w:r>
            <w:r>
              <w:rPr>
                <w:spacing w:val="20"/>
                <w:sz w:val="20"/>
              </w:rPr>
              <w:t> </w:t>
            </w:r>
            <w:r>
              <w:rPr>
                <w:sz w:val="20"/>
              </w:rPr>
              <w:t>de</w:t>
            </w:r>
            <w:r>
              <w:rPr>
                <w:spacing w:val="20"/>
                <w:sz w:val="20"/>
              </w:rPr>
              <w:t> </w:t>
            </w:r>
            <w:r>
              <w:rPr>
                <w:sz w:val="20"/>
              </w:rPr>
              <w:t>audición</w:t>
            </w:r>
            <w:r>
              <w:rPr>
                <w:spacing w:val="21"/>
                <w:sz w:val="20"/>
              </w:rPr>
              <w:t> </w:t>
            </w:r>
            <w:r>
              <w:rPr>
                <w:sz w:val="20"/>
              </w:rPr>
              <w:t>en</w:t>
            </w:r>
            <w:r>
              <w:rPr>
                <w:spacing w:val="21"/>
                <w:sz w:val="20"/>
              </w:rPr>
              <w:t> </w:t>
            </w:r>
            <w:r>
              <w:rPr>
                <w:sz w:val="20"/>
              </w:rPr>
              <w:t>las</w:t>
            </w:r>
            <w:r>
              <w:rPr>
                <w:spacing w:val="21"/>
                <w:sz w:val="20"/>
              </w:rPr>
              <w:t> </w:t>
            </w:r>
            <w:r>
              <w:rPr>
                <w:sz w:val="20"/>
              </w:rPr>
              <w:t>frecuencias</w:t>
            </w:r>
            <w:r>
              <w:rPr>
                <w:spacing w:val="21"/>
                <w:sz w:val="20"/>
              </w:rPr>
              <w:t> </w:t>
            </w:r>
            <w:r>
              <w:rPr>
                <w:sz w:val="20"/>
              </w:rPr>
              <w:t>de</w:t>
            </w:r>
            <w:r>
              <w:rPr>
                <w:spacing w:val="21"/>
                <w:sz w:val="20"/>
              </w:rPr>
              <w:t> </w:t>
            </w:r>
            <w:r>
              <w:rPr>
                <w:sz w:val="20"/>
              </w:rPr>
              <w:t>250,</w:t>
            </w:r>
            <w:r>
              <w:rPr>
                <w:spacing w:val="22"/>
                <w:sz w:val="20"/>
              </w:rPr>
              <w:t> </w:t>
            </w:r>
            <w:r>
              <w:rPr>
                <w:sz w:val="20"/>
              </w:rPr>
              <w:t>500,</w:t>
            </w:r>
            <w:r>
              <w:rPr>
                <w:spacing w:val="22"/>
                <w:sz w:val="20"/>
              </w:rPr>
              <w:t> </w:t>
            </w:r>
            <w:r>
              <w:rPr>
                <w:sz w:val="20"/>
              </w:rPr>
              <w:t>1,000</w:t>
            </w:r>
            <w:r>
              <w:rPr>
                <w:spacing w:val="24"/>
                <w:sz w:val="20"/>
              </w:rPr>
              <w:t> </w:t>
            </w:r>
            <w:r>
              <w:rPr>
                <w:sz w:val="20"/>
              </w:rPr>
              <w:t>y 2,000 Hz.</w:t>
            </w:r>
          </w:p>
          <w:p>
            <w:pPr>
              <w:pStyle w:val="TableParagraph"/>
              <w:numPr>
                <w:ilvl w:val="0"/>
                <w:numId w:val="173"/>
              </w:numPr>
              <w:tabs>
                <w:tab w:pos="359" w:val="left" w:leader="none"/>
              </w:tabs>
              <w:spacing w:line="240" w:lineRule="auto" w:before="227" w:after="0"/>
              <w:ind w:left="359" w:right="62" w:hanging="288"/>
              <w:jc w:val="left"/>
              <w:rPr>
                <w:sz w:val="20"/>
              </w:rPr>
            </w:pPr>
            <w:r>
              <w:rPr>
                <w:sz w:val="20"/>
              </w:rPr>
              <w:t>Para lesiones que abarquen el</w:t>
            </w:r>
            <w:r>
              <w:rPr>
                <w:spacing w:val="-1"/>
                <w:sz w:val="20"/>
              </w:rPr>
              <w:t> </w:t>
            </w:r>
            <w:r>
              <w:rPr>
                <w:sz w:val="20"/>
              </w:rPr>
              <w:t>umbral mínimo de audición en las frecuencias de 2000, 3,000, 4,000, y 6,000 Hz.</w:t>
            </w:r>
          </w:p>
          <w:p>
            <w:pPr>
              <w:pStyle w:val="TableParagraph"/>
              <w:numPr>
                <w:ilvl w:val="0"/>
                <w:numId w:val="173"/>
              </w:numPr>
              <w:tabs>
                <w:tab w:pos="359" w:val="left" w:leader="none"/>
              </w:tabs>
              <w:spacing w:line="242" w:lineRule="auto" w:before="228" w:after="0"/>
              <w:ind w:left="359" w:right="61" w:hanging="288"/>
              <w:jc w:val="left"/>
              <w:rPr>
                <w:sz w:val="20"/>
              </w:rPr>
            </w:pPr>
            <w:r>
              <w:rPr>
                <w:sz w:val="20"/>
              </w:rPr>
              <w:t>Para</w:t>
            </w:r>
            <w:r>
              <w:rPr>
                <w:spacing w:val="29"/>
                <w:sz w:val="20"/>
              </w:rPr>
              <w:t> </w:t>
            </w:r>
            <w:r>
              <w:rPr>
                <w:sz w:val="20"/>
              </w:rPr>
              <w:t>lesiones</w:t>
            </w:r>
            <w:r>
              <w:rPr>
                <w:spacing w:val="28"/>
                <w:sz w:val="20"/>
              </w:rPr>
              <w:t> </w:t>
            </w:r>
            <w:r>
              <w:rPr>
                <w:sz w:val="20"/>
              </w:rPr>
              <w:t>que</w:t>
            </w:r>
            <w:r>
              <w:rPr>
                <w:spacing w:val="26"/>
                <w:sz w:val="20"/>
              </w:rPr>
              <w:t> </w:t>
            </w:r>
            <w:r>
              <w:rPr>
                <w:sz w:val="20"/>
              </w:rPr>
              <w:t>tengan</w:t>
            </w:r>
            <w:r>
              <w:rPr>
                <w:spacing w:val="29"/>
                <w:sz w:val="20"/>
              </w:rPr>
              <w:t> </w:t>
            </w:r>
            <w:r>
              <w:rPr>
                <w:sz w:val="20"/>
              </w:rPr>
              <w:t>compromiso</w:t>
            </w:r>
            <w:r>
              <w:rPr>
                <w:spacing w:val="26"/>
                <w:sz w:val="20"/>
              </w:rPr>
              <w:t> </w:t>
            </w:r>
            <w:r>
              <w:rPr>
                <w:sz w:val="20"/>
              </w:rPr>
              <w:t>en</w:t>
            </w:r>
            <w:r>
              <w:rPr>
                <w:spacing w:val="26"/>
                <w:sz w:val="20"/>
              </w:rPr>
              <w:t> </w:t>
            </w:r>
            <w:r>
              <w:rPr>
                <w:sz w:val="20"/>
              </w:rPr>
              <w:t>las</w:t>
            </w:r>
            <w:r>
              <w:rPr>
                <w:spacing w:val="27"/>
                <w:sz w:val="20"/>
              </w:rPr>
              <w:t> </w:t>
            </w:r>
            <w:r>
              <w:rPr>
                <w:sz w:val="20"/>
              </w:rPr>
              <w:t>frecuencias</w:t>
            </w:r>
            <w:r>
              <w:rPr>
                <w:spacing w:val="27"/>
                <w:sz w:val="20"/>
              </w:rPr>
              <w:t> </w:t>
            </w:r>
            <w:r>
              <w:rPr>
                <w:sz w:val="20"/>
              </w:rPr>
              <w:t>de</w:t>
            </w:r>
            <w:r>
              <w:rPr>
                <w:spacing w:val="28"/>
                <w:sz w:val="20"/>
              </w:rPr>
              <w:t> </w:t>
            </w:r>
            <w:r>
              <w:rPr>
                <w:sz w:val="20"/>
              </w:rPr>
              <w:t>incisos</w:t>
            </w:r>
            <w:r>
              <w:rPr>
                <w:spacing w:val="27"/>
                <w:sz w:val="20"/>
              </w:rPr>
              <w:t> </w:t>
            </w:r>
            <w:r>
              <w:rPr>
                <w:sz w:val="20"/>
              </w:rPr>
              <w:t>A</w:t>
            </w:r>
            <w:r>
              <w:rPr>
                <w:spacing w:val="31"/>
                <w:sz w:val="20"/>
              </w:rPr>
              <w:t> </w:t>
            </w:r>
            <w:r>
              <w:rPr>
                <w:sz w:val="20"/>
              </w:rPr>
              <w:t>y</w:t>
            </w:r>
            <w:r>
              <w:rPr>
                <w:spacing w:val="26"/>
                <w:sz w:val="20"/>
              </w:rPr>
              <w:t> </w:t>
            </w:r>
            <w:r>
              <w:rPr>
                <w:sz w:val="20"/>
              </w:rPr>
              <w:t>B,</w:t>
            </w:r>
            <w:r>
              <w:rPr>
                <w:spacing w:val="26"/>
                <w:sz w:val="20"/>
              </w:rPr>
              <w:t> </w:t>
            </w:r>
            <w:r>
              <w:rPr>
                <w:sz w:val="20"/>
              </w:rPr>
              <w:t>se</w:t>
            </w:r>
            <w:r>
              <w:rPr>
                <w:spacing w:val="28"/>
                <w:sz w:val="20"/>
              </w:rPr>
              <w:t> </w:t>
            </w:r>
            <w:r>
              <w:rPr>
                <w:sz w:val="20"/>
              </w:rPr>
              <w:t>elegirá</w:t>
            </w:r>
            <w:r>
              <w:rPr>
                <w:spacing w:val="26"/>
                <w:sz w:val="20"/>
              </w:rPr>
              <w:t> </w:t>
            </w:r>
            <w:r>
              <w:rPr>
                <w:sz w:val="20"/>
              </w:rPr>
              <w:t>el</w:t>
            </w:r>
            <w:r>
              <w:rPr>
                <w:spacing w:val="26"/>
                <w:sz w:val="20"/>
              </w:rPr>
              <w:t> </w:t>
            </w:r>
            <w:r>
              <w:rPr>
                <w:sz w:val="20"/>
              </w:rPr>
              <w:t>rango</w:t>
            </w:r>
            <w:r>
              <w:rPr>
                <w:spacing w:val="26"/>
                <w:sz w:val="20"/>
              </w:rPr>
              <w:t> </w:t>
            </w:r>
            <w:r>
              <w:rPr>
                <w:sz w:val="20"/>
              </w:rPr>
              <w:t>de frecuencias que presente mayor pérdida auditiva.</w:t>
            </w:r>
          </w:p>
          <w:p>
            <w:pPr>
              <w:pStyle w:val="TableParagraph"/>
              <w:spacing w:line="240" w:lineRule="auto" w:before="227"/>
              <w:ind w:right="59"/>
              <w:jc w:val="both"/>
              <w:rPr>
                <w:sz w:val="20"/>
              </w:rPr>
            </w:pPr>
            <w:r>
              <w:rPr>
                <w:rFonts w:ascii="Arial" w:hAnsi="Arial"/>
                <w:b/>
                <w:sz w:val="20"/>
              </w:rPr>
              <w:t>Primero</w:t>
            </w:r>
            <w:r>
              <w:rPr>
                <w:sz w:val="20"/>
              </w:rPr>
              <w:t>. Si en el audiograma no aparecieran anotaciones de algún oído o los dos por anacusia, o no hubo respuesta en todas o en alguna de ellas, el valor que se le asignará a esas frecuencias será de 120 dB y</w:t>
            </w:r>
            <w:r>
              <w:rPr>
                <w:spacing w:val="-2"/>
                <w:sz w:val="20"/>
              </w:rPr>
              <w:t> </w:t>
            </w:r>
            <w:r>
              <w:rPr>
                <w:sz w:val="20"/>
              </w:rPr>
              <w:t>si en el oído contralateral los niveles de audición para las frecuencias del área de lenguaje están en valores de 0 dB o menores, para efectos de valuación se considerará como promedio 5 dB.</w:t>
            </w:r>
          </w:p>
          <w:p>
            <w:pPr>
              <w:pStyle w:val="TableParagraph"/>
              <w:spacing w:line="240" w:lineRule="auto"/>
              <w:ind w:left="0"/>
              <w:jc w:val="left"/>
              <w:rPr>
                <w:rFonts w:ascii="Arial"/>
                <w:b/>
                <w:sz w:val="20"/>
              </w:rPr>
            </w:pPr>
          </w:p>
          <w:p>
            <w:pPr>
              <w:pStyle w:val="TableParagraph"/>
              <w:tabs>
                <w:tab w:pos="2197" w:val="left" w:leader="none"/>
              </w:tabs>
              <w:spacing w:line="480" w:lineRule="auto"/>
              <w:ind w:right="2158"/>
              <w:jc w:val="left"/>
              <w:rPr>
                <w:sz w:val="20"/>
              </w:rPr>
            </w:pPr>
            <w:r>
              <w:rPr>
                <w:rFonts w:ascii="Arial" w:hAnsi="Arial"/>
                <w:b/>
                <w:sz w:val="20"/>
              </w:rPr>
              <w:t>Segundo</w:t>
            </w:r>
            <w:r>
              <w:rPr>
                <w:sz w:val="20"/>
              </w:rPr>
              <w:t>.</w:t>
            </w:r>
            <w:r>
              <w:rPr>
                <w:spacing w:val="-5"/>
                <w:sz w:val="20"/>
              </w:rPr>
              <w:t> </w:t>
            </w:r>
            <w:r>
              <w:rPr>
                <w:sz w:val="20"/>
              </w:rPr>
              <w:t>Se</w:t>
            </w:r>
            <w:r>
              <w:rPr>
                <w:spacing w:val="-5"/>
                <w:sz w:val="20"/>
              </w:rPr>
              <w:t> </w:t>
            </w:r>
            <w:r>
              <w:rPr>
                <w:sz w:val="20"/>
              </w:rPr>
              <w:t>suman</w:t>
            </w:r>
            <w:r>
              <w:rPr>
                <w:spacing w:val="-4"/>
                <w:sz w:val="20"/>
              </w:rPr>
              <w:t> </w:t>
            </w:r>
            <w:r>
              <w:rPr>
                <w:sz w:val="20"/>
              </w:rPr>
              <w:t>y</w:t>
            </w:r>
            <w:r>
              <w:rPr>
                <w:spacing w:val="-8"/>
                <w:sz w:val="20"/>
              </w:rPr>
              <w:t> </w:t>
            </w:r>
            <w:r>
              <w:rPr>
                <w:sz w:val="20"/>
              </w:rPr>
              <w:t>se</w:t>
            </w:r>
            <w:r>
              <w:rPr>
                <w:spacing w:val="-3"/>
                <w:sz w:val="20"/>
              </w:rPr>
              <w:t> </w:t>
            </w:r>
            <w:r>
              <w:rPr>
                <w:sz w:val="20"/>
              </w:rPr>
              <w:t>obtiene</w:t>
            </w:r>
            <w:r>
              <w:rPr>
                <w:spacing w:val="-3"/>
                <w:sz w:val="20"/>
              </w:rPr>
              <w:t> </w:t>
            </w:r>
            <w:r>
              <w:rPr>
                <w:sz w:val="20"/>
              </w:rPr>
              <w:t>el</w:t>
            </w:r>
            <w:r>
              <w:rPr>
                <w:spacing w:val="-4"/>
                <w:sz w:val="20"/>
              </w:rPr>
              <w:t> </w:t>
            </w:r>
            <w:r>
              <w:rPr>
                <w:sz w:val="20"/>
              </w:rPr>
              <w:t>promedio</w:t>
            </w:r>
            <w:r>
              <w:rPr>
                <w:spacing w:val="-3"/>
                <w:sz w:val="20"/>
              </w:rPr>
              <w:t> </w:t>
            </w:r>
            <w:r>
              <w:rPr>
                <w:sz w:val="20"/>
              </w:rPr>
              <w:t>aritmético</w:t>
            </w:r>
            <w:r>
              <w:rPr>
                <w:spacing w:val="-5"/>
                <w:sz w:val="20"/>
              </w:rPr>
              <w:t> </w:t>
            </w:r>
            <w:r>
              <w:rPr>
                <w:sz w:val="20"/>
              </w:rPr>
              <w:t>para</w:t>
            </w:r>
            <w:r>
              <w:rPr>
                <w:spacing w:val="-2"/>
                <w:sz w:val="20"/>
              </w:rPr>
              <w:t> </w:t>
            </w:r>
            <w:r>
              <w:rPr>
                <w:sz w:val="20"/>
              </w:rPr>
              <w:t>cada</w:t>
            </w:r>
            <w:r>
              <w:rPr>
                <w:spacing w:val="-3"/>
                <w:sz w:val="20"/>
              </w:rPr>
              <w:t> </w:t>
            </w:r>
            <w:r>
              <w:rPr>
                <w:sz w:val="20"/>
              </w:rPr>
              <w:t>oído.</w:t>
            </w:r>
            <w:r>
              <w:rPr>
                <w:spacing w:val="-3"/>
                <w:sz w:val="20"/>
              </w:rPr>
              <w:t> </w:t>
            </w:r>
            <w:r>
              <w:rPr>
                <w:sz w:val="20"/>
              </w:rPr>
              <w:t>Ejemplo: Oído derecho (OD)</w:t>
              <w:tab/>
              <w:t>Oído izquierdo (OI)</w:t>
            </w:r>
          </w:p>
          <w:p>
            <w:pPr>
              <w:pStyle w:val="TableParagraph"/>
              <w:tabs>
                <w:tab w:pos="1489" w:val="left" w:leader="none"/>
                <w:tab w:pos="3616" w:val="left" w:leader="none"/>
              </w:tabs>
              <w:spacing w:line="240" w:lineRule="auto" w:before="2"/>
              <w:jc w:val="left"/>
              <w:rPr>
                <w:sz w:val="20"/>
              </w:rPr>
            </w:pPr>
            <w:r>
              <w:rPr>
                <w:sz w:val="20"/>
              </w:rPr>
              <w:t>2000</w:t>
            </w:r>
            <w:r>
              <w:rPr>
                <w:spacing w:val="-5"/>
                <w:sz w:val="20"/>
              </w:rPr>
              <w:t> Hz</w:t>
            </w:r>
            <w:r>
              <w:rPr>
                <w:sz w:val="20"/>
              </w:rPr>
              <w:tab/>
              <w:t>60</w:t>
            </w:r>
            <w:r>
              <w:rPr>
                <w:spacing w:val="-3"/>
                <w:sz w:val="20"/>
              </w:rPr>
              <w:t> </w:t>
            </w:r>
            <w:r>
              <w:rPr>
                <w:sz w:val="20"/>
              </w:rPr>
              <w:t>dB</w:t>
            </w:r>
            <w:r>
              <w:rPr>
                <w:spacing w:val="35"/>
                <w:sz w:val="20"/>
              </w:rPr>
              <w:t>  </w:t>
            </w:r>
            <w:r>
              <w:rPr>
                <w:sz w:val="20"/>
              </w:rPr>
              <w:t>2000</w:t>
            </w:r>
            <w:r>
              <w:rPr>
                <w:spacing w:val="-1"/>
                <w:sz w:val="20"/>
              </w:rPr>
              <w:t> </w:t>
            </w:r>
            <w:r>
              <w:rPr>
                <w:spacing w:val="-5"/>
                <w:sz w:val="20"/>
              </w:rPr>
              <w:t>Hz</w:t>
            </w:r>
            <w:r>
              <w:rPr>
                <w:sz w:val="20"/>
              </w:rPr>
              <w:tab/>
              <w:t>10</w:t>
            </w:r>
            <w:r>
              <w:rPr>
                <w:spacing w:val="-4"/>
                <w:sz w:val="20"/>
              </w:rPr>
              <w:t> </w:t>
            </w:r>
            <w:r>
              <w:rPr>
                <w:spacing w:val="-5"/>
                <w:sz w:val="20"/>
              </w:rPr>
              <w:t>dB</w:t>
            </w:r>
          </w:p>
          <w:p>
            <w:pPr>
              <w:pStyle w:val="TableParagraph"/>
              <w:tabs>
                <w:tab w:pos="1489" w:val="left" w:leader="none"/>
                <w:tab w:pos="3616" w:val="left" w:leader="none"/>
              </w:tabs>
              <w:spacing w:line="240" w:lineRule="auto"/>
              <w:jc w:val="left"/>
              <w:rPr>
                <w:sz w:val="20"/>
              </w:rPr>
            </w:pPr>
            <w:r>
              <w:rPr>
                <w:sz w:val="20"/>
              </w:rPr>
              <w:t>3000</w:t>
            </w:r>
            <w:r>
              <w:rPr>
                <w:spacing w:val="-5"/>
                <w:sz w:val="20"/>
              </w:rPr>
              <w:t> Hz</w:t>
            </w:r>
            <w:r>
              <w:rPr>
                <w:sz w:val="20"/>
              </w:rPr>
              <w:tab/>
              <w:t>50</w:t>
            </w:r>
            <w:r>
              <w:rPr>
                <w:spacing w:val="-3"/>
                <w:sz w:val="20"/>
              </w:rPr>
              <w:t> </w:t>
            </w:r>
            <w:r>
              <w:rPr>
                <w:sz w:val="20"/>
              </w:rPr>
              <w:t>dB</w:t>
            </w:r>
            <w:r>
              <w:rPr>
                <w:spacing w:val="35"/>
                <w:sz w:val="20"/>
              </w:rPr>
              <w:t>  </w:t>
            </w:r>
            <w:r>
              <w:rPr>
                <w:sz w:val="20"/>
              </w:rPr>
              <w:t>3000</w:t>
            </w:r>
            <w:r>
              <w:rPr>
                <w:spacing w:val="-1"/>
                <w:sz w:val="20"/>
              </w:rPr>
              <w:t> </w:t>
            </w:r>
            <w:r>
              <w:rPr>
                <w:spacing w:val="-5"/>
                <w:sz w:val="20"/>
              </w:rPr>
              <w:t>Hz</w:t>
            </w:r>
            <w:r>
              <w:rPr>
                <w:sz w:val="20"/>
              </w:rPr>
              <w:tab/>
              <w:t>15</w:t>
            </w:r>
            <w:r>
              <w:rPr>
                <w:spacing w:val="-4"/>
                <w:sz w:val="20"/>
              </w:rPr>
              <w:t> </w:t>
            </w:r>
            <w:r>
              <w:rPr>
                <w:spacing w:val="-5"/>
                <w:sz w:val="20"/>
              </w:rPr>
              <w:t>dB</w:t>
            </w:r>
          </w:p>
          <w:p>
            <w:pPr>
              <w:pStyle w:val="TableParagraph"/>
              <w:tabs>
                <w:tab w:pos="1489" w:val="left" w:leader="none"/>
                <w:tab w:pos="3616" w:val="left" w:leader="none"/>
              </w:tabs>
              <w:spacing w:line="229" w:lineRule="exact" w:before="1"/>
              <w:jc w:val="left"/>
              <w:rPr>
                <w:sz w:val="20"/>
              </w:rPr>
            </w:pPr>
            <w:r>
              <w:rPr>
                <w:sz w:val="20"/>
              </w:rPr>
              <w:t>4000</w:t>
            </w:r>
            <w:r>
              <w:rPr>
                <w:spacing w:val="-5"/>
                <w:sz w:val="20"/>
              </w:rPr>
              <w:t> Hz</w:t>
            </w:r>
            <w:r>
              <w:rPr>
                <w:sz w:val="20"/>
              </w:rPr>
              <w:tab/>
              <w:t>50</w:t>
            </w:r>
            <w:r>
              <w:rPr>
                <w:spacing w:val="-3"/>
                <w:sz w:val="20"/>
              </w:rPr>
              <w:t> </w:t>
            </w:r>
            <w:r>
              <w:rPr>
                <w:sz w:val="20"/>
              </w:rPr>
              <w:t>dB</w:t>
            </w:r>
            <w:r>
              <w:rPr>
                <w:spacing w:val="35"/>
                <w:sz w:val="20"/>
              </w:rPr>
              <w:t>  </w:t>
            </w:r>
            <w:r>
              <w:rPr>
                <w:sz w:val="20"/>
              </w:rPr>
              <w:t>4000</w:t>
            </w:r>
            <w:r>
              <w:rPr>
                <w:spacing w:val="-1"/>
                <w:sz w:val="20"/>
              </w:rPr>
              <w:t> </w:t>
            </w:r>
            <w:r>
              <w:rPr>
                <w:spacing w:val="-5"/>
                <w:sz w:val="20"/>
              </w:rPr>
              <w:t>Hz</w:t>
            </w:r>
            <w:r>
              <w:rPr>
                <w:sz w:val="20"/>
              </w:rPr>
              <w:tab/>
              <w:t>15</w:t>
            </w:r>
            <w:r>
              <w:rPr>
                <w:spacing w:val="-4"/>
                <w:sz w:val="20"/>
              </w:rPr>
              <w:t> </w:t>
            </w:r>
            <w:r>
              <w:rPr>
                <w:spacing w:val="-5"/>
                <w:sz w:val="20"/>
              </w:rPr>
              <w:t>dB</w:t>
            </w:r>
          </w:p>
          <w:p>
            <w:pPr>
              <w:pStyle w:val="TableParagraph"/>
              <w:tabs>
                <w:tab w:pos="1489" w:val="left" w:leader="none"/>
                <w:tab w:pos="3616" w:val="left" w:leader="none"/>
              </w:tabs>
              <w:spacing w:line="229" w:lineRule="exact"/>
              <w:jc w:val="left"/>
              <w:rPr>
                <w:sz w:val="20"/>
              </w:rPr>
            </w:pPr>
            <w:r>
              <w:rPr>
                <w:sz w:val="20"/>
              </w:rPr>
              <w:t>6000</w:t>
            </w:r>
            <w:r>
              <w:rPr>
                <w:spacing w:val="-5"/>
                <w:sz w:val="20"/>
              </w:rPr>
              <w:t> Hz</w:t>
            </w:r>
            <w:r>
              <w:rPr>
                <w:sz w:val="20"/>
              </w:rPr>
              <w:tab/>
              <w:t>50</w:t>
            </w:r>
            <w:r>
              <w:rPr>
                <w:spacing w:val="-3"/>
                <w:sz w:val="20"/>
              </w:rPr>
              <w:t> </w:t>
            </w:r>
            <w:r>
              <w:rPr>
                <w:sz w:val="20"/>
              </w:rPr>
              <w:t>dB</w:t>
            </w:r>
            <w:r>
              <w:rPr>
                <w:spacing w:val="35"/>
                <w:sz w:val="20"/>
              </w:rPr>
              <w:t>  </w:t>
            </w:r>
            <w:r>
              <w:rPr>
                <w:sz w:val="20"/>
              </w:rPr>
              <w:t>6000</w:t>
            </w:r>
            <w:r>
              <w:rPr>
                <w:spacing w:val="-1"/>
                <w:sz w:val="20"/>
              </w:rPr>
              <w:t> </w:t>
            </w:r>
            <w:r>
              <w:rPr>
                <w:spacing w:val="-5"/>
                <w:sz w:val="20"/>
              </w:rPr>
              <w:t>Hz</w:t>
            </w:r>
            <w:r>
              <w:rPr>
                <w:sz w:val="20"/>
              </w:rPr>
              <w:tab/>
              <w:t>15</w:t>
            </w:r>
            <w:r>
              <w:rPr>
                <w:spacing w:val="-4"/>
                <w:sz w:val="20"/>
              </w:rPr>
              <w:t> </w:t>
            </w:r>
            <w:r>
              <w:rPr>
                <w:spacing w:val="-5"/>
                <w:sz w:val="20"/>
              </w:rPr>
              <w:t>dB</w:t>
            </w:r>
          </w:p>
          <w:p>
            <w:pPr>
              <w:pStyle w:val="TableParagraph"/>
              <w:spacing w:line="240" w:lineRule="auto" w:before="1"/>
              <w:ind w:left="0"/>
              <w:jc w:val="left"/>
              <w:rPr>
                <w:rFonts w:ascii="Arial"/>
                <w:b/>
                <w:sz w:val="20"/>
              </w:rPr>
            </w:pPr>
          </w:p>
          <w:p>
            <w:pPr>
              <w:pStyle w:val="TableParagraph"/>
              <w:tabs>
                <w:tab w:pos="2197" w:val="left" w:leader="none"/>
              </w:tabs>
              <w:spacing w:line="240" w:lineRule="auto"/>
              <w:jc w:val="left"/>
              <w:rPr>
                <w:sz w:val="20"/>
              </w:rPr>
            </w:pPr>
            <w:r>
              <w:rPr>
                <w:sz w:val="20"/>
              </w:rPr>
              <w:t>Suma:</w:t>
            </w:r>
            <w:r>
              <w:rPr>
                <w:spacing w:val="-4"/>
                <w:sz w:val="20"/>
              </w:rPr>
              <w:t> </w:t>
            </w:r>
            <w:r>
              <w:rPr>
                <w:sz w:val="20"/>
              </w:rPr>
              <w:t>210</w:t>
            </w:r>
            <w:r>
              <w:rPr>
                <w:spacing w:val="-3"/>
                <w:sz w:val="20"/>
              </w:rPr>
              <w:t> </w:t>
            </w:r>
            <w:r>
              <w:rPr>
                <w:sz w:val="20"/>
              </w:rPr>
              <w:t>/</w:t>
            </w:r>
            <w:r>
              <w:rPr>
                <w:spacing w:val="-2"/>
                <w:sz w:val="20"/>
              </w:rPr>
              <w:t> </w:t>
            </w:r>
            <w:r>
              <w:rPr>
                <w:sz w:val="20"/>
              </w:rPr>
              <w:t>4=</w:t>
            </w:r>
            <w:r>
              <w:rPr>
                <w:spacing w:val="-4"/>
                <w:sz w:val="20"/>
              </w:rPr>
              <w:t> 52.5</w:t>
            </w:r>
            <w:r>
              <w:rPr>
                <w:sz w:val="20"/>
              </w:rPr>
              <w:tab/>
              <w:t>Suma:</w:t>
            </w:r>
            <w:r>
              <w:rPr>
                <w:spacing w:val="-5"/>
                <w:sz w:val="20"/>
              </w:rPr>
              <w:t> </w:t>
            </w:r>
            <w:r>
              <w:rPr>
                <w:sz w:val="20"/>
              </w:rPr>
              <w:t>55/</w:t>
            </w:r>
            <w:r>
              <w:rPr>
                <w:spacing w:val="-5"/>
                <w:sz w:val="20"/>
              </w:rPr>
              <w:t> </w:t>
            </w:r>
            <w:r>
              <w:rPr>
                <w:spacing w:val="-2"/>
                <w:sz w:val="20"/>
              </w:rPr>
              <w:t>4=13.7</w:t>
            </w:r>
          </w:p>
          <w:p>
            <w:pPr>
              <w:pStyle w:val="TableParagraph"/>
              <w:spacing w:line="230" w:lineRule="atLeast" w:before="211"/>
              <w:jc w:val="left"/>
              <w:rPr>
                <w:sz w:val="20"/>
              </w:rPr>
            </w:pPr>
            <w:r>
              <w:rPr>
                <w:sz w:val="20"/>
              </w:rPr>
              <w:t>Promedio</w:t>
            </w:r>
            <w:r>
              <w:rPr>
                <w:spacing w:val="31"/>
                <w:sz w:val="20"/>
              </w:rPr>
              <w:t> </w:t>
            </w:r>
            <w:r>
              <w:rPr>
                <w:sz w:val="20"/>
              </w:rPr>
              <w:t>aritmético</w:t>
            </w:r>
            <w:r>
              <w:rPr>
                <w:spacing w:val="31"/>
                <w:sz w:val="20"/>
              </w:rPr>
              <w:t> </w:t>
            </w:r>
            <w:r>
              <w:rPr>
                <w:sz w:val="20"/>
              </w:rPr>
              <w:t>para</w:t>
            </w:r>
            <w:r>
              <w:rPr>
                <w:spacing w:val="31"/>
                <w:sz w:val="20"/>
              </w:rPr>
              <w:t> </w:t>
            </w:r>
            <w:r>
              <w:rPr>
                <w:sz w:val="20"/>
              </w:rPr>
              <w:t>las</w:t>
            </w:r>
            <w:r>
              <w:rPr>
                <w:spacing w:val="32"/>
                <w:sz w:val="20"/>
              </w:rPr>
              <w:t> </w:t>
            </w:r>
            <w:r>
              <w:rPr>
                <w:sz w:val="20"/>
              </w:rPr>
              <w:t>frecuencias</w:t>
            </w:r>
            <w:r>
              <w:rPr>
                <w:spacing w:val="32"/>
                <w:sz w:val="20"/>
              </w:rPr>
              <w:t> </w:t>
            </w:r>
            <w:r>
              <w:rPr>
                <w:sz w:val="20"/>
              </w:rPr>
              <w:t>de</w:t>
            </w:r>
            <w:r>
              <w:rPr>
                <w:spacing w:val="31"/>
                <w:sz w:val="20"/>
              </w:rPr>
              <w:t> </w:t>
            </w:r>
            <w:r>
              <w:rPr>
                <w:sz w:val="20"/>
              </w:rPr>
              <w:t>la</w:t>
            </w:r>
            <w:r>
              <w:rPr>
                <w:spacing w:val="33"/>
                <w:sz w:val="20"/>
              </w:rPr>
              <w:t> </w:t>
            </w:r>
            <w:r>
              <w:rPr>
                <w:sz w:val="20"/>
              </w:rPr>
              <w:t>zona</w:t>
            </w:r>
            <w:r>
              <w:rPr>
                <w:spacing w:val="33"/>
                <w:sz w:val="20"/>
              </w:rPr>
              <w:t> </w:t>
            </w:r>
            <w:r>
              <w:rPr>
                <w:sz w:val="20"/>
              </w:rPr>
              <w:t>del</w:t>
            </w:r>
            <w:r>
              <w:rPr>
                <w:spacing w:val="33"/>
                <w:sz w:val="20"/>
              </w:rPr>
              <w:t> </w:t>
            </w:r>
            <w:r>
              <w:rPr>
                <w:sz w:val="20"/>
              </w:rPr>
              <w:t>lenguaje,</w:t>
            </w:r>
            <w:r>
              <w:rPr>
                <w:spacing w:val="33"/>
                <w:sz w:val="20"/>
              </w:rPr>
              <w:t> </w:t>
            </w:r>
            <w:r>
              <w:rPr>
                <w:sz w:val="20"/>
              </w:rPr>
              <w:t>para</w:t>
            </w:r>
            <w:r>
              <w:rPr>
                <w:spacing w:val="31"/>
                <w:sz w:val="20"/>
              </w:rPr>
              <w:t> </w:t>
            </w:r>
            <w:r>
              <w:rPr>
                <w:sz w:val="20"/>
              </w:rPr>
              <w:t>oído</w:t>
            </w:r>
            <w:r>
              <w:rPr>
                <w:spacing w:val="31"/>
                <w:sz w:val="20"/>
              </w:rPr>
              <w:t> </w:t>
            </w:r>
            <w:r>
              <w:rPr>
                <w:sz w:val="20"/>
              </w:rPr>
              <w:t>derecho</w:t>
            </w:r>
            <w:r>
              <w:rPr>
                <w:spacing w:val="31"/>
                <w:sz w:val="20"/>
              </w:rPr>
              <w:t> </w:t>
            </w:r>
            <w:r>
              <w:rPr>
                <w:sz w:val="20"/>
              </w:rPr>
              <w:t>52.5,</w:t>
            </w:r>
            <w:r>
              <w:rPr>
                <w:spacing w:val="31"/>
                <w:sz w:val="20"/>
              </w:rPr>
              <w:t> </w:t>
            </w:r>
            <w:r>
              <w:rPr>
                <w:sz w:val="20"/>
              </w:rPr>
              <w:t>para</w:t>
            </w:r>
            <w:r>
              <w:rPr>
                <w:spacing w:val="32"/>
                <w:sz w:val="20"/>
              </w:rPr>
              <w:t> </w:t>
            </w:r>
            <w:r>
              <w:rPr>
                <w:sz w:val="20"/>
              </w:rPr>
              <w:t>oído izquierdo 13.7.</w:t>
            </w:r>
          </w:p>
        </w:tc>
      </w:tr>
    </w:tbl>
    <w:p>
      <w:pPr>
        <w:pStyle w:val="TableParagraph"/>
        <w:spacing w:after="0" w:line="230" w:lineRule="atLeast"/>
        <w:jc w:val="left"/>
        <w:rPr>
          <w:sz w:val="20"/>
        </w:rPr>
        <w:sectPr>
          <w:pgSz w:w="12240" w:h="15840"/>
          <w:pgMar w:header="724" w:footer="712" w:top="1880" w:bottom="900" w:left="1080" w:right="1080"/>
        </w:sectPr>
      </w:pPr>
    </w:p>
    <w:p>
      <w:pPr>
        <w:pStyle w:val="BodyText"/>
        <w:rPr>
          <w:rFonts w:ascii="Arial"/>
          <w:b/>
        </w:rPr>
      </w:pPr>
    </w:p>
    <w:p>
      <w:pPr>
        <w:pStyle w:val="BodyText"/>
        <w:spacing w:before="80"/>
        <w:rPr>
          <w:rFonts w:ascii="Arial"/>
          <w:b/>
        </w:rPr>
      </w:pPr>
    </w:p>
    <w:p>
      <w:pPr>
        <w:pStyle w:val="BodyText"/>
        <w:ind w:left="338" w:right="332"/>
        <w:jc w:val="both"/>
      </w:pPr>
      <w:r>
        <w:rPr/>
        <mc:AlternateContent>
          <mc:Choice Requires="wps">
            <w:drawing>
              <wp:anchor distT="0" distB="0" distL="0" distR="0" allowOverlap="1" layoutInCell="1" locked="0" behindDoc="1" simplePos="0" relativeHeight="477001216">
                <wp:simplePos x="0" y="0"/>
                <wp:positionH relativeFrom="page">
                  <wp:posOffset>850696</wp:posOffset>
                </wp:positionH>
                <wp:positionV relativeFrom="paragraph">
                  <wp:posOffset>-153378</wp:posOffset>
                </wp:positionV>
                <wp:extent cx="6073140" cy="556831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073140" cy="5568315"/>
                        </a:xfrm>
                        <a:custGeom>
                          <a:avLst/>
                          <a:gdLst/>
                          <a:ahLst/>
                          <a:cxnLst/>
                          <a:rect l="l" t="t" r="r" b="b"/>
                          <a:pathLst>
                            <a:path w="6073140" h="5568315">
                              <a:moveTo>
                                <a:pt x="6063361" y="0"/>
                              </a:moveTo>
                              <a:lnTo>
                                <a:pt x="9144" y="0"/>
                              </a:lnTo>
                              <a:lnTo>
                                <a:pt x="0" y="0"/>
                              </a:lnTo>
                              <a:lnTo>
                                <a:pt x="0" y="9131"/>
                              </a:lnTo>
                              <a:lnTo>
                                <a:pt x="0" y="5558650"/>
                              </a:lnTo>
                              <a:lnTo>
                                <a:pt x="0" y="5567794"/>
                              </a:lnTo>
                              <a:lnTo>
                                <a:pt x="9144" y="5567794"/>
                              </a:lnTo>
                              <a:lnTo>
                                <a:pt x="6063361" y="5567794"/>
                              </a:lnTo>
                              <a:lnTo>
                                <a:pt x="6063361" y="5558650"/>
                              </a:lnTo>
                              <a:lnTo>
                                <a:pt x="9144" y="5558650"/>
                              </a:lnTo>
                              <a:lnTo>
                                <a:pt x="9144" y="9131"/>
                              </a:lnTo>
                              <a:lnTo>
                                <a:pt x="6063361" y="9131"/>
                              </a:lnTo>
                              <a:lnTo>
                                <a:pt x="6063361" y="0"/>
                              </a:lnTo>
                              <a:close/>
                            </a:path>
                            <a:path w="6073140" h="5568315">
                              <a:moveTo>
                                <a:pt x="6072568" y="0"/>
                              </a:moveTo>
                              <a:lnTo>
                                <a:pt x="6063437" y="0"/>
                              </a:lnTo>
                              <a:lnTo>
                                <a:pt x="6063437" y="9131"/>
                              </a:lnTo>
                              <a:lnTo>
                                <a:pt x="6063437" y="5558650"/>
                              </a:lnTo>
                              <a:lnTo>
                                <a:pt x="6063437" y="5567794"/>
                              </a:lnTo>
                              <a:lnTo>
                                <a:pt x="6072568" y="5567794"/>
                              </a:lnTo>
                              <a:lnTo>
                                <a:pt x="6072568" y="5558650"/>
                              </a:lnTo>
                              <a:lnTo>
                                <a:pt x="6072568" y="9131"/>
                              </a:lnTo>
                              <a:lnTo>
                                <a:pt x="60725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984001pt;margin-top:-12.077079pt;width:478.2pt;height:438.45pt;mso-position-horizontal-relative:page;mso-position-vertical-relative:paragraph;z-index:-26315264" id="docshape6" coordorigin="1340,-242" coordsize="9564,8769" path="m10888,-242l1354,-242,1340,-242,1340,-227,1340,8512,1340,8527,1354,8527,10888,8527,10888,8512,1354,8512,1354,-227,10888,-227,10888,-242xm10903,-242l10888,-242,10888,-227,10888,8512,10888,8527,10903,8527,10903,8512,10903,-227,10903,-242xe" filled="true" fillcolor="#000000" stroked="false">
                <v:path arrowok="t"/>
                <v:fill type="solid"/>
                <w10:wrap type="none"/>
              </v:shape>
            </w:pict>
          </mc:Fallback>
        </mc:AlternateContent>
      </w:r>
      <w:r>
        <w:rPr>
          <w:rFonts w:ascii="Arial" w:hAnsi="Arial"/>
          <w:b/>
        </w:rPr>
        <w:t>Tercero. </w:t>
      </w:r>
      <w:r>
        <w:rPr/>
        <w:t>El promedio aritmético de cada oído se multiplica por 0.8 (constante de fletcher) y se obtiene el promedio de pérdida para cada oído o índice de fletcher.</w:t>
      </w:r>
    </w:p>
    <w:p>
      <w:pPr>
        <w:pStyle w:val="BodyText"/>
        <w:spacing w:before="1"/>
      </w:pPr>
    </w:p>
    <w:p>
      <w:pPr>
        <w:pStyle w:val="BodyText"/>
        <w:ind w:left="338"/>
        <w:jc w:val="both"/>
      </w:pPr>
      <w:r>
        <w:rPr/>
        <w:t>Ejemplo:</w:t>
      </w:r>
      <w:r>
        <w:rPr>
          <w:spacing w:val="-4"/>
        </w:rPr>
        <w:t> </w:t>
      </w:r>
      <w:r>
        <w:rPr/>
        <w:t>OD:</w:t>
      </w:r>
      <w:r>
        <w:rPr>
          <w:spacing w:val="-3"/>
        </w:rPr>
        <w:t> </w:t>
      </w:r>
      <w:r>
        <w:rPr/>
        <w:t>52.5</w:t>
      </w:r>
      <w:r>
        <w:rPr>
          <w:spacing w:val="-3"/>
        </w:rPr>
        <w:t> </w:t>
      </w:r>
      <w:r>
        <w:rPr/>
        <w:t>x</w:t>
      </w:r>
      <w:r>
        <w:rPr>
          <w:spacing w:val="-2"/>
        </w:rPr>
        <w:t> </w:t>
      </w:r>
      <w:r>
        <w:rPr/>
        <w:t>0.8</w:t>
      </w:r>
      <w:r>
        <w:rPr>
          <w:spacing w:val="-1"/>
        </w:rPr>
        <w:t> </w:t>
      </w:r>
      <w:r>
        <w:rPr/>
        <w:t>=42</w:t>
      </w:r>
      <w:r>
        <w:rPr>
          <w:spacing w:val="61"/>
        </w:rPr>
        <w:t>   </w:t>
      </w:r>
      <w:r>
        <w:rPr/>
        <w:t>OI:</w:t>
      </w:r>
      <w:r>
        <w:rPr>
          <w:spacing w:val="-3"/>
        </w:rPr>
        <w:t> </w:t>
      </w:r>
      <w:r>
        <w:rPr/>
        <w:t>13.75</w:t>
      </w:r>
      <w:r>
        <w:rPr>
          <w:spacing w:val="-3"/>
        </w:rPr>
        <w:t> </w:t>
      </w:r>
      <w:r>
        <w:rPr/>
        <w:t>x</w:t>
      </w:r>
      <w:r>
        <w:rPr>
          <w:spacing w:val="-2"/>
        </w:rPr>
        <w:t> 0.8=11</w:t>
      </w:r>
    </w:p>
    <w:p>
      <w:pPr>
        <w:pStyle w:val="BodyText"/>
        <w:spacing w:before="229"/>
        <w:ind w:left="338" w:right="345"/>
        <w:jc w:val="both"/>
      </w:pPr>
      <w:r>
        <w:rPr>
          <w:rFonts w:ascii="Arial"/>
          <w:b/>
        </w:rPr>
        <w:t>Cuarto. </w:t>
      </w:r>
      <w:r>
        <w:rPr/>
        <w:t>Se calcula la hipoacusia bilateral combinada, (H.B.C.) o por ciento de incapacidad auditiva </w:t>
      </w:r>
      <w:r>
        <w:rPr>
          <w:spacing w:val="-2"/>
        </w:rPr>
        <w:t>biaural.</w:t>
      </w:r>
    </w:p>
    <w:p>
      <w:pPr>
        <w:pStyle w:val="BodyText"/>
        <w:spacing w:before="1"/>
      </w:pPr>
    </w:p>
    <w:p>
      <w:pPr>
        <w:pStyle w:val="BodyText"/>
        <w:ind w:left="338" w:right="344"/>
        <w:jc w:val="both"/>
      </w:pPr>
      <w:r>
        <w:rPr/>
        <w:t>Se multiplican los resultados anteriores: por 7 el oído menos sordo y por 1 el más sordo. Se suman y se divide entre 8.</w:t>
      </w:r>
    </w:p>
    <w:p>
      <w:pPr>
        <w:pStyle w:val="BodyText"/>
        <w:spacing w:before="2"/>
      </w:pPr>
    </w:p>
    <w:p>
      <w:pPr>
        <w:pStyle w:val="BodyText"/>
        <w:spacing w:line="477" w:lineRule="auto"/>
        <w:ind w:left="338" w:right="4879"/>
        <w:jc w:val="both"/>
      </w:pPr>
      <w:r>
        <w:rPr/>
        <w:t>(%</w:t>
      </w:r>
      <w:r>
        <w:rPr>
          <w:spacing w:val="-4"/>
        </w:rPr>
        <w:t> </w:t>
      </w:r>
      <w:r>
        <w:rPr/>
        <w:t>oído</w:t>
      </w:r>
      <w:r>
        <w:rPr>
          <w:spacing w:val="-5"/>
        </w:rPr>
        <w:t> </w:t>
      </w:r>
      <w:r>
        <w:rPr/>
        <w:t>menos</w:t>
      </w:r>
      <w:r>
        <w:rPr>
          <w:spacing w:val="-3"/>
        </w:rPr>
        <w:t> </w:t>
      </w:r>
      <w:r>
        <w:rPr/>
        <w:t>sordo</w:t>
      </w:r>
      <w:r>
        <w:rPr>
          <w:spacing w:val="-4"/>
        </w:rPr>
        <w:t> </w:t>
      </w:r>
      <w:r>
        <w:rPr/>
        <w:t>x</w:t>
      </w:r>
      <w:r>
        <w:rPr>
          <w:spacing w:val="-3"/>
        </w:rPr>
        <w:t> </w:t>
      </w:r>
      <w:r>
        <w:rPr/>
        <w:t>7)</w:t>
      </w:r>
      <w:r>
        <w:rPr>
          <w:spacing w:val="-1"/>
        </w:rPr>
        <w:t> </w:t>
      </w:r>
      <w:r>
        <w:rPr/>
        <w:t>+</w:t>
      </w:r>
      <w:r>
        <w:rPr>
          <w:spacing w:val="-5"/>
        </w:rPr>
        <w:t> </w:t>
      </w:r>
      <w:r>
        <w:rPr/>
        <w:t>(%</w:t>
      </w:r>
      <w:r>
        <w:rPr>
          <w:spacing w:val="-4"/>
        </w:rPr>
        <w:t> </w:t>
      </w:r>
      <w:r>
        <w:rPr/>
        <w:t>oído</w:t>
      </w:r>
      <w:r>
        <w:rPr>
          <w:spacing w:val="-5"/>
        </w:rPr>
        <w:t> </w:t>
      </w:r>
      <w:r>
        <w:rPr/>
        <w:t>más</w:t>
      </w:r>
      <w:r>
        <w:rPr>
          <w:spacing w:val="-3"/>
        </w:rPr>
        <w:t> </w:t>
      </w:r>
      <w:r>
        <w:rPr/>
        <w:t>sordo</w:t>
      </w:r>
      <w:r>
        <w:rPr>
          <w:spacing w:val="-4"/>
        </w:rPr>
        <w:t> </w:t>
      </w:r>
      <w:r>
        <w:rPr/>
        <w:t>x</w:t>
      </w:r>
      <w:r>
        <w:rPr>
          <w:spacing w:val="-3"/>
        </w:rPr>
        <w:t> </w:t>
      </w:r>
      <w:r>
        <w:rPr/>
        <w:t>1)</w:t>
      </w:r>
      <w:r>
        <w:rPr>
          <w:spacing w:val="-4"/>
        </w:rPr>
        <w:t> </w:t>
      </w:r>
      <w:r>
        <w:rPr/>
        <w:t>/</w:t>
      </w:r>
      <w:r>
        <w:rPr>
          <w:spacing w:val="-2"/>
        </w:rPr>
        <w:t> </w:t>
      </w:r>
      <w:r>
        <w:rPr/>
        <w:t>8 (11 x 7) + (42 x 1) = 77+42 = 119=14.8 (H.B.C.)</w:t>
      </w:r>
    </w:p>
    <w:p>
      <w:pPr>
        <w:pStyle w:val="BodyText"/>
        <w:spacing w:before="4"/>
        <w:ind w:left="338" w:right="343"/>
        <w:jc w:val="both"/>
      </w:pPr>
      <w:r>
        <w:rPr/>
        <w:t>Como el resultado de las operaciones aritméticas de este procedimiento con frecuencia traduce valores en fracciones decimales, se ha considerado conveniente suprimir estas fracciones y reportar números enteros (redondeo), de acuerdo al siguiente criterio:</w:t>
      </w:r>
    </w:p>
    <w:p>
      <w:pPr>
        <w:pStyle w:val="BodyText"/>
        <w:spacing w:before="229"/>
        <w:ind w:left="338"/>
        <w:jc w:val="both"/>
      </w:pPr>
      <w:r>
        <w:rPr/>
        <w:t>Hasta</w:t>
      </w:r>
      <w:r>
        <w:rPr>
          <w:spacing w:val="-9"/>
        </w:rPr>
        <w:t> </w:t>
      </w:r>
      <w:r>
        <w:rPr/>
        <w:t>0.5</w:t>
      </w:r>
      <w:r>
        <w:rPr>
          <w:spacing w:val="-7"/>
        </w:rPr>
        <w:t> </w:t>
      </w:r>
      <w:r>
        <w:rPr/>
        <w:t>se</w:t>
      </w:r>
      <w:r>
        <w:rPr>
          <w:spacing w:val="-7"/>
        </w:rPr>
        <w:t> </w:t>
      </w:r>
      <w:r>
        <w:rPr/>
        <w:t>redondea</w:t>
      </w:r>
      <w:r>
        <w:rPr>
          <w:spacing w:val="-5"/>
        </w:rPr>
        <w:t> </w:t>
      </w:r>
      <w:r>
        <w:rPr/>
        <w:t>al</w:t>
      </w:r>
      <w:r>
        <w:rPr>
          <w:spacing w:val="-7"/>
        </w:rPr>
        <w:t> </w:t>
      </w:r>
      <w:r>
        <w:rPr/>
        <w:t>entero</w:t>
      </w:r>
      <w:r>
        <w:rPr>
          <w:spacing w:val="-5"/>
        </w:rPr>
        <w:t> </w:t>
      </w:r>
      <w:r>
        <w:rPr/>
        <w:t>inmediato</w:t>
      </w:r>
      <w:r>
        <w:rPr>
          <w:spacing w:val="-5"/>
        </w:rPr>
        <w:t> </w:t>
      </w:r>
      <w:r>
        <w:rPr/>
        <w:t>anterior:</w:t>
      </w:r>
      <w:r>
        <w:rPr>
          <w:spacing w:val="-6"/>
        </w:rPr>
        <w:t> </w:t>
      </w:r>
      <w:r>
        <w:rPr/>
        <w:t>Ejemplo:</w:t>
      </w:r>
      <w:r>
        <w:rPr>
          <w:spacing w:val="-7"/>
        </w:rPr>
        <w:t> </w:t>
      </w:r>
      <w:r>
        <w:rPr/>
        <w:t>14.5=</w:t>
      </w:r>
      <w:r>
        <w:rPr>
          <w:spacing w:val="-6"/>
        </w:rPr>
        <w:t> </w:t>
      </w:r>
      <w:r>
        <w:rPr>
          <w:spacing w:val="-5"/>
        </w:rPr>
        <w:t>14</w:t>
      </w:r>
    </w:p>
    <w:p>
      <w:pPr>
        <w:pStyle w:val="BodyText"/>
        <w:spacing w:before="1"/>
      </w:pPr>
    </w:p>
    <w:p>
      <w:pPr>
        <w:pStyle w:val="BodyText"/>
        <w:ind w:left="338"/>
        <w:jc w:val="both"/>
      </w:pPr>
      <w:r>
        <w:rPr/>
        <w:t>Si</w:t>
      </w:r>
      <w:r>
        <w:rPr>
          <w:spacing w:val="-6"/>
        </w:rPr>
        <w:t> </w:t>
      </w:r>
      <w:r>
        <w:rPr/>
        <w:t>es</w:t>
      </w:r>
      <w:r>
        <w:rPr>
          <w:spacing w:val="-5"/>
        </w:rPr>
        <w:t> </w:t>
      </w:r>
      <w:r>
        <w:rPr/>
        <w:t>igual</w:t>
      </w:r>
      <w:r>
        <w:rPr>
          <w:spacing w:val="-7"/>
        </w:rPr>
        <w:t> </w:t>
      </w:r>
      <w:r>
        <w:rPr/>
        <w:t>o</w:t>
      </w:r>
      <w:r>
        <w:rPr>
          <w:spacing w:val="-7"/>
        </w:rPr>
        <w:t> </w:t>
      </w:r>
      <w:r>
        <w:rPr/>
        <w:t>mayor</w:t>
      </w:r>
      <w:r>
        <w:rPr>
          <w:spacing w:val="-6"/>
        </w:rPr>
        <w:t> </w:t>
      </w:r>
      <w:r>
        <w:rPr/>
        <w:t>a</w:t>
      </w:r>
      <w:r>
        <w:rPr>
          <w:spacing w:val="-4"/>
        </w:rPr>
        <w:t> </w:t>
      </w:r>
      <w:r>
        <w:rPr/>
        <w:t>0.6</w:t>
      </w:r>
      <w:r>
        <w:rPr>
          <w:spacing w:val="-4"/>
        </w:rPr>
        <w:t> </w:t>
      </w:r>
      <w:r>
        <w:rPr/>
        <w:t>décimos,</w:t>
      </w:r>
      <w:r>
        <w:rPr>
          <w:spacing w:val="-6"/>
        </w:rPr>
        <w:t> </w:t>
      </w:r>
      <w:r>
        <w:rPr/>
        <w:t>se</w:t>
      </w:r>
      <w:r>
        <w:rPr>
          <w:spacing w:val="-6"/>
        </w:rPr>
        <w:t> </w:t>
      </w:r>
      <w:r>
        <w:rPr/>
        <w:t>elevará</w:t>
      </w:r>
      <w:r>
        <w:rPr>
          <w:spacing w:val="-6"/>
        </w:rPr>
        <w:t> </w:t>
      </w:r>
      <w:r>
        <w:rPr/>
        <w:t>al</w:t>
      </w:r>
      <w:r>
        <w:rPr>
          <w:spacing w:val="-7"/>
        </w:rPr>
        <w:t> </w:t>
      </w:r>
      <w:r>
        <w:rPr/>
        <w:t>entero</w:t>
      </w:r>
      <w:r>
        <w:rPr>
          <w:spacing w:val="-6"/>
        </w:rPr>
        <w:t> </w:t>
      </w:r>
      <w:r>
        <w:rPr/>
        <w:t>inmediato</w:t>
      </w:r>
      <w:r>
        <w:rPr>
          <w:spacing w:val="-7"/>
        </w:rPr>
        <w:t> </w:t>
      </w:r>
      <w:r>
        <w:rPr/>
        <w:t>superior:</w:t>
      </w:r>
      <w:r>
        <w:rPr>
          <w:spacing w:val="-4"/>
        </w:rPr>
        <w:t> </w:t>
      </w:r>
      <w:r>
        <w:rPr/>
        <w:t>Ejemplo:</w:t>
      </w:r>
      <w:r>
        <w:rPr>
          <w:spacing w:val="-4"/>
        </w:rPr>
        <w:t> </w:t>
      </w:r>
      <w:r>
        <w:rPr/>
        <w:t>14.8=</w:t>
      </w:r>
      <w:r>
        <w:rPr>
          <w:spacing w:val="-5"/>
        </w:rPr>
        <w:t> 15.</w:t>
      </w:r>
    </w:p>
    <w:p>
      <w:pPr>
        <w:pStyle w:val="BodyText"/>
        <w:spacing w:before="228"/>
        <w:ind w:left="338" w:right="346"/>
        <w:jc w:val="both"/>
      </w:pPr>
      <w:r>
        <w:rPr>
          <w:rFonts w:ascii="Arial" w:hAnsi="Arial"/>
          <w:b/>
        </w:rPr>
        <w:t>Quinto</w:t>
      </w:r>
      <w:r>
        <w:rPr/>
        <w:t>. Cálculo del por ciento de la incapacidad parcial permanente: en este ejemplo corresponde a:</w:t>
      </w:r>
      <w:r>
        <w:rPr>
          <w:spacing w:val="40"/>
        </w:rPr>
        <w:t> </w:t>
      </w:r>
      <w:r>
        <w:rPr/>
        <w:t>15% de H.B.C. y 14% de incapacidad permanente.</w:t>
      </w:r>
    </w:p>
    <w:p>
      <w:pPr>
        <w:pStyle w:val="BodyText"/>
        <w:spacing w:before="2"/>
      </w:pPr>
    </w:p>
    <w:p>
      <w:pPr>
        <w:pStyle w:val="BodyText"/>
        <w:ind w:left="338" w:right="346"/>
        <w:jc w:val="both"/>
      </w:pPr>
      <w:r>
        <w:rPr/>
        <w:t>Cuando la H.B.C. se encuentra entre 10 y 25 por ciento se aplicará la Tabla IV ajustada suprimiendo </w:t>
      </w:r>
      <w:r>
        <w:rPr>
          <w:spacing w:val="-2"/>
        </w:rPr>
        <w:t>decimales.</w:t>
      </w:r>
    </w:p>
    <w:p>
      <w:pPr>
        <w:pStyle w:val="BodyText"/>
        <w:spacing w:before="229"/>
        <w:ind w:left="338" w:right="346"/>
        <w:jc w:val="both"/>
      </w:pPr>
      <w:r>
        <w:rPr/>
        <w:t>Cuando la H.B.C. es de 25% o mayor, basta restar 5 unidades para obtener el porcentaje de incapacidad parcial permanente, hasta 70%.</w:t>
      </w:r>
    </w:p>
    <w:p>
      <w:pPr>
        <w:pStyle w:val="BodyText"/>
        <w:spacing w:before="1"/>
      </w:pPr>
    </w:p>
    <w:p>
      <w:pPr>
        <w:pStyle w:val="BodyText"/>
        <w:ind w:left="338" w:right="345"/>
        <w:jc w:val="both"/>
      </w:pPr>
      <w:r>
        <w:rPr/>
        <w:t>A partir de 71% de H.B.C. ya no se restarán 5 unidades toda vez que corresponderá a 100% de Incapacidad Permanente. En virtud de que la audición residual no es útil para establecer comunicación </w:t>
      </w:r>
      <w:r>
        <w:rPr>
          <w:spacing w:val="-2"/>
        </w:rPr>
        <w:t>humana.</w:t>
      </w:r>
    </w:p>
    <w:p>
      <w:pPr>
        <w:pStyle w:val="BodyText"/>
        <w:spacing w:before="229"/>
        <w:ind w:left="338"/>
        <w:jc w:val="both"/>
      </w:pPr>
      <w:r>
        <w:rPr/>
        <w:t>Determinar</w:t>
      </w:r>
      <w:r>
        <w:rPr>
          <w:spacing w:val="-8"/>
        </w:rPr>
        <w:t> </w:t>
      </w:r>
      <w:r>
        <w:rPr/>
        <w:t>la</w:t>
      </w:r>
      <w:r>
        <w:rPr>
          <w:spacing w:val="-7"/>
        </w:rPr>
        <w:t> </w:t>
      </w:r>
      <w:r>
        <w:rPr/>
        <w:t>incapacidad</w:t>
      </w:r>
      <w:r>
        <w:rPr>
          <w:spacing w:val="-9"/>
        </w:rPr>
        <w:t> </w:t>
      </w:r>
      <w:r>
        <w:rPr/>
        <w:t>funcional</w:t>
      </w:r>
      <w:r>
        <w:rPr>
          <w:spacing w:val="-7"/>
        </w:rPr>
        <w:t> </w:t>
      </w:r>
      <w:r>
        <w:rPr/>
        <w:t>auditiva</w:t>
      </w:r>
      <w:r>
        <w:rPr>
          <w:spacing w:val="-9"/>
        </w:rPr>
        <w:t> </w:t>
      </w:r>
      <w:r>
        <w:rPr/>
        <w:t>biaural,</w:t>
      </w:r>
      <w:r>
        <w:rPr>
          <w:spacing w:val="-6"/>
        </w:rPr>
        <w:t> </w:t>
      </w:r>
      <w:r>
        <w:rPr/>
        <w:t>sin</w:t>
      </w:r>
      <w:r>
        <w:rPr>
          <w:spacing w:val="-9"/>
        </w:rPr>
        <w:t> </w:t>
      </w:r>
      <w:r>
        <w:rPr/>
        <w:t>reducción</w:t>
      </w:r>
      <w:r>
        <w:rPr>
          <w:spacing w:val="-9"/>
        </w:rPr>
        <w:t> </w:t>
      </w:r>
      <w:r>
        <w:rPr/>
        <w:t>por</w:t>
      </w:r>
      <w:r>
        <w:rPr>
          <w:spacing w:val="-8"/>
        </w:rPr>
        <w:t> </w:t>
      </w:r>
      <w:r>
        <w:rPr/>
        <w:t>presbiacusia</w:t>
      </w:r>
      <w:r>
        <w:rPr>
          <w:spacing w:val="-9"/>
        </w:rPr>
        <w:t> </w:t>
      </w:r>
      <w:r>
        <w:rPr/>
        <w:t>o</w:t>
      </w:r>
      <w:r>
        <w:rPr>
          <w:spacing w:val="-9"/>
        </w:rPr>
        <w:t> </w:t>
      </w:r>
      <w:r>
        <w:rPr/>
        <w:t>estado</w:t>
      </w:r>
      <w:r>
        <w:rPr>
          <w:spacing w:val="-7"/>
        </w:rPr>
        <w:t> </w:t>
      </w:r>
      <w:r>
        <w:rPr>
          <w:spacing w:val="-2"/>
        </w:rPr>
        <w:t>anterior.</w:t>
      </w:r>
    </w:p>
    <w:p>
      <w:pPr>
        <w:pStyle w:val="BodyText"/>
        <w:spacing w:before="13"/>
      </w:pPr>
    </w:p>
    <w:p>
      <w:pPr>
        <w:spacing w:before="0"/>
        <w:ind w:left="295" w:right="296" w:firstLine="0"/>
        <w:jc w:val="center"/>
        <w:rPr>
          <w:rFonts w:ascii="Arial"/>
          <w:b/>
          <w:sz w:val="20"/>
        </w:rPr>
      </w:pPr>
      <w:r>
        <w:rPr>
          <w:rFonts w:ascii="Arial"/>
          <w:b/>
          <w:spacing w:val="-2"/>
          <w:sz w:val="20"/>
        </w:rPr>
        <w:t>Cuello</w:t>
      </w:r>
    </w:p>
    <w:p>
      <w:pPr>
        <w:pStyle w:val="BodyText"/>
        <w:spacing w:before="4"/>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93"/>
        <w:gridCol w:w="1491"/>
      </w:tblGrid>
      <w:tr>
        <w:trPr>
          <w:trHeight w:val="460" w:hRule="atLeast"/>
        </w:trPr>
        <w:tc>
          <w:tcPr>
            <w:tcW w:w="1066" w:type="dxa"/>
          </w:tcPr>
          <w:p>
            <w:pPr>
              <w:pStyle w:val="TableParagraph"/>
              <w:spacing w:line="240" w:lineRule="auto" w:before="114"/>
              <w:ind w:left="9"/>
              <w:rPr>
                <w:sz w:val="20"/>
              </w:rPr>
            </w:pPr>
            <w:r>
              <w:rPr>
                <w:spacing w:val="-5"/>
                <w:sz w:val="20"/>
              </w:rPr>
              <w:t>433</w:t>
            </w:r>
          </w:p>
        </w:tc>
        <w:tc>
          <w:tcPr>
            <w:tcW w:w="6993" w:type="dxa"/>
          </w:tcPr>
          <w:p>
            <w:pPr>
              <w:pStyle w:val="TableParagraph"/>
              <w:spacing w:line="232" w:lineRule="exact"/>
              <w:jc w:val="left"/>
              <w:rPr>
                <w:sz w:val="20"/>
              </w:rPr>
            </w:pPr>
            <w:r>
              <w:rPr>
                <w:sz w:val="20"/>
              </w:rPr>
              <w:t>Desviación</w:t>
            </w:r>
            <w:r>
              <w:rPr>
                <w:spacing w:val="40"/>
                <w:sz w:val="20"/>
              </w:rPr>
              <w:t> </w:t>
            </w:r>
            <w:r>
              <w:rPr>
                <w:sz w:val="20"/>
              </w:rPr>
              <w:t>(tortícolis,</w:t>
            </w:r>
            <w:r>
              <w:rPr>
                <w:spacing w:val="40"/>
                <w:sz w:val="20"/>
              </w:rPr>
              <w:t> </w:t>
            </w:r>
            <w:r>
              <w:rPr>
                <w:sz w:val="20"/>
              </w:rPr>
              <w:t>flexión</w:t>
            </w:r>
            <w:r>
              <w:rPr>
                <w:spacing w:val="40"/>
                <w:sz w:val="20"/>
              </w:rPr>
              <w:t> </w:t>
            </w:r>
            <w:r>
              <w:rPr>
                <w:sz w:val="20"/>
              </w:rPr>
              <w:t>anterior)</w:t>
            </w:r>
            <w:r>
              <w:rPr>
                <w:spacing w:val="40"/>
                <w:sz w:val="20"/>
              </w:rPr>
              <w:t> </w:t>
            </w:r>
            <w:r>
              <w:rPr>
                <w:sz w:val="20"/>
              </w:rPr>
              <w:t>por</w:t>
            </w:r>
            <w:r>
              <w:rPr>
                <w:spacing w:val="40"/>
                <w:sz w:val="20"/>
              </w:rPr>
              <w:t> </w:t>
            </w:r>
            <w:r>
              <w:rPr>
                <w:sz w:val="20"/>
              </w:rPr>
              <w:t>retracción</w:t>
            </w:r>
            <w:r>
              <w:rPr>
                <w:spacing w:val="40"/>
                <w:sz w:val="20"/>
              </w:rPr>
              <w:t> </w:t>
            </w:r>
            <w:r>
              <w:rPr>
                <w:sz w:val="20"/>
              </w:rPr>
              <w:t>muscular</w:t>
            </w:r>
            <w:r>
              <w:rPr>
                <w:spacing w:val="40"/>
                <w:sz w:val="20"/>
              </w:rPr>
              <w:t> </w:t>
            </w:r>
            <w:r>
              <w:rPr>
                <w:sz w:val="20"/>
              </w:rPr>
              <w:t>o</w:t>
            </w:r>
            <w:r>
              <w:rPr>
                <w:spacing w:val="40"/>
                <w:sz w:val="20"/>
              </w:rPr>
              <w:t> </w:t>
            </w:r>
            <w:r>
              <w:rPr>
                <w:sz w:val="20"/>
              </w:rPr>
              <w:t>amplia </w:t>
            </w:r>
            <w:r>
              <w:rPr>
                <w:spacing w:val="-2"/>
                <w:sz w:val="20"/>
              </w:rPr>
              <w:t>cicatriz.</w:t>
            </w:r>
          </w:p>
        </w:tc>
        <w:tc>
          <w:tcPr>
            <w:tcW w:w="1491" w:type="dxa"/>
          </w:tcPr>
          <w:p>
            <w:pPr>
              <w:pStyle w:val="TableParagraph"/>
              <w:spacing w:line="240" w:lineRule="auto" w:before="114"/>
              <w:ind w:left="9" w:right="3"/>
              <w:rPr>
                <w:sz w:val="20"/>
              </w:rPr>
            </w:pPr>
            <w:r>
              <w:rPr>
                <w:sz w:val="20"/>
              </w:rPr>
              <w:t>10</w:t>
            </w:r>
            <w:r>
              <w:rPr>
                <w:spacing w:val="-3"/>
                <w:sz w:val="20"/>
              </w:rPr>
              <w:t> </w:t>
            </w:r>
            <w:r>
              <w:rPr>
                <w:sz w:val="20"/>
              </w:rPr>
              <w:t>a</w:t>
            </w:r>
            <w:r>
              <w:rPr>
                <w:spacing w:val="-1"/>
                <w:sz w:val="20"/>
              </w:rPr>
              <w:t> </w:t>
            </w:r>
            <w:r>
              <w:rPr>
                <w:spacing w:val="-5"/>
                <w:sz w:val="20"/>
              </w:rPr>
              <w:t>30%</w:t>
            </w:r>
          </w:p>
        </w:tc>
      </w:tr>
      <w:tr>
        <w:trPr>
          <w:trHeight w:val="226" w:hRule="atLeast"/>
        </w:trPr>
        <w:tc>
          <w:tcPr>
            <w:tcW w:w="1066" w:type="dxa"/>
          </w:tcPr>
          <w:p>
            <w:pPr>
              <w:pStyle w:val="TableParagraph"/>
              <w:spacing w:line="207" w:lineRule="exact"/>
              <w:ind w:left="9"/>
              <w:rPr>
                <w:sz w:val="20"/>
              </w:rPr>
            </w:pPr>
            <w:r>
              <w:rPr>
                <w:spacing w:val="-5"/>
                <w:sz w:val="20"/>
              </w:rPr>
              <w:t>434</w:t>
            </w:r>
          </w:p>
        </w:tc>
        <w:tc>
          <w:tcPr>
            <w:tcW w:w="6993" w:type="dxa"/>
          </w:tcPr>
          <w:p>
            <w:pPr>
              <w:pStyle w:val="TableParagraph"/>
              <w:spacing w:line="207" w:lineRule="exact"/>
              <w:jc w:val="left"/>
              <w:rPr>
                <w:sz w:val="20"/>
              </w:rPr>
            </w:pPr>
            <w:r>
              <w:rPr>
                <w:sz w:val="20"/>
              </w:rPr>
              <w:t>Flexión</w:t>
            </w:r>
            <w:r>
              <w:rPr>
                <w:spacing w:val="-8"/>
                <w:sz w:val="20"/>
              </w:rPr>
              <w:t> </w:t>
            </w:r>
            <w:r>
              <w:rPr>
                <w:sz w:val="20"/>
              </w:rPr>
              <w:t>anterior</w:t>
            </w:r>
            <w:r>
              <w:rPr>
                <w:spacing w:val="-7"/>
                <w:sz w:val="20"/>
              </w:rPr>
              <w:t> </w:t>
            </w:r>
            <w:r>
              <w:rPr>
                <w:sz w:val="20"/>
              </w:rPr>
              <w:t>cicatrizal,</w:t>
            </w:r>
            <w:r>
              <w:rPr>
                <w:spacing w:val="-8"/>
                <w:sz w:val="20"/>
              </w:rPr>
              <w:t> </w:t>
            </w:r>
            <w:r>
              <w:rPr>
                <w:sz w:val="20"/>
              </w:rPr>
              <w:t>estando</w:t>
            </w:r>
            <w:r>
              <w:rPr>
                <w:spacing w:val="-6"/>
                <w:sz w:val="20"/>
              </w:rPr>
              <w:t> </w:t>
            </w:r>
            <w:r>
              <w:rPr>
                <w:sz w:val="20"/>
              </w:rPr>
              <w:t>el</w:t>
            </w:r>
            <w:r>
              <w:rPr>
                <w:spacing w:val="-8"/>
                <w:sz w:val="20"/>
              </w:rPr>
              <w:t> </w:t>
            </w:r>
            <w:r>
              <w:rPr>
                <w:sz w:val="20"/>
              </w:rPr>
              <w:t>mentón</w:t>
            </w:r>
            <w:r>
              <w:rPr>
                <w:spacing w:val="-6"/>
                <w:sz w:val="20"/>
              </w:rPr>
              <w:t> </w:t>
            </w:r>
            <w:r>
              <w:rPr>
                <w:sz w:val="20"/>
              </w:rPr>
              <w:t>en</w:t>
            </w:r>
            <w:r>
              <w:rPr>
                <w:spacing w:val="-8"/>
                <w:sz w:val="20"/>
              </w:rPr>
              <w:t> </w:t>
            </w:r>
            <w:r>
              <w:rPr>
                <w:sz w:val="20"/>
              </w:rPr>
              <w:t>contacto</w:t>
            </w:r>
            <w:r>
              <w:rPr>
                <w:spacing w:val="-8"/>
                <w:sz w:val="20"/>
              </w:rPr>
              <w:t> </w:t>
            </w:r>
            <w:r>
              <w:rPr>
                <w:sz w:val="20"/>
              </w:rPr>
              <w:t>con</w:t>
            </w:r>
            <w:r>
              <w:rPr>
                <w:spacing w:val="-9"/>
                <w:sz w:val="20"/>
              </w:rPr>
              <w:t> </w:t>
            </w:r>
            <w:r>
              <w:rPr>
                <w:sz w:val="20"/>
              </w:rPr>
              <w:t>el</w:t>
            </w:r>
            <w:r>
              <w:rPr>
                <w:spacing w:val="-8"/>
                <w:sz w:val="20"/>
              </w:rPr>
              <w:t> </w:t>
            </w:r>
            <w:r>
              <w:rPr>
                <w:spacing w:val="-2"/>
                <w:sz w:val="20"/>
              </w:rPr>
              <w:t>esternón.</w:t>
            </w:r>
          </w:p>
        </w:tc>
        <w:tc>
          <w:tcPr>
            <w:tcW w:w="1491" w:type="dxa"/>
          </w:tcPr>
          <w:p>
            <w:pPr>
              <w:pStyle w:val="TableParagraph"/>
              <w:spacing w:line="207" w:lineRule="exact"/>
              <w:ind w:left="9" w:right="3"/>
              <w:rPr>
                <w:sz w:val="20"/>
              </w:rPr>
            </w:pPr>
            <w:r>
              <w:rPr>
                <w:sz w:val="20"/>
              </w:rPr>
              <w:t>40</w:t>
            </w:r>
            <w:r>
              <w:rPr>
                <w:spacing w:val="-3"/>
                <w:sz w:val="20"/>
              </w:rPr>
              <w:t> </w:t>
            </w:r>
            <w:r>
              <w:rPr>
                <w:sz w:val="20"/>
              </w:rPr>
              <w:t>a</w:t>
            </w:r>
            <w:r>
              <w:rPr>
                <w:spacing w:val="-1"/>
                <w:sz w:val="20"/>
              </w:rPr>
              <w:t> </w:t>
            </w:r>
            <w:r>
              <w:rPr>
                <w:spacing w:val="-5"/>
                <w:sz w:val="20"/>
              </w:rPr>
              <w:t>60%</w:t>
            </w:r>
          </w:p>
        </w:tc>
      </w:tr>
      <w:tr>
        <w:trPr>
          <w:trHeight w:val="229" w:hRule="atLeast"/>
        </w:trPr>
        <w:tc>
          <w:tcPr>
            <w:tcW w:w="1066" w:type="dxa"/>
          </w:tcPr>
          <w:p>
            <w:pPr>
              <w:pStyle w:val="TableParagraph"/>
              <w:ind w:left="9"/>
              <w:rPr>
                <w:sz w:val="20"/>
              </w:rPr>
            </w:pPr>
            <w:r>
              <w:rPr>
                <w:spacing w:val="-5"/>
                <w:sz w:val="20"/>
              </w:rPr>
              <w:t>435</w:t>
            </w:r>
          </w:p>
        </w:tc>
        <w:tc>
          <w:tcPr>
            <w:tcW w:w="6993" w:type="dxa"/>
          </w:tcPr>
          <w:p>
            <w:pPr>
              <w:pStyle w:val="TableParagraph"/>
              <w:jc w:val="left"/>
              <w:rPr>
                <w:sz w:val="20"/>
              </w:rPr>
            </w:pPr>
            <w:r>
              <w:rPr>
                <w:sz w:val="20"/>
              </w:rPr>
              <w:t>Estrechamientos</w:t>
            </w:r>
            <w:r>
              <w:rPr>
                <w:spacing w:val="-9"/>
                <w:sz w:val="20"/>
              </w:rPr>
              <w:t> </w:t>
            </w:r>
            <w:r>
              <w:rPr>
                <w:sz w:val="20"/>
              </w:rPr>
              <w:t>cicatrizales</w:t>
            </w:r>
            <w:r>
              <w:rPr>
                <w:spacing w:val="-9"/>
                <w:sz w:val="20"/>
              </w:rPr>
              <w:t> </w:t>
            </w:r>
            <w:r>
              <w:rPr>
                <w:sz w:val="20"/>
              </w:rPr>
              <w:t>de</w:t>
            </w:r>
            <w:r>
              <w:rPr>
                <w:spacing w:val="-10"/>
                <w:sz w:val="20"/>
              </w:rPr>
              <w:t> </w:t>
            </w:r>
            <w:r>
              <w:rPr>
                <w:sz w:val="20"/>
              </w:rPr>
              <w:t>la</w:t>
            </w:r>
            <w:r>
              <w:rPr>
                <w:spacing w:val="-10"/>
                <w:sz w:val="20"/>
              </w:rPr>
              <w:t> </w:t>
            </w:r>
            <w:r>
              <w:rPr>
                <w:sz w:val="20"/>
              </w:rPr>
              <w:t>laringe</w:t>
            </w:r>
            <w:r>
              <w:rPr>
                <w:spacing w:val="-11"/>
                <w:sz w:val="20"/>
              </w:rPr>
              <w:t> </w:t>
            </w:r>
            <w:r>
              <w:rPr>
                <w:sz w:val="20"/>
              </w:rPr>
              <w:t>que</w:t>
            </w:r>
            <w:r>
              <w:rPr>
                <w:spacing w:val="-8"/>
                <w:sz w:val="20"/>
              </w:rPr>
              <w:t> </w:t>
            </w:r>
            <w:r>
              <w:rPr>
                <w:sz w:val="20"/>
              </w:rPr>
              <w:t>produzcan</w:t>
            </w:r>
            <w:r>
              <w:rPr>
                <w:spacing w:val="-11"/>
                <w:sz w:val="20"/>
              </w:rPr>
              <w:t> </w:t>
            </w:r>
            <w:r>
              <w:rPr>
                <w:spacing w:val="-2"/>
                <w:sz w:val="20"/>
              </w:rPr>
              <w:t>disfonía.</w:t>
            </w:r>
          </w:p>
        </w:tc>
        <w:tc>
          <w:tcPr>
            <w:tcW w:w="1491" w:type="dxa"/>
          </w:tcPr>
          <w:p>
            <w:pPr>
              <w:pStyle w:val="TableParagraph"/>
              <w:ind w:left="9"/>
              <w:rPr>
                <w:sz w:val="20"/>
              </w:rPr>
            </w:pPr>
            <w:r>
              <w:rPr>
                <w:spacing w:val="-5"/>
                <w:sz w:val="20"/>
              </w:rPr>
              <w:t>20%</w:t>
            </w:r>
          </w:p>
        </w:tc>
      </w:tr>
      <w:tr>
        <w:trPr>
          <w:trHeight w:val="229" w:hRule="atLeast"/>
        </w:trPr>
        <w:tc>
          <w:tcPr>
            <w:tcW w:w="1066" w:type="dxa"/>
          </w:tcPr>
          <w:p>
            <w:pPr>
              <w:pStyle w:val="TableParagraph"/>
              <w:ind w:left="9"/>
              <w:rPr>
                <w:sz w:val="20"/>
              </w:rPr>
            </w:pPr>
            <w:r>
              <w:rPr>
                <w:spacing w:val="-5"/>
                <w:sz w:val="20"/>
              </w:rPr>
              <w:t>436</w:t>
            </w:r>
          </w:p>
        </w:tc>
        <w:tc>
          <w:tcPr>
            <w:tcW w:w="6993" w:type="dxa"/>
          </w:tcPr>
          <w:p>
            <w:pPr>
              <w:pStyle w:val="TableParagraph"/>
              <w:jc w:val="left"/>
              <w:rPr>
                <w:sz w:val="20"/>
              </w:rPr>
            </w:pPr>
            <w:r>
              <w:rPr>
                <w:sz w:val="20"/>
              </w:rPr>
              <w:t>Que</w:t>
            </w:r>
            <w:r>
              <w:rPr>
                <w:spacing w:val="-8"/>
                <w:sz w:val="20"/>
              </w:rPr>
              <w:t> </w:t>
            </w:r>
            <w:r>
              <w:rPr>
                <w:sz w:val="20"/>
              </w:rPr>
              <w:t>produzcan</w:t>
            </w:r>
            <w:r>
              <w:rPr>
                <w:spacing w:val="-8"/>
                <w:sz w:val="20"/>
              </w:rPr>
              <w:t> </w:t>
            </w:r>
            <w:r>
              <w:rPr>
                <w:sz w:val="20"/>
              </w:rPr>
              <w:t>afonía</w:t>
            </w:r>
            <w:r>
              <w:rPr>
                <w:spacing w:val="-7"/>
                <w:sz w:val="20"/>
              </w:rPr>
              <w:t> </w:t>
            </w:r>
            <w:r>
              <w:rPr>
                <w:sz w:val="20"/>
              </w:rPr>
              <w:t>o</w:t>
            </w:r>
            <w:r>
              <w:rPr>
                <w:spacing w:val="-5"/>
                <w:sz w:val="20"/>
              </w:rPr>
              <w:t> </w:t>
            </w:r>
            <w:r>
              <w:rPr>
                <w:sz w:val="20"/>
              </w:rPr>
              <w:t>disfonía</w:t>
            </w:r>
            <w:r>
              <w:rPr>
                <w:spacing w:val="-8"/>
                <w:sz w:val="20"/>
              </w:rPr>
              <w:t> </w:t>
            </w:r>
            <w:r>
              <w:rPr>
                <w:sz w:val="20"/>
              </w:rPr>
              <w:t>sin</w:t>
            </w:r>
            <w:r>
              <w:rPr>
                <w:spacing w:val="-7"/>
                <w:sz w:val="20"/>
              </w:rPr>
              <w:t> </w:t>
            </w:r>
            <w:r>
              <w:rPr>
                <w:spacing w:val="-2"/>
                <w:sz w:val="20"/>
              </w:rPr>
              <w:t>disnea.</w:t>
            </w:r>
          </w:p>
        </w:tc>
        <w:tc>
          <w:tcPr>
            <w:tcW w:w="1491" w:type="dxa"/>
          </w:tcPr>
          <w:p>
            <w:pPr>
              <w:pStyle w:val="TableParagraph"/>
              <w:ind w:left="9" w:right="3"/>
              <w:rPr>
                <w:sz w:val="20"/>
              </w:rPr>
            </w:pPr>
            <w:r>
              <w:rPr>
                <w:sz w:val="20"/>
              </w:rPr>
              <w:t>30</w:t>
            </w:r>
            <w:r>
              <w:rPr>
                <w:spacing w:val="-3"/>
                <w:sz w:val="20"/>
              </w:rPr>
              <w:t> </w:t>
            </w:r>
            <w:r>
              <w:rPr>
                <w:sz w:val="20"/>
              </w:rPr>
              <w:t>a</w:t>
            </w:r>
            <w:r>
              <w:rPr>
                <w:spacing w:val="-1"/>
                <w:sz w:val="20"/>
              </w:rPr>
              <w:t> </w:t>
            </w:r>
            <w:r>
              <w:rPr>
                <w:spacing w:val="-5"/>
                <w:sz w:val="20"/>
              </w:rPr>
              <w:t>40%</w:t>
            </w:r>
          </w:p>
        </w:tc>
      </w:tr>
      <w:tr>
        <w:trPr>
          <w:trHeight w:val="229" w:hRule="atLeast"/>
        </w:trPr>
        <w:tc>
          <w:tcPr>
            <w:tcW w:w="1066" w:type="dxa"/>
          </w:tcPr>
          <w:p>
            <w:pPr>
              <w:pStyle w:val="TableParagraph"/>
              <w:ind w:left="9"/>
              <w:rPr>
                <w:sz w:val="20"/>
              </w:rPr>
            </w:pPr>
            <w:r>
              <w:rPr>
                <w:spacing w:val="-5"/>
                <w:sz w:val="20"/>
              </w:rPr>
              <w:t>437</w:t>
            </w:r>
          </w:p>
        </w:tc>
        <w:tc>
          <w:tcPr>
            <w:tcW w:w="6993" w:type="dxa"/>
          </w:tcPr>
          <w:p>
            <w:pPr>
              <w:pStyle w:val="TableParagraph"/>
              <w:jc w:val="left"/>
              <w:rPr>
                <w:sz w:val="20"/>
              </w:rPr>
            </w:pPr>
            <w:r>
              <w:rPr>
                <w:sz w:val="20"/>
              </w:rPr>
              <w:t>Cuando</w:t>
            </w:r>
            <w:r>
              <w:rPr>
                <w:spacing w:val="-10"/>
                <w:sz w:val="20"/>
              </w:rPr>
              <w:t> </w:t>
            </w:r>
            <w:r>
              <w:rPr>
                <w:sz w:val="20"/>
              </w:rPr>
              <w:t>produzcan</w:t>
            </w:r>
            <w:r>
              <w:rPr>
                <w:spacing w:val="-9"/>
                <w:sz w:val="20"/>
              </w:rPr>
              <w:t> </w:t>
            </w:r>
            <w:r>
              <w:rPr>
                <w:sz w:val="20"/>
              </w:rPr>
              <w:t>disnea</w:t>
            </w:r>
            <w:r>
              <w:rPr>
                <w:spacing w:val="-8"/>
                <w:sz w:val="20"/>
              </w:rPr>
              <w:t> </w:t>
            </w:r>
            <w:r>
              <w:rPr>
                <w:sz w:val="20"/>
              </w:rPr>
              <w:t>de</w:t>
            </w:r>
            <w:r>
              <w:rPr>
                <w:spacing w:val="-10"/>
                <w:sz w:val="20"/>
              </w:rPr>
              <w:t> </w:t>
            </w:r>
            <w:r>
              <w:rPr>
                <w:sz w:val="20"/>
              </w:rPr>
              <w:t>grandes</w:t>
            </w:r>
            <w:r>
              <w:rPr>
                <w:spacing w:val="-6"/>
                <w:sz w:val="20"/>
              </w:rPr>
              <w:t> </w:t>
            </w:r>
            <w:r>
              <w:rPr>
                <w:spacing w:val="-2"/>
                <w:sz w:val="20"/>
              </w:rPr>
              <w:t>esfuerzos.</w:t>
            </w:r>
          </w:p>
        </w:tc>
        <w:tc>
          <w:tcPr>
            <w:tcW w:w="1491" w:type="dxa"/>
          </w:tcPr>
          <w:p>
            <w:pPr>
              <w:pStyle w:val="TableParagraph"/>
              <w:ind w:left="9"/>
              <w:rPr>
                <w:sz w:val="20"/>
              </w:rPr>
            </w:pPr>
            <w:r>
              <w:rPr>
                <w:spacing w:val="-5"/>
                <w:sz w:val="20"/>
              </w:rPr>
              <w:t>10%</w:t>
            </w:r>
          </w:p>
        </w:tc>
      </w:tr>
      <w:tr>
        <w:trPr>
          <w:trHeight w:val="229" w:hRule="atLeast"/>
        </w:trPr>
        <w:tc>
          <w:tcPr>
            <w:tcW w:w="1066" w:type="dxa"/>
          </w:tcPr>
          <w:p>
            <w:pPr>
              <w:pStyle w:val="TableParagraph"/>
              <w:ind w:left="9"/>
              <w:rPr>
                <w:sz w:val="20"/>
              </w:rPr>
            </w:pPr>
            <w:r>
              <w:rPr>
                <w:spacing w:val="-5"/>
                <w:sz w:val="20"/>
              </w:rPr>
              <w:t>438</w:t>
            </w:r>
          </w:p>
        </w:tc>
        <w:tc>
          <w:tcPr>
            <w:tcW w:w="6993" w:type="dxa"/>
          </w:tcPr>
          <w:p>
            <w:pPr>
              <w:pStyle w:val="TableParagraph"/>
              <w:jc w:val="left"/>
              <w:rPr>
                <w:sz w:val="20"/>
              </w:rPr>
            </w:pPr>
            <w:r>
              <w:rPr>
                <w:sz w:val="20"/>
              </w:rPr>
              <w:t>Cuando</w:t>
            </w:r>
            <w:r>
              <w:rPr>
                <w:spacing w:val="-10"/>
                <w:sz w:val="20"/>
              </w:rPr>
              <w:t> </w:t>
            </w:r>
            <w:r>
              <w:rPr>
                <w:sz w:val="20"/>
              </w:rPr>
              <w:t>produzcan</w:t>
            </w:r>
            <w:r>
              <w:rPr>
                <w:spacing w:val="-7"/>
                <w:sz w:val="20"/>
              </w:rPr>
              <w:t> </w:t>
            </w:r>
            <w:r>
              <w:rPr>
                <w:sz w:val="20"/>
              </w:rPr>
              <w:t>disnea</w:t>
            </w:r>
            <w:r>
              <w:rPr>
                <w:spacing w:val="-8"/>
                <w:sz w:val="20"/>
              </w:rPr>
              <w:t> </w:t>
            </w:r>
            <w:r>
              <w:rPr>
                <w:sz w:val="20"/>
              </w:rPr>
              <w:t>de</w:t>
            </w:r>
            <w:r>
              <w:rPr>
                <w:spacing w:val="-9"/>
                <w:sz w:val="20"/>
              </w:rPr>
              <w:t> </w:t>
            </w:r>
            <w:r>
              <w:rPr>
                <w:sz w:val="20"/>
              </w:rPr>
              <w:t>medianos</w:t>
            </w:r>
            <w:r>
              <w:rPr>
                <w:spacing w:val="-8"/>
                <w:sz w:val="20"/>
              </w:rPr>
              <w:t> </w:t>
            </w:r>
            <w:r>
              <w:rPr>
                <w:sz w:val="20"/>
              </w:rPr>
              <w:t>o</w:t>
            </w:r>
            <w:r>
              <w:rPr>
                <w:spacing w:val="-9"/>
                <w:sz w:val="20"/>
              </w:rPr>
              <w:t> </w:t>
            </w:r>
            <w:r>
              <w:rPr>
                <w:sz w:val="20"/>
              </w:rPr>
              <w:t>pequeños</w:t>
            </w:r>
            <w:r>
              <w:rPr>
                <w:spacing w:val="-8"/>
                <w:sz w:val="20"/>
              </w:rPr>
              <w:t> </w:t>
            </w:r>
            <w:r>
              <w:rPr>
                <w:spacing w:val="-2"/>
                <w:sz w:val="20"/>
              </w:rPr>
              <w:t>esfuerzos.</w:t>
            </w:r>
          </w:p>
        </w:tc>
        <w:tc>
          <w:tcPr>
            <w:tcW w:w="1491" w:type="dxa"/>
          </w:tcPr>
          <w:p>
            <w:pPr>
              <w:pStyle w:val="TableParagraph"/>
              <w:ind w:left="9" w:right="3"/>
              <w:rPr>
                <w:sz w:val="20"/>
              </w:rPr>
            </w:pPr>
            <w:r>
              <w:rPr>
                <w:sz w:val="20"/>
              </w:rPr>
              <w:t>20</w:t>
            </w:r>
            <w:r>
              <w:rPr>
                <w:spacing w:val="-3"/>
                <w:sz w:val="20"/>
              </w:rPr>
              <w:t> </w:t>
            </w:r>
            <w:r>
              <w:rPr>
                <w:sz w:val="20"/>
              </w:rPr>
              <w:t>a</w:t>
            </w:r>
            <w:r>
              <w:rPr>
                <w:spacing w:val="-1"/>
                <w:sz w:val="20"/>
              </w:rPr>
              <w:t> </w:t>
            </w:r>
            <w:r>
              <w:rPr>
                <w:spacing w:val="-5"/>
                <w:sz w:val="20"/>
              </w:rPr>
              <w:t>70%</w:t>
            </w:r>
          </w:p>
        </w:tc>
      </w:tr>
      <w:tr>
        <w:trPr>
          <w:trHeight w:val="229" w:hRule="atLeast"/>
        </w:trPr>
        <w:tc>
          <w:tcPr>
            <w:tcW w:w="1066" w:type="dxa"/>
          </w:tcPr>
          <w:p>
            <w:pPr>
              <w:pStyle w:val="TableParagraph"/>
              <w:ind w:left="9"/>
              <w:rPr>
                <w:sz w:val="20"/>
              </w:rPr>
            </w:pPr>
            <w:r>
              <w:rPr>
                <w:spacing w:val="-5"/>
                <w:sz w:val="20"/>
              </w:rPr>
              <w:t>439</w:t>
            </w:r>
          </w:p>
        </w:tc>
        <w:tc>
          <w:tcPr>
            <w:tcW w:w="6993" w:type="dxa"/>
          </w:tcPr>
          <w:p>
            <w:pPr>
              <w:pStyle w:val="TableParagraph"/>
              <w:jc w:val="left"/>
              <w:rPr>
                <w:sz w:val="20"/>
              </w:rPr>
            </w:pPr>
            <w:r>
              <w:rPr>
                <w:sz w:val="20"/>
              </w:rPr>
              <w:t>Cuando</w:t>
            </w:r>
            <w:r>
              <w:rPr>
                <w:spacing w:val="-10"/>
                <w:sz w:val="20"/>
              </w:rPr>
              <w:t> </w:t>
            </w:r>
            <w:r>
              <w:rPr>
                <w:sz w:val="20"/>
              </w:rPr>
              <w:t>produzcan</w:t>
            </w:r>
            <w:r>
              <w:rPr>
                <w:spacing w:val="-8"/>
                <w:sz w:val="20"/>
              </w:rPr>
              <w:t> </w:t>
            </w:r>
            <w:r>
              <w:rPr>
                <w:sz w:val="20"/>
              </w:rPr>
              <w:t>disnea</w:t>
            </w:r>
            <w:r>
              <w:rPr>
                <w:spacing w:val="-8"/>
                <w:sz w:val="20"/>
              </w:rPr>
              <w:t> </w:t>
            </w:r>
            <w:r>
              <w:rPr>
                <w:sz w:val="20"/>
              </w:rPr>
              <w:t>de</w:t>
            </w:r>
            <w:r>
              <w:rPr>
                <w:spacing w:val="-10"/>
                <w:sz w:val="20"/>
              </w:rPr>
              <w:t> </w:t>
            </w:r>
            <w:r>
              <w:rPr>
                <w:spacing w:val="-2"/>
                <w:sz w:val="20"/>
              </w:rPr>
              <w:t>reposo.</w:t>
            </w:r>
          </w:p>
        </w:tc>
        <w:tc>
          <w:tcPr>
            <w:tcW w:w="1491" w:type="dxa"/>
          </w:tcPr>
          <w:p>
            <w:pPr>
              <w:pStyle w:val="TableParagraph"/>
              <w:ind w:left="9" w:right="3"/>
              <w:rPr>
                <w:sz w:val="20"/>
              </w:rPr>
            </w:pPr>
            <w:r>
              <w:rPr>
                <w:sz w:val="20"/>
              </w:rPr>
              <w:t>70</w:t>
            </w:r>
            <w:r>
              <w:rPr>
                <w:spacing w:val="-3"/>
                <w:sz w:val="20"/>
              </w:rPr>
              <w:t> </w:t>
            </w:r>
            <w:r>
              <w:rPr>
                <w:sz w:val="20"/>
              </w:rPr>
              <w:t>a</w:t>
            </w:r>
            <w:r>
              <w:rPr>
                <w:spacing w:val="-1"/>
                <w:sz w:val="20"/>
              </w:rPr>
              <w:t> </w:t>
            </w:r>
            <w:r>
              <w:rPr>
                <w:spacing w:val="-5"/>
                <w:sz w:val="20"/>
              </w:rPr>
              <w:t>80%</w:t>
            </w:r>
          </w:p>
        </w:tc>
      </w:tr>
      <w:tr>
        <w:trPr>
          <w:trHeight w:val="229" w:hRule="atLeast"/>
        </w:trPr>
        <w:tc>
          <w:tcPr>
            <w:tcW w:w="1066" w:type="dxa"/>
          </w:tcPr>
          <w:p>
            <w:pPr>
              <w:pStyle w:val="TableParagraph"/>
              <w:ind w:left="9"/>
              <w:rPr>
                <w:sz w:val="20"/>
              </w:rPr>
            </w:pPr>
            <w:r>
              <w:rPr>
                <w:spacing w:val="-5"/>
                <w:sz w:val="20"/>
              </w:rPr>
              <w:t>440</w:t>
            </w:r>
          </w:p>
        </w:tc>
        <w:tc>
          <w:tcPr>
            <w:tcW w:w="6993" w:type="dxa"/>
          </w:tcPr>
          <w:p>
            <w:pPr>
              <w:pStyle w:val="TableParagraph"/>
              <w:jc w:val="left"/>
              <w:rPr>
                <w:sz w:val="20"/>
              </w:rPr>
            </w:pPr>
            <w:r>
              <w:rPr>
                <w:sz w:val="20"/>
              </w:rPr>
              <w:t>Cuando</w:t>
            </w:r>
            <w:r>
              <w:rPr>
                <w:spacing w:val="-8"/>
                <w:sz w:val="20"/>
              </w:rPr>
              <w:t> </w:t>
            </w:r>
            <w:r>
              <w:rPr>
                <w:sz w:val="20"/>
              </w:rPr>
              <w:t>por</w:t>
            </w:r>
            <w:r>
              <w:rPr>
                <w:spacing w:val="-6"/>
                <w:sz w:val="20"/>
              </w:rPr>
              <w:t> </w:t>
            </w:r>
            <w:r>
              <w:rPr>
                <w:sz w:val="20"/>
              </w:rPr>
              <w:t>disnea</w:t>
            </w:r>
            <w:r>
              <w:rPr>
                <w:spacing w:val="-6"/>
                <w:sz w:val="20"/>
              </w:rPr>
              <w:t> </w:t>
            </w:r>
            <w:r>
              <w:rPr>
                <w:sz w:val="20"/>
              </w:rPr>
              <w:t>se</w:t>
            </w:r>
            <w:r>
              <w:rPr>
                <w:spacing w:val="-4"/>
                <w:sz w:val="20"/>
              </w:rPr>
              <w:t> </w:t>
            </w:r>
            <w:r>
              <w:rPr>
                <w:sz w:val="20"/>
              </w:rPr>
              <w:t>requiera</w:t>
            </w:r>
            <w:r>
              <w:rPr>
                <w:spacing w:val="-7"/>
                <w:sz w:val="20"/>
              </w:rPr>
              <w:t> </w:t>
            </w:r>
            <w:r>
              <w:rPr>
                <w:sz w:val="20"/>
              </w:rPr>
              <w:t>el</w:t>
            </w:r>
            <w:r>
              <w:rPr>
                <w:spacing w:val="-7"/>
                <w:sz w:val="20"/>
              </w:rPr>
              <w:t> </w:t>
            </w:r>
            <w:r>
              <w:rPr>
                <w:sz w:val="20"/>
              </w:rPr>
              <w:t>uso</w:t>
            </w:r>
            <w:r>
              <w:rPr>
                <w:spacing w:val="-6"/>
                <w:sz w:val="20"/>
              </w:rPr>
              <w:t> </w:t>
            </w:r>
            <w:r>
              <w:rPr>
                <w:sz w:val="20"/>
              </w:rPr>
              <w:t>de</w:t>
            </w:r>
            <w:r>
              <w:rPr>
                <w:spacing w:val="-4"/>
                <w:sz w:val="20"/>
              </w:rPr>
              <w:t> </w:t>
            </w:r>
            <w:r>
              <w:rPr>
                <w:sz w:val="20"/>
              </w:rPr>
              <w:t>cánula</w:t>
            </w:r>
            <w:r>
              <w:rPr>
                <w:spacing w:val="-6"/>
                <w:sz w:val="20"/>
              </w:rPr>
              <w:t> </w:t>
            </w:r>
            <w:r>
              <w:rPr>
                <w:sz w:val="20"/>
              </w:rPr>
              <w:t>traqueal</w:t>
            </w:r>
            <w:r>
              <w:rPr>
                <w:spacing w:val="-6"/>
                <w:sz w:val="20"/>
              </w:rPr>
              <w:t> </w:t>
            </w:r>
            <w:r>
              <w:rPr>
                <w:sz w:val="20"/>
              </w:rPr>
              <w:t>a</w:t>
            </w:r>
            <w:r>
              <w:rPr>
                <w:spacing w:val="-6"/>
                <w:sz w:val="20"/>
              </w:rPr>
              <w:t> </w:t>
            </w:r>
            <w:r>
              <w:rPr>
                <w:spacing w:val="-2"/>
                <w:sz w:val="20"/>
              </w:rPr>
              <w:t>permanencia.</w:t>
            </w:r>
          </w:p>
        </w:tc>
        <w:tc>
          <w:tcPr>
            <w:tcW w:w="1491" w:type="dxa"/>
          </w:tcPr>
          <w:p>
            <w:pPr>
              <w:pStyle w:val="TableParagraph"/>
              <w:ind w:left="9" w:right="3"/>
              <w:rPr>
                <w:sz w:val="20"/>
              </w:rPr>
            </w:pPr>
            <w:r>
              <w:rPr>
                <w:sz w:val="20"/>
              </w:rPr>
              <w:t>70</w:t>
            </w:r>
            <w:r>
              <w:rPr>
                <w:spacing w:val="-3"/>
                <w:sz w:val="20"/>
              </w:rPr>
              <w:t> </w:t>
            </w:r>
            <w:r>
              <w:rPr>
                <w:sz w:val="20"/>
              </w:rPr>
              <w:t>a</w:t>
            </w:r>
            <w:r>
              <w:rPr>
                <w:spacing w:val="-1"/>
                <w:sz w:val="20"/>
              </w:rPr>
              <w:t> </w:t>
            </w:r>
            <w:r>
              <w:rPr>
                <w:spacing w:val="-5"/>
                <w:sz w:val="20"/>
              </w:rPr>
              <w:t>90%</w:t>
            </w:r>
          </w:p>
        </w:tc>
      </w:tr>
      <w:tr>
        <w:trPr>
          <w:trHeight w:val="229" w:hRule="atLeast"/>
        </w:trPr>
        <w:tc>
          <w:tcPr>
            <w:tcW w:w="1066" w:type="dxa"/>
          </w:tcPr>
          <w:p>
            <w:pPr>
              <w:pStyle w:val="TableParagraph"/>
              <w:ind w:left="9"/>
              <w:rPr>
                <w:sz w:val="20"/>
              </w:rPr>
            </w:pPr>
            <w:r>
              <w:rPr>
                <w:spacing w:val="-5"/>
                <w:sz w:val="20"/>
              </w:rPr>
              <w:t>441</w:t>
            </w:r>
          </w:p>
        </w:tc>
        <w:tc>
          <w:tcPr>
            <w:tcW w:w="6993" w:type="dxa"/>
          </w:tcPr>
          <w:p>
            <w:pPr>
              <w:pStyle w:val="TableParagraph"/>
              <w:jc w:val="left"/>
              <w:rPr>
                <w:sz w:val="20"/>
              </w:rPr>
            </w:pPr>
            <w:r>
              <w:rPr>
                <w:sz w:val="20"/>
              </w:rPr>
              <w:t>Cuando</w:t>
            </w:r>
            <w:r>
              <w:rPr>
                <w:spacing w:val="-8"/>
                <w:sz w:val="20"/>
              </w:rPr>
              <w:t> </w:t>
            </w:r>
            <w:r>
              <w:rPr>
                <w:sz w:val="20"/>
              </w:rPr>
              <w:t>causen</w:t>
            </w:r>
            <w:r>
              <w:rPr>
                <w:spacing w:val="-7"/>
                <w:sz w:val="20"/>
              </w:rPr>
              <w:t> </w:t>
            </w:r>
            <w:r>
              <w:rPr>
                <w:sz w:val="20"/>
              </w:rPr>
              <w:t>disfonía</w:t>
            </w:r>
            <w:r>
              <w:rPr>
                <w:spacing w:val="-7"/>
                <w:sz w:val="20"/>
              </w:rPr>
              <w:t> </w:t>
            </w:r>
            <w:r>
              <w:rPr>
                <w:sz w:val="20"/>
              </w:rPr>
              <w:t>(o</w:t>
            </w:r>
            <w:r>
              <w:rPr>
                <w:spacing w:val="-5"/>
                <w:sz w:val="20"/>
              </w:rPr>
              <w:t> </w:t>
            </w:r>
            <w:r>
              <w:rPr>
                <w:sz w:val="20"/>
              </w:rPr>
              <w:t>afonía)</w:t>
            </w:r>
            <w:r>
              <w:rPr>
                <w:spacing w:val="-4"/>
                <w:sz w:val="20"/>
              </w:rPr>
              <w:t> </w:t>
            </w:r>
            <w:r>
              <w:rPr>
                <w:sz w:val="20"/>
              </w:rPr>
              <w:t>y</w:t>
            </w:r>
            <w:r>
              <w:rPr>
                <w:spacing w:val="-8"/>
                <w:sz w:val="20"/>
              </w:rPr>
              <w:t> </w:t>
            </w:r>
            <w:r>
              <w:rPr>
                <w:spacing w:val="-2"/>
                <w:sz w:val="20"/>
              </w:rPr>
              <w:t>disnea.</w:t>
            </w:r>
          </w:p>
        </w:tc>
        <w:tc>
          <w:tcPr>
            <w:tcW w:w="1491" w:type="dxa"/>
          </w:tcPr>
          <w:p>
            <w:pPr>
              <w:pStyle w:val="TableParagraph"/>
              <w:ind w:left="9" w:right="3"/>
              <w:rPr>
                <w:sz w:val="20"/>
              </w:rPr>
            </w:pPr>
            <w:r>
              <w:rPr>
                <w:sz w:val="20"/>
              </w:rPr>
              <w:t>25</w:t>
            </w:r>
            <w:r>
              <w:rPr>
                <w:spacing w:val="-3"/>
                <w:sz w:val="20"/>
              </w:rPr>
              <w:t> </w:t>
            </w:r>
            <w:r>
              <w:rPr>
                <w:sz w:val="20"/>
              </w:rPr>
              <w:t>a</w:t>
            </w:r>
            <w:r>
              <w:rPr>
                <w:spacing w:val="-1"/>
                <w:sz w:val="20"/>
              </w:rPr>
              <w:t> </w:t>
            </w:r>
            <w:r>
              <w:rPr>
                <w:spacing w:val="-5"/>
                <w:sz w:val="20"/>
              </w:rPr>
              <w:t>80%</w:t>
            </w:r>
          </w:p>
        </w:tc>
      </w:tr>
      <w:tr>
        <w:trPr>
          <w:trHeight w:val="232" w:hRule="atLeast"/>
        </w:trPr>
        <w:tc>
          <w:tcPr>
            <w:tcW w:w="1066" w:type="dxa"/>
          </w:tcPr>
          <w:p>
            <w:pPr>
              <w:pStyle w:val="TableParagraph"/>
              <w:spacing w:before="1"/>
              <w:ind w:left="9"/>
              <w:rPr>
                <w:sz w:val="20"/>
              </w:rPr>
            </w:pPr>
            <w:r>
              <w:rPr>
                <w:spacing w:val="-5"/>
                <w:sz w:val="20"/>
              </w:rPr>
              <w:t>442</w:t>
            </w:r>
          </w:p>
        </w:tc>
        <w:tc>
          <w:tcPr>
            <w:tcW w:w="6993" w:type="dxa"/>
          </w:tcPr>
          <w:p>
            <w:pPr>
              <w:pStyle w:val="TableParagraph"/>
              <w:spacing w:before="1"/>
              <w:jc w:val="left"/>
              <w:rPr>
                <w:sz w:val="20"/>
              </w:rPr>
            </w:pPr>
            <w:r>
              <w:rPr>
                <w:sz w:val="20"/>
              </w:rPr>
              <w:t>Estrechamiento</w:t>
            </w:r>
            <w:r>
              <w:rPr>
                <w:spacing w:val="-9"/>
                <w:sz w:val="20"/>
              </w:rPr>
              <w:t> </w:t>
            </w:r>
            <w:r>
              <w:rPr>
                <w:sz w:val="20"/>
              </w:rPr>
              <w:t>cicatrizal</w:t>
            </w:r>
            <w:r>
              <w:rPr>
                <w:spacing w:val="-6"/>
                <w:sz w:val="20"/>
              </w:rPr>
              <w:t> </w:t>
            </w:r>
            <w:r>
              <w:rPr>
                <w:sz w:val="20"/>
              </w:rPr>
              <w:t>de</w:t>
            </w:r>
            <w:r>
              <w:rPr>
                <w:spacing w:val="-8"/>
                <w:sz w:val="20"/>
              </w:rPr>
              <w:t> </w:t>
            </w:r>
            <w:r>
              <w:rPr>
                <w:sz w:val="20"/>
              </w:rPr>
              <w:t>la</w:t>
            </w:r>
            <w:r>
              <w:rPr>
                <w:spacing w:val="-6"/>
                <w:sz w:val="20"/>
              </w:rPr>
              <w:t> </w:t>
            </w:r>
            <w:r>
              <w:rPr>
                <w:sz w:val="20"/>
              </w:rPr>
              <w:t>faringe</w:t>
            </w:r>
            <w:r>
              <w:rPr>
                <w:spacing w:val="-8"/>
                <w:sz w:val="20"/>
              </w:rPr>
              <w:t> </w:t>
            </w:r>
            <w:r>
              <w:rPr>
                <w:sz w:val="20"/>
              </w:rPr>
              <w:t>con</w:t>
            </w:r>
            <w:r>
              <w:rPr>
                <w:spacing w:val="-8"/>
                <w:sz w:val="20"/>
              </w:rPr>
              <w:t> </w:t>
            </w:r>
            <w:r>
              <w:rPr>
                <w:sz w:val="20"/>
              </w:rPr>
              <w:t>perturbación</w:t>
            </w:r>
            <w:r>
              <w:rPr>
                <w:spacing w:val="-8"/>
                <w:sz w:val="20"/>
              </w:rPr>
              <w:t> </w:t>
            </w:r>
            <w:r>
              <w:rPr>
                <w:sz w:val="20"/>
              </w:rPr>
              <w:t>de</w:t>
            </w:r>
            <w:r>
              <w:rPr>
                <w:spacing w:val="-5"/>
                <w:sz w:val="20"/>
              </w:rPr>
              <w:t> </w:t>
            </w:r>
            <w:r>
              <w:rPr>
                <w:sz w:val="20"/>
              </w:rPr>
              <w:t>la</w:t>
            </w:r>
            <w:r>
              <w:rPr>
                <w:spacing w:val="-6"/>
                <w:sz w:val="20"/>
              </w:rPr>
              <w:t> </w:t>
            </w:r>
            <w:r>
              <w:rPr>
                <w:spacing w:val="-2"/>
                <w:sz w:val="20"/>
              </w:rPr>
              <w:t>deglución.</w:t>
            </w:r>
          </w:p>
        </w:tc>
        <w:tc>
          <w:tcPr>
            <w:tcW w:w="1491" w:type="dxa"/>
          </w:tcPr>
          <w:p>
            <w:pPr>
              <w:pStyle w:val="TableParagraph"/>
              <w:spacing w:before="1"/>
              <w:ind w:left="9" w:right="3"/>
              <w:rPr>
                <w:sz w:val="20"/>
              </w:rPr>
            </w:pPr>
            <w:r>
              <w:rPr>
                <w:sz w:val="20"/>
              </w:rPr>
              <w:t>20</w:t>
            </w:r>
            <w:r>
              <w:rPr>
                <w:spacing w:val="-3"/>
                <w:sz w:val="20"/>
              </w:rPr>
              <w:t> </w:t>
            </w:r>
            <w:r>
              <w:rPr>
                <w:sz w:val="20"/>
              </w:rPr>
              <w:t>a</w:t>
            </w:r>
            <w:r>
              <w:rPr>
                <w:spacing w:val="-1"/>
                <w:sz w:val="20"/>
              </w:rPr>
              <w:t> </w:t>
            </w:r>
            <w:r>
              <w:rPr>
                <w:spacing w:val="-5"/>
                <w:sz w:val="20"/>
              </w:rPr>
              <w:t>40%</w:t>
            </w:r>
          </w:p>
        </w:tc>
      </w:tr>
    </w:tbl>
    <w:p>
      <w:pPr>
        <w:pStyle w:val="TableParagraph"/>
        <w:spacing w:after="0"/>
        <w:rPr>
          <w:sz w:val="20"/>
        </w:rPr>
        <w:sectPr>
          <w:pgSz w:w="12240" w:h="15840"/>
          <w:pgMar w:header="724" w:footer="712" w:top="1880" w:bottom="900" w:left="1080" w:right="1080"/>
        </w:sectPr>
      </w:pPr>
    </w:p>
    <w:p>
      <w:pPr>
        <w:pStyle w:val="BodyText"/>
        <w:spacing w:before="68"/>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93"/>
        <w:gridCol w:w="1491"/>
      </w:tblGrid>
      <w:tr>
        <w:trPr>
          <w:trHeight w:val="460" w:hRule="atLeast"/>
        </w:trPr>
        <w:tc>
          <w:tcPr>
            <w:tcW w:w="1066" w:type="dxa"/>
          </w:tcPr>
          <w:p>
            <w:pPr>
              <w:pStyle w:val="TableParagraph"/>
              <w:spacing w:line="240" w:lineRule="auto" w:before="114"/>
              <w:ind w:left="9"/>
              <w:rPr>
                <w:sz w:val="20"/>
              </w:rPr>
            </w:pPr>
            <w:r>
              <w:rPr>
                <w:spacing w:val="-5"/>
                <w:sz w:val="20"/>
              </w:rPr>
              <w:t>443</w:t>
            </w:r>
          </w:p>
        </w:tc>
        <w:tc>
          <w:tcPr>
            <w:tcW w:w="6993" w:type="dxa"/>
          </w:tcPr>
          <w:p>
            <w:pPr>
              <w:pStyle w:val="TableParagraph"/>
              <w:spacing w:line="230" w:lineRule="exact"/>
              <w:jc w:val="left"/>
              <w:rPr>
                <w:sz w:val="20"/>
              </w:rPr>
            </w:pPr>
            <w:r>
              <w:rPr>
                <w:sz w:val="20"/>
              </w:rPr>
              <w:t>Pérdida</w:t>
            </w:r>
            <w:r>
              <w:rPr>
                <w:spacing w:val="75"/>
                <w:sz w:val="20"/>
              </w:rPr>
              <w:t> </w:t>
            </w:r>
            <w:r>
              <w:rPr>
                <w:sz w:val="20"/>
              </w:rPr>
              <w:t>de</w:t>
            </w:r>
            <w:r>
              <w:rPr>
                <w:spacing w:val="75"/>
                <w:sz w:val="20"/>
              </w:rPr>
              <w:t> </w:t>
            </w:r>
            <w:r>
              <w:rPr>
                <w:sz w:val="20"/>
              </w:rPr>
              <w:t>la</w:t>
            </w:r>
            <w:r>
              <w:rPr>
                <w:spacing w:val="73"/>
                <w:sz w:val="20"/>
              </w:rPr>
              <w:t> </w:t>
            </w:r>
            <w:r>
              <w:rPr>
                <w:sz w:val="20"/>
              </w:rPr>
              <w:t>glándula</w:t>
            </w:r>
            <w:r>
              <w:rPr>
                <w:spacing w:val="75"/>
                <w:sz w:val="20"/>
              </w:rPr>
              <w:t> </w:t>
            </w:r>
            <w:r>
              <w:rPr>
                <w:sz w:val="20"/>
              </w:rPr>
              <w:t>tiroides,</w:t>
            </w:r>
            <w:r>
              <w:rPr>
                <w:spacing w:val="76"/>
                <w:sz w:val="20"/>
              </w:rPr>
              <w:t> </w:t>
            </w:r>
            <w:r>
              <w:rPr>
                <w:sz w:val="20"/>
              </w:rPr>
              <w:t>incluyendo</w:t>
            </w:r>
            <w:r>
              <w:rPr>
                <w:spacing w:val="73"/>
                <w:sz w:val="20"/>
              </w:rPr>
              <w:t> </w:t>
            </w:r>
            <w:r>
              <w:rPr>
                <w:sz w:val="20"/>
              </w:rPr>
              <w:t>o</w:t>
            </w:r>
            <w:r>
              <w:rPr>
                <w:spacing w:val="75"/>
                <w:sz w:val="20"/>
              </w:rPr>
              <w:t> </w:t>
            </w:r>
            <w:r>
              <w:rPr>
                <w:sz w:val="20"/>
              </w:rPr>
              <w:t>no</w:t>
            </w:r>
            <w:r>
              <w:rPr>
                <w:spacing w:val="75"/>
                <w:sz w:val="20"/>
              </w:rPr>
              <w:t> </w:t>
            </w:r>
            <w:r>
              <w:rPr>
                <w:sz w:val="20"/>
              </w:rPr>
              <w:t>las</w:t>
            </w:r>
            <w:r>
              <w:rPr>
                <w:spacing w:val="77"/>
                <w:sz w:val="20"/>
              </w:rPr>
              <w:t> </w:t>
            </w:r>
            <w:r>
              <w:rPr>
                <w:sz w:val="20"/>
              </w:rPr>
              <w:t>paratiroides,</w:t>
            </w:r>
            <w:r>
              <w:rPr>
                <w:spacing w:val="73"/>
                <w:sz w:val="20"/>
              </w:rPr>
              <w:t> </w:t>
            </w:r>
            <w:r>
              <w:rPr>
                <w:sz w:val="20"/>
              </w:rPr>
              <w:t>con respuesta adecuada al tratamiento sustitutivo.</w:t>
            </w:r>
          </w:p>
        </w:tc>
        <w:tc>
          <w:tcPr>
            <w:tcW w:w="1491" w:type="dxa"/>
          </w:tcPr>
          <w:p>
            <w:pPr>
              <w:pStyle w:val="TableParagraph"/>
              <w:spacing w:line="240" w:lineRule="auto" w:before="114"/>
              <w:ind w:left="9"/>
              <w:rPr>
                <w:sz w:val="20"/>
              </w:rPr>
            </w:pPr>
            <w:r>
              <w:rPr>
                <w:spacing w:val="-5"/>
                <w:sz w:val="20"/>
              </w:rPr>
              <w:t>20%</w:t>
            </w:r>
          </w:p>
        </w:tc>
      </w:tr>
      <w:tr>
        <w:trPr>
          <w:trHeight w:val="460" w:hRule="atLeast"/>
        </w:trPr>
        <w:tc>
          <w:tcPr>
            <w:tcW w:w="1066" w:type="dxa"/>
          </w:tcPr>
          <w:p>
            <w:pPr>
              <w:pStyle w:val="TableParagraph"/>
              <w:spacing w:line="240" w:lineRule="auto" w:before="114"/>
              <w:ind w:left="9"/>
              <w:rPr>
                <w:sz w:val="20"/>
              </w:rPr>
            </w:pPr>
            <w:r>
              <w:rPr>
                <w:spacing w:val="-5"/>
                <w:sz w:val="20"/>
              </w:rPr>
              <w:t>444</w:t>
            </w:r>
          </w:p>
        </w:tc>
        <w:tc>
          <w:tcPr>
            <w:tcW w:w="6993" w:type="dxa"/>
          </w:tcPr>
          <w:p>
            <w:pPr>
              <w:pStyle w:val="TableParagraph"/>
              <w:spacing w:line="228" w:lineRule="exact"/>
              <w:jc w:val="left"/>
              <w:rPr>
                <w:sz w:val="20"/>
              </w:rPr>
            </w:pPr>
            <w:r>
              <w:rPr>
                <w:sz w:val="20"/>
              </w:rPr>
              <w:t>Pérdida</w:t>
            </w:r>
            <w:r>
              <w:rPr>
                <w:spacing w:val="80"/>
                <w:sz w:val="20"/>
              </w:rPr>
              <w:t> </w:t>
            </w:r>
            <w:r>
              <w:rPr>
                <w:sz w:val="20"/>
              </w:rPr>
              <w:t>de</w:t>
            </w:r>
            <w:r>
              <w:rPr>
                <w:spacing w:val="80"/>
                <w:sz w:val="20"/>
              </w:rPr>
              <w:t> </w:t>
            </w:r>
            <w:r>
              <w:rPr>
                <w:sz w:val="20"/>
              </w:rPr>
              <w:t>la</w:t>
            </w:r>
            <w:r>
              <w:rPr>
                <w:spacing w:val="80"/>
                <w:sz w:val="20"/>
              </w:rPr>
              <w:t> </w:t>
            </w:r>
            <w:r>
              <w:rPr>
                <w:sz w:val="20"/>
              </w:rPr>
              <w:t>glándula</w:t>
            </w:r>
            <w:r>
              <w:rPr>
                <w:spacing w:val="80"/>
                <w:sz w:val="20"/>
              </w:rPr>
              <w:t> </w:t>
            </w:r>
            <w:r>
              <w:rPr>
                <w:sz w:val="20"/>
              </w:rPr>
              <w:t>tiroides,</w:t>
            </w:r>
            <w:r>
              <w:rPr>
                <w:spacing w:val="80"/>
                <w:sz w:val="20"/>
              </w:rPr>
              <w:t> </w:t>
            </w:r>
            <w:r>
              <w:rPr>
                <w:sz w:val="20"/>
              </w:rPr>
              <w:t>incluyendo</w:t>
            </w:r>
            <w:r>
              <w:rPr>
                <w:spacing w:val="80"/>
                <w:sz w:val="20"/>
              </w:rPr>
              <w:t> </w:t>
            </w:r>
            <w:r>
              <w:rPr>
                <w:sz w:val="20"/>
              </w:rPr>
              <w:t>o</w:t>
            </w:r>
            <w:r>
              <w:rPr>
                <w:spacing w:val="80"/>
                <w:sz w:val="20"/>
              </w:rPr>
              <w:t> </w:t>
            </w:r>
            <w:r>
              <w:rPr>
                <w:sz w:val="20"/>
              </w:rPr>
              <w:t>no</w:t>
            </w:r>
            <w:r>
              <w:rPr>
                <w:spacing w:val="80"/>
                <w:sz w:val="20"/>
              </w:rPr>
              <w:t> </w:t>
            </w:r>
            <w:r>
              <w:rPr>
                <w:sz w:val="20"/>
              </w:rPr>
              <w:t>las</w:t>
            </w:r>
            <w:r>
              <w:rPr>
                <w:spacing w:val="80"/>
                <w:sz w:val="20"/>
              </w:rPr>
              <w:t> </w:t>
            </w:r>
            <w:r>
              <w:rPr>
                <w:sz w:val="20"/>
              </w:rPr>
              <w:t>paratiroides,</w:t>
            </w:r>
            <w:r>
              <w:rPr>
                <w:spacing w:val="80"/>
                <w:sz w:val="20"/>
              </w:rPr>
              <w:t> </w:t>
            </w:r>
            <w:r>
              <w:rPr>
                <w:sz w:val="20"/>
              </w:rPr>
              <w:t>sin respuesta al tratamiento sustitutivo.</w:t>
            </w:r>
          </w:p>
        </w:tc>
        <w:tc>
          <w:tcPr>
            <w:tcW w:w="1491" w:type="dxa"/>
          </w:tcPr>
          <w:p>
            <w:pPr>
              <w:pStyle w:val="TableParagraph"/>
              <w:spacing w:line="240" w:lineRule="auto" w:before="114"/>
              <w:ind w:left="9"/>
              <w:rPr>
                <w:sz w:val="20"/>
              </w:rPr>
            </w:pPr>
            <w:r>
              <w:rPr>
                <w:spacing w:val="-5"/>
                <w:sz w:val="20"/>
              </w:rPr>
              <w:t>26%</w:t>
            </w:r>
          </w:p>
        </w:tc>
      </w:tr>
    </w:tbl>
    <w:p>
      <w:pPr>
        <w:spacing w:before="225"/>
        <w:ind w:left="297" w:right="296" w:firstLine="0"/>
        <w:jc w:val="center"/>
        <w:rPr>
          <w:rFonts w:ascii="Arial"/>
          <w:b/>
          <w:sz w:val="20"/>
        </w:rPr>
      </w:pPr>
      <w:r>
        <w:rPr>
          <w:rFonts w:ascii="Arial"/>
          <w:b/>
          <w:sz w:val="20"/>
        </w:rPr>
        <w:t>Trastornos</w:t>
      </w:r>
      <w:r>
        <w:rPr>
          <w:rFonts w:ascii="Arial"/>
          <w:b/>
          <w:spacing w:val="-8"/>
          <w:sz w:val="20"/>
        </w:rPr>
        <w:t> </w:t>
      </w:r>
      <w:r>
        <w:rPr>
          <w:rFonts w:ascii="Arial"/>
          <w:b/>
          <w:sz w:val="20"/>
        </w:rPr>
        <w:t>de</w:t>
      </w:r>
      <w:r>
        <w:rPr>
          <w:rFonts w:ascii="Arial"/>
          <w:b/>
          <w:spacing w:val="-7"/>
          <w:sz w:val="20"/>
        </w:rPr>
        <w:t> </w:t>
      </w:r>
      <w:r>
        <w:rPr>
          <w:rFonts w:ascii="Arial"/>
          <w:b/>
          <w:sz w:val="20"/>
        </w:rPr>
        <w:t>la</w:t>
      </w:r>
      <w:r>
        <w:rPr>
          <w:rFonts w:ascii="Arial"/>
          <w:b/>
          <w:spacing w:val="-6"/>
          <w:sz w:val="20"/>
        </w:rPr>
        <w:t> </w:t>
      </w:r>
      <w:r>
        <w:rPr>
          <w:rFonts w:ascii="Arial"/>
          <w:b/>
          <w:spacing w:val="-5"/>
          <w:sz w:val="20"/>
        </w:rPr>
        <w:t>voz</w:t>
      </w:r>
    </w:p>
    <w:p>
      <w:pPr>
        <w:pStyle w:val="BodyText"/>
        <w:spacing w:before="3"/>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8"/>
        <w:gridCol w:w="8481"/>
      </w:tblGrid>
      <w:tr>
        <w:trPr>
          <w:trHeight w:val="229" w:hRule="atLeast"/>
        </w:trPr>
        <w:tc>
          <w:tcPr>
            <w:tcW w:w="1068" w:type="dxa"/>
          </w:tcPr>
          <w:p>
            <w:pPr>
              <w:pStyle w:val="TableParagraph"/>
              <w:ind w:left="11"/>
              <w:rPr>
                <w:sz w:val="20"/>
              </w:rPr>
            </w:pPr>
            <w:r>
              <w:rPr>
                <w:spacing w:val="-5"/>
                <w:sz w:val="20"/>
              </w:rPr>
              <w:t>445</w:t>
            </w:r>
          </w:p>
        </w:tc>
        <w:tc>
          <w:tcPr>
            <w:tcW w:w="8481" w:type="dxa"/>
          </w:tcPr>
          <w:p>
            <w:pPr>
              <w:pStyle w:val="TableParagraph"/>
              <w:jc w:val="left"/>
              <w:rPr>
                <w:sz w:val="20"/>
              </w:rPr>
            </w:pPr>
            <w:r>
              <w:rPr>
                <w:sz w:val="20"/>
              </w:rPr>
              <w:t>Los</w:t>
            </w:r>
            <w:r>
              <w:rPr>
                <w:spacing w:val="-7"/>
                <w:sz w:val="20"/>
              </w:rPr>
              <w:t> </w:t>
            </w:r>
            <w:r>
              <w:rPr>
                <w:sz w:val="20"/>
              </w:rPr>
              <w:t>trastornos</w:t>
            </w:r>
            <w:r>
              <w:rPr>
                <w:spacing w:val="-4"/>
                <w:sz w:val="20"/>
              </w:rPr>
              <w:t> </w:t>
            </w:r>
            <w:r>
              <w:rPr>
                <w:sz w:val="20"/>
              </w:rPr>
              <w:t>de</w:t>
            </w:r>
            <w:r>
              <w:rPr>
                <w:spacing w:val="-6"/>
                <w:sz w:val="20"/>
              </w:rPr>
              <w:t> </w:t>
            </w:r>
            <w:r>
              <w:rPr>
                <w:sz w:val="20"/>
              </w:rPr>
              <w:t>la</w:t>
            </w:r>
            <w:r>
              <w:rPr>
                <w:spacing w:val="-5"/>
                <w:sz w:val="20"/>
              </w:rPr>
              <w:t> </w:t>
            </w:r>
            <w:r>
              <w:rPr>
                <w:sz w:val="20"/>
              </w:rPr>
              <w:t>voz</w:t>
            </w:r>
            <w:r>
              <w:rPr>
                <w:spacing w:val="-8"/>
                <w:sz w:val="20"/>
              </w:rPr>
              <w:t> </w:t>
            </w:r>
            <w:r>
              <w:rPr>
                <w:sz w:val="20"/>
              </w:rPr>
              <w:t>debidamente</w:t>
            </w:r>
            <w:r>
              <w:rPr>
                <w:spacing w:val="-8"/>
                <w:sz w:val="20"/>
              </w:rPr>
              <w:t> </w:t>
            </w:r>
            <w:r>
              <w:rPr>
                <w:sz w:val="20"/>
              </w:rPr>
              <w:t>comprobados</w:t>
            </w:r>
            <w:r>
              <w:rPr>
                <w:spacing w:val="-6"/>
                <w:sz w:val="20"/>
              </w:rPr>
              <w:t> </w:t>
            </w:r>
            <w:r>
              <w:rPr>
                <w:sz w:val="20"/>
              </w:rPr>
              <w:t>se</w:t>
            </w:r>
            <w:r>
              <w:rPr>
                <w:spacing w:val="-7"/>
                <w:sz w:val="20"/>
              </w:rPr>
              <w:t> </w:t>
            </w:r>
            <w:r>
              <w:rPr>
                <w:sz w:val="20"/>
              </w:rPr>
              <w:t>valuarán</w:t>
            </w:r>
            <w:r>
              <w:rPr>
                <w:spacing w:val="-7"/>
                <w:sz w:val="20"/>
              </w:rPr>
              <w:t> </w:t>
            </w:r>
            <w:r>
              <w:rPr>
                <w:sz w:val="20"/>
              </w:rPr>
              <w:t>conforme</w:t>
            </w:r>
            <w:r>
              <w:rPr>
                <w:spacing w:val="-7"/>
                <w:sz w:val="20"/>
              </w:rPr>
              <w:t> </w:t>
            </w:r>
            <w:r>
              <w:rPr>
                <w:sz w:val="20"/>
              </w:rPr>
              <w:t>a</w:t>
            </w:r>
            <w:r>
              <w:rPr>
                <w:spacing w:val="-8"/>
                <w:sz w:val="20"/>
              </w:rPr>
              <w:t> </w:t>
            </w:r>
            <w:r>
              <w:rPr>
                <w:sz w:val="20"/>
              </w:rPr>
              <w:t>la</w:t>
            </w:r>
            <w:r>
              <w:rPr>
                <w:spacing w:val="-7"/>
                <w:sz w:val="20"/>
              </w:rPr>
              <w:t> </w:t>
            </w:r>
            <w:r>
              <w:rPr>
                <w:sz w:val="20"/>
              </w:rPr>
              <w:t>Tabla</w:t>
            </w:r>
            <w:r>
              <w:rPr>
                <w:spacing w:val="-7"/>
                <w:sz w:val="20"/>
              </w:rPr>
              <w:t> </w:t>
            </w:r>
            <w:r>
              <w:rPr>
                <w:spacing w:val="-5"/>
                <w:sz w:val="20"/>
              </w:rPr>
              <w:t>IV.</w:t>
            </w:r>
          </w:p>
        </w:tc>
      </w:tr>
    </w:tbl>
    <w:p>
      <w:pPr>
        <w:pStyle w:val="BodyText"/>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36"/>
        <w:gridCol w:w="4532"/>
        <w:gridCol w:w="3180"/>
      </w:tblGrid>
      <w:tr>
        <w:trPr>
          <w:trHeight w:val="690" w:hRule="atLeast"/>
        </w:trPr>
        <w:tc>
          <w:tcPr>
            <w:tcW w:w="9548" w:type="dxa"/>
            <w:gridSpan w:val="3"/>
            <w:shd w:val="clear" w:color="auto" w:fill="C0C0C0"/>
          </w:tcPr>
          <w:p>
            <w:pPr>
              <w:pStyle w:val="TableParagraph"/>
              <w:spacing w:line="227" w:lineRule="exact"/>
              <w:ind w:left="13"/>
              <w:rPr>
                <w:rFonts w:ascii="Arial"/>
                <w:b/>
                <w:sz w:val="20"/>
              </w:rPr>
            </w:pPr>
            <w:r>
              <w:rPr>
                <w:rFonts w:ascii="Arial"/>
                <w:b/>
                <w:sz w:val="20"/>
              </w:rPr>
              <w:t>Tabla</w:t>
            </w:r>
            <w:r>
              <w:rPr>
                <w:rFonts w:ascii="Arial"/>
                <w:b/>
                <w:spacing w:val="-8"/>
                <w:sz w:val="20"/>
              </w:rPr>
              <w:t> </w:t>
            </w:r>
            <w:r>
              <w:rPr>
                <w:rFonts w:ascii="Arial"/>
                <w:b/>
                <w:spacing w:val="-5"/>
                <w:sz w:val="20"/>
              </w:rPr>
              <w:t>IV</w:t>
            </w:r>
          </w:p>
          <w:p>
            <w:pPr>
              <w:pStyle w:val="TableParagraph"/>
              <w:spacing w:line="240" w:lineRule="auto"/>
              <w:ind w:left="0"/>
              <w:jc w:val="left"/>
              <w:rPr>
                <w:rFonts w:ascii="Arial"/>
                <w:b/>
                <w:sz w:val="20"/>
              </w:rPr>
            </w:pPr>
          </w:p>
          <w:p>
            <w:pPr>
              <w:pStyle w:val="TableParagraph"/>
              <w:spacing w:line="213" w:lineRule="exact" w:before="1"/>
              <w:ind w:left="13" w:right="2"/>
              <w:rPr>
                <w:rFonts w:ascii="Arial" w:hAnsi="Arial"/>
                <w:b/>
                <w:sz w:val="20"/>
              </w:rPr>
            </w:pPr>
            <w:r>
              <w:rPr>
                <w:rFonts w:ascii="Arial" w:hAnsi="Arial"/>
                <w:b/>
                <w:sz w:val="20"/>
              </w:rPr>
              <w:t>Valuación</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6"/>
                <w:sz w:val="20"/>
              </w:rPr>
              <w:t> </w:t>
            </w:r>
            <w:r>
              <w:rPr>
                <w:rFonts w:ascii="Arial" w:hAnsi="Arial"/>
                <w:b/>
                <w:sz w:val="20"/>
              </w:rPr>
              <w:t>trastornos</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la</w:t>
            </w:r>
            <w:r>
              <w:rPr>
                <w:rFonts w:ascii="Arial" w:hAnsi="Arial"/>
                <w:b/>
                <w:spacing w:val="-7"/>
                <w:sz w:val="20"/>
              </w:rPr>
              <w:t> </w:t>
            </w:r>
            <w:r>
              <w:rPr>
                <w:rFonts w:ascii="Arial" w:hAnsi="Arial"/>
                <w:b/>
                <w:spacing w:val="-5"/>
                <w:sz w:val="20"/>
              </w:rPr>
              <w:t>voz</w:t>
            </w:r>
          </w:p>
        </w:tc>
      </w:tr>
      <w:tr>
        <w:trPr>
          <w:trHeight w:val="230" w:hRule="atLeast"/>
        </w:trPr>
        <w:tc>
          <w:tcPr>
            <w:tcW w:w="1836" w:type="dxa"/>
            <w:shd w:val="clear" w:color="auto" w:fill="C0C0C0"/>
          </w:tcPr>
          <w:p>
            <w:pPr>
              <w:pStyle w:val="TableParagraph"/>
              <w:ind w:left="11" w:right="2"/>
              <w:rPr>
                <w:rFonts w:ascii="Arial" w:hAnsi="Arial"/>
                <w:b/>
                <w:sz w:val="20"/>
              </w:rPr>
            </w:pPr>
            <w:r>
              <w:rPr>
                <w:rFonts w:ascii="Arial" w:hAnsi="Arial"/>
                <w:b/>
                <w:spacing w:val="-2"/>
                <w:sz w:val="20"/>
              </w:rPr>
              <w:t>Categoría</w:t>
            </w:r>
          </w:p>
        </w:tc>
        <w:tc>
          <w:tcPr>
            <w:tcW w:w="4532" w:type="dxa"/>
            <w:shd w:val="clear" w:color="auto" w:fill="C0C0C0"/>
          </w:tcPr>
          <w:p>
            <w:pPr>
              <w:pStyle w:val="TableParagraph"/>
              <w:ind w:left="12"/>
              <w:rPr>
                <w:rFonts w:ascii="Arial" w:hAnsi="Arial"/>
                <w:b/>
                <w:sz w:val="20"/>
              </w:rPr>
            </w:pPr>
            <w:r>
              <w:rPr>
                <w:rFonts w:ascii="Arial" w:hAnsi="Arial"/>
                <w:b/>
                <w:spacing w:val="-2"/>
                <w:sz w:val="20"/>
              </w:rPr>
              <w:t>Características</w:t>
            </w:r>
          </w:p>
        </w:tc>
        <w:tc>
          <w:tcPr>
            <w:tcW w:w="3180" w:type="dxa"/>
            <w:shd w:val="clear" w:color="auto" w:fill="C0C0C0"/>
          </w:tcPr>
          <w:p>
            <w:pPr>
              <w:pStyle w:val="TableParagraph"/>
              <w:ind w:left="11" w:right="3"/>
              <w:rPr>
                <w:rFonts w:ascii="Arial" w:hAnsi="Arial"/>
                <w:b/>
                <w:sz w:val="20"/>
              </w:rPr>
            </w:pPr>
            <w:r>
              <w:rPr>
                <w:rFonts w:ascii="Arial" w:hAnsi="Arial"/>
                <w:b/>
                <w:spacing w:val="-2"/>
                <w:sz w:val="20"/>
              </w:rPr>
              <w:t>Valuación</w:t>
            </w:r>
          </w:p>
        </w:tc>
      </w:tr>
      <w:tr>
        <w:trPr>
          <w:trHeight w:val="1379" w:hRule="atLeast"/>
        </w:trPr>
        <w:tc>
          <w:tcPr>
            <w:tcW w:w="1836" w:type="dxa"/>
          </w:tcPr>
          <w:p>
            <w:pPr>
              <w:pStyle w:val="TableParagraph"/>
              <w:spacing w:line="227" w:lineRule="exact"/>
              <w:ind w:left="11"/>
              <w:rPr>
                <w:rFonts w:ascii="Arial"/>
                <w:b/>
                <w:sz w:val="20"/>
              </w:rPr>
            </w:pPr>
            <w:r>
              <w:rPr>
                <w:rFonts w:ascii="Arial"/>
                <w:b/>
                <w:spacing w:val="-4"/>
                <w:sz w:val="20"/>
              </w:rPr>
              <w:t>Leve</w:t>
            </w:r>
          </w:p>
        </w:tc>
        <w:tc>
          <w:tcPr>
            <w:tcW w:w="4532" w:type="dxa"/>
          </w:tcPr>
          <w:p>
            <w:pPr>
              <w:pStyle w:val="TableParagraph"/>
              <w:numPr>
                <w:ilvl w:val="0"/>
                <w:numId w:val="174"/>
              </w:numPr>
              <w:tabs>
                <w:tab w:pos="431" w:val="left" w:leader="none"/>
              </w:tabs>
              <w:spacing w:line="229" w:lineRule="exact" w:before="0" w:after="0"/>
              <w:ind w:left="431" w:right="0" w:hanging="360"/>
              <w:jc w:val="left"/>
              <w:rPr>
                <w:sz w:val="20"/>
              </w:rPr>
            </w:pPr>
            <w:r>
              <w:rPr>
                <w:sz w:val="20"/>
              </w:rPr>
              <w:t>Presencia</w:t>
            </w:r>
            <w:r>
              <w:rPr>
                <w:spacing w:val="-8"/>
                <w:sz w:val="20"/>
              </w:rPr>
              <w:t> </w:t>
            </w:r>
            <w:r>
              <w:rPr>
                <w:sz w:val="20"/>
              </w:rPr>
              <w:t>de</w:t>
            </w:r>
            <w:r>
              <w:rPr>
                <w:spacing w:val="-6"/>
                <w:sz w:val="20"/>
              </w:rPr>
              <w:t> </w:t>
            </w:r>
            <w:r>
              <w:rPr>
                <w:spacing w:val="-2"/>
                <w:sz w:val="20"/>
              </w:rPr>
              <w:t>disfonía;</w:t>
            </w:r>
          </w:p>
          <w:p>
            <w:pPr>
              <w:pStyle w:val="TableParagraph"/>
              <w:numPr>
                <w:ilvl w:val="0"/>
                <w:numId w:val="174"/>
              </w:numPr>
              <w:tabs>
                <w:tab w:pos="431" w:val="left" w:leader="none"/>
              </w:tabs>
              <w:spacing w:line="240" w:lineRule="auto" w:before="0" w:after="0"/>
              <w:ind w:left="431" w:right="60" w:hanging="360"/>
              <w:jc w:val="left"/>
              <w:rPr>
                <w:sz w:val="20"/>
              </w:rPr>
            </w:pPr>
            <w:r>
              <w:rPr>
                <w:sz w:val="20"/>
              </w:rPr>
              <w:t>Presencia de sintomatología leve con base a procedimientos clínicos de evaluación;</w:t>
            </w:r>
          </w:p>
          <w:p>
            <w:pPr>
              <w:pStyle w:val="TableParagraph"/>
              <w:numPr>
                <w:ilvl w:val="0"/>
                <w:numId w:val="174"/>
              </w:numPr>
              <w:tabs>
                <w:tab w:pos="431" w:val="left" w:leader="none"/>
              </w:tabs>
              <w:spacing w:line="229" w:lineRule="exact" w:before="1" w:after="0"/>
              <w:ind w:left="431" w:right="0" w:hanging="360"/>
              <w:jc w:val="left"/>
              <w:rPr>
                <w:sz w:val="20"/>
              </w:rPr>
            </w:pPr>
            <w:r>
              <w:rPr>
                <w:sz w:val="20"/>
              </w:rPr>
              <w:t>Puede</w:t>
            </w:r>
            <w:r>
              <w:rPr>
                <w:spacing w:val="-8"/>
                <w:sz w:val="20"/>
              </w:rPr>
              <w:t> </w:t>
            </w:r>
            <w:r>
              <w:rPr>
                <w:sz w:val="20"/>
              </w:rPr>
              <w:t>hacerse</w:t>
            </w:r>
            <w:r>
              <w:rPr>
                <w:spacing w:val="-7"/>
                <w:sz w:val="20"/>
              </w:rPr>
              <w:t> </w:t>
            </w:r>
            <w:r>
              <w:rPr>
                <w:sz w:val="20"/>
              </w:rPr>
              <w:t>oír</w:t>
            </w:r>
            <w:r>
              <w:rPr>
                <w:spacing w:val="-4"/>
                <w:sz w:val="20"/>
              </w:rPr>
              <w:t> </w:t>
            </w:r>
            <w:r>
              <w:rPr>
                <w:sz w:val="20"/>
              </w:rPr>
              <w:t>en</w:t>
            </w:r>
            <w:r>
              <w:rPr>
                <w:spacing w:val="-8"/>
                <w:sz w:val="20"/>
              </w:rPr>
              <w:t> </w:t>
            </w:r>
            <w:r>
              <w:rPr>
                <w:sz w:val="20"/>
              </w:rPr>
              <w:t>ambiente</w:t>
            </w:r>
            <w:r>
              <w:rPr>
                <w:spacing w:val="-8"/>
                <w:sz w:val="20"/>
              </w:rPr>
              <w:t> </w:t>
            </w:r>
            <w:r>
              <w:rPr>
                <w:sz w:val="20"/>
              </w:rPr>
              <w:t>ruidoso,</w:t>
            </w:r>
            <w:r>
              <w:rPr>
                <w:spacing w:val="-3"/>
                <w:sz w:val="20"/>
              </w:rPr>
              <w:t> </w:t>
            </w:r>
            <w:r>
              <w:rPr>
                <w:spacing w:val="-10"/>
                <w:sz w:val="20"/>
              </w:rPr>
              <w:t>y</w:t>
            </w:r>
          </w:p>
          <w:p>
            <w:pPr>
              <w:pStyle w:val="TableParagraph"/>
              <w:numPr>
                <w:ilvl w:val="0"/>
                <w:numId w:val="174"/>
              </w:numPr>
              <w:tabs>
                <w:tab w:pos="431" w:val="left" w:leader="none"/>
              </w:tabs>
              <w:spacing w:line="230" w:lineRule="exact" w:before="0" w:after="0"/>
              <w:ind w:left="431" w:right="62" w:hanging="360"/>
              <w:jc w:val="left"/>
              <w:rPr>
                <w:sz w:val="20"/>
              </w:rPr>
            </w:pPr>
            <w:r>
              <w:rPr>
                <w:sz w:val="20"/>
              </w:rPr>
              <w:t>Con</w:t>
            </w:r>
            <w:r>
              <w:rPr>
                <w:spacing w:val="39"/>
                <w:sz w:val="20"/>
              </w:rPr>
              <w:t> </w:t>
            </w:r>
            <w:r>
              <w:rPr>
                <w:sz w:val="20"/>
              </w:rPr>
              <w:t>aptitud</w:t>
            </w:r>
            <w:r>
              <w:rPr>
                <w:spacing w:val="39"/>
                <w:sz w:val="20"/>
              </w:rPr>
              <w:t> </w:t>
            </w:r>
            <w:r>
              <w:rPr>
                <w:sz w:val="20"/>
              </w:rPr>
              <w:t>para</w:t>
            </w:r>
            <w:r>
              <w:rPr>
                <w:spacing w:val="39"/>
                <w:sz w:val="20"/>
              </w:rPr>
              <w:t> </w:t>
            </w:r>
            <w:r>
              <w:rPr>
                <w:sz w:val="20"/>
              </w:rPr>
              <w:t>ejercer</w:t>
            </w:r>
            <w:r>
              <w:rPr>
                <w:spacing w:val="40"/>
                <w:sz w:val="20"/>
              </w:rPr>
              <w:t> </w:t>
            </w:r>
            <w:r>
              <w:rPr>
                <w:sz w:val="20"/>
              </w:rPr>
              <w:t>actividades</w:t>
            </w:r>
            <w:r>
              <w:rPr>
                <w:spacing w:val="40"/>
                <w:sz w:val="20"/>
              </w:rPr>
              <w:t> </w:t>
            </w:r>
            <w:r>
              <w:rPr>
                <w:sz w:val="20"/>
              </w:rPr>
              <w:t>de</w:t>
            </w:r>
            <w:r>
              <w:rPr>
                <w:spacing w:val="38"/>
                <w:sz w:val="20"/>
              </w:rPr>
              <w:t> </w:t>
            </w:r>
            <w:r>
              <w:rPr>
                <w:sz w:val="20"/>
              </w:rPr>
              <w:t>su profesión u oficio.</w:t>
            </w:r>
          </w:p>
        </w:tc>
        <w:tc>
          <w:tcPr>
            <w:tcW w:w="3180" w:type="dxa"/>
          </w:tcPr>
          <w:p>
            <w:pPr>
              <w:pStyle w:val="TableParagraph"/>
              <w:spacing w:line="229" w:lineRule="exact"/>
              <w:ind w:left="11"/>
              <w:rPr>
                <w:sz w:val="20"/>
              </w:rPr>
            </w:pPr>
            <w:r>
              <w:rPr>
                <w:sz w:val="20"/>
              </w:rPr>
              <w:t>10</w:t>
            </w:r>
            <w:r>
              <w:rPr>
                <w:spacing w:val="-3"/>
                <w:sz w:val="20"/>
              </w:rPr>
              <w:t> </w:t>
            </w:r>
            <w:r>
              <w:rPr>
                <w:sz w:val="20"/>
              </w:rPr>
              <w:t>al</w:t>
            </w:r>
            <w:r>
              <w:rPr>
                <w:spacing w:val="-3"/>
                <w:sz w:val="20"/>
              </w:rPr>
              <w:t> </w:t>
            </w:r>
            <w:r>
              <w:rPr>
                <w:spacing w:val="-5"/>
                <w:sz w:val="20"/>
              </w:rPr>
              <w:t>20%</w:t>
            </w:r>
          </w:p>
        </w:tc>
      </w:tr>
      <w:tr>
        <w:trPr>
          <w:trHeight w:val="1609" w:hRule="atLeast"/>
        </w:trPr>
        <w:tc>
          <w:tcPr>
            <w:tcW w:w="1836" w:type="dxa"/>
          </w:tcPr>
          <w:p>
            <w:pPr>
              <w:pStyle w:val="TableParagraph"/>
              <w:spacing w:line="227" w:lineRule="exact"/>
              <w:ind w:left="11" w:right="1"/>
              <w:rPr>
                <w:rFonts w:ascii="Arial"/>
                <w:b/>
                <w:sz w:val="20"/>
              </w:rPr>
            </w:pPr>
            <w:r>
              <w:rPr>
                <w:rFonts w:ascii="Arial"/>
                <w:b/>
                <w:spacing w:val="-2"/>
                <w:sz w:val="20"/>
              </w:rPr>
              <w:t>Moderado</w:t>
            </w:r>
          </w:p>
        </w:tc>
        <w:tc>
          <w:tcPr>
            <w:tcW w:w="4532" w:type="dxa"/>
          </w:tcPr>
          <w:p>
            <w:pPr>
              <w:pStyle w:val="TableParagraph"/>
              <w:numPr>
                <w:ilvl w:val="0"/>
                <w:numId w:val="175"/>
              </w:numPr>
              <w:tabs>
                <w:tab w:pos="430" w:val="left" w:leader="none"/>
              </w:tabs>
              <w:spacing w:line="229" w:lineRule="exact" w:before="0" w:after="0"/>
              <w:ind w:left="430" w:right="0" w:hanging="359"/>
              <w:jc w:val="both"/>
              <w:rPr>
                <w:sz w:val="20"/>
              </w:rPr>
            </w:pPr>
            <w:r>
              <w:rPr>
                <w:sz w:val="20"/>
              </w:rPr>
              <w:t>Presencia</w:t>
            </w:r>
            <w:r>
              <w:rPr>
                <w:spacing w:val="-8"/>
                <w:sz w:val="20"/>
              </w:rPr>
              <w:t> </w:t>
            </w:r>
            <w:r>
              <w:rPr>
                <w:sz w:val="20"/>
              </w:rPr>
              <w:t>de</w:t>
            </w:r>
            <w:r>
              <w:rPr>
                <w:spacing w:val="-6"/>
                <w:sz w:val="20"/>
              </w:rPr>
              <w:t> </w:t>
            </w:r>
            <w:r>
              <w:rPr>
                <w:spacing w:val="-2"/>
                <w:sz w:val="20"/>
              </w:rPr>
              <w:t>disfonía;</w:t>
            </w:r>
          </w:p>
          <w:p>
            <w:pPr>
              <w:pStyle w:val="TableParagraph"/>
              <w:numPr>
                <w:ilvl w:val="0"/>
                <w:numId w:val="175"/>
              </w:numPr>
              <w:tabs>
                <w:tab w:pos="431" w:val="left" w:leader="none"/>
              </w:tabs>
              <w:spacing w:line="240" w:lineRule="auto" w:before="0" w:after="0"/>
              <w:ind w:left="431" w:right="60" w:hanging="360"/>
              <w:jc w:val="both"/>
              <w:rPr>
                <w:sz w:val="20"/>
              </w:rPr>
            </w:pPr>
            <w:r>
              <w:rPr>
                <w:sz w:val="20"/>
              </w:rPr>
              <w:t>Presencia de sintomatología moderada con base a procedimientos clínicos de</w:t>
            </w:r>
            <w:r>
              <w:rPr>
                <w:spacing w:val="40"/>
                <w:sz w:val="20"/>
              </w:rPr>
              <w:t> </w:t>
            </w:r>
            <w:r>
              <w:rPr>
                <w:spacing w:val="-2"/>
                <w:sz w:val="20"/>
              </w:rPr>
              <w:t>evaluación;</w:t>
            </w:r>
          </w:p>
          <w:p>
            <w:pPr>
              <w:pStyle w:val="TableParagraph"/>
              <w:numPr>
                <w:ilvl w:val="0"/>
                <w:numId w:val="175"/>
              </w:numPr>
              <w:tabs>
                <w:tab w:pos="430" w:val="left" w:leader="none"/>
              </w:tabs>
              <w:spacing w:line="240" w:lineRule="auto" w:before="1" w:after="0"/>
              <w:ind w:left="430" w:right="0" w:hanging="359"/>
              <w:jc w:val="both"/>
              <w:rPr>
                <w:sz w:val="20"/>
              </w:rPr>
            </w:pPr>
            <w:r>
              <w:rPr>
                <w:sz w:val="20"/>
              </w:rPr>
              <w:t>Puede</w:t>
            </w:r>
            <w:r>
              <w:rPr>
                <w:spacing w:val="-8"/>
                <w:sz w:val="20"/>
              </w:rPr>
              <w:t> </w:t>
            </w:r>
            <w:r>
              <w:rPr>
                <w:sz w:val="20"/>
              </w:rPr>
              <w:t>hacerse</w:t>
            </w:r>
            <w:r>
              <w:rPr>
                <w:spacing w:val="-7"/>
                <w:sz w:val="20"/>
              </w:rPr>
              <w:t> </w:t>
            </w:r>
            <w:r>
              <w:rPr>
                <w:sz w:val="20"/>
              </w:rPr>
              <w:t>oír</w:t>
            </w:r>
            <w:r>
              <w:rPr>
                <w:spacing w:val="-5"/>
                <w:sz w:val="20"/>
              </w:rPr>
              <w:t> </w:t>
            </w:r>
            <w:r>
              <w:rPr>
                <w:sz w:val="20"/>
              </w:rPr>
              <w:t>en</w:t>
            </w:r>
            <w:r>
              <w:rPr>
                <w:spacing w:val="-7"/>
                <w:sz w:val="20"/>
              </w:rPr>
              <w:t> </w:t>
            </w:r>
            <w:r>
              <w:rPr>
                <w:sz w:val="20"/>
              </w:rPr>
              <w:t>ambiente</w:t>
            </w:r>
            <w:r>
              <w:rPr>
                <w:spacing w:val="-6"/>
                <w:sz w:val="20"/>
              </w:rPr>
              <w:t> </w:t>
            </w:r>
            <w:r>
              <w:rPr>
                <w:sz w:val="20"/>
              </w:rPr>
              <w:t>normal,</w:t>
            </w:r>
            <w:r>
              <w:rPr>
                <w:spacing w:val="-5"/>
                <w:sz w:val="20"/>
              </w:rPr>
              <w:t> </w:t>
            </w:r>
            <w:r>
              <w:rPr>
                <w:spacing w:val="-10"/>
                <w:sz w:val="20"/>
              </w:rPr>
              <w:t>y</w:t>
            </w:r>
          </w:p>
          <w:p>
            <w:pPr>
              <w:pStyle w:val="TableParagraph"/>
              <w:numPr>
                <w:ilvl w:val="0"/>
                <w:numId w:val="175"/>
              </w:numPr>
              <w:tabs>
                <w:tab w:pos="431" w:val="left" w:leader="none"/>
              </w:tabs>
              <w:spacing w:line="228" w:lineRule="exact" w:before="0" w:after="0"/>
              <w:ind w:left="431" w:right="60" w:hanging="360"/>
              <w:jc w:val="both"/>
              <w:rPr>
                <w:sz w:val="20"/>
              </w:rPr>
            </w:pPr>
            <w:r>
              <w:rPr>
                <w:sz w:val="20"/>
              </w:rPr>
              <w:t>Con aptitud limitada para ejercer actividades de su profesión u oficio.</w:t>
            </w:r>
          </w:p>
        </w:tc>
        <w:tc>
          <w:tcPr>
            <w:tcW w:w="3180" w:type="dxa"/>
          </w:tcPr>
          <w:p>
            <w:pPr>
              <w:pStyle w:val="TableParagraph"/>
              <w:spacing w:line="229" w:lineRule="exact"/>
              <w:ind w:left="11"/>
              <w:rPr>
                <w:sz w:val="20"/>
              </w:rPr>
            </w:pPr>
            <w:r>
              <w:rPr>
                <w:sz w:val="20"/>
              </w:rPr>
              <w:t>21</w:t>
            </w:r>
            <w:r>
              <w:rPr>
                <w:spacing w:val="-3"/>
                <w:sz w:val="20"/>
              </w:rPr>
              <w:t> </w:t>
            </w:r>
            <w:r>
              <w:rPr>
                <w:sz w:val="20"/>
              </w:rPr>
              <w:t>al</w:t>
            </w:r>
            <w:r>
              <w:rPr>
                <w:spacing w:val="-3"/>
                <w:sz w:val="20"/>
              </w:rPr>
              <w:t> </w:t>
            </w:r>
            <w:r>
              <w:rPr>
                <w:spacing w:val="-5"/>
                <w:sz w:val="20"/>
              </w:rPr>
              <w:t>40%</w:t>
            </w:r>
          </w:p>
        </w:tc>
      </w:tr>
      <w:tr>
        <w:trPr>
          <w:trHeight w:val="1610" w:hRule="atLeast"/>
        </w:trPr>
        <w:tc>
          <w:tcPr>
            <w:tcW w:w="1836" w:type="dxa"/>
          </w:tcPr>
          <w:p>
            <w:pPr>
              <w:pStyle w:val="TableParagraph"/>
              <w:spacing w:line="227" w:lineRule="exact"/>
              <w:ind w:left="11" w:right="3"/>
              <w:rPr>
                <w:rFonts w:ascii="Arial"/>
                <w:b/>
                <w:sz w:val="20"/>
              </w:rPr>
            </w:pPr>
            <w:r>
              <w:rPr>
                <w:rFonts w:ascii="Arial"/>
                <w:b/>
                <w:spacing w:val="-2"/>
                <w:sz w:val="20"/>
              </w:rPr>
              <w:t>Severo</w:t>
            </w:r>
          </w:p>
        </w:tc>
        <w:tc>
          <w:tcPr>
            <w:tcW w:w="4532" w:type="dxa"/>
          </w:tcPr>
          <w:p>
            <w:pPr>
              <w:pStyle w:val="TableParagraph"/>
              <w:numPr>
                <w:ilvl w:val="0"/>
                <w:numId w:val="176"/>
              </w:numPr>
              <w:tabs>
                <w:tab w:pos="430" w:val="left" w:leader="none"/>
              </w:tabs>
              <w:spacing w:line="229" w:lineRule="exact" w:before="0" w:after="0"/>
              <w:ind w:left="430" w:right="0" w:hanging="359"/>
              <w:jc w:val="both"/>
              <w:rPr>
                <w:sz w:val="20"/>
              </w:rPr>
            </w:pPr>
            <w:r>
              <w:rPr>
                <w:sz w:val="20"/>
              </w:rPr>
              <w:t>Presencia</w:t>
            </w:r>
            <w:r>
              <w:rPr>
                <w:spacing w:val="-7"/>
                <w:sz w:val="20"/>
              </w:rPr>
              <w:t> </w:t>
            </w:r>
            <w:r>
              <w:rPr>
                <w:sz w:val="20"/>
              </w:rPr>
              <w:t>de</w:t>
            </w:r>
            <w:r>
              <w:rPr>
                <w:spacing w:val="-5"/>
                <w:sz w:val="20"/>
              </w:rPr>
              <w:t> </w:t>
            </w:r>
            <w:r>
              <w:rPr>
                <w:sz w:val="20"/>
              </w:rPr>
              <w:t>disfonía</w:t>
            </w:r>
            <w:r>
              <w:rPr>
                <w:spacing w:val="-5"/>
                <w:sz w:val="20"/>
              </w:rPr>
              <w:t> </w:t>
            </w:r>
            <w:r>
              <w:rPr>
                <w:sz w:val="20"/>
              </w:rPr>
              <w:t>severa</w:t>
            </w:r>
            <w:r>
              <w:rPr>
                <w:spacing w:val="-7"/>
                <w:sz w:val="20"/>
              </w:rPr>
              <w:t> </w:t>
            </w:r>
            <w:r>
              <w:rPr>
                <w:sz w:val="20"/>
              </w:rPr>
              <w:t>o</w:t>
            </w:r>
            <w:r>
              <w:rPr>
                <w:spacing w:val="-8"/>
                <w:sz w:val="20"/>
              </w:rPr>
              <w:t> </w:t>
            </w:r>
            <w:r>
              <w:rPr>
                <w:spacing w:val="-2"/>
                <w:sz w:val="20"/>
              </w:rPr>
              <w:t>afonía;</w:t>
            </w:r>
          </w:p>
          <w:p>
            <w:pPr>
              <w:pStyle w:val="TableParagraph"/>
              <w:numPr>
                <w:ilvl w:val="0"/>
                <w:numId w:val="176"/>
              </w:numPr>
              <w:tabs>
                <w:tab w:pos="431" w:val="left" w:leader="none"/>
              </w:tabs>
              <w:spacing w:line="240" w:lineRule="auto" w:before="1" w:after="0"/>
              <w:ind w:left="431" w:right="59" w:hanging="360"/>
              <w:jc w:val="both"/>
              <w:rPr>
                <w:sz w:val="20"/>
              </w:rPr>
            </w:pPr>
            <w:r>
              <w:rPr>
                <w:sz w:val="20"/>
              </w:rPr>
              <w:t>Presencia de sintomatología severa con</w:t>
            </w:r>
            <w:r>
              <w:rPr>
                <w:spacing w:val="40"/>
                <w:sz w:val="20"/>
              </w:rPr>
              <w:t> </w:t>
            </w:r>
            <w:r>
              <w:rPr>
                <w:sz w:val="20"/>
              </w:rPr>
              <w:t>base a procedimientos clínicos de</w:t>
            </w:r>
            <w:r>
              <w:rPr>
                <w:spacing w:val="40"/>
                <w:sz w:val="20"/>
              </w:rPr>
              <w:t> </w:t>
            </w:r>
            <w:r>
              <w:rPr>
                <w:spacing w:val="-2"/>
                <w:sz w:val="20"/>
              </w:rPr>
              <w:t>evaluación;</w:t>
            </w:r>
          </w:p>
          <w:p>
            <w:pPr>
              <w:pStyle w:val="TableParagraph"/>
              <w:numPr>
                <w:ilvl w:val="0"/>
                <w:numId w:val="176"/>
              </w:numPr>
              <w:tabs>
                <w:tab w:pos="430" w:val="left" w:leader="none"/>
              </w:tabs>
              <w:spacing w:line="240" w:lineRule="auto" w:before="1" w:after="0"/>
              <w:ind w:left="430" w:right="0" w:hanging="359"/>
              <w:jc w:val="both"/>
              <w:rPr>
                <w:sz w:val="20"/>
              </w:rPr>
            </w:pPr>
            <w:r>
              <w:rPr>
                <w:sz w:val="20"/>
              </w:rPr>
              <w:t>No</w:t>
            </w:r>
            <w:r>
              <w:rPr>
                <w:spacing w:val="-7"/>
                <w:sz w:val="20"/>
              </w:rPr>
              <w:t> </w:t>
            </w:r>
            <w:r>
              <w:rPr>
                <w:sz w:val="20"/>
              </w:rPr>
              <w:t>puede</w:t>
            </w:r>
            <w:r>
              <w:rPr>
                <w:spacing w:val="-5"/>
                <w:sz w:val="20"/>
              </w:rPr>
              <w:t> </w:t>
            </w:r>
            <w:r>
              <w:rPr>
                <w:sz w:val="20"/>
              </w:rPr>
              <w:t>hacerse</w:t>
            </w:r>
            <w:r>
              <w:rPr>
                <w:spacing w:val="-4"/>
                <w:sz w:val="20"/>
              </w:rPr>
              <w:t> </w:t>
            </w:r>
            <w:r>
              <w:rPr>
                <w:sz w:val="20"/>
              </w:rPr>
              <w:t>oír</w:t>
            </w:r>
            <w:r>
              <w:rPr>
                <w:spacing w:val="-7"/>
                <w:sz w:val="20"/>
              </w:rPr>
              <w:t> </w:t>
            </w:r>
            <w:r>
              <w:rPr>
                <w:sz w:val="20"/>
              </w:rPr>
              <w:t>en</w:t>
            </w:r>
            <w:r>
              <w:rPr>
                <w:spacing w:val="-5"/>
                <w:sz w:val="20"/>
              </w:rPr>
              <w:t> </w:t>
            </w:r>
            <w:r>
              <w:rPr>
                <w:sz w:val="20"/>
              </w:rPr>
              <w:t>ambiente</w:t>
            </w:r>
            <w:r>
              <w:rPr>
                <w:spacing w:val="-7"/>
                <w:sz w:val="20"/>
              </w:rPr>
              <w:t> </w:t>
            </w:r>
            <w:r>
              <w:rPr>
                <w:sz w:val="20"/>
              </w:rPr>
              <w:t>silente,</w:t>
            </w:r>
            <w:r>
              <w:rPr>
                <w:spacing w:val="-3"/>
                <w:sz w:val="20"/>
              </w:rPr>
              <w:t> </w:t>
            </w:r>
            <w:r>
              <w:rPr>
                <w:spacing w:val="-10"/>
                <w:sz w:val="20"/>
              </w:rPr>
              <w:t>y</w:t>
            </w:r>
          </w:p>
          <w:p>
            <w:pPr>
              <w:pStyle w:val="TableParagraph"/>
              <w:numPr>
                <w:ilvl w:val="0"/>
                <w:numId w:val="176"/>
              </w:numPr>
              <w:tabs>
                <w:tab w:pos="431" w:val="left" w:leader="none"/>
              </w:tabs>
              <w:spacing w:line="228" w:lineRule="exact" w:before="0" w:after="0"/>
              <w:ind w:left="431" w:right="61" w:hanging="360"/>
              <w:jc w:val="both"/>
              <w:rPr>
                <w:sz w:val="20"/>
              </w:rPr>
            </w:pPr>
            <w:r>
              <w:rPr>
                <w:sz w:val="20"/>
              </w:rPr>
              <w:t>Sin aptitud para ejercer actividades de su profesión u oficio.</w:t>
            </w:r>
          </w:p>
        </w:tc>
        <w:tc>
          <w:tcPr>
            <w:tcW w:w="3180" w:type="dxa"/>
          </w:tcPr>
          <w:p>
            <w:pPr>
              <w:pStyle w:val="TableParagraph"/>
              <w:spacing w:line="229" w:lineRule="exact"/>
              <w:ind w:left="11"/>
              <w:rPr>
                <w:sz w:val="20"/>
              </w:rPr>
            </w:pPr>
            <w:r>
              <w:rPr>
                <w:sz w:val="20"/>
              </w:rPr>
              <w:t>41</w:t>
            </w:r>
            <w:r>
              <w:rPr>
                <w:spacing w:val="-3"/>
                <w:sz w:val="20"/>
              </w:rPr>
              <w:t> </w:t>
            </w:r>
            <w:r>
              <w:rPr>
                <w:sz w:val="20"/>
              </w:rPr>
              <w:t>al</w:t>
            </w:r>
            <w:r>
              <w:rPr>
                <w:spacing w:val="-3"/>
                <w:sz w:val="20"/>
              </w:rPr>
              <w:t> </w:t>
            </w:r>
            <w:r>
              <w:rPr>
                <w:spacing w:val="-5"/>
                <w:sz w:val="20"/>
              </w:rPr>
              <w:t>60%</w:t>
            </w:r>
          </w:p>
        </w:tc>
      </w:tr>
      <w:tr>
        <w:trPr>
          <w:trHeight w:val="921" w:hRule="atLeast"/>
        </w:trPr>
        <w:tc>
          <w:tcPr>
            <w:tcW w:w="9548" w:type="dxa"/>
            <w:gridSpan w:val="3"/>
          </w:tcPr>
          <w:p>
            <w:pPr>
              <w:pStyle w:val="TableParagraph"/>
              <w:spacing w:line="240" w:lineRule="auto"/>
              <w:jc w:val="left"/>
              <w:rPr>
                <w:sz w:val="20"/>
              </w:rPr>
            </w:pPr>
            <w:r>
              <w:rPr>
                <w:sz w:val="20"/>
              </w:rPr>
              <w:t>En</w:t>
            </w:r>
            <w:r>
              <w:rPr>
                <w:spacing w:val="40"/>
                <w:sz w:val="20"/>
              </w:rPr>
              <w:t> </w:t>
            </w:r>
            <w:r>
              <w:rPr>
                <w:sz w:val="20"/>
              </w:rPr>
              <w:t>personas</w:t>
            </w:r>
            <w:r>
              <w:rPr>
                <w:spacing w:val="40"/>
                <w:sz w:val="20"/>
              </w:rPr>
              <w:t> </w:t>
            </w:r>
            <w:r>
              <w:rPr>
                <w:sz w:val="20"/>
              </w:rPr>
              <w:t>trabajadoras</w:t>
            </w:r>
            <w:r>
              <w:rPr>
                <w:spacing w:val="40"/>
                <w:sz w:val="20"/>
              </w:rPr>
              <w:t> </w:t>
            </w:r>
            <w:r>
              <w:rPr>
                <w:sz w:val="20"/>
              </w:rPr>
              <w:t>cuya</w:t>
            </w:r>
            <w:r>
              <w:rPr>
                <w:spacing w:val="40"/>
                <w:sz w:val="20"/>
              </w:rPr>
              <w:t> </w:t>
            </w:r>
            <w:r>
              <w:rPr>
                <w:sz w:val="20"/>
              </w:rPr>
              <w:t>calidad</w:t>
            </w:r>
            <w:r>
              <w:rPr>
                <w:spacing w:val="40"/>
                <w:sz w:val="20"/>
              </w:rPr>
              <w:t> </w:t>
            </w:r>
            <w:r>
              <w:rPr>
                <w:sz w:val="20"/>
              </w:rPr>
              <w:t>de</w:t>
            </w:r>
            <w:r>
              <w:rPr>
                <w:spacing w:val="40"/>
                <w:sz w:val="20"/>
              </w:rPr>
              <w:t> </w:t>
            </w:r>
            <w:r>
              <w:rPr>
                <w:sz w:val="20"/>
              </w:rPr>
              <w:t>la</w:t>
            </w:r>
            <w:r>
              <w:rPr>
                <w:spacing w:val="40"/>
                <w:sz w:val="20"/>
              </w:rPr>
              <w:t> </w:t>
            </w:r>
            <w:r>
              <w:rPr>
                <w:sz w:val="20"/>
              </w:rPr>
              <w:t>voz</w:t>
            </w:r>
            <w:r>
              <w:rPr>
                <w:spacing w:val="40"/>
                <w:sz w:val="20"/>
              </w:rPr>
              <w:t> </w:t>
            </w:r>
            <w:r>
              <w:rPr>
                <w:sz w:val="20"/>
              </w:rPr>
              <w:t>sea</w:t>
            </w:r>
            <w:r>
              <w:rPr>
                <w:spacing w:val="40"/>
                <w:sz w:val="20"/>
              </w:rPr>
              <w:t> </w:t>
            </w:r>
            <w:r>
              <w:rPr>
                <w:sz w:val="20"/>
              </w:rPr>
              <w:t>indispensable</w:t>
            </w:r>
            <w:r>
              <w:rPr>
                <w:spacing w:val="40"/>
                <w:sz w:val="20"/>
              </w:rPr>
              <w:t> </w:t>
            </w:r>
            <w:r>
              <w:rPr>
                <w:sz w:val="20"/>
              </w:rPr>
              <w:t>para</w:t>
            </w:r>
            <w:r>
              <w:rPr>
                <w:spacing w:val="40"/>
                <w:sz w:val="20"/>
              </w:rPr>
              <w:t> </w:t>
            </w:r>
            <w:r>
              <w:rPr>
                <w:sz w:val="20"/>
              </w:rPr>
              <w:t>su</w:t>
            </w:r>
            <w:r>
              <w:rPr>
                <w:spacing w:val="40"/>
                <w:sz w:val="20"/>
              </w:rPr>
              <w:t> </w:t>
            </w:r>
            <w:r>
              <w:rPr>
                <w:sz w:val="20"/>
              </w:rPr>
              <w:t>desempeño</w:t>
            </w:r>
            <w:r>
              <w:rPr>
                <w:spacing w:val="40"/>
                <w:sz w:val="20"/>
              </w:rPr>
              <w:t> </w:t>
            </w:r>
            <w:r>
              <w:rPr>
                <w:sz w:val="20"/>
              </w:rPr>
              <w:t>laboral,</w:t>
            </w:r>
            <w:r>
              <w:rPr>
                <w:spacing w:val="40"/>
                <w:sz w:val="20"/>
              </w:rPr>
              <w:t> </w:t>
            </w:r>
            <w:r>
              <w:rPr>
                <w:sz w:val="20"/>
              </w:rPr>
              <w:t>la valuación no podrá ser menor del 41%.</w:t>
            </w:r>
          </w:p>
          <w:p>
            <w:pPr>
              <w:pStyle w:val="TableParagraph"/>
              <w:spacing w:line="213" w:lineRule="exact" w:before="228"/>
              <w:jc w:val="left"/>
              <w:rPr>
                <w:sz w:val="20"/>
              </w:rPr>
            </w:pPr>
            <w:r>
              <w:rPr>
                <w:rFonts w:ascii="Arial" w:hAnsi="Arial"/>
                <w:b/>
                <w:sz w:val="20"/>
              </w:rPr>
              <w:t>Nota:</w:t>
            </w:r>
            <w:r>
              <w:rPr>
                <w:rFonts w:ascii="Arial" w:hAnsi="Arial"/>
                <w:b/>
                <w:spacing w:val="-7"/>
                <w:sz w:val="20"/>
              </w:rPr>
              <w:t> </w:t>
            </w:r>
            <w:r>
              <w:rPr>
                <w:sz w:val="20"/>
              </w:rPr>
              <w:t>El</w:t>
            </w:r>
            <w:r>
              <w:rPr>
                <w:spacing w:val="-6"/>
                <w:sz w:val="20"/>
              </w:rPr>
              <w:t> </w:t>
            </w:r>
            <w:r>
              <w:rPr>
                <w:sz w:val="20"/>
              </w:rPr>
              <w:t>porcentaje</w:t>
            </w:r>
            <w:r>
              <w:rPr>
                <w:spacing w:val="-7"/>
                <w:sz w:val="20"/>
              </w:rPr>
              <w:t> </w:t>
            </w:r>
            <w:r>
              <w:rPr>
                <w:sz w:val="20"/>
              </w:rPr>
              <w:t>de</w:t>
            </w:r>
            <w:r>
              <w:rPr>
                <w:spacing w:val="-5"/>
                <w:sz w:val="20"/>
              </w:rPr>
              <w:t> </w:t>
            </w:r>
            <w:r>
              <w:rPr>
                <w:sz w:val="20"/>
              </w:rPr>
              <w:t>valuación</w:t>
            </w:r>
            <w:r>
              <w:rPr>
                <w:spacing w:val="-7"/>
                <w:sz w:val="20"/>
              </w:rPr>
              <w:t> </w:t>
            </w:r>
            <w:r>
              <w:rPr>
                <w:sz w:val="20"/>
              </w:rPr>
              <w:t>lo</w:t>
            </w:r>
            <w:r>
              <w:rPr>
                <w:spacing w:val="-5"/>
                <w:sz w:val="20"/>
              </w:rPr>
              <w:t> </w:t>
            </w:r>
            <w:r>
              <w:rPr>
                <w:sz w:val="20"/>
              </w:rPr>
              <w:t>determinará</w:t>
            </w:r>
            <w:r>
              <w:rPr>
                <w:spacing w:val="-7"/>
                <w:sz w:val="20"/>
              </w:rPr>
              <w:t> </w:t>
            </w:r>
            <w:r>
              <w:rPr>
                <w:sz w:val="20"/>
              </w:rPr>
              <w:t>el</w:t>
            </w:r>
            <w:r>
              <w:rPr>
                <w:spacing w:val="-8"/>
                <w:sz w:val="20"/>
              </w:rPr>
              <w:t> </w:t>
            </w:r>
            <w:r>
              <w:rPr>
                <w:sz w:val="20"/>
              </w:rPr>
              <w:t>criterio</w:t>
            </w:r>
            <w:r>
              <w:rPr>
                <w:spacing w:val="-8"/>
                <w:sz w:val="20"/>
              </w:rPr>
              <w:t> </w:t>
            </w:r>
            <w:r>
              <w:rPr>
                <w:sz w:val="20"/>
              </w:rPr>
              <w:t>con</w:t>
            </w:r>
            <w:r>
              <w:rPr>
                <w:spacing w:val="-6"/>
                <w:sz w:val="20"/>
              </w:rPr>
              <w:t> </w:t>
            </w:r>
            <w:r>
              <w:rPr>
                <w:sz w:val="20"/>
              </w:rPr>
              <w:t>la</w:t>
            </w:r>
            <w:r>
              <w:rPr>
                <w:spacing w:val="-7"/>
                <w:sz w:val="20"/>
              </w:rPr>
              <w:t> </w:t>
            </w:r>
            <w:r>
              <w:rPr>
                <w:sz w:val="20"/>
              </w:rPr>
              <w:t>categoría</w:t>
            </w:r>
            <w:r>
              <w:rPr>
                <w:spacing w:val="-8"/>
                <w:sz w:val="20"/>
              </w:rPr>
              <w:t> </w:t>
            </w:r>
            <w:r>
              <w:rPr>
                <w:sz w:val="20"/>
              </w:rPr>
              <w:t>más</w:t>
            </w:r>
            <w:r>
              <w:rPr>
                <w:spacing w:val="-6"/>
                <w:sz w:val="20"/>
              </w:rPr>
              <w:t> </w:t>
            </w:r>
            <w:r>
              <w:rPr>
                <w:sz w:val="20"/>
              </w:rPr>
              <w:t>alta</w:t>
            </w:r>
            <w:r>
              <w:rPr>
                <w:spacing w:val="-5"/>
                <w:sz w:val="20"/>
              </w:rPr>
              <w:t> </w:t>
            </w:r>
            <w:r>
              <w:rPr>
                <w:spacing w:val="-2"/>
                <w:sz w:val="20"/>
              </w:rPr>
              <w:t>encontrada.</w:t>
            </w:r>
          </w:p>
        </w:tc>
      </w:tr>
    </w:tbl>
    <w:p>
      <w:pPr>
        <w:pStyle w:val="BodyText"/>
        <w:spacing w:before="2"/>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8"/>
        <w:gridCol w:w="8481"/>
      </w:tblGrid>
      <w:tr>
        <w:trPr>
          <w:trHeight w:val="229" w:hRule="atLeast"/>
        </w:trPr>
        <w:tc>
          <w:tcPr>
            <w:tcW w:w="1068" w:type="dxa"/>
          </w:tcPr>
          <w:p>
            <w:pPr>
              <w:pStyle w:val="TableParagraph"/>
              <w:ind w:left="11"/>
              <w:rPr>
                <w:sz w:val="20"/>
              </w:rPr>
            </w:pPr>
            <w:r>
              <w:rPr>
                <w:spacing w:val="-5"/>
                <w:sz w:val="20"/>
              </w:rPr>
              <w:t>446</w:t>
            </w:r>
          </w:p>
        </w:tc>
        <w:tc>
          <w:tcPr>
            <w:tcW w:w="8481" w:type="dxa"/>
          </w:tcPr>
          <w:p>
            <w:pPr>
              <w:pStyle w:val="TableParagraph"/>
              <w:jc w:val="left"/>
              <w:rPr>
                <w:sz w:val="20"/>
              </w:rPr>
            </w:pPr>
            <w:r>
              <w:rPr>
                <w:sz w:val="20"/>
              </w:rPr>
              <w:t>Los</w:t>
            </w:r>
            <w:r>
              <w:rPr>
                <w:spacing w:val="-6"/>
                <w:sz w:val="20"/>
              </w:rPr>
              <w:t> </w:t>
            </w:r>
            <w:r>
              <w:rPr>
                <w:sz w:val="20"/>
              </w:rPr>
              <w:t>trastornos</w:t>
            </w:r>
            <w:r>
              <w:rPr>
                <w:spacing w:val="-4"/>
                <w:sz w:val="20"/>
              </w:rPr>
              <w:t> </w:t>
            </w:r>
            <w:r>
              <w:rPr>
                <w:sz w:val="20"/>
              </w:rPr>
              <w:t>de</w:t>
            </w:r>
            <w:r>
              <w:rPr>
                <w:spacing w:val="-6"/>
                <w:sz w:val="20"/>
              </w:rPr>
              <w:t> </w:t>
            </w:r>
            <w:r>
              <w:rPr>
                <w:sz w:val="20"/>
              </w:rPr>
              <w:t>la</w:t>
            </w:r>
            <w:r>
              <w:rPr>
                <w:spacing w:val="-7"/>
                <w:sz w:val="20"/>
              </w:rPr>
              <w:t> </w:t>
            </w:r>
            <w:r>
              <w:rPr>
                <w:sz w:val="20"/>
              </w:rPr>
              <w:t>deglución</w:t>
            </w:r>
            <w:r>
              <w:rPr>
                <w:spacing w:val="-7"/>
                <w:sz w:val="20"/>
              </w:rPr>
              <w:t> </w:t>
            </w:r>
            <w:r>
              <w:rPr>
                <w:sz w:val="20"/>
              </w:rPr>
              <w:t>se</w:t>
            </w:r>
            <w:r>
              <w:rPr>
                <w:spacing w:val="-5"/>
                <w:sz w:val="20"/>
              </w:rPr>
              <w:t> </w:t>
            </w:r>
            <w:r>
              <w:rPr>
                <w:sz w:val="20"/>
              </w:rPr>
              <w:t>valuarán</w:t>
            </w:r>
            <w:r>
              <w:rPr>
                <w:spacing w:val="-7"/>
                <w:sz w:val="20"/>
              </w:rPr>
              <w:t> </w:t>
            </w:r>
            <w:r>
              <w:rPr>
                <w:sz w:val="20"/>
              </w:rPr>
              <w:t>siguiendo</w:t>
            </w:r>
            <w:r>
              <w:rPr>
                <w:spacing w:val="-7"/>
                <w:sz w:val="20"/>
              </w:rPr>
              <w:t> </w:t>
            </w:r>
            <w:r>
              <w:rPr>
                <w:sz w:val="20"/>
              </w:rPr>
              <w:t>las</w:t>
            </w:r>
            <w:r>
              <w:rPr>
                <w:spacing w:val="-5"/>
                <w:sz w:val="20"/>
              </w:rPr>
              <w:t> </w:t>
            </w:r>
            <w:r>
              <w:rPr>
                <w:sz w:val="20"/>
              </w:rPr>
              <w:t>normas</w:t>
            </w:r>
            <w:r>
              <w:rPr>
                <w:spacing w:val="-6"/>
                <w:sz w:val="20"/>
              </w:rPr>
              <w:t> </w:t>
            </w:r>
            <w:r>
              <w:rPr>
                <w:sz w:val="20"/>
              </w:rPr>
              <w:t>de</w:t>
            </w:r>
            <w:r>
              <w:rPr>
                <w:spacing w:val="-8"/>
                <w:sz w:val="20"/>
              </w:rPr>
              <w:t> </w:t>
            </w:r>
            <w:r>
              <w:rPr>
                <w:sz w:val="20"/>
              </w:rPr>
              <w:t>la</w:t>
            </w:r>
            <w:r>
              <w:rPr>
                <w:spacing w:val="-6"/>
                <w:sz w:val="20"/>
              </w:rPr>
              <w:t> </w:t>
            </w:r>
            <w:r>
              <w:rPr>
                <w:sz w:val="20"/>
              </w:rPr>
              <w:t>Tabla</w:t>
            </w:r>
            <w:r>
              <w:rPr>
                <w:spacing w:val="-5"/>
                <w:sz w:val="20"/>
              </w:rPr>
              <w:t> V.</w:t>
            </w:r>
          </w:p>
        </w:tc>
      </w:tr>
    </w:tbl>
    <w:p>
      <w:pPr>
        <w:spacing w:before="228"/>
        <w:ind w:left="296" w:right="296" w:firstLine="0"/>
        <w:jc w:val="center"/>
        <w:rPr>
          <w:rFonts w:ascii="Arial" w:hAnsi="Arial"/>
          <w:b/>
          <w:sz w:val="20"/>
        </w:rPr>
      </w:pPr>
      <w:r>
        <w:rPr>
          <w:rFonts w:ascii="Arial" w:hAnsi="Arial"/>
          <w:b/>
          <w:sz w:val="20"/>
        </w:rPr>
        <w:t>Trastornos</w:t>
      </w:r>
      <w:r>
        <w:rPr>
          <w:rFonts w:ascii="Arial" w:hAnsi="Arial"/>
          <w:b/>
          <w:spacing w:val="-9"/>
          <w:sz w:val="20"/>
        </w:rPr>
        <w:t> </w:t>
      </w:r>
      <w:r>
        <w:rPr>
          <w:rFonts w:ascii="Arial" w:hAnsi="Arial"/>
          <w:b/>
          <w:sz w:val="20"/>
        </w:rPr>
        <w:t>de</w:t>
      </w:r>
      <w:r>
        <w:rPr>
          <w:rFonts w:ascii="Arial" w:hAnsi="Arial"/>
          <w:b/>
          <w:spacing w:val="-9"/>
          <w:sz w:val="20"/>
        </w:rPr>
        <w:t> </w:t>
      </w:r>
      <w:r>
        <w:rPr>
          <w:rFonts w:ascii="Arial" w:hAnsi="Arial"/>
          <w:b/>
          <w:spacing w:val="-2"/>
          <w:sz w:val="20"/>
        </w:rPr>
        <w:t>deglución</w:t>
      </w:r>
    </w:p>
    <w:p>
      <w:pPr>
        <w:pStyle w:val="BodyText"/>
        <w:spacing w:before="4"/>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36"/>
        <w:gridCol w:w="5675"/>
        <w:gridCol w:w="2039"/>
      </w:tblGrid>
      <w:tr>
        <w:trPr>
          <w:trHeight w:val="690" w:hRule="atLeast"/>
        </w:trPr>
        <w:tc>
          <w:tcPr>
            <w:tcW w:w="9550" w:type="dxa"/>
            <w:gridSpan w:val="3"/>
            <w:shd w:val="clear" w:color="auto" w:fill="C0C0C0"/>
          </w:tcPr>
          <w:p>
            <w:pPr>
              <w:pStyle w:val="TableParagraph"/>
              <w:spacing w:line="227" w:lineRule="exact"/>
              <w:ind w:left="13"/>
              <w:rPr>
                <w:rFonts w:ascii="Arial"/>
                <w:b/>
                <w:sz w:val="20"/>
              </w:rPr>
            </w:pPr>
            <w:r>
              <w:rPr>
                <w:rFonts w:ascii="Arial"/>
                <w:b/>
                <w:sz w:val="20"/>
              </w:rPr>
              <w:t>Tabla</w:t>
            </w:r>
            <w:r>
              <w:rPr>
                <w:rFonts w:ascii="Arial"/>
                <w:b/>
                <w:spacing w:val="-8"/>
                <w:sz w:val="20"/>
              </w:rPr>
              <w:t> </w:t>
            </w:r>
            <w:r>
              <w:rPr>
                <w:rFonts w:ascii="Arial"/>
                <w:b/>
                <w:spacing w:val="-10"/>
                <w:sz w:val="20"/>
              </w:rPr>
              <w:t>V</w:t>
            </w:r>
          </w:p>
          <w:p>
            <w:pPr>
              <w:pStyle w:val="TableParagraph"/>
              <w:spacing w:line="240" w:lineRule="auto"/>
              <w:ind w:left="0"/>
              <w:jc w:val="left"/>
              <w:rPr>
                <w:rFonts w:ascii="Arial"/>
                <w:b/>
                <w:sz w:val="20"/>
              </w:rPr>
            </w:pPr>
          </w:p>
          <w:p>
            <w:pPr>
              <w:pStyle w:val="TableParagraph"/>
              <w:spacing w:line="213" w:lineRule="exact" w:before="1"/>
              <w:ind w:left="13" w:right="6"/>
              <w:rPr>
                <w:rFonts w:ascii="Arial" w:hAnsi="Arial"/>
                <w:b/>
                <w:sz w:val="20"/>
              </w:rPr>
            </w:pPr>
            <w:r>
              <w:rPr>
                <w:rFonts w:ascii="Arial" w:hAnsi="Arial"/>
                <w:b/>
                <w:sz w:val="20"/>
              </w:rPr>
              <w:t>Trastornos</w:t>
            </w:r>
            <w:r>
              <w:rPr>
                <w:rFonts w:ascii="Arial" w:hAnsi="Arial"/>
                <w:b/>
                <w:spacing w:val="-8"/>
                <w:sz w:val="20"/>
              </w:rPr>
              <w:t> </w:t>
            </w: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pacing w:val="-2"/>
                <w:sz w:val="20"/>
              </w:rPr>
              <w:t>deglución</w:t>
            </w:r>
          </w:p>
        </w:tc>
      </w:tr>
      <w:tr>
        <w:trPr>
          <w:trHeight w:val="229" w:hRule="atLeast"/>
        </w:trPr>
        <w:tc>
          <w:tcPr>
            <w:tcW w:w="1836" w:type="dxa"/>
            <w:shd w:val="clear" w:color="auto" w:fill="C0C0C0"/>
          </w:tcPr>
          <w:p>
            <w:pPr>
              <w:pStyle w:val="TableParagraph"/>
              <w:ind w:left="11" w:right="2"/>
              <w:rPr>
                <w:rFonts w:ascii="Arial" w:hAnsi="Arial"/>
                <w:b/>
                <w:sz w:val="20"/>
              </w:rPr>
            </w:pPr>
            <w:r>
              <w:rPr>
                <w:rFonts w:ascii="Arial" w:hAnsi="Arial"/>
                <w:b/>
                <w:spacing w:val="-2"/>
                <w:sz w:val="20"/>
              </w:rPr>
              <w:t>Categoría</w:t>
            </w:r>
          </w:p>
        </w:tc>
        <w:tc>
          <w:tcPr>
            <w:tcW w:w="5675" w:type="dxa"/>
            <w:shd w:val="clear" w:color="auto" w:fill="C0C0C0"/>
          </w:tcPr>
          <w:p>
            <w:pPr>
              <w:pStyle w:val="TableParagraph"/>
              <w:ind w:left="11"/>
              <w:rPr>
                <w:rFonts w:ascii="Arial" w:hAnsi="Arial"/>
                <w:b/>
                <w:sz w:val="20"/>
              </w:rPr>
            </w:pPr>
            <w:r>
              <w:rPr>
                <w:rFonts w:ascii="Arial" w:hAnsi="Arial"/>
                <w:b/>
                <w:spacing w:val="-2"/>
                <w:sz w:val="20"/>
              </w:rPr>
              <w:t>Características</w:t>
            </w:r>
          </w:p>
        </w:tc>
        <w:tc>
          <w:tcPr>
            <w:tcW w:w="2039" w:type="dxa"/>
            <w:shd w:val="clear" w:color="auto" w:fill="C0C0C0"/>
          </w:tcPr>
          <w:p>
            <w:pPr>
              <w:pStyle w:val="TableParagraph"/>
              <w:ind w:left="12"/>
              <w:rPr>
                <w:rFonts w:ascii="Arial" w:hAnsi="Arial"/>
                <w:b/>
                <w:sz w:val="20"/>
              </w:rPr>
            </w:pPr>
            <w:r>
              <w:rPr>
                <w:rFonts w:ascii="Arial" w:hAnsi="Arial"/>
                <w:b/>
                <w:spacing w:val="-2"/>
                <w:sz w:val="20"/>
              </w:rPr>
              <w:t>Valuación</w:t>
            </w:r>
          </w:p>
        </w:tc>
      </w:tr>
      <w:tr>
        <w:trPr>
          <w:trHeight w:val="1379" w:hRule="atLeast"/>
        </w:trPr>
        <w:tc>
          <w:tcPr>
            <w:tcW w:w="1836" w:type="dxa"/>
          </w:tcPr>
          <w:p>
            <w:pPr>
              <w:pStyle w:val="TableParagraph"/>
              <w:spacing w:line="227" w:lineRule="exact"/>
              <w:ind w:left="11"/>
              <w:rPr>
                <w:rFonts w:ascii="Arial"/>
                <w:b/>
                <w:sz w:val="20"/>
              </w:rPr>
            </w:pPr>
            <w:r>
              <w:rPr>
                <w:rFonts w:ascii="Arial"/>
                <w:b/>
                <w:spacing w:val="-4"/>
                <w:sz w:val="20"/>
              </w:rPr>
              <w:t>Leve</w:t>
            </w:r>
          </w:p>
        </w:tc>
        <w:tc>
          <w:tcPr>
            <w:tcW w:w="5675" w:type="dxa"/>
          </w:tcPr>
          <w:p>
            <w:pPr>
              <w:pStyle w:val="TableParagraph"/>
              <w:numPr>
                <w:ilvl w:val="0"/>
                <w:numId w:val="177"/>
              </w:numPr>
              <w:tabs>
                <w:tab w:pos="431" w:val="left" w:leader="none"/>
              </w:tabs>
              <w:spacing w:line="240" w:lineRule="auto" w:before="0" w:after="0"/>
              <w:ind w:left="431" w:right="63" w:hanging="360"/>
              <w:jc w:val="both"/>
              <w:rPr>
                <w:sz w:val="20"/>
              </w:rPr>
            </w:pPr>
            <w:r>
              <w:rPr>
                <w:sz w:val="20"/>
              </w:rPr>
              <w:t>Presencia de sintomatología leve, con tos ocasional cuando se alimenta;</w:t>
            </w:r>
          </w:p>
          <w:p>
            <w:pPr>
              <w:pStyle w:val="TableParagraph"/>
              <w:numPr>
                <w:ilvl w:val="0"/>
                <w:numId w:val="177"/>
              </w:numPr>
              <w:tabs>
                <w:tab w:pos="430" w:val="left" w:leader="none"/>
              </w:tabs>
              <w:spacing w:line="228" w:lineRule="exact" w:before="0" w:after="0"/>
              <w:ind w:left="430" w:right="0" w:hanging="359"/>
              <w:jc w:val="both"/>
              <w:rPr>
                <w:sz w:val="20"/>
              </w:rPr>
            </w:pPr>
            <w:r>
              <w:rPr>
                <w:sz w:val="20"/>
              </w:rPr>
              <w:t>Sensación</w:t>
            </w:r>
            <w:r>
              <w:rPr>
                <w:spacing w:val="-8"/>
                <w:sz w:val="20"/>
              </w:rPr>
              <w:t> </w:t>
            </w:r>
            <w:r>
              <w:rPr>
                <w:sz w:val="20"/>
              </w:rPr>
              <w:t>de</w:t>
            </w:r>
            <w:r>
              <w:rPr>
                <w:spacing w:val="-7"/>
                <w:sz w:val="20"/>
              </w:rPr>
              <w:t> </w:t>
            </w:r>
            <w:r>
              <w:rPr>
                <w:spacing w:val="-2"/>
                <w:sz w:val="20"/>
              </w:rPr>
              <w:t>atragantamiento;</w:t>
            </w:r>
          </w:p>
          <w:p>
            <w:pPr>
              <w:pStyle w:val="TableParagraph"/>
              <w:numPr>
                <w:ilvl w:val="0"/>
                <w:numId w:val="177"/>
              </w:numPr>
              <w:tabs>
                <w:tab w:pos="431" w:val="left" w:leader="none"/>
              </w:tabs>
              <w:spacing w:line="230" w:lineRule="atLeast" w:before="0" w:after="0"/>
              <w:ind w:left="431" w:right="59" w:hanging="360"/>
              <w:jc w:val="both"/>
              <w:rPr>
                <w:sz w:val="20"/>
              </w:rPr>
            </w:pPr>
            <w:r>
              <w:rPr>
                <w:sz w:val="20"/>
              </w:rPr>
              <w:t>Puede comer la mayoría de los alimentos sólidos, semisólidos, semilíquidos, líquidos y de consistencia </w:t>
            </w:r>
            <w:r>
              <w:rPr>
                <w:spacing w:val="-2"/>
                <w:sz w:val="20"/>
              </w:rPr>
              <w:t>mixta;</w:t>
            </w:r>
          </w:p>
        </w:tc>
        <w:tc>
          <w:tcPr>
            <w:tcW w:w="2039" w:type="dxa"/>
          </w:tcPr>
          <w:p>
            <w:pPr>
              <w:pStyle w:val="TableParagraph"/>
              <w:spacing w:line="229" w:lineRule="exact"/>
              <w:ind w:left="12" w:right="2"/>
              <w:rPr>
                <w:sz w:val="20"/>
              </w:rPr>
            </w:pPr>
            <w:r>
              <w:rPr>
                <w:sz w:val="20"/>
              </w:rPr>
              <w:t>20</w:t>
            </w:r>
            <w:r>
              <w:rPr>
                <w:spacing w:val="-3"/>
                <w:sz w:val="20"/>
              </w:rPr>
              <w:t> </w:t>
            </w:r>
            <w:r>
              <w:rPr>
                <w:sz w:val="20"/>
              </w:rPr>
              <w:t>al</w:t>
            </w:r>
            <w:r>
              <w:rPr>
                <w:spacing w:val="-3"/>
                <w:sz w:val="20"/>
              </w:rPr>
              <w:t> </w:t>
            </w:r>
            <w:r>
              <w:rPr>
                <w:spacing w:val="-5"/>
                <w:sz w:val="20"/>
              </w:rPr>
              <w:t>27%</w:t>
            </w:r>
          </w:p>
        </w:tc>
      </w:tr>
    </w:tbl>
    <w:p>
      <w:pPr>
        <w:pStyle w:val="TableParagraph"/>
        <w:spacing w:after="0" w:line="229" w:lineRule="exact"/>
        <w:rPr>
          <w:sz w:val="20"/>
        </w:rPr>
        <w:sectPr>
          <w:pgSz w:w="12240" w:h="15840"/>
          <w:pgMar w:header="724" w:footer="712" w:top="1880" w:bottom="900" w:left="1080" w:right="1080"/>
        </w:sectPr>
      </w:pPr>
    </w:p>
    <w:p>
      <w:pPr>
        <w:pStyle w:val="BodyText"/>
        <w:spacing w:before="68"/>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36"/>
        <w:gridCol w:w="5675"/>
        <w:gridCol w:w="2039"/>
      </w:tblGrid>
      <w:tr>
        <w:trPr>
          <w:trHeight w:val="918" w:hRule="atLeast"/>
        </w:trPr>
        <w:tc>
          <w:tcPr>
            <w:tcW w:w="1836" w:type="dxa"/>
          </w:tcPr>
          <w:p>
            <w:pPr>
              <w:pStyle w:val="TableParagraph"/>
              <w:spacing w:line="240" w:lineRule="auto"/>
              <w:ind w:left="0"/>
              <w:jc w:val="left"/>
              <w:rPr>
                <w:rFonts w:ascii="Times New Roman"/>
                <w:sz w:val="18"/>
              </w:rPr>
            </w:pPr>
          </w:p>
        </w:tc>
        <w:tc>
          <w:tcPr>
            <w:tcW w:w="5675" w:type="dxa"/>
          </w:tcPr>
          <w:p>
            <w:pPr>
              <w:pStyle w:val="TableParagraph"/>
              <w:numPr>
                <w:ilvl w:val="0"/>
                <w:numId w:val="178"/>
              </w:numPr>
              <w:tabs>
                <w:tab w:pos="431" w:val="left" w:leader="none"/>
              </w:tabs>
              <w:spacing w:line="229" w:lineRule="exact" w:before="0" w:after="0"/>
              <w:ind w:left="431" w:right="0" w:hanging="360"/>
              <w:jc w:val="left"/>
              <w:rPr>
                <w:sz w:val="20"/>
              </w:rPr>
            </w:pPr>
            <w:r>
              <w:rPr>
                <w:sz w:val="20"/>
              </w:rPr>
              <w:t>Los</w:t>
            </w:r>
            <w:r>
              <w:rPr>
                <w:spacing w:val="-6"/>
                <w:sz w:val="20"/>
              </w:rPr>
              <w:t> </w:t>
            </w:r>
            <w:r>
              <w:rPr>
                <w:sz w:val="20"/>
              </w:rPr>
              <w:t>tiempos</w:t>
            </w:r>
            <w:r>
              <w:rPr>
                <w:spacing w:val="-6"/>
                <w:sz w:val="20"/>
              </w:rPr>
              <w:t> </w:t>
            </w:r>
            <w:r>
              <w:rPr>
                <w:sz w:val="20"/>
              </w:rPr>
              <w:t>de</w:t>
            </w:r>
            <w:r>
              <w:rPr>
                <w:spacing w:val="-7"/>
                <w:sz w:val="20"/>
              </w:rPr>
              <w:t> </w:t>
            </w:r>
            <w:r>
              <w:rPr>
                <w:sz w:val="20"/>
              </w:rPr>
              <w:t>comidas</w:t>
            </w:r>
            <w:r>
              <w:rPr>
                <w:spacing w:val="-6"/>
                <w:sz w:val="20"/>
              </w:rPr>
              <w:t> </w:t>
            </w:r>
            <w:r>
              <w:rPr>
                <w:sz w:val="20"/>
              </w:rPr>
              <w:t>son</w:t>
            </w:r>
            <w:r>
              <w:rPr>
                <w:spacing w:val="-8"/>
                <w:sz w:val="20"/>
              </w:rPr>
              <w:t> </w:t>
            </w:r>
            <w:r>
              <w:rPr>
                <w:spacing w:val="-2"/>
                <w:sz w:val="20"/>
              </w:rPr>
              <w:t>prolongados;</w:t>
            </w:r>
          </w:p>
          <w:p>
            <w:pPr>
              <w:pStyle w:val="TableParagraph"/>
              <w:numPr>
                <w:ilvl w:val="0"/>
                <w:numId w:val="178"/>
              </w:numPr>
              <w:tabs>
                <w:tab w:pos="431" w:val="left" w:leader="none"/>
              </w:tabs>
              <w:spacing w:line="229" w:lineRule="exact" w:before="0" w:after="0"/>
              <w:ind w:left="431" w:right="0" w:hanging="360"/>
              <w:jc w:val="left"/>
              <w:rPr>
                <w:sz w:val="20"/>
              </w:rPr>
            </w:pPr>
            <w:r>
              <w:rPr>
                <w:sz w:val="20"/>
              </w:rPr>
              <w:t>Necesita</w:t>
            </w:r>
            <w:r>
              <w:rPr>
                <w:spacing w:val="-6"/>
                <w:sz w:val="20"/>
              </w:rPr>
              <w:t> </w:t>
            </w:r>
            <w:r>
              <w:rPr>
                <w:sz w:val="20"/>
              </w:rPr>
              <w:t>tragar</w:t>
            </w:r>
            <w:r>
              <w:rPr>
                <w:spacing w:val="-5"/>
                <w:sz w:val="20"/>
              </w:rPr>
              <w:t> </w:t>
            </w:r>
            <w:r>
              <w:rPr>
                <w:sz w:val="20"/>
              </w:rPr>
              <w:t>varias</w:t>
            </w:r>
            <w:r>
              <w:rPr>
                <w:spacing w:val="-7"/>
                <w:sz w:val="20"/>
              </w:rPr>
              <w:t> </w:t>
            </w:r>
            <w:r>
              <w:rPr>
                <w:sz w:val="20"/>
              </w:rPr>
              <w:t>veces</w:t>
            </w:r>
            <w:r>
              <w:rPr>
                <w:spacing w:val="-6"/>
                <w:sz w:val="20"/>
              </w:rPr>
              <w:t> </w:t>
            </w:r>
            <w:r>
              <w:rPr>
                <w:sz w:val="20"/>
              </w:rPr>
              <w:t>para</w:t>
            </w:r>
            <w:r>
              <w:rPr>
                <w:spacing w:val="-8"/>
                <w:sz w:val="20"/>
              </w:rPr>
              <w:t> </w:t>
            </w:r>
            <w:r>
              <w:rPr>
                <w:sz w:val="20"/>
              </w:rPr>
              <w:t>pasar</w:t>
            </w:r>
            <w:r>
              <w:rPr>
                <w:spacing w:val="-4"/>
                <w:sz w:val="20"/>
              </w:rPr>
              <w:t> </w:t>
            </w:r>
            <w:r>
              <w:rPr>
                <w:sz w:val="20"/>
              </w:rPr>
              <w:t>el</w:t>
            </w:r>
            <w:r>
              <w:rPr>
                <w:spacing w:val="-7"/>
                <w:sz w:val="20"/>
              </w:rPr>
              <w:t> </w:t>
            </w:r>
            <w:r>
              <w:rPr>
                <w:sz w:val="20"/>
              </w:rPr>
              <w:t>alimento,</w:t>
            </w:r>
            <w:r>
              <w:rPr>
                <w:spacing w:val="-6"/>
                <w:sz w:val="20"/>
              </w:rPr>
              <w:t> </w:t>
            </w:r>
            <w:r>
              <w:rPr>
                <w:spacing w:val="-10"/>
                <w:sz w:val="20"/>
              </w:rPr>
              <w:t>y</w:t>
            </w:r>
          </w:p>
          <w:p>
            <w:pPr>
              <w:pStyle w:val="TableParagraph"/>
              <w:numPr>
                <w:ilvl w:val="0"/>
                <w:numId w:val="178"/>
              </w:numPr>
              <w:tabs>
                <w:tab w:pos="431" w:val="left" w:leader="none"/>
              </w:tabs>
              <w:spacing w:line="230" w:lineRule="exact" w:before="0" w:after="0"/>
              <w:ind w:left="431" w:right="61" w:hanging="360"/>
              <w:jc w:val="left"/>
              <w:rPr>
                <w:sz w:val="20"/>
              </w:rPr>
            </w:pPr>
            <w:r>
              <w:rPr>
                <w:sz w:val="20"/>
              </w:rPr>
              <w:t>Con</w:t>
            </w:r>
            <w:r>
              <w:rPr>
                <w:spacing w:val="40"/>
                <w:sz w:val="20"/>
              </w:rPr>
              <w:t> </w:t>
            </w:r>
            <w:r>
              <w:rPr>
                <w:sz w:val="20"/>
              </w:rPr>
              <w:t>aptitud</w:t>
            </w:r>
            <w:r>
              <w:rPr>
                <w:spacing w:val="40"/>
                <w:sz w:val="20"/>
              </w:rPr>
              <w:t> </w:t>
            </w:r>
            <w:r>
              <w:rPr>
                <w:sz w:val="20"/>
              </w:rPr>
              <w:t>para</w:t>
            </w:r>
            <w:r>
              <w:rPr>
                <w:spacing w:val="40"/>
                <w:sz w:val="20"/>
              </w:rPr>
              <w:t> </w:t>
            </w:r>
            <w:r>
              <w:rPr>
                <w:sz w:val="20"/>
              </w:rPr>
              <w:t>ejercer</w:t>
            </w:r>
            <w:r>
              <w:rPr>
                <w:spacing w:val="40"/>
                <w:sz w:val="20"/>
              </w:rPr>
              <w:t> </w:t>
            </w:r>
            <w:r>
              <w:rPr>
                <w:sz w:val="20"/>
              </w:rPr>
              <w:t>actividades</w:t>
            </w:r>
            <w:r>
              <w:rPr>
                <w:spacing w:val="40"/>
                <w:sz w:val="20"/>
              </w:rPr>
              <w:t> </w:t>
            </w:r>
            <w:r>
              <w:rPr>
                <w:sz w:val="20"/>
              </w:rPr>
              <w:t>de</w:t>
            </w:r>
            <w:r>
              <w:rPr>
                <w:spacing w:val="40"/>
                <w:sz w:val="20"/>
              </w:rPr>
              <w:t> </w:t>
            </w:r>
            <w:r>
              <w:rPr>
                <w:sz w:val="20"/>
              </w:rPr>
              <w:t>su</w:t>
            </w:r>
            <w:r>
              <w:rPr>
                <w:spacing w:val="40"/>
                <w:sz w:val="20"/>
              </w:rPr>
              <w:t> </w:t>
            </w:r>
            <w:r>
              <w:rPr>
                <w:sz w:val="20"/>
              </w:rPr>
              <w:t>profesión</w:t>
            </w:r>
            <w:r>
              <w:rPr>
                <w:spacing w:val="40"/>
                <w:sz w:val="20"/>
              </w:rPr>
              <w:t> </w:t>
            </w:r>
            <w:r>
              <w:rPr>
                <w:sz w:val="20"/>
              </w:rPr>
              <w:t>u </w:t>
            </w:r>
            <w:r>
              <w:rPr>
                <w:spacing w:val="-2"/>
                <w:sz w:val="20"/>
              </w:rPr>
              <w:t>oficio.</w:t>
            </w:r>
          </w:p>
        </w:tc>
        <w:tc>
          <w:tcPr>
            <w:tcW w:w="2039" w:type="dxa"/>
          </w:tcPr>
          <w:p>
            <w:pPr>
              <w:pStyle w:val="TableParagraph"/>
              <w:spacing w:line="240" w:lineRule="auto"/>
              <w:ind w:left="0"/>
              <w:jc w:val="left"/>
              <w:rPr>
                <w:rFonts w:ascii="Times New Roman"/>
                <w:sz w:val="18"/>
              </w:rPr>
            </w:pPr>
          </w:p>
        </w:tc>
      </w:tr>
      <w:tr>
        <w:trPr>
          <w:trHeight w:val="2301" w:hRule="atLeast"/>
        </w:trPr>
        <w:tc>
          <w:tcPr>
            <w:tcW w:w="1836" w:type="dxa"/>
          </w:tcPr>
          <w:p>
            <w:pPr>
              <w:pStyle w:val="TableParagraph"/>
              <w:spacing w:line="227" w:lineRule="exact"/>
              <w:ind w:left="11" w:right="1"/>
              <w:rPr>
                <w:rFonts w:ascii="Arial"/>
                <w:b/>
                <w:sz w:val="20"/>
              </w:rPr>
            </w:pPr>
            <w:r>
              <w:rPr>
                <w:rFonts w:ascii="Arial"/>
                <w:b/>
                <w:spacing w:val="-2"/>
                <w:sz w:val="20"/>
              </w:rPr>
              <w:t>Moderado</w:t>
            </w:r>
          </w:p>
        </w:tc>
        <w:tc>
          <w:tcPr>
            <w:tcW w:w="5675" w:type="dxa"/>
          </w:tcPr>
          <w:p>
            <w:pPr>
              <w:pStyle w:val="TableParagraph"/>
              <w:numPr>
                <w:ilvl w:val="0"/>
                <w:numId w:val="179"/>
              </w:numPr>
              <w:tabs>
                <w:tab w:pos="431" w:val="left" w:leader="none"/>
              </w:tabs>
              <w:spacing w:line="240" w:lineRule="auto" w:before="0" w:after="0"/>
              <w:ind w:left="431" w:right="62" w:hanging="360"/>
              <w:jc w:val="both"/>
              <w:rPr>
                <w:sz w:val="20"/>
              </w:rPr>
            </w:pPr>
            <w:r>
              <w:rPr>
                <w:sz w:val="20"/>
              </w:rPr>
              <w:t>Presencia</w:t>
            </w:r>
            <w:r>
              <w:rPr>
                <w:spacing w:val="-1"/>
                <w:sz w:val="20"/>
              </w:rPr>
              <w:t> </w:t>
            </w:r>
            <w:r>
              <w:rPr>
                <w:sz w:val="20"/>
              </w:rPr>
              <w:t>de sintomatología</w:t>
            </w:r>
            <w:r>
              <w:rPr>
                <w:spacing w:val="-1"/>
                <w:sz w:val="20"/>
              </w:rPr>
              <w:t> </w:t>
            </w:r>
            <w:r>
              <w:rPr>
                <w:sz w:val="20"/>
              </w:rPr>
              <w:t>moderada,</w:t>
            </w:r>
            <w:r>
              <w:rPr>
                <w:spacing w:val="-2"/>
                <w:sz w:val="20"/>
              </w:rPr>
              <w:t> </w:t>
            </w:r>
            <w:r>
              <w:rPr>
                <w:sz w:val="20"/>
              </w:rPr>
              <w:t>tos frecuente con la</w:t>
            </w:r>
            <w:r>
              <w:rPr>
                <w:spacing w:val="-6"/>
                <w:sz w:val="20"/>
              </w:rPr>
              <w:t> </w:t>
            </w:r>
            <w:r>
              <w:rPr>
                <w:sz w:val="20"/>
              </w:rPr>
              <w:t>ingesta</w:t>
            </w:r>
            <w:r>
              <w:rPr>
                <w:spacing w:val="-6"/>
                <w:sz w:val="20"/>
              </w:rPr>
              <w:t> </w:t>
            </w:r>
            <w:r>
              <w:rPr>
                <w:sz w:val="20"/>
              </w:rPr>
              <w:t>de</w:t>
            </w:r>
            <w:r>
              <w:rPr>
                <w:spacing w:val="-7"/>
                <w:sz w:val="20"/>
              </w:rPr>
              <w:t> </w:t>
            </w:r>
            <w:r>
              <w:rPr>
                <w:sz w:val="20"/>
              </w:rPr>
              <w:t>alimentos</w:t>
            </w:r>
            <w:r>
              <w:rPr>
                <w:spacing w:val="-5"/>
                <w:sz w:val="20"/>
              </w:rPr>
              <w:t> </w:t>
            </w:r>
            <w:r>
              <w:rPr>
                <w:sz w:val="20"/>
              </w:rPr>
              <w:t>sólidos,</w:t>
            </w:r>
            <w:r>
              <w:rPr>
                <w:spacing w:val="-6"/>
                <w:sz w:val="20"/>
              </w:rPr>
              <w:t> </w:t>
            </w:r>
            <w:r>
              <w:rPr>
                <w:sz w:val="20"/>
              </w:rPr>
              <w:t>semisólidos,</w:t>
            </w:r>
            <w:r>
              <w:rPr>
                <w:spacing w:val="-6"/>
                <w:sz w:val="20"/>
              </w:rPr>
              <w:t> </w:t>
            </w:r>
            <w:r>
              <w:rPr>
                <w:sz w:val="20"/>
              </w:rPr>
              <w:t>semilíquidos, líquidos y de consistencia mixta;</w:t>
            </w:r>
          </w:p>
          <w:p>
            <w:pPr>
              <w:pStyle w:val="TableParagraph"/>
              <w:numPr>
                <w:ilvl w:val="0"/>
                <w:numId w:val="179"/>
              </w:numPr>
              <w:tabs>
                <w:tab w:pos="430" w:val="left" w:leader="none"/>
              </w:tabs>
              <w:spacing w:line="240" w:lineRule="auto" w:before="0" w:after="0"/>
              <w:ind w:left="430" w:right="0" w:hanging="359"/>
              <w:jc w:val="both"/>
              <w:rPr>
                <w:sz w:val="20"/>
              </w:rPr>
            </w:pPr>
            <w:r>
              <w:rPr>
                <w:sz w:val="20"/>
              </w:rPr>
              <w:t>Pérdida</w:t>
            </w:r>
            <w:r>
              <w:rPr>
                <w:spacing w:val="-5"/>
                <w:sz w:val="20"/>
              </w:rPr>
              <w:t> </w:t>
            </w:r>
            <w:r>
              <w:rPr>
                <w:sz w:val="20"/>
              </w:rPr>
              <w:t>ponderal</w:t>
            </w:r>
            <w:r>
              <w:rPr>
                <w:spacing w:val="-7"/>
                <w:sz w:val="20"/>
              </w:rPr>
              <w:t> </w:t>
            </w:r>
            <w:r>
              <w:rPr>
                <w:sz w:val="20"/>
              </w:rPr>
              <w:t>menor</w:t>
            </w:r>
            <w:r>
              <w:rPr>
                <w:spacing w:val="-6"/>
                <w:sz w:val="20"/>
              </w:rPr>
              <w:t> </w:t>
            </w:r>
            <w:r>
              <w:rPr>
                <w:sz w:val="20"/>
              </w:rPr>
              <w:t>al</w:t>
            </w:r>
            <w:r>
              <w:rPr>
                <w:spacing w:val="-5"/>
                <w:sz w:val="20"/>
              </w:rPr>
              <w:t> </w:t>
            </w:r>
            <w:r>
              <w:rPr>
                <w:sz w:val="20"/>
              </w:rPr>
              <w:t>10%</w:t>
            </w:r>
            <w:r>
              <w:rPr>
                <w:spacing w:val="-5"/>
                <w:sz w:val="20"/>
              </w:rPr>
              <w:t> </w:t>
            </w:r>
            <w:r>
              <w:rPr>
                <w:sz w:val="20"/>
              </w:rPr>
              <w:t>del</w:t>
            </w:r>
            <w:r>
              <w:rPr>
                <w:spacing w:val="-5"/>
                <w:sz w:val="20"/>
              </w:rPr>
              <w:t> </w:t>
            </w:r>
            <w:r>
              <w:rPr>
                <w:sz w:val="20"/>
              </w:rPr>
              <w:t>peso</w:t>
            </w:r>
            <w:r>
              <w:rPr>
                <w:spacing w:val="-4"/>
                <w:sz w:val="20"/>
              </w:rPr>
              <w:t> </w:t>
            </w:r>
            <w:r>
              <w:rPr>
                <w:sz w:val="20"/>
              </w:rPr>
              <w:t>en</w:t>
            </w:r>
            <w:r>
              <w:rPr>
                <w:spacing w:val="-7"/>
                <w:sz w:val="20"/>
              </w:rPr>
              <w:t> </w:t>
            </w:r>
            <w:r>
              <w:rPr>
                <w:sz w:val="20"/>
              </w:rPr>
              <w:t>6</w:t>
            </w:r>
            <w:r>
              <w:rPr>
                <w:spacing w:val="-4"/>
                <w:sz w:val="20"/>
              </w:rPr>
              <w:t> </w:t>
            </w:r>
            <w:r>
              <w:rPr>
                <w:spacing w:val="-2"/>
                <w:sz w:val="20"/>
              </w:rPr>
              <w:t>meses;</w:t>
            </w:r>
          </w:p>
          <w:p>
            <w:pPr>
              <w:pStyle w:val="TableParagraph"/>
              <w:numPr>
                <w:ilvl w:val="0"/>
                <w:numId w:val="179"/>
              </w:numPr>
              <w:tabs>
                <w:tab w:pos="431" w:val="left" w:leader="none"/>
              </w:tabs>
              <w:spacing w:line="240" w:lineRule="auto" w:before="1" w:after="0"/>
              <w:ind w:left="431" w:right="63" w:hanging="360"/>
              <w:jc w:val="left"/>
              <w:rPr>
                <w:sz w:val="20"/>
              </w:rPr>
            </w:pPr>
            <w:r>
              <w:rPr>
                <w:sz w:val="20"/>
              </w:rPr>
              <w:t>Sólo</w:t>
            </w:r>
            <w:r>
              <w:rPr>
                <w:spacing w:val="80"/>
                <w:w w:val="150"/>
                <w:sz w:val="20"/>
              </w:rPr>
              <w:t> </w:t>
            </w:r>
            <w:r>
              <w:rPr>
                <w:sz w:val="20"/>
              </w:rPr>
              <w:t>puede</w:t>
            </w:r>
            <w:r>
              <w:rPr>
                <w:spacing w:val="80"/>
                <w:w w:val="150"/>
                <w:sz w:val="20"/>
              </w:rPr>
              <w:t> </w:t>
            </w:r>
            <w:r>
              <w:rPr>
                <w:sz w:val="20"/>
              </w:rPr>
              <w:t>comer</w:t>
            </w:r>
            <w:r>
              <w:rPr>
                <w:spacing w:val="80"/>
                <w:w w:val="150"/>
                <w:sz w:val="20"/>
              </w:rPr>
              <w:t> </w:t>
            </w:r>
            <w:r>
              <w:rPr>
                <w:sz w:val="20"/>
              </w:rPr>
              <w:t>trozos</w:t>
            </w:r>
            <w:r>
              <w:rPr>
                <w:spacing w:val="80"/>
                <w:w w:val="150"/>
                <w:sz w:val="20"/>
              </w:rPr>
              <w:t> </w:t>
            </w:r>
            <w:r>
              <w:rPr>
                <w:sz w:val="20"/>
              </w:rPr>
              <w:t>pequeños</w:t>
            </w:r>
            <w:r>
              <w:rPr>
                <w:spacing w:val="80"/>
                <w:w w:val="150"/>
                <w:sz w:val="20"/>
              </w:rPr>
              <w:t> </w:t>
            </w:r>
            <w:r>
              <w:rPr>
                <w:sz w:val="20"/>
              </w:rPr>
              <w:t>o</w:t>
            </w:r>
            <w:r>
              <w:rPr>
                <w:spacing w:val="80"/>
                <w:w w:val="150"/>
                <w:sz w:val="20"/>
              </w:rPr>
              <w:t> </w:t>
            </w:r>
            <w:r>
              <w:rPr>
                <w:sz w:val="20"/>
              </w:rPr>
              <w:t>cantidades menores de líquidos a los que estaba acostumbrado;</w:t>
            </w:r>
          </w:p>
          <w:p>
            <w:pPr>
              <w:pStyle w:val="TableParagraph"/>
              <w:numPr>
                <w:ilvl w:val="0"/>
                <w:numId w:val="179"/>
              </w:numPr>
              <w:tabs>
                <w:tab w:pos="431" w:val="left" w:leader="none"/>
              </w:tabs>
              <w:spacing w:line="228" w:lineRule="exact" w:before="0" w:after="0"/>
              <w:ind w:left="431" w:right="0" w:hanging="360"/>
              <w:jc w:val="left"/>
              <w:rPr>
                <w:sz w:val="20"/>
              </w:rPr>
            </w:pPr>
            <w:r>
              <w:rPr>
                <w:sz w:val="20"/>
              </w:rPr>
              <w:t>Incrementa</w:t>
            </w:r>
            <w:r>
              <w:rPr>
                <w:spacing w:val="-8"/>
                <w:sz w:val="20"/>
              </w:rPr>
              <w:t> </w:t>
            </w:r>
            <w:r>
              <w:rPr>
                <w:sz w:val="20"/>
              </w:rPr>
              <w:t>el</w:t>
            </w:r>
            <w:r>
              <w:rPr>
                <w:spacing w:val="-7"/>
                <w:sz w:val="20"/>
              </w:rPr>
              <w:t> </w:t>
            </w:r>
            <w:r>
              <w:rPr>
                <w:sz w:val="20"/>
              </w:rPr>
              <w:t>número</w:t>
            </w:r>
            <w:r>
              <w:rPr>
                <w:spacing w:val="-7"/>
                <w:sz w:val="20"/>
              </w:rPr>
              <w:t> </w:t>
            </w:r>
            <w:r>
              <w:rPr>
                <w:sz w:val="20"/>
              </w:rPr>
              <w:t>de</w:t>
            </w:r>
            <w:r>
              <w:rPr>
                <w:spacing w:val="-7"/>
                <w:sz w:val="20"/>
              </w:rPr>
              <w:t> </w:t>
            </w:r>
            <w:r>
              <w:rPr>
                <w:sz w:val="20"/>
              </w:rPr>
              <w:t>mordidas</w:t>
            </w:r>
            <w:r>
              <w:rPr>
                <w:spacing w:val="-6"/>
                <w:sz w:val="20"/>
              </w:rPr>
              <w:t> </w:t>
            </w:r>
            <w:r>
              <w:rPr>
                <w:sz w:val="20"/>
              </w:rPr>
              <w:t>para</w:t>
            </w:r>
            <w:r>
              <w:rPr>
                <w:spacing w:val="-5"/>
                <w:sz w:val="20"/>
              </w:rPr>
              <w:t> </w:t>
            </w:r>
            <w:r>
              <w:rPr>
                <w:sz w:val="20"/>
              </w:rPr>
              <w:t>la</w:t>
            </w:r>
            <w:r>
              <w:rPr>
                <w:spacing w:val="-7"/>
                <w:sz w:val="20"/>
              </w:rPr>
              <w:t> </w:t>
            </w:r>
            <w:r>
              <w:rPr>
                <w:spacing w:val="-2"/>
                <w:sz w:val="20"/>
              </w:rPr>
              <w:t>masticación;</w:t>
            </w:r>
          </w:p>
          <w:p>
            <w:pPr>
              <w:pStyle w:val="TableParagraph"/>
              <w:numPr>
                <w:ilvl w:val="0"/>
                <w:numId w:val="179"/>
              </w:numPr>
              <w:tabs>
                <w:tab w:pos="431" w:val="left" w:leader="none"/>
              </w:tabs>
              <w:spacing w:line="240" w:lineRule="auto" w:before="0" w:after="0"/>
              <w:ind w:left="431" w:right="0" w:hanging="360"/>
              <w:jc w:val="left"/>
              <w:rPr>
                <w:sz w:val="20"/>
              </w:rPr>
            </w:pPr>
            <w:r>
              <w:rPr>
                <w:sz w:val="20"/>
              </w:rPr>
              <w:t>Necesita</w:t>
            </w:r>
            <w:r>
              <w:rPr>
                <w:spacing w:val="-5"/>
                <w:sz w:val="20"/>
              </w:rPr>
              <w:t> </w:t>
            </w:r>
            <w:r>
              <w:rPr>
                <w:sz w:val="20"/>
              </w:rPr>
              <w:t>varios</w:t>
            </w:r>
            <w:r>
              <w:rPr>
                <w:spacing w:val="-5"/>
                <w:sz w:val="20"/>
              </w:rPr>
              <w:t> </w:t>
            </w:r>
            <w:r>
              <w:rPr>
                <w:sz w:val="20"/>
              </w:rPr>
              <w:t>tragos</w:t>
            </w:r>
            <w:r>
              <w:rPr>
                <w:spacing w:val="-6"/>
                <w:sz w:val="20"/>
              </w:rPr>
              <w:t> </w:t>
            </w:r>
            <w:r>
              <w:rPr>
                <w:sz w:val="20"/>
              </w:rPr>
              <w:t>en</w:t>
            </w:r>
            <w:r>
              <w:rPr>
                <w:spacing w:val="-7"/>
                <w:sz w:val="20"/>
              </w:rPr>
              <w:t> </w:t>
            </w:r>
            <w:r>
              <w:rPr>
                <w:sz w:val="20"/>
              </w:rPr>
              <w:t>seco</w:t>
            </w:r>
            <w:r>
              <w:rPr>
                <w:spacing w:val="-7"/>
                <w:sz w:val="20"/>
              </w:rPr>
              <w:t> </w:t>
            </w:r>
            <w:r>
              <w:rPr>
                <w:sz w:val="20"/>
              </w:rPr>
              <w:t>para</w:t>
            </w:r>
            <w:r>
              <w:rPr>
                <w:spacing w:val="-4"/>
                <w:sz w:val="20"/>
              </w:rPr>
              <w:t> </w:t>
            </w:r>
            <w:r>
              <w:rPr>
                <w:sz w:val="20"/>
              </w:rPr>
              <w:t>pasar</w:t>
            </w:r>
            <w:r>
              <w:rPr>
                <w:spacing w:val="-6"/>
                <w:sz w:val="20"/>
              </w:rPr>
              <w:t> </w:t>
            </w:r>
            <w:r>
              <w:rPr>
                <w:sz w:val="20"/>
              </w:rPr>
              <w:t>el</w:t>
            </w:r>
            <w:r>
              <w:rPr>
                <w:spacing w:val="-8"/>
                <w:sz w:val="20"/>
              </w:rPr>
              <w:t> </w:t>
            </w:r>
            <w:r>
              <w:rPr>
                <w:sz w:val="20"/>
              </w:rPr>
              <w:t>alimento,</w:t>
            </w:r>
            <w:r>
              <w:rPr>
                <w:spacing w:val="-4"/>
                <w:sz w:val="20"/>
              </w:rPr>
              <w:t> </w:t>
            </w:r>
            <w:r>
              <w:rPr>
                <w:spacing w:val="-10"/>
                <w:sz w:val="20"/>
              </w:rPr>
              <w:t>y</w:t>
            </w:r>
          </w:p>
          <w:p>
            <w:pPr>
              <w:pStyle w:val="TableParagraph"/>
              <w:numPr>
                <w:ilvl w:val="0"/>
                <w:numId w:val="179"/>
              </w:numPr>
              <w:tabs>
                <w:tab w:pos="431" w:val="left" w:leader="none"/>
              </w:tabs>
              <w:spacing w:line="230" w:lineRule="atLeast" w:before="0" w:after="0"/>
              <w:ind w:left="431" w:right="61" w:hanging="360"/>
              <w:jc w:val="left"/>
              <w:rPr>
                <w:sz w:val="20"/>
              </w:rPr>
            </w:pPr>
            <w:r>
              <w:rPr>
                <w:sz w:val="20"/>
              </w:rPr>
              <w:t>Con</w:t>
            </w:r>
            <w:r>
              <w:rPr>
                <w:spacing w:val="40"/>
                <w:sz w:val="20"/>
              </w:rPr>
              <w:t> </w:t>
            </w:r>
            <w:r>
              <w:rPr>
                <w:sz w:val="20"/>
              </w:rPr>
              <w:t>aptitud</w:t>
            </w:r>
            <w:r>
              <w:rPr>
                <w:spacing w:val="40"/>
                <w:sz w:val="20"/>
              </w:rPr>
              <w:t> </w:t>
            </w:r>
            <w:r>
              <w:rPr>
                <w:sz w:val="20"/>
              </w:rPr>
              <w:t>para</w:t>
            </w:r>
            <w:r>
              <w:rPr>
                <w:spacing w:val="40"/>
                <w:sz w:val="20"/>
              </w:rPr>
              <w:t> </w:t>
            </w:r>
            <w:r>
              <w:rPr>
                <w:sz w:val="20"/>
              </w:rPr>
              <w:t>ejercer</w:t>
            </w:r>
            <w:r>
              <w:rPr>
                <w:spacing w:val="40"/>
                <w:sz w:val="20"/>
              </w:rPr>
              <w:t> </w:t>
            </w:r>
            <w:r>
              <w:rPr>
                <w:sz w:val="20"/>
              </w:rPr>
              <w:t>actividades</w:t>
            </w:r>
            <w:r>
              <w:rPr>
                <w:spacing w:val="40"/>
                <w:sz w:val="20"/>
              </w:rPr>
              <w:t> </w:t>
            </w:r>
            <w:r>
              <w:rPr>
                <w:sz w:val="20"/>
              </w:rPr>
              <w:t>de</w:t>
            </w:r>
            <w:r>
              <w:rPr>
                <w:spacing w:val="40"/>
                <w:sz w:val="20"/>
              </w:rPr>
              <w:t> </w:t>
            </w:r>
            <w:r>
              <w:rPr>
                <w:sz w:val="20"/>
              </w:rPr>
              <w:t>su</w:t>
            </w:r>
            <w:r>
              <w:rPr>
                <w:spacing w:val="40"/>
                <w:sz w:val="20"/>
              </w:rPr>
              <w:t> </w:t>
            </w:r>
            <w:r>
              <w:rPr>
                <w:sz w:val="20"/>
              </w:rPr>
              <w:t>profesión</w:t>
            </w:r>
            <w:r>
              <w:rPr>
                <w:spacing w:val="40"/>
                <w:sz w:val="20"/>
              </w:rPr>
              <w:t> </w:t>
            </w:r>
            <w:r>
              <w:rPr>
                <w:sz w:val="20"/>
              </w:rPr>
              <w:t>u oficio con dificultad, pero las lleva a cabo.</w:t>
            </w:r>
          </w:p>
        </w:tc>
        <w:tc>
          <w:tcPr>
            <w:tcW w:w="2039" w:type="dxa"/>
          </w:tcPr>
          <w:p>
            <w:pPr>
              <w:pStyle w:val="TableParagraph"/>
              <w:spacing w:line="229" w:lineRule="exact"/>
              <w:ind w:left="12" w:right="2"/>
              <w:rPr>
                <w:sz w:val="20"/>
              </w:rPr>
            </w:pPr>
            <w:r>
              <w:rPr>
                <w:sz w:val="20"/>
              </w:rPr>
              <w:t>28</w:t>
            </w:r>
            <w:r>
              <w:rPr>
                <w:spacing w:val="-3"/>
                <w:sz w:val="20"/>
              </w:rPr>
              <w:t> </w:t>
            </w:r>
            <w:r>
              <w:rPr>
                <w:sz w:val="20"/>
              </w:rPr>
              <w:t>al</w:t>
            </w:r>
            <w:r>
              <w:rPr>
                <w:spacing w:val="-3"/>
                <w:sz w:val="20"/>
              </w:rPr>
              <w:t> </w:t>
            </w:r>
            <w:r>
              <w:rPr>
                <w:spacing w:val="-5"/>
                <w:sz w:val="20"/>
              </w:rPr>
              <w:t>34%</w:t>
            </w:r>
          </w:p>
        </w:tc>
      </w:tr>
      <w:tr>
        <w:trPr>
          <w:trHeight w:val="2759" w:hRule="atLeast"/>
        </w:trPr>
        <w:tc>
          <w:tcPr>
            <w:tcW w:w="1836" w:type="dxa"/>
          </w:tcPr>
          <w:p>
            <w:pPr>
              <w:pStyle w:val="TableParagraph"/>
              <w:spacing w:line="227" w:lineRule="exact"/>
              <w:ind w:left="11" w:right="3"/>
              <w:rPr>
                <w:rFonts w:ascii="Arial"/>
                <w:b/>
                <w:sz w:val="20"/>
              </w:rPr>
            </w:pPr>
            <w:r>
              <w:rPr>
                <w:rFonts w:ascii="Arial"/>
                <w:b/>
                <w:spacing w:val="-2"/>
                <w:sz w:val="20"/>
              </w:rPr>
              <w:t>Severo</w:t>
            </w:r>
          </w:p>
        </w:tc>
        <w:tc>
          <w:tcPr>
            <w:tcW w:w="5675" w:type="dxa"/>
          </w:tcPr>
          <w:p>
            <w:pPr>
              <w:pStyle w:val="TableParagraph"/>
              <w:numPr>
                <w:ilvl w:val="0"/>
                <w:numId w:val="180"/>
              </w:numPr>
              <w:tabs>
                <w:tab w:pos="431" w:val="left" w:leader="none"/>
              </w:tabs>
              <w:spacing w:line="240" w:lineRule="auto" w:before="0" w:after="0"/>
              <w:ind w:left="431" w:right="56" w:hanging="360"/>
              <w:jc w:val="both"/>
              <w:rPr>
                <w:sz w:val="20"/>
              </w:rPr>
            </w:pPr>
            <w:r>
              <w:rPr>
                <w:sz w:val="20"/>
              </w:rPr>
              <w:t>Presencia de tos o sensación de ahogo importante con</w:t>
            </w:r>
            <w:r>
              <w:rPr>
                <w:spacing w:val="40"/>
                <w:sz w:val="20"/>
              </w:rPr>
              <w:t> </w:t>
            </w:r>
            <w:r>
              <w:rPr>
                <w:sz w:val="20"/>
              </w:rPr>
              <w:t>los alimentos, sólidos, semisólidos, semilíquidos, líquidos y de consistencia mixta, saliva o flemas espesas;</w:t>
            </w:r>
          </w:p>
          <w:p>
            <w:pPr>
              <w:pStyle w:val="TableParagraph"/>
              <w:numPr>
                <w:ilvl w:val="0"/>
                <w:numId w:val="180"/>
              </w:numPr>
              <w:tabs>
                <w:tab w:pos="431" w:val="left" w:leader="none"/>
              </w:tabs>
              <w:spacing w:line="240" w:lineRule="auto" w:before="0" w:after="0"/>
              <w:ind w:left="431" w:right="64" w:hanging="360"/>
              <w:jc w:val="both"/>
              <w:rPr>
                <w:sz w:val="20"/>
              </w:rPr>
            </w:pPr>
            <w:r>
              <w:rPr>
                <w:sz w:val="20"/>
              </w:rPr>
              <w:t>Pérdida ponderal igual o mayor al 10% del peso en 6 </w:t>
            </w:r>
            <w:r>
              <w:rPr>
                <w:spacing w:val="-2"/>
                <w:sz w:val="20"/>
              </w:rPr>
              <w:t>meses;</w:t>
            </w:r>
          </w:p>
          <w:p>
            <w:pPr>
              <w:pStyle w:val="TableParagraph"/>
              <w:numPr>
                <w:ilvl w:val="0"/>
                <w:numId w:val="180"/>
              </w:numPr>
              <w:tabs>
                <w:tab w:pos="431" w:val="left" w:leader="none"/>
              </w:tabs>
              <w:spacing w:line="240" w:lineRule="auto" w:before="0" w:after="0"/>
              <w:ind w:left="431" w:right="61" w:hanging="360"/>
              <w:jc w:val="both"/>
              <w:rPr>
                <w:sz w:val="20"/>
              </w:rPr>
            </w:pPr>
            <w:r>
              <w:rPr>
                <w:sz w:val="20"/>
              </w:rPr>
              <w:t>Debe comer pequeñas cantidades de alimentos por </w:t>
            </w:r>
            <w:r>
              <w:rPr>
                <w:spacing w:val="-2"/>
                <w:sz w:val="20"/>
              </w:rPr>
              <w:t>bocado;</w:t>
            </w:r>
          </w:p>
          <w:p>
            <w:pPr>
              <w:pStyle w:val="TableParagraph"/>
              <w:numPr>
                <w:ilvl w:val="0"/>
                <w:numId w:val="180"/>
              </w:numPr>
              <w:tabs>
                <w:tab w:pos="430" w:val="left" w:leader="none"/>
              </w:tabs>
              <w:spacing w:line="229" w:lineRule="exact" w:before="0" w:after="0"/>
              <w:ind w:left="430" w:right="0" w:hanging="359"/>
              <w:jc w:val="both"/>
              <w:rPr>
                <w:sz w:val="20"/>
              </w:rPr>
            </w:pPr>
            <w:r>
              <w:rPr>
                <w:sz w:val="20"/>
              </w:rPr>
              <w:t>Requiere</w:t>
            </w:r>
            <w:r>
              <w:rPr>
                <w:spacing w:val="-9"/>
                <w:sz w:val="20"/>
              </w:rPr>
              <w:t> </w:t>
            </w:r>
            <w:r>
              <w:rPr>
                <w:sz w:val="20"/>
              </w:rPr>
              <w:t>varias</w:t>
            </w:r>
            <w:r>
              <w:rPr>
                <w:spacing w:val="-8"/>
                <w:sz w:val="20"/>
              </w:rPr>
              <w:t> </w:t>
            </w:r>
            <w:r>
              <w:rPr>
                <w:sz w:val="20"/>
              </w:rPr>
              <w:t>degluciones</w:t>
            </w:r>
            <w:r>
              <w:rPr>
                <w:spacing w:val="-9"/>
                <w:sz w:val="20"/>
              </w:rPr>
              <w:t> </w:t>
            </w:r>
            <w:r>
              <w:rPr>
                <w:sz w:val="20"/>
              </w:rPr>
              <w:t>en</w:t>
            </w:r>
            <w:r>
              <w:rPr>
                <w:spacing w:val="-11"/>
                <w:sz w:val="20"/>
              </w:rPr>
              <w:t> </w:t>
            </w:r>
            <w:r>
              <w:rPr>
                <w:spacing w:val="-2"/>
                <w:sz w:val="20"/>
              </w:rPr>
              <w:t>seco;</w:t>
            </w:r>
          </w:p>
          <w:p>
            <w:pPr>
              <w:pStyle w:val="TableParagraph"/>
              <w:numPr>
                <w:ilvl w:val="0"/>
                <w:numId w:val="180"/>
              </w:numPr>
              <w:tabs>
                <w:tab w:pos="431" w:val="left" w:leader="none"/>
              </w:tabs>
              <w:spacing w:line="240" w:lineRule="auto" w:before="0" w:after="0"/>
              <w:ind w:left="431" w:right="60" w:hanging="360"/>
              <w:jc w:val="both"/>
              <w:rPr>
                <w:sz w:val="20"/>
              </w:rPr>
            </w:pPr>
            <w:r>
              <w:rPr>
                <w:sz w:val="20"/>
              </w:rPr>
              <w:t>Presencia de cuadros respiratorios recurrentes y neumonía, y</w:t>
            </w:r>
          </w:p>
          <w:p>
            <w:pPr>
              <w:pStyle w:val="TableParagraph"/>
              <w:numPr>
                <w:ilvl w:val="0"/>
                <w:numId w:val="180"/>
              </w:numPr>
              <w:tabs>
                <w:tab w:pos="431" w:val="left" w:leader="none"/>
              </w:tabs>
              <w:spacing w:line="230" w:lineRule="atLeast" w:before="0" w:after="0"/>
              <w:ind w:left="431" w:right="63" w:hanging="360"/>
              <w:jc w:val="both"/>
              <w:rPr>
                <w:sz w:val="20"/>
              </w:rPr>
            </w:pPr>
            <w:r>
              <w:rPr>
                <w:sz w:val="20"/>
              </w:rPr>
              <w:t>Sin aptitud para ejercer actividades de su profesión u </w:t>
            </w:r>
            <w:r>
              <w:rPr>
                <w:spacing w:val="-2"/>
                <w:sz w:val="20"/>
              </w:rPr>
              <w:t>oficio.</w:t>
            </w:r>
          </w:p>
        </w:tc>
        <w:tc>
          <w:tcPr>
            <w:tcW w:w="2039" w:type="dxa"/>
          </w:tcPr>
          <w:p>
            <w:pPr>
              <w:pStyle w:val="TableParagraph"/>
              <w:spacing w:line="229" w:lineRule="exact"/>
              <w:ind w:left="12" w:right="2"/>
              <w:rPr>
                <w:sz w:val="20"/>
              </w:rPr>
            </w:pPr>
            <w:r>
              <w:rPr>
                <w:sz w:val="20"/>
              </w:rPr>
              <w:t>35</w:t>
            </w:r>
            <w:r>
              <w:rPr>
                <w:spacing w:val="-3"/>
                <w:sz w:val="20"/>
              </w:rPr>
              <w:t> </w:t>
            </w:r>
            <w:r>
              <w:rPr>
                <w:sz w:val="20"/>
              </w:rPr>
              <w:t>al</w:t>
            </w:r>
            <w:r>
              <w:rPr>
                <w:spacing w:val="-3"/>
                <w:sz w:val="20"/>
              </w:rPr>
              <w:t> </w:t>
            </w:r>
            <w:r>
              <w:rPr>
                <w:spacing w:val="-5"/>
                <w:sz w:val="20"/>
              </w:rPr>
              <w:t>40%</w:t>
            </w:r>
          </w:p>
        </w:tc>
      </w:tr>
      <w:tr>
        <w:trPr>
          <w:trHeight w:val="229" w:hRule="atLeast"/>
        </w:trPr>
        <w:tc>
          <w:tcPr>
            <w:tcW w:w="9550" w:type="dxa"/>
            <w:gridSpan w:val="3"/>
          </w:tcPr>
          <w:p>
            <w:pPr>
              <w:pStyle w:val="TableParagraph"/>
              <w:jc w:val="left"/>
              <w:rPr>
                <w:sz w:val="20"/>
              </w:rPr>
            </w:pPr>
            <w:r>
              <w:rPr>
                <w:rFonts w:ascii="Arial" w:hAnsi="Arial"/>
                <w:b/>
                <w:sz w:val="20"/>
              </w:rPr>
              <w:t>Nota:</w:t>
            </w:r>
            <w:r>
              <w:rPr>
                <w:rFonts w:ascii="Arial" w:hAnsi="Arial"/>
                <w:b/>
                <w:spacing w:val="-7"/>
                <w:sz w:val="20"/>
              </w:rPr>
              <w:t> </w:t>
            </w:r>
            <w:r>
              <w:rPr>
                <w:sz w:val="20"/>
              </w:rPr>
              <w:t>El</w:t>
            </w:r>
            <w:r>
              <w:rPr>
                <w:spacing w:val="-6"/>
                <w:sz w:val="20"/>
              </w:rPr>
              <w:t> </w:t>
            </w:r>
            <w:r>
              <w:rPr>
                <w:sz w:val="20"/>
              </w:rPr>
              <w:t>porcentaje</w:t>
            </w:r>
            <w:r>
              <w:rPr>
                <w:spacing w:val="-7"/>
                <w:sz w:val="20"/>
              </w:rPr>
              <w:t> </w:t>
            </w:r>
            <w:r>
              <w:rPr>
                <w:sz w:val="20"/>
              </w:rPr>
              <w:t>de</w:t>
            </w:r>
            <w:r>
              <w:rPr>
                <w:spacing w:val="-5"/>
                <w:sz w:val="20"/>
              </w:rPr>
              <w:t> </w:t>
            </w:r>
            <w:r>
              <w:rPr>
                <w:sz w:val="20"/>
              </w:rPr>
              <w:t>valuación</w:t>
            </w:r>
            <w:r>
              <w:rPr>
                <w:spacing w:val="-7"/>
                <w:sz w:val="20"/>
              </w:rPr>
              <w:t> </w:t>
            </w:r>
            <w:r>
              <w:rPr>
                <w:sz w:val="20"/>
              </w:rPr>
              <w:t>lo</w:t>
            </w:r>
            <w:r>
              <w:rPr>
                <w:spacing w:val="-5"/>
                <w:sz w:val="20"/>
              </w:rPr>
              <w:t> </w:t>
            </w:r>
            <w:r>
              <w:rPr>
                <w:sz w:val="20"/>
              </w:rPr>
              <w:t>determinará</w:t>
            </w:r>
            <w:r>
              <w:rPr>
                <w:spacing w:val="-7"/>
                <w:sz w:val="20"/>
              </w:rPr>
              <w:t> </w:t>
            </w:r>
            <w:r>
              <w:rPr>
                <w:sz w:val="20"/>
              </w:rPr>
              <w:t>el</w:t>
            </w:r>
            <w:r>
              <w:rPr>
                <w:spacing w:val="-8"/>
                <w:sz w:val="20"/>
              </w:rPr>
              <w:t> </w:t>
            </w:r>
            <w:r>
              <w:rPr>
                <w:sz w:val="20"/>
              </w:rPr>
              <w:t>criterio</w:t>
            </w:r>
            <w:r>
              <w:rPr>
                <w:spacing w:val="-8"/>
                <w:sz w:val="20"/>
              </w:rPr>
              <w:t> </w:t>
            </w:r>
            <w:r>
              <w:rPr>
                <w:sz w:val="20"/>
              </w:rPr>
              <w:t>con</w:t>
            </w:r>
            <w:r>
              <w:rPr>
                <w:spacing w:val="-6"/>
                <w:sz w:val="20"/>
              </w:rPr>
              <w:t> </w:t>
            </w:r>
            <w:r>
              <w:rPr>
                <w:sz w:val="20"/>
              </w:rPr>
              <w:t>la</w:t>
            </w:r>
            <w:r>
              <w:rPr>
                <w:spacing w:val="-7"/>
                <w:sz w:val="20"/>
              </w:rPr>
              <w:t> </w:t>
            </w:r>
            <w:r>
              <w:rPr>
                <w:sz w:val="20"/>
              </w:rPr>
              <w:t>categoría</w:t>
            </w:r>
            <w:r>
              <w:rPr>
                <w:spacing w:val="-8"/>
                <w:sz w:val="20"/>
              </w:rPr>
              <w:t> </w:t>
            </w:r>
            <w:r>
              <w:rPr>
                <w:sz w:val="20"/>
              </w:rPr>
              <w:t>más</w:t>
            </w:r>
            <w:r>
              <w:rPr>
                <w:spacing w:val="-6"/>
                <w:sz w:val="20"/>
              </w:rPr>
              <w:t> </w:t>
            </w:r>
            <w:r>
              <w:rPr>
                <w:sz w:val="20"/>
              </w:rPr>
              <w:t>alta</w:t>
            </w:r>
            <w:r>
              <w:rPr>
                <w:spacing w:val="-5"/>
                <w:sz w:val="20"/>
              </w:rPr>
              <w:t> </w:t>
            </w:r>
            <w:r>
              <w:rPr>
                <w:spacing w:val="-2"/>
                <w:sz w:val="20"/>
              </w:rPr>
              <w:t>encontrada.</w:t>
            </w:r>
          </w:p>
        </w:tc>
      </w:tr>
    </w:tbl>
    <w:p>
      <w:pPr>
        <w:spacing w:before="230"/>
        <w:ind w:left="295" w:right="296" w:firstLine="0"/>
        <w:jc w:val="center"/>
        <w:rPr>
          <w:rFonts w:ascii="Arial" w:hAnsi="Arial"/>
          <w:b/>
          <w:sz w:val="20"/>
        </w:rPr>
      </w:pPr>
      <w:r>
        <w:rPr>
          <w:rFonts w:ascii="Arial" w:hAnsi="Arial"/>
          <w:b/>
          <w:sz w:val="20"/>
        </w:rPr>
        <w:t>Tórax</w:t>
      </w:r>
      <w:r>
        <w:rPr>
          <w:rFonts w:ascii="Arial" w:hAnsi="Arial"/>
          <w:b/>
          <w:spacing w:val="-5"/>
          <w:sz w:val="20"/>
        </w:rPr>
        <w:t> </w:t>
      </w:r>
      <w:r>
        <w:rPr>
          <w:rFonts w:ascii="Arial" w:hAnsi="Arial"/>
          <w:b/>
          <w:sz w:val="20"/>
        </w:rPr>
        <w:t>y</w:t>
      </w:r>
      <w:r>
        <w:rPr>
          <w:rFonts w:ascii="Arial" w:hAnsi="Arial"/>
          <w:b/>
          <w:spacing w:val="-5"/>
          <w:sz w:val="20"/>
        </w:rPr>
        <w:t> </w:t>
      </w:r>
      <w:r>
        <w:rPr>
          <w:rFonts w:ascii="Arial" w:hAnsi="Arial"/>
          <w:b/>
          <w:spacing w:val="-2"/>
          <w:sz w:val="20"/>
        </w:rPr>
        <w:t>contenido</w:t>
      </w:r>
    </w:p>
    <w:p>
      <w:pPr>
        <w:pStyle w:val="BodyText"/>
        <w:spacing w:before="3"/>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40"/>
        <w:gridCol w:w="1543"/>
      </w:tblGrid>
      <w:tr>
        <w:trPr>
          <w:trHeight w:val="460" w:hRule="atLeast"/>
        </w:trPr>
        <w:tc>
          <w:tcPr>
            <w:tcW w:w="1066" w:type="dxa"/>
          </w:tcPr>
          <w:p>
            <w:pPr>
              <w:pStyle w:val="TableParagraph"/>
              <w:spacing w:line="240" w:lineRule="auto" w:before="114"/>
              <w:ind w:left="9"/>
              <w:rPr>
                <w:sz w:val="20"/>
              </w:rPr>
            </w:pPr>
            <w:r>
              <w:rPr>
                <w:spacing w:val="-5"/>
                <w:sz w:val="20"/>
              </w:rPr>
              <w:t>447</w:t>
            </w:r>
          </w:p>
        </w:tc>
        <w:tc>
          <w:tcPr>
            <w:tcW w:w="6940" w:type="dxa"/>
          </w:tcPr>
          <w:p>
            <w:pPr>
              <w:pStyle w:val="TableParagraph"/>
              <w:spacing w:line="230" w:lineRule="exact"/>
              <w:jc w:val="left"/>
              <w:rPr>
                <w:sz w:val="20"/>
              </w:rPr>
            </w:pPr>
            <w:r>
              <w:rPr>
                <w:sz w:val="20"/>
              </w:rPr>
              <w:t>Secuelas</w:t>
            </w:r>
            <w:r>
              <w:rPr>
                <w:spacing w:val="80"/>
                <w:sz w:val="20"/>
              </w:rPr>
              <w:t> </w:t>
            </w:r>
            <w:r>
              <w:rPr>
                <w:sz w:val="20"/>
              </w:rPr>
              <w:t>de</w:t>
            </w:r>
            <w:r>
              <w:rPr>
                <w:spacing w:val="80"/>
                <w:sz w:val="20"/>
              </w:rPr>
              <w:t> </w:t>
            </w:r>
            <w:r>
              <w:rPr>
                <w:sz w:val="20"/>
              </w:rPr>
              <w:t>fractura</w:t>
            </w:r>
            <w:r>
              <w:rPr>
                <w:spacing w:val="80"/>
                <w:sz w:val="20"/>
              </w:rPr>
              <w:t> </w:t>
            </w:r>
            <w:r>
              <w:rPr>
                <w:sz w:val="20"/>
              </w:rPr>
              <w:t>aislada</w:t>
            </w:r>
            <w:r>
              <w:rPr>
                <w:spacing w:val="80"/>
                <w:sz w:val="20"/>
              </w:rPr>
              <w:t> </w:t>
            </w:r>
            <w:r>
              <w:rPr>
                <w:sz w:val="20"/>
              </w:rPr>
              <w:t>del</w:t>
            </w:r>
            <w:r>
              <w:rPr>
                <w:spacing w:val="80"/>
                <w:sz w:val="20"/>
              </w:rPr>
              <w:t> </w:t>
            </w:r>
            <w:r>
              <w:rPr>
                <w:sz w:val="20"/>
              </w:rPr>
              <w:t>esternón</w:t>
            </w:r>
            <w:r>
              <w:rPr>
                <w:spacing w:val="80"/>
                <w:sz w:val="20"/>
              </w:rPr>
              <w:t> </w:t>
            </w:r>
            <w:r>
              <w:rPr>
                <w:sz w:val="20"/>
              </w:rPr>
              <w:t>con</w:t>
            </w:r>
            <w:r>
              <w:rPr>
                <w:spacing w:val="80"/>
                <w:sz w:val="20"/>
              </w:rPr>
              <w:t> </w:t>
            </w:r>
            <w:r>
              <w:rPr>
                <w:sz w:val="20"/>
              </w:rPr>
              <w:t>disminución</w:t>
            </w:r>
            <w:r>
              <w:rPr>
                <w:spacing w:val="80"/>
                <w:sz w:val="20"/>
              </w:rPr>
              <w:t> </w:t>
            </w:r>
            <w:r>
              <w:rPr>
                <w:sz w:val="20"/>
              </w:rPr>
              <w:t>de</w:t>
            </w:r>
            <w:r>
              <w:rPr>
                <w:spacing w:val="80"/>
                <w:sz w:val="20"/>
              </w:rPr>
              <w:t> </w:t>
            </w:r>
            <w:r>
              <w:rPr>
                <w:sz w:val="20"/>
              </w:rPr>
              <w:t>los</w:t>
            </w:r>
            <w:r>
              <w:rPr>
                <w:spacing w:val="80"/>
                <w:sz w:val="20"/>
              </w:rPr>
              <w:t> </w:t>
            </w:r>
            <w:r>
              <w:rPr>
                <w:sz w:val="20"/>
              </w:rPr>
              <w:t>movimientos de amplexión y amplexación.</w:t>
            </w:r>
          </w:p>
        </w:tc>
        <w:tc>
          <w:tcPr>
            <w:tcW w:w="1543" w:type="dxa"/>
          </w:tcPr>
          <w:p>
            <w:pPr>
              <w:pStyle w:val="TableParagraph"/>
              <w:spacing w:line="240" w:lineRule="auto" w:before="114"/>
              <w:ind w:left="11" w:right="6"/>
              <w:rPr>
                <w:sz w:val="20"/>
              </w:rPr>
            </w:pPr>
            <w:r>
              <w:rPr>
                <w:spacing w:val="-5"/>
                <w:sz w:val="20"/>
              </w:rPr>
              <w:t>10%</w:t>
            </w:r>
          </w:p>
        </w:tc>
      </w:tr>
      <w:tr>
        <w:trPr>
          <w:trHeight w:val="457" w:hRule="atLeast"/>
        </w:trPr>
        <w:tc>
          <w:tcPr>
            <w:tcW w:w="1066" w:type="dxa"/>
          </w:tcPr>
          <w:p>
            <w:pPr>
              <w:pStyle w:val="TableParagraph"/>
              <w:spacing w:line="240" w:lineRule="auto" w:before="114"/>
              <w:ind w:left="9"/>
              <w:rPr>
                <w:sz w:val="20"/>
              </w:rPr>
            </w:pPr>
            <w:r>
              <w:rPr>
                <w:spacing w:val="-5"/>
                <w:sz w:val="20"/>
              </w:rPr>
              <w:t>448</w:t>
            </w:r>
          </w:p>
        </w:tc>
        <w:tc>
          <w:tcPr>
            <w:tcW w:w="6940" w:type="dxa"/>
          </w:tcPr>
          <w:p>
            <w:pPr>
              <w:pStyle w:val="TableParagraph"/>
              <w:spacing w:line="228" w:lineRule="exact"/>
              <w:jc w:val="left"/>
              <w:rPr>
                <w:sz w:val="20"/>
              </w:rPr>
            </w:pPr>
            <w:r>
              <w:rPr>
                <w:sz w:val="20"/>
              </w:rPr>
              <w:t>Secuelas</w:t>
            </w:r>
            <w:r>
              <w:rPr>
                <w:spacing w:val="40"/>
                <w:sz w:val="20"/>
              </w:rPr>
              <w:t> </w:t>
            </w:r>
            <w:r>
              <w:rPr>
                <w:sz w:val="20"/>
              </w:rPr>
              <w:t>de</w:t>
            </w:r>
            <w:r>
              <w:rPr>
                <w:spacing w:val="40"/>
                <w:sz w:val="20"/>
              </w:rPr>
              <w:t> </w:t>
            </w:r>
            <w:r>
              <w:rPr>
                <w:sz w:val="20"/>
              </w:rPr>
              <w:t>fracturas</w:t>
            </w:r>
            <w:r>
              <w:rPr>
                <w:spacing w:val="40"/>
                <w:sz w:val="20"/>
              </w:rPr>
              <w:t> </w:t>
            </w:r>
            <w:r>
              <w:rPr>
                <w:sz w:val="20"/>
              </w:rPr>
              <w:t>del</w:t>
            </w:r>
            <w:r>
              <w:rPr>
                <w:spacing w:val="40"/>
                <w:sz w:val="20"/>
              </w:rPr>
              <w:t> </w:t>
            </w:r>
            <w:r>
              <w:rPr>
                <w:sz w:val="20"/>
              </w:rPr>
              <w:t>esternón</w:t>
            </w:r>
            <w:r>
              <w:rPr>
                <w:spacing w:val="40"/>
                <w:sz w:val="20"/>
              </w:rPr>
              <w:t> </w:t>
            </w:r>
            <w:r>
              <w:rPr>
                <w:sz w:val="20"/>
              </w:rPr>
              <w:t>con</w:t>
            </w:r>
            <w:r>
              <w:rPr>
                <w:spacing w:val="40"/>
                <w:sz w:val="20"/>
              </w:rPr>
              <w:t> </w:t>
            </w:r>
            <w:r>
              <w:rPr>
                <w:sz w:val="20"/>
              </w:rPr>
              <w:t>hundimiento</w:t>
            </w:r>
            <w:r>
              <w:rPr>
                <w:spacing w:val="40"/>
                <w:sz w:val="20"/>
              </w:rPr>
              <w:t> </w:t>
            </w:r>
            <w:r>
              <w:rPr>
                <w:sz w:val="20"/>
              </w:rPr>
              <w:t>o</w:t>
            </w:r>
            <w:r>
              <w:rPr>
                <w:spacing w:val="40"/>
                <w:sz w:val="20"/>
              </w:rPr>
              <w:t> </w:t>
            </w:r>
            <w:r>
              <w:rPr>
                <w:sz w:val="20"/>
              </w:rPr>
              <w:t>desviación,</w:t>
            </w:r>
            <w:r>
              <w:rPr>
                <w:spacing w:val="40"/>
                <w:sz w:val="20"/>
              </w:rPr>
              <w:t> </w:t>
            </w:r>
            <w:r>
              <w:rPr>
                <w:sz w:val="20"/>
              </w:rPr>
              <w:t>sin</w:t>
            </w:r>
            <w:r>
              <w:rPr>
                <w:spacing w:val="40"/>
                <w:sz w:val="20"/>
              </w:rPr>
              <w:t> </w:t>
            </w:r>
            <w:r>
              <w:rPr>
                <w:sz w:val="20"/>
              </w:rPr>
              <w:t>complicaciones profundas.</w:t>
            </w:r>
          </w:p>
        </w:tc>
        <w:tc>
          <w:tcPr>
            <w:tcW w:w="1543" w:type="dxa"/>
          </w:tcPr>
          <w:p>
            <w:pPr>
              <w:pStyle w:val="TableParagraph"/>
              <w:spacing w:line="240" w:lineRule="auto" w:before="114"/>
              <w:ind w:left="11" w:right="6"/>
              <w:rPr>
                <w:sz w:val="20"/>
              </w:rPr>
            </w:pPr>
            <w:r>
              <w:rPr>
                <w:spacing w:val="-5"/>
                <w:sz w:val="20"/>
              </w:rPr>
              <w:t>20%</w:t>
            </w:r>
          </w:p>
        </w:tc>
      </w:tr>
      <w:tr>
        <w:trPr>
          <w:trHeight w:val="232" w:hRule="atLeast"/>
        </w:trPr>
        <w:tc>
          <w:tcPr>
            <w:tcW w:w="1066" w:type="dxa"/>
          </w:tcPr>
          <w:p>
            <w:pPr>
              <w:pStyle w:val="TableParagraph"/>
              <w:spacing w:before="1"/>
              <w:ind w:left="9"/>
              <w:rPr>
                <w:sz w:val="20"/>
              </w:rPr>
            </w:pPr>
            <w:r>
              <w:rPr>
                <w:spacing w:val="-5"/>
                <w:sz w:val="20"/>
              </w:rPr>
              <w:t>449</w:t>
            </w:r>
          </w:p>
        </w:tc>
        <w:tc>
          <w:tcPr>
            <w:tcW w:w="6940" w:type="dxa"/>
          </w:tcPr>
          <w:p>
            <w:pPr>
              <w:pStyle w:val="TableParagraph"/>
              <w:spacing w:before="1"/>
              <w:jc w:val="left"/>
              <w:rPr>
                <w:sz w:val="20"/>
              </w:rPr>
            </w:pPr>
            <w:r>
              <w:rPr>
                <w:sz w:val="20"/>
              </w:rPr>
              <w:t>Secuela</w:t>
            </w:r>
            <w:r>
              <w:rPr>
                <w:spacing w:val="-5"/>
                <w:sz w:val="20"/>
              </w:rPr>
              <w:t> </w:t>
            </w:r>
            <w:r>
              <w:rPr>
                <w:sz w:val="20"/>
              </w:rPr>
              <w:t>de</w:t>
            </w:r>
            <w:r>
              <w:rPr>
                <w:spacing w:val="-7"/>
                <w:sz w:val="20"/>
              </w:rPr>
              <w:t> </w:t>
            </w:r>
            <w:r>
              <w:rPr>
                <w:sz w:val="20"/>
              </w:rPr>
              <w:t>fracturas</w:t>
            </w:r>
            <w:r>
              <w:rPr>
                <w:spacing w:val="-5"/>
                <w:sz w:val="20"/>
              </w:rPr>
              <w:t> </w:t>
            </w:r>
            <w:r>
              <w:rPr>
                <w:sz w:val="20"/>
              </w:rPr>
              <w:t>de</w:t>
            </w:r>
            <w:r>
              <w:rPr>
                <w:spacing w:val="-6"/>
                <w:sz w:val="20"/>
              </w:rPr>
              <w:t> </w:t>
            </w:r>
            <w:r>
              <w:rPr>
                <w:sz w:val="20"/>
              </w:rPr>
              <w:t>una</w:t>
            </w:r>
            <w:r>
              <w:rPr>
                <w:spacing w:val="-6"/>
                <w:sz w:val="20"/>
              </w:rPr>
              <w:t> </w:t>
            </w:r>
            <w:r>
              <w:rPr>
                <w:sz w:val="20"/>
              </w:rPr>
              <w:t>a</w:t>
            </w:r>
            <w:r>
              <w:rPr>
                <w:spacing w:val="-7"/>
                <w:sz w:val="20"/>
              </w:rPr>
              <w:t> </w:t>
            </w:r>
            <w:r>
              <w:rPr>
                <w:sz w:val="20"/>
              </w:rPr>
              <w:t>tres</w:t>
            </w:r>
            <w:r>
              <w:rPr>
                <w:spacing w:val="-5"/>
                <w:sz w:val="20"/>
              </w:rPr>
              <w:t> </w:t>
            </w:r>
            <w:r>
              <w:rPr>
                <w:sz w:val="20"/>
              </w:rPr>
              <w:t>costillas,</w:t>
            </w:r>
            <w:r>
              <w:rPr>
                <w:spacing w:val="-6"/>
                <w:sz w:val="20"/>
              </w:rPr>
              <w:t> </w:t>
            </w:r>
            <w:r>
              <w:rPr>
                <w:sz w:val="20"/>
              </w:rPr>
              <w:t>con</w:t>
            </w:r>
            <w:r>
              <w:rPr>
                <w:spacing w:val="-5"/>
                <w:sz w:val="20"/>
              </w:rPr>
              <w:t> </w:t>
            </w:r>
            <w:r>
              <w:rPr>
                <w:sz w:val="20"/>
              </w:rPr>
              <w:t>dolores</w:t>
            </w:r>
            <w:r>
              <w:rPr>
                <w:spacing w:val="-6"/>
                <w:sz w:val="20"/>
              </w:rPr>
              <w:t> </w:t>
            </w:r>
            <w:r>
              <w:rPr>
                <w:sz w:val="20"/>
              </w:rPr>
              <w:t>al</w:t>
            </w:r>
            <w:r>
              <w:rPr>
                <w:spacing w:val="-5"/>
                <w:sz w:val="20"/>
              </w:rPr>
              <w:t> </w:t>
            </w:r>
            <w:r>
              <w:rPr>
                <w:sz w:val="20"/>
              </w:rPr>
              <w:t>esfuerzo</w:t>
            </w:r>
            <w:r>
              <w:rPr>
                <w:spacing w:val="-6"/>
                <w:sz w:val="20"/>
              </w:rPr>
              <w:t> </w:t>
            </w:r>
            <w:r>
              <w:rPr>
                <w:spacing w:val="-2"/>
                <w:sz w:val="20"/>
              </w:rPr>
              <w:t>físico.</w:t>
            </w:r>
          </w:p>
        </w:tc>
        <w:tc>
          <w:tcPr>
            <w:tcW w:w="1543" w:type="dxa"/>
          </w:tcPr>
          <w:p>
            <w:pPr>
              <w:pStyle w:val="TableParagraph"/>
              <w:spacing w:before="1"/>
              <w:ind w:left="11" w:right="3"/>
              <w:rPr>
                <w:sz w:val="20"/>
              </w:rPr>
            </w:pPr>
            <w:r>
              <w:rPr>
                <w:sz w:val="20"/>
              </w:rPr>
              <w:t>5</w:t>
            </w:r>
            <w:r>
              <w:rPr>
                <w:spacing w:val="-3"/>
                <w:sz w:val="20"/>
              </w:rPr>
              <w:t> </w:t>
            </w:r>
            <w:r>
              <w:rPr>
                <w:sz w:val="20"/>
              </w:rPr>
              <w:t>a</w:t>
            </w:r>
            <w:r>
              <w:rPr>
                <w:spacing w:val="-3"/>
                <w:sz w:val="20"/>
              </w:rPr>
              <w:t> </w:t>
            </w:r>
            <w:r>
              <w:rPr>
                <w:spacing w:val="-5"/>
                <w:sz w:val="20"/>
              </w:rPr>
              <w:t>10%</w:t>
            </w:r>
          </w:p>
        </w:tc>
      </w:tr>
      <w:tr>
        <w:trPr>
          <w:trHeight w:val="457" w:hRule="atLeast"/>
        </w:trPr>
        <w:tc>
          <w:tcPr>
            <w:tcW w:w="1066" w:type="dxa"/>
          </w:tcPr>
          <w:p>
            <w:pPr>
              <w:pStyle w:val="TableParagraph"/>
              <w:spacing w:line="240" w:lineRule="auto" w:before="112"/>
              <w:ind w:left="9"/>
              <w:rPr>
                <w:sz w:val="20"/>
              </w:rPr>
            </w:pPr>
            <w:r>
              <w:rPr>
                <w:spacing w:val="-5"/>
                <w:sz w:val="20"/>
              </w:rPr>
              <w:t>450</w:t>
            </w:r>
          </w:p>
        </w:tc>
        <w:tc>
          <w:tcPr>
            <w:tcW w:w="6940" w:type="dxa"/>
          </w:tcPr>
          <w:p>
            <w:pPr>
              <w:pStyle w:val="TableParagraph"/>
              <w:spacing w:line="228" w:lineRule="exact"/>
              <w:ind w:right="106"/>
              <w:jc w:val="left"/>
              <w:rPr>
                <w:sz w:val="20"/>
              </w:rPr>
            </w:pPr>
            <w:r>
              <w:rPr>
                <w:sz w:val="20"/>
              </w:rPr>
              <w:t>De fracturas costales o condrales con dolor y dificultad al esfuerzo torácico</w:t>
            </w:r>
            <w:r>
              <w:rPr>
                <w:spacing w:val="40"/>
                <w:sz w:val="20"/>
              </w:rPr>
              <w:t> </w:t>
            </w:r>
            <w:r>
              <w:rPr>
                <w:sz w:val="20"/>
              </w:rPr>
              <w:t>o abdominal.</w:t>
            </w:r>
          </w:p>
        </w:tc>
        <w:tc>
          <w:tcPr>
            <w:tcW w:w="1543" w:type="dxa"/>
          </w:tcPr>
          <w:p>
            <w:pPr>
              <w:pStyle w:val="TableParagraph"/>
              <w:spacing w:line="240" w:lineRule="auto" w:before="112"/>
              <w:ind w:left="11" w:right="4"/>
              <w:rPr>
                <w:sz w:val="20"/>
              </w:rPr>
            </w:pPr>
            <w:r>
              <w:rPr>
                <w:sz w:val="20"/>
              </w:rPr>
              <w:t>10</w:t>
            </w:r>
            <w:r>
              <w:rPr>
                <w:spacing w:val="-3"/>
                <w:sz w:val="20"/>
              </w:rPr>
              <w:t> </w:t>
            </w:r>
            <w:r>
              <w:rPr>
                <w:sz w:val="20"/>
              </w:rPr>
              <w:t>a</w:t>
            </w:r>
            <w:r>
              <w:rPr>
                <w:spacing w:val="-1"/>
                <w:sz w:val="20"/>
              </w:rPr>
              <w:t> </w:t>
            </w:r>
            <w:r>
              <w:rPr>
                <w:spacing w:val="-5"/>
                <w:sz w:val="20"/>
              </w:rPr>
              <w:t>15%</w:t>
            </w:r>
          </w:p>
        </w:tc>
      </w:tr>
      <w:tr>
        <w:trPr>
          <w:trHeight w:val="460" w:hRule="atLeast"/>
        </w:trPr>
        <w:tc>
          <w:tcPr>
            <w:tcW w:w="1066" w:type="dxa"/>
          </w:tcPr>
          <w:p>
            <w:pPr>
              <w:pStyle w:val="TableParagraph"/>
              <w:spacing w:line="240" w:lineRule="auto" w:before="114"/>
              <w:ind w:left="9"/>
              <w:rPr>
                <w:sz w:val="20"/>
              </w:rPr>
            </w:pPr>
            <w:r>
              <w:rPr>
                <w:spacing w:val="-5"/>
                <w:sz w:val="20"/>
              </w:rPr>
              <w:t>451</w:t>
            </w:r>
          </w:p>
        </w:tc>
        <w:tc>
          <w:tcPr>
            <w:tcW w:w="6940" w:type="dxa"/>
          </w:tcPr>
          <w:p>
            <w:pPr>
              <w:pStyle w:val="TableParagraph"/>
              <w:spacing w:line="230" w:lineRule="exact"/>
              <w:jc w:val="left"/>
              <w:rPr>
                <w:sz w:val="20"/>
              </w:rPr>
            </w:pPr>
            <w:r>
              <w:rPr>
                <w:sz w:val="20"/>
              </w:rPr>
              <w:t>De</w:t>
            </w:r>
            <w:r>
              <w:rPr>
                <w:spacing w:val="80"/>
                <w:sz w:val="20"/>
              </w:rPr>
              <w:t> </w:t>
            </w:r>
            <w:r>
              <w:rPr>
                <w:sz w:val="20"/>
              </w:rPr>
              <w:t>fracturas</w:t>
            </w:r>
            <w:r>
              <w:rPr>
                <w:spacing w:val="80"/>
                <w:sz w:val="20"/>
              </w:rPr>
              <w:t> </w:t>
            </w:r>
            <w:r>
              <w:rPr>
                <w:sz w:val="20"/>
              </w:rPr>
              <w:t>costales</w:t>
            </w:r>
            <w:r>
              <w:rPr>
                <w:spacing w:val="80"/>
                <w:sz w:val="20"/>
              </w:rPr>
              <w:t> </w:t>
            </w:r>
            <w:r>
              <w:rPr>
                <w:sz w:val="20"/>
              </w:rPr>
              <w:t>con</w:t>
            </w:r>
            <w:r>
              <w:rPr>
                <w:spacing w:val="80"/>
                <w:sz w:val="20"/>
              </w:rPr>
              <w:t> </w:t>
            </w:r>
            <w:r>
              <w:rPr>
                <w:sz w:val="20"/>
              </w:rPr>
              <w:t>hundimiento</w:t>
            </w:r>
            <w:r>
              <w:rPr>
                <w:spacing w:val="80"/>
                <w:sz w:val="20"/>
              </w:rPr>
              <w:t> </w:t>
            </w:r>
            <w:r>
              <w:rPr>
                <w:sz w:val="20"/>
              </w:rPr>
              <w:t>y</w:t>
            </w:r>
            <w:r>
              <w:rPr>
                <w:spacing w:val="80"/>
                <w:sz w:val="20"/>
              </w:rPr>
              <w:t> </w:t>
            </w:r>
            <w:r>
              <w:rPr>
                <w:sz w:val="20"/>
              </w:rPr>
              <w:t>trastornos</w:t>
            </w:r>
            <w:r>
              <w:rPr>
                <w:spacing w:val="80"/>
                <w:sz w:val="20"/>
              </w:rPr>
              <w:t> </w:t>
            </w:r>
            <w:r>
              <w:rPr>
                <w:sz w:val="20"/>
              </w:rPr>
              <w:t>funcionales</w:t>
            </w:r>
            <w:r>
              <w:rPr>
                <w:spacing w:val="80"/>
                <w:sz w:val="20"/>
              </w:rPr>
              <w:t> </w:t>
            </w:r>
            <w:r>
              <w:rPr>
                <w:sz w:val="20"/>
              </w:rPr>
              <w:t>más </w:t>
            </w:r>
            <w:r>
              <w:rPr>
                <w:spacing w:val="-2"/>
                <w:sz w:val="20"/>
              </w:rPr>
              <w:t>acentuados.</w:t>
            </w:r>
          </w:p>
        </w:tc>
        <w:tc>
          <w:tcPr>
            <w:tcW w:w="1543" w:type="dxa"/>
          </w:tcPr>
          <w:p>
            <w:pPr>
              <w:pStyle w:val="TableParagraph"/>
              <w:spacing w:line="240" w:lineRule="auto" w:before="114"/>
              <w:ind w:left="11" w:right="4"/>
              <w:rPr>
                <w:sz w:val="20"/>
              </w:rPr>
            </w:pPr>
            <w:r>
              <w:rPr>
                <w:sz w:val="20"/>
              </w:rPr>
              <w:t>20</w:t>
            </w:r>
            <w:r>
              <w:rPr>
                <w:spacing w:val="-3"/>
                <w:sz w:val="20"/>
              </w:rPr>
              <w:t> </w:t>
            </w:r>
            <w:r>
              <w:rPr>
                <w:sz w:val="20"/>
              </w:rPr>
              <w:t>a</w:t>
            </w:r>
            <w:r>
              <w:rPr>
                <w:spacing w:val="-1"/>
                <w:sz w:val="20"/>
              </w:rPr>
              <w:t> </w:t>
            </w:r>
            <w:r>
              <w:rPr>
                <w:spacing w:val="-5"/>
                <w:sz w:val="20"/>
              </w:rPr>
              <w:t>30%</w:t>
            </w:r>
          </w:p>
        </w:tc>
      </w:tr>
      <w:tr>
        <w:trPr>
          <w:trHeight w:val="229" w:hRule="atLeast"/>
        </w:trPr>
        <w:tc>
          <w:tcPr>
            <w:tcW w:w="1066" w:type="dxa"/>
          </w:tcPr>
          <w:p>
            <w:pPr>
              <w:pStyle w:val="TableParagraph"/>
              <w:ind w:left="9"/>
              <w:rPr>
                <w:sz w:val="20"/>
              </w:rPr>
            </w:pPr>
            <w:r>
              <w:rPr>
                <w:spacing w:val="-5"/>
                <w:sz w:val="20"/>
              </w:rPr>
              <w:t>452</w:t>
            </w:r>
          </w:p>
        </w:tc>
        <w:tc>
          <w:tcPr>
            <w:tcW w:w="6940" w:type="dxa"/>
          </w:tcPr>
          <w:p>
            <w:pPr>
              <w:pStyle w:val="TableParagraph"/>
              <w:jc w:val="left"/>
              <w:rPr>
                <w:sz w:val="20"/>
              </w:rPr>
            </w:pPr>
            <w:r>
              <w:rPr>
                <w:sz w:val="20"/>
              </w:rPr>
              <w:t>Adherencias</w:t>
            </w:r>
            <w:r>
              <w:rPr>
                <w:spacing w:val="-9"/>
                <w:sz w:val="20"/>
              </w:rPr>
              <w:t> </w:t>
            </w:r>
            <w:r>
              <w:rPr>
                <w:sz w:val="20"/>
              </w:rPr>
              <w:t>y</w:t>
            </w:r>
            <w:r>
              <w:rPr>
                <w:spacing w:val="-13"/>
                <w:sz w:val="20"/>
              </w:rPr>
              <w:t> </w:t>
            </w:r>
            <w:r>
              <w:rPr>
                <w:sz w:val="20"/>
              </w:rPr>
              <w:t>retracciones</w:t>
            </w:r>
            <w:r>
              <w:rPr>
                <w:spacing w:val="-10"/>
                <w:sz w:val="20"/>
              </w:rPr>
              <w:t> </w:t>
            </w:r>
            <w:r>
              <w:rPr>
                <w:sz w:val="20"/>
              </w:rPr>
              <w:t>cicatrizales</w:t>
            </w:r>
            <w:r>
              <w:rPr>
                <w:spacing w:val="-9"/>
                <w:sz w:val="20"/>
              </w:rPr>
              <w:t> </w:t>
            </w:r>
            <w:r>
              <w:rPr>
                <w:spacing w:val="-2"/>
                <w:sz w:val="20"/>
              </w:rPr>
              <w:t>pleurales.</w:t>
            </w:r>
          </w:p>
        </w:tc>
        <w:tc>
          <w:tcPr>
            <w:tcW w:w="1543" w:type="dxa"/>
          </w:tcPr>
          <w:p>
            <w:pPr>
              <w:pStyle w:val="TableParagraph"/>
              <w:ind w:left="11" w:right="4"/>
              <w:rPr>
                <w:sz w:val="20"/>
              </w:rPr>
            </w:pPr>
            <w:r>
              <w:rPr>
                <w:sz w:val="20"/>
              </w:rPr>
              <w:t>20</w:t>
            </w:r>
            <w:r>
              <w:rPr>
                <w:spacing w:val="-3"/>
                <w:sz w:val="20"/>
              </w:rPr>
              <w:t> </w:t>
            </w:r>
            <w:r>
              <w:rPr>
                <w:sz w:val="20"/>
              </w:rPr>
              <w:t>a</w:t>
            </w:r>
            <w:r>
              <w:rPr>
                <w:spacing w:val="-1"/>
                <w:sz w:val="20"/>
              </w:rPr>
              <w:t> </w:t>
            </w:r>
            <w:r>
              <w:rPr>
                <w:spacing w:val="-5"/>
                <w:sz w:val="20"/>
              </w:rPr>
              <w:t>30%</w:t>
            </w:r>
          </w:p>
        </w:tc>
      </w:tr>
      <w:tr>
        <w:trPr>
          <w:trHeight w:val="921" w:hRule="atLeast"/>
        </w:trPr>
        <w:tc>
          <w:tcPr>
            <w:tcW w:w="1066" w:type="dxa"/>
          </w:tcPr>
          <w:p>
            <w:pPr>
              <w:pStyle w:val="TableParagraph"/>
              <w:spacing w:line="240" w:lineRule="auto" w:before="115"/>
              <w:ind w:left="0"/>
              <w:jc w:val="left"/>
              <w:rPr>
                <w:rFonts w:ascii="Arial"/>
                <w:b/>
                <w:sz w:val="20"/>
              </w:rPr>
            </w:pPr>
          </w:p>
          <w:p>
            <w:pPr>
              <w:pStyle w:val="TableParagraph"/>
              <w:spacing w:line="240" w:lineRule="auto"/>
              <w:ind w:left="9"/>
              <w:rPr>
                <w:sz w:val="20"/>
              </w:rPr>
            </w:pPr>
            <w:r>
              <w:rPr>
                <w:spacing w:val="-5"/>
                <w:sz w:val="20"/>
              </w:rPr>
              <w:t>453</w:t>
            </w:r>
          </w:p>
        </w:tc>
        <w:tc>
          <w:tcPr>
            <w:tcW w:w="6940" w:type="dxa"/>
          </w:tcPr>
          <w:p>
            <w:pPr>
              <w:pStyle w:val="TableParagraph"/>
              <w:spacing w:line="240" w:lineRule="auto"/>
              <w:ind w:right="61"/>
              <w:jc w:val="both"/>
              <w:rPr>
                <w:sz w:val="20"/>
              </w:rPr>
            </w:pPr>
            <w:r>
              <w:rPr>
                <w:sz w:val="20"/>
              </w:rPr>
              <w:t>Secuelas con alteraciones broncopulmonares (asma bronquial, enfisema pulmonar, bronquitis crónica, neumonitis, fibrosis, lesiones postraumáticas, etc.), según el grado de alteración orgánica y funcional, se utilizará la Tabla</w:t>
            </w:r>
          </w:p>
          <w:p>
            <w:pPr>
              <w:pStyle w:val="TableParagraph"/>
              <w:spacing w:before="1"/>
              <w:jc w:val="left"/>
              <w:rPr>
                <w:sz w:val="20"/>
              </w:rPr>
            </w:pPr>
            <w:r>
              <w:rPr>
                <w:spacing w:val="-5"/>
                <w:sz w:val="20"/>
              </w:rPr>
              <w:t>VI.</w:t>
            </w:r>
          </w:p>
        </w:tc>
        <w:tc>
          <w:tcPr>
            <w:tcW w:w="1543" w:type="dxa"/>
          </w:tcPr>
          <w:p>
            <w:pPr>
              <w:pStyle w:val="TableParagraph"/>
              <w:spacing w:line="240" w:lineRule="auto" w:before="115"/>
              <w:ind w:left="0"/>
              <w:jc w:val="left"/>
              <w:rPr>
                <w:rFonts w:ascii="Arial"/>
                <w:b/>
                <w:sz w:val="20"/>
              </w:rPr>
            </w:pPr>
          </w:p>
          <w:p>
            <w:pPr>
              <w:pStyle w:val="TableParagraph"/>
              <w:spacing w:line="240" w:lineRule="auto"/>
              <w:ind w:left="11"/>
              <w:rPr>
                <w:sz w:val="20"/>
              </w:rPr>
            </w:pPr>
            <w:r>
              <w:rPr>
                <w:spacing w:val="-2"/>
                <w:sz w:val="20"/>
              </w:rPr>
              <w:t>-</w:t>
            </w:r>
            <w:r>
              <w:rPr>
                <w:spacing w:val="-12"/>
                <w:sz w:val="20"/>
              </w:rPr>
              <w:t>-</w:t>
            </w:r>
          </w:p>
        </w:tc>
      </w:tr>
    </w:tbl>
    <w:p>
      <w:pPr>
        <w:pStyle w:val="BodyText"/>
        <w:spacing w:before="3"/>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31"/>
        <w:gridCol w:w="1052"/>
        <w:gridCol w:w="905"/>
        <w:gridCol w:w="905"/>
        <w:gridCol w:w="1244"/>
        <w:gridCol w:w="905"/>
        <w:gridCol w:w="987"/>
        <w:gridCol w:w="1098"/>
        <w:gridCol w:w="925"/>
      </w:tblGrid>
      <w:tr>
        <w:trPr>
          <w:trHeight w:val="551" w:hRule="atLeast"/>
        </w:trPr>
        <w:tc>
          <w:tcPr>
            <w:tcW w:w="9552" w:type="dxa"/>
            <w:gridSpan w:val="9"/>
            <w:shd w:val="clear" w:color="auto" w:fill="C0C0C0"/>
          </w:tcPr>
          <w:p>
            <w:pPr>
              <w:pStyle w:val="TableParagraph"/>
              <w:spacing w:line="180" w:lineRule="exact"/>
              <w:ind w:left="11"/>
              <w:rPr>
                <w:rFonts w:ascii="Arial"/>
                <w:b/>
                <w:sz w:val="16"/>
              </w:rPr>
            </w:pPr>
            <w:r>
              <w:rPr>
                <w:rFonts w:ascii="Arial"/>
                <w:b/>
                <w:sz w:val="16"/>
              </w:rPr>
              <w:t>Tabla</w:t>
            </w:r>
            <w:r>
              <w:rPr>
                <w:rFonts w:ascii="Arial"/>
                <w:b/>
                <w:spacing w:val="-3"/>
                <w:sz w:val="16"/>
              </w:rPr>
              <w:t> </w:t>
            </w:r>
            <w:r>
              <w:rPr>
                <w:rFonts w:ascii="Arial"/>
                <w:b/>
                <w:spacing w:val="-5"/>
                <w:sz w:val="16"/>
              </w:rPr>
              <w:t>VI</w:t>
            </w:r>
          </w:p>
          <w:p>
            <w:pPr>
              <w:pStyle w:val="TableParagraph"/>
              <w:spacing w:line="168" w:lineRule="exact" w:before="183"/>
              <w:ind w:left="11" w:right="3"/>
              <w:rPr>
                <w:rFonts w:ascii="Arial" w:hAnsi="Arial"/>
                <w:b/>
                <w:sz w:val="16"/>
              </w:rPr>
            </w:pPr>
            <w:r>
              <w:rPr>
                <w:rFonts w:ascii="Arial" w:hAnsi="Arial"/>
                <w:b/>
                <w:sz w:val="16"/>
              </w:rPr>
              <w:t>Graduación</w:t>
            </w:r>
            <w:r>
              <w:rPr>
                <w:rFonts w:ascii="Arial" w:hAnsi="Arial"/>
                <w:b/>
                <w:spacing w:val="-8"/>
                <w:sz w:val="16"/>
              </w:rPr>
              <w:t> </w:t>
            </w:r>
            <w:r>
              <w:rPr>
                <w:rFonts w:ascii="Arial" w:hAnsi="Arial"/>
                <w:b/>
                <w:sz w:val="16"/>
              </w:rPr>
              <w:t>de</w:t>
            </w:r>
            <w:r>
              <w:rPr>
                <w:rFonts w:ascii="Arial" w:hAnsi="Arial"/>
                <w:b/>
                <w:spacing w:val="-9"/>
                <w:sz w:val="16"/>
              </w:rPr>
              <w:t> </w:t>
            </w:r>
            <w:r>
              <w:rPr>
                <w:rFonts w:ascii="Arial" w:hAnsi="Arial"/>
                <w:b/>
                <w:sz w:val="16"/>
              </w:rPr>
              <w:t>la</w:t>
            </w:r>
            <w:r>
              <w:rPr>
                <w:rFonts w:ascii="Arial" w:hAnsi="Arial"/>
                <w:b/>
                <w:spacing w:val="-9"/>
                <w:sz w:val="16"/>
              </w:rPr>
              <w:t> </w:t>
            </w:r>
            <w:r>
              <w:rPr>
                <w:rFonts w:ascii="Arial" w:hAnsi="Arial"/>
                <w:b/>
                <w:sz w:val="16"/>
              </w:rPr>
              <w:t>deficiencia</w:t>
            </w:r>
            <w:r>
              <w:rPr>
                <w:rFonts w:ascii="Arial" w:hAnsi="Arial"/>
                <w:b/>
                <w:spacing w:val="-7"/>
                <w:sz w:val="16"/>
              </w:rPr>
              <w:t> </w:t>
            </w:r>
            <w:r>
              <w:rPr>
                <w:rFonts w:ascii="Arial" w:hAnsi="Arial"/>
                <w:b/>
                <w:sz w:val="16"/>
              </w:rPr>
              <w:t>respiratoria</w:t>
            </w:r>
            <w:r>
              <w:rPr>
                <w:rFonts w:ascii="Arial" w:hAnsi="Arial"/>
                <w:b/>
                <w:spacing w:val="-9"/>
                <w:sz w:val="16"/>
              </w:rPr>
              <w:t> </w:t>
            </w:r>
            <w:r>
              <w:rPr>
                <w:rFonts w:ascii="Arial" w:hAnsi="Arial"/>
                <w:b/>
                <w:sz w:val="16"/>
              </w:rPr>
              <w:t>en</w:t>
            </w:r>
            <w:r>
              <w:rPr>
                <w:rFonts w:ascii="Arial" w:hAnsi="Arial"/>
                <w:b/>
                <w:spacing w:val="-6"/>
                <w:sz w:val="16"/>
              </w:rPr>
              <w:t> </w:t>
            </w:r>
            <w:r>
              <w:rPr>
                <w:rFonts w:ascii="Arial" w:hAnsi="Arial"/>
                <w:b/>
                <w:sz w:val="16"/>
              </w:rPr>
              <w:t>enfermedades</w:t>
            </w:r>
            <w:r>
              <w:rPr>
                <w:rFonts w:ascii="Arial" w:hAnsi="Arial"/>
                <w:b/>
                <w:spacing w:val="-10"/>
                <w:sz w:val="16"/>
              </w:rPr>
              <w:t> </w:t>
            </w:r>
            <w:r>
              <w:rPr>
                <w:rFonts w:ascii="Arial" w:hAnsi="Arial"/>
                <w:b/>
                <w:sz w:val="16"/>
              </w:rPr>
              <w:t>pulmonares</w:t>
            </w:r>
            <w:r>
              <w:rPr>
                <w:rFonts w:ascii="Arial" w:hAnsi="Arial"/>
                <w:b/>
                <w:spacing w:val="-7"/>
                <w:sz w:val="16"/>
              </w:rPr>
              <w:t> </w:t>
            </w:r>
            <w:r>
              <w:rPr>
                <w:rFonts w:ascii="Arial" w:hAnsi="Arial"/>
                <w:b/>
                <w:sz w:val="16"/>
              </w:rPr>
              <w:t>del</w:t>
            </w:r>
            <w:r>
              <w:rPr>
                <w:rFonts w:ascii="Arial" w:hAnsi="Arial"/>
                <w:b/>
                <w:spacing w:val="-5"/>
                <w:sz w:val="16"/>
              </w:rPr>
              <w:t> </w:t>
            </w:r>
            <w:r>
              <w:rPr>
                <w:rFonts w:ascii="Arial" w:hAnsi="Arial"/>
                <w:b/>
                <w:spacing w:val="-2"/>
                <w:sz w:val="16"/>
              </w:rPr>
              <w:t>trabajo</w:t>
            </w:r>
          </w:p>
        </w:tc>
      </w:tr>
      <w:tr>
        <w:trPr>
          <w:trHeight w:val="551" w:hRule="atLeast"/>
        </w:trPr>
        <w:tc>
          <w:tcPr>
            <w:tcW w:w="1531" w:type="dxa"/>
            <w:shd w:val="clear" w:color="auto" w:fill="C0C0C0"/>
          </w:tcPr>
          <w:p>
            <w:pPr>
              <w:pStyle w:val="TableParagraph"/>
              <w:spacing w:line="240" w:lineRule="auto" w:before="181"/>
              <w:ind w:left="501"/>
              <w:jc w:val="left"/>
              <w:rPr>
                <w:rFonts w:ascii="Arial" w:hAnsi="Arial"/>
                <w:b/>
                <w:sz w:val="16"/>
              </w:rPr>
            </w:pPr>
            <w:r>
              <w:rPr>
                <w:rFonts w:ascii="Arial" w:hAnsi="Arial"/>
                <w:b/>
                <w:spacing w:val="-2"/>
                <w:sz w:val="16"/>
              </w:rPr>
              <w:t>Clínica</w:t>
            </w:r>
          </w:p>
        </w:tc>
        <w:tc>
          <w:tcPr>
            <w:tcW w:w="1052" w:type="dxa"/>
            <w:shd w:val="clear" w:color="auto" w:fill="C0C0C0"/>
          </w:tcPr>
          <w:p>
            <w:pPr>
              <w:pStyle w:val="TableParagraph"/>
              <w:spacing w:line="180" w:lineRule="exact"/>
              <w:ind w:left="271" w:hanging="80"/>
              <w:jc w:val="left"/>
              <w:rPr>
                <w:rFonts w:ascii="Arial"/>
                <w:b/>
                <w:sz w:val="16"/>
              </w:rPr>
            </w:pPr>
            <w:r>
              <w:rPr>
                <w:rFonts w:ascii="Arial"/>
                <w:b/>
                <w:spacing w:val="-2"/>
                <w:sz w:val="16"/>
              </w:rPr>
              <w:t>Ejercicio</w:t>
            </w:r>
          </w:p>
          <w:p>
            <w:pPr>
              <w:pStyle w:val="TableParagraph"/>
              <w:spacing w:line="182" w:lineRule="exact"/>
              <w:ind w:left="155" w:firstLine="115"/>
              <w:jc w:val="left"/>
              <w:rPr>
                <w:rFonts w:ascii="Arial"/>
                <w:b/>
                <w:sz w:val="16"/>
              </w:rPr>
            </w:pPr>
            <w:r>
              <w:rPr>
                <w:rFonts w:ascii="Arial"/>
                <w:b/>
                <w:spacing w:val="-2"/>
                <w:sz w:val="16"/>
              </w:rPr>
              <w:t>Cardio Pulmonar</w:t>
            </w:r>
          </w:p>
        </w:tc>
        <w:tc>
          <w:tcPr>
            <w:tcW w:w="3959" w:type="dxa"/>
            <w:gridSpan w:val="4"/>
            <w:shd w:val="clear" w:color="auto" w:fill="C0C0C0"/>
          </w:tcPr>
          <w:p>
            <w:pPr>
              <w:pStyle w:val="TableParagraph"/>
              <w:spacing w:line="240" w:lineRule="auto" w:before="181"/>
              <w:ind w:left="1168"/>
              <w:jc w:val="left"/>
              <w:rPr>
                <w:rFonts w:ascii="Arial" w:hAnsi="Arial"/>
                <w:b/>
                <w:sz w:val="16"/>
              </w:rPr>
            </w:pPr>
            <w:r>
              <w:rPr>
                <w:rFonts w:ascii="Arial" w:hAnsi="Arial"/>
                <w:b/>
                <w:sz w:val="16"/>
              </w:rPr>
              <w:t>Mecánica</w:t>
            </w:r>
            <w:r>
              <w:rPr>
                <w:rFonts w:ascii="Arial" w:hAnsi="Arial"/>
                <w:b/>
                <w:spacing w:val="-5"/>
                <w:sz w:val="16"/>
              </w:rPr>
              <w:t> </w:t>
            </w:r>
            <w:r>
              <w:rPr>
                <w:rFonts w:ascii="Arial" w:hAnsi="Arial"/>
                <w:b/>
                <w:spacing w:val="-2"/>
                <w:sz w:val="16"/>
              </w:rPr>
              <w:t>ventilatoria</w:t>
            </w:r>
          </w:p>
        </w:tc>
        <w:tc>
          <w:tcPr>
            <w:tcW w:w="2085" w:type="dxa"/>
            <w:gridSpan w:val="2"/>
            <w:shd w:val="clear" w:color="auto" w:fill="C0C0C0"/>
          </w:tcPr>
          <w:p>
            <w:pPr>
              <w:pStyle w:val="TableParagraph"/>
              <w:spacing w:line="240" w:lineRule="auto" w:before="181"/>
              <w:ind w:left="92"/>
              <w:jc w:val="left"/>
              <w:rPr>
                <w:rFonts w:ascii="Arial"/>
                <w:b/>
                <w:sz w:val="16"/>
              </w:rPr>
            </w:pPr>
            <w:r>
              <w:rPr>
                <w:rFonts w:ascii="Arial"/>
                <w:b/>
                <w:spacing w:val="-2"/>
                <w:sz w:val="16"/>
              </w:rPr>
              <w:t>Insuficiencia</w:t>
            </w:r>
            <w:r>
              <w:rPr>
                <w:rFonts w:ascii="Arial"/>
                <w:b/>
                <w:spacing w:val="14"/>
                <w:sz w:val="16"/>
              </w:rPr>
              <w:t> </w:t>
            </w:r>
            <w:r>
              <w:rPr>
                <w:rFonts w:ascii="Arial"/>
                <w:b/>
                <w:spacing w:val="-2"/>
                <w:sz w:val="16"/>
              </w:rPr>
              <w:t>respiratoria</w:t>
            </w:r>
          </w:p>
        </w:tc>
        <w:tc>
          <w:tcPr>
            <w:tcW w:w="925" w:type="dxa"/>
            <w:shd w:val="clear" w:color="auto" w:fill="C0C0C0"/>
          </w:tcPr>
          <w:p>
            <w:pPr>
              <w:pStyle w:val="TableParagraph"/>
              <w:spacing w:line="240" w:lineRule="auto" w:before="181"/>
              <w:ind w:left="9" w:right="4"/>
              <w:rPr>
                <w:rFonts w:ascii="Arial" w:hAnsi="Arial"/>
                <w:b/>
                <w:sz w:val="16"/>
              </w:rPr>
            </w:pPr>
            <w:r>
              <w:rPr>
                <w:rFonts w:ascii="Arial" w:hAnsi="Arial"/>
                <w:b/>
                <w:spacing w:val="-2"/>
                <w:sz w:val="16"/>
              </w:rPr>
              <w:t>Valuación</w:t>
            </w:r>
          </w:p>
        </w:tc>
      </w:tr>
      <w:tr>
        <w:trPr>
          <w:trHeight w:val="369" w:hRule="atLeast"/>
        </w:trPr>
        <w:tc>
          <w:tcPr>
            <w:tcW w:w="1531" w:type="dxa"/>
            <w:shd w:val="clear" w:color="auto" w:fill="C0C0C0"/>
          </w:tcPr>
          <w:p>
            <w:pPr>
              <w:pStyle w:val="TableParagraph"/>
              <w:spacing w:line="180" w:lineRule="exact"/>
              <w:ind w:left="17" w:right="4"/>
              <w:rPr>
                <w:rFonts w:ascii="Arial"/>
                <w:b/>
                <w:sz w:val="16"/>
              </w:rPr>
            </w:pPr>
            <w:r>
              <w:rPr>
                <w:rFonts w:ascii="Arial"/>
                <w:b/>
                <w:spacing w:val="-2"/>
                <w:sz w:val="16"/>
              </w:rPr>
              <w:t>Disnea</w:t>
            </w:r>
          </w:p>
          <w:p>
            <w:pPr>
              <w:pStyle w:val="TableParagraph"/>
              <w:spacing w:line="168" w:lineRule="exact" w:before="1"/>
              <w:ind w:left="17" w:right="6"/>
              <w:rPr>
                <w:rFonts w:ascii="Arial" w:hAnsi="Arial"/>
                <w:b/>
                <w:sz w:val="16"/>
              </w:rPr>
            </w:pPr>
            <w:r>
              <w:rPr>
                <w:rFonts w:ascii="Arial" w:hAnsi="Arial"/>
                <w:b/>
                <w:sz w:val="16"/>
              </w:rPr>
              <w:t>clasificación</w:t>
            </w:r>
            <w:r>
              <w:rPr>
                <w:rFonts w:ascii="Arial" w:hAnsi="Arial"/>
                <w:b/>
                <w:spacing w:val="-9"/>
                <w:sz w:val="16"/>
              </w:rPr>
              <w:t> </w:t>
            </w:r>
            <w:r>
              <w:rPr>
                <w:rFonts w:ascii="Arial" w:hAnsi="Arial"/>
                <w:b/>
                <w:spacing w:val="-4"/>
                <w:sz w:val="16"/>
              </w:rPr>
              <w:t>Borg</w:t>
            </w:r>
          </w:p>
        </w:tc>
        <w:tc>
          <w:tcPr>
            <w:tcW w:w="1052" w:type="dxa"/>
            <w:shd w:val="clear" w:color="auto" w:fill="C0C0C0"/>
          </w:tcPr>
          <w:p>
            <w:pPr>
              <w:pStyle w:val="TableParagraph"/>
              <w:spacing w:line="180" w:lineRule="exact"/>
              <w:ind w:left="220"/>
              <w:jc w:val="left"/>
              <w:rPr>
                <w:rFonts w:ascii="Arial"/>
                <w:b/>
                <w:sz w:val="16"/>
              </w:rPr>
            </w:pPr>
            <w:r>
              <w:rPr>
                <w:rFonts w:ascii="Arial"/>
                <w:b/>
                <w:spacing w:val="-2"/>
                <w:sz w:val="16"/>
              </w:rPr>
              <w:t>VO</w:t>
            </w:r>
            <w:r>
              <w:rPr>
                <w:rFonts w:ascii="Arial"/>
                <w:b/>
                <w:spacing w:val="-2"/>
                <w:sz w:val="16"/>
                <w:vertAlign w:val="superscript"/>
              </w:rPr>
              <w:t>2</w:t>
            </w:r>
            <w:r>
              <w:rPr>
                <w:rFonts w:ascii="Arial"/>
                <w:b/>
                <w:spacing w:val="-2"/>
                <w:sz w:val="16"/>
                <w:vertAlign w:val="baseline"/>
              </w:rPr>
              <w:t>max</w:t>
            </w:r>
          </w:p>
          <w:p>
            <w:pPr>
              <w:pStyle w:val="TableParagraph"/>
              <w:spacing w:line="168" w:lineRule="exact" w:before="1"/>
              <w:ind w:left="151"/>
              <w:jc w:val="left"/>
              <w:rPr>
                <w:rFonts w:ascii="Arial"/>
                <w:b/>
                <w:sz w:val="16"/>
              </w:rPr>
            </w:pPr>
            <w:r>
              <w:rPr>
                <w:rFonts w:ascii="Arial"/>
                <w:b/>
                <w:spacing w:val="-2"/>
                <w:sz w:val="16"/>
              </w:rPr>
              <w:t>ml/kg/min</w:t>
            </w:r>
          </w:p>
        </w:tc>
        <w:tc>
          <w:tcPr>
            <w:tcW w:w="905" w:type="dxa"/>
            <w:shd w:val="clear" w:color="auto" w:fill="C0C0C0"/>
          </w:tcPr>
          <w:p>
            <w:pPr>
              <w:pStyle w:val="TableParagraph"/>
              <w:spacing w:line="180" w:lineRule="exact"/>
              <w:ind w:left="16"/>
              <w:rPr>
                <w:rFonts w:ascii="Arial"/>
                <w:b/>
                <w:sz w:val="16"/>
              </w:rPr>
            </w:pPr>
            <w:r>
              <w:rPr>
                <w:rFonts w:ascii="Arial"/>
                <w:b/>
                <w:spacing w:val="-5"/>
                <w:sz w:val="16"/>
              </w:rPr>
              <w:t>CVF</w:t>
            </w:r>
          </w:p>
          <w:p>
            <w:pPr>
              <w:pStyle w:val="TableParagraph"/>
              <w:spacing w:line="168" w:lineRule="exact" w:before="1"/>
              <w:ind w:left="16" w:right="1"/>
              <w:rPr>
                <w:rFonts w:ascii="Arial"/>
                <w:b/>
                <w:sz w:val="16"/>
              </w:rPr>
            </w:pPr>
            <w:r>
              <w:rPr>
                <w:rFonts w:ascii="Arial"/>
                <w:b/>
                <w:spacing w:val="-10"/>
                <w:sz w:val="16"/>
              </w:rPr>
              <w:t>%</w:t>
            </w:r>
          </w:p>
        </w:tc>
        <w:tc>
          <w:tcPr>
            <w:tcW w:w="905" w:type="dxa"/>
            <w:shd w:val="clear" w:color="auto" w:fill="C0C0C0"/>
          </w:tcPr>
          <w:p>
            <w:pPr>
              <w:pStyle w:val="TableParagraph"/>
              <w:spacing w:line="180" w:lineRule="exact"/>
              <w:ind w:left="251"/>
              <w:jc w:val="left"/>
              <w:rPr>
                <w:rFonts w:ascii="Arial"/>
                <w:b/>
                <w:sz w:val="16"/>
              </w:rPr>
            </w:pPr>
            <w:r>
              <w:rPr>
                <w:rFonts w:ascii="Arial"/>
                <w:b/>
                <w:spacing w:val="-4"/>
                <w:sz w:val="16"/>
              </w:rPr>
              <w:t>FEV1</w:t>
            </w:r>
          </w:p>
        </w:tc>
        <w:tc>
          <w:tcPr>
            <w:tcW w:w="1244" w:type="dxa"/>
            <w:shd w:val="clear" w:color="auto" w:fill="C0C0C0"/>
          </w:tcPr>
          <w:p>
            <w:pPr>
              <w:pStyle w:val="TableParagraph"/>
              <w:spacing w:line="180" w:lineRule="exact"/>
              <w:ind w:left="167"/>
              <w:jc w:val="left"/>
              <w:rPr>
                <w:rFonts w:ascii="Arial"/>
                <w:b/>
                <w:sz w:val="16"/>
              </w:rPr>
            </w:pPr>
            <w:r>
              <w:rPr>
                <w:rFonts w:ascii="Arial"/>
                <w:b/>
                <w:spacing w:val="-2"/>
                <w:sz w:val="16"/>
              </w:rPr>
              <w:t>Variabilidad</w:t>
            </w:r>
          </w:p>
          <w:p>
            <w:pPr>
              <w:pStyle w:val="TableParagraph"/>
              <w:spacing w:line="168" w:lineRule="exact" w:before="1"/>
              <w:ind w:left="256"/>
              <w:jc w:val="left"/>
              <w:rPr>
                <w:rFonts w:ascii="Arial"/>
                <w:b/>
                <w:sz w:val="16"/>
              </w:rPr>
            </w:pPr>
            <w:r>
              <w:rPr>
                <w:rFonts w:ascii="Arial"/>
                <w:b/>
                <w:sz w:val="16"/>
              </w:rPr>
              <w:t>del</w:t>
            </w:r>
            <w:r>
              <w:rPr>
                <w:rFonts w:ascii="Arial"/>
                <w:b/>
                <w:spacing w:val="-1"/>
                <w:sz w:val="16"/>
              </w:rPr>
              <w:t> </w:t>
            </w:r>
            <w:r>
              <w:rPr>
                <w:rFonts w:ascii="Arial"/>
                <w:b/>
                <w:spacing w:val="-4"/>
                <w:sz w:val="16"/>
              </w:rPr>
              <w:t>PEF%</w:t>
            </w:r>
          </w:p>
        </w:tc>
        <w:tc>
          <w:tcPr>
            <w:tcW w:w="905" w:type="dxa"/>
            <w:shd w:val="clear" w:color="auto" w:fill="C0C0C0"/>
          </w:tcPr>
          <w:p>
            <w:pPr>
              <w:pStyle w:val="TableParagraph"/>
              <w:spacing w:line="180" w:lineRule="exact"/>
              <w:ind w:left="73"/>
              <w:jc w:val="left"/>
              <w:rPr>
                <w:rFonts w:ascii="Arial"/>
                <w:b/>
                <w:sz w:val="16"/>
              </w:rPr>
            </w:pPr>
            <w:r>
              <w:rPr>
                <w:rFonts w:ascii="Arial"/>
                <w:b/>
                <w:sz w:val="16"/>
              </w:rPr>
              <w:t>FEF</w:t>
            </w:r>
            <w:r>
              <w:rPr>
                <w:rFonts w:ascii="Arial"/>
                <w:b/>
                <w:spacing w:val="-5"/>
                <w:sz w:val="16"/>
              </w:rPr>
              <w:t> </w:t>
            </w:r>
            <w:r>
              <w:rPr>
                <w:rFonts w:ascii="Arial"/>
                <w:b/>
                <w:sz w:val="16"/>
              </w:rPr>
              <w:t>25-</w:t>
            </w:r>
            <w:r>
              <w:rPr>
                <w:rFonts w:ascii="Arial"/>
                <w:b/>
                <w:spacing w:val="-7"/>
                <w:sz w:val="16"/>
              </w:rPr>
              <w:t>75</w:t>
            </w:r>
          </w:p>
          <w:p>
            <w:pPr>
              <w:pStyle w:val="TableParagraph"/>
              <w:spacing w:line="168" w:lineRule="exact" w:before="1"/>
              <w:ind w:left="73"/>
              <w:jc w:val="left"/>
              <w:rPr>
                <w:rFonts w:ascii="Arial"/>
                <w:b/>
                <w:sz w:val="16"/>
              </w:rPr>
            </w:pPr>
            <w:r>
              <w:rPr>
                <w:rFonts w:ascii="Arial"/>
                <w:b/>
                <w:sz w:val="16"/>
              </w:rPr>
              <w:t>FEF</w:t>
            </w:r>
            <w:r>
              <w:rPr>
                <w:rFonts w:ascii="Arial"/>
                <w:b/>
                <w:spacing w:val="-5"/>
                <w:sz w:val="16"/>
              </w:rPr>
              <w:t> </w:t>
            </w:r>
            <w:r>
              <w:rPr>
                <w:rFonts w:ascii="Arial"/>
                <w:b/>
                <w:sz w:val="16"/>
              </w:rPr>
              <w:t>75-</w:t>
            </w:r>
            <w:r>
              <w:rPr>
                <w:rFonts w:ascii="Arial"/>
                <w:b/>
                <w:spacing w:val="-7"/>
                <w:sz w:val="16"/>
              </w:rPr>
              <w:t>85</w:t>
            </w:r>
          </w:p>
        </w:tc>
        <w:tc>
          <w:tcPr>
            <w:tcW w:w="987" w:type="dxa"/>
            <w:shd w:val="clear" w:color="auto" w:fill="C0C0C0"/>
          </w:tcPr>
          <w:p>
            <w:pPr>
              <w:pStyle w:val="TableParagraph"/>
              <w:spacing w:line="180" w:lineRule="exact"/>
              <w:ind w:left="85"/>
              <w:jc w:val="left"/>
              <w:rPr>
                <w:rFonts w:ascii="Arial"/>
                <w:b/>
                <w:sz w:val="16"/>
              </w:rPr>
            </w:pPr>
            <w:r>
              <w:rPr>
                <w:rFonts w:ascii="Arial"/>
                <w:b/>
                <w:spacing w:val="-2"/>
                <w:sz w:val="16"/>
              </w:rPr>
              <w:t>Hipoxemia</w:t>
            </w:r>
          </w:p>
        </w:tc>
        <w:tc>
          <w:tcPr>
            <w:tcW w:w="1098" w:type="dxa"/>
            <w:shd w:val="clear" w:color="auto" w:fill="C0C0C0"/>
          </w:tcPr>
          <w:p>
            <w:pPr>
              <w:pStyle w:val="TableParagraph"/>
              <w:spacing w:line="180" w:lineRule="exact"/>
              <w:ind w:left="86"/>
              <w:jc w:val="left"/>
              <w:rPr>
                <w:rFonts w:ascii="Arial"/>
                <w:b/>
                <w:sz w:val="16"/>
              </w:rPr>
            </w:pPr>
            <w:r>
              <w:rPr>
                <w:rFonts w:ascii="Arial"/>
                <w:b/>
                <w:spacing w:val="-2"/>
                <w:sz w:val="16"/>
              </w:rPr>
              <w:t>Hipercapnia</w:t>
            </w:r>
          </w:p>
        </w:tc>
        <w:tc>
          <w:tcPr>
            <w:tcW w:w="925" w:type="dxa"/>
            <w:shd w:val="clear" w:color="auto" w:fill="C0C0C0"/>
          </w:tcPr>
          <w:p>
            <w:pPr>
              <w:pStyle w:val="TableParagraph"/>
              <w:spacing w:line="180" w:lineRule="exact"/>
              <w:ind w:left="9"/>
              <w:rPr>
                <w:rFonts w:ascii="Arial"/>
                <w:b/>
                <w:sz w:val="16"/>
              </w:rPr>
            </w:pPr>
            <w:r>
              <w:rPr>
                <w:rFonts w:ascii="Arial"/>
                <w:b/>
                <w:spacing w:val="-2"/>
                <w:sz w:val="16"/>
              </w:rPr>
              <w:t>I.P.P.%</w:t>
            </w:r>
          </w:p>
        </w:tc>
      </w:tr>
    </w:tbl>
    <w:p>
      <w:pPr>
        <w:pStyle w:val="TableParagraph"/>
        <w:spacing w:after="0" w:line="180" w:lineRule="exact"/>
        <w:rPr>
          <w:rFonts w:ascii="Arial"/>
          <w:b/>
          <w:sz w:val="16"/>
        </w:rPr>
        <w:sectPr>
          <w:pgSz w:w="12240" w:h="15840"/>
          <w:pgMar w:header="724" w:footer="712" w:top="1880" w:bottom="900" w:left="1080" w:right="1080"/>
        </w:sectPr>
      </w:pPr>
    </w:p>
    <w:p>
      <w:pPr>
        <w:pStyle w:val="BodyText"/>
        <w:spacing w:before="68"/>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31"/>
        <w:gridCol w:w="1052"/>
        <w:gridCol w:w="905"/>
        <w:gridCol w:w="905"/>
        <w:gridCol w:w="1244"/>
        <w:gridCol w:w="905"/>
        <w:gridCol w:w="987"/>
        <w:gridCol w:w="1098"/>
        <w:gridCol w:w="925"/>
      </w:tblGrid>
      <w:tr>
        <w:trPr>
          <w:trHeight w:val="184" w:hRule="atLeast"/>
        </w:trPr>
        <w:tc>
          <w:tcPr>
            <w:tcW w:w="1531" w:type="dxa"/>
            <w:shd w:val="clear" w:color="auto" w:fill="C0C0C0"/>
          </w:tcPr>
          <w:p>
            <w:pPr>
              <w:pStyle w:val="TableParagraph"/>
              <w:spacing w:line="164" w:lineRule="exact"/>
              <w:ind w:left="17"/>
              <w:rPr>
                <w:rFonts w:ascii="Arial"/>
                <w:b/>
                <w:sz w:val="16"/>
              </w:rPr>
            </w:pPr>
            <w:r>
              <w:rPr>
                <w:rFonts w:ascii="Arial"/>
                <w:b/>
                <w:spacing w:val="-2"/>
                <w:sz w:val="16"/>
              </w:rPr>
              <w:t>modificada</w:t>
            </w:r>
          </w:p>
        </w:tc>
        <w:tc>
          <w:tcPr>
            <w:tcW w:w="1052" w:type="dxa"/>
            <w:shd w:val="clear" w:color="auto" w:fill="C0C0C0"/>
          </w:tcPr>
          <w:p>
            <w:pPr>
              <w:pStyle w:val="TableParagraph"/>
              <w:spacing w:line="240" w:lineRule="auto"/>
              <w:ind w:left="0"/>
              <w:jc w:val="left"/>
              <w:rPr>
                <w:rFonts w:ascii="Times New Roman"/>
                <w:sz w:val="12"/>
              </w:rPr>
            </w:pPr>
          </w:p>
        </w:tc>
        <w:tc>
          <w:tcPr>
            <w:tcW w:w="905" w:type="dxa"/>
            <w:shd w:val="clear" w:color="auto" w:fill="C0C0C0"/>
          </w:tcPr>
          <w:p>
            <w:pPr>
              <w:pStyle w:val="TableParagraph"/>
              <w:spacing w:line="240" w:lineRule="auto"/>
              <w:ind w:left="0"/>
              <w:jc w:val="left"/>
              <w:rPr>
                <w:rFonts w:ascii="Times New Roman"/>
                <w:sz w:val="12"/>
              </w:rPr>
            </w:pPr>
          </w:p>
        </w:tc>
        <w:tc>
          <w:tcPr>
            <w:tcW w:w="905" w:type="dxa"/>
            <w:shd w:val="clear" w:color="auto" w:fill="C0C0C0"/>
          </w:tcPr>
          <w:p>
            <w:pPr>
              <w:pStyle w:val="TableParagraph"/>
              <w:spacing w:line="240" w:lineRule="auto"/>
              <w:ind w:left="0"/>
              <w:jc w:val="left"/>
              <w:rPr>
                <w:rFonts w:ascii="Times New Roman"/>
                <w:sz w:val="12"/>
              </w:rPr>
            </w:pPr>
          </w:p>
        </w:tc>
        <w:tc>
          <w:tcPr>
            <w:tcW w:w="1244" w:type="dxa"/>
            <w:shd w:val="clear" w:color="auto" w:fill="C0C0C0"/>
          </w:tcPr>
          <w:p>
            <w:pPr>
              <w:pStyle w:val="TableParagraph"/>
              <w:spacing w:line="240" w:lineRule="auto"/>
              <w:ind w:left="0"/>
              <w:jc w:val="left"/>
              <w:rPr>
                <w:rFonts w:ascii="Times New Roman"/>
                <w:sz w:val="12"/>
              </w:rPr>
            </w:pPr>
          </w:p>
        </w:tc>
        <w:tc>
          <w:tcPr>
            <w:tcW w:w="905" w:type="dxa"/>
            <w:shd w:val="clear" w:color="auto" w:fill="C0C0C0"/>
          </w:tcPr>
          <w:p>
            <w:pPr>
              <w:pStyle w:val="TableParagraph"/>
              <w:spacing w:line="164" w:lineRule="exact"/>
              <w:ind w:left="16" w:right="8"/>
              <w:rPr>
                <w:rFonts w:ascii="Arial"/>
                <w:b/>
                <w:sz w:val="16"/>
              </w:rPr>
            </w:pPr>
            <w:r>
              <w:rPr>
                <w:rFonts w:ascii="Arial"/>
                <w:b/>
                <w:spacing w:val="-5"/>
                <w:sz w:val="16"/>
              </w:rPr>
              <w:t>(%)</w:t>
            </w:r>
          </w:p>
        </w:tc>
        <w:tc>
          <w:tcPr>
            <w:tcW w:w="987" w:type="dxa"/>
            <w:shd w:val="clear" w:color="auto" w:fill="C0C0C0"/>
          </w:tcPr>
          <w:p>
            <w:pPr>
              <w:pStyle w:val="TableParagraph"/>
              <w:spacing w:line="240" w:lineRule="auto"/>
              <w:ind w:left="0"/>
              <w:jc w:val="left"/>
              <w:rPr>
                <w:rFonts w:ascii="Times New Roman"/>
                <w:sz w:val="12"/>
              </w:rPr>
            </w:pPr>
          </w:p>
        </w:tc>
        <w:tc>
          <w:tcPr>
            <w:tcW w:w="1098" w:type="dxa"/>
            <w:shd w:val="clear" w:color="auto" w:fill="C0C0C0"/>
          </w:tcPr>
          <w:p>
            <w:pPr>
              <w:pStyle w:val="TableParagraph"/>
              <w:spacing w:line="240" w:lineRule="auto"/>
              <w:ind w:left="0"/>
              <w:jc w:val="left"/>
              <w:rPr>
                <w:rFonts w:ascii="Times New Roman"/>
                <w:sz w:val="12"/>
              </w:rPr>
            </w:pPr>
          </w:p>
        </w:tc>
        <w:tc>
          <w:tcPr>
            <w:tcW w:w="925" w:type="dxa"/>
            <w:shd w:val="clear" w:color="auto" w:fill="C0C0C0"/>
          </w:tcPr>
          <w:p>
            <w:pPr>
              <w:pStyle w:val="TableParagraph"/>
              <w:spacing w:line="240" w:lineRule="auto"/>
              <w:ind w:left="0"/>
              <w:jc w:val="left"/>
              <w:rPr>
                <w:rFonts w:ascii="Times New Roman"/>
                <w:sz w:val="12"/>
              </w:rPr>
            </w:pPr>
          </w:p>
        </w:tc>
      </w:tr>
      <w:tr>
        <w:trPr>
          <w:trHeight w:val="366" w:hRule="atLeast"/>
        </w:trPr>
        <w:tc>
          <w:tcPr>
            <w:tcW w:w="1531" w:type="dxa"/>
          </w:tcPr>
          <w:p>
            <w:pPr>
              <w:pStyle w:val="TableParagraph"/>
              <w:spacing w:line="180" w:lineRule="exact"/>
              <w:ind w:left="17" w:right="5"/>
              <w:rPr>
                <w:sz w:val="16"/>
              </w:rPr>
            </w:pPr>
            <w:r>
              <w:rPr>
                <w:spacing w:val="-10"/>
                <w:sz w:val="16"/>
              </w:rPr>
              <w:t>0</w:t>
            </w:r>
          </w:p>
        </w:tc>
        <w:tc>
          <w:tcPr>
            <w:tcW w:w="1052" w:type="dxa"/>
            <w:vMerge w:val="restart"/>
          </w:tcPr>
          <w:p>
            <w:pPr>
              <w:pStyle w:val="TableParagraph"/>
              <w:spacing w:line="180" w:lineRule="exact"/>
              <w:ind w:left="14"/>
              <w:rPr>
                <w:sz w:val="16"/>
              </w:rPr>
            </w:pPr>
            <w:r>
              <w:rPr>
                <w:sz w:val="16"/>
              </w:rPr>
              <w:t>≥</w:t>
            </w:r>
            <w:r>
              <w:rPr>
                <w:spacing w:val="1"/>
                <w:sz w:val="16"/>
              </w:rPr>
              <w:t> </w:t>
            </w:r>
            <w:r>
              <w:rPr>
                <w:spacing w:val="-5"/>
                <w:sz w:val="16"/>
              </w:rPr>
              <w:t>25</w:t>
            </w:r>
          </w:p>
        </w:tc>
        <w:tc>
          <w:tcPr>
            <w:tcW w:w="905" w:type="dxa"/>
          </w:tcPr>
          <w:p>
            <w:pPr>
              <w:pStyle w:val="TableParagraph"/>
              <w:spacing w:line="180" w:lineRule="exact"/>
              <w:ind w:left="16" w:right="1"/>
              <w:rPr>
                <w:sz w:val="16"/>
              </w:rPr>
            </w:pPr>
            <w:r>
              <w:rPr>
                <w:spacing w:val="-2"/>
                <w:sz w:val="16"/>
              </w:rPr>
              <w:t>Normal</w:t>
            </w:r>
          </w:p>
        </w:tc>
        <w:tc>
          <w:tcPr>
            <w:tcW w:w="905" w:type="dxa"/>
          </w:tcPr>
          <w:p>
            <w:pPr>
              <w:pStyle w:val="TableParagraph"/>
              <w:spacing w:line="180" w:lineRule="exact"/>
              <w:ind w:left="16" w:right="1"/>
              <w:rPr>
                <w:sz w:val="16"/>
              </w:rPr>
            </w:pPr>
            <w:r>
              <w:rPr>
                <w:spacing w:val="-2"/>
                <w:sz w:val="16"/>
              </w:rPr>
              <w:t>Normal</w:t>
            </w:r>
          </w:p>
        </w:tc>
        <w:tc>
          <w:tcPr>
            <w:tcW w:w="1244" w:type="dxa"/>
            <w:vMerge w:val="restart"/>
          </w:tcPr>
          <w:p>
            <w:pPr>
              <w:pStyle w:val="TableParagraph"/>
              <w:spacing w:line="180" w:lineRule="exact"/>
              <w:ind w:left="10"/>
              <w:rPr>
                <w:sz w:val="16"/>
              </w:rPr>
            </w:pPr>
            <w:r>
              <w:rPr>
                <w:rFonts w:ascii="Symbol" w:hAnsi="Symbol"/>
                <w:sz w:val="14"/>
              </w:rPr>
              <w:t></w:t>
            </w:r>
            <w:r>
              <w:rPr>
                <w:rFonts w:ascii="Times New Roman" w:hAnsi="Times New Roman"/>
                <w:spacing w:val="10"/>
                <w:sz w:val="14"/>
              </w:rPr>
              <w:t> </w:t>
            </w:r>
            <w:r>
              <w:rPr>
                <w:spacing w:val="-5"/>
                <w:sz w:val="16"/>
              </w:rPr>
              <w:t>20</w:t>
            </w:r>
          </w:p>
        </w:tc>
        <w:tc>
          <w:tcPr>
            <w:tcW w:w="905" w:type="dxa"/>
          </w:tcPr>
          <w:p>
            <w:pPr>
              <w:pStyle w:val="TableParagraph"/>
              <w:spacing w:line="180" w:lineRule="exact"/>
              <w:ind w:left="277"/>
              <w:jc w:val="left"/>
              <w:rPr>
                <w:sz w:val="16"/>
              </w:rPr>
            </w:pPr>
            <w:r>
              <w:rPr>
                <w:spacing w:val="-4"/>
                <w:sz w:val="16"/>
              </w:rPr>
              <w:t>Leve</w:t>
            </w:r>
          </w:p>
          <w:p>
            <w:pPr>
              <w:pStyle w:val="TableParagraph"/>
              <w:spacing w:line="166" w:lineRule="exact" w:before="1"/>
              <w:ind w:left="193"/>
              <w:jc w:val="left"/>
              <w:rPr>
                <w:sz w:val="16"/>
              </w:rPr>
            </w:pPr>
            <w:r>
              <w:rPr>
                <w:spacing w:val="-2"/>
                <w:sz w:val="16"/>
              </w:rPr>
              <w:t>(59-</w:t>
            </w:r>
            <w:r>
              <w:rPr>
                <w:spacing w:val="-5"/>
                <w:sz w:val="16"/>
              </w:rPr>
              <w:t>20)</w:t>
            </w:r>
          </w:p>
        </w:tc>
        <w:tc>
          <w:tcPr>
            <w:tcW w:w="987" w:type="dxa"/>
          </w:tcPr>
          <w:p>
            <w:pPr>
              <w:pStyle w:val="TableParagraph"/>
              <w:spacing w:line="180" w:lineRule="exact"/>
              <w:ind w:left="9" w:right="1"/>
              <w:rPr>
                <w:sz w:val="16"/>
              </w:rPr>
            </w:pPr>
            <w:r>
              <w:rPr>
                <w:spacing w:val="-2"/>
                <w:sz w:val="16"/>
              </w:rPr>
              <w:t>Normal</w:t>
            </w:r>
          </w:p>
        </w:tc>
        <w:tc>
          <w:tcPr>
            <w:tcW w:w="1098" w:type="dxa"/>
          </w:tcPr>
          <w:p>
            <w:pPr>
              <w:pStyle w:val="TableParagraph"/>
              <w:spacing w:line="180" w:lineRule="exact"/>
              <w:ind w:left="11"/>
              <w:rPr>
                <w:sz w:val="16"/>
              </w:rPr>
            </w:pPr>
            <w:r>
              <w:rPr>
                <w:spacing w:val="-2"/>
                <w:sz w:val="16"/>
              </w:rPr>
              <w:t>Normal</w:t>
            </w:r>
          </w:p>
        </w:tc>
        <w:tc>
          <w:tcPr>
            <w:tcW w:w="925" w:type="dxa"/>
          </w:tcPr>
          <w:p>
            <w:pPr>
              <w:pStyle w:val="TableParagraph"/>
              <w:spacing w:line="180" w:lineRule="exact"/>
              <w:ind w:left="9" w:right="5"/>
              <w:rPr>
                <w:sz w:val="16"/>
              </w:rPr>
            </w:pPr>
            <w:r>
              <w:rPr>
                <w:spacing w:val="-10"/>
                <w:sz w:val="16"/>
              </w:rPr>
              <w:t>0</w:t>
            </w:r>
          </w:p>
        </w:tc>
      </w:tr>
      <w:tr>
        <w:trPr>
          <w:trHeight w:val="184" w:hRule="atLeast"/>
        </w:trPr>
        <w:tc>
          <w:tcPr>
            <w:tcW w:w="1531" w:type="dxa"/>
          </w:tcPr>
          <w:p>
            <w:pPr>
              <w:pStyle w:val="TableParagraph"/>
              <w:spacing w:line="164" w:lineRule="exact"/>
              <w:ind w:left="17" w:right="5"/>
              <w:rPr>
                <w:sz w:val="16"/>
              </w:rPr>
            </w:pPr>
            <w:r>
              <w:rPr>
                <w:spacing w:val="-10"/>
                <w:sz w:val="16"/>
              </w:rPr>
              <w:t>0</w:t>
            </w:r>
          </w:p>
        </w:tc>
        <w:tc>
          <w:tcPr>
            <w:tcW w:w="1052" w:type="dxa"/>
            <w:vMerge/>
            <w:tcBorders>
              <w:top w:val="nil"/>
            </w:tcBorders>
          </w:tcPr>
          <w:p>
            <w:pPr>
              <w:rPr>
                <w:sz w:val="2"/>
                <w:szCs w:val="2"/>
              </w:rPr>
            </w:pPr>
          </w:p>
        </w:tc>
        <w:tc>
          <w:tcPr>
            <w:tcW w:w="905" w:type="dxa"/>
          </w:tcPr>
          <w:p>
            <w:pPr>
              <w:pStyle w:val="TableParagraph"/>
              <w:spacing w:line="164" w:lineRule="exact"/>
              <w:ind w:left="16" w:right="1"/>
              <w:rPr>
                <w:sz w:val="16"/>
              </w:rPr>
            </w:pPr>
            <w:r>
              <w:rPr>
                <w:spacing w:val="-2"/>
                <w:sz w:val="16"/>
              </w:rPr>
              <w:t>Normal</w:t>
            </w:r>
          </w:p>
        </w:tc>
        <w:tc>
          <w:tcPr>
            <w:tcW w:w="905" w:type="dxa"/>
          </w:tcPr>
          <w:p>
            <w:pPr>
              <w:pStyle w:val="TableParagraph"/>
              <w:spacing w:line="164" w:lineRule="exact"/>
              <w:ind w:left="16" w:right="1"/>
              <w:rPr>
                <w:sz w:val="16"/>
              </w:rPr>
            </w:pPr>
            <w:r>
              <w:rPr>
                <w:spacing w:val="-2"/>
                <w:sz w:val="16"/>
              </w:rPr>
              <w:t>Normal</w:t>
            </w:r>
          </w:p>
        </w:tc>
        <w:tc>
          <w:tcPr>
            <w:tcW w:w="1244" w:type="dxa"/>
            <w:vMerge/>
            <w:tcBorders>
              <w:top w:val="nil"/>
            </w:tcBorders>
          </w:tcPr>
          <w:p>
            <w:pPr>
              <w:rPr>
                <w:sz w:val="2"/>
                <w:szCs w:val="2"/>
              </w:rPr>
            </w:pPr>
          </w:p>
        </w:tc>
        <w:tc>
          <w:tcPr>
            <w:tcW w:w="905" w:type="dxa"/>
            <w:vMerge w:val="restart"/>
          </w:tcPr>
          <w:p>
            <w:pPr>
              <w:pStyle w:val="TableParagraph"/>
              <w:spacing w:line="240" w:lineRule="auto"/>
              <w:ind w:left="193" w:right="79" w:hanging="104"/>
              <w:jc w:val="left"/>
              <w:rPr>
                <w:sz w:val="16"/>
              </w:rPr>
            </w:pPr>
            <w:r>
              <w:rPr>
                <w:spacing w:val="-2"/>
                <w:sz w:val="16"/>
              </w:rPr>
              <w:t>Moderada (19-15)</w:t>
            </w:r>
          </w:p>
        </w:tc>
        <w:tc>
          <w:tcPr>
            <w:tcW w:w="987" w:type="dxa"/>
          </w:tcPr>
          <w:p>
            <w:pPr>
              <w:pStyle w:val="TableParagraph"/>
              <w:spacing w:line="164" w:lineRule="exact"/>
              <w:ind w:left="9" w:right="1"/>
              <w:rPr>
                <w:sz w:val="16"/>
              </w:rPr>
            </w:pPr>
            <w:r>
              <w:rPr>
                <w:spacing w:val="-2"/>
                <w:sz w:val="16"/>
              </w:rPr>
              <w:t>Normal</w:t>
            </w:r>
          </w:p>
        </w:tc>
        <w:tc>
          <w:tcPr>
            <w:tcW w:w="1098" w:type="dxa"/>
          </w:tcPr>
          <w:p>
            <w:pPr>
              <w:pStyle w:val="TableParagraph"/>
              <w:spacing w:line="164" w:lineRule="exact"/>
              <w:ind w:left="11"/>
              <w:rPr>
                <w:sz w:val="16"/>
              </w:rPr>
            </w:pPr>
            <w:r>
              <w:rPr>
                <w:spacing w:val="-2"/>
                <w:sz w:val="16"/>
              </w:rPr>
              <w:t>Normal</w:t>
            </w:r>
          </w:p>
        </w:tc>
        <w:tc>
          <w:tcPr>
            <w:tcW w:w="925" w:type="dxa"/>
          </w:tcPr>
          <w:p>
            <w:pPr>
              <w:pStyle w:val="TableParagraph"/>
              <w:spacing w:line="164" w:lineRule="exact"/>
              <w:ind w:left="9" w:right="5"/>
              <w:rPr>
                <w:sz w:val="16"/>
              </w:rPr>
            </w:pPr>
            <w:r>
              <w:rPr>
                <w:spacing w:val="-10"/>
                <w:sz w:val="16"/>
              </w:rPr>
              <w:t>5</w:t>
            </w:r>
          </w:p>
        </w:tc>
      </w:tr>
      <w:tr>
        <w:trPr>
          <w:trHeight w:val="369" w:hRule="atLeast"/>
        </w:trPr>
        <w:tc>
          <w:tcPr>
            <w:tcW w:w="1531" w:type="dxa"/>
          </w:tcPr>
          <w:p>
            <w:pPr>
              <w:pStyle w:val="TableParagraph"/>
              <w:spacing w:line="182" w:lineRule="exact"/>
              <w:ind w:left="17" w:right="2"/>
              <w:rPr>
                <w:sz w:val="16"/>
              </w:rPr>
            </w:pPr>
            <w:r>
              <w:rPr>
                <w:spacing w:val="-2"/>
                <w:sz w:val="16"/>
              </w:rPr>
              <w:t>0.5-</w:t>
            </w:r>
            <w:r>
              <w:rPr>
                <w:spacing w:val="-10"/>
                <w:sz w:val="16"/>
              </w:rPr>
              <w:t>1</w:t>
            </w:r>
          </w:p>
        </w:tc>
        <w:tc>
          <w:tcPr>
            <w:tcW w:w="1052" w:type="dxa"/>
            <w:vMerge w:val="restart"/>
          </w:tcPr>
          <w:p>
            <w:pPr>
              <w:pStyle w:val="TableParagraph"/>
              <w:spacing w:line="182" w:lineRule="exact"/>
              <w:ind w:left="319"/>
              <w:jc w:val="left"/>
              <w:rPr>
                <w:sz w:val="16"/>
              </w:rPr>
            </w:pPr>
            <w:r>
              <w:rPr>
                <w:spacing w:val="-2"/>
                <w:sz w:val="16"/>
              </w:rPr>
              <w:t>20-</w:t>
            </w:r>
            <w:r>
              <w:rPr>
                <w:spacing w:val="-5"/>
                <w:sz w:val="16"/>
              </w:rPr>
              <w:t>24</w:t>
            </w:r>
          </w:p>
        </w:tc>
        <w:tc>
          <w:tcPr>
            <w:tcW w:w="905" w:type="dxa"/>
          </w:tcPr>
          <w:p>
            <w:pPr>
              <w:pStyle w:val="TableParagraph"/>
              <w:spacing w:line="184" w:lineRule="exact"/>
              <w:ind w:left="194" w:right="180" w:firstLine="84"/>
              <w:jc w:val="left"/>
              <w:rPr>
                <w:sz w:val="16"/>
              </w:rPr>
            </w:pPr>
            <w:r>
              <w:rPr>
                <w:spacing w:val="-4"/>
                <w:sz w:val="16"/>
              </w:rPr>
              <w:t>Leve </w:t>
            </w:r>
            <w:r>
              <w:rPr>
                <w:spacing w:val="-2"/>
                <w:sz w:val="16"/>
              </w:rPr>
              <w:t>(79-</w:t>
            </w:r>
            <w:r>
              <w:rPr>
                <w:spacing w:val="-5"/>
                <w:sz w:val="16"/>
              </w:rPr>
              <w:t>75)</w:t>
            </w:r>
          </w:p>
        </w:tc>
        <w:tc>
          <w:tcPr>
            <w:tcW w:w="905" w:type="dxa"/>
          </w:tcPr>
          <w:p>
            <w:pPr>
              <w:pStyle w:val="TableParagraph"/>
              <w:spacing w:line="184" w:lineRule="exact"/>
              <w:ind w:left="193" w:right="180" w:firstLine="84"/>
              <w:jc w:val="left"/>
              <w:rPr>
                <w:sz w:val="16"/>
              </w:rPr>
            </w:pPr>
            <w:r>
              <w:rPr>
                <w:spacing w:val="-4"/>
                <w:sz w:val="16"/>
              </w:rPr>
              <w:t>Leve </w:t>
            </w:r>
            <w:r>
              <w:rPr>
                <w:spacing w:val="-2"/>
                <w:sz w:val="16"/>
              </w:rPr>
              <w:t>(79-</w:t>
            </w:r>
            <w:r>
              <w:rPr>
                <w:spacing w:val="-5"/>
                <w:sz w:val="16"/>
              </w:rPr>
              <w:t>70)</w:t>
            </w:r>
          </w:p>
        </w:tc>
        <w:tc>
          <w:tcPr>
            <w:tcW w:w="1244" w:type="dxa"/>
            <w:vMerge w:val="restart"/>
          </w:tcPr>
          <w:p>
            <w:pPr>
              <w:pStyle w:val="TableParagraph"/>
              <w:spacing w:line="182" w:lineRule="exact"/>
              <w:ind w:left="414"/>
              <w:jc w:val="left"/>
              <w:rPr>
                <w:sz w:val="16"/>
              </w:rPr>
            </w:pPr>
            <w:r>
              <w:rPr>
                <w:spacing w:val="-2"/>
                <w:sz w:val="16"/>
              </w:rPr>
              <w:t>21-</w:t>
            </w:r>
            <w:r>
              <w:rPr>
                <w:spacing w:val="-5"/>
                <w:sz w:val="16"/>
              </w:rPr>
              <w:t>29</w:t>
            </w:r>
          </w:p>
        </w:tc>
        <w:tc>
          <w:tcPr>
            <w:tcW w:w="905" w:type="dxa"/>
            <w:vMerge/>
            <w:tcBorders>
              <w:top w:val="nil"/>
            </w:tcBorders>
          </w:tcPr>
          <w:p>
            <w:pPr>
              <w:rPr>
                <w:sz w:val="2"/>
                <w:szCs w:val="2"/>
              </w:rPr>
            </w:pPr>
          </w:p>
        </w:tc>
        <w:tc>
          <w:tcPr>
            <w:tcW w:w="987" w:type="dxa"/>
          </w:tcPr>
          <w:p>
            <w:pPr>
              <w:pStyle w:val="TableParagraph"/>
              <w:spacing w:line="184" w:lineRule="exact"/>
              <w:ind w:left="231" w:right="224" w:firstLine="84"/>
              <w:jc w:val="left"/>
              <w:rPr>
                <w:sz w:val="16"/>
              </w:rPr>
            </w:pPr>
            <w:r>
              <w:rPr>
                <w:spacing w:val="-4"/>
                <w:sz w:val="16"/>
              </w:rPr>
              <w:t>Leve </w:t>
            </w:r>
            <w:r>
              <w:rPr>
                <w:spacing w:val="-2"/>
                <w:sz w:val="16"/>
              </w:rPr>
              <w:t>(63-</w:t>
            </w:r>
            <w:r>
              <w:rPr>
                <w:spacing w:val="-5"/>
                <w:sz w:val="16"/>
              </w:rPr>
              <w:t>59)</w:t>
            </w:r>
          </w:p>
        </w:tc>
        <w:tc>
          <w:tcPr>
            <w:tcW w:w="1098" w:type="dxa"/>
          </w:tcPr>
          <w:p>
            <w:pPr>
              <w:pStyle w:val="TableParagraph"/>
              <w:spacing w:line="182" w:lineRule="exact"/>
              <w:ind w:left="11"/>
              <w:rPr>
                <w:sz w:val="16"/>
              </w:rPr>
            </w:pPr>
            <w:r>
              <w:rPr>
                <w:spacing w:val="-2"/>
                <w:sz w:val="16"/>
              </w:rPr>
              <w:t>Normal</w:t>
            </w:r>
          </w:p>
        </w:tc>
        <w:tc>
          <w:tcPr>
            <w:tcW w:w="925" w:type="dxa"/>
          </w:tcPr>
          <w:p>
            <w:pPr>
              <w:pStyle w:val="TableParagraph"/>
              <w:spacing w:line="182" w:lineRule="exact"/>
              <w:ind w:left="9" w:right="8"/>
              <w:rPr>
                <w:sz w:val="16"/>
              </w:rPr>
            </w:pPr>
            <w:r>
              <w:rPr>
                <w:spacing w:val="-2"/>
                <w:sz w:val="16"/>
              </w:rPr>
              <w:t>20-</w:t>
            </w:r>
            <w:r>
              <w:rPr>
                <w:spacing w:val="-5"/>
                <w:sz w:val="16"/>
              </w:rPr>
              <w:t>30</w:t>
            </w:r>
          </w:p>
        </w:tc>
      </w:tr>
      <w:tr>
        <w:trPr>
          <w:trHeight w:val="366" w:hRule="atLeast"/>
        </w:trPr>
        <w:tc>
          <w:tcPr>
            <w:tcW w:w="1531" w:type="dxa"/>
          </w:tcPr>
          <w:p>
            <w:pPr>
              <w:pStyle w:val="TableParagraph"/>
              <w:spacing w:line="180" w:lineRule="exact"/>
              <w:ind w:left="17" w:right="2"/>
              <w:rPr>
                <w:sz w:val="16"/>
              </w:rPr>
            </w:pPr>
            <w:r>
              <w:rPr>
                <w:spacing w:val="-2"/>
                <w:sz w:val="16"/>
              </w:rPr>
              <w:t>2-</w:t>
            </w:r>
            <w:r>
              <w:rPr>
                <w:spacing w:val="-10"/>
                <w:sz w:val="16"/>
              </w:rPr>
              <w:t>3</w:t>
            </w:r>
          </w:p>
        </w:tc>
        <w:tc>
          <w:tcPr>
            <w:tcW w:w="1052" w:type="dxa"/>
            <w:vMerge/>
            <w:tcBorders>
              <w:top w:val="nil"/>
            </w:tcBorders>
          </w:tcPr>
          <w:p>
            <w:pPr>
              <w:rPr>
                <w:sz w:val="2"/>
                <w:szCs w:val="2"/>
              </w:rPr>
            </w:pPr>
          </w:p>
        </w:tc>
        <w:tc>
          <w:tcPr>
            <w:tcW w:w="905" w:type="dxa"/>
          </w:tcPr>
          <w:p>
            <w:pPr>
              <w:pStyle w:val="TableParagraph"/>
              <w:spacing w:line="180" w:lineRule="exact"/>
              <w:ind w:left="16" w:right="7"/>
              <w:rPr>
                <w:sz w:val="16"/>
              </w:rPr>
            </w:pPr>
            <w:r>
              <w:rPr>
                <w:spacing w:val="-2"/>
                <w:sz w:val="16"/>
              </w:rPr>
              <w:t>Moderada</w:t>
            </w:r>
          </w:p>
          <w:p>
            <w:pPr>
              <w:pStyle w:val="TableParagraph"/>
              <w:spacing w:line="166" w:lineRule="exact" w:before="1"/>
              <w:ind w:left="16" w:right="5"/>
              <w:rPr>
                <w:sz w:val="16"/>
              </w:rPr>
            </w:pPr>
            <w:r>
              <w:rPr>
                <w:spacing w:val="-2"/>
                <w:sz w:val="16"/>
              </w:rPr>
              <w:t>(74-</w:t>
            </w:r>
            <w:r>
              <w:rPr>
                <w:spacing w:val="-5"/>
                <w:sz w:val="16"/>
              </w:rPr>
              <w:t>70)</w:t>
            </w:r>
          </w:p>
        </w:tc>
        <w:tc>
          <w:tcPr>
            <w:tcW w:w="905" w:type="dxa"/>
          </w:tcPr>
          <w:p>
            <w:pPr>
              <w:pStyle w:val="TableParagraph"/>
              <w:spacing w:line="180" w:lineRule="exact"/>
              <w:ind w:left="16" w:right="7"/>
              <w:rPr>
                <w:sz w:val="16"/>
              </w:rPr>
            </w:pPr>
            <w:r>
              <w:rPr>
                <w:spacing w:val="-2"/>
                <w:sz w:val="16"/>
              </w:rPr>
              <w:t>Moderada</w:t>
            </w:r>
          </w:p>
          <w:p>
            <w:pPr>
              <w:pStyle w:val="TableParagraph"/>
              <w:spacing w:line="166" w:lineRule="exact" w:before="1"/>
              <w:ind w:left="16" w:right="5"/>
              <w:rPr>
                <w:sz w:val="16"/>
              </w:rPr>
            </w:pPr>
            <w:r>
              <w:rPr>
                <w:spacing w:val="-2"/>
                <w:sz w:val="16"/>
              </w:rPr>
              <w:t>(69-</w:t>
            </w:r>
            <w:r>
              <w:rPr>
                <w:spacing w:val="-5"/>
                <w:sz w:val="16"/>
              </w:rPr>
              <w:t>51)</w:t>
            </w:r>
          </w:p>
        </w:tc>
        <w:tc>
          <w:tcPr>
            <w:tcW w:w="1244" w:type="dxa"/>
            <w:vMerge/>
            <w:tcBorders>
              <w:top w:val="nil"/>
            </w:tcBorders>
          </w:tcPr>
          <w:p>
            <w:pPr>
              <w:rPr>
                <w:sz w:val="2"/>
                <w:szCs w:val="2"/>
              </w:rPr>
            </w:pPr>
          </w:p>
        </w:tc>
        <w:tc>
          <w:tcPr>
            <w:tcW w:w="905" w:type="dxa"/>
          </w:tcPr>
          <w:p>
            <w:pPr>
              <w:pStyle w:val="TableParagraph"/>
              <w:spacing w:line="180" w:lineRule="exact"/>
              <w:ind w:left="231"/>
              <w:jc w:val="left"/>
              <w:rPr>
                <w:sz w:val="16"/>
              </w:rPr>
            </w:pPr>
            <w:r>
              <w:rPr>
                <w:spacing w:val="-2"/>
                <w:sz w:val="16"/>
              </w:rPr>
              <w:t>Grave</w:t>
            </w:r>
          </w:p>
          <w:p>
            <w:pPr>
              <w:pStyle w:val="TableParagraph"/>
              <w:spacing w:line="166" w:lineRule="exact" w:before="1"/>
              <w:ind w:left="193"/>
              <w:jc w:val="left"/>
              <w:rPr>
                <w:sz w:val="16"/>
              </w:rPr>
            </w:pPr>
            <w:r>
              <w:rPr>
                <w:spacing w:val="-2"/>
                <w:sz w:val="16"/>
              </w:rPr>
              <w:t>(14-</w:t>
            </w:r>
            <w:r>
              <w:rPr>
                <w:spacing w:val="-5"/>
                <w:sz w:val="16"/>
              </w:rPr>
              <w:t>10)</w:t>
            </w:r>
          </w:p>
        </w:tc>
        <w:tc>
          <w:tcPr>
            <w:tcW w:w="987" w:type="dxa"/>
          </w:tcPr>
          <w:p>
            <w:pPr>
              <w:pStyle w:val="TableParagraph"/>
              <w:spacing w:line="180" w:lineRule="exact"/>
              <w:ind w:left="9" w:right="2"/>
              <w:rPr>
                <w:sz w:val="16"/>
              </w:rPr>
            </w:pPr>
            <w:r>
              <w:rPr>
                <w:spacing w:val="-2"/>
                <w:sz w:val="16"/>
              </w:rPr>
              <w:t>Moderada</w:t>
            </w:r>
          </w:p>
          <w:p>
            <w:pPr>
              <w:pStyle w:val="TableParagraph"/>
              <w:spacing w:line="166" w:lineRule="exact" w:before="1"/>
              <w:ind w:left="9" w:right="5"/>
              <w:rPr>
                <w:sz w:val="16"/>
              </w:rPr>
            </w:pPr>
            <w:r>
              <w:rPr>
                <w:spacing w:val="-2"/>
                <w:sz w:val="16"/>
              </w:rPr>
              <w:t>(58-</w:t>
            </w:r>
            <w:r>
              <w:rPr>
                <w:spacing w:val="-5"/>
                <w:sz w:val="16"/>
              </w:rPr>
              <w:t>54)</w:t>
            </w:r>
          </w:p>
        </w:tc>
        <w:tc>
          <w:tcPr>
            <w:tcW w:w="1098" w:type="dxa"/>
          </w:tcPr>
          <w:p>
            <w:pPr>
              <w:pStyle w:val="TableParagraph"/>
              <w:spacing w:line="180" w:lineRule="exact"/>
              <w:ind w:left="11" w:right="2"/>
              <w:rPr>
                <w:sz w:val="16"/>
              </w:rPr>
            </w:pPr>
            <w:r>
              <w:rPr>
                <w:spacing w:val="-4"/>
                <w:sz w:val="16"/>
              </w:rPr>
              <w:t>Leve</w:t>
            </w:r>
          </w:p>
          <w:p>
            <w:pPr>
              <w:pStyle w:val="TableParagraph"/>
              <w:spacing w:line="166" w:lineRule="exact" w:before="1"/>
              <w:ind w:left="11" w:right="3"/>
              <w:rPr>
                <w:sz w:val="16"/>
              </w:rPr>
            </w:pPr>
            <w:r>
              <w:rPr>
                <w:spacing w:val="-2"/>
                <w:sz w:val="16"/>
              </w:rPr>
              <w:t>(35-</w:t>
            </w:r>
            <w:r>
              <w:rPr>
                <w:spacing w:val="-5"/>
                <w:sz w:val="16"/>
              </w:rPr>
              <w:t>36)</w:t>
            </w:r>
          </w:p>
        </w:tc>
        <w:tc>
          <w:tcPr>
            <w:tcW w:w="925" w:type="dxa"/>
          </w:tcPr>
          <w:p>
            <w:pPr>
              <w:pStyle w:val="TableParagraph"/>
              <w:spacing w:line="180" w:lineRule="exact"/>
              <w:ind w:left="9" w:right="8"/>
              <w:rPr>
                <w:sz w:val="16"/>
              </w:rPr>
            </w:pPr>
            <w:r>
              <w:rPr>
                <w:spacing w:val="-2"/>
                <w:sz w:val="16"/>
              </w:rPr>
              <w:t>31-</w:t>
            </w:r>
            <w:r>
              <w:rPr>
                <w:spacing w:val="-5"/>
                <w:sz w:val="16"/>
              </w:rPr>
              <w:t>40</w:t>
            </w:r>
          </w:p>
        </w:tc>
      </w:tr>
      <w:tr>
        <w:trPr>
          <w:trHeight w:val="551" w:hRule="atLeast"/>
        </w:trPr>
        <w:tc>
          <w:tcPr>
            <w:tcW w:w="1531" w:type="dxa"/>
          </w:tcPr>
          <w:p>
            <w:pPr>
              <w:pStyle w:val="TableParagraph"/>
              <w:spacing w:line="182" w:lineRule="exact"/>
              <w:ind w:left="17" w:right="2"/>
              <w:rPr>
                <w:sz w:val="16"/>
              </w:rPr>
            </w:pPr>
            <w:r>
              <w:rPr>
                <w:spacing w:val="-2"/>
                <w:sz w:val="16"/>
              </w:rPr>
              <w:t>4-</w:t>
            </w:r>
            <w:r>
              <w:rPr>
                <w:spacing w:val="-10"/>
                <w:sz w:val="16"/>
              </w:rPr>
              <w:t>6</w:t>
            </w:r>
          </w:p>
        </w:tc>
        <w:tc>
          <w:tcPr>
            <w:tcW w:w="1052" w:type="dxa"/>
            <w:vMerge w:val="restart"/>
          </w:tcPr>
          <w:p>
            <w:pPr>
              <w:pStyle w:val="TableParagraph"/>
              <w:spacing w:line="182" w:lineRule="exact"/>
              <w:ind w:left="319"/>
              <w:jc w:val="left"/>
              <w:rPr>
                <w:sz w:val="16"/>
              </w:rPr>
            </w:pPr>
            <w:r>
              <w:rPr>
                <w:spacing w:val="-2"/>
                <w:sz w:val="16"/>
              </w:rPr>
              <w:t>15-</w:t>
            </w:r>
            <w:r>
              <w:rPr>
                <w:spacing w:val="-5"/>
                <w:sz w:val="16"/>
              </w:rPr>
              <w:t>19</w:t>
            </w:r>
          </w:p>
        </w:tc>
        <w:tc>
          <w:tcPr>
            <w:tcW w:w="905" w:type="dxa"/>
            <w:vMerge w:val="restart"/>
          </w:tcPr>
          <w:p>
            <w:pPr>
              <w:pStyle w:val="TableParagraph"/>
              <w:spacing w:line="240" w:lineRule="auto"/>
              <w:ind w:left="194" w:right="180" w:firstLine="38"/>
              <w:jc w:val="left"/>
              <w:rPr>
                <w:sz w:val="16"/>
              </w:rPr>
            </w:pPr>
            <w:r>
              <w:rPr>
                <w:spacing w:val="-2"/>
                <w:sz w:val="16"/>
              </w:rPr>
              <w:t>Grave (69-</w:t>
            </w:r>
            <w:r>
              <w:rPr>
                <w:spacing w:val="-5"/>
                <w:sz w:val="16"/>
              </w:rPr>
              <w:t>65)</w:t>
            </w:r>
          </w:p>
        </w:tc>
        <w:tc>
          <w:tcPr>
            <w:tcW w:w="905" w:type="dxa"/>
            <w:vMerge w:val="restart"/>
          </w:tcPr>
          <w:p>
            <w:pPr>
              <w:pStyle w:val="TableParagraph"/>
              <w:spacing w:line="240" w:lineRule="auto"/>
              <w:ind w:left="193" w:right="180" w:firstLine="38"/>
              <w:jc w:val="left"/>
              <w:rPr>
                <w:sz w:val="16"/>
              </w:rPr>
            </w:pPr>
            <w:r>
              <w:rPr>
                <w:spacing w:val="-2"/>
                <w:sz w:val="16"/>
              </w:rPr>
              <w:t>Grave (50-</w:t>
            </w:r>
            <w:r>
              <w:rPr>
                <w:spacing w:val="-5"/>
                <w:sz w:val="16"/>
              </w:rPr>
              <w:t>31)</w:t>
            </w:r>
          </w:p>
        </w:tc>
        <w:tc>
          <w:tcPr>
            <w:tcW w:w="1244" w:type="dxa"/>
            <w:vMerge w:val="restart"/>
          </w:tcPr>
          <w:p>
            <w:pPr>
              <w:pStyle w:val="TableParagraph"/>
              <w:spacing w:line="182" w:lineRule="exact"/>
              <w:ind w:left="414"/>
              <w:jc w:val="left"/>
              <w:rPr>
                <w:sz w:val="16"/>
              </w:rPr>
            </w:pPr>
            <w:r>
              <w:rPr>
                <w:spacing w:val="-2"/>
                <w:sz w:val="16"/>
              </w:rPr>
              <w:t>30-</w:t>
            </w:r>
            <w:r>
              <w:rPr>
                <w:spacing w:val="-5"/>
                <w:sz w:val="16"/>
              </w:rPr>
              <w:t>39</w:t>
            </w:r>
          </w:p>
        </w:tc>
        <w:tc>
          <w:tcPr>
            <w:tcW w:w="905" w:type="dxa"/>
          </w:tcPr>
          <w:p>
            <w:pPr>
              <w:pStyle w:val="TableParagraph"/>
              <w:spacing w:line="182" w:lineRule="exact"/>
              <w:ind w:left="231" w:firstLine="69"/>
              <w:jc w:val="left"/>
              <w:rPr>
                <w:sz w:val="16"/>
              </w:rPr>
            </w:pPr>
            <w:r>
              <w:rPr>
                <w:spacing w:val="-5"/>
                <w:sz w:val="16"/>
              </w:rPr>
              <w:t>Muy</w:t>
            </w:r>
          </w:p>
          <w:p>
            <w:pPr>
              <w:pStyle w:val="TableParagraph"/>
              <w:spacing w:line="182" w:lineRule="exact"/>
              <w:ind w:left="284" w:right="213" w:hanging="53"/>
              <w:jc w:val="left"/>
              <w:rPr>
                <w:sz w:val="16"/>
              </w:rPr>
            </w:pPr>
            <w:r>
              <w:rPr>
                <w:spacing w:val="-2"/>
                <w:sz w:val="16"/>
              </w:rPr>
              <w:t>Grave </w:t>
            </w:r>
            <w:r>
              <w:rPr>
                <w:sz w:val="16"/>
              </w:rPr>
              <w:t>(&lt; 9)</w:t>
            </w:r>
          </w:p>
        </w:tc>
        <w:tc>
          <w:tcPr>
            <w:tcW w:w="987" w:type="dxa"/>
          </w:tcPr>
          <w:p>
            <w:pPr>
              <w:pStyle w:val="TableParagraph"/>
              <w:spacing w:line="240" w:lineRule="auto"/>
              <w:ind w:left="231" w:right="224" w:firstLine="40"/>
              <w:jc w:val="left"/>
              <w:rPr>
                <w:sz w:val="16"/>
              </w:rPr>
            </w:pPr>
            <w:r>
              <w:rPr>
                <w:spacing w:val="-2"/>
                <w:sz w:val="16"/>
              </w:rPr>
              <w:t>Grave (53-</w:t>
            </w:r>
            <w:r>
              <w:rPr>
                <w:spacing w:val="-5"/>
                <w:sz w:val="16"/>
              </w:rPr>
              <w:t>49)</w:t>
            </w:r>
          </w:p>
        </w:tc>
        <w:tc>
          <w:tcPr>
            <w:tcW w:w="1098" w:type="dxa"/>
          </w:tcPr>
          <w:p>
            <w:pPr>
              <w:pStyle w:val="TableParagraph"/>
              <w:spacing w:line="240" w:lineRule="auto"/>
              <w:ind w:left="288" w:right="177" w:hanging="104"/>
              <w:jc w:val="left"/>
              <w:rPr>
                <w:sz w:val="16"/>
              </w:rPr>
            </w:pPr>
            <w:r>
              <w:rPr>
                <w:spacing w:val="-2"/>
                <w:sz w:val="16"/>
              </w:rPr>
              <w:t>Moderada (37-39)</w:t>
            </w:r>
          </w:p>
        </w:tc>
        <w:tc>
          <w:tcPr>
            <w:tcW w:w="925" w:type="dxa"/>
          </w:tcPr>
          <w:p>
            <w:pPr>
              <w:pStyle w:val="TableParagraph"/>
              <w:spacing w:line="182" w:lineRule="exact"/>
              <w:ind w:left="9" w:right="8"/>
              <w:rPr>
                <w:sz w:val="16"/>
              </w:rPr>
            </w:pPr>
            <w:r>
              <w:rPr>
                <w:spacing w:val="-2"/>
                <w:sz w:val="16"/>
              </w:rPr>
              <w:t>41-</w:t>
            </w:r>
            <w:r>
              <w:rPr>
                <w:spacing w:val="-5"/>
                <w:sz w:val="16"/>
              </w:rPr>
              <w:t>60</w:t>
            </w:r>
          </w:p>
        </w:tc>
      </w:tr>
      <w:tr>
        <w:trPr>
          <w:trHeight w:val="369" w:hRule="atLeast"/>
        </w:trPr>
        <w:tc>
          <w:tcPr>
            <w:tcW w:w="1531" w:type="dxa"/>
          </w:tcPr>
          <w:p>
            <w:pPr>
              <w:pStyle w:val="TableParagraph"/>
              <w:spacing w:line="182" w:lineRule="exact"/>
              <w:ind w:left="17" w:right="2"/>
              <w:rPr>
                <w:sz w:val="16"/>
              </w:rPr>
            </w:pPr>
            <w:r>
              <w:rPr>
                <w:spacing w:val="-2"/>
                <w:sz w:val="16"/>
              </w:rPr>
              <w:t>7-</w:t>
            </w:r>
            <w:r>
              <w:rPr>
                <w:spacing w:val="-10"/>
                <w:sz w:val="16"/>
              </w:rPr>
              <w:t>8</w:t>
            </w:r>
          </w:p>
        </w:tc>
        <w:tc>
          <w:tcPr>
            <w:tcW w:w="1052" w:type="dxa"/>
            <w:vMerge/>
            <w:tcBorders>
              <w:top w:val="nil"/>
            </w:tcBorders>
          </w:tcPr>
          <w:p>
            <w:pPr>
              <w:rPr>
                <w:sz w:val="2"/>
                <w:szCs w:val="2"/>
              </w:rPr>
            </w:pPr>
          </w:p>
        </w:tc>
        <w:tc>
          <w:tcPr>
            <w:tcW w:w="905" w:type="dxa"/>
            <w:vMerge/>
            <w:tcBorders>
              <w:top w:val="nil"/>
            </w:tcBorders>
          </w:tcPr>
          <w:p>
            <w:pPr>
              <w:rPr>
                <w:sz w:val="2"/>
                <w:szCs w:val="2"/>
              </w:rPr>
            </w:pPr>
          </w:p>
        </w:tc>
        <w:tc>
          <w:tcPr>
            <w:tcW w:w="905" w:type="dxa"/>
            <w:vMerge/>
            <w:tcBorders>
              <w:top w:val="nil"/>
            </w:tcBorders>
          </w:tcPr>
          <w:p>
            <w:pPr>
              <w:rPr>
                <w:sz w:val="2"/>
                <w:szCs w:val="2"/>
              </w:rPr>
            </w:pPr>
          </w:p>
        </w:tc>
        <w:tc>
          <w:tcPr>
            <w:tcW w:w="1244" w:type="dxa"/>
            <w:vMerge/>
            <w:tcBorders>
              <w:top w:val="nil"/>
            </w:tcBorders>
          </w:tcPr>
          <w:p>
            <w:pPr>
              <w:rPr>
                <w:sz w:val="2"/>
                <w:szCs w:val="2"/>
              </w:rPr>
            </w:pPr>
          </w:p>
        </w:tc>
        <w:tc>
          <w:tcPr>
            <w:tcW w:w="905" w:type="dxa"/>
          </w:tcPr>
          <w:p>
            <w:pPr>
              <w:pStyle w:val="TableParagraph"/>
              <w:spacing w:line="182" w:lineRule="exact"/>
              <w:ind w:left="16" w:right="6"/>
              <w:rPr>
                <w:sz w:val="16"/>
              </w:rPr>
            </w:pPr>
            <w:r>
              <w:rPr>
                <w:spacing w:val="-10"/>
                <w:sz w:val="16"/>
              </w:rPr>
              <w:t>-</w:t>
            </w:r>
          </w:p>
        </w:tc>
        <w:tc>
          <w:tcPr>
            <w:tcW w:w="987" w:type="dxa"/>
          </w:tcPr>
          <w:p>
            <w:pPr>
              <w:pStyle w:val="TableParagraph"/>
              <w:spacing w:line="184" w:lineRule="exact"/>
              <w:ind w:left="231" w:right="90" w:hanging="132"/>
              <w:jc w:val="left"/>
              <w:rPr>
                <w:sz w:val="16"/>
              </w:rPr>
            </w:pPr>
            <w:r>
              <w:rPr>
                <w:sz w:val="16"/>
              </w:rPr>
              <w:t>Muy</w:t>
            </w:r>
            <w:r>
              <w:rPr>
                <w:spacing w:val="-12"/>
                <w:sz w:val="16"/>
              </w:rPr>
              <w:t> </w:t>
            </w:r>
            <w:r>
              <w:rPr>
                <w:sz w:val="16"/>
              </w:rPr>
              <w:t>Grave </w:t>
            </w:r>
            <w:r>
              <w:rPr>
                <w:spacing w:val="-2"/>
                <w:sz w:val="16"/>
              </w:rPr>
              <w:t>(48-44)</w:t>
            </w:r>
          </w:p>
        </w:tc>
        <w:tc>
          <w:tcPr>
            <w:tcW w:w="1098" w:type="dxa"/>
          </w:tcPr>
          <w:p>
            <w:pPr>
              <w:pStyle w:val="TableParagraph"/>
              <w:spacing w:line="184" w:lineRule="exact"/>
              <w:ind w:left="288" w:right="278" w:firstLine="39"/>
              <w:jc w:val="left"/>
              <w:rPr>
                <w:sz w:val="16"/>
              </w:rPr>
            </w:pPr>
            <w:r>
              <w:rPr>
                <w:spacing w:val="-4"/>
                <w:sz w:val="16"/>
              </w:rPr>
              <w:t>Grave </w:t>
            </w:r>
            <w:r>
              <w:rPr>
                <w:spacing w:val="-2"/>
                <w:sz w:val="16"/>
              </w:rPr>
              <w:t>(40-</w:t>
            </w:r>
            <w:r>
              <w:rPr>
                <w:spacing w:val="-5"/>
                <w:sz w:val="16"/>
              </w:rPr>
              <w:t>44)</w:t>
            </w:r>
          </w:p>
        </w:tc>
        <w:tc>
          <w:tcPr>
            <w:tcW w:w="925" w:type="dxa"/>
          </w:tcPr>
          <w:p>
            <w:pPr>
              <w:pStyle w:val="TableParagraph"/>
              <w:spacing w:line="182" w:lineRule="exact"/>
              <w:ind w:left="9" w:right="8"/>
              <w:rPr>
                <w:sz w:val="16"/>
              </w:rPr>
            </w:pPr>
            <w:r>
              <w:rPr>
                <w:spacing w:val="-2"/>
                <w:sz w:val="16"/>
              </w:rPr>
              <w:t>61-</w:t>
            </w:r>
            <w:r>
              <w:rPr>
                <w:spacing w:val="-5"/>
                <w:sz w:val="16"/>
              </w:rPr>
              <w:t>80</w:t>
            </w:r>
          </w:p>
        </w:tc>
      </w:tr>
      <w:tr>
        <w:trPr>
          <w:trHeight w:val="552" w:hRule="atLeast"/>
        </w:trPr>
        <w:tc>
          <w:tcPr>
            <w:tcW w:w="1531" w:type="dxa"/>
          </w:tcPr>
          <w:p>
            <w:pPr>
              <w:pStyle w:val="TableParagraph"/>
              <w:spacing w:line="182" w:lineRule="exact"/>
              <w:ind w:left="17" w:right="5"/>
              <w:rPr>
                <w:sz w:val="16"/>
              </w:rPr>
            </w:pPr>
            <w:r>
              <w:rPr>
                <w:spacing w:val="-2"/>
                <w:sz w:val="16"/>
              </w:rPr>
              <w:t>9-</w:t>
            </w:r>
            <w:r>
              <w:rPr>
                <w:spacing w:val="-5"/>
                <w:sz w:val="16"/>
              </w:rPr>
              <w:t>10</w:t>
            </w:r>
          </w:p>
        </w:tc>
        <w:tc>
          <w:tcPr>
            <w:tcW w:w="1052" w:type="dxa"/>
          </w:tcPr>
          <w:p>
            <w:pPr>
              <w:pStyle w:val="TableParagraph"/>
              <w:spacing w:line="182" w:lineRule="exact"/>
              <w:ind w:left="14" w:right="3"/>
              <w:rPr>
                <w:sz w:val="16"/>
              </w:rPr>
            </w:pPr>
            <w:r>
              <w:rPr>
                <w:spacing w:val="-5"/>
                <w:sz w:val="16"/>
              </w:rPr>
              <w:t>&lt;15</w:t>
            </w:r>
          </w:p>
        </w:tc>
        <w:tc>
          <w:tcPr>
            <w:tcW w:w="905" w:type="dxa"/>
          </w:tcPr>
          <w:p>
            <w:pPr>
              <w:pStyle w:val="TableParagraph"/>
              <w:spacing w:line="182" w:lineRule="exact"/>
              <w:ind w:left="232" w:firstLine="69"/>
              <w:jc w:val="left"/>
              <w:rPr>
                <w:sz w:val="16"/>
              </w:rPr>
            </w:pPr>
            <w:r>
              <w:rPr>
                <w:spacing w:val="-5"/>
                <w:sz w:val="16"/>
              </w:rPr>
              <w:t>Muy</w:t>
            </w:r>
          </w:p>
          <w:p>
            <w:pPr>
              <w:pStyle w:val="TableParagraph"/>
              <w:spacing w:line="184" w:lineRule="exact"/>
              <w:ind w:left="239" w:right="213" w:hanging="8"/>
              <w:jc w:val="left"/>
              <w:rPr>
                <w:sz w:val="16"/>
              </w:rPr>
            </w:pPr>
            <w:r>
              <w:rPr>
                <w:spacing w:val="-2"/>
                <w:sz w:val="16"/>
              </w:rPr>
              <w:t>Grave </w:t>
            </w:r>
            <w:r>
              <w:rPr>
                <w:sz w:val="16"/>
              </w:rPr>
              <w:t>(&lt;</w:t>
            </w:r>
            <w:r>
              <w:rPr>
                <w:spacing w:val="-1"/>
                <w:sz w:val="16"/>
              </w:rPr>
              <w:t> </w:t>
            </w:r>
            <w:r>
              <w:rPr>
                <w:spacing w:val="-5"/>
                <w:sz w:val="16"/>
              </w:rPr>
              <w:t>64)</w:t>
            </w:r>
          </w:p>
        </w:tc>
        <w:tc>
          <w:tcPr>
            <w:tcW w:w="905" w:type="dxa"/>
          </w:tcPr>
          <w:p>
            <w:pPr>
              <w:pStyle w:val="TableParagraph"/>
              <w:spacing w:line="182" w:lineRule="exact"/>
              <w:ind w:left="232" w:firstLine="69"/>
              <w:jc w:val="left"/>
              <w:rPr>
                <w:sz w:val="16"/>
              </w:rPr>
            </w:pPr>
            <w:r>
              <w:rPr>
                <w:spacing w:val="-5"/>
                <w:sz w:val="16"/>
              </w:rPr>
              <w:t>Muy</w:t>
            </w:r>
          </w:p>
          <w:p>
            <w:pPr>
              <w:pStyle w:val="TableParagraph"/>
              <w:spacing w:line="184" w:lineRule="exact"/>
              <w:ind w:left="239" w:right="213" w:hanging="8"/>
              <w:jc w:val="left"/>
              <w:rPr>
                <w:sz w:val="16"/>
              </w:rPr>
            </w:pPr>
            <w:r>
              <w:rPr>
                <w:spacing w:val="-2"/>
                <w:sz w:val="16"/>
              </w:rPr>
              <w:t>Grave </w:t>
            </w:r>
            <w:r>
              <w:rPr>
                <w:sz w:val="16"/>
              </w:rPr>
              <w:t>(&gt;</w:t>
            </w:r>
            <w:r>
              <w:rPr>
                <w:spacing w:val="-1"/>
                <w:sz w:val="16"/>
              </w:rPr>
              <w:t> </w:t>
            </w:r>
            <w:r>
              <w:rPr>
                <w:spacing w:val="-5"/>
                <w:sz w:val="16"/>
              </w:rPr>
              <w:t>30)</w:t>
            </w:r>
          </w:p>
        </w:tc>
        <w:tc>
          <w:tcPr>
            <w:tcW w:w="1244" w:type="dxa"/>
          </w:tcPr>
          <w:p>
            <w:pPr>
              <w:pStyle w:val="TableParagraph"/>
              <w:spacing w:line="182" w:lineRule="exact"/>
              <w:ind w:left="10"/>
              <w:rPr>
                <w:sz w:val="16"/>
              </w:rPr>
            </w:pPr>
            <w:r>
              <w:rPr>
                <w:spacing w:val="-5"/>
                <w:sz w:val="16"/>
              </w:rPr>
              <w:t>&gt;40</w:t>
            </w:r>
          </w:p>
        </w:tc>
        <w:tc>
          <w:tcPr>
            <w:tcW w:w="905" w:type="dxa"/>
          </w:tcPr>
          <w:p>
            <w:pPr>
              <w:pStyle w:val="TableParagraph"/>
              <w:spacing w:line="182" w:lineRule="exact"/>
              <w:ind w:left="16" w:right="6"/>
              <w:rPr>
                <w:sz w:val="16"/>
              </w:rPr>
            </w:pPr>
            <w:r>
              <w:rPr>
                <w:spacing w:val="-10"/>
                <w:sz w:val="16"/>
              </w:rPr>
              <w:t>-</w:t>
            </w:r>
          </w:p>
        </w:tc>
        <w:tc>
          <w:tcPr>
            <w:tcW w:w="987" w:type="dxa"/>
          </w:tcPr>
          <w:p>
            <w:pPr>
              <w:pStyle w:val="TableParagraph"/>
              <w:spacing w:line="182" w:lineRule="exact"/>
              <w:ind w:left="9"/>
              <w:rPr>
                <w:sz w:val="16"/>
              </w:rPr>
            </w:pPr>
            <w:r>
              <w:rPr>
                <w:spacing w:val="-10"/>
                <w:sz w:val="16"/>
              </w:rPr>
              <w:t>-</w:t>
            </w:r>
          </w:p>
        </w:tc>
        <w:tc>
          <w:tcPr>
            <w:tcW w:w="1098" w:type="dxa"/>
          </w:tcPr>
          <w:p>
            <w:pPr>
              <w:pStyle w:val="TableParagraph"/>
              <w:spacing w:line="240" w:lineRule="auto"/>
              <w:ind w:left="334" w:right="139" w:hanging="181"/>
              <w:jc w:val="left"/>
              <w:rPr>
                <w:sz w:val="16"/>
              </w:rPr>
            </w:pPr>
            <w:r>
              <w:rPr>
                <w:sz w:val="16"/>
              </w:rPr>
              <w:t>Muy</w:t>
            </w:r>
            <w:r>
              <w:rPr>
                <w:spacing w:val="-12"/>
                <w:sz w:val="16"/>
              </w:rPr>
              <w:t> </w:t>
            </w:r>
            <w:r>
              <w:rPr>
                <w:sz w:val="16"/>
              </w:rPr>
              <w:t>Grave (&gt; 45)</w:t>
            </w:r>
          </w:p>
        </w:tc>
        <w:tc>
          <w:tcPr>
            <w:tcW w:w="925" w:type="dxa"/>
          </w:tcPr>
          <w:p>
            <w:pPr>
              <w:pStyle w:val="TableParagraph"/>
              <w:spacing w:line="182" w:lineRule="exact"/>
              <w:ind w:left="9" w:right="5"/>
              <w:rPr>
                <w:sz w:val="16"/>
              </w:rPr>
            </w:pPr>
            <w:r>
              <w:rPr>
                <w:spacing w:val="-5"/>
                <w:sz w:val="16"/>
              </w:rPr>
              <w:t>100</w:t>
            </w:r>
          </w:p>
        </w:tc>
      </w:tr>
      <w:tr>
        <w:trPr>
          <w:trHeight w:val="1472" w:hRule="atLeast"/>
        </w:trPr>
        <w:tc>
          <w:tcPr>
            <w:tcW w:w="9552" w:type="dxa"/>
            <w:gridSpan w:val="9"/>
          </w:tcPr>
          <w:p>
            <w:pPr>
              <w:pStyle w:val="TableParagraph"/>
              <w:numPr>
                <w:ilvl w:val="0"/>
                <w:numId w:val="181"/>
              </w:numPr>
              <w:tabs>
                <w:tab w:pos="431" w:val="left" w:leader="none"/>
              </w:tabs>
              <w:spacing w:line="240" w:lineRule="auto" w:before="0" w:after="0"/>
              <w:ind w:left="431" w:right="53" w:hanging="360"/>
              <w:jc w:val="left"/>
              <w:rPr>
                <w:sz w:val="16"/>
              </w:rPr>
            </w:pPr>
            <w:r>
              <w:rPr>
                <w:sz w:val="16"/>
              </w:rPr>
              <w:t>Para poder determinar un índice de perfusión periférica (IPP) en los flujos periféricos mayor al 50%, se deberá valorar también el FEV1.</w:t>
            </w:r>
          </w:p>
          <w:p>
            <w:pPr>
              <w:pStyle w:val="TableParagraph"/>
              <w:numPr>
                <w:ilvl w:val="0"/>
                <w:numId w:val="181"/>
              </w:numPr>
              <w:tabs>
                <w:tab w:pos="431" w:val="left" w:leader="none"/>
              </w:tabs>
              <w:spacing w:line="240" w:lineRule="auto" w:before="0" w:after="0"/>
              <w:ind w:left="431" w:right="55" w:hanging="360"/>
              <w:jc w:val="left"/>
              <w:rPr>
                <w:sz w:val="16"/>
              </w:rPr>
            </w:pPr>
            <w:r>
              <w:rPr>
                <w:sz w:val="16"/>
              </w:rPr>
              <w:t>Para</w:t>
            </w:r>
            <w:r>
              <w:rPr>
                <w:spacing w:val="23"/>
                <w:sz w:val="16"/>
              </w:rPr>
              <w:t> </w:t>
            </w:r>
            <w:r>
              <w:rPr>
                <w:sz w:val="16"/>
              </w:rPr>
              <w:t>determinar</w:t>
            </w:r>
            <w:r>
              <w:rPr>
                <w:spacing w:val="23"/>
                <w:sz w:val="16"/>
              </w:rPr>
              <w:t> </w:t>
            </w:r>
            <w:r>
              <w:rPr>
                <w:sz w:val="16"/>
              </w:rPr>
              <w:t>un</w:t>
            </w:r>
            <w:r>
              <w:rPr>
                <w:spacing w:val="23"/>
                <w:sz w:val="16"/>
              </w:rPr>
              <w:t> </w:t>
            </w:r>
            <w:r>
              <w:rPr>
                <w:sz w:val="16"/>
              </w:rPr>
              <w:t>IPP</w:t>
            </w:r>
            <w:r>
              <w:rPr>
                <w:spacing w:val="22"/>
                <w:sz w:val="16"/>
              </w:rPr>
              <w:t> </w:t>
            </w:r>
            <w:r>
              <w:rPr>
                <w:sz w:val="16"/>
              </w:rPr>
              <w:t>mayor</w:t>
            </w:r>
            <w:r>
              <w:rPr>
                <w:spacing w:val="23"/>
                <w:sz w:val="16"/>
              </w:rPr>
              <w:t> </w:t>
            </w:r>
            <w:r>
              <w:rPr>
                <w:sz w:val="16"/>
              </w:rPr>
              <w:t>del</w:t>
            </w:r>
            <w:r>
              <w:rPr>
                <w:spacing w:val="24"/>
                <w:sz w:val="16"/>
              </w:rPr>
              <w:t> </w:t>
            </w:r>
            <w:r>
              <w:rPr>
                <w:sz w:val="16"/>
              </w:rPr>
              <w:t>60%</w:t>
            </w:r>
            <w:r>
              <w:rPr>
                <w:spacing w:val="23"/>
                <w:sz w:val="16"/>
              </w:rPr>
              <w:t> </w:t>
            </w:r>
            <w:r>
              <w:rPr>
                <w:sz w:val="16"/>
              </w:rPr>
              <w:t>con</w:t>
            </w:r>
            <w:r>
              <w:rPr>
                <w:spacing w:val="23"/>
                <w:sz w:val="16"/>
              </w:rPr>
              <w:t> </w:t>
            </w:r>
            <w:r>
              <w:rPr>
                <w:sz w:val="16"/>
              </w:rPr>
              <w:t>los</w:t>
            </w:r>
            <w:r>
              <w:rPr>
                <w:spacing w:val="25"/>
                <w:sz w:val="16"/>
              </w:rPr>
              <w:t> </w:t>
            </w:r>
            <w:r>
              <w:rPr>
                <w:sz w:val="16"/>
              </w:rPr>
              <w:t>datos</w:t>
            </w:r>
            <w:r>
              <w:rPr>
                <w:spacing w:val="25"/>
                <w:sz w:val="16"/>
              </w:rPr>
              <w:t> </w:t>
            </w:r>
            <w:r>
              <w:rPr>
                <w:sz w:val="16"/>
              </w:rPr>
              <w:t>de</w:t>
            </w:r>
            <w:r>
              <w:rPr>
                <w:spacing w:val="23"/>
                <w:sz w:val="16"/>
              </w:rPr>
              <w:t> </w:t>
            </w:r>
            <w:r>
              <w:rPr>
                <w:sz w:val="16"/>
              </w:rPr>
              <w:t>hipoxemia</w:t>
            </w:r>
            <w:r>
              <w:rPr>
                <w:spacing w:val="23"/>
                <w:sz w:val="16"/>
              </w:rPr>
              <w:t> </w:t>
            </w:r>
            <w:r>
              <w:rPr>
                <w:sz w:val="16"/>
              </w:rPr>
              <w:t>censada</w:t>
            </w:r>
            <w:r>
              <w:rPr>
                <w:spacing w:val="23"/>
                <w:sz w:val="16"/>
              </w:rPr>
              <w:t> </w:t>
            </w:r>
            <w:r>
              <w:rPr>
                <w:sz w:val="16"/>
              </w:rPr>
              <w:t>por</w:t>
            </w:r>
            <w:r>
              <w:rPr>
                <w:spacing w:val="21"/>
                <w:sz w:val="16"/>
              </w:rPr>
              <w:t> </w:t>
            </w:r>
            <w:r>
              <w:rPr>
                <w:sz w:val="16"/>
              </w:rPr>
              <w:t>medio</w:t>
            </w:r>
            <w:r>
              <w:rPr>
                <w:spacing w:val="24"/>
                <w:sz w:val="16"/>
              </w:rPr>
              <w:t> </w:t>
            </w:r>
            <w:r>
              <w:rPr>
                <w:sz w:val="16"/>
              </w:rPr>
              <w:t>de</w:t>
            </w:r>
            <w:r>
              <w:rPr>
                <w:spacing w:val="23"/>
                <w:sz w:val="16"/>
              </w:rPr>
              <w:t> </w:t>
            </w:r>
            <w:r>
              <w:rPr>
                <w:sz w:val="16"/>
              </w:rPr>
              <w:t>oximetría</w:t>
            </w:r>
            <w:r>
              <w:rPr>
                <w:spacing w:val="23"/>
                <w:sz w:val="16"/>
              </w:rPr>
              <w:t> </w:t>
            </w:r>
            <w:r>
              <w:rPr>
                <w:sz w:val="16"/>
              </w:rPr>
              <w:t>de</w:t>
            </w:r>
            <w:r>
              <w:rPr>
                <w:spacing w:val="23"/>
                <w:sz w:val="16"/>
              </w:rPr>
              <w:t> </w:t>
            </w:r>
            <w:r>
              <w:rPr>
                <w:sz w:val="16"/>
              </w:rPr>
              <w:t>pulso,</w:t>
            </w:r>
            <w:r>
              <w:rPr>
                <w:spacing w:val="22"/>
                <w:sz w:val="16"/>
              </w:rPr>
              <w:t> </w:t>
            </w:r>
            <w:r>
              <w:rPr>
                <w:sz w:val="16"/>
              </w:rPr>
              <w:t>se</w:t>
            </w:r>
            <w:r>
              <w:rPr>
                <w:spacing w:val="23"/>
                <w:sz w:val="16"/>
              </w:rPr>
              <w:t> </w:t>
            </w:r>
            <w:r>
              <w:rPr>
                <w:sz w:val="16"/>
              </w:rPr>
              <w:t>deberá valorar además con hipercapnia determinada por la gasometría arterial.</w:t>
            </w:r>
          </w:p>
          <w:p>
            <w:pPr>
              <w:pStyle w:val="TableParagraph"/>
              <w:numPr>
                <w:ilvl w:val="0"/>
                <w:numId w:val="181"/>
              </w:numPr>
              <w:tabs>
                <w:tab w:pos="431" w:val="left" w:leader="none"/>
              </w:tabs>
              <w:spacing w:line="240" w:lineRule="auto" w:before="0" w:after="0"/>
              <w:ind w:left="431" w:right="64" w:hanging="360"/>
              <w:jc w:val="left"/>
              <w:rPr>
                <w:sz w:val="16"/>
              </w:rPr>
            </w:pPr>
            <w:r>
              <w:rPr>
                <w:sz w:val="16"/>
              </w:rPr>
              <w:t>La</w:t>
            </w:r>
            <w:r>
              <w:rPr>
                <w:spacing w:val="37"/>
                <w:sz w:val="16"/>
              </w:rPr>
              <w:t> </w:t>
            </w:r>
            <w:r>
              <w:rPr>
                <w:sz w:val="16"/>
              </w:rPr>
              <w:t>interpretación</w:t>
            </w:r>
            <w:r>
              <w:rPr>
                <w:spacing w:val="36"/>
                <w:sz w:val="16"/>
              </w:rPr>
              <w:t> </w:t>
            </w:r>
            <w:r>
              <w:rPr>
                <w:sz w:val="16"/>
              </w:rPr>
              <w:t>de</w:t>
            </w:r>
            <w:r>
              <w:rPr>
                <w:spacing w:val="37"/>
                <w:sz w:val="16"/>
              </w:rPr>
              <w:t> </w:t>
            </w:r>
            <w:r>
              <w:rPr>
                <w:sz w:val="16"/>
              </w:rPr>
              <w:t>la</w:t>
            </w:r>
            <w:r>
              <w:rPr>
                <w:spacing w:val="37"/>
                <w:sz w:val="16"/>
              </w:rPr>
              <w:t> </w:t>
            </w:r>
            <w:r>
              <w:rPr>
                <w:sz w:val="16"/>
              </w:rPr>
              <w:t>espirometría</w:t>
            </w:r>
            <w:r>
              <w:rPr>
                <w:spacing w:val="37"/>
                <w:sz w:val="16"/>
              </w:rPr>
              <w:t> </w:t>
            </w:r>
            <w:r>
              <w:rPr>
                <w:sz w:val="16"/>
              </w:rPr>
              <w:t>tendrá</w:t>
            </w:r>
            <w:r>
              <w:rPr>
                <w:spacing w:val="37"/>
                <w:sz w:val="16"/>
              </w:rPr>
              <w:t> </w:t>
            </w:r>
            <w:r>
              <w:rPr>
                <w:sz w:val="16"/>
              </w:rPr>
              <w:t>como</w:t>
            </w:r>
            <w:r>
              <w:rPr>
                <w:spacing w:val="37"/>
                <w:sz w:val="16"/>
              </w:rPr>
              <w:t> </w:t>
            </w:r>
            <w:r>
              <w:rPr>
                <w:sz w:val="16"/>
              </w:rPr>
              <w:t>punto</w:t>
            </w:r>
            <w:r>
              <w:rPr>
                <w:spacing w:val="34"/>
                <w:sz w:val="16"/>
              </w:rPr>
              <w:t> </w:t>
            </w:r>
            <w:r>
              <w:rPr>
                <w:sz w:val="16"/>
              </w:rPr>
              <w:t>cardinal,</w:t>
            </w:r>
            <w:r>
              <w:rPr>
                <w:spacing w:val="36"/>
                <w:sz w:val="16"/>
              </w:rPr>
              <w:t> </w:t>
            </w:r>
            <w:r>
              <w:rPr>
                <w:sz w:val="16"/>
              </w:rPr>
              <w:t>la</w:t>
            </w:r>
            <w:r>
              <w:rPr>
                <w:spacing w:val="37"/>
                <w:sz w:val="16"/>
              </w:rPr>
              <w:t> </w:t>
            </w:r>
            <w:r>
              <w:rPr>
                <w:sz w:val="16"/>
              </w:rPr>
              <w:t>utilización</w:t>
            </w:r>
            <w:r>
              <w:rPr>
                <w:spacing w:val="36"/>
                <w:sz w:val="16"/>
              </w:rPr>
              <w:t> </w:t>
            </w:r>
            <w:r>
              <w:rPr>
                <w:sz w:val="16"/>
              </w:rPr>
              <w:t>de</w:t>
            </w:r>
            <w:r>
              <w:rPr>
                <w:spacing w:val="37"/>
                <w:sz w:val="16"/>
              </w:rPr>
              <w:t> </w:t>
            </w:r>
            <w:r>
              <w:rPr>
                <w:sz w:val="16"/>
              </w:rPr>
              <w:t>valores</w:t>
            </w:r>
            <w:r>
              <w:rPr>
                <w:spacing w:val="38"/>
                <w:sz w:val="16"/>
              </w:rPr>
              <w:t> </w:t>
            </w:r>
            <w:r>
              <w:rPr>
                <w:sz w:val="16"/>
              </w:rPr>
              <w:t>obtenidos</w:t>
            </w:r>
            <w:r>
              <w:rPr>
                <w:spacing w:val="38"/>
                <w:sz w:val="16"/>
              </w:rPr>
              <w:t> </w:t>
            </w:r>
            <w:r>
              <w:rPr>
                <w:sz w:val="16"/>
              </w:rPr>
              <w:t>en</w:t>
            </w:r>
            <w:r>
              <w:rPr>
                <w:spacing w:val="37"/>
                <w:sz w:val="16"/>
              </w:rPr>
              <w:t> </w:t>
            </w:r>
            <w:r>
              <w:rPr>
                <w:sz w:val="16"/>
              </w:rPr>
              <w:t>población</w:t>
            </w:r>
            <w:r>
              <w:rPr>
                <w:spacing w:val="36"/>
                <w:sz w:val="16"/>
              </w:rPr>
              <w:t> </w:t>
            </w:r>
            <w:r>
              <w:rPr>
                <w:sz w:val="16"/>
              </w:rPr>
              <w:t>adulta mexicana sana.</w:t>
            </w:r>
          </w:p>
          <w:p>
            <w:pPr>
              <w:pStyle w:val="TableParagraph"/>
              <w:numPr>
                <w:ilvl w:val="0"/>
                <w:numId w:val="181"/>
              </w:numPr>
              <w:tabs>
                <w:tab w:pos="431" w:val="left" w:leader="none"/>
              </w:tabs>
              <w:spacing w:line="184" w:lineRule="exact" w:before="0" w:after="0"/>
              <w:ind w:left="431" w:right="62" w:hanging="360"/>
              <w:jc w:val="left"/>
              <w:rPr>
                <w:sz w:val="16"/>
              </w:rPr>
            </w:pPr>
            <w:r>
              <w:rPr>
                <w:sz w:val="16"/>
              </w:rPr>
              <w:t>El</w:t>
            </w:r>
            <w:r>
              <w:rPr>
                <w:spacing w:val="34"/>
                <w:sz w:val="16"/>
              </w:rPr>
              <w:t> </w:t>
            </w:r>
            <w:r>
              <w:rPr>
                <w:sz w:val="16"/>
              </w:rPr>
              <w:t>porcentaje</w:t>
            </w:r>
            <w:r>
              <w:rPr>
                <w:spacing w:val="31"/>
                <w:sz w:val="16"/>
              </w:rPr>
              <w:t> </w:t>
            </w:r>
            <w:r>
              <w:rPr>
                <w:sz w:val="16"/>
              </w:rPr>
              <w:t>de</w:t>
            </w:r>
            <w:r>
              <w:rPr>
                <w:spacing w:val="33"/>
                <w:sz w:val="16"/>
              </w:rPr>
              <w:t> </w:t>
            </w:r>
            <w:r>
              <w:rPr>
                <w:sz w:val="16"/>
              </w:rPr>
              <w:t>valuación</w:t>
            </w:r>
            <w:r>
              <w:rPr>
                <w:spacing w:val="33"/>
                <w:sz w:val="16"/>
              </w:rPr>
              <w:t> </w:t>
            </w:r>
            <w:r>
              <w:rPr>
                <w:sz w:val="16"/>
              </w:rPr>
              <w:t>lo</w:t>
            </w:r>
            <w:r>
              <w:rPr>
                <w:spacing w:val="31"/>
                <w:sz w:val="16"/>
              </w:rPr>
              <w:t> </w:t>
            </w:r>
            <w:r>
              <w:rPr>
                <w:sz w:val="16"/>
              </w:rPr>
              <w:t>determinan</w:t>
            </w:r>
            <w:r>
              <w:rPr>
                <w:spacing w:val="33"/>
                <w:sz w:val="16"/>
              </w:rPr>
              <w:t> </w:t>
            </w:r>
            <w:r>
              <w:rPr>
                <w:sz w:val="16"/>
              </w:rPr>
              <w:t>las</w:t>
            </w:r>
            <w:r>
              <w:rPr>
                <w:spacing w:val="33"/>
                <w:sz w:val="16"/>
              </w:rPr>
              <w:t> </w:t>
            </w:r>
            <w:r>
              <w:rPr>
                <w:sz w:val="16"/>
              </w:rPr>
              <w:t>pruebas</w:t>
            </w:r>
            <w:r>
              <w:rPr>
                <w:spacing w:val="35"/>
                <w:sz w:val="16"/>
              </w:rPr>
              <w:t> </w:t>
            </w:r>
            <w:r>
              <w:rPr>
                <w:sz w:val="16"/>
              </w:rPr>
              <w:t>de</w:t>
            </w:r>
            <w:r>
              <w:rPr>
                <w:spacing w:val="31"/>
                <w:sz w:val="16"/>
              </w:rPr>
              <w:t> </w:t>
            </w:r>
            <w:r>
              <w:rPr>
                <w:sz w:val="16"/>
              </w:rPr>
              <w:t>función</w:t>
            </w:r>
            <w:r>
              <w:rPr>
                <w:spacing w:val="31"/>
                <w:sz w:val="16"/>
              </w:rPr>
              <w:t> </w:t>
            </w:r>
            <w:r>
              <w:rPr>
                <w:sz w:val="16"/>
              </w:rPr>
              <w:t>respiratoria</w:t>
            </w:r>
            <w:r>
              <w:rPr>
                <w:spacing w:val="31"/>
                <w:sz w:val="16"/>
              </w:rPr>
              <w:t> </w:t>
            </w:r>
            <w:r>
              <w:rPr>
                <w:sz w:val="16"/>
              </w:rPr>
              <w:t>post</w:t>
            </w:r>
            <w:r>
              <w:rPr>
                <w:spacing w:val="33"/>
                <w:sz w:val="16"/>
              </w:rPr>
              <w:t> </w:t>
            </w:r>
            <w:r>
              <w:rPr>
                <w:sz w:val="16"/>
              </w:rPr>
              <w:t>broncodilatador</w:t>
            </w:r>
            <w:r>
              <w:rPr>
                <w:spacing w:val="31"/>
                <w:sz w:val="16"/>
              </w:rPr>
              <w:t> </w:t>
            </w:r>
            <w:r>
              <w:rPr>
                <w:sz w:val="16"/>
              </w:rPr>
              <w:t>con</w:t>
            </w:r>
            <w:r>
              <w:rPr>
                <w:spacing w:val="31"/>
                <w:sz w:val="16"/>
              </w:rPr>
              <w:t> </w:t>
            </w:r>
            <w:r>
              <w:rPr>
                <w:sz w:val="16"/>
              </w:rPr>
              <w:t>el</w:t>
            </w:r>
            <w:r>
              <w:rPr>
                <w:spacing w:val="32"/>
                <w:sz w:val="16"/>
              </w:rPr>
              <w:t> </w:t>
            </w:r>
            <w:r>
              <w:rPr>
                <w:sz w:val="16"/>
              </w:rPr>
              <w:t>valor</w:t>
            </w:r>
            <w:r>
              <w:rPr>
                <w:spacing w:val="31"/>
                <w:sz w:val="16"/>
              </w:rPr>
              <w:t> </w:t>
            </w:r>
            <w:r>
              <w:rPr>
                <w:sz w:val="16"/>
              </w:rPr>
              <w:t>más</w:t>
            </w:r>
            <w:r>
              <w:rPr>
                <w:spacing w:val="33"/>
                <w:sz w:val="16"/>
              </w:rPr>
              <w:t> </w:t>
            </w:r>
            <w:r>
              <w:rPr>
                <w:sz w:val="16"/>
              </w:rPr>
              <w:t>bajo </w:t>
            </w:r>
            <w:r>
              <w:rPr>
                <w:spacing w:val="-2"/>
                <w:sz w:val="16"/>
              </w:rPr>
              <w:t>encontrado.</w:t>
            </w:r>
          </w:p>
        </w:tc>
      </w:tr>
    </w:tbl>
    <w:p>
      <w:pPr>
        <w:pStyle w:val="BodyText"/>
        <w:spacing w:before="2" w:after="1"/>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7080"/>
        <w:gridCol w:w="1405"/>
      </w:tblGrid>
      <w:tr>
        <w:trPr>
          <w:trHeight w:val="690" w:hRule="atLeast"/>
        </w:trPr>
        <w:tc>
          <w:tcPr>
            <w:tcW w:w="1066" w:type="dxa"/>
          </w:tcPr>
          <w:p>
            <w:pPr>
              <w:pStyle w:val="TableParagraph"/>
              <w:spacing w:line="240" w:lineRule="auto" w:before="229"/>
              <w:ind w:left="9"/>
              <w:rPr>
                <w:sz w:val="20"/>
              </w:rPr>
            </w:pPr>
            <w:r>
              <w:rPr>
                <w:spacing w:val="-5"/>
                <w:sz w:val="20"/>
              </w:rPr>
              <w:t>454</w:t>
            </w:r>
          </w:p>
        </w:tc>
        <w:tc>
          <w:tcPr>
            <w:tcW w:w="7080" w:type="dxa"/>
          </w:tcPr>
          <w:p>
            <w:pPr>
              <w:pStyle w:val="TableParagraph"/>
              <w:spacing w:line="230" w:lineRule="exact"/>
              <w:ind w:right="60"/>
              <w:jc w:val="both"/>
              <w:rPr>
                <w:sz w:val="20"/>
              </w:rPr>
            </w:pPr>
            <w:r>
              <w:rPr>
                <w:sz w:val="20"/>
              </w:rPr>
              <w:t>Fibrosis neumoconiótica complicada con tuberculosis pulmonar, clínica y bacteriológicamente sin remisión. Agregar 20% al monto de las</w:t>
            </w:r>
            <w:r>
              <w:rPr>
                <w:spacing w:val="40"/>
                <w:sz w:val="20"/>
              </w:rPr>
              <w:t> </w:t>
            </w:r>
            <w:r>
              <w:rPr>
                <w:sz w:val="20"/>
              </w:rPr>
              <w:t>incapacidades consignadas en la Tabla VI, sin exceder del cien por ciento.</w:t>
            </w:r>
          </w:p>
        </w:tc>
        <w:tc>
          <w:tcPr>
            <w:tcW w:w="1405" w:type="dxa"/>
          </w:tcPr>
          <w:p>
            <w:pPr>
              <w:pStyle w:val="TableParagraph"/>
              <w:spacing w:line="240" w:lineRule="auto" w:before="229"/>
              <w:ind w:left="8"/>
              <w:rPr>
                <w:sz w:val="20"/>
              </w:rPr>
            </w:pPr>
            <w:r>
              <w:rPr>
                <w:spacing w:val="-2"/>
                <w:sz w:val="20"/>
              </w:rPr>
              <w:t>-</w:t>
            </w:r>
            <w:r>
              <w:rPr>
                <w:spacing w:val="-12"/>
                <w:sz w:val="20"/>
              </w:rPr>
              <w:t>-</w:t>
            </w:r>
          </w:p>
        </w:tc>
      </w:tr>
      <w:tr>
        <w:trPr>
          <w:trHeight w:val="229" w:hRule="atLeast"/>
        </w:trPr>
        <w:tc>
          <w:tcPr>
            <w:tcW w:w="1066" w:type="dxa"/>
          </w:tcPr>
          <w:p>
            <w:pPr>
              <w:pStyle w:val="TableParagraph"/>
              <w:ind w:left="9"/>
              <w:rPr>
                <w:sz w:val="20"/>
              </w:rPr>
            </w:pPr>
            <w:r>
              <w:rPr>
                <w:spacing w:val="-5"/>
                <w:sz w:val="20"/>
              </w:rPr>
              <w:t>455</w:t>
            </w:r>
          </w:p>
        </w:tc>
        <w:tc>
          <w:tcPr>
            <w:tcW w:w="7080" w:type="dxa"/>
          </w:tcPr>
          <w:p>
            <w:pPr>
              <w:pStyle w:val="TableParagraph"/>
              <w:jc w:val="left"/>
              <w:rPr>
                <w:sz w:val="20"/>
              </w:rPr>
            </w:pPr>
            <w:r>
              <w:rPr>
                <w:sz w:val="20"/>
              </w:rPr>
              <w:t>Hernia</w:t>
            </w:r>
            <w:r>
              <w:rPr>
                <w:spacing w:val="-10"/>
                <w:sz w:val="20"/>
              </w:rPr>
              <w:t> </w:t>
            </w:r>
            <w:r>
              <w:rPr>
                <w:sz w:val="20"/>
              </w:rPr>
              <w:t>diafragmática</w:t>
            </w:r>
            <w:r>
              <w:rPr>
                <w:spacing w:val="-10"/>
                <w:sz w:val="20"/>
              </w:rPr>
              <w:t> </w:t>
            </w:r>
            <w:r>
              <w:rPr>
                <w:sz w:val="20"/>
              </w:rPr>
              <w:t>postraumática</w:t>
            </w:r>
            <w:r>
              <w:rPr>
                <w:spacing w:val="-10"/>
                <w:sz w:val="20"/>
              </w:rPr>
              <w:t> </w:t>
            </w:r>
            <w:r>
              <w:rPr>
                <w:sz w:val="20"/>
              </w:rPr>
              <w:t>no</w:t>
            </w:r>
            <w:r>
              <w:rPr>
                <w:spacing w:val="-10"/>
                <w:sz w:val="20"/>
              </w:rPr>
              <w:t> </w:t>
            </w:r>
            <w:r>
              <w:rPr>
                <w:sz w:val="20"/>
              </w:rPr>
              <w:t>resuelta</w:t>
            </w:r>
            <w:r>
              <w:rPr>
                <w:spacing w:val="-9"/>
                <w:sz w:val="20"/>
              </w:rPr>
              <w:t> </w:t>
            </w:r>
            <w:r>
              <w:rPr>
                <w:spacing w:val="-2"/>
                <w:sz w:val="20"/>
              </w:rPr>
              <w:t>quirúrgicamente.</w:t>
            </w:r>
          </w:p>
        </w:tc>
        <w:tc>
          <w:tcPr>
            <w:tcW w:w="1405" w:type="dxa"/>
          </w:tcPr>
          <w:p>
            <w:pPr>
              <w:pStyle w:val="TableParagraph"/>
              <w:ind w:left="8" w:right="3"/>
              <w:rPr>
                <w:sz w:val="20"/>
              </w:rPr>
            </w:pPr>
            <w:r>
              <w:rPr>
                <w:sz w:val="20"/>
              </w:rPr>
              <w:t>30</w:t>
            </w:r>
            <w:r>
              <w:rPr>
                <w:spacing w:val="-3"/>
                <w:sz w:val="20"/>
              </w:rPr>
              <w:t> </w:t>
            </w:r>
            <w:r>
              <w:rPr>
                <w:sz w:val="20"/>
              </w:rPr>
              <w:t>a</w:t>
            </w:r>
            <w:r>
              <w:rPr>
                <w:spacing w:val="-1"/>
                <w:sz w:val="20"/>
              </w:rPr>
              <w:t> </w:t>
            </w:r>
            <w:r>
              <w:rPr>
                <w:spacing w:val="-5"/>
                <w:sz w:val="20"/>
              </w:rPr>
              <w:t>40%</w:t>
            </w:r>
          </w:p>
        </w:tc>
      </w:tr>
      <w:tr>
        <w:trPr>
          <w:trHeight w:val="229" w:hRule="atLeast"/>
        </w:trPr>
        <w:tc>
          <w:tcPr>
            <w:tcW w:w="1066" w:type="dxa"/>
          </w:tcPr>
          <w:p>
            <w:pPr>
              <w:pStyle w:val="TableParagraph"/>
              <w:ind w:left="9"/>
              <w:rPr>
                <w:sz w:val="20"/>
              </w:rPr>
            </w:pPr>
            <w:r>
              <w:rPr>
                <w:spacing w:val="-5"/>
                <w:sz w:val="20"/>
              </w:rPr>
              <w:t>456</w:t>
            </w:r>
          </w:p>
        </w:tc>
        <w:tc>
          <w:tcPr>
            <w:tcW w:w="7080" w:type="dxa"/>
          </w:tcPr>
          <w:p>
            <w:pPr>
              <w:pStyle w:val="TableParagraph"/>
              <w:jc w:val="left"/>
              <w:rPr>
                <w:sz w:val="20"/>
              </w:rPr>
            </w:pPr>
            <w:r>
              <w:rPr>
                <w:sz w:val="20"/>
              </w:rPr>
              <w:t>Estrechamiento</w:t>
            </w:r>
            <w:r>
              <w:rPr>
                <w:spacing w:val="-7"/>
                <w:sz w:val="20"/>
              </w:rPr>
              <w:t> </w:t>
            </w:r>
            <w:r>
              <w:rPr>
                <w:sz w:val="20"/>
              </w:rPr>
              <w:t>del</w:t>
            </w:r>
            <w:r>
              <w:rPr>
                <w:spacing w:val="-8"/>
                <w:sz w:val="20"/>
              </w:rPr>
              <w:t> </w:t>
            </w:r>
            <w:r>
              <w:rPr>
                <w:sz w:val="20"/>
              </w:rPr>
              <w:t>esófago</w:t>
            </w:r>
            <w:r>
              <w:rPr>
                <w:spacing w:val="-8"/>
                <w:sz w:val="20"/>
              </w:rPr>
              <w:t> </w:t>
            </w:r>
            <w:r>
              <w:rPr>
                <w:sz w:val="20"/>
              </w:rPr>
              <w:t>no</w:t>
            </w:r>
            <w:r>
              <w:rPr>
                <w:spacing w:val="-8"/>
                <w:sz w:val="20"/>
              </w:rPr>
              <w:t> </w:t>
            </w:r>
            <w:r>
              <w:rPr>
                <w:sz w:val="20"/>
              </w:rPr>
              <w:t>resuelto</w:t>
            </w:r>
            <w:r>
              <w:rPr>
                <w:spacing w:val="-9"/>
                <w:sz w:val="20"/>
              </w:rPr>
              <w:t> </w:t>
            </w:r>
            <w:r>
              <w:rPr>
                <w:spacing w:val="-2"/>
                <w:sz w:val="20"/>
              </w:rPr>
              <w:t>quirúrgicamente.</w:t>
            </w:r>
          </w:p>
        </w:tc>
        <w:tc>
          <w:tcPr>
            <w:tcW w:w="1405" w:type="dxa"/>
          </w:tcPr>
          <w:p>
            <w:pPr>
              <w:pStyle w:val="TableParagraph"/>
              <w:ind w:left="8" w:right="3"/>
              <w:rPr>
                <w:sz w:val="20"/>
              </w:rPr>
            </w:pPr>
            <w:r>
              <w:rPr>
                <w:sz w:val="20"/>
              </w:rPr>
              <w:t>20</w:t>
            </w:r>
            <w:r>
              <w:rPr>
                <w:spacing w:val="-3"/>
                <w:sz w:val="20"/>
              </w:rPr>
              <w:t> </w:t>
            </w:r>
            <w:r>
              <w:rPr>
                <w:sz w:val="20"/>
              </w:rPr>
              <w:t>a</w:t>
            </w:r>
            <w:r>
              <w:rPr>
                <w:spacing w:val="-1"/>
                <w:sz w:val="20"/>
              </w:rPr>
              <w:t> </w:t>
            </w:r>
            <w:r>
              <w:rPr>
                <w:spacing w:val="-5"/>
                <w:sz w:val="20"/>
              </w:rPr>
              <w:t>70%</w:t>
            </w:r>
          </w:p>
        </w:tc>
      </w:tr>
    </w:tbl>
    <w:p>
      <w:pPr>
        <w:spacing w:before="229"/>
        <w:ind w:left="295" w:right="296" w:firstLine="0"/>
        <w:jc w:val="center"/>
        <w:rPr>
          <w:rFonts w:ascii="Arial" w:hAnsi="Arial"/>
          <w:b/>
          <w:sz w:val="20"/>
        </w:rPr>
      </w:pPr>
      <w:r>
        <w:rPr>
          <w:rFonts w:ascii="Arial" w:hAnsi="Arial"/>
          <w:b/>
          <w:spacing w:val="-2"/>
          <w:sz w:val="20"/>
        </w:rPr>
        <w:t>Corazón</w:t>
      </w:r>
    </w:p>
    <w:p>
      <w:pPr>
        <w:pStyle w:val="BodyText"/>
        <w:spacing w:before="1" w:after="1"/>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7075"/>
        <w:gridCol w:w="1409"/>
      </w:tblGrid>
      <w:tr>
        <w:trPr>
          <w:trHeight w:val="229" w:hRule="atLeast"/>
        </w:trPr>
        <w:tc>
          <w:tcPr>
            <w:tcW w:w="1066" w:type="dxa"/>
          </w:tcPr>
          <w:p>
            <w:pPr>
              <w:pStyle w:val="TableParagraph"/>
              <w:ind w:left="9"/>
              <w:rPr>
                <w:sz w:val="20"/>
              </w:rPr>
            </w:pPr>
            <w:r>
              <w:rPr>
                <w:spacing w:val="-5"/>
                <w:sz w:val="20"/>
              </w:rPr>
              <w:t>457</w:t>
            </w:r>
          </w:p>
        </w:tc>
        <w:tc>
          <w:tcPr>
            <w:tcW w:w="7075" w:type="dxa"/>
          </w:tcPr>
          <w:p>
            <w:pPr>
              <w:pStyle w:val="TableParagraph"/>
              <w:jc w:val="left"/>
              <w:rPr>
                <w:sz w:val="20"/>
              </w:rPr>
            </w:pPr>
            <w:r>
              <w:rPr>
                <w:sz w:val="20"/>
              </w:rPr>
              <w:t>Adherencias</w:t>
            </w:r>
            <w:r>
              <w:rPr>
                <w:spacing w:val="-11"/>
                <w:sz w:val="20"/>
              </w:rPr>
              <w:t> </w:t>
            </w:r>
            <w:r>
              <w:rPr>
                <w:sz w:val="20"/>
              </w:rPr>
              <w:t>pericárdicas</w:t>
            </w:r>
            <w:r>
              <w:rPr>
                <w:spacing w:val="-10"/>
                <w:sz w:val="20"/>
              </w:rPr>
              <w:t> </w:t>
            </w:r>
            <w:r>
              <w:rPr>
                <w:sz w:val="20"/>
              </w:rPr>
              <w:t>sin</w:t>
            </w:r>
            <w:r>
              <w:rPr>
                <w:spacing w:val="-11"/>
                <w:sz w:val="20"/>
              </w:rPr>
              <w:t> </w:t>
            </w:r>
            <w:r>
              <w:rPr>
                <w:sz w:val="20"/>
              </w:rPr>
              <w:t>insuficiencia</w:t>
            </w:r>
            <w:r>
              <w:rPr>
                <w:spacing w:val="-10"/>
                <w:sz w:val="20"/>
              </w:rPr>
              <w:t> </w:t>
            </w:r>
            <w:r>
              <w:rPr>
                <w:spacing w:val="-2"/>
                <w:sz w:val="20"/>
              </w:rPr>
              <w:t>cardíaca.</w:t>
            </w:r>
          </w:p>
        </w:tc>
        <w:tc>
          <w:tcPr>
            <w:tcW w:w="1409" w:type="dxa"/>
          </w:tcPr>
          <w:p>
            <w:pPr>
              <w:pStyle w:val="TableParagraph"/>
              <w:ind w:left="9" w:right="3"/>
              <w:rPr>
                <w:sz w:val="20"/>
              </w:rPr>
            </w:pPr>
            <w:r>
              <w:rPr>
                <w:sz w:val="20"/>
              </w:rPr>
              <w:t>10</w:t>
            </w:r>
            <w:r>
              <w:rPr>
                <w:spacing w:val="-3"/>
                <w:sz w:val="20"/>
              </w:rPr>
              <w:t> </w:t>
            </w:r>
            <w:r>
              <w:rPr>
                <w:sz w:val="20"/>
              </w:rPr>
              <w:t>a</w:t>
            </w:r>
            <w:r>
              <w:rPr>
                <w:spacing w:val="-1"/>
                <w:sz w:val="20"/>
              </w:rPr>
              <w:t> </w:t>
            </w:r>
            <w:r>
              <w:rPr>
                <w:spacing w:val="-5"/>
                <w:sz w:val="20"/>
              </w:rPr>
              <w:t>20%</w:t>
            </w:r>
          </w:p>
        </w:tc>
      </w:tr>
      <w:tr>
        <w:trPr>
          <w:trHeight w:val="232" w:hRule="atLeast"/>
        </w:trPr>
        <w:tc>
          <w:tcPr>
            <w:tcW w:w="1066" w:type="dxa"/>
          </w:tcPr>
          <w:p>
            <w:pPr>
              <w:pStyle w:val="TableParagraph"/>
              <w:spacing w:before="1"/>
              <w:ind w:left="9"/>
              <w:rPr>
                <w:sz w:val="20"/>
              </w:rPr>
            </w:pPr>
            <w:r>
              <w:rPr>
                <w:spacing w:val="-5"/>
                <w:sz w:val="20"/>
              </w:rPr>
              <w:t>458</w:t>
            </w:r>
          </w:p>
        </w:tc>
        <w:tc>
          <w:tcPr>
            <w:tcW w:w="7075" w:type="dxa"/>
          </w:tcPr>
          <w:p>
            <w:pPr>
              <w:pStyle w:val="TableParagraph"/>
              <w:spacing w:before="1"/>
              <w:jc w:val="left"/>
              <w:rPr>
                <w:sz w:val="20"/>
              </w:rPr>
            </w:pPr>
            <w:r>
              <w:rPr>
                <w:sz w:val="20"/>
              </w:rPr>
              <w:t>Cardiopatía</w:t>
            </w:r>
            <w:r>
              <w:rPr>
                <w:spacing w:val="-11"/>
                <w:sz w:val="20"/>
              </w:rPr>
              <w:t> </w:t>
            </w:r>
            <w:r>
              <w:rPr>
                <w:sz w:val="20"/>
              </w:rPr>
              <w:t>hipertensiva</w:t>
            </w:r>
            <w:r>
              <w:rPr>
                <w:spacing w:val="-8"/>
                <w:sz w:val="20"/>
              </w:rPr>
              <w:t> </w:t>
            </w:r>
            <w:r>
              <w:rPr>
                <w:sz w:val="20"/>
              </w:rPr>
              <w:t>sin</w:t>
            </w:r>
            <w:r>
              <w:rPr>
                <w:spacing w:val="-10"/>
                <w:sz w:val="20"/>
              </w:rPr>
              <w:t> </w:t>
            </w:r>
            <w:r>
              <w:rPr>
                <w:spacing w:val="-2"/>
                <w:sz w:val="20"/>
              </w:rPr>
              <w:t>complicaciones.</w:t>
            </w:r>
          </w:p>
        </w:tc>
        <w:tc>
          <w:tcPr>
            <w:tcW w:w="1409" w:type="dxa"/>
          </w:tcPr>
          <w:p>
            <w:pPr>
              <w:pStyle w:val="TableParagraph"/>
              <w:spacing w:before="1"/>
              <w:ind w:left="9" w:right="3"/>
              <w:rPr>
                <w:sz w:val="20"/>
              </w:rPr>
            </w:pPr>
            <w:r>
              <w:rPr>
                <w:sz w:val="20"/>
              </w:rPr>
              <w:t>20</w:t>
            </w:r>
            <w:r>
              <w:rPr>
                <w:spacing w:val="-3"/>
                <w:sz w:val="20"/>
              </w:rPr>
              <w:t> </w:t>
            </w:r>
            <w:r>
              <w:rPr>
                <w:sz w:val="20"/>
              </w:rPr>
              <w:t>a</w:t>
            </w:r>
            <w:r>
              <w:rPr>
                <w:spacing w:val="-1"/>
                <w:sz w:val="20"/>
              </w:rPr>
              <w:t> </w:t>
            </w:r>
            <w:r>
              <w:rPr>
                <w:spacing w:val="-5"/>
                <w:sz w:val="20"/>
              </w:rPr>
              <w:t>40%</w:t>
            </w:r>
          </w:p>
        </w:tc>
      </w:tr>
      <w:tr>
        <w:trPr>
          <w:trHeight w:val="688" w:hRule="atLeast"/>
        </w:trPr>
        <w:tc>
          <w:tcPr>
            <w:tcW w:w="1066" w:type="dxa"/>
          </w:tcPr>
          <w:p>
            <w:pPr>
              <w:pStyle w:val="TableParagraph"/>
              <w:spacing w:line="240" w:lineRule="auto" w:before="227"/>
              <w:ind w:left="9"/>
              <w:rPr>
                <w:sz w:val="20"/>
              </w:rPr>
            </w:pPr>
            <w:r>
              <w:rPr>
                <w:spacing w:val="-5"/>
                <w:sz w:val="20"/>
              </w:rPr>
              <w:t>459</w:t>
            </w:r>
          </w:p>
        </w:tc>
        <w:tc>
          <w:tcPr>
            <w:tcW w:w="7075" w:type="dxa"/>
          </w:tcPr>
          <w:p>
            <w:pPr>
              <w:pStyle w:val="TableParagraph"/>
              <w:spacing w:line="240" w:lineRule="auto"/>
              <w:jc w:val="left"/>
              <w:rPr>
                <w:sz w:val="20"/>
              </w:rPr>
            </w:pPr>
            <w:r>
              <w:rPr>
                <w:sz w:val="20"/>
              </w:rPr>
              <w:t>Cardiopatía</w:t>
            </w:r>
            <w:r>
              <w:rPr>
                <w:spacing w:val="34"/>
                <w:sz w:val="20"/>
              </w:rPr>
              <w:t> </w:t>
            </w:r>
            <w:r>
              <w:rPr>
                <w:sz w:val="20"/>
              </w:rPr>
              <w:t>hipertensiva</w:t>
            </w:r>
            <w:r>
              <w:rPr>
                <w:spacing w:val="34"/>
                <w:sz w:val="20"/>
              </w:rPr>
              <w:t> </w:t>
            </w:r>
            <w:r>
              <w:rPr>
                <w:sz w:val="20"/>
              </w:rPr>
              <w:t>con</w:t>
            </w:r>
            <w:r>
              <w:rPr>
                <w:spacing w:val="33"/>
                <w:sz w:val="20"/>
              </w:rPr>
              <w:t> </w:t>
            </w:r>
            <w:r>
              <w:rPr>
                <w:sz w:val="20"/>
              </w:rPr>
              <w:t>complicaciones</w:t>
            </w:r>
            <w:r>
              <w:rPr>
                <w:spacing w:val="35"/>
                <w:sz w:val="20"/>
              </w:rPr>
              <w:t> </w:t>
            </w:r>
            <w:r>
              <w:rPr>
                <w:sz w:val="20"/>
              </w:rPr>
              <w:t>de</w:t>
            </w:r>
            <w:r>
              <w:rPr>
                <w:spacing w:val="33"/>
                <w:sz w:val="20"/>
              </w:rPr>
              <w:t> </w:t>
            </w:r>
            <w:r>
              <w:rPr>
                <w:sz w:val="20"/>
              </w:rPr>
              <w:t>insuficiencia</w:t>
            </w:r>
            <w:r>
              <w:rPr>
                <w:spacing w:val="34"/>
                <w:sz w:val="20"/>
              </w:rPr>
              <w:t> </w:t>
            </w:r>
            <w:r>
              <w:rPr>
                <w:sz w:val="20"/>
              </w:rPr>
              <w:t>renal</w:t>
            </w:r>
            <w:r>
              <w:rPr>
                <w:spacing w:val="33"/>
                <w:sz w:val="20"/>
              </w:rPr>
              <w:t> </w:t>
            </w:r>
            <w:r>
              <w:rPr>
                <w:sz w:val="20"/>
              </w:rPr>
              <w:t>crónica, secuelas</w:t>
            </w:r>
            <w:r>
              <w:rPr>
                <w:spacing w:val="17"/>
                <w:sz w:val="20"/>
              </w:rPr>
              <w:t> </w:t>
            </w:r>
            <w:r>
              <w:rPr>
                <w:sz w:val="20"/>
              </w:rPr>
              <w:t>de</w:t>
            </w:r>
            <w:r>
              <w:rPr>
                <w:spacing w:val="17"/>
                <w:sz w:val="20"/>
              </w:rPr>
              <w:t> </w:t>
            </w:r>
            <w:r>
              <w:rPr>
                <w:sz w:val="20"/>
              </w:rPr>
              <w:t>hemorragia</w:t>
            </w:r>
            <w:r>
              <w:rPr>
                <w:spacing w:val="17"/>
                <w:sz w:val="20"/>
              </w:rPr>
              <w:t> </w:t>
            </w:r>
            <w:r>
              <w:rPr>
                <w:sz w:val="20"/>
              </w:rPr>
              <w:t>cerebral,</w:t>
            </w:r>
            <w:r>
              <w:rPr>
                <w:spacing w:val="17"/>
                <w:sz w:val="20"/>
              </w:rPr>
              <w:t> </w:t>
            </w:r>
            <w:r>
              <w:rPr>
                <w:sz w:val="20"/>
              </w:rPr>
              <w:t>infarto</w:t>
            </w:r>
            <w:r>
              <w:rPr>
                <w:spacing w:val="19"/>
                <w:sz w:val="20"/>
              </w:rPr>
              <w:t> </w:t>
            </w:r>
            <w:r>
              <w:rPr>
                <w:sz w:val="20"/>
              </w:rPr>
              <w:t>del</w:t>
            </w:r>
            <w:r>
              <w:rPr>
                <w:spacing w:val="16"/>
                <w:sz w:val="20"/>
              </w:rPr>
              <w:t> </w:t>
            </w:r>
            <w:r>
              <w:rPr>
                <w:sz w:val="20"/>
              </w:rPr>
              <w:t>miocardio,</w:t>
            </w:r>
            <w:r>
              <w:rPr>
                <w:spacing w:val="16"/>
                <w:sz w:val="20"/>
              </w:rPr>
              <w:t> </w:t>
            </w:r>
            <w:r>
              <w:rPr>
                <w:sz w:val="20"/>
              </w:rPr>
              <w:t>con</w:t>
            </w:r>
            <w:r>
              <w:rPr>
                <w:spacing w:val="19"/>
                <w:sz w:val="20"/>
              </w:rPr>
              <w:t> </w:t>
            </w:r>
            <w:r>
              <w:rPr>
                <w:sz w:val="20"/>
              </w:rPr>
              <w:t>o</w:t>
            </w:r>
            <w:r>
              <w:rPr>
                <w:spacing w:val="17"/>
                <w:sz w:val="20"/>
              </w:rPr>
              <w:t> </w:t>
            </w:r>
            <w:r>
              <w:rPr>
                <w:sz w:val="20"/>
              </w:rPr>
              <w:t>sin</w:t>
            </w:r>
            <w:r>
              <w:rPr>
                <w:spacing w:val="19"/>
                <w:sz w:val="20"/>
              </w:rPr>
              <w:t> </w:t>
            </w:r>
            <w:r>
              <w:rPr>
                <w:spacing w:val="-2"/>
                <w:sz w:val="20"/>
              </w:rPr>
              <w:t>disfunción</w:t>
            </w:r>
          </w:p>
          <w:p>
            <w:pPr>
              <w:pStyle w:val="TableParagraph"/>
              <w:spacing w:line="209" w:lineRule="exact"/>
              <w:jc w:val="left"/>
              <w:rPr>
                <w:sz w:val="20"/>
              </w:rPr>
            </w:pPr>
            <w:r>
              <w:rPr>
                <w:spacing w:val="-2"/>
                <w:sz w:val="20"/>
              </w:rPr>
              <w:t>ventricular.</w:t>
            </w:r>
          </w:p>
        </w:tc>
        <w:tc>
          <w:tcPr>
            <w:tcW w:w="1409" w:type="dxa"/>
          </w:tcPr>
          <w:p>
            <w:pPr>
              <w:pStyle w:val="TableParagraph"/>
              <w:spacing w:line="240" w:lineRule="auto" w:before="227"/>
              <w:ind w:left="9" w:right="1"/>
              <w:rPr>
                <w:sz w:val="20"/>
              </w:rPr>
            </w:pPr>
            <w:r>
              <w:rPr>
                <w:spacing w:val="-4"/>
                <w:sz w:val="20"/>
              </w:rPr>
              <w:t>100%</w:t>
            </w:r>
          </w:p>
        </w:tc>
      </w:tr>
      <w:tr>
        <w:trPr>
          <w:trHeight w:val="229" w:hRule="atLeast"/>
        </w:trPr>
        <w:tc>
          <w:tcPr>
            <w:tcW w:w="1066" w:type="dxa"/>
          </w:tcPr>
          <w:p>
            <w:pPr>
              <w:pStyle w:val="TableParagraph"/>
              <w:ind w:left="9"/>
              <w:rPr>
                <w:sz w:val="20"/>
              </w:rPr>
            </w:pPr>
            <w:r>
              <w:rPr>
                <w:spacing w:val="-5"/>
                <w:sz w:val="20"/>
              </w:rPr>
              <w:t>460</w:t>
            </w:r>
          </w:p>
        </w:tc>
        <w:tc>
          <w:tcPr>
            <w:tcW w:w="7075" w:type="dxa"/>
          </w:tcPr>
          <w:p>
            <w:pPr>
              <w:pStyle w:val="TableParagraph"/>
              <w:jc w:val="left"/>
              <w:rPr>
                <w:sz w:val="20"/>
              </w:rPr>
            </w:pPr>
            <w:r>
              <w:rPr>
                <w:sz w:val="20"/>
              </w:rPr>
              <w:t>Insuficiencia</w:t>
            </w:r>
            <w:r>
              <w:rPr>
                <w:spacing w:val="-11"/>
                <w:sz w:val="20"/>
              </w:rPr>
              <w:t> </w:t>
            </w:r>
            <w:r>
              <w:rPr>
                <w:sz w:val="20"/>
              </w:rPr>
              <w:t>cardiaca</w:t>
            </w:r>
            <w:r>
              <w:rPr>
                <w:spacing w:val="-11"/>
                <w:sz w:val="20"/>
              </w:rPr>
              <w:t> </w:t>
            </w:r>
            <w:r>
              <w:rPr>
                <w:sz w:val="20"/>
              </w:rPr>
              <w:t>clase</w:t>
            </w:r>
            <w:r>
              <w:rPr>
                <w:spacing w:val="-9"/>
                <w:sz w:val="20"/>
              </w:rPr>
              <w:t> </w:t>
            </w:r>
            <w:r>
              <w:rPr>
                <w:spacing w:val="-5"/>
                <w:sz w:val="20"/>
              </w:rPr>
              <w:t>II.</w:t>
            </w:r>
          </w:p>
        </w:tc>
        <w:tc>
          <w:tcPr>
            <w:tcW w:w="1409" w:type="dxa"/>
          </w:tcPr>
          <w:p>
            <w:pPr>
              <w:pStyle w:val="TableParagraph"/>
              <w:ind w:left="9" w:right="3"/>
              <w:rPr>
                <w:sz w:val="20"/>
              </w:rPr>
            </w:pPr>
            <w:r>
              <w:rPr>
                <w:sz w:val="20"/>
              </w:rPr>
              <w:t>20</w:t>
            </w:r>
            <w:r>
              <w:rPr>
                <w:spacing w:val="-3"/>
                <w:sz w:val="20"/>
              </w:rPr>
              <w:t> </w:t>
            </w:r>
            <w:r>
              <w:rPr>
                <w:sz w:val="20"/>
              </w:rPr>
              <w:t>a</w:t>
            </w:r>
            <w:r>
              <w:rPr>
                <w:spacing w:val="-1"/>
                <w:sz w:val="20"/>
              </w:rPr>
              <w:t> </w:t>
            </w:r>
            <w:r>
              <w:rPr>
                <w:spacing w:val="-5"/>
                <w:sz w:val="20"/>
              </w:rPr>
              <w:t>40%</w:t>
            </w:r>
          </w:p>
        </w:tc>
      </w:tr>
      <w:tr>
        <w:trPr>
          <w:trHeight w:val="229" w:hRule="atLeast"/>
        </w:trPr>
        <w:tc>
          <w:tcPr>
            <w:tcW w:w="1066" w:type="dxa"/>
          </w:tcPr>
          <w:p>
            <w:pPr>
              <w:pStyle w:val="TableParagraph"/>
              <w:ind w:left="9"/>
              <w:rPr>
                <w:sz w:val="20"/>
              </w:rPr>
            </w:pPr>
            <w:r>
              <w:rPr>
                <w:spacing w:val="-5"/>
                <w:sz w:val="20"/>
              </w:rPr>
              <w:t>461</w:t>
            </w:r>
          </w:p>
        </w:tc>
        <w:tc>
          <w:tcPr>
            <w:tcW w:w="7075" w:type="dxa"/>
          </w:tcPr>
          <w:p>
            <w:pPr>
              <w:pStyle w:val="TableParagraph"/>
              <w:jc w:val="left"/>
              <w:rPr>
                <w:sz w:val="20"/>
              </w:rPr>
            </w:pPr>
            <w:r>
              <w:rPr>
                <w:sz w:val="20"/>
              </w:rPr>
              <w:t>Insuficiencia</w:t>
            </w:r>
            <w:r>
              <w:rPr>
                <w:spacing w:val="-11"/>
                <w:sz w:val="20"/>
              </w:rPr>
              <w:t> </w:t>
            </w:r>
            <w:r>
              <w:rPr>
                <w:sz w:val="20"/>
              </w:rPr>
              <w:t>cardiaca</w:t>
            </w:r>
            <w:r>
              <w:rPr>
                <w:spacing w:val="-11"/>
                <w:sz w:val="20"/>
              </w:rPr>
              <w:t> </w:t>
            </w:r>
            <w:r>
              <w:rPr>
                <w:sz w:val="20"/>
              </w:rPr>
              <w:t>clase</w:t>
            </w:r>
            <w:r>
              <w:rPr>
                <w:spacing w:val="-9"/>
                <w:sz w:val="20"/>
              </w:rPr>
              <w:t> </w:t>
            </w:r>
            <w:r>
              <w:rPr>
                <w:spacing w:val="-4"/>
                <w:sz w:val="20"/>
              </w:rPr>
              <w:t>III.</w:t>
            </w:r>
          </w:p>
        </w:tc>
        <w:tc>
          <w:tcPr>
            <w:tcW w:w="1409" w:type="dxa"/>
          </w:tcPr>
          <w:p>
            <w:pPr>
              <w:pStyle w:val="TableParagraph"/>
              <w:ind w:left="9" w:right="3"/>
              <w:rPr>
                <w:sz w:val="20"/>
              </w:rPr>
            </w:pPr>
            <w:r>
              <w:rPr>
                <w:sz w:val="20"/>
              </w:rPr>
              <w:t>41</w:t>
            </w:r>
            <w:r>
              <w:rPr>
                <w:spacing w:val="-3"/>
                <w:sz w:val="20"/>
              </w:rPr>
              <w:t> </w:t>
            </w:r>
            <w:r>
              <w:rPr>
                <w:sz w:val="20"/>
              </w:rPr>
              <w:t>a</w:t>
            </w:r>
            <w:r>
              <w:rPr>
                <w:spacing w:val="-1"/>
                <w:sz w:val="20"/>
              </w:rPr>
              <w:t> </w:t>
            </w:r>
            <w:r>
              <w:rPr>
                <w:spacing w:val="-5"/>
                <w:sz w:val="20"/>
              </w:rPr>
              <w:t>90%</w:t>
            </w:r>
          </w:p>
        </w:tc>
      </w:tr>
      <w:tr>
        <w:trPr>
          <w:trHeight w:val="229" w:hRule="atLeast"/>
        </w:trPr>
        <w:tc>
          <w:tcPr>
            <w:tcW w:w="1066" w:type="dxa"/>
          </w:tcPr>
          <w:p>
            <w:pPr>
              <w:pStyle w:val="TableParagraph"/>
              <w:ind w:left="9"/>
              <w:rPr>
                <w:sz w:val="20"/>
              </w:rPr>
            </w:pPr>
            <w:r>
              <w:rPr>
                <w:spacing w:val="-5"/>
                <w:sz w:val="20"/>
              </w:rPr>
              <w:t>462</w:t>
            </w:r>
          </w:p>
        </w:tc>
        <w:tc>
          <w:tcPr>
            <w:tcW w:w="7075" w:type="dxa"/>
          </w:tcPr>
          <w:p>
            <w:pPr>
              <w:pStyle w:val="TableParagraph"/>
              <w:jc w:val="left"/>
              <w:rPr>
                <w:sz w:val="20"/>
              </w:rPr>
            </w:pPr>
            <w:r>
              <w:rPr>
                <w:sz w:val="20"/>
              </w:rPr>
              <w:t>Insuficiencia</w:t>
            </w:r>
            <w:r>
              <w:rPr>
                <w:spacing w:val="-11"/>
                <w:sz w:val="20"/>
              </w:rPr>
              <w:t> </w:t>
            </w:r>
            <w:r>
              <w:rPr>
                <w:sz w:val="20"/>
              </w:rPr>
              <w:t>cardiaca</w:t>
            </w:r>
            <w:r>
              <w:rPr>
                <w:spacing w:val="-11"/>
                <w:sz w:val="20"/>
              </w:rPr>
              <w:t> </w:t>
            </w:r>
            <w:r>
              <w:rPr>
                <w:sz w:val="20"/>
              </w:rPr>
              <w:t>clase</w:t>
            </w:r>
            <w:r>
              <w:rPr>
                <w:spacing w:val="-9"/>
                <w:sz w:val="20"/>
              </w:rPr>
              <w:t> </w:t>
            </w:r>
            <w:r>
              <w:rPr>
                <w:spacing w:val="-5"/>
                <w:sz w:val="20"/>
              </w:rPr>
              <w:t>IV.</w:t>
            </w:r>
          </w:p>
        </w:tc>
        <w:tc>
          <w:tcPr>
            <w:tcW w:w="1409" w:type="dxa"/>
          </w:tcPr>
          <w:p>
            <w:pPr>
              <w:pStyle w:val="TableParagraph"/>
              <w:ind w:left="9" w:right="1"/>
              <w:rPr>
                <w:sz w:val="20"/>
              </w:rPr>
            </w:pPr>
            <w:r>
              <w:rPr>
                <w:sz w:val="20"/>
              </w:rPr>
              <w:t>91</w:t>
            </w:r>
            <w:r>
              <w:rPr>
                <w:spacing w:val="-3"/>
                <w:sz w:val="20"/>
              </w:rPr>
              <w:t> </w:t>
            </w:r>
            <w:r>
              <w:rPr>
                <w:sz w:val="20"/>
              </w:rPr>
              <w:t>a</w:t>
            </w:r>
            <w:r>
              <w:rPr>
                <w:spacing w:val="-1"/>
                <w:sz w:val="20"/>
              </w:rPr>
              <w:t> </w:t>
            </w:r>
            <w:r>
              <w:rPr>
                <w:spacing w:val="-4"/>
                <w:sz w:val="20"/>
              </w:rPr>
              <w:t>100%</w:t>
            </w:r>
          </w:p>
        </w:tc>
      </w:tr>
      <w:tr>
        <w:trPr>
          <w:trHeight w:val="232" w:hRule="atLeast"/>
        </w:trPr>
        <w:tc>
          <w:tcPr>
            <w:tcW w:w="1066" w:type="dxa"/>
          </w:tcPr>
          <w:p>
            <w:pPr>
              <w:pStyle w:val="TableParagraph"/>
              <w:spacing w:before="1"/>
              <w:ind w:left="9"/>
              <w:rPr>
                <w:sz w:val="20"/>
              </w:rPr>
            </w:pPr>
            <w:r>
              <w:rPr>
                <w:spacing w:val="-5"/>
                <w:sz w:val="20"/>
              </w:rPr>
              <w:t>463</w:t>
            </w:r>
          </w:p>
        </w:tc>
        <w:tc>
          <w:tcPr>
            <w:tcW w:w="7075" w:type="dxa"/>
          </w:tcPr>
          <w:p>
            <w:pPr>
              <w:pStyle w:val="TableParagraph"/>
              <w:spacing w:before="1"/>
              <w:jc w:val="left"/>
              <w:rPr>
                <w:sz w:val="20"/>
              </w:rPr>
            </w:pPr>
            <w:r>
              <w:rPr>
                <w:sz w:val="20"/>
              </w:rPr>
              <w:t>Insuficiencia</w:t>
            </w:r>
            <w:r>
              <w:rPr>
                <w:spacing w:val="-11"/>
                <w:sz w:val="20"/>
              </w:rPr>
              <w:t> </w:t>
            </w:r>
            <w:r>
              <w:rPr>
                <w:sz w:val="20"/>
              </w:rPr>
              <w:t>valvular</w:t>
            </w:r>
            <w:r>
              <w:rPr>
                <w:spacing w:val="-11"/>
                <w:sz w:val="20"/>
              </w:rPr>
              <w:t> </w:t>
            </w:r>
            <w:r>
              <w:rPr>
                <w:sz w:val="20"/>
              </w:rPr>
              <w:t>grado</w:t>
            </w:r>
            <w:r>
              <w:rPr>
                <w:spacing w:val="-9"/>
                <w:sz w:val="20"/>
              </w:rPr>
              <w:t> </w:t>
            </w:r>
            <w:r>
              <w:rPr>
                <w:spacing w:val="-5"/>
                <w:sz w:val="20"/>
              </w:rPr>
              <w:t>I.</w:t>
            </w:r>
          </w:p>
        </w:tc>
        <w:tc>
          <w:tcPr>
            <w:tcW w:w="1409" w:type="dxa"/>
          </w:tcPr>
          <w:p>
            <w:pPr>
              <w:pStyle w:val="TableParagraph"/>
              <w:spacing w:before="1"/>
              <w:ind w:left="9" w:right="3"/>
              <w:rPr>
                <w:sz w:val="20"/>
              </w:rPr>
            </w:pPr>
            <w:r>
              <w:rPr>
                <w:sz w:val="20"/>
              </w:rPr>
              <w:t>20</w:t>
            </w:r>
            <w:r>
              <w:rPr>
                <w:spacing w:val="-3"/>
                <w:sz w:val="20"/>
              </w:rPr>
              <w:t> </w:t>
            </w:r>
            <w:r>
              <w:rPr>
                <w:sz w:val="20"/>
              </w:rPr>
              <w:t>a</w:t>
            </w:r>
            <w:r>
              <w:rPr>
                <w:spacing w:val="-1"/>
                <w:sz w:val="20"/>
              </w:rPr>
              <w:t> </w:t>
            </w:r>
            <w:r>
              <w:rPr>
                <w:spacing w:val="-5"/>
                <w:sz w:val="20"/>
              </w:rPr>
              <w:t>40%</w:t>
            </w:r>
          </w:p>
        </w:tc>
      </w:tr>
      <w:tr>
        <w:trPr>
          <w:trHeight w:val="229" w:hRule="atLeast"/>
        </w:trPr>
        <w:tc>
          <w:tcPr>
            <w:tcW w:w="1066" w:type="dxa"/>
          </w:tcPr>
          <w:p>
            <w:pPr>
              <w:pStyle w:val="TableParagraph"/>
              <w:ind w:left="9"/>
              <w:rPr>
                <w:sz w:val="20"/>
              </w:rPr>
            </w:pPr>
            <w:r>
              <w:rPr>
                <w:spacing w:val="-5"/>
                <w:sz w:val="20"/>
              </w:rPr>
              <w:t>464</w:t>
            </w:r>
          </w:p>
        </w:tc>
        <w:tc>
          <w:tcPr>
            <w:tcW w:w="7075" w:type="dxa"/>
          </w:tcPr>
          <w:p>
            <w:pPr>
              <w:pStyle w:val="TableParagraph"/>
              <w:jc w:val="left"/>
              <w:rPr>
                <w:sz w:val="20"/>
              </w:rPr>
            </w:pPr>
            <w:r>
              <w:rPr>
                <w:sz w:val="20"/>
              </w:rPr>
              <w:t>Insuficiencia</w:t>
            </w:r>
            <w:r>
              <w:rPr>
                <w:spacing w:val="-11"/>
                <w:sz w:val="20"/>
              </w:rPr>
              <w:t> </w:t>
            </w:r>
            <w:r>
              <w:rPr>
                <w:sz w:val="20"/>
              </w:rPr>
              <w:t>valvular</w:t>
            </w:r>
            <w:r>
              <w:rPr>
                <w:spacing w:val="-11"/>
                <w:sz w:val="20"/>
              </w:rPr>
              <w:t> </w:t>
            </w:r>
            <w:r>
              <w:rPr>
                <w:sz w:val="20"/>
              </w:rPr>
              <w:t>grado</w:t>
            </w:r>
            <w:r>
              <w:rPr>
                <w:spacing w:val="-9"/>
                <w:sz w:val="20"/>
              </w:rPr>
              <w:t> </w:t>
            </w:r>
            <w:r>
              <w:rPr>
                <w:spacing w:val="-5"/>
                <w:sz w:val="20"/>
              </w:rPr>
              <w:t>II.</w:t>
            </w:r>
          </w:p>
        </w:tc>
        <w:tc>
          <w:tcPr>
            <w:tcW w:w="1409" w:type="dxa"/>
          </w:tcPr>
          <w:p>
            <w:pPr>
              <w:pStyle w:val="TableParagraph"/>
              <w:ind w:left="9" w:right="3"/>
              <w:rPr>
                <w:sz w:val="20"/>
              </w:rPr>
            </w:pPr>
            <w:r>
              <w:rPr>
                <w:sz w:val="20"/>
              </w:rPr>
              <w:t>41</w:t>
            </w:r>
            <w:r>
              <w:rPr>
                <w:spacing w:val="-3"/>
                <w:sz w:val="20"/>
              </w:rPr>
              <w:t> </w:t>
            </w:r>
            <w:r>
              <w:rPr>
                <w:sz w:val="20"/>
              </w:rPr>
              <w:t>a</w:t>
            </w:r>
            <w:r>
              <w:rPr>
                <w:spacing w:val="-1"/>
                <w:sz w:val="20"/>
              </w:rPr>
              <w:t> </w:t>
            </w:r>
            <w:r>
              <w:rPr>
                <w:spacing w:val="-5"/>
                <w:sz w:val="20"/>
              </w:rPr>
              <w:t>70%</w:t>
            </w:r>
          </w:p>
        </w:tc>
      </w:tr>
      <w:tr>
        <w:trPr>
          <w:trHeight w:val="229" w:hRule="atLeast"/>
        </w:trPr>
        <w:tc>
          <w:tcPr>
            <w:tcW w:w="1066" w:type="dxa"/>
          </w:tcPr>
          <w:p>
            <w:pPr>
              <w:pStyle w:val="TableParagraph"/>
              <w:ind w:left="9"/>
              <w:rPr>
                <w:sz w:val="20"/>
              </w:rPr>
            </w:pPr>
            <w:r>
              <w:rPr>
                <w:spacing w:val="-5"/>
                <w:sz w:val="20"/>
              </w:rPr>
              <w:t>465</w:t>
            </w:r>
          </w:p>
        </w:tc>
        <w:tc>
          <w:tcPr>
            <w:tcW w:w="7075" w:type="dxa"/>
          </w:tcPr>
          <w:p>
            <w:pPr>
              <w:pStyle w:val="TableParagraph"/>
              <w:jc w:val="left"/>
              <w:rPr>
                <w:sz w:val="20"/>
              </w:rPr>
            </w:pPr>
            <w:r>
              <w:rPr>
                <w:sz w:val="20"/>
              </w:rPr>
              <w:t>Insuficiencia</w:t>
            </w:r>
            <w:r>
              <w:rPr>
                <w:spacing w:val="-10"/>
                <w:sz w:val="20"/>
              </w:rPr>
              <w:t> </w:t>
            </w:r>
            <w:r>
              <w:rPr>
                <w:sz w:val="20"/>
              </w:rPr>
              <w:t>valvular</w:t>
            </w:r>
            <w:r>
              <w:rPr>
                <w:spacing w:val="-10"/>
                <w:sz w:val="20"/>
              </w:rPr>
              <w:t> </w:t>
            </w:r>
            <w:r>
              <w:rPr>
                <w:sz w:val="20"/>
              </w:rPr>
              <w:t>grado</w:t>
            </w:r>
            <w:r>
              <w:rPr>
                <w:spacing w:val="-8"/>
                <w:sz w:val="20"/>
              </w:rPr>
              <w:t> </w:t>
            </w:r>
            <w:r>
              <w:rPr>
                <w:spacing w:val="-4"/>
                <w:sz w:val="20"/>
              </w:rPr>
              <w:t>III.</w:t>
            </w:r>
          </w:p>
        </w:tc>
        <w:tc>
          <w:tcPr>
            <w:tcW w:w="1409" w:type="dxa"/>
          </w:tcPr>
          <w:p>
            <w:pPr>
              <w:pStyle w:val="TableParagraph"/>
              <w:ind w:left="9" w:right="1"/>
              <w:rPr>
                <w:sz w:val="20"/>
              </w:rPr>
            </w:pPr>
            <w:r>
              <w:rPr>
                <w:sz w:val="20"/>
              </w:rPr>
              <w:t>71</w:t>
            </w:r>
            <w:r>
              <w:rPr>
                <w:spacing w:val="-3"/>
                <w:sz w:val="20"/>
              </w:rPr>
              <w:t> </w:t>
            </w:r>
            <w:r>
              <w:rPr>
                <w:sz w:val="20"/>
              </w:rPr>
              <w:t>a</w:t>
            </w:r>
            <w:r>
              <w:rPr>
                <w:spacing w:val="-1"/>
                <w:sz w:val="20"/>
              </w:rPr>
              <w:t> </w:t>
            </w:r>
            <w:r>
              <w:rPr>
                <w:spacing w:val="-4"/>
                <w:sz w:val="20"/>
              </w:rPr>
              <w:t>100%</w:t>
            </w:r>
          </w:p>
        </w:tc>
      </w:tr>
      <w:tr>
        <w:trPr>
          <w:trHeight w:val="229" w:hRule="atLeast"/>
        </w:trPr>
        <w:tc>
          <w:tcPr>
            <w:tcW w:w="1066" w:type="dxa"/>
          </w:tcPr>
          <w:p>
            <w:pPr>
              <w:pStyle w:val="TableParagraph"/>
              <w:ind w:left="9"/>
              <w:rPr>
                <w:sz w:val="20"/>
              </w:rPr>
            </w:pPr>
            <w:r>
              <w:rPr>
                <w:spacing w:val="-5"/>
                <w:sz w:val="20"/>
              </w:rPr>
              <w:t>466</w:t>
            </w:r>
          </w:p>
        </w:tc>
        <w:tc>
          <w:tcPr>
            <w:tcW w:w="7075" w:type="dxa"/>
          </w:tcPr>
          <w:p>
            <w:pPr>
              <w:pStyle w:val="TableParagraph"/>
              <w:jc w:val="left"/>
              <w:rPr>
                <w:sz w:val="20"/>
              </w:rPr>
            </w:pPr>
            <w:r>
              <w:rPr>
                <w:sz w:val="20"/>
              </w:rPr>
              <w:t>Bloqueo</w:t>
            </w:r>
            <w:r>
              <w:rPr>
                <w:spacing w:val="-14"/>
                <w:sz w:val="20"/>
              </w:rPr>
              <w:t> </w:t>
            </w:r>
            <w:r>
              <w:rPr>
                <w:sz w:val="20"/>
              </w:rPr>
              <w:t>auriculoventricular</w:t>
            </w:r>
            <w:r>
              <w:rPr>
                <w:spacing w:val="-14"/>
                <w:sz w:val="20"/>
              </w:rPr>
              <w:t> </w:t>
            </w:r>
            <w:r>
              <w:rPr>
                <w:sz w:val="20"/>
              </w:rPr>
              <w:t>incompleto</w:t>
            </w:r>
            <w:r>
              <w:rPr>
                <w:spacing w:val="-14"/>
                <w:sz w:val="20"/>
              </w:rPr>
              <w:t> </w:t>
            </w:r>
            <w:r>
              <w:rPr>
                <w:sz w:val="20"/>
              </w:rPr>
              <w:t>grado</w:t>
            </w:r>
            <w:r>
              <w:rPr>
                <w:spacing w:val="-12"/>
                <w:sz w:val="20"/>
              </w:rPr>
              <w:t> </w:t>
            </w:r>
            <w:r>
              <w:rPr>
                <w:spacing w:val="-5"/>
                <w:sz w:val="20"/>
              </w:rPr>
              <w:t>I.</w:t>
            </w:r>
          </w:p>
        </w:tc>
        <w:tc>
          <w:tcPr>
            <w:tcW w:w="1409" w:type="dxa"/>
          </w:tcPr>
          <w:p>
            <w:pPr>
              <w:pStyle w:val="TableParagraph"/>
              <w:ind w:left="9" w:right="1"/>
              <w:rPr>
                <w:sz w:val="20"/>
              </w:rPr>
            </w:pPr>
            <w:r>
              <w:rPr>
                <w:spacing w:val="-5"/>
                <w:sz w:val="20"/>
              </w:rPr>
              <w:t>20%</w:t>
            </w:r>
          </w:p>
        </w:tc>
      </w:tr>
      <w:tr>
        <w:trPr>
          <w:trHeight w:val="230" w:hRule="atLeast"/>
        </w:trPr>
        <w:tc>
          <w:tcPr>
            <w:tcW w:w="1066" w:type="dxa"/>
          </w:tcPr>
          <w:p>
            <w:pPr>
              <w:pStyle w:val="TableParagraph"/>
              <w:ind w:left="9"/>
              <w:rPr>
                <w:sz w:val="20"/>
              </w:rPr>
            </w:pPr>
            <w:r>
              <w:rPr>
                <w:spacing w:val="-5"/>
                <w:sz w:val="20"/>
              </w:rPr>
              <w:t>467</w:t>
            </w:r>
          </w:p>
        </w:tc>
        <w:tc>
          <w:tcPr>
            <w:tcW w:w="7075" w:type="dxa"/>
          </w:tcPr>
          <w:p>
            <w:pPr>
              <w:pStyle w:val="TableParagraph"/>
              <w:jc w:val="left"/>
              <w:rPr>
                <w:sz w:val="20"/>
              </w:rPr>
            </w:pPr>
            <w:r>
              <w:rPr>
                <w:sz w:val="20"/>
              </w:rPr>
              <w:t>Bloqueo</w:t>
            </w:r>
            <w:r>
              <w:rPr>
                <w:spacing w:val="-9"/>
                <w:sz w:val="20"/>
              </w:rPr>
              <w:t> </w:t>
            </w:r>
            <w:r>
              <w:rPr>
                <w:sz w:val="20"/>
              </w:rPr>
              <w:t>auriculoventricular</w:t>
            </w:r>
            <w:r>
              <w:rPr>
                <w:spacing w:val="-8"/>
                <w:sz w:val="20"/>
              </w:rPr>
              <w:t> </w:t>
            </w:r>
            <w:r>
              <w:rPr>
                <w:sz w:val="20"/>
              </w:rPr>
              <w:t>incompleto</w:t>
            </w:r>
            <w:r>
              <w:rPr>
                <w:spacing w:val="-7"/>
                <w:sz w:val="20"/>
              </w:rPr>
              <w:t> </w:t>
            </w:r>
            <w:r>
              <w:rPr>
                <w:sz w:val="20"/>
              </w:rPr>
              <w:t>grado</w:t>
            </w:r>
            <w:r>
              <w:rPr>
                <w:spacing w:val="-7"/>
                <w:sz w:val="20"/>
              </w:rPr>
              <w:t> </w:t>
            </w:r>
            <w:r>
              <w:rPr>
                <w:sz w:val="20"/>
              </w:rPr>
              <w:t>II</w:t>
            </w:r>
            <w:r>
              <w:rPr>
                <w:spacing w:val="-8"/>
                <w:sz w:val="20"/>
              </w:rPr>
              <w:t> </w:t>
            </w:r>
            <w:r>
              <w:rPr>
                <w:sz w:val="20"/>
              </w:rPr>
              <w:t>(mobitz</w:t>
            </w:r>
            <w:r>
              <w:rPr>
                <w:spacing w:val="-8"/>
                <w:sz w:val="20"/>
              </w:rPr>
              <w:t> </w:t>
            </w:r>
            <w:r>
              <w:rPr>
                <w:sz w:val="20"/>
              </w:rPr>
              <w:t>I</w:t>
            </w:r>
            <w:r>
              <w:rPr>
                <w:spacing w:val="-8"/>
                <w:sz w:val="20"/>
              </w:rPr>
              <w:t> </w:t>
            </w:r>
            <w:r>
              <w:rPr>
                <w:sz w:val="20"/>
              </w:rPr>
              <w:t>o</w:t>
            </w:r>
            <w:r>
              <w:rPr>
                <w:spacing w:val="-7"/>
                <w:sz w:val="20"/>
              </w:rPr>
              <w:t> </w:t>
            </w:r>
            <w:r>
              <w:rPr>
                <w:sz w:val="20"/>
              </w:rPr>
              <w:t>mobitz</w:t>
            </w:r>
            <w:r>
              <w:rPr>
                <w:spacing w:val="-10"/>
                <w:sz w:val="20"/>
              </w:rPr>
              <w:t> </w:t>
            </w:r>
            <w:r>
              <w:rPr>
                <w:spacing w:val="-4"/>
                <w:sz w:val="20"/>
              </w:rPr>
              <w:t>II).</w:t>
            </w:r>
          </w:p>
        </w:tc>
        <w:tc>
          <w:tcPr>
            <w:tcW w:w="1409" w:type="dxa"/>
          </w:tcPr>
          <w:p>
            <w:pPr>
              <w:pStyle w:val="TableParagraph"/>
              <w:ind w:left="9" w:right="1"/>
              <w:rPr>
                <w:sz w:val="20"/>
              </w:rPr>
            </w:pPr>
            <w:r>
              <w:rPr>
                <w:spacing w:val="-5"/>
                <w:sz w:val="20"/>
              </w:rPr>
              <w:t>25%</w:t>
            </w:r>
          </w:p>
        </w:tc>
      </w:tr>
      <w:tr>
        <w:trPr>
          <w:trHeight w:val="229" w:hRule="atLeast"/>
        </w:trPr>
        <w:tc>
          <w:tcPr>
            <w:tcW w:w="1066" w:type="dxa"/>
          </w:tcPr>
          <w:p>
            <w:pPr>
              <w:pStyle w:val="TableParagraph"/>
              <w:ind w:left="9"/>
              <w:rPr>
                <w:sz w:val="20"/>
              </w:rPr>
            </w:pPr>
            <w:r>
              <w:rPr>
                <w:spacing w:val="-5"/>
                <w:sz w:val="20"/>
              </w:rPr>
              <w:t>468</w:t>
            </w:r>
          </w:p>
        </w:tc>
        <w:tc>
          <w:tcPr>
            <w:tcW w:w="7075" w:type="dxa"/>
          </w:tcPr>
          <w:p>
            <w:pPr>
              <w:pStyle w:val="TableParagraph"/>
              <w:jc w:val="left"/>
              <w:rPr>
                <w:sz w:val="20"/>
              </w:rPr>
            </w:pPr>
            <w:r>
              <w:rPr>
                <w:sz w:val="20"/>
              </w:rPr>
              <w:t>Bloqueo</w:t>
            </w:r>
            <w:r>
              <w:rPr>
                <w:spacing w:val="-14"/>
                <w:sz w:val="20"/>
              </w:rPr>
              <w:t> </w:t>
            </w:r>
            <w:r>
              <w:rPr>
                <w:sz w:val="20"/>
              </w:rPr>
              <w:t>auriculoventricular</w:t>
            </w:r>
            <w:r>
              <w:rPr>
                <w:spacing w:val="-12"/>
                <w:sz w:val="20"/>
              </w:rPr>
              <w:t> </w:t>
            </w:r>
            <w:r>
              <w:rPr>
                <w:sz w:val="20"/>
              </w:rPr>
              <w:t>completo</w:t>
            </w:r>
            <w:r>
              <w:rPr>
                <w:spacing w:val="-14"/>
                <w:sz w:val="20"/>
              </w:rPr>
              <w:t> </w:t>
            </w:r>
            <w:r>
              <w:rPr>
                <w:sz w:val="20"/>
              </w:rPr>
              <w:t>grado</w:t>
            </w:r>
            <w:r>
              <w:rPr>
                <w:spacing w:val="-12"/>
                <w:sz w:val="20"/>
              </w:rPr>
              <w:t> </w:t>
            </w:r>
            <w:r>
              <w:rPr>
                <w:spacing w:val="-4"/>
                <w:sz w:val="20"/>
              </w:rPr>
              <w:t>III.</w:t>
            </w:r>
          </w:p>
        </w:tc>
        <w:tc>
          <w:tcPr>
            <w:tcW w:w="1409" w:type="dxa"/>
          </w:tcPr>
          <w:p>
            <w:pPr>
              <w:pStyle w:val="TableParagraph"/>
              <w:ind w:left="9" w:right="1"/>
              <w:rPr>
                <w:sz w:val="20"/>
              </w:rPr>
            </w:pPr>
            <w:r>
              <w:rPr>
                <w:spacing w:val="-5"/>
                <w:sz w:val="20"/>
              </w:rPr>
              <w:t>30%</w:t>
            </w:r>
          </w:p>
        </w:tc>
      </w:tr>
    </w:tbl>
    <w:p>
      <w:pPr>
        <w:pStyle w:val="BodyText"/>
        <w:spacing w:before="4"/>
        <w:rPr>
          <w:rFonts w:ascii="Arial"/>
          <w:b/>
        </w:rPr>
      </w:pPr>
    </w:p>
    <w:p>
      <w:pPr>
        <w:spacing w:before="0"/>
        <w:ind w:left="295" w:right="296" w:firstLine="0"/>
        <w:jc w:val="center"/>
        <w:rPr>
          <w:rFonts w:ascii="Arial"/>
          <w:b/>
          <w:sz w:val="20"/>
        </w:rPr>
      </w:pPr>
      <w:r>
        <w:rPr>
          <w:rFonts w:ascii="Arial"/>
          <w:b/>
          <w:spacing w:val="-2"/>
          <w:sz w:val="20"/>
        </w:rPr>
        <w:t>Abdomen</w:t>
      </w:r>
    </w:p>
    <w:p>
      <w:pPr>
        <w:pStyle w:val="BodyText"/>
        <w:spacing w:before="4"/>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7080"/>
        <w:gridCol w:w="1405"/>
      </w:tblGrid>
      <w:tr>
        <w:trPr>
          <w:trHeight w:val="229" w:hRule="atLeast"/>
        </w:trPr>
        <w:tc>
          <w:tcPr>
            <w:tcW w:w="1066" w:type="dxa"/>
          </w:tcPr>
          <w:p>
            <w:pPr>
              <w:pStyle w:val="TableParagraph"/>
              <w:ind w:left="9"/>
              <w:rPr>
                <w:sz w:val="20"/>
              </w:rPr>
            </w:pPr>
            <w:r>
              <w:rPr>
                <w:spacing w:val="-5"/>
                <w:sz w:val="20"/>
              </w:rPr>
              <w:t>469</w:t>
            </w:r>
          </w:p>
        </w:tc>
        <w:tc>
          <w:tcPr>
            <w:tcW w:w="7080" w:type="dxa"/>
          </w:tcPr>
          <w:p>
            <w:pPr>
              <w:pStyle w:val="TableParagraph"/>
              <w:jc w:val="left"/>
              <w:rPr>
                <w:sz w:val="20"/>
              </w:rPr>
            </w:pPr>
            <w:r>
              <w:rPr>
                <w:sz w:val="20"/>
              </w:rPr>
              <w:t>Hernia</w:t>
            </w:r>
            <w:r>
              <w:rPr>
                <w:spacing w:val="-8"/>
                <w:sz w:val="20"/>
              </w:rPr>
              <w:t> </w:t>
            </w:r>
            <w:r>
              <w:rPr>
                <w:sz w:val="20"/>
              </w:rPr>
              <w:t>inguinal,</w:t>
            </w:r>
            <w:r>
              <w:rPr>
                <w:spacing w:val="-8"/>
                <w:sz w:val="20"/>
              </w:rPr>
              <w:t> </w:t>
            </w:r>
            <w:r>
              <w:rPr>
                <w:sz w:val="20"/>
              </w:rPr>
              <w:t>crural</w:t>
            </w:r>
            <w:r>
              <w:rPr>
                <w:spacing w:val="-8"/>
                <w:sz w:val="20"/>
              </w:rPr>
              <w:t> </w:t>
            </w:r>
            <w:r>
              <w:rPr>
                <w:sz w:val="20"/>
              </w:rPr>
              <w:t>o</w:t>
            </w:r>
            <w:r>
              <w:rPr>
                <w:spacing w:val="-6"/>
                <w:sz w:val="20"/>
              </w:rPr>
              <w:t> </w:t>
            </w:r>
            <w:r>
              <w:rPr>
                <w:sz w:val="20"/>
              </w:rPr>
              <w:t>abdominal</w:t>
            </w:r>
            <w:r>
              <w:rPr>
                <w:spacing w:val="-7"/>
                <w:sz w:val="20"/>
              </w:rPr>
              <w:t> </w:t>
            </w:r>
            <w:r>
              <w:rPr>
                <w:spacing w:val="-2"/>
                <w:sz w:val="20"/>
              </w:rPr>
              <w:t>inoperables.</w:t>
            </w:r>
          </w:p>
        </w:tc>
        <w:tc>
          <w:tcPr>
            <w:tcW w:w="1405" w:type="dxa"/>
          </w:tcPr>
          <w:p>
            <w:pPr>
              <w:pStyle w:val="TableParagraph"/>
              <w:ind w:left="8" w:right="3"/>
              <w:rPr>
                <w:sz w:val="20"/>
              </w:rPr>
            </w:pPr>
            <w:r>
              <w:rPr>
                <w:sz w:val="20"/>
              </w:rPr>
              <w:t>10</w:t>
            </w:r>
            <w:r>
              <w:rPr>
                <w:spacing w:val="-3"/>
                <w:sz w:val="20"/>
              </w:rPr>
              <w:t> </w:t>
            </w:r>
            <w:r>
              <w:rPr>
                <w:sz w:val="20"/>
              </w:rPr>
              <w:t>a</w:t>
            </w:r>
            <w:r>
              <w:rPr>
                <w:spacing w:val="-1"/>
                <w:sz w:val="20"/>
              </w:rPr>
              <w:t> </w:t>
            </w:r>
            <w:r>
              <w:rPr>
                <w:spacing w:val="-5"/>
                <w:sz w:val="20"/>
              </w:rPr>
              <w:t>20%</w:t>
            </w:r>
          </w:p>
        </w:tc>
      </w:tr>
      <w:tr>
        <w:trPr>
          <w:trHeight w:val="460" w:hRule="atLeast"/>
        </w:trPr>
        <w:tc>
          <w:tcPr>
            <w:tcW w:w="1066" w:type="dxa"/>
          </w:tcPr>
          <w:p>
            <w:pPr>
              <w:pStyle w:val="TableParagraph"/>
              <w:spacing w:line="240" w:lineRule="auto" w:before="114"/>
              <w:ind w:left="9"/>
              <w:rPr>
                <w:sz w:val="20"/>
              </w:rPr>
            </w:pPr>
            <w:r>
              <w:rPr>
                <w:spacing w:val="-5"/>
                <w:sz w:val="20"/>
              </w:rPr>
              <w:t>470</w:t>
            </w:r>
          </w:p>
        </w:tc>
        <w:tc>
          <w:tcPr>
            <w:tcW w:w="7080" w:type="dxa"/>
          </w:tcPr>
          <w:p>
            <w:pPr>
              <w:pStyle w:val="TableParagraph"/>
              <w:spacing w:line="230" w:lineRule="exact"/>
              <w:jc w:val="left"/>
              <w:rPr>
                <w:sz w:val="20"/>
              </w:rPr>
            </w:pPr>
            <w:r>
              <w:rPr>
                <w:sz w:val="20"/>
              </w:rPr>
              <w:t>Las</w:t>
            </w:r>
            <w:r>
              <w:rPr>
                <w:spacing w:val="34"/>
                <w:sz w:val="20"/>
              </w:rPr>
              <w:t> </w:t>
            </w:r>
            <w:r>
              <w:rPr>
                <w:sz w:val="20"/>
              </w:rPr>
              <w:t>mismas,</w:t>
            </w:r>
            <w:r>
              <w:rPr>
                <w:spacing w:val="33"/>
                <w:sz w:val="20"/>
              </w:rPr>
              <w:t> </w:t>
            </w:r>
            <w:r>
              <w:rPr>
                <w:sz w:val="20"/>
              </w:rPr>
              <w:t>reproducidas</w:t>
            </w:r>
            <w:r>
              <w:rPr>
                <w:spacing w:val="36"/>
                <w:sz w:val="20"/>
              </w:rPr>
              <w:t> </w:t>
            </w:r>
            <w:r>
              <w:rPr>
                <w:sz w:val="20"/>
              </w:rPr>
              <w:t>después</w:t>
            </w:r>
            <w:r>
              <w:rPr>
                <w:spacing w:val="34"/>
                <w:sz w:val="20"/>
              </w:rPr>
              <w:t> </w:t>
            </w:r>
            <w:r>
              <w:rPr>
                <w:sz w:val="20"/>
              </w:rPr>
              <w:t>de</w:t>
            </w:r>
            <w:r>
              <w:rPr>
                <w:spacing w:val="33"/>
                <w:sz w:val="20"/>
              </w:rPr>
              <w:t> </w:t>
            </w:r>
            <w:r>
              <w:rPr>
                <w:sz w:val="20"/>
              </w:rPr>
              <w:t>tratamiento</w:t>
            </w:r>
            <w:r>
              <w:rPr>
                <w:spacing w:val="35"/>
                <w:sz w:val="20"/>
              </w:rPr>
              <w:t> </w:t>
            </w:r>
            <w:r>
              <w:rPr>
                <w:sz w:val="20"/>
              </w:rPr>
              <w:t>quirúrgico</w:t>
            </w:r>
            <w:r>
              <w:rPr>
                <w:spacing w:val="33"/>
                <w:sz w:val="20"/>
              </w:rPr>
              <w:t> </w:t>
            </w:r>
            <w:r>
              <w:rPr>
                <w:sz w:val="20"/>
              </w:rPr>
              <w:t>(recurrente</w:t>
            </w:r>
            <w:r>
              <w:rPr>
                <w:spacing w:val="35"/>
                <w:sz w:val="20"/>
              </w:rPr>
              <w:t> </w:t>
            </w:r>
            <w:r>
              <w:rPr>
                <w:sz w:val="20"/>
              </w:rPr>
              <w:t>o </w:t>
            </w:r>
            <w:r>
              <w:rPr>
                <w:spacing w:val="-2"/>
                <w:sz w:val="20"/>
              </w:rPr>
              <w:t>recidivante).</w:t>
            </w:r>
          </w:p>
        </w:tc>
        <w:tc>
          <w:tcPr>
            <w:tcW w:w="1405" w:type="dxa"/>
          </w:tcPr>
          <w:p>
            <w:pPr>
              <w:pStyle w:val="TableParagraph"/>
              <w:spacing w:line="240" w:lineRule="auto" w:before="114"/>
              <w:ind w:left="8" w:right="3"/>
              <w:rPr>
                <w:sz w:val="20"/>
              </w:rPr>
            </w:pPr>
            <w:r>
              <w:rPr>
                <w:sz w:val="20"/>
              </w:rPr>
              <w:t>20</w:t>
            </w:r>
            <w:r>
              <w:rPr>
                <w:spacing w:val="-3"/>
                <w:sz w:val="20"/>
              </w:rPr>
              <w:t> </w:t>
            </w:r>
            <w:r>
              <w:rPr>
                <w:sz w:val="20"/>
              </w:rPr>
              <w:t>a</w:t>
            </w:r>
            <w:r>
              <w:rPr>
                <w:spacing w:val="-1"/>
                <w:sz w:val="20"/>
              </w:rPr>
              <w:t> </w:t>
            </w:r>
            <w:r>
              <w:rPr>
                <w:spacing w:val="-5"/>
                <w:sz w:val="20"/>
              </w:rPr>
              <w:t>30%</w:t>
            </w:r>
          </w:p>
        </w:tc>
      </w:tr>
      <w:tr>
        <w:trPr>
          <w:trHeight w:val="229" w:hRule="atLeast"/>
        </w:trPr>
        <w:tc>
          <w:tcPr>
            <w:tcW w:w="1066" w:type="dxa"/>
          </w:tcPr>
          <w:p>
            <w:pPr>
              <w:pStyle w:val="TableParagraph"/>
              <w:ind w:left="9"/>
              <w:rPr>
                <w:sz w:val="20"/>
              </w:rPr>
            </w:pPr>
            <w:r>
              <w:rPr>
                <w:spacing w:val="-5"/>
                <w:sz w:val="20"/>
              </w:rPr>
              <w:t>471</w:t>
            </w:r>
          </w:p>
        </w:tc>
        <w:tc>
          <w:tcPr>
            <w:tcW w:w="7080" w:type="dxa"/>
          </w:tcPr>
          <w:p>
            <w:pPr>
              <w:pStyle w:val="TableParagraph"/>
              <w:jc w:val="left"/>
              <w:rPr>
                <w:sz w:val="20"/>
              </w:rPr>
            </w:pPr>
            <w:r>
              <w:rPr>
                <w:sz w:val="20"/>
              </w:rPr>
              <w:t>Cicatrices</w:t>
            </w:r>
            <w:r>
              <w:rPr>
                <w:spacing w:val="-7"/>
                <w:sz w:val="20"/>
              </w:rPr>
              <w:t> </w:t>
            </w:r>
            <w:r>
              <w:rPr>
                <w:sz w:val="20"/>
              </w:rPr>
              <w:t>viciosas</w:t>
            </w:r>
            <w:r>
              <w:rPr>
                <w:spacing w:val="-8"/>
                <w:sz w:val="20"/>
              </w:rPr>
              <w:t> </w:t>
            </w:r>
            <w:r>
              <w:rPr>
                <w:sz w:val="20"/>
              </w:rPr>
              <w:t>de</w:t>
            </w:r>
            <w:r>
              <w:rPr>
                <w:spacing w:val="-8"/>
                <w:sz w:val="20"/>
              </w:rPr>
              <w:t> </w:t>
            </w:r>
            <w:r>
              <w:rPr>
                <w:sz w:val="20"/>
              </w:rPr>
              <w:t>la</w:t>
            </w:r>
            <w:r>
              <w:rPr>
                <w:spacing w:val="-7"/>
                <w:sz w:val="20"/>
              </w:rPr>
              <w:t> </w:t>
            </w:r>
            <w:r>
              <w:rPr>
                <w:sz w:val="20"/>
              </w:rPr>
              <w:t>pared</w:t>
            </w:r>
            <w:r>
              <w:rPr>
                <w:spacing w:val="-9"/>
                <w:sz w:val="20"/>
              </w:rPr>
              <w:t> </w:t>
            </w:r>
            <w:r>
              <w:rPr>
                <w:sz w:val="20"/>
              </w:rPr>
              <w:t>abdominal</w:t>
            </w:r>
            <w:r>
              <w:rPr>
                <w:spacing w:val="-8"/>
                <w:sz w:val="20"/>
              </w:rPr>
              <w:t> </w:t>
            </w:r>
            <w:r>
              <w:rPr>
                <w:sz w:val="20"/>
              </w:rPr>
              <w:t>que</w:t>
            </w:r>
            <w:r>
              <w:rPr>
                <w:spacing w:val="-8"/>
                <w:sz w:val="20"/>
              </w:rPr>
              <w:t> </w:t>
            </w:r>
            <w:r>
              <w:rPr>
                <w:sz w:val="20"/>
              </w:rPr>
              <w:t>produzcan</w:t>
            </w:r>
            <w:r>
              <w:rPr>
                <w:spacing w:val="-9"/>
                <w:sz w:val="20"/>
              </w:rPr>
              <w:t> </w:t>
            </w:r>
            <w:r>
              <w:rPr>
                <w:sz w:val="20"/>
              </w:rPr>
              <w:t>alguna</w:t>
            </w:r>
            <w:r>
              <w:rPr>
                <w:spacing w:val="-8"/>
                <w:sz w:val="20"/>
              </w:rPr>
              <w:t> </w:t>
            </w:r>
            <w:r>
              <w:rPr>
                <w:spacing w:val="-2"/>
                <w:sz w:val="20"/>
              </w:rPr>
              <w:t>incapacidad.</w:t>
            </w:r>
          </w:p>
        </w:tc>
        <w:tc>
          <w:tcPr>
            <w:tcW w:w="1405" w:type="dxa"/>
          </w:tcPr>
          <w:p>
            <w:pPr>
              <w:pStyle w:val="TableParagraph"/>
              <w:ind w:left="8" w:right="3"/>
              <w:rPr>
                <w:sz w:val="20"/>
              </w:rPr>
            </w:pPr>
            <w:r>
              <w:rPr>
                <w:sz w:val="20"/>
              </w:rPr>
              <w:t>10</w:t>
            </w:r>
            <w:r>
              <w:rPr>
                <w:spacing w:val="-3"/>
                <w:sz w:val="20"/>
              </w:rPr>
              <w:t> </w:t>
            </w:r>
            <w:r>
              <w:rPr>
                <w:sz w:val="20"/>
              </w:rPr>
              <w:t>a</w:t>
            </w:r>
            <w:r>
              <w:rPr>
                <w:spacing w:val="-1"/>
                <w:sz w:val="20"/>
              </w:rPr>
              <w:t> </w:t>
            </w:r>
            <w:r>
              <w:rPr>
                <w:spacing w:val="-5"/>
                <w:sz w:val="20"/>
              </w:rPr>
              <w:t>30%</w:t>
            </w:r>
          </w:p>
        </w:tc>
      </w:tr>
      <w:tr>
        <w:trPr>
          <w:trHeight w:val="229" w:hRule="atLeast"/>
        </w:trPr>
        <w:tc>
          <w:tcPr>
            <w:tcW w:w="1066" w:type="dxa"/>
          </w:tcPr>
          <w:p>
            <w:pPr>
              <w:pStyle w:val="TableParagraph"/>
              <w:ind w:left="9"/>
              <w:rPr>
                <w:sz w:val="20"/>
              </w:rPr>
            </w:pPr>
            <w:r>
              <w:rPr>
                <w:spacing w:val="-5"/>
                <w:sz w:val="20"/>
              </w:rPr>
              <w:t>472</w:t>
            </w:r>
          </w:p>
        </w:tc>
        <w:tc>
          <w:tcPr>
            <w:tcW w:w="7080" w:type="dxa"/>
          </w:tcPr>
          <w:p>
            <w:pPr>
              <w:pStyle w:val="TableParagraph"/>
              <w:jc w:val="left"/>
              <w:rPr>
                <w:sz w:val="20"/>
              </w:rPr>
            </w:pPr>
            <w:r>
              <w:rPr>
                <w:sz w:val="20"/>
              </w:rPr>
              <w:t>Cicatrices</w:t>
            </w:r>
            <w:r>
              <w:rPr>
                <w:spacing w:val="-9"/>
                <w:sz w:val="20"/>
              </w:rPr>
              <w:t> </w:t>
            </w:r>
            <w:r>
              <w:rPr>
                <w:sz w:val="20"/>
              </w:rPr>
              <w:t>con</w:t>
            </w:r>
            <w:r>
              <w:rPr>
                <w:spacing w:val="-7"/>
                <w:sz w:val="20"/>
              </w:rPr>
              <w:t> </w:t>
            </w:r>
            <w:r>
              <w:rPr>
                <w:sz w:val="20"/>
              </w:rPr>
              <w:t>eventración,</w:t>
            </w:r>
            <w:r>
              <w:rPr>
                <w:spacing w:val="-8"/>
                <w:sz w:val="20"/>
              </w:rPr>
              <w:t> </w:t>
            </w:r>
            <w:r>
              <w:rPr>
                <w:sz w:val="20"/>
              </w:rPr>
              <w:t>inoperables</w:t>
            </w:r>
            <w:r>
              <w:rPr>
                <w:spacing w:val="-6"/>
                <w:sz w:val="20"/>
              </w:rPr>
              <w:t> </w:t>
            </w:r>
            <w:r>
              <w:rPr>
                <w:sz w:val="20"/>
              </w:rPr>
              <w:t>o</w:t>
            </w:r>
            <w:r>
              <w:rPr>
                <w:spacing w:val="-9"/>
                <w:sz w:val="20"/>
              </w:rPr>
              <w:t> </w:t>
            </w:r>
            <w:r>
              <w:rPr>
                <w:sz w:val="20"/>
              </w:rPr>
              <w:t>no</w:t>
            </w:r>
            <w:r>
              <w:rPr>
                <w:spacing w:val="-8"/>
                <w:sz w:val="20"/>
              </w:rPr>
              <w:t> </w:t>
            </w:r>
            <w:r>
              <w:rPr>
                <w:sz w:val="20"/>
              </w:rPr>
              <w:t>resueltas</w:t>
            </w:r>
            <w:r>
              <w:rPr>
                <w:spacing w:val="-6"/>
                <w:sz w:val="20"/>
              </w:rPr>
              <w:t> </w:t>
            </w:r>
            <w:r>
              <w:rPr>
                <w:spacing w:val="-2"/>
                <w:sz w:val="20"/>
              </w:rPr>
              <w:t>quirúrgicamente.</w:t>
            </w:r>
          </w:p>
        </w:tc>
        <w:tc>
          <w:tcPr>
            <w:tcW w:w="1405" w:type="dxa"/>
          </w:tcPr>
          <w:p>
            <w:pPr>
              <w:pStyle w:val="TableParagraph"/>
              <w:ind w:left="8" w:right="3"/>
              <w:rPr>
                <w:sz w:val="20"/>
              </w:rPr>
            </w:pPr>
            <w:r>
              <w:rPr>
                <w:sz w:val="20"/>
              </w:rPr>
              <w:t>30</w:t>
            </w:r>
            <w:r>
              <w:rPr>
                <w:spacing w:val="-3"/>
                <w:sz w:val="20"/>
              </w:rPr>
              <w:t> </w:t>
            </w:r>
            <w:r>
              <w:rPr>
                <w:sz w:val="20"/>
              </w:rPr>
              <w:t>a</w:t>
            </w:r>
            <w:r>
              <w:rPr>
                <w:spacing w:val="-1"/>
                <w:sz w:val="20"/>
              </w:rPr>
              <w:t> </w:t>
            </w:r>
            <w:r>
              <w:rPr>
                <w:spacing w:val="-5"/>
                <w:sz w:val="20"/>
              </w:rPr>
              <w:t>60%</w:t>
            </w:r>
          </w:p>
        </w:tc>
      </w:tr>
    </w:tbl>
    <w:p>
      <w:pPr>
        <w:pStyle w:val="TableParagraph"/>
        <w:spacing w:after="0"/>
        <w:rPr>
          <w:sz w:val="20"/>
        </w:rPr>
        <w:sectPr>
          <w:pgSz w:w="12240" w:h="15840"/>
          <w:pgMar w:header="724" w:footer="712" w:top="1880" w:bottom="900" w:left="1080" w:right="1080"/>
        </w:sectPr>
      </w:pPr>
    </w:p>
    <w:p>
      <w:pPr>
        <w:pStyle w:val="BodyText"/>
        <w:spacing w:before="68"/>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7080"/>
        <w:gridCol w:w="1405"/>
      </w:tblGrid>
      <w:tr>
        <w:trPr>
          <w:trHeight w:val="460" w:hRule="atLeast"/>
        </w:trPr>
        <w:tc>
          <w:tcPr>
            <w:tcW w:w="1066" w:type="dxa"/>
          </w:tcPr>
          <w:p>
            <w:pPr>
              <w:pStyle w:val="TableParagraph"/>
              <w:spacing w:line="240" w:lineRule="auto" w:before="114"/>
              <w:ind w:left="9"/>
              <w:rPr>
                <w:sz w:val="20"/>
              </w:rPr>
            </w:pPr>
            <w:r>
              <w:rPr>
                <w:spacing w:val="-5"/>
                <w:sz w:val="20"/>
              </w:rPr>
              <w:t>473</w:t>
            </w:r>
          </w:p>
        </w:tc>
        <w:tc>
          <w:tcPr>
            <w:tcW w:w="7080" w:type="dxa"/>
          </w:tcPr>
          <w:p>
            <w:pPr>
              <w:pStyle w:val="TableParagraph"/>
              <w:spacing w:line="230" w:lineRule="exact"/>
              <w:jc w:val="left"/>
              <w:rPr>
                <w:sz w:val="20"/>
              </w:rPr>
            </w:pPr>
            <w:r>
              <w:rPr>
                <w:sz w:val="20"/>
              </w:rPr>
              <w:t>Fístulas del tubo digestivo o de sus anexos, inoperables o cuando produzcan alguna incapacidad.</w:t>
            </w:r>
          </w:p>
        </w:tc>
        <w:tc>
          <w:tcPr>
            <w:tcW w:w="1405" w:type="dxa"/>
          </w:tcPr>
          <w:p>
            <w:pPr>
              <w:pStyle w:val="TableParagraph"/>
              <w:spacing w:line="240" w:lineRule="auto" w:before="114"/>
              <w:ind w:left="8" w:right="3"/>
              <w:rPr>
                <w:sz w:val="20"/>
              </w:rPr>
            </w:pPr>
            <w:r>
              <w:rPr>
                <w:sz w:val="20"/>
              </w:rPr>
              <w:t>20</w:t>
            </w:r>
            <w:r>
              <w:rPr>
                <w:spacing w:val="-3"/>
                <w:sz w:val="20"/>
              </w:rPr>
              <w:t> </w:t>
            </w:r>
            <w:r>
              <w:rPr>
                <w:sz w:val="20"/>
              </w:rPr>
              <w:t>a</w:t>
            </w:r>
            <w:r>
              <w:rPr>
                <w:spacing w:val="-1"/>
                <w:sz w:val="20"/>
              </w:rPr>
              <w:t> </w:t>
            </w:r>
            <w:r>
              <w:rPr>
                <w:spacing w:val="-5"/>
                <w:sz w:val="20"/>
              </w:rPr>
              <w:t>60%</w:t>
            </w:r>
          </w:p>
        </w:tc>
      </w:tr>
      <w:tr>
        <w:trPr>
          <w:trHeight w:val="229" w:hRule="atLeast"/>
        </w:trPr>
        <w:tc>
          <w:tcPr>
            <w:tcW w:w="1066" w:type="dxa"/>
          </w:tcPr>
          <w:p>
            <w:pPr>
              <w:pStyle w:val="TableParagraph"/>
              <w:ind w:left="9"/>
              <w:rPr>
                <w:sz w:val="20"/>
              </w:rPr>
            </w:pPr>
            <w:r>
              <w:rPr>
                <w:spacing w:val="-5"/>
                <w:sz w:val="20"/>
              </w:rPr>
              <w:t>474</w:t>
            </w:r>
          </w:p>
        </w:tc>
        <w:tc>
          <w:tcPr>
            <w:tcW w:w="7080" w:type="dxa"/>
          </w:tcPr>
          <w:p>
            <w:pPr>
              <w:pStyle w:val="TableParagraph"/>
              <w:jc w:val="left"/>
              <w:rPr>
                <w:sz w:val="20"/>
              </w:rPr>
            </w:pPr>
            <w:r>
              <w:rPr>
                <w:sz w:val="20"/>
              </w:rPr>
              <w:t>Pérdida</w:t>
            </w:r>
            <w:r>
              <w:rPr>
                <w:spacing w:val="-6"/>
                <w:sz w:val="20"/>
              </w:rPr>
              <w:t> </w:t>
            </w:r>
            <w:r>
              <w:rPr>
                <w:sz w:val="20"/>
              </w:rPr>
              <w:t>total</w:t>
            </w:r>
            <w:r>
              <w:rPr>
                <w:spacing w:val="-8"/>
                <w:sz w:val="20"/>
              </w:rPr>
              <w:t> </w:t>
            </w:r>
            <w:r>
              <w:rPr>
                <w:sz w:val="20"/>
              </w:rPr>
              <w:t>del</w:t>
            </w:r>
            <w:r>
              <w:rPr>
                <w:spacing w:val="-6"/>
                <w:sz w:val="20"/>
              </w:rPr>
              <w:t> </w:t>
            </w:r>
            <w:r>
              <w:rPr>
                <w:spacing w:val="-2"/>
                <w:sz w:val="20"/>
              </w:rPr>
              <w:t>estómago.</w:t>
            </w:r>
          </w:p>
        </w:tc>
        <w:tc>
          <w:tcPr>
            <w:tcW w:w="1405" w:type="dxa"/>
          </w:tcPr>
          <w:p>
            <w:pPr>
              <w:pStyle w:val="TableParagraph"/>
              <w:ind w:left="8" w:right="3"/>
              <w:rPr>
                <w:sz w:val="20"/>
              </w:rPr>
            </w:pPr>
            <w:r>
              <w:rPr>
                <w:sz w:val="20"/>
              </w:rPr>
              <w:t>60</w:t>
            </w:r>
            <w:r>
              <w:rPr>
                <w:spacing w:val="-3"/>
                <w:sz w:val="20"/>
              </w:rPr>
              <w:t> </w:t>
            </w:r>
            <w:r>
              <w:rPr>
                <w:sz w:val="20"/>
              </w:rPr>
              <w:t>a</w:t>
            </w:r>
            <w:r>
              <w:rPr>
                <w:spacing w:val="-1"/>
                <w:sz w:val="20"/>
              </w:rPr>
              <w:t> </w:t>
            </w:r>
            <w:r>
              <w:rPr>
                <w:spacing w:val="-5"/>
                <w:sz w:val="20"/>
              </w:rPr>
              <w:t>80%</w:t>
            </w:r>
          </w:p>
        </w:tc>
      </w:tr>
      <w:tr>
        <w:trPr>
          <w:trHeight w:val="229" w:hRule="atLeast"/>
        </w:trPr>
        <w:tc>
          <w:tcPr>
            <w:tcW w:w="1066" w:type="dxa"/>
          </w:tcPr>
          <w:p>
            <w:pPr>
              <w:pStyle w:val="TableParagraph"/>
              <w:ind w:left="9"/>
              <w:rPr>
                <w:sz w:val="20"/>
              </w:rPr>
            </w:pPr>
            <w:r>
              <w:rPr>
                <w:spacing w:val="-5"/>
                <w:sz w:val="20"/>
              </w:rPr>
              <w:t>475</w:t>
            </w:r>
          </w:p>
        </w:tc>
        <w:tc>
          <w:tcPr>
            <w:tcW w:w="7080" w:type="dxa"/>
          </w:tcPr>
          <w:p>
            <w:pPr>
              <w:pStyle w:val="TableParagraph"/>
              <w:jc w:val="left"/>
              <w:rPr>
                <w:sz w:val="20"/>
              </w:rPr>
            </w:pPr>
            <w:r>
              <w:rPr>
                <w:sz w:val="20"/>
              </w:rPr>
              <w:t>Pérdida</w:t>
            </w:r>
            <w:r>
              <w:rPr>
                <w:spacing w:val="-8"/>
                <w:sz w:val="20"/>
              </w:rPr>
              <w:t> </w:t>
            </w:r>
            <w:r>
              <w:rPr>
                <w:sz w:val="20"/>
              </w:rPr>
              <w:t>parcial</w:t>
            </w:r>
            <w:r>
              <w:rPr>
                <w:spacing w:val="-9"/>
                <w:sz w:val="20"/>
              </w:rPr>
              <w:t> </w:t>
            </w:r>
            <w:r>
              <w:rPr>
                <w:sz w:val="20"/>
              </w:rPr>
              <w:t>del</w:t>
            </w:r>
            <w:r>
              <w:rPr>
                <w:spacing w:val="-7"/>
                <w:sz w:val="20"/>
              </w:rPr>
              <w:t> </w:t>
            </w:r>
            <w:r>
              <w:rPr>
                <w:spacing w:val="-2"/>
                <w:sz w:val="20"/>
              </w:rPr>
              <w:t>estómago.</w:t>
            </w:r>
          </w:p>
        </w:tc>
        <w:tc>
          <w:tcPr>
            <w:tcW w:w="1405" w:type="dxa"/>
          </w:tcPr>
          <w:p>
            <w:pPr>
              <w:pStyle w:val="TableParagraph"/>
              <w:ind w:left="8" w:right="3"/>
              <w:rPr>
                <w:sz w:val="20"/>
              </w:rPr>
            </w:pPr>
            <w:r>
              <w:rPr>
                <w:sz w:val="20"/>
              </w:rPr>
              <w:t>30</w:t>
            </w:r>
            <w:r>
              <w:rPr>
                <w:spacing w:val="-3"/>
                <w:sz w:val="20"/>
              </w:rPr>
              <w:t> </w:t>
            </w:r>
            <w:r>
              <w:rPr>
                <w:sz w:val="20"/>
              </w:rPr>
              <w:t>a</w:t>
            </w:r>
            <w:r>
              <w:rPr>
                <w:spacing w:val="-1"/>
                <w:sz w:val="20"/>
              </w:rPr>
              <w:t> </w:t>
            </w:r>
            <w:r>
              <w:rPr>
                <w:spacing w:val="-5"/>
                <w:sz w:val="20"/>
              </w:rPr>
              <w:t>40%</w:t>
            </w:r>
          </w:p>
        </w:tc>
      </w:tr>
      <w:tr>
        <w:trPr>
          <w:trHeight w:val="229" w:hRule="atLeast"/>
        </w:trPr>
        <w:tc>
          <w:tcPr>
            <w:tcW w:w="1066" w:type="dxa"/>
          </w:tcPr>
          <w:p>
            <w:pPr>
              <w:pStyle w:val="TableParagraph"/>
              <w:ind w:left="9"/>
              <w:rPr>
                <w:sz w:val="20"/>
              </w:rPr>
            </w:pPr>
            <w:r>
              <w:rPr>
                <w:spacing w:val="-5"/>
                <w:sz w:val="20"/>
              </w:rPr>
              <w:t>476</w:t>
            </w:r>
          </w:p>
        </w:tc>
        <w:tc>
          <w:tcPr>
            <w:tcW w:w="7080" w:type="dxa"/>
          </w:tcPr>
          <w:p>
            <w:pPr>
              <w:pStyle w:val="TableParagraph"/>
              <w:jc w:val="left"/>
              <w:rPr>
                <w:sz w:val="20"/>
              </w:rPr>
            </w:pPr>
            <w:r>
              <w:rPr>
                <w:sz w:val="20"/>
              </w:rPr>
              <w:t>Pérdida</w:t>
            </w:r>
            <w:r>
              <w:rPr>
                <w:spacing w:val="-7"/>
                <w:sz w:val="20"/>
              </w:rPr>
              <w:t> </w:t>
            </w:r>
            <w:r>
              <w:rPr>
                <w:sz w:val="20"/>
              </w:rPr>
              <w:t>del</w:t>
            </w:r>
            <w:r>
              <w:rPr>
                <w:spacing w:val="-9"/>
                <w:sz w:val="20"/>
              </w:rPr>
              <w:t> </w:t>
            </w:r>
            <w:r>
              <w:rPr>
                <w:spacing w:val="-4"/>
                <w:sz w:val="20"/>
              </w:rPr>
              <w:t>bazo.</w:t>
            </w:r>
          </w:p>
        </w:tc>
        <w:tc>
          <w:tcPr>
            <w:tcW w:w="1405" w:type="dxa"/>
          </w:tcPr>
          <w:p>
            <w:pPr>
              <w:pStyle w:val="TableParagraph"/>
              <w:ind w:left="8" w:right="1"/>
              <w:rPr>
                <w:sz w:val="20"/>
              </w:rPr>
            </w:pPr>
            <w:r>
              <w:rPr>
                <w:spacing w:val="-5"/>
                <w:sz w:val="20"/>
              </w:rPr>
              <w:t>15%</w:t>
            </w:r>
          </w:p>
        </w:tc>
      </w:tr>
      <w:tr>
        <w:trPr>
          <w:trHeight w:val="229" w:hRule="atLeast"/>
        </w:trPr>
        <w:tc>
          <w:tcPr>
            <w:tcW w:w="1066" w:type="dxa"/>
          </w:tcPr>
          <w:p>
            <w:pPr>
              <w:pStyle w:val="TableParagraph"/>
              <w:ind w:left="9"/>
              <w:rPr>
                <w:sz w:val="20"/>
              </w:rPr>
            </w:pPr>
            <w:r>
              <w:rPr>
                <w:spacing w:val="-5"/>
                <w:sz w:val="20"/>
              </w:rPr>
              <w:t>477</w:t>
            </w:r>
          </w:p>
        </w:tc>
        <w:tc>
          <w:tcPr>
            <w:tcW w:w="7080" w:type="dxa"/>
          </w:tcPr>
          <w:p>
            <w:pPr>
              <w:pStyle w:val="TableParagraph"/>
              <w:jc w:val="left"/>
              <w:rPr>
                <w:sz w:val="20"/>
              </w:rPr>
            </w:pPr>
            <w:r>
              <w:rPr>
                <w:sz w:val="20"/>
              </w:rPr>
              <w:t>Pérdida</w:t>
            </w:r>
            <w:r>
              <w:rPr>
                <w:spacing w:val="-7"/>
                <w:sz w:val="20"/>
              </w:rPr>
              <w:t> </w:t>
            </w:r>
            <w:r>
              <w:rPr>
                <w:sz w:val="20"/>
              </w:rPr>
              <w:t>de</w:t>
            </w:r>
            <w:r>
              <w:rPr>
                <w:spacing w:val="-7"/>
                <w:sz w:val="20"/>
              </w:rPr>
              <w:t> </w:t>
            </w:r>
            <w:r>
              <w:rPr>
                <w:sz w:val="20"/>
              </w:rPr>
              <w:t>la</w:t>
            </w:r>
            <w:r>
              <w:rPr>
                <w:spacing w:val="-6"/>
                <w:sz w:val="20"/>
              </w:rPr>
              <w:t> </w:t>
            </w:r>
            <w:r>
              <w:rPr>
                <w:sz w:val="20"/>
              </w:rPr>
              <w:t>vesícula</w:t>
            </w:r>
            <w:r>
              <w:rPr>
                <w:spacing w:val="-7"/>
                <w:sz w:val="20"/>
              </w:rPr>
              <w:t> </w:t>
            </w:r>
            <w:r>
              <w:rPr>
                <w:spacing w:val="-2"/>
                <w:sz w:val="20"/>
              </w:rPr>
              <w:t>biliar.</w:t>
            </w:r>
          </w:p>
        </w:tc>
        <w:tc>
          <w:tcPr>
            <w:tcW w:w="1405" w:type="dxa"/>
          </w:tcPr>
          <w:p>
            <w:pPr>
              <w:pStyle w:val="TableParagraph"/>
              <w:ind w:left="8" w:right="1"/>
              <w:rPr>
                <w:sz w:val="20"/>
              </w:rPr>
            </w:pPr>
            <w:r>
              <w:rPr>
                <w:spacing w:val="-5"/>
                <w:sz w:val="20"/>
              </w:rPr>
              <w:t>15%</w:t>
            </w:r>
          </w:p>
        </w:tc>
      </w:tr>
      <w:tr>
        <w:trPr>
          <w:trHeight w:val="229" w:hRule="atLeast"/>
        </w:trPr>
        <w:tc>
          <w:tcPr>
            <w:tcW w:w="1066" w:type="dxa"/>
          </w:tcPr>
          <w:p>
            <w:pPr>
              <w:pStyle w:val="TableParagraph"/>
              <w:ind w:left="9"/>
              <w:rPr>
                <w:sz w:val="20"/>
              </w:rPr>
            </w:pPr>
            <w:r>
              <w:rPr>
                <w:spacing w:val="-5"/>
                <w:sz w:val="20"/>
              </w:rPr>
              <w:t>478</w:t>
            </w:r>
          </w:p>
        </w:tc>
        <w:tc>
          <w:tcPr>
            <w:tcW w:w="7080" w:type="dxa"/>
          </w:tcPr>
          <w:p>
            <w:pPr>
              <w:pStyle w:val="TableParagraph"/>
              <w:jc w:val="left"/>
              <w:rPr>
                <w:sz w:val="20"/>
              </w:rPr>
            </w:pPr>
            <w:r>
              <w:rPr>
                <w:sz w:val="20"/>
              </w:rPr>
              <w:t>Pérdida</w:t>
            </w:r>
            <w:r>
              <w:rPr>
                <w:spacing w:val="-9"/>
                <w:sz w:val="20"/>
              </w:rPr>
              <w:t> </w:t>
            </w:r>
            <w:r>
              <w:rPr>
                <w:sz w:val="20"/>
              </w:rPr>
              <w:t>parcial</w:t>
            </w:r>
            <w:r>
              <w:rPr>
                <w:spacing w:val="-9"/>
                <w:sz w:val="20"/>
              </w:rPr>
              <w:t> </w:t>
            </w:r>
            <w:r>
              <w:rPr>
                <w:sz w:val="20"/>
              </w:rPr>
              <w:t>del</w:t>
            </w:r>
            <w:r>
              <w:rPr>
                <w:spacing w:val="-8"/>
                <w:sz w:val="20"/>
              </w:rPr>
              <w:t> </w:t>
            </w:r>
            <w:r>
              <w:rPr>
                <w:sz w:val="20"/>
              </w:rPr>
              <w:t>intestino</w:t>
            </w:r>
            <w:r>
              <w:rPr>
                <w:spacing w:val="-9"/>
                <w:sz w:val="20"/>
              </w:rPr>
              <w:t> </w:t>
            </w:r>
            <w:r>
              <w:rPr>
                <w:spacing w:val="-2"/>
                <w:sz w:val="20"/>
              </w:rPr>
              <w:t>delgado.</w:t>
            </w:r>
          </w:p>
        </w:tc>
        <w:tc>
          <w:tcPr>
            <w:tcW w:w="1405" w:type="dxa"/>
          </w:tcPr>
          <w:p>
            <w:pPr>
              <w:pStyle w:val="TableParagraph"/>
              <w:ind w:left="8" w:right="3"/>
              <w:rPr>
                <w:sz w:val="20"/>
              </w:rPr>
            </w:pPr>
            <w:r>
              <w:rPr>
                <w:sz w:val="20"/>
              </w:rPr>
              <w:t>30</w:t>
            </w:r>
            <w:r>
              <w:rPr>
                <w:spacing w:val="-3"/>
                <w:sz w:val="20"/>
              </w:rPr>
              <w:t> </w:t>
            </w:r>
            <w:r>
              <w:rPr>
                <w:sz w:val="20"/>
              </w:rPr>
              <w:t>a</w:t>
            </w:r>
            <w:r>
              <w:rPr>
                <w:spacing w:val="-1"/>
                <w:sz w:val="20"/>
              </w:rPr>
              <w:t> </w:t>
            </w:r>
            <w:r>
              <w:rPr>
                <w:spacing w:val="-5"/>
                <w:sz w:val="20"/>
              </w:rPr>
              <w:t>40%</w:t>
            </w:r>
          </w:p>
        </w:tc>
      </w:tr>
      <w:tr>
        <w:trPr>
          <w:trHeight w:val="229" w:hRule="atLeast"/>
        </w:trPr>
        <w:tc>
          <w:tcPr>
            <w:tcW w:w="1066" w:type="dxa"/>
          </w:tcPr>
          <w:p>
            <w:pPr>
              <w:pStyle w:val="TableParagraph"/>
              <w:ind w:left="9"/>
              <w:rPr>
                <w:sz w:val="20"/>
              </w:rPr>
            </w:pPr>
            <w:r>
              <w:rPr>
                <w:spacing w:val="-5"/>
                <w:sz w:val="20"/>
              </w:rPr>
              <w:t>479</w:t>
            </w:r>
          </w:p>
        </w:tc>
        <w:tc>
          <w:tcPr>
            <w:tcW w:w="7080" w:type="dxa"/>
          </w:tcPr>
          <w:p>
            <w:pPr>
              <w:pStyle w:val="TableParagraph"/>
              <w:jc w:val="left"/>
              <w:rPr>
                <w:sz w:val="20"/>
              </w:rPr>
            </w:pPr>
            <w:r>
              <w:rPr>
                <w:sz w:val="20"/>
              </w:rPr>
              <w:t>Pérdida</w:t>
            </w:r>
            <w:r>
              <w:rPr>
                <w:spacing w:val="-6"/>
                <w:sz w:val="20"/>
              </w:rPr>
              <w:t> </w:t>
            </w:r>
            <w:r>
              <w:rPr>
                <w:sz w:val="20"/>
              </w:rPr>
              <w:t>total</w:t>
            </w:r>
            <w:r>
              <w:rPr>
                <w:spacing w:val="-8"/>
                <w:sz w:val="20"/>
              </w:rPr>
              <w:t> </w:t>
            </w:r>
            <w:r>
              <w:rPr>
                <w:sz w:val="20"/>
              </w:rPr>
              <w:t>del</w:t>
            </w:r>
            <w:r>
              <w:rPr>
                <w:spacing w:val="-8"/>
                <w:sz w:val="20"/>
              </w:rPr>
              <w:t> </w:t>
            </w:r>
            <w:r>
              <w:rPr>
                <w:spacing w:val="-2"/>
                <w:sz w:val="20"/>
              </w:rPr>
              <w:t>colon.</w:t>
            </w:r>
          </w:p>
        </w:tc>
        <w:tc>
          <w:tcPr>
            <w:tcW w:w="1405" w:type="dxa"/>
          </w:tcPr>
          <w:p>
            <w:pPr>
              <w:pStyle w:val="TableParagraph"/>
              <w:ind w:left="8" w:right="3"/>
              <w:rPr>
                <w:sz w:val="20"/>
              </w:rPr>
            </w:pPr>
            <w:r>
              <w:rPr>
                <w:sz w:val="20"/>
              </w:rPr>
              <w:t>60</w:t>
            </w:r>
            <w:r>
              <w:rPr>
                <w:spacing w:val="-3"/>
                <w:sz w:val="20"/>
              </w:rPr>
              <w:t> </w:t>
            </w:r>
            <w:r>
              <w:rPr>
                <w:sz w:val="20"/>
              </w:rPr>
              <w:t>a</w:t>
            </w:r>
            <w:r>
              <w:rPr>
                <w:spacing w:val="-1"/>
                <w:sz w:val="20"/>
              </w:rPr>
              <w:t> </w:t>
            </w:r>
            <w:r>
              <w:rPr>
                <w:spacing w:val="-5"/>
                <w:sz w:val="20"/>
              </w:rPr>
              <w:t>80%</w:t>
            </w:r>
          </w:p>
        </w:tc>
      </w:tr>
      <w:tr>
        <w:trPr>
          <w:trHeight w:val="229" w:hRule="atLeast"/>
        </w:trPr>
        <w:tc>
          <w:tcPr>
            <w:tcW w:w="1066" w:type="dxa"/>
          </w:tcPr>
          <w:p>
            <w:pPr>
              <w:pStyle w:val="TableParagraph"/>
              <w:ind w:left="9"/>
              <w:rPr>
                <w:sz w:val="20"/>
              </w:rPr>
            </w:pPr>
            <w:r>
              <w:rPr>
                <w:spacing w:val="-5"/>
                <w:sz w:val="20"/>
              </w:rPr>
              <w:t>480</w:t>
            </w:r>
          </w:p>
        </w:tc>
        <w:tc>
          <w:tcPr>
            <w:tcW w:w="7080" w:type="dxa"/>
          </w:tcPr>
          <w:p>
            <w:pPr>
              <w:pStyle w:val="TableParagraph"/>
              <w:jc w:val="left"/>
              <w:rPr>
                <w:sz w:val="20"/>
              </w:rPr>
            </w:pPr>
            <w:r>
              <w:rPr>
                <w:sz w:val="20"/>
              </w:rPr>
              <w:t>Pérdida</w:t>
            </w:r>
            <w:r>
              <w:rPr>
                <w:spacing w:val="-8"/>
                <w:sz w:val="20"/>
              </w:rPr>
              <w:t> </w:t>
            </w:r>
            <w:r>
              <w:rPr>
                <w:sz w:val="20"/>
              </w:rPr>
              <w:t>parcial</w:t>
            </w:r>
            <w:r>
              <w:rPr>
                <w:spacing w:val="-9"/>
                <w:sz w:val="20"/>
              </w:rPr>
              <w:t> </w:t>
            </w:r>
            <w:r>
              <w:rPr>
                <w:sz w:val="20"/>
              </w:rPr>
              <w:t>del</w:t>
            </w:r>
            <w:r>
              <w:rPr>
                <w:spacing w:val="-9"/>
                <w:sz w:val="20"/>
              </w:rPr>
              <w:t> </w:t>
            </w:r>
            <w:r>
              <w:rPr>
                <w:spacing w:val="-2"/>
                <w:sz w:val="20"/>
              </w:rPr>
              <w:t>colon.</w:t>
            </w:r>
          </w:p>
        </w:tc>
        <w:tc>
          <w:tcPr>
            <w:tcW w:w="1405" w:type="dxa"/>
          </w:tcPr>
          <w:p>
            <w:pPr>
              <w:pStyle w:val="TableParagraph"/>
              <w:ind w:left="8" w:right="3"/>
              <w:rPr>
                <w:sz w:val="20"/>
              </w:rPr>
            </w:pPr>
            <w:r>
              <w:rPr>
                <w:sz w:val="20"/>
              </w:rPr>
              <w:t>40</w:t>
            </w:r>
            <w:r>
              <w:rPr>
                <w:spacing w:val="-3"/>
                <w:sz w:val="20"/>
              </w:rPr>
              <w:t> </w:t>
            </w:r>
            <w:r>
              <w:rPr>
                <w:sz w:val="20"/>
              </w:rPr>
              <w:t>a</w:t>
            </w:r>
            <w:r>
              <w:rPr>
                <w:spacing w:val="-1"/>
                <w:sz w:val="20"/>
              </w:rPr>
              <w:t> </w:t>
            </w:r>
            <w:r>
              <w:rPr>
                <w:spacing w:val="-5"/>
                <w:sz w:val="20"/>
              </w:rPr>
              <w:t>50%</w:t>
            </w:r>
          </w:p>
        </w:tc>
      </w:tr>
      <w:tr>
        <w:trPr>
          <w:trHeight w:val="229" w:hRule="atLeast"/>
        </w:trPr>
        <w:tc>
          <w:tcPr>
            <w:tcW w:w="1066" w:type="dxa"/>
          </w:tcPr>
          <w:p>
            <w:pPr>
              <w:pStyle w:val="TableParagraph"/>
              <w:ind w:left="9"/>
              <w:rPr>
                <w:sz w:val="20"/>
              </w:rPr>
            </w:pPr>
            <w:r>
              <w:rPr>
                <w:spacing w:val="-5"/>
                <w:sz w:val="20"/>
              </w:rPr>
              <w:t>481</w:t>
            </w:r>
          </w:p>
        </w:tc>
        <w:tc>
          <w:tcPr>
            <w:tcW w:w="7080" w:type="dxa"/>
          </w:tcPr>
          <w:p>
            <w:pPr>
              <w:pStyle w:val="TableParagraph"/>
              <w:jc w:val="left"/>
              <w:rPr>
                <w:sz w:val="20"/>
              </w:rPr>
            </w:pPr>
            <w:r>
              <w:rPr>
                <w:spacing w:val="-2"/>
                <w:sz w:val="20"/>
              </w:rPr>
              <w:t>Incontinencia</w:t>
            </w:r>
            <w:r>
              <w:rPr>
                <w:spacing w:val="9"/>
                <w:sz w:val="20"/>
              </w:rPr>
              <w:t> </w:t>
            </w:r>
            <w:r>
              <w:rPr>
                <w:spacing w:val="-2"/>
                <w:sz w:val="20"/>
              </w:rPr>
              <w:t>fecal.</w:t>
            </w:r>
          </w:p>
        </w:tc>
        <w:tc>
          <w:tcPr>
            <w:tcW w:w="1405" w:type="dxa"/>
          </w:tcPr>
          <w:p>
            <w:pPr>
              <w:pStyle w:val="TableParagraph"/>
              <w:ind w:left="8" w:right="1"/>
              <w:rPr>
                <w:sz w:val="20"/>
              </w:rPr>
            </w:pPr>
            <w:r>
              <w:rPr>
                <w:spacing w:val="-5"/>
                <w:sz w:val="20"/>
              </w:rPr>
              <w:t>60%</w:t>
            </w:r>
          </w:p>
        </w:tc>
      </w:tr>
      <w:tr>
        <w:trPr>
          <w:trHeight w:val="460" w:hRule="atLeast"/>
        </w:trPr>
        <w:tc>
          <w:tcPr>
            <w:tcW w:w="1066" w:type="dxa"/>
          </w:tcPr>
          <w:p>
            <w:pPr>
              <w:pStyle w:val="TableParagraph"/>
              <w:spacing w:line="240" w:lineRule="auto" w:before="114"/>
              <w:ind w:left="9"/>
              <w:rPr>
                <w:sz w:val="20"/>
              </w:rPr>
            </w:pPr>
            <w:r>
              <w:rPr>
                <w:spacing w:val="-5"/>
                <w:sz w:val="20"/>
              </w:rPr>
              <w:t>482</w:t>
            </w:r>
          </w:p>
        </w:tc>
        <w:tc>
          <w:tcPr>
            <w:tcW w:w="7080" w:type="dxa"/>
          </w:tcPr>
          <w:p>
            <w:pPr>
              <w:pStyle w:val="TableParagraph"/>
              <w:spacing w:line="230" w:lineRule="exact"/>
              <w:jc w:val="left"/>
              <w:rPr>
                <w:sz w:val="20"/>
              </w:rPr>
            </w:pPr>
            <w:r>
              <w:rPr>
                <w:sz w:val="20"/>
              </w:rPr>
              <w:t>Las alteraciones persistentes del tubo digestivo como la enfermedad ácido-</w:t>
            </w:r>
            <w:r>
              <w:rPr>
                <w:spacing w:val="40"/>
                <w:sz w:val="20"/>
              </w:rPr>
              <w:t> </w:t>
            </w:r>
            <w:r>
              <w:rPr>
                <w:sz w:val="20"/>
              </w:rPr>
              <w:t>péptica y el intestino irritable se evaluarán conforme a la Tabla VII.</w:t>
            </w:r>
          </w:p>
        </w:tc>
        <w:tc>
          <w:tcPr>
            <w:tcW w:w="1405" w:type="dxa"/>
          </w:tcPr>
          <w:p>
            <w:pPr>
              <w:pStyle w:val="TableParagraph"/>
              <w:spacing w:line="240" w:lineRule="auto" w:before="114"/>
              <w:ind w:left="8"/>
              <w:rPr>
                <w:sz w:val="20"/>
              </w:rPr>
            </w:pPr>
            <w:r>
              <w:rPr>
                <w:spacing w:val="-2"/>
                <w:sz w:val="20"/>
              </w:rPr>
              <w:t>-</w:t>
            </w:r>
            <w:r>
              <w:rPr>
                <w:spacing w:val="-12"/>
                <w:sz w:val="20"/>
              </w:rPr>
              <w:t>-</w:t>
            </w:r>
          </w:p>
        </w:tc>
      </w:tr>
    </w:tbl>
    <w:p>
      <w:pPr>
        <w:pStyle w:val="BodyText"/>
        <w:spacing w:before="7"/>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74"/>
        <w:gridCol w:w="6967"/>
        <w:gridCol w:w="1409"/>
      </w:tblGrid>
      <w:tr>
        <w:trPr>
          <w:trHeight w:val="690" w:hRule="atLeast"/>
        </w:trPr>
        <w:tc>
          <w:tcPr>
            <w:tcW w:w="9550" w:type="dxa"/>
            <w:gridSpan w:val="3"/>
            <w:shd w:val="clear" w:color="auto" w:fill="C0C0C0"/>
          </w:tcPr>
          <w:p>
            <w:pPr>
              <w:pStyle w:val="TableParagraph"/>
              <w:spacing w:line="227" w:lineRule="exact"/>
              <w:ind w:left="13" w:right="5"/>
              <w:rPr>
                <w:rFonts w:ascii="Arial"/>
                <w:b/>
                <w:sz w:val="20"/>
              </w:rPr>
            </w:pPr>
            <w:r>
              <w:rPr>
                <w:rFonts w:ascii="Arial"/>
                <w:b/>
                <w:sz w:val="20"/>
              </w:rPr>
              <w:t>Tabla</w:t>
            </w:r>
            <w:r>
              <w:rPr>
                <w:rFonts w:ascii="Arial"/>
                <w:b/>
                <w:spacing w:val="-8"/>
                <w:sz w:val="20"/>
              </w:rPr>
              <w:t> </w:t>
            </w:r>
            <w:r>
              <w:rPr>
                <w:rFonts w:ascii="Arial"/>
                <w:b/>
                <w:spacing w:val="-5"/>
                <w:sz w:val="20"/>
              </w:rPr>
              <w:t>VII</w:t>
            </w:r>
          </w:p>
          <w:p>
            <w:pPr>
              <w:pStyle w:val="TableParagraph"/>
              <w:spacing w:line="240" w:lineRule="auto"/>
              <w:ind w:left="0"/>
              <w:jc w:val="left"/>
              <w:rPr>
                <w:rFonts w:ascii="Arial"/>
                <w:b/>
                <w:sz w:val="20"/>
              </w:rPr>
            </w:pPr>
          </w:p>
          <w:p>
            <w:pPr>
              <w:pStyle w:val="TableParagraph"/>
              <w:spacing w:line="213" w:lineRule="exact" w:before="1"/>
              <w:ind w:left="13" w:right="6"/>
              <w:rPr>
                <w:rFonts w:ascii="Arial"/>
                <w:b/>
                <w:sz w:val="20"/>
              </w:rPr>
            </w:pPr>
            <w:r>
              <w:rPr>
                <w:rFonts w:ascii="Arial"/>
                <w:b/>
                <w:sz w:val="20"/>
              </w:rPr>
              <w:t>Alteraciones</w:t>
            </w:r>
            <w:r>
              <w:rPr>
                <w:rFonts w:ascii="Arial"/>
                <w:b/>
                <w:spacing w:val="-13"/>
                <w:sz w:val="20"/>
              </w:rPr>
              <w:t> </w:t>
            </w:r>
            <w:r>
              <w:rPr>
                <w:rFonts w:ascii="Arial"/>
                <w:b/>
                <w:sz w:val="20"/>
              </w:rPr>
              <w:t>persistentes</w:t>
            </w:r>
            <w:r>
              <w:rPr>
                <w:rFonts w:ascii="Arial"/>
                <w:b/>
                <w:spacing w:val="-8"/>
                <w:sz w:val="20"/>
              </w:rPr>
              <w:t> </w:t>
            </w:r>
            <w:r>
              <w:rPr>
                <w:rFonts w:ascii="Arial"/>
                <w:b/>
                <w:sz w:val="20"/>
              </w:rPr>
              <w:t>del</w:t>
            </w:r>
            <w:r>
              <w:rPr>
                <w:rFonts w:ascii="Arial"/>
                <w:b/>
                <w:spacing w:val="-10"/>
                <w:sz w:val="20"/>
              </w:rPr>
              <w:t> </w:t>
            </w:r>
            <w:r>
              <w:rPr>
                <w:rFonts w:ascii="Arial"/>
                <w:b/>
                <w:sz w:val="20"/>
              </w:rPr>
              <w:t>tubo</w:t>
            </w:r>
            <w:r>
              <w:rPr>
                <w:rFonts w:ascii="Arial"/>
                <w:b/>
                <w:spacing w:val="-8"/>
                <w:sz w:val="20"/>
              </w:rPr>
              <w:t> </w:t>
            </w:r>
            <w:r>
              <w:rPr>
                <w:rFonts w:ascii="Arial"/>
                <w:b/>
                <w:spacing w:val="-2"/>
                <w:sz w:val="20"/>
              </w:rPr>
              <w:t>digestivo</w:t>
            </w:r>
          </w:p>
        </w:tc>
      </w:tr>
      <w:tr>
        <w:trPr>
          <w:trHeight w:val="229" w:hRule="atLeast"/>
        </w:trPr>
        <w:tc>
          <w:tcPr>
            <w:tcW w:w="1174" w:type="dxa"/>
            <w:shd w:val="clear" w:color="auto" w:fill="C0C0C0"/>
          </w:tcPr>
          <w:p>
            <w:pPr>
              <w:pStyle w:val="TableParagraph"/>
              <w:ind w:left="11" w:right="2"/>
              <w:rPr>
                <w:rFonts w:ascii="Arial"/>
                <w:b/>
                <w:sz w:val="20"/>
              </w:rPr>
            </w:pPr>
            <w:r>
              <w:rPr>
                <w:rFonts w:ascii="Arial"/>
                <w:b/>
                <w:spacing w:val="-2"/>
                <w:sz w:val="20"/>
              </w:rPr>
              <w:t>Clase</w:t>
            </w:r>
          </w:p>
        </w:tc>
        <w:tc>
          <w:tcPr>
            <w:tcW w:w="6967" w:type="dxa"/>
            <w:shd w:val="clear" w:color="auto" w:fill="C0C0C0"/>
          </w:tcPr>
          <w:p>
            <w:pPr>
              <w:pStyle w:val="TableParagraph"/>
              <w:ind w:left="11"/>
              <w:rPr>
                <w:rFonts w:ascii="Arial" w:hAnsi="Arial"/>
                <w:b/>
                <w:sz w:val="20"/>
              </w:rPr>
            </w:pPr>
            <w:r>
              <w:rPr>
                <w:rFonts w:ascii="Arial" w:hAnsi="Arial"/>
                <w:b/>
                <w:spacing w:val="-2"/>
                <w:sz w:val="20"/>
              </w:rPr>
              <w:t>Descripción</w:t>
            </w:r>
          </w:p>
        </w:tc>
        <w:tc>
          <w:tcPr>
            <w:tcW w:w="1409" w:type="dxa"/>
            <w:shd w:val="clear" w:color="auto" w:fill="C0C0C0"/>
          </w:tcPr>
          <w:p>
            <w:pPr>
              <w:pStyle w:val="TableParagraph"/>
              <w:ind w:left="9" w:right="3"/>
              <w:rPr>
                <w:rFonts w:ascii="Arial" w:hAnsi="Arial"/>
                <w:b/>
                <w:sz w:val="20"/>
              </w:rPr>
            </w:pPr>
            <w:r>
              <w:rPr>
                <w:rFonts w:ascii="Arial" w:hAnsi="Arial"/>
                <w:b/>
                <w:spacing w:val="-2"/>
                <w:sz w:val="20"/>
              </w:rPr>
              <w:t>Valuación</w:t>
            </w:r>
          </w:p>
        </w:tc>
      </w:tr>
      <w:tr>
        <w:trPr>
          <w:trHeight w:val="918" w:hRule="atLeast"/>
        </w:trPr>
        <w:tc>
          <w:tcPr>
            <w:tcW w:w="1174" w:type="dxa"/>
          </w:tcPr>
          <w:p>
            <w:pPr>
              <w:pStyle w:val="TableParagraph"/>
              <w:spacing w:line="227" w:lineRule="exact"/>
              <w:ind w:left="11"/>
              <w:rPr>
                <w:rFonts w:ascii="Arial"/>
                <w:b/>
                <w:sz w:val="20"/>
              </w:rPr>
            </w:pPr>
            <w:r>
              <w:rPr>
                <w:rFonts w:ascii="Arial"/>
                <w:b/>
                <w:spacing w:val="-10"/>
                <w:sz w:val="20"/>
              </w:rPr>
              <w:t>1</w:t>
            </w:r>
          </w:p>
        </w:tc>
        <w:tc>
          <w:tcPr>
            <w:tcW w:w="6967" w:type="dxa"/>
          </w:tcPr>
          <w:p>
            <w:pPr>
              <w:pStyle w:val="TableParagraph"/>
              <w:numPr>
                <w:ilvl w:val="0"/>
                <w:numId w:val="182"/>
              </w:numPr>
              <w:tabs>
                <w:tab w:pos="431" w:val="left" w:leader="none"/>
              </w:tabs>
              <w:spacing w:line="240" w:lineRule="auto" w:before="0" w:after="0"/>
              <w:ind w:left="431" w:right="56" w:hanging="360"/>
              <w:jc w:val="left"/>
              <w:rPr>
                <w:sz w:val="20"/>
              </w:rPr>
            </w:pPr>
            <w:r>
              <w:rPr>
                <w:sz w:val="20"/>
              </w:rPr>
              <w:t>Alteraciones</w:t>
            </w:r>
            <w:r>
              <w:rPr>
                <w:spacing w:val="80"/>
                <w:sz w:val="20"/>
              </w:rPr>
              <w:t> </w:t>
            </w:r>
            <w:r>
              <w:rPr>
                <w:sz w:val="20"/>
              </w:rPr>
              <w:t>persistentes</w:t>
            </w:r>
            <w:r>
              <w:rPr>
                <w:spacing w:val="80"/>
                <w:sz w:val="20"/>
              </w:rPr>
              <w:t> </w:t>
            </w:r>
            <w:r>
              <w:rPr>
                <w:sz w:val="20"/>
              </w:rPr>
              <w:t>de</w:t>
            </w:r>
            <w:r>
              <w:rPr>
                <w:spacing w:val="80"/>
                <w:sz w:val="20"/>
              </w:rPr>
              <w:t> </w:t>
            </w:r>
            <w:r>
              <w:rPr>
                <w:sz w:val="20"/>
              </w:rPr>
              <w:t>la</w:t>
            </w:r>
            <w:r>
              <w:rPr>
                <w:spacing w:val="80"/>
                <w:sz w:val="20"/>
              </w:rPr>
              <w:t> </w:t>
            </w:r>
            <w:r>
              <w:rPr>
                <w:sz w:val="20"/>
              </w:rPr>
              <w:t>enfermedad</w:t>
            </w:r>
            <w:r>
              <w:rPr>
                <w:spacing w:val="80"/>
                <w:sz w:val="20"/>
              </w:rPr>
              <w:t> </w:t>
            </w:r>
            <w:r>
              <w:rPr>
                <w:sz w:val="20"/>
              </w:rPr>
              <w:t>ácido</w:t>
            </w:r>
            <w:r>
              <w:rPr>
                <w:spacing w:val="80"/>
                <w:sz w:val="20"/>
              </w:rPr>
              <w:t> </w:t>
            </w:r>
            <w:r>
              <w:rPr>
                <w:sz w:val="20"/>
              </w:rPr>
              <w:t>péptica</w:t>
            </w:r>
            <w:r>
              <w:rPr>
                <w:spacing w:val="80"/>
                <w:sz w:val="20"/>
              </w:rPr>
              <w:t> </w:t>
            </w:r>
            <w:r>
              <w:rPr>
                <w:sz w:val="20"/>
              </w:rPr>
              <w:t>(reflujo gastroesofágico, gastritis recidivante, úlcera péptica).</w:t>
            </w:r>
          </w:p>
          <w:p>
            <w:pPr>
              <w:pStyle w:val="TableParagraph"/>
              <w:numPr>
                <w:ilvl w:val="0"/>
                <w:numId w:val="182"/>
              </w:numPr>
              <w:tabs>
                <w:tab w:pos="431" w:val="left" w:leader="none"/>
              </w:tabs>
              <w:spacing w:line="229" w:lineRule="exact" w:before="0" w:after="0"/>
              <w:ind w:left="431" w:right="0" w:hanging="360"/>
              <w:jc w:val="left"/>
              <w:rPr>
                <w:sz w:val="20"/>
              </w:rPr>
            </w:pPr>
            <w:r>
              <w:rPr>
                <w:sz w:val="20"/>
              </w:rPr>
              <w:t>Puede</w:t>
            </w:r>
            <w:r>
              <w:rPr>
                <w:spacing w:val="-11"/>
                <w:sz w:val="20"/>
              </w:rPr>
              <w:t> </w:t>
            </w:r>
            <w:r>
              <w:rPr>
                <w:sz w:val="20"/>
              </w:rPr>
              <w:t>presentar</w:t>
            </w:r>
            <w:r>
              <w:rPr>
                <w:spacing w:val="-7"/>
                <w:sz w:val="20"/>
              </w:rPr>
              <w:t> </w:t>
            </w:r>
            <w:r>
              <w:rPr>
                <w:sz w:val="20"/>
              </w:rPr>
              <w:t>antecedente</w:t>
            </w:r>
            <w:r>
              <w:rPr>
                <w:spacing w:val="-11"/>
                <w:sz w:val="20"/>
              </w:rPr>
              <w:t> </w:t>
            </w:r>
            <w:r>
              <w:rPr>
                <w:sz w:val="20"/>
              </w:rPr>
              <w:t>de</w:t>
            </w:r>
            <w:r>
              <w:rPr>
                <w:spacing w:val="-9"/>
                <w:sz w:val="20"/>
              </w:rPr>
              <w:t> </w:t>
            </w:r>
            <w:r>
              <w:rPr>
                <w:sz w:val="20"/>
              </w:rPr>
              <w:t>tratamiento</w:t>
            </w:r>
            <w:r>
              <w:rPr>
                <w:spacing w:val="-11"/>
                <w:sz w:val="20"/>
              </w:rPr>
              <w:t> </w:t>
            </w:r>
            <w:r>
              <w:rPr>
                <w:spacing w:val="-2"/>
                <w:sz w:val="20"/>
              </w:rPr>
              <w:t>quirúrgico.</w:t>
            </w:r>
          </w:p>
          <w:p>
            <w:pPr>
              <w:pStyle w:val="TableParagraph"/>
              <w:numPr>
                <w:ilvl w:val="0"/>
                <w:numId w:val="182"/>
              </w:numPr>
              <w:tabs>
                <w:tab w:pos="431" w:val="left" w:leader="none"/>
              </w:tabs>
              <w:spacing w:line="210" w:lineRule="exact" w:before="0" w:after="0"/>
              <w:ind w:left="431" w:right="0" w:hanging="360"/>
              <w:jc w:val="left"/>
              <w:rPr>
                <w:sz w:val="20"/>
              </w:rPr>
            </w:pPr>
            <w:r>
              <w:rPr>
                <w:sz w:val="20"/>
              </w:rPr>
              <w:t>Precisa</w:t>
            </w:r>
            <w:r>
              <w:rPr>
                <w:spacing w:val="-8"/>
                <w:sz w:val="20"/>
              </w:rPr>
              <w:t> </w:t>
            </w:r>
            <w:r>
              <w:rPr>
                <w:sz w:val="20"/>
              </w:rPr>
              <w:t>de</w:t>
            </w:r>
            <w:r>
              <w:rPr>
                <w:spacing w:val="-8"/>
                <w:sz w:val="20"/>
              </w:rPr>
              <w:t> </w:t>
            </w:r>
            <w:r>
              <w:rPr>
                <w:sz w:val="20"/>
              </w:rPr>
              <w:t>tratamiento</w:t>
            </w:r>
            <w:r>
              <w:rPr>
                <w:spacing w:val="-9"/>
                <w:sz w:val="20"/>
              </w:rPr>
              <w:t> </w:t>
            </w:r>
            <w:r>
              <w:rPr>
                <w:sz w:val="20"/>
              </w:rPr>
              <w:t>continuado</w:t>
            </w:r>
            <w:r>
              <w:rPr>
                <w:spacing w:val="-8"/>
                <w:sz w:val="20"/>
              </w:rPr>
              <w:t> </w:t>
            </w:r>
            <w:r>
              <w:rPr>
                <w:sz w:val="20"/>
              </w:rPr>
              <w:t>con</w:t>
            </w:r>
            <w:r>
              <w:rPr>
                <w:spacing w:val="-7"/>
                <w:sz w:val="20"/>
              </w:rPr>
              <w:t> </w:t>
            </w:r>
            <w:r>
              <w:rPr>
                <w:sz w:val="20"/>
              </w:rPr>
              <w:t>control</w:t>
            </w:r>
            <w:r>
              <w:rPr>
                <w:spacing w:val="-9"/>
                <w:sz w:val="20"/>
              </w:rPr>
              <w:t> </w:t>
            </w:r>
            <w:r>
              <w:rPr>
                <w:sz w:val="20"/>
              </w:rPr>
              <w:t>completo</w:t>
            </w:r>
            <w:r>
              <w:rPr>
                <w:spacing w:val="-8"/>
                <w:sz w:val="20"/>
              </w:rPr>
              <w:t> </w:t>
            </w:r>
            <w:r>
              <w:rPr>
                <w:sz w:val="20"/>
              </w:rPr>
              <w:t>de</w:t>
            </w:r>
            <w:r>
              <w:rPr>
                <w:spacing w:val="-8"/>
                <w:sz w:val="20"/>
              </w:rPr>
              <w:t> </w:t>
            </w:r>
            <w:r>
              <w:rPr>
                <w:spacing w:val="-2"/>
                <w:sz w:val="20"/>
              </w:rPr>
              <w:t>síntomas.</w:t>
            </w:r>
          </w:p>
        </w:tc>
        <w:tc>
          <w:tcPr>
            <w:tcW w:w="1409" w:type="dxa"/>
          </w:tcPr>
          <w:p>
            <w:pPr>
              <w:pStyle w:val="TableParagraph"/>
              <w:spacing w:line="229" w:lineRule="exact"/>
              <w:ind w:left="9" w:right="1"/>
              <w:rPr>
                <w:sz w:val="20"/>
              </w:rPr>
            </w:pPr>
            <w:r>
              <w:rPr>
                <w:spacing w:val="-5"/>
                <w:sz w:val="20"/>
              </w:rPr>
              <w:t>0%</w:t>
            </w:r>
          </w:p>
        </w:tc>
      </w:tr>
      <w:tr>
        <w:trPr>
          <w:trHeight w:val="690" w:hRule="atLeast"/>
        </w:trPr>
        <w:tc>
          <w:tcPr>
            <w:tcW w:w="1174" w:type="dxa"/>
          </w:tcPr>
          <w:p>
            <w:pPr>
              <w:pStyle w:val="TableParagraph"/>
              <w:spacing w:line="229" w:lineRule="exact"/>
              <w:ind w:left="11"/>
              <w:rPr>
                <w:rFonts w:ascii="Arial"/>
                <w:b/>
                <w:sz w:val="20"/>
              </w:rPr>
            </w:pPr>
            <w:r>
              <w:rPr>
                <w:rFonts w:ascii="Arial"/>
                <w:b/>
                <w:spacing w:val="-10"/>
                <w:sz w:val="20"/>
              </w:rPr>
              <w:t>2</w:t>
            </w:r>
          </w:p>
        </w:tc>
        <w:tc>
          <w:tcPr>
            <w:tcW w:w="6967" w:type="dxa"/>
          </w:tcPr>
          <w:p>
            <w:pPr>
              <w:pStyle w:val="TableParagraph"/>
              <w:numPr>
                <w:ilvl w:val="0"/>
                <w:numId w:val="183"/>
              </w:numPr>
              <w:tabs>
                <w:tab w:pos="431" w:val="left" w:leader="none"/>
              </w:tabs>
              <w:spacing w:line="229" w:lineRule="exact" w:before="1" w:after="0"/>
              <w:ind w:left="431" w:right="0" w:hanging="360"/>
              <w:jc w:val="left"/>
              <w:rPr>
                <w:sz w:val="20"/>
              </w:rPr>
            </w:pPr>
            <w:r>
              <w:rPr>
                <w:sz w:val="20"/>
              </w:rPr>
              <w:t>Cumple</w:t>
            </w:r>
            <w:r>
              <w:rPr>
                <w:spacing w:val="-6"/>
                <w:sz w:val="20"/>
              </w:rPr>
              <w:t> </w:t>
            </w:r>
            <w:r>
              <w:rPr>
                <w:sz w:val="20"/>
              </w:rPr>
              <w:t>los</w:t>
            </w:r>
            <w:r>
              <w:rPr>
                <w:spacing w:val="-4"/>
                <w:sz w:val="20"/>
              </w:rPr>
              <w:t> </w:t>
            </w:r>
            <w:r>
              <w:rPr>
                <w:sz w:val="20"/>
              </w:rPr>
              <w:t>criterios</w:t>
            </w:r>
            <w:r>
              <w:rPr>
                <w:spacing w:val="-5"/>
                <w:sz w:val="20"/>
              </w:rPr>
              <w:t> </w:t>
            </w:r>
            <w:r>
              <w:rPr>
                <w:sz w:val="20"/>
              </w:rPr>
              <w:t>de</w:t>
            </w:r>
            <w:r>
              <w:rPr>
                <w:spacing w:val="-5"/>
                <w:sz w:val="20"/>
              </w:rPr>
              <w:t> </w:t>
            </w:r>
            <w:r>
              <w:rPr>
                <w:sz w:val="20"/>
              </w:rPr>
              <w:t>la</w:t>
            </w:r>
            <w:r>
              <w:rPr>
                <w:spacing w:val="-5"/>
                <w:sz w:val="20"/>
              </w:rPr>
              <w:t> </w:t>
            </w:r>
            <w:r>
              <w:rPr>
                <w:sz w:val="20"/>
              </w:rPr>
              <w:t>clase</w:t>
            </w:r>
            <w:r>
              <w:rPr>
                <w:spacing w:val="-5"/>
                <w:sz w:val="20"/>
              </w:rPr>
              <w:t> 1.</w:t>
            </w:r>
          </w:p>
          <w:p>
            <w:pPr>
              <w:pStyle w:val="TableParagraph"/>
              <w:numPr>
                <w:ilvl w:val="0"/>
                <w:numId w:val="183"/>
              </w:numPr>
              <w:tabs>
                <w:tab w:pos="431" w:val="left" w:leader="none"/>
              </w:tabs>
              <w:spacing w:line="229" w:lineRule="exact" w:before="0" w:after="0"/>
              <w:ind w:left="431" w:right="0" w:hanging="360"/>
              <w:jc w:val="left"/>
              <w:rPr>
                <w:sz w:val="20"/>
              </w:rPr>
            </w:pPr>
            <w:r>
              <w:rPr>
                <w:sz w:val="20"/>
              </w:rPr>
              <w:t>Tiene</w:t>
            </w:r>
            <w:r>
              <w:rPr>
                <w:spacing w:val="-10"/>
                <w:sz w:val="20"/>
              </w:rPr>
              <w:t> </w:t>
            </w:r>
            <w:r>
              <w:rPr>
                <w:sz w:val="20"/>
              </w:rPr>
              <w:t>antecedente</w:t>
            </w:r>
            <w:r>
              <w:rPr>
                <w:spacing w:val="-9"/>
                <w:sz w:val="20"/>
              </w:rPr>
              <w:t> </w:t>
            </w:r>
            <w:r>
              <w:rPr>
                <w:sz w:val="20"/>
              </w:rPr>
              <w:t>de</w:t>
            </w:r>
            <w:r>
              <w:rPr>
                <w:spacing w:val="-9"/>
                <w:sz w:val="20"/>
              </w:rPr>
              <w:t> </w:t>
            </w:r>
            <w:r>
              <w:rPr>
                <w:sz w:val="20"/>
              </w:rPr>
              <w:t>tratamiento</w:t>
            </w:r>
            <w:r>
              <w:rPr>
                <w:spacing w:val="-11"/>
                <w:sz w:val="20"/>
              </w:rPr>
              <w:t> </w:t>
            </w:r>
            <w:r>
              <w:rPr>
                <w:spacing w:val="-2"/>
                <w:sz w:val="20"/>
              </w:rPr>
              <w:t>quirúrgico.</w:t>
            </w:r>
          </w:p>
          <w:p>
            <w:pPr>
              <w:pStyle w:val="TableParagraph"/>
              <w:numPr>
                <w:ilvl w:val="0"/>
                <w:numId w:val="183"/>
              </w:numPr>
              <w:tabs>
                <w:tab w:pos="431" w:val="left" w:leader="none"/>
              </w:tabs>
              <w:spacing w:line="210" w:lineRule="exact" w:before="1" w:after="0"/>
              <w:ind w:left="431" w:right="0" w:hanging="360"/>
              <w:jc w:val="left"/>
              <w:rPr>
                <w:sz w:val="20"/>
              </w:rPr>
            </w:pPr>
            <w:r>
              <w:rPr>
                <w:sz w:val="20"/>
              </w:rPr>
              <w:t>Precisa</w:t>
            </w:r>
            <w:r>
              <w:rPr>
                <w:spacing w:val="-8"/>
                <w:sz w:val="20"/>
              </w:rPr>
              <w:t> </w:t>
            </w:r>
            <w:r>
              <w:rPr>
                <w:sz w:val="20"/>
              </w:rPr>
              <w:t>de</w:t>
            </w:r>
            <w:r>
              <w:rPr>
                <w:spacing w:val="-8"/>
                <w:sz w:val="20"/>
              </w:rPr>
              <w:t> </w:t>
            </w:r>
            <w:r>
              <w:rPr>
                <w:sz w:val="20"/>
              </w:rPr>
              <w:t>tratamiento</w:t>
            </w:r>
            <w:r>
              <w:rPr>
                <w:spacing w:val="-9"/>
                <w:sz w:val="20"/>
              </w:rPr>
              <w:t> </w:t>
            </w:r>
            <w:r>
              <w:rPr>
                <w:sz w:val="20"/>
              </w:rPr>
              <w:t>continuado</w:t>
            </w:r>
            <w:r>
              <w:rPr>
                <w:spacing w:val="-8"/>
                <w:sz w:val="20"/>
              </w:rPr>
              <w:t> </w:t>
            </w:r>
            <w:r>
              <w:rPr>
                <w:sz w:val="20"/>
              </w:rPr>
              <w:t>sin</w:t>
            </w:r>
            <w:r>
              <w:rPr>
                <w:spacing w:val="-8"/>
                <w:sz w:val="20"/>
              </w:rPr>
              <w:t> </w:t>
            </w:r>
            <w:r>
              <w:rPr>
                <w:sz w:val="20"/>
              </w:rPr>
              <w:t>control</w:t>
            </w:r>
            <w:r>
              <w:rPr>
                <w:spacing w:val="-8"/>
                <w:sz w:val="20"/>
              </w:rPr>
              <w:t> </w:t>
            </w:r>
            <w:r>
              <w:rPr>
                <w:sz w:val="20"/>
              </w:rPr>
              <w:t>completo</w:t>
            </w:r>
            <w:r>
              <w:rPr>
                <w:spacing w:val="-6"/>
                <w:sz w:val="20"/>
              </w:rPr>
              <w:t> </w:t>
            </w:r>
            <w:r>
              <w:rPr>
                <w:sz w:val="20"/>
              </w:rPr>
              <w:t>de</w:t>
            </w:r>
            <w:r>
              <w:rPr>
                <w:spacing w:val="-9"/>
                <w:sz w:val="20"/>
              </w:rPr>
              <w:t> </w:t>
            </w:r>
            <w:r>
              <w:rPr>
                <w:spacing w:val="-2"/>
                <w:sz w:val="20"/>
              </w:rPr>
              <w:t>síntomas.</w:t>
            </w:r>
          </w:p>
        </w:tc>
        <w:tc>
          <w:tcPr>
            <w:tcW w:w="1409" w:type="dxa"/>
          </w:tcPr>
          <w:p>
            <w:pPr>
              <w:pStyle w:val="TableParagraph"/>
              <w:spacing w:line="240" w:lineRule="auto" w:before="1"/>
              <w:ind w:left="9" w:right="1"/>
              <w:rPr>
                <w:sz w:val="20"/>
              </w:rPr>
            </w:pPr>
            <w:r>
              <w:rPr>
                <w:spacing w:val="-5"/>
                <w:sz w:val="20"/>
              </w:rPr>
              <w:t>10%</w:t>
            </w:r>
          </w:p>
        </w:tc>
      </w:tr>
      <w:tr>
        <w:trPr>
          <w:trHeight w:val="921" w:hRule="atLeast"/>
        </w:trPr>
        <w:tc>
          <w:tcPr>
            <w:tcW w:w="1174" w:type="dxa"/>
          </w:tcPr>
          <w:p>
            <w:pPr>
              <w:pStyle w:val="TableParagraph"/>
              <w:spacing w:line="227" w:lineRule="exact"/>
              <w:ind w:left="11"/>
              <w:rPr>
                <w:rFonts w:ascii="Arial"/>
                <w:b/>
                <w:sz w:val="20"/>
              </w:rPr>
            </w:pPr>
            <w:r>
              <w:rPr>
                <w:rFonts w:ascii="Arial"/>
                <w:b/>
                <w:spacing w:val="-10"/>
                <w:sz w:val="20"/>
              </w:rPr>
              <w:t>3</w:t>
            </w:r>
          </w:p>
        </w:tc>
        <w:tc>
          <w:tcPr>
            <w:tcW w:w="6967" w:type="dxa"/>
          </w:tcPr>
          <w:p>
            <w:pPr>
              <w:pStyle w:val="TableParagraph"/>
              <w:numPr>
                <w:ilvl w:val="0"/>
                <w:numId w:val="184"/>
              </w:numPr>
              <w:tabs>
                <w:tab w:pos="431" w:val="left" w:leader="none"/>
              </w:tabs>
              <w:spacing w:line="229" w:lineRule="exact" w:before="0" w:after="0"/>
              <w:ind w:left="431" w:right="0" w:hanging="360"/>
              <w:jc w:val="left"/>
              <w:rPr>
                <w:sz w:val="20"/>
              </w:rPr>
            </w:pPr>
            <w:r>
              <w:rPr>
                <w:sz w:val="20"/>
              </w:rPr>
              <w:t>Cumple</w:t>
            </w:r>
            <w:r>
              <w:rPr>
                <w:spacing w:val="-6"/>
                <w:sz w:val="20"/>
              </w:rPr>
              <w:t> </w:t>
            </w:r>
            <w:r>
              <w:rPr>
                <w:sz w:val="20"/>
              </w:rPr>
              <w:t>los</w:t>
            </w:r>
            <w:r>
              <w:rPr>
                <w:spacing w:val="-4"/>
                <w:sz w:val="20"/>
              </w:rPr>
              <w:t> </w:t>
            </w:r>
            <w:r>
              <w:rPr>
                <w:sz w:val="20"/>
              </w:rPr>
              <w:t>criterios</w:t>
            </w:r>
            <w:r>
              <w:rPr>
                <w:spacing w:val="-5"/>
                <w:sz w:val="20"/>
              </w:rPr>
              <w:t> </w:t>
            </w:r>
            <w:r>
              <w:rPr>
                <w:sz w:val="20"/>
              </w:rPr>
              <w:t>de</w:t>
            </w:r>
            <w:r>
              <w:rPr>
                <w:spacing w:val="-5"/>
                <w:sz w:val="20"/>
              </w:rPr>
              <w:t> </w:t>
            </w:r>
            <w:r>
              <w:rPr>
                <w:sz w:val="20"/>
              </w:rPr>
              <w:t>la</w:t>
            </w:r>
            <w:r>
              <w:rPr>
                <w:spacing w:val="-5"/>
                <w:sz w:val="20"/>
              </w:rPr>
              <w:t> </w:t>
            </w:r>
            <w:r>
              <w:rPr>
                <w:sz w:val="20"/>
              </w:rPr>
              <w:t>clase</w:t>
            </w:r>
            <w:r>
              <w:rPr>
                <w:spacing w:val="-5"/>
                <w:sz w:val="20"/>
              </w:rPr>
              <w:t> 2.</w:t>
            </w:r>
          </w:p>
          <w:p>
            <w:pPr>
              <w:pStyle w:val="TableParagraph"/>
              <w:numPr>
                <w:ilvl w:val="0"/>
                <w:numId w:val="184"/>
              </w:numPr>
              <w:tabs>
                <w:tab w:pos="431" w:val="left" w:leader="none"/>
              </w:tabs>
              <w:spacing w:line="240" w:lineRule="auto" w:before="0" w:after="0"/>
              <w:ind w:left="431" w:right="65" w:hanging="360"/>
              <w:jc w:val="left"/>
              <w:rPr>
                <w:sz w:val="20"/>
              </w:rPr>
            </w:pPr>
            <w:r>
              <w:rPr>
                <w:sz w:val="20"/>
              </w:rPr>
              <w:t>Precisa</w:t>
            </w:r>
            <w:r>
              <w:rPr>
                <w:spacing w:val="30"/>
                <w:sz w:val="20"/>
              </w:rPr>
              <w:t> </w:t>
            </w:r>
            <w:r>
              <w:rPr>
                <w:sz w:val="20"/>
              </w:rPr>
              <w:t>de</w:t>
            </w:r>
            <w:r>
              <w:rPr>
                <w:spacing w:val="30"/>
                <w:sz w:val="20"/>
              </w:rPr>
              <w:t> </w:t>
            </w:r>
            <w:r>
              <w:rPr>
                <w:sz w:val="20"/>
              </w:rPr>
              <w:t>tratamiento</w:t>
            </w:r>
            <w:r>
              <w:rPr>
                <w:spacing w:val="28"/>
                <w:sz w:val="20"/>
              </w:rPr>
              <w:t> </w:t>
            </w:r>
            <w:r>
              <w:rPr>
                <w:sz w:val="20"/>
              </w:rPr>
              <w:t>continuado</w:t>
            </w:r>
            <w:r>
              <w:rPr>
                <w:spacing w:val="33"/>
                <w:sz w:val="20"/>
              </w:rPr>
              <w:t> </w:t>
            </w:r>
            <w:r>
              <w:rPr>
                <w:sz w:val="20"/>
              </w:rPr>
              <w:t>y</w:t>
            </w:r>
            <w:r>
              <w:rPr>
                <w:spacing w:val="27"/>
                <w:sz w:val="20"/>
              </w:rPr>
              <w:t> </w:t>
            </w:r>
            <w:r>
              <w:rPr>
                <w:sz w:val="20"/>
              </w:rPr>
              <w:t>puede</w:t>
            </w:r>
            <w:r>
              <w:rPr>
                <w:spacing w:val="30"/>
                <w:sz w:val="20"/>
              </w:rPr>
              <w:t> </w:t>
            </w:r>
            <w:r>
              <w:rPr>
                <w:sz w:val="20"/>
              </w:rPr>
              <w:t>presentar</w:t>
            </w:r>
            <w:r>
              <w:rPr>
                <w:spacing w:val="29"/>
                <w:sz w:val="20"/>
              </w:rPr>
              <w:t> </w:t>
            </w:r>
            <w:r>
              <w:rPr>
                <w:sz w:val="20"/>
              </w:rPr>
              <w:t>manifestaciones sistémicas (anemia, sangrado de tubo digestivo alto, pérdida de peso).</w:t>
            </w:r>
          </w:p>
          <w:p>
            <w:pPr>
              <w:pStyle w:val="TableParagraph"/>
              <w:numPr>
                <w:ilvl w:val="0"/>
                <w:numId w:val="184"/>
              </w:numPr>
              <w:tabs>
                <w:tab w:pos="431" w:val="left" w:leader="none"/>
              </w:tabs>
              <w:spacing w:line="210" w:lineRule="exact" w:before="1" w:after="0"/>
              <w:ind w:left="431" w:right="0" w:hanging="360"/>
              <w:jc w:val="left"/>
              <w:rPr>
                <w:sz w:val="20"/>
              </w:rPr>
            </w:pPr>
            <w:r>
              <w:rPr>
                <w:sz w:val="20"/>
              </w:rPr>
              <w:t>Evidencia</w:t>
            </w:r>
            <w:r>
              <w:rPr>
                <w:spacing w:val="-10"/>
                <w:sz w:val="20"/>
              </w:rPr>
              <w:t> </w:t>
            </w:r>
            <w:r>
              <w:rPr>
                <w:sz w:val="20"/>
              </w:rPr>
              <w:t>anatomopatológica</w:t>
            </w:r>
            <w:r>
              <w:rPr>
                <w:spacing w:val="-12"/>
                <w:sz w:val="20"/>
              </w:rPr>
              <w:t> </w:t>
            </w:r>
            <w:r>
              <w:rPr>
                <w:sz w:val="20"/>
              </w:rPr>
              <w:t>o</w:t>
            </w:r>
            <w:r>
              <w:rPr>
                <w:spacing w:val="-12"/>
                <w:sz w:val="20"/>
              </w:rPr>
              <w:t> </w:t>
            </w:r>
            <w:r>
              <w:rPr>
                <w:sz w:val="20"/>
              </w:rPr>
              <w:t>imagenológica</w:t>
            </w:r>
            <w:r>
              <w:rPr>
                <w:spacing w:val="-10"/>
                <w:sz w:val="20"/>
              </w:rPr>
              <w:t> </w:t>
            </w:r>
            <w:r>
              <w:rPr>
                <w:sz w:val="20"/>
              </w:rPr>
              <w:t>de</w:t>
            </w:r>
            <w:r>
              <w:rPr>
                <w:spacing w:val="-10"/>
                <w:sz w:val="20"/>
              </w:rPr>
              <w:t> </w:t>
            </w:r>
            <w:r>
              <w:rPr>
                <w:sz w:val="20"/>
              </w:rPr>
              <w:t>lesiones</w:t>
            </w:r>
            <w:r>
              <w:rPr>
                <w:spacing w:val="-11"/>
                <w:sz w:val="20"/>
              </w:rPr>
              <w:t> </w:t>
            </w:r>
            <w:r>
              <w:rPr>
                <w:spacing w:val="-2"/>
                <w:sz w:val="20"/>
              </w:rPr>
              <w:t>premalignas.</w:t>
            </w:r>
          </w:p>
        </w:tc>
        <w:tc>
          <w:tcPr>
            <w:tcW w:w="1409" w:type="dxa"/>
          </w:tcPr>
          <w:p>
            <w:pPr>
              <w:pStyle w:val="TableParagraph"/>
              <w:spacing w:line="229" w:lineRule="exact"/>
              <w:ind w:left="9" w:right="1"/>
              <w:rPr>
                <w:sz w:val="20"/>
              </w:rPr>
            </w:pPr>
            <w:r>
              <w:rPr>
                <w:spacing w:val="-5"/>
                <w:sz w:val="20"/>
              </w:rPr>
              <w:t>20%</w:t>
            </w:r>
          </w:p>
        </w:tc>
      </w:tr>
      <w:tr>
        <w:trPr>
          <w:trHeight w:val="1148" w:hRule="atLeast"/>
        </w:trPr>
        <w:tc>
          <w:tcPr>
            <w:tcW w:w="1174" w:type="dxa"/>
            <w:vMerge w:val="restart"/>
          </w:tcPr>
          <w:p>
            <w:pPr>
              <w:pStyle w:val="TableParagraph"/>
              <w:spacing w:line="227" w:lineRule="exact"/>
              <w:ind w:left="11"/>
              <w:rPr>
                <w:rFonts w:ascii="Arial"/>
                <w:b/>
                <w:sz w:val="20"/>
              </w:rPr>
            </w:pPr>
            <w:r>
              <w:rPr>
                <w:rFonts w:ascii="Arial"/>
                <w:b/>
                <w:spacing w:val="-10"/>
                <w:sz w:val="20"/>
              </w:rPr>
              <w:t>4</w:t>
            </w:r>
          </w:p>
        </w:tc>
        <w:tc>
          <w:tcPr>
            <w:tcW w:w="6967" w:type="dxa"/>
          </w:tcPr>
          <w:p>
            <w:pPr>
              <w:pStyle w:val="TableParagraph"/>
              <w:numPr>
                <w:ilvl w:val="0"/>
                <w:numId w:val="185"/>
              </w:numPr>
              <w:tabs>
                <w:tab w:pos="431" w:val="left" w:leader="none"/>
              </w:tabs>
              <w:spacing w:line="229" w:lineRule="exact" w:before="0" w:after="0"/>
              <w:ind w:left="431" w:right="0" w:hanging="360"/>
              <w:jc w:val="left"/>
              <w:rPr>
                <w:sz w:val="20"/>
              </w:rPr>
            </w:pPr>
            <w:r>
              <w:rPr>
                <w:sz w:val="20"/>
              </w:rPr>
              <w:t>Cumple</w:t>
            </w:r>
            <w:r>
              <w:rPr>
                <w:spacing w:val="-6"/>
                <w:sz w:val="20"/>
              </w:rPr>
              <w:t> </w:t>
            </w:r>
            <w:r>
              <w:rPr>
                <w:sz w:val="20"/>
              </w:rPr>
              <w:t>los</w:t>
            </w:r>
            <w:r>
              <w:rPr>
                <w:spacing w:val="-4"/>
                <w:sz w:val="20"/>
              </w:rPr>
              <w:t> </w:t>
            </w:r>
            <w:r>
              <w:rPr>
                <w:sz w:val="20"/>
              </w:rPr>
              <w:t>criterios</w:t>
            </w:r>
            <w:r>
              <w:rPr>
                <w:spacing w:val="-5"/>
                <w:sz w:val="20"/>
              </w:rPr>
              <w:t> </w:t>
            </w:r>
            <w:r>
              <w:rPr>
                <w:sz w:val="20"/>
              </w:rPr>
              <w:t>de</w:t>
            </w:r>
            <w:r>
              <w:rPr>
                <w:spacing w:val="-5"/>
                <w:sz w:val="20"/>
              </w:rPr>
              <w:t> </w:t>
            </w:r>
            <w:r>
              <w:rPr>
                <w:sz w:val="20"/>
              </w:rPr>
              <w:t>la</w:t>
            </w:r>
            <w:r>
              <w:rPr>
                <w:spacing w:val="-5"/>
                <w:sz w:val="20"/>
              </w:rPr>
              <w:t> </w:t>
            </w:r>
            <w:r>
              <w:rPr>
                <w:sz w:val="20"/>
              </w:rPr>
              <w:t>clase</w:t>
            </w:r>
            <w:r>
              <w:rPr>
                <w:spacing w:val="-5"/>
                <w:sz w:val="20"/>
              </w:rPr>
              <w:t> 3.</w:t>
            </w:r>
          </w:p>
          <w:p>
            <w:pPr>
              <w:pStyle w:val="TableParagraph"/>
              <w:numPr>
                <w:ilvl w:val="0"/>
                <w:numId w:val="185"/>
              </w:numPr>
              <w:tabs>
                <w:tab w:pos="431" w:val="left" w:leader="none"/>
                <w:tab w:pos="1395" w:val="left" w:leader="none"/>
                <w:tab w:pos="2038" w:val="left" w:leader="none"/>
                <w:tab w:pos="3115" w:val="left" w:leader="none"/>
                <w:tab w:pos="4714" w:val="left" w:leader="none"/>
                <w:tab w:pos="5589" w:val="left" w:leader="none"/>
              </w:tabs>
              <w:spacing w:line="240" w:lineRule="auto" w:before="0" w:after="0"/>
              <w:ind w:left="431" w:right="61" w:hanging="360"/>
              <w:jc w:val="left"/>
              <w:rPr>
                <w:sz w:val="20"/>
              </w:rPr>
            </w:pPr>
            <w:r>
              <w:rPr>
                <w:spacing w:val="-2"/>
                <w:sz w:val="20"/>
              </w:rPr>
              <w:t>Cuenta</w:t>
            </w:r>
            <w:r>
              <w:rPr>
                <w:sz w:val="20"/>
              </w:rPr>
              <w:tab/>
            </w:r>
            <w:r>
              <w:rPr>
                <w:spacing w:val="-4"/>
                <w:sz w:val="20"/>
              </w:rPr>
              <w:t>con</w:t>
            </w:r>
            <w:r>
              <w:rPr>
                <w:sz w:val="20"/>
              </w:rPr>
              <w:tab/>
            </w:r>
            <w:r>
              <w:rPr>
                <w:spacing w:val="-2"/>
                <w:sz w:val="20"/>
              </w:rPr>
              <w:t>estomas</w:t>
            </w:r>
            <w:r>
              <w:rPr>
                <w:sz w:val="20"/>
              </w:rPr>
              <w:tab/>
            </w:r>
            <w:r>
              <w:rPr>
                <w:spacing w:val="-2"/>
                <w:sz w:val="20"/>
              </w:rPr>
              <w:t>(gastrostomía,</w:t>
            </w:r>
            <w:r>
              <w:rPr>
                <w:sz w:val="20"/>
              </w:rPr>
              <w:tab/>
            </w:r>
            <w:r>
              <w:rPr>
                <w:spacing w:val="-2"/>
                <w:sz w:val="20"/>
              </w:rPr>
              <w:t>gastro</w:t>
            </w:r>
            <w:r>
              <w:rPr>
                <w:sz w:val="20"/>
              </w:rPr>
              <w:tab/>
            </w:r>
            <w:r>
              <w:rPr>
                <w:spacing w:val="-2"/>
                <w:sz w:val="20"/>
              </w:rPr>
              <w:t>yeyunostomía, yeyunostomía).</w:t>
            </w:r>
          </w:p>
          <w:p>
            <w:pPr>
              <w:pStyle w:val="TableParagraph"/>
              <w:numPr>
                <w:ilvl w:val="0"/>
                <w:numId w:val="185"/>
              </w:numPr>
              <w:tabs>
                <w:tab w:pos="431" w:val="left" w:leader="none"/>
              </w:tabs>
              <w:spacing w:line="230" w:lineRule="exact" w:before="0" w:after="0"/>
              <w:ind w:left="431" w:right="58" w:hanging="360"/>
              <w:jc w:val="left"/>
              <w:rPr>
                <w:sz w:val="20"/>
              </w:rPr>
            </w:pPr>
            <w:r>
              <w:rPr>
                <w:sz w:val="20"/>
              </w:rPr>
              <w:t>Tomar en cuenta la capacidad funcional en relación con el desempeño del puesto de trabajo.</w:t>
            </w:r>
          </w:p>
        </w:tc>
        <w:tc>
          <w:tcPr>
            <w:tcW w:w="1409" w:type="dxa"/>
          </w:tcPr>
          <w:p>
            <w:pPr>
              <w:pStyle w:val="TableParagraph"/>
              <w:spacing w:line="229" w:lineRule="exact"/>
              <w:ind w:left="9"/>
              <w:rPr>
                <w:sz w:val="20"/>
              </w:rPr>
            </w:pPr>
            <w:r>
              <w:rPr>
                <w:spacing w:val="-2"/>
                <w:sz w:val="20"/>
              </w:rPr>
              <w:t>-</w:t>
            </w:r>
            <w:r>
              <w:rPr>
                <w:spacing w:val="-12"/>
                <w:sz w:val="20"/>
              </w:rPr>
              <w:t>-</w:t>
            </w:r>
          </w:p>
        </w:tc>
      </w:tr>
      <w:tr>
        <w:trPr>
          <w:trHeight w:val="229" w:hRule="atLeast"/>
        </w:trPr>
        <w:tc>
          <w:tcPr>
            <w:tcW w:w="1174" w:type="dxa"/>
            <w:vMerge/>
            <w:tcBorders>
              <w:top w:val="nil"/>
            </w:tcBorders>
          </w:tcPr>
          <w:p>
            <w:pPr>
              <w:rPr>
                <w:sz w:val="2"/>
                <w:szCs w:val="2"/>
              </w:rPr>
            </w:pPr>
          </w:p>
        </w:tc>
        <w:tc>
          <w:tcPr>
            <w:tcW w:w="6967" w:type="dxa"/>
          </w:tcPr>
          <w:p>
            <w:pPr>
              <w:pStyle w:val="TableParagraph"/>
              <w:numPr>
                <w:ilvl w:val="0"/>
                <w:numId w:val="186"/>
              </w:numPr>
              <w:tabs>
                <w:tab w:pos="778" w:val="left" w:leader="none"/>
              </w:tabs>
              <w:spacing w:line="210" w:lineRule="exact" w:before="0" w:after="0"/>
              <w:ind w:left="778" w:right="0" w:hanging="347"/>
              <w:jc w:val="left"/>
              <w:rPr>
                <w:sz w:val="20"/>
              </w:rPr>
            </w:pPr>
            <w:r>
              <w:rPr>
                <w:sz w:val="20"/>
              </w:rPr>
              <w:t>Realiza</w:t>
            </w:r>
            <w:r>
              <w:rPr>
                <w:spacing w:val="-10"/>
                <w:sz w:val="20"/>
              </w:rPr>
              <w:t> </w:t>
            </w:r>
            <w:r>
              <w:rPr>
                <w:sz w:val="20"/>
              </w:rPr>
              <w:t>trabajo</w:t>
            </w:r>
            <w:r>
              <w:rPr>
                <w:spacing w:val="-8"/>
                <w:sz w:val="20"/>
              </w:rPr>
              <w:t> </w:t>
            </w:r>
            <w:r>
              <w:rPr>
                <w:spacing w:val="-2"/>
                <w:sz w:val="20"/>
              </w:rPr>
              <w:t>ligero.</w:t>
            </w:r>
          </w:p>
        </w:tc>
        <w:tc>
          <w:tcPr>
            <w:tcW w:w="1409" w:type="dxa"/>
          </w:tcPr>
          <w:p>
            <w:pPr>
              <w:pStyle w:val="TableParagraph"/>
              <w:ind w:left="9" w:right="1"/>
              <w:rPr>
                <w:sz w:val="20"/>
              </w:rPr>
            </w:pPr>
            <w:r>
              <w:rPr>
                <w:spacing w:val="-5"/>
                <w:sz w:val="20"/>
              </w:rPr>
              <w:t>40%</w:t>
            </w:r>
          </w:p>
        </w:tc>
      </w:tr>
      <w:tr>
        <w:trPr>
          <w:trHeight w:val="229" w:hRule="atLeast"/>
        </w:trPr>
        <w:tc>
          <w:tcPr>
            <w:tcW w:w="1174" w:type="dxa"/>
            <w:vMerge/>
            <w:tcBorders>
              <w:top w:val="nil"/>
            </w:tcBorders>
          </w:tcPr>
          <w:p>
            <w:pPr>
              <w:rPr>
                <w:sz w:val="2"/>
                <w:szCs w:val="2"/>
              </w:rPr>
            </w:pPr>
          </w:p>
        </w:tc>
        <w:tc>
          <w:tcPr>
            <w:tcW w:w="6967" w:type="dxa"/>
          </w:tcPr>
          <w:p>
            <w:pPr>
              <w:pStyle w:val="TableParagraph"/>
              <w:numPr>
                <w:ilvl w:val="0"/>
                <w:numId w:val="187"/>
              </w:numPr>
              <w:tabs>
                <w:tab w:pos="778" w:val="left" w:leader="none"/>
              </w:tabs>
              <w:spacing w:line="210" w:lineRule="exact" w:before="0" w:after="0"/>
              <w:ind w:left="778" w:right="0" w:hanging="347"/>
              <w:jc w:val="left"/>
              <w:rPr>
                <w:sz w:val="20"/>
              </w:rPr>
            </w:pPr>
            <w:r>
              <w:rPr>
                <w:sz w:val="20"/>
              </w:rPr>
              <w:t>Realiza</w:t>
            </w:r>
            <w:r>
              <w:rPr>
                <w:spacing w:val="-10"/>
                <w:sz w:val="20"/>
              </w:rPr>
              <w:t> </w:t>
            </w:r>
            <w:r>
              <w:rPr>
                <w:sz w:val="20"/>
              </w:rPr>
              <w:t>trabajo</w:t>
            </w:r>
            <w:r>
              <w:rPr>
                <w:spacing w:val="-10"/>
                <w:sz w:val="20"/>
              </w:rPr>
              <w:t> </w:t>
            </w:r>
            <w:r>
              <w:rPr>
                <w:spacing w:val="-2"/>
                <w:sz w:val="20"/>
              </w:rPr>
              <w:t>medio.</w:t>
            </w:r>
          </w:p>
        </w:tc>
        <w:tc>
          <w:tcPr>
            <w:tcW w:w="1409" w:type="dxa"/>
          </w:tcPr>
          <w:p>
            <w:pPr>
              <w:pStyle w:val="TableParagraph"/>
              <w:ind w:left="9" w:right="1"/>
              <w:rPr>
                <w:sz w:val="20"/>
              </w:rPr>
            </w:pPr>
            <w:r>
              <w:rPr>
                <w:spacing w:val="-5"/>
                <w:sz w:val="20"/>
              </w:rPr>
              <w:t>60%</w:t>
            </w:r>
          </w:p>
        </w:tc>
      </w:tr>
      <w:tr>
        <w:trPr>
          <w:trHeight w:val="229" w:hRule="atLeast"/>
        </w:trPr>
        <w:tc>
          <w:tcPr>
            <w:tcW w:w="1174" w:type="dxa"/>
            <w:vMerge/>
            <w:tcBorders>
              <w:top w:val="nil"/>
            </w:tcBorders>
          </w:tcPr>
          <w:p>
            <w:pPr>
              <w:rPr>
                <w:sz w:val="2"/>
                <w:szCs w:val="2"/>
              </w:rPr>
            </w:pPr>
          </w:p>
        </w:tc>
        <w:tc>
          <w:tcPr>
            <w:tcW w:w="6967" w:type="dxa"/>
          </w:tcPr>
          <w:p>
            <w:pPr>
              <w:pStyle w:val="TableParagraph"/>
              <w:numPr>
                <w:ilvl w:val="0"/>
                <w:numId w:val="188"/>
              </w:numPr>
              <w:tabs>
                <w:tab w:pos="778" w:val="left" w:leader="none"/>
              </w:tabs>
              <w:spacing w:line="210" w:lineRule="exact" w:before="0" w:after="0"/>
              <w:ind w:left="778" w:right="0" w:hanging="347"/>
              <w:jc w:val="left"/>
              <w:rPr>
                <w:sz w:val="20"/>
              </w:rPr>
            </w:pPr>
            <w:r>
              <w:rPr>
                <w:sz w:val="20"/>
              </w:rPr>
              <w:t>Realiza</w:t>
            </w:r>
            <w:r>
              <w:rPr>
                <w:spacing w:val="-10"/>
                <w:sz w:val="20"/>
              </w:rPr>
              <w:t> </w:t>
            </w:r>
            <w:r>
              <w:rPr>
                <w:sz w:val="20"/>
              </w:rPr>
              <w:t>trabajo</w:t>
            </w:r>
            <w:r>
              <w:rPr>
                <w:spacing w:val="-10"/>
                <w:sz w:val="20"/>
              </w:rPr>
              <w:t> </w:t>
            </w:r>
            <w:r>
              <w:rPr>
                <w:spacing w:val="-2"/>
                <w:sz w:val="20"/>
              </w:rPr>
              <w:t>pesado.</w:t>
            </w:r>
          </w:p>
        </w:tc>
        <w:tc>
          <w:tcPr>
            <w:tcW w:w="1409" w:type="dxa"/>
          </w:tcPr>
          <w:p>
            <w:pPr>
              <w:pStyle w:val="TableParagraph"/>
              <w:ind w:left="9" w:right="1"/>
              <w:rPr>
                <w:sz w:val="20"/>
              </w:rPr>
            </w:pPr>
            <w:r>
              <w:rPr>
                <w:spacing w:val="-5"/>
                <w:sz w:val="20"/>
              </w:rPr>
              <w:t>80%</w:t>
            </w:r>
          </w:p>
        </w:tc>
      </w:tr>
      <w:tr>
        <w:trPr>
          <w:trHeight w:val="232" w:hRule="atLeast"/>
        </w:trPr>
        <w:tc>
          <w:tcPr>
            <w:tcW w:w="1174" w:type="dxa"/>
            <w:vMerge/>
            <w:tcBorders>
              <w:top w:val="nil"/>
            </w:tcBorders>
          </w:tcPr>
          <w:p>
            <w:pPr>
              <w:rPr>
                <w:sz w:val="2"/>
                <w:szCs w:val="2"/>
              </w:rPr>
            </w:pPr>
          </w:p>
        </w:tc>
        <w:tc>
          <w:tcPr>
            <w:tcW w:w="6967" w:type="dxa"/>
          </w:tcPr>
          <w:p>
            <w:pPr>
              <w:pStyle w:val="TableParagraph"/>
              <w:numPr>
                <w:ilvl w:val="0"/>
                <w:numId w:val="189"/>
              </w:numPr>
              <w:tabs>
                <w:tab w:pos="431" w:val="left" w:leader="none"/>
              </w:tabs>
              <w:spacing w:line="212" w:lineRule="exact" w:before="0" w:after="0"/>
              <w:ind w:left="431" w:right="0" w:hanging="360"/>
              <w:jc w:val="left"/>
              <w:rPr>
                <w:sz w:val="20"/>
              </w:rPr>
            </w:pPr>
            <w:r>
              <w:rPr>
                <w:sz w:val="20"/>
              </w:rPr>
              <w:t>Incapaz</w:t>
            </w:r>
            <w:r>
              <w:rPr>
                <w:spacing w:val="-10"/>
                <w:sz w:val="20"/>
              </w:rPr>
              <w:t> </w:t>
            </w:r>
            <w:r>
              <w:rPr>
                <w:sz w:val="20"/>
              </w:rPr>
              <w:t>de</w:t>
            </w:r>
            <w:r>
              <w:rPr>
                <w:spacing w:val="-9"/>
                <w:sz w:val="20"/>
              </w:rPr>
              <w:t> </w:t>
            </w:r>
            <w:r>
              <w:rPr>
                <w:sz w:val="20"/>
              </w:rPr>
              <w:t>realizar</w:t>
            </w:r>
            <w:r>
              <w:rPr>
                <w:spacing w:val="-9"/>
                <w:sz w:val="20"/>
              </w:rPr>
              <w:t> </w:t>
            </w:r>
            <w:r>
              <w:rPr>
                <w:sz w:val="20"/>
              </w:rPr>
              <w:t>cualquier</w:t>
            </w:r>
            <w:r>
              <w:rPr>
                <w:spacing w:val="-9"/>
                <w:sz w:val="20"/>
              </w:rPr>
              <w:t> </w:t>
            </w:r>
            <w:r>
              <w:rPr>
                <w:sz w:val="20"/>
              </w:rPr>
              <w:t>actividad</w:t>
            </w:r>
            <w:r>
              <w:rPr>
                <w:spacing w:val="-8"/>
                <w:sz w:val="20"/>
              </w:rPr>
              <w:t> </w:t>
            </w:r>
            <w:r>
              <w:rPr>
                <w:spacing w:val="-2"/>
                <w:sz w:val="20"/>
              </w:rPr>
              <w:t>laboral.</w:t>
            </w:r>
          </w:p>
        </w:tc>
        <w:tc>
          <w:tcPr>
            <w:tcW w:w="1409" w:type="dxa"/>
          </w:tcPr>
          <w:p>
            <w:pPr>
              <w:pStyle w:val="TableParagraph"/>
              <w:spacing w:line="212" w:lineRule="exact"/>
              <w:ind w:left="9" w:right="1"/>
              <w:rPr>
                <w:sz w:val="20"/>
              </w:rPr>
            </w:pPr>
            <w:r>
              <w:rPr>
                <w:spacing w:val="-4"/>
                <w:sz w:val="20"/>
              </w:rPr>
              <w:t>100%</w:t>
            </w:r>
          </w:p>
        </w:tc>
      </w:tr>
    </w:tbl>
    <w:p>
      <w:pPr>
        <w:pStyle w:val="BodyText"/>
        <w:spacing w:before="4"/>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601"/>
        <w:gridCol w:w="1882"/>
      </w:tblGrid>
      <w:tr>
        <w:trPr>
          <w:trHeight w:val="232" w:hRule="atLeast"/>
        </w:trPr>
        <w:tc>
          <w:tcPr>
            <w:tcW w:w="1066" w:type="dxa"/>
          </w:tcPr>
          <w:p>
            <w:pPr>
              <w:pStyle w:val="TableParagraph"/>
              <w:spacing w:before="1"/>
              <w:ind w:left="9"/>
              <w:rPr>
                <w:sz w:val="20"/>
              </w:rPr>
            </w:pPr>
            <w:r>
              <w:rPr>
                <w:spacing w:val="-5"/>
                <w:sz w:val="20"/>
              </w:rPr>
              <w:t>483</w:t>
            </w:r>
          </w:p>
        </w:tc>
        <w:tc>
          <w:tcPr>
            <w:tcW w:w="6601" w:type="dxa"/>
          </w:tcPr>
          <w:p>
            <w:pPr>
              <w:pStyle w:val="TableParagraph"/>
              <w:spacing w:before="1"/>
              <w:jc w:val="left"/>
              <w:rPr>
                <w:sz w:val="20"/>
              </w:rPr>
            </w:pPr>
            <w:r>
              <w:rPr>
                <w:sz w:val="20"/>
              </w:rPr>
              <w:t>Pérdida</w:t>
            </w:r>
            <w:r>
              <w:rPr>
                <w:spacing w:val="-8"/>
                <w:sz w:val="20"/>
              </w:rPr>
              <w:t> </w:t>
            </w:r>
            <w:r>
              <w:rPr>
                <w:sz w:val="20"/>
              </w:rPr>
              <w:t>parcial</w:t>
            </w:r>
            <w:r>
              <w:rPr>
                <w:spacing w:val="-9"/>
                <w:sz w:val="20"/>
              </w:rPr>
              <w:t> </w:t>
            </w:r>
            <w:r>
              <w:rPr>
                <w:sz w:val="20"/>
              </w:rPr>
              <w:t>del</w:t>
            </w:r>
            <w:r>
              <w:rPr>
                <w:spacing w:val="-7"/>
                <w:sz w:val="20"/>
              </w:rPr>
              <w:t> </w:t>
            </w:r>
            <w:r>
              <w:rPr>
                <w:spacing w:val="-2"/>
                <w:sz w:val="20"/>
              </w:rPr>
              <w:t>páncreas.</w:t>
            </w:r>
          </w:p>
        </w:tc>
        <w:tc>
          <w:tcPr>
            <w:tcW w:w="1882" w:type="dxa"/>
          </w:tcPr>
          <w:p>
            <w:pPr>
              <w:pStyle w:val="TableParagraph"/>
              <w:spacing w:before="1"/>
              <w:ind w:left="14" w:right="4"/>
              <w:rPr>
                <w:sz w:val="20"/>
              </w:rPr>
            </w:pPr>
            <w:r>
              <w:rPr>
                <w:sz w:val="20"/>
              </w:rPr>
              <w:t>60</w:t>
            </w:r>
            <w:r>
              <w:rPr>
                <w:spacing w:val="-3"/>
                <w:sz w:val="20"/>
              </w:rPr>
              <w:t> </w:t>
            </w:r>
            <w:r>
              <w:rPr>
                <w:sz w:val="20"/>
              </w:rPr>
              <w:t>a</w:t>
            </w:r>
            <w:r>
              <w:rPr>
                <w:spacing w:val="-1"/>
                <w:sz w:val="20"/>
              </w:rPr>
              <w:t> </w:t>
            </w:r>
            <w:r>
              <w:rPr>
                <w:spacing w:val="-5"/>
                <w:sz w:val="20"/>
              </w:rPr>
              <w:t>80%</w:t>
            </w:r>
          </w:p>
        </w:tc>
      </w:tr>
      <w:tr>
        <w:trPr>
          <w:trHeight w:val="229" w:hRule="atLeast"/>
        </w:trPr>
        <w:tc>
          <w:tcPr>
            <w:tcW w:w="1066" w:type="dxa"/>
          </w:tcPr>
          <w:p>
            <w:pPr>
              <w:pStyle w:val="TableParagraph"/>
              <w:ind w:left="9"/>
              <w:rPr>
                <w:sz w:val="20"/>
              </w:rPr>
            </w:pPr>
            <w:r>
              <w:rPr>
                <w:spacing w:val="-5"/>
                <w:sz w:val="20"/>
              </w:rPr>
              <w:t>484</w:t>
            </w:r>
          </w:p>
        </w:tc>
        <w:tc>
          <w:tcPr>
            <w:tcW w:w="6601" w:type="dxa"/>
          </w:tcPr>
          <w:p>
            <w:pPr>
              <w:pStyle w:val="TableParagraph"/>
              <w:jc w:val="left"/>
              <w:rPr>
                <w:sz w:val="20"/>
              </w:rPr>
            </w:pPr>
            <w:r>
              <w:rPr>
                <w:sz w:val="20"/>
              </w:rPr>
              <w:t>Pérdida</w:t>
            </w:r>
            <w:r>
              <w:rPr>
                <w:spacing w:val="-7"/>
                <w:sz w:val="20"/>
              </w:rPr>
              <w:t> </w:t>
            </w:r>
            <w:r>
              <w:rPr>
                <w:sz w:val="20"/>
              </w:rPr>
              <w:t>parcial</w:t>
            </w:r>
            <w:r>
              <w:rPr>
                <w:spacing w:val="-9"/>
                <w:sz w:val="20"/>
              </w:rPr>
              <w:t> </w:t>
            </w:r>
            <w:r>
              <w:rPr>
                <w:sz w:val="20"/>
              </w:rPr>
              <w:t>del</w:t>
            </w:r>
            <w:r>
              <w:rPr>
                <w:spacing w:val="-7"/>
                <w:sz w:val="20"/>
              </w:rPr>
              <w:t> </w:t>
            </w:r>
            <w:r>
              <w:rPr>
                <w:spacing w:val="-2"/>
                <w:sz w:val="20"/>
              </w:rPr>
              <w:t>hígado.</w:t>
            </w:r>
          </w:p>
        </w:tc>
        <w:tc>
          <w:tcPr>
            <w:tcW w:w="1882" w:type="dxa"/>
          </w:tcPr>
          <w:p>
            <w:pPr>
              <w:pStyle w:val="TableParagraph"/>
              <w:ind w:left="14" w:right="4"/>
              <w:rPr>
                <w:sz w:val="20"/>
              </w:rPr>
            </w:pPr>
            <w:r>
              <w:rPr>
                <w:sz w:val="20"/>
              </w:rPr>
              <w:t>40</w:t>
            </w:r>
            <w:r>
              <w:rPr>
                <w:spacing w:val="-3"/>
                <w:sz w:val="20"/>
              </w:rPr>
              <w:t> </w:t>
            </w:r>
            <w:r>
              <w:rPr>
                <w:sz w:val="20"/>
              </w:rPr>
              <w:t>a</w:t>
            </w:r>
            <w:r>
              <w:rPr>
                <w:spacing w:val="-1"/>
                <w:sz w:val="20"/>
              </w:rPr>
              <w:t> </w:t>
            </w:r>
            <w:r>
              <w:rPr>
                <w:spacing w:val="-5"/>
                <w:sz w:val="20"/>
              </w:rPr>
              <w:t>60%</w:t>
            </w:r>
          </w:p>
        </w:tc>
      </w:tr>
      <w:tr>
        <w:trPr>
          <w:trHeight w:val="460" w:hRule="atLeast"/>
        </w:trPr>
        <w:tc>
          <w:tcPr>
            <w:tcW w:w="1066" w:type="dxa"/>
          </w:tcPr>
          <w:p>
            <w:pPr>
              <w:pStyle w:val="TableParagraph"/>
              <w:spacing w:line="240" w:lineRule="auto" w:before="115"/>
              <w:ind w:left="9"/>
              <w:rPr>
                <w:sz w:val="20"/>
              </w:rPr>
            </w:pPr>
            <w:r>
              <w:rPr>
                <w:spacing w:val="-5"/>
                <w:sz w:val="20"/>
              </w:rPr>
              <w:t>485</w:t>
            </w:r>
          </w:p>
        </w:tc>
        <w:tc>
          <w:tcPr>
            <w:tcW w:w="6601" w:type="dxa"/>
          </w:tcPr>
          <w:p>
            <w:pPr>
              <w:pStyle w:val="TableParagraph"/>
              <w:spacing w:line="232" w:lineRule="exact"/>
              <w:jc w:val="left"/>
              <w:rPr>
                <w:sz w:val="20"/>
              </w:rPr>
            </w:pPr>
            <w:r>
              <w:rPr>
                <w:sz w:val="20"/>
              </w:rPr>
              <w:t>Otras</w:t>
            </w:r>
            <w:r>
              <w:rPr>
                <w:spacing w:val="31"/>
                <w:sz w:val="20"/>
              </w:rPr>
              <w:t> </w:t>
            </w:r>
            <w:r>
              <w:rPr>
                <w:sz w:val="20"/>
              </w:rPr>
              <w:t>lesiones</w:t>
            </w:r>
            <w:r>
              <w:rPr>
                <w:spacing w:val="31"/>
                <w:sz w:val="20"/>
              </w:rPr>
              <w:t> </w:t>
            </w:r>
            <w:r>
              <w:rPr>
                <w:sz w:val="20"/>
              </w:rPr>
              <w:t>o</w:t>
            </w:r>
            <w:r>
              <w:rPr>
                <w:spacing w:val="32"/>
                <w:sz w:val="20"/>
              </w:rPr>
              <w:t> </w:t>
            </w:r>
            <w:r>
              <w:rPr>
                <w:sz w:val="20"/>
              </w:rPr>
              <w:t>pérdidas</w:t>
            </w:r>
            <w:r>
              <w:rPr>
                <w:spacing w:val="31"/>
                <w:sz w:val="20"/>
              </w:rPr>
              <w:t> </w:t>
            </w:r>
            <w:r>
              <w:rPr>
                <w:sz w:val="20"/>
              </w:rPr>
              <w:t>de</w:t>
            </w:r>
            <w:r>
              <w:rPr>
                <w:spacing w:val="32"/>
                <w:sz w:val="20"/>
              </w:rPr>
              <w:t> </w:t>
            </w:r>
            <w:r>
              <w:rPr>
                <w:sz w:val="20"/>
              </w:rPr>
              <w:t>los</w:t>
            </w:r>
            <w:r>
              <w:rPr>
                <w:spacing w:val="31"/>
                <w:sz w:val="20"/>
              </w:rPr>
              <w:t> </w:t>
            </w:r>
            <w:r>
              <w:rPr>
                <w:sz w:val="20"/>
              </w:rPr>
              <w:t>órganos</w:t>
            </w:r>
            <w:r>
              <w:rPr>
                <w:spacing w:val="31"/>
                <w:sz w:val="20"/>
              </w:rPr>
              <w:t> </w:t>
            </w:r>
            <w:r>
              <w:rPr>
                <w:sz w:val="20"/>
              </w:rPr>
              <w:t>contenidos</w:t>
            </w:r>
            <w:r>
              <w:rPr>
                <w:spacing w:val="31"/>
                <w:sz w:val="20"/>
              </w:rPr>
              <w:t> </w:t>
            </w:r>
            <w:r>
              <w:rPr>
                <w:sz w:val="20"/>
              </w:rPr>
              <w:t>en</w:t>
            </w:r>
            <w:r>
              <w:rPr>
                <w:spacing w:val="30"/>
                <w:sz w:val="20"/>
              </w:rPr>
              <w:t> </w:t>
            </w:r>
            <w:r>
              <w:rPr>
                <w:sz w:val="20"/>
              </w:rPr>
              <w:t>el</w:t>
            </w:r>
            <w:r>
              <w:rPr>
                <w:spacing w:val="29"/>
                <w:sz w:val="20"/>
              </w:rPr>
              <w:t> </w:t>
            </w:r>
            <w:r>
              <w:rPr>
                <w:sz w:val="20"/>
              </w:rPr>
              <w:t>abdomen, que produzcan como consecuencia alguna incapacidad probada.</w:t>
            </w:r>
          </w:p>
        </w:tc>
        <w:tc>
          <w:tcPr>
            <w:tcW w:w="1882" w:type="dxa"/>
          </w:tcPr>
          <w:p>
            <w:pPr>
              <w:pStyle w:val="TableParagraph"/>
              <w:spacing w:line="240" w:lineRule="auto" w:before="115"/>
              <w:ind w:left="14" w:right="4"/>
              <w:rPr>
                <w:sz w:val="20"/>
              </w:rPr>
            </w:pPr>
            <w:r>
              <w:rPr>
                <w:sz w:val="20"/>
              </w:rPr>
              <w:t>30</w:t>
            </w:r>
            <w:r>
              <w:rPr>
                <w:spacing w:val="-3"/>
                <w:sz w:val="20"/>
              </w:rPr>
              <w:t> </w:t>
            </w:r>
            <w:r>
              <w:rPr>
                <w:sz w:val="20"/>
              </w:rPr>
              <w:t>a</w:t>
            </w:r>
            <w:r>
              <w:rPr>
                <w:spacing w:val="-1"/>
                <w:sz w:val="20"/>
              </w:rPr>
              <w:t> </w:t>
            </w:r>
            <w:r>
              <w:rPr>
                <w:spacing w:val="-5"/>
                <w:sz w:val="20"/>
              </w:rPr>
              <w:t>80%</w:t>
            </w:r>
          </w:p>
        </w:tc>
      </w:tr>
      <w:tr>
        <w:trPr>
          <w:trHeight w:val="226" w:hRule="atLeast"/>
        </w:trPr>
        <w:tc>
          <w:tcPr>
            <w:tcW w:w="1066" w:type="dxa"/>
          </w:tcPr>
          <w:p>
            <w:pPr>
              <w:pStyle w:val="TableParagraph"/>
              <w:spacing w:line="207" w:lineRule="exact"/>
              <w:ind w:left="9"/>
              <w:rPr>
                <w:sz w:val="20"/>
              </w:rPr>
            </w:pPr>
            <w:r>
              <w:rPr>
                <w:spacing w:val="-5"/>
                <w:sz w:val="20"/>
              </w:rPr>
              <w:t>486</w:t>
            </w:r>
          </w:p>
        </w:tc>
        <w:tc>
          <w:tcPr>
            <w:tcW w:w="6601" w:type="dxa"/>
          </w:tcPr>
          <w:p>
            <w:pPr>
              <w:pStyle w:val="TableParagraph"/>
              <w:spacing w:line="207" w:lineRule="exact"/>
              <w:jc w:val="left"/>
              <w:rPr>
                <w:sz w:val="20"/>
              </w:rPr>
            </w:pPr>
            <w:r>
              <w:rPr>
                <w:sz w:val="20"/>
              </w:rPr>
              <w:t>La</w:t>
            </w:r>
            <w:r>
              <w:rPr>
                <w:spacing w:val="-8"/>
                <w:sz w:val="20"/>
              </w:rPr>
              <w:t> </w:t>
            </w:r>
            <w:r>
              <w:rPr>
                <w:sz w:val="20"/>
              </w:rPr>
              <w:t>insuficiencia</w:t>
            </w:r>
            <w:r>
              <w:rPr>
                <w:spacing w:val="-6"/>
                <w:sz w:val="20"/>
              </w:rPr>
              <w:t> </w:t>
            </w:r>
            <w:r>
              <w:rPr>
                <w:sz w:val="20"/>
              </w:rPr>
              <w:t>hepática</w:t>
            </w:r>
            <w:r>
              <w:rPr>
                <w:spacing w:val="-6"/>
                <w:sz w:val="20"/>
              </w:rPr>
              <w:t> </w:t>
            </w:r>
            <w:r>
              <w:rPr>
                <w:sz w:val="20"/>
              </w:rPr>
              <w:t>se</w:t>
            </w:r>
            <w:r>
              <w:rPr>
                <w:spacing w:val="-5"/>
                <w:sz w:val="20"/>
              </w:rPr>
              <w:t> </w:t>
            </w:r>
            <w:r>
              <w:rPr>
                <w:sz w:val="20"/>
              </w:rPr>
              <w:t>evaluará</w:t>
            </w:r>
            <w:r>
              <w:rPr>
                <w:spacing w:val="-6"/>
                <w:sz w:val="20"/>
              </w:rPr>
              <w:t> </w:t>
            </w:r>
            <w:r>
              <w:rPr>
                <w:sz w:val="20"/>
              </w:rPr>
              <w:t>conforme</w:t>
            </w:r>
            <w:r>
              <w:rPr>
                <w:spacing w:val="-6"/>
                <w:sz w:val="20"/>
              </w:rPr>
              <w:t> </w:t>
            </w:r>
            <w:r>
              <w:rPr>
                <w:sz w:val="20"/>
              </w:rPr>
              <w:t>a</w:t>
            </w:r>
            <w:r>
              <w:rPr>
                <w:spacing w:val="-7"/>
                <w:sz w:val="20"/>
              </w:rPr>
              <w:t> </w:t>
            </w:r>
            <w:r>
              <w:rPr>
                <w:sz w:val="20"/>
              </w:rPr>
              <w:t>las</w:t>
            </w:r>
            <w:r>
              <w:rPr>
                <w:spacing w:val="-6"/>
                <w:sz w:val="20"/>
              </w:rPr>
              <w:t> </w:t>
            </w:r>
            <w:r>
              <w:rPr>
                <w:sz w:val="20"/>
              </w:rPr>
              <w:t>Tablas</w:t>
            </w:r>
            <w:r>
              <w:rPr>
                <w:spacing w:val="-5"/>
                <w:sz w:val="20"/>
              </w:rPr>
              <w:t> </w:t>
            </w:r>
            <w:r>
              <w:rPr>
                <w:sz w:val="20"/>
              </w:rPr>
              <w:t>VIII</w:t>
            </w:r>
            <w:r>
              <w:rPr>
                <w:spacing w:val="-3"/>
                <w:sz w:val="20"/>
              </w:rPr>
              <w:t> </w:t>
            </w:r>
            <w:r>
              <w:rPr>
                <w:sz w:val="20"/>
              </w:rPr>
              <w:t>y</w:t>
            </w:r>
            <w:r>
              <w:rPr>
                <w:spacing w:val="-7"/>
                <w:sz w:val="20"/>
              </w:rPr>
              <w:t> </w:t>
            </w:r>
            <w:r>
              <w:rPr>
                <w:spacing w:val="-5"/>
                <w:sz w:val="20"/>
              </w:rPr>
              <w:t>IX.</w:t>
            </w:r>
          </w:p>
        </w:tc>
        <w:tc>
          <w:tcPr>
            <w:tcW w:w="1882" w:type="dxa"/>
          </w:tcPr>
          <w:p>
            <w:pPr>
              <w:pStyle w:val="TableParagraph"/>
              <w:spacing w:line="207" w:lineRule="exact"/>
              <w:ind w:left="14"/>
              <w:rPr>
                <w:sz w:val="20"/>
              </w:rPr>
            </w:pPr>
            <w:r>
              <w:rPr>
                <w:spacing w:val="-2"/>
                <w:sz w:val="20"/>
              </w:rPr>
              <w:t>-</w:t>
            </w:r>
            <w:r>
              <w:rPr>
                <w:spacing w:val="-12"/>
                <w:sz w:val="20"/>
              </w:rPr>
              <w:t>-</w:t>
            </w:r>
          </w:p>
        </w:tc>
      </w:tr>
    </w:tbl>
    <w:p>
      <w:pPr>
        <w:pStyle w:val="BodyText"/>
        <w:spacing w:before="2"/>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30"/>
        <w:gridCol w:w="5154"/>
        <w:gridCol w:w="1438"/>
        <w:gridCol w:w="1627"/>
      </w:tblGrid>
      <w:tr>
        <w:trPr>
          <w:trHeight w:val="688" w:hRule="atLeast"/>
        </w:trPr>
        <w:tc>
          <w:tcPr>
            <w:tcW w:w="9549" w:type="dxa"/>
            <w:gridSpan w:val="4"/>
            <w:shd w:val="clear" w:color="auto" w:fill="C0C0C0"/>
          </w:tcPr>
          <w:p>
            <w:pPr>
              <w:pStyle w:val="TableParagraph"/>
              <w:spacing w:line="227" w:lineRule="exact"/>
              <w:ind w:left="11"/>
              <w:rPr>
                <w:rFonts w:ascii="Arial"/>
                <w:b/>
                <w:sz w:val="20"/>
              </w:rPr>
            </w:pPr>
            <w:r>
              <w:rPr>
                <w:rFonts w:ascii="Arial"/>
                <w:b/>
                <w:sz w:val="20"/>
              </w:rPr>
              <w:t>Tabla</w:t>
            </w:r>
            <w:r>
              <w:rPr>
                <w:rFonts w:ascii="Arial"/>
                <w:b/>
                <w:spacing w:val="-8"/>
                <w:sz w:val="20"/>
              </w:rPr>
              <w:t> </w:t>
            </w:r>
            <w:r>
              <w:rPr>
                <w:rFonts w:ascii="Arial"/>
                <w:b/>
                <w:spacing w:val="-4"/>
                <w:sz w:val="20"/>
              </w:rPr>
              <w:t>VIII</w:t>
            </w:r>
          </w:p>
          <w:p>
            <w:pPr>
              <w:pStyle w:val="TableParagraph"/>
              <w:spacing w:line="213" w:lineRule="exact" w:before="228"/>
              <w:ind w:left="11" w:right="5"/>
              <w:rPr>
                <w:rFonts w:ascii="Arial" w:hAnsi="Arial"/>
                <w:b/>
                <w:sz w:val="20"/>
              </w:rPr>
            </w:pPr>
            <w:r>
              <w:rPr>
                <w:rFonts w:ascii="Arial" w:hAnsi="Arial"/>
                <w:b/>
                <w:sz w:val="20"/>
              </w:rPr>
              <w:t>Clasificación</w:t>
            </w:r>
            <w:r>
              <w:rPr>
                <w:rFonts w:ascii="Arial" w:hAnsi="Arial"/>
                <w:b/>
                <w:spacing w:val="-8"/>
                <w:sz w:val="20"/>
              </w:rPr>
              <w:t> </w:t>
            </w:r>
            <w:r>
              <w:rPr>
                <w:rFonts w:ascii="Arial" w:hAnsi="Arial"/>
                <w:b/>
                <w:sz w:val="20"/>
              </w:rPr>
              <w:t>de</w:t>
            </w:r>
            <w:r>
              <w:rPr>
                <w:rFonts w:ascii="Arial" w:hAnsi="Arial"/>
                <w:b/>
                <w:spacing w:val="-9"/>
                <w:sz w:val="20"/>
              </w:rPr>
              <w:t> </w:t>
            </w:r>
            <w:r>
              <w:rPr>
                <w:rFonts w:ascii="Arial" w:hAnsi="Arial"/>
                <w:b/>
                <w:sz w:val="20"/>
              </w:rPr>
              <w:t>estadios</w:t>
            </w:r>
            <w:r>
              <w:rPr>
                <w:rFonts w:ascii="Arial" w:hAnsi="Arial"/>
                <w:b/>
                <w:spacing w:val="-6"/>
                <w:sz w:val="20"/>
              </w:rPr>
              <w:t> </w:t>
            </w:r>
            <w:r>
              <w:rPr>
                <w:rFonts w:ascii="Arial" w:hAnsi="Arial"/>
                <w:b/>
                <w:sz w:val="20"/>
              </w:rPr>
              <w:t>de</w:t>
            </w:r>
            <w:r>
              <w:rPr>
                <w:rFonts w:ascii="Arial" w:hAnsi="Arial"/>
                <w:b/>
                <w:spacing w:val="-9"/>
                <w:sz w:val="20"/>
              </w:rPr>
              <w:t> </w:t>
            </w:r>
            <w:r>
              <w:rPr>
                <w:rFonts w:ascii="Arial" w:hAnsi="Arial"/>
                <w:b/>
                <w:sz w:val="20"/>
              </w:rPr>
              <w:t>la</w:t>
            </w:r>
            <w:r>
              <w:rPr>
                <w:rFonts w:ascii="Arial" w:hAnsi="Arial"/>
                <w:b/>
                <w:spacing w:val="-8"/>
                <w:sz w:val="20"/>
              </w:rPr>
              <w:t> </w:t>
            </w:r>
            <w:r>
              <w:rPr>
                <w:rFonts w:ascii="Arial" w:hAnsi="Arial"/>
                <w:b/>
                <w:sz w:val="20"/>
              </w:rPr>
              <w:t>insuficiencia</w:t>
            </w:r>
            <w:r>
              <w:rPr>
                <w:rFonts w:ascii="Arial" w:hAnsi="Arial"/>
                <w:b/>
                <w:spacing w:val="-9"/>
                <w:sz w:val="20"/>
              </w:rPr>
              <w:t> </w:t>
            </w:r>
            <w:r>
              <w:rPr>
                <w:rFonts w:ascii="Arial" w:hAnsi="Arial"/>
                <w:b/>
                <w:spacing w:val="-2"/>
                <w:sz w:val="20"/>
              </w:rPr>
              <w:t>hepática</w:t>
            </w:r>
          </w:p>
        </w:tc>
      </w:tr>
      <w:tr>
        <w:trPr>
          <w:trHeight w:val="460" w:hRule="atLeast"/>
        </w:trPr>
        <w:tc>
          <w:tcPr>
            <w:tcW w:w="1330" w:type="dxa"/>
            <w:shd w:val="clear" w:color="auto" w:fill="C0C0C0"/>
          </w:tcPr>
          <w:p>
            <w:pPr>
              <w:pStyle w:val="TableParagraph"/>
              <w:spacing w:line="240" w:lineRule="auto" w:before="112"/>
              <w:ind w:left="14" w:right="6"/>
              <w:rPr>
                <w:rFonts w:ascii="Arial"/>
                <w:b/>
                <w:sz w:val="20"/>
              </w:rPr>
            </w:pPr>
            <w:r>
              <w:rPr>
                <w:rFonts w:ascii="Arial"/>
                <w:b/>
                <w:spacing w:val="-2"/>
                <w:sz w:val="20"/>
              </w:rPr>
              <w:t>Estadio</w:t>
            </w:r>
          </w:p>
        </w:tc>
        <w:tc>
          <w:tcPr>
            <w:tcW w:w="5154" w:type="dxa"/>
            <w:shd w:val="clear" w:color="auto" w:fill="C0C0C0"/>
          </w:tcPr>
          <w:p>
            <w:pPr>
              <w:pStyle w:val="TableParagraph"/>
              <w:spacing w:line="240" w:lineRule="auto" w:before="112"/>
              <w:ind w:left="10"/>
              <w:rPr>
                <w:rFonts w:ascii="Arial" w:hAnsi="Arial"/>
                <w:b/>
                <w:sz w:val="20"/>
              </w:rPr>
            </w:pPr>
            <w:r>
              <w:rPr>
                <w:rFonts w:ascii="Arial" w:hAnsi="Arial"/>
                <w:b/>
                <w:spacing w:val="-2"/>
                <w:sz w:val="20"/>
              </w:rPr>
              <w:t>Descripción</w:t>
            </w:r>
          </w:p>
        </w:tc>
        <w:tc>
          <w:tcPr>
            <w:tcW w:w="1438" w:type="dxa"/>
            <w:shd w:val="clear" w:color="auto" w:fill="C0C0C0"/>
          </w:tcPr>
          <w:p>
            <w:pPr>
              <w:pStyle w:val="TableParagraph"/>
              <w:spacing w:line="230" w:lineRule="exact"/>
              <w:ind w:left="183" w:right="92" w:hanging="84"/>
              <w:jc w:val="left"/>
              <w:rPr>
                <w:rFonts w:ascii="Arial" w:hAnsi="Arial"/>
                <w:b/>
                <w:sz w:val="20"/>
              </w:rPr>
            </w:pPr>
            <w:r>
              <w:rPr>
                <w:rFonts w:ascii="Arial" w:hAnsi="Arial"/>
                <w:b/>
                <w:spacing w:val="-2"/>
                <w:sz w:val="20"/>
              </w:rPr>
              <w:t>Clasificación Child-Pugh</w:t>
            </w:r>
          </w:p>
        </w:tc>
        <w:tc>
          <w:tcPr>
            <w:tcW w:w="1627" w:type="dxa"/>
            <w:shd w:val="clear" w:color="auto" w:fill="C0C0C0"/>
          </w:tcPr>
          <w:p>
            <w:pPr>
              <w:pStyle w:val="TableParagraph"/>
              <w:spacing w:line="230" w:lineRule="exact"/>
              <w:ind w:left="527" w:right="334" w:hanging="178"/>
              <w:jc w:val="left"/>
              <w:rPr>
                <w:rFonts w:ascii="Arial"/>
                <w:b/>
                <w:sz w:val="20"/>
              </w:rPr>
            </w:pPr>
            <w:r>
              <w:rPr>
                <w:rFonts w:ascii="Arial"/>
                <w:b/>
                <w:sz w:val="20"/>
              </w:rPr>
              <w:t>Escala</w:t>
            </w:r>
            <w:r>
              <w:rPr>
                <w:rFonts w:ascii="Arial"/>
                <w:b/>
                <w:spacing w:val="-14"/>
                <w:sz w:val="20"/>
              </w:rPr>
              <w:t> </w:t>
            </w:r>
            <w:r>
              <w:rPr>
                <w:rFonts w:ascii="Arial"/>
                <w:b/>
                <w:sz w:val="20"/>
              </w:rPr>
              <w:t>de </w:t>
            </w:r>
            <w:r>
              <w:rPr>
                <w:rFonts w:ascii="Arial"/>
                <w:b/>
                <w:spacing w:val="-4"/>
                <w:sz w:val="20"/>
              </w:rPr>
              <w:t>MELD</w:t>
            </w:r>
          </w:p>
        </w:tc>
      </w:tr>
      <w:tr>
        <w:trPr>
          <w:trHeight w:val="460" w:hRule="atLeast"/>
        </w:trPr>
        <w:tc>
          <w:tcPr>
            <w:tcW w:w="1330" w:type="dxa"/>
          </w:tcPr>
          <w:p>
            <w:pPr>
              <w:pStyle w:val="TableParagraph"/>
              <w:spacing w:line="227" w:lineRule="exact"/>
              <w:ind w:left="14"/>
              <w:rPr>
                <w:rFonts w:ascii="Arial"/>
                <w:b/>
                <w:sz w:val="20"/>
              </w:rPr>
            </w:pPr>
            <w:r>
              <w:rPr>
                <w:rFonts w:ascii="Arial"/>
                <w:b/>
                <w:spacing w:val="-10"/>
                <w:sz w:val="20"/>
              </w:rPr>
              <w:t>1</w:t>
            </w:r>
          </w:p>
        </w:tc>
        <w:tc>
          <w:tcPr>
            <w:tcW w:w="5154" w:type="dxa"/>
          </w:tcPr>
          <w:p>
            <w:pPr>
              <w:pStyle w:val="TableParagraph"/>
              <w:numPr>
                <w:ilvl w:val="0"/>
                <w:numId w:val="190"/>
              </w:numPr>
              <w:tabs>
                <w:tab w:pos="431" w:val="left" w:leader="none"/>
                <w:tab w:pos="2767" w:val="left" w:leader="none"/>
                <w:tab w:pos="4246" w:val="left" w:leader="none"/>
              </w:tabs>
              <w:spacing w:line="230" w:lineRule="exact" w:before="0" w:after="0"/>
              <w:ind w:left="431" w:right="60" w:hanging="360"/>
              <w:jc w:val="left"/>
              <w:rPr>
                <w:sz w:val="20"/>
              </w:rPr>
            </w:pPr>
            <w:r>
              <w:rPr>
                <w:sz w:val="20"/>
              </w:rPr>
              <w:t>Alteraciones persistentes de la bioquímica hepática </w:t>
            </w:r>
            <w:r>
              <w:rPr>
                <w:spacing w:val="-2"/>
                <w:sz w:val="20"/>
              </w:rPr>
              <w:t>(aminotransferasas,</w:t>
            </w:r>
            <w:r>
              <w:rPr>
                <w:sz w:val="20"/>
              </w:rPr>
              <w:tab/>
            </w:r>
            <w:r>
              <w:rPr>
                <w:spacing w:val="-2"/>
                <w:sz w:val="20"/>
              </w:rPr>
              <w:t>fosfatasas</w:t>
            </w:r>
            <w:r>
              <w:rPr>
                <w:sz w:val="20"/>
              </w:rPr>
              <w:tab/>
            </w:r>
            <w:r>
              <w:rPr>
                <w:spacing w:val="-2"/>
                <w:sz w:val="20"/>
              </w:rPr>
              <w:t>alcalinas,</w:t>
            </w:r>
          </w:p>
        </w:tc>
        <w:tc>
          <w:tcPr>
            <w:tcW w:w="1438" w:type="dxa"/>
          </w:tcPr>
          <w:p>
            <w:pPr>
              <w:pStyle w:val="TableParagraph"/>
              <w:spacing w:line="229" w:lineRule="exact"/>
              <w:ind w:left="10"/>
              <w:rPr>
                <w:sz w:val="20"/>
              </w:rPr>
            </w:pPr>
            <w:r>
              <w:rPr>
                <w:spacing w:val="-2"/>
                <w:sz w:val="20"/>
              </w:rPr>
              <w:t>-</w:t>
            </w:r>
            <w:r>
              <w:rPr>
                <w:spacing w:val="-12"/>
                <w:sz w:val="20"/>
              </w:rPr>
              <w:t>-</w:t>
            </w:r>
          </w:p>
        </w:tc>
        <w:tc>
          <w:tcPr>
            <w:tcW w:w="1627" w:type="dxa"/>
          </w:tcPr>
          <w:p>
            <w:pPr>
              <w:pStyle w:val="TableParagraph"/>
              <w:spacing w:line="229" w:lineRule="exact"/>
              <w:ind w:left="9"/>
              <w:rPr>
                <w:sz w:val="20"/>
              </w:rPr>
            </w:pPr>
            <w:r>
              <w:rPr>
                <w:spacing w:val="-2"/>
                <w:sz w:val="20"/>
              </w:rPr>
              <w:t>0-</w:t>
            </w:r>
            <w:r>
              <w:rPr>
                <w:spacing w:val="-10"/>
                <w:sz w:val="20"/>
              </w:rPr>
              <w:t>9</w:t>
            </w:r>
          </w:p>
        </w:tc>
      </w:tr>
    </w:tbl>
    <w:p>
      <w:pPr>
        <w:pStyle w:val="TableParagraph"/>
        <w:spacing w:after="0" w:line="229" w:lineRule="exact"/>
        <w:rPr>
          <w:sz w:val="20"/>
        </w:rPr>
        <w:sectPr>
          <w:pgSz w:w="12240" w:h="15840"/>
          <w:pgMar w:header="724" w:footer="712" w:top="1880" w:bottom="900" w:left="1080" w:right="1080"/>
        </w:sectPr>
      </w:pPr>
    </w:p>
    <w:p>
      <w:pPr>
        <w:pStyle w:val="BodyText"/>
        <w:spacing w:before="68"/>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30"/>
        <w:gridCol w:w="5154"/>
        <w:gridCol w:w="1438"/>
        <w:gridCol w:w="1627"/>
      </w:tblGrid>
      <w:tr>
        <w:trPr>
          <w:trHeight w:val="688" w:hRule="atLeast"/>
        </w:trPr>
        <w:tc>
          <w:tcPr>
            <w:tcW w:w="1330" w:type="dxa"/>
          </w:tcPr>
          <w:p>
            <w:pPr>
              <w:pStyle w:val="TableParagraph"/>
              <w:spacing w:line="240" w:lineRule="auto"/>
              <w:ind w:left="0"/>
              <w:jc w:val="left"/>
              <w:rPr>
                <w:rFonts w:ascii="Times New Roman"/>
                <w:sz w:val="18"/>
              </w:rPr>
            </w:pPr>
          </w:p>
        </w:tc>
        <w:tc>
          <w:tcPr>
            <w:tcW w:w="5154" w:type="dxa"/>
          </w:tcPr>
          <w:p>
            <w:pPr>
              <w:pStyle w:val="TableParagraph"/>
              <w:spacing w:line="229" w:lineRule="exact"/>
              <w:ind w:left="431"/>
              <w:jc w:val="left"/>
              <w:rPr>
                <w:sz w:val="20"/>
              </w:rPr>
            </w:pPr>
            <w:r>
              <w:rPr>
                <w:sz w:val="20"/>
              </w:rPr>
              <w:t>bilirrubinas,</w:t>
            </w:r>
            <w:r>
              <w:rPr>
                <w:spacing w:val="-10"/>
                <w:sz w:val="20"/>
              </w:rPr>
              <w:t> </w:t>
            </w:r>
            <w:r>
              <w:rPr>
                <w:sz w:val="20"/>
              </w:rPr>
              <w:t>albumina,</w:t>
            </w:r>
            <w:r>
              <w:rPr>
                <w:spacing w:val="-11"/>
                <w:sz w:val="20"/>
              </w:rPr>
              <w:t> </w:t>
            </w:r>
            <w:r>
              <w:rPr>
                <w:sz w:val="20"/>
              </w:rPr>
              <w:t>tiempos</w:t>
            </w:r>
            <w:r>
              <w:rPr>
                <w:spacing w:val="-11"/>
                <w:sz w:val="20"/>
              </w:rPr>
              <w:t> </w:t>
            </w:r>
            <w:r>
              <w:rPr>
                <w:sz w:val="20"/>
              </w:rPr>
              <w:t>de</w:t>
            </w:r>
            <w:r>
              <w:rPr>
                <w:spacing w:val="-12"/>
                <w:sz w:val="20"/>
              </w:rPr>
              <w:t> </w:t>
            </w:r>
            <w:r>
              <w:rPr>
                <w:spacing w:val="-2"/>
                <w:sz w:val="20"/>
              </w:rPr>
              <w:t>coagulación).</w:t>
            </w:r>
          </w:p>
          <w:p>
            <w:pPr>
              <w:pStyle w:val="TableParagraph"/>
              <w:numPr>
                <w:ilvl w:val="0"/>
                <w:numId w:val="191"/>
              </w:numPr>
              <w:tabs>
                <w:tab w:pos="431" w:val="left" w:leader="none"/>
              </w:tabs>
              <w:spacing w:line="229" w:lineRule="exact" w:before="0" w:after="0"/>
              <w:ind w:left="431" w:right="0" w:hanging="360"/>
              <w:jc w:val="left"/>
              <w:rPr>
                <w:sz w:val="20"/>
              </w:rPr>
            </w:pPr>
            <w:r>
              <w:rPr>
                <w:sz w:val="20"/>
              </w:rPr>
              <w:t>Ausencia</w:t>
            </w:r>
            <w:r>
              <w:rPr>
                <w:spacing w:val="-9"/>
                <w:sz w:val="20"/>
              </w:rPr>
              <w:t> </w:t>
            </w:r>
            <w:r>
              <w:rPr>
                <w:sz w:val="20"/>
              </w:rPr>
              <w:t>de</w:t>
            </w:r>
            <w:r>
              <w:rPr>
                <w:spacing w:val="-6"/>
                <w:sz w:val="20"/>
              </w:rPr>
              <w:t> </w:t>
            </w:r>
            <w:r>
              <w:rPr>
                <w:sz w:val="20"/>
              </w:rPr>
              <w:t>varices</w:t>
            </w:r>
            <w:r>
              <w:rPr>
                <w:spacing w:val="-7"/>
                <w:sz w:val="20"/>
              </w:rPr>
              <w:t> </w:t>
            </w:r>
            <w:r>
              <w:rPr>
                <w:sz w:val="20"/>
              </w:rPr>
              <w:t>esofágicas,</w:t>
            </w:r>
            <w:r>
              <w:rPr>
                <w:spacing w:val="-6"/>
                <w:sz w:val="20"/>
              </w:rPr>
              <w:t> </w:t>
            </w:r>
            <w:r>
              <w:rPr>
                <w:spacing w:val="-10"/>
                <w:sz w:val="20"/>
              </w:rPr>
              <w:t>y</w:t>
            </w:r>
          </w:p>
          <w:p>
            <w:pPr>
              <w:pStyle w:val="TableParagraph"/>
              <w:numPr>
                <w:ilvl w:val="0"/>
                <w:numId w:val="191"/>
              </w:numPr>
              <w:tabs>
                <w:tab w:pos="431" w:val="left" w:leader="none"/>
              </w:tabs>
              <w:spacing w:line="210" w:lineRule="exact" w:before="0" w:after="0"/>
              <w:ind w:left="431" w:right="0" w:hanging="360"/>
              <w:jc w:val="left"/>
              <w:rPr>
                <w:sz w:val="20"/>
              </w:rPr>
            </w:pPr>
            <w:r>
              <w:rPr>
                <w:sz w:val="20"/>
              </w:rPr>
              <w:t>Ausencia</w:t>
            </w:r>
            <w:r>
              <w:rPr>
                <w:spacing w:val="-7"/>
                <w:sz w:val="20"/>
              </w:rPr>
              <w:t> </w:t>
            </w:r>
            <w:r>
              <w:rPr>
                <w:sz w:val="20"/>
              </w:rPr>
              <w:t>de</w:t>
            </w:r>
            <w:r>
              <w:rPr>
                <w:spacing w:val="-6"/>
                <w:sz w:val="20"/>
              </w:rPr>
              <w:t> </w:t>
            </w:r>
            <w:r>
              <w:rPr>
                <w:spacing w:val="-2"/>
                <w:sz w:val="20"/>
              </w:rPr>
              <w:t>ascitis.</w:t>
            </w:r>
          </w:p>
        </w:tc>
        <w:tc>
          <w:tcPr>
            <w:tcW w:w="1438" w:type="dxa"/>
          </w:tcPr>
          <w:p>
            <w:pPr>
              <w:pStyle w:val="TableParagraph"/>
              <w:spacing w:line="240" w:lineRule="auto"/>
              <w:ind w:left="0"/>
              <w:jc w:val="left"/>
              <w:rPr>
                <w:rFonts w:ascii="Times New Roman"/>
                <w:sz w:val="18"/>
              </w:rPr>
            </w:pPr>
          </w:p>
        </w:tc>
        <w:tc>
          <w:tcPr>
            <w:tcW w:w="1627" w:type="dxa"/>
          </w:tcPr>
          <w:p>
            <w:pPr>
              <w:pStyle w:val="TableParagraph"/>
              <w:spacing w:line="240" w:lineRule="auto"/>
              <w:ind w:left="0"/>
              <w:jc w:val="left"/>
              <w:rPr>
                <w:rFonts w:ascii="Times New Roman"/>
                <w:sz w:val="18"/>
              </w:rPr>
            </w:pPr>
          </w:p>
        </w:tc>
      </w:tr>
      <w:tr>
        <w:trPr>
          <w:trHeight w:val="2762" w:hRule="atLeast"/>
        </w:trPr>
        <w:tc>
          <w:tcPr>
            <w:tcW w:w="1330" w:type="dxa"/>
          </w:tcPr>
          <w:p>
            <w:pPr>
              <w:pStyle w:val="TableParagraph"/>
              <w:spacing w:line="227" w:lineRule="exact"/>
              <w:ind w:left="14"/>
              <w:rPr>
                <w:rFonts w:ascii="Arial"/>
                <w:b/>
                <w:sz w:val="20"/>
              </w:rPr>
            </w:pPr>
            <w:r>
              <w:rPr>
                <w:rFonts w:ascii="Arial"/>
                <w:b/>
                <w:spacing w:val="-10"/>
                <w:sz w:val="20"/>
              </w:rPr>
              <w:t>2</w:t>
            </w:r>
          </w:p>
        </w:tc>
        <w:tc>
          <w:tcPr>
            <w:tcW w:w="5154" w:type="dxa"/>
          </w:tcPr>
          <w:p>
            <w:pPr>
              <w:pStyle w:val="TableParagraph"/>
              <w:numPr>
                <w:ilvl w:val="0"/>
                <w:numId w:val="192"/>
              </w:numPr>
              <w:tabs>
                <w:tab w:pos="431" w:val="left" w:leader="none"/>
              </w:tabs>
              <w:spacing w:line="229" w:lineRule="exact" w:before="0" w:after="0"/>
              <w:ind w:left="431" w:right="0" w:hanging="360"/>
              <w:jc w:val="left"/>
              <w:rPr>
                <w:sz w:val="20"/>
              </w:rPr>
            </w:pPr>
            <w:r>
              <w:rPr>
                <w:sz w:val="20"/>
              </w:rPr>
              <w:t>Cumple</w:t>
            </w:r>
            <w:r>
              <w:rPr>
                <w:spacing w:val="-6"/>
                <w:sz w:val="20"/>
              </w:rPr>
              <w:t> </w:t>
            </w:r>
            <w:r>
              <w:rPr>
                <w:sz w:val="20"/>
              </w:rPr>
              <w:t>los</w:t>
            </w:r>
            <w:r>
              <w:rPr>
                <w:spacing w:val="-4"/>
                <w:sz w:val="20"/>
              </w:rPr>
              <w:t> </w:t>
            </w:r>
            <w:r>
              <w:rPr>
                <w:sz w:val="20"/>
              </w:rPr>
              <w:t>criterios</w:t>
            </w:r>
            <w:r>
              <w:rPr>
                <w:spacing w:val="-5"/>
                <w:sz w:val="20"/>
              </w:rPr>
              <w:t> </w:t>
            </w:r>
            <w:r>
              <w:rPr>
                <w:sz w:val="20"/>
              </w:rPr>
              <w:t>de</w:t>
            </w:r>
            <w:r>
              <w:rPr>
                <w:spacing w:val="-5"/>
                <w:sz w:val="20"/>
              </w:rPr>
              <w:t> </w:t>
            </w:r>
            <w:r>
              <w:rPr>
                <w:sz w:val="20"/>
              </w:rPr>
              <w:t>la</w:t>
            </w:r>
            <w:r>
              <w:rPr>
                <w:spacing w:val="-5"/>
                <w:sz w:val="20"/>
              </w:rPr>
              <w:t> </w:t>
            </w:r>
            <w:r>
              <w:rPr>
                <w:sz w:val="20"/>
              </w:rPr>
              <w:t>clase</w:t>
            </w:r>
            <w:r>
              <w:rPr>
                <w:spacing w:val="-5"/>
                <w:sz w:val="20"/>
              </w:rPr>
              <w:t> 1.</w:t>
            </w:r>
          </w:p>
          <w:p>
            <w:pPr>
              <w:pStyle w:val="TableParagraph"/>
              <w:numPr>
                <w:ilvl w:val="0"/>
                <w:numId w:val="192"/>
              </w:numPr>
              <w:tabs>
                <w:tab w:pos="431" w:val="left" w:leader="none"/>
              </w:tabs>
              <w:spacing w:line="240" w:lineRule="auto" w:before="0" w:after="0"/>
              <w:ind w:left="431" w:right="0" w:hanging="360"/>
              <w:jc w:val="left"/>
              <w:rPr>
                <w:sz w:val="20"/>
              </w:rPr>
            </w:pPr>
            <w:r>
              <w:rPr>
                <w:sz w:val="20"/>
              </w:rPr>
              <w:t>Presencia</w:t>
            </w:r>
            <w:r>
              <w:rPr>
                <w:spacing w:val="-8"/>
                <w:sz w:val="20"/>
              </w:rPr>
              <w:t> </w:t>
            </w:r>
            <w:r>
              <w:rPr>
                <w:sz w:val="20"/>
              </w:rPr>
              <w:t>de</w:t>
            </w:r>
            <w:r>
              <w:rPr>
                <w:spacing w:val="-5"/>
                <w:sz w:val="20"/>
              </w:rPr>
              <w:t> </w:t>
            </w:r>
            <w:r>
              <w:rPr>
                <w:sz w:val="20"/>
              </w:rPr>
              <w:t>varices</w:t>
            </w:r>
            <w:r>
              <w:rPr>
                <w:spacing w:val="-7"/>
                <w:sz w:val="20"/>
              </w:rPr>
              <w:t> </w:t>
            </w:r>
            <w:r>
              <w:rPr>
                <w:spacing w:val="-2"/>
                <w:sz w:val="20"/>
              </w:rPr>
              <w:t>esofágicas.</w:t>
            </w:r>
          </w:p>
          <w:p>
            <w:pPr>
              <w:pStyle w:val="TableParagraph"/>
              <w:numPr>
                <w:ilvl w:val="0"/>
                <w:numId w:val="192"/>
              </w:numPr>
              <w:tabs>
                <w:tab w:pos="431" w:val="left" w:leader="none"/>
              </w:tabs>
              <w:spacing w:line="240" w:lineRule="auto" w:before="1" w:after="0"/>
              <w:ind w:left="431" w:right="0" w:hanging="360"/>
              <w:jc w:val="left"/>
              <w:rPr>
                <w:sz w:val="20"/>
              </w:rPr>
            </w:pPr>
            <w:r>
              <w:rPr>
                <w:sz w:val="20"/>
              </w:rPr>
              <w:t>Ausencia</w:t>
            </w:r>
            <w:r>
              <w:rPr>
                <w:spacing w:val="-7"/>
                <w:sz w:val="20"/>
              </w:rPr>
              <w:t> </w:t>
            </w:r>
            <w:r>
              <w:rPr>
                <w:sz w:val="20"/>
              </w:rPr>
              <w:t>de</w:t>
            </w:r>
            <w:r>
              <w:rPr>
                <w:spacing w:val="-6"/>
                <w:sz w:val="20"/>
              </w:rPr>
              <w:t> </w:t>
            </w:r>
            <w:r>
              <w:rPr>
                <w:spacing w:val="-2"/>
                <w:sz w:val="20"/>
              </w:rPr>
              <w:t>Ascitis.</w:t>
            </w:r>
          </w:p>
          <w:p>
            <w:pPr>
              <w:pStyle w:val="TableParagraph"/>
              <w:numPr>
                <w:ilvl w:val="0"/>
                <w:numId w:val="192"/>
              </w:numPr>
              <w:tabs>
                <w:tab w:pos="431" w:val="left" w:leader="none"/>
              </w:tabs>
              <w:spacing w:line="240" w:lineRule="auto" w:before="0" w:after="0"/>
              <w:ind w:left="431" w:right="60" w:hanging="360"/>
              <w:jc w:val="both"/>
              <w:rPr>
                <w:sz w:val="20"/>
              </w:rPr>
            </w:pPr>
            <w:r>
              <w:rPr>
                <w:sz w:val="20"/>
              </w:rPr>
              <w:t>Ausencia de hemorragia digestiva o historia de hemorragia digestiva.</w:t>
            </w:r>
          </w:p>
          <w:p>
            <w:pPr>
              <w:pStyle w:val="TableParagraph"/>
              <w:numPr>
                <w:ilvl w:val="0"/>
                <w:numId w:val="192"/>
              </w:numPr>
              <w:tabs>
                <w:tab w:pos="431" w:val="left" w:leader="none"/>
              </w:tabs>
              <w:spacing w:line="240" w:lineRule="auto" w:before="1" w:after="0"/>
              <w:ind w:left="431" w:right="58" w:hanging="360"/>
              <w:jc w:val="both"/>
              <w:rPr>
                <w:sz w:val="20"/>
              </w:rPr>
            </w:pPr>
            <w:r>
              <w:rPr>
                <w:sz w:val="20"/>
              </w:rPr>
              <w:t>Evidencia anatomopatológica o imagenológica de lesiones cirrógenas (hepatitis crónica activa, esteatohepatitis, fibrosis portal o fibrosis </w:t>
            </w:r>
            <w:r>
              <w:rPr>
                <w:spacing w:val="-2"/>
                <w:sz w:val="20"/>
              </w:rPr>
              <w:t>centrolobulillar).</w:t>
            </w:r>
          </w:p>
          <w:p>
            <w:pPr>
              <w:pStyle w:val="TableParagraph"/>
              <w:numPr>
                <w:ilvl w:val="0"/>
                <w:numId w:val="192"/>
              </w:numPr>
              <w:tabs>
                <w:tab w:pos="431" w:val="left" w:leader="none"/>
              </w:tabs>
              <w:spacing w:line="230" w:lineRule="exact" w:before="0" w:after="0"/>
              <w:ind w:left="431" w:right="59" w:hanging="360"/>
              <w:jc w:val="both"/>
              <w:rPr>
                <w:sz w:val="20"/>
              </w:rPr>
            </w:pPr>
            <w:r>
              <w:rPr>
                <w:sz w:val="20"/>
              </w:rPr>
              <w:t>Requiere tratamiento con corticoides inmunosupresores o con inmunomoduladores de manera continuada.</w:t>
            </w:r>
          </w:p>
        </w:tc>
        <w:tc>
          <w:tcPr>
            <w:tcW w:w="1438" w:type="dxa"/>
          </w:tcPr>
          <w:p>
            <w:pPr>
              <w:pStyle w:val="TableParagraph"/>
              <w:spacing w:line="229" w:lineRule="exact"/>
              <w:ind w:left="10" w:right="2"/>
              <w:rPr>
                <w:sz w:val="20"/>
              </w:rPr>
            </w:pPr>
            <w:r>
              <w:rPr>
                <w:sz w:val="20"/>
              </w:rPr>
              <w:t>Clase</w:t>
            </w:r>
            <w:r>
              <w:rPr>
                <w:spacing w:val="-7"/>
                <w:sz w:val="20"/>
              </w:rPr>
              <w:t> </w:t>
            </w:r>
            <w:r>
              <w:rPr>
                <w:spacing w:val="-10"/>
                <w:sz w:val="20"/>
              </w:rPr>
              <w:t>A</w:t>
            </w:r>
          </w:p>
        </w:tc>
        <w:tc>
          <w:tcPr>
            <w:tcW w:w="1627" w:type="dxa"/>
          </w:tcPr>
          <w:p>
            <w:pPr>
              <w:pStyle w:val="TableParagraph"/>
              <w:spacing w:line="229" w:lineRule="exact"/>
              <w:ind w:left="9" w:right="1"/>
              <w:rPr>
                <w:sz w:val="20"/>
              </w:rPr>
            </w:pPr>
            <w:r>
              <w:rPr>
                <w:spacing w:val="-2"/>
                <w:sz w:val="20"/>
              </w:rPr>
              <w:t>10-</w:t>
            </w:r>
            <w:r>
              <w:rPr>
                <w:spacing w:val="-7"/>
                <w:sz w:val="20"/>
              </w:rPr>
              <w:t>19</w:t>
            </w:r>
          </w:p>
        </w:tc>
      </w:tr>
      <w:tr>
        <w:trPr>
          <w:trHeight w:val="1609" w:hRule="atLeast"/>
        </w:trPr>
        <w:tc>
          <w:tcPr>
            <w:tcW w:w="1330" w:type="dxa"/>
          </w:tcPr>
          <w:p>
            <w:pPr>
              <w:pStyle w:val="TableParagraph"/>
              <w:spacing w:line="227" w:lineRule="exact"/>
              <w:ind w:left="14"/>
              <w:rPr>
                <w:rFonts w:ascii="Arial"/>
                <w:b/>
                <w:sz w:val="20"/>
              </w:rPr>
            </w:pPr>
            <w:r>
              <w:rPr>
                <w:rFonts w:ascii="Arial"/>
                <w:b/>
                <w:spacing w:val="-10"/>
                <w:sz w:val="20"/>
              </w:rPr>
              <w:t>3</w:t>
            </w:r>
          </w:p>
        </w:tc>
        <w:tc>
          <w:tcPr>
            <w:tcW w:w="5154" w:type="dxa"/>
          </w:tcPr>
          <w:p>
            <w:pPr>
              <w:pStyle w:val="TableParagraph"/>
              <w:numPr>
                <w:ilvl w:val="0"/>
                <w:numId w:val="193"/>
              </w:numPr>
              <w:tabs>
                <w:tab w:pos="430" w:val="left" w:leader="none"/>
              </w:tabs>
              <w:spacing w:line="228" w:lineRule="exact" w:before="0" w:after="0"/>
              <w:ind w:left="430" w:right="0" w:hanging="359"/>
              <w:jc w:val="both"/>
              <w:rPr>
                <w:sz w:val="20"/>
              </w:rPr>
            </w:pPr>
            <w:r>
              <w:rPr>
                <w:sz w:val="20"/>
              </w:rPr>
              <w:t>Cumple</w:t>
            </w:r>
            <w:r>
              <w:rPr>
                <w:spacing w:val="-6"/>
                <w:sz w:val="20"/>
              </w:rPr>
              <w:t> </w:t>
            </w:r>
            <w:r>
              <w:rPr>
                <w:sz w:val="20"/>
              </w:rPr>
              <w:t>los</w:t>
            </w:r>
            <w:r>
              <w:rPr>
                <w:spacing w:val="-4"/>
                <w:sz w:val="20"/>
              </w:rPr>
              <w:t> </w:t>
            </w:r>
            <w:r>
              <w:rPr>
                <w:sz w:val="20"/>
              </w:rPr>
              <w:t>criterios</w:t>
            </w:r>
            <w:r>
              <w:rPr>
                <w:spacing w:val="-5"/>
                <w:sz w:val="20"/>
              </w:rPr>
              <w:t> </w:t>
            </w:r>
            <w:r>
              <w:rPr>
                <w:sz w:val="20"/>
              </w:rPr>
              <w:t>de</w:t>
            </w:r>
            <w:r>
              <w:rPr>
                <w:spacing w:val="-5"/>
                <w:sz w:val="20"/>
              </w:rPr>
              <w:t> </w:t>
            </w:r>
            <w:r>
              <w:rPr>
                <w:sz w:val="20"/>
              </w:rPr>
              <w:t>la</w:t>
            </w:r>
            <w:r>
              <w:rPr>
                <w:spacing w:val="-5"/>
                <w:sz w:val="20"/>
              </w:rPr>
              <w:t> </w:t>
            </w:r>
            <w:r>
              <w:rPr>
                <w:sz w:val="20"/>
              </w:rPr>
              <w:t>clase</w:t>
            </w:r>
            <w:r>
              <w:rPr>
                <w:spacing w:val="-5"/>
                <w:sz w:val="20"/>
              </w:rPr>
              <w:t> 2.</w:t>
            </w:r>
          </w:p>
          <w:p>
            <w:pPr>
              <w:pStyle w:val="TableParagraph"/>
              <w:numPr>
                <w:ilvl w:val="0"/>
                <w:numId w:val="193"/>
              </w:numPr>
              <w:tabs>
                <w:tab w:pos="430" w:val="left" w:leader="none"/>
              </w:tabs>
              <w:spacing w:line="229" w:lineRule="exact" w:before="0" w:after="0"/>
              <w:ind w:left="430" w:right="0" w:hanging="359"/>
              <w:jc w:val="both"/>
              <w:rPr>
                <w:sz w:val="20"/>
              </w:rPr>
            </w:pPr>
            <w:r>
              <w:rPr>
                <w:sz w:val="20"/>
              </w:rPr>
              <w:t>Presencia</w:t>
            </w:r>
            <w:r>
              <w:rPr>
                <w:spacing w:val="-7"/>
                <w:sz w:val="20"/>
              </w:rPr>
              <w:t> </w:t>
            </w:r>
            <w:r>
              <w:rPr>
                <w:sz w:val="20"/>
              </w:rPr>
              <w:t>de</w:t>
            </w:r>
            <w:r>
              <w:rPr>
                <w:spacing w:val="-4"/>
                <w:sz w:val="20"/>
              </w:rPr>
              <w:t> </w:t>
            </w:r>
            <w:r>
              <w:rPr>
                <w:sz w:val="20"/>
              </w:rPr>
              <w:t>ascitis</w:t>
            </w:r>
            <w:r>
              <w:rPr>
                <w:spacing w:val="-5"/>
                <w:sz w:val="20"/>
              </w:rPr>
              <w:t> </w:t>
            </w:r>
            <w:r>
              <w:rPr>
                <w:sz w:val="20"/>
              </w:rPr>
              <w:t>con</w:t>
            </w:r>
            <w:r>
              <w:rPr>
                <w:spacing w:val="-6"/>
                <w:sz w:val="20"/>
              </w:rPr>
              <w:t> </w:t>
            </w:r>
            <w:r>
              <w:rPr>
                <w:sz w:val="20"/>
              </w:rPr>
              <w:t>o</w:t>
            </w:r>
            <w:r>
              <w:rPr>
                <w:spacing w:val="-5"/>
                <w:sz w:val="20"/>
              </w:rPr>
              <w:t> </w:t>
            </w:r>
            <w:r>
              <w:rPr>
                <w:sz w:val="20"/>
              </w:rPr>
              <w:t>sin</w:t>
            </w:r>
            <w:r>
              <w:rPr>
                <w:spacing w:val="-6"/>
                <w:sz w:val="20"/>
              </w:rPr>
              <w:t> </w:t>
            </w:r>
            <w:r>
              <w:rPr>
                <w:sz w:val="20"/>
              </w:rPr>
              <w:t>varices</w:t>
            </w:r>
            <w:r>
              <w:rPr>
                <w:spacing w:val="-5"/>
                <w:sz w:val="20"/>
              </w:rPr>
              <w:t> </w:t>
            </w:r>
            <w:r>
              <w:rPr>
                <w:spacing w:val="-2"/>
                <w:sz w:val="20"/>
              </w:rPr>
              <w:t>esofágicas.</w:t>
            </w:r>
          </w:p>
          <w:p>
            <w:pPr>
              <w:pStyle w:val="TableParagraph"/>
              <w:numPr>
                <w:ilvl w:val="0"/>
                <w:numId w:val="193"/>
              </w:numPr>
              <w:tabs>
                <w:tab w:pos="431" w:val="left" w:leader="none"/>
              </w:tabs>
              <w:spacing w:line="240" w:lineRule="auto" w:before="0" w:after="0"/>
              <w:ind w:left="431" w:right="60" w:hanging="360"/>
              <w:jc w:val="both"/>
              <w:rPr>
                <w:sz w:val="20"/>
              </w:rPr>
            </w:pPr>
            <w:r>
              <w:rPr>
                <w:sz w:val="20"/>
              </w:rPr>
              <w:t>Ausencia de hemorragia digestiva o historia de hemorragia digestiva.</w:t>
            </w:r>
          </w:p>
          <w:p>
            <w:pPr>
              <w:pStyle w:val="TableParagraph"/>
              <w:numPr>
                <w:ilvl w:val="0"/>
                <w:numId w:val="193"/>
              </w:numPr>
              <w:tabs>
                <w:tab w:pos="431" w:val="left" w:leader="none"/>
              </w:tabs>
              <w:spacing w:line="230" w:lineRule="atLeast" w:before="0" w:after="0"/>
              <w:ind w:left="431" w:right="61" w:hanging="360"/>
              <w:jc w:val="both"/>
              <w:rPr>
                <w:sz w:val="20"/>
              </w:rPr>
            </w:pPr>
            <w:r>
              <w:rPr>
                <w:sz w:val="20"/>
              </w:rPr>
              <w:t>Síntomas de insuficiencia hepática, de hipertensión portal, no desencadenados por proceso agudo intercurrente, en los últimos dos años.</w:t>
            </w:r>
          </w:p>
        </w:tc>
        <w:tc>
          <w:tcPr>
            <w:tcW w:w="1438" w:type="dxa"/>
          </w:tcPr>
          <w:p>
            <w:pPr>
              <w:pStyle w:val="TableParagraph"/>
              <w:spacing w:line="229" w:lineRule="exact"/>
              <w:ind w:left="10" w:right="2"/>
              <w:rPr>
                <w:sz w:val="20"/>
              </w:rPr>
            </w:pPr>
            <w:r>
              <w:rPr>
                <w:sz w:val="20"/>
              </w:rPr>
              <w:t>Clase</w:t>
            </w:r>
            <w:r>
              <w:rPr>
                <w:spacing w:val="-7"/>
                <w:sz w:val="20"/>
              </w:rPr>
              <w:t> </w:t>
            </w:r>
            <w:r>
              <w:rPr>
                <w:spacing w:val="-10"/>
                <w:sz w:val="20"/>
              </w:rPr>
              <w:t>B</w:t>
            </w:r>
          </w:p>
        </w:tc>
        <w:tc>
          <w:tcPr>
            <w:tcW w:w="1627" w:type="dxa"/>
          </w:tcPr>
          <w:p>
            <w:pPr>
              <w:pStyle w:val="TableParagraph"/>
              <w:spacing w:line="229" w:lineRule="exact"/>
              <w:ind w:left="9" w:right="3"/>
              <w:rPr>
                <w:sz w:val="20"/>
              </w:rPr>
            </w:pPr>
            <w:r>
              <w:rPr>
                <w:sz w:val="20"/>
              </w:rPr>
              <w:t>20-</w:t>
            </w:r>
            <w:r>
              <w:rPr>
                <w:spacing w:val="-5"/>
                <w:sz w:val="20"/>
              </w:rPr>
              <w:t> 29</w:t>
            </w:r>
          </w:p>
        </w:tc>
      </w:tr>
      <w:tr>
        <w:trPr>
          <w:trHeight w:val="1840" w:hRule="atLeast"/>
        </w:trPr>
        <w:tc>
          <w:tcPr>
            <w:tcW w:w="1330" w:type="dxa"/>
          </w:tcPr>
          <w:p>
            <w:pPr>
              <w:pStyle w:val="TableParagraph"/>
              <w:spacing w:line="227" w:lineRule="exact"/>
              <w:ind w:left="14"/>
              <w:rPr>
                <w:rFonts w:ascii="Arial"/>
                <w:b/>
                <w:sz w:val="20"/>
              </w:rPr>
            </w:pPr>
            <w:r>
              <w:rPr>
                <w:rFonts w:ascii="Arial"/>
                <w:b/>
                <w:spacing w:val="-10"/>
                <w:sz w:val="20"/>
              </w:rPr>
              <w:t>4</w:t>
            </w:r>
          </w:p>
        </w:tc>
        <w:tc>
          <w:tcPr>
            <w:tcW w:w="5154" w:type="dxa"/>
          </w:tcPr>
          <w:p>
            <w:pPr>
              <w:pStyle w:val="TableParagraph"/>
              <w:numPr>
                <w:ilvl w:val="0"/>
                <w:numId w:val="194"/>
              </w:numPr>
              <w:tabs>
                <w:tab w:pos="430" w:val="left" w:leader="none"/>
              </w:tabs>
              <w:spacing w:line="228" w:lineRule="exact" w:before="0" w:after="0"/>
              <w:ind w:left="430" w:right="0" w:hanging="359"/>
              <w:jc w:val="both"/>
              <w:rPr>
                <w:sz w:val="20"/>
              </w:rPr>
            </w:pPr>
            <w:r>
              <w:rPr>
                <w:sz w:val="20"/>
              </w:rPr>
              <w:t>Cumple</w:t>
            </w:r>
            <w:r>
              <w:rPr>
                <w:spacing w:val="-6"/>
                <w:sz w:val="20"/>
              </w:rPr>
              <w:t> </w:t>
            </w:r>
            <w:r>
              <w:rPr>
                <w:sz w:val="20"/>
              </w:rPr>
              <w:t>los</w:t>
            </w:r>
            <w:r>
              <w:rPr>
                <w:spacing w:val="-4"/>
                <w:sz w:val="20"/>
              </w:rPr>
              <w:t> </w:t>
            </w:r>
            <w:r>
              <w:rPr>
                <w:sz w:val="20"/>
              </w:rPr>
              <w:t>criterios</w:t>
            </w:r>
            <w:r>
              <w:rPr>
                <w:spacing w:val="-5"/>
                <w:sz w:val="20"/>
              </w:rPr>
              <w:t> </w:t>
            </w:r>
            <w:r>
              <w:rPr>
                <w:sz w:val="20"/>
              </w:rPr>
              <w:t>de</w:t>
            </w:r>
            <w:r>
              <w:rPr>
                <w:spacing w:val="-5"/>
                <w:sz w:val="20"/>
              </w:rPr>
              <w:t> </w:t>
            </w:r>
            <w:r>
              <w:rPr>
                <w:sz w:val="20"/>
              </w:rPr>
              <w:t>la</w:t>
            </w:r>
            <w:r>
              <w:rPr>
                <w:spacing w:val="-5"/>
                <w:sz w:val="20"/>
              </w:rPr>
              <w:t> </w:t>
            </w:r>
            <w:r>
              <w:rPr>
                <w:sz w:val="20"/>
              </w:rPr>
              <w:t>clase</w:t>
            </w:r>
            <w:r>
              <w:rPr>
                <w:spacing w:val="-5"/>
                <w:sz w:val="20"/>
              </w:rPr>
              <w:t> 3.</w:t>
            </w:r>
          </w:p>
          <w:p>
            <w:pPr>
              <w:pStyle w:val="TableParagraph"/>
              <w:numPr>
                <w:ilvl w:val="0"/>
                <w:numId w:val="194"/>
              </w:numPr>
              <w:tabs>
                <w:tab w:pos="431" w:val="left" w:leader="none"/>
              </w:tabs>
              <w:spacing w:line="240" w:lineRule="auto" w:before="0" w:after="0"/>
              <w:ind w:left="431" w:right="61" w:hanging="360"/>
              <w:jc w:val="both"/>
              <w:rPr>
                <w:sz w:val="20"/>
              </w:rPr>
            </w:pPr>
            <w:r>
              <w:rPr>
                <w:sz w:val="20"/>
              </w:rPr>
              <w:t>Síntomas de insuficiencia hepática, de hipertensión portal en forma continua a pesar de recibir </w:t>
            </w:r>
            <w:r>
              <w:rPr>
                <w:spacing w:val="-2"/>
                <w:sz w:val="20"/>
              </w:rPr>
              <w:t>tratamiento.</w:t>
            </w:r>
          </w:p>
          <w:p>
            <w:pPr>
              <w:pStyle w:val="TableParagraph"/>
              <w:numPr>
                <w:ilvl w:val="0"/>
                <w:numId w:val="194"/>
              </w:numPr>
              <w:tabs>
                <w:tab w:pos="430" w:val="left" w:leader="none"/>
              </w:tabs>
              <w:spacing w:line="240" w:lineRule="auto" w:before="0" w:after="0"/>
              <w:ind w:left="430" w:right="0" w:hanging="359"/>
              <w:jc w:val="both"/>
              <w:rPr>
                <w:sz w:val="20"/>
              </w:rPr>
            </w:pPr>
            <w:r>
              <w:rPr>
                <w:sz w:val="20"/>
              </w:rPr>
              <w:t>Presencia</w:t>
            </w:r>
            <w:r>
              <w:rPr>
                <w:spacing w:val="-8"/>
                <w:sz w:val="20"/>
              </w:rPr>
              <w:t> </w:t>
            </w:r>
            <w:r>
              <w:rPr>
                <w:sz w:val="20"/>
              </w:rPr>
              <w:t>de</w:t>
            </w:r>
            <w:r>
              <w:rPr>
                <w:spacing w:val="-6"/>
                <w:sz w:val="20"/>
              </w:rPr>
              <w:t> </w:t>
            </w:r>
            <w:r>
              <w:rPr>
                <w:spacing w:val="-2"/>
                <w:sz w:val="20"/>
              </w:rPr>
              <w:t>ascitis.</w:t>
            </w:r>
          </w:p>
          <w:p>
            <w:pPr>
              <w:pStyle w:val="TableParagraph"/>
              <w:numPr>
                <w:ilvl w:val="0"/>
                <w:numId w:val="194"/>
              </w:numPr>
              <w:tabs>
                <w:tab w:pos="430" w:val="left" w:leader="none"/>
              </w:tabs>
              <w:spacing w:line="240" w:lineRule="auto" w:before="1" w:after="0"/>
              <w:ind w:left="430" w:right="0" w:hanging="359"/>
              <w:jc w:val="both"/>
              <w:rPr>
                <w:sz w:val="20"/>
              </w:rPr>
            </w:pPr>
            <w:r>
              <w:rPr>
                <w:sz w:val="20"/>
              </w:rPr>
              <w:t>Presencia</w:t>
            </w:r>
            <w:r>
              <w:rPr>
                <w:spacing w:val="-8"/>
                <w:sz w:val="20"/>
              </w:rPr>
              <w:t> </w:t>
            </w:r>
            <w:r>
              <w:rPr>
                <w:sz w:val="20"/>
              </w:rPr>
              <w:t>de</w:t>
            </w:r>
            <w:r>
              <w:rPr>
                <w:spacing w:val="-5"/>
                <w:sz w:val="20"/>
              </w:rPr>
              <w:t> </w:t>
            </w:r>
            <w:r>
              <w:rPr>
                <w:sz w:val="20"/>
              </w:rPr>
              <w:t>varices</w:t>
            </w:r>
            <w:r>
              <w:rPr>
                <w:spacing w:val="-7"/>
                <w:sz w:val="20"/>
              </w:rPr>
              <w:t> </w:t>
            </w:r>
            <w:r>
              <w:rPr>
                <w:spacing w:val="-2"/>
                <w:sz w:val="20"/>
              </w:rPr>
              <w:t>esofágicas.</w:t>
            </w:r>
          </w:p>
          <w:p>
            <w:pPr>
              <w:pStyle w:val="TableParagraph"/>
              <w:numPr>
                <w:ilvl w:val="0"/>
                <w:numId w:val="194"/>
              </w:numPr>
              <w:tabs>
                <w:tab w:pos="431" w:val="left" w:leader="none"/>
              </w:tabs>
              <w:spacing w:line="228" w:lineRule="exact" w:before="0" w:after="0"/>
              <w:ind w:left="431" w:right="61" w:hanging="360"/>
              <w:jc w:val="both"/>
              <w:rPr>
                <w:sz w:val="20"/>
              </w:rPr>
            </w:pPr>
            <w:r>
              <w:rPr>
                <w:sz w:val="20"/>
              </w:rPr>
              <w:t>Presencia de hemorragia digestiva o historia de hemorragia digestiva.</w:t>
            </w:r>
          </w:p>
        </w:tc>
        <w:tc>
          <w:tcPr>
            <w:tcW w:w="1438" w:type="dxa"/>
          </w:tcPr>
          <w:p>
            <w:pPr>
              <w:pStyle w:val="TableParagraph"/>
              <w:spacing w:line="229" w:lineRule="exact"/>
              <w:ind w:left="10" w:right="3"/>
              <w:rPr>
                <w:sz w:val="20"/>
              </w:rPr>
            </w:pPr>
            <w:r>
              <w:rPr>
                <w:sz w:val="20"/>
              </w:rPr>
              <w:t>Clase</w:t>
            </w:r>
            <w:r>
              <w:rPr>
                <w:spacing w:val="-9"/>
                <w:sz w:val="20"/>
              </w:rPr>
              <w:t> </w:t>
            </w:r>
            <w:r>
              <w:rPr>
                <w:spacing w:val="-10"/>
                <w:sz w:val="20"/>
              </w:rPr>
              <w:t>C</w:t>
            </w:r>
          </w:p>
        </w:tc>
        <w:tc>
          <w:tcPr>
            <w:tcW w:w="1627" w:type="dxa"/>
          </w:tcPr>
          <w:p>
            <w:pPr>
              <w:pStyle w:val="TableParagraph"/>
              <w:spacing w:line="229" w:lineRule="exact"/>
              <w:ind w:left="9"/>
              <w:rPr>
                <w:sz w:val="20"/>
              </w:rPr>
            </w:pPr>
            <w:r>
              <w:rPr>
                <w:sz w:val="20"/>
              </w:rPr>
              <w:t>30</w:t>
            </w:r>
            <w:r>
              <w:rPr>
                <w:spacing w:val="-3"/>
                <w:sz w:val="20"/>
              </w:rPr>
              <w:t> </w:t>
            </w:r>
            <w:r>
              <w:rPr>
                <w:sz w:val="20"/>
              </w:rPr>
              <w:t>o</w:t>
            </w:r>
            <w:r>
              <w:rPr>
                <w:spacing w:val="-4"/>
                <w:sz w:val="20"/>
              </w:rPr>
              <w:t> </w:t>
            </w:r>
            <w:r>
              <w:rPr>
                <w:spacing w:val="-5"/>
                <w:sz w:val="20"/>
              </w:rPr>
              <w:t>más</w:t>
            </w:r>
          </w:p>
        </w:tc>
      </w:tr>
    </w:tbl>
    <w:p>
      <w:pPr>
        <w:pStyle w:val="BodyText"/>
        <w:spacing w:before="10" w:after="1"/>
        <w:rPr>
          <w:rFonts w:ascii="Arial"/>
          <w:b/>
          <w:sz w:val="19"/>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174"/>
        <w:gridCol w:w="1337"/>
        <w:gridCol w:w="2143"/>
        <w:gridCol w:w="1894"/>
      </w:tblGrid>
      <w:tr>
        <w:trPr>
          <w:trHeight w:val="460" w:hRule="atLeast"/>
        </w:trPr>
        <w:tc>
          <w:tcPr>
            <w:tcW w:w="9548" w:type="dxa"/>
            <w:gridSpan w:val="4"/>
            <w:shd w:val="clear" w:color="auto" w:fill="C0C0C0"/>
          </w:tcPr>
          <w:p>
            <w:pPr>
              <w:pStyle w:val="TableParagraph"/>
              <w:spacing w:line="228" w:lineRule="exact"/>
              <w:ind w:left="1804" w:hanging="1556"/>
              <w:jc w:val="left"/>
              <w:rPr>
                <w:rFonts w:ascii="Arial" w:hAnsi="Arial"/>
                <w:b/>
                <w:sz w:val="20"/>
              </w:rPr>
            </w:pPr>
            <w:r>
              <w:rPr>
                <w:rFonts w:ascii="Arial" w:hAnsi="Arial"/>
                <w:b/>
                <w:sz w:val="20"/>
              </w:rPr>
              <w:t>La</w:t>
            </w:r>
            <w:r>
              <w:rPr>
                <w:rFonts w:ascii="Arial" w:hAnsi="Arial"/>
                <w:b/>
                <w:spacing w:val="-4"/>
                <w:sz w:val="20"/>
              </w:rPr>
              <w:t> </w:t>
            </w:r>
            <w:r>
              <w:rPr>
                <w:rFonts w:ascii="Arial" w:hAnsi="Arial"/>
                <w:b/>
                <w:sz w:val="20"/>
              </w:rPr>
              <w:t>escala</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z w:val="20"/>
              </w:rPr>
              <w:t>Child-Pugh</w:t>
            </w:r>
            <w:r>
              <w:rPr>
                <w:rFonts w:ascii="Arial" w:hAnsi="Arial"/>
                <w:b/>
                <w:spacing w:val="-3"/>
                <w:sz w:val="20"/>
              </w:rPr>
              <w:t> </w:t>
            </w:r>
            <w:r>
              <w:rPr>
                <w:rFonts w:ascii="Arial" w:hAnsi="Arial"/>
                <w:b/>
                <w:sz w:val="20"/>
              </w:rPr>
              <w:t>emplea</w:t>
            </w:r>
            <w:r>
              <w:rPr>
                <w:rFonts w:ascii="Arial" w:hAnsi="Arial"/>
                <w:b/>
                <w:spacing w:val="-3"/>
                <w:sz w:val="20"/>
              </w:rPr>
              <w:t> </w:t>
            </w:r>
            <w:r>
              <w:rPr>
                <w:rFonts w:ascii="Arial" w:hAnsi="Arial"/>
                <w:b/>
                <w:sz w:val="20"/>
              </w:rPr>
              <w:t>5</w:t>
            </w:r>
            <w:r>
              <w:rPr>
                <w:rFonts w:ascii="Arial" w:hAnsi="Arial"/>
                <w:b/>
                <w:spacing w:val="-4"/>
                <w:sz w:val="20"/>
              </w:rPr>
              <w:t> </w:t>
            </w:r>
            <w:r>
              <w:rPr>
                <w:rFonts w:ascii="Arial" w:hAnsi="Arial"/>
                <w:b/>
                <w:sz w:val="20"/>
              </w:rPr>
              <w:t>criterios</w:t>
            </w:r>
            <w:r>
              <w:rPr>
                <w:rFonts w:ascii="Arial" w:hAnsi="Arial"/>
                <w:b/>
                <w:spacing w:val="-4"/>
                <w:sz w:val="20"/>
              </w:rPr>
              <w:t> </w:t>
            </w:r>
            <w:r>
              <w:rPr>
                <w:rFonts w:ascii="Arial" w:hAnsi="Arial"/>
                <w:b/>
                <w:sz w:val="20"/>
              </w:rPr>
              <w:t>clínicos</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la</w:t>
            </w:r>
            <w:r>
              <w:rPr>
                <w:rFonts w:ascii="Arial" w:hAnsi="Arial"/>
                <w:b/>
                <w:spacing w:val="-3"/>
                <w:sz w:val="20"/>
              </w:rPr>
              <w:t> </w:t>
            </w:r>
            <w:r>
              <w:rPr>
                <w:rFonts w:ascii="Arial" w:hAnsi="Arial"/>
                <w:b/>
                <w:sz w:val="20"/>
              </w:rPr>
              <w:t>enfermedad</w:t>
            </w:r>
            <w:r>
              <w:rPr>
                <w:rFonts w:ascii="Arial" w:hAnsi="Arial"/>
                <w:b/>
                <w:spacing w:val="-3"/>
                <w:sz w:val="20"/>
              </w:rPr>
              <w:t> </w:t>
            </w:r>
            <w:r>
              <w:rPr>
                <w:rFonts w:ascii="Arial" w:hAnsi="Arial"/>
                <w:b/>
                <w:sz w:val="20"/>
              </w:rPr>
              <w:t>hepática.</w:t>
            </w:r>
            <w:r>
              <w:rPr>
                <w:rFonts w:ascii="Arial" w:hAnsi="Arial"/>
                <w:b/>
                <w:spacing w:val="-4"/>
                <w:sz w:val="20"/>
              </w:rPr>
              <w:t> </w:t>
            </w:r>
            <w:r>
              <w:rPr>
                <w:rFonts w:ascii="Arial" w:hAnsi="Arial"/>
                <w:b/>
                <w:sz w:val="20"/>
              </w:rPr>
              <w:t>Cada</w:t>
            </w:r>
            <w:r>
              <w:rPr>
                <w:rFonts w:ascii="Arial" w:hAnsi="Arial"/>
                <w:b/>
                <w:spacing w:val="-4"/>
                <w:sz w:val="20"/>
              </w:rPr>
              <w:t> </w:t>
            </w:r>
            <w:r>
              <w:rPr>
                <w:rFonts w:ascii="Arial" w:hAnsi="Arial"/>
                <w:b/>
                <w:sz w:val="20"/>
              </w:rPr>
              <w:t>criterio</w:t>
            </w:r>
            <w:r>
              <w:rPr>
                <w:rFonts w:ascii="Arial" w:hAnsi="Arial"/>
                <w:b/>
                <w:spacing w:val="-4"/>
                <w:sz w:val="20"/>
              </w:rPr>
              <w:t> </w:t>
            </w:r>
            <w:r>
              <w:rPr>
                <w:rFonts w:ascii="Arial" w:hAnsi="Arial"/>
                <w:b/>
                <w:sz w:val="20"/>
              </w:rPr>
              <w:t>es medido del 1 al 3, siendo el 3 el que indica el daño más severo</w:t>
            </w:r>
          </w:p>
        </w:tc>
      </w:tr>
      <w:tr>
        <w:trPr>
          <w:trHeight w:val="229" w:hRule="atLeast"/>
        </w:trPr>
        <w:tc>
          <w:tcPr>
            <w:tcW w:w="9548" w:type="dxa"/>
            <w:gridSpan w:val="4"/>
            <w:shd w:val="clear" w:color="auto" w:fill="C0C0C0"/>
          </w:tcPr>
          <w:p>
            <w:pPr>
              <w:pStyle w:val="TableParagraph"/>
              <w:ind w:left="6"/>
              <w:rPr>
                <w:rFonts w:ascii="Arial" w:hAnsi="Arial"/>
                <w:b/>
                <w:sz w:val="20"/>
              </w:rPr>
            </w:pPr>
            <w:r>
              <w:rPr>
                <w:rFonts w:ascii="Arial" w:hAnsi="Arial"/>
                <w:b/>
                <w:sz w:val="20"/>
              </w:rPr>
              <w:t>Puntos</w:t>
            </w:r>
            <w:r>
              <w:rPr>
                <w:rFonts w:ascii="Arial" w:hAnsi="Arial"/>
                <w:b/>
                <w:spacing w:val="-9"/>
                <w:sz w:val="20"/>
              </w:rPr>
              <w:t> </w:t>
            </w:r>
            <w:r>
              <w:rPr>
                <w:rFonts w:ascii="Arial" w:hAnsi="Arial"/>
                <w:b/>
                <w:sz w:val="20"/>
              </w:rPr>
              <w:t>ponderables</w:t>
            </w:r>
            <w:r>
              <w:rPr>
                <w:rFonts w:ascii="Arial" w:hAnsi="Arial"/>
                <w:b/>
                <w:spacing w:val="-8"/>
                <w:sz w:val="20"/>
              </w:rPr>
              <w:t> </w:t>
            </w:r>
            <w:r>
              <w:rPr>
                <w:rFonts w:ascii="Arial" w:hAnsi="Arial"/>
                <w:b/>
                <w:sz w:val="20"/>
              </w:rPr>
              <w:t>atribuibles</w:t>
            </w:r>
            <w:r>
              <w:rPr>
                <w:rFonts w:ascii="Arial" w:hAnsi="Arial"/>
                <w:b/>
                <w:spacing w:val="-9"/>
                <w:sz w:val="20"/>
              </w:rPr>
              <w:t> </w:t>
            </w:r>
            <w:r>
              <w:rPr>
                <w:rFonts w:ascii="Arial" w:hAnsi="Arial"/>
                <w:b/>
                <w:sz w:val="20"/>
              </w:rPr>
              <w:t>a</w:t>
            </w:r>
            <w:r>
              <w:rPr>
                <w:rFonts w:ascii="Arial" w:hAnsi="Arial"/>
                <w:b/>
                <w:spacing w:val="-8"/>
                <w:sz w:val="20"/>
              </w:rPr>
              <w:t> </w:t>
            </w:r>
            <w:r>
              <w:rPr>
                <w:rFonts w:ascii="Arial" w:hAnsi="Arial"/>
                <w:b/>
                <w:sz w:val="20"/>
              </w:rPr>
              <w:t>cada</w:t>
            </w:r>
            <w:r>
              <w:rPr>
                <w:rFonts w:ascii="Arial" w:hAnsi="Arial"/>
                <w:b/>
                <w:spacing w:val="-7"/>
                <w:sz w:val="20"/>
              </w:rPr>
              <w:t> </w:t>
            </w:r>
            <w:r>
              <w:rPr>
                <w:rFonts w:ascii="Arial" w:hAnsi="Arial"/>
                <w:b/>
                <w:spacing w:val="-2"/>
                <w:sz w:val="20"/>
              </w:rPr>
              <w:t>parámetro</w:t>
            </w:r>
          </w:p>
        </w:tc>
      </w:tr>
      <w:tr>
        <w:trPr>
          <w:trHeight w:val="232" w:hRule="atLeast"/>
        </w:trPr>
        <w:tc>
          <w:tcPr>
            <w:tcW w:w="4174" w:type="dxa"/>
            <w:shd w:val="clear" w:color="auto" w:fill="C0C0C0"/>
          </w:tcPr>
          <w:p>
            <w:pPr>
              <w:pStyle w:val="TableParagraph"/>
              <w:spacing w:line="240" w:lineRule="auto"/>
              <w:ind w:left="0"/>
              <w:jc w:val="left"/>
              <w:rPr>
                <w:rFonts w:ascii="Times New Roman"/>
                <w:sz w:val="16"/>
              </w:rPr>
            </w:pPr>
          </w:p>
        </w:tc>
        <w:tc>
          <w:tcPr>
            <w:tcW w:w="1337" w:type="dxa"/>
            <w:shd w:val="clear" w:color="auto" w:fill="C0C0C0"/>
          </w:tcPr>
          <w:p>
            <w:pPr>
              <w:pStyle w:val="TableParagraph"/>
              <w:spacing w:line="212" w:lineRule="exact"/>
              <w:ind w:left="12"/>
              <w:rPr>
                <w:rFonts w:ascii="Arial"/>
                <w:b/>
                <w:sz w:val="20"/>
              </w:rPr>
            </w:pPr>
            <w:r>
              <w:rPr>
                <w:rFonts w:ascii="Arial"/>
                <w:b/>
                <w:spacing w:val="-10"/>
                <w:sz w:val="20"/>
              </w:rPr>
              <w:t>1</w:t>
            </w:r>
          </w:p>
        </w:tc>
        <w:tc>
          <w:tcPr>
            <w:tcW w:w="2143" w:type="dxa"/>
            <w:shd w:val="clear" w:color="auto" w:fill="C0C0C0"/>
          </w:tcPr>
          <w:p>
            <w:pPr>
              <w:pStyle w:val="TableParagraph"/>
              <w:spacing w:line="212" w:lineRule="exact"/>
              <w:ind w:left="13"/>
              <w:rPr>
                <w:rFonts w:ascii="Arial"/>
                <w:b/>
                <w:sz w:val="20"/>
              </w:rPr>
            </w:pPr>
            <w:r>
              <w:rPr>
                <w:rFonts w:ascii="Arial"/>
                <w:b/>
                <w:spacing w:val="-10"/>
                <w:sz w:val="20"/>
              </w:rPr>
              <w:t>2</w:t>
            </w:r>
          </w:p>
        </w:tc>
        <w:tc>
          <w:tcPr>
            <w:tcW w:w="1894" w:type="dxa"/>
            <w:shd w:val="clear" w:color="auto" w:fill="C0C0C0"/>
          </w:tcPr>
          <w:p>
            <w:pPr>
              <w:pStyle w:val="TableParagraph"/>
              <w:spacing w:line="212" w:lineRule="exact"/>
              <w:ind w:left="16" w:right="2"/>
              <w:rPr>
                <w:rFonts w:ascii="Arial"/>
                <w:b/>
                <w:sz w:val="20"/>
              </w:rPr>
            </w:pPr>
            <w:r>
              <w:rPr>
                <w:rFonts w:ascii="Arial"/>
                <w:b/>
                <w:spacing w:val="-10"/>
                <w:sz w:val="20"/>
              </w:rPr>
              <w:t>3</w:t>
            </w:r>
          </w:p>
        </w:tc>
      </w:tr>
      <w:tr>
        <w:trPr>
          <w:trHeight w:val="229" w:hRule="atLeast"/>
        </w:trPr>
        <w:tc>
          <w:tcPr>
            <w:tcW w:w="4174" w:type="dxa"/>
          </w:tcPr>
          <w:p>
            <w:pPr>
              <w:pStyle w:val="TableParagraph"/>
              <w:jc w:val="left"/>
              <w:rPr>
                <w:sz w:val="20"/>
              </w:rPr>
            </w:pPr>
            <w:r>
              <w:rPr>
                <w:spacing w:val="-2"/>
                <w:sz w:val="20"/>
              </w:rPr>
              <w:t>Encefalopatía</w:t>
            </w:r>
          </w:p>
        </w:tc>
        <w:tc>
          <w:tcPr>
            <w:tcW w:w="1337" w:type="dxa"/>
          </w:tcPr>
          <w:p>
            <w:pPr>
              <w:pStyle w:val="TableParagraph"/>
              <w:ind w:left="12" w:right="3"/>
              <w:rPr>
                <w:sz w:val="20"/>
              </w:rPr>
            </w:pPr>
            <w:r>
              <w:rPr>
                <w:spacing w:val="-2"/>
                <w:sz w:val="20"/>
              </w:rPr>
              <w:t>Ausente</w:t>
            </w:r>
          </w:p>
        </w:tc>
        <w:tc>
          <w:tcPr>
            <w:tcW w:w="2143" w:type="dxa"/>
          </w:tcPr>
          <w:p>
            <w:pPr>
              <w:pStyle w:val="TableParagraph"/>
              <w:ind w:left="0" w:right="606"/>
              <w:jc w:val="right"/>
              <w:rPr>
                <w:sz w:val="20"/>
              </w:rPr>
            </w:pPr>
            <w:r>
              <w:rPr>
                <w:sz w:val="20"/>
              </w:rPr>
              <w:t>Grado</w:t>
            </w:r>
            <w:r>
              <w:rPr>
                <w:spacing w:val="-12"/>
                <w:sz w:val="20"/>
              </w:rPr>
              <w:t> </w:t>
            </w:r>
            <w:r>
              <w:rPr>
                <w:sz w:val="20"/>
              </w:rPr>
              <w:t>1-</w:t>
            </w:r>
            <w:r>
              <w:rPr>
                <w:spacing w:val="-10"/>
                <w:sz w:val="20"/>
              </w:rPr>
              <w:t>2</w:t>
            </w:r>
          </w:p>
        </w:tc>
        <w:tc>
          <w:tcPr>
            <w:tcW w:w="1894" w:type="dxa"/>
          </w:tcPr>
          <w:p>
            <w:pPr>
              <w:pStyle w:val="TableParagraph"/>
              <w:ind w:left="16" w:right="2"/>
              <w:rPr>
                <w:sz w:val="20"/>
              </w:rPr>
            </w:pPr>
            <w:r>
              <w:rPr>
                <w:sz w:val="20"/>
              </w:rPr>
              <w:t>Grado</w:t>
            </w:r>
            <w:r>
              <w:rPr>
                <w:spacing w:val="-12"/>
                <w:sz w:val="20"/>
              </w:rPr>
              <w:t> </w:t>
            </w:r>
            <w:r>
              <w:rPr>
                <w:sz w:val="20"/>
              </w:rPr>
              <w:t>3-</w:t>
            </w:r>
            <w:r>
              <w:rPr>
                <w:spacing w:val="-10"/>
                <w:sz w:val="20"/>
              </w:rPr>
              <w:t>4</w:t>
            </w:r>
          </w:p>
        </w:tc>
      </w:tr>
      <w:tr>
        <w:trPr>
          <w:trHeight w:val="229" w:hRule="atLeast"/>
        </w:trPr>
        <w:tc>
          <w:tcPr>
            <w:tcW w:w="4174" w:type="dxa"/>
          </w:tcPr>
          <w:p>
            <w:pPr>
              <w:pStyle w:val="TableParagraph"/>
              <w:jc w:val="left"/>
              <w:rPr>
                <w:sz w:val="20"/>
              </w:rPr>
            </w:pPr>
            <w:r>
              <w:rPr>
                <w:spacing w:val="-2"/>
                <w:sz w:val="20"/>
              </w:rPr>
              <w:t>Ascitis</w:t>
            </w:r>
          </w:p>
        </w:tc>
        <w:tc>
          <w:tcPr>
            <w:tcW w:w="1337" w:type="dxa"/>
          </w:tcPr>
          <w:p>
            <w:pPr>
              <w:pStyle w:val="TableParagraph"/>
              <w:ind w:left="12" w:right="3"/>
              <w:rPr>
                <w:sz w:val="20"/>
              </w:rPr>
            </w:pPr>
            <w:r>
              <w:rPr>
                <w:spacing w:val="-2"/>
                <w:sz w:val="20"/>
              </w:rPr>
              <w:t>Ausente</w:t>
            </w:r>
          </w:p>
        </w:tc>
        <w:tc>
          <w:tcPr>
            <w:tcW w:w="2143" w:type="dxa"/>
          </w:tcPr>
          <w:p>
            <w:pPr>
              <w:pStyle w:val="TableParagraph"/>
              <w:ind w:left="13" w:right="1"/>
              <w:rPr>
                <w:sz w:val="20"/>
              </w:rPr>
            </w:pPr>
            <w:r>
              <w:rPr>
                <w:spacing w:val="-4"/>
                <w:sz w:val="20"/>
              </w:rPr>
              <w:t>Leve</w:t>
            </w:r>
          </w:p>
        </w:tc>
        <w:tc>
          <w:tcPr>
            <w:tcW w:w="1894" w:type="dxa"/>
          </w:tcPr>
          <w:p>
            <w:pPr>
              <w:pStyle w:val="TableParagraph"/>
              <w:ind w:left="16" w:right="3"/>
              <w:rPr>
                <w:sz w:val="20"/>
              </w:rPr>
            </w:pPr>
            <w:r>
              <w:rPr>
                <w:spacing w:val="-2"/>
                <w:sz w:val="20"/>
              </w:rPr>
              <w:t>Moderada</w:t>
            </w:r>
          </w:p>
        </w:tc>
      </w:tr>
      <w:tr>
        <w:trPr>
          <w:trHeight w:val="229" w:hRule="atLeast"/>
        </w:trPr>
        <w:tc>
          <w:tcPr>
            <w:tcW w:w="4174" w:type="dxa"/>
          </w:tcPr>
          <w:p>
            <w:pPr>
              <w:pStyle w:val="TableParagraph"/>
              <w:jc w:val="left"/>
              <w:rPr>
                <w:sz w:val="20"/>
              </w:rPr>
            </w:pPr>
            <w:r>
              <w:rPr>
                <w:spacing w:val="-2"/>
                <w:sz w:val="20"/>
              </w:rPr>
              <w:t>Bilirrubina</w:t>
            </w:r>
            <w:r>
              <w:rPr>
                <w:spacing w:val="7"/>
                <w:sz w:val="20"/>
              </w:rPr>
              <w:t> </w:t>
            </w:r>
            <w:r>
              <w:rPr>
                <w:spacing w:val="-2"/>
                <w:sz w:val="20"/>
              </w:rPr>
              <w:t>sérica</w:t>
            </w:r>
          </w:p>
        </w:tc>
        <w:tc>
          <w:tcPr>
            <w:tcW w:w="1337" w:type="dxa"/>
          </w:tcPr>
          <w:p>
            <w:pPr>
              <w:pStyle w:val="TableParagraph"/>
              <w:ind w:left="12"/>
              <w:rPr>
                <w:sz w:val="20"/>
              </w:rPr>
            </w:pPr>
            <w:r>
              <w:rPr>
                <w:sz w:val="20"/>
              </w:rPr>
              <w:t>&lt;</w:t>
            </w:r>
            <w:r>
              <w:rPr>
                <w:spacing w:val="-4"/>
                <w:sz w:val="20"/>
              </w:rPr>
              <w:t> </w:t>
            </w:r>
            <w:r>
              <w:rPr>
                <w:sz w:val="20"/>
              </w:rPr>
              <w:t>2</w:t>
            </w:r>
            <w:r>
              <w:rPr>
                <w:spacing w:val="-2"/>
                <w:sz w:val="20"/>
              </w:rPr>
              <w:t> mg/dl</w:t>
            </w:r>
          </w:p>
        </w:tc>
        <w:tc>
          <w:tcPr>
            <w:tcW w:w="2143" w:type="dxa"/>
          </w:tcPr>
          <w:p>
            <w:pPr>
              <w:pStyle w:val="TableParagraph"/>
              <w:ind w:left="0" w:right="637"/>
              <w:jc w:val="right"/>
              <w:rPr>
                <w:sz w:val="20"/>
              </w:rPr>
            </w:pPr>
            <w:r>
              <w:rPr>
                <w:sz w:val="20"/>
              </w:rPr>
              <w:t>2-3</w:t>
            </w:r>
            <w:r>
              <w:rPr>
                <w:spacing w:val="-5"/>
                <w:sz w:val="20"/>
              </w:rPr>
              <w:t> </w:t>
            </w:r>
            <w:r>
              <w:rPr>
                <w:spacing w:val="-2"/>
                <w:sz w:val="20"/>
              </w:rPr>
              <w:t>mg/dl</w:t>
            </w:r>
          </w:p>
        </w:tc>
        <w:tc>
          <w:tcPr>
            <w:tcW w:w="1894" w:type="dxa"/>
          </w:tcPr>
          <w:p>
            <w:pPr>
              <w:pStyle w:val="TableParagraph"/>
              <w:ind w:left="16" w:right="2"/>
              <w:rPr>
                <w:sz w:val="20"/>
              </w:rPr>
            </w:pPr>
            <w:r>
              <w:rPr>
                <w:sz w:val="20"/>
              </w:rPr>
              <w:t>&gt;</w:t>
            </w:r>
            <w:r>
              <w:rPr>
                <w:spacing w:val="-4"/>
                <w:sz w:val="20"/>
              </w:rPr>
              <w:t> </w:t>
            </w:r>
            <w:r>
              <w:rPr>
                <w:sz w:val="20"/>
              </w:rPr>
              <w:t>3</w:t>
            </w:r>
            <w:r>
              <w:rPr>
                <w:spacing w:val="-2"/>
                <w:sz w:val="20"/>
              </w:rPr>
              <w:t> mg/dl</w:t>
            </w:r>
          </w:p>
        </w:tc>
      </w:tr>
      <w:tr>
        <w:trPr>
          <w:trHeight w:val="229" w:hRule="atLeast"/>
        </w:trPr>
        <w:tc>
          <w:tcPr>
            <w:tcW w:w="4174" w:type="dxa"/>
          </w:tcPr>
          <w:p>
            <w:pPr>
              <w:pStyle w:val="TableParagraph"/>
              <w:jc w:val="left"/>
              <w:rPr>
                <w:sz w:val="20"/>
              </w:rPr>
            </w:pPr>
            <w:r>
              <w:rPr>
                <w:sz w:val="20"/>
              </w:rPr>
              <w:t>Albúmina</w:t>
            </w:r>
            <w:r>
              <w:rPr>
                <w:spacing w:val="-13"/>
                <w:sz w:val="20"/>
              </w:rPr>
              <w:t> </w:t>
            </w:r>
            <w:r>
              <w:rPr>
                <w:spacing w:val="-2"/>
                <w:sz w:val="20"/>
              </w:rPr>
              <w:t>sérica</w:t>
            </w:r>
          </w:p>
        </w:tc>
        <w:tc>
          <w:tcPr>
            <w:tcW w:w="1337" w:type="dxa"/>
          </w:tcPr>
          <w:p>
            <w:pPr>
              <w:pStyle w:val="TableParagraph"/>
              <w:ind w:left="12" w:right="2"/>
              <w:rPr>
                <w:sz w:val="20"/>
              </w:rPr>
            </w:pPr>
            <w:r>
              <w:rPr>
                <w:sz w:val="20"/>
              </w:rPr>
              <w:t>&gt;</w:t>
            </w:r>
            <w:r>
              <w:rPr>
                <w:spacing w:val="-4"/>
                <w:sz w:val="20"/>
              </w:rPr>
              <w:t> </w:t>
            </w:r>
            <w:r>
              <w:rPr>
                <w:sz w:val="20"/>
              </w:rPr>
              <w:t>35</w:t>
            </w:r>
            <w:r>
              <w:rPr>
                <w:spacing w:val="-2"/>
                <w:sz w:val="20"/>
              </w:rPr>
              <w:t> </w:t>
            </w:r>
            <w:r>
              <w:rPr>
                <w:spacing w:val="-5"/>
                <w:sz w:val="20"/>
              </w:rPr>
              <w:t>g/l</w:t>
            </w:r>
          </w:p>
        </w:tc>
        <w:tc>
          <w:tcPr>
            <w:tcW w:w="2143" w:type="dxa"/>
          </w:tcPr>
          <w:p>
            <w:pPr>
              <w:pStyle w:val="TableParagraph"/>
              <w:ind w:left="0" w:right="667"/>
              <w:jc w:val="right"/>
              <w:rPr>
                <w:sz w:val="20"/>
              </w:rPr>
            </w:pPr>
            <w:r>
              <w:rPr>
                <w:sz w:val="20"/>
              </w:rPr>
              <w:t>28-35</w:t>
            </w:r>
            <w:r>
              <w:rPr>
                <w:spacing w:val="-7"/>
                <w:sz w:val="20"/>
              </w:rPr>
              <w:t> </w:t>
            </w:r>
            <w:r>
              <w:rPr>
                <w:spacing w:val="-5"/>
                <w:sz w:val="20"/>
              </w:rPr>
              <w:t>g/l</w:t>
            </w:r>
          </w:p>
        </w:tc>
        <w:tc>
          <w:tcPr>
            <w:tcW w:w="1894" w:type="dxa"/>
          </w:tcPr>
          <w:p>
            <w:pPr>
              <w:pStyle w:val="TableParagraph"/>
              <w:ind w:left="16" w:right="4"/>
              <w:rPr>
                <w:sz w:val="20"/>
              </w:rPr>
            </w:pPr>
            <w:r>
              <w:rPr>
                <w:sz w:val="20"/>
              </w:rPr>
              <w:t>&lt;</w:t>
            </w:r>
            <w:r>
              <w:rPr>
                <w:spacing w:val="-4"/>
                <w:sz w:val="20"/>
              </w:rPr>
              <w:t> </w:t>
            </w:r>
            <w:r>
              <w:rPr>
                <w:sz w:val="20"/>
              </w:rPr>
              <w:t>28</w:t>
            </w:r>
            <w:r>
              <w:rPr>
                <w:spacing w:val="-2"/>
                <w:sz w:val="20"/>
              </w:rPr>
              <w:t> </w:t>
            </w:r>
            <w:r>
              <w:rPr>
                <w:spacing w:val="-5"/>
                <w:sz w:val="20"/>
              </w:rPr>
              <w:t>g/l</w:t>
            </w:r>
          </w:p>
        </w:tc>
      </w:tr>
      <w:tr>
        <w:trPr>
          <w:trHeight w:val="229" w:hRule="atLeast"/>
        </w:trPr>
        <w:tc>
          <w:tcPr>
            <w:tcW w:w="4174" w:type="dxa"/>
          </w:tcPr>
          <w:p>
            <w:pPr>
              <w:pStyle w:val="TableParagraph"/>
              <w:jc w:val="left"/>
              <w:rPr>
                <w:sz w:val="20"/>
              </w:rPr>
            </w:pPr>
            <w:r>
              <w:rPr>
                <w:spacing w:val="-2"/>
                <w:sz w:val="20"/>
              </w:rPr>
              <w:t>Protrombina</w:t>
            </w:r>
            <w:r>
              <w:rPr>
                <w:spacing w:val="8"/>
                <w:sz w:val="20"/>
              </w:rPr>
              <w:t> </w:t>
            </w:r>
            <w:r>
              <w:rPr>
                <w:spacing w:val="-2"/>
                <w:sz w:val="20"/>
              </w:rPr>
              <w:t>(prolongada)</w:t>
            </w:r>
          </w:p>
        </w:tc>
        <w:tc>
          <w:tcPr>
            <w:tcW w:w="1337" w:type="dxa"/>
          </w:tcPr>
          <w:p>
            <w:pPr>
              <w:pStyle w:val="TableParagraph"/>
              <w:ind w:left="12" w:right="3"/>
              <w:rPr>
                <w:sz w:val="20"/>
              </w:rPr>
            </w:pPr>
            <w:r>
              <w:rPr>
                <w:sz w:val="20"/>
              </w:rPr>
              <w:t>1-</w:t>
            </w:r>
            <w:r>
              <w:rPr>
                <w:spacing w:val="-3"/>
                <w:sz w:val="20"/>
              </w:rPr>
              <w:t> </w:t>
            </w:r>
            <w:r>
              <w:rPr>
                <w:spacing w:val="-10"/>
                <w:sz w:val="20"/>
              </w:rPr>
              <w:t>4</w:t>
            </w:r>
          </w:p>
        </w:tc>
        <w:tc>
          <w:tcPr>
            <w:tcW w:w="2143" w:type="dxa"/>
          </w:tcPr>
          <w:p>
            <w:pPr>
              <w:pStyle w:val="TableParagraph"/>
              <w:ind w:left="13"/>
              <w:rPr>
                <w:sz w:val="20"/>
              </w:rPr>
            </w:pPr>
            <w:r>
              <w:rPr>
                <w:spacing w:val="-2"/>
                <w:sz w:val="20"/>
              </w:rPr>
              <w:t>4-</w:t>
            </w:r>
            <w:r>
              <w:rPr>
                <w:spacing w:val="-10"/>
                <w:sz w:val="20"/>
              </w:rPr>
              <w:t>6</w:t>
            </w:r>
          </w:p>
        </w:tc>
        <w:tc>
          <w:tcPr>
            <w:tcW w:w="1894" w:type="dxa"/>
          </w:tcPr>
          <w:p>
            <w:pPr>
              <w:pStyle w:val="TableParagraph"/>
              <w:ind w:left="16" w:right="5"/>
              <w:rPr>
                <w:sz w:val="20"/>
              </w:rPr>
            </w:pPr>
            <w:r>
              <w:rPr>
                <w:sz w:val="20"/>
              </w:rPr>
              <w:t>&gt;</w:t>
            </w:r>
            <w:r>
              <w:rPr>
                <w:spacing w:val="-4"/>
                <w:sz w:val="20"/>
              </w:rPr>
              <w:t> </w:t>
            </w:r>
            <w:r>
              <w:rPr>
                <w:spacing w:val="-10"/>
                <w:sz w:val="20"/>
              </w:rPr>
              <w:t>6</w:t>
            </w:r>
          </w:p>
        </w:tc>
      </w:tr>
      <w:tr>
        <w:trPr>
          <w:trHeight w:val="229" w:hRule="atLeast"/>
        </w:trPr>
        <w:tc>
          <w:tcPr>
            <w:tcW w:w="4174" w:type="dxa"/>
          </w:tcPr>
          <w:p>
            <w:pPr>
              <w:pStyle w:val="TableParagraph"/>
              <w:jc w:val="left"/>
              <w:rPr>
                <w:sz w:val="20"/>
              </w:rPr>
            </w:pPr>
            <w:r>
              <w:rPr>
                <w:sz w:val="20"/>
              </w:rPr>
              <w:t>Bilirrubina</w:t>
            </w:r>
            <w:r>
              <w:rPr>
                <w:spacing w:val="-10"/>
                <w:sz w:val="20"/>
              </w:rPr>
              <w:t> </w:t>
            </w:r>
            <w:r>
              <w:rPr>
                <w:sz w:val="20"/>
              </w:rPr>
              <w:t>(en</w:t>
            </w:r>
            <w:r>
              <w:rPr>
                <w:spacing w:val="-9"/>
                <w:sz w:val="20"/>
              </w:rPr>
              <w:t> </w:t>
            </w:r>
            <w:r>
              <w:rPr>
                <w:sz w:val="20"/>
              </w:rPr>
              <w:t>cirrosis</w:t>
            </w:r>
            <w:r>
              <w:rPr>
                <w:spacing w:val="-9"/>
                <w:sz w:val="20"/>
              </w:rPr>
              <w:t> </w:t>
            </w:r>
            <w:r>
              <w:rPr>
                <w:sz w:val="20"/>
              </w:rPr>
              <w:t>biliar</w:t>
            </w:r>
            <w:r>
              <w:rPr>
                <w:spacing w:val="-9"/>
                <w:sz w:val="20"/>
              </w:rPr>
              <w:t> </w:t>
            </w:r>
            <w:r>
              <w:rPr>
                <w:spacing w:val="-2"/>
                <w:sz w:val="20"/>
              </w:rPr>
              <w:t>primaria)</w:t>
            </w:r>
          </w:p>
        </w:tc>
        <w:tc>
          <w:tcPr>
            <w:tcW w:w="1337" w:type="dxa"/>
          </w:tcPr>
          <w:p>
            <w:pPr>
              <w:pStyle w:val="TableParagraph"/>
              <w:ind w:left="12"/>
              <w:rPr>
                <w:sz w:val="20"/>
              </w:rPr>
            </w:pPr>
            <w:r>
              <w:rPr>
                <w:sz w:val="20"/>
              </w:rPr>
              <w:t>&lt;</w:t>
            </w:r>
            <w:r>
              <w:rPr>
                <w:spacing w:val="-4"/>
                <w:sz w:val="20"/>
              </w:rPr>
              <w:t> </w:t>
            </w:r>
            <w:r>
              <w:rPr>
                <w:sz w:val="20"/>
              </w:rPr>
              <w:t>4</w:t>
            </w:r>
            <w:r>
              <w:rPr>
                <w:spacing w:val="-2"/>
                <w:sz w:val="20"/>
              </w:rPr>
              <w:t> mg/dl</w:t>
            </w:r>
          </w:p>
        </w:tc>
        <w:tc>
          <w:tcPr>
            <w:tcW w:w="2143" w:type="dxa"/>
          </w:tcPr>
          <w:p>
            <w:pPr>
              <w:pStyle w:val="TableParagraph"/>
              <w:ind w:left="0" w:right="584"/>
              <w:jc w:val="right"/>
              <w:rPr>
                <w:sz w:val="20"/>
              </w:rPr>
            </w:pPr>
            <w:r>
              <w:rPr>
                <w:sz w:val="20"/>
              </w:rPr>
              <w:t>4-10</w:t>
            </w:r>
            <w:r>
              <w:rPr>
                <w:spacing w:val="-8"/>
                <w:sz w:val="20"/>
              </w:rPr>
              <w:t> </w:t>
            </w:r>
            <w:r>
              <w:rPr>
                <w:spacing w:val="-2"/>
                <w:sz w:val="20"/>
              </w:rPr>
              <w:t>mg/dl</w:t>
            </w:r>
          </w:p>
        </w:tc>
        <w:tc>
          <w:tcPr>
            <w:tcW w:w="1894" w:type="dxa"/>
          </w:tcPr>
          <w:p>
            <w:pPr>
              <w:pStyle w:val="TableParagraph"/>
              <w:ind w:left="16"/>
              <w:rPr>
                <w:sz w:val="20"/>
              </w:rPr>
            </w:pPr>
            <w:r>
              <w:rPr>
                <w:sz w:val="20"/>
              </w:rPr>
              <w:t>&gt;</w:t>
            </w:r>
            <w:r>
              <w:rPr>
                <w:spacing w:val="-4"/>
                <w:sz w:val="20"/>
              </w:rPr>
              <w:t> </w:t>
            </w:r>
            <w:r>
              <w:rPr>
                <w:sz w:val="20"/>
              </w:rPr>
              <w:t>10</w:t>
            </w:r>
            <w:r>
              <w:rPr>
                <w:spacing w:val="-2"/>
                <w:sz w:val="20"/>
              </w:rPr>
              <w:t> mg/dl</w:t>
            </w:r>
          </w:p>
        </w:tc>
      </w:tr>
      <w:tr>
        <w:trPr>
          <w:trHeight w:val="1151" w:hRule="atLeast"/>
        </w:trPr>
        <w:tc>
          <w:tcPr>
            <w:tcW w:w="9548" w:type="dxa"/>
            <w:gridSpan w:val="4"/>
          </w:tcPr>
          <w:p>
            <w:pPr>
              <w:pStyle w:val="TableParagraph"/>
              <w:spacing w:line="227" w:lineRule="exact"/>
              <w:jc w:val="left"/>
              <w:rPr>
                <w:sz w:val="20"/>
              </w:rPr>
            </w:pPr>
            <w:r>
              <w:rPr>
                <w:rFonts w:ascii="Arial" w:hAnsi="Arial"/>
                <w:b/>
                <w:sz w:val="20"/>
              </w:rPr>
              <w:t>Nota:</w:t>
            </w:r>
            <w:r>
              <w:rPr>
                <w:rFonts w:ascii="Arial" w:hAnsi="Arial"/>
                <w:b/>
                <w:spacing w:val="-6"/>
                <w:sz w:val="20"/>
              </w:rPr>
              <w:t> </w:t>
            </w:r>
            <w:r>
              <w:rPr>
                <w:sz w:val="20"/>
              </w:rPr>
              <w:t>Para</w:t>
            </w:r>
            <w:r>
              <w:rPr>
                <w:spacing w:val="-5"/>
                <w:sz w:val="20"/>
              </w:rPr>
              <w:t> </w:t>
            </w:r>
            <w:r>
              <w:rPr>
                <w:sz w:val="20"/>
              </w:rPr>
              <w:t>la</w:t>
            </w:r>
            <w:r>
              <w:rPr>
                <w:spacing w:val="-6"/>
                <w:sz w:val="20"/>
              </w:rPr>
              <w:t> </w:t>
            </w:r>
            <w:r>
              <w:rPr>
                <w:sz w:val="20"/>
              </w:rPr>
              <w:t>clasificación</w:t>
            </w:r>
            <w:r>
              <w:rPr>
                <w:spacing w:val="-5"/>
                <w:sz w:val="20"/>
              </w:rPr>
              <w:t> </w:t>
            </w:r>
            <w:r>
              <w:rPr>
                <w:sz w:val="20"/>
              </w:rPr>
              <w:t>Child-Pugh</w:t>
            </w:r>
            <w:r>
              <w:rPr>
                <w:spacing w:val="-6"/>
                <w:sz w:val="20"/>
              </w:rPr>
              <w:t> </w:t>
            </w:r>
            <w:r>
              <w:rPr>
                <w:sz w:val="20"/>
              </w:rPr>
              <w:t>se</w:t>
            </w:r>
            <w:r>
              <w:rPr>
                <w:spacing w:val="-5"/>
                <w:sz w:val="20"/>
              </w:rPr>
              <w:t> </w:t>
            </w:r>
            <w:r>
              <w:rPr>
                <w:sz w:val="20"/>
              </w:rPr>
              <w:t>usa</w:t>
            </w:r>
            <w:r>
              <w:rPr>
                <w:spacing w:val="-5"/>
                <w:sz w:val="20"/>
              </w:rPr>
              <w:t> </w:t>
            </w:r>
            <w:r>
              <w:rPr>
                <w:sz w:val="20"/>
              </w:rPr>
              <w:t>la</w:t>
            </w:r>
            <w:r>
              <w:rPr>
                <w:spacing w:val="-6"/>
                <w:sz w:val="20"/>
              </w:rPr>
              <w:t> </w:t>
            </w:r>
            <w:r>
              <w:rPr>
                <w:sz w:val="20"/>
              </w:rPr>
              <w:t>sumatoria</w:t>
            </w:r>
            <w:r>
              <w:rPr>
                <w:spacing w:val="-7"/>
                <w:sz w:val="20"/>
              </w:rPr>
              <w:t> </w:t>
            </w:r>
            <w:r>
              <w:rPr>
                <w:sz w:val="20"/>
              </w:rPr>
              <w:t>de</w:t>
            </w:r>
            <w:r>
              <w:rPr>
                <w:spacing w:val="-6"/>
                <w:sz w:val="20"/>
              </w:rPr>
              <w:t> </w:t>
            </w:r>
            <w:r>
              <w:rPr>
                <w:sz w:val="20"/>
              </w:rPr>
              <w:t>la</w:t>
            </w:r>
            <w:r>
              <w:rPr>
                <w:spacing w:val="-6"/>
                <w:sz w:val="20"/>
              </w:rPr>
              <w:t> </w:t>
            </w:r>
            <w:r>
              <w:rPr>
                <w:sz w:val="20"/>
              </w:rPr>
              <w:t>puntuación</w:t>
            </w:r>
            <w:r>
              <w:rPr>
                <w:spacing w:val="-7"/>
                <w:sz w:val="20"/>
              </w:rPr>
              <w:t> </w:t>
            </w:r>
            <w:r>
              <w:rPr>
                <w:sz w:val="20"/>
              </w:rPr>
              <w:t>de</w:t>
            </w:r>
            <w:r>
              <w:rPr>
                <w:spacing w:val="-6"/>
                <w:sz w:val="20"/>
              </w:rPr>
              <w:t> </w:t>
            </w:r>
            <w:r>
              <w:rPr>
                <w:sz w:val="20"/>
              </w:rPr>
              <w:t>la</w:t>
            </w:r>
            <w:r>
              <w:rPr>
                <w:spacing w:val="-5"/>
                <w:sz w:val="20"/>
              </w:rPr>
              <w:t> </w:t>
            </w:r>
            <w:r>
              <w:rPr>
                <w:spacing w:val="-2"/>
                <w:sz w:val="20"/>
              </w:rPr>
              <w:t>escala:</w:t>
            </w:r>
          </w:p>
          <w:p>
            <w:pPr>
              <w:pStyle w:val="TableParagraph"/>
              <w:spacing w:line="240" w:lineRule="auto" w:before="3"/>
              <w:ind w:left="0"/>
              <w:jc w:val="left"/>
              <w:rPr>
                <w:rFonts w:ascii="Arial"/>
                <w:b/>
                <w:sz w:val="20"/>
              </w:rPr>
            </w:pPr>
          </w:p>
          <w:p>
            <w:pPr>
              <w:pStyle w:val="TableParagraph"/>
              <w:spacing w:line="240" w:lineRule="auto"/>
              <w:jc w:val="left"/>
              <w:rPr>
                <w:sz w:val="20"/>
              </w:rPr>
            </w:pPr>
            <w:r>
              <w:rPr>
                <w:sz w:val="20"/>
              </w:rPr>
              <w:t>A</w:t>
            </w:r>
            <w:r>
              <w:rPr>
                <w:spacing w:val="-4"/>
                <w:sz w:val="20"/>
              </w:rPr>
              <w:t> </w:t>
            </w:r>
            <w:r>
              <w:rPr>
                <w:sz w:val="20"/>
              </w:rPr>
              <w:t>=</w:t>
            </w:r>
            <w:r>
              <w:rPr>
                <w:spacing w:val="-2"/>
                <w:sz w:val="20"/>
              </w:rPr>
              <w:t> </w:t>
            </w:r>
            <w:r>
              <w:rPr>
                <w:sz w:val="20"/>
              </w:rPr>
              <w:t>5-6</w:t>
            </w:r>
            <w:r>
              <w:rPr>
                <w:spacing w:val="-1"/>
                <w:sz w:val="20"/>
              </w:rPr>
              <w:t> </w:t>
            </w:r>
            <w:r>
              <w:rPr>
                <w:spacing w:val="-2"/>
                <w:sz w:val="20"/>
              </w:rPr>
              <w:t>puntos.</w:t>
            </w:r>
          </w:p>
          <w:p>
            <w:pPr>
              <w:pStyle w:val="TableParagraph"/>
              <w:spacing w:line="229" w:lineRule="exact"/>
              <w:jc w:val="left"/>
              <w:rPr>
                <w:sz w:val="20"/>
              </w:rPr>
            </w:pPr>
            <w:r>
              <w:rPr>
                <w:sz w:val="20"/>
              </w:rPr>
              <w:t>B</w:t>
            </w:r>
            <w:r>
              <w:rPr>
                <w:spacing w:val="-4"/>
                <w:sz w:val="20"/>
              </w:rPr>
              <w:t> </w:t>
            </w:r>
            <w:r>
              <w:rPr>
                <w:sz w:val="20"/>
              </w:rPr>
              <w:t>=</w:t>
            </w:r>
            <w:r>
              <w:rPr>
                <w:spacing w:val="-2"/>
                <w:sz w:val="20"/>
              </w:rPr>
              <w:t> </w:t>
            </w:r>
            <w:r>
              <w:rPr>
                <w:sz w:val="20"/>
              </w:rPr>
              <w:t>7-9</w:t>
            </w:r>
            <w:r>
              <w:rPr>
                <w:spacing w:val="-1"/>
                <w:sz w:val="20"/>
              </w:rPr>
              <w:t> </w:t>
            </w:r>
            <w:r>
              <w:rPr>
                <w:spacing w:val="-2"/>
                <w:sz w:val="20"/>
              </w:rPr>
              <w:t>puntos.</w:t>
            </w:r>
          </w:p>
          <w:p>
            <w:pPr>
              <w:pStyle w:val="TableParagraph"/>
              <w:spacing w:line="212" w:lineRule="exact"/>
              <w:jc w:val="left"/>
              <w:rPr>
                <w:sz w:val="20"/>
              </w:rPr>
            </w:pPr>
            <w:r>
              <w:rPr>
                <w:sz w:val="20"/>
              </w:rPr>
              <w:t>C</w:t>
            </w:r>
            <w:r>
              <w:rPr>
                <w:spacing w:val="-4"/>
                <w:sz w:val="20"/>
              </w:rPr>
              <w:t> </w:t>
            </w:r>
            <w:r>
              <w:rPr>
                <w:sz w:val="20"/>
              </w:rPr>
              <w:t>=</w:t>
            </w:r>
            <w:r>
              <w:rPr>
                <w:spacing w:val="-3"/>
                <w:sz w:val="20"/>
              </w:rPr>
              <w:t> </w:t>
            </w:r>
            <w:r>
              <w:rPr>
                <w:sz w:val="20"/>
              </w:rPr>
              <w:t>10-15</w:t>
            </w:r>
            <w:r>
              <w:rPr>
                <w:spacing w:val="-2"/>
                <w:sz w:val="20"/>
              </w:rPr>
              <w:t> puntos.</w:t>
            </w:r>
          </w:p>
        </w:tc>
      </w:tr>
    </w:tbl>
    <w:p>
      <w:pPr>
        <w:pStyle w:val="BodyText"/>
        <w:spacing w:before="2"/>
        <w:rPr>
          <w:rFonts w:ascii="Arial"/>
          <w:b/>
          <w:sz w:val="18"/>
        </w:rPr>
      </w:pPr>
      <w:r>
        <w:rPr>
          <w:rFonts w:ascii="Arial"/>
          <w:b/>
          <w:sz w:val="18"/>
        </w:rPr>
        <mc:AlternateContent>
          <mc:Choice Requires="wps">
            <w:drawing>
              <wp:anchor distT="0" distB="0" distL="0" distR="0" allowOverlap="1" layoutInCell="1" locked="0" behindDoc="1" simplePos="0" relativeHeight="487588352">
                <wp:simplePos x="0" y="0"/>
                <wp:positionH relativeFrom="page">
                  <wp:posOffset>855268</wp:posOffset>
                </wp:positionH>
                <wp:positionV relativeFrom="paragraph">
                  <wp:posOffset>153023</wp:posOffset>
                </wp:positionV>
                <wp:extent cx="6063615" cy="741045"/>
                <wp:effectExtent l="0" t="0" r="0" b="0"/>
                <wp:wrapTopAndBottom/>
                <wp:docPr id="8" name="Textbox 8"/>
                <wp:cNvGraphicFramePr>
                  <a:graphicFrameLocks/>
                </wp:cNvGraphicFramePr>
                <a:graphic>
                  <a:graphicData uri="http://schemas.microsoft.com/office/word/2010/wordprocessingShape">
                    <wps:wsp>
                      <wps:cNvPr id="8" name="Textbox 8"/>
                      <wps:cNvSpPr txBox="1"/>
                      <wps:spPr>
                        <a:xfrm>
                          <a:off x="0" y="0"/>
                          <a:ext cx="6063615" cy="741045"/>
                        </a:xfrm>
                        <a:prstGeom prst="rect">
                          <a:avLst/>
                        </a:prstGeom>
                        <a:ln w="9143">
                          <a:solidFill>
                            <a:srgbClr val="000000"/>
                          </a:solidFill>
                          <a:prstDash val="solid"/>
                        </a:ln>
                      </wps:spPr>
                      <wps:txbx>
                        <w:txbxContent>
                          <w:p>
                            <w:pPr>
                              <w:spacing w:line="240" w:lineRule="auto" w:before="0"/>
                              <w:ind w:left="0" w:right="4" w:firstLine="0"/>
                              <w:jc w:val="center"/>
                              <w:rPr>
                                <w:rFonts w:ascii="Arial" w:hAnsi="Arial"/>
                                <w:b/>
                                <w:sz w:val="20"/>
                              </w:rPr>
                            </w:pPr>
                            <w:r>
                              <w:rPr>
                                <w:rFonts w:ascii="Arial" w:hAnsi="Arial"/>
                                <w:b/>
                                <w:sz w:val="20"/>
                              </w:rPr>
                              <w:t>Escala</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z w:val="20"/>
                              </w:rPr>
                              <w:t>MELD</w:t>
                            </w:r>
                            <w:r>
                              <w:rPr>
                                <w:rFonts w:ascii="Arial" w:hAnsi="Arial"/>
                                <w:b/>
                                <w:spacing w:val="-4"/>
                                <w:sz w:val="20"/>
                              </w:rPr>
                              <w:t> </w:t>
                            </w:r>
                            <w:r>
                              <w:rPr>
                                <w:rFonts w:ascii="Arial" w:hAnsi="Arial"/>
                                <w:b/>
                                <w:sz w:val="20"/>
                              </w:rPr>
                              <w:t>(Model</w:t>
                            </w:r>
                            <w:r>
                              <w:rPr>
                                <w:rFonts w:ascii="Arial" w:hAnsi="Arial"/>
                                <w:b/>
                                <w:spacing w:val="-4"/>
                                <w:sz w:val="20"/>
                              </w:rPr>
                              <w:t> </w:t>
                            </w:r>
                            <w:r>
                              <w:rPr>
                                <w:rFonts w:ascii="Arial" w:hAnsi="Arial"/>
                                <w:b/>
                                <w:sz w:val="20"/>
                              </w:rPr>
                              <w:t>for</w:t>
                            </w:r>
                            <w:r>
                              <w:rPr>
                                <w:rFonts w:ascii="Arial" w:hAnsi="Arial"/>
                                <w:b/>
                                <w:spacing w:val="-4"/>
                                <w:sz w:val="20"/>
                              </w:rPr>
                              <w:t> </w:t>
                            </w:r>
                            <w:r>
                              <w:rPr>
                                <w:rFonts w:ascii="Arial" w:hAnsi="Arial"/>
                                <w:b/>
                                <w:sz w:val="20"/>
                              </w:rPr>
                              <w:t>End</w:t>
                            </w:r>
                            <w:r>
                              <w:rPr>
                                <w:rFonts w:ascii="Arial" w:hAnsi="Arial"/>
                                <w:b/>
                                <w:spacing w:val="-1"/>
                                <w:sz w:val="20"/>
                              </w:rPr>
                              <w:t> </w:t>
                            </w:r>
                            <w:r>
                              <w:rPr>
                                <w:rFonts w:ascii="Arial" w:hAnsi="Arial"/>
                                <w:b/>
                                <w:sz w:val="20"/>
                              </w:rPr>
                              <w:t>Stage</w:t>
                            </w:r>
                            <w:r>
                              <w:rPr>
                                <w:rFonts w:ascii="Arial" w:hAnsi="Arial"/>
                                <w:b/>
                                <w:spacing w:val="-4"/>
                                <w:sz w:val="20"/>
                              </w:rPr>
                              <w:t> </w:t>
                            </w:r>
                            <w:r>
                              <w:rPr>
                                <w:rFonts w:ascii="Arial" w:hAnsi="Arial"/>
                                <w:b/>
                                <w:sz w:val="20"/>
                              </w:rPr>
                              <w:t>Liver</w:t>
                            </w:r>
                            <w:r>
                              <w:rPr>
                                <w:rFonts w:ascii="Arial" w:hAnsi="Arial"/>
                                <w:b/>
                                <w:spacing w:val="-2"/>
                                <w:sz w:val="20"/>
                              </w:rPr>
                              <w:t> </w:t>
                            </w:r>
                            <w:r>
                              <w:rPr>
                                <w:rFonts w:ascii="Arial" w:hAnsi="Arial"/>
                                <w:b/>
                                <w:sz w:val="20"/>
                              </w:rPr>
                              <w:t>Disease)</w:t>
                            </w:r>
                            <w:r>
                              <w:rPr>
                                <w:rFonts w:ascii="Arial" w:hAnsi="Arial"/>
                                <w:b/>
                                <w:spacing w:val="-3"/>
                                <w:sz w:val="20"/>
                              </w:rPr>
                              <w:t> </w:t>
                            </w:r>
                            <w:r>
                              <w:rPr>
                                <w:rFonts w:ascii="Arial" w:hAnsi="Arial"/>
                                <w:b/>
                                <w:sz w:val="20"/>
                              </w:rPr>
                              <w:t>modelo</w:t>
                            </w:r>
                            <w:r>
                              <w:rPr>
                                <w:rFonts w:ascii="Arial" w:hAnsi="Arial"/>
                                <w:b/>
                                <w:spacing w:val="-4"/>
                                <w:sz w:val="20"/>
                              </w:rPr>
                              <w:t> </w:t>
                            </w:r>
                            <w:r>
                              <w:rPr>
                                <w:rFonts w:ascii="Arial" w:hAnsi="Arial"/>
                                <w:b/>
                                <w:sz w:val="20"/>
                              </w:rPr>
                              <w:t>matemático</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predicción</w:t>
                            </w:r>
                            <w:r>
                              <w:rPr>
                                <w:rFonts w:ascii="Arial" w:hAnsi="Arial"/>
                                <w:b/>
                                <w:spacing w:val="-3"/>
                                <w:sz w:val="20"/>
                              </w:rPr>
                              <w:t> </w:t>
                            </w:r>
                            <w:r>
                              <w:rPr>
                                <w:rFonts w:ascii="Arial" w:hAnsi="Arial"/>
                                <w:b/>
                                <w:sz w:val="20"/>
                              </w:rPr>
                              <w:t>de</w:t>
                            </w:r>
                            <w:r>
                              <w:rPr>
                                <w:rFonts w:ascii="Arial" w:hAnsi="Arial"/>
                                <w:b/>
                                <w:spacing w:val="-2"/>
                                <w:sz w:val="20"/>
                              </w:rPr>
                              <w:t> </w:t>
                            </w:r>
                            <w:r>
                              <w:rPr>
                                <w:rFonts w:ascii="Arial" w:hAnsi="Arial"/>
                                <w:b/>
                                <w:sz w:val="20"/>
                              </w:rPr>
                              <w:t>la sobrevida de una persona con enfermedad hepática basado en valores de bilirrubina, ratio internacional normalizado (INR) y creatinina.</w:t>
                            </w:r>
                          </w:p>
                          <w:p>
                            <w:pPr>
                              <w:spacing w:before="228"/>
                              <w:ind w:left="2" w:right="4" w:firstLine="0"/>
                              <w:jc w:val="center"/>
                              <w:rPr>
                                <w:rFonts w:ascii="Arial" w:hAnsi="Arial"/>
                                <w:b/>
                                <w:sz w:val="20"/>
                              </w:rPr>
                            </w:pPr>
                            <w:r>
                              <w:rPr>
                                <w:rFonts w:ascii="Arial" w:hAnsi="Arial"/>
                                <w:b/>
                                <w:sz w:val="20"/>
                              </w:rPr>
                              <w:t>El</w:t>
                            </w:r>
                            <w:r>
                              <w:rPr>
                                <w:rFonts w:ascii="Arial" w:hAnsi="Arial"/>
                                <w:b/>
                                <w:spacing w:val="-5"/>
                                <w:sz w:val="20"/>
                              </w:rPr>
                              <w:t> </w:t>
                            </w:r>
                            <w:r>
                              <w:rPr>
                                <w:rFonts w:ascii="Arial" w:hAnsi="Arial"/>
                                <w:b/>
                                <w:sz w:val="20"/>
                              </w:rPr>
                              <w:t>rango</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valores</w:t>
                            </w:r>
                            <w:r>
                              <w:rPr>
                                <w:rFonts w:ascii="Arial" w:hAnsi="Arial"/>
                                <w:b/>
                                <w:spacing w:val="-6"/>
                                <w:sz w:val="20"/>
                              </w:rPr>
                              <w:t> </w:t>
                            </w:r>
                            <w:r>
                              <w:rPr>
                                <w:rFonts w:ascii="Arial" w:hAnsi="Arial"/>
                                <w:b/>
                                <w:sz w:val="20"/>
                              </w:rPr>
                              <w:t>va</w:t>
                            </w:r>
                            <w:r>
                              <w:rPr>
                                <w:rFonts w:ascii="Arial" w:hAnsi="Arial"/>
                                <w:b/>
                                <w:spacing w:val="-4"/>
                                <w:sz w:val="20"/>
                              </w:rPr>
                              <w:t> </w:t>
                            </w:r>
                            <w:r>
                              <w:rPr>
                                <w:rFonts w:ascii="Arial" w:hAnsi="Arial"/>
                                <w:b/>
                                <w:sz w:val="20"/>
                              </w:rPr>
                              <w:t>de</w:t>
                            </w:r>
                            <w:r>
                              <w:rPr>
                                <w:rFonts w:ascii="Arial" w:hAnsi="Arial"/>
                                <w:b/>
                                <w:spacing w:val="-3"/>
                                <w:sz w:val="20"/>
                              </w:rPr>
                              <w:t> </w:t>
                            </w:r>
                            <w:r>
                              <w:rPr>
                                <w:rFonts w:ascii="Arial" w:hAnsi="Arial"/>
                                <w:b/>
                                <w:sz w:val="20"/>
                              </w:rPr>
                              <w:t>6</w:t>
                            </w:r>
                            <w:r>
                              <w:rPr>
                                <w:rFonts w:ascii="Arial" w:hAnsi="Arial"/>
                                <w:b/>
                                <w:spacing w:val="-4"/>
                                <w:sz w:val="20"/>
                              </w:rPr>
                              <w:t> </w:t>
                            </w:r>
                            <w:r>
                              <w:rPr>
                                <w:rFonts w:ascii="Arial" w:hAnsi="Arial"/>
                                <w:b/>
                                <w:sz w:val="20"/>
                              </w:rPr>
                              <w:t>a</w:t>
                            </w:r>
                            <w:r>
                              <w:rPr>
                                <w:rFonts w:ascii="Arial" w:hAnsi="Arial"/>
                                <w:b/>
                                <w:spacing w:val="-3"/>
                                <w:sz w:val="20"/>
                              </w:rPr>
                              <w:t> </w:t>
                            </w:r>
                            <w:r>
                              <w:rPr>
                                <w:rFonts w:ascii="Arial" w:hAnsi="Arial"/>
                                <w:b/>
                                <w:sz w:val="20"/>
                              </w:rPr>
                              <w:t>40;</w:t>
                            </w:r>
                            <w:r>
                              <w:rPr>
                                <w:rFonts w:ascii="Arial" w:hAnsi="Arial"/>
                                <w:b/>
                                <w:spacing w:val="-3"/>
                                <w:sz w:val="20"/>
                              </w:rPr>
                              <w:t> </w:t>
                            </w:r>
                            <w:r>
                              <w:rPr>
                                <w:rFonts w:ascii="Arial" w:hAnsi="Arial"/>
                                <w:b/>
                                <w:sz w:val="20"/>
                              </w:rPr>
                              <w:t>el</w:t>
                            </w:r>
                            <w:r>
                              <w:rPr>
                                <w:rFonts w:ascii="Arial" w:hAnsi="Arial"/>
                                <w:b/>
                                <w:spacing w:val="-5"/>
                                <w:sz w:val="20"/>
                              </w:rPr>
                              <w:t> </w:t>
                            </w:r>
                            <w:r>
                              <w:rPr>
                                <w:rFonts w:ascii="Arial" w:hAnsi="Arial"/>
                                <w:b/>
                                <w:sz w:val="20"/>
                              </w:rPr>
                              <w:t>valor</w:t>
                            </w:r>
                            <w:r>
                              <w:rPr>
                                <w:rFonts w:ascii="Arial" w:hAnsi="Arial"/>
                                <w:b/>
                                <w:spacing w:val="-4"/>
                                <w:sz w:val="20"/>
                              </w:rPr>
                              <w:t> </w:t>
                            </w:r>
                            <w:r>
                              <w:rPr>
                                <w:rFonts w:ascii="Arial" w:hAnsi="Arial"/>
                                <w:b/>
                                <w:sz w:val="20"/>
                              </w:rPr>
                              <w:t>mínimo</w:t>
                            </w:r>
                            <w:r>
                              <w:rPr>
                                <w:rFonts w:ascii="Arial" w:hAnsi="Arial"/>
                                <w:b/>
                                <w:spacing w:val="-2"/>
                                <w:sz w:val="20"/>
                              </w:rPr>
                              <w:t> </w:t>
                            </w:r>
                            <w:r>
                              <w:rPr>
                                <w:rFonts w:ascii="Arial" w:hAnsi="Arial"/>
                                <w:b/>
                                <w:sz w:val="20"/>
                              </w:rPr>
                              <w:t>es</w:t>
                            </w:r>
                            <w:r>
                              <w:rPr>
                                <w:rFonts w:ascii="Arial" w:hAnsi="Arial"/>
                                <w:b/>
                                <w:spacing w:val="-5"/>
                                <w:sz w:val="20"/>
                              </w:rPr>
                              <w:t> </w:t>
                            </w:r>
                            <w:r>
                              <w:rPr>
                                <w:rFonts w:ascii="Arial" w:hAnsi="Arial"/>
                                <w:b/>
                                <w:sz w:val="20"/>
                              </w:rPr>
                              <w:t>1</w:t>
                            </w:r>
                            <w:r>
                              <w:rPr>
                                <w:rFonts w:ascii="Arial" w:hAnsi="Arial"/>
                                <w:b/>
                                <w:spacing w:val="-4"/>
                                <w:sz w:val="20"/>
                              </w:rPr>
                              <w:t> </w:t>
                            </w:r>
                            <w:r>
                              <w:rPr>
                                <w:rFonts w:ascii="Arial" w:hAnsi="Arial"/>
                                <w:b/>
                                <w:sz w:val="20"/>
                              </w:rPr>
                              <w:t>para</w:t>
                            </w:r>
                            <w:r>
                              <w:rPr>
                                <w:rFonts w:ascii="Arial" w:hAnsi="Arial"/>
                                <w:b/>
                                <w:spacing w:val="-3"/>
                                <w:sz w:val="20"/>
                              </w:rPr>
                              <w:t> </w:t>
                            </w:r>
                            <w:r>
                              <w:rPr>
                                <w:rFonts w:ascii="Arial" w:hAnsi="Arial"/>
                                <w:b/>
                                <w:sz w:val="20"/>
                              </w:rPr>
                              <w:t>cada</w:t>
                            </w:r>
                            <w:r>
                              <w:rPr>
                                <w:rFonts w:ascii="Arial" w:hAnsi="Arial"/>
                                <w:b/>
                                <w:spacing w:val="-4"/>
                                <w:sz w:val="20"/>
                              </w:rPr>
                              <w:t> </w:t>
                            </w:r>
                            <w:r>
                              <w:rPr>
                                <w:rFonts w:ascii="Arial" w:hAnsi="Arial"/>
                                <w:b/>
                                <w:sz w:val="20"/>
                              </w:rPr>
                              <w:t>variable</w:t>
                            </w:r>
                            <w:r>
                              <w:rPr>
                                <w:rFonts w:ascii="Arial" w:hAnsi="Arial"/>
                                <w:b/>
                                <w:spacing w:val="-1"/>
                                <w:sz w:val="20"/>
                              </w:rPr>
                              <w:t> </w:t>
                            </w:r>
                            <w:r>
                              <w:rPr>
                                <w:rFonts w:ascii="Arial" w:hAnsi="Arial"/>
                                <w:b/>
                                <w:sz w:val="20"/>
                              </w:rPr>
                              <w:t>y</w:t>
                            </w:r>
                            <w:r>
                              <w:rPr>
                                <w:rFonts w:ascii="Arial" w:hAnsi="Arial"/>
                                <w:b/>
                                <w:spacing w:val="-6"/>
                                <w:sz w:val="20"/>
                              </w:rPr>
                              <w:t> </w:t>
                            </w:r>
                            <w:r>
                              <w:rPr>
                                <w:rFonts w:ascii="Arial" w:hAnsi="Arial"/>
                                <w:b/>
                                <w:sz w:val="20"/>
                              </w:rPr>
                              <w:t>a</w:t>
                            </w:r>
                            <w:r>
                              <w:rPr>
                                <w:rFonts w:ascii="Arial" w:hAnsi="Arial"/>
                                <w:b/>
                                <w:spacing w:val="-3"/>
                                <w:sz w:val="20"/>
                              </w:rPr>
                              <w:t> </w:t>
                            </w:r>
                            <w:r>
                              <w:rPr>
                                <w:rFonts w:ascii="Arial" w:hAnsi="Arial"/>
                                <w:b/>
                                <w:sz w:val="20"/>
                              </w:rPr>
                              <w:t>menor</w:t>
                            </w:r>
                            <w:r>
                              <w:rPr>
                                <w:rFonts w:ascii="Arial" w:hAnsi="Arial"/>
                                <w:b/>
                                <w:spacing w:val="-5"/>
                                <w:sz w:val="20"/>
                              </w:rPr>
                              <w:t> </w:t>
                            </w:r>
                            <w:r>
                              <w:rPr>
                                <w:rFonts w:ascii="Arial" w:hAnsi="Arial"/>
                                <w:b/>
                                <w:sz w:val="20"/>
                              </w:rPr>
                              <w:t>puntaje,</w:t>
                            </w:r>
                            <w:r>
                              <w:rPr>
                                <w:rFonts w:ascii="Arial" w:hAnsi="Arial"/>
                                <w:b/>
                                <w:spacing w:val="-2"/>
                                <w:sz w:val="20"/>
                              </w:rPr>
                              <w:t> mejor</w:t>
                            </w:r>
                          </w:p>
                        </w:txbxContent>
                      </wps:txbx>
                      <wps:bodyPr wrap="square" lIns="0" tIns="0" rIns="0" bIns="0" rtlCol="0">
                        <a:noAutofit/>
                      </wps:bodyPr>
                    </wps:wsp>
                  </a:graphicData>
                </a:graphic>
              </wp:anchor>
            </w:drawing>
          </mc:Choice>
          <mc:Fallback>
            <w:pict>
              <v:shape style="position:absolute;margin-left:67.344002pt;margin-top:12.049121pt;width:477.45pt;height:58.35pt;mso-position-horizontal-relative:page;mso-position-vertical-relative:paragraph;z-index:-15728128;mso-wrap-distance-left:0;mso-wrap-distance-right:0" type="#_x0000_t202" id="docshape7" filled="false" stroked="true" strokeweight=".71997pt" strokecolor="#000000">
                <v:textbox inset="0,0,0,0">
                  <w:txbxContent>
                    <w:p>
                      <w:pPr>
                        <w:spacing w:line="240" w:lineRule="auto" w:before="0"/>
                        <w:ind w:left="0" w:right="4" w:firstLine="0"/>
                        <w:jc w:val="center"/>
                        <w:rPr>
                          <w:rFonts w:ascii="Arial" w:hAnsi="Arial"/>
                          <w:b/>
                          <w:sz w:val="20"/>
                        </w:rPr>
                      </w:pPr>
                      <w:r>
                        <w:rPr>
                          <w:rFonts w:ascii="Arial" w:hAnsi="Arial"/>
                          <w:b/>
                          <w:sz w:val="20"/>
                        </w:rPr>
                        <w:t>Escala</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z w:val="20"/>
                        </w:rPr>
                        <w:t>MELD</w:t>
                      </w:r>
                      <w:r>
                        <w:rPr>
                          <w:rFonts w:ascii="Arial" w:hAnsi="Arial"/>
                          <w:b/>
                          <w:spacing w:val="-4"/>
                          <w:sz w:val="20"/>
                        </w:rPr>
                        <w:t> </w:t>
                      </w:r>
                      <w:r>
                        <w:rPr>
                          <w:rFonts w:ascii="Arial" w:hAnsi="Arial"/>
                          <w:b/>
                          <w:sz w:val="20"/>
                        </w:rPr>
                        <w:t>(Model</w:t>
                      </w:r>
                      <w:r>
                        <w:rPr>
                          <w:rFonts w:ascii="Arial" w:hAnsi="Arial"/>
                          <w:b/>
                          <w:spacing w:val="-4"/>
                          <w:sz w:val="20"/>
                        </w:rPr>
                        <w:t> </w:t>
                      </w:r>
                      <w:r>
                        <w:rPr>
                          <w:rFonts w:ascii="Arial" w:hAnsi="Arial"/>
                          <w:b/>
                          <w:sz w:val="20"/>
                        </w:rPr>
                        <w:t>for</w:t>
                      </w:r>
                      <w:r>
                        <w:rPr>
                          <w:rFonts w:ascii="Arial" w:hAnsi="Arial"/>
                          <w:b/>
                          <w:spacing w:val="-4"/>
                          <w:sz w:val="20"/>
                        </w:rPr>
                        <w:t> </w:t>
                      </w:r>
                      <w:r>
                        <w:rPr>
                          <w:rFonts w:ascii="Arial" w:hAnsi="Arial"/>
                          <w:b/>
                          <w:sz w:val="20"/>
                        </w:rPr>
                        <w:t>End</w:t>
                      </w:r>
                      <w:r>
                        <w:rPr>
                          <w:rFonts w:ascii="Arial" w:hAnsi="Arial"/>
                          <w:b/>
                          <w:spacing w:val="-1"/>
                          <w:sz w:val="20"/>
                        </w:rPr>
                        <w:t> </w:t>
                      </w:r>
                      <w:r>
                        <w:rPr>
                          <w:rFonts w:ascii="Arial" w:hAnsi="Arial"/>
                          <w:b/>
                          <w:sz w:val="20"/>
                        </w:rPr>
                        <w:t>Stage</w:t>
                      </w:r>
                      <w:r>
                        <w:rPr>
                          <w:rFonts w:ascii="Arial" w:hAnsi="Arial"/>
                          <w:b/>
                          <w:spacing w:val="-4"/>
                          <w:sz w:val="20"/>
                        </w:rPr>
                        <w:t> </w:t>
                      </w:r>
                      <w:r>
                        <w:rPr>
                          <w:rFonts w:ascii="Arial" w:hAnsi="Arial"/>
                          <w:b/>
                          <w:sz w:val="20"/>
                        </w:rPr>
                        <w:t>Liver</w:t>
                      </w:r>
                      <w:r>
                        <w:rPr>
                          <w:rFonts w:ascii="Arial" w:hAnsi="Arial"/>
                          <w:b/>
                          <w:spacing w:val="-2"/>
                          <w:sz w:val="20"/>
                        </w:rPr>
                        <w:t> </w:t>
                      </w:r>
                      <w:r>
                        <w:rPr>
                          <w:rFonts w:ascii="Arial" w:hAnsi="Arial"/>
                          <w:b/>
                          <w:sz w:val="20"/>
                        </w:rPr>
                        <w:t>Disease)</w:t>
                      </w:r>
                      <w:r>
                        <w:rPr>
                          <w:rFonts w:ascii="Arial" w:hAnsi="Arial"/>
                          <w:b/>
                          <w:spacing w:val="-3"/>
                          <w:sz w:val="20"/>
                        </w:rPr>
                        <w:t> </w:t>
                      </w:r>
                      <w:r>
                        <w:rPr>
                          <w:rFonts w:ascii="Arial" w:hAnsi="Arial"/>
                          <w:b/>
                          <w:sz w:val="20"/>
                        </w:rPr>
                        <w:t>modelo</w:t>
                      </w:r>
                      <w:r>
                        <w:rPr>
                          <w:rFonts w:ascii="Arial" w:hAnsi="Arial"/>
                          <w:b/>
                          <w:spacing w:val="-4"/>
                          <w:sz w:val="20"/>
                        </w:rPr>
                        <w:t> </w:t>
                      </w:r>
                      <w:r>
                        <w:rPr>
                          <w:rFonts w:ascii="Arial" w:hAnsi="Arial"/>
                          <w:b/>
                          <w:sz w:val="20"/>
                        </w:rPr>
                        <w:t>matemático</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predicción</w:t>
                      </w:r>
                      <w:r>
                        <w:rPr>
                          <w:rFonts w:ascii="Arial" w:hAnsi="Arial"/>
                          <w:b/>
                          <w:spacing w:val="-3"/>
                          <w:sz w:val="20"/>
                        </w:rPr>
                        <w:t> </w:t>
                      </w:r>
                      <w:r>
                        <w:rPr>
                          <w:rFonts w:ascii="Arial" w:hAnsi="Arial"/>
                          <w:b/>
                          <w:sz w:val="20"/>
                        </w:rPr>
                        <w:t>de</w:t>
                      </w:r>
                      <w:r>
                        <w:rPr>
                          <w:rFonts w:ascii="Arial" w:hAnsi="Arial"/>
                          <w:b/>
                          <w:spacing w:val="-2"/>
                          <w:sz w:val="20"/>
                        </w:rPr>
                        <w:t> </w:t>
                      </w:r>
                      <w:r>
                        <w:rPr>
                          <w:rFonts w:ascii="Arial" w:hAnsi="Arial"/>
                          <w:b/>
                          <w:sz w:val="20"/>
                        </w:rPr>
                        <w:t>la sobrevida de una persona con enfermedad hepática basado en valores de bilirrubina, ratio internacional normalizado (INR) y creatinina.</w:t>
                      </w:r>
                    </w:p>
                    <w:p>
                      <w:pPr>
                        <w:spacing w:before="228"/>
                        <w:ind w:left="2" w:right="4" w:firstLine="0"/>
                        <w:jc w:val="center"/>
                        <w:rPr>
                          <w:rFonts w:ascii="Arial" w:hAnsi="Arial"/>
                          <w:b/>
                          <w:sz w:val="20"/>
                        </w:rPr>
                      </w:pPr>
                      <w:r>
                        <w:rPr>
                          <w:rFonts w:ascii="Arial" w:hAnsi="Arial"/>
                          <w:b/>
                          <w:sz w:val="20"/>
                        </w:rPr>
                        <w:t>El</w:t>
                      </w:r>
                      <w:r>
                        <w:rPr>
                          <w:rFonts w:ascii="Arial" w:hAnsi="Arial"/>
                          <w:b/>
                          <w:spacing w:val="-5"/>
                          <w:sz w:val="20"/>
                        </w:rPr>
                        <w:t> </w:t>
                      </w:r>
                      <w:r>
                        <w:rPr>
                          <w:rFonts w:ascii="Arial" w:hAnsi="Arial"/>
                          <w:b/>
                          <w:sz w:val="20"/>
                        </w:rPr>
                        <w:t>rango</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valores</w:t>
                      </w:r>
                      <w:r>
                        <w:rPr>
                          <w:rFonts w:ascii="Arial" w:hAnsi="Arial"/>
                          <w:b/>
                          <w:spacing w:val="-6"/>
                          <w:sz w:val="20"/>
                        </w:rPr>
                        <w:t> </w:t>
                      </w:r>
                      <w:r>
                        <w:rPr>
                          <w:rFonts w:ascii="Arial" w:hAnsi="Arial"/>
                          <w:b/>
                          <w:sz w:val="20"/>
                        </w:rPr>
                        <w:t>va</w:t>
                      </w:r>
                      <w:r>
                        <w:rPr>
                          <w:rFonts w:ascii="Arial" w:hAnsi="Arial"/>
                          <w:b/>
                          <w:spacing w:val="-4"/>
                          <w:sz w:val="20"/>
                        </w:rPr>
                        <w:t> </w:t>
                      </w:r>
                      <w:r>
                        <w:rPr>
                          <w:rFonts w:ascii="Arial" w:hAnsi="Arial"/>
                          <w:b/>
                          <w:sz w:val="20"/>
                        </w:rPr>
                        <w:t>de</w:t>
                      </w:r>
                      <w:r>
                        <w:rPr>
                          <w:rFonts w:ascii="Arial" w:hAnsi="Arial"/>
                          <w:b/>
                          <w:spacing w:val="-3"/>
                          <w:sz w:val="20"/>
                        </w:rPr>
                        <w:t> </w:t>
                      </w:r>
                      <w:r>
                        <w:rPr>
                          <w:rFonts w:ascii="Arial" w:hAnsi="Arial"/>
                          <w:b/>
                          <w:sz w:val="20"/>
                        </w:rPr>
                        <w:t>6</w:t>
                      </w:r>
                      <w:r>
                        <w:rPr>
                          <w:rFonts w:ascii="Arial" w:hAnsi="Arial"/>
                          <w:b/>
                          <w:spacing w:val="-4"/>
                          <w:sz w:val="20"/>
                        </w:rPr>
                        <w:t> </w:t>
                      </w:r>
                      <w:r>
                        <w:rPr>
                          <w:rFonts w:ascii="Arial" w:hAnsi="Arial"/>
                          <w:b/>
                          <w:sz w:val="20"/>
                        </w:rPr>
                        <w:t>a</w:t>
                      </w:r>
                      <w:r>
                        <w:rPr>
                          <w:rFonts w:ascii="Arial" w:hAnsi="Arial"/>
                          <w:b/>
                          <w:spacing w:val="-3"/>
                          <w:sz w:val="20"/>
                        </w:rPr>
                        <w:t> </w:t>
                      </w:r>
                      <w:r>
                        <w:rPr>
                          <w:rFonts w:ascii="Arial" w:hAnsi="Arial"/>
                          <w:b/>
                          <w:sz w:val="20"/>
                        </w:rPr>
                        <w:t>40;</w:t>
                      </w:r>
                      <w:r>
                        <w:rPr>
                          <w:rFonts w:ascii="Arial" w:hAnsi="Arial"/>
                          <w:b/>
                          <w:spacing w:val="-3"/>
                          <w:sz w:val="20"/>
                        </w:rPr>
                        <w:t> </w:t>
                      </w:r>
                      <w:r>
                        <w:rPr>
                          <w:rFonts w:ascii="Arial" w:hAnsi="Arial"/>
                          <w:b/>
                          <w:sz w:val="20"/>
                        </w:rPr>
                        <w:t>el</w:t>
                      </w:r>
                      <w:r>
                        <w:rPr>
                          <w:rFonts w:ascii="Arial" w:hAnsi="Arial"/>
                          <w:b/>
                          <w:spacing w:val="-5"/>
                          <w:sz w:val="20"/>
                        </w:rPr>
                        <w:t> </w:t>
                      </w:r>
                      <w:r>
                        <w:rPr>
                          <w:rFonts w:ascii="Arial" w:hAnsi="Arial"/>
                          <w:b/>
                          <w:sz w:val="20"/>
                        </w:rPr>
                        <w:t>valor</w:t>
                      </w:r>
                      <w:r>
                        <w:rPr>
                          <w:rFonts w:ascii="Arial" w:hAnsi="Arial"/>
                          <w:b/>
                          <w:spacing w:val="-4"/>
                          <w:sz w:val="20"/>
                        </w:rPr>
                        <w:t> </w:t>
                      </w:r>
                      <w:r>
                        <w:rPr>
                          <w:rFonts w:ascii="Arial" w:hAnsi="Arial"/>
                          <w:b/>
                          <w:sz w:val="20"/>
                        </w:rPr>
                        <w:t>mínimo</w:t>
                      </w:r>
                      <w:r>
                        <w:rPr>
                          <w:rFonts w:ascii="Arial" w:hAnsi="Arial"/>
                          <w:b/>
                          <w:spacing w:val="-2"/>
                          <w:sz w:val="20"/>
                        </w:rPr>
                        <w:t> </w:t>
                      </w:r>
                      <w:r>
                        <w:rPr>
                          <w:rFonts w:ascii="Arial" w:hAnsi="Arial"/>
                          <w:b/>
                          <w:sz w:val="20"/>
                        </w:rPr>
                        <w:t>es</w:t>
                      </w:r>
                      <w:r>
                        <w:rPr>
                          <w:rFonts w:ascii="Arial" w:hAnsi="Arial"/>
                          <w:b/>
                          <w:spacing w:val="-5"/>
                          <w:sz w:val="20"/>
                        </w:rPr>
                        <w:t> </w:t>
                      </w:r>
                      <w:r>
                        <w:rPr>
                          <w:rFonts w:ascii="Arial" w:hAnsi="Arial"/>
                          <w:b/>
                          <w:sz w:val="20"/>
                        </w:rPr>
                        <w:t>1</w:t>
                      </w:r>
                      <w:r>
                        <w:rPr>
                          <w:rFonts w:ascii="Arial" w:hAnsi="Arial"/>
                          <w:b/>
                          <w:spacing w:val="-4"/>
                          <w:sz w:val="20"/>
                        </w:rPr>
                        <w:t> </w:t>
                      </w:r>
                      <w:r>
                        <w:rPr>
                          <w:rFonts w:ascii="Arial" w:hAnsi="Arial"/>
                          <w:b/>
                          <w:sz w:val="20"/>
                        </w:rPr>
                        <w:t>para</w:t>
                      </w:r>
                      <w:r>
                        <w:rPr>
                          <w:rFonts w:ascii="Arial" w:hAnsi="Arial"/>
                          <w:b/>
                          <w:spacing w:val="-3"/>
                          <w:sz w:val="20"/>
                        </w:rPr>
                        <w:t> </w:t>
                      </w:r>
                      <w:r>
                        <w:rPr>
                          <w:rFonts w:ascii="Arial" w:hAnsi="Arial"/>
                          <w:b/>
                          <w:sz w:val="20"/>
                        </w:rPr>
                        <w:t>cada</w:t>
                      </w:r>
                      <w:r>
                        <w:rPr>
                          <w:rFonts w:ascii="Arial" w:hAnsi="Arial"/>
                          <w:b/>
                          <w:spacing w:val="-4"/>
                          <w:sz w:val="20"/>
                        </w:rPr>
                        <w:t> </w:t>
                      </w:r>
                      <w:r>
                        <w:rPr>
                          <w:rFonts w:ascii="Arial" w:hAnsi="Arial"/>
                          <w:b/>
                          <w:sz w:val="20"/>
                        </w:rPr>
                        <w:t>variable</w:t>
                      </w:r>
                      <w:r>
                        <w:rPr>
                          <w:rFonts w:ascii="Arial" w:hAnsi="Arial"/>
                          <w:b/>
                          <w:spacing w:val="-1"/>
                          <w:sz w:val="20"/>
                        </w:rPr>
                        <w:t> </w:t>
                      </w:r>
                      <w:r>
                        <w:rPr>
                          <w:rFonts w:ascii="Arial" w:hAnsi="Arial"/>
                          <w:b/>
                          <w:sz w:val="20"/>
                        </w:rPr>
                        <w:t>y</w:t>
                      </w:r>
                      <w:r>
                        <w:rPr>
                          <w:rFonts w:ascii="Arial" w:hAnsi="Arial"/>
                          <w:b/>
                          <w:spacing w:val="-6"/>
                          <w:sz w:val="20"/>
                        </w:rPr>
                        <w:t> </w:t>
                      </w:r>
                      <w:r>
                        <w:rPr>
                          <w:rFonts w:ascii="Arial" w:hAnsi="Arial"/>
                          <w:b/>
                          <w:sz w:val="20"/>
                        </w:rPr>
                        <w:t>a</w:t>
                      </w:r>
                      <w:r>
                        <w:rPr>
                          <w:rFonts w:ascii="Arial" w:hAnsi="Arial"/>
                          <w:b/>
                          <w:spacing w:val="-3"/>
                          <w:sz w:val="20"/>
                        </w:rPr>
                        <w:t> </w:t>
                      </w:r>
                      <w:r>
                        <w:rPr>
                          <w:rFonts w:ascii="Arial" w:hAnsi="Arial"/>
                          <w:b/>
                          <w:sz w:val="20"/>
                        </w:rPr>
                        <w:t>menor</w:t>
                      </w:r>
                      <w:r>
                        <w:rPr>
                          <w:rFonts w:ascii="Arial" w:hAnsi="Arial"/>
                          <w:b/>
                          <w:spacing w:val="-5"/>
                          <w:sz w:val="20"/>
                        </w:rPr>
                        <w:t> </w:t>
                      </w:r>
                      <w:r>
                        <w:rPr>
                          <w:rFonts w:ascii="Arial" w:hAnsi="Arial"/>
                          <w:b/>
                          <w:sz w:val="20"/>
                        </w:rPr>
                        <w:t>puntaje,</w:t>
                      </w:r>
                      <w:r>
                        <w:rPr>
                          <w:rFonts w:ascii="Arial" w:hAnsi="Arial"/>
                          <w:b/>
                          <w:spacing w:val="-2"/>
                          <w:sz w:val="20"/>
                        </w:rPr>
                        <w:t> mejor</w:t>
                      </w:r>
                    </w:p>
                  </w:txbxContent>
                </v:textbox>
                <v:stroke dashstyle="solid"/>
                <w10:wrap type="topAndBottom"/>
              </v:shape>
            </w:pict>
          </mc:Fallback>
        </mc:AlternateContent>
      </w:r>
    </w:p>
    <w:p>
      <w:pPr>
        <w:pStyle w:val="BodyText"/>
        <w:spacing w:after="0"/>
        <w:rPr>
          <w:rFonts w:ascii="Arial"/>
          <w:b/>
          <w:sz w:val="18"/>
        </w:rPr>
        <w:sectPr>
          <w:pgSz w:w="12240" w:h="15840"/>
          <w:pgMar w:header="724" w:footer="712" w:top="1880" w:bottom="900" w:left="1080" w:right="1080"/>
        </w:sectPr>
      </w:pPr>
    </w:p>
    <w:p>
      <w:pPr>
        <w:pStyle w:val="BodyText"/>
        <w:spacing w:before="68"/>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549"/>
      </w:tblGrid>
      <w:tr>
        <w:trPr>
          <w:trHeight w:val="229" w:hRule="atLeast"/>
        </w:trPr>
        <w:tc>
          <w:tcPr>
            <w:tcW w:w="9549" w:type="dxa"/>
          </w:tcPr>
          <w:p>
            <w:pPr>
              <w:pStyle w:val="TableParagraph"/>
              <w:ind w:left="11" w:right="1"/>
              <w:rPr>
                <w:rFonts w:ascii="Arial" w:hAnsi="Arial"/>
                <w:b/>
                <w:sz w:val="20"/>
              </w:rPr>
            </w:pPr>
            <w:r>
              <w:rPr>
                <w:rFonts w:ascii="Arial" w:hAnsi="Arial"/>
                <w:b/>
                <w:spacing w:val="-2"/>
                <w:sz w:val="20"/>
              </w:rPr>
              <w:t>pronóstico.</w:t>
            </w:r>
          </w:p>
        </w:tc>
      </w:tr>
      <w:tr>
        <w:trPr>
          <w:trHeight w:val="229" w:hRule="atLeast"/>
        </w:trPr>
        <w:tc>
          <w:tcPr>
            <w:tcW w:w="9549" w:type="dxa"/>
          </w:tcPr>
          <w:p>
            <w:pPr>
              <w:pStyle w:val="TableParagraph"/>
              <w:ind w:left="11" w:right="9"/>
              <w:rPr>
                <w:sz w:val="20"/>
              </w:rPr>
            </w:pPr>
            <w:r>
              <w:rPr>
                <w:sz w:val="20"/>
              </w:rPr>
              <w:t>MELD</w:t>
            </w:r>
            <w:r>
              <w:rPr>
                <w:spacing w:val="-5"/>
                <w:sz w:val="20"/>
              </w:rPr>
              <w:t> </w:t>
            </w:r>
            <w:r>
              <w:rPr>
                <w:sz w:val="20"/>
              </w:rPr>
              <w:t>Score</w:t>
            </w:r>
            <w:r>
              <w:rPr>
                <w:spacing w:val="-2"/>
                <w:sz w:val="20"/>
              </w:rPr>
              <w:t> </w:t>
            </w:r>
            <w:r>
              <w:rPr>
                <w:sz w:val="20"/>
              </w:rPr>
              <w:t>=</w:t>
            </w:r>
            <w:r>
              <w:rPr>
                <w:spacing w:val="-4"/>
                <w:sz w:val="20"/>
              </w:rPr>
              <w:t> </w:t>
            </w:r>
            <w:r>
              <w:rPr>
                <w:sz w:val="20"/>
              </w:rPr>
              <w:t>9,57</w:t>
            </w:r>
            <w:r>
              <w:rPr>
                <w:spacing w:val="-4"/>
                <w:sz w:val="20"/>
              </w:rPr>
              <w:t> </w:t>
            </w:r>
            <w:r>
              <w:rPr>
                <w:sz w:val="20"/>
              </w:rPr>
              <w:t>Ln</w:t>
            </w:r>
            <w:r>
              <w:rPr>
                <w:spacing w:val="-3"/>
                <w:sz w:val="20"/>
              </w:rPr>
              <w:t> </w:t>
            </w:r>
            <w:r>
              <w:rPr>
                <w:sz w:val="20"/>
              </w:rPr>
              <w:t>(Creat)</w:t>
            </w:r>
            <w:r>
              <w:rPr>
                <w:spacing w:val="-4"/>
                <w:sz w:val="20"/>
              </w:rPr>
              <w:t> </w:t>
            </w:r>
            <w:r>
              <w:rPr>
                <w:sz w:val="20"/>
              </w:rPr>
              <w:t>+</w:t>
            </w:r>
            <w:r>
              <w:rPr>
                <w:spacing w:val="-3"/>
                <w:sz w:val="20"/>
              </w:rPr>
              <w:t> </w:t>
            </w:r>
            <w:r>
              <w:rPr>
                <w:sz w:val="20"/>
              </w:rPr>
              <w:t>3,78</w:t>
            </w:r>
            <w:r>
              <w:rPr>
                <w:spacing w:val="-5"/>
                <w:sz w:val="20"/>
              </w:rPr>
              <w:t> </w:t>
            </w:r>
            <w:r>
              <w:rPr>
                <w:sz w:val="20"/>
              </w:rPr>
              <w:t>Ln</w:t>
            </w:r>
            <w:r>
              <w:rPr>
                <w:spacing w:val="-4"/>
                <w:sz w:val="20"/>
              </w:rPr>
              <w:t> </w:t>
            </w:r>
            <w:r>
              <w:rPr>
                <w:sz w:val="20"/>
              </w:rPr>
              <w:t>(Bili)</w:t>
            </w:r>
            <w:r>
              <w:rPr>
                <w:spacing w:val="-4"/>
                <w:sz w:val="20"/>
              </w:rPr>
              <w:t> </w:t>
            </w:r>
            <w:r>
              <w:rPr>
                <w:sz w:val="20"/>
              </w:rPr>
              <w:t>+</w:t>
            </w:r>
            <w:r>
              <w:rPr>
                <w:spacing w:val="-4"/>
                <w:sz w:val="20"/>
              </w:rPr>
              <w:t> </w:t>
            </w:r>
            <w:r>
              <w:rPr>
                <w:sz w:val="20"/>
              </w:rPr>
              <w:t>11,2</w:t>
            </w:r>
            <w:r>
              <w:rPr>
                <w:spacing w:val="-2"/>
                <w:sz w:val="20"/>
              </w:rPr>
              <w:t> </w:t>
            </w:r>
            <w:r>
              <w:rPr>
                <w:sz w:val="20"/>
              </w:rPr>
              <w:t>Ln</w:t>
            </w:r>
            <w:r>
              <w:rPr>
                <w:spacing w:val="-6"/>
                <w:sz w:val="20"/>
              </w:rPr>
              <w:t> </w:t>
            </w:r>
            <w:r>
              <w:rPr>
                <w:sz w:val="20"/>
              </w:rPr>
              <w:t>(INR)</w:t>
            </w:r>
            <w:r>
              <w:rPr>
                <w:spacing w:val="-2"/>
                <w:sz w:val="20"/>
              </w:rPr>
              <w:t> </w:t>
            </w:r>
            <w:r>
              <w:rPr>
                <w:sz w:val="20"/>
              </w:rPr>
              <w:t>+</w:t>
            </w:r>
            <w:r>
              <w:rPr>
                <w:spacing w:val="-5"/>
                <w:sz w:val="20"/>
              </w:rPr>
              <w:t> </w:t>
            </w:r>
            <w:r>
              <w:rPr>
                <w:spacing w:val="-4"/>
                <w:sz w:val="20"/>
              </w:rPr>
              <w:t>6,43</w:t>
            </w:r>
          </w:p>
        </w:tc>
      </w:tr>
    </w:tbl>
    <w:p>
      <w:pPr>
        <w:pStyle w:val="BodyText"/>
        <w:spacing w:before="1"/>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33"/>
        <w:gridCol w:w="1586"/>
        <w:gridCol w:w="1589"/>
        <w:gridCol w:w="1589"/>
        <w:gridCol w:w="2151"/>
      </w:tblGrid>
      <w:tr>
        <w:trPr>
          <w:trHeight w:val="918" w:hRule="atLeast"/>
        </w:trPr>
        <w:tc>
          <w:tcPr>
            <w:tcW w:w="9548" w:type="dxa"/>
            <w:gridSpan w:val="5"/>
            <w:shd w:val="clear" w:color="auto" w:fill="C0C0C0"/>
          </w:tcPr>
          <w:p>
            <w:pPr>
              <w:pStyle w:val="TableParagraph"/>
              <w:spacing w:line="227" w:lineRule="exact"/>
              <w:ind w:left="13"/>
              <w:rPr>
                <w:rFonts w:ascii="Arial"/>
                <w:b/>
                <w:sz w:val="20"/>
              </w:rPr>
            </w:pPr>
            <w:r>
              <w:rPr>
                <w:rFonts w:ascii="Arial"/>
                <w:b/>
                <w:sz w:val="20"/>
              </w:rPr>
              <w:t>Tabla</w:t>
            </w:r>
            <w:r>
              <w:rPr>
                <w:rFonts w:ascii="Arial"/>
                <w:b/>
                <w:spacing w:val="-8"/>
                <w:sz w:val="20"/>
              </w:rPr>
              <w:t> </w:t>
            </w:r>
            <w:r>
              <w:rPr>
                <w:rFonts w:ascii="Arial"/>
                <w:b/>
                <w:spacing w:val="-5"/>
                <w:sz w:val="20"/>
              </w:rPr>
              <w:t>IX</w:t>
            </w:r>
          </w:p>
          <w:p>
            <w:pPr>
              <w:pStyle w:val="TableParagraph"/>
              <w:spacing w:line="228" w:lineRule="exact" w:before="215"/>
              <w:ind w:left="13" w:right="5"/>
              <w:rPr>
                <w:rFonts w:ascii="Arial" w:hAnsi="Arial"/>
                <w:b/>
                <w:sz w:val="20"/>
              </w:rPr>
            </w:pPr>
            <w:r>
              <w:rPr>
                <w:rFonts w:ascii="Arial" w:hAnsi="Arial"/>
                <w:b/>
                <w:sz w:val="20"/>
              </w:rPr>
              <w:t>Determinación</w:t>
            </w:r>
            <w:r>
              <w:rPr>
                <w:rFonts w:ascii="Arial" w:hAnsi="Arial"/>
                <w:b/>
                <w:spacing w:val="-4"/>
                <w:sz w:val="20"/>
              </w:rPr>
              <w:t> </w:t>
            </w:r>
            <w:r>
              <w:rPr>
                <w:rFonts w:ascii="Arial" w:hAnsi="Arial"/>
                <w:b/>
                <w:sz w:val="20"/>
              </w:rPr>
              <w:t>del</w:t>
            </w:r>
            <w:r>
              <w:rPr>
                <w:rFonts w:ascii="Arial" w:hAnsi="Arial"/>
                <w:b/>
                <w:spacing w:val="-2"/>
                <w:sz w:val="20"/>
              </w:rPr>
              <w:t> </w:t>
            </w:r>
            <w:r>
              <w:rPr>
                <w:rFonts w:ascii="Arial" w:hAnsi="Arial"/>
                <w:b/>
                <w:sz w:val="20"/>
              </w:rPr>
              <w:t>porcentaje</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z w:val="20"/>
              </w:rPr>
              <w:t>incapacidad</w:t>
            </w:r>
            <w:r>
              <w:rPr>
                <w:rFonts w:ascii="Arial" w:hAnsi="Arial"/>
                <w:b/>
                <w:spacing w:val="-5"/>
                <w:sz w:val="20"/>
              </w:rPr>
              <w:t> </w:t>
            </w:r>
            <w:r>
              <w:rPr>
                <w:rFonts w:ascii="Arial" w:hAnsi="Arial"/>
                <w:b/>
                <w:sz w:val="20"/>
              </w:rPr>
              <w:t>permanente</w:t>
            </w:r>
            <w:r>
              <w:rPr>
                <w:rFonts w:ascii="Arial" w:hAnsi="Arial"/>
                <w:b/>
                <w:spacing w:val="-5"/>
                <w:sz w:val="20"/>
              </w:rPr>
              <w:t> </w:t>
            </w:r>
            <w:r>
              <w:rPr>
                <w:rFonts w:ascii="Arial" w:hAnsi="Arial"/>
                <w:b/>
                <w:sz w:val="20"/>
              </w:rPr>
              <w:t>parcial</w:t>
            </w:r>
            <w:r>
              <w:rPr>
                <w:rFonts w:ascii="Arial" w:hAnsi="Arial"/>
                <w:b/>
                <w:spacing w:val="-3"/>
                <w:sz w:val="20"/>
              </w:rPr>
              <w:t> </w:t>
            </w:r>
            <w:r>
              <w:rPr>
                <w:rFonts w:ascii="Arial" w:hAnsi="Arial"/>
                <w:b/>
                <w:sz w:val="20"/>
              </w:rPr>
              <w:t>o</w:t>
            </w:r>
            <w:r>
              <w:rPr>
                <w:rFonts w:ascii="Arial" w:hAnsi="Arial"/>
                <w:b/>
                <w:spacing w:val="-5"/>
                <w:sz w:val="20"/>
              </w:rPr>
              <w:t> </w:t>
            </w:r>
            <w:r>
              <w:rPr>
                <w:rFonts w:ascii="Arial" w:hAnsi="Arial"/>
                <w:b/>
                <w:sz w:val="20"/>
              </w:rPr>
              <w:t>total</w:t>
            </w:r>
            <w:r>
              <w:rPr>
                <w:rFonts w:ascii="Arial" w:hAnsi="Arial"/>
                <w:b/>
                <w:spacing w:val="-5"/>
                <w:sz w:val="20"/>
              </w:rPr>
              <w:t> </w:t>
            </w:r>
            <w:r>
              <w:rPr>
                <w:rFonts w:ascii="Arial" w:hAnsi="Arial"/>
                <w:b/>
                <w:sz w:val="20"/>
              </w:rPr>
              <w:t>por</w:t>
            </w:r>
            <w:r>
              <w:rPr>
                <w:rFonts w:ascii="Arial" w:hAnsi="Arial"/>
                <w:b/>
                <w:spacing w:val="-3"/>
                <w:sz w:val="20"/>
              </w:rPr>
              <w:t> </w:t>
            </w:r>
            <w:r>
              <w:rPr>
                <w:rFonts w:ascii="Arial" w:hAnsi="Arial"/>
                <w:b/>
                <w:sz w:val="20"/>
              </w:rPr>
              <w:t>motivo</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z w:val="20"/>
              </w:rPr>
              <w:t>la insuficiencia hepática</w:t>
            </w:r>
          </w:p>
        </w:tc>
      </w:tr>
      <w:tr>
        <w:trPr>
          <w:trHeight w:val="460" w:hRule="atLeast"/>
        </w:trPr>
        <w:tc>
          <w:tcPr>
            <w:tcW w:w="2633" w:type="dxa"/>
            <w:shd w:val="clear" w:color="auto" w:fill="C0C0C0"/>
          </w:tcPr>
          <w:p>
            <w:pPr>
              <w:pStyle w:val="TableParagraph"/>
              <w:spacing w:line="230" w:lineRule="exact"/>
              <w:ind w:left="275" w:right="258" w:firstLine="67"/>
              <w:jc w:val="left"/>
              <w:rPr>
                <w:rFonts w:ascii="Arial" w:hAnsi="Arial"/>
                <w:b/>
                <w:sz w:val="20"/>
              </w:rPr>
            </w:pPr>
            <w:r>
              <w:rPr>
                <w:rFonts w:ascii="Arial" w:hAnsi="Arial"/>
                <w:b/>
                <w:sz w:val="20"/>
              </w:rPr>
              <w:t>Categorización de la insuficiencia</w:t>
            </w:r>
            <w:r>
              <w:rPr>
                <w:rFonts w:ascii="Arial" w:hAnsi="Arial"/>
                <w:b/>
                <w:spacing w:val="-14"/>
                <w:sz w:val="20"/>
              </w:rPr>
              <w:t> </w:t>
            </w:r>
            <w:r>
              <w:rPr>
                <w:rFonts w:ascii="Arial" w:hAnsi="Arial"/>
                <w:b/>
                <w:sz w:val="20"/>
              </w:rPr>
              <w:t>hepática</w:t>
            </w:r>
          </w:p>
        </w:tc>
        <w:tc>
          <w:tcPr>
            <w:tcW w:w="6915" w:type="dxa"/>
            <w:gridSpan w:val="4"/>
            <w:shd w:val="clear" w:color="auto" w:fill="C0C0C0"/>
          </w:tcPr>
          <w:p>
            <w:pPr>
              <w:pStyle w:val="TableParagraph"/>
              <w:spacing w:line="230" w:lineRule="exact"/>
              <w:ind w:left="2623" w:right="167" w:hanging="2446"/>
              <w:jc w:val="left"/>
              <w:rPr>
                <w:rFonts w:ascii="Arial" w:hAnsi="Arial"/>
                <w:b/>
                <w:sz w:val="20"/>
              </w:rPr>
            </w:pPr>
            <w:r>
              <w:rPr>
                <w:rFonts w:ascii="Arial" w:hAnsi="Arial"/>
                <w:b/>
                <w:sz w:val="20"/>
              </w:rPr>
              <w:t>Categorías</w:t>
            </w:r>
            <w:r>
              <w:rPr>
                <w:rFonts w:ascii="Arial" w:hAnsi="Arial"/>
                <w:b/>
                <w:spacing w:val="-6"/>
                <w:sz w:val="20"/>
              </w:rPr>
              <w:t> </w:t>
            </w:r>
            <w:r>
              <w:rPr>
                <w:rFonts w:ascii="Arial" w:hAnsi="Arial"/>
                <w:b/>
                <w:sz w:val="20"/>
              </w:rPr>
              <w:t>de</w:t>
            </w:r>
            <w:r>
              <w:rPr>
                <w:rFonts w:ascii="Arial" w:hAnsi="Arial"/>
                <w:b/>
                <w:spacing w:val="-4"/>
                <w:sz w:val="20"/>
              </w:rPr>
              <w:t> </w:t>
            </w:r>
            <w:r>
              <w:rPr>
                <w:rFonts w:ascii="Arial" w:hAnsi="Arial"/>
                <w:b/>
                <w:sz w:val="20"/>
              </w:rPr>
              <w:t>capacidad</w:t>
            </w:r>
            <w:r>
              <w:rPr>
                <w:rFonts w:ascii="Arial" w:hAnsi="Arial"/>
                <w:b/>
                <w:spacing w:val="-3"/>
                <w:sz w:val="20"/>
              </w:rPr>
              <w:t> </w:t>
            </w:r>
            <w:r>
              <w:rPr>
                <w:rFonts w:ascii="Arial" w:hAnsi="Arial"/>
                <w:b/>
                <w:sz w:val="20"/>
              </w:rPr>
              <w:t>funcional</w:t>
            </w:r>
            <w:r>
              <w:rPr>
                <w:rFonts w:ascii="Arial" w:hAnsi="Arial"/>
                <w:b/>
                <w:spacing w:val="-6"/>
                <w:sz w:val="20"/>
              </w:rPr>
              <w:t> </w:t>
            </w:r>
            <w:r>
              <w:rPr>
                <w:rFonts w:ascii="Arial" w:hAnsi="Arial"/>
                <w:b/>
                <w:sz w:val="20"/>
              </w:rPr>
              <w:t>en</w:t>
            </w:r>
            <w:r>
              <w:rPr>
                <w:rFonts w:ascii="Arial" w:hAnsi="Arial"/>
                <w:b/>
                <w:spacing w:val="-6"/>
                <w:sz w:val="20"/>
              </w:rPr>
              <w:t> </w:t>
            </w:r>
            <w:r>
              <w:rPr>
                <w:rFonts w:ascii="Arial" w:hAnsi="Arial"/>
                <w:b/>
                <w:sz w:val="20"/>
              </w:rPr>
              <w:t>relación</w:t>
            </w:r>
            <w:r>
              <w:rPr>
                <w:rFonts w:ascii="Arial" w:hAnsi="Arial"/>
                <w:b/>
                <w:spacing w:val="-5"/>
                <w:sz w:val="20"/>
              </w:rPr>
              <w:t> </w:t>
            </w:r>
            <w:r>
              <w:rPr>
                <w:rFonts w:ascii="Arial" w:hAnsi="Arial"/>
                <w:b/>
                <w:sz w:val="20"/>
              </w:rPr>
              <w:t>con</w:t>
            </w:r>
            <w:r>
              <w:rPr>
                <w:rFonts w:ascii="Arial" w:hAnsi="Arial"/>
                <w:b/>
                <w:spacing w:val="-3"/>
                <w:sz w:val="20"/>
              </w:rPr>
              <w:t> </w:t>
            </w:r>
            <w:r>
              <w:rPr>
                <w:rFonts w:ascii="Arial" w:hAnsi="Arial"/>
                <w:b/>
                <w:sz w:val="20"/>
              </w:rPr>
              <w:t>el</w:t>
            </w:r>
            <w:r>
              <w:rPr>
                <w:rFonts w:ascii="Arial" w:hAnsi="Arial"/>
                <w:b/>
                <w:spacing w:val="-6"/>
                <w:sz w:val="20"/>
              </w:rPr>
              <w:t> </w:t>
            </w:r>
            <w:r>
              <w:rPr>
                <w:rFonts w:ascii="Arial" w:hAnsi="Arial"/>
                <w:b/>
                <w:sz w:val="20"/>
              </w:rPr>
              <w:t>desempeño</w:t>
            </w:r>
            <w:r>
              <w:rPr>
                <w:rFonts w:ascii="Arial" w:hAnsi="Arial"/>
                <w:b/>
                <w:spacing w:val="-5"/>
                <w:sz w:val="20"/>
              </w:rPr>
              <w:t> </w:t>
            </w:r>
            <w:r>
              <w:rPr>
                <w:rFonts w:ascii="Arial" w:hAnsi="Arial"/>
                <w:b/>
                <w:sz w:val="20"/>
              </w:rPr>
              <w:t>del puesto de trabajo</w:t>
            </w:r>
          </w:p>
        </w:tc>
      </w:tr>
      <w:tr>
        <w:trPr>
          <w:trHeight w:val="229" w:hRule="atLeast"/>
        </w:trPr>
        <w:tc>
          <w:tcPr>
            <w:tcW w:w="2633" w:type="dxa"/>
            <w:shd w:val="clear" w:color="auto" w:fill="C0C0C0"/>
          </w:tcPr>
          <w:p>
            <w:pPr>
              <w:pStyle w:val="TableParagraph"/>
              <w:spacing w:line="240" w:lineRule="auto"/>
              <w:ind w:left="0"/>
              <w:jc w:val="left"/>
              <w:rPr>
                <w:rFonts w:ascii="Times New Roman"/>
                <w:sz w:val="16"/>
              </w:rPr>
            </w:pPr>
          </w:p>
        </w:tc>
        <w:tc>
          <w:tcPr>
            <w:tcW w:w="1586" w:type="dxa"/>
            <w:shd w:val="clear" w:color="auto" w:fill="C0C0C0"/>
          </w:tcPr>
          <w:p>
            <w:pPr>
              <w:pStyle w:val="TableParagraph"/>
              <w:ind w:left="13"/>
              <w:rPr>
                <w:rFonts w:ascii="Arial"/>
                <w:b/>
                <w:sz w:val="20"/>
              </w:rPr>
            </w:pPr>
            <w:r>
              <w:rPr>
                <w:rFonts w:ascii="Arial"/>
                <w:b/>
                <w:spacing w:val="-10"/>
                <w:sz w:val="20"/>
              </w:rPr>
              <w:t>0</w:t>
            </w:r>
          </w:p>
        </w:tc>
        <w:tc>
          <w:tcPr>
            <w:tcW w:w="1589" w:type="dxa"/>
            <w:shd w:val="clear" w:color="auto" w:fill="C0C0C0"/>
          </w:tcPr>
          <w:p>
            <w:pPr>
              <w:pStyle w:val="TableParagraph"/>
              <w:ind w:left="11"/>
              <w:rPr>
                <w:rFonts w:ascii="Arial"/>
                <w:b/>
                <w:sz w:val="20"/>
              </w:rPr>
            </w:pPr>
            <w:r>
              <w:rPr>
                <w:rFonts w:ascii="Arial"/>
                <w:b/>
                <w:spacing w:val="-10"/>
                <w:sz w:val="20"/>
              </w:rPr>
              <w:t>1</w:t>
            </w:r>
          </w:p>
        </w:tc>
        <w:tc>
          <w:tcPr>
            <w:tcW w:w="1589" w:type="dxa"/>
            <w:shd w:val="clear" w:color="auto" w:fill="C0C0C0"/>
          </w:tcPr>
          <w:p>
            <w:pPr>
              <w:pStyle w:val="TableParagraph"/>
              <w:ind w:left="11"/>
              <w:rPr>
                <w:rFonts w:ascii="Arial"/>
                <w:b/>
                <w:sz w:val="20"/>
              </w:rPr>
            </w:pPr>
            <w:r>
              <w:rPr>
                <w:rFonts w:ascii="Arial"/>
                <w:b/>
                <w:spacing w:val="-10"/>
                <w:sz w:val="20"/>
              </w:rPr>
              <w:t>2</w:t>
            </w:r>
          </w:p>
        </w:tc>
        <w:tc>
          <w:tcPr>
            <w:tcW w:w="2151" w:type="dxa"/>
            <w:shd w:val="clear" w:color="auto" w:fill="C0C0C0"/>
          </w:tcPr>
          <w:p>
            <w:pPr>
              <w:pStyle w:val="TableParagraph"/>
              <w:ind w:left="11"/>
              <w:rPr>
                <w:rFonts w:ascii="Arial"/>
                <w:b/>
                <w:sz w:val="20"/>
              </w:rPr>
            </w:pPr>
            <w:r>
              <w:rPr>
                <w:rFonts w:ascii="Arial"/>
                <w:b/>
                <w:spacing w:val="-10"/>
                <w:sz w:val="20"/>
              </w:rPr>
              <w:t>3</w:t>
            </w:r>
          </w:p>
        </w:tc>
      </w:tr>
      <w:tr>
        <w:trPr>
          <w:trHeight w:val="229" w:hRule="atLeast"/>
        </w:trPr>
        <w:tc>
          <w:tcPr>
            <w:tcW w:w="2633" w:type="dxa"/>
          </w:tcPr>
          <w:p>
            <w:pPr>
              <w:pStyle w:val="TableParagraph"/>
              <w:ind w:left="11"/>
              <w:rPr>
                <w:rFonts w:ascii="Arial"/>
                <w:b/>
                <w:sz w:val="20"/>
              </w:rPr>
            </w:pPr>
            <w:r>
              <w:rPr>
                <w:rFonts w:ascii="Arial"/>
                <w:b/>
                <w:spacing w:val="-10"/>
                <w:sz w:val="20"/>
              </w:rPr>
              <w:t>1</w:t>
            </w:r>
          </w:p>
        </w:tc>
        <w:tc>
          <w:tcPr>
            <w:tcW w:w="1586" w:type="dxa"/>
          </w:tcPr>
          <w:p>
            <w:pPr>
              <w:pStyle w:val="TableParagraph"/>
              <w:ind w:left="13" w:right="1"/>
              <w:rPr>
                <w:sz w:val="20"/>
              </w:rPr>
            </w:pPr>
            <w:r>
              <w:rPr>
                <w:spacing w:val="-5"/>
                <w:sz w:val="20"/>
              </w:rPr>
              <w:t>0%</w:t>
            </w:r>
          </w:p>
        </w:tc>
        <w:tc>
          <w:tcPr>
            <w:tcW w:w="1589" w:type="dxa"/>
          </w:tcPr>
          <w:p>
            <w:pPr>
              <w:pStyle w:val="TableParagraph"/>
              <w:ind w:left="11" w:right="2"/>
              <w:rPr>
                <w:sz w:val="20"/>
              </w:rPr>
            </w:pPr>
            <w:r>
              <w:rPr>
                <w:spacing w:val="-5"/>
                <w:sz w:val="20"/>
              </w:rPr>
              <w:t>30%</w:t>
            </w:r>
          </w:p>
        </w:tc>
        <w:tc>
          <w:tcPr>
            <w:tcW w:w="1589" w:type="dxa"/>
          </w:tcPr>
          <w:p>
            <w:pPr>
              <w:pStyle w:val="TableParagraph"/>
              <w:ind w:left="11" w:right="6"/>
              <w:rPr>
                <w:sz w:val="20"/>
              </w:rPr>
            </w:pPr>
            <w:r>
              <w:rPr>
                <w:spacing w:val="-5"/>
                <w:sz w:val="20"/>
              </w:rPr>
              <w:t>50%</w:t>
            </w:r>
          </w:p>
        </w:tc>
        <w:tc>
          <w:tcPr>
            <w:tcW w:w="2151" w:type="dxa"/>
          </w:tcPr>
          <w:p>
            <w:pPr>
              <w:pStyle w:val="TableParagraph"/>
              <w:ind w:left="11" w:right="1"/>
              <w:rPr>
                <w:sz w:val="20"/>
              </w:rPr>
            </w:pPr>
            <w:r>
              <w:rPr>
                <w:spacing w:val="-4"/>
                <w:sz w:val="20"/>
              </w:rPr>
              <w:t>100%</w:t>
            </w:r>
          </w:p>
        </w:tc>
      </w:tr>
      <w:tr>
        <w:trPr>
          <w:trHeight w:val="232" w:hRule="atLeast"/>
        </w:trPr>
        <w:tc>
          <w:tcPr>
            <w:tcW w:w="2633" w:type="dxa"/>
          </w:tcPr>
          <w:p>
            <w:pPr>
              <w:pStyle w:val="TableParagraph"/>
              <w:spacing w:line="213" w:lineRule="exact"/>
              <w:ind w:left="11"/>
              <w:rPr>
                <w:rFonts w:ascii="Arial"/>
                <w:b/>
                <w:sz w:val="20"/>
              </w:rPr>
            </w:pPr>
            <w:r>
              <w:rPr>
                <w:rFonts w:ascii="Arial"/>
                <w:b/>
                <w:spacing w:val="-10"/>
                <w:sz w:val="20"/>
              </w:rPr>
              <w:t>2</w:t>
            </w:r>
          </w:p>
        </w:tc>
        <w:tc>
          <w:tcPr>
            <w:tcW w:w="1586" w:type="dxa"/>
          </w:tcPr>
          <w:p>
            <w:pPr>
              <w:pStyle w:val="TableParagraph"/>
              <w:spacing w:line="211" w:lineRule="exact" w:before="1"/>
              <w:ind w:left="0" w:right="578"/>
              <w:jc w:val="right"/>
              <w:rPr>
                <w:sz w:val="20"/>
              </w:rPr>
            </w:pPr>
            <w:r>
              <w:rPr>
                <w:spacing w:val="-5"/>
                <w:sz w:val="20"/>
              </w:rPr>
              <w:t>60%</w:t>
            </w:r>
          </w:p>
        </w:tc>
        <w:tc>
          <w:tcPr>
            <w:tcW w:w="1589" w:type="dxa"/>
          </w:tcPr>
          <w:p>
            <w:pPr>
              <w:pStyle w:val="TableParagraph"/>
              <w:spacing w:line="211" w:lineRule="exact" w:before="1"/>
              <w:ind w:left="11" w:right="2"/>
              <w:rPr>
                <w:sz w:val="20"/>
              </w:rPr>
            </w:pPr>
            <w:r>
              <w:rPr>
                <w:spacing w:val="-5"/>
                <w:sz w:val="20"/>
              </w:rPr>
              <w:t>70%</w:t>
            </w:r>
          </w:p>
        </w:tc>
        <w:tc>
          <w:tcPr>
            <w:tcW w:w="1589" w:type="dxa"/>
          </w:tcPr>
          <w:p>
            <w:pPr>
              <w:pStyle w:val="TableParagraph"/>
              <w:spacing w:line="211" w:lineRule="exact" w:before="1"/>
              <w:ind w:left="11" w:right="6"/>
              <w:rPr>
                <w:sz w:val="20"/>
              </w:rPr>
            </w:pPr>
            <w:r>
              <w:rPr>
                <w:spacing w:val="-5"/>
                <w:sz w:val="20"/>
              </w:rPr>
              <w:t>80%</w:t>
            </w:r>
          </w:p>
        </w:tc>
        <w:tc>
          <w:tcPr>
            <w:tcW w:w="2151" w:type="dxa"/>
          </w:tcPr>
          <w:p>
            <w:pPr>
              <w:pStyle w:val="TableParagraph"/>
              <w:spacing w:line="211" w:lineRule="exact" w:before="1"/>
              <w:ind w:left="11" w:right="1"/>
              <w:rPr>
                <w:sz w:val="20"/>
              </w:rPr>
            </w:pPr>
            <w:r>
              <w:rPr>
                <w:spacing w:val="-4"/>
                <w:sz w:val="20"/>
              </w:rPr>
              <w:t>100%</w:t>
            </w:r>
          </w:p>
        </w:tc>
      </w:tr>
      <w:tr>
        <w:trPr>
          <w:trHeight w:val="230" w:hRule="atLeast"/>
        </w:trPr>
        <w:tc>
          <w:tcPr>
            <w:tcW w:w="2633" w:type="dxa"/>
          </w:tcPr>
          <w:p>
            <w:pPr>
              <w:pStyle w:val="TableParagraph"/>
              <w:ind w:left="11"/>
              <w:rPr>
                <w:rFonts w:ascii="Arial"/>
                <w:b/>
                <w:sz w:val="20"/>
              </w:rPr>
            </w:pPr>
            <w:r>
              <w:rPr>
                <w:rFonts w:ascii="Arial"/>
                <w:b/>
                <w:spacing w:val="-10"/>
                <w:sz w:val="20"/>
              </w:rPr>
              <w:t>3</w:t>
            </w:r>
          </w:p>
        </w:tc>
        <w:tc>
          <w:tcPr>
            <w:tcW w:w="1586" w:type="dxa"/>
          </w:tcPr>
          <w:p>
            <w:pPr>
              <w:pStyle w:val="TableParagraph"/>
              <w:ind w:left="0" w:right="578"/>
              <w:jc w:val="right"/>
              <w:rPr>
                <w:sz w:val="20"/>
              </w:rPr>
            </w:pPr>
            <w:r>
              <w:rPr>
                <w:spacing w:val="-5"/>
                <w:sz w:val="20"/>
              </w:rPr>
              <w:t>80%</w:t>
            </w:r>
          </w:p>
        </w:tc>
        <w:tc>
          <w:tcPr>
            <w:tcW w:w="1589" w:type="dxa"/>
          </w:tcPr>
          <w:p>
            <w:pPr>
              <w:pStyle w:val="TableParagraph"/>
              <w:ind w:left="11" w:right="2"/>
              <w:rPr>
                <w:sz w:val="20"/>
              </w:rPr>
            </w:pPr>
            <w:r>
              <w:rPr>
                <w:spacing w:val="-5"/>
                <w:sz w:val="20"/>
              </w:rPr>
              <w:t>90%</w:t>
            </w:r>
          </w:p>
        </w:tc>
        <w:tc>
          <w:tcPr>
            <w:tcW w:w="1589" w:type="dxa"/>
          </w:tcPr>
          <w:p>
            <w:pPr>
              <w:pStyle w:val="TableParagraph"/>
              <w:ind w:left="11" w:right="6"/>
              <w:rPr>
                <w:sz w:val="20"/>
              </w:rPr>
            </w:pPr>
            <w:r>
              <w:rPr>
                <w:spacing w:val="-5"/>
                <w:sz w:val="20"/>
              </w:rPr>
              <w:t>95%</w:t>
            </w:r>
          </w:p>
        </w:tc>
        <w:tc>
          <w:tcPr>
            <w:tcW w:w="2151" w:type="dxa"/>
          </w:tcPr>
          <w:p>
            <w:pPr>
              <w:pStyle w:val="TableParagraph"/>
              <w:ind w:left="11" w:right="1"/>
              <w:rPr>
                <w:sz w:val="20"/>
              </w:rPr>
            </w:pPr>
            <w:r>
              <w:rPr>
                <w:spacing w:val="-4"/>
                <w:sz w:val="20"/>
              </w:rPr>
              <w:t>100%</w:t>
            </w:r>
          </w:p>
        </w:tc>
      </w:tr>
      <w:tr>
        <w:trPr>
          <w:trHeight w:val="229" w:hRule="atLeast"/>
        </w:trPr>
        <w:tc>
          <w:tcPr>
            <w:tcW w:w="2633" w:type="dxa"/>
          </w:tcPr>
          <w:p>
            <w:pPr>
              <w:pStyle w:val="TableParagraph"/>
              <w:ind w:left="11"/>
              <w:rPr>
                <w:rFonts w:ascii="Arial"/>
                <w:b/>
                <w:sz w:val="20"/>
              </w:rPr>
            </w:pPr>
            <w:r>
              <w:rPr>
                <w:rFonts w:ascii="Arial"/>
                <w:b/>
                <w:spacing w:val="-10"/>
                <w:sz w:val="20"/>
              </w:rPr>
              <w:t>4</w:t>
            </w:r>
          </w:p>
        </w:tc>
        <w:tc>
          <w:tcPr>
            <w:tcW w:w="1586" w:type="dxa"/>
          </w:tcPr>
          <w:p>
            <w:pPr>
              <w:pStyle w:val="TableParagraph"/>
              <w:ind w:left="0" w:right="523"/>
              <w:jc w:val="right"/>
              <w:rPr>
                <w:sz w:val="20"/>
              </w:rPr>
            </w:pPr>
            <w:r>
              <w:rPr>
                <w:spacing w:val="-4"/>
                <w:sz w:val="20"/>
              </w:rPr>
              <w:t>100%</w:t>
            </w:r>
          </w:p>
        </w:tc>
        <w:tc>
          <w:tcPr>
            <w:tcW w:w="1589" w:type="dxa"/>
          </w:tcPr>
          <w:p>
            <w:pPr>
              <w:pStyle w:val="TableParagraph"/>
              <w:ind w:left="11" w:right="2"/>
              <w:rPr>
                <w:sz w:val="20"/>
              </w:rPr>
            </w:pPr>
            <w:r>
              <w:rPr>
                <w:spacing w:val="-4"/>
                <w:sz w:val="20"/>
              </w:rPr>
              <w:t>100%</w:t>
            </w:r>
          </w:p>
        </w:tc>
        <w:tc>
          <w:tcPr>
            <w:tcW w:w="1589" w:type="dxa"/>
          </w:tcPr>
          <w:p>
            <w:pPr>
              <w:pStyle w:val="TableParagraph"/>
              <w:ind w:left="11" w:right="6"/>
              <w:rPr>
                <w:sz w:val="20"/>
              </w:rPr>
            </w:pPr>
            <w:r>
              <w:rPr>
                <w:spacing w:val="-4"/>
                <w:sz w:val="20"/>
              </w:rPr>
              <w:t>100%</w:t>
            </w:r>
          </w:p>
        </w:tc>
        <w:tc>
          <w:tcPr>
            <w:tcW w:w="2151" w:type="dxa"/>
          </w:tcPr>
          <w:p>
            <w:pPr>
              <w:pStyle w:val="TableParagraph"/>
              <w:ind w:left="11" w:right="1"/>
              <w:rPr>
                <w:sz w:val="20"/>
              </w:rPr>
            </w:pPr>
            <w:r>
              <w:rPr>
                <w:spacing w:val="-4"/>
                <w:sz w:val="20"/>
              </w:rPr>
              <w:t>100%</w:t>
            </w:r>
          </w:p>
        </w:tc>
      </w:tr>
    </w:tbl>
    <w:p>
      <w:pPr>
        <w:pStyle w:val="BodyText"/>
        <w:rPr>
          <w:rFonts w:ascii="Arial"/>
          <w:b/>
        </w:rPr>
      </w:pPr>
    </w:p>
    <w:p>
      <w:pPr>
        <w:spacing w:before="1"/>
        <w:ind w:left="296" w:right="296" w:firstLine="0"/>
        <w:jc w:val="center"/>
        <w:rPr>
          <w:rFonts w:ascii="Arial"/>
          <w:b/>
          <w:sz w:val="20"/>
        </w:rPr>
      </w:pPr>
      <w:r>
        <w:rPr>
          <w:rFonts w:ascii="Arial"/>
          <w:b/>
          <w:sz w:val="20"/>
        </w:rPr>
        <w:t>Aparato</w:t>
      </w:r>
      <w:r>
        <w:rPr>
          <w:rFonts w:ascii="Arial"/>
          <w:b/>
          <w:spacing w:val="-10"/>
          <w:sz w:val="20"/>
        </w:rPr>
        <w:t> </w:t>
      </w:r>
      <w:r>
        <w:rPr>
          <w:rFonts w:ascii="Arial"/>
          <w:b/>
          <w:spacing w:val="-2"/>
          <w:sz w:val="20"/>
        </w:rPr>
        <w:t>genitourinario</w:t>
      </w:r>
    </w:p>
    <w:p>
      <w:pPr>
        <w:pStyle w:val="BodyText"/>
        <w:spacing w:before="1"/>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40"/>
        <w:gridCol w:w="1543"/>
      </w:tblGrid>
      <w:tr>
        <w:trPr>
          <w:trHeight w:val="229" w:hRule="atLeast"/>
        </w:trPr>
        <w:tc>
          <w:tcPr>
            <w:tcW w:w="1066" w:type="dxa"/>
          </w:tcPr>
          <w:p>
            <w:pPr>
              <w:pStyle w:val="TableParagraph"/>
              <w:ind w:left="9"/>
              <w:rPr>
                <w:sz w:val="20"/>
              </w:rPr>
            </w:pPr>
            <w:r>
              <w:rPr>
                <w:spacing w:val="-5"/>
                <w:sz w:val="20"/>
              </w:rPr>
              <w:t>487</w:t>
            </w:r>
          </w:p>
        </w:tc>
        <w:tc>
          <w:tcPr>
            <w:tcW w:w="6940" w:type="dxa"/>
          </w:tcPr>
          <w:p>
            <w:pPr>
              <w:pStyle w:val="TableParagraph"/>
              <w:jc w:val="left"/>
              <w:rPr>
                <w:sz w:val="20"/>
              </w:rPr>
            </w:pPr>
            <w:r>
              <w:rPr>
                <w:sz w:val="20"/>
              </w:rPr>
              <w:t>Pérdida</w:t>
            </w:r>
            <w:r>
              <w:rPr>
                <w:spacing w:val="-5"/>
                <w:sz w:val="20"/>
              </w:rPr>
              <w:t> </w:t>
            </w:r>
            <w:r>
              <w:rPr>
                <w:sz w:val="20"/>
              </w:rPr>
              <w:t>o</w:t>
            </w:r>
            <w:r>
              <w:rPr>
                <w:spacing w:val="-5"/>
                <w:sz w:val="20"/>
              </w:rPr>
              <w:t> </w:t>
            </w:r>
            <w:r>
              <w:rPr>
                <w:sz w:val="20"/>
              </w:rPr>
              <w:t>atrofia</w:t>
            </w:r>
            <w:r>
              <w:rPr>
                <w:spacing w:val="-6"/>
                <w:sz w:val="20"/>
              </w:rPr>
              <w:t> </w:t>
            </w:r>
            <w:r>
              <w:rPr>
                <w:sz w:val="20"/>
              </w:rPr>
              <w:t>de</w:t>
            </w:r>
            <w:r>
              <w:rPr>
                <w:spacing w:val="-3"/>
                <w:sz w:val="20"/>
              </w:rPr>
              <w:t> </w:t>
            </w:r>
            <w:r>
              <w:rPr>
                <w:sz w:val="20"/>
              </w:rPr>
              <w:t>un</w:t>
            </w:r>
            <w:r>
              <w:rPr>
                <w:spacing w:val="-5"/>
                <w:sz w:val="20"/>
              </w:rPr>
              <w:t> </w:t>
            </w:r>
            <w:r>
              <w:rPr>
                <w:sz w:val="20"/>
              </w:rPr>
              <w:t>testículo</w:t>
            </w:r>
            <w:r>
              <w:rPr>
                <w:spacing w:val="-3"/>
                <w:sz w:val="20"/>
              </w:rPr>
              <w:t> </w:t>
            </w:r>
            <w:r>
              <w:rPr>
                <w:sz w:val="20"/>
              </w:rPr>
              <w:t>u</w:t>
            </w:r>
            <w:r>
              <w:rPr>
                <w:spacing w:val="-6"/>
                <w:sz w:val="20"/>
              </w:rPr>
              <w:t> </w:t>
            </w:r>
            <w:r>
              <w:rPr>
                <w:sz w:val="20"/>
              </w:rPr>
              <w:t>ovario,</w:t>
            </w:r>
            <w:r>
              <w:rPr>
                <w:spacing w:val="-5"/>
                <w:sz w:val="20"/>
              </w:rPr>
              <w:t> </w:t>
            </w:r>
            <w:r>
              <w:rPr>
                <w:sz w:val="20"/>
              </w:rPr>
              <w:t>estando</w:t>
            </w:r>
            <w:r>
              <w:rPr>
                <w:spacing w:val="-5"/>
                <w:sz w:val="20"/>
              </w:rPr>
              <w:t> </w:t>
            </w:r>
            <w:r>
              <w:rPr>
                <w:sz w:val="20"/>
              </w:rPr>
              <w:t>el</w:t>
            </w:r>
            <w:r>
              <w:rPr>
                <w:spacing w:val="-7"/>
                <w:sz w:val="20"/>
              </w:rPr>
              <w:t> </w:t>
            </w:r>
            <w:r>
              <w:rPr>
                <w:sz w:val="20"/>
              </w:rPr>
              <w:t>otro</w:t>
            </w:r>
            <w:r>
              <w:rPr>
                <w:spacing w:val="-5"/>
                <w:sz w:val="20"/>
              </w:rPr>
              <w:t> </w:t>
            </w:r>
            <w:r>
              <w:rPr>
                <w:spacing w:val="-2"/>
                <w:sz w:val="20"/>
              </w:rPr>
              <w:t>sano.</w:t>
            </w:r>
          </w:p>
        </w:tc>
        <w:tc>
          <w:tcPr>
            <w:tcW w:w="1543" w:type="dxa"/>
          </w:tcPr>
          <w:p>
            <w:pPr>
              <w:pStyle w:val="TableParagraph"/>
              <w:ind w:left="11" w:right="6"/>
              <w:rPr>
                <w:sz w:val="20"/>
              </w:rPr>
            </w:pPr>
            <w:r>
              <w:rPr>
                <w:spacing w:val="-5"/>
                <w:sz w:val="20"/>
              </w:rPr>
              <w:t>25%</w:t>
            </w:r>
          </w:p>
        </w:tc>
      </w:tr>
      <w:tr>
        <w:trPr>
          <w:trHeight w:val="460" w:hRule="atLeast"/>
        </w:trPr>
        <w:tc>
          <w:tcPr>
            <w:tcW w:w="1066" w:type="dxa"/>
          </w:tcPr>
          <w:p>
            <w:pPr>
              <w:pStyle w:val="TableParagraph"/>
              <w:spacing w:line="240" w:lineRule="auto" w:before="114"/>
              <w:ind w:left="9"/>
              <w:rPr>
                <w:sz w:val="20"/>
              </w:rPr>
            </w:pPr>
            <w:r>
              <w:rPr>
                <w:spacing w:val="-5"/>
                <w:sz w:val="20"/>
              </w:rPr>
              <w:t>488</w:t>
            </w:r>
          </w:p>
        </w:tc>
        <w:tc>
          <w:tcPr>
            <w:tcW w:w="6940" w:type="dxa"/>
          </w:tcPr>
          <w:p>
            <w:pPr>
              <w:pStyle w:val="TableParagraph"/>
              <w:spacing w:line="228" w:lineRule="exact"/>
              <w:jc w:val="left"/>
              <w:rPr>
                <w:sz w:val="20"/>
              </w:rPr>
            </w:pPr>
            <w:r>
              <w:rPr>
                <w:sz w:val="20"/>
              </w:rPr>
              <w:t>Pérdida</w:t>
            </w:r>
            <w:r>
              <w:rPr>
                <w:spacing w:val="40"/>
                <w:sz w:val="20"/>
              </w:rPr>
              <w:t> </w:t>
            </w:r>
            <w:r>
              <w:rPr>
                <w:sz w:val="20"/>
              </w:rPr>
              <w:t>o</w:t>
            </w:r>
            <w:r>
              <w:rPr>
                <w:spacing w:val="40"/>
                <w:sz w:val="20"/>
              </w:rPr>
              <w:t> </w:t>
            </w:r>
            <w:r>
              <w:rPr>
                <w:sz w:val="20"/>
              </w:rPr>
              <w:t>atrofia</w:t>
            </w:r>
            <w:r>
              <w:rPr>
                <w:spacing w:val="40"/>
                <w:sz w:val="20"/>
              </w:rPr>
              <w:t> </w:t>
            </w:r>
            <w:r>
              <w:rPr>
                <w:sz w:val="20"/>
              </w:rPr>
              <w:t>de</w:t>
            </w:r>
            <w:r>
              <w:rPr>
                <w:spacing w:val="40"/>
                <w:sz w:val="20"/>
              </w:rPr>
              <w:t> </w:t>
            </w:r>
            <w:r>
              <w:rPr>
                <w:sz w:val="20"/>
              </w:rPr>
              <w:t>un</w:t>
            </w:r>
            <w:r>
              <w:rPr>
                <w:spacing w:val="40"/>
                <w:sz w:val="20"/>
              </w:rPr>
              <w:t> </w:t>
            </w:r>
            <w:r>
              <w:rPr>
                <w:sz w:val="20"/>
              </w:rPr>
              <w:t>testículo</w:t>
            </w:r>
            <w:r>
              <w:rPr>
                <w:spacing w:val="40"/>
                <w:sz w:val="20"/>
              </w:rPr>
              <w:t> </w:t>
            </w:r>
            <w:r>
              <w:rPr>
                <w:sz w:val="20"/>
              </w:rPr>
              <w:t>u</w:t>
            </w:r>
            <w:r>
              <w:rPr>
                <w:spacing w:val="40"/>
                <w:sz w:val="20"/>
              </w:rPr>
              <w:t> </w:t>
            </w:r>
            <w:r>
              <w:rPr>
                <w:sz w:val="20"/>
              </w:rPr>
              <w:t>ovario,</w:t>
            </w:r>
            <w:r>
              <w:rPr>
                <w:spacing w:val="40"/>
                <w:sz w:val="20"/>
              </w:rPr>
              <w:t> </w:t>
            </w:r>
            <w:r>
              <w:rPr>
                <w:sz w:val="20"/>
              </w:rPr>
              <w:t>estando</w:t>
            </w:r>
            <w:r>
              <w:rPr>
                <w:spacing w:val="40"/>
                <w:sz w:val="20"/>
              </w:rPr>
              <w:t> </w:t>
            </w:r>
            <w:r>
              <w:rPr>
                <w:sz w:val="20"/>
              </w:rPr>
              <w:t>el</w:t>
            </w:r>
            <w:r>
              <w:rPr>
                <w:spacing w:val="40"/>
                <w:sz w:val="20"/>
              </w:rPr>
              <w:t> </w:t>
            </w:r>
            <w:r>
              <w:rPr>
                <w:sz w:val="20"/>
              </w:rPr>
              <w:t>otro</w:t>
            </w:r>
            <w:r>
              <w:rPr>
                <w:spacing w:val="40"/>
                <w:sz w:val="20"/>
              </w:rPr>
              <w:t> </w:t>
            </w:r>
            <w:r>
              <w:rPr>
                <w:sz w:val="20"/>
              </w:rPr>
              <w:t>enfermo</w:t>
            </w:r>
            <w:r>
              <w:rPr>
                <w:spacing w:val="40"/>
                <w:sz w:val="20"/>
              </w:rPr>
              <w:t> </w:t>
            </w:r>
            <w:r>
              <w:rPr>
                <w:sz w:val="20"/>
              </w:rPr>
              <w:t>por afección ajena al trabajo.</w:t>
            </w:r>
          </w:p>
        </w:tc>
        <w:tc>
          <w:tcPr>
            <w:tcW w:w="1543" w:type="dxa"/>
          </w:tcPr>
          <w:p>
            <w:pPr>
              <w:pStyle w:val="TableParagraph"/>
              <w:spacing w:line="240" w:lineRule="auto" w:before="114"/>
              <w:ind w:left="11" w:right="6"/>
              <w:rPr>
                <w:sz w:val="20"/>
              </w:rPr>
            </w:pPr>
            <w:r>
              <w:rPr>
                <w:spacing w:val="-5"/>
                <w:sz w:val="20"/>
              </w:rPr>
              <w:t>50%</w:t>
            </w:r>
          </w:p>
        </w:tc>
      </w:tr>
      <w:tr>
        <w:trPr>
          <w:trHeight w:val="229" w:hRule="atLeast"/>
        </w:trPr>
        <w:tc>
          <w:tcPr>
            <w:tcW w:w="1066" w:type="dxa"/>
          </w:tcPr>
          <w:p>
            <w:pPr>
              <w:pStyle w:val="TableParagraph"/>
              <w:ind w:left="9"/>
              <w:rPr>
                <w:sz w:val="20"/>
              </w:rPr>
            </w:pPr>
            <w:r>
              <w:rPr>
                <w:spacing w:val="-5"/>
                <w:sz w:val="20"/>
              </w:rPr>
              <w:t>489</w:t>
            </w:r>
          </w:p>
        </w:tc>
        <w:tc>
          <w:tcPr>
            <w:tcW w:w="6940" w:type="dxa"/>
          </w:tcPr>
          <w:p>
            <w:pPr>
              <w:pStyle w:val="TableParagraph"/>
              <w:jc w:val="left"/>
              <w:rPr>
                <w:sz w:val="20"/>
              </w:rPr>
            </w:pPr>
            <w:r>
              <w:rPr>
                <w:sz w:val="20"/>
              </w:rPr>
              <w:t>Pérdida</w:t>
            </w:r>
            <w:r>
              <w:rPr>
                <w:spacing w:val="-6"/>
                <w:sz w:val="20"/>
              </w:rPr>
              <w:t> </w:t>
            </w:r>
            <w:r>
              <w:rPr>
                <w:sz w:val="20"/>
              </w:rPr>
              <w:t>o</w:t>
            </w:r>
            <w:r>
              <w:rPr>
                <w:spacing w:val="-6"/>
                <w:sz w:val="20"/>
              </w:rPr>
              <w:t> </w:t>
            </w:r>
            <w:r>
              <w:rPr>
                <w:sz w:val="20"/>
              </w:rPr>
              <w:t>atrofia</w:t>
            </w:r>
            <w:r>
              <w:rPr>
                <w:spacing w:val="-6"/>
                <w:sz w:val="20"/>
              </w:rPr>
              <w:t> </w:t>
            </w:r>
            <w:r>
              <w:rPr>
                <w:sz w:val="20"/>
              </w:rPr>
              <w:t>de</w:t>
            </w:r>
            <w:r>
              <w:rPr>
                <w:spacing w:val="-4"/>
                <w:sz w:val="20"/>
              </w:rPr>
              <w:t> </w:t>
            </w:r>
            <w:r>
              <w:rPr>
                <w:sz w:val="20"/>
              </w:rPr>
              <w:t>los</w:t>
            </w:r>
            <w:r>
              <w:rPr>
                <w:spacing w:val="-4"/>
                <w:sz w:val="20"/>
              </w:rPr>
              <w:t> </w:t>
            </w:r>
            <w:r>
              <w:rPr>
                <w:sz w:val="20"/>
              </w:rPr>
              <w:t>dos</w:t>
            </w:r>
            <w:r>
              <w:rPr>
                <w:spacing w:val="-2"/>
                <w:sz w:val="20"/>
              </w:rPr>
              <w:t> </w:t>
            </w:r>
            <w:r>
              <w:rPr>
                <w:sz w:val="20"/>
              </w:rPr>
              <w:t>testículos</w:t>
            </w:r>
            <w:r>
              <w:rPr>
                <w:spacing w:val="-6"/>
                <w:sz w:val="20"/>
              </w:rPr>
              <w:t> </w:t>
            </w:r>
            <w:r>
              <w:rPr>
                <w:sz w:val="20"/>
              </w:rPr>
              <w:t>u</w:t>
            </w:r>
            <w:r>
              <w:rPr>
                <w:spacing w:val="-7"/>
                <w:sz w:val="20"/>
              </w:rPr>
              <w:t> </w:t>
            </w:r>
            <w:r>
              <w:rPr>
                <w:spacing w:val="-2"/>
                <w:sz w:val="20"/>
              </w:rPr>
              <w:t>ovarios.</w:t>
            </w:r>
          </w:p>
        </w:tc>
        <w:tc>
          <w:tcPr>
            <w:tcW w:w="1543" w:type="dxa"/>
          </w:tcPr>
          <w:p>
            <w:pPr>
              <w:pStyle w:val="TableParagraph"/>
              <w:ind w:left="11" w:right="6"/>
              <w:rPr>
                <w:sz w:val="20"/>
              </w:rPr>
            </w:pPr>
            <w:r>
              <w:rPr>
                <w:sz w:val="20"/>
              </w:rPr>
              <w:t>50</w:t>
            </w:r>
            <w:r>
              <w:rPr>
                <w:spacing w:val="-3"/>
                <w:sz w:val="20"/>
              </w:rPr>
              <w:t> </w:t>
            </w:r>
            <w:r>
              <w:rPr>
                <w:sz w:val="20"/>
              </w:rPr>
              <w:t>a</w:t>
            </w:r>
            <w:r>
              <w:rPr>
                <w:spacing w:val="-1"/>
                <w:sz w:val="20"/>
              </w:rPr>
              <w:t> </w:t>
            </w:r>
            <w:r>
              <w:rPr>
                <w:spacing w:val="-4"/>
                <w:sz w:val="20"/>
              </w:rPr>
              <w:t>100%</w:t>
            </w:r>
          </w:p>
        </w:tc>
      </w:tr>
      <w:tr>
        <w:trPr>
          <w:trHeight w:val="460" w:hRule="atLeast"/>
        </w:trPr>
        <w:tc>
          <w:tcPr>
            <w:tcW w:w="1066" w:type="dxa"/>
          </w:tcPr>
          <w:p>
            <w:pPr>
              <w:pStyle w:val="TableParagraph"/>
              <w:spacing w:line="240" w:lineRule="auto" w:before="114"/>
              <w:ind w:left="9"/>
              <w:rPr>
                <w:sz w:val="20"/>
              </w:rPr>
            </w:pPr>
            <w:r>
              <w:rPr>
                <w:spacing w:val="-5"/>
                <w:sz w:val="20"/>
              </w:rPr>
              <w:t>490</w:t>
            </w:r>
          </w:p>
        </w:tc>
        <w:tc>
          <w:tcPr>
            <w:tcW w:w="6940" w:type="dxa"/>
          </w:tcPr>
          <w:p>
            <w:pPr>
              <w:pStyle w:val="TableParagraph"/>
              <w:spacing w:line="228" w:lineRule="exact"/>
              <w:jc w:val="left"/>
              <w:rPr>
                <w:sz w:val="20"/>
              </w:rPr>
            </w:pPr>
            <w:r>
              <w:rPr>
                <w:sz w:val="20"/>
              </w:rPr>
              <w:t>Por la pérdida de la función de una tuba uterina con capacidad reproductiva antes del riesgo de trabajo.</w:t>
            </w:r>
          </w:p>
        </w:tc>
        <w:tc>
          <w:tcPr>
            <w:tcW w:w="1543" w:type="dxa"/>
          </w:tcPr>
          <w:p>
            <w:pPr>
              <w:pStyle w:val="TableParagraph"/>
              <w:spacing w:line="240" w:lineRule="auto" w:before="114"/>
              <w:ind w:left="11" w:right="6"/>
              <w:rPr>
                <w:sz w:val="20"/>
              </w:rPr>
            </w:pPr>
            <w:r>
              <w:rPr>
                <w:spacing w:val="-5"/>
                <w:sz w:val="20"/>
              </w:rPr>
              <w:t>20%</w:t>
            </w:r>
          </w:p>
        </w:tc>
      </w:tr>
      <w:tr>
        <w:trPr>
          <w:trHeight w:val="460" w:hRule="atLeast"/>
        </w:trPr>
        <w:tc>
          <w:tcPr>
            <w:tcW w:w="1066" w:type="dxa"/>
          </w:tcPr>
          <w:p>
            <w:pPr>
              <w:pStyle w:val="TableParagraph"/>
              <w:spacing w:line="240" w:lineRule="auto" w:before="114"/>
              <w:ind w:left="9"/>
              <w:rPr>
                <w:sz w:val="20"/>
              </w:rPr>
            </w:pPr>
            <w:r>
              <w:rPr>
                <w:spacing w:val="-5"/>
                <w:sz w:val="20"/>
              </w:rPr>
              <w:t>491</w:t>
            </w:r>
          </w:p>
        </w:tc>
        <w:tc>
          <w:tcPr>
            <w:tcW w:w="6940" w:type="dxa"/>
          </w:tcPr>
          <w:p>
            <w:pPr>
              <w:pStyle w:val="TableParagraph"/>
              <w:spacing w:line="230" w:lineRule="exact"/>
              <w:jc w:val="left"/>
              <w:rPr>
                <w:sz w:val="20"/>
              </w:rPr>
            </w:pPr>
            <w:r>
              <w:rPr>
                <w:sz w:val="20"/>
              </w:rPr>
              <w:t>Por</w:t>
            </w:r>
            <w:r>
              <w:rPr>
                <w:spacing w:val="80"/>
                <w:sz w:val="20"/>
              </w:rPr>
              <w:t> </w:t>
            </w:r>
            <w:r>
              <w:rPr>
                <w:sz w:val="20"/>
              </w:rPr>
              <w:t>la</w:t>
            </w:r>
            <w:r>
              <w:rPr>
                <w:spacing w:val="80"/>
                <w:sz w:val="20"/>
              </w:rPr>
              <w:t> </w:t>
            </w:r>
            <w:r>
              <w:rPr>
                <w:sz w:val="20"/>
              </w:rPr>
              <w:t>pérdida</w:t>
            </w:r>
            <w:r>
              <w:rPr>
                <w:spacing w:val="80"/>
                <w:sz w:val="20"/>
              </w:rPr>
              <w:t> </w:t>
            </w:r>
            <w:r>
              <w:rPr>
                <w:sz w:val="20"/>
              </w:rPr>
              <w:t>de</w:t>
            </w:r>
            <w:r>
              <w:rPr>
                <w:spacing w:val="80"/>
                <w:sz w:val="20"/>
              </w:rPr>
              <w:t> </w:t>
            </w:r>
            <w:r>
              <w:rPr>
                <w:sz w:val="20"/>
              </w:rPr>
              <w:t>la</w:t>
            </w:r>
            <w:r>
              <w:rPr>
                <w:spacing w:val="80"/>
                <w:sz w:val="20"/>
              </w:rPr>
              <w:t> </w:t>
            </w:r>
            <w:r>
              <w:rPr>
                <w:sz w:val="20"/>
              </w:rPr>
              <w:t>función</w:t>
            </w:r>
            <w:r>
              <w:rPr>
                <w:spacing w:val="80"/>
                <w:sz w:val="20"/>
              </w:rPr>
              <w:t> </w:t>
            </w:r>
            <w:r>
              <w:rPr>
                <w:sz w:val="20"/>
              </w:rPr>
              <w:t>de</w:t>
            </w:r>
            <w:r>
              <w:rPr>
                <w:spacing w:val="80"/>
                <w:sz w:val="20"/>
              </w:rPr>
              <w:t> </w:t>
            </w:r>
            <w:r>
              <w:rPr>
                <w:sz w:val="20"/>
              </w:rPr>
              <w:t>dos</w:t>
            </w:r>
            <w:r>
              <w:rPr>
                <w:spacing w:val="80"/>
                <w:sz w:val="20"/>
              </w:rPr>
              <w:t> </w:t>
            </w:r>
            <w:r>
              <w:rPr>
                <w:sz w:val="20"/>
              </w:rPr>
              <w:t>tubas</w:t>
            </w:r>
            <w:r>
              <w:rPr>
                <w:spacing w:val="80"/>
                <w:sz w:val="20"/>
              </w:rPr>
              <w:t> </w:t>
            </w:r>
            <w:r>
              <w:rPr>
                <w:sz w:val="20"/>
              </w:rPr>
              <w:t>uterinas</w:t>
            </w:r>
            <w:r>
              <w:rPr>
                <w:spacing w:val="80"/>
                <w:sz w:val="20"/>
              </w:rPr>
              <w:t> </w:t>
            </w:r>
            <w:r>
              <w:rPr>
                <w:sz w:val="20"/>
              </w:rPr>
              <w:t>con</w:t>
            </w:r>
            <w:r>
              <w:rPr>
                <w:spacing w:val="80"/>
                <w:sz w:val="20"/>
              </w:rPr>
              <w:t> </w:t>
            </w:r>
            <w:r>
              <w:rPr>
                <w:sz w:val="20"/>
              </w:rPr>
              <w:t>capacidad reproductiva antes del riesgo de trabajo.</w:t>
            </w:r>
          </w:p>
        </w:tc>
        <w:tc>
          <w:tcPr>
            <w:tcW w:w="1543" w:type="dxa"/>
          </w:tcPr>
          <w:p>
            <w:pPr>
              <w:pStyle w:val="TableParagraph"/>
              <w:spacing w:line="240" w:lineRule="auto" w:before="114"/>
              <w:ind w:left="11" w:right="6"/>
              <w:rPr>
                <w:sz w:val="20"/>
              </w:rPr>
            </w:pPr>
            <w:r>
              <w:rPr>
                <w:spacing w:val="-5"/>
                <w:sz w:val="20"/>
              </w:rPr>
              <w:t>50%</w:t>
            </w:r>
          </w:p>
        </w:tc>
      </w:tr>
      <w:tr>
        <w:trPr>
          <w:trHeight w:val="229" w:hRule="atLeast"/>
        </w:trPr>
        <w:tc>
          <w:tcPr>
            <w:tcW w:w="1066" w:type="dxa"/>
          </w:tcPr>
          <w:p>
            <w:pPr>
              <w:pStyle w:val="TableParagraph"/>
              <w:ind w:left="9"/>
              <w:rPr>
                <w:sz w:val="20"/>
              </w:rPr>
            </w:pPr>
            <w:r>
              <w:rPr>
                <w:spacing w:val="-5"/>
                <w:sz w:val="20"/>
              </w:rPr>
              <w:t>492</w:t>
            </w:r>
          </w:p>
        </w:tc>
        <w:tc>
          <w:tcPr>
            <w:tcW w:w="6940" w:type="dxa"/>
          </w:tcPr>
          <w:p>
            <w:pPr>
              <w:pStyle w:val="TableParagraph"/>
              <w:jc w:val="left"/>
              <w:rPr>
                <w:sz w:val="20"/>
              </w:rPr>
            </w:pPr>
            <w:r>
              <w:rPr>
                <w:sz w:val="20"/>
              </w:rPr>
              <w:t>Pérdida</w:t>
            </w:r>
            <w:r>
              <w:rPr>
                <w:spacing w:val="-7"/>
                <w:sz w:val="20"/>
              </w:rPr>
              <w:t> </w:t>
            </w:r>
            <w:r>
              <w:rPr>
                <w:sz w:val="20"/>
              </w:rPr>
              <w:t>del</w:t>
            </w:r>
            <w:r>
              <w:rPr>
                <w:spacing w:val="-8"/>
                <w:sz w:val="20"/>
              </w:rPr>
              <w:t> </w:t>
            </w:r>
            <w:r>
              <w:rPr>
                <w:sz w:val="20"/>
              </w:rPr>
              <w:t>útero,</w:t>
            </w:r>
            <w:r>
              <w:rPr>
                <w:spacing w:val="-7"/>
                <w:sz w:val="20"/>
              </w:rPr>
              <w:t> </w:t>
            </w:r>
            <w:r>
              <w:rPr>
                <w:sz w:val="20"/>
              </w:rPr>
              <w:t>con</w:t>
            </w:r>
            <w:r>
              <w:rPr>
                <w:spacing w:val="-5"/>
                <w:sz w:val="20"/>
              </w:rPr>
              <w:t> </w:t>
            </w:r>
            <w:r>
              <w:rPr>
                <w:sz w:val="20"/>
              </w:rPr>
              <w:t>capacidad</w:t>
            </w:r>
            <w:r>
              <w:rPr>
                <w:spacing w:val="-8"/>
                <w:sz w:val="20"/>
              </w:rPr>
              <w:t> </w:t>
            </w:r>
            <w:r>
              <w:rPr>
                <w:sz w:val="20"/>
              </w:rPr>
              <w:t>reproductiva</w:t>
            </w:r>
            <w:r>
              <w:rPr>
                <w:spacing w:val="-5"/>
                <w:sz w:val="20"/>
              </w:rPr>
              <w:t> </w:t>
            </w:r>
            <w:r>
              <w:rPr>
                <w:sz w:val="20"/>
              </w:rPr>
              <w:t>antes</w:t>
            </w:r>
            <w:r>
              <w:rPr>
                <w:spacing w:val="-4"/>
                <w:sz w:val="20"/>
              </w:rPr>
              <w:t> </w:t>
            </w:r>
            <w:r>
              <w:rPr>
                <w:sz w:val="20"/>
              </w:rPr>
              <w:t>del</w:t>
            </w:r>
            <w:r>
              <w:rPr>
                <w:spacing w:val="-8"/>
                <w:sz w:val="20"/>
              </w:rPr>
              <w:t> </w:t>
            </w:r>
            <w:r>
              <w:rPr>
                <w:sz w:val="20"/>
              </w:rPr>
              <w:t>riesgo</w:t>
            </w:r>
            <w:r>
              <w:rPr>
                <w:spacing w:val="-7"/>
                <w:sz w:val="20"/>
              </w:rPr>
              <w:t> </w:t>
            </w:r>
            <w:r>
              <w:rPr>
                <w:sz w:val="20"/>
              </w:rPr>
              <w:t>de</w:t>
            </w:r>
            <w:r>
              <w:rPr>
                <w:spacing w:val="-8"/>
                <w:sz w:val="20"/>
              </w:rPr>
              <w:t> </w:t>
            </w:r>
            <w:r>
              <w:rPr>
                <w:spacing w:val="-2"/>
                <w:sz w:val="20"/>
              </w:rPr>
              <w:t>trabajo.</w:t>
            </w:r>
          </w:p>
        </w:tc>
        <w:tc>
          <w:tcPr>
            <w:tcW w:w="1543" w:type="dxa"/>
          </w:tcPr>
          <w:p>
            <w:pPr>
              <w:pStyle w:val="TableParagraph"/>
              <w:ind w:left="11" w:right="6"/>
              <w:rPr>
                <w:sz w:val="20"/>
              </w:rPr>
            </w:pPr>
            <w:r>
              <w:rPr>
                <w:spacing w:val="-5"/>
                <w:sz w:val="20"/>
              </w:rPr>
              <w:t>70%</w:t>
            </w:r>
          </w:p>
        </w:tc>
      </w:tr>
      <w:tr>
        <w:trPr>
          <w:trHeight w:val="230" w:hRule="atLeast"/>
        </w:trPr>
        <w:tc>
          <w:tcPr>
            <w:tcW w:w="1066" w:type="dxa"/>
          </w:tcPr>
          <w:p>
            <w:pPr>
              <w:pStyle w:val="TableParagraph"/>
              <w:ind w:left="9"/>
              <w:rPr>
                <w:sz w:val="20"/>
              </w:rPr>
            </w:pPr>
            <w:r>
              <w:rPr>
                <w:spacing w:val="-5"/>
                <w:sz w:val="20"/>
              </w:rPr>
              <w:t>493</w:t>
            </w:r>
          </w:p>
        </w:tc>
        <w:tc>
          <w:tcPr>
            <w:tcW w:w="6940" w:type="dxa"/>
          </w:tcPr>
          <w:p>
            <w:pPr>
              <w:pStyle w:val="TableParagraph"/>
              <w:jc w:val="left"/>
              <w:rPr>
                <w:sz w:val="20"/>
              </w:rPr>
            </w:pPr>
            <w:r>
              <w:rPr>
                <w:sz w:val="20"/>
              </w:rPr>
              <w:t>Pérdida</w:t>
            </w:r>
            <w:r>
              <w:rPr>
                <w:spacing w:val="-7"/>
                <w:sz w:val="20"/>
              </w:rPr>
              <w:t> </w:t>
            </w:r>
            <w:r>
              <w:rPr>
                <w:sz w:val="20"/>
              </w:rPr>
              <w:t>del</w:t>
            </w:r>
            <w:r>
              <w:rPr>
                <w:spacing w:val="-9"/>
                <w:sz w:val="20"/>
              </w:rPr>
              <w:t> </w:t>
            </w:r>
            <w:r>
              <w:rPr>
                <w:sz w:val="20"/>
              </w:rPr>
              <w:t>útero,</w:t>
            </w:r>
            <w:r>
              <w:rPr>
                <w:spacing w:val="-7"/>
                <w:sz w:val="20"/>
              </w:rPr>
              <w:t> </w:t>
            </w:r>
            <w:r>
              <w:rPr>
                <w:sz w:val="20"/>
              </w:rPr>
              <w:t>sin</w:t>
            </w:r>
            <w:r>
              <w:rPr>
                <w:spacing w:val="-8"/>
                <w:sz w:val="20"/>
              </w:rPr>
              <w:t> </w:t>
            </w:r>
            <w:r>
              <w:rPr>
                <w:sz w:val="20"/>
              </w:rPr>
              <w:t>capacidad</w:t>
            </w:r>
            <w:r>
              <w:rPr>
                <w:spacing w:val="-7"/>
                <w:sz w:val="20"/>
              </w:rPr>
              <w:t> </w:t>
            </w:r>
            <w:r>
              <w:rPr>
                <w:sz w:val="20"/>
              </w:rPr>
              <w:t>reproductiva</w:t>
            </w:r>
            <w:r>
              <w:rPr>
                <w:spacing w:val="-6"/>
                <w:sz w:val="20"/>
              </w:rPr>
              <w:t> </w:t>
            </w:r>
            <w:r>
              <w:rPr>
                <w:sz w:val="20"/>
              </w:rPr>
              <w:t>antes</w:t>
            </w:r>
            <w:r>
              <w:rPr>
                <w:spacing w:val="-5"/>
                <w:sz w:val="20"/>
              </w:rPr>
              <w:t> </w:t>
            </w:r>
            <w:r>
              <w:rPr>
                <w:sz w:val="20"/>
              </w:rPr>
              <w:t>del</w:t>
            </w:r>
            <w:r>
              <w:rPr>
                <w:spacing w:val="-8"/>
                <w:sz w:val="20"/>
              </w:rPr>
              <w:t> </w:t>
            </w:r>
            <w:r>
              <w:rPr>
                <w:sz w:val="20"/>
              </w:rPr>
              <w:t>riesgo</w:t>
            </w:r>
            <w:r>
              <w:rPr>
                <w:spacing w:val="-7"/>
                <w:sz w:val="20"/>
              </w:rPr>
              <w:t> </w:t>
            </w:r>
            <w:r>
              <w:rPr>
                <w:sz w:val="20"/>
              </w:rPr>
              <w:t>de</w:t>
            </w:r>
            <w:r>
              <w:rPr>
                <w:spacing w:val="-8"/>
                <w:sz w:val="20"/>
              </w:rPr>
              <w:t> </w:t>
            </w:r>
            <w:r>
              <w:rPr>
                <w:spacing w:val="-2"/>
                <w:sz w:val="20"/>
              </w:rPr>
              <w:t>trabajo.</w:t>
            </w:r>
          </w:p>
        </w:tc>
        <w:tc>
          <w:tcPr>
            <w:tcW w:w="1543" w:type="dxa"/>
          </w:tcPr>
          <w:p>
            <w:pPr>
              <w:pStyle w:val="TableParagraph"/>
              <w:ind w:left="11" w:right="6"/>
              <w:rPr>
                <w:sz w:val="20"/>
              </w:rPr>
            </w:pPr>
            <w:r>
              <w:rPr>
                <w:spacing w:val="-5"/>
                <w:sz w:val="20"/>
              </w:rPr>
              <w:t>40%</w:t>
            </w:r>
          </w:p>
        </w:tc>
      </w:tr>
      <w:tr>
        <w:trPr>
          <w:trHeight w:val="229" w:hRule="atLeast"/>
        </w:trPr>
        <w:tc>
          <w:tcPr>
            <w:tcW w:w="1066" w:type="dxa"/>
          </w:tcPr>
          <w:p>
            <w:pPr>
              <w:pStyle w:val="TableParagraph"/>
              <w:ind w:left="9"/>
              <w:rPr>
                <w:sz w:val="20"/>
              </w:rPr>
            </w:pPr>
            <w:r>
              <w:rPr>
                <w:spacing w:val="-5"/>
                <w:sz w:val="20"/>
              </w:rPr>
              <w:t>494</w:t>
            </w:r>
          </w:p>
        </w:tc>
        <w:tc>
          <w:tcPr>
            <w:tcW w:w="6940" w:type="dxa"/>
          </w:tcPr>
          <w:p>
            <w:pPr>
              <w:pStyle w:val="TableParagraph"/>
              <w:jc w:val="left"/>
              <w:rPr>
                <w:sz w:val="20"/>
              </w:rPr>
            </w:pPr>
            <w:r>
              <w:rPr>
                <w:sz w:val="20"/>
              </w:rPr>
              <w:t>Pérdida</w:t>
            </w:r>
            <w:r>
              <w:rPr>
                <w:spacing w:val="-6"/>
                <w:sz w:val="20"/>
              </w:rPr>
              <w:t> </w:t>
            </w:r>
            <w:r>
              <w:rPr>
                <w:sz w:val="20"/>
              </w:rPr>
              <w:t>parcial</w:t>
            </w:r>
            <w:r>
              <w:rPr>
                <w:spacing w:val="-7"/>
                <w:sz w:val="20"/>
              </w:rPr>
              <w:t> </w:t>
            </w:r>
            <w:r>
              <w:rPr>
                <w:sz w:val="20"/>
              </w:rPr>
              <w:t>o</w:t>
            </w:r>
            <w:r>
              <w:rPr>
                <w:spacing w:val="-5"/>
                <w:sz w:val="20"/>
              </w:rPr>
              <w:t> </w:t>
            </w:r>
            <w:r>
              <w:rPr>
                <w:sz w:val="20"/>
              </w:rPr>
              <w:t>total</w:t>
            </w:r>
            <w:r>
              <w:rPr>
                <w:spacing w:val="-6"/>
                <w:sz w:val="20"/>
              </w:rPr>
              <w:t> </w:t>
            </w:r>
            <w:r>
              <w:rPr>
                <w:sz w:val="20"/>
              </w:rPr>
              <w:t>de</w:t>
            </w:r>
            <w:r>
              <w:rPr>
                <w:spacing w:val="-5"/>
                <w:sz w:val="20"/>
              </w:rPr>
              <w:t> </w:t>
            </w:r>
            <w:r>
              <w:rPr>
                <w:spacing w:val="-2"/>
                <w:sz w:val="20"/>
              </w:rPr>
              <w:t>vejiga.</w:t>
            </w:r>
          </w:p>
        </w:tc>
        <w:tc>
          <w:tcPr>
            <w:tcW w:w="1543" w:type="dxa"/>
          </w:tcPr>
          <w:p>
            <w:pPr>
              <w:pStyle w:val="TableParagraph"/>
              <w:ind w:left="11" w:right="6"/>
              <w:rPr>
                <w:sz w:val="20"/>
              </w:rPr>
            </w:pPr>
            <w:r>
              <w:rPr>
                <w:spacing w:val="-5"/>
                <w:sz w:val="20"/>
              </w:rPr>
              <w:t>30%</w:t>
            </w:r>
          </w:p>
        </w:tc>
      </w:tr>
      <w:tr>
        <w:trPr>
          <w:trHeight w:val="232" w:hRule="atLeast"/>
        </w:trPr>
        <w:tc>
          <w:tcPr>
            <w:tcW w:w="1066" w:type="dxa"/>
          </w:tcPr>
          <w:p>
            <w:pPr>
              <w:pStyle w:val="TableParagraph"/>
              <w:spacing w:before="1"/>
              <w:ind w:left="9"/>
              <w:rPr>
                <w:sz w:val="20"/>
              </w:rPr>
            </w:pPr>
            <w:r>
              <w:rPr>
                <w:spacing w:val="-5"/>
                <w:sz w:val="20"/>
              </w:rPr>
              <w:t>495</w:t>
            </w:r>
          </w:p>
        </w:tc>
        <w:tc>
          <w:tcPr>
            <w:tcW w:w="6940" w:type="dxa"/>
          </w:tcPr>
          <w:p>
            <w:pPr>
              <w:pStyle w:val="TableParagraph"/>
              <w:spacing w:before="1"/>
              <w:jc w:val="left"/>
              <w:rPr>
                <w:sz w:val="20"/>
              </w:rPr>
            </w:pPr>
            <w:r>
              <w:rPr>
                <w:sz w:val="20"/>
              </w:rPr>
              <w:t>Pérdida</w:t>
            </w:r>
            <w:r>
              <w:rPr>
                <w:spacing w:val="-6"/>
                <w:sz w:val="20"/>
              </w:rPr>
              <w:t> </w:t>
            </w:r>
            <w:r>
              <w:rPr>
                <w:sz w:val="20"/>
              </w:rPr>
              <w:t>total</w:t>
            </w:r>
            <w:r>
              <w:rPr>
                <w:spacing w:val="-7"/>
                <w:sz w:val="20"/>
              </w:rPr>
              <w:t> </w:t>
            </w:r>
            <w:r>
              <w:rPr>
                <w:sz w:val="20"/>
              </w:rPr>
              <w:t>o</w:t>
            </w:r>
            <w:r>
              <w:rPr>
                <w:spacing w:val="-4"/>
                <w:sz w:val="20"/>
              </w:rPr>
              <w:t> </w:t>
            </w:r>
            <w:r>
              <w:rPr>
                <w:sz w:val="20"/>
              </w:rPr>
              <w:t>parcial</w:t>
            </w:r>
            <w:r>
              <w:rPr>
                <w:spacing w:val="-5"/>
                <w:sz w:val="20"/>
              </w:rPr>
              <w:t> </w:t>
            </w:r>
            <w:r>
              <w:rPr>
                <w:sz w:val="20"/>
              </w:rPr>
              <w:t>del</w:t>
            </w:r>
            <w:r>
              <w:rPr>
                <w:spacing w:val="-5"/>
                <w:sz w:val="20"/>
              </w:rPr>
              <w:t> </w:t>
            </w:r>
            <w:r>
              <w:rPr>
                <w:sz w:val="20"/>
              </w:rPr>
              <w:t>pene,</w:t>
            </w:r>
            <w:r>
              <w:rPr>
                <w:spacing w:val="-5"/>
                <w:sz w:val="20"/>
              </w:rPr>
              <w:t> </w:t>
            </w:r>
            <w:r>
              <w:rPr>
                <w:sz w:val="20"/>
              </w:rPr>
              <w:t>o</w:t>
            </w:r>
            <w:r>
              <w:rPr>
                <w:spacing w:val="-6"/>
                <w:sz w:val="20"/>
              </w:rPr>
              <w:t> </w:t>
            </w:r>
            <w:r>
              <w:rPr>
                <w:sz w:val="20"/>
              </w:rPr>
              <w:t>disminución</w:t>
            </w:r>
            <w:r>
              <w:rPr>
                <w:spacing w:val="-7"/>
                <w:sz w:val="20"/>
              </w:rPr>
              <w:t> </w:t>
            </w:r>
            <w:r>
              <w:rPr>
                <w:sz w:val="20"/>
              </w:rPr>
              <w:t>o</w:t>
            </w:r>
            <w:r>
              <w:rPr>
                <w:spacing w:val="-4"/>
                <w:sz w:val="20"/>
              </w:rPr>
              <w:t> </w:t>
            </w:r>
            <w:r>
              <w:rPr>
                <w:sz w:val="20"/>
              </w:rPr>
              <w:t>pérdida</w:t>
            </w:r>
            <w:r>
              <w:rPr>
                <w:spacing w:val="-6"/>
                <w:sz w:val="20"/>
              </w:rPr>
              <w:t> </w:t>
            </w:r>
            <w:r>
              <w:rPr>
                <w:sz w:val="20"/>
              </w:rPr>
              <w:t>de</w:t>
            </w:r>
            <w:r>
              <w:rPr>
                <w:spacing w:val="-6"/>
                <w:sz w:val="20"/>
              </w:rPr>
              <w:t> </w:t>
            </w:r>
            <w:r>
              <w:rPr>
                <w:sz w:val="20"/>
              </w:rPr>
              <w:t>su</w:t>
            </w:r>
            <w:r>
              <w:rPr>
                <w:spacing w:val="-5"/>
                <w:sz w:val="20"/>
              </w:rPr>
              <w:t> </w:t>
            </w:r>
            <w:r>
              <w:rPr>
                <w:spacing w:val="-2"/>
                <w:sz w:val="20"/>
              </w:rPr>
              <w:t>función.</w:t>
            </w:r>
          </w:p>
        </w:tc>
        <w:tc>
          <w:tcPr>
            <w:tcW w:w="1543" w:type="dxa"/>
          </w:tcPr>
          <w:p>
            <w:pPr>
              <w:pStyle w:val="TableParagraph"/>
              <w:spacing w:before="1"/>
              <w:ind w:left="11" w:right="6"/>
              <w:rPr>
                <w:sz w:val="20"/>
              </w:rPr>
            </w:pPr>
            <w:r>
              <w:rPr>
                <w:sz w:val="20"/>
              </w:rPr>
              <w:t>50</w:t>
            </w:r>
            <w:r>
              <w:rPr>
                <w:spacing w:val="-3"/>
                <w:sz w:val="20"/>
              </w:rPr>
              <w:t> </w:t>
            </w:r>
            <w:r>
              <w:rPr>
                <w:sz w:val="20"/>
              </w:rPr>
              <w:t>a</w:t>
            </w:r>
            <w:r>
              <w:rPr>
                <w:spacing w:val="-1"/>
                <w:sz w:val="20"/>
              </w:rPr>
              <w:t> </w:t>
            </w:r>
            <w:r>
              <w:rPr>
                <w:spacing w:val="-4"/>
                <w:sz w:val="20"/>
              </w:rPr>
              <w:t>100%</w:t>
            </w:r>
          </w:p>
        </w:tc>
      </w:tr>
      <w:tr>
        <w:trPr>
          <w:trHeight w:val="229" w:hRule="atLeast"/>
        </w:trPr>
        <w:tc>
          <w:tcPr>
            <w:tcW w:w="1066" w:type="dxa"/>
          </w:tcPr>
          <w:p>
            <w:pPr>
              <w:pStyle w:val="TableParagraph"/>
              <w:ind w:left="9"/>
              <w:rPr>
                <w:sz w:val="20"/>
              </w:rPr>
            </w:pPr>
            <w:r>
              <w:rPr>
                <w:spacing w:val="-5"/>
                <w:sz w:val="20"/>
              </w:rPr>
              <w:t>496</w:t>
            </w:r>
          </w:p>
        </w:tc>
        <w:tc>
          <w:tcPr>
            <w:tcW w:w="6940" w:type="dxa"/>
          </w:tcPr>
          <w:p>
            <w:pPr>
              <w:pStyle w:val="TableParagraph"/>
              <w:jc w:val="left"/>
              <w:rPr>
                <w:sz w:val="20"/>
              </w:rPr>
            </w:pPr>
            <w:r>
              <w:rPr>
                <w:sz w:val="20"/>
              </w:rPr>
              <w:t>Con</w:t>
            </w:r>
            <w:r>
              <w:rPr>
                <w:spacing w:val="-9"/>
                <w:sz w:val="20"/>
              </w:rPr>
              <w:t> </w:t>
            </w:r>
            <w:r>
              <w:rPr>
                <w:sz w:val="20"/>
              </w:rPr>
              <w:t>estrechamiento</w:t>
            </w:r>
            <w:r>
              <w:rPr>
                <w:spacing w:val="-8"/>
                <w:sz w:val="20"/>
              </w:rPr>
              <w:t> </w:t>
            </w:r>
            <w:r>
              <w:rPr>
                <w:sz w:val="20"/>
              </w:rPr>
              <w:t>del</w:t>
            </w:r>
            <w:r>
              <w:rPr>
                <w:spacing w:val="-7"/>
                <w:sz w:val="20"/>
              </w:rPr>
              <w:t> </w:t>
            </w:r>
            <w:r>
              <w:rPr>
                <w:sz w:val="20"/>
              </w:rPr>
              <w:t>orificio</w:t>
            </w:r>
            <w:r>
              <w:rPr>
                <w:spacing w:val="-6"/>
                <w:sz w:val="20"/>
              </w:rPr>
              <w:t> </w:t>
            </w:r>
            <w:r>
              <w:rPr>
                <w:sz w:val="20"/>
              </w:rPr>
              <w:t>uretral,</w:t>
            </w:r>
            <w:r>
              <w:rPr>
                <w:spacing w:val="-7"/>
                <w:sz w:val="20"/>
              </w:rPr>
              <w:t> </w:t>
            </w:r>
            <w:r>
              <w:rPr>
                <w:sz w:val="20"/>
              </w:rPr>
              <w:t>perineal</w:t>
            </w:r>
            <w:r>
              <w:rPr>
                <w:spacing w:val="-7"/>
                <w:sz w:val="20"/>
              </w:rPr>
              <w:t> </w:t>
            </w:r>
            <w:r>
              <w:rPr>
                <w:sz w:val="20"/>
              </w:rPr>
              <w:t>o</w:t>
            </w:r>
            <w:r>
              <w:rPr>
                <w:spacing w:val="-8"/>
                <w:sz w:val="20"/>
              </w:rPr>
              <w:t> </w:t>
            </w:r>
            <w:r>
              <w:rPr>
                <w:spacing w:val="-2"/>
                <w:sz w:val="20"/>
              </w:rPr>
              <w:t>hipogástrico.</w:t>
            </w:r>
          </w:p>
        </w:tc>
        <w:tc>
          <w:tcPr>
            <w:tcW w:w="1543" w:type="dxa"/>
          </w:tcPr>
          <w:p>
            <w:pPr>
              <w:pStyle w:val="TableParagraph"/>
              <w:ind w:left="11" w:right="6"/>
              <w:rPr>
                <w:sz w:val="20"/>
              </w:rPr>
            </w:pPr>
            <w:r>
              <w:rPr>
                <w:sz w:val="20"/>
              </w:rPr>
              <w:t>70</w:t>
            </w:r>
            <w:r>
              <w:rPr>
                <w:spacing w:val="-3"/>
                <w:sz w:val="20"/>
              </w:rPr>
              <w:t> </w:t>
            </w:r>
            <w:r>
              <w:rPr>
                <w:sz w:val="20"/>
              </w:rPr>
              <w:t>a</w:t>
            </w:r>
            <w:r>
              <w:rPr>
                <w:spacing w:val="-1"/>
                <w:sz w:val="20"/>
              </w:rPr>
              <w:t> </w:t>
            </w:r>
            <w:r>
              <w:rPr>
                <w:spacing w:val="-4"/>
                <w:sz w:val="20"/>
              </w:rPr>
              <w:t>100%</w:t>
            </w:r>
          </w:p>
        </w:tc>
      </w:tr>
      <w:tr>
        <w:trPr>
          <w:trHeight w:val="460" w:hRule="atLeast"/>
        </w:trPr>
        <w:tc>
          <w:tcPr>
            <w:tcW w:w="1066" w:type="dxa"/>
          </w:tcPr>
          <w:p>
            <w:pPr>
              <w:pStyle w:val="TableParagraph"/>
              <w:spacing w:line="240" w:lineRule="auto" w:before="114"/>
              <w:ind w:left="9"/>
              <w:rPr>
                <w:sz w:val="20"/>
              </w:rPr>
            </w:pPr>
            <w:r>
              <w:rPr>
                <w:spacing w:val="-5"/>
                <w:sz w:val="20"/>
              </w:rPr>
              <w:t>497</w:t>
            </w:r>
          </w:p>
        </w:tc>
        <w:tc>
          <w:tcPr>
            <w:tcW w:w="6940" w:type="dxa"/>
          </w:tcPr>
          <w:p>
            <w:pPr>
              <w:pStyle w:val="TableParagraph"/>
              <w:spacing w:line="230" w:lineRule="exact"/>
              <w:jc w:val="left"/>
              <w:rPr>
                <w:sz w:val="20"/>
              </w:rPr>
            </w:pPr>
            <w:r>
              <w:rPr>
                <w:sz w:val="20"/>
              </w:rPr>
              <w:t>Prolapso</w:t>
            </w:r>
            <w:r>
              <w:rPr>
                <w:spacing w:val="80"/>
                <w:w w:val="150"/>
                <w:sz w:val="20"/>
              </w:rPr>
              <w:t> </w:t>
            </w:r>
            <w:r>
              <w:rPr>
                <w:sz w:val="20"/>
              </w:rPr>
              <w:t>uterino</w:t>
            </w:r>
            <w:r>
              <w:rPr>
                <w:spacing w:val="80"/>
                <w:w w:val="150"/>
                <w:sz w:val="20"/>
              </w:rPr>
              <w:t> </w:t>
            </w:r>
            <w:r>
              <w:rPr>
                <w:sz w:val="20"/>
              </w:rPr>
              <w:t>consecutivo</w:t>
            </w:r>
            <w:r>
              <w:rPr>
                <w:spacing w:val="80"/>
                <w:w w:val="150"/>
                <w:sz w:val="20"/>
              </w:rPr>
              <w:t> </w:t>
            </w:r>
            <w:r>
              <w:rPr>
                <w:sz w:val="20"/>
              </w:rPr>
              <w:t>a</w:t>
            </w:r>
            <w:r>
              <w:rPr>
                <w:spacing w:val="80"/>
                <w:w w:val="150"/>
                <w:sz w:val="20"/>
              </w:rPr>
              <w:t> </w:t>
            </w:r>
            <w:r>
              <w:rPr>
                <w:sz w:val="20"/>
              </w:rPr>
              <w:t>accidentes</w:t>
            </w:r>
            <w:r>
              <w:rPr>
                <w:spacing w:val="80"/>
                <w:w w:val="150"/>
                <w:sz w:val="20"/>
              </w:rPr>
              <w:t> </w:t>
            </w:r>
            <w:r>
              <w:rPr>
                <w:sz w:val="20"/>
              </w:rPr>
              <w:t>de</w:t>
            </w:r>
            <w:r>
              <w:rPr>
                <w:spacing w:val="80"/>
                <w:w w:val="150"/>
                <w:sz w:val="20"/>
              </w:rPr>
              <w:t> </w:t>
            </w:r>
            <w:r>
              <w:rPr>
                <w:sz w:val="20"/>
              </w:rPr>
              <w:t>trabajo,</w:t>
            </w:r>
            <w:r>
              <w:rPr>
                <w:spacing w:val="80"/>
                <w:w w:val="150"/>
                <w:sz w:val="20"/>
              </w:rPr>
              <w:t> </w:t>
            </w:r>
            <w:r>
              <w:rPr>
                <w:sz w:val="20"/>
              </w:rPr>
              <w:t>no</w:t>
            </w:r>
            <w:r>
              <w:rPr>
                <w:spacing w:val="80"/>
                <w:w w:val="150"/>
                <w:sz w:val="20"/>
              </w:rPr>
              <w:t> </w:t>
            </w:r>
            <w:r>
              <w:rPr>
                <w:sz w:val="20"/>
              </w:rPr>
              <w:t>resuelto </w:t>
            </w:r>
            <w:r>
              <w:rPr>
                <w:spacing w:val="-2"/>
                <w:sz w:val="20"/>
              </w:rPr>
              <w:t>quirúrgicamente.</w:t>
            </w:r>
          </w:p>
        </w:tc>
        <w:tc>
          <w:tcPr>
            <w:tcW w:w="1543" w:type="dxa"/>
          </w:tcPr>
          <w:p>
            <w:pPr>
              <w:pStyle w:val="TableParagraph"/>
              <w:spacing w:line="240" w:lineRule="auto" w:before="114"/>
              <w:ind w:left="11" w:right="4"/>
              <w:rPr>
                <w:sz w:val="20"/>
              </w:rPr>
            </w:pPr>
            <w:r>
              <w:rPr>
                <w:sz w:val="20"/>
              </w:rPr>
              <w:t>50</w:t>
            </w:r>
            <w:r>
              <w:rPr>
                <w:spacing w:val="-3"/>
                <w:sz w:val="20"/>
              </w:rPr>
              <w:t> </w:t>
            </w:r>
            <w:r>
              <w:rPr>
                <w:sz w:val="20"/>
              </w:rPr>
              <w:t>a</w:t>
            </w:r>
            <w:r>
              <w:rPr>
                <w:spacing w:val="-1"/>
                <w:sz w:val="20"/>
              </w:rPr>
              <w:t> </w:t>
            </w:r>
            <w:r>
              <w:rPr>
                <w:spacing w:val="-5"/>
                <w:sz w:val="20"/>
              </w:rPr>
              <w:t>70%</w:t>
            </w:r>
          </w:p>
        </w:tc>
      </w:tr>
      <w:tr>
        <w:trPr>
          <w:trHeight w:val="229" w:hRule="atLeast"/>
        </w:trPr>
        <w:tc>
          <w:tcPr>
            <w:tcW w:w="1066" w:type="dxa"/>
          </w:tcPr>
          <w:p>
            <w:pPr>
              <w:pStyle w:val="TableParagraph"/>
              <w:ind w:left="9"/>
              <w:rPr>
                <w:sz w:val="20"/>
              </w:rPr>
            </w:pPr>
            <w:r>
              <w:rPr>
                <w:spacing w:val="-5"/>
                <w:sz w:val="20"/>
              </w:rPr>
              <w:t>498</w:t>
            </w:r>
          </w:p>
        </w:tc>
        <w:tc>
          <w:tcPr>
            <w:tcW w:w="6940" w:type="dxa"/>
          </w:tcPr>
          <w:p>
            <w:pPr>
              <w:pStyle w:val="TableParagraph"/>
              <w:jc w:val="left"/>
              <w:rPr>
                <w:sz w:val="20"/>
              </w:rPr>
            </w:pPr>
            <w:r>
              <w:rPr>
                <w:sz w:val="20"/>
              </w:rPr>
              <w:t>Por</w:t>
            </w:r>
            <w:r>
              <w:rPr>
                <w:spacing w:val="-7"/>
                <w:sz w:val="20"/>
              </w:rPr>
              <w:t> </w:t>
            </w:r>
            <w:r>
              <w:rPr>
                <w:sz w:val="20"/>
              </w:rPr>
              <w:t>la</w:t>
            </w:r>
            <w:r>
              <w:rPr>
                <w:spacing w:val="-6"/>
                <w:sz w:val="20"/>
              </w:rPr>
              <w:t> </w:t>
            </w:r>
            <w:r>
              <w:rPr>
                <w:sz w:val="20"/>
              </w:rPr>
              <w:t>pérdida</w:t>
            </w:r>
            <w:r>
              <w:rPr>
                <w:spacing w:val="-6"/>
                <w:sz w:val="20"/>
              </w:rPr>
              <w:t> </w:t>
            </w:r>
            <w:r>
              <w:rPr>
                <w:sz w:val="20"/>
              </w:rPr>
              <w:t>o</w:t>
            </w:r>
            <w:r>
              <w:rPr>
                <w:spacing w:val="-5"/>
                <w:sz w:val="20"/>
              </w:rPr>
              <w:t> </w:t>
            </w:r>
            <w:r>
              <w:rPr>
                <w:sz w:val="20"/>
              </w:rPr>
              <w:t>mutilación</w:t>
            </w:r>
            <w:r>
              <w:rPr>
                <w:spacing w:val="-4"/>
                <w:sz w:val="20"/>
              </w:rPr>
              <w:t> </w:t>
            </w:r>
            <w:r>
              <w:rPr>
                <w:sz w:val="20"/>
              </w:rPr>
              <w:t>de</w:t>
            </w:r>
            <w:r>
              <w:rPr>
                <w:spacing w:val="-7"/>
                <w:sz w:val="20"/>
              </w:rPr>
              <w:t> </w:t>
            </w:r>
            <w:r>
              <w:rPr>
                <w:sz w:val="20"/>
              </w:rPr>
              <w:t>un</w:t>
            </w:r>
            <w:r>
              <w:rPr>
                <w:spacing w:val="-6"/>
                <w:sz w:val="20"/>
              </w:rPr>
              <w:t> </w:t>
            </w:r>
            <w:r>
              <w:rPr>
                <w:sz w:val="20"/>
              </w:rPr>
              <w:t>seno</w:t>
            </w:r>
            <w:r>
              <w:rPr>
                <w:spacing w:val="-4"/>
                <w:sz w:val="20"/>
              </w:rPr>
              <w:t> </w:t>
            </w:r>
            <w:r>
              <w:rPr>
                <w:sz w:val="20"/>
              </w:rPr>
              <w:t>con</w:t>
            </w:r>
            <w:r>
              <w:rPr>
                <w:spacing w:val="-7"/>
                <w:sz w:val="20"/>
              </w:rPr>
              <w:t> </w:t>
            </w:r>
            <w:r>
              <w:rPr>
                <w:sz w:val="20"/>
              </w:rPr>
              <w:t>prótesis</w:t>
            </w:r>
            <w:r>
              <w:rPr>
                <w:spacing w:val="-5"/>
                <w:sz w:val="20"/>
              </w:rPr>
              <w:t> </w:t>
            </w:r>
            <w:r>
              <w:rPr>
                <w:spacing w:val="-2"/>
                <w:sz w:val="20"/>
              </w:rPr>
              <w:t>posible.</w:t>
            </w:r>
          </w:p>
        </w:tc>
        <w:tc>
          <w:tcPr>
            <w:tcW w:w="1543" w:type="dxa"/>
          </w:tcPr>
          <w:p>
            <w:pPr>
              <w:pStyle w:val="TableParagraph"/>
              <w:ind w:left="11" w:right="4"/>
              <w:rPr>
                <w:sz w:val="20"/>
              </w:rPr>
            </w:pPr>
            <w:r>
              <w:rPr>
                <w:sz w:val="20"/>
              </w:rPr>
              <w:t>20</w:t>
            </w:r>
            <w:r>
              <w:rPr>
                <w:spacing w:val="-3"/>
                <w:sz w:val="20"/>
              </w:rPr>
              <w:t> </w:t>
            </w:r>
            <w:r>
              <w:rPr>
                <w:sz w:val="20"/>
              </w:rPr>
              <w:t>a</w:t>
            </w:r>
            <w:r>
              <w:rPr>
                <w:spacing w:val="-1"/>
                <w:sz w:val="20"/>
              </w:rPr>
              <w:t> </w:t>
            </w:r>
            <w:r>
              <w:rPr>
                <w:spacing w:val="-5"/>
                <w:sz w:val="20"/>
              </w:rPr>
              <w:t>30%</w:t>
            </w:r>
          </w:p>
        </w:tc>
      </w:tr>
      <w:tr>
        <w:trPr>
          <w:trHeight w:val="229" w:hRule="atLeast"/>
        </w:trPr>
        <w:tc>
          <w:tcPr>
            <w:tcW w:w="1066" w:type="dxa"/>
          </w:tcPr>
          <w:p>
            <w:pPr>
              <w:pStyle w:val="TableParagraph"/>
              <w:ind w:left="9"/>
              <w:rPr>
                <w:sz w:val="20"/>
              </w:rPr>
            </w:pPr>
            <w:r>
              <w:rPr>
                <w:spacing w:val="-5"/>
                <w:sz w:val="20"/>
              </w:rPr>
              <w:t>499</w:t>
            </w:r>
          </w:p>
        </w:tc>
        <w:tc>
          <w:tcPr>
            <w:tcW w:w="6940" w:type="dxa"/>
          </w:tcPr>
          <w:p>
            <w:pPr>
              <w:pStyle w:val="TableParagraph"/>
              <w:jc w:val="left"/>
              <w:rPr>
                <w:sz w:val="20"/>
              </w:rPr>
            </w:pPr>
            <w:r>
              <w:rPr>
                <w:sz w:val="20"/>
              </w:rPr>
              <w:t>Por</w:t>
            </w:r>
            <w:r>
              <w:rPr>
                <w:spacing w:val="-6"/>
                <w:sz w:val="20"/>
              </w:rPr>
              <w:t> </w:t>
            </w:r>
            <w:r>
              <w:rPr>
                <w:sz w:val="20"/>
              </w:rPr>
              <w:t>la</w:t>
            </w:r>
            <w:r>
              <w:rPr>
                <w:spacing w:val="-6"/>
                <w:sz w:val="20"/>
              </w:rPr>
              <w:t> </w:t>
            </w:r>
            <w:r>
              <w:rPr>
                <w:sz w:val="20"/>
              </w:rPr>
              <w:t>pérdida</w:t>
            </w:r>
            <w:r>
              <w:rPr>
                <w:spacing w:val="-7"/>
                <w:sz w:val="20"/>
              </w:rPr>
              <w:t> </w:t>
            </w:r>
            <w:r>
              <w:rPr>
                <w:sz w:val="20"/>
              </w:rPr>
              <w:t>o</w:t>
            </w:r>
            <w:r>
              <w:rPr>
                <w:spacing w:val="-4"/>
                <w:sz w:val="20"/>
              </w:rPr>
              <w:t> </w:t>
            </w:r>
            <w:r>
              <w:rPr>
                <w:sz w:val="20"/>
              </w:rPr>
              <w:t>mutilación</w:t>
            </w:r>
            <w:r>
              <w:rPr>
                <w:spacing w:val="-4"/>
                <w:sz w:val="20"/>
              </w:rPr>
              <w:t> </w:t>
            </w:r>
            <w:r>
              <w:rPr>
                <w:sz w:val="20"/>
              </w:rPr>
              <w:t>de</w:t>
            </w:r>
            <w:r>
              <w:rPr>
                <w:spacing w:val="-6"/>
                <w:sz w:val="20"/>
              </w:rPr>
              <w:t> </w:t>
            </w:r>
            <w:r>
              <w:rPr>
                <w:sz w:val="20"/>
              </w:rPr>
              <w:t>un</w:t>
            </w:r>
            <w:r>
              <w:rPr>
                <w:spacing w:val="-6"/>
                <w:sz w:val="20"/>
              </w:rPr>
              <w:t> </w:t>
            </w:r>
            <w:r>
              <w:rPr>
                <w:sz w:val="20"/>
              </w:rPr>
              <w:t>seno</w:t>
            </w:r>
            <w:r>
              <w:rPr>
                <w:spacing w:val="-4"/>
                <w:sz w:val="20"/>
              </w:rPr>
              <w:t> </w:t>
            </w:r>
            <w:r>
              <w:rPr>
                <w:sz w:val="20"/>
              </w:rPr>
              <w:t>con</w:t>
            </w:r>
            <w:r>
              <w:rPr>
                <w:spacing w:val="-7"/>
                <w:sz w:val="20"/>
              </w:rPr>
              <w:t> </w:t>
            </w:r>
            <w:r>
              <w:rPr>
                <w:sz w:val="20"/>
              </w:rPr>
              <w:t>prótesis</w:t>
            </w:r>
            <w:r>
              <w:rPr>
                <w:spacing w:val="-3"/>
                <w:sz w:val="20"/>
              </w:rPr>
              <w:t> </w:t>
            </w:r>
            <w:r>
              <w:rPr>
                <w:spacing w:val="-2"/>
                <w:sz w:val="20"/>
              </w:rPr>
              <w:t>imposible.</w:t>
            </w:r>
          </w:p>
        </w:tc>
        <w:tc>
          <w:tcPr>
            <w:tcW w:w="1543" w:type="dxa"/>
          </w:tcPr>
          <w:p>
            <w:pPr>
              <w:pStyle w:val="TableParagraph"/>
              <w:ind w:left="11" w:right="4"/>
              <w:rPr>
                <w:sz w:val="20"/>
              </w:rPr>
            </w:pPr>
            <w:r>
              <w:rPr>
                <w:sz w:val="20"/>
              </w:rPr>
              <w:t>30</w:t>
            </w:r>
            <w:r>
              <w:rPr>
                <w:spacing w:val="-3"/>
                <w:sz w:val="20"/>
              </w:rPr>
              <w:t> </w:t>
            </w:r>
            <w:r>
              <w:rPr>
                <w:sz w:val="20"/>
              </w:rPr>
              <w:t>a</w:t>
            </w:r>
            <w:r>
              <w:rPr>
                <w:spacing w:val="-1"/>
                <w:sz w:val="20"/>
              </w:rPr>
              <w:t> </w:t>
            </w:r>
            <w:r>
              <w:rPr>
                <w:spacing w:val="-5"/>
                <w:sz w:val="20"/>
              </w:rPr>
              <w:t>50%</w:t>
            </w:r>
          </w:p>
        </w:tc>
      </w:tr>
      <w:tr>
        <w:trPr>
          <w:trHeight w:val="229" w:hRule="atLeast"/>
        </w:trPr>
        <w:tc>
          <w:tcPr>
            <w:tcW w:w="1066" w:type="dxa"/>
          </w:tcPr>
          <w:p>
            <w:pPr>
              <w:pStyle w:val="TableParagraph"/>
              <w:ind w:left="9"/>
              <w:rPr>
                <w:sz w:val="20"/>
              </w:rPr>
            </w:pPr>
            <w:r>
              <w:rPr>
                <w:spacing w:val="-5"/>
                <w:sz w:val="20"/>
              </w:rPr>
              <w:t>500</w:t>
            </w:r>
          </w:p>
        </w:tc>
        <w:tc>
          <w:tcPr>
            <w:tcW w:w="6940" w:type="dxa"/>
          </w:tcPr>
          <w:p>
            <w:pPr>
              <w:pStyle w:val="TableParagraph"/>
              <w:jc w:val="left"/>
              <w:rPr>
                <w:sz w:val="20"/>
              </w:rPr>
            </w:pPr>
            <w:r>
              <w:rPr>
                <w:sz w:val="20"/>
              </w:rPr>
              <w:t>Por</w:t>
            </w:r>
            <w:r>
              <w:rPr>
                <w:spacing w:val="-6"/>
                <w:sz w:val="20"/>
              </w:rPr>
              <w:t> </w:t>
            </w:r>
            <w:r>
              <w:rPr>
                <w:sz w:val="20"/>
              </w:rPr>
              <w:t>la</w:t>
            </w:r>
            <w:r>
              <w:rPr>
                <w:spacing w:val="-6"/>
                <w:sz w:val="20"/>
              </w:rPr>
              <w:t> </w:t>
            </w:r>
            <w:r>
              <w:rPr>
                <w:sz w:val="20"/>
              </w:rPr>
              <w:t>pérdida</w:t>
            </w:r>
            <w:r>
              <w:rPr>
                <w:spacing w:val="-7"/>
                <w:sz w:val="20"/>
              </w:rPr>
              <w:t> </w:t>
            </w:r>
            <w:r>
              <w:rPr>
                <w:sz w:val="20"/>
              </w:rPr>
              <w:t>o</w:t>
            </w:r>
            <w:r>
              <w:rPr>
                <w:spacing w:val="-4"/>
                <w:sz w:val="20"/>
              </w:rPr>
              <w:t> </w:t>
            </w:r>
            <w:r>
              <w:rPr>
                <w:sz w:val="20"/>
              </w:rPr>
              <w:t>mutilación</w:t>
            </w:r>
            <w:r>
              <w:rPr>
                <w:spacing w:val="-4"/>
                <w:sz w:val="20"/>
              </w:rPr>
              <w:t> </w:t>
            </w:r>
            <w:r>
              <w:rPr>
                <w:sz w:val="20"/>
              </w:rPr>
              <w:t>de</w:t>
            </w:r>
            <w:r>
              <w:rPr>
                <w:spacing w:val="-7"/>
                <w:sz w:val="20"/>
              </w:rPr>
              <w:t> </w:t>
            </w:r>
            <w:r>
              <w:rPr>
                <w:sz w:val="20"/>
              </w:rPr>
              <w:t>los</w:t>
            </w:r>
            <w:r>
              <w:rPr>
                <w:spacing w:val="-5"/>
                <w:sz w:val="20"/>
              </w:rPr>
              <w:t> </w:t>
            </w:r>
            <w:r>
              <w:rPr>
                <w:sz w:val="20"/>
              </w:rPr>
              <w:t>dos</w:t>
            </w:r>
            <w:r>
              <w:rPr>
                <w:spacing w:val="-5"/>
                <w:sz w:val="20"/>
              </w:rPr>
              <w:t> </w:t>
            </w:r>
            <w:r>
              <w:rPr>
                <w:sz w:val="20"/>
              </w:rPr>
              <w:t>senos</w:t>
            </w:r>
            <w:r>
              <w:rPr>
                <w:spacing w:val="-5"/>
                <w:sz w:val="20"/>
              </w:rPr>
              <w:t> </w:t>
            </w:r>
            <w:r>
              <w:rPr>
                <w:sz w:val="20"/>
              </w:rPr>
              <w:t>con</w:t>
            </w:r>
            <w:r>
              <w:rPr>
                <w:spacing w:val="-7"/>
                <w:sz w:val="20"/>
              </w:rPr>
              <w:t> </w:t>
            </w:r>
            <w:r>
              <w:rPr>
                <w:sz w:val="20"/>
              </w:rPr>
              <w:t>prótesis</w:t>
            </w:r>
            <w:r>
              <w:rPr>
                <w:spacing w:val="-5"/>
                <w:sz w:val="20"/>
              </w:rPr>
              <w:t> </w:t>
            </w:r>
            <w:r>
              <w:rPr>
                <w:spacing w:val="-2"/>
                <w:sz w:val="20"/>
              </w:rPr>
              <w:t>posible.</w:t>
            </w:r>
          </w:p>
        </w:tc>
        <w:tc>
          <w:tcPr>
            <w:tcW w:w="1543" w:type="dxa"/>
          </w:tcPr>
          <w:p>
            <w:pPr>
              <w:pStyle w:val="TableParagraph"/>
              <w:ind w:left="11" w:right="4"/>
              <w:rPr>
                <w:sz w:val="20"/>
              </w:rPr>
            </w:pPr>
            <w:r>
              <w:rPr>
                <w:sz w:val="20"/>
              </w:rPr>
              <w:t>50</w:t>
            </w:r>
            <w:r>
              <w:rPr>
                <w:spacing w:val="-3"/>
                <w:sz w:val="20"/>
              </w:rPr>
              <w:t> </w:t>
            </w:r>
            <w:r>
              <w:rPr>
                <w:sz w:val="20"/>
              </w:rPr>
              <w:t>a</w:t>
            </w:r>
            <w:r>
              <w:rPr>
                <w:spacing w:val="-1"/>
                <w:sz w:val="20"/>
              </w:rPr>
              <w:t> </w:t>
            </w:r>
            <w:r>
              <w:rPr>
                <w:spacing w:val="-5"/>
                <w:sz w:val="20"/>
              </w:rPr>
              <w:t>70%</w:t>
            </w:r>
          </w:p>
        </w:tc>
      </w:tr>
      <w:tr>
        <w:trPr>
          <w:trHeight w:val="460" w:hRule="atLeast"/>
        </w:trPr>
        <w:tc>
          <w:tcPr>
            <w:tcW w:w="1066" w:type="dxa"/>
          </w:tcPr>
          <w:p>
            <w:pPr>
              <w:pStyle w:val="TableParagraph"/>
              <w:spacing w:line="240" w:lineRule="auto" w:before="114"/>
              <w:ind w:left="9"/>
              <w:rPr>
                <w:sz w:val="20"/>
              </w:rPr>
            </w:pPr>
            <w:r>
              <w:rPr>
                <w:spacing w:val="-5"/>
                <w:sz w:val="20"/>
              </w:rPr>
              <w:t>501</w:t>
            </w:r>
          </w:p>
        </w:tc>
        <w:tc>
          <w:tcPr>
            <w:tcW w:w="6940" w:type="dxa"/>
          </w:tcPr>
          <w:p>
            <w:pPr>
              <w:pStyle w:val="TableParagraph"/>
              <w:spacing w:line="230" w:lineRule="exact"/>
              <w:jc w:val="left"/>
              <w:rPr>
                <w:sz w:val="20"/>
              </w:rPr>
            </w:pPr>
            <w:r>
              <w:rPr>
                <w:sz w:val="20"/>
              </w:rPr>
              <w:t>Pérdida</w:t>
            </w:r>
            <w:r>
              <w:rPr>
                <w:spacing w:val="40"/>
                <w:sz w:val="20"/>
              </w:rPr>
              <w:t> </w:t>
            </w:r>
            <w:r>
              <w:rPr>
                <w:sz w:val="20"/>
              </w:rPr>
              <w:t>orgánica</w:t>
            </w:r>
            <w:r>
              <w:rPr>
                <w:spacing w:val="40"/>
                <w:sz w:val="20"/>
              </w:rPr>
              <w:t> </w:t>
            </w:r>
            <w:r>
              <w:rPr>
                <w:sz w:val="20"/>
              </w:rPr>
              <w:t>o</w:t>
            </w:r>
            <w:r>
              <w:rPr>
                <w:spacing w:val="40"/>
                <w:sz w:val="20"/>
              </w:rPr>
              <w:t> </w:t>
            </w:r>
            <w:r>
              <w:rPr>
                <w:sz w:val="20"/>
              </w:rPr>
              <w:t>funcional</w:t>
            </w:r>
            <w:r>
              <w:rPr>
                <w:spacing w:val="40"/>
                <w:sz w:val="20"/>
              </w:rPr>
              <w:t> </w:t>
            </w:r>
            <w:r>
              <w:rPr>
                <w:sz w:val="20"/>
              </w:rPr>
              <w:t>de</w:t>
            </w:r>
            <w:r>
              <w:rPr>
                <w:spacing w:val="40"/>
                <w:sz w:val="20"/>
              </w:rPr>
              <w:t> </w:t>
            </w:r>
            <w:r>
              <w:rPr>
                <w:sz w:val="20"/>
              </w:rPr>
              <w:t>un</w:t>
            </w:r>
            <w:r>
              <w:rPr>
                <w:spacing w:val="40"/>
                <w:sz w:val="20"/>
              </w:rPr>
              <w:t> </w:t>
            </w:r>
            <w:r>
              <w:rPr>
                <w:sz w:val="20"/>
              </w:rPr>
              <w:t>riñón</w:t>
            </w:r>
            <w:r>
              <w:rPr>
                <w:spacing w:val="40"/>
                <w:sz w:val="20"/>
              </w:rPr>
              <w:t> </w:t>
            </w:r>
            <w:r>
              <w:rPr>
                <w:sz w:val="20"/>
              </w:rPr>
              <w:t>(incluye</w:t>
            </w:r>
            <w:r>
              <w:rPr>
                <w:spacing w:val="40"/>
                <w:sz w:val="20"/>
              </w:rPr>
              <w:t> </w:t>
            </w:r>
            <w:r>
              <w:rPr>
                <w:sz w:val="20"/>
              </w:rPr>
              <w:t>glándula</w:t>
            </w:r>
            <w:r>
              <w:rPr>
                <w:spacing w:val="40"/>
                <w:sz w:val="20"/>
              </w:rPr>
              <w:t> </w:t>
            </w:r>
            <w:r>
              <w:rPr>
                <w:sz w:val="20"/>
              </w:rPr>
              <w:t>suprarrenal) estando normal la función del contralateral.</w:t>
            </w:r>
          </w:p>
        </w:tc>
        <w:tc>
          <w:tcPr>
            <w:tcW w:w="1543" w:type="dxa"/>
          </w:tcPr>
          <w:p>
            <w:pPr>
              <w:pStyle w:val="TableParagraph"/>
              <w:spacing w:line="240" w:lineRule="auto" w:before="114"/>
              <w:ind w:left="11" w:right="4"/>
              <w:rPr>
                <w:sz w:val="20"/>
              </w:rPr>
            </w:pPr>
            <w:r>
              <w:rPr>
                <w:sz w:val="20"/>
              </w:rPr>
              <w:t>35</w:t>
            </w:r>
            <w:r>
              <w:rPr>
                <w:spacing w:val="-3"/>
                <w:sz w:val="20"/>
              </w:rPr>
              <w:t> </w:t>
            </w:r>
            <w:r>
              <w:rPr>
                <w:sz w:val="20"/>
              </w:rPr>
              <w:t>a</w:t>
            </w:r>
            <w:r>
              <w:rPr>
                <w:spacing w:val="-1"/>
                <w:sz w:val="20"/>
              </w:rPr>
              <w:t> </w:t>
            </w:r>
            <w:r>
              <w:rPr>
                <w:spacing w:val="-5"/>
                <w:sz w:val="20"/>
              </w:rPr>
              <w:t>50%</w:t>
            </w:r>
          </w:p>
        </w:tc>
      </w:tr>
      <w:tr>
        <w:trPr>
          <w:trHeight w:val="229" w:hRule="atLeast"/>
        </w:trPr>
        <w:tc>
          <w:tcPr>
            <w:tcW w:w="1066" w:type="dxa"/>
          </w:tcPr>
          <w:p>
            <w:pPr>
              <w:pStyle w:val="TableParagraph"/>
              <w:ind w:left="9"/>
              <w:rPr>
                <w:sz w:val="20"/>
              </w:rPr>
            </w:pPr>
            <w:r>
              <w:rPr>
                <w:spacing w:val="-5"/>
                <w:sz w:val="20"/>
              </w:rPr>
              <w:t>502</w:t>
            </w:r>
          </w:p>
        </w:tc>
        <w:tc>
          <w:tcPr>
            <w:tcW w:w="6940" w:type="dxa"/>
          </w:tcPr>
          <w:p>
            <w:pPr>
              <w:pStyle w:val="TableParagraph"/>
              <w:jc w:val="left"/>
              <w:rPr>
                <w:sz w:val="20"/>
              </w:rPr>
            </w:pPr>
            <w:r>
              <w:rPr>
                <w:sz w:val="20"/>
              </w:rPr>
              <w:t>Con</w:t>
            </w:r>
            <w:r>
              <w:rPr>
                <w:spacing w:val="-10"/>
                <w:sz w:val="20"/>
              </w:rPr>
              <w:t> </w:t>
            </w:r>
            <w:r>
              <w:rPr>
                <w:sz w:val="20"/>
              </w:rPr>
              <w:t>perturbación</w:t>
            </w:r>
            <w:r>
              <w:rPr>
                <w:spacing w:val="-9"/>
                <w:sz w:val="20"/>
              </w:rPr>
              <w:t> </w:t>
            </w:r>
            <w:r>
              <w:rPr>
                <w:sz w:val="20"/>
              </w:rPr>
              <w:t>funcional</w:t>
            </w:r>
            <w:r>
              <w:rPr>
                <w:spacing w:val="-7"/>
                <w:sz w:val="20"/>
              </w:rPr>
              <w:t> </w:t>
            </w:r>
            <w:r>
              <w:rPr>
                <w:sz w:val="20"/>
              </w:rPr>
              <w:t>del</w:t>
            </w:r>
            <w:r>
              <w:rPr>
                <w:spacing w:val="-9"/>
                <w:sz w:val="20"/>
              </w:rPr>
              <w:t> </w:t>
            </w:r>
            <w:r>
              <w:rPr>
                <w:sz w:val="20"/>
              </w:rPr>
              <w:t>riñón</w:t>
            </w:r>
            <w:r>
              <w:rPr>
                <w:spacing w:val="-8"/>
                <w:sz w:val="20"/>
              </w:rPr>
              <w:t> </w:t>
            </w:r>
            <w:r>
              <w:rPr>
                <w:spacing w:val="-2"/>
                <w:sz w:val="20"/>
              </w:rPr>
              <w:t>contralateral.</w:t>
            </w:r>
          </w:p>
        </w:tc>
        <w:tc>
          <w:tcPr>
            <w:tcW w:w="1543" w:type="dxa"/>
          </w:tcPr>
          <w:p>
            <w:pPr>
              <w:pStyle w:val="TableParagraph"/>
              <w:ind w:left="11" w:right="6"/>
              <w:rPr>
                <w:sz w:val="20"/>
              </w:rPr>
            </w:pPr>
            <w:r>
              <w:rPr>
                <w:sz w:val="20"/>
              </w:rPr>
              <w:t>50</w:t>
            </w:r>
            <w:r>
              <w:rPr>
                <w:spacing w:val="-3"/>
                <w:sz w:val="20"/>
              </w:rPr>
              <w:t> </w:t>
            </w:r>
            <w:r>
              <w:rPr>
                <w:sz w:val="20"/>
              </w:rPr>
              <w:t>a</w:t>
            </w:r>
            <w:r>
              <w:rPr>
                <w:spacing w:val="-1"/>
                <w:sz w:val="20"/>
              </w:rPr>
              <w:t> </w:t>
            </w:r>
            <w:r>
              <w:rPr>
                <w:spacing w:val="-4"/>
                <w:sz w:val="20"/>
              </w:rPr>
              <w:t>100%</w:t>
            </w:r>
          </w:p>
        </w:tc>
      </w:tr>
      <w:tr>
        <w:trPr>
          <w:trHeight w:val="229" w:hRule="atLeast"/>
        </w:trPr>
        <w:tc>
          <w:tcPr>
            <w:tcW w:w="1066" w:type="dxa"/>
          </w:tcPr>
          <w:p>
            <w:pPr>
              <w:pStyle w:val="TableParagraph"/>
              <w:ind w:left="9"/>
              <w:rPr>
                <w:sz w:val="20"/>
              </w:rPr>
            </w:pPr>
            <w:r>
              <w:rPr>
                <w:spacing w:val="-5"/>
                <w:sz w:val="20"/>
              </w:rPr>
              <w:t>503</w:t>
            </w:r>
          </w:p>
        </w:tc>
        <w:tc>
          <w:tcPr>
            <w:tcW w:w="8483" w:type="dxa"/>
            <w:gridSpan w:val="2"/>
          </w:tcPr>
          <w:p>
            <w:pPr>
              <w:pStyle w:val="TableParagraph"/>
              <w:jc w:val="left"/>
              <w:rPr>
                <w:sz w:val="20"/>
              </w:rPr>
            </w:pPr>
            <w:r>
              <w:rPr>
                <w:sz w:val="20"/>
              </w:rPr>
              <w:t>La</w:t>
            </w:r>
            <w:r>
              <w:rPr>
                <w:spacing w:val="-8"/>
                <w:sz w:val="20"/>
              </w:rPr>
              <w:t> </w:t>
            </w:r>
            <w:r>
              <w:rPr>
                <w:sz w:val="20"/>
              </w:rPr>
              <w:t>insuficiencia</w:t>
            </w:r>
            <w:r>
              <w:rPr>
                <w:spacing w:val="-7"/>
                <w:sz w:val="20"/>
              </w:rPr>
              <w:t> </w:t>
            </w:r>
            <w:r>
              <w:rPr>
                <w:sz w:val="20"/>
              </w:rPr>
              <w:t>renal</w:t>
            </w:r>
            <w:r>
              <w:rPr>
                <w:spacing w:val="-7"/>
                <w:sz w:val="20"/>
              </w:rPr>
              <w:t> </w:t>
            </w:r>
            <w:r>
              <w:rPr>
                <w:sz w:val="20"/>
              </w:rPr>
              <w:t>crónica</w:t>
            </w:r>
            <w:r>
              <w:rPr>
                <w:spacing w:val="-7"/>
                <w:sz w:val="20"/>
              </w:rPr>
              <w:t> </w:t>
            </w:r>
            <w:r>
              <w:rPr>
                <w:sz w:val="20"/>
              </w:rPr>
              <w:t>se</w:t>
            </w:r>
            <w:r>
              <w:rPr>
                <w:spacing w:val="-7"/>
                <w:sz w:val="20"/>
              </w:rPr>
              <w:t> </w:t>
            </w:r>
            <w:r>
              <w:rPr>
                <w:sz w:val="20"/>
              </w:rPr>
              <w:t>evaluará</w:t>
            </w:r>
            <w:r>
              <w:rPr>
                <w:spacing w:val="-6"/>
                <w:sz w:val="20"/>
              </w:rPr>
              <w:t> </w:t>
            </w:r>
            <w:r>
              <w:rPr>
                <w:sz w:val="20"/>
              </w:rPr>
              <w:t>conforme</w:t>
            </w:r>
            <w:r>
              <w:rPr>
                <w:spacing w:val="-7"/>
                <w:sz w:val="20"/>
              </w:rPr>
              <w:t> </w:t>
            </w:r>
            <w:r>
              <w:rPr>
                <w:sz w:val="20"/>
              </w:rPr>
              <w:t>a</w:t>
            </w:r>
            <w:r>
              <w:rPr>
                <w:spacing w:val="-8"/>
                <w:sz w:val="20"/>
              </w:rPr>
              <w:t> </w:t>
            </w:r>
            <w:r>
              <w:rPr>
                <w:sz w:val="20"/>
              </w:rPr>
              <w:t>la</w:t>
            </w:r>
            <w:r>
              <w:rPr>
                <w:spacing w:val="-6"/>
                <w:sz w:val="20"/>
              </w:rPr>
              <w:t> </w:t>
            </w:r>
            <w:r>
              <w:rPr>
                <w:sz w:val="20"/>
              </w:rPr>
              <w:t>Tabla</w:t>
            </w:r>
            <w:r>
              <w:rPr>
                <w:spacing w:val="-5"/>
                <w:sz w:val="20"/>
              </w:rPr>
              <w:t> X.</w:t>
            </w:r>
          </w:p>
        </w:tc>
      </w:tr>
    </w:tbl>
    <w:p>
      <w:pPr>
        <w:pStyle w:val="BodyText"/>
        <w:spacing w:before="9"/>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76"/>
        <w:gridCol w:w="1964"/>
        <w:gridCol w:w="2223"/>
        <w:gridCol w:w="2749"/>
        <w:gridCol w:w="1438"/>
      </w:tblGrid>
      <w:tr>
        <w:trPr>
          <w:trHeight w:val="691" w:hRule="atLeast"/>
        </w:trPr>
        <w:tc>
          <w:tcPr>
            <w:tcW w:w="9550" w:type="dxa"/>
            <w:gridSpan w:val="5"/>
            <w:shd w:val="clear" w:color="auto" w:fill="C0C0C0"/>
          </w:tcPr>
          <w:p>
            <w:pPr>
              <w:pStyle w:val="TableParagraph"/>
              <w:spacing w:line="227" w:lineRule="exact"/>
              <w:ind w:left="13"/>
              <w:rPr>
                <w:rFonts w:ascii="Arial"/>
                <w:b/>
                <w:sz w:val="20"/>
              </w:rPr>
            </w:pPr>
            <w:r>
              <w:rPr>
                <w:rFonts w:ascii="Arial"/>
                <w:b/>
                <w:sz w:val="20"/>
              </w:rPr>
              <w:t>Tabla</w:t>
            </w:r>
            <w:r>
              <w:rPr>
                <w:rFonts w:ascii="Arial"/>
                <w:b/>
                <w:spacing w:val="-8"/>
                <w:sz w:val="20"/>
              </w:rPr>
              <w:t> </w:t>
            </w:r>
            <w:r>
              <w:rPr>
                <w:rFonts w:ascii="Arial"/>
                <w:b/>
                <w:spacing w:val="-10"/>
                <w:sz w:val="20"/>
              </w:rPr>
              <w:t>X</w:t>
            </w:r>
          </w:p>
          <w:p>
            <w:pPr>
              <w:pStyle w:val="TableParagraph"/>
              <w:spacing w:line="240" w:lineRule="auto"/>
              <w:ind w:left="0"/>
              <w:jc w:val="left"/>
              <w:rPr>
                <w:rFonts w:ascii="Arial"/>
                <w:b/>
                <w:sz w:val="20"/>
              </w:rPr>
            </w:pPr>
          </w:p>
          <w:p>
            <w:pPr>
              <w:pStyle w:val="TableParagraph"/>
              <w:spacing w:line="213" w:lineRule="exact" w:before="1"/>
              <w:ind w:left="13" w:right="10"/>
              <w:rPr>
                <w:rFonts w:ascii="Arial" w:hAnsi="Arial"/>
                <w:b/>
                <w:sz w:val="20"/>
              </w:rPr>
            </w:pPr>
            <w:r>
              <w:rPr>
                <w:rFonts w:ascii="Arial" w:hAnsi="Arial"/>
                <w:b/>
                <w:sz w:val="20"/>
              </w:rPr>
              <w:t>Clasificación</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estadios</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la</w:t>
            </w:r>
            <w:r>
              <w:rPr>
                <w:rFonts w:ascii="Arial" w:hAnsi="Arial"/>
                <w:b/>
                <w:spacing w:val="-8"/>
                <w:sz w:val="20"/>
              </w:rPr>
              <w:t> </w:t>
            </w:r>
            <w:r>
              <w:rPr>
                <w:rFonts w:ascii="Arial" w:hAnsi="Arial"/>
                <w:b/>
                <w:sz w:val="20"/>
              </w:rPr>
              <w:t>enfermedad</w:t>
            </w:r>
            <w:r>
              <w:rPr>
                <w:rFonts w:ascii="Arial" w:hAnsi="Arial"/>
                <w:b/>
                <w:spacing w:val="-7"/>
                <w:sz w:val="20"/>
              </w:rPr>
              <w:t> </w:t>
            </w:r>
            <w:r>
              <w:rPr>
                <w:rFonts w:ascii="Arial" w:hAnsi="Arial"/>
                <w:b/>
                <w:sz w:val="20"/>
              </w:rPr>
              <w:t>renal</w:t>
            </w:r>
            <w:r>
              <w:rPr>
                <w:rFonts w:ascii="Arial" w:hAnsi="Arial"/>
                <w:b/>
                <w:spacing w:val="-7"/>
                <w:sz w:val="20"/>
              </w:rPr>
              <w:t> </w:t>
            </w:r>
            <w:r>
              <w:rPr>
                <w:rFonts w:ascii="Arial" w:hAnsi="Arial"/>
                <w:b/>
                <w:spacing w:val="-2"/>
                <w:sz w:val="20"/>
              </w:rPr>
              <w:t>crónica</w:t>
            </w:r>
          </w:p>
        </w:tc>
      </w:tr>
      <w:tr>
        <w:trPr>
          <w:trHeight w:val="918" w:hRule="atLeast"/>
        </w:trPr>
        <w:tc>
          <w:tcPr>
            <w:tcW w:w="1176" w:type="dxa"/>
            <w:shd w:val="clear" w:color="auto" w:fill="C0C0C0"/>
          </w:tcPr>
          <w:p>
            <w:pPr>
              <w:pStyle w:val="TableParagraph"/>
              <w:spacing w:line="227" w:lineRule="exact"/>
              <w:ind w:left="14" w:right="5"/>
              <w:rPr>
                <w:rFonts w:ascii="Arial"/>
                <w:b/>
                <w:sz w:val="20"/>
              </w:rPr>
            </w:pPr>
            <w:r>
              <w:rPr>
                <w:rFonts w:ascii="Arial"/>
                <w:b/>
                <w:spacing w:val="-2"/>
                <w:sz w:val="20"/>
              </w:rPr>
              <w:t>Estadio</w:t>
            </w:r>
          </w:p>
        </w:tc>
        <w:tc>
          <w:tcPr>
            <w:tcW w:w="1964" w:type="dxa"/>
            <w:shd w:val="clear" w:color="auto" w:fill="C0C0C0"/>
          </w:tcPr>
          <w:p>
            <w:pPr>
              <w:pStyle w:val="TableParagraph"/>
              <w:spacing w:line="227" w:lineRule="exact"/>
              <w:ind w:left="13" w:right="6"/>
              <w:rPr>
                <w:rFonts w:ascii="Arial" w:hAnsi="Arial"/>
                <w:b/>
                <w:sz w:val="20"/>
              </w:rPr>
            </w:pPr>
            <w:r>
              <w:rPr>
                <w:rFonts w:ascii="Arial" w:hAnsi="Arial"/>
                <w:b/>
                <w:spacing w:val="-2"/>
                <w:sz w:val="20"/>
              </w:rPr>
              <w:t>Descripción</w:t>
            </w:r>
          </w:p>
        </w:tc>
        <w:tc>
          <w:tcPr>
            <w:tcW w:w="2223" w:type="dxa"/>
            <w:shd w:val="clear" w:color="auto" w:fill="C0C0C0"/>
          </w:tcPr>
          <w:p>
            <w:pPr>
              <w:pStyle w:val="TableParagraph"/>
              <w:spacing w:line="227" w:lineRule="exact"/>
              <w:ind w:left="10" w:right="2"/>
              <w:rPr>
                <w:rFonts w:ascii="Arial"/>
                <w:b/>
                <w:sz w:val="20"/>
              </w:rPr>
            </w:pPr>
            <w:r>
              <w:rPr>
                <w:rFonts w:ascii="Arial"/>
                <w:b/>
                <w:sz w:val="20"/>
              </w:rPr>
              <w:t>Filtrado</w:t>
            </w:r>
            <w:r>
              <w:rPr>
                <w:rFonts w:ascii="Arial"/>
                <w:b/>
                <w:spacing w:val="-8"/>
                <w:sz w:val="20"/>
              </w:rPr>
              <w:t> </w:t>
            </w:r>
            <w:r>
              <w:rPr>
                <w:rFonts w:ascii="Arial"/>
                <w:b/>
                <w:spacing w:val="-2"/>
                <w:sz w:val="20"/>
              </w:rPr>
              <w:t>glomerular</w:t>
            </w:r>
          </w:p>
          <w:p>
            <w:pPr>
              <w:pStyle w:val="TableParagraph"/>
              <w:spacing w:line="240" w:lineRule="auto" w:before="228"/>
              <w:ind w:left="10" w:right="2"/>
              <w:rPr>
                <w:rFonts w:ascii="Arial"/>
                <w:b/>
                <w:sz w:val="20"/>
              </w:rPr>
            </w:pPr>
            <w:r>
              <w:rPr>
                <w:rFonts w:ascii="Arial"/>
                <w:b/>
                <w:spacing w:val="-2"/>
                <w:sz w:val="20"/>
              </w:rPr>
              <w:t>(mL/min/1.73m2)</w:t>
            </w:r>
          </w:p>
        </w:tc>
        <w:tc>
          <w:tcPr>
            <w:tcW w:w="2749" w:type="dxa"/>
            <w:shd w:val="clear" w:color="auto" w:fill="C0C0C0"/>
          </w:tcPr>
          <w:p>
            <w:pPr>
              <w:pStyle w:val="TableParagraph"/>
              <w:spacing w:line="227" w:lineRule="exact"/>
              <w:ind w:left="7"/>
              <w:rPr>
                <w:rFonts w:ascii="Arial"/>
                <w:b/>
                <w:sz w:val="20"/>
              </w:rPr>
            </w:pPr>
            <w:r>
              <w:rPr>
                <w:rFonts w:ascii="Arial"/>
                <w:b/>
                <w:spacing w:val="-2"/>
                <w:sz w:val="20"/>
              </w:rPr>
              <w:t>Albuminuria</w:t>
            </w:r>
          </w:p>
          <w:p>
            <w:pPr>
              <w:pStyle w:val="TableParagraph"/>
              <w:spacing w:line="230" w:lineRule="atLeast" w:before="211"/>
              <w:ind w:left="433" w:right="422" w:firstLine="3"/>
              <w:rPr>
                <w:rFonts w:ascii="Arial" w:hAnsi="Arial"/>
                <w:b/>
                <w:sz w:val="20"/>
              </w:rPr>
            </w:pPr>
            <w:r>
              <w:rPr>
                <w:rFonts w:ascii="Arial" w:hAnsi="Arial"/>
                <w:b/>
                <w:spacing w:val="-2"/>
                <w:sz w:val="20"/>
              </w:rPr>
              <w:t>cociente albúmina/creatinina</w:t>
            </w:r>
          </w:p>
        </w:tc>
        <w:tc>
          <w:tcPr>
            <w:tcW w:w="1438" w:type="dxa"/>
            <w:shd w:val="clear" w:color="auto" w:fill="C0C0C0"/>
          </w:tcPr>
          <w:p>
            <w:pPr>
              <w:pStyle w:val="TableParagraph"/>
              <w:spacing w:line="227" w:lineRule="exact"/>
              <w:ind w:left="10" w:right="4"/>
              <w:rPr>
                <w:rFonts w:ascii="Arial" w:hAnsi="Arial"/>
                <w:b/>
                <w:sz w:val="20"/>
              </w:rPr>
            </w:pPr>
            <w:r>
              <w:rPr>
                <w:rFonts w:ascii="Arial" w:hAnsi="Arial"/>
                <w:b/>
                <w:spacing w:val="-2"/>
                <w:sz w:val="20"/>
              </w:rPr>
              <w:t>Valuación</w:t>
            </w:r>
          </w:p>
        </w:tc>
      </w:tr>
      <w:tr>
        <w:trPr>
          <w:trHeight w:val="229" w:hRule="atLeast"/>
        </w:trPr>
        <w:tc>
          <w:tcPr>
            <w:tcW w:w="1176" w:type="dxa"/>
          </w:tcPr>
          <w:p>
            <w:pPr>
              <w:pStyle w:val="TableParagraph"/>
              <w:ind w:left="14"/>
              <w:rPr>
                <w:sz w:val="20"/>
              </w:rPr>
            </w:pPr>
            <w:r>
              <w:rPr>
                <w:spacing w:val="-10"/>
                <w:sz w:val="20"/>
              </w:rPr>
              <w:t>1</w:t>
            </w:r>
          </w:p>
        </w:tc>
        <w:tc>
          <w:tcPr>
            <w:tcW w:w="1964" w:type="dxa"/>
          </w:tcPr>
          <w:p>
            <w:pPr>
              <w:pStyle w:val="TableParagraph"/>
              <w:ind w:left="13" w:right="5"/>
              <w:rPr>
                <w:sz w:val="20"/>
              </w:rPr>
            </w:pPr>
            <w:r>
              <w:rPr>
                <w:sz w:val="20"/>
              </w:rPr>
              <w:t>Normal</w:t>
            </w:r>
            <w:r>
              <w:rPr>
                <w:spacing w:val="-5"/>
                <w:sz w:val="20"/>
              </w:rPr>
              <w:t> </w:t>
            </w:r>
            <w:r>
              <w:rPr>
                <w:sz w:val="20"/>
              </w:rPr>
              <w:t>o</w:t>
            </w:r>
            <w:r>
              <w:rPr>
                <w:spacing w:val="-4"/>
                <w:sz w:val="20"/>
              </w:rPr>
              <w:t> </w:t>
            </w:r>
            <w:r>
              <w:rPr>
                <w:spacing w:val="-2"/>
                <w:sz w:val="20"/>
              </w:rPr>
              <w:t>alta.</w:t>
            </w:r>
          </w:p>
        </w:tc>
        <w:tc>
          <w:tcPr>
            <w:tcW w:w="2223" w:type="dxa"/>
          </w:tcPr>
          <w:p>
            <w:pPr>
              <w:pStyle w:val="TableParagraph"/>
              <w:ind w:left="10" w:right="2"/>
              <w:rPr>
                <w:sz w:val="20"/>
              </w:rPr>
            </w:pPr>
            <w:r>
              <w:rPr>
                <w:sz w:val="20"/>
              </w:rPr>
              <w:t>Mayor</w:t>
            </w:r>
            <w:r>
              <w:rPr>
                <w:spacing w:val="-5"/>
                <w:sz w:val="20"/>
              </w:rPr>
              <w:t> </w:t>
            </w:r>
            <w:r>
              <w:rPr>
                <w:sz w:val="20"/>
              </w:rPr>
              <w:t>a</w:t>
            </w:r>
            <w:r>
              <w:rPr>
                <w:spacing w:val="-4"/>
                <w:sz w:val="20"/>
              </w:rPr>
              <w:t> </w:t>
            </w:r>
            <w:r>
              <w:rPr>
                <w:spacing w:val="-5"/>
                <w:sz w:val="20"/>
              </w:rPr>
              <w:t>90</w:t>
            </w:r>
          </w:p>
        </w:tc>
        <w:tc>
          <w:tcPr>
            <w:tcW w:w="2749" w:type="dxa"/>
            <w:vMerge w:val="restart"/>
          </w:tcPr>
          <w:p>
            <w:pPr>
              <w:pStyle w:val="TableParagraph"/>
              <w:spacing w:line="240" w:lineRule="auto"/>
              <w:ind w:left="354" w:right="339" w:firstLine="124"/>
              <w:jc w:val="left"/>
              <w:rPr>
                <w:sz w:val="20"/>
              </w:rPr>
            </w:pPr>
            <w:r>
              <w:rPr>
                <w:sz w:val="20"/>
              </w:rPr>
              <w:t>0-30 mg/g, normal o levemente</w:t>
            </w:r>
            <w:r>
              <w:rPr>
                <w:spacing w:val="-14"/>
                <w:sz w:val="20"/>
              </w:rPr>
              <w:t> </w:t>
            </w:r>
            <w:r>
              <w:rPr>
                <w:sz w:val="20"/>
              </w:rPr>
              <w:t>aumentada.</w:t>
            </w:r>
          </w:p>
        </w:tc>
        <w:tc>
          <w:tcPr>
            <w:tcW w:w="1438" w:type="dxa"/>
          </w:tcPr>
          <w:p>
            <w:pPr>
              <w:pStyle w:val="TableParagraph"/>
              <w:ind w:left="10" w:right="4"/>
              <w:rPr>
                <w:sz w:val="20"/>
              </w:rPr>
            </w:pPr>
            <w:r>
              <w:rPr>
                <w:sz w:val="20"/>
              </w:rPr>
              <w:t>Sin</w:t>
            </w:r>
            <w:r>
              <w:rPr>
                <w:spacing w:val="-5"/>
                <w:sz w:val="20"/>
              </w:rPr>
              <w:t> </w:t>
            </w:r>
            <w:r>
              <w:rPr>
                <w:spacing w:val="-2"/>
                <w:sz w:val="20"/>
              </w:rPr>
              <w:t>valuación</w:t>
            </w:r>
          </w:p>
        </w:tc>
      </w:tr>
      <w:tr>
        <w:trPr>
          <w:trHeight w:val="460" w:hRule="atLeast"/>
        </w:trPr>
        <w:tc>
          <w:tcPr>
            <w:tcW w:w="1176" w:type="dxa"/>
          </w:tcPr>
          <w:p>
            <w:pPr>
              <w:pStyle w:val="TableParagraph"/>
              <w:spacing w:line="229" w:lineRule="exact"/>
              <w:ind w:left="14"/>
              <w:rPr>
                <w:sz w:val="20"/>
              </w:rPr>
            </w:pPr>
            <w:r>
              <w:rPr>
                <w:spacing w:val="-10"/>
                <w:sz w:val="20"/>
              </w:rPr>
              <w:t>2</w:t>
            </w:r>
          </w:p>
        </w:tc>
        <w:tc>
          <w:tcPr>
            <w:tcW w:w="1964" w:type="dxa"/>
          </w:tcPr>
          <w:p>
            <w:pPr>
              <w:pStyle w:val="TableParagraph"/>
              <w:spacing w:line="230" w:lineRule="exact"/>
              <w:ind w:left="474" w:right="462" w:firstLine="12"/>
              <w:jc w:val="left"/>
              <w:rPr>
                <w:sz w:val="20"/>
              </w:rPr>
            </w:pPr>
            <w:r>
              <w:rPr>
                <w:spacing w:val="-2"/>
                <w:sz w:val="20"/>
              </w:rPr>
              <w:t>Levemente disminuida.</w:t>
            </w:r>
          </w:p>
        </w:tc>
        <w:tc>
          <w:tcPr>
            <w:tcW w:w="2223" w:type="dxa"/>
          </w:tcPr>
          <w:p>
            <w:pPr>
              <w:pStyle w:val="TableParagraph"/>
              <w:spacing w:line="229" w:lineRule="exact"/>
              <w:ind w:left="10" w:right="2"/>
              <w:rPr>
                <w:sz w:val="20"/>
              </w:rPr>
            </w:pPr>
            <w:r>
              <w:rPr>
                <w:spacing w:val="-2"/>
                <w:sz w:val="20"/>
              </w:rPr>
              <w:t>60-</w:t>
            </w:r>
            <w:r>
              <w:rPr>
                <w:spacing w:val="-7"/>
                <w:sz w:val="20"/>
              </w:rPr>
              <w:t>89</w:t>
            </w:r>
          </w:p>
        </w:tc>
        <w:tc>
          <w:tcPr>
            <w:tcW w:w="2749" w:type="dxa"/>
            <w:vMerge/>
            <w:tcBorders>
              <w:top w:val="nil"/>
            </w:tcBorders>
          </w:tcPr>
          <w:p>
            <w:pPr>
              <w:rPr>
                <w:sz w:val="2"/>
                <w:szCs w:val="2"/>
              </w:rPr>
            </w:pPr>
          </w:p>
        </w:tc>
        <w:tc>
          <w:tcPr>
            <w:tcW w:w="1438" w:type="dxa"/>
          </w:tcPr>
          <w:p>
            <w:pPr>
              <w:pStyle w:val="TableParagraph"/>
              <w:spacing w:line="229" w:lineRule="exact"/>
              <w:ind w:left="10" w:right="2"/>
              <w:rPr>
                <w:sz w:val="20"/>
              </w:rPr>
            </w:pPr>
            <w:r>
              <w:rPr>
                <w:spacing w:val="-2"/>
                <w:sz w:val="20"/>
              </w:rPr>
              <w:t>10-</w:t>
            </w:r>
            <w:r>
              <w:rPr>
                <w:spacing w:val="-5"/>
                <w:sz w:val="20"/>
              </w:rPr>
              <w:t>20%</w:t>
            </w:r>
          </w:p>
        </w:tc>
      </w:tr>
    </w:tbl>
    <w:p>
      <w:pPr>
        <w:pStyle w:val="TableParagraph"/>
        <w:spacing w:after="0" w:line="229" w:lineRule="exact"/>
        <w:rPr>
          <w:sz w:val="20"/>
        </w:rPr>
        <w:sectPr>
          <w:pgSz w:w="12240" w:h="15840"/>
          <w:pgMar w:header="724" w:footer="712" w:top="1880" w:bottom="900" w:left="1080" w:right="1080"/>
        </w:sectPr>
      </w:pPr>
    </w:p>
    <w:p>
      <w:pPr>
        <w:pStyle w:val="BodyText"/>
        <w:spacing w:before="68"/>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76"/>
        <w:gridCol w:w="1964"/>
        <w:gridCol w:w="2223"/>
        <w:gridCol w:w="2749"/>
        <w:gridCol w:w="1438"/>
      </w:tblGrid>
      <w:tr>
        <w:trPr>
          <w:trHeight w:val="688" w:hRule="atLeast"/>
        </w:trPr>
        <w:tc>
          <w:tcPr>
            <w:tcW w:w="1176" w:type="dxa"/>
          </w:tcPr>
          <w:p>
            <w:pPr>
              <w:pStyle w:val="TableParagraph"/>
              <w:spacing w:line="229" w:lineRule="exact"/>
              <w:ind w:left="14" w:right="2"/>
              <w:rPr>
                <w:sz w:val="20"/>
              </w:rPr>
            </w:pPr>
            <w:r>
              <w:rPr>
                <w:spacing w:val="-5"/>
                <w:sz w:val="20"/>
              </w:rPr>
              <w:t>3A</w:t>
            </w:r>
          </w:p>
        </w:tc>
        <w:tc>
          <w:tcPr>
            <w:tcW w:w="1964" w:type="dxa"/>
          </w:tcPr>
          <w:p>
            <w:pPr>
              <w:pStyle w:val="TableParagraph"/>
              <w:spacing w:line="229" w:lineRule="exact"/>
              <w:ind w:left="13" w:right="2"/>
              <w:rPr>
                <w:sz w:val="20"/>
              </w:rPr>
            </w:pPr>
            <w:r>
              <w:rPr>
                <w:sz w:val="20"/>
              </w:rPr>
              <w:t>Leve</w:t>
            </w:r>
            <w:r>
              <w:rPr>
                <w:spacing w:val="-7"/>
                <w:sz w:val="20"/>
              </w:rPr>
              <w:t> </w:t>
            </w:r>
            <w:r>
              <w:rPr>
                <w:spacing w:val="-10"/>
                <w:sz w:val="20"/>
              </w:rPr>
              <w:t>a</w:t>
            </w:r>
          </w:p>
          <w:p>
            <w:pPr>
              <w:pStyle w:val="TableParagraph"/>
              <w:spacing w:line="228" w:lineRule="exact"/>
              <w:ind w:left="13"/>
              <w:rPr>
                <w:sz w:val="20"/>
              </w:rPr>
            </w:pPr>
            <w:r>
              <w:rPr>
                <w:spacing w:val="-2"/>
                <w:sz w:val="20"/>
              </w:rPr>
              <w:t>moderadamente disminuida.</w:t>
            </w:r>
          </w:p>
        </w:tc>
        <w:tc>
          <w:tcPr>
            <w:tcW w:w="2223" w:type="dxa"/>
          </w:tcPr>
          <w:p>
            <w:pPr>
              <w:pStyle w:val="TableParagraph"/>
              <w:spacing w:line="229" w:lineRule="exact"/>
              <w:ind w:left="10" w:right="2"/>
              <w:rPr>
                <w:sz w:val="20"/>
              </w:rPr>
            </w:pPr>
            <w:r>
              <w:rPr>
                <w:spacing w:val="-2"/>
                <w:sz w:val="20"/>
              </w:rPr>
              <w:t>45-</w:t>
            </w:r>
            <w:r>
              <w:rPr>
                <w:spacing w:val="-7"/>
                <w:sz w:val="20"/>
              </w:rPr>
              <w:t>59</w:t>
            </w:r>
          </w:p>
        </w:tc>
        <w:tc>
          <w:tcPr>
            <w:tcW w:w="2749" w:type="dxa"/>
            <w:vMerge w:val="restart"/>
          </w:tcPr>
          <w:p>
            <w:pPr>
              <w:pStyle w:val="TableParagraph"/>
              <w:spacing w:line="240" w:lineRule="auto"/>
              <w:ind w:left="88" w:right="71" w:firstLine="696"/>
              <w:jc w:val="left"/>
              <w:rPr>
                <w:sz w:val="20"/>
              </w:rPr>
            </w:pPr>
            <w:r>
              <w:rPr>
                <w:sz w:val="20"/>
              </w:rPr>
              <w:t>30-300 mg/g, moderadamente</w:t>
            </w:r>
            <w:r>
              <w:rPr>
                <w:spacing w:val="-14"/>
                <w:sz w:val="20"/>
              </w:rPr>
              <w:t> </w:t>
            </w:r>
            <w:r>
              <w:rPr>
                <w:sz w:val="20"/>
              </w:rPr>
              <w:t>aumentada.</w:t>
            </w:r>
          </w:p>
        </w:tc>
        <w:tc>
          <w:tcPr>
            <w:tcW w:w="1438" w:type="dxa"/>
          </w:tcPr>
          <w:p>
            <w:pPr>
              <w:pStyle w:val="TableParagraph"/>
              <w:spacing w:line="229" w:lineRule="exact"/>
              <w:ind w:left="10" w:right="4"/>
              <w:rPr>
                <w:sz w:val="20"/>
              </w:rPr>
            </w:pPr>
            <w:r>
              <w:rPr>
                <w:sz w:val="20"/>
              </w:rPr>
              <w:t>20</w:t>
            </w:r>
            <w:r>
              <w:rPr>
                <w:spacing w:val="-3"/>
                <w:sz w:val="20"/>
              </w:rPr>
              <w:t> </w:t>
            </w:r>
            <w:r>
              <w:rPr>
                <w:sz w:val="20"/>
              </w:rPr>
              <w:t>a</w:t>
            </w:r>
            <w:r>
              <w:rPr>
                <w:spacing w:val="-1"/>
                <w:sz w:val="20"/>
              </w:rPr>
              <w:t> </w:t>
            </w:r>
            <w:r>
              <w:rPr>
                <w:spacing w:val="-5"/>
                <w:sz w:val="20"/>
              </w:rPr>
              <w:t>40%</w:t>
            </w:r>
          </w:p>
        </w:tc>
      </w:tr>
      <w:tr>
        <w:trPr>
          <w:trHeight w:val="690" w:hRule="atLeast"/>
        </w:trPr>
        <w:tc>
          <w:tcPr>
            <w:tcW w:w="1176" w:type="dxa"/>
          </w:tcPr>
          <w:p>
            <w:pPr>
              <w:pStyle w:val="TableParagraph"/>
              <w:spacing w:line="229" w:lineRule="exact"/>
              <w:ind w:left="14" w:right="2"/>
              <w:rPr>
                <w:sz w:val="20"/>
              </w:rPr>
            </w:pPr>
            <w:r>
              <w:rPr>
                <w:spacing w:val="-5"/>
                <w:sz w:val="20"/>
              </w:rPr>
              <w:t>3B</w:t>
            </w:r>
          </w:p>
        </w:tc>
        <w:tc>
          <w:tcPr>
            <w:tcW w:w="1964" w:type="dxa"/>
          </w:tcPr>
          <w:p>
            <w:pPr>
              <w:pStyle w:val="TableParagraph"/>
              <w:spacing w:line="230" w:lineRule="exact"/>
              <w:ind w:left="453" w:right="433" w:hanging="5"/>
              <w:jc w:val="both"/>
              <w:rPr>
                <w:sz w:val="20"/>
              </w:rPr>
            </w:pPr>
            <w:r>
              <w:rPr>
                <w:sz w:val="20"/>
              </w:rPr>
              <w:t>Moderada</w:t>
            </w:r>
            <w:r>
              <w:rPr>
                <w:spacing w:val="-14"/>
                <w:sz w:val="20"/>
              </w:rPr>
              <w:t> </w:t>
            </w:r>
            <w:r>
              <w:rPr>
                <w:sz w:val="20"/>
              </w:rPr>
              <w:t>a </w:t>
            </w:r>
            <w:r>
              <w:rPr>
                <w:spacing w:val="-2"/>
                <w:sz w:val="20"/>
              </w:rPr>
              <w:t>gravemente disminuida.</w:t>
            </w:r>
          </w:p>
        </w:tc>
        <w:tc>
          <w:tcPr>
            <w:tcW w:w="2223" w:type="dxa"/>
          </w:tcPr>
          <w:p>
            <w:pPr>
              <w:pStyle w:val="TableParagraph"/>
              <w:spacing w:line="229" w:lineRule="exact"/>
              <w:ind w:left="10" w:right="2"/>
              <w:rPr>
                <w:sz w:val="20"/>
              </w:rPr>
            </w:pPr>
            <w:r>
              <w:rPr>
                <w:spacing w:val="-2"/>
                <w:sz w:val="20"/>
              </w:rPr>
              <w:t>30-</w:t>
            </w:r>
            <w:r>
              <w:rPr>
                <w:spacing w:val="-7"/>
                <w:sz w:val="20"/>
              </w:rPr>
              <w:t>44</w:t>
            </w:r>
          </w:p>
        </w:tc>
        <w:tc>
          <w:tcPr>
            <w:tcW w:w="2749" w:type="dxa"/>
            <w:vMerge/>
            <w:tcBorders>
              <w:top w:val="nil"/>
            </w:tcBorders>
          </w:tcPr>
          <w:p>
            <w:pPr>
              <w:rPr>
                <w:sz w:val="2"/>
                <w:szCs w:val="2"/>
              </w:rPr>
            </w:pPr>
          </w:p>
        </w:tc>
        <w:tc>
          <w:tcPr>
            <w:tcW w:w="1438" w:type="dxa"/>
          </w:tcPr>
          <w:p>
            <w:pPr>
              <w:pStyle w:val="TableParagraph"/>
              <w:spacing w:line="229" w:lineRule="exact"/>
              <w:ind w:left="10" w:right="4"/>
              <w:rPr>
                <w:sz w:val="20"/>
              </w:rPr>
            </w:pPr>
            <w:r>
              <w:rPr>
                <w:sz w:val="20"/>
              </w:rPr>
              <w:t>41</w:t>
            </w:r>
            <w:r>
              <w:rPr>
                <w:spacing w:val="-3"/>
                <w:sz w:val="20"/>
              </w:rPr>
              <w:t> </w:t>
            </w:r>
            <w:r>
              <w:rPr>
                <w:sz w:val="20"/>
              </w:rPr>
              <w:t>a</w:t>
            </w:r>
            <w:r>
              <w:rPr>
                <w:spacing w:val="-1"/>
                <w:sz w:val="20"/>
              </w:rPr>
              <w:t> </w:t>
            </w:r>
            <w:r>
              <w:rPr>
                <w:spacing w:val="-5"/>
                <w:sz w:val="20"/>
              </w:rPr>
              <w:t>60%</w:t>
            </w:r>
          </w:p>
        </w:tc>
      </w:tr>
      <w:tr>
        <w:trPr>
          <w:trHeight w:val="460" w:hRule="atLeast"/>
        </w:trPr>
        <w:tc>
          <w:tcPr>
            <w:tcW w:w="1176" w:type="dxa"/>
          </w:tcPr>
          <w:p>
            <w:pPr>
              <w:pStyle w:val="TableParagraph"/>
              <w:spacing w:line="229" w:lineRule="exact"/>
              <w:ind w:left="14"/>
              <w:rPr>
                <w:sz w:val="20"/>
              </w:rPr>
            </w:pPr>
            <w:r>
              <w:rPr>
                <w:spacing w:val="-10"/>
                <w:sz w:val="20"/>
              </w:rPr>
              <w:t>4</w:t>
            </w:r>
          </w:p>
        </w:tc>
        <w:tc>
          <w:tcPr>
            <w:tcW w:w="1964" w:type="dxa"/>
          </w:tcPr>
          <w:p>
            <w:pPr>
              <w:pStyle w:val="TableParagraph"/>
              <w:spacing w:line="230" w:lineRule="exact"/>
              <w:ind w:left="474" w:hanging="44"/>
              <w:jc w:val="left"/>
              <w:rPr>
                <w:sz w:val="20"/>
              </w:rPr>
            </w:pPr>
            <w:r>
              <w:rPr>
                <w:spacing w:val="-2"/>
                <w:sz w:val="20"/>
              </w:rPr>
              <w:t>Gravemente disminuida.</w:t>
            </w:r>
          </w:p>
        </w:tc>
        <w:tc>
          <w:tcPr>
            <w:tcW w:w="2223" w:type="dxa"/>
          </w:tcPr>
          <w:p>
            <w:pPr>
              <w:pStyle w:val="TableParagraph"/>
              <w:spacing w:line="229" w:lineRule="exact"/>
              <w:ind w:left="10" w:right="2"/>
              <w:rPr>
                <w:sz w:val="20"/>
              </w:rPr>
            </w:pPr>
            <w:r>
              <w:rPr>
                <w:spacing w:val="-2"/>
                <w:sz w:val="20"/>
              </w:rPr>
              <w:t>15-</w:t>
            </w:r>
            <w:r>
              <w:rPr>
                <w:spacing w:val="-7"/>
                <w:sz w:val="20"/>
              </w:rPr>
              <w:t>29</w:t>
            </w:r>
          </w:p>
        </w:tc>
        <w:tc>
          <w:tcPr>
            <w:tcW w:w="2749" w:type="dxa"/>
            <w:vMerge w:val="restart"/>
          </w:tcPr>
          <w:p>
            <w:pPr>
              <w:pStyle w:val="TableParagraph"/>
              <w:spacing w:line="240" w:lineRule="auto"/>
              <w:ind w:left="844" w:right="302" w:hanging="531"/>
              <w:jc w:val="left"/>
              <w:rPr>
                <w:sz w:val="20"/>
              </w:rPr>
            </w:pPr>
            <w:r>
              <w:rPr>
                <w:sz w:val="20"/>
              </w:rPr>
              <w:t>&gt;300</w:t>
            </w:r>
            <w:r>
              <w:rPr>
                <w:spacing w:val="-14"/>
                <w:sz w:val="20"/>
              </w:rPr>
              <w:t> </w:t>
            </w:r>
            <w:r>
              <w:rPr>
                <w:sz w:val="20"/>
              </w:rPr>
              <w:t>mg/g,</w:t>
            </w:r>
            <w:r>
              <w:rPr>
                <w:spacing w:val="-14"/>
                <w:sz w:val="20"/>
              </w:rPr>
              <w:t> </w:t>
            </w:r>
            <w:r>
              <w:rPr>
                <w:sz w:val="20"/>
              </w:rPr>
              <w:t>gravemente </w:t>
            </w:r>
            <w:r>
              <w:rPr>
                <w:spacing w:val="-2"/>
                <w:sz w:val="20"/>
              </w:rPr>
              <w:t>aumentada.</w:t>
            </w:r>
          </w:p>
        </w:tc>
        <w:tc>
          <w:tcPr>
            <w:tcW w:w="1438" w:type="dxa"/>
          </w:tcPr>
          <w:p>
            <w:pPr>
              <w:pStyle w:val="TableParagraph"/>
              <w:spacing w:line="229" w:lineRule="exact"/>
              <w:ind w:left="10" w:right="4"/>
              <w:rPr>
                <w:sz w:val="20"/>
              </w:rPr>
            </w:pPr>
            <w:r>
              <w:rPr>
                <w:sz w:val="20"/>
              </w:rPr>
              <w:t>61</w:t>
            </w:r>
            <w:r>
              <w:rPr>
                <w:spacing w:val="-3"/>
                <w:sz w:val="20"/>
              </w:rPr>
              <w:t> </w:t>
            </w:r>
            <w:r>
              <w:rPr>
                <w:sz w:val="20"/>
              </w:rPr>
              <w:t>a</w:t>
            </w:r>
            <w:r>
              <w:rPr>
                <w:spacing w:val="-1"/>
                <w:sz w:val="20"/>
              </w:rPr>
              <w:t> </w:t>
            </w:r>
            <w:r>
              <w:rPr>
                <w:spacing w:val="-5"/>
                <w:sz w:val="20"/>
              </w:rPr>
              <w:t>90%</w:t>
            </w:r>
          </w:p>
        </w:tc>
      </w:tr>
      <w:tr>
        <w:trPr>
          <w:trHeight w:val="229" w:hRule="atLeast"/>
        </w:trPr>
        <w:tc>
          <w:tcPr>
            <w:tcW w:w="1176" w:type="dxa"/>
          </w:tcPr>
          <w:p>
            <w:pPr>
              <w:pStyle w:val="TableParagraph"/>
              <w:ind w:left="14"/>
              <w:rPr>
                <w:sz w:val="20"/>
              </w:rPr>
            </w:pPr>
            <w:r>
              <w:rPr>
                <w:spacing w:val="-10"/>
                <w:sz w:val="20"/>
              </w:rPr>
              <w:t>5</w:t>
            </w:r>
          </w:p>
        </w:tc>
        <w:tc>
          <w:tcPr>
            <w:tcW w:w="1964" w:type="dxa"/>
          </w:tcPr>
          <w:p>
            <w:pPr>
              <w:pStyle w:val="TableParagraph"/>
              <w:ind w:left="153"/>
              <w:jc w:val="left"/>
              <w:rPr>
                <w:sz w:val="20"/>
              </w:rPr>
            </w:pPr>
            <w:r>
              <w:rPr>
                <w:spacing w:val="-2"/>
                <w:sz w:val="20"/>
              </w:rPr>
              <w:t>Insuficiencia</w:t>
            </w:r>
            <w:r>
              <w:rPr>
                <w:spacing w:val="10"/>
                <w:sz w:val="20"/>
              </w:rPr>
              <w:t> </w:t>
            </w:r>
            <w:r>
              <w:rPr>
                <w:spacing w:val="-2"/>
                <w:sz w:val="20"/>
              </w:rPr>
              <w:t>renal.</w:t>
            </w:r>
          </w:p>
        </w:tc>
        <w:tc>
          <w:tcPr>
            <w:tcW w:w="2223" w:type="dxa"/>
          </w:tcPr>
          <w:p>
            <w:pPr>
              <w:pStyle w:val="TableParagraph"/>
              <w:ind w:left="10"/>
              <w:rPr>
                <w:sz w:val="20"/>
              </w:rPr>
            </w:pPr>
            <w:r>
              <w:rPr>
                <w:sz w:val="20"/>
              </w:rPr>
              <w:t>Menor</w:t>
            </w:r>
            <w:r>
              <w:rPr>
                <w:spacing w:val="-4"/>
                <w:sz w:val="20"/>
              </w:rPr>
              <w:t> </w:t>
            </w:r>
            <w:r>
              <w:rPr>
                <w:sz w:val="20"/>
              </w:rPr>
              <w:t>a</w:t>
            </w:r>
            <w:r>
              <w:rPr>
                <w:spacing w:val="-6"/>
                <w:sz w:val="20"/>
              </w:rPr>
              <w:t> </w:t>
            </w:r>
            <w:r>
              <w:rPr>
                <w:spacing w:val="-5"/>
                <w:sz w:val="20"/>
              </w:rPr>
              <w:t>15</w:t>
            </w:r>
          </w:p>
        </w:tc>
        <w:tc>
          <w:tcPr>
            <w:tcW w:w="2749" w:type="dxa"/>
            <w:vMerge/>
            <w:tcBorders>
              <w:top w:val="nil"/>
            </w:tcBorders>
          </w:tcPr>
          <w:p>
            <w:pPr>
              <w:rPr>
                <w:sz w:val="2"/>
                <w:szCs w:val="2"/>
              </w:rPr>
            </w:pPr>
          </w:p>
        </w:tc>
        <w:tc>
          <w:tcPr>
            <w:tcW w:w="1438" w:type="dxa"/>
          </w:tcPr>
          <w:p>
            <w:pPr>
              <w:pStyle w:val="TableParagraph"/>
              <w:ind w:left="10" w:right="2"/>
              <w:rPr>
                <w:sz w:val="20"/>
              </w:rPr>
            </w:pPr>
            <w:r>
              <w:rPr>
                <w:sz w:val="20"/>
              </w:rPr>
              <w:t>91</w:t>
            </w:r>
            <w:r>
              <w:rPr>
                <w:spacing w:val="-3"/>
                <w:sz w:val="20"/>
              </w:rPr>
              <w:t> </w:t>
            </w:r>
            <w:r>
              <w:rPr>
                <w:sz w:val="20"/>
              </w:rPr>
              <w:t>a</w:t>
            </w:r>
            <w:r>
              <w:rPr>
                <w:spacing w:val="-1"/>
                <w:sz w:val="20"/>
              </w:rPr>
              <w:t> </w:t>
            </w:r>
            <w:r>
              <w:rPr>
                <w:spacing w:val="-4"/>
                <w:sz w:val="20"/>
              </w:rPr>
              <w:t>100%</w:t>
            </w:r>
          </w:p>
        </w:tc>
      </w:tr>
    </w:tbl>
    <w:p>
      <w:pPr>
        <w:pStyle w:val="BodyText"/>
        <w:spacing w:before="1"/>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31"/>
        <w:gridCol w:w="1553"/>
      </w:tblGrid>
      <w:tr>
        <w:trPr>
          <w:trHeight w:val="229" w:hRule="atLeast"/>
        </w:trPr>
        <w:tc>
          <w:tcPr>
            <w:tcW w:w="1066" w:type="dxa"/>
          </w:tcPr>
          <w:p>
            <w:pPr>
              <w:pStyle w:val="TableParagraph"/>
              <w:ind w:left="9"/>
              <w:rPr>
                <w:sz w:val="20"/>
              </w:rPr>
            </w:pPr>
            <w:r>
              <w:rPr>
                <w:spacing w:val="-5"/>
                <w:sz w:val="20"/>
              </w:rPr>
              <w:t>504</w:t>
            </w:r>
          </w:p>
        </w:tc>
        <w:tc>
          <w:tcPr>
            <w:tcW w:w="6931" w:type="dxa"/>
          </w:tcPr>
          <w:p>
            <w:pPr>
              <w:pStyle w:val="TableParagraph"/>
              <w:jc w:val="left"/>
              <w:rPr>
                <w:sz w:val="20"/>
              </w:rPr>
            </w:pPr>
            <w:r>
              <w:rPr>
                <w:sz w:val="20"/>
              </w:rPr>
              <w:t>Incontinencia</w:t>
            </w:r>
            <w:r>
              <w:rPr>
                <w:spacing w:val="-8"/>
                <w:sz w:val="20"/>
              </w:rPr>
              <w:t> </w:t>
            </w:r>
            <w:r>
              <w:rPr>
                <w:sz w:val="20"/>
              </w:rPr>
              <w:t>de</w:t>
            </w:r>
            <w:r>
              <w:rPr>
                <w:spacing w:val="-10"/>
                <w:sz w:val="20"/>
              </w:rPr>
              <w:t> </w:t>
            </w:r>
            <w:r>
              <w:rPr>
                <w:sz w:val="20"/>
              </w:rPr>
              <w:t>orina</w:t>
            </w:r>
            <w:r>
              <w:rPr>
                <w:spacing w:val="-7"/>
                <w:sz w:val="20"/>
              </w:rPr>
              <w:t> </w:t>
            </w:r>
            <w:r>
              <w:rPr>
                <w:spacing w:val="-2"/>
                <w:sz w:val="20"/>
              </w:rPr>
              <w:t>permanente.</w:t>
            </w:r>
          </w:p>
        </w:tc>
        <w:tc>
          <w:tcPr>
            <w:tcW w:w="1553" w:type="dxa"/>
          </w:tcPr>
          <w:p>
            <w:pPr>
              <w:pStyle w:val="TableParagraph"/>
              <w:ind w:left="9" w:right="3"/>
              <w:rPr>
                <w:sz w:val="20"/>
              </w:rPr>
            </w:pPr>
            <w:r>
              <w:rPr>
                <w:sz w:val="20"/>
              </w:rPr>
              <w:t>30</w:t>
            </w:r>
            <w:r>
              <w:rPr>
                <w:spacing w:val="-3"/>
                <w:sz w:val="20"/>
              </w:rPr>
              <w:t> </w:t>
            </w:r>
            <w:r>
              <w:rPr>
                <w:sz w:val="20"/>
              </w:rPr>
              <w:t>a</w:t>
            </w:r>
            <w:r>
              <w:rPr>
                <w:spacing w:val="-1"/>
                <w:sz w:val="20"/>
              </w:rPr>
              <w:t> </w:t>
            </w:r>
            <w:r>
              <w:rPr>
                <w:spacing w:val="-5"/>
                <w:sz w:val="20"/>
              </w:rPr>
              <w:t>40%</w:t>
            </w:r>
          </w:p>
        </w:tc>
      </w:tr>
      <w:tr>
        <w:trPr>
          <w:trHeight w:val="229" w:hRule="atLeast"/>
        </w:trPr>
        <w:tc>
          <w:tcPr>
            <w:tcW w:w="1066" w:type="dxa"/>
          </w:tcPr>
          <w:p>
            <w:pPr>
              <w:pStyle w:val="TableParagraph"/>
              <w:ind w:left="9"/>
              <w:rPr>
                <w:sz w:val="20"/>
              </w:rPr>
            </w:pPr>
            <w:r>
              <w:rPr>
                <w:spacing w:val="-5"/>
                <w:sz w:val="20"/>
              </w:rPr>
              <w:t>505</w:t>
            </w:r>
          </w:p>
        </w:tc>
        <w:tc>
          <w:tcPr>
            <w:tcW w:w="6931" w:type="dxa"/>
          </w:tcPr>
          <w:p>
            <w:pPr>
              <w:pStyle w:val="TableParagraph"/>
              <w:jc w:val="left"/>
              <w:rPr>
                <w:sz w:val="20"/>
              </w:rPr>
            </w:pPr>
            <w:r>
              <w:rPr>
                <w:sz w:val="20"/>
              </w:rPr>
              <w:t>Estrechamiento</w:t>
            </w:r>
            <w:r>
              <w:rPr>
                <w:spacing w:val="-7"/>
                <w:sz w:val="20"/>
              </w:rPr>
              <w:t> </w:t>
            </w:r>
            <w:r>
              <w:rPr>
                <w:sz w:val="20"/>
              </w:rPr>
              <w:t>parcial</w:t>
            </w:r>
            <w:r>
              <w:rPr>
                <w:spacing w:val="-9"/>
                <w:sz w:val="20"/>
              </w:rPr>
              <w:t> </w:t>
            </w:r>
            <w:r>
              <w:rPr>
                <w:sz w:val="20"/>
              </w:rPr>
              <w:t>de</w:t>
            </w:r>
            <w:r>
              <w:rPr>
                <w:spacing w:val="-8"/>
                <w:sz w:val="20"/>
              </w:rPr>
              <w:t> </w:t>
            </w:r>
            <w:r>
              <w:rPr>
                <w:sz w:val="20"/>
              </w:rPr>
              <w:t>la</w:t>
            </w:r>
            <w:r>
              <w:rPr>
                <w:spacing w:val="-9"/>
                <w:sz w:val="20"/>
              </w:rPr>
              <w:t> </w:t>
            </w:r>
            <w:r>
              <w:rPr>
                <w:sz w:val="20"/>
              </w:rPr>
              <w:t>uretra</w:t>
            </w:r>
            <w:r>
              <w:rPr>
                <w:spacing w:val="-6"/>
                <w:sz w:val="20"/>
              </w:rPr>
              <w:t> </w:t>
            </w:r>
            <w:r>
              <w:rPr>
                <w:sz w:val="20"/>
              </w:rPr>
              <w:t>anterior,</w:t>
            </w:r>
            <w:r>
              <w:rPr>
                <w:spacing w:val="-7"/>
                <w:sz w:val="20"/>
              </w:rPr>
              <w:t> </w:t>
            </w:r>
            <w:r>
              <w:rPr>
                <w:sz w:val="20"/>
              </w:rPr>
              <w:t>no</w:t>
            </w:r>
            <w:r>
              <w:rPr>
                <w:spacing w:val="-9"/>
                <w:sz w:val="20"/>
              </w:rPr>
              <w:t> </w:t>
            </w:r>
            <w:r>
              <w:rPr>
                <w:sz w:val="20"/>
              </w:rPr>
              <w:t>resuelto</w:t>
            </w:r>
            <w:r>
              <w:rPr>
                <w:spacing w:val="-8"/>
                <w:sz w:val="20"/>
              </w:rPr>
              <w:t> </w:t>
            </w:r>
            <w:r>
              <w:rPr>
                <w:spacing w:val="-2"/>
                <w:sz w:val="20"/>
              </w:rPr>
              <w:t>quirúrgicamente.</w:t>
            </w:r>
          </w:p>
        </w:tc>
        <w:tc>
          <w:tcPr>
            <w:tcW w:w="1553" w:type="dxa"/>
          </w:tcPr>
          <w:p>
            <w:pPr>
              <w:pStyle w:val="TableParagraph"/>
              <w:ind w:left="9" w:right="3"/>
              <w:rPr>
                <w:sz w:val="20"/>
              </w:rPr>
            </w:pPr>
            <w:r>
              <w:rPr>
                <w:sz w:val="20"/>
              </w:rPr>
              <w:t>30</w:t>
            </w:r>
            <w:r>
              <w:rPr>
                <w:spacing w:val="-3"/>
                <w:sz w:val="20"/>
              </w:rPr>
              <w:t> </w:t>
            </w:r>
            <w:r>
              <w:rPr>
                <w:sz w:val="20"/>
              </w:rPr>
              <w:t>a</w:t>
            </w:r>
            <w:r>
              <w:rPr>
                <w:spacing w:val="-1"/>
                <w:sz w:val="20"/>
              </w:rPr>
              <w:t> </w:t>
            </w:r>
            <w:r>
              <w:rPr>
                <w:spacing w:val="-5"/>
                <w:sz w:val="20"/>
              </w:rPr>
              <w:t>40%</w:t>
            </w:r>
          </w:p>
        </w:tc>
      </w:tr>
      <w:tr>
        <w:trPr>
          <w:trHeight w:val="230" w:hRule="atLeast"/>
        </w:trPr>
        <w:tc>
          <w:tcPr>
            <w:tcW w:w="1066" w:type="dxa"/>
          </w:tcPr>
          <w:p>
            <w:pPr>
              <w:pStyle w:val="TableParagraph"/>
              <w:ind w:left="9"/>
              <w:rPr>
                <w:sz w:val="20"/>
              </w:rPr>
            </w:pPr>
            <w:r>
              <w:rPr>
                <w:spacing w:val="-5"/>
                <w:sz w:val="20"/>
              </w:rPr>
              <w:t>506</w:t>
            </w:r>
          </w:p>
        </w:tc>
        <w:tc>
          <w:tcPr>
            <w:tcW w:w="6931" w:type="dxa"/>
          </w:tcPr>
          <w:p>
            <w:pPr>
              <w:pStyle w:val="TableParagraph"/>
              <w:jc w:val="left"/>
              <w:rPr>
                <w:sz w:val="20"/>
              </w:rPr>
            </w:pPr>
            <w:r>
              <w:rPr>
                <w:sz w:val="20"/>
              </w:rPr>
              <w:t>Estrechamiento</w:t>
            </w:r>
            <w:r>
              <w:rPr>
                <w:spacing w:val="-7"/>
                <w:sz w:val="20"/>
              </w:rPr>
              <w:t> </w:t>
            </w:r>
            <w:r>
              <w:rPr>
                <w:sz w:val="20"/>
              </w:rPr>
              <w:t>parcial</w:t>
            </w:r>
            <w:r>
              <w:rPr>
                <w:spacing w:val="-9"/>
                <w:sz w:val="20"/>
              </w:rPr>
              <w:t> </w:t>
            </w:r>
            <w:r>
              <w:rPr>
                <w:sz w:val="20"/>
              </w:rPr>
              <w:t>de</w:t>
            </w:r>
            <w:r>
              <w:rPr>
                <w:spacing w:val="-8"/>
                <w:sz w:val="20"/>
              </w:rPr>
              <w:t> </w:t>
            </w:r>
            <w:r>
              <w:rPr>
                <w:sz w:val="20"/>
              </w:rPr>
              <w:t>la</w:t>
            </w:r>
            <w:r>
              <w:rPr>
                <w:spacing w:val="-8"/>
                <w:sz w:val="20"/>
              </w:rPr>
              <w:t> </w:t>
            </w:r>
            <w:r>
              <w:rPr>
                <w:sz w:val="20"/>
              </w:rPr>
              <w:t>uretra</w:t>
            </w:r>
            <w:r>
              <w:rPr>
                <w:spacing w:val="-6"/>
                <w:sz w:val="20"/>
              </w:rPr>
              <w:t> </w:t>
            </w:r>
            <w:r>
              <w:rPr>
                <w:sz w:val="20"/>
              </w:rPr>
              <w:t>posterior,</w:t>
            </w:r>
            <w:r>
              <w:rPr>
                <w:spacing w:val="-8"/>
                <w:sz w:val="20"/>
              </w:rPr>
              <w:t> </w:t>
            </w:r>
            <w:r>
              <w:rPr>
                <w:sz w:val="20"/>
              </w:rPr>
              <w:t>no</w:t>
            </w:r>
            <w:r>
              <w:rPr>
                <w:spacing w:val="-8"/>
                <w:sz w:val="20"/>
              </w:rPr>
              <w:t> </w:t>
            </w:r>
            <w:r>
              <w:rPr>
                <w:sz w:val="20"/>
              </w:rPr>
              <w:t>resuelto</w:t>
            </w:r>
            <w:r>
              <w:rPr>
                <w:spacing w:val="-6"/>
                <w:sz w:val="20"/>
              </w:rPr>
              <w:t> </w:t>
            </w:r>
            <w:r>
              <w:rPr>
                <w:spacing w:val="-2"/>
                <w:sz w:val="20"/>
              </w:rPr>
              <w:t>quirúrgicamente.</w:t>
            </w:r>
          </w:p>
        </w:tc>
        <w:tc>
          <w:tcPr>
            <w:tcW w:w="1553" w:type="dxa"/>
          </w:tcPr>
          <w:p>
            <w:pPr>
              <w:pStyle w:val="TableParagraph"/>
              <w:ind w:left="9" w:right="1"/>
              <w:rPr>
                <w:sz w:val="20"/>
              </w:rPr>
            </w:pPr>
            <w:r>
              <w:rPr>
                <w:spacing w:val="-5"/>
                <w:sz w:val="20"/>
              </w:rPr>
              <w:t>60%</w:t>
            </w:r>
          </w:p>
        </w:tc>
      </w:tr>
      <w:tr>
        <w:trPr>
          <w:trHeight w:val="690" w:hRule="atLeast"/>
        </w:trPr>
        <w:tc>
          <w:tcPr>
            <w:tcW w:w="1066" w:type="dxa"/>
          </w:tcPr>
          <w:p>
            <w:pPr>
              <w:pStyle w:val="TableParagraph"/>
              <w:spacing w:line="240" w:lineRule="auto" w:before="229"/>
              <w:ind w:left="9"/>
              <w:rPr>
                <w:sz w:val="20"/>
              </w:rPr>
            </w:pPr>
            <w:r>
              <w:rPr>
                <w:spacing w:val="-5"/>
                <w:sz w:val="20"/>
              </w:rPr>
              <w:t>507</w:t>
            </w:r>
          </w:p>
        </w:tc>
        <w:tc>
          <w:tcPr>
            <w:tcW w:w="6931" w:type="dxa"/>
          </w:tcPr>
          <w:p>
            <w:pPr>
              <w:pStyle w:val="TableParagraph"/>
              <w:spacing w:line="230" w:lineRule="exact"/>
              <w:ind w:right="63"/>
              <w:jc w:val="both"/>
              <w:rPr>
                <w:sz w:val="20"/>
              </w:rPr>
            </w:pPr>
            <w:r>
              <w:rPr>
                <w:sz w:val="20"/>
              </w:rPr>
              <w:t>Estrechamiento total de la uretra, postraumático, no resuelto quirúrgicamente, que obligue a efectuar la micción por un meato perineal o </w:t>
            </w:r>
            <w:r>
              <w:rPr>
                <w:spacing w:val="-2"/>
                <w:sz w:val="20"/>
              </w:rPr>
              <w:t>hipogástrico.</w:t>
            </w:r>
          </w:p>
        </w:tc>
        <w:tc>
          <w:tcPr>
            <w:tcW w:w="1553" w:type="dxa"/>
          </w:tcPr>
          <w:p>
            <w:pPr>
              <w:pStyle w:val="TableParagraph"/>
              <w:spacing w:line="240" w:lineRule="auto" w:before="229"/>
              <w:ind w:left="9" w:right="3"/>
              <w:rPr>
                <w:sz w:val="20"/>
              </w:rPr>
            </w:pPr>
            <w:r>
              <w:rPr>
                <w:sz w:val="20"/>
              </w:rPr>
              <w:t>60</w:t>
            </w:r>
            <w:r>
              <w:rPr>
                <w:spacing w:val="-3"/>
                <w:sz w:val="20"/>
              </w:rPr>
              <w:t> </w:t>
            </w:r>
            <w:r>
              <w:rPr>
                <w:sz w:val="20"/>
              </w:rPr>
              <w:t>a</w:t>
            </w:r>
            <w:r>
              <w:rPr>
                <w:spacing w:val="-1"/>
                <w:sz w:val="20"/>
              </w:rPr>
              <w:t> </w:t>
            </w:r>
            <w:r>
              <w:rPr>
                <w:spacing w:val="-5"/>
                <w:sz w:val="20"/>
              </w:rPr>
              <w:t>90%</w:t>
            </w:r>
          </w:p>
        </w:tc>
      </w:tr>
    </w:tbl>
    <w:p>
      <w:pPr>
        <w:spacing w:line="480" w:lineRule="auto" w:before="229"/>
        <w:ind w:left="3701" w:right="3315" w:firstLine="460"/>
        <w:jc w:val="left"/>
        <w:rPr>
          <w:rFonts w:ascii="Arial" w:hAnsi="Arial"/>
          <w:b/>
          <w:sz w:val="20"/>
        </w:rPr>
      </w:pPr>
      <w:r>
        <w:rPr>
          <w:rFonts w:ascii="Arial" w:hAnsi="Arial"/>
          <w:b/>
          <w:sz w:val="20"/>
        </w:rPr>
        <w:t>Columna vertebral Secuelas</w:t>
      </w:r>
      <w:r>
        <w:rPr>
          <w:rFonts w:ascii="Arial" w:hAnsi="Arial"/>
          <w:b/>
          <w:spacing w:val="-13"/>
          <w:sz w:val="20"/>
        </w:rPr>
        <w:t> </w:t>
      </w:r>
      <w:r>
        <w:rPr>
          <w:rFonts w:ascii="Arial" w:hAnsi="Arial"/>
          <w:b/>
          <w:sz w:val="20"/>
        </w:rPr>
        <w:t>sin</w:t>
      </w:r>
      <w:r>
        <w:rPr>
          <w:rFonts w:ascii="Arial" w:hAnsi="Arial"/>
          <w:b/>
          <w:spacing w:val="-14"/>
          <w:sz w:val="20"/>
        </w:rPr>
        <w:t> </w:t>
      </w:r>
      <w:r>
        <w:rPr>
          <w:rFonts w:ascii="Arial" w:hAnsi="Arial"/>
          <w:b/>
          <w:sz w:val="20"/>
        </w:rPr>
        <w:t>lesión</w:t>
      </w:r>
      <w:r>
        <w:rPr>
          <w:rFonts w:ascii="Arial" w:hAnsi="Arial"/>
          <w:b/>
          <w:spacing w:val="-14"/>
          <w:sz w:val="20"/>
        </w:rPr>
        <w:t> </w:t>
      </w:r>
      <w:r>
        <w:rPr>
          <w:rFonts w:ascii="Arial" w:hAnsi="Arial"/>
          <w:b/>
          <w:sz w:val="20"/>
        </w:rPr>
        <w:t>medular</w:t>
      </w:r>
    </w:p>
    <w:p>
      <w:pPr>
        <w:spacing w:before="0"/>
        <w:ind w:left="4546" w:right="0" w:hanging="3944"/>
        <w:jc w:val="left"/>
        <w:rPr>
          <w:rFonts w:ascii="Arial" w:hAnsi="Arial"/>
          <w:b/>
          <w:sz w:val="20"/>
        </w:rPr>
      </w:pPr>
      <w:r>
        <w:rPr>
          <w:rFonts w:ascii="Arial" w:hAnsi="Arial"/>
          <w:b/>
          <w:sz w:val="20"/>
        </w:rPr>
        <w:t>Con</w:t>
      </w:r>
      <w:r>
        <w:rPr>
          <w:rFonts w:ascii="Arial" w:hAnsi="Arial"/>
          <w:b/>
          <w:spacing w:val="-3"/>
          <w:sz w:val="20"/>
        </w:rPr>
        <w:t> </w:t>
      </w:r>
      <w:r>
        <w:rPr>
          <w:rFonts w:ascii="Arial" w:hAnsi="Arial"/>
          <w:b/>
          <w:sz w:val="20"/>
        </w:rPr>
        <w:t>limitación</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los</w:t>
      </w:r>
      <w:r>
        <w:rPr>
          <w:rFonts w:ascii="Arial" w:hAnsi="Arial"/>
          <w:b/>
          <w:spacing w:val="-2"/>
          <w:sz w:val="20"/>
        </w:rPr>
        <w:t> </w:t>
      </w:r>
      <w:r>
        <w:rPr>
          <w:rFonts w:ascii="Arial" w:hAnsi="Arial"/>
          <w:b/>
          <w:sz w:val="20"/>
        </w:rPr>
        <w:t>arcos</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movilidad</w:t>
      </w:r>
      <w:r>
        <w:rPr>
          <w:rFonts w:ascii="Arial" w:hAnsi="Arial"/>
          <w:b/>
          <w:spacing w:val="-4"/>
          <w:sz w:val="20"/>
        </w:rPr>
        <w:t> </w:t>
      </w:r>
      <w:r>
        <w:rPr>
          <w:rFonts w:ascii="Arial" w:hAnsi="Arial"/>
          <w:b/>
          <w:sz w:val="20"/>
        </w:rPr>
        <w:t>de</w:t>
      </w:r>
      <w:r>
        <w:rPr>
          <w:rFonts w:ascii="Arial" w:hAnsi="Arial"/>
          <w:b/>
          <w:spacing w:val="-2"/>
          <w:sz w:val="20"/>
        </w:rPr>
        <w:t> </w:t>
      </w:r>
      <w:r>
        <w:rPr>
          <w:rFonts w:ascii="Arial" w:hAnsi="Arial"/>
          <w:b/>
          <w:sz w:val="20"/>
        </w:rPr>
        <w:t>la</w:t>
      </w:r>
      <w:r>
        <w:rPr>
          <w:rFonts w:ascii="Arial" w:hAnsi="Arial"/>
          <w:b/>
          <w:spacing w:val="-5"/>
          <w:sz w:val="20"/>
        </w:rPr>
        <w:t> </w:t>
      </w:r>
      <w:r>
        <w:rPr>
          <w:rFonts w:ascii="Arial" w:hAnsi="Arial"/>
          <w:b/>
          <w:sz w:val="20"/>
        </w:rPr>
        <w:t>columna</w:t>
      </w:r>
      <w:r>
        <w:rPr>
          <w:rFonts w:ascii="Arial" w:hAnsi="Arial"/>
          <w:b/>
          <w:spacing w:val="-2"/>
          <w:sz w:val="20"/>
        </w:rPr>
        <w:t> </w:t>
      </w:r>
      <w:r>
        <w:rPr>
          <w:rFonts w:ascii="Arial" w:hAnsi="Arial"/>
          <w:b/>
          <w:sz w:val="20"/>
        </w:rPr>
        <w:t>y</w:t>
      </w:r>
      <w:r>
        <w:rPr>
          <w:rFonts w:ascii="Arial" w:hAnsi="Arial"/>
          <w:b/>
          <w:spacing w:val="-6"/>
          <w:sz w:val="20"/>
        </w:rPr>
        <w:t> </w:t>
      </w:r>
      <w:r>
        <w:rPr>
          <w:rFonts w:ascii="Arial" w:hAnsi="Arial"/>
          <w:b/>
          <w:sz w:val="20"/>
        </w:rPr>
        <w:t>pérdida</w:t>
      </w:r>
      <w:r>
        <w:rPr>
          <w:rFonts w:ascii="Arial" w:hAnsi="Arial"/>
          <w:b/>
          <w:spacing w:val="-4"/>
          <w:sz w:val="20"/>
        </w:rPr>
        <w:t> </w:t>
      </w:r>
      <w:r>
        <w:rPr>
          <w:rFonts w:ascii="Arial" w:hAnsi="Arial"/>
          <w:b/>
          <w:sz w:val="20"/>
        </w:rPr>
        <w:t>permanente</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la</w:t>
      </w:r>
      <w:r>
        <w:rPr>
          <w:rFonts w:ascii="Arial" w:hAnsi="Arial"/>
          <w:b/>
          <w:spacing w:val="-3"/>
          <w:sz w:val="20"/>
        </w:rPr>
        <w:t> </w:t>
      </w:r>
      <w:r>
        <w:rPr>
          <w:rFonts w:ascii="Arial" w:hAnsi="Arial"/>
          <w:b/>
          <w:sz w:val="20"/>
        </w:rPr>
        <w:t>curvatura </w:t>
      </w:r>
      <w:r>
        <w:rPr>
          <w:rFonts w:ascii="Arial" w:hAnsi="Arial"/>
          <w:b/>
          <w:spacing w:val="-2"/>
          <w:sz w:val="20"/>
        </w:rPr>
        <w:t>anatómica</w:t>
      </w:r>
    </w:p>
    <w:p>
      <w:pPr>
        <w:pStyle w:val="BodyText"/>
        <w:spacing w:before="3" w:after="1"/>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31"/>
        <w:gridCol w:w="1553"/>
      </w:tblGrid>
      <w:tr>
        <w:trPr>
          <w:trHeight w:val="229" w:hRule="atLeast"/>
        </w:trPr>
        <w:tc>
          <w:tcPr>
            <w:tcW w:w="1066" w:type="dxa"/>
          </w:tcPr>
          <w:p>
            <w:pPr>
              <w:pStyle w:val="TableParagraph"/>
              <w:ind w:left="9"/>
              <w:rPr>
                <w:sz w:val="20"/>
              </w:rPr>
            </w:pPr>
            <w:r>
              <w:rPr>
                <w:spacing w:val="-5"/>
                <w:sz w:val="20"/>
              </w:rPr>
              <w:t>508</w:t>
            </w:r>
          </w:p>
        </w:tc>
        <w:tc>
          <w:tcPr>
            <w:tcW w:w="6931" w:type="dxa"/>
          </w:tcPr>
          <w:p>
            <w:pPr>
              <w:pStyle w:val="TableParagraph"/>
              <w:jc w:val="left"/>
              <w:rPr>
                <w:sz w:val="20"/>
              </w:rPr>
            </w:pPr>
            <w:r>
              <w:rPr>
                <w:sz w:val="20"/>
              </w:rPr>
              <w:t>Región</w:t>
            </w:r>
            <w:r>
              <w:rPr>
                <w:spacing w:val="-13"/>
                <w:sz w:val="20"/>
              </w:rPr>
              <w:t> </w:t>
            </w:r>
            <w:r>
              <w:rPr>
                <w:spacing w:val="-2"/>
                <w:sz w:val="20"/>
              </w:rPr>
              <w:t>cervical.</w:t>
            </w:r>
          </w:p>
        </w:tc>
        <w:tc>
          <w:tcPr>
            <w:tcW w:w="1553" w:type="dxa"/>
          </w:tcPr>
          <w:p>
            <w:pPr>
              <w:pStyle w:val="TableParagraph"/>
              <w:ind w:left="9" w:right="3"/>
              <w:rPr>
                <w:sz w:val="20"/>
              </w:rPr>
            </w:pPr>
            <w:r>
              <w:rPr>
                <w:sz w:val="20"/>
              </w:rPr>
              <w:t>30</w:t>
            </w:r>
            <w:r>
              <w:rPr>
                <w:spacing w:val="-4"/>
                <w:sz w:val="20"/>
              </w:rPr>
              <w:t> </w:t>
            </w:r>
            <w:r>
              <w:rPr>
                <w:sz w:val="20"/>
              </w:rPr>
              <w:t>a</w:t>
            </w:r>
            <w:r>
              <w:rPr>
                <w:spacing w:val="-1"/>
                <w:sz w:val="20"/>
              </w:rPr>
              <w:t> </w:t>
            </w:r>
            <w:r>
              <w:rPr>
                <w:spacing w:val="-5"/>
                <w:sz w:val="20"/>
              </w:rPr>
              <w:t>50%</w:t>
            </w:r>
          </w:p>
        </w:tc>
      </w:tr>
      <w:tr>
        <w:trPr>
          <w:trHeight w:val="229" w:hRule="atLeast"/>
        </w:trPr>
        <w:tc>
          <w:tcPr>
            <w:tcW w:w="1066" w:type="dxa"/>
          </w:tcPr>
          <w:p>
            <w:pPr>
              <w:pStyle w:val="TableParagraph"/>
              <w:ind w:left="9"/>
              <w:rPr>
                <w:sz w:val="20"/>
              </w:rPr>
            </w:pPr>
            <w:r>
              <w:rPr>
                <w:spacing w:val="-5"/>
                <w:sz w:val="20"/>
              </w:rPr>
              <w:t>509</w:t>
            </w:r>
          </w:p>
        </w:tc>
        <w:tc>
          <w:tcPr>
            <w:tcW w:w="6931" w:type="dxa"/>
          </w:tcPr>
          <w:p>
            <w:pPr>
              <w:pStyle w:val="TableParagraph"/>
              <w:jc w:val="left"/>
              <w:rPr>
                <w:sz w:val="20"/>
              </w:rPr>
            </w:pPr>
            <w:r>
              <w:rPr>
                <w:sz w:val="20"/>
              </w:rPr>
              <w:t>Región</w:t>
            </w:r>
            <w:r>
              <w:rPr>
                <w:spacing w:val="-13"/>
                <w:sz w:val="20"/>
              </w:rPr>
              <w:t> </w:t>
            </w:r>
            <w:r>
              <w:rPr>
                <w:spacing w:val="-2"/>
                <w:sz w:val="20"/>
              </w:rPr>
              <w:t>torácica.</w:t>
            </w:r>
          </w:p>
        </w:tc>
        <w:tc>
          <w:tcPr>
            <w:tcW w:w="1553" w:type="dxa"/>
          </w:tcPr>
          <w:p>
            <w:pPr>
              <w:pStyle w:val="TableParagraph"/>
              <w:ind w:left="9" w:right="3"/>
              <w:rPr>
                <w:sz w:val="20"/>
              </w:rPr>
            </w:pPr>
            <w:r>
              <w:rPr>
                <w:sz w:val="20"/>
              </w:rPr>
              <w:t>15</w:t>
            </w:r>
            <w:r>
              <w:rPr>
                <w:spacing w:val="-3"/>
                <w:sz w:val="20"/>
              </w:rPr>
              <w:t> </w:t>
            </w:r>
            <w:r>
              <w:rPr>
                <w:sz w:val="20"/>
              </w:rPr>
              <w:t>a</w:t>
            </w:r>
            <w:r>
              <w:rPr>
                <w:spacing w:val="-1"/>
                <w:sz w:val="20"/>
              </w:rPr>
              <w:t> </w:t>
            </w:r>
            <w:r>
              <w:rPr>
                <w:spacing w:val="-5"/>
                <w:sz w:val="20"/>
              </w:rPr>
              <w:t>30%</w:t>
            </w:r>
          </w:p>
        </w:tc>
      </w:tr>
      <w:tr>
        <w:trPr>
          <w:trHeight w:val="230" w:hRule="atLeast"/>
        </w:trPr>
        <w:tc>
          <w:tcPr>
            <w:tcW w:w="1066" w:type="dxa"/>
          </w:tcPr>
          <w:p>
            <w:pPr>
              <w:pStyle w:val="TableParagraph"/>
              <w:ind w:left="9"/>
              <w:rPr>
                <w:sz w:val="20"/>
              </w:rPr>
            </w:pPr>
            <w:r>
              <w:rPr>
                <w:spacing w:val="-5"/>
                <w:sz w:val="20"/>
              </w:rPr>
              <w:t>510</w:t>
            </w:r>
          </w:p>
        </w:tc>
        <w:tc>
          <w:tcPr>
            <w:tcW w:w="6931" w:type="dxa"/>
          </w:tcPr>
          <w:p>
            <w:pPr>
              <w:pStyle w:val="TableParagraph"/>
              <w:jc w:val="left"/>
              <w:rPr>
                <w:sz w:val="20"/>
              </w:rPr>
            </w:pPr>
            <w:r>
              <w:rPr>
                <w:sz w:val="20"/>
              </w:rPr>
              <w:t>Región</w:t>
            </w:r>
            <w:r>
              <w:rPr>
                <w:spacing w:val="-11"/>
                <w:sz w:val="20"/>
              </w:rPr>
              <w:t> </w:t>
            </w:r>
            <w:r>
              <w:rPr>
                <w:spacing w:val="-2"/>
                <w:sz w:val="20"/>
              </w:rPr>
              <w:t>lumbosacra.</w:t>
            </w:r>
          </w:p>
        </w:tc>
        <w:tc>
          <w:tcPr>
            <w:tcW w:w="1553" w:type="dxa"/>
          </w:tcPr>
          <w:p>
            <w:pPr>
              <w:pStyle w:val="TableParagraph"/>
              <w:ind w:left="9" w:right="3"/>
              <w:rPr>
                <w:sz w:val="20"/>
              </w:rPr>
            </w:pPr>
            <w:r>
              <w:rPr>
                <w:sz w:val="20"/>
              </w:rPr>
              <w:t>30</w:t>
            </w:r>
            <w:r>
              <w:rPr>
                <w:spacing w:val="-3"/>
                <w:sz w:val="20"/>
              </w:rPr>
              <w:t> </w:t>
            </w:r>
            <w:r>
              <w:rPr>
                <w:sz w:val="20"/>
              </w:rPr>
              <w:t>a</w:t>
            </w:r>
            <w:r>
              <w:rPr>
                <w:spacing w:val="-1"/>
                <w:sz w:val="20"/>
              </w:rPr>
              <w:t> </w:t>
            </w:r>
            <w:r>
              <w:rPr>
                <w:spacing w:val="-5"/>
                <w:sz w:val="20"/>
              </w:rPr>
              <w:t>50%</w:t>
            </w:r>
          </w:p>
        </w:tc>
      </w:tr>
      <w:tr>
        <w:trPr>
          <w:trHeight w:val="229" w:hRule="atLeast"/>
        </w:trPr>
        <w:tc>
          <w:tcPr>
            <w:tcW w:w="1066" w:type="dxa"/>
          </w:tcPr>
          <w:p>
            <w:pPr>
              <w:pStyle w:val="TableParagraph"/>
              <w:ind w:left="9"/>
              <w:rPr>
                <w:sz w:val="20"/>
              </w:rPr>
            </w:pPr>
            <w:r>
              <w:rPr>
                <w:spacing w:val="-5"/>
                <w:sz w:val="20"/>
              </w:rPr>
              <w:t>511</w:t>
            </w:r>
          </w:p>
        </w:tc>
        <w:tc>
          <w:tcPr>
            <w:tcW w:w="6931" w:type="dxa"/>
          </w:tcPr>
          <w:p>
            <w:pPr>
              <w:pStyle w:val="TableParagraph"/>
              <w:jc w:val="left"/>
              <w:rPr>
                <w:sz w:val="20"/>
              </w:rPr>
            </w:pPr>
            <w:r>
              <w:rPr>
                <w:sz w:val="20"/>
              </w:rPr>
              <w:t>Región</w:t>
            </w:r>
            <w:r>
              <w:rPr>
                <w:spacing w:val="-13"/>
                <w:sz w:val="20"/>
              </w:rPr>
              <w:t> </w:t>
            </w:r>
            <w:r>
              <w:rPr>
                <w:spacing w:val="-2"/>
                <w:sz w:val="20"/>
              </w:rPr>
              <w:t>coccígea.</w:t>
            </w:r>
          </w:p>
        </w:tc>
        <w:tc>
          <w:tcPr>
            <w:tcW w:w="1553" w:type="dxa"/>
          </w:tcPr>
          <w:p>
            <w:pPr>
              <w:pStyle w:val="TableParagraph"/>
              <w:ind w:left="9" w:right="1"/>
              <w:rPr>
                <w:sz w:val="20"/>
              </w:rPr>
            </w:pPr>
            <w:r>
              <w:rPr>
                <w:spacing w:val="-5"/>
                <w:sz w:val="20"/>
              </w:rPr>
              <w:t>10%</w:t>
            </w:r>
          </w:p>
        </w:tc>
      </w:tr>
    </w:tbl>
    <w:p>
      <w:pPr>
        <w:spacing w:before="229"/>
        <w:ind w:left="296" w:right="296" w:firstLine="0"/>
        <w:jc w:val="center"/>
        <w:rPr>
          <w:rFonts w:ascii="Arial" w:hAnsi="Arial"/>
          <w:b/>
          <w:sz w:val="20"/>
        </w:rPr>
      </w:pPr>
      <w:r>
        <w:rPr>
          <w:rFonts w:ascii="Arial" w:hAnsi="Arial"/>
          <w:b/>
          <w:sz w:val="20"/>
        </w:rPr>
        <w:t>Secuelas</w:t>
      </w:r>
      <w:r>
        <w:rPr>
          <w:rFonts w:ascii="Arial" w:hAnsi="Arial"/>
          <w:b/>
          <w:spacing w:val="-7"/>
          <w:sz w:val="20"/>
        </w:rPr>
        <w:t> </w:t>
      </w:r>
      <w:r>
        <w:rPr>
          <w:rFonts w:ascii="Arial" w:hAnsi="Arial"/>
          <w:b/>
          <w:sz w:val="20"/>
        </w:rPr>
        <w:t>de</w:t>
      </w:r>
      <w:r>
        <w:rPr>
          <w:rFonts w:ascii="Arial" w:hAnsi="Arial"/>
          <w:b/>
          <w:spacing w:val="-8"/>
          <w:sz w:val="20"/>
        </w:rPr>
        <w:t> </w:t>
      </w:r>
      <w:r>
        <w:rPr>
          <w:rFonts w:ascii="Arial" w:hAnsi="Arial"/>
          <w:b/>
          <w:sz w:val="20"/>
        </w:rPr>
        <w:t>traumatismos</w:t>
      </w:r>
      <w:r>
        <w:rPr>
          <w:rFonts w:ascii="Arial" w:hAnsi="Arial"/>
          <w:b/>
          <w:spacing w:val="-8"/>
          <w:sz w:val="20"/>
        </w:rPr>
        <w:t> </w:t>
      </w:r>
      <w:r>
        <w:rPr>
          <w:rFonts w:ascii="Arial" w:hAnsi="Arial"/>
          <w:b/>
          <w:sz w:val="20"/>
        </w:rPr>
        <w:t>con</w:t>
      </w:r>
      <w:r>
        <w:rPr>
          <w:rFonts w:ascii="Arial" w:hAnsi="Arial"/>
          <w:b/>
          <w:spacing w:val="-7"/>
          <w:sz w:val="20"/>
        </w:rPr>
        <w:t> </w:t>
      </w:r>
      <w:r>
        <w:rPr>
          <w:rFonts w:ascii="Arial" w:hAnsi="Arial"/>
          <w:b/>
          <w:sz w:val="20"/>
        </w:rPr>
        <w:t>lesión</w:t>
      </w:r>
      <w:r>
        <w:rPr>
          <w:rFonts w:ascii="Arial" w:hAnsi="Arial"/>
          <w:b/>
          <w:spacing w:val="-7"/>
          <w:sz w:val="20"/>
        </w:rPr>
        <w:t> </w:t>
      </w:r>
      <w:r>
        <w:rPr>
          <w:rFonts w:ascii="Arial" w:hAnsi="Arial"/>
          <w:b/>
          <w:spacing w:val="-2"/>
          <w:sz w:val="20"/>
        </w:rPr>
        <w:t>medular</w:t>
      </w:r>
    </w:p>
    <w:p>
      <w:pPr>
        <w:pStyle w:val="BodyText"/>
        <w:spacing w:before="4"/>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36"/>
        <w:gridCol w:w="1549"/>
      </w:tblGrid>
      <w:tr>
        <w:trPr>
          <w:trHeight w:val="229" w:hRule="atLeast"/>
        </w:trPr>
        <w:tc>
          <w:tcPr>
            <w:tcW w:w="1066" w:type="dxa"/>
          </w:tcPr>
          <w:p>
            <w:pPr>
              <w:pStyle w:val="TableParagraph"/>
              <w:ind w:left="9"/>
              <w:rPr>
                <w:sz w:val="20"/>
              </w:rPr>
            </w:pPr>
            <w:r>
              <w:rPr>
                <w:spacing w:val="-5"/>
                <w:sz w:val="20"/>
              </w:rPr>
              <w:t>512</w:t>
            </w:r>
          </w:p>
        </w:tc>
        <w:tc>
          <w:tcPr>
            <w:tcW w:w="6936" w:type="dxa"/>
          </w:tcPr>
          <w:p>
            <w:pPr>
              <w:pStyle w:val="TableParagraph"/>
              <w:jc w:val="left"/>
              <w:rPr>
                <w:sz w:val="20"/>
              </w:rPr>
            </w:pPr>
            <w:r>
              <w:rPr>
                <w:spacing w:val="-2"/>
                <w:sz w:val="20"/>
              </w:rPr>
              <w:t>Paraplejía.</w:t>
            </w:r>
          </w:p>
        </w:tc>
        <w:tc>
          <w:tcPr>
            <w:tcW w:w="1549" w:type="dxa"/>
          </w:tcPr>
          <w:p>
            <w:pPr>
              <w:pStyle w:val="TableParagraph"/>
              <w:ind w:left="7"/>
              <w:rPr>
                <w:sz w:val="20"/>
              </w:rPr>
            </w:pPr>
            <w:r>
              <w:rPr>
                <w:spacing w:val="-4"/>
                <w:sz w:val="20"/>
              </w:rPr>
              <w:t>100%</w:t>
            </w:r>
          </w:p>
        </w:tc>
      </w:tr>
      <w:tr>
        <w:trPr>
          <w:trHeight w:val="229" w:hRule="atLeast"/>
        </w:trPr>
        <w:tc>
          <w:tcPr>
            <w:tcW w:w="1066" w:type="dxa"/>
          </w:tcPr>
          <w:p>
            <w:pPr>
              <w:pStyle w:val="TableParagraph"/>
              <w:ind w:left="9"/>
              <w:rPr>
                <w:sz w:val="20"/>
              </w:rPr>
            </w:pPr>
            <w:r>
              <w:rPr>
                <w:spacing w:val="-5"/>
                <w:sz w:val="20"/>
              </w:rPr>
              <w:t>513</w:t>
            </w:r>
          </w:p>
        </w:tc>
        <w:tc>
          <w:tcPr>
            <w:tcW w:w="6936" w:type="dxa"/>
          </w:tcPr>
          <w:p>
            <w:pPr>
              <w:pStyle w:val="TableParagraph"/>
              <w:jc w:val="left"/>
              <w:rPr>
                <w:sz w:val="20"/>
              </w:rPr>
            </w:pPr>
            <w:r>
              <w:rPr>
                <w:sz w:val="20"/>
              </w:rPr>
              <w:t>Paraparesia</w:t>
            </w:r>
            <w:r>
              <w:rPr>
                <w:spacing w:val="-5"/>
                <w:sz w:val="20"/>
              </w:rPr>
              <w:t> </w:t>
            </w:r>
            <w:r>
              <w:rPr>
                <w:sz w:val="20"/>
              </w:rPr>
              <w:t>de</w:t>
            </w:r>
            <w:r>
              <w:rPr>
                <w:spacing w:val="-6"/>
                <w:sz w:val="20"/>
              </w:rPr>
              <w:t> </w:t>
            </w:r>
            <w:r>
              <w:rPr>
                <w:sz w:val="20"/>
              </w:rPr>
              <w:t>los</w:t>
            </w:r>
            <w:r>
              <w:rPr>
                <w:spacing w:val="-6"/>
                <w:sz w:val="20"/>
              </w:rPr>
              <w:t> </w:t>
            </w:r>
            <w:r>
              <w:rPr>
                <w:sz w:val="20"/>
              </w:rPr>
              <w:t>miembros</w:t>
            </w:r>
            <w:r>
              <w:rPr>
                <w:spacing w:val="-6"/>
                <w:sz w:val="20"/>
              </w:rPr>
              <w:t> </w:t>
            </w:r>
            <w:r>
              <w:rPr>
                <w:sz w:val="20"/>
              </w:rPr>
              <w:t>inferiores,</w:t>
            </w:r>
            <w:r>
              <w:rPr>
                <w:spacing w:val="-6"/>
                <w:sz w:val="20"/>
              </w:rPr>
              <w:t> </w:t>
            </w:r>
            <w:r>
              <w:rPr>
                <w:sz w:val="20"/>
              </w:rPr>
              <w:t>si</w:t>
            </w:r>
            <w:r>
              <w:rPr>
                <w:spacing w:val="-6"/>
                <w:sz w:val="20"/>
              </w:rPr>
              <w:t> </w:t>
            </w:r>
            <w:r>
              <w:rPr>
                <w:sz w:val="20"/>
              </w:rPr>
              <w:t>la</w:t>
            </w:r>
            <w:r>
              <w:rPr>
                <w:spacing w:val="-5"/>
                <w:sz w:val="20"/>
              </w:rPr>
              <w:t> </w:t>
            </w:r>
            <w:r>
              <w:rPr>
                <w:sz w:val="20"/>
              </w:rPr>
              <w:t>marcha</w:t>
            </w:r>
            <w:r>
              <w:rPr>
                <w:spacing w:val="-8"/>
                <w:sz w:val="20"/>
              </w:rPr>
              <w:t> </w:t>
            </w:r>
            <w:r>
              <w:rPr>
                <w:sz w:val="20"/>
              </w:rPr>
              <w:t>es</w:t>
            </w:r>
            <w:r>
              <w:rPr>
                <w:spacing w:val="-5"/>
                <w:sz w:val="20"/>
              </w:rPr>
              <w:t> </w:t>
            </w:r>
            <w:r>
              <w:rPr>
                <w:spacing w:val="-2"/>
                <w:sz w:val="20"/>
              </w:rPr>
              <w:t>imposible.</w:t>
            </w:r>
          </w:p>
        </w:tc>
        <w:tc>
          <w:tcPr>
            <w:tcW w:w="1549" w:type="dxa"/>
          </w:tcPr>
          <w:p>
            <w:pPr>
              <w:pStyle w:val="TableParagraph"/>
              <w:ind w:left="7" w:right="2"/>
              <w:rPr>
                <w:sz w:val="20"/>
              </w:rPr>
            </w:pPr>
            <w:r>
              <w:rPr>
                <w:sz w:val="20"/>
              </w:rPr>
              <w:t>70</w:t>
            </w:r>
            <w:r>
              <w:rPr>
                <w:spacing w:val="-3"/>
                <w:sz w:val="20"/>
              </w:rPr>
              <w:t> </w:t>
            </w:r>
            <w:r>
              <w:rPr>
                <w:sz w:val="20"/>
              </w:rPr>
              <w:t>a</w:t>
            </w:r>
            <w:r>
              <w:rPr>
                <w:spacing w:val="-1"/>
                <w:sz w:val="20"/>
              </w:rPr>
              <w:t> </w:t>
            </w:r>
            <w:r>
              <w:rPr>
                <w:spacing w:val="-5"/>
                <w:sz w:val="20"/>
              </w:rPr>
              <w:t>90%</w:t>
            </w:r>
          </w:p>
        </w:tc>
      </w:tr>
      <w:tr>
        <w:trPr>
          <w:trHeight w:val="229" w:hRule="atLeast"/>
        </w:trPr>
        <w:tc>
          <w:tcPr>
            <w:tcW w:w="1066" w:type="dxa"/>
          </w:tcPr>
          <w:p>
            <w:pPr>
              <w:pStyle w:val="TableParagraph"/>
              <w:ind w:left="9"/>
              <w:rPr>
                <w:sz w:val="20"/>
              </w:rPr>
            </w:pPr>
            <w:r>
              <w:rPr>
                <w:spacing w:val="-5"/>
                <w:sz w:val="20"/>
              </w:rPr>
              <w:t>514</w:t>
            </w:r>
          </w:p>
        </w:tc>
        <w:tc>
          <w:tcPr>
            <w:tcW w:w="6936" w:type="dxa"/>
          </w:tcPr>
          <w:p>
            <w:pPr>
              <w:pStyle w:val="TableParagraph"/>
              <w:jc w:val="left"/>
              <w:rPr>
                <w:sz w:val="20"/>
              </w:rPr>
            </w:pPr>
            <w:r>
              <w:rPr>
                <w:sz w:val="20"/>
              </w:rPr>
              <w:t>Si</w:t>
            </w:r>
            <w:r>
              <w:rPr>
                <w:spacing w:val="-4"/>
                <w:sz w:val="20"/>
              </w:rPr>
              <w:t> </w:t>
            </w:r>
            <w:r>
              <w:rPr>
                <w:sz w:val="20"/>
              </w:rPr>
              <w:t>la</w:t>
            </w:r>
            <w:r>
              <w:rPr>
                <w:spacing w:val="-5"/>
                <w:sz w:val="20"/>
              </w:rPr>
              <w:t> </w:t>
            </w:r>
            <w:r>
              <w:rPr>
                <w:sz w:val="20"/>
              </w:rPr>
              <w:t>marcha</w:t>
            </w:r>
            <w:r>
              <w:rPr>
                <w:spacing w:val="-6"/>
                <w:sz w:val="20"/>
              </w:rPr>
              <w:t> </w:t>
            </w:r>
            <w:r>
              <w:rPr>
                <w:sz w:val="20"/>
              </w:rPr>
              <w:t>es</w:t>
            </w:r>
            <w:r>
              <w:rPr>
                <w:spacing w:val="-4"/>
                <w:sz w:val="20"/>
              </w:rPr>
              <w:t> </w:t>
            </w:r>
            <w:r>
              <w:rPr>
                <w:sz w:val="20"/>
              </w:rPr>
              <w:t>posible</w:t>
            </w:r>
            <w:r>
              <w:rPr>
                <w:spacing w:val="-4"/>
                <w:sz w:val="20"/>
              </w:rPr>
              <w:t> </w:t>
            </w:r>
            <w:r>
              <w:rPr>
                <w:sz w:val="20"/>
              </w:rPr>
              <w:t>con</w:t>
            </w:r>
            <w:r>
              <w:rPr>
                <w:spacing w:val="-3"/>
                <w:sz w:val="20"/>
              </w:rPr>
              <w:t> </w:t>
            </w:r>
            <w:r>
              <w:rPr>
                <w:spacing w:val="-2"/>
                <w:sz w:val="20"/>
              </w:rPr>
              <w:t>muletas.</w:t>
            </w:r>
          </w:p>
        </w:tc>
        <w:tc>
          <w:tcPr>
            <w:tcW w:w="1549" w:type="dxa"/>
          </w:tcPr>
          <w:p>
            <w:pPr>
              <w:pStyle w:val="TableParagraph"/>
              <w:ind w:left="7" w:right="2"/>
              <w:rPr>
                <w:sz w:val="20"/>
              </w:rPr>
            </w:pPr>
            <w:r>
              <w:rPr>
                <w:sz w:val="20"/>
              </w:rPr>
              <w:t>50</w:t>
            </w:r>
            <w:r>
              <w:rPr>
                <w:spacing w:val="-3"/>
                <w:sz w:val="20"/>
              </w:rPr>
              <w:t> </w:t>
            </w:r>
            <w:r>
              <w:rPr>
                <w:sz w:val="20"/>
              </w:rPr>
              <w:t>a</w:t>
            </w:r>
            <w:r>
              <w:rPr>
                <w:spacing w:val="-1"/>
                <w:sz w:val="20"/>
              </w:rPr>
              <w:t> </w:t>
            </w:r>
            <w:r>
              <w:rPr>
                <w:spacing w:val="-5"/>
                <w:sz w:val="20"/>
              </w:rPr>
              <w:t>70%</w:t>
            </w:r>
          </w:p>
        </w:tc>
      </w:tr>
    </w:tbl>
    <w:p>
      <w:pPr>
        <w:spacing w:before="229"/>
        <w:ind w:left="296" w:right="296" w:firstLine="0"/>
        <w:jc w:val="center"/>
        <w:rPr>
          <w:rFonts w:ascii="Arial"/>
          <w:b/>
          <w:sz w:val="20"/>
        </w:rPr>
      </w:pPr>
      <w:r>
        <w:rPr>
          <w:rFonts w:ascii="Arial"/>
          <w:b/>
          <w:spacing w:val="-2"/>
          <w:sz w:val="20"/>
        </w:rPr>
        <w:t>Clasificaciones</w:t>
      </w:r>
      <w:r>
        <w:rPr>
          <w:rFonts w:ascii="Arial"/>
          <w:b/>
          <w:spacing w:val="10"/>
          <w:sz w:val="20"/>
        </w:rPr>
        <w:t> </w:t>
      </w:r>
      <w:r>
        <w:rPr>
          <w:rFonts w:ascii="Arial"/>
          <w:b/>
          <w:spacing w:val="-2"/>
          <w:sz w:val="20"/>
        </w:rPr>
        <w:t>diversas</w:t>
      </w:r>
    </w:p>
    <w:p>
      <w:pPr>
        <w:pStyle w:val="BodyText"/>
        <w:spacing w:before="4"/>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31"/>
        <w:gridCol w:w="1553"/>
      </w:tblGrid>
      <w:tr>
        <w:trPr>
          <w:trHeight w:val="1380" w:hRule="atLeast"/>
        </w:trPr>
        <w:tc>
          <w:tcPr>
            <w:tcW w:w="1066" w:type="dxa"/>
          </w:tcPr>
          <w:p>
            <w:pPr>
              <w:pStyle w:val="TableParagraph"/>
              <w:spacing w:line="240" w:lineRule="auto"/>
              <w:ind w:left="0"/>
              <w:jc w:val="left"/>
              <w:rPr>
                <w:rFonts w:ascii="Arial"/>
                <w:b/>
                <w:sz w:val="20"/>
              </w:rPr>
            </w:pPr>
          </w:p>
          <w:p>
            <w:pPr>
              <w:pStyle w:val="TableParagraph"/>
              <w:spacing w:line="240" w:lineRule="auto" w:before="115"/>
              <w:ind w:left="0"/>
              <w:jc w:val="left"/>
              <w:rPr>
                <w:rFonts w:ascii="Arial"/>
                <w:b/>
                <w:sz w:val="20"/>
              </w:rPr>
            </w:pPr>
          </w:p>
          <w:p>
            <w:pPr>
              <w:pStyle w:val="TableParagraph"/>
              <w:spacing w:line="240" w:lineRule="auto"/>
              <w:ind w:left="9"/>
              <w:rPr>
                <w:sz w:val="20"/>
              </w:rPr>
            </w:pPr>
            <w:r>
              <w:rPr>
                <w:spacing w:val="-5"/>
                <w:sz w:val="20"/>
              </w:rPr>
              <w:t>515</w:t>
            </w:r>
          </w:p>
        </w:tc>
        <w:tc>
          <w:tcPr>
            <w:tcW w:w="6931" w:type="dxa"/>
          </w:tcPr>
          <w:p>
            <w:pPr>
              <w:pStyle w:val="TableParagraph"/>
              <w:spacing w:line="240" w:lineRule="auto"/>
              <w:ind w:right="57"/>
              <w:jc w:val="both"/>
              <w:rPr>
                <w:sz w:val="20"/>
              </w:rPr>
            </w:pPr>
            <w:r>
              <w:rPr>
                <w:sz w:val="20"/>
              </w:rPr>
              <w:t>La</w:t>
            </w:r>
            <w:r>
              <w:rPr>
                <w:spacing w:val="-4"/>
                <w:sz w:val="20"/>
              </w:rPr>
              <w:t> </w:t>
            </w:r>
            <w:r>
              <w:rPr>
                <w:sz w:val="20"/>
              </w:rPr>
              <w:t>pérdida</w:t>
            </w:r>
            <w:r>
              <w:rPr>
                <w:spacing w:val="-1"/>
                <w:sz w:val="20"/>
              </w:rPr>
              <w:t> </w:t>
            </w:r>
            <w:r>
              <w:rPr>
                <w:sz w:val="20"/>
              </w:rPr>
              <w:t>de</w:t>
            </w:r>
            <w:r>
              <w:rPr>
                <w:spacing w:val="-4"/>
                <w:sz w:val="20"/>
              </w:rPr>
              <w:t> </w:t>
            </w:r>
            <w:r>
              <w:rPr>
                <w:sz w:val="20"/>
              </w:rPr>
              <w:t>ambos</w:t>
            </w:r>
            <w:r>
              <w:rPr>
                <w:spacing w:val="-2"/>
                <w:sz w:val="20"/>
              </w:rPr>
              <w:t> </w:t>
            </w:r>
            <w:r>
              <w:rPr>
                <w:sz w:val="20"/>
              </w:rPr>
              <w:t>ojos,</w:t>
            </w:r>
            <w:r>
              <w:rPr>
                <w:spacing w:val="-5"/>
                <w:sz w:val="20"/>
              </w:rPr>
              <w:t> </w:t>
            </w:r>
            <w:r>
              <w:rPr>
                <w:sz w:val="20"/>
              </w:rPr>
              <w:t>ambos</w:t>
            </w:r>
            <w:r>
              <w:rPr>
                <w:spacing w:val="-2"/>
                <w:sz w:val="20"/>
              </w:rPr>
              <w:t> </w:t>
            </w:r>
            <w:r>
              <w:rPr>
                <w:sz w:val="20"/>
              </w:rPr>
              <w:t>brazos</w:t>
            </w:r>
            <w:r>
              <w:rPr>
                <w:spacing w:val="-2"/>
                <w:sz w:val="20"/>
              </w:rPr>
              <w:t> </w:t>
            </w:r>
            <w:r>
              <w:rPr>
                <w:sz w:val="20"/>
              </w:rPr>
              <w:t>arriba</w:t>
            </w:r>
            <w:r>
              <w:rPr>
                <w:spacing w:val="-3"/>
                <w:sz w:val="20"/>
              </w:rPr>
              <w:t> </w:t>
            </w:r>
            <w:r>
              <w:rPr>
                <w:sz w:val="20"/>
              </w:rPr>
              <w:t>del</w:t>
            </w:r>
            <w:r>
              <w:rPr>
                <w:spacing w:val="-4"/>
                <w:sz w:val="20"/>
              </w:rPr>
              <w:t> </w:t>
            </w:r>
            <w:r>
              <w:rPr>
                <w:sz w:val="20"/>
              </w:rPr>
              <w:t>codo,</w:t>
            </w:r>
            <w:r>
              <w:rPr>
                <w:spacing w:val="-3"/>
                <w:sz w:val="20"/>
              </w:rPr>
              <w:t> </w:t>
            </w:r>
            <w:r>
              <w:rPr>
                <w:sz w:val="20"/>
              </w:rPr>
              <w:t>desarticulación</w:t>
            </w:r>
            <w:r>
              <w:rPr>
                <w:spacing w:val="-1"/>
                <w:sz w:val="20"/>
              </w:rPr>
              <w:t> </w:t>
            </w:r>
            <w:r>
              <w:rPr>
                <w:sz w:val="20"/>
              </w:rPr>
              <w:t>de la cadera de ambos lados o de un brazo arriba del codo y de una pierna arriba</w:t>
            </w:r>
            <w:r>
              <w:rPr>
                <w:spacing w:val="-3"/>
                <w:sz w:val="20"/>
              </w:rPr>
              <w:t> </w:t>
            </w:r>
            <w:r>
              <w:rPr>
                <w:sz w:val="20"/>
              </w:rPr>
              <w:t>de</w:t>
            </w:r>
            <w:r>
              <w:rPr>
                <w:spacing w:val="-2"/>
                <w:sz w:val="20"/>
              </w:rPr>
              <w:t> </w:t>
            </w:r>
            <w:r>
              <w:rPr>
                <w:sz w:val="20"/>
              </w:rPr>
              <w:t>la</w:t>
            </w:r>
            <w:r>
              <w:rPr>
                <w:spacing w:val="-2"/>
                <w:sz w:val="20"/>
              </w:rPr>
              <w:t> </w:t>
            </w:r>
            <w:r>
              <w:rPr>
                <w:sz w:val="20"/>
              </w:rPr>
              <w:t>rodilla</w:t>
            </w:r>
            <w:r>
              <w:rPr>
                <w:spacing w:val="-2"/>
                <w:sz w:val="20"/>
              </w:rPr>
              <w:t> </w:t>
            </w:r>
            <w:r>
              <w:rPr>
                <w:sz w:val="20"/>
              </w:rPr>
              <w:t>del</w:t>
            </w:r>
            <w:r>
              <w:rPr>
                <w:spacing w:val="-3"/>
                <w:sz w:val="20"/>
              </w:rPr>
              <w:t> </w:t>
            </w:r>
            <w:r>
              <w:rPr>
                <w:sz w:val="20"/>
              </w:rPr>
              <w:t>mismo</w:t>
            </w:r>
            <w:r>
              <w:rPr>
                <w:spacing w:val="-2"/>
                <w:sz w:val="20"/>
              </w:rPr>
              <w:t> </w:t>
            </w:r>
            <w:r>
              <w:rPr>
                <w:sz w:val="20"/>
              </w:rPr>
              <w:t>lado,</w:t>
            </w:r>
            <w:r>
              <w:rPr>
                <w:spacing w:val="-2"/>
                <w:sz w:val="20"/>
              </w:rPr>
              <w:t> </w:t>
            </w:r>
            <w:r>
              <w:rPr>
                <w:sz w:val="20"/>
              </w:rPr>
              <w:t>lesión</w:t>
            </w:r>
            <w:r>
              <w:rPr>
                <w:spacing w:val="-3"/>
                <w:sz w:val="20"/>
              </w:rPr>
              <w:t> </w:t>
            </w:r>
            <w:r>
              <w:rPr>
                <w:sz w:val="20"/>
              </w:rPr>
              <w:t>medular</w:t>
            </w:r>
            <w:r>
              <w:rPr>
                <w:spacing w:val="-2"/>
                <w:sz w:val="20"/>
              </w:rPr>
              <w:t> </w:t>
            </w:r>
            <w:r>
              <w:rPr>
                <w:sz w:val="20"/>
              </w:rPr>
              <w:t>por</w:t>
            </w:r>
            <w:r>
              <w:rPr>
                <w:spacing w:val="-2"/>
                <w:sz w:val="20"/>
              </w:rPr>
              <w:t> </w:t>
            </w:r>
            <w:r>
              <w:rPr>
                <w:sz w:val="20"/>
              </w:rPr>
              <w:t>cualquier</w:t>
            </w:r>
            <w:r>
              <w:rPr>
                <w:spacing w:val="-2"/>
                <w:sz w:val="20"/>
              </w:rPr>
              <w:t> </w:t>
            </w:r>
            <w:r>
              <w:rPr>
                <w:sz w:val="20"/>
              </w:rPr>
              <w:t>traumatismo que produzca parálisis completa de los miembros inferiores con trastornos esfinterianos,</w:t>
            </w:r>
            <w:r>
              <w:rPr>
                <w:spacing w:val="40"/>
                <w:sz w:val="20"/>
              </w:rPr>
              <w:t> </w:t>
            </w:r>
            <w:r>
              <w:rPr>
                <w:sz w:val="20"/>
              </w:rPr>
              <w:t>demencia,</w:t>
            </w:r>
            <w:r>
              <w:rPr>
                <w:spacing w:val="40"/>
                <w:sz w:val="20"/>
              </w:rPr>
              <w:t> </w:t>
            </w:r>
            <w:r>
              <w:rPr>
                <w:sz w:val="20"/>
              </w:rPr>
              <w:t>se</w:t>
            </w:r>
            <w:r>
              <w:rPr>
                <w:spacing w:val="40"/>
                <w:sz w:val="20"/>
              </w:rPr>
              <w:t> </w:t>
            </w:r>
            <w:r>
              <w:rPr>
                <w:sz w:val="20"/>
              </w:rPr>
              <w:t>considerarán</w:t>
            </w:r>
            <w:r>
              <w:rPr>
                <w:spacing w:val="40"/>
                <w:sz w:val="20"/>
              </w:rPr>
              <w:t> </w:t>
            </w:r>
            <w:r>
              <w:rPr>
                <w:sz w:val="20"/>
              </w:rPr>
              <w:t>como</w:t>
            </w:r>
            <w:r>
              <w:rPr>
                <w:spacing w:val="40"/>
                <w:sz w:val="20"/>
              </w:rPr>
              <w:t> </w:t>
            </w:r>
            <w:r>
              <w:rPr>
                <w:sz w:val="20"/>
              </w:rPr>
              <w:t>incapacidad</w:t>
            </w:r>
            <w:r>
              <w:rPr>
                <w:spacing w:val="40"/>
                <w:sz w:val="20"/>
              </w:rPr>
              <w:t> </w:t>
            </w:r>
            <w:r>
              <w:rPr>
                <w:sz w:val="20"/>
              </w:rPr>
              <w:t>permanente</w:t>
            </w:r>
          </w:p>
          <w:p>
            <w:pPr>
              <w:pStyle w:val="TableParagraph"/>
              <w:jc w:val="left"/>
              <w:rPr>
                <w:sz w:val="20"/>
              </w:rPr>
            </w:pPr>
            <w:r>
              <w:rPr>
                <w:spacing w:val="-2"/>
                <w:sz w:val="20"/>
              </w:rPr>
              <w:t>total.</w:t>
            </w:r>
          </w:p>
        </w:tc>
        <w:tc>
          <w:tcPr>
            <w:tcW w:w="1553" w:type="dxa"/>
          </w:tcPr>
          <w:p>
            <w:pPr>
              <w:pStyle w:val="TableParagraph"/>
              <w:spacing w:line="240" w:lineRule="auto"/>
              <w:ind w:left="0"/>
              <w:jc w:val="left"/>
              <w:rPr>
                <w:rFonts w:ascii="Arial"/>
                <w:b/>
                <w:sz w:val="20"/>
              </w:rPr>
            </w:pPr>
          </w:p>
          <w:p>
            <w:pPr>
              <w:pStyle w:val="TableParagraph"/>
              <w:spacing w:line="240" w:lineRule="auto" w:before="115"/>
              <w:ind w:left="0"/>
              <w:jc w:val="left"/>
              <w:rPr>
                <w:rFonts w:ascii="Arial"/>
                <w:b/>
                <w:sz w:val="20"/>
              </w:rPr>
            </w:pPr>
          </w:p>
          <w:p>
            <w:pPr>
              <w:pStyle w:val="TableParagraph"/>
              <w:spacing w:line="240" w:lineRule="auto"/>
              <w:ind w:left="9" w:right="1"/>
              <w:rPr>
                <w:sz w:val="20"/>
              </w:rPr>
            </w:pPr>
            <w:r>
              <w:rPr>
                <w:spacing w:val="-4"/>
                <w:sz w:val="20"/>
              </w:rPr>
              <w:t>100%</w:t>
            </w:r>
          </w:p>
        </w:tc>
      </w:tr>
      <w:tr>
        <w:trPr>
          <w:trHeight w:val="1148" w:hRule="atLeast"/>
        </w:trPr>
        <w:tc>
          <w:tcPr>
            <w:tcW w:w="1066" w:type="dxa"/>
          </w:tcPr>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9"/>
              <w:rPr>
                <w:sz w:val="20"/>
              </w:rPr>
            </w:pPr>
            <w:r>
              <w:rPr>
                <w:spacing w:val="-5"/>
                <w:sz w:val="20"/>
              </w:rPr>
              <w:t>516</w:t>
            </w:r>
          </w:p>
        </w:tc>
        <w:tc>
          <w:tcPr>
            <w:tcW w:w="6931" w:type="dxa"/>
          </w:tcPr>
          <w:p>
            <w:pPr>
              <w:pStyle w:val="TableParagraph"/>
              <w:spacing w:line="240" w:lineRule="auto"/>
              <w:ind w:right="58"/>
              <w:jc w:val="both"/>
              <w:rPr>
                <w:sz w:val="20"/>
              </w:rPr>
            </w:pPr>
            <w:r>
              <w:rPr>
                <w:sz w:val="20"/>
              </w:rPr>
              <w:t>Las deformaciones puramente estéticas, según su carácter, serán indemnizadas a juicio del Tribunal del Poder Judicial de la Federación que corresponda,</w:t>
            </w:r>
            <w:r>
              <w:rPr>
                <w:spacing w:val="64"/>
                <w:sz w:val="20"/>
              </w:rPr>
              <w:t> </w:t>
            </w:r>
            <w:r>
              <w:rPr>
                <w:sz w:val="20"/>
              </w:rPr>
              <w:t>sólo</w:t>
            </w:r>
            <w:r>
              <w:rPr>
                <w:spacing w:val="64"/>
                <w:sz w:val="20"/>
              </w:rPr>
              <w:t> </w:t>
            </w:r>
            <w:r>
              <w:rPr>
                <w:sz w:val="20"/>
              </w:rPr>
              <w:t>en</w:t>
            </w:r>
            <w:r>
              <w:rPr>
                <w:spacing w:val="65"/>
                <w:sz w:val="20"/>
              </w:rPr>
              <w:t> </w:t>
            </w:r>
            <w:r>
              <w:rPr>
                <w:sz w:val="20"/>
              </w:rPr>
              <w:t>el</w:t>
            </w:r>
            <w:r>
              <w:rPr>
                <w:spacing w:val="65"/>
                <w:sz w:val="20"/>
              </w:rPr>
              <w:t> </w:t>
            </w:r>
            <w:r>
              <w:rPr>
                <w:sz w:val="20"/>
              </w:rPr>
              <w:t>caso</w:t>
            </w:r>
            <w:r>
              <w:rPr>
                <w:spacing w:val="65"/>
                <w:sz w:val="20"/>
              </w:rPr>
              <w:t> </w:t>
            </w:r>
            <w:r>
              <w:rPr>
                <w:sz w:val="20"/>
              </w:rPr>
              <w:t>de</w:t>
            </w:r>
            <w:r>
              <w:rPr>
                <w:spacing w:val="64"/>
                <w:sz w:val="20"/>
              </w:rPr>
              <w:t> </w:t>
            </w:r>
            <w:r>
              <w:rPr>
                <w:sz w:val="20"/>
              </w:rPr>
              <w:t>que</w:t>
            </w:r>
            <w:r>
              <w:rPr>
                <w:spacing w:val="65"/>
                <w:sz w:val="20"/>
              </w:rPr>
              <w:t> </w:t>
            </w:r>
            <w:r>
              <w:rPr>
                <w:sz w:val="20"/>
              </w:rPr>
              <w:t>de</w:t>
            </w:r>
            <w:r>
              <w:rPr>
                <w:spacing w:val="64"/>
                <w:sz w:val="20"/>
              </w:rPr>
              <w:t> </w:t>
            </w:r>
            <w:r>
              <w:rPr>
                <w:sz w:val="20"/>
              </w:rPr>
              <w:t>alguna</w:t>
            </w:r>
            <w:r>
              <w:rPr>
                <w:spacing w:val="66"/>
                <w:sz w:val="20"/>
              </w:rPr>
              <w:t> </w:t>
            </w:r>
            <w:r>
              <w:rPr>
                <w:sz w:val="20"/>
              </w:rPr>
              <w:t>forma</w:t>
            </w:r>
            <w:r>
              <w:rPr>
                <w:spacing w:val="65"/>
                <w:sz w:val="20"/>
              </w:rPr>
              <w:t> </w:t>
            </w:r>
            <w:r>
              <w:rPr>
                <w:sz w:val="20"/>
              </w:rPr>
              <w:t>disminuyan</w:t>
            </w:r>
            <w:r>
              <w:rPr>
                <w:spacing w:val="66"/>
                <w:sz w:val="20"/>
              </w:rPr>
              <w:t> </w:t>
            </w:r>
            <w:r>
              <w:rPr>
                <w:spacing w:val="-5"/>
                <w:sz w:val="20"/>
              </w:rPr>
              <w:t>la</w:t>
            </w:r>
          </w:p>
          <w:p>
            <w:pPr>
              <w:pStyle w:val="TableParagraph"/>
              <w:spacing w:line="228" w:lineRule="exact"/>
              <w:ind w:right="65"/>
              <w:jc w:val="both"/>
              <w:rPr>
                <w:sz w:val="20"/>
              </w:rPr>
            </w:pPr>
            <w:r>
              <w:rPr>
                <w:sz w:val="20"/>
              </w:rPr>
              <w:t>capacidad de trabajo de la persona lesionada, teniendo en cuenta la profesión a que se dedica.</w:t>
            </w:r>
          </w:p>
        </w:tc>
        <w:tc>
          <w:tcPr>
            <w:tcW w:w="1553" w:type="dxa"/>
          </w:tcPr>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9"/>
              <w:rPr>
                <w:sz w:val="20"/>
              </w:rPr>
            </w:pPr>
            <w:r>
              <w:rPr>
                <w:spacing w:val="-2"/>
                <w:sz w:val="20"/>
              </w:rPr>
              <w:t>-</w:t>
            </w:r>
            <w:r>
              <w:rPr>
                <w:spacing w:val="-12"/>
                <w:sz w:val="20"/>
              </w:rPr>
              <w:t>-</w:t>
            </w:r>
          </w:p>
        </w:tc>
      </w:tr>
      <w:tr>
        <w:trPr>
          <w:trHeight w:val="690" w:hRule="atLeast"/>
        </w:trPr>
        <w:tc>
          <w:tcPr>
            <w:tcW w:w="1066" w:type="dxa"/>
          </w:tcPr>
          <w:p>
            <w:pPr>
              <w:pStyle w:val="TableParagraph"/>
              <w:spacing w:line="240" w:lineRule="auto" w:before="229"/>
              <w:ind w:left="9"/>
              <w:rPr>
                <w:sz w:val="20"/>
              </w:rPr>
            </w:pPr>
            <w:r>
              <w:rPr>
                <w:spacing w:val="-5"/>
                <w:sz w:val="20"/>
              </w:rPr>
              <w:t>517</w:t>
            </w:r>
          </w:p>
        </w:tc>
        <w:tc>
          <w:tcPr>
            <w:tcW w:w="6931" w:type="dxa"/>
          </w:tcPr>
          <w:p>
            <w:pPr>
              <w:pStyle w:val="TableParagraph"/>
              <w:spacing w:line="237" w:lineRule="auto" w:before="3"/>
              <w:jc w:val="left"/>
              <w:rPr>
                <w:sz w:val="20"/>
              </w:rPr>
            </w:pPr>
            <w:r>
              <w:rPr>
                <w:sz w:val="20"/>
              </w:rPr>
              <w:t>Las lesiones producidas por la acción de agentes físicos y químicos serán indemnizadas</w:t>
            </w:r>
            <w:r>
              <w:rPr>
                <w:spacing w:val="38"/>
                <w:sz w:val="20"/>
              </w:rPr>
              <w:t>  </w:t>
            </w:r>
            <w:r>
              <w:rPr>
                <w:sz w:val="20"/>
              </w:rPr>
              <w:t>de</w:t>
            </w:r>
            <w:r>
              <w:rPr>
                <w:spacing w:val="37"/>
                <w:sz w:val="20"/>
              </w:rPr>
              <w:t>  </w:t>
            </w:r>
            <w:r>
              <w:rPr>
                <w:sz w:val="20"/>
              </w:rPr>
              <w:t>acuerdo</w:t>
            </w:r>
            <w:r>
              <w:rPr>
                <w:spacing w:val="38"/>
                <w:sz w:val="20"/>
              </w:rPr>
              <w:t>  </w:t>
            </w:r>
            <w:r>
              <w:rPr>
                <w:sz w:val="20"/>
              </w:rPr>
              <w:t>con</w:t>
            </w:r>
            <w:r>
              <w:rPr>
                <w:spacing w:val="38"/>
                <w:sz w:val="20"/>
              </w:rPr>
              <w:t>  </w:t>
            </w:r>
            <w:r>
              <w:rPr>
                <w:sz w:val="20"/>
              </w:rPr>
              <w:t>las</w:t>
            </w:r>
            <w:r>
              <w:rPr>
                <w:spacing w:val="38"/>
                <w:sz w:val="20"/>
              </w:rPr>
              <w:t>  </w:t>
            </w:r>
            <w:r>
              <w:rPr>
                <w:sz w:val="20"/>
              </w:rPr>
              <w:t>modalidades</w:t>
            </w:r>
            <w:r>
              <w:rPr>
                <w:spacing w:val="39"/>
                <w:sz w:val="20"/>
              </w:rPr>
              <w:t>  </w:t>
            </w:r>
            <w:r>
              <w:rPr>
                <w:sz w:val="20"/>
              </w:rPr>
              <w:t>especiales</w:t>
            </w:r>
            <w:r>
              <w:rPr>
                <w:spacing w:val="38"/>
                <w:sz w:val="20"/>
              </w:rPr>
              <w:t>  </w:t>
            </w:r>
            <w:r>
              <w:rPr>
                <w:sz w:val="20"/>
              </w:rPr>
              <w:t>de</w:t>
            </w:r>
            <w:r>
              <w:rPr>
                <w:spacing w:val="38"/>
                <w:sz w:val="20"/>
              </w:rPr>
              <w:t>  </w:t>
            </w:r>
            <w:r>
              <w:rPr>
                <w:spacing w:val="-5"/>
                <w:sz w:val="20"/>
              </w:rPr>
              <w:t>la</w:t>
            </w:r>
          </w:p>
          <w:p>
            <w:pPr>
              <w:pStyle w:val="TableParagraph"/>
              <w:spacing w:before="1"/>
              <w:jc w:val="left"/>
              <w:rPr>
                <w:sz w:val="20"/>
              </w:rPr>
            </w:pPr>
            <w:r>
              <w:rPr>
                <w:spacing w:val="-2"/>
                <w:sz w:val="20"/>
              </w:rPr>
              <w:t>incapacidad.</w:t>
            </w:r>
          </w:p>
        </w:tc>
        <w:tc>
          <w:tcPr>
            <w:tcW w:w="1553" w:type="dxa"/>
          </w:tcPr>
          <w:p>
            <w:pPr>
              <w:pStyle w:val="TableParagraph"/>
              <w:spacing w:line="240" w:lineRule="auto" w:before="229"/>
              <w:ind w:left="9" w:right="1"/>
              <w:rPr>
                <w:sz w:val="20"/>
              </w:rPr>
            </w:pPr>
            <w:r>
              <w:rPr>
                <w:sz w:val="20"/>
              </w:rPr>
              <w:t>20</w:t>
            </w:r>
            <w:r>
              <w:rPr>
                <w:spacing w:val="-3"/>
                <w:sz w:val="20"/>
              </w:rPr>
              <w:t> </w:t>
            </w:r>
            <w:r>
              <w:rPr>
                <w:sz w:val="20"/>
              </w:rPr>
              <w:t>a</w:t>
            </w:r>
            <w:r>
              <w:rPr>
                <w:spacing w:val="-1"/>
                <w:sz w:val="20"/>
              </w:rPr>
              <w:t> </w:t>
            </w:r>
            <w:r>
              <w:rPr>
                <w:spacing w:val="-4"/>
                <w:sz w:val="20"/>
              </w:rPr>
              <w:t>100%</w:t>
            </w:r>
          </w:p>
        </w:tc>
      </w:tr>
    </w:tbl>
    <w:p>
      <w:pPr>
        <w:pStyle w:val="TableParagraph"/>
        <w:spacing w:after="0" w:line="240" w:lineRule="auto"/>
        <w:rPr>
          <w:sz w:val="20"/>
        </w:rPr>
        <w:sectPr>
          <w:pgSz w:w="12240" w:h="15840"/>
          <w:pgMar w:header="724" w:footer="712" w:top="1880" w:bottom="900" w:left="1080" w:right="1080"/>
        </w:sectPr>
      </w:pPr>
    </w:p>
    <w:p>
      <w:pPr>
        <w:pStyle w:val="BodyText"/>
        <w:spacing w:before="68"/>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31"/>
        <w:gridCol w:w="1553"/>
      </w:tblGrid>
      <w:tr>
        <w:trPr>
          <w:trHeight w:val="1148" w:hRule="atLeast"/>
        </w:trPr>
        <w:tc>
          <w:tcPr>
            <w:tcW w:w="1066" w:type="dxa"/>
          </w:tcPr>
          <w:p>
            <w:pPr>
              <w:pStyle w:val="TableParagraph"/>
              <w:spacing w:line="240" w:lineRule="auto" w:before="227"/>
              <w:ind w:left="0"/>
              <w:jc w:val="left"/>
              <w:rPr>
                <w:rFonts w:ascii="Arial"/>
                <w:b/>
                <w:sz w:val="20"/>
              </w:rPr>
            </w:pPr>
          </w:p>
          <w:p>
            <w:pPr>
              <w:pStyle w:val="TableParagraph"/>
              <w:spacing w:line="240" w:lineRule="auto"/>
              <w:ind w:left="9"/>
              <w:rPr>
                <w:sz w:val="20"/>
              </w:rPr>
            </w:pPr>
            <w:r>
              <w:rPr>
                <w:spacing w:val="-5"/>
                <w:sz w:val="20"/>
              </w:rPr>
              <w:t>518</w:t>
            </w:r>
          </w:p>
        </w:tc>
        <w:tc>
          <w:tcPr>
            <w:tcW w:w="6931" w:type="dxa"/>
          </w:tcPr>
          <w:p>
            <w:pPr>
              <w:pStyle w:val="TableParagraph"/>
              <w:spacing w:line="240" w:lineRule="auto"/>
              <w:ind w:right="62"/>
              <w:jc w:val="both"/>
              <w:rPr>
                <w:sz w:val="20"/>
              </w:rPr>
            </w:pPr>
            <w:r>
              <w:rPr>
                <w:sz w:val="20"/>
              </w:rPr>
              <w:t>Las cicatrices</w:t>
            </w:r>
            <w:r>
              <w:rPr>
                <w:spacing w:val="-1"/>
                <w:sz w:val="20"/>
              </w:rPr>
              <w:t> </w:t>
            </w:r>
            <w:r>
              <w:rPr>
                <w:sz w:val="20"/>
              </w:rPr>
              <w:t>producidas</w:t>
            </w:r>
            <w:r>
              <w:rPr>
                <w:spacing w:val="-1"/>
                <w:sz w:val="20"/>
              </w:rPr>
              <w:t> </w:t>
            </w:r>
            <w:r>
              <w:rPr>
                <w:sz w:val="20"/>
              </w:rPr>
              <w:t>por</w:t>
            </w:r>
            <w:r>
              <w:rPr>
                <w:spacing w:val="-1"/>
                <w:sz w:val="20"/>
              </w:rPr>
              <w:t> </w:t>
            </w:r>
            <w:r>
              <w:rPr>
                <w:sz w:val="20"/>
              </w:rPr>
              <w:t>amplias</w:t>
            </w:r>
            <w:r>
              <w:rPr>
                <w:spacing w:val="-1"/>
                <w:sz w:val="20"/>
              </w:rPr>
              <w:t> </w:t>
            </w:r>
            <w:r>
              <w:rPr>
                <w:sz w:val="20"/>
              </w:rPr>
              <w:t>quemaduras de los</w:t>
            </w:r>
            <w:r>
              <w:rPr>
                <w:spacing w:val="-1"/>
                <w:sz w:val="20"/>
              </w:rPr>
              <w:t> </w:t>
            </w:r>
            <w:r>
              <w:rPr>
                <w:sz w:val="20"/>
              </w:rPr>
              <w:t>tegumentos</w:t>
            </w:r>
            <w:r>
              <w:rPr>
                <w:spacing w:val="-1"/>
                <w:sz w:val="20"/>
              </w:rPr>
              <w:t> </w:t>
            </w:r>
            <w:r>
              <w:rPr>
                <w:sz w:val="20"/>
              </w:rPr>
              <w:t>serán indemnizadas</w:t>
            </w:r>
            <w:r>
              <w:rPr>
                <w:spacing w:val="-4"/>
                <w:sz w:val="20"/>
              </w:rPr>
              <w:t> </w:t>
            </w:r>
            <w:r>
              <w:rPr>
                <w:sz w:val="20"/>
              </w:rPr>
              <w:t>tomando</w:t>
            </w:r>
            <w:r>
              <w:rPr>
                <w:spacing w:val="-4"/>
                <w:sz w:val="20"/>
              </w:rPr>
              <w:t> </w:t>
            </w:r>
            <w:r>
              <w:rPr>
                <w:sz w:val="20"/>
              </w:rPr>
              <w:t>en</w:t>
            </w:r>
            <w:r>
              <w:rPr>
                <w:spacing w:val="-4"/>
                <w:sz w:val="20"/>
              </w:rPr>
              <w:t> </w:t>
            </w:r>
            <w:r>
              <w:rPr>
                <w:sz w:val="20"/>
              </w:rPr>
              <w:t>cuenta</w:t>
            </w:r>
            <w:r>
              <w:rPr>
                <w:spacing w:val="-3"/>
                <w:sz w:val="20"/>
              </w:rPr>
              <w:t> </w:t>
            </w:r>
            <w:r>
              <w:rPr>
                <w:sz w:val="20"/>
              </w:rPr>
              <w:t>la</w:t>
            </w:r>
            <w:r>
              <w:rPr>
                <w:spacing w:val="-3"/>
                <w:sz w:val="20"/>
              </w:rPr>
              <w:t> </w:t>
            </w:r>
            <w:r>
              <w:rPr>
                <w:sz w:val="20"/>
              </w:rPr>
              <w:t>extensión</w:t>
            </w:r>
            <w:r>
              <w:rPr>
                <w:spacing w:val="-2"/>
                <w:sz w:val="20"/>
              </w:rPr>
              <w:t> </w:t>
            </w:r>
            <w:r>
              <w:rPr>
                <w:sz w:val="20"/>
              </w:rPr>
              <w:t>y</w:t>
            </w:r>
            <w:r>
              <w:rPr>
                <w:spacing w:val="-6"/>
                <w:sz w:val="20"/>
              </w:rPr>
              <w:t> </w:t>
            </w:r>
            <w:r>
              <w:rPr>
                <w:sz w:val="20"/>
              </w:rPr>
              <w:t>la</w:t>
            </w:r>
            <w:r>
              <w:rPr>
                <w:spacing w:val="-5"/>
                <w:sz w:val="20"/>
              </w:rPr>
              <w:t> </w:t>
            </w:r>
            <w:r>
              <w:rPr>
                <w:sz w:val="20"/>
              </w:rPr>
              <w:t>profundidad</w:t>
            </w:r>
            <w:r>
              <w:rPr>
                <w:spacing w:val="-5"/>
                <w:sz w:val="20"/>
              </w:rPr>
              <w:t> </w:t>
            </w:r>
            <w:r>
              <w:rPr>
                <w:sz w:val="20"/>
              </w:rPr>
              <w:t>de</w:t>
            </w:r>
            <w:r>
              <w:rPr>
                <w:spacing w:val="-3"/>
                <w:sz w:val="20"/>
              </w:rPr>
              <w:t> </w:t>
            </w:r>
            <w:r>
              <w:rPr>
                <w:sz w:val="20"/>
              </w:rPr>
              <w:t>las</w:t>
            </w:r>
            <w:r>
              <w:rPr>
                <w:spacing w:val="-3"/>
                <w:sz w:val="20"/>
              </w:rPr>
              <w:t> </w:t>
            </w:r>
            <w:r>
              <w:rPr>
                <w:sz w:val="20"/>
              </w:rPr>
              <w:t>zonas cicatrizales, independientemente de las perturbaciones funcionales que acarreen</w:t>
            </w:r>
            <w:r>
              <w:rPr>
                <w:spacing w:val="34"/>
                <w:sz w:val="20"/>
              </w:rPr>
              <w:t> </w:t>
            </w:r>
            <w:r>
              <w:rPr>
                <w:sz w:val="20"/>
              </w:rPr>
              <w:t>en</w:t>
            </w:r>
            <w:r>
              <w:rPr>
                <w:spacing w:val="34"/>
                <w:sz w:val="20"/>
              </w:rPr>
              <w:t> </w:t>
            </w:r>
            <w:r>
              <w:rPr>
                <w:sz w:val="20"/>
              </w:rPr>
              <w:t>los</w:t>
            </w:r>
            <w:r>
              <w:rPr>
                <w:spacing w:val="34"/>
                <w:sz w:val="20"/>
              </w:rPr>
              <w:t> </w:t>
            </w:r>
            <w:r>
              <w:rPr>
                <w:sz w:val="20"/>
              </w:rPr>
              <w:t>segmentos</w:t>
            </w:r>
            <w:r>
              <w:rPr>
                <w:spacing w:val="33"/>
                <w:sz w:val="20"/>
              </w:rPr>
              <w:t> </w:t>
            </w:r>
            <w:r>
              <w:rPr>
                <w:sz w:val="20"/>
              </w:rPr>
              <w:t>adyacentes.</w:t>
            </w:r>
            <w:r>
              <w:rPr>
                <w:spacing w:val="33"/>
                <w:sz w:val="20"/>
              </w:rPr>
              <w:t> </w:t>
            </w:r>
            <w:r>
              <w:rPr>
                <w:sz w:val="20"/>
              </w:rPr>
              <w:t>Tomándose</w:t>
            </w:r>
            <w:r>
              <w:rPr>
                <w:spacing w:val="34"/>
                <w:sz w:val="20"/>
              </w:rPr>
              <w:t> </w:t>
            </w:r>
            <w:r>
              <w:rPr>
                <w:sz w:val="20"/>
              </w:rPr>
              <w:t>como</w:t>
            </w:r>
            <w:r>
              <w:rPr>
                <w:spacing w:val="33"/>
                <w:sz w:val="20"/>
              </w:rPr>
              <w:t> </w:t>
            </w:r>
            <w:r>
              <w:rPr>
                <w:sz w:val="20"/>
              </w:rPr>
              <w:t>base</w:t>
            </w:r>
            <w:r>
              <w:rPr>
                <w:spacing w:val="32"/>
                <w:sz w:val="20"/>
              </w:rPr>
              <w:t> </w:t>
            </w:r>
            <w:r>
              <w:rPr>
                <w:sz w:val="20"/>
              </w:rPr>
              <w:t>para</w:t>
            </w:r>
            <w:r>
              <w:rPr>
                <w:spacing w:val="34"/>
                <w:sz w:val="20"/>
              </w:rPr>
              <w:t> </w:t>
            </w:r>
            <w:r>
              <w:rPr>
                <w:spacing w:val="-5"/>
                <w:sz w:val="20"/>
              </w:rPr>
              <w:t>su</w:t>
            </w:r>
          </w:p>
          <w:p>
            <w:pPr>
              <w:pStyle w:val="TableParagraph"/>
              <w:jc w:val="both"/>
              <w:rPr>
                <w:sz w:val="20"/>
              </w:rPr>
            </w:pPr>
            <w:r>
              <w:rPr>
                <w:sz w:val="20"/>
              </w:rPr>
              <w:t>valuación</w:t>
            </w:r>
            <w:r>
              <w:rPr>
                <w:spacing w:val="-6"/>
                <w:sz w:val="20"/>
              </w:rPr>
              <w:t> </w:t>
            </w:r>
            <w:r>
              <w:rPr>
                <w:sz w:val="20"/>
              </w:rPr>
              <w:t>la</w:t>
            </w:r>
            <w:r>
              <w:rPr>
                <w:spacing w:val="-7"/>
                <w:sz w:val="20"/>
              </w:rPr>
              <w:t> </w:t>
            </w:r>
            <w:r>
              <w:rPr>
                <w:sz w:val="20"/>
              </w:rPr>
              <w:t>regla</w:t>
            </w:r>
            <w:r>
              <w:rPr>
                <w:spacing w:val="-6"/>
                <w:sz w:val="20"/>
              </w:rPr>
              <w:t> </w:t>
            </w:r>
            <w:r>
              <w:rPr>
                <w:sz w:val="20"/>
              </w:rPr>
              <w:t>de</w:t>
            </w:r>
            <w:r>
              <w:rPr>
                <w:spacing w:val="-5"/>
                <w:sz w:val="20"/>
              </w:rPr>
              <w:t> </w:t>
            </w:r>
            <w:r>
              <w:rPr>
                <w:sz w:val="20"/>
              </w:rPr>
              <w:t>los</w:t>
            </w:r>
            <w:r>
              <w:rPr>
                <w:spacing w:val="-4"/>
                <w:sz w:val="20"/>
              </w:rPr>
              <w:t> </w:t>
            </w:r>
            <w:r>
              <w:rPr>
                <w:spacing w:val="-2"/>
                <w:sz w:val="20"/>
              </w:rPr>
              <w:t>nueves.</w:t>
            </w:r>
          </w:p>
        </w:tc>
        <w:tc>
          <w:tcPr>
            <w:tcW w:w="1553" w:type="dxa"/>
          </w:tcPr>
          <w:p>
            <w:pPr>
              <w:pStyle w:val="TableParagraph"/>
              <w:spacing w:line="240" w:lineRule="auto" w:before="227"/>
              <w:ind w:left="0"/>
              <w:jc w:val="left"/>
              <w:rPr>
                <w:rFonts w:ascii="Arial"/>
                <w:b/>
                <w:sz w:val="20"/>
              </w:rPr>
            </w:pPr>
          </w:p>
          <w:p>
            <w:pPr>
              <w:pStyle w:val="TableParagraph"/>
              <w:spacing w:line="240" w:lineRule="auto"/>
              <w:ind w:left="9"/>
              <w:rPr>
                <w:sz w:val="20"/>
              </w:rPr>
            </w:pPr>
            <w:r>
              <w:rPr>
                <w:spacing w:val="-2"/>
                <w:sz w:val="20"/>
              </w:rPr>
              <w:t>-</w:t>
            </w:r>
            <w:r>
              <w:rPr>
                <w:spacing w:val="-12"/>
                <w:sz w:val="20"/>
              </w:rPr>
              <w:t>-</w:t>
            </w:r>
          </w:p>
        </w:tc>
      </w:tr>
      <w:tr>
        <w:trPr>
          <w:trHeight w:val="690" w:hRule="atLeast"/>
        </w:trPr>
        <w:tc>
          <w:tcPr>
            <w:tcW w:w="1066" w:type="dxa"/>
          </w:tcPr>
          <w:p>
            <w:pPr>
              <w:pStyle w:val="TableParagraph"/>
              <w:spacing w:line="240" w:lineRule="auto" w:before="229"/>
              <w:ind w:left="9"/>
              <w:rPr>
                <w:sz w:val="20"/>
              </w:rPr>
            </w:pPr>
            <w:r>
              <w:rPr>
                <w:spacing w:val="-5"/>
                <w:sz w:val="20"/>
              </w:rPr>
              <w:t>519</w:t>
            </w:r>
          </w:p>
        </w:tc>
        <w:tc>
          <w:tcPr>
            <w:tcW w:w="6931" w:type="dxa"/>
          </w:tcPr>
          <w:p>
            <w:pPr>
              <w:pStyle w:val="TableParagraph"/>
              <w:spacing w:line="230" w:lineRule="exact"/>
              <w:ind w:right="61"/>
              <w:jc w:val="both"/>
              <w:rPr>
                <w:sz w:val="20"/>
              </w:rPr>
            </w:pPr>
            <w:r>
              <w:rPr>
                <w:sz w:val="20"/>
              </w:rPr>
              <w:t>En caso de haberse otorgado con anterioridad la valuación de una secuela que</w:t>
            </w:r>
            <w:r>
              <w:rPr>
                <w:spacing w:val="-3"/>
                <w:sz w:val="20"/>
              </w:rPr>
              <w:t> </w:t>
            </w:r>
            <w:r>
              <w:rPr>
                <w:sz w:val="20"/>
              </w:rPr>
              <w:t>involucre</w:t>
            </w:r>
            <w:r>
              <w:rPr>
                <w:spacing w:val="-3"/>
                <w:sz w:val="20"/>
              </w:rPr>
              <w:t> </w:t>
            </w:r>
            <w:r>
              <w:rPr>
                <w:sz w:val="20"/>
              </w:rPr>
              <w:t>el</w:t>
            </w:r>
            <w:r>
              <w:rPr>
                <w:spacing w:val="-6"/>
                <w:sz w:val="20"/>
              </w:rPr>
              <w:t> </w:t>
            </w:r>
            <w:r>
              <w:rPr>
                <w:sz w:val="20"/>
              </w:rPr>
              <w:t>mismo</w:t>
            </w:r>
            <w:r>
              <w:rPr>
                <w:spacing w:val="-5"/>
                <w:sz w:val="20"/>
              </w:rPr>
              <w:t> </w:t>
            </w:r>
            <w:r>
              <w:rPr>
                <w:sz w:val="20"/>
              </w:rPr>
              <w:t>sitio</w:t>
            </w:r>
            <w:r>
              <w:rPr>
                <w:spacing w:val="-5"/>
                <w:sz w:val="20"/>
              </w:rPr>
              <w:t> </w:t>
            </w:r>
            <w:r>
              <w:rPr>
                <w:sz w:val="20"/>
              </w:rPr>
              <w:t>anatómico,</w:t>
            </w:r>
            <w:r>
              <w:rPr>
                <w:spacing w:val="-5"/>
                <w:sz w:val="20"/>
              </w:rPr>
              <w:t> </w:t>
            </w:r>
            <w:r>
              <w:rPr>
                <w:sz w:val="20"/>
              </w:rPr>
              <w:t>se</w:t>
            </w:r>
            <w:r>
              <w:rPr>
                <w:spacing w:val="-5"/>
                <w:sz w:val="20"/>
              </w:rPr>
              <w:t> </w:t>
            </w:r>
            <w:r>
              <w:rPr>
                <w:sz w:val="20"/>
              </w:rPr>
              <w:t>otorgará</w:t>
            </w:r>
            <w:r>
              <w:rPr>
                <w:spacing w:val="-2"/>
                <w:sz w:val="20"/>
              </w:rPr>
              <w:t> </w:t>
            </w:r>
            <w:r>
              <w:rPr>
                <w:sz w:val="20"/>
              </w:rPr>
              <w:t>únicamente</w:t>
            </w:r>
            <w:r>
              <w:rPr>
                <w:spacing w:val="-6"/>
                <w:sz w:val="20"/>
              </w:rPr>
              <w:t> </w:t>
            </w:r>
            <w:r>
              <w:rPr>
                <w:sz w:val="20"/>
              </w:rPr>
              <w:t>la</w:t>
            </w:r>
            <w:r>
              <w:rPr>
                <w:spacing w:val="-5"/>
                <w:sz w:val="20"/>
              </w:rPr>
              <w:t> </w:t>
            </w:r>
            <w:r>
              <w:rPr>
                <w:sz w:val="20"/>
              </w:rPr>
              <w:t>diferencia del porcentaje de la nueva fracción que aplique.</w:t>
            </w:r>
          </w:p>
        </w:tc>
        <w:tc>
          <w:tcPr>
            <w:tcW w:w="1553" w:type="dxa"/>
          </w:tcPr>
          <w:p>
            <w:pPr>
              <w:pStyle w:val="TableParagraph"/>
              <w:spacing w:line="240" w:lineRule="auto" w:before="229"/>
              <w:ind w:left="9"/>
              <w:rPr>
                <w:sz w:val="20"/>
              </w:rPr>
            </w:pPr>
            <w:r>
              <w:rPr>
                <w:spacing w:val="-2"/>
                <w:sz w:val="20"/>
              </w:rPr>
              <w:t>-</w:t>
            </w:r>
            <w:r>
              <w:rPr>
                <w:spacing w:val="-12"/>
                <w:sz w:val="20"/>
              </w:rPr>
              <w:t>-</w:t>
            </w:r>
          </w:p>
        </w:tc>
      </w:tr>
      <w:tr>
        <w:trPr>
          <w:trHeight w:val="921" w:hRule="atLeast"/>
        </w:trPr>
        <w:tc>
          <w:tcPr>
            <w:tcW w:w="1066" w:type="dxa"/>
          </w:tcPr>
          <w:p>
            <w:pPr>
              <w:pStyle w:val="TableParagraph"/>
              <w:spacing w:line="240" w:lineRule="auto" w:before="114"/>
              <w:ind w:left="0"/>
              <w:jc w:val="left"/>
              <w:rPr>
                <w:rFonts w:ascii="Arial"/>
                <w:b/>
                <w:sz w:val="20"/>
              </w:rPr>
            </w:pPr>
          </w:p>
          <w:p>
            <w:pPr>
              <w:pStyle w:val="TableParagraph"/>
              <w:spacing w:line="240" w:lineRule="auto" w:before="1"/>
              <w:ind w:left="9"/>
              <w:rPr>
                <w:sz w:val="20"/>
              </w:rPr>
            </w:pPr>
            <w:r>
              <w:rPr>
                <w:spacing w:val="-5"/>
                <w:sz w:val="20"/>
              </w:rPr>
              <w:t>520</w:t>
            </w:r>
          </w:p>
        </w:tc>
        <w:tc>
          <w:tcPr>
            <w:tcW w:w="6931" w:type="dxa"/>
          </w:tcPr>
          <w:p>
            <w:pPr>
              <w:pStyle w:val="TableParagraph"/>
              <w:spacing w:line="240" w:lineRule="auto"/>
              <w:ind w:right="64"/>
              <w:jc w:val="both"/>
              <w:rPr>
                <w:sz w:val="20"/>
              </w:rPr>
            </w:pPr>
            <w:r>
              <w:rPr>
                <w:sz w:val="20"/>
              </w:rPr>
              <w:t>En caso de no encontrarse la fracción específica para la valuación de las secuelas que presenta la persona trabajadora, deberá hacerse uso del artículo</w:t>
            </w:r>
            <w:r>
              <w:rPr>
                <w:spacing w:val="21"/>
                <w:sz w:val="20"/>
              </w:rPr>
              <w:t> </w:t>
            </w:r>
            <w:r>
              <w:rPr>
                <w:sz w:val="20"/>
              </w:rPr>
              <w:t>17</w:t>
            </w:r>
            <w:r>
              <w:rPr>
                <w:spacing w:val="22"/>
                <w:sz w:val="20"/>
              </w:rPr>
              <w:t> </w:t>
            </w:r>
            <w:r>
              <w:rPr>
                <w:sz w:val="20"/>
              </w:rPr>
              <w:t>de</w:t>
            </w:r>
            <w:r>
              <w:rPr>
                <w:spacing w:val="22"/>
                <w:sz w:val="20"/>
              </w:rPr>
              <w:t> </w:t>
            </w:r>
            <w:r>
              <w:rPr>
                <w:sz w:val="20"/>
              </w:rPr>
              <w:t>la</w:t>
            </w:r>
            <w:r>
              <w:rPr>
                <w:spacing w:val="21"/>
                <w:sz w:val="20"/>
              </w:rPr>
              <w:t> </w:t>
            </w:r>
            <w:r>
              <w:rPr>
                <w:sz w:val="20"/>
              </w:rPr>
              <w:t>Ley</w:t>
            </w:r>
            <w:r>
              <w:rPr>
                <w:spacing w:val="17"/>
                <w:sz w:val="20"/>
              </w:rPr>
              <w:t> </w:t>
            </w:r>
            <w:r>
              <w:rPr>
                <w:sz w:val="20"/>
              </w:rPr>
              <w:t>Federal</w:t>
            </w:r>
            <w:r>
              <w:rPr>
                <w:spacing w:val="21"/>
                <w:sz w:val="20"/>
              </w:rPr>
              <w:t> </w:t>
            </w:r>
            <w:r>
              <w:rPr>
                <w:sz w:val="20"/>
              </w:rPr>
              <w:t>del</w:t>
            </w:r>
            <w:r>
              <w:rPr>
                <w:spacing w:val="22"/>
                <w:sz w:val="20"/>
              </w:rPr>
              <w:t> </w:t>
            </w:r>
            <w:r>
              <w:rPr>
                <w:sz w:val="20"/>
              </w:rPr>
              <w:t>Trabajo</w:t>
            </w:r>
            <w:r>
              <w:rPr>
                <w:spacing w:val="22"/>
                <w:sz w:val="20"/>
              </w:rPr>
              <w:t> </w:t>
            </w:r>
            <w:r>
              <w:rPr>
                <w:sz w:val="20"/>
              </w:rPr>
              <w:t>vigente</w:t>
            </w:r>
            <w:r>
              <w:rPr>
                <w:spacing w:val="25"/>
                <w:sz w:val="20"/>
              </w:rPr>
              <w:t> </w:t>
            </w:r>
            <w:r>
              <w:rPr>
                <w:sz w:val="20"/>
              </w:rPr>
              <w:t>y</w:t>
            </w:r>
            <w:r>
              <w:rPr>
                <w:spacing w:val="19"/>
                <w:sz w:val="20"/>
              </w:rPr>
              <w:t> </w:t>
            </w:r>
            <w:r>
              <w:rPr>
                <w:sz w:val="20"/>
              </w:rPr>
              <w:t>por</w:t>
            </w:r>
            <w:r>
              <w:rPr>
                <w:spacing w:val="23"/>
                <w:sz w:val="20"/>
              </w:rPr>
              <w:t> </w:t>
            </w:r>
            <w:r>
              <w:rPr>
                <w:sz w:val="20"/>
              </w:rPr>
              <w:t>similitud</w:t>
            </w:r>
            <w:r>
              <w:rPr>
                <w:spacing w:val="21"/>
                <w:sz w:val="20"/>
              </w:rPr>
              <w:t> </w:t>
            </w:r>
            <w:r>
              <w:rPr>
                <w:sz w:val="20"/>
              </w:rPr>
              <w:t>aplicar</w:t>
            </w:r>
            <w:r>
              <w:rPr>
                <w:spacing w:val="23"/>
                <w:sz w:val="20"/>
              </w:rPr>
              <w:t> </w:t>
            </w:r>
            <w:r>
              <w:rPr>
                <w:spacing w:val="-5"/>
                <w:sz w:val="20"/>
              </w:rPr>
              <w:t>la</w:t>
            </w:r>
          </w:p>
          <w:p>
            <w:pPr>
              <w:pStyle w:val="TableParagraph"/>
              <w:spacing w:line="212" w:lineRule="exact"/>
              <w:jc w:val="both"/>
              <w:rPr>
                <w:sz w:val="20"/>
              </w:rPr>
            </w:pPr>
            <w:r>
              <w:rPr>
                <w:sz w:val="20"/>
              </w:rPr>
              <w:t>fracción</w:t>
            </w:r>
            <w:r>
              <w:rPr>
                <w:spacing w:val="-6"/>
                <w:sz w:val="20"/>
              </w:rPr>
              <w:t> </w:t>
            </w:r>
            <w:r>
              <w:rPr>
                <w:sz w:val="20"/>
              </w:rPr>
              <w:t>que</w:t>
            </w:r>
            <w:r>
              <w:rPr>
                <w:spacing w:val="-5"/>
                <w:sz w:val="20"/>
              </w:rPr>
              <w:t> </w:t>
            </w:r>
            <w:r>
              <w:rPr>
                <w:sz w:val="20"/>
              </w:rPr>
              <w:t>más</w:t>
            </w:r>
            <w:r>
              <w:rPr>
                <w:spacing w:val="-4"/>
                <w:sz w:val="20"/>
              </w:rPr>
              <w:t> </w:t>
            </w:r>
            <w:r>
              <w:rPr>
                <w:sz w:val="20"/>
              </w:rPr>
              <w:t>se</w:t>
            </w:r>
            <w:r>
              <w:rPr>
                <w:spacing w:val="-5"/>
                <w:sz w:val="20"/>
              </w:rPr>
              <w:t> </w:t>
            </w:r>
            <w:r>
              <w:rPr>
                <w:spacing w:val="-2"/>
                <w:sz w:val="20"/>
              </w:rPr>
              <w:t>asemeje.</w:t>
            </w:r>
          </w:p>
        </w:tc>
        <w:tc>
          <w:tcPr>
            <w:tcW w:w="1553" w:type="dxa"/>
          </w:tcPr>
          <w:p>
            <w:pPr>
              <w:pStyle w:val="TableParagraph"/>
              <w:spacing w:line="240" w:lineRule="auto" w:before="114"/>
              <w:ind w:left="0"/>
              <w:jc w:val="left"/>
              <w:rPr>
                <w:rFonts w:ascii="Arial"/>
                <w:b/>
                <w:sz w:val="20"/>
              </w:rPr>
            </w:pPr>
          </w:p>
          <w:p>
            <w:pPr>
              <w:pStyle w:val="TableParagraph"/>
              <w:spacing w:line="240" w:lineRule="auto" w:before="1"/>
              <w:ind w:left="9"/>
              <w:rPr>
                <w:sz w:val="20"/>
              </w:rPr>
            </w:pPr>
            <w:r>
              <w:rPr>
                <w:spacing w:val="-2"/>
                <w:sz w:val="20"/>
              </w:rPr>
              <w:t>-</w:t>
            </w:r>
            <w:r>
              <w:rPr>
                <w:spacing w:val="-12"/>
                <w:sz w:val="20"/>
              </w:rPr>
              <w:t>-</w:t>
            </w:r>
          </w:p>
        </w:tc>
      </w:tr>
    </w:tbl>
    <w:p>
      <w:pPr>
        <w:spacing w:before="227"/>
        <w:ind w:left="296" w:right="296" w:firstLine="0"/>
        <w:jc w:val="center"/>
        <w:rPr>
          <w:rFonts w:ascii="Arial" w:hAnsi="Arial"/>
          <w:b/>
          <w:sz w:val="20"/>
        </w:rPr>
      </w:pPr>
      <w:r>
        <w:rPr>
          <w:rFonts w:ascii="Arial" w:hAnsi="Arial"/>
          <w:b/>
          <w:spacing w:val="-2"/>
          <w:sz w:val="20"/>
        </w:rPr>
        <w:t>Cánceres</w:t>
      </w:r>
    </w:p>
    <w:p>
      <w:pPr>
        <w:pStyle w:val="BodyText"/>
        <w:spacing w:before="3"/>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31"/>
        <w:gridCol w:w="1553"/>
      </w:tblGrid>
      <w:tr>
        <w:trPr>
          <w:trHeight w:val="8510" w:hRule="atLeast"/>
        </w:trPr>
        <w:tc>
          <w:tcPr>
            <w:tcW w:w="1066" w:type="dxa"/>
          </w:tcPr>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9"/>
              <w:rPr>
                <w:sz w:val="20"/>
              </w:rPr>
            </w:pPr>
            <w:r>
              <w:rPr>
                <w:spacing w:val="-5"/>
                <w:sz w:val="20"/>
              </w:rPr>
              <w:t>521</w:t>
            </w:r>
          </w:p>
        </w:tc>
        <w:tc>
          <w:tcPr>
            <w:tcW w:w="6931" w:type="dxa"/>
          </w:tcPr>
          <w:p>
            <w:pPr>
              <w:pStyle w:val="TableParagraph"/>
              <w:spacing w:line="240" w:lineRule="auto"/>
              <w:ind w:right="57"/>
              <w:jc w:val="both"/>
              <w:rPr>
                <w:sz w:val="20"/>
              </w:rPr>
            </w:pPr>
            <w:r>
              <w:rPr>
                <w:sz w:val="20"/>
              </w:rPr>
              <w:t>Cáncer secundario a agentes físicos, químicos, o biológicos se valuará con base a los siguientes criterios:</w:t>
            </w:r>
          </w:p>
          <w:p>
            <w:pPr>
              <w:pStyle w:val="TableParagraph"/>
              <w:spacing w:line="240" w:lineRule="auto"/>
              <w:ind w:left="0"/>
              <w:jc w:val="left"/>
              <w:rPr>
                <w:rFonts w:ascii="Arial"/>
                <w:b/>
                <w:sz w:val="20"/>
              </w:rPr>
            </w:pPr>
          </w:p>
          <w:p>
            <w:pPr>
              <w:pStyle w:val="TableParagraph"/>
              <w:spacing w:line="240" w:lineRule="auto"/>
              <w:ind w:right="64"/>
              <w:jc w:val="both"/>
              <w:rPr>
                <w:sz w:val="20"/>
              </w:rPr>
            </w:pPr>
            <w:r>
              <w:rPr>
                <w:sz w:val="20"/>
              </w:rPr>
              <w:t>para el cálculo de la incapacidad permanente parcial o total por motivo de los cánceres de origen laboral, el procedimiento para su obtención es realizando los pasos siguientes:</w:t>
            </w:r>
          </w:p>
          <w:p>
            <w:pPr>
              <w:pStyle w:val="TableParagraph"/>
              <w:spacing w:line="240" w:lineRule="auto" w:before="227"/>
              <w:ind w:right="58"/>
              <w:jc w:val="both"/>
              <w:rPr>
                <w:sz w:val="20"/>
              </w:rPr>
            </w:pPr>
            <w:r>
              <w:rPr>
                <w:rFonts w:ascii="Arial" w:hAnsi="Arial"/>
                <w:b/>
                <w:sz w:val="20"/>
              </w:rPr>
              <w:t>Paso I: </w:t>
            </w:r>
            <w:r>
              <w:rPr>
                <w:sz w:val="20"/>
              </w:rPr>
              <w:t>Identificar el cáncer que padece la persona trabajadora de acuerdo con el diagnóstico y sobrevida establecida por el especialista oncólogo, y verificar con la Tabla XI a qué tipo de categorización corresponde el cáncer de origen laboral. Esto es, el cáncer menos agresivo corresponde al</w:t>
            </w:r>
            <w:r>
              <w:rPr>
                <w:spacing w:val="40"/>
                <w:sz w:val="20"/>
              </w:rPr>
              <w:t> </w:t>
            </w:r>
            <w:r>
              <w:rPr>
                <w:sz w:val="20"/>
              </w:rPr>
              <w:t>numeral 1 y el más agresivo al numeral 5, con base a la sobrevida que pueda presentar la persona trabajadora a cinco años de su diagnóstico.</w:t>
            </w:r>
          </w:p>
          <w:p>
            <w:pPr>
              <w:pStyle w:val="TableParagraph"/>
              <w:spacing w:line="240" w:lineRule="auto" w:before="1"/>
              <w:ind w:left="0"/>
              <w:jc w:val="left"/>
              <w:rPr>
                <w:rFonts w:ascii="Arial"/>
                <w:b/>
                <w:sz w:val="20"/>
              </w:rPr>
            </w:pPr>
          </w:p>
          <w:p>
            <w:pPr>
              <w:pStyle w:val="TableParagraph"/>
              <w:spacing w:line="240" w:lineRule="auto"/>
              <w:ind w:right="60"/>
              <w:jc w:val="both"/>
              <w:rPr>
                <w:sz w:val="20"/>
              </w:rPr>
            </w:pPr>
            <w:r>
              <w:rPr>
                <w:rFonts w:ascii="Arial" w:hAnsi="Arial"/>
                <w:b/>
                <w:sz w:val="20"/>
              </w:rPr>
              <w:t>Nota: </w:t>
            </w:r>
            <w:r>
              <w:rPr>
                <w:sz w:val="20"/>
              </w:rPr>
              <w:t>En caso de que la neoplasia diagnosticada no se encuentre incluida en la Tabla XI, la agresividad se establecerá de acuerdo con la sobrevida determinada por el especialista oncólogo.</w:t>
            </w:r>
          </w:p>
          <w:p>
            <w:pPr>
              <w:pStyle w:val="TableParagraph"/>
              <w:spacing w:line="240" w:lineRule="auto" w:before="229"/>
              <w:ind w:right="57"/>
              <w:jc w:val="both"/>
              <w:rPr>
                <w:sz w:val="20"/>
              </w:rPr>
            </w:pPr>
            <w:r>
              <w:rPr>
                <w:rFonts w:ascii="Arial" w:hAnsi="Arial"/>
                <w:b/>
                <w:sz w:val="20"/>
              </w:rPr>
              <w:t>Paso 2: </w:t>
            </w:r>
            <w:r>
              <w:rPr>
                <w:sz w:val="20"/>
              </w:rPr>
              <w:t>Después de identificar a qué categorización</w:t>
            </w:r>
            <w:r>
              <w:rPr>
                <w:spacing w:val="-1"/>
                <w:sz w:val="20"/>
              </w:rPr>
              <w:t> </w:t>
            </w:r>
            <w:r>
              <w:rPr>
                <w:sz w:val="20"/>
              </w:rPr>
              <w:t>pertenece el</w:t>
            </w:r>
            <w:r>
              <w:rPr>
                <w:spacing w:val="-1"/>
                <w:sz w:val="20"/>
              </w:rPr>
              <w:t> </w:t>
            </w:r>
            <w:r>
              <w:rPr>
                <w:sz w:val="20"/>
              </w:rPr>
              <w:t>cáncer de origen laboral, establecer en qué categoría se ubica la persona trabajadora de acuerdo con la capacidad funcional en relación con el desempeño del puesto de trabajo, esto es, por ejemplo si tiene un cáncer de colon la categoría de la neoplasia se ubicaría en el numeral 3 de la Tabla XI y si se encuentra que la persona trabajadora tiene una valoración como restringida en sus capacidades funcionales, pero es capaz de realizar el trabajo de naturaleza media, se ubicaría en el numeral 1 de la Tabla XII.</w:t>
            </w:r>
          </w:p>
          <w:p>
            <w:pPr>
              <w:pStyle w:val="TableParagraph"/>
              <w:spacing w:line="240" w:lineRule="auto"/>
              <w:ind w:left="0"/>
              <w:jc w:val="left"/>
              <w:rPr>
                <w:rFonts w:ascii="Arial"/>
                <w:b/>
                <w:sz w:val="20"/>
              </w:rPr>
            </w:pPr>
          </w:p>
          <w:p>
            <w:pPr>
              <w:pStyle w:val="TableParagraph"/>
              <w:spacing w:line="240" w:lineRule="auto"/>
              <w:ind w:right="61"/>
              <w:jc w:val="both"/>
              <w:rPr>
                <w:sz w:val="20"/>
              </w:rPr>
            </w:pPr>
            <w:r>
              <w:rPr>
                <w:rFonts w:ascii="Arial" w:hAnsi="Arial"/>
                <w:b/>
                <w:sz w:val="20"/>
              </w:rPr>
              <w:t>Paso 3: </w:t>
            </w:r>
            <w:r>
              <w:rPr>
                <w:sz w:val="20"/>
              </w:rPr>
              <w:t>Posteriormente, se buscaría en la Tabla XIII en la columna de categorización de las neoplasias de acuerdo con su agresividad según sobrevida a cinco años, el numeral al que pertenece el cáncer</w:t>
            </w:r>
            <w:r>
              <w:rPr>
                <w:spacing w:val="40"/>
                <w:sz w:val="20"/>
              </w:rPr>
              <w:t> </w:t>
            </w:r>
            <w:r>
              <w:rPr>
                <w:sz w:val="20"/>
              </w:rPr>
              <w:t>diagnosticado a la persona trabajadora, y se buscaría también en la columna de categorización funcional de las neoplasias y sus secuelas derivadas</w:t>
            </w:r>
            <w:r>
              <w:rPr>
                <w:spacing w:val="-2"/>
                <w:sz w:val="20"/>
              </w:rPr>
              <w:t> </w:t>
            </w:r>
            <w:r>
              <w:rPr>
                <w:sz w:val="20"/>
              </w:rPr>
              <w:t>del</w:t>
            </w:r>
            <w:r>
              <w:rPr>
                <w:spacing w:val="-4"/>
                <w:sz w:val="20"/>
              </w:rPr>
              <w:t> </w:t>
            </w:r>
            <w:r>
              <w:rPr>
                <w:sz w:val="20"/>
              </w:rPr>
              <w:t>tratamiento</w:t>
            </w:r>
            <w:r>
              <w:rPr>
                <w:spacing w:val="-3"/>
                <w:sz w:val="20"/>
              </w:rPr>
              <w:t> </w:t>
            </w:r>
            <w:r>
              <w:rPr>
                <w:sz w:val="20"/>
              </w:rPr>
              <w:t>o</w:t>
            </w:r>
            <w:r>
              <w:rPr>
                <w:spacing w:val="-1"/>
                <w:sz w:val="20"/>
              </w:rPr>
              <w:t> </w:t>
            </w:r>
            <w:r>
              <w:rPr>
                <w:sz w:val="20"/>
              </w:rPr>
              <w:t>generadas</w:t>
            </w:r>
            <w:r>
              <w:rPr>
                <w:spacing w:val="-2"/>
                <w:sz w:val="20"/>
              </w:rPr>
              <w:t> </w:t>
            </w:r>
            <w:r>
              <w:rPr>
                <w:sz w:val="20"/>
              </w:rPr>
              <w:t>por</w:t>
            </w:r>
            <w:r>
              <w:rPr>
                <w:spacing w:val="-2"/>
                <w:sz w:val="20"/>
              </w:rPr>
              <w:t> </w:t>
            </w:r>
            <w:r>
              <w:rPr>
                <w:sz w:val="20"/>
              </w:rPr>
              <w:t>el</w:t>
            </w:r>
            <w:r>
              <w:rPr>
                <w:spacing w:val="-4"/>
                <w:sz w:val="20"/>
              </w:rPr>
              <w:t> </w:t>
            </w:r>
            <w:r>
              <w:rPr>
                <w:sz w:val="20"/>
              </w:rPr>
              <w:t>propio</w:t>
            </w:r>
            <w:r>
              <w:rPr>
                <w:spacing w:val="-3"/>
                <w:sz w:val="20"/>
              </w:rPr>
              <w:t> </w:t>
            </w:r>
            <w:r>
              <w:rPr>
                <w:sz w:val="20"/>
              </w:rPr>
              <w:t>tumor</w:t>
            </w:r>
            <w:r>
              <w:rPr>
                <w:spacing w:val="-4"/>
                <w:sz w:val="20"/>
              </w:rPr>
              <w:t> </w:t>
            </w:r>
            <w:r>
              <w:rPr>
                <w:sz w:val="20"/>
              </w:rPr>
              <w:t>en</w:t>
            </w:r>
            <w:r>
              <w:rPr>
                <w:spacing w:val="-4"/>
                <w:sz w:val="20"/>
              </w:rPr>
              <w:t> </w:t>
            </w:r>
            <w:r>
              <w:rPr>
                <w:sz w:val="20"/>
              </w:rPr>
              <w:t>relación</w:t>
            </w:r>
            <w:r>
              <w:rPr>
                <w:spacing w:val="-4"/>
                <w:sz w:val="20"/>
              </w:rPr>
              <w:t> </w:t>
            </w:r>
            <w:r>
              <w:rPr>
                <w:sz w:val="20"/>
              </w:rPr>
              <w:t>con</w:t>
            </w:r>
            <w:r>
              <w:rPr>
                <w:spacing w:val="-3"/>
                <w:sz w:val="20"/>
              </w:rPr>
              <w:t> </w:t>
            </w:r>
            <w:r>
              <w:rPr>
                <w:sz w:val="20"/>
              </w:rPr>
              <w:t>el desempeño de su trabajo, el numeral en que se ubica el resultado de la valoración de la persona trabajadora y se hace un ajuste entre ambas columnas para encontrar el porcentaje que le corresponde.</w:t>
            </w:r>
          </w:p>
        </w:tc>
        <w:tc>
          <w:tcPr>
            <w:tcW w:w="1553" w:type="dxa"/>
          </w:tcPr>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0"/>
              <w:jc w:val="left"/>
              <w:rPr>
                <w:rFonts w:ascii="Arial"/>
                <w:b/>
                <w:sz w:val="20"/>
              </w:rPr>
            </w:pPr>
          </w:p>
          <w:p>
            <w:pPr>
              <w:pStyle w:val="TableParagraph"/>
              <w:spacing w:line="240" w:lineRule="auto"/>
              <w:ind w:left="9"/>
              <w:rPr>
                <w:sz w:val="20"/>
              </w:rPr>
            </w:pPr>
            <w:r>
              <w:rPr>
                <w:spacing w:val="-2"/>
                <w:sz w:val="20"/>
              </w:rPr>
              <w:t>-</w:t>
            </w:r>
            <w:r>
              <w:rPr>
                <w:spacing w:val="-12"/>
                <w:sz w:val="20"/>
              </w:rPr>
              <w:t>-</w:t>
            </w:r>
          </w:p>
        </w:tc>
      </w:tr>
    </w:tbl>
    <w:p>
      <w:pPr>
        <w:pStyle w:val="TableParagraph"/>
        <w:spacing w:after="0" w:line="240" w:lineRule="auto"/>
        <w:rPr>
          <w:sz w:val="20"/>
        </w:rPr>
        <w:sectPr>
          <w:pgSz w:w="12240" w:h="15840"/>
          <w:pgMar w:header="724" w:footer="712" w:top="1880" w:bottom="900" w:left="1080" w:right="1080"/>
        </w:sectPr>
      </w:pPr>
    </w:p>
    <w:p>
      <w:pPr>
        <w:pStyle w:val="BodyText"/>
        <w:spacing w:before="68"/>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31"/>
        <w:gridCol w:w="1553"/>
      </w:tblGrid>
      <w:tr>
        <w:trPr>
          <w:trHeight w:val="1148" w:hRule="atLeast"/>
        </w:trPr>
        <w:tc>
          <w:tcPr>
            <w:tcW w:w="1066" w:type="dxa"/>
          </w:tcPr>
          <w:p>
            <w:pPr>
              <w:pStyle w:val="TableParagraph"/>
              <w:spacing w:line="240" w:lineRule="auto"/>
              <w:ind w:left="0"/>
              <w:jc w:val="left"/>
              <w:rPr>
                <w:rFonts w:ascii="Times New Roman"/>
                <w:sz w:val="18"/>
              </w:rPr>
            </w:pPr>
          </w:p>
        </w:tc>
        <w:tc>
          <w:tcPr>
            <w:tcW w:w="6931" w:type="dxa"/>
          </w:tcPr>
          <w:p>
            <w:pPr>
              <w:pStyle w:val="TableParagraph"/>
              <w:spacing w:line="240" w:lineRule="auto"/>
              <w:ind w:right="57"/>
              <w:jc w:val="both"/>
              <w:rPr>
                <w:sz w:val="20"/>
              </w:rPr>
            </w:pPr>
            <w:r>
              <w:rPr>
                <w:sz w:val="20"/>
              </w:rPr>
              <w:t>En el ejemplo tenemos que según la Tabla XII, el cáncer de colon se ubica en el numeral 3, y de acuerdo con su valoración de la categorización funcional, se identifica que corresponde al numeral 1 de la Tabla XII, y haciendo</w:t>
            </w:r>
            <w:r>
              <w:rPr>
                <w:spacing w:val="34"/>
                <w:sz w:val="20"/>
              </w:rPr>
              <w:t> </w:t>
            </w:r>
            <w:r>
              <w:rPr>
                <w:sz w:val="20"/>
              </w:rPr>
              <w:t>la</w:t>
            </w:r>
            <w:r>
              <w:rPr>
                <w:spacing w:val="34"/>
                <w:sz w:val="20"/>
              </w:rPr>
              <w:t> </w:t>
            </w:r>
            <w:r>
              <w:rPr>
                <w:sz w:val="20"/>
              </w:rPr>
              <w:t>búsqueda</w:t>
            </w:r>
            <w:r>
              <w:rPr>
                <w:spacing w:val="34"/>
                <w:sz w:val="20"/>
              </w:rPr>
              <w:t> </w:t>
            </w:r>
            <w:r>
              <w:rPr>
                <w:sz w:val="20"/>
              </w:rPr>
              <w:t>de</w:t>
            </w:r>
            <w:r>
              <w:rPr>
                <w:spacing w:val="34"/>
                <w:sz w:val="20"/>
              </w:rPr>
              <w:t> </w:t>
            </w:r>
            <w:r>
              <w:rPr>
                <w:sz w:val="20"/>
              </w:rPr>
              <w:t>la</w:t>
            </w:r>
            <w:r>
              <w:rPr>
                <w:spacing w:val="34"/>
                <w:sz w:val="20"/>
              </w:rPr>
              <w:t> </w:t>
            </w:r>
            <w:r>
              <w:rPr>
                <w:sz w:val="20"/>
              </w:rPr>
              <w:t>intersección</w:t>
            </w:r>
            <w:r>
              <w:rPr>
                <w:spacing w:val="34"/>
                <w:sz w:val="20"/>
              </w:rPr>
              <w:t> </w:t>
            </w:r>
            <w:r>
              <w:rPr>
                <w:sz w:val="20"/>
              </w:rPr>
              <w:t>de</w:t>
            </w:r>
            <w:r>
              <w:rPr>
                <w:spacing w:val="39"/>
                <w:sz w:val="20"/>
              </w:rPr>
              <w:t> </w:t>
            </w:r>
            <w:r>
              <w:rPr>
                <w:sz w:val="20"/>
              </w:rPr>
              <w:t>ambos</w:t>
            </w:r>
            <w:r>
              <w:rPr>
                <w:spacing w:val="33"/>
                <w:sz w:val="20"/>
              </w:rPr>
              <w:t> </w:t>
            </w:r>
            <w:r>
              <w:rPr>
                <w:sz w:val="20"/>
              </w:rPr>
              <w:t>valores</w:t>
            </w:r>
            <w:r>
              <w:rPr>
                <w:spacing w:val="33"/>
                <w:sz w:val="20"/>
              </w:rPr>
              <w:t> </w:t>
            </w:r>
            <w:r>
              <w:rPr>
                <w:spacing w:val="-2"/>
                <w:sz w:val="20"/>
              </w:rPr>
              <w:t>encontramos</w:t>
            </w:r>
          </w:p>
          <w:p>
            <w:pPr>
              <w:pStyle w:val="TableParagraph"/>
              <w:jc w:val="both"/>
              <w:rPr>
                <w:sz w:val="20"/>
              </w:rPr>
            </w:pPr>
            <w:r>
              <w:rPr>
                <w:sz w:val="20"/>
              </w:rPr>
              <w:t>que</w:t>
            </w:r>
            <w:r>
              <w:rPr>
                <w:spacing w:val="-5"/>
                <w:sz w:val="20"/>
              </w:rPr>
              <w:t> </w:t>
            </w:r>
            <w:r>
              <w:rPr>
                <w:sz w:val="20"/>
              </w:rPr>
              <w:t>el</w:t>
            </w:r>
            <w:r>
              <w:rPr>
                <w:spacing w:val="-6"/>
                <w:sz w:val="20"/>
              </w:rPr>
              <w:t> </w:t>
            </w:r>
            <w:r>
              <w:rPr>
                <w:sz w:val="20"/>
              </w:rPr>
              <w:t>resultado</w:t>
            </w:r>
            <w:r>
              <w:rPr>
                <w:spacing w:val="-7"/>
                <w:sz w:val="20"/>
              </w:rPr>
              <w:t> </w:t>
            </w:r>
            <w:r>
              <w:rPr>
                <w:sz w:val="20"/>
              </w:rPr>
              <w:t>sería</w:t>
            </w:r>
            <w:r>
              <w:rPr>
                <w:spacing w:val="-4"/>
                <w:sz w:val="20"/>
              </w:rPr>
              <w:t> </w:t>
            </w:r>
            <w:r>
              <w:rPr>
                <w:sz w:val="20"/>
              </w:rPr>
              <w:t>de</w:t>
            </w:r>
            <w:r>
              <w:rPr>
                <w:spacing w:val="-5"/>
                <w:sz w:val="20"/>
              </w:rPr>
              <w:t> </w:t>
            </w:r>
            <w:r>
              <w:rPr>
                <w:sz w:val="20"/>
              </w:rPr>
              <w:t>70%</w:t>
            </w:r>
            <w:r>
              <w:rPr>
                <w:spacing w:val="-6"/>
                <w:sz w:val="20"/>
              </w:rPr>
              <w:t> </w:t>
            </w:r>
            <w:r>
              <w:rPr>
                <w:sz w:val="20"/>
              </w:rPr>
              <w:t>de</w:t>
            </w:r>
            <w:r>
              <w:rPr>
                <w:spacing w:val="-5"/>
                <w:sz w:val="20"/>
              </w:rPr>
              <w:t> </w:t>
            </w:r>
            <w:r>
              <w:rPr>
                <w:sz w:val="20"/>
              </w:rPr>
              <w:t>acuerdo</w:t>
            </w:r>
            <w:r>
              <w:rPr>
                <w:spacing w:val="-6"/>
                <w:sz w:val="20"/>
              </w:rPr>
              <w:t> </w:t>
            </w:r>
            <w:r>
              <w:rPr>
                <w:sz w:val="20"/>
              </w:rPr>
              <w:t>con</w:t>
            </w:r>
            <w:r>
              <w:rPr>
                <w:spacing w:val="-5"/>
                <w:sz w:val="20"/>
              </w:rPr>
              <w:t> </w:t>
            </w:r>
            <w:r>
              <w:rPr>
                <w:sz w:val="20"/>
              </w:rPr>
              <w:t>la</w:t>
            </w:r>
            <w:r>
              <w:rPr>
                <w:spacing w:val="-6"/>
                <w:sz w:val="20"/>
              </w:rPr>
              <w:t> </w:t>
            </w:r>
            <w:r>
              <w:rPr>
                <w:sz w:val="20"/>
              </w:rPr>
              <w:t>Tabla</w:t>
            </w:r>
            <w:r>
              <w:rPr>
                <w:spacing w:val="-6"/>
                <w:sz w:val="20"/>
              </w:rPr>
              <w:t> </w:t>
            </w:r>
            <w:r>
              <w:rPr>
                <w:spacing w:val="-2"/>
                <w:sz w:val="20"/>
              </w:rPr>
              <w:t>XIII.</w:t>
            </w:r>
          </w:p>
        </w:tc>
        <w:tc>
          <w:tcPr>
            <w:tcW w:w="1553" w:type="dxa"/>
          </w:tcPr>
          <w:p>
            <w:pPr>
              <w:pStyle w:val="TableParagraph"/>
              <w:spacing w:line="240" w:lineRule="auto"/>
              <w:ind w:left="0"/>
              <w:jc w:val="left"/>
              <w:rPr>
                <w:rFonts w:ascii="Times New Roman"/>
                <w:sz w:val="18"/>
              </w:rPr>
            </w:pPr>
          </w:p>
        </w:tc>
      </w:tr>
    </w:tbl>
    <w:p>
      <w:pPr>
        <w:pStyle w:val="BodyText"/>
        <w:spacing w:after="1"/>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48"/>
        <w:gridCol w:w="1561"/>
        <w:gridCol w:w="6141"/>
      </w:tblGrid>
      <w:tr>
        <w:trPr>
          <w:trHeight w:val="690" w:hRule="atLeast"/>
        </w:trPr>
        <w:tc>
          <w:tcPr>
            <w:tcW w:w="9550" w:type="dxa"/>
            <w:gridSpan w:val="3"/>
            <w:shd w:val="clear" w:color="auto" w:fill="C0C0C0"/>
          </w:tcPr>
          <w:p>
            <w:pPr>
              <w:pStyle w:val="TableParagraph"/>
              <w:spacing w:line="227" w:lineRule="exact"/>
              <w:ind w:left="13" w:right="3"/>
              <w:rPr>
                <w:rFonts w:ascii="Arial"/>
                <w:b/>
                <w:sz w:val="20"/>
              </w:rPr>
            </w:pPr>
            <w:r>
              <w:rPr>
                <w:rFonts w:ascii="Arial"/>
                <w:b/>
                <w:sz w:val="20"/>
              </w:rPr>
              <w:t>Tabla</w:t>
            </w:r>
            <w:r>
              <w:rPr>
                <w:rFonts w:ascii="Arial"/>
                <w:b/>
                <w:spacing w:val="-8"/>
                <w:sz w:val="20"/>
              </w:rPr>
              <w:t> </w:t>
            </w:r>
            <w:r>
              <w:rPr>
                <w:rFonts w:ascii="Arial"/>
                <w:b/>
                <w:spacing w:val="-5"/>
                <w:sz w:val="20"/>
              </w:rPr>
              <w:t>XI</w:t>
            </w:r>
          </w:p>
          <w:p>
            <w:pPr>
              <w:pStyle w:val="TableParagraph"/>
              <w:spacing w:line="240" w:lineRule="auto"/>
              <w:ind w:left="0"/>
              <w:jc w:val="left"/>
              <w:rPr>
                <w:rFonts w:ascii="Arial"/>
                <w:b/>
                <w:sz w:val="20"/>
              </w:rPr>
            </w:pPr>
          </w:p>
          <w:p>
            <w:pPr>
              <w:pStyle w:val="TableParagraph"/>
              <w:spacing w:line="213" w:lineRule="exact" w:before="1"/>
              <w:ind w:left="13" w:right="11"/>
              <w:rPr>
                <w:rFonts w:ascii="Arial" w:hAnsi="Arial"/>
                <w:b/>
                <w:sz w:val="20"/>
              </w:rPr>
            </w:pPr>
            <w:r>
              <w:rPr>
                <w:rFonts w:ascii="Arial" w:hAnsi="Arial"/>
                <w:b/>
                <w:sz w:val="20"/>
              </w:rPr>
              <w:t>Categorización</w:t>
            </w:r>
            <w:r>
              <w:rPr>
                <w:rFonts w:ascii="Arial" w:hAnsi="Arial"/>
                <w:b/>
                <w:spacing w:val="-8"/>
                <w:sz w:val="20"/>
              </w:rPr>
              <w:t> </w:t>
            </w:r>
            <w:r>
              <w:rPr>
                <w:rFonts w:ascii="Arial" w:hAnsi="Arial"/>
                <w:b/>
                <w:sz w:val="20"/>
              </w:rPr>
              <w:t>de</w:t>
            </w:r>
            <w:r>
              <w:rPr>
                <w:rFonts w:ascii="Arial" w:hAnsi="Arial"/>
                <w:b/>
                <w:spacing w:val="-8"/>
                <w:sz w:val="20"/>
              </w:rPr>
              <w:t> </w:t>
            </w:r>
            <w:r>
              <w:rPr>
                <w:rFonts w:ascii="Arial" w:hAnsi="Arial"/>
                <w:b/>
                <w:sz w:val="20"/>
              </w:rPr>
              <w:t>las</w:t>
            </w:r>
            <w:r>
              <w:rPr>
                <w:rFonts w:ascii="Arial" w:hAnsi="Arial"/>
                <w:b/>
                <w:spacing w:val="-8"/>
                <w:sz w:val="20"/>
              </w:rPr>
              <w:t> </w:t>
            </w:r>
            <w:r>
              <w:rPr>
                <w:rFonts w:ascii="Arial" w:hAnsi="Arial"/>
                <w:b/>
                <w:sz w:val="20"/>
              </w:rPr>
              <w:t>neoplasias</w:t>
            </w:r>
            <w:r>
              <w:rPr>
                <w:rFonts w:ascii="Arial" w:hAnsi="Arial"/>
                <w:b/>
                <w:spacing w:val="-8"/>
                <w:sz w:val="20"/>
              </w:rPr>
              <w:t> </w:t>
            </w:r>
            <w:r>
              <w:rPr>
                <w:rFonts w:ascii="Arial" w:hAnsi="Arial"/>
                <w:b/>
                <w:sz w:val="20"/>
              </w:rPr>
              <w:t>de</w:t>
            </w:r>
            <w:r>
              <w:rPr>
                <w:rFonts w:ascii="Arial" w:hAnsi="Arial"/>
                <w:b/>
                <w:spacing w:val="-8"/>
                <w:sz w:val="20"/>
              </w:rPr>
              <w:t> </w:t>
            </w:r>
            <w:r>
              <w:rPr>
                <w:rFonts w:ascii="Arial" w:hAnsi="Arial"/>
                <w:b/>
                <w:sz w:val="20"/>
              </w:rPr>
              <w:t>acuerdo</w:t>
            </w:r>
            <w:r>
              <w:rPr>
                <w:rFonts w:ascii="Arial" w:hAnsi="Arial"/>
                <w:b/>
                <w:spacing w:val="-5"/>
                <w:sz w:val="20"/>
              </w:rPr>
              <w:t> </w:t>
            </w:r>
            <w:r>
              <w:rPr>
                <w:rFonts w:ascii="Arial" w:hAnsi="Arial"/>
                <w:b/>
                <w:sz w:val="20"/>
              </w:rPr>
              <w:t>con</w:t>
            </w:r>
            <w:r>
              <w:rPr>
                <w:rFonts w:ascii="Arial" w:hAnsi="Arial"/>
                <w:b/>
                <w:spacing w:val="-5"/>
                <w:sz w:val="20"/>
              </w:rPr>
              <w:t> </w:t>
            </w:r>
            <w:r>
              <w:rPr>
                <w:rFonts w:ascii="Arial" w:hAnsi="Arial"/>
                <w:b/>
                <w:sz w:val="20"/>
              </w:rPr>
              <w:t>su</w:t>
            </w:r>
            <w:r>
              <w:rPr>
                <w:rFonts w:ascii="Arial" w:hAnsi="Arial"/>
                <w:b/>
                <w:spacing w:val="-8"/>
                <w:sz w:val="20"/>
              </w:rPr>
              <w:t> </w:t>
            </w:r>
            <w:r>
              <w:rPr>
                <w:rFonts w:ascii="Arial" w:hAnsi="Arial"/>
                <w:b/>
                <w:sz w:val="20"/>
              </w:rPr>
              <w:t>agresividad</w:t>
            </w:r>
            <w:r>
              <w:rPr>
                <w:rFonts w:ascii="Arial" w:hAnsi="Arial"/>
                <w:b/>
                <w:spacing w:val="-8"/>
                <w:sz w:val="20"/>
              </w:rPr>
              <w:t> </w:t>
            </w:r>
            <w:r>
              <w:rPr>
                <w:rFonts w:ascii="Arial" w:hAnsi="Arial"/>
                <w:b/>
                <w:sz w:val="20"/>
              </w:rPr>
              <w:t>según</w:t>
            </w:r>
            <w:r>
              <w:rPr>
                <w:rFonts w:ascii="Arial" w:hAnsi="Arial"/>
                <w:b/>
                <w:spacing w:val="-5"/>
                <w:sz w:val="20"/>
              </w:rPr>
              <w:t> </w:t>
            </w:r>
            <w:r>
              <w:rPr>
                <w:rFonts w:ascii="Arial" w:hAnsi="Arial"/>
                <w:b/>
                <w:sz w:val="20"/>
              </w:rPr>
              <w:t>sobrevida</w:t>
            </w:r>
            <w:r>
              <w:rPr>
                <w:rFonts w:ascii="Arial" w:hAnsi="Arial"/>
                <w:b/>
                <w:spacing w:val="-8"/>
                <w:sz w:val="20"/>
              </w:rPr>
              <w:t> </w:t>
            </w:r>
            <w:r>
              <w:rPr>
                <w:rFonts w:ascii="Arial" w:hAnsi="Arial"/>
                <w:b/>
                <w:sz w:val="20"/>
              </w:rPr>
              <w:t>a</w:t>
            </w:r>
            <w:r>
              <w:rPr>
                <w:rFonts w:ascii="Arial" w:hAnsi="Arial"/>
                <w:b/>
                <w:spacing w:val="-8"/>
                <w:sz w:val="20"/>
              </w:rPr>
              <w:t> </w:t>
            </w:r>
            <w:r>
              <w:rPr>
                <w:rFonts w:ascii="Arial" w:hAnsi="Arial"/>
                <w:b/>
                <w:sz w:val="20"/>
              </w:rPr>
              <w:t>cinco</w:t>
            </w:r>
            <w:r>
              <w:rPr>
                <w:rFonts w:ascii="Arial" w:hAnsi="Arial"/>
                <w:b/>
                <w:spacing w:val="-7"/>
                <w:sz w:val="20"/>
              </w:rPr>
              <w:t> </w:t>
            </w:r>
            <w:r>
              <w:rPr>
                <w:rFonts w:ascii="Arial" w:hAnsi="Arial"/>
                <w:b/>
                <w:spacing w:val="-4"/>
                <w:sz w:val="20"/>
              </w:rPr>
              <w:t>años</w:t>
            </w:r>
          </w:p>
        </w:tc>
      </w:tr>
      <w:tr>
        <w:trPr>
          <w:trHeight w:val="229" w:hRule="atLeast"/>
        </w:trPr>
        <w:tc>
          <w:tcPr>
            <w:tcW w:w="1848" w:type="dxa"/>
            <w:shd w:val="clear" w:color="auto" w:fill="C0C0C0"/>
          </w:tcPr>
          <w:p>
            <w:pPr>
              <w:pStyle w:val="TableParagraph"/>
              <w:ind w:left="14" w:right="6"/>
              <w:rPr>
                <w:rFonts w:ascii="Arial"/>
                <w:b/>
                <w:sz w:val="20"/>
              </w:rPr>
            </w:pPr>
            <w:r>
              <w:rPr>
                <w:rFonts w:ascii="Arial"/>
                <w:b/>
                <w:spacing w:val="-2"/>
                <w:sz w:val="20"/>
              </w:rPr>
              <w:t>Agresividad</w:t>
            </w:r>
          </w:p>
        </w:tc>
        <w:tc>
          <w:tcPr>
            <w:tcW w:w="1561" w:type="dxa"/>
            <w:shd w:val="clear" w:color="auto" w:fill="C0C0C0"/>
          </w:tcPr>
          <w:p>
            <w:pPr>
              <w:pStyle w:val="TableParagraph"/>
              <w:ind w:left="11" w:right="4"/>
              <w:rPr>
                <w:rFonts w:ascii="Arial"/>
                <w:b/>
                <w:sz w:val="20"/>
              </w:rPr>
            </w:pPr>
            <w:r>
              <w:rPr>
                <w:rFonts w:ascii="Arial"/>
                <w:b/>
                <w:spacing w:val="-2"/>
                <w:sz w:val="20"/>
              </w:rPr>
              <w:t>Sobrevida</w:t>
            </w:r>
          </w:p>
        </w:tc>
        <w:tc>
          <w:tcPr>
            <w:tcW w:w="6141" w:type="dxa"/>
            <w:shd w:val="clear" w:color="auto" w:fill="C0C0C0"/>
          </w:tcPr>
          <w:p>
            <w:pPr>
              <w:pStyle w:val="TableParagraph"/>
              <w:ind w:left="7"/>
              <w:rPr>
                <w:rFonts w:ascii="Arial"/>
                <w:b/>
                <w:sz w:val="20"/>
              </w:rPr>
            </w:pPr>
            <w:r>
              <w:rPr>
                <w:rFonts w:ascii="Arial"/>
                <w:b/>
                <w:sz w:val="20"/>
              </w:rPr>
              <w:t>Tipo</w:t>
            </w:r>
            <w:r>
              <w:rPr>
                <w:rFonts w:ascii="Arial"/>
                <w:b/>
                <w:spacing w:val="-3"/>
                <w:sz w:val="20"/>
              </w:rPr>
              <w:t> </w:t>
            </w:r>
            <w:r>
              <w:rPr>
                <w:rFonts w:ascii="Arial"/>
                <w:b/>
                <w:sz w:val="20"/>
              </w:rPr>
              <w:t>de</w:t>
            </w:r>
            <w:r>
              <w:rPr>
                <w:rFonts w:ascii="Arial"/>
                <w:b/>
                <w:spacing w:val="-4"/>
                <w:sz w:val="20"/>
              </w:rPr>
              <w:t> </w:t>
            </w:r>
            <w:r>
              <w:rPr>
                <w:rFonts w:ascii="Arial"/>
                <w:b/>
                <w:spacing w:val="-2"/>
                <w:sz w:val="20"/>
              </w:rPr>
              <w:t>Neoplasia</w:t>
            </w:r>
          </w:p>
        </w:tc>
      </w:tr>
      <w:tr>
        <w:trPr>
          <w:trHeight w:val="229" w:hRule="atLeast"/>
        </w:trPr>
        <w:tc>
          <w:tcPr>
            <w:tcW w:w="1848" w:type="dxa"/>
          </w:tcPr>
          <w:p>
            <w:pPr>
              <w:pStyle w:val="TableParagraph"/>
              <w:ind w:left="14"/>
              <w:rPr>
                <w:rFonts w:ascii="Arial"/>
                <w:b/>
                <w:sz w:val="20"/>
              </w:rPr>
            </w:pPr>
            <w:r>
              <w:rPr>
                <w:rFonts w:ascii="Arial"/>
                <w:b/>
                <w:spacing w:val="-10"/>
                <w:sz w:val="20"/>
              </w:rPr>
              <w:t>1</w:t>
            </w:r>
          </w:p>
        </w:tc>
        <w:tc>
          <w:tcPr>
            <w:tcW w:w="1561" w:type="dxa"/>
          </w:tcPr>
          <w:p>
            <w:pPr>
              <w:pStyle w:val="TableParagraph"/>
              <w:ind w:left="11"/>
              <w:rPr>
                <w:sz w:val="20"/>
              </w:rPr>
            </w:pPr>
            <w:r>
              <w:rPr>
                <w:spacing w:val="-2"/>
                <w:sz w:val="20"/>
              </w:rPr>
              <w:t>90-</w:t>
            </w:r>
            <w:r>
              <w:rPr>
                <w:spacing w:val="-5"/>
                <w:sz w:val="20"/>
              </w:rPr>
              <w:t>100</w:t>
            </w:r>
          </w:p>
        </w:tc>
        <w:tc>
          <w:tcPr>
            <w:tcW w:w="6141" w:type="dxa"/>
          </w:tcPr>
          <w:p>
            <w:pPr>
              <w:pStyle w:val="TableParagraph"/>
              <w:jc w:val="left"/>
              <w:rPr>
                <w:sz w:val="20"/>
              </w:rPr>
            </w:pPr>
            <w:r>
              <w:rPr>
                <w:sz w:val="20"/>
              </w:rPr>
              <w:t>Cáncer</w:t>
            </w:r>
            <w:r>
              <w:rPr>
                <w:spacing w:val="-7"/>
                <w:sz w:val="20"/>
              </w:rPr>
              <w:t> </w:t>
            </w:r>
            <w:r>
              <w:rPr>
                <w:sz w:val="20"/>
              </w:rPr>
              <w:t>de</w:t>
            </w:r>
            <w:r>
              <w:rPr>
                <w:spacing w:val="-6"/>
                <w:sz w:val="20"/>
              </w:rPr>
              <w:t> </w:t>
            </w:r>
            <w:r>
              <w:rPr>
                <w:sz w:val="20"/>
              </w:rPr>
              <w:t>tiroides</w:t>
            </w:r>
            <w:r>
              <w:rPr>
                <w:spacing w:val="-5"/>
                <w:sz w:val="20"/>
              </w:rPr>
              <w:t> </w:t>
            </w:r>
            <w:r>
              <w:rPr>
                <w:sz w:val="20"/>
              </w:rPr>
              <w:t>papilar</w:t>
            </w:r>
            <w:r>
              <w:rPr>
                <w:spacing w:val="-3"/>
                <w:sz w:val="20"/>
              </w:rPr>
              <w:t> </w:t>
            </w:r>
            <w:r>
              <w:rPr>
                <w:sz w:val="20"/>
              </w:rPr>
              <w:t>y</w:t>
            </w:r>
            <w:r>
              <w:rPr>
                <w:spacing w:val="-7"/>
                <w:sz w:val="20"/>
              </w:rPr>
              <w:t> </w:t>
            </w:r>
            <w:r>
              <w:rPr>
                <w:sz w:val="20"/>
              </w:rPr>
              <w:t>folicular,</w:t>
            </w:r>
            <w:r>
              <w:rPr>
                <w:spacing w:val="-3"/>
                <w:sz w:val="20"/>
              </w:rPr>
              <w:t> </w:t>
            </w:r>
            <w:r>
              <w:rPr>
                <w:sz w:val="20"/>
              </w:rPr>
              <w:t>y</w:t>
            </w:r>
            <w:r>
              <w:rPr>
                <w:spacing w:val="-9"/>
                <w:sz w:val="20"/>
              </w:rPr>
              <w:t> </w:t>
            </w:r>
            <w:r>
              <w:rPr>
                <w:sz w:val="20"/>
              </w:rPr>
              <w:t>cáncer</w:t>
            </w:r>
            <w:r>
              <w:rPr>
                <w:spacing w:val="-6"/>
                <w:sz w:val="20"/>
              </w:rPr>
              <w:t> </w:t>
            </w:r>
            <w:r>
              <w:rPr>
                <w:sz w:val="20"/>
              </w:rPr>
              <w:t>de</w:t>
            </w:r>
            <w:r>
              <w:rPr>
                <w:spacing w:val="-4"/>
                <w:sz w:val="20"/>
              </w:rPr>
              <w:t> </w:t>
            </w:r>
            <w:r>
              <w:rPr>
                <w:sz w:val="20"/>
              </w:rPr>
              <w:t>piel</w:t>
            </w:r>
            <w:r>
              <w:rPr>
                <w:spacing w:val="-7"/>
                <w:sz w:val="20"/>
              </w:rPr>
              <w:t> </w:t>
            </w:r>
            <w:r>
              <w:rPr>
                <w:spacing w:val="-2"/>
                <w:sz w:val="20"/>
              </w:rPr>
              <w:t>(labio).</w:t>
            </w:r>
          </w:p>
        </w:tc>
      </w:tr>
      <w:tr>
        <w:trPr>
          <w:trHeight w:val="460" w:hRule="atLeast"/>
        </w:trPr>
        <w:tc>
          <w:tcPr>
            <w:tcW w:w="1848" w:type="dxa"/>
          </w:tcPr>
          <w:p>
            <w:pPr>
              <w:pStyle w:val="TableParagraph"/>
              <w:spacing w:line="227" w:lineRule="exact"/>
              <w:ind w:left="14"/>
              <w:rPr>
                <w:rFonts w:ascii="Arial"/>
                <w:b/>
                <w:sz w:val="20"/>
              </w:rPr>
            </w:pPr>
            <w:r>
              <w:rPr>
                <w:rFonts w:ascii="Arial"/>
                <w:b/>
                <w:spacing w:val="-10"/>
                <w:sz w:val="20"/>
              </w:rPr>
              <w:t>2</w:t>
            </w:r>
          </w:p>
        </w:tc>
        <w:tc>
          <w:tcPr>
            <w:tcW w:w="1561" w:type="dxa"/>
          </w:tcPr>
          <w:p>
            <w:pPr>
              <w:pStyle w:val="TableParagraph"/>
              <w:spacing w:line="229" w:lineRule="exact"/>
              <w:ind w:left="11" w:right="2"/>
              <w:rPr>
                <w:sz w:val="20"/>
              </w:rPr>
            </w:pPr>
            <w:r>
              <w:rPr>
                <w:spacing w:val="-2"/>
                <w:sz w:val="20"/>
              </w:rPr>
              <w:t>61-</w:t>
            </w:r>
            <w:r>
              <w:rPr>
                <w:spacing w:val="-5"/>
                <w:sz w:val="20"/>
              </w:rPr>
              <w:t>89</w:t>
            </w:r>
          </w:p>
        </w:tc>
        <w:tc>
          <w:tcPr>
            <w:tcW w:w="6141" w:type="dxa"/>
          </w:tcPr>
          <w:p>
            <w:pPr>
              <w:pStyle w:val="TableParagraph"/>
              <w:spacing w:line="230" w:lineRule="exact"/>
              <w:jc w:val="left"/>
              <w:rPr>
                <w:sz w:val="20"/>
              </w:rPr>
            </w:pPr>
            <w:r>
              <w:rPr>
                <w:sz w:val="20"/>
              </w:rPr>
              <w:t>Cáncer</w:t>
            </w:r>
            <w:r>
              <w:rPr>
                <w:spacing w:val="-2"/>
                <w:sz w:val="20"/>
              </w:rPr>
              <w:t> </w:t>
            </w:r>
            <w:r>
              <w:rPr>
                <w:sz w:val="20"/>
              </w:rPr>
              <w:t>de</w:t>
            </w:r>
            <w:r>
              <w:rPr>
                <w:spacing w:val="-4"/>
                <w:sz w:val="20"/>
              </w:rPr>
              <w:t> </w:t>
            </w:r>
            <w:r>
              <w:rPr>
                <w:sz w:val="20"/>
              </w:rPr>
              <w:t>piel</w:t>
            </w:r>
            <w:r>
              <w:rPr>
                <w:spacing w:val="-4"/>
                <w:sz w:val="20"/>
              </w:rPr>
              <w:t> </w:t>
            </w:r>
            <w:r>
              <w:rPr>
                <w:sz w:val="20"/>
              </w:rPr>
              <w:t>(no</w:t>
            </w:r>
            <w:r>
              <w:rPr>
                <w:spacing w:val="-4"/>
                <w:sz w:val="20"/>
              </w:rPr>
              <w:t> </w:t>
            </w:r>
            <w:r>
              <w:rPr>
                <w:sz w:val="20"/>
              </w:rPr>
              <w:t>melanoma),</w:t>
            </w:r>
            <w:r>
              <w:rPr>
                <w:spacing w:val="-5"/>
                <w:sz w:val="20"/>
              </w:rPr>
              <w:t> </w:t>
            </w:r>
            <w:r>
              <w:rPr>
                <w:sz w:val="20"/>
              </w:rPr>
              <w:t>cáncer</w:t>
            </w:r>
            <w:r>
              <w:rPr>
                <w:spacing w:val="-2"/>
                <w:sz w:val="20"/>
              </w:rPr>
              <w:t> </w:t>
            </w:r>
            <w:r>
              <w:rPr>
                <w:sz w:val="20"/>
              </w:rPr>
              <w:t>de</w:t>
            </w:r>
            <w:r>
              <w:rPr>
                <w:spacing w:val="-4"/>
                <w:sz w:val="20"/>
              </w:rPr>
              <w:t> </w:t>
            </w:r>
            <w:r>
              <w:rPr>
                <w:sz w:val="20"/>
              </w:rPr>
              <w:t>hueso,</w:t>
            </w:r>
            <w:r>
              <w:rPr>
                <w:spacing w:val="-3"/>
                <w:sz w:val="20"/>
              </w:rPr>
              <w:t> </w:t>
            </w:r>
            <w:r>
              <w:rPr>
                <w:sz w:val="20"/>
              </w:rPr>
              <w:t>cáncer</w:t>
            </w:r>
            <w:r>
              <w:rPr>
                <w:spacing w:val="-2"/>
                <w:sz w:val="20"/>
              </w:rPr>
              <w:t> </w:t>
            </w:r>
            <w:r>
              <w:rPr>
                <w:sz w:val="20"/>
              </w:rPr>
              <w:t>de</w:t>
            </w:r>
            <w:r>
              <w:rPr>
                <w:spacing w:val="-4"/>
                <w:sz w:val="20"/>
              </w:rPr>
              <w:t> </w:t>
            </w:r>
            <w:r>
              <w:rPr>
                <w:sz w:val="20"/>
              </w:rPr>
              <w:t>laringe, cáncer tiroides medular, y leucemia linfoide.</w:t>
            </w:r>
          </w:p>
        </w:tc>
      </w:tr>
      <w:tr>
        <w:trPr>
          <w:trHeight w:val="918" w:hRule="atLeast"/>
        </w:trPr>
        <w:tc>
          <w:tcPr>
            <w:tcW w:w="1848" w:type="dxa"/>
          </w:tcPr>
          <w:p>
            <w:pPr>
              <w:pStyle w:val="TableParagraph"/>
              <w:spacing w:line="227" w:lineRule="exact"/>
              <w:ind w:left="14"/>
              <w:rPr>
                <w:rFonts w:ascii="Arial"/>
                <w:b/>
                <w:sz w:val="20"/>
              </w:rPr>
            </w:pPr>
            <w:r>
              <w:rPr>
                <w:rFonts w:ascii="Arial"/>
                <w:b/>
                <w:spacing w:val="-10"/>
                <w:sz w:val="20"/>
              </w:rPr>
              <w:t>3</w:t>
            </w:r>
          </w:p>
        </w:tc>
        <w:tc>
          <w:tcPr>
            <w:tcW w:w="1561" w:type="dxa"/>
          </w:tcPr>
          <w:p>
            <w:pPr>
              <w:pStyle w:val="TableParagraph"/>
              <w:spacing w:line="229" w:lineRule="exact"/>
              <w:ind w:left="11" w:right="2"/>
              <w:rPr>
                <w:sz w:val="20"/>
              </w:rPr>
            </w:pPr>
            <w:r>
              <w:rPr>
                <w:spacing w:val="-2"/>
                <w:sz w:val="20"/>
              </w:rPr>
              <w:t>30-</w:t>
            </w:r>
            <w:r>
              <w:rPr>
                <w:spacing w:val="-5"/>
                <w:sz w:val="20"/>
              </w:rPr>
              <w:t>60</w:t>
            </w:r>
          </w:p>
        </w:tc>
        <w:tc>
          <w:tcPr>
            <w:tcW w:w="6141" w:type="dxa"/>
          </w:tcPr>
          <w:p>
            <w:pPr>
              <w:pStyle w:val="TableParagraph"/>
              <w:spacing w:line="240" w:lineRule="auto"/>
              <w:jc w:val="left"/>
              <w:rPr>
                <w:sz w:val="20"/>
              </w:rPr>
            </w:pPr>
            <w:r>
              <w:rPr>
                <w:sz w:val="20"/>
              </w:rPr>
              <w:t>Cáncer de orofaringe, cáncer de colon, cáncer de vejiga urinaria,</w:t>
            </w:r>
            <w:r>
              <w:rPr>
                <w:spacing w:val="40"/>
                <w:sz w:val="20"/>
              </w:rPr>
              <w:t> </w:t>
            </w:r>
            <w:r>
              <w:rPr>
                <w:sz w:val="20"/>
              </w:rPr>
              <w:t>cáncer</w:t>
            </w:r>
            <w:r>
              <w:rPr>
                <w:spacing w:val="54"/>
                <w:sz w:val="20"/>
              </w:rPr>
              <w:t> </w:t>
            </w:r>
            <w:r>
              <w:rPr>
                <w:sz w:val="20"/>
              </w:rPr>
              <w:t>de</w:t>
            </w:r>
            <w:r>
              <w:rPr>
                <w:spacing w:val="52"/>
                <w:sz w:val="20"/>
              </w:rPr>
              <w:t> </w:t>
            </w:r>
            <w:r>
              <w:rPr>
                <w:sz w:val="20"/>
              </w:rPr>
              <w:t>senos</w:t>
            </w:r>
            <w:r>
              <w:rPr>
                <w:spacing w:val="54"/>
                <w:sz w:val="20"/>
              </w:rPr>
              <w:t> </w:t>
            </w:r>
            <w:r>
              <w:rPr>
                <w:sz w:val="20"/>
              </w:rPr>
              <w:t>paranasales,</w:t>
            </w:r>
            <w:r>
              <w:rPr>
                <w:spacing w:val="53"/>
                <w:sz w:val="20"/>
              </w:rPr>
              <w:t> </w:t>
            </w:r>
            <w:r>
              <w:rPr>
                <w:sz w:val="20"/>
              </w:rPr>
              <w:t>cáncer</w:t>
            </w:r>
            <w:r>
              <w:rPr>
                <w:spacing w:val="53"/>
                <w:sz w:val="20"/>
              </w:rPr>
              <w:t> </w:t>
            </w:r>
            <w:r>
              <w:rPr>
                <w:sz w:val="20"/>
              </w:rPr>
              <w:t>de</w:t>
            </w:r>
            <w:r>
              <w:rPr>
                <w:spacing w:val="55"/>
                <w:sz w:val="20"/>
              </w:rPr>
              <w:t> </w:t>
            </w:r>
            <w:r>
              <w:rPr>
                <w:sz w:val="20"/>
              </w:rPr>
              <w:t>escroto</w:t>
            </w:r>
            <w:r>
              <w:rPr>
                <w:spacing w:val="55"/>
                <w:sz w:val="20"/>
              </w:rPr>
              <w:t> </w:t>
            </w:r>
            <w:r>
              <w:rPr>
                <w:sz w:val="20"/>
              </w:rPr>
              <w:t>y</w:t>
            </w:r>
            <w:r>
              <w:rPr>
                <w:spacing w:val="50"/>
                <w:sz w:val="20"/>
              </w:rPr>
              <w:t> </w:t>
            </w:r>
            <w:r>
              <w:rPr>
                <w:spacing w:val="-2"/>
                <w:sz w:val="20"/>
              </w:rPr>
              <w:t>melanoma,</w:t>
            </w:r>
          </w:p>
          <w:p>
            <w:pPr>
              <w:pStyle w:val="TableParagraph"/>
              <w:spacing w:line="228" w:lineRule="exact"/>
              <w:jc w:val="left"/>
              <w:rPr>
                <w:sz w:val="20"/>
              </w:rPr>
            </w:pPr>
            <w:r>
              <w:rPr>
                <w:sz w:val="20"/>
              </w:rPr>
              <w:t>cáncer</w:t>
            </w:r>
            <w:r>
              <w:rPr>
                <w:spacing w:val="40"/>
                <w:sz w:val="20"/>
              </w:rPr>
              <w:t> </w:t>
            </w:r>
            <w:r>
              <w:rPr>
                <w:sz w:val="20"/>
              </w:rPr>
              <w:t>de</w:t>
            </w:r>
            <w:r>
              <w:rPr>
                <w:spacing w:val="40"/>
                <w:sz w:val="20"/>
              </w:rPr>
              <w:t> </w:t>
            </w:r>
            <w:r>
              <w:rPr>
                <w:sz w:val="20"/>
              </w:rPr>
              <w:t>tiroides</w:t>
            </w:r>
            <w:r>
              <w:rPr>
                <w:spacing w:val="40"/>
                <w:sz w:val="20"/>
              </w:rPr>
              <w:t> </w:t>
            </w:r>
            <w:r>
              <w:rPr>
                <w:sz w:val="20"/>
              </w:rPr>
              <w:t>indiferenciado,</w:t>
            </w:r>
            <w:r>
              <w:rPr>
                <w:spacing w:val="40"/>
                <w:sz w:val="20"/>
              </w:rPr>
              <w:t> </w:t>
            </w:r>
            <w:r>
              <w:rPr>
                <w:sz w:val="20"/>
              </w:rPr>
              <w:t>leucemia</w:t>
            </w:r>
            <w:r>
              <w:rPr>
                <w:spacing w:val="40"/>
                <w:sz w:val="20"/>
              </w:rPr>
              <w:t> </w:t>
            </w:r>
            <w:r>
              <w:rPr>
                <w:sz w:val="20"/>
              </w:rPr>
              <w:t>mieloide</w:t>
            </w:r>
            <w:r>
              <w:rPr>
                <w:spacing w:val="40"/>
                <w:sz w:val="20"/>
              </w:rPr>
              <w:t> </w:t>
            </w:r>
            <w:r>
              <w:rPr>
                <w:sz w:val="20"/>
              </w:rPr>
              <w:t>y</w:t>
            </w:r>
            <w:r>
              <w:rPr>
                <w:spacing w:val="40"/>
                <w:sz w:val="20"/>
              </w:rPr>
              <w:t> </w:t>
            </w:r>
            <w:r>
              <w:rPr>
                <w:sz w:val="20"/>
              </w:rPr>
              <w:t>leucemia monocítica aguda.</w:t>
            </w:r>
          </w:p>
        </w:tc>
      </w:tr>
      <w:tr>
        <w:trPr>
          <w:trHeight w:val="460" w:hRule="atLeast"/>
        </w:trPr>
        <w:tc>
          <w:tcPr>
            <w:tcW w:w="1848" w:type="dxa"/>
          </w:tcPr>
          <w:p>
            <w:pPr>
              <w:pStyle w:val="TableParagraph"/>
              <w:spacing w:line="227" w:lineRule="exact"/>
              <w:ind w:left="14"/>
              <w:rPr>
                <w:rFonts w:ascii="Arial"/>
                <w:b/>
                <w:sz w:val="20"/>
              </w:rPr>
            </w:pPr>
            <w:r>
              <w:rPr>
                <w:rFonts w:ascii="Arial"/>
                <w:b/>
                <w:spacing w:val="-10"/>
                <w:sz w:val="20"/>
              </w:rPr>
              <w:t>4</w:t>
            </w:r>
          </w:p>
        </w:tc>
        <w:tc>
          <w:tcPr>
            <w:tcW w:w="1561" w:type="dxa"/>
          </w:tcPr>
          <w:p>
            <w:pPr>
              <w:pStyle w:val="TableParagraph"/>
              <w:spacing w:line="229" w:lineRule="exact"/>
              <w:ind w:left="11" w:right="2"/>
              <w:rPr>
                <w:sz w:val="20"/>
              </w:rPr>
            </w:pPr>
            <w:r>
              <w:rPr>
                <w:spacing w:val="-2"/>
                <w:sz w:val="20"/>
              </w:rPr>
              <w:t>15-</w:t>
            </w:r>
            <w:r>
              <w:rPr>
                <w:spacing w:val="-5"/>
                <w:sz w:val="20"/>
              </w:rPr>
              <w:t>29</w:t>
            </w:r>
          </w:p>
        </w:tc>
        <w:tc>
          <w:tcPr>
            <w:tcW w:w="6141" w:type="dxa"/>
          </w:tcPr>
          <w:p>
            <w:pPr>
              <w:pStyle w:val="TableParagraph"/>
              <w:spacing w:line="230" w:lineRule="exact"/>
              <w:jc w:val="left"/>
              <w:rPr>
                <w:sz w:val="20"/>
              </w:rPr>
            </w:pPr>
            <w:r>
              <w:rPr>
                <w:sz w:val="20"/>
              </w:rPr>
              <w:t>Mieloma</w:t>
            </w:r>
            <w:r>
              <w:rPr>
                <w:spacing w:val="40"/>
                <w:sz w:val="20"/>
              </w:rPr>
              <w:t> </w:t>
            </w:r>
            <w:r>
              <w:rPr>
                <w:sz w:val="20"/>
              </w:rPr>
              <w:t>múltiple,</w:t>
            </w:r>
            <w:r>
              <w:rPr>
                <w:spacing w:val="40"/>
                <w:sz w:val="20"/>
              </w:rPr>
              <w:t> </w:t>
            </w:r>
            <w:r>
              <w:rPr>
                <w:sz w:val="20"/>
              </w:rPr>
              <w:t>leucemia</w:t>
            </w:r>
            <w:r>
              <w:rPr>
                <w:spacing w:val="40"/>
                <w:sz w:val="20"/>
              </w:rPr>
              <w:t> </w:t>
            </w:r>
            <w:r>
              <w:rPr>
                <w:sz w:val="20"/>
              </w:rPr>
              <w:t>de</w:t>
            </w:r>
            <w:r>
              <w:rPr>
                <w:spacing w:val="40"/>
                <w:sz w:val="20"/>
              </w:rPr>
              <w:t> </w:t>
            </w:r>
            <w:r>
              <w:rPr>
                <w:sz w:val="20"/>
              </w:rPr>
              <w:t>células</w:t>
            </w:r>
            <w:r>
              <w:rPr>
                <w:spacing w:val="40"/>
                <w:sz w:val="20"/>
              </w:rPr>
              <w:t> </w:t>
            </w:r>
            <w:r>
              <w:rPr>
                <w:sz w:val="20"/>
              </w:rPr>
              <w:t>plasmáticas</w:t>
            </w:r>
            <w:r>
              <w:rPr>
                <w:spacing w:val="40"/>
                <w:sz w:val="20"/>
              </w:rPr>
              <w:t> </w:t>
            </w:r>
            <w:r>
              <w:rPr>
                <w:sz w:val="20"/>
              </w:rPr>
              <w:t>y</w:t>
            </w:r>
            <w:r>
              <w:rPr>
                <w:spacing w:val="40"/>
                <w:sz w:val="20"/>
              </w:rPr>
              <w:t> </w:t>
            </w:r>
            <w:r>
              <w:rPr>
                <w:sz w:val="20"/>
              </w:rPr>
              <w:t>leucemia mieloide aguda.</w:t>
            </w:r>
          </w:p>
        </w:tc>
      </w:tr>
      <w:tr>
        <w:trPr>
          <w:trHeight w:val="1381" w:hRule="atLeast"/>
        </w:trPr>
        <w:tc>
          <w:tcPr>
            <w:tcW w:w="1848" w:type="dxa"/>
          </w:tcPr>
          <w:p>
            <w:pPr>
              <w:pStyle w:val="TableParagraph"/>
              <w:spacing w:line="227" w:lineRule="exact"/>
              <w:ind w:left="14"/>
              <w:rPr>
                <w:rFonts w:ascii="Arial"/>
                <w:b/>
                <w:sz w:val="20"/>
              </w:rPr>
            </w:pPr>
            <w:r>
              <w:rPr>
                <w:rFonts w:ascii="Arial"/>
                <w:b/>
                <w:spacing w:val="-10"/>
                <w:sz w:val="20"/>
              </w:rPr>
              <w:t>5</w:t>
            </w:r>
          </w:p>
        </w:tc>
        <w:tc>
          <w:tcPr>
            <w:tcW w:w="1561" w:type="dxa"/>
          </w:tcPr>
          <w:p>
            <w:pPr>
              <w:pStyle w:val="TableParagraph"/>
              <w:spacing w:line="229" w:lineRule="exact"/>
              <w:ind w:left="11" w:right="2"/>
              <w:rPr>
                <w:sz w:val="20"/>
              </w:rPr>
            </w:pPr>
            <w:r>
              <w:rPr>
                <w:spacing w:val="-2"/>
                <w:sz w:val="20"/>
              </w:rPr>
              <w:t>0-</w:t>
            </w:r>
            <w:r>
              <w:rPr>
                <w:spacing w:val="-5"/>
                <w:sz w:val="20"/>
              </w:rPr>
              <w:t>14</w:t>
            </w:r>
          </w:p>
        </w:tc>
        <w:tc>
          <w:tcPr>
            <w:tcW w:w="6141" w:type="dxa"/>
          </w:tcPr>
          <w:p>
            <w:pPr>
              <w:pStyle w:val="TableParagraph"/>
              <w:spacing w:line="230" w:lineRule="exact"/>
              <w:ind w:right="59"/>
              <w:jc w:val="both"/>
              <w:rPr>
                <w:sz w:val="20"/>
              </w:rPr>
            </w:pPr>
            <w:r>
              <w:rPr>
                <w:sz w:val="20"/>
              </w:rPr>
              <w:t>Cáncer broncopulmonar, cáncer de estómago, cáncer del tracto digestivo, cáncer del sistema nervioso central, mesotelioma pericárdico, mesotelioma peritoneal, mesotelioma pleural, tumor maligno de hígado y vías biliares intrahepáticas, angiosarcoma de hígado, cáncer del tracto digestivo (esófago) (tracto intestinal) y otras leucemias de tipo celular especificado.</w:t>
            </w:r>
          </w:p>
        </w:tc>
      </w:tr>
    </w:tbl>
    <w:p>
      <w:pPr>
        <w:pStyle w:val="BodyText"/>
        <w:spacing w:before="4"/>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39"/>
        <w:gridCol w:w="8809"/>
      </w:tblGrid>
      <w:tr>
        <w:trPr>
          <w:trHeight w:val="688" w:hRule="atLeast"/>
        </w:trPr>
        <w:tc>
          <w:tcPr>
            <w:tcW w:w="9548" w:type="dxa"/>
            <w:gridSpan w:val="2"/>
            <w:shd w:val="clear" w:color="auto" w:fill="C0C0C0"/>
          </w:tcPr>
          <w:p>
            <w:pPr>
              <w:pStyle w:val="TableParagraph"/>
              <w:spacing w:line="227" w:lineRule="exact"/>
              <w:ind w:left="13" w:right="3"/>
              <w:rPr>
                <w:rFonts w:ascii="Arial"/>
                <w:b/>
                <w:sz w:val="20"/>
              </w:rPr>
            </w:pPr>
            <w:r>
              <w:rPr>
                <w:rFonts w:ascii="Arial"/>
                <w:b/>
                <w:sz w:val="20"/>
              </w:rPr>
              <w:t>Tabla</w:t>
            </w:r>
            <w:r>
              <w:rPr>
                <w:rFonts w:ascii="Arial"/>
                <w:b/>
                <w:spacing w:val="-8"/>
                <w:sz w:val="20"/>
              </w:rPr>
              <w:t> </w:t>
            </w:r>
            <w:r>
              <w:rPr>
                <w:rFonts w:ascii="Arial"/>
                <w:b/>
                <w:spacing w:val="-5"/>
                <w:sz w:val="20"/>
              </w:rPr>
              <w:t>XII</w:t>
            </w:r>
          </w:p>
          <w:p>
            <w:pPr>
              <w:pStyle w:val="TableParagraph"/>
              <w:spacing w:line="213" w:lineRule="exact" w:before="229"/>
              <w:ind w:left="13" w:right="6"/>
              <w:rPr>
                <w:rFonts w:ascii="Arial" w:hAnsi="Arial"/>
                <w:b/>
                <w:sz w:val="20"/>
              </w:rPr>
            </w:pPr>
            <w:r>
              <w:rPr>
                <w:rFonts w:ascii="Arial" w:hAnsi="Arial"/>
                <w:b/>
                <w:sz w:val="20"/>
              </w:rPr>
              <w:t>Categorías</w:t>
            </w:r>
            <w:r>
              <w:rPr>
                <w:rFonts w:ascii="Arial" w:hAnsi="Arial"/>
                <w:b/>
                <w:spacing w:val="-8"/>
                <w:sz w:val="20"/>
              </w:rPr>
              <w:t> </w:t>
            </w:r>
            <w:r>
              <w:rPr>
                <w:rFonts w:ascii="Arial" w:hAnsi="Arial"/>
                <w:b/>
                <w:sz w:val="20"/>
              </w:rPr>
              <w:t>de</w:t>
            </w:r>
            <w:r>
              <w:rPr>
                <w:rFonts w:ascii="Arial" w:hAnsi="Arial"/>
                <w:b/>
                <w:spacing w:val="-5"/>
                <w:sz w:val="20"/>
              </w:rPr>
              <w:t> </w:t>
            </w:r>
            <w:r>
              <w:rPr>
                <w:rFonts w:ascii="Arial" w:hAnsi="Arial"/>
                <w:b/>
                <w:sz w:val="20"/>
              </w:rPr>
              <w:t>capacidad</w:t>
            </w:r>
            <w:r>
              <w:rPr>
                <w:rFonts w:ascii="Arial" w:hAnsi="Arial"/>
                <w:b/>
                <w:spacing w:val="-5"/>
                <w:sz w:val="20"/>
              </w:rPr>
              <w:t> </w:t>
            </w:r>
            <w:r>
              <w:rPr>
                <w:rFonts w:ascii="Arial" w:hAnsi="Arial"/>
                <w:b/>
                <w:sz w:val="20"/>
              </w:rPr>
              <w:t>funcional</w:t>
            </w:r>
            <w:r>
              <w:rPr>
                <w:rFonts w:ascii="Arial" w:hAnsi="Arial"/>
                <w:b/>
                <w:spacing w:val="-7"/>
                <w:sz w:val="20"/>
              </w:rPr>
              <w:t> </w:t>
            </w:r>
            <w:r>
              <w:rPr>
                <w:rFonts w:ascii="Arial" w:hAnsi="Arial"/>
                <w:b/>
                <w:sz w:val="20"/>
              </w:rPr>
              <w:t>en</w:t>
            </w:r>
            <w:r>
              <w:rPr>
                <w:rFonts w:ascii="Arial" w:hAnsi="Arial"/>
                <w:b/>
                <w:spacing w:val="-7"/>
                <w:sz w:val="20"/>
              </w:rPr>
              <w:t> </w:t>
            </w:r>
            <w:r>
              <w:rPr>
                <w:rFonts w:ascii="Arial" w:hAnsi="Arial"/>
                <w:b/>
                <w:sz w:val="20"/>
              </w:rPr>
              <w:t>relación</w:t>
            </w:r>
            <w:r>
              <w:rPr>
                <w:rFonts w:ascii="Arial" w:hAnsi="Arial"/>
                <w:b/>
                <w:spacing w:val="-6"/>
                <w:sz w:val="20"/>
              </w:rPr>
              <w:t> </w:t>
            </w:r>
            <w:r>
              <w:rPr>
                <w:rFonts w:ascii="Arial" w:hAnsi="Arial"/>
                <w:b/>
                <w:sz w:val="20"/>
              </w:rPr>
              <w:t>con</w:t>
            </w:r>
            <w:r>
              <w:rPr>
                <w:rFonts w:ascii="Arial" w:hAnsi="Arial"/>
                <w:b/>
                <w:spacing w:val="-5"/>
                <w:sz w:val="20"/>
              </w:rPr>
              <w:t> </w:t>
            </w:r>
            <w:r>
              <w:rPr>
                <w:rFonts w:ascii="Arial" w:hAnsi="Arial"/>
                <w:b/>
                <w:sz w:val="20"/>
              </w:rPr>
              <w:t>el</w:t>
            </w:r>
            <w:r>
              <w:rPr>
                <w:rFonts w:ascii="Arial" w:hAnsi="Arial"/>
                <w:b/>
                <w:spacing w:val="-7"/>
                <w:sz w:val="20"/>
              </w:rPr>
              <w:t> </w:t>
            </w:r>
            <w:r>
              <w:rPr>
                <w:rFonts w:ascii="Arial" w:hAnsi="Arial"/>
                <w:b/>
                <w:sz w:val="20"/>
              </w:rPr>
              <w:t>desempeño</w:t>
            </w:r>
            <w:r>
              <w:rPr>
                <w:rFonts w:ascii="Arial" w:hAnsi="Arial"/>
                <w:b/>
                <w:spacing w:val="-6"/>
                <w:sz w:val="20"/>
              </w:rPr>
              <w:t> </w:t>
            </w:r>
            <w:r>
              <w:rPr>
                <w:rFonts w:ascii="Arial" w:hAnsi="Arial"/>
                <w:b/>
                <w:sz w:val="20"/>
              </w:rPr>
              <w:t>del</w:t>
            </w:r>
            <w:r>
              <w:rPr>
                <w:rFonts w:ascii="Arial" w:hAnsi="Arial"/>
                <w:b/>
                <w:spacing w:val="-7"/>
                <w:sz w:val="20"/>
              </w:rPr>
              <w:t> </w:t>
            </w:r>
            <w:r>
              <w:rPr>
                <w:rFonts w:ascii="Arial" w:hAnsi="Arial"/>
                <w:b/>
                <w:sz w:val="20"/>
              </w:rPr>
              <w:t>puesto</w:t>
            </w:r>
            <w:r>
              <w:rPr>
                <w:rFonts w:ascii="Arial" w:hAnsi="Arial"/>
                <w:b/>
                <w:spacing w:val="-5"/>
                <w:sz w:val="20"/>
              </w:rPr>
              <w:t> </w:t>
            </w:r>
            <w:r>
              <w:rPr>
                <w:rFonts w:ascii="Arial" w:hAnsi="Arial"/>
                <w:b/>
                <w:sz w:val="20"/>
              </w:rPr>
              <w:t>de</w:t>
            </w:r>
            <w:r>
              <w:rPr>
                <w:rFonts w:ascii="Arial" w:hAnsi="Arial"/>
                <w:b/>
                <w:spacing w:val="-7"/>
                <w:sz w:val="20"/>
              </w:rPr>
              <w:t> </w:t>
            </w:r>
            <w:r>
              <w:rPr>
                <w:rFonts w:ascii="Arial" w:hAnsi="Arial"/>
                <w:b/>
                <w:spacing w:val="-2"/>
                <w:sz w:val="20"/>
              </w:rPr>
              <w:t>trabajo</w:t>
            </w:r>
          </w:p>
        </w:tc>
      </w:tr>
      <w:tr>
        <w:trPr>
          <w:trHeight w:val="229" w:hRule="atLeast"/>
        </w:trPr>
        <w:tc>
          <w:tcPr>
            <w:tcW w:w="739" w:type="dxa"/>
          </w:tcPr>
          <w:p>
            <w:pPr>
              <w:pStyle w:val="TableParagraph"/>
              <w:ind w:left="14"/>
              <w:rPr>
                <w:rFonts w:ascii="Arial"/>
                <w:b/>
                <w:sz w:val="20"/>
              </w:rPr>
            </w:pPr>
            <w:r>
              <w:rPr>
                <w:rFonts w:ascii="Arial"/>
                <w:b/>
                <w:spacing w:val="-10"/>
                <w:sz w:val="20"/>
              </w:rPr>
              <w:t>0</w:t>
            </w:r>
          </w:p>
        </w:tc>
        <w:tc>
          <w:tcPr>
            <w:tcW w:w="8809" w:type="dxa"/>
          </w:tcPr>
          <w:p>
            <w:pPr>
              <w:pStyle w:val="TableParagraph"/>
              <w:jc w:val="left"/>
              <w:rPr>
                <w:sz w:val="20"/>
              </w:rPr>
            </w:pPr>
            <w:r>
              <w:rPr>
                <w:sz w:val="20"/>
              </w:rPr>
              <w:t>Completamente</w:t>
            </w:r>
            <w:r>
              <w:rPr>
                <w:spacing w:val="-8"/>
                <w:sz w:val="20"/>
              </w:rPr>
              <w:t> </w:t>
            </w:r>
            <w:r>
              <w:rPr>
                <w:sz w:val="20"/>
              </w:rPr>
              <w:t>activo,</w:t>
            </w:r>
            <w:r>
              <w:rPr>
                <w:spacing w:val="-6"/>
                <w:sz w:val="20"/>
              </w:rPr>
              <w:t> </w:t>
            </w:r>
            <w:r>
              <w:rPr>
                <w:sz w:val="20"/>
              </w:rPr>
              <w:t>capaz</w:t>
            </w:r>
            <w:r>
              <w:rPr>
                <w:spacing w:val="-7"/>
                <w:sz w:val="20"/>
              </w:rPr>
              <w:t> </w:t>
            </w:r>
            <w:r>
              <w:rPr>
                <w:sz w:val="20"/>
              </w:rPr>
              <w:t>de</w:t>
            </w:r>
            <w:r>
              <w:rPr>
                <w:spacing w:val="-7"/>
                <w:sz w:val="20"/>
              </w:rPr>
              <w:t> </w:t>
            </w:r>
            <w:r>
              <w:rPr>
                <w:sz w:val="20"/>
              </w:rPr>
              <w:t>realizar</w:t>
            </w:r>
            <w:r>
              <w:rPr>
                <w:spacing w:val="-6"/>
                <w:sz w:val="20"/>
              </w:rPr>
              <w:t> </w:t>
            </w:r>
            <w:r>
              <w:rPr>
                <w:sz w:val="20"/>
              </w:rPr>
              <w:t>toda</w:t>
            </w:r>
            <w:r>
              <w:rPr>
                <w:spacing w:val="-6"/>
                <w:sz w:val="20"/>
              </w:rPr>
              <w:t> </w:t>
            </w:r>
            <w:r>
              <w:rPr>
                <w:sz w:val="20"/>
              </w:rPr>
              <w:t>actividad</w:t>
            </w:r>
            <w:r>
              <w:rPr>
                <w:spacing w:val="-7"/>
                <w:sz w:val="20"/>
              </w:rPr>
              <w:t> </w:t>
            </w:r>
            <w:r>
              <w:rPr>
                <w:sz w:val="20"/>
              </w:rPr>
              <w:t>física,</w:t>
            </w:r>
            <w:r>
              <w:rPr>
                <w:spacing w:val="-6"/>
                <w:sz w:val="20"/>
              </w:rPr>
              <w:t> </w:t>
            </w:r>
            <w:r>
              <w:rPr>
                <w:sz w:val="20"/>
              </w:rPr>
              <w:t>previa</w:t>
            </w:r>
            <w:r>
              <w:rPr>
                <w:spacing w:val="-4"/>
                <w:sz w:val="20"/>
              </w:rPr>
              <w:t> </w:t>
            </w:r>
            <w:r>
              <w:rPr>
                <w:sz w:val="20"/>
              </w:rPr>
              <w:t>a</w:t>
            </w:r>
            <w:r>
              <w:rPr>
                <w:spacing w:val="-6"/>
                <w:sz w:val="20"/>
              </w:rPr>
              <w:t> </w:t>
            </w:r>
            <w:r>
              <w:rPr>
                <w:sz w:val="20"/>
              </w:rPr>
              <w:t>la</w:t>
            </w:r>
            <w:r>
              <w:rPr>
                <w:spacing w:val="-7"/>
                <w:sz w:val="20"/>
              </w:rPr>
              <w:t> </w:t>
            </w:r>
            <w:r>
              <w:rPr>
                <w:spacing w:val="-2"/>
                <w:sz w:val="20"/>
              </w:rPr>
              <w:t>enfermedad.</w:t>
            </w:r>
          </w:p>
        </w:tc>
      </w:tr>
      <w:tr>
        <w:trPr>
          <w:trHeight w:val="2301" w:hRule="atLeast"/>
        </w:trPr>
        <w:tc>
          <w:tcPr>
            <w:tcW w:w="739" w:type="dxa"/>
          </w:tcPr>
          <w:p>
            <w:pPr>
              <w:pStyle w:val="TableParagraph"/>
              <w:spacing w:line="227" w:lineRule="exact"/>
              <w:ind w:left="14"/>
              <w:rPr>
                <w:rFonts w:ascii="Arial"/>
                <w:b/>
                <w:sz w:val="20"/>
              </w:rPr>
            </w:pPr>
            <w:r>
              <w:rPr>
                <w:rFonts w:ascii="Arial"/>
                <w:b/>
                <w:spacing w:val="-10"/>
                <w:sz w:val="20"/>
              </w:rPr>
              <w:t>1</w:t>
            </w:r>
          </w:p>
        </w:tc>
        <w:tc>
          <w:tcPr>
            <w:tcW w:w="8809" w:type="dxa"/>
          </w:tcPr>
          <w:p>
            <w:pPr>
              <w:pStyle w:val="TableParagraph"/>
              <w:spacing w:line="240" w:lineRule="auto"/>
              <w:ind w:right="56"/>
              <w:jc w:val="both"/>
              <w:rPr>
                <w:sz w:val="20"/>
              </w:rPr>
            </w:pPr>
            <w:r>
              <w:rPr>
                <w:sz w:val="20"/>
              </w:rPr>
              <w:t>Restringido en las capacidades funcionales, pero es capaz de realizar el trabajo de naturaleza media (actividades tales como empujar y jalar moderadamente, caminar a una velocidad moderada, levantar 5 kg 10 veces por minuto o 12 kg seis veces por minuto, por ejemplo: recolección de frutas y verduras (inclinado, en cuclillas), pintar con brocha, empujar o tirar de carros ligeros o carretillas, operar camiones, tractores o maquinaria de construcción en todo terreno, uso de martillo neumático, eliminar maleza y usar el azadón).</w:t>
            </w:r>
          </w:p>
          <w:p>
            <w:pPr>
              <w:pStyle w:val="TableParagraph"/>
              <w:spacing w:line="230" w:lineRule="atLeast" w:before="211"/>
              <w:ind w:right="63"/>
              <w:jc w:val="both"/>
              <w:rPr>
                <w:sz w:val="20"/>
              </w:rPr>
            </w:pPr>
            <w:r>
              <w:rPr>
                <w:sz w:val="20"/>
              </w:rPr>
              <w:t>Si previo a la enfermedad sus actividades laborales correspondían a naturaleza media, se debe categorizar en la categoría 0, debido a que continua con la misma capacidad para realizar las actividades de naturaleza media.</w:t>
            </w:r>
          </w:p>
        </w:tc>
      </w:tr>
      <w:tr>
        <w:trPr>
          <w:trHeight w:val="2759" w:hRule="atLeast"/>
        </w:trPr>
        <w:tc>
          <w:tcPr>
            <w:tcW w:w="739" w:type="dxa"/>
          </w:tcPr>
          <w:p>
            <w:pPr>
              <w:pStyle w:val="TableParagraph"/>
              <w:spacing w:line="227" w:lineRule="exact"/>
              <w:ind w:left="14"/>
              <w:rPr>
                <w:rFonts w:ascii="Arial"/>
                <w:b/>
                <w:sz w:val="20"/>
              </w:rPr>
            </w:pPr>
            <w:r>
              <w:rPr>
                <w:rFonts w:ascii="Arial"/>
                <w:b/>
                <w:spacing w:val="-10"/>
                <w:sz w:val="20"/>
              </w:rPr>
              <w:t>2</w:t>
            </w:r>
          </w:p>
        </w:tc>
        <w:tc>
          <w:tcPr>
            <w:tcW w:w="8809" w:type="dxa"/>
          </w:tcPr>
          <w:p>
            <w:pPr>
              <w:pStyle w:val="TableParagraph"/>
              <w:spacing w:line="240" w:lineRule="auto"/>
              <w:ind w:right="56"/>
              <w:jc w:val="both"/>
              <w:rPr>
                <w:sz w:val="20"/>
              </w:rPr>
            </w:pPr>
            <w:r>
              <w:rPr>
                <w:sz w:val="20"/>
              </w:rPr>
              <w:t>Restringido en las capacidades funcionales pero es capaz de realizar el trabajo de naturaleza ligero (permanecer sentado, estar sentado haciendo trabajo manual ligero usando las manos y brazos, conducir un vehículo, estar de pie haciendo trabajo ligero con los brazos y caminando ocasionalmente, caminatas casuales sin exceder los 3 km por hora y levantar 5 kg menos de ocho veces por minuto 12 kg menos de cuatro veces por minuto, por ejemplo: participar en una reunión (sentado), leer instrucciones o llenar papeleo, ver un video de capacitación, uso de herramientas para mesa o pequeñas herramientas eléctricas, inspección y clasificación de productos, clasificación de materiales livianos, ensamblaje de piezas pequeñas, conducción de vehículo en carretera y clavar.</w:t>
            </w:r>
          </w:p>
          <w:p>
            <w:pPr>
              <w:pStyle w:val="TableParagraph"/>
              <w:spacing w:line="230" w:lineRule="atLeast" w:before="210"/>
              <w:ind w:right="63"/>
              <w:jc w:val="both"/>
              <w:rPr>
                <w:sz w:val="20"/>
              </w:rPr>
            </w:pPr>
            <w:r>
              <w:rPr>
                <w:sz w:val="20"/>
              </w:rPr>
              <w:t>Si previo a la enfermedad sus actividades laborales correspondían a naturaleza ligera, se debe categorizar</w:t>
            </w:r>
            <w:r>
              <w:rPr>
                <w:spacing w:val="23"/>
                <w:sz w:val="20"/>
              </w:rPr>
              <w:t> </w:t>
            </w:r>
            <w:r>
              <w:rPr>
                <w:sz w:val="20"/>
              </w:rPr>
              <w:t>en</w:t>
            </w:r>
            <w:r>
              <w:rPr>
                <w:spacing w:val="21"/>
                <w:sz w:val="20"/>
              </w:rPr>
              <w:t> </w:t>
            </w:r>
            <w:r>
              <w:rPr>
                <w:sz w:val="20"/>
              </w:rPr>
              <w:t>la</w:t>
            </w:r>
            <w:r>
              <w:rPr>
                <w:spacing w:val="20"/>
                <w:sz w:val="20"/>
              </w:rPr>
              <w:t> </w:t>
            </w:r>
            <w:r>
              <w:rPr>
                <w:sz w:val="20"/>
              </w:rPr>
              <w:t>categoría</w:t>
            </w:r>
            <w:r>
              <w:rPr>
                <w:spacing w:val="22"/>
                <w:sz w:val="20"/>
              </w:rPr>
              <w:t> </w:t>
            </w:r>
            <w:r>
              <w:rPr>
                <w:sz w:val="20"/>
              </w:rPr>
              <w:t>0,</w:t>
            </w:r>
            <w:r>
              <w:rPr>
                <w:spacing w:val="22"/>
                <w:sz w:val="20"/>
              </w:rPr>
              <w:t> </w:t>
            </w:r>
            <w:r>
              <w:rPr>
                <w:sz w:val="20"/>
              </w:rPr>
              <w:t>debido</w:t>
            </w:r>
            <w:r>
              <w:rPr>
                <w:spacing w:val="22"/>
                <w:sz w:val="20"/>
              </w:rPr>
              <w:t> </w:t>
            </w:r>
            <w:r>
              <w:rPr>
                <w:sz w:val="20"/>
              </w:rPr>
              <w:t>a</w:t>
            </w:r>
            <w:r>
              <w:rPr>
                <w:spacing w:val="20"/>
                <w:sz w:val="20"/>
              </w:rPr>
              <w:t> </w:t>
            </w:r>
            <w:r>
              <w:rPr>
                <w:sz w:val="20"/>
              </w:rPr>
              <w:t>que</w:t>
            </w:r>
            <w:r>
              <w:rPr>
                <w:spacing w:val="19"/>
                <w:sz w:val="20"/>
              </w:rPr>
              <w:t> </w:t>
            </w:r>
            <w:r>
              <w:rPr>
                <w:sz w:val="20"/>
              </w:rPr>
              <w:t>continua</w:t>
            </w:r>
            <w:r>
              <w:rPr>
                <w:spacing w:val="22"/>
                <w:sz w:val="20"/>
              </w:rPr>
              <w:t> </w:t>
            </w:r>
            <w:r>
              <w:rPr>
                <w:sz w:val="20"/>
              </w:rPr>
              <w:t>con</w:t>
            </w:r>
            <w:r>
              <w:rPr>
                <w:spacing w:val="19"/>
                <w:sz w:val="20"/>
              </w:rPr>
              <w:t> </w:t>
            </w:r>
            <w:r>
              <w:rPr>
                <w:sz w:val="20"/>
              </w:rPr>
              <w:t>la</w:t>
            </w:r>
            <w:r>
              <w:rPr>
                <w:spacing w:val="20"/>
                <w:sz w:val="20"/>
              </w:rPr>
              <w:t> </w:t>
            </w:r>
            <w:r>
              <w:rPr>
                <w:sz w:val="20"/>
              </w:rPr>
              <w:t>misma</w:t>
            </w:r>
            <w:r>
              <w:rPr>
                <w:spacing w:val="20"/>
                <w:sz w:val="20"/>
              </w:rPr>
              <w:t> </w:t>
            </w:r>
            <w:r>
              <w:rPr>
                <w:sz w:val="20"/>
              </w:rPr>
              <w:t>capacidad</w:t>
            </w:r>
            <w:r>
              <w:rPr>
                <w:spacing w:val="22"/>
                <w:sz w:val="20"/>
              </w:rPr>
              <w:t> </w:t>
            </w:r>
            <w:r>
              <w:rPr>
                <w:sz w:val="20"/>
              </w:rPr>
              <w:t>para</w:t>
            </w:r>
            <w:r>
              <w:rPr>
                <w:spacing w:val="20"/>
                <w:sz w:val="20"/>
              </w:rPr>
              <w:t> </w:t>
            </w:r>
            <w:r>
              <w:rPr>
                <w:sz w:val="20"/>
              </w:rPr>
              <w:t>realizar</w:t>
            </w:r>
            <w:r>
              <w:rPr>
                <w:spacing w:val="23"/>
                <w:sz w:val="20"/>
              </w:rPr>
              <w:t> </w:t>
            </w:r>
            <w:r>
              <w:rPr>
                <w:sz w:val="20"/>
              </w:rPr>
              <w:t>las</w:t>
            </w:r>
          </w:p>
        </w:tc>
      </w:tr>
    </w:tbl>
    <w:p>
      <w:pPr>
        <w:pStyle w:val="TableParagraph"/>
        <w:spacing w:after="0" w:line="230" w:lineRule="atLeast"/>
        <w:jc w:val="both"/>
        <w:rPr>
          <w:sz w:val="20"/>
        </w:rPr>
        <w:sectPr>
          <w:pgSz w:w="12240" w:h="15840"/>
          <w:pgMar w:header="724" w:footer="712" w:top="1880" w:bottom="900" w:left="1080" w:right="1080"/>
        </w:sectPr>
      </w:pPr>
    </w:p>
    <w:p>
      <w:pPr>
        <w:pStyle w:val="BodyText"/>
        <w:spacing w:before="68"/>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39"/>
        <w:gridCol w:w="8809"/>
      </w:tblGrid>
      <w:tr>
        <w:trPr>
          <w:trHeight w:val="229" w:hRule="atLeast"/>
        </w:trPr>
        <w:tc>
          <w:tcPr>
            <w:tcW w:w="739" w:type="dxa"/>
          </w:tcPr>
          <w:p>
            <w:pPr>
              <w:pStyle w:val="TableParagraph"/>
              <w:spacing w:line="240" w:lineRule="auto"/>
              <w:ind w:left="0"/>
              <w:jc w:val="left"/>
              <w:rPr>
                <w:rFonts w:ascii="Times New Roman"/>
                <w:sz w:val="16"/>
              </w:rPr>
            </w:pPr>
          </w:p>
        </w:tc>
        <w:tc>
          <w:tcPr>
            <w:tcW w:w="8809" w:type="dxa"/>
          </w:tcPr>
          <w:p>
            <w:pPr>
              <w:pStyle w:val="TableParagraph"/>
              <w:jc w:val="left"/>
              <w:rPr>
                <w:sz w:val="20"/>
              </w:rPr>
            </w:pPr>
            <w:r>
              <w:rPr>
                <w:sz w:val="20"/>
              </w:rPr>
              <w:t>actividades</w:t>
            </w:r>
            <w:r>
              <w:rPr>
                <w:spacing w:val="-10"/>
                <w:sz w:val="20"/>
              </w:rPr>
              <w:t> </w:t>
            </w:r>
            <w:r>
              <w:rPr>
                <w:sz w:val="20"/>
              </w:rPr>
              <w:t>de</w:t>
            </w:r>
            <w:r>
              <w:rPr>
                <w:spacing w:val="-11"/>
                <w:sz w:val="20"/>
              </w:rPr>
              <w:t> </w:t>
            </w:r>
            <w:r>
              <w:rPr>
                <w:sz w:val="20"/>
              </w:rPr>
              <w:t>naturaleza</w:t>
            </w:r>
            <w:r>
              <w:rPr>
                <w:spacing w:val="-9"/>
                <w:sz w:val="20"/>
              </w:rPr>
              <w:t> </w:t>
            </w:r>
            <w:r>
              <w:rPr>
                <w:spacing w:val="-2"/>
                <w:sz w:val="20"/>
              </w:rPr>
              <w:t>ligera.</w:t>
            </w:r>
          </w:p>
        </w:tc>
      </w:tr>
      <w:tr>
        <w:trPr>
          <w:trHeight w:val="229" w:hRule="atLeast"/>
        </w:trPr>
        <w:tc>
          <w:tcPr>
            <w:tcW w:w="739" w:type="dxa"/>
          </w:tcPr>
          <w:p>
            <w:pPr>
              <w:pStyle w:val="TableParagraph"/>
              <w:ind w:left="14"/>
              <w:rPr>
                <w:rFonts w:ascii="Arial"/>
                <w:b/>
                <w:sz w:val="20"/>
              </w:rPr>
            </w:pPr>
            <w:r>
              <w:rPr>
                <w:rFonts w:ascii="Arial"/>
                <w:b/>
                <w:spacing w:val="-10"/>
                <w:sz w:val="20"/>
              </w:rPr>
              <w:t>3</w:t>
            </w:r>
          </w:p>
        </w:tc>
        <w:tc>
          <w:tcPr>
            <w:tcW w:w="8809" w:type="dxa"/>
          </w:tcPr>
          <w:p>
            <w:pPr>
              <w:pStyle w:val="TableParagraph"/>
              <w:jc w:val="left"/>
              <w:rPr>
                <w:sz w:val="20"/>
              </w:rPr>
            </w:pPr>
            <w:r>
              <w:rPr>
                <w:sz w:val="20"/>
              </w:rPr>
              <w:t>Incapaz</w:t>
            </w:r>
            <w:r>
              <w:rPr>
                <w:spacing w:val="-10"/>
                <w:sz w:val="20"/>
              </w:rPr>
              <w:t> </w:t>
            </w:r>
            <w:r>
              <w:rPr>
                <w:sz w:val="20"/>
              </w:rPr>
              <w:t>de</w:t>
            </w:r>
            <w:r>
              <w:rPr>
                <w:spacing w:val="-8"/>
                <w:sz w:val="20"/>
              </w:rPr>
              <w:t> </w:t>
            </w:r>
            <w:r>
              <w:rPr>
                <w:sz w:val="20"/>
              </w:rPr>
              <w:t>realizar</w:t>
            </w:r>
            <w:r>
              <w:rPr>
                <w:spacing w:val="-9"/>
                <w:sz w:val="20"/>
              </w:rPr>
              <w:t> </w:t>
            </w:r>
            <w:r>
              <w:rPr>
                <w:sz w:val="20"/>
              </w:rPr>
              <w:t>cualquier</w:t>
            </w:r>
            <w:r>
              <w:rPr>
                <w:spacing w:val="-9"/>
                <w:sz w:val="20"/>
              </w:rPr>
              <w:t> </w:t>
            </w:r>
            <w:r>
              <w:rPr>
                <w:sz w:val="20"/>
              </w:rPr>
              <w:t>actividad</w:t>
            </w:r>
            <w:r>
              <w:rPr>
                <w:spacing w:val="-7"/>
                <w:sz w:val="20"/>
              </w:rPr>
              <w:t> </w:t>
            </w:r>
            <w:r>
              <w:rPr>
                <w:spacing w:val="-2"/>
                <w:sz w:val="20"/>
              </w:rPr>
              <w:t>laboral.</w:t>
            </w:r>
          </w:p>
        </w:tc>
      </w:tr>
    </w:tbl>
    <w:p>
      <w:pPr>
        <w:pStyle w:val="BodyText"/>
        <w:spacing w:before="1"/>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753"/>
        <w:gridCol w:w="1843"/>
        <w:gridCol w:w="1687"/>
        <w:gridCol w:w="1685"/>
        <w:gridCol w:w="1579"/>
      </w:tblGrid>
      <w:tr>
        <w:trPr>
          <w:trHeight w:val="918" w:hRule="atLeast"/>
        </w:trPr>
        <w:tc>
          <w:tcPr>
            <w:tcW w:w="9547" w:type="dxa"/>
            <w:gridSpan w:val="5"/>
            <w:shd w:val="clear" w:color="auto" w:fill="C0C0C0"/>
          </w:tcPr>
          <w:p>
            <w:pPr>
              <w:pStyle w:val="TableParagraph"/>
              <w:spacing w:line="227" w:lineRule="exact"/>
              <w:ind w:left="37" w:right="24"/>
              <w:rPr>
                <w:rFonts w:ascii="Arial"/>
                <w:b/>
                <w:sz w:val="20"/>
              </w:rPr>
            </w:pPr>
            <w:r>
              <w:rPr>
                <w:rFonts w:ascii="Arial"/>
                <w:b/>
                <w:sz w:val="20"/>
              </w:rPr>
              <w:t>Tabla</w:t>
            </w:r>
            <w:r>
              <w:rPr>
                <w:rFonts w:ascii="Arial"/>
                <w:b/>
                <w:spacing w:val="-8"/>
                <w:sz w:val="20"/>
              </w:rPr>
              <w:t> </w:t>
            </w:r>
            <w:r>
              <w:rPr>
                <w:rFonts w:ascii="Arial"/>
                <w:b/>
                <w:spacing w:val="-4"/>
                <w:sz w:val="20"/>
              </w:rPr>
              <w:t>XIII</w:t>
            </w:r>
          </w:p>
          <w:p>
            <w:pPr>
              <w:pStyle w:val="TableParagraph"/>
              <w:spacing w:line="228" w:lineRule="exact" w:before="215"/>
              <w:ind w:left="32" w:right="24"/>
              <w:rPr>
                <w:rFonts w:ascii="Arial" w:hAnsi="Arial"/>
                <w:b/>
                <w:sz w:val="20"/>
              </w:rPr>
            </w:pPr>
            <w:r>
              <w:rPr>
                <w:rFonts w:ascii="Arial" w:hAnsi="Arial"/>
                <w:b/>
                <w:sz w:val="20"/>
              </w:rPr>
              <w:t>Determinación</w:t>
            </w:r>
            <w:r>
              <w:rPr>
                <w:rFonts w:ascii="Arial" w:hAnsi="Arial"/>
                <w:b/>
                <w:spacing w:val="-4"/>
                <w:sz w:val="20"/>
              </w:rPr>
              <w:t> </w:t>
            </w:r>
            <w:r>
              <w:rPr>
                <w:rFonts w:ascii="Arial" w:hAnsi="Arial"/>
                <w:b/>
                <w:sz w:val="20"/>
              </w:rPr>
              <w:t>del</w:t>
            </w:r>
            <w:r>
              <w:rPr>
                <w:rFonts w:ascii="Arial" w:hAnsi="Arial"/>
                <w:b/>
                <w:spacing w:val="-2"/>
                <w:sz w:val="20"/>
              </w:rPr>
              <w:t> </w:t>
            </w:r>
            <w:r>
              <w:rPr>
                <w:rFonts w:ascii="Arial" w:hAnsi="Arial"/>
                <w:b/>
                <w:sz w:val="20"/>
              </w:rPr>
              <w:t>porcentaje</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z w:val="20"/>
              </w:rPr>
              <w:t>incapacidad</w:t>
            </w:r>
            <w:r>
              <w:rPr>
                <w:rFonts w:ascii="Arial" w:hAnsi="Arial"/>
                <w:b/>
                <w:spacing w:val="-5"/>
                <w:sz w:val="20"/>
              </w:rPr>
              <w:t> </w:t>
            </w:r>
            <w:r>
              <w:rPr>
                <w:rFonts w:ascii="Arial" w:hAnsi="Arial"/>
                <w:b/>
                <w:sz w:val="20"/>
              </w:rPr>
              <w:t>permanente</w:t>
            </w:r>
            <w:r>
              <w:rPr>
                <w:rFonts w:ascii="Arial" w:hAnsi="Arial"/>
                <w:b/>
                <w:spacing w:val="-5"/>
                <w:sz w:val="20"/>
              </w:rPr>
              <w:t> </w:t>
            </w:r>
            <w:r>
              <w:rPr>
                <w:rFonts w:ascii="Arial" w:hAnsi="Arial"/>
                <w:b/>
                <w:sz w:val="20"/>
              </w:rPr>
              <w:t>parcial</w:t>
            </w:r>
            <w:r>
              <w:rPr>
                <w:rFonts w:ascii="Arial" w:hAnsi="Arial"/>
                <w:b/>
                <w:spacing w:val="-3"/>
                <w:sz w:val="20"/>
              </w:rPr>
              <w:t> </w:t>
            </w:r>
            <w:r>
              <w:rPr>
                <w:rFonts w:ascii="Arial" w:hAnsi="Arial"/>
                <w:b/>
                <w:sz w:val="20"/>
              </w:rPr>
              <w:t>o</w:t>
            </w:r>
            <w:r>
              <w:rPr>
                <w:rFonts w:ascii="Arial" w:hAnsi="Arial"/>
                <w:b/>
                <w:spacing w:val="-5"/>
                <w:sz w:val="20"/>
              </w:rPr>
              <w:t> </w:t>
            </w:r>
            <w:r>
              <w:rPr>
                <w:rFonts w:ascii="Arial" w:hAnsi="Arial"/>
                <w:b/>
                <w:sz w:val="20"/>
              </w:rPr>
              <w:t>total</w:t>
            </w:r>
            <w:r>
              <w:rPr>
                <w:rFonts w:ascii="Arial" w:hAnsi="Arial"/>
                <w:b/>
                <w:spacing w:val="-5"/>
                <w:sz w:val="20"/>
              </w:rPr>
              <w:t> </w:t>
            </w:r>
            <w:r>
              <w:rPr>
                <w:rFonts w:ascii="Arial" w:hAnsi="Arial"/>
                <w:b/>
                <w:sz w:val="20"/>
              </w:rPr>
              <w:t>por</w:t>
            </w:r>
            <w:r>
              <w:rPr>
                <w:rFonts w:ascii="Arial" w:hAnsi="Arial"/>
                <w:b/>
                <w:spacing w:val="-3"/>
                <w:sz w:val="20"/>
              </w:rPr>
              <w:t> </w:t>
            </w:r>
            <w:r>
              <w:rPr>
                <w:rFonts w:ascii="Arial" w:hAnsi="Arial"/>
                <w:b/>
                <w:sz w:val="20"/>
              </w:rPr>
              <w:t>motivo</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z w:val="20"/>
              </w:rPr>
              <w:t>cáncer </w:t>
            </w:r>
            <w:r>
              <w:rPr>
                <w:rFonts w:ascii="Arial" w:hAnsi="Arial"/>
                <w:b/>
                <w:spacing w:val="-2"/>
                <w:sz w:val="20"/>
              </w:rPr>
              <w:t>laboral</w:t>
            </w:r>
          </w:p>
        </w:tc>
      </w:tr>
      <w:tr>
        <w:trPr>
          <w:trHeight w:val="460" w:hRule="atLeast"/>
        </w:trPr>
        <w:tc>
          <w:tcPr>
            <w:tcW w:w="2753" w:type="dxa"/>
            <w:vMerge w:val="restart"/>
            <w:shd w:val="clear" w:color="auto" w:fill="C0C0C0"/>
          </w:tcPr>
          <w:p>
            <w:pPr>
              <w:pStyle w:val="TableParagraph"/>
              <w:spacing w:line="230" w:lineRule="exact"/>
              <w:ind w:left="90" w:right="80" w:firstLine="1"/>
              <w:rPr>
                <w:rFonts w:ascii="Arial" w:hAnsi="Arial"/>
                <w:b/>
                <w:sz w:val="20"/>
              </w:rPr>
            </w:pPr>
            <w:r>
              <w:rPr>
                <w:rFonts w:ascii="Arial" w:hAnsi="Arial"/>
                <w:b/>
                <w:sz w:val="20"/>
              </w:rPr>
              <w:t>Categorización de las neoplasias</w:t>
            </w:r>
            <w:r>
              <w:rPr>
                <w:rFonts w:ascii="Arial" w:hAnsi="Arial"/>
                <w:b/>
                <w:spacing w:val="-14"/>
                <w:sz w:val="20"/>
              </w:rPr>
              <w:t> </w:t>
            </w:r>
            <w:r>
              <w:rPr>
                <w:rFonts w:ascii="Arial" w:hAnsi="Arial"/>
                <w:b/>
                <w:sz w:val="20"/>
              </w:rPr>
              <w:t>de</w:t>
            </w:r>
            <w:r>
              <w:rPr>
                <w:rFonts w:ascii="Arial" w:hAnsi="Arial"/>
                <w:b/>
                <w:spacing w:val="-13"/>
                <w:sz w:val="20"/>
              </w:rPr>
              <w:t> </w:t>
            </w:r>
            <w:r>
              <w:rPr>
                <w:rFonts w:ascii="Arial" w:hAnsi="Arial"/>
                <w:b/>
                <w:sz w:val="20"/>
              </w:rPr>
              <w:t>acuerdo</w:t>
            </w:r>
            <w:r>
              <w:rPr>
                <w:rFonts w:ascii="Arial" w:hAnsi="Arial"/>
                <w:b/>
                <w:spacing w:val="-14"/>
                <w:sz w:val="20"/>
              </w:rPr>
              <w:t> </w:t>
            </w:r>
            <w:r>
              <w:rPr>
                <w:rFonts w:ascii="Arial" w:hAnsi="Arial"/>
                <w:b/>
                <w:sz w:val="20"/>
              </w:rPr>
              <w:t>con su agresividad según sobrevida a cinco años</w:t>
            </w:r>
          </w:p>
        </w:tc>
        <w:tc>
          <w:tcPr>
            <w:tcW w:w="6794" w:type="dxa"/>
            <w:gridSpan w:val="4"/>
            <w:shd w:val="clear" w:color="auto" w:fill="C0C0C0"/>
          </w:tcPr>
          <w:p>
            <w:pPr>
              <w:pStyle w:val="TableParagraph"/>
              <w:spacing w:line="230" w:lineRule="exact"/>
              <w:ind w:left="2563" w:right="102" w:hanging="2444"/>
              <w:jc w:val="left"/>
              <w:rPr>
                <w:rFonts w:ascii="Arial" w:hAnsi="Arial"/>
                <w:b/>
                <w:sz w:val="20"/>
              </w:rPr>
            </w:pPr>
            <w:r>
              <w:rPr>
                <w:rFonts w:ascii="Arial" w:hAnsi="Arial"/>
                <w:b/>
                <w:sz w:val="20"/>
              </w:rPr>
              <w:t>Categorías</w:t>
            </w:r>
            <w:r>
              <w:rPr>
                <w:rFonts w:ascii="Arial" w:hAnsi="Arial"/>
                <w:b/>
                <w:spacing w:val="-6"/>
                <w:sz w:val="20"/>
              </w:rPr>
              <w:t> </w:t>
            </w:r>
            <w:r>
              <w:rPr>
                <w:rFonts w:ascii="Arial" w:hAnsi="Arial"/>
                <w:b/>
                <w:sz w:val="20"/>
              </w:rPr>
              <w:t>de</w:t>
            </w:r>
            <w:r>
              <w:rPr>
                <w:rFonts w:ascii="Arial" w:hAnsi="Arial"/>
                <w:b/>
                <w:spacing w:val="-4"/>
                <w:sz w:val="20"/>
              </w:rPr>
              <w:t> </w:t>
            </w:r>
            <w:r>
              <w:rPr>
                <w:rFonts w:ascii="Arial" w:hAnsi="Arial"/>
                <w:b/>
                <w:sz w:val="20"/>
              </w:rPr>
              <w:t>capacidad</w:t>
            </w:r>
            <w:r>
              <w:rPr>
                <w:rFonts w:ascii="Arial" w:hAnsi="Arial"/>
                <w:b/>
                <w:spacing w:val="-3"/>
                <w:sz w:val="20"/>
              </w:rPr>
              <w:t> </w:t>
            </w:r>
            <w:r>
              <w:rPr>
                <w:rFonts w:ascii="Arial" w:hAnsi="Arial"/>
                <w:b/>
                <w:sz w:val="20"/>
              </w:rPr>
              <w:t>funcional</w:t>
            </w:r>
            <w:r>
              <w:rPr>
                <w:rFonts w:ascii="Arial" w:hAnsi="Arial"/>
                <w:b/>
                <w:spacing w:val="-6"/>
                <w:sz w:val="20"/>
              </w:rPr>
              <w:t> </w:t>
            </w:r>
            <w:r>
              <w:rPr>
                <w:rFonts w:ascii="Arial" w:hAnsi="Arial"/>
                <w:b/>
                <w:sz w:val="20"/>
              </w:rPr>
              <w:t>en</w:t>
            </w:r>
            <w:r>
              <w:rPr>
                <w:rFonts w:ascii="Arial" w:hAnsi="Arial"/>
                <w:b/>
                <w:spacing w:val="-6"/>
                <w:sz w:val="20"/>
              </w:rPr>
              <w:t> </w:t>
            </w:r>
            <w:r>
              <w:rPr>
                <w:rFonts w:ascii="Arial" w:hAnsi="Arial"/>
                <w:b/>
                <w:sz w:val="20"/>
              </w:rPr>
              <w:t>relación</w:t>
            </w:r>
            <w:r>
              <w:rPr>
                <w:rFonts w:ascii="Arial" w:hAnsi="Arial"/>
                <w:b/>
                <w:spacing w:val="-5"/>
                <w:sz w:val="20"/>
              </w:rPr>
              <w:t> </w:t>
            </w:r>
            <w:r>
              <w:rPr>
                <w:rFonts w:ascii="Arial" w:hAnsi="Arial"/>
                <w:b/>
                <w:sz w:val="20"/>
              </w:rPr>
              <w:t>con</w:t>
            </w:r>
            <w:r>
              <w:rPr>
                <w:rFonts w:ascii="Arial" w:hAnsi="Arial"/>
                <w:b/>
                <w:spacing w:val="-3"/>
                <w:sz w:val="20"/>
              </w:rPr>
              <w:t> </w:t>
            </w:r>
            <w:r>
              <w:rPr>
                <w:rFonts w:ascii="Arial" w:hAnsi="Arial"/>
                <w:b/>
                <w:sz w:val="20"/>
              </w:rPr>
              <w:t>el</w:t>
            </w:r>
            <w:r>
              <w:rPr>
                <w:rFonts w:ascii="Arial" w:hAnsi="Arial"/>
                <w:b/>
                <w:spacing w:val="-6"/>
                <w:sz w:val="20"/>
              </w:rPr>
              <w:t> </w:t>
            </w:r>
            <w:r>
              <w:rPr>
                <w:rFonts w:ascii="Arial" w:hAnsi="Arial"/>
                <w:b/>
                <w:sz w:val="20"/>
              </w:rPr>
              <w:t>desempeño</w:t>
            </w:r>
            <w:r>
              <w:rPr>
                <w:rFonts w:ascii="Arial" w:hAnsi="Arial"/>
                <w:b/>
                <w:spacing w:val="-5"/>
                <w:sz w:val="20"/>
              </w:rPr>
              <w:t> </w:t>
            </w:r>
            <w:r>
              <w:rPr>
                <w:rFonts w:ascii="Arial" w:hAnsi="Arial"/>
                <w:b/>
                <w:sz w:val="20"/>
              </w:rPr>
              <w:t>del puesto de trabajo</w:t>
            </w:r>
          </w:p>
        </w:tc>
      </w:tr>
      <w:tr>
        <w:trPr>
          <w:trHeight w:val="445" w:hRule="atLeast"/>
        </w:trPr>
        <w:tc>
          <w:tcPr>
            <w:tcW w:w="2753" w:type="dxa"/>
            <w:vMerge/>
            <w:tcBorders>
              <w:top w:val="nil"/>
            </w:tcBorders>
            <w:shd w:val="clear" w:color="auto" w:fill="C0C0C0"/>
          </w:tcPr>
          <w:p>
            <w:pPr>
              <w:rPr>
                <w:sz w:val="2"/>
                <w:szCs w:val="2"/>
              </w:rPr>
            </w:pPr>
          </w:p>
        </w:tc>
        <w:tc>
          <w:tcPr>
            <w:tcW w:w="1843" w:type="dxa"/>
            <w:shd w:val="clear" w:color="auto" w:fill="C0C0C0"/>
          </w:tcPr>
          <w:p>
            <w:pPr>
              <w:pStyle w:val="TableParagraph"/>
              <w:spacing w:line="240" w:lineRule="auto" w:before="105"/>
              <w:ind w:left="15"/>
              <w:rPr>
                <w:rFonts w:ascii="Arial"/>
                <w:b/>
                <w:sz w:val="20"/>
              </w:rPr>
            </w:pPr>
            <w:r>
              <w:rPr>
                <w:rFonts w:ascii="Arial"/>
                <w:b/>
                <w:spacing w:val="-10"/>
                <w:sz w:val="20"/>
              </w:rPr>
              <w:t>0</w:t>
            </w:r>
          </w:p>
        </w:tc>
        <w:tc>
          <w:tcPr>
            <w:tcW w:w="1687" w:type="dxa"/>
            <w:shd w:val="clear" w:color="auto" w:fill="C0C0C0"/>
          </w:tcPr>
          <w:p>
            <w:pPr>
              <w:pStyle w:val="TableParagraph"/>
              <w:spacing w:line="240" w:lineRule="auto" w:before="105"/>
              <w:ind w:left="12" w:right="3"/>
              <w:rPr>
                <w:rFonts w:ascii="Arial"/>
                <w:b/>
                <w:sz w:val="20"/>
              </w:rPr>
            </w:pPr>
            <w:r>
              <w:rPr>
                <w:rFonts w:ascii="Arial"/>
                <w:b/>
                <w:spacing w:val="-10"/>
                <w:sz w:val="20"/>
              </w:rPr>
              <w:t>1</w:t>
            </w:r>
          </w:p>
        </w:tc>
        <w:tc>
          <w:tcPr>
            <w:tcW w:w="1685" w:type="dxa"/>
            <w:shd w:val="clear" w:color="auto" w:fill="C0C0C0"/>
          </w:tcPr>
          <w:p>
            <w:pPr>
              <w:pStyle w:val="TableParagraph"/>
              <w:spacing w:line="240" w:lineRule="auto" w:before="105"/>
              <w:ind w:left="16"/>
              <w:rPr>
                <w:rFonts w:ascii="Arial"/>
                <w:b/>
                <w:sz w:val="20"/>
              </w:rPr>
            </w:pPr>
            <w:r>
              <w:rPr>
                <w:rFonts w:ascii="Arial"/>
                <w:b/>
                <w:spacing w:val="-10"/>
                <w:sz w:val="20"/>
              </w:rPr>
              <w:t>2</w:t>
            </w:r>
          </w:p>
        </w:tc>
        <w:tc>
          <w:tcPr>
            <w:tcW w:w="1579" w:type="dxa"/>
            <w:shd w:val="clear" w:color="auto" w:fill="C0C0C0"/>
          </w:tcPr>
          <w:p>
            <w:pPr>
              <w:pStyle w:val="TableParagraph"/>
              <w:spacing w:line="240" w:lineRule="auto" w:before="105"/>
              <w:ind w:left="17"/>
              <w:rPr>
                <w:rFonts w:ascii="Arial"/>
                <w:b/>
                <w:sz w:val="20"/>
              </w:rPr>
            </w:pPr>
            <w:r>
              <w:rPr>
                <w:rFonts w:ascii="Arial"/>
                <w:b/>
                <w:spacing w:val="-10"/>
                <w:sz w:val="20"/>
              </w:rPr>
              <w:t>3</w:t>
            </w:r>
          </w:p>
        </w:tc>
      </w:tr>
      <w:tr>
        <w:trPr>
          <w:trHeight w:val="229" w:hRule="atLeast"/>
        </w:trPr>
        <w:tc>
          <w:tcPr>
            <w:tcW w:w="2753" w:type="dxa"/>
          </w:tcPr>
          <w:p>
            <w:pPr>
              <w:pStyle w:val="TableParagraph"/>
              <w:ind w:left="11"/>
              <w:rPr>
                <w:rFonts w:ascii="Arial"/>
                <w:b/>
                <w:sz w:val="20"/>
              </w:rPr>
            </w:pPr>
            <w:r>
              <w:rPr>
                <w:rFonts w:ascii="Arial"/>
                <w:b/>
                <w:spacing w:val="-10"/>
                <w:sz w:val="20"/>
              </w:rPr>
              <w:t>1</w:t>
            </w:r>
          </w:p>
        </w:tc>
        <w:tc>
          <w:tcPr>
            <w:tcW w:w="1843" w:type="dxa"/>
          </w:tcPr>
          <w:p>
            <w:pPr>
              <w:pStyle w:val="TableParagraph"/>
              <w:ind w:left="15" w:right="1"/>
              <w:rPr>
                <w:sz w:val="20"/>
              </w:rPr>
            </w:pPr>
            <w:r>
              <w:rPr>
                <w:spacing w:val="-5"/>
                <w:sz w:val="20"/>
              </w:rPr>
              <w:t>0%</w:t>
            </w:r>
          </w:p>
        </w:tc>
        <w:tc>
          <w:tcPr>
            <w:tcW w:w="1687" w:type="dxa"/>
          </w:tcPr>
          <w:p>
            <w:pPr>
              <w:pStyle w:val="TableParagraph"/>
              <w:ind w:left="12" w:right="4"/>
              <w:rPr>
                <w:sz w:val="20"/>
              </w:rPr>
            </w:pPr>
            <w:r>
              <w:rPr>
                <w:spacing w:val="-5"/>
                <w:sz w:val="20"/>
              </w:rPr>
              <w:t>30%</w:t>
            </w:r>
          </w:p>
        </w:tc>
        <w:tc>
          <w:tcPr>
            <w:tcW w:w="1685" w:type="dxa"/>
          </w:tcPr>
          <w:p>
            <w:pPr>
              <w:pStyle w:val="TableParagraph"/>
              <w:ind w:left="16" w:right="1"/>
              <w:rPr>
                <w:sz w:val="20"/>
              </w:rPr>
            </w:pPr>
            <w:r>
              <w:rPr>
                <w:spacing w:val="-5"/>
                <w:sz w:val="20"/>
              </w:rPr>
              <w:t>50%</w:t>
            </w:r>
          </w:p>
        </w:tc>
        <w:tc>
          <w:tcPr>
            <w:tcW w:w="1579" w:type="dxa"/>
          </w:tcPr>
          <w:p>
            <w:pPr>
              <w:pStyle w:val="TableParagraph"/>
              <w:ind w:left="17" w:right="6"/>
              <w:rPr>
                <w:sz w:val="20"/>
              </w:rPr>
            </w:pPr>
            <w:r>
              <w:rPr>
                <w:spacing w:val="-4"/>
                <w:sz w:val="20"/>
              </w:rPr>
              <w:t>100%</w:t>
            </w:r>
          </w:p>
        </w:tc>
      </w:tr>
      <w:tr>
        <w:trPr>
          <w:trHeight w:val="230" w:hRule="atLeast"/>
        </w:trPr>
        <w:tc>
          <w:tcPr>
            <w:tcW w:w="2753" w:type="dxa"/>
          </w:tcPr>
          <w:p>
            <w:pPr>
              <w:pStyle w:val="TableParagraph"/>
              <w:ind w:left="11"/>
              <w:rPr>
                <w:rFonts w:ascii="Arial"/>
                <w:b/>
                <w:sz w:val="20"/>
              </w:rPr>
            </w:pPr>
            <w:r>
              <w:rPr>
                <w:rFonts w:ascii="Arial"/>
                <w:b/>
                <w:spacing w:val="-10"/>
                <w:sz w:val="20"/>
              </w:rPr>
              <w:t>2</w:t>
            </w:r>
          </w:p>
        </w:tc>
        <w:tc>
          <w:tcPr>
            <w:tcW w:w="1843" w:type="dxa"/>
          </w:tcPr>
          <w:p>
            <w:pPr>
              <w:pStyle w:val="TableParagraph"/>
              <w:ind w:left="15" w:right="6"/>
              <w:rPr>
                <w:sz w:val="20"/>
              </w:rPr>
            </w:pPr>
            <w:r>
              <w:rPr>
                <w:spacing w:val="-5"/>
                <w:sz w:val="20"/>
              </w:rPr>
              <w:t>30%</w:t>
            </w:r>
          </w:p>
        </w:tc>
        <w:tc>
          <w:tcPr>
            <w:tcW w:w="1687" w:type="dxa"/>
          </w:tcPr>
          <w:p>
            <w:pPr>
              <w:pStyle w:val="TableParagraph"/>
              <w:ind w:left="12" w:right="4"/>
              <w:rPr>
                <w:sz w:val="20"/>
              </w:rPr>
            </w:pPr>
            <w:r>
              <w:rPr>
                <w:spacing w:val="-5"/>
                <w:sz w:val="20"/>
              </w:rPr>
              <w:t>40%</w:t>
            </w:r>
          </w:p>
        </w:tc>
        <w:tc>
          <w:tcPr>
            <w:tcW w:w="1685" w:type="dxa"/>
          </w:tcPr>
          <w:p>
            <w:pPr>
              <w:pStyle w:val="TableParagraph"/>
              <w:ind w:left="16" w:right="1"/>
              <w:rPr>
                <w:sz w:val="20"/>
              </w:rPr>
            </w:pPr>
            <w:r>
              <w:rPr>
                <w:spacing w:val="-5"/>
                <w:sz w:val="20"/>
              </w:rPr>
              <w:t>60%</w:t>
            </w:r>
          </w:p>
        </w:tc>
        <w:tc>
          <w:tcPr>
            <w:tcW w:w="1579" w:type="dxa"/>
          </w:tcPr>
          <w:p>
            <w:pPr>
              <w:pStyle w:val="TableParagraph"/>
              <w:ind w:left="17" w:right="6"/>
              <w:rPr>
                <w:sz w:val="20"/>
              </w:rPr>
            </w:pPr>
            <w:r>
              <w:rPr>
                <w:spacing w:val="-4"/>
                <w:sz w:val="20"/>
              </w:rPr>
              <w:t>100%</w:t>
            </w:r>
          </w:p>
        </w:tc>
      </w:tr>
      <w:tr>
        <w:trPr>
          <w:trHeight w:val="229" w:hRule="atLeast"/>
        </w:trPr>
        <w:tc>
          <w:tcPr>
            <w:tcW w:w="2753" w:type="dxa"/>
          </w:tcPr>
          <w:p>
            <w:pPr>
              <w:pStyle w:val="TableParagraph"/>
              <w:ind w:left="11"/>
              <w:rPr>
                <w:rFonts w:ascii="Arial"/>
                <w:b/>
                <w:sz w:val="20"/>
              </w:rPr>
            </w:pPr>
            <w:r>
              <w:rPr>
                <w:rFonts w:ascii="Arial"/>
                <w:b/>
                <w:spacing w:val="-10"/>
                <w:sz w:val="20"/>
              </w:rPr>
              <w:t>3</w:t>
            </w:r>
          </w:p>
        </w:tc>
        <w:tc>
          <w:tcPr>
            <w:tcW w:w="1843" w:type="dxa"/>
          </w:tcPr>
          <w:p>
            <w:pPr>
              <w:pStyle w:val="TableParagraph"/>
              <w:ind w:left="15" w:right="6"/>
              <w:rPr>
                <w:sz w:val="20"/>
              </w:rPr>
            </w:pPr>
            <w:r>
              <w:rPr>
                <w:spacing w:val="-5"/>
                <w:sz w:val="20"/>
              </w:rPr>
              <w:t>60%</w:t>
            </w:r>
          </w:p>
        </w:tc>
        <w:tc>
          <w:tcPr>
            <w:tcW w:w="1687" w:type="dxa"/>
          </w:tcPr>
          <w:p>
            <w:pPr>
              <w:pStyle w:val="TableParagraph"/>
              <w:ind w:left="12" w:right="4"/>
              <w:rPr>
                <w:sz w:val="20"/>
              </w:rPr>
            </w:pPr>
            <w:r>
              <w:rPr>
                <w:spacing w:val="-5"/>
                <w:sz w:val="20"/>
              </w:rPr>
              <w:t>70%</w:t>
            </w:r>
          </w:p>
        </w:tc>
        <w:tc>
          <w:tcPr>
            <w:tcW w:w="1685" w:type="dxa"/>
          </w:tcPr>
          <w:p>
            <w:pPr>
              <w:pStyle w:val="TableParagraph"/>
              <w:ind w:left="16" w:right="1"/>
              <w:rPr>
                <w:sz w:val="20"/>
              </w:rPr>
            </w:pPr>
            <w:r>
              <w:rPr>
                <w:spacing w:val="-5"/>
                <w:sz w:val="20"/>
              </w:rPr>
              <w:t>80%</w:t>
            </w:r>
          </w:p>
        </w:tc>
        <w:tc>
          <w:tcPr>
            <w:tcW w:w="1579" w:type="dxa"/>
          </w:tcPr>
          <w:p>
            <w:pPr>
              <w:pStyle w:val="TableParagraph"/>
              <w:ind w:left="17" w:right="6"/>
              <w:rPr>
                <w:sz w:val="20"/>
              </w:rPr>
            </w:pPr>
            <w:r>
              <w:rPr>
                <w:spacing w:val="-4"/>
                <w:sz w:val="20"/>
              </w:rPr>
              <w:t>100%</w:t>
            </w:r>
          </w:p>
        </w:tc>
      </w:tr>
      <w:tr>
        <w:trPr>
          <w:trHeight w:val="229" w:hRule="atLeast"/>
        </w:trPr>
        <w:tc>
          <w:tcPr>
            <w:tcW w:w="2753" w:type="dxa"/>
          </w:tcPr>
          <w:p>
            <w:pPr>
              <w:pStyle w:val="TableParagraph"/>
              <w:ind w:left="11"/>
              <w:rPr>
                <w:rFonts w:ascii="Arial"/>
                <w:b/>
                <w:sz w:val="20"/>
              </w:rPr>
            </w:pPr>
            <w:r>
              <w:rPr>
                <w:rFonts w:ascii="Arial"/>
                <w:b/>
                <w:spacing w:val="-10"/>
                <w:sz w:val="20"/>
              </w:rPr>
              <w:t>4</w:t>
            </w:r>
          </w:p>
        </w:tc>
        <w:tc>
          <w:tcPr>
            <w:tcW w:w="1843" w:type="dxa"/>
          </w:tcPr>
          <w:p>
            <w:pPr>
              <w:pStyle w:val="TableParagraph"/>
              <w:ind w:left="15" w:right="6"/>
              <w:rPr>
                <w:sz w:val="20"/>
              </w:rPr>
            </w:pPr>
            <w:r>
              <w:rPr>
                <w:spacing w:val="-5"/>
                <w:sz w:val="20"/>
              </w:rPr>
              <w:t>80%</w:t>
            </w:r>
          </w:p>
        </w:tc>
        <w:tc>
          <w:tcPr>
            <w:tcW w:w="1687" w:type="dxa"/>
          </w:tcPr>
          <w:p>
            <w:pPr>
              <w:pStyle w:val="TableParagraph"/>
              <w:ind w:left="12" w:right="4"/>
              <w:rPr>
                <w:sz w:val="20"/>
              </w:rPr>
            </w:pPr>
            <w:r>
              <w:rPr>
                <w:spacing w:val="-5"/>
                <w:sz w:val="20"/>
              </w:rPr>
              <w:t>90%</w:t>
            </w:r>
          </w:p>
        </w:tc>
        <w:tc>
          <w:tcPr>
            <w:tcW w:w="1685" w:type="dxa"/>
          </w:tcPr>
          <w:p>
            <w:pPr>
              <w:pStyle w:val="TableParagraph"/>
              <w:ind w:left="16" w:right="1"/>
              <w:rPr>
                <w:sz w:val="20"/>
              </w:rPr>
            </w:pPr>
            <w:r>
              <w:rPr>
                <w:spacing w:val="-5"/>
                <w:sz w:val="20"/>
              </w:rPr>
              <w:t>95%</w:t>
            </w:r>
          </w:p>
        </w:tc>
        <w:tc>
          <w:tcPr>
            <w:tcW w:w="1579" w:type="dxa"/>
          </w:tcPr>
          <w:p>
            <w:pPr>
              <w:pStyle w:val="TableParagraph"/>
              <w:ind w:left="17" w:right="6"/>
              <w:rPr>
                <w:sz w:val="20"/>
              </w:rPr>
            </w:pPr>
            <w:r>
              <w:rPr>
                <w:spacing w:val="-4"/>
                <w:sz w:val="20"/>
              </w:rPr>
              <w:t>100%</w:t>
            </w:r>
          </w:p>
        </w:tc>
      </w:tr>
      <w:tr>
        <w:trPr>
          <w:trHeight w:val="232" w:hRule="atLeast"/>
        </w:trPr>
        <w:tc>
          <w:tcPr>
            <w:tcW w:w="2753" w:type="dxa"/>
          </w:tcPr>
          <w:p>
            <w:pPr>
              <w:pStyle w:val="TableParagraph"/>
              <w:spacing w:line="212" w:lineRule="exact"/>
              <w:ind w:left="11"/>
              <w:rPr>
                <w:rFonts w:ascii="Arial"/>
                <w:b/>
                <w:sz w:val="20"/>
              </w:rPr>
            </w:pPr>
            <w:r>
              <w:rPr>
                <w:rFonts w:ascii="Arial"/>
                <w:b/>
                <w:spacing w:val="-10"/>
                <w:sz w:val="20"/>
              </w:rPr>
              <w:t>5</w:t>
            </w:r>
          </w:p>
        </w:tc>
        <w:tc>
          <w:tcPr>
            <w:tcW w:w="1843" w:type="dxa"/>
          </w:tcPr>
          <w:p>
            <w:pPr>
              <w:pStyle w:val="TableParagraph"/>
              <w:spacing w:line="212" w:lineRule="exact"/>
              <w:ind w:left="15" w:right="6"/>
              <w:rPr>
                <w:sz w:val="20"/>
              </w:rPr>
            </w:pPr>
            <w:r>
              <w:rPr>
                <w:spacing w:val="-4"/>
                <w:sz w:val="20"/>
              </w:rPr>
              <w:t>100%</w:t>
            </w:r>
          </w:p>
        </w:tc>
        <w:tc>
          <w:tcPr>
            <w:tcW w:w="1687" w:type="dxa"/>
          </w:tcPr>
          <w:p>
            <w:pPr>
              <w:pStyle w:val="TableParagraph"/>
              <w:spacing w:line="212" w:lineRule="exact"/>
              <w:ind w:left="12" w:right="5"/>
              <w:rPr>
                <w:sz w:val="20"/>
              </w:rPr>
            </w:pPr>
            <w:r>
              <w:rPr>
                <w:spacing w:val="-4"/>
                <w:sz w:val="20"/>
              </w:rPr>
              <w:t>100%</w:t>
            </w:r>
          </w:p>
        </w:tc>
        <w:tc>
          <w:tcPr>
            <w:tcW w:w="1685" w:type="dxa"/>
          </w:tcPr>
          <w:p>
            <w:pPr>
              <w:pStyle w:val="TableParagraph"/>
              <w:spacing w:line="212" w:lineRule="exact"/>
              <w:ind w:left="16" w:right="1"/>
              <w:rPr>
                <w:sz w:val="20"/>
              </w:rPr>
            </w:pPr>
            <w:r>
              <w:rPr>
                <w:spacing w:val="-4"/>
                <w:sz w:val="20"/>
              </w:rPr>
              <w:t>100%</w:t>
            </w:r>
          </w:p>
        </w:tc>
        <w:tc>
          <w:tcPr>
            <w:tcW w:w="1579" w:type="dxa"/>
          </w:tcPr>
          <w:p>
            <w:pPr>
              <w:pStyle w:val="TableParagraph"/>
              <w:spacing w:line="212" w:lineRule="exact"/>
              <w:ind w:left="17" w:right="6"/>
              <w:rPr>
                <w:sz w:val="20"/>
              </w:rPr>
            </w:pPr>
            <w:r>
              <w:rPr>
                <w:spacing w:val="-4"/>
                <w:sz w:val="20"/>
              </w:rPr>
              <w:t>100%</w:t>
            </w:r>
          </w:p>
        </w:tc>
      </w:tr>
    </w:tbl>
    <w:p>
      <w:pPr>
        <w:spacing w:before="229"/>
        <w:ind w:left="293" w:right="296" w:firstLine="0"/>
        <w:jc w:val="center"/>
        <w:rPr>
          <w:rFonts w:ascii="Arial"/>
          <w:b/>
          <w:sz w:val="20"/>
        </w:rPr>
      </w:pPr>
      <w:r>
        <w:rPr>
          <w:rFonts w:ascii="Arial"/>
          <w:b/>
          <w:sz w:val="20"/>
        </w:rPr>
        <w:t>Virus</w:t>
      </w:r>
      <w:r>
        <w:rPr>
          <w:rFonts w:ascii="Arial"/>
          <w:b/>
          <w:spacing w:val="-11"/>
          <w:sz w:val="20"/>
        </w:rPr>
        <w:t> </w:t>
      </w:r>
      <w:r>
        <w:rPr>
          <w:rFonts w:ascii="Arial"/>
          <w:b/>
          <w:sz w:val="20"/>
        </w:rPr>
        <w:t>de</w:t>
      </w:r>
      <w:r>
        <w:rPr>
          <w:rFonts w:ascii="Arial"/>
          <w:b/>
          <w:spacing w:val="-13"/>
          <w:sz w:val="20"/>
        </w:rPr>
        <w:t> </w:t>
      </w:r>
      <w:r>
        <w:rPr>
          <w:rFonts w:ascii="Arial"/>
          <w:b/>
          <w:sz w:val="20"/>
        </w:rPr>
        <w:t>Inmunodeficiencia</w:t>
      </w:r>
      <w:r>
        <w:rPr>
          <w:rFonts w:ascii="Arial"/>
          <w:b/>
          <w:spacing w:val="-13"/>
          <w:sz w:val="20"/>
        </w:rPr>
        <w:t> </w:t>
      </w:r>
      <w:r>
        <w:rPr>
          <w:rFonts w:ascii="Arial"/>
          <w:b/>
          <w:spacing w:val="-2"/>
          <w:sz w:val="20"/>
        </w:rPr>
        <w:t>Humana</w:t>
      </w:r>
    </w:p>
    <w:p>
      <w:pPr>
        <w:pStyle w:val="BodyText"/>
        <w:spacing w:before="3" w:after="1"/>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45"/>
        <w:gridCol w:w="8104"/>
      </w:tblGrid>
      <w:tr>
        <w:trPr>
          <w:trHeight w:val="229" w:hRule="atLeast"/>
        </w:trPr>
        <w:tc>
          <w:tcPr>
            <w:tcW w:w="1445" w:type="dxa"/>
          </w:tcPr>
          <w:p>
            <w:pPr>
              <w:pStyle w:val="TableParagraph"/>
              <w:ind w:left="9"/>
              <w:rPr>
                <w:sz w:val="20"/>
              </w:rPr>
            </w:pPr>
            <w:r>
              <w:rPr>
                <w:spacing w:val="-5"/>
                <w:sz w:val="20"/>
              </w:rPr>
              <w:t>522</w:t>
            </w:r>
          </w:p>
        </w:tc>
        <w:tc>
          <w:tcPr>
            <w:tcW w:w="8104" w:type="dxa"/>
          </w:tcPr>
          <w:p>
            <w:pPr>
              <w:pStyle w:val="TableParagraph"/>
              <w:jc w:val="left"/>
              <w:rPr>
                <w:sz w:val="20"/>
              </w:rPr>
            </w:pPr>
            <w:r>
              <w:rPr>
                <w:sz w:val="20"/>
              </w:rPr>
              <w:t>La</w:t>
            </w:r>
            <w:r>
              <w:rPr>
                <w:spacing w:val="-7"/>
                <w:sz w:val="20"/>
              </w:rPr>
              <w:t> </w:t>
            </w:r>
            <w:r>
              <w:rPr>
                <w:sz w:val="20"/>
              </w:rPr>
              <w:t>infección</w:t>
            </w:r>
            <w:r>
              <w:rPr>
                <w:spacing w:val="-6"/>
                <w:sz w:val="20"/>
              </w:rPr>
              <w:t> </w:t>
            </w:r>
            <w:r>
              <w:rPr>
                <w:sz w:val="20"/>
              </w:rPr>
              <w:t>por</w:t>
            </w:r>
            <w:r>
              <w:rPr>
                <w:spacing w:val="-5"/>
                <w:sz w:val="20"/>
              </w:rPr>
              <w:t> </w:t>
            </w:r>
            <w:r>
              <w:rPr>
                <w:sz w:val="20"/>
              </w:rPr>
              <w:t>VIH</w:t>
            </w:r>
            <w:r>
              <w:rPr>
                <w:spacing w:val="-2"/>
                <w:sz w:val="20"/>
              </w:rPr>
              <w:t> </w:t>
            </w:r>
            <w:r>
              <w:rPr>
                <w:sz w:val="20"/>
              </w:rPr>
              <w:t>se</w:t>
            </w:r>
            <w:r>
              <w:rPr>
                <w:spacing w:val="-6"/>
                <w:sz w:val="20"/>
              </w:rPr>
              <w:t> </w:t>
            </w:r>
            <w:r>
              <w:rPr>
                <w:sz w:val="20"/>
              </w:rPr>
              <w:t>evaluará</w:t>
            </w:r>
            <w:r>
              <w:rPr>
                <w:spacing w:val="-5"/>
                <w:sz w:val="20"/>
              </w:rPr>
              <w:t> </w:t>
            </w:r>
            <w:r>
              <w:rPr>
                <w:sz w:val="20"/>
              </w:rPr>
              <w:t>conforme</w:t>
            </w:r>
            <w:r>
              <w:rPr>
                <w:spacing w:val="-5"/>
                <w:sz w:val="20"/>
              </w:rPr>
              <w:t> </w:t>
            </w:r>
            <w:r>
              <w:rPr>
                <w:sz w:val="20"/>
              </w:rPr>
              <w:t>a</w:t>
            </w:r>
            <w:r>
              <w:rPr>
                <w:spacing w:val="-6"/>
                <w:sz w:val="20"/>
              </w:rPr>
              <w:t> </w:t>
            </w:r>
            <w:r>
              <w:rPr>
                <w:sz w:val="20"/>
              </w:rPr>
              <w:t>la</w:t>
            </w:r>
            <w:r>
              <w:rPr>
                <w:spacing w:val="-5"/>
                <w:sz w:val="20"/>
              </w:rPr>
              <w:t> </w:t>
            </w:r>
            <w:r>
              <w:rPr>
                <w:sz w:val="20"/>
              </w:rPr>
              <w:t>Tabla</w:t>
            </w:r>
            <w:r>
              <w:rPr>
                <w:spacing w:val="-4"/>
                <w:sz w:val="20"/>
              </w:rPr>
              <w:t> XIV.</w:t>
            </w:r>
          </w:p>
        </w:tc>
      </w:tr>
    </w:tbl>
    <w:p>
      <w:pPr>
        <w:pStyle w:val="BodyText"/>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70"/>
        <w:gridCol w:w="4737"/>
        <w:gridCol w:w="1532"/>
        <w:gridCol w:w="2013"/>
      </w:tblGrid>
      <w:tr>
        <w:trPr>
          <w:trHeight w:val="690" w:hRule="atLeast"/>
        </w:trPr>
        <w:tc>
          <w:tcPr>
            <w:tcW w:w="9552" w:type="dxa"/>
            <w:gridSpan w:val="4"/>
            <w:shd w:val="clear" w:color="auto" w:fill="C0C0C0"/>
          </w:tcPr>
          <w:p>
            <w:pPr>
              <w:pStyle w:val="TableParagraph"/>
              <w:spacing w:line="227" w:lineRule="exact"/>
              <w:ind w:left="11" w:right="5"/>
              <w:rPr>
                <w:rFonts w:ascii="Arial"/>
                <w:b/>
                <w:sz w:val="20"/>
              </w:rPr>
            </w:pPr>
            <w:r>
              <w:rPr>
                <w:rFonts w:ascii="Arial"/>
                <w:b/>
                <w:sz w:val="20"/>
              </w:rPr>
              <w:t>Tabla</w:t>
            </w:r>
            <w:r>
              <w:rPr>
                <w:rFonts w:ascii="Arial"/>
                <w:b/>
                <w:spacing w:val="-8"/>
                <w:sz w:val="20"/>
              </w:rPr>
              <w:t> </w:t>
            </w:r>
            <w:r>
              <w:rPr>
                <w:rFonts w:ascii="Arial"/>
                <w:b/>
                <w:spacing w:val="-5"/>
                <w:sz w:val="20"/>
              </w:rPr>
              <w:t>XIV</w:t>
            </w:r>
          </w:p>
          <w:p>
            <w:pPr>
              <w:pStyle w:val="TableParagraph"/>
              <w:spacing w:line="240" w:lineRule="auto"/>
              <w:ind w:left="0"/>
              <w:jc w:val="left"/>
              <w:rPr>
                <w:rFonts w:ascii="Arial"/>
                <w:b/>
                <w:sz w:val="20"/>
              </w:rPr>
            </w:pPr>
          </w:p>
          <w:p>
            <w:pPr>
              <w:pStyle w:val="TableParagraph"/>
              <w:spacing w:line="213" w:lineRule="exact" w:before="1"/>
              <w:ind w:left="11" w:right="5"/>
              <w:rPr>
                <w:rFonts w:ascii="Arial" w:hAnsi="Arial"/>
                <w:b/>
                <w:sz w:val="20"/>
              </w:rPr>
            </w:pPr>
            <w:r>
              <w:rPr>
                <w:rFonts w:ascii="Arial" w:hAnsi="Arial"/>
                <w:b/>
                <w:sz w:val="20"/>
              </w:rPr>
              <w:t>Valuación</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infección</w:t>
            </w:r>
            <w:r>
              <w:rPr>
                <w:rFonts w:ascii="Arial" w:hAnsi="Arial"/>
                <w:b/>
                <w:spacing w:val="-7"/>
                <w:sz w:val="20"/>
              </w:rPr>
              <w:t> </w:t>
            </w:r>
            <w:r>
              <w:rPr>
                <w:rFonts w:ascii="Arial" w:hAnsi="Arial"/>
                <w:b/>
                <w:sz w:val="20"/>
              </w:rPr>
              <w:t>por</w:t>
            </w:r>
            <w:r>
              <w:rPr>
                <w:rFonts w:ascii="Arial" w:hAnsi="Arial"/>
                <w:b/>
                <w:spacing w:val="-7"/>
                <w:sz w:val="20"/>
              </w:rPr>
              <w:t> </w:t>
            </w:r>
            <w:r>
              <w:rPr>
                <w:rFonts w:ascii="Arial" w:hAnsi="Arial"/>
                <w:b/>
                <w:spacing w:val="-5"/>
                <w:sz w:val="20"/>
              </w:rPr>
              <w:t>VIH</w:t>
            </w:r>
          </w:p>
        </w:tc>
      </w:tr>
      <w:tr>
        <w:trPr>
          <w:trHeight w:val="460" w:hRule="atLeast"/>
        </w:trPr>
        <w:tc>
          <w:tcPr>
            <w:tcW w:w="1270" w:type="dxa"/>
            <w:shd w:val="clear" w:color="auto" w:fill="C0C0C0"/>
          </w:tcPr>
          <w:p>
            <w:pPr>
              <w:pStyle w:val="TableParagraph"/>
              <w:spacing w:line="227" w:lineRule="exact"/>
              <w:ind w:left="11"/>
              <w:rPr>
                <w:rFonts w:ascii="Arial"/>
                <w:b/>
                <w:sz w:val="20"/>
              </w:rPr>
            </w:pPr>
            <w:r>
              <w:rPr>
                <w:rFonts w:ascii="Arial"/>
                <w:b/>
                <w:spacing w:val="-2"/>
                <w:sz w:val="20"/>
              </w:rPr>
              <w:t>Estadio</w:t>
            </w:r>
          </w:p>
        </w:tc>
        <w:tc>
          <w:tcPr>
            <w:tcW w:w="4737" w:type="dxa"/>
            <w:shd w:val="clear" w:color="auto" w:fill="C0C0C0"/>
          </w:tcPr>
          <w:p>
            <w:pPr>
              <w:pStyle w:val="TableParagraph"/>
              <w:spacing w:line="227" w:lineRule="exact"/>
              <w:ind w:left="9"/>
              <w:rPr>
                <w:rFonts w:ascii="Arial" w:hAnsi="Arial"/>
                <w:b/>
                <w:sz w:val="20"/>
              </w:rPr>
            </w:pPr>
            <w:r>
              <w:rPr>
                <w:rFonts w:ascii="Arial" w:hAnsi="Arial"/>
                <w:b/>
                <w:spacing w:val="-2"/>
                <w:sz w:val="20"/>
              </w:rPr>
              <w:t>Descripción</w:t>
            </w:r>
          </w:p>
        </w:tc>
        <w:tc>
          <w:tcPr>
            <w:tcW w:w="1532" w:type="dxa"/>
            <w:shd w:val="clear" w:color="auto" w:fill="C0C0C0"/>
          </w:tcPr>
          <w:p>
            <w:pPr>
              <w:pStyle w:val="TableParagraph"/>
              <w:spacing w:line="230" w:lineRule="exact"/>
              <w:ind w:left="452" w:right="292" w:hanging="149"/>
              <w:jc w:val="left"/>
              <w:rPr>
                <w:rFonts w:ascii="Arial" w:hAnsi="Arial"/>
                <w:b/>
                <w:sz w:val="20"/>
              </w:rPr>
            </w:pPr>
            <w:r>
              <w:rPr>
                <w:rFonts w:ascii="Arial" w:hAnsi="Arial"/>
                <w:b/>
                <w:spacing w:val="-2"/>
                <w:sz w:val="20"/>
              </w:rPr>
              <w:t>Categoría clínica</w:t>
            </w:r>
          </w:p>
        </w:tc>
        <w:tc>
          <w:tcPr>
            <w:tcW w:w="2013" w:type="dxa"/>
            <w:shd w:val="clear" w:color="auto" w:fill="C0C0C0"/>
          </w:tcPr>
          <w:p>
            <w:pPr>
              <w:pStyle w:val="TableParagraph"/>
              <w:spacing w:line="227" w:lineRule="exact"/>
              <w:ind w:left="3" w:right="2"/>
              <w:rPr>
                <w:rFonts w:ascii="Arial" w:hAnsi="Arial"/>
                <w:b/>
                <w:sz w:val="20"/>
              </w:rPr>
            </w:pPr>
            <w:r>
              <w:rPr>
                <w:rFonts w:ascii="Arial" w:hAnsi="Arial"/>
                <w:b/>
                <w:spacing w:val="-2"/>
                <w:sz w:val="20"/>
              </w:rPr>
              <w:t>Valuación</w:t>
            </w:r>
          </w:p>
        </w:tc>
      </w:tr>
      <w:tr>
        <w:trPr>
          <w:trHeight w:val="690" w:hRule="atLeast"/>
        </w:trPr>
        <w:tc>
          <w:tcPr>
            <w:tcW w:w="1270" w:type="dxa"/>
          </w:tcPr>
          <w:p>
            <w:pPr>
              <w:pStyle w:val="TableParagraph"/>
              <w:spacing w:line="227" w:lineRule="exact"/>
              <w:ind w:left="11"/>
              <w:rPr>
                <w:rFonts w:ascii="Arial"/>
                <w:b/>
                <w:sz w:val="20"/>
              </w:rPr>
            </w:pPr>
            <w:r>
              <w:rPr>
                <w:rFonts w:ascii="Arial"/>
                <w:b/>
                <w:spacing w:val="-10"/>
                <w:sz w:val="20"/>
              </w:rPr>
              <w:t>1</w:t>
            </w:r>
          </w:p>
        </w:tc>
        <w:tc>
          <w:tcPr>
            <w:tcW w:w="4737" w:type="dxa"/>
          </w:tcPr>
          <w:p>
            <w:pPr>
              <w:pStyle w:val="TableParagraph"/>
              <w:numPr>
                <w:ilvl w:val="0"/>
                <w:numId w:val="195"/>
              </w:numPr>
              <w:tabs>
                <w:tab w:pos="431" w:val="left" w:leader="none"/>
              </w:tabs>
              <w:spacing w:line="230" w:lineRule="exact" w:before="0" w:after="0"/>
              <w:ind w:left="431" w:right="0" w:hanging="360"/>
              <w:jc w:val="left"/>
              <w:rPr>
                <w:sz w:val="20"/>
              </w:rPr>
            </w:pPr>
            <w:r>
              <w:rPr>
                <w:sz w:val="20"/>
              </w:rPr>
              <w:t>Diagnóstico</w:t>
            </w:r>
            <w:r>
              <w:rPr>
                <w:spacing w:val="-9"/>
                <w:sz w:val="20"/>
              </w:rPr>
              <w:t> </w:t>
            </w:r>
            <w:r>
              <w:rPr>
                <w:sz w:val="20"/>
              </w:rPr>
              <w:t>serológico</w:t>
            </w:r>
            <w:r>
              <w:rPr>
                <w:spacing w:val="-8"/>
                <w:sz w:val="20"/>
              </w:rPr>
              <w:t> </w:t>
            </w:r>
            <w:r>
              <w:rPr>
                <w:sz w:val="20"/>
              </w:rPr>
              <w:t>de</w:t>
            </w:r>
            <w:r>
              <w:rPr>
                <w:spacing w:val="-9"/>
                <w:sz w:val="20"/>
              </w:rPr>
              <w:t> </w:t>
            </w:r>
            <w:r>
              <w:rPr>
                <w:sz w:val="20"/>
              </w:rPr>
              <w:t>infección</w:t>
            </w:r>
            <w:r>
              <w:rPr>
                <w:spacing w:val="-11"/>
                <w:sz w:val="20"/>
              </w:rPr>
              <w:t> </w:t>
            </w:r>
            <w:r>
              <w:rPr>
                <w:sz w:val="20"/>
              </w:rPr>
              <w:t>por</w:t>
            </w:r>
            <w:r>
              <w:rPr>
                <w:spacing w:val="-7"/>
                <w:sz w:val="20"/>
              </w:rPr>
              <w:t> </w:t>
            </w:r>
            <w:r>
              <w:rPr>
                <w:spacing w:val="-4"/>
                <w:sz w:val="20"/>
              </w:rPr>
              <w:t>VIH;</w:t>
            </w:r>
          </w:p>
          <w:p>
            <w:pPr>
              <w:pStyle w:val="TableParagraph"/>
              <w:numPr>
                <w:ilvl w:val="0"/>
                <w:numId w:val="195"/>
              </w:numPr>
              <w:tabs>
                <w:tab w:pos="431" w:val="left" w:leader="none"/>
              </w:tabs>
              <w:spacing w:line="240" w:lineRule="auto" w:before="0" w:after="0"/>
              <w:ind w:left="431" w:right="0" w:hanging="360"/>
              <w:jc w:val="left"/>
              <w:rPr>
                <w:sz w:val="20"/>
              </w:rPr>
            </w:pPr>
            <w:r>
              <w:rPr>
                <w:sz w:val="20"/>
              </w:rPr>
              <w:t>Sin</w:t>
            </w:r>
            <w:r>
              <w:rPr>
                <w:spacing w:val="-10"/>
                <w:sz w:val="20"/>
              </w:rPr>
              <w:t> </w:t>
            </w:r>
            <w:r>
              <w:rPr>
                <w:sz w:val="20"/>
              </w:rPr>
              <w:t>discapacidad</w:t>
            </w:r>
            <w:r>
              <w:rPr>
                <w:spacing w:val="-11"/>
                <w:sz w:val="20"/>
              </w:rPr>
              <w:t> </w:t>
            </w:r>
            <w:r>
              <w:rPr>
                <w:sz w:val="20"/>
              </w:rPr>
              <w:t>valuable,</w:t>
            </w:r>
            <w:r>
              <w:rPr>
                <w:spacing w:val="-10"/>
                <w:sz w:val="20"/>
              </w:rPr>
              <w:t> y</w:t>
            </w:r>
          </w:p>
          <w:p>
            <w:pPr>
              <w:pStyle w:val="TableParagraph"/>
              <w:numPr>
                <w:ilvl w:val="0"/>
                <w:numId w:val="195"/>
              </w:numPr>
              <w:tabs>
                <w:tab w:pos="431" w:val="left" w:leader="none"/>
              </w:tabs>
              <w:spacing w:line="210" w:lineRule="exact" w:before="1" w:after="0"/>
              <w:ind w:left="431" w:right="0" w:hanging="360"/>
              <w:jc w:val="left"/>
              <w:rPr>
                <w:sz w:val="20"/>
              </w:rPr>
            </w:pPr>
            <w:r>
              <w:rPr>
                <w:sz w:val="20"/>
              </w:rPr>
              <w:t>Requiere</w:t>
            </w:r>
            <w:r>
              <w:rPr>
                <w:spacing w:val="-14"/>
                <w:sz w:val="20"/>
              </w:rPr>
              <w:t> </w:t>
            </w:r>
            <w:r>
              <w:rPr>
                <w:spacing w:val="-2"/>
                <w:sz w:val="20"/>
              </w:rPr>
              <w:t>tratamiento.</w:t>
            </w:r>
          </w:p>
        </w:tc>
        <w:tc>
          <w:tcPr>
            <w:tcW w:w="1532" w:type="dxa"/>
          </w:tcPr>
          <w:p>
            <w:pPr>
              <w:pStyle w:val="TableParagraph"/>
              <w:spacing w:line="240" w:lineRule="auto"/>
              <w:ind w:left="641" w:right="21" w:hanging="432"/>
              <w:jc w:val="left"/>
              <w:rPr>
                <w:sz w:val="20"/>
              </w:rPr>
            </w:pPr>
            <w:r>
              <w:rPr>
                <w:sz w:val="20"/>
              </w:rPr>
              <w:t>A1,</w:t>
            </w:r>
            <w:r>
              <w:rPr>
                <w:spacing w:val="-13"/>
                <w:sz w:val="20"/>
              </w:rPr>
              <w:t> </w:t>
            </w:r>
            <w:r>
              <w:rPr>
                <w:sz w:val="20"/>
              </w:rPr>
              <w:t>A2,</w:t>
            </w:r>
            <w:r>
              <w:rPr>
                <w:spacing w:val="-13"/>
                <w:sz w:val="20"/>
              </w:rPr>
              <w:t> </w:t>
            </w:r>
            <w:r>
              <w:rPr>
                <w:sz w:val="20"/>
              </w:rPr>
              <w:t>B1</w:t>
            </w:r>
            <w:r>
              <w:rPr>
                <w:spacing w:val="-12"/>
                <w:sz w:val="20"/>
              </w:rPr>
              <w:t> </w:t>
            </w:r>
            <w:r>
              <w:rPr>
                <w:sz w:val="20"/>
              </w:rPr>
              <w:t>y </w:t>
            </w:r>
            <w:r>
              <w:rPr>
                <w:spacing w:val="-6"/>
                <w:sz w:val="20"/>
              </w:rPr>
              <w:t>B2</w:t>
            </w:r>
          </w:p>
        </w:tc>
        <w:tc>
          <w:tcPr>
            <w:tcW w:w="2013" w:type="dxa"/>
          </w:tcPr>
          <w:p>
            <w:pPr>
              <w:pStyle w:val="TableParagraph"/>
              <w:spacing w:line="230" w:lineRule="exact"/>
              <w:ind w:left="3"/>
              <w:rPr>
                <w:sz w:val="20"/>
              </w:rPr>
            </w:pPr>
            <w:r>
              <w:rPr>
                <w:spacing w:val="-5"/>
                <w:sz w:val="20"/>
              </w:rPr>
              <w:t>20%</w:t>
            </w:r>
          </w:p>
        </w:tc>
      </w:tr>
      <w:tr>
        <w:trPr>
          <w:trHeight w:val="1609" w:hRule="atLeast"/>
        </w:trPr>
        <w:tc>
          <w:tcPr>
            <w:tcW w:w="1270" w:type="dxa"/>
          </w:tcPr>
          <w:p>
            <w:pPr>
              <w:pStyle w:val="TableParagraph"/>
              <w:spacing w:line="227" w:lineRule="exact"/>
              <w:ind w:left="11"/>
              <w:rPr>
                <w:rFonts w:ascii="Arial"/>
                <w:b/>
                <w:sz w:val="20"/>
              </w:rPr>
            </w:pPr>
            <w:r>
              <w:rPr>
                <w:rFonts w:ascii="Arial"/>
                <w:b/>
                <w:spacing w:val="-10"/>
                <w:sz w:val="20"/>
              </w:rPr>
              <w:t>2</w:t>
            </w:r>
          </w:p>
        </w:tc>
        <w:tc>
          <w:tcPr>
            <w:tcW w:w="4737" w:type="dxa"/>
          </w:tcPr>
          <w:p>
            <w:pPr>
              <w:pStyle w:val="TableParagraph"/>
              <w:numPr>
                <w:ilvl w:val="0"/>
                <w:numId w:val="196"/>
              </w:numPr>
              <w:tabs>
                <w:tab w:pos="430" w:val="left" w:leader="none"/>
              </w:tabs>
              <w:spacing w:line="228" w:lineRule="exact" w:before="0" w:after="0"/>
              <w:ind w:left="430" w:right="0" w:hanging="359"/>
              <w:jc w:val="both"/>
              <w:rPr>
                <w:sz w:val="20"/>
              </w:rPr>
            </w:pPr>
            <w:r>
              <w:rPr>
                <w:spacing w:val="-2"/>
                <w:sz w:val="20"/>
              </w:rPr>
              <w:t>Requiere</w:t>
            </w:r>
            <w:r>
              <w:rPr>
                <w:spacing w:val="6"/>
                <w:sz w:val="20"/>
              </w:rPr>
              <w:t> </w:t>
            </w:r>
            <w:r>
              <w:rPr>
                <w:spacing w:val="-2"/>
                <w:sz w:val="20"/>
              </w:rPr>
              <w:t>tratamiento</w:t>
            </w:r>
            <w:r>
              <w:rPr>
                <w:spacing w:val="2"/>
                <w:sz w:val="20"/>
              </w:rPr>
              <w:t> </w:t>
            </w:r>
            <w:r>
              <w:rPr>
                <w:spacing w:val="-2"/>
                <w:sz w:val="20"/>
              </w:rPr>
              <w:t>continuado;</w:t>
            </w:r>
          </w:p>
          <w:p>
            <w:pPr>
              <w:pStyle w:val="TableParagraph"/>
              <w:numPr>
                <w:ilvl w:val="0"/>
                <w:numId w:val="196"/>
              </w:numPr>
              <w:tabs>
                <w:tab w:pos="431" w:val="left" w:leader="none"/>
              </w:tabs>
              <w:spacing w:line="240" w:lineRule="auto" w:before="0" w:after="0"/>
              <w:ind w:left="431" w:right="61" w:hanging="360"/>
              <w:jc w:val="both"/>
              <w:rPr>
                <w:sz w:val="20"/>
              </w:rPr>
            </w:pPr>
            <w:r>
              <w:rPr>
                <w:sz w:val="20"/>
              </w:rPr>
              <w:t>Presenta menos de tres episodios anuales de enfermedades relacionadas con su inmunodeficiencia, y</w:t>
            </w:r>
          </w:p>
          <w:p>
            <w:pPr>
              <w:pStyle w:val="TableParagraph"/>
              <w:numPr>
                <w:ilvl w:val="0"/>
                <w:numId w:val="196"/>
              </w:numPr>
              <w:tabs>
                <w:tab w:pos="431" w:val="left" w:leader="none"/>
              </w:tabs>
              <w:spacing w:line="230" w:lineRule="atLeast" w:before="0" w:after="0"/>
              <w:ind w:left="431" w:right="62" w:hanging="360"/>
              <w:jc w:val="both"/>
              <w:rPr>
                <w:sz w:val="20"/>
              </w:rPr>
            </w:pPr>
            <w:r>
              <w:rPr>
                <w:sz w:val="20"/>
              </w:rPr>
              <w:t>Requiere atención médica hospitalaria durante al menos 24 horas cada uno o durante menos de 30 días al año.</w:t>
            </w:r>
          </w:p>
        </w:tc>
        <w:tc>
          <w:tcPr>
            <w:tcW w:w="1532" w:type="dxa"/>
          </w:tcPr>
          <w:p>
            <w:pPr>
              <w:pStyle w:val="TableParagraph"/>
              <w:spacing w:line="229" w:lineRule="exact"/>
              <w:ind w:left="5"/>
              <w:rPr>
                <w:sz w:val="20"/>
              </w:rPr>
            </w:pPr>
            <w:r>
              <w:rPr>
                <w:sz w:val="20"/>
              </w:rPr>
              <w:t>A3,</w:t>
            </w:r>
            <w:r>
              <w:rPr>
                <w:spacing w:val="-2"/>
                <w:sz w:val="20"/>
              </w:rPr>
              <w:t> </w:t>
            </w:r>
            <w:r>
              <w:rPr>
                <w:sz w:val="20"/>
              </w:rPr>
              <w:t>B3 y</w:t>
            </w:r>
            <w:r>
              <w:rPr>
                <w:spacing w:val="-7"/>
                <w:sz w:val="20"/>
              </w:rPr>
              <w:t> </w:t>
            </w:r>
            <w:r>
              <w:rPr>
                <w:spacing w:val="-5"/>
                <w:sz w:val="20"/>
              </w:rPr>
              <w:t>C1</w:t>
            </w:r>
          </w:p>
        </w:tc>
        <w:tc>
          <w:tcPr>
            <w:tcW w:w="2013" w:type="dxa"/>
          </w:tcPr>
          <w:p>
            <w:pPr>
              <w:pStyle w:val="TableParagraph"/>
              <w:spacing w:line="229" w:lineRule="exact"/>
              <w:ind w:left="3"/>
              <w:rPr>
                <w:sz w:val="20"/>
              </w:rPr>
            </w:pPr>
            <w:r>
              <w:rPr>
                <w:spacing w:val="-2"/>
                <w:sz w:val="20"/>
              </w:rPr>
              <w:t>21-</w:t>
            </w:r>
            <w:r>
              <w:rPr>
                <w:spacing w:val="-5"/>
                <w:sz w:val="20"/>
              </w:rPr>
              <w:t>25%</w:t>
            </w:r>
          </w:p>
        </w:tc>
      </w:tr>
      <w:tr>
        <w:trPr>
          <w:trHeight w:val="2299" w:hRule="atLeast"/>
        </w:trPr>
        <w:tc>
          <w:tcPr>
            <w:tcW w:w="1270" w:type="dxa"/>
          </w:tcPr>
          <w:p>
            <w:pPr>
              <w:pStyle w:val="TableParagraph"/>
              <w:spacing w:line="227" w:lineRule="exact"/>
              <w:ind w:left="11"/>
              <w:rPr>
                <w:rFonts w:ascii="Arial"/>
                <w:b/>
                <w:sz w:val="20"/>
              </w:rPr>
            </w:pPr>
            <w:r>
              <w:rPr>
                <w:rFonts w:ascii="Arial"/>
                <w:b/>
                <w:spacing w:val="-10"/>
                <w:sz w:val="20"/>
              </w:rPr>
              <w:t>3</w:t>
            </w:r>
          </w:p>
        </w:tc>
        <w:tc>
          <w:tcPr>
            <w:tcW w:w="4737" w:type="dxa"/>
          </w:tcPr>
          <w:p>
            <w:pPr>
              <w:pStyle w:val="TableParagraph"/>
              <w:numPr>
                <w:ilvl w:val="0"/>
                <w:numId w:val="197"/>
              </w:numPr>
              <w:tabs>
                <w:tab w:pos="430" w:val="left" w:leader="none"/>
              </w:tabs>
              <w:spacing w:line="228" w:lineRule="exact" w:before="0" w:after="0"/>
              <w:ind w:left="430" w:right="0" w:hanging="359"/>
              <w:jc w:val="both"/>
              <w:rPr>
                <w:sz w:val="20"/>
              </w:rPr>
            </w:pPr>
            <w:r>
              <w:rPr>
                <w:sz w:val="20"/>
              </w:rPr>
              <w:t>Requiere</w:t>
            </w:r>
            <w:r>
              <w:rPr>
                <w:spacing w:val="-14"/>
                <w:sz w:val="20"/>
              </w:rPr>
              <w:t> </w:t>
            </w:r>
            <w:r>
              <w:rPr>
                <w:sz w:val="20"/>
              </w:rPr>
              <w:t>tratamiento</w:t>
            </w:r>
            <w:r>
              <w:rPr>
                <w:spacing w:val="-14"/>
                <w:sz w:val="20"/>
              </w:rPr>
              <w:t> </w:t>
            </w:r>
            <w:r>
              <w:rPr>
                <w:spacing w:val="-2"/>
                <w:sz w:val="20"/>
              </w:rPr>
              <w:t>continuado;</w:t>
            </w:r>
          </w:p>
          <w:p>
            <w:pPr>
              <w:pStyle w:val="TableParagraph"/>
              <w:numPr>
                <w:ilvl w:val="0"/>
                <w:numId w:val="197"/>
              </w:numPr>
              <w:tabs>
                <w:tab w:pos="431" w:val="left" w:leader="none"/>
              </w:tabs>
              <w:spacing w:line="240" w:lineRule="auto" w:before="0" w:after="0"/>
              <w:ind w:left="431" w:right="62" w:hanging="360"/>
              <w:jc w:val="both"/>
              <w:rPr>
                <w:sz w:val="20"/>
              </w:rPr>
            </w:pPr>
            <w:r>
              <w:rPr>
                <w:sz w:val="20"/>
              </w:rPr>
              <w:t>Presenta de tres a seis episodios anuales de enfermedades relacionadas con su </w:t>
            </w:r>
            <w:r>
              <w:rPr>
                <w:spacing w:val="-2"/>
                <w:sz w:val="20"/>
              </w:rPr>
              <w:t>inmunodeficiencia;</w:t>
            </w:r>
          </w:p>
          <w:p>
            <w:pPr>
              <w:pStyle w:val="TableParagraph"/>
              <w:numPr>
                <w:ilvl w:val="0"/>
                <w:numId w:val="197"/>
              </w:numPr>
              <w:tabs>
                <w:tab w:pos="431" w:val="left" w:leader="none"/>
              </w:tabs>
              <w:spacing w:line="240" w:lineRule="auto" w:before="0" w:after="0"/>
              <w:ind w:left="431" w:right="62" w:hanging="360"/>
              <w:jc w:val="both"/>
              <w:rPr>
                <w:sz w:val="20"/>
              </w:rPr>
            </w:pPr>
            <w:r>
              <w:rPr>
                <w:sz w:val="20"/>
              </w:rPr>
              <w:t>Requiere atención médica hospitalaria durante al menos 24 horas cada uno o durante más de 30 días al año, y</w:t>
            </w:r>
          </w:p>
          <w:p>
            <w:pPr>
              <w:pStyle w:val="TableParagraph"/>
              <w:numPr>
                <w:ilvl w:val="0"/>
                <w:numId w:val="197"/>
              </w:numPr>
              <w:tabs>
                <w:tab w:pos="431" w:val="left" w:leader="none"/>
              </w:tabs>
              <w:spacing w:line="230" w:lineRule="exact" w:before="0" w:after="0"/>
              <w:ind w:left="431" w:right="60" w:hanging="360"/>
              <w:jc w:val="both"/>
              <w:rPr>
                <w:sz w:val="20"/>
              </w:rPr>
            </w:pPr>
            <w:r>
              <w:rPr>
                <w:sz w:val="20"/>
              </w:rPr>
              <w:t>Puede realizar las actividades de la vida diaria, con disminución de la capacidad para realizar actividades laborales.</w:t>
            </w:r>
          </w:p>
        </w:tc>
        <w:tc>
          <w:tcPr>
            <w:tcW w:w="1532" w:type="dxa"/>
          </w:tcPr>
          <w:p>
            <w:pPr>
              <w:pStyle w:val="TableParagraph"/>
              <w:spacing w:line="229" w:lineRule="exact"/>
              <w:ind w:left="5"/>
              <w:rPr>
                <w:sz w:val="20"/>
              </w:rPr>
            </w:pPr>
            <w:r>
              <w:rPr>
                <w:sz w:val="20"/>
              </w:rPr>
              <w:t>C2</w:t>
            </w:r>
            <w:r>
              <w:rPr>
                <w:spacing w:val="-1"/>
                <w:sz w:val="20"/>
              </w:rPr>
              <w:t> </w:t>
            </w:r>
            <w:r>
              <w:rPr>
                <w:sz w:val="20"/>
              </w:rPr>
              <w:t>y</w:t>
            </w:r>
            <w:r>
              <w:rPr>
                <w:spacing w:val="-4"/>
                <w:sz w:val="20"/>
              </w:rPr>
              <w:t> </w:t>
            </w:r>
            <w:r>
              <w:rPr>
                <w:spacing w:val="-5"/>
                <w:sz w:val="20"/>
              </w:rPr>
              <w:t>C3</w:t>
            </w:r>
          </w:p>
        </w:tc>
        <w:tc>
          <w:tcPr>
            <w:tcW w:w="2013" w:type="dxa"/>
          </w:tcPr>
          <w:p>
            <w:pPr>
              <w:pStyle w:val="TableParagraph"/>
              <w:spacing w:line="229" w:lineRule="exact"/>
              <w:ind w:left="3" w:right="2"/>
              <w:rPr>
                <w:sz w:val="20"/>
              </w:rPr>
            </w:pPr>
            <w:r>
              <w:rPr>
                <w:sz w:val="20"/>
              </w:rPr>
              <w:t>26-</w:t>
            </w:r>
            <w:r>
              <w:rPr>
                <w:spacing w:val="-5"/>
                <w:sz w:val="20"/>
              </w:rPr>
              <w:t> 59%</w:t>
            </w:r>
          </w:p>
        </w:tc>
      </w:tr>
      <w:tr>
        <w:trPr>
          <w:trHeight w:val="1151" w:hRule="atLeast"/>
        </w:trPr>
        <w:tc>
          <w:tcPr>
            <w:tcW w:w="1270" w:type="dxa"/>
          </w:tcPr>
          <w:p>
            <w:pPr>
              <w:pStyle w:val="TableParagraph"/>
              <w:spacing w:line="227" w:lineRule="exact"/>
              <w:ind w:left="11"/>
              <w:rPr>
                <w:rFonts w:ascii="Arial"/>
                <w:b/>
                <w:sz w:val="20"/>
              </w:rPr>
            </w:pPr>
            <w:r>
              <w:rPr>
                <w:rFonts w:ascii="Arial"/>
                <w:b/>
                <w:spacing w:val="-10"/>
                <w:sz w:val="20"/>
              </w:rPr>
              <w:t>4</w:t>
            </w:r>
          </w:p>
        </w:tc>
        <w:tc>
          <w:tcPr>
            <w:tcW w:w="4737" w:type="dxa"/>
          </w:tcPr>
          <w:p>
            <w:pPr>
              <w:pStyle w:val="TableParagraph"/>
              <w:numPr>
                <w:ilvl w:val="0"/>
                <w:numId w:val="198"/>
              </w:numPr>
              <w:tabs>
                <w:tab w:pos="431" w:val="left" w:leader="none"/>
              </w:tabs>
              <w:spacing w:line="229" w:lineRule="exact" w:before="0" w:after="0"/>
              <w:ind w:left="431" w:right="0" w:hanging="360"/>
              <w:jc w:val="left"/>
              <w:rPr>
                <w:sz w:val="20"/>
              </w:rPr>
            </w:pPr>
            <w:r>
              <w:rPr>
                <w:spacing w:val="-2"/>
                <w:sz w:val="20"/>
              </w:rPr>
              <w:t>Requiere</w:t>
            </w:r>
            <w:r>
              <w:rPr>
                <w:spacing w:val="6"/>
                <w:sz w:val="20"/>
              </w:rPr>
              <w:t> </w:t>
            </w:r>
            <w:r>
              <w:rPr>
                <w:spacing w:val="-2"/>
                <w:sz w:val="20"/>
              </w:rPr>
              <w:t>tratamiento</w:t>
            </w:r>
            <w:r>
              <w:rPr>
                <w:spacing w:val="2"/>
                <w:sz w:val="20"/>
              </w:rPr>
              <w:t> </w:t>
            </w:r>
            <w:r>
              <w:rPr>
                <w:spacing w:val="-2"/>
                <w:sz w:val="20"/>
              </w:rPr>
              <w:t>continuado;</w:t>
            </w:r>
          </w:p>
          <w:p>
            <w:pPr>
              <w:pStyle w:val="TableParagraph"/>
              <w:numPr>
                <w:ilvl w:val="0"/>
                <w:numId w:val="198"/>
              </w:numPr>
              <w:tabs>
                <w:tab w:pos="431" w:val="left" w:leader="none"/>
                <w:tab w:pos="2134" w:val="left" w:leader="none"/>
                <w:tab w:pos="3695" w:val="left" w:leader="none"/>
                <w:tab w:pos="4445" w:val="left" w:leader="none"/>
              </w:tabs>
              <w:spacing w:line="240" w:lineRule="auto" w:before="0" w:after="0"/>
              <w:ind w:left="431" w:right="62" w:hanging="360"/>
              <w:jc w:val="left"/>
              <w:rPr>
                <w:sz w:val="20"/>
              </w:rPr>
            </w:pPr>
            <w:r>
              <w:rPr>
                <w:sz w:val="20"/>
              </w:rPr>
              <w:t>Presenta</w:t>
            </w:r>
            <w:r>
              <w:rPr>
                <w:spacing w:val="40"/>
                <w:sz w:val="20"/>
              </w:rPr>
              <w:t> </w:t>
            </w:r>
            <w:r>
              <w:rPr>
                <w:sz w:val="20"/>
              </w:rPr>
              <w:t>más</w:t>
            </w:r>
            <w:r>
              <w:rPr>
                <w:spacing w:val="40"/>
                <w:sz w:val="20"/>
              </w:rPr>
              <w:t> </w:t>
            </w:r>
            <w:r>
              <w:rPr>
                <w:sz w:val="20"/>
              </w:rPr>
              <w:t>de</w:t>
            </w:r>
            <w:r>
              <w:rPr>
                <w:spacing w:val="40"/>
                <w:sz w:val="20"/>
              </w:rPr>
              <w:t> </w:t>
            </w:r>
            <w:r>
              <w:rPr>
                <w:sz w:val="20"/>
              </w:rPr>
              <w:t>seis</w:t>
            </w:r>
            <w:r>
              <w:rPr>
                <w:spacing w:val="40"/>
                <w:sz w:val="20"/>
              </w:rPr>
              <w:t> </w:t>
            </w:r>
            <w:r>
              <w:rPr>
                <w:sz w:val="20"/>
              </w:rPr>
              <w:t>episodios</w:t>
            </w:r>
            <w:r>
              <w:rPr>
                <w:spacing w:val="40"/>
                <w:sz w:val="20"/>
              </w:rPr>
              <w:t> </w:t>
            </w:r>
            <w:r>
              <w:rPr>
                <w:sz w:val="20"/>
              </w:rPr>
              <w:t>anuales</w:t>
            </w:r>
            <w:r>
              <w:rPr>
                <w:spacing w:val="40"/>
                <w:sz w:val="20"/>
              </w:rPr>
              <w:t> </w:t>
            </w:r>
            <w:r>
              <w:rPr>
                <w:sz w:val="20"/>
              </w:rPr>
              <w:t>de </w:t>
            </w:r>
            <w:r>
              <w:rPr>
                <w:spacing w:val="-2"/>
                <w:sz w:val="20"/>
              </w:rPr>
              <w:t>enfermedades</w:t>
            </w:r>
            <w:r>
              <w:rPr>
                <w:sz w:val="20"/>
              </w:rPr>
              <w:tab/>
            </w:r>
            <w:r>
              <w:rPr>
                <w:spacing w:val="-2"/>
                <w:sz w:val="20"/>
              </w:rPr>
              <w:t>relacionadas</w:t>
            </w:r>
            <w:r>
              <w:rPr>
                <w:sz w:val="20"/>
              </w:rPr>
              <w:tab/>
            </w:r>
            <w:r>
              <w:rPr>
                <w:spacing w:val="-4"/>
                <w:sz w:val="20"/>
              </w:rPr>
              <w:t>con</w:t>
            </w:r>
            <w:r>
              <w:rPr>
                <w:sz w:val="20"/>
              </w:rPr>
              <w:tab/>
            </w:r>
            <w:r>
              <w:rPr>
                <w:spacing w:val="-6"/>
                <w:sz w:val="20"/>
              </w:rPr>
              <w:t>su</w:t>
            </w:r>
          </w:p>
          <w:p>
            <w:pPr>
              <w:pStyle w:val="TableParagraph"/>
              <w:tabs>
                <w:tab w:pos="2292" w:val="left" w:leader="none"/>
                <w:tab w:pos="2886" w:val="left" w:leader="none"/>
                <w:tab w:pos="3901" w:val="left" w:leader="none"/>
              </w:tabs>
              <w:spacing w:line="228" w:lineRule="exact"/>
              <w:ind w:left="431" w:right="62"/>
              <w:jc w:val="left"/>
              <w:rPr>
                <w:sz w:val="20"/>
              </w:rPr>
            </w:pPr>
            <w:r>
              <w:rPr>
                <w:spacing w:val="-2"/>
                <w:sz w:val="20"/>
              </w:rPr>
              <w:t>inmunodeficiencia</w:t>
            </w:r>
            <w:r>
              <w:rPr>
                <w:sz w:val="20"/>
              </w:rPr>
              <w:tab/>
            </w:r>
            <w:r>
              <w:rPr>
                <w:spacing w:val="-4"/>
                <w:sz w:val="20"/>
              </w:rPr>
              <w:t>que</w:t>
            </w:r>
            <w:r>
              <w:rPr>
                <w:sz w:val="20"/>
              </w:rPr>
              <w:tab/>
            </w:r>
            <w:r>
              <w:rPr>
                <w:spacing w:val="-2"/>
                <w:sz w:val="20"/>
              </w:rPr>
              <w:t>precisan</w:t>
            </w:r>
            <w:r>
              <w:rPr>
                <w:sz w:val="20"/>
              </w:rPr>
              <w:tab/>
            </w:r>
            <w:r>
              <w:rPr>
                <w:spacing w:val="-2"/>
                <w:sz w:val="20"/>
              </w:rPr>
              <w:t>atención </w:t>
            </w:r>
            <w:r>
              <w:rPr>
                <w:sz w:val="20"/>
              </w:rPr>
              <w:t>médica hospitalaria;</w:t>
            </w:r>
          </w:p>
        </w:tc>
        <w:tc>
          <w:tcPr>
            <w:tcW w:w="1532" w:type="dxa"/>
          </w:tcPr>
          <w:p>
            <w:pPr>
              <w:pStyle w:val="TableParagraph"/>
              <w:spacing w:line="229" w:lineRule="exact"/>
              <w:ind w:left="5"/>
              <w:rPr>
                <w:sz w:val="20"/>
              </w:rPr>
            </w:pPr>
            <w:r>
              <w:rPr>
                <w:sz w:val="20"/>
              </w:rPr>
              <w:t>C2</w:t>
            </w:r>
            <w:r>
              <w:rPr>
                <w:spacing w:val="-1"/>
                <w:sz w:val="20"/>
              </w:rPr>
              <w:t> </w:t>
            </w:r>
            <w:r>
              <w:rPr>
                <w:sz w:val="20"/>
              </w:rPr>
              <w:t>y</w:t>
            </w:r>
            <w:r>
              <w:rPr>
                <w:spacing w:val="-4"/>
                <w:sz w:val="20"/>
              </w:rPr>
              <w:t> </w:t>
            </w:r>
            <w:r>
              <w:rPr>
                <w:spacing w:val="-5"/>
                <w:sz w:val="20"/>
              </w:rPr>
              <w:t>C3</w:t>
            </w:r>
          </w:p>
        </w:tc>
        <w:tc>
          <w:tcPr>
            <w:tcW w:w="2013" w:type="dxa"/>
          </w:tcPr>
          <w:p>
            <w:pPr>
              <w:pStyle w:val="TableParagraph"/>
              <w:spacing w:line="229" w:lineRule="exact"/>
              <w:ind w:left="3" w:right="2"/>
              <w:rPr>
                <w:sz w:val="20"/>
              </w:rPr>
            </w:pPr>
            <w:r>
              <w:rPr>
                <w:sz w:val="20"/>
              </w:rPr>
              <w:t>60</w:t>
            </w:r>
            <w:r>
              <w:rPr>
                <w:spacing w:val="-3"/>
                <w:sz w:val="20"/>
              </w:rPr>
              <w:t> </w:t>
            </w:r>
            <w:r>
              <w:rPr>
                <w:sz w:val="20"/>
              </w:rPr>
              <w:t>a</w:t>
            </w:r>
            <w:r>
              <w:rPr>
                <w:spacing w:val="-1"/>
                <w:sz w:val="20"/>
              </w:rPr>
              <w:t> </w:t>
            </w:r>
            <w:r>
              <w:rPr>
                <w:spacing w:val="-5"/>
                <w:sz w:val="20"/>
              </w:rPr>
              <w:t>79%</w:t>
            </w:r>
          </w:p>
        </w:tc>
      </w:tr>
    </w:tbl>
    <w:p>
      <w:pPr>
        <w:pStyle w:val="TableParagraph"/>
        <w:spacing w:after="0" w:line="229" w:lineRule="exact"/>
        <w:rPr>
          <w:sz w:val="20"/>
        </w:rPr>
        <w:sectPr>
          <w:pgSz w:w="12240" w:h="15840"/>
          <w:pgMar w:header="724" w:footer="712" w:top="1880" w:bottom="900" w:left="1080" w:right="1080"/>
        </w:sectPr>
      </w:pPr>
    </w:p>
    <w:p>
      <w:pPr>
        <w:pStyle w:val="BodyText"/>
        <w:spacing w:before="68"/>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70"/>
        <w:gridCol w:w="4737"/>
        <w:gridCol w:w="1532"/>
        <w:gridCol w:w="2013"/>
      </w:tblGrid>
      <w:tr>
        <w:trPr>
          <w:trHeight w:val="918" w:hRule="atLeast"/>
        </w:trPr>
        <w:tc>
          <w:tcPr>
            <w:tcW w:w="1270" w:type="dxa"/>
          </w:tcPr>
          <w:p>
            <w:pPr>
              <w:pStyle w:val="TableParagraph"/>
              <w:spacing w:line="240" w:lineRule="auto"/>
              <w:ind w:left="0"/>
              <w:jc w:val="left"/>
              <w:rPr>
                <w:rFonts w:ascii="Times New Roman"/>
                <w:sz w:val="18"/>
              </w:rPr>
            </w:pPr>
          </w:p>
        </w:tc>
        <w:tc>
          <w:tcPr>
            <w:tcW w:w="4737" w:type="dxa"/>
          </w:tcPr>
          <w:p>
            <w:pPr>
              <w:pStyle w:val="TableParagraph"/>
              <w:numPr>
                <w:ilvl w:val="0"/>
                <w:numId w:val="199"/>
              </w:numPr>
              <w:tabs>
                <w:tab w:pos="431" w:val="left" w:leader="none"/>
              </w:tabs>
              <w:spacing w:line="240" w:lineRule="auto" w:before="0" w:after="0"/>
              <w:ind w:left="431" w:right="61" w:hanging="360"/>
              <w:jc w:val="left"/>
              <w:rPr>
                <w:sz w:val="20"/>
              </w:rPr>
            </w:pPr>
            <w:r>
              <w:rPr>
                <w:sz w:val="20"/>
              </w:rPr>
              <w:t>Requiere al menos 24 horas o durante más de 60 días al año, y</w:t>
            </w:r>
          </w:p>
          <w:p>
            <w:pPr>
              <w:pStyle w:val="TableParagraph"/>
              <w:numPr>
                <w:ilvl w:val="0"/>
                <w:numId w:val="199"/>
              </w:numPr>
              <w:tabs>
                <w:tab w:pos="431" w:val="left" w:leader="none"/>
              </w:tabs>
              <w:spacing w:line="230" w:lineRule="exact" w:before="0" w:after="0"/>
              <w:ind w:left="431" w:right="65" w:hanging="360"/>
              <w:jc w:val="left"/>
              <w:rPr>
                <w:sz w:val="20"/>
              </w:rPr>
            </w:pPr>
            <w:r>
              <w:rPr>
                <w:sz w:val="20"/>
              </w:rPr>
              <w:t>Disminución</w:t>
            </w:r>
            <w:r>
              <w:rPr>
                <w:spacing w:val="27"/>
                <w:sz w:val="20"/>
              </w:rPr>
              <w:t> </w:t>
            </w:r>
            <w:r>
              <w:rPr>
                <w:sz w:val="20"/>
              </w:rPr>
              <w:t>de</w:t>
            </w:r>
            <w:r>
              <w:rPr>
                <w:spacing w:val="26"/>
                <w:sz w:val="20"/>
              </w:rPr>
              <w:t> </w:t>
            </w:r>
            <w:r>
              <w:rPr>
                <w:sz w:val="20"/>
              </w:rPr>
              <w:t>la</w:t>
            </w:r>
            <w:r>
              <w:rPr>
                <w:spacing w:val="25"/>
                <w:sz w:val="20"/>
              </w:rPr>
              <w:t> </w:t>
            </w:r>
            <w:r>
              <w:rPr>
                <w:sz w:val="20"/>
              </w:rPr>
              <w:t>capacidad</w:t>
            </w:r>
            <w:r>
              <w:rPr>
                <w:spacing w:val="27"/>
                <w:sz w:val="20"/>
              </w:rPr>
              <w:t> </w:t>
            </w:r>
            <w:r>
              <w:rPr>
                <w:sz w:val="20"/>
              </w:rPr>
              <w:t>para</w:t>
            </w:r>
            <w:r>
              <w:rPr>
                <w:spacing w:val="27"/>
                <w:sz w:val="20"/>
              </w:rPr>
              <w:t> </w:t>
            </w:r>
            <w:r>
              <w:rPr>
                <w:sz w:val="20"/>
              </w:rPr>
              <w:t>realizar</w:t>
            </w:r>
            <w:r>
              <w:rPr>
                <w:spacing w:val="28"/>
                <w:sz w:val="20"/>
              </w:rPr>
              <w:t> </w:t>
            </w:r>
            <w:r>
              <w:rPr>
                <w:sz w:val="20"/>
              </w:rPr>
              <w:t>las actividades de la vida diaria.</w:t>
            </w:r>
          </w:p>
        </w:tc>
        <w:tc>
          <w:tcPr>
            <w:tcW w:w="1532" w:type="dxa"/>
          </w:tcPr>
          <w:p>
            <w:pPr>
              <w:pStyle w:val="TableParagraph"/>
              <w:spacing w:line="240" w:lineRule="auto"/>
              <w:ind w:left="0"/>
              <w:jc w:val="left"/>
              <w:rPr>
                <w:rFonts w:ascii="Times New Roman"/>
                <w:sz w:val="18"/>
              </w:rPr>
            </w:pPr>
          </w:p>
        </w:tc>
        <w:tc>
          <w:tcPr>
            <w:tcW w:w="2013" w:type="dxa"/>
          </w:tcPr>
          <w:p>
            <w:pPr>
              <w:pStyle w:val="TableParagraph"/>
              <w:spacing w:line="240" w:lineRule="auto"/>
              <w:ind w:left="0"/>
              <w:jc w:val="left"/>
              <w:rPr>
                <w:rFonts w:ascii="Times New Roman"/>
                <w:sz w:val="18"/>
              </w:rPr>
            </w:pPr>
          </w:p>
        </w:tc>
      </w:tr>
      <w:tr>
        <w:trPr>
          <w:trHeight w:val="919" w:hRule="atLeast"/>
        </w:trPr>
        <w:tc>
          <w:tcPr>
            <w:tcW w:w="1270" w:type="dxa"/>
          </w:tcPr>
          <w:p>
            <w:pPr>
              <w:pStyle w:val="TableParagraph"/>
              <w:spacing w:line="226" w:lineRule="exact"/>
              <w:ind w:left="11"/>
              <w:rPr>
                <w:rFonts w:ascii="Arial"/>
                <w:b/>
                <w:sz w:val="20"/>
              </w:rPr>
            </w:pPr>
            <w:r>
              <w:rPr>
                <w:rFonts w:ascii="Arial"/>
                <w:b/>
                <w:spacing w:val="-10"/>
                <w:sz w:val="20"/>
              </w:rPr>
              <w:t>5</w:t>
            </w:r>
          </w:p>
        </w:tc>
        <w:tc>
          <w:tcPr>
            <w:tcW w:w="4737" w:type="dxa"/>
          </w:tcPr>
          <w:p>
            <w:pPr>
              <w:pStyle w:val="TableParagraph"/>
              <w:numPr>
                <w:ilvl w:val="0"/>
                <w:numId w:val="200"/>
              </w:numPr>
              <w:tabs>
                <w:tab w:pos="431" w:val="left" w:leader="none"/>
              </w:tabs>
              <w:spacing w:line="228" w:lineRule="exact" w:before="0" w:after="0"/>
              <w:ind w:left="431" w:right="0" w:hanging="360"/>
              <w:jc w:val="left"/>
              <w:rPr>
                <w:sz w:val="20"/>
              </w:rPr>
            </w:pPr>
            <w:r>
              <w:rPr>
                <w:sz w:val="20"/>
              </w:rPr>
              <w:t>Cumple</w:t>
            </w:r>
            <w:r>
              <w:rPr>
                <w:spacing w:val="-6"/>
                <w:sz w:val="20"/>
              </w:rPr>
              <w:t> </w:t>
            </w:r>
            <w:r>
              <w:rPr>
                <w:sz w:val="20"/>
              </w:rPr>
              <w:t>los</w:t>
            </w:r>
            <w:r>
              <w:rPr>
                <w:spacing w:val="-4"/>
                <w:sz w:val="20"/>
              </w:rPr>
              <w:t> </w:t>
            </w:r>
            <w:r>
              <w:rPr>
                <w:sz w:val="20"/>
              </w:rPr>
              <w:t>criterios</w:t>
            </w:r>
            <w:r>
              <w:rPr>
                <w:spacing w:val="-5"/>
                <w:sz w:val="20"/>
              </w:rPr>
              <w:t> </w:t>
            </w:r>
            <w:r>
              <w:rPr>
                <w:sz w:val="20"/>
              </w:rPr>
              <w:t>de</w:t>
            </w:r>
            <w:r>
              <w:rPr>
                <w:spacing w:val="-5"/>
                <w:sz w:val="20"/>
              </w:rPr>
              <w:t> </w:t>
            </w:r>
            <w:r>
              <w:rPr>
                <w:sz w:val="20"/>
              </w:rPr>
              <w:t>la</w:t>
            </w:r>
            <w:r>
              <w:rPr>
                <w:spacing w:val="-5"/>
                <w:sz w:val="20"/>
              </w:rPr>
              <w:t> </w:t>
            </w:r>
            <w:r>
              <w:rPr>
                <w:sz w:val="20"/>
              </w:rPr>
              <w:t>clase</w:t>
            </w:r>
            <w:r>
              <w:rPr>
                <w:spacing w:val="-5"/>
                <w:sz w:val="20"/>
              </w:rPr>
              <w:t> 4;</w:t>
            </w:r>
          </w:p>
          <w:p>
            <w:pPr>
              <w:pStyle w:val="TableParagraph"/>
              <w:numPr>
                <w:ilvl w:val="0"/>
                <w:numId w:val="200"/>
              </w:numPr>
              <w:tabs>
                <w:tab w:pos="431" w:val="left" w:leader="none"/>
              </w:tabs>
              <w:spacing w:line="240" w:lineRule="auto" w:before="0" w:after="0"/>
              <w:ind w:left="431" w:right="56" w:hanging="360"/>
              <w:jc w:val="left"/>
              <w:rPr>
                <w:sz w:val="20"/>
              </w:rPr>
            </w:pPr>
            <w:r>
              <w:rPr>
                <w:sz w:val="20"/>
              </w:rPr>
              <w:t>Imposibilidad para</w:t>
            </w:r>
            <w:r>
              <w:rPr>
                <w:spacing w:val="-1"/>
                <w:sz w:val="20"/>
              </w:rPr>
              <w:t> </w:t>
            </w:r>
            <w:r>
              <w:rPr>
                <w:sz w:val="20"/>
              </w:rPr>
              <w:t>realizar las actividades de</w:t>
            </w:r>
            <w:r>
              <w:rPr>
                <w:spacing w:val="-1"/>
                <w:sz w:val="20"/>
              </w:rPr>
              <w:t> </w:t>
            </w:r>
            <w:r>
              <w:rPr>
                <w:sz w:val="20"/>
              </w:rPr>
              <w:t>la vida diaria y de autocuidado, y</w:t>
            </w:r>
          </w:p>
          <w:p>
            <w:pPr>
              <w:pStyle w:val="TableParagraph"/>
              <w:numPr>
                <w:ilvl w:val="0"/>
                <w:numId w:val="200"/>
              </w:numPr>
              <w:tabs>
                <w:tab w:pos="431" w:val="left" w:leader="none"/>
              </w:tabs>
              <w:spacing w:line="210" w:lineRule="exact" w:before="1" w:after="0"/>
              <w:ind w:left="431" w:right="0" w:hanging="360"/>
              <w:jc w:val="left"/>
              <w:rPr>
                <w:sz w:val="20"/>
              </w:rPr>
            </w:pPr>
            <w:r>
              <w:rPr>
                <w:sz w:val="20"/>
              </w:rPr>
              <w:t>Depende</w:t>
            </w:r>
            <w:r>
              <w:rPr>
                <w:spacing w:val="-7"/>
                <w:sz w:val="20"/>
              </w:rPr>
              <w:t> </w:t>
            </w:r>
            <w:r>
              <w:rPr>
                <w:sz w:val="20"/>
              </w:rPr>
              <w:t>de</w:t>
            </w:r>
            <w:r>
              <w:rPr>
                <w:spacing w:val="-7"/>
                <w:sz w:val="20"/>
              </w:rPr>
              <w:t> </w:t>
            </w:r>
            <w:r>
              <w:rPr>
                <w:sz w:val="20"/>
              </w:rPr>
              <w:t>otra</w:t>
            </w:r>
            <w:r>
              <w:rPr>
                <w:spacing w:val="-8"/>
                <w:sz w:val="20"/>
              </w:rPr>
              <w:t> </w:t>
            </w:r>
            <w:r>
              <w:rPr>
                <w:spacing w:val="-2"/>
                <w:sz w:val="20"/>
              </w:rPr>
              <w:t>persona.</w:t>
            </w:r>
          </w:p>
        </w:tc>
        <w:tc>
          <w:tcPr>
            <w:tcW w:w="1532" w:type="dxa"/>
          </w:tcPr>
          <w:p>
            <w:pPr>
              <w:pStyle w:val="TableParagraph"/>
              <w:spacing w:line="228" w:lineRule="exact"/>
              <w:ind w:left="401"/>
              <w:jc w:val="left"/>
              <w:rPr>
                <w:sz w:val="20"/>
              </w:rPr>
            </w:pPr>
            <w:r>
              <w:rPr>
                <w:sz w:val="20"/>
              </w:rPr>
              <w:t>C2</w:t>
            </w:r>
            <w:r>
              <w:rPr>
                <w:spacing w:val="-1"/>
                <w:sz w:val="20"/>
              </w:rPr>
              <w:t> </w:t>
            </w:r>
            <w:r>
              <w:rPr>
                <w:sz w:val="20"/>
              </w:rPr>
              <w:t>y</w:t>
            </w:r>
            <w:r>
              <w:rPr>
                <w:spacing w:val="-4"/>
                <w:sz w:val="20"/>
              </w:rPr>
              <w:t> </w:t>
            </w:r>
            <w:r>
              <w:rPr>
                <w:spacing w:val="-5"/>
                <w:sz w:val="20"/>
              </w:rPr>
              <w:t>C3</w:t>
            </w:r>
          </w:p>
        </w:tc>
        <w:tc>
          <w:tcPr>
            <w:tcW w:w="2013" w:type="dxa"/>
          </w:tcPr>
          <w:p>
            <w:pPr>
              <w:pStyle w:val="TableParagraph"/>
              <w:spacing w:line="228" w:lineRule="exact"/>
              <w:ind w:left="523"/>
              <w:jc w:val="left"/>
              <w:rPr>
                <w:sz w:val="20"/>
              </w:rPr>
            </w:pPr>
            <w:r>
              <w:rPr>
                <w:sz w:val="20"/>
              </w:rPr>
              <w:t>80</w:t>
            </w:r>
            <w:r>
              <w:rPr>
                <w:spacing w:val="-3"/>
                <w:sz w:val="20"/>
              </w:rPr>
              <w:t> </w:t>
            </w:r>
            <w:r>
              <w:rPr>
                <w:sz w:val="20"/>
              </w:rPr>
              <w:t>a</w:t>
            </w:r>
            <w:r>
              <w:rPr>
                <w:spacing w:val="-1"/>
                <w:sz w:val="20"/>
              </w:rPr>
              <w:t> </w:t>
            </w:r>
            <w:r>
              <w:rPr>
                <w:spacing w:val="-4"/>
                <w:sz w:val="20"/>
              </w:rPr>
              <w:t>100%</w:t>
            </w:r>
          </w:p>
        </w:tc>
      </w:tr>
    </w:tbl>
    <w:p>
      <w:pPr>
        <w:spacing w:before="228"/>
        <w:ind w:left="295" w:right="296" w:firstLine="0"/>
        <w:jc w:val="center"/>
        <w:rPr>
          <w:rFonts w:ascii="Arial"/>
          <w:b/>
          <w:sz w:val="20"/>
        </w:rPr>
      </w:pPr>
      <w:r>
        <w:rPr>
          <w:rFonts w:ascii="Arial"/>
          <w:b/>
          <w:sz w:val="20"/>
        </w:rPr>
        <w:t>Trastornos</w:t>
      </w:r>
      <w:r>
        <w:rPr>
          <w:rFonts w:ascii="Arial"/>
          <w:b/>
          <w:spacing w:val="-14"/>
          <w:sz w:val="20"/>
        </w:rPr>
        <w:t> </w:t>
      </w:r>
      <w:r>
        <w:rPr>
          <w:rFonts w:ascii="Arial"/>
          <w:b/>
          <w:spacing w:val="-2"/>
          <w:sz w:val="20"/>
        </w:rPr>
        <w:t>mentales</w:t>
      </w:r>
    </w:p>
    <w:p>
      <w:pPr>
        <w:pStyle w:val="BodyText"/>
        <w:spacing w:before="1" w:after="1"/>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8484"/>
      </w:tblGrid>
      <w:tr>
        <w:trPr>
          <w:trHeight w:val="691" w:hRule="atLeast"/>
        </w:trPr>
        <w:tc>
          <w:tcPr>
            <w:tcW w:w="1066" w:type="dxa"/>
          </w:tcPr>
          <w:p>
            <w:pPr>
              <w:pStyle w:val="TableParagraph"/>
              <w:spacing w:line="240" w:lineRule="auto"/>
              <w:ind w:left="0"/>
              <w:jc w:val="left"/>
              <w:rPr>
                <w:rFonts w:ascii="Arial"/>
                <w:b/>
                <w:sz w:val="20"/>
              </w:rPr>
            </w:pPr>
          </w:p>
          <w:p>
            <w:pPr>
              <w:pStyle w:val="TableParagraph"/>
              <w:spacing w:line="240" w:lineRule="auto"/>
              <w:ind w:left="9"/>
              <w:rPr>
                <w:sz w:val="20"/>
              </w:rPr>
            </w:pPr>
            <w:r>
              <w:rPr>
                <w:spacing w:val="-5"/>
                <w:sz w:val="20"/>
              </w:rPr>
              <w:t>523</w:t>
            </w:r>
          </w:p>
        </w:tc>
        <w:tc>
          <w:tcPr>
            <w:tcW w:w="8484" w:type="dxa"/>
          </w:tcPr>
          <w:p>
            <w:pPr>
              <w:pStyle w:val="TableParagraph"/>
              <w:spacing w:line="240" w:lineRule="auto" w:before="1"/>
              <w:jc w:val="left"/>
              <w:rPr>
                <w:sz w:val="20"/>
              </w:rPr>
            </w:pPr>
            <w:r>
              <w:rPr>
                <w:sz w:val="20"/>
              </w:rPr>
              <w:t>Los</w:t>
            </w:r>
            <w:r>
              <w:rPr>
                <w:spacing w:val="-6"/>
                <w:sz w:val="20"/>
              </w:rPr>
              <w:t> </w:t>
            </w:r>
            <w:r>
              <w:rPr>
                <w:sz w:val="20"/>
              </w:rPr>
              <w:t>trastornos</w:t>
            </w:r>
            <w:r>
              <w:rPr>
                <w:spacing w:val="-6"/>
                <w:sz w:val="20"/>
              </w:rPr>
              <w:t> </w:t>
            </w:r>
            <w:r>
              <w:rPr>
                <w:sz w:val="20"/>
              </w:rPr>
              <w:t>mentales</w:t>
            </w:r>
            <w:r>
              <w:rPr>
                <w:spacing w:val="-5"/>
                <w:sz w:val="20"/>
              </w:rPr>
              <w:t> </w:t>
            </w:r>
            <w:r>
              <w:rPr>
                <w:sz w:val="20"/>
              </w:rPr>
              <w:t>se</w:t>
            </w:r>
            <w:r>
              <w:rPr>
                <w:spacing w:val="-5"/>
                <w:sz w:val="20"/>
              </w:rPr>
              <w:t> </w:t>
            </w:r>
            <w:r>
              <w:rPr>
                <w:sz w:val="20"/>
              </w:rPr>
              <w:t>evaluarán</w:t>
            </w:r>
            <w:r>
              <w:rPr>
                <w:spacing w:val="-7"/>
                <w:sz w:val="20"/>
              </w:rPr>
              <w:t> </w:t>
            </w:r>
            <w:r>
              <w:rPr>
                <w:sz w:val="20"/>
              </w:rPr>
              <w:t>conforme</w:t>
            </w:r>
            <w:r>
              <w:rPr>
                <w:spacing w:val="-6"/>
                <w:sz w:val="20"/>
              </w:rPr>
              <w:t> </w:t>
            </w:r>
            <w:r>
              <w:rPr>
                <w:sz w:val="20"/>
              </w:rPr>
              <w:t>a</w:t>
            </w:r>
            <w:r>
              <w:rPr>
                <w:spacing w:val="-8"/>
                <w:sz w:val="20"/>
              </w:rPr>
              <w:t> </w:t>
            </w:r>
            <w:r>
              <w:rPr>
                <w:sz w:val="20"/>
              </w:rPr>
              <w:t>la</w:t>
            </w:r>
            <w:r>
              <w:rPr>
                <w:spacing w:val="-6"/>
                <w:sz w:val="20"/>
              </w:rPr>
              <w:t> </w:t>
            </w:r>
            <w:r>
              <w:rPr>
                <w:sz w:val="20"/>
              </w:rPr>
              <w:t>Tabla</w:t>
            </w:r>
            <w:r>
              <w:rPr>
                <w:spacing w:val="-7"/>
                <w:sz w:val="20"/>
              </w:rPr>
              <w:t> </w:t>
            </w:r>
            <w:r>
              <w:rPr>
                <w:spacing w:val="-5"/>
                <w:sz w:val="20"/>
              </w:rPr>
              <w:t>XV</w:t>
            </w:r>
          </w:p>
          <w:p>
            <w:pPr>
              <w:pStyle w:val="TableParagraph"/>
              <w:spacing w:before="229"/>
              <w:jc w:val="left"/>
              <w:rPr>
                <w:sz w:val="20"/>
              </w:rPr>
            </w:pPr>
            <w:r>
              <w:rPr>
                <w:sz w:val="20"/>
              </w:rPr>
              <w:t>(incluye</w:t>
            </w:r>
            <w:r>
              <w:rPr>
                <w:spacing w:val="-12"/>
                <w:sz w:val="20"/>
              </w:rPr>
              <w:t> </w:t>
            </w:r>
            <w:r>
              <w:rPr>
                <w:sz w:val="20"/>
              </w:rPr>
              <w:t>síndrome</w:t>
            </w:r>
            <w:r>
              <w:rPr>
                <w:spacing w:val="-12"/>
                <w:sz w:val="20"/>
              </w:rPr>
              <w:t> </w:t>
            </w:r>
            <w:r>
              <w:rPr>
                <w:sz w:val="20"/>
              </w:rPr>
              <w:t>cráneo-encefálico</w:t>
            </w:r>
            <w:r>
              <w:rPr>
                <w:spacing w:val="-12"/>
                <w:sz w:val="20"/>
              </w:rPr>
              <w:t> </w:t>
            </w:r>
            <w:r>
              <w:rPr>
                <w:sz w:val="20"/>
              </w:rPr>
              <w:t>tardío</w:t>
            </w:r>
            <w:r>
              <w:rPr>
                <w:spacing w:val="-10"/>
                <w:sz w:val="20"/>
              </w:rPr>
              <w:t> </w:t>
            </w:r>
            <w:r>
              <w:rPr>
                <w:spacing w:val="-2"/>
                <w:sz w:val="20"/>
              </w:rPr>
              <w:t>postconmocional).</w:t>
            </w:r>
          </w:p>
        </w:tc>
      </w:tr>
    </w:tbl>
    <w:p>
      <w:pPr>
        <w:pStyle w:val="BodyText"/>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74"/>
        <w:gridCol w:w="6125"/>
        <w:gridCol w:w="1848"/>
      </w:tblGrid>
      <w:tr>
        <w:trPr>
          <w:trHeight w:val="229" w:hRule="atLeast"/>
        </w:trPr>
        <w:tc>
          <w:tcPr>
            <w:tcW w:w="9547" w:type="dxa"/>
            <w:gridSpan w:val="3"/>
            <w:shd w:val="clear" w:color="auto" w:fill="C0C0C0"/>
          </w:tcPr>
          <w:p>
            <w:pPr>
              <w:pStyle w:val="TableParagraph"/>
              <w:ind w:left="13"/>
              <w:rPr>
                <w:rFonts w:ascii="Arial"/>
                <w:b/>
                <w:sz w:val="20"/>
              </w:rPr>
            </w:pPr>
            <w:r>
              <w:rPr>
                <w:rFonts w:ascii="Arial"/>
                <w:b/>
                <w:sz w:val="20"/>
              </w:rPr>
              <w:t>Tabla</w:t>
            </w:r>
            <w:r>
              <w:rPr>
                <w:rFonts w:ascii="Arial"/>
                <w:b/>
                <w:spacing w:val="-8"/>
                <w:sz w:val="20"/>
              </w:rPr>
              <w:t> </w:t>
            </w:r>
            <w:r>
              <w:rPr>
                <w:rFonts w:ascii="Arial"/>
                <w:b/>
                <w:spacing w:val="-5"/>
                <w:sz w:val="20"/>
              </w:rPr>
              <w:t>XV</w:t>
            </w:r>
          </w:p>
        </w:tc>
      </w:tr>
      <w:tr>
        <w:trPr>
          <w:trHeight w:val="2990" w:hRule="atLeast"/>
        </w:trPr>
        <w:tc>
          <w:tcPr>
            <w:tcW w:w="9547" w:type="dxa"/>
            <w:gridSpan w:val="3"/>
          </w:tcPr>
          <w:p>
            <w:pPr>
              <w:pStyle w:val="TableParagraph"/>
              <w:numPr>
                <w:ilvl w:val="0"/>
                <w:numId w:val="201"/>
              </w:numPr>
              <w:tabs>
                <w:tab w:pos="431" w:val="left" w:leader="none"/>
              </w:tabs>
              <w:spacing w:line="240" w:lineRule="auto" w:before="0" w:after="0"/>
              <w:ind w:left="431" w:right="63" w:hanging="360"/>
              <w:jc w:val="both"/>
              <w:rPr>
                <w:sz w:val="20"/>
              </w:rPr>
            </w:pPr>
            <w:r>
              <w:rPr>
                <w:sz w:val="20"/>
              </w:rPr>
              <w:t>Valuación de trastornos mentales, trastornos afectivos (depresivo, de ansiedad o mixto), mentales orgánicos, de estrés postraumático, por lesión cerebral y trastornos del habla secundarios a accidentes y enfermedades de trabajo.</w:t>
            </w:r>
          </w:p>
          <w:p>
            <w:pPr>
              <w:pStyle w:val="TableParagraph"/>
              <w:numPr>
                <w:ilvl w:val="0"/>
                <w:numId w:val="201"/>
              </w:numPr>
              <w:tabs>
                <w:tab w:pos="431" w:val="left" w:leader="none"/>
              </w:tabs>
              <w:spacing w:line="240" w:lineRule="auto" w:before="0" w:after="0"/>
              <w:ind w:left="431" w:right="56" w:hanging="360"/>
              <w:jc w:val="both"/>
              <w:rPr>
                <w:sz w:val="20"/>
              </w:rPr>
            </w:pPr>
            <w:r>
              <w:rPr>
                <w:sz w:val="20"/>
              </w:rPr>
              <w:t>Cuando la persona trabajadora presente: trastorno depresivo, de ansiedad, de estrés postraumático, por lesión cerebral (afasia, disartria, agnosias, apraxias, acalculias, alexias, agrafias, anomias, amnesias, síndromes atencionales, síndromes de contusión cerebral, síndrome cráneo-encefálico postconmocional, síndromes frontales, demencias) y trastornos del habla (disfemia, diglosias, bradilalia, taquilalia, taquifemia, farfulleo, tartajeo, alteraciones de la prosodia y alteraciones de la resonancia), requiriendo de tratamiento continuado permanente para mejorar o controlar la </w:t>
            </w:r>
            <w:r>
              <w:rPr>
                <w:spacing w:val="-2"/>
                <w:sz w:val="20"/>
              </w:rPr>
              <w:t>sintomatología.</w:t>
            </w:r>
          </w:p>
          <w:p>
            <w:pPr>
              <w:pStyle w:val="TableParagraph"/>
              <w:numPr>
                <w:ilvl w:val="0"/>
                <w:numId w:val="201"/>
              </w:numPr>
              <w:tabs>
                <w:tab w:pos="431" w:val="left" w:leader="none"/>
              </w:tabs>
              <w:spacing w:line="240" w:lineRule="auto" w:before="1" w:after="0"/>
              <w:ind w:left="431" w:right="63" w:hanging="360"/>
              <w:jc w:val="both"/>
              <w:rPr>
                <w:sz w:val="20"/>
              </w:rPr>
            </w:pPr>
            <w:r>
              <w:rPr>
                <w:sz w:val="20"/>
              </w:rPr>
              <w:t>Los trastornos afectivos se valuarán al menos a 6 meses de haber iniciado el tratamiento correspondiente,</w:t>
            </w:r>
            <w:r>
              <w:rPr>
                <w:spacing w:val="17"/>
                <w:sz w:val="20"/>
              </w:rPr>
              <w:t> </w:t>
            </w:r>
            <w:r>
              <w:rPr>
                <w:sz w:val="20"/>
              </w:rPr>
              <w:t>los</w:t>
            </w:r>
            <w:r>
              <w:rPr>
                <w:spacing w:val="18"/>
                <w:sz w:val="20"/>
              </w:rPr>
              <w:t> </w:t>
            </w:r>
            <w:r>
              <w:rPr>
                <w:sz w:val="20"/>
              </w:rPr>
              <w:t>trastornos</w:t>
            </w:r>
            <w:r>
              <w:rPr>
                <w:spacing w:val="16"/>
                <w:sz w:val="20"/>
              </w:rPr>
              <w:t> </w:t>
            </w:r>
            <w:r>
              <w:rPr>
                <w:sz w:val="20"/>
              </w:rPr>
              <w:t>por</w:t>
            </w:r>
            <w:r>
              <w:rPr>
                <w:spacing w:val="18"/>
                <w:sz w:val="20"/>
              </w:rPr>
              <w:t> </w:t>
            </w:r>
            <w:r>
              <w:rPr>
                <w:sz w:val="20"/>
              </w:rPr>
              <w:t>lesión</w:t>
            </w:r>
            <w:r>
              <w:rPr>
                <w:spacing w:val="15"/>
                <w:sz w:val="20"/>
              </w:rPr>
              <w:t> </w:t>
            </w:r>
            <w:r>
              <w:rPr>
                <w:sz w:val="20"/>
              </w:rPr>
              <w:t>cerebral</w:t>
            </w:r>
            <w:r>
              <w:rPr>
                <w:spacing w:val="19"/>
                <w:sz w:val="20"/>
              </w:rPr>
              <w:t> </w:t>
            </w:r>
            <w:r>
              <w:rPr>
                <w:sz w:val="20"/>
              </w:rPr>
              <w:t>y</w:t>
            </w:r>
            <w:r>
              <w:rPr>
                <w:spacing w:val="16"/>
                <w:sz w:val="20"/>
              </w:rPr>
              <w:t> </w:t>
            </w:r>
            <w:r>
              <w:rPr>
                <w:sz w:val="20"/>
              </w:rPr>
              <w:t>trastornos</w:t>
            </w:r>
            <w:r>
              <w:rPr>
                <w:spacing w:val="16"/>
                <w:sz w:val="20"/>
              </w:rPr>
              <w:t> </w:t>
            </w:r>
            <w:r>
              <w:rPr>
                <w:sz w:val="20"/>
              </w:rPr>
              <w:t>del</w:t>
            </w:r>
            <w:r>
              <w:rPr>
                <w:spacing w:val="16"/>
                <w:sz w:val="20"/>
              </w:rPr>
              <w:t> </w:t>
            </w:r>
            <w:r>
              <w:rPr>
                <w:sz w:val="20"/>
              </w:rPr>
              <w:t>habla,</w:t>
            </w:r>
            <w:r>
              <w:rPr>
                <w:spacing w:val="17"/>
                <w:sz w:val="20"/>
              </w:rPr>
              <w:t> </w:t>
            </w:r>
            <w:r>
              <w:rPr>
                <w:sz w:val="20"/>
              </w:rPr>
              <w:t>se</w:t>
            </w:r>
            <w:r>
              <w:rPr>
                <w:spacing w:val="17"/>
                <w:sz w:val="20"/>
              </w:rPr>
              <w:t> </w:t>
            </w:r>
            <w:r>
              <w:rPr>
                <w:sz w:val="20"/>
              </w:rPr>
              <w:t>valuarán</w:t>
            </w:r>
            <w:r>
              <w:rPr>
                <w:spacing w:val="17"/>
                <w:sz w:val="20"/>
              </w:rPr>
              <w:t> </w:t>
            </w:r>
            <w:r>
              <w:rPr>
                <w:sz w:val="20"/>
              </w:rPr>
              <w:t>en</w:t>
            </w:r>
            <w:r>
              <w:rPr>
                <w:spacing w:val="16"/>
                <w:sz w:val="20"/>
              </w:rPr>
              <w:t> </w:t>
            </w:r>
            <w:r>
              <w:rPr>
                <w:sz w:val="20"/>
              </w:rPr>
              <w:t>cuanto</w:t>
            </w:r>
            <w:r>
              <w:rPr>
                <w:spacing w:val="15"/>
                <w:sz w:val="20"/>
              </w:rPr>
              <w:t> </w:t>
            </w:r>
            <w:r>
              <w:rPr>
                <w:sz w:val="20"/>
              </w:rPr>
              <w:t>se</w:t>
            </w:r>
          </w:p>
          <w:p>
            <w:pPr>
              <w:pStyle w:val="TableParagraph"/>
              <w:spacing w:line="209" w:lineRule="exact"/>
              <w:ind w:left="431"/>
              <w:jc w:val="both"/>
              <w:rPr>
                <w:sz w:val="20"/>
              </w:rPr>
            </w:pPr>
            <w:r>
              <w:rPr>
                <w:sz w:val="20"/>
              </w:rPr>
              <w:t>determine</w:t>
            </w:r>
            <w:r>
              <w:rPr>
                <w:spacing w:val="-9"/>
                <w:sz w:val="20"/>
              </w:rPr>
              <w:t> </w:t>
            </w:r>
            <w:r>
              <w:rPr>
                <w:sz w:val="20"/>
              </w:rPr>
              <w:t>la</w:t>
            </w:r>
            <w:r>
              <w:rPr>
                <w:spacing w:val="-7"/>
                <w:sz w:val="20"/>
              </w:rPr>
              <w:t> </w:t>
            </w:r>
            <w:r>
              <w:rPr>
                <w:sz w:val="20"/>
              </w:rPr>
              <w:t>secuela,</w:t>
            </w:r>
            <w:r>
              <w:rPr>
                <w:spacing w:val="-5"/>
                <w:sz w:val="20"/>
              </w:rPr>
              <w:t> </w:t>
            </w:r>
            <w:r>
              <w:rPr>
                <w:sz w:val="20"/>
              </w:rPr>
              <w:t>de</w:t>
            </w:r>
            <w:r>
              <w:rPr>
                <w:spacing w:val="-6"/>
                <w:sz w:val="20"/>
              </w:rPr>
              <w:t> </w:t>
            </w:r>
            <w:r>
              <w:rPr>
                <w:sz w:val="20"/>
              </w:rPr>
              <w:t>acuerdo</w:t>
            </w:r>
            <w:r>
              <w:rPr>
                <w:spacing w:val="-8"/>
                <w:sz w:val="20"/>
              </w:rPr>
              <w:t> </w:t>
            </w:r>
            <w:r>
              <w:rPr>
                <w:sz w:val="20"/>
              </w:rPr>
              <w:t>con</w:t>
            </w:r>
            <w:r>
              <w:rPr>
                <w:spacing w:val="-8"/>
                <w:sz w:val="20"/>
              </w:rPr>
              <w:t> </w:t>
            </w:r>
            <w:r>
              <w:rPr>
                <w:sz w:val="20"/>
              </w:rPr>
              <w:t>la</w:t>
            </w:r>
            <w:r>
              <w:rPr>
                <w:spacing w:val="-7"/>
                <w:sz w:val="20"/>
              </w:rPr>
              <w:t> </w:t>
            </w:r>
            <w:r>
              <w:rPr>
                <w:sz w:val="20"/>
              </w:rPr>
              <w:t>siguiente</w:t>
            </w:r>
            <w:r>
              <w:rPr>
                <w:spacing w:val="-6"/>
                <w:sz w:val="20"/>
              </w:rPr>
              <w:t> </w:t>
            </w:r>
            <w:r>
              <w:rPr>
                <w:spacing w:val="-2"/>
                <w:sz w:val="20"/>
              </w:rPr>
              <w:t>Tabla:</w:t>
            </w:r>
          </w:p>
        </w:tc>
      </w:tr>
      <w:tr>
        <w:trPr>
          <w:trHeight w:val="229" w:hRule="atLeast"/>
        </w:trPr>
        <w:tc>
          <w:tcPr>
            <w:tcW w:w="1574" w:type="dxa"/>
            <w:shd w:val="clear" w:color="auto" w:fill="C0C0C0"/>
          </w:tcPr>
          <w:p>
            <w:pPr>
              <w:pStyle w:val="TableParagraph"/>
              <w:ind w:left="13" w:right="1"/>
              <w:rPr>
                <w:rFonts w:ascii="Arial" w:hAnsi="Arial"/>
                <w:b/>
                <w:sz w:val="20"/>
              </w:rPr>
            </w:pPr>
            <w:r>
              <w:rPr>
                <w:rFonts w:ascii="Arial" w:hAnsi="Arial"/>
                <w:b/>
                <w:spacing w:val="-2"/>
                <w:sz w:val="20"/>
              </w:rPr>
              <w:t>Categoría</w:t>
            </w:r>
          </w:p>
        </w:tc>
        <w:tc>
          <w:tcPr>
            <w:tcW w:w="6125" w:type="dxa"/>
            <w:shd w:val="clear" w:color="auto" w:fill="C0C0C0"/>
          </w:tcPr>
          <w:p>
            <w:pPr>
              <w:pStyle w:val="TableParagraph"/>
              <w:ind w:left="13"/>
              <w:rPr>
                <w:rFonts w:ascii="Arial" w:hAnsi="Arial"/>
                <w:b/>
                <w:sz w:val="20"/>
              </w:rPr>
            </w:pPr>
            <w:r>
              <w:rPr>
                <w:rFonts w:ascii="Arial" w:hAnsi="Arial"/>
                <w:b/>
                <w:spacing w:val="-2"/>
                <w:sz w:val="20"/>
              </w:rPr>
              <w:t>Características</w:t>
            </w:r>
          </w:p>
        </w:tc>
        <w:tc>
          <w:tcPr>
            <w:tcW w:w="1848" w:type="dxa"/>
            <w:shd w:val="clear" w:color="auto" w:fill="C0C0C0"/>
          </w:tcPr>
          <w:p>
            <w:pPr>
              <w:pStyle w:val="TableParagraph"/>
              <w:ind w:left="14"/>
              <w:rPr>
                <w:rFonts w:ascii="Arial" w:hAnsi="Arial"/>
                <w:b/>
                <w:sz w:val="20"/>
              </w:rPr>
            </w:pPr>
            <w:r>
              <w:rPr>
                <w:rFonts w:ascii="Arial" w:hAnsi="Arial"/>
                <w:b/>
                <w:spacing w:val="-2"/>
                <w:sz w:val="20"/>
              </w:rPr>
              <w:t>Valuación</w:t>
            </w:r>
          </w:p>
        </w:tc>
      </w:tr>
      <w:tr>
        <w:trPr>
          <w:trHeight w:val="690" w:hRule="atLeast"/>
        </w:trPr>
        <w:tc>
          <w:tcPr>
            <w:tcW w:w="1574" w:type="dxa"/>
          </w:tcPr>
          <w:p>
            <w:pPr>
              <w:pStyle w:val="TableParagraph"/>
              <w:spacing w:line="227" w:lineRule="exact"/>
              <w:ind w:left="13" w:right="4"/>
              <w:rPr>
                <w:rFonts w:ascii="Arial"/>
                <w:b/>
                <w:sz w:val="20"/>
              </w:rPr>
            </w:pPr>
            <w:r>
              <w:rPr>
                <w:rFonts w:ascii="Arial"/>
                <w:b/>
                <w:sz w:val="20"/>
              </w:rPr>
              <w:t>Clase</w:t>
            </w:r>
            <w:r>
              <w:rPr>
                <w:rFonts w:ascii="Arial"/>
                <w:b/>
                <w:spacing w:val="-9"/>
                <w:sz w:val="20"/>
              </w:rPr>
              <w:t> </w:t>
            </w:r>
            <w:r>
              <w:rPr>
                <w:rFonts w:ascii="Arial"/>
                <w:b/>
                <w:spacing w:val="-10"/>
                <w:sz w:val="20"/>
              </w:rPr>
              <w:t>I</w:t>
            </w:r>
          </w:p>
        </w:tc>
        <w:tc>
          <w:tcPr>
            <w:tcW w:w="6125" w:type="dxa"/>
          </w:tcPr>
          <w:p>
            <w:pPr>
              <w:pStyle w:val="TableParagraph"/>
              <w:numPr>
                <w:ilvl w:val="0"/>
                <w:numId w:val="202"/>
              </w:numPr>
              <w:tabs>
                <w:tab w:pos="431" w:val="left" w:leader="none"/>
              </w:tabs>
              <w:spacing w:line="229" w:lineRule="exact" w:before="0" w:after="0"/>
              <w:ind w:left="431" w:right="0" w:hanging="359"/>
              <w:jc w:val="left"/>
              <w:rPr>
                <w:sz w:val="20"/>
              </w:rPr>
            </w:pPr>
            <w:r>
              <w:rPr>
                <w:sz w:val="20"/>
              </w:rPr>
              <w:t>Controlado</w:t>
            </w:r>
            <w:r>
              <w:rPr>
                <w:spacing w:val="-11"/>
                <w:sz w:val="20"/>
              </w:rPr>
              <w:t> </w:t>
            </w:r>
            <w:r>
              <w:rPr>
                <w:sz w:val="20"/>
              </w:rPr>
              <w:t>con</w:t>
            </w:r>
            <w:r>
              <w:rPr>
                <w:spacing w:val="-10"/>
                <w:sz w:val="20"/>
              </w:rPr>
              <w:t> </w:t>
            </w:r>
            <w:r>
              <w:rPr>
                <w:sz w:val="20"/>
              </w:rPr>
              <w:t>tratamiento</w:t>
            </w:r>
            <w:r>
              <w:rPr>
                <w:spacing w:val="-10"/>
                <w:sz w:val="20"/>
              </w:rPr>
              <w:t> </w:t>
            </w:r>
            <w:r>
              <w:rPr>
                <w:spacing w:val="-2"/>
                <w:sz w:val="20"/>
              </w:rPr>
              <w:t>(asintomático);</w:t>
            </w:r>
          </w:p>
          <w:p>
            <w:pPr>
              <w:pStyle w:val="TableParagraph"/>
              <w:numPr>
                <w:ilvl w:val="0"/>
                <w:numId w:val="202"/>
              </w:numPr>
              <w:tabs>
                <w:tab w:pos="431" w:val="left" w:leader="none"/>
              </w:tabs>
              <w:spacing w:line="240" w:lineRule="auto" w:before="0" w:after="0"/>
              <w:ind w:left="431" w:right="0" w:hanging="359"/>
              <w:jc w:val="left"/>
              <w:rPr>
                <w:sz w:val="20"/>
              </w:rPr>
            </w:pPr>
            <w:r>
              <w:rPr>
                <w:spacing w:val="-2"/>
                <w:sz w:val="20"/>
              </w:rPr>
              <w:t>Tratamiento</w:t>
            </w:r>
            <w:r>
              <w:rPr>
                <w:spacing w:val="7"/>
                <w:sz w:val="20"/>
              </w:rPr>
              <w:t> </w:t>
            </w:r>
            <w:r>
              <w:rPr>
                <w:spacing w:val="-2"/>
                <w:sz w:val="20"/>
              </w:rPr>
              <w:t>farmacológico</w:t>
            </w:r>
            <w:r>
              <w:rPr>
                <w:spacing w:val="10"/>
                <w:sz w:val="20"/>
              </w:rPr>
              <w:t> </w:t>
            </w:r>
            <w:r>
              <w:rPr>
                <w:spacing w:val="-2"/>
                <w:sz w:val="20"/>
              </w:rPr>
              <w:t>especializado</w:t>
            </w:r>
            <w:r>
              <w:rPr>
                <w:spacing w:val="9"/>
                <w:sz w:val="20"/>
              </w:rPr>
              <w:t> </w:t>
            </w:r>
            <w:r>
              <w:rPr>
                <w:spacing w:val="-2"/>
                <w:sz w:val="20"/>
              </w:rPr>
              <w:t>permanente,</w:t>
            </w:r>
            <w:r>
              <w:rPr>
                <w:spacing w:val="11"/>
                <w:sz w:val="20"/>
              </w:rPr>
              <w:t> </w:t>
            </w:r>
            <w:r>
              <w:rPr>
                <w:spacing w:val="-10"/>
                <w:sz w:val="20"/>
              </w:rPr>
              <w:t>y</w:t>
            </w:r>
          </w:p>
          <w:p>
            <w:pPr>
              <w:pStyle w:val="TableParagraph"/>
              <w:numPr>
                <w:ilvl w:val="0"/>
                <w:numId w:val="202"/>
              </w:numPr>
              <w:tabs>
                <w:tab w:pos="431" w:val="left" w:leader="none"/>
              </w:tabs>
              <w:spacing w:line="210" w:lineRule="exact" w:before="1" w:after="0"/>
              <w:ind w:left="431" w:right="0" w:hanging="359"/>
              <w:jc w:val="left"/>
              <w:rPr>
                <w:sz w:val="20"/>
              </w:rPr>
            </w:pPr>
            <w:r>
              <w:rPr>
                <w:sz w:val="20"/>
              </w:rPr>
              <w:t>Con</w:t>
            </w:r>
            <w:r>
              <w:rPr>
                <w:spacing w:val="-8"/>
                <w:sz w:val="20"/>
              </w:rPr>
              <w:t> </w:t>
            </w:r>
            <w:r>
              <w:rPr>
                <w:sz w:val="20"/>
              </w:rPr>
              <w:t>aptitud</w:t>
            </w:r>
            <w:r>
              <w:rPr>
                <w:spacing w:val="-6"/>
                <w:sz w:val="20"/>
              </w:rPr>
              <w:t> </w:t>
            </w:r>
            <w:r>
              <w:rPr>
                <w:sz w:val="20"/>
              </w:rPr>
              <w:t>para</w:t>
            </w:r>
            <w:r>
              <w:rPr>
                <w:spacing w:val="-6"/>
                <w:sz w:val="20"/>
              </w:rPr>
              <w:t> </w:t>
            </w:r>
            <w:r>
              <w:rPr>
                <w:sz w:val="20"/>
              </w:rPr>
              <w:t>ejercer</w:t>
            </w:r>
            <w:r>
              <w:rPr>
                <w:spacing w:val="-7"/>
                <w:sz w:val="20"/>
              </w:rPr>
              <w:t> </w:t>
            </w:r>
            <w:r>
              <w:rPr>
                <w:sz w:val="20"/>
              </w:rPr>
              <w:t>actividades</w:t>
            </w:r>
            <w:r>
              <w:rPr>
                <w:spacing w:val="-6"/>
                <w:sz w:val="20"/>
              </w:rPr>
              <w:t> </w:t>
            </w:r>
            <w:r>
              <w:rPr>
                <w:sz w:val="20"/>
              </w:rPr>
              <w:t>de</w:t>
            </w:r>
            <w:r>
              <w:rPr>
                <w:spacing w:val="-7"/>
                <w:sz w:val="20"/>
              </w:rPr>
              <w:t> </w:t>
            </w:r>
            <w:r>
              <w:rPr>
                <w:sz w:val="20"/>
              </w:rPr>
              <w:t>su</w:t>
            </w:r>
            <w:r>
              <w:rPr>
                <w:spacing w:val="-7"/>
                <w:sz w:val="20"/>
              </w:rPr>
              <w:t> </w:t>
            </w:r>
            <w:r>
              <w:rPr>
                <w:sz w:val="20"/>
              </w:rPr>
              <w:t>profesión</w:t>
            </w:r>
            <w:r>
              <w:rPr>
                <w:spacing w:val="-8"/>
                <w:sz w:val="20"/>
              </w:rPr>
              <w:t> </w:t>
            </w:r>
            <w:r>
              <w:rPr>
                <w:sz w:val="20"/>
              </w:rPr>
              <w:t>u</w:t>
            </w:r>
            <w:r>
              <w:rPr>
                <w:spacing w:val="-3"/>
                <w:sz w:val="20"/>
              </w:rPr>
              <w:t> </w:t>
            </w:r>
            <w:r>
              <w:rPr>
                <w:spacing w:val="-2"/>
                <w:sz w:val="20"/>
              </w:rPr>
              <w:t>oficio.</w:t>
            </w:r>
          </w:p>
        </w:tc>
        <w:tc>
          <w:tcPr>
            <w:tcW w:w="1848" w:type="dxa"/>
          </w:tcPr>
          <w:p>
            <w:pPr>
              <w:pStyle w:val="TableParagraph"/>
              <w:spacing w:line="229" w:lineRule="exact"/>
              <w:ind w:left="14" w:right="2"/>
              <w:rPr>
                <w:sz w:val="20"/>
              </w:rPr>
            </w:pPr>
            <w:r>
              <w:rPr>
                <w:spacing w:val="-5"/>
                <w:sz w:val="20"/>
              </w:rPr>
              <w:t>10%</w:t>
            </w:r>
          </w:p>
        </w:tc>
      </w:tr>
      <w:tr>
        <w:trPr>
          <w:trHeight w:val="2529" w:hRule="atLeast"/>
        </w:trPr>
        <w:tc>
          <w:tcPr>
            <w:tcW w:w="1574" w:type="dxa"/>
          </w:tcPr>
          <w:p>
            <w:pPr>
              <w:pStyle w:val="TableParagraph"/>
              <w:spacing w:line="227" w:lineRule="exact"/>
              <w:ind w:left="13" w:right="1"/>
              <w:rPr>
                <w:rFonts w:ascii="Arial"/>
                <w:b/>
                <w:sz w:val="20"/>
              </w:rPr>
            </w:pPr>
            <w:r>
              <w:rPr>
                <w:rFonts w:ascii="Arial"/>
                <w:b/>
                <w:sz w:val="20"/>
              </w:rPr>
              <w:t>Clase</w:t>
            </w:r>
            <w:r>
              <w:rPr>
                <w:rFonts w:ascii="Arial"/>
                <w:b/>
                <w:spacing w:val="-9"/>
                <w:sz w:val="20"/>
              </w:rPr>
              <w:t> </w:t>
            </w:r>
            <w:r>
              <w:rPr>
                <w:rFonts w:ascii="Arial"/>
                <w:b/>
                <w:spacing w:val="-5"/>
                <w:sz w:val="20"/>
              </w:rPr>
              <w:t>II</w:t>
            </w:r>
          </w:p>
        </w:tc>
        <w:tc>
          <w:tcPr>
            <w:tcW w:w="6125" w:type="dxa"/>
          </w:tcPr>
          <w:p>
            <w:pPr>
              <w:pStyle w:val="TableParagraph"/>
              <w:numPr>
                <w:ilvl w:val="0"/>
                <w:numId w:val="203"/>
              </w:numPr>
              <w:tabs>
                <w:tab w:pos="432" w:val="left" w:leader="none"/>
              </w:tabs>
              <w:spacing w:line="240" w:lineRule="auto" w:before="0" w:after="0"/>
              <w:ind w:left="432" w:right="57" w:hanging="360"/>
              <w:jc w:val="left"/>
              <w:rPr>
                <w:sz w:val="20"/>
              </w:rPr>
            </w:pPr>
            <w:r>
              <w:rPr>
                <w:sz w:val="20"/>
              </w:rPr>
              <w:t>Con</w:t>
            </w:r>
            <w:r>
              <w:rPr>
                <w:spacing w:val="40"/>
                <w:sz w:val="20"/>
              </w:rPr>
              <w:t> </w:t>
            </w:r>
            <w:r>
              <w:rPr>
                <w:sz w:val="20"/>
              </w:rPr>
              <w:t>sintomatología</w:t>
            </w:r>
            <w:r>
              <w:rPr>
                <w:spacing w:val="40"/>
                <w:sz w:val="20"/>
              </w:rPr>
              <w:t> </w:t>
            </w:r>
            <w:r>
              <w:rPr>
                <w:sz w:val="20"/>
              </w:rPr>
              <w:t>leve</w:t>
            </w:r>
            <w:r>
              <w:rPr>
                <w:spacing w:val="40"/>
                <w:sz w:val="20"/>
              </w:rPr>
              <w:t> </w:t>
            </w:r>
            <w:r>
              <w:rPr>
                <w:sz w:val="20"/>
              </w:rPr>
              <w:t>especifica</w:t>
            </w:r>
            <w:r>
              <w:rPr>
                <w:spacing w:val="40"/>
                <w:sz w:val="20"/>
              </w:rPr>
              <w:t> </w:t>
            </w:r>
            <w:r>
              <w:rPr>
                <w:sz w:val="20"/>
              </w:rPr>
              <w:t>o</w:t>
            </w:r>
            <w:r>
              <w:rPr>
                <w:spacing w:val="40"/>
                <w:sz w:val="20"/>
              </w:rPr>
              <w:t> </w:t>
            </w:r>
            <w:r>
              <w:rPr>
                <w:sz w:val="20"/>
              </w:rPr>
              <w:t>derivada</w:t>
            </w:r>
            <w:r>
              <w:rPr>
                <w:spacing w:val="40"/>
                <w:sz w:val="20"/>
              </w:rPr>
              <w:t> </w:t>
            </w:r>
            <w:r>
              <w:rPr>
                <w:sz w:val="20"/>
              </w:rPr>
              <w:t>del</w:t>
            </w:r>
            <w:r>
              <w:rPr>
                <w:spacing w:val="40"/>
                <w:sz w:val="20"/>
              </w:rPr>
              <w:t> </w:t>
            </w:r>
            <w:r>
              <w:rPr>
                <w:sz w:val="20"/>
              </w:rPr>
              <w:t>manejo </w:t>
            </w:r>
            <w:r>
              <w:rPr>
                <w:spacing w:val="-2"/>
                <w:sz w:val="20"/>
              </w:rPr>
              <w:t>terapéutico;</w:t>
            </w:r>
          </w:p>
          <w:p>
            <w:pPr>
              <w:pStyle w:val="TableParagraph"/>
              <w:numPr>
                <w:ilvl w:val="0"/>
                <w:numId w:val="203"/>
              </w:numPr>
              <w:tabs>
                <w:tab w:pos="431" w:val="left" w:leader="none"/>
              </w:tabs>
              <w:spacing w:line="240" w:lineRule="auto" w:before="0" w:after="0"/>
              <w:ind w:left="431" w:right="0" w:hanging="359"/>
              <w:jc w:val="left"/>
              <w:rPr>
                <w:sz w:val="20"/>
              </w:rPr>
            </w:pPr>
            <w:r>
              <w:rPr>
                <w:spacing w:val="-2"/>
                <w:sz w:val="20"/>
              </w:rPr>
              <w:t>Tratamiento</w:t>
            </w:r>
            <w:r>
              <w:rPr>
                <w:spacing w:val="7"/>
                <w:sz w:val="20"/>
              </w:rPr>
              <w:t> </w:t>
            </w:r>
            <w:r>
              <w:rPr>
                <w:spacing w:val="-2"/>
                <w:sz w:val="20"/>
              </w:rPr>
              <w:t>farmacológico</w:t>
            </w:r>
            <w:r>
              <w:rPr>
                <w:spacing w:val="11"/>
                <w:sz w:val="20"/>
              </w:rPr>
              <w:t> </w:t>
            </w:r>
            <w:r>
              <w:rPr>
                <w:spacing w:val="-2"/>
                <w:sz w:val="20"/>
              </w:rPr>
              <w:t>especializado</w:t>
            </w:r>
            <w:r>
              <w:rPr>
                <w:spacing w:val="9"/>
                <w:sz w:val="20"/>
              </w:rPr>
              <w:t> </w:t>
            </w:r>
            <w:r>
              <w:rPr>
                <w:spacing w:val="-2"/>
                <w:sz w:val="20"/>
              </w:rPr>
              <w:t>permanente;</w:t>
            </w:r>
          </w:p>
          <w:p>
            <w:pPr>
              <w:pStyle w:val="TableParagraph"/>
              <w:numPr>
                <w:ilvl w:val="0"/>
                <w:numId w:val="203"/>
              </w:numPr>
              <w:tabs>
                <w:tab w:pos="431" w:val="left" w:leader="none"/>
              </w:tabs>
              <w:spacing w:line="229" w:lineRule="exact" w:before="0" w:after="0"/>
              <w:ind w:left="431" w:right="0" w:hanging="359"/>
              <w:jc w:val="left"/>
              <w:rPr>
                <w:sz w:val="20"/>
              </w:rPr>
            </w:pPr>
            <w:r>
              <w:rPr>
                <w:sz w:val="20"/>
              </w:rPr>
              <w:t>Terapia</w:t>
            </w:r>
            <w:r>
              <w:rPr>
                <w:spacing w:val="-10"/>
                <w:sz w:val="20"/>
              </w:rPr>
              <w:t> </w:t>
            </w:r>
            <w:r>
              <w:rPr>
                <w:sz w:val="20"/>
              </w:rPr>
              <w:t>médica</w:t>
            </w:r>
            <w:r>
              <w:rPr>
                <w:spacing w:val="-8"/>
                <w:sz w:val="20"/>
              </w:rPr>
              <w:t> </w:t>
            </w:r>
            <w:r>
              <w:rPr>
                <w:sz w:val="20"/>
              </w:rPr>
              <w:t>y</w:t>
            </w:r>
            <w:r>
              <w:rPr>
                <w:spacing w:val="-11"/>
                <w:sz w:val="20"/>
              </w:rPr>
              <w:t> </w:t>
            </w:r>
            <w:r>
              <w:rPr>
                <w:sz w:val="20"/>
              </w:rPr>
              <w:t>rehabilitadora</w:t>
            </w:r>
            <w:r>
              <w:rPr>
                <w:spacing w:val="-10"/>
                <w:sz w:val="20"/>
              </w:rPr>
              <w:t> </w:t>
            </w:r>
            <w:r>
              <w:rPr>
                <w:spacing w:val="-2"/>
                <w:sz w:val="20"/>
              </w:rPr>
              <w:t>especializada;</w:t>
            </w:r>
          </w:p>
          <w:p>
            <w:pPr>
              <w:pStyle w:val="TableParagraph"/>
              <w:numPr>
                <w:ilvl w:val="0"/>
                <w:numId w:val="203"/>
              </w:numPr>
              <w:tabs>
                <w:tab w:pos="432" w:val="left" w:leader="none"/>
              </w:tabs>
              <w:spacing w:line="240" w:lineRule="auto" w:before="0" w:after="0"/>
              <w:ind w:left="432" w:right="60" w:hanging="360"/>
              <w:jc w:val="left"/>
              <w:rPr>
                <w:sz w:val="20"/>
              </w:rPr>
            </w:pPr>
            <w:r>
              <w:rPr>
                <w:sz w:val="20"/>
              </w:rPr>
              <w:t>Puede</w:t>
            </w:r>
            <w:r>
              <w:rPr>
                <w:spacing w:val="40"/>
                <w:sz w:val="20"/>
              </w:rPr>
              <w:t> </w:t>
            </w:r>
            <w:r>
              <w:rPr>
                <w:sz w:val="20"/>
              </w:rPr>
              <w:t>requerir</w:t>
            </w:r>
            <w:r>
              <w:rPr>
                <w:spacing w:val="40"/>
                <w:sz w:val="20"/>
              </w:rPr>
              <w:t> </w:t>
            </w:r>
            <w:r>
              <w:rPr>
                <w:sz w:val="20"/>
              </w:rPr>
              <w:t>atención</w:t>
            </w:r>
            <w:r>
              <w:rPr>
                <w:spacing w:val="40"/>
                <w:sz w:val="20"/>
              </w:rPr>
              <w:t> </w:t>
            </w:r>
            <w:r>
              <w:rPr>
                <w:sz w:val="20"/>
              </w:rPr>
              <w:t>médica</w:t>
            </w:r>
            <w:r>
              <w:rPr>
                <w:spacing w:val="40"/>
                <w:sz w:val="20"/>
              </w:rPr>
              <w:t> </w:t>
            </w:r>
            <w:r>
              <w:rPr>
                <w:sz w:val="20"/>
              </w:rPr>
              <w:t>complementaria</w:t>
            </w:r>
            <w:r>
              <w:rPr>
                <w:spacing w:val="40"/>
                <w:sz w:val="20"/>
              </w:rPr>
              <w:t> </w:t>
            </w:r>
            <w:r>
              <w:rPr>
                <w:sz w:val="20"/>
              </w:rPr>
              <w:t>de</w:t>
            </w:r>
            <w:r>
              <w:rPr>
                <w:spacing w:val="40"/>
                <w:sz w:val="20"/>
              </w:rPr>
              <w:t> </w:t>
            </w:r>
            <w:r>
              <w:rPr>
                <w:sz w:val="20"/>
              </w:rPr>
              <w:t>otras</w:t>
            </w:r>
            <w:r>
              <w:rPr>
                <w:spacing w:val="80"/>
                <w:sz w:val="20"/>
              </w:rPr>
              <w:t> </w:t>
            </w:r>
            <w:r>
              <w:rPr>
                <w:spacing w:val="-2"/>
                <w:sz w:val="20"/>
              </w:rPr>
              <w:t>especialidades;</w:t>
            </w:r>
          </w:p>
          <w:p>
            <w:pPr>
              <w:pStyle w:val="TableParagraph"/>
              <w:numPr>
                <w:ilvl w:val="0"/>
                <w:numId w:val="203"/>
              </w:numPr>
              <w:tabs>
                <w:tab w:pos="432" w:val="left" w:leader="none"/>
              </w:tabs>
              <w:spacing w:line="240" w:lineRule="auto" w:before="0" w:after="0"/>
              <w:ind w:left="432" w:right="59" w:hanging="360"/>
              <w:jc w:val="left"/>
              <w:rPr>
                <w:sz w:val="20"/>
              </w:rPr>
            </w:pPr>
            <w:r>
              <w:rPr>
                <w:sz w:val="20"/>
              </w:rPr>
              <w:t>Con crisis recurrentes ocasionales que pueden o no ameritar internamiento hospitalario;</w:t>
            </w:r>
          </w:p>
          <w:p>
            <w:pPr>
              <w:pStyle w:val="TableParagraph"/>
              <w:numPr>
                <w:ilvl w:val="0"/>
                <w:numId w:val="203"/>
              </w:numPr>
              <w:tabs>
                <w:tab w:pos="432" w:val="left" w:leader="none"/>
              </w:tabs>
              <w:spacing w:line="240" w:lineRule="auto" w:before="1" w:after="0"/>
              <w:ind w:left="432" w:right="59" w:hanging="360"/>
              <w:jc w:val="left"/>
              <w:rPr>
                <w:sz w:val="20"/>
              </w:rPr>
            </w:pPr>
            <w:r>
              <w:rPr>
                <w:sz w:val="20"/>
              </w:rPr>
              <w:t>Con aptitud para ejercer actividades de su profesión u oficio,</w:t>
            </w:r>
            <w:r>
              <w:rPr>
                <w:spacing w:val="40"/>
                <w:sz w:val="20"/>
              </w:rPr>
              <w:t> </w:t>
            </w:r>
            <w:r>
              <w:rPr>
                <w:sz w:val="20"/>
              </w:rPr>
              <w:t>pero algunas las realiza con dificultad, y</w:t>
            </w:r>
          </w:p>
          <w:p>
            <w:pPr>
              <w:pStyle w:val="TableParagraph"/>
              <w:numPr>
                <w:ilvl w:val="0"/>
                <w:numId w:val="203"/>
              </w:numPr>
              <w:tabs>
                <w:tab w:pos="431" w:val="left" w:leader="none"/>
              </w:tabs>
              <w:spacing w:line="210" w:lineRule="exact" w:before="0" w:after="0"/>
              <w:ind w:left="431" w:right="0" w:hanging="359"/>
              <w:jc w:val="left"/>
              <w:rPr>
                <w:sz w:val="20"/>
              </w:rPr>
            </w:pPr>
            <w:r>
              <w:rPr>
                <w:sz w:val="20"/>
              </w:rPr>
              <w:t>Sin</w:t>
            </w:r>
            <w:r>
              <w:rPr>
                <w:spacing w:val="-7"/>
                <w:sz w:val="20"/>
              </w:rPr>
              <w:t> </w:t>
            </w:r>
            <w:r>
              <w:rPr>
                <w:sz w:val="20"/>
              </w:rPr>
              <w:t>afectación</w:t>
            </w:r>
            <w:r>
              <w:rPr>
                <w:spacing w:val="-8"/>
                <w:sz w:val="20"/>
              </w:rPr>
              <w:t> </w:t>
            </w:r>
            <w:r>
              <w:rPr>
                <w:sz w:val="20"/>
              </w:rPr>
              <w:t>para</w:t>
            </w:r>
            <w:r>
              <w:rPr>
                <w:spacing w:val="-6"/>
                <w:sz w:val="20"/>
              </w:rPr>
              <w:t> </w:t>
            </w:r>
            <w:r>
              <w:rPr>
                <w:sz w:val="20"/>
              </w:rPr>
              <w:t>realizar</w:t>
            </w:r>
            <w:r>
              <w:rPr>
                <w:spacing w:val="-6"/>
                <w:sz w:val="20"/>
              </w:rPr>
              <w:t> </w:t>
            </w:r>
            <w:r>
              <w:rPr>
                <w:sz w:val="20"/>
              </w:rPr>
              <w:t>actividades</w:t>
            </w:r>
            <w:r>
              <w:rPr>
                <w:spacing w:val="-5"/>
                <w:sz w:val="20"/>
              </w:rPr>
              <w:t> </w:t>
            </w:r>
            <w:r>
              <w:rPr>
                <w:sz w:val="20"/>
              </w:rPr>
              <w:t>de</w:t>
            </w:r>
            <w:r>
              <w:rPr>
                <w:spacing w:val="-8"/>
                <w:sz w:val="20"/>
              </w:rPr>
              <w:t> </w:t>
            </w:r>
            <w:r>
              <w:rPr>
                <w:sz w:val="20"/>
              </w:rPr>
              <w:t>la</w:t>
            </w:r>
            <w:r>
              <w:rPr>
                <w:spacing w:val="-6"/>
                <w:sz w:val="20"/>
              </w:rPr>
              <w:t> </w:t>
            </w:r>
            <w:r>
              <w:rPr>
                <w:sz w:val="20"/>
              </w:rPr>
              <w:t>vida</w:t>
            </w:r>
            <w:r>
              <w:rPr>
                <w:spacing w:val="-8"/>
                <w:sz w:val="20"/>
              </w:rPr>
              <w:t> </w:t>
            </w:r>
            <w:r>
              <w:rPr>
                <w:spacing w:val="-2"/>
                <w:sz w:val="20"/>
              </w:rPr>
              <w:t>diaria.</w:t>
            </w:r>
          </w:p>
        </w:tc>
        <w:tc>
          <w:tcPr>
            <w:tcW w:w="1848" w:type="dxa"/>
          </w:tcPr>
          <w:p>
            <w:pPr>
              <w:pStyle w:val="TableParagraph"/>
              <w:spacing w:line="229" w:lineRule="exact"/>
              <w:ind w:left="14"/>
              <w:rPr>
                <w:sz w:val="20"/>
              </w:rPr>
            </w:pPr>
            <w:r>
              <w:rPr>
                <w:sz w:val="20"/>
              </w:rPr>
              <w:t>11</w:t>
            </w:r>
            <w:r>
              <w:rPr>
                <w:spacing w:val="-3"/>
                <w:sz w:val="20"/>
              </w:rPr>
              <w:t> </w:t>
            </w:r>
            <w:r>
              <w:rPr>
                <w:sz w:val="20"/>
              </w:rPr>
              <w:t>a</w:t>
            </w:r>
            <w:r>
              <w:rPr>
                <w:spacing w:val="-1"/>
                <w:sz w:val="20"/>
              </w:rPr>
              <w:t> </w:t>
            </w:r>
            <w:r>
              <w:rPr>
                <w:spacing w:val="-5"/>
                <w:sz w:val="20"/>
              </w:rPr>
              <w:t>25%</w:t>
            </w:r>
          </w:p>
        </w:tc>
      </w:tr>
      <w:tr>
        <w:trPr>
          <w:trHeight w:val="1842" w:hRule="atLeast"/>
        </w:trPr>
        <w:tc>
          <w:tcPr>
            <w:tcW w:w="1574" w:type="dxa"/>
          </w:tcPr>
          <w:p>
            <w:pPr>
              <w:pStyle w:val="TableParagraph"/>
              <w:spacing w:line="229" w:lineRule="exact"/>
              <w:ind w:left="13" w:right="3"/>
              <w:rPr>
                <w:rFonts w:ascii="Arial"/>
                <w:b/>
                <w:sz w:val="20"/>
              </w:rPr>
            </w:pPr>
            <w:r>
              <w:rPr>
                <w:rFonts w:ascii="Arial"/>
                <w:b/>
                <w:sz w:val="20"/>
              </w:rPr>
              <w:t>Clase</w:t>
            </w:r>
            <w:r>
              <w:rPr>
                <w:rFonts w:ascii="Arial"/>
                <w:b/>
                <w:spacing w:val="-9"/>
                <w:sz w:val="20"/>
              </w:rPr>
              <w:t> </w:t>
            </w:r>
            <w:r>
              <w:rPr>
                <w:rFonts w:ascii="Arial"/>
                <w:b/>
                <w:spacing w:val="-5"/>
                <w:sz w:val="20"/>
              </w:rPr>
              <w:t>III</w:t>
            </w:r>
          </w:p>
        </w:tc>
        <w:tc>
          <w:tcPr>
            <w:tcW w:w="6125" w:type="dxa"/>
          </w:tcPr>
          <w:p>
            <w:pPr>
              <w:pStyle w:val="TableParagraph"/>
              <w:numPr>
                <w:ilvl w:val="0"/>
                <w:numId w:val="204"/>
              </w:numPr>
              <w:tabs>
                <w:tab w:pos="432" w:val="left" w:leader="none"/>
              </w:tabs>
              <w:spacing w:line="240" w:lineRule="auto" w:before="1" w:after="0"/>
              <w:ind w:left="432" w:right="57" w:hanging="360"/>
              <w:jc w:val="left"/>
              <w:rPr>
                <w:sz w:val="20"/>
              </w:rPr>
            </w:pPr>
            <w:r>
              <w:rPr>
                <w:sz w:val="20"/>
              </w:rPr>
              <w:t>Con</w:t>
            </w:r>
            <w:r>
              <w:rPr>
                <w:spacing w:val="80"/>
                <w:sz w:val="20"/>
              </w:rPr>
              <w:t> </w:t>
            </w:r>
            <w:r>
              <w:rPr>
                <w:sz w:val="20"/>
              </w:rPr>
              <w:t>sintomatología</w:t>
            </w:r>
            <w:r>
              <w:rPr>
                <w:spacing w:val="80"/>
                <w:sz w:val="20"/>
              </w:rPr>
              <w:t> </w:t>
            </w:r>
            <w:r>
              <w:rPr>
                <w:sz w:val="20"/>
              </w:rPr>
              <w:t>moderada</w:t>
            </w:r>
            <w:r>
              <w:rPr>
                <w:spacing w:val="80"/>
                <w:sz w:val="20"/>
              </w:rPr>
              <w:t> </w:t>
            </w:r>
            <w:r>
              <w:rPr>
                <w:sz w:val="20"/>
              </w:rPr>
              <w:t>especifica</w:t>
            </w:r>
            <w:r>
              <w:rPr>
                <w:spacing w:val="80"/>
                <w:sz w:val="20"/>
              </w:rPr>
              <w:t> </w:t>
            </w:r>
            <w:r>
              <w:rPr>
                <w:sz w:val="20"/>
              </w:rPr>
              <w:t>o</w:t>
            </w:r>
            <w:r>
              <w:rPr>
                <w:spacing w:val="80"/>
                <w:sz w:val="20"/>
              </w:rPr>
              <w:t> </w:t>
            </w:r>
            <w:r>
              <w:rPr>
                <w:sz w:val="20"/>
              </w:rPr>
              <w:t>derivada</w:t>
            </w:r>
            <w:r>
              <w:rPr>
                <w:spacing w:val="80"/>
                <w:sz w:val="20"/>
              </w:rPr>
              <w:t> </w:t>
            </w:r>
            <w:r>
              <w:rPr>
                <w:sz w:val="20"/>
              </w:rPr>
              <w:t>del manejo terapéutico;</w:t>
            </w:r>
          </w:p>
          <w:p>
            <w:pPr>
              <w:pStyle w:val="TableParagraph"/>
              <w:numPr>
                <w:ilvl w:val="0"/>
                <w:numId w:val="204"/>
              </w:numPr>
              <w:tabs>
                <w:tab w:pos="431" w:val="left" w:leader="none"/>
              </w:tabs>
              <w:spacing w:line="228" w:lineRule="exact" w:before="0" w:after="0"/>
              <w:ind w:left="431" w:right="0" w:hanging="359"/>
              <w:jc w:val="left"/>
              <w:rPr>
                <w:sz w:val="20"/>
              </w:rPr>
            </w:pPr>
            <w:r>
              <w:rPr>
                <w:spacing w:val="-2"/>
                <w:sz w:val="20"/>
              </w:rPr>
              <w:t>Tratamiento</w:t>
            </w:r>
            <w:r>
              <w:rPr>
                <w:spacing w:val="7"/>
                <w:sz w:val="20"/>
              </w:rPr>
              <w:t> </w:t>
            </w:r>
            <w:r>
              <w:rPr>
                <w:spacing w:val="-2"/>
                <w:sz w:val="20"/>
              </w:rPr>
              <w:t>farmacológico</w:t>
            </w:r>
            <w:r>
              <w:rPr>
                <w:spacing w:val="11"/>
                <w:sz w:val="20"/>
              </w:rPr>
              <w:t> </w:t>
            </w:r>
            <w:r>
              <w:rPr>
                <w:spacing w:val="-2"/>
                <w:sz w:val="20"/>
              </w:rPr>
              <w:t>especializado</w:t>
            </w:r>
            <w:r>
              <w:rPr>
                <w:spacing w:val="9"/>
                <w:sz w:val="20"/>
              </w:rPr>
              <w:t> </w:t>
            </w:r>
            <w:r>
              <w:rPr>
                <w:spacing w:val="-2"/>
                <w:sz w:val="20"/>
              </w:rPr>
              <w:t>permanente;</w:t>
            </w:r>
          </w:p>
          <w:p>
            <w:pPr>
              <w:pStyle w:val="TableParagraph"/>
              <w:numPr>
                <w:ilvl w:val="0"/>
                <w:numId w:val="204"/>
              </w:numPr>
              <w:tabs>
                <w:tab w:pos="431" w:val="left" w:leader="none"/>
              </w:tabs>
              <w:spacing w:line="240" w:lineRule="auto" w:before="1" w:after="0"/>
              <w:ind w:left="431" w:right="0" w:hanging="359"/>
              <w:jc w:val="left"/>
              <w:rPr>
                <w:sz w:val="20"/>
              </w:rPr>
            </w:pPr>
            <w:r>
              <w:rPr>
                <w:sz w:val="20"/>
              </w:rPr>
              <w:t>Terapia</w:t>
            </w:r>
            <w:r>
              <w:rPr>
                <w:spacing w:val="-13"/>
                <w:sz w:val="20"/>
              </w:rPr>
              <w:t> </w:t>
            </w:r>
            <w:r>
              <w:rPr>
                <w:sz w:val="20"/>
              </w:rPr>
              <w:t>médica,</w:t>
            </w:r>
            <w:r>
              <w:rPr>
                <w:spacing w:val="-13"/>
                <w:sz w:val="20"/>
              </w:rPr>
              <w:t> </w:t>
            </w:r>
            <w:r>
              <w:rPr>
                <w:sz w:val="20"/>
              </w:rPr>
              <w:t>rehabilitatoria</w:t>
            </w:r>
            <w:r>
              <w:rPr>
                <w:spacing w:val="-13"/>
                <w:sz w:val="20"/>
              </w:rPr>
              <w:t> </w:t>
            </w:r>
            <w:r>
              <w:rPr>
                <w:spacing w:val="-2"/>
                <w:sz w:val="20"/>
              </w:rPr>
              <w:t>especializada;</w:t>
            </w:r>
          </w:p>
          <w:p>
            <w:pPr>
              <w:pStyle w:val="TableParagraph"/>
              <w:numPr>
                <w:ilvl w:val="0"/>
                <w:numId w:val="204"/>
              </w:numPr>
              <w:tabs>
                <w:tab w:pos="432" w:val="left" w:leader="none"/>
              </w:tabs>
              <w:spacing w:line="240" w:lineRule="auto" w:before="0" w:after="0"/>
              <w:ind w:left="432" w:right="60" w:hanging="360"/>
              <w:jc w:val="left"/>
              <w:rPr>
                <w:sz w:val="20"/>
              </w:rPr>
            </w:pPr>
            <w:r>
              <w:rPr>
                <w:sz w:val="20"/>
              </w:rPr>
              <w:t>Puede</w:t>
            </w:r>
            <w:r>
              <w:rPr>
                <w:spacing w:val="40"/>
                <w:sz w:val="20"/>
              </w:rPr>
              <w:t> </w:t>
            </w:r>
            <w:r>
              <w:rPr>
                <w:sz w:val="20"/>
              </w:rPr>
              <w:t>requerir</w:t>
            </w:r>
            <w:r>
              <w:rPr>
                <w:spacing w:val="40"/>
                <w:sz w:val="20"/>
              </w:rPr>
              <w:t> </w:t>
            </w:r>
            <w:r>
              <w:rPr>
                <w:sz w:val="20"/>
              </w:rPr>
              <w:t>atención</w:t>
            </w:r>
            <w:r>
              <w:rPr>
                <w:spacing w:val="40"/>
                <w:sz w:val="20"/>
              </w:rPr>
              <w:t> </w:t>
            </w:r>
            <w:r>
              <w:rPr>
                <w:sz w:val="20"/>
              </w:rPr>
              <w:t>médica</w:t>
            </w:r>
            <w:r>
              <w:rPr>
                <w:spacing w:val="40"/>
                <w:sz w:val="20"/>
              </w:rPr>
              <w:t> </w:t>
            </w:r>
            <w:r>
              <w:rPr>
                <w:sz w:val="20"/>
              </w:rPr>
              <w:t>complementaria</w:t>
            </w:r>
            <w:r>
              <w:rPr>
                <w:spacing w:val="40"/>
                <w:sz w:val="20"/>
              </w:rPr>
              <w:t> </w:t>
            </w:r>
            <w:r>
              <w:rPr>
                <w:sz w:val="20"/>
              </w:rPr>
              <w:t>de</w:t>
            </w:r>
            <w:r>
              <w:rPr>
                <w:spacing w:val="40"/>
                <w:sz w:val="20"/>
              </w:rPr>
              <w:t> </w:t>
            </w:r>
            <w:r>
              <w:rPr>
                <w:sz w:val="20"/>
              </w:rPr>
              <w:t>otras</w:t>
            </w:r>
            <w:r>
              <w:rPr>
                <w:spacing w:val="80"/>
                <w:sz w:val="20"/>
              </w:rPr>
              <w:t> </w:t>
            </w:r>
            <w:r>
              <w:rPr>
                <w:spacing w:val="-2"/>
                <w:sz w:val="20"/>
              </w:rPr>
              <w:t>especialidades;</w:t>
            </w:r>
          </w:p>
          <w:p>
            <w:pPr>
              <w:pStyle w:val="TableParagraph"/>
              <w:numPr>
                <w:ilvl w:val="0"/>
                <w:numId w:val="204"/>
              </w:numPr>
              <w:tabs>
                <w:tab w:pos="432" w:val="left" w:leader="none"/>
              </w:tabs>
              <w:spacing w:line="230" w:lineRule="exact" w:before="0" w:after="0"/>
              <w:ind w:left="432" w:right="58" w:hanging="360"/>
              <w:jc w:val="left"/>
              <w:rPr>
                <w:sz w:val="20"/>
              </w:rPr>
            </w:pPr>
            <w:r>
              <w:rPr>
                <w:sz w:val="20"/>
              </w:rPr>
              <w:t>Con</w:t>
            </w:r>
            <w:r>
              <w:rPr>
                <w:spacing w:val="25"/>
                <w:sz w:val="20"/>
              </w:rPr>
              <w:t> </w:t>
            </w:r>
            <w:r>
              <w:rPr>
                <w:sz w:val="20"/>
              </w:rPr>
              <w:t>internamientos</w:t>
            </w:r>
            <w:r>
              <w:rPr>
                <w:spacing w:val="24"/>
                <w:sz w:val="20"/>
              </w:rPr>
              <w:t> </w:t>
            </w:r>
            <w:r>
              <w:rPr>
                <w:sz w:val="20"/>
              </w:rPr>
              <w:t>recurrentes</w:t>
            </w:r>
            <w:r>
              <w:rPr>
                <w:spacing w:val="24"/>
                <w:sz w:val="20"/>
              </w:rPr>
              <w:t> </w:t>
            </w:r>
            <w:r>
              <w:rPr>
                <w:sz w:val="20"/>
              </w:rPr>
              <w:t>mayores</w:t>
            </w:r>
            <w:r>
              <w:rPr>
                <w:spacing w:val="25"/>
                <w:sz w:val="20"/>
              </w:rPr>
              <w:t> </w:t>
            </w:r>
            <w:r>
              <w:rPr>
                <w:sz w:val="20"/>
              </w:rPr>
              <w:t>a</w:t>
            </w:r>
            <w:r>
              <w:rPr>
                <w:spacing w:val="26"/>
                <w:sz w:val="20"/>
              </w:rPr>
              <w:t> </w:t>
            </w:r>
            <w:r>
              <w:rPr>
                <w:sz w:val="20"/>
              </w:rPr>
              <w:t>una</w:t>
            </w:r>
            <w:r>
              <w:rPr>
                <w:spacing w:val="25"/>
                <w:sz w:val="20"/>
              </w:rPr>
              <w:t> </w:t>
            </w:r>
            <w:r>
              <w:rPr>
                <w:sz w:val="20"/>
              </w:rPr>
              <w:t>semana</w:t>
            </w:r>
            <w:r>
              <w:rPr>
                <w:spacing w:val="26"/>
                <w:sz w:val="20"/>
              </w:rPr>
              <w:t> </w:t>
            </w:r>
            <w:r>
              <w:rPr>
                <w:sz w:val="20"/>
              </w:rPr>
              <w:t>para manejo especializado;</w:t>
            </w:r>
          </w:p>
        </w:tc>
        <w:tc>
          <w:tcPr>
            <w:tcW w:w="1848" w:type="dxa"/>
          </w:tcPr>
          <w:p>
            <w:pPr>
              <w:pStyle w:val="TableParagraph"/>
              <w:spacing w:line="240" w:lineRule="auto" w:before="1"/>
              <w:ind w:left="14"/>
              <w:rPr>
                <w:sz w:val="20"/>
              </w:rPr>
            </w:pPr>
            <w:r>
              <w:rPr>
                <w:sz w:val="20"/>
              </w:rPr>
              <w:t>26</w:t>
            </w:r>
            <w:r>
              <w:rPr>
                <w:spacing w:val="-3"/>
                <w:sz w:val="20"/>
              </w:rPr>
              <w:t> </w:t>
            </w:r>
            <w:r>
              <w:rPr>
                <w:sz w:val="20"/>
              </w:rPr>
              <w:t>a</w:t>
            </w:r>
            <w:r>
              <w:rPr>
                <w:spacing w:val="-1"/>
                <w:sz w:val="20"/>
              </w:rPr>
              <w:t> </w:t>
            </w:r>
            <w:r>
              <w:rPr>
                <w:spacing w:val="-5"/>
                <w:sz w:val="20"/>
              </w:rPr>
              <w:t>50%</w:t>
            </w:r>
          </w:p>
        </w:tc>
      </w:tr>
    </w:tbl>
    <w:p>
      <w:pPr>
        <w:pStyle w:val="TableParagraph"/>
        <w:spacing w:after="0" w:line="240" w:lineRule="auto"/>
        <w:rPr>
          <w:sz w:val="20"/>
        </w:rPr>
        <w:sectPr>
          <w:pgSz w:w="12240" w:h="15840"/>
          <w:pgMar w:header="724" w:footer="712" w:top="1880" w:bottom="900" w:left="1080" w:right="1080"/>
        </w:sectPr>
      </w:pPr>
    </w:p>
    <w:p>
      <w:pPr>
        <w:pStyle w:val="BodyText"/>
        <w:spacing w:before="68"/>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74"/>
        <w:gridCol w:w="6125"/>
        <w:gridCol w:w="1848"/>
      </w:tblGrid>
      <w:tr>
        <w:trPr>
          <w:trHeight w:val="688" w:hRule="atLeast"/>
        </w:trPr>
        <w:tc>
          <w:tcPr>
            <w:tcW w:w="1574" w:type="dxa"/>
          </w:tcPr>
          <w:p>
            <w:pPr>
              <w:pStyle w:val="TableParagraph"/>
              <w:spacing w:line="240" w:lineRule="auto"/>
              <w:ind w:left="0"/>
              <w:jc w:val="left"/>
              <w:rPr>
                <w:rFonts w:ascii="Times New Roman"/>
                <w:sz w:val="18"/>
              </w:rPr>
            </w:pPr>
          </w:p>
        </w:tc>
        <w:tc>
          <w:tcPr>
            <w:tcW w:w="6125" w:type="dxa"/>
          </w:tcPr>
          <w:p>
            <w:pPr>
              <w:pStyle w:val="TableParagraph"/>
              <w:numPr>
                <w:ilvl w:val="0"/>
                <w:numId w:val="205"/>
              </w:numPr>
              <w:tabs>
                <w:tab w:pos="432" w:val="left" w:leader="none"/>
              </w:tabs>
              <w:spacing w:line="240" w:lineRule="auto" w:before="0" w:after="0"/>
              <w:ind w:left="432" w:right="60" w:hanging="360"/>
              <w:jc w:val="left"/>
              <w:rPr>
                <w:sz w:val="20"/>
              </w:rPr>
            </w:pPr>
            <w:r>
              <w:rPr>
                <w:sz w:val="20"/>
              </w:rPr>
              <w:t>Con aptitud limitada para ejercer actividades de su profesión u oficio, y</w:t>
            </w:r>
          </w:p>
          <w:p>
            <w:pPr>
              <w:pStyle w:val="TableParagraph"/>
              <w:numPr>
                <w:ilvl w:val="0"/>
                <w:numId w:val="205"/>
              </w:numPr>
              <w:tabs>
                <w:tab w:pos="431" w:val="left" w:leader="none"/>
              </w:tabs>
              <w:spacing w:line="209" w:lineRule="exact" w:before="0" w:after="0"/>
              <w:ind w:left="431" w:right="0" w:hanging="359"/>
              <w:jc w:val="left"/>
              <w:rPr>
                <w:sz w:val="20"/>
              </w:rPr>
            </w:pPr>
            <w:r>
              <w:rPr>
                <w:sz w:val="20"/>
              </w:rPr>
              <w:t>Sin</w:t>
            </w:r>
            <w:r>
              <w:rPr>
                <w:spacing w:val="-7"/>
                <w:sz w:val="20"/>
              </w:rPr>
              <w:t> </w:t>
            </w:r>
            <w:r>
              <w:rPr>
                <w:sz w:val="20"/>
              </w:rPr>
              <w:t>afectación</w:t>
            </w:r>
            <w:r>
              <w:rPr>
                <w:spacing w:val="-8"/>
                <w:sz w:val="20"/>
              </w:rPr>
              <w:t> </w:t>
            </w:r>
            <w:r>
              <w:rPr>
                <w:sz w:val="20"/>
              </w:rPr>
              <w:t>para</w:t>
            </w:r>
            <w:r>
              <w:rPr>
                <w:spacing w:val="-6"/>
                <w:sz w:val="20"/>
              </w:rPr>
              <w:t> </w:t>
            </w:r>
            <w:r>
              <w:rPr>
                <w:sz w:val="20"/>
              </w:rPr>
              <w:t>realizar</w:t>
            </w:r>
            <w:r>
              <w:rPr>
                <w:spacing w:val="-6"/>
                <w:sz w:val="20"/>
              </w:rPr>
              <w:t> </w:t>
            </w:r>
            <w:r>
              <w:rPr>
                <w:sz w:val="20"/>
              </w:rPr>
              <w:t>actividades</w:t>
            </w:r>
            <w:r>
              <w:rPr>
                <w:spacing w:val="-5"/>
                <w:sz w:val="20"/>
              </w:rPr>
              <w:t> </w:t>
            </w:r>
            <w:r>
              <w:rPr>
                <w:sz w:val="20"/>
              </w:rPr>
              <w:t>de</w:t>
            </w:r>
            <w:r>
              <w:rPr>
                <w:spacing w:val="-8"/>
                <w:sz w:val="20"/>
              </w:rPr>
              <w:t> </w:t>
            </w:r>
            <w:r>
              <w:rPr>
                <w:sz w:val="20"/>
              </w:rPr>
              <w:t>la</w:t>
            </w:r>
            <w:r>
              <w:rPr>
                <w:spacing w:val="-6"/>
                <w:sz w:val="20"/>
              </w:rPr>
              <w:t> </w:t>
            </w:r>
            <w:r>
              <w:rPr>
                <w:sz w:val="20"/>
              </w:rPr>
              <w:t>vida</w:t>
            </w:r>
            <w:r>
              <w:rPr>
                <w:spacing w:val="-8"/>
                <w:sz w:val="20"/>
              </w:rPr>
              <w:t> </w:t>
            </w:r>
            <w:r>
              <w:rPr>
                <w:spacing w:val="-2"/>
                <w:sz w:val="20"/>
              </w:rPr>
              <w:t>diaria.</w:t>
            </w:r>
          </w:p>
        </w:tc>
        <w:tc>
          <w:tcPr>
            <w:tcW w:w="1848" w:type="dxa"/>
          </w:tcPr>
          <w:p>
            <w:pPr>
              <w:pStyle w:val="TableParagraph"/>
              <w:spacing w:line="240" w:lineRule="auto"/>
              <w:ind w:left="0"/>
              <w:jc w:val="left"/>
              <w:rPr>
                <w:rFonts w:ascii="Times New Roman"/>
                <w:sz w:val="18"/>
              </w:rPr>
            </w:pPr>
          </w:p>
        </w:tc>
      </w:tr>
      <w:tr>
        <w:trPr>
          <w:trHeight w:val="2532" w:hRule="atLeast"/>
        </w:trPr>
        <w:tc>
          <w:tcPr>
            <w:tcW w:w="1574" w:type="dxa"/>
          </w:tcPr>
          <w:p>
            <w:pPr>
              <w:pStyle w:val="TableParagraph"/>
              <w:spacing w:line="227" w:lineRule="exact"/>
              <w:ind w:left="13"/>
              <w:rPr>
                <w:rFonts w:ascii="Arial"/>
                <w:b/>
                <w:sz w:val="20"/>
              </w:rPr>
            </w:pPr>
            <w:r>
              <w:rPr>
                <w:rFonts w:ascii="Arial"/>
                <w:b/>
                <w:sz w:val="20"/>
              </w:rPr>
              <w:t>Clase</w:t>
            </w:r>
            <w:r>
              <w:rPr>
                <w:rFonts w:ascii="Arial"/>
                <w:b/>
                <w:spacing w:val="-9"/>
                <w:sz w:val="20"/>
              </w:rPr>
              <w:t> </w:t>
            </w:r>
            <w:r>
              <w:rPr>
                <w:rFonts w:ascii="Arial"/>
                <w:b/>
                <w:spacing w:val="-5"/>
                <w:sz w:val="20"/>
              </w:rPr>
              <w:t>IV</w:t>
            </w:r>
          </w:p>
        </w:tc>
        <w:tc>
          <w:tcPr>
            <w:tcW w:w="6125" w:type="dxa"/>
          </w:tcPr>
          <w:p>
            <w:pPr>
              <w:pStyle w:val="TableParagraph"/>
              <w:numPr>
                <w:ilvl w:val="0"/>
                <w:numId w:val="206"/>
              </w:numPr>
              <w:tabs>
                <w:tab w:pos="432" w:val="left" w:leader="none"/>
              </w:tabs>
              <w:spacing w:line="240" w:lineRule="auto" w:before="0" w:after="0"/>
              <w:ind w:left="432" w:right="56" w:hanging="360"/>
              <w:jc w:val="left"/>
              <w:rPr>
                <w:sz w:val="20"/>
              </w:rPr>
            </w:pPr>
            <w:r>
              <w:rPr>
                <w:sz w:val="20"/>
              </w:rPr>
              <w:t>Con</w:t>
            </w:r>
            <w:r>
              <w:rPr>
                <w:spacing w:val="32"/>
                <w:sz w:val="20"/>
              </w:rPr>
              <w:t> </w:t>
            </w:r>
            <w:r>
              <w:rPr>
                <w:sz w:val="20"/>
              </w:rPr>
              <w:t>sintomatología</w:t>
            </w:r>
            <w:r>
              <w:rPr>
                <w:spacing w:val="34"/>
                <w:sz w:val="20"/>
              </w:rPr>
              <w:t> </w:t>
            </w:r>
            <w:r>
              <w:rPr>
                <w:sz w:val="20"/>
              </w:rPr>
              <w:t>severa</w:t>
            </w:r>
            <w:r>
              <w:rPr>
                <w:spacing w:val="32"/>
                <w:sz w:val="20"/>
              </w:rPr>
              <w:t> </w:t>
            </w:r>
            <w:r>
              <w:rPr>
                <w:sz w:val="20"/>
              </w:rPr>
              <w:t>especifica</w:t>
            </w:r>
            <w:r>
              <w:rPr>
                <w:spacing w:val="32"/>
                <w:sz w:val="20"/>
              </w:rPr>
              <w:t> </w:t>
            </w:r>
            <w:r>
              <w:rPr>
                <w:sz w:val="20"/>
              </w:rPr>
              <w:t>o</w:t>
            </w:r>
            <w:r>
              <w:rPr>
                <w:spacing w:val="35"/>
                <w:sz w:val="20"/>
              </w:rPr>
              <w:t> </w:t>
            </w:r>
            <w:r>
              <w:rPr>
                <w:sz w:val="20"/>
              </w:rPr>
              <w:t>derivada</w:t>
            </w:r>
            <w:r>
              <w:rPr>
                <w:spacing w:val="35"/>
                <w:sz w:val="20"/>
              </w:rPr>
              <w:t> </w:t>
            </w:r>
            <w:r>
              <w:rPr>
                <w:sz w:val="20"/>
              </w:rPr>
              <w:t>del</w:t>
            </w:r>
            <w:r>
              <w:rPr>
                <w:spacing w:val="31"/>
                <w:sz w:val="20"/>
              </w:rPr>
              <w:t> </w:t>
            </w:r>
            <w:r>
              <w:rPr>
                <w:sz w:val="20"/>
              </w:rPr>
              <w:t>manejo </w:t>
            </w:r>
            <w:r>
              <w:rPr>
                <w:spacing w:val="-2"/>
                <w:sz w:val="20"/>
              </w:rPr>
              <w:t>terapéutico;</w:t>
            </w:r>
          </w:p>
          <w:p>
            <w:pPr>
              <w:pStyle w:val="TableParagraph"/>
              <w:numPr>
                <w:ilvl w:val="0"/>
                <w:numId w:val="206"/>
              </w:numPr>
              <w:tabs>
                <w:tab w:pos="431" w:val="left" w:leader="none"/>
              </w:tabs>
              <w:spacing w:line="240" w:lineRule="auto" w:before="0" w:after="0"/>
              <w:ind w:left="431" w:right="0" w:hanging="359"/>
              <w:jc w:val="left"/>
              <w:rPr>
                <w:sz w:val="20"/>
              </w:rPr>
            </w:pPr>
            <w:r>
              <w:rPr>
                <w:spacing w:val="-2"/>
                <w:sz w:val="20"/>
              </w:rPr>
              <w:t>Tratamiento</w:t>
            </w:r>
            <w:r>
              <w:rPr>
                <w:spacing w:val="7"/>
                <w:sz w:val="20"/>
              </w:rPr>
              <w:t> </w:t>
            </w:r>
            <w:r>
              <w:rPr>
                <w:spacing w:val="-2"/>
                <w:sz w:val="20"/>
              </w:rPr>
              <w:t>farmacológico</w:t>
            </w:r>
            <w:r>
              <w:rPr>
                <w:spacing w:val="11"/>
                <w:sz w:val="20"/>
              </w:rPr>
              <w:t> </w:t>
            </w:r>
            <w:r>
              <w:rPr>
                <w:spacing w:val="-2"/>
                <w:sz w:val="20"/>
              </w:rPr>
              <w:t>especializado</w:t>
            </w:r>
            <w:r>
              <w:rPr>
                <w:spacing w:val="9"/>
                <w:sz w:val="20"/>
              </w:rPr>
              <w:t> </w:t>
            </w:r>
            <w:r>
              <w:rPr>
                <w:spacing w:val="-2"/>
                <w:sz w:val="20"/>
              </w:rPr>
              <w:t>permanente;</w:t>
            </w:r>
          </w:p>
          <w:p>
            <w:pPr>
              <w:pStyle w:val="TableParagraph"/>
              <w:numPr>
                <w:ilvl w:val="0"/>
                <w:numId w:val="206"/>
              </w:numPr>
              <w:tabs>
                <w:tab w:pos="431" w:val="left" w:leader="none"/>
              </w:tabs>
              <w:spacing w:line="240" w:lineRule="auto" w:before="0" w:after="0"/>
              <w:ind w:left="431" w:right="0" w:hanging="359"/>
              <w:jc w:val="left"/>
              <w:rPr>
                <w:sz w:val="20"/>
              </w:rPr>
            </w:pPr>
            <w:r>
              <w:rPr>
                <w:sz w:val="20"/>
              </w:rPr>
              <w:t>Terapia</w:t>
            </w:r>
            <w:r>
              <w:rPr>
                <w:spacing w:val="-13"/>
                <w:sz w:val="20"/>
              </w:rPr>
              <w:t> </w:t>
            </w:r>
            <w:r>
              <w:rPr>
                <w:sz w:val="20"/>
              </w:rPr>
              <w:t>médica,</w:t>
            </w:r>
            <w:r>
              <w:rPr>
                <w:spacing w:val="-13"/>
                <w:sz w:val="20"/>
              </w:rPr>
              <w:t> </w:t>
            </w:r>
            <w:r>
              <w:rPr>
                <w:sz w:val="20"/>
              </w:rPr>
              <w:t>rehabilitatoria</w:t>
            </w:r>
            <w:r>
              <w:rPr>
                <w:spacing w:val="-13"/>
                <w:sz w:val="20"/>
              </w:rPr>
              <w:t> </w:t>
            </w:r>
            <w:r>
              <w:rPr>
                <w:spacing w:val="-2"/>
                <w:sz w:val="20"/>
              </w:rPr>
              <w:t>especializada;</w:t>
            </w:r>
          </w:p>
          <w:p>
            <w:pPr>
              <w:pStyle w:val="TableParagraph"/>
              <w:numPr>
                <w:ilvl w:val="0"/>
                <w:numId w:val="206"/>
              </w:numPr>
              <w:tabs>
                <w:tab w:pos="432" w:val="left" w:leader="none"/>
                <w:tab w:pos="1506" w:val="left" w:leader="none"/>
                <w:tab w:pos="2523" w:val="left" w:leader="none"/>
                <w:tab w:pos="3432" w:val="left" w:leader="none"/>
                <w:tab w:pos="5119" w:val="left" w:leader="none"/>
                <w:tab w:pos="5606" w:val="left" w:leader="none"/>
              </w:tabs>
              <w:spacing w:line="240" w:lineRule="auto" w:before="1" w:after="0"/>
              <w:ind w:left="432" w:right="58" w:hanging="360"/>
              <w:jc w:val="left"/>
              <w:rPr>
                <w:sz w:val="20"/>
              </w:rPr>
            </w:pPr>
            <w:r>
              <w:rPr>
                <w:spacing w:val="-2"/>
                <w:sz w:val="20"/>
              </w:rPr>
              <w:t>Requiere</w:t>
            </w:r>
            <w:r>
              <w:rPr>
                <w:sz w:val="20"/>
              </w:rPr>
              <w:tab/>
            </w:r>
            <w:r>
              <w:rPr>
                <w:spacing w:val="-2"/>
                <w:sz w:val="20"/>
              </w:rPr>
              <w:t>atención</w:t>
            </w:r>
            <w:r>
              <w:rPr>
                <w:sz w:val="20"/>
              </w:rPr>
              <w:tab/>
            </w:r>
            <w:r>
              <w:rPr>
                <w:spacing w:val="-2"/>
                <w:sz w:val="20"/>
              </w:rPr>
              <w:t>médica</w:t>
            </w:r>
            <w:r>
              <w:rPr>
                <w:sz w:val="20"/>
              </w:rPr>
              <w:tab/>
            </w:r>
            <w:r>
              <w:rPr>
                <w:spacing w:val="-2"/>
                <w:sz w:val="20"/>
              </w:rPr>
              <w:t>complementaria</w:t>
            </w:r>
            <w:r>
              <w:rPr>
                <w:sz w:val="20"/>
              </w:rPr>
              <w:tab/>
            </w:r>
            <w:r>
              <w:rPr>
                <w:spacing w:val="-6"/>
                <w:sz w:val="20"/>
              </w:rPr>
              <w:t>de</w:t>
            </w:r>
            <w:r>
              <w:rPr>
                <w:sz w:val="20"/>
              </w:rPr>
              <w:tab/>
            </w:r>
            <w:r>
              <w:rPr>
                <w:spacing w:val="-2"/>
                <w:sz w:val="20"/>
              </w:rPr>
              <w:t>otras especialidades;</w:t>
            </w:r>
          </w:p>
          <w:p>
            <w:pPr>
              <w:pStyle w:val="TableParagraph"/>
              <w:numPr>
                <w:ilvl w:val="0"/>
                <w:numId w:val="206"/>
              </w:numPr>
              <w:tabs>
                <w:tab w:pos="432" w:val="left" w:leader="none"/>
              </w:tabs>
              <w:spacing w:line="240" w:lineRule="auto" w:before="0" w:after="0"/>
              <w:ind w:left="432" w:right="54" w:hanging="360"/>
              <w:jc w:val="left"/>
              <w:rPr>
                <w:sz w:val="20"/>
              </w:rPr>
            </w:pPr>
            <w:r>
              <w:rPr>
                <w:sz w:val="20"/>
              </w:rPr>
              <w:t>Con</w:t>
            </w:r>
            <w:r>
              <w:rPr>
                <w:spacing w:val="25"/>
                <w:sz w:val="20"/>
              </w:rPr>
              <w:t> </w:t>
            </w:r>
            <w:r>
              <w:rPr>
                <w:sz w:val="20"/>
              </w:rPr>
              <w:t>internamientos</w:t>
            </w:r>
            <w:r>
              <w:rPr>
                <w:spacing w:val="24"/>
                <w:sz w:val="20"/>
              </w:rPr>
              <w:t> </w:t>
            </w:r>
            <w:r>
              <w:rPr>
                <w:sz w:val="20"/>
              </w:rPr>
              <w:t>recurrentes</w:t>
            </w:r>
            <w:r>
              <w:rPr>
                <w:spacing w:val="24"/>
                <w:sz w:val="20"/>
              </w:rPr>
              <w:t> </w:t>
            </w:r>
            <w:r>
              <w:rPr>
                <w:sz w:val="20"/>
              </w:rPr>
              <w:t>mayores</w:t>
            </w:r>
            <w:r>
              <w:rPr>
                <w:spacing w:val="25"/>
                <w:sz w:val="20"/>
              </w:rPr>
              <w:t> </w:t>
            </w:r>
            <w:r>
              <w:rPr>
                <w:sz w:val="20"/>
              </w:rPr>
              <w:t>a</w:t>
            </w:r>
            <w:r>
              <w:rPr>
                <w:spacing w:val="26"/>
                <w:sz w:val="20"/>
              </w:rPr>
              <w:t> </w:t>
            </w:r>
            <w:r>
              <w:rPr>
                <w:sz w:val="20"/>
              </w:rPr>
              <w:t>una</w:t>
            </w:r>
            <w:r>
              <w:rPr>
                <w:spacing w:val="25"/>
                <w:sz w:val="20"/>
              </w:rPr>
              <w:t> </w:t>
            </w:r>
            <w:r>
              <w:rPr>
                <w:sz w:val="20"/>
              </w:rPr>
              <w:t>semana</w:t>
            </w:r>
            <w:r>
              <w:rPr>
                <w:spacing w:val="26"/>
                <w:sz w:val="20"/>
              </w:rPr>
              <w:t> </w:t>
            </w:r>
            <w:r>
              <w:rPr>
                <w:sz w:val="20"/>
              </w:rPr>
              <w:t>para manejo especializado;</w:t>
            </w:r>
          </w:p>
          <w:p>
            <w:pPr>
              <w:pStyle w:val="TableParagraph"/>
              <w:numPr>
                <w:ilvl w:val="0"/>
                <w:numId w:val="206"/>
              </w:numPr>
              <w:tabs>
                <w:tab w:pos="432" w:val="left" w:leader="none"/>
              </w:tabs>
              <w:spacing w:line="240" w:lineRule="auto" w:before="0" w:after="0"/>
              <w:ind w:left="432" w:right="60" w:hanging="360"/>
              <w:jc w:val="left"/>
              <w:rPr>
                <w:sz w:val="20"/>
              </w:rPr>
            </w:pPr>
            <w:r>
              <w:rPr>
                <w:sz w:val="20"/>
              </w:rPr>
              <w:t>Con aptitud limitada para ejercer actividades de su profesión u oficio, y</w:t>
            </w:r>
          </w:p>
          <w:p>
            <w:pPr>
              <w:pStyle w:val="TableParagraph"/>
              <w:numPr>
                <w:ilvl w:val="0"/>
                <w:numId w:val="206"/>
              </w:numPr>
              <w:tabs>
                <w:tab w:pos="431" w:val="left" w:leader="none"/>
              </w:tabs>
              <w:spacing w:line="210" w:lineRule="exact" w:before="0" w:after="0"/>
              <w:ind w:left="431" w:right="0" w:hanging="359"/>
              <w:jc w:val="left"/>
              <w:rPr>
                <w:sz w:val="20"/>
              </w:rPr>
            </w:pPr>
            <w:r>
              <w:rPr>
                <w:sz w:val="20"/>
              </w:rPr>
              <w:t>Sin</w:t>
            </w:r>
            <w:r>
              <w:rPr>
                <w:spacing w:val="-7"/>
                <w:sz w:val="20"/>
              </w:rPr>
              <w:t> </w:t>
            </w:r>
            <w:r>
              <w:rPr>
                <w:sz w:val="20"/>
              </w:rPr>
              <w:t>afectación</w:t>
            </w:r>
            <w:r>
              <w:rPr>
                <w:spacing w:val="-8"/>
                <w:sz w:val="20"/>
              </w:rPr>
              <w:t> </w:t>
            </w:r>
            <w:r>
              <w:rPr>
                <w:sz w:val="20"/>
              </w:rPr>
              <w:t>para</w:t>
            </w:r>
            <w:r>
              <w:rPr>
                <w:spacing w:val="-6"/>
                <w:sz w:val="20"/>
              </w:rPr>
              <w:t> </w:t>
            </w:r>
            <w:r>
              <w:rPr>
                <w:sz w:val="20"/>
              </w:rPr>
              <w:t>realizar</w:t>
            </w:r>
            <w:r>
              <w:rPr>
                <w:spacing w:val="-6"/>
                <w:sz w:val="20"/>
              </w:rPr>
              <w:t> </w:t>
            </w:r>
            <w:r>
              <w:rPr>
                <w:sz w:val="20"/>
              </w:rPr>
              <w:t>actividades</w:t>
            </w:r>
            <w:r>
              <w:rPr>
                <w:spacing w:val="-5"/>
                <w:sz w:val="20"/>
              </w:rPr>
              <w:t> </w:t>
            </w:r>
            <w:r>
              <w:rPr>
                <w:sz w:val="20"/>
              </w:rPr>
              <w:t>de</w:t>
            </w:r>
            <w:r>
              <w:rPr>
                <w:spacing w:val="-8"/>
                <w:sz w:val="20"/>
              </w:rPr>
              <w:t> </w:t>
            </w:r>
            <w:r>
              <w:rPr>
                <w:sz w:val="20"/>
              </w:rPr>
              <w:t>la</w:t>
            </w:r>
            <w:r>
              <w:rPr>
                <w:spacing w:val="-6"/>
                <w:sz w:val="20"/>
              </w:rPr>
              <w:t> </w:t>
            </w:r>
            <w:r>
              <w:rPr>
                <w:sz w:val="20"/>
              </w:rPr>
              <w:t>vida</w:t>
            </w:r>
            <w:r>
              <w:rPr>
                <w:spacing w:val="-8"/>
                <w:sz w:val="20"/>
              </w:rPr>
              <w:t> </w:t>
            </w:r>
            <w:r>
              <w:rPr>
                <w:spacing w:val="-2"/>
                <w:sz w:val="20"/>
              </w:rPr>
              <w:t>diaria.</w:t>
            </w:r>
          </w:p>
        </w:tc>
        <w:tc>
          <w:tcPr>
            <w:tcW w:w="1848" w:type="dxa"/>
          </w:tcPr>
          <w:p>
            <w:pPr>
              <w:pStyle w:val="TableParagraph"/>
              <w:spacing w:line="229" w:lineRule="exact"/>
              <w:ind w:left="14"/>
              <w:rPr>
                <w:sz w:val="20"/>
              </w:rPr>
            </w:pPr>
            <w:r>
              <w:rPr>
                <w:sz w:val="20"/>
              </w:rPr>
              <w:t>51</w:t>
            </w:r>
            <w:r>
              <w:rPr>
                <w:spacing w:val="-3"/>
                <w:sz w:val="20"/>
              </w:rPr>
              <w:t> </w:t>
            </w:r>
            <w:r>
              <w:rPr>
                <w:sz w:val="20"/>
              </w:rPr>
              <w:t>a</w:t>
            </w:r>
            <w:r>
              <w:rPr>
                <w:spacing w:val="-1"/>
                <w:sz w:val="20"/>
              </w:rPr>
              <w:t> </w:t>
            </w:r>
            <w:r>
              <w:rPr>
                <w:spacing w:val="-5"/>
                <w:sz w:val="20"/>
              </w:rPr>
              <w:t>70%</w:t>
            </w:r>
          </w:p>
        </w:tc>
      </w:tr>
      <w:tr>
        <w:trPr>
          <w:trHeight w:val="2528" w:hRule="atLeast"/>
        </w:trPr>
        <w:tc>
          <w:tcPr>
            <w:tcW w:w="1574" w:type="dxa"/>
          </w:tcPr>
          <w:p>
            <w:pPr>
              <w:pStyle w:val="TableParagraph"/>
              <w:spacing w:line="227" w:lineRule="exact"/>
              <w:ind w:left="13" w:right="3"/>
              <w:rPr>
                <w:rFonts w:ascii="Arial"/>
                <w:b/>
                <w:sz w:val="20"/>
              </w:rPr>
            </w:pPr>
            <w:r>
              <w:rPr>
                <w:rFonts w:ascii="Arial"/>
                <w:b/>
                <w:sz w:val="20"/>
              </w:rPr>
              <w:t>Clase</w:t>
            </w:r>
            <w:r>
              <w:rPr>
                <w:rFonts w:ascii="Arial"/>
                <w:b/>
                <w:spacing w:val="-9"/>
                <w:sz w:val="20"/>
              </w:rPr>
              <w:t> </w:t>
            </w:r>
            <w:r>
              <w:rPr>
                <w:rFonts w:ascii="Arial"/>
                <w:b/>
                <w:spacing w:val="-10"/>
                <w:sz w:val="20"/>
              </w:rPr>
              <w:t>V</w:t>
            </w:r>
          </w:p>
        </w:tc>
        <w:tc>
          <w:tcPr>
            <w:tcW w:w="6125" w:type="dxa"/>
          </w:tcPr>
          <w:p>
            <w:pPr>
              <w:pStyle w:val="TableParagraph"/>
              <w:numPr>
                <w:ilvl w:val="0"/>
                <w:numId w:val="207"/>
              </w:numPr>
              <w:tabs>
                <w:tab w:pos="432" w:val="left" w:leader="none"/>
              </w:tabs>
              <w:spacing w:line="240" w:lineRule="auto" w:before="0" w:after="0"/>
              <w:ind w:left="432" w:right="60" w:hanging="360"/>
              <w:jc w:val="left"/>
              <w:rPr>
                <w:sz w:val="20"/>
              </w:rPr>
            </w:pPr>
            <w:r>
              <w:rPr>
                <w:sz w:val="20"/>
              </w:rPr>
              <w:t>Con</w:t>
            </w:r>
            <w:r>
              <w:rPr>
                <w:spacing w:val="31"/>
                <w:sz w:val="20"/>
              </w:rPr>
              <w:t> </w:t>
            </w:r>
            <w:r>
              <w:rPr>
                <w:sz w:val="20"/>
              </w:rPr>
              <w:t>sintomatología</w:t>
            </w:r>
            <w:r>
              <w:rPr>
                <w:spacing w:val="33"/>
                <w:sz w:val="20"/>
              </w:rPr>
              <w:t> </w:t>
            </w:r>
            <w:r>
              <w:rPr>
                <w:sz w:val="20"/>
              </w:rPr>
              <w:t>severa</w:t>
            </w:r>
            <w:r>
              <w:rPr>
                <w:spacing w:val="31"/>
                <w:sz w:val="20"/>
              </w:rPr>
              <w:t> </w:t>
            </w:r>
            <w:r>
              <w:rPr>
                <w:sz w:val="20"/>
              </w:rPr>
              <w:t>especifica</w:t>
            </w:r>
            <w:r>
              <w:rPr>
                <w:spacing w:val="31"/>
                <w:sz w:val="20"/>
              </w:rPr>
              <w:t> </w:t>
            </w:r>
            <w:r>
              <w:rPr>
                <w:sz w:val="20"/>
              </w:rPr>
              <w:t>o</w:t>
            </w:r>
            <w:r>
              <w:rPr>
                <w:spacing w:val="34"/>
                <w:sz w:val="20"/>
              </w:rPr>
              <w:t> </w:t>
            </w:r>
            <w:r>
              <w:rPr>
                <w:sz w:val="20"/>
              </w:rPr>
              <w:t>derivada</w:t>
            </w:r>
            <w:r>
              <w:rPr>
                <w:spacing w:val="34"/>
                <w:sz w:val="20"/>
              </w:rPr>
              <w:t> </w:t>
            </w:r>
            <w:r>
              <w:rPr>
                <w:sz w:val="20"/>
              </w:rPr>
              <w:t>del</w:t>
            </w:r>
            <w:r>
              <w:rPr>
                <w:spacing w:val="30"/>
                <w:sz w:val="20"/>
              </w:rPr>
              <w:t> </w:t>
            </w:r>
            <w:r>
              <w:rPr>
                <w:sz w:val="20"/>
              </w:rPr>
              <w:t>manejo </w:t>
            </w:r>
            <w:r>
              <w:rPr>
                <w:spacing w:val="-2"/>
                <w:sz w:val="20"/>
              </w:rPr>
              <w:t>terapéutico;</w:t>
            </w:r>
          </w:p>
          <w:p>
            <w:pPr>
              <w:pStyle w:val="TableParagraph"/>
              <w:numPr>
                <w:ilvl w:val="0"/>
                <w:numId w:val="207"/>
              </w:numPr>
              <w:tabs>
                <w:tab w:pos="431" w:val="left" w:leader="none"/>
              </w:tabs>
              <w:spacing w:line="228" w:lineRule="exact" w:before="0" w:after="0"/>
              <w:ind w:left="431" w:right="0" w:hanging="359"/>
              <w:jc w:val="left"/>
              <w:rPr>
                <w:sz w:val="20"/>
              </w:rPr>
            </w:pPr>
            <w:r>
              <w:rPr>
                <w:spacing w:val="-2"/>
                <w:sz w:val="20"/>
              </w:rPr>
              <w:t>Tratamiento</w:t>
            </w:r>
            <w:r>
              <w:rPr>
                <w:spacing w:val="7"/>
                <w:sz w:val="20"/>
              </w:rPr>
              <w:t> </w:t>
            </w:r>
            <w:r>
              <w:rPr>
                <w:spacing w:val="-2"/>
                <w:sz w:val="20"/>
              </w:rPr>
              <w:t>farmacológico</w:t>
            </w:r>
            <w:r>
              <w:rPr>
                <w:spacing w:val="12"/>
                <w:sz w:val="20"/>
              </w:rPr>
              <w:t> </w:t>
            </w:r>
            <w:r>
              <w:rPr>
                <w:spacing w:val="-2"/>
                <w:sz w:val="20"/>
              </w:rPr>
              <w:t>especializado</w:t>
            </w:r>
            <w:r>
              <w:rPr>
                <w:spacing w:val="10"/>
                <w:sz w:val="20"/>
              </w:rPr>
              <w:t> </w:t>
            </w:r>
            <w:r>
              <w:rPr>
                <w:spacing w:val="-2"/>
                <w:sz w:val="20"/>
              </w:rPr>
              <w:t>permanente;</w:t>
            </w:r>
          </w:p>
          <w:p>
            <w:pPr>
              <w:pStyle w:val="TableParagraph"/>
              <w:numPr>
                <w:ilvl w:val="0"/>
                <w:numId w:val="207"/>
              </w:numPr>
              <w:tabs>
                <w:tab w:pos="431" w:val="left" w:leader="none"/>
              </w:tabs>
              <w:spacing w:line="240" w:lineRule="auto" w:before="0" w:after="0"/>
              <w:ind w:left="431" w:right="0" w:hanging="359"/>
              <w:jc w:val="left"/>
              <w:rPr>
                <w:sz w:val="20"/>
              </w:rPr>
            </w:pPr>
            <w:r>
              <w:rPr>
                <w:sz w:val="20"/>
              </w:rPr>
              <w:t>Terapia</w:t>
            </w:r>
            <w:r>
              <w:rPr>
                <w:spacing w:val="-13"/>
                <w:sz w:val="20"/>
              </w:rPr>
              <w:t> </w:t>
            </w:r>
            <w:r>
              <w:rPr>
                <w:sz w:val="20"/>
              </w:rPr>
              <w:t>médica,</w:t>
            </w:r>
            <w:r>
              <w:rPr>
                <w:spacing w:val="-13"/>
                <w:sz w:val="20"/>
              </w:rPr>
              <w:t> </w:t>
            </w:r>
            <w:r>
              <w:rPr>
                <w:sz w:val="20"/>
              </w:rPr>
              <w:t>rehabilitatoria</w:t>
            </w:r>
            <w:r>
              <w:rPr>
                <w:spacing w:val="-13"/>
                <w:sz w:val="20"/>
              </w:rPr>
              <w:t> </w:t>
            </w:r>
            <w:r>
              <w:rPr>
                <w:spacing w:val="-2"/>
                <w:sz w:val="20"/>
              </w:rPr>
              <w:t>especializada;</w:t>
            </w:r>
          </w:p>
          <w:p>
            <w:pPr>
              <w:pStyle w:val="TableParagraph"/>
              <w:numPr>
                <w:ilvl w:val="0"/>
                <w:numId w:val="207"/>
              </w:numPr>
              <w:tabs>
                <w:tab w:pos="432" w:val="left" w:leader="none"/>
                <w:tab w:pos="1506" w:val="left" w:leader="none"/>
                <w:tab w:pos="2523" w:val="left" w:leader="none"/>
                <w:tab w:pos="3432" w:val="left" w:leader="none"/>
                <w:tab w:pos="5119" w:val="left" w:leader="none"/>
                <w:tab w:pos="5606" w:val="left" w:leader="none"/>
              </w:tabs>
              <w:spacing w:line="240" w:lineRule="auto" w:before="0" w:after="0"/>
              <w:ind w:left="432" w:right="58" w:hanging="360"/>
              <w:jc w:val="left"/>
              <w:rPr>
                <w:sz w:val="20"/>
              </w:rPr>
            </w:pPr>
            <w:r>
              <w:rPr>
                <w:spacing w:val="-2"/>
                <w:sz w:val="20"/>
              </w:rPr>
              <w:t>Requiere</w:t>
            </w:r>
            <w:r>
              <w:rPr>
                <w:sz w:val="20"/>
              </w:rPr>
              <w:tab/>
            </w:r>
            <w:r>
              <w:rPr>
                <w:spacing w:val="-2"/>
                <w:sz w:val="20"/>
              </w:rPr>
              <w:t>atención</w:t>
            </w:r>
            <w:r>
              <w:rPr>
                <w:sz w:val="20"/>
              </w:rPr>
              <w:tab/>
            </w:r>
            <w:r>
              <w:rPr>
                <w:spacing w:val="-2"/>
                <w:sz w:val="20"/>
              </w:rPr>
              <w:t>médica</w:t>
            </w:r>
            <w:r>
              <w:rPr>
                <w:sz w:val="20"/>
              </w:rPr>
              <w:tab/>
            </w:r>
            <w:r>
              <w:rPr>
                <w:spacing w:val="-2"/>
                <w:sz w:val="20"/>
              </w:rPr>
              <w:t>complementaria</w:t>
            </w:r>
            <w:r>
              <w:rPr>
                <w:sz w:val="20"/>
              </w:rPr>
              <w:tab/>
            </w:r>
            <w:r>
              <w:rPr>
                <w:spacing w:val="-6"/>
                <w:sz w:val="20"/>
              </w:rPr>
              <w:t>de</w:t>
            </w:r>
            <w:r>
              <w:rPr>
                <w:sz w:val="20"/>
              </w:rPr>
              <w:tab/>
            </w:r>
            <w:r>
              <w:rPr>
                <w:spacing w:val="-2"/>
                <w:sz w:val="20"/>
              </w:rPr>
              <w:t>otras especialidades;</w:t>
            </w:r>
          </w:p>
          <w:p>
            <w:pPr>
              <w:pStyle w:val="TableParagraph"/>
              <w:numPr>
                <w:ilvl w:val="0"/>
                <w:numId w:val="207"/>
              </w:numPr>
              <w:tabs>
                <w:tab w:pos="432" w:val="left" w:leader="none"/>
              </w:tabs>
              <w:spacing w:line="240" w:lineRule="auto" w:before="1" w:after="0"/>
              <w:ind w:left="432" w:right="59" w:hanging="360"/>
              <w:jc w:val="left"/>
              <w:rPr>
                <w:sz w:val="20"/>
              </w:rPr>
            </w:pPr>
            <w:r>
              <w:rPr>
                <w:sz w:val="20"/>
              </w:rPr>
              <w:t>Con</w:t>
            </w:r>
            <w:r>
              <w:rPr>
                <w:spacing w:val="25"/>
                <w:sz w:val="20"/>
              </w:rPr>
              <w:t> </w:t>
            </w:r>
            <w:r>
              <w:rPr>
                <w:sz w:val="20"/>
              </w:rPr>
              <w:t>internamientos</w:t>
            </w:r>
            <w:r>
              <w:rPr>
                <w:spacing w:val="24"/>
                <w:sz w:val="20"/>
              </w:rPr>
              <w:t> </w:t>
            </w:r>
            <w:r>
              <w:rPr>
                <w:sz w:val="20"/>
              </w:rPr>
              <w:t>recurrentes</w:t>
            </w:r>
            <w:r>
              <w:rPr>
                <w:spacing w:val="24"/>
                <w:sz w:val="20"/>
              </w:rPr>
              <w:t> </w:t>
            </w:r>
            <w:r>
              <w:rPr>
                <w:sz w:val="20"/>
              </w:rPr>
              <w:t>mayores</w:t>
            </w:r>
            <w:r>
              <w:rPr>
                <w:spacing w:val="25"/>
                <w:sz w:val="20"/>
              </w:rPr>
              <w:t> </w:t>
            </w:r>
            <w:r>
              <w:rPr>
                <w:sz w:val="20"/>
              </w:rPr>
              <w:t>a</w:t>
            </w:r>
            <w:r>
              <w:rPr>
                <w:spacing w:val="26"/>
                <w:sz w:val="20"/>
              </w:rPr>
              <w:t> </w:t>
            </w:r>
            <w:r>
              <w:rPr>
                <w:sz w:val="20"/>
              </w:rPr>
              <w:t>una</w:t>
            </w:r>
            <w:r>
              <w:rPr>
                <w:spacing w:val="25"/>
                <w:sz w:val="20"/>
              </w:rPr>
              <w:t> </w:t>
            </w:r>
            <w:r>
              <w:rPr>
                <w:sz w:val="20"/>
              </w:rPr>
              <w:t>semana</w:t>
            </w:r>
            <w:r>
              <w:rPr>
                <w:spacing w:val="26"/>
                <w:sz w:val="20"/>
              </w:rPr>
              <w:t> </w:t>
            </w:r>
            <w:r>
              <w:rPr>
                <w:sz w:val="20"/>
              </w:rPr>
              <w:t>para manejo especializado;</w:t>
            </w:r>
          </w:p>
          <w:p>
            <w:pPr>
              <w:pStyle w:val="TableParagraph"/>
              <w:numPr>
                <w:ilvl w:val="0"/>
                <w:numId w:val="207"/>
              </w:numPr>
              <w:tabs>
                <w:tab w:pos="431" w:val="left" w:leader="none"/>
              </w:tabs>
              <w:spacing w:line="228" w:lineRule="exact" w:before="0" w:after="0"/>
              <w:ind w:left="431" w:right="0" w:hanging="359"/>
              <w:jc w:val="left"/>
              <w:rPr>
                <w:sz w:val="20"/>
              </w:rPr>
            </w:pPr>
            <w:r>
              <w:rPr>
                <w:sz w:val="20"/>
              </w:rPr>
              <w:t>Sin</w:t>
            </w:r>
            <w:r>
              <w:rPr>
                <w:spacing w:val="-5"/>
                <w:sz w:val="20"/>
              </w:rPr>
              <w:t> </w:t>
            </w:r>
            <w:r>
              <w:rPr>
                <w:sz w:val="20"/>
              </w:rPr>
              <w:t>aptitud</w:t>
            </w:r>
            <w:r>
              <w:rPr>
                <w:spacing w:val="-6"/>
                <w:sz w:val="20"/>
              </w:rPr>
              <w:t> </w:t>
            </w:r>
            <w:r>
              <w:rPr>
                <w:sz w:val="20"/>
              </w:rPr>
              <w:t>para</w:t>
            </w:r>
            <w:r>
              <w:rPr>
                <w:spacing w:val="-6"/>
                <w:sz w:val="20"/>
              </w:rPr>
              <w:t> </w:t>
            </w:r>
            <w:r>
              <w:rPr>
                <w:sz w:val="20"/>
              </w:rPr>
              <w:t>ejercer</w:t>
            </w:r>
            <w:r>
              <w:rPr>
                <w:spacing w:val="-7"/>
                <w:sz w:val="20"/>
              </w:rPr>
              <w:t> </w:t>
            </w:r>
            <w:r>
              <w:rPr>
                <w:sz w:val="20"/>
              </w:rPr>
              <w:t>actividades</w:t>
            </w:r>
            <w:r>
              <w:rPr>
                <w:spacing w:val="-5"/>
                <w:sz w:val="20"/>
              </w:rPr>
              <w:t> </w:t>
            </w:r>
            <w:r>
              <w:rPr>
                <w:sz w:val="20"/>
              </w:rPr>
              <w:t>de</w:t>
            </w:r>
            <w:r>
              <w:rPr>
                <w:spacing w:val="-7"/>
                <w:sz w:val="20"/>
              </w:rPr>
              <w:t> </w:t>
            </w:r>
            <w:r>
              <w:rPr>
                <w:sz w:val="20"/>
              </w:rPr>
              <w:t>su</w:t>
            </w:r>
            <w:r>
              <w:rPr>
                <w:spacing w:val="-4"/>
                <w:sz w:val="20"/>
              </w:rPr>
              <w:t> </w:t>
            </w:r>
            <w:r>
              <w:rPr>
                <w:sz w:val="20"/>
              </w:rPr>
              <w:t>profesión</w:t>
            </w:r>
            <w:r>
              <w:rPr>
                <w:spacing w:val="-6"/>
                <w:sz w:val="20"/>
              </w:rPr>
              <w:t> </w:t>
            </w:r>
            <w:r>
              <w:rPr>
                <w:sz w:val="20"/>
              </w:rPr>
              <w:t>u</w:t>
            </w:r>
            <w:r>
              <w:rPr>
                <w:spacing w:val="-6"/>
                <w:sz w:val="20"/>
              </w:rPr>
              <w:t> </w:t>
            </w:r>
            <w:r>
              <w:rPr>
                <w:sz w:val="20"/>
              </w:rPr>
              <w:t>oficio,</w:t>
            </w:r>
            <w:r>
              <w:rPr>
                <w:spacing w:val="-4"/>
                <w:sz w:val="20"/>
              </w:rPr>
              <w:t> </w:t>
            </w:r>
            <w:r>
              <w:rPr>
                <w:spacing w:val="-10"/>
                <w:sz w:val="20"/>
              </w:rPr>
              <w:t>y</w:t>
            </w:r>
          </w:p>
          <w:p>
            <w:pPr>
              <w:pStyle w:val="TableParagraph"/>
              <w:numPr>
                <w:ilvl w:val="0"/>
                <w:numId w:val="207"/>
              </w:numPr>
              <w:tabs>
                <w:tab w:pos="432" w:val="left" w:leader="none"/>
              </w:tabs>
              <w:spacing w:line="230" w:lineRule="atLeast" w:before="0" w:after="0"/>
              <w:ind w:left="432" w:right="61" w:hanging="360"/>
              <w:jc w:val="left"/>
              <w:rPr>
                <w:sz w:val="20"/>
              </w:rPr>
            </w:pPr>
            <w:r>
              <w:rPr>
                <w:sz w:val="20"/>
              </w:rPr>
              <w:t>Con</w:t>
            </w:r>
            <w:r>
              <w:rPr>
                <w:spacing w:val="40"/>
                <w:sz w:val="20"/>
              </w:rPr>
              <w:t> </w:t>
            </w:r>
            <w:r>
              <w:rPr>
                <w:sz w:val="20"/>
              </w:rPr>
              <w:t>disminución</w:t>
            </w:r>
            <w:r>
              <w:rPr>
                <w:spacing w:val="40"/>
                <w:sz w:val="20"/>
              </w:rPr>
              <w:t> </w:t>
            </w:r>
            <w:r>
              <w:rPr>
                <w:sz w:val="20"/>
              </w:rPr>
              <w:t>para</w:t>
            </w:r>
            <w:r>
              <w:rPr>
                <w:spacing w:val="40"/>
                <w:sz w:val="20"/>
              </w:rPr>
              <w:t> </w:t>
            </w:r>
            <w:r>
              <w:rPr>
                <w:sz w:val="20"/>
              </w:rPr>
              <w:t>realizar</w:t>
            </w:r>
            <w:r>
              <w:rPr>
                <w:spacing w:val="40"/>
                <w:sz w:val="20"/>
              </w:rPr>
              <w:t> </w:t>
            </w:r>
            <w:r>
              <w:rPr>
                <w:sz w:val="20"/>
              </w:rPr>
              <w:t>actividades</w:t>
            </w:r>
            <w:r>
              <w:rPr>
                <w:spacing w:val="40"/>
                <w:sz w:val="20"/>
              </w:rPr>
              <w:t> </w:t>
            </w:r>
            <w:r>
              <w:rPr>
                <w:sz w:val="20"/>
              </w:rPr>
              <w:t>de</w:t>
            </w:r>
            <w:r>
              <w:rPr>
                <w:spacing w:val="40"/>
                <w:sz w:val="20"/>
              </w:rPr>
              <w:t> </w:t>
            </w:r>
            <w:r>
              <w:rPr>
                <w:sz w:val="20"/>
              </w:rPr>
              <w:t>la</w:t>
            </w:r>
            <w:r>
              <w:rPr>
                <w:spacing w:val="40"/>
                <w:sz w:val="20"/>
              </w:rPr>
              <w:t> </w:t>
            </w:r>
            <w:r>
              <w:rPr>
                <w:sz w:val="20"/>
              </w:rPr>
              <w:t>vida</w:t>
            </w:r>
            <w:r>
              <w:rPr>
                <w:spacing w:val="40"/>
                <w:sz w:val="20"/>
              </w:rPr>
              <w:t> </w:t>
            </w:r>
            <w:r>
              <w:rPr>
                <w:sz w:val="20"/>
              </w:rPr>
              <w:t>diaria, puede realizar las de autocuidado.</w:t>
            </w:r>
          </w:p>
        </w:tc>
        <w:tc>
          <w:tcPr>
            <w:tcW w:w="1848" w:type="dxa"/>
          </w:tcPr>
          <w:p>
            <w:pPr>
              <w:pStyle w:val="TableParagraph"/>
              <w:spacing w:line="229" w:lineRule="exact"/>
              <w:ind w:left="14"/>
              <w:rPr>
                <w:sz w:val="20"/>
              </w:rPr>
            </w:pPr>
            <w:r>
              <w:rPr>
                <w:sz w:val="20"/>
              </w:rPr>
              <w:t>71</w:t>
            </w:r>
            <w:r>
              <w:rPr>
                <w:spacing w:val="-3"/>
                <w:sz w:val="20"/>
              </w:rPr>
              <w:t> </w:t>
            </w:r>
            <w:r>
              <w:rPr>
                <w:sz w:val="20"/>
              </w:rPr>
              <w:t>a</w:t>
            </w:r>
            <w:r>
              <w:rPr>
                <w:spacing w:val="-1"/>
                <w:sz w:val="20"/>
              </w:rPr>
              <w:t> </w:t>
            </w:r>
            <w:r>
              <w:rPr>
                <w:spacing w:val="-5"/>
                <w:sz w:val="20"/>
              </w:rPr>
              <w:t>90%</w:t>
            </w:r>
          </w:p>
        </w:tc>
      </w:tr>
      <w:tr>
        <w:trPr>
          <w:trHeight w:val="1379" w:hRule="atLeast"/>
        </w:trPr>
        <w:tc>
          <w:tcPr>
            <w:tcW w:w="1574" w:type="dxa"/>
          </w:tcPr>
          <w:p>
            <w:pPr>
              <w:pStyle w:val="TableParagraph"/>
              <w:spacing w:line="227" w:lineRule="exact"/>
              <w:ind w:left="13" w:right="1"/>
              <w:rPr>
                <w:rFonts w:ascii="Arial"/>
                <w:b/>
                <w:sz w:val="20"/>
              </w:rPr>
            </w:pPr>
            <w:r>
              <w:rPr>
                <w:rFonts w:ascii="Arial"/>
                <w:b/>
                <w:sz w:val="20"/>
              </w:rPr>
              <w:t>Clase</w:t>
            </w:r>
            <w:r>
              <w:rPr>
                <w:rFonts w:ascii="Arial"/>
                <w:b/>
                <w:spacing w:val="-9"/>
                <w:sz w:val="20"/>
              </w:rPr>
              <w:t> </w:t>
            </w:r>
            <w:r>
              <w:rPr>
                <w:rFonts w:ascii="Arial"/>
                <w:b/>
                <w:spacing w:val="-5"/>
                <w:sz w:val="20"/>
              </w:rPr>
              <w:t>VI</w:t>
            </w:r>
          </w:p>
        </w:tc>
        <w:tc>
          <w:tcPr>
            <w:tcW w:w="6125" w:type="dxa"/>
          </w:tcPr>
          <w:p>
            <w:pPr>
              <w:pStyle w:val="TableParagraph"/>
              <w:numPr>
                <w:ilvl w:val="0"/>
                <w:numId w:val="208"/>
              </w:numPr>
              <w:tabs>
                <w:tab w:pos="431" w:val="left" w:leader="none"/>
              </w:tabs>
              <w:spacing w:line="229" w:lineRule="exact" w:before="0" w:after="0"/>
              <w:ind w:left="431" w:right="0" w:hanging="359"/>
              <w:jc w:val="left"/>
              <w:rPr>
                <w:sz w:val="20"/>
              </w:rPr>
            </w:pPr>
            <w:r>
              <w:rPr>
                <w:sz w:val="20"/>
              </w:rPr>
              <w:t>Ausencia</w:t>
            </w:r>
            <w:r>
              <w:rPr>
                <w:spacing w:val="-7"/>
                <w:sz w:val="20"/>
              </w:rPr>
              <w:t> </w:t>
            </w:r>
            <w:r>
              <w:rPr>
                <w:sz w:val="20"/>
              </w:rPr>
              <w:t>de</w:t>
            </w:r>
            <w:r>
              <w:rPr>
                <w:spacing w:val="-7"/>
                <w:sz w:val="20"/>
              </w:rPr>
              <w:t> </w:t>
            </w:r>
            <w:r>
              <w:rPr>
                <w:sz w:val="20"/>
              </w:rPr>
              <w:t>respuesta</w:t>
            </w:r>
            <w:r>
              <w:rPr>
                <w:spacing w:val="-8"/>
                <w:sz w:val="20"/>
              </w:rPr>
              <w:t> </w:t>
            </w:r>
            <w:r>
              <w:rPr>
                <w:sz w:val="20"/>
              </w:rPr>
              <w:t>a</w:t>
            </w:r>
            <w:r>
              <w:rPr>
                <w:spacing w:val="-5"/>
                <w:sz w:val="20"/>
              </w:rPr>
              <w:t> </w:t>
            </w:r>
            <w:r>
              <w:rPr>
                <w:sz w:val="20"/>
              </w:rPr>
              <w:t>los</w:t>
            </w:r>
            <w:r>
              <w:rPr>
                <w:spacing w:val="-6"/>
                <w:sz w:val="20"/>
              </w:rPr>
              <w:t> </w:t>
            </w:r>
            <w:r>
              <w:rPr>
                <w:sz w:val="20"/>
              </w:rPr>
              <w:t>tratamientos</w:t>
            </w:r>
            <w:r>
              <w:rPr>
                <w:spacing w:val="-6"/>
                <w:sz w:val="20"/>
              </w:rPr>
              <w:t> </w:t>
            </w:r>
            <w:r>
              <w:rPr>
                <w:spacing w:val="-2"/>
                <w:sz w:val="20"/>
              </w:rPr>
              <w:t>instituidos;</w:t>
            </w:r>
          </w:p>
          <w:p>
            <w:pPr>
              <w:pStyle w:val="TableParagraph"/>
              <w:numPr>
                <w:ilvl w:val="0"/>
                <w:numId w:val="208"/>
              </w:numPr>
              <w:tabs>
                <w:tab w:pos="432" w:val="left" w:leader="none"/>
              </w:tabs>
              <w:spacing w:line="240" w:lineRule="auto" w:before="0" w:after="0"/>
              <w:ind w:left="432" w:right="55" w:hanging="360"/>
              <w:jc w:val="left"/>
              <w:rPr>
                <w:sz w:val="20"/>
              </w:rPr>
            </w:pPr>
            <w:r>
              <w:rPr>
                <w:sz w:val="20"/>
              </w:rPr>
              <w:t>Con</w:t>
            </w:r>
            <w:r>
              <w:rPr>
                <w:spacing w:val="25"/>
                <w:sz w:val="20"/>
              </w:rPr>
              <w:t> </w:t>
            </w:r>
            <w:r>
              <w:rPr>
                <w:sz w:val="20"/>
              </w:rPr>
              <w:t>internamientos</w:t>
            </w:r>
            <w:r>
              <w:rPr>
                <w:spacing w:val="24"/>
                <w:sz w:val="20"/>
              </w:rPr>
              <w:t> </w:t>
            </w:r>
            <w:r>
              <w:rPr>
                <w:sz w:val="20"/>
              </w:rPr>
              <w:t>recurrentes</w:t>
            </w:r>
            <w:r>
              <w:rPr>
                <w:spacing w:val="24"/>
                <w:sz w:val="20"/>
              </w:rPr>
              <w:t> </w:t>
            </w:r>
            <w:r>
              <w:rPr>
                <w:sz w:val="20"/>
              </w:rPr>
              <w:t>mayores</w:t>
            </w:r>
            <w:r>
              <w:rPr>
                <w:spacing w:val="25"/>
                <w:sz w:val="20"/>
              </w:rPr>
              <w:t> </w:t>
            </w:r>
            <w:r>
              <w:rPr>
                <w:sz w:val="20"/>
              </w:rPr>
              <w:t>a</w:t>
            </w:r>
            <w:r>
              <w:rPr>
                <w:spacing w:val="26"/>
                <w:sz w:val="20"/>
              </w:rPr>
              <w:t> </w:t>
            </w:r>
            <w:r>
              <w:rPr>
                <w:sz w:val="20"/>
              </w:rPr>
              <w:t>una</w:t>
            </w:r>
            <w:r>
              <w:rPr>
                <w:spacing w:val="25"/>
                <w:sz w:val="20"/>
              </w:rPr>
              <w:t> </w:t>
            </w:r>
            <w:r>
              <w:rPr>
                <w:sz w:val="20"/>
              </w:rPr>
              <w:t>semana</w:t>
            </w:r>
            <w:r>
              <w:rPr>
                <w:spacing w:val="26"/>
                <w:sz w:val="20"/>
              </w:rPr>
              <w:t> </w:t>
            </w:r>
            <w:r>
              <w:rPr>
                <w:sz w:val="20"/>
              </w:rPr>
              <w:t>para manejo especializado;</w:t>
            </w:r>
          </w:p>
          <w:p>
            <w:pPr>
              <w:pStyle w:val="TableParagraph"/>
              <w:numPr>
                <w:ilvl w:val="0"/>
                <w:numId w:val="208"/>
              </w:numPr>
              <w:tabs>
                <w:tab w:pos="432" w:val="left" w:leader="none"/>
              </w:tabs>
              <w:spacing w:line="240" w:lineRule="auto" w:before="1" w:after="0"/>
              <w:ind w:left="432" w:right="62" w:hanging="360"/>
              <w:jc w:val="left"/>
              <w:rPr>
                <w:sz w:val="20"/>
              </w:rPr>
            </w:pPr>
            <w:r>
              <w:rPr>
                <w:sz w:val="20"/>
              </w:rPr>
              <w:t>Sin</w:t>
            </w:r>
            <w:r>
              <w:rPr>
                <w:spacing w:val="-4"/>
                <w:sz w:val="20"/>
              </w:rPr>
              <w:t> </w:t>
            </w:r>
            <w:r>
              <w:rPr>
                <w:sz w:val="20"/>
              </w:rPr>
              <w:t>aptitud</w:t>
            </w:r>
            <w:r>
              <w:rPr>
                <w:spacing w:val="-4"/>
                <w:sz w:val="20"/>
              </w:rPr>
              <w:t> </w:t>
            </w:r>
            <w:r>
              <w:rPr>
                <w:sz w:val="20"/>
              </w:rPr>
              <w:t>para</w:t>
            </w:r>
            <w:r>
              <w:rPr>
                <w:spacing w:val="-4"/>
                <w:sz w:val="20"/>
              </w:rPr>
              <w:t> </w:t>
            </w:r>
            <w:r>
              <w:rPr>
                <w:sz w:val="20"/>
              </w:rPr>
              <w:t>ejercer</w:t>
            </w:r>
            <w:r>
              <w:rPr>
                <w:spacing w:val="-5"/>
                <w:sz w:val="20"/>
              </w:rPr>
              <w:t> </w:t>
            </w:r>
            <w:r>
              <w:rPr>
                <w:sz w:val="20"/>
              </w:rPr>
              <w:t>actividades</w:t>
            </w:r>
            <w:r>
              <w:rPr>
                <w:spacing w:val="-5"/>
                <w:sz w:val="20"/>
              </w:rPr>
              <w:t> </w:t>
            </w:r>
            <w:r>
              <w:rPr>
                <w:sz w:val="20"/>
              </w:rPr>
              <w:t>remuneradas</w:t>
            </w:r>
            <w:r>
              <w:rPr>
                <w:spacing w:val="-5"/>
                <w:sz w:val="20"/>
              </w:rPr>
              <w:t> </w:t>
            </w:r>
            <w:r>
              <w:rPr>
                <w:sz w:val="20"/>
              </w:rPr>
              <w:t>semejantes</w:t>
            </w:r>
            <w:r>
              <w:rPr>
                <w:spacing w:val="-5"/>
                <w:sz w:val="20"/>
              </w:rPr>
              <w:t> </w:t>
            </w:r>
            <w:r>
              <w:rPr>
                <w:sz w:val="20"/>
              </w:rPr>
              <w:t>a su profesión u oficio, de la vida diaria y de autocuidado, y</w:t>
            </w:r>
          </w:p>
          <w:p>
            <w:pPr>
              <w:pStyle w:val="TableParagraph"/>
              <w:numPr>
                <w:ilvl w:val="0"/>
                <w:numId w:val="208"/>
              </w:numPr>
              <w:tabs>
                <w:tab w:pos="431" w:val="left" w:leader="none"/>
              </w:tabs>
              <w:spacing w:line="209" w:lineRule="exact" w:before="0" w:after="0"/>
              <w:ind w:left="431" w:right="0" w:hanging="359"/>
              <w:jc w:val="left"/>
              <w:rPr>
                <w:sz w:val="20"/>
              </w:rPr>
            </w:pPr>
            <w:r>
              <w:rPr>
                <w:sz w:val="20"/>
              </w:rPr>
              <w:t>Depende</w:t>
            </w:r>
            <w:r>
              <w:rPr>
                <w:spacing w:val="-7"/>
                <w:sz w:val="20"/>
              </w:rPr>
              <w:t> </w:t>
            </w:r>
            <w:r>
              <w:rPr>
                <w:sz w:val="20"/>
              </w:rPr>
              <w:t>de</w:t>
            </w:r>
            <w:r>
              <w:rPr>
                <w:spacing w:val="-7"/>
                <w:sz w:val="20"/>
              </w:rPr>
              <w:t> </w:t>
            </w:r>
            <w:r>
              <w:rPr>
                <w:sz w:val="20"/>
              </w:rPr>
              <w:t>otra</w:t>
            </w:r>
            <w:r>
              <w:rPr>
                <w:spacing w:val="-8"/>
                <w:sz w:val="20"/>
              </w:rPr>
              <w:t> </w:t>
            </w:r>
            <w:r>
              <w:rPr>
                <w:spacing w:val="-2"/>
                <w:sz w:val="20"/>
              </w:rPr>
              <w:t>persona.</w:t>
            </w:r>
          </w:p>
        </w:tc>
        <w:tc>
          <w:tcPr>
            <w:tcW w:w="1848" w:type="dxa"/>
          </w:tcPr>
          <w:p>
            <w:pPr>
              <w:pStyle w:val="TableParagraph"/>
              <w:spacing w:line="229" w:lineRule="exact"/>
              <w:ind w:left="14" w:right="2"/>
              <w:rPr>
                <w:sz w:val="20"/>
              </w:rPr>
            </w:pPr>
            <w:r>
              <w:rPr>
                <w:spacing w:val="-4"/>
                <w:sz w:val="20"/>
              </w:rPr>
              <w:t>100%</w:t>
            </w:r>
          </w:p>
        </w:tc>
      </w:tr>
      <w:tr>
        <w:trPr>
          <w:trHeight w:val="232" w:hRule="atLeast"/>
        </w:trPr>
        <w:tc>
          <w:tcPr>
            <w:tcW w:w="9547" w:type="dxa"/>
            <w:gridSpan w:val="3"/>
          </w:tcPr>
          <w:p>
            <w:pPr>
              <w:pStyle w:val="TableParagraph"/>
              <w:spacing w:line="212" w:lineRule="exact"/>
              <w:jc w:val="left"/>
              <w:rPr>
                <w:sz w:val="20"/>
              </w:rPr>
            </w:pPr>
            <w:r>
              <w:rPr>
                <w:rFonts w:ascii="Arial" w:hAnsi="Arial"/>
                <w:b/>
                <w:sz w:val="20"/>
              </w:rPr>
              <w:t>Nota:</w:t>
            </w:r>
            <w:r>
              <w:rPr>
                <w:rFonts w:ascii="Arial" w:hAnsi="Arial"/>
                <w:b/>
                <w:spacing w:val="-6"/>
                <w:sz w:val="20"/>
              </w:rPr>
              <w:t> </w:t>
            </w:r>
            <w:r>
              <w:rPr>
                <w:sz w:val="20"/>
              </w:rPr>
              <w:t>El</w:t>
            </w:r>
            <w:r>
              <w:rPr>
                <w:spacing w:val="-6"/>
                <w:sz w:val="20"/>
              </w:rPr>
              <w:t> </w:t>
            </w:r>
            <w:r>
              <w:rPr>
                <w:sz w:val="20"/>
              </w:rPr>
              <w:t>porcentaje</w:t>
            </w:r>
            <w:r>
              <w:rPr>
                <w:spacing w:val="-7"/>
                <w:sz w:val="20"/>
              </w:rPr>
              <w:t> </w:t>
            </w:r>
            <w:r>
              <w:rPr>
                <w:sz w:val="20"/>
              </w:rPr>
              <w:t>de</w:t>
            </w:r>
            <w:r>
              <w:rPr>
                <w:spacing w:val="-5"/>
                <w:sz w:val="20"/>
              </w:rPr>
              <w:t> </w:t>
            </w:r>
            <w:r>
              <w:rPr>
                <w:sz w:val="20"/>
              </w:rPr>
              <w:t>valuación</w:t>
            </w:r>
            <w:r>
              <w:rPr>
                <w:spacing w:val="-6"/>
                <w:sz w:val="20"/>
              </w:rPr>
              <w:t> </w:t>
            </w:r>
            <w:r>
              <w:rPr>
                <w:sz w:val="20"/>
              </w:rPr>
              <w:t>lo</w:t>
            </w:r>
            <w:r>
              <w:rPr>
                <w:spacing w:val="-4"/>
                <w:sz w:val="20"/>
              </w:rPr>
              <w:t> </w:t>
            </w:r>
            <w:r>
              <w:rPr>
                <w:sz w:val="20"/>
              </w:rPr>
              <w:t>determinará</w:t>
            </w:r>
            <w:r>
              <w:rPr>
                <w:spacing w:val="-7"/>
                <w:sz w:val="20"/>
              </w:rPr>
              <w:t> </w:t>
            </w:r>
            <w:r>
              <w:rPr>
                <w:sz w:val="20"/>
              </w:rPr>
              <w:t>el</w:t>
            </w:r>
            <w:r>
              <w:rPr>
                <w:spacing w:val="-8"/>
                <w:sz w:val="20"/>
              </w:rPr>
              <w:t> </w:t>
            </w:r>
            <w:r>
              <w:rPr>
                <w:sz w:val="20"/>
              </w:rPr>
              <w:t>criterio</w:t>
            </w:r>
            <w:r>
              <w:rPr>
                <w:spacing w:val="-7"/>
                <w:sz w:val="20"/>
              </w:rPr>
              <w:t> </w:t>
            </w:r>
            <w:r>
              <w:rPr>
                <w:sz w:val="20"/>
              </w:rPr>
              <w:t>con</w:t>
            </w:r>
            <w:r>
              <w:rPr>
                <w:spacing w:val="-5"/>
                <w:sz w:val="20"/>
              </w:rPr>
              <w:t> </w:t>
            </w:r>
            <w:r>
              <w:rPr>
                <w:sz w:val="20"/>
              </w:rPr>
              <w:t>la</w:t>
            </w:r>
            <w:r>
              <w:rPr>
                <w:spacing w:val="-7"/>
                <w:sz w:val="20"/>
              </w:rPr>
              <w:t> </w:t>
            </w:r>
            <w:r>
              <w:rPr>
                <w:sz w:val="20"/>
              </w:rPr>
              <w:t>categoría</w:t>
            </w:r>
            <w:r>
              <w:rPr>
                <w:spacing w:val="-8"/>
                <w:sz w:val="20"/>
              </w:rPr>
              <w:t> </w:t>
            </w:r>
            <w:r>
              <w:rPr>
                <w:sz w:val="20"/>
              </w:rPr>
              <w:t>más</w:t>
            </w:r>
            <w:r>
              <w:rPr>
                <w:spacing w:val="-5"/>
                <w:sz w:val="20"/>
              </w:rPr>
              <w:t> </w:t>
            </w:r>
            <w:r>
              <w:rPr>
                <w:sz w:val="20"/>
              </w:rPr>
              <w:t>alta</w:t>
            </w:r>
            <w:r>
              <w:rPr>
                <w:spacing w:val="-5"/>
                <w:sz w:val="20"/>
              </w:rPr>
              <w:t> </w:t>
            </w:r>
            <w:r>
              <w:rPr>
                <w:spacing w:val="-2"/>
                <w:sz w:val="20"/>
              </w:rPr>
              <w:t>encontrada.</w:t>
            </w:r>
          </w:p>
        </w:tc>
      </w:tr>
    </w:tbl>
    <w:p>
      <w:pPr>
        <w:spacing w:before="227"/>
        <w:ind w:left="294" w:right="296" w:firstLine="0"/>
        <w:jc w:val="center"/>
        <w:rPr>
          <w:rFonts w:ascii="Arial"/>
          <w:b/>
          <w:sz w:val="20"/>
        </w:rPr>
      </w:pPr>
      <w:r>
        <w:rPr>
          <w:rFonts w:ascii="Arial"/>
          <w:b/>
          <w:sz w:val="20"/>
        </w:rPr>
        <w:t>Trastornos</w:t>
      </w:r>
      <w:r>
        <w:rPr>
          <w:rFonts w:ascii="Arial"/>
          <w:b/>
          <w:spacing w:val="-8"/>
          <w:sz w:val="20"/>
        </w:rPr>
        <w:t> </w:t>
      </w:r>
      <w:r>
        <w:rPr>
          <w:rFonts w:ascii="Arial"/>
          <w:b/>
          <w:sz w:val="20"/>
        </w:rPr>
        <w:t>de</w:t>
      </w:r>
      <w:r>
        <w:rPr>
          <w:rFonts w:ascii="Arial"/>
          <w:b/>
          <w:spacing w:val="-7"/>
          <w:sz w:val="20"/>
        </w:rPr>
        <w:t> </w:t>
      </w:r>
      <w:r>
        <w:rPr>
          <w:rFonts w:ascii="Arial"/>
          <w:b/>
          <w:sz w:val="20"/>
        </w:rPr>
        <w:t>la</w:t>
      </w:r>
      <w:r>
        <w:rPr>
          <w:rFonts w:ascii="Arial"/>
          <w:b/>
          <w:spacing w:val="-6"/>
          <w:sz w:val="20"/>
        </w:rPr>
        <w:t> </w:t>
      </w:r>
      <w:r>
        <w:rPr>
          <w:rFonts w:ascii="Arial"/>
          <w:b/>
          <w:spacing w:val="-2"/>
          <w:sz w:val="20"/>
        </w:rPr>
        <w:t>sangre</w:t>
      </w:r>
    </w:p>
    <w:p>
      <w:pPr>
        <w:pStyle w:val="BodyText"/>
        <w:spacing w:before="3"/>
        <w:rPr>
          <w:rFonts w:ascii="Arial"/>
          <w:b/>
        </w:rPr>
      </w:pPr>
    </w:p>
    <w:tbl>
      <w:tblPr>
        <w:tblW w:w="0" w:type="auto"/>
        <w:jc w:val="left"/>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66"/>
        <w:gridCol w:w="6936"/>
        <w:gridCol w:w="1549"/>
      </w:tblGrid>
      <w:tr>
        <w:trPr>
          <w:trHeight w:val="460" w:hRule="atLeast"/>
        </w:trPr>
        <w:tc>
          <w:tcPr>
            <w:tcW w:w="1066" w:type="dxa"/>
          </w:tcPr>
          <w:p>
            <w:pPr>
              <w:pStyle w:val="TableParagraph"/>
              <w:spacing w:line="240" w:lineRule="auto" w:before="114"/>
              <w:ind w:left="9"/>
              <w:rPr>
                <w:sz w:val="20"/>
              </w:rPr>
            </w:pPr>
            <w:r>
              <w:rPr>
                <w:spacing w:val="-5"/>
                <w:sz w:val="20"/>
              </w:rPr>
              <w:t>524</w:t>
            </w:r>
          </w:p>
        </w:tc>
        <w:tc>
          <w:tcPr>
            <w:tcW w:w="6936" w:type="dxa"/>
          </w:tcPr>
          <w:p>
            <w:pPr>
              <w:pStyle w:val="TableParagraph"/>
              <w:spacing w:line="230" w:lineRule="exact"/>
              <w:jc w:val="left"/>
              <w:rPr>
                <w:sz w:val="20"/>
              </w:rPr>
            </w:pPr>
            <w:r>
              <w:rPr>
                <w:sz w:val="20"/>
              </w:rPr>
              <w:t>Anemia,</w:t>
            </w:r>
            <w:r>
              <w:rPr>
                <w:spacing w:val="40"/>
                <w:sz w:val="20"/>
              </w:rPr>
              <w:t> </w:t>
            </w:r>
            <w:r>
              <w:rPr>
                <w:sz w:val="20"/>
              </w:rPr>
              <w:t>leucopenia,</w:t>
            </w:r>
            <w:r>
              <w:rPr>
                <w:spacing w:val="40"/>
                <w:sz w:val="20"/>
              </w:rPr>
              <w:t> </w:t>
            </w:r>
            <w:r>
              <w:rPr>
                <w:sz w:val="20"/>
              </w:rPr>
              <w:t>trombocitopenia</w:t>
            </w:r>
            <w:r>
              <w:rPr>
                <w:spacing w:val="40"/>
                <w:sz w:val="20"/>
              </w:rPr>
              <w:t> </w:t>
            </w:r>
            <w:r>
              <w:rPr>
                <w:sz w:val="20"/>
              </w:rPr>
              <w:t>por</w:t>
            </w:r>
            <w:r>
              <w:rPr>
                <w:spacing w:val="40"/>
                <w:sz w:val="20"/>
              </w:rPr>
              <w:t> </w:t>
            </w:r>
            <w:r>
              <w:rPr>
                <w:sz w:val="20"/>
              </w:rPr>
              <w:t>exposición</w:t>
            </w:r>
            <w:r>
              <w:rPr>
                <w:spacing w:val="40"/>
                <w:sz w:val="20"/>
              </w:rPr>
              <w:t> </w:t>
            </w:r>
            <w:r>
              <w:rPr>
                <w:sz w:val="20"/>
              </w:rPr>
              <w:t>a</w:t>
            </w:r>
            <w:r>
              <w:rPr>
                <w:spacing w:val="40"/>
                <w:sz w:val="20"/>
              </w:rPr>
              <w:t> </w:t>
            </w:r>
            <w:r>
              <w:rPr>
                <w:sz w:val="20"/>
              </w:rPr>
              <w:t>agentes</w:t>
            </w:r>
            <w:r>
              <w:rPr>
                <w:spacing w:val="40"/>
                <w:sz w:val="20"/>
              </w:rPr>
              <w:t> </w:t>
            </w:r>
            <w:r>
              <w:rPr>
                <w:sz w:val="20"/>
              </w:rPr>
              <w:t>físicos</w:t>
            </w:r>
            <w:r>
              <w:rPr>
                <w:spacing w:val="40"/>
                <w:sz w:val="20"/>
              </w:rPr>
              <w:t> </w:t>
            </w:r>
            <w:r>
              <w:rPr>
                <w:sz w:val="20"/>
              </w:rPr>
              <w:t>y químicos, serán evaluados con el mismo procedimiento que para el cáncer.</w:t>
            </w:r>
          </w:p>
        </w:tc>
        <w:tc>
          <w:tcPr>
            <w:tcW w:w="1549" w:type="dxa"/>
          </w:tcPr>
          <w:p>
            <w:pPr>
              <w:pStyle w:val="TableParagraph"/>
              <w:spacing w:line="240" w:lineRule="auto" w:before="114"/>
              <w:ind w:left="516"/>
              <w:jc w:val="left"/>
              <w:rPr>
                <w:sz w:val="20"/>
              </w:rPr>
            </w:pPr>
            <w:r>
              <w:rPr>
                <w:spacing w:val="-4"/>
                <w:sz w:val="20"/>
              </w:rPr>
              <w:t>100%</w:t>
            </w:r>
          </w:p>
        </w:tc>
      </w:tr>
    </w:tbl>
    <w:p>
      <w:pPr>
        <w:spacing w:before="0"/>
        <w:ind w:left="3490" w:right="342" w:hanging="2559"/>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3"/>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30-11-2012,</w:t>
      </w:r>
      <w:r>
        <w:rPr>
          <w:rFonts w:ascii="Times New Roman" w:hAnsi="Times New Roman"/>
          <w:i/>
          <w:color w:val="0000FF"/>
          <w:spacing w:val="-4"/>
          <w:sz w:val="16"/>
        </w:rPr>
        <w:t> </w:t>
      </w:r>
      <w:r>
        <w:rPr>
          <w:rFonts w:ascii="Times New Roman" w:hAnsi="Times New Roman"/>
          <w:i/>
          <w:color w:val="0000FF"/>
          <w:sz w:val="16"/>
        </w:rPr>
        <w:t>01-05-2019.</w:t>
      </w:r>
      <w:r>
        <w:rPr>
          <w:rFonts w:ascii="Times New Roman" w:hAnsi="Times New Roman"/>
          <w:i/>
          <w:color w:val="0000FF"/>
          <w:spacing w:val="-1"/>
          <w:sz w:val="16"/>
        </w:rPr>
        <w:t> </w:t>
      </w:r>
      <w:r>
        <w:rPr>
          <w:rFonts w:ascii="Times New Roman" w:hAnsi="Times New Roman"/>
          <w:i/>
          <w:color w:val="0000FF"/>
          <w:sz w:val="16"/>
        </w:rPr>
        <w:t>Reformado en</w:t>
      </w:r>
      <w:r>
        <w:rPr>
          <w:rFonts w:ascii="Times New Roman" w:hAnsi="Times New Roman"/>
          <w:i/>
          <w:color w:val="0000FF"/>
          <w:spacing w:val="-1"/>
          <w:sz w:val="16"/>
        </w:rPr>
        <w:t> </w:t>
      </w:r>
      <w:r>
        <w:rPr>
          <w:rFonts w:ascii="Times New Roman" w:hAnsi="Times New Roman"/>
          <w:i/>
          <w:color w:val="0000FF"/>
          <w:sz w:val="16"/>
        </w:rPr>
        <w:t>su</w:t>
      </w:r>
      <w:r>
        <w:rPr>
          <w:rFonts w:ascii="Times New Roman" w:hAnsi="Times New Roman"/>
          <w:i/>
          <w:color w:val="0000FF"/>
          <w:spacing w:val="-3"/>
          <w:sz w:val="16"/>
        </w:rPr>
        <w:t> </w:t>
      </w:r>
      <w:r>
        <w:rPr>
          <w:rFonts w:ascii="Times New Roman" w:hAnsi="Times New Roman"/>
          <w:i/>
          <w:color w:val="0000FF"/>
          <w:sz w:val="16"/>
        </w:rPr>
        <w:t>totalidad</w:t>
      </w:r>
      <w:r>
        <w:rPr>
          <w:rFonts w:ascii="Times New Roman" w:hAnsi="Times New Roman"/>
          <w:i/>
          <w:color w:val="0000FF"/>
          <w:spacing w:val="-3"/>
          <w:sz w:val="16"/>
        </w:rPr>
        <w:t> </w:t>
      </w:r>
      <w:r>
        <w:rPr>
          <w:rFonts w:ascii="Times New Roman" w:hAnsi="Times New Roman"/>
          <w:i/>
          <w:color w:val="0000FF"/>
          <w:sz w:val="16"/>
        </w:rPr>
        <w:t>con</w:t>
      </w:r>
      <w:r>
        <w:rPr>
          <w:rFonts w:ascii="Times New Roman" w:hAnsi="Times New Roman"/>
          <w:i/>
          <w:color w:val="0000FF"/>
          <w:spacing w:val="-1"/>
          <w:sz w:val="16"/>
        </w:rPr>
        <w:t> </w:t>
      </w:r>
      <w:r>
        <w:rPr>
          <w:rFonts w:ascii="Times New Roman" w:hAnsi="Times New Roman"/>
          <w:i/>
          <w:color w:val="0000FF"/>
          <w:sz w:val="16"/>
        </w:rPr>
        <w:t>“Tabla</w:t>
      </w:r>
      <w:r>
        <w:rPr>
          <w:rFonts w:ascii="Times New Roman" w:hAnsi="Times New Roman"/>
          <w:i/>
          <w:color w:val="0000FF"/>
          <w:spacing w:val="-3"/>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enfermedades</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trabajo”</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1"/>
          <w:sz w:val="16"/>
        </w:rPr>
        <w:t> </w:t>
      </w:r>
      <w:r>
        <w:rPr>
          <w:rFonts w:ascii="Times New Roman" w:hAnsi="Times New Roman"/>
          <w:i/>
          <w:color w:val="0000FF"/>
          <w:sz w:val="16"/>
        </w:rPr>
        <w:t>“Tabla para</w:t>
      </w:r>
      <w:r>
        <w:rPr>
          <w:rFonts w:ascii="Times New Roman" w:hAnsi="Times New Roman"/>
          <w:i/>
          <w:color w:val="0000FF"/>
          <w:spacing w:val="-3"/>
          <w:sz w:val="16"/>
        </w:rPr>
        <w:t> </w:t>
      </w:r>
      <w:r>
        <w:rPr>
          <w:rFonts w:ascii="Times New Roman" w:hAnsi="Times New Roman"/>
          <w:i/>
          <w:color w:val="0000FF"/>
          <w:sz w:val="16"/>
        </w:rPr>
        <w:t>la</w:t>
      </w:r>
      <w:r>
        <w:rPr>
          <w:rFonts w:ascii="Times New Roman" w:hAnsi="Times New Roman"/>
          <w:i/>
          <w:color w:val="0000FF"/>
          <w:spacing w:val="40"/>
          <w:sz w:val="16"/>
        </w:rPr>
        <w:t> </w:t>
      </w:r>
      <w:r>
        <w:rPr>
          <w:rFonts w:ascii="Times New Roman" w:hAnsi="Times New Roman"/>
          <w:i/>
          <w:color w:val="0000FF"/>
          <w:sz w:val="16"/>
        </w:rPr>
        <w:t>valuación</w:t>
      </w:r>
      <w:r>
        <w:rPr>
          <w:rFonts w:ascii="Times New Roman" w:hAnsi="Times New Roman"/>
          <w:i/>
          <w:color w:val="0000FF"/>
          <w:spacing w:val="-9"/>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incapacidades</w:t>
      </w:r>
      <w:r>
        <w:rPr>
          <w:rFonts w:ascii="Times New Roman" w:hAnsi="Times New Roman"/>
          <w:i/>
          <w:color w:val="0000FF"/>
          <w:spacing w:val="-7"/>
          <w:sz w:val="16"/>
        </w:rPr>
        <w:t> </w:t>
      </w:r>
      <w:r>
        <w:rPr>
          <w:rFonts w:ascii="Times New Roman" w:hAnsi="Times New Roman"/>
          <w:i/>
          <w:color w:val="0000FF"/>
          <w:sz w:val="16"/>
        </w:rPr>
        <w:t>permanentes</w:t>
      </w:r>
      <w:r>
        <w:rPr>
          <w:rFonts w:ascii="Times New Roman" w:hAnsi="Times New Roman"/>
          <w:i/>
          <w:color w:val="0000FF"/>
          <w:spacing w:val="-5"/>
          <w:sz w:val="16"/>
        </w:rPr>
        <w:t> </w:t>
      </w:r>
      <w:r>
        <w:rPr>
          <w:rFonts w:ascii="Times New Roman" w:hAnsi="Times New Roman"/>
          <w:i/>
          <w:color w:val="0000FF"/>
          <w:sz w:val="16"/>
        </w:rPr>
        <w:t>resultantes</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los</w:t>
      </w:r>
      <w:r>
        <w:rPr>
          <w:rFonts w:ascii="Times New Roman" w:hAnsi="Times New Roman"/>
          <w:i/>
          <w:color w:val="0000FF"/>
          <w:spacing w:val="-7"/>
          <w:sz w:val="16"/>
        </w:rPr>
        <w:t> </w:t>
      </w:r>
      <w:r>
        <w:rPr>
          <w:rFonts w:ascii="Times New Roman" w:hAnsi="Times New Roman"/>
          <w:i/>
          <w:color w:val="0000FF"/>
          <w:sz w:val="16"/>
        </w:rPr>
        <w:t>riesgos</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trabajo”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04-12-</w:t>
      </w:r>
      <w:r>
        <w:rPr>
          <w:rFonts w:ascii="Times New Roman" w:hAnsi="Times New Roman"/>
          <w:i/>
          <w:color w:val="0000FF"/>
          <w:spacing w:val="-4"/>
          <w:sz w:val="16"/>
        </w:rPr>
        <w:t>2023</w:t>
      </w:r>
    </w:p>
    <w:p>
      <w:pPr>
        <w:pStyle w:val="BodyText"/>
        <w:spacing w:before="42"/>
        <w:rPr>
          <w:rFonts w:ascii="Times New Roman"/>
          <w:i/>
          <w:sz w:val="16"/>
        </w:rPr>
      </w:pPr>
    </w:p>
    <w:p>
      <w:pPr>
        <w:pStyle w:val="BodyText"/>
        <w:spacing w:line="242" w:lineRule="auto"/>
        <w:ind w:left="338" w:right="337" w:firstLine="288"/>
        <w:jc w:val="both"/>
      </w:pPr>
      <w:bookmarkStart w:name="Artículo_514" w:id="655"/>
      <w:bookmarkEnd w:id="655"/>
      <w:r>
        <w:rPr/>
      </w:r>
      <w:r>
        <w:rPr>
          <w:rFonts w:ascii="Arial" w:hAnsi="Arial"/>
          <w:b/>
        </w:rPr>
        <w:t>Artículo 514.- </w:t>
      </w:r>
      <w:r>
        <w:rPr/>
        <w:t>Las tablas a que se refiere el artículo anterior, así como el Catálogo de las Cédulas para la Valuación</w:t>
      </w:r>
      <w:r>
        <w:rPr>
          <w:spacing w:val="-1"/>
        </w:rPr>
        <w:t> </w:t>
      </w:r>
      <w:r>
        <w:rPr/>
        <w:t>de las Enfermedades de Trabajo,</w:t>
      </w:r>
      <w:r>
        <w:rPr>
          <w:spacing w:val="-1"/>
        </w:rPr>
        <w:t> </w:t>
      </w:r>
      <w:r>
        <w:rPr/>
        <w:t>serán</w:t>
      </w:r>
      <w:r>
        <w:rPr>
          <w:spacing w:val="-2"/>
        </w:rPr>
        <w:t> </w:t>
      </w:r>
      <w:r>
        <w:rPr/>
        <w:t>revisadas al</w:t>
      </w:r>
      <w:r>
        <w:rPr>
          <w:spacing w:val="-2"/>
        </w:rPr>
        <w:t> </w:t>
      </w:r>
      <w:r>
        <w:rPr/>
        <w:t>menos cada</w:t>
      </w:r>
      <w:r>
        <w:rPr>
          <w:spacing w:val="-2"/>
        </w:rPr>
        <w:t> </w:t>
      </w:r>
      <w:r>
        <w:rPr/>
        <w:t>cinco años a partir de su publicación o cuando existan estudios e investigaciones que lo justifiquen.</w:t>
      </w:r>
    </w:p>
    <w:p>
      <w:pPr>
        <w:pStyle w:val="BodyText"/>
        <w:spacing w:before="226"/>
        <w:ind w:left="338" w:right="337" w:firstLine="288"/>
        <w:jc w:val="both"/>
      </w:pPr>
      <w:r>
        <w:rPr/>
        <w:t>Para efecto de lo anterior, la Secretaría del Trabajo y Previsión Social debe considerar el progreso y los avances de la medicina del trabajo y auxiliarse de las personas técnicas y médicas especialistas que para ello se requiera.</w:t>
      </w:r>
    </w:p>
    <w:p>
      <w:pPr>
        <w:spacing w:line="182" w:lineRule="exact" w:before="0"/>
        <w:ind w:left="2585"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8"/>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30-04-1970,</w:t>
      </w:r>
      <w:r>
        <w:rPr>
          <w:rFonts w:ascii="Times New Roman" w:hAnsi="Times New Roman"/>
          <w:i/>
          <w:color w:val="0000FF"/>
          <w:spacing w:val="-6"/>
          <w:sz w:val="16"/>
        </w:rPr>
        <w:t> </w:t>
      </w:r>
      <w:r>
        <w:rPr>
          <w:rFonts w:ascii="Times New Roman" w:hAnsi="Times New Roman"/>
          <w:i/>
          <w:color w:val="0000FF"/>
          <w:sz w:val="16"/>
        </w:rPr>
        <w:t>05-06-1970.</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01-05-2019,</w:t>
      </w:r>
      <w:r>
        <w:rPr>
          <w:rFonts w:ascii="Times New Roman" w:hAnsi="Times New Roman"/>
          <w:i/>
          <w:color w:val="0000FF"/>
          <w:spacing w:val="-6"/>
          <w:sz w:val="16"/>
        </w:rPr>
        <w:t> </w:t>
      </w:r>
      <w:r>
        <w:rPr>
          <w:rFonts w:ascii="Times New Roman" w:hAnsi="Times New Roman"/>
          <w:i/>
          <w:color w:val="0000FF"/>
          <w:sz w:val="16"/>
        </w:rPr>
        <w:t>04-12-</w:t>
      </w:r>
      <w:r>
        <w:rPr>
          <w:rFonts w:ascii="Times New Roman" w:hAnsi="Times New Roman"/>
          <w:i/>
          <w:color w:val="0000FF"/>
          <w:spacing w:val="-4"/>
          <w:sz w:val="16"/>
        </w:rPr>
        <w:t>2023</w:t>
      </w:r>
    </w:p>
    <w:p>
      <w:pPr>
        <w:pStyle w:val="BodyText"/>
        <w:spacing w:before="45"/>
        <w:rPr>
          <w:rFonts w:ascii="Times New Roman"/>
          <w:i/>
          <w:sz w:val="16"/>
        </w:rPr>
      </w:pPr>
    </w:p>
    <w:p>
      <w:pPr>
        <w:pStyle w:val="BodyText"/>
        <w:spacing w:line="242" w:lineRule="auto"/>
        <w:ind w:left="338" w:right="345" w:firstLine="288"/>
        <w:jc w:val="both"/>
      </w:pPr>
      <w:bookmarkStart w:name="Artículo_515" w:id="656"/>
      <w:bookmarkEnd w:id="656"/>
      <w:r>
        <w:rPr/>
      </w:r>
      <w:r>
        <w:rPr>
          <w:rFonts w:ascii="Arial" w:hAnsi="Arial"/>
          <w:b/>
        </w:rPr>
        <w:t>Artículo 515.- </w:t>
      </w:r>
      <w:r>
        <w:rPr/>
        <w:t>Una vez concluida la revisión a la que se refiere el artículo 514 de la presente Ley, la Secretaría del Trabajo y Previsión Social pondrá a disposición de la persona titular del Ejecutivo Federal, la</w:t>
      </w:r>
      <w:r>
        <w:rPr>
          <w:spacing w:val="40"/>
        </w:rPr>
        <w:t> </w:t>
      </w:r>
      <w:r>
        <w:rPr/>
        <w:t>Tabla</w:t>
      </w:r>
      <w:r>
        <w:rPr>
          <w:spacing w:val="40"/>
        </w:rPr>
        <w:t> </w:t>
      </w:r>
      <w:r>
        <w:rPr/>
        <w:t>de</w:t>
      </w:r>
      <w:r>
        <w:rPr>
          <w:spacing w:val="40"/>
        </w:rPr>
        <w:t> </w:t>
      </w:r>
      <w:r>
        <w:rPr/>
        <w:t>Enfermedades</w:t>
      </w:r>
      <w:r>
        <w:rPr>
          <w:spacing w:val="40"/>
        </w:rPr>
        <w:t> </w:t>
      </w:r>
      <w:r>
        <w:rPr/>
        <w:t>de</w:t>
      </w:r>
      <w:r>
        <w:rPr>
          <w:spacing w:val="40"/>
        </w:rPr>
        <w:t> </w:t>
      </w:r>
      <w:r>
        <w:rPr/>
        <w:t>Trabajo</w:t>
      </w:r>
      <w:r>
        <w:rPr>
          <w:spacing w:val="40"/>
        </w:rPr>
        <w:t> </w:t>
      </w:r>
      <w:r>
        <w:rPr/>
        <w:t>y</w:t>
      </w:r>
      <w:r>
        <w:rPr>
          <w:spacing w:val="40"/>
        </w:rPr>
        <w:t> </w:t>
      </w:r>
      <w:r>
        <w:rPr/>
        <w:t>la</w:t>
      </w:r>
      <w:r>
        <w:rPr>
          <w:spacing w:val="40"/>
        </w:rPr>
        <w:t> </w:t>
      </w:r>
      <w:r>
        <w:rPr/>
        <w:t>Tabla</w:t>
      </w:r>
      <w:r>
        <w:rPr>
          <w:spacing w:val="40"/>
        </w:rPr>
        <w:t> </w:t>
      </w:r>
      <w:r>
        <w:rPr/>
        <w:t>para</w:t>
      </w:r>
      <w:r>
        <w:rPr>
          <w:spacing w:val="40"/>
        </w:rPr>
        <w:t> </w:t>
      </w:r>
      <w:r>
        <w:rPr/>
        <w:t>la</w:t>
      </w:r>
      <w:r>
        <w:rPr>
          <w:spacing w:val="40"/>
        </w:rPr>
        <w:t> </w:t>
      </w:r>
      <w:r>
        <w:rPr/>
        <w:t>Valuación</w:t>
      </w:r>
      <w:r>
        <w:rPr>
          <w:spacing w:val="40"/>
        </w:rPr>
        <w:t> </w:t>
      </w:r>
      <w:r>
        <w:rPr/>
        <w:t>de</w:t>
      </w:r>
      <w:r>
        <w:rPr>
          <w:spacing w:val="40"/>
        </w:rPr>
        <w:t> </w:t>
      </w:r>
      <w:r>
        <w:rPr/>
        <w:t>Incapacidades</w:t>
      </w:r>
      <w:r>
        <w:rPr>
          <w:spacing w:val="40"/>
        </w:rPr>
        <w:t> </w:t>
      </w:r>
      <w:r>
        <w:rPr/>
        <w:t>Permanentes</w:t>
      </w:r>
    </w:p>
    <w:p>
      <w:pPr>
        <w:pStyle w:val="BodyText"/>
        <w:spacing w:after="0" w:line="242" w:lineRule="auto"/>
        <w:jc w:val="both"/>
        <w:sectPr>
          <w:pgSz w:w="12240" w:h="15840"/>
          <w:pgMar w:header="724" w:footer="712" w:top="1880" w:bottom="900" w:left="1080" w:right="1080"/>
        </w:sectPr>
      </w:pPr>
    </w:p>
    <w:p>
      <w:pPr>
        <w:pStyle w:val="BodyText"/>
        <w:spacing w:before="65"/>
      </w:pPr>
    </w:p>
    <w:p>
      <w:pPr>
        <w:pStyle w:val="BodyText"/>
        <w:ind w:left="338"/>
      </w:pPr>
      <w:r>
        <w:rPr/>
        <w:t>Resultantes de los Riesgos de Trabajo, para su consideración y en su caso, inicio del proceso legislativo </w:t>
      </w:r>
      <w:r>
        <w:rPr>
          <w:spacing w:val="-2"/>
        </w:rPr>
        <w:t>conducente.</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04-12-</w:t>
      </w:r>
      <w:r>
        <w:rPr>
          <w:rFonts w:ascii="Times New Roman" w:hAnsi="Times New Roman"/>
          <w:i/>
          <w:color w:val="0000FF"/>
          <w:spacing w:val="-4"/>
          <w:sz w:val="16"/>
        </w:rPr>
        <w:t>2023</w:t>
      </w:r>
    </w:p>
    <w:p>
      <w:pPr>
        <w:pStyle w:val="BodyText"/>
        <w:spacing w:before="45"/>
        <w:rPr>
          <w:rFonts w:ascii="Times New Roman"/>
          <w:i/>
          <w:sz w:val="16"/>
        </w:rPr>
      </w:pPr>
    </w:p>
    <w:p>
      <w:pPr>
        <w:pStyle w:val="Heading1"/>
        <w:spacing w:line="252" w:lineRule="exact"/>
      </w:pPr>
      <w:r>
        <w:rPr/>
        <w:t>TITULO</w:t>
      </w:r>
      <w:r>
        <w:rPr>
          <w:spacing w:val="-4"/>
        </w:rPr>
        <w:t> </w:t>
      </w:r>
      <w:r>
        <w:rPr>
          <w:spacing w:val="-2"/>
        </w:rPr>
        <w:t>DECIMO</w:t>
      </w:r>
    </w:p>
    <w:p>
      <w:pPr>
        <w:pStyle w:val="Heading2"/>
        <w:spacing w:line="252" w:lineRule="exact"/>
        <w:ind w:left="298"/>
      </w:pPr>
      <w:r>
        <w:rPr>
          <w:spacing w:val="-2"/>
        </w:rPr>
        <w:t>Prescripción</w:t>
      </w:r>
    </w:p>
    <w:p>
      <w:pPr>
        <w:pStyle w:val="BodyText"/>
        <w:spacing w:before="1"/>
        <w:rPr>
          <w:rFonts w:ascii="Arial"/>
          <w:b/>
        </w:rPr>
      </w:pPr>
    </w:p>
    <w:p>
      <w:pPr>
        <w:pStyle w:val="BodyText"/>
        <w:spacing w:line="242" w:lineRule="auto" w:before="1"/>
        <w:ind w:left="338" w:right="345" w:firstLine="288"/>
        <w:jc w:val="both"/>
      </w:pPr>
      <w:bookmarkStart w:name="Artículo_516" w:id="657"/>
      <w:bookmarkEnd w:id="657"/>
      <w:r>
        <w:rPr/>
      </w:r>
      <w:r>
        <w:rPr>
          <w:rFonts w:ascii="Arial" w:hAnsi="Arial"/>
          <w:b/>
        </w:rPr>
        <w:t>Artículo 516.- </w:t>
      </w:r>
      <w:r>
        <w:rPr/>
        <w:t>Las acciones de trabajo prescriben en un año, contado a partir del día siguiente a la fecha</w:t>
      </w:r>
      <w:r>
        <w:rPr>
          <w:spacing w:val="-4"/>
        </w:rPr>
        <w:t> </w:t>
      </w:r>
      <w:r>
        <w:rPr/>
        <w:t>en</w:t>
      </w:r>
      <w:r>
        <w:rPr>
          <w:spacing w:val="-4"/>
        </w:rPr>
        <w:t> </w:t>
      </w:r>
      <w:r>
        <w:rPr/>
        <w:t>que</w:t>
      </w:r>
      <w:r>
        <w:rPr>
          <w:spacing w:val="-2"/>
        </w:rPr>
        <w:t> </w:t>
      </w:r>
      <w:r>
        <w:rPr/>
        <w:t>la</w:t>
      </w:r>
      <w:r>
        <w:rPr>
          <w:spacing w:val="-3"/>
        </w:rPr>
        <w:t> </w:t>
      </w:r>
      <w:r>
        <w:rPr/>
        <w:t>obligación sea</w:t>
      </w:r>
      <w:r>
        <w:rPr>
          <w:spacing w:val="-4"/>
        </w:rPr>
        <w:t> </w:t>
      </w:r>
      <w:r>
        <w:rPr/>
        <w:t>exigible,</w:t>
      </w:r>
      <w:r>
        <w:rPr>
          <w:spacing w:val="-3"/>
        </w:rPr>
        <w:t> </w:t>
      </w:r>
      <w:r>
        <w:rPr/>
        <w:t>con</w:t>
      </w:r>
      <w:r>
        <w:rPr>
          <w:spacing w:val="-3"/>
        </w:rPr>
        <w:t> </w:t>
      </w:r>
      <w:r>
        <w:rPr/>
        <w:t>las</w:t>
      </w:r>
      <w:r>
        <w:rPr>
          <w:spacing w:val="-2"/>
        </w:rPr>
        <w:t> </w:t>
      </w:r>
      <w:r>
        <w:rPr/>
        <w:t>excepciones</w:t>
      </w:r>
      <w:r>
        <w:rPr>
          <w:spacing w:val="-2"/>
        </w:rPr>
        <w:t> </w:t>
      </w:r>
      <w:r>
        <w:rPr/>
        <w:t>que</w:t>
      </w:r>
      <w:r>
        <w:rPr>
          <w:spacing w:val="-4"/>
        </w:rPr>
        <w:t> </w:t>
      </w:r>
      <w:r>
        <w:rPr/>
        <w:t>se</w:t>
      </w:r>
      <w:r>
        <w:rPr>
          <w:spacing w:val="-3"/>
        </w:rPr>
        <w:t> </w:t>
      </w:r>
      <w:r>
        <w:rPr/>
        <w:t>consignan</w:t>
      </w:r>
      <w:r>
        <w:rPr>
          <w:spacing w:val="-1"/>
        </w:rPr>
        <w:t> </w:t>
      </w:r>
      <w:r>
        <w:rPr/>
        <w:t>en</w:t>
      </w:r>
      <w:r>
        <w:rPr>
          <w:spacing w:val="-3"/>
        </w:rPr>
        <w:t> </w:t>
      </w:r>
      <w:r>
        <w:rPr/>
        <w:t>los artículos</w:t>
      </w:r>
      <w:r>
        <w:rPr>
          <w:spacing w:val="-2"/>
        </w:rPr>
        <w:t> </w:t>
      </w:r>
      <w:r>
        <w:rPr/>
        <w:t>siguientes.</w:t>
      </w:r>
    </w:p>
    <w:p>
      <w:pPr>
        <w:spacing w:before="226"/>
        <w:ind w:left="626" w:right="0" w:firstLine="0"/>
        <w:jc w:val="left"/>
        <w:rPr>
          <w:sz w:val="20"/>
        </w:rPr>
      </w:pPr>
      <w:bookmarkStart w:name="Artículo_517" w:id="658"/>
      <w:bookmarkEnd w:id="658"/>
      <w:r>
        <w:rPr/>
      </w:r>
      <w:r>
        <w:rPr>
          <w:rFonts w:ascii="Arial" w:hAnsi="Arial"/>
          <w:b/>
          <w:sz w:val="20"/>
        </w:rPr>
        <w:t>Artículo</w:t>
      </w:r>
      <w:r>
        <w:rPr>
          <w:rFonts w:ascii="Arial" w:hAnsi="Arial"/>
          <w:b/>
          <w:spacing w:val="-7"/>
          <w:sz w:val="20"/>
        </w:rPr>
        <w:t> </w:t>
      </w:r>
      <w:r>
        <w:rPr>
          <w:rFonts w:ascii="Arial" w:hAnsi="Arial"/>
          <w:b/>
          <w:sz w:val="20"/>
        </w:rPr>
        <w:t>517.-</w:t>
      </w:r>
      <w:r>
        <w:rPr>
          <w:rFonts w:ascii="Arial" w:hAnsi="Arial"/>
          <w:b/>
          <w:spacing w:val="-4"/>
          <w:sz w:val="20"/>
        </w:rPr>
        <w:t> </w:t>
      </w:r>
      <w:r>
        <w:rPr>
          <w:sz w:val="20"/>
        </w:rPr>
        <w:t>Prescriben</w:t>
      </w:r>
      <w:r>
        <w:rPr>
          <w:spacing w:val="-6"/>
          <w:sz w:val="20"/>
        </w:rPr>
        <w:t> </w:t>
      </w:r>
      <w:r>
        <w:rPr>
          <w:sz w:val="20"/>
        </w:rPr>
        <w:t>en</w:t>
      </w:r>
      <w:r>
        <w:rPr>
          <w:spacing w:val="-5"/>
          <w:sz w:val="20"/>
        </w:rPr>
        <w:t> </w:t>
      </w:r>
      <w:r>
        <w:rPr>
          <w:sz w:val="20"/>
        </w:rPr>
        <w:t>un</w:t>
      </w:r>
      <w:r>
        <w:rPr>
          <w:spacing w:val="-9"/>
          <w:sz w:val="20"/>
        </w:rPr>
        <w:t> </w:t>
      </w:r>
      <w:r>
        <w:rPr>
          <w:spacing w:val="-4"/>
          <w:sz w:val="20"/>
        </w:rPr>
        <w:t>mes:</w:t>
      </w:r>
    </w:p>
    <w:p>
      <w:pPr>
        <w:pStyle w:val="ListParagraph"/>
        <w:numPr>
          <w:ilvl w:val="0"/>
          <w:numId w:val="209"/>
        </w:numPr>
        <w:tabs>
          <w:tab w:pos="1195" w:val="left" w:leader="none"/>
        </w:tabs>
        <w:spacing w:line="242" w:lineRule="auto" w:before="229" w:after="0"/>
        <w:ind w:left="1195" w:right="345" w:hanging="569"/>
        <w:jc w:val="left"/>
        <w:rPr>
          <w:sz w:val="20"/>
        </w:rPr>
      </w:pPr>
      <w:r>
        <w:rPr>
          <w:sz w:val="20"/>
        </w:rPr>
        <w:t>Las acciones de los patrones para despedir a los trabajadores, para disciplinar sus faltas y</w:t>
      </w:r>
      <w:r>
        <w:rPr>
          <w:spacing w:val="-3"/>
          <w:sz w:val="20"/>
        </w:rPr>
        <w:t> </w:t>
      </w:r>
      <w:r>
        <w:rPr>
          <w:sz w:val="20"/>
        </w:rPr>
        <w:t>para efectuar descuentos en sus salarios; y</w:t>
      </w:r>
    </w:p>
    <w:p>
      <w:pPr>
        <w:pStyle w:val="ListParagraph"/>
        <w:numPr>
          <w:ilvl w:val="0"/>
          <w:numId w:val="209"/>
        </w:numPr>
        <w:tabs>
          <w:tab w:pos="1195" w:val="left" w:leader="none"/>
        </w:tabs>
        <w:spacing w:line="240" w:lineRule="auto" w:before="227" w:after="0"/>
        <w:ind w:left="1195" w:right="0" w:hanging="569"/>
        <w:jc w:val="left"/>
        <w:rPr>
          <w:sz w:val="20"/>
        </w:rPr>
      </w:pPr>
      <w:r>
        <w:rPr>
          <w:sz w:val="20"/>
        </w:rPr>
        <w:t>Las</w:t>
      </w:r>
      <w:r>
        <w:rPr>
          <w:spacing w:val="-7"/>
          <w:sz w:val="20"/>
        </w:rPr>
        <w:t> </w:t>
      </w:r>
      <w:r>
        <w:rPr>
          <w:sz w:val="20"/>
        </w:rPr>
        <w:t>acciones</w:t>
      </w:r>
      <w:r>
        <w:rPr>
          <w:spacing w:val="-7"/>
          <w:sz w:val="20"/>
        </w:rPr>
        <w:t> </w:t>
      </w:r>
      <w:r>
        <w:rPr>
          <w:sz w:val="20"/>
        </w:rPr>
        <w:t>de</w:t>
      </w:r>
      <w:r>
        <w:rPr>
          <w:spacing w:val="-7"/>
          <w:sz w:val="20"/>
        </w:rPr>
        <w:t> </w:t>
      </w:r>
      <w:r>
        <w:rPr>
          <w:sz w:val="20"/>
        </w:rPr>
        <w:t>los</w:t>
      </w:r>
      <w:r>
        <w:rPr>
          <w:spacing w:val="-6"/>
          <w:sz w:val="20"/>
        </w:rPr>
        <w:t> </w:t>
      </w:r>
      <w:r>
        <w:rPr>
          <w:sz w:val="20"/>
        </w:rPr>
        <w:t>trabajadores</w:t>
      </w:r>
      <w:r>
        <w:rPr>
          <w:spacing w:val="-7"/>
          <w:sz w:val="20"/>
        </w:rPr>
        <w:t> </w:t>
      </w:r>
      <w:r>
        <w:rPr>
          <w:sz w:val="20"/>
        </w:rPr>
        <w:t>para</w:t>
      </w:r>
      <w:r>
        <w:rPr>
          <w:spacing w:val="-6"/>
          <w:sz w:val="20"/>
        </w:rPr>
        <w:t> </w:t>
      </w:r>
      <w:r>
        <w:rPr>
          <w:sz w:val="20"/>
        </w:rPr>
        <w:t>separarse</w:t>
      </w:r>
      <w:r>
        <w:rPr>
          <w:spacing w:val="-6"/>
          <w:sz w:val="20"/>
        </w:rPr>
        <w:t> </w:t>
      </w:r>
      <w:r>
        <w:rPr>
          <w:sz w:val="20"/>
        </w:rPr>
        <w:t>del</w:t>
      </w:r>
      <w:r>
        <w:rPr>
          <w:spacing w:val="-8"/>
          <w:sz w:val="20"/>
        </w:rPr>
        <w:t> </w:t>
      </w:r>
      <w:r>
        <w:rPr>
          <w:spacing w:val="-2"/>
          <w:sz w:val="20"/>
        </w:rPr>
        <w:t>trabajo.</w:t>
      </w:r>
    </w:p>
    <w:p>
      <w:pPr>
        <w:pStyle w:val="BodyText"/>
      </w:pPr>
    </w:p>
    <w:p>
      <w:pPr>
        <w:pStyle w:val="BodyText"/>
        <w:spacing w:before="1"/>
        <w:ind w:left="338" w:right="338" w:firstLine="288"/>
        <w:jc w:val="both"/>
      </w:pPr>
      <w:r>
        <w:rPr/>
        <w:t>En los casos de la fracción I, la prescripción corre a partir, respectivamente, del día siguiente a la</w:t>
      </w:r>
      <w:r>
        <w:rPr>
          <w:spacing w:val="40"/>
        </w:rPr>
        <w:t> </w:t>
      </w:r>
      <w:r>
        <w:rPr/>
        <w:t>fecha en que se tenga conocimiento de la causa de la separación o de la falta, desde el momento en que se</w:t>
      </w:r>
      <w:r>
        <w:rPr>
          <w:spacing w:val="-2"/>
        </w:rPr>
        <w:t> </w:t>
      </w:r>
      <w:r>
        <w:rPr/>
        <w:t>comprueben los errores cometidos, o las pérdidas</w:t>
      </w:r>
      <w:r>
        <w:rPr>
          <w:spacing w:val="-1"/>
        </w:rPr>
        <w:t> </w:t>
      </w:r>
      <w:r>
        <w:rPr/>
        <w:t>o averías imputables</w:t>
      </w:r>
      <w:r>
        <w:rPr>
          <w:spacing w:val="-1"/>
        </w:rPr>
        <w:t> </w:t>
      </w:r>
      <w:r>
        <w:rPr/>
        <w:t>al trabajador, o desde la</w:t>
      </w:r>
      <w:r>
        <w:rPr>
          <w:spacing w:val="-2"/>
        </w:rPr>
        <w:t> </w:t>
      </w:r>
      <w:r>
        <w:rPr/>
        <w:t>fecha en que la deuda sea exigible.</w:t>
      </w:r>
    </w:p>
    <w:p>
      <w:pPr>
        <w:pStyle w:val="BodyText"/>
        <w:spacing w:before="2"/>
      </w:pPr>
    </w:p>
    <w:p>
      <w:pPr>
        <w:pStyle w:val="BodyText"/>
        <w:ind w:left="338" w:right="346" w:firstLine="288"/>
        <w:jc w:val="both"/>
      </w:pPr>
      <w:r>
        <w:rPr/>
        <w:t>En los casos de la fracción II, la prescripción corre a partir de la fecha en que se tenga conocimiento de la causa de separación.</w:t>
      </w:r>
    </w:p>
    <w:p>
      <w:pPr>
        <w:pStyle w:val="BodyText"/>
        <w:spacing w:line="242" w:lineRule="auto" w:before="226"/>
        <w:ind w:left="338" w:right="338" w:firstLine="288"/>
        <w:jc w:val="both"/>
      </w:pPr>
      <w:bookmarkStart w:name="Artículo_518" w:id="659"/>
      <w:bookmarkEnd w:id="659"/>
      <w:r>
        <w:rPr/>
      </w:r>
      <w:r>
        <w:rPr>
          <w:rFonts w:ascii="Arial" w:hAnsi="Arial"/>
          <w:b/>
        </w:rPr>
        <w:t>Artículo 518.- </w:t>
      </w:r>
      <w:r>
        <w:rPr/>
        <w:t>Prescriben en dos meses las acciones de los trabajadores que sean separados del </w:t>
      </w:r>
      <w:r>
        <w:rPr>
          <w:spacing w:val="-2"/>
        </w:rPr>
        <w:t>trabajo.</w:t>
      </w:r>
    </w:p>
    <w:p>
      <w:pPr>
        <w:pStyle w:val="BodyText"/>
        <w:spacing w:before="230"/>
        <w:ind w:left="626"/>
      </w:pPr>
      <w:r>
        <w:rPr/>
        <w:t>La</w:t>
      </w:r>
      <w:r>
        <w:rPr>
          <w:spacing w:val="-7"/>
        </w:rPr>
        <w:t> </w:t>
      </w:r>
      <w:r>
        <w:rPr/>
        <w:t>prescripción</w:t>
      </w:r>
      <w:r>
        <w:rPr>
          <w:spacing w:val="-6"/>
        </w:rPr>
        <w:t> </w:t>
      </w:r>
      <w:r>
        <w:rPr/>
        <w:t>corre</w:t>
      </w:r>
      <w:r>
        <w:rPr>
          <w:spacing w:val="-4"/>
        </w:rPr>
        <w:t> </w:t>
      </w:r>
      <w:r>
        <w:rPr/>
        <w:t>a</w:t>
      </w:r>
      <w:r>
        <w:rPr>
          <w:spacing w:val="-5"/>
        </w:rPr>
        <w:t> </w:t>
      </w:r>
      <w:r>
        <w:rPr/>
        <w:t>partir</w:t>
      </w:r>
      <w:r>
        <w:rPr>
          <w:spacing w:val="-5"/>
        </w:rPr>
        <w:t> </w:t>
      </w:r>
      <w:r>
        <w:rPr/>
        <w:t>del</w:t>
      </w:r>
      <w:r>
        <w:rPr>
          <w:spacing w:val="-6"/>
        </w:rPr>
        <w:t> </w:t>
      </w:r>
      <w:r>
        <w:rPr/>
        <w:t>día</w:t>
      </w:r>
      <w:r>
        <w:rPr>
          <w:spacing w:val="-5"/>
        </w:rPr>
        <w:t> </w:t>
      </w:r>
      <w:r>
        <w:rPr/>
        <w:t>siguiente</w:t>
      </w:r>
      <w:r>
        <w:rPr>
          <w:spacing w:val="-4"/>
        </w:rPr>
        <w:t> </w:t>
      </w:r>
      <w:r>
        <w:rPr/>
        <w:t>a</w:t>
      </w:r>
      <w:r>
        <w:rPr>
          <w:spacing w:val="-4"/>
        </w:rPr>
        <w:t> </w:t>
      </w:r>
      <w:r>
        <w:rPr/>
        <w:t>la</w:t>
      </w:r>
      <w:r>
        <w:rPr>
          <w:spacing w:val="-5"/>
        </w:rPr>
        <w:t> </w:t>
      </w:r>
      <w:r>
        <w:rPr/>
        <w:t>fecha</w:t>
      </w:r>
      <w:r>
        <w:rPr>
          <w:spacing w:val="-6"/>
        </w:rPr>
        <w:t> </w:t>
      </w:r>
      <w:r>
        <w:rPr/>
        <w:t>de</w:t>
      </w:r>
      <w:r>
        <w:rPr>
          <w:spacing w:val="-3"/>
        </w:rPr>
        <w:t> </w:t>
      </w:r>
      <w:r>
        <w:rPr/>
        <w:t>la</w:t>
      </w:r>
      <w:r>
        <w:rPr>
          <w:spacing w:val="-6"/>
        </w:rPr>
        <w:t> </w:t>
      </w:r>
      <w:r>
        <w:rPr>
          <w:spacing w:val="-2"/>
        </w:rPr>
        <w:t>separación.</w:t>
      </w:r>
    </w:p>
    <w:p>
      <w:pPr>
        <w:pStyle w:val="BodyText"/>
        <w:spacing w:before="228"/>
        <w:ind w:left="338" w:right="344" w:firstLine="288"/>
        <w:jc w:val="both"/>
      </w:pPr>
      <w:r>
        <w:rPr/>
        <w:t>Este término se suspenderá a partir de la fecha de presentación de la solicitud de conciliación a que</w:t>
      </w:r>
      <w:r>
        <w:rPr>
          <w:spacing w:val="40"/>
        </w:rPr>
        <w:t> </w:t>
      </w:r>
      <w:r>
        <w:rPr/>
        <w:t>se refiere el artículo 684-B de esta Ley, y</w:t>
      </w:r>
      <w:r>
        <w:rPr>
          <w:spacing w:val="-2"/>
        </w:rPr>
        <w:t> </w:t>
      </w:r>
      <w:r>
        <w:rPr/>
        <w:t>se reanudará al día siguiente en que se actualice cualquiera de las hipótesis previstas en el artículo 521, fracción III de esta Ley.</w:t>
      </w:r>
    </w:p>
    <w:p>
      <w:pPr>
        <w:spacing w:line="183" w:lineRule="exact" w:before="0"/>
        <w:ind w:left="7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57" w:firstLine="288"/>
      </w:pPr>
      <w:r>
        <w:rPr/>
        <w:t>En lo que se refiere al ejercicio de las acciones jurisdiccionales a que se refiere el primer párrafo, se estará a lo previsto en la fracción III del artículo 521 del presente ordenamiento.</w:t>
      </w:r>
    </w:p>
    <w:p>
      <w:pPr>
        <w:spacing w:line="182" w:lineRule="exact" w:before="0"/>
        <w:ind w:left="7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spacing w:before="0"/>
        <w:ind w:left="626" w:right="0" w:firstLine="0"/>
        <w:jc w:val="left"/>
        <w:rPr>
          <w:sz w:val="20"/>
        </w:rPr>
      </w:pPr>
      <w:bookmarkStart w:name="Artículo_519" w:id="660"/>
      <w:bookmarkEnd w:id="660"/>
      <w:r>
        <w:rPr/>
      </w:r>
      <w:r>
        <w:rPr>
          <w:rFonts w:ascii="Arial" w:hAnsi="Arial"/>
          <w:b/>
          <w:sz w:val="20"/>
        </w:rPr>
        <w:t>Artículo</w:t>
      </w:r>
      <w:r>
        <w:rPr>
          <w:rFonts w:ascii="Arial" w:hAnsi="Arial"/>
          <w:b/>
          <w:spacing w:val="-7"/>
          <w:sz w:val="20"/>
        </w:rPr>
        <w:t> </w:t>
      </w:r>
      <w:r>
        <w:rPr>
          <w:rFonts w:ascii="Arial" w:hAnsi="Arial"/>
          <w:b/>
          <w:sz w:val="20"/>
        </w:rPr>
        <w:t>519.-</w:t>
      </w:r>
      <w:r>
        <w:rPr>
          <w:rFonts w:ascii="Arial" w:hAnsi="Arial"/>
          <w:b/>
          <w:spacing w:val="-5"/>
          <w:sz w:val="20"/>
        </w:rPr>
        <w:t> </w:t>
      </w:r>
      <w:r>
        <w:rPr>
          <w:sz w:val="20"/>
        </w:rPr>
        <w:t>Prescriben</w:t>
      </w:r>
      <w:r>
        <w:rPr>
          <w:spacing w:val="-6"/>
          <w:sz w:val="20"/>
        </w:rPr>
        <w:t> </w:t>
      </w:r>
      <w:r>
        <w:rPr>
          <w:sz w:val="20"/>
        </w:rPr>
        <w:t>en</w:t>
      </w:r>
      <w:r>
        <w:rPr>
          <w:spacing w:val="-7"/>
          <w:sz w:val="20"/>
        </w:rPr>
        <w:t> </w:t>
      </w:r>
      <w:r>
        <w:rPr>
          <w:sz w:val="20"/>
        </w:rPr>
        <w:t>dos</w:t>
      </w:r>
      <w:r>
        <w:rPr>
          <w:spacing w:val="-7"/>
          <w:sz w:val="20"/>
        </w:rPr>
        <w:t> </w:t>
      </w:r>
      <w:r>
        <w:rPr>
          <w:spacing w:val="-4"/>
          <w:sz w:val="20"/>
        </w:rPr>
        <w:t>años:</w:t>
      </w:r>
    </w:p>
    <w:p>
      <w:pPr>
        <w:pStyle w:val="BodyText"/>
        <w:spacing w:before="1"/>
      </w:pPr>
    </w:p>
    <w:p>
      <w:pPr>
        <w:pStyle w:val="ListParagraph"/>
        <w:numPr>
          <w:ilvl w:val="0"/>
          <w:numId w:val="210"/>
        </w:numPr>
        <w:tabs>
          <w:tab w:pos="1195" w:val="left" w:leader="none"/>
        </w:tabs>
        <w:spacing w:line="242" w:lineRule="auto" w:before="0" w:after="0"/>
        <w:ind w:left="1195" w:right="334" w:hanging="569"/>
        <w:jc w:val="left"/>
        <w:rPr>
          <w:sz w:val="20"/>
        </w:rPr>
      </w:pPr>
      <w:r>
        <w:rPr>
          <w:sz w:val="20"/>
        </w:rPr>
        <w:t>Las</w:t>
      </w:r>
      <w:r>
        <w:rPr>
          <w:spacing w:val="40"/>
          <w:sz w:val="20"/>
        </w:rPr>
        <w:t> </w:t>
      </w:r>
      <w:r>
        <w:rPr>
          <w:sz w:val="20"/>
        </w:rPr>
        <w:t>acciones</w:t>
      </w:r>
      <w:r>
        <w:rPr>
          <w:spacing w:val="40"/>
          <w:sz w:val="20"/>
        </w:rPr>
        <w:t> </w:t>
      </w:r>
      <w:r>
        <w:rPr>
          <w:sz w:val="20"/>
        </w:rPr>
        <w:t>de</w:t>
      </w:r>
      <w:r>
        <w:rPr>
          <w:spacing w:val="40"/>
          <w:sz w:val="20"/>
        </w:rPr>
        <w:t> </w:t>
      </w:r>
      <w:r>
        <w:rPr>
          <w:sz w:val="20"/>
        </w:rPr>
        <w:t>los</w:t>
      </w:r>
      <w:r>
        <w:rPr>
          <w:spacing w:val="40"/>
          <w:sz w:val="20"/>
        </w:rPr>
        <w:t> </w:t>
      </w:r>
      <w:r>
        <w:rPr>
          <w:sz w:val="20"/>
        </w:rPr>
        <w:t>trabajadores</w:t>
      </w:r>
      <w:r>
        <w:rPr>
          <w:spacing w:val="40"/>
          <w:sz w:val="20"/>
        </w:rPr>
        <w:t> </w:t>
      </w:r>
      <w:r>
        <w:rPr>
          <w:sz w:val="20"/>
        </w:rPr>
        <w:t>para</w:t>
      </w:r>
      <w:r>
        <w:rPr>
          <w:spacing w:val="40"/>
          <w:sz w:val="20"/>
        </w:rPr>
        <w:t> </w:t>
      </w:r>
      <w:r>
        <w:rPr>
          <w:sz w:val="20"/>
        </w:rPr>
        <w:t>reclamar</w:t>
      </w:r>
      <w:r>
        <w:rPr>
          <w:spacing w:val="40"/>
          <w:sz w:val="20"/>
        </w:rPr>
        <w:t> </w:t>
      </w:r>
      <w:r>
        <w:rPr>
          <w:sz w:val="20"/>
        </w:rPr>
        <w:t>el</w:t>
      </w:r>
      <w:r>
        <w:rPr>
          <w:spacing w:val="40"/>
          <w:sz w:val="20"/>
        </w:rPr>
        <w:t> </w:t>
      </w:r>
      <w:r>
        <w:rPr>
          <w:sz w:val="20"/>
        </w:rPr>
        <w:t>pago</w:t>
      </w:r>
      <w:r>
        <w:rPr>
          <w:spacing w:val="40"/>
          <w:sz w:val="20"/>
        </w:rPr>
        <w:t> </w:t>
      </w:r>
      <w:r>
        <w:rPr>
          <w:sz w:val="20"/>
        </w:rPr>
        <w:t>de</w:t>
      </w:r>
      <w:r>
        <w:rPr>
          <w:spacing w:val="40"/>
          <w:sz w:val="20"/>
        </w:rPr>
        <w:t> </w:t>
      </w:r>
      <w:r>
        <w:rPr>
          <w:sz w:val="20"/>
        </w:rPr>
        <w:t>indemnizaciones</w:t>
      </w:r>
      <w:r>
        <w:rPr>
          <w:spacing w:val="40"/>
          <w:sz w:val="20"/>
        </w:rPr>
        <w:t> </w:t>
      </w:r>
      <w:r>
        <w:rPr>
          <w:sz w:val="20"/>
        </w:rPr>
        <w:t>por</w:t>
      </w:r>
      <w:r>
        <w:rPr>
          <w:spacing w:val="40"/>
          <w:sz w:val="20"/>
        </w:rPr>
        <w:t> </w:t>
      </w:r>
      <w:r>
        <w:rPr>
          <w:sz w:val="20"/>
        </w:rPr>
        <w:t>riesgo</w:t>
      </w:r>
      <w:r>
        <w:rPr>
          <w:spacing w:val="40"/>
          <w:sz w:val="20"/>
        </w:rPr>
        <w:t> </w:t>
      </w:r>
      <w:r>
        <w:rPr>
          <w:sz w:val="20"/>
        </w:rPr>
        <w:t>de </w:t>
      </w:r>
      <w:r>
        <w:rPr>
          <w:spacing w:val="-2"/>
          <w:sz w:val="20"/>
        </w:rPr>
        <w:t>trabajo;</w:t>
      </w:r>
    </w:p>
    <w:p>
      <w:pPr>
        <w:pStyle w:val="ListParagraph"/>
        <w:numPr>
          <w:ilvl w:val="0"/>
          <w:numId w:val="210"/>
        </w:numPr>
        <w:tabs>
          <w:tab w:pos="1195" w:val="left" w:leader="none"/>
        </w:tabs>
        <w:spacing w:line="240" w:lineRule="auto" w:before="225" w:after="0"/>
        <w:ind w:left="1195" w:right="0" w:hanging="569"/>
        <w:jc w:val="left"/>
        <w:rPr>
          <w:sz w:val="20"/>
        </w:rPr>
      </w:pPr>
      <w:r>
        <w:rPr>
          <w:sz w:val="20"/>
        </w:rPr>
        <w:t>Las</w:t>
      </w:r>
      <w:r>
        <w:rPr>
          <w:spacing w:val="-6"/>
          <w:sz w:val="20"/>
        </w:rPr>
        <w:t> </w:t>
      </w:r>
      <w:r>
        <w:rPr>
          <w:sz w:val="20"/>
        </w:rPr>
        <w:t>acciones</w:t>
      </w:r>
      <w:r>
        <w:rPr>
          <w:spacing w:val="-6"/>
          <w:sz w:val="20"/>
        </w:rPr>
        <w:t> </w:t>
      </w:r>
      <w:r>
        <w:rPr>
          <w:sz w:val="20"/>
        </w:rPr>
        <w:t>de</w:t>
      </w:r>
      <w:r>
        <w:rPr>
          <w:spacing w:val="-6"/>
          <w:sz w:val="20"/>
        </w:rPr>
        <w:t> </w:t>
      </w:r>
      <w:r>
        <w:rPr>
          <w:sz w:val="20"/>
        </w:rPr>
        <w:t>los</w:t>
      </w:r>
      <w:r>
        <w:rPr>
          <w:spacing w:val="-5"/>
          <w:sz w:val="20"/>
        </w:rPr>
        <w:t> </w:t>
      </w:r>
      <w:r>
        <w:rPr>
          <w:sz w:val="20"/>
        </w:rPr>
        <w:t>beneficiarios</w:t>
      </w:r>
      <w:r>
        <w:rPr>
          <w:spacing w:val="-6"/>
          <w:sz w:val="20"/>
        </w:rPr>
        <w:t> </w:t>
      </w:r>
      <w:r>
        <w:rPr>
          <w:sz w:val="20"/>
        </w:rPr>
        <w:t>en</w:t>
      </w:r>
      <w:r>
        <w:rPr>
          <w:spacing w:val="-7"/>
          <w:sz w:val="20"/>
        </w:rPr>
        <w:t> </w:t>
      </w:r>
      <w:r>
        <w:rPr>
          <w:sz w:val="20"/>
        </w:rPr>
        <w:t>los</w:t>
      </w:r>
      <w:r>
        <w:rPr>
          <w:spacing w:val="-6"/>
          <w:sz w:val="20"/>
        </w:rPr>
        <w:t> </w:t>
      </w:r>
      <w:r>
        <w:rPr>
          <w:sz w:val="20"/>
        </w:rPr>
        <w:t>casos</w:t>
      </w:r>
      <w:r>
        <w:rPr>
          <w:spacing w:val="-5"/>
          <w:sz w:val="20"/>
        </w:rPr>
        <w:t> </w:t>
      </w:r>
      <w:r>
        <w:rPr>
          <w:sz w:val="20"/>
        </w:rPr>
        <w:t>de</w:t>
      </w:r>
      <w:r>
        <w:rPr>
          <w:spacing w:val="-8"/>
          <w:sz w:val="20"/>
        </w:rPr>
        <w:t> </w:t>
      </w:r>
      <w:r>
        <w:rPr>
          <w:sz w:val="20"/>
        </w:rPr>
        <w:t>muerte</w:t>
      </w:r>
      <w:r>
        <w:rPr>
          <w:spacing w:val="-7"/>
          <w:sz w:val="20"/>
        </w:rPr>
        <w:t> </w:t>
      </w:r>
      <w:r>
        <w:rPr>
          <w:sz w:val="20"/>
        </w:rPr>
        <w:t>por</w:t>
      </w:r>
      <w:r>
        <w:rPr>
          <w:spacing w:val="-6"/>
          <w:sz w:val="20"/>
        </w:rPr>
        <w:t> </w:t>
      </w:r>
      <w:r>
        <w:rPr>
          <w:sz w:val="20"/>
        </w:rPr>
        <w:t>riesgos</w:t>
      </w:r>
      <w:r>
        <w:rPr>
          <w:spacing w:val="-4"/>
          <w:sz w:val="20"/>
        </w:rPr>
        <w:t> </w:t>
      </w:r>
      <w:r>
        <w:rPr>
          <w:sz w:val="20"/>
        </w:rPr>
        <w:t>de</w:t>
      </w:r>
      <w:r>
        <w:rPr>
          <w:spacing w:val="-7"/>
          <w:sz w:val="20"/>
        </w:rPr>
        <w:t> </w:t>
      </w:r>
      <w:r>
        <w:rPr>
          <w:sz w:val="20"/>
        </w:rPr>
        <w:t>trabajo;</w:t>
      </w:r>
      <w:r>
        <w:rPr>
          <w:spacing w:val="-5"/>
          <w:sz w:val="20"/>
        </w:rPr>
        <w:t> </w:t>
      </w:r>
      <w:r>
        <w:rPr>
          <w:spacing w:val="-10"/>
          <w:sz w:val="20"/>
        </w:rPr>
        <w:t>y</w:t>
      </w:r>
    </w:p>
    <w:p>
      <w:pPr>
        <w:pStyle w:val="BodyText"/>
      </w:pPr>
    </w:p>
    <w:p>
      <w:pPr>
        <w:pStyle w:val="ListParagraph"/>
        <w:numPr>
          <w:ilvl w:val="0"/>
          <w:numId w:val="210"/>
        </w:numPr>
        <w:tabs>
          <w:tab w:pos="1195" w:val="left" w:leader="none"/>
        </w:tabs>
        <w:spacing w:line="242" w:lineRule="auto" w:before="1" w:after="0"/>
        <w:ind w:left="1195" w:right="346" w:hanging="569"/>
        <w:jc w:val="left"/>
        <w:rPr>
          <w:sz w:val="20"/>
        </w:rPr>
      </w:pPr>
      <w:r>
        <w:rPr>
          <w:sz w:val="20"/>
        </w:rPr>
        <w:t>Las</w:t>
      </w:r>
      <w:r>
        <w:rPr>
          <w:spacing w:val="40"/>
          <w:sz w:val="20"/>
        </w:rPr>
        <w:t> </w:t>
      </w:r>
      <w:r>
        <w:rPr>
          <w:sz w:val="20"/>
        </w:rPr>
        <w:t>acciones</w:t>
      </w:r>
      <w:r>
        <w:rPr>
          <w:spacing w:val="40"/>
          <w:sz w:val="20"/>
        </w:rPr>
        <w:t> </w:t>
      </w:r>
      <w:r>
        <w:rPr>
          <w:sz w:val="20"/>
        </w:rPr>
        <w:t>para</w:t>
      </w:r>
      <w:r>
        <w:rPr>
          <w:spacing w:val="40"/>
          <w:sz w:val="20"/>
        </w:rPr>
        <w:t> </w:t>
      </w:r>
      <w:r>
        <w:rPr>
          <w:sz w:val="20"/>
        </w:rPr>
        <w:t>solicitar</w:t>
      </w:r>
      <w:r>
        <w:rPr>
          <w:spacing w:val="40"/>
          <w:sz w:val="20"/>
        </w:rPr>
        <w:t> </w:t>
      </w:r>
      <w:r>
        <w:rPr>
          <w:sz w:val="20"/>
        </w:rPr>
        <w:t>la</w:t>
      </w:r>
      <w:r>
        <w:rPr>
          <w:spacing w:val="40"/>
          <w:sz w:val="20"/>
        </w:rPr>
        <w:t> </w:t>
      </w:r>
      <w:r>
        <w:rPr>
          <w:sz w:val="20"/>
        </w:rPr>
        <w:t>ejecución</w:t>
      </w:r>
      <w:r>
        <w:rPr>
          <w:spacing w:val="40"/>
          <w:sz w:val="20"/>
        </w:rPr>
        <w:t> </w:t>
      </w:r>
      <w:r>
        <w:rPr>
          <w:sz w:val="20"/>
        </w:rPr>
        <w:t>de</w:t>
      </w:r>
      <w:r>
        <w:rPr>
          <w:spacing w:val="40"/>
          <w:sz w:val="20"/>
        </w:rPr>
        <w:t> </w:t>
      </w:r>
      <w:r>
        <w:rPr>
          <w:sz w:val="20"/>
        </w:rPr>
        <w:t>la</w:t>
      </w:r>
      <w:r>
        <w:rPr>
          <w:spacing w:val="40"/>
          <w:sz w:val="20"/>
        </w:rPr>
        <w:t> </w:t>
      </w:r>
      <w:r>
        <w:rPr>
          <w:sz w:val="20"/>
        </w:rPr>
        <w:t>sentencia</w:t>
      </w:r>
      <w:r>
        <w:rPr>
          <w:spacing w:val="40"/>
          <w:sz w:val="20"/>
        </w:rPr>
        <w:t> </w:t>
      </w:r>
      <w:r>
        <w:rPr>
          <w:sz w:val="20"/>
        </w:rPr>
        <w:t>del</w:t>
      </w:r>
      <w:r>
        <w:rPr>
          <w:spacing w:val="40"/>
          <w:sz w:val="20"/>
        </w:rPr>
        <w:t> </w:t>
      </w:r>
      <w:r>
        <w:rPr>
          <w:sz w:val="20"/>
        </w:rPr>
        <w:t>Tribunal</w:t>
      </w:r>
      <w:r>
        <w:rPr>
          <w:spacing w:val="40"/>
          <w:sz w:val="20"/>
        </w:rPr>
        <w:t> </w:t>
      </w:r>
      <w:r>
        <w:rPr>
          <w:sz w:val="20"/>
        </w:rPr>
        <w:t>y</w:t>
      </w:r>
      <w:r>
        <w:rPr>
          <w:spacing w:val="40"/>
          <w:sz w:val="20"/>
        </w:rPr>
        <w:t> </w:t>
      </w:r>
      <w:r>
        <w:rPr>
          <w:sz w:val="20"/>
        </w:rPr>
        <w:t>de</w:t>
      </w:r>
      <w:r>
        <w:rPr>
          <w:spacing w:val="40"/>
          <w:sz w:val="20"/>
        </w:rPr>
        <w:t> </w:t>
      </w:r>
      <w:r>
        <w:rPr>
          <w:sz w:val="20"/>
        </w:rPr>
        <w:t>los</w:t>
      </w:r>
      <w:r>
        <w:rPr>
          <w:spacing w:val="40"/>
          <w:sz w:val="20"/>
        </w:rPr>
        <w:t> </w:t>
      </w:r>
      <w:r>
        <w:rPr>
          <w:sz w:val="20"/>
        </w:rPr>
        <w:t>convenios</w:t>
      </w:r>
      <w:r>
        <w:rPr>
          <w:spacing w:val="80"/>
          <w:sz w:val="20"/>
        </w:rPr>
        <w:t> </w:t>
      </w:r>
      <w:r>
        <w:rPr>
          <w:sz w:val="20"/>
        </w:rPr>
        <w:t>celebrados ante éste.</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0" w:firstLine="288"/>
        <w:jc w:val="both"/>
      </w:pPr>
      <w:r>
        <w:rPr/>
        <w:t>La prescripción corre, respectivamente, desde el momento en que se determine el grado de la incapacidad para el trabajo; desde la fecha de la muerte del trabajador, y</w:t>
      </w:r>
      <w:r>
        <w:rPr>
          <w:spacing w:val="-3"/>
        </w:rPr>
        <w:t> </w:t>
      </w:r>
      <w:r>
        <w:rPr/>
        <w:t>desde el</w:t>
      </w:r>
      <w:r>
        <w:rPr>
          <w:spacing w:val="-1"/>
        </w:rPr>
        <w:t> </w:t>
      </w:r>
      <w:r>
        <w:rPr/>
        <w:t>día siguiente al</w:t>
      </w:r>
      <w:r>
        <w:rPr>
          <w:spacing w:val="-1"/>
        </w:rPr>
        <w:t> </w:t>
      </w:r>
      <w:r>
        <w:rPr/>
        <w:t>en que hubiese</w:t>
      </w:r>
      <w:r>
        <w:rPr>
          <w:spacing w:val="40"/>
        </w:rPr>
        <w:t> </w:t>
      </w:r>
      <w:r>
        <w:rPr/>
        <w:t>quedado</w:t>
      </w:r>
      <w:r>
        <w:rPr>
          <w:spacing w:val="40"/>
        </w:rPr>
        <w:t> </w:t>
      </w:r>
      <w:r>
        <w:rPr/>
        <w:t>notificado</w:t>
      </w:r>
      <w:r>
        <w:rPr>
          <w:spacing w:val="40"/>
        </w:rPr>
        <w:t> </w:t>
      </w:r>
      <w:r>
        <w:rPr/>
        <w:t>la</w:t>
      </w:r>
      <w:r>
        <w:rPr>
          <w:spacing w:val="40"/>
        </w:rPr>
        <w:t> </w:t>
      </w:r>
      <w:r>
        <w:rPr/>
        <w:t>sentencia</w:t>
      </w:r>
      <w:r>
        <w:rPr>
          <w:spacing w:val="40"/>
        </w:rPr>
        <w:t> </w:t>
      </w:r>
      <w:r>
        <w:rPr/>
        <w:t>o</w:t>
      </w:r>
      <w:r>
        <w:rPr>
          <w:spacing w:val="40"/>
        </w:rPr>
        <w:t> </w:t>
      </w:r>
      <w:r>
        <w:rPr/>
        <w:t>aprobado</w:t>
      </w:r>
      <w:r>
        <w:rPr>
          <w:spacing w:val="40"/>
        </w:rPr>
        <w:t> </w:t>
      </w:r>
      <w:r>
        <w:rPr/>
        <w:t>el</w:t>
      </w:r>
      <w:r>
        <w:rPr>
          <w:spacing w:val="40"/>
        </w:rPr>
        <w:t> </w:t>
      </w:r>
      <w:r>
        <w:rPr/>
        <w:t>convenio.</w:t>
      </w:r>
      <w:r>
        <w:rPr>
          <w:spacing w:val="40"/>
        </w:rPr>
        <w:t> </w:t>
      </w:r>
      <w:r>
        <w:rPr/>
        <w:t>Cuando</w:t>
      </w:r>
      <w:r>
        <w:rPr>
          <w:spacing w:val="40"/>
        </w:rPr>
        <w:t> </w:t>
      </w:r>
      <w:r>
        <w:rPr/>
        <w:t>la</w:t>
      </w:r>
      <w:r>
        <w:rPr>
          <w:spacing w:val="40"/>
        </w:rPr>
        <w:t> </w:t>
      </w:r>
      <w:r>
        <w:rPr/>
        <w:t>sentencia</w:t>
      </w:r>
      <w:r>
        <w:rPr>
          <w:spacing w:val="40"/>
        </w:rPr>
        <w:t> </w:t>
      </w:r>
      <w:r>
        <w:rPr/>
        <w:t>imponga</w:t>
      </w:r>
      <w:r>
        <w:rPr>
          <w:spacing w:val="40"/>
        </w:rPr>
        <w:t> </w:t>
      </w:r>
      <w:r>
        <w:rPr/>
        <w:t>la</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47"/>
        <w:jc w:val="both"/>
      </w:pPr>
      <w:r>
        <w:rPr/>
        <w:t>obligación de reinstalar, el patrón podrá solicitar al Tribunal que fije al trabajador un término no mayor de treinta días para que regrese al trabajo, apercibiéndolo que de no hacerlo, podrá el patrón dar por terminada la relación de trabajo.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626" w:right="0" w:firstLine="0"/>
        <w:jc w:val="left"/>
        <w:rPr>
          <w:sz w:val="20"/>
        </w:rPr>
      </w:pPr>
      <w:bookmarkStart w:name="Artículo_520" w:id="661"/>
      <w:bookmarkEnd w:id="661"/>
      <w:r>
        <w:rPr/>
      </w:r>
      <w:r>
        <w:rPr>
          <w:rFonts w:ascii="Arial" w:hAnsi="Arial"/>
          <w:b/>
          <w:sz w:val="20"/>
        </w:rPr>
        <w:t>Artículo</w:t>
      </w:r>
      <w:r>
        <w:rPr>
          <w:rFonts w:ascii="Arial" w:hAnsi="Arial"/>
          <w:b/>
          <w:spacing w:val="-7"/>
          <w:sz w:val="20"/>
        </w:rPr>
        <w:t> </w:t>
      </w:r>
      <w:r>
        <w:rPr>
          <w:rFonts w:ascii="Arial" w:hAnsi="Arial"/>
          <w:b/>
          <w:sz w:val="20"/>
        </w:rPr>
        <w:t>520.-</w:t>
      </w:r>
      <w:r>
        <w:rPr>
          <w:rFonts w:ascii="Arial" w:hAnsi="Arial"/>
          <w:b/>
          <w:spacing w:val="-7"/>
          <w:sz w:val="20"/>
        </w:rPr>
        <w:t> </w:t>
      </w:r>
      <w:r>
        <w:rPr>
          <w:sz w:val="20"/>
        </w:rPr>
        <w:t>La</w:t>
      </w:r>
      <w:r>
        <w:rPr>
          <w:spacing w:val="-7"/>
          <w:sz w:val="20"/>
        </w:rPr>
        <w:t> </w:t>
      </w:r>
      <w:r>
        <w:rPr>
          <w:sz w:val="20"/>
        </w:rPr>
        <w:t>prescripción</w:t>
      </w:r>
      <w:r>
        <w:rPr>
          <w:spacing w:val="-7"/>
          <w:sz w:val="20"/>
        </w:rPr>
        <w:t> </w:t>
      </w:r>
      <w:r>
        <w:rPr>
          <w:sz w:val="20"/>
        </w:rPr>
        <w:t>no</w:t>
      </w:r>
      <w:r>
        <w:rPr>
          <w:spacing w:val="-6"/>
          <w:sz w:val="20"/>
        </w:rPr>
        <w:t> </w:t>
      </w:r>
      <w:r>
        <w:rPr>
          <w:sz w:val="20"/>
        </w:rPr>
        <w:t>puede</w:t>
      </w:r>
      <w:r>
        <w:rPr>
          <w:spacing w:val="-8"/>
          <w:sz w:val="20"/>
        </w:rPr>
        <w:t> </w:t>
      </w:r>
      <w:r>
        <w:rPr>
          <w:sz w:val="20"/>
        </w:rPr>
        <w:t>comenzar</w:t>
      </w:r>
      <w:r>
        <w:rPr>
          <w:spacing w:val="-5"/>
          <w:sz w:val="20"/>
        </w:rPr>
        <w:t> </w:t>
      </w:r>
      <w:r>
        <w:rPr>
          <w:sz w:val="20"/>
        </w:rPr>
        <w:t>ni</w:t>
      </w:r>
      <w:r>
        <w:rPr>
          <w:spacing w:val="-7"/>
          <w:sz w:val="20"/>
        </w:rPr>
        <w:t> </w:t>
      </w:r>
      <w:r>
        <w:rPr>
          <w:spacing w:val="-2"/>
          <w:sz w:val="20"/>
        </w:rPr>
        <w:t>correr:</w:t>
      </w:r>
    </w:p>
    <w:p>
      <w:pPr>
        <w:pStyle w:val="BodyText"/>
      </w:pPr>
    </w:p>
    <w:p>
      <w:pPr>
        <w:pStyle w:val="ListParagraph"/>
        <w:numPr>
          <w:ilvl w:val="0"/>
          <w:numId w:val="211"/>
        </w:numPr>
        <w:tabs>
          <w:tab w:pos="1195" w:val="left" w:leader="none"/>
        </w:tabs>
        <w:spacing w:line="240" w:lineRule="auto" w:before="1" w:after="0"/>
        <w:ind w:left="1195" w:right="0" w:hanging="569"/>
        <w:jc w:val="left"/>
        <w:rPr>
          <w:sz w:val="20"/>
        </w:rPr>
      </w:pPr>
      <w:r>
        <w:rPr>
          <w:sz w:val="20"/>
        </w:rPr>
        <w:t>Contra</w:t>
      </w:r>
      <w:r>
        <w:rPr>
          <w:spacing w:val="-5"/>
          <w:sz w:val="20"/>
        </w:rPr>
        <w:t> </w:t>
      </w:r>
      <w:r>
        <w:rPr>
          <w:sz w:val="20"/>
        </w:rPr>
        <w:t>los</w:t>
      </w:r>
      <w:r>
        <w:rPr>
          <w:spacing w:val="-4"/>
          <w:sz w:val="20"/>
        </w:rPr>
        <w:t> </w:t>
      </w:r>
      <w:r>
        <w:rPr>
          <w:sz w:val="20"/>
        </w:rPr>
        <w:t>incapaces</w:t>
      </w:r>
      <w:r>
        <w:rPr>
          <w:spacing w:val="-6"/>
          <w:sz w:val="20"/>
        </w:rPr>
        <w:t> </w:t>
      </w:r>
      <w:r>
        <w:rPr>
          <w:sz w:val="20"/>
        </w:rPr>
        <w:t>mentales,</w:t>
      </w:r>
      <w:r>
        <w:rPr>
          <w:spacing w:val="-7"/>
          <w:sz w:val="20"/>
        </w:rPr>
        <w:t> </w:t>
      </w:r>
      <w:r>
        <w:rPr>
          <w:sz w:val="20"/>
        </w:rPr>
        <w:t>sino</w:t>
      </w:r>
      <w:r>
        <w:rPr>
          <w:spacing w:val="-7"/>
          <w:sz w:val="20"/>
        </w:rPr>
        <w:t> </w:t>
      </w:r>
      <w:r>
        <w:rPr>
          <w:sz w:val="20"/>
        </w:rPr>
        <w:t>cuando</w:t>
      </w:r>
      <w:r>
        <w:rPr>
          <w:spacing w:val="-7"/>
          <w:sz w:val="20"/>
        </w:rPr>
        <w:t> </w:t>
      </w:r>
      <w:r>
        <w:rPr>
          <w:sz w:val="20"/>
        </w:rPr>
        <w:t>se</w:t>
      </w:r>
      <w:r>
        <w:rPr>
          <w:spacing w:val="-7"/>
          <w:sz w:val="20"/>
        </w:rPr>
        <w:t> </w:t>
      </w:r>
      <w:r>
        <w:rPr>
          <w:sz w:val="20"/>
        </w:rPr>
        <w:t>haya</w:t>
      </w:r>
      <w:r>
        <w:rPr>
          <w:spacing w:val="-3"/>
          <w:sz w:val="20"/>
        </w:rPr>
        <w:t> </w:t>
      </w:r>
      <w:r>
        <w:rPr>
          <w:sz w:val="20"/>
        </w:rPr>
        <w:t>discernido</w:t>
      </w:r>
      <w:r>
        <w:rPr>
          <w:spacing w:val="-7"/>
          <w:sz w:val="20"/>
        </w:rPr>
        <w:t> </w:t>
      </w:r>
      <w:r>
        <w:rPr>
          <w:sz w:val="20"/>
        </w:rPr>
        <w:t>su</w:t>
      </w:r>
      <w:r>
        <w:rPr>
          <w:spacing w:val="-7"/>
          <w:sz w:val="20"/>
        </w:rPr>
        <w:t> </w:t>
      </w:r>
      <w:r>
        <w:rPr>
          <w:sz w:val="20"/>
        </w:rPr>
        <w:t>tutela</w:t>
      </w:r>
      <w:r>
        <w:rPr>
          <w:spacing w:val="-7"/>
          <w:sz w:val="20"/>
        </w:rPr>
        <w:t> </w:t>
      </w:r>
      <w:r>
        <w:rPr>
          <w:sz w:val="20"/>
        </w:rPr>
        <w:t>conforme</w:t>
      </w:r>
      <w:r>
        <w:rPr>
          <w:spacing w:val="-6"/>
          <w:sz w:val="20"/>
        </w:rPr>
        <w:t> </w:t>
      </w:r>
      <w:r>
        <w:rPr>
          <w:sz w:val="20"/>
        </w:rPr>
        <w:t>a</w:t>
      </w:r>
      <w:r>
        <w:rPr>
          <w:spacing w:val="-8"/>
          <w:sz w:val="20"/>
        </w:rPr>
        <w:t> </w:t>
      </w:r>
      <w:r>
        <w:rPr>
          <w:sz w:val="20"/>
        </w:rPr>
        <w:t>la</w:t>
      </w:r>
      <w:r>
        <w:rPr>
          <w:spacing w:val="-6"/>
          <w:sz w:val="20"/>
        </w:rPr>
        <w:t> </w:t>
      </w:r>
      <w:r>
        <w:rPr>
          <w:sz w:val="20"/>
        </w:rPr>
        <w:t>ley;</w:t>
      </w:r>
      <w:r>
        <w:rPr>
          <w:spacing w:val="-3"/>
          <w:sz w:val="20"/>
        </w:rPr>
        <w:t> </w:t>
      </w:r>
      <w:r>
        <w:rPr>
          <w:spacing w:val="-10"/>
          <w:sz w:val="20"/>
        </w:rPr>
        <w:t>y</w:t>
      </w:r>
    </w:p>
    <w:p>
      <w:pPr>
        <w:pStyle w:val="BodyText"/>
      </w:pPr>
    </w:p>
    <w:p>
      <w:pPr>
        <w:pStyle w:val="ListParagraph"/>
        <w:numPr>
          <w:ilvl w:val="0"/>
          <w:numId w:val="211"/>
        </w:numPr>
        <w:tabs>
          <w:tab w:pos="1195" w:val="left" w:leader="none"/>
        </w:tabs>
        <w:spacing w:line="240" w:lineRule="auto" w:before="0" w:after="0"/>
        <w:ind w:left="1195" w:right="0" w:hanging="569"/>
        <w:jc w:val="left"/>
        <w:rPr>
          <w:sz w:val="20"/>
        </w:rPr>
      </w:pPr>
      <w:r>
        <w:rPr>
          <w:sz w:val="20"/>
        </w:rPr>
        <w:t>Contra</w:t>
      </w:r>
      <w:r>
        <w:rPr>
          <w:spacing w:val="-6"/>
          <w:sz w:val="20"/>
        </w:rPr>
        <w:t> </w:t>
      </w:r>
      <w:r>
        <w:rPr>
          <w:sz w:val="20"/>
        </w:rPr>
        <w:t>los</w:t>
      </w:r>
      <w:r>
        <w:rPr>
          <w:spacing w:val="-6"/>
          <w:sz w:val="20"/>
        </w:rPr>
        <w:t> </w:t>
      </w:r>
      <w:r>
        <w:rPr>
          <w:sz w:val="20"/>
        </w:rPr>
        <w:t>trabajadores</w:t>
      </w:r>
      <w:r>
        <w:rPr>
          <w:spacing w:val="-4"/>
          <w:sz w:val="20"/>
        </w:rPr>
        <w:t> </w:t>
      </w:r>
      <w:r>
        <w:rPr>
          <w:sz w:val="20"/>
        </w:rPr>
        <w:t>incorporados</w:t>
      </w:r>
      <w:r>
        <w:rPr>
          <w:spacing w:val="-6"/>
          <w:sz w:val="20"/>
        </w:rPr>
        <w:t> </w:t>
      </w:r>
      <w:r>
        <w:rPr>
          <w:sz w:val="20"/>
        </w:rPr>
        <w:t>al</w:t>
      </w:r>
      <w:r>
        <w:rPr>
          <w:spacing w:val="-9"/>
          <w:sz w:val="20"/>
        </w:rPr>
        <w:t> </w:t>
      </w:r>
      <w:r>
        <w:rPr>
          <w:sz w:val="20"/>
        </w:rPr>
        <w:t>servicio</w:t>
      </w:r>
      <w:r>
        <w:rPr>
          <w:spacing w:val="-7"/>
          <w:sz w:val="20"/>
        </w:rPr>
        <w:t> </w:t>
      </w:r>
      <w:r>
        <w:rPr>
          <w:sz w:val="20"/>
        </w:rPr>
        <w:t>militar</w:t>
      </w:r>
      <w:r>
        <w:rPr>
          <w:spacing w:val="-7"/>
          <w:sz w:val="20"/>
        </w:rPr>
        <w:t> </w:t>
      </w:r>
      <w:r>
        <w:rPr>
          <w:sz w:val="20"/>
        </w:rPr>
        <w:t>en</w:t>
      </w:r>
      <w:r>
        <w:rPr>
          <w:spacing w:val="-7"/>
          <w:sz w:val="20"/>
        </w:rPr>
        <w:t> </w:t>
      </w:r>
      <w:r>
        <w:rPr>
          <w:sz w:val="20"/>
        </w:rPr>
        <w:t>tiempo</w:t>
      </w:r>
      <w:r>
        <w:rPr>
          <w:spacing w:val="-8"/>
          <w:sz w:val="20"/>
        </w:rPr>
        <w:t> </w:t>
      </w:r>
      <w:r>
        <w:rPr>
          <w:sz w:val="20"/>
        </w:rPr>
        <w:t>de</w:t>
      </w:r>
      <w:r>
        <w:rPr>
          <w:spacing w:val="-7"/>
          <w:sz w:val="20"/>
        </w:rPr>
        <w:t> </w:t>
      </w:r>
      <w:r>
        <w:rPr>
          <w:spacing w:val="-2"/>
          <w:sz w:val="20"/>
        </w:rPr>
        <w:t>guerra.</w:t>
      </w:r>
    </w:p>
    <w:p>
      <w:pPr>
        <w:spacing w:before="229"/>
        <w:ind w:left="626" w:right="0" w:firstLine="0"/>
        <w:jc w:val="left"/>
        <w:rPr>
          <w:sz w:val="20"/>
        </w:rPr>
      </w:pPr>
      <w:bookmarkStart w:name="Artículo_521" w:id="662"/>
      <w:bookmarkEnd w:id="662"/>
      <w:r>
        <w:rPr/>
      </w:r>
      <w:r>
        <w:rPr>
          <w:rFonts w:ascii="Arial" w:hAnsi="Arial"/>
          <w:b/>
          <w:sz w:val="20"/>
        </w:rPr>
        <w:t>Artículo</w:t>
      </w:r>
      <w:r>
        <w:rPr>
          <w:rFonts w:ascii="Arial" w:hAnsi="Arial"/>
          <w:b/>
          <w:spacing w:val="-7"/>
          <w:sz w:val="20"/>
        </w:rPr>
        <w:t> </w:t>
      </w:r>
      <w:r>
        <w:rPr>
          <w:rFonts w:ascii="Arial" w:hAnsi="Arial"/>
          <w:b/>
          <w:sz w:val="20"/>
        </w:rPr>
        <w:t>521.-</w:t>
      </w:r>
      <w:r>
        <w:rPr>
          <w:rFonts w:ascii="Arial" w:hAnsi="Arial"/>
          <w:b/>
          <w:spacing w:val="-6"/>
          <w:sz w:val="20"/>
        </w:rPr>
        <w:t> </w:t>
      </w:r>
      <w:r>
        <w:rPr>
          <w:sz w:val="20"/>
        </w:rPr>
        <w:t>La</w:t>
      </w:r>
      <w:r>
        <w:rPr>
          <w:spacing w:val="-7"/>
          <w:sz w:val="20"/>
        </w:rPr>
        <w:t> </w:t>
      </w:r>
      <w:r>
        <w:rPr>
          <w:sz w:val="20"/>
        </w:rPr>
        <w:t>prescripción</w:t>
      </w:r>
      <w:r>
        <w:rPr>
          <w:spacing w:val="-8"/>
          <w:sz w:val="20"/>
        </w:rPr>
        <w:t> </w:t>
      </w:r>
      <w:r>
        <w:rPr>
          <w:sz w:val="20"/>
        </w:rPr>
        <w:t>se</w:t>
      </w:r>
      <w:r>
        <w:rPr>
          <w:spacing w:val="-6"/>
          <w:sz w:val="20"/>
        </w:rPr>
        <w:t> </w:t>
      </w:r>
      <w:r>
        <w:rPr>
          <w:spacing w:val="-2"/>
          <w:sz w:val="20"/>
        </w:rPr>
        <w:t>interrumpe:</w:t>
      </w:r>
    </w:p>
    <w:p>
      <w:pPr>
        <w:pStyle w:val="BodyText"/>
        <w:spacing w:before="1"/>
      </w:pPr>
    </w:p>
    <w:p>
      <w:pPr>
        <w:pStyle w:val="ListParagraph"/>
        <w:numPr>
          <w:ilvl w:val="0"/>
          <w:numId w:val="212"/>
        </w:numPr>
        <w:tabs>
          <w:tab w:pos="1193" w:val="left" w:leader="none"/>
          <w:tab w:pos="1195" w:val="left" w:leader="none"/>
        </w:tabs>
        <w:spacing w:line="240" w:lineRule="auto" w:before="0" w:after="0"/>
        <w:ind w:left="1195" w:right="333" w:hanging="569"/>
        <w:jc w:val="both"/>
        <w:rPr>
          <w:sz w:val="20"/>
        </w:rPr>
      </w:pPr>
      <w:r>
        <w:rPr>
          <w:sz w:val="20"/>
        </w:rPr>
        <w:t>Por la sola presentación de la demanda o de cualquiera promoción ante el Tribunal, independientemente de la fecha de la notificación. Si quien promueve omitió agotar el procedimiento de conciliación no estando eximido de hacerlo, el Tribunal sin fijar competencia sobre el asunto lo remitirá a la Autoridad Conciliadora competente para que inicie el procedimiento de conciliación establecido en el Título Trece Bis de esta Ley. No es obstáculo para la interrupción que el Tribunal sea incompetente;</w:t>
      </w:r>
    </w:p>
    <w:p>
      <w:pPr>
        <w:spacing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12"/>
        </w:numPr>
        <w:tabs>
          <w:tab w:pos="1192" w:val="left" w:leader="none"/>
          <w:tab w:pos="1195" w:val="left" w:leader="none"/>
        </w:tabs>
        <w:spacing w:line="242" w:lineRule="auto" w:before="0" w:after="0"/>
        <w:ind w:left="1195" w:right="345" w:hanging="569"/>
        <w:jc w:val="both"/>
        <w:rPr>
          <w:sz w:val="20"/>
        </w:rPr>
      </w:pPr>
      <w:r>
        <w:rPr>
          <w:sz w:val="20"/>
        </w:rPr>
        <w:t>Si la persona a cuyo favor corre la prescripción reconoce el derecho de aquella contra quien prescribe, de palabra, por escrito o por hechos indudables.</w:t>
      </w:r>
    </w:p>
    <w:p>
      <w:pPr>
        <w:pStyle w:val="ListParagraph"/>
        <w:numPr>
          <w:ilvl w:val="0"/>
          <w:numId w:val="212"/>
        </w:numPr>
        <w:tabs>
          <w:tab w:pos="1191" w:val="left" w:leader="none"/>
          <w:tab w:pos="1195" w:val="left" w:leader="none"/>
        </w:tabs>
        <w:spacing w:line="240" w:lineRule="auto" w:before="227" w:after="0"/>
        <w:ind w:left="1195" w:right="338" w:hanging="569"/>
        <w:jc w:val="both"/>
        <w:rPr>
          <w:sz w:val="20"/>
        </w:rPr>
      </w:pPr>
      <w:r>
        <w:rPr>
          <w:sz w:val="20"/>
        </w:rPr>
        <w:t>Por la presentación de la solicitud de conciliación a que se refiere el artículo 684-B de esta Ley. La interrupción de la prescripción cesará a partir del día siguiente en que el Centro de Conciliación expida la constancia de no conciliación o en su caso, se determine el archivo del expediente por falta de interés de parte. No es obstáculo para la interrupción que la Autoridad Conciliadora ante la que se promovió sea incompetente.</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8" w:firstLine="288"/>
        <w:jc w:val="both"/>
      </w:pPr>
      <w:bookmarkStart w:name="Artículo_522" w:id="663"/>
      <w:bookmarkEnd w:id="663"/>
      <w:r>
        <w:rPr/>
      </w:r>
      <w:r>
        <w:rPr>
          <w:rFonts w:ascii="Arial" w:hAnsi="Arial"/>
          <w:b/>
        </w:rPr>
        <w:t>Artículo 522.- </w:t>
      </w:r>
      <w:r>
        <w:rPr/>
        <w:t>Para los efectos de la prescripción, los meses se regularán por el número de días que les corresponda. El primer día se contará completo, aún cuando no lo sea, pero el último debe ser completo y cuando sea feriado, no se tendrá por completa la prescripción sino cumplido el primero útil </w:t>
      </w:r>
      <w:r>
        <w:rPr>
          <w:spacing w:val="-2"/>
        </w:rPr>
        <w:t>siguiente.</w:t>
      </w:r>
    </w:p>
    <w:p>
      <w:pPr>
        <w:pStyle w:val="Heading1"/>
        <w:spacing w:line="252" w:lineRule="exact" w:before="228"/>
        <w:ind w:left="0" w:right="4290"/>
        <w:jc w:val="right"/>
      </w:pPr>
      <w:r>
        <w:rPr/>
        <w:t>TITULO</w:t>
      </w:r>
      <w:r>
        <w:rPr>
          <w:spacing w:val="-6"/>
        </w:rPr>
        <w:t> </w:t>
      </w:r>
      <w:r>
        <w:rPr>
          <w:spacing w:val="-4"/>
        </w:rPr>
        <w:t>ONCE</w:t>
      </w:r>
    </w:p>
    <w:p>
      <w:pPr>
        <w:spacing w:line="252" w:lineRule="exact" w:before="0"/>
        <w:ind w:left="298" w:right="296" w:firstLine="0"/>
        <w:jc w:val="center"/>
        <w:rPr>
          <w:rFonts w:ascii="Arial"/>
          <w:b/>
          <w:sz w:val="22"/>
        </w:rPr>
      </w:pPr>
      <w:r>
        <w:rPr>
          <w:rFonts w:ascii="Arial"/>
          <w:b/>
          <w:sz w:val="22"/>
        </w:rPr>
        <w:t>Autoridades</w:t>
      </w:r>
      <w:r>
        <w:rPr>
          <w:rFonts w:ascii="Arial"/>
          <w:b/>
          <w:spacing w:val="-5"/>
          <w:sz w:val="22"/>
        </w:rPr>
        <w:t> </w:t>
      </w:r>
      <w:r>
        <w:rPr>
          <w:rFonts w:ascii="Arial"/>
          <w:b/>
          <w:sz w:val="22"/>
        </w:rPr>
        <w:t>del</w:t>
      </w:r>
      <w:r>
        <w:rPr>
          <w:rFonts w:ascii="Arial"/>
          <w:b/>
          <w:spacing w:val="-6"/>
          <w:sz w:val="22"/>
        </w:rPr>
        <w:t> </w:t>
      </w:r>
      <w:r>
        <w:rPr>
          <w:rFonts w:ascii="Arial"/>
          <w:b/>
          <w:sz w:val="22"/>
        </w:rPr>
        <w:t>Trabajo</w:t>
      </w:r>
      <w:r>
        <w:rPr>
          <w:rFonts w:ascii="Arial"/>
          <w:b/>
          <w:spacing w:val="-5"/>
          <w:sz w:val="22"/>
        </w:rPr>
        <w:t> </w:t>
      </w:r>
      <w:r>
        <w:rPr>
          <w:rFonts w:ascii="Arial"/>
          <w:b/>
          <w:sz w:val="22"/>
        </w:rPr>
        <w:t>y</w:t>
      </w:r>
      <w:r>
        <w:rPr>
          <w:rFonts w:ascii="Arial"/>
          <w:b/>
          <w:spacing w:val="-9"/>
          <w:sz w:val="22"/>
        </w:rPr>
        <w:t> </w:t>
      </w:r>
      <w:r>
        <w:rPr>
          <w:rFonts w:ascii="Arial"/>
          <w:b/>
          <w:sz w:val="22"/>
        </w:rPr>
        <w:t>Servicios</w:t>
      </w:r>
      <w:r>
        <w:rPr>
          <w:rFonts w:ascii="Arial"/>
          <w:b/>
          <w:spacing w:val="-4"/>
          <w:sz w:val="22"/>
        </w:rPr>
        <w:t> </w:t>
      </w:r>
      <w:r>
        <w:rPr>
          <w:rFonts w:ascii="Arial"/>
          <w:b/>
          <w:spacing w:val="-2"/>
          <w:sz w:val="22"/>
        </w:rPr>
        <w:t>Sociales</w:t>
      </w:r>
    </w:p>
    <w:p>
      <w:pPr>
        <w:pStyle w:val="BodyText"/>
        <w:rPr>
          <w:rFonts w:ascii="Arial"/>
          <w:b/>
          <w:sz w:val="22"/>
        </w:rPr>
      </w:pPr>
    </w:p>
    <w:p>
      <w:pPr>
        <w:pStyle w:val="Heading1"/>
        <w:spacing w:line="252" w:lineRule="exact"/>
        <w:ind w:left="0" w:right="4270"/>
        <w:jc w:val="right"/>
      </w:pPr>
      <w:r>
        <w:rPr/>
        <w:t>CAPITULO</w:t>
      </w:r>
      <w:r>
        <w:rPr>
          <w:spacing w:val="-9"/>
        </w:rPr>
        <w:t> </w:t>
      </w:r>
      <w:r>
        <w:rPr>
          <w:spacing w:val="-12"/>
        </w:rPr>
        <w:t>I</w:t>
      </w:r>
    </w:p>
    <w:p>
      <w:pPr>
        <w:pStyle w:val="Heading2"/>
        <w:spacing w:line="252" w:lineRule="exact"/>
        <w:ind w:left="287" w:right="0"/>
      </w:pPr>
      <w:r>
        <w:rPr/>
        <w:t>Disposiciones</w:t>
      </w:r>
      <w:r>
        <w:rPr>
          <w:spacing w:val="-12"/>
        </w:rPr>
        <w:t> </w:t>
      </w:r>
      <w:r>
        <w:rPr>
          <w:spacing w:val="-2"/>
        </w:rPr>
        <w:t>generales</w:t>
      </w:r>
    </w:p>
    <w:p>
      <w:pPr>
        <w:pStyle w:val="BodyText"/>
        <w:spacing w:before="235"/>
        <w:ind w:left="626"/>
      </w:pPr>
      <w:bookmarkStart w:name="Artículo_523" w:id="664"/>
      <w:bookmarkEnd w:id="664"/>
      <w:r>
        <w:rPr/>
      </w:r>
      <w:r>
        <w:rPr>
          <w:rFonts w:ascii="Arial" w:hAnsi="Arial"/>
          <w:b/>
        </w:rPr>
        <w:t>Artículo</w:t>
      </w:r>
      <w:r>
        <w:rPr>
          <w:rFonts w:ascii="Arial" w:hAnsi="Arial"/>
          <w:b/>
          <w:spacing w:val="-6"/>
        </w:rPr>
        <w:t> </w:t>
      </w:r>
      <w:r>
        <w:rPr>
          <w:rFonts w:ascii="Arial" w:hAnsi="Arial"/>
          <w:b/>
        </w:rPr>
        <w:t>523.-</w:t>
      </w:r>
      <w:r>
        <w:rPr>
          <w:rFonts w:ascii="Arial" w:hAnsi="Arial"/>
          <w:b/>
          <w:spacing w:val="-6"/>
        </w:rPr>
        <w:t> </w:t>
      </w:r>
      <w:r>
        <w:rPr/>
        <w:t>La</w:t>
      </w:r>
      <w:r>
        <w:rPr>
          <w:spacing w:val="-7"/>
        </w:rPr>
        <w:t> </w:t>
      </w:r>
      <w:r>
        <w:rPr/>
        <w:t>aplicación</w:t>
      </w:r>
      <w:r>
        <w:rPr>
          <w:spacing w:val="-7"/>
        </w:rPr>
        <w:t> </w:t>
      </w:r>
      <w:r>
        <w:rPr/>
        <w:t>de</w:t>
      </w:r>
      <w:r>
        <w:rPr>
          <w:spacing w:val="-5"/>
        </w:rPr>
        <w:t> </w:t>
      </w:r>
      <w:r>
        <w:rPr/>
        <w:t>las</w:t>
      </w:r>
      <w:r>
        <w:rPr>
          <w:spacing w:val="-6"/>
        </w:rPr>
        <w:t> </w:t>
      </w:r>
      <w:r>
        <w:rPr/>
        <w:t>normas</w:t>
      </w:r>
      <w:r>
        <w:rPr>
          <w:spacing w:val="-5"/>
        </w:rPr>
        <w:t> </w:t>
      </w:r>
      <w:r>
        <w:rPr/>
        <w:t>de</w:t>
      </w:r>
      <w:r>
        <w:rPr>
          <w:spacing w:val="-8"/>
        </w:rPr>
        <w:t> </w:t>
      </w:r>
      <w:r>
        <w:rPr/>
        <w:t>trabajo</w:t>
      </w:r>
      <w:r>
        <w:rPr>
          <w:spacing w:val="-5"/>
        </w:rPr>
        <w:t> </w:t>
      </w:r>
      <w:r>
        <w:rPr/>
        <w:t>compete,</w:t>
      </w:r>
      <w:r>
        <w:rPr>
          <w:spacing w:val="-7"/>
        </w:rPr>
        <w:t> </w:t>
      </w:r>
      <w:r>
        <w:rPr/>
        <w:t>en</w:t>
      </w:r>
      <w:r>
        <w:rPr>
          <w:spacing w:val="-6"/>
        </w:rPr>
        <w:t> </w:t>
      </w:r>
      <w:r>
        <w:rPr/>
        <w:t>sus</w:t>
      </w:r>
      <w:r>
        <w:rPr>
          <w:spacing w:val="-6"/>
        </w:rPr>
        <w:t> </w:t>
      </w:r>
      <w:r>
        <w:rPr/>
        <w:t>respectivas</w:t>
      </w:r>
      <w:r>
        <w:rPr>
          <w:spacing w:val="-6"/>
        </w:rPr>
        <w:t> </w:t>
      </w:r>
      <w:r>
        <w:rPr>
          <w:spacing w:val="-2"/>
        </w:rPr>
        <w:t>jurisdicciones:</w:t>
      </w:r>
    </w:p>
    <w:p>
      <w:pPr>
        <w:pStyle w:val="ListParagraph"/>
        <w:numPr>
          <w:ilvl w:val="0"/>
          <w:numId w:val="213"/>
        </w:numPr>
        <w:tabs>
          <w:tab w:pos="1195" w:val="left" w:leader="none"/>
        </w:tabs>
        <w:spacing w:line="240" w:lineRule="auto" w:before="228" w:after="0"/>
        <w:ind w:left="1195" w:right="0" w:hanging="569"/>
        <w:jc w:val="left"/>
        <w:rPr>
          <w:sz w:val="20"/>
        </w:rPr>
      </w:pPr>
      <w:r>
        <w:rPr>
          <w:sz w:val="20"/>
        </w:rPr>
        <w:t>A</w:t>
      </w:r>
      <w:r>
        <w:rPr>
          <w:spacing w:val="-7"/>
          <w:sz w:val="20"/>
        </w:rPr>
        <w:t> </w:t>
      </w:r>
      <w:r>
        <w:rPr>
          <w:sz w:val="20"/>
        </w:rPr>
        <w:t>la</w:t>
      </w:r>
      <w:r>
        <w:rPr>
          <w:spacing w:val="-6"/>
          <w:sz w:val="20"/>
        </w:rPr>
        <w:t> </w:t>
      </w:r>
      <w:r>
        <w:rPr>
          <w:sz w:val="20"/>
        </w:rPr>
        <w:t>Secretaría</w:t>
      </w:r>
      <w:r>
        <w:rPr>
          <w:spacing w:val="-4"/>
          <w:sz w:val="20"/>
        </w:rPr>
        <w:t> </w:t>
      </w:r>
      <w:r>
        <w:rPr>
          <w:sz w:val="20"/>
        </w:rPr>
        <w:t>del</w:t>
      </w:r>
      <w:r>
        <w:rPr>
          <w:spacing w:val="-8"/>
          <w:sz w:val="20"/>
        </w:rPr>
        <w:t> </w:t>
      </w:r>
      <w:r>
        <w:rPr>
          <w:sz w:val="20"/>
        </w:rPr>
        <w:t>Trabajo</w:t>
      </w:r>
      <w:r>
        <w:rPr>
          <w:spacing w:val="-6"/>
          <w:sz w:val="20"/>
        </w:rPr>
        <w:t> </w:t>
      </w:r>
      <w:r>
        <w:rPr>
          <w:sz w:val="20"/>
        </w:rPr>
        <w:t>y</w:t>
      </w:r>
      <w:r>
        <w:rPr>
          <w:spacing w:val="-8"/>
          <w:sz w:val="20"/>
        </w:rPr>
        <w:t> </w:t>
      </w:r>
      <w:r>
        <w:rPr>
          <w:sz w:val="20"/>
        </w:rPr>
        <w:t>Previsión</w:t>
      </w:r>
      <w:r>
        <w:rPr>
          <w:spacing w:val="-6"/>
          <w:sz w:val="20"/>
        </w:rPr>
        <w:t> </w:t>
      </w:r>
      <w:r>
        <w:rPr>
          <w:spacing w:val="-2"/>
          <w:sz w:val="20"/>
        </w:rPr>
        <w:t>Social;</w:t>
      </w:r>
    </w:p>
    <w:p>
      <w:pPr>
        <w:pStyle w:val="BodyText"/>
        <w:spacing w:before="1"/>
      </w:pPr>
    </w:p>
    <w:p>
      <w:pPr>
        <w:pStyle w:val="ListParagraph"/>
        <w:numPr>
          <w:ilvl w:val="0"/>
          <w:numId w:val="213"/>
        </w:numPr>
        <w:tabs>
          <w:tab w:pos="1195" w:val="left" w:leader="none"/>
        </w:tabs>
        <w:spacing w:line="240" w:lineRule="auto" w:before="0" w:after="0"/>
        <w:ind w:left="1195" w:right="0" w:hanging="569"/>
        <w:jc w:val="left"/>
        <w:rPr>
          <w:sz w:val="20"/>
        </w:rPr>
      </w:pPr>
      <w:r>
        <w:rPr>
          <w:sz w:val="20"/>
        </w:rPr>
        <w:t>A</w:t>
      </w:r>
      <w:r>
        <w:rPr>
          <w:spacing w:val="-7"/>
          <w:sz w:val="20"/>
        </w:rPr>
        <w:t> </w:t>
      </w:r>
      <w:r>
        <w:rPr>
          <w:sz w:val="20"/>
        </w:rPr>
        <w:t>las</w:t>
      </w:r>
      <w:r>
        <w:rPr>
          <w:spacing w:val="-5"/>
          <w:sz w:val="20"/>
        </w:rPr>
        <w:t> </w:t>
      </w:r>
      <w:r>
        <w:rPr>
          <w:sz w:val="20"/>
        </w:rPr>
        <w:t>Secretarías</w:t>
      </w:r>
      <w:r>
        <w:rPr>
          <w:spacing w:val="-5"/>
          <w:sz w:val="20"/>
        </w:rPr>
        <w:t> </w:t>
      </w:r>
      <w:r>
        <w:rPr>
          <w:sz w:val="20"/>
        </w:rPr>
        <w:t>de</w:t>
      </w:r>
      <w:r>
        <w:rPr>
          <w:spacing w:val="-5"/>
          <w:sz w:val="20"/>
        </w:rPr>
        <w:t> </w:t>
      </w:r>
      <w:r>
        <w:rPr>
          <w:sz w:val="20"/>
        </w:rPr>
        <w:t>Hacienda</w:t>
      </w:r>
      <w:r>
        <w:rPr>
          <w:spacing w:val="-2"/>
          <w:sz w:val="20"/>
        </w:rPr>
        <w:t> </w:t>
      </w:r>
      <w:r>
        <w:rPr>
          <w:sz w:val="20"/>
        </w:rPr>
        <w:t>y</w:t>
      </w:r>
      <w:r>
        <w:rPr>
          <w:spacing w:val="-9"/>
          <w:sz w:val="20"/>
        </w:rPr>
        <w:t> </w:t>
      </w:r>
      <w:r>
        <w:rPr>
          <w:sz w:val="20"/>
        </w:rPr>
        <w:t>Crédito</w:t>
      </w:r>
      <w:r>
        <w:rPr>
          <w:spacing w:val="-6"/>
          <w:sz w:val="20"/>
        </w:rPr>
        <w:t> </w:t>
      </w:r>
      <w:r>
        <w:rPr>
          <w:sz w:val="20"/>
        </w:rPr>
        <w:t>Público</w:t>
      </w:r>
      <w:r>
        <w:rPr>
          <w:spacing w:val="-3"/>
          <w:sz w:val="20"/>
        </w:rPr>
        <w:t> </w:t>
      </w:r>
      <w:r>
        <w:rPr>
          <w:sz w:val="20"/>
        </w:rPr>
        <w:t>y</w:t>
      </w:r>
      <w:r>
        <w:rPr>
          <w:spacing w:val="-7"/>
          <w:sz w:val="20"/>
        </w:rPr>
        <w:t> </w:t>
      </w:r>
      <w:r>
        <w:rPr>
          <w:sz w:val="20"/>
        </w:rPr>
        <w:t>de</w:t>
      </w:r>
      <w:r>
        <w:rPr>
          <w:spacing w:val="-6"/>
          <w:sz w:val="20"/>
        </w:rPr>
        <w:t> </w:t>
      </w:r>
      <w:r>
        <w:rPr>
          <w:sz w:val="20"/>
        </w:rPr>
        <w:t>Educación</w:t>
      </w:r>
      <w:r>
        <w:rPr>
          <w:spacing w:val="-5"/>
          <w:sz w:val="20"/>
        </w:rPr>
        <w:t> </w:t>
      </w:r>
      <w:r>
        <w:rPr>
          <w:spacing w:val="-2"/>
          <w:sz w:val="20"/>
        </w:rPr>
        <w:t>Pública;</w:t>
      </w:r>
    </w:p>
    <w:p>
      <w:pPr>
        <w:pStyle w:val="BodyText"/>
        <w:spacing w:before="228"/>
        <w:ind w:left="626"/>
      </w:pPr>
      <w:r>
        <w:rPr>
          <w:rFonts w:ascii="Arial" w:hAnsi="Arial"/>
          <w:b/>
        </w:rPr>
        <w:t>II</w:t>
      </w:r>
      <w:r>
        <w:rPr>
          <w:rFonts w:ascii="Arial" w:hAnsi="Arial"/>
          <w:b/>
          <w:spacing w:val="-7"/>
        </w:rPr>
        <w:t> </w:t>
      </w:r>
      <w:r>
        <w:rPr>
          <w:rFonts w:ascii="Arial" w:hAnsi="Arial"/>
          <w:b/>
        </w:rPr>
        <w:t>Bis.</w:t>
      </w:r>
      <w:r>
        <w:rPr>
          <w:rFonts w:ascii="Arial" w:hAnsi="Arial"/>
          <w:b/>
          <w:spacing w:val="-6"/>
        </w:rPr>
        <w:t> </w:t>
      </w:r>
      <w:r>
        <w:rPr/>
        <w:t>Al</w:t>
      </w:r>
      <w:r>
        <w:rPr>
          <w:spacing w:val="-7"/>
        </w:rPr>
        <w:t> </w:t>
      </w:r>
      <w:r>
        <w:rPr/>
        <w:t>Centro</w:t>
      </w:r>
      <w:r>
        <w:rPr>
          <w:spacing w:val="-7"/>
        </w:rPr>
        <w:t> </w:t>
      </w:r>
      <w:r>
        <w:rPr/>
        <w:t>Federal</w:t>
      </w:r>
      <w:r>
        <w:rPr>
          <w:spacing w:val="-8"/>
        </w:rPr>
        <w:t> </w:t>
      </w:r>
      <w:r>
        <w:rPr/>
        <w:t>de</w:t>
      </w:r>
      <w:r>
        <w:rPr>
          <w:spacing w:val="-5"/>
        </w:rPr>
        <w:t> </w:t>
      </w:r>
      <w:r>
        <w:rPr/>
        <w:t>Conciliación</w:t>
      </w:r>
      <w:r>
        <w:rPr>
          <w:spacing w:val="-4"/>
        </w:rPr>
        <w:t> </w:t>
      </w:r>
      <w:r>
        <w:rPr/>
        <w:t>y</w:t>
      </w:r>
      <w:r>
        <w:rPr>
          <w:spacing w:val="-7"/>
        </w:rPr>
        <w:t> </w:t>
      </w:r>
      <w:r>
        <w:rPr/>
        <w:t>Registro</w:t>
      </w:r>
      <w:r>
        <w:rPr>
          <w:spacing w:val="-7"/>
        </w:rPr>
        <w:t> </w:t>
      </w:r>
      <w:r>
        <w:rPr>
          <w:spacing w:val="-2"/>
        </w:rPr>
        <w:t>Laboral;</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BodyText"/>
        <w:spacing w:line="229" w:lineRule="exact"/>
        <w:ind w:left="626"/>
      </w:pPr>
      <w:r>
        <w:rPr>
          <w:rFonts w:ascii="Arial" w:hAnsi="Arial"/>
          <w:b/>
        </w:rPr>
        <w:t>II</w:t>
      </w:r>
      <w:r>
        <w:rPr>
          <w:rFonts w:ascii="Arial" w:hAnsi="Arial"/>
          <w:b/>
          <w:spacing w:val="-6"/>
        </w:rPr>
        <w:t> </w:t>
      </w:r>
      <w:r>
        <w:rPr>
          <w:rFonts w:ascii="Arial" w:hAnsi="Arial"/>
          <w:b/>
        </w:rPr>
        <w:t>Ter.</w:t>
      </w:r>
      <w:r>
        <w:rPr>
          <w:rFonts w:ascii="Arial" w:hAnsi="Arial"/>
          <w:b/>
          <w:spacing w:val="-6"/>
        </w:rPr>
        <w:t> </w:t>
      </w:r>
      <w:r>
        <w:rPr/>
        <w:t>A</w:t>
      </w:r>
      <w:r>
        <w:rPr>
          <w:spacing w:val="-4"/>
        </w:rPr>
        <w:t> </w:t>
      </w:r>
      <w:r>
        <w:rPr/>
        <w:t>los</w:t>
      </w:r>
      <w:r>
        <w:rPr>
          <w:spacing w:val="-5"/>
        </w:rPr>
        <w:t> </w:t>
      </w:r>
      <w:r>
        <w:rPr/>
        <w:t>Centros</w:t>
      </w:r>
      <w:r>
        <w:rPr>
          <w:spacing w:val="-5"/>
        </w:rPr>
        <w:t> </w:t>
      </w:r>
      <w:r>
        <w:rPr/>
        <w:t>de</w:t>
      </w:r>
      <w:r>
        <w:rPr>
          <w:spacing w:val="-5"/>
        </w:rPr>
        <w:t> </w:t>
      </w:r>
      <w:r>
        <w:rPr/>
        <w:t>Conciliación</w:t>
      </w:r>
      <w:r>
        <w:rPr>
          <w:spacing w:val="-6"/>
        </w:rPr>
        <w:t> </w:t>
      </w:r>
      <w:r>
        <w:rPr/>
        <w:t>en</w:t>
      </w:r>
      <w:r>
        <w:rPr>
          <w:spacing w:val="-6"/>
        </w:rPr>
        <w:t> </w:t>
      </w:r>
      <w:r>
        <w:rPr/>
        <w:t>materia</w:t>
      </w:r>
      <w:r>
        <w:rPr>
          <w:spacing w:val="-6"/>
        </w:rPr>
        <w:t> </w:t>
      </w:r>
      <w:r>
        <w:rPr>
          <w:spacing w:val="-2"/>
        </w:rPr>
        <w:t>local;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3"/>
        <w:rPr>
          <w:rFonts w:ascii="Times New Roman"/>
          <w:i/>
        </w:rPr>
      </w:pPr>
    </w:p>
    <w:p>
      <w:pPr>
        <w:pStyle w:val="ListParagraph"/>
        <w:numPr>
          <w:ilvl w:val="0"/>
          <w:numId w:val="213"/>
        </w:numPr>
        <w:tabs>
          <w:tab w:pos="1195" w:val="left" w:leader="none"/>
        </w:tabs>
        <w:spacing w:line="242" w:lineRule="auto" w:before="0" w:after="0"/>
        <w:ind w:left="1195" w:right="344" w:hanging="569"/>
        <w:jc w:val="left"/>
        <w:rPr>
          <w:sz w:val="20"/>
        </w:rPr>
      </w:pPr>
      <w:r>
        <w:rPr>
          <w:sz w:val="20"/>
        </w:rPr>
        <w:t>A</w:t>
      </w:r>
      <w:r>
        <w:rPr>
          <w:spacing w:val="40"/>
          <w:sz w:val="20"/>
        </w:rPr>
        <w:t> </w:t>
      </w:r>
      <w:r>
        <w:rPr>
          <w:sz w:val="20"/>
        </w:rPr>
        <w:t>las</w:t>
      </w:r>
      <w:r>
        <w:rPr>
          <w:spacing w:val="40"/>
          <w:sz w:val="20"/>
        </w:rPr>
        <w:t> </w:t>
      </w:r>
      <w:r>
        <w:rPr>
          <w:sz w:val="20"/>
        </w:rPr>
        <w:t>autoridades</w:t>
      </w:r>
      <w:r>
        <w:rPr>
          <w:spacing w:val="40"/>
          <w:sz w:val="20"/>
        </w:rPr>
        <w:t> </w:t>
      </w:r>
      <w:r>
        <w:rPr>
          <w:sz w:val="20"/>
        </w:rPr>
        <w:t>de</w:t>
      </w:r>
      <w:r>
        <w:rPr>
          <w:spacing w:val="40"/>
          <w:sz w:val="20"/>
        </w:rPr>
        <w:t> </w:t>
      </w:r>
      <w:r>
        <w:rPr>
          <w:sz w:val="20"/>
        </w:rPr>
        <w:t>las</w:t>
      </w:r>
      <w:r>
        <w:rPr>
          <w:spacing w:val="40"/>
          <w:sz w:val="20"/>
        </w:rPr>
        <w:t> </w:t>
      </w:r>
      <w:r>
        <w:rPr>
          <w:sz w:val="20"/>
        </w:rPr>
        <w:t>Entidades</w:t>
      </w:r>
      <w:r>
        <w:rPr>
          <w:spacing w:val="40"/>
          <w:sz w:val="20"/>
        </w:rPr>
        <w:t> </w:t>
      </w:r>
      <w:r>
        <w:rPr>
          <w:sz w:val="20"/>
        </w:rPr>
        <w:t>Federativas,</w:t>
      </w:r>
      <w:r>
        <w:rPr>
          <w:spacing w:val="40"/>
          <w:sz w:val="20"/>
        </w:rPr>
        <w:t> </w:t>
      </w:r>
      <w:r>
        <w:rPr>
          <w:sz w:val="20"/>
        </w:rPr>
        <w:t>y</w:t>
      </w:r>
      <w:r>
        <w:rPr>
          <w:spacing w:val="40"/>
          <w:sz w:val="20"/>
        </w:rPr>
        <w:t> </w:t>
      </w:r>
      <w:r>
        <w:rPr>
          <w:sz w:val="20"/>
        </w:rPr>
        <w:t>a</w:t>
      </w:r>
      <w:r>
        <w:rPr>
          <w:spacing w:val="40"/>
          <w:sz w:val="20"/>
        </w:rPr>
        <w:t> </w:t>
      </w:r>
      <w:r>
        <w:rPr>
          <w:sz w:val="20"/>
        </w:rPr>
        <w:t>sus</w:t>
      </w:r>
      <w:r>
        <w:rPr>
          <w:spacing w:val="40"/>
          <w:sz w:val="20"/>
        </w:rPr>
        <w:t> </w:t>
      </w:r>
      <w:r>
        <w:rPr>
          <w:sz w:val="20"/>
        </w:rPr>
        <w:t>Direcciones</w:t>
      </w:r>
      <w:r>
        <w:rPr>
          <w:spacing w:val="40"/>
          <w:sz w:val="20"/>
        </w:rPr>
        <w:t> </w:t>
      </w:r>
      <w:r>
        <w:rPr>
          <w:sz w:val="20"/>
        </w:rPr>
        <w:t>o</w:t>
      </w:r>
      <w:r>
        <w:rPr>
          <w:spacing w:val="40"/>
          <w:sz w:val="20"/>
        </w:rPr>
        <w:t> </w:t>
      </w:r>
      <w:r>
        <w:rPr>
          <w:sz w:val="20"/>
        </w:rPr>
        <w:t>Departamentos</w:t>
      </w:r>
      <w:r>
        <w:rPr>
          <w:spacing w:val="40"/>
          <w:sz w:val="20"/>
        </w:rPr>
        <w:t> </w:t>
      </w:r>
      <w:r>
        <w:rPr>
          <w:sz w:val="20"/>
        </w:rPr>
        <w:t>de </w:t>
      </w:r>
      <w:r>
        <w:rPr>
          <w:spacing w:val="-2"/>
          <w:sz w:val="20"/>
        </w:rPr>
        <w:t>Trabajo;</w:t>
      </w:r>
    </w:p>
    <w:p>
      <w:pPr>
        <w:pStyle w:val="ListParagraph"/>
        <w:numPr>
          <w:ilvl w:val="0"/>
          <w:numId w:val="213"/>
        </w:numPr>
        <w:tabs>
          <w:tab w:pos="1195" w:val="left" w:leader="none"/>
        </w:tabs>
        <w:spacing w:line="240" w:lineRule="auto" w:before="227" w:after="0"/>
        <w:ind w:left="1195" w:right="0" w:hanging="569"/>
        <w:jc w:val="left"/>
        <w:rPr>
          <w:sz w:val="20"/>
        </w:rPr>
      </w:pPr>
      <w:r>
        <w:rPr>
          <w:sz w:val="20"/>
        </w:rPr>
        <w:t>A</w:t>
      </w:r>
      <w:r>
        <w:rPr>
          <w:spacing w:val="-6"/>
          <w:sz w:val="20"/>
        </w:rPr>
        <w:t> </w:t>
      </w:r>
      <w:r>
        <w:rPr>
          <w:sz w:val="20"/>
        </w:rPr>
        <w:t>la</w:t>
      </w:r>
      <w:r>
        <w:rPr>
          <w:spacing w:val="-5"/>
          <w:sz w:val="20"/>
        </w:rPr>
        <w:t> </w:t>
      </w:r>
      <w:r>
        <w:rPr>
          <w:sz w:val="20"/>
        </w:rPr>
        <w:t>Procuraduría</w:t>
      </w:r>
      <w:r>
        <w:rPr>
          <w:spacing w:val="-6"/>
          <w:sz w:val="20"/>
        </w:rPr>
        <w:t> </w:t>
      </w:r>
      <w:r>
        <w:rPr>
          <w:sz w:val="20"/>
        </w:rPr>
        <w:t>de</w:t>
      </w:r>
      <w:r>
        <w:rPr>
          <w:spacing w:val="-3"/>
          <w:sz w:val="20"/>
        </w:rPr>
        <w:t> </w:t>
      </w:r>
      <w:r>
        <w:rPr>
          <w:sz w:val="20"/>
        </w:rPr>
        <w:t>la</w:t>
      </w:r>
      <w:r>
        <w:rPr>
          <w:spacing w:val="-4"/>
          <w:sz w:val="20"/>
        </w:rPr>
        <w:t> </w:t>
      </w:r>
      <w:r>
        <w:rPr>
          <w:sz w:val="20"/>
        </w:rPr>
        <w:t>Defensa</w:t>
      </w:r>
      <w:r>
        <w:rPr>
          <w:spacing w:val="-5"/>
          <w:sz w:val="20"/>
        </w:rPr>
        <w:t> </w:t>
      </w:r>
      <w:r>
        <w:rPr>
          <w:sz w:val="20"/>
        </w:rPr>
        <w:t>del</w:t>
      </w:r>
      <w:r>
        <w:rPr>
          <w:spacing w:val="-7"/>
          <w:sz w:val="20"/>
        </w:rPr>
        <w:t> </w:t>
      </w:r>
      <w:r>
        <w:rPr>
          <w:spacing w:val="-2"/>
          <w:sz w:val="20"/>
        </w:rPr>
        <w:t>Trabajo;</w:t>
      </w:r>
    </w:p>
    <w:p>
      <w:pPr>
        <w:pStyle w:val="ListParagraph"/>
        <w:numPr>
          <w:ilvl w:val="0"/>
          <w:numId w:val="213"/>
        </w:numPr>
        <w:tabs>
          <w:tab w:pos="1195" w:val="left" w:leader="none"/>
        </w:tabs>
        <w:spacing w:line="240" w:lineRule="auto" w:before="228" w:after="0"/>
        <w:ind w:left="1195" w:right="0" w:hanging="569"/>
        <w:jc w:val="left"/>
        <w:rPr>
          <w:sz w:val="20"/>
        </w:rPr>
      </w:pPr>
      <w:r>
        <w:rPr>
          <w:sz w:val="20"/>
        </w:rPr>
        <w:t>Al</w:t>
      </w:r>
      <w:r>
        <w:rPr>
          <w:spacing w:val="-6"/>
          <w:sz w:val="20"/>
        </w:rPr>
        <w:t> </w:t>
      </w:r>
      <w:r>
        <w:rPr>
          <w:sz w:val="20"/>
        </w:rPr>
        <w:t>Servicio</w:t>
      </w:r>
      <w:r>
        <w:rPr>
          <w:spacing w:val="-7"/>
          <w:sz w:val="20"/>
        </w:rPr>
        <w:t> </w:t>
      </w:r>
      <w:r>
        <w:rPr>
          <w:sz w:val="20"/>
        </w:rPr>
        <w:t>Nacional</w:t>
      </w:r>
      <w:r>
        <w:rPr>
          <w:spacing w:val="-6"/>
          <w:sz w:val="20"/>
        </w:rPr>
        <w:t> </w:t>
      </w:r>
      <w:r>
        <w:rPr>
          <w:sz w:val="20"/>
        </w:rPr>
        <w:t>de</w:t>
      </w:r>
      <w:r>
        <w:rPr>
          <w:spacing w:val="-6"/>
          <w:sz w:val="20"/>
        </w:rPr>
        <w:t> </w:t>
      </w:r>
      <w:r>
        <w:rPr>
          <w:spacing w:val="-2"/>
          <w:sz w:val="20"/>
        </w:rPr>
        <w:t>Empleo;</w:t>
      </w:r>
    </w:p>
    <w:p>
      <w:pPr>
        <w:spacing w:before="1"/>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rPr>
      </w:pPr>
    </w:p>
    <w:p>
      <w:pPr>
        <w:pStyle w:val="ListParagraph"/>
        <w:numPr>
          <w:ilvl w:val="0"/>
          <w:numId w:val="213"/>
        </w:numPr>
        <w:tabs>
          <w:tab w:pos="1195" w:val="left" w:leader="none"/>
        </w:tabs>
        <w:spacing w:line="240" w:lineRule="auto" w:before="0" w:after="0"/>
        <w:ind w:left="1195" w:right="0" w:hanging="569"/>
        <w:jc w:val="left"/>
        <w:rPr>
          <w:sz w:val="20"/>
        </w:rPr>
      </w:pPr>
      <w:r>
        <w:rPr>
          <w:sz w:val="20"/>
        </w:rPr>
        <w:t>A</w:t>
      </w:r>
      <w:r>
        <w:rPr>
          <w:spacing w:val="-6"/>
          <w:sz w:val="20"/>
        </w:rPr>
        <w:t> </w:t>
      </w:r>
      <w:r>
        <w:rPr>
          <w:sz w:val="20"/>
        </w:rPr>
        <w:t>la</w:t>
      </w:r>
      <w:r>
        <w:rPr>
          <w:spacing w:val="-5"/>
          <w:sz w:val="20"/>
        </w:rPr>
        <w:t> </w:t>
      </w:r>
      <w:r>
        <w:rPr>
          <w:sz w:val="20"/>
        </w:rPr>
        <w:t>Inspección</w:t>
      </w:r>
      <w:r>
        <w:rPr>
          <w:spacing w:val="-4"/>
          <w:sz w:val="20"/>
        </w:rPr>
        <w:t> </w:t>
      </w:r>
      <w:r>
        <w:rPr>
          <w:sz w:val="20"/>
        </w:rPr>
        <w:t>del</w:t>
      </w:r>
      <w:r>
        <w:rPr>
          <w:spacing w:val="-7"/>
          <w:sz w:val="20"/>
        </w:rPr>
        <w:t> </w:t>
      </w:r>
      <w:r>
        <w:rPr>
          <w:spacing w:val="-2"/>
          <w:sz w:val="20"/>
        </w:rPr>
        <w:t>Trabajo;</w:t>
      </w:r>
    </w:p>
    <w:p>
      <w:pPr>
        <w:pStyle w:val="ListParagraph"/>
        <w:numPr>
          <w:ilvl w:val="0"/>
          <w:numId w:val="213"/>
        </w:numPr>
        <w:tabs>
          <w:tab w:pos="1195" w:val="left" w:leader="none"/>
        </w:tabs>
        <w:spacing w:line="240" w:lineRule="auto" w:before="228" w:after="0"/>
        <w:ind w:left="1195" w:right="0" w:hanging="569"/>
        <w:jc w:val="left"/>
        <w:rPr>
          <w:sz w:val="20"/>
        </w:rPr>
      </w:pPr>
      <w:r>
        <w:rPr>
          <w:sz w:val="20"/>
        </w:rPr>
        <w:t>A</w:t>
      </w:r>
      <w:r>
        <w:rPr>
          <w:spacing w:val="-7"/>
          <w:sz w:val="20"/>
        </w:rPr>
        <w:t> </w:t>
      </w:r>
      <w:r>
        <w:rPr>
          <w:sz w:val="20"/>
        </w:rPr>
        <w:t>la</w:t>
      </w:r>
      <w:r>
        <w:rPr>
          <w:spacing w:val="-6"/>
          <w:sz w:val="20"/>
        </w:rPr>
        <w:t> </w:t>
      </w:r>
      <w:r>
        <w:rPr>
          <w:sz w:val="20"/>
        </w:rPr>
        <w:t>Comisión</w:t>
      </w:r>
      <w:r>
        <w:rPr>
          <w:spacing w:val="-7"/>
          <w:sz w:val="20"/>
        </w:rPr>
        <w:t> </w:t>
      </w:r>
      <w:r>
        <w:rPr>
          <w:sz w:val="20"/>
        </w:rPr>
        <w:t>Nacional</w:t>
      </w:r>
      <w:r>
        <w:rPr>
          <w:spacing w:val="-7"/>
          <w:sz w:val="20"/>
        </w:rPr>
        <w:t> </w:t>
      </w:r>
      <w:r>
        <w:rPr>
          <w:sz w:val="20"/>
        </w:rPr>
        <w:t>de</w:t>
      </w:r>
      <w:r>
        <w:rPr>
          <w:spacing w:val="-4"/>
          <w:sz w:val="20"/>
        </w:rPr>
        <w:t> </w:t>
      </w:r>
      <w:r>
        <w:rPr>
          <w:sz w:val="20"/>
        </w:rPr>
        <w:t>los</w:t>
      </w:r>
      <w:r>
        <w:rPr>
          <w:spacing w:val="-5"/>
          <w:sz w:val="20"/>
        </w:rPr>
        <w:t> </w:t>
      </w:r>
      <w:r>
        <w:rPr>
          <w:sz w:val="20"/>
        </w:rPr>
        <w:t>Salarios</w:t>
      </w:r>
      <w:r>
        <w:rPr>
          <w:spacing w:val="-6"/>
          <w:sz w:val="20"/>
        </w:rPr>
        <w:t> </w:t>
      </w:r>
      <w:r>
        <w:rPr>
          <w:spacing w:val="-2"/>
          <w:sz w:val="20"/>
        </w:rPr>
        <w:t>Mínimos;</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2"/>
        <w:rPr>
          <w:rFonts w:ascii="Times New Roman"/>
          <w:i/>
        </w:rPr>
      </w:pPr>
    </w:p>
    <w:p>
      <w:pPr>
        <w:pStyle w:val="ListParagraph"/>
        <w:numPr>
          <w:ilvl w:val="0"/>
          <w:numId w:val="213"/>
        </w:numPr>
        <w:tabs>
          <w:tab w:pos="1195" w:val="left" w:leader="none"/>
        </w:tabs>
        <w:spacing w:line="240" w:lineRule="auto" w:before="0" w:after="0"/>
        <w:ind w:left="1195" w:right="336" w:hanging="569"/>
        <w:jc w:val="left"/>
        <w:rPr>
          <w:sz w:val="20"/>
        </w:rPr>
      </w:pPr>
      <w:r>
        <w:rPr>
          <w:sz w:val="20"/>
        </w:rPr>
        <w:t>A</w:t>
      </w:r>
      <w:r>
        <w:rPr>
          <w:spacing w:val="40"/>
          <w:sz w:val="20"/>
        </w:rPr>
        <w:t> </w:t>
      </w:r>
      <w:r>
        <w:rPr>
          <w:sz w:val="20"/>
        </w:rPr>
        <w:t>la</w:t>
      </w:r>
      <w:r>
        <w:rPr>
          <w:spacing w:val="40"/>
          <w:sz w:val="20"/>
        </w:rPr>
        <w:t> </w:t>
      </w:r>
      <w:r>
        <w:rPr>
          <w:sz w:val="20"/>
        </w:rPr>
        <w:t>Comisión</w:t>
      </w:r>
      <w:r>
        <w:rPr>
          <w:spacing w:val="40"/>
          <w:sz w:val="20"/>
        </w:rPr>
        <w:t> </w:t>
      </w:r>
      <w:r>
        <w:rPr>
          <w:sz w:val="20"/>
        </w:rPr>
        <w:t>Nacional</w:t>
      </w:r>
      <w:r>
        <w:rPr>
          <w:spacing w:val="40"/>
          <w:sz w:val="20"/>
        </w:rPr>
        <w:t> </w:t>
      </w:r>
      <w:r>
        <w:rPr>
          <w:sz w:val="20"/>
        </w:rPr>
        <w:t>para</w:t>
      </w:r>
      <w:r>
        <w:rPr>
          <w:spacing w:val="40"/>
          <w:sz w:val="20"/>
        </w:rPr>
        <w:t> </w:t>
      </w:r>
      <w:r>
        <w:rPr>
          <w:sz w:val="20"/>
        </w:rPr>
        <w:t>la</w:t>
      </w:r>
      <w:r>
        <w:rPr>
          <w:spacing w:val="40"/>
          <w:sz w:val="20"/>
        </w:rPr>
        <w:t> </w:t>
      </w:r>
      <w:r>
        <w:rPr>
          <w:sz w:val="20"/>
        </w:rPr>
        <w:t>Participación</w:t>
      </w:r>
      <w:r>
        <w:rPr>
          <w:spacing w:val="40"/>
          <w:sz w:val="20"/>
        </w:rPr>
        <w:t> </w:t>
      </w:r>
      <w:r>
        <w:rPr>
          <w:sz w:val="20"/>
        </w:rPr>
        <w:t>de</w:t>
      </w:r>
      <w:r>
        <w:rPr>
          <w:spacing w:val="40"/>
          <w:sz w:val="20"/>
        </w:rPr>
        <w:t> </w:t>
      </w:r>
      <w:r>
        <w:rPr>
          <w:sz w:val="20"/>
        </w:rPr>
        <w:t>los</w:t>
      </w:r>
      <w:r>
        <w:rPr>
          <w:spacing w:val="40"/>
          <w:sz w:val="20"/>
        </w:rPr>
        <w:t> </w:t>
      </w:r>
      <w:r>
        <w:rPr>
          <w:sz w:val="20"/>
        </w:rPr>
        <w:t>Trabajadores</w:t>
      </w:r>
      <w:r>
        <w:rPr>
          <w:spacing w:val="40"/>
          <w:sz w:val="20"/>
        </w:rPr>
        <w:t> </w:t>
      </w:r>
      <w:r>
        <w:rPr>
          <w:sz w:val="20"/>
        </w:rPr>
        <w:t>en</w:t>
      </w:r>
      <w:r>
        <w:rPr>
          <w:spacing w:val="40"/>
          <w:sz w:val="20"/>
        </w:rPr>
        <w:t> </w:t>
      </w:r>
      <w:r>
        <w:rPr>
          <w:sz w:val="20"/>
        </w:rPr>
        <w:t>las</w:t>
      </w:r>
      <w:r>
        <w:rPr>
          <w:spacing w:val="40"/>
          <w:sz w:val="20"/>
        </w:rPr>
        <w:t> </w:t>
      </w:r>
      <w:r>
        <w:rPr>
          <w:sz w:val="20"/>
        </w:rPr>
        <w:t>Utilidades</w:t>
      </w:r>
      <w:r>
        <w:rPr>
          <w:spacing w:val="40"/>
          <w:sz w:val="20"/>
        </w:rPr>
        <w:t> </w:t>
      </w:r>
      <w:r>
        <w:rPr>
          <w:sz w:val="20"/>
        </w:rPr>
        <w:t>de</w:t>
      </w:r>
      <w:r>
        <w:rPr>
          <w:spacing w:val="40"/>
          <w:sz w:val="20"/>
        </w:rPr>
        <w:t> </w:t>
      </w:r>
      <w:r>
        <w:rPr>
          <w:sz w:val="20"/>
        </w:rPr>
        <w:t>las </w:t>
      </w:r>
      <w:r>
        <w:rPr>
          <w:spacing w:val="-2"/>
          <w:sz w:val="20"/>
        </w:rPr>
        <w:t>Empresas;</w:t>
      </w:r>
    </w:p>
    <w:p>
      <w:pPr>
        <w:pStyle w:val="ListParagraph"/>
        <w:numPr>
          <w:ilvl w:val="0"/>
          <w:numId w:val="213"/>
        </w:numPr>
        <w:tabs>
          <w:tab w:pos="1195" w:val="left" w:leader="none"/>
        </w:tabs>
        <w:spacing w:line="240" w:lineRule="auto" w:before="229" w:after="0"/>
        <w:ind w:left="1195" w:right="0" w:hanging="569"/>
        <w:jc w:val="left"/>
        <w:rPr>
          <w:sz w:val="20"/>
        </w:rPr>
      </w:pP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ListParagraph"/>
        <w:numPr>
          <w:ilvl w:val="0"/>
          <w:numId w:val="213"/>
        </w:numPr>
        <w:tabs>
          <w:tab w:pos="1195" w:val="left" w:leader="none"/>
        </w:tabs>
        <w:spacing w:line="240" w:lineRule="auto" w:before="229" w:after="0"/>
        <w:ind w:left="1195" w:right="0" w:hanging="569"/>
        <w:jc w:val="left"/>
        <w:rPr>
          <w:sz w:val="20"/>
        </w:rPr>
      </w:pPr>
      <w:r>
        <w:rPr>
          <w:sz w:val="20"/>
        </w:rPr>
        <w:t>A</w:t>
      </w:r>
      <w:r>
        <w:rPr>
          <w:spacing w:val="-7"/>
          <w:sz w:val="20"/>
        </w:rPr>
        <w:t> </w:t>
      </w:r>
      <w:r>
        <w:rPr>
          <w:sz w:val="20"/>
        </w:rPr>
        <w:t>los</w:t>
      </w:r>
      <w:r>
        <w:rPr>
          <w:spacing w:val="-6"/>
          <w:sz w:val="20"/>
        </w:rPr>
        <w:t> </w:t>
      </w:r>
      <w:r>
        <w:rPr>
          <w:sz w:val="20"/>
        </w:rPr>
        <w:t>Tribunales</w:t>
      </w:r>
      <w:r>
        <w:rPr>
          <w:spacing w:val="-6"/>
          <w:sz w:val="20"/>
        </w:rPr>
        <w:t> </w:t>
      </w:r>
      <w:r>
        <w:rPr>
          <w:sz w:val="20"/>
        </w:rPr>
        <w:t>del</w:t>
      </w:r>
      <w:r>
        <w:rPr>
          <w:spacing w:val="-6"/>
          <w:sz w:val="20"/>
        </w:rPr>
        <w:t> </w:t>
      </w:r>
      <w:r>
        <w:rPr>
          <w:sz w:val="20"/>
        </w:rPr>
        <w:t>Poder</w:t>
      </w:r>
      <w:r>
        <w:rPr>
          <w:spacing w:val="-4"/>
          <w:sz w:val="20"/>
        </w:rPr>
        <w:t> </w:t>
      </w:r>
      <w:r>
        <w:rPr>
          <w:sz w:val="20"/>
        </w:rPr>
        <w:t>Judicial</w:t>
      </w:r>
      <w:r>
        <w:rPr>
          <w:spacing w:val="-7"/>
          <w:sz w:val="20"/>
        </w:rPr>
        <w:t> </w:t>
      </w:r>
      <w:r>
        <w:rPr>
          <w:sz w:val="20"/>
        </w:rPr>
        <w:t>de</w:t>
      </w:r>
      <w:r>
        <w:rPr>
          <w:spacing w:val="-7"/>
          <w:sz w:val="20"/>
        </w:rPr>
        <w:t> </w:t>
      </w:r>
      <w:r>
        <w:rPr>
          <w:sz w:val="20"/>
        </w:rPr>
        <w:t>la</w:t>
      </w:r>
      <w:r>
        <w:rPr>
          <w:spacing w:val="-7"/>
          <w:sz w:val="20"/>
        </w:rPr>
        <w:t> </w:t>
      </w:r>
      <w:r>
        <w:rPr>
          <w:sz w:val="20"/>
        </w:rPr>
        <w:t>Federación,</w:t>
      </w:r>
      <w:r>
        <w:rPr>
          <w:spacing w:val="-2"/>
          <w:sz w:val="20"/>
        </w:rPr>
        <w:t> </w:t>
      </w:r>
      <w:r>
        <w:rPr>
          <w:spacing w:val="-10"/>
          <w:sz w:val="20"/>
        </w:rPr>
        <w:t>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213"/>
        </w:numPr>
        <w:tabs>
          <w:tab w:pos="1195" w:val="left" w:leader="none"/>
        </w:tabs>
        <w:spacing w:line="229" w:lineRule="exact" w:before="0" w:after="0"/>
        <w:ind w:left="1195" w:right="0" w:hanging="569"/>
        <w:jc w:val="left"/>
        <w:rPr>
          <w:sz w:val="20"/>
        </w:rPr>
      </w:pPr>
      <w:r>
        <w:rPr>
          <w:sz w:val="20"/>
        </w:rPr>
        <w:t>A</w:t>
      </w:r>
      <w:r>
        <w:rPr>
          <w:spacing w:val="-7"/>
          <w:sz w:val="20"/>
        </w:rPr>
        <w:t> </w:t>
      </w:r>
      <w:r>
        <w:rPr>
          <w:sz w:val="20"/>
        </w:rPr>
        <w:t>los</w:t>
      </w:r>
      <w:r>
        <w:rPr>
          <w:spacing w:val="-7"/>
          <w:sz w:val="20"/>
        </w:rPr>
        <w:t> </w:t>
      </w:r>
      <w:r>
        <w:rPr>
          <w:sz w:val="20"/>
        </w:rPr>
        <w:t>Tribunales</w:t>
      </w:r>
      <w:r>
        <w:rPr>
          <w:spacing w:val="-6"/>
          <w:sz w:val="20"/>
        </w:rPr>
        <w:t> </w:t>
      </w:r>
      <w:r>
        <w:rPr>
          <w:sz w:val="20"/>
        </w:rPr>
        <w:t>de</w:t>
      </w:r>
      <w:r>
        <w:rPr>
          <w:spacing w:val="-5"/>
          <w:sz w:val="20"/>
        </w:rPr>
        <w:t> </w:t>
      </w:r>
      <w:r>
        <w:rPr>
          <w:sz w:val="20"/>
        </w:rPr>
        <w:t>las</w:t>
      </w:r>
      <w:r>
        <w:rPr>
          <w:spacing w:val="-4"/>
          <w:sz w:val="20"/>
        </w:rPr>
        <w:t> </w:t>
      </w:r>
      <w:r>
        <w:rPr>
          <w:sz w:val="20"/>
        </w:rPr>
        <w:t>Entidades</w:t>
      </w:r>
      <w:r>
        <w:rPr>
          <w:spacing w:val="-6"/>
          <w:sz w:val="20"/>
        </w:rPr>
        <w:t> </w:t>
      </w:r>
      <w:r>
        <w:rPr>
          <w:spacing w:val="-2"/>
          <w:sz w:val="20"/>
        </w:rPr>
        <w:t>Federativas.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2"/>
        <w:rPr>
          <w:rFonts w:ascii="Times New Roman"/>
          <w:i/>
        </w:rPr>
      </w:pPr>
    </w:p>
    <w:p>
      <w:pPr>
        <w:pStyle w:val="ListParagraph"/>
        <w:numPr>
          <w:ilvl w:val="0"/>
          <w:numId w:val="213"/>
        </w:numPr>
        <w:tabs>
          <w:tab w:pos="1195" w:val="left" w:leader="none"/>
        </w:tabs>
        <w:spacing w:line="240" w:lineRule="auto" w:before="0" w:after="0"/>
        <w:ind w:left="1195" w:right="0" w:hanging="569"/>
        <w:jc w:val="left"/>
        <w:rPr>
          <w:sz w:val="20"/>
        </w:rPr>
      </w:pP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line="242" w:lineRule="auto" w:before="230"/>
        <w:ind w:left="338" w:firstLine="288"/>
      </w:pPr>
      <w:bookmarkStart w:name="Artículo_524" w:id="665"/>
      <w:bookmarkEnd w:id="665"/>
      <w:r>
        <w:rPr/>
      </w:r>
      <w:r>
        <w:rPr>
          <w:rFonts w:ascii="Arial" w:hAnsi="Arial"/>
          <w:b/>
        </w:rPr>
        <w:t>Artículo</w:t>
      </w:r>
      <w:r>
        <w:rPr>
          <w:rFonts w:ascii="Arial" w:hAnsi="Arial"/>
          <w:b/>
          <w:spacing w:val="27"/>
        </w:rPr>
        <w:t> </w:t>
      </w:r>
      <w:r>
        <w:rPr>
          <w:rFonts w:ascii="Arial" w:hAnsi="Arial"/>
          <w:b/>
        </w:rPr>
        <w:t>524.-</w:t>
      </w:r>
      <w:r>
        <w:rPr>
          <w:rFonts w:ascii="Arial" w:hAnsi="Arial"/>
          <w:b/>
          <w:spacing w:val="28"/>
        </w:rPr>
        <w:t> </w:t>
      </w:r>
      <w:r>
        <w:rPr/>
        <w:t>La</w:t>
      </w:r>
      <w:r>
        <w:rPr>
          <w:spacing w:val="26"/>
        </w:rPr>
        <w:t> </w:t>
      </w:r>
      <w:r>
        <w:rPr/>
        <w:t>Secretaría</w:t>
      </w:r>
      <w:r>
        <w:rPr>
          <w:spacing w:val="26"/>
        </w:rPr>
        <w:t> </w:t>
      </w:r>
      <w:r>
        <w:rPr/>
        <w:t>del</w:t>
      </w:r>
      <w:r>
        <w:rPr>
          <w:spacing w:val="26"/>
        </w:rPr>
        <w:t> </w:t>
      </w:r>
      <w:r>
        <w:rPr/>
        <w:t>Trabajo</w:t>
      </w:r>
      <w:r>
        <w:rPr>
          <w:spacing w:val="29"/>
        </w:rPr>
        <w:t> </w:t>
      </w:r>
      <w:r>
        <w:rPr/>
        <w:t>y</w:t>
      </w:r>
      <w:r>
        <w:rPr>
          <w:spacing w:val="25"/>
        </w:rPr>
        <w:t> </w:t>
      </w:r>
      <w:r>
        <w:rPr/>
        <w:t>Previsión</w:t>
      </w:r>
      <w:r>
        <w:rPr>
          <w:spacing w:val="28"/>
        </w:rPr>
        <w:t> </w:t>
      </w:r>
      <w:r>
        <w:rPr/>
        <w:t>Social</w:t>
      </w:r>
      <w:r>
        <w:rPr>
          <w:spacing w:val="30"/>
        </w:rPr>
        <w:t> </w:t>
      </w:r>
      <w:r>
        <w:rPr/>
        <w:t>y</w:t>
      </w:r>
      <w:r>
        <w:rPr>
          <w:spacing w:val="24"/>
        </w:rPr>
        <w:t> </w:t>
      </w:r>
      <w:r>
        <w:rPr/>
        <w:t>los</w:t>
      </w:r>
      <w:r>
        <w:rPr>
          <w:spacing w:val="27"/>
        </w:rPr>
        <w:t> </w:t>
      </w:r>
      <w:r>
        <w:rPr/>
        <w:t>Departamentos</w:t>
      </w:r>
      <w:r>
        <w:rPr>
          <w:spacing w:val="29"/>
        </w:rPr>
        <w:t> </w:t>
      </w:r>
      <w:r>
        <w:rPr/>
        <w:t>y</w:t>
      </w:r>
      <w:r>
        <w:rPr>
          <w:spacing w:val="24"/>
        </w:rPr>
        <w:t> </w:t>
      </w:r>
      <w:r>
        <w:rPr/>
        <w:t>Direcciones</w:t>
      </w:r>
      <w:r>
        <w:rPr>
          <w:spacing w:val="27"/>
        </w:rPr>
        <w:t> </w:t>
      </w:r>
      <w:r>
        <w:rPr/>
        <w:t>del Trabajo tendrán las atribuciones que les asignen sus leyes orgánicas y las normas de trabajo.</w:t>
      </w:r>
    </w:p>
    <w:p>
      <w:pPr>
        <w:spacing w:before="226"/>
        <w:ind w:left="626" w:right="0" w:firstLine="0"/>
        <w:jc w:val="left"/>
        <w:rPr>
          <w:sz w:val="20"/>
        </w:rPr>
      </w:pPr>
      <w:bookmarkStart w:name="Artículo_525" w:id="666"/>
      <w:bookmarkEnd w:id="666"/>
      <w:r>
        <w:rPr/>
      </w:r>
      <w:r>
        <w:rPr>
          <w:rFonts w:ascii="Arial" w:hAnsi="Arial"/>
          <w:b/>
          <w:sz w:val="20"/>
        </w:rPr>
        <w:t>Artículo</w:t>
      </w:r>
      <w:r>
        <w:rPr>
          <w:rFonts w:ascii="Arial" w:hAnsi="Arial"/>
          <w:b/>
          <w:spacing w:val="-6"/>
          <w:sz w:val="20"/>
        </w:rPr>
        <w:t> </w:t>
      </w:r>
      <w:r>
        <w:rPr>
          <w:rFonts w:ascii="Arial" w:hAnsi="Arial"/>
          <w:b/>
          <w:sz w:val="20"/>
        </w:rPr>
        <w:t>525.</w:t>
      </w:r>
      <w:r>
        <w:rPr>
          <w:rFonts w:ascii="Arial" w:hAnsi="Arial"/>
          <w:b/>
          <w:spacing w:val="-6"/>
          <w:sz w:val="20"/>
        </w:rPr>
        <w:t> </w:t>
      </w:r>
      <w:r>
        <w:rPr>
          <w:sz w:val="20"/>
        </w:rPr>
        <w:t>(Se</w:t>
      </w:r>
      <w:r>
        <w:rPr>
          <w:spacing w:val="-4"/>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line="242" w:lineRule="auto" w:before="229"/>
        <w:ind w:left="338" w:right="336" w:firstLine="288"/>
        <w:jc w:val="both"/>
      </w:pPr>
      <w:bookmarkStart w:name="Artículo_525_Bis" w:id="667"/>
      <w:bookmarkEnd w:id="667"/>
      <w:r>
        <w:rPr/>
      </w:r>
      <w:r>
        <w:rPr>
          <w:rFonts w:ascii="Arial" w:hAnsi="Arial"/>
          <w:b/>
        </w:rPr>
        <w:t>Artículo 525 Bis.- </w:t>
      </w:r>
      <w:r>
        <w:rPr/>
        <w:t>El Poder Judicial de la Federación y los poderes judiciales locales establecerán, con sujeción a las disposiciones presupuestales aplicables, un servicio de carrera judicial para el ingreso, promoción, permanencia, evaluación de desempeño, separación y retiro de sus servidores públicos.</w:t>
      </w:r>
    </w:p>
    <w:p>
      <w:pPr>
        <w:spacing w:line="176"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338" w:right="336" w:firstLine="288"/>
        <w:jc w:val="both"/>
      </w:pPr>
      <w:bookmarkStart w:name="Artículo_526" w:id="668"/>
      <w:bookmarkEnd w:id="668"/>
      <w:r>
        <w:rPr/>
      </w:r>
      <w:r>
        <w:rPr>
          <w:rFonts w:ascii="Arial" w:hAnsi="Arial"/>
          <w:b/>
        </w:rPr>
        <w:t>Artículo</w:t>
      </w:r>
      <w:r>
        <w:rPr>
          <w:rFonts w:ascii="Arial" w:hAnsi="Arial"/>
          <w:b/>
          <w:spacing w:val="-1"/>
        </w:rPr>
        <w:t> </w:t>
      </w:r>
      <w:r>
        <w:rPr>
          <w:rFonts w:ascii="Arial" w:hAnsi="Arial"/>
          <w:b/>
        </w:rPr>
        <w:t>526.-</w:t>
      </w:r>
      <w:r>
        <w:rPr>
          <w:rFonts w:ascii="Arial" w:hAnsi="Arial"/>
          <w:b/>
          <w:spacing w:val="-1"/>
        </w:rPr>
        <w:t> </w:t>
      </w:r>
      <w:r>
        <w:rPr/>
        <w:t>Compete</w:t>
      </w:r>
      <w:r>
        <w:rPr>
          <w:spacing w:val="-2"/>
        </w:rPr>
        <w:t> </w:t>
      </w:r>
      <w:r>
        <w:rPr/>
        <w:t>a</w:t>
      </w:r>
      <w:r>
        <w:rPr>
          <w:spacing w:val="-2"/>
        </w:rPr>
        <w:t> </w:t>
      </w:r>
      <w:r>
        <w:rPr/>
        <w:t>la</w:t>
      </w:r>
      <w:r>
        <w:rPr>
          <w:spacing w:val="-2"/>
        </w:rPr>
        <w:t> </w:t>
      </w:r>
      <w:r>
        <w:rPr/>
        <w:t>Secretaría</w:t>
      </w:r>
      <w:r>
        <w:rPr>
          <w:spacing w:val="-2"/>
        </w:rPr>
        <w:t> </w:t>
      </w:r>
      <w:r>
        <w:rPr/>
        <w:t>de</w:t>
      </w:r>
      <w:r>
        <w:rPr>
          <w:spacing w:val="-3"/>
        </w:rPr>
        <w:t> </w:t>
      </w:r>
      <w:r>
        <w:rPr/>
        <w:t>Hacienda y</w:t>
      </w:r>
      <w:r>
        <w:rPr>
          <w:spacing w:val="-3"/>
        </w:rPr>
        <w:t> </w:t>
      </w:r>
      <w:r>
        <w:rPr/>
        <w:t>Crédito Público,</w:t>
      </w:r>
      <w:r>
        <w:rPr>
          <w:spacing w:val="-2"/>
        </w:rPr>
        <w:t> </w:t>
      </w:r>
      <w:r>
        <w:rPr/>
        <w:t>la</w:t>
      </w:r>
      <w:r>
        <w:rPr>
          <w:spacing w:val="-2"/>
        </w:rPr>
        <w:t> </w:t>
      </w:r>
      <w:r>
        <w:rPr/>
        <w:t>intervención</w:t>
      </w:r>
      <w:r>
        <w:rPr>
          <w:spacing w:val="-3"/>
        </w:rPr>
        <w:t> </w:t>
      </w:r>
      <w:r>
        <w:rPr/>
        <w:t>que</w:t>
      </w:r>
      <w:r>
        <w:rPr>
          <w:spacing w:val="-2"/>
        </w:rPr>
        <w:t> </w:t>
      </w:r>
      <w:r>
        <w:rPr/>
        <w:t>le señala</w:t>
      </w:r>
      <w:r>
        <w:rPr>
          <w:spacing w:val="-2"/>
        </w:rPr>
        <w:t> </w:t>
      </w:r>
      <w:r>
        <w:rPr/>
        <w:t>el Título Tercero, Capítulo VIII, y a la Secretaría de Educación Pública, la vigilancia del cumplimiento de las obligaciones que esta Ley impone a los patrones en materia educativa e intervenir coordinadamente con la Secretaría del Trabajo y Previsión Social, en la capacitación y adiestramiento de los trabajadores, de acuerdo con lo dispuesto en el Capítulo IV de este Título.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5"/>
        <w:rPr>
          <w:rFonts w:ascii="Times New Roman"/>
          <w:i/>
          <w:sz w:val="16"/>
        </w:rPr>
      </w:pPr>
    </w:p>
    <w:p>
      <w:pPr>
        <w:pStyle w:val="Heading1"/>
      </w:pPr>
      <w:r>
        <w:rPr/>
        <w:t>CAPITULO</w:t>
      </w:r>
      <w:r>
        <w:rPr>
          <w:spacing w:val="-9"/>
        </w:rPr>
        <w:t> </w:t>
      </w:r>
      <w:r>
        <w:rPr>
          <w:spacing w:val="-7"/>
        </w:rPr>
        <w:t>II</w:t>
      </w:r>
    </w:p>
    <w:p>
      <w:pPr>
        <w:pStyle w:val="Heading2"/>
        <w:spacing w:line="253" w:lineRule="exact"/>
        <w:ind w:left="297"/>
      </w:pPr>
      <w:r>
        <w:rPr/>
        <w:t>Competencia</w:t>
      </w:r>
      <w:r>
        <w:rPr>
          <w:spacing w:val="-9"/>
        </w:rPr>
        <w:t> </w:t>
      </w:r>
      <w:r>
        <w:rPr/>
        <w:t>constitucional</w:t>
      </w:r>
      <w:r>
        <w:rPr>
          <w:spacing w:val="-7"/>
        </w:rPr>
        <w:t> </w:t>
      </w:r>
      <w:r>
        <w:rPr/>
        <w:t>de</w:t>
      </w:r>
      <w:r>
        <w:rPr>
          <w:spacing w:val="-8"/>
        </w:rPr>
        <w:t> </w:t>
      </w:r>
      <w:r>
        <w:rPr/>
        <w:t>las</w:t>
      </w:r>
      <w:r>
        <w:rPr>
          <w:spacing w:val="-7"/>
        </w:rPr>
        <w:t> </w:t>
      </w:r>
      <w:r>
        <w:rPr/>
        <w:t>autoridades</w:t>
      </w:r>
      <w:r>
        <w:rPr>
          <w:spacing w:val="-6"/>
        </w:rPr>
        <w:t> </w:t>
      </w:r>
      <w:r>
        <w:rPr/>
        <w:t>del</w:t>
      </w:r>
      <w:r>
        <w:rPr>
          <w:spacing w:val="-7"/>
        </w:rPr>
        <w:t> </w:t>
      </w:r>
      <w:r>
        <w:rPr>
          <w:spacing w:val="-2"/>
        </w:rPr>
        <w:t>trabajo</w:t>
      </w:r>
    </w:p>
    <w:p>
      <w:pPr>
        <w:pStyle w:val="BodyText"/>
        <w:spacing w:line="242" w:lineRule="auto" w:before="231"/>
        <w:ind w:left="338" w:right="342" w:firstLine="288"/>
      </w:pPr>
      <w:bookmarkStart w:name="Artículo_527" w:id="669"/>
      <w:bookmarkEnd w:id="669"/>
      <w:r>
        <w:rPr/>
      </w:r>
      <w:r>
        <w:rPr>
          <w:rFonts w:ascii="Arial" w:hAnsi="Arial"/>
          <w:b/>
        </w:rPr>
        <w:t>Artículo</w:t>
      </w:r>
      <w:r>
        <w:rPr>
          <w:rFonts w:ascii="Arial" w:hAnsi="Arial"/>
          <w:b/>
          <w:spacing w:val="40"/>
        </w:rPr>
        <w:t> </w:t>
      </w:r>
      <w:r>
        <w:rPr>
          <w:rFonts w:ascii="Arial" w:hAnsi="Arial"/>
          <w:b/>
        </w:rPr>
        <w:t>527.-</w:t>
      </w:r>
      <w:r>
        <w:rPr>
          <w:rFonts w:ascii="Arial" w:hAnsi="Arial"/>
          <w:b/>
          <w:spacing w:val="40"/>
        </w:rPr>
        <w:t> </w:t>
      </w:r>
      <w:r>
        <w:rPr/>
        <w:t>La</w:t>
      </w:r>
      <w:r>
        <w:rPr>
          <w:spacing w:val="40"/>
        </w:rPr>
        <w:t> </w:t>
      </w:r>
      <w:r>
        <w:rPr/>
        <w:t>aplicación</w:t>
      </w:r>
      <w:r>
        <w:rPr>
          <w:spacing w:val="40"/>
        </w:rPr>
        <w:t> </w:t>
      </w:r>
      <w:r>
        <w:rPr/>
        <w:t>de</w:t>
      </w:r>
      <w:r>
        <w:rPr>
          <w:spacing w:val="40"/>
        </w:rPr>
        <w:t> </w:t>
      </w:r>
      <w:r>
        <w:rPr/>
        <w:t>las</w:t>
      </w:r>
      <w:r>
        <w:rPr>
          <w:spacing w:val="40"/>
        </w:rPr>
        <w:t> </w:t>
      </w:r>
      <w:r>
        <w:rPr/>
        <w:t>normas</w:t>
      </w:r>
      <w:r>
        <w:rPr>
          <w:spacing w:val="40"/>
        </w:rPr>
        <w:t> </w:t>
      </w:r>
      <w:r>
        <w:rPr/>
        <w:t>de</w:t>
      </w:r>
      <w:r>
        <w:rPr>
          <w:spacing w:val="40"/>
        </w:rPr>
        <w:t> </w:t>
      </w:r>
      <w:r>
        <w:rPr/>
        <w:t>trabajo</w:t>
      </w:r>
      <w:r>
        <w:rPr>
          <w:spacing w:val="40"/>
        </w:rPr>
        <w:t> </w:t>
      </w:r>
      <w:r>
        <w:rPr/>
        <w:t>corresponde</w:t>
      </w:r>
      <w:r>
        <w:rPr>
          <w:spacing w:val="40"/>
        </w:rPr>
        <w:t> </w:t>
      </w:r>
      <w:r>
        <w:rPr/>
        <w:t>a</w:t>
      </w:r>
      <w:r>
        <w:rPr>
          <w:spacing w:val="40"/>
        </w:rPr>
        <w:t> </w:t>
      </w:r>
      <w:r>
        <w:rPr/>
        <w:t>las</w:t>
      </w:r>
      <w:r>
        <w:rPr>
          <w:spacing w:val="40"/>
        </w:rPr>
        <w:t> </w:t>
      </w:r>
      <w:r>
        <w:rPr/>
        <w:t>autoridades</w:t>
      </w:r>
      <w:r>
        <w:rPr>
          <w:spacing w:val="40"/>
        </w:rPr>
        <w:t> </w:t>
      </w:r>
      <w:r>
        <w:rPr/>
        <w:t>federales, cuando se trate de:</w:t>
      </w:r>
    </w:p>
    <w:p>
      <w:pPr>
        <w:pStyle w:val="ListParagraph"/>
        <w:numPr>
          <w:ilvl w:val="0"/>
          <w:numId w:val="214"/>
        </w:numPr>
        <w:tabs>
          <w:tab w:pos="1195" w:val="left" w:leader="none"/>
        </w:tabs>
        <w:spacing w:line="240" w:lineRule="auto" w:before="227" w:after="0"/>
        <w:ind w:left="1195" w:right="0" w:hanging="569"/>
        <w:jc w:val="left"/>
        <w:rPr>
          <w:sz w:val="20"/>
        </w:rPr>
      </w:pPr>
      <w:r>
        <w:rPr>
          <w:sz w:val="20"/>
        </w:rPr>
        <w:t>Ramas</w:t>
      </w:r>
      <w:r>
        <w:rPr>
          <w:spacing w:val="-6"/>
          <w:sz w:val="20"/>
        </w:rPr>
        <w:t> </w:t>
      </w:r>
      <w:r>
        <w:rPr>
          <w:sz w:val="20"/>
        </w:rPr>
        <w:t>industriales</w:t>
      </w:r>
      <w:r>
        <w:rPr>
          <w:spacing w:val="-4"/>
          <w:sz w:val="20"/>
        </w:rPr>
        <w:t> </w:t>
      </w:r>
      <w:r>
        <w:rPr>
          <w:sz w:val="20"/>
        </w:rPr>
        <w:t>y</w:t>
      </w:r>
      <w:r>
        <w:rPr>
          <w:spacing w:val="-8"/>
          <w:sz w:val="20"/>
        </w:rPr>
        <w:t> </w:t>
      </w:r>
      <w:r>
        <w:rPr>
          <w:sz w:val="20"/>
        </w:rPr>
        <w:t>de</w:t>
      </w:r>
      <w:r>
        <w:rPr>
          <w:spacing w:val="-5"/>
          <w:sz w:val="20"/>
        </w:rPr>
        <w:t> </w:t>
      </w:r>
      <w:r>
        <w:rPr>
          <w:spacing w:val="-2"/>
          <w:sz w:val="20"/>
        </w:rPr>
        <w:t>servicios:</w:t>
      </w:r>
    </w:p>
    <w:p>
      <w:pPr>
        <w:pStyle w:val="ListParagraph"/>
        <w:spacing w:after="0" w:line="240" w:lineRule="auto"/>
        <w:jc w:val="left"/>
        <w:rPr>
          <w:sz w:val="20"/>
        </w:rPr>
        <w:sectPr>
          <w:pgSz w:w="12240" w:h="15840"/>
          <w:pgMar w:header="724" w:footer="712" w:top="1880" w:bottom="900" w:left="1080" w:right="1080"/>
        </w:sectPr>
      </w:pPr>
    </w:p>
    <w:p>
      <w:pPr>
        <w:pStyle w:val="BodyText"/>
        <w:spacing w:before="109"/>
        <w:rPr>
          <w:sz w:val="16"/>
        </w:rPr>
      </w:pP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rPr>
      </w:pPr>
    </w:p>
    <w:p>
      <w:pPr>
        <w:pStyle w:val="ListParagraph"/>
        <w:numPr>
          <w:ilvl w:val="1"/>
          <w:numId w:val="214"/>
        </w:numPr>
        <w:tabs>
          <w:tab w:pos="1761" w:val="left" w:leader="none"/>
        </w:tabs>
        <w:spacing w:line="240" w:lineRule="auto" w:before="0" w:after="0"/>
        <w:ind w:left="1761" w:right="0" w:hanging="566"/>
        <w:jc w:val="left"/>
        <w:rPr>
          <w:sz w:val="20"/>
        </w:rPr>
      </w:pPr>
      <w:r>
        <w:rPr>
          <w:spacing w:val="-2"/>
          <w:sz w:val="20"/>
        </w:rPr>
        <w:t>Textil;</w:t>
      </w:r>
    </w:p>
    <w:p>
      <w:pPr>
        <w:pStyle w:val="BodyText"/>
        <w:spacing w:before="1"/>
      </w:pPr>
    </w:p>
    <w:p>
      <w:pPr>
        <w:pStyle w:val="ListParagraph"/>
        <w:numPr>
          <w:ilvl w:val="1"/>
          <w:numId w:val="214"/>
        </w:numPr>
        <w:tabs>
          <w:tab w:pos="1761" w:val="left" w:leader="none"/>
        </w:tabs>
        <w:spacing w:line="240" w:lineRule="auto" w:before="0" w:after="0"/>
        <w:ind w:left="1761" w:right="0" w:hanging="566"/>
        <w:jc w:val="left"/>
        <w:rPr>
          <w:sz w:val="20"/>
        </w:rPr>
      </w:pPr>
      <w:r>
        <w:rPr>
          <w:spacing w:val="-2"/>
          <w:sz w:val="20"/>
        </w:rPr>
        <w:t>Eléctrica;</w:t>
      </w:r>
    </w:p>
    <w:p>
      <w:pPr>
        <w:pStyle w:val="ListParagraph"/>
        <w:numPr>
          <w:ilvl w:val="1"/>
          <w:numId w:val="214"/>
        </w:numPr>
        <w:tabs>
          <w:tab w:pos="1761" w:val="left" w:leader="none"/>
        </w:tabs>
        <w:spacing w:line="240" w:lineRule="auto" w:before="228" w:after="0"/>
        <w:ind w:left="1761" w:right="0" w:hanging="566"/>
        <w:jc w:val="left"/>
        <w:rPr>
          <w:sz w:val="20"/>
        </w:rPr>
      </w:pPr>
      <w:r>
        <w:rPr>
          <w:spacing w:val="-2"/>
          <w:sz w:val="20"/>
        </w:rPr>
        <w:t>Cinematográfica;</w:t>
      </w:r>
    </w:p>
    <w:p>
      <w:pPr>
        <w:pStyle w:val="BodyText"/>
        <w:spacing w:before="1"/>
      </w:pPr>
    </w:p>
    <w:p>
      <w:pPr>
        <w:pStyle w:val="ListParagraph"/>
        <w:numPr>
          <w:ilvl w:val="1"/>
          <w:numId w:val="214"/>
        </w:numPr>
        <w:tabs>
          <w:tab w:pos="1761" w:val="left" w:leader="none"/>
        </w:tabs>
        <w:spacing w:line="240" w:lineRule="auto" w:before="0" w:after="0"/>
        <w:ind w:left="1761" w:right="0" w:hanging="566"/>
        <w:jc w:val="left"/>
        <w:rPr>
          <w:sz w:val="20"/>
        </w:rPr>
      </w:pPr>
      <w:r>
        <w:rPr>
          <w:spacing w:val="-2"/>
          <w:sz w:val="20"/>
        </w:rPr>
        <w:t>Hulera;</w:t>
      </w:r>
    </w:p>
    <w:p>
      <w:pPr>
        <w:pStyle w:val="BodyText"/>
        <w:spacing w:before="1"/>
      </w:pPr>
    </w:p>
    <w:p>
      <w:pPr>
        <w:pStyle w:val="ListParagraph"/>
        <w:numPr>
          <w:ilvl w:val="1"/>
          <w:numId w:val="214"/>
        </w:numPr>
        <w:tabs>
          <w:tab w:pos="1761" w:val="left" w:leader="none"/>
        </w:tabs>
        <w:spacing w:line="240" w:lineRule="auto" w:before="0" w:after="0"/>
        <w:ind w:left="1761" w:right="0" w:hanging="566"/>
        <w:jc w:val="left"/>
        <w:rPr>
          <w:sz w:val="20"/>
        </w:rPr>
      </w:pPr>
      <w:r>
        <w:rPr>
          <w:spacing w:val="-2"/>
          <w:sz w:val="20"/>
        </w:rPr>
        <w:t>Azucarera;</w:t>
      </w:r>
    </w:p>
    <w:p>
      <w:pPr>
        <w:pStyle w:val="ListParagraph"/>
        <w:numPr>
          <w:ilvl w:val="1"/>
          <w:numId w:val="214"/>
        </w:numPr>
        <w:tabs>
          <w:tab w:pos="1761" w:val="left" w:leader="none"/>
        </w:tabs>
        <w:spacing w:line="240" w:lineRule="auto" w:before="229" w:after="0"/>
        <w:ind w:left="1761" w:right="0" w:hanging="566"/>
        <w:jc w:val="left"/>
        <w:rPr>
          <w:sz w:val="20"/>
        </w:rPr>
      </w:pPr>
      <w:r>
        <w:rPr>
          <w:spacing w:val="-2"/>
          <w:sz w:val="20"/>
        </w:rPr>
        <w:t>Minera;</w:t>
      </w:r>
    </w:p>
    <w:p>
      <w:pPr>
        <w:pStyle w:val="BodyText"/>
        <w:spacing w:before="1"/>
      </w:pPr>
    </w:p>
    <w:p>
      <w:pPr>
        <w:pStyle w:val="ListParagraph"/>
        <w:numPr>
          <w:ilvl w:val="1"/>
          <w:numId w:val="214"/>
        </w:numPr>
        <w:tabs>
          <w:tab w:pos="1760" w:val="left" w:leader="none"/>
          <w:tab w:pos="1762" w:val="left" w:leader="none"/>
        </w:tabs>
        <w:spacing w:line="240" w:lineRule="auto" w:before="0" w:after="0"/>
        <w:ind w:left="1762" w:right="344" w:hanging="567"/>
        <w:jc w:val="both"/>
        <w:rPr>
          <w:sz w:val="20"/>
        </w:rPr>
      </w:pPr>
      <w:r>
        <w:rPr>
          <w:sz w:val="20"/>
        </w:rPr>
        <w:t>Metalúrgica y</w:t>
      </w:r>
      <w:r>
        <w:rPr>
          <w:spacing w:val="-4"/>
          <w:sz w:val="20"/>
        </w:rPr>
        <w:t> </w:t>
      </w:r>
      <w:r>
        <w:rPr>
          <w:sz w:val="20"/>
        </w:rPr>
        <w:t>siderúrgica, abarcando la explotación</w:t>
      </w:r>
      <w:r>
        <w:rPr>
          <w:spacing w:val="-1"/>
          <w:sz w:val="20"/>
        </w:rPr>
        <w:t> </w:t>
      </w:r>
      <w:r>
        <w:rPr>
          <w:sz w:val="20"/>
        </w:rPr>
        <w:t>de</w:t>
      </w:r>
      <w:r>
        <w:rPr>
          <w:spacing w:val="-1"/>
          <w:sz w:val="20"/>
        </w:rPr>
        <w:t> </w:t>
      </w:r>
      <w:r>
        <w:rPr>
          <w:sz w:val="20"/>
        </w:rPr>
        <w:t>los minerales básicos, el beneficio y la fundición de los mismos, así como la obtención de hierro metálico y acero a todas</w:t>
      </w:r>
      <w:r>
        <w:rPr>
          <w:spacing w:val="40"/>
          <w:sz w:val="20"/>
        </w:rPr>
        <w:t> </w:t>
      </w:r>
      <w:r>
        <w:rPr>
          <w:sz w:val="20"/>
        </w:rPr>
        <w:t>sus formas y ligas y los productos laminados de los mismos;</w:t>
      </w:r>
    </w:p>
    <w:p>
      <w:pPr>
        <w:pStyle w:val="ListParagraph"/>
        <w:numPr>
          <w:ilvl w:val="1"/>
          <w:numId w:val="214"/>
        </w:numPr>
        <w:tabs>
          <w:tab w:pos="1761" w:val="left" w:leader="none"/>
        </w:tabs>
        <w:spacing w:line="240" w:lineRule="auto" w:before="229" w:after="0"/>
        <w:ind w:left="1761" w:right="0" w:hanging="566"/>
        <w:jc w:val="left"/>
        <w:rPr>
          <w:sz w:val="20"/>
        </w:rPr>
      </w:pPr>
      <w:r>
        <w:rPr>
          <w:sz w:val="20"/>
        </w:rPr>
        <w:t>De</w:t>
      </w:r>
      <w:r>
        <w:rPr>
          <w:spacing w:val="-5"/>
          <w:sz w:val="20"/>
        </w:rPr>
        <w:t> </w:t>
      </w:r>
      <w:r>
        <w:rPr>
          <w:spacing w:val="-2"/>
          <w:sz w:val="20"/>
        </w:rPr>
        <w:t>hidrocarburos;</w:t>
      </w:r>
    </w:p>
    <w:p>
      <w:pPr>
        <w:pStyle w:val="BodyText"/>
        <w:spacing w:before="1"/>
      </w:pPr>
    </w:p>
    <w:p>
      <w:pPr>
        <w:pStyle w:val="ListParagraph"/>
        <w:numPr>
          <w:ilvl w:val="1"/>
          <w:numId w:val="214"/>
        </w:numPr>
        <w:tabs>
          <w:tab w:pos="1761" w:val="left" w:leader="none"/>
        </w:tabs>
        <w:spacing w:line="240" w:lineRule="auto" w:before="0" w:after="0"/>
        <w:ind w:left="1761" w:right="0" w:hanging="566"/>
        <w:jc w:val="left"/>
        <w:rPr>
          <w:sz w:val="20"/>
        </w:rPr>
      </w:pPr>
      <w:r>
        <w:rPr>
          <w:spacing w:val="-2"/>
          <w:sz w:val="20"/>
        </w:rPr>
        <w:t>Petroquímica;</w:t>
      </w:r>
    </w:p>
    <w:p>
      <w:pPr>
        <w:pStyle w:val="ListParagraph"/>
        <w:numPr>
          <w:ilvl w:val="1"/>
          <w:numId w:val="214"/>
        </w:numPr>
        <w:tabs>
          <w:tab w:pos="1761" w:val="left" w:leader="none"/>
        </w:tabs>
        <w:spacing w:line="240" w:lineRule="auto" w:before="228" w:after="0"/>
        <w:ind w:left="1761" w:right="0" w:hanging="566"/>
        <w:jc w:val="left"/>
        <w:rPr>
          <w:sz w:val="20"/>
        </w:rPr>
      </w:pPr>
      <w:r>
        <w:rPr>
          <w:spacing w:val="-2"/>
          <w:sz w:val="20"/>
        </w:rPr>
        <w:t>Cementera;</w:t>
      </w:r>
    </w:p>
    <w:p>
      <w:pPr>
        <w:pStyle w:val="BodyText"/>
        <w:spacing w:before="1"/>
      </w:pPr>
    </w:p>
    <w:p>
      <w:pPr>
        <w:pStyle w:val="ListParagraph"/>
        <w:numPr>
          <w:ilvl w:val="1"/>
          <w:numId w:val="214"/>
        </w:numPr>
        <w:tabs>
          <w:tab w:pos="1761" w:val="left" w:leader="none"/>
        </w:tabs>
        <w:spacing w:line="240" w:lineRule="auto" w:before="0" w:after="0"/>
        <w:ind w:left="1761" w:right="0" w:hanging="566"/>
        <w:jc w:val="left"/>
        <w:rPr>
          <w:sz w:val="20"/>
        </w:rPr>
      </w:pPr>
      <w:r>
        <w:rPr>
          <w:spacing w:val="-2"/>
          <w:sz w:val="20"/>
        </w:rPr>
        <w:t>Calera;</w:t>
      </w:r>
    </w:p>
    <w:p>
      <w:pPr>
        <w:pStyle w:val="BodyText"/>
        <w:spacing w:before="1"/>
      </w:pPr>
    </w:p>
    <w:p>
      <w:pPr>
        <w:pStyle w:val="ListParagraph"/>
        <w:numPr>
          <w:ilvl w:val="1"/>
          <w:numId w:val="214"/>
        </w:numPr>
        <w:tabs>
          <w:tab w:pos="1761" w:val="left" w:leader="none"/>
        </w:tabs>
        <w:spacing w:line="240" w:lineRule="auto" w:before="0" w:after="0"/>
        <w:ind w:left="1761" w:right="0" w:hanging="566"/>
        <w:jc w:val="left"/>
        <w:rPr>
          <w:sz w:val="20"/>
        </w:rPr>
      </w:pPr>
      <w:r>
        <w:rPr>
          <w:sz w:val="20"/>
        </w:rPr>
        <w:t>Automotriz,</w:t>
      </w:r>
      <w:r>
        <w:rPr>
          <w:spacing w:val="-10"/>
          <w:sz w:val="20"/>
        </w:rPr>
        <w:t> </w:t>
      </w:r>
      <w:r>
        <w:rPr>
          <w:sz w:val="20"/>
        </w:rPr>
        <w:t>incluyendo</w:t>
      </w:r>
      <w:r>
        <w:rPr>
          <w:spacing w:val="-10"/>
          <w:sz w:val="20"/>
        </w:rPr>
        <w:t> </w:t>
      </w:r>
      <w:r>
        <w:rPr>
          <w:sz w:val="20"/>
        </w:rPr>
        <w:t>autopartes</w:t>
      </w:r>
      <w:r>
        <w:rPr>
          <w:spacing w:val="-10"/>
          <w:sz w:val="20"/>
        </w:rPr>
        <w:t> </w:t>
      </w:r>
      <w:r>
        <w:rPr>
          <w:sz w:val="20"/>
        </w:rPr>
        <w:t>mecánicas</w:t>
      </w:r>
      <w:r>
        <w:rPr>
          <w:spacing w:val="-10"/>
          <w:sz w:val="20"/>
        </w:rPr>
        <w:t> </w:t>
      </w:r>
      <w:r>
        <w:rPr>
          <w:sz w:val="20"/>
        </w:rPr>
        <w:t>o</w:t>
      </w:r>
      <w:r>
        <w:rPr>
          <w:spacing w:val="-11"/>
          <w:sz w:val="20"/>
        </w:rPr>
        <w:t> </w:t>
      </w:r>
      <w:r>
        <w:rPr>
          <w:spacing w:val="-2"/>
          <w:sz w:val="20"/>
        </w:rPr>
        <w:t>eléctricas;</w:t>
      </w:r>
    </w:p>
    <w:p>
      <w:pPr>
        <w:pStyle w:val="ListParagraph"/>
        <w:numPr>
          <w:ilvl w:val="1"/>
          <w:numId w:val="214"/>
        </w:numPr>
        <w:tabs>
          <w:tab w:pos="1761" w:val="left" w:leader="none"/>
        </w:tabs>
        <w:spacing w:line="240" w:lineRule="auto" w:before="229" w:after="0"/>
        <w:ind w:left="1761" w:right="0" w:hanging="566"/>
        <w:jc w:val="left"/>
        <w:rPr>
          <w:sz w:val="20"/>
        </w:rPr>
      </w:pPr>
      <w:r>
        <w:rPr>
          <w:sz w:val="20"/>
        </w:rPr>
        <w:t>Química,</w:t>
      </w:r>
      <w:r>
        <w:rPr>
          <w:spacing w:val="-8"/>
          <w:sz w:val="20"/>
        </w:rPr>
        <w:t> </w:t>
      </w:r>
      <w:r>
        <w:rPr>
          <w:sz w:val="20"/>
        </w:rPr>
        <w:t>incluyendo</w:t>
      </w:r>
      <w:r>
        <w:rPr>
          <w:spacing w:val="-7"/>
          <w:sz w:val="20"/>
        </w:rPr>
        <w:t> </w:t>
      </w:r>
      <w:r>
        <w:rPr>
          <w:sz w:val="20"/>
        </w:rPr>
        <w:t>la</w:t>
      </w:r>
      <w:r>
        <w:rPr>
          <w:spacing w:val="-6"/>
          <w:sz w:val="20"/>
        </w:rPr>
        <w:t> </w:t>
      </w:r>
      <w:r>
        <w:rPr>
          <w:sz w:val="20"/>
        </w:rPr>
        <w:t>química</w:t>
      </w:r>
      <w:r>
        <w:rPr>
          <w:spacing w:val="-11"/>
          <w:sz w:val="20"/>
        </w:rPr>
        <w:t> </w:t>
      </w:r>
      <w:r>
        <w:rPr>
          <w:sz w:val="20"/>
        </w:rPr>
        <w:t>farmacéutica</w:t>
      </w:r>
      <w:r>
        <w:rPr>
          <w:spacing w:val="-6"/>
          <w:sz w:val="20"/>
        </w:rPr>
        <w:t> </w:t>
      </w:r>
      <w:r>
        <w:rPr>
          <w:sz w:val="20"/>
        </w:rPr>
        <w:t>y</w:t>
      </w:r>
      <w:r>
        <w:rPr>
          <w:spacing w:val="-10"/>
          <w:sz w:val="20"/>
        </w:rPr>
        <w:t> </w:t>
      </w:r>
      <w:r>
        <w:rPr>
          <w:spacing w:val="-2"/>
          <w:sz w:val="20"/>
        </w:rPr>
        <w:t>medicamentos;</w:t>
      </w:r>
    </w:p>
    <w:p>
      <w:pPr>
        <w:pStyle w:val="BodyText"/>
        <w:spacing w:before="1"/>
      </w:pPr>
    </w:p>
    <w:p>
      <w:pPr>
        <w:pStyle w:val="ListParagraph"/>
        <w:numPr>
          <w:ilvl w:val="1"/>
          <w:numId w:val="214"/>
        </w:numPr>
        <w:tabs>
          <w:tab w:pos="1761" w:val="left" w:leader="none"/>
        </w:tabs>
        <w:spacing w:line="240" w:lineRule="auto" w:before="0" w:after="0"/>
        <w:ind w:left="1761" w:right="0" w:hanging="566"/>
        <w:jc w:val="left"/>
        <w:rPr>
          <w:sz w:val="20"/>
        </w:rPr>
      </w:pPr>
      <w:r>
        <w:rPr>
          <w:sz w:val="20"/>
        </w:rPr>
        <w:t>De</w:t>
      </w:r>
      <w:r>
        <w:rPr>
          <w:spacing w:val="-7"/>
          <w:sz w:val="20"/>
        </w:rPr>
        <w:t> </w:t>
      </w:r>
      <w:r>
        <w:rPr>
          <w:sz w:val="20"/>
        </w:rPr>
        <w:t>celulosa</w:t>
      </w:r>
      <w:r>
        <w:rPr>
          <w:spacing w:val="-2"/>
          <w:sz w:val="20"/>
        </w:rPr>
        <w:t> </w:t>
      </w:r>
      <w:r>
        <w:rPr>
          <w:sz w:val="20"/>
        </w:rPr>
        <w:t>y</w:t>
      </w:r>
      <w:r>
        <w:rPr>
          <w:spacing w:val="-7"/>
          <w:sz w:val="20"/>
        </w:rPr>
        <w:t> </w:t>
      </w:r>
      <w:r>
        <w:rPr>
          <w:spacing w:val="-2"/>
          <w:sz w:val="20"/>
        </w:rPr>
        <w:t>papel;</w:t>
      </w:r>
    </w:p>
    <w:p>
      <w:pPr>
        <w:pStyle w:val="BodyText"/>
      </w:pPr>
    </w:p>
    <w:p>
      <w:pPr>
        <w:pStyle w:val="ListParagraph"/>
        <w:numPr>
          <w:ilvl w:val="1"/>
          <w:numId w:val="214"/>
        </w:numPr>
        <w:tabs>
          <w:tab w:pos="1761" w:val="left" w:leader="none"/>
        </w:tabs>
        <w:spacing w:line="240" w:lineRule="auto" w:before="1" w:after="0"/>
        <w:ind w:left="1761" w:right="0" w:hanging="566"/>
        <w:jc w:val="left"/>
        <w:rPr>
          <w:sz w:val="20"/>
        </w:rPr>
      </w:pPr>
      <w:r>
        <w:rPr>
          <w:sz w:val="20"/>
        </w:rPr>
        <w:t>De</w:t>
      </w:r>
      <w:r>
        <w:rPr>
          <w:spacing w:val="-6"/>
          <w:sz w:val="20"/>
        </w:rPr>
        <w:t> </w:t>
      </w:r>
      <w:r>
        <w:rPr>
          <w:sz w:val="20"/>
        </w:rPr>
        <w:t>aceites y</w:t>
      </w:r>
      <w:r>
        <w:rPr>
          <w:spacing w:val="-8"/>
          <w:sz w:val="20"/>
        </w:rPr>
        <w:t> </w:t>
      </w:r>
      <w:r>
        <w:rPr>
          <w:sz w:val="20"/>
        </w:rPr>
        <w:t>grasas</w:t>
      </w:r>
      <w:r>
        <w:rPr>
          <w:spacing w:val="-2"/>
          <w:sz w:val="20"/>
        </w:rPr>
        <w:t> vegetales;</w:t>
      </w:r>
    </w:p>
    <w:p>
      <w:pPr>
        <w:pStyle w:val="ListParagraph"/>
        <w:numPr>
          <w:ilvl w:val="1"/>
          <w:numId w:val="214"/>
        </w:numPr>
        <w:tabs>
          <w:tab w:pos="1759" w:val="left" w:leader="none"/>
          <w:tab w:pos="1762" w:val="left" w:leader="none"/>
        </w:tabs>
        <w:spacing w:line="242" w:lineRule="auto" w:before="228" w:after="0"/>
        <w:ind w:left="1762" w:right="345" w:hanging="567"/>
        <w:jc w:val="both"/>
        <w:rPr>
          <w:sz w:val="20"/>
        </w:rPr>
      </w:pPr>
      <w:r>
        <w:rPr>
          <w:sz w:val="20"/>
        </w:rPr>
        <w:t>Productora de alimentos, abarcando exclusivamente la fabricación de los que sean empacados, enlatados o envasados o que se destinen a ello;</w:t>
      </w:r>
    </w:p>
    <w:p>
      <w:pPr>
        <w:pStyle w:val="ListParagraph"/>
        <w:numPr>
          <w:ilvl w:val="1"/>
          <w:numId w:val="214"/>
        </w:numPr>
        <w:tabs>
          <w:tab w:pos="1761" w:val="left" w:leader="none"/>
        </w:tabs>
        <w:spacing w:line="240" w:lineRule="auto" w:before="227" w:after="0"/>
        <w:ind w:left="1761" w:right="0" w:hanging="566"/>
        <w:jc w:val="left"/>
        <w:rPr>
          <w:sz w:val="20"/>
        </w:rPr>
      </w:pPr>
      <w:r>
        <w:rPr>
          <w:sz w:val="20"/>
        </w:rPr>
        <w:t>Elaboradora</w:t>
      </w:r>
      <w:r>
        <w:rPr>
          <w:spacing w:val="-6"/>
          <w:sz w:val="20"/>
        </w:rPr>
        <w:t> </w:t>
      </w:r>
      <w:r>
        <w:rPr>
          <w:sz w:val="20"/>
        </w:rPr>
        <w:t>de</w:t>
      </w:r>
      <w:r>
        <w:rPr>
          <w:spacing w:val="-8"/>
          <w:sz w:val="20"/>
        </w:rPr>
        <w:t> </w:t>
      </w:r>
      <w:r>
        <w:rPr>
          <w:sz w:val="20"/>
        </w:rPr>
        <w:t>bebidas</w:t>
      </w:r>
      <w:r>
        <w:rPr>
          <w:spacing w:val="-5"/>
          <w:sz w:val="20"/>
        </w:rPr>
        <w:t> </w:t>
      </w:r>
      <w:r>
        <w:rPr>
          <w:sz w:val="20"/>
        </w:rPr>
        <w:t>que</w:t>
      </w:r>
      <w:r>
        <w:rPr>
          <w:spacing w:val="-7"/>
          <w:sz w:val="20"/>
        </w:rPr>
        <w:t> </w:t>
      </w:r>
      <w:r>
        <w:rPr>
          <w:sz w:val="20"/>
        </w:rPr>
        <w:t>sean</w:t>
      </w:r>
      <w:r>
        <w:rPr>
          <w:spacing w:val="-5"/>
          <w:sz w:val="20"/>
        </w:rPr>
        <w:t> </w:t>
      </w:r>
      <w:r>
        <w:rPr>
          <w:sz w:val="20"/>
        </w:rPr>
        <w:t>envasadas</w:t>
      </w:r>
      <w:r>
        <w:rPr>
          <w:spacing w:val="-7"/>
          <w:sz w:val="20"/>
        </w:rPr>
        <w:t> </w:t>
      </w:r>
      <w:r>
        <w:rPr>
          <w:sz w:val="20"/>
        </w:rPr>
        <w:t>o</w:t>
      </w:r>
      <w:r>
        <w:rPr>
          <w:spacing w:val="-8"/>
          <w:sz w:val="20"/>
        </w:rPr>
        <w:t> </w:t>
      </w:r>
      <w:r>
        <w:rPr>
          <w:sz w:val="20"/>
        </w:rPr>
        <w:t>enlatadas</w:t>
      </w:r>
      <w:r>
        <w:rPr>
          <w:spacing w:val="-6"/>
          <w:sz w:val="20"/>
        </w:rPr>
        <w:t> </w:t>
      </w:r>
      <w:r>
        <w:rPr>
          <w:sz w:val="20"/>
        </w:rPr>
        <w:t>o</w:t>
      </w:r>
      <w:r>
        <w:rPr>
          <w:spacing w:val="-8"/>
          <w:sz w:val="20"/>
        </w:rPr>
        <w:t> </w:t>
      </w:r>
      <w:r>
        <w:rPr>
          <w:sz w:val="20"/>
        </w:rPr>
        <w:t>que</w:t>
      </w:r>
      <w:r>
        <w:rPr>
          <w:spacing w:val="-9"/>
          <w:sz w:val="20"/>
        </w:rPr>
        <w:t> </w:t>
      </w:r>
      <w:r>
        <w:rPr>
          <w:sz w:val="20"/>
        </w:rPr>
        <w:t>se</w:t>
      </w:r>
      <w:r>
        <w:rPr>
          <w:spacing w:val="-5"/>
          <w:sz w:val="20"/>
        </w:rPr>
        <w:t> </w:t>
      </w:r>
      <w:r>
        <w:rPr>
          <w:sz w:val="20"/>
        </w:rPr>
        <w:t>destinen</w:t>
      </w:r>
      <w:r>
        <w:rPr>
          <w:spacing w:val="-6"/>
          <w:sz w:val="20"/>
        </w:rPr>
        <w:t> </w:t>
      </w:r>
      <w:r>
        <w:rPr>
          <w:sz w:val="20"/>
        </w:rPr>
        <w:t>a</w:t>
      </w:r>
      <w:r>
        <w:rPr>
          <w:spacing w:val="-5"/>
          <w:sz w:val="20"/>
        </w:rPr>
        <w:t> </w:t>
      </w:r>
      <w:r>
        <w:rPr>
          <w:spacing w:val="-2"/>
          <w:sz w:val="20"/>
        </w:rPr>
        <w:t>ello;</w:t>
      </w:r>
    </w:p>
    <w:p>
      <w:pPr>
        <w:pStyle w:val="ListParagraph"/>
        <w:numPr>
          <w:ilvl w:val="1"/>
          <w:numId w:val="214"/>
        </w:numPr>
        <w:tabs>
          <w:tab w:pos="1761" w:val="left" w:leader="none"/>
        </w:tabs>
        <w:spacing w:line="240" w:lineRule="auto" w:before="228" w:after="0"/>
        <w:ind w:left="1761" w:right="0" w:hanging="566"/>
        <w:jc w:val="left"/>
        <w:rPr>
          <w:sz w:val="20"/>
        </w:rPr>
      </w:pPr>
      <w:r>
        <w:rPr>
          <w:spacing w:val="-2"/>
          <w:sz w:val="20"/>
        </w:rPr>
        <w:t>Ferrocarrilera;</w:t>
      </w:r>
    </w:p>
    <w:p>
      <w:pPr>
        <w:pStyle w:val="BodyText"/>
        <w:spacing w:before="1"/>
      </w:pPr>
    </w:p>
    <w:p>
      <w:pPr>
        <w:pStyle w:val="ListParagraph"/>
        <w:numPr>
          <w:ilvl w:val="1"/>
          <w:numId w:val="214"/>
        </w:numPr>
        <w:tabs>
          <w:tab w:pos="1759" w:val="left" w:leader="none"/>
          <w:tab w:pos="1762" w:val="left" w:leader="none"/>
        </w:tabs>
        <w:spacing w:line="242" w:lineRule="auto" w:before="0" w:after="0"/>
        <w:ind w:left="1762" w:right="348" w:hanging="567"/>
        <w:jc w:val="both"/>
        <w:rPr>
          <w:sz w:val="20"/>
        </w:rPr>
      </w:pPr>
      <w:r>
        <w:rPr>
          <w:sz w:val="20"/>
        </w:rPr>
        <w:t>Maderera básica que comprende la producción de aserradero y la fabricación de triplay o aglutinados de madera;</w:t>
      </w:r>
    </w:p>
    <w:p>
      <w:pPr>
        <w:pStyle w:val="ListParagraph"/>
        <w:numPr>
          <w:ilvl w:val="1"/>
          <w:numId w:val="214"/>
        </w:numPr>
        <w:tabs>
          <w:tab w:pos="1759" w:val="left" w:leader="none"/>
          <w:tab w:pos="1762" w:val="left" w:leader="none"/>
        </w:tabs>
        <w:spacing w:line="240" w:lineRule="auto" w:before="227" w:after="0"/>
        <w:ind w:left="1762" w:right="343" w:hanging="567"/>
        <w:jc w:val="both"/>
        <w:rPr>
          <w:sz w:val="20"/>
        </w:rPr>
      </w:pPr>
      <w:r>
        <w:rPr>
          <w:sz w:val="20"/>
        </w:rPr>
        <w:t>Vidriera, exclusivamente por lo que toca a la fabricación de vidrio plano, liso o labrado o de envases de vidrio;</w:t>
      </w:r>
    </w:p>
    <w:p>
      <w:pPr>
        <w:spacing w:line="183" w:lineRule="exact" w:before="0"/>
        <w:ind w:left="7311" w:right="0" w:firstLine="0"/>
        <w:jc w:val="lef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spacing w:before="47"/>
        <w:rPr>
          <w:rFonts w:ascii="Times New Roman"/>
          <w:i/>
          <w:sz w:val="16"/>
        </w:rPr>
      </w:pPr>
    </w:p>
    <w:p>
      <w:pPr>
        <w:pStyle w:val="ListParagraph"/>
        <w:numPr>
          <w:ilvl w:val="1"/>
          <w:numId w:val="214"/>
        </w:numPr>
        <w:tabs>
          <w:tab w:pos="1761" w:val="left" w:leader="none"/>
        </w:tabs>
        <w:spacing w:line="229" w:lineRule="exact" w:before="0" w:after="0"/>
        <w:ind w:left="1761" w:right="0" w:hanging="566"/>
        <w:jc w:val="left"/>
        <w:rPr>
          <w:sz w:val="20"/>
        </w:rPr>
      </w:pPr>
      <w:r>
        <w:rPr>
          <w:sz w:val="20"/>
        </w:rPr>
        <w:t>Tabacalera,</w:t>
      </w:r>
      <w:r>
        <w:rPr>
          <w:spacing w:val="-7"/>
          <w:sz w:val="20"/>
        </w:rPr>
        <w:t> </w:t>
      </w:r>
      <w:r>
        <w:rPr>
          <w:sz w:val="20"/>
        </w:rPr>
        <w:t>que</w:t>
      </w:r>
      <w:r>
        <w:rPr>
          <w:spacing w:val="-8"/>
          <w:sz w:val="20"/>
        </w:rPr>
        <w:t> </w:t>
      </w:r>
      <w:r>
        <w:rPr>
          <w:sz w:val="20"/>
        </w:rPr>
        <w:t>comprende</w:t>
      </w:r>
      <w:r>
        <w:rPr>
          <w:spacing w:val="-8"/>
          <w:sz w:val="20"/>
        </w:rPr>
        <w:t> </w:t>
      </w:r>
      <w:r>
        <w:rPr>
          <w:sz w:val="20"/>
        </w:rPr>
        <w:t>el</w:t>
      </w:r>
      <w:r>
        <w:rPr>
          <w:spacing w:val="-7"/>
          <w:sz w:val="20"/>
        </w:rPr>
        <w:t> </w:t>
      </w:r>
      <w:r>
        <w:rPr>
          <w:sz w:val="20"/>
        </w:rPr>
        <w:t>beneficio</w:t>
      </w:r>
      <w:r>
        <w:rPr>
          <w:spacing w:val="-6"/>
          <w:sz w:val="20"/>
        </w:rPr>
        <w:t> </w:t>
      </w:r>
      <w:r>
        <w:rPr>
          <w:sz w:val="20"/>
        </w:rPr>
        <w:t>o</w:t>
      </w:r>
      <w:r>
        <w:rPr>
          <w:spacing w:val="-8"/>
          <w:sz w:val="20"/>
        </w:rPr>
        <w:t> </w:t>
      </w:r>
      <w:r>
        <w:rPr>
          <w:sz w:val="20"/>
        </w:rPr>
        <w:t>fabricación</w:t>
      </w:r>
      <w:r>
        <w:rPr>
          <w:spacing w:val="-6"/>
          <w:sz w:val="20"/>
        </w:rPr>
        <w:t> </w:t>
      </w:r>
      <w:r>
        <w:rPr>
          <w:sz w:val="20"/>
        </w:rPr>
        <w:t>de</w:t>
      </w:r>
      <w:r>
        <w:rPr>
          <w:spacing w:val="-9"/>
          <w:sz w:val="20"/>
        </w:rPr>
        <w:t> </w:t>
      </w:r>
      <w:r>
        <w:rPr>
          <w:sz w:val="20"/>
        </w:rPr>
        <w:t>productos</w:t>
      </w:r>
      <w:r>
        <w:rPr>
          <w:spacing w:val="-7"/>
          <w:sz w:val="20"/>
        </w:rPr>
        <w:t> </w:t>
      </w:r>
      <w:r>
        <w:rPr>
          <w:sz w:val="20"/>
        </w:rPr>
        <w:t>de</w:t>
      </w:r>
      <w:r>
        <w:rPr>
          <w:spacing w:val="-8"/>
          <w:sz w:val="20"/>
        </w:rPr>
        <w:t> </w:t>
      </w:r>
      <w:r>
        <w:rPr>
          <w:sz w:val="20"/>
        </w:rPr>
        <w:t>tabaco;</w:t>
      </w:r>
      <w:r>
        <w:rPr>
          <w:spacing w:val="-5"/>
          <w:sz w:val="20"/>
        </w:rPr>
        <w:t> </w:t>
      </w:r>
      <w:r>
        <w:rPr>
          <w:spacing w:val="-10"/>
          <w:sz w:val="20"/>
        </w:rPr>
        <w:t>y</w:t>
      </w:r>
    </w:p>
    <w:p>
      <w:pPr>
        <w:spacing w:line="183" w:lineRule="exact" w:before="0"/>
        <w:ind w:left="7311" w:right="0" w:firstLine="0"/>
        <w:jc w:val="lef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30-11-</w:t>
      </w:r>
      <w:r>
        <w:rPr>
          <w:rFonts w:ascii="Times New Roman"/>
          <w:i/>
          <w:color w:val="0000FF"/>
          <w:spacing w:val="-4"/>
          <w:sz w:val="16"/>
        </w:rPr>
        <w:t>2012</w:t>
      </w:r>
    </w:p>
    <w:p>
      <w:pPr>
        <w:pStyle w:val="BodyText"/>
        <w:spacing w:before="1"/>
        <w:rPr>
          <w:rFonts w:ascii="Times New Roman"/>
          <w:i/>
        </w:rPr>
      </w:pPr>
    </w:p>
    <w:p>
      <w:pPr>
        <w:pStyle w:val="ListParagraph"/>
        <w:numPr>
          <w:ilvl w:val="1"/>
          <w:numId w:val="214"/>
        </w:numPr>
        <w:tabs>
          <w:tab w:pos="1761" w:val="left" w:leader="none"/>
        </w:tabs>
        <w:spacing w:line="240" w:lineRule="auto" w:before="0" w:after="0"/>
        <w:ind w:left="1761" w:right="0" w:hanging="566"/>
        <w:jc w:val="left"/>
        <w:rPr>
          <w:sz w:val="20"/>
        </w:rPr>
      </w:pPr>
      <w:r>
        <w:rPr>
          <w:sz w:val="20"/>
        </w:rPr>
        <w:t>Servicios</w:t>
      </w:r>
      <w:r>
        <w:rPr>
          <w:spacing w:val="-4"/>
          <w:sz w:val="20"/>
        </w:rPr>
        <w:t> </w:t>
      </w:r>
      <w:r>
        <w:rPr>
          <w:sz w:val="20"/>
        </w:rPr>
        <w:t>de</w:t>
      </w:r>
      <w:r>
        <w:rPr>
          <w:spacing w:val="-7"/>
          <w:sz w:val="20"/>
        </w:rPr>
        <w:t> </w:t>
      </w:r>
      <w:r>
        <w:rPr>
          <w:sz w:val="20"/>
        </w:rPr>
        <w:t>banca</w:t>
      </w:r>
      <w:r>
        <w:rPr>
          <w:spacing w:val="-2"/>
          <w:sz w:val="20"/>
        </w:rPr>
        <w:t> </w:t>
      </w:r>
      <w:r>
        <w:rPr>
          <w:sz w:val="20"/>
        </w:rPr>
        <w:t>y</w:t>
      </w:r>
      <w:r>
        <w:rPr>
          <w:spacing w:val="-9"/>
          <w:sz w:val="20"/>
        </w:rPr>
        <w:t> </w:t>
      </w:r>
      <w:r>
        <w:rPr>
          <w:spacing w:val="-2"/>
          <w:sz w:val="20"/>
        </w:rPr>
        <w:t>crédito.</w:t>
      </w:r>
    </w:p>
    <w:p>
      <w:pPr>
        <w:spacing w:before="1"/>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30-11-</w:t>
      </w:r>
      <w:r>
        <w:rPr>
          <w:rFonts w:ascii="Times New Roman"/>
          <w:i/>
          <w:color w:val="0000FF"/>
          <w:spacing w:val="-4"/>
          <w:sz w:val="16"/>
        </w:rPr>
        <w:t>2012</w:t>
      </w:r>
    </w:p>
    <w:p>
      <w:pPr>
        <w:spacing w:after="0"/>
        <w:jc w:val="right"/>
        <w:rPr>
          <w:rFonts w:ascii="Times New Roman"/>
          <w:i/>
          <w:sz w:val="16"/>
        </w:rPr>
        <w:sectPr>
          <w:pgSz w:w="12240" w:h="15840"/>
          <w:pgMar w:header="724" w:footer="712" w:top="1880" w:bottom="900" w:left="1080" w:right="1080"/>
        </w:sectPr>
      </w:pPr>
    </w:p>
    <w:p>
      <w:pPr>
        <w:pStyle w:val="BodyText"/>
        <w:rPr>
          <w:rFonts w:ascii="Times New Roman"/>
          <w:i/>
        </w:rPr>
      </w:pPr>
    </w:p>
    <w:p>
      <w:pPr>
        <w:pStyle w:val="BodyText"/>
        <w:spacing w:before="63"/>
        <w:rPr>
          <w:rFonts w:ascii="Times New Roman"/>
          <w:i/>
        </w:rPr>
      </w:pPr>
    </w:p>
    <w:p>
      <w:pPr>
        <w:pStyle w:val="ListParagraph"/>
        <w:numPr>
          <w:ilvl w:val="0"/>
          <w:numId w:val="214"/>
        </w:numPr>
        <w:tabs>
          <w:tab w:pos="1195" w:val="left" w:leader="none"/>
        </w:tabs>
        <w:spacing w:line="240" w:lineRule="auto" w:before="0" w:after="0"/>
        <w:ind w:left="1195" w:right="0" w:hanging="569"/>
        <w:jc w:val="left"/>
        <w:rPr>
          <w:sz w:val="20"/>
        </w:rPr>
      </w:pPr>
      <w:r>
        <w:rPr>
          <w:spacing w:val="-2"/>
          <w:sz w:val="20"/>
        </w:rPr>
        <w:t>Empresas:</w:t>
      </w:r>
    </w:p>
    <w:p>
      <w:pPr>
        <w:pStyle w:val="BodyText"/>
        <w:spacing w:before="1"/>
      </w:pPr>
    </w:p>
    <w:p>
      <w:pPr>
        <w:pStyle w:val="ListParagraph"/>
        <w:numPr>
          <w:ilvl w:val="1"/>
          <w:numId w:val="214"/>
        </w:numPr>
        <w:tabs>
          <w:tab w:pos="1760" w:val="left" w:leader="none"/>
          <w:tab w:pos="1762" w:val="left" w:leader="none"/>
        </w:tabs>
        <w:spacing w:line="242" w:lineRule="auto" w:before="0" w:after="0"/>
        <w:ind w:left="1762" w:right="339" w:hanging="567"/>
        <w:jc w:val="both"/>
        <w:rPr>
          <w:sz w:val="20"/>
        </w:rPr>
      </w:pPr>
      <w:r>
        <w:rPr>
          <w:sz w:val="20"/>
        </w:rPr>
        <w:t>Aquéllas que sean administradas en forma directa o descentralizada por el Gobierno </w:t>
      </w:r>
      <w:r>
        <w:rPr>
          <w:spacing w:val="-2"/>
          <w:sz w:val="20"/>
        </w:rPr>
        <w:t>Federal;</w:t>
      </w:r>
    </w:p>
    <w:p>
      <w:pPr>
        <w:pStyle w:val="ListParagraph"/>
        <w:numPr>
          <w:ilvl w:val="1"/>
          <w:numId w:val="214"/>
        </w:numPr>
        <w:tabs>
          <w:tab w:pos="1760" w:val="left" w:leader="none"/>
          <w:tab w:pos="1762" w:val="left" w:leader="none"/>
        </w:tabs>
        <w:spacing w:line="240" w:lineRule="auto" w:before="224" w:after="0"/>
        <w:ind w:left="1762" w:right="337" w:hanging="567"/>
        <w:jc w:val="both"/>
        <w:rPr>
          <w:sz w:val="20"/>
        </w:rPr>
      </w:pPr>
      <w:r>
        <w:rPr>
          <w:sz w:val="20"/>
        </w:rPr>
        <w:t>Aquellas que actúen en virtud de un contrato, o concesión federal y las industrias que les sean conexas. Para los efectos de esta disposición, se considera que actúan bajo concesión federal aquellas empresas que tengan por objeto la administración y explotación</w:t>
      </w:r>
      <w:r>
        <w:rPr>
          <w:spacing w:val="-2"/>
          <w:sz w:val="20"/>
        </w:rPr>
        <w:t> </w:t>
      </w:r>
      <w:r>
        <w:rPr>
          <w:sz w:val="20"/>
        </w:rPr>
        <w:t>de</w:t>
      </w:r>
      <w:r>
        <w:rPr>
          <w:spacing w:val="-2"/>
          <w:sz w:val="20"/>
        </w:rPr>
        <w:t> </w:t>
      </w:r>
      <w:r>
        <w:rPr>
          <w:sz w:val="20"/>
        </w:rPr>
        <w:t>servicios</w:t>
      </w:r>
      <w:r>
        <w:rPr>
          <w:spacing w:val="-1"/>
          <w:sz w:val="20"/>
        </w:rPr>
        <w:t> </w:t>
      </w:r>
      <w:r>
        <w:rPr>
          <w:sz w:val="20"/>
        </w:rPr>
        <w:t>públicos o bienes del Estado en</w:t>
      </w:r>
      <w:r>
        <w:rPr>
          <w:spacing w:val="-3"/>
          <w:sz w:val="20"/>
        </w:rPr>
        <w:t> </w:t>
      </w:r>
      <w:r>
        <w:rPr>
          <w:sz w:val="20"/>
        </w:rPr>
        <w:t>forma</w:t>
      </w:r>
      <w:r>
        <w:rPr>
          <w:spacing w:val="-2"/>
          <w:sz w:val="20"/>
        </w:rPr>
        <w:t> </w:t>
      </w:r>
      <w:r>
        <w:rPr>
          <w:sz w:val="20"/>
        </w:rPr>
        <w:t>regular y</w:t>
      </w:r>
      <w:r>
        <w:rPr>
          <w:spacing w:val="-4"/>
          <w:sz w:val="20"/>
        </w:rPr>
        <w:t> </w:t>
      </w:r>
      <w:r>
        <w:rPr>
          <w:sz w:val="20"/>
        </w:rPr>
        <w:t>continua,</w:t>
      </w:r>
      <w:r>
        <w:rPr>
          <w:spacing w:val="-2"/>
          <w:sz w:val="20"/>
        </w:rPr>
        <w:t> </w:t>
      </w:r>
      <w:r>
        <w:rPr>
          <w:sz w:val="20"/>
        </w:rPr>
        <w:t>para la satisfacción del interés colectivo, a través de cualquier acto administrativo emitido por el gobierno federal, y</w:t>
      </w:r>
    </w:p>
    <w:p>
      <w:pPr>
        <w:spacing w:before="1"/>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30-11-</w:t>
      </w:r>
      <w:r>
        <w:rPr>
          <w:rFonts w:ascii="Times New Roman"/>
          <w:i/>
          <w:color w:val="0000FF"/>
          <w:spacing w:val="-4"/>
          <w:sz w:val="16"/>
        </w:rPr>
        <w:t>2012</w:t>
      </w:r>
    </w:p>
    <w:p>
      <w:pPr>
        <w:pStyle w:val="BodyText"/>
        <w:spacing w:before="47"/>
        <w:rPr>
          <w:rFonts w:ascii="Times New Roman"/>
          <w:i/>
          <w:sz w:val="16"/>
        </w:rPr>
      </w:pPr>
    </w:p>
    <w:p>
      <w:pPr>
        <w:pStyle w:val="ListParagraph"/>
        <w:numPr>
          <w:ilvl w:val="1"/>
          <w:numId w:val="214"/>
        </w:numPr>
        <w:tabs>
          <w:tab w:pos="1760" w:val="left" w:leader="none"/>
          <w:tab w:pos="1762" w:val="left" w:leader="none"/>
        </w:tabs>
        <w:spacing w:line="240" w:lineRule="auto" w:before="0" w:after="0"/>
        <w:ind w:left="1762" w:right="341" w:hanging="567"/>
        <w:jc w:val="both"/>
        <w:rPr>
          <w:sz w:val="20"/>
        </w:rPr>
      </w:pPr>
      <w:r>
        <w:rPr>
          <w:sz w:val="20"/>
        </w:rPr>
        <w:t>Aquéllas que ejecuten trabajos en zonas federales o que se encuentren bajo jurisdicción federal, en las aguas territoriales o en las comprendidas en la zona económica exclusiva de la Nación.</w:t>
      </w:r>
    </w:p>
    <w:p>
      <w:pPr>
        <w:pStyle w:val="BodyText"/>
        <w:spacing w:before="2"/>
      </w:pPr>
    </w:p>
    <w:p>
      <w:pPr>
        <w:pStyle w:val="BodyText"/>
        <w:ind w:left="338" w:right="344" w:firstLine="288"/>
        <w:jc w:val="both"/>
      </w:pPr>
      <w:r>
        <w:rPr/>
        <w:t>También corresponderá a las autoridades federales lo relativo al cumplimiento de las obligaciones patronales</w:t>
      </w:r>
      <w:r>
        <w:rPr>
          <w:spacing w:val="-1"/>
        </w:rPr>
        <w:t> </w:t>
      </w:r>
      <w:r>
        <w:rPr/>
        <w:t>en las</w:t>
      </w:r>
      <w:r>
        <w:rPr>
          <w:spacing w:val="-1"/>
        </w:rPr>
        <w:t> </w:t>
      </w:r>
      <w:r>
        <w:rPr/>
        <w:t>materias de</w:t>
      </w:r>
      <w:r>
        <w:rPr>
          <w:spacing w:val="-3"/>
        </w:rPr>
        <w:t> </w:t>
      </w:r>
      <w:r>
        <w:rPr/>
        <w:t>capacitación y</w:t>
      </w:r>
      <w:r>
        <w:rPr>
          <w:spacing w:val="-3"/>
        </w:rPr>
        <w:t> </w:t>
      </w:r>
      <w:r>
        <w:rPr/>
        <w:t>adiestramiento</w:t>
      </w:r>
      <w:r>
        <w:rPr>
          <w:spacing w:val="-2"/>
        </w:rPr>
        <w:t> </w:t>
      </w:r>
      <w:r>
        <w:rPr/>
        <w:t>de sus</w:t>
      </w:r>
      <w:r>
        <w:rPr>
          <w:spacing w:val="-1"/>
        </w:rPr>
        <w:t> </w:t>
      </w:r>
      <w:r>
        <w:rPr/>
        <w:t>trabajadores y</w:t>
      </w:r>
      <w:r>
        <w:rPr>
          <w:spacing w:val="-3"/>
        </w:rPr>
        <w:t> </w:t>
      </w:r>
      <w:r>
        <w:rPr/>
        <w:t>de</w:t>
      </w:r>
      <w:r>
        <w:rPr>
          <w:spacing w:val="-3"/>
        </w:rPr>
        <w:t> </w:t>
      </w:r>
      <w:r>
        <w:rPr/>
        <w:t>seguridad e higiene en los centros de trabajo.</w:t>
      </w:r>
    </w:p>
    <w:p>
      <w:pPr>
        <w:spacing w:line="181"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338" w:right="343" w:firstLine="288"/>
        <w:jc w:val="both"/>
      </w:pPr>
      <w:r>
        <w:rPr/>
        <w:t>Corresponderá a la Autoridad Registral conocer únicamente los actos y procedimientos relativos al registro de todos los contratos colectivos, reglamentos interiores de trabajo y de los sindicatos.</w:t>
      </w:r>
    </w:p>
    <w:p>
      <w:pPr>
        <w:spacing w:before="0"/>
        <w:ind w:left="6519" w:right="0" w:firstLine="80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07-02-1975,</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4"/>
        <w:rPr>
          <w:rFonts w:ascii="Times New Roman"/>
          <w:i/>
          <w:sz w:val="16"/>
        </w:rPr>
      </w:pPr>
    </w:p>
    <w:p>
      <w:pPr>
        <w:pStyle w:val="BodyText"/>
        <w:ind w:left="338" w:right="339" w:firstLine="288"/>
        <w:jc w:val="both"/>
      </w:pPr>
      <w:bookmarkStart w:name="Artículo_527_A" w:id="670"/>
      <w:bookmarkEnd w:id="670"/>
      <w:r>
        <w:rPr/>
      </w:r>
      <w:r>
        <w:rPr>
          <w:rFonts w:ascii="Arial" w:hAnsi="Arial"/>
          <w:b/>
        </w:rPr>
        <w:t>Artículo 527-A.- </w:t>
      </w:r>
      <w:r>
        <w:rPr/>
        <w:t>En la aplicación de las normas de trabajo referentes a la capacitación y adiestramiento de los trabajadores y las relativas a seguridad e higiene en el trabajo, las autoridades de</w:t>
      </w:r>
      <w:r>
        <w:rPr>
          <w:spacing w:val="40"/>
        </w:rPr>
        <w:t> </w:t>
      </w:r>
      <w:r>
        <w:rPr/>
        <w:t>la Federación serán auxiliadas por las locales, tratándose de empresas o establecimientos que, en los demás aspectos derivados de las relaciones laborales, estén sujetos a la jurisdicción de estas últimas.</w:t>
      </w:r>
    </w:p>
    <w:p>
      <w:pPr>
        <w:spacing w:line="183"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7"/>
        <w:rPr>
          <w:rFonts w:ascii="Times New Roman"/>
          <w:i/>
          <w:sz w:val="16"/>
        </w:rPr>
      </w:pPr>
    </w:p>
    <w:p>
      <w:pPr>
        <w:pStyle w:val="BodyText"/>
        <w:ind w:left="338" w:right="336" w:firstLine="288"/>
        <w:jc w:val="both"/>
      </w:pPr>
      <w:bookmarkStart w:name="Artículo_528" w:id="671"/>
      <w:bookmarkEnd w:id="671"/>
      <w:r>
        <w:rPr/>
      </w:r>
      <w:r>
        <w:rPr>
          <w:rFonts w:ascii="Arial" w:hAnsi="Arial"/>
          <w:b/>
        </w:rPr>
        <w:t>Artículo 528.- </w:t>
      </w:r>
      <w:r>
        <w:rPr/>
        <w:t>Para los efectos del punto 2 de la fracción II</w:t>
      </w:r>
      <w:r>
        <w:rPr>
          <w:spacing w:val="21"/>
        </w:rPr>
        <w:t> </w:t>
      </w:r>
      <w:r>
        <w:rPr/>
        <w:t>del artículo 527, son empresas conexas</w:t>
      </w:r>
      <w:r>
        <w:rPr>
          <w:spacing w:val="40"/>
        </w:rPr>
        <w:t> </w:t>
      </w:r>
      <w:r>
        <w:rPr/>
        <w:t>las relacionadas permanente y directamente para la elaboración de productos determinados o para la prestación unitaria de servicios.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7"/>
        <w:rPr>
          <w:rFonts w:ascii="Times New Roman"/>
          <w:i/>
          <w:sz w:val="16"/>
        </w:rPr>
      </w:pPr>
    </w:p>
    <w:p>
      <w:pPr>
        <w:pStyle w:val="BodyText"/>
        <w:ind w:left="338" w:right="357" w:firstLine="288"/>
      </w:pPr>
      <w:bookmarkStart w:name="Artículo_529" w:id="672"/>
      <w:bookmarkEnd w:id="672"/>
      <w:r>
        <w:rPr/>
      </w:r>
      <w:r>
        <w:rPr>
          <w:rFonts w:ascii="Arial" w:hAnsi="Arial"/>
          <w:b/>
        </w:rPr>
        <w:t>Artículo 529.- </w:t>
      </w:r>
      <w:r>
        <w:rPr/>
        <w:t>En los casos no previstos por los</w:t>
      </w:r>
      <w:r>
        <w:rPr>
          <w:spacing w:val="19"/>
        </w:rPr>
        <w:t> </w:t>
      </w:r>
      <w:r>
        <w:rPr/>
        <w:t>artículos 527</w:t>
      </w:r>
      <w:r>
        <w:rPr>
          <w:spacing w:val="17"/>
        </w:rPr>
        <w:t> </w:t>
      </w:r>
      <w:r>
        <w:rPr/>
        <w:t>y 528, la aplicación de las normas de</w:t>
      </w:r>
      <w:r>
        <w:rPr>
          <w:spacing w:val="40"/>
        </w:rPr>
        <w:t> </w:t>
      </w:r>
      <w:r>
        <w:rPr/>
        <w:t>trabajo corresponde a las autoridades de las Entidades Federativas.</w:t>
      </w:r>
    </w:p>
    <w:p>
      <w:pPr>
        <w:pStyle w:val="BodyText"/>
        <w:spacing w:before="1"/>
      </w:pPr>
    </w:p>
    <w:p>
      <w:pPr>
        <w:pStyle w:val="BodyText"/>
        <w:ind w:left="338" w:firstLine="288"/>
      </w:pPr>
      <w:r>
        <w:rPr/>
        <w:t>De conformidad con lo dispuesto por el artículo 527-A, las autoridades de las Entidades Federativas </w:t>
      </w:r>
      <w:r>
        <w:rPr>
          <w:spacing w:val="-2"/>
        </w:rPr>
        <w:t>deberán:</w:t>
      </w:r>
    </w:p>
    <w:p>
      <w:pPr>
        <w:pStyle w:val="BodyText"/>
      </w:pPr>
    </w:p>
    <w:p>
      <w:pPr>
        <w:pStyle w:val="ListParagraph"/>
        <w:numPr>
          <w:ilvl w:val="0"/>
          <w:numId w:val="215"/>
        </w:numPr>
        <w:tabs>
          <w:tab w:pos="1195" w:val="left" w:leader="none"/>
        </w:tabs>
        <w:spacing w:line="240" w:lineRule="auto" w:before="0" w:after="0"/>
        <w:ind w:left="1195" w:right="338" w:hanging="569"/>
        <w:jc w:val="left"/>
        <w:rPr>
          <w:sz w:val="20"/>
        </w:rPr>
      </w:pPr>
      <w:r>
        <w:rPr>
          <w:sz w:val="20"/>
        </w:rPr>
        <w:t>Poner a disposición de las Dependencias del Ejecutivo Federal competentes para aplicar esta Ley, la información que éstas les soliciten para estar en aptitud de cumplir sus funciones;</w:t>
      </w:r>
    </w:p>
    <w:p>
      <w:pPr>
        <w:pStyle w:val="ListParagraph"/>
        <w:numPr>
          <w:ilvl w:val="0"/>
          <w:numId w:val="215"/>
        </w:numPr>
        <w:tabs>
          <w:tab w:pos="1195" w:val="left" w:leader="none"/>
        </w:tabs>
        <w:spacing w:line="242" w:lineRule="auto" w:before="229" w:after="0"/>
        <w:ind w:left="1195" w:right="335" w:hanging="569"/>
        <w:jc w:val="left"/>
        <w:rPr>
          <w:sz w:val="20"/>
        </w:rPr>
      </w:pPr>
      <w:r>
        <w:rPr>
          <w:sz w:val="20"/>
        </w:rPr>
        <w:t>Participar</w:t>
      </w:r>
      <w:r>
        <w:rPr>
          <w:spacing w:val="40"/>
          <w:sz w:val="20"/>
        </w:rPr>
        <w:t> </w:t>
      </w:r>
      <w:r>
        <w:rPr>
          <w:sz w:val="20"/>
        </w:rPr>
        <w:t>en</w:t>
      </w:r>
      <w:r>
        <w:rPr>
          <w:spacing w:val="40"/>
          <w:sz w:val="20"/>
        </w:rPr>
        <w:t> </w:t>
      </w:r>
      <w:r>
        <w:rPr>
          <w:sz w:val="20"/>
        </w:rPr>
        <w:t>la</w:t>
      </w:r>
      <w:r>
        <w:rPr>
          <w:spacing w:val="40"/>
          <w:sz w:val="20"/>
        </w:rPr>
        <w:t> </w:t>
      </w:r>
      <w:r>
        <w:rPr>
          <w:sz w:val="20"/>
        </w:rPr>
        <w:t>integración</w:t>
      </w:r>
      <w:r>
        <w:rPr>
          <w:spacing w:val="40"/>
          <w:sz w:val="20"/>
        </w:rPr>
        <w:t> </w:t>
      </w:r>
      <w:r>
        <w:rPr>
          <w:sz w:val="20"/>
        </w:rPr>
        <w:t>y</w:t>
      </w:r>
      <w:r>
        <w:rPr>
          <w:spacing w:val="40"/>
          <w:sz w:val="20"/>
        </w:rPr>
        <w:t> </w:t>
      </w:r>
      <w:r>
        <w:rPr>
          <w:sz w:val="20"/>
        </w:rPr>
        <w:t>funcionamiento</w:t>
      </w:r>
      <w:r>
        <w:rPr>
          <w:spacing w:val="40"/>
          <w:sz w:val="20"/>
        </w:rPr>
        <w:t> </w:t>
      </w:r>
      <w:r>
        <w:rPr>
          <w:sz w:val="20"/>
        </w:rPr>
        <w:t>del</w:t>
      </w:r>
      <w:r>
        <w:rPr>
          <w:spacing w:val="40"/>
          <w:sz w:val="20"/>
        </w:rPr>
        <w:t> </w:t>
      </w:r>
      <w:r>
        <w:rPr>
          <w:sz w:val="20"/>
        </w:rPr>
        <w:t>respectivo</w:t>
      </w:r>
      <w:r>
        <w:rPr>
          <w:spacing w:val="40"/>
          <w:sz w:val="20"/>
        </w:rPr>
        <w:t> </w:t>
      </w:r>
      <w:r>
        <w:rPr>
          <w:sz w:val="20"/>
        </w:rPr>
        <w:t>Consejo</w:t>
      </w:r>
      <w:r>
        <w:rPr>
          <w:spacing w:val="40"/>
          <w:sz w:val="20"/>
        </w:rPr>
        <w:t> </w:t>
      </w:r>
      <w:r>
        <w:rPr>
          <w:sz w:val="20"/>
        </w:rPr>
        <w:t>Consultivo</w:t>
      </w:r>
      <w:r>
        <w:rPr>
          <w:spacing w:val="40"/>
          <w:sz w:val="20"/>
        </w:rPr>
        <w:t> </w:t>
      </w:r>
      <w:r>
        <w:rPr>
          <w:sz w:val="20"/>
        </w:rPr>
        <w:t>Estatal</w:t>
      </w:r>
      <w:r>
        <w:rPr>
          <w:spacing w:val="40"/>
          <w:sz w:val="20"/>
        </w:rPr>
        <w:t> </w:t>
      </w:r>
      <w:r>
        <w:rPr>
          <w:sz w:val="20"/>
        </w:rPr>
        <w:t>del Servicio Nacional de Empleo;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4"/>
        <w:rPr>
          <w:rFonts w:ascii="Times New Roman"/>
          <w:i/>
          <w:sz w:val="16"/>
        </w:rPr>
      </w:pPr>
    </w:p>
    <w:p>
      <w:pPr>
        <w:pStyle w:val="ListParagraph"/>
        <w:numPr>
          <w:ilvl w:val="0"/>
          <w:numId w:val="215"/>
        </w:numPr>
        <w:tabs>
          <w:tab w:pos="1195" w:val="left" w:leader="none"/>
        </w:tabs>
        <w:spacing w:line="242" w:lineRule="auto" w:before="1" w:after="0"/>
        <w:ind w:left="1195" w:right="345" w:hanging="569"/>
        <w:jc w:val="left"/>
        <w:rPr>
          <w:sz w:val="20"/>
        </w:rPr>
      </w:pPr>
      <w:r>
        <w:rPr>
          <w:sz w:val="20"/>
        </w:rPr>
        <w:t>Participar en la integración y</w:t>
      </w:r>
      <w:r>
        <w:rPr>
          <w:spacing w:val="-1"/>
          <w:sz w:val="20"/>
        </w:rPr>
        <w:t> </w:t>
      </w:r>
      <w:r>
        <w:rPr>
          <w:sz w:val="20"/>
        </w:rPr>
        <w:t>funcionamiento de la correspondiente Comisión Consultiva Estatal de Seguridad y Salud en el Trabajo;</w:t>
      </w:r>
    </w:p>
    <w:p>
      <w:pPr>
        <w:pStyle w:val="ListParagraph"/>
        <w:spacing w:after="0" w:line="242" w:lineRule="auto"/>
        <w:jc w:val="left"/>
        <w:rPr>
          <w:sz w:val="20"/>
        </w:rPr>
        <w:sectPr>
          <w:pgSz w:w="12240" w:h="15840"/>
          <w:pgMar w:header="724" w:footer="712" w:top="1880" w:bottom="900" w:left="1080" w:right="1080"/>
        </w:sectPr>
      </w:pPr>
    </w:p>
    <w:p>
      <w:pPr>
        <w:pStyle w:val="BodyText"/>
        <w:spacing w:before="109"/>
        <w:rPr>
          <w:sz w:val="16"/>
        </w:rPr>
      </w:pPr>
    </w:p>
    <w:p>
      <w:pPr>
        <w:spacing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215"/>
        </w:numPr>
        <w:tabs>
          <w:tab w:pos="1195" w:val="left" w:leader="none"/>
        </w:tabs>
        <w:spacing w:line="240" w:lineRule="auto" w:before="0" w:after="0"/>
        <w:ind w:left="1195" w:right="337" w:hanging="569"/>
        <w:jc w:val="both"/>
        <w:rPr>
          <w:sz w:val="20"/>
        </w:rPr>
      </w:pPr>
      <w:r>
        <w:rPr>
          <w:sz w:val="20"/>
        </w:rPr>
        <w:t>Reportar</w:t>
      </w:r>
      <w:r>
        <w:rPr>
          <w:spacing w:val="-1"/>
          <w:sz w:val="20"/>
        </w:rPr>
        <w:t> </w:t>
      </w:r>
      <w:r>
        <w:rPr>
          <w:sz w:val="20"/>
        </w:rPr>
        <w:t>a</w:t>
      </w:r>
      <w:r>
        <w:rPr>
          <w:spacing w:val="-2"/>
          <w:sz w:val="20"/>
        </w:rPr>
        <w:t> </w:t>
      </w:r>
      <w:r>
        <w:rPr>
          <w:sz w:val="20"/>
        </w:rPr>
        <w:t>la</w:t>
      </w:r>
      <w:r>
        <w:rPr>
          <w:spacing w:val="-2"/>
          <w:sz w:val="20"/>
        </w:rPr>
        <w:t> </w:t>
      </w:r>
      <w:r>
        <w:rPr>
          <w:sz w:val="20"/>
        </w:rPr>
        <w:t>Secretaría</w:t>
      </w:r>
      <w:r>
        <w:rPr>
          <w:spacing w:val="-2"/>
          <w:sz w:val="20"/>
        </w:rPr>
        <w:t> </w:t>
      </w:r>
      <w:r>
        <w:rPr>
          <w:sz w:val="20"/>
        </w:rPr>
        <w:t>del</w:t>
      </w:r>
      <w:r>
        <w:rPr>
          <w:spacing w:val="-5"/>
          <w:sz w:val="20"/>
        </w:rPr>
        <w:t> </w:t>
      </w:r>
      <w:r>
        <w:rPr>
          <w:sz w:val="20"/>
        </w:rPr>
        <w:t>Trabajo y</w:t>
      </w:r>
      <w:r>
        <w:rPr>
          <w:spacing w:val="-5"/>
          <w:sz w:val="20"/>
        </w:rPr>
        <w:t> </w:t>
      </w:r>
      <w:r>
        <w:rPr>
          <w:sz w:val="20"/>
        </w:rPr>
        <w:t>Previsión</w:t>
      </w:r>
      <w:r>
        <w:rPr>
          <w:spacing w:val="-3"/>
          <w:sz w:val="20"/>
        </w:rPr>
        <w:t> </w:t>
      </w:r>
      <w:r>
        <w:rPr>
          <w:sz w:val="20"/>
        </w:rPr>
        <w:t>Social</w:t>
      </w:r>
      <w:r>
        <w:rPr>
          <w:spacing w:val="-3"/>
          <w:sz w:val="20"/>
        </w:rPr>
        <w:t> </w:t>
      </w:r>
      <w:r>
        <w:rPr>
          <w:sz w:val="20"/>
        </w:rPr>
        <w:t>las</w:t>
      </w:r>
      <w:r>
        <w:rPr>
          <w:spacing w:val="-1"/>
          <w:sz w:val="20"/>
        </w:rPr>
        <w:t> </w:t>
      </w:r>
      <w:r>
        <w:rPr>
          <w:sz w:val="20"/>
        </w:rPr>
        <w:t>violaciones</w:t>
      </w:r>
      <w:r>
        <w:rPr>
          <w:spacing w:val="-1"/>
          <w:sz w:val="20"/>
        </w:rPr>
        <w:t> </w:t>
      </w:r>
      <w:r>
        <w:rPr>
          <w:sz w:val="20"/>
        </w:rPr>
        <w:t>que</w:t>
      </w:r>
      <w:r>
        <w:rPr>
          <w:spacing w:val="-2"/>
          <w:sz w:val="20"/>
        </w:rPr>
        <w:t> </w:t>
      </w:r>
      <w:r>
        <w:rPr>
          <w:sz w:val="20"/>
        </w:rPr>
        <w:t>cometan</w:t>
      </w:r>
      <w:r>
        <w:rPr>
          <w:spacing w:val="-2"/>
          <w:sz w:val="20"/>
        </w:rPr>
        <w:t> </w:t>
      </w:r>
      <w:r>
        <w:rPr>
          <w:sz w:val="20"/>
        </w:rPr>
        <w:t>los</w:t>
      </w:r>
      <w:r>
        <w:rPr>
          <w:spacing w:val="-3"/>
          <w:sz w:val="20"/>
        </w:rPr>
        <w:t> </w:t>
      </w:r>
      <w:r>
        <w:rPr>
          <w:sz w:val="20"/>
        </w:rPr>
        <w:t>patrones en materia de seguridad e higiene y de capacitación y adiestramiento e intervenir en la</w:t>
      </w:r>
      <w:r>
        <w:rPr>
          <w:spacing w:val="40"/>
          <w:sz w:val="20"/>
        </w:rPr>
        <w:t> </w:t>
      </w:r>
      <w:r>
        <w:rPr>
          <w:sz w:val="20"/>
        </w:rPr>
        <w:t>ejecución de las medidas que se adopten para sancionar tales violaciones y para corregir las irregularidades en las empresas o establecimientos sujetos a jurisdicción local;</w:t>
      </w:r>
    </w:p>
    <w:p>
      <w:pPr>
        <w:pStyle w:val="BodyText"/>
      </w:pPr>
    </w:p>
    <w:p>
      <w:pPr>
        <w:pStyle w:val="ListParagraph"/>
        <w:numPr>
          <w:ilvl w:val="0"/>
          <w:numId w:val="215"/>
        </w:numPr>
        <w:tabs>
          <w:tab w:pos="1195" w:val="left" w:leader="none"/>
        </w:tabs>
        <w:spacing w:line="240" w:lineRule="auto" w:before="0" w:after="0"/>
        <w:ind w:left="1195" w:right="0" w:hanging="569"/>
        <w:jc w:val="left"/>
        <w:rPr>
          <w:sz w:val="20"/>
        </w:rPr>
      </w:pPr>
      <w:r>
        <w:rPr>
          <w:sz w:val="20"/>
        </w:rPr>
        <w:t>Coadyuvar</w:t>
      </w:r>
      <w:r>
        <w:rPr>
          <w:spacing w:val="-10"/>
          <w:sz w:val="20"/>
        </w:rPr>
        <w:t> </w:t>
      </w:r>
      <w:r>
        <w:rPr>
          <w:sz w:val="20"/>
        </w:rPr>
        <w:t>con</w:t>
      </w:r>
      <w:r>
        <w:rPr>
          <w:spacing w:val="-9"/>
          <w:sz w:val="20"/>
        </w:rPr>
        <w:t> </w:t>
      </w:r>
      <w:r>
        <w:rPr>
          <w:sz w:val="20"/>
        </w:rPr>
        <w:t>los</w:t>
      </w:r>
      <w:r>
        <w:rPr>
          <w:spacing w:val="-8"/>
          <w:sz w:val="20"/>
        </w:rPr>
        <w:t> </w:t>
      </w:r>
      <w:r>
        <w:rPr>
          <w:sz w:val="20"/>
        </w:rPr>
        <w:t>correspondientes</w:t>
      </w:r>
      <w:r>
        <w:rPr>
          <w:spacing w:val="-9"/>
          <w:sz w:val="20"/>
        </w:rPr>
        <w:t> </w:t>
      </w:r>
      <w:r>
        <w:rPr>
          <w:sz w:val="20"/>
        </w:rPr>
        <w:t>Comités</w:t>
      </w:r>
      <w:r>
        <w:rPr>
          <w:spacing w:val="-8"/>
          <w:sz w:val="20"/>
        </w:rPr>
        <w:t> </w:t>
      </w:r>
      <w:r>
        <w:rPr>
          <w:sz w:val="20"/>
        </w:rPr>
        <w:t>Nacionales</w:t>
      </w:r>
      <w:r>
        <w:rPr>
          <w:spacing w:val="-9"/>
          <w:sz w:val="20"/>
        </w:rPr>
        <w:t> </w:t>
      </w:r>
      <w:r>
        <w:rPr>
          <w:sz w:val="20"/>
        </w:rPr>
        <w:t>de</w:t>
      </w:r>
      <w:r>
        <w:rPr>
          <w:spacing w:val="-7"/>
          <w:sz w:val="20"/>
        </w:rPr>
        <w:t> </w:t>
      </w:r>
      <w:r>
        <w:rPr>
          <w:sz w:val="20"/>
        </w:rPr>
        <w:t>Productividad</w:t>
      </w:r>
      <w:r>
        <w:rPr>
          <w:spacing w:val="-8"/>
          <w:sz w:val="20"/>
        </w:rPr>
        <w:t> </w:t>
      </w:r>
      <w:r>
        <w:rPr>
          <w:sz w:val="20"/>
        </w:rPr>
        <w:t>y</w:t>
      </w:r>
      <w:r>
        <w:rPr>
          <w:spacing w:val="-10"/>
          <w:sz w:val="20"/>
        </w:rPr>
        <w:t> </w:t>
      </w:r>
      <w:r>
        <w:rPr>
          <w:spacing w:val="-2"/>
          <w:sz w:val="20"/>
        </w:rPr>
        <w:t>Capacitación;</w:t>
      </w:r>
    </w:p>
    <w:p>
      <w:pPr>
        <w:spacing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215"/>
        </w:numPr>
        <w:tabs>
          <w:tab w:pos="1195" w:val="left" w:leader="none"/>
        </w:tabs>
        <w:spacing w:line="240" w:lineRule="auto" w:before="0" w:after="0"/>
        <w:ind w:left="1195" w:right="0" w:hanging="569"/>
        <w:jc w:val="left"/>
        <w:rPr>
          <w:sz w:val="20"/>
        </w:rPr>
      </w:pPr>
      <w:r>
        <w:rPr>
          <w:sz w:val="20"/>
        </w:rPr>
        <w:t>Auxiliar</w:t>
      </w:r>
      <w:r>
        <w:rPr>
          <w:spacing w:val="-8"/>
          <w:sz w:val="20"/>
        </w:rPr>
        <w:t> </w:t>
      </w:r>
      <w:r>
        <w:rPr>
          <w:sz w:val="20"/>
        </w:rPr>
        <w:t>en</w:t>
      </w:r>
      <w:r>
        <w:rPr>
          <w:spacing w:val="-6"/>
          <w:sz w:val="20"/>
        </w:rPr>
        <w:t> </w:t>
      </w:r>
      <w:r>
        <w:rPr>
          <w:sz w:val="20"/>
        </w:rPr>
        <w:t>la</w:t>
      </w:r>
      <w:r>
        <w:rPr>
          <w:spacing w:val="-7"/>
          <w:sz w:val="20"/>
        </w:rPr>
        <w:t> </w:t>
      </w:r>
      <w:r>
        <w:rPr>
          <w:sz w:val="20"/>
        </w:rPr>
        <w:t>realización</w:t>
      </w:r>
      <w:r>
        <w:rPr>
          <w:spacing w:val="-8"/>
          <w:sz w:val="20"/>
        </w:rPr>
        <w:t> </w:t>
      </w:r>
      <w:r>
        <w:rPr>
          <w:sz w:val="20"/>
        </w:rPr>
        <w:t>de</w:t>
      </w:r>
      <w:r>
        <w:rPr>
          <w:spacing w:val="-3"/>
          <w:sz w:val="20"/>
        </w:rPr>
        <w:t> </w:t>
      </w:r>
      <w:r>
        <w:rPr>
          <w:sz w:val="20"/>
        </w:rPr>
        <w:t>los</w:t>
      </w:r>
      <w:r>
        <w:rPr>
          <w:spacing w:val="-6"/>
          <w:sz w:val="20"/>
        </w:rPr>
        <w:t> </w:t>
      </w:r>
      <w:r>
        <w:rPr>
          <w:sz w:val="20"/>
        </w:rPr>
        <w:t>trámites</w:t>
      </w:r>
      <w:r>
        <w:rPr>
          <w:spacing w:val="-7"/>
          <w:sz w:val="20"/>
        </w:rPr>
        <w:t> </w:t>
      </w:r>
      <w:r>
        <w:rPr>
          <w:sz w:val="20"/>
        </w:rPr>
        <w:t>relativos</w:t>
      </w:r>
      <w:r>
        <w:rPr>
          <w:spacing w:val="-6"/>
          <w:sz w:val="20"/>
        </w:rPr>
        <w:t> </w:t>
      </w:r>
      <w:r>
        <w:rPr>
          <w:sz w:val="20"/>
        </w:rPr>
        <w:t>a</w:t>
      </w:r>
      <w:r>
        <w:rPr>
          <w:spacing w:val="-9"/>
          <w:sz w:val="20"/>
        </w:rPr>
        <w:t> </w:t>
      </w:r>
      <w:r>
        <w:rPr>
          <w:sz w:val="20"/>
        </w:rPr>
        <w:t>constancias</w:t>
      </w:r>
      <w:r>
        <w:rPr>
          <w:spacing w:val="-6"/>
          <w:sz w:val="20"/>
        </w:rPr>
        <w:t> </w:t>
      </w:r>
      <w:r>
        <w:rPr>
          <w:sz w:val="20"/>
        </w:rPr>
        <w:t>de</w:t>
      </w:r>
      <w:r>
        <w:rPr>
          <w:spacing w:val="-8"/>
          <w:sz w:val="20"/>
        </w:rPr>
        <w:t> </w:t>
      </w:r>
      <w:r>
        <w:rPr>
          <w:sz w:val="20"/>
        </w:rPr>
        <w:t>habilidades</w:t>
      </w:r>
      <w:r>
        <w:rPr>
          <w:spacing w:val="-6"/>
          <w:sz w:val="20"/>
        </w:rPr>
        <w:t> </w:t>
      </w:r>
      <w:r>
        <w:rPr>
          <w:sz w:val="20"/>
        </w:rPr>
        <w:t>laborales;</w:t>
      </w:r>
      <w:r>
        <w:rPr>
          <w:spacing w:val="-3"/>
          <w:sz w:val="20"/>
        </w:rPr>
        <w:t> </w:t>
      </w:r>
      <w:r>
        <w:rPr>
          <w:spacing w:val="-5"/>
          <w:sz w:val="20"/>
        </w:rPr>
        <w:t>y,</w:t>
      </w:r>
    </w:p>
    <w:p>
      <w:pPr>
        <w:pStyle w:val="ListParagraph"/>
        <w:numPr>
          <w:ilvl w:val="0"/>
          <w:numId w:val="215"/>
        </w:numPr>
        <w:tabs>
          <w:tab w:pos="1193" w:val="left" w:leader="none"/>
          <w:tab w:pos="1195" w:val="left" w:leader="none"/>
        </w:tabs>
        <w:spacing w:line="242" w:lineRule="auto" w:before="229" w:after="0"/>
        <w:ind w:left="1195" w:right="344" w:hanging="569"/>
        <w:jc w:val="both"/>
        <w:rPr>
          <w:sz w:val="20"/>
        </w:rPr>
      </w:pPr>
      <w:r>
        <w:rPr>
          <w:sz w:val="20"/>
        </w:rPr>
        <w:t>Previa determinación general o solicitud específica de las autoridades federales, adoptar aquellas otras medidas que resulten necesarias para auxiliarlas en los aspectos concernientes</w:t>
      </w:r>
      <w:r>
        <w:rPr>
          <w:spacing w:val="40"/>
          <w:sz w:val="20"/>
        </w:rPr>
        <w:t> </w:t>
      </w:r>
      <w:r>
        <w:rPr>
          <w:sz w:val="20"/>
        </w:rPr>
        <w:t>a tal determinación o solicitud.</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5"/>
        <w:rPr>
          <w:rFonts w:ascii="Times New Roman"/>
          <w:i/>
          <w:sz w:val="16"/>
        </w:rPr>
      </w:pPr>
    </w:p>
    <w:p>
      <w:pPr>
        <w:pStyle w:val="Heading1"/>
        <w:ind w:left="298"/>
      </w:pPr>
      <w:r>
        <w:rPr/>
        <w:t>CAPITULO</w:t>
      </w:r>
      <w:r>
        <w:rPr>
          <w:spacing w:val="-9"/>
        </w:rPr>
        <w:t> </w:t>
      </w:r>
      <w:r>
        <w:rPr>
          <w:spacing w:val="-5"/>
        </w:rPr>
        <w:t>III</w:t>
      </w:r>
    </w:p>
    <w:p>
      <w:pPr>
        <w:pStyle w:val="Heading2"/>
        <w:spacing w:before="2"/>
        <w:ind w:left="299"/>
      </w:pPr>
      <w:r>
        <w:rPr/>
        <w:t>Procuraduría</w:t>
      </w:r>
      <w:r>
        <w:rPr>
          <w:spacing w:val="-4"/>
        </w:rPr>
        <w:t> </w:t>
      </w:r>
      <w:r>
        <w:rPr/>
        <w:t>de</w:t>
      </w:r>
      <w:r>
        <w:rPr>
          <w:spacing w:val="-4"/>
        </w:rPr>
        <w:t> </w:t>
      </w:r>
      <w:r>
        <w:rPr/>
        <w:t>la</w:t>
      </w:r>
      <w:r>
        <w:rPr>
          <w:spacing w:val="-4"/>
        </w:rPr>
        <w:t> </w:t>
      </w:r>
      <w:r>
        <w:rPr/>
        <w:t>defensa</w:t>
      </w:r>
      <w:r>
        <w:rPr>
          <w:spacing w:val="-2"/>
        </w:rPr>
        <w:t> </w:t>
      </w:r>
      <w:r>
        <w:rPr/>
        <w:t>del</w:t>
      </w:r>
      <w:r>
        <w:rPr>
          <w:spacing w:val="-3"/>
        </w:rPr>
        <w:t> </w:t>
      </w:r>
      <w:r>
        <w:rPr>
          <w:spacing w:val="-2"/>
        </w:rPr>
        <w:t>trabajo</w:t>
      </w:r>
    </w:p>
    <w:p>
      <w:pPr>
        <w:pStyle w:val="BodyText"/>
        <w:spacing w:before="1"/>
        <w:rPr>
          <w:rFonts w:ascii="Arial"/>
          <w:b/>
        </w:rPr>
      </w:pPr>
    </w:p>
    <w:p>
      <w:pPr>
        <w:pStyle w:val="BodyText"/>
        <w:ind w:left="626"/>
      </w:pPr>
      <w:bookmarkStart w:name="Artículo_530" w:id="673"/>
      <w:bookmarkEnd w:id="673"/>
      <w:r>
        <w:rPr/>
      </w:r>
      <w:r>
        <w:rPr>
          <w:rFonts w:ascii="Arial" w:hAnsi="Arial"/>
          <w:b/>
        </w:rPr>
        <w:t>Artículo</w:t>
      </w:r>
      <w:r>
        <w:rPr>
          <w:rFonts w:ascii="Arial" w:hAnsi="Arial"/>
          <w:b/>
          <w:spacing w:val="-7"/>
        </w:rPr>
        <w:t> </w:t>
      </w:r>
      <w:r>
        <w:rPr>
          <w:rFonts w:ascii="Arial" w:hAnsi="Arial"/>
          <w:b/>
        </w:rPr>
        <w:t>530.-</w:t>
      </w:r>
      <w:r>
        <w:rPr>
          <w:rFonts w:ascii="Arial" w:hAnsi="Arial"/>
          <w:b/>
          <w:spacing w:val="-7"/>
        </w:rPr>
        <w:t> </w:t>
      </w:r>
      <w:r>
        <w:rPr/>
        <w:t>La</w:t>
      </w:r>
      <w:r>
        <w:rPr>
          <w:spacing w:val="-7"/>
        </w:rPr>
        <w:t> </w:t>
      </w:r>
      <w:r>
        <w:rPr/>
        <w:t>procuraduría</w:t>
      </w:r>
      <w:r>
        <w:rPr>
          <w:spacing w:val="-8"/>
        </w:rPr>
        <w:t> </w:t>
      </w:r>
      <w:r>
        <w:rPr/>
        <w:t>de</w:t>
      </w:r>
      <w:r>
        <w:rPr>
          <w:spacing w:val="-6"/>
        </w:rPr>
        <w:t> </w:t>
      </w:r>
      <w:r>
        <w:rPr/>
        <w:t>la</w:t>
      </w:r>
      <w:r>
        <w:rPr>
          <w:spacing w:val="-6"/>
        </w:rPr>
        <w:t> </w:t>
      </w:r>
      <w:r>
        <w:rPr/>
        <w:t>Defensa</w:t>
      </w:r>
      <w:r>
        <w:rPr>
          <w:spacing w:val="-6"/>
        </w:rPr>
        <w:t> </w:t>
      </w:r>
      <w:r>
        <w:rPr/>
        <w:t>del</w:t>
      </w:r>
      <w:r>
        <w:rPr>
          <w:spacing w:val="-6"/>
        </w:rPr>
        <w:t> </w:t>
      </w:r>
      <w:r>
        <w:rPr/>
        <w:t>Trabajo</w:t>
      </w:r>
      <w:r>
        <w:rPr>
          <w:spacing w:val="-8"/>
        </w:rPr>
        <w:t> </w:t>
      </w:r>
      <w:r>
        <w:rPr/>
        <w:t>tiene</w:t>
      </w:r>
      <w:r>
        <w:rPr>
          <w:spacing w:val="-6"/>
        </w:rPr>
        <w:t> </w:t>
      </w:r>
      <w:r>
        <w:rPr/>
        <w:t>las</w:t>
      </w:r>
      <w:r>
        <w:rPr>
          <w:spacing w:val="-7"/>
        </w:rPr>
        <w:t> </w:t>
      </w:r>
      <w:r>
        <w:rPr/>
        <w:t>funciones</w:t>
      </w:r>
      <w:r>
        <w:rPr>
          <w:spacing w:val="-6"/>
        </w:rPr>
        <w:t> </w:t>
      </w:r>
      <w:r>
        <w:rPr>
          <w:spacing w:val="-2"/>
        </w:rPr>
        <w:t>siguientes:</w:t>
      </w:r>
    </w:p>
    <w:p>
      <w:pPr>
        <w:pStyle w:val="ListParagraph"/>
        <w:numPr>
          <w:ilvl w:val="0"/>
          <w:numId w:val="216"/>
        </w:numPr>
        <w:tabs>
          <w:tab w:pos="1193" w:val="left" w:leader="none"/>
          <w:tab w:pos="1195" w:val="left" w:leader="none"/>
        </w:tabs>
        <w:spacing w:line="242" w:lineRule="auto" w:before="228" w:after="0"/>
        <w:ind w:left="1195" w:right="339" w:hanging="569"/>
        <w:jc w:val="both"/>
        <w:rPr>
          <w:sz w:val="20"/>
        </w:rPr>
      </w:pPr>
      <w:r>
        <w:rPr>
          <w:sz w:val="20"/>
        </w:rPr>
        <w:t>Representar o asesorar a los trabajadores y a sus sindicatos, siempre que lo soliciten, ante cualquier autoridad, en las cuestiones que se relacionen con la aplicación de las normas de </w:t>
      </w:r>
      <w:r>
        <w:rPr>
          <w:spacing w:val="-2"/>
          <w:sz w:val="20"/>
        </w:rPr>
        <w:t>trabajo;</w:t>
      </w:r>
    </w:p>
    <w:p>
      <w:pPr>
        <w:pStyle w:val="ListParagraph"/>
        <w:numPr>
          <w:ilvl w:val="0"/>
          <w:numId w:val="216"/>
        </w:numPr>
        <w:tabs>
          <w:tab w:pos="1192" w:val="left" w:leader="none"/>
          <w:tab w:pos="1195" w:val="left" w:leader="none"/>
        </w:tabs>
        <w:spacing w:line="240" w:lineRule="auto" w:before="225" w:after="0"/>
        <w:ind w:left="1195" w:right="348" w:hanging="569"/>
        <w:jc w:val="both"/>
        <w:rPr>
          <w:sz w:val="20"/>
        </w:rPr>
      </w:pPr>
      <w:r>
        <w:rPr>
          <w:sz w:val="20"/>
        </w:rPr>
        <w:t>Interponer los recursos ordinarios y extraordinarios procedentes, para la defensa del trabajador o sindicato; y</w:t>
      </w:r>
    </w:p>
    <w:p>
      <w:pPr>
        <w:pStyle w:val="ListParagraph"/>
        <w:numPr>
          <w:ilvl w:val="0"/>
          <w:numId w:val="216"/>
        </w:numPr>
        <w:tabs>
          <w:tab w:pos="1191" w:val="left" w:leader="none"/>
          <w:tab w:pos="1195" w:val="left" w:leader="none"/>
        </w:tabs>
        <w:spacing w:line="242" w:lineRule="auto" w:before="229" w:after="0"/>
        <w:ind w:left="1195" w:right="342" w:hanging="569"/>
        <w:jc w:val="both"/>
        <w:rPr>
          <w:sz w:val="20"/>
        </w:rPr>
      </w:pPr>
      <w:r>
        <w:rPr>
          <w:sz w:val="20"/>
        </w:rPr>
        <w:t>Proponer a las partes interesadas soluciones amistosas para el arreglo de sus conflictos y</w:t>
      </w:r>
      <w:r>
        <w:rPr>
          <w:spacing w:val="40"/>
          <w:sz w:val="20"/>
        </w:rPr>
        <w:t> </w:t>
      </w:r>
      <w:r>
        <w:rPr>
          <w:sz w:val="20"/>
        </w:rPr>
        <w:t>hacer constar los resultados en actas autorizadas.</w:t>
      </w:r>
    </w:p>
    <w:p>
      <w:pPr>
        <w:pStyle w:val="ListParagraph"/>
        <w:numPr>
          <w:ilvl w:val="0"/>
          <w:numId w:val="216"/>
        </w:numPr>
        <w:tabs>
          <w:tab w:pos="1195" w:val="left" w:leader="none"/>
        </w:tabs>
        <w:spacing w:line="240" w:lineRule="auto" w:before="227" w:after="0"/>
        <w:ind w:left="1195" w:right="336" w:hanging="569"/>
        <w:jc w:val="both"/>
        <w:rPr>
          <w:sz w:val="20"/>
        </w:rPr>
      </w:pPr>
      <w:r>
        <w:rPr>
          <w:sz w:val="20"/>
        </w:rPr>
        <w:t>Auxiliar a los Centros de Conciliación, en otorgar información y orientación a los trabajadores que acudan a dichas instancias, y</w:t>
      </w:r>
    </w:p>
    <w:p>
      <w:pPr>
        <w:spacing w:line="183"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16"/>
        </w:numPr>
        <w:tabs>
          <w:tab w:pos="1195" w:val="left" w:leader="none"/>
        </w:tabs>
        <w:spacing w:line="229" w:lineRule="exact" w:before="0" w:after="0"/>
        <w:ind w:left="1195" w:right="0" w:hanging="569"/>
        <w:jc w:val="left"/>
        <w:rPr>
          <w:sz w:val="20"/>
        </w:rPr>
      </w:pPr>
      <w:r>
        <w:rPr>
          <w:sz w:val="20"/>
        </w:rPr>
        <w:t>Auxiliar</w:t>
      </w:r>
      <w:r>
        <w:rPr>
          <w:spacing w:val="-7"/>
          <w:sz w:val="20"/>
        </w:rPr>
        <w:t> </w:t>
      </w:r>
      <w:r>
        <w:rPr>
          <w:sz w:val="20"/>
        </w:rPr>
        <w:t>en</w:t>
      </w:r>
      <w:r>
        <w:rPr>
          <w:spacing w:val="-5"/>
          <w:sz w:val="20"/>
        </w:rPr>
        <w:t> </w:t>
      </w:r>
      <w:r>
        <w:rPr>
          <w:sz w:val="20"/>
        </w:rPr>
        <w:t>las</w:t>
      </w:r>
      <w:r>
        <w:rPr>
          <w:spacing w:val="-6"/>
          <w:sz w:val="20"/>
        </w:rPr>
        <w:t> </w:t>
      </w:r>
      <w:r>
        <w:rPr>
          <w:sz w:val="20"/>
        </w:rPr>
        <w:t>audiencias</w:t>
      </w:r>
      <w:r>
        <w:rPr>
          <w:spacing w:val="-6"/>
          <w:sz w:val="20"/>
        </w:rPr>
        <w:t> </w:t>
      </w:r>
      <w:r>
        <w:rPr>
          <w:sz w:val="20"/>
        </w:rPr>
        <w:t>de</w:t>
      </w:r>
      <w:r>
        <w:rPr>
          <w:spacing w:val="-7"/>
          <w:sz w:val="20"/>
        </w:rPr>
        <w:t> </w:t>
      </w:r>
      <w:r>
        <w:rPr>
          <w:sz w:val="20"/>
        </w:rPr>
        <w:t>conciliación</w:t>
      </w:r>
      <w:r>
        <w:rPr>
          <w:spacing w:val="-6"/>
          <w:sz w:val="20"/>
        </w:rPr>
        <w:t> </w:t>
      </w:r>
      <w:r>
        <w:rPr>
          <w:sz w:val="20"/>
        </w:rPr>
        <w:t>a</w:t>
      </w:r>
      <w:r>
        <w:rPr>
          <w:spacing w:val="-6"/>
          <w:sz w:val="20"/>
        </w:rPr>
        <w:t> </w:t>
      </w:r>
      <w:r>
        <w:rPr>
          <w:sz w:val="20"/>
        </w:rPr>
        <w:t>las</w:t>
      </w:r>
      <w:r>
        <w:rPr>
          <w:spacing w:val="-6"/>
          <w:sz w:val="20"/>
        </w:rPr>
        <w:t> </w:t>
      </w:r>
      <w:r>
        <w:rPr>
          <w:sz w:val="20"/>
        </w:rPr>
        <w:t>personas</w:t>
      </w:r>
      <w:r>
        <w:rPr>
          <w:spacing w:val="-6"/>
          <w:sz w:val="20"/>
        </w:rPr>
        <w:t> </w:t>
      </w:r>
      <w:r>
        <w:rPr>
          <w:sz w:val="20"/>
        </w:rPr>
        <w:t>que</w:t>
      </w:r>
      <w:r>
        <w:rPr>
          <w:spacing w:val="-5"/>
          <w:sz w:val="20"/>
        </w:rPr>
        <w:t> </w:t>
      </w:r>
      <w:r>
        <w:rPr>
          <w:sz w:val="20"/>
        </w:rPr>
        <w:t>lo</w:t>
      </w:r>
      <w:r>
        <w:rPr>
          <w:spacing w:val="-7"/>
          <w:sz w:val="20"/>
        </w:rPr>
        <w:t> </w:t>
      </w:r>
      <w:r>
        <w:rPr>
          <w:spacing w:val="-2"/>
          <w:sz w:val="20"/>
        </w:rPr>
        <w:t>soliciten.</w:t>
      </w:r>
    </w:p>
    <w:p>
      <w:pPr>
        <w:spacing w:line="183"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1"/>
        <w:ind w:left="626" w:right="0" w:firstLine="0"/>
        <w:jc w:val="left"/>
        <w:rPr>
          <w:sz w:val="20"/>
        </w:rPr>
      </w:pPr>
      <w:bookmarkStart w:name="Artículo_530_Bis" w:id="674"/>
      <w:bookmarkEnd w:id="674"/>
      <w:r>
        <w:rPr/>
      </w:r>
      <w:r>
        <w:rPr>
          <w:rFonts w:ascii="Arial" w:hAnsi="Arial"/>
          <w:b/>
          <w:sz w:val="20"/>
        </w:rPr>
        <w:t>Artículo</w:t>
      </w:r>
      <w:r>
        <w:rPr>
          <w:rFonts w:ascii="Arial" w:hAnsi="Arial"/>
          <w:b/>
          <w:spacing w:val="-5"/>
          <w:sz w:val="20"/>
        </w:rPr>
        <w:t> </w:t>
      </w:r>
      <w:r>
        <w:rPr>
          <w:rFonts w:ascii="Arial" w:hAnsi="Arial"/>
          <w:b/>
          <w:sz w:val="20"/>
        </w:rPr>
        <w:t>530</w:t>
      </w:r>
      <w:r>
        <w:rPr>
          <w:rFonts w:ascii="Arial" w:hAnsi="Arial"/>
          <w:b/>
          <w:spacing w:val="-5"/>
          <w:sz w:val="20"/>
        </w:rPr>
        <w:t> </w:t>
      </w:r>
      <w:r>
        <w:rPr>
          <w:rFonts w:ascii="Arial" w:hAnsi="Arial"/>
          <w:b/>
          <w:sz w:val="20"/>
        </w:rPr>
        <w:t>Bis.-</w:t>
      </w:r>
      <w:r>
        <w:rPr>
          <w:rFonts w:ascii="Arial" w:hAnsi="Arial"/>
          <w:b/>
          <w:spacing w:val="-3"/>
          <w:sz w:val="20"/>
        </w:rPr>
        <w:t> </w:t>
      </w:r>
      <w:r>
        <w:rPr>
          <w:sz w:val="20"/>
        </w:rPr>
        <w:t>Se</w:t>
      </w:r>
      <w:r>
        <w:rPr>
          <w:spacing w:val="-5"/>
          <w:sz w:val="20"/>
        </w:rPr>
        <w:t> </w:t>
      </w:r>
      <w:r>
        <w:rPr>
          <w:spacing w:val="-2"/>
          <w:sz w:val="20"/>
        </w:rPr>
        <w:t>deroga.</w:t>
      </w:r>
    </w:p>
    <w:p>
      <w:pPr>
        <w:spacing w:before="0"/>
        <w:ind w:left="54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line="242" w:lineRule="auto" w:before="229"/>
        <w:ind w:left="338" w:right="341" w:firstLine="288"/>
        <w:jc w:val="both"/>
      </w:pPr>
      <w:bookmarkStart w:name="Artículo_531" w:id="675"/>
      <w:bookmarkEnd w:id="675"/>
      <w:r>
        <w:rPr/>
      </w:r>
      <w:r>
        <w:rPr>
          <w:rFonts w:ascii="Arial" w:hAnsi="Arial"/>
          <w:b/>
        </w:rPr>
        <w:t>Artículo 531.- </w:t>
      </w:r>
      <w:r>
        <w:rPr/>
        <w:t>La Procuraduría de la Defensa del Trabajo se integrará con un Procurador General y con el número de Procuradores Auxiliares que se juzgue necesario para la defensa de los intereses de</w:t>
      </w:r>
      <w:r>
        <w:rPr>
          <w:spacing w:val="40"/>
        </w:rPr>
        <w:t> </w:t>
      </w:r>
      <w:r>
        <w:rPr/>
        <w:t>los trabajadores. Los nombramientos se harán por el Secretario del Trabajo y Previsión Social, por los Gobernadores de los Estados o por el Jefe de Gobierno de la Ciudad de México.</w:t>
      </w:r>
    </w:p>
    <w:p>
      <w:pPr>
        <w:spacing w:line="174" w:lineRule="exact" w:before="0"/>
        <w:ind w:left="56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626"/>
      </w:pPr>
      <w:bookmarkStart w:name="Artículo_532" w:id="676"/>
      <w:bookmarkEnd w:id="676"/>
      <w:r>
        <w:rPr/>
      </w:r>
      <w:r>
        <w:rPr>
          <w:rFonts w:ascii="Arial" w:hAnsi="Arial"/>
          <w:b/>
        </w:rPr>
        <w:t>Artículo</w:t>
      </w:r>
      <w:r>
        <w:rPr>
          <w:rFonts w:ascii="Arial" w:hAnsi="Arial"/>
          <w:b/>
          <w:spacing w:val="-8"/>
        </w:rPr>
        <w:t> </w:t>
      </w:r>
      <w:r>
        <w:rPr>
          <w:rFonts w:ascii="Arial" w:hAnsi="Arial"/>
          <w:b/>
        </w:rPr>
        <w:t>532.-</w:t>
      </w:r>
      <w:r>
        <w:rPr>
          <w:rFonts w:ascii="Arial" w:hAnsi="Arial"/>
          <w:b/>
          <w:spacing w:val="-5"/>
        </w:rPr>
        <w:t> </w:t>
      </w:r>
      <w:r>
        <w:rPr/>
        <w:t>El</w:t>
      </w:r>
      <w:r>
        <w:rPr>
          <w:spacing w:val="-7"/>
        </w:rPr>
        <w:t> </w:t>
      </w:r>
      <w:r>
        <w:rPr/>
        <w:t>Procurador</w:t>
      </w:r>
      <w:r>
        <w:rPr>
          <w:spacing w:val="-8"/>
        </w:rPr>
        <w:t> </w:t>
      </w:r>
      <w:r>
        <w:rPr/>
        <w:t>General</w:t>
      </w:r>
      <w:r>
        <w:rPr>
          <w:spacing w:val="-9"/>
        </w:rPr>
        <w:t> </w:t>
      </w:r>
      <w:r>
        <w:rPr/>
        <w:t>deberá</w:t>
      </w:r>
      <w:r>
        <w:rPr>
          <w:spacing w:val="-6"/>
        </w:rPr>
        <w:t> </w:t>
      </w:r>
      <w:r>
        <w:rPr/>
        <w:t>satisfacer</w:t>
      </w:r>
      <w:r>
        <w:rPr>
          <w:spacing w:val="-8"/>
        </w:rPr>
        <w:t> </w:t>
      </w:r>
      <w:r>
        <w:rPr/>
        <w:t>los</w:t>
      </w:r>
      <w:r>
        <w:rPr>
          <w:spacing w:val="-7"/>
        </w:rPr>
        <w:t> </w:t>
      </w:r>
      <w:r>
        <w:rPr/>
        <w:t>requisitos</w:t>
      </w:r>
      <w:r>
        <w:rPr>
          <w:spacing w:val="-7"/>
        </w:rPr>
        <w:t> </w:t>
      </w:r>
      <w:r>
        <w:rPr>
          <w:spacing w:val="-2"/>
        </w:rPr>
        <w:t>siguientes:</w:t>
      </w:r>
    </w:p>
    <w:p>
      <w:pPr>
        <w:pStyle w:val="BodyText"/>
        <w:spacing w:before="1"/>
      </w:pPr>
    </w:p>
    <w:p>
      <w:pPr>
        <w:pStyle w:val="ListParagraph"/>
        <w:numPr>
          <w:ilvl w:val="0"/>
          <w:numId w:val="217"/>
        </w:numPr>
        <w:tabs>
          <w:tab w:pos="1195" w:val="left" w:leader="none"/>
        </w:tabs>
        <w:spacing w:line="240" w:lineRule="auto" w:before="0" w:after="0"/>
        <w:ind w:left="1195" w:right="0" w:hanging="569"/>
        <w:jc w:val="left"/>
        <w:rPr>
          <w:sz w:val="20"/>
        </w:rPr>
      </w:pPr>
      <w:r>
        <w:rPr>
          <w:sz w:val="20"/>
        </w:rPr>
        <w:t>Ser</w:t>
      </w:r>
      <w:r>
        <w:rPr>
          <w:spacing w:val="-6"/>
          <w:sz w:val="20"/>
        </w:rPr>
        <w:t> </w:t>
      </w:r>
      <w:r>
        <w:rPr>
          <w:sz w:val="20"/>
        </w:rPr>
        <w:t>mexicano,</w:t>
      </w:r>
      <w:r>
        <w:rPr>
          <w:spacing w:val="-5"/>
          <w:sz w:val="20"/>
        </w:rPr>
        <w:t> </w:t>
      </w:r>
      <w:r>
        <w:rPr>
          <w:sz w:val="20"/>
        </w:rPr>
        <w:t>mayor</w:t>
      </w:r>
      <w:r>
        <w:rPr>
          <w:spacing w:val="-5"/>
          <w:sz w:val="20"/>
        </w:rPr>
        <w:t> </w:t>
      </w:r>
      <w:r>
        <w:rPr>
          <w:sz w:val="20"/>
        </w:rPr>
        <w:t>de</w:t>
      </w:r>
      <w:r>
        <w:rPr>
          <w:spacing w:val="-4"/>
          <w:sz w:val="20"/>
        </w:rPr>
        <w:t> </w:t>
      </w:r>
      <w:r>
        <w:rPr>
          <w:sz w:val="20"/>
        </w:rPr>
        <w:t>edad</w:t>
      </w:r>
      <w:r>
        <w:rPr>
          <w:spacing w:val="-1"/>
          <w:sz w:val="20"/>
        </w:rPr>
        <w:t> </w:t>
      </w:r>
      <w:r>
        <w:rPr>
          <w:sz w:val="20"/>
        </w:rPr>
        <w:t>y</w:t>
      </w:r>
      <w:r>
        <w:rPr>
          <w:spacing w:val="-8"/>
          <w:sz w:val="20"/>
        </w:rPr>
        <w:t> </w:t>
      </w:r>
      <w:r>
        <w:rPr>
          <w:sz w:val="20"/>
        </w:rPr>
        <w:t>estar</w:t>
      </w:r>
      <w:r>
        <w:rPr>
          <w:spacing w:val="-6"/>
          <w:sz w:val="20"/>
        </w:rPr>
        <w:t> </w:t>
      </w:r>
      <w:r>
        <w:rPr>
          <w:sz w:val="20"/>
        </w:rPr>
        <w:t>en</w:t>
      </w:r>
      <w:r>
        <w:rPr>
          <w:spacing w:val="-5"/>
          <w:sz w:val="20"/>
        </w:rPr>
        <w:t> </w:t>
      </w:r>
      <w:r>
        <w:rPr>
          <w:sz w:val="20"/>
        </w:rPr>
        <w:t>pleno</w:t>
      </w:r>
      <w:r>
        <w:rPr>
          <w:spacing w:val="-6"/>
          <w:sz w:val="20"/>
        </w:rPr>
        <w:t> </w:t>
      </w:r>
      <w:r>
        <w:rPr>
          <w:sz w:val="20"/>
        </w:rPr>
        <w:t>ejercicio</w:t>
      </w:r>
      <w:r>
        <w:rPr>
          <w:spacing w:val="-5"/>
          <w:sz w:val="20"/>
        </w:rPr>
        <w:t> </w:t>
      </w:r>
      <w:r>
        <w:rPr>
          <w:sz w:val="20"/>
        </w:rPr>
        <w:t>de</w:t>
      </w:r>
      <w:r>
        <w:rPr>
          <w:spacing w:val="-6"/>
          <w:sz w:val="20"/>
        </w:rPr>
        <w:t> </w:t>
      </w:r>
      <w:r>
        <w:rPr>
          <w:sz w:val="20"/>
        </w:rPr>
        <w:t>sus</w:t>
      </w:r>
      <w:r>
        <w:rPr>
          <w:spacing w:val="-2"/>
          <w:sz w:val="20"/>
        </w:rPr>
        <w:t> derechos;</w:t>
      </w:r>
    </w:p>
    <w:p>
      <w:pPr>
        <w:pStyle w:val="ListParagraph"/>
        <w:numPr>
          <w:ilvl w:val="0"/>
          <w:numId w:val="217"/>
        </w:numPr>
        <w:tabs>
          <w:tab w:pos="1195" w:val="left" w:leader="none"/>
        </w:tabs>
        <w:spacing w:line="242" w:lineRule="auto" w:before="228" w:after="0"/>
        <w:ind w:left="1195" w:right="343" w:hanging="569"/>
        <w:jc w:val="left"/>
        <w:rPr>
          <w:sz w:val="20"/>
        </w:rPr>
      </w:pPr>
      <w:r>
        <w:rPr>
          <w:sz w:val="20"/>
        </w:rPr>
        <w:t>Tener título legalmente expedido de licenciado en derecho y una práctica profesional no menor de tres años;</w:t>
      </w:r>
    </w:p>
    <w:p>
      <w:pPr>
        <w:pStyle w:val="ListParagraph"/>
        <w:spacing w:after="0" w:line="242" w:lineRule="auto"/>
        <w:jc w:val="left"/>
        <w:rPr>
          <w:sz w:val="20"/>
        </w:rPr>
        <w:sectPr>
          <w:pgSz w:w="12240" w:h="15840"/>
          <w:pgMar w:header="724" w:footer="712" w:top="1880" w:bottom="900" w:left="1080" w:right="1080"/>
        </w:sectPr>
      </w:pPr>
    </w:p>
    <w:p>
      <w:pPr>
        <w:pStyle w:val="BodyText"/>
      </w:pPr>
    </w:p>
    <w:p>
      <w:pPr>
        <w:pStyle w:val="BodyText"/>
        <w:spacing w:before="63"/>
      </w:pPr>
    </w:p>
    <w:p>
      <w:pPr>
        <w:pStyle w:val="ListParagraph"/>
        <w:numPr>
          <w:ilvl w:val="0"/>
          <w:numId w:val="217"/>
        </w:numPr>
        <w:tabs>
          <w:tab w:pos="1195" w:val="left" w:leader="none"/>
        </w:tabs>
        <w:spacing w:line="240" w:lineRule="auto" w:before="0" w:after="0"/>
        <w:ind w:left="1195" w:right="0" w:hanging="569"/>
        <w:jc w:val="left"/>
        <w:rPr>
          <w:sz w:val="20"/>
        </w:rPr>
      </w:pPr>
      <w:r>
        <w:rPr>
          <w:sz w:val="20"/>
        </w:rPr>
        <w:t>Haberse</w:t>
      </w:r>
      <w:r>
        <w:rPr>
          <w:spacing w:val="-6"/>
          <w:sz w:val="20"/>
        </w:rPr>
        <w:t> </w:t>
      </w:r>
      <w:r>
        <w:rPr>
          <w:sz w:val="20"/>
        </w:rPr>
        <w:t>distinguido</w:t>
      </w:r>
      <w:r>
        <w:rPr>
          <w:spacing w:val="-7"/>
          <w:sz w:val="20"/>
        </w:rPr>
        <w:t> </w:t>
      </w:r>
      <w:r>
        <w:rPr>
          <w:sz w:val="20"/>
        </w:rPr>
        <w:t>en</w:t>
      </w:r>
      <w:r>
        <w:rPr>
          <w:spacing w:val="-5"/>
          <w:sz w:val="20"/>
        </w:rPr>
        <w:t> </w:t>
      </w:r>
      <w:r>
        <w:rPr>
          <w:sz w:val="20"/>
        </w:rPr>
        <w:t>estudios</w:t>
      </w:r>
      <w:r>
        <w:rPr>
          <w:spacing w:val="-7"/>
          <w:sz w:val="20"/>
        </w:rPr>
        <w:t> </w:t>
      </w:r>
      <w:r>
        <w:rPr>
          <w:sz w:val="20"/>
        </w:rPr>
        <w:t>de</w:t>
      </w:r>
      <w:r>
        <w:rPr>
          <w:spacing w:val="-6"/>
          <w:sz w:val="20"/>
        </w:rPr>
        <w:t> </w:t>
      </w:r>
      <w:r>
        <w:rPr>
          <w:sz w:val="20"/>
        </w:rPr>
        <w:t>derecho</w:t>
      </w:r>
      <w:r>
        <w:rPr>
          <w:spacing w:val="-5"/>
          <w:sz w:val="20"/>
        </w:rPr>
        <w:t> </w:t>
      </w:r>
      <w:r>
        <w:rPr>
          <w:sz w:val="20"/>
        </w:rPr>
        <w:t>del</w:t>
      </w:r>
      <w:r>
        <w:rPr>
          <w:spacing w:val="-8"/>
          <w:sz w:val="20"/>
        </w:rPr>
        <w:t> </w:t>
      </w:r>
      <w:r>
        <w:rPr>
          <w:sz w:val="20"/>
        </w:rPr>
        <w:t>trabajo</w:t>
      </w:r>
      <w:r>
        <w:rPr>
          <w:spacing w:val="-6"/>
          <w:sz w:val="20"/>
        </w:rPr>
        <w:t> </w:t>
      </w:r>
      <w:r>
        <w:rPr>
          <w:sz w:val="20"/>
        </w:rPr>
        <w:t>y</w:t>
      </w:r>
      <w:r>
        <w:rPr>
          <w:spacing w:val="-8"/>
          <w:sz w:val="20"/>
        </w:rPr>
        <w:t> </w:t>
      </w:r>
      <w:r>
        <w:rPr>
          <w:sz w:val="20"/>
        </w:rPr>
        <w:t>de</w:t>
      </w:r>
      <w:r>
        <w:rPr>
          <w:spacing w:val="-6"/>
          <w:sz w:val="20"/>
        </w:rPr>
        <w:t> </w:t>
      </w:r>
      <w:r>
        <w:rPr>
          <w:sz w:val="20"/>
        </w:rPr>
        <w:t>la</w:t>
      </w:r>
      <w:r>
        <w:rPr>
          <w:spacing w:val="-7"/>
          <w:sz w:val="20"/>
        </w:rPr>
        <w:t> </w:t>
      </w:r>
      <w:r>
        <w:rPr>
          <w:sz w:val="20"/>
        </w:rPr>
        <w:t>seguridad</w:t>
      </w:r>
      <w:r>
        <w:rPr>
          <w:spacing w:val="-7"/>
          <w:sz w:val="20"/>
        </w:rPr>
        <w:t> </w:t>
      </w:r>
      <w:r>
        <w:rPr>
          <w:spacing w:val="-2"/>
          <w:sz w:val="20"/>
        </w:rPr>
        <w:t>social;</w:t>
      </w:r>
    </w:p>
    <w:p>
      <w:pPr>
        <w:pStyle w:val="BodyText"/>
        <w:spacing w:before="1"/>
      </w:pPr>
    </w:p>
    <w:p>
      <w:pPr>
        <w:pStyle w:val="ListParagraph"/>
        <w:numPr>
          <w:ilvl w:val="0"/>
          <w:numId w:val="217"/>
        </w:numPr>
        <w:tabs>
          <w:tab w:pos="1195" w:val="left" w:leader="none"/>
        </w:tabs>
        <w:spacing w:line="240" w:lineRule="auto" w:before="0" w:after="0"/>
        <w:ind w:left="1195" w:right="0" w:hanging="569"/>
        <w:jc w:val="left"/>
        <w:rPr>
          <w:sz w:val="20"/>
        </w:rPr>
      </w:pPr>
      <w:r>
        <w:rPr>
          <w:sz w:val="20"/>
        </w:rPr>
        <w:t>No</w:t>
      </w:r>
      <w:r>
        <w:rPr>
          <w:spacing w:val="-6"/>
          <w:sz w:val="20"/>
        </w:rPr>
        <w:t> </w:t>
      </w:r>
      <w:r>
        <w:rPr>
          <w:sz w:val="20"/>
        </w:rPr>
        <w:t>ser</w:t>
      </w:r>
      <w:r>
        <w:rPr>
          <w:spacing w:val="-5"/>
          <w:sz w:val="20"/>
        </w:rPr>
        <w:t> </w:t>
      </w:r>
      <w:r>
        <w:rPr>
          <w:sz w:val="20"/>
        </w:rPr>
        <w:t>ministro</w:t>
      </w:r>
      <w:r>
        <w:rPr>
          <w:spacing w:val="-6"/>
          <w:sz w:val="20"/>
        </w:rPr>
        <w:t> </w:t>
      </w:r>
      <w:r>
        <w:rPr>
          <w:sz w:val="20"/>
        </w:rPr>
        <w:t>de</w:t>
      </w:r>
      <w:r>
        <w:rPr>
          <w:spacing w:val="-5"/>
          <w:sz w:val="20"/>
        </w:rPr>
        <w:t> </w:t>
      </w:r>
      <w:r>
        <w:rPr>
          <w:sz w:val="20"/>
        </w:rPr>
        <w:t>culto;</w:t>
      </w:r>
      <w:r>
        <w:rPr>
          <w:spacing w:val="-4"/>
          <w:sz w:val="20"/>
        </w:rPr>
        <w:t> </w:t>
      </w:r>
      <w:r>
        <w:rPr>
          <w:spacing w:val="-12"/>
          <w:sz w:val="20"/>
        </w:rPr>
        <w:t>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ListParagraph"/>
        <w:numPr>
          <w:ilvl w:val="0"/>
          <w:numId w:val="217"/>
        </w:numPr>
        <w:tabs>
          <w:tab w:pos="1195" w:val="left" w:leader="none"/>
        </w:tabs>
        <w:spacing w:line="240" w:lineRule="auto" w:before="229" w:after="0"/>
        <w:ind w:left="1195" w:right="0" w:hanging="569"/>
        <w:jc w:val="left"/>
        <w:rPr>
          <w:sz w:val="20"/>
        </w:rPr>
      </w:pPr>
      <w:r>
        <w:rPr>
          <w:sz w:val="20"/>
        </w:rPr>
        <w:t>No</w:t>
      </w:r>
      <w:r>
        <w:rPr>
          <w:spacing w:val="-9"/>
          <w:sz w:val="20"/>
        </w:rPr>
        <w:t> </w:t>
      </w:r>
      <w:r>
        <w:rPr>
          <w:sz w:val="20"/>
        </w:rPr>
        <w:t>haber</w:t>
      </w:r>
      <w:r>
        <w:rPr>
          <w:spacing w:val="-7"/>
          <w:sz w:val="20"/>
        </w:rPr>
        <w:t> </w:t>
      </w:r>
      <w:r>
        <w:rPr>
          <w:sz w:val="20"/>
        </w:rPr>
        <w:t>sido</w:t>
      </w:r>
      <w:r>
        <w:rPr>
          <w:spacing w:val="-10"/>
          <w:sz w:val="20"/>
        </w:rPr>
        <w:t> </w:t>
      </w:r>
      <w:r>
        <w:rPr>
          <w:sz w:val="20"/>
        </w:rPr>
        <w:t>condenado</w:t>
      </w:r>
      <w:r>
        <w:rPr>
          <w:spacing w:val="-6"/>
          <w:sz w:val="20"/>
        </w:rPr>
        <w:t> </w:t>
      </w:r>
      <w:r>
        <w:rPr>
          <w:sz w:val="20"/>
        </w:rPr>
        <w:t>por</w:t>
      </w:r>
      <w:r>
        <w:rPr>
          <w:spacing w:val="-8"/>
          <w:sz w:val="20"/>
        </w:rPr>
        <w:t> </w:t>
      </w:r>
      <w:r>
        <w:rPr>
          <w:sz w:val="20"/>
        </w:rPr>
        <w:t>delito</w:t>
      </w:r>
      <w:r>
        <w:rPr>
          <w:spacing w:val="-6"/>
          <w:sz w:val="20"/>
        </w:rPr>
        <w:t> </w:t>
      </w:r>
      <w:r>
        <w:rPr>
          <w:sz w:val="20"/>
        </w:rPr>
        <w:t>intencional</w:t>
      </w:r>
      <w:r>
        <w:rPr>
          <w:spacing w:val="-8"/>
          <w:sz w:val="20"/>
        </w:rPr>
        <w:t> </w:t>
      </w:r>
      <w:r>
        <w:rPr>
          <w:sz w:val="20"/>
        </w:rPr>
        <w:t>sancionado</w:t>
      </w:r>
      <w:r>
        <w:rPr>
          <w:spacing w:val="-8"/>
          <w:sz w:val="20"/>
        </w:rPr>
        <w:t> </w:t>
      </w:r>
      <w:r>
        <w:rPr>
          <w:sz w:val="20"/>
        </w:rPr>
        <w:t>con</w:t>
      </w:r>
      <w:r>
        <w:rPr>
          <w:spacing w:val="-8"/>
          <w:sz w:val="20"/>
        </w:rPr>
        <w:t> </w:t>
      </w:r>
      <w:r>
        <w:rPr>
          <w:sz w:val="20"/>
        </w:rPr>
        <w:t>pena</w:t>
      </w:r>
      <w:r>
        <w:rPr>
          <w:spacing w:val="-8"/>
          <w:sz w:val="20"/>
        </w:rPr>
        <w:t> </w:t>
      </w:r>
      <w:r>
        <w:rPr>
          <w:spacing w:val="-2"/>
          <w:sz w:val="20"/>
        </w:rPr>
        <w:t>corporal.</w:t>
      </w:r>
    </w:p>
    <w:p>
      <w:pPr>
        <w:pStyle w:val="BodyText"/>
        <w:spacing w:line="242" w:lineRule="auto" w:before="229"/>
        <w:ind w:left="338" w:right="344" w:firstLine="288"/>
        <w:jc w:val="both"/>
      </w:pPr>
      <w:bookmarkStart w:name="Artículo_533" w:id="677"/>
      <w:bookmarkEnd w:id="677"/>
      <w:r>
        <w:rPr/>
      </w:r>
      <w:r>
        <w:rPr>
          <w:rFonts w:ascii="Arial" w:hAnsi="Arial"/>
          <w:b/>
        </w:rPr>
        <w:t>Artículo 533. </w:t>
      </w:r>
      <w:r>
        <w:rPr/>
        <w:t>Los Procuradores Auxiliares deberán satisfacer los requisitos señalados en las fracciones I, IV y V del artículo anterior y tener título de abogado o licenciado en derecho y haber</w:t>
      </w:r>
      <w:r>
        <w:rPr>
          <w:spacing w:val="40"/>
        </w:rPr>
        <w:t> </w:t>
      </w:r>
      <w:r>
        <w:rPr/>
        <w:t>obtenido la patente para ejercer la profesión.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BodyText"/>
        <w:ind w:left="338" w:right="346" w:firstLine="288"/>
        <w:jc w:val="both"/>
      </w:pPr>
      <w:bookmarkStart w:name="Artículo_533_Bis" w:id="678"/>
      <w:bookmarkEnd w:id="678"/>
      <w:r>
        <w:rPr/>
      </w:r>
      <w:r>
        <w:rPr>
          <w:rFonts w:ascii="Arial" w:hAnsi="Arial"/>
          <w:b/>
        </w:rPr>
        <w:t>Artículo 533 Bis. </w:t>
      </w:r>
      <w:r>
        <w:rPr/>
        <w:t>El personal jurídico de la Procuraduría está impedido para actuar como apoderado, asesor o abogado patrono en asuntos particulares en materia de trabajo, en tanto sean servidores públicos al servicio de ésta.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626"/>
      </w:pPr>
      <w:bookmarkStart w:name="Artículo_534" w:id="679"/>
      <w:bookmarkEnd w:id="679"/>
      <w:r>
        <w:rPr/>
      </w:r>
      <w:r>
        <w:rPr>
          <w:rFonts w:ascii="Arial" w:hAnsi="Arial"/>
          <w:b/>
        </w:rPr>
        <w:t>Artículo</w:t>
      </w:r>
      <w:r>
        <w:rPr>
          <w:rFonts w:ascii="Arial" w:hAnsi="Arial"/>
          <w:b/>
          <w:spacing w:val="-6"/>
        </w:rPr>
        <w:t> </w:t>
      </w:r>
      <w:r>
        <w:rPr>
          <w:rFonts w:ascii="Arial" w:hAnsi="Arial"/>
          <w:b/>
        </w:rPr>
        <w:t>534.-</w:t>
      </w:r>
      <w:r>
        <w:rPr>
          <w:rFonts w:ascii="Arial" w:hAnsi="Arial"/>
          <w:b/>
          <w:spacing w:val="-5"/>
        </w:rPr>
        <w:t> </w:t>
      </w:r>
      <w:r>
        <w:rPr/>
        <w:t>Los</w:t>
      </w:r>
      <w:r>
        <w:rPr>
          <w:spacing w:val="-6"/>
        </w:rPr>
        <w:t> </w:t>
      </w:r>
      <w:r>
        <w:rPr/>
        <w:t>servicios</w:t>
      </w:r>
      <w:r>
        <w:rPr>
          <w:spacing w:val="-5"/>
        </w:rPr>
        <w:t> </w:t>
      </w:r>
      <w:r>
        <w:rPr/>
        <w:t>que</w:t>
      </w:r>
      <w:r>
        <w:rPr>
          <w:spacing w:val="-7"/>
        </w:rPr>
        <w:t> </w:t>
      </w:r>
      <w:r>
        <w:rPr/>
        <w:t>preste</w:t>
      </w:r>
      <w:r>
        <w:rPr>
          <w:spacing w:val="-6"/>
        </w:rPr>
        <w:t> </w:t>
      </w:r>
      <w:r>
        <w:rPr/>
        <w:t>la</w:t>
      </w:r>
      <w:r>
        <w:rPr>
          <w:spacing w:val="-6"/>
        </w:rPr>
        <w:t> </w:t>
      </w:r>
      <w:r>
        <w:rPr/>
        <w:t>Procuraduría</w:t>
      </w:r>
      <w:r>
        <w:rPr>
          <w:spacing w:val="-7"/>
        </w:rPr>
        <w:t> </w:t>
      </w:r>
      <w:r>
        <w:rPr/>
        <w:t>de</w:t>
      </w:r>
      <w:r>
        <w:rPr>
          <w:spacing w:val="-4"/>
        </w:rPr>
        <w:t> </w:t>
      </w:r>
      <w:r>
        <w:rPr/>
        <w:t>la</w:t>
      </w:r>
      <w:r>
        <w:rPr>
          <w:spacing w:val="-5"/>
        </w:rPr>
        <w:t> </w:t>
      </w:r>
      <w:r>
        <w:rPr/>
        <w:t>Defensa</w:t>
      </w:r>
      <w:r>
        <w:rPr>
          <w:spacing w:val="-6"/>
        </w:rPr>
        <w:t> </w:t>
      </w:r>
      <w:r>
        <w:rPr/>
        <w:t>del</w:t>
      </w:r>
      <w:r>
        <w:rPr>
          <w:spacing w:val="-8"/>
        </w:rPr>
        <w:t> </w:t>
      </w:r>
      <w:r>
        <w:rPr/>
        <w:t>Trabajo</w:t>
      </w:r>
      <w:r>
        <w:rPr>
          <w:spacing w:val="-6"/>
        </w:rPr>
        <w:t> </w:t>
      </w:r>
      <w:r>
        <w:rPr/>
        <w:t>serán</w:t>
      </w:r>
      <w:r>
        <w:rPr>
          <w:spacing w:val="-6"/>
        </w:rPr>
        <w:t> </w:t>
      </w:r>
      <w:r>
        <w:rPr>
          <w:spacing w:val="-2"/>
        </w:rPr>
        <w:t>gratuitos.</w:t>
      </w:r>
    </w:p>
    <w:p>
      <w:pPr>
        <w:pStyle w:val="BodyText"/>
        <w:spacing w:line="242" w:lineRule="auto" w:before="229"/>
        <w:ind w:left="338" w:right="342" w:firstLine="288"/>
      </w:pPr>
      <w:bookmarkStart w:name="Artículo_535" w:id="680"/>
      <w:bookmarkEnd w:id="680"/>
      <w:r>
        <w:rPr/>
      </w:r>
      <w:r>
        <w:rPr>
          <w:rFonts w:ascii="Arial" w:hAnsi="Arial"/>
          <w:b/>
        </w:rPr>
        <w:t>Artículo</w:t>
      </w:r>
      <w:r>
        <w:rPr>
          <w:rFonts w:ascii="Arial" w:hAnsi="Arial"/>
          <w:b/>
          <w:spacing w:val="22"/>
        </w:rPr>
        <w:t> </w:t>
      </w:r>
      <w:r>
        <w:rPr>
          <w:rFonts w:ascii="Arial" w:hAnsi="Arial"/>
          <w:b/>
        </w:rPr>
        <w:t>535.-</w:t>
      </w:r>
      <w:r>
        <w:rPr>
          <w:rFonts w:ascii="Arial" w:hAnsi="Arial"/>
          <w:b/>
          <w:spacing w:val="22"/>
        </w:rPr>
        <w:t> </w:t>
      </w:r>
      <w:r>
        <w:rPr/>
        <w:t>Las</w:t>
      </w:r>
      <w:r>
        <w:rPr>
          <w:spacing w:val="22"/>
        </w:rPr>
        <w:t> </w:t>
      </w:r>
      <w:r>
        <w:rPr/>
        <w:t>Autoridades están</w:t>
      </w:r>
      <w:r>
        <w:rPr>
          <w:spacing w:val="21"/>
        </w:rPr>
        <w:t> </w:t>
      </w:r>
      <w:r>
        <w:rPr/>
        <w:t>obligadas</w:t>
      </w:r>
      <w:r>
        <w:rPr>
          <w:spacing w:val="22"/>
        </w:rPr>
        <w:t> </w:t>
      </w:r>
      <w:r>
        <w:rPr/>
        <w:t>a</w:t>
      </w:r>
      <w:r>
        <w:rPr>
          <w:spacing w:val="21"/>
        </w:rPr>
        <w:t> </w:t>
      </w:r>
      <w:r>
        <w:rPr/>
        <w:t>proporcionar</w:t>
      </w:r>
      <w:r>
        <w:rPr>
          <w:spacing w:val="22"/>
        </w:rPr>
        <w:t> </w:t>
      </w:r>
      <w:r>
        <w:rPr/>
        <w:t>a la</w:t>
      </w:r>
      <w:r>
        <w:rPr>
          <w:spacing w:val="21"/>
        </w:rPr>
        <w:t> </w:t>
      </w:r>
      <w:r>
        <w:rPr/>
        <w:t>Procuraduría de la Defensa del Trabajo, los datos e informes que solicite para el mejor desempeño de sus funciones.</w:t>
      </w:r>
    </w:p>
    <w:p>
      <w:pPr>
        <w:pStyle w:val="BodyText"/>
        <w:spacing w:line="242" w:lineRule="auto" w:before="226"/>
        <w:ind w:left="338" w:right="357" w:firstLine="288"/>
      </w:pPr>
      <w:bookmarkStart w:name="Artículo_536" w:id="681"/>
      <w:bookmarkEnd w:id="681"/>
      <w:r>
        <w:rPr/>
      </w:r>
      <w:r>
        <w:rPr>
          <w:rFonts w:ascii="Arial" w:hAnsi="Arial"/>
          <w:b/>
        </w:rPr>
        <w:t>Artículo 536.- </w:t>
      </w:r>
      <w:r>
        <w:rPr/>
        <w:t>Los reglamentos determinarán las atribuciones, la forma de su ejercicio y los deberes de la Procuraduría de la Defensa del Trabajo.</w:t>
      </w:r>
    </w:p>
    <w:p>
      <w:pPr>
        <w:pStyle w:val="Heading2"/>
        <w:spacing w:line="252" w:lineRule="exact" w:before="225"/>
        <w:ind w:left="298"/>
      </w:pPr>
      <w:r>
        <w:rPr/>
        <w:t>Capítulo</w:t>
      </w:r>
      <w:r>
        <w:rPr>
          <w:spacing w:val="-5"/>
        </w:rPr>
        <w:t> IV</w:t>
      </w:r>
    </w:p>
    <w:p>
      <w:pPr>
        <w:spacing w:line="252" w:lineRule="exact" w:before="0"/>
        <w:ind w:left="300" w:right="296" w:firstLine="0"/>
        <w:jc w:val="center"/>
        <w:rPr>
          <w:rFonts w:ascii="Arial"/>
          <w:b/>
          <w:sz w:val="22"/>
        </w:rPr>
      </w:pPr>
      <w:r>
        <w:rPr>
          <w:rFonts w:ascii="Arial"/>
          <w:b/>
          <w:sz w:val="22"/>
        </w:rPr>
        <w:t>Del</w:t>
      </w:r>
      <w:r>
        <w:rPr>
          <w:rFonts w:ascii="Arial"/>
          <w:b/>
          <w:spacing w:val="-5"/>
          <w:sz w:val="22"/>
        </w:rPr>
        <w:t> </w:t>
      </w:r>
      <w:r>
        <w:rPr>
          <w:rFonts w:ascii="Arial"/>
          <w:b/>
          <w:sz w:val="22"/>
        </w:rPr>
        <w:t>Servicio</w:t>
      </w:r>
      <w:r>
        <w:rPr>
          <w:rFonts w:ascii="Arial"/>
          <w:b/>
          <w:spacing w:val="-6"/>
          <w:sz w:val="22"/>
        </w:rPr>
        <w:t> </w:t>
      </w:r>
      <w:r>
        <w:rPr>
          <w:rFonts w:ascii="Arial"/>
          <w:b/>
          <w:sz w:val="22"/>
        </w:rPr>
        <w:t>Nacional</w:t>
      </w:r>
      <w:r>
        <w:rPr>
          <w:rFonts w:ascii="Arial"/>
          <w:b/>
          <w:spacing w:val="-4"/>
          <w:sz w:val="22"/>
        </w:rPr>
        <w:t> </w:t>
      </w:r>
      <w:r>
        <w:rPr>
          <w:rFonts w:ascii="Arial"/>
          <w:b/>
          <w:sz w:val="22"/>
        </w:rPr>
        <w:t>de</w:t>
      </w:r>
      <w:r>
        <w:rPr>
          <w:rFonts w:ascii="Arial"/>
          <w:b/>
          <w:spacing w:val="-4"/>
          <w:sz w:val="22"/>
        </w:rPr>
        <w:t> </w:t>
      </w:r>
      <w:r>
        <w:rPr>
          <w:rFonts w:ascii="Arial"/>
          <w:b/>
          <w:spacing w:val="-2"/>
          <w:sz w:val="22"/>
        </w:rPr>
        <w:t>Empleo</w:t>
      </w:r>
    </w:p>
    <w:p>
      <w:pPr>
        <w:spacing w:before="1"/>
        <w:ind w:left="5266"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9"/>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626"/>
      </w:pPr>
      <w:bookmarkStart w:name="Artículo_537" w:id="682"/>
      <w:bookmarkEnd w:id="682"/>
      <w:r>
        <w:rPr/>
      </w:r>
      <w:r>
        <w:rPr>
          <w:rFonts w:ascii="Arial" w:hAnsi="Arial"/>
          <w:b/>
        </w:rPr>
        <w:t>Artículo</w:t>
      </w:r>
      <w:r>
        <w:rPr>
          <w:rFonts w:ascii="Arial" w:hAnsi="Arial"/>
          <w:b/>
          <w:spacing w:val="-7"/>
        </w:rPr>
        <w:t> </w:t>
      </w:r>
      <w:r>
        <w:rPr>
          <w:rFonts w:ascii="Arial" w:hAnsi="Arial"/>
          <w:b/>
        </w:rPr>
        <w:t>537.</w:t>
      </w:r>
      <w:r>
        <w:rPr>
          <w:rFonts w:ascii="Arial" w:hAnsi="Arial"/>
          <w:b/>
          <w:spacing w:val="-5"/>
        </w:rPr>
        <w:t> </w:t>
      </w:r>
      <w:r>
        <w:rPr/>
        <w:t>El</w:t>
      </w:r>
      <w:r>
        <w:rPr>
          <w:spacing w:val="-7"/>
        </w:rPr>
        <w:t> </w:t>
      </w:r>
      <w:r>
        <w:rPr/>
        <w:t>Servicio</w:t>
      </w:r>
      <w:r>
        <w:rPr>
          <w:spacing w:val="-8"/>
        </w:rPr>
        <w:t> </w:t>
      </w:r>
      <w:r>
        <w:rPr/>
        <w:t>Nacional</w:t>
      </w:r>
      <w:r>
        <w:rPr>
          <w:spacing w:val="-6"/>
        </w:rPr>
        <w:t> </w:t>
      </w:r>
      <w:r>
        <w:rPr/>
        <w:t>de</w:t>
      </w:r>
      <w:r>
        <w:rPr>
          <w:spacing w:val="-7"/>
        </w:rPr>
        <w:t> </w:t>
      </w:r>
      <w:r>
        <w:rPr/>
        <w:t>Empleo</w:t>
      </w:r>
      <w:r>
        <w:rPr>
          <w:spacing w:val="-9"/>
        </w:rPr>
        <w:t> </w:t>
      </w:r>
      <w:r>
        <w:rPr/>
        <w:t>tendrá</w:t>
      </w:r>
      <w:r>
        <w:rPr>
          <w:spacing w:val="-5"/>
        </w:rPr>
        <w:t> </w:t>
      </w:r>
      <w:r>
        <w:rPr/>
        <w:t>los</w:t>
      </w:r>
      <w:r>
        <w:rPr>
          <w:spacing w:val="-7"/>
        </w:rPr>
        <w:t> </w:t>
      </w:r>
      <w:r>
        <w:rPr/>
        <w:t>siguientes</w:t>
      </w:r>
      <w:r>
        <w:rPr>
          <w:spacing w:val="-7"/>
        </w:rPr>
        <w:t> </w:t>
      </w:r>
      <w:r>
        <w:rPr>
          <w:spacing w:val="-2"/>
        </w:rPr>
        <w:t>objetivos:</w:t>
      </w:r>
    </w:p>
    <w:p>
      <w:pPr>
        <w:pStyle w:val="ListParagraph"/>
        <w:numPr>
          <w:ilvl w:val="0"/>
          <w:numId w:val="218"/>
        </w:numPr>
        <w:tabs>
          <w:tab w:pos="1195" w:val="left" w:leader="none"/>
        </w:tabs>
        <w:spacing w:line="240" w:lineRule="auto" w:before="229" w:after="0"/>
        <w:ind w:left="1195" w:right="0" w:hanging="569"/>
        <w:jc w:val="left"/>
        <w:rPr>
          <w:sz w:val="20"/>
        </w:rPr>
      </w:pPr>
      <w:r>
        <w:rPr>
          <w:sz w:val="20"/>
        </w:rPr>
        <w:t>Estudiar</w:t>
      </w:r>
      <w:r>
        <w:rPr>
          <w:spacing w:val="-3"/>
          <w:sz w:val="20"/>
        </w:rPr>
        <w:t> </w:t>
      </w:r>
      <w:r>
        <w:rPr>
          <w:sz w:val="20"/>
        </w:rPr>
        <w:t>y</w:t>
      </w:r>
      <w:r>
        <w:rPr>
          <w:spacing w:val="-9"/>
          <w:sz w:val="20"/>
        </w:rPr>
        <w:t> </w:t>
      </w:r>
      <w:r>
        <w:rPr>
          <w:sz w:val="20"/>
        </w:rPr>
        <w:t>promover</w:t>
      </w:r>
      <w:r>
        <w:rPr>
          <w:spacing w:val="-7"/>
          <w:sz w:val="20"/>
        </w:rPr>
        <w:t> </w:t>
      </w:r>
      <w:r>
        <w:rPr>
          <w:sz w:val="20"/>
        </w:rPr>
        <w:t>la</w:t>
      </w:r>
      <w:r>
        <w:rPr>
          <w:spacing w:val="-7"/>
          <w:sz w:val="20"/>
        </w:rPr>
        <w:t> </w:t>
      </w:r>
      <w:r>
        <w:rPr>
          <w:sz w:val="20"/>
        </w:rPr>
        <w:t>operación</w:t>
      </w:r>
      <w:r>
        <w:rPr>
          <w:spacing w:val="-8"/>
          <w:sz w:val="20"/>
        </w:rPr>
        <w:t> </w:t>
      </w:r>
      <w:r>
        <w:rPr>
          <w:sz w:val="20"/>
        </w:rPr>
        <w:t>de</w:t>
      </w:r>
      <w:r>
        <w:rPr>
          <w:spacing w:val="-7"/>
          <w:sz w:val="20"/>
        </w:rPr>
        <w:t> </w:t>
      </w:r>
      <w:r>
        <w:rPr>
          <w:sz w:val="20"/>
        </w:rPr>
        <w:t>políticas</w:t>
      </w:r>
      <w:r>
        <w:rPr>
          <w:spacing w:val="-6"/>
          <w:sz w:val="20"/>
        </w:rPr>
        <w:t> </w:t>
      </w:r>
      <w:r>
        <w:rPr>
          <w:sz w:val="20"/>
        </w:rPr>
        <w:t>públicas</w:t>
      </w:r>
      <w:r>
        <w:rPr>
          <w:spacing w:val="-4"/>
          <w:sz w:val="20"/>
        </w:rPr>
        <w:t> </w:t>
      </w:r>
      <w:r>
        <w:rPr>
          <w:sz w:val="20"/>
        </w:rPr>
        <w:t>que</w:t>
      </w:r>
      <w:r>
        <w:rPr>
          <w:spacing w:val="-5"/>
          <w:sz w:val="20"/>
        </w:rPr>
        <w:t> </w:t>
      </w:r>
      <w:r>
        <w:rPr>
          <w:sz w:val="20"/>
        </w:rPr>
        <w:t>apoyen</w:t>
      </w:r>
      <w:r>
        <w:rPr>
          <w:spacing w:val="-7"/>
          <w:sz w:val="20"/>
        </w:rPr>
        <w:t> </w:t>
      </w:r>
      <w:r>
        <w:rPr>
          <w:sz w:val="20"/>
        </w:rPr>
        <w:t>la</w:t>
      </w:r>
      <w:r>
        <w:rPr>
          <w:spacing w:val="-6"/>
          <w:sz w:val="20"/>
        </w:rPr>
        <w:t> </w:t>
      </w:r>
      <w:r>
        <w:rPr>
          <w:sz w:val="20"/>
        </w:rPr>
        <w:t>generación</w:t>
      </w:r>
      <w:r>
        <w:rPr>
          <w:spacing w:val="-6"/>
          <w:sz w:val="20"/>
        </w:rPr>
        <w:t> </w:t>
      </w:r>
      <w:r>
        <w:rPr>
          <w:sz w:val="20"/>
        </w:rPr>
        <w:t>de</w:t>
      </w:r>
      <w:r>
        <w:rPr>
          <w:spacing w:val="-8"/>
          <w:sz w:val="20"/>
        </w:rPr>
        <w:t> </w:t>
      </w:r>
      <w:r>
        <w:rPr>
          <w:spacing w:val="-2"/>
          <w:sz w:val="20"/>
        </w:rPr>
        <w:t>empleos;</w:t>
      </w:r>
    </w:p>
    <w:p>
      <w:pPr>
        <w:pStyle w:val="BodyText"/>
        <w:spacing w:before="1"/>
      </w:pPr>
    </w:p>
    <w:p>
      <w:pPr>
        <w:pStyle w:val="ListParagraph"/>
        <w:numPr>
          <w:ilvl w:val="0"/>
          <w:numId w:val="218"/>
        </w:numPr>
        <w:tabs>
          <w:tab w:pos="1195" w:val="left" w:leader="none"/>
        </w:tabs>
        <w:spacing w:line="240" w:lineRule="auto" w:before="0" w:after="0"/>
        <w:ind w:left="1195" w:right="0" w:hanging="569"/>
        <w:jc w:val="left"/>
        <w:rPr>
          <w:sz w:val="20"/>
        </w:rPr>
      </w:pPr>
      <w:r>
        <w:rPr>
          <w:sz w:val="20"/>
        </w:rPr>
        <w:t>Promover</w:t>
      </w:r>
      <w:r>
        <w:rPr>
          <w:spacing w:val="-4"/>
          <w:sz w:val="20"/>
        </w:rPr>
        <w:t> </w:t>
      </w:r>
      <w:r>
        <w:rPr>
          <w:sz w:val="20"/>
        </w:rPr>
        <w:t>y</w:t>
      </w:r>
      <w:r>
        <w:rPr>
          <w:spacing w:val="-7"/>
          <w:sz w:val="20"/>
        </w:rPr>
        <w:t> </w:t>
      </w:r>
      <w:r>
        <w:rPr>
          <w:sz w:val="20"/>
        </w:rPr>
        <w:t>diseñar</w:t>
      </w:r>
      <w:r>
        <w:rPr>
          <w:spacing w:val="-6"/>
          <w:sz w:val="20"/>
        </w:rPr>
        <w:t> </w:t>
      </w:r>
      <w:r>
        <w:rPr>
          <w:sz w:val="20"/>
        </w:rPr>
        <w:t>mecanismos</w:t>
      </w:r>
      <w:r>
        <w:rPr>
          <w:spacing w:val="-5"/>
          <w:sz w:val="20"/>
        </w:rPr>
        <w:t> </w:t>
      </w:r>
      <w:r>
        <w:rPr>
          <w:sz w:val="20"/>
        </w:rPr>
        <w:t>para</w:t>
      </w:r>
      <w:r>
        <w:rPr>
          <w:spacing w:val="-6"/>
          <w:sz w:val="20"/>
        </w:rPr>
        <w:t> </w:t>
      </w:r>
      <w:r>
        <w:rPr>
          <w:sz w:val="20"/>
        </w:rPr>
        <w:t>el</w:t>
      </w:r>
      <w:r>
        <w:rPr>
          <w:spacing w:val="-7"/>
          <w:sz w:val="20"/>
        </w:rPr>
        <w:t> </w:t>
      </w:r>
      <w:r>
        <w:rPr>
          <w:sz w:val="20"/>
        </w:rPr>
        <w:t>seguimiento</w:t>
      </w:r>
      <w:r>
        <w:rPr>
          <w:spacing w:val="-6"/>
          <w:sz w:val="20"/>
        </w:rPr>
        <w:t> </w:t>
      </w:r>
      <w:r>
        <w:rPr>
          <w:sz w:val="20"/>
        </w:rPr>
        <w:t>a</w:t>
      </w:r>
      <w:r>
        <w:rPr>
          <w:spacing w:val="-5"/>
          <w:sz w:val="20"/>
        </w:rPr>
        <w:t> </w:t>
      </w:r>
      <w:r>
        <w:rPr>
          <w:sz w:val="20"/>
        </w:rPr>
        <w:t>la</w:t>
      </w:r>
      <w:r>
        <w:rPr>
          <w:spacing w:val="-6"/>
          <w:sz w:val="20"/>
        </w:rPr>
        <w:t> </w:t>
      </w:r>
      <w:r>
        <w:rPr>
          <w:sz w:val="20"/>
        </w:rPr>
        <w:t>colocación</w:t>
      </w:r>
      <w:r>
        <w:rPr>
          <w:spacing w:val="-7"/>
          <w:sz w:val="20"/>
        </w:rPr>
        <w:t> </w:t>
      </w:r>
      <w:r>
        <w:rPr>
          <w:sz w:val="20"/>
        </w:rPr>
        <w:t>de</w:t>
      </w:r>
      <w:r>
        <w:rPr>
          <w:spacing w:val="-6"/>
          <w:sz w:val="20"/>
        </w:rPr>
        <w:t> </w:t>
      </w:r>
      <w:r>
        <w:rPr>
          <w:sz w:val="20"/>
        </w:rPr>
        <w:t>los</w:t>
      </w:r>
      <w:r>
        <w:rPr>
          <w:spacing w:val="-5"/>
          <w:sz w:val="20"/>
        </w:rPr>
        <w:t> </w:t>
      </w:r>
      <w:r>
        <w:rPr>
          <w:spacing w:val="-2"/>
          <w:sz w:val="20"/>
        </w:rPr>
        <w:t>trabajadores;</w:t>
      </w:r>
    </w:p>
    <w:p>
      <w:pPr>
        <w:pStyle w:val="BodyText"/>
      </w:pPr>
    </w:p>
    <w:p>
      <w:pPr>
        <w:pStyle w:val="ListParagraph"/>
        <w:numPr>
          <w:ilvl w:val="0"/>
          <w:numId w:val="218"/>
        </w:numPr>
        <w:tabs>
          <w:tab w:pos="1195" w:val="left" w:leader="none"/>
        </w:tabs>
        <w:spacing w:line="240" w:lineRule="auto" w:before="1" w:after="0"/>
        <w:ind w:left="1195" w:right="341" w:hanging="569"/>
        <w:jc w:val="left"/>
        <w:rPr>
          <w:sz w:val="20"/>
        </w:rPr>
      </w:pPr>
      <w:r>
        <w:rPr>
          <w:sz w:val="20"/>
        </w:rPr>
        <w:t>Organizar, promover y</w:t>
      </w:r>
      <w:r>
        <w:rPr>
          <w:spacing w:val="-6"/>
          <w:sz w:val="20"/>
        </w:rPr>
        <w:t> </w:t>
      </w:r>
      <w:r>
        <w:rPr>
          <w:sz w:val="20"/>
        </w:rPr>
        <w:t>supervisar políticas,</w:t>
      </w:r>
      <w:r>
        <w:rPr>
          <w:spacing w:val="-1"/>
          <w:sz w:val="20"/>
        </w:rPr>
        <w:t> </w:t>
      </w:r>
      <w:r>
        <w:rPr>
          <w:sz w:val="20"/>
        </w:rPr>
        <w:t>estrategias y</w:t>
      </w:r>
      <w:r>
        <w:rPr>
          <w:spacing w:val="-6"/>
          <w:sz w:val="20"/>
        </w:rPr>
        <w:t> </w:t>
      </w:r>
      <w:r>
        <w:rPr>
          <w:sz w:val="20"/>
        </w:rPr>
        <w:t>programas</w:t>
      </w:r>
      <w:r>
        <w:rPr>
          <w:spacing w:val="-2"/>
          <w:sz w:val="20"/>
        </w:rPr>
        <w:t> </w:t>
      </w:r>
      <w:r>
        <w:rPr>
          <w:sz w:val="20"/>
        </w:rPr>
        <w:t>dirigidos a</w:t>
      </w:r>
      <w:r>
        <w:rPr>
          <w:spacing w:val="-3"/>
          <w:sz w:val="20"/>
        </w:rPr>
        <w:t> </w:t>
      </w:r>
      <w:r>
        <w:rPr>
          <w:sz w:val="20"/>
        </w:rPr>
        <w:t>la</w:t>
      </w:r>
      <w:r>
        <w:rPr>
          <w:spacing w:val="-3"/>
          <w:sz w:val="20"/>
        </w:rPr>
        <w:t> </w:t>
      </w:r>
      <w:r>
        <w:rPr>
          <w:sz w:val="20"/>
        </w:rPr>
        <w:t>capacitación y el adiestramiento de los trabajadores;</w:t>
      </w:r>
    </w:p>
    <w:p>
      <w:pPr>
        <w:pStyle w:val="ListParagraph"/>
        <w:numPr>
          <w:ilvl w:val="0"/>
          <w:numId w:val="218"/>
        </w:numPr>
        <w:tabs>
          <w:tab w:pos="1195" w:val="left" w:leader="none"/>
        </w:tabs>
        <w:spacing w:line="240" w:lineRule="auto" w:before="228" w:after="0"/>
        <w:ind w:left="1195" w:right="0" w:hanging="569"/>
        <w:jc w:val="left"/>
        <w:rPr>
          <w:sz w:val="20"/>
        </w:rPr>
      </w:pPr>
      <w:r>
        <w:rPr>
          <w:sz w:val="20"/>
        </w:rPr>
        <w:t>Registrar</w:t>
      </w:r>
      <w:r>
        <w:rPr>
          <w:spacing w:val="-8"/>
          <w:sz w:val="20"/>
        </w:rPr>
        <w:t> </w:t>
      </w:r>
      <w:r>
        <w:rPr>
          <w:sz w:val="20"/>
        </w:rPr>
        <w:t>las</w:t>
      </w:r>
      <w:r>
        <w:rPr>
          <w:spacing w:val="-10"/>
          <w:sz w:val="20"/>
        </w:rPr>
        <w:t> </w:t>
      </w:r>
      <w:r>
        <w:rPr>
          <w:sz w:val="20"/>
        </w:rPr>
        <w:t>constancias</w:t>
      </w:r>
      <w:r>
        <w:rPr>
          <w:spacing w:val="-7"/>
          <w:sz w:val="20"/>
        </w:rPr>
        <w:t> </w:t>
      </w:r>
      <w:r>
        <w:rPr>
          <w:sz w:val="20"/>
        </w:rPr>
        <w:t>de</w:t>
      </w:r>
      <w:r>
        <w:rPr>
          <w:spacing w:val="-10"/>
          <w:sz w:val="20"/>
        </w:rPr>
        <w:t> </w:t>
      </w:r>
      <w:r>
        <w:rPr>
          <w:sz w:val="20"/>
        </w:rPr>
        <w:t>habilidades</w:t>
      </w:r>
      <w:r>
        <w:rPr>
          <w:spacing w:val="-8"/>
          <w:sz w:val="20"/>
        </w:rPr>
        <w:t> </w:t>
      </w:r>
      <w:r>
        <w:rPr>
          <w:spacing w:val="-2"/>
          <w:sz w:val="20"/>
        </w:rPr>
        <w:t>laborales;</w:t>
      </w:r>
    </w:p>
    <w:p>
      <w:pPr>
        <w:pStyle w:val="BodyText"/>
        <w:spacing w:before="1"/>
      </w:pPr>
    </w:p>
    <w:p>
      <w:pPr>
        <w:pStyle w:val="ListParagraph"/>
        <w:numPr>
          <w:ilvl w:val="0"/>
          <w:numId w:val="218"/>
        </w:numPr>
        <w:tabs>
          <w:tab w:pos="1195" w:val="left" w:leader="none"/>
        </w:tabs>
        <w:spacing w:line="240" w:lineRule="auto" w:before="0" w:after="0"/>
        <w:ind w:left="1195" w:right="0" w:hanging="569"/>
        <w:jc w:val="left"/>
        <w:rPr>
          <w:sz w:val="20"/>
        </w:rPr>
      </w:pPr>
      <w:r>
        <w:rPr>
          <w:sz w:val="20"/>
        </w:rPr>
        <w:t>Vincular</w:t>
      </w:r>
      <w:r>
        <w:rPr>
          <w:spacing w:val="-5"/>
          <w:sz w:val="20"/>
        </w:rPr>
        <w:t> </w:t>
      </w:r>
      <w:r>
        <w:rPr>
          <w:sz w:val="20"/>
        </w:rPr>
        <w:t>la</w:t>
      </w:r>
      <w:r>
        <w:rPr>
          <w:spacing w:val="-7"/>
          <w:sz w:val="20"/>
        </w:rPr>
        <w:t> </w:t>
      </w:r>
      <w:r>
        <w:rPr>
          <w:sz w:val="20"/>
        </w:rPr>
        <w:t>formación</w:t>
      </w:r>
      <w:r>
        <w:rPr>
          <w:spacing w:val="-7"/>
          <w:sz w:val="20"/>
        </w:rPr>
        <w:t> </w:t>
      </w:r>
      <w:r>
        <w:rPr>
          <w:sz w:val="20"/>
        </w:rPr>
        <w:t>laboral</w:t>
      </w:r>
      <w:r>
        <w:rPr>
          <w:spacing w:val="-5"/>
          <w:sz w:val="20"/>
        </w:rPr>
        <w:t> </w:t>
      </w:r>
      <w:r>
        <w:rPr>
          <w:sz w:val="20"/>
        </w:rPr>
        <w:t>y</w:t>
      </w:r>
      <w:r>
        <w:rPr>
          <w:spacing w:val="-9"/>
          <w:sz w:val="20"/>
        </w:rPr>
        <w:t> </w:t>
      </w:r>
      <w:r>
        <w:rPr>
          <w:sz w:val="20"/>
        </w:rPr>
        <w:t>profesional</w:t>
      </w:r>
      <w:r>
        <w:rPr>
          <w:spacing w:val="-8"/>
          <w:sz w:val="20"/>
        </w:rPr>
        <w:t> </w:t>
      </w:r>
      <w:r>
        <w:rPr>
          <w:sz w:val="20"/>
        </w:rPr>
        <w:t>con</w:t>
      </w:r>
      <w:r>
        <w:rPr>
          <w:spacing w:val="-6"/>
          <w:sz w:val="20"/>
        </w:rPr>
        <w:t> </w:t>
      </w:r>
      <w:r>
        <w:rPr>
          <w:sz w:val="20"/>
        </w:rPr>
        <w:t>la</w:t>
      </w:r>
      <w:r>
        <w:rPr>
          <w:spacing w:val="-5"/>
          <w:sz w:val="20"/>
        </w:rPr>
        <w:t> </w:t>
      </w:r>
      <w:r>
        <w:rPr>
          <w:sz w:val="20"/>
        </w:rPr>
        <w:t>demanda</w:t>
      </w:r>
      <w:r>
        <w:rPr>
          <w:spacing w:val="-5"/>
          <w:sz w:val="20"/>
        </w:rPr>
        <w:t> </w:t>
      </w:r>
      <w:r>
        <w:rPr>
          <w:sz w:val="20"/>
        </w:rPr>
        <w:t>del</w:t>
      </w:r>
      <w:r>
        <w:rPr>
          <w:spacing w:val="-8"/>
          <w:sz w:val="20"/>
        </w:rPr>
        <w:t> </w:t>
      </w:r>
      <w:r>
        <w:rPr>
          <w:sz w:val="20"/>
        </w:rPr>
        <w:t>sector</w:t>
      </w:r>
      <w:r>
        <w:rPr>
          <w:spacing w:val="-7"/>
          <w:sz w:val="20"/>
        </w:rPr>
        <w:t> </w:t>
      </w:r>
      <w:r>
        <w:rPr>
          <w:spacing w:val="-2"/>
          <w:sz w:val="20"/>
        </w:rPr>
        <w:t>productivo;</w:t>
      </w:r>
    </w:p>
    <w:p>
      <w:pPr>
        <w:pStyle w:val="ListParagraph"/>
        <w:numPr>
          <w:ilvl w:val="0"/>
          <w:numId w:val="218"/>
        </w:numPr>
        <w:tabs>
          <w:tab w:pos="1195" w:val="left" w:leader="none"/>
        </w:tabs>
        <w:spacing w:line="242" w:lineRule="auto" w:before="229" w:after="0"/>
        <w:ind w:left="1195" w:right="345" w:hanging="569"/>
        <w:jc w:val="left"/>
        <w:rPr>
          <w:sz w:val="20"/>
        </w:rPr>
      </w:pPr>
      <w:r>
        <w:rPr>
          <w:sz w:val="20"/>
        </w:rPr>
        <w:t>Diseñar, conducir y evaluar programas específicos para generar oportunidades de empleo para jóvenes y grupos en situación vulnerable; y</w:t>
      </w:r>
    </w:p>
    <w:p>
      <w:pPr>
        <w:pStyle w:val="ListParagraph"/>
        <w:numPr>
          <w:ilvl w:val="0"/>
          <w:numId w:val="218"/>
        </w:numPr>
        <w:tabs>
          <w:tab w:pos="1195" w:val="left" w:leader="none"/>
        </w:tabs>
        <w:spacing w:line="242" w:lineRule="auto" w:before="227" w:after="0"/>
        <w:ind w:left="1195" w:right="336" w:hanging="569"/>
        <w:jc w:val="left"/>
        <w:rPr>
          <w:sz w:val="20"/>
        </w:rPr>
      </w:pPr>
      <w:r>
        <w:rPr>
          <w:sz w:val="20"/>
        </w:rPr>
        <w:t>Coordinar</w:t>
      </w:r>
      <w:r>
        <w:rPr>
          <w:spacing w:val="40"/>
          <w:sz w:val="20"/>
        </w:rPr>
        <w:t> </w:t>
      </w:r>
      <w:r>
        <w:rPr>
          <w:sz w:val="20"/>
        </w:rPr>
        <w:t>con</w:t>
      </w:r>
      <w:r>
        <w:rPr>
          <w:spacing w:val="40"/>
          <w:sz w:val="20"/>
        </w:rPr>
        <w:t> </w:t>
      </w:r>
      <w:r>
        <w:rPr>
          <w:sz w:val="20"/>
        </w:rPr>
        <w:t>las</w:t>
      </w:r>
      <w:r>
        <w:rPr>
          <w:spacing w:val="40"/>
          <w:sz w:val="20"/>
        </w:rPr>
        <w:t> </w:t>
      </w:r>
      <w:r>
        <w:rPr>
          <w:sz w:val="20"/>
        </w:rPr>
        <w:t>autoridades</w:t>
      </w:r>
      <w:r>
        <w:rPr>
          <w:spacing w:val="40"/>
          <w:sz w:val="20"/>
        </w:rPr>
        <w:t> </w:t>
      </w:r>
      <w:r>
        <w:rPr>
          <w:sz w:val="20"/>
        </w:rPr>
        <w:t>competentes</w:t>
      </w:r>
      <w:r>
        <w:rPr>
          <w:spacing w:val="40"/>
          <w:sz w:val="20"/>
        </w:rPr>
        <w:t> </w:t>
      </w:r>
      <w:r>
        <w:rPr>
          <w:sz w:val="20"/>
        </w:rPr>
        <w:t>el</w:t>
      </w:r>
      <w:r>
        <w:rPr>
          <w:spacing w:val="40"/>
          <w:sz w:val="20"/>
        </w:rPr>
        <w:t> </w:t>
      </w:r>
      <w:r>
        <w:rPr>
          <w:sz w:val="20"/>
        </w:rPr>
        <w:t>régimen</w:t>
      </w:r>
      <w:r>
        <w:rPr>
          <w:spacing w:val="40"/>
          <w:sz w:val="20"/>
        </w:rPr>
        <w:t> </w:t>
      </w:r>
      <w:r>
        <w:rPr>
          <w:sz w:val="20"/>
        </w:rPr>
        <w:t>de</w:t>
      </w:r>
      <w:r>
        <w:rPr>
          <w:spacing w:val="40"/>
          <w:sz w:val="20"/>
        </w:rPr>
        <w:t> </w:t>
      </w:r>
      <w:r>
        <w:rPr>
          <w:sz w:val="20"/>
        </w:rPr>
        <w:t>normalización</w:t>
      </w:r>
      <w:r>
        <w:rPr>
          <w:spacing w:val="40"/>
          <w:sz w:val="20"/>
        </w:rPr>
        <w:t> </w:t>
      </w:r>
      <w:r>
        <w:rPr>
          <w:sz w:val="20"/>
        </w:rPr>
        <w:t>y</w:t>
      </w:r>
      <w:r>
        <w:rPr>
          <w:spacing w:val="40"/>
          <w:sz w:val="20"/>
        </w:rPr>
        <w:t> </w:t>
      </w:r>
      <w:r>
        <w:rPr>
          <w:sz w:val="20"/>
        </w:rPr>
        <w:t>certificación</w:t>
      </w:r>
      <w:r>
        <w:rPr>
          <w:spacing w:val="40"/>
          <w:sz w:val="20"/>
        </w:rPr>
        <w:t> </w:t>
      </w:r>
      <w:r>
        <w:rPr>
          <w:sz w:val="20"/>
        </w:rPr>
        <w:t>de competencia laboral.</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338" w:right="338" w:firstLine="288"/>
        <w:jc w:val="both"/>
      </w:pPr>
      <w:bookmarkStart w:name="Artículo_538" w:id="683"/>
      <w:bookmarkEnd w:id="683"/>
      <w:r>
        <w:rPr/>
      </w:r>
      <w:r>
        <w:rPr>
          <w:rFonts w:ascii="Arial" w:hAnsi="Arial"/>
          <w:b/>
        </w:rPr>
        <w:t>Artículo 538. </w:t>
      </w:r>
      <w:r>
        <w:rPr/>
        <w:t>El Servicio Nacional de Empleo estará a cargo de la Secretaría del Trabajo y Previsión Social, por conducto de las unidades administrativas de la misma, a las que competan las funciones correspondientes, en los términos de su Reglamento Interior.</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30-12-1983,</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line="176"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3"/>
        <w:rPr>
          <w:rFonts w:ascii="Times New Roman"/>
          <w:i/>
        </w:rPr>
      </w:pPr>
    </w:p>
    <w:p>
      <w:pPr>
        <w:pStyle w:val="BodyText"/>
        <w:spacing w:line="242" w:lineRule="auto"/>
        <w:ind w:left="338" w:right="357" w:firstLine="288"/>
      </w:pPr>
      <w:bookmarkStart w:name="Artículo_539" w:id="684"/>
      <w:bookmarkEnd w:id="684"/>
      <w:r>
        <w:rPr/>
      </w:r>
      <w:r>
        <w:rPr>
          <w:rFonts w:ascii="Arial" w:hAnsi="Arial"/>
          <w:b/>
        </w:rPr>
        <w:t>Artículo 539.- </w:t>
      </w:r>
      <w:r>
        <w:rPr/>
        <w:t>De conformidad con lo que dispone el artículo que antecede y</w:t>
      </w:r>
      <w:r>
        <w:rPr>
          <w:spacing w:val="-2"/>
        </w:rPr>
        <w:t> </w:t>
      </w:r>
      <w:r>
        <w:rPr/>
        <w:t>para los efectos del 537, a la Secretaría del Trabajo y Previsión Social corresponden las siguientes actividades: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1983</w:t>
      </w:r>
    </w:p>
    <w:p>
      <w:pPr>
        <w:pStyle w:val="BodyText"/>
        <w:spacing w:before="45"/>
        <w:rPr>
          <w:rFonts w:ascii="Times New Roman"/>
          <w:i/>
          <w:sz w:val="16"/>
        </w:rPr>
      </w:pPr>
    </w:p>
    <w:p>
      <w:pPr>
        <w:pStyle w:val="ListParagraph"/>
        <w:numPr>
          <w:ilvl w:val="0"/>
          <w:numId w:val="219"/>
        </w:numPr>
        <w:tabs>
          <w:tab w:pos="1195" w:val="left" w:leader="none"/>
        </w:tabs>
        <w:spacing w:line="240" w:lineRule="auto" w:before="0" w:after="0"/>
        <w:ind w:left="1195" w:right="0" w:hanging="569"/>
        <w:jc w:val="left"/>
        <w:rPr>
          <w:sz w:val="20"/>
        </w:rPr>
      </w:pPr>
      <w:r>
        <w:rPr>
          <w:sz w:val="20"/>
        </w:rPr>
        <w:t>En</w:t>
      </w:r>
      <w:r>
        <w:rPr>
          <w:spacing w:val="-6"/>
          <w:sz w:val="20"/>
        </w:rPr>
        <w:t> </w:t>
      </w:r>
      <w:r>
        <w:rPr>
          <w:sz w:val="20"/>
        </w:rPr>
        <w:t>materia</w:t>
      </w:r>
      <w:r>
        <w:rPr>
          <w:spacing w:val="-6"/>
          <w:sz w:val="20"/>
        </w:rPr>
        <w:t> </w:t>
      </w:r>
      <w:r>
        <w:rPr>
          <w:sz w:val="20"/>
        </w:rPr>
        <w:t>de</w:t>
      </w:r>
      <w:r>
        <w:rPr>
          <w:spacing w:val="-6"/>
          <w:sz w:val="20"/>
        </w:rPr>
        <w:t> </w:t>
      </w:r>
      <w:r>
        <w:rPr>
          <w:sz w:val="20"/>
        </w:rPr>
        <w:t>promoción</w:t>
      </w:r>
      <w:r>
        <w:rPr>
          <w:spacing w:val="-5"/>
          <w:sz w:val="20"/>
        </w:rPr>
        <w:t> </w:t>
      </w:r>
      <w:r>
        <w:rPr>
          <w:sz w:val="20"/>
        </w:rPr>
        <w:t>de</w:t>
      </w:r>
      <w:r>
        <w:rPr>
          <w:spacing w:val="-6"/>
          <w:sz w:val="20"/>
        </w:rPr>
        <w:t> </w:t>
      </w:r>
      <w:r>
        <w:rPr>
          <w:spacing w:val="-2"/>
          <w:sz w:val="20"/>
        </w:rPr>
        <w:t>empleos:</w:t>
      </w:r>
    </w:p>
    <w:p>
      <w:pPr>
        <w:pStyle w:val="BodyText"/>
        <w:spacing w:before="1"/>
      </w:pPr>
    </w:p>
    <w:p>
      <w:pPr>
        <w:pStyle w:val="ListParagraph"/>
        <w:numPr>
          <w:ilvl w:val="1"/>
          <w:numId w:val="219"/>
        </w:numPr>
        <w:tabs>
          <w:tab w:pos="1762" w:val="left" w:leader="none"/>
        </w:tabs>
        <w:spacing w:line="242" w:lineRule="auto" w:before="0" w:after="0"/>
        <w:ind w:left="1762" w:right="333" w:hanging="567"/>
        <w:jc w:val="both"/>
        <w:rPr>
          <w:sz w:val="20"/>
        </w:rPr>
      </w:pPr>
      <w:r>
        <w:rPr>
          <w:sz w:val="20"/>
        </w:rPr>
        <w:t>Practicar</w:t>
      </w:r>
      <w:r>
        <w:rPr>
          <w:spacing w:val="-1"/>
          <w:sz w:val="20"/>
        </w:rPr>
        <w:t> </w:t>
      </w:r>
      <w:r>
        <w:rPr>
          <w:sz w:val="20"/>
        </w:rPr>
        <w:t>estudios</w:t>
      </w:r>
      <w:r>
        <w:rPr>
          <w:spacing w:val="-1"/>
          <w:sz w:val="20"/>
        </w:rPr>
        <w:t> </w:t>
      </w:r>
      <w:r>
        <w:rPr>
          <w:sz w:val="20"/>
        </w:rPr>
        <w:t>para</w:t>
      </w:r>
      <w:r>
        <w:rPr>
          <w:spacing w:val="-2"/>
          <w:sz w:val="20"/>
        </w:rPr>
        <w:t> </w:t>
      </w:r>
      <w:r>
        <w:rPr>
          <w:sz w:val="20"/>
        </w:rPr>
        <w:t>determinar</w:t>
      </w:r>
      <w:r>
        <w:rPr>
          <w:spacing w:val="-3"/>
          <w:sz w:val="20"/>
        </w:rPr>
        <w:t> </w:t>
      </w:r>
      <w:r>
        <w:rPr>
          <w:sz w:val="20"/>
        </w:rPr>
        <w:t>las</w:t>
      </w:r>
      <w:r>
        <w:rPr>
          <w:spacing w:val="-3"/>
          <w:sz w:val="20"/>
        </w:rPr>
        <w:t> </w:t>
      </w:r>
      <w:r>
        <w:rPr>
          <w:sz w:val="20"/>
        </w:rPr>
        <w:t>causas</w:t>
      </w:r>
      <w:r>
        <w:rPr>
          <w:spacing w:val="-1"/>
          <w:sz w:val="20"/>
        </w:rPr>
        <w:t> </w:t>
      </w:r>
      <w:r>
        <w:rPr>
          <w:sz w:val="20"/>
        </w:rPr>
        <w:t>del</w:t>
      </w:r>
      <w:r>
        <w:rPr>
          <w:spacing w:val="-3"/>
          <w:sz w:val="20"/>
        </w:rPr>
        <w:t> </w:t>
      </w:r>
      <w:r>
        <w:rPr>
          <w:sz w:val="20"/>
        </w:rPr>
        <w:t>desempleo</w:t>
      </w:r>
      <w:r>
        <w:rPr>
          <w:spacing w:val="-3"/>
          <w:sz w:val="20"/>
        </w:rPr>
        <w:t> </w:t>
      </w:r>
      <w:r>
        <w:rPr>
          <w:sz w:val="20"/>
        </w:rPr>
        <w:t>y</w:t>
      </w:r>
      <w:r>
        <w:rPr>
          <w:spacing w:val="-5"/>
          <w:sz w:val="20"/>
        </w:rPr>
        <w:t> </w:t>
      </w:r>
      <w:r>
        <w:rPr>
          <w:sz w:val="20"/>
        </w:rPr>
        <w:t>del</w:t>
      </w:r>
      <w:r>
        <w:rPr>
          <w:spacing w:val="-3"/>
          <w:sz w:val="20"/>
        </w:rPr>
        <w:t> </w:t>
      </w:r>
      <w:r>
        <w:rPr>
          <w:sz w:val="20"/>
        </w:rPr>
        <w:t>subempleo</w:t>
      </w:r>
      <w:r>
        <w:rPr>
          <w:spacing w:val="-2"/>
          <w:sz w:val="20"/>
        </w:rPr>
        <w:t> </w:t>
      </w:r>
      <w:r>
        <w:rPr>
          <w:sz w:val="20"/>
        </w:rPr>
        <w:t>de</w:t>
      </w:r>
      <w:r>
        <w:rPr>
          <w:spacing w:val="-2"/>
          <w:sz w:val="20"/>
        </w:rPr>
        <w:t> </w:t>
      </w:r>
      <w:r>
        <w:rPr>
          <w:sz w:val="20"/>
        </w:rPr>
        <w:t>la</w:t>
      </w:r>
      <w:r>
        <w:rPr>
          <w:spacing w:val="-2"/>
          <w:sz w:val="20"/>
        </w:rPr>
        <w:t> </w:t>
      </w:r>
      <w:r>
        <w:rPr>
          <w:sz w:val="20"/>
        </w:rPr>
        <w:t>mano de obra rural y urbana;</w:t>
      </w:r>
    </w:p>
    <w:p>
      <w:pPr>
        <w:pStyle w:val="ListParagraph"/>
        <w:numPr>
          <w:ilvl w:val="1"/>
          <w:numId w:val="219"/>
        </w:numPr>
        <w:tabs>
          <w:tab w:pos="1759" w:val="left" w:leader="none"/>
          <w:tab w:pos="1762" w:val="left" w:leader="none"/>
        </w:tabs>
        <w:spacing w:line="240" w:lineRule="auto" w:before="227" w:after="0"/>
        <w:ind w:left="1762" w:right="339" w:hanging="567"/>
        <w:jc w:val="both"/>
        <w:rPr>
          <w:sz w:val="20"/>
        </w:rPr>
      </w:pPr>
      <w:r>
        <w:rPr>
          <w:sz w:val="20"/>
        </w:rPr>
        <w:t>Analizar permanentemente el mercado de trabajo, a través de la generación y procesamiento de información que dé seguimiento a la dinámica del empleo, desempleo</w:t>
      </w:r>
      <w:r>
        <w:rPr>
          <w:spacing w:val="40"/>
          <w:sz w:val="20"/>
        </w:rPr>
        <w:t> </w:t>
      </w:r>
      <w:r>
        <w:rPr>
          <w:sz w:val="20"/>
        </w:rPr>
        <w:t>y subempleo en el país;</w:t>
      </w:r>
    </w:p>
    <w:p>
      <w:pPr>
        <w:spacing w:line="183" w:lineRule="exact" w:before="0"/>
        <w:ind w:left="7479"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spacing w:before="45"/>
        <w:rPr>
          <w:rFonts w:ascii="Times New Roman"/>
          <w:i/>
          <w:sz w:val="16"/>
        </w:rPr>
      </w:pPr>
    </w:p>
    <w:p>
      <w:pPr>
        <w:pStyle w:val="ListParagraph"/>
        <w:numPr>
          <w:ilvl w:val="1"/>
          <w:numId w:val="219"/>
        </w:numPr>
        <w:tabs>
          <w:tab w:pos="1762" w:val="left" w:leader="none"/>
        </w:tabs>
        <w:spacing w:line="242" w:lineRule="auto" w:before="0" w:after="0"/>
        <w:ind w:left="1762" w:right="342" w:hanging="567"/>
        <w:jc w:val="left"/>
        <w:rPr>
          <w:sz w:val="20"/>
        </w:rPr>
      </w:pPr>
      <w:r>
        <w:rPr>
          <w:sz w:val="20"/>
        </w:rPr>
        <w:t>Formular</w:t>
      </w:r>
      <w:r>
        <w:rPr>
          <w:spacing w:val="80"/>
          <w:sz w:val="20"/>
        </w:rPr>
        <w:t> </w:t>
      </w:r>
      <w:r>
        <w:rPr>
          <w:sz w:val="20"/>
        </w:rPr>
        <w:t>y</w:t>
      </w:r>
      <w:r>
        <w:rPr>
          <w:spacing w:val="80"/>
          <w:sz w:val="20"/>
        </w:rPr>
        <w:t> </w:t>
      </w:r>
      <w:r>
        <w:rPr>
          <w:sz w:val="20"/>
        </w:rPr>
        <w:t>actualizar</w:t>
      </w:r>
      <w:r>
        <w:rPr>
          <w:spacing w:val="80"/>
          <w:sz w:val="20"/>
        </w:rPr>
        <w:t> </w:t>
      </w:r>
      <w:r>
        <w:rPr>
          <w:sz w:val="20"/>
        </w:rPr>
        <w:t>permanentemente</w:t>
      </w:r>
      <w:r>
        <w:rPr>
          <w:spacing w:val="80"/>
          <w:sz w:val="20"/>
        </w:rPr>
        <w:t> </w:t>
      </w:r>
      <w:r>
        <w:rPr>
          <w:sz w:val="20"/>
        </w:rPr>
        <w:t>el</w:t>
      </w:r>
      <w:r>
        <w:rPr>
          <w:spacing w:val="80"/>
          <w:sz w:val="20"/>
        </w:rPr>
        <w:t> </w:t>
      </w:r>
      <w:r>
        <w:rPr>
          <w:sz w:val="20"/>
        </w:rPr>
        <w:t>Sistema</w:t>
      </w:r>
      <w:r>
        <w:rPr>
          <w:spacing w:val="80"/>
          <w:sz w:val="20"/>
        </w:rPr>
        <w:t> </w:t>
      </w:r>
      <w:r>
        <w:rPr>
          <w:sz w:val="20"/>
        </w:rPr>
        <w:t>Nacional</w:t>
      </w:r>
      <w:r>
        <w:rPr>
          <w:spacing w:val="80"/>
          <w:sz w:val="20"/>
        </w:rPr>
        <w:t> </w:t>
      </w:r>
      <w:r>
        <w:rPr>
          <w:sz w:val="20"/>
        </w:rPr>
        <w:t>de</w:t>
      </w:r>
      <w:r>
        <w:rPr>
          <w:spacing w:val="80"/>
          <w:sz w:val="20"/>
        </w:rPr>
        <w:t> </w:t>
      </w:r>
      <w:r>
        <w:rPr>
          <w:sz w:val="20"/>
        </w:rPr>
        <w:t>Ocupaciones,</w:t>
      </w:r>
      <w:r>
        <w:rPr>
          <w:spacing w:val="80"/>
          <w:sz w:val="20"/>
        </w:rPr>
        <w:t> </w:t>
      </w:r>
      <w:r>
        <w:rPr>
          <w:sz w:val="20"/>
        </w:rPr>
        <w:t>en coordinación con la Secretaría de Educación Pública y demás autoridades competentes;</w:t>
      </w:r>
    </w:p>
    <w:p>
      <w:pPr>
        <w:spacing w:line="180" w:lineRule="exact" w:before="0"/>
        <w:ind w:left="7479"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spacing w:before="47"/>
        <w:rPr>
          <w:rFonts w:ascii="Times New Roman"/>
          <w:i/>
          <w:sz w:val="16"/>
        </w:rPr>
      </w:pPr>
    </w:p>
    <w:p>
      <w:pPr>
        <w:pStyle w:val="ListParagraph"/>
        <w:numPr>
          <w:ilvl w:val="1"/>
          <w:numId w:val="219"/>
        </w:numPr>
        <w:tabs>
          <w:tab w:pos="1762" w:val="left" w:leader="none"/>
        </w:tabs>
        <w:spacing w:line="240" w:lineRule="auto" w:before="0" w:after="0"/>
        <w:ind w:left="1762" w:right="339" w:hanging="567"/>
        <w:jc w:val="left"/>
        <w:rPr>
          <w:sz w:val="20"/>
        </w:rPr>
      </w:pPr>
      <w:r>
        <w:rPr>
          <w:sz w:val="20"/>
        </w:rPr>
        <w:t>Promover</w:t>
      </w:r>
      <w:r>
        <w:rPr>
          <w:spacing w:val="40"/>
          <w:sz w:val="20"/>
        </w:rPr>
        <w:t> </w:t>
      </w:r>
      <w:r>
        <w:rPr>
          <w:sz w:val="20"/>
        </w:rPr>
        <w:t>la</w:t>
      </w:r>
      <w:r>
        <w:rPr>
          <w:spacing w:val="40"/>
          <w:sz w:val="20"/>
        </w:rPr>
        <w:t> </w:t>
      </w:r>
      <w:r>
        <w:rPr>
          <w:sz w:val="20"/>
        </w:rPr>
        <w:t>articulación</w:t>
      </w:r>
      <w:r>
        <w:rPr>
          <w:spacing w:val="40"/>
          <w:sz w:val="20"/>
        </w:rPr>
        <w:t> </w:t>
      </w:r>
      <w:r>
        <w:rPr>
          <w:sz w:val="20"/>
        </w:rPr>
        <w:t>entre</w:t>
      </w:r>
      <w:r>
        <w:rPr>
          <w:spacing w:val="40"/>
          <w:sz w:val="20"/>
        </w:rPr>
        <w:t> </w:t>
      </w:r>
      <w:r>
        <w:rPr>
          <w:sz w:val="20"/>
        </w:rPr>
        <w:t>los</w:t>
      </w:r>
      <w:r>
        <w:rPr>
          <w:spacing w:val="40"/>
          <w:sz w:val="20"/>
        </w:rPr>
        <w:t> </w:t>
      </w:r>
      <w:r>
        <w:rPr>
          <w:sz w:val="20"/>
        </w:rPr>
        <w:t>actores</w:t>
      </w:r>
      <w:r>
        <w:rPr>
          <w:spacing w:val="40"/>
          <w:sz w:val="20"/>
        </w:rPr>
        <w:t> </w:t>
      </w:r>
      <w:r>
        <w:rPr>
          <w:sz w:val="20"/>
        </w:rPr>
        <w:t>del</w:t>
      </w:r>
      <w:r>
        <w:rPr>
          <w:spacing w:val="40"/>
          <w:sz w:val="20"/>
        </w:rPr>
        <w:t> </w:t>
      </w:r>
      <w:r>
        <w:rPr>
          <w:sz w:val="20"/>
        </w:rPr>
        <w:t>mercado</w:t>
      </w:r>
      <w:r>
        <w:rPr>
          <w:spacing w:val="40"/>
          <w:sz w:val="20"/>
        </w:rPr>
        <w:t> </w:t>
      </w:r>
      <w:r>
        <w:rPr>
          <w:sz w:val="20"/>
        </w:rPr>
        <w:t>de</w:t>
      </w:r>
      <w:r>
        <w:rPr>
          <w:spacing w:val="40"/>
          <w:sz w:val="20"/>
        </w:rPr>
        <w:t> </w:t>
      </w:r>
      <w:r>
        <w:rPr>
          <w:sz w:val="20"/>
        </w:rPr>
        <w:t>trabajo</w:t>
      </w:r>
      <w:r>
        <w:rPr>
          <w:spacing w:val="40"/>
          <w:sz w:val="20"/>
        </w:rPr>
        <w:t> </w:t>
      </w:r>
      <w:r>
        <w:rPr>
          <w:sz w:val="20"/>
        </w:rPr>
        <w:t>para</w:t>
      </w:r>
      <w:r>
        <w:rPr>
          <w:spacing w:val="40"/>
          <w:sz w:val="20"/>
        </w:rPr>
        <w:t> </w:t>
      </w:r>
      <w:r>
        <w:rPr>
          <w:sz w:val="20"/>
        </w:rPr>
        <w:t>mejorar</w:t>
      </w:r>
      <w:r>
        <w:rPr>
          <w:spacing w:val="40"/>
          <w:sz w:val="20"/>
        </w:rPr>
        <w:t> </w:t>
      </w:r>
      <w:r>
        <w:rPr>
          <w:sz w:val="20"/>
        </w:rPr>
        <w:t>las oportunidades de empleo;</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spacing w:before="47"/>
        <w:rPr>
          <w:rFonts w:ascii="Times New Roman"/>
          <w:i/>
          <w:sz w:val="16"/>
        </w:rPr>
      </w:pPr>
    </w:p>
    <w:p>
      <w:pPr>
        <w:pStyle w:val="ListParagraph"/>
        <w:numPr>
          <w:ilvl w:val="1"/>
          <w:numId w:val="219"/>
        </w:numPr>
        <w:tabs>
          <w:tab w:pos="1762" w:val="left" w:leader="none"/>
        </w:tabs>
        <w:spacing w:line="242" w:lineRule="auto" w:before="0" w:after="0"/>
        <w:ind w:left="1762" w:right="341" w:hanging="567"/>
        <w:jc w:val="left"/>
        <w:rPr>
          <w:sz w:val="20"/>
        </w:rPr>
      </w:pPr>
      <w:r>
        <w:rPr>
          <w:sz w:val="20"/>
        </w:rPr>
        <w:t>Elaborar informes y formular programas para impulsar la ocupación en el país, así como procurar su ejecución;</w:t>
      </w:r>
    </w:p>
    <w:p>
      <w:pPr>
        <w:spacing w:line="178" w:lineRule="exact" w:before="0"/>
        <w:ind w:left="7479"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spacing w:before="47"/>
        <w:rPr>
          <w:rFonts w:ascii="Times New Roman"/>
          <w:i/>
          <w:sz w:val="16"/>
        </w:rPr>
      </w:pPr>
    </w:p>
    <w:p>
      <w:pPr>
        <w:pStyle w:val="ListParagraph"/>
        <w:numPr>
          <w:ilvl w:val="1"/>
          <w:numId w:val="219"/>
        </w:numPr>
        <w:tabs>
          <w:tab w:pos="1761" w:val="left" w:leader="none"/>
        </w:tabs>
        <w:spacing w:line="240" w:lineRule="auto" w:before="0" w:after="0"/>
        <w:ind w:left="1761" w:right="0" w:hanging="566"/>
        <w:jc w:val="left"/>
        <w:rPr>
          <w:sz w:val="20"/>
        </w:rPr>
      </w:pPr>
      <w:r>
        <w:rPr>
          <w:sz w:val="20"/>
        </w:rPr>
        <w:t>Orientar</w:t>
      </w:r>
      <w:r>
        <w:rPr>
          <w:spacing w:val="-4"/>
          <w:sz w:val="20"/>
        </w:rPr>
        <w:t> </w:t>
      </w:r>
      <w:r>
        <w:rPr>
          <w:sz w:val="20"/>
        </w:rPr>
        <w:t>la</w:t>
      </w:r>
      <w:r>
        <w:rPr>
          <w:spacing w:val="-7"/>
          <w:sz w:val="20"/>
        </w:rPr>
        <w:t> </w:t>
      </w:r>
      <w:r>
        <w:rPr>
          <w:sz w:val="20"/>
        </w:rPr>
        <w:t>formación</w:t>
      </w:r>
      <w:r>
        <w:rPr>
          <w:spacing w:val="-7"/>
          <w:sz w:val="20"/>
        </w:rPr>
        <w:t> </w:t>
      </w:r>
      <w:r>
        <w:rPr>
          <w:sz w:val="20"/>
        </w:rPr>
        <w:t>profesional</w:t>
      </w:r>
      <w:r>
        <w:rPr>
          <w:spacing w:val="-8"/>
          <w:sz w:val="20"/>
        </w:rPr>
        <w:t> </w:t>
      </w:r>
      <w:r>
        <w:rPr>
          <w:sz w:val="20"/>
        </w:rPr>
        <w:t>hacia</w:t>
      </w:r>
      <w:r>
        <w:rPr>
          <w:spacing w:val="-4"/>
          <w:sz w:val="20"/>
        </w:rPr>
        <w:t> </w:t>
      </w:r>
      <w:r>
        <w:rPr>
          <w:sz w:val="20"/>
        </w:rPr>
        <w:t>las</w:t>
      </w:r>
      <w:r>
        <w:rPr>
          <w:spacing w:val="-6"/>
          <w:sz w:val="20"/>
        </w:rPr>
        <w:t> </w:t>
      </w:r>
      <w:r>
        <w:rPr>
          <w:sz w:val="20"/>
        </w:rPr>
        <w:t>áreas</w:t>
      </w:r>
      <w:r>
        <w:rPr>
          <w:spacing w:val="-6"/>
          <w:sz w:val="20"/>
        </w:rPr>
        <w:t> </w:t>
      </w:r>
      <w:r>
        <w:rPr>
          <w:sz w:val="20"/>
        </w:rPr>
        <w:t>con</w:t>
      </w:r>
      <w:r>
        <w:rPr>
          <w:spacing w:val="-5"/>
          <w:sz w:val="20"/>
        </w:rPr>
        <w:t> </w:t>
      </w:r>
      <w:r>
        <w:rPr>
          <w:sz w:val="20"/>
        </w:rPr>
        <w:t>mayor</w:t>
      </w:r>
      <w:r>
        <w:rPr>
          <w:spacing w:val="-7"/>
          <w:sz w:val="20"/>
        </w:rPr>
        <w:t> </w:t>
      </w:r>
      <w:r>
        <w:rPr>
          <w:sz w:val="20"/>
        </w:rPr>
        <w:t>demanda</w:t>
      </w:r>
      <w:r>
        <w:rPr>
          <w:spacing w:val="-5"/>
          <w:sz w:val="20"/>
        </w:rPr>
        <w:t> </w:t>
      </w:r>
      <w:r>
        <w:rPr>
          <w:sz w:val="20"/>
        </w:rPr>
        <w:t>de</w:t>
      </w:r>
      <w:r>
        <w:rPr>
          <w:spacing w:val="-8"/>
          <w:sz w:val="20"/>
        </w:rPr>
        <w:t> </w:t>
      </w:r>
      <w:r>
        <w:rPr>
          <w:sz w:val="20"/>
        </w:rPr>
        <w:t>mano</w:t>
      </w:r>
      <w:r>
        <w:rPr>
          <w:spacing w:val="-6"/>
          <w:sz w:val="20"/>
        </w:rPr>
        <w:t> </w:t>
      </w:r>
      <w:r>
        <w:rPr>
          <w:sz w:val="20"/>
        </w:rPr>
        <w:t>de</w:t>
      </w:r>
      <w:r>
        <w:rPr>
          <w:spacing w:val="-7"/>
          <w:sz w:val="20"/>
        </w:rPr>
        <w:t> </w:t>
      </w:r>
      <w:r>
        <w:rPr>
          <w:spacing w:val="-2"/>
          <w:sz w:val="20"/>
        </w:rPr>
        <w:t>obra;</w:t>
      </w:r>
    </w:p>
    <w:p>
      <w:pPr>
        <w:spacing w:before="1"/>
        <w:ind w:left="7479"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spacing w:before="45"/>
        <w:rPr>
          <w:rFonts w:ascii="Times New Roman"/>
          <w:i/>
          <w:sz w:val="16"/>
        </w:rPr>
      </w:pPr>
    </w:p>
    <w:p>
      <w:pPr>
        <w:pStyle w:val="ListParagraph"/>
        <w:numPr>
          <w:ilvl w:val="1"/>
          <w:numId w:val="219"/>
        </w:numPr>
        <w:tabs>
          <w:tab w:pos="1762" w:val="left" w:leader="none"/>
        </w:tabs>
        <w:spacing w:line="242" w:lineRule="auto" w:before="0" w:after="0"/>
        <w:ind w:left="1762" w:right="343" w:hanging="567"/>
        <w:jc w:val="left"/>
        <w:rPr>
          <w:sz w:val="20"/>
        </w:rPr>
      </w:pPr>
      <w:r>
        <w:rPr>
          <w:sz w:val="20"/>
        </w:rPr>
        <w:t>Proponer</w:t>
      </w:r>
      <w:r>
        <w:rPr>
          <w:spacing w:val="25"/>
          <w:sz w:val="20"/>
        </w:rPr>
        <w:t> </w:t>
      </w:r>
      <w:r>
        <w:rPr>
          <w:sz w:val="20"/>
        </w:rPr>
        <w:t>la celebración</w:t>
      </w:r>
      <w:r>
        <w:rPr>
          <w:spacing w:val="24"/>
          <w:sz w:val="20"/>
        </w:rPr>
        <w:t> </w:t>
      </w:r>
      <w:r>
        <w:rPr>
          <w:sz w:val="20"/>
        </w:rPr>
        <w:t>de convenios en materia de</w:t>
      </w:r>
      <w:r>
        <w:rPr>
          <w:spacing w:val="24"/>
          <w:sz w:val="20"/>
        </w:rPr>
        <w:t> </w:t>
      </w:r>
      <w:r>
        <w:rPr>
          <w:sz w:val="20"/>
        </w:rPr>
        <w:t>empleo, entre la Federación</w:t>
      </w:r>
      <w:r>
        <w:rPr>
          <w:spacing w:val="26"/>
          <w:sz w:val="20"/>
        </w:rPr>
        <w:t> </w:t>
      </w:r>
      <w:r>
        <w:rPr>
          <w:sz w:val="20"/>
        </w:rPr>
        <w:t>y las Entidades Federativas; y,</w:t>
      </w:r>
    </w:p>
    <w:p>
      <w:pPr>
        <w:pStyle w:val="ListParagraph"/>
        <w:numPr>
          <w:ilvl w:val="1"/>
          <w:numId w:val="219"/>
        </w:numPr>
        <w:tabs>
          <w:tab w:pos="1762" w:val="left" w:leader="none"/>
        </w:tabs>
        <w:spacing w:line="242" w:lineRule="auto" w:before="226" w:after="0"/>
        <w:ind w:left="1762" w:right="343" w:hanging="567"/>
        <w:jc w:val="left"/>
        <w:rPr>
          <w:sz w:val="20"/>
        </w:rPr>
      </w:pPr>
      <w:r>
        <w:rPr>
          <w:sz w:val="20"/>
        </w:rPr>
        <w:t>En general, realizar todas las que las Leyes y reglamentos encomienden a la Secretaría del Trabajo y Previsión Social en esta materia.</w:t>
      </w:r>
    </w:p>
    <w:p>
      <w:pPr>
        <w:spacing w:line="178"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spacing w:before="1"/>
        <w:rPr>
          <w:rFonts w:ascii="Times New Roman"/>
          <w:i/>
        </w:rPr>
      </w:pPr>
    </w:p>
    <w:p>
      <w:pPr>
        <w:pStyle w:val="ListParagraph"/>
        <w:numPr>
          <w:ilvl w:val="0"/>
          <w:numId w:val="219"/>
        </w:numPr>
        <w:tabs>
          <w:tab w:pos="1195" w:val="left" w:leader="none"/>
        </w:tabs>
        <w:spacing w:line="240" w:lineRule="auto" w:before="0" w:after="0"/>
        <w:ind w:left="1195" w:right="0" w:hanging="569"/>
        <w:jc w:val="left"/>
        <w:rPr>
          <w:sz w:val="20"/>
        </w:rPr>
      </w:pPr>
      <w:r>
        <w:rPr>
          <w:sz w:val="20"/>
        </w:rPr>
        <w:t>En</w:t>
      </w:r>
      <w:r>
        <w:rPr>
          <w:spacing w:val="-7"/>
          <w:sz w:val="20"/>
        </w:rPr>
        <w:t> </w:t>
      </w:r>
      <w:r>
        <w:rPr>
          <w:sz w:val="20"/>
        </w:rPr>
        <w:t>materia</w:t>
      </w:r>
      <w:r>
        <w:rPr>
          <w:spacing w:val="-6"/>
          <w:sz w:val="20"/>
        </w:rPr>
        <w:t> </w:t>
      </w:r>
      <w:r>
        <w:rPr>
          <w:sz w:val="20"/>
        </w:rPr>
        <w:t>de</w:t>
      </w:r>
      <w:r>
        <w:rPr>
          <w:spacing w:val="-6"/>
          <w:sz w:val="20"/>
        </w:rPr>
        <w:t> </w:t>
      </w:r>
      <w:r>
        <w:rPr>
          <w:sz w:val="20"/>
        </w:rPr>
        <w:t>colocación</w:t>
      </w:r>
      <w:r>
        <w:rPr>
          <w:spacing w:val="-6"/>
          <w:sz w:val="20"/>
        </w:rPr>
        <w:t> </w:t>
      </w:r>
      <w:r>
        <w:rPr>
          <w:sz w:val="20"/>
        </w:rPr>
        <w:t>de</w:t>
      </w:r>
      <w:r>
        <w:rPr>
          <w:spacing w:val="-7"/>
          <w:sz w:val="20"/>
        </w:rPr>
        <w:t> </w:t>
      </w:r>
      <w:r>
        <w:rPr>
          <w:spacing w:val="-2"/>
          <w:sz w:val="20"/>
        </w:rPr>
        <w:t>trabajadores:</w:t>
      </w:r>
    </w:p>
    <w:p>
      <w:pPr>
        <w:pStyle w:val="ListParagraph"/>
        <w:numPr>
          <w:ilvl w:val="1"/>
          <w:numId w:val="219"/>
        </w:numPr>
        <w:tabs>
          <w:tab w:pos="1762" w:val="left" w:leader="none"/>
        </w:tabs>
        <w:spacing w:line="242" w:lineRule="auto" w:before="229" w:after="0"/>
        <w:ind w:left="1762" w:right="335" w:hanging="567"/>
        <w:jc w:val="left"/>
        <w:rPr>
          <w:sz w:val="20"/>
        </w:rPr>
      </w:pPr>
      <w:r>
        <w:rPr>
          <w:sz w:val="20"/>
        </w:rPr>
        <w:t>Orientar a los buscadores de empleo hacia las vacantes ofertadas por los empleadores con base a su formación y aptitudes;</w:t>
      </w:r>
    </w:p>
    <w:p>
      <w:pPr>
        <w:spacing w:line="180"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spacing w:before="47"/>
        <w:rPr>
          <w:rFonts w:ascii="Times New Roman"/>
          <w:i/>
          <w:sz w:val="16"/>
        </w:rPr>
      </w:pPr>
    </w:p>
    <w:p>
      <w:pPr>
        <w:pStyle w:val="ListParagraph"/>
        <w:numPr>
          <w:ilvl w:val="1"/>
          <w:numId w:val="219"/>
        </w:numPr>
        <w:tabs>
          <w:tab w:pos="1759" w:val="left" w:leader="none"/>
          <w:tab w:pos="1762" w:val="left" w:leader="none"/>
        </w:tabs>
        <w:spacing w:line="240" w:lineRule="auto" w:before="0" w:after="0"/>
        <w:ind w:left="1762" w:right="343" w:hanging="567"/>
        <w:jc w:val="both"/>
        <w:rPr>
          <w:sz w:val="20"/>
        </w:rPr>
      </w:pPr>
      <w:r>
        <w:rPr>
          <w:sz w:val="20"/>
        </w:rPr>
        <w:t>Autorizar y registrar, en su caso, el funcionamiento de agencias privadas que se</w:t>
      </w:r>
      <w:r>
        <w:rPr>
          <w:spacing w:val="40"/>
          <w:sz w:val="20"/>
        </w:rPr>
        <w:t> </w:t>
      </w:r>
      <w:r>
        <w:rPr>
          <w:sz w:val="20"/>
        </w:rPr>
        <w:t>dediquen a la colocación de personas;</w:t>
      </w:r>
    </w:p>
    <w:p>
      <w:pPr>
        <w:pStyle w:val="ListParagraph"/>
        <w:numPr>
          <w:ilvl w:val="1"/>
          <w:numId w:val="219"/>
        </w:numPr>
        <w:tabs>
          <w:tab w:pos="1760" w:val="left" w:leader="none"/>
          <w:tab w:pos="1762" w:val="left" w:leader="none"/>
        </w:tabs>
        <w:spacing w:line="242" w:lineRule="auto" w:before="230" w:after="0"/>
        <w:ind w:left="1762" w:right="342" w:hanging="567"/>
        <w:jc w:val="both"/>
        <w:rPr>
          <w:sz w:val="20"/>
        </w:rPr>
      </w:pPr>
      <w:r>
        <w:rPr>
          <w:sz w:val="20"/>
        </w:rPr>
        <w:t>Vigilar</w:t>
      </w:r>
      <w:r>
        <w:rPr>
          <w:spacing w:val="-2"/>
          <w:sz w:val="20"/>
        </w:rPr>
        <w:t> </w:t>
      </w:r>
      <w:r>
        <w:rPr>
          <w:sz w:val="20"/>
        </w:rPr>
        <w:t>que</w:t>
      </w:r>
      <w:r>
        <w:rPr>
          <w:spacing w:val="-3"/>
          <w:sz w:val="20"/>
        </w:rPr>
        <w:t> </w:t>
      </w:r>
      <w:r>
        <w:rPr>
          <w:sz w:val="20"/>
        </w:rPr>
        <w:t>las</w:t>
      </w:r>
      <w:r>
        <w:rPr>
          <w:spacing w:val="-2"/>
          <w:sz w:val="20"/>
        </w:rPr>
        <w:t> </w:t>
      </w:r>
      <w:r>
        <w:rPr>
          <w:sz w:val="20"/>
        </w:rPr>
        <w:t>entidades privadas</w:t>
      </w:r>
      <w:r>
        <w:rPr>
          <w:spacing w:val="-2"/>
          <w:sz w:val="20"/>
        </w:rPr>
        <w:t> </w:t>
      </w:r>
      <w:r>
        <w:rPr>
          <w:sz w:val="20"/>
        </w:rPr>
        <w:t>a que</w:t>
      </w:r>
      <w:r>
        <w:rPr>
          <w:spacing w:val="-3"/>
          <w:sz w:val="20"/>
        </w:rPr>
        <w:t> </w:t>
      </w:r>
      <w:r>
        <w:rPr>
          <w:sz w:val="20"/>
        </w:rPr>
        <w:t>alude</w:t>
      </w:r>
      <w:r>
        <w:rPr>
          <w:spacing w:val="-3"/>
          <w:sz w:val="20"/>
        </w:rPr>
        <w:t> </w:t>
      </w:r>
      <w:r>
        <w:rPr>
          <w:sz w:val="20"/>
        </w:rPr>
        <w:t>el</w:t>
      </w:r>
      <w:r>
        <w:rPr>
          <w:spacing w:val="-4"/>
          <w:sz w:val="20"/>
        </w:rPr>
        <w:t> </w:t>
      </w:r>
      <w:r>
        <w:rPr>
          <w:sz w:val="20"/>
        </w:rPr>
        <w:t>inciso</w:t>
      </w:r>
      <w:r>
        <w:rPr>
          <w:spacing w:val="-3"/>
          <w:sz w:val="20"/>
        </w:rPr>
        <w:t> </w:t>
      </w:r>
      <w:r>
        <w:rPr>
          <w:sz w:val="20"/>
        </w:rPr>
        <w:t>anterior,</w:t>
      </w:r>
      <w:r>
        <w:rPr>
          <w:spacing w:val="-3"/>
          <w:sz w:val="20"/>
        </w:rPr>
        <w:t> </w:t>
      </w:r>
      <w:r>
        <w:rPr>
          <w:sz w:val="20"/>
        </w:rPr>
        <w:t>cumplan</w:t>
      </w:r>
      <w:r>
        <w:rPr>
          <w:spacing w:val="-1"/>
          <w:sz w:val="20"/>
        </w:rPr>
        <w:t> </w:t>
      </w:r>
      <w:r>
        <w:rPr>
          <w:sz w:val="20"/>
        </w:rPr>
        <w:t>las obligaciones que les impongan esta ley, sus reglamentos y las disposiciones administrativas de las autoridades laborales;</w:t>
      </w:r>
    </w:p>
    <w:p>
      <w:pPr>
        <w:pStyle w:val="ListParagraph"/>
        <w:numPr>
          <w:ilvl w:val="1"/>
          <w:numId w:val="219"/>
        </w:numPr>
        <w:tabs>
          <w:tab w:pos="1759" w:val="left" w:leader="none"/>
          <w:tab w:pos="1762" w:val="left" w:leader="none"/>
        </w:tabs>
        <w:spacing w:line="242" w:lineRule="auto" w:before="222" w:after="0"/>
        <w:ind w:left="1762" w:right="345" w:hanging="567"/>
        <w:jc w:val="both"/>
        <w:rPr>
          <w:sz w:val="20"/>
        </w:rPr>
      </w:pPr>
      <w:r>
        <w:rPr>
          <w:sz w:val="20"/>
        </w:rPr>
        <w:t>Intervenir, en coordinación con las Secretarías de Gobernación, Economía y Relaciones Exteriores, dentro del ámbito de sus respectivas competencias, en la contratación de los nacionales que vayan a prestar sus servicios al extranjero;</w:t>
      </w:r>
    </w:p>
    <w:p>
      <w:pPr>
        <w:spacing w:line="178"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spacing w:after="0" w:line="178" w:lineRule="exact"/>
        <w:jc w:val="right"/>
        <w:rPr>
          <w:rFonts w:ascii="Times New Roman"/>
          <w:i/>
          <w:sz w:val="16"/>
        </w:rPr>
        <w:sectPr>
          <w:pgSz w:w="12240" w:h="15840"/>
          <w:pgMar w:header="724" w:footer="712" w:top="1880" w:bottom="900" w:left="1080" w:right="1080"/>
        </w:sectPr>
      </w:pPr>
    </w:p>
    <w:p>
      <w:pPr>
        <w:pStyle w:val="BodyText"/>
        <w:rPr>
          <w:rFonts w:ascii="Times New Roman"/>
          <w:i/>
        </w:rPr>
      </w:pPr>
    </w:p>
    <w:p>
      <w:pPr>
        <w:pStyle w:val="BodyText"/>
        <w:spacing w:before="63"/>
        <w:rPr>
          <w:rFonts w:ascii="Times New Roman"/>
          <w:i/>
        </w:rPr>
      </w:pPr>
    </w:p>
    <w:p>
      <w:pPr>
        <w:pStyle w:val="ListParagraph"/>
        <w:numPr>
          <w:ilvl w:val="1"/>
          <w:numId w:val="219"/>
        </w:numPr>
        <w:tabs>
          <w:tab w:pos="1762" w:val="left" w:leader="none"/>
        </w:tabs>
        <w:spacing w:line="242" w:lineRule="auto" w:before="0" w:after="0"/>
        <w:ind w:left="1762" w:right="335" w:hanging="567"/>
        <w:jc w:val="left"/>
        <w:rPr>
          <w:sz w:val="20"/>
        </w:rPr>
      </w:pPr>
      <w:r>
        <w:rPr>
          <w:sz w:val="20"/>
        </w:rPr>
        <w:t>Proponer la celebración de convenios en materia de colocación de trabajadores, entre la Federación y las Entidades Federativas; y,</w:t>
      </w:r>
    </w:p>
    <w:p>
      <w:pPr>
        <w:pStyle w:val="ListParagraph"/>
        <w:numPr>
          <w:ilvl w:val="1"/>
          <w:numId w:val="219"/>
        </w:numPr>
        <w:tabs>
          <w:tab w:pos="1762" w:val="left" w:leader="none"/>
        </w:tabs>
        <w:spacing w:line="242" w:lineRule="auto" w:before="227" w:after="0"/>
        <w:ind w:left="1762" w:right="346" w:hanging="567"/>
        <w:jc w:val="left"/>
        <w:rPr>
          <w:sz w:val="20"/>
        </w:rPr>
      </w:pPr>
      <w:r>
        <w:rPr>
          <w:sz w:val="20"/>
        </w:rPr>
        <w:t>En general, realizar todas las que las Leyes y reglamentos encomienden a la Secretaría del Trabajo y Previsión Social en esta materia.</w:t>
      </w:r>
    </w:p>
    <w:p>
      <w:pPr>
        <w:spacing w:line="178"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spacing w:before="1"/>
        <w:rPr>
          <w:rFonts w:ascii="Times New Roman"/>
          <w:i/>
        </w:rPr>
      </w:pPr>
    </w:p>
    <w:p>
      <w:pPr>
        <w:pStyle w:val="ListParagraph"/>
        <w:numPr>
          <w:ilvl w:val="0"/>
          <w:numId w:val="219"/>
        </w:numPr>
        <w:tabs>
          <w:tab w:pos="1195" w:val="left" w:leader="none"/>
        </w:tabs>
        <w:spacing w:line="240" w:lineRule="auto" w:before="0" w:after="0"/>
        <w:ind w:left="1195" w:right="0" w:hanging="569"/>
        <w:jc w:val="left"/>
        <w:rPr>
          <w:sz w:val="20"/>
        </w:rPr>
      </w:pPr>
      <w:r>
        <w:rPr>
          <w:sz w:val="20"/>
        </w:rPr>
        <w:t>En</w:t>
      </w:r>
      <w:r>
        <w:rPr>
          <w:spacing w:val="-8"/>
          <w:sz w:val="20"/>
        </w:rPr>
        <w:t> </w:t>
      </w:r>
      <w:r>
        <w:rPr>
          <w:sz w:val="20"/>
        </w:rPr>
        <w:t>materia</w:t>
      </w:r>
      <w:r>
        <w:rPr>
          <w:spacing w:val="-8"/>
          <w:sz w:val="20"/>
        </w:rPr>
        <w:t> </w:t>
      </w:r>
      <w:r>
        <w:rPr>
          <w:sz w:val="20"/>
        </w:rPr>
        <w:t>de</w:t>
      </w:r>
      <w:r>
        <w:rPr>
          <w:spacing w:val="-8"/>
          <w:sz w:val="20"/>
        </w:rPr>
        <w:t> </w:t>
      </w:r>
      <w:r>
        <w:rPr>
          <w:sz w:val="20"/>
        </w:rPr>
        <w:t>capacitación</w:t>
      </w:r>
      <w:r>
        <w:rPr>
          <w:spacing w:val="-6"/>
          <w:sz w:val="20"/>
        </w:rPr>
        <w:t> </w:t>
      </w:r>
      <w:r>
        <w:rPr>
          <w:sz w:val="20"/>
        </w:rPr>
        <w:t>o</w:t>
      </w:r>
      <w:r>
        <w:rPr>
          <w:spacing w:val="-9"/>
          <w:sz w:val="20"/>
        </w:rPr>
        <w:t> </w:t>
      </w:r>
      <w:r>
        <w:rPr>
          <w:sz w:val="20"/>
        </w:rPr>
        <w:t>adiestramiento</w:t>
      </w:r>
      <w:r>
        <w:rPr>
          <w:spacing w:val="-6"/>
          <w:sz w:val="20"/>
        </w:rPr>
        <w:t> </w:t>
      </w:r>
      <w:r>
        <w:rPr>
          <w:sz w:val="20"/>
        </w:rPr>
        <w:t>de</w:t>
      </w:r>
      <w:r>
        <w:rPr>
          <w:spacing w:val="-8"/>
          <w:sz w:val="20"/>
        </w:rPr>
        <w:t> </w:t>
      </w:r>
      <w:r>
        <w:rPr>
          <w:spacing w:val="-2"/>
          <w:sz w:val="20"/>
        </w:rPr>
        <w:t>trabajadores:</w:t>
      </w:r>
    </w:p>
    <w:p>
      <w:pPr>
        <w:pStyle w:val="BodyText"/>
        <w:spacing w:before="1"/>
      </w:pPr>
    </w:p>
    <w:p>
      <w:pPr>
        <w:pStyle w:val="ListParagraph"/>
        <w:numPr>
          <w:ilvl w:val="1"/>
          <w:numId w:val="219"/>
        </w:numPr>
        <w:tabs>
          <w:tab w:pos="1761" w:val="left" w:leader="none"/>
        </w:tabs>
        <w:spacing w:line="229" w:lineRule="exact" w:before="0" w:after="0"/>
        <w:ind w:left="1761" w:right="0" w:hanging="566"/>
        <w:jc w:val="left"/>
        <w:rPr>
          <w:sz w:val="20"/>
        </w:rPr>
      </w:pPr>
      <w:r>
        <w:rPr>
          <w:sz w:val="20"/>
        </w:rPr>
        <w:t>(Se</w:t>
      </w:r>
      <w:r>
        <w:rPr>
          <w:spacing w:val="-6"/>
          <w:sz w:val="20"/>
        </w:rPr>
        <w:t> </w:t>
      </w:r>
      <w:r>
        <w:rPr>
          <w:spacing w:val="-2"/>
          <w:sz w:val="20"/>
        </w:rPr>
        <w:t>deroga).</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derogado</w:t>
      </w:r>
      <w:r>
        <w:rPr>
          <w:rFonts w:ascii="Times New Roman"/>
          <w:i/>
          <w:color w:val="0000FF"/>
          <w:spacing w:val="-4"/>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30-11-</w:t>
      </w:r>
      <w:r>
        <w:rPr>
          <w:rFonts w:ascii="Times New Roman"/>
          <w:i/>
          <w:color w:val="0000FF"/>
          <w:spacing w:val="-4"/>
          <w:sz w:val="16"/>
        </w:rPr>
        <w:t>2012</w:t>
      </w:r>
    </w:p>
    <w:p>
      <w:pPr>
        <w:pStyle w:val="BodyText"/>
        <w:spacing w:before="2"/>
        <w:rPr>
          <w:rFonts w:ascii="Times New Roman"/>
          <w:i/>
        </w:rPr>
      </w:pPr>
    </w:p>
    <w:p>
      <w:pPr>
        <w:pStyle w:val="ListParagraph"/>
        <w:numPr>
          <w:ilvl w:val="1"/>
          <w:numId w:val="219"/>
        </w:numPr>
        <w:tabs>
          <w:tab w:pos="1759" w:val="left" w:leader="none"/>
          <w:tab w:pos="1762" w:val="left" w:leader="none"/>
        </w:tabs>
        <w:spacing w:line="240" w:lineRule="auto" w:before="0" w:after="0"/>
        <w:ind w:left="1762" w:right="338" w:hanging="567"/>
        <w:jc w:val="both"/>
        <w:rPr>
          <w:sz w:val="20"/>
        </w:rPr>
      </w:pPr>
      <w:r>
        <w:rPr>
          <w:sz w:val="20"/>
        </w:rPr>
        <w:t>Emitir Convocatorias para formar Comités Nacionales de Capacitación, Adiestramiento y Productividad en las ramas industriales o actividades en que lo juzgue conveniente, así como fijar las bases relativas a la integración y el funcionamiento de dichos comités;</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spacing w:before="47"/>
        <w:rPr>
          <w:rFonts w:ascii="Times New Roman"/>
          <w:i/>
          <w:sz w:val="16"/>
        </w:rPr>
      </w:pPr>
    </w:p>
    <w:p>
      <w:pPr>
        <w:pStyle w:val="ListParagraph"/>
        <w:numPr>
          <w:ilvl w:val="1"/>
          <w:numId w:val="219"/>
        </w:numPr>
        <w:tabs>
          <w:tab w:pos="1762" w:val="left" w:leader="none"/>
        </w:tabs>
        <w:spacing w:line="240" w:lineRule="auto" w:before="0" w:after="0"/>
        <w:ind w:left="1762" w:right="340" w:hanging="567"/>
        <w:jc w:val="both"/>
        <w:rPr>
          <w:sz w:val="20"/>
        </w:rPr>
      </w:pPr>
      <w:r>
        <w:rPr>
          <w:sz w:val="20"/>
        </w:rPr>
        <w:t>Estudiar y, en su caso, sugerir, en relación con cada rama industrial o actividad, la expedición de criterios generales idóneos para los planes y programas de capacitación y adiestramiento, oyendo la opinión del Comité</w:t>
      </w:r>
      <w:r>
        <w:rPr>
          <w:spacing w:val="-2"/>
          <w:sz w:val="20"/>
        </w:rPr>
        <w:t> </w:t>
      </w:r>
      <w:r>
        <w:rPr>
          <w:sz w:val="20"/>
        </w:rPr>
        <w:t>Nacional de Capacitación, Adiestramiento y Productividad que corresponda;</w:t>
      </w:r>
    </w:p>
    <w:p>
      <w:pPr>
        <w:spacing w:line="184"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spacing w:before="47"/>
        <w:rPr>
          <w:rFonts w:ascii="Times New Roman"/>
          <w:i/>
          <w:sz w:val="16"/>
        </w:rPr>
      </w:pPr>
    </w:p>
    <w:p>
      <w:pPr>
        <w:pStyle w:val="ListParagraph"/>
        <w:numPr>
          <w:ilvl w:val="1"/>
          <w:numId w:val="219"/>
        </w:numPr>
        <w:tabs>
          <w:tab w:pos="1759" w:val="left" w:leader="none"/>
          <w:tab w:pos="1762" w:val="left" w:leader="none"/>
        </w:tabs>
        <w:spacing w:line="240" w:lineRule="auto" w:before="0" w:after="0"/>
        <w:ind w:left="1762" w:right="337" w:hanging="567"/>
        <w:jc w:val="both"/>
        <w:rPr>
          <w:sz w:val="20"/>
        </w:rPr>
      </w:pPr>
      <w:r>
        <w:rPr>
          <w:sz w:val="20"/>
        </w:rPr>
        <w:t>Autorizar y registrar, en los términos del artículo 153-C, a las instituciones, escuelas u organismos especializados, así como a los instructores independientes que deseen impartir formación, capacitación o adiestramiento a los trabajadores; supervisar su correcto desempeño; y, en su caso, revocar la autorización y cancelar el registro </w:t>
      </w:r>
      <w:r>
        <w:rPr>
          <w:spacing w:val="-2"/>
          <w:sz w:val="20"/>
        </w:rPr>
        <w:t>concedido;</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ListParagraph"/>
        <w:numPr>
          <w:ilvl w:val="1"/>
          <w:numId w:val="219"/>
        </w:numPr>
        <w:tabs>
          <w:tab w:pos="1761" w:val="left" w:leader="none"/>
        </w:tabs>
        <w:spacing w:line="240" w:lineRule="auto" w:before="229" w:after="0"/>
        <w:ind w:left="1761" w:right="0" w:hanging="566"/>
        <w:jc w:val="left"/>
        <w:rPr>
          <w:sz w:val="20"/>
        </w:rPr>
      </w:pPr>
      <w:r>
        <w:rPr>
          <w:sz w:val="20"/>
        </w:rPr>
        <w:t>(Se</w:t>
      </w:r>
      <w:r>
        <w:rPr>
          <w:spacing w:val="-6"/>
          <w:sz w:val="20"/>
        </w:rPr>
        <w:t> </w:t>
      </w:r>
      <w:r>
        <w:rPr>
          <w:spacing w:val="-2"/>
          <w:sz w:val="20"/>
        </w:rPr>
        <w:t>deroga).</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derogado</w:t>
      </w:r>
      <w:r>
        <w:rPr>
          <w:rFonts w:ascii="Times New Roman"/>
          <w:i/>
          <w:color w:val="0000FF"/>
          <w:spacing w:val="-4"/>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30-11-</w:t>
      </w:r>
      <w:r>
        <w:rPr>
          <w:rFonts w:ascii="Times New Roman"/>
          <w:i/>
          <w:color w:val="0000FF"/>
          <w:spacing w:val="-4"/>
          <w:sz w:val="16"/>
        </w:rPr>
        <w:t>2012</w:t>
      </w:r>
    </w:p>
    <w:p>
      <w:pPr>
        <w:pStyle w:val="BodyText"/>
        <w:spacing w:before="1"/>
        <w:rPr>
          <w:rFonts w:ascii="Times New Roman"/>
          <w:i/>
        </w:rPr>
      </w:pPr>
    </w:p>
    <w:p>
      <w:pPr>
        <w:pStyle w:val="ListParagraph"/>
        <w:numPr>
          <w:ilvl w:val="1"/>
          <w:numId w:val="219"/>
        </w:numPr>
        <w:tabs>
          <w:tab w:pos="1760" w:val="left" w:leader="none"/>
          <w:tab w:pos="1762" w:val="left" w:leader="none"/>
        </w:tabs>
        <w:spacing w:line="240" w:lineRule="auto" w:before="1" w:after="0"/>
        <w:ind w:left="1762" w:right="342" w:hanging="567"/>
        <w:jc w:val="both"/>
        <w:rPr>
          <w:sz w:val="20"/>
        </w:rPr>
      </w:pPr>
      <w:r>
        <w:rPr>
          <w:sz w:val="20"/>
        </w:rPr>
        <w:t>Estudiar y sugerir el establecimiento de sistemas generales que permitan, capacitar o adiestrar a los trabajadores, conforme al procedimiento de adhesión, convencional a que se refiere el artículo 153-B;</w:t>
      </w:r>
    </w:p>
    <w:p>
      <w:pPr>
        <w:pStyle w:val="ListParagraph"/>
        <w:numPr>
          <w:ilvl w:val="1"/>
          <w:numId w:val="219"/>
        </w:numPr>
        <w:tabs>
          <w:tab w:pos="1759" w:val="left" w:leader="none"/>
          <w:tab w:pos="1762" w:val="left" w:leader="none"/>
        </w:tabs>
        <w:spacing w:line="242" w:lineRule="auto" w:before="229" w:after="0"/>
        <w:ind w:left="1762" w:right="343" w:hanging="567"/>
        <w:jc w:val="both"/>
        <w:rPr>
          <w:sz w:val="20"/>
        </w:rPr>
      </w:pPr>
      <w:r>
        <w:rPr>
          <w:sz w:val="20"/>
        </w:rPr>
        <w:t>Dictaminar sobre las sanciones que deban imponerse por infracciones a las normas contenidas en el Capítulo III Bis del Título Cuarto;</w:t>
      </w:r>
    </w:p>
    <w:p>
      <w:pPr>
        <w:pStyle w:val="ListParagraph"/>
        <w:numPr>
          <w:ilvl w:val="1"/>
          <w:numId w:val="219"/>
        </w:numPr>
        <w:tabs>
          <w:tab w:pos="1759" w:val="left" w:leader="none"/>
          <w:tab w:pos="1762" w:val="left" w:leader="none"/>
        </w:tabs>
        <w:spacing w:line="242" w:lineRule="auto" w:before="221" w:after="0"/>
        <w:ind w:left="1762" w:right="340" w:hanging="567"/>
        <w:jc w:val="both"/>
        <w:rPr>
          <w:sz w:val="20"/>
        </w:rPr>
      </w:pPr>
      <w:r>
        <w:rPr>
          <w:sz w:val="20"/>
        </w:rPr>
        <w:t>Establecer coordinación con la Secretaría de Educación Pública para sugerir, promover y organizar planes o programas sobre capacitación y adiestramiento para el trabajo y, en</w:t>
      </w:r>
      <w:r>
        <w:rPr>
          <w:spacing w:val="40"/>
          <w:sz w:val="20"/>
        </w:rPr>
        <w:t> </w:t>
      </w:r>
      <w:r>
        <w:rPr>
          <w:sz w:val="20"/>
        </w:rPr>
        <w:t>su caso, para la expedición de certificados, conforme a lo dispuesto en esta Ley, en los ordenamientos educativos y demás disposiciones en vigor; e</w:t>
      </w:r>
    </w:p>
    <w:p>
      <w:pPr>
        <w:spacing w:line="178"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30-11-</w:t>
      </w:r>
      <w:r>
        <w:rPr>
          <w:rFonts w:ascii="Times New Roman"/>
          <w:i/>
          <w:color w:val="0000FF"/>
          <w:spacing w:val="-4"/>
          <w:sz w:val="16"/>
        </w:rPr>
        <w:t>2012</w:t>
      </w:r>
    </w:p>
    <w:p>
      <w:pPr>
        <w:pStyle w:val="BodyText"/>
        <w:spacing w:before="47"/>
        <w:rPr>
          <w:rFonts w:ascii="Times New Roman"/>
          <w:i/>
          <w:sz w:val="16"/>
        </w:rPr>
      </w:pPr>
    </w:p>
    <w:p>
      <w:pPr>
        <w:pStyle w:val="ListParagraph"/>
        <w:numPr>
          <w:ilvl w:val="1"/>
          <w:numId w:val="219"/>
        </w:numPr>
        <w:tabs>
          <w:tab w:pos="1762" w:val="left" w:leader="none"/>
        </w:tabs>
        <w:spacing w:line="242" w:lineRule="auto" w:before="0" w:after="0"/>
        <w:ind w:left="1762" w:right="347" w:hanging="567"/>
        <w:jc w:val="left"/>
        <w:rPr>
          <w:sz w:val="20"/>
        </w:rPr>
      </w:pPr>
      <w:r>
        <w:rPr>
          <w:sz w:val="20"/>
        </w:rPr>
        <w:t>En</w:t>
      </w:r>
      <w:r>
        <w:rPr>
          <w:spacing w:val="40"/>
          <w:sz w:val="20"/>
        </w:rPr>
        <w:t> </w:t>
      </w:r>
      <w:r>
        <w:rPr>
          <w:sz w:val="20"/>
        </w:rPr>
        <w:t>general,</w:t>
      </w:r>
      <w:r>
        <w:rPr>
          <w:spacing w:val="40"/>
          <w:sz w:val="20"/>
        </w:rPr>
        <w:t> </w:t>
      </w:r>
      <w:r>
        <w:rPr>
          <w:sz w:val="20"/>
        </w:rPr>
        <w:t>realizar</w:t>
      </w:r>
      <w:r>
        <w:rPr>
          <w:spacing w:val="40"/>
          <w:sz w:val="20"/>
        </w:rPr>
        <w:t> </w:t>
      </w:r>
      <w:r>
        <w:rPr>
          <w:sz w:val="20"/>
        </w:rPr>
        <w:t>todas</w:t>
      </w:r>
      <w:r>
        <w:rPr>
          <w:spacing w:val="40"/>
          <w:sz w:val="20"/>
        </w:rPr>
        <w:t> </w:t>
      </w:r>
      <w:r>
        <w:rPr>
          <w:sz w:val="20"/>
        </w:rPr>
        <w:t>aquéllas</w:t>
      </w:r>
      <w:r>
        <w:rPr>
          <w:spacing w:val="40"/>
          <w:sz w:val="20"/>
        </w:rPr>
        <w:t> </w:t>
      </w:r>
      <w:r>
        <w:rPr>
          <w:sz w:val="20"/>
        </w:rPr>
        <w:t>que</w:t>
      </w:r>
      <w:r>
        <w:rPr>
          <w:spacing w:val="40"/>
          <w:sz w:val="20"/>
        </w:rPr>
        <w:t> </w:t>
      </w:r>
      <w:r>
        <w:rPr>
          <w:sz w:val="20"/>
        </w:rPr>
        <w:t>las</w:t>
      </w:r>
      <w:r>
        <w:rPr>
          <w:spacing w:val="40"/>
          <w:sz w:val="20"/>
        </w:rPr>
        <w:t> </w:t>
      </w:r>
      <w:r>
        <w:rPr>
          <w:sz w:val="20"/>
        </w:rPr>
        <w:t>leyes</w:t>
      </w:r>
      <w:r>
        <w:rPr>
          <w:spacing w:val="40"/>
          <w:sz w:val="20"/>
        </w:rPr>
        <w:t> </w:t>
      </w:r>
      <w:r>
        <w:rPr>
          <w:sz w:val="20"/>
        </w:rPr>
        <w:t>y</w:t>
      </w:r>
      <w:r>
        <w:rPr>
          <w:spacing w:val="40"/>
          <w:sz w:val="20"/>
        </w:rPr>
        <w:t> </w:t>
      </w:r>
      <w:r>
        <w:rPr>
          <w:sz w:val="20"/>
        </w:rPr>
        <w:t>reglamentos</w:t>
      </w:r>
      <w:r>
        <w:rPr>
          <w:spacing w:val="40"/>
          <w:sz w:val="20"/>
        </w:rPr>
        <w:t> </w:t>
      </w:r>
      <w:r>
        <w:rPr>
          <w:sz w:val="20"/>
        </w:rPr>
        <w:t>encomienden</w:t>
      </w:r>
      <w:r>
        <w:rPr>
          <w:spacing w:val="40"/>
          <w:sz w:val="20"/>
        </w:rPr>
        <w:t> </w:t>
      </w:r>
      <w:r>
        <w:rPr>
          <w:sz w:val="20"/>
        </w:rPr>
        <w:t>a</w:t>
      </w:r>
      <w:r>
        <w:rPr>
          <w:spacing w:val="40"/>
          <w:sz w:val="20"/>
        </w:rPr>
        <w:t> </w:t>
      </w:r>
      <w:r>
        <w:rPr>
          <w:sz w:val="20"/>
        </w:rPr>
        <w:t>la Secretaría del Trabajo y Previsión Social en esta materia.</w:t>
      </w:r>
    </w:p>
    <w:p>
      <w:pPr>
        <w:pStyle w:val="BodyText"/>
        <w:tabs>
          <w:tab w:pos="1195" w:val="left" w:leader="none"/>
        </w:tabs>
        <w:spacing w:before="227"/>
        <w:ind w:left="626"/>
      </w:pPr>
      <w:r>
        <w:rPr>
          <w:rFonts w:ascii="Arial"/>
          <w:b/>
          <w:spacing w:val="-5"/>
        </w:rPr>
        <w:t>lV.</w:t>
      </w:r>
      <w:r>
        <w:rPr>
          <w:rFonts w:ascii="Arial"/>
          <w:b/>
        </w:rPr>
        <w:tab/>
      </w:r>
      <w:r>
        <w:rPr/>
        <w:t>En</w:t>
      </w:r>
      <w:r>
        <w:rPr>
          <w:spacing w:val="-8"/>
        </w:rPr>
        <w:t> </w:t>
      </w:r>
      <w:r>
        <w:rPr/>
        <w:t>materia</w:t>
      </w:r>
      <w:r>
        <w:rPr>
          <w:spacing w:val="-7"/>
        </w:rPr>
        <w:t> </w:t>
      </w:r>
      <w:r>
        <w:rPr/>
        <w:t>de</w:t>
      </w:r>
      <w:r>
        <w:rPr>
          <w:spacing w:val="-7"/>
        </w:rPr>
        <w:t> </w:t>
      </w:r>
      <w:r>
        <w:rPr/>
        <w:t>registro</w:t>
      </w:r>
      <w:r>
        <w:rPr>
          <w:spacing w:val="-7"/>
        </w:rPr>
        <w:t> </w:t>
      </w:r>
      <w:r>
        <w:rPr/>
        <w:t>de</w:t>
      </w:r>
      <w:r>
        <w:rPr>
          <w:spacing w:val="-7"/>
        </w:rPr>
        <w:t> </w:t>
      </w:r>
      <w:r>
        <w:rPr/>
        <w:t>constancias</w:t>
      </w:r>
      <w:r>
        <w:rPr>
          <w:spacing w:val="-7"/>
        </w:rPr>
        <w:t> </w:t>
      </w:r>
      <w:r>
        <w:rPr/>
        <w:t>de</w:t>
      </w:r>
      <w:r>
        <w:rPr>
          <w:spacing w:val="-6"/>
        </w:rPr>
        <w:t> </w:t>
      </w:r>
      <w:r>
        <w:rPr/>
        <w:t>habilidades</w:t>
      </w:r>
      <w:r>
        <w:rPr>
          <w:spacing w:val="-5"/>
        </w:rPr>
        <w:t> </w:t>
      </w:r>
      <w:r>
        <w:rPr>
          <w:spacing w:val="-2"/>
        </w:rPr>
        <w:t>laborales:</w:t>
      </w:r>
    </w:p>
    <w:p>
      <w:pPr>
        <w:pStyle w:val="ListParagraph"/>
        <w:numPr>
          <w:ilvl w:val="0"/>
          <w:numId w:val="220"/>
        </w:numPr>
        <w:tabs>
          <w:tab w:pos="1762" w:val="left" w:leader="none"/>
        </w:tabs>
        <w:spacing w:line="242" w:lineRule="auto" w:before="228" w:after="0"/>
        <w:ind w:left="1762" w:right="344" w:hanging="567"/>
        <w:jc w:val="left"/>
        <w:rPr>
          <w:sz w:val="20"/>
        </w:rPr>
      </w:pPr>
      <w:r>
        <w:rPr>
          <w:sz w:val="20"/>
        </w:rPr>
        <w:t>Establecer registros de constancias relativas a trabajadores capacitados o adiestrados, dentro de cada una de las ramas industriales o actividades; y</w:t>
      </w:r>
    </w:p>
    <w:p>
      <w:pPr>
        <w:pStyle w:val="ListParagraph"/>
        <w:spacing w:after="0" w:line="242" w:lineRule="auto"/>
        <w:jc w:val="left"/>
        <w:rPr>
          <w:sz w:val="20"/>
        </w:rPr>
        <w:sectPr>
          <w:pgSz w:w="12240" w:h="15840"/>
          <w:pgMar w:header="724" w:footer="712" w:top="1880" w:bottom="900" w:left="1080" w:right="1080"/>
        </w:sectPr>
      </w:pPr>
    </w:p>
    <w:p>
      <w:pPr>
        <w:pStyle w:val="BodyText"/>
      </w:pPr>
    </w:p>
    <w:p>
      <w:pPr>
        <w:pStyle w:val="BodyText"/>
        <w:spacing w:before="63"/>
      </w:pPr>
    </w:p>
    <w:p>
      <w:pPr>
        <w:pStyle w:val="ListParagraph"/>
        <w:numPr>
          <w:ilvl w:val="0"/>
          <w:numId w:val="220"/>
        </w:numPr>
        <w:tabs>
          <w:tab w:pos="1762" w:val="left" w:leader="none"/>
        </w:tabs>
        <w:spacing w:line="242" w:lineRule="auto" w:before="0" w:after="0"/>
        <w:ind w:left="1762" w:right="336" w:hanging="567"/>
        <w:jc w:val="left"/>
        <w:rPr>
          <w:sz w:val="20"/>
        </w:rPr>
      </w:pPr>
      <w:r>
        <w:rPr>
          <w:sz w:val="20"/>
        </w:rPr>
        <w:t>En general, realizar todas aquéllas que las leyes y reglamentos confieran a la Secretaría del Trabajo y Previsión Social en esta materia.</w:t>
      </w:r>
    </w:p>
    <w:p>
      <w:pPr>
        <w:pStyle w:val="ListParagraph"/>
        <w:numPr>
          <w:ilvl w:val="0"/>
          <w:numId w:val="221"/>
        </w:numPr>
        <w:tabs>
          <w:tab w:pos="1195" w:val="left" w:leader="none"/>
        </w:tabs>
        <w:spacing w:line="240" w:lineRule="auto" w:before="227" w:after="0"/>
        <w:ind w:left="1195" w:right="334" w:hanging="569"/>
        <w:jc w:val="both"/>
        <w:rPr>
          <w:sz w:val="20"/>
        </w:rPr>
      </w:pPr>
      <w:r>
        <w:rPr>
          <w:sz w:val="20"/>
        </w:rPr>
        <w:t>En materia de vinculación de la formación laboral y profesional con la demanda estratégica del sector productivo, proponer e instrumentar mecanismos para vincular la formación profesional con aquellas áreas prioritarias para el desarrollo regional y</w:t>
      </w:r>
      <w:r>
        <w:rPr>
          <w:spacing w:val="-2"/>
          <w:sz w:val="20"/>
        </w:rPr>
        <w:t> </w:t>
      </w:r>
      <w:r>
        <w:rPr>
          <w:sz w:val="20"/>
        </w:rPr>
        <w:t>nacional, así como con aquellas que presenten índices superiores de demanda.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221"/>
        </w:numPr>
        <w:tabs>
          <w:tab w:pos="1195" w:val="left" w:leader="none"/>
        </w:tabs>
        <w:spacing w:line="240" w:lineRule="auto" w:before="0" w:after="0"/>
        <w:ind w:left="1195" w:right="336" w:hanging="569"/>
        <w:jc w:val="left"/>
        <w:rPr>
          <w:sz w:val="20"/>
        </w:rPr>
      </w:pPr>
      <w:r>
        <w:rPr>
          <w:sz w:val="20"/>
        </w:rPr>
        <w:t>En</w:t>
      </w:r>
      <w:r>
        <w:rPr>
          <w:spacing w:val="40"/>
          <w:sz w:val="20"/>
        </w:rPr>
        <w:t> </w:t>
      </w:r>
      <w:r>
        <w:rPr>
          <w:sz w:val="20"/>
        </w:rPr>
        <w:t>materia</w:t>
      </w:r>
      <w:r>
        <w:rPr>
          <w:spacing w:val="40"/>
          <w:sz w:val="20"/>
        </w:rPr>
        <w:t> </w:t>
      </w:r>
      <w:r>
        <w:rPr>
          <w:sz w:val="20"/>
        </w:rPr>
        <w:t>de</w:t>
      </w:r>
      <w:r>
        <w:rPr>
          <w:spacing w:val="40"/>
          <w:sz w:val="20"/>
        </w:rPr>
        <w:t> </w:t>
      </w:r>
      <w:r>
        <w:rPr>
          <w:sz w:val="20"/>
        </w:rPr>
        <w:t>normalización</w:t>
      </w:r>
      <w:r>
        <w:rPr>
          <w:spacing w:val="40"/>
          <w:sz w:val="20"/>
        </w:rPr>
        <w:t> </w:t>
      </w:r>
      <w:r>
        <w:rPr>
          <w:sz w:val="20"/>
        </w:rPr>
        <w:t>y</w:t>
      </w:r>
      <w:r>
        <w:rPr>
          <w:spacing w:val="40"/>
          <w:sz w:val="20"/>
        </w:rPr>
        <w:t> </w:t>
      </w:r>
      <w:r>
        <w:rPr>
          <w:sz w:val="20"/>
        </w:rPr>
        <w:t>certificación</w:t>
      </w:r>
      <w:r>
        <w:rPr>
          <w:spacing w:val="40"/>
          <w:sz w:val="20"/>
        </w:rPr>
        <w:t> </w:t>
      </w:r>
      <w:r>
        <w:rPr>
          <w:sz w:val="20"/>
        </w:rPr>
        <w:t>de</w:t>
      </w:r>
      <w:r>
        <w:rPr>
          <w:spacing w:val="40"/>
          <w:sz w:val="20"/>
        </w:rPr>
        <w:t> </w:t>
      </w:r>
      <w:r>
        <w:rPr>
          <w:sz w:val="20"/>
        </w:rPr>
        <w:t>competencia</w:t>
      </w:r>
      <w:r>
        <w:rPr>
          <w:spacing w:val="40"/>
          <w:sz w:val="20"/>
        </w:rPr>
        <w:t> </w:t>
      </w:r>
      <w:r>
        <w:rPr>
          <w:sz w:val="20"/>
        </w:rPr>
        <w:t>laboral,</w:t>
      </w:r>
      <w:r>
        <w:rPr>
          <w:spacing w:val="40"/>
          <w:sz w:val="20"/>
        </w:rPr>
        <w:t> </w:t>
      </w:r>
      <w:r>
        <w:rPr>
          <w:sz w:val="20"/>
        </w:rPr>
        <w:t>conjuntamente</w:t>
      </w:r>
      <w:r>
        <w:rPr>
          <w:spacing w:val="40"/>
          <w:sz w:val="20"/>
        </w:rPr>
        <w:t> </w:t>
      </w:r>
      <w:r>
        <w:rPr>
          <w:sz w:val="20"/>
        </w:rPr>
        <w:t>con</w:t>
      </w:r>
      <w:r>
        <w:rPr>
          <w:spacing w:val="40"/>
          <w:sz w:val="20"/>
        </w:rPr>
        <w:t> </w:t>
      </w:r>
      <w:r>
        <w:rPr>
          <w:sz w:val="20"/>
        </w:rPr>
        <w:t>la Secretaría de Educación Pública y demás autoridades federales competentes:</w:t>
      </w:r>
    </w:p>
    <w:p>
      <w:pPr>
        <w:pStyle w:val="ListParagraph"/>
        <w:numPr>
          <w:ilvl w:val="1"/>
          <w:numId w:val="221"/>
        </w:numPr>
        <w:tabs>
          <w:tab w:pos="1762" w:val="left" w:leader="none"/>
        </w:tabs>
        <w:spacing w:line="240" w:lineRule="auto" w:before="230" w:after="0"/>
        <w:ind w:left="1762" w:right="336" w:hanging="567"/>
        <w:jc w:val="both"/>
        <w:rPr>
          <w:sz w:val="20"/>
        </w:rPr>
      </w:pPr>
      <w:r>
        <w:rPr>
          <w:sz w:val="20"/>
        </w:rPr>
        <w:t>Determinar los lineamientos generales aplicables en toda la República para la definición de aquellos conocimientos, habilidades o destrezas susceptibles de certificación, así como de los procedimientos de evaluación correspondientes. Para la fijación de dichos lineamientos, se establecerán procedimientos que permitan considerar las necesidades, propuestas y opiniones de los diversos sectores productivos; y</w:t>
      </w:r>
    </w:p>
    <w:p>
      <w:pPr>
        <w:pStyle w:val="ListParagraph"/>
        <w:numPr>
          <w:ilvl w:val="1"/>
          <w:numId w:val="221"/>
        </w:numPr>
        <w:tabs>
          <w:tab w:pos="1759" w:val="left" w:leader="none"/>
          <w:tab w:pos="1762" w:val="left" w:leader="none"/>
        </w:tabs>
        <w:spacing w:line="240" w:lineRule="auto" w:before="230" w:after="0"/>
        <w:ind w:left="1762" w:right="337" w:hanging="567"/>
        <w:jc w:val="both"/>
        <w:rPr>
          <w:sz w:val="20"/>
        </w:rPr>
      </w:pPr>
      <w:r>
        <w:rPr>
          <w:sz w:val="20"/>
        </w:rPr>
        <w:t>Establecer un régimen de certificación, aplicable a toda la República, conforme al cual</w:t>
      </w:r>
      <w:r>
        <w:rPr>
          <w:spacing w:val="40"/>
          <w:sz w:val="20"/>
        </w:rPr>
        <w:t> </w:t>
      </w:r>
      <w:r>
        <w:rPr>
          <w:sz w:val="20"/>
        </w:rPr>
        <w:t>sea posible acreditar conocimientos, habilidades o destrezas, intermedios o terminales,</w:t>
      </w:r>
      <w:r>
        <w:rPr>
          <w:spacing w:val="40"/>
          <w:sz w:val="20"/>
        </w:rPr>
        <w:t> </w:t>
      </w:r>
      <w:r>
        <w:rPr>
          <w:sz w:val="20"/>
        </w:rPr>
        <w:t>de manera parcial y acumulativa, que requiere un individuo para la ejecución de una actividad productiva, independientemente de la forma en que hayan sido adquiridos.</w:t>
      </w:r>
    </w:p>
    <w:p>
      <w:pPr>
        <w:spacing w:before="0"/>
        <w:ind w:left="7347" w:right="333" w:hanging="106"/>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BodyText"/>
        <w:spacing w:before="44"/>
        <w:rPr>
          <w:rFonts w:ascii="Times New Roman"/>
          <w:i/>
          <w:sz w:val="16"/>
        </w:rPr>
      </w:pPr>
    </w:p>
    <w:p>
      <w:pPr>
        <w:pStyle w:val="BodyText"/>
        <w:spacing w:before="1"/>
        <w:ind w:left="338" w:right="337" w:firstLine="288"/>
        <w:jc w:val="both"/>
      </w:pPr>
      <w:bookmarkStart w:name="Artículo_539_A" w:id="685"/>
      <w:bookmarkEnd w:id="685"/>
      <w:r>
        <w:rPr/>
      </w:r>
      <w:r>
        <w:rPr>
          <w:rFonts w:ascii="Arial" w:hAnsi="Arial"/>
          <w:b/>
        </w:rPr>
        <w:t>Artículo 539-A. </w:t>
      </w:r>
      <w:r>
        <w:rPr/>
        <w:t>Para el cumplimiento de sus funciones, en relación con las empresas o establecimientos que pertenezcan a ramas industriales o actividades de jurisdicción federal, la Secretaría del Trabajo y Previsión Social será asesorada por un Consejo Consultivo del Servicio Nacional de Empleo, integrado por representantes del sector público, de las organizaciones nacionales de trabajadores y</w:t>
      </w:r>
      <w:r>
        <w:rPr>
          <w:spacing w:val="-5"/>
        </w:rPr>
        <w:t> </w:t>
      </w:r>
      <w:r>
        <w:rPr/>
        <w:t>de</w:t>
      </w:r>
      <w:r>
        <w:rPr>
          <w:spacing w:val="-2"/>
        </w:rPr>
        <w:t> </w:t>
      </w:r>
      <w:r>
        <w:rPr/>
        <w:t>las</w:t>
      </w:r>
      <w:r>
        <w:rPr>
          <w:spacing w:val="-3"/>
        </w:rPr>
        <w:t> </w:t>
      </w:r>
      <w:r>
        <w:rPr/>
        <w:t>organizaciones</w:t>
      </w:r>
      <w:r>
        <w:rPr>
          <w:spacing w:val="-3"/>
        </w:rPr>
        <w:t> </w:t>
      </w:r>
      <w:r>
        <w:rPr/>
        <w:t>nacionales</w:t>
      </w:r>
      <w:r>
        <w:rPr>
          <w:spacing w:val="-3"/>
        </w:rPr>
        <w:t> </w:t>
      </w:r>
      <w:r>
        <w:rPr/>
        <w:t>de</w:t>
      </w:r>
      <w:r>
        <w:rPr>
          <w:spacing w:val="-2"/>
        </w:rPr>
        <w:t> </w:t>
      </w:r>
      <w:r>
        <w:rPr/>
        <w:t>patrones,</w:t>
      </w:r>
      <w:r>
        <w:rPr>
          <w:spacing w:val="-2"/>
        </w:rPr>
        <w:t> </w:t>
      </w:r>
      <w:r>
        <w:rPr/>
        <w:t>a</w:t>
      </w:r>
      <w:r>
        <w:rPr>
          <w:spacing w:val="-4"/>
        </w:rPr>
        <w:t> </w:t>
      </w:r>
      <w:r>
        <w:rPr/>
        <w:t>razón</w:t>
      </w:r>
      <w:r>
        <w:rPr>
          <w:spacing w:val="-2"/>
        </w:rPr>
        <w:t> </w:t>
      </w:r>
      <w:r>
        <w:rPr/>
        <w:t>de</w:t>
      </w:r>
      <w:r>
        <w:rPr>
          <w:spacing w:val="-2"/>
        </w:rPr>
        <w:t> </w:t>
      </w:r>
      <w:r>
        <w:rPr/>
        <w:t>cinco</w:t>
      </w:r>
      <w:r>
        <w:rPr>
          <w:spacing w:val="-2"/>
        </w:rPr>
        <w:t> </w:t>
      </w:r>
      <w:r>
        <w:rPr/>
        <w:t>miembros</w:t>
      </w:r>
      <w:r>
        <w:rPr>
          <w:spacing w:val="-2"/>
        </w:rPr>
        <w:t> </w:t>
      </w:r>
      <w:r>
        <w:rPr/>
        <w:t>por</w:t>
      </w:r>
      <w:r>
        <w:rPr>
          <w:spacing w:val="-3"/>
        </w:rPr>
        <w:t> </w:t>
      </w:r>
      <w:r>
        <w:rPr/>
        <w:t>cada</w:t>
      </w:r>
      <w:r>
        <w:rPr>
          <w:spacing w:val="-2"/>
        </w:rPr>
        <w:t> </w:t>
      </w:r>
      <w:r>
        <w:rPr/>
        <w:t>uno</w:t>
      </w:r>
      <w:r>
        <w:rPr>
          <w:spacing w:val="-2"/>
        </w:rPr>
        <w:t> </w:t>
      </w:r>
      <w:r>
        <w:rPr/>
        <w:t>de ellos, con sus respectivos suplentes.</w:t>
      </w:r>
    </w:p>
    <w:p>
      <w:pPr>
        <w:spacing w:before="0"/>
        <w:ind w:left="5086"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13-04-1984.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50"/>
        <w:rPr>
          <w:rFonts w:ascii="Times New Roman"/>
          <w:i/>
          <w:sz w:val="16"/>
        </w:rPr>
      </w:pPr>
    </w:p>
    <w:p>
      <w:pPr>
        <w:pStyle w:val="BodyText"/>
        <w:ind w:left="338" w:right="345" w:firstLine="288"/>
        <w:jc w:val="both"/>
      </w:pPr>
      <w:r>
        <w:rPr/>
        <w:t>Por el Sector Público participarán sendos representantes de la Secretaría del Trabajo y Previsión Social; de la Secretaría de Educación Pública; de la Secretaría de Economía, de la Secretaría de</w:t>
      </w:r>
      <w:r>
        <w:rPr>
          <w:spacing w:val="40"/>
        </w:rPr>
        <w:t> </w:t>
      </w:r>
      <w:r>
        <w:rPr/>
        <w:t>Energía, y del Instituto Mexicano del Seguro Social.</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338" w:firstLine="288"/>
      </w:pPr>
      <w:r>
        <w:rPr/>
        <w:t>Los representantes de las organizaciones obreras y de los patrones serán designados conforme a las bases que expida la Secretaría del Trabajo y Previsión Social.</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338" w:right="341" w:firstLine="288"/>
        <w:jc w:val="both"/>
      </w:pPr>
      <w:r>
        <w:rPr/>
        <w:t>El Secretario del Trabajo y Previsión Social podrá invitar a participar en el Consejo Consultivo del Servicio Nacional de Empleo, con derecho a voz pero sin voto, a cinco personas que por su trayectoria y experiencia puedan hacer aportaciones en la materia.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338" w:right="341" w:firstLine="288"/>
        <w:jc w:val="both"/>
      </w:pPr>
      <w:r>
        <w:rPr/>
        <w:t>El Consejo Consultivo será presidido por el Secretario del Trabajo y Previsión Social, fungirá como secretario del mismo</w:t>
      </w:r>
      <w:r>
        <w:rPr>
          <w:spacing w:val="-1"/>
        </w:rPr>
        <w:t> </w:t>
      </w:r>
      <w:r>
        <w:rPr/>
        <w:t>el</w:t>
      </w:r>
      <w:r>
        <w:rPr>
          <w:spacing w:val="-2"/>
        </w:rPr>
        <w:t> </w:t>
      </w:r>
      <w:r>
        <w:rPr/>
        <w:t>funcionario</w:t>
      </w:r>
      <w:r>
        <w:rPr>
          <w:spacing w:val="-1"/>
        </w:rPr>
        <w:t> </w:t>
      </w:r>
      <w:r>
        <w:rPr/>
        <w:t>que determine</w:t>
      </w:r>
      <w:r>
        <w:rPr>
          <w:spacing w:val="-2"/>
        </w:rPr>
        <w:t> </w:t>
      </w:r>
      <w:r>
        <w:rPr/>
        <w:t>el titular de la propia Secretaría y</w:t>
      </w:r>
      <w:r>
        <w:rPr>
          <w:spacing w:val="-4"/>
        </w:rPr>
        <w:t> </w:t>
      </w:r>
      <w:r>
        <w:rPr/>
        <w:t>su</w:t>
      </w:r>
      <w:r>
        <w:rPr>
          <w:spacing w:val="-1"/>
        </w:rPr>
        <w:t> </w:t>
      </w:r>
      <w:r>
        <w:rPr/>
        <w:t>funcionamiento</w:t>
      </w:r>
      <w:r>
        <w:rPr>
          <w:spacing w:val="-1"/>
        </w:rPr>
        <w:t> </w:t>
      </w:r>
      <w:r>
        <w:rPr/>
        <w:t>se regirá por el reglamento que expida el propio Consejo.</w:t>
      </w:r>
    </w:p>
    <w:p>
      <w:pPr>
        <w:spacing w:line="240" w:lineRule="auto" w:before="0"/>
        <w:ind w:left="5355" w:right="0" w:firstLine="200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2"/>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1983</w:t>
      </w:r>
    </w:p>
    <w:p>
      <w:pPr>
        <w:spacing w:after="0" w:line="240" w:lineRule="auto"/>
        <w:jc w:val="left"/>
        <w:rPr>
          <w:rFonts w:ascii="Times New Roman" w:hAnsi="Times New Roman"/>
          <w:i/>
          <w:sz w:val="16"/>
        </w:rPr>
        <w:sectPr>
          <w:pgSz w:w="12240" w:h="15840"/>
          <w:pgMar w:header="724" w:footer="712" w:top="1880" w:bottom="900" w:left="1080" w:right="1080"/>
        </w:sectPr>
      </w:pPr>
    </w:p>
    <w:p>
      <w:pPr>
        <w:pStyle w:val="BodyText"/>
        <w:spacing w:before="61"/>
        <w:rPr>
          <w:rFonts w:ascii="Times New Roman"/>
          <w:i/>
        </w:rPr>
      </w:pPr>
    </w:p>
    <w:p>
      <w:pPr>
        <w:pStyle w:val="BodyText"/>
        <w:spacing w:line="242" w:lineRule="auto"/>
        <w:ind w:left="338" w:right="340" w:firstLine="288"/>
        <w:jc w:val="both"/>
      </w:pPr>
      <w:bookmarkStart w:name="Artículo_539_B" w:id="686"/>
      <w:bookmarkEnd w:id="686"/>
      <w:r>
        <w:rPr/>
      </w:r>
      <w:r>
        <w:rPr>
          <w:rFonts w:ascii="Arial" w:hAnsi="Arial"/>
          <w:b/>
        </w:rPr>
        <w:t>Artículo 539-B.- </w:t>
      </w:r>
      <w:r>
        <w:rPr/>
        <w:t>Cuando se</w:t>
      </w:r>
      <w:r>
        <w:rPr>
          <w:spacing w:val="-1"/>
        </w:rPr>
        <w:t> </w:t>
      </w:r>
      <w:r>
        <w:rPr/>
        <w:t>trate</w:t>
      </w:r>
      <w:r>
        <w:rPr>
          <w:spacing w:val="-1"/>
        </w:rPr>
        <w:t> </w:t>
      </w:r>
      <w:r>
        <w:rPr/>
        <w:t>de</w:t>
      </w:r>
      <w:r>
        <w:rPr>
          <w:spacing w:val="-1"/>
        </w:rPr>
        <w:t> </w:t>
      </w:r>
      <w:r>
        <w:rPr/>
        <w:t>empresas o</w:t>
      </w:r>
      <w:r>
        <w:rPr>
          <w:spacing w:val="-1"/>
        </w:rPr>
        <w:t> </w:t>
      </w:r>
      <w:r>
        <w:rPr/>
        <w:t>establecimientos sujetos a jurisdicción local y</w:t>
      </w:r>
      <w:r>
        <w:rPr>
          <w:spacing w:val="-2"/>
        </w:rPr>
        <w:t> </w:t>
      </w:r>
      <w:r>
        <w:rPr/>
        <w:t>para</w:t>
      </w:r>
      <w:r>
        <w:rPr>
          <w:spacing w:val="-1"/>
        </w:rPr>
        <w:t> </w:t>
      </w:r>
      <w:r>
        <w:rPr/>
        <w:t>la realización de las actividades a que se contraen las fracciones III y IV del artículo 539, la Secretaría del Trabajo y Previsión Social será asesorada por Consejos Consultivos Estatales y de la Ciudad de México del Servicio Nacional de Empleo.</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7" w:firstLine="288"/>
        <w:jc w:val="both"/>
      </w:pPr>
      <w:r>
        <w:rPr/>
        <w:t>Los Consejos Consultivos Estatales y de la Ciudad de México del Servicio Nacional de Empleo</w:t>
      </w:r>
      <w:r>
        <w:rPr>
          <w:spacing w:val="40"/>
        </w:rPr>
        <w:t> </w:t>
      </w:r>
      <w:r>
        <w:rPr/>
        <w:t>estarán formados por el Gobernador de la Entidad Federativa correspondiente o por el Jefe de Gobierno de la Ciudad de México, quien los presidirá; sendos representantes de la Secretaría del Trabajo y Previsión Social, de la Secretaría de Educación Pública y del Instituto Mexicano del Seguro Social; tres representantes de</w:t>
      </w:r>
      <w:r>
        <w:rPr>
          <w:spacing w:val="-1"/>
        </w:rPr>
        <w:t> </w:t>
      </w:r>
      <w:r>
        <w:rPr/>
        <w:t>las</w:t>
      </w:r>
      <w:r>
        <w:rPr>
          <w:spacing w:val="-2"/>
        </w:rPr>
        <w:t> </w:t>
      </w:r>
      <w:r>
        <w:rPr/>
        <w:t>organizaciones locales</w:t>
      </w:r>
      <w:r>
        <w:rPr>
          <w:spacing w:val="-2"/>
        </w:rPr>
        <w:t> </w:t>
      </w:r>
      <w:r>
        <w:rPr/>
        <w:t>de</w:t>
      </w:r>
      <w:r>
        <w:rPr>
          <w:spacing w:val="-1"/>
        </w:rPr>
        <w:t> </w:t>
      </w:r>
      <w:r>
        <w:rPr/>
        <w:t>trabajadores y</w:t>
      </w:r>
      <w:r>
        <w:rPr>
          <w:spacing w:val="-4"/>
        </w:rPr>
        <w:t> </w:t>
      </w:r>
      <w:r>
        <w:rPr/>
        <w:t>tres</w:t>
      </w:r>
      <w:r>
        <w:rPr>
          <w:spacing w:val="-2"/>
        </w:rPr>
        <w:t> </w:t>
      </w:r>
      <w:r>
        <w:rPr/>
        <w:t>representantes</w:t>
      </w:r>
      <w:r>
        <w:rPr>
          <w:spacing w:val="-2"/>
        </w:rPr>
        <w:t> </w:t>
      </w:r>
      <w:r>
        <w:rPr/>
        <w:t>de</w:t>
      </w:r>
      <w:r>
        <w:rPr>
          <w:spacing w:val="-1"/>
        </w:rPr>
        <w:t> </w:t>
      </w:r>
      <w:r>
        <w:rPr/>
        <w:t>las</w:t>
      </w:r>
      <w:r>
        <w:rPr>
          <w:spacing w:val="-2"/>
        </w:rPr>
        <w:t> </w:t>
      </w:r>
      <w:r>
        <w:rPr/>
        <w:t>organizaciones patronales de la Entidad. El representante de la Secretaría del Trabajo y Previsión Social fungirá como Secretario del Consejo.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9" w:firstLine="288"/>
        <w:jc w:val="both"/>
      </w:pPr>
      <w:r>
        <w:rPr/>
        <w:t>La Secretaría del Trabajo y Previsión Social y el Gobernador de la Entidad Federativa que corresponda o el Jefe de Gobierno de la Ciudad de México expedirán, conjuntamente, las bases</w:t>
      </w:r>
      <w:r>
        <w:rPr>
          <w:spacing w:val="40"/>
        </w:rPr>
        <w:t> </w:t>
      </w:r>
      <w:r>
        <w:rPr/>
        <w:t>conforme a las cuales deban designarse los representantes de los trabajadores y de los patrones en los Consejos Consultivos mencionados y formularán, al efecto, las invitaciones que se requieran.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338" w:right="341" w:firstLine="288"/>
        <w:jc w:val="both"/>
      </w:pPr>
      <w:r>
        <w:rPr/>
        <w:t>El Secretario del Trabajo y Previsión Social y el Gobernador de la Entidad Federativa o el Jefe de Gobierno de la Ciudad de México, podrán invitar a participar en los Consejos Consultivos Estatales y de</w:t>
      </w:r>
      <w:r>
        <w:rPr>
          <w:spacing w:val="40"/>
        </w:rPr>
        <w:t> </w:t>
      </w:r>
      <w:r>
        <w:rPr/>
        <w:t>la Ciudad de México del Servicio Nacional de Empleo, respectivamente, a tres personas con derecho a voz, pero sin voto, que por su trayectoria y experiencia puedan hacer aportaciones en la materia.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ind w:left="338" w:right="337" w:firstLine="288"/>
        <w:jc w:val="both"/>
      </w:pPr>
      <w:r>
        <w:rPr/>
        <w:t>Los Consejos Consultivos se sujetarán en lo que se refiere a su funcionamiento interno, al reglamento que al efecto expida cada uno de ellos.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28-04-1978.</w:t>
      </w:r>
      <w:r>
        <w:rPr>
          <w:rFonts w:ascii="Times New Roman" w:hAnsi="Times New Roman"/>
          <w:i/>
          <w:color w:val="0000FF"/>
          <w:spacing w:val="-4"/>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30-12-1983.</w:t>
      </w:r>
      <w:r>
        <w:rPr>
          <w:rFonts w:ascii="Times New Roman" w:hAnsi="Times New Roman"/>
          <w:i/>
          <w:color w:val="0000FF"/>
          <w:spacing w:val="-6"/>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13-04-1984.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338" w:right="342" w:firstLine="288"/>
        <w:jc w:val="both"/>
      </w:pPr>
      <w:bookmarkStart w:name="Artículo_539_C" w:id="687"/>
      <w:bookmarkEnd w:id="687"/>
      <w:r>
        <w:rPr/>
      </w:r>
      <w:r>
        <w:rPr>
          <w:rFonts w:ascii="Arial" w:hAnsi="Arial"/>
          <w:b/>
        </w:rPr>
        <w:t>Artículo 539-C.- </w:t>
      </w:r>
      <w:r>
        <w:rPr/>
        <w:t>Las autoridades laborales estatales auxiliarán a la Secretaría del Trabajo y</w:t>
      </w:r>
      <w:r>
        <w:rPr>
          <w:spacing w:val="-1"/>
        </w:rPr>
        <w:t> </w:t>
      </w:r>
      <w:r>
        <w:rPr/>
        <w:t>Previsión Social, para el desempeño de sus funciones, de acuerdo a lo que establecen los artículos 527-A y 529.</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1983</w:t>
      </w:r>
    </w:p>
    <w:p>
      <w:pPr>
        <w:pStyle w:val="BodyText"/>
        <w:spacing w:before="45"/>
        <w:rPr>
          <w:rFonts w:ascii="Times New Roman"/>
          <w:i/>
          <w:sz w:val="16"/>
        </w:rPr>
      </w:pPr>
    </w:p>
    <w:p>
      <w:pPr>
        <w:pStyle w:val="BodyText"/>
        <w:spacing w:line="242" w:lineRule="auto"/>
        <w:ind w:left="338" w:right="334" w:firstLine="288"/>
        <w:jc w:val="both"/>
      </w:pPr>
      <w:bookmarkStart w:name="Artículo_539_D" w:id="688"/>
      <w:bookmarkEnd w:id="688"/>
      <w:r>
        <w:rPr/>
      </w:r>
      <w:r>
        <w:rPr>
          <w:rFonts w:ascii="Arial" w:hAnsi="Arial"/>
          <w:b/>
        </w:rPr>
        <w:t>Artículo 539-D.- </w:t>
      </w:r>
      <w:r>
        <w:rPr/>
        <w:t>El servicio para la colocación de los trabajadores será invariablemente gratuito para ellos y será proporcionado, según el régimen de aplicación de esta Ley, por la Secretaría del Trabajo y Previsión Social o por los órganos competentes de las Entidades Federativas, de conformidad con lo establecido por la fracción II del artículo 539, en ambos casos.</w:t>
      </w:r>
    </w:p>
    <w:p>
      <w:pPr>
        <w:spacing w:line="17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1983</w:t>
      </w:r>
    </w:p>
    <w:p>
      <w:pPr>
        <w:pStyle w:val="BodyText"/>
        <w:spacing w:before="48"/>
        <w:rPr>
          <w:rFonts w:ascii="Times New Roman"/>
          <w:i/>
          <w:sz w:val="16"/>
        </w:rPr>
      </w:pPr>
    </w:p>
    <w:p>
      <w:pPr>
        <w:pStyle w:val="BodyText"/>
        <w:ind w:left="338" w:right="339" w:firstLine="288"/>
        <w:jc w:val="both"/>
      </w:pPr>
      <w:bookmarkStart w:name="Artículo_539_E" w:id="689"/>
      <w:bookmarkEnd w:id="689"/>
      <w:r>
        <w:rPr/>
      </w:r>
      <w:r>
        <w:rPr>
          <w:rFonts w:ascii="Arial" w:hAnsi="Arial"/>
          <w:b/>
        </w:rPr>
        <w:t>Artículo 539-E.- </w:t>
      </w:r>
      <w:r>
        <w:rPr/>
        <w:t>Podrán participar en la prestación del servicio a que se refiere el artículo anterior, otras dependencias</w:t>
      </w:r>
      <w:r>
        <w:rPr>
          <w:spacing w:val="-1"/>
        </w:rPr>
        <w:t> </w:t>
      </w:r>
      <w:r>
        <w:rPr/>
        <w:t>oficiales,</w:t>
      </w:r>
      <w:r>
        <w:rPr>
          <w:spacing w:val="-1"/>
        </w:rPr>
        <w:t> </w:t>
      </w:r>
      <w:r>
        <w:rPr/>
        <w:t>instituciones docentes, organizaciones</w:t>
      </w:r>
      <w:r>
        <w:rPr>
          <w:spacing w:val="-1"/>
        </w:rPr>
        <w:t> </w:t>
      </w:r>
      <w:r>
        <w:rPr/>
        <w:t>sindicales</w:t>
      </w:r>
      <w:r>
        <w:rPr>
          <w:spacing w:val="-1"/>
        </w:rPr>
        <w:t> </w:t>
      </w:r>
      <w:r>
        <w:rPr/>
        <w:t>o patronales,</w:t>
      </w:r>
      <w:r>
        <w:rPr>
          <w:spacing w:val="-1"/>
        </w:rPr>
        <w:t> </w:t>
      </w:r>
      <w:r>
        <w:rPr/>
        <w:t>instituciones de</w:t>
      </w:r>
      <w:r>
        <w:rPr>
          <w:spacing w:val="-3"/>
        </w:rPr>
        <w:t> </w:t>
      </w:r>
      <w:r>
        <w:rPr/>
        <w:t>beneficencia y</w:t>
      </w:r>
      <w:r>
        <w:rPr>
          <w:spacing w:val="-5"/>
        </w:rPr>
        <w:t> </w:t>
      </w:r>
      <w:r>
        <w:rPr/>
        <w:t>demás</w:t>
      </w:r>
      <w:r>
        <w:rPr>
          <w:spacing w:val="-1"/>
        </w:rPr>
        <w:t> </w:t>
      </w:r>
      <w:r>
        <w:rPr/>
        <w:t>asociaciones</w:t>
      </w:r>
      <w:r>
        <w:rPr>
          <w:spacing w:val="-1"/>
        </w:rPr>
        <w:t> </w:t>
      </w:r>
      <w:r>
        <w:rPr/>
        <w:t>civiles</w:t>
      </w:r>
      <w:r>
        <w:rPr>
          <w:spacing w:val="-1"/>
        </w:rPr>
        <w:t> </w:t>
      </w:r>
      <w:r>
        <w:rPr/>
        <w:t>que</w:t>
      </w:r>
      <w:r>
        <w:rPr>
          <w:spacing w:val="-2"/>
        </w:rPr>
        <w:t> </w:t>
      </w:r>
      <w:r>
        <w:rPr/>
        <w:t>no persigan</w:t>
      </w:r>
      <w:r>
        <w:rPr>
          <w:spacing w:val="-2"/>
        </w:rPr>
        <w:t> </w:t>
      </w:r>
      <w:r>
        <w:rPr/>
        <w:t>fines</w:t>
      </w:r>
      <w:r>
        <w:rPr>
          <w:spacing w:val="-1"/>
        </w:rPr>
        <w:t> </w:t>
      </w:r>
      <w:r>
        <w:rPr/>
        <w:t>de</w:t>
      </w:r>
      <w:r>
        <w:rPr>
          <w:spacing w:val="-3"/>
        </w:rPr>
        <w:t> </w:t>
      </w:r>
      <w:r>
        <w:rPr/>
        <w:t>lucro.</w:t>
      </w:r>
      <w:r>
        <w:rPr>
          <w:spacing w:val="-2"/>
        </w:rPr>
        <w:t> </w:t>
      </w:r>
      <w:r>
        <w:rPr/>
        <w:t>En</w:t>
      </w:r>
      <w:r>
        <w:rPr>
          <w:spacing w:val="-2"/>
        </w:rPr>
        <w:t> </w:t>
      </w:r>
      <w:r>
        <w:rPr/>
        <w:t>estos</w:t>
      </w:r>
      <w:r>
        <w:rPr>
          <w:spacing w:val="-1"/>
        </w:rPr>
        <w:t> </w:t>
      </w:r>
      <w:r>
        <w:rPr/>
        <w:t>casos,</w:t>
      </w:r>
      <w:r>
        <w:rPr>
          <w:spacing w:val="-2"/>
        </w:rPr>
        <w:t> </w:t>
      </w:r>
      <w:r>
        <w:rPr/>
        <w:t>lo</w:t>
      </w:r>
      <w:r>
        <w:rPr>
          <w:spacing w:val="-2"/>
        </w:rPr>
        <w:t> </w:t>
      </w:r>
      <w:r>
        <w:rPr/>
        <w:t>harán</w:t>
      </w:r>
      <w:r>
        <w:rPr>
          <w:spacing w:val="-3"/>
        </w:rPr>
        <w:t> </w:t>
      </w:r>
      <w:r>
        <w:rPr/>
        <w:t>del conocimiento de la Secretaría del Trabajo y Previsión Social para fines de registro y control y para que esté en posibilidad de coordinar las acciones en esta materia.</w:t>
      </w:r>
    </w:p>
    <w:p>
      <w:pPr>
        <w:spacing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1983</w:t>
      </w:r>
    </w:p>
    <w:p>
      <w:pPr>
        <w:pStyle w:val="BodyText"/>
        <w:spacing w:before="47"/>
        <w:rPr>
          <w:rFonts w:ascii="Times New Roman"/>
          <w:i/>
          <w:sz w:val="16"/>
        </w:rPr>
      </w:pPr>
    </w:p>
    <w:p>
      <w:pPr>
        <w:pStyle w:val="BodyText"/>
        <w:ind w:left="338" w:right="335" w:firstLine="288"/>
        <w:jc w:val="both"/>
      </w:pPr>
      <w:bookmarkStart w:name="Artículo_539_F" w:id="690"/>
      <w:bookmarkEnd w:id="690"/>
      <w:r>
        <w:rPr/>
      </w:r>
      <w:r>
        <w:rPr>
          <w:rFonts w:ascii="Arial" w:hAnsi="Arial"/>
          <w:b/>
        </w:rPr>
        <w:t>Artículo 539-F.- </w:t>
      </w:r>
      <w:r>
        <w:rPr/>
        <w:t>Las autorizaciones para el funcionamiento de agencias de colocaciones, con fines lucrativos, sólo podrán otorgarse excepcionalmente, para la contratación de trabajadores que deban realizar trabajos especiales.</w:t>
      </w:r>
    </w:p>
    <w:p>
      <w:pPr>
        <w:pStyle w:val="BodyText"/>
        <w:spacing w:before="2"/>
      </w:pPr>
    </w:p>
    <w:p>
      <w:pPr>
        <w:pStyle w:val="BodyText"/>
        <w:ind w:left="338" w:right="345" w:firstLine="288"/>
        <w:jc w:val="both"/>
      </w:pPr>
      <w:r>
        <w:rPr/>
        <w:t>Dichas autorizaciones se</w:t>
      </w:r>
      <w:r>
        <w:rPr>
          <w:spacing w:val="-1"/>
        </w:rPr>
        <w:t> </w:t>
      </w:r>
      <w:r>
        <w:rPr/>
        <w:t>otorgarán previa</w:t>
      </w:r>
      <w:r>
        <w:rPr>
          <w:spacing w:val="-1"/>
        </w:rPr>
        <w:t> </w:t>
      </w:r>
      <w:r>
        <w:rPr/>
        <w:t>solicitud</w:t>
      </w:r>
      <w:r>
        <w:rPr>
          <w:spacing w:val="-1"/>
        </w:rPr>
        <w:t> </w:t>
      </w:r>
      <w:r>
        <w:rPr/>
        <w:t>del</w:t>
      </w:r>
      <w:r>
        <w:rPr>
          <w:spacing w:val="-1"/>
        </w:rPr>
        <w:t> </w:t>
      </w:r>
      <w:r>
        <w:rPr/>
        <w:t>interesado, cuando</w:t>
      </w:r>
      <w:r>
        <w:rPr>
          <w:spacing w:val="-1"/>
        </w:rPr>
        <w:t> </w:t>
      </w:r>
      <w:r>
        <w:rPr/>
        <w:t>a</w:t>
      </w:r>
      <w:r>
        <w:rPr>
          <w:spacing w:val="-1"/>
        </w:rPr>
        <w:t> </w:t>
      </w:r>
      <w:r>
        <w:rPr/>
        <w:t>juicio</w:t>
      </w:r>
      <w:r>
        <w:rPr>
          <w:spacing w:val="-1"/>
        </w:rPr>
        <w:t> </w:t>
      </w:r>
      <w:r>
        <w:rPr/>
        <w:t>de</w:t>
      </w:r>
      <w:r>
        <w:rPr>
          <w:spacing w:val="-1"/>
        </w:rPr>
        <w:t> </w:t>
      </w:r>
      <w:r>
        <w:rPr/>
        <w:t>la Secretaría</w:t>
      </w:r>
      <w:r>
        <w:rPr>
          <w:spacing w:val="-1"/>
        </w:rPr>
        <w:t> </w:t>
      </w:r>
      <w:r>
        <w:rPr/>
        <w:t>del Trabajo</w:t>
      </w:r>
      <w:r>
        <w:rPr>
          <w:spacing w:val="40"/>
        </w:rPr>
        <w:t> </w:t>
      </w:r>
      <w:r>
        <w:rPr/>
        <w:t>y</w:t>
      </w:r>
      <w:r>
        <w:rPr>
          <w:spacing w:val="38"/>
        </w:rPr>
        <w:t> </w:t>
      </w:r>
      <w:r>
        <w:rPr/>
        <w:t>Previsión</w:t>
      </w:r>
      <w:r>
        <w:rPr>
          <w:spacing w:val="40"/>
        </w:rPr>
        <w:t> </w:t>
      </w:r>
      <w:r>
        <w:rPr/>
        <w:t>Social</w:t>
      </w:r>
      <w:r>
        <w:rPr>
          <w:spacing w:val="40"/>
        </w:rPr>
        <w:t> </w:t>
      </w:r>
      <w:r>
        <w:rPr/>
        <w:t>se</w:t>
      </w:r>
      <w:r>
        <w:rPr>
          <w:spacing w:val="40"/>
        </w:rPr>
        <w:t> </w:t>
      </w:r>
      <w:r>
        <w:rPr/>
        <w:t>justifique</w:t>
      </w:r>
      <w:r>
        <w:rPr>
          <w:spacing w:val="40"/>
        </w:rPr>
        <w:t> </w:t>
      </w:r>
      <w:r>
        <w:rPr/>
        <w:t>la</w:t>
      </w:r>
      <w:r>
        <w:rPr>
          <w:spacing w:val="40"/>
        </w:rPr>
        <w:t> </w:t>
      </w:r>
      <w:r>
        <w:rPr/>
        <w:t>prestación</w:t>
      </w:r>
      <w:r>
        <w:rPr>
          <w:spacing w:val="40"/>
        </w:rPr>
        <w:t> </w:t>
      </w:r>
      <w:r>
        <w:rPr/>
        <w:t>del</w:t>
      </w:r>
      <w:r>
        <w:rPr>
          <w:spacing w:val="40"/>
        </w:rPr>
        <w:t> </w:t>
      </w:r>
      <w:r>
        <w:rPr/>
        <w:t>servicio</w:t>
      </w:r>
      <w:r>
        <w:rPr>
          <w:spacing w:val="40"/>
        </w:rPr>
        <w:t> </w:t>
      </w:r>
      <w:r>
        <w:rPr/>
        <w:t>por</w:t>
      </w:r>
      <w:r>
        <w:rPr>
          <w:spacing w:val="40"/>
        </w:rPr>
        <w:t> </w:t>
      </w:r>
      <w:r>
        <w:rPr/>
        <w:t>particulares</w:t>
      </w:r>
      <w:r>
        <w:rPr>
          <w:spacing w:val="40"/>
        </w:rPr>
        <w:t> </w:t>
      </w:r>
      <w:r>
        <w:rPr/>
        <w:t>y</w:t>
      </w:r>
      <w:r>
        <w:rPr>
          <w:spacing w:val="40"/>
        </w:rPr>
        <w:t> </w:t>
      </w:r>
      <w:r>
        <w:rPr/>
        <w:t>una</w:t>
      </w:r>
      <w:r>
        <w:rPr>
          <w:spacing w:val="40"/>
        </w:rPr>
        <w:t> </w:t>
      </w:r>
      <w:r>
        <w:rPr/>
        <w:t>vez</w:t>
      </w:r>
      <w:r>
        <w:rPr>
          <w:spacing w:val="40"/>
        </w:rPr>
        <w:t> </w:t>
      </w:r>
      <w:r>
        <w:rPr/>
        <w:t>que</w:t>
      </w:r>
      <w:r>
        <w:rPr>
          <w:spacing w:val="40"/>
        </w:rPr>
        <w:t> </w:t>
      </w:r>
      <w:r>
        <w:rPr/>
        <w:t>se</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36"/>
        <w:jc w:val="both"/>
      </w:pPr>
      <w:r>
        <w:rPr/>
        <w:t>satisfagan los requisitos que al efecto se señalen. En estos casos, de acuerdo con lo establecido en el artículo 539-D, el servicio deberá ser gratuito para los trabajadores y las tarifas conforme a las cuales se presten, deberán ser previamente fijadas por la Secretaría del Trabajo y Previsión Social.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1978</w:t>
      </w:r>
    </w:p>
    <w:p>
      <w:pPr>
        <w:pStyle w:val="Heading1"/>
        <w:spacing w:line="252" w:lineRule="exact" w:before="230"/>
      </w:pPr>
      <w:r>
        <w:rPr/>
        <w:t>CAPITULO</w:t>
      </w:r>
      <w:r>
        <w:rPr>
          <w:spacing w:val="-7"/>
        </w:rPr>
        <w:t> </w:t>
      </w:r>
      <w:r>
        <w:rPr>
          <w:spacing w:val="-12"/>
        </w:rPr>
        <w:t>V</w:t>
      </w:r>
    </w:p>
    <w:p>
      <w:pPr>
        <w:pStyle w:val="Heading2"/>
        <w:spacing w:line="252" w:lineRule="exact"/>
        <w:ind w:left="297"/>
      </w:pPr>
      <w:r>
        <w:rPr/>
        <w:t>Inspección</w:t>
      </w:r>
      <w:r>
        <w:rPr>
          <w:spacing w:val="-7"/>
        </w:rPr>
        <w:t> </w:t>
      </w:r>
      <w:r>
        <w:rPr/>
        <w:t>del</w:t>
      </w:r>
      <w:r>
        <w:rPr>
          <w:spacing w:val="-5"/>
        </w:rPr>
        <w:t> </w:t>
      </w:r>
      <w:r>
        <w:rPr>
          <w:spacing w:val="-2"/>
        </w:rPr>
        <w:t>trabajo</w:t>
      </w:r>
    </w:p>
    <w:p>
      <w:pPr>
        <w:spacing w:before="231"/>
        <w:ind w:left="626" w:right="0" w:firstLine="0"/>
        <w:jc w:val="left"/>
        <w:rPr>
          <w:sz w:val="20"/>
        </w:rPr>
      </w:pPr>
      <w:bookmarkStart w:name="Artículo_540" w:id="691"/>
      <w:bookmarkEnd w:id="691"/>
      <w:r>
        <w:rPr/>
      </w:r>
      <w:r>
        <w:rPr>
          <w:rFonts w:ascii="Arial" w:hAnsi="Arial"/>
          <w:b/>
          <w:sz w:val="20"/>
        </w:rPr>
        <w:t>Artículo</w:t>
      </w:r>
      <w:r>
        <w:rPr>
          <w:rFonts w:ascii="Arial" w:hAnsi="Arial"/>
          <w:b/>
          <w:spacing w:val="-6"/>
          <w:sz w:val="20"/>
        </w:rPr>
        <w:t> </w:t>
      </w:r>
      <w:r>
        <w:rPr>
          <w:rFonts w:ascii="Arial" w:hAnsi="Arial"/>
          <w:b/>
          <w:sz w:val="20"/>
        </w:rPr>
        <w:t>540.-</w:t>
      </w:r>
      <w:r>
        <w:rPr>
          <w:rFonts w:ascii="Arial" w:hAnsi="Arial"/>
          <w:b/>
          <w:spacing w:val="-6"/>
          <w:sz w:val="20"/>
        </w:rPr>
        <w:t> </w:t>
      </w:r>
      <w:r>
        <w:rPr>
          <w:sz w:val="20"/>
        </w:rPr>
        <w:t>La</w:t>
      </w:r>
      <w:r>
        <w:rPr>
          <w:spacing w:val="-7"/>
          <w:sz w:val="20"/>
        </w:rPr>
        <w:t> </w:t>
      </w:r>
      <w:r>
        <w:rPr>
          <w:sz w:val="20"/>
        </w:rPr>
        <w:t>Inspección</w:t>
      </w:r>
      <w:r>
        <w:rPr>
          <w:spacing w:val="-7"/>
          <w:sz w:val="20"/>
        </w:rPr>
        <w:t> </w:t>
      </w:r>
      <w:r>
        <w:rPr>
          <w:sz w:val="20"/>
        </w:rPr>
        <w:t>del</w:t>
      </w:r>
      <w:r>
        <w:rPr>
          <w:spacing w:val="-8"/>
          <w:sz w:val="20"/>
        </w:rPr>
        <w:t> </w:t>
      </w:r>
      <w:r>
        <w:rPr>
          <w:sz w:val="20"/>
        </w:rPr>
        <w:t>Trabajo</w:t>
      </w:r>
      <w:r>
        <w:rPr>
          <w:spacing w:val="-6"/>
          <w:sz w:val="20"/>
        </w:rPr>
        <w:t> </w:t>
      </w:r>
      <w:r>
        <w:rPr>
          <w:sz w:val="20"/>
        </w:rPr>
        <w:t>tiene</w:t>
      </w:r>
      <w:r>
        <w:rPr>
          <w:spacing w:val="-5"/>
          <w:sz w:val="20"/>
        </w:rPr>
        <w:t> </w:t>
      </w:r>
      <w:r>
        <w:rPr>
          <w:sz w:val="20"/>
        </w:rPr>
        <w:t>las</w:t>
      </w:r>
      <w:r>
        <w:rPr>
          <w:spacing w:val="-6"/>
          <w:sz w:val="20"/>
        </w:rPr>
        <w:t> </w:t>
      </w:r>
      <w:r>
        <w:rPr>
          <w:sz w:val="20"/>
        </w:rPr>
        <w:t>funciones</w:t>
      </w:r>
      <w:r>
        <w:rPr>
          <w:spacing w:val="-6"/>
          <w:sz w:val="20"/>
        </w:rPr>
        <w:t> </w:t>
      </w:r>
      <w:r>
        <w:rPr>
          <w:spacing w:val="-2"/>
          <w:sz w:val="20"/>
        </w:rPr>
        <w:t>siguientes:</w:t>
      </w:r>
    </w:p>
    <w:p>
      <w:pPr>
        <w:pStyle w:val="BodyText"/>
        <w:spacing w:before="1"/>
      </w:pPr>
    </w:p>
    <w:p>
      <w:pPr>
        <w:pStyle w:val="ListParagraph"/>
        <w:numPr>
          <w:ilvl w:val="0"/>
          <w:numId w:val="222"/>
        </w:numPr>
        <w:tabs>
          <w:tab w:pos="1195" w:val="left" w:leader="none"/>
        </w:tabs>
        <w:spacing w:line="240" w:lineRule="auto" w:before="0" w:after="0"/>
        <w:ind w:left="1195" w:right="0" w:hanging="569"/>
        <w:jc w:val="left"/>
        <w:rPr>
          <w:sz w:val="20"/>
        </w:rPr>
      </w:pPr>
      <w:r>
        <w:rPr>
          <w:sz w:val="20"/>
        </w:rPr>
        <w:t>Vigilar</w:t>
      </w:r>
      <w:r>
        <w:rPr>
          <w:spacing w:val="-6"/>
          <w:sz w:val="20"/>
        </w:rPr>
        <w:t> </w:t>
      </w:r>
      <w:r>
        <w:rPr>
          <w:sz w:val="20"/>
        </w:rPr>
        <w:t>el</w:t>
      </w:r>
      <w:r>
        <w:rPr>
          <w:spacing w:val="-7"/>
          <w:sz w:val="20"/>
        </w:rPr>
        <w:t> </w:t>
      </w:r>
      <w:r>
        <w:rPr>
          <w:sz w:val="20"/>
        </w:rPr>
        <w:t>cumplimiento</w:t>
      </w:r>
      <w:r>
        <w:rPr>
          <w:spacing w:val="-7"/>
          <w:sz w:val="20"/>
        </w:rPr>
        <w:t> </w:t>
      </w:r>
      <w:r>
        <w:rPr>
          <w:sz w:val="20"/>
        </w:rPr>
        <w:t>de</w:t>
      </w:r>
      <w:r>
        <w:rPr>
          <w:spacing w:val="-6"/>
          <w:sz w:val="20"/>
        </w:rPr>
        <w:t> </w:t>
      </w:r>
      <w:r>
        <w:rPr>
          <w:sz w:val="20"/>
        </w:rPr>
        <w:t>las</w:t>
      </w:r>
      <w:r>
        <w:rPr>
          <w:spacing w:val="-5"/>
          <w:sz w:val="20"/>
        </w:rPr>
        <w:t> </w:t>
      </w:r>
      <w:r>
        <w:rPr>
          <w:sz w:val="20"/>
        </w:rPr>
        <w:t>normas</w:t>
      </w:r>
      <w:r>
        <w:rPr>
          <w:spacing w:val="-5"/>
          <w:sz w:val="20"/>
        </w:rPr>
        <w:t> </w:t>
      </w:r>
      <w:r>
        <w:rPr>
          <w:sz w:val="20"/>
        </w:rPr>
        <w:t>de</w:t>
      </w:r>
      <w:r>
        <w:rPr>
          <w:spacing w:val="-7"/>
          <w:sz w:val="20"/>
        </w:rPr>
        <w:t> </w:t>
      </w:r>
      <w:r>
        <w:rPr>
          <w:spacing w:val="-2"/>
          <w:sz w:val="20"/>
        </w:rPr>
        <w:t>trabajo;</w:t>
      </w:r>
    </w:p>
    <w:p>
      <w:pPr>
        <w:pStyle w:val="ListParagraph"/>
        <w:numPr>
          <w:ilvl w:val="0"/>
          <w:numId w:val="222"/>
        </w:numPr>
        <w:tabs>
          <w:tab w:pos="1192" w:val="left" w:leader="none"/>
          <w:tab w:pos="1195" w:val="left" w:leader="none"/>
        </w:tabs>
        <w:spacing w:line="242" w:lineRule="auto" w:before="229" w:after="0"/>
        <w:ind w:left="1195" w:right="345" w:hanging="569"/>
        <w:jc w:val="both"/>
        <w:rPr>
          <w:sz w:val="20"/>
        </w:rPr>
      </w:pPr>
      <w:r>
        <w:rPr>
          <w:sz w:val="20"/>
        </w:rPr>
        <w:t>Facilitar</w:t>
      </w:r>
      <w:r>
        <w:rPr>
          <w:spacing w:val="-1"/>
          <w:sz w:val="20"/>
        </w:rPr>
        <w:t> </w:t>
      </w:r>
      <w:r>
        <w:rPr>
          <w:sz w:val="20"/>
        </w:rPr>
        <w:t>información</w:t>
      </w:r>
      <w:r>
        <w:rPr>
          <w:spacing w:val="-3"/>
          <w:sz w:val="20"/>
        </w:rPr>
        <w:t> </w:t>
      </w:r>
      <w:r>
        <w:rPr>
          <w:sz w:val="20"/>
        </w:rPr>
        <w:t>técnica y</w:t>
      </w:r>
      <w:r>
        <w:rPr>
          <w:spacing w:val="-3"/>
          <w:sz w:val="20"/>
        </w:rPr>
        <w:t> </w:t>
      </w:r>
      <w:r>
        <w:rPr>
          <w:sz w:val="20"/>
        </w:rPr>
        <w:t>asesorar</w:t>
      </w:r>
      <w:r>
        <w:rPr>
          <w:spacing w:val="-1"/>
          <w:sz w:val="20"/>
        </w:rPr>
        <w:t> </w:t>
      </w:r>
      <w:r>
        <w:rPr>
          <w:sz w:val="20"/>
        </w:rPr>
        <w:t>a</w:t>
      </w:r>
      <w:r>
        <w:rPr>
          <w:spacing w:val="-2"/>
          <w:sz w:val="20"/>
        </w:rPr>
        <w:t> </w:t>
      </w:r>
      <w:r>
        <w:rPr>
          <w:sz w:val="20"/>
        </w:rPr>
        <w:t>los</w:t>
      </w:r>
      <w:r>
        <w:rPr>
          <w:spacing w:val="-1"/>
          <w:sz w:val="20"/>
        </w:rPr>
        <w:t> </w:t>
      </w:r>
      <w:r>
        <w:rPr>
          <w:sz w:val="20"/>
        </w:rPr>
        <w:t>trabajadores y</w:t>
      </w:r>
      <w:r>
        <w:rPr>
          <w:spacing w:val="-5"/>
          <w:sz w:val="20"/>
        </w:rPr>
        <w:t> </w:t>
      </w:r>
      <w:r>
        <w:rPr>
          <w:sz w:val="20"/>
        </w:rPr>
        <w:t>a los</w:t>
      </w:r>
      <w:r>
        <w:rPr>
          <w:spacing w:val="-1"/>
          <w:sz w:val="20"/>
        </w:rPr>
        <w:t> </w:t>
      </w:r>
      <w:r>
        <w:rPr>
          <w:sz w:val="20"/>
        </w:rPr>
        <w:t>patrones</w:t>
      </w:r>
      <w:r>
        <w:rPr>
          <w:spacing w:val="-1"/>
          <w:sz w:val="20"/>
        </w:rPr>
        <w:t> </w:t>
      </w:r>
      <w:r>
        <w:rPr>
          <w:sz w:val="20"/>
        </w:rPr>
        <w:t>sobre la</w:t>
      </w:r>
      <w:r>
        <w:rPr>
          <w:spacing w:val="-2"/>
          <w:sz w:val="20"/>
        </w:rPr>
        <w:t> </w:t>
      </w:r>
      <w:r>
        <w:rPr>
          <w:sz w:val="20"/>
        </w:rPr>
        <w:t>manera</w:t>
      </w:r>
      <w:r>
        <w:rPr>
          <w:spacing w:val="-2"/>
          <w:sz w:val="20"/>
        </w:rPr>
        <w:t> </w:t>
      </w:r>
      <w:r>
        <w:rPr>
          <w:sz w:val="20"/>
        </w:rPr>
        <w:t>más efectiva de cumplir las normas de trabajo;</w:t>
      </w:r>
    </w:p>
    <w:p>
      <w:pPr>
        <w:pStyle w:val="ListParagraph"/>
        <w:numPr>
          <w:ilvl w:val="0"/>
          <w:numId w:val="222"/>
        </w:numPr>
        <w:tabs>
          <w:tab w:pos="1191" w:val="left" w:leader="none"/>
          <w:tab w:pos="1195" w:val="left" w:leader="none"/>
        </w:tabs>
        <w:spacing w:line="242" w:lineRule="auto" w:before="227" w:after="0"/>
        <w:ind w:left="1195" w:right="340" w:hanging="569"/>
        <w:jc w:val="both"/>
        <w:rPr>
          <w:sz w:val="20"/>
        </w:rPr>
      </w:pPr>
      <w:r>
        <w:rPr>
          <w:sz w:val="20"/>
        </w:rPr>
        <w:t>Poner en conocimiento de la autoridad las deficiencias y</w:t>
      </w:r>
      <w:r>
        <w:rPr>
          <w:spacing w:val="-3"/>
          <w:sz w:val="20"/>
        </w:rPr>
        <w:t> </w:t>
      </w:r>
      <w:r>
        <w:rPr>
          <w:sz w:val="20"/>
        </w:rPr>
        <w:t>las violaciones a las normas de trabajo que observe en las empresas y establecimientos;</w:t>
      </w:r>
    </w:p>
    <w:p>
      <w:pPr>
        <w:pStyle w:val="ListParagraph"/>
        <w:numPr>
          <w:ilvl w:val="0"/>
          <w:numId w:val="222"/>
        </w:numPr>
        <w:tabs>
          <w:tab w:pos="1195" w:val="left" w:leader="none"/>
        </w:tabs>
        <w:spacing w:line="242" w:lineRule="auto" w:before="224" w:after="0"/>
        <w:ind w:left="1195" w:right="345" w:hanging="569"/>
        <w:jc w:val="both"/>
        <w:rPr>
          <w:sz w:val="20"/>
        </w:rPr>
      </w:pPr>
      <w:r>
        <w:rPr>
          <w:sz w:val="20"/>
        </w:rPr>
        <w:t>Realizar los estudios y acopiar los datos que le soliciten las autoridades y los que juzgue conveniente para procurar la armonía de las relaciones entre trabajadores y patrones; y</w:t>
      </w:r>
    </w:p>
    <w:p>
      <w:pPr>
        <w:pStyle w:val="ListParagraph"/>
        <w:numPr>
          <w:ilvl w:val="0"/>
          <w:numId w:val="222"/>
        </w:numPr>
        <w:tabs>
          <w:tab w:pos="1195" w:val="left" w:leader="none"/>
        </w:tabs>
        <w:spacing w:line="240" w:lineRule="auto" w:before="227" w:after="0"/>
        <w:ind w:left="1195" w:right="0" w:hanging="569"/>
        <w:jc w:val="left"/>
        <w:rPr>
          <w:sz w:val="20"/>
        </w:rPr>
      </w:pPr>
      <w:r>
        <w:rPr>
          <w:sz w:val="20"/>
        </w:rPr>
        <w:t>Las</w:t>
      </w:r>
      <w:r>
        <w:rPr>
          <w:spacing w:val="-5"/>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confieran</w:t>
      </w:r>
      <w:r>
        <w:rPr>
          <w:spacing w:val="-6"/>
          <w:sz w:val="20"/>
        </w:rPr>
        <w:t> </w:t>
      </w:r>
      <w:r>
        <w:rPr>
          <w:sz w:val="20"/>
        </w:rPr>
        <w:t>las</w:t>
      </w:r>
      <w:r>
        <w:rPr>
          <w:spacing w:val="-3"/>
          <w:sz w:val="20"/>
        </w:rPr>
        <w:t> </w:t>
      </w:r>
      <w:r>
        <w:rPr>
          <w:spacing w:val="-2"/>
          <w:sz w:val="20"/>
        </w:rPr>
        <w:t>leyes.</w:t>
      </w:r>
    </w:p>
    <w:p>
      <w:pPr>
        <w:pStyle w:val="BodyText"/>
        <w:spacing w:before="228"/>
        <w:ind w:left="626"/>
      </w:pPr>
      <w:bookmarkStart w:name="Artículo_541" w:id="692"/>
      <w:bookmarkEnd w:id="692"/>
      <w:r>
        <w:rPr/>
      </w:r>
      <w:r>
        <w:rPr>
          <w:rFonts w:ascii="Arial" w:hAnsi="Arial"/>
          <w:b/>
        </w:rPr>
        <w:t>Artículo</w:t>
      </w:r>
      <w:r>
        <w:rPr>
          <w:rFonts w:ascii="Arial" w:hAnsi="Arial"/>
          <w:b/>
          <w:spacing w:val="-8"/>
        </w:rPr>
        <w:t> </w:t>
      </w:r>
      <w:r>
        <w:rPr>
          <w:rFonts w:ascii="Arial" w:hAnsi="Arial"/>
          <w:b/>
        </w:rPr>
        <w:t>541.-</w:t>
      </w:r>
      <w:r>
        <w:rPr>
          <w:rFonts w:ascii="Arial" w:hAnsi="Arial"/>
          <w:b/>
          <w:spacing w:val="-7"/>
        </w:rPr>
        <w:t> </w:t>
      </w:r>
      <w:r>
        <w:rPr/>
        <w:t>Los</w:t>
      </w:r>
      <w:r>
        <w:rPr>
          <w:spacing w:val="-7"/>
        </w:rPr>
        <w:t> </w:t>
      </w:r>
      <w:r>
        <w:rPr/>
        <w:t>Inspectores</w:t>
      </w:r>
      <w:r>
        <w:rPr>
          <w:spacing w:val="-7"/>
        </w:rPr>
        <w:t> </w:t>
      </w:r>
      <w:r>
        <w:rPr/>
        <w:t>del</w:t>
      </w:r>
      <w:r>
        <w:rPr>
          <w:spacing w:val="-7"/>
        </w:rPr>
        <w:t> </w:t>
      </w:r>
      <w:r>
        <w:rPr/>
        <w:t>Trabajo</w:t>
      </w:r>
      <w:r>
        <w:rPr>
          <w:spacing w:val="-7"/>
        </w:rPr>
        <w:t> </w:t>
      </w:r>
      <w:r>
        <w:rPr/>
        <w:t>tienen</w:t>
      </w:r>
      <w:r>
        <w:rPr>
          <w:spacing w:val="-7"/>
        </w:rPr>
        <w:t> </w:t>
      </w:r>
      <w:r>
        <w:rPr/>
        <w:t>los</w:t>
      </w:r>
      <w:r>
        <w:rPr>
          <w:spacing w:val="-5"/>
        </w:rPr>
        <w:t> </w:t>
      </w:r>
      <w:r>
        <w:rPr/>
        <w:t>deberes</w:t>
      </w:r>
      <w:r>
        <w:rPr>
          <w:spacing w:val="-5"/>
        </w:rPr>
        <w:t> </w:t>
      </w:r>
      <w:r>
        <w:rPr/>
        <w:t>y</w:t>
      </w:r>
      <w:r>
        <w:rPr>
          <w:spacing w:val="-11"/>
        </w:rPr>
        <w:t> </w:t>
      </w:r>
      <w:r>
        <w:rPr/>
        <w:t>atribuciones</w:t>
      </w:r>
      <w:r>
        <w:rPr>
          <w:spacing w:val="-7"/>
        </w:rPr>
        <w:t> </w:t>
      </w:r>
      <w:r>
        <w:rPr>
          <w:spacing w:val="-2"/>
        </w:rPr>
        <w:t>siguientes:</w:t>
      </w:r>
    </w:p>
    <w:p>
      <w:pPr>
        <w:pStyle w:val="BodyText"/>
        <w:spacing w:before="1"/>
      </w:pPr>
    </w:p>
    <w:p>
      <w:pPr>
        <w:pStyle w:val="ListParagraph"/>
        <w:numPr>
          <w:ilvl w:val="0"/>
          <w:numId w:val="223"/>
        </w:numPr>
        <w:tabs>
          <w:tab w:pos="1193" w:val="left" w:leader="none"/>
          <w:tab w:pos="1195" w:val="left" w:leader="none"/>
        </w:tabs>
        <w:spacing w:line="242" w:lineRule="auto" w:before="0" w:after="0"/>
        <w:ind w:left="1195" w:right="335" w:hanging="569"/>
        <w:jc w:val="both"/>
        <w:rPr>
          <w:sz w:val="20"/>
        </w:rPr>
      </w:pPr>
      <w:r>
        <w:rPr>
          <w:sz w:val="20"/>
        </w:rPr>
        <w:t>Vigilar el cumplimiento de las normas de trabajo, especialmente de las que establecen los derechos y obligaciones de trabajadores y patrones, de las que reglamentan el trabajo de las mujeres y los menores, y de las que determinan las medidas preventivas de riesgos de trabajo, seguridad e higiene;</w:t>
      </w:r>
    </w:p>
    <w:p>
      <w:pPr>
        <w:pStyle w:val="ListParagraph"/>
        <w:numPr>
          <w:ilvl w:val="0"/>
          <w:numId w:val="223"/>
        </w:numPr>
        <w:tabs>
          <w:tab w:pos="1192" w:val="left" w:leader="none"/>
          <w:tab w:pos="1195" w:val="left" w:leader="none"/>
        </w:tabs>
        <w:spacing w:line="242" w:lineRule="auto" w:before="221" w:after="0"/>
        <w:ind w:left="1195" w:right="344" w:hanging="569"/>
        <w:jc w:val="both"/>
        <w:rPr>
          <w:sz w:val="20"/>
        </w:rPr>
      </w:pPr>
      <w:r>
        <w:rPr>
          <w:sz w:val="20"/>
        </w:rPr>
        <w:t>Visitar las empresas y establecimientos durante las horas de trabajo, diurno o nocturno, previa </w:t>
      </w:r>
      <w:r>
        <w:rPr>
          <w:spacing w:val="-2"/>
          <w:sz w:val="20"/>
        </w:rPr>
        <w:t>identificación;</w:t>
      </w:r>
    </w:p>
    <w:p>
      <w:pPr>
        <w:pStyle w:val="ListParagraph"/>
        <w:numPr>
          <w:ilvl w:val="0"/>
          <w:numId w:val="223"/>
        </w:numPr>
        <w:tabs>
          <w:tab w:pos="1191" w:val="left" w:leader="none"/>
          <w:tab w:pos="1195" w:val="left" w:leader="none"/>
        </w:tabs>
        <w:spacing w:line="242" w:lineRule="auto" w:before="226" w:after="0"/>
        <w:ind w:left="1195" w:right="343" w:hanging="569"/>
        <w:jc w:val="both"/>
        <w:rPr>
          <w:sz w:val="20"/>
        </w:rPr>
      </w:pPr>
      <w:r>
        <w:rPr>
          <w:sz w:val="20"/>
        </w:rPr>
        <w:t>Interrogar, solos o ante testigos, a los trabajadores y patrones, sobre cualquier asunto relacionado con la aplicación de las normas de trabajo;</w:t>
      </w:r>
    </w:p>
    <w:p>
      <w:pPr>
        <w:pStyle w:val="ListParagraph"/>
        <w:numPr>
          <w:ilvl w:val="0"/>
          <w:numId w:val="223"/>
        </w:numPr>
        <w:tabs>
          <w:tab w:pos="1195" w:val="left" w:leader="none"/>
        </w:tabs>
        <w:spacing w:line="242" w:lineRule="auto" w:before="225" w:after="0"/>
        <w:ind w:left="1195" w:right="340" w:hanging="569"/>
        <w:jc w:val="both"/>
        <w:rPr>
          <w:sz w:val="20"/>
        </w:rPr>
      </w:pPr>
      <w:r>
        <w:rPr>
          <w:sz w:val="20"/>
        </w:rPr>
        <w:t>Exigir la presentación de libros, registros u otros documentos, a que obliguen las normas de </w:t>
      </w:r>
      <w:r>
        <w:rPr>
          <w:spacing w:val="-2"/>
          <w:sz w:val="20"/>
        </w:rPr>
        <w:t>trabajo;</w:t>
      </w:r>
    </w:p>
    <w:p>
      <w:pPr>
        <w:pStyle w:val="ListParagraph"/>
        <w:numPr>
          <w:ilvl w:val="0"/>
          <w:numId w:val="223"/>
        </w:numPr>
        <w:tabs>
          <w:tab w:pos="1195" w:val="left" w:leader="none"/>
        </w:tabs>
        <w:spacing w:line="229" w:lineRule="exact" w:before="226" w:after="0"/>
        <w:ind w:left="1195" w:right="0" w:hanging="569"/>
        <w:jc w:val="left"/>
        <w:rPr>
          <w:sz w:val="20"/>
        </w:rPr>
      </w:pPr>
      <w:r>
        <w:rPr>
          <w:sz w:val="20"/>
        </w:rPr>
        <w:t>Se</w:t>
      </w:r>
      <w:r>
        <w:rPr>
          <w:spacing w:val="-5"/>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BodyText"/>
        <w:spacing w:line="242" w:lineRule="auto" w:before="1"/>
        <w:ind w:left="1195" w:right="342" w:hanging="569"/>
      </w:pPr>
      <w:r>
        <w:rPr>
          <w:rFonts w:ascii="Arial" w:hAnsi="Arial"/>
          <w:b/>
        </w:rPr>
        <w:t>V</w:t>
      </w:r>
      <w:r>
        <w:rPr>
          <w:rFonts w:ascii="Arial" w:hAnsi="Arial"/>
          <w:b/>
          <w:spacing w:val="-1"/>
        </w:rPr>
        <w:t> </w:t>
      </w:r>
      <w:r>
        <w:rPr>
          <w:rFonts w:ascii="Arial" w:hAnsi="Arial"/>
          <w:b/>
        </w:rPr>
        <w:t>Bis. </w:t>
      </w:r>
      <w:r>
        <w:rPr/>
        <w:t>Auxiliar a los Centros de</w:t>
      </w:r>
      <w:r>
        <w:rPr>
          <w:spacing w:val="-1"/>
        </w:rPr>
        <w:t> </w:t>
      </w:r>
      <w:r>
        <w:rPr/>
        <w:t>Conciliación y</w:t>
      </w:r>
      <w:r>
        <w:rPr>
          <w:spacing w:val="-4"/>
        </w:rPr>
        <w:t> </w:t>
      </w:r>
      <w:r>
        <w:rPr/>
        <w:t>Tribunales correspondientes, efectuando las diligencias que le sean solicitadas en materia de normas de trabajo;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23"/>
        </w:numPr>
        <w:tabs>
          <w:tab w:pos="1195" w:val="left" w:leader="none"/>
        </w:tabs>
        <w:spacing w:line="242" w:lineRule="auto" w:before="0" w:after="0"/>
        <w:ind w:left="1195" w:right="338" w:hanging="569"/>
        <w:jc w:val="both"/>
        <w:rPr>
          <w:sz w:val="20"/>
        </w:rPr>
      </w:pPr>
      <w:r>
        <w:rPr>
          <w:sz w:val="20"/>
        </w:rPr>
        <w:t>Disponer que se eliminen los defectos comprobados en las instalaciones y métodos de trabajo cuando constituyan una violación de las normas de trabajo o un peligro para la seguridad o salud de los trabajadores;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1195" w:hanging="569"/>
      </w:pPr>
      <w:r>
        <w:rPr>
          <w:rFonts w:ascii="Arial" w:hAnsi="Arial"/>
          <w:b/>
        </w:rPr>
        <w:t>VI</w:t>
      </w:r>
      <w:r>
        <w:rPr>
          <w:rFonts w:ascii="Arial" w:hAnsi="Arial"/>
          <w:b/>
          <w:spacing w:val="40"/>
        </w:rPr>
        <w:t> </w:t>
      </w:r>
      <w:r>
        <w:rPr>
          <w:rFonts w:ascii="Arial" w:hAnsi="Arial"/>
          <w:b/>
        </w:rPr>
        <w:t>Bis.</w:t>
      </w:r>
      <w:r>
        <w:rPr>
          <w:rFonts w:ascii="Arial" w:hAnsi="Arial"/>
          <w:b/>
          <w:spacing w:val="40"/>
        </w:rPr>
        <w:t> </w:t>
      </w:r>
      <w:r>
        <w:rPr/>
        <w:t>Ordenar,</w:t>
      </w:r>
      <w:r>
        <w:rPr>
          <w:spacing w:val="40"/>
        </w:rPr>
        <w:t> </w:t>
      </w:r>
      <w:r>
        <w:rPr/>
        <w:t>previa</w:t>
      </w:r>
      <w:r>
        <w:rPr>
          <w:spacing w:val="40"/>
        </w:rPr>
        <w:t> </w:t>
      </w:r>
      <w:r>
        <w:rPr/>
        <w:t>consulta</w:t>
      </w:r>
      <w:r>
        <w:rPr>
          <w:spacing w:val="40"/>
        </w:rPr>
        <w:t> </w:t>
      </w:r>
      <w:r>
        <w:rPr/>
        <w:t>con</w:t>
      </w:r>
      <w:r>
        <w:rPr>
          <w:spacing w:val="40"/>
        </w:rPr>
        <w:t> </w:t>
      </w:r>
      <w:r>
        <w:rPr/>
        <w:t>la</w:t>
      </w:r>
      <w:r>
        <w:rPr>
          <w:spacing w:val="40"/>
        </w:rPr>
        <w:t> </w:t>
      </w:r>
      <w:r>
        <w:rPr/>
        <w:t>Dirección</w:t>
      </w:r>
      <w:r>
        <w:rPr>
          <w:spacing w:val="40"/>
        </w:rPr>
        <w:t> </w:t>
      </w:r>
      <w:r>
        <w:rPr/>
        <w:t>General</w:t>
      </w:r>
      <w:r>
        <w:rPr>
          <w:spacing w:val="40"/>
        </w:rPr>
        <w:t> </w:t>
      </w:r>
      <w:r>
        <w:rPr/>
        <w:t>de</w:t>
      </w:r>
      <w:r>
        <w:rPr>
          <w:spacing w:val="40"/>
        </w:rPr>
        <w:t> </w:t>
      </w:r>
      <w:r>
        <w:rPr/>
        <w:t>Inspección</w:t>
      </w:r>
      <w:r>
        <w:rPr>
          <w:spacing w:val="40"/>
        </w:rPr>
        <w:t> </w:t>
      </w:r>
      <w:r>
        <w:rPr/>
        <w:t>Federal</w:t>
      </w:r>
      <w:r>
        <w:rPr>
          <w:spacing w:val="40"/>
        </w:rPr>
        <w:t> </w:t>
      </w:r>
      <w:r>
        <w:rPr/>
        <w:t>del</w:t>
      </w:r>
      <w:r>
        <w:rPr>
          <w:spacing w:val="40"/>
        </w:rPr>
        <w:t> </w:t>
      </w:r>
      <w:r>
        <w:rPr/>
        <w:t>Trabajo,</w:t>
      </w:r>
      <w:r>
        <w:rPr>
          <w:spacing w:val="40"/>
        </w:rPr>
        <w:t> </w:t>
      </w:r>
      <w:r>
        <w:rPr/>
        <w:t>la adopción</w:t>
      </w:r>
      <w:r>
        <w:rPr>
          <w:spacing w:val="21"/>
        </w:rPr>
        <w:t> </w:t>
      </w:r>
      <w:r>
        <w:rPr/>
        <w:t>de</w:t>
      </w:r>
      <w:r>
        <w:rPr>
          <w:spacing w:val="22"/>
        </w:rPr>
        <w:t> </w:t>
      </w:r>
      <w:r>
        <w:rPr/>
        <w:t>las</w:t>
      </w:r>
      <w:r>
        <w:rPr>
          <w:spacing w:val="21"/>
        </w:rPr>
        <w:t> </w:t>
      </w:r>
      <w:r>
        <w:rPr/>
        <w:t>medidas</w:t>
      </w:r>
      <w:r>
        <w:rPr>
          <w:spacing w:val="25"/>
        </w:rPr>
        <w:t> </w:t>
      </w:r>
      <w:r>
        <w:rPr/>
        <w:t>de</w:t>
      </w:r>
      <w:r>
        <w:rPr>
          <w:spacing w:val="22"/>
        </w:rPr>
        <w:t> </w:t>
      </w:r>
      <w:r>
        <w:rPr/>
        <w:t>seguridad</w:t>
      </w:r>
      <w:r>
        <w:rPr>
          <w:spacing w:val="22"/>
        </w:rPr>
        <w:t> </w:t>
      </w:r>
      <w:r>
        <w:rPr/>
        <w:t>de</w:t>
      </w:r>
      <w:r>
        <w:rPr>
          <w:spacing w:val="22"/>
        </w:rPr>
        <w:t> </w:t>
      </w:r>
      <w:r>
        <w:rPr/>
        <w:t>aplicación</w:t>
      </w:r>
      <w:r>
        <w:rPr>
          <w:spacing w:val="22"/>
        </w:rPr>
        <w:t> </w:t>
      </w:r>
      <w:r>
        <w:rPr/>
        <w:t>inmediata</w:t>
      </w:r>
      <w:r>
        <w:rPr>
          <w:spacing w:val="21"/>
        </w:rPr>
        <w:t> </w:t>
      </w:r>
      <w:r>
        <w:rPr/>
        <w:t>en</w:t>
      </w:r>
      <w:r>
        <w:rPr>
          <w:spacing w:val="22"/>
        </w:rPr>
        <w:t> </w:t>
      </w:r>
      <w:r>
        <w:rPr/>
        <w:t>caso</w:t>
      </w:r>
      <w:r>
        <w:rPr>
          <w:spacing w:val="22"/>
        </w:rPr>
        <w:t> </w:t>
      </w:r>
      <w:r>
        <w:rPr/>
        <w:t>de</w:t>
      </w:r>
      <w:r>
        <w:rPr>
          <w:spacing w:val="22"/>
        </w:rPr>
        <w:t> </w:t>
      </w:r>
      <w:r>
        <w:rPr/>
        <w:t>peligro</w:t>
      </w:r>
      <w:r>
        <w:rPr>
          <w:spacing w:val="22"/>
        </w:rPr>
        <w:t> </w:t>
      </w:r>
      <w:r>
        <w:rPr>
          <w:spacing w:val="-2"/>
        </w:rPr>
        <w:t>inminente</w:t>
      </w:r>
    </w:p>
    <w:p>
      <w:pPr>
        <w:pStyle w:val="BodyText"/>
        <w:spacing w:after="0" w:line="242" w:lineRule="auto"/>
        <w:sectPr>
          <w:pgSz w:w="12240" w:h="15840"/>
          <w:pgMar w:header="724" w:footer="712" w:top="1880" w:bottom="900" w:left="1080" w:right="1080"/>
        </w:sectPr>
      </w:pPr>
    </w:p>
    <w:p>
      <w:pPr>
        <w:pStyle w:val="BodyText"/>
        <w:spacing w:before="65"/>
      </w:pPr>
    </w:p>
    <w:p>
      <w:pPr>
        <w:pStyle w:val="BodyText"/>
        <w:ind w:left="1195" w:right="337"/>
        <w:jc w:val="both"/>
      </w:pPr>
      <w:r>
        <w:rPr/>
        <w:t>para la vida, la salud o la integridad de las personas. En este caso, si así son autorizados, los Inspectores deberán decretar la restricción de acceso o limitar la operación en las áreas de riesgo detectadas. En este supuesto, deberán dar copia de la determinación al patrón para los efectos legales procedentes.</w:t>
      </w:r>
    </w:p>
    <w:p>
      <w:pPr>
        <w:pStyle w:val="BodyText"/>
        <w:spacing w:before="2"/>
      </w:pPr>
    </w:p>
    <w:p>
      <w:pPr>
        <w:pStyle w:val="BodyText"/>
        <w:ind w:left="1195" w:right="341"/>
        <w:jc w:val="both"/>
      </w:pPr>
      <w:r>
        <w:rPr/>
        <w:t>Dentro de las 24 horas siguientes, los Inspectores del Trabajo, bajo su más estricta responsabilidad, harán llegar un informe detallado por escrito a la Secretaría del Trabajo y Previsión Social, con copia del mismo al patrón.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1195" w:right="336" w:hanging="569"/>
        <w:jc w:val="both"/>
      </w:pPr>
      <w:r>
        <w:rPr>
          <w:rFonts w:ascii="Arial" w:hAnsi="Arial"/>
          <w:b/>
        </w:rPr>
        <w:t>VI Ter. </w:t>
      </w:r>
      <w:r>
        <w:rPr/>
        <w:t>Tratándose de la Inspección Federal del Trabajo, auxiliar al Centro Federal de Conciliación y Registro Laboral y al Tribunal federal, en las diligencias que le sean solicitadas en materia de libertad de sindicación, elección de dirigentes y de representatividad en la contratación</w:t>
      </w:r>
      <w:r>
        <w:rPr>
          <w:spacing w:val="40"/>
        </w:rPr>
        <w:t> </w:t>
      </w:r>
      <w:r>
        <w:rPr>
          <w:spacing w:val="-2"/>
        </w:rPr>
        <w:t>colectiva;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23"/>
        </w:numPr>
        <w:tabs>
          <w:tab w:pos="1195" w:val="left" w:leader="none"/>
        </w:tabs>
        <w:spacing w:line="242" w:lineRule="auto" w:before="0" w:after="0"/>
        <w:ind w:left="1195" w:right="334" w:hanging="569"/>
        <w:jc w:val="left"/>
        <w:rPr>
          <w:sz w:val="20"/>
        </w:rPr>
      </w:pPr>
      <w:r>
        <w:rPr>
          <w:sz w:val="20"/>
        </w:rPr>
        <w:t>Examinar las substancias y</w:t>
      </w:r>
      <w:r>
        <w:rPr>
          <w:spacing w:val="-3"/>
          <w:sz w:val="20"/>
        </w:rPr>
        <w:t> </w:t>
      </w:r>
      <w:r>
        <w:rPr>
          <w:sz w:val="20"/>
        </w:rPr>
        <w:t>materiales utilizados en las empresas y</w:t>
      </w:r>
      <w:r>
        <w:rPr>
          <w:spacing w:val="-3"/>
          <w:sz w:val="20"/>
        </w:rPr>
        <w:t> </w:t>
      </w:r>
      <w:r>
        <w:rPr>
          <w:sz w:val="20"/>
        </w:rPr>
        <w:t>establecimientos cuando se trate de trabajos peligrosos; y</w:t>
      </w:r>
    </w:p>
    <w:p>
      <w:pPr>
        <w:pStyle w:val="ListParagraph"/>
        <w:numPr>
          <w:ilvl w:val="0"/>
          <w:numId w:val="223"/>
        </w:numPr>
        <w:tabs>
          <w:tab w:pos="1195" w:val="left" w:leader="none"/>
        </w:tabs>
        <w:spacing w:line="240" w:lineRule="auto" w:before="226" w:after="0"/>
        <w:ind w:left="1195" w:right="0" w:hanging="569"/>
        <w:jc w:val="left"/>
        <w:rPr>
          <w:sz w:val="20"/>
        </w:rPr>
      </w:pPr>
      <w:r>
        <w:rPr>
          <w:sz w:val="20"/>
        </w:rPr>
        <w:t>Los</w:t>
      </w:r>
      <w:r>
        <w:rPr>
          <w:spacing w:val="-6"/>
          <w:sz w:val="20"/>
        </w:rPr>
        <w:t> </w:t>
      </w:r>
      <w:r>
        <w:rPr>
          <w:sz w:val="20"/>
        </w:rPr>
        <w:t>demás</w:t>
      </w:r>
      <w:r>
        <w:rPr>
          <w:spacing w:val="-6"/>
          <w:sz w:val="20"/>
        </w:rPr>
        <w:t> </w:t>
      </w:r>
      <w:r>
        <w:rPr>
          <w:sz w:val="20"/>
        </w:rPr>
        <w:t>que</w:t>
      </w:r>
      <w:r>
        <w:rPr>
          <w:spacing w:val="-4"/>
          <w:sz w:val="20"/>
        </w:rPr>
        <w:t> </w:t>
      </w:r>
      <w:r>
        <w:rPr>
          <w:sz w:val="20"/>
        </w:rPr>
        <w:t>les</w:t>
      </w:r>
      <w:r>
        <w:rPr>
          <w:spacing w:val="-6"/>
          <w:sz w:val="20"/>
        </w:rPr>
        <w:t> </w:t>
      </w:r>
      <w:r>
        <w:rPr>
          <w:sz w:val="20"/>
        </w:rPr>
        <w:t>confieran</w:t>
      </w:r>
      <w:r>
        <w:rPr>
          <w:spacing w:val="-7"/>
          <w:sz w:val="20"/>
        </w:rPr>
        <w:t> </w:t>
      </w:r>
      <w:r>
        <w:rPr>
          <w:sz w:val="20"/>
        </w:rPr>
        <w:t>las</w:t>
      </w:r>
      <w:r>
        <w:rPr>
          <w:spacing w:val="-3"/>
          <w:sz w:val="20"/>
        </w:rPr>
        <w:t> </w:t>
      </w:r>
      <w:r>
        <w:rPr>
          <w:spacing w:val="-2"/>
          <w:sz w:val="20"/>
        </w:rPr>
        <w:t>leyes.</w:t>
      </w:r>
    </w:p>
    <w:p>
      <w:pPr>
        <w:pStyle w:val="BodyText"/>
        <w:spacing w:before="1"/>
      </w:pPr>
    </w:p>
    <w:p>
      <w:pPr>
        <w:pStyle w:val="BodyText"/>
        <w:ind w:left="338" w:firstLine="288"/>
      </w:pPr>
      <w:r>
        <w:rPr/>
        <w:t>Los</w:t>
      </w:r>
      <w:r>
        <w:rPr>
          <w:spacing w:val="40"/>
        </w:rPr>
        <w:t> </w:t>
      </w:r>
      <w:r>
        <w:rPr/>
        <w:t>Inspectores</w:t>
      </w:r>
      <w:r>
        <w:rPr>
          <w:spacing w:val="40"/>
        </w:rPr>
        <w:t> </w:t>
      </w:r>
      <w:r>
        <w:rPr/>
        <w:t>del</w:t>
      </w:r>
      <w:r>
        <w:rPr>
          <w:spacing w:val="40"/>
        </w:rPr>
        <w:t> </w:t>
      </w:r>
      <w:r>
        <w:rPr/>
        <w:t>Trabajo</w:t>
      </w:r>
      <w:r>
        <w:rPr>
          <w:spacing w:val="40"/>
        </w:rPr>
        <w:t> </w:t>
      </w:r>
      <w:r>
        <w:rPr/>
        <w:t>deberán</w:t>
      </w:r>
      <w:r>
        <w:rPr>
          <w:spacing w:val="40"/>
        </w:rPr>
        <w:t> </w:t>
      </w:r>
      <w:r>
        <w:rPr/>
        <w:t>cumplir</w:t>
      </w:r>
      <w:r>
        <w:rPr>
          <w:spacing w:val="40"/>
        </w:rPr>
        <w:t> </w:t>
      </w:r>
      <w:r>
        <w:rPr/>
        <w:t>puntualmente</w:t>
      </w:r>
      <w:r>
        <w:rPr>
          <w:spacing w:val="40"/>
        </w:rPr>
        <w:t> </w:t>
      </w:r>
      <w:r>
        <w:rPr/>
        <w:t>las</w:t>
      </w:r>
      <w:r>
        <w:rPr>
          <w:spacing w:val="40"/>
        </w:rPr>
        <w:t> </w:t>
      </w:r>
      <w:r>
        <w:rPr/>
        <w:t>instrucciones</w:t>
      </w:r>
      <w:r>
        <w:rPr>
          <w:spacing w:val="40"/>
        </w:rPr>
        <w:t> </w:t>
      </w:r>
      <w:r>
        <w:rPr/>
        <w:t>que</w:t>
      </w:r>
      <w:r>
        <w:rPr>
          <w:spacing w:val="40"/>
        </w:rPr>
        <w:t> </w:t>
      </w:r>
      <w:r>
        <w:rPr/>
        <w:t>reciban</w:t>
      </w:r>
      <w:r>
        <w:rPr>
          <w:spacing w:val="40"/>
        </w:rPr>
        <w:t> </w:t>
      </w:r>
      <w:r>
        <w:rPr/>
        <w:t>de</w:t>
      </w:r>
      <w:r>
        <w:rPr>
          <w:spacing w:val="40"/>
        </w:rPr>
        <w:t> </w:t>
      </w:r>
      <w:r>
        <w:rPr/>
        <w:t>sus superiores jerárquicos en relación con el ejercicio de sus funciones.</w:t>
      </w:r>
    </w:p>
    <w:p>
      <w:pPr>
        <w:pStyle w:val="BodyText"/>
        <w:spacing w:before="229"/>
        <w:ind w:left="626"/>
      </w:pPr>
      <w:bookmarkStart w:name="Artículo_542" w:id="693"/>
      <w:bookmarkEnd w:id="693"/>
      <w:r>
        <w:rPr/>
      </w:r>
      <w:r>
        <w:rPr>
          <w:rFonts w:ascii="Arial" w:hAnsi="Arial"/>
          <w:b/>
        </w:rPr>
        <w:t>Artículo</w:t>
      </w:r>
      <w:r>
        <w:rPr>
          <w:rFonts w:ascii="Arial" w:hAnsi="Arial"/>
          <w:b/>
          <w:spacing w:val="-7"/>
        </w:rPr>
        <w:t> </w:t>
      </w:r>
      <w:r>
        <w:rPr>
          <w:rFonts w:ascii="Arial" w:hAnsi="Arial"/>
          <w:b/>
        </w:rPr>
        <w:t>542.-</w:t>
      </w:r>
      <w:r>
        <w:rPr>
          <w:rFonts w:ascii="Arial" w:hAnsi="Arial"/>
          <w:b/>
          <w:spacing w:val="-6"/>
        </w:rPr>
        <w:t> </w:t>
      </w:r>
      <w:r>
        <w:rPr/>
        <w:t>Las</w:t>
      </w:r>
      <w:r>
        <w:rPr>
          <w:spacing w:val="-4"/>
        </w:rPr>
        <w:t> </w:t>
      </w:r>
      <w:r>
        <w:rPr/>
        <w:t>y</w:t>
      </w:r>
      <w:r>
        <w:rPr>
          <w:spacing w:val="-8"/>
        </w:rPr>
        <w:t> </w:t>
      </w:r>
      <w:r>
        <w:rPr/>
        <w:t>los</w:t>
      </w:r>
      <w:r>
        <w:rPr>
          <w:spacing w:val="-6"/>
        </w:rPr>
        <w:t> </w:t>
      </w:r>
      <w:r>
        <w:rPr/>
        <w:t>Inspectores</w:t>
      </w:r>
      <w:r>
        <w:rPr>
          <w:spacing w:val="-7"/>
        </w:rPr>
        <w:t> </w:t>
      </w:r>
      <w:r>
        <w:rPr/>
        <w:t>del</w:t>
      </w:r>
      <w:r>
        <w:rPr>
          <w:spacing w:val="-8"/>
        </w:rPr>
        <w:t> </w:t>
      </w:r>
      <w:r>
        <w:rPr/>
        <w:t>Trabajo</w:t>
      </w:r>
      <w:r>
        <w:rPr>
          <w:spacing w:val="-7"/>
        </w:rPr>
        <w:t> </w:t>
      </w:r>
      <w:r>
        <w:rPr/>
        <w:t>tienen</w:t>
      </w:r>
      <w:r>
        <w:rPr>
          <w:spacing w:val="-5"/>
        </w:rPr>
        <w:t> </w:t>
      </w:r>
      <w:r>
        <w:rPr/>
        <w:t>las</w:t>
      </w:r>
      <w:r>
        <w:rPr>
          <w:spacing w:val="-6"/>
        </w:rPr>
        <w:t> </w:t>
      </w:r>
      <w:r>
        <w:rPr/>
        <w:t>obligaciones</w:t>
      </w:r>
      <w:r>
        <w:rPr>
          <w:spacing w:val="-6"/>
        </w:rPr>
        <w:t> </w:t>
      </w:r>
      <w:r>
        <w:rPr>
          <w:spacing w:val="-2"/>
        </w:rPr>
        <w:t>siguientes:</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224"/>
        </w:numPr>
        <w:tabs>
          <w:tab w:pos="1195" w:val="left" w:leader="none"/>
        </w:tabs>
        <w:spacing w:line="240" w:lineRule="auto" w:before="0" w:after="0"/>
        <w:ind w:left="1195" w:right="0" w:hanging="569"/>
        <w:jc w:val="left"/>
        <w:rPr>
          <w:sz w:val="20"/>
        </w:rPr>
      </w:pPr>
      <w:r>
        <w:rPr>
          <w:sz w:val="20"/>
        </w:rPr>
        <w:t>Identificarse</w:t>
      </w:r>
      <w:r>
        <w:rPr>
          <w:spacing w:val="-10"/>
          <w:sz w:val="20"/>
        </w:rPr>
        <w:t> </w:t>
      </w:r>
      <w:r>
        <w:rPr>
          <w:sz w:val="20"/>
        </w:rPr>
        <w:t>con</w:t>
      </w:r>
      <w:r>
        <w:rPr>
          <w:spacing w:val="-10"/>
          <w:sz w:val="20"/>
        </w:rPr>
        <w:t> </w:t>
      </w:r>
      <w:r>
        <w:rPr>
          <w:sz w:val="20"/>
        </w:rPr>
        <w:t>credencial</w:t>
      </w:r>
      <w:r>
        <w:rPr>
          <w:spacing w:val="-9"/>
          <w:sz w:val="20"/>
        </w:rPr>
        <w:t> </w:t>
      </w:r>
      <w:r>
        <w:rPr>
          <w:sz w:val="20"/>
        </w:rPr>
        <w:t>debidamente</w:t>
      </w:r>
      <w:r>
        <w:rPr>
          <w:spacing w:val="-7"/>
          <w:sz w:val="20"/>
        </w:rPr>
        <w:t> </w:t>
      </w:r>
      <w:r>
        <w:rPr>
          <w:sz w:val="20"/>
        </w:rPr>
        <w:t>autorizada,</w:t>
      </w:r>
      <w:r>
        <w:rPr>
          <w:spacing w:val="-10"/>
          <w:sz w:val="20"/>
        </w:rPr>
        <w:t> </w:t>
      </w:r>
      <w:r>
        <w:rPr>
          <w:sz w:val="20"/>
        </w:rPr>
        <w:t>ante</w:t>
      </w:r>
      <w:r>
        <w:rPr>
          <w:spacing w:val="-8"/>
          <w:sz w:val="20"/>
        </w:rPr>
        <w:t> </w:t>
      </w:r>
      <w:r>
        <w:rPr>
          <w:sz w:val="20"/>
        </w:rPr>
        <w:t>los</w:t>
      </w:r>
      <w:r>
        <w:rPr>
          <w:spacing w:val="-9"/>
          <w:sz w:val="20"/>
        </w:rPr>
        <w:t> </w:t>
      </w:r>
      <w:r>
        <w:rPr>
          <w:sz w:val="20"/>
        </w:rPr>
        <w:t>trabajadores</w:t>
      </w:r>
      <w:r>
        <w:rPr>
          <w:spacing w:val="-4"/>
          <w:sz w:val="20"/>
        </w:rPr>
        <w:t> </w:t>
      </w:r>
      <w:r>
        <w:rPr>
          <w:sz w:val="20"/>
        </w:rPr>
        <w:t>y</w:t>
      </w:r>
      <w:r>
        <w:rPr>
          <w:spacing w:val="-12"/>
          <w:sz w:val="20"/>
        </w:rPr>
        <w:t> </w:t>
      </w:r>
      <w:r>
        <w:rPr>
          <w:sz w:val="20"/>
        </w:rPr>
        <w:t>los</w:t>
      </w:r>
      <w:r>
        <w:rPr>
          <w:spacing w:val="-8"/>
          <w:sz w:val="20"/>
        </w:rPr>
        <w:t> </w:t>
      </w:r>
      <w:r>
        <w:rPr>
          <w:spacing w:val="-2"/>
          <w:sz w:val="20"/>
        </w:rPr>
        <w:t>patrones;</w:t>
      </w:r>
    </w:p>
    <w:p>
      <w:pPr>
        <w:pStyle w:val="BodyText"/>
        <w:spacing w:before="1"/>
      </w:pPr>
    </w:p>
    <w:p>
      <w:pPr>
        <w:pStyle w:val="ListParagraph"/>
        <w:numPr>
          <w:ilvl w:val="0"/>
          <w:numId w:val="224"/>
        </w:numPr>
        <w:tabs>
          <w:tab w:pos="1195" w:val="left" w:leader="none"/>
        </w:tabs>
        <w:spacing w:line="240" w:lineRule="auto" w:before="1" w:after="0"/>
        <w:ind w:left="1195" w:right="0" w:hanging="569"/>
        <w:jc w:val="left"/>
        <w:rPr>
          <w:sz w:val="20"/>
        </w:rPr>
      </w:pPr>
      <w:r>
        <w:rPr>
          <w:sz w:val="20"/>
        </w:rPr>
        <w:t>Inspeccionar</w:t>
      </w:r>
      <w:r>
        <w:rPr>
          <w:spacing w:val="-9"/>
          <w:sz w:val="20"/>
        </w:rPr>
        <w:t> </w:t>
      </w:r>
      <w:r>
        <w:rPr>
          <w:sz w:val="20"/>
        </w:rPr>
        <w:t>periódicamente</w:t>
      </w:r>
      <w:r>
        <w:rPr>
          <w:spacing w:val="-10"/>
          <w:sz w:val="20"/>
        </w:rPr>
        <w:t> </w:t>
      </w:r>
      <w:r>
        <w:rPr>
          <w:sz w:val="20"/>
        </w:rPr>
        <w:t>las</w:t>
      </w:r>
      <w:r>
        <w:rPr>
          <w:spacing w:val="-6"/>
          <w:sz w:val="20"/>
        </w:rPr>
        <w:t> </w:t>
      </w:r>
      <w:r>
        <w:rPr>
          <w:sz w:val="20"/>
        </w:rPr>
        <w:t>empresas</w:t>
      </w:r>
      <w:r>
        <w:rPr>
          <w:spacing w:val="-6"/>
          <w:sz w:val="20"/>
        </w:rPr>
        <w:t> </w:t>
      </w:r>
      <w:r>
        <w:rPr>
          <w:sz w:val="20"/>
        </w:rPr>
        <w:t>y</w:t>
      </w:r>
      <w:r>
        <w:rPr>
          <w:spacing w:val="-14"/>
          <w:sz w:val="20"/>
        </w:rPr>
        <w:t> </w:t>
      </w:r>
      <w:r>
        <w:rPr>
          <w:spacing w:val="-2"/>
          <w:sz w:val="20"/>
        </w:rPr>
        <w:t>establecimientos;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02-07-</w:t>
      </w:r>
      <w:r>
        <w:rPr>
          <w:rFonts w:ascii="Times New Roman" w:hAnsi="Times New Roman"/>
          <w:i/>
          <w:color w:val="0000FF"/>
          <w:spacing w:val="-4"/>
          <w:sz w:val="16"/>
        </w:rPr>
        <w:t>2019</w:t>
      </w:r>
    </w:p>
    <w:p>
      <w:pPr>
        <w:pStyle w:val="ListParagraph"/>
        <w:numPr>
          <w:ilvl w:val="0"/>
          <w:numId w:val="224"/>
        </w:numPr>
        <w:tabs>
          <w:tab w:pos="1191" w:val="left" w:leader="none"/>
          <w:tab w:pos="1195" w:val="left" w:leader="none"/>
        </w:tabs>
        <w:spacing w:line="242" w:lineRule="auto" w:before="229" w:after="0"/>
        <w:ind w:left="1195" w:right="345" w:hanging="569"/>
        <w:jc w:val="both"/>
        <w:rPr>
          <w:sz w:val="20"/>
        </w:rPr>
      </w:pPr>
      <w:r>
        <w:rPr>
          <w:sz w:val="20"/>
        </w:rPr>
        <w:t>Practicar inspecciones extraordinarias cuando sean requeridos por sus superiores o cuando reciban alguna denuncia respecto de violaciones a las normas de trabajo;</w:t>
      </w:r>
    </w:p>
    <w:p>
      <w:pPr>
        <w:pStyle w:val="ListParagraph"/>
        <w:numPr>
          <w:ilvl w:val="0"/>
          <w:numId w:val="224"/>
        </w:numPr>
        <w:tabs>
          <w:tab w:pos="1195" w:val="left" w:leader="none"/>
        </w:tabs>
        <w:spacing w:line="240" w:lineRule="auto" w:before="226" w:after="0"/>
        <w:ind w:left="1195" w:right="339" w:hanging="569"/>
        <w:jc w:val="both"/>
        <w:rPr>
          <w:sz w:val="20"/>
        </w:rPr>
      </w:pPr>
      <w:r>
        <w:rPr>
          <w:sz w:val="20"/>
        </w:rPr>
        <w:t>Levantar acta de cada inspección que practiquen, con intervención de los trabajadores y del patrón, haciendo constar las deficiencias y violaciones a las normas de trabajo, entregar una copia a las partes que hayan intervenido y turnarla a la autoridad que corresponda; y</w:t>
      </w:r>
    </w:p>
    <w:p>
      <w:pPr>
        <w:pStyle w:val="BodyText"/>
      </w:pPr>
    </w:p>
    <w:p>
      <w:pPr>
        <w:pStyle w:val="ListParagraph"/>
        <w:numPr>
          <w:ilvl w:val="0"/>
          <w:numId w:val="224"/>
        </w:numPr>
        <w:tabs>
          <w:tab w:pos="1195" w:val="left" w:leader="none"/>
        </w:tabs>
        <w:spacing w:line="240" w:lineRule="auto" w:before="0" w:after="0"/>
        <w:ind w:left="1195" w:right="0" w:hanging="569"/>
        <w:jc w:val="left"/>
        <w:rPr>
          <w:sz w:val="20"/>
        </w:rPr>
      </w:pPr>
      <w:r>
        <w:rPr>
          <w:sz w:val="20"/>
        </w:rPr>
        <w:t>Las</w:t>
      </w:r>
      <w:r>
        <w:rPr>
          <w:spacing w:val="-6"/>
          <w:sz w:val="20"/>
        </w:rPr>
        <w:t> </w:t>
      </w:r>
      <w:r>
        <w:rPr>
          <w:sz w:val="20"/>
        </w:rPr>
        <w:t>demás</w:t>
      </w:r>
      <w:r>
        <w:rPr>
          <w:spacing w:val="-5"/>
          <w:sz w:val="20"/>
        </w:rPr>
        <w:t> </w:t>
      </w:r>
      <w:r>
        <w:rPr>
          <w:sz w:val="20"/>
        </w:rPr>
        <w:t>que</w:t>
      </w:r>
      <w:r>
        <w:rPr>
          <w:spacing w:val="-4"/>
          <w:sz w:val="20"/>
        </w:rPr>
        <w:t> </w:t>
      </w:r>
      <w:r>
        <w:rPr>
          <w:sz w:val="20"/>
        </w:rPr>
        <w:t>les</w:t>
      </w:r>
      <w:r>
        <w:rPr>
          <w:spacing w:val="-6"/>
          <w:sz w:val="20"/>
        </w:rPr>
        <w:t> </w:t>
      </w:r>
      <w:r>
        <w:rPr>
          <w:sz w:val="20"/>
        </w:rPr>
        <w:t>impongan</w:t>
      </w:r>
      <w:r>
        <w:rPr>
          <w:spacing w:val="-7"/>
          <w:sz w:val="20"/>
        </w:rPr>
        <w:t> </w:t>
      </w:r>
      <w:r>
        <w:rPr>
          <w:sz w:val="20"/>
        </w:rPr>
        <w:t>las</w:t>
      </w:r>
      <w:r>
        <w:rPr>
          <w:spacing w:val="-5"/>
          <w:sz w:val="20"/>
        </w:rPr>
        <w:t> </w:t>
      </w:r>
      <w:r>
        <w:rPr>
          <w:spacing w:val="-2"/>
          <w:sz w:val="20"/>
        </w:rPr>
        <w:t>leyes.</w:t>
      </w:r>
    </w:p>
    <w:p>
      <w:pPr>
        <w:pStyle w:val="BodyText"/>
        <w:spacing w:before="3"/>
      </w:pPr>
    </w:p>
    <w:p>
      <w:pPr>
        <w:pStyle w:val="BodyText"/>
        <w:ind w:left="338" w:right="345" w:firstLine="288"/>
        <w:jc w:val="both"/>
      </w:pPr>
      <w:r>
        <w:rPr/>
        <w:t>La inspección se realizará con especial atención tratándose de personas trabajadoras del hogar, del campo, migrantes, indígenas y afromexicanas, personas que pertenezcan a un grupo vulnerable, así como personas trabajadoras del hogar menores de dieciocho años.</w:t>
      </w:r>
    </w:p>
    <w:p>
      <w:pPr>
        <w:spacing w:line="181" w:lineRule="exact" w:before="0"/>
        <w:ind w:left="537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02-07-2019.</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338" w:right="347" w:firstLine="288"/>
        <w:jc w:val="both"/>
      </w:pPr>
      <w:bookmarkStart w:name="Artículo_543" w:id="694"/>
      <w:bookmarkEnd w:id="694"/>
      <w:r>
        <w:rPr/>
      </w:r>
      <w:r>
        <w:rPr>
          <w:rFonts w:ascii="Arial" w:hAnsi="Arial"/>
          <w:b/>
        </w:rPr>
        <w:t>Artículo 543.- </w:t>
      </w:r>
      <w:r>
        <w:rPr/>
        <w:t>Los hechos certificados por los Inspectores del Trabajo en las actas que levanten en ejercicio de sus funciones, se tendrán por ciertos mientras no se demuestra lo contrario.</w:t>
      </w:r>
    </w:p>
    <w:p>
      <w:pPr>
        <w:spacing w:before="229"/>
        <w:ind w:left="626" w:right="0" w:firstLine="0"/>
        <w:jc w:val="left"/>
        <w:rPr>
          <w:sz w:val="20"/>
        </w:rPr>
      </w:pPr>
      <w:bookmarkStart w:name="Artículo_544" w:id="695"/>
      <w:bookmarkEnd w:id="695"/>
      <w:r>
        <w:rPr/>
      </w:r>
      <w:r>
        <w:rPr>
          <w:rFonts w:ascii="Arial" w:hAnsi="Arial"/>
          <w:b/>
          <w:sz w:val="20"/>
        </w:rPr>
        <w:t>Artículo</w:t>
      </w:r>
      <w:r>
        <w:rPr>
          <w:rFonts w:ascii="Arial" w:hAnsi="Arial"/>
          <w:b/>
          <w:spacing w:val="-7"/>
          <w:sz w:val="20"/>
        </w:rPr>
        <w:t> </w:t>
      </w:r>
      <w:r>
        <w:rPr>
          <w:rFonts w:ascii="Arial" w:hAnsi="Arial"/>
          <w:b/>
          <w:sz w:val="20"/>
        </w:rPr>
        <w:t>544.-</w:t>
      </w:r>
      <w:r>
        <w:rPr>
          <w:rFonts w:ascii="Arial" w:hAnsi="Arial"/>
          <w:b/>
          <w:spacing w:val="-6"/>
          <w:sz w:val="20"/>
        </w:rPr>
        <w:t> </w:t>
      </w:r>
      <w:r>
        <w:rPr>
          <w:sz w:val="20"/>
        </w:rPr>
        <w:t>Queda</w:t>
      </w:r>
      <w:r>
        <w:rPr>
          <w:spacing w:val="-5"/>
          <w:sz w:val="20"/>
        </w:rPr>
        <w:t> </w:t>
      </w:r>
      <w:r>
        <w:rPr>
          <w:sz w:val="20"/>
        </w:rPr>
        <w:t>prohibido</w:t>
      </w:r>
      <w:r>
        <w:rPr>
          <w:spacing w:val="-7"/>
          <w:sz w:val="20"/>
        </w:rPr>
        <w:t> </w:t>
      </w:r>
      <w:r>
        <w:rPr>
          <w:sz w:val="20"/>
        </w:rPr>
        <w:t>a</w:t>
      </w:r>
      <w:r>
        <w:rPr>
          <w:spacing w:val="-7"/>
          <w:sz w:val="20"/>
        </w:rPr>
        <w:t> </w:t>
      </w:r>
      <w:r>
        <w:rPr>
          <w:sz w:val="20"/>
        </w:rPr>
        <w:t>los</w:t>
      </w:r>
      <w:r>
        <w:rPr>
          <w:spacing w:val="-6"/>
          <w:sz w:val="20"/>
        </w:rPr>
        <w:t> </w:t>
      </w:r>
      <w:r>
        <w:rPr>
          <w:sz w:val="20"/>
        </w:rPr>
        <w:t>Inspectores</w:t>
      </w:r>
      <w:r>
        <w:rPr>
          <w:spacing w:val="-6"/>
          <w:sz w:val="20"/>
        </w:rPr>
        <w:t> </w:t>
      </w:r>
      <w:r>
        <w:rPr>
          <w:sz w:val="20"/>
        </w:rPr>
        <w:t>de</w:t>
      </w:r>
      <w:r>
        <w:rPr>
          <w:spacing w:val="-7"/>
          <w:sz w:val="20"/>
        </w:rPr>
        <w:t> </w:t>
      </w:r>
      <w:r>
        <w:rPr>
          <w:spacing w:val="-2"/>
          <w:sz w:val="20"/>
        </w:rPr>
        <w:t>Trabajo:</w:t>
      </w:r>
    </w:p>
    <w:p>
      <w:pPr>
        <w:pStyle w:val="BodyText"/>
        <w:spacing w:before="1"/>
      </w:pPr>
    </w:p>
    <w:p>
      <w:pPr>
        <w:pStyle w:val="ListParagraph"/>
        <w:numPr>
          <w:ilvl w:val="0"/>
          <w:numId w:val="225"/>
        </w:numPr>
        <w:tabs>
          <w:tab w:pos="1195" w:val="left" w:leader="none"/>
        </w:tabs>
        <w:spacing w:line="240" w:lineRule="auto" w:before="0" w:after="0"/>
        <w:ind w:left="1195" w:right="0" w:hanging="569"/>
        <w:jc w:val="left"/>
        <w:rPr>
          <w:sz w:val="20"/>
        </w:rPr>
      </w:pPr>
      <w:r>
        <w:rPr>
          <w:sz w:val="20"/>
        </w:rPr>
        <w:t>Tener</w:t>
      </w:r>
      <w:r>
        <w:rPr>
          <w:spacing w:val="-8"/>
          <w:sz w:val="20"/>
        </w:rPr>
        <w:t> </w:t>
      </w:r>
      <w:r>
        <w:rPr>
          <w:sz w:val="20"/>
        </w:rPr>
        <w:t>interés</w:t>
      </w:r>
      <w:r>
        <w:rPr>
          <w:spacing w:val="-4"/>
          <w:sz w:val="20"/>
        </w:rPr>
        <w:t> </w:t>
      </w:r>
      <w:r>
        <w:rPr>
          <w:sz w:val="20"/>
        </w:rPr>
        <w:t>directo</w:t>
      </w:r>
      <w:r>
        <w:rPr>
          <w:spacing w:val="-6"/>
          <w:sz w:val="20"/>
        </w:rPr>
        <w:t> </w:t>
      </w:r>
      <w:r>
        <w:rPr>
          <w:sz w:val="20"/>
        </w:rPr>
        <w:t>o</w:t>
      </w:r>
      <w:r>
        <w:rPr>
          <w:spacing w:val="-7"/>
          <w:sz w:val="20"/>
        </w:rPr>
        <w:t> </w:t>
      </w:r>
      <w:r>
        <w:rPr>
          <w:sz w:val="20"/>
        </w:rPr>
        <w:t>indirecto</w:t>
      </w:r>
      <w:r>
        <w:rPr>
          <w:spacing w:val="-8"/>
          <w:sz w:val="20"/>
        </w:rPr>
        <w:t> </w:t>
      </w:r>
      <w:r>
        <w:rPr>
          <w:sz w:val="20"/>
        </w:rPr>
        <w:t>en</w:t>
      </w:r>
      <w:r>
        <w:rPr>
          <w:spacing w:val="-5"/>
          <w:sz w:val="20"/>
        </w:rPr>
        <w:t> </w:t>
      </w:r>
      <w:r>
        <w:rPr>
          <w:sz w:val="20"/>
        </w:rPr>
        <w:t>las</w:t>
      </w:r>
      <w:r>
        <w:rPr>
          <w:spacing w:val="-5"/>
          <w:sz w:val="20"/>
        </w:rPr>
        <w:t> </w:t>
      </w:r>
      <w:r>
        <w:rPr>
          <w:sz w:val="20"/>
        </w:rPr>
        <w:t>empresas</w:t>
      </w:r>
      <w:r>
        <w:rPr>
          <w:spacing w:val="-6"/>
          <w:sz w:val="20"/>
        </w:rPr>
        <w:t> </w:t>
      </w:r>
      <w:r>
        <w:rPr>
          <w:sz w:val="20"/>
        </w:rPr>
        <w:t>o</w:t>
      </w:r>
      <w:r>
        <w:rPr>
          <w:spacing w:val="-8"/>
          <w:sz w:val="20"/>
        </w:rPr>
        <w:t> </w:t>
      </w:r>
      <w:r>
        <w:rPr>
          <w:sz w:val="20"/>
        </w:rPr>
        <w:t>establecimientos</w:t>
      </w:r>
      <w:r>
        <w:rPr>
          <w:spacing w:val="-7"/>
          <w:sz w:val="20"/>
        </w:rPr>
        <w:t> </w:t>
      </w:r>
      <w:r>
        <w:rPr>
          <w:sz w:val="20"/>
        </w:rPr>
        <w:t>sujetos</w:t>
      </w:r>
      <w:r>
        <w:rPr>
          <w:spacing w:val="-6"/>
          <w:sz w:val="20"/>
        </w:rPr>
        <w:t> </w:t>
      </w:r>
      <w:r>
        <w:rPr>
          <w:sz w:val="20"/>
        </w:rPr>
        <w:t>a</w:t>
      </w:r>
      <w:r>
        <w:rPr>
          <w:spacing w:val="-8"/>
          <w:sz w:val="20"/>
        </w:rPr>
        <w:t> </w:t>
      </w:r>
      <w:r>
        <w:rPr>
          <w:sz w:val="20"/>
        </w:rPr>
        <w:t>su</w:t>
      </w:r>
      <w:r>
        <w:rPr>
          <w:spacing w:val="-4"/>
          <w:sz w:val="20"/>
        </w:rPr>
        <w:t> </w:t>
      </w:r>
      <w:r>
        <w:rPr>
          <w:spacing w:val="-2"/>
          <w:sz w:val="20"/>
        </w:rPr>
        <w:t>vigilancia;</w:t>
      </w:r>
    </w:p>
    <w:p>
      <w:pPr>
        <w:pStyle w:val="ListParagraph"/>
        <w:spacing w:after="0" w:line="240" w:lineRule="auto"/>
        <w:jc w:val="left"/>
        <w:rPr>
          <w:sz w:val="20"/>
        </w:rPr>
        <w:sectPr>
          <w:pgSz w:w="12240" w:h="15840"/>
          <w:pgMar w:header="724" w:footer="712" w:top="1880" w:bottom="900" w:left="1080" w:right="1080"/>
        </w:sectPr>
      </w:pPr>
    </w:p>
    <w:p>
      <w:pPr>
        <w:pStyle w:val="BodyText"/>
        <w:spacing w:before="63"/>
      </w:pPr>
    </w:p>
    <w:p>
      <w:pPr>
        <w:pStyle w:val="ListParagraph"/>
        <w:numPr>
          <w:ilvl w:val="0"/>
          <w:numId w:val="225"/>
        </w:numPr>
        <w:tabs>
          <w:tab w:pos="1195" w:val="left" w:leader="none"/>
        </w:tabs>
        <w:spacing w:line="242" w:lineRule="auto" w:before="0" w:after="0"/>
        <w:ind w:left="1195" w:right="336" w:hanging="569"/>
        <w:jc w:val="left"/>
        <w:rPr>
          <w:sz w:val="20"/>
        </w:rPr>
      </w:pPr>
      <w:r>
        <w:rPr>
          <w:sz w:val="20"/>
        </w:rPr>
        <w:t>Revelar</w:t>
      </w:r>
      <w:r>
        <w:rPr>
          <w:spacing w:val="80"/>
          <w:sz w:val="20"/>
        </w:rPr>
        <w:t> </w:t>
      </w:r>
      <w:r>
        <w:rPr>
          <w:sz w:val="20"/>
        </w:rPr>
        <w:t>los</w:t>
      </w:r>
      <w:r>
        <w:rPr>
          <w:spacing w:val="80"/>
          <w:sz w:val="20"/>
        </w:rPr>
        <w:t> </w:t>
      </w:r>
      <w:r>
        <w:rPr>
          <w:sz w:val="20"/>
        </w:rPr>
        <w:t>secretos</w:t>
      </w:r>
      <w:r>
        <w:rPr>
          <w:spacing w:val="80"/>
          <w:sz w:val="20"/>
        </w:rPr>
        <w:t> </w:t>
      </w:r>
      <w:r>
        <w:rPr>
          <w:sz w:val="20"/>
        </w:rPr>
        <w:t>industriales</w:t>
      </w:r>
      <w:r>
        <w:rPr>
          <w:spacing w:val="80"/>
          <w:sz w:val="20"/>
        </w:rPr>
        <w:t> </w:t>
      </w:r>
      <w:r>
        <w:rPr>
          <w:sz w:val="20"/>
        </w:rPr>
        <w:t>o</w:t>
      </w:r>
      <w:r>
        <w:rPr>
          <w:spacing w:val="80"/>
          <w:sz w:val="20"/>
        </w:rPr>
        <w:t> </w:t>
      </w:r>
      <w:r>
        <w:rPr>
          <w:sz w:val="20"/>
        </w:rPr>
        <w:t>comerciales</w:t>
      </w:r>
      <w:r>
        <w:rPr>
          <w:spacing w:val="80"/>
          <w:sz w:val="20"/>
        </w:rPr>
        <w:t> </w:t>
      </w:r>
      <w:r>
        <w:rPr>
          <w:sz w:val="20"/>
        </w:rPr>
        <w:t>y</w:t>
      </w:r>
      <w:r>
        <w:rPr>
          <w:spacing w:val="80"/>
          <w:sz w:val="20"/>
        </w:rPr>
        <w:t> </w:t>
      </w:r>
      <w:r>
        <w:rPr>
          <w:sz w:val="20"/>
        </w:rPr>
        <w:t>los</w:t>
      </w:r>
      <w:r>
        <w:rPr>
          <w:spacing w:val="80"/>
          <w:sz w:val="20"/>
        </w:rPr>
        <w:t> </w:t>
      </w:r>
      <w:r>
        <w:rPr>
          <w:sz w:val="20"/>
        </w:rPr>
        <w:t>procedimientos</w:t>
      </w:r>
      <w:r>
        <w:rPr>
          <w:spacing w:val="80"/>
          <w:sz w:val="20"/>
        </w:rPr>
        <w:t> </w:t>
      </w:r>
      <w:r>
        <w:rPr>
          <w:sz w:val="20"/>
        </w:rPr>
        <w:t>de</w:t>
      </w:r>
      <w:r>
        <w:rPr>
          <w:spacing w:val="80"/>
          <w:sz w:val="20"/>
        </w:rPr>
        <w:t> </w:t>
      </w:r>
      <w:r>
        <w:rPr>
          <w:sz w:val="20"/>
        </w:rPr>
        <w:t>fabricación</w:t>
      </w:r>
      <w:r>
        <w:rPr>
          <w:spacing w:val="80"/>
          <w:sz w:val="20"/>
        </w:rPr>
        <w:t> </w:t>
      </w:r>
      <w:r>
        <w:rPr>
          <w:sz w:val="20"/>
        </w:rPr>
        <w:t>y explotación de que se enteren en el ejercicio de sus funciones; y</w:t>
      </w:r>
    </w:p>
    <w:p>
      <w:pPr>
        <w:pStyle w:val="ListParagraph"/>
        <w:numPr>
          <w:ilvl w:val="0"/>
          <w:numId w:val="225"/>
        </w:numPr>
        <w:tabs>
          <w:tab w:pos="1195" w:val="left" w:leader="none"/>
        </w:tabs>
        <w:spacing w:line="240" w:lineRule="auto" w:before="227" w:after="0"/>
        <w:ind w:left="1195" w:right="0" w:hanging="569"/>
        <w:jc w:val="left"/>
        <w:rPr>
          <w:sz w:val="20"/>
        </w:rPr>
      </w:pPr>
      <w:r>
        <w:rPr>
          <w:sz w:val="20"/>
        </w:rPr>
        <w:t>Representar</w:t>
      </w:r>
      <w:r>
        <w:rPr>
          <w:spacing w:val="-7"/>
          <w:sz w:val="20"/>
        </w:rPr>
        <w:t> </w:t>
      </w:r>
      <w:r>
        <w:rPr>
          <w:sz w:val="20"/>
        </w:rPr>
        <w:t>o</w:t>
      </w:r>
      <w:r>
        <w:rPr>
          <w:spacing w:val="-5"/>
          <w:sz w:val="20"/>
        </w:rPr>
        <w:t> </w:t>
      </w:r>
      <w:r>
        <w:rPr>
          <w:sz w:val="20"/>
        </w:rPr>
        <w:t>patrocinar</w:t>
      </w:r>
      <w:r>
        <w:rPr>
          <w:spacing w:val="-5"/>
          <w:sz w:val="20"/>
        </w:rPr>
        <w:t> </w:t>
      </w:r>
      <w:r>
        <w:rPr>
          <w:sz w:val="20"/>
        </w:rPr>
        <w:t>a</w:t>
      </w:r>
      <w:r>
        <w:rPr>
          <w:spacing w:val="-3"/>
          <w:sz w:val="20"/>
        </w:rPr>
        <w:t> </w:t>
      </w:r>
      <w:r>
        <w:rPr>
          <w:sz w:val="20"/>
        </w:rPr>
        <w:t>los</w:t>
      </w:r>
      <w:r>
        <w:rPr>
          <w:spacing w:val="-6"/>
          <w:sz w:val="20"/>
        </w:rPr>
        <w:t> </w:t>
      </w:r>
      <w:r>
        <w:rPr>
          <w:sz w:val="20"/>
        </w:rPr>
        <w:t>trabajadores</w:t>
      </w:r>
      <w:r>
        <w:rPr>
          <w:spacing w:val="-5"/>
          <w:sz w:val="20"/>
        </w:rPr>
        <w:t> </w:t>
      </w:r>
      <w:r>
        <w:rPr>
          <w:sz w:val="20"/>
        </w:rPr>
        <w:t>o</w:t>
      </w:r>
      <w:r>
        <w:rPr>
          <w:spacing w:val="-4"/>
          <w:sz w:val="20"/>
        </w:rPr>
        <w:t> </w:t>
      </w:r>
      <w:r>
        <w:rPr>
          <w:sz w:val="20"/>
        </w:rPr>
        <w:t>a</w:t>
      </w:r>
      <w:r>
        <w:rPr>
          <w:spacing w:val="-5"/>
          <w:sz w:val="20"/>
        </w:rPr>
        <w:t> </w:t>
      </w:r>
      <w:r>
        <w:rPr>
          <w:sz w:val="20"/>
        </w:rPr>
        <w:t>los</w:t>
      </w:r>
      <w:r>
        <w:rPr>
          <w:spacing w:val="-6"/>
          <w:sz w:val="20"/>
        </w:rPr>
        <w:t> </w:t>
      </w:r>
      <w:r>
        <w:rPr>
          <w:sz w:val="20"/>
        </w:rPr>
        <w:t>patrones</w:t>
      </w:r>
      <w:r>
        <w:rPr>
          <w:spacing w:val="-6"/>
          <w:sz w:val="20"/>
        </w:rPr>
        <w:t> </w:t>
      </w:r>
      <w:r>
        <w:rPr>
          <w:sz w:val="20"/>
        </w:rPr>
        <w:t>en</w:t>
      </w:r>
      <w:r>
        <w:rPr>
          <w:spacing w:val="-5"/>
          <w:sz w:val="20"/>
        </w:rPr>
        <w:t> </w:t>
      </w:r>
      <w:r>
        <w:rPr>
          <w:sz w:val="20"/>
        </w:rPr>
        <w:t>los</w:t>
      </w:r>
      <w:r>
        <w:rPr>
          <w:spacing w:val="-6"/>
          <w:sz w:val="20"/>
        </w:rPr>
        <w:t> </w:t>
      </w:r>
      <w:r>
        <w:rPr>
          <w:sz w:val="20"/>
        </w:rPr>
        <w:t>conflictos</w:t>
      </w:r>
      <w:r>
        <w:rPr>
          <w:spacing w:val="-5"/>
          <w:sz w:val="20"/>
        </w:rPr>
        <w:t> </w:t>
      </w:r>
      <w:r>
        <w:rPr>
          <w:sz w:val="20"/>
        </w:rPr>
        <w:t>de</w:t>
      </w:r>
      <w:r>
        <w:rPr>
          <w:spacing w:val="-5"/>
          <w:sz w:val="20"/>
        </w:rPr>
        <w:t> </w:t>
      </w:r>
      <w:r>
        <w:rPr>
          <w:spacing w:val="-2"/>
          <w:sz w:val="20"/>
        </w:rPr>
        <w:t>trabajo.</w:t>
      </w:r>
    </w:p>
    <w:p>
      <w:pPr>
        <w:pStyle w:val="BodyText"/>
      </w:pPr>
    </w:p>
    <w:p>
      <w:pPr>
        <w:pStyle w:val="BodyText"/>
        <w:ind w:left="338" w:right="338" w:firstLine="288"/>
        <w:jc w:val="both"/>
      </w:pPr>
      <w:bookmarkStart w:name="Artículo_545" w:id="696"/>
      <w:bookmarkEnd w:id="696"/>
      <w:r>
        <w:rPr/>
      </w:r>
      <w:r>
        <w:rPr>
          <w:rFonts w:ascii="Arial" w:hAnsi="Arial"/>
          <w:b/>
        </w:rPr>
        <w:t>Artículo 545.- </w:t>
      </w:r>
      <w:r>
        <w:rPr/>
        <w:t>La Inspección del Trabajo se integrará con un Director General y con el número de Inspectores, hombres y mujeres, que se juzgue necesario para el cumplimiento de las funciones que se mencionan en el artículo 540. Los nombramientos se harán por la Secretaría del Trabajo y Previsión Social y por los Gobiernos de las Entidades Federativas.</w:t>
      </w:r>
    </w:p>
    <w:p>
      <w:pPr>
        <w:pStyle w:val="BodyText"/>
      </w:pPr>
    </w:p>
    <w:p>
      <w:pPr>
        <w:spacing w:before="0"/>
        <w:ind w:left="626" w:right="0" w:firstLine="0"/>
        <w:jc w:val="left"/>
        <w:rPr>
          <w:sz w:val="20"/>
        </w:rPr>
      </w:pPr>
      <w:bookmarkStart w:name="Artículo_546" w:id="697"/>
      <w:bookmarkEnd w:id="697"/>
      <w:r>
        <w:rPr/>
      </w:r>
      <w:r>
        <w:rPr>
          <w:rFonts w:ascii="Arial" w:hAnsi="Arial"/>
          <w:b/>
          <w:sz w:val="20"/>
        </w:rPr>
        <w:t>Artículo</w:t>
      </w:r>
      <w:r>
        <w:rPr>
          <w:rFonts w:ascii="Arial" w:hAnsi="Arial"/>
          <w:b/>
          <w:spacing w:val="-6"/>
          <w:sz w:val="20"/>
        </w:rPr>
        <w:t> </w:t>
      </w:r>
      <w:r>
        <w:rPr>
          <w:rFonts w:ascii="Arial" w:hAnsi="Arial"/>
          <w:b/>
          <w:sz w:val="20"/>
        </w:rPr>
        <w:t>546.-</w:t>
      </w:r>
      <w:r>
        <w:rPr>
          <w:rFonts w:ascii="Arial" w:hAnsi="Arial"/>
          <w:b/>
          <w:spacing w:val="-4"/>
          <w:sz w:val="20"/>
        </w:rPr>
        <w:t> </w:t>
      </w:r>
      <w:r>
        <w:rPr>
          <w:sz w:val="20"/>
        </w:rPr>
        <w:t>Para</w:t>
      </w:r>
      <w:r>
        <w:rPr>
          <w:spacing w:val="-6"/>
          <w:sz w:val="20"/>
        </w:rPr>
        <w:t> </w:t>
      </w:r>
      <w:r>
        <w:rPr>
          <w:sz w:val="20"/>
        </w:rPr>
        <w:t>ser</w:t>
      </w:r>
      <w:r>
        <w:rPr>
          <w:spacing w:val="-6"/>
          <w:sz w:val="20"/>
        </w:rPr>
        <w:t> </w:t>
      </w:r>
      <w:r>
        <w:rPr>
          <w:sz w:val="20"/>
        </w:rPr>
        <w:t>Inspector</w:t>
      </w:r>
      <w:r>
        <w:rPr>
          <w:spacing w:val="-7"/>
          <w:sz w:val="20"/>
        </w:rPr>
        <w:t> </w:t>
      </w:r>
      <w:r>
        <w:rPr>
          <w:sz w:val="20"/>
        </w:rPr>
        <w:t>del</w:t>
      </w:r>
      <w:r>
        <w:rPr>
          <w:spacing w:val="-7"/>
          <w:sz w:val="20"/>
        </w:rPr>
        <w:t> </w:t>
      </w:r>
      <w:r>
        <w:rPr>
          <w:sz w:val="20"/>
        </w:rPr>
        <w:t>Trabajo</w:t>
      </w:r>
      <w:r>
        <w:rPr>
          <w:spacing w:val="-6"/>
          <w:sz w:val="20"/>
        </w:rPr>
        <w:t> </w:t>
      </w:r>
      <w:r>
        <w:rPr>
          <w:sz w:val="20"/>
        </w:rPr>
        <w:t>se</w:t>
      </w:r>
      <w:r>
        <w:rPr>
          <w:spacing w:val="-6"/>
          <w:sz w:val="20"/>
        </w:rPr>
        <w:t> </w:t>
      </w:r>
      <w:r>
        <w:rPr>
          <w:spacing w:val="-2"/>
          <w:sz w:val="20"/>
        </w:rPr>
        <w:t>requiere:</w:t>
      </w:r>
    </w:p>
    <w:p>
      <w:pPr>
        <w:pStyle w:val="ListParagraph"/>
        <w:numPr>
          <w:ilvl w:val="0"/>
          <w:numId w:val="226"/>
        </w:numPr>
        <w:tabs>
          <w:tab w:pos="1195" w:val="left" w:leader="none"/>
        </w:tabs>
        <w:spacing w:line="240" w:lineRule="auto" w:before="229" w:after="0"/>
        <w:ind w:left="1195" w:right="0" w:hanging="569"/>
        <w:jc w:val="left"/>
        <w:rPr>
          <w:sz w:val="20"/>
        </w:rPr>
      </w:pPr>
      <w:r>
        <w:rPr>
          <w:sz w:val="20"/>
        </w:rPr>
        <w:t>Ser</w:t>
      </w:r>
      <w:r>
        <w:rPr>
          <w:spacing w:val="-6"/>
          <w:sz w:val="20"/>
        </w:rPr>
        <w:t> </w:t>
      </w:r>
      <w:r>
        <w:rPr>
          <w:sz w:val="20"/>
        </w:rPr>
        <w:t>mexicano,</w:t>
      </w:r>
      <w:r>
        <w:rPr>
          <w:spacing w:val="-6"/>
          <w:sz w:val="20"/>
        </w:rPr>
        <w:t> </w:t>
      </w:r>
      <w:r>
        <w:rPr>
          <w:sz w:val="20"/>
        </w:rPr>
        <w:t>mayor</w:t>
      </w:r>
      <w:r>
        <w:rPr>
          <w:spacing w:val="-5"/>
          <w:sz w:val="20"/>
        </w:rPr>
        <w:t> </w:t>
      </w:r>
      <w:r>
        <w:rPr>
          <w:sz w:val="20"/>
        </w:rPr>
        <w:t>de</w:t>
      </w:r>
      <w:r>
        <w:rPr>
          <w:spacing w:val="-4"/>
          <w:sz w:val="20"/>
        </w:rPr>
        <w:t> </w:t>
      </w:r>
      <w:r>
        <w:rPr>
          <w:sz w:val="20"/>
        </w:rPr>
        <w:t>edad,</w:t>
      </w:r>
      <w:r>
        <w:rPr>
          <w:spacing w:val="-1"/>
          <w:sz w:val="20"/>
        </w:rPr>
        <w:t> </w:t>
      </w:r>
      <w:r>
        <w:rPr>
          <w:sz w:val="20"/>
        </w:rPr>
        <w:t>y</w:t>
      </w:r>
      <w:r>
        <w:rPr>
          <w:spacing w:val="-8"/>
          <w:sz w:val="20"/>
        </w:rPr>
        <w:t> </w:t>
      </w:r>
      <w:r>
        <w:rPr>
          <w:sz w:val="20"/>
        </w:rPr>
        <w:t>estar</w:t>
      </w:r>
      <w:r>
        <w:rPr>
          <w:spacing w:val="-3"/>
          <w:sz w:val="20"/>
        </w:rPr>
        <w:t> </w:t>
      </w:r>
      <w:r>
        <w:rPr>
          <w:sz w:val="20"/>
        </w:rPr>
        <w:t>en</w:t>
      </w:r>
      <w:r>
        <w:rPr>
          <w:spacing w:val="-6"/>
          <w:sz w:val="20"/>
        </w:rPr>
        <w:t> </w:t>
      </w:r>
      <w:r>
        <w:rPr>
          <w:sz w:val="20"/>
        </w:rPr>
        <w:t>pleno</w:t>
      </w:r>
      <w:r>
        <w:rPr>
          <w:spacing w:val="-5"/>
          <w:sz w:val="20"/>
        </w:rPr>
        <w:t> </w:t>
      </w:r>
      <w:r>
        <w:rPr>
          <w:sz w:val="20"/>
        </w:rPr>
        <w:t>ejercicio</w:t>
      </w:r>
      <w:r>
        <w:rPr>
          <w:spacing w:val="-5"/>
          <w:sz w:val="20"/>
        </w:rPr>
        <w:t> </w:t>
      </w:r>
      <w:r>
        <w:rPr>
          <w:sz w:val="20"/>
        </w:rPr>
        <w:t>de</w:t>
      </w:r>
      <w:r>
        <w:rPr>
          <w:spacing w:val="-6"/>
          <w:sz w:val="20"/>
        </w:rPr>
        <w:t> </w:t>
      </w:r>
      <w:r>
        <w:rPr>
          <w:sz w:val="20"/>
        </w:rPr>
        <w:t>sus</w:t>
      </w:r>
      <w:r>
        <w:rPr>
          <w:spacing w:val="-3"/>
          <w:sz w:val="20"/>
        </w:rPr>
        <w:t> </w:t>
      </w:r>
      <w:r>
        <w:rPr>
          <w:spacing w:val="-2"/>
          <w:sz w:val="20"/>
        </w:rPr>
        <w:t>derechos;</w:t>
      </w:r>
    </w:p>
    <w:p>
      <w:pPr>
        <w:pStyle w:val="BodyText"/>
        <w:spacing w:before="1"/>
      </w:pPr>
    </w:p>
    <w:p>
      <w:pPr>
        <w:pStyle w:val="ListParagraph"/>
        <w:numPr>
          <w:ilvl w:val="0"/>
          <w:numId w:val="226"/>
        </w:numPr>
        <w:tabs>
          <w:tab w:pos="1195" w:val="left" w:leader="none"/>
        </w:tabs>
        <w:spacing w:line="240" w:lineRule="auto" w:before="0" w:after="0"/>
        <w:ind w:left="1195" w:right="0" w:hanging="569"/>
        <w:jc w:val="left"/>
        <w:rPr>
          <w:sz w:val="20"/>
        </w:rPr>
      </w:pPr>
      <w:r>
        <w:rPr>
          <w:sz w:val="20"/>
        </w:rPr>
        <w:t>Haber</w:t>
      </w:r>
      <w:r>
        <w:rPr>
          <w:spacing w:val="-6"/>
          <w:sz w:val="20"/>
        </w:rPr>
        <w:t> </w:t>
      </w:r>
      <w:r>
        <w:rPr>
          <w:sz w:val="20"/>
        </w:rPr>
        <w:t>terminado</w:t>
      </w:r>
      <w:r>
        <w:rPr>
          <w:spacing w:val="-8"/>
          <w:sz w:val="20"/>
        </w:rPr>
        <w:t> </w:t>
      </w:r>
      <w:r>
        <w:rPr>
          <w:sz w:val="20"/>
        </w:rPr>
        <w:t>el</w:t>
      </w:r>
      <w:r>
        <w:rPr>
          <w:spacing w:val="-8"/>
          <w:sz w:val="20"/>
        </w:rPr>
        <w:t> </w:t>
      </w:r>
      <w:r>
        <w:rPr>
          <w:sz w:val="20"/>
        </w:rPr>
        <w:t>bachillerato</w:t>
      </w:r>
      <w:r>
        <w:rPr>
          <w:spacing w:val="-7"/>
          <w:sz w:val="20"/>
        </w:rPr>
        <w:t> </w:t>
      </w:r>
      <w:r>
        <w:rPr>
          <w:sz w:val="20"/>
        </w:rPr>
        <w:t>o</w:t>
      </w:r>
      <w:r>
        <w:rPr>
          <w:spacing w:val="-8"/>
          <w:sz w:val="20"/>
        </w:rPr>
        <w:t> </w:t>
      </w:r>
      <w:r>
        <w:rPr>
          <w:sz w:val="20"/>
        </w:rPr>
        <w:t>sus</w:t>
      </w:r>
      <w:r>
        <w:rPr>
          <w:spacing w:val="-6"/>
          <w:sz w:val="20"/>
        </w:rPr>
        <w:t> </w:t>
      </w:r>
      <w:r>
        <w:rPr>
          <w:spacing w:val="-2"/>
          <w:sz w:val="20"/>
        </w:rPr>
        <w:t>equivalentes;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ListParagraph"/>
        <w:numPr>
          <w:ilvl w:val="0"/>
          <w:numId w:val="226"/>
        </w:numPr>
        <w:tabs>
          <w:tab w:pos="1195" w:val="left" w:leader="none"/>
        </w:tabs>
        <w:spacing w:line="240" w:lineRule="auto" w:before="229" w:after="0"/>
        <w:ind w:left="1195" w:right="0" w:hanging="569"/>
        <w:jc w:val="left"/>
        <w:rPr>
          <w:sz w:val="20"/>
        </w:rPr>
      </w:pPr>
      <w:r>
        <w:rPr>
          <w:sz w:val="20"/>
        </w:rPr>
        <w:t>No</w:t>
      </w:r>
      <w:r>
        <w:rPr>
          <w:spacing w:val="-8"/>
          <w:sz w:val="20"/>
        </w:rPr>
        <w:t> </w:t>
      </w:r>
      <w:r>
        <w:rPr>
          <w:sz w:val="20"/>
        </w:rPr>
        <w:t>pertenecer</w:t>
      </w:r>
      <w:r>
        <w:rPr>
          <w:spacing w:val="-4"/>
          <w:sz w:val="20"/>
        </w:rPr>
        <w:t> </w:t>
      </w:r>
      <w:r>
        <w:rPr>
          <w:sz w:val="20"/>
        </w:rPr>
        <w:t>a</w:t>
      </w:r>
      <w:r>
        <w:rPr>
          <w:spacing w:val="-7"/>
          <w:sz w:val="20"/>
        </w:rPr>
        <w:t> </w:t>
      </w:r>
      <w:r>
        <w:rPr>
          <w:sz w:val="20"/>
        </w:rPr>
        <w:t>las</w:t>
      </w:r>
      <w:r>
        <w:rPr>
          <w:spacing w:val="-6"/>
          <w:sz w:val="20"/>
        </w:rPr>
        <w:t> </w:t>
      </w:r>
      <w:r>
        <w:rPr>
          <w:sz w:val="20"/>
        </w:rPr>
        <w:t>organizaciones</w:t>
      </w:r>
      <w:r>
        <w:rPr>
          <w:spacing w:val="-6"/>
          <w:sz w:val="20"/>
        </w:rPr>
        <w:t> </w:t>
      </w:r>
      <w:r>
        <w:rPr>
          <w:sz w:val="20"/>
        </w:rPr>
        <w:t>de</w:t>
      </w:r>
      <w:r>
        <w:rPr>
          <w:spacing w:val="-7"/>
          <w:sz w:val="20"/>
        </w:rPr>
        <w:t> </w:t>
      </w:r>
      <w:r>
        <w:rPr>
          <w:sz w:val="20"/>
        </w:rPr>
        <w:t>trabajadores</w:t>
      </w:r>
      <w:r>
        <w:rPr>
          <w:spacing w:val="-6"/>
          <w:sz w:val="20"/>
        </w:rPr>
        <w:t> </w:t>
      </w:r>
      <w:r>
        <w:rPr>
          <w:sz w:val="20"/>
        </w:rPr>
        <w:t>o</w:t>
      </w:r>
      <w:r>
        <w:rPr>
          <w:spacing w:val="-6"/>
          <w:sz w:val="20"/>
        </w:rPr>
        <w:t> </w:t>
      </w:r>
      <w:r>
        <w:rPr>
          <w:sz w:val="20"/>
        </w:rPr>
        <w:t>de</w:t>
      </w:r>
      <w:r>
        <w:rPr>
          <w:spacing w:val="-7"/>
          <w:sz w:val="20"/>
        </w:rPr>
        <w:t> </w:t>
      </w:r>
      <w:r>
        <w:rPr>
          <w:spacing w:val="-2"/>
          <w:sz w:val="20"/>
        </w:rPr>
        <w:t>patrones;</w:t>
      </w:r>
    </w:p>
    <w:p>
      <w:pPr>
        <w:pStyle w:val="BodyText"/>
        <w:spacing w:before="1"/>
      </w:pPr>
    </w:p>
    <w:p>
      <w:pPr>
        <w:pStyle w:val="ListParagraph"/>
        <w:numPr>
          <w:ilvl w:val="0"/>
          <w:numId w:val="226"/>
        </w:numPr>
        <w:tabs>
          <w:tab w:pos="1195" w:val="left" w:leader="none"/>
        </w:tabs>
        <w:spacing w:line="242" w:lineRule="auto" w:before="0" w:after="0"/>
        <w:ind w:left="1195" w:right="346" w:hanging="569"/>
        <w:jc w:val="left"/>
        <w:rPr>
          <w:sz w:val="20"/>
        </w:rPr>
      </w:pPr>
      <w:r>
        <w:rPr>
          <w:sz w:val="20"/>
        </w:rPr>
        <w:t>Demostrar conocimientos suficientes de derecho del trabajo y de la seguridad social y tener la preparación técnica necesaria para el ejercicio de sus funciones;</w:t>
      </w:r>
    </w:p>
    <w:p>
      <w:pPr>
        <w:pStyle w:val="ListParagraph"/>
        <w:numPr>
          <w:ilvl w:val="0"/>
          <w:numId w:val="226"/>
        </w:numPr>
        <w:tabs>
          <w:tab w:pos="1195" w:val="left" w:leader="none"/>
        </w:tabs>
        <w:spacing w:line="240" w:lineRule="auto" w:before="224" w:after="0"/>
        <w:ind w:left="1195" w:right="0" w:hanging="569"/>
        <w:jc w:val="left"/>
        <w:rPr>
          <w:sz w:val="20"/>
        </w:rPr>
      </w:pPr>
      <w:r>
        <w:rPr>
          <w:sz w:val="20"/>
        </w:rPr>
        <w:t>No</w:t>
      </w:r>
      <w:r>
        <w:rPr>
          <w:spacing w:val="-6"/>
          <w:sz w:val="20"/>
        </w:rPr>
        <w:t> </w:t>
      </w:r>
      <w:r>
        <w:rPr>
          <w:sz w:val="20"/>
        </w:rPr>
        <w:t>ser</w:t>
      </w:r>
      <w:r>
        <w:rPr>
          <w:spacing w:val="-5"/>
          <w:sz w:val="20"/>
        </w:rPr>
        <w:t> </w:t>
      </w:r>
      <w:r>
        <w:rPr>
          <w:sz w:val="20"/>
        </w:rPr>
        <w:t>ministro</w:t>
      </w:r>
      <w:r>
        <w:rPr>
          <w:spacing w:val="-5"/>
          <w:sz w:val="20"/>
        </w:rPr>
        <w:t> </w:t>
      </w:r>
      <w:r>
        <w:rPr>
          <w:sz w:val="20"/>
        </w:rPr>
        <w:t>de</w:t>
      </w:r>
      <w:r>
        <w:rPr>
          <w:spacing w:val="-5"/>
          <w:sz w:val="20"/>
        </w:rPr>
        <w:t> </w:t>
      </w:r>
      <w:r>
        <w:rPr>
          <w:sz w:val="20"/>
        </w:rPr>
        <w:t>culto;</w:t>
      </w:r>
      <w:r>
        <w:rPr>
          <w:spacing w:val="-3"/>
          <w:sz w:val="20"/>
        </w:rPr>
        <w:t> </w:t>
      </w:r>
      <w:r>
        <w:rPr>
          <w:spacing w:val="-12"/>
          <w:sz w:val="20"/>
        </w:rPr>
        <w:t>y</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rPr>
      </w:pPr>
    </w:p>
    <w:p>
      <w:pPr>
        <w:pStyle w:val="ListParagraph"/>
        <w:numPr>
          <w:ilvl w:val="0"/>
          <w:numId w:val="226"/>
        </w:numPr>
        <w:tabs>
          <w:tab w:pos="1195" w:val="left" w:leader="none"/>
        </w:tabs>
        <w:spacing w:line="240" w:lineRule="auto" w:before="0" w:after="0"/>
        <w:ind w:left="1195" w:right="0" w:hanging="569"/>
        <w:jc w:val="left"/>
        <w:rPr>
          <w:sz w:val="20"/>
        </w:rPr>
      </w:pPr>
      <w:r>
        <w:rPr>
          <w:sz w:val="20"/>
        </w:rPr>
        <w:t>No</w:t>
      </w:r>
      <w:r>
        <w:rPr>
          <w:spacing w:val="-9"/>
          <w:sz w:val="20"/>
        </w:rPr>
        <w:t> </w:t>
      </w:r>
      <w:r>
        <w:rPr>
          <w:sz w:val="20"/>
        </w:rPr>
        <w:t>haber</w:t>
      </w:r>
      <w:r>
        <w:rPr>
          <w:spacing w:val="-7"/>
          <w:sz w:val="20"/>
        </w:rPr>
        <w:t> </w:t>
      </w:r>
      <w:r>
        <w:rPr>
          <w:sz w:val="20"/>
        </w:rPr>
        <w:t>sido</w:t>
      </w:r>
      <w:r>
        <w:rPr>
          <w:spacing w:val="-10"/>
          <w:sz w:val="20"/>
        </w:rPr>
        <w:t> </w:t>
      </w:r>
      <w:r>
        <w:rPr>
          <w:sz w:val="20"/>
        </w:rPr>
        <w:t>condenado</w:t>
      </w:r>
      <w:r>
        <w:rPr>
          <w:spacing w:val="-6"/>
          <w:sz w:val="20"/>
        </w:rPr>
        <w:t> </w:t>
      </w:r>
      <w:r>
        <w:rPr>
          <w:sz w:val="20"/>
        </w:rPr>
        <w:t>por</w:t>
      </w:r>
      <w:r>
        <w:rPr>
          <w:spacing w:val="-8"/>
          <w:sz w:val="20"/>
        </w:rPr>
        <w:t> </w:t>
      </w:r>
      <w:r>
        <w:rPr>
          <w:sz w:val="20"/>
        </w:rPr>
        <w:t>delito</w:t>
      </w:r>
      <w:r>
        <w:rPr>
          <w:spacing w:val="-6"/>
          <w:sz w:val="20"/>
        </w:rPr>
        <w:t> </w:t>
      </w:r>
      <w:r>
        <w:rPr>
          <w:sz w:val="20"/>
        </w:rPr>
        <w:t>intencional</w:t>
      </w:r>
      <w:r>
        <w:rPr>
          <w:spacing w:val="-8"/>
          <w:sz w:val="20"/>
        </w:rPr>
        <w:t> </w:t>
      </w:r>
      <w:r>
        <w:rPr>
          <w:sz w:val="20"/>
        </w:rPr>
        <w:t>sancionado</w:t>
      </w:r>
      <w:r>
        <w:rPr>
          <w:spacing w:val="-8"/>
          <w:sz w:val="20"/>
        </w:rPr>
        <w:t> </w:t>
      </w:r>
      <w:r>
        <w:rPr>
          <w:sz w:val="20"/>
        </w:rPr>
        <w:t>con</w:t>
      </w:r>
      <w:r>
        <w:rPr>
          <w:spacing w:val="-8"/>
          <w:sz w:val="20"/>
        </w:rPr>
        <w:t> </w:t>
      </w:r>
      <w:r>
        <w:rPr>
          <w:sz w:val="20"/>
        </w:rPr>
        <w:t>pena</w:t>
      </w:r>
      <w:r>
        <w:rPr>
          <w:spacing w:val="-8"/>
          <w:sz w:val="20"/>
        </w:rPr>
        <w:t> </w:t>
      </w:r>
      <w:r>
        <w:rPr>
          <w:spacing w:val="-2"/>
          <w:sz w:val="20"/>
        </w:rPr>
        <w:t>corporal.</w:t>
      </w:r>
    </w:p>
    <w:p>
      <w:pPr>
        <w:pStyle w:val="BodyText"/>
        <w:spacing w:before="228"/>
        <w:ind w:left="626"/>
      </w:pPr>
      <w:bookmarkStart w:name="Artículo_547" w:id="698"/>
      <w:bookmarkEnd w:id="698"/>
      <w:r>
        <w:rPr/>
      </w:r>
      <w:r>
        <w:rPr>
          <w:rFonts w:ascii="Arial" w:hAnsi="Arial"/>
          <w:b/>
        </w:rPr>
        <w:t>Artículo</w:t>
      </w:r>
      <w:r>
        <w:rPr>
          <w:rFonts w:ascii="Arial" w:hAnsi="Arial"/>
          <w:b/>
          <w:spacing w:val="-7"/>
        </w:rPr>
        <w:t> </w:t>
      </w:r>
      <w:r>
        <w:rPr>
          <w:rFonts w:ascii="Arial" w:hAnsi="Arial"/>
          <w:b/>
        </w:rPr>
        <w:t>547.-</w:t>
      </w:r>
      <w:r>
        <w:rPr>
          <w:rFonts w:ascii="Arial" w:hAnsi="Arial"/>
          <w:b/>
          <w:spacing w:val="-5"/>
        </w:rPr>
        <w:t> </w:t>
      </w:r>
      <w:r>
        <w:rPr/>
        <w:t>Son</w:t>
      </w:r>
      <w:r>
        <w:rPr>
          <w:spacing w:val="-6"/>
        </w:rPr>
        <w:t> </w:t>
      </w:r>
      <w:r>
        <w:rPr/>
        <w:t>causas</w:t>
      </w:r>
      <w:r>
        <w:rPr>
          <w:spacing w:val="-4"/>
        </w:rPr>
        <w:t> </w:t>
      </w:r>
      <w:r>
        <w:rPr/>
        <w:t>especiales</w:t>
      </w:r>
      <w:r>
        <w:rPr>
          <w:spacing w:val="-7"/>
        </w:rPr>
        <w:t> </w:t>
      </w:r>
      <w:r>
        <w:rPr/>
        <w:t>de</w:t>
      </w:r>
      <w:r>
        <w:rPr>
          <w:spacing w:val="-8"/>
        </w:rPr>
        <w:t> </w:t>
      </w:r>
      <w:r>
        <w:rPr/>
        <w:t>responsabilidad</w:t>
      </w:r>
      <w:r>
        <w:rPr>
          <w:spacing w:val="-5"/>
        </w:rPr>
        <w:t> </w:t>
      </w:r>
      <w:r>
        <w:rPr/>
        <w:t>de</w:t>
      </w:r>
      <w:r>
        <w:rPr>
          <w:spacing w:val="-7"/>
        </w:rPr>
        <w:t> </w:t>
      </w:r>
      <w:r>
        <w:rPr/>
        <w:t>las</w:t>
      </w:r>
      <w:r>
        <w:rPr>
          <w:spacing w:val="-5"/>
        </w:rPr>
        <w:t> </w:t>
      </w:r>
      <w:r>
        <w:rPr/>
        <w:t>y</w:t>
      </w:r>
      <w:r>
        <w:rPr>
          <w:spacing w:val="-8"/>
        </w:rPr>
        <w:t> </w:t>
      </w:r>
      <w:r>
        <w:rPr/>
        <w:t>los</w:t>
      </w:r>
      <w:r>
        <w:rPr>
          <w:spacing w:val="-7"/>
        </w:rPr>
        <w:t> </w:t>
      </w:r>
      <w:r>
        <w:rPr/>
        <w:t>Inspectores</w:t>
      </w:r>
      <w:r>
        <w:rPr>
          <w:spacing w:val="-6"/>
        </w:rPr>
        <w:t> </w:t>
      </w:r>
      <w:r>
        <w:rPr/>
        <w:t>del</w:t>
      </w:r>
      <w:r>
        <w:rPr>
          <w:spacing w:val="-9"/>
        </w:rPr>
        <w:t> </w:t>
      </w:r>
      <w:r>
        <w:rPr>
          <w:spacing w:val="-2"/>
        </w:rPr>
        <w:t>Trabajo:</w:t>
      </w:r>
    </w:p>
    <w:p>
      <w:pPr>
        <w:spacing w:before="1"/>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27"/>
        </w:numPr>
        <w:tabs>
          <w:tab w:pos="1195" w:val="left" w:leader="none"/>
        </w:tabs>
        <w:spacing w:line="240" w:lineRule="auto" w:before="0" w:after="0"/>
        <w:ind w:left="1195" w:right="0" w:hanging="569"/>
        <w:jc w:val="left"/>
        <w:rPr>
          <w:sz w:val="20"/>
        </w:rPr>
      </w:pPr>
      <w:r>
        <w:rPr>
          <w:sz w:val="20"/>
        </w:rPr>
        <w:t>No</w:t>
      </w:r>
      <w:r>
        <w:rPr>
          <w:spacing w:val="-6"/>
          <w:sz w:val="20"/>
        </w:rPr>
        <w:t> </w:t>
      </w:r>
      <w:r>
        <w:rPr>
          <w:sz w:val="20"/>
        </w:rPr>
        <w:t>practicar</w:t>
      </w:r>
      <w:r>
        <w:rPr>
          <w:spacing w:val="-6"/>
          <w:sz w:val="20"/>
        </w:rPr>
        <w:t> </w:t>
      </w:r>
      <w:r>
        <w:rPr>
          <w:sz w:val="20"/>
        </w:rPr>
        <w:t>las</w:t>
      </w:r>
      <w:r>
        <w:rPr>
          <w:spacing w:val="-3"/>
          <w:sz w:val="20"/>
        </w:rPr>
        <w:t> </w:t>
      </w:r>
      <w:r>
        <w:rPr>
          <w:sz w:val="20"/>
        </w:rPr>
        <w:t>inspecciones</w:t>
      </w:r>
      <w:r>
        <w:rPr>
          <w:spacing w:val="-5"/>
          <w:sz w:val="20"/>
        </w:rPr>
        <w:t> </w:t>
      </w:r>
      <w:r>
        <w:rPr>
          <w:sz w:val="20"/>
        </w:rPr>
        <w:t>a</w:t>
      </w:r>
      <w:r>
        <w:rPr>
          <w:spacing w:val="-6"/>
          <w:sz w:val="20"/>
        </w:rPr>
        <w:t> </w:t>
      </w:r>
      <w:r>
        <w:rPr>
          <w:sz w:val="20"/>
        </w:rPr>
        <w:t>que</w:t>
      </w:r>
      <w:r>
        <w:rPr>
          <w:spacing w:val="-6"/>
          <w:sz w:val="20"/>
        </w:rPr>
        <w:t> </w:t>
      </w:r>
      <w:r>
        <w:rPr>
          <w:sz w:val="20"/>
        </w:rPr>
        <w:t>se</w:t>
      </w:r>
      <w:r>
        <w:rPr>
          <w:spacing w:val="-6"/>
          <w:sz w:val="20"/>
        </w:rPr>
        <w:t> </w:t>
      </w:r>
      <w:r>
        <w:rPr>
          <w:sz w:val="20"/>
        </w:rPr>
        <w:t>refiere</w:t>
      </w:r>
      <w:r>
        <w:rPr>
          <w:spacing w:val="-4"/>
          <w:sz w:val="20"/>
        </w:rPr>
        <w:t> </w:t>
      </w:r>
      <w:r>
        <w:rPr>
          <w:sz w:val="20"/>
        </w:rPr>
        <w:t>el</w:t>
      </w:r>
      <w:r>
        <w:rPr>
          <w:spacing w:val="-5"/>
          <w:sz w:val="20"/>
        </w:rPr>
        <w:t> </w:t>
      </w:r>
      <w:r>
        <w:rPr>
          <w:sz w:val="20"/>
        </w:rPr>
        <w:t>artículo</w:t>
      </w:r>
      <w:r>
        <w:rPr>
          <w:spacing w:val="-5"/>
          <w:sz w:val="20"/>
        </w:rPr>
        <w:t> </w:t>
      </w:r>
      <w:r>
        <w:rPr>
          <w:sz w:val="20"/>
        </w:rPr>
        <w:t>542,</w:t>
      </w:r>
      <w:r>
        <w:rPr>
          <w:spacing w:val="-6"/>
          <w:sz w:val="20"/>
        </w:rPr>
        <w:t> </w:t>
      </w:r>
      <w:r>
        <w:rPr>
          <w:sz w:val="20"/>
        </w:rPr>
        <w:t>fracciones</w:t>
      </w:r>
      <w:r>
        <w:rPr>
          <w:spacing w:val="-5"/>
          <w:sz w:val="20"/>
        </w:rPr>
        <w:t> </w:t>
      </w:r>
      <w:r>
        <w:rPr>
          <w:sz w:val="20"/>
        </w:rPr>
        <w:t>II</w:t>
      </w:r>
      <w:r>
        <w:rPr>
          <w:spacing w:val="-4"/>
          <w:sz w:val="20"/>
        </w:rPr>
        <w:t> </w:t>
      </w:r>
      <w:r>
        <w:rPr>
          <w:sz w:val="20"/>
        </w:rPr>
        <w:t>y</w:t>
      </w:r>
      <w:r>
        <w:rPr>
          <w:spacing w:val="-6"/>
          <w:sz w:val="20"/>
        </w:rPr>
        <w:t> </w:t>
      </w:r>
      <w:r>
        <w:rPr>
          <w:spacing w:val="-4"/>
          <w:sz w:val="20"/>
        </w:rPr>
        <w:t>III;</w:t>
      </w:r>
    </w:p>
    <w:p>
      <w:pPr>
        <w:pStyle w:val="ListParagraph"/>
        <w:numPr>
          <w:ilvl w:val="0"/>
          <w:numId w:val="227"/>
        </w:numPr>
        <w:tabs>
          <w:tab w:pos="1195" w:val="left" w:leader="none"/>
        </w:tabs>
        <w:spacing w:line="240" w:lineRule="auto" w:before="229" w:after="0"/>
        <w:ind w:left="1195" w:right="0" w:hanging="569"/>
        <w:jc w:val="left"/>
        <w:rPr>
          <w:sz w:val="20"/>
        </w:rPr>
      </w:pPr>
      <w:r>
        <w:rPr>
          <w:sz w:val="20"/>
        </w:rPr>
        <w:t>Asentar</w:t>
      </w:r>
      <w:r>
        <w:rPr>
          <w:spacing w:val="-4"/>
          <w:sz w:val="20"/>
        </w:rPr>
        <w:t> </w:t>
      </w:r>
      <w:r>
        <w:rPr>
          <w:sz w:val="20"/>
        </w:rPr>
        <w:t>hechos</w:t>
      </w:r>
      <w:r>
        <w:rPr>
          <w:spacing w:val="-5"/>
          <w:sz w:val="20"/>
        </w:rPr>
        <w:t> </w:t>
      </w:r>
      <w:r>
        <w:rPr>
          <w:sz w:val="20"/>
        </w:rPr>
        <w:t>falsos</w:t>
      </w:r>
      <w:r>
        <w:rPr>
          <w:spacing w:val="-5"/>
          <w:sz w:val="20"/>
        </w:rPr>
        <w:t> </w:t>
      </w:r>
      <w:r>
        <w:rPr>
          <w:sz w:val="20"/>
        </w:rPr>
        <w:t>en</w:t>
      </w:r>
      <w:r>
        <w:rPr>
          <w:spacing w:val="-6"/>
          <w:sz w:val="20"/>
        </w:rPr>
        <w:t> </w:t>
      </w:r>
      <w:r>
        <w:rPr>
          <w:sz w:val="20"/>
        </w:rPr>
        <w:t>las</w:t>
      </w:r>
      <w:r>
        <w:rPr>
          <w:spacing w:val="-6"/>
          <w:sz w:val="20"/>
        </w:rPr>
        <w:t> </w:t>
      </w:r>
      <w:r>
        <w:rPr>
          <w:sz w:val="20"/>
        </w:rPr>
        <w:t>actas</w:t>
      </w:r>
      <w:r>
        <w:rPr>
          <w:spacing w:val="-5"/>
          <w:sz w:val="20"/>
        </w:rPr>
        <w:t> </w:t>
      </w:r>
      <w:r>
        <w:rPr>
          <w:sz w:val="20"/>
        </w:rPr>
        <w:t>que</w:t>
      </w:r>
      <w:r>
        <w:rPr>
          <w:spacing w:val="-6"/>
          <w:sz w:val="20"/>
        </w:rPr>
        <w:t> </w:t>
      </w:r>
      <w:r>
        <w:rPr>
          <w:spacing w:val="-2"/>
          <w:sz w:val="20"/>
        </w:rPr>
        <w:t>levanten;</w:t>
      </w:r>
    </w:p>
    <w:p>
      <w:pPr>
        <w:pStyle w:val="BodyText"/>
      </w:pPr>
    </w:p>
    <w:p>
      <w:pPr>
        <w:pStyle w:val="ListParagraph"/>
        <w:numPr>
          <w:ilvl w:val="0"/>
          <w:numId w:val="227"/>
        </w:numPr>
        <w:tabs>
          <w:tab w:pos="1195" w:val="left" w:leader="none"/>
        </w:tabs>
        <w:spacing w:line="240" w:lineRule="auto" w:before="1" w:after="0"/>
        <w:ind w:left="1195" w:right="0" w:hanging="569"/>
        <w:jc w:val="left"/>
        <w:rPr>
          <w:sz w:val="20"/>
        </w:rPr>
      </w:pPr>
      <w:r>
        <w:rPr>
          <w:sz w:val="20"/>
        </w:rPr>
        <w:t>La</w:t>
      </w:r>
      <w:r>
        <w:rPr>
          <w:spacing w:val="-6"/>
          <w:sz w:val="20"/>
        </w:rPr>
        <w:t> </w:t>
      </w:r>
      <w:r>
        <w:rPr>
          <w:sz w:val="20"/>
        </w:rPr>
        <w:t>violación</w:t>
      </w:r>
      <w:r>
        <w:rPr>
          <w:spacing w:val="-6"/>
          <w:sz w:val="20"/>
        </w:rPr>
        <w:t> </w:t>
      </w:r>
      <w:r>
        <w:rPr>
          <w:sz w:val="20"/>
        </w:rPr>
        <w:t>de</w:t>
      </w:r>
      <w:r>
        <w:rPr>
          <w:spacing w:val="-6"/>
          <w:sz w:val="20"/>
        </w:rPr>
        <w:t> </w:t>
      </w:r>
      <w:r>
        <w:rPr>
          <w:sz w:val="20"/>
        </w:rPr>
        <w:t>las</w:t>
      </w:r>
      <w:r>
        <w:rPr>
          <w:spacing w:val="-5"/>
          <w:sz w:val="20"/>
        </w:rPr>
        <w:t> </w:t>
      </w:r>
      <w:r>
        <w:rPr>
          <w:sz w:val="20"/>
        </w:rPr>
        <w:t>prohibiciones</w:t>
      </w:r>
      <w:r>
        <w:rPr>
          <w:spacing w:val="-6"/>
          <w:sz w:val="20"/>
        </w:rPr>
        <w:t> </w:t>
      </w:r>
      <w:r>
        <w:rPr>
          <w:sz w:val="20"/>
        </w:rPr>
        <w:t>a</w:t>
      </w:r>
      <w:r>
        <w:rPr>
          <w:spacing w:val="-5"/>
          <w:sz w:val="20"/>
        </w:rPr>
        <w:t> </w:t>
      </w:r>
      <w:r>
        <w:rPr>
          <w:sz w:val="20"/>
        </w:rPr>
        <w:t>que</w:t>
      </w:r>
      <w:r>
        <w:rPr>
          <w:spacing w:val="-5"/>
          <w:sz w:val="20"/>
        </w:rPr>
        <w:t> </w:t>
      </w:r>
      <w:r>
        <w:rPr>
          <w:sz w:val="20"/>
        </w:rPr>
        <w:t>se</w:t>
      </w:r>
      <w:r>
        <w:rPr>
          <w:spacing w:val="-6"/>
          <w:sz w:val="20"/>
        </w:rPr>
        <w:t> </w:t>
      </w:r>
      <w:r>
        <w:rPr>
          <w:sz w:val="20"/>
        </w:rPr>
        <w:t>refiere</w:t>
      </w:r>
      <w:r>
        <w:rPr>
          <w:spacing w:val="-7"/>
          <w:sz w:val="20"/>
        </w:rPr>
        <w:t> </w:t>
      </w:r>
      <w:r>
        <w:rPr>
          <w:sz w:val="20"/>
        </w:rPr>
        <w:t>el</w:t>
      </w:r>
      <w:r>
        <w:rPr>
          <w:spacing w:val="-6"/>
          <w:sz w:val="20"/>
        </w:rPr>
        <w:t> </w:t>
      </w:r>
      <w:r>
        <w:rPr>
          <w:sz w:val="20"/>
        </w:rPr>
        <w:t>artículo</w:t>
      </w:r>
      <w:r>
        <w:rPr>
          <w:spacing w:val="-6"/>
          <w:sz w:val="20"/>
        </w:rPr>
        <w:t> </w:t>
      </w:r>
      <w:r>
        <w:rPr>
          <w:spacing w:val="-4"/>
          <w:sz w:val="20"/>
        </w:rPr>
        <w:t>544;</w:t>
      </w:r>
    </w:p>
    <w:p>
      <w:pPr>
        <w:pStyle w:val="BodyText"/>
      </w:pPr>
    </w:p>
    <w:p>
      <w:pPr>
        <w:pStyle w:val="ListParagraph"/>
        <w:numPr>
          <w:ilvl w:val="0"/>
          <w:numId w:val="227"/>
        </w:numPr>
        <w:tabs>
          <w:tab w:pos="1195" w:val="left" w:leader="none"/>
        </w:tabs>
        <w:spacing w:line="240" w:lineRule="auto" w:before="0" w:after="0"/>
        <w:ind w:left="1195" w:right="0" w:hanging="569"/>
        <w:jc w:val="left"/>
        <w:rPr>
          <w:sz w:val="20"/>
        </w:rPr>
      </w:pPr>
      <w:r>
        <w:rPr>
          <w:sz w:val="20"/>
        </w:rPr>
        <w:t>Recibir</w:t>
      </w:r>
      <w:r>
        <w:rPr>
          <w:spacing w:val="-8"/>
          <w:sz w:val="20"/>
        </w:rPr>
        <w:t> </w:t>
      </w:r>
      <w:r>
        <w:rPr>
          <w:sz w:val="20"/>
        </w:rPr>
        <w:t>directa</w:t>
      </w:r>
      <w:r>
        <w:rPr>
          <w:spacing w:val="-7"/>
          <w:sz w:val="20"/>
        </w:rPr>
        <w:t> </w:t>
      </w:r>
      <w:r>
        <w:rPr>
          <w:sz w:val="20"/>
        </w:rPr>
        <w:t>o</w:t>
      </w:r>
      <w:r>
        <w:rPr>
          <w:spacing w:val="-6"/>
          <w:sz w:val="20"/>
        </w:rPr>
        <w:t> </w:t>
      </w:r>
      <w:r>
        <w:rPr>
          <w:sz w:val="20"/>
        </w:rPr>
        <w:t>indirectamente</w:t>
      </w:r>
      <w:r>
        <w:rPr>
          <w:spacing w:val="-9"/>
          <w:sz w:val="20"/>
        </w:rPr>
        <w:t> </w:t>
      </w:r>
      <w:r>
        <w:rPr>
          <w:sz w:val="20"/>
        </w:rPr>
        <w:t>cualquier</w:t>
      </w:r>
      <w:r>
        <w:rPr>
          <w:spacing w:val="-8"/>
          <w:sz w:val="20"/>
        </w:rPr>
        <w:t> </w:t>
      </w:r>
      <w:r>
        <w:rPr>
          <w:sz w:val="20"/>
        </w:rPr>
        <w:t>dádiva</w:t>
      </w:r>
      <w:r>
        <w:rPr>
          <w:spacing w:val="-6"/>
          <w:sz w:val="20"/>
        </w:rPr>
        <w:t> </w:t>
      </w:r>
      <w:r>
        <w:rPr>
          <w:sz w:val="20"/>
        </w:rPr>
        <w:t>de</w:t>
      </w:r>
      <w:r>
        <w:rPr>
          <w:spacing w:val="-7"/>
          <w:sz w:val="20"/>
        </w:rPr>
        <w:t> </w:t>
      </w:r>
      <w:r>
        <w:rPr>
          <w:sz w:val="20"/>
        </w:rPr>
        <w:t>los</w:t>
      </w:r>
      <w:r>
        <w:rPr>
          <w:spacing w:val="-7"/>
          <w:sz w:val="20"/>
        </w:rPr>
        <w:t> </w:t>
      </w:r>
      <w:r>
        <w:rPr>
          <w:sz w:val="20"/>
        </w:rPr>
        <w:t>trabajadores</w:t>
      </w:r>
      <w:r>
        <w:rPr>
          <w:spacing w:val="-4"/>
          <w:sz w:val="20"/>
        </w:rPr>
        <w:t> </w:t>
      </w:r>
      <w:r>
        <w:rPr>
          <w:sz w:val="20"/>
        </w:rPr>
        <w:t>o</w:t>
      </w:r>
      <w:r>
        <w:rPr>
          <w:spacing w:val="-8"/>
          <w:sz w:val="20"/>
        </w:rPr>
        <w:t> </w:t>
      </w:r>
      <w:r>
        <w:rPr>
          <w:sz w:val="20"/>
        </w:rPr>
        <w:t>de</w:t>
      </w:r>
      <w:r>
        <w:rPr>
          <w:spacing w:val="-6"/>
          <w:sz w:val="20"/>
        </w:rPr>
        <w:t> </w:t>
      </w:r>
      <w:r>
        <w:rPr>
          <w:sz w:val="20"/>
        </w:rPr>
        <w:t>los</w:t>
      </w:r>
      <w:r>
        <w:rPr>
          <w:spacing w:val="-6"/>
          <w:sz w:val="20"/>
        </w:rPr>
        <w:t> </w:t>
      </w:r>
      <w:r>
        <w:rPr>
          <w:spacing w:val="-2"/>
          <w:sz w:val="20"/>
        </w:rPr>
        <w:t>patrones;</w:t>
      </w:r>
    </w:p>
    <w:p>
      <w:pPr>
        <w:pStyle w:val="ListParagraph"/>
        <w:numPr>
          <w:ilvl w:val="0"/>
          <w:numId w:val="227"/>
        </w:numPr>
        <w:tabs>
          <w:tab w:pos="1195" w:val="left" w:leader="none"/>
        </w:tabs>
        <w:spacing w:line="240" w:lineRule="auto" w:before="229" w:after="0"/>
        <w:ind w:left="1195" w:right="0" w:hanging="569"/>
        <w:jc w:val="left"/>
        <w:rPr>
          <w:sz w:val="20"/>
        </w:rPr>
      </w:pPr>
      <w:r>
        <w:rPr>
          <w:sz w:val="20"/>
        </w:rPr>
        <w:t>No</w:t>
      </w:r>
      <w:r>
        <w:rPr>
          <w:spacing w:val="-7"/>
          <w:sz w:val="20"/>
        </w:rPr>
        <w:t> </w:t>
      </w:r>
      <w:r>
        <w:rPr>
          <w:sz w:val="20"/>
        </w:rPr>
        <w:t>cumplir</w:t>
      </w:r>
      <w:r>
        <w:rPr>
          <w:spacing w:val="-6"/>
          <w:sz w:val="20"/>
        </w:rPr>
        <w:t> </w:t>
      </w:r>
      <w:r>
        <w:rPr>
          <w:sz w:val="20"/>
        </w:rPr>
        <w:t>las</w:t>
      </w:r>
      <w:r>
        <w:rPr>
          <w:spacing w:val="-6"/>
          <w:sz w:val="20"/>
        </w:rPr>
        <w:t> </w:t>
      </w:r>
      <w:r>
        <w:rPr>
          <w:sz w:val="20"/>
        </w:rPr>
        <w:t>órdenes</w:t>
      </w:r>
      <w:r>
        <w:rPr>
          <w:spacing w:val="-6"/>
          <w:sz w:val="20"/>
        </w:rPr>
        <w:t> </w:t>
      </w:r>
      <w:r>
        <w:rPr>
          <w:sz w:val="20"/>
        </w:rPr>
        <w:t>recibidas</w:t>
      </w:r>
      <w:r>
        <w:rPr>
          <w:spacing w:val="-6"/>
          <w:sz w:val="20"/>
        </w:rPr>
        <w:t> </w:t>
      </w:r>
      <w:r>
        <w:rPr>
          <w:sz w:val="20"/>
        </w:rPr>
        <w:t>de</w:t>
      </w:r>
      <w:r>
        <w:rPr>
          <w:spacing w:val="-8"/>
          <w:sz w:val="20"/>
        </w:rPr>
        <w:t> </w:t>
      </w:r>
      <w:r>
        <w:rPr>
          <w:sz w:val="20"/>
        </w:rPr>
        <w:t>su</w:t>
      </w:r>
      <w:r>
        <w:rPr>
          <w:spacing w:val="-7"/>
          <w:sz w:val="20"/>
        </w:rPr>
        <w:t> </w:t>
      </w:r>
      <w:r>
        <w:rPr>
          <w:sz w:val="20"/>
        </w:rPr>
        <w:t>superior</w:t>
      </w:r>
      <w:r>
        <w:rPr>
          <w:spacing w:val="-7"/>
          <w:sz w:val="20"/>
        </w:rPr>
        <w:t> </w:t>
      </w:r>
      <w:r>
        <w:rPr>
          <w:sz w:val="20"/>
        </w:rPr>
        <w:t>jerárquico;</w:t>
      </w:r>
      <w:r>
        <w:rPr>
          <w:spacing w:val="-3"/>
          <w:sz w:val="20"/>
        </w:rPr>
        <w:t> </w:t>
      </w:r>
      <w:r>
        <w:rPr>
          <w:spacing w:val="-10"/>
          <w:sz w:val="20"/>
        </w:rPr>
        <w:t>y</w:t>
      </w:r>
    </w:p>
    <w:p>
      <w:pPr>
        <w:pStyle w:val="BodyText"/>
        <w:spacing w:before="1"/>
      </w:pPr>
    </w:p>
    <w:p>
      <w:pPr>
        <w:pStyle w:val="ListParagraph"/>
        <w:numPr>
          <w:ilvl w:val="0"/>
          <w:numId w:val="227"/>
        </w:numPr>
        <w:tabs>
          <w:tab w:pos="1202" w:val="left" w:leader="none"/>
        </w:tabs>
        <w:spacing w:line="242" w:lineRule="auto" w:before="0" w:after="0"/>
        <w:ind w:left="1202" w:right="342" w:hanging="576"/>
        <w:jc w:val="both"/>
        <w:rPr>
          <w:sz w:val="20"/>
        </w:rPr>
      </w:pPr>
      <w:r>
        <w:rPr>
          <w:sz w:val="20"/>
        </w:rPr>
        <w:t>No denunciar ante el Ministerio Público, a la persona empleadora de una negociación industrial, de trabajo del campo, minera, comercial o de servicios que omita el pago o haya dejado de pagar el salario mínimo general a una persona trabajadora del campo a su servicio.</w:t>
      </w:r>
    </w:p>
    <w:p>
      <w:pPr>
        <w:spacing w:line="176" w:lineRule="exact" w:before="0"/>
        <w:ind w:left="52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24-12-1974.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47"/>
        <w:rPr>
          <w:rFonts w:ascii="Times New Roman"/>
          <w:i/>
          <w:sz w:val="16"/>
        </w:rPr>
      </w:pPr>
    </w:p>
    <w:p>
      <w:pPr>
        <w:pStyle w:val="BodyText"/>
        <w:tabs>
          <w:tab w:pos="1593" w:val="left" w:leader="none"/>
          <w:tab w:pos="2263" w:val="left" w:leader="none"/>
          <w:tab w:pos="2798" w:val="left" w:leader="none"/>
          <w:tab w:pos="3912" w:val="left" w:leader="none"/>
          <w:tab w:pos="4457" w:val="left" w:leader="none"/>
          <w:tab w:pos="5340" w:val="left" w:leader="none"/>
          <w:tab w:pos="6488" w:val="left" w:leader="none"/>
          <w:tab w:pos="6812" w:val="left" w:leader="none"/>
          <w:tab w:pos="7280" w:val="left" w:leader="none"/>
          <w:tab w:pos="8526" w:val="left" w:leader="none"/>
          <w:tab w:pos="9004" w:val="left" w:leader="none"/>
        </w:tabs>
        <w:spacing w:line="242" w:lineRule="auto"/>
        <w:ind w:left="338" w:right="339" w:firstLine="288"/>
      </w:pPr>
      <w:bookmarkStart w:name="Artículo_548" w:id="699"/>
      <w:bookmarkEnd w:id="699"/>
      <w:r>
        <w:rPr/>
      </w:r>
      <w:r>
        <w:rPr>
          <w:rFonts w:ascii="Arial" w:hAnsi="Arial"/>
          <w:b/>
          <w:spacing w:val="-2"/>
        </w:rPr>
        <w:t>Artículo</w:t>
      </w:r>
      <w:r>
        <w:rPr>
          <w:rFonts w:ascii="Arial" w:hAnsi="Arial"/>
          <w:b/>
        </w:rPr>
        <w:tab/>
      </w:r>
      <w:r>
        <w:rPr>
          <w:rFonts w:ascii="Arial" w:hAnsi="Arial"/>
          <w:b/>
          <w:spacing w:val="-2"/>
        </w:rPr>
        <w:t>548.-</w:t>
      </w:r>
      <w:r>
        <w:rPr>
          <w:rFonts w:ascii="Arial" w:hAnsi="Arial"/>
          <w:b/>
        </w:rPr>
        <w:tab/>
      </w:r>
      <w:r>
        <w:rPr>
          <w:spacing w:val="-4"/>
        </w:rPr>
        <w:t>Las</w:t>
      </w:r>
      <w:r>
        <w:rPr/>
        <w:tab/>
      </w:r>
      <w:r>
        <w:rPr>
          <w:spacing w:val="-2"/>
        </w:rPr>
        <w:t>sanciones</w:t>
      </w:r>
      <w:r>
        <w:rPr/>
        <w:tab/>
      </w:r>
      <w:r>
        <w:rPr>
          <w:spacing w:val="-4"/>
        </w:rPr>
        <w:t>que</w:t>
      </w:r>
      <w:r>
        <w:rPr/>
        <w:tab/>
      </w:r>
      <w:r>
        <w:rPr>
          <w:spacing w:val="-2"/>
        </w:rPr>
        <w:t>pueden</w:t>
      </w:r>
      <w:r>
        <w:rPr/>
        <w:tab/>
      </w:r>
      <w:r>
        <w:rPr>
          <w:spacing w:val="-2"/>
        </w:rPr>
        <w:t>imponerse</w:t>
      </w:r>
      <w:r>
        <w:rPr/>
        <w:tab/>
      </w:r>
      <w:r>
        <w:rPr>
          <w:spacing w:val="-10"/>
        </w:rPr>
        <w:t>a</w:t>
      </w:r>
      <w:r>
        <w:rPr/>
        <w:tab/>
      </w:r>
      <w:r>
        <w:rPr>
          <w:spacing w:val="-4"/>
        </w:rPr>
        <w:t>los</w:t>
      </w:r>
      <w:r>
        <w:rPr/>
        <w:tab/>
      </w:r>
      <w:r>
        <w:rPr>
          <w:spacing w:val="-2"/>
        </w:rPr>
        <w:t>Inspectores</w:t>
      </w:r>
      <w:r>
        <w:rPr/>
        <w:tab/>
      </w:r>
      <w:r>
        <w:rPr>
          <w:spacing w:val="-4"/>
        </w:rPr>
        <w:t>del</w:t>
      </w:r>
      <w:r>
        <w:rPr/>
        <w:tab/>
      </w:r>
      <w:r>
        <w:rPr>
          <w:spacing w:val="-2"/>
        </w:rPr>
        <w:t>Trabajo, </w:t>
      </w:r>
      <w:r>
        <w:rPr/>
        <w:t>independientemente de lo que dispongan las leyes penales, son:</w:t>
      </w:r>
    </w:p>
    <w:p>
      <w:pPr>
        <w:pStyle w:val="ListParagraph"/>
        <w:numPr>
          <w:ilvl w:val="0"/>
          <w:numId w:val="228"/>
        </w:numPr>
        <w:tabs>
          <w:tab w:pos="1195" w:val="left" w:leader="none"/>
        </w:tabs>
        <w:spacing w:line="240" w:lineRule="auto" w:before="224" w:after="0"/>
        <w:ind w:left="1195" w:right="0" w:hanging="569"/>
        <w:jc w:val="left"/>
        <w:rPr>
          <w:sz w:val="20"/>
        </w:rPr>
      </w:pPr>
      <w:r>
        <w:rPr>
          <w:spacing w:val="-2"/>
          <w:sz w:val="20"/>
        </w:rPr>
        <w:t>Amonestación;</w:t>
      </w:r>
    </w:p>
    <w:p>
      <w:pPr>
        <w:pStyle w:val="BodyText"/>
        <w:spacing w:before="1"/>
      </w:pPr>
    </w:p>
    <w:p>
      <w:pPr>
        <w:pStyle w:val="ListParagraph"/>
        <w:numPr>
          <w:ilvl w:val="0"/>
          <w:numId w:val="228"/>
        </w:numPr>
        <w:tabs>
          <w:tab w:pos="1195" w:val="left" w:leader="none"/>
        </w:tabs>
        <w:spacing w:line="240" w:lineRule="auto" w:before="0" w:after="0"/>
        <w:ind w:left="1195" w:right="0" w:hanging="569"/>
        <w:jc w:val="left"/>
        <w:rPr>
          <w:sz w:val="20"/>
        </w:rPr>
      </w:pPr>
      <w:r>
        <w:rPr>
          <w:sz w:val="20"/>
        </w:rPr>
        <w:t>Suspensión</w:t>
      </w:r>
      <w:r>
        <w:rPr>
          <w:spacing w:val="-6"/>
          <w:sz w:val="20"/>
        </w:rPr>
        <w:t> </w:t>
      </w:r>
      <w:r>
        <w:rPr>
          <w:sz w:val="20"/>
        </w:rPr>
        <w:t>hasta</w:t>
      </w:r>
      <w:r>
        <w:rPr>
          <w:spacing w:val="-6"/>
          <w:sz w:val="20"/>
        </w:rPr>
        <w:t> </w:t>
      </w:r>
      <w:r>
        <w:rPr>
          <w:sz w:val="20"/>
        </w:rPr>
        <w:t>por</w:t>
      </w:r>
      <w:r>
        <w:rPr>
          <w:spacing w:val="-6"/>
          <w:sz w:val="20"/>
        </w:rPr>
        <w:t> </w:t>
      </w:r>
      <w:r>
        <w:rPr>
          <w:sz w:val="20"/>
        </w:rPr>
        <w:t>tres</w:t>
      </w:r>
      <w:r>
        <w:rPr>
          <w:spacing w:val="-5"/>
          <w:sz w:val="20"/>
        </w:rPr>
        <w:t> </w:t>
      </w:r>
      <w:r>
        <w:rPr>
          <w:sz w:val="20"/>
        </w:rPr>
        <w:t>meses;</w:t>
      </w:r>
      <w:r>
        <w:rPr>
          <w:spacing w:val="-5"/>
          <w:sz w:val="20"/>
        </w:rPr>
        <w:t> </w:t>
      </w:r>
      <w:r>
        <w:rPr>
          <w:spacing w:val="-10"/>
          <w:sz w:val="20"/>
        </w:rPr>
        <w:t>y</w:t>
      </w:r>
    </w:p>
    <w:p>
      <w:pPr>
        <w:pStyle w:val="BodyText"/>
        <w:spacing w:before="1"/>
      </w:pPr>
    </w:p>
    <w:p>
      <w:pPr>
        <w:pStyle w:val="ListParagraph"/>
        <w:numPr>
          <w:ilvl w:val="0"/>
          <w:numId w:val="228"/>
        </w:numPr>
        <w:tabs>
          <w:tab w:pos="1195" w:val="left" w:leader="none"/>
        </w:tabs>
        <w:spacing w:line="240" w:lineRule="auto" w:before="0" w:after="0"/>
        <w:ind w:left="1195" w:right="0" w:hanging="569"/>
        <w:jc w:val="left"/>
        <w:rPr>
          <w:sz w:val="20"/>
        </w:rPr>
      </w:pPr>
      <w:r>
        <w:rPr>
          <w:spacing w:val="-2"/>
          <w:sz w:val="20"/>
        </w:rPr>
        <w:t>Destitución.</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3"/>
      </w:pPr>
    </w:p>
    <w:p>
      <w:pPr>
        <w:pStyle w:val="BodyText"/>
        <w:ind w:left="626"/>
      </w:pPr>
      <w:bookmarkStart w:name="Artículo_549" w:id="700"/>
      <w:bookmarkEnd w:id="700"/>
      <w:r>
        <w:rPr/>
      </w:r>
      <w:r>
        <w:rPr>
          <w:rFonts w:ascii="Arial" w:hAnsi="Arial"/>
          <w:b/>
        </w:rPr>
        <w:t>Artículo</w:t>
      </w:r>
      <w:r>
        <w:rPr>
          <w:rFonts w:ascii="Arial" w:hAnsi="Arial"/>
          <w:b/>
          <w:spacing w:val="-6"/>
        </w:rPr>
        <w:t> </w:t>
      </w:r>
      <w:r>
        <w:rPr>
          <w:rFonts w:ascii="Arial" w:hAnsi="Arial"/>
          <w:b/>
        </w:rPr>
        <w:t>549.-</w:t>
      </w:r>
      <w:r>
        <w:rPr>
          <w:rFonts w:ascii="Arial" w:hAnsi="Arial"/>
          <w:b/>
          <w:spacing w:val="-4"/>
        </w:rPr>
        <w:t> </w:t>
      </w:r>
      <w:r>
        <w:rPr/>
        <w:t>En</w:t>
      </w:r>
      <w:r>
        <w:rPr>
          <w:spacing w:val="-5"/>
        </w:rPr>
        <w:t> </w:t>
      </w:r>
      <w:r>
        <w:rPr/>
        <w:t>la</w:t>
      </w:r>
      <w:r>
        <w:rPr>
          <w:spacing w:val="-5"/>
        </w:rPr>
        <w:t> </w:t>
      </w:r>
      <w:r>
        <w:rPr/>
        <w:t>imposición</w:t>
      </w:r>
      <w:r>
        <w:rPr>
          <w:spacing w:val="-7"/>
        </w:rPr>
        <w:t> </w:t>
      </w:r>
      <w:r>
        <w:rPr/>
        <w:t>de</w:t>
      </w:r>
      <w:r>
        <w:rPr>
          <w:spacing w:val="-7"/>
        </w:rPr>
        <w:t> </w:t>
      </w:r>
      <w:r>
        <w:rPr/>
        <w:t>las</w:t>
      </w:r>
      <w:r>
        <w:rPr>
          <w:spacing w:val="-6"/>
        </w:rPr>
        <w:t> </w:t>
      </w:r>
      <w:r>
        <w:rPr/>
        <w:t>sanciones</w:t>
      </w:r>
      <w:r>
        <w:rPr>
          <w:spacing w:val="-6"/>
        </w:rPr>
        <w:t> </w:t>
      </w:r>
      <w:r>
        <w:rPr/>
        <w:t>se</w:t>
      </w:r>
      <w:r>
        <w:rPr>
          <w:spacing w:val="-5"/>
        </w:rPr>
        <w:t> </w:t>
      </w:r>
      <w:r>
        <w:rPr/>
        <w:t>observarán</w:t>
      </w:r>
      <w:r>
        <w:rPr>
          <w:spacing w:val="-6"/>
        </w:rPr>
        <w:t> </w:t>
      </w:r>
      <w:r>
        <w:rPr/>
        <w:t>las</w:t>
      </w:r>
      <w:r>
        <w:rPr>
          <w:spacing w:val="-1"/>
        </w:rPr>
        <w:t> </w:t>
      </w:r>
      <w:r>
        <w:rPr/>
        <w:t>normas</w:t>
      </w:r>
      <w:r>
        <w:rPr>
          <w:spacing w:val="-6"/>
        </w:rPr>
        <w:t> </w:t>
      </w:r>
      <w:r>
        <w:rPr>
          <w:spacing w:val="-2"/>
        </w:rPr>
        <w:t>siguientes:</w:t>
      </w:r>
    </w:p>
    <w:p>
      <w:pPr>
        <w:pStyle w:val="BodyText"/>
        <w:spacing w:before="1"/>
      </w:pPr>
    </w:p>
    <w:p>
      <w:pPr>
        <w:pStyle w:val="ListParagraph"/>
        <w:numPr>
          <w:ilvl w:val="0"/>
          <w:numId w:val="229"/>
        </w:numPr>
        <w:tabs>
          <w:tab w:pos="1195" w:val="left" w:leader="none"/>
        </w:tabs>
        <w:spacing w:line="240" w:lineRule="auto" w:before="0" w:after="0"/>
        <w:ind w:left="1195" w:right="0" w:hanging="569"/>
        <w:jc w:val="left"/>
        <w:rPr>
          <w:sz w:val="20"/>
        </w:rPr>
      </w:pPr>
      <w:r>
        <w:rPr>
          <w:sz w:val="20"/>
        </w:rPr>
        <w:t>El</w:t>
      </w:r>
      <w:r>
        <w:rPr>
          <w:spacing w:val="-9"/>
          <w:sz w:val="20"/>
        </w:rPr>
        <w:t> </w:t>
      </w:r>
      <w:r>
        <w:rPr>
          <w:sz w:val="20"/>
        </w:rPr>
        <w:t>Director</w:t>
      </w:r>
      <w:r>
        <w:rPr>
          <w:spacing w:val="-8"/>
          <w:sz w:val="20"/>
        </w:rPr>
        <w:t> </w:t>
      </w:r>
      <w:r>
        <w:rPr>
          <w:sz w:val="20"/>
        </w:rPr>
        <w:t>General</w:t>
      </w:r>
      <w:r>
        <w:rPr>
          <w:spacing w:val="-9"/>
          <w:sz w:val="20"/>
        </w:rPr>
        <w:t> </w:t>
      </w:r>
      <w:r>
        <w:rPr>
          <w:sz w:val="20"/>
        </w:rPr>
        <w:t>practicará</w:t>
      </w:r>
      <w:r>
        <w:rPr>
          <w:spacing w:val="-7"/>
          <w:sz w:val="20"/>
        </w:rPr>
        <w:t> </w:t>
      </w:r>
      <w:r>
        <w:rPr>
          <w:sz w:val="20"/>
        </w:rPr>
        <w:t>una</w:t>
      </w:r>
      <w:r>
        <w:rPr>
          <w:spacing w:val="-8"/>
          <w:sz w:val="20"/>
        </w:rPr>
        <w:t> </w:t>
      </w:r>
      <w:r>
        <w:rPr>
          <w:sz w:val="20"/>
        </w:rPr>
        <w:t>investigación</w:t>
      </w:r>
      <w:r>
        <w:rPr>
          <w:spacing w:val="-8"/>
          <w:sz w:val="20"/>
        </w:rPr>
        <w:t> </w:t>
      </w:r>
      <w:r>
        <w:rPr>
          <w:sz w:val="20"/>
        </w:rPr>
        <w:t>con</w:t>
      </w:r>
      <w:r>
        <w:rPr>
          <w:spacing w:val="-7"/>
          <w:sz w:val="20"/>
        </w:rPr>
        <w:t> </w:t>
      </w:r>
      <w:r>
        <w:rPr>
          <w:sz w:val="20"/>
        </w:rPr>
        <w:t>audiencia</w:t>
      </w:r>
      <w:r>
        <w:rPr>
          <w:spacing w:val="-6"/>
          <w:sz w:val="20"/>
        </w:rPr>
        <w:t> </w:t>
      </w:r>
      <w:r>
        <w:rPr>
          <w:sz w:val="20"/>
        </w:rPr>
        <w:t>del</w:t>
      </w:r>
      <w:r>
        <w:rPr>
          <w:spacing w:val="-9"/>
          <w:sz w:val="20"/>
        </w:rPr>
        <w:t> </w:t>
      </w:r>
      <w:r>
        <w:rPr>
          <w:spacing w:val="-2"/>
          <w:sz w:val="20"/>
        </w:rPr>
        <w:t>interesado;</w:t>
      </w:r>
    </w:p>
    <w:p>
      <w:pPr>
        <w:pStyle w:val="BodyText"/>
        <w:spacing w:before="1"/>
      </w:pPr>
    </w:p>
    <w:p>
      <w:pPr>
        <w:pStyle w:val="ListParagraph"/>
        <w:numPr>
          <w:ilvl w:val="0"/>
          <w:numId w:val="229"/>
        </w:numPr>
        <w:tabs>
          <w:tab w:pos="1192" w:val="left" w:leader="none"/>
          <w:tab w:pos="1195" w:val="left" w:leader="none"/>
        </w:tabs>
        <w:spacing w:line="240" w:lineRule="auto" w:before="0" w:after="0"/>
        <w:ind w:left="1195" w:right="345" w:hanging="569"/>
        <w:jc w:val="both"/>
        <w:rPr>
          <w:sz w:val="20"/>
        </w:rPr>
      </w:pPr>
      <w:r>
        <w:rPr>
          <w:sz w:val="20"/>
        </w:rPr>
        <w:t>El</w:t>
      </w:r>
      <w:r>
        <w:rPr>
          <w:spacing w:val="-1"/>
          <w:sz w:val="20"/>
        </w:rPr>
        <w:t> </w:t>
      </w:r>
      <w:r>
        <w:rPr>
          <w:sz w:val="20"/>
        </w:rPr>
        <w:t>Director</w:t>
      </w:r>
      <w:r>
        <w:rPr>
          <w:spacing w:val="-1"/>
          <w:sz w:val="20"/>
        </w:rPr>
        <w:t> </w:t>
      </w:r>
      <w:r>
        <w:rPr>
          <w:sz w:val="20"/>
        </w:rPr>
        <w:t>General podrá imponer</w:t>
      </w:r>
      <w:r>
        <w:rPr>
          <w:spacing w:val="-1"/>
          <w:sz w:val="20"/>
        </w:rPr>
        <w:t> </w:t>
      </w:r>
      <w:r>
        <w:rPr>
          <w:sz w:val="20"/>
        </w:rPr>
        <w:t>las</w:t>
      </w:r>
      <w:r>
        <w:rPr>
          <w:spacing w:val="-1"/>
          <w:sz w:val="20"/>
        </w:rPr>
        <w:t> </w:t>
      </w:r>
      <w:r>
        <w:rPr>
          <w:sz w:val="20"/>
        </w:rPr>
        <w:t>sanciones</w:t>
      </w:r>
      <w:r>
        <w:rPr>
          <w:spacing w:val="-1"/>
          <w:sz w:val="20"/>
        </w:rPr>
        <w:t> </w:t>
      </w:r>
      <w:r>
        <w:rPr>
          <w:sz w:val="20"/>
        </w:rPr>
        <w:t>señaladas</w:t>
      </w:r>
      <w:r>
        <w:rPr>
          <w:spacing w:val="-1"/>
          <w:sz w:val="20"/>
        </w:rPr>
        <w:t> </w:t>
      </w:r>
      <w:r>
        <w:rPr>
          <w:sz w:val="20"/>
        </w:rPr>
        <w:t>en el artículo anterior,</w:t>
      </w:r>
      <w:r>
        <w:rPr>
          <w:spacing w:val="-1"/>
          <w:sz w:val="20"/>
        </w:rPr>
        <w:t> </w:t>
      </w:r>
      <w:r>
        <w:rPr>
          <w:sz w:val="20"/>
        </w:rPr>
        <w:t>fracciones</w:t>
      </w:r>
      <w:r>
        <w:rPr>
          <w:spacing w:val="-1"/>
          <w:sz w:val="20"/>
        </w:rPr>
        <w:t> </w:t>
      </w:r>
      <w:r>
        <w:rPr>
          <w:sz w:val="20"/>
        </w:rPr>
        <w:t>I y II; y</w:t>
      </w:r>
    </w:p>
    <w:p>
      <w:pPr>
        <w:pStyle w:val="ListParagraph"/>
        <w:numPr>
          <w:ilvl w:val="0"/>
          <w:numId w:val="229"/>
        </w:numPr>
        <w:tabs>
          <w:tab w:pos="1191" w:val="left" w:leader="none"/>
          <w:tab w:pos="1195" w:val="left" w:leader="none"/>
        </w:tabs>
        <w:spacing w:line="242" w:lineRule="auto" w:before="227" w:after="0"/>
        <w:ind w:left="1195" w:right="340" w:hanging="569"/>
        <w:jc w:val="both"/>
        <w:rPr>
          <w:sz w:val="20"/>
        </w:rPr>
      </w:pPr>
      <w:r>
        <w:rPr>
          <w:sz w:val="20"/>
        </w:rPr>
        <w:t>Cuando a juicio del Director General la sanción aplicable sea la destitución, dará cuenta al Secretario del Trabajo y Previsión Social, al Gobernador del Estado o Territorio o al Jefe de Gobierno de la Ciudad de México, para su decisión.</w:t>
      </w:r>
    </w:p>
    <w:p>
      <w:pPr>
        <w:spacing w:line="178"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spacing w:line="242" w:lineRule="auto"/>
        <w:ind w:left="338" w:right="357" w:firstLine="288"/>
      </w:pPr>
      <w:bookmarkStart w:name="Artículo_550" w:id="701"/>
      <w:bookmarkEnd w:id="701"/>
      <w:r>
        <w:rPr/>
      </w:r>
      <w:r>
        <w:rPr>
          <w:rFonts w:ascii="Arial" w:hAnsi="Arial"/>
          <w:b/>
        </w:rPr>
        <w:t>Artículo 550.- </w:t>
      </w:r>
      <w:r>
        <w:rPr/>
        <w:t>Los reglamentos determinarán las atribuciones, la forma de su ejercicio y los deberes de la Inspección del Trabajo.</w:t>
      </w:r>
    </w:p>
    <w:p>
      <w:pPr>
        <w:pStyle w:val="Heading1"/>
        <w:spacing w:line="252" w:lineRule="exact" w:before="224"/>
      </w:pPr>
      <w:r>
        <w:rPr/>
        <w:t>CAPITULO</w:t>
      </w:r>
      <w:r>
        <w:rPr>
          <w:spacing w:val="-7"/>
        </w:rPr>
        <w:t> VI</w:t>
      </w:r>
    </w:p>
    <w:p>
      <w:pPr>
        <w:pStyle w:val="Heading2"/>
        <w:spacing w:line="252" w:lineRule="exact"/>
        <w:ind w:left="297"/>
      </w:pPr>
      <w:r>
        <w:rPr/>
        <w:t>Comisión</w:t>
      </w:r>
      <w:r>
        <w:rPr>
          <w:spacing w:val="-6"/>
        </w:rPr>
        <w:t> </w:t>
      </w:r>
      <w:r>
        <w:rPr/>
        <w:t>Nacional</w:t>
      </w:r>
      <w:r>
        <w:rPr>
          <w:spacing w:val="-2"/>
        </w:rPr>
        <w:t> </w:t>
      </w:r>
      <w:r>
        <w:rPr/>
        <w:t>de</w:t>
      </w:r>
      <w:r>
        <w:rPr>
          <w:spacing w:val="-8"/>
        </w:rPr>
        <w:t> </w:t>
      </w:r>
      <w:r>
        <w:rPr/>
        <w:t>los</w:t>
      </w:r>
      <w:r>
        <w:rPr>
          <w:spacing w:val="-3"/>
        </w:rPr>
        <w:t> </w:t>
      </w:r>
      <w:r>
        <w:rPr/>
        <w:t>Salarios</w:t>
      </w:r>
      <w:r>
        <w:rPr>
          <w:spacing w:val="-6"/>
        </w:rPr>
        <w:t> </w:t>
      </w:r>
      <w:r>
        <w:rPr>
          <w:spacing w:val="-2"/>
        </w:rPr>
        <w:t>Mínimos</w:t>
      </w:r>
    </w:p>
    <w:p>
      <w:pPr>
        <w:pStyle w:val="BodyText"/>
        <w:spacing w:line="242" w:lineRule="auto" w:before="232"/>
        <w:ind w:left="338" w:right="342" w:firstLine="288"/>
      </w:pPr>
      <w:bookmarkStart w:name="Artículo_551" w:id="702"/>
      <w:bookmarkEnd w:id="702"/>
      <w:r>
        <w:rPr/>
      </w:r>
      <w:r>
        <w:rPr>
          <w:rFonts w:ascii="Arial" w:hAnsi="Arial"/>
          <w:b/>
        </w:rPr>
        <w:t>Artículo</w:t>
      </w:r>
      <w:r>
        <w:rPr>
          <w:rFonts w:ascii="Arial" w:hAnsi="Arial"/>
          <w:b/>
          <w:spacing w:val="40"/>
        </w:rPr>
        <w:t> </w:t>
      </w:r>
      <w:r>
        <w:rPr>
          <w:rFonts w:ascii="Arial" w:hAnsi="Arial"/>
          <w:b/>
        </w:rPr>
        <w:t>551.-</w:t>
      </w:r>
      <w:r>
        <w:rPr>
          <w:rFonts w:ascii="Arial" w:hAnsi="Arial"/>
          <w:b/>
          <w:spacing w:val="40"/>
        </w:rPr>
        <w:t> </w:t>
      </w:r>
      <w:r>
        <w:rPr/>
        <w:t>La</w:t>
      </w:r>
      <w:r>
        <w:rPr>
          <w:spacing w:val="40"/>
        </w:rPr>
        <w:t> </w:t>
      </w:r>
      <w:r>
        <w:rPr/>
        <w:t>Comisión</w:t>
      </w:r>
      <w:r>
        <w:rPr>
          <w:spacing w:val="40"/>
        </w:rPr>
        <w:t> </w:t>
      </w:r>
      <w:r>
        <w:rPr/>
        <w:t>Nacional</w:t>
      </w:r>
      <w:r>
        <w:rPr>
          <w:spacing w:val="40"/>
        </w:rPr>
        <w:t> </w:t>
      </w:r>
      <w:r>
        <w:rPr/>
        <w:t>de</w:t>
      </w:r>
      <w:r>
        <w:rPr>
          <w:spacing w:val="40"/>
        </w:rPr>
        <w:t> </w:t>
      </w:r>
      <w:r>
        <w:rPr/>
        <w:t>los</w:t>
      </w:r>
      <w:r>
        <w:rPr>
          <w:spacing w:val="40"/>
        </w:rPr>
        <w:t> </w:t>
      </w:r>
      <w:r>
        <w:rPr/>
        <w:t>Salarios</w:t>
      </w:r>
      <w:r>
        <w:rPr>
          <w:spacing w:val="40"/>
        </w:rPr>
        <w:t> </w:t>
      </w:r>
      <w:r>
        <w:rPr/>
        <w:t>Mínimos</w:t>
      </w:r>
      <w:r>
        <w:rPr>
          <w:spacing w:val="40"/>
        </w:rPr>
        <w:t> </w:t>
      </w:r>
      <w:r>
        <w:rPr/>
        <w:t>funcionará</w:t>
      </w:r>
      <w:r>
        <w:rPr>
          <w:spacing w:val="40"/>
        </w:rPr>
        <w:t> </w:t>
      </w:r>
      <w:r>
        <w:rPr/>
        <w:t>con</w:t>
      </w:r>
      <w:r>
        <w:rPr>
          <w:spacing w:val="40"/>
        </w:rPr>
        <w:t> </w:t>
      </w:r>
      <w:r>
        <w:rPr/>
        <w:t>un</w:t>
      </w:r>
      <w:r>
        <w:rPr>
          <w:spacing w:val="40"/>
        </w:rPr>
        <w:t> </w:t>
      </w:r>
      <w:r>
        <w:rPr/>
        <w:t>Presidente,</w:t>
      </w:r>
      <w:r>
        <w:rPr>
          <w:spacing w:val="40"/>
        </w:rPr>
        <w:t> </w:t>
      </w:r>
      <w:r>
        <w:rPr/>
        <w:t>un Consejo de Representantes y una Dirección Técnica.</w:t>
      </w:r>
    </w:p>
    <w:p>
      <w:pPr>
        <w:pStyle w:val="BodyText"/>
        <w:spacing w:before="226"/>
        <w:ind w:left="338" w:firstLine="288"/>
      </w:pPr>
      <w:bookmarkStart w:name="Artículo_552" w:id="703"/>
      <w:bookmarkEnd w:id="703"/>
      <w:r>
        <w:rPr/>
      </w:r>
      <w:r>
        <w:rPr>
          <w:rFonts w:ascii="Arial" w:hAnsi="Arial"/>
          <w:b/>
        </w:rPr>
        <w:t>Artículo</w:t>
      </w:r>
      <w:r>
        <w:rPr>
          <w:rFonts w:ascii="Arial" w:hAnsi="Arial"/>
          <w:b/>
          <w:spacing w:val="40"/>
        </w:rPr>
        <w:t> </w:t>
      </w:r>
      <w:r>
        <w:rPr>
          <w:rFonts w:ascii="Arial" w:hAnsi="Arial"/>
          <w:b/>
        </w:rPr>
        <w:t>552.-</w:t>
      </w:r>
      <w:r>
        <w:rPr>
          <w:rFonts w:ascii="Arial" w:hAnsi="Arial"/>
          <w:b/>
          <w:spacing w:val="40"/>
        </w:rPr>
        <w:t> </w:t>
      </w:r>
      <w:r>
        <w:rPr/>
        <w:t>El</w:t>
      </w:r>
      <w:r>
        <w:rPr>
          <w:spacing w:val="40"/>
        </w:rPr>
        <w:t> </w:t>
      </w:r>
      <w:r>
        <w:rPr/>
        <w:t>Presidente</w:t>
      </w:r>
      <w:r>
        <w:rPr>
          <w:spacing w:val="40"/>
        </w:rPr>
        <w:t> </w:t>
      </w:r>
      <w:r>
        <w:rPr/>
        <w:t>de</w:t>
      </w:r>
      <w:r>
        <w:rPr>
          <w:spacing w:val="40"/>
        </w:rPr>
        <w:t> </w:t>
      </w:r>
      <w:r>
        <w:rPr/>
        <w:t>la</w:t>
      </w:r>
      <w:r>
        <w:rPr>
          <w:spacing w:val="40"/>
        </w:rPr>
        <w:t> </w:t>
      </w:r>
      <w:r>
        <w:rPr/>
        <w:t>Comisión</w:t>
      </w:r>
      <w:r>
        <w:rPr>
          <w:spacing w:val="40"/>
        </w:rPr>
        <w:t> </w:t>
      </w:r>
      <w:r>
        <w:rPr/>
        <w:t>será</w:t>
      </w:r>
      <w:r>
        <w:rPr>
          <w:spacing w:val="40"/>
        </w:rPr>
        <w:t> </w:t>
      </w:r>
      <w:r>
        <w:rPr/>
        <w:t>nombrado</w:t>
      </w:r>
      <w:r>
        <w:rPr>
          <w:spacing w:val="40"/>
        </w:rPr>
        <w:t> </w:t>
      </w:r>
      <w:r>
        <w:rPr/>
        <w:t>por</w:t>
      </w:r>
      <w:r>
        <w:rPr>
          <w:spacing w:val="40"/>
        </w:rPr>
        <w:t> </w:t>
      </w:r>
      <w:r>
        <w:rPr/>
        <w:t>el</w:t>
      </w:r>
      <w:r>
        <w:rPr>
          <w:spacing w:val="40"/>
        </w:rPr>
        <w:t> </w:t>
      </w:r>
      <w:r>
        <w:rPr/>
        <w:t>Presidente</w:t>
      </w:r>
      <w:r>
        <w:rPr>
          <w:spacing w:val="40"/>
        </w:rPr>
        <w:t> </w:t>
      </w:r>
      <w:r>
        <w:rPr/>
        <w:t>de</w:t>
      </w:r>
      <w:r>
        <w:rPr>
          <w:spacing w:val="40"/>
        </w:rPr>
        <w:t> </w:t>
      </w:r>
      <w:r>
        <w:rPr/>
        <w:t>la</w:t>
      </w:r>
      <w:r>
        <w:rPr>
          <w:spacing w:val="40"/>
        </w:rPr>
        <w:t> </w:t>
      </w:r>
      <w:r>
        <w:rPr/>
        <w:t>República</w:t>
      </w:r>
      <w:r>
        <w:rPr>
          <w:spacing w:val="40"/>
        </w:rPr>
        <w:t> </w:t>
      </w:r>
      <w:r>
        <w:rPr/>
        <w:t>y deberá satisfacer los requisitos siguientes:</w:t>
      </w:r>
    </w:p>
    <w:p>
      <w:pPr>
        <w:pStyle w:val="ListParagraph"/>
        <w:numPr>
          <w:ilvl w:val="0"/>
          <w:numId w:val="230"/>
        </w:numPr>
        <w:tabs>
          <w:tab w:pos="1195" w:val="left" w:leader="none"/>
        </w:tabs>
        <w:spacing w:line="242" w:lineRule="auto" w:before="229" w:after="0"/>
        <w:ind w:left="1195" w:right="340" w:hanging="569"/>
        <w:jc w:val="left"/>
        <w:rPr>
          <w:sz w:val="20"/>
        </w:rPr>
      </w:pPr>
      <w:r>
        <w:rPr>
          <w:sz w:val="20"/>
        </w:rPr>
        <w:t>Ser</w:t>
      </w:r>
      <w:r>
        <w:rPr>
          <w:spacing w:val="40"/>
          <w:sz w:val="20"/>
        </w:rPr>
        <w:t> </w:t>
      </w:r>
      <w:r>
        <w:rPr>
          <w:sz w:val="20"/>
        </w:rPr>
        <w:t>mexicano,</w:t>
      </w:r>
      <w:r>
        <w:rPr>
          <w:spacing w:val="40"/>
          <w:sz w:val="20"/>
        </w:rPr>
        <w:t> </w:t>
      </w:r>
      <w:r>
        <w:rPr>
          <w:sz w:val="20"/>
        </w:rPr>
        <w:t>mayor</w:t>
      </w:r>
      <w:r>
        <w:rPr>
          <w:spacing w:val="40"/>
          <w:sz w:val="20"/>
        </w:rPr>
        <w:t> </w:t>
      </w:r>
      <w:r>
        <w:rPr>
          <w:sz w:val="20"/>
        </w:rPr>
        <w:t>de</w:t>
      </w:r>
      <w:r>
        <w:rPr>
          <w:spacing w:val="40"/>
          <w:sz w:val="20"/>
        </w:rPr>
        <w:t> </w:t>
      </w:r>
      <w:r>
        <w:rPr>
          <w:sz w:val="20"/>
        </w:rPr>
        <w:t>treinta</w:t>
      </w:r>
      <w:r>
        <w:rPr>
          <w:spacing w:val="40"/>
          <w:sz w:val="20"/>
        </w:rPr>
        <w:t> </w:t>
      </w:r>
      <w:r>
        <w:rPr>
          <w:sz w:val="20"/>
        </w:rPr>
        <w:t>y</w:t>
      </w:r>
      <w:r>
        <w:rPr>
          <w:spacing w:val="40"/>
          <w:sz w:val="20"/>
        </w:rPr>
        <w:t> </w:t>
      </w:r>
      <w:r>
        <w:rPr>
          <w:sz w:val="20"/>
        </w:rPr>
        <w:t>cinco</w:t>
      </w:r>
      <w:r>
        <w:rPr>
          <w:spacing w:val="40"/>
          <w:sz w:val="20"/>
        </w:rPr>
        <w:t> </w:t>
      </w:r>
      <w:r>
        <w:rPr>
          <w:sz w:val="20"/>
        </w:rPr>
        <w:t>años</w:t>
      </w:r>
      <w:r>
        <w:rPr>
          <w:spacing w:val="59"/>
          <w:sz w:val="20"/>
        </w:rPr>
        <w:t> </w:t>
      </w:r>
      <w:r>
        <w:rPr>
          <w:sz w:val="20"/>
        </w:rPr>
        <w:t>de</w:t>
      </w:r>
      <w:r>
        <w:rPr>
          <w:spacing w:val="40"/>
          <w:sz w:val="20"/>
        </w:rPr>
        <w:t> </w:t>
      </w:r>
      <w:r>
        <w:rPr>
          <w:sz w:val="20"/>
        </w:rPr>
        <w:t>edad</w:t>
      </w:r>
      <w:r>
        <w:rPr>
          <w:spacing w:val="40"/>
          <w:sz w:val="20"/>
        </w:rPr>
        <w:t> </w:t>
      </w:r>
      <w:r>
        <w:rPr>
          <w:sz w:val="20"/>
        </w:rPr>
        <w:t>y</w:t>
      </w:r>
      <w:r>
        <w:rPr>
          <w:spacing w:val="40"/>
          <w:sz w:val="20"/>
        </w:rPr>
        <w:t> </w:t>
      </w:r>
      <w:r>
        <w:rPr>
          <w:sz w:val="20"/>
        </w:rPr>
        <w:t>estar</w:t>
      </w:r>
      <w:r>
        <w:rPr>
          <w:spacing w:val="40"/>
          <w:sz w:val="20"/>
        </w:rPr>
        <w:t> </w:t>
      </w:r>
      <w:r>
        <w:rPr>
          <w:sz w:val="20"/>
        </w:rPr>
        <w:t>en</w:t>
      </w:r>
      <w:r>
        <w:rPr>
          <w:spacing w:val="40"/>
          <w:sz w:val="20"/>
        </w:rPr>
        <w:t> </w:t>
      </w:r>
      <w:r>
        <w:rPr>
          <w:sz w:val="20"/>
        </w:rPr>
        <w:t>pleno</w:t>
      </w:r>
      <w:r>
        <w:rPr>
          <w:spacing w:val="40"/>
          <w:sz w:val="20"/>
        </w:rPr>
        <w:t> </w:t>
      </w:r>
      <w:r>
        <w:rPr>
          <w:sz w:val="20"/>
        </w:rPr>
        <w:t>ejercicio</w:t>
      </w:r>
      <w:r>
        <w:rPr>
          <w:spacing w:val="40"/>
          <w:sz w:val="20"/>
        </w:rPr>
        <w:t> </w:t>
      </w:r>
      <w:r>
        <w:rPr>
          <w:sz w:val="20"/>
        </w:rPr>
        <w:t>de</w:t>
      </w:r>
      <w:r>
        <w:rPr>
          <w:spacing w:val="40"/>
          <w:sz w:val="20"/>
        </w:rPr>
        <w:t> </w:t>
      </w:r>
      <w:r>
        <w:rPr>
          <w:sz w:val="20"/>
        </w:rPr>
        <w:t>sus </w:t>
      </w:r>
      <w:r>
        <w:rPr>
          <w:spacing w:val="-2"/>
          <w:sz w:val="20"/>
        </w:rPr>
        <w:t>derechos;</w:t>
      </w:r>
    </w:p>
    <w:p>
      <w:pPr>
        <w:pStyle w:val="ListParagraph"/>
        <w:numPr>
          <w:ilvl w:val="0"/>
          <w:numId w:val="230"/>
        </w:numPr>
        <w:tabs>
          <w:tab w:pos="1195" w:val="left" w:leader="none"/>
        </w:tabs>
        <w:spacing w:line="240" w:lineRule="auto" w:before="227" w:after="0"/>
        <w:ind w:left="1195" w:right="0" w:hanging="569"/>
        <w:jc w:val="left"/>
        <w:rPr>
          <w:sz w:val="20"/>
        </w:rPr>
      </w:pPr>
      <w:r>
        <w:rPr>
          <w:sz w:val="20"/>
        </w:rPr>
        <w:t>Poseer</w:t>
      </w:r>
      <w:r>
        <w:rPr>
          <w:spacing w:val="-7"/>
          <w:sz w:val="20"/>
        </w:rPr>
        <w:t> </w:t>
      </w:r>
      <w:r>
        <w:rPr>
          <w:sz w:val="20"/>
        </w:rPr>
        <w:t>título</w:t>
      </w:r>
      <w:r>
        <w:rPr>
          <w:spacing w:val="-6"/>
          <w:sz w:val="20"/>
        </w:rPr>
        <w:t> </w:t>
      </w:r>
      <w:r>
        <w:rPr>
          <w:sz w:val="20"/>
        </w:rPr>
        <w:t>legalmente</w:t>
      </w:r>
      <w:r>
        <w:rPr>
          <w:spacing w:val="-9"/>
          <w:sz w:val="20"/>
        </w:rPr>
        <w:t> </w:t>
      </w:r>
      <w:r>
        <w:rPr>
          <w:sz w:val="20"/>
        </w:rPr>
        <w:t>expedido</w:t>
      </w:r>
      <w:r>
        <w:rPr>
          <w:spacing w:val="-7"/>
          <w:sz w:val="20"/>
        </w:rPr>
        <w:t> </w:t>
      </w:r>
      <w:r>
        <w:rPr>
          <w:sz w:val="20"/>
        </w:rPr>
        <w:t>de</w:t>
      </w:r>
      <w:r>
        <w:rPr>
          <w:spacing w:val="-6"/>
          <w:sz w:val="20"/>
        </w:rPr>
        <w:t> </w:t>
      </w:r>
      <w:r>
        <w:rPr>
          <w:sz w:val="20"/>
        </w:rPr>
        <w:t>licenciado</w:t>
      </w:r>
      <w:r>
        <w:rPr>
          <w:spacing w:val="-9"/>
          <w:sz w:val="20"/>
        </w:rPr>
        <w:t> </w:t>
      </w:r>
      <w:r>
        <w:rPr>
          <w:sz w:val="20"/>
        </w:rPr>
        <w:t>en</w:t>
      </w:r>
      <w:r>
        <w:rPr>
          <w:spacing w:val="-8"/>
          <w:sz w:val="20"/>
        </w:rPr>
        <w:t> </w:t>
      </w:r>
      <w:r>
        <w:rPr>
          <w:sz w:val="20"/>
        </w:rPr>
        <w:t>derecho</w:t>
      </w:r>
      <w:r>
        <w:rPr>
          <w:spacing w:val="-8"/>
          <w:sz w:val="20"/>
        </w:rPr>
        <w:t> </w:t>
      </w:r>
      <w:r>
        <w:rPr>
          <w:sz w:val="20"/>
        </w:rPr>
        <w:t>o</w:t>
      </w:r>
      <w:r>
        <w:rPr>
          <w:spacing w:val="-6"/>
          <w:sz w:val="20"/>
        </w:rPr>
        <w:t> </w:t>
      </w:r>
      <w:r>
        <w:rPr>
          <w:sz w:val="20"/>
        </w:rPr>
        <w:t>en</w:t>
      </w:r>
      <w:r>
        <w:rPr>
          <w:spacing w:val="-7"/>
          <w:sz w:val="20"/>
        </w:rPr>
        <w:t> </w:t>
      </w:r>
      <w:r>
        <w:rPr>
          <w:spacing w:val="-2"/>
          <w:sz w:val="20"/>
        </w:rPr>
        <w:t>economía;</w:t>
      </w:r>
    </w:p>
    <w:p>
      <w:pPr>
        <w:pStyle w:val="ListParagraph"/>
        <w:numPr>
          <w:ilvl w:val="0"/>
          <w:numId w:val="230"/>
        </w:numPr>
        <w:tabs>
          <w:tab w:pos="1195" w:val="left" w:leader="none"/>
        </w:tabs>
        <w:spacing w:line="240" w:lineRule="auto" w:before="229" w:after="0"/>
        <w:ind w:left="1195" w:right="0" w:hanging="569"/>
        <w:jc w:val="left"/>
        <w:rPr>
          <w:sz w:val="20"/>
        </w:rPr>
      </w:pPr>
      <w:r>
        <w:rPr>
          <w:sz w:val="20"/>
        </w:rPr>
        <w:t>Haberse</w:t>
      </w:r>
      <w:r>
        <w:rPr>
          <w:spacing w:val="-6"/>
          <w:sz w:val="20"/>
        </w:rPr>
        <w:t> </w:t>
      </w:r>
      <w:r>
        <w:rPr>
          <w:sz w:val="20"/>
        </w:rPr>
        <w:t>distinguido</w:t>
      </w:r>
      <w:r>
        <w:rPr>
          <w:spacing w:val="-8"/>
          <w:sz w:val="20"/>
        </w:rPr>
        <w:t> </w:t>
      </w:r>
      <w:r>
        <w:rPr>
          <w:sz w:val="20"/>
        </w:rPr>
        <w:t>en</w:t>
      </w:r>
      <w:r>
        <w:rPr>
          <w:spacing w:val="-5"/>
          <w:sz w:val="20"/>
        </w:rPr>
        <w:t> </w:t>
      </w:r>
      <w:r>
        <w:rPr>
          <w:sz w:val="20"/>
        </w:rPr>
        <w:t>estudios</w:t>
      </w:r>
      <w:r>
        <w:rPr>
          <w:spacing w:val="-7"/>
          <w:sz w:val="20"/>
        </w:rPr>
        <w:t> </w:t>
      </w:r>
      <w:r>
        <w:rPr>
          <w:sz w:val="20"/>
        </w:rPr>
        <w:t>de</w:t>
      </w:r>
      <w:r>
        <w:rPr>
          <w:spacing w:val="-6"/>
          <w:sz w:val="20"/>
        </w:rPr>
        <w:t> </w:t>
      </w:r>
      <w:r>
        <w:rPr>
          <w:sz w:val="20"/>
        </w:rPr>
        <w:t>derecho</w:t>
      </w:r>
      <w:r>
        <w:rPr>
          <w:spacing w:val="-6"/>
          <w:sz w:val="20"/>
        </w:rPr>
        <w:t> </w:t>
      </w:r>
      <w:r>
        <w:rPr>
          <w:sz w:val="20"/>
        </w:rPr>
        <w:t>del</w:t>
      </w:r>
      <w:r>
        <w:rPr>
          <w:spacing w:val="-8"/>
          <w:sz w:val="20"/>
        </w:rPr>
        <w:t> </w:t>
      </w:r>
      <w:r>
        <w:rPr>
          <w:sz w:val="20"/>
        </w:rPr>
        <w:t>trabajo</w:t>
      </w:r>
      <w:r>
        <w:rPr>
          <w:spacing w:val="-6"/>
          <w:sz w:val="20"/>
        </w:rPr>
        <w:t> </w:t>
      </w:r>
      <w:r>
        <w:rPr>
          <w:sz w:val="20"/>
        </w:rPr>
        <w:t>y</w:t>
      </w:r>
      <w:r>
        <w:rPr>
          <w:spacing w:val="-9"/>
          <w:sz w:val="20"/>
        </w:rPr>
        <w:t> </w:t>
      </w:r>
      <w:r>
        <w:rPr>
          <w:spacing w:val="-2"/>
          <w:sz w:val="20"/>
        </w:rPr>
        <w:t>económicos;</w:t>
      </w:r>
    </w:p>
    <w:p>
      <w:pPr>
        <w:pStyle w:val="BodyText"/>
      </w:pPr>
    </w:p>
    <w:p>
      <w:pPr>
        <w:pStyle w:val="ListParagraph"/>
        <w:numPr>
          <w:ilvl w:val="0"/>
          <w:numId w:val="230"/>
        </w:numPr>
        <w:tabs>
          <w:tab w:pos="1195" w:val="left" w:leader="none"/>
        </w:tabs>
        <w:spacing w:line="240" w:lineRule="auto" w:before="1" w:after="0"/>
        <w:ind w:left="1195" w:right="0" w:hanging="569"/>
        <w:jc w:val="left"/>
        <w:rPr>
          <w:sz w:val="20"/>
        </w:rPr>
      </w:pPr>
      <w:r>
        <w:rPr>
          <w:sz w:val="20"/>
        </w:rPr>
        <w:t>No</w:t>
      </w:r>
      <w:r>
        <w:rPr>
          <w:spacing w:val="-6"/>
          <w:sz w:val="20"/>
        </w:rPr>
        <w:t> </w:t>
      </w:r>
      <w:r>
        <w:rPr>
          <w:sz w:val="20"/>
        </w:rPr>
        <w:t>ser</w:t>
      </w:r>
      <w:r>
        <w:rPr>
          <w:spacing w:val="-5"/>
          <w:sz w:val="20"/>
        </w:rPr>
        <w:t> </w:t>
      </w:r>
      <w:r>
        <w:rPr>
          <w:sz w:val="20"/>
        </w:rPr>
        <w:t>ministro</w:t>
      </w:r>
      <w:r>
        <w:rPr>
          <w:spacing w:val="-6"/>
          <w:sz w:val="20"/>
        </w:rPr>
        <w:t> </w:t>
      </w:r>
      <w:r>
        <w:rPr>
          <w:sz w:val="20"/>
        </w:rPr>
        <w:t>de</w:t>
      </w:r>
      <w:r>
        <w:rPr>
          <w:spacing w:val="-5"/>
          <w:sz w:val="20"/>
        </w:rPr>
        <w:t> </w:t>
      </w:r>
      <w:r>
        <w:rPr>
          <w:sz w:val="20"/>
        </w:rPr>
        <w:t>culto;</w:t>
      </w:r>
      <w:r>
        <w:rPr>
          <w:spacing w:val="-4"/>
          <w:sz w:val="20"/>
        </w:rPr>
        <w:t> </w:t>
      </w:r>
      <w:r>
        <w:rPr>
          <w:spacing w:val="-12"/>
          <w:sz w:val="20"/>
        </w:rPr>
        <w:t>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ListParagraph"/>
        <w:numPr>
          <w:ilvl w:val="0"/>
          <w:numId w:val="230"/>
        </w:numPr>
        <w:tabs>
          <w:tab w:pos="1195" w:val="left" w:leader="none"/>
        </w:tabs>
        <w:spacing w:line="240" w:lineRule="auto" w:before="229" w:after="0"/>
        <w:ind w:left="1195" w:right="0" w:hanging="569"/>
        <w:jc w:val="left"/>
        <w:rPr>
          <w:sz w:val="20"/>
        </w:rPr>
      </w:pPr>
      <w:r>
        <w:rPr>
          <w:sz w:val="20"/>
        </w:rPr>
        <w:t>No</w:t>
      </w:r>
      <w:r>
        <w:rPr>
          <w:spacing w:val="-9"/>
          <w:sz w:val="20"/>
        </w:rPr>
        <w:t> </w:t>
      </w:r>
      <w:r>
        <w:rPr>
          <w:sz w:val="20"/>
        </w:rPr>
        <w:t>haber</w:t>
      </w:r>
      <w:r>
        <w:rPr>
          <w:spacing w:val="-7"/>
          <w:sz w:val="20"/>
        </w:rPr>
        <w:t> </w:t>
      </w:r>
      <w:r>
        <w:rPr>
          <w:sz w:val="20"/>
        </w:rPr>
        <w:t>sido</w:t>
      </w:r>
      <w:r>
        <w:rPr>
          <w:spacing w:val="-10"/>
          <w:sz w:val="20"/>
        </w:rPr>
        <w:t> </w:t>
      </w:r>
      <w:r>
        <w:rPr>
          <w:sz w:val="20"/>
        </w:rPr>
        <w:t>condenado</w:t>
      </w:r>
      <w:r>
        <w:rPr>
          <w:spacing w:val="-6"/>
          <w:sz w:val="20"/>
        </w:rPr>
        <w:t> </w:t>
      </w:r>
      <w:r>
        <w:rPr>
          <w:sz w:val="20"/>
        </w:rPr>
        <w:t>por</w:t>
      </w:r>
      <w:r>
        <w:rPr>
          <w:spacing w:val="-8"/>
          <w:sz w:val="20"/>
        </w:rPr>
        <w:t> </w:t>
      </w:r>
      <w:r>
        <w:rPr>
          <w:sz w:val="20"/>
        </w:rPr>
        <w:t>delito</w:t>
      </w:r>
      <w:r>
        <w:rPr>
          <w:spacing w:val="-6"/>
          <w:sz w:val="20"/>
        </w:rPr>
        <w:t> </w:t>
      </w:r>
      <w:r>
        <w:rPr>
          <w:sz w:val="20"/>
        </w:rPr>
        <w:t>intencional</w:t>
      </w:r>
      <w:r>
        <w:rPr>
          <w:spacing w:val="-8"/>
          <w:sz w:val="20"/>
        </w:rPr>
        <w:t> </w:t>
      </w:r>
      <w:r>
        <w:rPr>
          <w:sz w:val="20"/>
        </w:rPr>
        <w:t>sancionado</w:t>
      </w:r>
      <w:r>
        <w:rPr>
          <w:spacing w:val="-8"/>
          <w:sz w:val="20"/>
        </w:rPr>
        <w:t> </w:t>
      </w:r>
      <w:r>
        <w:rPr>
          <w:sz w:val="20"/>
        </w:rPr>
        <w:t>con</w:t>
      </w:r>
      <w:r>
        <w:rPr>
          <w:spacing w:val="-8"/>
          <w:sz w:val="20"/>
        </w:rPr>
        <w:t> </w:t>
      </w:r>
      <w:r>
        <w:rPr>
          <w:sz w:val="20"/>
        </w:rPr>
        <w:t>pena</w:t>
      </w:r>
      <w:r>
        <w:rPr>
          <w:spacing w:val="-8"/>
          <w:sz w:val="20"/>
        </w:rPr>
        <w:t> </w:t>
      </w:r>
      <w:r>
        <w:rPr>
          <w:spacing w:val="-2"/>
          <w:sz w:val="20"/>
        </w:rPr>
        <w:t>corporal.</w:t>
      </w:r>
    </w:p>
    <w:p>
      <w:pPr>
        <w:pStyle w:val="BodyText"/>
      </w:pPr>
    </w:p>
    <w:p>
      <w:pPr>
        <w:pStyle w:val="BodyText"/>
        <w:spacing w:line="242" w:lineRule="auto"/>
        <w:ind w:left="338" w:firstLine="288"/>
      </w:pPr>
      <w:bookmarkStart w:name="Artículo_553" w:id="704"/>
      <w:bookmarkEnd w:id="704"/>
      <w:r>
        <w:rPr/>
      </w:r>
      <w:r>
        <w:rPr>
          <w:rFonts w:ascii="Arial" w:hAnsi="Arial"/>
          <w:b/>
        </w:rPr>
        <w:t>Artículo</w:t>
      </w:r>
      <w:r>
        <w:rPr>
          <w:rFonts w:ascii="Arial" w:hAnsi="Arial"/>
          <w:b/>
          <w:spacing w:val="29"/>
        </w:rPr>
        <w:t> </w:t>
      </w:r>
      <w:r>
        <w:rPr>
          <w:rFonts w:ascii="Arial" w:hAnsi="Arial"/>
          <w:b/>
        </w:rPr>
        <w:t>553.-</w:t>
      </w:r>
      <w:r>
        <w:rPr>
          <w:rFonts w:ascii="Arial" w:hAnsi="Arial"/>
          <w:b/>
          <w:spacing w:val="30"/>
        </w:rPr>
        <w:t> </w:t>
      </w:r>
      <w:r>
        <w:rPr/>
        <w:t>El</w:t>
      </w:r>
      <w:r>
        <w:rPr>
          <w:spacing w:val="28"/>
        </w:rPr>
        <w:t> </w:t>
      </w:r>
      <w:r>
        <w:rPr/>
        <w:t>Presidente</w:t>
      </w:r>
      <w:r>
        <w:rPr>
          <w:spacing w:val="26"/>
        </w:rPr>
        <w:t> </w:t>
      </w:r>
      <w:r>
        <w:rPr/>
        <w:t>de</w:t>
      </w:r>
      <w:r>
        <w:rPr>
          <w:spacing w:val="29"/>
        </w:rPr>
        <w:t> </w:t>
      </w:r>
      <w:r>
        <w:rPr/>
        <w:t>la</w:t>
      </w:r>
      <w:r>
        <w:rPr>
          <w:spacing w:val="29"/>
        </w:rPr>
        <w:t> </w:t>
      </w:r>
      <w:r>
        <w:rPr/>
        <w:t>Comisión</w:t>
      </w:r>
      <w:r>
        <w:rPr>
          <w:spacing w:val="26"/>
        </w:rPr>
        <w:t> </w:t>
      </w:r>
      <w:r>
        <w:rPr/>
        <w:t>Nacional</w:t>
      </w:r>
      <w:r>
        <w:rPr>
          <w:spacing w:val="28"/>
        </w:rPr>
        <w:t> </w:t>
      </w:r>
      <w:r>
        <w:rPr/>
        <w:t>de</w:t>
      </w:r>
      <w:r>
        <w:rPr>
          <w:spacing w:val="28"/>
        </w:rPr>
        <w:t> </w:t>
      </w:r>
      <w:r>
        <w:rPr/>
        <w:t>los</w:t>
      </w:r>
      <w:r>
        <w:rPr>
          <w:spacing w:val="30"/>
        </w:rPr>
        <w:t> </w:t>
      </w:r>
      <w:r>
        <w:rPr/>
        <w:t>Salarios</w:t>
      </w:r>
      <w:r>
        <w:rPr>
          <w:spacing w:val="27"/>
        </w:rPr>
        <w:t> </w:t>
      </w:r>
      <w:r>
        <w:rPr/>
        <w:t>Mínimos</w:t>
      </w:r>
      <w:r>
        <w:rPr>
          <w:spacing w:val="27"/>
        </w:rPr>
        <w:t> </w:t>
      </w:r>
      <w:r>
        <w:rPr/>
        <w:t>tiene</w:t>
      </w:r>
      <w:r>
        <w:rPr>
          <w:spacing w:val="29"/>
        </w:rPr>
        <w:t> </w:t>
      </w:r>
      <w:r>
        <w:rPr/>
        <w:t>los</w:t>
      </w:r>
      <w:r>
        <w:rPr>
          <w:spacing w:val="30"/>
        </w:rPr>
        <w:t> </w:t>
      </w:r>
      <w:r>
        <w:rPr/>
        <w:t>deberes</w:t>
      </w:r>
      <w:r>
        <w:rPr>
          <w:spacing w:val="30"/>
        </w:rPr>
        <w:t> </w:t>
      </w:r>
      <w:r>
        <w:rPr/>
        <w:t>y atribuciones siguientes:</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ListParagraph"/>
        <w:numPr>
          <w:ilvl w:val="0"/>
          <w:numId w:val="231"/>
        </w:numPr>
        <w:tabs>
          <w:tab w:pos="1193" w:val="left" w:leader="none"/>
          <w:tab w:pos="1195" w:val="left" w:leader="none"/>
        </w:tabs>
        <w:spacing w:line="242" w:lineRule="auto" w:before="0" w:after="0"/>
        <w:ind w:left="1195" w:right="345" w:hanging="569"/>
        <w:jc w:val="both"/>
        <w:rPr>
          <w:sz w:val="20"/>
        </w:rPr>
      </w:pPr>
      <w:r>
        <w:rPr>
          <w:sz w:val="20"/>
        </w:rPr>
        <w:t>Someter al Consejo de Representantes el plan anual de trabajo preparado por la Dirección </w:t>
      </w:r>
      <w:r>
        <w:rPr>
          <w:spacing w:val="-2"/>
          <w:sz w:val="20"/>
        </w:rPr>
        <w:t>Técnica;</w:t>
      </w:r>
    </w:p>
    <w:p>
      <w:pPr>
        <w:pStyle w:val="ListParagraph"/>
        <w:numPr>
          <w:ilvl w:val="0"/>
          <w:numId w:val="231"/>
        </w:numPr>
        <w:tabs>
          <w:tab w:pos="1192" w:val="left" w:leader="none"/>
          <w:tab w:pos="1195" w:val="left" w:leader="none"/>
        </w:tabs>
        <w:spacing w:line="242" w:lineRule="auto" w:before="225" w:after="0"/>
        <w:ind w:left="1195" w:right="338" w:hanging="569"/>
        <w:jc w:val="both"/>
        <w:rPr>
          <w:sz w:val="20"/>
        </w:rPr>
      </w:pPr>
      <w:r>
        <w:rPr>
          <w:sz w:val="20"/>
        </w:rPr>
        <w:t>Reunirse con el Director y los Asesores Técnicos, una vez al mes, por lo menos; vigilar el desarrollo del plan de trabajo que efectúen las investigaciones y estudios complementarios que juzgue conveniente;</w:t>
      </w:r>
    </w:p>
    <w:p>
      <w:pPr>
        <w:pStyle w:val="ListParagraph"/>
        <w:numPr>
          <w:ilvl w:val="0"/>
          <w:numId w:val="231"/>
        </w:numPr>
        <w:tabs>
          <w:tab w:pos="1191" w:val="left" w:leader="none"/>
          <w:tab w:pos="1195" w:val="left" w:leader="none"/>
        </w:tabs>
        <w:spacing w:line="242" w:lineRule="auto" w:before="225" w:after="0"/>
        <w:ind w:left="1195" w:right="344" w:hanging="569"/>
        <w:jc w:val="both"/>
        <w:rPr>
          <w:sz w:val="20"/>
        </w:rPr>
      </w:pPr>
      <w:r>
        <w:rPr>
          <w:sz w:val="20"/>
        </w:rPr>
        <w:t>Informar periódicamente al Secretario del Trabajo y Previsión Social de las actividades de la </w:t>
      </w:r>
      <w:r>
        <w:rPr>
          <w:spacing w:val="-2"/>
          <w:sz w:val="20"/>
        </w:rPr>
        <w:t>Comisión;</w:t>
      </w:r>
    </w:p>
    <w:p>
      <w:pPr>
        <w:pStyle w:val="ListParagraph"/>
        <w:numPr>
          <w:ilvl w:val="0"/>
          <w:numId w:val="231"/>
        </w:numPr>
        <w:tabs>
          <w:tab w:pos="1195" w:val="left" w:leader="none"/>
        </w:tabs>
        <w:spacing w:line="240" w:lineRule="auto" w:before="224" w:after="0"/>
        <w:ind w:left="1195" w:right="0" w:hanging="569"/>
        <w:jc w:val="left"/>
        <w:rPr>
          <w:sz w:val="20"/>
        </w:rPr>
      </w:pPr>
      <w:r>
        <w:rPr>
          <w:sz w:val="20"/>
        </w:rPr>
        <w:t>Citar</w:t>
      </w:r>
      <w:r>
        <w:rPr>
          <w:spacing w:val="-3"/>
          <w:sz w:val="20"/>
        </w:rPr>
        <w:t> </w:t>
      </w:r>
      <w:r>
        <w:rPr>
          <w:sz w:val="20"/>
        </w:rPr>
        <w:t>y</w:t>
      </w:r>
      <w:r>
        <w:rPr>
          <w:spacing w:val="-9"/>
          <w:sz w:val="20"/>
        </w:rPr>
        <w:t> </w:t>
      </w:r>
      <w:r>
        <w:rPr>
          <w:sz w:val="20"/>
        </w:rPr>
        <w:t>presidir</w:t>
      </w:r>
      <w:r>
        <w:rPr>
          <w:spacing w:val="-4"/>
          <w:sz w:val="20"/>
        </w:rPr>
        <w:t> </w:t>
      </w:r>
      <w:r>
        <w:rPr>
          <w:sz w:val="20"/>
        </w:rPr>
        <w:t>las</w:t>
      </w:r>
      <w:r>
        <w:rPr>
          <w:spacing w:val="-6"/>
          <w:sz w:val="20"/>
        </w:rPr>
        <w:t> </w:t>
      </w:r>
      <w:r>
        <w:rPr>
          <w:sz w:val="20"/>
        </w:rPr>
        <w:t>sesiones</w:t>
      </w:r>
      <w:r>
        <w:rPr>
          <w:spacing w:val="-4"/>
          <w:sz w:val="20"/>
        </w:rPr>
        <w:t> </w:t>
      </w:r>
      <w:r>
        <w:rPr>
          <w:sz w:val="20"/>
        </w:rPr>
        <w:t>del</w:t>
      </w:r>
      <w:r>
        <w:rPr>
          <w:spacing w:val="-6"/>
          <w:sz w:val="20"/>
        </w:rPr>
        <w:t> </w:t>
      </w:r>
      <w:r>
        <w:rPr>
          <w:sz w:val="20"/>
        </w:rPr>
        <w:t>Consejo</w:t>
      </w:r>
      <w:r>
        <w:rPr>
          <w:spacing w:val="-5"/>
          <w:sz w:val="20"/>
        </w:rPr>
        <w:t> </w:t>
      </w:r>
      <w:r>
        <w:rPr>
          <w:sz w:val="20"/>
        </w:rPr>
        <w:t>de</w:t>
      </w:r>
      <w:r>
        <w:rPr>
          <w:spacing w:val="-8"/>
          <w:sz w:val="20"/>
        </w:rPr>
        <w:t> </w:t>
      </w:r>
      <w:r>
        <w:rPr>
          <w:spacing w:val="-2"/>
          <w:sz w:val="20"/>
        </w:rPr>
        <w:t>Representantes;</w:t>
      </w:r>
    </w:p>
    <w:p>
      <w:pPr>
        <w:pStyle w:val="ListParagraph"/>
        <w:spacing w:after="0" w:line="240" w:lineRule="auto"/>
        <w:jc w:val="left"/>
        <w:rPr>
          <w:sz w:val="20"/>
        </w:rPr>
        <w:sectPr>
          <w:pgSz w:w="12240" w:h="15840"/>
          <w:pgMar w:header="724" w:footer="712" w:top="1880" w:bottom="900" w:left="1080" w:right="1080"/>
        </w:sectPr>
      </w:pPr>
    </w:p>
    <w:p>
      <w:pPr>
        <w:pStyle w:val="BodyText"/>
        <w:spacing w:before="63"/>
      </w:pPr>
    </w:p>
    <w:p>
      <w:pPr>
        <w:pStyle w:val="ListParagraph"/>
        <w:numPr>
          <w:ilvl w:val="0"/>
          <w:numId w:val="231"/>
        </w:numPr>
        <w:tabs>
          <w:tab w:pos="1195" w:val="left" w:leader="none"/>
        </w:tabs>
        <w:spacing w:line="242" w:lineRule="auto" w:before="0" w:after="0"/>
        <w:ind w:left="1195" w:right="343" w:hanging="569"/>
        <w:jc w:val="left"/>
        <w:rPr>
          <w:sz w:val="20"/>
        </w:rPr>
      </w:pPr>
      <w:r>
        <w:rPr>
          <w:sz w:val="20"/>
        </w:rPr>
        <w:t>Disponer</w:t>
      </w:r>
      <w:r>
        <w:rPr>
          <w:spacing w:val="40"/>
          <w:sz w:val="20"/>
        </w:rPr>
        <w:t> </w:t>
      </w:r>
      <w:r>
        <w:rPr>
          <w:sz w:val="20"/>
        </w:rPr>
        <w:t>la</w:t>
      </w:r>
      <w:r>
        <w:rPr>
          <w:spacing w:val="40"/>
          <w:sz w:val="20"/>
        </w:rPr>
        <w:t> </w:t>
      </w:r>
      <w:r>
        <w:rPr>
          <w:sz w:val="20"/>
        </w:rPr>
        <w:t>organización</w:t>
      </w:r>
      <w:r>
        <w:rPr>
          <w:spacing w:val="40"/>
          <w:sz w:val="20"/>
        </w:rPr>
        <w:t> </w:t>
      </w:r>
      <w:r>
        <w:rPr>
          <w:sz w:val="20"/>
        </w:rPr>
        <w:t>y</w:t>
      </w:r>
      <w:r>
        <w:rPr>
          <w:spacing w:val="40"/>
          <w:sz w:val="20"/>
        </w:rPr>
        <w:t> </w:t>
      </w:r>
      <w:r>
        <w:rPr>
          <w:sz w:val="20"/>
        </w:rPr>
        <w:t>vigilar</w:t>
      </w:r>
      <w:r>
        <w:rPr>
          <w:spacing w:val="40"/>
          <w:sz w:val="20"/>
        </w:rPr>
        <w:t> </w:t>
      </w:r>
      <w:r>
        <w:rPr>
          <w:sz w:val="20"/>
        </w:rPr>
        <w:t>el</w:t>
      </w:r>
      <w:r>
        <w:rPr>
          <w:spacing w:val="40"/>
          <w:sz w:val="20"/>
        </w:rPr>
        <w:t> </w:t>
      </w:r>
      <w:r>
        <w:rPr>
          <w:sz w:val="20"/>
        </w:rPr>
        <w:t>funcionamiento</w:t>
      </w:r>
      <w:r>
        <w:rPr>
          <w:spacing w:val="40"/>
          <w:sz w:val="20"/>
        </w:rPr>
        <w:t> </w:t>
      </w:r>
      <w:r>
        <w:rPr>
          <w:sz w:val="20"/>
        </w:rPr>
        <w:t>de</w:t>
      </w:r>
      <w:r>
        <w:rPr>
          <w:spacing w:val="40"/>
          <w:sz w:val="20"/>
        </w:rPr>
        <w:t> </w:t>
      </w:r>
      <w:r>
        <w:rPr>
          <w:sz w:val="20"/>
        </w:rPr>
        <w:t>las</w:t>
      </w:r>
      <w:r>
        <w:rPr>
          <w:spacing w:val="40"/>
          <w:sz w:val="20"/>
        </w:rPr>
        <w:t> </w:t>
      </w:r>
      <w:r>
        <w:rPr>
          <w:sz w:val="20"/>
        </w:rPr>
        <w:t>Comisiones</w:t>
      </w:r>
      <w:r>
        <w:rPr>
          <w:spacing w:val="40"/>
          <w:sz w:val="20"/>
        </w:rPr>
        <w:t> </w:t>
      </w:r>
      <w:r>
        <w:rPr>
          <w:sz w:val="20"/>
        </w:rPr>
        <w:t>Consultivas</w:t>
      </w:r>
      <w:r>
        <w:rPr>
          <w:spacing w:val="40"/>
          <w:sz w:val="20"/>
        </w:rPr>
        <w:t> </w:t>
      </w:r>
      <w:r>
        <w:rPr>
          <w:sz w:val="20"/>
        </w:rPr>
        <w:t>de</w:t>
      </w:r>
      <w:r>
        <w:rPr>
          <w:spacing w:val="40"/>
          <w:sz w:val="20"/>
        </w:rPr>
        <w:t> </w:t>
      </w:r>
      <w:r>
        <w:rPr>
          <w:sz w:val="20"/>
        </w:rPr>
        <w:t>la Comisión Nacional;</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ListParagraph"/>
        <w:numPr>
          <w:ilvl w:val="0"/>
          <w:numId w:val="231"/>
        </w:numPr>
        <w:tabs>
          <w:tab w:pos="1195" w:val="left" w:leader="none"/>
        </w:tabs>
        <w:spacing w:line="240" w:lineRule="auto" w:before="0" w:after="0"/>
        <w:ind w:left="1195" w:right="341" w:hanging="569"/>
        <w:jc w:val="left"/>
        <w:rPr>
          <w:sz w:val="20"/>
        </w:rPr>
      </w:pPr>
      <w:r>
        <w:rPr>
          <w:sz w:val="20"/>
        </w:rPr>
        <w:t>Presidir</w:t>
      </w:r>
      <w:r>
        <w:rPr>
          <w:spacing w:val="22"/>
          <w:sz w:val="20"/>
        </w:rPr>
        <w:t> </w:t>
      </w:r>
      <w:r>
        <w:rPr>
          <w:sz w:val="20"/>
        </w:rPr>
        <w:t>los</w:t>
      </w:r>
      <w:r>
        <w:rPr>
          <w:spacing w:val="22"/>
          <w:sz w:val="20"/>
        </w:rPr>
        <w:t> </w:t>
      </w:r>
      <w:r>
        <w:rPr>
          <w:sz w:val="20"/>
        </w:rPr>
        <w:t>trabajos</w:t>
      </w:r>
      <w:r>
        <w:rPr>
          <w:spacing w:val="22"/>
          <w:sz w:val="20"/>
        </w:rPr>
        <w:t> </w:t>
      </w:r>
      <w:r>
        <w:rPr>
          <w:sz w:val="20"/>
        </w:rPr>
        <w:t>de</w:t>
      </w:r>
      <w:r>
        <w:rPr>
          <w:spacing w:val="23"/>
          <w:sz w:val="20"/>
        </w:rPr>
        <w:t> </w:t>
      </w:r>
      <w:r>
        <w:rPr>
          <w:sz w:val="20"/>
        </w:rPr>
        <w:t>las</w:t>
      </w:r>
      <w:r>
        <w:rPr>
          <w:spacing w:val="24"/>
          <w:sz w:val="20"/>
        </w:rPr>
        <w:t> </w:t>
      </w:r>
      <w:r>
        <w:rPr>
          <w:sz w:val="20"/>
        </w:rPr>
        <w:t>Comisiones</w:t>
      </w:r>
      <w:r>
        <w:rPr>
          <w:spacing w:val="22"/>
          <w:sz w:val="20"/>
        </w:rPr>
        <w:t> </w:t>
      </w:r>
      <w:r>
        <w:rPr>
          <w:sz w:val="20"/>
        </w:rPr>
        <w:t>Consultivas</w:t>
      </w:r>
      <w:r>
        <w:rPr>
          <w:spacing w:val="22"/>
          <w:sz w:val="20"/>
        </w:rPr>
        <w:t> </w:t>
      </w:r>
      <w:r>
        <w:rPr>
          <w:sz w:val="20"/>
        </w:rPr>
        <w:t>o</w:t>
      </w:r>
      <w:r>
        <w:rPr>
          <w:spacing w:val="23"/>
          <w:sz w:val="20"/>
        </w:rPr>
        <w:t> </w:t>
      </w:r>
      <w:r>
        <w:rPr>
          <w:sz w:val="20"/>
        </w:rPr>
        <w:t>designar,</w:t>
      </w:r>
      <w:r>
        <w:rPr>
          <w:spacing w:val="22"/>
          <w:sz w:val="20"/>
        </w:rPr>
        <w:t> </w:t>
      </w:r>
      <w:r>
        <w:rPr>
          <w:sz w:val="20"/>
        </w:rPr>
        <w:t>en</w:t>
      </w:r>
      <w:r>
        <w:rPr>
          <w:spacing w:val="21"/>
          <w:sz w:val="20"/>
        </w:rPr>
        <w:t> </w:t>
      </w:r>
      <w:r>
        <w:rPr>
          <w:sz w:val="20"/>
        </w:rPr>
        <w:t>su</w:t>
      </w:r>
      <w:r>
        <w:rPr>
          <w:spacing w:val="21"/>
          <w:sz w:val="20"/>
        </w:rPr>
        <w:t> </w:t>
      </w:r>
      <w:r>
        <w:rPr>
          <w:sz w:val="20"/>
        </w:rPr>
        <w:t>caso,</w:t>
      </w:r>
      <w:r>
        <w:rPr>
          <w:spacing w:val="21"/>
          <w:sz w:val="20"/>
        </w:rPr>
        <w:t> </w:t>
      </w:r>
      <w:r>
        <w:rPr>
          <w:sz w:val="20"/>
        </w:rPr>
        <w:t>a</w:t>
      </w:r>
      <w:r>
        <w:rPr>
          <w:spacing w:val="21"/>
          <w:sz w:val="20"/>
        </w:rPr>
        <w:t> </w:t>
      </w:r>
      <w:r>
        <w:rPr>
          <w:sz w:val="20"/>
        </w:rPr>
        <w:t>quienes</w:t>
      </w:r>
      <w:r>
        <w:rPr>
          <w:spacing w:val="22"/>
          <w:sz w:val="20"/>
        </w:rPr>
        <w:t> </w:t>
      </w:r>
      <w:r>
        <w:rPr>
          <w:sz w:val="20"/>
        </w:rPr>
        <w:t>deban </w:t>
      </w:r>
      <w:r>
        <w:rPr>
          <w:spacing w:val="-2"/>
          <w:sz w:val="20"/>
        </w:rPr>
        <w:t>presidirlos;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1"/>
        <w:rPr>
          <w:rFonts w:ascii="Times New Roman"/>
          <w:i/>
        </w:rPr>
      </w:pPr>
    </w:p>
    <w:p>
      <w:pPr>
        <w:pStyle w:val="ListParagraph"/>
        <w:numPr>
          <w:ilvl w:val="0"/>
          <w:numId w:val="231"/>
        </w:numPr>
        <w:tabs>
          <w:tab w:pos="1195" w:val="left" w:leader="none"/>
        </w:tabs>
        <w:spacing w:line="240" w:lineRule="auto" w:before="0" w:after="0"/>
        <w:ind w:left="1195" w:right="0" w:hanging="569"/>
        <w:jc w:val="left"/>
        <w:rPr>
          <w:sz w:val="20"/>
        </w:rPr>
      </w:pPr>
      <w:r>
        <w:rPr>
          <w:sz w:val="20"/>
        </w:rPr>
        <w:t>Los</w:t>
      </w:r>
      <w:r>
        <w:rPr>
          <w:spacing w:val="-5"/>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confieran</w:t>
      </w:r>
      <w:r>
        <w:rPr>
          <w:spacing w:val="-6"/>
          <w:sz w:val="20"/>
        </w:rPr>
        <w:t> </w:t>
      </w:r>
      <w:r>
        <w:rPr>
          <w:sz w:val="20"/>
        </w:rPr>
        <w:t>las</w:t>
      </w:r>
      <w:r>
        <w:rPr>
          <w:spacing w:val="-3"/>
          <w:sz w:val="20"/>
        </w:rPr>
        <w:t> </w:t>
      </w:r>
      <w:r>
        <w:rPr>
          <w:spacing w:val="-2"/>
          <w:sz w:val="20"/>
        </w:rPr>
        <w:t>leyes.</w:t>
      </w:r>
    </w:p>
    <w:p>
      <w:pPr>
        <w:spacing w:before="229"/>
        <w:ind w:left="626" w:right="0" w:firstLine="0"/>
        <w:jc w:val="left"/>
        <w:rPr>
          <w:sz w:val="20"/>
        </w:rPr>
      </w:pPr>
      <w:bookmarkStart w:name="Artículo_554" w:id="705"/>
      <w:bookmarkEnd w:id="705"/>
      <w:r>
        <w:rPr/>
      </w:r>
      <w:r>
        <w:rPr>
          <w:rFonts w:ascii="Arial" w:hAnsi="Arial"/>
          <w:b/>
          <w:sz w:val="20"/>
        </w:rPr>
        <w:t>Artículo</w:t>
      </w:r>
      <w:r>
        <w:rPr>
          <w:rFonts w:ascii="Arial" w:hAnsi="Arial"/>
          <w:b/>
          <w:spacing w:val="-7"/>
          <w:sz w:val="20"/>
        </w:rPr>
        <w:t> </w:t>
      </w:r>
      <w:r>
        <w:rPr>
          <w:rFonts w:ascii="Arial" w:hAnsi="Arial"/>
          <w:b/>
          <w:sz w:val="20"/>
        </w:rPr>
        <w:t>554.-</w:t>
      </w:r>
      <w:r>
        <w:rPr>
          <w:rFonts w:ascii="Arial" w:hAnsi="Arial"/>
          <w:b/>
          <w:spacing w:val="-4"/>
          <w:sz w:val="20"/>
        </w:rPr>
        <w:t> </w:t>
      </w:r>
      <w:r>
        <w:rPr>
          <w:sz w:val="20"/>
        </w:rPr>
        <w:t>El</w:t>
      </w:r>
      <w:r>
        <w:rPr>
          <w:spacing w:val="-6"/>
          <w:sz w:val="20"/>
        </w:rPr>
        <w:t> </w:t>
      </w:r>
      <w:r>
        <w:rPr>
          <w:sz w:val="20"/>
        </w:rPr>
        <w:t>Consejo</w:t>
      </w:r>
      <w:r>
        <w:rPr>
          <w:spacing w:val="-6"/>
          <w:sz w:val="20"/>
        </w:rPr>
        <w:t> </w:t>
      </w:r>
      <w:r>
        <w:rPr>
          <w:sz w:val="20"/>
        </w:rPr>
        <w:t>de</w:t>
      </w:r>
      <w:r>
        <w:rPr>
          <w:spacing w:val="-8"/>
          <w:sz w:val="20"/>
        </w:rPr>
        <w:t> </w:t>
      </w:r>
      <w:r>
        <w:rPr>
          <w:sz w:val="20"/>
        </w:rPr>
        <w:t>Representantes</w:t>
      </w:r>
      <w:r>
        <w:rPr>
          <w:spacing w:val="-6"/>
          <w:sz w:val="20"/>
        </w:rPr>
        <w:t> </w:t>
      </w:r>
      <w:r>
        <w:rPr>
          <w:sz w:val="20"/>
        </w:rPr>
        <w:t>se</w:t>
      </w:r>
      <w:r>
        <w:rPr>
          <w:spacing w:val="-7"/>
          <w:sz w:val="20"/>
        </w:rPr>
        <w:t> </w:t>
      </w:r>
      <w:r>
        <w:rPr>
          <w:spacing w:val="-2"/>
          <w:sz w:val="20"/>
        </w:rPr>
        <w:t>integrará:</w:t>
      </w:r>
    </w:p>
    <w:p>
      <w:pPr>
        <w:pStyle w:val="BodyText"/>
      </w:pPr>
    </w:p>
    <w:p>
      <w:pPr>
        <w:pStyle w:val="ListParagraph"/>
        <w:numPr>
          <w:ilvl w:val="0"/>
          <w:numId w:val="232"/>
        </w:numPr>
        <w:tabs>
          <w:tab w:pos="1193" w:val="left" w:leader="none"/>
          <w:tab w:pos="1195" w:val="left" w:leader="none"/>
        </w:tabs>
        <w:spacing w:line="242" w:lineRule="auto" w:before="0" w:after="0"/>
        <w:ind w:left="1195" w:right="336" w:hanging="569"/>
        <w:jc w:val="both"/>
        <w:rPr>
          <w:sz w:val="20"/>
        </w:rPr>
      </w:pPr>
      <w:r>
        <w:rPr>
          <w:sz w:val="20"/>
        </w:rPr>
        <w:t>Con la representación del gobierno, compuesta del Presidente de la Comisión, que será</w:t>
      </w:r>
      <w:r>
        <w:rPr>
          <w:spacing w:val="40"/>
          <w:sz w:val="20"/>
        </w:rPr>
        <w:t> </w:t>
      </w:r>
      <w:r>
        <w:rPr>
          <w:sz w:val="20"/>
        </w:rPr>
        <w:t>también el Presidente del Consejo y que tendrá el voto del gobierno, y de dos asesores, con</w:t>
      </w:r>
      <w:r>
        <w:rPr>
          <w:spacing w:val="40"/>
          <w:sz w:val="20"/>
        </w:rPr>
        <w:t> </w:t>
      </w:r>
      <w:r>
        <w:rPr>
          <w:sz w:val="20"/>
        </w:rPr>
        <w:t>voz informativa, designados por el Secretario del Trabajo y Previsión Social;</w:t>
      </w:r>
    </w:p>
    <w:p>
      <w:pPr>
        <w:pStyle w:val="ListParagraph"/>
        <w:numPr>
          <w:ilvl w:val="0"/>
          <w:numId w:val="232"/>
        </w:numPr>
        <w:tabs>
          <w:tab w:pos="1192" w:val="left" w:leader="none"/>
          <w:tab w:pos="1195" w:val="left" w:leader="none"/>
        </w:tabs>
        <w:spacing w:line="240" w:lineRule="auto" w:before="223" w:after="0"/>
        <w:ind w:left="1195" w:right="341" w:hanging="569"/>
        <w:jc w:val="both"/>
        <w:rPr>
          <w:sz w:val="20"/>
        </w:rPr>
      </w:pPr>
      <w:r>
        <w:rPr>
          <w:sz w:val="20"/>
        </w:rPr>
        <w:t>Con un número igual, no menor de cinco, ni mayor de quince, de representantes propietarios y suplentes de los trabajadores sindicalizados y de los patrones, designados cada cuatro años,</w:t>
      </w:r>
      <w:r>
        <w:rPr>
          <w:spacing w:val="40"/>
          <w:sz w:val="20"/>
        </w:rPr>
        <w:t> </w:t>
      </w:r>
      <w:r>
        <w:rPr>
          <w:sz w:val="20"/>
        </w:rPr>
        <w:t>de conformidad con la convocatoria que al efecto expida la Secretaría del Trabajo y Previsión Social. Si los trabajadores o los patrones no hacen la designación de sus representantes, la hará la misma Secretaría del Trabajo y Previsión Social, debiendo recaer en trabajadores o patrones; y</w:t>
      </w:r>
    </w:p>
    <w:p>
      <w:pPr>
        <w:pStyle w:val="BodyText"/>
        <w:spacing w:before="1"/>
      </w:pPr>
    </w:p>
    <w:p>
      <w:pPr>
        <w:pStyle w:val="ListParagraph"/>
        <w:numPr>
          <w:ilvl w:val="0"/>
          <w:numId w:val="232"/>
        </w:numPr>
        <w:tabs>
          <w:tab w:pos="1191" w:val="left" w:leader="none"/>
          <w:tab w:pos="1195" w:val="left" w:leader="none"/>
        </w:tabs>
        <w:spacing w:line="242" w:lineRule="auto" w:before="0" w:after="0"/>
        <w:ind w:left="1195" w:right="344" w:hanging="569"/>
        <w:jc w:val="both"/>
        <w:rPr>
          <w:sz w:val="20"/>
        </w:rPr>
      </w:pPr>
      <w:r>
        <w:rPr>
          <w:sz w:val="20"/>
        </w:rPr>
        <w:t>El Consejo de Representantes deberá quedar integrado el primero de julio del año que corresponda, a más tardar.</w:t>
      </w:r>
    </w:p>
    <w:p>
      <w:pPr>
        <w:pStyle w:val="BodyText"/>
        <w:spacing w:before="227"/>
        <w:ind w:left="338" w:right="342" w:firstLine="288"/>
      </w:pPr>
      <w:bookmarkStart w:name="Artículo_555" w:id="706"/>
      <w:bookmarkEnd w:id="706"/>
      <w:r>
        <w:rPr/>
      </w:r>
      <w:r>
        <w:rPr>
          <w:rFonts w:ascii="Arial" w:hAnsi="Arial"/>
          <w:b/>
        </w:rPr>
        <w:t>Artículo 555.- </w:t>
      </w:r>
      <w:r>
        <w:rPr/>
        <w:t>Los representantes asesores a que se refiere la fracción I del artículo anterior, deberán satisfacer los requisitos siguientes:</w:t>
      </w:r>
    </w:p>
    <w:p>
      <w:pPr>
        <w:pStyle w:val="ListParagraph"/>
        <w:numPr>
          <w:ilvl w:val="0"/>
          <w:numId w:val="233"/>
        </w:numPr>
        <w:tabs>
          <w:tab w:pos="1195" w:val="left" w:leader="none"/>
        </w:tabs>
        <w:spacing w:line="240" w:lineRule="auto" w:before="229" w:after="0"/>
        <w:ind w:left="1195" w:right="0" w:hanging="569"/>
        <w:jc w:val="left"/>
        <w:rPr>
          <w:sz w:val="20"/>
        </w:rPr>
      </w:pPr>
      <w:r>
        <w:rPr>
          <w:sz w:val="20"/>
        </w:rPr>
        <w:t>Ser</w:t>
      </w:r>
      <w:r>
        <w:rPr>
          <w:spacing w:val="-7"/>
          <w:sz w:val="20"/>
        </w:rPr>
        <w:t> </w:t>
      </w:r>
      <w:r>
        <w:rPr>
          <w:sz w:val="20"/>
        </w:rPr>
        <w:t>mexicanos,</w:t>
      </w:r>
      <w:r>
        <w:rPr>
          <w:spacing w:val="-6"/>
          <w:sz w:val="20"/>
        </w:rPr>
        <w:t> </w:t>
      </w:r>
      <w:r>
        <w:rPr>
          <w:sz w:val="20"/>
        </w:rPr>
        <w:t>mayores</w:t>
      </w:r>
      <w:r>
        <w:rPr>
          <w:spacing w:val="-3"/>
          <w:sz w:val="20"/>
        </w:rPr>
        <w:t> </w:t>
      </w:r>
      <w:r>
        <w:rPr>
          <w:sz w:val="20"/>
        </w:rPr>
        <w:t>de</w:t>
      </w:r>
      <w:r>
        <w:rPr>
          <w:spacing w:val="-6"/>
          <w:sz w:val="20"/>
        </w:rPr>
        <w:t> </w:t>
      </w:r>
      <w:r>
        <w:rPr>
          <w:sz w:val="20"/>
        </w:rPr>
        <w:t>treinta</w:t>
      </w:r>
      <w:r>
        <w:rPr>
          <w:spacing w:val="-5"/>
          <w:sz w:val="20"/>
        </w:rPr>
        <w:t> </w:t>
      </w:r>
      <w:r>
        <w:rPr>
          <w:sz w:val="20"/>
        </w:rPr>
        <w:t>años</w:t>
      </w:r>
      <w:r>
        <w:rPr>
          <w:spacing w:val="-4"/>
          <w:sz w:val="20"/>
        </w:rPr>
        <w:t> </w:t>
      </w:r>
      <w:r>
        <w:rPr>
          <w:sz w:val="20"/>
        </w:rPr>
        <w:t>de</w:t>
      </w:r>
      <w:r>
        <w:rPr>
          <w:spacing w:val="-7"/>
          <w:sz w:val="20"/>
        </w:rPr>
        <w:t> </w:t>
      </w:r>
      <w:r>
        <w:rPr>
          <w:sz w:val="20"/>
        </w:rPr>
        <w:t>edad</w:t>
      </w:r>
      <w:r>
        <w:rPr>
          <w:spacing w:val="-3"/>
          <w:sz w:val="20"/>
        </w:rPr>
        <w:t> </w:t>
      </w:r>
      <w:r>
        <w:rPr>
          <w:sz w:val="20"/>
        </w:rPr>
        <w:t>y</w:t>
      </w:r>
      <w:r>
        <w:rPr>
          <w:spacing w:val="-7"/>
          <w:sz w:val="20"/>
        </w:rPr>
        <w:t> </w:t>
      </w:r>
      <w:r>
        <w:rPr>
          <w:sz w:val="20"/>
        </w:rPr>
        <w:t>estar</w:t>
      </w:r>
      <w:r>
        <w:rPr>
          <w:spacing w:val="-6"/>
          <w:sz w:val="20"/>
        </w:rPr>
        <w:t> </w:t>
      </w:r>
      <w:r>
        <w:rPr>
          <w:sz w:val="20"/>
        </w:rPr>
        <w:t>en</w:t>
      </w:r>
      <w:r>
        <w:rPr>
          <w:spacing w:val="-5"/>
          <w:sz w:val="20"/>
        </w:rPr>
        <w:t> </w:t>
      </w:r>
      <w:r>
        <w:rPr>
          <w:sz w:val="20"/>
        </w:rPr>
        <w:t>pleno</w:t>
      </w:r>
      <w:r>
        <w:rPr>
          <w:spacing w:val="-5"/>
          <w:sz w:val="20"/>
        </w:rPr>
        <w:t> </w:t>
      </w:r>
      <w:r>
        <w:rPr>
          <w:sz w:val="20"/>
        </w:rPr>
        <w:t>ejercicio</w:t>
      </w:r>
      <w:r>
        <w:rPr>
          <w:spacing w:val="-5"/>
          <w:sz w:val="20"/>
        </w:rPr>
        <w:t> </w:t>
      </w:r>
      <w:r>
        <w:rPr>
          <w:sz w:val="20"/>
        </w:rPr>
        <w:t>de</w:t>
      </w:r>
      <w:r>
        <w:rPr>
          <w:spacing w:val="-7"/>
          <w:sz w:val="20"/>
        </w:rPr>
        <w:t> </w:t>
      </w:r>
      <w:r>
        <w:rPr>
          <w:sz w:val="20"/>
        </w:rPr>
        <w:t>sus</w:t>
      </w:r>
      <w:r>
        <w:rPr>
          <w:spacing w:val="-5"/>
          <w:sz w:val="20"/>
        </w:rPr>
        <w:t> </w:t>
      </w:r>
      <w:r>
        <w:rPr>
          <w:spacing w:val="-2"/>
          <w:sz w:val="20"/>
        </w:rPr>
        <w:t>derechos;</w:t>
      </w:r>
    </w:p>
    <w:p>
      <w:pPr>
        <w:pStyle w:val="BodyText"/>
      </w:pPr>
    </w:p>
    <w:p>
      <w:pPr>
        <w:pStyle w:val="ListParagraph"/>
        <w:numPr>
          <w:ilvl w:val="0"/>
          <w:numId w:val="233"/>
        </w:numPr>
        <w:tabs>
          <w:tab w:pos="1195" w:val="left" w:leader="none"/>
        </w:tabs>
        <w:spacing w:line="240" w:lineRule="auto" w:before="1" w:after="0"/>
        <w:ind w:left="1195" w:right="0" w:hanging="569"/>
        <w:jc w:val="left"/>
        <w:rPr>
          <w:sz w:val="20"/>
        </w:rPr>
      </w:pPr>
      <w:r>
        <w:rPr>
          <w:sz w:val="20"/>
        </w:rPr>
        <w:t>Poseer</w:t>
      </w:r>
      <w:r>
        <w:rPr>
          <w:spacing w:val="-7"/>
          <w:sz w:val="20"/>
        </w:rPr>
        <w:t> </w:t>
      </w:r>
      <w:r>
        <w:rPr>
          <w:sz w:val="20"/>
        </w:rPr>
        <w:t>título</w:t>
      </w:r>
      <w:r>
        <w:rPr>
          <w:spacing w:val="-6"/>
          <w:sz w:val="20"/>
        </w:rPr>
        <w:t> </w:t>
      </w:r>
      <w:r>
        <w:rPr>
          <w:sz w:val="20"/>
        </w:rPr>
        <w:t>legalmente</w:t>
      </w:r>
      <w:r>
        <w:rPr>
          <w:spacing w:val="-9"/>
          <w:sz w:val="20"/>
        </w:rPr>
        <w:t> </w:t>
      </w:r>
      <w:r>
        <w:rPr>
          <w:sz w:val="20"/>
        </w:rPr>
        <w:t>expedido</w:t>
      </w:r>
      <w:r>
        <w:rPr>
          <w:spacing w:val="-6"/>
          <w:sz w:val="20"/>
        </w:rPr>
        <w:t> </w:t>
      </w:r>
      <w:r>
        <w:rPr>
          <w:sz w:val="20"/>
        </w:rPr>
        <w:t>de</w:t>
      </w:r>
      <w:r>
        <w:rPr>
          <w:spacing w:val="-7"/>
          <w:sz w:val="20"/>
        </w:rPr>
        <w:t> </w:t>
      </w:r>
      <w:r>
        <w:rPr>
          <w:sz w:val="20"/>
        </w:rPr>
        <w:t>licenciado</w:t>
      </w:r>
      <w:r>
        <w:rPr>
          <w:spacing w:val="-3"/>
          <w:sz w:val="20"/>
        </w:rPr>
        <w:t> </w:t>
      </w:r>
      <w:r>
        <w:rPr>
          <w:sz w:val="20"/>
        </w:rPr>
        <w:t>en</w:t>
      </w:r>
      <w:r>
        <w:rPr>
          <w:spacing w:val="-8"/>
          <w:sz w:val="20"/>
        </w:rPr>
        <w:t> </w:t>
      </w:r>
      <w:r>
        <w:rPr>
          <w:sz w:val="20"/>
        </w:rPr>
        <w:t>derecho</w:t>
      </w:r>
      <w:r>
        <w:rPr>
          <w:spacing w:val="-8"/>
          <w:sz w:val="20"/>
        </w:rPr>
        <w:t> </w:t>
      </w:r>
      <w:r>
        <w:rPr>
          <w:sz w:val="20"/>
        </w:rPr>
        <w:t>o</w:t>
      </w:r>
      <w:r>
        <w:rPr>
          <w:spacing w:val="-6"/>
          <w:sz w:val="20"/>
        </w:rPr>
        <w:t> </w:t>
      </w:r>
      <w:r>
        <w:rPr>
          <w:sz w:val="20"/>
        </w:rPr>
        <w:t>en</w:t>
      </w:r>
      <w:r>
        <w:rPr>
          <w:spacing w:val="-7"/>
          <w:sz w:val="20"/>
        </w:rPr>
        <w:t> </w:t>
      </w:r>
      <w:r>
        <w:rPr>
          <w:spacing w:val="-2"/>
          <w:sz w:val="20"/>
        </w:rPr>
        <w:t>economía;</w:t>
      </w:r>
    </w:p>
    <w:p>
      <w:pPr>
        <w:pStyle w:val="ListParagraph"/>
        <w:numPr>
          <w:ilvl w:val="0"/>
          <w:numId w:val="233"/>
        </w:numPr>
        <w:tabs>
          <w:tab w:pos="1195" w:val="left" w:leader="none"/>
        </w:tabs>
        <w:spacing w:line="240" w:lineRule="auto" w:before="228" w:after="0"/>
        <w:ind w:left="1195" w:right="0" w:hanging="569"/>
        <w:jc w:val="left"/>
        <w:rPr>
          <w:sz w:val="20"/>
        </w:rPr>
      </w:pPr>
      <w:r>
        <w:rPr>
          <w:sz w:val="20"/>
        </w:rPr>
        <w:t>No</w:t>
      </w:r>
      <w:r>
        <w:rPr>
          <w:spacing w:val="-6"/>
          <w:sz w:val="20"/>
        </w:rPr>
        <w:t> </w:t>
      </w:r>
      <w:r>
        <w:rPr>
          <w:sz w:val="20"/>
        </w:rPr>
        <w:t>ser</w:t>
      </w:r>
      <w:r>
        <w:rPr>
          <w:spacing w:val="-5"/>
          <w:sz w:val="20"/>
        </w:rPr>
        <w:t> </w:t>
      </w:r>
      <w:r>
        <w:rPr>
          <w:sz w:val="20"/>
        </w:rPr>
        <w:t>ministro</w:t>
      </w:r>
      <w:r>
        <w:rPr>
          <w:spacing w:val="-6"/>
          <w:sz w:val="20"/>
        </w:rPr>
        <w:t> </w:t>
      </w:r>
      <w:r>
        <w:rPr>
          <w:sz w:val="20"/>
        </w:rPr>
        <w:t>de</w:t>
      </w:r>
      <w:r>
        <w:rPr>
          <w:spacing w:val="-5"/>
          <w:sz w:val="20"/>
        </w:rPr>
        <w:t> </w:t>
      </w:r>
      <w:r>
        <w:rPr>
          <w:sz w:val="20"/>
        </w:rPr>
        <w:t>culto;</w:t>
      </w:r>
      <w:r>
        <w:rPr>
          <w:spacing w:val="-4"/>
          <w:sz w:val="20"/>
        </w:rPr>
        <w:t> </w:t>
      </w:r>
      <w:r>
        <w:rPr>
          <w:spacing w:val="-12"/>
          <w:sz w:val="20"/>
        </w:rPr>
        <w:t>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rPr>
      </w:pPr>
    </w:p>
    <w:p>
      <w:pPr>
        <w:pStyle w:val="ListParagraph"/>
        <w:numPr>
          <w:ilvl w:val="0"/>
          <w:numId w:val="233"/>
        </w:numPr>
        <w:tabs>
          <w:tab w:pos="1195" w:val="left" w:leader="none"/>
        </w:tabs>
        <w:spacing w:line="240" w:lineRule="auto" w:before="1" w:after="0"/>
        <w:ind w:left="1195" w:right="0" w:hanging="569"/>
        <w:jc w:val="left"/>
        <w:rPr>
          <w:sz w:val="20"/>
        </w:rPr>
      </w:pPr>
      <w:r>
        <w:rPr>
          <w:sz w:val="20"/>
        </w:rPr>
        <w:t>No</w:t>
      </w:r>
      <w:r>
        <w:rPr>
          <w:spacing w:val="-9"/>
          <w:sz w:val="20"/>
        </w:rPr>
        <w:t> </w:t>
      </w:r>
      <w:r>
        <w:rPr>
          <w:sz w:val="20"/>
        </w:rPr>
        <w:t>haber</w:t>
      </w:r>
      <w:r>
        <w:rPr>
          <w:spacing w:val="-8"/>
          <w:sz w:val="20"/>
        </w:rPr>
        <w:t> </w:t>
      </w:r>
      <w:r>
        <w:rPr>
          <w:sz w:val="20"/>
        </w:rPr>
        <w:t>sido</w:t>
      </w:r>
      <w:r>
        <w:rPr>
          <w:spacing w:val="-9"/>
          <w:sz w:val="20"/>
        </w:rPr>
        <w:t> </w:t>
      </w:r>
      <w:r>
        <w:rPr>
          <w:sz w:val="20"/>
        </w:rPr>
        <w:t>condenados</w:t>
      </w:r>
      <w:r>
        <w:rPr>
          <w:spacing w:val="-7"/>
          <w:sz w:val="20"/>
        </w:rPr>
        <w:t> </w:t>
      </w:r>
      <w:r>
        <w:rPr>
          <w:sz w:val="20"/>
        </w:rPr>
        <w:t>por</w:t>
      </w:r>
      <w:r>
        <w:rPr>
          <w:spacing w:val="-8"/>
          <w:sz w:val="20"/>
        </w:rPr>
        <w:t> </w:t>
      </w:r>
      <w:r>
        <w:rPr>
          <w:sz w:val="20"/>
        </w:rPr>
        <w:t>delito</w:t>
      </w:r>
      <w:r>
        <w:rPr>
          <w:spacing w:val="-7"/>
          <w:sz w:val="20"/>
        </w:rPr>
        <w:t> </w:t>
      </w:r>
      <w:r>
        <w:rPr>
          <w:sz w:val="20"/>
        </w:rPr>
        <w:t>intencional</w:t>
      </w:r>
      <w:r>
        <w:rPr>
          <w:spacing w:val="-7"/>
          <w:sz w:val="20"/>
        </w:rPr>
        <w:t> </w:t>
      </w:r>
      <w:r>
        <w:rPr>
          <w:sz w:val="20"/>
        </w:rPr>
        <w:t>sancionado</w:t>
      </w:r>
      <w:r>
        <w:rPr>
          <w:spacing w:val="-9"/>
          <w:sz w:val="20"/>
        </w:rPr>
        <w:t> </w:t>
      </w:r>
      <w:r>
        <w:rPr>
          <w:sz w:val="20"/>
        </w:rPr>
        <w:t>con</w:t>
      </w:r>
      <w:r>
        <w:rPr>
          <w:spacing w:val="-7"/>
          <w:sz w:val="20"/>
        </w:rPr>
        <w:t> </w:t>
      </w:r>
      <w:r>
        <w:rPr>
          <w:sz w:val="20"/>
        </w:rPr>
        <w:t>pena</w:t>
      </w:r>
      <w:r>
        <w:rPr>
          <w:spacing w:val="-9"/>
          <w:sz w:val="20"/>
        </w:rPr>
        <w:t> </w:t>
      </w:r>
      <w:r>
        <w:rPr>
          <w:spacing w:val="-2"/>
          <w:sz w:val="20"/>
        </w:rPr>
        <w:t>corporal.</w:t>
      </w:r>
    </w:p>
    <w:p>
      <w:pPr>
        <w:pStyle w:val="BodyText"/>
        <w:spacing w:line="242" w:lineRule="auto" w:before="228"/>
        <w:ind w:left="338" w:firstLine="288"/>
      </w:pPr>
      <w:bookmarkStart w:name="Artículo_556" w:id="707"/>
      <w:bookmarkEnd w:id="707"/>
      <w:r>
        <w:rPr/>
      </w:r>
      <w:r>
        <w:rPr>
          <w:rFonts w:ascii="Arial" w:hAnsi="Arial"/>
          <w:b/>
        </w:rPr>
        <w:t>Artículo</w:t>
      </w:r>
      <w:r>
        <w:rPr>
          <w:rFonts w:ascii="Arial" w:hAnsi="Arial"/>
          <w:b/>
          <w:spacing w:val="40"/>
        </w:rPr>
        <w:t> </w:t>
      </w:r>
      <w:r>
        <w:rPr>
          <w:rFonts w:ascii="Arial" w:hAnsi="Arial"/>
          <w:b/>
        </w:rPr>
        <w:t>556.-</w:t>
      </w:r>
      <w:r>
        <w:rPr>
          <w:rFonts w:ascii="Arial" w:hAnsi="Arial"/>
          <w:b/>
          <w:spacing w:val="40"/>
        </w:rPr>
        <w:t> </w:t>
      </w:r>
      <w:r>
        <w:rPr/>
        <w:t>Los</w:t>
      </w:r>
      <w:r>
        <w:rPr>
          <w:spacing w:val="40"/>
        </w:rPr>
        <w:t> </w:t>
      </w:r>
      <w:r>
        <w:rPr/>
        <w:t>representantes</w:t>
      </w:r>
      <w:r>
        <w:rPr>
          <w:spacing w:val="40"/>
        </w:rPr>
        <w:t> </w:t>
      </w:r>
      <w:r>
        <w:rPr/>
        <w:t>de</w:t>
      </w:r>
      <w:r>
        <w:rPr>
          <w:spacing w:val="40"/>
        </w:rPr>
        <w:t> </w:t>
      </w:r>
      <w:r>
        <w:rPr/>
        <w:t>los</w:t>
      </w:r>
      <w:r>
        <w:rPr>
          <w:spacing w:val="40"/>
        </w:rPr>
        <w:t> </w:t>
      </w:r>
      <w:r>
        <w:rPr/>
        <w:t>trabajadores</w:t>
      </w:r>
      <w:r>
        <w:rPr>
          <w:spacing w:val="40"/>
        </w:rPr>
        <w:t> </w:t>
      </w:r>
      <w:r>
        <w:rPr/>
        <w:t>y</w:t>
      </w:r>
      <w:r>
        <w:rPr>
          <w:spacing w:val="40"/>
        </w:rPr>
        <w:t> </w:t>
      </w:r>
      <w:r>
        <w:rPr/>
        <w:t>de</w:t>
      </w:r>
      <w:r>
        <w:rPr>
          <w:spacing w:val="40"/>
        </w:rPr>
        <w:t> </w:t>
      </w:r>
      <w:r>
        <w:rPr/>
        <w:t>los</w:t>
      </w:r>
      <w:r>
        <w:rPr>
          <w:spacing w:val="40"/>
        </w:rPr>
        <w:t> </w:t>
      </w:r>
      <w:r>
        <w:rPr/>
        <w:t>patrones</w:t>
      </w:r>
      <w:r>
        <w:rPr>
          <w:spacing w:val="40"/>
        </w:rPr>
        <w:t> </w:t>
      </w:r>
      <w:r>
        <w:rPr/>
        <w:t>deberán</w:t>
      </w:r>
      <w:r>
        <w:rPr>
          <w:spacing w:val="40"/>
        </w:rPr>
        <w:t> </w:t>
      </w:r>
      <w:r>
        <w:rPr/>
        <w:t>satisfacer</w:t>
      </w:r>
      <w:r>
        <w:rPr>
          <w:spacing w:val="40"/>
        </w:rPr>
        <w:t> </w:t>
      </w:r>
      <w:r>
        <w:rPr/>
        <w:t>los requisitos siguientes:</w:t>
      </w:r>
    </w:p>
    <w:p>
      <w:pPr>
        <w:pStyle w:val="ListParagraph"/>
        <w:numPr>
          <w:ilvl w:val="0"/>
          <w:numId w:val="234"/>
        </w:numPr>
        <w:tabs>
          <w:tab w:pos="1195" w:val="left" w:leader="none"/>
        </w:tabs>
        <w:spacing w:line="240" w:lineRule="auto" w:before="227" w:after="0"/>
        <w:ind w:left="1195" w:right="0" w:hanging="569"/>
        <w:jc w:val="left"/>
        <w:rPr>
          <w:sz w:val="20"/>
        </w:rPr>
      </w:pPr>
      <w:r>
        <w:rPr>
          <w:sz w:val="20"/>
        </w:rPr>
        <w:t>Ser</w:t>
      </w:r>
      <w:r>
        <w:rPr>
          <w:spacing w:val="-7"/>
          <w:sz w:val="20"/>
        </w:rPr>
        <w:t> </w:t>
      </w:r>
      <w:r>
        <w:rPr>
          <w:sz w:val="20"/>
        </w:rPr>
        <w:t>mexicanos,</w:t>
      </w:r>
      <w:r>
        <w:rPr>
          <w:spacing w:val="-6"/>
          <w:sz w:val="20"/>
        </w:rPr>
        <w:t> </w:t>
      </w:r>
      <w:r>
        <w:rPr>
          <w:sz w:val="20"/>
        </w:rPr>
        <w:t>mayores</w:t>
      </w:r>
      <w:r>
        <w:rPr>
          <w:spacing w:val="-3"/>
          <w:sz w:val="20"/>
        </w:rPr>
        <w:t> </w:t>
      </w:r>
      <w:r>
        <w:rPr>
          <w:sz w:val="20"/>
        </w:rPr>
        <w:t>de</w:t>
      </w:r>
      <w:r>
        <w:rPr>
          <w:spacing w:val="-6"/>
          <w:sz w:val="20"/>
        </w:rPr>
        <w:t> </w:t>
      </w:r>
      <w:r>
        <w:rPr>
          <w:sz w:val="20"/>
        </w:rPr>
        <w:t>veinticinco</w:t>
      </w:r>
      <w:r>
        <w:rPr>
          <w:spacing w:val="-7"/>
          <w:sz w:val="20"/>
        </w:rPr>
        <w:t> </w:t>
      </w:r>
      <w:r>
        <w:rPr>
          <w:sz w:val="20"/>
        </w:rPr>
        <w:t>años</w:t>
      </w:r>
      <w:r>
        <w:rPr>
          <w:spacing w:val="-4"/>
          <w:sz w:val="20"/>
        </w:rPr>
        <w:t> </w:t>
      </w:r>
      <w:r>
        <w:rPr>
          <w:sz w:val="20"/>
        </w:rPr>
        <w:t>y</w:t>
      </w:r>
      <w:r>
        <w:rPr>
          <w:spacing w:val="-7"/>
          <w:sz w:val="20"/>
        </w:rPr>
        <w:t> </w:t>
      </w:r>
      <w:r>
        <w:rPr>
          <w:sz w:val="20"/>
        </w:rPr>
        <w:t>estar</w:t>
      </w:r>
      <w:r>
        <w:rPr>
          <w:spacing w:val="-6"/>
          <w:sz w:val="20"/>
        </w:rPr>
        <w:t> </w:t>
      </w:r>
      <w:r>
        <w:rPr>
          <w:sz w:val="20"/>
        </w:rPr>
        <w:t>en</w:t>
      </w:r>
      <w:r>
        <w:rPr>
          <w:spacing w:val="-7"/>
          <w:sz w:val="20"/>
        </w:rPr>
        <w:t> </w:t>
      </w:r>
      <w:r>
        <w:rPr>
          <w:sz w:val="20"/>
        </w:rPr>
        <w:t>pleno</w:t>
      </w:r>
      <w:r>
        <w:rPr>
          <w:spacing w:val="-4"/>
          <w:sz w:val="20"/>
        </w:rPr>
        <w:t> </w:t>
      </w:r>
      <w:r>
        <w:rPr>
          <w:sz w:val="20"/>
        </w:rPr>
        <w:t>ejercicio</w:t>
      </w:r>
      <w:r>
        <w:rPr>
          <w:spacing w:val="-5"/>
          <w:sz w:val="20"/>
        </w:rPr>
        <w:t> </w:t>
      </w:r>
      <w:r>
        <w:rPr>
          <w:sz w:val="20"/>
        </w:rPr>
        <w:t>de</w:t>
      </w:r>
      <w:r>
        <w:rPr>
          <w:spacing w:val="-7"/>
          <w:sz w:val="20"/>
        </w:rPr>
        <w:t> </w:t>
      </w:r>
      <w:r>
        <w:rPr>
          <w:sz w:val="20"/>
        </w:rPr>
        <w:t>sus</w:t>
      </w:r>
      <w:r>
        <w:rPr>
          <w:spacing w:val="-6"/>
          <w:sz w:val="20"/>
        </w:rPr>
        <w:t> </w:t>
      </w:r>
      <w:r>
        <w:rPr>
          <w:spacing w:val="-2"/>
          <w:sz w:val="20"/>
        </w:rPr>
        <w:t>derechos;</w:t>
      </w:r>
    </w:p>
    <w:p>
      <w:pPr>
        <w:pStyle w:val="ListParagraph"/>
        <w:numPr>
          <w:ilvl w:val="0"/>
          <w:numId w:val="234"/>
        </w:numPr>
        <w:tabs>
          <w:tab w:pos="1195" w:val="left" w:leader="none"/>
        </w:tabs>
        <w:spacing w:line="240" w:lineRule="auto" w:before="229" w:after="0"/>
        <w:ind w:left="1195" w:right="0" w:hanging="569"/>
        <w:jc w:val="left"/>
        <w:rPr>
          <w:sz w:val="20"/>
        </w:rPr>
      </w:pPr>
      <w:r>
        <w:rPr>
          <w:sz w:val="20"/>
        </w:rPr>
        <w:t>No</w:t>
      </w:r>
      <w:r>
        <w:rPr>
          <w:spacing w:val="-6"/>
          <w:sz w:val="20"/>
        </w:rPr>
        <w:t> </w:t>
      </w:r>
      <w:r>
        <w:rPr>
          <w:sz w:val="20"/>
        </w:rPr>
        <w:t>ser</w:t>
      </w:r>
      <w:r>
        <w:rPr>
          <w:spacing w:val="-5"/>
          <w:sz w:val="20"/>
        </w:rPr>
        <w:t> </w:t>
      </w:r>
      <w:r>
        <w:rPr>
          <w:sz w:val="20"/>
        </w:rPr>
        <w:t>ministro</w:t>
      </w:r>
      <w:r>
        <w:rPr>
          <w:spacing w:val="-6"/>
          <w:sz w:val="20"/>
        </w:rPr>
        <w:t> </w:t>
      </w:r>
      <w:r>
        <w:rPr>
          <w:sz w:val="20"/>
        </w:rPr>
        <w:t>de</w:t>
      </w:r>
      <w:r>
        <w:rPr>
          <w:spacing w:val="-5"/>
          <w:sz w:val="20"/>
        </w:rPr>
        <w:t> </w:t>
      </w:r>
      <w:r>
        <w:rPr>
          <w:sz w:val="20"/>
        </w:rPr>
        <w:t>culto;</w:t>
      </w:r>
      <w:r>
        <w:rPr>
          <w:spacing w:val="-4"/>
          <w:sz w:val="20"/>
        </w:rPr>
        <w:t> </w:t>
      </w:r>
      <w:r>
        <w:rPr>
          <w:spacing w:val="-12"/>
          <w:sz w:val="20"/>
        </w:rPr>
        <w:t>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rPr>
      </w:pPr>
    </w:p>
    <w:p>
      <w:pPr>
        <w:pStyle w:val="ListParagraph"/>
        <w:numPr>
          <w:ilvl w:val="0"/>
          <w:numId w:val="234"/>
        </w:numPr>
        <w:tabs>
          <w:tab w:pos="1195" w:val="left" w:leader="none"/>
        </w:tabs>
        <w:spacing w:line="240" w:lineRule="auto" w:before="0" w:after="0"/>
        <w:ind w:left="1195" w:right="0" w:hanging="569"/>
        <w:jc w:val="left"/>
        <w:rPr>
          <w:sz w:val="20"/>
        </w:rPr>
      </w:pPr>
      <w:r>
        <w:rPr>
          <w:sz w:val="20"/>
        </w:rPr>
        <w:t>No</w:t>
      </w:r>
      <w:r>
        <w:rPr>
          <w:spacing w:val="-9"/>
          <w:sz w:val="20"/>
        </w:rPr>
        <w:t> </w:t>
      </w:r>
      <w:r>
        <w:rPr>
          <w:sz w:val="20"/>
        </w:rPr>
        <w:t>haber</w:t>
      </w:r>
      <w:r>
        <w:rPr>
          <w:spacing w:val="-7"/>
          <w:sz w:val="20"/>
        </w:rPr>
        <w:t> </w:t>
      </w:r>
      <w:r>
        <w:rPr>
          <w:sz w:val="20"/>
        </w:rPr>
        <w:t>sido</w:t>
      </w:r>
      <w:r>
        <w:rPr>
          <w:spacing w:val="-9"/>
          <w:sz w:val="20"/>
        </w:rPr>
        <w:t> </w:t>
      </w:r>
      <w:r>
        <w:rPr>
          <w:sz w:val="20"/>
        </w:rPr>
        <w:t>condenados</w:t>
      </w:r>
      <w:r>
        <w:rPr>
          <w:spacing w:val="-8"/>
          <w:sz w:val="20"/>
        </w:rPr>
        <w:t> </w:t>
      </w:r>
      <w:r>
        <w:rPr>
          <w:sz w:val="20"/>
        </w:rPr>
        <w:t>por</w:t>
      </w:r>
      <w:r>
        <w:rPr>
          <w:spacing w:val="-7"/>
          <w:sz w:val="20"/>
        </w:rPr>
        <w:t> </w:t>
      </w:r>
      <w:r>
        <w:rPr>
          <w:sz w:val="20"/>
        </w:rPr>
        <w:t>delito</w:t>
      </w:r>
      <w:r>
        <w:rPr>
          <w:spacing w:val="-7"/>
          <w:sz w:val="20"/>
        </w:rPr>
        <w:t> </w:t>
      </w:r>
      <w:r>
        <w:rPr>
          <w:sz w:val="20"/>
        </w:rPr>
        <w:t>intencional</w:t>
      </w:r>
      <w:r>
        <w:rPr>
          <w:spacing w:val="-2"/>
          <w:sz w:val="20"/>
        </w:rPr>
        <w:t> </w:t>
      </w:r>
      <w:r>
        <w:rPr>
          <w:sz w:val="20"/>
        </w:rPr>
        <w:t>sancionado</w:t>
      </w:r>
      <w:r>
        <w:rPr>
          <w:spacing w:val="-8"/>
          <w:sz w:val="20"/>
        </w:rPr>
        <w:t> </w:t>
      </w:r>
      <w:r>
        <w:rPr>
          <w:sz w:val="20"/>
        </w:rPr>
        <w:t>con</w:t>
      </w:r>
      <w:r>
        <w:rPr>
          <w:spacing w:val="-8"/>
          <w:sz w:val="20"/>
        </w:rPr>
        <w:t> </w:t>
      </w:r>
      <w:r>
        <w:rPr>
          <w:sz w:val="20"/>
        </w:rPr>
        <w:t>pena</w:t>
      </w:r>
      <w:r>
        <w:rPr>
          <w:spacing w:val="-8"/>
          <w:sz w:val="20"/>
        </w:rPr>
        <w:t> </w:t>
      </w:r>
      <w:r>
        <w:rPr>
          <w:spacing w:val="-2"/>
          <w:sz w:val="20"/>
        </w:rPr>
        <w:t>corporal.</w:t>
      </w:r>
    </w:p>
    <w:p>
      <w:pPr>
        <w:pStyle w:val="BodyText"/>
        <w:spacing w:before="229"/>
        <w:ind w:left="626"/>
      </w:pPr>
      <w:bookmarkStart w:name="Artículo_557" w:id="708"/>
      <w:bookmarkEnd w:id="708"/>
      <w:r>
        <w:rPr/>
      </w:r>
      <w:r>
        <w:rPr>
          <w:rFonts w:ascii="Arial" w:hAnsi="Arial"/>
          <w:b/>
        </w:rPr>
        <w:t>Artículo</w:t>
      </w:r>
      <w:r>
        <w:rPr>
          <w:rFonts w:ascii="Arial" w:hAnsi="Arial"/>
          <w:b/>
          <w:spacing w:val="-8"/>
        </w:rPr>
        <w:t> </w:t>
      </w:r>
      <w:r>
        <w:rPr>
          <w:rFonts w:ascii="Arial" w:hAnsi="Arial"/>
          <w:b/>
        </w:rPr>
        <w:t>557.-</w:t>
      </w:r>
      <w:r>
        <w:rPr>
          <w:rFonts w:ascii="Arial" w:hAnsi="Arial"/>
          <w:b/>
          <w:spacing w:val="-5"/>
        </w:rPr>
        <w:t> </w:t>
      </w:r>
      <w:r>
        <w:rPr/>
        <w:t>El</w:t>
      </w:r>
      <w:r>
        <w:rPr>
          <w:spacing w:val="-7"/>
        </w:rPr>
        <w:t> </w:t>
      </w:r>
      <w:r>
        <w:rPr/>
        <w:t>Consejo</w:t>
      </w:r>
      <w:r>
        <w:rPr>
          <w:spacing w:val="-6"/>
        </w:rPr>
        <w:t> </w:t>
      </w:r>
      <w:r>
        <w:rPr/>
        <w:t>de</w:t>
      </w:r>
      <w:r>
        <w:rPr>
          <w:spacing w:val="-9"/>
        </w:rPr>
        <w:t> </w:t>
      </w:r>
      <w:r>
        <w:rPr/>
        <w:t>Representantes</w:t>
      </w:r>
      <w:r>
        <w:rPr>
          <w:spacing w:val="-7"/>
        </w:rPr>
        <w:t> </w:t>
      </w:r>
      <w:r>
        <w:rPr/>
        <w:t>tiene</w:t>
      </w:r>
      <w:r>
        <w:rPr>
          <w:spacing w:val="-7"/>
        </w:rPr>
        <w:t> </w:t>
      </w:r>
      <w:r>
        <w:rPr/>
        <w:t>los</w:t>
      </w:r>
      <w:r>
        <w:rPr>
          <w:spacing w:val="-7"/>
        </w:rPr>
        <w:t> </w:t>
      </w:r>
      <w:r>
        <w:rPr/>
        <w:t>deberes</w:t>
      </w:r>
      <w:r>
        <w:rPr>
          <w:spacing w:val="-3"/>
        </w:rPr>
        <w:t> </w:t>
      </w:r>
      <w:r>
        <w:rPr/>
        <w:t>y</w:t>
      </w:r>
      <w:r>
        <w:rPr>
          <w:spacing w:val="-11"/>
        </w:rPr>
        <w:t> </w:t>
      </w:r>
      <w:r>
        <w:rPr/>
        <w:t>atribuciones</w:t>
      </w:r>
      <w:r>
        <w:rPr>
          <w:spacing w:val="-7"/>
        </w:rPr>
        <w:t> </w:t>
      </w:r>
      <w:r>
        <w:rPr>
          <w:spacing w:val="-2"/>
        </w:rPr>
        <w:t>siguientes:</w:t>
      </w:r>
    </w:p>
    <w:p>
      <w:pPr>
        <w:pStyle w:val="BodyText"/>
      </w:pPr>
    </w:p>
    <w:p>
      <w:pPr>
        <w:pStyle w:val="ListParagraph"/>
        <w:numPr>
          <w:ilvl w:val="0"/>
          <w:numId w:val="235"/>
        </w:numPr>
        <w:tabs>
          <w:tab w:pos="1195" w:val="left" w:leader="none"/>
        </w:tabs>
        <w:spacing w:line="240" w:lineRule="auto" w:before="1" w:after="0"/>
        <w:ind w:left="1195" w:right="0" w:hanging="569"/>
        <w:jc w:val="left"/>
        <w:rPr>
          <w:sz w:val="20"/>
        </w:rPr>
      </w:pPr>
      <w:r>
        <w:rPr>
          <w:sz w:val="20"/>
        </w:rPr>
        <w:t>Determinar,</w:t>
      </w:r>
      <w:r>
        <w:rPr>
          <w:spacing w:val="-7"/>
          <w:sz w:val="20"/>
        </w:rPr>
        <w:t> </w:t>
      </w:r>
      <w:r>
        <w:rPr>
          <w:sz w:val="20"/>
        </w:rPr>
        <w:t>en</w:t>
      </w:r>
      <w:r>
        <w:rPr>
          <w:spacing w:val="-4"/>
          <w:sz w:val="20"/>
        </w:rPr>
        <w:t> </w:t>
      </w:r>
      <w:r>
        <w:rPr>
          <w:sz w:val="20"/>
        </w:rPr>
        <w:t>la</w:t>
      </w:r>
      <w:r>
        <w:rPr>
          <w:spacing w:val="-4"/>
          <w:sz w:val="20"/>
        </w:rPr>
        <w:t> </w:t>
      </w:r>
      <w:r>
        <w:rPr>
          <w:sz w:val="20"/>
        </w:rPr>
        <w:t>primera</w:t>
      </w:r>
      <w:r>
        <w:rPr>
          <w:spacing w:val="-7"/>
          <w:sz w:val="20"/>
        </w:rPr>
        <w:t> </w:t>
      </w:r>
      <w:r>
        <w:rPr>
          <w:sz w:val="20"/>
        </w:rPr>
        <w:t>sesión,</w:t>
      </w:r>
      <w:r>
        <w:rPr>
          <w:spacing w:val="-4"/>
          <w:sz w:val="20"/>
        </w:rPr>
        <w:t> </w:t>
      </w:r>
      <w:r>
        <w:rPr>
          <w:sz w:val="20"/>
        </w:rPr>
        <w:t>su</w:t>
      </w:r>
      <w:r>
        <w:rPr>
          <w:spacing w:val="-6"/>
          <w:sz w:val="20"/>
        </w:rPr>
        <w:t> </w:t>
      </w:r>
      <w:r>
        <w:rPr>
          <w:sz w:val="20"/>
        </w:rPr>
        <w:t>forma</w:t>
      </w:r>
      <w:r>
        <w:rPr>
          <w:spacing w:val="-6"/>
          <w:sz w:val="20"/>
        </w:rPr>
        <w:t> </w:t>
      </w:r>
      <w:r>
        <w:rPr>
          <w:sz w:val="20"/>
        </w:rPr>
        <w:t>de</w:t>
      </w:r>
      <w:r>
        <w:rPr>
          <w:spacing w:val="-6"/>
          <w:sz w:val="20"/>
        </w:rPr>
        <w:t> </w:t>
      </w:r>
      <w:r>
        <w:rPr>
          <w:sz w:val="20"/>
        </w:rPr>
        <w:t>trabajo</w:t>
      </w:r>
      <w:r>
        <w:rPr>
          <w:spacing w:val="-5"/>
          <w:sz w:val="20"/>
        </w:rPr>
        <w:t> </w:t>
      </w:r>
      <w:r>
        <w:rPr>
          <w:sz w:val="20"/>
        </w:rPr>
        <w:t>y</w:t>
      </w:r>
      <w:r>
        <w:rPr>
          <w:spacing w:val="-7"/>
          <w:sz w:val="20"/>
        </w:rPr>
        <w:t> </w:t>
      </w:r>
      <w:r>
        <w:rPr>
          <w:sz w:val="20"/>
        </w:rPr>
        <w:t>la</w:t>
      </w:r>
      <w:r>
        <w:rPr>
          <w:spacing w:val="-6"/>
          <w:sz w:val="20"/>
        </w:rPr>
        <w:t> </w:t>
      </w:r>
      <w:r>
        <w:rPr>
          <w:sz w:val="20"/>
        </w:rPr>
        <w:t>frecuencia</w:t>
      </w:r>
      <w:r>
        <w:rPr>
          <w:spacing w:val="-4"/>
          <w:sz w:val="20"/>
        </w:rPr>
        <w:t> </w:t>
      </w:r>
      <w:r>
        <w:rPr>
          <w:sz w:val="20"/>
        </w:rPr>
        <w:t>de</w:t>
      </w:r>
      <w:r>
        <w:rPr>
          <w:spacing w:val="-6"/>
          <w:sz w:val="20"/>
        </w:rPr>
        <w:t> </w:t>
      </w:r>
      <w:r>
        <w:rPr>
          <w:sz w:val="20"/>
        </w:rPr>
        <w:t>las</w:t>
      </w:r>
      <w:r>
        <w:rPr>
          <w:spacing w:val="-5"/>
          <w:sz w:val="20"/>
        </w:rPr>
        <w:t> </w:t>
      </w:r>
      <w:r>
        <w:rPr>
          <w:spacing w:val="-2"/>
          <w:sz w:val="20"/>
        </w:rPr>
        <w:t>sesiones;</w:t>
      </w:r>
    </w:p>
    <w:p>
      <w:pPr>
        <w:pStyle w:val="BodyText"/>
      </w:pPr>
    </w:p>
    <w:p>
      <w:pPr>
        <w:pStyle w:val="ListParagraph"/>
        <w:numPr>
          <w:ilvl w:val="0"/>
          <w:numId w:val="235"/>
        </w:numPr>
        <w:tabs>
          <w:tab w:pos="1195" w:val="left" w:leader="none"/>
        </w:tabs>
        <w:spacing w:line="240" w:lineRule="auto" w:before="0" w:after="0"/>
        <w:ind w:left="1195" w:right="0" w:hanging="569"/>
        <w:jc w:val="left"/>
        <w:rPr>
          <w:sz w:val="20"/>
        </w:rPr>
      </w:pPr>
      <w:r>
        <w:rPr>
          <w:sz w:val="20"/>
        </w:rPr>
        <w:t>Aprobar</w:t>
      </w:r>
      <w:r>
        <w:rPr>
          <w:spacing w:val="-8"/>
          <w:sz w:val="20"/>
        </w:rPr>
        <w:t> </w:t>
      </w:r>
      <w:r>
        <w:rPr>
          <w:sz w:val="20"/>
        </w:rPr>
        <w:t>anualmente</w:t>
      </w:r>
      <w:r>
        <w:rPr>
          <w:spacing w:val="-8"/>
          <w:sz w:val="20"/>
        </w:rPr>
        <w:t> </w:t>
      </w:r>
      <w:r>
        <w:rPr>
          <w:sz w:val="20"/>
        </w:rPr>
        <w:t>el</w:t>
      </w:r>
      <w:r>
        <w:rPr>
          <w:spacing w:val="-6"/>
          <w:sz w:val="20"/>
        </w:rPr>
        <w:t> </w:t>
      </w:r>
      <w:r>
        <w:rPr>
          <w:sz w:val="20"/>
        </w:rPr>
        <w:t>plan</w:t>
      </w:r>
      <w:r>
        <w:rPr>
          <w:spacing w:val="-7"/>
          <w:sz w:val="20"/>
        </w:rPr>
        <w:t> </w:t>
      </w:r>
      <w:r>
        <w:rPr>
          <w:sz w:val="20"/>
        </w:rPr>
        <w:t>de</w:t>
      </w:r>
      <w:r>
        <w:rPr>
          <w:spacing w:val="-5"/>
          <w:sz w:val="20"/>
        </w:rPr>
        <w:t> </w:t>
      </w:r>
      <w:r>
        <w:rPr>
          <w:sz w:val="20"/>
        </w:rPr>
        <w:t>trabajo</w:t>
      </w:r>
      <w:r>
        <w:rPr>
          <w:spacing w:val="-3"/>
          <w:sz w:val="20"/>
        </w:rPr>
        <w:t> </w:t>
      </w:r>
      <w:r>
        <w:rPr>
          <w:sz w:val="20"/>
        </w:rPr>
        <w:t>de</w:t>
      </w:r>
      <w:r>
        <w:rPr>
          <w:spacing w:val="-6"/>
          <w:sz w:val="20"/>
        </w:rPr>
        <w:t> </w:t>
      </w:r>
      <w:r>
        <w:rPr>
          <w:sz w:val="20"/>
        </w:rPr>
        <w:t>la</w:t>
      </w:r>
      <w:r>
        <w:rPr>
          <w:spacing w:val="-7"/>
          <w:sz w:val="20"/>
        </w:rPr>
        <w:t> </w:t>
      </w:r>
      <w:r>
        <w:rPr>
          <w:sz w:val="20"/>
        </w:rPr>
        <w:t>Dirección</w:t>
      </w:r>
      <w:r>
        <w:rPr>
          <w:spacing w:val="-6"/>
          <w:sz w:val="20"/>
        </w:rPr>
        <w:t> </w:t>
      </w:r>
      <w:r>
        <w:rPr>
          <w:spacing w:val="-2"/>
          <w:sz w:val="20"/>
        </w:rPr>
        <w:t>Técnica;</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3"/>
      </w:pPr>
    </w:p>
    <w:p>
      <w:pPr>
        <w:pStyle w:val="ListParagraph"/>
        <w:numPr>
          <w:ilvl w:val="0"/>
          <w:numId w:val="235"/>
        </w:numPr>
        <w:tabs>
          <w:tab w:pos="1191" w:val="left" w:leader="none"/>
          <w:tab w:pos="1195" w:val="left" w:leader="none"/>
        </w:tabs>
        <w:spacing w:line="242" w:lineRule="auto" w:before="0" w:after="0"/>
        <w:ind w:left="1195" w:right="344" w:hanging="569"/>
        <w:jc w:val="both"/>
        <w:rPr>
          <w:sz w:val="20"/>
        </w:rPr>
      </w:pPr>
      <w:r>
        <w:rPr>
          <w:sz w:val="20"/>
        </w:rPr>
        <w:t>Conocer el dictamen formulado por la Dirección Técnica y dictar resolución en la que se determinen o modifiquen las áreas geográficas en las que regirán los salarios mínimos. La resolución se publicará en el Diario Oficial de la Federación;</w:t>
      </w:r>
    </w:p>
    <w:p>
      <w:pPr>
        <w:spacing w:line="179"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5"/>
        <w:rPr>
          <w:rFonts w:ascii="Times New Roman"/>
          <w:i/>
          <w:sz w:val="16"/>
        </w:rPr>
      </w:pPr>
    </w:p>
    <w:p>
      <w:pPr>
        <w:pStyle w:val="ListParagraph"/>
        <w:numPr>
          <w:ilvl w:val="0"/>
          <w:numId w:val="235"/>
        </w:numPr>
        <w:tabs>
          <w:tab w:pos="1195" w:val="left" w:leader="none"/>
        </w:tabs>
        <w:spacing w:line="242" w:lineRule="auto" w:before="0" w:after="0"/>
        <w:ind w:left="1195" w:right="342" w:hanging="569"/>
        <w:jc w:val="left"/>
        <w:rPr>
          <w:sz w:val="20"/>
        </w:rPr>
      </w:pPr>
      <w:r>
        <w:rPr>
          <w:sz w:val="20"/>
        </w:rPr>
        <w:t>Practicar</w:t>
      </w:r>
      <w:r>
        <w:rPr>
          <w:spacing w:val="40"/>
          <w:sz w:val="20"/>
        </w:rPr>
        <w:t> </w:t>
      </w:r>
      <w:r>
        <w:rPr>
          <w:sz w:val="20"/>
        </w:rPr>
        <w:t>y</w:t>
      </w:r>
      <w:r>
        <w:rPr>
          <w:spacing w:val="40"/>
          <w:sz w:val="20"/>
        </w:rPr>
        <w:t> </w:t>
      </w:r>
      <w:r>
        <w:rPr>
          <w:sz w:val="20"/>
        </w:rPr>
        <w:t>realizar</w:t>
      </w:r>
      <w:r>
        <w:rPr>
          <w:spacing w:val="40"/>
          <w:sz w:val="20"/>
        </w:rPr>
        <w:t> </w:t>
      </w:r>
      <w:r>
        <w:rPr>
          <w:sz w:val="20"/>
        </w:rPr>
        <w:t>directamente</w:t>
      </w:r>
      <w:r>
        <w:rPr>
          <w:spacing w:val="40"/>
          <w:sz w:val="20"/>
        </w:rPr>
        <w:t> </w:t>
      </w:r>
      <w:r>
        <w:rPr>
          <w:sz w:val="20"/>
        </w:rPr>
        <w:t>las</w:t>
      </w:r>
      <w:r>
        <w:rPr>
          <w:spacing w:val="40"/>
          <w:sz w:val="20"/>
        </w:rPr>
        <w:t> </w:t>
      </w:r>
      <w:r>
        <w:rPr>
          <w:sz w:val="20"/>
        </w:rPr>
        <w:t>investigaciones</w:t>
      </w:r>
      <w:r>
        <w:rPr>
          <w:spacing w:val="40"/>
          <w:sz w:val="20"/>
        </w:rPr>
        <w:t> </w:t>
      </w:r>
      <w:r>
        <w:rPr>
          <w:sz w:val="20"/>
        </w:rPr>
        <w:t>y</w:t>
      </w:r>
      <w:r>
        <w:rPr>
          <w:spacing w:val="40"/>
          <w:sz w:val="20"/>
        </w:rPr>
        <w:t> </w:t>
      </w:r>
      <w:r>
        <w:rPr>
          <w:sz w:val="20"/>
        </w:rPr>
        <w:t>estudios</w:t>
      </w:r>
      <w:r>
        <w:rPr>
          <w:spacing w:val="40"/>
          <w:sz w:val="20"/>
        </w:rPr>
        <w:t> </w:t>
      </w:r>
      <w:r>
        <w:rPr>
          <w:sz w:val="20"/>
        </w:rPr>
        <w:t>que</w:t>
      </w:r>
      <w:r>
        <w:rPr>
          <w:spacing w:val="40"/>
          <w:sz w:val="20"/>
        </w:rPr>
        <w:t> </w:t>
      </w:r>
      <w:r>
        <w:rPr>
          <w:sz w:val="20"/>
        </w:rPr>
        <w:t>juzgue</w:t>
      </w:r>
      <w:r>
        <w:rPr>
          <w:spacing w:val="40"/>
          <w:sz w:val="20"/>
        </w:rPr>
        <w:t> </w:t>
      </w:r>
      <w:r>
        <w:rPr>
          <w:sz w:val="20"/>
        </w:rPr>
        <w:t>conveniente</w:t>
      </w:r>
      <w:r>
        <w:rPr>
          <w:spacing w:val="40"/>
          <w:sz w:val="20"/>
        </w:rPr>
        <w:t> </w:t>
      </w:r>
      <w:r>
        <w:rPr>
          <w:sz w:val="20"/>
        </w:rPr>
        <w:t>y solicitar de la Dirección Técnica que efectúe investigaciones y estudios complementarios;</w:t>
      </w:r>
    </w:p>
    <w:p>
      <w:pPr>
        <w:spacing w:line="180"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5"/>
        <w:rPr>
          <w:rFonts w:ascii="Times New Roman"/>
          <w:i/>
          <w:sz w:val="16"/>
        </w:rPr>
      </w:pPr>
    </w:p>
    <w:p>
      <w:pPr>
        <w:pStyle w:val="ListParagraph"/>
        <w:numPr>
          <w:ilvl w:val="0"/>
          <w:numId w:val="235"/>
        </w:numPr>
        <w:tabs>
          <w:tab w:pos="1195" w:val="left" w:leader="none"/>
        </w:tabs>
        <w:spacing w:line="242" w:lineRule="auto" w:before="0" w:after="0"/>
        <w:ind w:left="1195" w:right="344" w:hanging="569"/>
        <w:jc w:val="left"/>
        <w:rPr>
          <w:sz w:val="20"/>
        </w:rPr>
      </w:pPr>
      <w:r>
        <w:rPr>
          <w:sz w:val="20"/>
        </w:rPr>
        <w:t>Designar</w:t>
      </w:r>
      <w:r>
        <w:rPr>
          <w:spacing w:val="28"/>
          <w:sz w:val="20"/>
        </w:rPr>
        <w:t> </w:t>
      </w:r>
      <w:r>
        <w:rPr>
          <w:sz w:val="20"/>
        </w:rPr>
        <w:t>una</w:t>
      </w:r>
      <w:r>
        <w:rPr>
          <w:spacing w:val="30"/>
          <w:sz w:val="20"/>
        </w:rPr>
        <w:t> </w:t>
      </w:r>
      <w:r>
        <w:rPr>
          <w:sz w:val="20"/>
        </w:rPr>
        <w:t>o</w:t>
      </w:r>
      <w:r>
        <w:rPr>
          <w:spacing w:val="30"/>
          <w:sz w:val="20"/>
        </w:rPr>
        <w:t> </w:t>
      </w:r>
      <w:r>
        <w:rPr>
          <w:sz w:val="20"/>
        </w:rPr>
        <w:t>varias</w:t>
      </w:r>
      <w:r>
        <w:rPr>
          <w:spacing w:val="29"/>
          <w:sz w:val="20"/>
        </w:rPr>
        <w:t> </w:t>
      </w:r>
      <w:r>
        <w:rPr>
          <w:sz w:val="20"/>
        </w:rPr>
        <w:t>comisiones</w:t>
      </w:r>
      <w:r>
        <w:rPr>
          <w:spacing w:val="29"/>
          <w:sz w:val="20"/>
        </w:rPr>
        <w:t> </w:t>
      </w:r>
      <w:r>
        <w:rPr>
          <w:sz w:val="20"/>
        </w:rPr>
        <w:t>o</w:t>
      </w:r>
      <w:r>
        <w:rPr>
          <w:spacing w:val="28"/>
          <w:sz w:val="20"/>
        </w:rPr>
        <w:t> </w:t>
      </w:r>
      <w:r>
        <w:rPr>
          <w:sz w:val="20"/>
        </w:rPr>
        <w:t>técnicos</w:t>
      </w:r>
      <w:r>
        <w:rPr>
          <w:spacing w:val="29"/>
          <w:sz w:val="20"/>
        </w:rPr>
        <w:t> </w:t>
      </w:r>
      <w:r>
        <w:rPr>
          <w:sz w:val="20"/>
        </w:rPr>
        <w:t>para</w:t>
      </w:r>
      <w:r>
        <w:rPr>
          <w:spacing w:val="31"/>
          <w:sz w:val="20"/>
        </w:rPr>
        <w:t> </w:t>
      </w:r>
      <w:r>
        <w:rPr>
          <w:sz w:val="20"/>
        </w:rPr>
        <w:t>que</w:t>
      </w:r>
      <w:r>
        <w:rPr>
          <w:spacing w:val="30"/>
          <w:sz w:val="20"/>
        </w:rPr>
        <w:t> </w:t>
      </w:r>
      <w:r>
        <w:rPr>
          <w:sz w:val="20"/>
        </w:rPr>
        <w:t>practiquen</w:t>
      </w:r>
      <w:r>
        <w:rPr>
          <w:spacing w:val="30"/>
          <w:sz w:val="20"/>
        </w:rPr>
        <w:t> </w:t>
      </w:r>
      <w:r>
        <w:rPr>
          <w:sz w:val="20"/>
        </w:rPr>
        <w:t>investigaciones</w:t>
      </w:r>
      <w:r>
        <w:rPr>
          <w:spacing w:val="29"/>
          <w:sz w:val="20"/>
        </w:rPr>
        <w:t> </w:t>
      </w:r>
      <w:r>
        <w:rPr>
          <w:sz w:val="20"/>
        </w:rPr>
        <w:t>o</w:t>
      </w:r>
      <w:r>
        <w:rPr>
          <w:spacing w:val="30"/>
          <w:sz w:val="20"/>
        </w:rPr>
        <w:t> </w:t>
      </w:r>
      <w:r>
        <w:rPr>
          <w:sz w:val="20"/>
        </w:rPr>
        <w:t>realicen estudios especiales;</w:t>
      </w:r>
    </w:p>
    <w:p>
      <w:pPr>
        <w:pStyle w:val="ListParagraph"/>
        <w:numPr>
          <w:ilvl w:val="0"/>
          <w:numId w:val="235"/>
        </w:numPr>
        <w:tabs>
          <w:tab w:pos="1195" w:val="left" w:leader="none"/>
        </w:tabs>
        <w:spacing w:line="242" w:lineRule="auto" w:before="227" w:after="0"/>
        <w:ind w:left="1195" w:right="344" w:hanging="569"/>
        <w:jc w:val="left"/>
        <w:rPr>
          <w:sz w:val="20"/>
        </w:rPr>
      </w:pPr>
      <w:r>
        <w:rPr>
          <w:sz w:val="20"/>
        </w:rPr>
        <w:t>Aprobar la creación de comisiones consultivas de la Comisión Nacional y determinar las bases para su integración y funcionamiento.</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ListParagraph"/>
        <w:numPr>
          <w:ilvl w:val="0"/>
          <w:numId w:val="235"/>
        </w:numPr>
        <w:tabs>
          <w:tab w:pos="1195" w:val="left" w:leader="none"/>
        </w:tabs>
        <w:spacing w:line="240" w:lineRule="auto" w:before="0" w:after="0"/>
        <w:ind w:left="1195" w:right="0" w:hanging="569"/>
        <w:jc w:val="left"/>
        <w:rPr>
          <w:sz w:val="20"/>
        </w:rPr>
      </w:pPr>
      <w:r>
        <w:rPr>
          <w:sz w:val="20"/>
        </w:rPr>
        <w:t>Conocer</w:t>
      </w:r>
      <w:r>
        <w:rPr>
          <w:spacing w:val="-5"/>
          <w:sz w:val="20"/>
        </w:rPr>
        <w:t> </w:t>
      </w:r>
      <w:r>
        <w:rPr>
          <w:sz w:val="20"/>
        </w:rPr>
        <w:t>las</w:t>
      </w:r>
      <w:r>
        <w:rPr>
          <w:spacing w:val="-7"/>
          <w:sz w:val="20"/>
        </w:rPr>
        <w:t> </w:t>
      </w:r>
      <w:r>
        <w:rPr>
          <w:sz w:val="20"/>
        </w:rPr>
        <w:t>opiniones</w:t>
      </w:r>
      <w:r>
        <w:rPr>
          <w:spacing w:val="-7"/>
          <w:sz w:val="20"/>
        </w:rPr>
        <w:t> </w:t>
      </w:r>
      <w:r>
        <w:rPr>
          <w:sz w:val="20"/>
        </w:rPr>
        <w:t>que</w:t>
      </w:r>
      <w:r>
        <w:rPr>
          <w:spacing w:val="-7"/>
          <w:sz w:val="20"/>
        </w:rPr>
        <w:t> </w:t>
      </w:r>
      <w:r>
        <w:rPr>
          <w:sz w:val="20"/>
        </w:rPr>
        <w:t>formulen</w:t>
      </w:r>
      <w:r>
        <w:rPr>
          <w:spacing w:val="-8"/>
          <w:sz w:val="20"/>
        </w:rPr>
        <w:t> </w:t>
      </w:r>
      <w:r>
        <w:rPr>
          <w:sz w:val="20"/>
        </w:rPr>
        <w:t>las</w:t>
      </w:r>
      <w:r>
        <w:rPr>
          <w:spacing w:val="-7"/>
          <w:sz w:val="20"/>
        </w:rPr>
        <w:t> </w:t>
      </w:r>
      <w:r>
        <w:rPr>
          <w:sz w:val="20"/>
        </w:rPr>
        <w:t>comisiones</w:t>
      </w:r>
      <w:r>
        <w:rPr>
          <w:spacing w:val="-7"/>
          <w:sz w:val="20"/>
        </w:rPr>
        <w:t> </w:t>
      </w:r>
      <w:r>
        <w:rPr>
          <w:sz w:val="20"/>
        </w:rPr>
        <w:t>consultivas</w:t>
      </w:r>
      <w:r>
        <w:rPr>
          <w:spacing w:val="-7"/>
          <w:sz w:val="20"/>
        </w:rPr>
        <w:t> </w:t>
      </w:r>
      <w:r>
        <w:rPr>
          <w:sz w:val="20"/>
        </w:rPr>
        <w:t>al</w:t>
      </w:r>
      <w:r>
        <w:rPr>
          <w:spacing w:val="-6"/>
          <w:sz w:val="20"/>
        </w:rPr>
        <w:t> </w:t>
      </w:r>
      <w:r>
        <w:rPr>
          <w:sz w:val="20"/>
        </w:rPr>
        <w:t>término</w:t>
      </w:r>
      <w:r>
        <w:rPr>
          <w:spacing w:val="-9"/>
          <w:sz w:val="20"/>
        </w:rPr>
        <w:t> </w:t>
      </w:r>
      <w:r>
        <w:rPr>
          <w:sz w:val="20"/>
        </w:rPr>
        <w:t>de</w:t>
      </w:r>
      <w:r>
        <w:rPr>
          <w:spacing w:val="-8"/>
          <w:sz w:val="20"/>
        </w:rPr>
        <w:t> </w:t>
      </w:r>
      <w:r>
        <w:rPr>
          <w:sz w:val="20"/>
        </w:rPr>
        <w:t>sus</w:t>
      </w:r>
      <w:r>
        <w:rPr>
          <w:spacing w:val="-5"/>
          <w:sz w:val="20"/>
        </w:rPr>
        <w:t> </w:t>
      </w:r>
      <w:r>
        <w:rPr>
          <w:spacing w:val="-2"/>
          <w:sz w:val="20"/>
        </w:rPr>
        <w:t>trabajos;</w:t>
      </w:r>
    </w:p>
    <w:p>
      <w:pPr>
        <w:spacing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ListParagraph"/>
        <w:numPr>
          <w:ilvl w:val="0"/>
          <w:numId w:val="235"/>
        </w:numPr>
        <w:tabs>
          <w:tab w:pos="1195" w:val="left" w:leader="none"/>
        </w:tabs>
        <w:spacing w:line="240" w:lineRule="auto" w:before="229" w:after="0"/>
        <w:ind w:left="1195" w:right="0" w:hanging="569"/>
        <w:jc w:val="left"/>
        <w:rPr>
          <w:sz w:val="20"/>
        </w:rPr>
      </w:pPr>
      <w:r>
        <w:rPr>
          <w:sz w:val="20"/>
        </w:rPr>
        <w:t>Fijar</w:t>
      </w:r>
      <w:r>
        <w:rPr>
          <w:spacing w:val="-9"/>
          <w:sz w:val="20"/>
        </w:rPr>
        <w:t> </w:t>
      </w:r>
      <w:r>
        <w:rPr>
          <w:sz w:val="20"/>
        </w:rPr>
        <w:t>los</w:t>
      </w:r>
      <w:r>
        <w:rPr>
          <w:spacing w:val="-7"/>
          <w:sz w:val="20"/>
        </w:rPr>
        <w:t> </w:t>
      </w:r>
      <w:r>
        <w:rPr>
          <w:sz w:val="20"/>
        </w:rPr>
        <w:t>salarios</w:t>
      </w:r>
      <w:r>
        <w:rPr>
          <w:spacing w:val="-7"/>
          <w:sz w:val="20"/>
        </w:rPr>
        <w:t> </w:t>
      </w:r>
      <w:r>
        <w:rPr>
          <w:sz w:val="20"/>
        </w:rPr>
        <w:t>mínimos</w:t>
      </w:r>
      <w:r>
        <w:rPr>
          <w:spacing w:val="-8"/>
          <w:sz w:val="20"/>
        </w:rPr>
        <w:t> </w:t>
      </w:r>
      <w:r>
        <w:rPr>
          <w:sz w:val="20"/>
        </w:rPr>
        <w:t>generales</w:t>
      </w:r>
      <w:r>
        <w:rPr>
          <w:spacing w:val="-3"/>
          <w:sz w:val="20"/>
        </w:rPr>
        <w:t> </w:t>
      </w:r>
      <w:r>
        <w:rPr>
          <w:sz w:val="20"/>
        </w:rPr>
        <w:t>y</w:t>
      </w:r>
      <w:r>
        <w:rPr>
          <w:spacing w:val="-11"/>
          <w:sz w:val="20"/>
        </w:rPr>
        <w:t> </w:t>
      </w:r>
      <w:r>
        <w:rPr>
          <w:sz w:val="20"/>
        </w:rPr>
        <w:t>profesionales;</w:t>
      </w:r>
      <w:r>
        <w:rPr>
          <w:spacing w:val="-7"/>
          <w:sz w:val="20"/>
        </w:rPr>
        <w:t> </w:t>
      </w:r>
      <w:r>
        <w:rPr>
          <w:spacing w:val="-10"/>
          <w:sz w:val="20"/>
        </w:rPr>
        <w:t>y</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1"/>
        <w:rPr>
          <w:rFonts w:ascii="Times New Roman"/>
          <w:i/>
        </w:rPr>
      </w:pPr>
    </w:p>
    <w:p>
      <w:pPr>
        <w:pStyle w:val="ListParagraph"/>
        <w:numPr>
          <w:ilvl w:val="0"/>
          <w:numId w:val="235"/>
        </w:numPr>
        <w:tabs>
          <w:tab w:pos="1195" w:val="left" w:leader="none"/>
        </w:tabs>
        <w:spacing w:line="229" w:lineRule="exact" w:before="0" w:after="0"/>
        <w:ind w:left="1195" w:right="0" w:hanging="569"/>
        <w:jc w:val="left"/>
        <w:rPr>
          <w:sz w:val="20"/>
        </w:rPr>
      </w:pPr>
      <w:r>
        <w:rPr>
          <w:sz w:val="20"/>
        </w:rPr>
        <w:t>Los</w:t>
      </w:r>
      <w:r>
        <w:rPr>
          <w:spacing w:val="-5"/>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confieran</w:t>
      </w:r>
      <w:r>
        <w:rPr>
          <w:spacing w:val="-6"/>
          <w:sz w:val="20"/>
        </w:rPr>
        <w:t> </w:t>
      </w:r>
      <w:r>
        <w:rPr>
          <w:sz w:val="20"/>
        </w:rPr>
        <w:t>las</w:t>
      </w:r>
      <w:r>
        <w:rPr>
          <w:spacing w:val="-3"/>
          <w:sz w:val="20"/>
        </w:rPr>
        <w:t> </w:t>
      </w:r>
      <w:r>
        <w:rPr>
          <w:spacing w:val="-2"/>
          <w:sz w:val="20"/>
        </w:rPr>
        <w:t>leyes.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1"/>
        <w:rPr>
          <w:rFonts w:ascii="Times New Roman"/>
          <w:i/>
        </w:rPr>
      </w:pPr>
    </w:p>
    <w:p>
      <w:pPr>
        <w:spacing w:before="0"/>
        <w:ind w:left="626" w:right="0" w:firstLine="0"/>
        <w:jc w:val="left"/>
        <w:rPr>
          <w:sz w:val="20"/>
        </w:rPr>
      </w:pPr>
      <w:bookmarkStart w:name="Artículo_558" w:id="709"/>
      <w:bookmarkEnd w:id="709"/>
      <w:r>
        <w:rPr/>
      </w:r>
      <w:r>
        <w:rPr>
          <w:rFonts w:ascii="Arial" w:hAnsi="Arial"/>
          <w:b/>
          <w:sz w:val="20"/>
        </w:rPr>
        <w:t>Artículo</w:t>
      </w:r>
      <w:r>
        <w:rPr>
          <w:rFonts w:ascii="Arial" w:hAnsi="Arial"/>
          <w:b/>
          <w:spacing w:val="-6"/>
          <w:sz w:val="20"/>
        </w:rPr>
        <w:t> </w:t>
      </w:r>
      <w:r>
        <w:rPr>
          <w:rFonts w:ascii="Arial" w:hAnsi="Arial"/>
          <w:b/>
          <w:sz w:val="20"/>
        </w:rPr>
        <w:t>558.-</w:t>
      </w:r>
      <w:r>
        <w:rPr>
          <w:rFonts w:ascii="Arial" w:hAnsi="Arial"/>
          <w:b/>
          <w:spacing w:val="-6"/>
          <w:sz w:val="20"/>
        </w:rPr>
        <w:t> </w:t>
      </w:r>
      <w:r>
        <w:rPr>
          <w:sz w:val="20"/>
        </w:rPr>
        <w:t>La</w:t>
      </w:r>
      <w:r>
        <w:rPr>
          <w:spacing w:val="-7"/>
          <w:sz w:val="20"/>
        </w:rPr>
        <w:t> </w:t>
      </w:r>
      <w:r>
        <w:rPr>
          <w:sz w:val="20"/>
        </w:rPr>
        <w:t>Dirección</w:t>
      </w:r>
      <w:r>
        <w:rPr>
          <w:spacing w:val="-5"/>
          <w:sz w:val="20"/>
        </w:rPr>
        <w:t> </w:t>
      </w:r>
      <w:r>
        <w:rPr>
          <w:sz w:val="20"/>
        </w:rPr>
        <w:t>Técnica</w:t>
      </w:r>
      <w:r>
        <w:rPr>
          <w:spacing w:val="-7"/>
          <w:sz w:val="20"/>
        </w:rPr>
        <w:t> </w:t>
      </w:r>
      <w:r>
        <w:rPr>
          <w:sz w:val="20"/>
        </w:rPr>
        <w:t>se</w:t>
      </w:r>
      <w:r>
        <w:rPr>
          <w:spacing w:val="-7"/>
          <w:sz w:val="20"/>
        </w:rPr>
        <w:t> </w:t>
      </w:r>
      <w:r>
        <w:rPr>
          <w:spacing w:val="-2"/>
          <w:sz w:val="20"/>
        </w:rPr>
        <w:t>integrará:</w:t>
      </w:r>
    </w:p>
    <w:p>
      <w:pPr>
        <w:pStyle w:val="BodyText"/>
        <w:spacing w:before="1"/>
      </w:pPr>
    </w:p>
    <w:p>
      <w:pPr>
        <w:pStyle w:val="ListParagraph"/>
        <w:numPr>
          <w:ilvl w:val="0"/>
          <w:numId w:val="236"/>
        </w:numPr>
        <w:tabs>
          <w:tab w:pos="1195" w:val="left" w:leader="none"/>
        </w:tabs>
        <w:spacing w:line="240" w:lineRule="auto" w:before="0" w:after="0"/>
        <w:ind w:left="1195" w:right="0" w:hanging="569"/>
        <w:jc w:val="left"/>
        <w:rPr>
          <w:sz w:val="20"/>
        </w:rPr>
      </w:pPr>
      <w:r>
        <w:rPr>
          <w:sz w:val="20"/>
        </w:rPr>
        <w:t>Con</w:t>
      </w:r>
      <w:r>
        <w:rPr>
          <w:spacing w:val="-8"/>
          <w:sz w:val="20"/>
        </w:rPr>
        <w:t> </w:t>
      </w:r>
      <w:r>
        <w:rPr>
          <w:sz w:val="20"/>
        </w:rPr>
        <w:t>un</w:t>
      </w:r>
      <w:r>
        <w:rPr>
          <w:spacing w:val="-7"/>
          <w:sz w:val="20"/>
        </w:rPr>
        <w:t> </w:t>
      </w:r>
      <w:r>
        <w:rPr>
          <w:sz w:val="20"/>
        </w:rPr>
        <w:t>Director,</w:t>
      </w:r>
      <w:r>
        <w:rPr>
          <w:spacing w:val="-7"/>
          <w:sz w:val="20"/>
        </w:rPr>
        <w:t> </w:t>
      </w:r>
      <w:r>
        <w:rPr>
          <w:sz w:val="20"/>
        </w:rPr>
        <w:t>nombrado</w:t>
      </w:r>
      <w:r>
        <w:rPr>
          <w:spacing w:val="-8"/>
          <w:sz w:val="20"/>
        </w:rPr>
        <w:t> </w:t>
      </w:r>
      <w:r>
        <w:rPr>
          <w:sz w:val="20"/>
        </w:rPr>
        <w:t>por</w:t>
      </w:r>
      <w:r>
        <w:rPr>
          <w:spacing w:val="-6"/>
          <w:sz w:val="20"/>
        </w:rPr>
        <w:t> </w:t>
      </w:r>
      <w:r>
        <w:rPr>
          <w:sz w:val="20"/>
        </w:rPr>
        <w:t>la</w:t>
      </w:r>
      <w:r>
        <w:rPr>
          <w:spacing w:val="-7"/>
          <w:sz w:val="20"/>
        </w:rPr>
        <w:t> </w:t>
      </w:r>
      <w:r>
        <w:rPr>
          <w:sz w:val="20"/>
        </w:rPr>
        <w:t>Secretaría</w:t>
      </w:r>
      <w:r>
        <w:rPr>
          <w:spacing w:val="-5"/>
          <w:sz w:val="20"/>
        </w:rPr>
        <w:t> </w:t>
      </w:r>
      <w:r>
        <w:rPr>
          <w:sz w:val="20"/>
        </w:rPr>
        <w:t>del</w:t>
      </w:r>
      <w:r>
        <w:rPr>
          <w:spacing w:val="-8"/>
          <w:sz w:val="20"/>
        </w:rPr>
        <w:t> </w:t>
      </w:r>
      <w:r>
        <w:rPr>
          <w:sz w:val="20"/>
        </w:rPr>
        <w:t>Trabajo</w:t>
      </w:r>
      <w:r>
        <w:rPr>
          <w:spacing w:val="-5"/>
          <w:sz w:val="20"/>
        </w:rPr>
        <w:t> </w:t>
      </w:r>
      <w:r>
        <w:rPr>
          <w:sz w:val="20"/>
        </w:rPr>
        <w:t>y</w:t>
      </w:r>
      <w:r>
        <w:rPr>
          <w:spacing w:val="-9"/>
          <w:sz w:val="20"/>
        </w:rPr>
        <w:t> </w:t>
      </w:r>
      <w:r>
        <w:rPr>
          <w:sz w:val="20"/>
        </w:rPr>
        <w:t>Previsión</w:t>
      </w:r>
      <w:r>
        <w:rPr>
          <w:spacing w:val="-7"/>
          <w:sz w:val="20"/>
        </w:rPr>
        <w:t> </w:t>
      </w:r>
      <w:r>
        <w:rPr>
          <w:spacing w:val="-2"/>
          <w:sz w:val="20"/>
        </w:rPr>
        <w:t>Social;</w:t>
      </w:r>
    </w:p>
    <w:p>
      <w:pPr>
        <w:pStyle w:val="ListParagraph"/>
        <w:numPr>
          <w:ilvl w:val="0"/>
          <w:numId w:val="236"/>
        </w:numPr>
        <w:tabs>
          <w:tab w:pos="1195" w:val="left" w:leader="none"/>
        </w:tabs>
        <w:spacing w:line="240" w:lineRule="auto" w:before="229" w:after="0"/>
        <w:ind w:left="1195" w:right="0" w:hanging="569"/>
        <w:jc w:val="left"/>
        <w:rPr>
          <w:sz w:val="20"/>
        </w:rPr>
      </w:pPr>
      <w:r>
        <w:rPr>
          <w:sz w:val="20"/>
        </w:rPr>
        <w:t>Con</w:t>
      </w:r>
      <w:r>
        <w:rPr>
          <w:spacing w:val="-8"/>
          <w:sz w:val="20"/>
        </w:rPr>
        <w:t> </w:t>
      </w:r>
      <w:r>
        <w:rPr>
          <w:sz w:val="20"/>
        </w:rPr>
        <w:t>el</w:t>
      </w:r>
      <w:r>
        <w:rPr>
          <w:spacing w:val="-8"/>
          <w:sz w:val="20"/>
        </w:rPr>
        <w:t> </w:t>
      </w:r>
      <w:r>
        <w:rPr>
          <w:sz w:val="20"/>
        </w:rPr>
        <w:t>número</w:t>
      </w:r>
      <w:r>
        <w:rPr>
          <w:spacing w:val="-7"/>
          <w:sz w:val="20"/>
        </w:rPr>
        <w:t> </w:t>
      </w:r>
      <w:r>
        <w:rPr>
          <w:sz w:val="20"/>
        </w:rPr>
        <w:t>de</w:t>
      </w:r>
      <w:r>
        <w:rPr>
          <w:spacing w:val="-8"/>
          <w:sz w:val="20"/>
        </w:rPr>
        <w:t> </w:t>
      </w:r>
      <w:r>
        <w:rPr>
          <w:sz w:val="20"/>
        </w:rPr>
        <w:t>Asesores</w:t>
      </w:r>
      <w:r>
        <w:rPr>
          <w:spacing w:val="-6"/>
          <w:sz w:val="20"/>
        </w:rPr>
        <w:t> </w:t>
      </w:r>
      <w:r>
        <w:rPr>
          <w:sz w:val="20"/>
        </w:rPr>
        <w:t>Técnicos</w:t>
      </w:r>
      <w:r>
        <w:rPr>
          <w:spacing w:val="-5"/>
          <w:sz w:val="20"/>
        </w:rPr>
        <w:t> </w:t>
      </w:r>
      <w:r>
        <w:rPr>
          <w:sz w:val="20"/>
        </w:rPr>
        <w:t>que</w:t>
      </w:r>
      <w:r>
        <w:rPr>
          <w:spacing w:val="-7"/>
          <w:sz w:val="20"/>
        </w:rPr>
        <w:t> </w:t>
      </w:r>
      <w:r>
        <w:rPr>
          <w:sz w:val="20"/>
        </w:rPr>
        <w:t>nombre</w:t>
      </w:r>
      <w:r>
        <w:rPr>
          <w:spacing w:val="-7"/>
          <w:sz w:val="20"/>
        </w:rPr>
        <w:t> </w:t>
      </w:r>
      <w:r>
        <w:rPr>
          <w:sz w:val="20"/>
        </w:rPr>
        <w:t>la</w:t>
      </w:r>
      <w:r>
        <w:rPr>
          <w:spacing w:val="-5"/>
          <w:sz w:val="20"/>
        </w:rPr>
        <w:t> </w:t>
      </w:r>
      <w:r>
        <w:rPr>
          <w:sz w:val="20"/>
        </w:rPr>
        <w:t>misma</w:t>
      </w:r>
      <w:r>
        <w:rPr>
          <w:spacing w:val="-7"/>
          <w:sz w:val="20"/>
        </w:rPr>
        <w:t> </w:t>
      </w:r>
      <w:r>
        <w:rPr>
          <w:sz w:val="20"/>
        </w:rPr>
        <w:t>Secretaría;</w:t>
      </w:r>
      <w:r>
        <w:rPr>
          <w:spacing w:val="-3"/>
          <w:sz w:val="20"/>
        </w:rPr>
        <w:t> </w:t>
      </w:r>
      <w:r>
        <w:rPr>
          <w:spacing w:val="-10"/>
          <w:sz w:val="20"/>
        </w:rPr>
        <w:t>y</w:t>
      </w:r>
    </w:p>
    <w:p>
      <w:pPr>
        <w:pStyle w:val="BodyText"/>
        <w:spacing w:before="1"/>
      </w:pPr>
    </w:p>
    <w:p>
      <w:pPr>
        <w:pStyle w:val="ListParagraph"/>
        <w:numPr>
          <w:ilvl w:val="0"/>
          <w:numId w:val="236"/>
        </w:numPr>
        <w:tabs>
          <w:tab w:pos="1191" w:val="left" w:leader="none"/>
          <w:tab w:pos="1195" w:val="left" w:leader="none"/>
        </w:tabs>
        <w:spacing w:line="240" w:lineRule="auto" w:before="0" w:after="0"/>
        <w:ind w:left="1195" w:right="341" w:hanging="569"/>
        <w:jc w:val="both"/>
        <w:rPr>
          <w:sz w:val="20"/>
        </w:rPr>
      </w:pPr>
      <w:r>
        <w:rPr>
          <w:sz w:val="20"/>
        </w:rPr>
        <w:t>Con un número igual, determinado por la Secretaría del</w:t>
      </w:r>
      <w:r>
        <w:rPr>
          <w:spacing w:val="-1"/>
          <w:sz w:val="20"/>
        </w:rPr>
        <w:t> </w:t>
      </w:r>
      <w:r>
        <w:rPr>
          <w:sz w:val="20"/>
        </w:rPr>
        <w:t>Trabajo y Previsión Social de Asesores Técnicos Auxiliares, designados por los representantes de los trabajadores y de los patrones. Estos asesores disfrutarán, con cargo al Presupuesto de Egresos de la Federación, de la</w:t>
      </w:r>
      <w:r>
        <w:rPr>
          <w:spacing w:val="40"/>
          <w:sz w:val="20"/>
        </w:rPr>
        <w:t> </w:t>
      </w:r>
      <w:r>
        <w:rPr>
          <w:sz w:val="20"/>
        </w:rPr>
        <w:t>misma retribución que se pague a los nombrados por la Secretaría del Trabajo y Previsión </w:t>
      </w:r>
      <w:r>
        <w:rPr>
          <w:spacing w:val="-2"/>
          <w:sz w:val="20"/>
        </w:rPr>
        <w:t>Social.</w:t>
      </w:r>
    </w:p>
    <w:p>
      <w:pPr>
        <w:pStyle w:val="BodyText"/>
      </w:pPr>
    </w:p>
    <w:p>
      <w:pPr>
        <w:pStyle w:val="BodyText"/>
        <w:ind w:left="338" w:right="336" w:firstLine="288"/>
        <w:jc w:val="both"/>
      </w:pPr>
      <w:bookmarkStart w:name="Artículo_559" w:id="710"/>
      <w:bookmarkEnd w:id="710"/>
      <w:r>
        <w:rPr/>
      </w:r>
      <w:r>
        <w:rPr>
          <w:rFonts w:ascii="Arial" w:hAnsi="Arial"/>
          <w:b/>
        </w:rPr>
        <w:t>Artículo 559.- </w:t>
      </w:r>
      <w:r>
        <w:rPr/>
        <w:t>La designación de Asesor Técnico Auxiliar a que se refiere la fracción III del artículo anterior, es revocable en cualquier tiempo, a petición del cincuenta y</w:t>
      </w:r>
      <w:r>
        <w:rPr>
          <w:spacing w:val="-2"/>
        </w:rPr>
        <w:t> </w:t>
      </w:r>
      <w:r>
        <w:rPr/>
        <w:t>uno por ciento de los trabajadores o patrones que la hubiesen hecho. La solicitud se remitirá a la Secretaría del Trabajo y Previsión Social, la que después de comprobar el requisito de la mayoría, hará la declaratoria correspondiente. La solicitud deberá contener el nombre y domicilio de la persona que deba desempeñar el cargo.</w:t>
      </w:r>
    </w:p>
    <w:p>
      <w:pPr>
        <w:pStyle w:val="BodyText"/>
        <w:spacing w:before="1"/>
      </w:pPr>
    </w:p>
    <w:p>
      <w:pPr>
        <w:pStyle w:val="BodyText"/>
        <w:spacing w:line="242" w:lineRule="auto"/>
        <w:ind w:left="338" w:right="336" w:firstLine="288"/>
        <w:jc w:val="both"/>
      </w:pPr>
      <w:bookmarkStart w:name="Artículo_560" w:id="711"/>
      <w:bookmarkEnd w:id="711"/>
      <w:r>
        <w:rPr/>
      </w:r>
      <w:r>
        <w:rPr>
          <w:rFonts w:ascii="Arial" w:hAnsi="Arial"/>
          <w:b/>
        </w:rPr>
        <w:t>Artículo 560.- </w:t>
      </w:r>
      <w:r>
        <w:rPr/>
        <w:t>El Director, los Asesores Técnicos y los Asesores Técnicos Auxiliares, deberán satisfacer los requisitos siguientes:</w:t>
      </w:r>
    </w:p>
    <w:p>
      <w:pPr>
        <w:pStyle w:val="ListParagraph"/>
        <w:numPr>
          <w:ilvl w:val="0"/>
          <w:numId w:val="237"/>
        </w:numPr>
        <w:tabs>
          <w:tab w:pos="1195" w:val="left" w:leader="none"/>
        </w:tabs>
        <w:spacing w:line="240" w:lineRule="auto" w:before="224" w:after="0"/>
        <w:ind w:left="1195" w:right="0" w:hanging="569"/>
        <w:jc w:val="left"/>
        <w:rPr>
          <w:sz w:val="20"/>
        </w:rPr>
      </w:pPr>
      <w:r>
        <w:rPr>
          <w:sz w:val="20"/>
        </w:rPr>
        <w:t>Ser</w:t>
      </w:r>
      <w:r>
        <w:rPr>
          <w:spacing w:val="-7"/>
          <w:sz w:val="20"/>
        </w:rPr>
        <w:t> </w:t>
      </w:r>
      <w:r>
        <w:rPr>
          <w:sz w:val="20"/>
        </w:rPr>
        <w:t>mexicanos,</w:t>
      </w:r>
      <w:r>
        <w:rPr>
          <w:spacing w:val="-6"/>
          <w:sz w:val="20"/>
        </w:rPr>
        <w:t> </w:t>
      </w:r>
      <w:r>
        <w:rPr>
          <w:sz w:val="20"/>
        </w:rPr>
        <w:t>mayores</w:t>
      </w:r>
      <w:r>
        <w:rPr>
          <w:spacing w:val="-3"/>
          <w:sz w:val="20"/>
        </w:rPr>
        <w:t> </w:t>
      </w:r>
      <w:r>
        <w:rPr>
          <w:sz w:val="20"/>
        </w:rPr>
        <w:t>de</w:t>
      </w:r>
      <w:r>
        <w:rPr>
          <w:spacing w:val="-6"/>
          <w:sz w:val="20"/>
        </w:rPr>
        <w:t> </w:t>
      </w:r>
      <w:r>
        <w:rPr>
          <w:sz w:val="20"/>
        </w:rPr>
        <w:t>veinticinco</w:t>
      </w:r>
      <w:r>
        <w:rPr>
          <w:spacing w:val="-7"/>
          <w:sz w:val="20"/>
        </w:rPr>
        <w:t> </w:t>
      </w:r>
      <w:r>
        <w:rPr>
          <w:sz w:val="20"/>
        </w:rPr>
        <w:t>años</w:t>
      </w:r>
      <w:r>
        <w:rPr>
          <w:spacing w:val="-4"/>
          <w:sz w:val="20"/>
        </w:rPr>
        <w:t> </w:t>
      </w:r>
      <w:r>
        <w:rPr>
          <w:sz w:val="20"/>
        </w:rPr>
        <w:t>y</w:t>
      </w:r>
      <w:r>
        <w:rPr>
          <w:spacing w:val="-7"/>
          <w:sz w:val="20"/>
        </w:rPr>
        <w:t> </w:t>
      </w:r>
      <w:r>
        <w:rPr>
          <w:sz w:val="20"/>
        </w:rPr>
        <w:t>estar</w:t>
      </w:r>
      <w:r>
        <w:rPr>
          <w:spacing w:val="-6"/>
          <w:sz w:val="20"/>
        </w:rPr>
        <w:t> </w:t>
      </w:r>
      <w:r>
        <w:rPr>
          <w:sz w:val="20"/>
        </w:rPr>
        <w:t>en</w:t>
      </w:r>
      <w:r>
        <w:rPr>
          <w:spacing w:val="-7"/>
          <w:sz w:val="20"/>
        </w:rPr>
        <w:t> </w:t>
      </w:r>
      <w:r>
        <w:rPr>
          <w:sz w:val="20"/>
        </w:rPr>
        <w:t>pleno</w:t>
      </w:r>
      <w:r>
        <w:rPr>
          <w:spacing w:val="-4"/>
          <w:sz w:val="20"/>
        </w:rPr>
        <w:t> </w:t>
      </w:r>
      <w:r>
        <w:rPr>
          <w:sz w:val="20"/>
        </w:rPr>
        <w:t>ejercicio</w:t>
      </w:r>
      <w:r>
        <w:rPr>
          <w:spacing w:val="-5"/>
          <w:sz w:val="20"/>
        </w:rPr>
        <w:t> </w:t>
      </w:r>
      <w:r>
        <w:rPr>
          <w:sz w:val="20"/>
        </w:rPr>
        <w:t>de</w:t>
      </w:r>
      <w:r>
        <w:rPr>
          <w:spacing w:val="-7"/>
          <w:sz w:val="20"/>
        </w:rPr>
        <w:t> </w:t>
      </w:r>
      <w:r>
        <w:rPr>
          <w:sz w:val="20"/>
        </w:rPr>
        <w:t>sus</w:t>
      </w:r>
      <w:r>
        <w:rPr>
          <w:spacing w:val="-6"/>
          <w:sz w:val="20"/>
        </w:rPr>
        <w:t> </w:t>
      </w:r>
      <w:r>
        <w:rPr>
          <w:spacing w:val="-2"/>
          <w:sz w:val="20"/>
        </w:rPr>
        <w:t>derechos;</w:t>
      </w:r>
    </w:p>
    <w:p>
      <w:pPr>
        <w:pStyle w:val="BodyText"/>
        <w:spacing w:before="1"/>
      </w:pPr>
    </w:p>
    <w:p>
      <w:pPr>
        <w:pStyle w:val="ListParagraph"/>
        <w:numPr>
          <w:ilvl w:val="0"/>
          <w:numId w:val="237"/>
        </w:numPr>
        <w:tabs>
          <w:tab w:pos="1195" w:val="left" w:leader="none"/>
        </w:tabs>
        <w:spacing w:line="240" w:lineRule="auto" w:before="0" w:after="0"/>
        <w:ind w:left="1195" w:right="0" w:hanging="569"/>
        <w:jc w:val="left"/>
        <w:rPr>
          <w:sz w:val="20"/>
        </w:rPr>
      </w:pPr>
      <w:r>
        <w:rPr>
          <w:sz w:val="20"/>
        </w:rPr>
        <w:t>Poseer</w:t>
      </w:r>
      <w:r>
        <w:rPr>
          <w:spacing w:val="-7"/>
          <w:sz w:val="20"/>
        </w:rPr>
        <w:t> </w:t>
      </w:r>
      <w:r>
        <w:rPr>
          <w:sz w:val="20"/>
        </w:rPr>
        <w:t>título</w:t>
      </w:r>
      <w:r>
        <w:rPr>
          <w:spacing w:val="-6"/>
          <w:sz w:val="20"/>
        </w:rPr>
        <w:t> </w:t>
      </w:r>
      <w:r>
        <w:rPr>
          <w:sz w:val="20"/>
        </w:rPr>
        <w:t>legalmente</w:t>
      </w:r>
      <w:r>
        <w:rPr>
          <w:spacing w:val="-9"/>
          <w:sz w:val="20"/>
        </w:rPr>
        <w:t> </w:t>
      </w:r>
      <w:r>
        <w:rPr>
          <w:sz w:val="20"/>
        </w:rPr>
        <w:t>expedido</w:t>
      </w:r>
      <w:r>
        <w:rPr>
          <w:spacing w:val="-7"/>
          <w:sz w:val="20"/>
        </w:rPr>
        <w:t> </w:t>
      </w:r>
      <w:r>
        <w:rPr>
          <w:sz w:val="20"/>
        </w:rPr>
        <w:t>de</w:t>
      </w:r>
      <w:r>
        <w:rPr>
          <w:spacing w:val="-6"/>
          <w:sz w:val="20"/>
        </w:rPr>
        <w:t> </w:t>
      </w:r>
      <w:r>
        <w:rPr>
          <w:sz w:val="20"/>
        </w:rPr>
        <w:t>licenciado</w:t>
      </w:r>
      <w:r>
        <w:rPr>
          <w:spacing w:val="-9"/>
          <w:sz w:val="20"/>
        </w:rPr>
        <w:t> </w:t>
      </w:r>
      <w:r>
        <w:rPr>
          <w:sz w:val="20"/>
        </w:rPr>
        <w:t>en</w:t>
      </w:r>
      <w:r>
        <w:rPr>
          <w:spacing w:val="-8"/>
          <w:sz w:val="20"/>
        </w:rPr>
        <w:t> </w:t>
      </w:r>
      <w:r>
        <w:rPr>
          <w:sz w:val="20"/>
        </w:rPr>
        <w:t>derecho</w:t>
      </w:r>
      <w:r>
        <w:rPr>
          <w:spacing w:val="-8"/>
          <w:sz w:val="20"/>
        </w:rPr>
        <w:t> </w:t>
      </w:r>
      <w:r>
        <w:rPr>
          <w:sz w:val="20"/>
        </w:rPr>
        <w:t>o</w:t>
      </w:r>
      <w:r>
        <w:rPr>
          <w:spacing w:val="-6"/>
          <w:sz w:val="20"/>
        </w:rPr>
        <w:t> </w:t>
      </w:r>
      <w:r>
        <w:rPr>
          <w:sz w:val="20"/>
        </w:rPr>
        <w:t>en</w:t>
      </w:r>
      <w:r>
        <w:rPr>
          <w:spacing w:val="-7"/>
          <w:sz w:val="20"/>
        </w:rPr>
        <w:t> </w:t>
      </w:r>
      <w:r>
        <w:rPr>
          <w:spacing w:val="-2"/>
          <w:sz w:val="20"/>
        </w:rPr>
        <w:t>economía;</w:t>
      </w:r>
    </w:p>
    <w:p>
      <w:pPr>
        <w:pStyle w:val="BodyText"/>
      </w:pPr>
    </w:p>
    <w:p>
      <w:pPr>
        <w:pStyle w:val="ListParagraph"/>
        <w:numPr>
          <w:ilvl w:val="0"/>
          <w:numId w:val="237"/>
        </w:numPr>
        <w:tabs>
          <w:tab w:pos="1195" w:val="left" w:leader="none"/>
        </w:tabs>
        <w:spacing w:line="229" w:lineRule="exact" w:before="1" w:after="0"/>
        <w:ind w:left="1195" w:right="0" w:hanging="569"/>
        <w:jc w:val="left"/>
        <w:rPr>
          <w:sz w:val="20"/>
        </w:rPr>
      </w:pPr>
      <w:r>
        <w:rPr>
          <w:sz w:val="20"/>
        </w:rPr>
        <w:t>No</w:t>
      </w:r>
      <w:r>
        <w:rPr>
          <w:spacing w:val="-6"/>
          <w:sz w:val="20"/>
        </w:rPr>
        <w:t> </w:t>
      </w:r>
      <w:r>
        <w:rPr>
          <w:sz w:val="20"/>
        </w:rPr>
        <w:t>ser</w:t>
      </w:r>
      <w:r>
        <w:rPr>
          <w:spacing w:val="-5"/>
          <w:sz w:val="20"/>
        </w:rPr>
        <w:t> </w:t>
      </w:r>
      <w:r>
        <w:rPr>
          <w:sz w:val="20"/>
        </w:rPr>
        <w:t>ministro</w:t>
      </w:r>
      <w:r>
        <w:rPr>
          <w:spacing w:val="-6"/>
          <w:sz w:val="20"/>
        </w:rPr>
        <w:t> </w:t>
      </w:r>
      <w:r>
        <w:rPr>
          <w:sz w:val="20"/>
        </w:rPr>
        <w:t>de</w:t>
      </w:r>
      <w:r>
        <w:rPr>
          <w:spacing w:val="-5"/>
          <w:sz w:val="20"/>
        </w:rPr>
        <w:t> </w:t>
      </w:r>
      <w:r>
        <w:rPr>
          <w:sz w:val="20"/>
        </w:rPr>
        <w:t>culto;</w:t>
      </w:r>
      <w:r>
        <w:rPr>
          <w:spacing w:val="-4"/>
          <w:sz w:val="20"/>
        </w:rPr>
        <w:t> </w:t>
      </w:r>
      <w:r>
        <w:rPr>
          <w:spacing w:val="-12"/>
          <w:sz w:val="20"/>
        </w:rPr>
        <w:t>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ListParagraph"/>
        <w:numPr>
          <w:ilvl w:val="0"/>
          <w:numId w:val="237"/>
        </w:numPr>
        <w:tabs>
          <w:tab w:pos="1195" w:val="left" w:leader="none"/>
        </w:tabs>
        <w:spacing w:line="240" w:lineRule="auto" w:before="0" w:after="0"/>
        <w:ind w:left="1195" w:right="0" w:hanging="569"/>
        <w:jc w:val="left"/>
        <w:rPr>
          <w:sz w:val="20"/>
        </w:rPr>
      </w:pPr>
      <w:r>
        <w:rPr>
          <w:sz w:val="20"/>
        </w:rPr>
        <w:t>No</w:t>
      </w:r>
      <w:r>
        <w:rPr>
          <w:spacing w:val="-9"/>
          <w:sz w:val="20"/>
        </w:rPr>
        <w:t> </w:t>
      </w:r>
      <w:r>
        <w:rPr>
          <w:sz w:val="20"/>
        </w:rPr>
        <w:t>haber</w:t>
      </w:r>
      <w:r>
        <w:rPr>
          <w:spacing w:val="-8"/>
          <w:sz w:val="20"/>
        </w:rPr>
        <w:t> </w:t>
      </w:r>
      <w:r>
        <w:rPr>
          <w:sz w:val="20"/>
        </w:rPr>
        <w:t>sido</w:t>
      </w:r>
      <w:r>
        <w:rPr>
          <w:spacing w:val="-9"/>
          <w:sz w:val="20"/>
        </w:rPr>
        <w:t> </w:t>
      </w:r>
      <w:r>
        <w:rPr>
          <w:sz w:val="20"/>
        </w:rPr>
        <w:t>condenados</w:t>
      </w:r>
      <w:r>
        <w:rPr>
          <w:spacing w:val="-7"/>
          <w:sz w:val="20"/>
        </w:rPr>
        <w:t> </w:t>
      </w:r>
      <w:r>
        <w:rPr>
          <w:sz w:val="20"/>
        </w:rPr>
        <w:t>por</w:t>
      </w:r>
      <w:r>
        <w:rPr>
          <w:spacing w:val="-8"/>
          <w:sz w:val="20"/>
        </w:rPr>
        <w:t> </w:t>
      </w:r>
      <w:r>
        <w:rPr>
          <w:sz w:val="20"/>
        </w:rPr>
        <w:t>delito</w:t>
      </w:r>
      <w:r>
        <w:rPr>
          <w:spacing w:val="-7"/>
          <w:sz w:val="20"/>
        </w:rPr>
        <w:t> </w:t>
      </w:r>
      <w:r>
        <w:rPr>
          <w:sz w:val="20"/>
        </w:rPr>
        <w:t>intencional</w:t>
      </w:r>
      <w:r>
        <w:rPr>
          <w:spacing w:val="-7"/>
          <w:sz w:val="20"/>
        </w:rPr>
        <w:t> </w:t>
      </w:r>
      <w:r>
        <w:rPr>
          <w:sz w:val="20"/>
        </w:rPr>
        <w:t>sancionado</w:t>
      </w:r>
      <w:r>
        <w:rPr>
          <w:spacing w:val="-9"/>
          <w:sz w:val="20"/>
        </w:rPr>
        <w:t> </w:t>
      </w:r>
      <w:r>
        <w:rPr>
          <w:sz w:val="20"/>
        </w:rPr>
        <w:t>con</w:t>
      </w:r>
      <w:r>
        <w:rPr>
          <w:spacing w:val="-7"/>
          <w:sz w:val="20"/>
        </w:rPr>
        <w:t> </w:t>
      </w:r>
      <w:r>
        <w:rPr>
          <w:sz w:val="20"/>
        </w:rPr>
        <w:t>pena</w:t>
      </w:r>
      <w:r>
        <w:rPr>
          <w:spacing w:val="-9"/>
          <w:sz w:val="20"/>
        </w:rPr>
        <w:t> </w:t>
      </w:r>
      <w:r>
        <w:rPr>
          <w:spacing w:val="-2"/>
          <w:sz w:val="20"/>
        </w:rPr>
        <w:t>corporal.</w:t>
      </w:r>
    </w:p>
    <w:p>
      <w:pPr>
        <w:pStyle w:val="BodyText"/>
        <w:spacing w:before="1"/>
      </w:pPr>
    </w:p>
    <w:p>
      <w:pPr>
        <w:pStyle w:val="BodyText"/>
        <w:ind w:left="626"/>
      </w:pPr>
      <w:bookmarkStart w:name="Artículo_561" w:id="712"/>
      <w:bookmarkEnd w:id="712"/>
      <w:r>
        <w:rPr/>
      </w:r>
      <w:r>
        <w:rPr>
          <w:rFonts w:ascii="Arial" w:hAnsi="Arial"/>
          <w:b/>
        </w:rPr>
        <w:t>Artículo</w:t>
      </w:r>
      <w:r>
        <w:rPr>
          <w:rFonts w:ascii="Arial" w:hAnsi="Arial"/>
          <w:b/>
          <w:spacing w:val="-7"/>
        </w:rPr>
        <w:t> </w:t>
      </w:r>
      <w:r>
        <w:rPr>
          <w:rFonts w:ascii="Arial" w:hAnsi="Arial"/>
          <w:b/>
        </w:rPr>
        <w:t>561.-</w:t>
      </w:r>
      <w:r>
        <w:rPr>
          <w:rFonts w:ascii="Arial" w:hAnsi="Arial"/>
          <w:b/>
          <w:spacing w:val="-7"/>
        </w:rPr>
        <w:t> </w:t>
      </w:r>
      <w:r>
        <w:rPr/>
        <w:t>La</w:t>
      </w:r>
      <w:r>
        <w:rPr>
          <w:spacing w:val="-7"/>
        </w:rPr>
        <w:t> </w:t>
      </w:r>
      <w:r>
        <w:rPr/>
        <w:t>Dirección</w:t>
      </w:r>
      <w:r>
        <w:rPr>
          <w:spacing w:val="-6"/>
        </w:rPr>
        <w:t> </w:t>
      </w:r>
      <w:r>
        <w:rPr/>
        <w:t>Técnica</w:t>
      </w:r>
      <w:r>
        <w:rPr>
          <w:spacing w:val="-8"/>
        </w:rPr>
        <w:t> </w:t>
      </w:r>
      <w:r>
        <w:rPr/>
        <w:t>tiene</w:t>
      </w:r>
      <w:r>
        <w:rPr>
          <w:spacing w:val="-5"/>
        </w:rPr>
        <w:t> </w:t>
      </w:r>
      <w:r>
        <w:rPr/>
        <w:t>los</w:t>
      </w:r>
      <w:r>
        <w:rPr>
          <w:spacing w:val="-7"/>
        </w:rPr>
        <w:t> </w:t>
      </w:r>
      <w:r>
        <w:rPr/>
        <w:t>deberes</w:t>
      </w:r>
      <w:r>
        <w:rPr>
          <w:spacing w:val="-5"/>
        </w:rPr>
        <w:t> </w:t>
      </w:r>
      <w:r>
        <w:rPr/>
        <w:t>y</w:t>
      </w:r>
      <w:r>
        <w:rPr>
          <w:spacing w:val="-8"/>
        </w:rPr>
        <w:t> </w:t>
      </w:r>
      <w:r>
        <w:rPr/>
        <w:t>atribuciones</w:t>
      </w:r>
      <w:r>
        <w:rPr>
          <w:spacing w:val="-7"/>
        </w:rPr>
        <w:t> </w:t>
      </w:r>
      <w:r>
        <w:rPr>
          <w:spacing w:val="-2"/>
        </w:rPr>
        <w:t>siguientes:</w:t>
      </w:r>
    </w:p>
    <w:p>
      <w:pPr>
        <w:pStyle w:val="BodyText"/>
      </w:pPr>
    </w:p>
    <w:p>
      <w:pPr>
        <w:pStyle w:val="ListParagraph"/>
        <w:numPr>
          <w:ilvl w:val="0"/>
          <w:numId w:val="238"/>
        </w:numPr>
        <w:tabs>
          <w:tab w:pos="1193" w:val="left" w:leader="none"/>
          <w:tab w:pos="1195" w:val="left" w:leader="none"/>
        </w:tabs>
        <w:spacing w:line="240" w:lineRule="auto" w:before="1" w:after="0"/>
        <w:ind w:left="1195" w:right="338" w:hanging="569"/>
        <w:jc w:val="both"/>
        <w:rPr>
          <w:sz w:val="20"/>
        </w:rPr>
      </w:pPr>
      <w:r>
        <w:rPr>
          <w:sz w:val="20"/>
        </w:rPr>
        <w:t>Realizar los estudios técnicos necesarios y apropiados para determinar la división de la República en áreas geográficas, formular un dictamen y proponerlo al Consejo de </w:t>
      </w:r>
      <w:r>
        <w:rPr>
          <w:spacing w:val="-2"/>
          <w:sz w:val="20"/>
        </w:rPr>
        <w:t>Representantes;</w:t>
      </w:r>
    </w:p>
    <w:p>
      <w:pPr>
        <w:pStyle w:val="ListParagraph"/>
        <w:numPr>
          <w:ilvl w:val="0"/>
          <w:numId w:val="238"/>
        </w:numPr>
        <w:tabs>
          <w:tab w:pos="1192" w:val="left" w:leader="none"/>
          <w:tab w:pos="1195" w:val="left" w:leader="none"/>
        </w:tabs>
        <w:spacing w:line="242" w:lineRule="auto" w:before="229" w:after="0"/>
        <w:ind w:left="1195" w:right="341" w:hanging="569"/>
        <w:jc w:val="both"/>
        <w:rPr>
          <w:sz w:val="20"/>
        </w:rPr>
      </w:pPr>
      <w:r>
        <w:rPr>
          <w:sz w:val="20"/>
        </w:rPr>
        <w:t>Proponer al Consejo de Representantes modificaciones a la División de la República en áreas geográficas y a la integración de las mismas; siempre que existan circunstancias que lo </w:t>
      </w:r>
      <w:r>
        <w:rPr>
          <w:spacing w:val="-2"/>
          <w:sz w:val="20"/>
        </w:rPr>
        <w:t>justifiquen;</w:t>
      </w:r>
    </w:p>
    <w:p>
      <w:pPr>
        <w:pStyle w:val="ListParagraph"/>
        <w:numPr>
          <w:ilvl w:val="0"/>
          <w:numId w:val="238"/>
        </w:numPr>
        <w:tabs>
          <w:tab w:pos="1191" w:val="left" w:leader="none"/>
          <w:tab w:pos="1195" w:val="left" w:leader="none"/>
        </w:tabs>
        <w:spacing w:line="242" w:lineRule="auto" w:before="223" w:after="0"/>
        <w:ind w:left="1195" w:right="344" w:hanging="569"/>
        <w:jc w:val="both"/>
        <w:rPr>
          <w:sz w:val="20"/>
        </w:rPr>
      </w:pPr>
      <w:r>
        <w:rPr>
          <w:sz w:val="20"/>
        </w:rPr>
        <w:t>Practicar las investigaciones y realizar los estudios necesarios y apropiados para que el</w:t>
      </w:r>
      <w:r>
        <w:rPr>
          <w:spacing w:val="40"/>
          <w:sz w:val="20"/>
        </w:rPr>
        <w:t> </w:t>
      </w:r>
      <w:r>
        <w:rPr>
          <w:sz w:val="20"/>
        </w:rPr>
        <w:t>Consejo de Representantes pueda fijar los salarios mínimos;</w:t>
      </w:r>
    </w:p>
    <w:p>
      <w:pPr>
        <w:pStyle w:val="ListParagraph"/>
        <w:numPr>
          <w:ilvl w:val="0"/>
          <w:numId w:val="238"/>
        </w:numPr>
        <w:tabs>
          <w:tab w:pos="1195" w:val="left" w:leader="none"/>
        </w:tabs>
        <w:spacing w:line="240" w:lineRule="auto" w:before="226" w:after="0"/>
        <w:ind w:left="1195" w:right="0" w:hanging="569"/>
        <w:jc w:val="left"/>
        <w:rPr>
          <w:sz w:val="20"/>
        </w:rPr>
      </w:pPr>
      <w:r>
        <w:rPr>
          <w:sz w:val="20"/>
        </w:rPr>
        <w:t>Sugerir</w:t>
      </w:r>
      <w:r>
        <w:rPr>
          <w:spacing w:val="-7"/>
          <w:sz w:val="20"/>
        </w:rPr>
        <w:t> </w:t>
      </w:r>
      <w:r>
        <w:rPr>
          <w:sz w:val="20"/>
        </w:rPr>
        <w:t>la</w:t>
      </w:r>
      <w:r>
        <w:rPr>
          <w:spacing w:val="-7"/>
          <w:sz w:val="20"/>
        </w:rPr>
        <w:t> </w:t>
      </w:r>
      <w:r>
        <w:rPr>
          <w:sz w:val="20"/>
        </w:rPr>
        <w:t>fijación</w:t>
      </w:r>
      <w:r>
        <w:rPr>
          <w:spacing w:val="-4"/>
          <w:sz w:val="20"/>
        </w:rPr>
        <w:t> </w:t>
      </w:r>
      <w:r>
        <w:rPr>
          <w:sz w:val="20"/>
        </w:rPr>
        <w:t>de</w:t>
      </w:r>
      <w:r>
        <w:rPr>
          <w:spacing w:val="-6"/>
          <w:sz w:val="20"/>
        </w:rPr>
        <w:t> </w:t>
      </w:r>
      <w:r>
        <w:rPr>
          <w:sz w:val="20"/>
        </w:rPr>
        <w:t>los</w:t>
      </w:r>
      <w:r>
        <w:rPr>
          <w:spacing w:val="-5"/>
          <w:sz w:val="20"/>
        </w:rPr>
        <w:t> </w:t>
      </w:r>
      <w:r>
        <w:rPr>
          <w:sz w:val="20"/>
        </w:rPr>
        <w:t>salarios</w:t>
      </w:r>
      <w:r>
        <w:rPr>
          <w:spacing w:val="-6"/>
          <w:sz w:val="20"/>
        </w:rPr>
        <w:t> </w:t>
      </w:r>
      <w:r>
        <w:rPr>
          <w:sz w:val="20"/>
        </w:rPr>
        <w:t>mínimos</w:t>
      </w:r>
      <w:r>
        <w:rPr>
          <w:spacing w:val="-6"/>
          <w:sz w:val="20"/>
        </w:rPr>
        <w:t> </w:t>
      </w:r>
      <w:r>
        <w:rPr>
          <w:spacing w:val="-2"/>
          <w:sz w:val="20"/>
        </w:rPr>
        <w:t>profesionales;</w:t>
      </w:r>
    </w:p>
    <w:p>
      <w:pPr>
        <w:pStyle w:val="ListParagraph"/>
        <w:numPr>
          <w:ilvl w:val="0"/>
          <w:numId w:val="238"/>
        </w:numPr>
        <w:tabs>
          <w:tab w:pos="1195" w:val="left" w:leader="none"/>
        </w:tabs>
        <w:spacing w:line="242" w:lineRule="auto" w:before="229" w:after="0"/>
        <w:ind w:left="1195" w:right="346" w:hanging="569"/>
        <w:jc w:val="both"/>
        <w:rPr>
          <w:sz w:val="20"/>
        </w:rPr>
      </w:pPr>
      <w:r>
        <w:rPr>
          <w:sz w:val="20"/>
        </w:rPr>
        <w:t>Publicar</w:t>
      </w:r>
      <w:r>
        <w:rPr>
          <w:spacing w:val="-1"/>
          <w:sz w:val="20"/>
        </w:rPr>
        <w:t> </w:t>
      </w:r>
      <w:r>
        <w:rPr>
          <w:sz w:val="20"/>
        </w:rPr>
        <w:t>regularmente</w:t>
      </w:r>
      <w:r>
        <w:rPr>
          <w:spacing w:val="-2"/>
          <w:sz w:val="20"/>
        </w:rPr>
        <w:t> </w:t>
      </w:r>
      <w:r>
        <w:rPr>
          <w:sz w:val="20"/>
        </w:rPr>
        <w:t>las</w:t>
      </w:r>
      <w:r>
        <w:rPr>
          <w:spacing w:val="-1"/>
          <w:sz w:val="20"/>
        </w:rPr>
        <w:t> </w:t>
      </w:r>
      <w:r>
        <w:rPr>
          <w:sz w:val="20"/>
        </w:rPr>
        <w:t>fluctuaciones</w:t>
      </w:r>
      <w:r>
        <w:rPr>
          <w:spacing w:val="-1"/>
          <w:sz w:val="20"/>
        </w:rPr>
        <w:t> </w:t>
      </w:r>
      <w:r>
        <w:rPr>
          <w:sz w:val="20"/>
        </w:rPr>
        <w:t>ocurridas</w:t>
      </w:r>
      <w:r>
        <w:rPr>
          <w:spacing w:val="-1"/>
          <w:sz w:val="20"/>
        </w:rPr>
        <w:t> </w:t>
      </w:r>
      <w:r>
        <w:rPr>
          <w:sz w:val="20"/>
        </w:rPr>
        <w:t>en</w:t>
      </w:r>
      <w:r>
        <w:rPr>
          <w:spacing w:val="-2"/>
          <w:sz w:val="20"/>
        </w:rPr>
        <w:t> </w:t>
      </w:r>
      <w:r>
        <w:rPr>
          <w:sz w:val="20"/>
        </w:rPr>
        <w:t>los</w:t>
      </w:r>
      <w:r>
        <w:rPr>
          <w:spacing w:val="-1"/>
          <w:sz w:val="20"/>
        </w:rPr>
        <w:t> </w:t>
      </w:r>
      <w:r>
        <w:rPr>
          <w:sz w:val="20"/>
        </w:rPr>
        <w:t>precios y</w:t>
      </w:r>
      <w:r>
        <w:rPr>
          <w:spacing w:val="-5"/>
          <w:sz w:val="20"/>
        </w:rPr>
        <w:t> </w:t>
      </w:r>
      <w:r>
        <w:rPr>
          <w:sz w:val="20"/>
        </w:rPr>
        <w:t>sus</w:t>
      </w:r>
      <w:r>
        <w:rPr>
          <w:spacing w:val="-1"/>
          <w:sz w:val="20"/>
        </w:rPr>
        <w:t> </w:t>
      </w:r>
      <w:r>
        <w:rPr>
          <w:sz w:val="20"/>
        </w:rPr>
        <w:t>repercusiones</w:t>
      </w:r>
      <w:r>
        <w:rPr>
          <w:spacing w:val="-1"/>
          <w:sz w:val="20"/>
        </w:rPr>
        <w:t> </w:t>
      </w:r>
      <w:r>
        <w:rPr>
          <w:sz w:val="20"/>
        </w:rPr>
        <w:t>en</w:t>
      </w:r>
      <w:r>
        <w:rPr>
          <w:spacing w:val="-3"/>
          <w:sz w:val="20"/>
        </w:rPr>
        <w:t> </w:t>
      </w:r>
      <w:r>
        <w:rPr>
          <w:sz w:val="20"/>
        </w:rPr>
        <w:t>el</w:t>
      </w:r>
      <w:r>
        <w:rPr>
          <w:spacing w:val="-3"/>
          <w:sz w:val="20"/>
        </w:rPr>
        <w:t> </w:t>
      </w:r>
      <w:r>
        <w:rPr>
          <w:sz w:val="20"/>
        </w:rPr>
        <w:t>costo de la vida para las principales localidades del país;</w:t>
      </w:r>
    </w:p>
    <w:p>
      <w:pPr>
        <w:pStyle w:val="ListParagraph"/>
        <w:numPr>
          <w:ilvl w:val="0"/>
          <w:numId w:val="238"/>
        </w:numPr>
        <w:tabs>
          <w:tab w:pos="1195" w:val="left" w:leader="none"/>
        </w:tabs>
        <w:spacing w:line="242" w:lineRule="auto" w:before="227" w:after="0"/>
        <w:ind w:left="1195" w:right="340" w:hanging="569"/>
        <w:jc w:val="both"/>
        <w:rPr>
          <w:sz w:val="20"/>
        </w:rPr>
      </w:pPr>
      <w:r>
        <w:rPr>
          <w:sz w:val="20"/>
        </w:rPr>
        <w:t>Resolver, previa orden del Presidente, las consultas que se le formulen en relación con las fluctuaciones de los precios y sus repercusiones en el poder adquisitivo de los salarios;</w:t>
      </w:r>
    </w:p>
    <w:p>
      <w:pPr>
        <w:pStyle w:val="ListParagraph"/>
        <w:numPr>
          <w:ilvl w:val="0"/>
          <w:numId w:val="238"/>
        </w:numPr>
        <w:tabs>
          <w:tab w:pos="1195" w:val="left" w:leader="none"/>
        </w:tabs>
        <w:spacing w:line="240" w:lineRule="auto" w:before="224" w:after="0"/>
        <w:ind w:left="1195" w:right="0" w:hanging="569"/>
        <w:jc w:val="left"/>
        <w:rPr>
          <w:sz w:val="20"/>
        </w:rPr>
      </w:pPr>
      <w:r>
        <w:rPr>
          <w:sz w:val="20"/>
        </w:rPr>
        <w:t>Apoyar</w:t>
      </w:r>
      <w:r>
        <w:rPr>
          <w:spacing w:val="-7"/>
          <w:sz w:val="20"/>
        </w:rPr>
        <w:t> </w:t>
      </w:r>
      <w:r>
        <w:rPr>
          <w:sz w:val="20"/>
        </w:rPr>
        <w:t>los</w:t>
      </w:r>
      <w:r>
        <w:rPr>
          <w:spacing w:val="-8"/>
          <w:sz w:val="20"/>
        </w:rPr>
        <w:t> </w:t>
      </w:r>
      <w:r>
        <w:rPr>
          <w:sz w:val="20"/>
        </w:rPr>
        <w:t>trabajos</w:t>
      </w:r>
      <w:r>
        <w:rPr>
          <w:spacing w:val="-8"/>
          <w:sz w:val="20"/>
        </w:rPr>
        <w:t> </w:t>
      </w:r>
      <w:r>
        <w:rPr>
          <w:sz w:val="20"/>
        </w:rPr>
        <w:t>técnicos</w:t>
      </w:r>
      <w:r>
        <w:rPr>
          <w:spacing w:val="-8"/>
          <w:sz w:val="20"/>
        </w:rPr>
        <w:t> </w:t>
      </w:r>
      <w:r>
        <w:rPr>
          <w:sz w:val="20"/>
        </w:rPr>
        <w:t>e</w:t>
      </w:r>
      <w:r>
        <w:rPr>
          <w:spacing w:val="-10"/>
          <w:sz w:val="20"/>
        </w:rPr>
        <w:t> </w:t>
      </w:r>
      <w:r>
        <w:rPr>
          <w:sz w:val="20"/>
        </w:rPr>
        <w:t>investigaciones</w:t>
      </w:r>
      <w:r>
        <w:rPr>
          <w:spacing w:val="-6"/>
          <w:sz w:val="20"/>
        </w:rPr>
        <w:t> </w:t>
      </w:r>
      <w:r>
        <w:rPr>
          <w:sz w:val="20"/>
        </w:rPr>
        <w:t>de</w:t>
      </w:r>
      <w:r>
        <w:rPr>
          <w:spacing w:val="-8"/>
          <w:sz w:val="20"/>
        </w:rPr>
        <w:t> </w:t>
      </w:r>
      <w:r>
        <w:rPr>
          <w:sz w:val="20"/>
        </w:rPr>
        <w:t>las</w:t>
      </w:r>
      <w:r>
        <w:rPr>
          <w:spacing w:val="-6"/>
          <w:sz w:val="20"/>
        </w:rPr>
        <w:t> </w:t>
      </w:r>
      <w:r>
        <w:rPr>
          <w:sz w:val="20"/>
        </w:rPr>
        <w:t>Comisiones</w:t>
      </w:r>
      <w:r>
        <w:rPr>
          <w:spacing w:val="-9"/>
          <w:sz w:val="20"/>
        </w:rPr>
        <w:t> </w:t>
      </w:r>
      <w:r>
        <w:rPr>
          <w:sz w:val="20"/>
        </w:rPr>
        <w:t>Consultivas;</w:t>
      </w:r>
      <w:r>
        <w:rPr>
          <w:spacing w:val="-7"/>
          <w:sz w:val="20"/>
        </w:rPr>
        <w:t> </w:t>
      </w:r>
      <w:r>
        <w:rPr>
          <w:spacing w:val="-10"/>
          <w:sz w:val="20"/>
        </w:rPr>
        <w:t>y</w:t>
      </w:r>
    </w:p>
    <w:p>
      <w:pPr>
        <w:pStyle w:val="BodyText"/>
      </w:pPr>
    </w:p>
    <w:p>
      <w:pPr>
        <w:pStyle w:val="ListParagraph"/>
        <w:numPr>
          <w:ilvl w:val="0"/>
          <w:numId w:val="238"/>
        </w:numPr>
        <w:tabs>
          <w:tab w:pos="1195" w:val="left" w:leader="none"/>
        </w:tabs>
        <w:spacing w:line="240" w:lineRule="auto" w:before="1" w:after="0"/>
        <w:ind w:left="1195" w:right="0" w:hanging="569"/>
        <w:jc w:val="left"/>
        <w:rPr>
          <w:sz w:val="20"/>
        </w:rPr>
      </w:pPr>
      <w:r>
        <w:rPr>
          <w:sz w:val="20"/>
        </w:rPr>
        <w:t>Los</w:t>
      </w:r>
      <w:r>
        <w:rPr>
          <w:spacing w:val="-5"/>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confieran</w:t>
      </w:r>
      <w:r>
        <w:rPr>
          <w:spacing w:val="-6"/>
          <w:sz w:val="20"/>
        </w:rPr>
        <w:t> </w:t>
      </w:r>
      <w:r>
        <w:rPr>
          <w:sz w:val="20"/>
        </w:rPr>
        <w:t>las</w:t>
      </w:r>
      <w:r>
        <w:rPr>
          <w:spacing w:val="-3"/>
          <w:sz w:val="20"/>
        </w:rPr>
        <w:t> </w:t>
      </w:r>
      <w:r>
        <w:rPr>
          <w:spacing w:val="-2"/>
          <w:sz w:val="20"/>
        </w:rPr>
        <w:t>leyes.</w:t>
      </w:r>
    </w:p>
    <w:p>
      <w:pPr>
        <w:spacing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30-09-1974,</w:t>
      </w:r>
      <w:r>
        <w:rPr>
          <w:rFonts w:ascii="Times New Roman" w:hAnsi="Times New Roman"/>
          <w:i/>
          <w:color w:val="0000FF"/>
          <w:spacing w:val="-7"/>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line="242" w:lineRule="auto" w:before="229"/>
        <w:ind w:left="338" w:firstLine="288"/>
      </w:pPr>
      <w:bookmarkStart w:name="Artículo_562" w:id="713"/>
      <w:bookmarkEnd w:id="713"/>
      <w:r>
        <w:rPr/>
      </w:r>
      <w:r>
        <w:rPr>
          <w:rFonts w:ascii="Arial" w:hAnsi="Arial"/>
          <w:b/>
        </w:rPr>
        <w:t>Artículo</w:t>
      </w:r>
      <w:r>
        <w:rPr>
          <w:rFonts w:ascii="Arial" w:hAnsi="Arial"/>
          <w:b/>
          <w:spacing w:val="33"/>
        </w:rPr>
        <w:t> </w:t>
      </w:r>
      <w:r>
        <w:rPr>
          <w:rFonts w:ascii="Arial" w:hAnsi="Arial"/>
          <w:b/>
        </w:rPr>
        <w:t>562.-</w:t>
      </w:r>
      <w:r>
        <w:rPr>
          <w:rFonts w:ascii="Arial" w:hAnsi="Arial"/>
          <w:b/>
          <w:spacing w:val="33"/>
        </w:rPr>
        <w:t> </w:t>
      </w:r>
      <w:r>
        <w:rPr/>
        <w:t>Para</w:t>
      </w:r>
      <w:r>
        <w:rPr>
          <w:spacing w:val="32"/>
        </w:rPr>
        <w:t> </w:t>
      </w:r>
      <w:r>
        <w:rPr/>
        <w:t>cumplir</w:t>
      </w:r>
      <w:r>
        <w:rPr>
          <w:spacing w:val="31"/>
        </w:rPr>
        <w:t> </w:t>
      </w:r>
      <w:r>
        <w:rPr/>
        <w:t>las</w:t>
      </w:r>
      <w:r>
        <w:rPr>
          <w:spacing w:val="31"/>
        </w:rPr>
        <w:t> </w:t>
      </w:r>
      <w:r>
        <w:rPr/>
        <w:t>atribuciones</w:t>
      </w:r>
      <w:r>
        <w:rPr>
          <w:spacing w:val="31"/>
        </w:rPr>
        <w:t> </w:t>
      </w:r>
      <w:r>
        <w:rPr/>
        <w:t>a</w:t>
      </w:r>
      <w:r>
        <w:rPr>
          <w:spacing w:val="32"/>
        </w:rPr>
        <w:t> </w:t>
      </w:r>
      <w:r>
        <w:rPr/>
        <w:t>que</w:t>
      </w:r>
      <w:r>
        <w:rPr>
          <w:spacing w:val="31"/>
        </w:rPr>
        <w:t> </w:t>
      </w:r>
      <w:r>
        <w:rPr/>
        <w:t>se</w:t>
      </w:r>
      <w:r>
        <w:rPr>
          <w:spacing w:val="30"/>
        </w:rPr>
        <w:t> </w:t>
      </w:r>
      <w:r>
        <w:rPr/>
        <w:t>refiere</w:t>
      </w:r>
      <w:r>
        <w:rPr>
          <w:spacing w:val="32"/>
        </w:rPr>
        <w:t> </w:t>
      </w:r>
      <w:r>
        <w:rPr/>
        <w:t>la</w:t>
      </w:r>
      <w:r>
        <w:rPr>
          <w:spacing w:val="30"/>
        </w:rPr>
        <w:t> </w:t>
      </w:r>
      <w:r>
        <w:rPr/>
        <w:t>fracción</w:t>
      </w:r>
      <w:r>
        <w:rPr>
          <w:spacing w:val="31"/>
        </w:rPr>
        <w:t> </w:t>
      </w:r>
      <w:r>
        <w:rPr/>
        <w:t>III</w:t>
      </w:r>
      <w:r>
        <w:rPr>
          <w:spacing w:val="32"/>
        </w:rPr>
        <w:t> </w:t>
      </w:r>
      <w:r>
        <w:rPr/>
        <w:t>del</w:t>
      </w:r>
      <w:r>
        <w:rPr>
          <w:spacing w:val="31"/>
        </w:rPr>
        <w:t> </w:t>
      </w:r>
      <w:r>
        <w:rPr/>
        <w:t>artículo</w:t>
      </w:r>
      <w:r>
        <w:rPr>
          <w:spacing w:val="32"/>
        </w:rPr>
        <w:t> </w:t>
      </w:r>
      <w:r>
        <w:rPr/>
        <w:t>anterior,</w:t>
      </w:r>
      <w:r>
        <w:rPr>
          <w:spacing w:val="32"/>
        </w:rPr>
        <w:t> </w:t>
      </w:r>
      <w:r>
        <w:rPr/>
        <w:t>la Dirección Técnica deberá:</w:t>
      </w:r>
    </w:p>
    <w:p>
      <w:pPr>
        <w:pStyle w:val="ListParagraph"/>
        <w:numPr>
          <w:ilvl w:val="0"/>
          <w:numId w:val="239"/>
        </w:numPr>
        <w:tabs>
          <w:tab w:pos="1195" w:val="left" w:leader="none"/>
        </w:tabs>
        <w:spacing w:line="242" w:lineRule="auto" w:before="227" w:after="0"/>
        <w:ind w:left="1195" w:right="340" w:hanging="569"/>
        <w:jc w:val="left"/>
        <w:rPr>
          <w:sz w:val="20"/>
        </w:rPr>
      </w:pPr>
      <w:r>
        <w:rPr>
          <w:sz w:val="20"/>
        </w:rPr>
        <w:t>Practicar y realizar las investigaciones y estudios necesarios y apropiados para determinar, por lo menos:</w:t>
      </w:r>
    </w:p>
    <w:p>
      <w:pPr>
        <w:pStyle w:val="ListParagraph"/>
        <w:numPr>
          <w:ilvl w:val="1"/>
          <w:numId w:val="239"/>
        </w:numPr>
        <w:tabs>
          <w:tab w:pos="1761" w:val="left" w:leader="none"/>
        </w:tabs>
        <w:spacing w:line="240" w:lineRule="auto" w:before="224" w:after="0"/>
        <w:ind w:left="1761" w:right="0" w:hanging="566"/>
        <w:jc w:val="left"/>
        <w:rPr>
          <w:sz w:val="20"/>
        </w:rPr>
      </w:pPr>
      <w:r>
        <w:rPr>
          <w:sz w:val="20"/>
        </w:rPr>
        <w:t>La</w:t>
      </w:r>
      <w:r>
        <w:rPr>
          <w:spacing w:val="-9"/>
          <w:sz w:val="20"/>
        </w:rPr>
        <w:t> </w:t>
      </w:r>
      <w:r>
        <w:rPr>
          <w:sz w:val="20"/>
        </w:rPr>
        <w:t>situación</w:t>
      </w:r>
      <w:r>
        <w:rPr>
          <w:spacing w:val="-8"/>
          <w:sz w:val="20"/>
        </w:rPr>
        <w:t> </w:t>
      </w:r>
      <w:r>
        <w:rPr>
          <w:sz w:val="20"/>
        </w:rPr>
        <w:t>económica</w:t>
      </w:r>
      <w:r>
        <w:rPr>
          <w:spacing w:val="-7"/>
          <w:sz w:val="20"/>
        </w:rPr>
        <w:t> </w:t>
      </w:r>
      <w:r>
        <w:rPr>
          <w:sz w:val="20"/>
        </w:rPr>
        <w:t>general</w:t>
      </w:r>
      <w:r>
        <w:rPr>
          <w:spacing w:val="-7"/>
          <w:sz w:val="20"/>
        </w:rPr>
        <w:t> </w:t>
      </w:r>
      <w:r>
        <w:rPr>
          <w:sz w:val="20"/>
        </w:rPr>
        <w:t>del</w:t>
      </w:r>
      <w:r>
        <w:rPr>
          <w:spacing w:val="-9"/>
          <w:sz w:val="20"/>
        </w:rPr>
        <w:t> </w:t>
      </w:r>
      <w:r>
        <w:rPr>
          <w:spacing w:val="-2"/>
          <w:sz w:val="20"/>
        </w:rPr>
        <w:t>país.</w:t>
      </w:r>
    </w:p>
    <w:p>
      <w:pPr>
        <w:pStyle w:val="BodyText"/>
        <w:spacing w:before="1"/>
      </w:pPr>
    </w:p>
    <w:p>
      <w:pPr>
        <w:pStyle w:val="ListParagraph"/>
        <w:numPr>
          <w:ilvl w:val="1"/>
          <w:numId w:val="239"/>
        </w:numPr>
        <w:tabs>
          <w:tab w:pos="1759" w:val="left" w:leader="none"/>
          <w:tab w:pos="1762" w:val="left" w:leader="none"/>
        </w:tabs>
        <w:spacing w:line="242" w:lineRule="auto" w:before="0" w:after="0"/>
        <w:ind w:left="1762" w:right="342" w:hanging="567"/>
        <w:jc w:val="both"/>
        <w:rPr>
          <w:sz w:val="20"/>
        </w:rPr>
      </w:pPr>
      <w:r>
        <w:rPr>
          <w:sz w:val="20"/>
        </w:rPr>
        <w:t>Los cambios de mayor importancia que se hayan observado en las diversas actividades </w:t>
      </w:r>
      <w:r>
        <w:rPr>
          <w:spacing w:val="-2"/>
          <w:sz w:val="20"/>
        </w:rPr>
        <w:t>económicas.</w:t>
      </w:r>
    </w:p>
    <w:p>
      <w:pPr>
        <w:pStyle w:val="ListParagraph"/>
        <w:numPr>
          <w:ilvl w:val="1"/>
          <w:numId w:val="239"/>
        </w:numPr>
        <w:tabs>
          <w:tab w:pos="1761" w:val="left" w:leader="none"/>
        </w:tabs>
        <w:spacing w:line="240" w:lineRule="auto" w:before="224" w:after="0"/>
        <w:ind w:left="1761" w:right="0" w:hanging="566"/>
        <w:jc w:val="left"/>
        <w:rPr>
          <w:sz w:val="20"/>
        </w:rPr>
      </w:pPr>
      <w:r>
        <w:rPr>
          <w:sz w:val="20"/>
        </w:rPr>
        <w:t>Las</w:t>
      </w:r>
      <w:r>
        <w:rPr>
          <w:spacing w:val="-5"/>
          <w:sz w:val="20"/>
        </w:rPr>
        <w:t> </w:t>
      </w:r>
      <w:r>
        <w:rPr>
          <w:sz w:val="20"/>
        </w:rPr>
        <w:t>variaciones</w:t>
      </w:r>
      <w:r>
        <w:rPr>
          <w:spacing w:val="-3"/>
          <w:sz w:val="20"/>
        </w:rPr>
        <w:t> </w:t>
      </w:r>
      <w:r>
        <w:rPr>
          <w:sz w:val="20"/>
        </w:rPr>
        <w:t>en</w:t>
      </w:r>
      <w:r>
        <w:rPr>
          <w:spacing w:val="-7"/>
          <w:sz w:val="20"/>
        </w:rPr>
        <w:t> </w:t>
      </w:r>
      <w:r>
        <w:rPr>
          <w:sz w:val="20"/>
        </w:rPr>
        <w:t>el</w:t>
      </w:r>
      <w:r>
        <w:rPr>
          <w:spacing w:val="-7"/>
          <w:sz w:val="20"/>
        </w:rPr>
        <w:t> </w:t>
      </w:r>
      <w:r>
        <w:rPr>
          <w:sz w:val="20"/>
        </w:rPr>
        <w:t>costo</w:t>
      </w:r>
      <w:r>
        <w:rPr>
          <w:spacing w:val="-4"/>
          <w:sz w:val="20"/>
        </w:rPr>
        <w:t> </w:t>
      </w:r>
      <w:r>
        <w:rPr>
          <w:sz w:val="20"/>
        </w:rPr>
        <w:t>de</w:t>
      </w:r>
      <w:r>
        <w:rPr>
          <w:spacing w:val="-4"/>
          <w:sz w:val="20"/>
        </w:rPr>
        <w:t> </w:t>
      </w:r>
      <w:r>
        <w:rPr>
          <w:sz w:val="20"/>
        </w:rPr>
        <w:t>la</w:t>
      </w:r>
      <w:r>
        <w:rPr>
          <w:spacing w:val="-4"/>
          <w:sz w:val="20"/>
        </w:rPr>
        <w:t> </w:t>
      </w:r>
      <w:r>
        <w:rPr>
          <w:sz w:val="20"/>
        </w:rPr>
        <w:t>vida</w:t>
      </w:r>
      <w:r>
        <w:rPr>
          <w:spacing w:val="-7"/>
          <w:sz w:val="20"/>
        </w:rPr>
        <w:t> </w:t>
      </w:r>
      <w:r>
        <w:rPr>
          <w:sz w:val="20"/>
        </w:rPr>
        <w:t>por</w:t>
      </w:r>
      <w:r>
        <w:rPr>
          <w:spacing w:val="-6"/>
          <w:sz w:val="20"/>
        </w:rPr>
        <w:t> </w:t>
      </w:r>
      <w:r>
        <w:rPr>
          <w:spacing w:val="-2"/>
          <w:sz w:val="20"/>
        </w:rPr>
        <w:t>familia.</w:t>
      </w:r>
    </w:p>
    <w:p>
      <w:pPr>
        <w:pStyle w:val="BodyText"/>
        <w:spacing w:before="1"/>
      </w:pPr>
    </w:p>
    <w:p>
      <w:pPr>
        <w:pStyle w:val="ListParagraph"/>
        <w:numPr>
          <w:ilvl w:val="1"/>
          <w:numId w:val="239"/>
        </w:numPr>
        <w:tabs>
          <w:tab w:pos="1761" w:val="left" w:leader="none"/>
        </w:tabs>
        <w:spacing w:line="240" w:lineRule="auto" w:before="0" w:after="0"/>
        <w:ind w:left="1761" w:right="0" w:hanging="566"/>
        <w:jc w:val="left"/>
        <w:rPr>
          <w:sz w:val="20"/>
        </w:rPr>
      </w:pPr>
      <w:r>
        <w:rPr>
          <w:sz w:val="20"/>
        </w:rPr>
        <w:t>Las</w:t>
      </w:r>
      <w:r>
        <w:rPr>
          <w:spacing w:val="-6"/>
          <w:sz w:val="20"/>
        </w:rPr>
        <w:t> </w:t>
      </w:r>
      <w:r>
        <w:rPr>
          <w:sz w:val="20"/>
        </w:rPr>
        <w:t>condiciones</w:t>
      </w:r>
      <w:r>
        <w:rPr>
          <w:spacing w:val="-6"/>
          <w:sz w:val="20"/>
        </w:rPr>
        <w:t> </w:t>
      </w:r>
      <w:r>
        <w:rPr>
          <w:sz w:val="20"/>
        </w:rPr>
        <w:t>del</w:t>
      </w:r>
      <w:r>
        <w:rPr>
          <w:spacing w:val="-8"/>
          <w:sz w:val="20"/>
        </w:rPr>
        <w:t> </w:t>
      </w:r>
      <w:r>
        <w:rPr>
          <w:sz w:val="20"/>
        </w:rPr>
        <w:t>mercado</w:t>
      </w:r>
      <w:r>
        <w:rPr>
          <w:spacing w:val="-6"/>
          <w:sz w:val="20"/>
        </w:rPr>
        <w:t> </w:t>
      </w:r>
      <w:r>
        <w:rPr>
          <w:sz w:val="20"/>
        </w:rPr>
        <w:t>de</w:t>
      </w:r>
      <w:r>
        <w:rPr>
          <w:spacing w:val="-7"/>
          <w:sz w:val="20"/>
        </w:rPr>
        <w:t> </w:t>
      </w:r>
      <w:r>
        <w:rPr>
          <w:sz w:val="20"/>
        </w:rPr>
        <w:t>trabajo</w:t>
      </w:r>
      <w:r>
        <w:rPr>
          <w:spacing w:val="-5"/>
          <w:sz w:val="20"/>
        </w:rPr>
        <w:t> </w:t>
      </w:r>
      <w:r>
        <w:rPr>
          <w:sz w:val="20"/>
        </w:rPr>
        <w:t>y</w:t>
      </w:r>
      <w:r>
        <w:rPr>
          <w:spacing w:val="-8"/>
          <w:sz w:val="20"/>
        </w:rPr>
        <w:t> </w:t>
      </w:r>
      <w:r>
        <w:rPr>
          <w:sz w:val="20"/>
        </w:rPr>
        <w:t>las</w:t>
      </w:r>
      <w:r>
        <w:rPr>
          <w:spacing w:val="-4"/>
          <w:sz w:val="20"/>
        </w:rPr>
        <w:t> </w:t>
      </w:r>
      <w:r>
        <w:rPr>
          <w:sz w:val="20"/>
        </w:rPr>
        <w:t>estructuras</w:t>
      </w:r>
      <w:r>
        <w:rPr>
          <w:spacing w:val="-6"/>
          <w:sz w:val="20"/>
        </w:rPr>
        <w:t> </w:t>
      </w:r>
      <w:r>
        <w:rPr>
          <w:spacing w:val="-2"/>
          <w:sz w:val="20"/>
        </w:rPr>
        <w:t>salariales.</w:t>
      </w:r>
    </w:p>
    <w:p>
      <w:pPr>
        <w:pStyle w:val="BodyText"/>
        <w:spacing w:before="1"/>
      </w:pPr>
    </w:p>
    <w:p>
      <w:pPr>
        <w:pStyle w:val="ListParagraph"/>
        <w:numPr>
          <w:ilvl w:val="0"/>
          <w:numId w:val="239"/>
        </w:numPr>
        <w:tabs>
          <w:tab w:pos="1195" w:val="left" w:leader="none"/>
        </w:tabs>
        <w:spacing w:line="240" w:lineRule="auto" w:before="0" w:after="0"/>
        <w:ind w:left="1195" w:right="0" w:hanging="569"/>
        <w:jc w:val="left"/>
        <w:rPr>
          <w:sz w:val="20"/>
        </w:rPr>
      </w:pPr>
      <w:r>
        <w:rPr>
          <w:sz w:val="20"/>
        </w:rPr>
        <w:t>Realizar</w:t>
      </w:r>
      <w:r>
        <w:rPr>
          <w:spacing w:val="-11"/>
          <w:sz w:val="20"/>
        </w:rPr>
        <w:t> </w:t>
      </w:r>
      <w:r>
        <w:rPr>
          <w:sz w:val="20"/>
        </w:rPr>
        <w:t>periódicamente</w:t>
      </w:r>
      <w:r>
        <w:rPr>
          <w:spacing w:val="-12"/>
          <w:sz w:val="20"/>
        </w:rPr>
        <w:t> </w:t>
      </w:r>
      <w:r>
        <w:rPr>
          <w:sz w:val="20"/>
        </w:rPr>
        <w:t>las</w:t>
      </w:r>
      <w:r>
        <w:rPr>
          <w:spacing w:val="-10"/>
          <w:sz w:val="20"/>
        </w:rPr>
        <w:t> </w:t>
      </w:r>
      <w:r>
        <w:rPr>
          <w:sz w:val="20"/>
        </w:rPr>
        <w:t>investigaciones</w:t>
      </w:r>
      <w:r>
        <w:rPr>
          <w:spacing w:val="-8"/>
          <w:sz w:val="20"/>
        </w:rPr>
        <w:t> </w:t>
      </w:r>
      <w:r>
        <w:rPr>
          <w:sz w:val="20"/>
        </w:rPr>
        <w:t>y</w:t>
      </w:r>
      <w:r>
        <w:rPr>
          <w:spacing w:val="-11"/>
          <w:sz w:val="20"/>
        </w:rPr>
        <w:t> </w:t>
      </w:r>
      <w:r>
        <w:rPr>
          <w:sz w:val="20"/>
        </w:rPr>
        <w:t>estudios</w:t>
      </w:r>
      <w:r>
        <w:rPr>
          <w:spacing w:val="-10"/>
          <w:sz w:val="20"/>
        </w:rPr>
        <w:t> </w:t>
      </w:r>
      <w:r>
        <w:rPr>
          <w:sz w:val="20"/>
        </w:rPr>
        <w:t>necesarios</w:t>
      </w:r>
      <w:r>
        <w:rPr>
          <w:spacing w:val="-10"/>
          <w:sz w:val="20"/>
        </w:rPr>
        <w:t> </w:t>
      </w:r>
      <w:r>
        <w:rPr>
          <w:sz w:val="20"/>
        </w:rPr>
        <w:t>para</w:t>
      </w:r>
      <w:r>
        <w:rPr>
          <w:spacing w:val="-11"/>
          <w:sz w:val="20"/>
        </w:rPr>
        <w:t> </w:t>
      </w:r>
      <w:r>
        <w:rPr>
          <w:spacing w:val="-2"/>
          <w:sz w:val="20"/>
        </w:rPr>
        <w:t>determinar:</w:t>
      </w:r>
    </w:p>
    <w:p>
      <w:pPr>
        <w:pStyle w:val="ListParagraph"/>
        <w:numPr>
          <w:ilvl w:val="1"/>
          <w:numId w:val="239"/>
        </w:numPr>
        <w:tabs>
          <w:tab w:pos="1760" w:val="left" w:leader="none"/>
          <w:tab w:pos="1762" w:val="left" w:leader="none"/>
        </w:tabs>
        <w:spacing w:line="240" w:lineRule="auto" w:before="229" w:after="0"/>
        <w:ind w:left="1762" w:right="341" w:hanging="567"/>
        <w:jc w:val="both"/>
        <w:rPr>
          <w:sz w:val="20"/>
        </w:rPr>
      </w:pPr>
      <w:r>
        <w:rPr>
          <w:sz w:val="20"/>
        </w:rPr>
        <w:t>El presupuesto indispensable para la satisfacción de las siguientes necesidades de cada familia, entre otras: las de orden material, tales como la habitación, menaje de casa, alimentación, vestido y transporte; las de carácter social y cultural, tales como concurrencia</w:t>
      </w:r>
      <w:r>
        <w:rPr>
          <w:spacing w:val="-3"/>
          <w:sz w:val="20"/>
        </w:rPr>
        <w:t> </w:t>
      </w:r>
      <w:r>
        <w:rPr>
          <w:sz w:val="20"/>
        </w:rPr>
        <w:t>a</w:t>
      </w:r>
      <w:r>
        <w:rPr>
          <w:spacing w:val="-3"/>
          <w:sz w:val="20"/>
        </w:rPr>
        <w:t> </w:t>
      </w:r>
      <w:r>
        <w:rPr>
          <w:sz w:val="20"/>
        </w:rPr>
        <w:t>espectáculos,</w:t>
      </w:r>
      <w:r>
        <w:rPr>
          <w:spacing w:val="-5"/>
          <w:sz w:val="20"/>
        </w:rPr>
        <w:t> </w:t>
      </w:r>
      <w:r>
        <w:rPr>
          <w:sz w:val="20"/>
        </w:rPr>
        <w:t>práctica</w:t>
      </w:r>
      <w:r>
        <w:rPr>
          <w:spacing w:val="-3"/>
          <w:sz w:val="20"/>
        </w:rPr>
        <w:t> </w:t>
      </w:r>
      <w:r>
        <w:rPr>
          <w:sz w:val="20"/>
        </w:rPr>
        <w:t>de</w:t>
      </w:r>
      <w:r>
        <w:rPr>
          <w:spacing w:val="-3"/>
          <w:sz w:val="20"/>
        </w:rPr>
        <w:t> </w:t>
      </w:r>
      <w:r>
        <w:rPr>
          <w:sz w:val="20"/>
        </w:rPr>
        <w:t>deportes,</w:t>
      </w:r>
      <w:r>
        <w:rPr>
          <w:spacing w:val="-5"/>
          <w:sz w:val="20"/>
        </w:rPr>
        <w:t> </w:t>
      </w:r>
      <w:r>
        <w:rPr>
          <w:sz w:val="20"/>
        </w:rPr>
        <w:t>asistencia</w:t>
      </w:r>
      <w:r>
        <w:rPr>
          <w:spacing w:val="-3"/>
          <w:sz w:val="20"/>
        </w:rPr>
        <w:t> </w:t>
      </w:r>
      <w:r>
        <w:rPr>
          <w:sz w:val="20"/>
        </w:rPr>
        <w:t>a</w:t>
      </w:r>
      <w:r>
        <w:rPr>
          <w:spacing w:val="-3"/>
          <w:sz w:val="20"/>
        </w:rPr>
        <w:t> </w:t>
      </w:r>
      <w:r>
        <w:rPr>
          <w:sz w:val="20"/>
        </w:rPr>
        <w:t>escuelas</w:t>
      </w:r>
      <w:r>
        <w:rPr>
          <w:spacing w:val="-4"/>
          <w:sz w:val="20"/>
        </w:rPr>
        <w:t> </w:t>
      </w:r>
      <w:r>
        <w:rPr>
          <w:sz w:val="20"/>
        </w:rPr>
        <w:t>de</w:t>
      </w:r>
      <w:r>
        <w:rPr>
          <w:spacing w:val="-5"/>
          <w:sz w:val="20"/>
        </w:rPr>
        <w:t> </w:t>
      </w:r>
      <w:r>
        <w:rPr>
          <w:sz w:val="20"/>
        </w:rPr>
        <w:t>capacitación, bibliotecas y otros centros de cultura; y las relacionadas con la educación de los hijos.</w:t>
      </w:r>
    </w:p>
    <w:p>
      <w:pPr>
        <w:pStyle w:val="BodyText"/>
      </w:pPr>
    </w:p>
    <w:p>
      <w:pPr>
        <w:pStyle w:val="ListParagraph"/>
        <w:numPr>
          <w:ilvl w:val="1"/>
          <w:numId w:val="239"/>
        </w:numPr>
        <w:tabs>
          <w:tab w:pos="1761" w:val="left" w:leader="none"/>
        </w:tabs>
        <w:spacing w:line="240" w:lineRule="auto" w:before="0" w:after="0"/>
        <w:ind w:left="1761" w:right="0" w:hanging="566"/>
        <w:jc w:val="left"/>
        <w:rPr>
          <w:sz w:val="20"/>
        </w:rPr>
      </w:pPr>
      <w:r>
        <w:rPr>
          <w:sz w:val="20"/>
        </w:rPr>
        <w:t>Las</w:t>
      </w:r>
      <w:r>
        <w:rPr>
          <w:spacing w:val="-6"/>
          <w:sz w:val="20"/>
        </w:rPr>
        <w:t> </w:t>
      </w:r>
      <w:r>
        <w:rPr>
          <w:sz w:val="20"/>
        </w:rPr>
        <w:t>condiciones</w:t>
      </w:r>
      <w:r>
        <w:rPr>
          <w:spacing w:val="-6"/>
          <w:sz w:val="20"/>
        </w:rPr>
        <w:t> </w:t>
      </w:r>
      <w:r>
        <w:rPr>
          <w:sz w:val="20"/>
        </w:rPr>
        <w:t>de</w:t>
      </w:r>
      <w:r>
        <w:rPr>
          <w:spacing w:val="-7"/>
          <w:sz w:val="20"/>
        </w:rPr>
        <w:t> </w:t>
      </w:r>
      <w:r>
        <w:rPr>
          <w:sz w:val="20"/>
        </w:rPr>
        <w:t>vida</w:t>
      </w:r>
      <w:r>
        <w:rPr>
          <w:spacing w:val="-5"/>
          <w:sz w:val="20"/>
        </w:rPr>
        <w:t> </w:t>
      </w:r>
      <w:r>
        <w:rPr>
          <w:sz w:val="20"/>
        </w:rPr>
        <w:t>y</w:t>
      </w:r>
      <w:r>
        <w:rPr>
          <w:spacing w:val="-6"/>
          <w:sz w:val="20"/>
        </w:rPr>
        <w:t> </w:t>
      </w:r>
      <w:r>
        <w:rPr>
          <w:sz w:val="20"/>
        </w:rPr>
        <w:t>de</w:t>
      </w:r>
      <w:r>
        <w:rPr>
          <w:spacing w:val="-8"/>
          <w:sz w:val="20"/>
        </w:rPr>
        <w:t> </w:t>
      </w:r>
      <w:r>
        <w:rPr>
          <w:sz w:val="20"/>
        </w:rPr>
        <w:t>trabajo</w:t>
      </w:r>
      <w:r>
        <w:rPr>
          <w:spacing w:val="-6"/>
          <w:sz w:val="20"/>
        </w:rPr>
        <w:t> </w:t>
      </w:r>
      <w:r>
        <w:rPr>
          <w:sz w:val="20"/>
        </w:rPr>
        <w:t>de</w:t>
      </w:r>
      <w:r>
        <w:rPr>
          <w:spacing w:val="-7"/>
          <w:sz w:val="20"/>
        </w:rPr>
        <w:t> </w:t>
      </w:r>
      <w:r>
        <w:rPr>
          <w:sz w:val="20"/>
        </w:rPr>
        <w:t>los</w:t>
      </w:r>
      <w:r>
        <w:rPr>
          <w:spacing w:val="-6"/>
          <w:sz w:val="20"/>
        </w:rPr>
        <w:t> </w:t>
      </w:r>
      <w:r>
        <w:rPr>
          <w:sz w:val="20"/>
        </w:rPr>
        <w:t>trabajadores</w:t>
      </w:r>
      <w:r>
        <w:rPr>
          <w:spacing w:val="-6"/>
          <w:sz w:val="20"/>
        </w:rPr>
        <w:t> </w:t>
      </w:r>
      <w:r>
        <w:rPr>
          <w:sz w:val="20"/>
        </w:rPr>
        <w:t>de</w:t>
      </w:r>
      <w:r>
        <w:rPr>
          <w:spacing w:val="-8"/>
          <w:sz w:val="20"/>
        </w:rPr>
        <w:t> </w:t>
      </w:r>
      <w:r>
        <w:rPr>
          <w:sz w:val="20"/>
        </w:rPr>
        <w:t>salario</w:t>
      </w:r>
      <w:r>
        <w:rPr>
          <w:spacing w:val="-7"/>
          <w:sz w:val="20"/>
        </w:rPr>
        <w:t> </w:t>
      </w:r>
      <w:r>
        <w:rPr>
          <w:spacing w:val="-2"/>
          <w:sz w:val="20"/>
        </w:rPr>
        <w:t>mínimo.</w:t>
      </w:r>
    </w:p>
    <w:p>
      <w:pPr>
        <w:pStyle w:val="ListParagraph"/>
        <w:spacing w:after="0" w:line="240" w:lineRule="auto"/>
        <w:jc w:val="left"/>
        <w:rPr>
          <w:sz w:val="20"/>
        </w:rPr>
        <w:sectPr>
          <w:pgSz w:w="12240" w:h="15840"/>
          <w:pgMar w:header="724" w:footer="712" w:top="1880" w:bottom="900" w:left="1080" w:right="1080"/>
        </w:sectPr>
      </w:pPr>
    </w:p>
    <w:p>
      <w:pPr>
        <w:pStyle w:val="BodyText"/>
        <w:spacing w:before="63"/>
      </w:pPr>
    </w:p>
    <w:p>
      <w:pPr>
        <w:pStyle w:val="ListParagraph"/>
        <w:numPr>
          <w:ilvl w:val="0"/>
          <w:numId w:val="239"/>
        </w:numPr>
        <w:tabs>
          <w:tab w:pos="1191" w:val="left" w:leader="none"/>
          <w:tab w:pos="1195" w:val="left" w:leader="none"/>
        </w:tabs>
        <w:spacing w:line="242" w:lineRule="auto" w:before="0" w:after="0"/>
        <w:ind w:left="1195" w:right="332" w:hanging="569"/>
        <w:jc w:val="both"/>
        <w:rPr>
          <w:sz w:val="20"/>
        </w:rPr>
      </w:pPr>
      <w:r>
        <w:rPr>
          <w:sz w:val="20"/>
        </w:rPr>
        <w:t>Solicitar toda clase de informes y estudios de las instituciones oficiales, federales y estatales y de las particulares que se ocupen de problemas económicos, tales como los institutos de investigaciones</w:t>
      </w:r>
      <w:r>
        <w:rPr>
          <w:spacing w:val="-1"/>
          <w:sz w:val="20"/>
        </w:rPr>
        <w:t> </w:t>
      </w:r>
      <w:r>
        <w:rPr>
          <w:sz w:val="20"/>
        </w:rPr>
        <w:t>sociales y</w:t>
      </w:r>
      <w:r>
        <w:rPr>
          <w:spacing w:val="-3"/>
          <w:sz w:val="20"/>
        </w:rPr>
        <w:t> </w:t>
      </w:r>
      <w:r>
        <w:rPr>
          <w:sz w:val="20"/>
        </w:rPr>
        <w:t>económicas,</w:t>
      </w:r>
      <w:r>
        <w:rPr>
          <w:spacing w:val="-2"/>
          <w:sz w:val="20"/>
        </w:rPr>
        <w:t> </w:t>
      </w:r>
      <w:r>
        <w:rPr>
          <w:sz w:val="20"/>
        </w:rPr>
        <w:t>las organizaciones</w:t>
      </w:r>
      <w:r>
        <w:rPr>
          <w:spacing w:val="-1"/>
          <w:sz w:val="20"/>
        </w:rPr>
        <w:t> </w:t>
      </w:r>
      <w:r>
        <w:rPr>
          <w:sz w:val="20"/>
        </w:rPr>
        <w:t>sindicales,</w:t>
      </w:r>
      <w:r>
        <w:rPr>
          <w:spacing w:val="-2"/>
          <w:sz w:val="20"/>
        </w:rPr>
        <w:t> </w:t>
      </w:r>
      <w:r>
        <w:rPr>
          <w:sz w:val="20"/>
        </w:rPr>
        <w:t>las</w:t>
      </w:r>
      <w:r>
        <w:rPr>
          <w:spacing w:val="-1"/>
          <w:sz w:val="20"/>
        </w:rPr>
        <w:t> </w:t>
      </w:r>
      <w:r>
        <w:rPr>
          <w:sz w:val="20"/>
        </w:rPr>
        <w:t>cámaras</w:t>
      </w:r>
      <w:r>
        <w:rPr>
          <w:spacing w:val="-1"/>
          <w:sz w:val="20"/>
        </w:rPr>
        <w:t> </w:t>
      </w:r>
      <w:r>
        <w:rPr>
          <w:sz w:val="20"/>
        </w:rPr>
        <w:t>de comercio, las de industria y otras instituciones semejantes;</w:t>
      </w:r>
    </w:p>
    <w:p>
      <w:pPr>
        <w:pStyle w:val="ListParagraph"/>
        <w:numPr>
          <w:ilvl w:val="0"/>
          <w:numId w:val="239"/>
        </w:numPr>
        <w:tabs>
          <w:tab w:pos="1195" w:val="left" w:leader="none"/>
        </w:tabs>
        <w:spacing w:line="240" w:lineRule="auto" w:before="223" w:after="0"/>
        <w:ind w:left="1195" w:right="345" w:hanging="569"/>
        <w:jc w:val="both"/>
        <w:rPr>
          <w:sz w:val="20"/>
        </w:rPr>
      </w:pPr>
      <w:r>
        <w:rPr>
          <w:sz w:val="20"/>
        </w:rPr>
        <w:t>Recibir</w:t>
      </w:r>
      <w:r>
        <w:rPr>
          <w:spacing w:val="-2"/>
          <w:sz w:val="20"/>
        </w:rPr>
        <w:t> </w:t>
      </w:r>
      <w:r>
        <w:rPr>
          <w:sz w:val="20"/>
        </w:rPr>
        <w:t>y</w:t>
      </w:r>
      <w:r>
        <w:rPr>
          <w:spacing w:val="-6"/>
          <w:sz w:val="20"/>
        </w:rPr>
        <w:t> </w:t>
      </w:r>
      <w:r>
        <w:rPr>
          <w:sz w:val="20"/>
        </w:rPr>
        <w:t>considerar</w:t>
      </w:r>
      <w:r>
        <w:rPr>
          <w:spacing w:val="-2"/>
          <w:sz w:val="20"/>
        </w:rPr>
        <w:t> </w:t>
      </w:r>
      <w:r>
        <w:rPr>
          <w:sz w:val="20"/>
        </w:rPr>
        <w:t>los</w:t>
      </w:r>
      <w:r>
        <w:rPr>
          <w:spacing w:val="-2"/>
          <w:sz w:val="20"/>
        </w:rPr>
        <w:t> </w:t>
      </w:r>
      <w:r>
        <w:rPr>
          <w:sz w:val="20"/>
        </w:rPr>
        <w:t>estudios,</w:t>
      </w:r>
      <w:r>
        <w:rPr>
          <w:spacing w:val="-5"/>
          <w:sz w:val="20"/>
        </w:rPr>
        <w:t> </w:t>
      </w:r>
      <w:r>
        <w:rPr>
          <w:sz w:val="20"/>
        </w:rPr>
        <w:t>informes</w:t>
      </w:r>
      <w:r>
        <w:rPr>
          <w:spacing w:val="-2"/>
          <w:sz w:val="20"/>
        </w:rPr>
        <w:t> </w:t>
      </w:r>
      <w:r>
        <w:rPr>
          <w:sz w:val="20"/>
        </w:rPr>
        <w:t>y</w:t>
      </w:r>
      <w:r>
        <w:rPr>
          <w:spacing w:val="-7"/>
          <w:sz w:val="20"/>
        </w:rPr>
        <w:t> </w:t>
      </w:r>
      <w:r>
        <w:rPr>
          <w:sz w:val="20"/>
        </w:rPr>
        <w:t>sugerencias</w:t>
      </w:r>
      <w:r>
        <w:rPr>
          <w:spacing w:val="-4"/>
          <w:sz w:val="20"/>
        </w:rPr>
        <w:t> </w:t>
      </w:r>
      <w:r>
        <w:rPr>
          <w:sz w:val="20"/>
        </w:rPr>
        <w:t>que</w:t>
      </w:r>
      <w:r>
        <w:rPr>
          <w:spacing w:val="-3"/>
          <w:sz w:val="20"/>
        </w:rPr>
        <w:t> </w:t>
      </w:r>
      <w:r>
        <w:rPr>
          <w:sz w:val="20"/>
        </w:rPr>
        <w:t>le</w:t>
      </w:r>
      <w:r>
        <w:rPr>
          <w:spacing w:val="-3"/>
          <w:sz w:val="20"/>
        </w:rPr>
        <w:t> </w:t>
      </w:r>
      <w:r>
        <w:rPr>
          <w:sz w:val="20"/>
        </w:rPr>
        <w:t>presenten</w:t>
      </w:r>
      <w:r>
        <w:rPr>
          <w:spacing w:val="-4"/>
          <w:sz w:val="20"/>
        </w:rPr>
        <w:t> </w:t>
      </w:r>
      <w:r>
        <w:rPr>
          <w:sz w:val="20"/>
        </w:rPr>
        <w:t>los</w:t>
      </w:r>
      <w:r>
        <w:rPr>
          <w:spacing w:val="-2"/>
          <w:sz w:val="20"/>
        </w:rPr>
        <w:t> </w:t>
      </w:r>
      <w:r>
        <w:rPr>
          <w:sz w:val="20"/>
        </w:rPr>
        <w:t>trabajadores y</w:t>
      </w:r>
      <w:r>
        <w:rPr>
          <w:spacing w:val="-6"/>
          <w:sz w:val="20"/>
        </w:rPr>
        <w:t> </w:t>
      </w:r>
      <w:r>
        <w:rPr>
          <w:sz w:val="20"/>
        </w:rPr>
        <w:t>los patrones; y</w:t>
      </w:r>
    </w:p>
    <w:p>
      <w:pPr>
        <w:pStyle w:val="ListParagraph"/>
        <w:numPr>
          <w:ilvl w:val="0"/>
          <w:numId w:val="239"/>
        </w:numPr>
        <w:tabs>
          <w:tab w:pos="1195" w:val="left" w:leader="none"/>
        </w:tabs>
        <w:spacing w:line="242" w:lineRule="auto" w:before="227" w:after="0"/>
        <w:ind w:left="1195" w:right="339" w:hanging="569"/>
        <w:jc w:val="both"/>
        <w:rPr>
          <w:sz w:val="20"/>
        </w:rPr>
      </w:pPr>
      <w:r>
        <w:rPr>
          <w:sz w:val="20"/>
        </w:rPr>
        <w:t>Preparar un informe de las investigaciones y estudios que hubiese efectuado y de los presentados por los trabajadores y los patrones y someterlo a la consideración del Consejo de </w:t>
      </w:r>
      <w:r>
        <w:rPr>
          <w:spacing w:val="-2"/>
          <w:sz w:val="20"/>
        </w:rPr>
        <w:t>Representantes.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8"/>
        <w:rPr>
          <w:rFonts w:ascii="Times New Roman"/>
          <w:i/>
          <w:sz w:val="16"/>
        </w:rPr>
      </w:pPr>
    </w:p>
    <w:p>
      <w:pPr>
        <w:pStyle w:val="BodyText"/>
        <w:ind w:left="626"/>
      </w:pPr>
      <w:bookmarkStart w:name="Artículo_563" w:id="714"/>
      <w:bookmarkEnd w:id="714"/>
      <w:r>
        <w:rPr/>
      </w:r>
      <w:r>
        <w:rPr>
          <w:rFonts w:ascii="Arial" w:hAnsi="Arial"/>
          <w:b/>
        </w:rPr>
        <w:t>Artículo</w:t>
      </w:r>
      <w:r>
        <w:rPr>
          <w:rFonts w:ascii="Arial" w:hAnsi="Arial"/>
          <w:b/>
          <w:spacing w:val="-7"/>
        </w:rPr>
        <w:t> </w:t>
      </w:r>
      <w:r>
        <w:rPr>
          <w:rFonts w:ascii="Arial" w:hAnsi="Arial"/>
          <w:b/>
        </w:rPr>
        <w:t>563.-</w:t>
      </w:r>
      <w:r>
        <w:rPr>
          <w:rFonts w:ascii="Arial" w:hAnsi="Arial"/>
          <w:b/>
          <w:spacing w:val="-5"/>
        </w:rPr>
        <w:t> </w:t>
      </w:r>
      <w:r>
        <w:rPr/>
        <w:t>El</w:t>
      </w:r>
      <w:r>
        <w:rPr>
          <w:spacing w:val="-7"/>
        </w:rPr>
        <w:t> </w:t>
      </w:r>
      <w:r>
        <w:rPr/>
        <w:t>Director</w:t>
      </w:r>
      <w:r>
        <w:rPr>
          <w:spacing w:val="-7"/>
        </w:rPr>
        <w:t> </w:t>
      </w:r>
      <w:r>
        <w:rPr/>
        <w:t>Técnico</w:t>
      </w:r>
      <w:r>
        <w:rPr>
          <w:spacing w:val="-8"/>
        </w:rPr>
        <w:t> </w:t>
      </w:r>
      <w:r>
        <w:rPr/>
        <w:t>tiene</w:t>
      </w:r>
      <w:r>
        <w:rPr>
          <w:spacing w:val="-7"/>
        </w:rPr>
        <w:t> </w:t>
      </w:r>
      <w:r>
        <w:rPr/>
        <w:t>los</w:t>
      </w:r>
      <w:r>
        <w:rPr>
          <w:spacing w:val="-7"/>
        </w:rPr>
        <w:t> </w:t>
      </w:r>
      <w:r>
        <w:rPr/>
        <w:t>deberes</w:t>
      </w:r>
      <w:r>
        <w:rPr>
          <w:spacing w:val="-3"/>
        </w:rPr>
        <w:t> </w:t>
      </w:r>
      <w:r>
        <w:rPr/>
        <w:t>y</w:t>
      </w:r>
      <w:r>
        <w:rPr>
          <w:spacing w:val="-9"/>
        </w:rPr>
        <w:t> </w:t>
      </w:r>
      <w:r>
        <w:rPr/>
        <w:t>atribuciones</w:t>
      </w:r>
      <w:r>
        <w:rPr>
          <w:spacing w:val="-6"/>
        </w:rPr>
        <w:t> </w:t>
      </w:r>
      <w:r>
        <w:rPr>
          <w:spacing w:val="-2"/>
        </w:rPr>
        <w:t>siguientes:</w:t>
      </w:r>
    </w:p>
    <w:p>
      <w:pPr>
        <w:pStyle w:val="BodyText"/>
      </w:pPr>
    </w:p>
    <w:p>
      <w:pPr>
        <w:pStyle w:val="ListParagraph"/>
        <w:numPr>
          <w:ilvl w:val="0"/>
          <w:numId w:val="240"/>
        </w:numPr>
        <w:tabs>
          <w:tab w:pos="1195" w:val="left" w:leader="none"/>
        </w:tabs>
        <w:spacing w:line="240" w:lineRule="auto" w:before="1" w:after="0"/>
        <w:ind w:left="1195" w:right="0" w:hanging="569"/>
        <w:jc w:val="left"/>
        <w:rPr>
          <w:sz w:val="20"/>
        </w:rPr>
      </w:pPr>
      <w:r>
        <w:rPr>
          <w:sz w:val="20"/>
        </w:rPr>
        <w:t>Coordinar</w:t>
      </w:r>
      <w:r>
        <w:rPr>
          <w:spacing w:val="-6"/>
          <w:sz w:val="20"/>
        </w:rPr>
        <w:t> </w:t>
      </w:r>
      <w:r>
        <w:rPr>
          <w:sz w:val="20"/>
        </w:rPr>
        <w:t>los</w:t>
      </w:r>
      <w:r>
        <w:rPr>
          <w:spacing w:val="-7"/>
          <w:sz w:val="20"/>
        </w:rPr>
        <w:t> </w:t>
      </w:r>
      <w:r>
        <w:rPr>
          <w:sz w:val="20"/>
        </w:rPr>
        <w:t>trabajos</w:t>
      </w:r>
      <w:r>
        <w:rPr>
          <w:spacing w:val="-7"/>
          <w:sz w:val="20"/>
        </w:rPr>
        <w:t> </w:t>
      </w:r>
      <w:r>
        <w:rPr>
          <w:sz w:val="20"/>
        </w:rPr>
        <w:t>de</w:t>
      </w:r>
      <w:r>
        <w:rPr>
          <w:spacing w:val="-8"/>
          <w:sz w:val="20"/>
        </w:rPr>
        <w:t> </w:t>
      </w:r>
      <w:r>
        <w:rPr>
          <w:sz w:val="20"/>
        </w:rPr>
        <w:t>los</w:t>
      </w:r>
      <w:r>
        <w:rPr>
          <w:spacing w:val="-7"/>
          <w:sz w:val="20"/>
        </w:rPr>
        <w:t> </w:t>
      </w:r>
      <w:r>
        <w:rPr>
          <w:spacing w:val="-2"/>
          <w:sz w:val="20"/>
        </w:rPr>
        <w:t>asesores;</w:t>
      </w:r>
    </w:p>
    <w:p>
      <w:pPr>
        <w:pStyle w:val="ListParagraph"/>
        <w:numPr>
          <w:ilvl w:val="0"/>
          <w:numId w:val="240"/>
        </w:numPr>
        <w:tabs>
          <w:tab w:pos="1195" w:val="left" w:leader="none"/>
        </w:tabs>
        <w:spacing w:line="242" w:lineRule="auto" w:before="228" w:after="0"/>
        <w:ind w:left="1195" w:right="338" w:hanging="569"/>
        <w:jc w:val="left"/>
        <w:rPr>
          <w:sz w:val="20"/>
        </w:rPr>
      </w:pPr>
      <w:r>
        <w:rPr>
          <w:sz w:val="20"/>
        </w:rPr>
        <w:t>Informar</w:t>
      </w:r>
      <w:r>
        <w:rPr>
          <w:spacing w:val="37"/>
          <w:sz w:val="20"/>
        </w:rPr>
        <w:t> </w:t>
      </w:r>
      <w:r>
        <w:rPr>
          <w:sz w:val="20"/>
        </w:rPr>
        <w:t>periódicamente</w:t>
      </w:r>
      <w:r>
        <w:rPr>
          <w:spacing w:val="36"/>
          <w:sz w:val="20"/>
        </w:rPr>
        <w:t> </w:t>
      </w:r>
      <w:r>
        <w:rPr>
          <w:sz w:val="20"/>
        </w:rPr>
        <w:t>al</w:t>
      </w:r>
      <w:r>
        <w:rPr>
          <w:spacing w:val="38"/>
          <w:sz w:val="20"/>
        </w:rPr>
        <w:t> </w:t>
      </w:r>
      <w:r>
        <w:rPr>
          <w:sz w:val="20"/>
        </w:rPr>
        <w:t>Presidente</w:t>
      </w:r>
      <w:r>
        <w:rPr>
          <w:spacing w:val="38"/>
          <w:sz w:val="20"/>
        </w:rPr>
        <w:t> </w:t>
      </w:r>
      <w:r>
        <w:rPr>
          <w:sz w:val="20"/>
        </w:rPr>
        <w:t>de</w:t>
      </w:r>
      <w:r>
        <w:rPr>
          <w:spacing w:val="40"/>
          <w:sz w:val="20"/>
        </w:rPr>
        <w:t> </w:t>
      </w:r>
      <w:r>
        <w:rPr>
          <w:sz w:val="20"/>
        </w:rPr>
        <w:t>la</w:t>
      </w:r>
      <w:r>
        <w:rPr>
          <w:spacing w:val="38"/>
          <w:sz w:val="20"/>
        </w:rPr>
        <w:t> </w:t>
      </w:r>
      <w:r>
        <w:rPr>
          <w:sz w:val="20"/>
        </w:rPr>
        <w:t>Comisión</w:t>
      </w:r>
      <w:r>
        <w:rPr>
          <w:spacing w:val="40"/>
          <w:sz w:val="20"/>
        </w:rPr>
        <w:t> </w:t>
      </w:r>
      <w:r>
        <w:rPr>
          <w:sz w:val="20"/>
        </w:rPr>
        <w:t>y</w:t>
      </w:r>
      <w:r>
        <w:rPr>
          <w:spacing w:val="35"/>
          <w:sz w:val="20"/>
        </w:rPr>
        <w:t> </w:t>
      </w:r>
      <w:r>
        <w:rPr>
          <w:sz w:val="20"/>
        </w:rPr>
        <w:t>al</w:t>
      </w:r>
      <w:r>
        <w:rPr>
          <w:spacing w:val="37"/>
          <w:sz w:val="20"/>
        </w:rPr>
        <w:t> </w:t>
      </w:r>
      <w:r>
        <w:rPr>
          <w:sz w:val="20"/>
        </w:rPr>
        <w:t>Consejo</w:t>
      </w:r>
      <w:r>
        <w:rPr>
          <w:spacing w:val="36"/>
          <w:sz w:val="20"/>
        </w:rPr>
        <w:t> </w:t>
      </w:r>
      <w:r>
        <w:rPr>
          <w:sz w:val="20"/>
        </w:rPr>
        <w:t>de</w:t>
      </w:r>
      <w:r>
        <w:rPr>
          <w:spacing w:val="36"/>
          <w:sz w:val="20"/>
        </w:rPr>
        <w:t> </w:t>
      </w:r>
      <w:r>
        <w:rPr>
          <w:sz w:val="20"/>
        </w:rPr>
        <w:t>Representantes,</w:t>
      </w:r>
      <w:r>
        <w:rPr>
          <w:spacing w:val="38"/>
          <w:sz w:val="20"/>
        </w:rPr>
        <w:t> </w:t>
      </w:r>
      <w:r>
        <w:rPr>
          <w:sz w:val="20"/>
        </w:rPr>
        <w:t>del estado de los trabajos y sugerir se lleven a cabo investigaciones y estudios complementarios;</w:t>
      </w:r>
    </w:p>
    <w:p>
      <w:pPr>
        <w:pStyle w:val="ListParagraph"/>
        <w:numPr>
          <w:ilvl w:val="0"/>
          <w:numId w:val="240"/>
        </w:numPr>
        <w:tabs>
          <w:tab w:pos="1195" w:val="left" w:leader="none"/>
        </w:tabs>
        <w:spacing w:line="240" w:lineRule="auto" w:before="227" w:after="0"/>
        <w:ind w:left="1195" w:right="0" w:hanging="569"/>
        <w:jc w:val="left"/>
        <w:rPr>
          <w:sz w:val="20"/>
        </w:rPr>
      </w:pPr>
      <w:r>
        <w:rPr>
          <w:sz w:val="20"/>
        </w:rPr>
        <w:t>Actuar</w:t>
      </w:r>
      <w:r>
        <w:rPr>
          <w:spacing w:val="-8"/>
          <w:sz w:val="20"/>
        </w:rPr>
        <w:t> </w:t>
      </w:r>
      <w:r>
        <w:rPr>
          <w:sz w:val="20"/>
        </w:rPr>
        <w:t>como</w:t>
      </w:r>
      <w:r>
        <w:rPr>
          <w:spacing w:val="-8"/>
          <w:sz w:val="20"/>
        </w:rPr>
        <w:t> </w:t>
      </w:r>
      <w:r>
        <w:rPr>
          <w:sz w:val="20"/>
        </w:rPr>
        <w:t>Secretario</w:t>
      </w:r>
      <w:r>
        <w:rPr>
          <w:spacing w:val="-8"/>
          <w:sz w:val="20"/>
        </w:rPr>
        <w:t> </w:t>
      </w:r>
      <w:r>
        <w:rPr>
          <w:sz w:val="20"/>
        </w:rPr>
        <w:t>del</w:t>
      </w:r>
      <w:r>
        <w:rPr>
          <w:spacing w:val="-7"/>
          <w:sz w:val="20"/>
        </w:rPr>
        <w:t> </w:t>
      </w:r>
      <w:r>
        <w:rPr>
          <w:sz w:val="20"/>
        </w:rPr>
        <w:t>Consejo</w:t>
      </w:r>
      <w:r>
        <w:rPr>
          <w:spacing w:val="-8"/>
          <w:sz w:val="20"/>
        </w:rPr>
        <w:t> </w:t>
      </w:r>
      <w:r>
        <w:rPr>
          <w:sz w:val="20"/>
        </w:rPr>
        <w:t>de</w:t>
      </w:r>
      <w:r>
        <w:rPr>
          <w:spacing w:val="-8"/>
          <w:sz w:val="20"/>
        </w:rPr>
        <w:t> </w:t>
      </w:r>
      <w:r>
        <w:rPr>
          <w:sz w:val="20"/>
        </w:rPr>
        <w:t>Representantes;</w:t>
      </w:r>
      <w:r>
        <w:rPr>
          <w:spacing w:val="-6"/>
          <w:sz w:val="20"/>
        </w:rPr>
        <w:t> </w:t>
      </w:r>
      <w:r>
        <w:rPr>
          <w:spacing w:val="-10"/>
          <w:sz w:val="20"/>
        </w:rPr>
        <w:t>y</w:t>
      </w:r>
    </w:p>
    <w:p>
      <w:pPr>
        <w:pStyle w:val="ListParagraph"/>
        <w:numPr>
          <w:ilvl w:val="0"/>
          <w:numId w:val="240"/>
        </w:numPr>
        <w:tabs>
          <w:tab w:pos="1195" w:val="left" w:leader="none"/>
        </w:tabs>
        <w:spacing w:line="242" w:lineRule="auto" w:before="228" w:after="0"/>
        <w:ind w:left="1195" w:right="340" w:hanging="569"/>
        <w:jc w:val="left"/>
        <w:rPr>
          <w:sz w:val="20"/>
        </w:rPr>
      </w:pPr>
      <w:r>
        <w:rPr>
          <w:sz w:val="20"/>
        </w:rPr>
        <w:t>Disponer, previo acuerdo con el Presidente de la Comisión Nacional, la integración</w:t>
      </w:r>
      <w:r>
        <w:rPr>
          <w:spacing w:val="-1"/>
          <w:sz w:val="20"/>
        </w:rPr>
        <w:t> </w:t>
      </w:r>
      <w:r>
        <w:rPr>
          <w:sz w:val="20"/>
        </w:rPr>
        <w:t>oportuna de los Secretariados Técnicos de las Comisiones Consultivas; 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rPr>
          <w:rFonts w:ascii="Times New Roman"/>
          <w:i/>
          <w:sz w:val="12"/>
        </w:rPr>
      </w:pPr>
    </w:p>
    <w:p>
      <w:pPr>
        <w:pStyle w:val="BodyText"/>
        <w:spacing w:after="0"/>
        <w:rPr>
          <w:rFonts w:ascii="Times New Roman"/>
          <w:i/>
          <w:sz w:val="12"/>
        </w:rPr>
        <w:sectPr>
          <w:pgSz w:w="12240" w:h="15840"/>
          <w:pgMar w:header="724" w:footer="712" w:top="1880" w:bottom="900" w:left="1080" w:right="1080"/>
        </w:sectPr>
      </w:pPr>
    </w:p>
    <w:p>
      <w:pPr>
        <w:pStyle w:val="ListParagraph"/>
        <w:numPr>
          <w:ilvl w:val="0"/>
          <w:numId w:val="240"/>
        </w:numPr>
        <w:tabs>
          <w:tab w:pos="1195" w:val="left" w:leader="none"/>
        </w:tabs>
        <w:spacing w:line="240" w:lineRule="auto" w:before="93" w:after="0"/>
        <w:ind w:left="1195" w:right="0" w:hanging="569"/>
        <w:jc w:val="left"/>
        <w:rPr>
          <w:sz w:val="20"/>
        </w:rPr>
      </w:pPr>
      <w:r>
        <w:rPr>
          <w:sz w:val="20"/>
        </w:rPr>
        <w:t>Los</w:t>
      </w:r>
      <w:r>
        <w:rPr>
          <w:spacing w:val="-5"/>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confieran</w:t>
      </w:r>
      <w:r>
        <w:rPr>
          <w:spacing w:val="-6"/>
          <w:sz w:val="20"/>
        </w:rPr>
        <w:t> </w:t>
      </w:r>
      <w:r>
        <w:rPr>
          <w:sz w:val="20"/>
        </w:rPr>
        <w:t>las</w:t>
      </w:r>
      <w:r>
        <w:rPr>
          <w:spacing w:val="-3"/>
          <w:sz w:val="20"/>
        </w:rPr>
        <w:t> </w:t>
      </w:r>
      <w:r>
        <w:rPr>
          <w:spacing w:val="-2"/>
          <w:sz w:val="20"/>
        </w:rPr>
        <w:t>leyes.</w:t>
      </w:r>
    </w:p>
    <w:p>
      <w:pPr>
        <w:pStyle w:val="BodyText"/>
        <w:spacing w:before="182"/>
      </w:pPr>
    </w:p>
    <w:p>
      <w:pPr>
        <w:pStyle w:val="Heading1"/>
        <w:ind w:left="0" w:right="38"/>
        <w:jc w:val="right"/>
      </w:pPr>
      <w:r>
        <w:rPr/>
        <w:t>CAPITULO</w:t>
      </w:r>
      <w:r>
        <w:rPr>
          <w:spacing w:val="-9"/>
        </w:rPr>
        <w:t> </w:t>
      </w:r>
      <w:r>
        <w:rPr>
          <w:spacing w:val="-5"/>
        </w:rPr>
        <w:t>VII</w:t>
      </w:r>
    </w:p>
    <w:p>
      <w:pPr>
        <w:spacing w:line="240" w:lineRule="auto" w:before="137"/>
        <w:rPr>
          <w:rFonts w:ascii="Arial"/>
          <w:b/>
          <w:sz w:val="16"/>
        </w:rPr>
      </w:pPr>
      <w:r>
        <w:rPr/>
        <w:br w:type="column"/>
      </w:r>
      <w:r>
        <w:rPr>
          <w:rFonts w:ascii="Arial"/>
          <w:b/>
          <w:sz w:val="16"/>
        </w:rPr>
      </w:r>
    </w:p>
    <w:p>
      <w:pPr>
        <w:spacing w:before="0"/>
        <w:ind w:left="62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21-01-</w:t>
      </w:r>
      <w:r>
        <w:rPr>
          <w:rFonts w:ascii="Times New Roman" w:hAnsi="Times New Roman"/>
          <w:i/>
          <w:color w:val="0000FF"/>
          <w:spacing w:val="-4"/>
          <w:sz w:val="16"/>
        </w:rPr>
        <w:t>1988</w:t>
      </w:r>
    </w:p>
    <w:p>
      <w:pPr>
        <w:spacing w:after="0"/>
        <w:jc w:val="left"/>
        <w:rPr>
          <w:rFonts w:ascii="Times New Roman" w:hAnsi="Times New Roman"/>
          <w:i/>
          <w:sz w:val="16"/>
        </w:rPr>
        <w:sectPr>
          <w:type w:val="continuous"/>
          <w:pgSz w:w="12240" w:h="15840"/>
          <w:pgMar w:header="724" w:footer="712" w:top="1880" w:bottom="900" w:left="1080" w:right="1080"/>
          <w:cols w:num="2" w:equalWidth="0">
            <w:col w:w="5809" w:space="912"/>
            <w:col w:w="3359"/>
          </w:cols>
        </w:sectPr>
      </w:pPr>
    </w:p>
    <w:p>
      <w:pPr>
        <w:pStyle w:val="Heading2"/>
        <w:spacing w:line="252" w:lineRule="exact"/>
        <w:ind w:left="300"/>
      </w:pPr>
      <w:r>
        <w:rPr/>
        <w:t>Comisiones</w:t>
      </w:r>
      <w:r>
        <w:rPr>
          <w:spacing w:val="-9"/>
        </w:rPr>
        <w:t> </w:t>
      </w:r>
      <w:r>
        <w:rPr/>
        <w:t>Consultivas</w:t>
      </w:r>
      <w:r>
        <w:rPr>
          <w:spacing w:val="-5"/>
        </w:rPr>
        <w:t> </w:t>
      </w:r>
      <w:r>
        <w:rPr/>
        <w:t>de</w:t>
      </w:r>
      <w:r>
        <w:rPr>
          <w:spacing w:val="-7"/>
        </w:rPr>
        <w:t> </w:t>
      </w:r>
      <w:r>
        <w:rPr/>
        <w:t>la</w:t>
      </w:r>
      <w:r>
        <w:rPr>
          <w:spacing w:val="-4"/>
        </w:rPr>
        <w:t> </w:t>
      </w:r>
      <w:r>
        <w:rPr/>
        <w:t>Comisión</w:t>
      </w:r>
      <w:r>
        <w:rPr>
          <w:spacing w:val="-5"/>
        </w:rPr>
        <w:t> </w:t>
      </w:r>
      <w:r>
        <w:rPr/>
        <w:t>Nacional</w:t>
      </w:r>
      <w:r>
        <w:rPr>
          <w:spacing w:val="-3"/>
        </w:rPr>
        <w:t> </w:t>
      </w:r>
      <w:r>
        <w:rPr/>
        <w:t>de</w:t>
      </w:r>
      <w:r>
        <w:rPr>
          <w:spacing w:val="-8"/>
        </w:rPr>
        <w:t> </w:t>
      </w:r>
      <w:r>
        <w:rPr/>
        <w:t>los</w:t>
      </w:r>
      <w:r>
        <w:rPr>
          <w:spacing w:val="-7"/>
        </w:rPr>
        <w:t> </w:t>
      </w:r>
      <w:r>
        <w:rPr/>
        <w:t>Salarios</w:t>
      </w:r>
      <w:r>
        <w:rPr>
          <w:spacing w:val="-6"/>
        </w:rPr>
        <w:t> </w:t>
      </w:r>
      <w:r>
        <w:rPr>
          <w:spacing w:val="-2"/>
        </w:rPr>
        <w:t>Mínimos</w:t>
      </w:r>
    </w:p>
    <w:p>
      <w:pPr>
        <w:spacing w:before="3"/>
        <w:ind w:left="609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5"/>
        <w:rPr>
          <w:rFonts w:ascii="Times New Roman"/>
          <w:i/>
          <w:sz w:val="16"/>
        </w:rPr>
      </w:pPr>
    </w:p>
    <w:p>
      <w:pPr>
        <w:pStyle w:val="BodyText"/>
        <w:spacing w:line="242" w:lineRule="auto"/>
        <w:ind w:left="338" w:firstLine="288"/>
      </w:pPr>
      <w:bookmarkStart w:name="Artículo_564" w:id="715"/>
      <w:bookmarkEnd w:id="715"/>
      <w:r>
        <w:rPr/>
      </w:r>
      <w:r>
        <w:rPr>
          <w:rFonts w:ascii="Arial" w:hAnsi="Arial"/>
          <w:b/>
        </w:rPr>
        <w:t>Artículo</w:t>
      </w:r>
      <w:r>
        <w:rPr>
          <w:rFonts w:ascii="Arial" w:hAnsi="Arial"/>
          <w:b/>
          <w:spacing w:val="40"/>
        </w:rPr>
        <w:t> </w:t>
      </w:r>
      <w:r>
        <w:rPr>
          <w:rFonts w:ascii="Arial" w:hAnsi="Arial"/>
          <w:b/>
        </w:rPr>
        <w:t>564.-</w:t>
      </w:r>
      <w:r>
        <w:rPr>
          <w:rFonts w:ascii="Arial" w:hAnsi="Arial"/>
          <w:b/>
          <w:spacing w:val="40"/>
        </w:rPr>
        <w:t> </w:t>
      </w:r>
      <w:r>
        <w:rPr/>
        <w:t>El</w:t>
      </w:r>
      <w:r>
        <w:rPr>
          <w:spacing w:val="40"/>
        </w:rPr>
        <w:t> </w:t>
      </w:r>
      <w:r>
        <w:rPr/>
        <w:t>Presidente</w:t>
      </w:r>
      <w:r>
        <w:rPr>
          <w:spacing w:val="40"/>
        </w:rPr>
        <w:t> </w:t>
      </w:r>
      <w:r>
        <w:rPr/>
        <w:t>de</w:t>
      </w:r>
      <w:r>
        <w:rPr>
          <w:spacing w:val="40"/>
        </w:rPr>
        <w:t> </w:t>
      </w:r>
      <w:r>
        <w:rPr/>
        <w:t>la</w:t>
      </w:r>
      <w:r>
        <w:rPr>
          <w:spacing w:val="40"/>
        </w:rPr>
        <w:t> </w:t>
      </w:r>
      <w:r>
        <w:rPr/>
        <w:t>Comisión</w:t>
      </w:r>
      <w:r>
        <w:rPr>
          <w:spacing w:val="40"/>
        </w:rPr>
        <w:t> </w:t>
      </w:r>
      <w:r>
        <w:rPr/>
        <w:t>Nacional</w:t>
      </w:r>
      <w:r>
        <w:rPr>
          <w:spacing w:val="40"/>
        </w:rPr>
        <w:t> </w:t>
      </w:r>
      <w:r>
        <w:rPr/>
        <w:t>determinará,</w:t>
      </w:r>
      <w:r>
        <w:rPr>
          <w:spacing w:val="40"/>
        </w:rPr>
        <w:t> </w:t>
      </w:r>
      <w:r>
        <w:rPr/>
        <w:t>en</w:t>
      </w:r>
      <w:r>
        <w:rPr>
          <w:spacing w:val="40"/>
        </w:rPr>
        <w:t> </w:t>
      </w:r>
      <w:r>
        <w:rPr/>
        <w:t>cada</w:t>
      </w:r>
      <w:r>
        <w:rPr>
          <w:spacing w:val="40"/>
        </w:rPr>
        <w:t> </w:t>
      </w:r>
      <w:r>
        <w:rPr/>
        <w:t>caso,</w:t>
      </w:r>
      <w:r>
        <w:rPr>
          <w:spacing w:val="40"/>
        </w:rPr>
        <w:t> </w:t>
      </w:r>
      <w:r>
        <w:rPr/>
        <w:t>las</w:t>
      </w:r>
      <w:r>
        <w:rPr>
          <w:spacing w:val="40"/>
        </w:rPr>
        <w:t> </w:t>
      </w:r>
      <w:r>
        <w:rPr/>
        <w:t>bases</w:t>
      </w:r>
      <w:r>
        <w:rPr>
          <w:spacing w:val="40"/>
        </w:rPr>
        <w:t> </w:t>
      </w:r>
      <w:r>
        <w:rPr/>
        <w:t>de organización y funcionamiento de las Comisiones Consultivas.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5"/>
        <w:rPr>
          <w:rFonts w:ascii="Times New Roman"/>
          <w:i/>
          <w:sz w:val="16"/>
        </w:rPr>
      </w:pPr>
    </w:p>
    <w:p>
      <w:pPr>
        <w:pStyle w:val="BodyText"/>
        <w:spacing w:line="242" w:lineRule="auto"/>
        <w:ind w:left="338" w:right="342" w:firstLine="288"/>
      </w:pPr>
      <w:bookmarkStart w:name="Artículo_565" w:id="716"/>
      <w:bookmarkEnd w:id="716"/>
      <w:r>
        <w:rPr/>
      </w:r>
      <w:r>
        <w:rPr>
          <w:rFonts w:ascii="Arial" w:hAnsi="Arial"/>
          <w:b/>
        </w:rPr>
        <w:t>Artículo</w:t>
      </w:r>
      <w:r>
        <w:rPr>
          <w:rFonts w:ascii="Arial" w:hAnsi="Arial"/>
          <w:b/>
          <w:spacing w:val="40"/>
        </w:rPr>
        <w:t> </w:t>
      </w:r>
      <w:r>
        <w:rPr>
          <w:rFonts w:ascii="Arial" w:hAnsi="Arial"/>
          <w:b/>
        </w:rPr>
        <w:t>565.-</w:t>
      </w:r>
      <w:r>
        <w:rPr>
          <w:rFonts w:ascii="Arial" w:hAnsi="Arial"/>
          <w:b/>
          <w:spacing w:val="40"/>
        </w:rPr>
        <w:t> </w:t>
      </w:r>
      <w:r>
        <w:rPr/>
        <w:t>Las</w:t>
      </w:r>
      <w:r>
        <w:rPr>
          <w:spacing w:val="40"/>
        </w:rPr>
        <w:t> </w:t>
      </w:r>
      <w:r>
        <w:rPr/>
        <w:t>Comisiones</w:t>
      </w:r>
      <w:r>
        <w:rPr>
          <w:spacing w:val="40"/>
        </w:rPr>
        <w:t> </w:t>
      </w:r>
      <w:r>
        <w:rPr/>
        <w:t>Consultivas</w:t>
      </w:r>
      <w:r>
        <w:rPr>
          <w:spacing w:val="40"/>
        </w:rPr>
        <w:t> </w:t>
      </w:r>
      <w:r>
        <w:rPr/>
        <w:t>se</w:t>
      </w:r>
      <w:r>
        <w:rPr>
          <w:spacing w:val="40"/>
        </w:rPr>
        <w:t> </w:t>
      </w:r>
      <w:r>
        <w:rPr/>
        <w:t>integrarán</w:t>
      </w:r>
      <w:r>
        <w:rPr>
          <w:spacing w:val="40"/>
        </w:rPr>
        <w:t> </w:t>
      </w:r>
      <w:r>
        <w:rPr/>
        <w:t>de</w:t>
      </w:r>
      <w:r>
        <w:rPr>
          <w:spacing w:val="40"/>
        </w:rPr>
        <w:t> </w:t>
      </w:r>
      <w:r>
        <w:rPr/>
        <w:t>conformidad</w:t>
      </w:r>
      <w:r>
        <w:rPr>
          <w:spacing w:val="40"/>
        </w:rPr>
        <w:t> </w:t>
      </w:r>
      <w:r>
        <w:rPr/>
        <w:t>con</w:t>
      </w:r>
      <w:r>
        <w:rPr>
          <w:spacing w:val="40"/>
        </w:rPr>
        <w:t> </w:t>
      </w:r>
      <w:r>
        <w:rPr/>
        <w:t>las</w:t>
      </w:r>
      <w:r>
        <w:rPr>
          <w:spacing w:val="40"/>
        </w:rPr>
        <w:t> </w:t>
      </w:r>
      <w:r>
        <w:rPr/>
        <w:t>disposiciones </w:t>
      </w:r>
      <w:r>
        <w:rPr>
          <w:spacing w:val="-2"/>
        </w:rPr>
        <w:t>siguientes:</w:t>
      </w:r>
    </w:p>
    <w:p>
      <w:pPr>
        <w:pStyle w:val="ListParagraph"/>
        <w:numPr>
          <w:ilvl w:val="0"/>
          <w:numId w:val="241"/>
        </w:numPr>
        <w:tabs>
          <w:tab w:pos="1195" w:val="left" w:leader="none"/>
        </w:tabs>
        <w:spacing w:line="240" w:lineRule="auto" w:before="226" w:after="0"/>
        <w:ind w:left="1195" w:right="0" w:hanging="569"/>
        <w:jc w:val="left"/>
        <w:rPr>
          <w:sz w:val="20"/>
        </w:rPr>
      </w:pPr>
      <w:r>
        <w:rPr>
          <w:sz w:val="20"/>
        </w:rPr>
        <w:t>Con</w:t>
      </w:r>
      <w:r>
        <w:rPr>
          <w:spacing w:val="-6"/>
          <w:sz w:val="20"/>
        </w:rPr>
        <w:t> </w:t>
      </w:r>
      <w:r>
        <w:rPr>
          <w:sz w:val="20"/>
        </w:rPr>
        <w:t>un</w:t>
      </w:r>
      <w:r>
        <w:rPr>
          <w:spacing w:val="-4"/>
          <w:sz w:val="20"/>
        </w:rPr>
        <w:t> </w:t>
      </w:r>
      <w:r>
        <w:rPr>
          <w:spacing w:val="-2"/>
          <w:sz w:val="20"/>
        </w:rPr>
        <w:t>presidente;</w:t>
      </w:r>
    </w:p>
    <w:p>
      <w:pPr>
        <w:pStyle w:val="ListParagraph"/>
        <w:numPr>
          <w:ilvl w:val="0"/>
          <w:numId w:val="241"/>
        </w:numPr>
        <w:tabs>
          <w:tab w:pos="1192" w:val="left" w:leader="none"/>
          <w:tab w:pos="1195" w:val="left" w:leader="none"/>
        </w:tabs>
        <w:spacing w:line="242" w:lineRule="auto" w:before="229" w:after="0"/>
        <w:ind w:left="1195" w:right="335" w:hanging="569"/>
        <w:jc w:val="both"/>
        <w:rPr>
          <w:sz w:val="20"/>
        </w:rPr>
      </w:pPr>
      <w:r>
        <w:rPr>
          <w:sz w:val="20"/>
        </w:rPr>
        <w:t>Con un número igual de representantes de los trabajadores y</w:t>
      </w:r>
      <w:r>
        <w:rPr>
          <w:spacing w:val="-3"/>
          <w:sz w:val="20"/>
        </w:rPr>
        <w:t> </w:t>
      </w:r>
      <w:r>
        <w:rPr>
          <w:sz w:val="20"/>
        </w:rPr>
        <w:t>de los patrones, no menor de tres ni mayor de cinco, designados de acuerdo a lo dispuesto en el Capítulo II del Título Trece de esta Ley;</w:t>
      </w:r>
    </w:p>
    <w:p>
      <w:pPr>
        <w:pStyle w:val="ListParagraph"/>
        <w:numPr>
          <w:ilvl w:val="0"/>
          <w:numId w:val="241"/>
        </w:numPr>
        <w:tabs>
          <w:tab w:pos="1191" w:val="left" w:leader="none"/>
          <w:tab w:pos="1195" w:val="left" w:leader="none"/>
        </w:tabs>
        <w:spacing w:line="242" w:lineRule="auto" w:before="225" w:after="0"/>
        <w:ind w:left="1195" w:right="344" w:hanging="569"/>
        <w:jc w:val="both"/>
        <w:rPr>
          <w:sz w:val="20"/>
        </w:rPr>
      </w:pPr>
      <w:r>
        <w:rPr>
          <w:sz w:val="20"/>
        </w:rPr>
        <w:t>Con los asesores técnicos y especialistas que se considere conveniente, designados por el Presidente de la Comisión Nacional; y</w:t>
      </w:r>
    </w:p>
    <w:p>
      <w:pPr>
        <w:pStyle w:val="ListParagraph"/>
        <w:numPr>
          <w:ilvl w:val="0"/>
          <w:numId w:val="241"/>
        </w:numPr>
        <w:tabs>
          <w:tab w:pos="1195" w:val="left" w:leader="none"/>
        </w:tabs>
        <w:spacing w:line="240" w:lineRule="auto" w:before="224" w:after="0"/>
        <w:ind w:left="1195" w:right="0" w:hanging="569"/>
        <w:jc w:val="left"/>
        <w:rPr>
          <w:sz w:val="20"/>
        </w:rPr>
      </w:pPr>
      <w:r>
        <w:rPr>
          <w:sz w:val="20"/>
        </w:rPr>
        <w:t>Con</w:t>
      </w:r>
      <w:r>
        <w:rPr>
          <w:spacing w:val="-8"/>
          <w:sz w:val="20"/>
        </w:rPr>
        <w:t> </w:t>
      </w:r>
      <w:r>
        <w:rPr>
          <w:sz w:val="20"/>
        </w:rPr>
        <w:t>un</w:t>
      </w:r>
      <w:r>
        <w:rPr>
          <w:spacing w:val="-8"/>
          <w:sz w:val="20"/>
        </w:rPr>
        <w:t> </w:t>
      </w:r>
      <w:r>
        <w:rPr>
          <w:sz w:val="20"/>
        </w:rPr>
        <w:t>Secretariado</w:t>
      </w:r>
      <w:r>
        <w:rPr>
          <w:spacing w:val="-7"/>
          <w:sz w:val="20"/>
        </w:rPr>
        <w:t> </w:t>
      </w:r>
      <w:r>
        <w:rPr>
          <w:spacing w:val="-2"/>
          <w:sz w:val="20"/>
        </w:rPr>
        <w:t>Técnico.</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1"/>
        <w:rPr>
          <w:rFonts w:ascii="Times New Roman"/>
          <w:i/>
        </w:rPr>
      </w:pPr>
    </w:p>
    <w:p>
      <w:pPr>
        <w:pStyle w:val="BodyText"/>
        <w:ind w:left="338" w:right="342" w:firstLine="288"/>
      </w:pPr>
      <w:bookmarkStart w:name="Artículo_566" w:id="717"/>
      <w:bookmarkEnd w:id="717"/>
      <w:r>
        <w:rPr/>
      </w:r>
      <w:r>
        <w:rPr>
          <w:rFonts w:ascii="Arial" w:hAnsi="Arial"/>
          <w:b/>
        </w:rPr>
        <w:t>Artículo</w:t>
      </w:r>
      <w:r>
        <w:rPr>
          <w:rFonts w:ascii="Arial" w:hAnsi="Arial"/>
          <w:b/>
          <w:spacing w:val="40"/>
        </w:rPr>
        <w:t> </w:t>
      </w:r>
      <w:r>
        <w:rPr>
          <w:rFonts w:ascii="Arial" w:hAnsi="Arial"/>
          <w:b/>
        </w:rPr>
        <w:t>566.-</w:t>
      </w:r>
      <w:r>
        <w:rPr>
          <w:rFonts w:ascii="Arial" w:hAnsi="Arial"/>
          <w:b/>
          <w:spacing w:val="40"/>
        </w:rPr>
        <w:t> </w:t>
      </w:r>
      <w:r>
        <w:rPr/>
        <w:t>Los</w:t>
      </w:r>
      <w:r>
        <w:rPr>
          <w:spacing w:val="40"/>
        </w:rPr>
        <w:t> </w:t>
      </w:r>
      <w:r>
        <w:rPr/>
        <w:t>representantes</w:t>
      </w:r>
      <w:r>
        <w:rPr>
          <w:spacing w:val="40"/>
        </w:rPr>
        <w:t> </w:t>
      </w:r>
      <w:r>
        <w:rPr/>
        <w:t>de</w:t>
      </w:r>
      <w:r>
        <w:rPr>
          <w:spacing w:val="40"/>
        </w:rPr>
        <w:t> </w:t>
      </w:r>
      <w:r>
        <w:rPr/>
        <w:t>los</w:t>
      </w:r>
      <w:r>
        <w:rPr>
          <w:spacing w:val="40"/>
        </w:rPr>
        <w:t> </w:t>
      </w:r>
      <w:r>
        <w:rPr/>
        <w:t>trabajadores</w:t>
      </w:r>
      <w:r>
        <w:rPr>
          <w:spacing w:val="40"/>
        </w:rPr>
        <w:t> </w:t>
      </w:r>
      <w:r>
        <w:rPr/>
        <w:t>y</w:t>
      </w:r>
      <w:r>
        <w:rPr>
          <w:spacing w:val="40"/>
        </w:rPr>
        <w:t> </w:t>
      </w:r>
      <w:r>
        <w:rPr/>
        <w:t>de</w:t>
      </w:r>
      <w:r>
        <w:rPr>
          <w:spacing w:val="40"/>
        </w:rPr>
        <w:t> </w:t>
      </w:r>
      <w:r>
        <w:rPr/>
        <w:t>los</w:t>
      </w:r>
      <w:r>
        <w:rPr>
          <w:spacing w:val="40"/>
        </w:rPr>
        <w:t> </w:t>
      </w:r>
      <w:r>
        <w:rPr/>
        <w:t>patrones</w:t>
      </w:r>
      <w:r>
        <w:rPr>
          <w:spacing w:val="40"/>
        </w:rPr>
        <w:t> </w:t>
      </w:r>
      <w:r>
        <w:rPr/>
        <w:t>deberán</w:t>
      </w:r>
      <w:r>
        <w:rPr>
          <w:spacing w:val="40"/>
        </w:rPr>
        <w:t> </w:t>
      </w:r>
      <w:r>
        <w:rPr/>
        <w:t>satisfacer</w:t>
      </w:r>
      <w:r>
        <w:rPr>
          <w:spacing w:val="40"/>
        </w:rPr>
        <w:t> </w:t>
      </w:r>
      <w:r>
        <w:rPr/>
        <w:t>los requisitos señalados en el artículo 556.</w:t>
      </w:r>
    </w:p>
    <w:p>
      <w:pPr>
        <w:pStyle w:val="BodyText"/>
        <w:spacing w:after="0"/>
        <w:sectPr>
          <w:type w:val="continuous"/>
          <w:pgSz w:w="12240" w:h="15840"/>
          <w:pgMar w:header="724" w:footer="712" w:top="1880" w:bottom="900" w:left="1080" w:right="1080"/>
        </w:sectPr>
      </w:pPr>
    </w:p>
    <w:p>
      <w:pPr>
        <w:pStyle w:val="BodyText"/>
        <w:spacing w:before="109"/>
        <w:rPr>
          <w:sz w:val="16"/>
        </w:rPr>
      </w:pP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BodyText"/>
        <w:ind w:left="626"/>
      </w:pPr>
      <w:bookmarkStart w:name="Artículo_567" w:id="718"/>
      <w:bookmarkEnd w:id="718"/>
      <w:r>
        <w:rPr/>
      </w:r>
      <w:r>
        <w:rPr>
          <w:rFonts w:ascii="Arial" w:hAnsi="Arial"/>
          <w:b/>
        </w:rPr>
        <w:t>Artículo</w:t>
      </w:r>
      <w:r>
        <w:rPr>
          <w:rFonts w:ascii="Arial" w:hAnsi="Arial"/>
          <w:b/>
          <w:spacing w:val="-8"/>
        </w:rPr>
        <w:t> </w:t>
      </w:r>
      <w:r>
        <w:rPr>
          <w:rFonts w:ascii="Arial" w:hAnsi="Arial"/>
          <w:b/>
        </w:rPr>
        <w:t>567.-</w:t>
      </w:r>
      <w:r>
        <w:rPr>
          <w:rFonts w:ascii="Arial" w:hAnsi="Arial"/>
          <w:b/>
          <w:spacing w:val="-8"/>
        </w:rPr>
        <w:t> </w:t>
      </w:r>
      <w:r>
        <w:rPr/>
        <w:t>Las</w:t>
      </w:r>
      <w:r>
        <w:rPr>
          <w:spacing w:val="-8"/>
        </w:rPr>
        <w:t> </w:t>
      </w:r>
      <w:r>
        <w:rPr/>
        <w:t>Comisiones</w:t>
      </w:r>
      <w:r>
        <w:rPr>
          <w:spacing w:val="-8"/>
        </w:rPr>
        <w:t> </w:t>
      </w:r>
      <w:r>
        <w:rPr/>
        <w:t>Consultivas</w:t>
      </w:r>
      <w:r>
        <w:rPr>
          <w:spacing w:val="-8"/>
        </w:rPr>
        <w:t> </w:t>
      </w:r>
      <w:r>
        <w:rPr/>
        <w:t>tendrán</w:t>
      </w:r>
      <w:r>
        <w:rPr>
          <w:spacing w:val="-7"/>
        </w:rPr>
        <w:t> </w:t>
      </w:r>
      <w:r>
        <w:rPr/>
        <w:t>los</w:t>
      </w:r>
      <w:r>
        <w:rPr>
          <w:spacing w:val="-7"/>
        </w:rPr>
        <w:t> </w:t>
      </w:r>
      <w:r>
        <w:rPr/>
        <w:t>deberes</w:t>
      </w:r>
      <w:r>
        <w:rPr>
          <w:spacing w:val="-5"/>
        </w:rPr>
        <w:t> </w:t>
      </w:r>
      <w:r>
        <w:rPr/>
        <w:t>y</w:t>
      </w:r>
      <w:r>
        <w:rPr>
          <w:spacing w:val="-11"/>
        </w:rPr>
        <w:t> </w:t>
      </w:r>
      <w:r>
        <w:rPr/>
        <w:t>atribuciones</w:t>
      </w:r>
      <w:r>
        <w:rPr>
          <w:spacing w:val="-8"/>
        </w:rPr>
        <w:t> </w:t>
      </w:r>
      <w:r>
        <w:rPr>
          <w:spacing w:val="-2"/>
        </w:rPr>
        <w:t>siguientes:</w:t>
      </w:r>
    </w:p>
    <w:p>
      <w:pPr>
        <w:pStyle w:val="BodyText"/>
        <w:spacing w:before="1"/>
      </w:pPr>
    </w:p>
    <w:p>
      <w:pPr>
        <w:pStyle w:val="ListParagraph"/>
        <w:numPr>
          <w:ilvl w:val="0"/>
          <w:numId w:val="242"/>
        </w:numPr>
        <w:tabs>
          <w:tab w:pos="1195" w:val="left" w:leader="none"/>
        </w:tabs>
        <w:spacing w:line="240" w:lineRule="auto" w:before="0" w:after="0"/>
        <w:ind w:left="1195" w:right="0" w:hanging="569"/>
        <w:jc w:val="left"/>
        <w:rPr>
          <w:sz w:val="20"/>
        </w:rPr>
      </w:pPr>
      <w:r>
        <w:rPr>
          <w:sz w:val="20"/>
        </w:rPr>
        <w:t>Determinar</w:t>
      </w:r>
      <w:r>
        <w:rPr>
          <w:spacing w:val="-5"/>
          <w:sz w:val="20"/>
        </w:rPr>
        <w:t> </w:t>
      </w:r>
      <w:r>
        <w:rPr>
          <w:sz w:val="20"/>
        </w:rPr>
        <w:t>en</w:t>
      </w:r>
      <w:r>
        <w:rPr>
          <w:spacing w:val="-5"/>
          <w:sz w:val="20"/>
        </w:rPr>
        <w:t> </w:t>
      </w:r>
      <w:r>
        <w:rPr>
          <w:sz w:val="20"/>
        </w:rPr>
        <w:t>la</w:t>
      </w:r>
      <w:r>
        <w:rPr>
          <w:spacing w:val="-4"/>
          <w:sz w:val="20"/>
        </w:rPr>
        <w:t> </w:t>
      </w:r>
      <w:r>
        <w:rPr>
          <w:sz w:val="20"/>
        </w:rPr>
        <w:t>primera</w:t>
      </w:r>
      <w:r>
        <w:rPr>
          <w:spacing w:val="-6"/>
          <w:sz w:val="20"/>
        </w:rPr>
        <w:t> </w:t>
      </w:r>
      <w:r>
        <w:rPr>
          <w:sz w:val="20"/>
        </w:rPr>
        <w:t>sesión</w:t>
      </w:r>
      <w:r>
        <w:rPr>
          <w:spacing w:val="-7"/>
          <w:sz w:val="20"/>
        </w:rPr>
        <w:t> </w:t>
      </w:r>
      <w:r>
        <w:rPr>
          <w:sz w:val="20"/>
        </w:rPr>
        <w:t>su</w:t>
      </w:r>
      <w:r>
        <w:rPr>
          <w:spacing w:val="-4"/>
          <w:sz w:val="20"/>
        </w:rPr>
        <w:t> </w:t>
      </w:r>
      <w:r>
        <w:rPr>
          <w:sz w:val="20"/>
        </w:rPr>
        <w:t>forma</w:t>
      </w:r>
      <w:r>
        <w:rPr>
          <w:spacing w:val="-6"/>
          <w:sz w:val="20"/>
        </w:rPr>
        <w:t> </w:t>
      </w:r>
      <w:r>
        <w:rPr>
          <w:sz w:val="20"/>
        </w:rPr>
        <w:t>de</w:t>
      </w:r>
      <w:r>
        <w:rPr>
          <w:spacing w:val="-5"/>
          <w:sz w:val="20"/>
        </w:rPr>
        <w:t> </w:t>
      </w:r>
      <w:r>
        <w:rPr>
          <w:sz w:val="20"/>
        </w:rPr>
        <w:t>trabajo</w:t>
      </w:r>
      <w:r>
        <w:rPr>
          <w:spacing w:val="-4"/>
          <w:sz w:val="20"/>
        </w:rPr>
        <w:t> </w:t>
      </w:r>
      <w:r>
        <w:rPr>
          <w:sz w:val="20"/>
        </w:rPr>
        <w:t>y</w:t>
      </w:r>
      <w:r>
        <w:rPr>
          <w:spacing w:val="-7"/>
          <w:sz w:val="20"/>
        </w:rPr>
        <w:t> </w:t>
      </w:r>
      <w:r>
        <w:rPr>
          <w:sz w:val="20"/>
        </w:rPr>
        <w:t>la</w:t>
      </w:r>
      <w:r>
        <w:rPr>
          <w:spacing w:val="-6"/>
          <w:sz w:val="20"/>
        </w:rPr>
        <w:t> </w:t>
      </w:r>
      <w:r>
        <w:rPr>
          <w:sz w:val="20"/>
        </w:rPr>
        <w:t>frecuencia</w:t>
      </w:r>
      <w:r>
        <w:rPr>
          <w:spacing w:val="-6"/>
          <w:sz w:val="20"/>
        </w:rPr>
        <w:t> </w:t>
      </w:r>
      <w:r>
        <w:rPr>
          <w:sz w:val="20"/>
        </w:rPr>
        <w:t>de</w:t>
      </w:r>
      <w:r>
        <w:rPr>
          <w:spacing w:val="-6"/>
          <w:sz w:val="20"/>
        </w:rPr>
        <w:t> </w:t>
      </w:r>
      <w:r>
        <w:rPr>
          <w:sz w:val="20"/>
        </w:rPr>
        <w:t>sus</w:t>
      </w:r>
      <w:r>
        <w:rPr>
          <w:spacing w:val="-4"/>
          <w:sz w:val="20"/>
        </w:rPr>
        <w:t> </w:t>
      </w:r>
      <w:r>
        <w:rPr>
          <w:spacing w:val="-2"/>
          <w:sz w:val="20"/>
        </w:rPr>
        <w:t>reuniones;</w:t>
      </w:r>
    </w:p>
    <w:p>
      <w:pPr>
        <w:pStyle w:val="ListParagraph"/>
        <w:numPr>
          <w:ilvl w:val="0"/>
          <w:numId w:val="242"/>
        </w:numPr>
        <w:tabs>
          <w:tab w:pos="1195" w:val="left" w:leader="none"/>
        </w:tabs>
        <w:spacing w:line="242" w:lineRule="auto" w:before="228" w:after="0"/>
        <w:ind w:left="1195" w:right="342" w:hanging="569"/>
        <w:jc w:val="left"/>
        <w:rPr>
          <w:sz w:val="20"/>
        </w:rPr>
      </w:pPr>
      <w:r>
        <w:rPr>
          <w:sz w:val="20"/>
        </w:rPr>
        <w:t>Aprobar</w:t>
      </w:r>
      <w:r>
        <w:rPr>
          <w:spacing w:val="29"/>
          <w:sz w:val="20"/>
        </w:rPr>
        <w:t> </w:t>
      </w:r>
      <w:r>
        <w:rPr>
          <w:sz w:val="20"/>
        </w:rPr>
        <w:t>el</w:t>
      </w:r>
      <w:r>
        <w:rPr>
          <w:spacing w:val="30"/>
          <w:sz w:val="20"/>
        </w:rPr>
        <w:t> </w:t>
      </w:r>
      <w:r>
        <w:rPr>
          <w:sz w:val="20"/>
        </w:rPr>
        <w:t>Plan</w:t>
      </w:r>
      <w:r>
        <w:rPr>
          <w:spacing w:val="31"/>
          <w:sz w:val="20"/>
        </w:rPr>
        <w:t> </w:t>
      </w:r>
      <w:r>
        <w:rPr>
          <w:sz w:val="20"/>
        </w:rPr>
        <w:t>de</w:t>
      </w:r>
      <w:r>
        <w:rPr>
          <w:spacing w:val="28"/>
          <w:sz w:val="20"/>
        </w:rPr>
        <w:t> </w:t>
      </w:r>
      <w:r>
        <w:rPr>
          <w:sz w:val="20"/>
        </w:rPr>
        <w:t>Trabajo</w:t>
      </w:r>
      <w:r>
        <w:rPr>
          <w:spacing w:val="29"/>
          <w:sz w:val="20"/>
        </w:rPr>
        <w:t> </w:t>
      </w:r>
      <w:r>
        <w:rPr>
          <w:sz w:val="20"/>
        </w:rPr>
        <w:t>que</w:t>
      </w:r>
      <w:r>
        <w:rPr>
          <w:spacing w:val="29"/>
          <w:sz w:val="20"/>
        </w:rPr>
        <w:t> </w:t>
      </w:r>
      <w:r>
        <w:rPr>
          <w:sz w:val="20"/>
        </w:rPr>
        <w:t>formule</w:t>
      </w:r>
      <w:r>
        <w:rPr>
          <w:spacing w:val="29"/>
          <w:sz w:val="20"/>
        </w:rPr>
        <w:t> </w:t>
      </w:r>
      <w:r>
        <w:rPr>
          <w:sz w:val="20"/>
        </w:rPr>
        <w:t>el</w:t>
      </w:r>
      <w:r>
        <w:rPr>
          <w:spacing w:val="30"/>
          <w:sz w:val="20"/>
        </w:rPr>
        <w:t> </w:t>
      </w:r>
      <w:r>
        <w:rPr>
          <w:sz w:val="20"/>
        </w:rPr>
        <w:t>Secretariado</w:t>
      </w:r>
      <w:r>
        <w:rPr>
          <w:spacing w:val="29"/>
          <w:sz w:val="20"/>
        </w:rPr>
        <w:t> </w:t>
      </w:r>
      <w:r>
        <w:rPr>
          <w:sz w:val="20"/>
        </w:rPr>
        <w:t>Técnico</w:t>
      </w:r>
      <w:r>
        <w:rPr>
          <w:spacing w:val="33"/>
          <w:sz w:val="20"/>
        </w:rPr>
        <w:t> </w:t>
      </w:r>
      <w:r>
        <w:rPr>
          <w:sz w:val="20"/>
        </w:rPr>
        <w:t>y</w:t>
      </w:r>
      <w:r>
        <w:rPr>
          <w:spacing w:val="25"/>
          <w:sz w:val="20"/>
        </w:rPr>
        <w:t> </w:t>
      </w:r>
      <w:r>
        <w:rPr>
          <w:sz w:val="20"/>
        </w:rPr>
        <w:t>solicitarle,</w:t>
      </w:r>
      <w:r>
        <w:rPr>
          <w:spacing w:val="31"/>
          <w:sz w:val="20"/>
        </w:rPr>
        <w:t> </w:t>
      </w:r>
      <w:r>
        <w:rPr>
          <w:sz w:val="20"/>
        </w:rPr>
        <w:t>en</w:t>
      </w:r>
      <w:r>
        <w:rPr>
          <w:spacing w:val="28"/>
          <w:sz w:val="20"/>
        </w:rPr>
        <w:t> </w:t>
      </w:r>
      <w:r>
        <w:rPr>
          <w:sz w:val="20"/>
        </w:rPr>
        <w:t>su</w:t>
      </w:r>
      <w:r>
        <w:rPr>
          <w:spacing w:val="29"/>
          <w:sz w:val="20"/>
        </w:rPr>
        <w:t> </w:t>
      </w:r>
      <w:r>
        <w:rPr>
          <w:sz w:val="20"/>
        </w:rPr>
        <w:t>caso,</w:t>
      </w:r>
      <w:r>
        <w:rPr>
          <w:spacing w:val="31"/>
          <w:sz w:val="20"/>
        </w:rPr>
        <w:t> </w:t>
      </w:r>
      <w:r>
        <w:rPr>
          <w:sz w:val="20"/>
        </w:rPr>
        <w:t>la realización de investigaciones y estudios complementarios;</w:t>
      </w:r>
    </w:p>
    <w:p>
      <w:pPr>
        <w:pStyle w:val="ListParagraph"/>
        <w:numPr>
          <w:ilvl w:val="0"/>
          <w:numId w:val="242"/>
        </w:numPr>
        <w:tabs>
          <w:tab w:pos="1195" w:val="left" w:leader="none"/>
        </w:tabs>
        <w:spacing w:line="242" w:lineRule="auto" w:before="227" w:after="0"/>
        <w:ind w:left="1195" w:right="344" w:hanging="569"/>
        <w:jc w:val="left"/>
        <w:rPr>
          <w:sz w:val="20"/>
        </w:rPr>
      </w:pPr>
      <w:r>
        <w:rPr>
          <w:sz w:val="20"/>
        </w:rPr>
        <w:t>Practicar</w:t>
      </w:r>
      <w:r>
        <w:rPr>
          <w:spacing w:val="40"/>
          <w:sz w:val="20"/>
        </w:rPr>
        <w:t> </w:t>
      </w:r>
      <w:r>
        <w:rPr>
          <w:sz w:val="20"/>
        </w:rPr>
        <w:t>y</w:t>
      </w:r>
      <w:r>
        <w:rPr>
          <w:spacing w:val="40"/>
          <w:sz w:val="20"/>
        </w:rPr>
        <w:t> </w:t>
      </w:r>
      <w:r>
        <w:rPr>
          <w:sz w:val="20"/>
        </w:rPr>
        <w:t>realizar</w:t>
      </w:r>
      <w:r>
        <w:rPr>
          <w:spacing w:val="40"/>
          <w:sz w:val="20"/>
        </w:rPr>
        <w:t> </w:t>
      </w:r>
      <w:r>
        <w:rPr>
          <w:sz w:val="20"/>
        </w:rPr>
        <w:t>directamente</w:t>
      </w:r>
      <w:r>
        <w:rPr>
          <w:spacing w:val="40"/>
          <w:sz w:val="20"/>
        </w:rPr>
        <w:t> </w:t>
      </w:r>
      <w:r>
        <w:rPr>
          <w:sz w:val="20"/>
        </w:rPr>
        <w:t>las</w:t>
      </w:r>
      <w:r>
        <w:rPr>
          <w:spacing w:val="40"/>
          <w:sz w:val="20"/>
        </w:rPr>
        <w:t> </w:t>
      </w:r>
      <w:r>
        <w:rPr>
          <w:sz w:val="20"/>
        </w:rPr>
        <w:t>investigaciones</w:t>
      </w:r>
      <w:r>
        <w:rPr>
          <w:spacing w:val="40"/>
          <w:sz w:val="20"/>
        </w:rPr>
        <w:t> </w:t>
      </w:r>
      <w:r>
        <w:rPr>
          <w:sz w:val="20"/>
        </w:rPr>
        <w:t>que</w:t>
      </w:r>
      <w:r>
        <w:rPr>
          <w:spacing w:val="40"/>
          <w:sz w:val="20"/>
        </w:rPr>
        <w:t> </w:t>
      </w:r>
      <w:r>
        <w:rPr>
          <w:sz w:val="20"/>
        </w:rPr>
        <w:t>juzgue</w:t>
      </w:r>
      <w:r>
        <w:rPr>
          <w:spacing w:val="40"/>
          <w:sz w:val="20"/>
        </w:rPr>
        <w:t> </w:t>
      </w:r>
      <w:r>
        <w:rPr>
          <w:sz w:val="20"/>
        </w:rPr>
        <w:t>pertinentes</w:t>
      </w:r>
      <w:r>
        <w:rPr>
          <w:spacing w:val="40"/>
          <w:sz w:val="20"/>
        </w:rPr>
        <w:t> </w:t>
      </w:r>
      <w:r>
        <w:rPr>
          <w:sz w:val="20"/>
        </w:rPr>
        <w:t>para</w:t>
      </w:r>
      <w:r>
        <w:rPr>
          <w:spacing w:val="40"/>
          <w:sz w:val="20"/>
        </w:rPr>
        <w:t> </w:t>
      </w:r>
      <w:r>
        <w:rPr>
          <w:sz w:val="20"/>
        </w:rPr>
        <w:t>el</w:t>
      </w:r>
      <w:r>
        <w:rPr>
          <w:spacing w:val="40"/>
          <w:sz w:val="20"/>
        </w:rPr>
        <w:t> </w:t>
      </w:r>
      <w:r>
        <w:rPr>
          <w:sz w:val="20"/>
        </w:rPr>
        <w:t>mejor cumplimiento de su función;</w:t>
      </w:r>
    </w:p>
    <w:p>
      <w:pPr>
        <w:pStyle w:val="ListParagraph"/>
        <w:numPr>
          <w:ilvl w:val="0"/>
          <w:numId w:val="242"/>
        </w:numPr>
        <w:tabs>
          <w:tab w:pos="1195" w:val="left" w:leader="none"/>
        </w:tabs>
        <w:spacing w:line="242" w:lineRule="auto" w:before="225" w:after="0"/>
        <w:ind w:left="1195" w:right="337" w:hanging="569"/>
        <w:jc w:val="left"/>
        <w:rPr>
          <w:sz w:val="20"/>
        </w:rPr>
      </w:pPr>
      <w:r>
        <w:rPr>
          <w:sz w:val="20"/>
        </w:rPr>
        <w:t>Solicitar directamente, cuando lo juzgue conveniente, los informes y</w:t>
      </w:r>
      <w:r>
        <w:rPr>
          <w:spacing w:val="-4"/>
          <w:sz w:val="20"/>
        </w:rPr>
        <w:t> </w:t>
      </w:r>
      <w:r>
        <w:rPr>
          <w:sz w:val="20"/>
        </w:rPr>
        <w:t>estudios a que se refiere el artículo 562, Fracción III;</w:t>
      </w:r>
    </w:p>
    <w:p>
      <w:pPr>
        <w:pStyle w:val="ListParagraph"/>
        <w:numPr>
          <w:ilvl w:val="0"/>
          <w:numId w:val="242"/>
        </w:numPr>
        <w:tabs>
          <w:tab w:pos="1195" w:val="left" w:leader="none"/>
        </w:tabs>
        <w:spacing w:line="240" w:lineRule="auto" w:before="227" w:after="0"/>
        <w:ind w:left="1195" w:right="345" w:hanging="569"/>
        <w:jc w:val="left"/>
        <w:rPr>
          <w:sz w:val="20"/>
        </w:rPr>
      </w:pPr>
      <w:r>
        <w:rPr>
          <w:sz w:val="20"/>
        </w:rPr>
        <w:t>Solicitar la opinión de organizaciones de trabajadores, de patrones</w:t>
      </w:r>
      <w:r>
        <w:rPr>
          <w:spacing w:val="24"/>
          <w:sz w:val="20"/>
        </w:rPr>
        <w:t> </w:t>
      </w:r>
      <w:r>
        <w:rPr>
          <w:sz w:val="20"/>
        </w:rPr>
        <w:t>y en general de cualquier</w:t>
      </w:r>
      <w:r>
        <w:rPr>
          <w:spacing w:val="40"/>
          <w:sz w:val="20"/>
        </w:rPr>
        <w:t> </w:t>
      </w:r>
      <w:r>
        <w:rPr>
          <w:sz w:val="20"/>
        </w:rPr>
        <w:t>entidad pública o privada;</w:t>
      </w:r>
    </w:p>
    <w:p>
      <w:pPr>
        <w:pStyle w:val="ListParagraph"/>
        <w:numPr>
          <w:ilvl w:val="0"/>
          <w:numId w:val="242"/>
        </w:numPr>
        <w:tabs>
          <w:tab w:pos="1195" w:val="left" w:leader="none"/>
        </w:tabs>
        <w:spacing w:line="242" w:lineRule="auto" w:before="228" w:after="0"/>
        <w:ind w:left="1195" w:right="337" w:hanging="569"/>
        <w:jc w:val="left"/>
        <w:rPr>
          <w:sz w:val="20"/>
        </w:rPr>
      </w:pPr>
      <w:r>
        <w:rPr>
          <w:sz w:val="20"/>
        </w:rPr>
        <w:t>Recibir las sugerencias y estudios que le presenten los trabajadores, los patrones y en general cualquier entidad pública o privada;</w:t>
      </w:r>
    </w:p>
    <w:p>
      <w:pPr>
        <w:pStyle w:val="ListParagraph"/>
        <w:numPr>
          <w:ilvl w:val="0"/>
          <w:numId w:val="242"/>
        </w:numPr>
        <w:tabs>
          <w:tab w:pos="1195" w:val="left" w:leader="none"/>
        </w:tabs>
        <w:spacing w:line="240" w:lineRule="auto" w:before="227" w:after="0"/>
        <w:ind w:left="1195" w:right="345" w:hanging="569"/>
        <w:jc w:val="left"/>
        <w:rPr>
          <w:sz w:val="20"/>
        </w:rPr>
      </w:pPr>
      <w:r>
        <w:rPr>
          <w:sz w:val="20"/>
        </w:rPr>
        <w:t>Allegarse todos los elementos que juzguen necesarios y apropiados para el cumplimiento de su </w:t>
      </w:r>
      <w:r>
        <w:rPr>
          <w:spacing w:val="-2"/>
          <w:sz w:val="20"/>
        </w:rPr>
        <w:t>objeto;</w:t>
      </w:r>
    </w:p>
    <w:p>
      <w:pPr>
        <w:pStyle w:val="ListParagraph"/>
        <w:numPr>
          <w:ilvl w:val="0"/>
          <w:numId w:val="242"/>
        </w:numPr>
        <w:tabs>
          <w:tab w:pos="1195" w:val="left" w:leader="none"/>
        </w:tabs>
        <w:spacing w:line="242" w:lineRule="auto" w:before="229" w:after="0"/>
        <w:ind w:left="1195" w:right="339" w:hanging="569"/>
        <w:jc w:val="left"/>
        <w:rPr>
          <w:sz w:val="20"/>
        </w:rPr>
      </w:pPr>
      <w:r>
        <w:rPr>
          <w:sz w:val="20"/>
        </w:rPr>
        <w:t>Emitir un informe con las opiniones y recomendaciones que juzgue pertinentes en relación con las materias de su competencia; y</w:t>
      </w:r>
    </w:p>
    <w:p>
      <w:pPr>
        <w:pStyle w:val="ListParagraph"/>
        <w:numPr>
          <w:ilvl w:val="0"/>
          <w:numId w:val="242"/>
        </w:numPr>
        <w:tabs>
          <w:tab w:pos="1195" w:val="left" w:leader="none"/>
        </w:tabs>
        <w:spacing w:line="229" w:lineRule="exact" w:before="226" w:after="0"/>
        <w:ind w:left="1195" w:right="0" w:hanging="569"/>
        <w:jc w:val="left"/>
        <w:rPr>
          <w:sz w:val="20"/>
        </w:rPr>
      </w:pPr>
      <w:r>
        <w:rPr>
          <w:sz w:val="20"/>
        </w:rPr>
        <w:t>Los</w:t>
      </w:r>
      <w:r>
        <w:rPr>
          <w:spacing w:val="-6"/>
          <w:sz w:val="20"/>
        </w:rPr>
        <w:t> </w:t>
      </w:r>
      <w:r>
        <w:rPr>
          <w:sz w:val="20"/>
        </w:rPr>
        <w:t>demás</w:t>
      </w:r>
      <w:r>
        <w:rPr>
          <w:spacing w:val="-6"/>
          <w:sz w:val="20"/>
        </w:rPr>
        <w:t> </w:t>
      </w:r>
      <w:r>
        <w:rPr>
          <w:sz w:val="20"/>
        </w:rPr>
        <w:t>que</w:t>
      </w:r>
      <w:r>
        <w:rPr>
          <w:spacing w:val="-4"/>
          <w:sz w:val="20"/>
        </w:rPr>
        <w:t> </w:t>
      </w:r>
      <w:r>
        <w:rPr>
          <w:sz w:val="20"/>
        </w:rPr>
        <w:t>les</w:t>
      </w:r>
      <w:r>
        <w:rPr>
          <w:spacing w:val="-6"/>
          <w:sz w:val="20"/>
        </w:rPr>
        <w:t> </w:t>
      </w:r>
      <w:r>
        <w:rPr>
          <w:sz w:val="20"/>
        </w:rPr>
        <w:t>confieran</w:t>
      </w:r>
      <w:r>
        <w:rPr>
          <w:spacing w:val="-7"/>
          <w:sz w:val="20"/>
        </w:rPr>
        <w:t> </w:t>
      </w:r>
      <w:r>
        <w:rPr>
          <w:sz w:val="20"/>
        </w:rPr>
        <w:t>las</w:t>
      </w:r>
      <w:r>
        <w:rPr>
          <w:spacing w:val="-3"/>
          <w:sz w:val="20"/>
        </w:rPr>
        <w:t> </w:t>
      </w:r>
      <w:r>
        <w:rPr>
          <w:spacing w:val="-2"/>
          <w:sz w:val="20"/>
        </w:rPr>
        <w:t>leyes.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2"/>
        <w:rPr>
          <w:rFonts w:ascii="Times New Roman"/>
          <w:i/>
        </w:rPr>
      </w:pPr>
    </w:p>
    <w:p>
      <w:pPr>
        <w:pStyle w:val="BodyText"/>
        <w:ind w:left="626"/>
      </w:pPr>
      <w:bookmarkStart w:name="Artículo_568" w:id="719"/>
      <w:bookmarkEnd w:id="719"/>
      <w:r>
        <w:rPr/>
      </w:r>
      <w:r>
        <w:rPr>
          <w:rFonts w:ascii="Arial" w:hAnsi="Arial"/>
          <w:b/>
        </w:rPr>
        <w:t>Artículo</w:t>
      </w:r>
      <w:r>
        <w:rPr>
          <w:rFonts w:ascii="Arial" w:hAnsi="Arial"/>
          <w:b/>
          <w:spacing w:val="-7"/>
        </w:rPr>
        <w:t> </w:t>
      </w:r>
      <w:r>
        <w:rPr>
          <w:rFonts w:ascii="Arial" w:hAnsi="Arial"/>
          <w:b/>
        </w:rPr>
        <w:t>568.-</w:t>
      </w:r>
      <w:r>
        <w:rPr>
          <w:rFonts w:ascii="Arial" w:hAnsi="Arial"/>
          <w:b/>
          <w:spacing w:val="-5"/>
        </w:rPr>
        <w:t> </w:t>
      </w:r>
      <w:r>
        <w:rPr/>
        <w:t>El</w:t>
      </w:r>
      <w:r>
        <w:rPr>
          <w:spacing w:val="-6"/>
        </w:rPr>
        <w:t> </w:t>
      </w:r>
      <w:r>
        <w:rPr/>
        <w:t>Presidente</w:t>
      </w:r>
      <w:r>
        <w:rPr>
          <w:spacing w:val="-8"/>
        </w:rPr>
        <w:t> </w:t>
      </w:r>
      <w:r>
        <w:rPr/>
        <w:t>de</w:t>
      </w:r>
      <w:r>
        <w:rPr>
          <w:spacing w:val="-5"/>
        </w:rPr>
        <w:t> </w:t>
      </w:r>
      <w:r>
        <w:rPr/>
        <w:t>la</w:t>
      </w:r>
      <w:r>
        <w:rPr>
          <w:spacing w:val="-6"/>
        </w:rPr>
        <w:t> </w:t>
      </w:r>
      <w:r>
        <w:rPr/>
        <w:t>Comisión</w:t>
      </w:r>
      <w:r>
        <w:rPr>
          <w:spacing w:val="-8"/>
        </w:rPr>
        <w:t> </w:t>
      </w:r>
      <w:r>
        <w:rPr/>
        <w:t>Consultiva</w:t>
      </w:r>
      <w:r>
        <w:rPr>
          <w:spacing w:val="-7"/>
        </w:rPr>
        <w:t> </w:t>
      </w:r>
      <w:r>
        <w:rPr/>
        <w:t>tendrá</w:t>
      </w:r>
      <w:r>
        <w:rPr>
          <w:spacing w:val="-8"/>
        </w:rPr>
        <w:t> </w:t>
      </w:r>
      <w:r>
        <w:rPr/>
        <w:t>los</w:t>
      </w:r>
      <w:r>
        <w:rPr>
          <w:spacing w:val="-6"/>
        </w:rPr>
        <w:t> </w:t>
      </w:r>
      <w:r>
        <w:rPr/>
        <w:t>deberes</w:t>
      </w:r>
      <w:r>
        <w:rPr>
          <w:spacing w:val="-3"/>
        </w:rPr>
        <w:t> </w:t>
      </w:r>
      <w:r>
        <w:rPr/>
        <w:t>y</w:t>
      </w:r>
      <w:r>
        <w:rPr>
          <w:spacing w:val="-10"/>
        </w:rPr>
        <w:t> </w:t>
      </w:r>
      <w:r>
        <w:rPr/>
        <w:t>atribuciones</w:t>
      </w:r>
      <w:r>
        <w:rPr>
          <w:spacing w:val="-7"/>
        </w:rPr>
        <w:t> </w:t>
      </w:r>
      <w:r>
        <w:rPr>
          <w:spacing w:val="-2"/>
        </w:rPr>
        <w:t>siguientes:</w:t>
      </w:r>
    </w:p>
    <w:p>
      <w:pPr>
        <w:pStyle w:val="BodyText"/>
        <w:spacing w:before="1"/>
      </w:pPr>
    </w:p>
    <w:p>
      <w:pPr>
        <w:pStyle w:val="ListParagraph"/>
        <w:numPr>
          <w:ilvl w:val="0"/>
          <w:numId w:val="243"/>
        </w:numPr>
        <w:tabs>
          <w:tab w:pos="1195" w:val="left" w:leader="none"/>
        </w:tabs>
        <w:spacing w:line="240" w:lineRule="auto" w:before="0" w:after="0"/>
        <w:ind w:left="1195" w:right="0" w:hanging="569"/>
        <w:jc w:val="left"/>
        <w:rPr>
          <w:sz w:val="20"/>
        </w:rPr>
      </w:pPr>
      <w:r>
        <w:rPr>
          <w:sz w:val="20"/>
        </w:rPr>
        <w:t>Citar</w:t>
      </w:r>
      <w:r>
        <w:rPr>
          <w:spacing w:val="-2"/>
          <w:sz w:val="20"/>
        </w:rPr>
        <w:t> </w:t>
      </w:r>
      <w:r>
        <w:rPr>
          <w:sz w:val="20"/>
        </w:rPr>
        <w:t>y</w:t>
      </w:r>
      <w:r>
        <w:rPr>
          <w:spacing w:val="-8"/>
          <w:sz w:val="20"/>
        </w:rPr>
        <w:t> </w:t>
      </w:r>
      <w:r>
        <w:rPr>
          <w:sz w:val="20"/>
        </w:rPr>
        <w:t>presidir</w:t>
      </w:r>
      <w:r>
        <w:rPr>
          <w:spacing w:val="-4"/>
          <w:sz w:val="20"/>
        </w:rPr>
        <w:t> </w:t>
      </w:r>
      <w:r>
        <w:rPr>
          <w:sz w:val="20"/>
        </w:rPr>
        <w:t>las</w:t>
      </w:r>
      <w:r>
        <w:rPr>
          <w:spacing w:val="-5"/>
          <w:sz w:val="20"/>
        </w:rPr>
        <w:t> </w:t>
      </w:r>
      <w:r>
        <w:rPr>
          <w:sz w:val="20"/>
        </w:rPr>
        <w:t>sesiones</w:t>
      </w:r>
      <w:r>
        <w:rPr>
          <w:spacing w:val="-3"/>
          <w:sz w:val="20"/>
        </w:rPr>
        <w:t> </w:t>
      </w:r>
      <w:r>
        <w:rPr>
          <w:sz w:val="20"/>
        </w:rPr>
        <w:t>de</w:t>
      </w:r>
      <w:r>
        <w:rPr>
          <w:spacing w:val="-5"/>
          <w:sz w:val="20"/>
        </w:rPr>
        <w:t> </w:t>
      </w:r>
      <w:r>
        <w:rPr>
          <w:sz w:val="20"/>
        </w:rPr>
        <w:t>la</w:t>
      </w:r>
      <w:r>
        <w:rPr>
          <w:spacing w:val="-6"/>
          <w:sz w:val="20"/>
        </w:rPr>
        <w:t> </w:t>
      </w:r>
      <w:r>
        <w:rPr>
          <w:spacing w:val="-2"/>
          <w:sz w:val="20"/>
        </w:rPr>
        <w:t>Comisión;</w:t>
      </w:r>
    </w:p>
    <w:p>
      <w:pPr>
        <w:pStyle w:val="ListParagraph"/>
        <w:numPr>
          <w:ilvl w:val="0"/>
          <w:numId w:val="243"/>
        </w:numPr>
        <w:tabs>
          <w:tab w:pos="1192" w:val="left" w:leader="none"/>
          <w:tab w:pos="1195" w:val="left" w:leader="none"/>
        </w:tabs>
        <w:spacing w:line="242" w:lineRule="auto" w:before="228" w:after="0"/>
        <w:ind w:left="1195" w:right="340" w:hanging="569"/>
        <w:jc w:val="both"/>
        <w:rPr>
          <w:sz w:val="20"/>
        </w:rPr>
      </w:pPr>
      <w:r>
        <w:rPr>
          <w:sz w:val="20"/>
        </w:rPr>
        <w:t>Someter a la Comisión Consultiva el Plan de Trabajo que formule el Secretariado Técnico y vigilar su desarrollo;</w:t>
      </w:r>
    </w:p>
    <w:p>
      <w:pPr>
        <w:pStyle w:val="ListParagraph"/>
        <w:numPr>
          <w:ilvl w:val="0"/>
          <w:numId w:val="243"/>
        </w:numPr>
        <w:tabs>
          <w:tab w:pos="1191" w:val="left" w:leader="none"/>
          <w:tab w:pos="1195" w:val="left" w:leader="none"/>
        </w:tabs>
        <w:spacing w:line="240" w:lineRule="auto" w:before="227" w:after="0"/>
        <w:ind w:left="1195" w:right="343" w:hanging="569"/>
        <w:jc w:val="both"/>
        <w:rPr>
          <w:sz w:val="20"/>
        </w:rPr>
      </w:pPr>
      <w:r>
        <w:rPr>
          <w:sz w:val="20"/>
        </w:rPr>
        <w:t>Informar periódicamente al Presidente de la Comisión Nacional, en su caso, del desarrollo de</w:t>
      </w:r>
      <w:r>
        <w:rPr>
          <w:spacing w:val="40"/>
          <w:sz w:val="20"/>
        </w:rPr>
        <w:t> </w:t>
      </w:r>
      <w:r>
        <w:rPr>
          <w:sz w:val="20"/>
        </w:rPr>
        <w:t>los trabajos de la Comisión Consultiva y hacer de su conocimiento la terminación de los</w:t>
      </w:r>
      <w:r>
        <w:rPr>
          <w:spacing w:val="40"/>
          <w:sz w:val="20"/>
        </w:rPr>
        <w:t> </w:t>
      </w:r>
      <w:r>
        <w:rPr>
          <w:spacing w:val="-2"/>
          <w:sz w:val="20"/>
        </w:rPr>
        <w:t>mismos;</w:t>
      </w:r>
    </w:p>
    <w:p>
      <w:pPr>
        <w:pStyle w:val="ListParagraph"/>
        <w:numPr>
          <w:ilvl w:val="0"/>
          <w:numId w:val="243"/>
        </w:numPr>
        <w:tabs>
          <w:tab w:pos="1195" w:val="left" w:leader="none"/>
        </w:tabs>
        <w:spacing w:line="242" w:lineRule="auto" w:before="229" w:after="0"/>
        <w:ind w:left="1195" w:right="347" w:hanging="569"/>
        <w:jc w:val="both"/>
        <w:rPr>
          <w:sz w:val="20"/>
        </w:rPr>
      </w:pPr>
      <w:r>
        <w:rPr>
          <w:sz w:val="20"/>
        </w:rPr>
        <w:t>Presentar al Consejo de Representantes por conducto del Presidente de la Comisión Nacional los resultados de los trabajos de la Comisión Consultiva; y</w:t>
      </w:r>
    </w:p>
    <w:p>
      <w:pPr>
        <w:pStyle w:val="ListParagraph"/>
        <w:numPr>
          <w:ilvl w:val="0"/>
          <w:numId w:val="243"/>
        </w:numPr>
        <w:tabs>
          <w:tab w:pos="1195" w:val="left" w:leader="none"/>
        </w:tabs>
        <w:spacing w:line="240" w:lineRule="auto" w:before="225" w:after="0"/>
        <w:ind w:left="1195" w:right="0" w:hanging="569"/>
        <w:jc w:val="left"/>
        <w:rPr>
          <w:sz w:val="20"/>
        </w:rPr>
      </w:pPr>
      <w:r>
        <w:rPr>
          <w:sz w:val="20"/>
        </w:rPr>
        <w:t>Los</w:t>
      </w:r>
      <w:r>
        <w:rPr>
          <w:spacing w:val="-5"/>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confieran</w:t>
      </w:r>
      <w:r>
        <w:rPr>
          <w:spacing w:val="-6"/>
          <w:sz w:val="20"/>
        </w:rPr>
        <w:t> </w:t>
      </w:r>
      <w:r>
        <w:rPr>
          <w:sz w:val="20"/>
        </w:rPr>
        <w:t>las</w:t>
      </w:r>
      <w:r>
        <w:rPr>
          <w:spacing w:val="-3"/>
          <w:sz w:val="20"/>
        </w:rPr>
        <w:t> </w:t>
      </w:r>
      <w:r>
        <w:rPr>
          <w:spacing w:val="-2"/>
          <w:sz w:val="20"/>
        </w:rPr>
        <w:t>leyes.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1"/>
        <w:rPr>
          <w:rFonts w:ascii="Times New Roman"/>
          <w:i/>
        </w:rPr>
      </w:pPr>
    </w:p>
    <w:p>
      <w:pPr>
        <w:pStyle w:val="BodyText"/>
        <w:spacing w:line="242" w:lineRule="auto" w:before="1"/>
        <w:ind w:left="338" w:firstLine="288"/>
      </w:pPr>
      <w:bookmarkStart w:name="Artículo_569" w:id="720"/>
      <w:bookmarkEnd w:id="720"/>
      <w:r>
        <w:rPr/>
      </w:r>
      <w:r>
        <w:rPr>
          <w:rFonts w:ascii="Arial" w:hAnsi="Arial"/>
          <w:b/>
        </w:rPr>
        <w:t>Artículo 569.- </w:t>
      </w:r>
      <w:r>
        <w:rPr/>
        <w:t>El Secretariado Técnico de la Comisión Consultiva tendrá los deberes y atribuciones</w:t>
      </w:r>
      <w:r>
        <w:rPr>
          <w:spacing w:val="40"/>
        </w:rPr>
        <w:t> </w:t>
      </w:r>
      <w:r>
        <w:rPr>
          <w:spacing w:val="-2"/>
        </w:rPr>
        <w:t>siguientes:</w:t>
      </w:r>
    </w:p>
    <w:p>
      <w:pPr>
        <w:pStyle w:val="ListParagraph"/>
        <w:numPr>
          <w:ilvl w:val="0"/>
          <w:numId w:val="244"/>
        </w:numPr>
        <w:tabs>
          <w:tab w:pos="1195" w:val="left" w:leader="none"/>
        </w:tabs>
        <w:spacing w:line="242" w:lineRule="auto" w:before="224" w:after="0"/>
        <w:ind w:left="1195" w:right="336" w:hanging="569"/>
        <w:jc w:val="left"/>
        <w:rPr>
          <w:sz w:val="20"/>
        </w:rPr>
      </w:pPr>
      <w:r>
        <w:rPr>
          <w:sz w:val="20"/>
        </w:rPr>
        <w:t>Practicar las investigaciones</w:t>
      </w:r>
      <w:r>
        <w:rPr>
          <w:spacing w:val="24"/>
          <w:sz w:val="20"/>
        </w:rPr>
        <w:t> </w:t>
      </w:r>
      <w:r>
        <w:rPr>
          <w:sz w:val="20"/>
        </w:rPr>
        <w:t>y realizar los estudios</w:t>
      </w:r>
      <w:r>
        <w:rPr>
          <w:spacing w:val="24"/>
          <w:sz w:val="20"/>
        </w:rPr>
        <w:t> </w:t>
      </w:r>
      <w:r>
        <w:rPr>
          <w:sz w:val="20"/>
        </w:rPr>
        <w:t>previstos en el</w:t>
      </w:r>
      <w:r>
        <w:rPr>
          <w:spacing w:val="28"/>
          <w:sz w:val="20"/>
        </w:rPr>
        <w:t> </w:t>
      </w:r>
      <w:r>
        <w:rPr>
          <w:sz w:val="20"/>
        </w:rPr>
        <w:t>Plan de Trabajo aprobado por la Comisión Consultiva y los que posteriormente se le encomienden;</w:t>
      </w:r>
    </w:p>
    <w:p>
      <w:pPr>
        <w:pStyle w:val="ListParagraph"/>
        <w:spacing w:after="0" w:line="242" w:lineRule="auto"/>
        <w:jc w:val="left"/>
        <w:rPr>
          <w:sz w:val="20"/>
        </w:rPr>
        <w:sectPr>
          <w:pgSz w:w="12240" w:h="15840"/>
          <w:pgMar w:header="724" w:footer="712" w:top="1880" w:bottom="900" w:left="1080" w:right="1080"/>
        </w:sectPr>
      </w:pPr>
    </w:p>
    <w:p>
      <w:pPr>
        <w:pStyle w:val="BodyText"/>
        <w:spacing w:before="63"/>
      </w:pPr>
    </w:p>
    <w:p>
      <w:pPr>
        <w:pStyle w:val="ListParagraph"/>
        <w:numPr>
          <w:ilvl w:val="0"/>
          <w:numId w:val="244"/>
        </w:numPr>
        <w:tabs>
          <w:tab w:pos="1192" w:val="left" w:leader="none"/>
          <w:tab w:pos="1195" w:val="left" w:leader="none"/>
        </w:tabs>
        <w:spacing w:line="242" w:lineRule="auto" w:before="0" w:after="0"/>
        <w:ind w:left="1195" w:right="345" w:hanging="569"/>
        <w:jc w:val="both"/>
        <w:rPr>
          <w:sz w:val="20"/>
        </w:rPr>
      </w:pPr>
      <w:r>
        <w:rPr>
          <w:sz w:val="20"/>
        </w:rPr>
        <w:t>Solicitar toda clase de informes y</w:t>
      </w:r>
      <w:r>
        <w:rPr>
          <w:spacing w:val="-5"/>
          <w:sz w:val="20"/>
        </w:rPr>
        <w:t> </w:t>
      </w:r>
      <w:r>
        <w:rPr>
          <w:sz w:val="20"/>
        </w:rPr>
        <w:t>estudios de dependencias e instituciones oficiales y</w:t>
      </w:r>
      <w:r>
        <w:rPr>
          <w:spacing w:val="-3"/>
          <w:sz w:val="20"/>
        </w:rPr>
        <w:t> </w:t>
      </w:r>
      <w:r>
        <w:rPr>
          <w:sz w:val="20"/>
        </w:rPr>
        <w:t>entidades públicas y privadas relacionadas con la materia objeto de sus trabajos;</w:t>
      </w:r>
    </w:p>
    <w:p>
      <w:pPr>
        <w:pStyle w:val="ListParagraph"/>
        <w:numPr>
          <w:ilvl w:val="0"/>
          <w:numId w:val="244"/>
        </w:numPr>
        <w:tabs>
          <w:tab w:pos="1191" w:val="left" w:leader="none"/>
          <w:tab w:pos="1195" w:val="left" w:leader="none"/>
        </w:tabs>
        <w:spacing w:line="242" w:lineRule="auto" w:before="227" w:after="0"/>
        <w:ind w:left="1195" w:right="345" w:hanging="569"/>
        <w:jc w:val="both"/>
        <w:rPr>
          <w:sz w:val="20"/>
        </w:rPr>
      </w:pPr>
      <w:r>
        <w:rPr>
          <w:sz w:val="20"/>
        </w:rPr>
        <w:t>Recibir</w:t>
      </w:r>
      <w:r>
        <w:rPr>
          <w:spacing w:val="-2"/>
          <w:sz w:val="20"/>
        </w:rPr>
        <w:t> </w:t>
      </w:r>
      <w:r>
        <w:rPr>
          <w:sz w:val="20"/>
        </w:rPr>
        <w:t>y</w:t>
      </w:r>
      <w:r>
        <w:rPr>
          <w:spacing w:val="-5"/>
          <w:sz w:val="20"/>
        </w:rPr>
        <w:t> </w:t>
      </w:r>
      <w:r>
        <w:rPr>
          <w:sz w:val="20"/>
        </w:rPr>
        <w:t>considerar</w:t>
      </w:r>
      <w:r>
        <w:rPr>
          <w:spacing w:val="-2"/>
          <w:sz w:val="20"/>
        </w:rPr>
        <w:t> </w:t>
      </w:r>
      <w:r>
        <w:rPr>
          <w:sz w:val="20"/>
        </w:rPr>
        <w:t>los</w:t>
      </w:r>
      <w:r>
        <w:rPr>
          <w:spacing w:val="-2"/>
          <w:sz w:val="20"/>
        </w:rPr>
        <w:t> </w:t>
      </w:r>
      <w:r>
        <w:rPr>
          <w:sz w:val="20"/>
        </w:rPr>
        <w:t>estudios,</w:t>
      </w:r>
      <w:r>
        <w:rPr>
          <w:spacing w:val="-4"/>
          <w:sz w:val="20"/>
        </w:rPr>
        <w:t> </w:t>
      </w:r>
      <w:r>
        <w:rPr>
          <w:sz w:val="20"/>
        </w:rPr>
        <w:t>informes</w:t>
      </w:r>
      <w:r>
        <w:rPr>
          <w:spacing w:val="-2"/>
          <w:sz w:val="20"/>
        </w:rPr>
        <w:t> </w:t>
      </w:r>
      <w:r>
        <w:rPr>
          <w:sz w:val="20"/>
        </w:rPr>
        <w:t>y</w:t>
      </w:r>
      <w:r>
        <w:rPr>
          <w:spacing w:val="-7"/>
          <w:sz w:val="20"/>
        </w:rPr>
        <w:t> </w:t>
      </w:r>
      <w:r>
        <w:rPr>
          <w:sz w:val="20"/>
        </w:rPr>
        <w:t>sugerencias</w:t>
      </w:r>
      <w:r>
        <w:rPr>
          <w:spacing w:val="-3"/>
          <w:sz w:val="20"/>
        </w:rPr>
        <w:t> </w:t>
      </w:r>
      <w:r>
        <w:rPr>
          <w:sz w:val="20"/>
        </w:rPr>
        <w:t>que</w:t>
      </w:r>
      <w:r>
        <w:rPr>
          <w:spacing w:val="-2"/>
          <w:sz w:val="20"/>
        </w:rPr>
        <w:t> </w:t>
      </w:r>
      <w:r>
        <w:rPr>
          <w:sz w:val="20"/>
        </w:rPr>
        <w:t>le</w:t>
      </w:r>
      <w:r>
        <w:rPr>
          <w:spacing w:val="-3"/>
          <w:sz w:val="20"/>
        </w:rPr>
        <w:t> </w:t>
      </w:r>
      <w:r>
        <w:rPr>
          <w:sz w:val="20"/>
        </w:rPr>
        <w:t>presenten</w:t>
      </w:r>
      <w:r>
        <w:rPr>
          <w:spacing w:val="-3"/>
          <w:sz w:val="20"/>
        </w:rPr>
        <w:t> </w:t>
      </w:r>
      <w:r>
        <w:rPr>
          <w:sz w:val="20"/>
        </w:rPr>
        <w:t>los</w:t>
      </w:r>
      <w:r>
        <w:rPr>
          <w:spacing w:val="-2"/>
          <w:sz w:val="20"/>
        </w:rPr>
        <w:t> </w:t>
      </w:r>
      <w:r>
        <w:rPr>
          <w:sz w:val="20"/>
        </w:rPr>
        <w:t>trabajadores y</w:t>
      </w:r>
      <w:r>
        <w:rPr>
          <w:spacing w:val="-5"/>
          <w:sz w:val="20"/>
        </w:rPr>
        <w:t> </w:t>
      </w:r>
      <w:r>
        <w:rPr>
          <w:sz w:val="20"/>
        </w:rPr>
        <w:t>los </w:t>
      </w:r>
      <w:r>
        <w:rPr>
          <w:spacing w:val="-2"/>
          <w:sz w:val="20"/>
        </w:rPr>
        <w:t>patrones;</w:t>
      </w:r>
    </w:p>
    <w:p>
      <w:pPr>
        <w:pStyle w:val="ListParagraph"/>
        <w:numPr>
          <w:ilvl w:val="0"/>
          <w:numId w:val="244"/>
        </w:numPr>
        <w:tabs>
          <w:tab w:pos="1195" w:val="left" w:leader="none"/>
        </w:tabs>
        <w:spacing w:line="240" w:lineRule="auto" w:before="224" w:after="0"/>
        <w:ind w:left="1195" w:right="0" w:hanging="569"/>
        <w:jc w:val="left"/>
        <w:rPr>
          <w:sz w:val="20"/>
        </w:rPr>
      </w:pPr>
      <w:r>
        <w:rPr>
          <w:sz w:val="20"/>
        </w:rPr>
        <w:t>Allegarse</w:t>
      </w:r>
      <w:r>
        <w:rPr>
          <w:spacing w:val="-8"/>
          <w:sz w:val="20"/>
        </w:rPr>
        <w:t> </w:t>
      </w:r>
      <w:r>
        <w:rPr>
          <w:sz w:val="20"/>
        </w:rPr>
        <w:t>todos</w:t>
      </w:r>
      <w:r>
        <w:rPr>
          <w:spacing w:val="-7"/>
          <w:sz w:val="20"/>
        </w:rPr>
        <w:t> </w:t>
      </w:r>
      <w:r>
        <w:rPr>
          <w:sz w:val="20"/>
        </w:rPr>
        <w:t>los</w:t>
      </w:r>
      <w:r>
        <w:rPr>
          <w:spacing w:val="-5"/>
          <w:sz w:val="20"/>
        </w:rPr>
        <w:t> </w:t>
      </w:r>
      <w:r>
        <w:rPr>
          <w:sz w:val="20"/>
        </w:rPr>
        <w:t>demás</w:t>
      </w:r>
      <w:r>
        <w:rPr>
          <w:spacing w:val="-7"/>
          <w:sz w:val="20"/>
        </w:rPr>
        <w:t> </w:t>
      </w:r>
      <w:r>
        <w:rPr>
          <w:sz w:val="20"/>
        </w:rPr>
        <w:t>elementos</w:t>
      </w:r>
      <w:r>
        <w:rPr>
          <w:spacing w:val="-7"/>
          <w:sz w:val="20"/>
        </w:rPr>
        <w:t> </w:t>
      </w:r>
      <w:r>
        <w:rPr>
          <w:sz w:val="20"/>
        </w:rPr>
        <w:t>que</w:t>
      </w:r>
      <w:r>
        <w:rPr>
          <w:spacing w:val="-7"/>
          <w:sz w:val="20"/>
        </w:rPr>
        <w:t> </w:t>
      </w:r>
      <w:r>
        <w:rPr>
          <w:sz w:val="20"/>
        </w:rPr>
        <w:t>juzgue</w:t>
      </w:r>
      <w:r>
        <w:rPr>
          <w:spacing w:val="-6"/>
          <w:sz w:val="20"/>
        </w:rPr>
        <w:t> </w:t>
      </w:r>
      <w:r>
        <w:rPr>
          <w:sz w:val="20"/>
        </w:rPr>
        <w:t>necesarios</w:t>
      </w:r>
      <w:r>
        <w:rPr>
          <w:spacing w:val="-7"/>
          <w:sz w:val="20"/>
        </w:rPr>
        <w:t> </w:t>
      </w:r>
      <w:r>
        <w:rPr>
          <w:sz w:val="20"/>
        </w:rPr>
        <w:t>o</w:t>
      </w:r>
      <w:r>
        <w:rPr>
          <w:spacing w:val="-9"/>
          <w:sz w:val="20"/>
        </w:rPr>
        <w:t> </w:t>
      </w:r>
      <w:r>
        <w:rPr>
          <w:spacing w:val="-2"/>
          <w:sz w:val="20"/>
        </w:rPr>
        <w:t>apropiados;</w:t>
      </w:r>
    </w:p>
    <w:p>
      <w:pPr>
        <w:pStyle w:val="BodyText"/>
      </w:pPr>
    </w:p>
    <w:p>
      <w:pPr>
        <w:pStyle w:val="ListParagraph"/>
        <w:numPr>
          <w:ilvl w:val="0"/>
          <w:numId w:val="244"/>
        </w:numPr>
        <w:tabs>
          <w:tab w:pos="1195" w:val="left" w:leader="none"/>
        </w:tabs>
        <w:spacing w:line="240" w:lineRule="auto" w:before="1" w:after="0"/>
        <w:ind w:left="1195" w:right="0" w:hanging="569"/>
        <w:jc w:val="left"/>
        <w:rPr>
          <w:sz w:val="20"/>
        </w:rPr>
      </w:pPr>
      <w:r>
        <w:rPr>
          <w:sz w:val="20"/>
        </w:rPr>
        <w:t>Preparar</w:t>
      </w:r>
      <w:r>
        <w:rPr>
          <w:spacing w:val="-4"/>
          <w:sz w:val="20"/>
        </w:rPr>
        <w:t> </w:t>
      </w:r>
      <w:r>
        <w:rPr>
          <w:sz w:val="20"/>
        </w:rPr>
        <w:t>los</w:t>
      </w:r>
      <w:r>
        <w:rPr>
          <w:spacing w:val="-6"/>
          <w:sz w:val="20"/>
        </w:rPr>
        <w:t> </w:t>
      </w:r>
      <w:r>
        <w:rPr>
          <w:sz w:val="20"/>
        </w:rPr>
        <w:t>documentos</w:t>
      </w:r>
      <w:r>
        <w:rPr>
          <w:spacing w:val="-5"/>
          <w:sz w:val="20"/>
        </w:rPr>
        <w:t> </w:t>
      </w:r>
      <w:r>
        <w:rPr>
          <w:sz w:val="20"/>
        </w:rPr>
        <w:t>de</w:t>
      </w:r>
      <w:r>
        <w:rPr>
          <w:spacing w:val="-7"/>
          <w:sz w:val="20"/>
        </w:rPr>
        <w:t> </w:t>
      </w:r>
      <w:r>
        <w:rPr>
          <w:sz w:val="20"/>
        </w:rPr>
        <w:t>trabajo</w:t>
      </w:r>
      <w:r>
        <w:rPr>
          <w:spacing w:val="-4"/>
          <w:sz w:val="20"/>
        </w:rPr>
        <w:t> </w:t>
      </w:r>
      <w:r>
        <w:rPr>
          <w:sz w:val="20"/>
        </w:rPr>
        <w:t>e</w:t>
      </w:r>
      <w:r>
        <w:rPr>
          <w:spacing w:val="-6"/>
          <w:sz w:val="20"/>
        </w:rPr>
        <w:t> </w:t>
      </w:r>
      <w:r>
        <w:rPr>
          <w:sz w:val="20"/>
        </w:rPr>
        <w:t>informes</w:t>
      </w:r>
      <w:r>
        <w:rPr>
          <w:spacing w:val="-6"/>
          <w:sz w:val="20"/>
        </w:rPr>
        <w:t> </w:t>
      </w:r>
      <w:r>
        <w:rPr>
          <w:sz w:val="20"/>
        </w:rPr>
        <w:t>que</w:t>
      </w:r>
      <w:r>
        <w:rPr>
          <w:spacing w:val="-6"/>
          <w:sz w:val="20"/>
        </w:rPr>
        <w:t> </w:t>
      </w:r>
      <w:r>
        <w:rPr>
          <w:sz w:val="20"/>
        </w:rPr>
        <w:t>requiera</w:t>
      </w:r>
      <w:r>
        <w:rPr>
          <w:spacing w:val="-7"/>
          <w:sz w:val="20"/>
        </w:rPr>
        <w:t> </w:t>
      </w:r>
      <w:r>
        <w:rPr>
          <w:sz w:val="20"/>
        </w:rPr>
        <w:t>la</w:t>
      </w:r>
      <w:r>
        <w:rPr>
          <w:spacing w:val="-6"/>
          <w:sz w:val="20"/>
        </w:rPr>
        <w:t> </w:t>
      </w:r>
      <w:r>
        <w:rPr>
          <w:spacing w:val="-2"/>
          <w:sz w:val="20"/>
        </w:rPr>
        <w:t>Comisión;</w:t>
      </w:r>
    </w:p>
    <w:p>
      <w:pPr>
        <w:pStyle w:val="BodyText"/>
      </w:pPr>
    </w:p>
    <w:p>
      <w:pPr>
        <w:pStyle w:val="ListParagraph"/>
        <w:numPr>
          <w:ilvl w:val="0"/>
          <w:numId w:val="244"/>
        </w:numPr>
        <w:tabs>
          <w:tab w:pos="1195" w:val="left" w:leader="none"/>
        </w:tabs>
        <w:spacing w:line="240" w:lineRule="auto" w:before="0" w:after="0"/>
        <w:ind w:left="1195" w:right="342" w:hanging="569"/>
        <w:jc w:val="both"/>
        <w:rPr>
          <w:sz w:val="20"/>
        </w:rPr>
      </w:pPr>
      <w:r>
        <w:rPr>
          <w:sz w:val="20"/>
        </w:rPr>
        <w:t>Preparar un informe final que deberá contener los resultados de las investigaciones y estudios efectuados y un resumen de las sugerencias y estudios de los trabajadores y patrones y someterlo a la consideración de la Comisión Consultiva; y</w:t>
      </w:r>
    </w:p>
    <w:p>
      <w:pPr>
        <w:pStyle w:val="BodyText"/>
        <w:spacing w:before="11"/>
        <w:rPr>
          <w:sz w:val="11"/>
        </w:rPr>
      </w:pPr>
    </w:p>
    <w:p>
      <w:pPr>
        <w:pStyle w:val="BodyText"/>
        <w:spacing w:after="0"/>
        <w:rPr>
          <w:sz w:val="11"/>
        </w:rPr>
        <w:sectPr>
          <w:pgSz w:w="12240" w:h="15840"/>
          <w:pgMar w:header="724" w:footer="712" w:top="1880" w:bottom="900" w:left="1080" w:right="1080"/>
        </w:sectPr>
      </w:pPr>
    </w:p>
    <w:p>
      <w:pPr>
        <w:pStyle w:val="ListParagraph"/>
        <w:numPr>
          <w:ilvl w:val="0"/>
          <w:numId w:val="244"/>
        </w:numPr>
        <w:tabs>
          <w:tab w:pos="1195" w:val="left" w:leader="none"/>
        </w:tabs>
        <w:spacing w:line="240" w:lineRule="auto" w:before="93" w:after="0"/>
        <w:ind w:left="1195" w:right="0" w:hanging="569"/>
        <w:jc w:val="left"/>
        <w:rPr>
          <w:sz w:val="20"/>
        </w:rPr>
      </w:pPr>
      <w:r>
        <w:rPr>
          <w:sz w:val="20"/>
        </w:rPr>
        <w:t>Los</w:t>
      </w:r>
      <w:r>
        <w:rPr>
          <w:spacing w:val="-5"/>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confieran</w:t>
      </w:r>
      <w:r>
        <w:rPr>
          <w:spacing w:val="-6"/>
          <w:sz w:val="20"/>
        </w:rPr>
        <w:t> </w:t>
      </w:r>
      <w:r>
        <w:rPr>
          <w:sz w:val="20"/>
        </w:rPr>
        <w:t>las</w:t>
      </w:r>
      <w:r>
        <w:rPr>
          <w:spacing w:val="-3"/>
          <w:sz w:val="20"/>
        </w:rPr>
        <w:t> </w:t>
      </w:r>
      <w:r>
        <w:rPr>
          <w:spacing w:val="-2"/>
          <w:sz w:val="20"/>
        </w:rPr>
        <w:t>leyes.</w:t>
      </w:r>
    </w:p>
    <w:p>
      <w:pPr>
        <w:pStyle w:val="BodyText"/>
        <w:spacing w:before="181"/>
      </w:pPr>
    </w:p>
    <w:p>
      <w:pPr>
        <w:pStyle w:val="Heading1"/>
        <w:ind w:left="0" w:right="38"/>
        <w:jc w:val="right"/>
      </w:pPr>
      <w:r>
        <w:rPr/>
        <w:t>CAPITULO</w:t>
      </w:r>
      <w:r>
        <w:rPr>
          <w:spacing w:val="-9"/>
        </w:rPr>
        <w:t> </w:t>
      </w:r>
      <w:r>
        <w:rPr>
          <w:spacing w:val="-4"/>
        </w:rPr>
        <w:t>VIII</w:t>
      </w:r>
    </w:p>
    <w:p>
      <w:pPr>
        <w:spacing w:line="240" w:lineRule="auto" w:before="139"/>
        <w:rPr>
          <w:rFonts w:ascii="Arial"/>
          <w:b/>
          <w:sz w:val="16"/>
        </w:rPr>
      </w:pPr>
      <w:r>
        <w:rPr/>
        <w:br w:type="column"/>
      </w:r>
      <w:r>
        <w:rPr>
          <w:rFonts w:ascii="Arial"/>
          <w:b/>
          <w:sz w:val="16"/>
        </w:rPr>
      </w:r>
    </w:p>
    <w:p>
      <w:pPr>
        <w:spacing w:before="0"/>
        <w:ind w:left="62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spacing w:after="0"/>
        <w:jc w:val="left"/>
        <w:rPr>
          <w:rFonts w:ascii="Times New Roman" w:hAnsi="Times New Roman"/>
          <w:i/>
          <w:sz w:val="16"/>
        </w:rPr>
        <w:sectPr>
          <w:type w:val="continuous"/>
          <w:pgSz w:w="12240" w:h="15840"/>
          <w:pgMar w:header="724" w:footer="712" w:top="1880" w:bottom="900" w:left="1080" w:right="1080"/>
          <w:cols w:num="2" w:equalWidth="0">
            <w:col w:w="5840" w:space="881"/>
            <w:col w:w="3359"/>
          </w:cols>
        </w:sectPr>
      </w:pPr>
    </w:p>
    <w:p>
      <w:pPr>
        <w:pStyle w:val="Heading2"/>
        <w:spacing w:before="2"/>
        <w:ind w:left="297"/>
      </w:pPr>
      <w:r>
        <w:rPr/>
        <w:t>Procedimiento</w:t>
      </w:r>
      <w:r>
        <w:rPr>
          <w:spacing w:val="-9"/>
        </w:rPr>
        <w:t> </w:t>
      </w:r>
      <w:r>
        <w:rPr/>
        <w:t>ante</w:t>
      </w:r>
      <w:r>
        <w:rPr>
          <w:spacing w:val="-6"/>
        </w:rPr>
        <w:t> </w:t>
      </w:r>
      <w:r>
        <w:rPr/>
        <w:t>la</w:t>
      </w:r>
      <w:r>
        <w:rPr>
          <w:spacing w:val="-7"/>
        </w:rPr>
        <w:t> </w:t>
      </w:r>
      <w:r>
        <w:rPr/>
        <w:t>Comisión</w:t>
      </w:r>
      <w:r>
        <w:rPr>
          <w:spacing w:val="-6"/>
        </w:rPr>
        <w:t> </w:t>
      </w:r>
      <w:r>
        <w:rPr/>
        <w:t>Nacional</w:t>
      </w:r>
      <w:r>
        <w:rPr>
          <w:spacing w:val="-2"/>
        </w:rPr>
        <w:t> </w:t>
      </w:r>
      <w:r>
        <w:rPr/>
        <w:t>de</w:t>
      </w:r>
      <w:r>
        <w:rPr>
          <w:spacing w:val="-7"/>
        </w:rPr>
        <w:t> </w:t>
      </w:r>
      <w:r>
        <w:rPr/>
        <w:t>los</w:t>
      </w:r>
      <w:r>
        <w:rPr>
          <w:spacing w:val="-3"/>
        </w:rPr>
        <w:t> </w:t>
      </w:r>
      <w:r>
        <w:rPr/>
        <w:t>Salarios</w:t>
      </w:r>
      <w:r>
        <w:rPr>
          <w:spacing w:val="-6"/>
        </w:rPr>
        <w:t> </w:t>
      </w:r>
      <w:r>
        <w:rPr>
          <w:spacing w:val="-2"/>
        </w:rPr>
        <w:t>Mínimos</w:t>
      </w:r>
    </w:p>
    <w:p>
      <w:pPr>
        <w:spacing w:before="0"/>
        <w:ind w:left="609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8"/>
        <w:rPr>
          <w:rFonts w:ascii="Times New Roman"/>
          <w:i/>
          <w:sz w:val="16"/>
        </w:rPr>
      </w:pPr>
    </w:p>
    <w:p>
      <w:pPr>
        <w:pStyle w:val="BodyText"/>
        <w:ind w:left="338" w:right="357" w:firstLine="288"/>
      </w:pPr>
      <w:bookmarkStart w:name="Artículo_570" w:id="721"/>
      <w:bookmarkEnd w:id="721"/>
      <w:r>
        <w:rPr/>
      </w:r>
      <w:r>
        <w:rPr>
          <w:rFonts w:ascii="Arial" w:hAnsi="Arial"/>
          <w:b/>
        </w:rPr>
        <w:t>Artículo 570.- </w:t>
      </w:r>
      <w:r>
        <w:rPr/>
        <w:t>Los salarios mínimos se fijarán cada año y comenzarán a regir el primero de enero del año siguiente.</w:t>
      </w:r>
    </w:p>
    <w:p>
      <w:pPr>
        <w:pStyle w:val="BodyText"/>
        <w:spacing w:before="1"/>
      </w:pPr>
    </w:p>
    <w:p>
      <w:pPr>
        <w:pStyle w:val="BodyText"/>
        <w:ind w:left="338" w:firstLine="288"/>
      </w:pPr>
      <w:r>
        <w:rPr/>
        <w:t>Los salarios mínimos podrán revisarse en cualquier momento en el curso de su vigencia siempre que existan circunstancias económicas que lo justifiquen:</w:t>
      </w:r>
    </w:p>
    <w:p>
      <w:pPr>
        <w:pStyle w:val="ListParagraph"/>
        <w:numPr>
          <w:ilvl w:val="0"/>
          <w:numId w:val="245"/>
        </w:numPr>
        <w:tabs>
          <w:tab w:pos="1193" w:val="left" w:leader="none"/>
          <w:tab w:pos="1195" w:val="left" w:leader="none"/>
        </w:tabs>
        <w:spacing w:line="240" w:lineRule="auto" w:before="229" w:after="0"/>
        <w:ind w:left="1195" w:right="345" w:hanging="569"/>
        <w:jc w:val="both"/>
        <w:rPr>
          <w:sz w:val="20"/>
        </w:rPr>
      </w:pPr>
      <w:r>
        <w:rPr>
          <w:sz w:val="20"/>
        </w:rPr>
        <w:t>Por iniciativa del Secretario del Trabajo y Previsión Social quien formulará al Presidente de la Comisión</w:t>
      </w:r>
      <w:r>
        <w:rPr>
          <w:spacing w:val="-1"/>
          <w:sz w:val="20"/>
        </w:rPr>
        <w:t> </w:t>
      </w:r>
      <w:r>
        <w:rPr>
          <w:sz w:val="20"/>
        </w:rPr>
        <w:t>Nacional de los Salarios Mínimos solicitud por escrito que contenga exposición de los hechos que la motiven; o</w:t>
      </w:r>
    </w:p>
    <w:p>
      <w:pPr>
        <w:pStyle w:val="ListParagraph"/>
        <w:numPr>
          <w:ilvl w:val="0"/>
          <w:numId w:val="245"/>
        </w:numPr>
        <w:tabs>
          <w:tab w:pos="1192" w:val="left" w:leader="none"/>
          <w:tab w:pos="1195" w:val="left" w:leader="none"/>
        </w:tabs>
        <w:spacing w:line="242" w:lineRule="auto" w:before="230" w:after="0"/>
        <w:ind w:left="1195" w:right="342" w:hanging="569"/>
        <w:jc w:val="both"/>
        <w:rPr>
          <w:sz w:val="20"/>
        </w:rPr>
      </w:pPr>
      <w:r>
        <w:rPr>
          <w:sz w:val="20"/>
        </w:rPr>
        <w:t>A solicitud de los sindicatos, federaciones y confederaciones de trabajadores o de los patrones previo cumplimiento de los siguientes requisitos:</w:t>
      </w:r>
    </w:p>
    <w:p>
      <w:pPr>
        <w:pStyle w:val="ListParagraph"/>
        <w:numPr>
          <w:ilvl w:val="1"/>
          <w:numId w:val="245"/>
        </w:numPr>
        <w:tabs>
          <w:tab w:pos="1762" w:val="left" w:leader="none"/>
        </w:tabs>
        <w:spacing w:line="242" w:lineRule="auto" w:before="224" w:after="0"/>
        <w:ind w:left="1762" w:right="337" w:hanging="567"/>
        <w:jc w:val="both"/>
        <w:rPr>
          <w:sz w:val="20"/>
        </w:rPr>
      </w:pPr>
      <w:r>
        <w:rPr>
          <w:sz w:val="20"/>
        </w:rPr>
        <w:t>La solicitud deberá presentarse a la Secretaría del Trabajo y Previsión Social por los sindicatos,</w:t>
      </w:r>
      <w:r>
        <w:rPr>
          <w:spacing w:val="-1"/>
          <w:sz w:val="20"/>
        </w:rPr>
        <w:t> </w:t>
      </w:r>
      <w:r>
        <w:rPr>
          <w:sz w:val="20"/>
        </w:rPr>
        <w:t>federaciones y</w:t>
      </w:r>
      <w:r>
        <w:rPr>
          <w:spacing w:val="-2"/>
          <w:sz w:val="20"/>
        </w:rPr>
        <w:t> </w:t>
      </w:r>
      <w:r>
        <w:rPr>
          <w:sz w:val="20"/>
        </w:rPr>
        <w:t>confederaciones que</w:t>
      </w:r>
      <w:r>
        <w:rPr>
          <w:spacing w:val="-2"/>
          <w:sz w:val="20"/>
        </w:rPr>
        <w:t> </w:t>
      </w:r>
      <w:r>
        <w:rPr>
          <w:sz w:val="20"/>
        </w:rPr>
        <w:t>representen el</w:t>
      </w:r>
      <w:r>
        <w:rPr>
          <w:spacing w:val="-2"/>
          <w:sz w:val="20"/>
        </w:rPr>
        <w:t> </w:t>
      </w:r>
      <w:r>
        <w:rPr>
          <w:sz w:val="20"/>
        </w:rPr>
        <w:t>cincuenta y</w:t>
      </w:r>
      <w:r>
        <w:rPr>
          <w:spacing w:val="-4"/>
          <w:sz w:val="20"/>
        </w:rPr>
        <w:t> </w:t>
      </w:r>
      <w:r>
        <w:rPr>
          <w:sz w:val="20"/>
        </w:rPr>
        <w:t>uno</w:t>
      </w:r>
      <w:r>
        <w:rPr>
          <w:spacing w:val="-2"/>
          <w:sz w:val="20"/>
        </w:rPr>
        <w:t> </w:t>
      </w:r>
      <w:r>
        <w:rPr>
          <w:sz w:val="20"/>
        </w:rPr>
        <w:t>por</w:t>
      </w:r>
      <w:r>
        <w:rPr>
          <w:spacing w:val="-1"/>
          <w:sz w:val="20"/>
        </w:rPr>
        <w:t> </w:t>
      </w:r>
      <w:r>
        <w:rPr>
          <w:sz w:val="20"/>
        </w:rPr>
        <w:t>ciento de los trabajadores sindicalizados, por lo menos, o por los patrones que tengan a su servicio por lo menos dicho Porcentaje de trabajadores.</w:t>
      </w:r>
    </w:p>
    <w:p>
      <w:pPr>
        <w:pStyle w:val="ListParagraph"/>
        <w:numPr>
          <w:ilvl w:val="1"/>
          <w:numId w:val="245"/>
        </w:numPr>
        <w:tabs>
          <w:tab w:pos="1759" w:val="left" w:leader="none"/>
          <w:tab w:pos="1762" w:val="left" w:leader="none"/>
        </w:tabs>
        <w:spacing w:line="242" w:lineRule="auto" w:before="220" w:after="0"/>
        <w:ind w:left="1762" w:right="336" w:hanging="567"/>
        <w:jc w:val="both"/>
        <w:rPr>
          <w:sz w:val="20"/>
        </w:rPr>
      </w:pPr>
      <w:r>
        <w:rPr>
          <w:sz w:val="20"/>
        </w:rPr>
        <w:t>La solicitud contendrá una exposición de los fundamentos que la justifiquen y podrá acompañarse de los estudios y documentos que correspondan.</w:t>
      </w:r>
    </w:p>
    <w:p>
      <w:pPr>
        <w:pStyle w:val="ListParagraph"/>
        <w:numPr>
          <w:ilvl w:val="1"/>
          <w:numId w:val="245"/>
        </w:numPr>
        <w:tabs>
          <w:tab w:pos="1760" w:val="left" w:leader="none"/>
          <w:tab w:pos="1762" w:val="left" w:leader="none"/>
        </w:tabs>
        <w:spacing w:line="240" w:lineRule="auto" w:before="227" w:after="0"/>
        <w:ind w:left="1762" w:right="342" w:hanging="567"/>
        <w:jc w:val="both"/>
        <w:rPr>
          <w:sz w:val="20"/>
        </w:rPr>
      </w:pPr>
      <w:r>
        <w:rPr>
          <w:sz w:val="20"/>
        </w:rPr>
        <w:t>El Secretario del</w:t>
      </w:r>
      <w:r>
        <w:rPr>
          <w:spacing w:val="-3"/>
          <w:sz w:val="20"/>
        </w:rPr>
        <w:t> </w:t>
      </w:r>
      <w:r>
        <w:rPr>
          <w:sz w:val="20"/>
        </w:rPr>
        <w:t>Trabajo y</w:t>
      </w:r>
      <w:r>
        <w:rPr>
          <w:spacing w:val="-3"/>
          <w:sz w:val="20"/>
        </w:rPr>
        <w:t> </w:t>
      </w:r>
      <w:r>
        <w:rPr>
          <w:sz w:val="20"/>
        </w:rPr>
        <w:t>Previsión Social, dentro de los</w:t>
      </w:r>
      <w:r>
        <w:rPr>
          <w:spacing w:val="-1"/>
          <w:sz w:val="20"/>
        </w:rPr>
        <w:t> </w:t>
      </w:r>
      <w:r>
        <w:rPr>
          <w:sz w:val="20"/>
        </w:rPr>
        <w:t>cinco días</w:t>
      </w:r>
      <w:r>
        <w:rPr>
          <w:spacing w:val="-1"/>
          <w:sz w:val="20"/>
        </w:rPr>
        <w:t> </w:t>
      </w:r>
      <w:r>
        <w:rPr>
          <w:sz w:val="20"/>
        </w:rPr>
        <w:t>siguientes a la</w:t>
      </w:r>
      <w:r>
        <w:rPr>
          <w:spacing w:val="-2"/>
          <w:sz w:val="20"/>
        </w:rPr>
        <w:t> </w:t>
      </w:r>
      <w:r>
        <w:rPr>
          <w:sz w:val="20"/>
        </w:rPr>
        <w:t>fecha en que reciba la solicitud correspondiente y previa certificación de la mayoría a que se refiere el inciso a) de este artículo, la hará llegar al Presidente de la Comisión Nacional</w:t>
      </w:r>
      <w:r>
        <w:rPr>
          <w:spacing w:val="40"/>
          <w:sz w:val="20"/>
        </w:rPr>
        <w:t> </w:t>
      </w:r>
      <w:r>
        <w:rPr>
          <w:sz w:val="20"/>
        </w:rPr>
        <w:t>de los Salarios Mínimos con los estudios y documentos que la acompañen.</w:t>
      </w:r>
    </w:p>
    <w:p>
      <w:pPr>
        <w:spacing w:line="184" w:lineRule="exact" w:before="0"/>
        <w:ind w:left="56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30-09-1974,</w:t>
      </w:r>
      <w:r>
        <w:rPr>
          <w:rFonts w:ascii="Times New Roman" w:hAnsi="Times New Roman"/>
          <w:i/>
          <w:color w:val="0000FF"/>
          <w:spacing w:val="-8"/>
          <w:sz w:val="16"/>
        </w:rPr>
        <w:t> </w:t>
      </w:r>
      <w:r>
        <w:rPr>
          <w:rFonts w:ascii="Times New Roman" w:hAnsi="Times New Roman"/>
          <w:i/>
          <w:color w:val="0000FF"/>
          <w:sz w:val="16"/>
        </w:rPr>
        <w:t>31-12-1982,</w:t>
      </w:r>
      <w:r>
        <w:rPr>
          <w:rFonts w:ascii="Times New Roman" w:hAnsi="Times New Roman"/>
          <w:i/>
          <w:color w:val="0000FF"/>
          <w:spacing w:val="-8"/>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BodyText"/>
        <w:spacing w:line="242" w:lineRule="auto"/>
        <w:ind w:left="338" w:right="357" w:firstLine="288"/>
      </w:pPr>
      <w:bookmarkStart w:name="Artículo_571" w:id="722"/>
      <w:bookmarkEnd w:id="722"/>
      <w:r>
        <w:rPr/>
      </w:r>
      <w:r>
        <w:rPr>
          <w:rFonts w:ascii="Arial" w:hAnsi="Arial"/>
          <w:b/>
        </w:rPr>
        <w:t>Artículo 571.- </w:t>
      </w:r>
      <w:r>
        <w:rPr/>
        <w:t>En la fijación de los salarios mínimos a que se refiere el primer párrafo del artículo 570 se observarán las normas siguientes:</w:t>
      </w:r>
    </w:p>
    <w:p>
      <w:pPr>
        <w:pStyle w:val="ListParagraph"/>
        <w:numPr>
          <w:ilvl w:val="0"/>
          <w:numId w:val="246"/>
        </w:numPr>
        <w:tabs>
          <w:tab w:pos="1193" w:val="left" w:leader="none"/>
          <w:tab w:pos="1195" w:val="left" w:leader="none"/>
        </w:tabs>
        <w:spacing w:line="242" w:lineRule="auto" w:before="224" w:after="0"/>
        <w:ind w:left="1195" w:right="343" w:hanging="569"/>
        <w:jc w:val="both"/>
        <w:rPr>
          <w:sz w:val="20"/>
        </w:rPr>
      </w:pPr>
      <w:r>
        <w:rPr>
          <w:sz w:val="20"/>
        </w:rPr>
        <w:t>Los trabajadores y los patrones dispondrán de un término que vencerá el último de noviembre para presentar los estudios que juzguen convenientes;</w:t>
      </w:r>
    </w:p>
    <w:p>
      <w:pPr>
        <w:pStyle w:val="ListParagraph"/>
        <w:spacing w:after="0" w:line="242" w:lineRule="auto"/>
        <w:jc w:val="both"/>
        <w:rPr>
          <w:sz w:val="20"/>
        </w:rPr>
        <w:sectPr>
          <w:type w:val="continuous"/>
          <w:pgSz w:w="12240" w:h="15840"/>
          <w:pgMar w:header="724" w:footer="712" w:top="1880" w:bottom="900" w:left="1080" w:right="1080"/>
        </w:sectPr>
      </w:pPr>
    </w:p>
    <w:p>
      <w:pPr>
        <w:pStyle w:val="BodyText"/>
      </w:pPr>
    </w:p>
    <w:p>
      <w:pPr>
        <w:pStyle w:val="BodyText"/>
        <w:spacing w:before="63"/>
      </w:pPr>
    </w:p>
    <w:p>
      <w:pPr>
        <w:pStyle w:val="ListParagraph"/>
        <w:numPr>
          <w:ilvl w:val="0"/>
          <w:numId w:val="246"/>
        </w:numPr>
        <w:tabs>
          <w:tab w:pos="1192" w:val="left" w:leader="none"/>
          <w:tab w:pos="1195" w:val="left" w:leader="none"/>
        </w:tabs>
        <w:spacing w:line="242" w:lineRule="auto" w:before="0" w:after="0"/>
        <w:ind w:left="1195" w:right="343" w:hanging="569"/>
        <w:jc w:val="both"/>
        <w:rPr>
          <w:sz w:val="20"/>
        </w:rPr>
      </w:pPr>
      <w:r>
        <w:rPr>
          <w:sz w:val="20"/>
        </w:rPr>
        <w:t>La Dirección Técnica presentará a la consideración del Consejo de Representantes, a más</w:t>
      </w:r>
      <w:r>
        <w:rPr>
          <w:spacing w:val="40"/>
          <w:sz w:val="20"/>
        </w:rPr>
        <w:t> </w:t>
      </w:r>
      <w:r>
        <w:rPr>
          <w:sz w:val="20"/>
        </w:rPr>
        <w:t>tarde el último día de noviembre, el Informe al que se refiere la fracción V del artículo 562 de esta Ley;</w:t>
      </w:r>
    </w:p>
    <w:p>
      <w:pPr>
        <w:pStyle w:val="ListParagraph"/>
        <w:numPr>
          <w:ilvl w:val="0"/>
          <w:numId w:val="246"/>
        </w:numPr>
        <w:tabs>
          <w:tab w:pos="1191" w:val="left" w:leader="none"/>
          <w:tab w:pos="1195" w:val="left" w:leader="none"/>
        </w:tabs>
        <w:spacing w:line="240" w:lineRule="auto" w:before="225" w:after="0"/>
        <w:ind w:left="1195" w:right="336" w:hanging="569"/>
        <w:jc w:val="both"/>
        <w:rPr>
          <w:sz w:val="20"/>
        </w:rPr>
      </w:pPr>
      <w:r>
        <w:rPr>
          <w:sz w:val="20"/>
        </w:rPr>
        <w:t>El Consejo de Representantes, durante el mes de Diciembre y antes del último día hábil del mismo mes, dictará resolución en la que fije los salarios mínimos, después de estudiar el informe de la Dirección Técnica, y</w:t>
      </w:r>
      <w:r>
        <w:rPr>
          <w:spacing w:val="-3"/>
          <w:sz w:val="20"/>
        </w:rPr>
        <w:t> </w:t>
      </w:r>
      <w:r>
        <w:rPr>
          <w:sz w:val="20"/>
        </w:rPr>
        <w:t>las opiniones, estudios e investigaciones presentadas por los trabajadores y los patrones. Para tal efecto podrá realizar directamente las investigaciones y estudios que juzgue convenientes y solicitar a la Dirección Técnica información</w:t>
      </w:r>
      <w:r>
        <w:rPr>
          <w:spacing w:val="80"/>
          <w:sz w:val="20"/>
        </w:rPr>
        <w:t> </w:t>
      </w:r>
      <w:r>
        <w:rPr>
          <w:spacing w:val="-2"/>
          <w:sz w:val="20"/>
        </w:rPr>
        <w:t>complementaria;</w:t>
      </w:r>
    </w:p>
    <w:p>
      <w:pPr>
        <w:pStyle w:val="ListParagraph"/>
        <w:numPr>
          <w:ilvl w:val="0"/>
          <w:numId w:val="246"/>
        </w:numPr>
        <w:tabs>
          <w:tab w:pos="1195" w:val="left" w:leader="none"/>
        </w:tabs>
        <w:spacing w:line="240" w:lineRule="auto" w:before="229" w:after="0"/>
        <w:ind w:left="1195" w:right="0" w:hanging="569"/>
        <w:jc w:val="left"/>
        <w:rPr>
          <w:sz w:val="20"/>
        </w:rPr>
      </w:pPr>
      <w:r>
        <w:rPr>
          <w:sz w:val="20"/>
        </w:rPr>
        <w:t>La</w:t>
      </w:r>
      <w:r>
        <w:rPr>
          <w:spacing w:val="-9"/>
          <w:sz w:val="20"/>
        </w:rPr>
        <w:t> </w:t>
      </w:r>
      <w:r>
        <w:rPr>
          <w:sz w:val="20"/>
        </w:rPr>
        <w:t>Comisión</w:t>
      </w:r>
      <w:r>
        <w:rPr>
          <w:spacing w:val="-7"/>
          <w:sz w:val="20"/>
        </w:rPr>
        <w:t> </w:t>
      </w:r>
      <w:r>
        <w:rPr>
          <w:sz w:val="20"/>
        </w:rPr>
        <w:t>Nacional</w:t>
      </w:r>
      <w:r>
        <w:rPr>
          <w:spacing w:val="-8"/>
          <w:sz w:val="20"/>
        </w:rPr>
        <w:t> </w:t>
      </w:r>
      <w:r>
        <w:rPr>
          <w:sz w:val="20"/>
        </w:rPr>
        <w:t>expresará</w:t>
      </w:r>
      <w:r>
        <w:rPr>
          <w:spacing w:val="-8"/>
          <w:sz w:val="20"/>
        </w:rPr>
        <w:t> </w:t>
      </w:r>
      <w:r>
        <w:rPr>
          <w:sz w:val="20"/>
        </w:rPr>
        <w:t>en</w:t>
      </w:r>
      <w:r>
        <w:rPr>
          <w:spacing w:val="-9"/>
          <w:sz w:val="20"/>
        </w:rPr>
        <w:t> </w:t>
      </w:r>
      <w:r>
        <w:rPr>
          <w:sz w:val="20"/>
        </w:rPr>
        <w:t>su</w:t>
      </w:r>
      <w:r>
        <w:rPr>
          <w:spacing w:val="-6"/>
          <w:sz w:val="20"/>
        </w:rPr>
        <w:t> </w:t>
      </w:r>
      <w:r>
        <w:rPr>
          <w:sz w:val="20"/>
        </w:rPr>
        <w:t>resolución</w:t>
      </w:r>
      <w:r>
        <w:rPr>
          <w:spacing w:val="-7"/>
          <w:sz w:val="20"/>
        </w:rPr>
        <w:t> </w:t>
      </w:r>
      <w:r>
        <w:rPr>
          <w:sz w:val="20"/>
        </w:rPr>
        <w:t>los</w:t>
      </w:r>
      <w:r>
        <w:rPr>
          <w:spacing w:val="-7"/>
          <w:sz w:val="20"/>
        </w:rPr>
        <w:t> </w:t>
      </w:r>
      <w:r>
        <w:rPr>
          <w:sz w:val="20"/>
        </w:rPr>
        <w:t>fundamentos</w:t>
      </w:r>
      <w:r>
        <w:rPr>
          <w:spacing w:val="-7"/>
          <w:sz w:val="20"/>
        </w:rPr>
        <w:t> </w:t>
      </w:r>
      <w:r>
        <w:rPr>
          <w:sz w:val="20"/>
        </w:rPr>
        <w:t>que</w:t>
      </w:r>
      <w:r>
        <w:rPr>
          <w:spacing w:val="-7"/>
          <w:sz w:val="20"/>
        </w:rPr>
        <w:t> </w:t>
      </w:r>
      <w:r>
        <w:rPr>
          <w:sz w:val="20"/>
        </w:rPr>
        <w:t>la</w:t>
      </w:r>
      <w:r>
        <w:rPr>
          <w:spacing w:val="-7"/>
          <w:sz w:val="20"/>
        </w:rPr>
        <w:t> </w:t>
      </w:r>
      <w:r>
        <w:rPr>
          <w:sz w:val="20"/>
        </w:rPr>
        <w:t>justifiquen;</w:t>
      </w:r>
      <w:r>
        <w:rPr>
          <w:spacing w:val="-4"/>
          <w:sz w:val="20"/>
        </w:rPr>
        <w:t> </w:t>
      </w:r>
      <w:r>
        <w:rPr>
          <w:spacing w:val="-10"/>
          <w:sz w:val="20"/>
        </w:rPr>
        <w:t>y</w:t>
      </w:r>
    </w:p>
    <w:p>
      <w:pPr>
        <w:pStyle w:val="BodyText"/>
      </w:pPr>
    </w:p>
    <w:p>
      <w:pPr>
        <w:pStyle w:val="ListParagraph"/>
        <w:numPr>
          <w:ilvl w:val="0"/>
          <w:numId w:val="246"/>
        </w:numPr>
        <w:tabs>
          <w:tab w:pos="1195" w:val="left" w:leader="none"/>
        </w:tabs>
        <w:spacing w:line="242" w:lineRule="auto" w:before="1" w:after="0"/>
        <w:ind w:left="1195" w:right="345" w:hanging="569"/>
        <w:jc w:val="both"/>
        <w:rPr>
          <w:sz w:val="20"/>
        </w:rPr>
      </w:pPr>
      <w:r>
        <w:rPr>
          <w:sz w:val="20"/>
        </w:rPr>
        <w:t>Dictada la resolución, el Presidente de la Comisión ordenará su publicación en el Diario Oficial de la Federación la que deberá hacerse a más tardar el treinta y uno de Diciembre.</w:t>
      </w:r>
    </w:p>
    <w:p>
      <w:pPr>
        <w:spacing w:line="178" w:lineRule="exact" w:before="0"/>
        <w:ind w:left="56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30-09-1974,</w:t>
      </w:r>
      <w:r>
        <w:rPr>
          <w:rFonts w:ascii="Times New Roman" w:hAnsi="Times New Roman"/>
          <w:i/>
          <w:color w:val="0000FF"/>
          <w:spacing w:val="-8"/>
          <w:sz w:val="16"/>
        </w:rPr>
        <w:t> </w:t>
      </w:r>
      <w:r>
        <w:rPr>
          <w:rFonts w:ascii="Times New Roman" w:hAnsi="Times New Roman"/>
          <w:i/>
          <w:color w:val="0000FF"/>
          <w:sz w:val="16"/>
        </w:rPr>
        <w:t>31-12-1982,</w:t>
      </w:r>
      <w:r>
        <w:rPr>
          <w:rFonts w:ascii="Times New Roman" w:hAnsi="Times New Roman"/>
          <w:i/>
          <w:color w:val="0000FF"/>
          <w:spacing w:val="-8"/>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1"/>
        <w:rPr>
          <w:rFonts w:ascii="Times New Roman"/>
          <w:i/>
        </w:rPr>
      </w:pPr>
    </w:p>
    <w:p>
      <w:pPr>
        <w:spacing w:before="0"/>
        <w:ind w:left="626" w:right="0" w:firstLine="0"/>
        <w:jc w:val="left"/>
        <w:rPr>
          <w:sz w:val="20"/>
        </w:rPr>
      </w:pPr>
      <w:bookmarkStart w:name="Artículo_572" w:id="723"/>
      <w:bookmarkEnd w:id="723"/>
      <w:r>
        <w:rPr/>
      </w:r>
      <w:r>
        <w:rPr>
          <w:rFonts w:ascii="Arial" w:hAnsi="Arial"/>
          <w:b/>
          <w:sz w:val="20"/>
        </w:rPr>
        <w:t>Artículo</w:t>
      </w:r>
      <w:r>
        <w:rPr>
          <w:rFonts w:ascii="Arial" w:hAnsi="Arial"/>
          <w:b/>
          <w:spacing w:val="-6"/>
          <w:sz w:val="20"/>
        </w:rPr>
        <w:t> </w:t>
      </w:r>
      <w:r>
        <w:rPr>
          <w:rFonts w:ascii="Arial" w:hAnsi="Arial"/>
          <w:b/>
          <w:sz w:val="20"/>
        </w:rPr>
        <w:t>572.-</w:t>
      </w:r>
      <w:r>
        <w:rPr>
          <w:rFonts w:ascii="Arial" w:hAnsi="Arial"/>
          <w:b/>
          <w:spacing w:val="-6"/>
          <w:sz w:val="20"/>
        </w:rPr>
        <w:t> </w:t>
      </w:r>
      <w:r>
        <w:rPr>
          <w:sz w:val="20"/>
        </w:rPr>
        <w:t>(Se</w:t>
      </w:r>
      <w:r>
        <w:rPr>
          <w:spacing w:val="-7"/>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line="242" w:lineRule="auto" w:before="229"/>
        <w:ind w:left="338" w:right="357" w:firstLine="288"/>
      </w:pPr>
      <w:bookmarkStart w:name="Artículo_573" w:id="724"/>
      <w:bookmarkEnd w:id="724"/>
      <w:r>
        <w:rPr/>
      </w:r>
      <w:r>
        <w:rPr>
          <w:rFonts w:ascii="Arial" w:hAnsi="Arial"/>
          <w:b/>
        </w:rPr>
        <w:t>Artículo</w:t>
      </w:r>
      <w:r>
        <w:rPr>
          <w:rFonts w:ascii="Arial" w:hAnsi="Arial"/>
          <w:b/>
          <w:spacing w:val="-1"/>
        </w:rPr>
        <w:t> </w:t>
      </w:r>
      <w:r>
        <w:rPr>
          <w:rFonts w:ascii="Arial" w:hAnsi="Arial"/>
          <w:b/>
        </w:rPr>
        <w:t>573.-</w:t>
      </w:r>
      <w:r>
        <w:rPr>
          <w:rFonts w:ascii="Arial" w:hAnsi="Arial"/>
          <w:b/>
          <w:spacing w:val="-1"/>
        </w:rPr>
        <w:t> </w:t>
      </w:r>
      <w:r>
        <w:rPr/>
        <w:t>En</w:t>
      </w:r>
      <w:r>
        <w:rPr>
          <w:spacing w:val="-2"/>
        </w:rPr>
        <w:t> </w:t>
      </w:r>
      <w:r>
        <w:rPr/>
        <w:t>la</w:t>
      </w:r>
      <w:r>
        <w:rPr>
          <w:spacing w:val="-2"/>
        </w:rPr>
        <w:t> </w:t>
      </w:r>
      <w:r>
        <w:rPr/>
        <w:t>revisión</w:t>
      </w:r>
      <w:r>
        <w:rPr>
          <w:spacing w:val="-2"/>
        </w:rPr>
        <w:t> </w:t>
      </w:r>
      <w:r>
        <w:rPr/>
        <w:t>de</w:t>
      </w:r>
      <w:r>
        <w:rPr>
          <w:spacing w:val="-3"/>
        </w:rPr>
        <w:t> </w:t>
      </w:r>
      <w:r>
        <w:rPr/>
        <w:t>los</w:t>
      </w:r>
      <w:r>
        <w:rPr>
          <w:spacing w:val="-1"/>
        </w:rPr>
        <w:t> </w:t>
      </w:r>
      <w:r>
        <w:rPr/>
        <w:t>salarios</w:t>
      </w:r>
      <w:r>
        <w:rPr>
          <w:spacing w:val="-1"/>
        </w:rPr>
        <w:t> </w:t>
      </w:r>
      <w:r>
        <w:rPr/>
        <w:t>mínimos</w:t>
      </w:r>
      <w:r>
        <w:rPr>
          <w:spacing w:val="-1"/>
        </w:rPr>
        <w:t> </w:t>
      </w:r>
      <w:r>
        <w:rPr/>
        <w:t>a</w:t>
      </w:r>
      <w:r>
        <w:rPr>
          <w:spacing w:val="-2"/>
        </w:rPr>
        <w:t> </w:t>
      </w:r>
      <w:r>
        <w:rPr/>
        <w:t>la</w:t>
      </w:r>
      <w:r>
        <w:rPr>
          <w:spacing w:val="-2"/>
        </w:rPr>
        <w:t> </w:t>
      </w:r>
      <w:r>
        <w:rPr/>
        <w:t>que</w:t>
      </w:r>
      <w:r>
        <w:rPr>
          <w:spacing w:val="-2"/>
        </w:rPr>
        <w:t> </w:t>
      </w:r>
      <w:r>
        <w:rPr/>
        <w:t>se</w:t>
      </w:r>
      <w:r>
        <w:rPr>
          <w:spacing w:val="-2"/>
        </w:rPr>
        <w:t> </w:t>
      </w:r>
      <w:r>
        <w:rPr/>
        <w:t>refiere</w:t>
      </w:r>
      <w:r>
        <w:rPr>
          <w:spacing w:val="-2"/>
        </w:rPr>
        <w:t> </w:t>
      </w:r>
      <w:r>
        <w:rPr/>
        <w:t>el</w:t>
      </w:r>
      <w:r>
        <w:rPr>
          <w:spacing w:val="-3"/>
        </w:rPr>
        <w:t> </w:t>
      </w:r>
      <w:r>
        <w:rPr/>
        <w:t>segundo</w:t>
      </w:r>
      <w:r>
        <w:rPr>
          <w:spacing w:val="-2"/>
        </w:rPr>
        <w:t> </w:t>
      </w:r>
      <w:r>
        <w:rPr/>
        <w:t>párrafo</w:t>
      </w:r>
      <w:r>
        <w:rPr>
          <w:spacing w:val="-2"/>
        </w:rPr>
        <w:t> </w:t>
      </w:r>
      <w:r>
        <w:rPr/>
        <w:t>del artículo 570 de la Ley se observarán los siguientes procedimientos:</w:t>
      </w:r>
    </w:p>
    <w:p>
      <w:pPr>
        <w:pStyle w:val="ListParagraph"/>
        <w:numPr>
          <w:ilvl w:val="0"/>
          <w:numId w:val="247"/>
        </w:numPr>
        <w:tabs>
          <w:tab w:pos="1193" w:val="left" w:leader="none"/>
          <w:tab w:pos="1195" w:val="left" w:leader="none"/>
        </w:tabs>
        <w:spacing w:line="240" w:lineRule="auto" w:before="227" w:after="0"/>
        <w:ind w:left="1195" w:right="337" w:hanging="569"/>
        <w:jc w:val="both"/>
        <w:rPr>
          <w:sz w:val="20"/>
        </w:rPr>
      </w:pPr>
      <w:r>
        <w:rPr>
          <w:sz w:val="20"/>
        </w:rPr>
        <w:t>El</w:t>
      </w:r>
      <w:r>
        <w:rPr>
          <w:spacing w:val="-2"/>
          <w:sz w:val="20"/>
        </w:rPr>
        <w:t> </w:t>
      </w:r>
      <w:r>
        <w:rPr>
          <w:sz w:val="20"/>
        </w:rPr>
        <w:t>Presidente</w:t>
      </w:r>
      <w:r>
        <w:rPr>
          <w:spacing w:val="-2"/>
          <w:sz w:val="20"/>
        </w:rPr>
        <w:t> </w:t>
      </w:r>
      <w:r>
        <w:rPr>
          <w:sz w:val="20"/>
        </w:rPr>
        <w:t>de</w:t>
      </w:r>
      <w:r>
        <w:rPr>
          <w:spacing w:val="-1"/>
          <w:sz w:val="20"/>
        </w:rPr>
        <w:t> </w:t>
      </w:r>
      <w:r>
        <w:rPr>
          <w:sz w:val="20"/>
        </w:rPr>
        <w:t>la</w:t>
      </w:r>
      <w:r>
        <w:rPr>
          <w:spacing w:val="-1"/>
          <w:sz w:val="20"/>
        </w:rPr>
        <w:t> </w:t>
      </w:r>
      <w:r>
        <w:rPr>
          <w:sz w:val="20"/>
        </w:rPr>
        <w:t>Comisión</w:t>
      </w:r>
      <w:r>
        <w:rPr>
          <w:spacing w:val="-2"/>
          <w:sz w:val="20"/>
        </w:rPr>
        <w:t> </w:t>
      </w:r>
      <w:r>
        <w:rPr>
          <w:sz w:val="20"/>
        </w:rPr>
        <w:t>Nacional,</w:t>
      </w:r>
      <w:r>
        <w:rPr>
          <w:spacing w:val="-1"/>
          <w:sz w:val="20"/>
        </w:rPr>
        <w:t> </w:t>
      </w:r>
      <w:r>
        <w:rPr>
          <w:sz w:val="20"/>
        </w:rPr>
        <w:t>dentro</w:t>
      </w:r>
      <w:r>
        <w:rPr>
          <w:spacing w:val="-1"/>
          <w:sz w:val="20"/>
        </w:rPr>
        <w:t> </w:t>
      </w:r>
      <w:r>
        <w:rPr>
          <w:sz w:val="20"/>
        </w:rPr>
        <w:t>de</w:t>
      </w:r>
      <w:r>
        <w:rPr>
          <w:spacing w:val="-2"/>
          <w:sz w:val="20"/>
        </w:rPr>
        <w:t> </w:t>
      </w:r>
      <w:r>
        <w:rPr>
          <w:sz w:val="20"/>
        </w:rPr>
        <w:t>los tres días siguientes a</w:t>
      </w:r>
      <w:r>
        <w:rPr>
          <w:spacing w:val="-1"/>
          <w:sz w:val="20"/>
        </w:rPr>
        <w:t> </w:t>
      </w:r>
      <w:r>
        <w:rPr>
          <w:sz w:val="20"/>
        </w:rPr>
        <w:t>la</w:t>
      </w:r>
      <w:r>
        <w:rPr>
          <w:spacing w:val="-1"/>
          <w:sz w:val="20"/>
        </w:rPr>
        <w:t> </w:t>
      </w:r>
      <w:r>
        <w:rPr>
          <w:sz w:val="20"/>
        </w:rPr>
        <w:t>fecha</w:t>
      </w:r>
      <w:r>
        <w:rPr>
          <w:spacing w:val="-2"/>
          <w:sz w:val="20"/>
        </w:rPr>
        <w:t> </w:t>
      </w:r>
      <w:r>
        <w:rPr>
          <w:sz w:val="20"/>
        </w:rPr>
        <w:t>en</w:t>
      </w:r>
      <w:r>
        <w:rPr>
          <w:spacing w:val="-2"/>
          <w:sz w:val="20"/>
        </w:rPr>
        <w:t> </w:t>
      </w:r>
      <w:r>
        <w:rPr>
          <w:sz w:val="20"/>
        </w:rPr>
        <w:t>que</w:t>
      </w:r>
      <w:r>
        <w:rPr>
          <w:spacing w:val="-1"/>
          <w:sz w:val="20"/>
        </w:rPr>
        <w:t> </w:t>
      </w:r>
      <w:r>
        <w:rPr>
          <w:sz w:val="20"/>
        </w:rPr>
        <w:t>haya recibido la solicitud del Secretario del Trabajo y Previsión Social, o en su caso la que le hayan presentado las organizaciones de trabajadores o los patrones, convocará al Consejo de Representantes para estudiar la solicitud y decidir si los fundamentos que la apoyan son suficientes para iniciar el proceso de revisión. Si la resolución es en sentido afirmativo ordenará a la Dirección Técnica la preparación de un informe que considere el movimiento de los precios y sus repercusiones en el poder adquisitivo de los salarios mínimos; así como los datos más significativos de la situación económica nacional para que el Consejo de Representantes pueda disponer de la información necesaria para revisar los salarios mínimos vigentes y fijar, en su caso, los que deben establecerse. Si su resolución es negativa la pondrá en conocimiento del Secretario del Trabajo y Previsión Social;</w:t>
      </w:r>
    </w:p>
    <w:p>
      <w:pPr>
        <w:pStyle w:val="BodyText"/>
      </w:pPr>
    </w:p>
    <w:p>
      <w:pPr>
        <w:pStyle w:val="ListParagraph"/>
        <w:numPr>
          <w:ilvl w:val="0"/>
          <w:numId w:val="247"/>
        </w:numPr>
        <w:tabs>
          <w:tab w:pos="1192" w:val="left" w:leader="none"/>
          <w:tab w:pos="1195" w:val="left" w:leader="none"/>
        </w:tabs>
        <w:spacing w:line="240" w:lineRule="auto" w:before="1" w:after="0"/>
        <w:ind w:left="1195" w:right="337" w:hanging="569"/>
        <w:jc w:val="both"/>
        <w:rPr>
          <w:sz w:val="20"/>
        </w:rPr>
      </w:pPr>
      <w:r>
        <w:rPr>
          <w:sz w:val="20"/>
        </w:rPr>
        <w:t>La Dirección Técnica dispondrá de un término de cinco días, a partir de la fecha en que hubiera sido instruida por el Presidente de la Comisión Nacional, para elaborar el informe a que se refiere la fracción anterior y hacerlo llegar al Consejo de Representantes por conducto del Presidente de la Comisión;</w:t>
      </w:r>
    </w:p>
    <w:p>
      <w:pPr>
        <w:pStyle w:val="ListParagraph"/>
        <w:numPr>
          <w:ilvl w:val="0"/>
          <w:numId w:val="247"/>
        </w:numPr>
        <w:tabs>
          <w:tab w:pos="1191" w:val="left" w:leader="none"/>
          <w:tab w:pos="1195" w:val="left" w:leader="none"/>
        </w:tabs>
        <w:spacing w:line="242" w:lineRule="auto" w:before="229" w:after="0"/>
        <w:ind w:left="1195" w:right="343" w:hanging="569"/>
        <w:jc w:val="both"/>
        <w:rPr>
          <w:sz w:val="20"/>
        </w:rPr>
      </w:pPr>
      <w:r>
        <w:rPr>
          <w:sz w:val="20"/>
        </w:rPr>
        <w:t>El Consejo de Representantes, dentro de los tres días siguientes a la fecha en que reciba el informe de la Dirección Técnica dictará la resolución que corresponda fijando, en su caso, los salarios mínimos que deban establecerse;</w:t>
      </w:r>
    </w:p>
    <w:p>
      <w:pPr>
        <w:pStyle w:val="ListParagraph"/>
        <w:numPr>
          <w:ilvl w:val="0"/>
          <w:numId w:val="247"/>
        </w:numPr>
        <w:tabs>
          <w:tab w:pos="1195" w:val="left" w:leader="none"/>
        </w:tabs>
        <w:spacing w:line="242" w:lineRule="auto" w:before="223" w:after="0"/>
        <w:ind w:left="1195" w:right="339" w:hanging="569"/>
        <w:jc w:val="both"/>
        <w:rPr>
          <w:sz w:val="20"/>
        </w:rPr>
      </w:pPr>
      <w:r>
        <w:rPr>
          <w:sz w:val="20"/>
        </w:rPr>
        <w:t>La resolución de la Comisión Nacional establecerá la fecha en que deba iniciarse la vigencia de los nuevos salarios mínimos que se fijen, la cual no podrá ser posterior a diez días contados a partir de la fecha en que se emita la resolución; y</w:t>
      </w:r>
    </w:p>
    <w:p>
      <w:pPr>
        <w:pStyle w:val="ListParagraph"/>
        <w:numPr>
          <w:ilvl w:val="0"/>
          <w:numId w:val="247"/>
        </w:numPr>
        <w:tabs>
          <w:tab w:pos="1195" w:val="left" w:leader="none"/>
        </w:tabs>
        <w:spacing w:line="240" w:lineRule="auto" w:before="225" w:after="0"/>
        <w:ind w:left="1195" w:right="339" w:hanging="569"/>
        <w:jc w:val="both"/>
        <w:rPr>
          <w:sz w:val="20"/>
        </w:rPr>
      </w:pPr>
      <w:r>
        <w:rPr>
          <w:sz w:val="20"/>
        </w:rPr>
        <w:t>El Presidente de la Comisión Nacional de los Salarios Mínimos ordenará la publicación de la Resolución en el Diario Oficial de la Federación dentro de los tres días siguientes a la fecha en que se haya emitido</w:t>
      </w:r>
    </w:p>
    <w:p>
      <w:pPr>
        <w:spacing w:line="183" w:lineRule="exact" w:before="0"/>
        <w:ind w:left="56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30-09-1974,</w:t>
      </w:r>
      <w:r>
        <w:rPr>
          <w:rFonts w:ascii="Times New Roman" w:hAnsi="Times New Roman"/>
          <w:i/>
          <w:color w:val="0000FF"/>
          <w:spacing w:val="-8"/>
          <w:sz w:val="16"/>
        </w:rPr>
        <w:t> </w:t>
      </w:r>
      <w:r>
        <w:rPr>
          <w:rFonts w:ascii="Times New Roman" w:hAnsi="Times New Roman"/>
          <w:i/>
          <w:color w:val="0000FF"/>
          <w:sz w:val="16"/>
        </w:rPr>
        <w:t>31-12-1982,</w:t>
      </w:r>
      <w:r>
        <w:rPr>
          <w:rFonts w:ascii="Times New Roman" w:hAnsi="Times New Roman"/>
          <w:i/>
          <w:color w:val="0000FF"/>
          <w:spacing w:val="-8"/>
          <w:sz w:val="16"/>
        </w:rPr>
        <w:t> </w:t>
      </w:r>
      <w:r>
        <w:rPr>
          <w:rFonts w:ascii="Times New Roman" w:hAnsi="Times New Roman"/>
          <w:i/>
          <w:color w:val="0000FF"/>
          <w:sz w:val="16"/>
        </w:rPr>
        <w:t>21-01-</w:t>
      </w:r>
      <w:r>
        <w:rPr>
          <w:rFonts w:ascii="Times New Roman" w:hAnsi="Times New Roman"/>
          <w:i/>
          <w:color w:val="0000FF"/>
          <w:spacing w:val="-4"/>
          <w:sz w:val="16"/>
        </w:rPr>
        <w:t>1988</w:t>
      </w:r>
    </w:p>
    <w:p>
      <w:pPr>
        <w:spacing w:after="0" w:line="183" w:lineRule="exact"/>
        <w:jc w:val="lef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3"/>
        <w:rPr>
          <w:rFonts w:ascii="Times New Roman"/>
          <w:i/>
        </w:rPr>
      </w:pPr>
    </w:p>
    <w:p>
      <w:pPr>
        <w:pStyle w:val="BodyText"/>
        <w:spacing w:line="242" w:lineRule="auto"/>
        <w:ind w:left="338" w:firstLine="288"/>
      </w:pPr>
      <w:bookmarkStart w:name="Artículo_574" w:id="725"/>
      <w:bookmarkEnd w:id="725"/>
      <w:r>
        <w:rPr/>
      </w:r>
      <w:r>
        <w:rPr>
          <w:rFonts w:ascii="Arial" w:hAnsi="Arial"/>
          <w:b/>
        </w:rPr>
        <w:t>Artículo</w:t>
      </w:r>
      <w:r>
        <w:rPr>
          <w:rFonts w:ascii="Arial" w:hAnsi="Arial"/>
          <w:b/>
          <w:spacing w:val="40"/>
        </w:rPr>
        <w:t> </w:t>
      </w:r>
      <w:r>
        <w:rPr>
          <w:rFonts w:ascii="Arial" w:hAnsi="Arial"/>
          <w:b/>
        </w:rPr>
        <w:t>574.-</w:t>
      </w:r>
      <w:r>
        <w:rPr>
          <w:rFonts w:ascii="Arial" w:hAnsi="Arial"/>
          <w:b/>
          <w:spacing w:val="40"/>
        </w:rPr>
        <w:t> </w:t>
      </w:r>
      <w:r>
        <w:rPr/>
        <w:t>En</w:t>
      </w:r>
      <w:r>
        <w:rPr>
          <w:spacing w:val="40"/>
        </w:rPr>
        <w:t> </w:t>
      </w:r>
      <w:r>
        <w:rPr/>
        <w:t>los</w:t>
      </w:r>
      <w:r>
        <w:rPr>
          <w:spacing w:val="40"/>
        </w:rPr>
        <w:t> </w:t>
      </w:r>
      <w:r>
        <w:rPr/>
        <w:t>procedimientos</w:t>
      </w:r>
      <w:r>
        <w:rPr>
          <w:spacing w:val="40"/>
        </w:rPr>
        <w:t> </w:t>
      </w:r>
      <w:r>
        <w:rPr/>
        <w:t>a</w:t>
      </w:r>
      <w:r>
        <w:rPr>
          <w:spacing w:val="40"/>
        </w:rPr>
        <w:t> </w:t>
      </w:r>
      <w:r>
        <w:rPr/>
        <w:t>que</w:t>
      </w:r>
      <w:r>
        <w:rPr>
          <w:spacing w:val="40"/>
        </w:rPr>
        <w:t> </w:t>
      </w:r>
      <w:r>
        <w:rPr/>
        <w:t>se</w:t>
      </w:r>
      <w:r>
        <w:rPr>
          <w:spacing w:val="40"/>
        </w:rPr>
        <w:t> </w:t>
      </w:r>
      <w:r>
        <w:rPr/>
        <w:t>refiere</w:t>
      </w:r>
      <w:r>
        <w:rPr>
          <w:spacing w:val="40"/>
        </w:rPr>
        <w:t> </w:t>
      </w:r>
      <w:r>
        <w:rPr/>
        <w:t>este</w:t>
      </w:r>
      <w:r>
        <w:rPr>
          <w:spacing w:val="40"/>
        </w:rPr>
        <w:t> </w:t>
      </w:r>
      <w:r>
        <w:rPr/>
        <w:t>Capítulo</w:t>
      </w:r>
      <w:r>
        <w:rPr>
          <w:spacing w:val="40"/>
        </w:rPr>
        <w:t> </w:t>
      </w:r>
      <w:r>
        <w:rPr/>
        <w:t>se</w:t>
      </w:r>
      <w:r>
        <w:rPr>
          <w:spacing w:val="40"/>
        </w:rPr>
        <w:t> </w:t>
      </w:r>
      <w:r>
        <w:rPr/>
        <w:t>observarán</w:t>
      </w:r>
      <w:r>
        <w:rPr>
          <w:spacing w:val="40"/>
        </w:rPr>
        <w:t> </w:t>
      </w:r>
      <w:r>
        <w:rPr/>
        <w:t>las</w:t>
      </w:r>
      <w:r>
        <w:rPr>
          <w:spacing w:val="40"/>
        </w:rPr>
        <w:t> </w:t>
      </w:r>
      <w:r>
        <w:rPr/>
        <w:t>normas </w:t>
      </w:r>
      <w:r>
        <w:rPr>
          <w:spacing w:val="-2"/>
        </w:rPr>
        <w:t>siguientes:</w:t>
      </w:r>
    </w:p>
    <w:p>
      <w:pPr>
        <w:spacing w:line="181"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5"/>
        <w:rPr>
          <w:rFonts w:ascii="Times New Roman"/>
          <w:i/>
          <w:sz w:val="16"/>
        </w:rPr>
      </w:pPr>
    </w:p>
    <w:p>
      <w:pPr>
        <w:pStyle w:val="ListParagraph"/>
        <w:numPr>
          <w:ilvl w:val="0"/>
          <w:numId w:val="248"/>
        </w:numPr>
        <w:tabs>
          <w:tab w:pos="1195" w:val="left" w:leader="none"/>
        </w:tabs>
        <w:spacing w:line="242" w:lineRule="auto" w:before="0" w:after="0"/>
        <w:ind w:left="1195" w:right="343" w:hanging="569"/>
        <w:jc w:val="left"/>
        <w:rPr>
          <w:sz w:val="20"/>
        </w:rPr>
      </w:pPr>
      <w:r>
        <w:rPr>
          <w:sz w:val="20"/>
        </w:rPr>
        <w:t>Para</w:t>
      </w:r>
      <w:r>
        <w:rPr>
          <w:spacing w:val="71"/>
          <w:sz w:val="20"/>
        </w:rPr>
        <w:t> </w:t>
      </w:r>
      <w:r>
        <w:rPr>
          <w:sz w:val="20"/>
        </w:rPr>
        <w:t>que</w:t>
      </w:r>
      <w:r>
        <w:rPr>
          <w:spacing w:val="71"/>
          <w:sz w:val="20"/>
        </w:rPr>
        <w:t> </w:t>
      </w:r>
      <w:r>
        <w:rPr>
          <w:sz w:val="20"/>
        </w:rPr>
        <w:t>pueda</w:t>
      </w:r>
      <w:r>
        <w:rPr>
          <w:spacing w:val="71"/>
          <w:sz w:val="20"/>
        </w:rPr>
        <w:t> </w:t>
      </w:r>
      <w:r>
        <w:rPr>
          <w:sz w:val="20"/>
        </w:rPr>
        <w:t>sesionar</w:t>
      </w:r>
      <w:r>
        <w:rPr>
          <w:spacing w:val="72"/>
          <w:sz w:val="20"/>
        </w:rPr>
        <w:t> </w:t>
      </w:r>
      <w:r>
        <w:rPr>
          <w:sz w:val="20"/>
        </w:rPr>
        <w:t>el</w:t>
      </w:r>
      <w:r>
        <w:rPr>
          <w:spacing w:val="71"/>
          <w:sz w:val="20"/>
        </w:rPr>
        <w:t> </w:t>
      </w:r>
      <w:r>
        <w:rPr>
          <w:sz w:val="20"/>
        </w:rPr>
        <w:t>Consejo</w:t>
      </w:r>
      <w:r>
        <w:rPr>
          <w:spacing w:val="71"/>
          <w:sz w:val="20"/>
        </w:rPr>
        <w:t> </w:t>
      </w:r>
      <w:r>
        <w:rPr>
          <w:sz w:val="20"/>
        </w:rPr>
        <w:t>de</w:t>
      </w:r>
      <w:r>
        <w:rPr>
          <w:spacing w:val="71"/>
          <w:sz w:val="20"/>
        </w:rPr>
        <w:t> </w:t>
      </w:r>
      <w:r>
        <w:rPr>
          <w:sz w:val="20"/>
        </w:rPr>
        <w:t>Representantes</w:t>
      </w:r>
      <w:r>
        <w:rPr>
          <w:spacing w:val="72"/>
          <w:sz w:val="20"/>
        </w:rPr>
        <w:t> </w:t>
      </w:r>
      <w:r>
        <w:rPr>
          <w:sz w:val="20"/>
        </w:rPr>
        <w:t>de</w:t>
      </w:r>
      <w:r>
        <w:rPr>
          <w:spacing w:val="71"/>
          <w:sz w:val="20"/>
        </w:rPr>
        <w:t> </w:t>
      </w:r>
      <w:r>
        <w:rPr>
          <w:sz w:val="20"/>
        </w:rPr>
        <w:t>la</w:t>
      </w:r>
      <w:r>
        <w:rPr>
          <w:spacing w:val="71"/>
          <w:sz w:val="20"/>
        </w:rPr>
        <w:t> </w:t>
      </w:r>
      <w:r>
        <w:rPr>
          <w:sz w:val="20"/>
        </w:rPr>
        <w:t>Comisión</w:t>
      </w:r>
      <w:r>
        <w:rPr>
          <w:spacing w:val="73"/>
          <w:sz w:val="20"/>
        </w:rPr>
        <w:t> </w:t>
      </w:r>
      <w:r>
        <w:rPr>
          <w:sz w:val="20"/>
        </w:rPr>
        <w:t>Nacional</w:t>
      </w:r>
      <w:r>
        <w:rPr>
          <w:spacing w:val="71"/>
          <w:sz w:val="20"/>
        </w:rPr>
        <w:t> </w:t>
      </w:r>
      <w:r>
        <w:rPr>
          <w:sz w:val="20"/>
        </w:rPr>
        <w:t>será necesario que ocurra el cincuenta y uno por ciento del total de sus miembros, por lo menos;</w:t>
      </w:r>
    </w:p>
    <w:p>
      <w:pPr>
        <w:spacing w:line="180"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ListParagraph"/>
        <w:numPr>
          <w:ilvl w:val="0"/>
          <w:numId w:val="248"/>
        </w:numPr>
        <w:tabs>
          <w:tab w:pos="1192" w:val="left" w:leader="none"/>
          <w:tab w:pos="1195" w:val="left" w:leader="none"/>
        </w:tabs>
        <w:spacing w:line="240" w:lineRule="auto" w:before="0" w:after="0"/>
        <w:ind w:left="1195" w:right="343" w:hanging="569"/>
        <w:jc w:val="both"/>
        <w:rPr>
          <w:sz w:val="20"/>
        </w:rPr>
      </w:pPr>
      <w:r>
        <w:rPr>
          <w:sz w:val="20"/>
        </w:rPr>
        <w:t>Si uno o más representantes de los trabajadores o de los patrones deja de concurrir a alguna sesión, se llamará a los suplentes, si éstos no concurren a la sesión para la que fueron llamados, el Presidente de la Comisión dará cuenta al Secretario del Trabajo y Previsión Social para que haga la designación de la persona o personas que deban integrar la Comisión en sustitución de los faltistas;</w:t>
      </w:r>
    </w:p>
    <w:p>
      <w:pPr>
        <w:pStyle w:val="ListParagraph"/>
        <w:numPr>
          <w:ilvl w:val="0"/>
          <w:numId w:val="248"/>
        </w:numPr>
        <w:tabs>
          <w:tab w:pos="1195" w:val="left" w:leader="none"/>
        </w:tabs>
        <w:spacing w:line="242" w:lineRule="auto" w:before="228" w:after="0"/>
        <w:ind w:left="1195" w:right="337" w:hanging="569"/>
        <w:jc w:val="left"/>
        <w:rPr>
          <w:sz w:val="20"/>
        </w:rPr>
      </w:pPr>
      <w:r>
        <w:rPr>
          <w:sz w:val="20"/>
        </w:rPr>
        <w:t>Las</w:t>
      </w:r>
      <w:r>
        <w:rPr>
          <w:spacing w:val="40"/>
          <w:sz w:val="20"/>
        </w:rPr>
        <w:t> </w:t>
      </w:r>
      <w:r>
        <w:rPr>
          <w:sz w:val="20"/>
        </w:rPr>
        <w:t>decisiones</w:t>
      </w:r>
      <w:r>
        <w:rPr>
          <w:spacing w:val="40"/>
          <w:sz w:val="20"/>
        </w:rPr>
        <w:t> </w:t>
      </w:r>
      <w:r>
        <w:rPr>
          <w:sz w:val="20"/>
        </w:rPr>
        <w:t>se</w:t>
      </w:r>
      <w:r>
        <w:rPr>
          <w:spacing w:val="40"/>
          <w:sz w:val="20"/>
        </w:rPr>
        <w:t> </w:t>
      </w:r>
      <w:r>
        <w:rPr>
          <w:sz w:val="20"/>
        </w:rPr>
        <w:t>tomarán</w:t>
      </w:r>
      <w:r>
        <w:rPr>
          <w:spacing w:val="40"/>
          <w:sz w:val="20"/>
        </w:rPr>
        <w:t> </w:t>
      </w:r>
      <w:r>
        <w:rPr>
          <w:sz w:val="20"/>
        </w:rPr>
        <w:t>por</w:t>
      </w:r>
      <w:r>
        <w:rPr>
          <w:spacing w:val="40"/>
          <w:sz w:val="20"/>
        </w:rPr>
        <w:t> </w:t>
      </w:r>
      <w:r>
        <w:rPr>
          <w:sz w:val="20"/>
        </w:rPr>
        <w:t>mayoría</w:t>
      </w:r>
      <w:r>
        <w:rPr>
          <w:spacing w:val="40"/>
          <w:sz w:val="20"/>
        </w:rPr>
        <w:t> </w:t>
      </w:r>
      <w:r>
        <w:rPr>
          <w:sz w:val="20"/>
        </w:rPr>
        <w:t>de</w:t>
      </w:r>
      <w:r>
        <w:rPr>
          <w:spacing w:val="40"/>
          <w:sz w:val="20"/>
        </w:rPr>
        <w:t> </w:t>
      </w:r>
      <w:r>
        <w:rPr>
          <w:sz w:val="20"/>
        </w:rPr>
        <w:t>votos</w:t>
      </w:r>
      <w:r>
        <w:rPr>
          <w:spacing w:val="40"/>
          <w:sz w:val="20"/>
        </w:rPr>
        <w:t> </w:t>
      </w:r>
      <w:r>
        <w:rPr>
          <w:sz w:val="20"/>
        </w:rPr>
        <w:t>de</w:t>
      </w:r>
      <w:r>
        <w:rPr>
          <w:spacing w:val="40"/>
          <w:sz w:val="20"/>
        </w:rPr>
        <w:t> </w:t>
      </w:r>
      <w:r>
        <w:rPr>
          <w:sz w:val="20"/>
        </w:rPr>
        <w:t>los</w:t>
      </w:r>
      <w:r>
        <w:rPr>
          <w:spacing w:val="40"/>
          <w:sz w:val="20"/>
        </w:rPr>
        <w:t> </w:t>
      </w:r>
      <w:r>
        <w:rPr>
          <w:sz w:val="20"/>
        </w:rPr>
        <w:t>miembros</w:t>
      </w:r>
      <w:r>
        <w:rPr>
          <w:spacing w:val="40"/>
          <w:sz w:val="20"/>
        </w:rPr>
        <w:t> </w:t>
      </w:r>
      <w:r>
        <w:rPr>
          <w:sz w:val="20"/>
        </w:rPr>
        <w:t>presentes.</w:t>
      </w:r>
      <w:r>
        <w:rPr>
          <w:spacing w:val="40"/>
          <w:sz w:val="20"/>
        </w:rPr>
        <w:t> </w:t>
      </w:r>
      <w:r>
        <w:rPr>
          <w:sz w:val="20"/>
        </w:rPr>
        <w:t>En</w:t>
      </w:r>
      <w:r>
        <w:rPr>
          <w:spacing w:val="40"/>
          <w:sz w:val="20"/>
        </w:rPr>
        <w:t> </w:t>
      </w:r>
      <w:r>
        <w:rPr>
          <w:sz w:val="20"/>
        </w:rPr>
        <w:t>caso</w:t>
      </w:r>
      <w:r>
        <w:rPr>
          <w:spacing w:val="40"/>
          <w:sz w:val="20"/>
        </w:rPr>
        <w:t> </w:t>
      </w:r>
      <w:r>
        <w:rPr>
          <w:sz w:val="20"/>
        </w:rPr>
        <w:t>de empate, los votos de los ausentes se sumaran al del Presidente de la Comisión; y</w:t>
      </w:r>
    </w:p>
    <w:p>
      <w:pPr>
        <w:pStyle w:val="ListParagraph"/>
        <w:numPr>
          <w:ilvl w:val="0"/>
          <w:numId w:val="248"/>
        </w:numPr>
        <w:tabs>
          <w:tab w:pos="1195" w:val="left" w:leader="none"/>
        </w:tabs>
        <w:spacing w:line="240" w:lineRule="auto" w:before="227" w:after="0"/>
        <w:ind w:left="1195" w:right="0" w:hanging="569"/>
        <w:jc w:val="left"/>
        <w:rPr>
          <w:sz w:val="20"/>
        </w:rPr>
      </w:pPr>
      <w:r>
        <w:rPr>
          <w:sz w:val="20"/>
        </w:rPr>
        <w:t>De</w:t>
      </w:r>
      <w:r>
        <w:rPr>
          <w:spacing w:val="-7"/>
          <w:sz w:val="20"/>
        </w:rPr>
        <w:t> </w:t>
      </w:r>
      <w:r>
        <w:rPr>
          <w:sz w:val="20"/>
        </w:rPr>
        <w:t>cada</w:t>
      </w:r>
      <w:r>
        <w:rPr>
          <w:spacing w:val="-5"/>
          <w:sz w:val="20"/>
        </w:rPr>
        <w:t> </w:t>
      </w:r>
      <w:r>
        <w:rPr>
          <w:sz w:val="20"/>
        </w:rPr>
        <w:t>sesión</w:t>
      </w:r>
      <w:r>
        <w:rPr>
          <w:spacing w:val="-4"/>
          <w:sz w:val="20"/>
        </w:rPr>
        <w:t> </w:t>
      </w:r>
      <w:r>
        <w:rPr>
          <w:sz w:val="20"/>
        </w:rPr>
        <w:t>se</w:t>
      </w:r>
      <w:r>
        <w:rPr>
          <w:spacing w:val="-7"/>
          <w:sz w:val="20"/>
        </w:rPr>
        <w:t> </w:t>
      </w:r>
      <w:r>
        <w:rPr>
          <w:sz w:val="20"/>
        </w:rPr>
        <w:t>levantará</w:t>
      </w:r>
      <w:r>
        <w:rPr>
          <w:spacing w:val="-6"/>
          <w:sz w:val="20"/>
        </w:rPr>
        <w:t> </w:t>
      </w:r>
      <w:r>
        <w:rPr>
          <w:sz w:val="20"/>
        </w:rPr>
        <w:t>un</w:t>
      </w:r>
      <w:r>
        <w:rPr>
          <w:spacing w:val="-6"/>
          <w:sz w:val="20"/>
        </w:rPr>
        <w:t> </w:t>
      </w:r>
      <w:r>
        <w:rPr>
          <w:sz w:val="20"/>
        </w:rPr>
        <w:t>acta,</w:t>
      </w:r>
      <w:r>
        <w:rPr>
          <w:spacing w:val="-5"/>
          <w:sz w:val="20"/>
        </w:rPr>
        <w:t> </w:t>
      </w:r>
      <w:r>
        <w:rPr>
          <w:sz w:val="20"/>
        </w:rPr>
        <w:t>donde</w:t>
      </w:r>
      <w:r>
        <w:rPr>
          <w:spacing w:val="-7"/>
          <w:sz w:val="20"/>
        </w:rPr>
        <w:t> </w:t>
      </w:r>
      <w:r>
        <w:rPr>
          <w:sz w:val="20"/>
        </w:rPr>
        <w:t>suscribirán</w:t>
      </w:r>
      <w:r>
        <w:rPr>
          <w:spacing w:val="-7"/>
          <w:sz w:val="20"/>
        </w:rPr>
        <w:t> </w:t>
      </w:r>
      <w:r>
        <w:rPr>
          <w:sz w:val="20"/>
        </w:rPr>
        <w:t>el</w:t>
      </w:r>
      <w:r>
        <w:rPr>
          <w:spacing w:val="-5"/>
          <w:sz w:val="20"/>
        </w:rPr>
        <w:t> </w:t>
      </w:r>
      <w:r>
        <w:rPr>
          <w:sz w:val="20"/>
        </w:rPr>
        <w:t>Presidente</w:t>
      </w:r>
      <w:r>
        <w:rPr>
          <w:spacing w:val="-3"/>
          <w:sz w:val="20"/>
        </w:rPr>
        <w:t> </w:t>
      </w:r>
      <w:r>
        <w:rPr>
          <w:sz w:val="20"/>
        </w:rPr>
        <w:t>y</w:t>
      </w:r>
      <w:r>
        <w:rPr>
          <w:spacing w:val="-9"/>
          <w:sz w:val="20"/>
        </w:rPr>
        <w:t> </w:t>
      </w:r>
      <w:r>
        <w:rPr>
          <w:sz w:val="20"/>
        </w:rPr>
        <w:t>el</w:t>
      </w:r>
      <w:r>
        <w:rPr>
          <w:spacing w:val="-6"/>
          <w:sz w:val="20"/>
        </w:rPr>
        <w:t> </w:t>
      </w:r>
      <w:r>
        <w:rPr>
          <w:spacing w:val="-2"/>
          <w:sz w:val="20"/>
        </w:rPr>
        <w:t>Secretario.</w:t>
      </w:r>
    </w:p>
    <w:p>
      <w:pPr>
        <w:pStyle w:val="Heading1"/>
        <w:spacing w:line="252" w:lineRule="exact" w:before="229"/>
      </w:pPr>
      <w:r>
        <w:rPr/>
        <w:t>CAPITULO</w:t>
      </w:r>
      <w:r>
        <w:rPr>
          <w:spacing w:val="-9"/>
        </w:rPr>
        <w:t> </w:t>
      </w:r>
      <w:r>
        <w:rPr>
          <w:spacing w:val="-7"/>
        </w:rPr>
        <w:t>IX</w:t>
      </w:r>
    </w:p>
    <w:p>
      <w:pPr>
        <w:pStyle w:val="Heading2"/>
        <w:ind w:left="295"/>
      </w:pPr>
      <w:r>
        <w:rPr/>
        <w:t>Comisión</w:t>
      </w:r>
      <w:r>
        <w:rPr>
          <w:spacing w:val="-4"/>
        </w:rPr>
        <w:t> </w:t>
      </w:r>
      <w:r>
        <w:rPr/>
        <w:t>nacional</w:t>
      </w:r>
      <w:r>
        <w:rPr>
          <w:spacing w:val="-3"/>
        </w:rPr>
        <w:t> </w:t>
      </w:r>
      <w:r>
        <w:rPr/>
        <w:t>para</w:t>
      </w:r>
      <w:r>
        <w:rPr>
          <w:spacing w:val="-2"/>
        </w:rPr>
        <w:t> </w:t>
      </w:r>
      <w:r>
        <w:rPr/>
        <w:t>la</w:t>
      </w:r>
      <w:r>
        <w:rPr>
          <w:spacing w:val="-4"/>
        </w:rPr>
        <w:t> </w:t>
      </w:r>
      <w:r>
        <w:rPr/>
        <w:t>participación</w:t>
      </w:r>
      <w:r>
        <w:rPr>
          <w:spacing w:val="-4"/>
        </w:rPr>
        <w:t> </w:t>
      </w:r>
      <w:r>
        <w:rPr/>
        <w:t>de</w:t>
      </w:r>
      <w:r>
        <w:rPr>
          <w:spacing w:val="-4"/>
        </w:rPr>
        <w:t> </w:t>
      </w:r>
      <w:r>
        <w:rPr/>
        <w:t>los</w:t>
      </w:r>
      <w:r>
        <w:rPr>
          <w:spacing w:val="-2"/>
        </w:rPr>
        <w:t> </w:t>
      </w:r>
      <w:r>
        <w:rPr/>
        <w:t>trabajadores</w:t>
      </w:r>
      <w:r>
        <w:rPr>
          <w:spacing w:val="-4"/>
        </w:rPr>
        <w:t> </w:t>
      </w:r>
      <w:r>
        <w:rPr/>
        <w:t>en</w:t>
      </w:r>
      <w:r>
        <w:rPr>
          <w:spacing w:val="-4"/>
        </w:rPr>
        <w:t> </w:t>
      </w:r>
      <w:r>
        <w:rPr/>
        <w:t>las</w:t>
      </w:r>
      <w:r>
        <w:rPr>
          <w:spacing w:val="-2"/>
        </w:rPr>
        <w:t> </w:t>
      </w:r>
      <w:r>
        <w:rPr/>
        <w:t>utilidades</w:t>
      </w:r>
      <w:r>
        <w:rPr>
          <w:spacing w:val="-4"/>
        </w:rPr>
        <w:t> </w:t>
      </w:r>
      <w:r>
        <w:rPr/>
        <w:t>de</w:t>
      </w:r>
      <w:r>
        <w:rPr>
          <w:spacing w:val="-4"/>
        </w:rPr>
        <w:t> </w:t>
      </w:r>
      <w:r>
        <w:rPr/>
        <w:t>las </w:t>
      </w:r>
      <w:r>
        <w:rPr>
          <w:spacing w:val="-2"/>
        </w:rPr>
        <w:t>empresas</w:t>
      </w:r>
    </w:p>
    <w:p>
      <w:pPr>
        <w:pStyle w:val="BodyText"/>
        <w:spacing w:before="232"/>
        <w:ind w:left="338" w:right="338" w:firstLine="288"/>
        <w:jc w:val="both"/>
      </w:pPr>
      <w:bookmarkStart w:name="Artículo_575" w:id="726"/>
      <w:bookmarkEnd w:id="726"/>
      <w:r>
        <w:rPr/>
      </w:r>
      <w:r>
        <w:rPr>
          <w:rFonts w:ascii="Arial" w:hAnsi="Arial"/>
          <w:b/>
        </w:rPr>
        <w:t>Artículo 575.- </w:t>
      </w:r>
      <w:r>
        <w:rPr/>
        <w:t>La Comisión Nacional</w:t>
      </w:r>
      <w:r>
        <w:rPr>
          <w:spacing w:val="-3"/>
        </w:rPr>
        <w:t> </w:t>
      </w:r>
      <w:r>
        <w:rPr/>
        <w:t>para la Participación de los</w:t>
      </w:r>
      <w:r>
        <w:rPr>
          <w:spacing w:val="-1"/>
        </w:rPr>
        <w:t> </w:t>
      </w:r>
      <w:r>
        <w:rPr/>
        <w:t>Trabajadores en las</w:t>
      </w:r>
      <w:r>
        <w:rPr>
          <w:spacing w:val="-1"/>
        </w:rPr>
        <w:t> </w:t>
      </w:r>
      <w:r>
        <w:rPr/>
        <w:t>Utilidades de las Empresas se integrará y funcionará para determinar el porcentaje correspondiente y para proceder a su revisión, de conformidad con lo dispuesto en este capítulo.</w:t>
      </w:r>
    </w:p>
    <w:p>
      <w:pPr>
        <w:pStyle w:val="BodyText"/>
      </w:pPr>
    </w:p>
    <w:p>
      <w:pPr>
        <w:pStyle w:val="BodyText"/>
        <w:spacing w:line="242" w:lineRule="auto"/>
        <w:ind w:left="338" w:right="345" w:firstLine="288"/>
        <w:jc w:val="both"/>
      </w:pPr>
      <w:bookmarkStart w:name="Artículo_576" w:id="727"/>
      <w:bookmarkEnd w:id="727"/>
      <w:r>
        <w:rPr/>
      </w:r>
      <w:r>
        <w:rPr>
          <w:rFonts w:ascii="Arial" w:hAnsi="Arial"/>
          <w:b/>
        </w:rPr>
        <w:t>Artículo 576.- </w:t>
      </w:r>
      <w:r>
        <w:rPr/>
        <w:t>La Comisión funcionará con un Presidente, un Consejo de Representantes y una Dirección Técnica.</w:t>
      </w:r>
    </w:p>
    <w:p>
      <w:pPr>
        <w:pStyle w:val="BodyText"/>
        <w:spacing w:line="242" w:lineRule="auto" w:before="224"/>
        <w:ind w:left="338" w:right="337" w:firstLine="288"/>
        <w:jc w:val="both"/>
      </w:pPr>
      <w:bookmarkStart w:name="Artículo_577" w:id="728"/>
      <w:bookmarkEnd w:id="728"/>
      <w:r>
        <w:rPr/>
      </w:r>
      <w:r>
        <w:rPr>
          <w:rFonts w:ascii="Arial" w:hAnsi="Arial"/>
          <w:b/>
        </w:rPr>
        <w:t>Artículo 577.- </w:t>
      </w:r>
      <w:r>
        <w:rPr/>
        <w:t>El Presidente de la Comisión será nombrado por el Presidente de la República y</w:t>
      </w:r>
      <w:r>
        <w:rPr>
          <w:spacing w:val="40"/>
        </w:rPr>
        <w:t> </w:t>
      </w:r>
      <w:r>
        <w:rPr/>
        <w:t>deberá satisfacer los requisitos señalados en el artículo 552.</w:t>
      </w:r>
    </w:p>
    <w:p>
      <w:pPr>
        <w:pStyle w:val="BodyText"/>
        <w:spacing w:before="227"/>
        <w:ind w:left="626"/>
      </w:pPr>
      <w:bookmarkStart w:name="Artículo_578" w:id="729"/>
      <w:bookmarkEnd w:id="729"/>
      <w:r>
        <w:rPr/>
      </w:r>
      <w:r>
        <w:rPr>
          <w:rFonts w:ascii="Arial" w:hAnsi="Arial"/>
          <w:b/>
        </w:rPr>
        <w:t>Artículo</w:t>
      </w:r>
      <w:r>
        <w:rPr>
          <w:rFonts w:ascii="Arial" w:hAnsi="Arial"/>
          <w:b/>
          <w:spacing w:val="-7"/>
        </w:rPr>
        <w:t> </w:t>
      </w:r>
      <w:r>
        <w:rPr>
          <w:rFonts w:ascii="Arial" w:hAnsi="Arial"/>
          <w:b/>
        </w:rPr>
        <w:t>578.-</w:t>
      </w:r>
      <w:r>
        <w:rPr>
          <w:rFonts w:ascii="Arial" w:hAnsi="Arial"/>
          <w:b/>
          <w:spacing w:val="-4"/>
        </w:rPr>
        <w:t> </w:t>
      </w:r>
      <w:r>
        <w:rPr/>
        <w:t>El</w:t>
      </w:r>
      <w:r>
        <w:rPr>
          <w:spacing w:val="-6"/>
        </w:rPr>
        <w:t> </w:t>
      </w:r>
      <w:r>
        <w:rPr/>
        <w:t>Presidente</w:t>
      </w:r>
      <w:r>
        <w:rPr>
          <w:spacing w:val="-8"/>
        </w:rPr>
        <w:t> </w:t>
      </w:r>
      <w:r>
        <w:rPr/>
        <w:t>de</w:t>
      </w:r>
      <w:r>
        <w:rPr>
          <w:spacing w:val="-5"/>
        </w:rPr>
        <w:t> </w:t>
      </w:r>
      <w:r>
        <w:rPr/>
        <w:t>la</w:t>
      </w:r>
      <w:r>
        <w:rPr>
          <w:spacing w:val="-5"/>
        </w:rPr>
        <w:t> </w:t>
      </w:r>
      <w:r>
        <w:rPr/>
        <w:t>Comisión</w:t>
      </w:r>
      <w:r>
        <w:rPr>
          <w:spacing w:val="-8"/>
        </w:rPr>
        <w:t> </w:t>
      </w:r>
      <w:r>
        <w:rPr/>
        <w:t>tiene</w:t>
      </w:r>
      <w:r>
        <w:rPr>
          <w:spacing w:val="-7"/>
        </w:rPr>
        <w:t> </w:t>
      </w:r>
      <w:r>
        <w:rPr/>
        <w:t>los</w:t>
      </w:r>
      <w:r>
        <w:rPr>
          <w:spacing w:val="-7"/>
        </w:rPr>
        <w:t> </w:t>
      </w:r>
      <w:r>
        <w:rPr/>
        <w:t>deberes</w:t>
      </w:r>
      <w:r>
        <w:rPr>
          <w:spacing w:val="-4"/>
        </w:rPr>
        <w:t> </w:t>
      </w:r>
      <w:r>
        <w:rPr/>
        <w:t>y</w:t>
      </w:r>
      <w:r>
        <w:rPr>
          <w:spacing w:val="-10"/>
        </w:rPr>
        <w:t> </w:t>
      </w:r>
      <w:r>
        <w:rPr/>
        <w:t>atribuciones</w:t>
      </w:r>
      <w:r>
        <w:rPr>
          <w:spacing w:val="-6"/>
        </w:rPr>
        <w:t> </w:t>
      </w:r>
      <w:r>
        <w:rPr>
          <w:spacing w:val="-2"/>
        </w:rPr>
        <w:t>siguientes:</w:t>
      </w:r>
    </w:p>
    <w:p>
      <w:pPr>
        <w:pStyle w:val="BodyText"/>
      </w:pPr>
    </w:p>
    <w:p>
      <w:pPr>
        <w:pStyle w:val="ListParagraph"/>
        <w:numPr>
          <w:ilvl w:val="0"/>
          <w:numId w:val="249"/>
        </w:numPr>
        <w:tabs>
          <w:tab w:pos="1193" w:val="left" w:leader="none"/>
          <w:tab w:pos="1195" w:val="left" w:leader="none"/>
        </w:tabs>
        <w:spacing w:line="240" w:lineRule="auto" w:before="1" w:after="0"/>
        <w:ind w:left="1195" w:right="339" w:hanging="569"/>
        <w:jc w:val="both"/>
        <w:rPr>
          <w:sz w:val="20"/>
        </w:rPr>
      </w:pPr>
      <w:r>
        <w:rPr>
          <w:sz w:val="20"/>
        </w:rPr>
        <w:t>Someter al Consejo de Representantes el plan de trabajo de la Dirección Técnica, que debe comprender todos los estudios e investigaciones necesarias y apropiados para conocer las condiciones generales de la economía nacional;</w:t>
      </w:r>
    </w:p>
    <w:p>
      <w:pPr>
        <w:pStyle w:val="ListParagraph"/>
        <w:numPr>
          <w:ilvl w:val="0"/>
          <w:numId w:val="249"/>
        </w:numPr>
        <w:tabs>
          <w:tab w:pos="1195" w:val="left" w:leader="none"/>
        </w:tabs>
        <w:spacing w:line="242" w:lineRule="auto" w:before="229" w:after="0"/>
        <w:ind w:left="1195" w:right="345" w:hanging="569"/>
        <w:jc w:val="left"/>
        <w:rPr>
          <w:sz w:val="20"/>
        </w:rPr>
      </w:pPr>
      <w:r>
        <w:rPr>
          <w:sz w:val="20"/>
        </w:rPr>
        <w:t>Reunirse</w:t>
      </w:r>
      <w:r>
        <w:rPr>
          <w:spacing w:val="40"/>
          <w:sz w:val="20"/>
        </w:rPr>
        <w:t> </w:t>
      </w:r>
      <w:r>
        <w:rPr>
          <w:sz w:val="20"/>
        </w:rPr>
        <w:t>con</w:t>
      </w:r>
      <w:r>
        <w:rPr>
          <w:spacing w:val="40"/>
          <w:sz w:val="20"/>
        </w:rPr>
        <w:t> </w:t>
      </w:r>
      <w:r>
        <w:rPr>
          <w:sz w:val="20"/>
        </w:rPr>
        <w:t>el</w:t>
      </w:r>
      <w:r>
        <w:rPr>
          <w:spacing w:val="40"/>
          <w:sz w:val="20"/>
        </w:rPr>
        <w:t> </w:t>
      </w:r>
      <w:r>
        <w:rPr>
          <w:sz w:val="20"/>
        </w:rPr>
        <w:t>Director</w:t>
      </w:r>
      <w:r>
        <w:rPr>
          <w:spacing w:val="40"/>
          <w:sz w:val="20"/>
        </w:rPr>
        <w:t> </w:t>
      </w:r>
      <w:r>
        <w:rPr>
          <w:sz w:val="20"/>
        </w:rPr>
        <w:t>y</w:t>
      </w:r>
      <w:r>
        <w:rPr>
          <w:spacing w:val="40"/>
          <w:sz w:val="20"/>
        </w:rPr>
        <w:t> </w:t>
      </w:r>
      <w:r>
        <w:rPr>
          <w:sz w:val="20"/>
        </w:rPr>
        <w:t>Asesores</w:t>
      </w:r>
      <w:r>
        <w:rPr>
          <w:spacing w:val="40"/>
          <w:sz w:val="20"/>
        </w:rPr>
        <w:t> </w:t>
      </w:r>
      <w:r>
        <w:rPr>
          <w:sz w:val="20"/>
        </w:rPr>
        <w:t>Técnicos,</w:t>
      </w:r>
      <w:r>
        <w:rPr>
          <w:spacing w:val="40"/>
          <w:sz w:val="20"/>
        </w:rPr>
        <w:t> </w:t>
      </w:r>
      <w:r>
        <w:rPr>
          <w:sz w:val="20"/>
        </w:rPr>
        <w:t>una</w:t>
      </w:r>
      <w:r>
        <w:rPr>
          <w:spacing w:val="40"/>
          <w:sz w:val="20"/>
        </w:rPr>
        <w:t> </w:t>
      </w:r>
      <w:r>
        <w:rPr>
          <w:sz w:val="20"/>
        </w:rPr>
        <w:t>vez</w:t>
      </w:r>
      <w:r>
        <w:rPr>
          <w:spacing w:val="40"/>
          <w:sz w:val="20"/>
        </w:rPr>
        <w:t> </w:t>
      </w:r>
      <w:r>
        <w:rPr>
          <w:sz w:val="20"/>
        </w:rPr>
        <w:t>al</w:t>
      </w:r>
      <w:r>
        <w:rPr>
          <w:spacing w:val="40"/>
          <w:sz w:val="20"/>
        </w:rPr>
        <w:t> </w:t>
      </w:r>
      <w:r>
        <w:rPr>
          <w:sz w:val="20"/>
        </w:rPr>
        <w:t>mes,</w:t>
      </w:r>
      <w:r>
        <w:rPr>
          <w:spacing w:val="40"/>
          <w:sz w:val="20"/>
        </w:rPr>
        <w:t> </w:t>
      </w:r>
      <w:r>
        <w:rPr>
          <w:sz w:val="20"/>
        </w:rPr>
        <w:t>por</w:t>
      </w:r>
      <w:r>
        <w:rPr>
          <w:spacing w:val="40"/>
          <w:sz w:val="20"/>
        </w:rPr>
        <w:t> </w:t>
      </w:r>
      <w:r>
        <w:rPr>
          <w:sz w:val="20"/>
        </w:rPr>
        <w:t>lo</w:t>
      </w:r>
      <w:r>
        <w:rPr>
          <w:spacing w:val="40"/>
          <w:sz w:val="20"/>
        </w:rPr>
        <w:t> </w:t>
      </w:r>
      <w:r>
        <w:rPr>
          <w:sz w:val="20"/>
        </w:rPr>
        <w:t>menos,</w:t>
      </w:r>
      <w:r>
        <w:rPr>
          <w:spacing w:val="40"/>
          <w:sz w:val="20"/>
        </w:rPr>
        <w:t> </w:t>
      </w:r>
      <w:r>
        <w:rPr>
          <w:sz w:val="20"/>
        </w:rPr>
        <w:t>y</w:t>
      </w:r>
      <w:r>
        <w:rPr>
          <w:spacing w:val="40"/>
          <w:sz w:val="20"/>
        </w:rPr>
        <w:t> </w:t>
      </w:r>
      <w:r>
        <w:rPr>
          <w:sz w:val="20"/>
        </w:rPr>
        <w:t>vigilar</w:t>
      </w:r>
      <w:r>
        <w:rPr>
          <w:spacing w:val="40"/>
          <w:sz w:val="20"/>
        </w:rPr>
        <w:t> </w:t>
      </w:r>
      <w:r>
        <w:rPr>
          <w:sz w:val="20"/>
        </w:rPr>
        <w:t>el desarrollo del plan de trabajo;</w:t>
      </w:r>
    </w:p>
    <w:p>
      <w:pPr>
        <w:pStyle w:val="ListParagraph"/>
        <w:numPr>
          <w:ilvl w:val="0"/>
          <w:numId w:val="249"/>
        </w:numPr>
        <w:tabs>
          <w:tab w:pos="1195" w:val="left" w:leader="none"/>
        </w:tabs>
        <w:spacing w:line="242" w:lineRule="auto" w:before="225" w:after="0"/>
        <w:ind w:left="1195" w:right="344" w:hanging="569"/>
        <w:jc w:val="left"/>
        <w:rPr>
          <w:sz w:val="20"/>
        </w:rPr>
      </w:pPr>
      <w:r>
        <w:rPr>
          <w:sz w:val="20"/>
        </w:rPr>
        <w:t>Informar</w:t>
      </w:r>
      <w:r>
        <w:rPr>
          <w:spacing w:val="25"/>
          <w:sz w:val="20"/>
        </w:rPr>
        <w:t> </w:t>
      </w:r>
      <w:r>
        <w:rPr>
          <w:sz w:val="20"/>
        </w:rPr>
        <w:t>periódicamente</w:t>
      </w:r>
      <w:r>
        <w:rPr>
          <w:spacing w:val="24"/>
          <w:sz w:val="20"/>
        </w:rPr>
        <w:t> </w:t>
      </w:r>
      <w:r>
        <w:rPr>
          <w:sz w:val="20"/>
        </w:rPr>
        <w:t>al</w:t>
      </w:r>
      <w:r>
        <w:rPr>
          <w:spacing w:val="25"/>
          <w:sz w:val="20"/>
        </w:rPr>
        <w:t> </w:t>
      </w:r>
      <w:r>
        <w:rPr>
          <w:sz w:val="20"/>
        </w:rPr>
        <w:t>Secretario</w:t>
      </w:r>
      <w:r>
        <w:rPr>
          <w:spacing w:val="26"/>
          <w:sz w:val="20"/>
        </w:rPr>
        <w:t> </w:t>
      </w:r>
      <w:r>
        <w:rPr>
          <w:sz w:val="20"/>
        </w:rPr>
        <w:t>del</w:t>
      </w:r>
      <w:r>
        <w:rPr>
          <w:spacing w:val="24"/>
          <w:sz w:val="20"/>
        </w:rPr>
        <w:t> </w:t>
      </w:r>
      <w:r>
        <w:rPr>
          <w:sz w:val="20"/>
        </w:rPr>
        <w:t>Trabajo</w:t>
      </w:r>
      <w:r>
        <w:rPr>
          <w:spacing w:val="26"/>
          <w:sz w:val="20"/>
        </w:rPr>
        <w:t> </w:t>
      </w:r>
      <w:r>
        <w:rPr>
          <w:sz w:val="20"/>
        </w:rPr>
        <w:t>y</w:t>
      </w:r>
      <w:r>
        <w:rPr>
          <w:spacing w:val="25"/>
          <w:sz w:val="20"/>
        </w:rPr>
        <w:t> </w:t>
      </w:r>
      <w:r>
        <w:rPr>
          <w:sz w:val="20"/>
        </w:rPr>
        <w:t>Previsión</w:t>
      </w:r>
      <w:r>
        <w:rPr>
          <w:spacing w:val="26"/>
          <w:sz w:val="20"/>
        </w:rPr>
        <w:t> </w:t>
      </w:r>
      <w:r>
        <w:rPr>
          <w:sz w:val="20"/>
        </w:rPr>
        <w:t>Social</w:t>
      </w:r>
      <w:r>
        <w:rPr>
          <w:spacing w:val="26"/>
          <w:sz w:val="20"/>
        </w:rPr>
        <w:t> </w:t>
      </w:r>
      <w:r>
        <w:rPr>
          <w:sz w:val="20"/>
        </w:rPr>
        <w:t>de</w:t>
      </w:r>
      <w:r>
        <w:rPr>
          <w:spacing w:val="26"/>
          <w:sz w:val="20"/>
        </w:rPr>
        <w:t> </w:t>
      </w:r>
      <w:r>
        <w:rPr>
          <w:sz w:val="20"/>
        </w:rPr>
        <w:t>las</w:t>
      </w:r>
      <w:r>
        <w:rPr>
          <w:spacing w:val="25"/>
          <w:sz w:val="20"/>
        </w:rPr>
        <w:t> </w:t>
      </w:r>
      <w:r>
        <w:rPr>
          <w:sz w:val="20"/>
        </w:rPr>
        <w:t>actividades</w:t>
      </w:r>
      <w:r>
        <w:rPr>
          <w:spacing w:val="25"/>
          <w:sz w:val="20"/>
        </w:rPr>
        <w:t> </w:t>
      </w:r>
      <w:r>
        <w:rPr>
          <w:sz w:val="20"/>
        </w:rPr>
        <w:t>de</w:t>
      </w:r>
      <w:r>
        <w:rPr>
          <w:spacing w:val="24"/>
          <w:sz w:val="20"/>
        </w:rPr>
        <w:t> </w:t>
      </w:r>
      <w:r>
        <w:rPr>
          <w:sz w:val="20"/>
        </w:rPr>
        <w:t>la </w:t>
      </w:r>
      <w:r>
        <w:rPr>
          <w:spacing w:val="-2"/>
          <w:sz w:val="20"/>
        </w:rPr>
        <w:t>Comisión;</w:t>
      </w:r>
    </w:p>
    <w:p>
      <w:pPr>
        <w:pStyle w:val="ListParagraph"/>
        <w:numPr>
          <w:ilvl w:val="0"/>
          <w:numId w:val="249"/>
        </w:numPr>
        <w:tabs>
          <w:tab w:pos="1195" w:val="left" w:leader="none"/>
        </w:tabs>
        <w:spacing w:line="240" w:lineRule="auto" w:before="226" w:after="0"/>
        <w:ind w:left="1195" w:right="0" w:hanging="569"/>
        <w:jc w:val="left"/>
        <w:rPr>
          <w:sz w:val="20"/>
        </w:rPr>
      </w:pPr>
      <w:r>
        <w:rPr>
          <w:sz w:val="20"/>
        </w:rPr>
        <w:t>Citar</w:t>
      </w:r>
      <w:r>
        <w:rPr>
          <w:spacing w:val="-4"/>
          <w:sz w:val="20"/>
        </w:rPr>
        <w:t> </w:t>
      </w:r>
      <w:r>
        <w:rPr>
          <w:sz w:val="20"/>
        </w:rPr>
        <w:t>y</w:t>
      </w:r>
      <w:r>
        <w:rPr>
          <w:spacing w:val="-10"/>
          <w:sz w:val="20"/>
        </w:rPr>
        <w:t> </w:t>
      </w:r>
      <w:r>
        <w:rPr>
          <w:sz w:val="20"/>
        </w:rPr>
        <w:t>presidir</w:t>
      </w:r>
      <w:r>
        <w:rPr>
          <w:spacing w:val="-5"/>
          <w:sz w:val="20"/>
        </w:rPr>
        <w:t> </w:t>
      </w:r>
      <w:r>
        <w:rPr>
          <w:sz w:val="20"/>
        </w:rPr>
        <w:t>las</w:t>
      </w:r>
      <w:r>
        <w:rPr>
          <w:spacing w:val="-7"/>
          <w:sz w:val="20"/>
        </w:rPr>
        <w:t> </w:t>
      </w:r>
      <w:r>
        <w:rPr>
          <w:sz w:val="20"/>
        </w:rPr>
        <w:t>sesiones</w:t>
      </w:r>
      <w:r>
        <w:rPr>
          <w:spacing w:val="-5"/>
          <w:sz w:val="20"/>
        </w:rPr>
        <w:t> </w:t>
      </w:r>
      <w:r>
        <w:rPr>
          <w:sz w:val="20"/>
        </w:rPr>
        <w:t>del</w:t>
      </w:r>
      <w:r>
        <w:rPr>
          <w:spacing w:val="-7"/>
          <w:sz w:val="20"/>
        </w:rPr>
        <w:t> </w:t>
      </w:r>
      <w:r>
        <w:rPr>
          <w:sz w:val="20"/>
        </w:rPr>
        <w:t>Consejo</w:t>
      </w:r>
      <w:r>
        <w:rPr>
          <w:spacing w:val="-6"/>
          <w:sz w:val="20"/>
        </w:rPr>
        <w:t> </w:t>
      </w:r>
      <w:r>
        <w:rPr>
          <w:sz w:val="20"/>
        </w:rPr>
        <w:t>de</w:t>
      </w:r>
      <w:r>
        <w:rPr>
          <w:spacing w:val="-8"/>
          <w:sz w:val="20"/>
        </w:rPr>
        <w:t> </w:t>
      </w:r>
      <w:r>
        <w:rPr>
          <w:sz w:val="20"/>
        </w:rPr>
        <w:t>Representantes;</w:t>
      </w:r>
      <w:r>
        <w:rPr>
          <w:spacing w:val="-4"/>
          <w:sz w:val="20"/>
        </w:rPr>
        <w:t> </w:t>
      </w:r>
      <w:r>
        <w:rPr>
          <w:spacing w:val="-10"/>
          <w:sz w:val="20"/>
        </w:rPr>
        <w:t>y</w:t>
      </w:r>
    </w:p>
    <w:p>
      <w:pPr>
        <w:pStyle w:val="ListParagraph"/>
        <w:numPr>
          <w:ilvl w:val="0"/>
          <w:numId w:val="249"/>
        </w:numPr>
        <w:tabs>
          <w:tab w:pos="1195" w:val="left" w:leader="none"/>
        </w:tabs>
        <w:spacing w:line="240" w:lineRule="auto" w:before="229" w:after="0"/>
        <w:ind w:left="1195" w:right="0" w:hanging="569"/>
        <w:jc w:val="left"/>
        <w:rPr>
          <w:sz w:val="20"/>
        </w:rPr>
      </w:pPr>
      <w:r>
        <w:rPr>
          <w:sz w:val="20"/>
        </w:rPr>
        <w:t>Los</w:t>
      </w:r>
      <w:r>
        <w:rPr>
          <w:spacing w:val="-5"/>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confieran</w:t>
      </w:r>
      <w:r>
        <w:rPr>
          <w:spacing w:val="-6"/>
          <w:sz w:val="20"/>
        </w:rPr>
        <w:t> </w:t>
      </w:r>
      <w:r>
        <w:rPr>
          <w:sz w:val="20"/>
        </w:rPr>
        <w:t>las</w:t>
      </w:r>
      <w:r>
        <w:rPr>
          <w:spacing w:val="-3"/>
          <w:sz w:val="20"/>
        </w:rPr>
        <w:t> </w:t>
      </w:r>
      <w:r>
        <w:rPr>
          <w:spacing w:val="-2"/>
          <w:sz w:val="20"/>
        </w:rPr>
        <w:t>leyes.</w:t>
      </w:r>
    </w:p>
    <w:p>
      <w:pPr>
        <w:pStyle w:val="BodyText"/>
      </w:pPr>
    </w:p>
    <w:p>
      <w:pPr>
        <w:spacing w:before="1"/>
        <w:ind w:left="626" w:right="0" w:firstLine="0"/>
        <w:jc w:val="left"/>
        <w:rPr>
          <w:sz w:val="20"/>
        </w:rPr>
      </w:pPr>
      <w:bookmarkStart w:name="Artículo_579" w:id="730"/>
      <w:bookmarkEnd w:id="730"/>
      <w:r>
        <w:rPr/>
      </w:r>
      <w:r>
        <w:rPr>
          <w:rFonts w:ascii="Arial" w:hAnsi="Arial"/>
          <w:b/>
          <w:sz w:val="20"/>
        </w:rPr>
        <w:t>Artículo</w:t>
      </w:r>
      <w:r>
        <w:rPr>
          <w:rFonts w:ascii="Arial" w:hAnsi="Arial"/>
          <w:b/>
          <w:spacing w:val="-7"/>
          <w:sz w:val="20"/>
        </w:rPr>
        <w:t> </w:t>
      </w:r>
      <w:r>
        <w:rPr>
          <w:rFonts w:ascii="Arial" w:hAnsi="Arial"/>
          <w:b/>
          <w:sz w:val="20"/>
        </w:rPr>
        <w:t>579.-</w:t>
      </w:r>
      <w:r>
        <w:rPr>
          <w:rFonts w:ascii="Arial" w:hAnsi="Arial"/>
          <w:b/>
          <w:spacing w:val="-4"/>
          <w:sz w:val="20"/>
        </w:rPr>
        <w:t> </w:t>
      </w:r>
      <w:r>
        <w:rPr>
          <w:sz w:val="20"/>
        </w:rPr>
        <w:t>El</w:t>
      </w:r>
      <w:r>
        <w:rPr>
          <w:spacing w:val="-6"/>
          <w:sz w:val="20"/>
        </w:rPr>
        <w:t> </w:t>
      </w:r>
      <w:r>
        <w:rPr>
          <w:sz w:val="20"/>
        </w:rPr>
        <w:t>Consejo</w:t>
      </w:r>
      <w:r>
        <w:rPr>
          <w:spacing w:val="-6"/>
          <w:sz w:val="20"/>
        </w:rPr>
        <w:t> </w:t>
      </w:r>
      <w:r>
        <w:rPr>
          <w:sz w:val="20"/>
        </w:rPr>
        <w:t>de</w:t>
      </w:r>
      <w:r>
        <w:rPr>
          <w:spacing w:val="-8"/>
          <w:sz w:val="20"/>
        </w:rPr>
        <w:t> </w:t>
      </w:r>
      <w:r>
        <w:rPr>
          <w:sz w:val="20"/>
        </w:rPr>
        <w:t>Representantes</w:t>
      </w:r>
      <w:r>
        <w:rPr>
          <w:spacing w:val="-6"/>
          <w:sz w:val="20"/>
        </w:rPr>
        <w:t> </w:t>
      </w:r>
      <w:r>
        <w:rPr>
          <w:sz w:val="20"/>
        </w:rPr>
        <w:t>se</w:t>
      </w:r>
      <w:r>
        <w:rPr>
          <w:spacing w:val="-7"/>
          <w:sz w:val="20"/>
        </w:rPr>
        <w:t> </w:t>
      </w:r>
      <w:r>
        <w:rPr>
          <w:spacing w:val="-2"/>
          <w:sz w:val="20"/>
        </w:rPr>
        <w:t>integrará:</w:t>
      </w:r>
    </w:p>
    <w:p>
      <w:pPr>
        <w:spacing w:after="0"/>
        <w:jc w:val="left"/>
        <w:rPr>
          <w:sz w:val="20"/>
        </w:rPr>
        <w:sectPr>
          <w:pgSz w:w="12240" w:h="15840"/>
          <w:pgMar w:header="724" w:footer="712" w:top="1880" w:bottom="900" w:left="1080" w:right="1080"/>
        </w:sectPr>
      </w:pPr>
    </w:p>
    <w:p>
      <w:pPr>
        <w:pStyle w:val="BodyText"/>
        <w:spacing w:before="63"/>
      </w:pPr>
    </w:p>
    <w:p>
      <w:pPr>
        <w:pStyle w:val="ListParagraph"/>
        <w:numPr>
          <w:ilvl w:val="0"/>
          <w:numId w:val="250"/>
        </w:numPr>
        <w:tabs>
          <w:tab w:pos="1193" w:val="left" w:leader="none"/>
          <w:tab w:pos="1195" w:val="left" w:leader="none"/>
        </w:tabs>
        <w:spacing w:line="242" w:lineRule="auto" w:before="0" w:after="0"/>
        <w:ind w:left="1195" w:right="339" w:hanging="569"/>
        <w:jc w:val="both"/>
        <w:rPr>
          <w:sz w:val="20"/>
        </w:rPr>
      </w:pPr>
      <w:r>
        <w:rPr>
          <w:sz w:val="20"/>
        </w:rPr>
        <w:t>Con la representación del gobierno, compuesta del Presidente de la Comisión, que será</w:t>
      </w:r>
      <w:r>
        <w:rPr>
          <w:spacing w:val="40"/>
          <w:sz w:val="20"/>
        </w:rPr>
        <w:t> </w:t>
      </w:r>
      <w:r>
        <w:rPr>
          <w:sz w:val="20"/>
        </w:rPr>
        <w:t>también el Presidente del Consejo y que tendrá el voto del gobierno, y de dos asesores, con</w:t>
      </w:r>
      <w:r>
        <w:rPr>
          <w:spacing w:val="40"/>
          <w:sz w:val="20"/>
        </w:rPr>
        <w:t> </w:t>
      </w:r>
      <w:r>
        <w:rPr>
          <w:sz w:val="20"/>
        </w:rPr>
        <w:t>voz informativa, designados por el Secretario del Trabajo y Previsión Social; y</w:t>
      </w:r>
    </w:p>
    <w:p>
      <w:pPr>
        <w:pStyle w:val="ListParagraph"/>
        <w:numPr>
          <w:ilvl w:val="0"/>
          <w:numId w:val="250"/>
        </w:numPr>
        <w:tabs>
          <w:tab w:pos="1192" w:val="left" w:leader="none"/>
          <w:tab w:pos="1195" w:val="left" w:leader="none"/>
        </w:tabs>
        <w:spacing w:line="240" w:lineRule="auto" w:before="225" w:after="0"/>
        <w:ind w:left="1195" w:right="340" w:hanging="569"/>
        <w:jc w:val="both"/>
        <w:rPr>
          <w:sz w:val="20"/>
        </w:rPr>
      </w:pPr>
      <w:r>
        <w:rPr>
          <w:sz w:val="20"/>
        </w:rPr>
        <w:t>Con un número igual, no menor de dos ni mayor de cinco, de representantes propietarios y suplentes de los trabajadores sindicalizados y de los patrones, designados de conformidad con la convocatoria que al efecto expida la Secretaría del Trabajo y Previsión Social. Si los trabajadores y los patrones no hacen la designación de representantes, la misma Secretaría hará las designaciones correspondientes, que deberán recaer en trabajadores o patrones.</w:t>
      </w:r>
    </w:p>
    <w:p>
      <w:pPr>
        <w:pStyle w:val="BodyText"/>
      </w:pPr>
    </w:p>
    <w:p>
      <w:pPr>
        <w:pStyle w:val="BodyText"/>
        <w:spacing w:line="242" w:lineRule="auto"/>
        <w:ind w:left="338" w:firstLine="288"/>
      </w:pPr>
      <w:bookmarkStart w:name="Artículo_580" w:id="731"/>
      <w:bookmarkEnd w:id="731"/>
      <w:r>
        <w:rPr/>
      </w:r>
      <w:r>
        <w:rPr>
          <w:rFonts w:ascii="Arial" w:hAnsi="Arial"/>
          <w:b/>
        </w:rPr>
        <w:t>Artículo 580.- </w:t>
      </w:r>
      <w:r>
        <w:rPr/>
        <w:t>Los representantes asesores a que se refiere la fracción I del artículo anterior, deberán satisfacer los requisitos señalados en el artículo 555.</w:t>
      </w:r>
    </w:p>
    <w:p>
      <w:pPr>
        <w:pStyle w:val="BodyText"/>
        <w:spacing w:before="227"/>
        <w:ind w:left="338" w:firstLine="288"/>
      </w:pPr>
      <w:r>
        <w:rPr/>
        <w:t>Los</w:t>
      </w:r>
      <w:r>
        <w:rPr>
          <w:spacing w:val="24"/>
        </w:rPr>
        <w:t> </w:t>
      </w:r>
      <w:r>
        <w:rPr/>
        <w:t>representantes</w:t>
      </w:r>
      <w:r>
        <w:rPr>
          <w:spacing w:val="24"/>
        </w:rPr>
        <w:t> </w:t>
      </w:r>
      <w:r>
        <w:rPr/>
        <w:t>de</w:t>
      </w:r>
      <w:r>
        <w:rPr>
          <w:spacing w:val="23"/>
        </w:rPr>
        <w:t> </w:t>
      </w:r>
      <w:r>
        <w:rPr/>
        <w:t>los</w:t>
      </w:r>
      <w:r>
        <w:rPr>
          <w:spacing w:val="24"/>
        </w:rPr>
        <w:t> </w:t>
      </w:r>
      <w:r>
        <w:rPr/>
        <w:t>trabajadores</w:t>
      </w:r>
      <w:r>
        <w:rPr>
          <w:spacing w:val="29"/>
        </w:rPr>
        <w:t> </w:t>
      </w:r>
      <w:r>
        <w:rPr/>
        <w:t>y</w:t>
      </w:r>
      <w:r>
        <w:rPr>
          <w:spacing w:val="20"/>
        </w:rPr>
        <w:t> </w:t>
      </w:r>
      <w:r>
        <w:rPr/>
        <w:t>de</w:t>
      </w:r>
      <w:r>
        <w:rPr>
          <w:spacing w:val="23"/>
        </w:rPr>
        <w:t> </w:t>
      </w:r>
      <w:r>
        <w:rPr/>
        <w:t>los</w:t>
      </w:r>
      <w:r>
        <w:rPr>
          <w:spacing w:val="24"/>
        </w:rPr>
        <w:t> </w:t>
      </w:r>
      <w:r>
        <w:rPr/>
        <w:t>patrones</w:t>
      </w:r>
      <w:r>
        <w:rPr>
          <w:spacing w:val="24"/>
        </w:rPr>
        <w:t> </w:t>
      </w:r>
      <w:r>
        <w:rPr/>
        <w:t>a</w:t>
      </w:r>
      <w:r>
        <w:rPr>
          <w:spacing w:val="25"/>
        </w:rPr>
        <w:t> </w:t>
      </w:r>
      <w:r>
        <w:rPr/>
        <w:t>que</w:t>
      </w:r>
      <w:r>
        <w:rPr>
          <w:spacing w:val="23"/>
        </w:rPr>
        <w:t> </w:t>
      </w:r>
      <w:r>
        <w:rPr/>
        <w:t>se</w:t>
      </w:r>
      <w:r>
        <w:rPr>
          <w:spacing w:val="23"/>
        </w:rPr>
        <w:t> </w:t>
      </w:r>
      <w:r>
        <w:rPr/>
        <w:t>refiere</w:t>
      </w:r>
      <w:r>
        <w:rPr>
          <w:spacing w:val="23"/>
        </w:rPr>
        <w:t> </w:t>
      </w:r>
      <w:r>
        <w:rPr/>
        <w:t>la</w:t>
      </w:r>
      <w:r>
        <w:rPr>
          <w:spacing w:val="23"/>
        </w:rPr>
        <w:t> </w:t>
      </w:r>
      <w:r>
        <w:rPr/>
        <w:t>fracción</w:t>
      </w:r>
      <w:r>
        <w:rPr>
          <w:spacing w:val="23"/>
        </w:rPr>
        <w:t> </w:t>
      </w:r>
      <w:r>
        <w:rPr/>
        <w:t>II</w:t>
      </w:r>
      <w:r>
        <w:rPr>
          <w:spacing w:val="23"/>
        </w:rPr>
        <w:t> </w:t>
      </w:r>
      <w:r>
        <w:rPr/>
        <w:t>del</w:t>
      </w:r>
      <w:r>
        <w:rPr>
          <w:spacing w:val="25"/>
        </w:rPr>
        <w:t> </w:t>
      </w:r>
      <w:r>
        <w:rPr/>
        <w:t>artículo anterior, deberán satisfacer los requisitos señalados en el artículo 556.</w:t>
      </w:r>
    </w:p>
    <w:p>
      <w:pPr>
        <w:pStyle w:val="BodyText"/>
        <w:spacing w:before="229"/>
        <w:ind w:left="626"/>
      </w:pPr>
      <w:bookmarkStart w:name="Artículo_581" w:id="732"/>
      <w:bookmarkEnd w:id="732"/>
      <w:r>
        <w:rPr/>
      </w:r>
      <w:r>
        <w:rPr>
          <w:rFonts w:ascii="Arial" w:hAnsi="Arial"/>
          <w:b/>
        </w:rPr>
        <w:t>Artículo</w:t>
      </w:r>
      <w:r>
        <w:rPr>
          <w:rFonts w:ascii="Arial" w:hAnsi="Arial"/>
          <w:b/>
          <w:spacing w:val="-8"/>
        </w:rPr>
        <w:t> </w:t>
      </w:r>
      <w:r>
        <w:rPr>
          <w:rFonts w:ascii="Arial" w:hAnsi="Arial"/>
          <w:b/>
        </w:rPr>
        <w:t>581.-</w:t>
      </w:r>
      <w:r>
        <w:rPr>
          <w:rFonts w:ascii="Arial" w:hAnsi="Arial"/>
          <w:b/>
          <w:spacing w:val="-5"/>
        </w:rPr>
        <w:t> </w:t>
      </w:r>
      <w:r>
        <w:rPr/>
        <w:t>El</w:t>
      </w:r>
      <w:r>
        <w:rPr>
          <w:spacing w:val="-7"/>
        </w:rPr>
        <w:t> </w:t>
      </w:r>
      <w:r>
        <w:rPr/>
        <w:t>Consejo</w:t>
      </w:r>
      <w:r>
        <w:rPr>
          <w:spacing w:val="-6"/>
        </w:rPr>
        <w:t> </w:t>
      </w:r>
      <w:r>
        <w:rPr/>
        <w:t>de</w:t>
      </w:r>
      <w:r>
        <w:rPr>
          <w:spacing w:val="-9"/>
        </w:rPr>
        <w:t> </w:t>
      </w:r>
      <w:r>
        <w:rPr/>
        <w:t>Representantes</w:t>
      </w:r>
      <w:r>
        <w:rPr>
          <w:spacing w:val="-7"/>
        </w:rPr>
        <w:t> </w:t>
      </w:r>
      <w:r>
        <w:rPr/>
        <w:t>tiene</w:t>
      </w:r>
      <w:r>
        <w:rPr>
          <w:spacing w:val="-7"/>
        </w:rPr>
        <w:t> </w:t>
      </w:r>
      <w:r>
        <w:rPr/>
        <w:t>los</w:t>
      </w:r>
      <w:r>
        <w:rPr>
          <w:spacing w:val="-7"/>
        </w:rPr>
        <w:t> </w:t>
      </w:r>
      <w:r>
        <w:rPr/>
        <w:t>deberes</w:t>
      </w:r>
      <w:r>
        <w:rPr>
          <w:spacing w:val="-3"/>
        </w:rPr>
        <w:t> </w:t>
      </w:r>
      <w:r>
        <w:rPr/>
        <w:t>y</w:t>
      </w:r>
      <w:r>
        <w:rPr>
          <w:spacing w:val="-11"/>
        </w:rPr>
        <w:t> </w:t>
      </w:r>
      <w:r>
        <w:rPr/>
        <w:t>atribuciones</w:t>
      </w:r>
      <w:r>
        <w:rPr>
          <w:spacing w:val="-7"/>
        </w:rPr>
        <w:t> </w:t>
      </w:r>
      <w:r>
        <w:rPr>
          <w:spacing w:val="-2"/>
        </w:rPr>
        <w:t>siguientes:</w:t>
      </w:r>
    </w:p>
    <w:p>
      <w:pPr>
        <w:pStyle w:val="ListParagraph"/>
        <w:numPr>
          <w:ilvl w:val="0"/>
          <w:numId w:val="251"/>
        </w:numPr>
        <w:tabs>
          <w:tab w:pos="1193" w:val="left" w:leader="none"/>
          <w:tab w:pos="1195" w:val="left" w:leader="none"/>
        </w:tabs>
        <w:spacing w:line="242" w:lineRule="auto" w:before="228" w:after="0"/>
        <w:ind w:left="1195" w:right="339" w:hanging="569"/>
        <w:jc w:val="both"/>
        <w:rPr>
          <w:sz w:val="20"/>
        </w:rPr>
      </w:pPr>
      <w:r>
        <w:rPr>
          <w:sz w:val="20"/>
        </w:rPr>
        <w:t>Determinar, dentro de los quince días siguientes a su instalación, su forma de trabajo y la frecuencia de las sesiones,</w:t>
      </w:r>
    </w:p>
    <w:p>
      <w:pPr>
        <w:pStyle w:val="ListParagraph"/>
        <w:numPr>
          <w:ilvl w:val="0"/>
          <w:numId w:val="251"/>
        </w:numPr>
        <w:tabs>
          <w:tab w:pos="1192" w:val="left" w:leader="none"/>
          <w:tab w:pos="1195" w:val="left" w:leader="none"/>
        </w:tabs>
        <w:spacing w:line="242" w:lineRule="auto" w:before="227" w:after="0"/>
        <w:ind w:left="1195" w:right="345" w:hanging="569"/>
        <w:jc w:val="both"/>
        <w:rPr>
          <w:sz w:val="20"/>
        </w:rPr>
      </w:pPr>
      <w:r>
        <w:rPr>
          <w:sz w:val="20"/>
        </w:rPr>
        <w:t>Aprobar el plan de trabajo de la Dirección Técnica y solicitar de la misma que efectúe investigaciones y estudios complementarios;</w:t>
      </w:r>
    </w:p>
    <w:p>
      <w:pPr>
        <w:pStyle w:val="ListParagraph"/>
        <w:numPr>
          <w:ilvl w:val="0"/>
          <w:numId w:val="251"/>
        </w:numPr>
        <w:tabs>
          <w:tab w:pos="1191" w:val="left" w:leader="none"/>
          <w:tab w:pos="1195" w:val="left" w:leader="none"/>
        </w:tabs>
        <w:spacing w:line="242" w:lineRule="auto" w:before="224" w:after="0"/>
        <w:ind w:left="1195" w:right="339" w:hanging="569"/>
        <w:jc w:val="both"/>
        <w:rPr>
          <w:sz w:val="20"/>
        </w:rPr>
      </w:pPr>
      <w:r>
        <w:rPr>
          <w:sz w:val="20"/>
        </w:rPr>
        <w:t>Practicar y realizar directamente las investigaciones y estudios que juzgue conveniente para el mejor cumplimiento de su función;</w:t>
      </w:r>
    </w:p>
    <w:p>
      <w:pPr>
        <w:pStyle w:val="ListParagraph"/>
        <w:numPr>
          <w:ilvl w:val="0"/>
          <w:numId w:val="251"/>
        </w:numPr>
        <w:tabs>
          <w:tab w:pos="1195" w:val="left" w:leader="none"/>
        </w:tabs>
        <w:spacing w:line="242" w:lineRule="auto" w:before="227" w:after="0"/>
        <w:ind w:left="1195" w:right="345" w:hanging="569"/>
        <w:jc w:val="both"/>
        <w:rPr>
          <w:sz w:val="20"/>
        </w:rPr>
      </w:pPr>
      <w:r>
        <w:rPr>
          <w:sz w:val="20"/>
        </w:rPr>
        <w:t>Solicitar directamente, cuando lo juzgue conveniente, los informes y</w:t>
      </w:r>
      <w:r>
        <w:rPr>
          <w:spacing w:val="-5"/>
          <w:sz w:val="20"/>
        </w:rPr>
        <w:t> </w:t>
      </w:r>
      <w:r>
        <w:rPr>
          <w:sz w:val="20"/>
        </w:rPr>
        <w:t>estudios a que se refiere el artículo 584, fracción II;</w:t>
      </w:r>
    </w:p>
    <w:p>
      <w:pPr>
        <w:pStyle w:val="ListParagraph"/>
        <w:numPr>
          <w:ilvl w:val="0"/>
          <w:numId w:val="251"/>
        </w:numPr>
        <w:tabs>
          <w:tab w:pos="1195" w:val="left" w:leader="none"/>
        </w:tabs>
        <w:spacing w:line="240" w:lineRule="auto" w:before="224" w:after="0"/>
        <w:ind w:left="1195" w:right="0" w:hanging="569"/>
        <w:jc w:val="left"/>
        <w:rPr>
          <w:sz w:val="20"/>
        </w:rPr>
      </w:pPr>
      <w:r>
        <w:rPr>
          <w:sz w:val="20"/>
        </w:rPr>
        <w:t>Solicitar</w:t>
      </w:r>
      <w:r>
        <w:rPr>
          <w:spacing w:val="-8"/>
          <w:sz w:val="20"/>
        </w:rPr>
        <w:t> </w:t>
      </w:r>
      <w:r>
        <w:rPr>
          <w:sz w:val="20"/>
        </w:rPr>
        <w:t>la</w:t>
      </w:r>
      <w:r>
        <w:rPr>
          <w:spacing w:val="-6"/>
          <w:sz w:val="20"/>
        </w:rPr>
        <w:t> </w:t>
      </w:r>
      <w:r>
        <w:rPr>
          <w:sz w:val="20"/>
        </w:rPr>
        <w:t>opinión</w:t>
      </w:r>
      <w:r>
        <w:rPr>
          <w:spacing w:val="-5"/>
          <w:sz w:val="20"/>
        </w:rPr>
        <w:t> </w:t>
      </w:r>
      <w:r>
        <w:rPr>
          <w:sz w:val="20"/>
        </w:rPr>
        <w:t>de</w:t>
      </w:r>
      <w:r>
        <w:rPr>
          <w:spacing w:val="-7"/>
          <w:sz w:val="20"/>
        </w:rPr>
        <w:t> </w:t>
      </w:r>
      <w:r>
        <w:rPr>
          <w:sz w:val="20"/>
        </w:rPr>
        <w:t>las</w:t>
      </w:r>
      <w:r>
        <w:rPr>
          <w:spacing w:val="-6"/>
          <w:sz w:val="20"/>
        </w:rPr>
        <w:t> </w:t>
      </w:r>
      <w:r>
        <w:rPr>
          <w:sz w:val="20"/>
        </w:rPr>
        <w:t>asociaciones</w:t>
      </w:r>
      <w:r>
        <w:rPr>
          <w:spacing w:val="-7"/>
          <w:sz w:val="20"/>
        </w:rPr>
        <w:t> </w:t>
      </w:r>
      <w:r>
        <w:rPr>
          <w:sz w:val="20"/>
        </w:rPr>
        <w:t>de</w:t>
      </w:r>
      <w:r>
        <w:rPr>
          <w:spacing w:val="-6"/>
          <w:sz w:val="20"/>
        </w:rPr>
        <w:t> </w:t>
      </w:r>
      <w:r>
        <w:rPr>
          <w:sz w:val="20"/>
        </w:rPr>
        <w:t>trabajadores</w:t>
      </w:r>
      <w:r>
        <w:rPr>
          <w:spacing w:val="-5"/>
          <w:sz w:val="20"/>
        </w:rPr>
        <w:t> </w:t>
      </w:r>
      <w:r>
        <w:rPr>
          <w:sz w:val="20"/>
        </w:rPr>
        <w:t>y</w:t>
      </w:r>
      <w:r>
        <w:rPr>
          <w:spacing w:val="-10"/>
          <w:sz w:val="20"/>
        </w:rPr>
        <w:t> </w:t>
      </w:r>
      <w:r>
        <w:rPr>
          <w:spacing w:val="-2"/>
          <w:sz w:val="20"/>
        </w:rPr>
        <w:t>patrones;</w:t>
      </w:r>
    </w:p>
    <w:p>
      <w:pPr>
        <w:pStyle w:val="BodyText"/>
        <w:spacing w:before="1"/>
      </w:pPr>
    </w:p>
    <w:p>
      <w:pPr>
        <w:pStyle w:val="ListParagraph"/>
        <w:numPr>
          <w:ilvl w:val="0"/>
          <w:numId w:val="251"/>
        </w:numPr>
        <w:tabs>
          <w:tab w:pos="1195" w:val="left" w:leader="none"/>
        </w:tabs>
        <w:spacing w:line="240" w:lineRule="auto" w:before="0" w:after="0"/>
        <w:ind w:left="1195" w:right="0" w:hanging="569"/>
        <w:jc w:val="left"/>
        <w:rPr>
          <w:sz w:val="20"/>
        </w:rPr>
      </w:pPr>
      <w:r>
        <w:rPr>
          <w:sz w:val="20"/>
        </w:rPr>
        <w:t>Recibir</w:t>
      </w:r>
      <w:r>
        <w:rPr>
          <w:spacing w:val="-7"/>
          <w:sz w:val="20"/>
        </w:rPr>
        <w:t> </w:t>
      </w:r>
      <w:r>
        <w:rPr>
          <w:sz w:val="20"/>
        </w:rPr>
        <w:t>las</w:t>
      </w:r>
      <w:r>
        <w:rPr>
          <w:spacing w:val="-7"/>
          <w:sz w:val="20"/>
        </w:rPr>
        <w:t> </w:t>
      </w:r>
      <w:r>
        <w:rPr>
          <w:sz w:val="20"/>
        </w:rPr>
        <w:t>sugerencias</w:t>
      </w:r>
      <w:r>
        <w:rPr>
          <w:spacing w:val="-5"/>
          <w:sz w:val="20"/>
        </w:rPr>
        <w:t> </w:t>
      </w:r>
      <w:r>
        <w:rPr>
          <w:sz w:val="20"/>
        </w:rPr>
        <w:t>y</w:t>
      </w:r>
      <w:r>
        <w:rPr>
          <w:spacing w:val="-9"/>
          <w:sz w:val="20"/>
        </w:rPr>
        <w:t> </w:t>
      </w:r>
      <w:r>
        <w:rPr>
          <w:sz w:val="20"/>
        </w:rPr>
        <w:t>estudios</w:t>
      </w:r>
      <w:r>
        <w:rPr>
          <w:spacing w:val="-5"/>
          <w:sz w:val="20"/>
        </w:rPr>
        <w:t> </w:t>
      </w:r>
      <w:r>
        <w:rPr>
          <w:sz w:val="20"/>
        </w:rPr>
        <w:t>que</w:t>
      </w:r>
      <w:r>
        <w:rPr>
          <w:spacing w:val="-6"/>
          <w:sz w:val="20"/>
        </w:rPr>
        <w:t> </w:t>
      </w:r>
      <w:r>
        <w:rPr>
          <w:sz w:val="20"/>
        </w:rPr>
        <w:t>le</w:t>
      </w:r>
      <w:r>
        <w:rPr>
          <w:spacing w:val="-6"/>
          <w:sz w:val="20"/>
        </w:rPr>
        <w:t> </w:t>
      </w:r>
      <w:r>
        <w:rPr>
          <w:sz w:val="20"/>
        </w:rPr>
        <w:t>presenten</w:t>
      </w:r>
      <w:r>
        <w:rPr>
          <w:spacing w:val="-7"/>
          <w:sz w:val="20"/>
        </w:rPr>
        <w:t> </w:t>
      </w:r>
      <w:r>
        <w:rPr>
          <w:sz w:val="20"/>
        </w:rPr>
        <w:t>los</w:t>
      </w:r>
      <w:r>
        <w:rPr>
          <w:spacing w:val="-7"/>
          <w:sz w:val="20"/>
        </w:rPr>
        <w:t> </w:t>
      </w:r>
      <w:r>
        <w:rPr>
          <w:sz w:val="20"/>
        </w:rPr>
        <w:t>trabajadores</w:t>
      </w:r>
      <w:r>
        <w:rPr>
          <w:spacing w:val="-2"/>
          <w:sz w:val="20"/>
        </w:rPr>
        <w:t> </w:t>
      </w:r>
      <w:r>
        <w:rPr>
          <w:sz w:val="20"/>
        </w:rPr>
        <w:t>y</w:t>
      </w:r>
      <w:r>
        <w:rPr>
          <w:spacing w:val="-9"/>
          <w:sz w:val="20"/>
        </w:rPr>
        <w:t> </w:t>
      </w:r>
      <w:r>
        <w:rPr>
          <w:sz w:val="20"/>
        </w:rPr>
        <w:t>los</w:t>
      </w:r>
      <w:r>
        <w:rPr>
          <w:spacing w:val="-7"/>
          <w:sz w:val="20"/>
        </w:rPr>
        <w:t> </w:t>
      </w:r>
      <w:r>
        <w:rPr>
          <w:spacing w:val="-2"/>
          <w:sz w:val="20"/>
        </w:rPr>
        <w:t>patrones;</w:t>
      </w:r>
    </w:p>
    <w:p>
      <w:pPr>
        <w:pStyle w:val="BodyText"/>
        <w:spacing w:before="1"/>
      </w:pPr>
    </w:p>
    <w:p>
      <w:pPr>
        <w:pStyle w:val="ListParagraph"/>
        <w:numPr>
          <w:ilvl w:val="0"/>
          <w:numId w:val="251"/>
        </w:numPr>
        <w:tabs>
          <w:tab w:pos="1193" w:val="left" w:leader="none"/>
          <w:tab w:pos="1195" w:val="left" w:leader="none"/>
        </w:tabs>
        <w:spacing w:line="240" w:lineRule="auto" w:before="0" w:after="0"/>
        <w:ind w:left="1195" w:right="343" w:hanging="569"/>
        <w:jc w:val="both"/>
        <w:rPr>
          <w:sz w:val="20"/>
        </w:rPr>
      </w:pPr>
      <w:r>
        <w:rPr>
          <w:sz w:val="20"/>
        </w:rPr>
        <w:t>Designar una o varias comisiones o técnicos para que practiquen investigaciones y realicen estudios especiales;</w:t>
      </w:r>
    </w:p>
    <w:p>
      <w:pPr>
        <w:pStyle w:val="ListParagraph"/>
        <w:numPr>
          <w:ilvl w:val="0"/>
          <w:numId w:val="251"/>
        </w:numPr>
        <w:tabs>
          <w:tab w:pos="1195" w:val="left" w:leader="none"/>
        </w:tabs>
        <w:spacing w:line="240" w:lineRule="auto" w:before="229" w:after="0"/>
        <w:ind w:left="1195" w:right="0" w:hanging="569"/>
        <w:jc w:val="left"/>
        <w:rPr>
          <w:sz w:val="20"/>
        </w:rPr>
      </w:pPr>
      <w:r>
        <w:rPr>
          <w:sz w:val="20"/>
        </w:rPr>
        <w:t>Allegarse</w:t>
      </w:r>
      <w:r>
        <w:rPr>
          <w:spacing w:val="-8"/>
          <w:sz w:val="20"/>
        </w:rPr>
        <w:t> </w:t>
      </w:r>
      <w:r>
        <w:rPr>
          <w:sz w:val="20"/>
        </w:rPr>
        <w:t>todos</w:t>
      </w:r>
      <w:r>
        <w:rPr>
          <w:spacing w:val="-7"/>
          <w:sz w:val="20"/>
        </w:rPr>
        <w:t> </w:t>
      </w:r>
      <w:r>
        <w:rPr>
          <w:sz w:val="20"/>
        </w:rPr>
        <w:t>los</w:t>
      </w:r>
      <w:r>
        <w:rPr>
          <w:spacing w:val="-5"/>
          <w:sz w:val="20"/>
        </w:rPr>
        <w:t> </w:t>
      </w:r>
      <w:r>
        <w:rPr>
          <w:sz w:val="20"/>
        </w:rPr>
        <w:t>demás</w:t>
      </w:r>
      <w:r>
        <w:rPr>
          <w:spacing w:val="-6"/>
          <w:sz w:val="20"/>
        </w:rPr>
        <w:t> </w:t>
      </w:r>
      <w:r>
        <w:rPr>
          <w:sz w:val="20"/>
        </w:rPr>
        <w:t>elementos</w:t>
      </w:r>
      <w:r>
        <w:rPr>
          <w:spacing w:val="-7"/>
          <w:sz w:val="20"/>
        </w:rPr>
        <w:t> </w:t>
      </w:r>
      <w:r>
        <w:rPr>
          <w:sz w:val="20"/>
        </w:rPr>
        <w:t>que</w:t>
      </w:r>
      <w:r>
        <w:rPr>
          <w:spacing w:val="-8"/>
          <w:sz w:val="20"/>
        </w:rPr>
        <w:t> </w:t>
      </w:r>
      <w:r>
        <w:rPr>
          <w:sz w:val="20"/>
        </w:rPr>
        <w:t>juzgue</w:t>
      </w:r>
      <w:r>
        <w:rPr>
          <w:spacing w:val="-5"/>
          <w:sz w:val="20"/>
        </w:rPr>
        <w:t> </w:t>
      </w:r>
      <w:r>
        <w:rPr>
          <w:sz w:val="20"/>
        </w:rPr>
        <w:t>necesarios</w:t>
      </w:r>
      <w:r>
        <w:rPr>
          <w:spacing w:val="-7"/>
          <w:sz w:val="20"/>
        </w:rPr>
        <w:t> </w:t>
      </w:r>
      <w:r>
        <w:rPr>
          <w:sz w:val="20"/>
        </w:rPr>
        <w:t>o</w:t>
      </w:r>
      <w:r>
        <w:rPr>
          <w:spacing w:val="-9"/>
          <w:sz w:val="20"/>
        </w:rPr>
        <w:t> </w:t>
      </w:r>
      <w:r>
        <w:rPr>
          <w:spacing w:val="-2"/>
          <w:sz w:val="20"/>
        </w:rPr>
        <w:t>apropiados;</w:t>
      </w:r>
    </w:p>
    <w:p>
      <w:pPr>
        <w:pStyle w:val="BodyText"/>
        <w:spacing w:before="1"/>
      </w:pPr>
    </w:p>
    <w:p>
      <w:pPr>
        <w:pStyle w:val="ListParagraph"/>
        <w:numPr>
          <w:ilvl w:val="0"/>
          <w:numId w:val="251"/>
        </w:numPr>
        <w:tabs>
          <w:tab w:pos="1195" w:val="left" w:leader="none"/>
        </w:tabs>
        <w:spacing w:line="240" w:lineRule="auto" w:before="0" w:after="0"/>
        <w:ind w:left="1195" w:right="343" w:hanging="569"/>
        <w:jc w:val="both"/>
        <w:rPr>
          <w:sz w:val="20"/>
        </w:rPr>
      </w:pPr>
      <w:r>
        <w:rPr>
          <w:sz w:val="20"/>
        </w:rPr>
        <w:t>Determinar</w:t>
      </w:r>
      <w:r>
        <w:rPr>
          <w:spacing w:val="-2"/>
          <w:sz w:val="20"/>
        </w:rPr>
        <w:t> </w:t>
      </w:r>
      <w:r>
        <w:rPr>
          <w:sz w:val="20"/>
        </w:rPr>
        <w:t>y</w:t>
      </w:r>
      <w:r>
        <w:rPr>
          <w:spacing w:val="-7"/>
          <w:sz w:val="20"/>
        </w:rPr>
        <w:t> </w:t>
      </w:r>
      <w:r>
        <w:rPr>
          <w:sz w:val="20"/>
        </w:rPr>
        <w:t>revisar</w:t>
      </w:r>
      <w:r>
        <w:rPr>
          <w:spacing w:val="-2"/>
          <w:sz w:val="20"/>
        </w:rPr>
        <w:t> </w:t>
      </w:r>
      <w:r>
        <w:rPr>
          <w:sz w:val="20"/>
        </w:rPr>
        <w:t>el</w:t>
      </w:r>
      <w:r>
        <w:rPr>
          <w:spacing w:val="-4"/>
          <w:sz w:val="20"/>
        </w:rPr>
        <w:t> </w:t>
      </w:r>
      <w:r>
        <w:rPr>
          <w:sz w:val="20"/>
        </w:rPr>
        <w:t>porcentaje</w:t>
      </w:r>
      <w:r>
        <w:rPr>
          <w:spacing w:val="-3"/>
          <w:sz w:val="20"/>
        </w:rPr>
        <w:t> </w:t>
      </w:r>
      <w:r>
        <w:rPr>
          <w:sz w:val="20"/>
        </w:rPr>
        <w:t>que</w:t>
      </w:r>
      <w:r>
        <w:rPr>
          <w:spacing w:val="-3"/>
          <w:sz w:val="20"/>
        </w:rPr>
        <w:t> </w:t>
      </w:r>
      <w:r>
        <w:rPr>
          <w:sz w:val="20"/>
        </w:rPr>
        <w:t>deba</w:t>
      </w:r>
      <w:r>
        <w:rPr>
          <w:spacing w:val="-3"/>
          <w:sz w:val="20"/>
        </w:rPr>
        <w:t> </w:t>
      </w:r>
      <w:r>
        <w:rPr>
          <w:sz w:val="20"/>
        </w:rPr>
        <w:t>corresponder</w:t>
      </w:r>
      <w:r>
        <w:rPr>
          <w:spacing w:val="-2"/>
          <w:sz w:val="20"/>
        </w:rPr>
        <w:t> </w:t>
      </w:r>
      <w:r>
        <w:rPr>
          <w:sz w:val="20"/>
        </w:rPr>
        <w:t>a</w:t>
      </w:r>
      <w:r>
        <w:rPr>
          <w:spacing w:val="-3"/>
          <w:sz w:val="20"/>
        </w:rPr>
        <w:t> </w:t>
      </w:r>
      <w:r>
        <w:rPr>
          <w:sz w:val="20"/>
        </w:rPr>
        <w:t>los</w:t>
      </w:r>
      <w:r>
        <w:rPr>
          <w:spacing w:val="-4"/>
          <w:sz w:val="20"/>
        </w:rPr>
        <w:t> </w:t>
      </w:r>
      <w:r>
        <w:rPr>
          <w:sz w:val="20"/>
        </w:rPr>
        <w:t>trabajadores</w:t>
      </w:r>
      <w:r>
        <w:rPr>
          <w:spacing w:val="-3"/>
          <w:sz w:val="20"/>
        </w:rPr>
        <w:t> </w:t>
      </w:r>
      <w:r>
        <w:rPr>
          <w:sz w:val="20"/>
        </w:rPr>
        <w:t>en</w:t>
      </w:r>
      <w:r>
        <w:rPr>
          <w:spacing w:val="-3"/>
          <w:sz w:val="20"/>
        </w:rPr>
        <w:t> </w:t>
      </w:r>
      <w:r>
        <w:rPr>
          <w:sz w:val="20"/>
        </w:rPr>
        <w:t>las</w:t>
      </w:r>
      <w:r>
        <w:rPr>
          <w:spacing w:val="-4"/>
          <w:sz w:val="20"/>
        </w:rPr>
        <w:t> </w:t>
      </w:r>
      <w:r>
        <w:rPr>
          <w:sz w:val="20"/>
        </w:rPr>
        <w:t>utilidades</w:t>
      </w:r>
      <w:r>
        <w:rPr>
          <w:spacing w:val="-4"/>
          <w:sz w:val="20"/>
        </w:rPr>
        <w:t> </w:t>
      </w:r>
      <w:r>
        <w:rPr>
          <w:sz w:val="20"/>
        </w:rPr>
        <w:t>de las empresas; y</w:t>
      </w:r>
    </w:p>
    <w:p>
      <w:pPr>
        <w:pStyle w:val="ListParagraph"/>
        <w:numPr>
          <w:ilvl w:val="0"/>
          <w:numId w:val="251"/>
        </w:numPr>
        <w:tabs>
          <w:tab w:pos="1195" w:val="left" w:leader="none"/>
        </w:tabs>
        <w:spacing w:line="240" w:lineRule="auto" w:before="229" w:after="0"/>
        <w:ind w:left="1195" w:right="0" w:hanging="569"/>
        <w:jc w:val="left"/>
        <w:rPr>
          <w:sz w:val="20"/>
        </w:rPr>
      </w:pPr>
      <w:r>
        <w:rPr>
          <w:sz w:val="20"/>
        </w:rPr>
        <w:t>Los</w:t>
      </w:r>
      <w:r>
        <w:rPr>
          <w:spacing w:val="-5"/>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confieran</w:t>
      </w:r>
      <w:r>
        <w:rPr>
          <w:spacing w:val="-6"/>
          <w:sz w:val="20"/>
        </w:rPr>
        <w:t> </w:t>
      </w:r>
      <w:r>
        <w:rPr>
          <w:sz w:val="20"/>
        </w:rPr>
        <w:t>las</w:t>
      </w:r>
      <w:r>
        <w:rPr>
          <w:spacing w:val="-3"/>
          <w:sz w:val="20"/>
        </w:rPr>
        <w:t> </w:t>
      </w:r>
      <w:r>
        <w:rPr>
          <w:spacing w:val="-2"/>
          <w:sz w:val="20"/>
        </w:rPr>
        <w:t>leyes.</w:t>
      </w:r>
    </w:p>
    <w:p>
      <w:pPr>
        <w:pStyle w:val="BodyText"/>
        <w:spacing w:before="1"/>
      </w:pPr>
    </w:p>
    <w:p>
      <w:pPr>
        <w:spacing w:before="0"/>
        <w:ind w:left="626" w:right="0" w:firstLine="0"/>
        <w:jc w:val="left"/>
        <w:rPr>
          <w:sz w:val="20"/>
        </w:rPr>
      </w:pPr>
      <w:bookmarkStart w:name="Artículo_582" w:id="733"/>
      <w:bookmarkEnd w:id="733"/>
      <w:r>
        <w:rPr/>
      </w:r>
      <w:r>
        <w:rPr>
          <w:rFonts w:ascii="Arial" w:hAnsi="Arial"/>
          <w:b/>
          <w:sz w:val="20"/>
        </w:rPr>
        <w:t>Artículo</w:t>
      </w:r>
      <w:r>
        <w:rPr>
          <w:rFonts w:ascii="Arial" w:hAnsi="Arial"/>
          <w:b/>
          <w:spacing w:val="-6"/>
          <w:sz w:val="20"/>
        </w:rPr>
        <w:t> </w:t>
      </w:r>
      <w:r>
        <w:rPr>
          <w:rFonts w:ascii="Arial" w:hAnsi="Arial"/>
          <w:b/>
          <w:sz w:val="20"/>
        </w:rPr>
        <w:t>582.-</w:t>
      </w:r>
      <w:r>
        <w:rPr>
          <w:rFonts w:ascii="Arial" w:hAnsi="Arial"/>
          <w:b/>
          <w:spacing w:val="-6"/>
          <w:sz w:val="20"/>
        </w:rPr>
        <w:t> </w:t>
      </w:r>
      <w:r>
        <w:rPr>
          <w:sz w:val="20"/>
        </w:rPr>
        <w:t>La</w:t>
      </w:r>
      <w:r>
        <w:rPr>
          <w:spacing w:val="-7"/>
          <w:sz w:val="20"/>
        </w:rPr>
        <w:t> </w:t>
      </w:r>
      <w:r>
        <w:rPr>
          <w:sz w:val="20"/>
        </w:rPr>
        <w:t>Dirección</w:t>
      </w:r>
      <w:r>
        <w:rPr>
          <w:spacing w:val="-5"/>
          <w:sz w:val="20"/>
        </w:rPr>
        <w:t> </w:t>
      </w:r>
      <w:r>
        <w:rPr>
          <w:sz w:val="20"/>
        </w:rPr>
        <w:t>Técnica</w:t>
      </w:r>
      <w:r>
        <w:rPr>
          <w:spacing w:val="-7"/>
          <w:sz w:val="20"/>
        </w:rPr>
        <w:t> </w:t>
      </w:r>
      <w:r>
        <w:rPr>
          <w:sz w:val="20"/>
        </w:rPr>
        <w:t>se</w:t>
      </w:r>
      <w:r>
        <w:rPr>
          <w:spacing w:val="-4"/>
          <w:sz w:val="20"/>
        </w:rPr>
        <w:t> </w:t>
      </w:r>
      <w:r>
        <w:rPr>
          <w:spacing w:val="-2"/>
          <w:sz w:val="20"/>
        </w:rPr>
        <w:t>integrará:</w:t>
      </w:r>
    </w:p>
    <w:p>
      <w:pPr>
        <w:pStyle w:val="ListParagraph"/>
        <w:numPr>
          <w:ilvl w:val="0"/>
          <w:numId w:val="252"/>
        </w:numPr>
        <w:tabs>
          <w:tab w:pos="1195" w:val="left" w:leader="none"/>
        </w:tabs>
        <w:spacing w:line="240" w:lineRule="auto" w:before="229" w:after="0"/>
        <w:ind w:left="1195" w:right="0" w:hanging="569"/>
        <w:jc w:val="left"/>
        <w:rPr>
          <w:sz w:val="20"/>
        </w:rPr>
      </w:pPr>
      <w:r>
        <w:rPr>
          <w:sz w:val="20"/>
        </w:rPr>
        <w:t>Con</w:t>
      </w:r>
      <w:r>
        <w:rPr>
          <w:spacing w:val="-8"/>
          <w:sz w:val="20"/>
        </w:rPr>
        <w:t> </w:t>
      </w:r>
      <w:r>
        <w:rPr>
          <w:sz w:val="20"/>
        </w:rPr>
        <w:t>un</w:t>
      </w:r>
      <w:r>
        <w:rPr>
          <w:spacing w:val="-7"/>
          <w:sz w:val="20"/>
        </w:rPr>
        <w:t> </w:t>
      </w:r>
      <w:r>
        <w:rPr>
          <w:sz w:val="20"/>
        </w:rPr>
        <w:t>Director,</w:t>
      </w:r>
      <w:r>
        <w:rPr>
          <w:spacing w:val="-7"/>
          <w:sz w:val="20"/>
        </w:rPr>
        <w:t> </w:t>
      </w:r>
      <w:r>
        <w:rPr>
          <w:sz w:val="20"/>
        </w:rPr>
        <w:t>nombrado</w:t>
      </w:r>
      <w:r>
        <w:rPr>
          <w:spacing w:val="-8"/>
          <w:sz w:val="20"/>
        </w:rPr>
        <w:t> </w:t>
      </w:r>
      <w:r>
        <w:rPr>
          <w:sz w:val="20"/>
        </w:rPr>
        <w:t>por</w:t>
      </w:r>
      <w:r>
        <w:rPr>
          <w:spacing w:val="-6"/>
          <w:sz w:val="20"/>
        </w:rPr>
        <w:t> </w:t>
      </w:r>
      <w:r>
        <w:rPr>
          <w:sz w:val="20"/>
        </w:rPr>
        <w:t>la</w:t>
      </w:r>
      <w:r>
        <w:rPr>
          <w:spacing w:val="-7"/>
          <w:sz w:val="20"/>
        </w:rPr>
        <w:t> </w:t>
      </w:r>
      <w:r>
        <w:rPr>
          <w:sz w:val="20"/>
        </w:rPr>
        <w:t>Secretaría</w:t>
      </w:r>
      <w:r>
        <w:rPr>
          <w:spacing w:val="-5"/>
          <w:sz w:val="20"/>
        </w:rPr>
        <w:t> </w:t>
      </w:r>
      <w:r>
        <w:rPr>
          <w:sz w:val="20"/>
        </w:rPr>
        <w:t>del</w:t>
      </w:r>
      <w:r>
        <w:rPr>
          <w:spacing w:val="-8"/>
          <w:sz w:val="20"/>
        </w:rPr>
        <w:t> </w:t>
      </w:r>
      <w:r>
        <w:rPr>
          <w:sz w:val="20"/>
        </w:rPr>
        <w:t>Trabajo</w:t>
      </w:r>
      <w:r>
        <w:rPr>
          <w:spacing w:val="-5"/>
          <w:sz w:val="20"/>
        </w:rPr>
        <w:t> </w:t>
      </w:r>
      <w:r>
        <w:rPr>
          <w:sz w:val="20"/>
        </w:rPr>
        <w:t>y</w:t>
      </w:r>
      <w:r>
        <w:rPr>
          <w:spacing w:val="-9"/>
          <w:sz w:val="20"/>
        </w:rPr>
        <w:t> </w:t>
      </w:r>
      <w:r>
        <w:rPr>
          <w:sz w:val="20"/>
        </w:rPr>
        <w:t>Previsión</w:t>
      </w:r>
      <w:r>
        <w:rPr>
          <w:spacing w:val="-7"/>
          <w:sz w:val="20"/>
        </w:rPr>
        <w:t> </w:t>
      </w:r>
      <w:r>
        <w:rPr>
          <w:spacing w:val="-2"/>
          <w:sz w:val="20"/>
        </w:rPr>
        <w:t>Social;</w:t>
      </w:r>
    </w:p>
    <w:p>
      <w:pPr>
        <w:pStyle w:val="BodyText"/>
      </w:pPr>
    </w:p>
    <w:p>
      <w:pPr>
        <w:pStyle w:val="ListParagraph"/>
        <w:numPr>
          <w:ilvl w:val="0"/>
          <w:numId w:val="252"/>
        </w:numPr>
        <w:tabs>
          <w:tab w:pos="1195" w:val="left" w:leader="none"/>
        </w:tabs>
        <w:spacing w:line="240" w:lineRule="auto" w:before="0" w:after="0"/>
        <w:ind w:left="1195" w:right="0" w:hanging="569"/>
        <w:jc w:val="left"/>
        <w:rPr>
          <w:sz w:val="20"/>
        </w:rPr>
      </w:pPr>
      <w:r>
        <w:rPr>
          <w:sz w:val="20"/>
        </w:rPr>
        <w:t>Con</w:t>
      </w:r>
      <w:r>
        <w:rPr>
          <w:spacing w:val="-8"/>
          <w:sz w:val="20"/>
        </w:rPr>
        <w:t> </w:t>
      </w:r>
      <w:r>
        <w:rPr>
          <w:sz w:val="20"/>
        </w:rPr>
        <w:t>el</w:t>
      </w:r>
      <w:r>
        <w:rPr>
          <w:spacing w:val="-7"/>
          <w:sz w:val="20"/>
        </w:rPr>
        <w:t> </w:t>
      </w:r>
      <w:r>
        <w:rPr>
          <w:sz w:val="20"/>
        </w:rPr>
        <w:t>número</w:t>
      </w:r>
      <w:r>
        <w:rPr>
          <w:spacing w:val="-7"/>
          <w:sz w:val="20"/>
        </w:rPr>
        <w:t> </w:t>
      </w:r>
      <w:r>
        <w:rPr>
          <w:sz w:val="20"/>
        </w:rPr>
        <w:t>de</w:t>
      </w:r>
      <w:r>
        <w:rPr>
          <w:spacing w:val="-7"/>
          <w:sz w:val="20"/>
        </w:rPr>
        <w:t> </w:t>
      </w:r>
      <w:r>
        <w:rPr>
          <w:sz w:val="20"/>
        </w:rPr>
        <w:t>asesores</w:t>
      </w:r>
      <w:r>
        <w:rPr>
          <w:spacing w:val="-6"/>
          <w:sz w:val="20"/>
        </w:rPr>
        <w:t> </w:t>
      </w:r>
      <w:r>
        <w:rPr>
          <w:sz w:val="20"/>
        </w:rPr>
        <w:t>técnicos</w:t>
      </w:r>
      <w:r>
        <w:rPr>
          <w:spacing w:val="-6"/>
          <w:sz w:val="20"/>
        </w:rPr>
        <w:t> </w:t>
      </w:r>
      <w:r>
        <w:rPr>
          <w:sz w:val="20"/>
        </w:rPr>
        <w:t>que</w:t>
      </w:r>
      <w:r>
        <w:rPr>
          <w:spacing w:val="-6"/>
          <w:sz w:val="20"/>
        </w:rPr>
        <w:t> </w:t>
      </w:r>
      <w:r>
        <w:rPr>
          <w:sz w:val="20"/>
        </w:rPr>
        <w:t>nombre</w:t>
      </w:r>
      <w:r>
        <w:rPr>
          <w:spacing w:val="-7"/>
          <w:sz w:val="20"/>
        </w:rPr>
        <w:t> </w:t>
      </w:r>
      <w:r>
        <w:rPr>
          <w:sz w:val="20"/>
        </w:rPr>
        <w:t>la</w:t>
      </w:r>
      <w:r>
        <w:rPr>
          <w:spacing w:val="-6"/>
          <w:sz w:val="20"/>
        </w:rPr>
        <w:t> </w:t>
      </w:r>
      <w:r>
        <w:rPr>
          <w:sz w:val="20"/>
        </w:rPr>
        <w:t>misma</w:t>
      </w:r>
      <w:r>
        <w:rPr>
          <w:spacing w:val="-7"/>
          <w:sz w:val="20"/>
        </w:rPr>
        <w:t> </w:t>
      </w:r>
      <w:r>
        <w:rPr>
          <w:sz w:val="20"/>
        </w:rPr>
        <w:t>Secretaría;</w:t>
      </w:r>
      <w:r>
        <w:rPr>
          <w:spacing w:val="-3"/>
          <w:sz w:val="20"/>
        </w:rPr>
        <w:t> </w:t>
      </w:r>
      <w:r>
        <w:rPr>
          <w:spacing w:val="-10"/>
          <w:sz w:val="20"/>
        </w:rPr>
        <w:t>y</w:t>
      </w:r>
    </w:p>
    <w:p>
      <w:pPr>
        <w:pStyle w:val="BodyText"/>
        <w:spacing w:before="1"/>
      </w:pPr>
    </w:p>
    <w:p>
      <w:pPr>
        <w:pStyle w:val="ListParagraph"/>
        <w:numPr>
          <w:ilvl w:val="0"/>
          <w:numId w:val="252"/>
        </w:numPr>
        <w:tabs>
          <w:tab w:pos="1191" w:val="left" w:leader="none"/>
          <w:tab w:pos="1195" w:val="left" w:leader="none"/>
        </w:tabs>
        <w:spacing w:line="242" w:lineRule="auto" w:before="0" w:after="0"/>
        <w:ind w:left="1195" w:right="336" w:hanging="569"/>
        <w:jc w:val="both"/>
        <w:rPr>
          <w:sz w:val="20"/>
        </w:rPr>
      </w:pPr>
      <w:r>
        <w:rPr>
          <w:sz w:val="20"/>
        </w:rPr>
        <w:t>Con</w:t>
      </w:r>
      <w:r>
        <w:rPr>
          <w:spacing w:val="-2"/>
          <w:sz w:val="20"/>
        </w:rPr>
        <w:t> </w:t>
      </w:r>
      <w:r>
        <w:rPr>
          <w:sz w:val="20"/>
        </w:rPr>
        <w:t>un número</w:t>
      </w:r>
      <w:r>
        <w:rPr>
          <w:spacing w:val="-2"/>
          <w:sz w:val="20"/>
        </w:rPr>
        <w:t> </w:t>
      </w:r>
      <w:r>
        <w:rPr>
          <w:sz w:val="20"/>
        </w:rPr>
        <w:t>igual,</w:t>
      </w:r>
      <w:r>
        <w:rPr>
          <w:spacing w:val="-2"/>
          <w:sz w:val="20"/>
        </w:rPr>
        <w:t> </w:t>
      </w:r>
      <w:r>
        <w:rPr>
          <w:sz w:val="20"/>
        </w:rPr>
        <w:t>determinado</w:t>
      </w:r>
      <w:r>
        <w:rPr>
          <w:spacing w:val="-3"/>
          <w:sz w:val="20"/>
        </w:rPr>
        <w:t> </w:t>
      </w:r>
      <w:r>
        <w:rPr>
          <w:sz w:val="20"/>
        </w:rPr>
        <w:t>por</w:t>
      </w:r>
      <w:r>
        <w:rPr>
          <w:spacing w:val="-1"/>
          <w:sz w:val="20"/>
        </w:rPr>
        <w:t> </w:t>
      </w:r>
      <w:r>
        <w:rPr>
          <w:sz w:val="20"/>
        </w:rPr>
        <w:t>la Secretaría del</w:t>
      </w:r>
      <w:r>
        <w:rPr>
          <w:spacing w:val="-3"/>
          <w:sz w:val="20"/>
        </w:rPr>
        <w:t> </w:t>
      </w:r>
      <w:r>
        <w:rPr>
          <w:sz w:val="20"/>
        </w:rPr>
        <w:t>Trabajo y</w:t>
      </w:r>
      <w:r>
        <w:rPr>
          <w:spacing w:val="-5"/>
          <w:sz w:val="20"/>
        </w:rPr>
        <w:t> </w:t>
      </w:r>
      <w:r>
        <w:rPr>
          <w:sz w:val="20"/>
        </w:rPr>
        <w:t>Previsión Social,</w:t>
      </w:r>
      <w:r>
        <w:rPr>
          <w:spacing w:val="-2"/>
          <w:sz w:val="20"/>
        </w:rPr>
        <w:t> </w:t>
      </w:r>
      <w:r>
        <w:rPr>
          <w:sz w:val="20"/>
        </w:rPr>
        <w:t>de</w:t>
      </w:r>
      <w:r>
        <w:rPr>
          <w:spacing w:val="-2"/>
          <w:sz w:val="20"/>
        </w:rPr>
        <w:t> </w:t>
      </w:r>
      <w:r>
        <w:rPr>
          <w:sz w:val="20"/>
        </w:rPr>
        <w:t>Asesores Técnicos</w:t>
      </w:r>
      <w:r>
        <w:rPr>
          <w:spacing w:val="18"/>
          <w:sz w:val="20"/>
        </w:rPr>
        <w:t> </w:t>
      </w:r>
      <w:r>
        <w:rPr>
          <w:sz w:val="20"/>
        </w:rPr>
        <w:t>Auxiliares, designados</w:t>
      </w:r>
      <w:r>
        <w:rPr>
          <w:spacing w:val="18"/>
          <w:sz w:val="20"/>
        </w:rPr>
        <w:t> </w:t>
      </w:r>
      <w:r>
        <w:rPr>
          <w:sz w:val="20"/>
        </w:rPr>
        <w:t>por</w:t>
      </w:r>
      <w:r>
        <w:rPr>
          <w:spacing w:val="18"/>
          <w:sz w:val="20"/>
        </w:rPr>
        <w:t> </w:t>
      </w:r>
      <w:r>
        <w:rPr>
          <w:sz w:val="20"/>
        </w:rPr>
        <w:t>los</w:t>
      </w:r>
      <w:r>
        <w:rPr>
          <w:spacing w:val="18"/>
          <w:sz w:val="20"/>
        </w:rPr>
        <w:t> </w:t>
      </w:r>
      <w:r>
        <w:rPr>
          <w:sz w:val="20"/>
        </w:rPr>
        <w:t>representantes</w:t>
      </w:r>
      <w:r>
        <w:rPr>
          <w:spacing w:val="18"/>
          <w:sz w:val="20"/>
        </w:rPr>
        <w:t> </w:t>
      </w:r>
      <w:r>
        <w:rPr>
          <w:sz w:val="20"/>
        </w:rPr>
        <w:t>de los</w:t>
      </w:r>
      <w:r>
        <w:rPr>
          <w:spacing w:val="18"/>
          <w:sz w:val="20"/>
        </w:rPr>
        <w:t> </w:t>
      </w:r>
      <w:r>
        <w:rPr>
          <w:sz w:val="20"/>
        </w:rPr>
        <w:t>trabajadores</w:t>
      </w:r>
      <w:r>
        <w:rPr>
          <w:spacing w:val="20"/>
          <w:sz w:val="20"/>
        </w:rPr>
        <w:t> </w:t>
      </w:r>
      <w:r>
        <w:rPr>
          <w:sz w:val="20"/>
        </w:rPr>
        <w:t>y de los</w:t>
      </w:r>
      <w:r>
        <w:rPr>
          <w:spacing w:val="18"/>
          <w:sz w:val="20"/>
        </w:rPr>
        <w:t> </w:t>
      </w:r>
      <w:r>
        <w:rPr>
          <w:sz w:val="20"/>
        </w:rPr>
        <w:t>patrones.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BodyText"/>
        <w:ind w:left="1195" w:right="342"/>
      </w:pPr>
      <w:r>
        <w:rPr/>
        <w:t>Estos</w:t>
      </w:r>
      <w:r>
        <w:rPr>
          <w:spacing w:val="40"/>
        </w:rPr>
        <w:t> </w:t>
      </w:r>
      <w:r>
        <w:rPr/>
        <w:t>asesores</w:t>
      </w:r>
      <w:r>
        <w:rPr>
          <w:spacing w:val="40"/>
        </w:rPr>
        <w:t> </w:t>
      </w:r>
      <w:r>
        <w:rPr/>
        <w:t>disfrutarán,</w:t>
      </w:r>
      <w:r>
        <w:rPr>
          <w:spacing w:val="40"/>
        </w:rPr>
        <w:t> </w:t>
      </w:r>
      <w:r>
        <w:rPr/>
        <w:t>con</w:t>
      </w:r>
      <w:r>
        <w:rPr>
          <w:spacing w:val="40"/>
        </w:rPr>
        <w:t> </w:t>
      </w:r>
      <w:r>
        <w:rPr/>
        <w:t>cargo</w:t>
      </w:r>
      <w:r>
        <w:rPr>
          <w:spacing w:val="40"/>
        </w:rPr>
        <w:t> </w:t>
      </w:r>
      <w:r>
        <w:rPr/>
        <w:t>al</w:t>
      </w:r>
      <w:r>
        <w:rPr>
          <w:spacing w:val="40"/>
        </w:rPr>
        <w:t> </w:t>
      </w:r>
      <w:r>
        <w:rPr/>
        <w:t>Presupuesto</w:t>
      </w:r>
      <w:r>
        <w:rPr>
          <w:spacing w:val="40"/>
        </w:rPr>
        <w:t> </w:t>
      </w:r>
      <w:r>
        <w:rPr/>
        <w:t>de</w:t>
      </w:r>
      <w:r>
        <w:rPr>
          <w:spacing w:val="40"/>
        </w:rPr>
        <w:t> </w:t>
      </w:r>
      <w:r>
        <w:rPr/>
        <w:t>Egresos</w:t>
      </w:r>
      <w:r>
        <w:rPr>
          <w:spacing w:val="40"/>
        </w:rPr>
        <w:t> </w:t>
      </w:r>
      <w:r>
        <w:rPr/>
        <w:t>de</w:t>
      </w:r>
      <w:r>
        <w:rPr>
          <w:spacing w:val="40"/>
        </w:rPr>
        <w:t> </w:t>
      </w:r>
      <w:r>
        <w:rPr/>
        <w:t>la</w:t>
      </w:r>
      <w:r>
        <w:rPr>
          <w:spacing w:val="40"/>
        </w:rPr>
        <w:t> </w:t>
      </w:r>
      <w:r>
        <w:rPr/>
        <w:t>Federación,</w:t>
      </w:r>
      <w:r>
        <w:rPr>
          <w:spacing w:val="40"/>
        </w:rPr>
        <w:t> </w:t>
      </w:r>
      <w:r>
        <w:rPr/>
        <w:t>de</w:t>
      </w:r>
      <w:r>
        <w:rPr>
          <w:spacing w:val="40"/>
        </w:rPr>
        <w:t> </w:t>
      </w:r>
      <w:r>
        <w:rPr/>
        <w:t>la misma retribución que se pague a los nombrados por la Secretaría.</w:t>
      </w:r>
    </w:p>
    <w:p>
      <w:pPr>
        <w:pStyle w:val="BodyText"/>
        <w:spacing w:line="242" w:lineRule="auto" w:before="229"/>
        <w:ind w:left="338" w:right="344" w:firstLine="288"/>
        <w:jc w:val="both"/>
      </w:pPr>
      <w:bookmarkStart w:name="Artículo_583" w:id="734"/>
      <w:bookmarkEnd w:id="734"/>
      <w:r>
        <w:rPr/>
      </w:r>
      <w:r>
        <w:rPr>
          <w:rFonts w:ascii="Arial" w:hAnsi="Arial"/>
          <w:b/>
        </w:rPr>
        <w:t>Artículo 583.- </w:t>
      </w:r>
      <w:r>
        <w:rPr/>
        <w:t>El Director, los Asesores Técnicos y los Asesores Técnicos Auxiliares, deberán satisfacer los requisitos señalados en el artículo 560. Es aplicable a los Asesores auxiliares lo dispuesto en el artículo 559.</w:t>
      </w:r>
    </w:p>
    <w:p>
      <w:pPr>
        <w:pStyle w:val="BodyText"/>
        <w:spacing w:before="223"/>
        <w:ind w:left="626"/>
      </w:pPr>
      <w:bookmarkStart w:name="Artículo_584" w:id="735"/>
      <w:bookmarkEnd w:id="735"/>
      <w:r>
        <w:rPr/>
      </w:r>
      <w:r>
        <w:rPr>
          <w:rFonts w:ascii="Arial" w:hAnsi="Arial"/>
          <w:b/>
        </w:rPr>
        <w:t>Artículo</w:t>
      </w:r>
      <w:r>
        <w:rPr>
          <w:rFonts w:ascii="Arial" w:hAnsi="Arial"/>
          <w:b/>
          <w:spacing w:val="-7"/>
        </w:rPr>
        <w:t> </w:t>
      </w:r>
      <w:r>
        <w:rPr>
          <w:rFonts w:ascii="Arial" w:hAnsi="Arial"/>
          <w:b/>
        </w:rPr>
        <w:t>584.-</w:t>
      </w:r>
      <w:r>
        <w:rPr>
          <w:rFonts w:ascii="Arial" w:hAnsi="Arial"/>
          <w:b/>
          <w:spacing w:val="-6"/>
        </w:rPr>
        <w:t> </w:t>
      </w:r>
      <w:r>
        <w:rPr/>
        <w:t>La</w:t>
      </w:r>
      <w:r>
        <w:rPr>
          <w:spacing w:val="-8"/>
        </w:rPr>
        <w:t> </w:t>
      </w:r>
      <w:r>
        <w:rPr/>
        <w:t>Dirección</w:t>
      </w:r>
      <w:r>
        <w:rPr>
          <w:spacing w:val="-5"/>
        </w:rPr>
        <w:t> </w:t>
      </w:r>
      <w:r>
        <w:rPr/>
        <w:t>Técnica</w:t>
      </w:r>
      <w:r>
        <w:rPr>
          <w:spacing w:val="-8"/>
        </w:rPr>
        <w:t> </w:t>
      </w:r>
      <w:r>
        <w:rPr/>
        <w:t>tiene</w:t>
      </w:r>
      <w:r>
        <w:rPr>
          <w:spacing w:val="-5"/>
        </w:rPr>
        <w:t> </w:t>
      </w:r>
      <w:r>
        <w:rPr/>
        <w:t>los</w:t>
      </w:r>
      <w:r>
        <w:rPr>
          <w:spacing w:val="-7"/>
        </w:rPr>
        <w:t> </w:t>
      </w:r>
      <w:r>
        <w:rPr/>
        <w:t>deberes</w:t>
      </w:r>
      <w:r>
        <w:rPr>
          <w:spacing w:val="-4"/>
        </w:rPr>
        <w:t> </w:t>
      </w:r>
      <w:r>
        <w:rPr/>
        <w:t>y</w:t>
      </w:r>
      <w:r>
        <w:rPr>
          <w:spacing w:val="-9"/>
        </w:rPr>
        <w:t> </w:t>
      </w:r>
      <w:r>
        <w:rPr/>
        <w:t>atribuciones</w:t>
      </w:r>
      <w:r>
        <w:rPr>
          <w:spacing w:val="-6"/>
        </w:rPr>
        <w:t> </w:t>
      </w:r>
      <w:r>
        <w:rPr>
          <w:spacing w:val="-2"/>
        </w:rPr>
        <w:t>siguientes:</w:t>
      </w:r>
    </w:p>
    <w:p>
      <w:pPr>
        <w:pStyle w:val="BodyText"/>
      </w:pPr>
    </w:p>
    <w:p>
      <w:pPr>
        <w:pStyle w:val="ListParagraph"/>
        <w:numPr>
          <w:ilvl w:val="0"/>
          <w:numId w:val="253"/>
        </w:numPr>
        <w:tabs>
          <w:tab w:pos="1193" w:val="left" w:leader="none"/>
          <w:tab w:pos="1195" w:val="left" w:leader="none"/>
        </w:tabs>
        <w:spacing w:line="242" w:lineRule="auto" w:before="0" w:after="0"/>
        <w:ind w:left="1195" w:right="348" w:hanging="569"/>
        <w:jc w:val="both"/>
        <w:rPr>
          <w:sz w:val="20"/>
        </w:rPr>
      </w:pPr>
      <w:r>
        <w:rPr>
          <w:sz w:val="20"/>
        </w:rPr>
        <w:t>Practicar las investigaciones y</w:t>
      </w:r>
      <w:r>
        <w:rPr>
          <w:spacing w:val="-3"/>
          <w:sz w:val="20"/>
        </w:rPr>
        <w:t> </w:t>
      </w:r>
      <w:r>
        <w:rPr>
          <w:sz w:val="20"/>
        </w:rPr>
        <w:t>realizar los estudios previstos en el plan de trabajo aprobado por el Consejo de Representantes y los que posteriormente se le encomienden;</w:t>
      </w:r>
    </w:p>
    <w:p>
      <w:pPr>
        <w:pStyle w:val="ListParagraph"/>
        <w:numPr>
          <w:ilvl w:val="0"/>
          <w:numId w:val="253"/>
        </w:numPr>
        <w:tabs>
          <w:tab w:pos="1192" w:val="left" w:leader="none"/>
          <w:tab w:pos="1195" w:val="left" w:leader="none"/>
        </w:tabs>
        <w:spacing w:line="242" w:lineRule="auto" w:before="225" w:after="0"/>
        <w:ind w:left="1195" w:right="335" w:hanging="569"/>
        <w:jc w:val="both"/>
        <w:rPr>
          <w:sz w:val="20"/>
        </w:rPr>
      </w:pPr>
      <w:r>
        <w:rPr>
          <w:sz w:val="20"/>
        </w:rPr>
        <w:t>Solicitar toda clase de informes y estudios de las instituciones oficiales, federales o estatales y de las particulares que se ocupen de problemas económicos, tales como los institutos de investigaciones</w:t>
      </w:r>
      <w:r>
        <w:rPr>
          <w:spacing w:val="-1"/>
          <w:sz w:val="20"/>
        </w:rPr>
        <w:t> </w:t>
      </w:r>
      <w:r>
        <w:rPr>
          <w:sz w:val="20"/>
        </w:rPr>
        <w:t>sociales y</w:t>
      </w:r>
      <w:r>
        <w:rPr>
          <w:spacing w:val="-3"/>
          <w:sz w:val="20"/>
        </w:rPr>
        <w:t> </w:t>
      </w:r>
      <w:r>
        <w:rPr>
          <w:sz w:val="20"/>
        </w:rPr>
        <w:t>económicas,</w:t>
      </w:r>
      <w:r>
        <w:rPr>
          <w:spacing w:val="-2"/>
          <w:sz w:val="20"/>
        </w:rPr>
        <w:t> </w:t>
      </w:r>
      <w:r>
        <w:rPr>
          <w:sz w:val="20"/>
        </w:rPr>
        <w:t>las organizaciones</w:t>
      </w:r>
      <w:r>
        <w:rPr>
          <w:spacing w:val="-1"/>
          <w:sz w:val="20"/>
        </w:rPr>
        <w:t> </w:t>
      </w:r>
      <w:r>
        <w:rPr>
          <w:sz w:val="20"/>
        </w:rPr>
        <w:t>sindicales,</w:t>
      </w:r>
      <w:r>
        <w:rPr>
          <w:spacing w:val="-2"/>
          <w:sz w:val="20"/>
        </w:rPr>
        <w:t> </w:t>
      </w:r>
      <w:r>
        <w:rPr>
          <w:sz w:val="20"/>
        </w:rPr>
        <w:t>las</w:t>
      </w:r>
      <w:r>
        <w:rPr>
          <w:spacing w:val="-1"/>
          <w:sz w:val="20"/>
        </w:rPr>
        <w:t> </w:t>
      </w:r>
      <w:r>
        <w:rPr>
          <w:sz w:val="20"/>
        </w:rPr>
        <w:t>cámaras</w:t>
      </w:r>
      <w:r>
        <w:rPr>
          <w:spacing w:val="-1"/>
          <w:sz w:val="20"/>
        </w:rPr>
        <w:t> </w:t>
      </w:r>
      <w:r>
        <w:rPr>
          <w:sz w:val="20"/>
        </w:rPr>
        <w:t>de comercio, las de industria y otras instituciones semejantes.</w:t>
      </w:r>
    </w:p>
    <w:p>
      <w:pPr>
        <w:pStyle w:val="ListParagraph"/>
        <w:numPr>
          <w:ilvl w:val="0"/>
          <w:numId w:val="253"/>
        </w:numPr>
        <w:tabs>
          <w:tab w:pos="1191" w:val="left" w:leader="none"/>
          <w:tab w:pos="1195" w:val="left" w:leader="none"/>
        </w:tabs>
        <w:spacing w:line="242" w:lineRule="auto" w:before="221" w:after="0"/>
        <w:ind w:left="1195" w:right="345" w:hanging="569"/>
        <w:jc w:val="both"/>
        <w:rPr>
          <w:sz w:val="20"/>
        </w:rPr>
      </w:pPr>
      <w:r>
        <w:rPr>
          <w:sz w:val="20"/>
        </w:rPr>
        <w:t>Recibir</w:t>
      </w:r>
      <w:r>
        <w:rPr>
          <w:spacing w:val="-2"/>
          <w:sz w:val="20"/>
        </w:rPr>
        <w:t> </w:t>
      </w:r>
      <w:r>
        <w:rPr>
          <w:sz w:val="20"/>
        </w:rPr>
        <w:t>y</w:t>
      </w:r>
      <w:r>
        <w:rPr>
          <w:spacing w:val="-5"/>
          <w:sz w:val="20"/>
        </w:rPr>
        <w:t> </w:t>
      </w:r>
      <w:r>
        <w:rPr>
          <w:sz w:val="20"/>
        </w:rPr>
        <w:t>considerar</w:t>
      </w:r>
      <w:r>
        <w:rPr>
          <w:spacing w:val="-2"/>
          <w:sz w:val="20"/>
        </w:rPr>
        <w:t> </w:t>
      </w:r>
      <w:r>
        <w:rPr>
          <w:sz w:val="20"/>
        </w:rPr>
        <w:t>los</w:t>
      </w:r>
      <w:r>
        <w:rPr>
          <w:spacing w:val="-2"/>
          <w:sz w:val="20"/>
        </w:rPr>
        <w:t> </w:t>
      </w:r>
      <w:r>
        <w:rPr>
          <w:sz w:val="20"/>
        </w:rPr>
        <w:t>estudios,</w:t>
      </w:r>
      <w:r>
        <w:rPr>
          <w:spacing w:val="-4"/>
          <w:sz w:val="20"/>
        </w:rPr>
        <w:t> </w:t>
      </w:r>
      <w:r>
        <w:rPr>
          <w:sz w:val="20"/>
        </w:rPr>
        <w:t>informes</w:t>
      </w:r>
      <w:r>
        <w:rPr>
          <w:spacing w:val="-2"/>
          <w:sz w:val="20"/>
        </w:rPr>
        <w:t> </w:t>
      </w:r>
      <w:r>
        <w:rPr>
          <w:sz w:val="20"/>
        </w:rPr>
        <w:t>y</w:t>
      </w:r>
      <w:r>
        <w:rPr>
          <w:spacing w:val="-7"/>
          <w:sz w:val="20"/>
        </w:rPr>
        <w:t> </w:t>
      </w:r>
      <w:r>
        <w:rPr>
          <w:sz w:val="20"/>
        </w:rPr>
        <w:t>sugerencias</w:t>
      </w:r>
      <w:r>
        <w:rPr>
          <w:spacing w:val="-3"/>
          <w:sz w:val="20"/>
        </w:rPr>
        <w:t> </w:t>
      </w:r>
      <w:r>
        <w:rPr>
          <w:sz w:val="20"/>
        </w:rPr>
        <w:t>que</w:t>
      </w:r>
      <w:r>
        <w:rPr>
          <w:spacing w:val="-2"/>
          <w:sz w:val="20"/>
        </w:rPr>
        <w:t> </w:t>
      </w:r>
      <w:r>
        <w:rPr>
          <w:sz w:val="20"/>
        </w:rPr>
        <w:t>le</w:t>
      </w:r>
      <w:r>
        <w:rPr>
          <w:spacing w:val="-3"/>
          <w:sz w:val="20"/>
        </w:rPr>
        <w:t> </w:t>
      </w:r>
      <w:r>
        <w:rPr>
          <w:sz w:val="20"/>
        </w:rPr>
        <w:t>presenten</w:t>
      </w:r>
      <w:r>
        <w:rPr>
          <w:spacing w:val="-3"/>
          <w:sz w:val="20"/>
        </w:rPr>
        <w:t> </w:t>
      </w:r>
      <w:r>
        <w:rPr>
          <w:sz w:val="20"/>
        </w:rPr>
        <w:t>los</w:t>
      </w:r>
      <w:r>
        <w:rPr>
          <w:spacing w:val="-2"/>
          <w:sz w:val="20"/>
        </w:rPr>
        <w:t> </w:t>
      </w:r>
      <w:r>
        <w:rPr>
          <w:sz w:val="20"/>
        </w:rPr>
        <w:t>trabajadores y</w:t>
      </w:r>
      <w:r>
        <w:rPr>
          <w:spacing w:val="-5"/>
          <w:sz w:val="20"/>
        </w:rPr>
        <w:t> </w:t>
      </w:r>
      <w:r>
        <w:rPr>
          <w:sz w:val="20"/>
        </w:rPr>
        <w:t>los </w:t>
      </w:r>
      <w:r>
        <w:rPr>
          <w:spacing w:val="-2"/>
          <w:sz w:val="20"/>
        </w:rPr>
        <w:t>patrones;</w:t>
      </w:r>
    </w:p>
    <w:p>
      <w:pPr>
        <w:pStyle w:val="ListParagraph"/>
        <w:numPr>
          <w:ilvl w:val="0"/>
          <w:numId w:val="253"/>
        </w:numPr>
        <w:tabs>
          <w:tab w:pos="1195" w:val="left" w:leader="none"/>
        </w:tabs>
        <w:spacing w:line="240" w:lineRule="auto" w:before="226" w:after="0"/>
        <w:ind w:left="1195" w:right="0" w:hanging="569"/>
        <w:jc w:val="left"/>
        <w:rPr>
          <w:sz w:val="20"/>
        </w:rPr>
      </w:pPr>
      <w:r>
        <w:rPr>
          <w:sz w:val="20"/>
        </w:rPr>
        <w:t>Allegarse</w:t>
      </w:r>
      <w:r>
        <w:rPr>
          <w:spacing w:val="-8"/>
          <w:sz w:val="20"/>
        </w:rPr>
        <w:t> </w:t>
      </w:r>
      <w:r>
        <w:rPr>
          <w:sz w:val="20"/>
        </w:rPr>
        <w:t>todos</w:t>
      </w:r>
      <w:r>
        <w:rPr>
          <w:spacing w:val="-7"/>
          <w:sz w:val="20"/>
        </w:rPr>
        <w:t> </w:t>
      </w:r>
      <w:r>
        <w:rPr>
          <w:sz w:val="20"/>
        </w:rPr>
        <w:t>los</w:t>
      </w:r>
      <w:r>
        <w:rPr>
          <w:spacing w:val="-5"/>
          <w:sz w:val="20"/>
        </w:rPr>
        <w:t> </w:t>
      </w:r>
      <w:r>
        <w:rPr>
          <w:sz w:val="20"/>
        </w:rPr>
        <w:t>demás</w:t>
      </w:r>
      <w:r>
        <w:rPr>
          <w:spacing w:val="-7"/>
          <w:sz w:val="20"/>
        </w:rPr>
        <w:t> </w:t>
      </w:r>
      <w:r>
        <w:rPr>
          <w:sz w:val="20"/>
        </w:rPr>
        <w:t>elementos</w:t>
      </w:r>
      <w:r>
        <w:rPr>
          <w:spacing w:val="-7"/>
          <w:sz w:val="20"/>
        </w:rPr>
        <w:t> </w:t>
      </w:r>
      <w:r>
        <w:rPr>
          <w:sz w:val="20"/>
        </w:rPr>
        <w:t>que</w:t>
      </w:r>
      <w:r>
        <w:rPr>
          <w:spacing w:val="-7"/>
          <w:sz w:val="20"/>
        </w:rPr>
        <w:t> </w:t>
      </w:r>
      <w:r>
        <w:rPr>
          <w:sz w:val="20"/>
        </w:rPr>
        <w:t>juzgue</w:t>
      </w:r>
      <w:r>
        <w:rPr>
          <w:spacing w:val="-6"/>
          <w:sz w:val="20"/>
        </w:rPr>
        <w:t> </w:t>
      </w:r>
      <w:r>
        <w:rPr>
          <w:sz w:val="20"/>
        </w:rPr>
        <w:t>necesarios</w:t>
      </w:r>
      <w:r>
        <w:rPr>
          <w:spacing w:val="-7"/>
          <w:sz w:val="20"/>
        </w:rPr>
        <w:t> </w:t>
      </w:r>
      <w:r>
        <w:rPr>
          <w:sz w:val="20"/>
        </w:rPr>
        <w:t>o</w:t>
      </w:r>
      <w:r>
        <w:rPr>
          <w:spacing w:val="-9"/>
          <w:sz w:val="20"/>
        </w:rPr>
        <w:t> </w:t>
      </w:r>
      <w:r>
        <w:rPr>
          <w:spacing w:val="-2"/>
          <w:sz w:val="20"/>
        </w:rPr>
        <w:t>apropiados;</w:t>
      </w:r>
    </w:p>
    <w:p>
      <w:pPr>
        <w:pStyle w:val="BodyText"/>
        <w:spacing w:before="1"/>
      </w:pPr>
    </w:p>
    <w:p>
      <w:pPr>
        <w:pStyle w:val="ListParagraph"/>
        <w:numPr>
          <w:ilvl w:val="0"/>
          <w:numId w:val="253"/>
        </w:numPr>
        <w:tabs>
          <w:tab w:pos="1195" w:val="left" w:leader="none"/>
        </w:tabs>
        <w:spacing w:line="240" w:lineRule="auto" w:before="0" w:after="0"/>
        <w:ind w:left="1195" w:right="342" w:hanging="569"/>
        <w:jc w:val="both"/>
        <w:rPr>
          <w:sz w:val="20"/>
        </w:rPr>
      </w:pPr>
      <w:r>
        <w:rPr>
          <w:sz w:val="20"/>
        </w:rPr>
        <w:t>Preparar un informe, que debe contener los resultados de las investigaciones y estudios efectuados y un resumen de las sugerencias y estudios de los trabajadores y patrones y someterlo a la consideración del Consejo de Representantes; y</w:t>
      </w:r>
    </w:p>
    <w:p>
      <w:pPr>
        <w:pStyle w:val="ListParagraph"/>
        <w:numPr>
          <w:ilvl w:val="0"/>
          <w:numId w:val="253"/>
        </w:numPr>
        <w:tabs>
          <w:tab w:pos="1195" w:val="left" w:leader="none"/>
        </w:tabs>
        <w:spacing w:line="240" w:lineRule="auto" w:before="229" w:after="0"/>
        <w:ind w:left="1195" w:right="0" w:hanging="569"/>
        <w:jc w:val="left"/>
        <w:rPr>
          <w:sz w:val="20"/>
        </w:rPr>
      </w:pPr>
      <w:r>
        <w:rPr>
          <w:sz w:val="20"/>
        </w:rPr>
        <w:t>Los</w:t>
      </w:r>
      <w:r>
        <w:rPr>
          <w:spacing w:val="-5"/>
          <w:sz w:val="20"/>
        </w:rPr>
        <w:t> </w:t>
      </w:r>
      <w:r>
        <w:rPr>
          <w:sz w:val="20"/>
        </w:rPr>
        <w:t>demás</w:t>
      </w:r>
      <w:r>
        <w:rPr>
          <w:spacing w:val="-5"/>
          <w:sz w:val="20"/>
        </w:rPr>
        <w:t> </w:t>
      </w:r>
      <w:r>
        <w:rPr>
          <w:sz w:val="20"/>
        </w:rPr>
        <w:t>que</w:t>
      </w:r>
      <w:r>
        <w:rPr>
          <w:spacing w:val="-5"/>
          <w:sz w:val="20"/>
        </w:rPr>
        <w:t> </w:t>
      </w:r>
      <w:r>
        <w:rPr>
          <w:sz w:val="20"/>
        </w:rPr>
        <w:t>le</w:t>
      </w:r>
      <w:r>
        <w:rPr>
          <w:spacing w:val="-6"/>
          <w:sz w:val="20"/>
        </w:rPr>
        <w:t> </w:t>
      </w:r>
      <w:r>
        <w:rPr>
          <w:sz w:val="20"/>
        </w:rPr>
        <w:t>confieran</w:t>
      </w:r>
      <w:r>
        <w:rPr>
          <w:spacing w:val="-5"/>
          <w:sz w:val="20"/>
        </w:rPr>
        <w:t> </w:t>
      </w:r>
      <w:r>
        <w:rPr>
          <w:sz w:val="20"/>
        </w:rPr>
        <w:t>las</w:t>
      </w:r>
      <w:r>
        <w:rPr>
          <w:spacing w:val="-3"/>
          <w:sz w:val="20"/>
        </w:rPr>
        <w:t> </w:t>
      </w:r>
      <w:r>
        <w:rPr>
          <w:spacing w:val="-2"/>
          <w:sz w:val="20"/>
        </w:rPr>
        <w:t>leyes.</w:t>
      </w:r>
    </w:p>
    <w:p>
      <w:pPr>
        <w:pStyle w:val="BodyText"/>
        <w:spacing w:before="1"/>
      </w:pPr>
    </w:p>
    <w:p>
      <w:pPr>
        <w:pStyle w:val="BodyText"/>
        <w:spacing w:before="1"/>
        <w:ind w:left="626"/>
      </w:pPr>
      <w:bookmarkStart w:name="Artículo_585" w:id="736"/>
      <w:bookmarkEnd w:id="736"/>
      <w:r>
        <w:rPr/>
      </w:r>
      <w:r>
        <w:rPr>
          <w:rFonts w:ascii="Arial" w:hAnsi="Arial"/>
          <w:b/>
        </w:rPr>
        <w:t>Artículo</w:t>
      </w:r>
      <w:r>
        <w:rPr>
          <w:rFonts w:ascii="Arial" w:hAnsi="Arial"/>
          <w:b/>
          <w:spacing w:val="-7"/>
        </w:rPr>
        <w:t> </w:t>
      </w:r>
      <w:r>
        <w:rPr>
          <w:rFonts w:ascii="Arial" w:hAnsi="Arial"/>
          <w:b/>
        </w:rPr>
        <w:t>585.-</w:t>
      </w:r>
      <w:r>
        <w:rPr>
          <w:rFonts w:ascii="Arial" w:hAnsi="Arial"/>
          <w:b/>
          <w:spacing w:val="-5"/>
        </w:rPr>
        <w:t> </w:t>
      </w:r>
      <w:r>
        <w:rPr/>
        <w:t>El</w:t>
      </w:r>
      <w:r>
        <w:rPr>
          <w:spacing w:val="-7"/>
        </w:rPr>
        <w:t> </w:t>
      </w:r>
      <w:r>
        <w:rPr/>
        <w:t>Director</w:t>
      </w:r>
      <w:r>
        <w:rPr>
          <w:spacing w:val="-7"/>
        </w:rPr>
        <w:t> </w:t>
      </w:r>
      <w:r>
        <w:rPr/>
        <w:t>Técnico</w:t>
      </w:r>
      <w:r>
        <w:rPr>
          <w:spacing w:val="-8"/>
        </w:rPr>
        <w:t> </w:t>
      </w:r>
      <w:r>
        <w:rPr/>
        <w:t>tiene</w:t>
      </w:r>
      <w:r>
        <w:rPr>
          <w:spacing w:val="-7"/>
        </w:rPr>
        <w:t> </w:t>
      </w:r>
      <w:r>
        <w:rPr/>
        <w:t>los</w:t>
      </w:r>
      <w:r>
        <w:rPr>
          <w:spacing w:val="-7"/>
        </w:rPr>
        <w:t> </w:t>
      </w:r>
      <w:r>
        <w:rPr/>
        <w:t>deberes</w:t>
      </w:r>
      <w:r>
        <w:rPr>
          <w:spacing w:val="-3"/>
        </w:rPr>
        <w:t> </w:t>
      </w:r>
      <w:r>
        <w:rPr/>
        <w:t>y</w:t>
      </w:r>
      <w:r>
        <w:rPr>
          <w:spacing w:val="-9"/>
        </w:rPr>
        <w:t> </w:t>
      </w:r>
      <w:r>
        <w:rPr/>
        <w:t>atribuciones</w:t>
      </w:r>
      <w:r>
        <w:rPr>
          <w:spacing w:val="-6"/>
        </w:rPr>
        <w:t> </w:t>
      </w:r>
      <w:r>
        <w:rPr>
          <w:spacing w:val="-2"/>
        </w:rPr>
        <w:t>siguientes:</w:t>
      </w:r>
    </w:p>
    <w:p>
      <w:pPr>
        <w:pStyle w:val="ListParagraph"/>
        <w:numPr>
          <w:ilvl w:val="0"/>
          <w:numId w:val="254"/>
        </w:numPr>
        <w:tabs>
          <w:tab w:pos="1195" w:val="left" w:leader="none"/>
        </w:tabs>
        <w:spacing w:line="240" w:lineRule="auto" w:before="228" w:after="0"/>
        <w:ind w:left="1195" w:right="0" w:hanging="569"/>
        <w:jc w:val="left"/>
        <w:rPr>
          <w:sz w:val="20"/>
        </w:rPr>
      </w:pPr>
      <w:r>
        <w:rPr>
          <w:sz w:val="20"/>
        </w:rPr>
        <w:t>Coordinar</w:t>
      </w:r>
      <w:r>
        <w:rPr>
          <w:spacing w:val="-6"/>
          <w:sz w:val="20"/>
        </w:rPr>
        <w:t> </w:t>
      </w:r>
      <w:r>
        <w:rPr>
          <w:sz w:val="20"/>
        </w:rPr>
        <w:t>los</w:t>
      </w:r>
      <w:r>
        <w:rPr>
          <w:spacing w:val="-7"/>
          <w:sz w:val="20"/>
        </w:rPr>
        <w:t> </w:t>
      </w:r>
      <w:r>
        <w:rPr>
          <w:sz w:val="20"/>
        </w:rPr>
        <w:t>trabajos</w:t>
      </w:r>
      <w:r>
        <w:rPr>
          <w:spacing w:val="-7"/>
          <w:sz w:val="20"/>
        </w:rPr>
        <w:t> </w:t>
      </w:r>
      <w:r>
        <w:rPr>
          <w:sz w:val="20"/>
        </w:rPr>
        <w:t>de</w:t>
      </w:r>
      <w:r>
        <w:rPr>
          <w:spacing w:val="-8"/>
          <w:sz w:val="20"/>
        </w:rPr>
        <w:t> </w:t>
      </w:r>
      <w:r>
        <w:rPr>
          <w:sz w:val="20"/>
        </w:rPr>
        <w:t>los</w:t>
      </w:r>
      <w:r>
        <w:rPr>
          <w:spacing w:val="-7"/>
          <w:sz w:val="20"/>
        </w:rPr>
        <w:t> </w:t>
      </w:r>
      <w:r>
        <w:rPr>
          <w:spacing w:val="-2"/>
          <w:sz w:val="20"/>
        </w:rPr>
        <w:t>Asesores;</w:t>
      </w:r>
    </w:p>
    <w:p>
      <w:pPr>
        <w:pStyle w:val="BodyText"/>
        <w:spacing w:before="1"/>
      </w:pPr>
    </w:p>
    <w:p>
      <w:pPr>
        <w:pStyle w:val="ListParagraph"/>
        <w:numPr>
          <w:ilvl w:val="0"/>
          <w:numId w:val="254"/>
        </w:numPr>
        <w:tabs>
          <w:tab w:pos="1192" w:val="left" w:leader="none"/>
          <w:tab w:pos="1195" w:val="left" w:leader="none"/>
        </w:tabs>
        <w:spacing w:line="242" w:lineRule="auto" w:before="0" w:after="0"/>
        <w:ind w:left="1195" w:right="343" w:hanging="569"/>
        <w:jc w:val="both"/>
        <w:rPr>
          <w:sz w:val="20"/>
        </w:rPr>
      </w:pPr>
      <w:r>
        <w:rPr>
          <w:sz w:val="20"/>
        </w:rPr>
        <w:t>Informar periódicamente al Presidente de la Comisión y al Consejo de Representantes, del estado de los trabajos y sugerir se lleven a cabo investigaciones y estudios complementarios;</w:t>
      </w:r>
    </w:p>
    <w:p>
      <w:pPr>
        <w:pStyle w:val="ListParagraph"/>
        <w:numPr>
          <w:ilvl w:val="0"/>
          <w:numId w:val="254"/>
        </w:numPr>
        <w:tabs>
          <w:tab w:pos="1195" w:val="left" w:leader="none"/>
        </w:tabs>
        <w:spacing w:line="240" w:lineRule="auto" w:before="224" w:after="0"/>
        <w:ind w:left="1195" w:right="0" w:hanging="569"/>
        <w:jc w:val="left"/>
        <w:rPr>
          <w:sz w:val="20"/>
        </w:rPr>
      </w:pPr>
      <w:r>
        <w:rPr>
          <w:sz w:val="20"/>
        </w:rPr>
        <w:t>Actuar</w:t>
      </w:r>
      <w:r>
        <w:rPr>
          <w:spacing w:val="-8"/>
          <w:sz w:val="20"/>
        </w:rPr>
        <w:t> </w:t>
      </w:r>
      <w:r>
        <w:rPr>
          <w:sz w:val="20"/>
        </w:rPr>
        <w:t>como</w:t>
      </w:r>
      <w:r>
        <w:rPr>
          <w:spacing w:val="-8"/>
          <w:sz w:val="20"/>
        </w:rPr>
        <w:t> </w:t>
      </w:r>
      <w:r>
        <w:rPr>
          <w:sz w:val="20"/>
        </w:rPr>
        <w:t>Secretario</w:t>
      </w:r>
      <w:r>
        <w:rPr>
          <w:spacing w:val="-8"/>
          <w:sz w:val="20"/>
        </w:rPr>
        <w:t> </w:t>
      </w:r>
      <w:r>
        <w:rPr>
          <w:sz w:val="20"/>
        </w:rPr>
        <w:t>del</w:t>
      </w:r>
      <w:r>
        <w:rPr>
          <w:spacing w:val="-7"/>
          <w:sz w:val="20"/>
        </w:rPr>
        <w:t> </w:t>
      </w:r>
      <w:r>
        <w:rPr>
          <w:sz w:val="20"/>
        </w:rPr>
        <w:t>Consejo</w:t>
      </w:r>
      <w:r>
        <w:rPr>
          <w:spacing w:val="-8"/>
          <w:sz w:val="20"/>
        </w:rPr>
        <w:t> </w:t>
      </w:r>
      <w:r>
        <w:rPr>
          <w:sz w:val="20"/>
        </w:rPr>
        <w:t>de</w:t>
      </w:r>
      <w:r>
        <w:rPr>
          <w:spacing w:val="-8"/>
          <w:sz w:val="20"/>
        </w:rPr>
        <w:t> </w:t>
      </w:r>
      <w:r>
        <w:rPr>
          <w:sz w:val="20"/>
        </w:rPr>
        <w:t>Representantes;</w:t>
      </w:r>
      <w:r>
        <w:rPr>
          <w:spacing w:val="-6"/>
          <w:sz w:val="20"/>
        </w:rPr>
        <w:t> </w:t>
      </w:r>
      <w:r>
        <w:rPr>
          <w:spacing w:val="-10"/>
          <w:sz w:val="20"/>
        </w:rPr>
        <w:t>y</w:t>
      </w:r>
    </w:p>
    <w:p>
      <w:pPr>
        <w:pStyle w:val="BodyText"/>
        <w:spacing w:before="1"/>
      </w:pPr>
    </w:p>
    <w:p>
      <w:pPr>
        <w:pStyle w:val="ListParagraph"/>
        <w:numPr>
          <w:ilvl w:val="0"/>
          <w:numId w:val="254"/>
        </w:numPr>
        <w:tabs>
          <w:tab w:pos="1195" w:val="left" w:leader="none"/>
        </w:tabs>
        <w:spacing w:line="240" w:lineRule="auto" w:before="0" w:after="0"/>
        <w:ind w:left="1195" w:right="0" w:hanging="569"/>
        <w:jc w:val="left"/>
        <w:rPr>
          <w:sz w:val="20"/>
        </w:rPr>
      </w:pPr>
      <w:r>
        <w:rPr>
          <w:sz w:val="20"/>
        </w:rPr>
        <w:t>Los</w:t>
      </w:r>
      <w:r>
        <w:rPr>
          <w:spacing w:val="-5"/>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confieran</w:t>
      </w:r>
      <w:r>
        <w:rPr>
          <w:spacing w:val="-6"/>
          <w:sz w:val="20"/>
        </w:rPr>
        <w:t> </w:t>
      </w:r>
      <w:r>
        <w:rPr>
          <w:sz w:val="20"/>
        </w:rPr>
        <w:t>las</w:t>
      </w:r>
      <w:r>
        <w:rPr>
          <w:spacing w:val="-3"/>
          <w:sz w:val="20"/>
        </w:rPr>
        <w:t> </w:t>
      </w:r>
      <w:r>
        <w:rPr>
          <w:spacing w:val="-2"/>
          <w:sz w:val="20"/>
        </w:rPr>
        <w:t>leyes.</w:t>
      </w:r>
    </w:p>
    <w:p>
      <w:pPr>
        <w:pStyle w:val="BodyText"/>
        <w:spacing w:before="1"/>
      </w:pPr>
    </w:p>
    <w:p>
      <w:pPr>
        <w:pStyle w:val="BodyText"/>
        <w:ind w:left="626"/>
      </w:pPr>
      <w:bookmarkStart w:name="Artículo_586" w:id="737"/>
      <w:bookmarkEnd w:id="737"/>
      <w:r>
        <w:rPr/>
      </w:r>
      <w:r>
        <w:rPr>
          <w:rFonts w:ascii="Arial" w:hAnsi="Arial"/>
          <w:b/>
        </w:rPr>
        <w:t>Artículo</w:t>
      </w:r>
      <w:r>
        <w:rPr>
          <w:rFonts w:ascii="Arial" w:hAnsi="Arial"/>
          <w:b/>
          <w:spacing w:val="-6"/>
        </w:rPr>
        <w:t> </w:t>
      </w:r>
      <w:r>
        <w:rPr>
          <w:rFonts w:ascii="Arial" w:hAnsi="Arial"/>
          <w:b/>
        </w:rPr>
        <w:t>586.-</w:t>
      </w:r>
      <w:r>
        <w:rPr>
          <w:rFonts w:ascii="Arial" w:hAnsi="Arial"/>
          <w:b/>
          <w:spacing w:val="-3"/>
        </w:rPr>
        <w:t> </w:t>
      </w:r>
      <w:r>
        <w:rPr/>
        <w:t>En</w:t>
      </w:r>
      <w:r>
        <w:rPr>
          <w:spacing w:val="-5"/>
        </w:rPr>
        <w:t> </w:t>
      </w:r>
      <w:r>
        <w:rPr/>
        <w:t>el</w:t>
      </w:r>
      <w:r>
        <w:rPr>
          <w:spacing w:val="-7"/>
        </w:rPr>
        <w:t> </w:t>
      </w:r>
      <w:r>
        <w:rPr/>
        <w:t>funcionamiento</w:t>
      </w:r>
      <w:r>
        <w:rPr>
          <w:spacing w:val="-7"/>
        </w:rPr>
        <w:t> </w:t>
      </w:r>
      <w:r>
        <w:rPr/>
        <w:t>de</w:t>
      </w:r>
      <w:r>
        <w:rPr>
          <w:spacing w:val="-7"/>
        </w:rPr>
        <w:t> </w:t>
      </w:r>
      <w:r>
        <w:rPr/>
        <w:t>la</w:t>
      </w:r>
      <w:r>
        <w:rPr>
          <w:spacing w:val="-6"/>
        </w:rPr>
        <w:t> </w:t>
      </w:r>
      <w:r>
        <w:rPr/>
        <w:t>Comisión</w:t>
      </w:r>
      <w:r>
        <w:rPr>
          <w:spacing w:val="-7"/>
        </w:rPr>
        <w:t> </w:t>
      </w:r>
      <w:r>
        <w:rPr/>
        <w:t>se</w:t>
      </w:r>
      <w:r>
        <w:rPr>
          <w:spacing w:val="-6"/>
        </w:rPr>
        <w:t> </w:t>
      </w:r>
      <w:r>
        <w:rPr/>
        <w:t>observarán</w:t>
      </w:r>
      <w:r>
        <w:rPr>
          <w:spacing w:val="-5"/>
        </w:rPr>
        <w:t> </w:t>
      </w:r>
      <w:r>
        <w:rPr/>
        <w:t>las</w:t>
      </w:r>
      <w:r>
        <w:rPr>
          <w:spacing w:val="-3"/>
        </w:rPr>
        <w:t> </w:t>
      </w:r>
      <w:r>
        <w:rPr/>
        <w:t>normas</w:t>
      </w:r>
      <w:r>
        <w:rPr>
          <w:spacing w:val="-6"/>
        </w:rPr>
        <w:t> </w:t>
      </w:r>
      <w:r>
        <w:rPr>
          <w:spacing w:val="-2"/>
        </w:rPr>
        <w:t>siguientes:</w:t>
      </w:r>
    </w:p>
    <w:p>
      <w:pPr>
        <w:pStyle w:val="ListParagraph"/>
        <w:numPr>
          <w:ilvl w:val="0"/>
          <w:numId w:val="255"/>
        </w:numPr>
        <w:tabs>
          <w:tab w:pos="1193" w:val="left" w:leader="none"/>
          <w:tab w:pos="1195" w:val="left" w:leader="none"/>
        </w:tabs>
        <w:spacing w:line="242" w:lineRule="auto" w:before="228" w:after="0"/>
        <w:ind w:left="1195" w:right="342" w:hanging="569"/>
        <w:jc w:val="both"/>
        <w:rPr>
          <w:sz w:val="20"/>
        </w:rPr>
      </w:pPr>
      <w:r>
        <w:rPr>
          <w:sz w:val="20"/>
        </w:rPr>
        <w:t>El Presidente publicará un aviso en el Diario Oficial, concediendo a los trabajadores y a los patrones un término de tres meses para que presenten sugerencias y estudios, acompañados de las pruebas y documentos correspondientes;</w:t>
      </w:r>
    </w:p>
    <w:p>
      <w:pPr>
        <w:pStyle w:val="ListParagraph"/>
        <w:numPr>
          <w:ilvl w:val="0"/>
          <w:numId w:val="255"/>
        </w:numPr>
        <w:tabs>
          <w:tab w:pos="1192" w:val="left" w:leader="none"/>
          <w:tab w:pos="1195" w:val="left" w:leader="none"/>
        </w:tabs>
        <w:spacing w:line="240" w:lineRule="auto" w:before="226" w:after="0"/>
        <w:ind w:left="1195" w:right="342" w:hanging="569"/>
        <w:jc w:val="both"/>
        <w:rPr>
          <w:sz w:val="20"/>
        </w:rPr>
      </w:pPr>
      <w:r>
        <w:rPr>
          <w:sz w:val="20"/>
        </w:rPr>
        <w:t>La Comisión dispondrá del término de ocho meses para que la Dirección Técnica desarrolle el plan de trabajo aprobado por el Consejo de Representantes y para que éste cumpla las atribuciones señaladas en el artículo 581, fracciones III a VIII;</w:t>
      </w:r>
    </w:p>
    <w:p>
      <w:pPr>
        <w:pStyle w:val="ListParagraph"/>
        <w:numPr>
          <w:ilvl w:val="0"/>
          <w:numId w:val="255"/>
        </w:numPr>
        <w:tabs>
          <w:tab w:pos="1195" w:val="left" w:leader="none"/>
        </w:tabs>
        <w:spacing w:line="240" w:lineRule="auto" w:before="229" w:after="0"/>
        <w:ind w:left="1195" w:right="0" w:hanging="569"/>
        <w:jc w:val="left"/>
        <w:rPr>
          <w:sz w:val="20"/>
        </w:rPr>
      </w:pPr>
      <w:r>
        <w:rPr>
          <w:sz w:val="20"/>
        </w:rPr>
        <w:t>El</w:t>
      </w:r>
      <w:r>
        <w:rPr>
          <w:spacing w:val="-9"/>
          <w:sz w:val="20"/>
        </w:rPr>
        <w:t> </w:t>
      </w:r>
      <w:r>
        <w:rPr>
          <w:sz w:val="20"/>
        </w:rPr>
        <w:t>Consejo</w:t>
      </w:r>
      <w:r>
        <w:rPr>
          <w:spacing w:val="-6"/>
          <w:sz w:val="20"/>
        </w:rPr>
        <w:t> </w:t>
      </w:r>
      <w:r>
        <w:rPr>
          <w:sz w:val="20"/>
        </w:rPr>
        <w:t>de</w:t>
      </w:r>
      <w:r>
        <w:rPr>
          <w:spacing w:val="-8"/>
          <w:sz w:val="20"/>
        </w:rPr>
        <w:t> </w:t>
      </w:r>
      <w:r>
        <w:rPr>
          <w:sz w:val="20"/>
        </w:rPr>
        <w:t>Representantes</w:t>
      </w:r>
      <w:r>
        <w:rPr>
          <w:spacing w:val="-6"/>
          <w:sz w:val="20"/>
        </w:rPr>
        <w:t> </w:t>
      </w:r>
      <w:r>
        <w:rPr>
          <w:sz w:val="20"/>
        </w:rPr>
        <w:t>dictará</w:t>
      </w:r>
      <w:r>
        <w:rPr>
          <w:spacing w:val="-6"/>
          <w:sz w:val="20"/>
        </w:rPr>
        <w:t> </w:t>
      </w:r>
      <w:r>
        <w:rPr>
          <w:sz w:val="20"/>
        </w:rPr>
        <w:t>la</w:t>
      </w:r>
      <w:r>
        <w:rPr>
          <w:spacing w:val="-6"/>
          <w:sz w:val="20"/>
        </w:rPr>
        <w:t> </w:t>
      </w:r>
      <w:r>
        <w:rPr>
          <w:sz w:val="20"/>
        </w:rPr>
        <w:t>resolución</w:t>
      </w:r>
      <w:r>
        <w:rPr>
          <w:spacing w:val="-7"/>
          <w:sz w:val="20"/>
        </w:rPr>
        <w:t> </w:t>
      </w:r>
      <w:r>
        <w:rPr>
          <w:sz w:val="20"/>
        </w:rPr>
        <w:t>dentro</w:t>
      </w:r>
      <w:r>
        <w:rPr>
          <w:spacing w:val="-8"/>
          <w:sz w:val="20"/>
        </w:rPr>
        <w:t> </w:t>
      </w:r>
      <w:r>
        <w:rPr>
          <w:sz w:val="20"/>
        </w:rPr>
        <w:t>del</w:t>
      </w:r>
      <w:r>
        <w:rPr>
          <w:spacing w:val="-8"/>
          <w:sz w:val="20"/>
        </w:rPr>
        <w:t> </w:t>
      </w:r>
      <w:r>
        <w:rPr>
          <w:sz w:val="20"/>
        </w:rPr>
        <w:t>mes</w:t>
      </w:r>
      <w:r>
        <w:rPr>
          <w:spacing w:val="-7"/>
          <w:sz w:val="20"/>
        </w:rPr>
        <w:t> </w:t>
      </w:r>
      <w:r>
        <w:rPr>
          <w:spacing w:val="-2"/>
          <w:sz w:val="20"/>
        </w:rPr>
        <w:t>siguiente;</w:t>
      </w:r>
    </w:p>
    <w:p>
      <w:pPr>
        <w:pStyle w:val="BodyText"/>
      </w:pPr>
    </w:p>
    <w:p>
      <w:pPr>
        <w:pStyle w:val="ListParagraph"/>
        <w:numPr>
          <w:ilvl w:val="0"/>
          <w:numId w:val="255"/>
        </w:numPr>
        <w:tabs>
          <w:tab w:pos="1195" w:val="left" w:leader="none"/>
        </w:tabs>
        <w:spacing w:line="240" w:lineRule="auto" w:before="1" w:after="0"/>
        <w:ind w:left="1195" w:right="333" w:hanging="569"/>
        <w:jc w:val="both"/>
        <w:rPr>
          <w:sz w:val="20"/>
        </w:rPr>
      </w:pPr>
      <w:r>
        <w:rPr>
          <w:sz w:val="20"/>
        </w:rPr>
        <w:t>La resolución expresará los fundamentos que la justifiquen. El Consejo de Representantes tomará en consideración lo dispuesto en el artículo 118, el informe de la Dirección Técnica, las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195" w:right="357"/>
      </w:pPr>
      <w:r>
        <w:rPr/>
        <w:t>investigaciones y</w:t>
      </w:r>
      <w:r>
        <w:rPr>
          <w:spacing w:val="-2"/>
        </w:rPr>
        <w:t> </w:t>
      </w:r>
      <w:r>
        <w:rPr/>
        <w:t>estudios que hubiese efectuado y las sugerencias y estudios presentados por los trabajadores y los patrones;</w:t>
      </w:r>
    </w:p>
    <w:p>
      <w:pPr>
        <w:pStyle w:val="ListParagraph"/>
        <w:numPr>
          <w:ilvl w:val="0"/>
          <w:numId w:val="255"/>
        </w:numPr>
        <w:tabs>
          <w:tab w:pos="1195" w:val="left" w:leader="none"/>
        </w:tabs>
        <w:spacing w:line="242" w:lineRule="auto" w:before="229" w:after="0"/>
        <w:ind w:left="1195" w:right="345" w:hanging="569"/>
        <w:jc w:val="both"/>
        <w:rPr>
          <w:sz w:val="20"/>
        </w:rPr>
      </w:pPr>
      <w:r>
        <w:rPr>
          <w:sz w:val="20"/>
        </w:rPr>
        <w:t>La resolución fijará el porcentaje que deba corresponder a los trabajadores sobre la renta gravable, sin hacer ninguna deducción ni establecer diferencias entre las empresas; y</w:t>
      </w:r>
    </w:p>
    <w:p>
      <w:pPr>
        <w:pStyle w:val="ListParagraph"/>
        <w:numPr>
          <w:ilvl w:val="0"/>
          <w:numId w:val="255"/>
        </w:numPr>
        <w:tabs>
          <w:tab w:pos="1195" w:val="left" w:leader="none"/>
        </w:tabs>
        <w:spacing w:line="242" w:lineRule="auto" w:before="224" w:after="0"/>
        <w:ind w:left="1195" w:right="345" w:hanging="569"/>
        <w:jc w:val="both"/>
        <w:rPr>
          <w:sz w:val="20"/>
        </w:rPr>
      </w:pPr>
      <w:r>
        <w:rPr>
          <w:sz w:val="20"/>
        </w:rPr>
        <w:t>El Presidente ordenará se publique la resolución en el Diario Oficial</w:t>
      </w:r>
      <w:r>
        <w:rPr>
          <w:spacing w:val="-1"/>
          <w:sz w:val="20"/>
        </w:rPr>
        <w:t> </w:t>
      </w:r>
      <w:r>
        <w:rPr>
          <w:sz w:val="20"/>
        </w:rPr>
        <w:t>de la Federación, dentro de los cinco días siguientes.</w:t>
      </w:r>
    </w:p>
    <w:p>
      <w:pPr>
        <w:spacing w:before="227"/>
        <w:ind w:left="626" w:right="0" w:firstLine="0"/>
        <w:jc w:val="left"/>
        <w:rPr>
          <w:sz w:val="20"/>
        </w:rPr>
      </w:pPr>
      <w:bookmarkStart w:name="Artículo_587" w:id="738"/>
      <w:bookmarkEnd w:id="738"/>
      <w:r>
        <w:rPr/>
      </w:r>
      <w:r>
        <w:rPr>
          <w:rFonts w:ascii="Arial" w:hAnsi="Arial"/>
          <w:b/>
          <w:sz w:val="20"/>
        </w:rPr>
        <w:t>Artículo</w:t>
      </w:r>
      <w:r>
        <w:rPr>
          <w:rFonts w:ascii="Arial" w:hAnsi="Arial"/>
          <w:b/>
          <w:spacing w:val="-6"/>
          <w:sz w:val="20"/>
        </w:rPr>
        <w:t> </w:t>
      </w:r>
      <w:r>
        <w:rPr>
          <w:rFonts w:ascii="Arial" w:hAnsi="Arial"/>
          <w:b/>
          <w:sz w:val="20"/>
        </w:rPr>
        <w:t>587.-</w:t>
      </w:r>
      <w:r>
        <w:rPr>
          <w:rFonts w:ascii="Arial" w:hAnsi="Arial"/>
          <w:b/>
          <w:spacing w:val="-4"/>
          <w:sz w:val="20"/>
        </w:rPr>
        <w:t> </w:t>
      </w:r>
      <w:r>
        <w:rPr>
          <w:sz w:val="20"/>
        </w:rPr>
        <w:t>Para</w:t>
      </w:r>
      <w:r>
        <w:rPr>
          <w:spacing w:val="-5"/>
          <w:sz w:val="20"/>
        </w:rPr>
        <w:t> </w:t>
      </w:r>
      <w:r>
        <w:rPr>
          <w:sz w:val="20"/>
        </w:rPr>
        <w:t>la</w:t>
      </w:r>
      <w:r>
        <w:rPr>
          <w:spacing w:val="-7"/>
          <w:sz w:val="20"/>
        </w:rPr>
        <w:t> </w:t>
      </w:r>
      <w:r>
        <w:rPr>
          <w:sz w:val="20"/>
        </w:rPr>
        <w:t>revisión</w:t>
      </w:r>
      <w:r>
        <w:rPr>
          <w:spacing w:val="-6"/>
          <w:sz w:val="20"/>
        </w:rPr>
        <w:t> </w:t>
      </w:r>
      <w:r>
        <w:rPr>
          <w:sz w:val="20"/>
        </w:rPr>
        <w:t>del</w:t>
      </w:r>
      <w:r>
        <w:rPr>
          <w:spacing w:val="-8"/>
          <w:sz w:val="20"/>
        </w:rPr>
        <w:t> </w:t>
      </w:r>
      <w:r>
        <w:rPr>
          <w:sz w:val="20"/>
        </w:rPr>
        <w:t>porcentaje,</w:t>
      </w:r>
      <w:r>
        <w:rPr>
          <w:spacing w:val="-5"/>
          <w:sz w:val="20"/>
        </w:rPr>
        <w:t> </w:t>
      </w:r>
      <w:r>
        <w:rPr>
          <w:sz w:val="20"/>
        </w:rPr>
        <w:t>la</w:t>
      </w:r>
      <w:r>
        <w:rPr>
          <w:spacing w:val="-6"/>
          <w:sz w:val="20"/>
        </w:rPr>
        <w:t> </w:t>
      </w:r>
      <w:r>
        <w:rPr>
          <w:sz w:val="20"/>
        </w:rPr>
        <w:t>Comisión</w:t>
      </w:r>
      <w:r>
        <w:rPr>
          <w:spacing w:val="-8"/>
          <w:sz w:val="20"/>
        </w:rPr>
        <w:t> </w:t>
      </w:r>
      <w:r>
        <w:rPr>
          <w:sz w:val="20"/>
        </w:rPr>
        <w:t>se</w:t>
      </w:r>
      <w:r>
        <w:rPr>
          <w:spacing w:val="-7"/>
          <w:sz w:val="20"/>
        </w:rPr>
        <w:t> </w:t>
      </w:r>
      <w:r>
        <w:rPr>
          <w:spacing w:val="-2"/>
          <w:sz w:val="20"/>
        </w:rPr>
        <w:t>reunirá:</w:t>
      </w:r>
    </w:p>
    <w:p>
      <w:pPr>
        <w:pStyle w:val="BodyText"/>
        <w:spacing w:before="1"/>
      </w:pPr>
    </w:p>
    <w:p>
      <w:pPr>
        <w:pStyle w:val="ListParagraph"/>
        <w:numPr>
          <w:ilvl w:val="0"/>
          <w:numId w:val="256"/>
        </w:numPr>
        <w:tabs>
          <w:tab w:pos="1193" w:val="left" w:leader="none"/>
          <w:tab w:pos="1195" w:val="left" w:leader="none"/>
        </w:tabs>
        <w:spacing w:line="240" w:lineRule="auto" w:before="0" w:after="0"/>
        <w:ind w:left="1195" w:right="344" w:hanging="569"/>
        <w:jc w:val="both"/>
        <w:rPr>
          <w:sz w:val="20"/>
        </w:rPr>
      </w:pPr>
      <w:r>
        <w:rPr>
          <w:sz w:val="20"/>
        </w:rPr>
        <w:t>Por convocatoria expedida por el Secretario del Trabajo y Previsión Social, cuando existan estudios e investigaciones que lo justifiquen; y</w:t>
      </w:r>
    </w:p>
    <w:p>
      <w:pPr>
        <w:pStyle w:val="ListParagraph"/>
        <w:numPr>
          <w:ilvl w:val="0"/>
          <w:numId w:val="256"/>
        </w:numPr>
        <w:tabs>
          <w:tab w:pos="1192" w:val="left" w:leader="none"/>
          <w:tab w:pos="1195" w:val="left" w:leader="none"/>
        </w:tabs>
        <w:spacing w:line="242" w:lineRule="auto" w:before="229" w:after="0"/>
        <w:ind w:left="1195" w:right="335" w:hanging="569"/>
        <w:jc w:val="both"/>
        <w:rPr>
          <w:sz w:val="20"/>
        </w:rPr>
      </w:pPr>
      <w:r>
        <w:rPr>
          <w:sz w:val="20"/>
        </w:rPr>
        <w:t>A solicitud de los sindicatos, federaciones o confederaciones de trabajadores o de los patrones, previo cumplimiento de los requisitos siguientes:</w:t>
      </w:r>
    </w:p>
    <w:p>
      <w:pPr>
        <w:pStyle w:val="ListParagraph"/>
        <w:numPr>
          <w:ilvl w:val="1"/>
          <w:numId w:val="256"/>
        </w:numPr>
        <w:tabs>
          <w:tab w:pos="1760" w:val="left" w:leader="none"/>
          <w:tab w:pos="1762" w:val="left" w:leader="none"/>
        </w:tabs>
        <w:spacing w:line="242" w:lineRule="auto" w:before="225" w:after="0"/>
        <w:ind w:left="1762" w:right="342" w:hanging="567"/>
        <w:jc w:val="both"/>
        <w:rPr>
          <w:sz w:val="20"/>
        </w:rPr>
      </w:pPr>
      <w:r>
        <w:rPr>
          <w:sz w:val="20"/>
        </w:rPr>
        <w:t>La solicitud deberá presentarse a la Secretaría del Trabajo y Previsión Social por los sindicatos,</w:t>
      </w:r>
      <w:r>
        <w:rPr>
          <w:spacing w:val="-3"/>
          <w:sz w:val="20"/>
        </w:rPr>
        <w:t> </w:t>
      </w:r>
      <w:r>
        <w:rPr>
          <w:sz w:val="20"/>
        </w:rPr>
        <w:t>federaciones</w:t>
      </w:r>
      <w:r>
        <w:rPr>
          <w:spacing w:val="-2"/>
          <w:sz w:val="20"/>
        </w:rPr>
        <w:t> </w:t>
      </w:r>
      <w:r>
        <w:rPr>
          <w:sz w:val="20"/>
        </w:rPr>
        <w:t>o</w:t>
      </w:r>
      <w:r>
        <w:rPr>
          <w:spacing w:val="-1"/>
          <w:sz w:val="20"/>
        </w:rPr>
        <w:t> </w:t>
      </w:r>
      <w:r>
        <w:rPr>
          <w:sz w:val="20"/>
        </w:rPr>
        <w:t>confederaciones</w:t>
      </w:r>
      <w:r>
        <w:rPr>
          <w:spacing w:val="-2"/>
          <w:sz w:val="20"/>
        </w:rPr>
        <w:t> </w:t>
      </w:r>
      <w:r>
        <w:rPr>
          <w:sz w:val="20"/>
        </w:rPr>
        <w:t>que</w:t>
      </w:r>
      <w:r>
        <w:rPr>
          <w:spacing w:val="-4"/>
          <w:sz w:val="20"/>
        </w:rPr>
        <w:t> </w:t>
      </w:r>
      <w:r>
        <w:rPr>
          <w:sz w:val="20"/>
        </w:rPr>
        <w:t>representen</w:t>
      </w:r>
      <w:r>
        <w:rPr>
          <w:spacing w:val="-1"/>
          <w:sz w:val="20"/>
        </w:rPr>
        <w:t> </w:t>
      </w:r>
      <w:r>
        <w:rPr>
          <w:sz w:val="20"/>
        </w:rPr>
        <w:t>el</w:t>
      </w:r>
      <w:r>
        <w:rPr>
          <w:spacing w:val="-2"/>
          <w:sz w:val="20"/>
        </w:rPr>
        <w:t> </w:t>
      </w:r>
      <w:r>
        <w:rPr>
          <w:sz w:val="20"/>
        </w:rPr>
        <w:t>cincuenta y</w:t>
      </w:r>
      <w:r>
        <w:rPr>
          <w:spacing w:val="-6"/>
          <w:sz w:val="20"/>
        </w:rPr>
        <w:t> </w:t>
      </w:r>
      <w:r>
        <w:rPr>
          <w:sz w:val="20"/>
        </w:rPr>
        <w:t>uno</w:t>
      </w:r>
      <w:r>
        <w:rPr>
          <w:spacing w:val="-1"/>
          <w:sz w:val="20"/>
        </w:rPr>
        <w:t> </w:t>
      </w:r>
      <w:r>
        <w:rPr>
          <w:sz w:val="20"/>
        </w:rPr>
        <w:t>por</w:t>
      </w:r>
      <w:r>
        <w:rPr>
          <w:spacing w:val="-2"/>
          <w:sz w:val="20"/>
        </w:rPr>
        <w:t> </w:t>
      </w:r>
      <w:r>
        <w:rPr>
          <w:sz w:val="20"/>
        </w:rPr>
        <w:t>ciento de los trabajadores sindicalizados, por lo menos, o por los patrones que tengan a su servicio dicho porcentaje de trabajadores.</w:t>
      </w:r>
    </w:p>
    <w:p>
      <w:pPr>
        <w:pStyle w:val="ListParagraph"/>
        <w:numPr>
          <w:ilvl w:val="1"/>
          <w:numId w:val="256"/>
        </w:numPr>
        <w:tabs>
          <w:tab w:pos="1759" w:val="left" w:leader="none"/>
          <w:tab w:pos="1762" w:val="left" w:leader="none"/>
        </w:tabs>
        <w:spacing w:line="240" w:lineRule="auto" w:before="222" w:after="0"/>
        <w:ind w:left="1762" w:right="343" w:hanging="567"/>
        <w:jc w:val="both"/>
        <w:rPr>
          <w:sz w:val="20"/>
        </w:rPr>
      </w:pPr>
      <w:r>
        <w:rPr>
          <w:sz w:val="20"/>
        </w:rPr>
        <w:t>La solicitud contendrá una exposición de las causas y fundamentos que la justifiquen e</w:t>
      </w:r>
      <w:r>
        <w:rPr>
          <w:spacing w:val="40"/>
          <w:sz w:val="20"/>
        </w:rPr>
        <w:t> </w:t>
      </w:r>
      <w:r>
        <w:rPr>
          <w:sz w:val="20"/>
        </w:rPr>
        <w:t>irá acompañada de los estudios y documentos correspondientes.</w:t>
      </w:r>
    </w:p>
    <w:p>
      <w:pPr>
        <w:pStyle w:val="ListParagraph"/>
        <w:numPr>
          <w:ilvl w:val="1"/>
          <w:numId w:val="256"/>
        </w:numPr>
        <w:tabs>
          <w:tab w:pos="1760" w:val="left" w:leader="none"/>
          <w:tab w:pos="1762" w:val="left" w:leader="none"/>
        </w:tabs>
        <w:spacing w:line="242" w:lineRule="auto" w:before="229" w:after="0"/>
        <w:ind w:left="1762" w:right="345" w:hanging="567"/>
        <w:jc w:val="both"/>
        <w:rPr>
          <w:sz w:val="20"/>
        </w:rPr>
      </w:pPr>
      <w:r>
        <w:rPr>
          <w:sz w:val="20"/>
        </w:rPr>
        <w:t>La Secretaría del Trabajo y Previsión Social, dentro de los noventa días siguientes, verificará el requisito de la mayoría.</w:t>
      </w:r>
    </w:p>
    <w:p>
      <w:pPr>
        <w:pStyle w:val="ListParagraph"/>
        <w:numPr>
          <w:ilvl w:val="1"/>
          <w:numId w:val="256"/>
        </w:numPr>
        <w:tabs>
          <w:tab w:pos="1759" w:val="left" w:leader="none"/>
          <w:tab w:pos="1762" w:val="left" w:leader="none"/>
        </w:tabs>
        <w:spacing w:line="240" w:lineRule="auto" w:before="227" w:after="0"/>
        <w:ind w:left="1762" w:right="345" w:hanging="567"/>
        <w:jc w:val="both"/>
        <w:rPr>
          <w:sz w:val="20"/>
        </w:rPr>
      </w:pPr>
      <w:r>
        <w:rPr>
          <w:sz w:val="20"/>
        </w:rPr>
        <w:t>Verificado dicho requisito, la misma Secretaría, dentro de los treinta días siguientes, convocará a los trabajadores y patrones para la elección de sus representantes.</w:t>
      </w:r>
    </w:p>
    <w:p>
      <w:pPr>
        <w:pStyle w:val="BodyText"/>
        <w:spacing w:before="229"/>
        <w:ind w:left="626"/>
      </w:pPr>
      <w:bookmarkStart w:name="Artículo_588" w:id="739"/>
      <w:bookmarkEnd w:id="739"/>
      <w:r>
        <w:rPr/>
      </w:r>
      <w:r>
        <w:rPr>
          <w:rFonts w:ascii="Arial" w:hAnsi="Arial"/>
          <w:b/>
        </w:rPr>
        <w:t>Artículo</w:t>
      </w:r>
      <w:r>
        <w:rPr>
          <w:rFonts w:ascii="Arial" w:hAnsi="Arial"/>
          <w:b/>
          <w:spacing w:val="-7"/>
        </w:rPr>
        <w:t> </w:t>
      </w:r>
      <w:r>
        <w:rPr>
          <w:rFonts w:ascii="Arial" w:hAnsi="Arial"/>
          <w:b/>
        </w:rPr>
        <w:t>588.-</w:t>
      </w:r>
      <w:r>
        <w:rPr>
          <w:rFonts w:ascii="Arial" w:hAnsi="Arial"/>
          <w:b/>
          <w:spacing w:val="-4"/>
        </w:rPr>
        <w:t> </w:t>
      </w:r>
      <w:r>
        <w:rPr/>
        <w:t>En</w:t>
      </w:r>
      <w:r>
        <w:rPr>
          <w:spacing w:val="-5"/>
        </w:rPr>
        <w:t> </w:t>
      </w:r>
      <w:r>
        <w:rPr/>
        <w:t>el</w:t>
      </w:r>
      <w:r>
        <w:rPr>
          <w:spacing w:val="-6"/>
        </w:rPr>
        <w:t> </w:t>
      </w:r>
      <w:r>
        <w:rPr/>
        <w:t>procedimiento</w:t>
      </w:r>
      <w:r>
        <w:rPr>
          <w:spacing w:val="-8"/>
        </w:rPr>
        <w:t> </w:t>
      </w:r>
      <w:r>
        <w:rPr/>
        <w:t>de</w:t>
      </w:r>
      <w:r>
        <w:rPr>
          <w:spacing w:val="-7"/>
        </w:rPr>
        <w:t> </w:t>
      </w:r>
      <w:r>
        <w:rPr/>
        <w:t>revisión</w:t>
      </w:r>
      <w:r>
        <w:rPr>
          <w:spacing w:val="-7"/>
        </w:rPr>
        <w:t> </w:t>
      </w:r>
      <w:r>
        <w:rPr/>
        <w:t>se</w:t>
      </w:r>
      <w:r>
        <w:rPr>
          <w:spacing w:val="-5"/>
        </w:rPr>
        <w:t> </w:t>
      </w:r>
      <w:r>
        <w:rPr/>
        <w:t>observarán</w:t>
      </w:r>
      <w:r>
        <w:rPr>
          <w:spacing w:val="-5"/>
        </w:rPr>
        <w:t> </w:t>
      </w:r>
      <w:r>
        <w:rPr/>
        <w:t>las</w:t>
      </w:r>
      <w:r>
        <w:rPr>
          <w:spacing w:val="-7"/>
        </w:rPr>
        <w:t> </w:t>
      </w:r>
      <w:r>
        <w:rPr/>
        <w:t>normas</w:t>
      </w:r>
      <w:r>
        <w:rPr>
          <w:spacing w:val="-6"/>
        </w:rPr>
        <w:t> </w:t>
      </w:r>
      <w:r>
        <w:rPr>
          <w:spacing w:val="-2"/>
        </w:rPr>
        <w:t>siguientes:</w:t>
      </w:r>
    </w:p>
    <w:p>
      <w:pPr>
        <w:pStyle w:val="BodyText"/>
        <w:spacing w:before="1"/>
      </w:pPr>
    </w:p>
    <w:p>
      <w:pPr>
        <w:pStyle w:val="ListParagraph"/>
        <w:numPr>
          <w:ilvl w:val="0"/>
          <w:numId w:val="257"/>
        </w:numPr>
        <w:tabs>
          <w:tab w:pos="1193" w:val="left" w:leader="none"/>
          <w:tab w:pos="1195" w:val="left" w:leader="none"/>
        </w:tabs>
        <w:spacing w:line="240" w:lineRule="auto" w:before="0" w:after="0"/>
        <w:ind w:left="1195" w:right="344" w:hanging="569"/>
        <w:jc w:val="both"/>
        <w:rPr>
          <w:sz w:val="20"/>
        </w:rPr>
      </w:pPr>
      <w:r>
        <w:rPr>
          <w:sz w:val="20"/>
        </w:rPr>
        <w:t>El</w:t>
      </w:r>
      <w:r>
        <w:rPr>
          <w:spacing w:val="-4"/>
          <w:sz w:val="20"/>
        </w:rPr>
        <w:t> </w:t>
      </w:r>
      <w:r>
        <w:rPr>
          <w:sz w:val="20"/>
        </w:rPr>
        <w:t>Consejo</w:t>
      </w:r>
      <w:r>
        <w:rPr>
          <w:spacing w:val="-3"/>
          <w:sz w:val="20"/>
        </w:rPr>
        <w:t> </w:t>
      </w:r>
      <w:r>
        <w:rPr>
          <w:sz w:val="20"/>
        </w:rPr>
        <w:t>de</w:t>
      </w:r>
      <w:r>
        <w:rPr>
          <w:spacing w:val="-4"/>
          <w:sz w:val="20"/>
        </w:rPr>
        <w:t> </w:t>
      </w:r>
      <w:r>
        <w:rPr>
          <w:sz w:val="20"/>
        </w:rPr>
        <w:t>Representantes</w:t>
      </w:r>
      <w:r>
        <w:rPr>
          <w:spacing w:val="-2"/>
          <w:sz w:val="20"/>
        </w:rPr>
        <w:t> </w:t>
      </w:r>
      <w:r>
        <w:rPr>
          <w:sz w:val="20"/>
        </w:rPr>
        <w:t>estudiará</w:t>
      </w:r>
      <w:r>
        <w:rPr>
          <w:spacing w:val="-3"/>
          <w:sz w:val="20"/>
        </w:rPr>
        <w:t> </w:t>
      </w:r>
      <w:r>
        <w:rPr>
          <w:sz w:val="20"/>
        </w:rPr>
        <w:t>la</w:t>
      </w:r>
      <w:r>
        <w:rPr>
          <w:spacing w:val="-3"/>
          <w:sz w:val="20"/>
        </w:rPr>
        <w:t> </w:t>
      </w:r>
      <w:r>
        <w:rPr>
          <w:sz w:val="20"/>
        </w:rPr>
        <w:t>solicitud y</w:t>
      </w:r>
      <w:r>
        <w:rPr>
          <w:spacing w:val="-5"/>
          <w:sz w:val="20"/>
        </w:rPr>
        <w:t> </w:t>
      </w:r>
      <w:r>
        <w:rPr>
          <w:sz w:val="20"/>
        </w:rPr>
        <w:t>decidirá</w:t>
      </w:r>
      <w:r>
        <w:rPr>
          <w:spacing w:val="-3"/>
          <w:sz w:val="20"/>
        </w:rPr>
        <w:t> </w:t>
      </w:r>
      <w:r>
        <w:rPr>
          <w:sz w:val="20"/>
        </w:rPr>
        <w:t>si</w:t>
      </w:r>
      <w:r>
        <w:rPr>
          <w:spacing w:val="-4"/>
          <w:sz w:val="20"/>
        </w:rPr>
        <w:t> </w:t>
      </w:r>
      <w:r>
        <w:rPr>
          <w:sz w:val="20"/>
        </w:rPr>
        <w:t>los</w:t>
      </w:r>
      <w:r>
        <w:rPr>
          <w:spacing w:val="-2"/>
          <w:sz w:val="20"/>
        </w:rPr>
        <w:t> </w:t>
      </w:r>
      <w:r>
        <w:rPr>
          <w:sz w:val="20"/>
        </w:rPr>
        <w:t>fundamentos que</w:t>
      </w:r>
      <w:r>
        <w:rPr>
          <w:spacing w:val="-3"/>
          <w:sz w:val="20"/>
        </w:rPr>
        <w:t> </w:t>
      </w:r>
      <w:r>
        <w:rPr>
          <w:sz w:val="20"/>
        </w:rPr>
        <w:t>la</w:t>
      </w:r>
      <w:r>
        <w:rPr>
          <w:spacing w:val="-1"/>
          <w:sz w:val="20"/>
        </w:rPr>
        <w:t> </w:t>
      </w:r>
      <w:r>
        <w:rPr>
          <w:sz w:val="20"/>
        </w:rPr>
        <w:t>apoyan son suficientes para iniciar el procedimiento de revisión. Si su resolución es negativa, la pondrá en conocimiento del Secretario del Trabajo y Previsión Social y se disolverá; y</w:t>
      </w:r>
    </w:p>
    <w:p>
      <w:pPr>
        <w:pStyle w:val="ListParagraph"/>
        <w:numPr>
          <w:ilvl w:val="0"/>
          <w:numId w:val="257"/>
        </w:numPr>
        <w:tabs>
          <w:tab w:pos="1192" w:val="left" w:leader="none"/>
          <w:tab w:pos="1195" w:val="left" w:leader="none"/>
        </w:tabs>
        <w:spacing w:line="242" w:lineRule="auto" w:before="229" w:after="0"/>
        <w:ind w:left="1195" w:right="334" w:hanging="569"/>
        <w:jc w:val="both"/>
        <w:rPr>
          <w:sz w:val="20"/>
        </w:rPr>
      </w:pPr>
      <w:r>
        <w:rPr>
          <w:sz w:val="20"/>
        </w:rPr>
        <w:t>Las atribuciones y deberes del Presidente, del Consejo de Representantes y de la Dirección Técnica, así como el funcionamiento de la Comisión, se ajustarán a las disposiciones de este </w:t>
      </w:r>
      <w:r>
        <w:rPr>
          <w:spacing w:val="-2"/>
          <w:sz w:val="20"/>
        </w:rPr>
        <w:t>capítulo.</w:t>
      </w:r>
    </w:p>
    <w:p>
      <w:pPr>
        <w:pStyle w:val="BodyText"/>
        <w:spacing w:line="242" w:lineRule="auto" w:before="223"/>
        <w:ind w:left="338" w:right="342" w:firstLine="288"/>
        <w:jc w:val="both"/>
      </w:pPr>
      <w:bookmarkStart w:name="Artículo_589" w:id="740"/>
      <w:bookmarkEnd w:id="740"/>
      <w:r>
        <w:rPr/>
      </w:r>
      <w:r>
        <w:rPr>
          <w:rFonts w:ascii="Arial" w:hAnsi="Arial"/>
          <w:b/>
        </w:rPr>
        <w:t>Artículo 589.- </w:t>
      </w:r>
      <w:r>
        <w:rPr/>
        <w:t>Los sindicatos, federaciones y confederaciones de trabajadores o los patrones, no podrán presentar una nueva solicitud de revisión, sino después de transcurridos diez años de la fecha en que hubiese sido desechada o resuelta la solicitud.</w:t>
      </w:r>
    </w:p>
    <w:p>
      <w:pPr>
        <w:pStyle w:val="BodyText"/>
        <w:spacing w:before="225"/>
        <w:ind w:left="338" w:right="340" w:firstLine="288"/>
        <w:jc w:val="both"/>
      </w:pPr>
      <w:bookmarkStart w:name="Artículo_590" w:id="741"/>
      <w:bookmarkEnd w:id="741"/>
      <w:r>
        <w:rPr/>
      </w:r>
      <w:r>
        <w:rPr>
          <w:rFonts w:ascii="Arial" w:hAnsi="Arial"/>
          <w:b/>
        </w:rPr>
        <w:t>Artículo 590.- </w:t>
      </w:r>
      <w:r>
        <w:rPr/>
        <w:t>En los procedimientos a que se refiere este capítulo se observarán las normas contenidas en el artículo 574.</w:t>
      </w:r>
    </w:p>
    <w:p>
      <w:pPr>
        <w:pStyle w:val="Heading1"/>
        <w:spacing w:before="227"/>
        <w:ind w:left="297"/>
      </w:pPr>
      <w:r>
        <w:rPr/>
        <w:t>CAPITULO</w:t>
      </w:r>
      <w:r>
        <w:rPr>
          <w:spacing w:val="-4"/>
        </w:rPr>
        <w:t> </w:t>
      </w:r>
      <w:r>
        <w:rPr/>
        <w:t>IX</w:t>
      </w:r>
      <w:r>
        <w:rPr>
          <w:spacing w:val="-3"/>
        </w:rPr>
        <w:t> </w:t>
      </w:r>
      <w:r>
        <w:rPr>
          <w:spacing w:val="-5"/>
        </w:rPr>
        <w:t>BIS</w:t>
      </w:r>
    </w:p>
    <w:p>
      <w:pPr>
        <w:pStyle w:val="Heading2"/>
        <w:spacing w:before="1"/>
        <w:ind w:left="295"/>
      </w:pPr>
      <w:r>
        <w:rPr/>
        <w:t>Del</w:t>
      </w:r>
      <w:r>
        <w:rPr>
          <w:spacing w:val="-3"/>
        </w:rPr>
        <w:t> </w:t>
      </w:r>
      <w:r>
        <w:rPr/>
        <w:t>Centro</w:t>
      </w:r>
      <w:r>
        <w:rPr>
          <w:spacing w:val="-6"/>
        </w:rPr>
        <w:t> </w:t>
      </w:r>
      <w:r>
        <w:rPr/>
        <w:t>Federal</w:t>
      </w:r>
      <w:r>
        <w:rPr>
          <w:spacing w:val="-2"/>
        </w:rPr>
        <w:t> </w:t>
      </w:r>
      <w:r>
        <w:rPr/>
        <w:t>de</w:t>
      </w:r>
      <w:r>
        <w:rPr>
          <w:spacing w:val="-8"/>
        </w:rPr>
        <w:t> </w:t>
      </w:r>
      <w:r>
        <w:rPr/>
        <w:t>Conciliación</w:t>
      </w:r>
      <w:r>
        <w:rPr>
          <w:spacing w:val="-7"/>
        </w:rPr>
        <w:t> </w:t>
      </w:r>
      <w:r>
        <w:rPr/>
        <w:t>y</w:t>
      </w:r>
      <w:r>
        <w:rPr>
          <w:spacing w:val="-8"/>
        </w:rPr>
        <w:t> </w:t>
      </w:r>
      <w:r>
        <w:rPr/>
        <w:t>Registro</w:t>
      </w:r>
      <w:r>
        <w:rPr>
          <w:spacing w:val="-3"/>
        </w:rPr>
        <w:t> </w:t>
      </w:r>
      <w:r>
        <w:rPr>
          <w:spacing w:val="-2"/>
        </w:rPr>
        <w:t>Laboral</w:t>
      </w:r>
    </w:p>
    <w:p>
      <w:pPr>
        <w:spacing w:before="1"/>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righ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BodyText"/>
        <w:spacing w:line="242" w:lineRule="auto"/>
        <w:ind w:left="338" w:firstLine="288"/>
      </w:pPr>
      <w:bookmarkStart w:name="Artículo_590_A" w:id="742"/>
      <w:bookmarkEnd w:id="742"/>
      <w:r>
        <w:rPr/>
      </w:r>
      <w:r>
        <w:rPr>
          <w:rFonts w:ascii="Arial" w:hAnsi="Arial"/>
          <w:b/>
        </w:rPr>
        <w:t>Artículo</w:t>
      </w:r>
      <w:r>
        <w:rPr>
          <w:rFonts w:ascii="Arial" w:hAnsi="Arial"/>
          <w:b/>
          <w:spacing w:val="37"/>
        </w:rPr>
        <w:t> </w:t>
      </w:r>
      <w:r>
        <w:rPr>
          <w:rFonts w:ascii="Arial" w:hAnsi="Arial"/>
          <w:b/>
        </w:rPr>
        <w:t>590-A.-</w:t>
      </w:r>
      <w:r>
        <w:rPr>
          <w:rFonts w:ascii="Arial" w:hAnsi="Arial"/>
          <w:b/>
          <w:spacing w:val="37"/>
        </w:rPr>
        <w:t> </w:t>
      </w:r>
      <w:r>
        <w:rPr/>
        <w:t>Corresponde</w:t>
      </w:r>
      <w:r>
        <w:rPr>
          <w:spacing w:val="36"/>
        </w:rPr>
        <w:t> </w:t>
      </w:r>
      <w:r>
        <w:rPr/>
        <w:t>al</w:t>
      </w:r>
      <w:r>
        <w:rPr>
          <w:spacing w:val="35"/>
        </w:rPr>
        <w:t> </w:t>
      </w:r>
      <w:r>
        <w:rPr/>
        <w:t>Centro</w:t>
      </w:r>
      <w:r>
        <w:rPr>
          <w:spacing w:val="34"/>
        </w:rPr>
        <w:t> </w:t>
      </w:r>
      <w:r>
        <w:rPr/>
        <w:t>Federal</w:t>
      </w:r>
      <w:r>
        <w:rPr>
          <w:spacing w:val="35"/>
        </w:rPr>
        <w:t> </w:t>
      </w:r>
      <w:r>
        <w:rPr/>
        <w:t>de</w:t>
      </w:r>
      <w:r>
        <w:rPr>
          <w:spacing w:val="35"/>
        </w:rPr>
        <w:t> </w:t>
      </w:r>
      <w:r>
        <w:rPr/>
        <w:t>Conciliación</w:t>
      </w:r>
      <w:r>
        <w:rPr>
          <w:spacing w:val="38"/>
        </w:rPr>
        <w:t> </w:t>
      </w:r>
      <w:r>
        <w:rPr/>
        <w:t>y</w:t>
      </w:r>
      <w:r>
        <w:rPr>
          <w:spacing w:val="30"/>
        </w:rPr>
        <w:t> </w:t>
      </w:r>
      <w:r>
        <w:rPr/>
        <w:t>Registro</w:t>
      </w:r>
      <w:r>
        <w:rPr>
          <w:spacing w:val="33"/>
        </w:rPr>
        <w:t> </w:t>
      </w:r>
      <w:r>
        <w:rPr/>
        <w:t>Laboral</w:t>
      </w:r>
      <w:r>
        <w:rPr>
          <w:spacing w:val="35"/>
        </w:rPr>
        <w:t> </w:t>
      </w:r>
      <w:r>
        <w:rPr/>
        <w:t>las</w:t>
      </w:r>
      <w:r>
        <w:rPr>
          <w:spacing w:val="34"/>
        </w:rPr>
        <w:t> </w:t>
      </w:r>
      <w:r>
        <w:rPr/>
        <w:t>siguientes </w:t>
      </w:r>
      <w:r>
        <w:rPr>
          <w:spacing w:val="-2"/>
        </w:rPr>
        <w:t>atribuciones:</w:t>
      </w:r>
    </w:p>
    <w:p>
      <w:pPr>
        <w:pStyle w:val="ListParagraph"/>
        <w:numPr>
          <w:ilvl w:val="0"/>
          <w:numId w:val="258"/>
        </w:numPr>
        <w:tabs>
          <w:tab w:pos="1193" w:val="left" w:leader="none"/>
          <w:tab w:pos="1195" w:val="left" w:leader="none"/>
        </w:tabs>
        <w:spacing w:line="242" w:lineRule="auto" w:before="227" w:after="0"/>
        <w:ind w:left="1195" w:right="341" w:hanging="569"/>
        <w:jc w:val="both"/>
        <w:rPr>
          <w:sz w:val="20"/>
        </w:rPr>
      </w:pPr>
      <w:r>
        <w:rPr>
          <w:sz w:val="20"/>
        </w:rPr>
        <w:t>Realizar en materia federal la función conciliadora a que se refiere el párrafo cuarto de la fracción XX del artículo 123 constitucional;</w:t>
      </w:r>
    </w:p>
    <w:p>
      <w:pPr>
        <w:pStyle w:val="ListParagraph"/>
        <w:numPr>
          <w:ilvl w:val="0"/>
          <w:numId w:val="258"/>
        </w:numPr>
        <w:tabs>
          <w:tab w:pos="1192" w:val="left" w:leader="none"/>
          <w:tab w:pos="1195" w:val="left" w:leader="none"/>
        </w:tabs>
        <w:spacing w:line="242" w:lineRule="auto" w:before="224" w:after="0"/>
        <w:ind w:left="1195" w:right="334" w:hanging="569"/>
        <w:jc w:val="both"/>
        <w:rPr>
          <w:sz w:val="20"/>
        </w:rPr>
      </w:pPr>
      <w:r>
        <w:rPr>
          <w:sz w:val="20"/>
        </w:rPr>
        <w:t>Llevar el registro de todos los contratos colectivos de trabajo, reglamentos interiores de trabajo</w:t>
      </w:r>
      <w:r>
        <w:rPr>
          <w:spacing w:val="40"/>
          <w:sz w:val="20"/>
        </w:rPr>
        <w:t> </w:t>
      </w:r>
      <w:r>
        <w:rPr>
          <w:sz w:val="20"/>
        </w:rPr>
        <w:t>y de las organizaciones sindicales, así como todos los actos y procedimientos a que se refiere</w:t>
      </w:r>
      <w:r>
        <w:rPr>
          <w:spacing w:val="40"/>
          <w:sz w:val="20"/>
        </w:rPr>
        <w:t> </w:t>
      </w:r>
      <w:r>
        <w:rPr>
          <w:sz w:val="20"/>
        </w:rPr>
        <w:t>el párrafo cuarto de la fracción XX del artículo 123 constitucional;</w:t>
      </w:r>
    </w:p>
    <w:p>
      <w:pPr>
        <w:pStyle w:val="ListParagraph"/>
        <w:numPr>
          <w:ilvl w:val="0"/>
          <w:numId w:val="258"/>
        </w:numPr>
        <w:tabs>
          <w:tab w:pos="1191" w:val="left" w:leader="none"/>
          <w:tab w:pos="1195" w:val="left" w:leader="none"/>
        </w:tabs>
        <w:spacing w:line="242" w:lineRule="auto" w:before="225" w:after="0"/>
        <w:ind w:left="1195" w:right="344" w:hanging="569"/>
        <w:jc w:val="both"/>
        <w:rPr>
          <w:sz w:val="20"/>
        </w:rPr>
      </w:pPr>
      <w:r>
        <w:rPr>
          <w:sz w:val="20"/>
        </w:rPr>
        <w:t>Establecer el Servicio Profesional de Carrera y seleccionar mediante concurso abierto en igualdad de condiciones a su personal;</w:t>
      </w:r>
    </w:p>
    <w:p>
      <w:pPr>
        <w:pStyle w:val="ListParagraph"/>
        <w:numPr>
          <w:ilvl w:val="0"/>
          <w:numId w:val="258"/>
        </w:numPr>
        <w:tabs>
          <w:tab w:pos="1195" w:val="left" w:leader="none"/>
        </w:tabs>
        <w:spacing w:line="242" w:lineRule="auto" w:before="224" w:after="0"/>
        <w:ind w:left="1195" w:right="340" w:hanging="569"/>
        <w:jc w:val="both"/>
        <w:rPr>
          <w:sz w:val="20"/>
        </w:rPr>
      </w:pPr>
      <w:r>
        <w:rPr>
          <w:sz w:val="20"/>
        </w:rPr>
        <w:t>Establecer planes de capacitación y desarrollo profesional incorporando la perspectiva de género y el enfoque de derechos humanos, y</w:t>
      </w:r>
    </w:p>
    <w:p>
      <w:pPr>
        <w:pStyle w:val="ListParagraph"/>
        <w:numPr>
          <w:ilvl w:val="0"/>
          <w:numId w:val="258"/>
        </w:numPr>
        <w:tabs>
          <w:tab w:pos="1195" w:val="left" w:leader="none"/>
        </w:tabs>
        <w:spacing w:line="229" w:lineRule="exact" w:before="227" w:after="0"/>
        <w:ind w:left="1195" w:right="0" w:hanging="569"/>
        <w:jc w:val="left"/>
        <w:rPr>
          <w:sz w:val="20"/>
        </w:rPr>
      </w:pPr>
      <w:r>
        <w:rPr>
          <w:sz w:val="20"/>
        </w:rPr>
        <w:t>Las</w:t>
      </w:r>
      <w:r>
        <w:rPr>
          <w:spacing w:val="-5"/>
          <w:sz w:val="20"/>
        </w:rPr>
        <w:t> </w:t>
      </w:r>
      <w:r>
        <w:rPr>
          <w:sz w:val="20"/>
        </w:rPr>
        <w:t>demás</w:t>
      </w:r>
      <w:r>
        <w:rPr>
          <w:spacing w:val="-4"/>
          <w:sz w:val="20"/>
        </w:rPr>
        <w:t> </w:t>
      </w:r>
      <w:r>
        <w:rPr>
          <w:sz w:val="20"/>
        </w:rPr>
        <w:t>que</w:t>
      </w:r>
      <w:r>
        <w:rPr>
          <w:spacing w:val="-6"/>
          <w:sz w:val="20"/>
        </w:rPr>
        <w:t> </w:t>
      </w:r>
      <w:r>
        <w:rPr>
          <w:sz w:val="20"/>
        </w:rPr>
        <w:t>de</w:t>
      </w:r>
      <w:r>
        <w:rPr>
          <w:spacing w:val="-5"/>
          <w:sz w:val="20"/>
        </w:rPr>
        <w:t> </w:t>
      </w:r>
      <w:r>
        <w:rPr>
          <w:sz w:val="20"/>
        </w:rPr>
        <w:t>esta</w:t>
      </w:r>
      <w:r>
        <w:rPr>
          <w:spacing w:val="-4"/>
          <w:sz w:val="20"/>
        </w:rPr>
        <w:t> </w:t>
      </w:r>
      <w:r>
        <w:rPr>
          <w:sz w:val="20"/>
        </w:rPr>
        <w:t>Ley</w:t>
      </w:r>
      <w:r>
        <w:rPr>
          <w:spacing w:val="-4"/>
          <w:sz w:val="20"/>
        </w:rPr>
        <w:t> </w:t>
      </w:r>
      <w:r>
        <w:rPr>
          <w:sz w:val="20"/>
        </w:rPr>
        <w:t>y</w:t>
      </w:r>
      <w:r>
        <w:rPr>
          <w:spacing w:val="-7"/>
          <w:sz w:val="20"/>
        </w:rPr>
        <w:t> </w:t>
      </w:r>
      <w:r>
        <w:rPr>
          <w:sz w:val="20"/>
        </w:rPr>
        <w:t>la</w:t>
      </w:r>
      <w:r>
        <w:rPr>
          <w:spacing w:val="-5"/>
          <w:sz w:val="20"/>
        </w:rPr>
        <w:t> </w:t>
      </w:r>
      <w:r>
        <w:rPr>
          <w:sz w:val="20"/>
        </w:rPr>
        <w:t>normatividad</w:t>
      </w:r>
      <w:r>
        <w:rPr>
          <w:spacing w:val="-5"/>
          <w:sz w:val="20"/>
        </w:rPr>
        <w:t> </w:t>
      </w:r>
      <w:r>
        <w:rPr>
          <w:sz w:val="20"/>
        </w:rPr>
        <w:t>aplicable</w:t>
      </w:r>
      <w:r>
        <w:rPr>
          <w:spacing w:val="-6"/>
          <w:sz w:val="20"/>
        </w:rPr>
        <w:t> </w:t>
      </w:r>
      <w:r>
        <w:rPr>
          <w:sz w:val="20"/>
        </w:rPr>
        <w:t>se</w:t>
      </w:r>
      <w:r>
        <w:rPr>
          <w:spacing w:val="-5"/>
          <w:sz w:val="20"/>
        </w:rPr>
        <w:t> </w:t>
      </w:r>
      <w:r>
        <w:rPr>
          <w:spacing w:val="-2"/>
          <w:sz w:val="20"/>
        </w:rPr>
        <w:t>deriven.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BodyText"/>
        <w:spacing w:line="242" w:lineRule="auto"/>
        <w:ind w:left="338" w:right="341" w:firstLine="288"/>
        <w:jc w:val="both"/>
      </w:pPr>
      <w:bookmarkStart w:name="Artículo_590_B" w:id="743"/>
      <w:bookmarkEnd w:id="743"/>
      <w:r>
        <w:rPr/>
      </w:r>
      <w:r>
        <w:rPr>
          <w:rFonts w:ascii="Arial" w:hAnsi="Arial"/>
          <w:b/>
        </w:rPr>
        <w:t>Artículo 590-B.- </w:t>
      </w:r>
      <w:r>
        <w:rPr/>
        <w:t>El Centro Federal de Conciliación y Registro Laboral se constituirá y funcionará de conformidad con los siguientes lineamientos:</w:t>
      </w:r>
    </w:p>
    <w:p>
      <w:pPr>
        <w:pStyle w:val="BodyText"/>
        <w:spacing w:before="227"/>
        <w:ind w:left="338" w:right="339" w:firstLine="288"/>
        <w:jc w:val="both"/>
      </w:pPr>
      <w:r>
        <w:rPr/>
        <w:t>Será un Organismo Público Descentralizado del Gobierno Federal, con domicilio en la Ciudad de México y contará con oficinas regionales conforme a los lineamientos que establezca el Órgano de Gobierno. Tendrá personalidad jurídica y patrimonio propios, plena autonomía técnica, operativa, presupuestaria, de decisión y de gestión. Se regirá por los principios de certeza, independencia,</w:t>
      </w:r>
      <w:r>
        <w:rPr>
          <w:spacing w:val="40"/>
        </w:rPr>
        <w:t> </w:t>
      </w:r>
      <w:r>
        <w:rPr/>
        <w:t>legalidad, imparcialidad, igualdad, confiabilidad, eficacia, objetividad, profesionalismo, transparencia y </w:t>
      </w:r>
      <w:r>
        <w:rPr>
          <w:spacing w:val="-2"/>
        </w:rPr>
        <w:t>publicidad.</w:t>
      </w:r>
    </w:p>
    <w:p>
      <w:pPr>
        <w:pStyle w:val="BodyText"/>
        <w:spacing w:before="1"/>
      </w:pPr>
    </w:p>
    <w:p>
      <w:pPr>
        <w:pStyle w:val="BodyText"/>
        <w:ind w:left="338" w:right="336" w:firstLine="288"/>
        <w:jc w:val="both"/>
      </w:pPr>
      <w:r>
        <w:rPr/>
        <w:t>Será competente para substanciar el procedimiento de la conciliación que deberán agotar los trabajadores y patrones, antes de acudir a los Tribunales, conforme lo establece el párrafo quinto de la fracción XX del artículo 123, apartado A, de la Constitución Política de los Estados Unidos Mexicanos.</w:t>
      </w:r>
    </w:p>
    <w:p>
      <w:pPr>
        <w:pStyle w:val="BodyText"/>
        <w:spacing w:before="2"/>
      </w:pPr>
    </w:p>
    <w:p>
      <w:pPr>
        <w:pStyle w:val="BodyText"/>
        <w:ind w:left="338" w:right="344" w:firstLine="288"/>
        <w:jc w:val="both"/>
      </w:pPr>
      <w:r>
        <w:rPr/>
        <w:t>Además, será competente para operar el registro de todos los contratos colectivos de trabajo, reglamentos interiores de trabajo y las organizaciones sindicales, así como todos los procesos administrativos relacionados.</w:t>
      </w:r>
    </w:p>
    <w:p>
      <w:pPr>
        <w:pStyle w:val="BodyText"/>
        <w:spacing w:before="229"/>
        <w:ind w:left="338" w:right="342" w:firstLine="288"/>
        <w:jc w:val="both"/>
      </w:pPr>
      <w:r>
        <w:rPr/>
        <w:t>El titular del organismo será su Director General. El nombramiento deberá recaer en una persona que tenga capacidad y experiencia en las materias de la competencia del organismo descentralizado, quien además de lo previsto en el artículo 123, apartado A, fracción XX de la Constitución, deberá cumplir con los requisitos que establezca la Ley de la materia.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338" w:firstLine="288"/>
      </w:pPr>
      <w:bookmarkStart w:name="Artículo_590_C" w:id="744"/>
      <w:bookmarkEnd w:id="744"/>
      <w:r>
        <w:rPr/>
      </w:r>
      <w:r>
        <w:rPr>
          <w:rFonts w:ascii="Arial" w:hAnsi="Arial"/>
          <w:b/>
        </w:rPr>
        <w:t>Artículo 590-C.- </w:t>
      </w:r>
      <w:r>
        <w:rPr/>
        <w:t>El Director General del Centro Federal de Conciliación y Registro Laboral tendrá las facultades siguientes:</w:t>
      </w:r>
    </w:p>
    <w:p>
      <w:pPr>
        <w:pStyle w:val="ListParagraph"/>
        <w:numPr>
          <w:ilvl w:val="0"/>
          <w:numId w:val="259"/>
        </w:numPr>
        <w:tabs>
          <w:tab w:pos="1195" w:val="left" w:leader="none"/>
        </w:tabs>
        <w:spacing w:line="240" w:lineRule="auto" w:before="229" w:after="0"/>
        <w:ind w:left="1195" w:right="0" w:hanging="569"/>
        <w:jc w:val="left"/>
        <w:rPr>
          <w:sz w:val="20"/>
        </w:rPr>
      </w:pPr>
      <w:r>
        <w:rPr>
          <w:sz w:val="20"/>
        </w:rPr>
        <w:t>Celebrar</w:t>
      </w:r>
      <w:r>
        <w:rPr>
          <w:spacing w:val="-6"/>
          <w:sz w:val="20"/>
        </w:rPr>
        <w:t> </w:t>
      </w:r>
      <w:r>
        <w:rPr>
          <w:sz w:val="20"/>
        </w:rPr>
        <w:t>actos</w:t>
      </w:r>
      <w:r>
        <w:rPr>
          <w:spacing w:val="-2"/>
          <w:sz w:val="20"/>
        </w:rPr>
        <w:t> </w:t>
      </w:r>
      <w:r>
        <w:rPr>
          <w:sz w:val="20"/>
        </w:rPr>
        <w:t>y</w:t>
      </w:r>
      <w:r>
        <w:rPr>
          <w:spacing w:val="-10"/>
          <w:sz w:val="20"/>
        </w:rPr>
        <w:t> </w:t>
      </w:r>
      <w:r>
        <w:rPr>
          <w:sz w:val="20"/>
        </w:rPr>
        <w:t>otorgar</w:t>
      </w:r>
      <w:r>
        <w:rPr>
          <w:spacing w:val="-5"/>
          <w:sz w:val="20"/>
        </w:rPr>
        <w:t> </w:t>
      </w:r>
      <w:r>
        <w:rPr>
          <w:sz w:val="20"/>
        </w:rPr>
        <w:t>toda</w:t>
      </w:r>
      <w:r>
        <w:rPr>
          <w:spacing w:val="-8"/>
          <w:sz w:val="20"/>
        </w:rPr>
        <w:t> </w:t>
      </w:r>
      <w:r>
        <w:rPr>
          <w:sz w:val="20"/>
        </w:rPr>
        <w:t>clase</w:t>
      </w:r>
      <w:r>
        <w:rPr>
          <w:spacing w:val="-5"/>
          <w:sz w:val="20"/>
        </w:rPr>
        <w:t> </w:t>
      </w:r>
      <w:r>
        <w:rPr>
          <w:sz w:val="20"/>
        </w:rPr>
        <w:t>de</w:t>
      </w:r>
      <w:r>
        <w:rPr>
          <w:spacing w:val="-6"/>
          <w:sz w:val="20"/>
        </w:rPr>
        <w:t> </w:t>
      </w:r>
      <w:r>
        <w:rPr>
          <w:sz w:val="20"/>
        </w:rPr>
        <w:t>documentos</w:t>
      </w:r>
      <w:r>
        <w:rPr>
          <w:spacing w:val="-5"/>
          <w:sz w:val="20"/>
        </w:rPr>
        <w:t> </w:t>
      </w:r>
      <w:r>
        <w:rPr>
          <w:sz w:val="20"/>
        </w:rPr>
        <w:t>inherentes</w:t>
      </w:r>
      <w:r>
        <w:rPr>
          <w:spacing w:val="-6"/>
          <w:sz w:val="20"/>
        </w:rPr>
        <w:t> </w:t>
      </w:r>
      <w:r>
        <w:rPr>
          <w:sz w:val="20"/>
        </w:rPr>
        <w:t>al</w:t>
      </w:r>
      <w:r>
        <w:rPr>
          <w:spacing w:val="-6"/>
          <w:sz w:val="20"/>
        </w:rPr>
        <w:t> </w:t>
      </w:r>
      <w:r>
        <w:rPr>
          <w:sz w:val="20"/>
        </w:rPr>
        <w:t>objeto</w:t>
      </w:r>
      <w:r>
        <w:rPr>
          <w:spacing w:val="-6"/>
          <w:sz w:val="20"/>
        </w:rPr>
        <w:t> </w:t>
      </w:r>
      <w:r>
        <w:rPr>
          <w:sz w:val="20"/>
        </w:rPr>
        <w:t>del</w:t>
      </w:r>
      <w:r>
        <w:rPr>
          <w:spacing w:val="-8"/>
          <w:sz w:val="20"/>
        </w:rPr>
        <w:t> </w:t>
      </w:r>
      <w:r>
        <w:rPr>
          <w:spacing w:val="-2"/>
          <w:sz w:val="20"/>
        </w:rPr>
        <w:t>Organismo;</w:t>
      </w:r>
    </w:p>
    <w:p>
      <w:pPr>
        <w:pStyle w:val="BodyText"/>
      </w:pPr>
    </w:p>
    <w:p>
      <w:pPr>
        <w:pStyle w:val="ListParagraph"/>
        <w:numPr>
          <w:ilvl w:val="0"/>
          <w:numId w:val="259"/>
        </w:numPr>
        <w:tabs>
          <w:tab w:pos="1192" w:val="left" w:leader="none"/>
          <w:tab w:pos="1195" w:val="left" w:leader="none"/>
        </w:tabs>
        <w:spacing w:line="240" w:lineRule="auto" w:before="0" w:after="0"/>
        <w:ind w:left="1195" w:right="339" w:hanging="569"/>
        <w:jc w:val="both"/>
        <w:rPr>
          <w:sz w:val="20"/>
        </w:rPr>
      </w:pPr>
      <w:r>
        <w:rPr>
          <w:sz w:val="20"/>
        </w:rPr>
        <w:t>Tener la representación legal del Centro Federal de Conciliación y Registro Laboral, así como ejercer facultades de dominio, administración, y pleitos y cobranzas, con apego a la Ley y el estatuto orgánico;</w:t>
      </w:r>
    </w:p>
    <w:p>
      <w:pPr>
        <w:pStyle w:val="ListParagraph"/>
        <w:spacing w:after="0" w:line="240" w:lineRule="auto"/>
        <w:jc w:val="both"/>
        <w:rPr>
          <w:sz w:val="20"/>
        </w:rPr>
        <w:sectPr>
          <w:pgSz w:w="12240" w:h="15840"/>
          <w:pgMar w:header="724" w:footer="712" w:top="1880" w:bottom="900" w:left="1080" w:right="1080"/>
        </w:sectPr>
      </w:pPr>
    </w:p>
    <w:p>
      <w:pPr>
        <w:pStyle w:val="BodyText"/>
        <w:spacing w:before="63"/>
      </w:pPr>
    </w:p>
    <w:p>
      <w:pPr>
        <w:pStyle w:val="ListParagraph"/>
        <w:numPr>
          <w:ilvl w:val="0"/>
          <w:numId w:val="259"/>
        </w:numPr>
        <w:tabs>
          <w:tab w:pos="1191" w:val="left" w:leader="none"/>
          <w:tab w:pos="1195" w:val="left" w:leader="none"/>
        </w:tabs>
        <w:spacing w:line="240" w:lineRule="auto" w:before="0" w:after="0"/>
        <w:ind w:left="1195" w:right="336" w:hanging="569"/>
        <w:jc w:val="both"/>
        <w:rPr>
          <w:sz w:val="20"/>
        </w:rPr>
      </w:pPr>
      <w:r>
        <w:rPr>
          <w:sz w:val="20"/>
        </w:rPr>
        <w:t>Otorgar poderes generales y especiales con las facultades que les competan, entre ellas las</w:t>
      </w:r>
      <w:r>
        <w:rPr>
          <w:spacing w:val="40"/>
          <w:sz w:val="20"/>
        </w:rPr>
        <w:t> </w:t>
      </w:r>
      <w:r>
        <w:rPr>
          <w:sz w:val="20"/>
        </w:rPr>
        <w:t>que requieran autorización o cláusula especial. Para el otorgamiento y validez de estos</w:t>
      </w:r>
      <w:r>
        <w:rPr>
          <w:spacing w:val="40"/>
          <w:sz w:val="20"/>
        </w:rPr>
        <w:t> </w:t>
      </w:r>
      <w:r>
        <w:rPr>
          <w:sz w:val="20"/>
        </w:rPr>
        <w:t>poderes, bastará la comunicación oficial que se expida al mandatario por el Director General. Los poderes generales para surtir efectos frente a terceros deberán inscribirse en el Registro Público de la Propiedad y de Comercio en cada Entidad Federativa y Ciudad de México;</w:t>
      </w:r>
    </w:p>
    <w:p>
      <w:pPr>
        <w:pStyle w:val="BodyText"/>
      </w:pPr>
    </w:p>
    <w:p>
      <w:pPr>
        <w:pStyle w:val="ListParagraph"/>
        <w:numPr>
          <w:ilvl w:val="0"/>
          <w:numId w:val="259"/>
        </w:numPr>
        <w:tabs>
          <w:tab w:pos="1195" w:val="left" w:leader="none"/>
        </w:tabs>
        <w:spacing w:line="240" w:lineRule="auto" w:before="0" w:after="0"/>
        <w:ind w:left="1195" w:right="0" w:hanging="569"/>
        <w:jc w:val="left"/>
        <w:rPr>
          <w:sz w:val="20"/>
        </w:rPr>
      </w:pPr>
      <w:r>
        <w:rPr>
          <w:sz w:val="20"/>
        </w:rPr>
        <w:t>Sustituir</w:t>
      </w:r>
      <w:r>
        <w:rPr>
          <w:spacing w:val="-4"/>
          <w:sz w:val="20"/>
        </w:rPr>
        <w:t> </w:t>
      </w:r>
      <w:r>
        <w:rPr>
          <w:sz w:val="20"/>
        </w:rPr>
        <w:t>y</w:t>
      </w:r>
      <w:r>
        <w:rPr>
          <w:spacing w:val="-10"/>
          <w:sz w:val="20"/>
        </w:rPr>
        <w:t> </w:t>
      </w:r>
      <w:r>
        <w:rPr>
          <w:sz w:val="20"/>
        </w:rPr>
        <w:t>revocar</w:t>
      </w:r>
      <w:r>
        <w:rPr>
          <w:spacing w:val="-8"/>
          <w:sz w:val="20"/>
        </w:rPr>
        <w:t> </w:t>
      </w:r>
      <w:r>
        <w:rPr>
          <w:sz w:val="20"/>
        </w:rPr>
        <w:t>poderes</w:t>
      </w:r>
      <w:r>
        <w:rPr>
          <w:spacing w:val="-7"/>
          <w:sz w:val="20"/>
        </w:rPr>
        <w:t> </w:t>
      </w:r>
      <w:r>
        <w:rPr>
          <w:sz w:val="20"/>
        </w:rPr>
        <w:t>generales</w:t>
      </w:r>
      <w:r>
        <w:rPr>
          <w:spacing w:val="-5"/>
          <w:sz w:val="20"/>
        </w:rPr>
        <w:t> </w:t>
      </w:r>
      <w:r>
        <w:rPr>
          <w:sz w:val="20"/>
        </w:rPr>
        <w:t>o</w:t>
      </w:r>
      <w:r>
        <w:rPr>
          <w:spacing w:val="-8"/>
          <w:sz w:val="20"/>
        </w:rPr>
        <w:t> </w:t>
      </w:r>
      <w:r>
        <w:rPr>
          <w:spacing w:val="-2"/>
          <w:sz w:val="20"/>
        </w:rPr>
        <w:t>especiales;</w:t>
      </w:r>
    </w:p>
    <w:p>
      <w:pPr>
        <w:pStyle w:val="BodyText"/>
        <w:spacing w:before="1"/>
      </w:pPr>
    </w:p>
    <w:p>
      <w:pPr>
        <w:pStyle w:val="ListParagraph"/>
        <w:numPr>
          <w:ilvl w:val="0"/>
          <w:numId w:val="259"/>
        </w:numPr>
        <w:tabs>
          <w:tab w:pos="1195" w:val="left" w:leader="none"/>
        </w:tabs>
        <w:spacing w:line="242" w:lineRule="auto" w:before="0" w:after="0"/>
        <w:ind w:left="1195" w:right="336" w:hanging="569"/>
        <w:jc w:val="both"/>
        <w:rPr>
          <w:sz w:val="20"/>
        </w:rPr>
      </w:pPr>
      <w:r>
        <w:rPr>
          <w:sz w:val="20"/>
        </w:rPr>
        <w:t>Previa autorización de la Junta de Gobierno, instalar las Delegaciones u oficinas estatales o regionales, que sean necesarias para el cabal y oportuno cumplimiento de las atribuciones del Organismo Público Descentralizado;</w:t>
      </w:r>
    </w:p>
    <w:p>
      <w:pPr>
        <w:pStyle w:val="ListParagraph"/>
        <w:numPr>
          <w:ilvl w:val="0"/>
          <w:numId w:val="259"/>
        </w:numPr>
        <w:tabs>
          <w:tab w:pos="1195" w:val="left" w:leader="none"/>
        </w:tabs>
        <w:spacing w:line="242" w:lineRule="auto" w:before="223" w:after="0"/>
        <w:ind w:left="1195" w:right="346" w:hanging="569"/>
        <w:jc w:val="both"/>
        <w:rPr>
          <w:sz w:val="20"/>
        </w:rPr>
      </w:pPr>
      <w:r>
        <w:rPr>
          <w:sz w:val="20"/>
        </w:rPr>
        <w:t>Las</w:t>
      </w:r>
      <w:r>
        <w:rPr>
          <w:spacing w:val="-2"/>
          <w:sz w:val="20"/>
        </w:rPr>
        <w:t> </w:t>
      </w:r>
      <w:r>
        <w:rPr>
          <w:sz w:val="20"/>
        </w:rPr>
        <w:t>demás</w:t>
      </w:r>
      <w:r>
        <w:rPr>
          <w:spacing w:val="-2"/>
          <w:sz w:val="20"/>
        </w:rPr>
        <w:t> </w:t>
      </w:r>
      <w:r>
        <w:rPr>
          <w:sz w:val="20"/>
        </w:rPr>
        <w:t>que</w:t>
      </w:r>
      <w:r>
        <w:rPr>
          <w:spacing w:val="-3"/>
          <w:sz w:val="20"/>
        </w:rPr>
        <w:t> </w:t>
      </w:r>
      <w:r>
        <w:rPr>
          <w:sz w:val="20"/>
        </w:rPr>
        <w:t>se</w:t>
      </w:r>
      <w:r>
        <w:rPr>
          <w:spacing w:val="-3"/>
          <w:sz w:val="20"/>
        </w:rPr>
        <w:t> </w:t>
      </w:r>
      <w:r>
        <w:rPr>
          <w:sz w:val="20"/>
        </w:rPr>
        <w:t>requieran</w:t>
      </w:r>
      <w:r>
        <w:rPr>
          <w:spacing w:val="-3"/>
          <w:sz w:val="20"/>
        </w:rPr>
        <w:t> </w:t>
      </w:r>
      <w:r>
        <w:rPr>
          <w:sz w:val="20"/>
        </w:rPr>
        <w:t>para</w:t>
      </w:r>
      <w:r>
        <w:rPr>
          <w:spacing w:val="-3"/>
          <w:sz w:val="20"/>
        </w:rPr>
        <w:t> </w:t>
      </w:r>
      <w:r>
        <w:rPr>
          <w:sz w:val="20"/>
        </w:rPr>
        <w:t>el</w:t>
      </w:r>
      <w:r>
        <w:rPr>
          <w:spacing w:val="-4"/>
          <w:sz w:val="20"/>
        </w:rPr>
        <w:t> </w:t>
      </w:r>
      <w:r>
        <w:rPr>
          <w:sz w:val="20"/>
        </w:rPr>
        <w:t>adecuado</w:t>
      </w:r>
      <w:r>
        <w:rPr>
          <w:spacing w:val="-3"/>
          <w:sz w:val="20"/>
        </w:rPr>
        <w:t> </w:t>
      </w:r>
      <w:r>
        <w:rPr>
          <w:sz w:val="20"/>
        </w:rPr>
        <w:t>funcionamiento</w:t>
      </w:r>
      <w:r>
        <w:rPr>
          <w:spacing w:val="-3"/>
          <w:sz w:val="20"/>
        </w:rPr>
        <w:t> </w:t>
      </w:r>
      <w:r>
        <w:rPr>
          <w:sz w:val="20"/>
        </w:rPr>
        <w:t>del</w:t>
      </w:r>
      <w:r>
        <w:rPr>
          <w:spacing w:val="-4"/>
          <w:sz w:val="20"/>
        </w:rPr>
        <w:t> </w:t>
      </w:r>
      <w:r>
        <w:rPr>
          <w:sz w:val="20"/>
        </w:rPr>
        <w:t>Organismo,</w:t>
      </w:r>
      <w:r>
        <w:rPr>
          <w:spacing w:val="-3"/>
          <w:sz w:val="20"/>
        </w:rPr>
        <w:t> </w:t>
      </w:r>
      <w:r>
        <w:rPr>
          <w:sz w:val="20"/>
        </w:rPr>
        <w:t>sin</w:t>
      </w:r>
      <w:r>
        <w:rPr>
          <w:spacing w:val="-3"/>
          <w:sz w:val="20"/>
        </w:rPr>
        <w:t> </w:t>
      </w:r>
      <w:r>
        <w:rPr>
          <w:sz w:val="20"/>
        </w:rPr>
        <w:t>contravenir</w:t>
      </w:r>
      <w:r>
        <w:rPr>
          <w:spacing w:val="-2"/>
          <w:sz w:val="20"/>
        </w:rPr>
        <w:t> </w:t>
      </w:r>
      <w:r>
        <w:rPr>
          <w:sz w:val="20"/>
        </w:rPr>
        <w:t>la Ley y el estatuto orgánico, y</w:t>
      </w:r>
    </w:p>
    <w:p>
      <w:pPr>
        <w:pStyle w:val="ListParagraph"/>
        <w:numPr>
          <w:ilvl w:val="0"/>
          <w:numId w:val="259"/>
        </w:numPr>
        <w:tabs>
          <w:tab w:pos="1193" w:val="left" w:leader="none"/>
          <w:tab w:pos="1195" w:val="left" w:leader="none"/>
        </w:tabs>
        <w:spacing w:line="242" w:lineRule="auto" w:before="226" w:after="0"/>
        <w:ind w:left="1195" w:right="343" w:hanging="569"/>
        <w:jc w:val="both"/>
        <w:rPr>
          <w:sz w:val="20"/>
        </w:rPr>
      </w:pPr>
      <w:r>
        <w:rPr>
          <w:sz w:val="20"/>
        </w:rPr>
        <w:t>Las demás que se deriven de la presente Ley, el estatuto orgánico y demás disposiciones legales aplicables.</w:t>
      </w:r>
    </w:p>
    <w:p>
      <w:pPr>
        <w:pStyle w:val="BodyText"/>
        <w:spacing w:before="227"/>
        <w:ind w:left="338" w:right="344" w:firstLine="288"/>
        <w:jc w:val="both"/>
      </w:pPr>
      <w:r>
        <w:rPr/>
        <w:t>El Director General ejercerá las facultades a que se refieren las fracciones I, II y III bajo su responsabilidad y dentro de las limitaciones que señale el estatuto orgánico que autorice la Junta de </w:t>
      </w:r>
      <w:r>
        <w:rPr>
          <w:spacing w:val="-2"/>
        </w:rPr>
        <w:t>Gobierno.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8" w:firstLine="288"/>
        <w:jc w:val="both"/>
      </w:pPr>
      <w:bookmarkStart w:name="Artículo_590_D" w:id="745"/>
      <w:bookmarkEnd w:id="745"/>
      <w:r>
        <w:rPr/>
      </w:r>
      <w:r>
        <w:rPr>
          <w:rFonts w:ascii="Arial" w:hAnsi="Arial"/>
          <w:b/>
        </w:rPr>
        <w:t>Artículo 590-D.- </w:t>
      </w:r>
      <w:r>
        <w:rPr/>
        <w:t>La Junta de Gobierno del Centro Federal de Conciliación y Registro Laboral estará conformada por:</w:t>
      </w:r>
    </w:p>
    <w:p>
      <w:pPr>
        <w:pStyle w:val="ListParagraph"/>
        <w:numPr>
          <w:ilvl w:val="1"/>
          <w:numId w:val="259"/>
        </w:numPr>
        <w:tabs>
          <w:tab w:pos="1138" w:val="left" w:leader="none"/>
        </w:tabs>
        <w:spacing w:line="242" w:lineRule="auto" w:before="226" w:after="0"/>
        <w:ind w:left="1138" w:right="345" w:hanging="512"/>
        <w:jc w:val="left"/>
        <w:rPr>
          <w:sz w:val="20"/>
        </w:rPr>
      </w:pPr>
      <w:r>
        <w:rPr>
          <w:sz w:val="20"/>
        </w:rPr>
        <w:t>El</w:t>
      </w:r>
      <w:r>
        <w:rPr>
          <w:spacing w:val="-1"/>
          <w:sz w:val="20"/>
        </w:rPr>
        <w:t> </w:t>
      </w:r>
      <w:r>
        <w:rPr>
          <w:sz w:val="20"/>
        </w:rPr>
        <w:t>titular de la Secretaría</w:t>
      </w:r>
      <w:r>
        <w:rPr>
          <w:spacing w:val="-2"/>
          <w:sz w:val="20"/>
        </w:rPr>
        <w:t> </w:t>
      </w:r>
      <w:r>
        <w:rPr>
          <w:sz w:val="20"/>
        </w:rPr>
        <w:t>del</w:t>
      </w:r>
      <w:r>
        <w:rPr>
          <w:spacing w:val="-2"/>
          <w:sz w:val="20"/>
        </w:rPr>
        <w:t> </w:t>
      </w:r>
      <w:r>
        <w:rPr>
          <w:sz w:val="20"/>
        </w:rPr>
        <w:t>Trabajo y</w:t>
      </w:r>
      <w:r>
        <w:rPr>
          <w:spacing w:val="-2"/>
          <w:sz w:val="20"/>
        </w:rPr>
        <w:t> </w:t>
      </w:r>
      <w:r>
        <w:rPr>
          <w:sz w:val="20"/>
        </w:rPr>
        <w:t>Previsión Social</w:t>
      </w:r>
      <w:r>
        <w:rPr>
          <w:spacing w:val="-2"/>
          <w:sz w:val="20"/>
        </w:rPr>
        <w:t> </w:t>
      </w:r>
      <w:r>
        <w:rPr>
          <w:sz w:val="20"/>
        </w:rPr>
        <w:t>como</w:t>
      </w:r>
      <w:r>
        <w:rPr>
          <w:spacing w:val="-2"/>
          <w:sz w:val="20"/>
        </w:rPr>
        <w:t> </w:t>
      </w:r>
      <w:r>
        <w:rPr>
          <w:sz w:val="20"/>
        </w:rPr>
        <w:t>miembro</w:t>
      </w:r>
      <w:r>
        <w:rPr>
          <w:spacing w:val="-2"/>
          <w:sz w:val="20"/>
        </w:rPr>
        <w:t> </w:t>
      </w:r>
      <w:r>
        <w:rPr>
          <w:sz w:val="20"/>
        </w:rPr>
        <w:t>propietario</w:t>
      </w:r>
      <w:r>
        <w:rPr>
          <w:spacing w:val="-2"/>
          <w:sz w:val="20"/>
        </w:rPr>
        <w:t> </w:t>
      </w:r>
      <w:r>
        <w:rPr>
          <w:sz w:val="20"/>
        </w:rPr>
        <w:t>o su</w:t>
      </w:r>
      <w:r>
        <w:rPr>
          <w:spacing w:val="-2"/>
          <w:sz w:val="20"/>
        </w:rPr>
        <w:t> </w:t>
      </w:r>
      <w:r>
        <w:rPr>
          <w:sz w:val="20"/>
        </w:rPr>
        <w:t>suplente, quien fungirá como Presidente de dicha Junta de Gobierno;</w:t>
      </w:r>
    </w:p>
    <w:p>
      <w:pPr>
        <w:pStyle w:val="ListParagraph"/>
        <w:numPr>
          <w:ilvl w:val="1"/>
          <w:numId w:val="259"/>
        </w:numPr>
        <w:tabs>
          <w:tab w:pos="1138" w:val="left" w:leader="none"/>
        </w:tabs>
        <w:spacing w:line="242" w:lineRule="auto" w:before="225" w:after="0"/>
        <w:ind w:left="1138" w:right="343" w:hanging="512"/>
        <w:jc w:val="left"/>
        <w:rPr>
          <w:sz w:val="20"/>
        </w:rPr>
      </w:pPr>
      <w:r>
        <w:rPr>
          <w:sz w:val="20"/>
        </w:rPr>
        <w:t>El</w:t>
      </w:r>
      <w:r>
        <w:rPr>
          <w:spacing w:val="40"/>
          <w:sz w:val="20"/>
        </w:rPr>
        <w:t> </w:t>
      </w:r>
      <w:r>
        <w:rPr>
          <w:sz w:val="20"/>
        </w:rPr>
        <w:t>titular</w:t>
      </w:r>
      <w:r>
        <w:rPr>
          <w:spacing w:val="40"/>
          <w:sz w:val="20"/>
        </w:rPr>
        <w:t> </w:t>
      </w:r>
      <w:r>
        <w:rPr>
          <w:sz w:val="20"/>
        </w:rPr>
        <w:t>de</w:t>
      </w:r>
      <w:r>
        <w:rPr>
          <w:spacing w:val="40"/>
          <w:sz w:val="20"/>
        </w:rPr>
        <w:t> </w:t>
      </w:r>
      <w:r>
        <w:rPr>
          <w:sz w:val="20"/>
        </w:rPr>
        <w:t>la</w:t>
      </w:r>
      <w:r>
        <w:rPr>
          <w:spacing w:val="40"/>
          <w:sz w:val="20"/>
        </w:rPr>
        <w:t> </w:t>
      </w:r>
      <w:r>
        <w:rPr>
          <w:sz w:val="20"/>
        </w:rPr>
        <w:t>Secretaría</w:t>
      </w:r>
      <w:r>
        <w:rPr>
          <w:spacing w:val="40"/>
          <w:sz w:val="20"/>
        </w:rPr>
        <w:t> </w:t>
      </w:r>
      <w:r>
        <w:rPr>
          <w:sz w:val="20"/>
        </w:rPr>
        <w:t>de</w:t>
      </w:r>
      <w:r>
        <w:rPr>
          <w:spacing w:val="40"/>
          <w:sz w:val="20"/>
        </w:rPr>
        <w:t> </w:t>
      </w:r>
      <w:r>
        <w:rPr>
          <w:sz w:val="20"/>
        </w:rPr>
        <w:t>Hacienda</w:t>
      </w:r>
      <w:r>
        <w:rPr>
          <w:spacing w:val="40"/>
          <w:sz w:val="20"/>
        </w:rPr>
        <w:t> </w:t>
      </w:r>
      <w:r>
        <w:rPr>
          <w:sz w:val="20"/>
        </w:rPr>
        <w:t>y</w:t>
      </w:r>
      <w:r>
        <w:rPr>
          <w:spacing w:val="40"/>
          <w:sz w:val="20"/>
        </w:rPr>
        <w:t> </w:t>
      </w:r>
      <w:r>
        <w:rPr>
          <w:sz w:val="20"/>
        </w:rPr>
        <w:t>Crédito</w:t>
      </w:r>
      <w:r>
        <w:rPr>
          <w:spacing w:val="40"/>
          <w:sz w:val="20"/>
        </w:rPr>
        <w:t> </w:t>
      </w:r>
      <w:r>
        <w:rPr>
          <w:sz w:val="20"/>
        </w:rPr>
        <w:t>Público</w:t>
      </w:r>
      <w:r>
        <w:rPr>
          <w:spacing w:val="40"/>
          <w:sz w:val="20"/>
        </w:rPr>
        <w:t> </w:t>
      </w:r>
      <w:r>
        <w:rPr>
          <w:sz w:val="20"/>
        </w:rPr>
        <w:t>como</w:t>
      </w:r>
      <w:r>
        <w:rPr>
          <w:spacing w:val="40"/>
          <w:sz w:val="20"/>
        </w:rPr>
        <w:t> </w:t>
      </w:r>
      <w:r>
        <w:rPr>
          <w:sz w:val="20"/>
        </w:rPr>
        <w:t>miembro</w:t>
      </w:r>
      <w:r>
        <w:rPr>
          <w:spacing w:val="40"/>
          <w:sz w:val="20"/>
        </w:rPr>
        <w:t> </w:t>
      </w:r>
      <w:r>
        <w:rPr>
          <w:sz w:val="20"/>
        </w:rPr>
        <w:t>propietario</w:t>
      </w:r>
      <w:r>
        <w:rPr>
          <w:spacing w:val="40"/>
          <w:sz w:val="20"/>
        </w:rPr>
        <w:t> </w:t>
      </w:r>
      <w:r>
        <w:rPr>
          <w:sz w:val="20"/>
        </w:rPr>
        <w:t>o</w:t>
      </w:r>
      <w:r>
        <w:rPr>
          <w:spacing w:val="40"/>
          <w:sz w:val="20"/>
        </w:rPr>
        <w:t> </w:t>
      </w:r>
      <w:r>
        <w:rPr>
          <w:sz w:val="20"/>
        </w:rPr>
        <w:t>su</w:t>
      </w:r>
      <w:r>
        <w:rPr>
          <w:spacing w:val="40"/>
          <w:sz w:val="20"/>
        </w:rPr>
        <w:t> </w:t>
      </w:r>
      <w:r>
        <w:rPr>
          <w:spacing w:val="-2"/>
          <w:sz w:val="20"/>
        </w:rPr>
        <w:t>suplente;</w:t>
      </w:r>
    </w:p>
    <w:p>
      <w:pPr>
        <w:pStyle w:val="ListParagraph"/>
        <w:numPr>
          <w:ilvl w:val="1"/>
          <w:numId w:val="259"/>
        </w:numPr>
        <w:tabs>
          <w:tab w:pos="1138" w:val="left" w:leader="none"/>
        </w:tabs>
        <w:spacing w:line="242" w:lineRule="auto" w:before="227" w:after="0"/>
        <w:ind w:left="1138" w:right="346" w:hanging="512"/>
        <w:jc w:val="left"/>
        <w:rPr>
          <w:sz w:val="20"/>
        </w:rPr>
      </w:pPr>
      <w:r>
        <w:rPr>
          <w:sz w:val="20"/>
        </w:rPr>
        <w:t>El titular del Instituto Nacional de Transparencia, Acceso a la Información y Protección de Datos Personales como miembro propietario o su suplente;</w:t>
      </w:r>
    </w:p>
    <w:p>
      <w:pPr>
        <w:pStyle w:val="ListParagraph"/>
        <w:numPr>
          <w:ilvl w:val="1"/>
          <w:numId w:val="259"/>
        </w:numPr>
        <w:tabs>
          <w:tab w:pos="1138" w:val="left" w:leader="none"/>
        </w:tabs>
        <w:spacing w:line="242" w:lineRule="auto" w:before="224" w:after="0"/>
        <w:ind w:left="1138" w:right="342" w:hanging="512"/>
        <w:jc w:val="left"/>
        <w:rPr>
          <w:sz w:val="20"/>
        </w:rPr>
      </w:pPr>
      <w:r>
        <w:rPr>
          <w:sz w:val="20"/>
        </w:rPr>
        <w:t>El Presidente del Instituto Nacional de Estadística y Geografía como miembro propietario o su</w:t>
      </w:r>
      <w:r>
        <w:rPr>
          <w:spacing w:val="40"/>
          <w:sz w:val="20"/>
        </w:rPr>
        <w:t> </w:t>
      </w:r>
      <w:r>
        <w:rPr>
          <w:sz w:val="20"/>
        </w:rPr>
        <w:t>suplente, y</w:t>
      </w:r>
    </w:p>
    <w:p>
      <w:pPr>
        <w:pStyle w:val="ListParagraph"/>
        <w:numPr>
          <w:ilvl w:val="1"/>
          <w:numId w:val="259"/>
        </w:numPr>
        <w:tabs>
          <w:tab w:pos="1137" w:val="left" w:leader="none"/>
        </w:tabs>
        <w:spacing w:line="240" w:lineRule="auto" w:before="227" w:after="0"/>
        <w:ind w:left="1137" w:right="0" w:hanging="511"/>
        <w:jc w:val="left"/>
        <w:rPr>
          <w:sz w:val="20"/>
        </w:rPr>
      </w:pPr>
      <w:r>
        <w:rPr>
          <w:sz w:val="20"/>
        </w:rPr>
        <w:t>El</w:t>
      </w:r>
      <w:r>
        <w:rPr>
          <w:spacing w:val="-7"/>
          <w:sz w:val="20"/>
        </w:rPr>
        <w:t> </w:t>
      </w:r>
      <w:r>
        <w:rPr>
          <w:sz w:val="20"/>
        </w:rPr>
        <w:t>Presidente</w:t>
      </w:r>
      <w:r>
        <w:rPr>
          <w:spacing w:val="-8"/>
          <w:sz w:val="20"/>
        </w:rPr>
        <w:t> </w:t>
      </w:r>
      <w:r>
        <w:rPr>
          <w:sz w:val="20"/>
        </w:rPr>
        <w:t>del</w:t>
      </w:r>
      <w:r>
        <w:rPr>
          <w:spacing w:val="-9"/>
          <w:sz w:val="20"/>
        </w:rPr>
        <w:t> </w:t>
      </w:r>
      <w:r>
        <w:rPr>
          <w:sz w:val="20"/>
        </w:rPr>
        <w:t>Instituto</w:t>
      </w:r>
      <w:r>
        <w:rPr>
          <w:spacing w:val="-7"/>
          <w:sz w:val="20"/>
        </w:rPr>
        <w:t> </w:t>
      </w:r>
      <w:r>
        <w:rPr>
          <w:sz w:val="20"/>
        </w:rPr>
        <w:t>Nacional</w:t>
      </w:r>
      <w:r>
        <w:rPr>
          <w:spacing w:val="-6"/>
          <w:sz w:val="20"/>
        </w:rPr>
        <w:t> </w:t>
      </w:r>
      <w:r>
        <w:rPr>
          <w:sz w:val="20"/>
        </w:rPr>
        <w:t>Electoral</w:t>
      </w:r>
      <w:r>
        <w:rPr>
          <w:spacing w:val="-9"/>
          <w:sz w:val="20"/>
        </w:rPr>
        <w:t> </w:t>
      </w:r>
      <w:r>
        <w:rPr>
          <w:sz w:val="20"/>
        </w:rPr>
        <w:t>como</w:t>
      </w:r>
      <w:r>
        <w:rPr>
          <w:spacing w:val="-10"/>
          <w:sz w:val="20"/>
        </w:rPr>
        <w:t> </w:t>
      </w:r>
      <w:r>
        <w:rPr>
          <w:sz w:val="20"/>
        </w:rPr>
        <w:t>miembro</w:t>
      </w:r>
      <w:r>
        <w:rPr>
          <w:spacing w:val="-8"/>
          <w:sz w:val="20"/>
        </w:rPr>
        <w:t> </w:t>
      </w:r>
      <w:r>
        <w:rPr>
          <w:sz w:val="20"/>
        </w:rPr>
        <w:t>propietario</w:t>
      </w:r>
      <w:r>
        <w:rPr>
          <w:spacing w:val="-7"/>
          <w:sz w:val="20"/>
        </w:rPr>
        <w:t> </w:t>
      </w:r>
      <w:r>
        <w:rPr>
          <w:sz w:val="20"/>
        </w:rPr>
        <w:t>o</w:t>
      </w:r>
      <w:r>
        <w:rPr>
          <w:spacing w:val="-8"/>
          <w:sz w:val="20"/>
        </w:rPr>
        <w:t> </w:t>
      </w:r>
      <w:r>
        <w:rPr>
          <w:sz w:val="20"/>
        </w:rPr>
        <w:t>su</w:t>
      </w:r>
      <w:r>
        <w:rPr>
          <w:spacing w:val="-7"/>
          <w:sz w:val="20"/>
        </w:rPr>
        <w:t> </w:t>
      </w:r>
      <w:r>
        <w:rPr>
          <w:spacing w:val="-2"/>
          <w:sz w:val="20"/>
        </w:rPr>
        <w:t>suplente.</w:t>
      </w:r>
    </w:p>
    <w:p>
      <w:pPr>
        <w:pStyle w:val="BodyText"/>
      </w:pPr>
    </w:p>
    <w:p>
      <w:pPr>
        <w:pStyle w:val="BodyText"/>
        <w:ind w:left="338" w:right="345" w:firstLine="288"/>
        <w:jc w:val="both"/>
      </w:pPr>
      <w:r>
        <w:rPr/>
        <w:t>Los suplentes serán designados por los miembros propietarios y deberán tener una jerarquía inmediata inferior a dichos propietarios en la dependencia u organismo público de que se trate.</w:t>
      </w:r>
    </w:p>
    <w:p>
      <w:pPr>
        <w:pStyle w:val="BodyText"/>
        <w:spacing w:before="2"/>
      </w:pPr>
    </w:p>
    <w:p>
      <w:pPr>
        <w:pStyle w:val="BodyText"/>
        <w:ind w:left="338" w:right="340" w:firstLine="288"/>
        <w:jc w:val="both"/>
      </w:pPr>
      <w:r>
        <w:rPr/>
        <w:t>Sesionará válidamente con la asistencia de por lo menos la mitad más uno de sus miembros y</w:t>
      </w:r>
      <w:r>
        <w:rPr>
          <w:spacing w:val="40"/>
        </w:rPr>
        <w:t> </w:t>
      </w:r>
      <w:r>
        <w:rPr/>
        <w:t>siempre que se encuentre presente el que represente a la Secretaría del Trabajo y Previsión Social. Las decisiones de la Junta de Gobierno se tomarán por mayoría de votos de quienes concurran a sus sesiones, en caso de empate el Presidente tendrá voto de calidad.</w:t>
      </w:r>
    </w:p>
    <w:p>
      <w:pPr>
        <w:pStyle w:val="BodyText"/>
      </w:pPr>
    </w:p>
    <w:p>
      <w:pPr>
        <w:pStyle w:val="BodyText"/>
        <w:ind w:left="338" w:right="342" w:firstLine="288"/>
        <w:jc w:val="both"/>
      </w:pPr>
      <w:r>
        <w:rPr/>
        <w:t>Para el cumplimiento de todas y cada una de las obligaciones a cargo del Organismo establecidas en esta Ley, la Junta de Gobierno se reunirá con la periodicidad que se señale en el Estatuto orgánico sin que pueda ser menor de cuatro veces al año.</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41" w:firstLine="288"/>
        <w:jc w:val="both"/>
      </w:pPr>
      <w:r>
        <w:rPr/>
        <w:t>La Junta de Gobierno podrá acordar la realización de todas las operaciones inherentes al objeto de la entidad con sujeción a las disposiciones de esta Ley, y salvo aquellas facultades a que se contrae el artículo</w:t>
      </w:r>
      <w:r>
        <w:rPr>
          <w:spacing w:val="-2"/>
        </w:rPr>
        <w:t> </w:t>
      </w:r>
      <w:r>
        <w:rPr/>
        <w:t>58</w:t>
      </w:r>
      <w:r>
        <w:rPr>
          <w:spacing w:val="-2"/>
        </w:rPr>
        <w:t> </w:t>
      </w:r>
      <w:r>
        <w:rPr/>
        <w:t>de</w:t>
      </w:r>
      <w:r>
        <w:rPr>
          <w:spacing w:val="-1"/>
        </w:rPr>
        <w:t> </w:t>
      </w:r>
      <w:r>
        <w:rPr/>
        <w:t>la</w:t>
      </w:r>
      <w:r>
        <w:rPr>
          <w:spacing w:val="-2"/>
        </w:rPr>
        <w:t> </w:t>
      </w:r>
      <w:r>
        <w:rPr/>
        <w:t>Ley</w:t>
      </w:r>
      <w:r>
        <w:rPr>
          <w:spacing w:val="-5"/>
        </w:rPr>
        <w:t> </w:t>
      </w:r>
      <w:r>
        <w:rPr/>
        <w:t>Federal</w:t>
      </w:r>
      <w:r>
        <w:rPr>
          <w:spacing w:val="-3"/>
        </w:rPr>
        <w:t> </w:t>
      </w:r>
      <w:r>
        <w:rPr/>
        <w:t>de</w:t>
      </w:r>
      <w:r>
        <w:rPr>
          <w:spacing w:val="-1"/>
        </w:rPr>
        <w:t> </w:t>
      </w:r>
      <w:r>
        <w:rPr/>
        <w:t>Entidades</w:t>
      </w:r>
      <w:r>
        <w:rPr>
          <w:spacing w:val="-2"/>
        </w:rPr>
        <w:t> </w:t>
      </w:r>
      <w:r>
        <w:rPr/>
        <w:t>Paraestatales,</w:t>
      </w:r>
      <w:r>
        <w:rPr>
          <w:spacing w:val="-2"/>
        </w:rPr>
        <w:t> </w:t>
      </w:r>
      <w:r>
        <w:rPr/>
        <w:t>podrá</w:t>
      </w:r>
      <w:r>
        <w:rPr>
          <w:spacing w:val="-2"/>
        </w:rPr>
        <w:t> </w:t>
      </w:r>
      <w:r>
        <w:rPr/>
        <w:t>delegar</w:t>
      </w:r>
      <w:r>
        <w:rPr>
          <w:spacing w:val="-2"/>
        </w:rPr>
        <w:t> </w:t>
      </w:r>
      <w:r>
        <w:rPr/>
        <w:t>discrecionalmente</w:t>
      </w:r>
      <w:r>
        <w:rPr>
          <w:spacing w:val="-2"/>
        </w:rPr>
        <w:t> </w:t>
      </w:r>
      <w:r>
        <w:rPr/>
        <w:t>sus</w:t>
      </w:r>
      <w:r>
        <w:rPr>
          <w:spacing w:val="-2"/>
        </w:rPr>
        <w:t> </w:t>
      </w:r>
      <w:r>
        <w:rPr/>
        <w:t>facultades en el Director General.</w:t>
      </w:r>
    </w:p>
    <w:p>
      <w:pPr>
        <w:pStyle w:val="BodyText"/>
        <w:spacing w:before="2"/>
      </w:pPr>
    </w:p>
    <w:p>
      <w:pPr>
        <w:pStyle w:val="BodyText"/>
        <w:ind w:left="626"/>
      </w:pPr>
      <w:r>
        <w:rPr/>
        <w:t>La</w:t>
      </w:r>
      <w:r>
        <w:rPr>
          <w:spacing w:val="-9"/>
        </w:rPr>
        <w:t> </w:t>
      </w:r>
      <w:r>
        <w:rPr/>
        <w:t>Junta</w:t>
      </w:r>
      <w:r>
        <w:rPr>
          <w:spacing w:val="-7"/>
        </w:rPr>
        <w:t> </w:t>
      </w:r>
      <w:r>
        <w:rPr/>
        <w:t>de</w:t>
      </w:r>
      <w:r>
        <w:rPr>
          <w:spacing w:val="-8"/>
        </w:rPr>
        <w:t> </w:t>
      </w:r>
      <w:r>
        <w:rPr/>
        <w:t>Gobierno</w:t>
      </w:r>
      <w:r>
        <w:rPr>
          <w:spacing w:val="-8"/>
        </w:rPr>
        <w:t> </w:t>
      </w:r>
      <w:r>
        <w:rPr/>
        <w:t>tendrá</w:t>
      </w:r>
      <w:r>
        <w:rPr>
          <w:spacing w:val="-7"/>
        </w:rPr>
        <w:t> </w:t>
      </w:r>
      <w:r>
        <w:rPr/>
        <w:t>las</w:t>
      </w:r>
      <w:r>
        <w:rPr>
          <w:spacing w:val="-7"/>
        </w:rPr>
        <w:t> </w:t>
      </w:r>
      <w:r>
        <w:rPr/>
        <w:t>siguientes</w:t>
      </w:r>
      <w:r>
        <w:rPr>
          <w:spacing w:val="-6"/>
        </w:rPr>
        <w:t> </w:t>
      </w:r>
      <w:r>
        <w:rPr/>
        <w:t>atribuciones</w:t>
      </w:r>
      <w:r>
        <w:rPr>
          <w:spacing w:val="-7"/>
        </w:rPr>
        <w:t> </w:t>
      </w:r>
      <w:r>
        <w:rPr>
          <w:spacing w:val="-2"/>
        </w:rPr>
        <w:t>indelegables:</w:t>
      </w:r>
    </w:p>
    <w:p>
      <w:pPr>
        <w:pStyle w:val="ListParagraph"/>
        <w:numPr>
          <w:ilvl w:val="2"/>
          <w:numId w:val="259"/>
        </w:numPr>
        <w:tabs>
          <w:tab w:pos="1193" w:val="left" w:leader="none"/>
          <w:tab w:pos="1195" w:val="left" w:leader="none"/>
        </w:tabs>
        <w:spacing w:line="242" w:lineRule="auto" w:before="226" w:after="0"/>
        <w:ind w:left="1195" w:right="341" w:hanging="569"/>
        <w:jc w:val="both"/>
        <w:rPr>
          <w:sz w:val="20"/>
        </w:rPr>
      </w:pPr>
      <w:r>
        <w:rPr>
          <w:sz w:val="20"/>
        </w:rPr>
        <w:t>Establecer en congruencia con los programas sectoriales, las políticas generales y definir las prioridades a las que deberá sujetarse el Organismo relativas a la prestación de los servicios públicos que</w:t>
      </w:r>
      <w:r>
        <w:rPr>
          <w:spacing w:val="-1"/>
          <w:sz w:val="20"/>
        </w:rPr>
        <w:t> </w:t>
      </w:r>
      <w:r>
        <w:rPr>
          <w:sz w:val="20"/>
        </w:rPr>
        <w:t>le</w:t>
      </w:r>
      <w:r>
        <w:rPr>
          <w:spacing w:val="-1"/>
          <w:sz w:val="20"/>
        </w:rPr>
        <w:t> </w:t>
      </w:r>
      <w:r>
        <w:rPr>
          <w:sz w:val="20"/>
        </w:rPr>
        <w:t>corresponden</w:t>
      </w:r>
      <w:r>
        <w:rPr>
          <w:spacing w:val="-1"/>
          <w:sz w:val="20"/>
        </w:rPr>
        <w:t> </w:t>
      </w:r>
      <w:r>
        <w:rPr>
          <w:sz w:val="20"/>
        </w:rPr>
        <w:t>en los términos de</w:t>
      </w:r>
      <w:r>
        <w:rPr>
          <w:spacing w:val="-1"/>
          <w:sz w:val="20"/>
        </w:rPr>
        <w:t> </w:t>
      </w:r>
      <w:r>
        <w:rPr>
          <w:sz w:val="20"/>
        </w:rPr>
        <w:t>la presente</w:t>
      </w:r>
      <w:r>
        <w:rPr>
          <w:spacing w:val="-1"/>
          <w:sz w:val="20"/>
        </w:rPr>
        <w:t> </w:t>
      </w:r>
      <w:r>
        <w:rPr>
          <w:sz w:val="20"/>
        </w:rPr>
        <w:t>Ley, sobre</w:t>
      </w:r>
      <w:r>
        <w:rPr>
          <w:spacing w:val="-1"/>
          <w:sz w:val="20"/>
        </w:rPr>
        <w:t> </w:t>
      </w:r>
      <w:r>
        <w:rPr>
          <w:sz w:val="20"/>
        </w:rPr>
        <w:t>productividad,</w:t>
      </w:r>
      <w:r>
        <w:rPr>
          <w:spacing w:val="-1"/>
          <w:sz w:val="20"/>
        </w:rPr>
        <w:t> </w:t>
      </w:r>
      <w:r>
        <w:rPr>
          <w:sz w:val="20"/>
        </w:rPr>
        <w:t>finanzas, investigación, desarrollo tecnológico y administración general;</w:t>
      </w:r>
    </w:p>
    <w:p>
      <w:pPr>
        <w:pStyle w:val="ListParagraph"/>
        <w:numPr>
          <w:ilvl w:val="2"/>
          <w:numId w:val="259"/>
        </w:numPr>
        <w:tabs>
          <w:tab w:pos="1192" w:val="left" w:leader="none"/>
          <w:tab w:pos="1195" w:val="left" w:leader="none"/>
        </w:tabs>
        <w:spacing w:line="242" w:lineRule="auto" w:before="222" w:after="0"/>
        <w:ind w:left="1195" w:right="335" w:hanging="569"/>
        <w:jc w:val="both"/>
        <w:rPr>
          <w:sz w:val="20"/>
        </w:rPr>
      </w:pPr>
      <w:r>
        <w:rPr>
          <w:sz w:val="20"/>
        </w:rPr>
        <w:t>Aprobar los programas y presupuestos del Organismo, así como sus modificaciones, en los términos de la legislación aplicable. En lo tocante a los presupuestos y a los programas financieros, con excepción de aquellos incluidos en el Presupuesto de Egresos Anual de la Federación, bastará con la aprobación de la propia Junta de Gobierno;</w:t>
      </w:r>
    </w:p>
    <w:p>
      <w:pPr>
        <w:pStyle w:val="ListParagraph"/>
        <w:numPr>
          <w:ilvl w:val="2"/>
          <w:numId w:val="259"/>
        </w:numPr>
        <w:tabs>
          <w:tab w:pos="1191" w:val="left" w:leader="none"/>
          <w:tab w:pos="1195" w:val="left" w:leader="none"/>
        </w:tabs>
        <w:spacing w:line="242" w:lineRule="auto" w:before="220" w:after="0"/>
        <w:ind w:left="1195" w:right="339" w:hanging="569"/>
        <w:jc w:val="both"/>
        <w:rPr>
          <w:sz w:val="20"/>
        </w:rPr>
      </w:pPr>
      <w:r>
        <w:rPr>
          <w:sz w:val="20"/>
        </w:rPr>
        <w:t>Expedir las normas o bases generales con arreglo a las cuales, cuando fuere necesario, el Director General pueda disponer de los activos fijos de la entidad que no correspondan a las operaciones propias del objeto de la misma;</w:t>
      </w:r>
    </w:p>
    <w:p>
      <w:pPr>
        <w:pStyle w:val="ListParagraph"/>
        <w:numPr>
          <w:ilvl w:val="2"/>
          <w:numId w:val="259"/>
        </w:numPr>
        <w:tabs>
          <w:tab w:pos="1195" w:val="left" w:leader="none"/>
        </w:tabs>
        <w:spacing w:line="242" w:lineRule="auto" w:before="225" w:after="0"/>
        <w:ind w:left="1195" w:right="336" w:hanging="569"/>
        <w:jc w:val="both"/>
        <w:rPr>
          <w:sz w:val="20"/>
        </w:rPr>
      </w:pPr>
      <w:r>
        <w:rPr>
          <w:sz w:val="20"/>
        </w:rPr>
        <w:t>Aprobar anualmente previo informe de los comisarios, y dictamen de los auditores externos, los estados financieros del Organismo y autorizar la publicación de los mismos;</w:t>
      </w:r>
    </w:p>
    <w:p>
      <w:pPr>
        <w:pStyle w:val="ListParagraph"/>
        <w:numPr>
          <w:ilvl w:val="2"/>
          <w:numId w:val="259"/>
        </w:numPr>
        <w:tabs>
          <w:tab w:pos="1195" w:val="left" w:leader="none"/>
        </w:tabs>
        <w:spacing w:line="242" w:lineRule="auto" w:before="224" w:after="0"/>
        <w:ind w:left="1195" w:right="333" w:hanging="569"/>
        <w:jc w:val="both"/>
        <w:rPr>
          <w:sz w:val="20"/>
        </w:rPr>
      </w:pPr>
      <w:r>
        <w:rPr>
          <w:sz w:val="20"/>
        </w:rPr>
        <w:t>Aprobar la estructura básica de la organización del Organismo, y las modificaciones que procedan a la misma. Aprobar en su caso, el estatuto orgánico de dicho organismo, bajo los siguientes criterios:</w:t>
      </w:r>
    </w:p>
    <w:p>
      <w:pPr>
        <w:pStyle w:val="ListParagraph"/>
        <w:numPr>
          <w:ilvl w:val="3"/>
          <w:numId w:val="259"/>
        </w:numPr>
        <w:tabs>
          <w:tab w:pos="1704" w:val="left" w:leader="none"/>
        </w:tabs>
        <w:spacing w:line="240" w:lineRule="auto" w:before="225" w:after="0"/>
        <w:ind w:left="1704" w:right="344" w:hanging="509"/>
        <w:jc w:val="both"/>
        <w:rPr>
          <w:sz w:val="20"/>
        </w:rPr>
      </w:pPr>
      <w:r>
        <w:rPr>
          <w:sz w:val="20"/>
        </w:rPr>
        <w:t>En la estructura básica del Organismo, deberá contemplar la instalación y</w:t>
      </w:r>
      <w:r>
        <w:rPr>
          <w:spacing w:val="-1"/>
          <w:sz w:val="20"/>
        </w:rPr>
        <w:t> </w:t>
      </w:r>
      <w:r>
        <w:rPr>
          <w:sz w:val="20"/>
        </w:rPr>
        <w:t>funcionamiento de las Delegaciones del mismo en todas las entidades federativas, excepto en la Ciudad de México, en razón de que tiene establecida su Matriz y domicilio legal principal en dicha </w:t>
      </w:r>
      <w:r>
        <w:rPr>
          <w:spacing w:val="-2"/>
          <w:sz w:val="20"/>
        </w:rPr>
        <w:t>ciudad;</w:t>
      </w:r>
    </w:p>
    <w:p>
      <w:pPr>
        <w:pStyle w:val="BodyText"/>
      </w:pPr>
    </w:p>
    <w:p>
      <w:pPr>
        <w:pStyle w:val="ListParagraph"/>
        <w:numPr>
          <w:ilvl w:val="3"/>
          <w:numId w:val="259"/>
        </w:numPr>
        <w:tabs>
          <w:tab w:pos="1702" w:val="left" w:leader="none"/>
          <w:tab w:pos="1704" w:val="left" w:leader="none"/>
        </w:tabs>
        <w:spacing w:line="242" w:lineRule="auto" w:before="0" w:after="0"/>
        <w:ind w:left="1704" w:right="345" w:hanging="509"/>
        <w:jc w:val="both"/>
        <w:rPr>
          <w:sz w:val="20"/>
        </w:rPr>
      </w:pPr>
      <w:r>
        <w:rPr>
          <w:sz w:val="20"/>
        </w:rPr>
        <w:t>Deberá contar con el personal suficiente y adecuado, así como de una Oficina Especializada de Asesoría a los o las trabajadoras para que los asista en la conciliación;</w:t>
      </w:r>
    </w:p>
    <w:p>
      <w:pPr>
        <w:pStyle w:val="ListParagraph"/>
        <w:numPr>
          <w:ilvl w:val="2"/>
          <w:numId w:val="259"/>
        </w:numPr>
        <w:tabs>
          <w:tab w:pos="1195" w:val="left" w:leader="none"/>
        </w:tabs>
        <w:spacing w:line="242" w:lineRule="auto" w:before="224" w:after="0"/>
        <w:ind w:left="1195" w:right="331" w:hanging="569"/>
        <w:jc w:val="both"/>
        <w:rPr>
          <w:sz w:val="20"/>
        </w:rPr>
      </w:pPr>
      <w:r>
        <w:rPr>
          <w:sz w:val="20"/>
        </w:rPr>
        <w:t>Nombrar y remover a propuesta del Director General, a los servidores públicos del organismo que ocupen cargos con las dos jerarquías administrativas inferiores a la de aquél, aprobar la fijación de sus sueldos y prestaciones, conforme a las disposiciones legales, presupuestales y administrativas correspondientes;</w:t>
      </w:r>
    </w:p>
    <w:p>
      <w:pPr>
        <w:pStyle w:val="ListParagraph"/>
        <w:numPr>
          <w:ilvl w:val="2"/>
          <w:numId w:val="259"/>
        </w:numPr>
        <w:tabs>
          <w:tab w:pos="1193" w:val="left" w:leader="none"/>
          <w:tab w:pos="1195" w:val="left" w:leader="none"/>
        </w:tabs>
        <w:spacing w:line="242" w:lineRule="auto" w:before="221" w:after="0"/>
        <w:ind w:left="1195" w:right="342" w:hanging="569"/>
        <w:jc w:val="both"/>
        <w:rPr>
          <w:sz w:val="20"/>
        </w:rPr>
      </w:pPr>
      <w:r>
        <w:rPr>
          <w:sz w:val="20"/>
        </w:rPr>
        <w:t>Nombrar y remover a propuesta de su Presidente, entre personas ajenas a la entidad, al Secretario quien podrá ser miembro o no del mismo; así como designar o remover a propuesta del Director General de la entidad al Prosecretario de la citada Junta Directiva, quien podrá ser</w:t>
      </w:r>
      <w:r>
        <w:rPr>
          <w:spacing w:val="40"/>
          <w:sz w:val="20"/>
        </w:rPr>
        <w:t> </w:t>
      </w:r>
      <w:r>
        <w:rPr>
          <w:sz w:val="20"/>
        </w:rPr>
        <w:t>o no miembro de dicho órgano o de la entidad;</w:t>
      </w:r>
    </w:p>
    <w:p>
      <w:pPr>
        <w:pStyle w:val="ListParagraph"/>
        <w:numPr>
          <w:ilvl w:val="2"/>
          <w:numId w:val="259"/>
        </w:numPr>
        <w:tabs>
          <w:tab w:pos="1193" w:val="left" w:leader="none"/>
          <w:tab w:pos="1195" w:val="left" w:leader="none"/>
        </w:tabs>
        <w:spacing w:line="242" w:lineRule="auto" w:before="221" w:after="0"/>
        <w:ind w:left="1195" w:right="344" w:hanging="569"/>
        <w:jc w:val="both"/>
        <w:rPr>
          <w:sz w:val="20"/>
        </w:rPr>
      </w:pPr>
      <w:r>
        <w:rPr>
          <w:sz w:val="20"/>
        </w:rPr>
        <w:t>Analizar y aprobar en su caso, los informes periódicos que rinda el Director General con la intervención que corresponda a los Comisarios, y</w:t>
      </w:r>
    </w:p>
    <w:p>
      <w:pPr>
        <w:pStyle w:val="ListParagraph"/>
        <w:numPr>
          <w:ilvl w:val="2"/>
          <w:numId w:val="259"/>
        </w:numPr>
        <w:tabs>
          <w:tab w:pos="1195" w:val="left" w:leader="none"/>
        </w:tabs>
        <w:spacing w:line="240" w:lineRule="auto" w:before="226" w:after="0"/>
        <w:ind w:left="1195" w:right="0" w:hanging="569"/>
        <w:jc w:val="left"/>
        <w:rPr>
          <w:sz w:val="20"/>
        </w:rPr>
      </w:pPr>
      <w:r>
        <w:rPr>
          <w:sz w:val="20"/>
        </w:rPr>
        <w:t>Las</w:t>
      </w:r>
      <w:r>
        <w:rPr>
          <w:spacing w:val="-8"/>
          <w:sz w:val="20"/>
        </w:rPr>
        <w:t> </w:t>
      </w:r>
      <w:r>
        <w:rPr>
          <w:sz w:val="20"/>
        </w:rPr>
        <w:t>demás</w:t>
      </w:r>
      <w:r>
        <w:rPr>
          <w:spacing w:val="-8"/>
          <w:sz w:val="20"/>
        </w:rPr>
        <w:t> </w:t>
      </w:r>
      <w:r>
        <w:rPr>
          <w:sz w:val="20"/>
        </w:rPr>
        <w:t>facultades</w:t>
      </w:r>
      <w:r>
        <w:rPr>
          <w:spacing w:val="-8"/>
          <w:sz w:val="20"/>
        </w:rPr>
        <w:t> </w:t>
      </w:r>
      <w:r>
        <w:rPr>
          <w:sz w:val="20"/>
        </w:rPr>
        <w:t>expresamente</w:t>
      </w:r>
      <w:r>
        <w:rPr>
          <w:spacing w:val="-9"/>
          <w:sz w:val="20"/>
        </w:rPr>
        <w:t> </w:t>
      </w:r>
      <w:r>
        <w:rPr>
          <w:sz w:val="20"/>
        </w:rPr>
        <w:t>establecidas</w:t>
      </w:r>
      <w:r>
        <w:rPr>
          <w:spacing w:val="-8"/>
          <w:sz w:val="20"/>
        </w:rPr>
        <w:t> </w:t>
      </w:r>
      <w:r>
        <w:rPr>
          <w:sz w:val="20"/>
        </w:rPr>
        <w:t>en</w:t>
      </w:r>
      <w:r>
        <w:rPr>
          <w:spacing w:val="-8"/>
          <w:sz w:val="20"/>
        </w:rPr>
        <w:t> </w:t>
      </w:r>
      <w:r>
        <w:rPr>
          <w:sz w:val="20"/>
        </w:rPr>
        <w:t>la</w:t>
      </w:r>
      <w:r>
        <w:rPr>
          <w:spacing w:val="-9"/>
          <w:sz w:val="20"/>
        </w:rPr>
        <w:t> </w:t>
      </w:r>
      <w:r>
        <w:rPr>
          <w:sz w:val="20"/>
        </w:rPr>
        <w:t>presente</w:t>
      </w:r>
      <w:r>
        <w:rPr>
          <w:spacing w:val="-8"/>
          <w:sz w:val="20"/>
        </w:rPr>
        <w:t> </w:t>
      </w:r>
      <w:r>
        <w:rPr>
          <w:spacing w:val="-4"/>
          <w:sz w:val="20"/>
        </w:rPr>
        <w:t>Ley.</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Heading1"/>
        <w:spacing w:before="226"/>
      </w:pPr>
      <w:r>
        <w:rPr/>
        <w:t>CAPITULO</w:t>
      </w:r>
      <w:r>
        <w:rPr>
          <w:spacing w:val="-4"/>
        </w:rPr>
        <w:t> </w:t>
      </w:r>
      <w:r>
        <w:rPr/>
        <w:t>IX</w:t>
      </w:r>
      <w:r>
        <w:rPr>
          <w:spacing w:val="-3"/>
        </w:rPr>
        <w:t> </w:t>
      </w:r>
      <w:r>
        <w:rPr>
          <w:spacing w:val="-5"/>
        </w:rPr>
        <w:t>TER</w:t>
      </w:r>
    </w:p>
    <w:p>
      <w:pPr>
        <w:pStyle w:val="Heading1"/>
        <w:spacing w:after="0"/>
        <w:sectPr>
          <w:pgSz w:w="12240" w:h="15840"/>
          <w:pgMar w:header="724" w:footer="712" w:top="1880" w:bottom="900" w:left="1080" w:right="1080"/>
        </w:sectPr>
      </w:pPr>
    </w:p>
    <w:p>
      <w:pPr>
        <w:pStyle w:val="BodyText"/>
        <w:spacing w:before="40"/>
        <w:rPr>
          <w:rFonts w:ascii="Arial"/>
          <w:b/>
          <w:sz w:val="22"/>
        </w:rPr>
      </w:pPr>
    </w:p>
    <w:p>
      <w:pPr>
        <w:pStyle w:val="Heading2"/>
        <w:ind w:left="540" w:right="0"/>
        <w:jc w:val="left"/>
      </w:pPr>
      <w:r>
        <w:rPr/>
        <w:t>De</w:t>
      </w:r>
      <w:r>
        <w:rPr>
          <w:spacing w:val="-6"/>
        </w:rPr>
        <w:t> </w:t>
      </w:r>
      <w:r>
        <w:rPr/>
        <w:t>los</w:t>
      </w:r>
      <w:r>
        <w:rPr>
          <w:spacing w:val="-3"/>
        </w:rPr>
        <w:t> </w:t>
      </w:r>
      <w:r>
        <w:rPr/>
        <w:t>Centros</w:t>
      </w:r>
      <w:r>
        <w:rPr>
          <w:spacing w:val="-6"/>
        </w:rPr>
        <w:t> </w:t>
      </w:r>
      <w:r>
        <w:rPr/>
        <w:t>de</w:t>
      </w:r>
      <w:r>
        <w:rPr>
          <w:spacing w:val="-3"/>
        </w:rPr>
        <w:t> </w:t>
      </w:r>
      <w:r>
        <w:rPr/>
        <w:t>Conciliación</w:t>
      </w:r>
      <w:r>
        <w:rPr>
          <w:spacing w:val="-7"/>
        </w:rPr>
        <w:t> </w:t>
      </w:r>
      <w:r>
        <w:rPr/>
        <w:t>de</w:t>
      </w:r>
      <w:r>
        <w:rPr>
          <w:spacing w:val="-5"/>
        </w:rPr>
        <w:t> </w:t>
      </w:r>
      <w:r>
        <w:rPr/>
        <w:t>las</w:t>
      </w:r>
      <w:r>
        <w:rPr>
          <w:spacing w:val="-4"/>
        </w:rPr>
        <w:t> </w:t>
      </w:r>
      <w:r>
        <w:rPr/>
        <w:t>Entidades</w:t>
      </w:r>
      <w:r>
        <w:rPr>
          <w:spacing w:val="-3"/>
        </w:rPr>
        <w:t> </w:t>
      </w:r>
      <w:r>
        <w:rPr/>
        <w:t>Federativas</w:t>
      </w:r>
      <w:r>
        <w:rPr>
          <w:spacing w:val="-3"/>
        </w:rPr>
        <w:t> </w:t>
      </w:r>
      <w:r>
        <w:rPr/>
        <w:t>y</w:t>
      </w:r>
      <w:r>
        <w:rPr>
          <w:spacing w:val="-8"/>
        </w:rPr>
        <w:t> </w:t>
      </w:r>
      <w:r>
        <w:rPr/>
        <w:t>de</w:t>
      </w:r>
      <w:r>
        <w:rPr>
          <w:spacing w:val="-3"/>
        </w:rPr>
        <w:t> </w:t>
      </w:r>
      <w:r>
        <w:rPr/>
        <w:t>la</w:t>
      </w:r>
      <w:r>
        <w:rPr>
          <w:spacing w:val="-6"/>
        </w:rPr>
        <w:t> </w:t>
      </w:r>
      <w:r>
        <w:rPr/>
        <w:t>Ciudad</w:t>
      </w:r>
      <w:r>
        <w:rPr>
          <w:spacing w:val="-3"/>
        </w:rPr>
        <w:t> </w:t>
      </w:r>
      <w:r>
        <w:rPr/>
        <w:t>de</w:t>
      </w:r>
      <w:r>
        <w:rPr>
          <w:spacing w:val="-5"/>
        </w:rPr>
        <w:t> </w:t>
      </w:r>
      <w:r>
        <w:rPr>
          <w:spacing w:val="-2"/>
        </w:rPr>
        <w:t>México</w:t>
      </w:r>
    </w:p>
    <w:p>
      <w:pPr>
        <w:spacing w:before="1"/>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626"/>
      </w:pPr>
      <w:bookmarkStart w:name="Artículo_590_E" w:id="746"/>
      <w:bookmarkEnd w:id="746"/>
      <w:r>
        <w:rPr/>
      </w:r>
      <w:r>
        <w:rPr>
          <w:rFonts w:ascii="Arial" w:hAnsi="Arial"/>
          <w:b/>
        </w:rPr>
        <w:t>Artículo</w:t>
      </w:r>
      <w:r>
        <w:rPr>
          <w:rFonts w:ascii="Arial" w:hAnsi="Arial"/>
          <w:b/>
          <w:spacing w:val="-8"/>
        </w:rPr>
        <w:t> </w:t>
      </w:r>
      <w:r>
        <w:rPr>
          <w:rFonts w:ascii="Arial" w:hAnsi="Arial"/>
          <w:b/>
        </w:rPr>
        <w:t>590-E.-</w:t>
      </w:r>
      <w:r>
        <w:rPr>
          <w:rFonts w:ascii="Arial" w:hAnsi="Arial"/>
          <w:b/>
          <w:spacing w:val="-8"/>
        </w:rPr>
        <w:t> </w:t>
      </w:r>
      <w:r>
        <w:rPr/>
        <w:t>Corresponde</w:t>
      </w:r>
      <w:r>
        <w:rPr>
          <w:spacing w:val="-7"/>
        </w:rPr>
        <w:t> </w:t>
      </w:r>
      <w:r>
        <w:rPr/>
        <w:t>a</w:t>
      </w:r>
      <w:r>
        <w:rPr>
          <w:spacing w:val="-8"/>
        </w:rPr>
        <w:t> </w:t>
      </w:r>
      <w:r>
        <w:rPr/>
        <w:t>los</w:t>
      </w:r>
      <w:r>
        <w:rPr>
          <w:spacing w:val="-8"/>
        </w:rPr>
        <w:t> </w:t>
      </w:r>
      <w:r>
        <w:rPr/>
        <w:t>Centros</w:t>
      </w:r>
      <w:r>
        <w:rPr>
          <w:spacing w:val="-7"/>
        </w:rPr>
        <w:t> </w:t>
      </w:r>
      <w:r>
        <w:rPr/>
        <w:t>de</w:t>
      </w:r>
      <w:r>
        <w:rPr>
          <w:spacing w:val="-10"/>
        </w:rPr>
        <w:t> </w:t>
      </w:r>
      <w:r>
        <w:rPr/>
        <w:t>Conciliación</w:t>
      </w:r>
      <w:r>
        <w:rPr>
          <w:spacing w:val="-7"/>
        </w:rPr>
        <w:t> </w:t>
      </w:r>
      <w:r>
        <w:rPr/>
        <w:t>locales</w:t>
      </w:r>
      <w:r>
        <w:rPr>
          <w:spacing w:val="-6"/>
        </w:rPr>
        <w:t> </w:t>
      </w:r>
      <w:r>
        <w:rPr/>
        <w:t>las</w:t>
      </w:r>
      <w:r>
        <w:rPr>
          <w:spacing w:val="-8"/>
        </w:rPr>
        <w:t> </w:t>
      </w:r>
      <w:r>
        <w:rPr/>
        <w:t>siguientes</w:t>
      </w:r>
      <w:r>
        <w:rPr>
          <w:spacing w:val="-8"/>
        </w:rPr>
        <w:t> </w:t>
      </w:r>
      <w:r>
        <w:rPr>
          <w:spacing w:val="-2"/>
        </w:rPr>
        <w:t>atribuciones:</w:t>
      </w:r>
    </w:p>
    <w:p>
      <w:pPr>
        <w:pStyle w:val="BodyText"/>
        <w:spacing w:before="1"/>
      </w:pPr>
    </w:p>
    <w:p>
      <w:pPr>
        <w:pStyle w:val="ListParagraph"/>
        <w:numPr>
          <w:ilvl w:val="0"/>
          <w:numId w:val="260"/>
        </w:numPr>
        <w:tabs>
          <w:tab w:pos="1195" w:val="left" w:leader="none"/>
        </w:tabs>
        <w:spacing w:line="242" w:lineRule="auto" w:before="0" w:after="0"/>
        <w:ind w:left="1195" w:right="344" w:hanging="569"/>
        <w:jc w:val="left"/>
        <w:rPr>
          <w:sz w:val="20"/>
        </w:rPr>
      </w:pPr>
      <w:r>
        <w:rPr>
          <w:sz w:val="20"/>
        </w:rPr>
        <w:t>Realizar</w:t>
      </w:r>
      <w:r>
        <w:rPr>
          <w:spacing w:val="25"/>
          <w:sz w:val="20"/>
        </w:rPr>
        <w:t> </w:t>
      </w:r>
      <w:r>
        <w:rPr>
          <w:sz w:val="20"/>
        </w:rPr>
        <w:t>en</w:t>
      </w:r>
      <w:r>
        <w:rPr>
          <w:spacing w:val="24"/>
          <w:sz w:val="20"/>
        </w:rPr>
        <w:t> </w:t>
      </w:r>
      <w:r>
        <w:rPr>
          <w:sz w:val="20"/>
        </w:rPr>
        <w:t>materia</w:t>
      </w:r>
      <w:r>
        <w:rPr>
          <w:spacing w:val="24"/>
          <w:sz w:val="20"/>
        </w:rPr>
        <w:t> </w:t>
      </w:r>
      <w:r>
        <w:rPr>
          <w:sz w:val="20"/>
        </w:rPr>
        <w:t>local</w:t>
      </w:r>
      <w:r>
        <w:rPr>
          <w:spacing w:val="24"/>
          <w:sz w:val="20"/>
        </w:rPr>
        <w:t> </w:t>
      </w:r>
      <w:r>
        <w:rPr>
          <w:sz w:val="20"/>
        </w:rPr>
        <w:t>la</w:t>
      </w:r>
      <w:r>
        <w:rPr>
          <w:spacing w:val="24"/>
          <w:sz w:val="20"/>
        </w:rPr>
        <w:t> </w:t>
      </w:r>
      <w:r>
        <w:rPr>
          <w:sz w:val="20"/>
        </w:rPr>
        <w:t>función</w:t>
      </w:r>
      <w:r>
        <w:rPr>
          <w:spacing w:val="24"/>
          <w:sz w:val="20"/>
        </w:rPr>
        <w:t> </w:t>
      </w:r>
      <w:r>
        <w:rPr>
          <w:sz w:val="20"/>
        </w:rPr>
        <w:t>conciliadora</w:t>
      </w:r>
      <w:r>
        <w:rPr>
          <w:spacing w:val="24"/>
          <w:sz w:val="20"/>
        </w:rPr>
        <w:t> </w:t>
      </w:r>
      <w:r>
        <w:rPr>
          <w:sz w:val="20"/>
        </w:rPr>
        <w:t>a</w:t>
      </w:r>
      <w:r>
        <w:rPr>
          <w:spacing w:val="24"/>
          <w:sz w:val="20"/>
        </w:rPr>
        <w:t> </w:t>
      </w:r>
      <w:r>
        <w:rPr>
          <w:sz w:val="20"/>
        </w:rPr>
        <w:t>la</w:t>
      </w:r>
      <w:r>
        <w:rPr>
          <w:spacing w:val="26"/>
          <w:sz w:val="20"/>
        </w:rPr>
        <w:t> </w:t>
      </w:r>
      <w:r>
        <w:rPr>
          <w:sz w:val="20"/>
        </w:rPr>
        <w:t>que</w:t>
      </w:r>
      <w:r>
        <w:rPr>
          <w:spacing w:val="24"/>
          <w:sz w:val="20"/>
        </w:rPr>
        <w:t> </w:t>
      </w:r>
      <w:r>
        <w:rPr>
          <w:sz w:val="20"/>
        </w:rPr>
        <w:t>se</w:t>
      </w:r>
      <w:r>
        <w:rPr>
          <w:spacing w:val="24"/>
          <w:sz w:val="20"/>
        </w:rPr>
        <w:t> </w:t>
      </w:r>
      <w:r>
        <w:rPr>
          <w:sz w:val="20"/>
        </w:rPr>
        <w:t>refiere</w:t>
      </w:r>
      <w:r>
        <w:rPr>
          <w:spacing w:val="24"/>
          <w:sz w:val="20"/>
        </w:rPr>
        <w:t> </w:t>
      </w:r>
      <w:r>
        <w:rPr>
          <w:sz w:val="20"/>
        </w:rPr>
        <w:t>el</w:t>
      </w:r>
      <w:r>
        <w:rPr>
          <w:spacing w:val="23"/>
          <w:sz w:val="20"/>
        </w:rPr>
        <w:t> </w:t>
      </w:r>
      <w:r>
        <w:rPr>
          <w:sz w:val="20"/>
        </w:rPr>
        <w:t>párrafo</w:t>
      </w:r>
      <w:r>
        <w:rPr>
          <w:spacing w:val="24"/>
          <w:sz w:val="20"/>
        </w:rPr>
        <w:t> </w:t>
      </w:r>
      <w:r>
        <w:rPr>
          <w:sz w:val="20"/>
        </w:rPr>
        <w:t>segundo</w:t>
      </w:r>
      <w:r>
        <w:rPr>
          <w:spacing w:val="24"/>
          <w:sz w:val="20"/>
        </w:rPr>
        <w:t> </w:t>
      </w:r>
      <w:r>
        <w:rPr>
          <w:sz w:val="20"/>
        </w:rPr>
        <w:t>de</w:t>
      </w:r>
      <w:r>
        <w:rPr>
          <w:spacing w:val="24"/>
          <w:sz w:val="20"/>
        </w:rPr>
        <w:t> </w:t>
      </w:r>
      <w:r>
        <w:rPr>
          <w:sz w:val="20"/>
        </w:rPr>
        <w:t>la fracción XX del artículo 123 constitucional;</w:t>
      </w:r>
    </w:p>
    <w:p>
      <w:pPr>
        <w:pStyle w:val="ListParagraph"/>
        <w:numPr>
          <w:ilvl w:val="0"/>
          <w:numId w:val="260"/>
        </w:numPr>
        <w:tabs>
          <w:tab w:pos="1195" w:val="left" w:leader="none"/>
        </w:tabs>
        <w:spacing w:line="242" w:lineRule="auto" w:before="224" w:after="0"/>
        <w:ind w:left="1195" w:right="344" w:hanging="569"/>
        <w:jc w:val="left"/>
        <w:rPr>
          <w:sz w:val="20"/>
        </w:rPr>
      </w:pPr>
      <w:r>
        <w:rPr>
          <w:sz w:val="20"/>
        </w:rPr>
        <w:t>Poner en práctica el Servicio Profesional de Carrera a que se refiere el numeral tres del artículo </w:t>
      </w:r>
      <w:r>
        <w:rPr>
          <w:spacing w:val="-2"/>
          <w:sz w:val="20"/>
        </w:rPr>
        <w:t>590-A;</w:t>
      </w:r>
    </w:p>
    <w:p>
      <w:pPr>
        <w:pStyle w:val="ListParagraph"/>
        <w:numPr>
          <w:ilvl w:val="0"/>
          <w:numId w:val="260"/>
        </w:numPr>
        <w:tabs>
          <w:tab w:pos="1195" w:val="left" w:leader="none"/>
        </w:tabs>
        <w:spacing w:line="242" w:lineRule="auto" w:before="227" w:after="0"/>
        <w:ind w:left="1195" w:right="348" w:hanging="569"/>
        <w:jc w:val="left"/>
        <w:rPr>
          <w:sz w:val="20"/>
        </w:rPr>
      </w:pPr>
      <w:r>
        <w:rPr>
          <w:sz w:val="20"/>
        </w:rPr>
        <w:t>Capacitar y</w:t>
      </w:r>
      <w:r>
        <w:rPr>
          <w:spacing w:val="-1"/>
          <w:sz w:val="20"/>
        </w:rPr>
        <w:t> </w:t>
      </w:r>
      <w:r>
        <w:rPr>
          <w:sz w:val="20"/>
        </w:rPr>
        <w:t>profesionalizarlo para que realice las funciones conciliadoras referidas en el párrafo anterior, y</w:t>
      </w:r>
    </w:p>
    <w:p>
      <w:pPr>
        <w:pStyle w:val="ListParagraph"/>
        <w:numPr>
          <w:ilvl w:val="0"/>
          <w:numId w:val="260"/>
        </w:numPr>
        <w:tabs>
          <w:tab w:pos="1195" w:val="left" w:leader="none"/>
        </w:tabs>
        <w:spacing w:line="240" w:lineRule="auto" w:before="225" w:after="0"/>
        <w:ind w:left="1195" w:right="0" w:hanging="569"/>
        <w:jc w:val="left"/>
        <w:rPr>
          <w:sz w:val="20"/>
        </w:rPr>
      </w:pPr>
      <w:r>
        <w:rPr>
          <w:sz w:val="20"/>
        </w:rPr>
        <w:t>Las</w:t>
      </w:r>
      <w:r>
        <w:rPr>
          <w:spacing w:val="-5"/>
          <w:sz w:val="20"/>
        </w:rPr>
        <w:t> </w:t>
      </w:r>
      <w:r>
        <w:rPr>
          <w:sz w:val="20"/>
        </w:rPr>
        <w:t>demás</w:t>
      </w:r>
      <w:r>
        <w:rPr>
          <w:spacing w:val="-4"/>
          <w:sz w:val="20"/>
        </w:rPr>
        <w:t> </w:t>
      </w:r>
      <w:r>
        <w:rPr>
          <w:sz w:val="20"/>
        </w:rPr>
        <w:t>que</w:t>
      </w:r>
      <w:r>
        <w:rPr>
          <w:spacing w:val="-6"/>
          <w:sz w:val="20"/>
        </w:rPr>
        <w:t> </w:t>
      </w:r>
      <w:r>
        <w:rPr>
          <w:sz w:val="20"/>
        </w:rPr>
        <w:t>de</w:t>
      </w:r>
      <w:r>
        <w:rPr>
          <w:spacing w:val="-5"/>
          <w:sz w:val="20"/>
        </w:rPr>
        <w:t> </w:t>
      </w:r>
      <w:r>
        <w:rPr>
          <w:sz w:val="20"/>
        </w:rPr>
        <w:t>esta</w:t>
      </w:r>
      <w:r>
        <w:rPr>
          <w:spacing w:val="-4"/>
          <w:sz w:val="20"/>
        </w:rPr>
        <w:t> </w:t>
      </w:r>
      <w:r>
        <w:rPr>
          <w:sz w:val="20"/>
        </w:rPr>
        <w:t>Ley</w:t>
      </w:r>
      <w:r>
        <w:rPr>
          <w:spacing w:val="-4"/>
          <w:sz w:val="20"/>
        </w:rPr>
        <w:t> </w:t>
      </w:r>
      <w:r>
        <w:rPr>
          <w:sz w:val="20"/>
        </w:rPr>
        <w:t>y</w:t>
      </w:r>
      <w:r>
        <w:rPr>
          <w:spacing w:val="-8"/>
          <w:sz w:val="20"/>
        </w:rPr>
        <w:t> </w:t>
      </w:r>
      <w:r>
        <w:rPr>
          <w:sz w:val="20"/>
        </w:rPr>
        <w:t>su</w:t>
      </w:r>
      <w:r>
        <w:rPr>
          <w:spacing w:val="-6"/>
          <w:sz w:val="20"/>
        </w:rPr>
        <w:t> </w:t>
      </w:r>
      <w:r>
        <w:rPr>
          <w:sz w:val="20"/>
        </w:rPr>
        <w:t>normatividad</w:t>
      </w:r>
      <w:r>
        <w:rPr>
          <w:spacing w:val="-6"/>
          <w:sz w:val="20"/>
        </w:rPr>
        <w:t> </w:t>
      </w:r>
      <w:r>
        <w:rPr>
          <w:sz w:val="20"/>
        </w:rPr>
        <w:t>aplicable</w:t>
      </w:r>
      <w:r>
        <w:rPr>
          <w:spacing w:val="-5"/>
          <w:sz w:val="20"/>
        </w:rPr>
        <w:t> </w:t>
      </w:r>
      <w:r>
        <w:rPr>
          <w:sz w:val="20"/>
        </w:rPr>
        <w:t>se</w:t>
      </w:r>
      <w:r>
        <w:rPr>
          <w:spacing w:val="-4"/>
          <w:sz w:val="20"/>
        </w:rPr>
        <w:t> </w:t>
      </w:r>
      <w:r>
        <w:rPr>
          <w:spacing w:val="-2"/>
          <w:sz w:val="20"/>
        </w:rPr>
        <w:t>deriven.</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BodyText"/>
        <w:ind w:left="338" w:right="336" w:firstLine="288"/>
        <w:jc w:val="both"/>
      </w:pPr>
      <w:bookmarkStart w:name="Artículo_590_F" w:id="747"/>
      <w:bookmarkEnd w:id="747"/>
      <w:r>
        <w:rPr/>
      </w:r>
      <w:r>
        <w:rPr>
          <w:rFonts w:ascii="Arial" w:hAnsi="Arial"/>
          <w:b/>
        </w:rPr>
        <w:t>Artículo 590-F.- </w:t>
      </w:r>
      <w:r>
        <w:rPr/>
        <w:t>Los Centros de Conciliación de las Entidades Federativas y de la Ciudad de México, encargados de la conciliación previa a la demanda jurisdiccional en el orden local, establecidos en el apartado A del artículo 123, fracción XX, párrafo segundo de la Constitución, se integrarán y funcionarán en los términos que determinen las leyes locales, con base a los siguientes lineamientos:</w:t>
      </w:r>
    </w:p>
    <w:p>
      <w:pPr>
        <w:pStyle w:val="BodyText"/>
        <w:spacing w:before="2"/>
      </w:pPr>
    </w:p>
    <w:p>
      <w:pPr>
        <w:pStyle w:val="BodyText"/>
        <w:ind w:left="338" w:right="341" w:firstLine="288"/>
        <w:jc w:val="both"/>
      </w:pPr>
      <w:r>
        <w:rPr/>
        <w:t>Cada Centro de Conciliación se constituirá como Organismo Público Descentralizado de la respectiva Entidad</w:t>
      </w:r>
      <w:r>
        <w:rPr>
          <w:spacing w:val="-3"/>
        </w:rPr>
        <w:t> </w:t>
      </w:r>
      <w:r>
        <w:rPr/>
        <w:t>Federativa,</w:t>
      </w:r>
      <w:r>
        <w:rPr>
          <w:spacing w:val="-1"/>
        </w:rPr>
        <w:t> </w:t>
      </w:r>
      <w:r>
        <w:rPr/>
        <w:t>los</w:t>
      </w:r>
      <w:r>
        <w:rPr>
          <w:spacing w:val="-2"/>
        </w:rPr>
        <w:t> </w:t>
      </w:r>
      <w:r>
        <w:rPr/>
        <w:t>cuales</w:t>
      </w:r>
      <w:r>
        <w:rPr>
          <w:spacing w:val="-2"/>
        </w:rPr>
        <w:t> </w:t>
      </w:r>
      <w:r>
        <w:rPr/>
        <w:t>tendrán</w:t>
      </w:r>
      <w:r>
        <w:rPr>
          <w:spacing w:val="-3"/>
        </w:rPr>
        <w:t> </w:t>
      </w:r>
      <w:r>
        <w:rPr/>
        <w:t>el</w:t>
      </w:r>
      <w:r>
        <w:rPr>
          <w:spacing w:val="-3"/>
        </w:rPr>
        <w:t> </w:t>
      </w:r>
      <w:r>
        <w:rPr/>
        <w:t>número</w:t>
      </w:r>
      <w:r>
        <w:rPr>
          <w:spacing w:val="-3"/>
        </w:rPr>
        <w:t> </w:t>
      </w:r>
      <w:r>
        <w:rPr/>
        <w:t>de</w:t>
      </w:r>
      <w:r>
        <w:rPr>
          <w:spacing w:val="-3"/>
        </w:rPr>
        <w:t> </w:t>
      </w:r>
      <w:r>
        <w:rPr/>
        <w:t>delegaciones</w:t>
      </w:r>
      <w:r>
        <w:rPr>
          <w:spacing w:val="-2"/>
        </w:rPr>
        <w:t> </w:t>
      </w:r>
      <w:r>
        <w:rPr/>
        <w:t>que</w:t>
      </w:r>
      <w:r>
        <w:rPr>
          <w:spacing w:val="-3"/>
        </w:rPr>
        <w:t> </w:t>
      </w:r>
      <w:r>
        <w:rPr/>
        <w:t>se</w:t>
      </w:r>
      <w:r>
        <w:rPr>
          <w:spacing w:val="-3"/>
        </w:rPr>
        <w:t> </w:t>
      </w:r>
      <w:r>
        <w:rPr/>
        <w:t>considere</w:t>
      </w:r>
      <w:r>
        <w:rPr>
          <w:spacing w:val="-3"/>
        </w:rPr>
        <w:t> </w:t>
      </w:r>
      <w:r>
        <w:rPr/>
        <w:t>necesario</w:t>
      </w:r>
      <w:r>
        <w:rPr>
          <w:spacing w:val="-3"/>
        </w:rPr>
        <w:t> </w:t>
      </w:r>
      <w:r>
        <w:rPr/>
        <w:t>constituir y contarán con personalidad jurídica y patrimonio propio, así como plena autonomía técnica, operativa, presupuestaria, de decisión y de gestión.</w:t>
      </w:r>
    </w:p>
    <w:p>
      <w:pPr>
        <w:pStyle w:val="BodyText"/>
      </w:pPr>
    </w:p>
    <w:p>
      <w:pPr>
        <w:pStyle w:val="BodyText"/>
        <w:ind w:left="338" w:right="344" w:firstLine="288"/>
        <w:jc w:val="both"/>
      </w:pPr>
      <w:r>
        <w:rPr/>
        <w:t>Serán competentes para substanciar el procedimiento de la conciliación a la que deberán acudir los trabajadores y patrones, antes de presentar demanda ante los Tribunales, conforme lo establece el párrafo segundo de la fracción XX del artículo 123, apartado A, de la Constitución.</w:t>
      </w:r>
    </w:p>
    <w:p>
      <w:pPr>
        <w:pStyle w:val="BodyText"/>
      </w:pPr>
    </w:p>
    <w:p>
      <w:pPr>
        <w:pStyle w:val="BodyText"/>
        <w:ind w:left="338" w:right="335" w:firstLine="288"/>
        <w:jc w:val="both"/>
      </w:pPr>
      <w:r>
        <w:rPr/>
        <w:t>En su actuación se regirán por los principios de certeza, independencia, legalidad, imparcialidad, igualdad, confiabilidad, eficacia, objetividad, profesionalismo, transparencia y publicidad. Su integración y funcionamiento se determinará en su estatuto orgánico y su respectiva reglamentación, emitidos por el Poder Legislativo de la respectiva Entidad Federativa o de la Ciudad de México, según corresponda.</w:t>
      </w:r>
    </w:p>
    <w:p>
      <w:pPr>
        <w:pStyle w:val="BodyText"/>
        <w:spacing w:before="230"/>
        <w:ind w:left="338" w:right="341" w:firstLine="288"/>
        <w:jc w:val="both"/>
      </w:pPr>
      <w:r>
        <w:rPr/>
        <w:t>Cada Centro tendrá un Órgano de Gobierno integrado por los titulares de las dependencias u organismos públicos que señalen las legislaciones locales y que salvaguarden el ejercicio pleno de la autonomía técnica, operativa, presupuestaria, de decisión y de gestión.</w:t>
      </w:r>
    </w:p>
    <w:p>
      <w:pPr>
        <w:pStyle w:val="BodyText"/>
        <w:spacing w:before="1"/>
      </w:pPr>
    </w:p>
    <w:p>
      <w:pPr>
        <w:pStyle w:val="BodyText"/>
        <w:spacing w:line="228" w:lineRule="exact"/>
        <w:ind w:left="626"/>
      </w:pPr>
      <w:r>
        <w:rPr/>
        <w:t>La</w:t>
      </w:r>
      <w:r>
        <w:rPr>
          <w:spacing w:val="-9"/>
        </w:rPr>
        <w:t> </w:t>
      </w:r>
      <w:r>
        <w:rPr/>
        <w:t>conciliación</w:t>
      </w:r>
      <w:r>
        <w:rPr>
          <w:spacing w:val="-8"/>
        </w:rPr>
        <w:t> </w:t>
      </w:r>
      <w:r>
        <w:rPr/>
        <w:t>que</w:t>
      </w:r>
      <w:r>
        <w:rPr>
          <w:spacing w:val="-8"/>
        </w:rPr>
        <w:t> </w:t>
      </w:r>
      <w:r>
        <w:rPr/>
        <w:t>imparta</w:t>
      </w:r>
      <w:r>
        <w:rPr>
          <w:spacing w:val="-9"/>
        </w:rPr>
        <w:t> </w:t>
      </w:r>
      <w:r>
        <w:rPr/>
        <w:t>deberá</w:t>
      </w:r>
      <w:r>
        <w:rPr>
          <w:spacing w:val="-8"/>
        </w:rPr>
        <w:t> </w:t>
      </w:r>
      <w:r>
        <w:rPr/>
        <w:t>ajustarse</w:t>
      </w:r>
      <w:r>
        <w:rPr>
          <w:spacing w:val="-8"/>
        </w:rPr>
        <w:t> </w:t>
      </w:r>
      <w:r>
        <w:rPr/>
        <w:t>al</w:t>
      </w:r>
      <w:r>
        <w:rPr>
          <w:spacing w:val="-9"/>
        </w:rPr>
        <w:t> </w:t>
      </w:r>
      <w:r>
        <w:rPr/>
        <w:t>procedimiento</w:t>
      </w:r>
      <w:r>
        <w:rPr>
          <w:spacing w:val="-8"/>
        </w:rPr>
        <w:t> </w:t>
      </w:r>
      <w:r>
        <w:rPr/>
        <w:t>contemplado</w:t>
      </w:r>
      <w:r>
        <w:rPr>
          <w:spacing w:val="-7"/>
        </w:rPr>
        <w:t> </w:t>
      </w:r>
      <w:r>
        <w:rPr/>
        <w:t>en</w:t>
      </w:r>
      <w:r>
        <w:rPr>
          <w:spacing w:val="-7"/>
        </w:rPr>
        <w:t> </w:t>
      </w:r>
      <w:r>
        <w:rPr/>
        <w:t>la</w:t>
      </w:r>
      <w:r>
        <w:rPr>
          <w:spacing w:val="-6"/>
        </w:rPr>
        <w:t> </w:t>
      </w:r>
      <w:r>
        <w:rPr/>
        <w:t>presente</w:t>
      </w:r>
      <w:r>
        <w:rPr>
          <w:spacing w:val="-7"/>
        </w:rPr>
        <w:t> </w:t>
      </w:r>
      <w:r>
        <w:rPr>
          <w:spacing w:val="-4"/>
        </w:rPr>
        <w:t>Ley.</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0"/>
        <w:rPr>
          <w:rFonts w:ascii="Times New Roman"/>
          <w:i/>
          <w:sz w:val="11"/>
        </w:rPr>
      </w:pPr>
    </w:p>
    <w:p>
      <w:pPr>
        <w:pStyle w:val="BodyText"/>
        <w:spacing w:after="0"/>
        <w:rPr>
          <w:rFonts w:ascii="Times New Roman"/>
          <w:i/>
          <w:sz w:val="11"/>
        </w:rPr>
        <w:sectPr>
          <w:pgSz w:w="12240" w:h="15840"/>
          <w:pgMar w:header="724" w:footer="712" w:top="1880" w:bottom="900" w:left="1080" w:right="1080"/>
        </w:sectPr>
      </w:pPr>
    </w:p>
    <w:p>
      <w:pPr>
        <w:pStyle w:val="Heading1"/>
        <w:spacing w:before="94"/>
        <w:ind w:left="3344" w:right="0"/>
      </w:pPr>
      <w:r>
        <w:rPr/>
        <w:t>CAPITULO</w:t>
      </w:r>
      <w:r>
        <w:rPr>
          <w:spacing w:val="-7"/>
        </w:rPr>
        <w:t> </w:t>
      </w:r>
      <w:r>
        <w:rPr>
          <w:spacing w:val="-12"/>
        </w:rPr>
        <w:t>X</w:t>
      </w:r>
    </w:p>
    <w:p>
      <w:pPr>
        <w:pStyle w:val="Heading2"/>
        <w:spacing w:before="1"/>
        <w:ind w:left="3346" w:right="0"/>
      </w:pPr>
      <w:r>
        <w:rPr/>
        <w:t>Juntas</w:t>
      </w:r>
      <w:r>
        <w:rPr>
          <w:spacing w:val="-5"/>
        </w:rPr>
        <w:t> </w:t>
      </w:r>
      <w:r>
        <w:rPr/>
        <w:t>federales</w:t>
      </w:r>
      <w:r>
        <w:rPr>
          <w:spacing w:val="-4"/>
        </w:rPr>
        <w:t> </w:t>
      </w:r>
      <w:r>
        <w:rPr/>
        <w:t>de</w:t>
      </w:r>
      <w:r>
        <w:rPr>
          <w:spacing w:val="-5"/>
        </w:rPr>
        <w:t> </w:t>
      </w:r>
      <w:r>
        <w:rPr>
          <w:spacing w:val="-2"/>
        </w:rPr>
        <w:t>conciliación</w:t>
      </w:r>
    </w:p>
    <w:p>
      <w:pPr>
        <w:spacing w:line="240" w:lineRule="auto" w:before="0"/>
        <w:rPr>
          <w:rFonts w:ascii="Arial"/>
          <w:b/>
          <w:sz w:val="16"/>
        </w:rPr>
      </w:pPr>
      <w:r>
        <w:rPr/>
        <w:br w:type="column"/>
      </w:r>
      <w:r>
        <w:rPr>
          <w:rFonts w:ascii="Arial"/>
          <w:b/>
          <w:sz w:val="16"/>
        </w:rPr>
      </w:r>
    </w:p>
    <w:p>
      <w:pPr>
        <w:pStyle w:val="BodyText"/>
        <w:rPr>
          <w:rFonts w:ascii="Arial"/>
          <w:b/>
          <w:sz w:val="16"/>
        </w:rPr>
      </w:pPr>
    </w:p>
    <w:p>
      <w:pPr>
        <w:pStyle w:val="BodyText"/>
        <w:spacing w:before="50"/>
        <w:rPr>
          <w:rFonts w:ascii="Arial"/>
          <w:b/>
          <w:sz w:val="16"/>
        </w:rPr>
      </w:pPr>
    </w:p>
    <w:p>
      <w:pPr>
        <w:spacing w:before="0"/>
        <w:ind w:left="598"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i/>
          <w:sz w:val="16"/>
        </w:rPr>
        <w:sectPr>
          <w:type w:val="continuous"/>
          <w:pgSz w:w="12240" w:h="15840"/>
          <w:pgMar w:header="724" w:footer="712" w:top="1880" w:bottom="900" w:left="1080" w:right="1080"/>
          <w:cols w:num="2" w:equalWidth="0">
            <w:col w:w="6736" w:space="40"/>
            <w:col w:w="3304"/>
          </w:cols>
        </w:sectPr>
      </w:pPr>
    </w:p>
    <w:p>
      <w:pPr>
        <w:spacing w:before="229"/>
        <w:ind w:left="626" w:right="0" w:firstLine="0"/>
        <w:jc w:val="left"/>
        <w:rPr>
          <w:sz w:val="20"/>
        </w:rPr>
      </w:pPr>
      <w:bookmarkStart w:name="Artículo_591" w:id="748"/>
      <w:bookmarkEnd w:id="748"/>
      <w:r>
        <w:rPr/>
      </w:r>
      <w:r>
        <w:rPr>
          <w:rFonts w:ascii="Arial" w:hAnsi="Arial"/>
          <w:b/>
          <w:sz w:val="20"/>
        </w:rPr>
        <w:t>Artículo</w:t>
      </w:r>
      <w:r>
        <w:rPr>
          <w:rFonts w:ascii="Arial" w:hAnsi="Arial"/>
          <w:b/>
          <w:spacing w:val="-6"/>
          <w:sz w:val="20"/>
        </w:rPr>
        <w:t> </w:t>
      </w:r>
      <w:r>
        <w:rPr>
          <w:rFonts w:ascii="Arial" w:hAnsi="Arial"/>
          <w:b/>
          <w:sz w:val="20"/>
        </w:rPr>
        <w:t>591.</w:t>
      </w:r>
      <w:r>
        <w:rPr>
          <w:rFonts w:ascii="Arial" w:hAnsi="Arial"/>
          <w:b/>
          <w:spacing w:val="-5"/>
          <w:sz w:val="20"/>
        </w:rPr>
        <w:t> </w:t>
      </w:r>
      <w:r>
        <w:rPr>
          <w:sz w:val="20"/>
        </w:rPr>
        <w:t>(Se</w:t>
      </w:r>
      <w:r>
        <w:rPr>
          <w:spacing w:val="-4"/>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rPr>
      </w:pPr>
    </w:p>
    <w:p>
      <w:pPr>
        <w:spacing w:line="229" w:lineRule="exact" w:before="1"/>
        <w:ind w:left="626" w:right="0" w:firstLine="0"/>
        <w:jc w:val="left"/>
        <w:rPr>
          <w:sz w:val="20"/>
        </w:rPr>
      </w:pPr>
      <w:bookmarkStart w:name="Artículo_592" w:id="749"/>
      <w:bookmarkEnd w:id="749"/>
      <w:r>
        <w:rPr/>
      </w:r>
      <w:r>
        <w:rPr>
          <w:rFonts w:ascii="Arial" w:hAnsi="Arial"/>
          <w:b/>
          <w:sz w:val="20"/>
        </w:rPr>
        <w:t>Artículo</w:t>
      </w:r>
      <w:r>
        <w:rPr>
          <w:rFonts w:ascii="Arial" w:hAnsi="Arial"/>
          <w:b/>
          <w:spacing w:val="-6"/>
          <w:sz w:val="20"/>
        </w:rPr>
        <w:t> </w:t>
      </w:r>
      <w:r>
        <w:rPr>
          <w:rFonts w:ascii="Arial" w:hAnsi="Arial"/>
          <w:b/>
          <w:sz w:val="20"/>
        </w:rPr>
        <w:t>592.</w:t>
      </w:r>
      <w:r>
        <w:rPr>
          <w:rFonts w:ascii="Arial" w:hAnsi="Arial"/>
          <w:b/>
          <w:spacing w:val="-6"/>
          <w:sz w:val="20"/>
        </w:rPr>
        <w:t> </w:t>
      </w:r>
      <w:r>
        <w:rPr>
          <w:sz w:val="20"/>
        </w:rPr>
        <w:t>(Se</w:t>
      </w:r>
      <w:r>
        <w:rPr>
          <w:spacing w:val="-4"/>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rPr>
      </w:pPr>
    </w:p>
    <w:p>
      <w:pPr>
        <w:spacing w:before="0"/>
        <w:ind w:left="626" w:right="0" w:firstLine="0"/>
        <w:jc w:val="left"/>
        <w:rPr>
          <w:sz w:val="20"/>
        </w:rPr>
      </w:pPr>
      <w:bookmarkStart w:name="Artículo_593" w:id="750"/>
      <w:bookmarkEnd w:id="750"/>
      <w:r>
        <w:rPr/>
      </w:r>
      <w:r>
        <w:rPr>
          <w:rFonts w:ascii="Arial" w:hAnsi="Arial"/>
          <w:b/>
          <w:sz w:val="20"/>
        </w:rPr>
        <w:t>Artículo</w:t>
      </w:r>
      <w:r>
        <w:rPr>
          <w:rFonts w:ascii="Arial" w:hAnsi="Arial"/>
          <w:b/>
          <w:spacing w:val="-6"/>
          <w:sz w:val="20"/>
        </w:rPr>
        <w:t> </w:t>
      </w:r>
      <w:r>
        <w:rPr>
          <w:rFonts w:ascii="Arial" w:hAnsi="Arial"/>
          <w:b/>
          <w:sz w:val="20"/>
        </w:rPr>
        <w:t>593.</w:t>
      </w:r>
      <w:r>
        <w:rPr>
          <w:rFonts w:ascii="Arial" w:hAnsi="Arial"/>
          <w:b/>
          <w:spacing w:val="-5"/>
          <w:sz w:val="20"/>
        </w:rPr>
        <w:t> </w:t>
      </w:r>
      <w:r>
        <w:rPr>
          <w:sz w:val="20"/>
        </w:rPr>
        <w:t>(Se</w:t>
      </w:r>
      <w:r>
        <w:rPr>
          <w:spacing w:val="-4"/>
          <w:sz w:val="20"/>
        </w:rPr>
        <w:t> </w:t>
      </w:r>
      <w:r>
        <w:rPr>
          <w:spacing w:val="-2"/>
          <w:sz w:val="20"/>
        </w:rPr>
        <w:t>deroga).</w:t>
      </w:r>
    </w:p>
    <w:p>
      <w:pPr>
        <w:spacing w:after="0"/>
        <w:jc w:val="left"/>
        <w:rPr>
          <w:sz w:val="20"/>
        </w:rPr>
        <w:sectPr>
          <w:type w:val="continuous"/>
          <w:pgSz w:w="12240" w:h="15840"/>
          <w:pgMar w:header="724" w:footer="712" w:top="1880" w:bottom="900" w:left="1080" w:right="1080"/>
        </w:sectPr>
      </w:pPr>
    </w:p>
    <w:p>
      <w:pPr>
        <w:pStyle w:val="BodyText"/>
        <w:spacing w:before="109"/>
        <w:rPr>
          <w:sz w:val="16"/>
        </w:rPr>
      </w:pP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rPr>
      </w:pPr>
    </w:p>
    <w:p>
      <w:pPr>
        <w:spacing w:before="0"/>
        <w:ind w:left="626" w:right="0" w:firstLine="0"/>
        <w:jc w:val="left"/>
        <w:rPr>
          <w:sz w:val="20"/>
        </w:rPr>
      </w:pPr>
      <w:bookmarkStart w:name="Artículo_594" w:id="751"/>
      <w:bookmarkEnd w:id="751"/>
      <w:r>
        <w:rPr/>
      </w:r>
      <w:r>
        <w:rPr>
          <w:rFonts w:ascii="Arial" w:hAnsi="Arial"/>
          <w:b/>
          <w:sz w:val="20"/>
        </w:rPr>
        <w:t>Artículo</w:t>
      </w:r>
      <w:r>
        <w:rPr>
          <w:rFonts w:ascii="Arial" w:hAnsi="Arial"/>
          <w:b/>
          <w:spacing w:val="-6"/>
          <w:sz w:val="20"/>
        </w:rPr>
        <w:t> </w:t>
      </w:r>
      <w:r>
        <w:rPr>
          <w:rFonts w:ascii="Arial" w:hAnsi="Arial"/>
          <w:b/>
          <w:sz w:val="20"/>
        </w:rPr>
        <w:t>594.</w:t>
      </w:r>
      <w:r>
        <w:rPr>
          <w:rFonts w:ascii="Arial" w:hAnsi="Arial"/>
          <w:b/>
          <w:spacing w:val="-5"/>
          <w:sz w:val="20"/>
        </w:rPr>
        <w:t> </w:t>
      </w:r>
      <w:r>
        <w:rPr>
          <w:sz w:val="20"/>
        </w:rPr>
        <w:t>(Se</w:t>
      </w:r>
      <w:r>
        <w:rPr>
          <w:spacing w:val="-4"/>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before="229"/>
        <w:ind w:left="626" w:right="0" w:firstLine="0"/>
        <w:jc w:val="left"/>
        <w:rPr>
          <w:sz w:val="20"/>
        </w:rPr>
      </w:pPr>
      <w:bookmarkStart w:name="Artículo_595" w:id="752"/>
      <w:bookmarkEnd w:id="752"/>
      <w:r>
        <w:rPr/>
      </w:r>
      <w:r>
        <w:rPr>
          <w:rFonts w:ascii="Arial" w:hAnsi="Arial"/>
          <w:b/>
          <w:sz w:val="20"/>
        </w:rPr>
        <w:t>Artículo</w:t>
      </w:r>
      <w:r>
        <w:rPr>
          <w:rFonts w:ascii="Arial" w:hAnsi="Arial"/>
          <w:b/>
          <w:spacing w:val="-6"/>
          <w:sz w:val="20"/>
        </w:rPr>
        <w:t> </w:t>
      </w:r>
      <w:r>
        <w:rPr>
          <w:rFonts w:ascii="Arial" w:hAnsi="Arial"/>
          <w:b/>
          <w:sz w:val="20"/>
        </w:rPr>
        <w:t>595.</w:t>
      </w:r>
      <w:r>
        <w:rPr>
          <w:rFonts w:ascii="Arial" w:hAnsi="Arial"/>
          <w:b/>
          <w:spacing w:val="-5"/>
          <w:sz w:val="20"/>
        </w:rPr>
        <w:t> </w:t>
      </w:r>
      <w:r>
        <w:rPr>
          <w:sz w:val="20"/>
        </w:rPr>
        <w:t>(Se</w:t>
      </w:r>
      <w:r>
        <w:rPr>
          <w:spacing w:val="-4"/>
          <w:sz w:val="20"/>
        </w:rPr>
        <w:t> </w:t>
      </w:r>
      <w:r>
        <w:rPr>
          <w:spacing w:val="-2"/>
          <w:sz w:val="20"/>
        </w:rPr>
        <w:t>deroga).</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rPr>
      </w:pPr>
    </w:p>
    <w:p>
      <w:pPr>
        <w:spacing w:line="229" w:lineRule="exact" w:before="0"/>
        <w:ind w:left="626" w:right="0" w:firstLine="0"/>
        <w:jc w:val="left"/>
        <w:rPr>
          <w:sz w:val="20"/>
        </w:rPr>
      </w:pPr>
      <w:bookmarkStart w:name="Artículo_596" w:id="753"/>
      <w:bookmarkEnd w:id="753"/>
      <w:r>
        <w:rPr/>
      </w:r>
      <w:r>
        <w:rPr>
          <w:rFonts w:ascii="Arial" w:hAnsi="Arial"/>
          <w:b/>
          <w:sz w:val="20"/>
        </w:rPr>
        <w:t>Artículo</w:t>
      </w:r>
      <w:r>
        <w:rPr>
          <w:rFonts w:ascii="Arial" w:hAnsi="Arial"/>
          <w:b/>
          <w:spacing w:val="-6"/>
          <w:sz w:val="20"/>
        </w:rPr>
        <w:t> </w:t>
      </w:r>
      <w:r>
        <w:rPr>
          <w:rFonts w:ascii="Arial" w:hAnsi="Arial"/>
          <w:b/>
          <w:sz w:val="20"/>
        </w:rPr>
        <w:t>596.</w:t>
      </w:r>
      <w:r>
        <w:rPr>
          <w:rFonts w:ascii="Arial" w:hAnsi="Arial"/>
          <w:b/>
          <w:spacing w:val="-5"/>
          <w:sz w:val="20"/>
        </w:rPr>
        <w:t> </w:t>
      </w:r>
      <w:r>
        <w:rPr>
          <w:sz w:val="20"/>
        </w:rPr>
        <w:t>(Se</w:t>
      </w:r>
      <w:r>
        <w:rPr>
          <w:spacing w:val="-4"/>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rPr>
      </w:pPr>
    </w:p>
    <w:p>
      <w:pPr>
        <w:spacing w:before="0"/>
        <w:ind w:left="626" w:right="0" w:firstLine="0"/>
        <w:jc w:val="left"/>
        <w:rPr>
          <w:sz w:val="20"/>
        </w:rPr>
      </w:pPr>
      <w:bookmarkStart w:name="Artículo_597" w:id="754"/>
      <w:bookmarkEnd w:id="754"/>
      <w:r>
        <w:rPr/>
      </w:r>
      <w:r>
        <w:rPr>
          <w:rFonts w:ascii="Arial" w:hAnsi="Arial"/>
          <w:b/>
          <w:sz w:val="20"/>
        </w:rPr>
        <w:t>Artículo</w:t>
      </w:r>
      <w:r>
        <w:rPr>
          <w:rFonts w:ascii="Arial" w:hAnsi="Arial"/>
          <w:b/>
          <w:spacing w:val="-6"/>
          <w:sz w:val="20"/>
        </w:rPr>
        <w:t> </w:t>
      </w:r>
      <w:r>
        <w:rPr>
          <w:rFonts w:ascii="Arial" w:hAnsi="Arial"/>
          <w:b/>
          <w:sz w:val="20"/>
        </w:rPr>
        <w:t>597.</w:t>
      </w:r>
      <w:r>
        <w:rPr>
          <w:rFonts w:ascii="Arial" w:hAnsi="Arial"/>
          <w:b/>
          <w:spacing w:val="-5"/>
          <w:sz w:val="20"/>
        </w:rPr>
        <w:t> </w:t>
      </w:r>
      <w:r>
        <w:rPr>
          <w:sz w:val="20"/>
        </w:rPr>
        <w:t>(Se</w:t>
      </w:r>
      <w:r>
        <w:rPr>
          <w:spacing w:val="-4"/>
          <w:sz w:val="20"/>
        </w:rPr>
        <w:t> </w:t>
      </w:r>
      <w:r>
        <w:rPr>
          <w:spacing w:val="-2"/>
          <w:sz w:val="20"/>
        </w:rPr>
        <w:t>deroga).</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before="229"/>
        <w:ind w:left="626" w:right="0" w:firstLine="0"/>
        <w:jc w:val="left"/>
        <w:rPr>
          <w:sz w:val="20"/>
        </w:rPr>
      </w:pPr>
      <w:bookmarkStart w:name="Artículo_598" w:id="755"/>
      <w:bookmarkEnd w:id="755"/>
      <w:r>
        <w:rPr/>
      </w:r>
      <w:r>
        <w:rPr>
          <w:rFonts w:ascii="Arial" w:hAnsi="Arial"/>
          <w:b/>
          <w:sz w:val="20"/>
        </w:rPr>
        <w:t>Artículo</w:t>
      </w:r>
      <w:r>
        <w:rPr>
          <w:rFonts w:ascii="Arial" w:hAnsi="Arial"/>
          <w:b/>
          <w:spacing w:val="-6"/>
          <w:sz w:val="20"/>
        </w:rPr>
        <w:t> </w:t>
      </w:r>
      <w:r>
        <w:rPr>
          <w:rFonts w:ascii="Arial" w:hAnsi="Arial"/>
          <w:b/>
          <w:sz w:val="20"/>
        </w:rPr>
        <w:t>598.</w:t>
      </w:r>
      <w:r>
        <w:rPr>
          <w:rFonts w:ascii="Arial" w:hAnsi="Arial"/>
          <w:b/>
          <w:spacing w:val="-5"/>
          <w:sz w:val="20"/>
        </w:rPr>
        <w:t> </w:t>
      </w:r>
      <w:r>
        <w:rPr>
          <w:sz w:val="20"/>
        </w:rPr>
        <w:t>(Se</w:t>
      </w:r>
      <w:r>
        <w:rPr>
          <w:spacing w:val="-4"/>
          <w:sz w:val="20"/>
        </w:rPr>
        <w:t> </w:t>
      </w:r>
      <w:r>
        <w:rPr>
          <w:spacing w:val="-2"/>
          <w:sz w:val="20"/>
        </w:rPr>
        <w:t>deroga).</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before="229"/>
        <w:ind w:left="626" w:right="0" w:firstLine="0"/>
        <w:jc w:val="left"/>
        <w:rPr>
          <w:sz w:val="20"/>
        </w:rPr>
      </w:pPr>
      <w:bookmarkStart w:name="Artículo_599" w:id="756"/>
      <w:bookmarkEnd w:id="756"/>
      <w:r>
        <w:rPr/>
      </w:r>
      <w:r>
        <w:rPr>
          <w:rFonts w:ascii="Arial" w:hAnsi="Arial"/>
          <w:b/>
          <w:sz w:val="20"/>
        </w:rPr>
        <w:t>Artículo</w:t>
      </w:r>
      <w:r>
        <w:rPr>
          <w:rFonts w:ascii="Arial" w:hAnsi="Arial"/>
          <w:b/>
          <w:spacing w:val="-6"/>
          <w:sz w:val="20"/>
        </w:rPr>
        <w:t> </w:t>
      </w:r>
      <w:r>
        <w:rPr>
          <w:rFonts w:ascii="Arial" w:hAnsi="Arial"/>
          <w:b/>
          <w:sz w:val="20"/>
        </w:rPr>
        <w:t>599.</w:t>
      </w:r>
      <w:r>
        <w:rPr>
          <w:rFonts w:ascii="Arial" w:hAnsi="Arial"/>
          <w:b/>
          <w:spacing w:val="-5"/>
          <w:sz w:val="20"/>
        </w:rPr>
        <w:t> </w:t>
      </w:r>
      <w:r>
        <w:rPr>
          <w:sz w:val="20"/>
        </w:rPr>
        <w:t>(Se</w:t>
      </w:r>
      <w:r>
        <w:rPr>
          <w:spacing w:val="-4"/>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rPr>
          <w:rFonts w:ascii="Times New Roman"/>
          <w:i/>
          <w:sz w:val="12"/>
        </w:rPr>
      </w:pPr>
    </w:p>
    <w:p>
      <w:pPr>
        <w:pStyle w:val="BodyText"/>
        <w:spacing w:after="0"/>
        <w:rPr>
          <w:rFonts w:ascii="Times New Roman"/>
          <w:i/>
          <w:sz w:val="12"/>
        </w:rPr>
        <w:sectPr>
          <w:pgSz w:w="12240" w:h="15840"/>
          <w:pgMar w:header="724" w:footer="712" w:top="1880" w:bottom="900" w:left="1080" w:right="1080"/>
        </w:sectPr>
      </w:pPr>
    </w:p>
    <w:p>
      <w:pPr>
        <w:spacing w:before="93"/>
        <w:ind w:left="626" w:right="0" w:firstLine="0"/>
        <w:jc w:val="left"/>
        <w:rPr>
          <w:sz w:val="20"/>
        </w:rPr>
      </w:pPr>
      <w:bookmarkStart w:name="Artículo_600" w:id="757"/>
      <w:bookmarkEnd w:id="757"/>
      <w:r>
        <w:rPr/>
      </w:r>
      <w:r>
        <w:rPr>
          <w:rFonts w:ascii="Arial" w:hAnsi="Arial"/>
          <w:b/>
          <w:sz w:val="20"/>
        </w:rPr>
        <w:t>Artículo</w:t>
      </w:r>
      <w:r>
        <w:rPr>
          <w:rFonts w:ascii="Arial" w:hAnsi="Arial"/>
          <w:b/>
          <w:spacing w:val="-6"/>
          <w:sz w:val="20"/>
        </w:rPr>
        <w:t> </w:t>
      </w:r>
      <w:r>
        <w:rPr>
          <w:rFonts w:ascii="Arial" w:hAnsi="Arial"/>
          <w:b/>
          <w:sz w:val="20"/>
        </w:rPr>
        <w:t>600.</w:t>
      </w:r>
      <w:r>
        <w:rPr>
          <w:rFonts w:ascii="Arial" w:hAnsi="Arial"/>
          <w:b/>
          <w:spacing w:val="-5"/>
          <w:sz w:val="20"/>
        </w:rPr>
        <w:t> </w:t>
      </w:r>
      <w:r>
        <w:rPr>
          <w:sz w:val="20"/>
        </w:rPr>
        <w:t>(Se</w:t>
      </w:r>
      <w:r>
        <w:rPr>
          <w:spacing w:val="-4"/>
          <w:sz w:val="20"/>
        </w:rPr>
        <w:t> </w:t>
      </w:r>
      <w:r>
        <w:rPr>
          <w:spacing w:val="-2"/>
          <w:sz w:val="20"/>
        </w:rPr>
        <w:t>deroga).</w:t>
      </w:r>
    </w:p>
    <w:p>
      <w:pPr>
        <w:spacing w:line="240" w:lineRule="auto" w:before="137"/>
        <w:rPr>
          <w:sz w:val="16"/>
        </w:rPr>
      </w:pPr>
      <w:r>
        <w:rPr/>
        <w:br w:type="column"/>
      </w:r>
      <w:r>
        <w:rPr>
          <w:sz w:val="16"/>
        </w:rPr>
      </w:r>
    </w:p>
    <w:p>
      <w:pPr>
        <w:spacing w:before="0"/>
        <w:ind w:left="160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24-12-1974,</w:t>
      </w:r>
      <w:r>
        <w:rPr>
          <w:rFonts w:ascii="Times New Roman" w:hAnsi="Times New Roman"/>
          <w:i/>
          <w:color w:val="0000FF"/>
          <w:spacing w:val="-8"/>
          <w:sz w:val="16"/>
        </w:rPr>
        <w:t> </w:t>
      </w:r>
      <w:r>
        <w:rPr>
          <w:rFonts w:ascii="Times New Roman" w:hAnsi="Times New Roman"/>
          <w:i/>
          <w:color w:val="0000FF"/>
          <w:sz w:val="16"/>
        </w:rPr>
        <w:t>02-07-1976.</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Heading1"/>
        <w:ind w:left="0" w:right="3031"/>
      </w:pPr>
      <w:r>
        <w:rPr/>
        <w:t>CAPITULO</w:t>
      </w:r>
      <w:r>
        <w:rPr>
          <w:spacing w:val="-7"/>
        </w:rPr>
        <w:t> XI</w:t>
      </w:r>
    </w:p>
    <w:p>
      <w:pPr>
        <w:pStyle w:val="Heading2"/>
        <w:spacing w:before="2"/>
        <w:ind w:left="6" w:right="3031"/>
      </w:pPr>
      <w:r>
        <w:rPr/>
        <w:t>Juntas</w:t>
      </w:r>
      <w:r>
        <w:rPr>
          <w:spacing w:val="-6"/>
        </w:rPr>
        <w:t> </w:t>
      </w:r>
      <w:r>
        <w:rPr/>
        <w:t>locales</w:t>
      </w:r>
      <w:r>
        <w:rPr>
          <w:spacing w:val="-5"/>
        </w:rPr>
        <w:t> </w:t>
      </w:r>
      <w:r>
        <w:rPr/>
        <w:t>de</w:t>
      </w:r>
      <w:r>
        <w:rPr>
          <w:spacing w:val="-3"/>
        </w:rPr>
        <w:t> </w:t>
      </w:r>
      <w:r>
        <w:rPr>
          <w:spacing w:val="-2"/>
        </w:rPr>
        <w:t>conciliación</w:t>
      </w:r>
    </w:p>
    <w:p>
      <w:pPr>
        <w:pStyle w:val="Heading2"/>
        <w:spacing w:after="0"/>
        <w:sectPr>
          <w:type w:val="continuous"/>
          <w:pgSz w:w="12240" w:h="15840"/>
          <w:pgMar w:header="724" w:footer="712" w:top="1880" w:bottom="900" w:left="1080" w:right="1080"/>
          <w:cols w:num="2" w:equalWidth="0">
            <w:col w:w="2992" w:space="40"/>
            <w:col w:w="7048"/>
          </w:cols>
        </w:sectPr>
      </w:pPr>
    </w:p>
    <w:p>
      <w:pPr>
        <w:spacing w:before="1"/>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before="229"/>
        <w:ind w:left="626" w:right="0" w:firstLine="0"/>
        <w:jc w:val="left"/>
        <w:rPr>
          <w:sz w:val="20"/>
        </w:rPr>
      </w:pPr>
      <w:bookmarkStart w:name="Artículo_601" w:id="758"/>
      <w:bookmarkEnd w:id="758"/>
      <w:r>
        <w:rPr/>
      </w:r>
      <w:r>
        <w:rPr>
          <w:rFonts w:ascii="Arial" w:hAnsi="Arial"/>
          <w:b/>
          <w:sz w:val="20"/>
        </w:rPr>
        <w:t>Artículo</w:t>
      </w:r>
      <w:r>
        <w:rPr>
          <w:rFonts w:ascii="Arial" w:hAnsi="Arial"/>
          <w:b/>
          <w:spacing w:val="-6"/>
          <w:sz w:val="20"/>
        </w:rPr>
        <w:t> </w:t>
      </w:r>
      <w:r>
        <w:rPr>
          <w:rFonts w:ascii="Arial" w:hAnsi="Arial"/>
          <w:b/>
          <w:sz w:val="20"/>
        </w:rPr>
        <w:t>601.</w:t>
      </w:r>
      <w:r>
        <w:rPr>
          <w:rFonts w:ascii="Arial" w:hAnsi="Arial"/>
          <w:b/>
          <w:spacing w:val="-5"/>
          <w:sz w:val="20"/>
        </w:rPr>
        <w:t> </w:t>
      </w:r>
      <w:r>
        <w:rPr>
          <w:sz w:val="20"/>
        </w:rPr>
        <w:t>(Se</w:t>
      </w:r>
      <w:r>
        <w:rPr>
          <w:spacing w:val="-4"/>
          <w:sz w:val="20"/>
        </w:rPr>
        <w:t> </w:t>
      </w:r>
      <w:r>
        <w:rPr>
          <w:spacing w:val="-2"/>
          <w:sz w:val="20"/>
        </w:rPr>
        <w:t>deroga).</w:t>
      </w:r>
    </w:p>
    <w:p>
      <w:pPr>
        <w:spacing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2"/>
        <w:rPr>
          <w:rFonts w:ascii="Times New Roman"/>
          <w:i/>
        </w:rPr>
      </w:pPr>
    </w:p>
    <w:p>
      <w:pPr>
        <w:spacing w:line="229" w:lineRule="exact" w:before="0"/>
        <w:ind w:left="626" w:right="0" w:firstLine="0"/>
        <w:jc w:val="left"/>
        <w:rPr>
          <w:sz w:val="20"/>
        </w:rPr>
      </w:pPr>
      <w:bookmarkStart w:name="Artículo_602" w:id="759"/>
      <w:bookmarkEnd w:id="759"/>
      <w:r>
        <w:rPr/>
      </w:r>
      <w:r>
        <w:rPr>
          <w:rFonts w:ascii="Arial" w:hAnsi="Arial"/>
          <w:b/>
          <w:sz w:val="20"/>
        </w:rPr>
        <w:t>Artículo</w:t>
      </w:r>
      <w:r>
        <w:rPr>
          <w:rFonts w:ascii="Arial" w:hAnsi="Arial"/>
          <w:b/>
          <w:spacing w:val="-6"/>
          <w:sz w:val="20"/>
        </w:rPr>
        <w:t> </w:t>
      </w:r>
      <w:r>
        <w:rPr>
          <w:rFonts w:ascii="Arial" w:hAnsi="Arial"/>
          <w:b/>
          <w:sz w:val="20"/>
        </w:rPr>
        <w:t>602.</w:t>
      </w:r>
      <w:r>
        <w:rPr>
          <w:rFonts w:ascii="Arial" w:hAnsi="Arial"/>
          <w:b/>
          <w:spacing w:val="-5"/>
          <w:sz w:val="20"/>
        </w:rPr>
        <w:t> </w:t>
      </w:r>
      <w:r>
        <w:rPr>
          <w:sz w:val="20"/>
        </w:rPr>
        <w:t>(Se</w:t>
      </w:r>
      <w:r>
        <w:rPr>
          <w:spacing w:val="-4"/>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rPr>
          <w:rFonts w:ascii="Times New Roman"/>
          <w:i/>
          <w:sz w:val="12"/>
        </w:rPr>
      </w:pPr>
    </w:p>
    <w:p>
      <w:pPr>
        <w:pStyle w:val="BodyText"/>
        <w:spacing w:after="0"/>
        <w:rPr>
          <w:rFonts w:ascii="Times New Roman"/>
          <w:i/>
          <w:sz w:val="12"/>
        </w:rPr>
        <w:sectPr>
          <w:type w:val="continuous"/>
          <w:pgSz w:w="12240" w:h="15840"/>
          <w:pgMar w:header="724" w:footer="712" w:top="1880" w:bottom="900" w:left="1080" w:right="1080"/>
        </w:sectPr>
      </w:pPr>
    </w:p>
    <w:p>
      <w:pPr>
        <w:spacing w:before="93"/>
        <w:ind w:left="626" w:right="0" w:firstLine="0"/>
        <w:jc w:val="left"/>
        <w:rPr>
          <w:sz w:val="20"/>
        </w:rPr>
      </w:pPr>
      <w:bookmarkStart w:name="Artículo_603" w:id="760"/>
      <w:bookmarkEnd w:id="760"/>
      <w:r>
        <w:rPr/>
      </w:r>
      <w:r>
        <w:rPr>
          <w:rFonts w:ascii="Arial" w:hAnsi="Arial"/>
          <w:b/>
          <w:sz w:val="20"/>
        </w:rPr>
        <w:t>Artículo</w:t>
      </w:r>
      <w:r>
        <w:rPr>
          <w:rFonts w:ascii="Arial" w:hAnsi="Arial"/>
          <w:b/>
          <w:spacing w:val="-6"/>
          <w:sz w:val="20"/>
        </w:rPr>
        <w:t> </w:t>
      </w:r>
      <w:r>
        <w:rPr>
          <w:rFonts w:ascii="Arial" w:hAnsi="Arial"/>
          <w:b/>
          <w:sz w:val="20"/>
        </w:rPr>
        <w:t>603.</w:t>
      </w:r>
      <w:r>
        <w:rPr>
          <w:rFonts w:ascii="Arial" w:hAnsi="Arial"/>
          <w:b/>
          <w:spacing w:val="-5"/>
          <w:sz w:val="20"/>
        </w:rPr>
        <w:t> </w:t>
      </w:r>
      <w:r>
        <w:rPr>
          <w:sz w:val="20"/>
        </w:rPr>
        <w:t>(Se</w:t>
      </w:r>
      <w:r>
        <w:rPr>
          <w:spacing w:val="-4"/>
          <w:sz w:val="20"/>
        </w:rPr>
        <w:t> </w:t>
      </w:r>
      <w:r>
        <w:rPr>
          <w:spacing w:val="-2"/>
          <w:sz w:val="20"/>
        </w:rPr>
        <w:t>deroga).</w:t>
      </w:r>
    </w:p>
    <w:p>
      <w:pPr>
        <w:spacing w:line="240" w:lineRule="auto" w:before="0"/>
        <w:rPr>
          <w:sz w:val="22"/>
        </w:rPr>
      </w:pPr>
      <w:r>
        <w:rPr/>
        <w:br w:type="column"/>
      </w:r>
      <w:r>
        <w:rPr>
          <w:sz w:val="22"/>
        </w:rPr>
      </w:r>
    </w:p>
    <w:p>
      <w:pPr>
        <w:pStyle w:val="BodyText"/>
        <w:spacing w:before="231"/>
        <w:rPr>
          <w:sz w:val="22"/>
        </w:rPr>
      </w:pPr>
    </w:p>
    <w:p>
      <w:pPr>
        <w:pStyle w:val="Heading1"/>
        <w:spacing w:line="252" w:lineRule="exact"/>
        <w:ind w:left="89" w:right="2"/>
      </w:pPr>
      <w:r>
        <w:rPr/>
        <w:t>CAPITULO</w:t>
      </w:r>
      <w:r>
        <w:rPr>
          <w:spacing w:val="-9"/>
        </w:rPr>
        <w:t> </w:t>
      </w:r>
      <w:r>
        <w:rPr>
          <w:spacing w:val="-5"/>
        </w:rPr>
        <w:t>XII</w:t>
      </w:r>
    </w:p>
    <w:p>
      <w:pPr>
        <w:pStyle w:val="Heading2"/>
        <w:spacing w:line="252" w:lineRule="exact"/>
        <w:ind w:left="89" w:right="0"/>
      </w:pPr>
      <w:r>
        <w:rPr/>
        <w:t>De</w:t>
      </w:r>
      <w:r>
        <w:rPr>
          <w:spacing w:val="-4"/>
        </w:rPr>
        <w:t> </w:t>
      </w:r>
      <w:r>
        <w:rPr/>
        <w:t>la</w:t>
      </w:r>
      <w:r>
        <w:rPr>
          <w:spacing w:val="-4"/>
        </w:rPr>
        <w:t> </w:t>
      </w:r>
      <w:r>
        <w:rPr/>
        <w:t>Competencia</w:t>
      </w:r>
      <w:r>
        <w:rPr>
          <w:spacing w:val="-4"/>
        </w:rPr>
        <w:t> </w:t>
      </w:r>
      <w:r>
        <w:rPr/>
        <w:t>de</w:t>
      </w:r>
      <w:r>
        <w:rPr>
          <w:spacing w:val="-6"/>
        </w:rPr>
        <w:t> </w:t>
      </w:r>
      <w:r>
        <w:rPr/>
        <w:t>los</w:t>
      </w:r>
      <w:r>
        <w:rPr>
          <w:spacing w:val="-3"/>
        </w:rPr>
        <w:t> </w:t>
      </w:r>
      <w:r>
        <w:rPr>
          <w:spacing w:val="-2"/>
        </w:rPr>
        <w:t>Tribunales</w:t>
      </w:r>
    </w:p>
    <w:p>
      <w:pPr>
        <w:spacing w:line="240" w:lineRule="auto" w:before="139"/>
        <w:rPr>
          <w:rFonts w:ascii="Arial"/>
          <w:b/>
          <w:sz w:val="16"/>
        </w:rPr>
      </w:pPr>
      <w:r>
        <w:rPr/>
        <w:br w:type="column"/>
      </w:r>
      <w:r>
        <w:rPr>
          <w:rFonts w:ascii="Arial"/>
          <w:b/>
          <w:sz w:val="16"/>
        </w:rPr>
      </w:r>
    </w:p>
    <w:p>
      <w:pPr>
        <w:spacing w:before="0"/>
        <w:ind w:left="40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jc w:val="left"/>
        <w:rPr>
          <w:rFonts w:ascii="Times New Roman" w:hAnsi="Times New Roman"/>
          <w:i/>
          <w:sz w:val="16"/>
        </w:rPr>
        <w:sectPr>
          <w:type w:val="continuous"/>
          <w:pgSz w:w="12240" w:h="15840"/>
          <w:pgMar w:header="724" w:footer="712" w:top="1880" w:bottom="900" w:left="1080" w:right="1080"/>
          <w:cols w:num="3" w:equalWidth="0">
            <w:col w:w="2992" w:space="40"/>
            <w:col w:w="3932" w:space="39"/>
            <w:col w:w="3077"/>
          </w:cols>
        </w:sectPr>
      </w:pPr>
    </w:p>
    <w:p>
      <w:pPr>
        <w:spacing w:before="1"/>
        <w:ind w:left="609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9" w:firstLine="288"/>
        <w:jc w:val="both"/>
      </w:pPr>
      <w:bookmarkStart w:name="Artículo_604" w:id="761"/>
      <w:bookmarkEnd w:id="761"/>
      <w:r>
        <w:rPr/>
      </w:r>
      <w:r>
        <w:rPr>
          <w:rFonts w:ascii="Arial" w:hAnsi="Arial"/>
          <w:b/>
        </w:rPr>
        <w:t>Artículo 604.- </w:t>
      </w:r>
      <w:r>
        <w:rPr/>
        <w:t>Corresponden a los Tribunales del Poder Judicial de la Federación o de los Tribunales de las entidades federativas, el conocimiento y la resolución de los conflictos de Trabajo que se susciten entre trabajadores y patrones, sólo entre aquellos o sólo entre éstos, derivado de las relaciones de</w:t>
      </w:r>
      <w:r>
        <w:rPr>
          <w:spacing w:val="40"/>
        </w:rPr>
        <w:t> </w:t>
      </w:r>
      <w:r>
        <w:rPr/>
        <w:t>trabajo o de hechos relacionados con ellas.</w:t>
      </w:r>
    </w:p>
    <w:p>
      <w:pPr>
        <w:pStyle w:val="BodyText"/>
        <w:spacing w:before="3"/>
      </w:pPr>
    </w:p>
    <w:p>
      <w:pPr>
        <w:pStyle w:val="BodyText"/>
        <w:ind w:left="338" w:right="348" w:firstLine="288"/>
        <w:jc w:val="both"/>
      </w:pPr>
      <w:r>
        <w:rPr/>
        <w:t>En su actuación, los jueces y secretarios instructores deberán observar los principios de legalidad, imparcialidad, transparencia, autonomía e independencia.</w:t>
      </w:r>
    </w:p>
    <w:p>
      <w:pPr>
        <w:spacing w:line="180"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5" w:firstLine="288"/>
        <w:jc w:val="both"/>
      </w:pPr>
      <w:bookmarkStart w:name="Artículo_605" w:id="762"/>
      <w:bookmarkEnd w:id="762"/>
      <w:r>
        <w:rPr/>
      </w:r>
      <w:r>
        <w:rPr>
          <w:rFonts w:ascii="Arial" w:hAnsi="Arial"/>
          <w:b/>
        </w:rPr>
        <w:t>Artículo 605.- </w:t>
      </w:r>
      <w:r>
        <w:rPr/>
        <w:t>Los Tribunales federales, de las entidades federativas y de la Ciudad de México, estarán a cargo cada uno, de un juez y contarán con los secretarios, funcionarios y empleados que se juzgue conveniente, determinados y designados de conformidad con la Ley Orgánica del Poder Judicial de la Federación o de la Ley Orgánica del Poder Judicial Local según corresponda.</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3" w:lineRule="exact"/>
        <w:jc w:val="left"/>
        <w:rPr>
          <w:rFonts w:ascii="Times New Roman" w:hAnsi="Times New Roman"/>
          <w:i/>
          <w:sz w:val="16"/>
        </w:rPr>
        <w:sectPr>
          <w:type w:val="continuous"/>
          <w:pgSz w:w="12240" w:h="15840"/>
          <w:pgMar w:header="724" w:footer="712" w:top="1880" w:bottom="900" w:left="1080" w:right="1080"/>
        </w:sectPr>
      </w:pPr>
    </w:p>
    <w:p>
      <w:pPr>
        <w:pStyle w:val="BodyText"/>
        <w:spacing w:before="63"/>
        <w:rPr>
          <w:rFonts w:ascii="Times New Roman"/>
          <w:i/>
        </w:rPr>
      </w:pPr>
    </w:p>
    <w:p>
      <w:pPr>
        <w:spacing w:before="0"/>
        <w:ind w:left="626" w:right="0" w:firstLine="0"/>
        <w:jc w:val="left"/>
        <w:rPr>
          <w:sz w:val="20"/>
        </w:rPr>
      </w:pPr>
      <w:bookmarkStart w:name="Artículo_605_Bis" w:id="763"/>
      <w:bookmarkEnd w:id="763"/>
      <w:r>
        <w:rPr/>
      </w:r>
      <w:r>
        <w:rPr>
          <w:rFonts w:ascii="Arial" w:hAnsi="Arial"/>
          <w:b/>
          <w:sz w:val="20"/>
        </w:rPr>
        <w:t>Artículo</w:t>
      </w:r>
      <w:r>
        <w:rPr>
          <w:rFonts w:ascii="Arial" w:hAnsi="Arial"/>
          <w:b/>
          <w:spacing w:val="-5"/>
          <w:sz w:val="20"/>
        </w:rPr>
        <w:t> </w:t>
      </w:r>
      <w:r>
        <w:rPr>
          <w:rFonts w:ascii="Arial" w:hAnsi="Arial"/>
          <w:b/>
          <w:sz w:val="20"/>
        </w:rPr>
        <w:t>605</w:t>
      </w:r>
      <w:r>
        <w:rPr>
          <w:rFonts w:ascii="Arial" w:hAnsi="Arial"/>
          <w:b/>
          <w:spacing w:val="-5"/>
          <w:sz w:val="20"/>
        </w:rPr>
        <w:t> </w:t>
      </w:r>
      <w:r>
        <w:rPr>
          <w:rFonts w:ascii="Arial" w:hAnsi="Arial"/>
          <w:b/>
          <w:sz w:val="20"/>
        </w:rPr>
        <w:t>Bis.-</w:t>
      </w:r>
      <w:r>
        <w:rPr>
          <w:rFonts w:ascii="Arial" w:hAnsi="Arial"/>
          <w:b/>
          <w:spacing w:val="-3"/>
          <w:sz w:val="20"/>
        </w:rPr>
        <w:t> </w:t>
      </w:r>
      <w:r>
        <w:rPr>
          <w:sz w:val="20"/>
        </w:rPr>
        <w:t>Se</w:t>
      </w:r>
      <w:r>
        <w:rPr>
          <w:spacing w:val="-5"/>
          <w:sz w:val="20"/>
        </w:rPr>
        <w:t> </w:t>
      </w:r>
      <w:r>
        <w:rPr>
          <w:spacing w:val="-2"/>
          <w:sz w:val="20"/>
        </w:rPr>
        <w:t>deroga.</w:t>
      </w:r>
    </w:p>
    <w:p>
      <w:pPr>
        <w:spacing w:before="0"/>
        <w:ind w:left="54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line="229" w:lineRule="exact" w:before="1"/>
        <w:ind w:left="626" w:right="0" w:firstLine="0"/>
        <w:jc w:val="left"/>
        <w:rPr>
          <w:sz w:val="20"/>
        </w:rPr>
      </w:pPr>
      <w:bookmarkStart w:name="Artículo_606" w:id="764"/>
      <w:bookmarkEnd w:id="764"/>
      <w:r>
        <w:rPr/>
      </w:r>
      <w:r>
        <w:rPr>
          <w:rFonts w:ascii="Arial" w:hAnsi="Arial"/>
          <w:b/>
          <w:sz w:val="20"/>
        </w:rPr>
        <w:t>Artículo</w:t>
      </w:r>
      <w:r>
        <w:rPr>
          <w:rFonts w:ascii="Arial" w:hAnsi="Arial"/>
          <w:b/>
          <w:spacing w:val="-7"/>
          <w:sz w:val="20"/>
        </w:rPr>
        <w:t> </w:t>
      </w:r>
      <w:r>
        <w:rPr>
          <w:rFonts w:ascii="Arial" w:hAnsi="Arial"/>
          <w:b/>
          <w:sz w:val="20"/>
        </w:rPr>
        <w:t>606.-</w:t>
      </w:r>
      <w:r>
        <w:rPr>
          <w:rFonts w:ascii="Arial" w:hAnsi="Arial"/>
          <w:b/>
          <w:spacing w:val="-3"/>
          <w:sz w:val="20"/>
        </w:rPr>
        <w:t> </w:t>
      </w:r>
      <w:r>
        <w:rPr>
          <w:sz w:val="20"/>
        </w:rPr>
        <w:t>Se</w:t>
      </w:r>
      <w:r>
        <w:rPr>
          <w:spacing w:val="-5"/>
          <w:sz w:val="20"/>
        </w:rPr>
        <w:t> </w:t>
      </w:r>
      <w:r>
        <w:rPr>
          <w:spacing w:val="-2"/>
          <w:sz w:val="20"/>
        </w:rPr>
        <w:t>deroga.</w:t>
      </w:r>
    </w:p>
    <w:p>
      <w:pPr>
        <w:spacing w:line="183" w:lineRule="exact" w:before="0"/>
        <w:ind w:left="46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02-07-1976,</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0"/>
        <w:ind w:left="626" w:right="0" w:firstLine="0"/>
        <w:jc w:val="left"/>
        <w:rPr>
          <w:sz w:val="20"/>
        </w:rPr>
      </w:pPr>
      <w:bookmarkStart w:name="Artículo_607" w:id="765"/>
      <w:bookmarkEnd w:id="765"/>
      <w:r>
        <w:rPr/>
      </w:r>
      <w:r>
        <w:rPr>
          <w:rFonts w:ascii="Arial" w:hAnsi="Arial"/>
          <w:b/>
          <w:sz w:val="20"/>
        </w:rPr>
        <w:t>Artículo</w:t>
      </w:r>
      <w:r>
        <w:rPr>
          <w:rFonts w:ascii="Arial" w:hAnsi="Arial"/>
          <w:b/>
          <w:spacing w:val="-6"/>
          <w:sz w:val="20"/>
        </w:rPr>
        <w:t> </w:t>
      </w:r>
      <w:r>
        <w:rPr>
          <w:rFonts w:ascii="Arial" w:hAnsi="Arial"/>
          <w:b/>
          <w:sz w:val="20"/>
        </w:rPr>
        <w:t>607.-</w:t>
      </w:r>
      <w:r>
        <w:rPr>
          <w:rFonts w:ascii="Arial" w:hAnsi="Arial"/>
          <w:b/>
          <w:spacing w:val="-4"/>
          <w:sz w:val="20"/>
        </w:rPr>
        <w:t> </w:t>
      </w:r>
      <w:r>
        <w:rPr>
          <w:sz w:val="20"/>
        </w:rPr>
        <w:t>Se</w:t>
      </w:r>
      <w:r>
        <w:rPr>
          <w:spacing w:val="-5"/>
          <w:sz w:val="20"/>
        </w:rPr>
        <w:t> </w:t>
      </w:r>
      <w:r>
        <w:rPr>
          <w:spacing w:val="-2"/>
          <w:sz w:val="20"/>
        </w:rPr>
        <w:t>deroga.</w:t>
      </w:r>
    </w:p>
    <w:p>
      <w:pPr>
        <w:spacing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626" w:right="0" w:firstLine="0"/>
        <w:jc w:val="left"/>
        <w:rPr>
          <w:sz w:val="20"/>
        </w:rPr>
      </w:pPr>
      <w:bookmarkStart w:name="Artículo_608" w:id="766"/>
      <w:bookmarkEnd w:id="766"/>
      <w:r>
        <w:rPr/>
      </w:r>
      <w:r>
        <w:rPr>
          <w:rFonts w:ascii="Arial" w:hAnsi="Arial"/>
          <w:b/>
          <w:sz w:val="20"/>
        </w:rPr>
        <w:t>Artículo</w:t>
      </w:r>
      <w:r>
        <w:rPr>
          <w:rFonts w:ascii="Arial" w:hAnsi="Arial"/>
          <w:b/>
          <w:spacing w:val="-6"/>
          <w:sz w:val="20"/>
        </w:rPr>
        <w:t> </w:t>
      </w:r>
      <w:r>
        <w:rPr>
          <w:rFonts w:ascii="Arial" w:hAnsi="Arial"/>
          <w:b/>
          <w:sz w:val="20"/>
        </w:rPr>
        <w:t>608.-</w:t>
      </w:r>
      <w:r>
        <w:rPr>
          <w:rFonts w:ascii="Arial" w:hAnsi="Arial"/>
          <w:b/>
          <w:spacing w:val="-4"/>
          <w:sz w:val="20"/>
        </w:rPr>
        <w:t> </w:t>
      </w: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2"/>
        <w:rPr>
          <w:rFonts w:ascii="Times New Roman"/>
          <w:i/>
        </w:rPr>
      </w:pPr>
    </w:p>
    <w:p>
      <w:pPr>
        <w:spacing w:line="229" w:lineRule="exact" w:before="0"/>
        <w:ind w:left="626" w:right="0" w:firstLine="0"/>
        <w:jc w:val="left"/>
        <w:rPr>
          <w:sz w:val="20"/>
        </w:rPr>
      </w:pPr>
      <w:bookmarkStart w:name="Artículo_609" w:id="767"/>
      <w:bookmarkEnd w:id="767"/>
      <w:r>
        <w:rPr/>
      </w:r>
      <w:r>
        <w:rPr>
          <w:rFonts w:ascii="Arial" w:hAnsi="Arial"/>
          <w:b/>
          <w:sz w:val="20"/>
        </w:rPr>
        <w:t>Artículo</w:t>
      </w:r>
      <w:r>
        <w:rPr>
          <w:rFonts w:ascii="Arial" w:hAnsi="Arial"/>
          <w:b/>
          <w:spacing w:val="-6"/>
          <w:sz w:val="20"/>
        </w:rPr>
        <w:t> </w:t>
      </w:r>
      <w:r>
        <w:rPr>
          <w:rFonts w:ascii="Arial" w:hAnsi="Arial"/>
          <w:b/>
          <w:sz w:val="20"/>
        </w:rPr>
        <w:t>609.-</w:t>
      </w:r>
      <w:r>
        <w:rPr>
          <w:rFonts w:ascii="Arial" w:hAnsi="Arial"/>
          <w:b/>
          <w:spacing w:val="-4"/>
          <w:sz w:val="20"/>
        </w:rPr>
        <w:t> </w:t>
      </w:r>
      <w:r>
        <w:rPr>
          <w:sz w:val="20"/>
        </w:rPr>
        <w:t>Se</w:t>
      </w:r>
      <w:r>
        <w:rPr>
          <w:spacing w:val="-5"/>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BodyText"/>
        <w:ind w:left="338" w:right="344" w:firstLine="288"/>
        <w:jc w:val="both"/>
      </w:pPr>
      <w:bookmarkStart w:name="Artículo_610" w:id="768"/>
      <w:bookmarkEnd w:id="768"/>
      <w:r>
        <w:rPr/>
      </w:r>
      <w:r>
        <w:rPr>
          <w:rFonts w:ascii="Arial" w:hAnsi="Arial"/>
          <w:b/>
        </w:rPr>
        <w:t>Artículo 610.- </w:t>
      </w:r>
      <w:r>
        <w:rPr/>
        <w:t>Durante la tramitación de los juicios y hasta el cierre de su instrucción, el juez a cargo del Tribunal deberá estar presente en el desarrollo de las audiencias. Podrá auxiliarse de un secretario instructor para dictar los acuerdos relativos a la etapa escrita del procedimiento, hasta antes de la audiencia preliminar, quien deberá verificar y, en su caso, certificar que las notificaciones personales se practicaron debidamente.</w:t>
      </w:r>
    </w:p>
    <w:p>
      <w:pPr>
        <w:spacing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261"/>
        </w:numPr>
        <w:tabs>
          <w:tab w:pos="1195" w:val="left" w:leader="none"/>
        </w:tabs>
        <w:spacing w:line="229" w:lineRule="exact" w:before="0" w:after="0"/>
        <w:ind w:left="1195" w:right="0" w:hanging="569"/>
        <w:jc w:val="left"/>
        <w:rPr>
          <w:sz w:val="20"/>
        </w:rPr>
      </w:pPr>
      <w:r>
        <w:rPr>
          <w:sz w:val="20"/>
        </w:rPr>
        <w:t>Se</w:t>
      </w:r>
      <w:r>
        <w:rPr>
          <w:spacing w:val="-5"/>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261"/>
        </w:numPr>
        <w:tabs>
          <w:tab w:pos="1195" w:val="left" w:leader="none"/>
        </w:tabs>
        <w:spacing w:line="240" w:lineRule="auto" w:before="1" w:after="0"/>
        <w:ind w:left="1195" w:right="0" w:hanging="569"/>
        <w:jc w:val="left"/>
        <w:rPr>
          <w:sz w:val="20"/>
        </w:rPr>
      </w:pPr>
      <w:r>
        <w:rPr>
          <w:sz w:val="20"/>
        </w:rPr>
        <w:t>Se</w:t>
      </w:r>
      <w:r>
        <w:rPr>
          <w:spacing w:val="-5"/>
          <w:sz w:val="20"/>
        </w:rPr>
        <w:t> </w:t>
      </w:r>
      <w:r>
        <w:rPr>
          <w:spacing w:val="-2"/>
          <w:sz w:val="20"/>
        </w:rPr>
        <w:t>deroga.</w:t>
      </w:r>
    </w:p>
    <w:p>
      <w:pPr>
        <w:spacing w:before="0"/>
        <w:ind w:left="53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ListParagraph"/>
        <w:numPr>
          <w:ilvl w:val="0"/>
          <w:numId w:val="261"/>
        </w:numPr>
        <w:tabs>
          <w:tab w:pos="1195" w:val="left" w:leader="none"/>
        </w:tabs>
        <w:spacing w:line="240" w:lineRule="auto" w:before="229" w:after="0"/>
        <w:ind w:left="1195" w:right="0" w:hanging="569"/>
        <w:jc w:val="left"/>
        <w:rPr>
          <w:sz w:val="20"/>
        </w:rPr>
      </w:pPr>
      <w:r>
        <w:rPr>
          <w:sz w:val="20"/>
        </w:rPr>
        <w:t>Se</w:t>
      </w:r>
      <w:r>
        <w:rPr>
          <w:spacing w:val="-5"/>
          <w:sz w:val="20"/>
        </w:rPr>
        <w:t> </w:t>
      </w:r>
      <w:r>
        <w:rPr>
          <w:spacing w:val="-2"/>
          <w:sz w:val="20"/>
        </w:rPr>
        <w:t>deroga.</w:t>
      </w:r>
    </w:p>
    <w:p>
      <w:pPr>
        <w:spacing w:before="1"/>
        <w:ind w:left="546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261"/>
        </w:numPr>
        <w:tabs>
          <w:tab w:pos="1195" w:val="left" w:leader="none"/>
        </w:tabs>
        <w:spacing w:line="229" w:lineRule="exact" w:before="0" w:after="0"/>
        <w:ind w:left="1195" w:right="0" w:hanging="569"/>
        <w:jc w:val="left"/>
        <w:rPr>
          <w:sz w:val="20"/>
        </w:rPr>
      </w:pPr>
      <w:r>
        <w:rPr>
          <w:sz w:val="20"/>
        </w:rPr>
        <w:t>Se</w:t>
      </w:r>
      <w:r>
        <w:rPr>
          <w:spacing w:val="-5"/>
          <w:sz w:val="20"/>
        </w:rPr>
        <w:t> </w:t>
      </w:r>
      <w:r>
        <w:rPr>
          <w:spacing w:val="-2"/>
          <w:sz w:val="20"/>
        </w:rPr>
        <w:t>deroga.</w:t>
      </w:r>
    </w:p>
    <w:p>
      <w:pPr>
        <w:spacing w:line="183" w:lineRule="exact" w:before="0"/>
        <w:ind w:left="463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5"/>
          <w:sz w:val="16"/>
        </w:rPr>
        <w:t> </w:t>
      </w:r>
      <w:r>
        <w:rPr>
          <w:rFonts w:ascii="Times New Roman" w:hAnsi="Times New Roman"/>
          <w:i/>
          <w:color w:val="0000FF"/>
          <w:sz w:val="16"/>
        </w:rPr>
        <w:t>Derogada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261"/>
        </w:numPr>
        <w:tabs>
          <w:tab w:pos="1195" w:val="left" w:leader="none"/>
        </w:tabs>
        <w:spacing w:line="240" w:lineRule="auto" w:before="0" w:after="0"/>
        <w:ind w:left="1195" w:right="0" w:hanging="569"/>
        <w:jc w:val="left"/>
        <w:rPr>
          <w:sz w:val="20"/>
        </w:rPr>
      </w:pPr>
      <w:r>
        <w:rPr>
          <w:sz w:val="20"/>
        </w:rPr>
        <w:t>Se</w:t>
      </w:r>
      <w:r>
        <w:rPr>
          <w:spacing w:val="-5"/>
          <w:sz w:val="20"/>
        </w:rPr>
        <w:t> </w:t>
      </w:r>
      <w:r>
        <w:rPr>
          <w:spacing w:val="-2"/>
          <w:sz w:val="20"/>
        </w:rPr>
        <w:t>deroga.</w:t>
      </w:r>
    </w:p>
    <w:p>
      <w:pPr>
        <w:spacing w:before="1"/>
        <w:ind w:left="463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5"/>
          <w:sz w:val="16"/>
        </w:rPr>
        <w:t> </w:t>
      </w:r>
      <w:r>
        <w:rPr>
          <w:rFonts w:ascii="Times New Roman" w:hAnsi="Times New Roman"/>
          <w:i/>
          <w:color w:val="0000FF"/>
          <w:sz w:val="16"/>
        </w:rPr>
        <w:t>Derogada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ListParagraph"/>
        <w:numPr>
          <w:ilvl w:val="0"/>
          <w:numId w:val="261"/>
        </w:numPr>
        <w:tabs>
          <w:tab w:pos="1195" w:val="left" w:leader="none"/>
        </w:tabs>
        <w:spacing w:line="240" w:lineRule="auto" w:before="229" w:after="0"/>
        <w:ind w:left="1195" w:right="0" w:hanging="569"/>
        <w:jc w:val="left"/>
        <w:rPr>
          <w:sz w:val="20"/>
        </w:rPr>
      </w:pPr>
      <w:r>
        <w:rPr>
          <w:sz w:val="20"/>
        </w:rPr>
        <w:t>Se</w:t>
      </w:r>
      <w:r>
        <w:rPr>
          <w:spacing w:val="-5"/>
          <w:sz w:val="20"/>
        </w:rPr>
        <w:t> </w:t>
      </w:r>
      <w:r>
        <w:rPr>
          <w:spacing w:val="-2"/>
          <w:sz w:val="20"/>
        </w:rPr>
        <w:t>deroga.</w:t>
      </w:r>
    </w:p>
    <w:p>
      <w:pPr>
        <w:spacing w:before="0"/>
        <w:ind w:left="463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5"/>
          <w:sz w:val="16"/>
        </w:rPr>
        <w:t> </w:t>
      </w:r>
      <w:r>
        <w:rPr>
          <w:rFonts w:ascii="Times New Roman" w:hAnsi="Times New Roman"/>
          <w:i/>
          <w:color w:val="0000FF"/>
          <w:sz w:val="16"/>
        </w:rPr>
        <w:t>Derogada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626" w:right="0" w:firstLine="0"/>
        <w:jc w:val="left"/>
        <w:rPr>
          <w:sz w:val="20"/>
        </w:rPr>
      </w:pPr>
      <w:bookmarkStart w:name="Artículo_611" w:id="769"/>
      <w:bookmarkEnd w:id="769"/>
      <w:r>
        <w:rPr/>
      </w:r>
      <w:r>
        <w:rPr>
          <w:rFonts w:ascii="Arial" w:hAnsi="Arial"/>
          <w:b/>
          <w:sz w:val="20"/>
        </w:rPr>
        <w:t>Artículo</w:t>
      </w:r>
      <w:r>
        <w:rPr>
          <w:rFonts w:ascii="Arial" w:hAnsi="Arial"/>
          <w:b/>
          <w:spacing w:val="-6"/>
          <w:sz w:val="20"/>
        </w:rPr>
        <w:t> </w:t>
      </w:r>
      <w:r>
        <w:rPr>
          <w:rFonts w:ascii="Arial" w:hAnsi="Arial"/>
          <w:b/>
          <w:sz w:val="20"/>
        </w:rPr>
        <w:t>611.-</w:t>
      </w:r>
      <w:r>
        <w:rPr>
          <w:rFonts w:ascii="Arial" w:hAnsi="Arial"/>
          <w:b/>
          <w:spacing w:val="-4"/>
          <w:sz w:val="20"/>
        </w:rPr>
        <w:t> </w:t>
      </w: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line="229" w:lineRule="exact" w:before="0"/>
        <w:ind w:left="626" w:right="0" w:firstLine="0"/>
        <w:jc w:val="left"/>
        <w:rPr>
          <w:sz w:val="20"/>
        </w:rPr>
      </w:pPr>
      <w:bookmarkStart w:name="Artículo_612" w:id="770"/>
      <w:bookmarkEnd w:id="770"/>
      <w:r>
        <w:rPr/>
      </w:r>
      <w:r>
        <w:rPr>
          <w:rFonts w:ascii="Arial" w:hAnsi="Arial"/>
          <w:b/>
          <w:sz w:val="20"/>
        </w:rPr>
        <w:t>Artículo</w:t>
      </w:r>
      <w:r>
        <w:rPr>
          <w:rFonts w:ascii="Arial" w:hAnsi="Arial"/>
          <w:b/>
          <w:spacing w:val="-6"/>
          <w:sz w:val="20"/>
        </w:rPr>
        <w:t> </w:t>
      </w:r>
      <w:r>
        <w:rPr>
          <w:rFonts w:ascii="Arial" w:hAnsi="Arial"/>
          <w:b/>
          <w:sz w:val="20"/>
        </w:rPr>
        <w:t>612.-</w:t>
      </w:r>
      <w:r>
        <w:rPr>
          <w:rFonts w:ascii="Arial" w:hAnsi="Arial"/>
          <w:b/>
          <w:spacing w:val="-4"/>
          <w:sz w:val="20"/>
        </w:rPr>
        <w:t> </w:t>
      </w:r>
      <w:r>
        <w:rPr>
          <w:sz w:val="20"/>
        </w:rPr>
        <w:t>Se</w:t>
      </w:r>
      <w:r>
        <w:rPr>
          <w:spacing w:val="-5"/>
          <w:sz w:val="20"/>
        </w:rPr>
        <w:t> </w:t>
      </w:r>
      <w:r>
        <w:rPr>
          <w:spacing w:val="-2"/>
          <w:sz w:val="20"/>
        </w:rPr>
        <w:t>deroga.</w:t>
      </w:r>
    </w:p>
    <w:p>
      <w:pPr>
        <w:spacing w:line="183" w:lineRule="exact" w:before="0"/>
        <w:ind w:left="46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23-01-1998,</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2"/>
        <w:rPr>
          <w:rFonts w:ascii="Times New Roman"/>
          <w:i/>
        </w:rPr>
      </w:pPr>
    </w:p>
    <w:p>
      <w:pPr>
        <w:spacing w:before="0"/>
        <w:ind w:left="626" w:right="0" w:firstLine="0"/>
        <w:jc w:val="left"/>
        <w:rPr>
          <w:sz w:val="20"/>
        </w:rPr>
      </w:pPr>
      <w:bookmarkStart w:name="Artículo_613" w:id="771"/>
      <w:bookmarkEnd w:id="771"/>
      <w:r>
        <w:rPr/>
      </w:r>
      <w:r>
        <w:rPr>
          <w:rFonts w:ascii="Arial" w:hAnsi="Arial"/>
          <w:b/>
          <w:sz w:val="20"/>
        </w:rPr>
        <w:t>Artículo</w:t>
      </w:r>
      <w:r>
        <w:rPr>
          <w:rFonts w:ascii="Arial" w:hAnsi="Arial"/>
          <w:b/>
          <w:spacing w:val="-6"/>
          <w:sz w:val="20"/>
        </w:rPr>
        <w:t> </w:t>
      </w:r>
      <w:r>
        <w:rPr>
          <w:rFonts w:ascii="Arial" w:hAnsi="Arial"/>
          <w:b/>
          <w:sz w:val="20"/>
        </w:rPr>
        <w:t>613.-</w:t>
      </w:r>
      <w:r>
        <w:rPr>
          <w:rFonts w:ascii="Arial" w:hAnsi="Arial"/>
          <w:b/>
          <w:spacing w:val="-4"/>
          <w:sz w:val="20"/>
        </w:rPr>
        <w:t> </w:t>
      </w:r>
      <w:r>
        <w:rPr>
          <w:sz w:val="20"/>
        </w:rPr>
        <w:t>Se</w:t>
      </w:r>
      <w:r>
        <w:rPr>
          <w:spacing w:val="-5"/>
          <w:sz w:val="20"/>
        </w:rPr>
        <w:t> </w:t>
      </w:r>
      <w:r>
        <w:rPr>
          <w:spacing w:val="-2"/>
          <w:sz w:val="20"/>
        </w:rPr>
        <w:t>deroga.</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626" w:right="0" w:firstLine="0"/>
        <w:jc w:val="left"/>
        <w:rPr>
          <w:sz w:val="20"/>
        </w:rPr>
      </w:pPr>
      <w:bookmarkStart w:name="Artículo_614" w:id="772"/>
      <w:bookmarkEnd w:id="772"/>
      <w:r>
        <w:rPr/>
      </w:r>
      <w:r>
        <w:rPr>
          <w:rFonts w:ascii="Arial" w:hAnsi="Arial"/>
          <w:b/>
          <w:sz w:val="20"/>
        </w:rPr>
        <w:t>Artículo</w:t>
      </w:r>
      <w:r>
        <w:rPr>
          <w:rFonts w:ascii="Arial" w:hAnsi="Arial"/>
          <w:b/>
          <w:spacing w:val="-6"/>
          <w:sz w:val="20"/>
        </w:rPr>
        <w:t> </w:t>
      </w:r>
      <w:r>
        <w:rPr>
          <w:rFonts w:ascii="Arial" w:hAnsi="Arial"/>
          <w:b/>
          <w:sz w:val="20"/>
        </w:rPr>
        <w:t>614.-</w:t>
      </w:r>
      <w:r>
        <w:rPr>
          <w:rFonts w:ascii="Arial" w:hAnsi="Arial"/>
          <w:b/>
          <w:spacing w:val="-4"/>
          <w:sz w:val="20"/>
        </w:rPr>
        <w:t> </w:t>
      </w:r>
      <w:r>
        <w:rPr>
          <w:sz w:val="20"/>
        </w:rPr>
        <w:t>Se</w:t>
      </w:r>
      <w:r>
        <w:rPr>
          <w:spacing w:val="-5"/>
          <w:sz w:val="20"/>
        </w:rPr>
        <w:t> </w:t>
      </w:r>
      <w:r>
        <w:rPr>
          <w:spacing w:val="-2"/>
          <w:sz w:val="20"/>
        </w:rPr>
        <w:t>deroga.</w:t>
      </w:r>
    </w:p>
    <w:p>
      <w:pPr>
        <w:spacing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line="229" w:lineRule="exact" w:before="0"/>
        <w:ind w:left="626" w:right="0" w:firstLine="0"/>
        <w:jc w:val="left"/>
        <w:rPr>
          <w:sz w:val="20"/>
        </w:rPr>
      </w:pPr>
      <w:bookmarkStart w:name="Artículo_615" w:id="773"/>
      <w:bookmarkEnd w:id="773"/>
      <w:r>
        <w:rPr/>
      </w:r>
      <w:r>
        <w:rPr>
          <w:rFonts w:ascii="Arial" w:hAnsi="Arial"/>
          <w:b/>
          <w:sz w:val="20"/>
        </w:rPr>
        <w:t>Artículo</w:t>
      </w:r>
      <w:r>
        <w:rPr>
          <w:rFonts w:ascii="Arial" w:hAnsi="Arial"/>
          <w:b/>
          <w:spacing w:val="-6"/>
          <w:sz w:val="20"/>
        </w:rPr>
        <w:t> </w:t>
      </w:r>
      <w:r>
        <w:rPr>
          <w:rFonts w:ascii="Arial" w:hAnsi="Arial"/>
          <w:b/>
          <w:sz w:val="20"/>
        </w:rPr>
        <w:t>615.-</w:t>
      </w:r>
      <w:r>
        <w:rPr>
          <w:rFonts w:ascii="Arial" w:hAnsi="Arial"/>
          <w:b/>
          <w:spacing w:val="-4"/>
          <w:sz w:val="20"/>
        </w:rPr>
        <w:t> </w:t>
      </w:r>
      <w:r>
        <w:rPr>
          <w:sz w:val="20"/>
        </w:rPr>
        <w:t>Se</w:t>
      </w:r>
      <w:r>
        <w:rPr>
          <w:spacing w:val="-5"/>
          <w:sz w:val="20"/>
        </w:rPr>
        <w:t> </w:t>
      </w:r>
      <w:r>
        <w:rPr>
          <w:spacing w:val="-2"/>
          <w:sz w:val="20"/>
        </w:rPr>
        <w:t>deroga.</w:t>
      </w:r>
    </w:p>
    <w:p>
      <w:pPr>
        <w:spacing w:line="183" w:lineRule="exact"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2"/>
        <w:rPr>
          <w:rFonts w:ascii="Times New Roman"/>
          <w:i/>
        </w:rPr>
      </w:pPr>
    </w:p>
    <w:p>
      <w:pPr>
        <w:spacing w:before="0"/>
        <w:ind w:left="626" w:right="0" w:firstLine="0"/>
        <w:jc w:val="left"/>
        <w:rPr>
          <w:sz w:val="20"/>
        </w:rPr>
      </w:pPr>
      <w:bookmarkStart w:name="Artículo_616" w:id="774"/>
      <w:bookmarkEnd w:id="774"/>
      <w:r>
        <w:rPr/>
      </w:r>
      <w:r>
        <w:rPr>
          <w:rFonts w:ascii="Arial" w:hAnsi="Arial"/>
          <w:b/>
          <w:sz w:val="20"/>
        </w:rPr>
        <w:t>Artículo</w:t>
      </w:r>
      <w:r>
        <w:rPr>
          <w:rFonts w:ascii="Arial" w:hAnsi="Arial"/>
          <w:b/>
          <w:spacing w:val="-6"/>
          <w:sz w:val="20"/>
        </w:rPr>
        <w:t> </w:t>
      </w:r>
      <w:r>
        <w:rPr>
          <w:rFonts w:ascii="Arial" w:hAnsi="Arial"/>
          <w:b/>
          <w:sz w:val="20"/>
        </w:rPr>
        <w:t>616.-</w:t>
      </w:r>
      <w:r>
        <w:rPr>
          <w:rFonts w:ascii="Arial" w:hAnsi="Arial"/>
          <w:b/>
          <w:spacing w:val="-4"/>
          <w:sz w:val="20"/>
        </w:rPr>
        <w:t> </w:t>
      </w:r>
      <w:r>
        <w:rPr>
          <w:sz w:val="20"/>
        </w:rPr>
        <w:t>Se</w:t>
      </w:r>
      <w:r>
        <w:rPr>
          <w:spacing w:val="-5"/>
          <w:sz w:val="20"/>
        </w:rPr>
        <w:t> </w:t>
      </w:r>
      <w:r>
        <w:rPr>
          <w:spacing w:val="-2"/>
          <w:sz w:val="20"/>
        </w:rPr>
        <w:t>deroga.</w:t>
      </w:r>
    </w:p>
    <w:p>
      <w:pPr>
        <w:spacing w:after="0"/>
        <w:jc w:val="left"/>
        <w:rPr>
          <w:sz w:val="20"/>
        </w:rPr>
        <w:sectPr>
          <w:pgSz w:w="12240" w:h="15840"/>
          <w:pgMar w:header="724" w:footer="712" w:top="1880" w:bottom="900" w:left="1080" w:right="1080"/>
        </w:sectPr>
      </w:pPr>
    </w:p>
    <w:p>
      <w:pPr>
        <w:pStyle w:val="BodyText"/>
        <w:spacing w:before="109"/>
        <w:rPr>
          <w:sz w:val="16"/>
        </w:rPr>
      </w:pPr>
    </w:p>
    <w:p>
      <w:pPr>
        <w:spacing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0"/>
        <w:ind w:left="626" w:right="0" w:firstLine="0"/>
        <w:jc w:val="left"/>
        <w:rPr>
          <w:sz w:val="20"/>
        </w:rPr>
      </w:pPr>
      <w:bookmarkStart w:name="Artículo_617" w:id="775"/>
      <w:bookmarkEnd w:id="775"/>
      <w:r>
        <w:rPr/>
      </w:r>
      <w:r>
        <w:rPr>
          <w:rFonts w:ascii="Arial" w:hAnsi="Arial"/>
          <w:b/>
          <w:sz w:val="20"/>
        </w:rPr>
        <w:t>Artículo</w:t>
      </w:r>
      <w:r>
        <w:rPr>
          <w:rFonts w:ascii="Arial" w:hAnsi="Arial"/>
          <w:b/>
          <w:spacing w:val="-6"/>
          <w:sz w:val="20"/>
        </w:rPr>
        <w:t> </w:t>
      </w:r>
      <w:r>
        <w:rPr>
          <w:rFonts w:ascii="Arial" w:hAnsi="Arial"/>
          <w:b/>
          <w:sz w:val="20"/>
        </w:rPr>
        <w:t>617.-</w:t>
      </w:r>
      <w:r>
        <w:rPr>
          <w:rFonts w:ascii="Arial" w:hAnsi="Arial"/>
          <w:b/>
          <w:spacing w:val="-4"/>
          <w:sz w:val="20"/>
        </w:rPr>
        <w:t> </w:t>
      </w:r>
      <w:r>
        <w:rPr>
          <w:sz w:val="20"/>
        </w:rPr>
        <w:t>Se</w:t>
      </w:r>
      <w:r>
        <w:rPr>
          <w:spacing w:val="-5"/>
          <w:sz w:val="20"/>
        </w:rPr>
        <w:t> </w:t>
      </w:r>
      <w:r>
        <w:rPr>
          <w:spacing w:val="-2"/>
          <w:sz w:val="20"/>
        </w:rPr>
        <w:t>deroga.</w:t>
      </w:r>
    </w:p>
    <w:p>
      <w:pPr>
        <w:spacing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626" w:right="0" w:firstLine="0"/>
        <w:jc w:val="left"/>
        <w:rPr>
          <w:sz w:val="20"/>
        </w:rPr>
      </w:pPr>
      <w:bookmarkStart w:name="Artículo_618" w:id="776"/>
      <w:bookmarkEnd w:id="776"/>
      <w:r>
        <w:rPr/>
      </w:r>
      <w:r>
        <w:rPr>
          <w:rFonts w:ascii="Arial" w:hAnsi="Arial"/>
          <w:b/>
          <w:sz w:val="20"/>
        </w:rPr>
        <w:t>Artículo</w:t>
      </w:r>
      <w:r>
        <w:rPr>
          <w:rFonts w:ascii="Arial" w:hAnsi="Arial"/>
          <w:b/>
          <w:spacing w:val="-6"/>
          <w:sz w:val="20"/>
        </w:rPr>
        <w:t> </w:t>
      </w:r>
      <w:r>
        <w:rPr>
          <w:rFonts w:ascii="Arial" w:hAnsi="Arial"/>
          <w:b/>
          <w:sz w:val="20"/>
        </w:rPr>
        <w:t>618.-</w:t>
      </w:r>
      <w:r>
        <w:rPr>
          <w:rFonts w:ascii="Arial" w:hAnsi="Arial"/>
          <w:b/>
          <w:spacing w:val="-4"/>
          <w:sz w:val="20"/>
        </w:rPr>
        <w:t> </w:t>
      </w:r>
      <w:r>
        <w:rPr>
          <w:sz w:val="20"/>
        </w:rPr>
        <w:t>Se</w:t>
      </w:r>
      <w:r>
        <w:rPr>
          <w:spacing w:val="-5"/>
          <w:sz w:val="20"/>
        </w:rPr>
        <w:t> </w:t>
      </w:r>
      <w:r>
        <w:rPr>
          <w:spacing w:val="-2"/>
          <w:sz w:val="20"/>
        </w:rPr>
        <w:t>deroga.</w:t>
      </w:r>
    </w:p>
    <w:p>
      <w:pPr>
        <w:spacing w:before="1"/>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line="229" w:lineRule="exact" w:before="0"/>
        <w:ind w:left="626" w:right="0" w:firstLine="0"/>
        <w:jc w:val="left"/>
        <w:rPr>
          <w:sz w:val="20"/>
        </w:rPr>
      </w:pPr>
      <w:bookmarkStart w:name="Artículo_619" w:id="777"/>
      <w:bookmarkEnd w:id="777"/>
      <w:r>
        <w:rPr/>
      </w:r>
      <w:r>
        <w:rPr>
          <w:rFonts w:ascii="Arial" w:hAnsi="Arial"/>
          <w:b/>
          <w:sz w:val="20"/>
        </w:rPr>
        <w:t>Artículo</w:t>
      </w:r>
      <w:r>
        <w:rPr>
          <w:rFonts w:ascii="Arial" w:hAnsi="Arial"/>
          <w:b/>
          <w:spacing w:val="-6"/>
          <w:sz w:val="20"/>
        </w:rPr>
        <w:t> </w:t>
      </w:r>
      <w:r>
        <w:rPr>
          <w:rFonts w:ascii="Arial" w:hAnsi="Arial"/>
          <w:b/>
          <w:sz w:val="20"/>
        </w:rPr>
        <w:t>619.-</w:t>
      </w:r>
      <w:r>
        <w:rPr>
          <w:rFonts w:ascii="Arial" w:hAnsi="Arial"/>
          <w:b/>
          <w:spacing w:val="-4"/>
          <w:sz w:val="20"/>
        </w:rPr>
        <w:t> </w:t>
      </w:r>
      <w:r>
        <w:rPr>
          <w:sz w:val="20"/>
        </w:rPr>
        <w:t>Se</w:t>
      </w:r>
      <w:r>
        <w:rPr>
          <w:spacing w:val="-5"/>
          <w:sz w:val="20"/>
        </w:rPr>
        <w:t> </w:t>
      </w:r>
      <w:r>
        <w:rPr>
          <w:spacing w:val="-2"/>
          <w:sz w:val="20"/>
        </w:rPr>
        <w:t>deroga.</w:t>
      </w:r>
    </w:p>
    <w:p>
      <w:pPr>
        <w:spacing w:line="183" w:lineRule="exact"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sz w:val="12"/>
        </w:rPr>
      </w:pPr>
    </w:p>
    <w:p>
      <w:pPr>
        <w:pStyle w:val="BodyText"/>
        <w:spacing w:after="0"/>
        <w:rPr>
          <w:rFonts w:ascii="Times New Roman"/>
          <w:i/>
          <w:sz w:val="12"/>
        </w:rPr>
        <w:sectPr>
          <w:pgSz w:w="12240" w:h="15840"/>
          <w:pgMar w:header="724" w:footer="712" w:top="1880" w:bottom="900" w:left="1080" w:right="1080"/>
        </w:sectPr>
      </w:pPr>
    </w:p>
    <w:p>
      <w:pPr>
        <w:spacing w:before="92"/>
        <w:ind w:left="626" w:right="0" w:firstLine="0"/>
        <w:jc w:val="left"/>
        <w:rPr>
          <w:sz w:val="20"/>
        </w:rPr>
      </w:pPr>
      <w:bookmarkStart w:name="Artículo_620" w:id="778"/>
      <w:bookmarkEnd w:id="778"/>
      <w:r>
        <w:rPr/>
      </w:r>
      <w:r>
        <w:rPr>
          <w:rFonts w:ascii="Arial" w:hAnsi="Arial"/>
          <w:b/>
          <w:sz w:val="20"/>
        </w:rPr>
        <w:t>Artículo</w:t>
      </w:r>
      <w:r>
        <w:rPr>
          <w:rFonts w:ascii="Arial" w:hAnsi="Arial"/>
          <w:b/>
          <w:spacing w:val="-6"/>
          <w:sz w:val="20"/>
        </w:rPr>
        <w:t> </w:t>
      </w:r>
      <w:r>
        <w:rPr>
          <w:rFonts w:ascii="Arial" w:hAnsi="Arial"/>
          <w:b/>
          <w:sz w:val="20"/>
        </w:rPr>
        <w:t>620.-</w:t>
      </w:r>
      <w:r>
        <w:rPr>
          <w:rFonts w:ascii="Arial" w:hAnsi="Arial"/>
          <w:b/>
          <w:spacing w:val="-4"/>
          <w:sz w:val="20"/>
        </w:rPr>
        <w:t> </w:t>
      </w:r>
      <w:r>
        <w:rPr>
          <w:sz w:val="20"/>
        </w:rPr>
        <w:t>Se</w:t>
      </w:r>
      <w:r>
        <w:rPr>
          <w:spacing w:val="-5"/>
          <w:sz w:val="20"/>
        </w:rPr>
        <w:t> </w:t>
      </w:r>
      <w:r>
        <w:rPr>
          <w:spacing w:val="-2"/>
          <w:sz w:val="20"/>
        </w:rPr>
        <w:t>deroga.</w:t>
      </w:r>
    </w:p>
    <w:p>
      <w:pPr>
        <w:spacing w:line="240" w:lineRule="auto" w:before="138"/>
        <w:rPr>
          <w:sz w:val="16"/>
        </w:rPr>
      </w:pPr>
      <w:r>
        <w:rPr/>
        <w:br w:type="column"/>
      </w:r>
      <w:r>
        <w:rPr>
          <w:sz w:val="16"/>
        </w:rPr>
      </w:r>
    </w:p>
    <w:p>
      <w:pPr>
        <w:spacing w:before="1"/>
        <w:ind w:left="180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3"/>
        <w:rPr>
          <w:rFonts w:ascii="Times New Roman"/>
          <w:i/>
          <w:sz w:val="16"/>
        </w:rPr>
      </w:pPr>
    </w:p>
    <w:p>
      <w:pPr>
        <w:pStyle w:val="Heading1"/>
        <w:ind w:left="626" w:right="0"/>
        <w:jc w:val="left"/>
      </w:pPr>
      <w:r>
        <w:rPr/>
        <w:t>CAPITULO</w:t>
      </w:r>
      <w:r>
        <w:rPr>
          <w:spacing w:val="-9"/>
        </w:rPr>
        <w:t> </w:t>
      </w:r>
      <w:r>
        <w:rPr>
          <w:spacing w:val="-4"/>
        </w:rPr>
        <w:t>XIII</w:t>
      </w:r>
    </w:p>
    <w:p>
      <w:pPr>
        <w:pStyle w:val="Heading1"/>
        <w:spacing w:after="0"/>
        <w:jc w:val="left"/>
        <w:sectPr>
          <w:type w:val="continuous"/>
          <w:pgSz w:w="12240" w:h="15840"/>
          <w:pgMar w:header="724" w:footer="712" w:top="1880" w:bottom="900" w:left="1080" w:right="1080"/>
          <w:cols w:num="2" w:equalWidth="0">
            <w:col w:w="2966" w:space="690"/>
            <w:col w:w="6424"/>
          </w:cols>
        </w:sectPr>
      </w:pPr>
    </w:p>
    <w:p>
      <w:pPr>
        <w:pStyle w:val="Heading2"/>
        <w:spacing w:before="2"/>
        <w:ind w:left="297"/>
      </w:pPr>
      <w:r>
        <w:rPr/>
        <w:t>Juntas</w:t>
      </w:r>
      <w:r>
        <w:rPr>
          <w:spacing w:val="-7"/>
        </w:rPr>
        <w:t> </w:t>
      </w:r>
      <w:r>
        <w:rPr/>
        <w:t>locales</w:t>
      </w:r>
      <w:r>
        <w:rPr>
          <w:spacing w:val="-6"/>
        </w:rPr>
        <w:t> </w:t>
      </w:r>
      <w:r>
        <w:rPr/>
        <w:t>de</w:t>
      </w:r>
      <w:r>
        <w:rPr>
          <w:spacing w:val="-4"/>
        </w:rPr>
        <w:t> </w:t>
      </w:r>
      <w:r>
        <w:rPr/>
        <w:t>conciliación</w:t>
      </w:r>
      <w:r>
        <w:rPr>
          <w:spacing w:val="-7"/>
        </w:rPr>
        <w:t> </w:t>
      </w:r>
      <w:r>
        <w:rPr/>
        <w:t>y</w:t>
      </w:r>
      <w:r>
        <w:rPr>
          <w:spacing w:val="-7"/>
        </w:rPr>
        <w:t> </w:t>
      </w:r>
      <w:r>
        <w:rPr>
          <w:spacing w:val="-2"/>
        </w:rPr>
        <w:t>arbitraje</w:t>
      </w:r>
    </w:p>
    <w:p>
      <w:pPr>
        <w:pStyle w:val="BodyText"/>
        <w:spacing w:before="1"/>
        <w:rPr>
          <w:rFonts w:ascii="Arial"/>
          <w:b/>
        </w:rPr>
      </w:pPr>
    </w:p>
    <w:p>
      <w:pPr>
        <w:spacing w:line="229" w:lineRule="exact" w:before="0"/>
        <w:ind w:left="626" w:right="0" w:firstLine="0"/>
        <w:jc w:val="left"/>
        <w:rPr>
          <w:sz w:val="20"/>
        </w:rPr>
      </w:pPr>
      <w:bookmarkStart w:name="Artículo_621" w:id="779"/>
      <w:bookmarkEnd w:id="779"/>
      <w:r>
        <w:rPr/>
      </w:r>
      <w:r>
        <w:rPr>
          <w:rFonts w:ascii="Arial" w:hAnsi="Arial"/>
          <w:b/>
          <w:sz w:val="20"/>
        </w:rPr>
        <w:t>Artículo</w:t>
      </w:r>
      <w:r>
        <w:rPr>
          <w:rFonts w:ascii="Arial" w:hAnsi="Arial"/>
          <w:b/>
          <w:spacing w:val="-6"/>
          <w:sz w:val="20"/>
        </w:rPr>
        <w:t> </w:t>
      </w:r>
      <w:r>
        <w:rPr>
          <w:rFonts w:ascii="Arial" w:hAnsi="Arial"/>
          <w:b/>
          <w:sz w:val="20"/>
        </w:rPr>
        <w:t>621.-</w:t>
      </w:r>
      <w:r>
        <w:rPr>
          <w:rFonts w:ascii="Arial" w:hAnsi="Arial"/>
          <w:b/>
          <w:spacing w:val="-4"/>
          <w:sz w:val="20"/>
        </w:rPr>
        <w:t> </w:t>
      </w:r>
      <w:r>
        <w:rPr>
          <w:sz w:val="20"/>
        </w:rPr>
        <w:t>Se</w:t>
      </w:r>
      <w:r>
        <w:rPr>
          <w:spacing w:val="-5"/>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1"/>
        <w:ind w:left="626" w:right="0" w:firstLine="0"/>
        <w:jc w:val="left"/>
        <w:rPr>
          <w:sz w:val="20"/>
        </w:rPr>
      </w:pPr>
      <w:bookmarkStart w:name="Artículo_622" w:id="780"/>
      <w:bookmarkEnd w:id="780"/>
      <w:r>
        <w:rPr/>
      </w:r>
      <w:r>
        <w:rPr>
          <w:rFonts w:ascii="Arial" w:hAnsi="Arial"/>
          <w:b/>
          <w:sz w:val="20"/>
        </w:rPr>
        <w:t>Artículo</w:t>
      </w:r>
      <w:r>
        <w:rPr>
          <w:rFonts w:ascii="Arial" w:hAnsi="Arial"/>
          <w:b/>
          <w:spacing w:val="-6"/>
          <w:sz w:val="20"/>
        </w:rPr>
        <w:t> </w:t>
      </w:r>
      <w:r>
        <w:rPr>
          <w:rFonts w:ascii="Arial" w:hAnsi="Arial"/>
          <w:b/>
          <w:sz w:val="20"/>
        </w:rPr>
        <w:t>622.-</w:t>
      </w:r>
      <w:r>
        <w:rPr>
          <w:rFonts w:ascii="Arial" w:hAnsi="Arial"/>
          <w:b/>
          <w:spacing w:val="-4"/>
          <w:sz w:val="20"/>
        </w:rPr>
        <w:t> </w:t>
      </w:r>
      <w:r>
        <w:rPr>
          <w:sz w:val="20"/>
        </w:rPr>
        <w:t>Se</w:t>
      </w:r>
      <w:r>
        <w:rPr>
          <w:spacing w:val="-5"/>
          <w:sz w:val="20"/>
        </w:rPr>
        <w:t> </w:t>
      </w:r>
      <w:r>
        <w:rPr>
          <w:spacing w:val="-2"/>
          <w:sz w:val="20"/>
        </w:rPr>
        <w:t>deroga.</w:t>
      </w:r>
    </w:p>
    <w:p>
      <w:pPr>
        <w:spacing w:before="0"/>
        <w:ind w:left="46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626" w:right="0" w:firstLine="0"/>
        <w:jc w:val="left"/>
        <w:rPr>
          <w:sz w:val="20"/>
        </w:rPr>
      </w:pPr>
      <w:bookmarkStart w:name="Artículo_623" w:id="781"/>
      <w:bookmarkEnd w:id="781"/>
      <w:r>
        <w:rPr/>
      </w:r>
      <w:r>
        <w:rPr>
          <w:rFonts w:ascii="Arial" w:hAnsi="Arial"/>
          <w:b/>
          <w:sz w:val="20"/>
        </w:rPr>
        <w:t>Artículo</w:t>
      </w:r>
      <w:r>
        <w:rPr>
          <w:rFonts w:ascii="Arial" w:hAnsi="Arial"/>
          <w:b/>
          <w:spacing w:val="-7"/>
          <w:sz w:val="20"/>
        </w:rPr>
        <w:t> </w:t>
      </w:r>
      <w:r>
        <w:rPr>
          <w:rFonts w:ascii="Arial" w:hAnsi="Arial"/>
          <w:b/>
          <w:sz w:val="20"/>
        </w:rPr>
        <w:t>623.-</w:t>
      </w:r>
      <w:r>
        <w:rPr>
          <w:rFonts w:ascii="Arial" w:hAnsi="Arial"/>
          <w:b/>
          <w:spacing w:val="-4"/>
          <w:sz w:val="20"/>
        </w:rPr>
        <w:t> </w:t>
      </w:r>
      <w:r>
        <w:rPr>
          <w:sz w:val="20"/>
        </w:rPr>
        <w:t>Se</w:t>
      </w:r>
      <w:r>
        <w:rPr>
          <w:spacing w:val="-5"/>
          <w:sz w:val="20"/>
        </w:rPr>
        <w:t> </w:t>
      </w:r>
      <w:r>
        <w:rPr>
          <w:spacing w:val="-2"/>
          <w:sz w:val="20"/>
        </w:rPr>
        <w:t>deroga.</w:t>
      </w:r>
    </w:p>
    <w:p>
      <w:pPr>
        <w:spacing w:before="0"/>
        <w:ind w:left="380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sz w:val="12"/>
        </w:rPr>
      </w:pPr>
    </w:p>
    <w:p>
      <w:pPr>
        <w:pStyle w:val="BodyText"/>
        <w:spacing w:after="0"/>
        <w:rPr>
          <w:rFonts w:ascii="Times New Roman"/>
          <w:i/>
          <w:sz w:val="12"/>
        </w:rPr>
        <w:sectPr>
          <w:type w:val="continuous"/>
          <w:pgSz w:w="12240" w:h="15840"/>
          <w:pgMar w:header="724" w:footer="712" w:top="1880" w:bottom="900" w:left="1080" w:right="1080"/>
        </w:sectPr>
      </w:pPr>
    </w:p>
    <w:p>
      <w:pPr>
        <w:spacing w:before="92"/>
        <w:ind w:left="626" w:right="0" w:firstLine="0"/>
        <w:jc w:val="left"/>
        <w:rPr>
          <w:sz w:val="20"/>
        </w:rPr>
      </w:pPr>
      <w:bookmarkStart w:name="Artículo_624" w:id="782"/>
      <w:bookmarkEnd w:id="782"/>
      <w:r>
        <w:rPr/>
      </w:r>
      <w:r>
        <w:rPr>
          <w:rFonts w:ascii="Arial" w:hAnsi="Arial"/>
          <w:b/>
          <w:sz w:val="20"/>
        </w:rPr>
        <w:t>Artículo</w:t>
      </w:r>
      <w:r>
        <w:rPr>
          <w:rFonts w:ascii="Arial" w:hAnsi="Arial"/>
          <w:b/>
          <w:spacing w:val="-6"/>
          <w:sz w:val="20"/>
        </w:rPr>
        <w:t> </w:t>
      </w:r>
      <w:r>
        <w:rPr>
          <w:rFonts w:ascii="Arial" w:hAnsi="Arial"/>
          <w:b/>
          <w:sz w:val="20"/>
        </w:rPr>
        <w:t>624.-</w:t>
      </w:r>
      <w:r>
        <w:rPr>
          <w:rFonts w:ascii="Arial" w:hAnsi="Arial"/>
          <w:b/>
          <w:spacing w:val="-4"/>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0"/>
        <w:ind w:left="179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6"/>
        <w:rPr>
          <w:rFonts w:ascii="Times New Roman"/>
          <w:i/>
          <w:sz w:val="16"/>
        </w:rPr>
      </w:pPr>
    </w:p>
    <w:p>
      <w:pPr>
        <w:pStyle w:val="Heading1"/>
        <w:ind w:left="626" w:right="0"/>
        <w:jc w:val="left"/>
      </w:pPr>
      <w:r>
        <w:rPr/>
        <w:t>TITULO</w:t>
      </w:r>
      <w:r>
        <w:rPr>
          <w:spacing w:val="-6"/>
        </w:rPr>
        <w:t> </w:t>
      </w:r>
      <w:r>
        <w:rPr>
          <w:spacing w:val="-4"/>
        </w:rPr>
        <w:t>DOCE</w:t>
      </w:r>
    </w:p>
    <w:p>
      <w:pPr>
        <w:pStyle w:val="Heading1"/>
        <w:spacing w:after="0"/>
        <w:jc w:val="left"/>
        <w:sectPr>
          <w:type w:val="continuous"/>
          <w:pgSz w:w="12240" w:h="15840"/>
          <w:pgMar w:header="724" w:footer="712" w:top="1880" w:bottom="900" w:left="1080" w:right="1080"/>
          <w:cols w:num="2" w:equalWidth="0">
            <w:col w:w="2966" w:space="702"/>
            <w:col w:w="6412"/>
          </w:cols>
        </w:sectPr>
      </w:pPr>
    </w:p>
    <w:p>
      <w:pPr>
        <w:pStyle w:val="Heading2"/>
        <w:spacing w:before="2"/>
        <w:ind w:left="296"/>
      </w:pPr>
      <w:r>
        <w:rPr/>
        <w:t>Personal</w:t>
      </w:r>
      <w:r>
        <w:rPr>
          <w:spacing w:val="-4"/>
        </w:rPr>
        <w:t> </w:t>
      </w:r>
      <w:r>
        <w:rPr/>
        <w:t>Jurídico</w:t>
      </w:r>
      <w:r>
        <w:rPr>
          <w:spacing w:val="-4"/>
        </w:rPr>
        <w:t> </w:t>
      </w:r>
      <w:r>
        <w:rPr/>
        <w:t>de</w:t>
      </w:r>
      <w:r>
        <w:rPr>
          <w:spacing w:val="-7"/>
        </w:rPr>
        <w:t> </w:t>
      </w:r>
      <w:r>
        <w:rPr/>
        <w:t>las</w:t>
      </w:r>
      <w:r>
        <w:rPr>
          <w:spacing w:val="-3"/>
        </w:rPr>
        <w:t> </w:t>
      </w:r>
      <w:r>
        <w:rPr/>
        <w:t>Juntas</w:t>
      </w:r>
      <w:r>
        <w:rPr>
          <w:spacing w:val="-6"/>
        </w:rPr>
        <w:t> </w:t>
      </w:r>
      <w:r>
        <w:rPr/>
        <w:t>de</w:t>
      </w:r>
      <w:r>
        <w:rPr>
          <w:spacing w:val="-4"/>
        </w:rPr>
        <w:t> </w:t>
      </w:r>
      <w:r>
        <w:rPr/>
        <w:t>Conciliación</w:t>
      </w:r>
      <w:r>
        <w:rPr>
          <w:spacing w:val="-4"/>
        </w:rPr>
        <w:t> </w:t>
      </w:r>
      <w:r>
        <w:rPr/>
        <w:t>y</w:t>
      </w:r>
      <w:r>
        <w:rPr>
          <w:spacing w:val="-2"/>
        </w:rPr>
        <w:t> Arbitraje</w:t>
      </w:r>
    </w:p>
    <w:p>
      <w:pPr>
        <w:pStyle w:val="BodyText"/>
        <w:spacing w:before="1"/>
        <w:rPr>
          <w:rFonts w:ascii="Arial"/>
          <w:b/>
        </w:rPr>
      </w:pPr>
    </w:p>
    <w:p>
      <w:pPr>
        <w:spacing w:line="229" w:lineRule="exact" w:before="0"/>
        <w:ind w:left="626" w:right="0" w:firstLine="0"/>
        <w:jc w:val="left"/>
        <w:rPr>
          <w:sz w:val="20"/>
        </w:rPr>
      </w:pPr>
      <w:bookmarkStart w:name="Artículo_625" w:id="783"/>
      <w:bookmarkEnd w:id="783"/>
      <w:r>
        <w:rPr/>
      </w:r>
      <w:r>
        <w:rPr>
          <w:rFonts w:ascii="Arial" w:hAnsi="Arial"/>
          <w:b/>
          <w:sz w:val="20"/>
        </w:rPr>
        <w:t>Artículo</w:t>
      </w:r>
      <w:r>
        <w:rPr>
          <w:rFonts w:ascii="Arial" w:hAnsi="Arial"/>
          <w:b/>
          <w:spacing w:val="-6"/>
          <w:sz w:val="20"/>
        </w:rPr>
        <w:t> </w:t>
      </w:r>
      <w:r>
        <w:rPr>
          <w:rFonts w:ascii="Arial" w:hAnsi="Arial"/>
          <w:b/>
          <w:sz w:val="20"/>
        </w:rPr>
        <w:t>625.-</w:t>
      </w:r>
      <w:r>
        <w:rPr>
          <w:rFonts w:ascii="Arial" w:hAnsi="Arial"/>
          <w:b/>
          <w:spacing w:val="-4"/>
          <w:sz w:val="20"/>
        </w:rPr>
        <w:t> </w:t>
      </w:r>
      <w:r>
        <w:rPr>
          <w:sz w:val="20"/>
        </w:rPr>
        <w:t>Se</w:t>
      </w:r>
      <w:r>
        <w:rPr>
          <w:spacing w:val="-5"/>
          <w:sz w:val="20"/>
        </w:rPr>
        <w:t> </w:t>
      </w:r>
      <w:r>
        <w:rPr>
          <w:spacing w:val="-2"/>
          <w:sz w:val="20"/>
        </w:rPr>
        <w:t>deroga.</w:t>
      </w:r>
    </w:p>
    <w:p>
      <w:pPr>
        <w:spacing w:line="183" w:lineRule="exact" w:before="0"/>
        <w:ind w:left="46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0"/>
        <w:ind w:left="626" w:right="0" w:firstLine="0"/>
        <w:jc w:val="left"/>
        <w:rPr>
          <w:sz w:val="20"/>
        </w:rPr>
      </w:pPr>
      <w:bookmarkStart w:name="Artículo_626" w:id="784"/>
      <w:bookmarkEnd w:id="784"/>
      <w:r>
        <w:rPr/>
      </w:r>
      <w:r>
        <w:rPr>
          <w:rFonts w:ascii="Arial" w:hAnsi="Arial"/>
          <w:b/>
          <w:sz w:val="20"/>
        </w:rPr>
        <w:t>Artículo</w:t>
      </w:r>
      <w:r>
        <w:rPr>
          <w:rFonts w:ascii="Arial" w:hAnsi="Arial"/>
          <w:b/>
          <w:spacing w:val="-6"/>
          <w:sz w:val="20"/>
        </w:rPr>
        <w:t> </w:t>
      </w:r>
      <w:r>
        <w:rPr>
          <w:rFonts w:ascii="Arial" w:hAnsi="Arial"/>
          <w:b/>
          <w:sz w:val="20"/>
        </w:rPr>
        <w:t>626.-</w:t>
      </w:r>
      <w:r>
        <w:rPr>
          <w:rFonts w:ascii="Arial" w:hAnsi="Arial"/>
          <w:b/>
          <w:spacing w:val="-4"/>
          <w:sz w:val="20"/>
        </w:rPr>
        <w:t> </w:t>
      </w:r>
      <w:r>
        <w:rPr>
          <w:sz w:val="20"/>
        </w:rPr>
        <w:t>Se</w:t>
      </w:r>
      <w:r>
        <w:rPr>
          <w:spacing w:val="-5"/>
          <w:sz w:val="20"/>
        </w:rPr>
        <w:t> </w:t>
      </w:r>
      <w:r>
        <w:rPr>
          <w:spacing w:val="-2"/>
          <w:sz w:val="20"/>
        </w:rPr>
        <w:t>deroga.</w:t>
      </w:r>
    </w:p>
    <w:p>
      <w:pPr>
        <w:spacing w:before="1"/>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626" w:right="0" w:firstLine="0"/>
        <w:jc w:val="left"/>
        <w:rPr>
          <w:sz w:val="20"/>
        </w:rPr>
      </w:pPr>
      <w:bookmarkStart w:name="Artículo_627" w:id="785"/>
      <w:bookmarkEnd w:id="785"/>
      <w:r>
        <w:rPr/>
      </w:r>
      <w:r>
        <w:rPr>
          <w:rFonts w:ascii="Arial" w:hAnsi="Arial"/>
          <w:b/>
          <w:sz w:val="20"/>
        </w:rPr>
        <w:t>Artículo</w:t>
      </w:r>
      <w:r>
        <w:rPr>
          <w:rFonts w:ascii="Arial" w:hAnsi="Arial"/>
          <w:b/>
          <w:spacing w:val="-6"/>
          <w:sz w:val="20"/>
        </w:rPr>
        <w:t> </w:t>
      </w:r>
      <w:r>
        <w:rPr>
          <w:rFonts w:ascii="Arial" w:hAnsi="Arial"/>
          <w:b/>
          <w:sz w:val="20"/>
        </w:rPr>
        <w:t>627.-</w:t>
      </w:r>
      <w:r>
        <w:rPr>
          <w:rFonts w:ascii="Arial" w:hAnsi="Arial"/>
          <w:b/>
          <w:spacing w:val="-4"/>
          <w:sz w:val="20"/>
        </w:rPr>
        <w:t> </w:t>
      </w:r>
      <w:r>
        <w:rPr>
          <w:sz w:val="20"/>
        </w:rPr>
        <w:t>Se</w:t>
      </w:r>
      <w:r>
        <w:rPr>
          <w:spacing w:val="-5"/>
          <w:sz w:val="20"/>
        </w:rPr>
        <w:t> </w:t>
      </w:r>
      <w:r>
        <w:rPr>
          <w:spacing w:val="-2"/>
          <w:sz w:val="20"/>
        </w:rPr>
        <w:t>deroga.</w:t>
      </w:r>
    </w:p>
    <w:p>
      <w:pPr>
        <w:spacing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line="229" w:lineRule="exact" w:before="0"/>
        <w:ind w:left="626" w:right="0" w:firstLine="0"/>
        <w:jc w:val="left"/>
        <w:rPr>
          <w:sz w:val="20"/>
        </w:rPr>
      </w:pPr>
      <w:bookmarkStart w:name="Artículo_627_A" w:id="786"/>
      <w:bookmarkEnd w:id="786"/>
      <w:r>
        <w:rPr/>
      </w:r>
      <w:r>
        <w:rPr>
          <w:rFonts w:ascii="Arial" w:hAnsi="Arial"/>
          <w:b/>
          <w:sz w:val="20"/>
        </w:rPr>
        <w:t>Artículo</w:t>
      </w:r>
      <w:r>
        <w:rPr>
          <w:rFonts w:ascii="Arial" w:hAnsi="Arial"/>
          <w:b/>
          <w:spacing w:val="-7"/>
          <w:sz w:val="20"/>
        </w:rPr>
        <w:t> </w:t>
      </w:r>
      <w:r>
        <w:rPr>
          <w:rFonts w:ascii="Arial" w:hAnsi="Arial"/>
          <w:b/>
          <w:sz w:val="20"/>
        </w:rPr>
        <w:t>627-A.-</w:t>
      </w:r>
      <w:r>
        <w:rPr>
          <w:rFonts w:ascii="Arial" w:hAnsi="Arial"/>
          <w:b/>
          <w:spacing w:val="-5"/>
          <w:sz w:val="20"/>
        </w:rPr>
        <w:t> </w:t>
      </w:r>
      <w:r>
        <w:rPr>
          <w:sz w:val="20"/>
        </w:rPr>
        <w:t>Se</w:t>
      </w:r>
      <w:r>
        <w:rPr>
          <w:spacing w:val="-8"/>
          <w:sz w:val="20"/>
        </w:rPr>
        <w:t> </w:t>
      </w:r>
      <w:r>
        <w:rPr>
          <w:spacing w:val="-2"/>
          <w:sz w:val="20"/>
        </w:rPr>
        <w:t>deroga.</w:t>
      </w:r>
    </w:p>
    <w:p>
      <w:pPr>
        <w:spacing w:line="183" w:lineRule="exact" w:before="0"/>
        <w:ind w:left="54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1"/>
        <w:ind w:left="626" w:right="0" w:firstLine="0"/>
        <w:jc w:val="left"/>
        <w:rPr>
          <w:sz w:val="20"/>
        </w:rPr>
      </w:pPr>
      <w:bookmarkStart w:name="Artículo_627_B" w:id="787"/>
      <w:bookmarkEnd w:id="787"/>
      <w:r>
        <w:rPr/>
      </w:r>
      <w:r>
        <w:rPr>
          <w:rFonts w:ascii="Arial" w:hAnsi="Arial"/>
          <w:b/>
          <w:sz w:val="20"/>
        </w:rPr>
        <w:t>Artículo</w:t>
      </w:r>
      <w:r>
        <w:rPr>
          <w:rFonts w:ascii="Arial" w:hAnsi="Arial"/>
          <w:b/>
          <w:spacing w:val="-7"/>
          <w:sz w:val="20"/>
        </w:rPr>
        <w:t> </w:t>
      </w:r>
      <w:r>
        <w:rPr>
          <w:rFonts w:ascii="Arial" w:hAnsi="Arial"/>
          <w:b/>
          <w:sz w:val="20"/>
        </w:rPr>
        <w:t>627-B.-</w:t>
      </w:r>
      <w:r>
        <w:rPr>
          <w:rFonts w:ascii="Arial" w:hAnsi="Arial"/>
          <w:b/>
          <w:spacing w:val="-5"/>
          <w:sz w:val="20"/>
        </w:rPr>
        <w:t> </w:t>
      </w:r>
      <w:r>
        <w:rPr>
          <w:sz w:val="20"/>
        </w:rPr>
        <w:t>Se</w:t>
      </w:r>
      <w:r>
        <w:rPr>
          <w:spacing w:val="-8"/>
          <w:sz w:val="20"/>
        </w:rPr>
        <w:t> </w:t>
      </w:r>
      <w:r>
        <w:rPr>
          <w:spacing w:val="-2"/>
          <w:sz w:val="20"/>
        </w:rPr>
        <w:t>deroga.</w:t>
      </w:r>
    </w:p>
    <w:p>
      <w:pPr>
        <w:spacing w:before="1"/>
        <w:ind w:left="54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626" w:right="0" w:firstLine="0"/>
        <w:jc w:val="left"/>
        <w:rPr>
          <w:sz w:val="20"/>
        </w:rPr>
      </w:pPr>
      <w:bookmarkStart w:name="Artículo_627_C" w:id="788"/>
      <w:bookmarkEnd w:id="788"/>
      <w:r>
        <w:rPr/>
      </w:r>
      <w:r>
        <w:rPr>
          <w:rFonts w:ascii="Arial" w:hAnsi="Arial"/>
          <w:b/>
          <w:sz w:val="20"/>
        </w:rPr>
        <w:t>Artículo</w:t>
      </w:r>
      <w:r>
        <w:rPr>
          <w:rFonts w:ascii="Arial" w:hAnsi="Arial"/>
          <w:b/>
          <w:spacing w:val="-7"/>
          <w:sz w:val="20"/>
        </w:rPr>
        <w:t> </w:t>
      </w:r>
      <w:r>
        <w:rPr>
          <w:rFonts w:ascii="Arial" w:hAnsi="Arial"/>
          <w:b/>
          <w:sz w:val="20"/>
        </w:rPr>
        <w:t>627-C.-</w:t>
      </w:r>
      <w:r>
        <w:rPr>
          <w:rFonts w:ascii="Arial" w:hAnsi="Arial"/>
          <w:b/>
          <w:spacing w:val="-5"/>
          <w:sz w:val="20"/>
        </w:rPr>
        <w:t> </w:t>
      </w:r>
      <w:r>
        <w:rPr>
          <w:sz w:val="20"/>
        </w:rPr>
        <w:t>Se</w:t>
      </w:r>
      <w:r>
        <w:rPr>
          <w:spacing w:val="-8"/>
          <w:sz w:val="20"/>
        </w:rPr>
        <w:t> </w:t>
      </w:r>
      <w:r>
        <w:rPr>
          <w:spacing w:val="-2"/>
          <w:sz w:val="20"/>
        </w:rPr>
        <w:t>deroga.</w:t>
      </w:r>
    </w:p>
    <w:p>
      <w:pPr>
        <w:spacing w:before="0"/>
        <w:ind w:left="54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line="229" w:lineRule="exact" w:before="0"/>
        <w:ind w:left="626" w:right="0" w:firstLine="0"/>
        <w:jc w:val="left"/>
        <w:rPr>
          <w:sz w:val="20"/>
        </w:rPr>
      </w:pPr>
      <w:bookmarkStart w:name="Artículo_628" w:id="789"/>
      <w:bookmarkEnd w:id="789"/>
      <w:r>
        <w:rPr/>
      </w:r>
      <w:r>
        <w:rPr>
          <w:rFonts w:ascii="Arial" w:hAnsi="Arial"/>
          <w:b/>
          <w:sz w:val="20"/>
        </w:rPr>
        <w:t>Artículo</w:t>
      </w:r>
      <w:r>
        <w:rPr>
          <w:rFonts w:ascii="Arial" w:hAnsi="Arial"/>
          <w:b/>
          <w:spacing w:val="-6"/>
          <w:sz w:val="20"/>
        </w:rPr>
        <w:t> </w:t>
      </w:r>
      <w:r>
        <w:rPr>
          <w:rFonts w:ascii="Arial" w:hAnsi="Arial"/>
          <w:b/>
          <w:sz w:val="20"/>
        </w:rPr>
        <w:t>628.-</w:t>
      </w:r>
      <w:r>
        <w:rPr>
          <w:rFonts w:ascii="Arial" w:hAnsi="Arial"/>
          <w:b/>
          <w:spacing w:val="-4"/>
          <w:sz w:val="20"/>
        </w:rPr>
        <w:t> </w:t>
      </w:r>
      <w:r>
        <w:rPr>
          <w:sz w:val="20"/>
        </w:rPr>
        <w:t>Se</w:t>
      </w:r>
      <w:r>
        <w:rPr>
          <w:spacing w:val="-5"/>
          <w:sz w:val="20"/>
        </w:rPr>
        <w:t> </w:t>
      </w:r>
      <w:r>
        <w:rPr>
          <w:spacing w:val="-2"/>
          <w:sz w:val="20"/>
        </w:rPr>
        <w:t>deroga.</w:t>
      </w:r>
    </w:p>
    <w:p>
      <w:pPr>
        <w:spacing w:line="183" w:lineRule="exact"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0"/>
        <w:ind w:left="626" w:right="0" w:firstLine="0"/>
        <w:jc w:val="left"/>
        <w:rPr>
          <w:sz w:val="20"/>
        </w:rPr>
      </w:pPr>
      <w:bookmarkStart w:name="Artículo_629" w:id="790"/>
      <w:bookmarkEnd w:id="790"/>
      <w:r>
        <w:rPr/>
      </w:r>
      <w:r>
        <w:rPr>
          <w:rFonts w:ascii="Arial" w:hAnsi="Arial"/>
          <w:b/>
          <w:sz w:val="20"/>
        </w:rPr>
        <w:t>Artículo</w:t>
      </w:r>
      <w:r>
        <w:rPr>
          <w:rFonts w:ascii="Arial" w:hAnsi="Arial"/>
          <w:b/>
          <w:spacing w:val="-6"/>
          <w:sz w:val="20"/>
        </w:rPr>
        <w:t> </w:t>
      </w:r>
      <w:r>
        <w:rPr>
          <w:rFonts w:ascii="Arial" w:hAnsi="Arial"/>
          <w:b/>
          <w:sz w:val="20"/>
        </w:rPr>
        <w:t>629.-</w:t>
      </w:r>
      <w:r>
        <w:rPr>
          <w:rFonts w:ascii="Arial" w:hAnsi="Arial"/>
          <w:b/>
          <w:spacing w:val="-4"/>
          <w:sz w:val="20"/>
        </w:rPr>
        <w:t> </w:t>
      </w:r>
      <w:r>
        <w:rPr>
          <w:sz w:val="20"/>
        </w:rPr>
        <w:t>Se</w:t>
      </w:r>
      <w:r>
        <w:rPr>
          <w:spacing w:val="-5"/>
          <w:sz w:val="20"/>
        </w:rPr>
        <w:t> </w:t>
      </w:r>
      <w:r>
        <w:rPr>
          <w:spacing w:val="-2"/>
          <w:sz w:val="20"/>
        </w:rPr>
        <w:t>deroga.</w:t>
      </w:r>
    </w:p>
    <w:p>
      <w:pPr>
        <w:spacing w:before="1"/>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i/>
          <w:sz w:val="16"/>
        </w:rPr>
        <w:sectPr>
          <w:type w:val="continuous"/>
          <w:pgSz w:w="12240" w:h="15840"/>
          <w:pgMar w:header="724" w:footer="712" w:top="1880" w:bottom="900" w:left="1080" w:right="1080"/>
        </w:sectPr>
      </w:pPr>
    </w:p>
    <w:p>
      <w:pPr>
        <w:pStyle w:val="BodyText"/>
        <w:spacing w:before="63"/>
        <w:rPr>
          <w:rFonts w:ascii="Times New Roman"/>
          <w:i/>
        </w:rPr>
      </w:pPr>
    </w:p>
    <w:p>
      <w:pPr>
        <w:spacing w:before="0"/>
        <w:ind w:left="626" w:right="0" w:firstLine="0"/>
        <w:jc w:val="left"/>
        <w:rPr>
          <w:sz w:val="20"/>
        </w:rPr>
      </w:pPr>
      <w:bookmarkStart w:name="Artículo_630" w:id="791"/>
      <w:bookmarkEnd w:id="791"/>
      <w:r>
        <w:rPr/>
      </w:r>
      <w:r>
        <w:rPr>
          <w:rFonts w:ascii="Arial" w:hAnsi="Arial"/>
          <w:b/>
          <w:sz w:val="20"/>
        </w:rPr>
        <w:t>Artículo</w:t>
      </w:r>
      <w:r>
        <w:rPr>
          <w:rFonts w:ascii="Arial" w:hAnsi="Arial"/>
          <w:b/>
          <w:spacing w:val="-6"/>
          <w:sz w:val="20"/>
        </w:rPr>
        <w:t> </w:t>
      </w:r>
      <w:r>
        <w:rPr>
          <w:rFonts w:ascii="Arial" w:hAnsi="Arial"/>
          <w:b/>
          <w:sz w:val="20"/>
        </w:rPr>
        <w:t>630.-</w:t>
      </w:r>
      <w:r>
        <w:rPr>
          <w:rFonts w:ascii="Arial" w:hAnsi="Arial"/>
          <w:b/>
          <w:spacing w:val="-4"/>
          <w:sz w:val="20"/>
        </w:rPr>
        <w:t> </w:t>
      </w:r>
      <w:r>
        <w:rPr>
          <w:sz w:val="20"/>
        </w:rPr>
        <w:t>Se</w:t>
      </w:r>
      <w:r>
        <w:rPr>
          <w:spacing w:val="-5"/>
          <w:sz w:val="20"/>
        </w:rPr>
        <w:t> </w:t>
      </w:r>
      <w:r>
        <w:rPr>
          <w:spacing w:val="-2"/>
          <w:sz w:val="20"/>
        </w:rPr>
        <w:t>deroga.</w:t>
      </w:r>
    </w:p>
    <w:p>
      <w:pPr>
        <w:spacing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line="229" w:lineRule="exact" w:before="1"/>
        <w:ind w:left="626" w:right="0" w:firstLine="0"/>
        <w:jc w:val="left"/>
        <w:rPr>
          <w:sz w:val="20"/>
        </w:rPr>
      </w:pPr>
      <w:bookmarkStart w:name="Artículo_631" w:id="792"/>
      <w:bookmarkEnd w:id="792"/>
      <w:r>
        <w:rPr/>
      </w:r>
      <w:r>
        <w:rPr>
          <w:rFonts w:ascii="Arial" w:hAnsi="Arial"/>
          <w:b/>
          <w:sz w:val="20"/>
        </w:rPr>
        <w:t>Artículo</w:t>
      </w:r>
      <w:r>
        <w:rPr>
          <w:rFonts w:ascii="Arial" w:hAnsi="Arial"/>
          <w:b/>
          <w:spacing w:val="-6"/>
          <w:sz w:val="20"/>
        </w:rPr>
        <w:t> </w:t>
      </w:r>
      <w:r>
        <w:rPr>
          <w:rFonts w:ascii="Arial" w:hAnsi="Arial"/>
          <w:b/>
          <w:sz w:val="20"/>
        </w:rPr>
        <w:t>631.-</w:t>
      </w:r>
      <w:r>
        <w:rPr>
          <w:rFonts w:ascii="Arial" w:hAnsi="Arial"/>
          <w:b/>
          <w:spacing w:val="-4"/>
          <w:sz w:val="20"/>
        </w:rPr>
        <w:t> </w:t>
      </w:r>
      <w:r>
        <w:rPr>
          <w:sz w:val="20"/>
        </w:rPr>
        <w:t>Se</w:t>
      </w:r>
      <w:r>
        <w:rPr>
          <w:spacing w:val="-5"/>
          <w:sz w:val="20"/>
        </w:rPr>
        <w:t> </w:t>
      </w:r>
      <w:r>
        <w:rPr>
          <w:spacing w:val="-2"/>
          <w:sz w:val="20"/>
        </w:rPr>
        <w:t>deroga.</w:t>
      </w:r>
    </w:p>
    <w:p>
      <w:pPr>
        <w:spacing w:line="183" w:lineRule="exact"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0"/>
        <w:ind w:left="626" w:right="0" w:firstLine="0"/>
        <w:jc w:val="left"/>
        <w:rPr>
          <w:sz w:val="20"/>
        </w:rPr>
      </w:pPr>
      <w:bookmarkStart w:name="Artículo_632" w:id="793"/>
      <w:bookmarkEnd w:id="793"/>
      <w:r>
        <w:rPr/>
      </w:r>
      <w:r>
        <w:rPr>
          <w:rFonts w:ascii="Arial" w:hAnsi="Arial"/>
          <w:b/>
          <w:sz w:val="20"/>
        </w:rPr>
        <w:t>Artículo</w:t>
      </w:r>
      <w:r>
        <w:rPr>
          <w:rFonts w:ascii="Arial" w:hAnsi="Arial"/>
          <w:b/>
          <w:spacing w:val="-6"/>
          <w:sz w:val="20"/>
        </w:rPr>
        <w:t> </w:t>
      </w:r>
      <w:r>
        <w:rPr>
          <w:rFonts w:ascii="Arial" w:hAnsi="Arial"/>
          <w:b/>
          <w:sz w:val="20"/>
        </w:rPr>
        <w:t>632.-</w:t>
      </w:r>
      <w:r>
        <w:rPr>
          <w:rFonts w:ascii="Arial" w:hAnsi="Arial"/>
          <w:b/>
          <w:spacing w:val="-4"/>
          <w:sz w:val="20"/>
        </w:rPr>
        <w:t> </w:t>
      </w:r>
      <w:r>
        <w:rPr>
          <w:sz w:val="20"/>
        </w:rPr>
        <w:t>Se</w:t>
      </w:r>
      <w:r>
        <w:rPr>
          <w:spacing w:val="-5"/>
          <w:sz w:val="20"/>
        </w:rPr>
        <w:t> </w:t>
      </w:r>
      <w:r>
        <w:rPr>
          <w:spacing w:val="-2"/>
          <w:sz w:val="20"/>
        </w:rPr>
        <w:t>deroga.</w:t>
      </w:r>
    </w:p>
    <w:p>
      <w:pPr>
        <w:spacing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626" w:right="0" w:firstLine="0"/>
        <w:jc w:val="left"/>
        <w:rPr>
          <w:sz w:val="20"/>
        </w:rPr>
      </w:pPr>
      <w:bookmarkStart w:name="Artículo_633" w:id="794"/>
      <w:bookmarkEnd w:id="794"/>
      <w:r>
        <w:rPr/>
      </w:r>
      <w:r>
        <w:rPr>
          <w:rFonts w:ascii="Arial" w:hAnsi="Arial"/>
          <w:b/>
          <w:sz w:val="20"/>
        </w:rPr>
        <w:t>Artículo</w:t>
      </w:r>
      <w:r>
        <w:rPr>
          <w:rFonts w:ascii="Arial" w:hAnsi="Arial"/>
          <w:b/>
          <w:spacing w:val="-6"/>
          <w:sz w:val="20"/>
        </w:rPr>
        <w:t> </w:t>
      </w:r>
      <w:r>
        <w:rPr>
          <w:rFonts w:ascii="Arial" w:hAnsi="Arial"/>
          <w:b/>
          <w:sz w:val="20"/>
        </w:rPr>
        <w:t>633.-</w:t>
      </w:r>
      <w:r>
        <w:rPr>
          <w:rFonts w:ascii="Arial" w:hAnsi="Arial"/>
          <w:b/>
          <w:spacing w:val="-4"/>
          <w:sz w:val="20"/>
        </w:rPr>
        <w:t> </w:t>
      </w:r>
      <w:r>
        <w:rPr>
          <w:sz w:val="20"/>
        </w:rPr>
        <w:t>Se</w:t>
      </w:r>
      <w:r>
        <w:rPr>
          <w:spacing w:val="-5"/>
          <w:sz w:val="20"/>
        </w:rPr>
        <w:t> </w:t>
      </w:r>
      <w:r>
        <w:rPr>
          <w:spacing w:val="-2"/>
          <w:sz w:val="20"/>
        </w:rPr>
        <w:t>deroga.</w:t>
      </w:r>
    </w:p>
    <w:p>
      <w:pPr>
        <w:spacing w:before="0"/>
        <w:ind w:left="46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2"/>
        <w:rPr>
          <w:rFonts w:ascii="Times New Roman"/>
          <w:i/>
        </w:rPr>
      </w:pPr>
    </w:p>
    <w:p>
      <w:pPr>
        <w:spacing w:line="229" w:lineRule="exact" w:before="0"/>
        <w:ind w:left="626" w:right="0" w:firstLine="0"/>
        <w:jc w:val="left"/>
        <w:rPr>
          <w:sz w:val="20"/>
        </w:rPr>
      </w:pPr>
      <w:bookmarkStart w:name="Artículo_634" w:id="795"/>
      <w:bookmarkEnd w:id="795"/>
      <w:r>
        <w:rPr/>
      </w:r>
      <w:r>
        <w:rPr>
          <w:rFonts w:ascii="Arial" w:hAnsi="Arial"/>
          <w:b/>
          <w:sz w:val="20"/>
        </w:rPr>
        <w:t>Artículo</w:t>
      </w:r>
      <w:r>
        <w:rPr>
          <w:rFonts w:ascii="Arial" w:hAnsi="Arial"/>
          <w:b/>
          <w:spacing w:val="-6"/>
          <w:sz w:val="20"/>
        </w:rPr>
        <w:t> </w:t>
      </w:r>
      <w:r>
        <w:rPr>
          <w:rFonts w:ascii="Arial" w:hAnsi="Arial"/>
          <w:b/>
          <w:sz w:val="20"/>
        </w:rPr>
        <w:t>634.-</w:t>
      </w:r>
      <w:r>
        <w:rPr>
          <w:rFonts w:ascii="Arial" w:hAnsi="Arial"/>
          <w:b/>
          <w:spacing w:val="-4"/>
          <w:sz w:val="20"/>
        </w:rPr>
        <w:t> </w:t>
      </w:r>
      <w:r>
        <w:rPr>
          <w:sz w:val="20"/>
        </w:rPr>
        <w:t>Se</w:t>
      </w:r>
      <w:r>
        <w:rPr>
          <w:spacing w:val="-5"/>
          <w:sz w:val="20"/>
        </w:rPr>
        <w:t> </w:t>
      </w:r>
      <w:r>
        <w:rPr>
          <w:spacing w:val="-2"/>
          <w:sz w:val="20"/>
        </w:rPr>
        <w:t>deroga.</w:t>
      </w:r>
    </w:p>
    <w:p>
      <w:pPr>
        <w:spacing w:line="183" w:lineRule="exact"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0"/>
        <w:ind w:left="626" w:right="0" w:firstLine="0"/>
        <w:jc w:val="left"/>
        <w:rPr>
          <w:sz w:val="20"/>
        </w:rPr>
      </w:pPr>
      <w:bookmarkStart w:name="Artículo_635" w:id="796"/>
      <w:bookmarkEnd w:id="796"/>
      <w:r>
        <w:rPr/>
      </w:r>
      <w:r>
        <w:rPr>
          <w:rFonts w:ascii="Arial" w:hAnsi="Arial"/>
          <w:b/>
          <w:sz w:val="20"/>
        </w:rPr>
        <w:t>Artículo</w:t>
      </w:r>
      <w:r>
        <w:rPr>
          <w:rFonts w:ascii="Arial" w:hAnsi="Arial"/>
          <w:b/>
          <w:spacing w:val="-6"/>
          <w:sz w:val="20"/>
        </w:rPr>
        <w:t> </w:t>
      </w:r>
      <w:r>
        <w:rPr>
          <w:rFonts w:ascii="Arial" w:hAnsi="Arial"/>
          <w:b/>
          <w:sz w:val="20"/>
        </w:rPr>
        <w:t>635.-</w:t>
      </w:r>
      <w:r>
        <w:rPr>
          <w:rFonts w:ascii="Arial" w:hAnsi="Arial"/>
          <w:b/>
          <w:spacing w:val="-4"/>
          <w:sz w:val="20"/>
        </w:rPr>
        <w:t> </w:t>
      </w:r>
      <w:r>
        <w:rPr>
          <w:sz w:val="20"/>
        </w:rPr>
        <w:t>Se</w:t>
      </w:r>
      <w:r>
        <w:rPr>
          <w:spacing w:val="-5"/>
          <w:sz w:val="20"/>
        </w:rPr>
        <w:t> </w:t>
      </w:r>
      <w:r>
        <w:rPr>
          <w:spacing w:val="-2"/>
          <w:sz w:val="20"/>
        </w:rPr>
        <w:t>deroga.</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626" w:right="0" w:firstLine="0"/>
        <w:jc w:val="left"/>
        <w:rPr>
          <w:sz w:val="20"/>
        </w:rPr>
      </w:pPr>
      <w:bookmarkStart w:name="Artículo_636" w:id="797"/>
      <w:bookmarkEnd w:id="797"/>
      <w:r>
        <w:rPr/>
      </w:r>
      <w:r>
        <w:rPr>
          <w:rFonts w:ascii="Arial" w:hAnsi="Arial"/>
          <w:b/>
          <w:sz w:val="20"/>
        </w:rPr>
        <w:t>Artículo</w:t>
      </w:r>
      <w:r>
        <w:rPr>
          <w:rFonts w:ascii="Arial" w:hAnsi="Arial"/>
          <w:b/>
          <w:spacing w:val="-6"/>
          <w:sz w:val="20"/>
        </w:rPr>
        <w:t> </w:t>
      </w:r>
      <w:r>
        <w:rPr>
          <w:rFonts w:ascii="Arial" w:hAnsi="Arial"/>
          <w:b/>
          <w:sz w:val="20"/>
        </w:rPr>
        <w:t>636.-</w:t>
      </w:r>
      <w:r>
        <w:rPr>
          <w:rFonts w:ascii="Arial" w:hAnsi="Arial"/>
          <w:b/>
          <w:spacing w:val="-4"/>
          <w:sz w:val="20"/>
        </w:rPr>
        <w:t> </w:t>
      </w: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line="229" w:lineRule="exact" w:before="0"/>
        <w:ind w:left="626" w:right="0" w:firstLine="0"/>
        <w:jc w:val="left"/>
        <w:rPr>
          <w:sz w:val="20"/>
        </w:rPr>
      </w:pPr>
      <w:bookmarkStart w:name="Artículo_637" w:id="798"/>
      <w:bookmarkEnd w:id="798"/>
      <w:r>
        <w:rPr/>
      </w:r>
      <w:r>
        <w:rPr>
          <w:rFonts w:ascii="Arial" w:hAnsi="Arial"/>
          <w:b/>
          <w:sz w:val="20"/>
        </w:rPr>
        <w:t>Artículo</w:t>
      </w:r>
      <w:r>
        <w:rPr>
          <w:rFonts w:ascii="Arial" w:hAnsi="Arial"/>
          <w:b/>
          <w:spacing w:val="-6"/>
          <w:sz w:val="20"/>
        </w:rPr>
        <w:t> </w:t>
      </w:r>
      <w:r>
        <w:rPr>
          <w:rFonts w:ascii="Arial" w:hAnsi="Arial"/>
          <w:b/>
          <w:sz w:val="20"/>
        </w:rPr>
        <w:t>637.-</w:t>
      </w:r>
      <w:r>
        <w:rPr>
          <w:rFonts w:ascii="Arial" w:hAnsi="Arial"/>
          <w:b/>
          <w:spacing w:val="-4"/>
          <w:sz w:val="20"/>
        </w:rPr>
        <w:t> </w:t>
      </w:r>
      <w:r>
        <w:rPr>
          <w:sz w:val="20"/>
        </w:rPr>
        <w:t>Se</w:t>
      </w:r>
      <w:r>
        <w:rPr>
          <w:spacing w:val="-5"/>
          <w:sz w:val="20"/>
        </w:rPr>
        <w:t> </w:t>
      </w:r>
      <w:r>
        <w:rPr>
          <w:spacing w:val="-2"/>
          <w:sz w:val="20"/>
        </w:rPr>
        <w:t>deroga.</w:t>
      </w:r>
    </w:p>
    <w:p>
      <w:pPr>
        <w:spacing w:line="183" w:lineRule="exact" w:before="0"/>
        <w:ind w:left="380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1"/>
        <w:ind w:left="626" w:right="0" w:firstLine="0"/>
        <w:jc w:val="left"/>
        <w:rPr>
          <w:sz w:val="20"/>
        </w:rPr>
      </w:pPr>
      <w:bookmarkStart w:name="Artículo_638" w:id="799"/>
      <w:bookmarkEnd w:id="799"/>
      <w:r>
        <w:rPr/>
      </w:r>
      <w:r>
        <w:rPr>
          <w:rFonts w:ascii="Arial" w:hAnsi="Arial"/>
          <w:b/>
          <w:sz w:val="20"/>
        </w:rPr>
        <w:t>Artículo</w:t>
      </w:r>
      <w:r>
        <w:rPr>
          <w:rFonts w:ascii="Arial" w:hAnsi="Arial"/>
          <w:b/>
          <w:spacing w:val="-6"/>
          <w:sz w:val="20"/>
        </w:rPr>
        <w:t> </w:t>
      </w:r>
      <w:r>
        <w:rPr>
          <w:rFonts w:ascii="Arial" w:hAnsi="Arial"/>
          <w:b/>
          <w:sz w:val="20"/>
        </w:rPr>
        <w:t>638.-</w:t>
      </w:r>
      <w:r>
        <w:rPr>
          <w:rFonts w:ascii="Arial" w:hAnsi="Arial"/>
          <w:b/>
          <w:spacing w:val="-4"/>
          <w:sz w:val="20"/>
        </w:rPr>
        <w:t> </w:t>
      </w: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626" w:right="0" w:firstLine="0"/>
        <w:jc w:val="left"/>
        <w:rPr>
          <w:sz w:val="20"/>
        </w:rPr>
      </w:pPr>
      <w:bookmarkStart w:name="Artículo_639" w:id="800"/>
      <w:bookmarkEnd w:id="800"/>
      <w:r>
        <w:rPr/>
      </w:r>
      <w:r>
        <w:rPr>
          <w:rFonts w:ascii="Arial" w:hAnsi="Arial"/>
          <w:b/>
          <w:sz w:val="20"/>
        </w:rPr>
        <w:t>Artículo</w:t>
      </w:r>
      <w:r>
        <w:rPr>
          <w:rFonts w:ascii="Arial" w:hAnsi="Arial"/>
          <w:b/>
          <w:spacing w:val="-6"/>
          <w:sz w:val="20"/>
        </w:rPr>
        <w:t> </w:t>
      </w:r>
      <w:r>
        <w:rPr>
          <w:rFonts w:ascii="Arial" w:hAnsi="Arial"/>
          <w:b/>
          <w:sz w:val="20"/>
        </w:rPr>
        <w:t>639.-</w:t>
      </w:r>
      <w:r>
        <w:rPr>
          <w:rFonts w:ascii="Arial" w:hAnsi="Arial"/>
          <w:b/>
          <w:spacing w:val="-4"/>
          <w:sz w:val="20"/>
        </w:rPr>
        <w:t> </w:t>
      </w: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2"/>
        <w:rPr>
          <w:rFonts w:ascii="Times New Roman"/>
          <w:i/>
        </w:rPr>
      </w:pPr>
    </w:p>
    <w:p>
      <w:pPr>
        <w:spacing w:line="229" w:lineRule="exact" w:before="0"/>
        <w:ind w:left="626" w:right="0" w:firstLine="0"/>
        <w:jc w:val="left"/>
        <w:rPr>
          <w:sz w:val="20"/>
        </w:rPr>
      </w:pPr>
      <w:bookmarkStart w:name="Artículo_640" w:id="801"/>
      <w:bookmarkEnd w:id="801"/>
      <w:r>
        <w:rPr/>
      </w:r>
      <w:r>
        <w:rPr>
          <w:rFonts w:ascii="Arial" w:hAnsi="Arial"/>
          <w:b/>
          <w:sz w:val="20"/>
        </w:rPr>
        <w:t>Artículo</w:t>
      </w:r>
      <w:r>
        <w:rPr>
          <w:rFonts w:ascii="Arial" w:hAnsi="Arial"/>
          <w:b/>
          <w:spacing w:val="-6"/>
          <w:sz w:val="20"/>
        </w:rPr>
        <w:t> </w:t>
      </w:r>
      <w:r>
        <w:rPr>
          <w:rFonts w:ascii="Arial" w:hAnsi="Arial"/>
          <w:b/>
          <w:sz w:val="20"/>
        </w:rPr>
        <w:t>640.-</w:t>
      </w:r>
      <w:r>
        <w:rPr>
          <w:rFonts w:ascii="Arial" w:hAnsi="Arial"/>
          <w:b/>
          <w:spacing w:val="-4"/>
          <w:sz w:val="20"/>
        </w:rPr>
        <w:t> </w:t>
      </w:r>
      <w:r>
        <w:rPr>
          <w:sz w:val="20"/>
        </w:rPr>
        <w:t>Se</w:t>
      </w:r>
      <w:r>
        <w:rPr>
          <w:spacing w:val="-5"/>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0"/>
        <w:ind w:left="626" w:right="0" w:firstLine="0"/>
        <w:jc w:val="left"/>
        <w:rPr>
          <w:sz w:val="20"/>
        </w:rPr>
      </w:pPr>
      <w:bookmarkStart w:name="Artículo_641" w:id="802"/>
      <w:bookmarkEnd w:id="802"/>
      <w:r>
        <w:rPr/>
      </w:r>
      <w:r>
        <w:rPr>
          <w:rFonts w:ascii="Arial" w:hAnsi="Arial"/>
          <w:b/>
          <w:sz w:val="20"/>
        </w:rPr>
        <w:t>Artículo</w:t>
      </w:r>
      <w:r>
        <w:rPr>
          <w:rFonts w:ascii="Arial" w:hAnsi="Arial"/>
          <w:b/>
          <w:spacing w:val="-6"/>
          <w:sz w:val="20"/>
        </w:rPr>
        <w:t> </w:t>
      </w:r>
      <w:r>
        <w:rPr>
          <w:rFonts w:ascii="Arial" w:hAnsi="Arial"/>
          <w:b/>
          <w:sz w:val="20"/>
        </w:rPr>
        <w:t>641.-</w:t>
      </w:r>
      <w:r>
        <w:rPr>
          <w:rFonts w:ascii="Arial" w:hAnsi="Arial"/>
          <w:b/>
          <w:spacing w:val="-4"/>
          <w:sz w:val="20"/>
        </w:rPr>
        <w:t> </w:t>
      </w:r>
      <w:r>
        <w:rPr>
          <w:sz w:val="20"/>
        </w:rPr>
        <w:t>Se</w:t>
      </w:r>
      <w:r>
        <w:rPr>
          <w:spacing w:val="-5"/>
          <w:sz w:val="20"/>
        </w:rPr>
        <w:t> </w:t>
      </w:r>
      <w:r>
        <w:rPr>
          <w:spacing w:val="-2"/>
          <w:sz w:val="20"/>
        </w:rPr>
        <w:t>deroga.</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626" w:right="0" w:firstLine="0"/>
        <w:jc w:val="left"/>
        <w:rPr>
          <w:sz w:val="20"/>
        </w:rPr>
      </w:pPr>
      <w:bookmarkStart w:name="Artículo_641_A" w:id="803"/>
      <w:bookmarkEnd w:id="803"/>
      <w:r>
        <w:rPr/>
      </w:r>
      <w:r>
        <w:rPr>
          <w:rFonts w:ascii="Arial" w:hAnsi="Arial"/>
          <w:b/>
          <w:sz w:val="20"/>
        </w:rPr>
        <w:t>Artículo</w:t>
      </w:r>
      <w:r>
        <w:rPr>
          <w:rFonts w:ascii="Arial" w:hAnsi="Arial"/>
          <w:b/>
          <w:spacing w:val="-8"/>
          <w:sz w:val="20"/>
        </w:rPr>
        <w:t> </w:t>
      </w:r>
      <w:r>
        <w:rPr>
          <w:rFonts w:ascii="Arial" w:hAnsi="Arial"/>
          <w:b/>
          <w:sz w:val="20"/>
        </w:rPr>
        <w:t>641-A.</w:t>
      </w:r>
      <w:r>
        <w:rPr>
          <w:rFonts w:ascii="Arial" w:hAnsi="Arial"/>
          <w:b/>
          <w:spacing w:val="-7"/>
          <w:sz w:val="20"/>
        </w:rPr>
        <w:t> </w:t>
      </w:r>
      <w:r>
        <w:rPr>
          <w:sz w:val="20"/>
        </w:rPr>
        <w:t>Son</w:t>
      </w:r>
      <w:r>
        <w:rPr>
          <w:spacing w:val="-8"/>
          <w:sz w:val="20"/>
        </w:rPr>
        <w:t> </w:t>
      </w:r>
      <w:r>
        <w:rPr>
          <w:sz w:val="20"/>
        </w:rPr>
        <w:t>faltas</w:t>
      </w:r>
      <w:r>
        <w:rPr>
          <w:spacing w:val="-6"/>
          <w:sz w:val="20"/>
        </w:rPr>
        <w:t> </w:t>
      </w:r>
      <w:r>
        <w:rPr>
          <w:sz w:val="20"/>
        </w:rPr>
        <w:t>especiales</w:t>
      </w:r>
      <w:r>
        <w:rPr>
          <w:spacing w:val="-7"/>
          <w:sz w:val="20"/>
        </w:rPr>
        <w:t> </w:t>
      </w:r>
      <w:r>
        <w:rPr>
          <w:sz w:val="20"/>
        </w:rPr>
        <w:t>de</w:t>
      </w:r>
      <w:r>
        <w:rPr>
          <w:spacing w:val="-8"/>
          <w:sz w:val="20"/>
        </w:rPr>
        <w:t> </w:t>
      </w:r>
      <w:r>
        <w:rPr>
          <w:sz w:val="20"/>
        </w:rPr>
        <w:t>los</w:t>
      </w:r>
      <w:r>
        <w:rPr>
          <w:spacing w:val="-8"/>
          <w:sz w:val="20"/>
        </w:rPr>
        <w:t> </w:t>
      </w:r>
      <w:r>
        <w:rPr>
          <w:sz w:val="20"/>
        </w:rPr>
        <w:t>funcionarios</w:t>
      </w:r>
      <w:r>
        <w:rPr>
          <w:spacing w:val="-7"/>
          <w:sz w:val="20"/>
        </w:rPr>
        <w:t> </w:t>
      </w:r>
      <w:r>
        <w:rPr>
          <w:spacing w:val="-2"/>
          <w:sz w:val="20"/>
        </w:rPr>
        <w:t>conciliadores:</w:t>
      </w:r>
    </w:p>
    <w:p>
      <w:pPr>
        <w:pStyle w:val="BodyText"/>
      </w:pPr>
    </w:p>
    <w:p>
      <w:pPr>
        <w:pStyle w:val="ListParagraph"/>
        <w:numPr>
          <w:ilvl w:val="0"/>
          <w:numId w:val="262"/>
        </w:numPr>
        <w:tabs>
          <w:tab w:pos="1193" w:val="left" w:leader="none"/>
          <w:tab w:pos="1195" w:val="left" w:leader="none"/>
        </w:tabs>
        <w:spacing w:line="242" w:lineRule="auto" w:before="0" w:after="0"/>
        <w:ind w:left="1195" w:right="346" w:hanging="569"/>
        <w:jc w:val="both"/>
        <w:rPr>
          <w:sz w:val="20"/>
        </w:rPr>
      </w:pPr>
      <w:r>
        <w:rPr>
          <w:sz w:val="20"/>
        </w:rPr>
        <w:t>Conocer de un negocio para el que se encuentren impedidos de conformidad con las disposiciones de esta Ley;</w:t>
      </w:r>
    </w:p>
    <w:p>
      <w:pPr>
        <w:pStyle w:val="ListParagraph"/>
        <w:numPr>
          <w:ilvl w:val="0"/>
          <w:numId w:val="262"/>
        </w:numPr>
        <w:tabs>
          <w:tab w:pos="1192" w:val="left" w:leader="none"/>
          <w:tab w:pos="1195" w:val="left" w:leader="none"/>
        </w:tabs>
        <w:spacing w:line="242" w:lineRule="auto" w:before="225" w:after="0"/>
        <w:ind w:left="1195" w:right="345" w:hanging="569"/>
        <w:jc w:val="both"/>
        <w:rPr>
          <w:sz w:val="20"/>
        </w:rPr>
      </w:pPr>
      <w:r>
        <w:rPr>
          <w:sz w:val="20"/>
        </w:rPr>
        <w:t>No estar presentes en las audiencias de conciliación que se les asignen o en cualquier etapa</w:t>
      </w:r>
      <w:r>
        <w:rPr>
          <w:spacing w:val="40"/>
          <w:sz w:val="20"/>
        </w:rPr>
        <w:t> </w:t>
      </w:r>
      <w:r>
        <w:rPr>
          <w:sz w:val="20"/>
        </w:rPr>
        <w:t>del juicio, cuando la Junta o cualquiera de sus integrantes consideren necesaria la función conciliatoria, salvo causa justificada;</w:t>
      </w:r>
    </w:p>
    <w:p>
      <w:pPr>
        <w:pStyle w:val="ListParagraph"/>
        <w:numPr>
          <w:ilvl w:val="0"/>
          <w:numId w:val="262"/>
        </w:numPr>
        <w:tabs>
          <w:tab w:pos="1195" w:val="left" w:leader="none"/>
        </w:tabs>
        <w:spacing w:line="240" w:lineRule="auto" w:before="225" w:after="0"/>
        <w:ind w:left="1195" w:right="0" w:hanging="569"/>
        <w:jc w:val="left"/>
        <w:rPr>
          <w:sz w:val="20"/>
        </w:rPr>
      </w:pPr>
      <w:r>
        <w:rPr>
          <w:sz w:val="20"/>
        </w:rPr>
        <w:t>No</w:t>
      </w:r>
      <w:r>
        <w:rPr>
          <w:spacing w:val="-7"/>
          <w:sz w:val="20"/>
        </w:rPr>
        <w:t> </w:t>
      </w:r>
      <w:r>
        <w:rPr>
          <w:sz w:val="20"/>
        </w:rPr>
        <w:t>atender</w:t>
      </w:r>
      <w:r>
        <w:rPr>
          <w:spacing w:val="-6"/>
          <w:sz w:val="20"/>
        </w:rPr>
        <w:t> </w:t>
      </w:r>
      <w:r>
        <w:rPr>
          <w:sz w:val="20"/>
        </w:rPr>
        <w:t>a</w:t>
      </w:r>
      <w:r>
        <w:rPr>
          <w:spacing w:val="-5"/>
          <w:sz w:val="20"/>
        </w:rPr>
        <w:t> </w:t>
      </w:r>
      <w:r>
        <w:rPr>
          <w:sz w:val="20"/>
        </w:rPr>
        <w:t>las</w:t>
      </w:r>
      <w:r>
        <w:rPr>
          <w:spacing w:val="-6"/>
          <w:sz w:val="20"/>
        </w:rPr>
        <w:t> </w:t>
      </w:r>
      <w:r>
        <w:rPr>
          <w:sz w:val="20"/>
        </w:rPr>
        <w:t>partes</w:t>
      </w:r>
      <w:r>
        <w:rPr>
          <w:spacing w:val="-5"/>
          <w:sz w:val="20"/>
        </w:rPr>
        <w:t> </w:t>
      </w:r>
      <w:r>
        <w:rPr>
          <w:sz w:val="20"/>
        </w:rPr>
        <w:t>oportunamente</w:t>
      </w:r>
      <w:r>
        <w:rPr>
          <w:spacing w:val="-3"/>
          <w:sz w:val="20"/>
        </w:rPr>
        <w:t> </w:t>
      </w:r>
      <w:r>
        <w:rPr>
          <w:sz w:val="20"/>
        </w:rPr>
        <w:t>y</w:t>
      </w:r>
      <w:r>
        <w:rPr>
          <w:spacing w:val="-9"/>
          <w:sz w:val="20"/>
        </w:rPr>
        <w:t> </w:t>
      </w:r>
      <w:r>
        <w:rPr>
          <w:sz w:val="20"/>
        </w:rPr>
        <w:t>con</w:t>
      </w:r>
      <w:r>
        <w:rPr>
          <w:spacing w:val="-6"/>
          <w:sz w:val="20"/>
        </w:rPr>
        <w:t> </w:t>
      </w:r>
      <w:r>
        <w:rPr>
          <w:sz w:val="20"/>
        </w:rPr>
        <w:t>la</w:t>
      </w:r>
      <w:r>
        <w:rPr>
          <w:spacing w:val="-5"/>
          <w:sz w:val="20"/>
        </w:rPr>
        <w:t> </w:t>
      </w:r>
      <w:r>
        <w:rPr>
          <w:sz w:val="20"/>
        </w:rPr>
        <w:t>debida</w:t>
      </w:r>
      <w:r>
        <w:rPr>
          <w:spacing w:val="-6"/>
          <w:sz w:val="20"/>
        </w:rPr>
        <w:t> </w:t>
      </w:r>
      <w:r>
        <w:rPr>
          <w:spacing w:val="-2"/>
          <w:sz w:val="20"/>
        </w:rPr>
        <w:t>consideración;</w:t>
      </w:r>
    </w:p>
    <w:p>
      <w:pPr>
        <w:pStyle w:val="ListParagraph"/>
        <w:numPr>
          <w:ilvl w:val="0"/>
          <w:numId w:val="262"/>
        </w:numPr>
        <w:tabs>
          <w:tab w:pos="1195" w:val="left" w:leader="none"/>
        </w:tabs>
        <w:spacing w:line="240" w:lineRule="auto" w:before="228" w:after="0"/>
        <w:ind w:left="1195" w:right="0" w:hanging="569"/>
        <w:jc w:val="left"/>
        <w:rPr>
          <w:sz w:val="20"/>
        </w:rPr>
      </w:pPr>
      <w:r>
        <w:rPr>
          <w:sz w:val="20"/>
        </w:rPr>
        <w:t>Retardar</w:t>
      </w:r>
      <w:r>
        <w:rPr>
          <w:spacing w:val="-6"/>
          <w:sz w:val="20"/>
        </w:rPr>
        <w:t> </w:t>
      </w:r>
      <w:r>
        <w:rPr>
          <w:sz w:val="20"/>
        </w:rPr>
        <w:t>la</w:t>
      </w:r>
      <w:r>
        <w:rPr>
          <w:spacing w:val="-8"/>
          <w:sz w:val="20"/>
        </w:rPr>
        <w:t> </w:t>
      </w:r>
      <w:r>
        <w:rPr>
          <w:sz w:val="20"/>
        </w:rPr>
        <w:t>conciliación</w:t>
      </w:r>
      <w:r>
        <w:rPr>
          <w:spacing w:val="-8"/>
          <w:sz w:val="20"/>
        </w:rPr>
        <w:t> </w:t>
      </w:r>
      <w:r>
        <w:rPr>
          <w:sz w:val="20"/>
        </w:rPr>
        <w:t>de</w:t>
      </w:r>
      <w:r>
        <w:rPr>
          <w:spacing w:val="-7"/>
          <w:sz w:val="20"/>
        </w:rPr>
        <w:t> </w:t>
      </w:r>
      <w:r>
        <w:rPr>
          <w:sz w:val="20"/>
        </w:rPr>
        <w:t>un</w:t>
      </w:r>
      <w:r>
        <w:rPr>
          <w:spacing w:val="-9"/>
          <w:sz w:val="20"/>
        </w:rPr>
        <w:t> </w:t>
      </w:r>
      <w:r>
        <w:rPr>
          <w:sz w:val="20"/>
        </w:rPr>
        <w:t>negocio</w:t>
      </w:r>
      <w:r>
        <w:rPr>
          <w:spacing w:val="-9"/>
          <w:sz w:val="20"/>
        </w:rPr>
        <w:t> </w:t>
      </w:r>
      <w:r>
        <w:rPr>
          <w:spacing w:val="-2"/>
          <w:sz w:val="20"/>
        </w:rPr>
        <w:t>injustificadamente;</w:t>
      </w:r>
    </w:p>
    <w:p>
      <w:pPr>
        <w:pStyle w:val="BodyText"/>
        <w:spacing w:before="1"/>
      </w:pPr>
    </w:p>
    <w:p>
      <w:pPr>
        <w:pStyle w:val="ListParagraph"/>
        <w:numPr>
          <w:ilvl w:val="0"/>
          <w:numId w:val="262"/>
        </w:numPr>
        <w:tabs>
          <w:tab w:pos="1195" w:val="left" w:leader="none"/>
        </w:tabs>
        <w:spacing w:line="242" w:lineRule="auto" w:before="0" w:after="0"/>
        <w:ind w:left="1195" w:right="344" w:hanging="569"/>
        <w:jc w:val="both"/>
        <w:rPr>
          <w:sz w:val="20"/>
        </w:rPr>
      </w:pPr>
      <w:r>
        <w:rPr>
          <w:sz w:val="20"/>
        </w:rPr>
        <w:t>No informar a las Juntas de Conciliación y Arbitraje a que se encuentren adscritos respecto de los resultados logrados en las audiencias de conciliación que se les encomienden, con la periodicidad que ellas determinen;</w:t>
      </w:r>
    </w:p>
    <w:p>
      <w:pPr>
        <w:pStyle w:val="ListParagraph"/>
        <w:numPr>
          <w:ilvl w:val="0"/>
          <w:numId w:val="262"/>
        </w:numPr>
        <w:tabs>
          <w:tab w:pos="1195" w:val="left" w:leader="none"/>
        </w:tabs>
        <w:spacing w:line="242" w:lineRule="auto" w:before="223" w:after="0"/>
        <w:ind w:left="1195" w:right="348" w:hanging="569"/>
        <w:jc w:val="both"/>
        <w:rPr>
          <w:sz w:val="20"/>
        </w:rPr>
      </w:pPr>
      <w:r>
        <w:rPr>
          <w:sz w:val="20"/>
        </w:rPr>
        <w:t>No dar cuenta a las Juntas de Conciliación y Arbitraje de su adscripción sobre los convenios a que hubieren llegado las partes para efectos de su aprobación, cuando proceda; y</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3"/>
      </w:pPr>
    </w:p>
    <w:p>
      <w:pPr>
        <w:pStyle w:val="ListParagraph"/>
        <w:numPr>
          <w:ilvl w:val="0"/>
          <w:numId w:val="262"/>
        </w:numPr>
        <w:tabs>
          <w:tab w:pos="1195" w:val="left" w:leader="none"/>
        </w:tabs>
        <w:spacing w:line="240" w:lineRule="auto" w:before="0" w:after="0"/>
        <w:ind w:left="1195" w:right="0" w:hanging="569"/>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establezcan</w:t>
      </w:r>
      <w:r>
        <w:rPr>
          <w:spacing w:val="-7"/>
          <w:sz w:val="20"/>
        </w:rPr>
        <w:t> </w:t>
      </w:r>
      <w:r>
        <w:rPr>
          <w:sz w:val="20"/>
        </w:rPr>
        <w:t>las</w:t>
      </w:r>
      <w:r>
        <w:rPr>
          <w:spacing w:val="-4"/>
          <w:sz w:val="20"/>
        </w:rPr>
        <w:t> </w:t>
      </w:r>
      <w:r>
        <w:rPr>
          <w:spacing w:val="-2"/>
          <w:sz w:val="20"/>
        </w:rPr>
        <w:t>Leyes.</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2"/>
        <w:rPr>
          <w:rFonts w:ascii="Times New Roman"/>
          <w:i/>
          <w:sz w:val="18"/>
        </w:rPr>
      </w:pPr>
      <w:r>
        <w:rPr>
          <w:rFonts w:ascii="Times New Roman"/>
          <w:i/>
          <w:sz w:val="18"/>
        </w:rPr>
        <mc:AlternateContent>
          <mc:Choice Requires="wps">
            <w:drawing>
              <wp:anchor distT="0" distB="0" distL="0" distR="0" allowOverlap="1" layoutInCell="1" locked="0" behindDoc="1" simplePos="0" relativeHeight="487588864">
                <wp:simplePos x="0" y="0"/>
                <wp:positionH relativeFrom="page">
                  <wp:posOffset>832408</wp:posOffset>
                </wp:positionH>
                <wp:positionV relativeFrom="paragraph">
                  <wp:posOffset>151685</wp:posOffset>
                </wp:positionV>
                <wp:extent cx="6062345" cy="137160"/>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6062345" cy="137160"/>
                        </a:xfrm>
                        <a:prstGeom prst="rect">
                          <a:avLst/>
                        </a:prstGeom>
                        <a:ln w="6095">
                          <a:solidFill>
                            <a:srgbClr val="000000"/>
                          </a:solidFill>
                          <a:prstDash val="solid"/>
                        </a:ln>
                      </wps:spPr>
                      <wps:txbx>
                        <w:txbxContent>
                          <w:p>
                            <w:pPr>
                              <w:spacing w:line="201" w:lineRule="exact" w:before="0"/>
                              <w:ind w:left="391" w:right="0" w:firstLine="0"/>
                              <w:jc w:val="left"/>
                              <w:rPr>
                                <w:sz w:val="18"/>
                              </w:rPr>
                            </w:pPr>
                            <w:r>
                              <w:rPr>
                                <w:rFonts w:ascii="Arial" w:hAnsi="Arial"/>
                                <w:b/>
                                <w:color w:val="CC3300"/>
                                <w:sz w:val="18"/>
                              </w:rPr>
                              <w:t>Nota:</w:t>
                            </w:r>
                            <w:r>
                              <w:rPr>
                                <w:rFonts w:ascii="Arial" w:hAnsi="Arial"/>
                                <w:b/>
                                <w:color w:val="CC3300"/>
                                <w:spacing w:val="-7"/>
                                <w:sz w:val="18"/>
                              </w:rPr>
                              <w:t> </w:t>
                            </w:r>
                            <w:r>
                              <w:rPr>
                                <w:sz w:val="18"/>
                              </w:rPr>
                              <w:t>El</w:t>
                            </w:r>
                            <w:r>
                              <w:rPr>
                                <w:spacing w:val="-6"/>
                                <w:sz w:val="18"/>
                              </w:rPr>
                              <w:t> </w:t>
                            </w:r>
                            <w:r>
                              <w:rPr>
                                <w:sz w:val="18"/>
                              </w:rPr>
                              <w:t>decreto</w:t>
                            </w:r>
                            <w:r>
                              <w:rPr>
                                <w:spacing w:val="-5"/>
                                <w:sz w:val="18"/>
                              </w:rPr>
                              <w:t> </w:t>
                            </w:r>
                            <w:r>
                              <w:rPr>
                                <w:sz w:val="18"/>
                              </w:rPr>
                              <w:t>de</w:t>
                            </w:r>
                            <w:r>
                              <w:rPr>
                                <w:spacing w:val="-5"/>
                                <w:sz w:val="18"/>
                              </w:rPr>
                              <w:t> </w:t>
                            </w:r>
                            <w:r>
                              <w:rPr>
                                <w:sz w:val="18"/>
                              </w:rPr>
                              <w:t>reforma</w:t>
                            </w:r>
                            <w:r>
                              <w:rPr>
                                <w:spacing w:val="-5"/>
                                <w:sz w:val="18"/>
                              </w:rPr>
                              <w:t> </w:t>
                            </w:r>
                            <w:r>
                              <w:rPr>
                                <w:sz w:val="18"/>
                              </w:rPr>
                              <w:t>DOF</w:t>
                            </w:r>
                            <w:r>
                              <w:rPr>
                                <w:spacing w:val="-5"/>
                                <w:sz w:val="18"/>
                              </w:rPr>
                              <w:t> </w:t>
                            </w:r>
                            <w:r>
                              <w:rPr>
                                <w:sz w:val="18"/>
                              </w:rPr>
                              <w:t>01-05-2019</w:t>
                            </w:r>
                            <w:r>
                              <w:rPr>
                                <w:spacing w:val="-7"/>
                                <w:sz w:val="18"/>
                              </w:rPr>
                              <w:t> </w:t>
                            </w:r>
                            <w:r>
                              <w:rPr>
                                <w:sz w:val="18"/>
                              </w:rPr>
                              <w:t>no</w:t>
                            </w:r>
                            <w:r>
                              <w:rPr>
                                <w:spacing w:val="-6"/>
                                <w:sz w:val="18"/>
                              </w:rPr>
                              <w:t> </w:t>
                            </w:r>
                            <w:r>
                              <w:rPr>
                                <w:sz w:val="18"/>
                              </w:rPr>
                              <w:t>derogó</w:t>
                            </w:r>
                            <w:r>
                              <w:rPr>
                                <w:spacing w:val="-5"/>
                                <w:sz w:val="18"/>
                              </w:rPr>
                              <w:t> </w:t>
                            </w:r>
                            <w:r>
                              <w:rPr>
                                <w:sz w:val="18"/>
                              </w:rPr>
                              <w:t>el</w:t>
                            </w:r>
                            <w:r>
                              <w:rPr>
                                <w:spacing w:val="-6"/>
                                <w:sz w:val="18"/>
                              </w:rPr>
                              <w:t> </w:t>
                            </w:r>
                            <w:r>
                              <w:rPr>
                                <w:sz w:val="18"/>
                              </w:rPr>
                              <w:t>artículo</w:t>
                            </w:r>
                            <w:r>
                              <w:rPr>
                                <w:spacing w:val="-5"/>
                                <w:sz w:val="18"/>
                              </w:rPr>
                              <w:t> </w:t>
                            </w:r>
                            <w:r>
                              <w:rPr>
                                <w:sz w:val="18"/>
                              </w:rPr>
                              <w:t>641-A</w:t>
                            </w:r>
                            <w:r>
                              <w:rPr>
                                <w:spacing w:val="-5"/>
                                <w:sz w:val="18"/>
                              </w:rPr>
                              <w:t> </w:t>
                            </w:r>
                            <w:r>
                              <w:rPr>
                                <w:sz w:val="18"/>
                              </w:rPr>
                              <w:t>de</w:t>
                            </w:r>
                            <w:r>
                              <w:rPr>
                                <w:spacing w:val="-7"/>
                                <w:sz w:val="18"/>
                              </w:rPr>
                              <w:t> </w:t>
                            </w:r>
                            <w:r>
                              <w:rPr>
                                <w:sz w:val="18"/>
                              </w:rPr>
                              <w:t>esta</w:t>
                            </w:r>
                            <w:r>
                              <w:rPr>
                                <w:spacing w:val="-6"/>
                                <w:sz w:val="18"/>
                              </w:rPr>
                              <w:t> </w:t>
                            </w:r>
                            <w:r>
                              <w:rPr>
                                <w:spacing w:val="-4"/>
                                <w:sz w:val="18"/>
                              </w:rPr>
                              <w:t>Ley.</w:t>
                            </w:r>
                          </w:p>
                        </w:txbxContent>
                      </wps:txbx>
                      <wps:bodyPr wrap="square" lIns="0" tIns="0" rIns="0" bIns="0" rtlCol="0">
                        <a:noAutofit/>
                      </wps:bodyPr>
                    </wps:wsp>
                  </a:graphicData>
                </a:graphic>
              </wp:anchor>
            </w:drawing>
          </mc:Choice>
          <mc:Fallback>
            <w:pict>
              <v:shape style="position:absolute;margin-left:65.543999pt;margin-top:11.943706pt;width:477.35pt;height:10.8pt;mso-position-horizontal-relative:page;mso-position-vertical-relative:paragraph;z-index:-15727616;mso-wrap-distance-left:0;mso-wrap-distance-right:0" type="#_x0000_t202" id="docshape8" filled="false" stroked="true" strokeweight=".47998pt" strokecolor="#000000">
                <v:textbox inset="0,0,0,0">
                  <w:txbxContent>
                    <w:p>
                      <w:pPr>
                        <w:spacing w:line="201" w:lineRule="exact" w:before="0"/>
                        <w:ind w:left="391" w:right="0" w:firstLine="0"/>
                        <w:jc w:val="left"/>
                        <w:rPr>
                          <w:sz w:val="18"/>
                        </w:rPr>
                      </w:pPr>
                      <w:r>
                        <w:rPr>
                          <w:rFonts w:ascii="Arial" w:hAnsi="Arial"/>
                          <w:b/>
                          <w:color w:val="CC3300"/>
                          <w:sz w:val="18"/>
                        </w:rPr>
                        <w:t>Nota:</w:t>
                      </w:r>
                      <w:r>
                        <w:rPr>
                          <w:rFonts w:ascii="Arial" w:hAnsi="Arial"/>
                          <w:b/>
                          <w:color w:val="CC3300"/>
                          <w:spacing w:val="-7"/>
                          <w:sz w:val="18"/>
                        </w:rPr>
                        <w:t> </w:t>
                      </w:r>
                      <w:r>
                        <w:rPr>
                          <w:sz w:val="18"/>
                        </w:rPr>
                        <w:t>El</w:t>
                      </w:r>
                      <w:r>
                        <w:rPr>
                          <w:spacing w:val="-6"/>
                          <w:sz w:val="18"/>
                        </w:rPr>
                        <w:t> </w:t>
                      </w:r>
                      <w:r>
                        <w:rPr>
                          <w:sz w:val="18"/>
                        </w:rPr>
                        <w:t>decreto</w:t>
                      </w:r>
                      <w:r>
                        <w:rPr>
                          <w:spacing w:val="-5"/>
                          <w:sz w:val="18"/>
                        </w:rPr>
                        <w:t> </w:t>
                      </w:r>
                      <w:r>
                        <w:rPr>
                          <w:sz w:val="18"/>
                        </w:rPr>
                        <w:t>de</w:t>
                      </w:r>
                      <w:r>
                        <w:rPr>
                          <w:spacing w:val="-5"/>
                          <w:sz w:val="18"/>
                        </w:rPr>
                        <w:t> </w:t>
                      </w:r>
                      <w:r>
                        <w:rPr>
                          <w:sz w:val="18"/>
                        </w:rPr>
                        <w:t>reforma</w:t>
                      </w:r>
                      <w:r>
                        <w:rPr>
                          <w:spacing w:val="-5"/>
                          <w:sz w:val="18"/>
                        </w:rPr>
                        <w:t> </w:t>
                      </w:r>
                      <w:r>
                        <w:rPr>
                          <w:sz w:val="18"/>
                        </w:rPr>
                        <w:t>DOF</w:t>
                      </w:r>
                      <w:r>
                        <w:rPr>
                          <w:spacing w:val="-5"/>
                          <w:sz w:val="18"/>
                        </w:rPr>
                        <w:t> </w:t>
                      </w:r>
                      <w:r>
                        <w:rPr>
                          <w:sz w:val="18"/>
                        </w:rPr>
                        <w:t>01-05-2019</w:t>
                      </w:r>
                      <w:r>
                        <w:rPr>
                          <w:spacing w:val="-7"/>
                          <w:sz w:val="18"/>
                        </w:rPr>
                        <w:t> </w:t>
                      </w:r>
                      <w:r>
                        <w:rPr>
                          <w:sz w:val="18"/>
                        </w:rPr>
                        <w:t>no</w:t>
                      </w:r>
                      <w:r>
                        <w:rPr>
                          <w:spacing w:val="-6"/>
                          <w:sz w:val="18"/>
                        </w:rPr>
                        <w:t> </w:t>
                      </w:r>
                      <w:r>
                        <w:rPr>
                          <w:sz w:val="18"/>
                        </w:rPr>
                        <w:t>derogó</w:t>
                      </w:r>
                      <w:r>
                        <w:rPr>
                          <w:spacing w:val="-5"/>
                          <w:sz w:val="18"/>
                        </w:rPr>
                        <w:t> </w:t>
                      </w:r>
                      <w:r>
                        <w:rPr>
                          <w:sz w:val="18"/>
                        </w:rPr>
                        <w:t>el</w:t>
                      </w:r>
                      <w:r>
                        <w:rPr>
                          <w:spacing w:val="-6"/>
                          <w:sz w:val="18"/>
                        </w:rPr>
                        <w:t> </w:t>
                      </w:r>
                      <w:r>
                        <w:rPr>
                          <w:sz w:val="18"/>
                        </w:rPr>
                        <w:t>artículo</w:t>
                      </w:r>
                      <w:r>
                        <w:rPr>
                          <w:spacing w:val="-5"/>
                          <w:sz w:val="18"/>
                        </w:rPr>
                        <w:t> </w:t>
                      </w:r>
                      <w:r>
                        <w:rPr>
                          <w:sz w:val="18"/>
                        </w:rPr>
                        <w:t>641-A</w:t>
                      </w:r>
                      <w:r>
                        <w:rPr>
                          <w:spacing w:val="-5"/>
                          <w:sz w:val="18"/>
                        </w:rPr>
                        <w:t> </w:t>
                      </w:r>
                      <w:r>
                        <w:rPr>
                          <w:sz w:val="18"/>
                        </w:rPr>
                        <w:t>de</w:t>
                      </w:r>
                      <w:r>
                        <w:rPr>
                          <w:spacing w:val="-7"/>
                          <w:sz w:val="18"/>
                        </w:rPr>
                        <w:t> </w:t>
                      </w:r>
                      <w:r>
                        <w:rPr>
                          <w:sz w:val="18"/>
                        </w:rPr>
                        <w:t>esta</w:t>
                      </w:r>
                      <w:r>
                        <w:rPr>
                          <w:spacing w:val="-6"/>
                          <w:sz w:val="18"/>
                        </w:rPr>
                        <w:t> </w:t>
                      </w:r>
                      <w:r>
                        <w:rPr>
                          <w:spacing w:val="-4"/>
                          <w:sz w:val="18"/>
                        </w:rPr>
                        <w:t>Ley.</w:t>
                      </w:r>
                    </w:p>
                  </w:txbxContent>
                </v:textbox>
                <v:stroke dashstyle="solid"/>
                <w10:wrap type="topAndBottom"/>
              </v:shape>
            </w:pict>
          </mc:Fallback>
        </mc:AlternateContent>
      </w:r>
    </w:p>
    <w:p>
      <w:pPr>
        <w:pStyle w:val="BodyText"/>
        <w:spacing w:before="2"/>
        <w:rPr>
          <w:rFonts w:ascii="Times New Roman"/>
          <w:i/>
        </w:rPr>
      </w:pPr>
    </w:p>
    <w:p>
      <w:pPr>
        <w:spacing w:before="0"/>
        <w:ind w:left="626" w:right="0" w:firstLine="0"/>
        <w:jc w:val="left"/>
        <w:rPr>
          <w:sz w:val="20"/>
        </w:rPr>
      </w:pPr>
      <w:bookmarkStart w:name="Artículo_642" w:id="804"/>
      <w:bookmarkEnd w:id="804"/>
      <w:r>
        <w:rPr/>
      </w:r>
      <w:r>
        <w:rPr>
          <w:rFonts w:ascii="Arial" w:hAnsi="Arial"/>
          <w:b/>
          <w:sz w:val="20"/>
        </w:rPr>
        <w:t>Artículo</w:t>
      </w:r>
      <w:r>
        <w:rPr>
          <w:rFonts w:ascii="Arial" w:hAnsi="Arial"/>
          <w:b/>
          <w:spacing w:val="-6"/>
          <w:sz w:val="20"/>
        </w:rPr>
        <w:t> </w:t>
      </w:r>
      <w:r>
        <w:rPr>
          <w:rFonts w:ascii="Arial" w:hAnsi="Arial"/>
          <w:b/>
          <w:sz w:val="20"/>
        </w:rPr>
        <w:t>642.-</w:t>
      </w:r>
      <w:r>
        <w:rPr>
          <w:rFonts w:ascii="Arial" w:hAnsi="Arial"/>
          <w:b/>
          <w:spacing w:val="-4"/>
          <w:sz w:val="20"/>
        </w:rPr>
        <w:t> </w:t>
      </w:r>
      <w:r>
        <w:rPr>
          <w:sz w:val="20"/>
        </w:rPr>
        <w:t>Se</w:t>
      </w:r>
      <w:r>
        <w:rPr>
          <w:spacing w:val="-5"/>
          <w:sz w:val="20"/>
        </w:rPr>
        <w:t> </w:t>
      </w:r>
      <w:r>
        <w:rPr>
          <w:spacing w:val="-2"/>
          <w:sz w:val="20"/>
        </w:rPr>
        <w:t>deroga.</w:t>
      </w:r>
    </w:p>
    <w:p>
      <w:pPr>
        <w:spacing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626" w:right="0" w:firstLine="0"/>
        <w:jc w:val="left"/>
        <w:rPr>
          <w:sz w:val="20"/>
        </w:rPr>
      </w:pPr>
      <w:bookmarkStart w:name="Artículo_643" w:id="805"/>
      <w:bookmarkEnd w:id="805"/>
      <w:r>
        <w:rPr/>
      </w:r>
      <w:r>
        <w:rPr>
          <w:rFonts w:ascii="Arial" w:hAnsi="Arial"/>
          <w:b/>
          <w:sz w:val="20"/>
        </w:rPr>
        <w:t>Artículo</w:t>
      </w:r>
      <w:r>
        <w:rPr>
          <w:rFonts w:ascii="Arial" w:hAnsi="Arial"/>
          <w:b/>
          <w:spacing w:val="-6"/>
          <w:sz w:val="20"/>
        </w:rPr>
        <w:t> </w:t>
      </w:r>
      <w:r>
        <w:rPr>
          <w:rFonts w:ascii="Arial" w:hAnsi="Arial"/>
          <w:b/>
          <w:sz w:val="20"/>
        </w:rPr>
        <w:t>643.-</w:t>
      </w:r>
      <w:r>
        <w:rPr>
          <w:rFonts w:ascii="Arial" w:hAnsi="Arial"/>
          <w:b/>
          <w:spacing w:val="-4"/>
          <w:sz w:val="20"/>
        </w:rPr>
        <w:t> </w:t>
      </w:r>
      <w:r>
        <w:rPr>
          <w:sz w:val="20"/>
        </w:rPr>
        <w:t>Se</w:t>
      </w:r>
      <w:r>
        <w:rPr>
          <w:spacing w:val="-5"/>
          <w:sz w:val="20"/>
        </w:rPr>
        <w:t> </w:t>
      </w:r>
      <w:r>
        <w:rPr>
          <w:spacing w:val="-2"/>
          <w:sz w:val="20"/>
        </w:rPr>
        <w:t>deroga.</w:t>
      </w:r>
    </w:p>
    <w:p>
      <w:pPr>
        <w:spacing w:before="1"/>
        <w:ind w:left="46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24-12-1974,</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line="229" w:lineRule="exact" w:before="0"/>
        <w:ind w:left="626" w:right="0" w:firstLine="0"/>
        <w:jc w:val="left"/>
        <w:rPr>
          <w:sz w:val="20"/>
        </w:rPr>
      </w:pPr>
      <w:bookmarkStart w:name="Artículo_644" w:id="806"/>
      <w:bookmarkEnd w:id="806"/>
      <w:r>
        <w:rPr/>
      </w:r>
      <w:r>
        <w:rPr>
          <w:rFonts w:ascii="Arial" w:hAnsi="Arial"/>
          <w:b/>
          <w:sz w:val="20"/>
        </w:rPr>
        <w:t>Artículo</w:t>
      </w:r>
      <w:r>
        <w:rPr>
          <w:rFonts w:ascii="Arial" w:hAnsi="Arial"/>
          <w:b/>
          <w:spacing w:val="-6"/>
          <w:sz w:val="20"/>
        </w:rPr>
        <w:t> </w:t>
      </w:r>
      <w:r>
        <w:rPr>
          <w:rFonts w:ascii="Arial" w:hAnsi="Arial"/>
          <w:b/>
          <w:sz w:val="20"/>
        </w:rPr>
        <w:t>644.-</w:t>
      </w:r>
      <w:r>
        <w:rPr>
          <w:rFonts w:ascii="Arial" w:hAnsi="Arial"/>
          <w:b/>
          <w:spacing w:val="-4"/>
          <w:sz w:val="20"/>
        </w:rPr>
        <w:t> </w:t>
      </w:r>
      <w:r>
        <w:rPr>
          <w:sz w:val="20"/>
        </w:rPr>
        <w:t>Se</w:t>
      </w:r>
      <w:r>
        <w:rPr>
          <w:spacing w:val="-5"/>
          <w:sz w:val="20"/>
        </w:rPr>
        <w:t> </w:t>
      </w:r>
      <w:r>
        <w:rPr>
          <w:spacing w:val="-2"/>
          <w:sz w:val="20"/>
        </w:rPr>
        <w:t>deroga.</w:t>
      </w:r>
    </w:p>
    <w:p>
      <w:pPr>
        <w:spacing w:line="183" w:lineRule="exact"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0"/>
        <w:ind w:left="626" w:right="0" w:firstLine="0"/>
        <w:jc w:val="left"/>
        <w:rPr>
          <w:sz w:val="20"/>
        </w:rPr>
      </w:pPr>
      <w:bookmarkStart w:name="Artículo_645" w:id="807"/>
      <w:bookmarkEnd w:id="807"/>
      <w:r>
        <w:rPr/>
      </w:r>
      <w:r>
        <w:rPr>
          <w:rFonts w:ascii="Arial" w:hAnsi="Arial"/>
          <w:b/>
          <w:sz w:val="20"/>
        </w:rPr>
        <w:t>Artículo</w:t>
      </w:r>
      <w:r>
        <w:rPr>
          <w:rFonts w:ascii="Arial" w:hAnsi="Arial"/>
          <w:b/>
          <w:spacing w:val="-6"/>
          <w:sz w:val="20"/>
        </w:rPr>
        <w:t> </w:t>
      </w:r>
      <w:r>
        <w:rPr>
          <w:rFonts w:ascii="Arial" w:hAnsi="Arial"/>
          <w:b/>
          <w:sz w:val="20"/>
        </w:rPr>
        <w:t>645.-</w:t>
      </w:r>
      <w:r>
        <w:rPr>
          <w:rFonts w:ascii="Arial" w:hAnsi="Arial"/>
          <w:b/>
          <w:spacing w:val="-4"/>
          <w:sz w:val="20"/>
        </w:rPr>
        <w:t> </w:t>
      </w:r>
      <w:r>
        <w:rPr>
          <w:sz w:val="20"/>
        </w:rPr>
        <w:t>Se</w:t>
      </w:r>
      <w:r>
        <w:rPr>
          <w:spacing w:val="-5"/>
          <w:sz w:val="20"/>
        </w:rPr>
        <w:t> </w:t>
      </w:r>
      <w:r>
        <w:rPr>
          <w:spacing w:val="-2"/>
          <w:sz w:val="20"/>
        </w:rPr>
        <w:t>deroga.</w:t>
      </w:r>
    </w:p>
    <w:p>
      <w:pPr>
        <w:spacing w:before="1"/>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626" w:right="0" w:firstLine="0"/>
        <w:jc w:val="left"/>
        <w:rPr>
          <w:sz w:val="20"/>
        </w:rPr>
      </w:pPr>
      <w:bookmarkStart w:name="Artículo_646" w:id="808"/>
      <w:bookmarkEnd w:id="808"/>
      <w:r>
        <w:rPr/>
      </w:r>
      <w:r>
        <w:rPr>
          <w:rFonts w:ascii="Arial" w:hAnsi="Arial"/>
          <w:b/>
          <w:sz w:val="20"/>
        </w:rPr>
        <w:t>Artículo</w:t>
      </w:r>
      <w:r>
        <w:rPr>
          <w:rFonts w:ascii="Arial" w:hAnsi="Arial"/>
          <w:b/>
          <w:spacing w:val="-6"/>
          <w:sz w:val="20"/>
        </w:rPr>
        <w:t> </w:t>
      </w:r>
      <w:r>
        <w:rPr>
          <w:rFonts w:ascii="Arial" w:hAnsi="Arial"/>
          <w:b/>
          <w:sz w:val="20"/>
        </w:rPr>
        <w:t>646.-</w:t>
      </w:r>
      <w:r>
        <w:rPr>
          <w:rFonts w:ascii="Arial" w:hAnsi="Arial"/>
          <w:b/>
          <w:spacing w:val="-4"/>
          <w:sz w:val="20"/>
        </w:rPr>
        <w:t> </w:t>
      </w:r>
      <w:r>
        <w:rPr>
          <w:sz w:val="20"/>
        </w:rPr>
        <w:t>Se</w:t>
      </w:r>
      <w:r>
        <w:rPr>
          <w:spacing w:val="-5"/>
          <w:sz w:val="20"/>
        </w:rPr>
        <w:t> </w:t>
      </w:r>
      <w:r>
        <w:rPr>
          <w:spacing w:val="-2"/>
          <w:sz w:val="20"/>
        </w:rPr>
        <w:t>deroga.</w:t>
      </w:r>
    </w:p>
    <w:p>
      <w:pPr>
        <w:spacing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pStyle w:val="BodyText"/>
        <w:spacing w:after="0"/>
        <w:rPr>
          <w:rFonts w:ascii="Times New Roman"/>
          <w:i/>
          <w:sz w:val="12"/>
        </w:rPr>
        <w:sectPr>
          <w:pgSz w:w="12240" w:h="15840"/>
          <w:pgMar w:header="724" w:footer="712" w:top="1880" w:bottom="900" w:left="1080" w:right="1080"/>
        </w:sectPr>
      </w:pPr>
    </w:p>
    <w:p>
      <w:pPr>
        <w:spacing w:before="93"/>
        <w:ind w:left="626" w:right="0" w:firstLine="0"/>
        <w:jc w:val="left"/>
        <w:rPr>
          <w:sz w:val="20"/>
        </w:rPr>
      </w:pPr>
      <w:bookmarkStart w:name="Artículo_647" w:id="809"/>
      <w:bookmarkEnd w:id="809"/>
      <w:r>
        <w:rPr/>
      </w:r>
      <w:r>
        <w:rPr>
          <w:rFonts w:ascii="Arial" w:hAnsi="Arial"/>
          <w:b/>
          <w:sz w:val="20"/>
        </w:rPr>
        <w:t>Artículo</w:t>
      </w:r>
      <w:r>
        <w:rPr>
          <w:rFonts w:ascii="Arial" w:hAnsi="Arial"/>
          <w:b/>
          <w:spacing w:val="-6"/>
          <w:sz w:val="20"/>
        </w:rPr>
        <w:t> </w:t>
      </w:r>
      <w:r>
        <w:rPr>
          <w:rFonts w:ascii="Arial" w:hAnsi="Arial"/>
          <w:b/>
          <w:sz w:val="20"/>
        </w:rPr>
        <w:t>647.-</w:t>
      </w:r>
      <w:r>
        <w:rPr>
          <w:rFonts w:ascii="Arial" w:hAnsi="Arial"/>
          <w:b/>
          <w:spacing w:val="-4"/>
          <w:sz w:val="20"/>
        </w:rPr>
        <w:t> </w:t>
      </w: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spacing w:before="1"/>
        <w:ind w:left="626" w:right="0"/>
        <w:jc w:val="left"/>
      </w:pPr>
      <w:r>
        <w:rPr/>
        <w:t>TITULO</w:t>
      </w:r>
      <w:r>
        <w:rPr>
          <w:spacing w:val="-6"/>
        </w:rPr>
        <w:t> </w:t>
      </w:r>
      <w:r>
        <w:rPr>
          <w:spacing w:val="-4"/>
        </w:rPr>
        <w:t>TRECE</w:t>
      </w:r>
    </w:p>
    <w:p>
      <w:pPr>
        <w:spacing w:line="240" w:lineRule="auto" w:before="137"/>
        <w:rPr>
          <w:rFonts w:ascii="Arial"/>
          <w:b/>
          <w:sz w:val="16"/>
        </w:rPr>
      </w:pPr>
      <w:r>
        <w:rPr/>
        <w:br w:type="column"/>
      </w:r>
      <w:r>
        <w:rPr>
          <w:rFonts w:ascii="Arial"/>
          <w:b/>
          <w:sz w:val="16"/>
        </w:rPr>
      </w:r>
    </w:p>
    <w:p>
      <w:pPr>
        <w:spacing w:before="0"/>
        <w:ind w:left="62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i/>
          <w:sz w:val="16"/>
        </w:rPr>
        <w:sectPr>
          <w:type w:val="continuous"/>
          <w:pgSz w:w="12240" w:h="15840"/>
          <w:pgMar w:header="724" w:footer="712" w:top="1880" w:bottom="900" w:left="1080" w:right="1080"/>
          <w:cols w:num="3" w:equalWidth="0">
            <w:col w:w="2966" w:space="646"/>
            <w:col w:w="2266" w:space="905"/>
            <w:col w:w="3297"/>
          </w:cols>
        </w:sectPr>
      </w:pPr>
    </w:p>
    <w:p>
      <w:pPr>
        <w:spacing w:line="252" w:lineRule="exact" w:before="0"/>
        <w:ind w:left="298" w:right="296" w:firstLine="0"/>
        <w:jc w:val="center"/>
        <w:rPr>
          <w:rFonts w:ascii="Arial"/>
          <w:b/>
          <w:sz w:val="22"/>
        </w:rPr>
      </w:pPr>
      <w:r>
        <w:rPr>
          <w:rFonts w:ascii="Arial"/>
          <w:b/>
          <w:sz w:val="22"/>
        </w:rPr>
        <w:t>Representantes</w:t>
      </w:r>
      <w:r>
        <w:rPr>
          <w:rFonts w:ascii="Arial"/>
          <w:b/>
          <w:spacing w:val="-6"/>
          <w:sz w:val="22"/>
        </w:rPr>
        <w:t> </w:t>
      </w:r>
      <w:r>
        <w:rPr>
          <w:rFonts w:ascii="Arial"/>
          <w:b/>
          <w:sz w:val="22"/>
        </w:rPr>
        <w:t>de</w:t>
      </w:r>
      <w:r>
        <w:rPr>
          <w:rFonts w:ascii="Arial"/>
          <w:b/>
          <w:spacing w:val="-5"/>
          <w:sz w:val="22"/>
        </w:rPr>
        <w:t> </w:t>
      </w:r>
      <w:r>
        <w:rPr>
          <w:rFonts w:ascii="Arial"/>
          <w:b/>
          <w:sz w:val="22"/>
        </w:rPr>
        <w:t>los</w:t>
      </w:r>
      <w:r>
        <w:rPr>
          <w:rFonts w:ascii="Arial"/>
          <w:b/>
          <w:spacing w:val="-6"/>
          <w:sz w:val="22"/>
        </w:rPr>
        <w:t> </w:t>
      </w:r>
      <w:r>
        <w:rPr>
          <w:rFonts w:ascii="Arial"/>
          <w:b/>
          <w:sz w:val="22"/>
        </w:rPr>
        <w:t>Trabajadores</w:t>
      </w:r>
      <w:r>
        <w:rPr>
          <w:rFonts w:ascii="Arial"/>
          <w:b/>
          <w:spacing w:val="-1"/>
          <w:sz w:val="22"/>
        </w:rPr>
        <w:t> </w:t>
      </w:r>
      <w:r>
        <w:rPr>
          <w:rFonts w:ascii="Arial"/>
          <w:b/>
          <w:sz w:val="22"/>
        </w:rPr>
        <w:t>y</w:t>
      </w:r>
      <w:r>
        <w:rPr>
          <w:rFonts w:ascii="Arial"/>
          <w:b/>
          <w:spacing w:val="-8"/>
          <w:sz w:val="22"/>
        </w:rPr>
        <w:t> </w:t>
      </w:r>
      <w:r>
        <w:rPr>
          <w:rFonts w:ascii="Arial"/>
          <w:b/>
          <w:sz w:val="22"/>
        </w:rPr>
        <w:t>de</w:t>
      </w:r>
      <w:r>
        <w:rPr>
          <w:rFonts w:ascii="Arial"/>
          <w:b/>
          <w:spacing w:val="-3"/>
          <w:sz w:val="22"/>
        </w:rPr>
        <w:t> </w:t>
      </w:r>
      <w:r>
        <w:rPr>
          <w:rFonts w:ascii="Arial"/>
          <w:b/>
          <w:sz w:val="22"/>
        </w:rPr>
        <w:t>los</w:t>
      </w:r>
      <w:r>
        <w:rPr>
          <w:rFonts w:ascii="Arial"/>
          <w:b/>
          <w:spacing w:val="-5"/>
          <w:sz w:val="22"/>
        </w:rPr>
        <w:t> </w:t>
      </w:r>
      <w:r>
        <w:rPr>
          <w:rFonts w:ascii="Arial"/>
          <w:b/>
          <w:spacing w:val="-2"/>
          <w:sz w:val="22"/>
        </w:rPr>
        <w:t>Patrones</w:t>
      </w:r>
    </w:p>
    <w:p>
      <w:pPr>
        <w:pStyle w:val="BodyText"/>
        <w:rPr>
          <w:rFonts w:ascii="Arial"/>
          <w:b/>
          <w:sz w:val="22"/>
        </w:rPr>
      </w:pPr>
    </w:p>
    <w:p>
      <w:pPr>
        <w:pStyle w:val="Heading1"/>
      </w:pPr>
      <w:r>
        <w:rPr/>
        <w:t>CAPITULO</w:t>
      </w:r>
      <w:r>
        <w:rPr>
          <w:spacing w:val="-8"/>
        </w:rPr>
        <w:t> </w:t>
      </w:r>
      <w:r>
        <w:rPr>
          <w:spacing w:val="-10"/>
        </w:rPr>
        <w:t>I</w:t>
      </w:r>
    </w:p>
    <w:p>
      <w:pPr>
        <w:pStyle w:val="Heading2"/>
        <w:spacing w:before="2"/>
        <w:ind w:left="297"/>
      </w:pPr>
      <w:r>
        <w:rPr/>
        <w:t>De</w:t>
      </w:r>
      <w:r>
        <w:rPr>
          <w:spacing w:val="-2"/>
        </w:rPr>
        <w:t> </w:t>
      </w:r>
      <w:r>
        <w:rPr/>
        <w:t>los</w:t>
      </w:r>
      <w:r>
        <w:rPr>
          <w:spacing w:val="-2"/>
        </w:rPr>
        <w:t> </w:t>
      </w:r>
      <w:r>
        <w:rPr/>
        <w:t>procedimientos</w:t>
      </w:r>
      <w:r>
        <w:rPr>
          <w:spacing w:val="-4"/>
        </w:rPr>
        <w:t> </w:t>
      </w:r>
      <w:r>
        <w:rPr/>
        <w:t>de</w:t>
      </w:r>
      <w:r>
        <w:rPr>
          <w:spacing w:val="-2"/>
        </w:rPr>
        <w:t> </w:t>
      </w:r>
      <w:r>
        <w:rPr/>
        <w:t>designación</w:t>
      </w:r>
      <w:r>
        <w:rPr>
          <w:spacing w:val="-2"/>
        </w:rPr>
        <w:t> </w:t>
      </w:r>
      <w:r>
        <w:rPr/>
        <w:t>de</w:t>
      </w:r>
      <w:r>
        <w:rPr>
          <w:spacing w:val="-5"/>
        </w:rPr>
        <w:t> </w:t>
      </w:r>
      <w:r>
        <w:rPr/>
        <w:t>representantes</w:t>
      </w:r>
      <w:r>
        <w:rPr>
          <w:spacing w:val="-4"/>
        </w:rPr>
        <w:t> </w:t>
      </w:r>
      <w:r>
        <w:rPr/>
        <w:t>de</w:t>
      </w:r>
      <w:r>
        <w:rPr>
          <w:spacing w:val="-4"/>
        </w:rPr>
        <w:t> </w:t>
      </w:r>
      <w:r>
        <w:rPr/>
        <w:t>los</w:t>
      </w:r>
      <w:r>
        <w:rPr>
          <w:spacing w:val="-4"/>
        </w:rPr>
        <w:t> </w:t>
      </w:r>
      <w:r>
        <w:rPr/>
        <w:t>trabajadores y</w:t>
      </w:r>
      <w:r>
        <w:rPr>
          <w:spacing w:val="-6"/>
        </w:rPr>
        <w:t> </w:t>
      </w:r>
      <w:r>
        <w:rPr/>
        <w:t>de</w:t>
      </w:r>
      <w:r>
        <w:rPr>
          <w:spacing w:val="-2"/>
        </w:rPr>
        <w:t> </w:t>
      </w:r>
      <w:r>
        <w:rPr/>
        <w:t>los </w:t>
      </w:r>
      <w:r>
        <w:rPr>
          <w:spacing w:val="-2"/>
        </w:rPr>
        <w:t>patrones</w:t>
      </w:r>
    </w:p>
    <w:p>
      <w:pPr>
        <w:spacing w:before="0"/>
        <w:ind w:left="609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3" w:firstLine="288"/>
        <w:jc w:val="both"/>
      </w:pPr>
      <w:bookmarkStart w:name="Artículo_648" w:id="810"/>
      <w:bookmarkEnd w:id="810"/>
      <w:r>
        <w:rPr/>
      </w:r>
      <w:r>
        <w:rPr>
          <w:rFonts w:ascii="Arial" w:hAnsi="Arial"/>
          <w:b/>
        </w:rPr>
        <w:t>Artículo 648.- </w:t>
      </w:r>
      <w:r>
        <w:rPr/>
        <w:t>Los representantes de los trabajadores y de los patrones ante la Comisión Nacional de los Salarios Mínimos serán elegidos en convenciones, que se organizarán y funcionarán cada cuatro</w:t>
      </w:r>
      <w:r>
        <w:rPr>
          <w:spacing w:val="40"/>
        </w:rPr>
        <w:t> </w:t>
      </w:r>
      <w:r>
        <w:rPr/>
        <w:t>años de conformidad con las disposiciones de este capítulo.</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line="229" w:lineRule="exact" w:before="0"/>
        <w:ind w:left="626" w:right="0" w:firstLine="0"/>
        <w:jc w:val="left"/>
        <w:rPr>
          <w:sz w:val="20"/>
        </w:rPr>
      </w:pPr>
      <w:bookmarkStart w:name="Artículo_649" w:id="811"/>
      <w:bookmarkEnd w:id="811"/>
      <w:r>
        <w:rPr/>
      </w:r>
      <w:r>
        <w:rPr>
          <w:rFonts w:ascii="Arial" w:hAnsi="Arial"/>
          <w:b/>
          <w:sz w:val="20"/>
        </w:rPr>
        <w:t>Artículo</w:t>
      </w:r>
      <w:r>
        <w:rPr>
          <w:rFonts w:ascii="Arial" w:hAnsi="Arial"/>
          <w:b/>
          <w:spacing w:val="-6"/>
          <w:sz w:val="20"/>
        </w:rPr>
        <w:t> </w:t>
      </w:r>
      <w:r>
        <w:rPr>
          <w:rFonts w:ascii="Arial" w:hAnsi="Arial"/>
          <w:b/>
          <w:sz w:val="20"/>
        </w:rPr>
        <w:t>649.-</w:t>
      </w:r>
      <w:r>
        <w:rPr>
          <w:rFonts w:ascii="Arial" w:hAnsi="Arial"/>
          <w:b/>
          <w:spacing w:val="-4"/>
          <w:sz w:val="20"/>
        </w:rPr>
        <w:t> </w:t>
      </w:r>
      <w:r>
        <w:rPr>
          <w:sz w:val="20"/>
        </w:rPr>
        <w:t>Se</w:t>
      </w:r>
      <w:r>
        <w:rPr>
          <w:spacing w:val="-5"/>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BodyText"/>
        <w:spacing w:line="242" w:lineRule="auto" w:before="1"/>
        <w:ind w:left="338" w:firstLine="288"/>
      </w:pPr>
      <w:bookmarkStart w:name="Artículo_650" w:id="812"/>
      <w:bookmarkEnd w:id="812"/>
      <w:r>
        <w:rPr/>
      </w:r>
      <w:r>
        <w:rPr>
          <w:rFonts w:ascii="Arial" w:hAnsi="Arial"/>
          <w:b/>
        </w:rPr>
        <w:t>Artículo</w:t>
      </w:r>
      <w:r>
        <w:rPr>
          <w:rFonts w:ascii="Arial" w:hAnsi="Arial"/>
          <w:b/>
          <w:spacing w:val="40"/>
        </w:rPr>
        <w:t> </w:t>
      </w:r>
      <w:r>
        <w:rPr>
          <w:rFonts w:ascii="Arial" w:hAnsi="Arial"/>
          <w:b/>
        </w:rPr>
        <w:t>650.-</w:t>
      </w:r>
      <w:r>
        <w:rPr>
          <w:rFonts w:ascii="Arial" w:hAnsi="Arial"/>
          <w:b/>
          <w:spacing w:val="40"/>
        </w:rPr>
        <w:t> </w:t>
      </w:r>
      <w:r>
        <w:rPr/>
        <w:t>El</w:t>
      </w:r>
      <w:r>
        <w:rPr>
          <w:spacing w:val="40"/>
        </w:rPr>
        <w:t> </w:t>
      </w:r>
      <w:r>
        <w:rPr/>
        <w:t>Secretario</w:t>
      </w:r>
      <w:r>
        <w:rPr>
          <w:spacing w:val="40"/>
        </w:rPr>
        <w:t> </w:t>
      </w:r>
      <w:r>
        <w:rPr/>
        <w:t>del</w:t>
      </w:r>
      <w:r>
        <w:rPr>
          <w:spacing w:val="40"/>
        </w:rPr>
        <w:t> </w:t>
      </w:r>
      <w:r>
        <w:rPr/>
        <w:t>Trabajo</w:t>
      </w:r>
      <w:r>
        <w:rPr>
          <w:spacing w:val="40"/>
        </w:rPr>
        <w:t> </w:t>
      </w:r>
      <w:r>
        <w:rPr/>
        <w:t>y</w:t>
      </w:r>
      <w:r>
        <w:rPr>
          <w:spacing w:val="40"/>
        </w:rPr>
        <w:t> </w:t>
      </w:r>
      <w:r>
        <w:rPr/>
        <w:t>Previsión</w:t>
      </w:r>
      <w:r>
        <w:rPr>
          <w:spacing w:val="40"/>
        </w:rPr>
        <w:t> </w:t>
      </w:r>
      <w:r>
        <w:rPr/>
        <w:t>Social,</w:t>
      </w:r>
      <w:r>
        <w:rPr>
          <w:spacing w:val="40"/>
        </w:rPr>
        <w:t> </w:t>
      </w:r>
      <w:r>
        <w:rPr/>
        <w:t>publicará</w:t>
      </w:r>
      <w:r>
        <w:rPr>
          <w:spacing w:val="40"/>
        </w:rPr>
        <w:t> </w:t>
      </w:r>
      <w:r>
        <w:rPr/>
        <w:t>en</w:t>
      </w:r>
      <w:r>
        <w:rPr>
          <w:spacing w:val="40"/>
        </w:rPr>
        <w:t> </w:t>
      </w:r>
      <w:r>
        <w:rPr/>
        <w:t>el</w:t>
      </w:r>
      <w:r>
        <w:rPr>
          <w:spacing w:val="40"/>
        </w:rPr>
        <w:t> </w:t>
      </w:r>
      <w:r>
        <w:rPr/>
        <w:t>Diario</w:t>
      </w:r>
      <w:r>
        <w:rPr>
          <w:spacing w:val="40"/>
        </w:rPr>
        <w:t> </w:t>
      </w:r>
      <w:r>
        <w:rPr/>
        <w:t>Oficial</w:t>
      </w:r>
      <w:r>
        <w:rPr>
          <w:spacing w:val="40"/>
        </w:rPr>
        <w:t> </w:t>
      </w:r>
      <w:r>
        <w:rPr/>
        <w:t>de</w:t>
      </w:r>
      <w:r>
        <w:rPr>
          <w:spacing w:val="40"/>
        </w:rPr>
        <w:t> </w:t>
      </w:r>
      <w:r>
        <w:rPr/>
        <w:t>la Federación y en los periódicos de mayor circulación, la convocatoria para la elección de representantes.</w:t>
      </w:r>
    </w:p>
    <w:p>
      <w:pPr>
        <w:spacing w:line="180" w:lineRule="exact" w:before="0"/>
        <w:ind w:left="56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626" w:right="0" w:firstLine="0"/>
        <w:jc w:val="left"/>
        <w:rPr>
          <w:sz w:val="20"/>
        </w:rPr>
      </w:pPr>
      <w:bookmarkStart w:name="Artículo_651" w:id="813"/>
      <w:bookmarkEnd w:id="813"/>
      <w:r>
        <w:rPr/>
      </w:r>
      <w:r>
        <w:rPr>
          <w:rFonts w:ascii="Arial" w:hAnsi="Arial"/>
          <w:b/>
          <w:sz w:val="20"/>
        </w:rPr>
        <w:t>Artículo</w:t>
      </w:r>
      <w:r>
        <w:rPr>
          <w:rFonts w:ascii="Arial" w:hAnsi="Arial"/>
          <w:b/>
          <w:spacing w:val="-6"/>
          <w:sz w:val="20"/>
        </w:rPr>
        <w:t> </w:t>
      </w:r>
      <w:r>
        <w:rPr>
          <w:rFonts w:ascii="Arial" w:hAnsi="Arial"/>
          <w:b/>
          <w:sz w:val="20"/>
        </w:rPr>
        <w:t>651.-</w:t>
      </w:r>
      <w:r>
        <w:rPr>
          <w:rFonts w:ascii="Arial" w:hAnsi="Arial"/>
          <w:b/>
          <w:spacing w:val="-4"/>
          <w:sz w:val="20"/>
        </w:rPr>
        <w:t> </w:t>
      </w: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line="242" w:lineRule="auto" w:before="229"/>
        <w:ind w:left="338" w:firstLine="288"/>
      </w:pPr>
      <w:bookmarkStart w:name="Artículo_652" w:id="814"/>
      <w:bookmarkEnd w:id="814"/>
      <w:r>
        <w:rPr/>
      </w:r>
      <w:r>
        <w:rPr>
          <w:rFonts w:ascii="Arial" w:hAnsi="Arial"/>
          <w:b/>
        </w:rPr>
        <w:t>Artículo</w:t>
      </w:r>
      <w:r>
        <w:rPr>
          <w:rFonts w:ascii="Arial" w:hAnsi="Arial"/>
          <w:b/>
          <w:spacing w:val="31"/>
        </w:rPr>
        <w:t> </w:t>
      </w:r>
      <w:r>
        <w:rPr>
          <w:rFonts w:ascii="Arial" w:hAnsi="Arial"/>
          <w:b/>
        </w:rPr>
        <w:t>652.-</w:t>
      </w:r>
      <w:r>
        <w:rPr>
          <w:rFonts w:ascii="Arial" w:hAnsi="Arial"/>
          <w:b/>
          <w:spacing w:val="31"/>
        </w:rPr>
        <w:t> </w:t>
      </w:r>
      <w:r>
        <w:rPr/>
        <w:t>Los</w:t>
      </w:r>
      <w:r>
        <w:rPr>
          <w:spacing w:val="29"/>
        </w:rPr>
        <w:t> </w:t>
      </w:r>
      <w:r>
        <w:rPr/>
        <w:t>representantes</w:t>
      </w:r>
      <w:r>
        <w:rPr>
          <w:spacing w:val="29"/>
        </w:rPr>
        <w:t> </w:t>
      </w:r>
      <w:r>
        <w:rPr/>
        <w:t>de</w:t>
      </w:r>
      <w:r>
        <w:rPr>
          <w:spacing w:val="30"/>
        </w:rPr>
        <w:t> </w:t>
      </w:r>
      <w:r>
        <w:rPr/>
        <w:t>los</w:t>
      </w:r>
      <w:r>
        <w:rPr>
          <w:spacing w:val="29"/>
        </w:rPr>
        <w:t> </w:t>
      </w:r>
      <w:r>
        <w:rPr/>
        <w:t>trabajadores</w:t>
      </w:r>
      <w:r>
        <w:rPr>
          <w:spacing w:val="29"/>
        </w:rPr>
        <w:t> </w:t>
      </w:r>
      <w:r>
        <w:rPr/>
        <w:t>serán</w:t>
      </w:r>
      <w:r>
        <w:rPr>
          <w:spacing w:val="30"/>
        </w:rPr>
        <w:t> </w:t>
      </w:r>
      <w:r>
        <w:rPr/>
        <w:t>elegidos</w:t>
      </w:r>
      <w:r>
        <w:rPr>
          <w:spacing w:val="29"/>
        </w:rPr>
        <w:t> </w:t>
      </w:r>
      <w:r>
        <w:rPr/>
        <w:t>en</w:t>
      </w:r>
      <w:r>
        <w:rPr>
          <w:spacing w:val="30"/>
        </w:rPr>
        <w:t> </w:t>
      </w:r>
      <w:r>
        <w:rPr/>
        <w:t>las</w:t>
      </w:r>
      <w:r>
        <w:rPr>
          <w:spacing w:val="31"/>
        </w:rPr>
        <w:t> </w:t>
      </w:r>
      <w:r>
        <w:rPr/>
        <w:t>convenciones</w:t>
      </w:r>
      <w:r>
        <w:rPr>
          <w:spacing w:val="29"/>
        </w:rPr>
        <w:t> </w:t>
      </w:r>
      <w:r>
        <w:rPr/>
        <w:t>por</w:t>
      </w:r>
      <w:r>
        <w:rPr>
          <w:spacing w:val="28"/>
        </w:rPr>
        <w:t> </w:t>
      </w:r>
      <w:r>
        <w:rPr/>
        <w:t>los delegados que previamente se designen, de conformidad con las normas siguientes:</w:t>
      </w:r>
    </w:p>
    <w:p>
      <w:pPr>
        <w:pStyle w:val="ListParagraph"/>
        <w:numPr>
          <w:ilvl w:val="0"/>
          <w:numId w:val="263"/>
        </w:numPr>
        <w:tabs>
          <w:tab w:pos="1195" w:val="left" w:leader="none"/>
        </w:tabs>
        <w:spacing w:line="240" w:lineRule="auto" w:before="227" w:after="0"/>
        <w:ind w:left="1195" w:right="0" w:hanging="569"/>
        <w:jc w:val="left"/>
        <w:rPr>
          <w:sz w:val="20"/>
        </w:rPr>
      </w:pPr>
      <w:r>
        <w:rPr>
          <w:sz w:val="20"/>
        </w:rPr>
        <w:t>Tienen</w:t>
      </w:r>
      <w:r>
        <w:rPr>
          <w:spacing w:val="-9"/>
          <w:sz w:val="20"/>
        </w:rPr>
        <w:t> </w:t>
      </w:r>
      <w:r>
        <w:rPr>
          <w:sz w:val="20"/>
        </w:rPr>
        <w:t>derecho</w:t>
      </w:r>
      <w:r>
        <w:rPr>
          <w:spacing w:val="-6"/>
          <w:sz w:val="20"/>
        </w:rPr>
        <w:t> </w:t>
      </w:r>
      <w:r>
        <w:rPr>
          <w:sz w:val="20"/>
        </w:rPr>
        <w:t>a</w:t>
      </w:r>
      <w:r>
        <w:rPr>
          <w:spacing w:val="-7"/>
          <w:sz w:val="20"/>
        </w:rPr>
        <w:t> </w:t>
      </w:r>
      <w:r>
        <w:rPr>
          <w:sz w:val="20"/>
        </w:rPr>
        <w:t>designar</w:t>
      </w:r>
      <w:r>
        <w:rPr>
          <w:spacing w:val="-5"/>
          <w:sz w:val="20"/>
        </w:rPr>
        <w:t> </w:t>
      </w:r>
      <w:r>
        <w:rPr>
          <w:sz w:val="20"/>
        </w:rPr>
        <w:t>delegados</w:t>
      </w:r>
      <w:r>
        <w:rPr>
          <w:spacing w:val="-6"/>
          <w:sz w:val="20"/>
        </w:rPr>
        <w:t> </w:t>
      </w:r>
      <w:r>
        <w:rPr>
          <w:sz w:val="20"/>
        </w:rPr>
        <w:t>a</w:t>
      </w:r>
      <w:r>
        <w:rPr>
          <w:spacing w:val="-5"/>
          <w:sz w:val="20"/>
        </w:rPr>
        <w:t> </w:t>
      </w:r>
      <w:r>
        <w:rPr>
          <w:sz w:val="20"/>
        </w:rPr>
        <w:t>las</w:t>
      </w:r>
      <w:r>
        <w:rPr>
          <w:spacing w:val="-7"/>
          <w:sz w:val="20"/>
        </w:rPr>
        <w:t> </w:t>
      </w:r>
      <w:r>
        <w:rPr>
          <w:spacing w:val="-2"/>
          <w:sz w:val="20"/>
        </w:rPr>
        <w:t>convenciones:</w:t>
      </w:r>
    </w:p>
    <w:p>
      <w:pPr>
        <w:pStyle w:val="BodyText"/>
        <w:spacing w:before="1"/>
      </w:pPr>
    </w:p>
    <w:p>
      <w:pPr>
        <w:pStyle w:val="ListParagraph"/>
        <w:numPr>
          <w:ilvl w:val="1"/>
          <w:numId w:val="263"/>
        </w:numPr>
        <w:tabs>
          <w:tab w:pos="1761" w:val="left" w:leader="none"/>
        </w:tabs>
        <w:spacing w:line="240" w:lineRule="auto" w:before="0" w:after="0"/>
        <w:ind w:left="1761" w:right="0" w:hanging="566"/>
        <w:jc w:val="left"/>
        <w:rPr>
          <w:sz w:val="20"/>
        </w:rPr>
      </w:pPr>
      <w:r>
        <w:rPr>
          <w:sz w:val="20"/>
        </w:rPr>
        <w:t>Los</w:t>
      </w:r>
      <w:r>
        <w:rPr>
          <w:spacing w:val="-11"/>
          <w:sz w:val="20"/>
        </w:rPr>
        <w:t> </w:t>
      </w:r>
      <w:r>
        <w:rPr>
          <w:sz w:val="20"/>
        </w:rPr>
        <w:t>sindicatos</w:t>
      </w:r>
      <w:r>
        <w:rPr>
          <w:spacing w:val="-8"/>
          <w:sz w:val="20"/>
        </w:rPr>
        <w:t> </w:t>
      </w:r>
      <w:r>
        <w:rPr>
          <w:sz w:val="20"/>
        </w:rPr>
        <w:t>de</w:t>
      </w:r>
      <w:r>
        <w:rPr>
          <w:spacing w:val="-12"/>
          <w:sz w:val="20"/>
        </w:rPr>
        <w:t> </w:t>
      </w:r>
      <w:r>
        <w:rPr>
          <w:sz w:val="20"/>
        </w:rPr>
        <w:t>trabajadores</w:t>
      </w:r>
      <w:r>
        <w:rPr>
          <w:spacing w:val="-10"/>
          <w:sz w:val="20"/>
        </w:rPr>
        <w:t> </w:t>
      </w:r>
      <w:r>
        <w:rPr>
          <w:sz w:val="20"/>
        </w:rPr>
        <w:t>debidamente</w:t>
      </w:r>
      <w:r>
        <w:rPr>
          <w:spacing w:val="-12"/>
          <w:sz w:val="20"/>
        </w:rPr>
        <w:t> </w:t>
      </w:r>
      <w:r>
        <w:rPr>
          <w:spacing w:val="-2"/>
          <w:sz w:val="20"/>
        </w:rPr>
        <w:t>registrados.</w:t>
      </w:r>
    </w:p>
    <w:p>
      <w:pPr>
        <w:pStyle w:val="ListParagraph"/>
        <w:spacing w:after="0" w:line="240" w:lineRule="auto"/>
        <w:jc w:val="left"/>
        <w:rPr>
          <w:sz w:val="20"/>
        </w:rPr>
        <w:sectPr>
          <w:type w:val="continuous"/>
          <w:pgSz w:w="12240" w:h="15840"/>
          <w:pgMar w:header="724" w:footer="712" w:top="1880" w:bottom="900" w:left="1080" w:right="1080"/>
        </w:sectPr>
      </w:pPr>
    </w:p>
    <w:p>
      <w:pPr>
        <w:pStyle w:val="BodyText"/>
        <w:spacing w:before="63"/>
      </w:pPr>
    </w:p>
    <w:p>
      <w:pPr>
        <w:pStyle w:val="ListParagraph"/>
        <w:numPr>
          <w:ilvl w:val="1"/>
          <w:numId w:val="263"/>
        </w:numPr>
        <w:tabs>
          <w:tab w:pos="1759" w:val="left" w:leader="none"/>
          <w:tab w:pos="1762" w:val="left" w:leader="none"/>
        </w:tabs>
        <w:spacing w:line="242" w:lineRule="auto" w:before="0" w:after="0"/>
        <w:ind w:left="1762" w:right="337" w:hanging="567"/>
        <w:jc w:val="both"/>
        <w:rPr>
          <w:sz w:val="20"/>
        </w:rPr>
      </w:pPr>
      <w:r>
        <w:rPr>
          <w:sz w:val="20"/>
        </w:rPr>
        <w:t>Los trabajadores libres que hubiesen prestado servicios a un patrón, por un período no menor de seis meses durante el año anterior a la fecha de la convocatoria, cuando no existan sindicatos registrados;</w:t>
      </w:r>
    </w:p>
    <w:p>
      <w:pPr>
        <w:pStyle w:val="ListParagraph"/>
        <w:numPr>
          <w:ilvl w:val="0"/>
          <w:numId w:val="263"/>
        </w:numPr>
        <w:tabs>
          <w:tab w:pos="1192" w:val="left" w:leader="none"/>
          <w:tab w:pos="1195" w:val="left" w:leader="none"/>
        </w:tabs>
        <w:spacing w:line="242" w:lineRule="auto" w:before="225" w:after="0"/>
        <w:ind w:left="1195" w:right="341" w:hanging="569"/>
        <w:jc w:val="both"/>
        <w:rPr>
          <w:sz w:val="20"/>
        </w:rPr>
      </w:pPr>
      <w:r>
        <w:rPr>
          <w:sz w:val="20"/>
        </w:rPr>
        <w:t>Serán considerados miembros de los sindicatos los trabajadores registrados en los mismos, </w:t>
      </w:r>
      <w:r>
        <w:rPr>
          <w:spacing w:val="-2"/>
          <w:sz w:val="20"/>
        </w:rPr>
        <w:t>cuando:</w:t>
      </w:r>
    </w:p>
    <w:p>
      <w:pPr>
        <w:pStyle w:val="ListParagraph"/>
        <w:numPr>
          <w:ilvl w:val="1"/>
          <w:numId w:val="263"/>
        </w:numPr>
        <w:tabs>
          <w:tab w:pos="1761" w:val="left" w:leader="none"/>
        </w:tabs>
        <w:spacing w:line="240" w:lineRule="auto" w:before="224" w:after="0"/>
        <w:ind w:left="1761" w:right="0" w:hanging="566"/>
        <w:jc w:val="left"/>
        <w:rPr>
          <w:sz w:val="20"/>
        </w:rPr>
      </w:pPr>
      <w:r>
        <w:rPr>
          <w:sz w:val="20"/>
        </w:rPr>
        <w:t>Estén</w:t>
      </w:r>
      <w:r>
        <w:rPr>
          <w:spacing w:val="-6"/>
          <w:sz w:val="20"/>
        </w:rPr>
        <w:t> </w:t>
      </w:r>
      <w:r>
        <w:rPr>
          <w:sz w:val="20"/>
        </w:rPr>
        <w:t>prestando</w:t>
      </w:r>
      <w:r>
        <w:rPr>
          <w:spacing w:val="-8"/>
          <w:sz w:val="20"/>
        </w:rPr>
        <w:t> </w:t>
      </w:r>
      <w:r>
        <w:rPr>
          <w:sz w:val="20"/>
        </w:rPr>
        <w:t>servicios</w:t>
      </w:r>
      <w:r>
        <w:rPr>
          <w:spacing w:val="-6"/>
          <w:sz w:val="20"/>
        </w:rPr>
        <w:t> </w:t>
      </w:r>
      <w:r>
        <w:rPr>
          <w:sz w:val="20"/>
        </w:rPr>
        <w:t>a</w:t>
      </w:r>
      <w:r>
        <w:rPr>
          <w:spacing w:val="-8"/>
          <w:sz w:val="20"/>
        </w:rPr>
        <w:t> </w:t>
      </w:r>
      <w:r>
        <w:rPr>
          <w:sz w:val="20"/>
        </w:rPr>
        <w:t>un</w:t>
      </w:r>
      <w:r>
        <w:rPr>
          <w:spacing w:val="-6"/>
          <w:sz w:val="20"/>
        </w:rPr>
        <w:t> </w:t>
      </w:r>
      <w:r>
        <w:rPr>
          <w:spacing w:val="-2"/>
          <w:sz w:val="20"/>
        </w:rPr>
        <w:t>patrón.</w:t>
      </w:r>
    </w:p>
    <w:p>
      <w:pPr>
        <w:pStyle w:val="BodyText"/>
        <w:spacing w:before="1"/>
      </w:pPr>
    </w:p>
    <w:p>
      <w:pPr>
        <w:pStyle w:val="ListParagraph"/>
        <w:numPr>
          <w:ilvl w:val="1"/>
          <w:numId w:val="263"/>
        </w:numPr>
        <w:tabs>
          <w:tab w:pos="1759" w:val="left" w:leader="none"/>
          <w:tab w:pos="1762" w:val="left" w:leader="none"/>
        </w:tabs>
        <w:spacing w:line="242" w:lineRule="auto" w:before="0" w:after="0"/>
        <w:ind w:left="1762" w:right="342" w:hanging="567"/>
        <w:jc w:val="both"/>
        <w:rPr>
          <w:sz w:val="20"/>
        </w:rPr>
      </w:pPr>
      <w:r>
        <w:rPr>
          <w:sz w:val="20"/>
        </w:rPr>
        <w:t>Hubiesen prestado servicios a un patrón por un período de seis meses durante el año anterior a la fecha de la convocatoria;</w:t>
      </w:r>
    </w:p>
    <w:p>
      <w:pPr>
        <w:pStyle w:val="ListParagraph"/>
        <w:numPr>
          <w:ilvl w:val="0"/>
          <w:numId w:val="263"/>
        </w:numPr>
        <w:tabs>
          <w:tab w:pos="1191" w:val="left" w:leader="none"/>
          <w:tab w:pos="1195" w:val="left" w:leader="none"/>
        </w:tabs>
        <w:spacing w:line="242" w:lineRule="auto" w:before="225" w:after="0"/>
        <w:ind w:left="1195" w:right="347" w:hanging="569"/>
        <w:jc w:val="both"/>
        <w:rPr>
          <w:sz w:val="20"/>
        </w:rPr>
      </w:pPr>
      <w:r>
        <w:rPr>
          <w:sz w:val="20"/>
        </w:rPr>
        <w:t>Los trabajadores libres a que se refiere la fracción I, inciso b), designarán un delegado en cada empresa o establecimiento; y</w:t>
      </w:r>
    </w:p>
    <w:p>
      <w:pPr>
        <w:pStyle w:val="ListParagraph"/>
        <w:numPr>
          <w:ilvl w:val="0"/>
          <w:numId w:val="263"/>
        </w:numPr>
        <w:tabs>
          <w:tab w:pos="1195" w:val="left" w:leader="none"/>
        </w:tabs>
        <w:spacing w:line="242" w:lineRule="auto" w:before="226" w:after="0"/>
        <w:ind w:left="1195" w:right="342" w:hanging="569"/>
        <w:jc w:val="both"/>
        <w:rPr>
          <w:sz w:val="20"/>
        </w:rPr>
      </w:pPr>
      <w:r>
        <w:rPr>
          <w:sz w:val="20"/>
        </w:rPr>
        <w:t>Las credenciales de los delegados serán extendidas por la directiva de los sindicatos o por la que designen los trabajadores libres.</w:t>
      </w:r>
    </w:p>
    <w:p>
      <w:pPr>
        <w:pStyle w:val="BodyText"/>
        <w:spacing w:line="242" w:lineRule="auto" w:before="224"/>
        <w:ind w:left="338" w:firstLine="288"/>
      </w:pPr>
      <w:bookmarkStart w:name="Artículo_653" w:id="815"/>
      <w:bookmarkEnd w:id="815"/>
      <w:r>
        <w:rPr/>
      </w:r>
      <w:r>
        <w:rPr>
          <w:rFonts w:ascii="Arial" w:hAnsi="Arial"/>
          <w:b/>
        </w:rPr>
        <w:t>Artículo</w:t>
      </w:r>
      <w:r>
        <w:rPr>
          <w:rFonts w:ascii="Arial" w:hAnsi="Arial"/>
          <w:b/>
          <w:spacing w:val="34"/>
        </w:rPr>
        <w:t> </w:t>
      </w:r>
      <w:r>
        <w:rPr>
          <w:rFonts w:ascii="Arial" w:hAnsi="Arial"/>
          <w:b/>
        </w:rPr>
        <w:t>653.-</w:t>
      </w:r>
      <w:r>
        <w:rPr>
          <w:rFonts w:ascii="Arial" w:hAnsi="Arial"/>
          <w:b/>
          <w:spacing w:val="35"/>
        </w:rPr>
        <w:t> </w:t>
      </w:r>
      <w:r>
        <w:rPr/>
        <w:t>Los</w:t>
      </w:r>
      <w:r>
        <w:rPr>
          <w:spacing w:val="34"/>
        </w:rPr>
        <w:t> </w:t>
      </w:r>
      <w:r>
        <w:rPr/>
        <w:t>representantes</w:t>
      </w:r>
      <w:r>
        <w:rPr>
          <w:spacing w:val="35"/>
        </w:rPr>
        <w:t> </w:t>
      </w:r>
      <w:r>
        <w:rPr/>
        <w:t>de</w:t>
      </w:r>
      <w:r>
        <w:rPr>
          <w:spacing w:val="33"/>
        </w:rPr>
        <w:t> </w:t>
      </w:r>
      <w:r>
        <w:rPr/>
        <w:t>los</w:t>
      </w:r>
      <w:r>
        <w:rPr>
          <w:spacing w:val="34"/>
        </w:rPr>
        <w:t> </w:t>
      </w:r>
      <w:r>
        <w:rPr/>
        <w:t>patrones</w:t>
      </w:r>
      <w:r>
        <w:rPr>
          <w:spacing w:val="36"/>
        </w:rPr>
        <w:t> </w:t>
      </w:r>
      <w:r>
        <w:rPr/>
        <w:t>serán</w:t>
      </w:r>
      <w:r>
        <w:rPr>
          <w:spacing w:val="34"/>
        </w:rPr>
        <w:t> </w:t>
      </w:r>
      <w:r>
        <w:rPr/>
        <w:t>designados</w:t>
      </w:r>
      <w:r>
        <w:rPr>
          <w:spacing w:val="34"/>
        </w:rPr>
        <w:t> </w:t>
      </w:r>
      <w:r>
        <w:rPr/>
        <w:t>en</w:t>
      </w:r>
      <w:r>
        <w:rPr>
          <w:spacing w:val="33"/>
        </w:rPr>
        <w:t> </w:t>
      </w:r>
      <w:r>
        <w:rPr/>
        <w:t>las</w:t>
      </w:r>
      <w:r>
        <w:rPr>
          <w:spacing w:val="36"/>
        </w:rPr>
        <w:t> </w:t>
      </w:r>
      <w:r>
        <w:rPr/>
        <w:t>convenciones</w:t>
      </w:r>
      <w:r>
        <w:rPr>
          <w:spacing w:val="35"/>
        </w:rPr>
        <w:t> </w:t>
      </w:r>
      <w:r>
        <w:rPr/>
        <w:t>por</w:t>
      </w:r>
      <w:r>
        <w:rPr>
          <w:spacing w:val="36"/>
        </w:rPr>
        <w:t> </w:t>
      </w:r>
      <w:r>
        <w:rPr/>
        <w:t>los mismos patrones o por sus delegados, de conformidad con las normas siguientes:</w:t>
      </w:r>
    </w:p>
    <w:p>
      <w:pPr>
        <w:pStyle w:val="ListParagraph"/>
        <w:numPr>
          <w:ilvl w:val="0"/>
          <w:numId w:val="264"/>
        </w:numPr>
        <w:tabs>
          <w:tab w:pos="1195" w:val="left" w:leader="none"/>
        </w:tabs>
        <w:spacing w:line="240" w:lineRule="auto" w:before="227" w:after="0"/>
        <w:ind w:left="1195" w:right="0" w:hanging="569"/>
        <w:jc w:val="left"/>
        <w:rPr>
          <w:sz w:val="20"/>
        </w:rPr>
      </w:pPr>
      <w:r>
        <w:rPr>
          <w:sz w:val="20"/>
        </w:rPr>
        <w:t>Tienen</w:t>
      </w:r>
      <w:r>
        <w:rPr>
          <w:spacing w:val="-8"/>
          <w:sz w:val="20"/>
        </w:rPr>
        <w:t> </w:t>
      </w:r>
      <w:r>
        <w:rPr>
          <w:sz w:val="20"/>
        </w:rPr>
        <w:t>derecho</w:t>
      </w:r>
      <w:r>
        <w:rPr>
          <w:spacing w:val="-6"/>
          <w:sz w:val="20"/>
        </w:rPr>
        <w:t> </w:t>
      </w:r>
      <w:r>
        <w:rPr>
          <w:sz w:val="20"/>
        </w:rPr>
        <w:t>a</w:t>
      </w:r>
      <w:r>
        <w:rPr>
          <w:spacing w:val="-7"/>
          <w:sz w:val="20"/>
        </w:rPr>
        <w:t> </w:t>
      </w:r>
      <w:r>
        <w:rPr>
          <w:sz w:val="20"/>
        </w:rPr>
        <w:t>participar</w:t>
      </w:r>
      <w:r>
        <w:rPr>
          <w:spacing w:val="-3"/>
          <w:sz w:val="20"/>
        </w:rPr>
        <w:t> </w:t>
      </w:r>
      <w:r>
        <w:rPr>
          <w:sz w:val="20"/>
        </w:rPr>
        <w:t>en</w:t>
      </w:r>
      <w:r>
        <w:rPr>
          <w:spacing w:val="-6"/>
          <w:sz w:val="20"/>
        </w:rPr>
        <w:t> </w:t>
      </w:r>
      <w:r>
        <w:rPr>
          <w:sz w:val="20"/>
        </w:rPr>
        <w:t>la</w:t>
      </w:r>
      <w:r>
        <w:rPr>
          <w:spacing w:val="-7"/>
          <w:sz w:val="20"/>
        </w:rPr>
        <w:t> </w:t>
      </w:r>
      <w:r>
        <w:rPr>
          <w:spacing w:val="-2"/>
          <w:sz w:val="20"/>
        </w:rPr>
        <w:t>elección:</w:t>
      </w:r>
    </w:p>
    <w:p>
      <w:pPr>
        <w:pStyle w:val="ListParagraph"/>
        <w:numPr>
          <w:ilvl w:val="1"/>
          <w:numId w:val="264"/>
        </w:numPr>
        <w:tabs>
          <w:tab w:pos="1760" w:val="left" w:leader="none"/>
          <w:tab w:pos="1762" w:val="left" w:leader="none"/>
        </w:tabs>
        <w:spacing w:line="242" w:lineRule="auto" w:before="229" w:after="0"/>
        <w:ind w:left="1762" w:right="344" w:hanging="567"/>
        <w:jc w:val="both"/>
        <w:rPr>
          <w:sz w:val="20"/>
        </w:rPr>
      </w:pPr>
      <w:r>
        <w:rPr>
          <w:sz w:val="20"/>
        </w:rPr>
        <w:t>Los sindicatos de patrones debidamente registrados, cuyos miembros tengan trabajadores a su servicio.</w:t>
      </w:r>
    </w:p>
    <w:p>
      <w:pPr>
        <w:pStyle w:val="ListParagraph"/>
        <w:numPr>
          <w:ilvl w:val="1"/>
          <w:numId w:val="264"/>
        </w:numPr>
        <w:tabs>
          <w:tab w:pos="1761" w:val="left" w:leader="none"/>
        </w:tabs>
        <w:spacing w:line="240" w:lineRule="auto" w:before="226" w:after="0"/>
        <w:ind w:left="1761" w:right="0" w:hanging="566"/>
        <w:jc w:val="left"/>
        <w:rPr>
          <w:sz w:val="20"/>
        </w:rPr>
      </w:pPr>
      <w:r>
        <w:rPr>
          <w:sz w:val="20"/>
        </w:rPr>
        <w:t>Los</w:t>
      </w:r>
      <w:r>
        <w:rPr>
          <w:spacing w:val="-9"/>
          <w:sz w:val="20"/>
        </w:rPr>
        <w:t> </w:t>
      </w:r>
      <w:r>
        <w:rPr>
          <w:sz w:val="20"/>
        </w:rPr>
        <w:t>patrones</w:t>
      </w:r>
      <w:r>
        <w:rPr>
          <w:spacing w:val="-6"/>
          <w:sz w:val="20"/>
        </w:rPr>
        <w:t> </w:t>
      </w:r>
      <w:r>
        <w:rPr>
          <w:sz w:val="20"/>
        </w:rPr>
        <w:t>independientes</w:t>
      </w:r>
      <w:r>
        <w:rPr>
          <w:spacing w:val="-8"/>
          <w:sz w:val="20"/>
        </w:rPr>
        <w:t> </w:t>
      </w:r>
      <w:r>
        <w:rPr>
          <w:sz w:val="20"/>
        </w:rPr>
        <w:t>que</w:t>
      </w:r>
      <w:r>
        <w:rPr>
          <w:spacing w:val="-7"/>
          <w:sz w:val="20"/>
        </w:rPr>
        <w:t> </w:t>
      </w:r>
      <w:r>
        <w:rPr>
          <w:sz w:val="20"/>
        </w:rPr>
        <w:t>tengan</w:t>
      </w:r>
      <w:r>
        <w:rPr>
          <w:spacing w:val="-8"/>
          <w:sz w:val="20"/>
        </w:rPr>
        <w:t> </w:t>
      </w:r>
      <w:r>
        <w:rPr>
          <w:sz w:val="20"/>
        </w:rPr>
        <w:t>trabajadores</w:t>
      </w:r>
      <w:r>
        <w:rPr>
          <w:spacing w:val="-6"/>
          <w:sz w:val="20"/>
        </w:rPr>
        <w:t> </w:t>
      </w:r>
      <w:r>
        <w:rPr>
          <w:sz w:val="20"/>
        </w:rPr>
        <w:t>a</w:t>
      </w:r>
      <w:r>
        <w:rPr>
          <w:spacing w:val="-10"/>
          <w:sz w:val="20"/>
        </w:rPr>
        <w:t> </w:t>
      </w:r>
      <w:r>
        <w:rPr>
          <w:sz w:val="20"/>
        </w:rPr>
        <w:t>su</w:t>
      </w:r>
      <w:r>
        <w:rPr>
          <w:spacing w:val="-9"/>
          <w:sz w:val="20"/>
        </w:rPr>
        <w:t> </w:t>
      </w:r>
      <w:r>
        <w:rPr>
          <w:spacing w:val="-2"/>
          <w:sz w:val="20"/>
        </w:rPr>
        <w:t>servicio;</w:t>
      </w:r>
    </w:p>
    <w:p>
      <w:pPr>
        <w:pStyle w:val="BodyText"/>
        <w:spacing w:before="1"/>
      </w:pPr>
    </w:p>
    <w:p>
      <w:pPr>
        <w:pStyle w:val="ListParagraph"/>
        <w:numPr>
          <w:ilvl w:val="0"/>
          <w:numId w:val="264"/>
        </w:numPr>
        <w:tabs>
          <w:tab w:pos="1195" w:val="left" w:leader="none"/>
        </w:tabs>
        <w:spacing w:line="240" w:lineRule="auto" w:before="0" w:after="0"/>
        <w:ind w:left="1195" w:right="0" w:hanging="569"/>
        <w:jc w:val="left"/>
        <w:rPr>
          <w:sz w:val="20"/>
        </w:rPr>
      </w:pPr>
      <w:r>
        <w:rPr>
          <w:sz w:val="20"/>
        </w:rPr>
        <w:t>Los</w:t>
      </w:r>
      <w:r>
        <w:rPr>
          <w:spacing w:val="-9"/>
          <w:sz w:val="20"/>
        </w:rPr>
        <w:t> </w:t>
      </w:r>
      <w:r>
        <w:rPr>
          <w:sz w:val="20"/>
        </w:rPr>
        <w:t>sindicatos</w:t>
      </w:r>
      <w:r>
        <w:rPr>
          <w:spacing w:val="-7"/>
          <w:sz w:val="20"/>
        </w:rPr>
        <w:t> </w:t>
      </w:r>
      <w:r>
        <w:rPr>
          <w:sz w:val="20"/>
        </w:rPr>
        <w:t>de</w:t>
      </w:r>
      <w:r>
        <w:rPr>
          <w:spacing w:val="-10"/>
          <w:sz w:val="20"/>
        </w:rPr>
        <w:t> </w:t>
      </w:r>
      <w:r>
        <w:rPr>
          <w:sz w:val="20"/>
        </w:rPr>
        <w:t>patrones</w:t>
      </w:r>
      <w:r>
        <w:rPr>
          <w:spacing w:val="-7"/>
          <w:sz w:val="20"/>
        </w:rPr>
        <w:t> </w:t>
      </w:r>
      <w:r>
        <w:rPr>
          <w:sz w:val="20"/>
        </w:rPr>
        <w:t>designarán</w:t>
      </w:r>
      <w:r>
        <w:rPr>
          <w:spacing w:val="-7"/>
          <w:sz w:val="20"/>
        </w:rPr>
        <w:t> </w:t>
      </w:r>
      <w:r>
        <w:rPr>
          <w:sz w:val="20"/>
        </w:rPr>
        <w:t>un</w:t>
      </w:r>
      <w:r>
        <w:rPr>
          <w:spacing w:val="-9"/>
          <w:sz w:val="20"/>
        </w:rPr>
        <w:t> </w:t>
      </w:r>
      <w:r>
        <w:rPr>
          <w:spacing w:val="-2"/>
          <w:sz w:val="20"/>
        </w:rPr>
        <w:t>delegado;</w:t>
      </w:r>
    </w:p>
    <w:p>
      <w:pPr>
        <w:pStyle w:val="ListParagraph"/>
        <w:numPr>
          <w:ilvl w:val="0"/>
          <w:numId w:val="264"/>
        </w:numPr>
        <w:tabs>
          <w:tab w:pos="1191" w:val="left" w:leader="none"/>
          <w:tab w:pos="1195" w:val="left" w:leader="none"/>
        </w:tabs>
        <w:spacing w:line="242" w:lineRule="auto" w:before="229" w:after="0"/>
        <w:ind w:left="1195" w:right="341" w:hanging="569"/>
        <w:jc w:val="both"/>
        <w:rPr>
          <w:sz w:val="20"/>
        </w:rPr>
      </w:pPr>
      <w:r>
        <w:rPr>
          <w:sz w:val="20"/>
        </w:rPr>
        <w:t>Los patrones independientes podrán concurrir personalmente a la convención o hacerse representar mediante carta poder suscrita por dos testigos y certificada por el Inspector del Trabajo; y</w:t>
      </w:r>
    </w:p>
    <w:p>
      <w:pPr>
        <w:pStyle w:val="ListParagraph"/>
        <w:numPr>
          <w:ilvl w:val="0"/>
          <w:numId w:val="264"/>
        </w:numPr>
        <w:tabs>
          <w:tab w:pos="1195" w:val="left" w:leader="none"/>
        </w:tabs>
        <w:spacing w:line="240" w:lineRule="auto" w:before="225" w:after="0"/>
        <w:ind w:left="1195" w:right="0" w:hanging="569"/>
        <w:jc w:val="left"/>
        <w:rPr>
          <w:sz w:val="20"/>
        </w:rPr>
      </w:pPr>
      <w:r>
        <w:rPr>
          <w:sz w:val="20"/>
        </w:rPr>
        <w:t>Las</w:t>
      </w:r>
      <w:r>
        <w:rPr>
          <w:spacing w:val="-7"/>
          <w:sz w:val="20"/>
        </w:rPr>
        <w:t> </w:t>
      </w:r>
      <w:r>
        <w:rPr>
          <w:sz w:val="20"/>
        </w:rPr>
        <w:t>credenciales</w:t>
      </w:r>
      <w:r>
        <w:rPr>
          <w:spacing w:val="-7"/>
          <w:sz w:val="20"/>
        </w:rPr>
        <w:t> </w:t>
      </w:r>
      <w:r>
        <w:rPr>
          <w:sz w:val="20"/>
        </w:rPr>
        <w:t>de</w:t>
      </w:r>
      <w:r>
        <w:rPr>
          <w:spacing w:val="-7"/>
          <w:sz w:val="20"/>
        </w:rPr>
        <w:t> </w:t>
      </w:r>
      <w:r>
        <w:rPr>
          <w:sz w:val="20"/>
        </w:rPr>
        <w:t>los</w:t>
      </w:r>
      <w:r>
        <w:rPr>
          <w:spacing w:val="-6"/>
          <w:sz w:val="20"/>
        </w:rPr>
        <w:t> </w:t>
      </w:r>
      <w:r>
        <w:rPr>
          <w:sz w:val="20"/>
        </w:rPr>
        <w:t>delegados</w:t>
      </w:r>
      <w:r>
        <w:rPr>
          <w:spacing w:val="-7"/>
          <w:sz w:val="20"/>
        </w:rPr>
        <w:t> </w:t>
      </w:r>
      <w:r>
        <w:rPr>
          <w:sz w:val="20"/>
        </w:rPr>
        <w:t>serán</w:t>
      </w:r>
      <w:r>
        <w:rPr>
          <w:spacing w:val="-6"/>
          <w:sz w:val="20"/>
        </w:rPr>
        <w:t> </w:t>
      </w:r>
      <w:r>
        <w:rPr>
          <w:sz w:val="20"/>
        </w:rPr>
        <w:t>extendidas</w:t>
      </w:r>
      <w:r>
        <w:rPr>
          <w:spacing w:val="-7"/>
          <w:sz w:val="20"/>
        </w:rPr>
        <w:t> </w:t>
      </w:r>
      <w:r>
        <w:rPr>
          <w:sz w:val="20"/>
        </w:rPr>
        <w:t>por</w:t>
      </w:r>
      <w:r>
        <w:rPr>
          <w:spacing w:val="-7"/>
          <w:sz w:val="20"/>
        </w:rPr>
        <w:t> </w:t>
      </w:r>
      <w:r>
        <w:rPr>
          <w:sz w:val="20"/>
        </w:rPr>
        <w:t>la</w:t>
      </w:r>
      <w:r>
        <w:rPr>
          <w:spacing w:val="-6"/>
          <w:sz w:val="20"/>
        </w:rPr>
        <w:t> </w:t>
      </w:r>
      <w:r>
        <w:rPr>
          <w:sz w:val="20"/>
        </w:rPr>
        <w:t>directiva</w:t>
      </w:r>
      <w:r>
        <w:rPr>
          <w:spacing w:val="-8"/>
          <w:sz w:val="20"/>
        </w:rPr>
        <w:t> </w:t>
      </w:r>
      <w:r>
        <w:rPr>
          <w:sz w:val="20"/>
        </w:rPr>
        <w:t>de</w:t>
      </w:r>
      <w:r>
        <w:rPr>
          <w:spacing w:val="-6"/>
          <w:sz w:val="20"/>
        </w:rPr>
        <w:t> </w:t>
      </w:r>
      <w:r>
        <w:rPr>
          <w:sz w:val="20"/>
        </w:rPr>
        <w:t>los</w:t>
      </w:r>
      <w:r>
        <w:rPr>
          <w:spacing w:val="-6"/>
          <w:sz w:val="20"/>
        </w:rPr>
        <w:t> </w:t>
      </w:r>
      <w:r>
        <w:rPr>
          <w:spacing w:val="-2"/>
          <w:sz w:val="20"/>
        </w:rPr>
        <w:t>sindicatos.</w:t>
      </w:r>
    </w:p>
    <w:p>
      <w:pPr>
        <w:pStyle w:val="BodyText"/>
        <w:spacing w:line="242" w:lineRule="auto" w:before="228"/>
        <w:ind w:left="338" w:firstLine="288"/>
      </w:pPr>
      <w:bookmarkStart w:name="Artículo_654" w:id="816"/>
      <w:bookmarkEnd w:id="816"/>
      <w:r>
        <w:rPr/>
      </w:r>
      <w:r>
        <w:rPr>
          <w:rFonts w:ascii="Arial" w:hAnsi="Arial"/>
          <w:b/>
        </w:rPr>
        <w:t>Artículo 654.- </w:t>
      </w:r>
      <w:r>
        <w:rPr/>
        <w:t>Para los efectos de los artículos precedentes, los trabajadores y patrones formarán los padrones siguientes:</w:t>
      </w:r>
    </w:p>
    <w:p>
      <w:pPr>
        <w:pStyle w:val="ListParagraph"/>
        <w:numPr>
          <w:ilvl w:val="0"/>
          <w:numId w:val="265"/>
        </w:numPr>
        <w:tabs>
          <w:tab w:pos="1193" w:val="left" w:leader="none"/>
          <w:tab w:pos="1195" w:val="left" w:leader="none"/>
        </w:tabs>
        <w:spacing w:line="240" w:lineRule="auto" w:before="227" w:after="0"/>
        <w:ind w:left="1195" w:right="339" w:hanging="569"/>
        <w:jc w:val="both"/>
        <w:rPr>
          <w:sz w:val="20"/>
        </w:rPr>
      </w:pPr>
      <w:r>
        <w:rPr>
          <w:sz w:val="20"/>
        </w:rPr>
        <w:t>Los sindicatos de trabajadores formarán el padrón de sus miembros que satisfagan los requisitos del artículo 652, fracción I, inciso a);</w:t>
      </w:r>
    </w:p>
    <w:p>
      <w:pPr>
        <w:pStyle w:val="ListParagraph"/>
        <w:numPr>
          <w:ilvl w:val="0"/>
          <w:numId w:val="265"/>
        </w:numPr>
        <w:tabs>
          <w:tab w:pos="1192" w:val="left" w:leader="none"/>
          <w:tab w:pos="1195" w:val="left" w:leader="none"/>
        </w:tabs>
        <w:spacing w:line="242" w:lineRule="auto" w:before="229" w:after="0"/>
        <w:ind w:left="1195" w:right="343" w:hanging="569"/>
        <w:jc w:val="both"/>
        <w:rPr>
          <w:sz w:val="20"/>
        </w:rPr>
      </w:pPr>
      <w:r>
        <w:rPr>
          <w:sz w:val="20"/>
        </w:rPr>
        <w:t>Los trabajadores libres formarán el padrón de los trabajadores que participen en la designación del delegado;</w:t>
      </w:r>
    </w:p>
    <w:p>
      <w:pPr>
        <w:pStyle w:val="ListParagraph"/>
        <w:numPr>
          <w:ilvl w:val="0"/>
          <w:numId w:val="265"/>
        </w:numPr>
        <w:tabs>
          <w:tab w:pos="1191" w:val="left" w:leader="none"/>
          <w:tab w:pos="1195" w:val="left" w:leader="none"/>
        </w:tabs>
        <w:spacing w:line="240" w:lineRule="auto" w:before="227" w:after="0"/>
        <w:ind w:left="1195" w:right="340" w:hanging="569"/>
        <w:jc w:val="both"/>
        <w:rPr>
          <w:sz w:val="20"/>
        </w:rPr>
      </w:pPr>
      <w:r>
        <w:rPr>
          <w:sz w:val="20"/>
        </w:rPr>
        <w:t>Los sindicatos de patrones formarán los padrones de los trabajadores al servicio de sus miembros; y</w:t>
      </w:r>
    </w:p>
    <w:p>
      <w:pPr>
        <w:pStyle w:val="ListParagraph"/>
        <w:numPr>
          <w:ilvl w:val="0"/>
          <w:numId w:val="265"/>
        </w:numPr>
        <w:tabs>
          <w:tab w:pos="1195" w:val="left" w:leader="none"/>
        </w:tabs>
        <w:spacing w:line="240" w:lineRule="auto" w:before="229" w:after="0"/>
        <w:ind w:left="1195" w:right="0" w:hanging="569"/>
        <w:jc w:val="left"/>
        <w:rPr>
          <w:sz w:val="20"/>
        </w:rPr>
      </w:pPr>
      <w:r>
        <w:rPr>
          <w:sz w:val="20"/>
        </w:rPr>
        <w:t>Los</w:t>
      </w:r>
      <w:r>
        <w:rPr>
          <w:spacing w:val="-8"/>
          <w:sz w:val="20"/>
        </w:rPr>
        <w:t> </w:t>
      </w:r>
      <w:r>
        <w:rPr>
          <w:sz w:val="20"/>
        </w:rPr>
        <w:t>patrones</w:t>
      </w:r>
      <w:r>
        <w:rPr>
          <w:spacing w:val="-5"/>
          <w:sz w:val="20"/>
        </w:rPr>
        <w:t> </w:t>
      </w:r>
      <w:r>
        <w:rPr>
          <w:sz w:val="20"/>
        </w:rPr>
        <w:t>independientes</w:t>
      </w:r>
      <w:r>
        <w:rPr>
          <w:spacing w:val="-8"/>
          <w:sz w:val="20"/>
        </w:rPr>
        <w:t> </w:t>
      </w:r>
      <w:r>
        <w:rPr>
          <w:sz w:val="20"/>
        </w:rPr>
        <w:t>formarán</w:t>
      </w:r>
      <w:r>
        <w:rPr>
          <w:spacing w:val="-8"/>
          <w:sz w:val="20"/>
        </w:rPr>
        <w:t> </w:t>
      </w:r>
      <w:r>
        <w:rPr>
          <w:sz w:val="20"/>
        </w:rPr>
        <w:t>los</w:t>
      </w:r>
      <w:r>
        <w:rPr>
          <w:spacing w:val="-7"/>
          <w:sz w:val="20"/>
        </w:rPr>
        <w:t> </w:t>
      </w:r>
      <w:r>
        <w:rPr>
          <w:sz w:val="20"/>
        </w:rPr>
        <w:t>padrones</w:t>
      </w:r>
      <w:r>
        <w:rPr>
          <w:spacing w:val="-6"/>
          <w:sz w:val="20"/>
        </w:rPr>
        <w:t> </w:t>
      </w:r>
      <w:r>
        <w:rPr>
          <w:sz w:val="20"/>
        </w:rPr>
        <w:t>de</w:t>
      </w:r>
      <w:r>
        <w:rPr>
          <w:spacing w:val="-8"/>
          <w:sz w:val="20"/>
        </w:rPr>
        <w:t> </w:t>
      </w:r>
      <w:r>
        <w:rPr>
          <w:sz w:val="20"/>
        </w:rPr>
        <w:t>sus</w:t>
      </w:r>
      <w:r>
        <w:rPr>
          <w:spacing w:val="-7"/>
          <w:sz w:val="20"/>
        </w:rPr>
        <w:t> </w:t>
      </w:r>
      <w:r>
        <w:rPr>
          <w:spacing w:val="-2"/>
          <w:sz w:val="20"/>
        </w:rPr>
        <w:t>trabajadores.</w:t>
      </w:r>
    </w:p>
    <w:p>
      <w:pPr>
        <w:pStyle w:val="BodyText"/>
      </w:pPr>
    </w:p>
    <w:p>
      <w:pPr>
        <w:spacing w:before="0"/>
        <w:ind w:left="626" w:right="0" w:firstLine="0"/>
        <w:jc w:val="left"/>
        <w:rPr>
          <w:sz w:val="20"/>
        </w:rPr>
      </w:pPr>
      <w:bookmarkStart w:name="Artículo_655" w:id="817"/>
      <w:bookmarkEnd w:id="817"/>
      <w:r>
        <w:rPr/>
      </w:r>
      <w:r>
        <w:rPr>
          <w:rFonts w:ascii="Arial" w:hAnsi="Arial"/>
          <w:b/>
          <w:sz w:val="20"/>
        </w:rPr>
        <w:t>Artículo</w:t>
      </w:r>
      <w:r>
        <w:rPr>
          <w:rFonts w:ascii="Arial" w:hAnsi="Arial"/>
          <w:b/>
          <w:spacing w:val="-8"/>
          <w:sz w:val="20"/>
        </w:rPr>
        <w:t> </w:t>
      </w:r>
      <w:r>
        <w:rPr>
          <w:rFonts w:ascii="Arial" w:hAnsi="Arial"/>
          <w:b/>
          <w:sz w:val="20"/>
        </w:rPr>
        <w:t>655.-</w:t>
      </w:r>
      <w:r>
        <w:rPr>
          <w:rFonts w:ascii="Arial" w:hAnsi="Arial"/>
          <w:b/>
          <w:spacing w:val="-7"/>
          <w:sz w:val="20"/>
        </w:rPr>
        <w:t> </w:t>
      </w:r>
      <w:r>
        <w:rPr>
          <w:sz w:val="20"/>
        </w:rPr>
        <w:t>Los</w:t>
      </w:r>
      <w:r>
        <w:rPr>
          <w:spacing w:val="-8"/>
          <w:sz w:val="20"/>
        </w:rPr>
        <w:t> </w:t>
      </w:r>
      <w:r>
        <w:rPr>
          <w:sz w:val="20"/>
        </w:rPr>
        <w:t>padrones</w:t>
      </w:r>
      <w:r>
        <w:rPr>
          <w:spacing w:val="-7"/>
          <w:sz w:val="20"/>
        </w:rPr>
        <w:t> </w:t>
      </w:r>
      <w:r>
        <w:rPr>
          <w:sz w:val="20"/>
        </w:rPr>
        <w:t>contendrán</w:t>
      </w:r>
      <w:r>
        <w:rPr>
          <w:spacing w:val="-7"/>
          <w:sz w:val="20"/>
        </w:rPr>
        <w:t> </w:t>
      </w:r>
      <w:r>
        <w:rPr>
          <w:sz w:val="20"/>
        </w:rPr>
        <w:t>los</w:t>
      </w:r>
      <w:r>
        <w:rPr>
          <w:spacing w:val="-7"/>
          <w:sz w:val="20"/>
        </w:rPr>
        <w:t> </w:t>
      </w:r>
      <w:r>
        <w:rPr>
          <w:sz w:val="20"/>
        </w:rPr>
        <w:t>datos</w:t>
      </w:r>
      <w:r>
        <w:rPr>
          <w:spacing w:val="-8"/>
          <w:sz w:val="20"/>
        </w:rPr>
        <w:t> </w:t>
      </w:r>
      <w:r>
        <w:rPr>
          <w:spacing w:val="-2"/>
          <w:sz w:val="20"/>
        </w:rPr>
        <w:t>siguientes:</w:t>
      </w:r>
    </w:p>
    <w:p>
      <w:pPr>
        <w:pStyle w:val="ListParagraph"/>
        <w:numPr>
          <w:ilvl w:val="0"/>
          <w:numId w:val="266"/>
        </w:numPr>
        <w:tabs>
          <w:tab w:pos="1195" w:val="left" w:leader="none"/>
        </w:tabs>
        <w:spacing w:line="240" w:lineRule="auto" w:before="229" w:after="0"/>
        <w:ind w:left="1195" w:right="0" w:hanging="569"/>
        <w:jc w:val="left"/>
        <w:rPr>
          <w:sz w:val="20"/>
        </w:rPr>
      </w:pPr>
      <w:r>
        <w:rPr>
          <w:sz w:val="20"/>
        </w:rPr>
        <w:t>Denominaciones</w:t>
      </w:r>
      <w:r>
        <w:rPr>
          <w:spacing w:val="-3"/>
          <w:sz w:val="20"/>
        </w:rPr>
        <w:t> </w:t>
      </w:r>
      <w:r>
        <w:rPr>
          <w:sz w:val="20"/>
        </w:rPr>
        <w:t>y</w:t>
      </w:r>
      <w:r>
        <w:rPr>
          <w:spacing w:val="-10"/>
          <w:sz w:val="20"/>
        </w:rPr>
        <w:t> </w:t>
      </w:r>
      <w:r>
        <w:rPr>
          <w:sz w:val="20"/>
        </w:rPr>
        <w:t>domicilios</w:t>
      </w:r>
      <w:r>
        <w:rPr>
          <w:spacing w:val="-7"/>
          <w:sz w:val="20"/>
        </w:rPr>
        <w:t> </w:t>
      </w:r>
      <w:r>
        <w:rPr>
          <w:sz w:val="20"/>
        </w:rPr>
        <w:t>de</w:t>
      </w:r>
      <w:r>
        <w:rPr>
          <w:spacing w:val="-6"/>
          <w:sz w:val="20"/>
        </w:rPr>
        <w:t> </w:t>
      </w:r>
      <w:r>
        <w:rPr>
          <w:sz w:val="20"/>
        </w:rPr>
        <w:t>los</w:t>
      </w:r>
      <w:r>
        <w:rPr>
          <w:spacing w:val="-7"/>
          <w:sz w:val="20"/>
        </w:rPr>
        <w:t> </w:t>
      </w:r>
      <w:r>
        <w:rPr>
          <w:sz w:val="20"/>
        </w:rPr>
        <w:t>sindicatos</w:t>
      </w:r>
      <w:r>
        <w:rPr>
          <w:spacing w:val="-7"/>
          <w:sz w:val="20"/>
        </w:rPr>
        <w:t> </w:t>
      </w:r>
      <w:r>
        <w:rPr>
          <w:sz w:val="20"/>
        </w:rPr>
        <w:t>de</w:t>
      </w:r>
      <w:r>
        <w:rPr>
          <w:spacing w:val="-4"/>
          <w:sz w:val="20"/>
        </w:rPr>
        <w:t> </w:t>
      </w:r>
      <w:r>
        <w:rPr>
          <w:sz w:val="20"/>
        </w:rPr>
        <w:t>trabajadores</w:t>
      </w:r>
      <w:r>
        <w:rPr>
          <w:spacing w:val="-2"/>
          <w:sz w:val="20"/>
        </w:rPr>
        <w:t> </w:t>
      </w:r>
      <w:r>
        <w:rPr>
          <w:sz w:val="20"/>
        </w:rPr>
        <w:t>y</w:t>
      </w:r>
      <w:r>
        <w:rPr>
          <w:spacing w:val="-11"/>
          <w:sz w:val="20"/>
        </w:rPr>
        <w:t> </w:t>
      </w:r>
      <w:r>
        <w:rPr>
          <w:sz w:val="20"/>
        </w:rPr>
        <w:t>de</w:t>
      </w:r>
      <w:r>
        <w:rPr>
          <w:spacing w:val="-5"/>
          <w:sz w:val="20"/>
        </w:rPr>
        <w:t> </w:t>
      </w:r>
      <w:r>
        <w:rPr>
          <w:spacing w:val="-2"/>
          <w:sz w:val="20"/>
        </w:rPr>
        <w:t>patrones;</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3"/>
      </w:pPr>
    </w:p>
    <w:p>
      <w:pPr>
        <w:pStyle w:val="ListParagraph"/>
        <w:numPr>
          <w:ilvl w:val="0"/>
          <w:numId w:val="266"/>
        </w:numPr>
        <w:tabs>
          <w:tab w:pos="1195" w:val="left" w:leader="none"/>
        </w:tabs>
        <w:spacing w:line="240" w:lineRule="auto" w:before="0" w:after="0"/>
        <w:ind w:left="1195" w:right="0" w:hanging="569"/>
        <w:jc w:val="left"/>
        <w:rPr>
          <w:sz w:val="20"/>
        </w:rPr>
      </w:pPr>
      <w:r>
        <w:rPr>
          <w:sz w:val="20"/>
        </w:rPr>
        <w:t>Nombres,</w:t>
      </w:r>
      <w:r>
        <w:rPr>
          <w:spacing w:val="-8"/>
          <w:sz w:val="20"/>
        </w:rPr>
        <w:t> </w:t>
      </w:r>
      <w:r>
        <w:rPr>
          <w:sz w:val="20"/>
        </w:rPr>
        <w:t>nacionalidad,</w:t>
      </w:r>
      <w:r>
        <w:rPr>
          <w:spacing w:val="-7"/>
          <w:sz w:val="20"/>
        </w:rPr>
        <w:t> </w:t>
      </w:r>
      <w:r>
        <w:rPr>
          <w:sz w:val="20"/>
        </w:rPr>
        <w:t>edad,</w:t>
      </w:r>
      <w:r>
        <w:rPr>
          <w:spacing w:val="-8"/>
          <w:sz w:val="20"/>
        </w:rPr>
        <w:t> </w:t>
      </w:r>
      <w:r>
        <w:rPr>
          <w:sz w:val="20"/>
        </w:rPr>
        <w:t>sexo</w:t>
      </w:r>
      <w:r>
        <w:rPr>
          <w:spacing w:val="-4"/>
          <w:sz w:val="20"/>
        </w:rPr>
        <w:t> </w:t>
      </w:r>
      <w:r>
        <w:rPr>
          <w:sz w:val="20"/>
        </w:rPr>
        <w:t>y</w:t>
      </w:r>
      <w:r>
        <w:rPr>
          <w:spacing w:val="-10"/>
          <w:sz w:val="20"/>
        </w:rPr>
        <w:t> </w:t>
      </w:r>
      <w:r>
        <w:rPr>
          <w:sz w:val="20"/>
        </w:rPr>
        <w:t>empresa</w:t>
      </w:r>
      <w:r>
        <w:rPr>
          <w:spacing w:val="-7"/>
          <w:sz w:val="20"/>
        </w:rPr>
        <w:t> </w:t>
      </w:r>
      <w:r>
        <w:rPr>
          <w:sz w:val="20"/>
        </w:rPr>
        <w:t>o</w:t>
      </w:r>
      <w:r>
        <w:rPr>
          <w:spacing w:val="-9"/>
          <w:sz w:val="20"/>
        </w:rPr>
        <w:t> </w:t>
      </w:r>
      <w:r>
        <w:rPr>
          <w:sz w:val="20"/>
        </w:rPr>
        <w:t>establecimiento</w:t>
      </w:r>
      <w:r>
        <w:rPr>
          <w:spacing w:val="-7"/>
          <w:sz w:val="20"/>
        </w:rPr>
        <w:t> </w:t>
      </w:r>
      <w:r>
        <w:rPr>
          <w:sz w:val="20"/>
        </w:rPr>
        <w:t>en</w:t>
      </w:r>
      <w:r>
        <w:rPr>
          <w:spacing w:val="-6"/>
          <w:sz w:val="20"/>
        </w:rPr>
        <w:t> </w:t>
      </w:r>
      <w:r>
        <w:rPr>
          <w:sz w:val="20"/>
        </w:rPr>
        <w:t>que</w:t>
      </w:r>
      <w:r>
        <w:rPr>
          <w:spacing w:val="-7"/>
          <w:sz w:val="20"/>
        </w:rPr>
        <w:t> </w:t>
      </w:r>
      <w:r>
        <w:rPr>
          <w:sz w:val="20"/>
        </w:rPr>
        <w:t>presten</w:t>
      </w:r>
      <w:r>
        <w:rPr>
          <w:spacing w:val="-6"/>
          <w:sz w:val="20"/>
        </w:rPr>
        <w:t> </w:t>
      </w:r>
      <w:r>
        <w:rPr>
          <w:sz w:val="20"/>
        </w:rPr>
        <w:t>sus</w:t>
      </w:r>
      <w:r>
        <w:rPr>
          <w:spacing w:val="-7"/>
          <w:sz w:val="20"/>
        </w:rPr>
        <w:t> </w:t>
      </w:r>
      <w:r>
        <w:rPr>
          <w:sz w:val="20"/>
        </w:rPr>
        <w:t>servicios;</w:t>
      </w:r>
      <w:r>
        <w:rPr>
          <w:spacing w:val="-3"/>
          <w:sz w:val="20"/>
        </w:rPr>
        <w:t> </w:t>
      </w:r>
      <w:r>
        <w:rPr>
          <w:spacing w:val="-10"/>
          <w:sz w:val="20"/>
        </w:rPr>
        <w:t>y</w:t>
      </w:r>
    </w:p>
    <w:p>
      <w:pPr>
        <w:pStyle w:val="BodyText"/>
        <w:spacing w:before="1"/>
      </w:pPr>
    </w:p>
    <w:p>
      <w:pPr>
        <w:pStyle w:val="ListParagraph"/>
        <w:numPr>
          <w:ilvl w:val="0"/>
          <w:numId w:val="266"/>
        </w:numPr>
        <w:tabs>
          <w:tab w:pos="1195" w:val="left" w:leader="none"/>
        </w:tabs>
        <w:spacing w:line="240" w:lineRule="auto" w:before="0" w:after="0"/>
        <w:ind w:left="1195" w:right="0" w:hanging="569"/>
        <w:jc w:val="left"/>
        <w:rPr>
          <w:sz w:val="20"/>
        </w:rPr>
      </w:pPr>
      <w:r>
        <w:rPr>
          <w:sz w:val="20"/>
        </w:rPr>
        <w:t>Nombres</w:t>
      </w:r>
      <w:r>
        <w:rPr>
          <w:spacing w:val="-4"/>
          <w:sz w:val="20"/>
        </w:rPr>
        <w:t> </w:t>
      </w:r>
      <w:r>
        <w:rPr>
          <w:sz w:val="20"/>
        </w:rPr>
        <w:t>del</w:t>
      </w:r>
      <w:r>
        <w:rPr>
          <w:spacing w:val="-6"/>
          <w:sz w:val="20"/>
        </w:rPr>
        <w:t> </w:t>
      </w:r>
      <w:r>
        <w:rPr>
          <w:sz w:val="20"/>
        </w:rPr>
        <w:t>patrón</w:t>
      </w:r>
      <w:r>
        <w:rPr>
          <w:spacing w:val="-7"/>
          <w:sz w:val="20"/>
        </w:rPr>
        <w:t> </w:t>
      </w:r>
      <w:r>
        <w:rPr>
          <w:sz w:val="20"/>
        </w:rPr>
        <w:t>o</w:t>
      </w:r>
      <w:r>
        <w:rPr>
          <w:spacing w:val="-3"/>
          <w:sz w:val="20"/>
        </w:rPr>
        <w:t> </w:t>
      </w:r>
      <w:r>
        <w:rPr>
          <w:sz w:val="20"/>
        </w:rPr>
        <w:t>patrones,</w:t>
      </w:r>
      <w:r>
        <w:rPr>
          <w:spacing w:val="-6"/>
          <w:sz w:val="20"/>
        </w:rPr>
        <w:t> </w:t>
      </w:r>
      <w:r>
        <w:rPr>
          <w:sz w:val="20"/>
        </w:rPr>
        <w:t>domicilio</w:t>
      </w:r>
      <w:r>
        <w:rPr>
          <w:spacing w:val="-2"/>
          <w:sz w:val="20"/>
        </w:rPr>
        <w:t> </w:t>
      </w:r>
      <w:r>
        <w:rPr>
          <w:sz w:val="20"/>
        </w:rPr>
        <w:t>y</w:t>
      </w:r>
      <w:r>
        <w:rPr>
          <w:spacing w:val="-8"/>
          <w:sz w:val="20"/>
        </w:rPr>
        <w:t> </w:t>
      </w:r>
      <w:r>
        <w:rPr>
          <w:sz w:val="20"/>
        </w:rPr>
        <w:t>rama</w:t>
      </w:r>
      <w:r>
        <w:rPr>
          <w:spacing w:val="-5"/>
          <w:sz w:val="20"/>
        </w:rPr>
        <w:t> </w:t>
      </w:r>
      <w:r>
        <w:rPr>
          <w:sz w:val="20"/>
        </w:rPr>
        <w:t>de</w:t>
      </w:r>
      <w:r>
        <w:rPr>
          <w:spacing w:val="-6"/>
          <w:sz w:val="20"/>
        </w:rPr>
        <w:t> </w:t>
      </w:r>
      <w:r>
        <w:rPr>
          <w:sz w:val="20"/>
        </w:rPr>
        <w:t>la</w:t>
      </w:r>
      <w:r>
        <w:rPr>
          <w:spacing w:val="-3"/>
          <w:sz w:val="20"/>
        </w:rPr>
        <w:t> </w:t>
      </w:r>
      <w:r>
        <w:rPr>
          <w:sz w:val="20"/>
        </w:rPr>
        <w:t>industria</w:t>
      </w:r>
      <w:r>
        <w:rPr>
          <w:spacing w:val="-4"/>
          <w:sz w:val="20"/>
        </w:rPr>
        <w:t> </w:t>
      </w:r>
      <w:r>
        <w:rPr>
          <w:sz w:val="20"/>
        </w:rPr>
        <w:t>o</w:t>
      </w:r>
      <w:r>
        <w:rPr>
          <w:spacing w:val="-6"/>
          <w:sz w:val="20"/>
        </w:rPr>
        <w:t> </w:t>
      </w:r>
      <w:r>
        <w:rPr>
          <w:sz w:val="20"/>
        </w:rPr>
        <w:t>actividad</w:t>
      </w:r>
      <w:r>
        <w:rPr>
          <w:spacing w:val="-5"/>
          <w:sz w:val="20"/>
        </w:rPr>
        <w:t> </w:t>
      </w:r>
      <w:r>
        <w:rPr>
          <w:sz w:val="20"/>
        </w:rPr>
        <w:t>a</w:t>
      </w:r>
      <w:r>
        <w:rPr>
          <w:spacing w:val="-5"/>
          <w:sz w:val="20"/>
        </w:rPr>
        <w:t> </w:t>
      </w:r>
      <w:r>
        <w:rPr>
          <w:sz w:val="20"/>
        </w:rPr>
        <w:t>que</w:t>
      </w:r>
      <w:r>
        <w:rPr>
          <w:spacing w:val="-3"/>
          <w:sz w:val="20"/>
        </w:rPr>
        <w:t> </w:t>
      </w:r>
      <w:r>
        <w:rPr>
          <w:sz w:val="20"/>
        </w:rPr>
        <w:t>se</w:t>
      </w:r>
      <w:r>
        <w:rPr>
          <w:spacing w:val="-6"/>
          <w:sz w:val="20"/>
        </w:rPr>
        <w:t> </w:t>
      </w:r>
      <w:r>
        <w:rPr>
          <w:spacing w:val="-2"/>
          <w:sz w:val="20"/>
        </w:rPr>
        <w:t>dediquen.</w:t>
      </w:r>
    </w:p>
    <w:p>
      <w:pPr>
        <w:pStyle w:val="BodyText"/>
        <w:spacing w:before="1"/>
      </w:pPr>
    </w:p>
    <w:p>
      <w:pPr>
        <w:spacing w:line="229" w:lineRule="exact" w:before="0"/>
        <w:ind w:left="626" w:right="0" w:firstLine="0"/>
        <w:jc w:val="left"/>
        <w:rPr>
          <w:sz w:val="20"/>
        </w:rPr>
      </w:pPr>
      <w:bookmarkStart w:name="Artículo_656" w:id="818"/>
      <w:bookmarkEnd w:id="818"/>
      <w:r>
        <w:rPr/>
      </w:r>
      <w:r>
        <w:rPr>
          <w:rFonts w:ascii="Arial" w:hAnsi="Arial"/>
          <w:b/>
          <w:sz w:val="20"/>
        </w:rPr>
        <w:t>Artículo</w:t>
      </w:r>
      <w:r>
        <w:rPr>
          <w:rFonts w:ascii="Arial" w:hAnsi="Arial"/>
          <w:b/>
          <w:spacing w:val="-6"/>
          <w:sz w:val="20"/>
        </w:rPr>
        <w:t> </w:t>
      </w:r>
      <w:r>
        <w:rPr>
          <w:rFonts w:ascii="Arial" w:hAnsi="Arial"/>
          <w:b/>
          <w:sz w:val="20"/>
        </w:rPr>
        <w:t>656.-</w:t>
      </w:r>
      <w:r>
        <w:rPr>
          <w:rFonts w:ascii="Arial" w:hAnsi="Arial"/>
          <w:b/>
          <w:spacing w:val="-4"/>
          <w:sz w:val="20"/>
        </w:rPr>
        <w:t> </w:t>
      </w:r>
      <w:r>
        <w:rPr>
          <w:sz w:val="20"/>
        </w:rPr>
        <w:t>Se</w:t>
      </w:r>
      <w:r>
        <w:rPr>
          <w:spacing w:val="-5"/>
          <w:sz w:val="20"/>
        </w:rPr>
        <w:t> </w:t>
      </w:r>
      <w:r>
        <w:rPr>
          <w:spacing w:val="-2"/>
          <w:sz w:val="20"/>
        </w:rPr>
        <w:t>deroga.</w:t>
      </w:r>
    </w:p>
    <w:p>
      <w:pPr>
        <w:spacing w:line="183" w:lineRule="exact" w:before="0"/>
        <w:ind w:left="46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BodyText"/>
        <w:ind w:left="626"/>
      </w:pPr>
      <w:bookmarkStart w:name="Artículo_657" w:id="819"/>
      <w:bookmarkEnd w:id="819"/>
      <w:r>
        <w:rPr/>
      </w:r>
      <w:r>
        <w:rPr>
          <w:rFonts w:ascii="Arial" w:hAnsi="Arial"/>
          <w:b/>
        </w:rPr>
        <w:t>Artículo</w:t>
      </w:r>
      <w:r>
        <w:rPr>
          <w:rFonts w:ascii="Arial" w:hAnsi="Arial"/>
          <w:b/>
          <w:spacing w:val="-7"/>
        </w:rPr>
        <w:t> </w:t>
      </w:r>
      <w:r>
        <w:rPr>
          <w:rFonts w:ascii="Arial" w:hAnsi="Arial"/>
          <w:b/>
        </w:rPr>
        <w:t>657.-</w:t>
      </w:r>
      <w:r>
        <w:rPr>
          <w:rFonts w:ascii="Arial" w:hAnsi="Arial"/>
          <w:b/>
          <w:spacing w:val="-7"/>
        </w:rPr>
        <w:t> </w:t>
      </w:r>
      <w:r>
        <w:rPr/>
        <w:t>Los</w:t>
      </w:r>
      <w:r>
        <w:rPr>
          <w:spacing w:val="-7"/>
        </w:rPr>
        <w:t> </w:t>
      </w:r>
      <w:r>
        <w:rPr/>
        <w:t>Inspectores</w:t>
      </w:r>
      <w:r>
        <w:rPr>
          <w:spacing w:val="-7"/>
        </w:rPr>
        <w:t> </w:t>
      </w:r>
      <w:r>
        <w:rPr/>
        <w:t>del</w:t>
      </w:r>
      <w:r>
        <w:rPr>
          <w:spacing w:val="-7"/>
        </w:rPr>
        <w:t> </w:t>
      </w:r>
      <w:r>
        <w:rPr/>
        <w:t>Trabajo</w:t>
      </w:r>
      <w:r>
        <w:rPr>
          <w:spacing w:val="-8"/>
        </w:rPr>
        <w:t> </w:t>
      </w:r>
      <w:r>
        <w:rPr/>
        <w:t>comprobarán</w:t>
      </w:r>
      <w:r>
        <w:rPr>
          <w:spacing w:val="-6"/>
        </w:rPr>
        <w:t> </w:t>
      </w:r>
      <w:r>
        <w:rPr/>
        <w:t>y</w:t>
      </w:r>
      <w:r>
        <w:rPr>
          <w:spacing w:val="-11"/>
        </w:rPr>
        <w:t> </w:t>
      </w:r>
      <w:r>
        <w:rPr/>
        <w:t>certificarán</w:t>
      </w:r>
      <w:r>
        <w:rPr>
          <w:spacing w:val="-6"/>
        </w:rPr>
        <w:t> </w:t>
      </w:r>
      <w:r>
        <w:rPr/>
        <w:t>la</w:t>
      </w:r>
      <w:r>
        <w:rPr>
          <w:spacing w:val="-6"/>
        </w:rPr>
        <w:t> </w:t>
      </w:r>
      <w:r>
        <w:rPr/>
        <w:t>exactitud</w:t>
      </w:r>
      <w:r>
        <w:rPr>
          <w:spacing w:val="-8"/>
        </w:rPr>
        <w:t> </w:t>
      </w:r>
      <w:r>
        <w:rPr/>
        <w:t>de</w:t>
      </w:r>
      <w:r>
        <w:rPr>
          <w:spacing w:val="-6"/>
        </w:rPr>
        <w:t> </w:t>
      </w:r>
      <w:r>
        <w:rPr/>
        <w:t>los</w:t>
      </w:r>
      <w:r>
        <w:rPr>
          <w:spacing w:val="-7"/>
        </w:rPr>
        <w:t> </w:t>
      </w:r>
      <w:r>
        <w:rPr>
          <w:spacing w:val="-2"/>
        </w:rPr>
        <w:t>padrones.</w:t>
      </w:r>
    </w:p>
    <w:p>
      <w:pPr>
        <w:pStyle w:val="BodyText"/>
        <w:spacing w:before="1"/>
      </w:pPr>
    </w:p>
    <w:p>
      <w:pPr>
        <w:pStyle w:val="BodyText"/>
        <w:ind w:left="338" w:right="336" w:firstLine="288"/>
        <w:jc w:val="both"/>
      </w:pPr>
      <w:bookmarkStart w:name="Artículo_658" w:id="820"/>
      <w:bookmarkEnd w:id="820"/>
      <w:r>
        <w:rPr/>
      </w:r>
      <w:r>
        <w:rPr>
          <w:rFonts w:ascii="Arial" w:hAnsi="Arial"/>
          <w:b/>
        </w:rPr>
        <w:t>Artículo</w:t>
      </w:r>
      <w:r>
        <w:rPr>
          <w:rFonts w:ascii="Arial" w:hAnsi="Arial"/>
          <w:b/>
          <w:spacing w:val="-1"/>
        </w:rPr>
        <w:t> </w:t>
      </w:r>
      <w:r>
        <w:rPr>
          <w:rFonts w:ascii="Arial" w:hAnsi="Arial"/>
          <w:b/>
        </w:rPr>
        <w:t>658.-</w:t>
      </w:r>
      <w:r>
        <w:rPr>
          <w:rFonts w:ascii="Arial" w:hAnsi="Arial"/>
          <w:b/>
          <w:spacing w:val="-3"/>
        </w:rPr>
        <w:t> </w:t>
      </w:r>
      <w:r>
        <w:rPr/>
        <w:t>Las credenciales</w:t>
      </w:r>
      <w:r>
        <w:rPr>
          <w:spacing w:val="-3"/>
        </w:rPr>
        <w:t> </w:t>
      </w:r>
      <w:r>
        <w:rPr/>
        <w:t>deberán</w:t>
      </w:r>
      <w:r>
        <w:rPr>
          <w:spacing w:val="-4"/>
        </w:rPr>
        <w:t> </w:t>
      </w:r>
      <w:r>
        <w:rPr/>
        <w:t>registrarse</w:t>
      </w:r>
      <w:r>
        <w:rPr>
          <w:spacing w:val="-2"/>
        </w:rPr>
        <w:t> </w:t>
      </w:r>
      <w:r>
        <w:rPr/>
        <w:t>ante</w:t>
      </w:r>
      <w:r>
        <w:rPr>
          <w:spacing w:val="-3"/>
        </w:rPr>
        <w:t> </w:t>
      </w:r>
      <w:r>
        <w:rPr/>
        <w:t>la</w:t>
      </w:r>
      <w:r>
        <w:rPr>
          <w:spacing w:val="-2"/>
        </w:rPr>
        <w:t> </w:t>
      </w:r>
      <w:r>
        <w:rPr/>
        <w:t>Secretaría</w:t>
      </w:r>
      <w:r>
        <w:rPr>
          <w:spacing w:val="-2"/>
        </w:rPr>
        <w:t> </w:t>
      </w:r>
      <w:r>
        <w:rPr/>
        <w:t>del</w:t>
      </w:r>
      <w:r>
        <w:rPr>
          <w:spacing w:val="-5"/>
        </w:rPr>
        <w:t> </w:t>
      </w:r>
      <w:r>
        <w:rPr/>
        <w:t>Trabajo y</w:t>
      </w:r>
      <w:r>
        <w:rPr>
          <w:spacing w:val="-5"/>
        </w:rPr>
        <w:t> </w:t>
      </w:r>
      <w:r>
        <w:rPr/>
        <w:t>Previsión</w:t>
      </w:r>
      <w:r>
        <w:rPr>
          <w:spacing w:val="-2"/>
        </w:rPr>
        <w:t> </w:t>
      </w:r>
      <w:r>
        <w:rPr/>
        <w:t>Social</w:t>
      </w:r>
      <w:r>
        <w:rPr>
          <w:spacing w:val="-3"/>
        </w:rPr>
        <w:t> </w:t>
      </w:r>
      <w:r>
        <w:rPr/>
        <w:t>o ante las Direcciones o Departamentos del Trabajo de las Entidades Federativas, conforme a lo dispuesto en el artículo 678 de esta Ley.</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9" w:firstLine="288"/>
      </w:pPr>
      <w:r>
        <w:rPr/>
        <w:t>La</w:t>
      </w:r>
      <w:r>
        <w:rPr>
          <w:spacing w:val="23"/>
        </w:rPr>
        <w:t> </w:t>
      </w:r>
      <w:r>
        <w:rPr/>
        <w:t>autoridad</w:t>
      </w:r>
      <w:r>
        <w:rPr>
          <w:spacing w:val="23"/>
        </w:rPr>
        <w:t> </w:t>
      </w:r>
      <w:r>
        <w:rPr/>
        <w:t>registradora</w:t>
      </w:r>
      <w:r>
        <w:rPr>
          <w:spacing w:val="25"/>
        </w:rPr>
        <w:t> </w:t>
      </w:r>
      <w:r>
        <w:rPr/>
        <w:t>certificará,</w:t>
      </w:r>
      <w:r>
        <w:rPr>
          <w:spacing w:val="23"/>
        </w:rPr>
        <w:t> </w:t>
      </w:r>
      <w:r>
        <w:rPr/>
        <w:t>con</w:t>
      </w:r>
      <w:r>
        <w:rPr>
          <w:spacing w:val="23"/>
        </w:rPr>
        <w:t> </w:t>
      </w:r>
      <w:r>
        <w:rPr/>
        <w:t>vista</w:t>
      </w:r>
      <w:r>
        <w:rPr>
          <w:spacing w:val="23"/>
        </w:rPr>
        <w:t> </w:t>
      </w:r>
      <w:r>
        <w:rPr/>
        <w:t>de</w:t>
      </w:r>
      <w:r>
        <w:rPr>
          <w:spacing w:val="23"/>
        </w:rPr>
        <w:t> </w:t>
      </w:r>
      <w:r>
        <w:rPr/>
        <w:t>los</w:t>
      </w:r>
      <w:r>
        <w:rPr>
          <w:spacing w:val="24"/>
        </w:rPr>
        <w:t> </w:t>
      </w:r>
      <w:r>
        <w:rPr/>
        <w:t>datos</w:t>
      </w:r>
      <w:r>
        <w:rPr>
          <w:spacing w:val="24"/>
        </w:rPr>
        <w:t> </w:t>
      </w:r>
      <w:r>
        <w:rPr/>
        <w:t>del</w:t>
      </w:r>
      <w:r>
        <w:rPr>
          <w:spacing w:val="22"/>
        </w:rPr>
        <w:t> </w:t>
      </w:r>
      <w:r>
        <w:rPr/>
        <w:t>Inspector</w:t>
      </w:r>
      <w:r>
        <w:rPr>
          <w:spacing w:val="24"/>
        </w:rPr>
        <w:t> </w:t>
      </w:r>
      <w:r>
        <w:rPr/>
        <w:t>del</w:t>
      </w:r>
      <w:r>
        <w:rPr>
          <w:spacing w:val="22"/>
        </w:rPr>
        <w:t> </w:t>
      </w:r>
      <w:r>
        <w:rPr/>
        <w:t>Trabajo,</w:t>
      </w:r>
      <w:r>
        <w:rPr>
          <w:spacing w:val="23"/>
        </w:rPr>
        <w:t> </w:t>
      </w:r>
      <w:r>
        <w:rPr/>
        <w:t>el</w:t>
      </w:r>
      <w:r>
        <w:rPr>
          <w:spacing w:val="22"/>
        </w:rPr>
        <w:t> </w:t>
      </w:r>
      <w:r>
        <w:rPr/>
        <w:t>número</w:t>
      </w:r>
      <w:r>
        <w:rPr>
          <w:spacing w:val="23"/>
        </w:rPr>
        <w:t> </w:t>
      </w:r>
      <w:r>
        <w:rPr/>
        <w:t>de votos que corresponda a cada credencial.</w:t>
      </w:r>
    </w:p>
    <w:p>
      <w:pPr>
        <w:spacing w:before="229"/>
        <w:ind w:left="626" w:right="0" w:firstLine="0"/>
        <w:jc w:val="left"/>
        <w:rPr>
          <w:sz w:val="20"/>
        </w:rPr>
      </w:pPr>
      <w:bookmarkStart w:name="Artículo_659" w:id="821"/>
      <w:bookmarkEnd w:id="821"/>
      <w:r>
        <w:rPr/>
      </w:r>
      <w:r>
        <w:rPr>
          <w:rFonts w:ascii="Arial" w:hAnsi="Arial"/>
          <w:b/>
          <w:sz w:val="20"/>
        </w:rPr>
        <w:t>Artículo</w:t>
      </w:r>
      <w:r>
        <w:rPr>
          <w:rFonts w:ascii="Arial" w:hAnsi="Arial"/>
          <w:b/>
          <w:spacing w:val="-6"/>
          <w:sz w:val="20"/>
        </w:rPr>
        <w:t> </w:t>
      </w:r>
      <w:r>
        <w:rPr>
          <w:rFonts w:ascii="Arial" w:hAnsi="Arial"/>
          <w:b/>
          <w:sz w:val="20"/>
        </w:rPr>
        <w:t>659.-</w:t>
      </w:r>
      <w:r>
        <w:rPr>
          <w:rFonts w:ascii="Arial" w:hAnsi="Arial"/>
          <w:b/>
          <w:spacing w:val="-4"/>
          <w:sz w:val="20"/>
        </w:rPr>
        <w:t> </w:t>
      </w:r>
      <w:r>
        <w:rPr>
          <w:sz w:val="20"/>
        </w:rPr>
        <w:t>Se</w:t>
      </w:r>
      <w:r>
        <w:rPr>
          <w:spacing w:val="-5"/>
          <w:sz w:val="20"/>
        </w:rPr>
        <w:t> </w:t>
      </w:r>
      <w:r>
        <w:rPr>
          <w:spacing w:val="-2"/>
          <w:sz w:val="20"/>
        </w:rPr>
        <w:t>deroga.</w:t>
      </w:r>
    </w:p>
    <w:p>
      <w:pPr>
        <w:spacing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23-12-1974.</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229"/>
        <w:ind w:left="626"/>
      </w:pPr>
      <w:bookmarkStart w:name="Artículo_660" w:id="822"/>
      <w:bookmarkEnd w:id="822"/>
      <w:r>
        <w:rPr/>
      </w:r>
      <w:r>
        <w:rPr>
          <w:rFonts w:ascii="Arial" w:hAnsi="Arial"/>
          <w:b/>
        </w:rPr>
        <w:t>Artículo</w:t>
      </w:r>
      <w:r>
        <w:rPr>
          <w:rFonts w:ascii="Arial" w:hAnsi="Arial"/>
          <w:b/>
          <w:spacing w:val="-7"/>
        </w:rPr>
        <w:t> </w:t>
      </w:r>
      <w:r>
        <w:rPr>
          <w:rFonts w:ascii="Arial" w:hAnsi="Arial"/>
          <w:b/>
        </w:rPr>
        <w:t>660.-</w:t>
      </w:r>
      <w:r>
        <w:rPr>
          <w:rFonts w:ascii="Arial" w:hAnsi="Arial"/>
          <w:b/>
          <w:spacing w:val="-4"/>
        </w:rPr>
        <w:t> </w:t>
      </w:r>
      <w:r>
        <w:rPr/>
        <w:t>En</w:t>
      </w:r>
      <w:r>
        <w:rPr>
          <w:spacing w:val="-6"/>
        </w:rPr>
        <w:t> </w:t>
      </w:r>
      <w:r>
        <w:rPr/>
        <w:t>el</w:t>
      </w:r>
      <w:r>
        <w:rPr>
          <w:spacing w:val="-8"/>
        </w:rPr>
        <w:t> </w:t>
      </w:r>
      <w:r>
        <w:rPr/>
        <w:t>funcionamiento</w:t>
      </w:r>
      <w:r>
        <w:rPr>
          <w:spacing w:val="-8"/>
        </w:rPr>
        <w:t> </w:t>
      </w:r>
      <w:r>
        <w:rPr/>
        <w:t>de</w:t>
      </w:r>
      <w:r>
        <w:rPr>
          <w:spacing w:val="-7"/>
        </w:rPr>
        <w:t> </w:t>
      </w:r>
      <w:r>
        <w:rPr/>
        <w:t>las</w:t>
      </w:r>
      <w:r>
        <w:rPr>
          <w:spacing w:val="-6"/>
        </w:rPr>
        <w:t> </w:t>
      </w:r>
      <w:r>
        <w:rPr/>
        <w:t>convenciones</w:t>
      </w:r>
      <w:r>
        <w:rPr>
          <w:spacing w:val="-7"/>
        </w:rPr>
        <w:t> </w:t>
      </w:r>
      <w:r>
        <w:rPr/>
        <w:t>se</w:t>
      </w:r>
      <w:r>
        <w:rPr>
          <w:spacing w:val="-7"/>
        </w:rPr>
        <w:t> </w:t>
      </w:r>
      <w:r>
        <w:rPr/>
        <w:t>observarán</w:t>
      </w:r>
      <w:r>
        <w:rPr>
          <w:spacing w:val="-7"/>
        </w:rPr>
        <w:t> </w:t>
      </w:r>
      <w:r>
        <w:rPr/>
        <w:t>las</w:t>
      </w:r>
      <w:r>
        <w:rPr>
          <w:spacing w:val="-6"/>
        </w:rPr>
        <w:t> </w:t>
      </w:r>
      <w:r>
        <w:rPr/>
        <w:t>normas</w:t>
      </w:r>
      <w:r>
        <w:rPr>
          <w:spacing w:val="-7"/>
        </w:rPr>
        <w:t> </w:t>
      </w:r>
      <w:r>
        <w:rPr>
          <w:spacing w:val="-2"/>
        </w:rPr>
        <w:t>siguientes:</w:t>
      </w:r>
    </w:p>
    <w:p>
      <w:pPr>
        <w:pStyle w:val="BodyText"/>
      </w:pPr>
    </w:p>
    <w:p>
      <w:pPr>
        <w:pStyle w:val="ListParagraph"/>
        <w:numPr>
          <w:ilvl w:val="0"/>
          <w:numId w:val="267"/>
        </w:numPr>
        <w:tabs>
          <w:tab w:pos="1195" w:val="left" w:leader="none"/>
        </w:tabs>
        <w:spacing w:line="242" w:lineRule="auto" w:before="1" w:after="0"/>
        <w:ind w:left="1195" w:right="341" w:hanging="569"/>
        <w:jc w:val="left"/>
        <w:rPr>
          <w:sz w:val="20"/>
        </w:rPr>
      </w:pPr>
      <w:r>
        <w:rPr>
          <w:sz w:val="20"/>
        </w:rPr>
        <w:t>Por</w:t>
      </w:r>
      <w:r>
        <w:rPr>
          <w:spacing w:val="68"/>
          <w:sz w:val="20"/>
        </w:rPr>
        <w:t> </w:t>
      </w:r>
      <w:r>
        <w:rPr>
          <w:sz w:val="20"/>
        </w:rPr>
        <w:t>cada</w:t>
      </w:r>
      <w:r>
        <w:rPr>
          <w:spacing w:val="67"/>
          <w:sz w:val="20"/>
        </w:rPr>
        <w:t> </w:t>
      </w:r>
      <w:r>
        <w:rPr>
          <w:sz w:val="20"/>
        </w:rPr>
        <w:t>rama</w:t>
      </w:r>
      <w:r>
        <w:rPr>
          <w:spacing w:val="67"/>
          <w:sz w:val="20"/>
        </w:rPr>
        <w:t> </w:t>
      </w:r>
      <w:r>
        <w:rPr>
          <w:sz w:val="20"/>
        </w:rPr>
        <w:t>de</w:t>
      </w:r>
      <w:r>
        <w:rPr>
          <w:spacing w:val="67"/>
          <w:sz w:val="20"/>
        </w:rPr>
        <w:t> </w:t>
      </w:r>
      <w:r>
        <w:rPr>
          <w:sz w:val="20"/>
        </w:rPr>
        <w:t>actividad</w:t>
      </w:r>
      <w:r>
        <w:rPr>
          <w:spacing w:val="69"/>
          <w:sz w:val="20"/>
        </w:rPr>
        <w:t> </w:t>
      </w:r>
      <w:r>
        <w:rPr>
          <w:sz w:val="20"/>
        </w:rPr>
        <w:t>económica</w:t>
      </w:r>
      <w:r>
        <w:rPr>
          <w:spacing w:val="67"/>
          <w:sz w:val="20"/>
        </w:rPr>
        <w:t> </w:t>
      </w:r>
      <w:r>
        <w:rPr>
          <w:sz w:val="20"/>
        </w:rPr>
        <w:t>que</w:t>
      </w:r>
      <w:r>
        <w:rPr>
          <w:spacing w:val="67"/>
          <w:sz w:val="20"/>
        </w:rPr>
        <w:t> </w:t>
      </w:r>
      <w:r>
        <w:rPr>
          <w:sz w:val="20"/>
        </w:rPr>
        <w:t>deba</w:t>
      </w:r>
      <w:r>
        <w:rPr>
          <w:spacing w:val="67"/>
          <w:sz w:val="20"/>
        </w:rPr>
        <w:t> </w:t>
      </w:r>
      <w:r>
        <w:rPr>
          <w:sz w:val="20"/>
        </w:rPr>
        <w:t>estar</w:t>
      </w:r>
      <w:r>
        <w:rPr>
          <w:spacing w:val="68"/>
          <w:sz w:val="20"/>
        </w:rPr>
        <w:t> </w:t>
      </w:r>
      <w:r>
        <w:rPr>
          <w:sz w:val="20"/>
        </w:rPr>
        <w:t>representada,</w:t>
      </w:r>
      <w:r>
        <w:rPr>
          <w:spacing w:val="69"/>
          <w:sz w:val="20"/>
        </w:rPr>
        <w:t> </w:t>
      </w:r>
      <w:r>
        <w:rPr>
          <w:sz w:val="20"/>
        </w:rPr>
        <w:t>se</w:t>
      </w:r>
      <w:r>
        <w:rPr>
          <w:spacing w:val="69"/>
          <w:sz w:val="20"/>
        </w:rPr>
        <w:t> </w:t>
      </w:r>
      <w:r>
        <w:rPr>
          <w:sz w:val="20"/>
        </w:rPr>
        <w:t>celebrará</w:t>
      </w:r>
      <w:r>
        <w:rPr>
          <w:spacing w:val="67"/>
          <w:sz w:val="20"/>
        </w:rPr>
        <w:t> </w:t>
      </w:r>
      <w:r>
        <w:rPr>
          <w:sz w:val="20"/>
        </w:rPr>
        <w:t>una convención de trabajadores y otra de patrones;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67"/>
        </w:numPr>
        <w:tabs>
          <w:tab w:pos="1195" w:val="left" w:leader="none"/>
        </w:tabs>
        <w:spacing w:line="242" w:lineRule="auto" w:before="0" w:after="0"/>
        <w:ind w:left="1195" w:right="335" w:hanging="569"/>
        <w:jc w:val="left"/>
        <w:rPr>
          <w:sz w:val="20"/>
        </w:rPr>
      </w:pPr>
      <w:r>
        <w:rPr>
          <w:sz w:val="20"/>
        </w:rPr>
        <w:t>Los delegados y los patrones independientes se presentarán en las convenciones, provistos de sus credenciales;</w:t>
      </w:r>
    </w:p>
    <w:p>
      <w:pPr>
        <w:pStyle w:val="ListParagraph"/>
        <w:numPr>
          <w:ilvl w:val="0"/>
          <w:numId w:val="267"/>
        </w:numPr>
        <w:tabs>
          <w:tab w:pos="1195" w:val="left" w:leader="none"/>
        </w:tabs>
        <w:spacing w:line="240" w:lineRule="auto" w:before="227" w:after="0"/>
        <w:ind w:left="1195" w:right="344" w:hanging="569"/>
        <w:jc w:val="left"/>
        <w:rPr>
          <w:sz w:val="20"/>
        </w:rPr>
      </w:pPr>
      <w:r>
        <w:rPr>
          <w:sz w:val="20"/>
        </w:rPr>
        <w:t>Las</w:t>
      </w:r>
      <w:r>
        <w:rPr>
          <w:spacing w:val="39"/>
          <w:sz w:val="20"/>
        </w:rPr>
        <w:t> </w:t>
      </w:r>
      <w:r>
        <w:rPr>
          <w:sz w:val="20"/>
        </w:rPr>
        <w:t>convenciones</w:t>
      </w:r>
      <w:r>
        <w:rPr>
          <w:spacing w:val="38"/>
          <w:sz w:val="20"/>
        </w:rPr>
        <w:t> </w:t>
      </w:r>
      <w:r>
        <w:rPr>
          <w:sz w:val="20"/>
        </w:rPr>
        <w:t>funcionarán</w:t>
      </w:r>
      <w:r>
        <w:rPr>
          <w:spacing w:val="37"/>
          <w:sz w:val="20"/>
        </w:rPr>
        <w:t> </w:t>
      </w:r>
      <w:r>
        <w:rPr>
          <w:sz w:val="20"/>
        </w:rPr>
        <w:t>con</w:t>
      </w:r>
      <w:r>
        <w:rPr>
          <w:spacing w:val="39"/>
          <w:sz w:val="20"/>
        </w:rPr>
        <w:t> </w:t>
      </w:r>
      <w:r>
        <w:rPr>
          <w:sz w:val="20"/>
        </w:rPr>
        <w:t>el</w:t>
      </w:r>
      <w:r>
        <w:rPr>
          <w:spacing w:val="38"/>
          <w:sz w:val="20"/>
        </w:rPr>
        <w:t> </w:t>
      </w:r>
      <w:r>
        <w:rPr>
          <w:sz w:val="20"/>
        </w:rPr>
        <w:t>número</w:t>
      </w:r>
      <w:r>
        <w:rPr>
          <w:spacing w:val="38"/>
          <w:sz w:val="20"/>
        </w:rPr>
        <w:t> </w:t>
      </w:r>
      <w:r>
        <w:rPr>
          <w:sz w:val="20"/>
        </w:rPr>
        <w:t>de</w:t>
      </w:r>
      <w:r>
        <w:rPr>
          <w:spacing w:val="39"/>
          <w:sz w:val="20"/>
        </w:rPr>
        <w:t> </w:t>
      </w:r>
      <w:r>
        <w:rPr>
          <w:sz w:val="20"/>
        </w:rPr>
        <w:t>delegados</w:t>
      </w:r>
      <w:r>
        <w:rPr>
          <w:spacing w:val="40"/>
          <w:sz w:val="20"/>
        </w:rPr>
        <w:t> </w:t>
      </w:r>
      <w:r>
        <w:rPr>
          <w:sz w:val="20"/>
        </w:rPr>
        <w:t>y</w:t>
      </w:r>
      <w:r>
        <w:rPr>
          <w:spacing w:val="36"/>
          <w:sz w:val="20"/>
        </w:rPr>
        <w:t> </w:t>
      </w:r>
      <w:r>
        <w:rPr>
          <w:sz w:val="20"/>
        </w:rPr>
        <w:t>patrones</w:t>
      </w:r>
      <w:r>
        <w:rPr>
          <w:spacing w:val="39"/>
          <w:sz w:val="20"/>
        </w:rPr>
        <w:t> </w:t>
      </w:r>
      <w:r>
        <w:rPr>
          <w:sz w:val="20"/>
        </w:rPr>
        <w:t>independientes</w:t>
      </w:r>
      <w:r>
        <w:rPr>
          <w:spacing w:val="39"/>
          <w:sz w:val="20"/>
        </w:rPr>
        <w:t> </w:t>
      </w:r>
      <w:r>
        <w:rPr>
          <w:sz w:val="20"/>
        </w:rPr>
        <w:t>que </w:t>
      </w:r>
      <w:r>
        <w:rPr>
          <w:spacing w:val="-2"/>
          <w:sz w:val="20"/>
        </w:rPr>
        <w:t>concurran;</w:t>
      </w:r>
    </w:p>
    <w:p>
      <w:pPr>
        <w:pStyle w:val="ListParagraph"/>
        <w:numPr>
          <w:ilvl w:val="0"/>
          <w:numId w:val="267"/>
        </w:numPr>
        <w:tabs>
          <w:tab w:pos="1195" w:val="left" w:leader="none"/>
        </w:tabs>
        <w:spacing w:line="242" w:lineRule="auto" w:before="229" w:after="0"/>
        <w:ind w:left="1195" w:right="344" w:hanging="569"/>
        <w:jc w:val="left"/>
        <w:rPr>
          <w:sz w:val="20"/>
        </w:rPr>
      </w:pPr>
      <w:r>
        <w:rPr>
          <w:sz w:val="20"/>
        </w:rPr>
        <w:t>Los delegados y</w:t>
      </w:r>
      <w:r>
        <w:rPr>
          <w:spacing w:val="-1"/>
          <w:sz w:val="20"/>
        </w:rPr>
        <w:t> </w:t>
      </w:r>
      <w:r>
        <w:rPr>
          <w:sz w:val="20"/>
        </w:rPr>
        <w:t>los patrones independientes, tendrán en</w:t>
      </w:r>
      <w:r>
        <w:rPr>
          <w:spacing w:val="-1"/>
          <w:sz w:val="20"/>
        </w:rPr>
        <w:t> </w:t>
      </w:r>
      <w:r>
        <w:rPr>
          <w:sz w:val="20"/>
        </w:rPr>
        <w:t>las convenciones un</w:t>
      </w:r>
      <w:r>
        <w:rPr>
          <w:spacing w:val="-1"/>
          <w:sz w:val="20"/>
        </w:rPr>
        <w:t> </w:t>
      </w:r>
      <w:r>
        <w:rPr>
          <w:sz w:val="20"/>
        </w:rPr>
        <w:t>número de</w:t>
      </w:r>
      <w:r>
        <w:rPr>
          <w:spacing w:val="-1"/>
          <w:sz w:val="20"/>
        </w:rPr>
        <w:t> </w:t>
      </w:r>
      <w:r>
        <w:rPr>
          <w:sz w:val="20"/>
        </w:rPr>
        <w:t>votos igual al de los trabajadores que aparezca certificado en sus credenciales;</w:t>
      </w:r>
    </w:p>
    <w:p>
      <w:pPr>
        <w:pStyle w:val="ListParagraph"/>
        <w:numPr>
          <w:ilvl w:val="0"/>
          <w:numId w:val="267"/>
        </w:numPr>
        <w:tabs>
          <w:tab w:pos="1195" w:val="left" w:leader="none"/>
        </w:tabs>
        <w:spacing w:line="242" w:lineRule="auto" w:before="224" w:after="0"/>
        <w:ind w:left="1195" w:right="342" w:hanging="569"/>
        <w:jc w:val="left"/>
        <w:rPr>
          <w:sz w:val="20"/>
        </w:rPr>
      </w:pPr>
      <w:r>
        <w:rPr>
          <w:sz w:val="20"/>
        </w:rPr>
        <w:t>Las</w:t>
      </w:r>
      <w:r>
        <w:rPr>
          <w:spacing w:val="32"/>
          <w:sz w:val="20"/>
        </w:rPr>
        <w:t> </w:t>
      </w:r>
      <w:r>
        <w:rPr>
          <w:sz w:val="20"/>
        </w:rPr>
        <w:t>convenciones</w:t>
      </w:r>
      <w:r>
        <w:rPr>
          <w:spacing w:val="32"/>
          <w:sz w:val="20"/>
        </w:rPr>
        <w:t> </w:t>
      </w:r>
      <w:r>
        <w:rPr>
          <w:sz w:val="20"/>
        </w:rPr>
        <w:t>serán</w:t>
      </w:r>
      <w:r>
        <w:rPr>
          <w:spacing w:val="31"/>
          <w:sz w:val="20"/>
        </w:rPr>
        <w:t> </w:t>
      </w:r>
      <w:r>
        <w:rPr>
          <w:sz w:val="20"/>
        </w:rPr>
        <w:t>instaladas</w:t>
      </w:r>
      <w:r>
        <w:rPr>
          <w:spacing w:val="32"/>
          <w:sz w:val="20"/>
        </w:rPr>
        <w:t> </w:t>
      </w:r>
      <w:r>
        <w:rPr>
          <w:sz w:val="20"/>
        </w:rPr>
        <w:t>por</w:t>
      </w:r>
      <w:r>
        <w:rPr>
          <w:spacing w:val="34"/>
          <w:sz w:val="20"/>
        </w:rPr>
        <w:t> </w:t>
      </w:r>
      <w:r>
        <w:rPr>
          <w:sz w:val="20"/>
        </w:rPr>
        <w:t>el</w:t>
      </w:r>
      <w:r>
        <w:rPr>
          <w:spacing w:val="32"/>
          <w:sz w:val="20"/>
        </w:rPr>
        <w:t> </w:t>
      </w:r>
      <w:r>
        <w:rPr>
          <w:sz w:val="20"/>
        </w:rPr>
        <w:t>Secretario</w:t>
      </w:r>
      <w:r>
        <w:rPr>
          <w:spacing w:val="31"/>
          <w:sz w:val="20"/>
        </w:rPr>
        <w:t> </w:t>
      </w:r>
      <w:r>
        <w:rPr>
          <w:sz w:val="20"/>
        </w:rPr>
        <w:t>del</w:t>
      </w:r>
      <w:r>
        <w:rPr>
          <w:spacing w:val="30"/>
          <w:sz w:val="20"/>
        </w:rPr>
        <w:t> </w:t>
      </w:r>
      <w:r>
        <w:rPr>
          <w:sz w:val="20"/>
        </w:rPr>
        <w:t>Trabajo</w:t>
      </w:r>
      <w:r>
        <w:rPr>
          <w:spacing w:val="33"/>
          <w:sz w:val="20"/>
        </w:rPr>
        <w:t> </w:t>
      </w:r>
      <w:r>
        <w:rPr>
          <w:sz w:val="20"/>
        </w:rPr>
        <w:t>y</w:t>
      </w:r>
      <w:r>
        <w:rPr>
          <w:spacing w:val="28"/>
          <w:sz w:val="20"/>
        </w:rPr>
        <w:t> </w:t>
      </w:r>
      <w:r>
        <w:rPr>
          <w:sz w:val="20"/>
        </w:rPr>
        <w:t>Previsión</w:t>
      </w:r>
      <w:r>
        <w:rPr>
          <w:spacing w:val="33"/>
          <w:sz w:val="20"/>
        </w:rPr>
        <w:t> </w:t>
      </w:r>
      <w:r>
        <w:rPr>
          <w:sz w:val="20"/>
        </w:rPr>
        <w:t>Social</w:t>
      </w:r>
      <w:r>
        <w:rPr>
          <w:spacing w:val="30"/>
          <w:sz w:val="20"/>
        </w:rPr>
        <w:t> </w:t>
      </w:r>
      <w:r>
        <w:rPr>
          <w:sz w:val="20"/>
        </w:rPr>
        <w:t>o</w:t>
      </w:r>
      <w:r>
        <w:rPr>
          <w:spacing w:val="33"/>
          <w:sz w:val="20"/>
        </w:rPr>
        <w:t> </w:t>
      </w:r>
      <w:r>
        <w:rPr>
          <w:sz w:val="20"/>
        </w:rPr>
        <w:t>por</w:t>
      </w:r>
      <w:r>
        <w:rPr>
          <w:spacing w:val="32"/>
          <w:sz w:val="20"/>
        </w:rPr>
        <w:t> </w:t>
      </w:r>
      <w:r>
        <w:rPr>
          <w:sz w:val="20"/>
        </w:rPr>
        <w:t>la persona que éste designe;</w:t>
      </w:r>
    </w:p>
    <w:p>
      <w:pPr>
        <w:spacing w:line="181" w:lineRule="exact" w:before="0"/>
        <w:ind w:left="563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23-12-1974,</w:t>
      </w:r>
      <w:r>
        <w:rPr>
          <w:rFonts w:ascii="Times New Roman" w:hAnsi="Times New Roman"/>
          <w:i/>
          <w:color w:val="0000FF"/>
          <w:spacing w:val="-9"/>
          <w:sz w:val="16"/>
        </w:rPr>
        <w:t> </w:t>
      </w:r>
      <w:r>
        <w:rPr>
          <w:rFonts w:ascii="Times New Roman" w:hAnsi="Times New Roman"/>
          <w:i/>
          <w:color w:val="0000FF"/>
          <w:sz w:val="16"/>
        </w:rPr>
        <w:t>09-04-2012,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67"/>
        </w:numPr>
        <w:tabs>
          <w:tab w:pos="1195" w:val="left" w:leader="none"/>
        </w:tabs>
        <w:spacing w:line="240" w:lineRule="auto" w:before="0" w:after="0"/>
        <w:ind w:left="1195" w:right="341" w:hanging="569"/>
        <w:jc w:val="both"/>
        <w:rPr>
          <w:sz w:val="20"/>
        </w:rPr>
      </w:pPr>
      <w:r>
        <w:rPr>
          <w:sz w:val="20"/>
        </w:rPr>
        <w:t>Instalada la convención, se procederá al registro de credenciales y a la elección de la mesa directiva, que se integrará con un Presidente, dos Secretarios y</w:t>
      </w:r>
      <w:r>
        <w:rPr>
          <w:spacing w:val="-2"/>
          <w:sz w:val="20"/>
        </w:rPr>
        <w:t> </w:t>
      </w:r>
      <w:r>
        <w:rPr>
          <w:sz w:val="20"/>
        </w:rPr>
        <w:t>dos Vocales. Tomarán parte en la elección, con el número de votos que les corresponda, los delegados y los patrones independientes cuyas credenciales hubiesen quedado registradas. El cómputo se hará por dos de las personas asistentes, designadas especialmente;</w:t>
      </w:r>
    </w:p>
    <w:p>
      <w:pPr>
        <w:pStyle w:val="BodyText"/>
        <w:spacing w:before="1"/>
      </w:pPr>
    </w:p>
    <w:p>
      <w:pPr>
        <w:pStyle w:val="ListParagraph"/>
        <w:numPr>
          <w:ilvl w:val="0"/>
          <w:numId w:val="267"/>
        </w:numPr>
        <w:tabs>
          <w:tab w:pos="1193" w:val="left" w:leader="none"/>
          <w:tab w:pos="1195" w:val="left" w:leader="none"/>
        </w:tabs>
        <w:spacing w:line="240" w:lineRule="auto" w:before="0" w:after="0"/>
        <w:ind w:left="1195" w:right="344" w:hanging="569"/>
        <w:jc w:val="both"/>
        <w:rPr>
          <w:sz w:val="20"/>
        </w:rPr>
      </w:pPr>
      <w:r>
        <w:rPr>
          <w:sz w:val="20"/>
        </w:rPr>
        <w:t>Instalada la Mesa Directiva, se procederá a la revisión de las credenciales, dándoles lectura en voz</w:t>
      </w:r>
      <w:r>
        <w:rPr>
          <w:spacing w:val="-3"/>
          <w:sz w:val="20"/>
        </w:rPr>
        <w:t> </w:t>
      </w:r>
      <w:r>
        <w:rPr>
          <w:sz w:val="20"/>
        </w:rPr>
        <w:t>alta.</w:t>
      </w:r>
      <w:r>
        <w:rPr>
          <w:spacing w:val="-2"/>
          <w:sz w:val="20"/>
        </w:rPr>
        <w:t> </w:t>
      </w:r>
      <w:r>
        <w:rPr>
          <w:sz w:val="20"/>
        </w:rPr>
        <w:t>Las</w:t>
      </w:r>
      <w:r>
        <w:rPr>
          <w:spacing w:val="-1"/>
          <w:sz w:val="20"/>
        </w:rPr>
        <w:t> </w:t>
      </w:r>
      <w:r>
        <w:rPr>
          <w:sz w:val="20"/>
        </w:rPr>
        <w:t>convenciones</w:t>
      </w:r>
      <w:r>
        <w:rPr>
          <w:spacing w:val="-1"/>
          <w:sz w:val="20"/>
        </w:rPr>
        <w:t> </w:t>
      </w:r>
      <w:r>
        <w:rPr>
          <w:sz w:val="20"/>
        </w:rPr>
        <w:t>sólo podrán desechar</w:t>
      </w:r>
      <w:r>
        <w:rPr>
          <w:spacing w:val="-1"/>
          <w:sz w:val="20"/>
        </w:rPr>
        <w:t> </w:t>
      </w:r>
      <w:r>
        <w:rPr>
          <w:sz w:val="20"/>
        </w:rPr>
        <w:t>las que no reúnan los</w:t>
      </w:r>
      <w:r>
        <w:rPr>
          <w:spacing w:val="-1"/>
          <w:sz w:val="20"/>
        </w:rPr>
        <w:t> </w:t>
      </w:r>
      <w:r>
        <w:rPr>
          <w:sz w:val="20"/>
        </w:rPr>
        <w:t>requisitos</w:t>
      </w:r>
      <w:r>
        <w:rPr>
          <w:spacing w:val="-1"/>
          <w:sz w:val="20"/>
        </w:rPr>
        <w:t> </w:t>
      </w:r>
      <w:r>
        <w:rPr>
          <w:sz w:val="20"/>
        </w:rPr>
        <w:t>señalados en los artículo 652 y 653, o cuando se compruebe que los electores no pertenecen a la rama de la industria o de las actividades representadas en la convención;</w:t>
      </w:r>
    </w:p>
    <w:p>
      <w:pPr>
        <w:pStyle w:val="ListParagraph"/>
        <w:numPr>
          <w:ilvl w:val="0"/>
          <w:numId w:val="267"/>
        </w:numPr>
        <w:tabs>
          <w:tab w:pos="1193" w:val="left" w:leader="none"/>
          <w:tab w:pos="1195" w:val="left" w:leader="none"/>
        </w:tabs>
        <w:spacing w:line="242" w:lineRule="auto" w:before="229" w:after="0"/>
        <w:ind w:left="1195" w:right="342" w:hanging="569"/>
        <w:jc w:val="both"/>
        <w:rPr>
          <w:sz w:val="20"/>
        </w:rPr>
      </w:pPr>
      <w:r>
        <w:rPr>
          <w:sz w:val="20"/>
        </w:rPr>
        <w:t>Aprobadas las credenciales se procederá a la elección de los representantes, por mayoría de votos. Por cada propietario se elegirá un suplente; y</w:t>
      </w:r>
    </w:p>
    <w:p>
      <w:pPr>
        <w:pStyle w:val="ListParagraph"/>
        <w:spacing w:after="0" w:line="242" w:lineRule="auto"/>
        <w:jc w:val="both"/>
        <w:rPr>
          <w:sz w:val="20"/>
        </w:rPr>
        <w:sectPr>
          <w:pgSz w:w="12240" w:h="15840"/>
          <w:pgMar w:header="724" w:footer="712" w:top="1880" w:bottom="900" w:left="1080" w:right="1080"/>
        </w:sectPr>
      </w:pPr>
    </w:p>
    <w:p>
      <w:pPr>
        <w:pStyle w:val="BodyText"/>
        <w:spacing w:before="63"/>
      </w:pPr>
    </w:p>
    <w:p>
      <w:pPr>
        <w:pStyle w:val="ListParagraph"/>
        <w:numPr>
          <w:ilvl w:val="0"/>
          <w:numId w:val="267"/>
        </w:numPr>
        <w:tabs>
          <w:tab w:pos="1195" w:val="left" w:leader="none"/>
        </w:tabs>
        <w:spacing w:line="242" w:lineRule="auto" w:before="0" w:after="0"/>
        <w:ind w:left="1195" w:right="342" w:hanging="569"/>
        <w:jc w:val="both"/>
        <w:rPr>
          <w:sz w:val="20"/>
        </w:rPr>
      </w:pPr>
      <w:r>
        <w:rPr>
          <w:sz w:val="20"/>
        </w:rPr>
        <w:t>Concluida</w:t>
      </w:r>
      <w:r>
        <w:rPr>
          <w:spacing w:val="-2"/>
          <w:sz w:val="20"/>
        </w:rPr>
        <w:t> </w:t>
      </w:r>
      <w:r>
        <w:rPr>
          <w:sz w:val="20"/>
        </w:rPr>
        <w:t>la</w:t>
      </w:r>
      <w:r>
        <w:rPr>
          <w:spacing w:val="-2"/>
          <w:sz w:val="20"/>
        </w:rPr>
        <w:t> </w:t>
      </w:r>
      <w:r>
        <w:rPr>
          <w:sz w:val="20"/>
        </w:rPr>
        <w:t>elección,</w:t>
      </w:r>
      <w:r>
        <w:rPr>
          <w:spacing w:val="-2"/>
          <w:sz w:val="20"/>
        </w:rPr>
        <w:t> </w:t>
      </w:r>
      <w:r>
        <w:rPr>
          <w:sz w:val="20"/>
        </w:rPr>
        <w:t>se levantará</w:t>
      </w:r>
      <w:r>
        <w:rPr>
          <w:spacing w:val="-2"/>
          <w:sz w:val="20"/>
        </w:rPr>
        <w:t> </w:t>
      </w:r>
      <w:r>
        <w:rPr>
          <w:sz w:val="20"/>
        </w:rPr>
        <w:t>un</w:t>
      </w:r>
      <w:r>
        <w:rPr>
          <w:spacing w:val="-2"/>
          <w:sz w:val="20"/>
        </w:rPr>
        <w:t> </w:t>
      </w:r>
      <w:r>
        <w:rPr>
          <w:sz w:val="20"/>
        </w:rPr>
        <w:t>acta; un</w:t>
      </w:r>
      <w:r>
        <w:rPr>
          <w:spacing w:val="-3"/>
          <w:sz w:val="20"/>
        </w:rPr>
        <w:t> </w:t>
      </w:r>
      <w:r>
        <w:rPr>
          <w:sz w:val="20"/>
        </w:rPr>
        <w:t>ejemplar</w:t>
      </w:r>
      <w:r>
        <w:rPr>
          <w:spacing w:val="-1"/>
          <w:sz w:val="20"/>
        </w:rPr>
        <w:t> </w:t>
      </w:r>
      <w:r>
        <w:rPr>
          <w:sz w:val="20"/>
        </w:rPr>
        <w:t>se</w:t>
      </w:r>
      <w:r>
        <w:rPr>
          <w:spacing w:val="-2"/>
          <w:sz w:val="20"/>
        </w:rPr>
        <w:t> </w:t>
      </w:r>
      <w:r>
        <w:rPr>
          <w:sz w:val="20"/>
        </w:rPr>
        <w:t>remitirá</w:t>
      </w:r>
      <w:r>
        <w:rPr>
          <w:spacing w:val="-2"/>
          <w:sz w:val="20"/>
        </w:rPr>
        <w:t> </w:t>
      </w:r>
      <w:r>
        <w:rPr>
          <w:sz w:val="20"/>
        </w:rPr>
        <w:t>a</w:t>
      </w:r>
      <w:r>
        <w:rPr>
          <w:spacing w:val="-2"/>
          <w:sz w:val="20"/>
        </w:rPr>
        <w:t> </w:t>
      </w:r>
      <w:r>
        <w:rPr>
          <w:sz w:val="20"/>
        </w:rPr>
        <w:t>la Secretaría</w:t>
      </w:r>
      <w:r>
        <w:rPr>
          <w:spacing w:val="-2"/>
          <w:sz w:val="20"/>
        </w:rPr>
        <w:t> </w:t>
      </w:r>
      <w:r>
        <w:rPr>
          <w:sz w:val="20"/>
        </w:rPr>
        <w:t>del</w:t>
      </w:r>
      <w:r>
        <w:rPr>
          <w:spacing w:val="-3"/>
          <w:sz w:val="20"/>
        </w:rPr>
        <w:t> </w:t>
      </w:r>
      <w:r>
        <w:rPr>
          <w:sz w:val="20"/>
        </w:rPr>
        <w:t>Trabajo y Previsión Social, y dos se entregarán a los representantes electos, propietario o suplente, a fin de que les sirvan de credencial.</w:t>
      </w:r>
    </w:p>
    <w:p>
      <w:pPr>
        <w:spacing w:line="178" w:lineRule="exact" w:before="0"/>
        <w:ind w:left="563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23-12-1974,</w:t>
      </w:r>
      <w:r>
        <w:rPr>
          <w:rFonts w:ascii="Times New Roman" w:hAnsi="Times New Roman"/>
          <w:i/>
          <w:color w:val="0000FF"/>
          <w:spacing w:val="-9"/>
          <w:sz w:val="16"/>
        </w:rPr>
        <w:t> </w:t>
      </w:r>
      <w:r>
        <w:rPr>
          <w:rFonts w:ascii="Times New Roman" w:hAnsi="Times New Roman"/>
          <w:i/>
          <w:color w:val="0000FF"/>
          <w:sz w:val="16"/>
        </w:rPr>
        <w:t>09-04-2012,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37" w:firstLine="288"/>
        <w:jc w:val="both"/>
      </w:pPr>
      <w:bookmarkStart w:name="Artículo_661" w:id="823"/>
      <w:bookmarkEnd w:id="823"/>
      <w:r>
        <w:rPr/>
      </w:r>
      <w:r>
        <w:rPr>
          <w:rFonts w:ascii="Arial" w:hAnsi="Arial"/>
          <w:b/>
        </w:rPr>
        <w:t>Artículo 661.- </w:t>
      </w:r>
      <w:r>
        <w:rPr/>
        <w:t>Si ningún delegado o patrón independiente concurre a la convención o ésta no hace la elección de representantes, se entenderá que los interesados delegan la facultad en el Secretario del Trabajo y Previsión Social.</w:t>
      </w:r>
    </w:p>
    <w:p>
      <w:pPr>
        <w:spacing w:line="178" w:lineRule="exact" w:before="0"/>
        <w:ind w:left="56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57" w:firstLine="288"/>
      </w:pPr>
      <w:bookmarkStart w:name="Artículo_662" w:id="824"/>
      <w:bookmarkEnd w:id="824"/>
      <w:r>
        <w:rPr/>
      </w:r>
      <w:r>
        <w:rPr>
          <w:rFonts w:ascii="Arial" w:hAnsi="Arial"/>
          <w:b/>
        </w:rPr>
        <w:t>Artículo 662.- </w:t>
      </w:r>
      <w:r>
        <w:rPr/>
        <w:t>Los representantes electos, provistos de</w:t>
      </w:r>
      <w:r>
        <w:rPr>
          <w:spacing w:val="-1"/>
        </w:rPr>
        <w:t> </w:t>
      </w:r>
      <w:r>
        <w:rPr/>
        <w:t>sus credenciales, se</w:t>
      </w:r>
      <w:r>
        <w:rPr>
          <w:spacing w:val="-1"/>
        </w:rPr>
        <w:t> </w:t>
      </w:r>
      <w:r>
        <w:rPr/>
        <w:t>presentarán</w:t>
      </w:r>
      <w:r>
        <w:rPr>
          <w:spacing w:val="-1"/>
        </w:rPr>
        <w:t> </w:t>
      </w:r>
      <w:r>
        <w:rPr/>
        <w:t>desde luego a la Secretaría del Trabajo y Previsión Social.</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2"/>
        <w:rPr>
          <w:rFonts w:ascii="Times New Roman"/>
          <w:i/>
        </w:rPr>
      </w:pPr>
    </w:p>
    <w:p>
      <w:pPr>
        <w:spacing w:line="229" w:lineRule="exact" w:before="0"/>
        <w:ind w:left="626" w:right="0" w:firstLine="0"/>
        <w:jc w:val="left"/>
        <w:rPr>
          <w:sz w:val="20"/>
        </w:rPr>
      </w:pPr>
      <w:bookmarkStart w:name="Artículo_663" w:id="825"/>
      <w:bookmarkEnd w:id="825"/>
      <w:r>
        <w:rPr/>
      </w:r>
      <w:r>
        <w:rPr>
          <w:rFonts w:ascii="Arial" w:hAnsi="Arial"/>
          <w:b/>
          <w:sz w:val="20"/>
        </w:rPr>
        <w:t>Artículo</w:t>
      </w:r>
      <w:r>
        <w:rPr>
          <w:rFonts w:ascii="Arial" w:hAnsi="Arial"/>
          <w:b/>
          <w:spacing w:val="-6"/>
          <w:sz w:val="20"/>
        </w:rPr>
        <w:t> </w:t>
      </w:r>
      <w:r>
        <w:rPr>
          <w:rFonts w:ascii="Arial" w:hAnsi="Arial"/>
          <w:b/>
          <w:sz w:val="20"/>
        </w:rPr>
        <w:t>663.-</w:t>
      </w:r>
      <w:r>
        <w:rPr>
          <w:rFonts w:ascii="Arial" w:hAnsi="Arial"/>
          <w:b/>
          <w:spacing w:val="-4"/>
          <w:sz w:val="20"/>
        </w:rPr>
        <w:t> </w:t>
      </w:r>
      <w:r>
        <w:rPr>
          <w:sz w:val="20"/>
        </w:rPr>
        <w:t>Se</w:t>
      </w:r>
      <w:r>
        <w:rPr>
          <w:spacing w:val="-5"/>
          <w:sz w:val="20"/>
        </w:rPr>
        <w:t> </w:t>
      </w:r>
      <w:r>
        <w:rPr>
          <w:spacing w:val="-2"/>
          <w:sz w:val="20"/>
        </w:rPr>
        <w:t>deroga.</w:t>
      </w:r>
    </w:p>
    <w:p>
      <w:pPr>
        <w:spacing w:line="183" w:lineRule="exact" w:before="0"/>
        <w:ind w:left="46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line="229" w:lineRule="exact" w:before="0"/>
        <w:ind w:left="626" w:right="0" w:firstLine="0"/>
        <w:jc w:val="left"/>
        <w:rPr>
          <w:sz w:val="20"/>
        </w:rPr>
      </w:pPr>
      <w:bookmarkStart w:name="Artículo_664" w:id="826"/>
      <w:bookmarkEnd w:id="826"/>
      <w:r>
        <w:rPr/>
      </w:r>
      <w:r>
        <w:rPr>
          <w:rFonts w:ascii="Arial" w:hAnsi="Arial"/>
          <w:b/>
          <w:sz w:val="20"/>
        </w:rPr>
        <w:t>Artículo</w:t>
      </w:r>
      <w:r>
        <w:rPr>
          <w:rFonts w:ascii="Arial" w:hAnsi="Arial"/>
          <w:b/>
          <w:spacing w:val="-6"/>
          <w:sz w:val="20"/>
        </w:rPr>
        <w:t> </w:t>
      </w:r>
      <w:r>
        <w:rPr>
          <w:rFonts w:ascii="Arial" w:hAnsi="Arial"/>
          <w:b/>
          <w:sz w:val="20"/>
        </w:rPr>
        <w:t>664.-</w:t>
      </w:r>
      <w:r>
        <w:rPr>
          <w:rFonts w:ascii="Arial" w:hAnsi="Arial"/>
          <w:b/>
          <w:spacing w:val="-4"/>
          <w:sz w:val="20"/>
        </w:rPr>
        <w:t> </w:t>
      </w:r>
      <w:r>
        <w:rPr>
          <w:sz w:val="20"/>
        </w:rPr>
        <w:t>Se</w:t>
      </w:r>
      <w:r>
        <w:rPr>
          <w:spacing w:val="-5"/>
          <w:sz w:val="20"/>
        </w:rPr>
        <w:t> </w:t>
      </w:r>
      <w:r>
        <w:rPr>
          <w:spacing w:val="-2"/>
          <w:sz w:val="20"/>
        </w:rPr>
        <w:t>deroga.</w:t>
      </w:r>
    </w:p>
    <w:p>
      <w:pPr>
        <w:spacing w:line="183" w:lineRule="exact" w:before="0"/>
        <w:ind w:left="46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02-07-1976,</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1"/>
        <w:ind w:left="626" w:right="0" w:firstLine="0"/>
        <w:jc w:val="left"/>
        <w:rPr>
          <w:sz w:val="20"/>
        </w:rPr>
      </w:pPr>
      <w:bookmarkStart w:name="Artículo_665" w:id="827"/>
      <w:bookmarkEnd w:id="827"/>
      <w:r>
        <w:rPr/>
      </w:r>
      <w:r>
        <w:rPr>
          <w:rFonts w:ascii="Arial" w:hAnsi="Arial"/>
          <w:b/>
          <w:sz w:val="20"/>
        </w:rPr>
        <w:t>Artículo</w:t>
      </w:r>
      <w:r>
        <w:rPr>
          <w:rFonts w:ascii="Arial" w:hAnsi="Arial"/>
          <w:b/>
          <w:spacing w:val="-6"/>
          <w:sz w:val="20"/>
        </w:rPr>
        <w:t> </w:t>
      </w:r>
      <w:r>
        <w:rPr>
          <w:rFonts w:ascii="Arial" w:hAnsi="Arial"/>
          <w:b/>
          <w:sz w:val="20"/>
        </w:rPr>
        <w:t>665.-</w:t>
      </w:r>
      <w:r>
        <w:rPr>
          <w:rFonts w:ascii="Arial" w:hAnsi="Arial"/>
          <w:b/>
          <w:spacing w:val="-4"/>
          <w:sz w:val="20"/>
        </w:rPr>
        <w:t> </w:t>
      </w: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229"/>
        <w:ind w:left="626"/>
      </w:pPr>
      <w:bookmarkStart w:name="Artículo_666" w:id="828"/>
      <w:bookmarkEnd w:id="828"/>
      <w:r>
        <w:rPr/>
      </w:r>
      <w:r>
        <w:rPr>
          <w:rFonts w:ascii="Arial" w:hAnsi="Arial"/>
          <w:b/>
        </w:rPr>
        <w:t>Artículo</w:t>
      </w:r>
      <w:r>
        <w:rPr>
          <w:rFonts w:ascii="Arial" w:hAnsi="Arial"/>
          <w:b/>
          <w:spacing w:val="-9"/>
        </w:rPr>
        <w:t> </w:t>
      </w:r>
      <w:r>
        <w:rPr>
          <w:rFonts w:ascii="Arial" w:hAnsi="Arial"/>
          <w:b/>
        </w:rPr>
        <w:t>666.-</w:t>
      </w:r>
      <w:r>
        <w:rPr>
          <w:rFonts w:ascii="Arial" w:hAnsi="Arial"/>
          <w:b/>
          <w:spacing w:val="-8"/>
        </w:rPr>
        <w:t> </w:t>
      </w:r>
      <w:r>
        <w:rPr/>
        <w:t>Los</w:t>
      </w:r>
      <w:r>
        <w:rPr>
          <w:spacing w:val="-8"/>
        </w:rPr>
        <w:t> </w:t>
      </w:r>
      <w:r>
        <w:rPr/>
        <w:t>representantes</w:t>
      </w:r>
      <w:r>
        <w:rPr>
          <w:spacing w:val="-8"/>
        </w:rPr>
        <w:t> </w:t>
      </w:r>
      <w:r>
        <w:rPr/>
        <w:t>percibirán</w:t>
      </w:r>
      <w:r>
        <w:rPr>
          <w:spacing w:val="-7"/>
        </w:rPr>
        <w:t> </w:t>
      </w:r>
      <w:r>
        <w:rPr/>
        <w:t>las</w:t>
      </w:r>
      <w:r>
        <w:rPr>
          <w:spacing w:val="-8"/>
        </w:rPr>
        <w:t> </w:t>
      </w:r>
      <w:r>
        <w:rPr/>
        <w:t>retribuciones</w:t>
      </w:r>
      <w:r>
        <w:rPr>
          <w:spacing w:val="-8"/>
        </w:rPr>
        <w:t> </w:t>
      </w:r>
      <w:r>
        <w:rPr/>
        <w:t>que</w:t>
      </w:r>
      <w:r>
        <w:rPr>
          <w:spacing w:val="-8"/>
        </w:rPr>
        <w:t> </w:t>
      </w:r>
      <w:r>
        <w:rPr/>
        <w:t>les</w:t>
      </w:r>
      <w:r>
        <w:rPr>
          <w:spacing w:val="-6"/>
        </w:rPr>
        <w:t> </w:t>
      </w:r>
      <w:r>
        <w:rPr/>
        <w:t>asigne</w:t>
      </w:r>
      <w:r>
        <w:rPr>
          <w:spacing w:val="-10"/>
        </w:rPr>
        <w:t> </w:t>
      </w:r>
      <w:r>
        <w:rPr/>
        <w:t>el</w:t>
      </w:r>
      <w:r>
        <w:rPr>
          <w:spacing w:val="-10"/>
        </w:rPr>
        <w:t> </w:t>
      </w:r>
      <w:r>
        <w:rPr/>
        <w:t>presupuesto</w:t>
      </w:r>
      <w:r>
        <w:rPr>
          <w:spacing w:val="-9"/>
        </w:rPr>
        <w:t> </w:t>
      </w:r>
      <w:r>
        <w:rPr>
          <w:spacing w:val="-2"/>
        </w:rPr>
        <w:t>federal.</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right="342" w:firstLine="288"/>
      </w:pPr>
      <w:bookmarkStart w:name="Artículo_667" w:id="829"/>
      <w:bookmarkEnd w:id="829"/>
      <w:r>
        <w:rPr/>
      </w:r>
      <w:r>
        <w:rPr>
          <w:rFonts w:ascii="Arial" w:hAnsi="Arial"/>
          <w:b/>
        </w:rPr>
        <w:t>Artículo 667.- </w:t>
      </w:r>
      <w:r>
        <w:rPr/>
        <w:t>Los representantes de los trabajadores y</w:t>
      </w:r>
      <w:r>
        <w:rPr>
          <w:spacing w:val="-3"/>
        </w:rPr>
        <w:t> </w:t>
      </w:r>
      <w:r>
        <w:rPr/>
        <w:t>de los patrones durarán en su encargo cuatro </w:t>
      </w:r>
      <w:r>
        <w:rPr>
          <w:spacing w:val="-2"/>
        </w:rPr>
        <w:t>años.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before="1"/>
        <w:ind w:left="338" w:firstLine="288"/>
      </w:pPr>
      <w:bookmarkStart w:name="Artículo_668" w:id="830"/>
      <w:bookmarkEnd w:id="830"/>
      <w:r>
        <w:rPr/>
      </w:r>
      <w:r>
        <w:rPr>
          <w:rFonts w:ascii="Arial" w:hAnsi="Arial"/>
          <w:b/>
        </w:rPr>
        <w:t>Artículo</w:t>
      </w:r>
      <w:r>
        <w:rPr>
          <w:rFonts w:ascii="Arial" w:hAnsi="Arial"/>
          <w:b/>
          <w:spacing w:val="40"/>
        </w:rPr>
        <w:t> </w:t>
      </w:r>
      <w:r>
        <w:rPr>
          <w:rFonts w:ascii="Arial" w:hAnsi="Arial"/>
          <w:b/>
        </w:rPr>
        <w:t>668.-</w:t>
      </w:r>
      <w:r>
        <w:rPr>
          <w:rFonts w:ascii="Arial" w:hAnsi="Arial"/>
          <w:b/>
          <w:spacing w:val="40"/>
        </w:rPr>
        <w:t> </w:t>
      </w:r>
      <w:r>
        <w:rPr/>
        <w:t>La</w:t>
      </w:r>
      <w:r>
        <w:rPr>
          <w:spacing w:val="40"/>
        </w:rPr>
        <w:t> </w:t>
      </w:r>
      <w:r>
        <w:rPr/>
        <w:t>Secretaría</w:t>
      </w:r>
      <w:r>
        <w:rPr>
          <w:spacing w:val="40"/>
        </w:rPr>
        <w:t> </w:t>
      </w:r>
      <w:r>
        <w:rPr/>
        <w:t>del</w:t>
      </w:r>
      <w:r>
        <w:rPr>
          <w:spacing w:val="40"/>
        </w:rPr>
        <w:t> </w:t>
      </w:r>
      <w:r>
        <w:rPr/>
        <w:t>Trabajo</w:t>
      </w:r>
      <w:r>
        <w:rPr>
          <w:spacing w:val="40"/>
        </w:rPr>
        <w:t> </w:t>
      </w:r>
      <w:r>
        <w:rPr/>
        <w:t>y</w:t>
      </w:r>
      <w:r>
        <w:rPr>
          <w:spacing w:val="40"/>
        </w:rPr>
        <w:t> </w:t>
      </w:r>
      <w:r>
        <w:rPr/>
        <w:t>Previsión</w:t>
      </w:r>
      <w:r>
        <w:rPr>
          <w:spacing w:val="40"/>
        </w:rPr>
        <w:t> </w:t>
      </w:r>
      <w:r>
        <w:rPr/>
        <w:t>Social,</w:t>
      </w:r>
      <w:r>
        <w:rPr>
          <w:spacing w:val="40"/>
        </w:rPr>
        <w:t> </w:t>
      </w:r>
      <w:r>
        <w:rPr/>
        <w:t>conocerá</w:t>
      </w:r>
      <w:r>
        <w:rPr>
          <w:spacing w:val="40"/>
        </w:rPr>
        <w:t> </w:t>
      </w:r>
      <w:r>
        <w:rPr/>
        <w:t>de</w:t>
      </w:r>
      <w:r>
        <w:rPr>
          <w:spacing w:val="40"/>
        </w:rPr>
        <w:t> </w:t>
      </w:r>
      <w:r>
        <w:rPr/>
        <w:t>las</w:t>
      </w:r>
      <w:r>
        <w:rPr>
          <w:spacing w:val="40"/>
        </w:rPr>
        <w:t> </w:t>
      </w:r>
      <w:r>
        <w:rPr/>
        <w:t>renuncias</w:t>
      </w:r>
      <w:r>
        <w:rPr>
          <w:spacing w:val="40"/>
        </w:rPr>
        <w:t> </w:t>
      </w:r>
      <w:r>
        <w:rPr/>
        <w:t>de</w:t>
      </w:r>
      <w:r>
        <w:rPr>
          <w:spacing w:val="40"/>
        </w:rPr>
        <w:t> </w:t>
      </w:r>
      <w:r>
        <w:rPr/>
        <w:t>los</w:t>
      </w:r>
      <w:r>
        <w:rPr>
          <w:spacing w:val="80"/>
        </w:rPr>
        <w:t> </w:t>
      </w:r>
      <w:r>
        <w:rPr/>
        <w:t>representantes, aceptándolas o desechándolas, previa calificación de la causa.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626"/>
      </w:pPr>
      <w:bookmarkStart w:name="Artículo_669" w:id="831"/>
      <w:bookmarkEnd w:id="831"/>
      <w:r>
        <w:rPr/>
      </w:r>
      <w:r>
        <w:rPr>
          <w:rFonts w:ascii="Arial" w:hAnsi="Arial"/>
          <w:b/>
        </w:rPr>
        <w:t>Artículo</w:t>
      </w:r>
      <w:r>
        <w:rPr>
          <w:rFonts w:ascii="Arial" w:hAnsi="Arial"/>
          <w:b/>
          <w:spacing w:val="-7"/>
        </w:rPr>
        <w:t> </w:t>
      </w:r>
      <w:r>
        <w:rPr>
          <w:rFonts w:ascii="Arial" w:hAnsi="Arial"/>
          <w:b/>
        </w:rPr>
        <w:t>669.-</w:t>
      </w:r>
      <w:r>
        <w:rPr>
          <w:rFonts w:ascii="Arial" w:hAnsi="Arial"/>
          <w:b/>
          <w:spacing w:val="-4"/>
        </w:rPr>
        <w:t> </w:t>
      </w:r>
      <w:r>
        <w:rPr/>
        <w:t>El</w:t>
      </w:r>
      <w:r>
        <w:rPr>
          <w:spacing w:val="-8"/>
        </w:rPr>
        <w:t> </w:t>
      </w:r>
      <w:r>
        <w:rPr/>
        <w:t>cargo</w:t>
      </w:r>
      <w:r>
        <w:rPr>
          <w:spacing w:val="-7"/>
        </w:rPr>
        <w:t> </w:t>
      </w:r>
      <w:r>
        <w:rPr/>
        <w:t>de</w:t>
      </w:r>
      <w:r>
        <w:rPr>
          <w:spacing w:val="-5"/>
        </w:rPr>
        <w:t> </w:t>
      </w:r>
      <w:r>
        <w:rPr/>
        <w:t>representante</w:t>
      </w:r>
      <w:r>
        <w:rPr>
          <w:spacing w:val="-6"/>
        </w:rPr>
        <w:t> </w:t>
      </w:r>
      <w:r>
        <w:rPr/>
        <w:t>es</w:t>
      </w:r>
      <w:r>
        <w:rPr>
          <w:spacing w:val="-7"/>
        </w:rPr>
        <w:t> </w:t>
      </w:r>
      <w:r>
        <w:rPr/>
        <w:t>revocable</w:t>
      </w:r>
      <w:r>
        <w:rPr>
          <w:spacing w:val="-5"/>
        </w:rPr>
        <w:t> </w:t>
      </w:r>
      <w:r>
        <w:rPr/>
        <w:t>de</w:t>
      </w:r>
      <w:r>
        <w:rPr>
          <w:spacing w:val="-8"/>
        </w:rPr>
        <w:t> </w:t>
      </w:r>
      <w:r>
        <w:rPr/>
        <w:t>conformidad</w:t>
      </w:r>
      <w:r>
        <w:rPr>
          <w:spacing w:val="-7"/>
        </w:rPr>
        <w:t> </w:t>
      </w:r>
      <w:r>
        <w:rPr/>
        <w:t>con</w:t>
      </w:r>
      <w:r>
        <w:rPr>
          <w:spacing w:val="-6"/>
        </w:rPr>
        <w:t> </w:t>
      </w:r>
      <w:r>
        <w:rPr/>
        <w:t>las</w:t>
      </w:r>
      <w:r>
        <w:rPr>
          <w:spacing w:val="-6"/>
        </w:rPr>
        <w:t> </w:t>
      </w:r>
      <w:r>
        <w:rPr/>
        <w:t>normas</w:t>
      </w:r>
      <w:r>
        <w:rPr>
          <w:spacing w:val="-6"/>
        </w:rPr>
        <w:t> </w:t>
      </w:r>
      <w:r>
        <w:rPr>
          <w:spacing w:val="-2"/>
        </w:rPr>
        <w:t>siguientes:</w:t>
      </w:r>
    </w:p>
    <w:p>
      <w:pPr>
        <w:pStyle w:val="BodyText"/>
        <w:spacing w:before="1"/>
      </w:pPr>
    </w:p>
    <w:p>
      <w:pPr>
        <w:pStyle w:val="ListParagraph"/>
        <w:numPr>
          <w:ilvl w:val="0"/>
          <w:numId w:val="268"/>
        </w:numPr>
        <w:tabs>
          <w:tab w:pos="1193" w:val="left" w:leader="none"/>
          <w:tab w:pos="1195" w:val="left" w:leader="none"/>
        </w:tabs>
        <w:spacing w:line="240" w:lineRule="auto" w:before="0" w:after="0"/>
        <w:ind w:left="1195" w:right="342" w:hanging="569"/>
        <w:jc w:val="both"/>
        <w:rPr>
          <w:sz w:val="20"/>
        </w:rPr>
      </w:pPr>
      <w:r>
        <w:rPr>
          <w:sz w:val="20"/>
        </w:rPr>
        <w:t>Podrán solicitar la revocación las dos terceras partes de los trabajadores de las ramas de la industria</w:t>
      </w:r>
      <w:r>
        <w:rPr>
          <w:spacing w:val="-2"/>
          <w:sz w:val="20"/>
        </w:rPr>
        <w:t> </w:t>
      </w:r>
      <w:r>
        <w:rPr>
          <w:sz w:val="20"/>
        </w:rPr>
        <w:t>o</w:t>
      </w:r>
      <w:r>
        <w:rPr>
          <w:spacing w:val="-2"/>
          <w:sz w:val="20"/>
        </w:rPr>
        <w:t> </w:t>
      </w:r>
      <w:r>
        <w:rPr>
          <w:sz w:val="20"/>
        </w:rPr>
        <w:t>actividades</w:t>
      </w:r>
      <w:r>
        <w:rPr>
          <w:spacing w:val="-3"/>
          <w:sz w:val="20"/>
        </w:rPr>
        <w:t> </w:t>
      </w:r>
      <w:r>
        <w:rPr>
          <w:sz w:val="20"/>
        </w:rPr>
        <w:t>representadas</w:t>
      </w:r>
      <w:r>
        <w:rPr>
          <w:spacing w:val="-3"/>
          <w:sz w:val="20"/>
        </w:rPr>
        <w:t> </w:t>
      </w:r>
      <w:r>
        <w:rPr>
          <w:sz w:val="20"/>
        </w:rPr>
        <w:t>en</w:t>
      </w:r>
      <w:r>
        <w:rPr>
          <w:spacing w:val="-2"/>
          <w:sz w:val="20"/>
        </w:rPr>
        <w:t> </w:t>
      </w:r>
      <w:r>
        <w:rPr>
          <w:sz w:val="20"/>
        </w:rPr>
        <w:t>las</w:t>
      </w:r>
      <w:r>
        <w:rPr>
          <w:spacing w:val="-3"/>
          <w:sz w:val="20"/>
        </w:rPr>
        <w:t> </w:t>
      </w:r>
      <w:r>
        <w:rPr>
          <w:sz w:val="20"/>
        </w:rPr>
        <w:t>Comisiones</w:t>
      </w:r>
      <w:r>
        <w:rPr>
          <w:spacing w:val="-3"/>
          <w:sz w:val="20"/>
        </w:rPr>
        <w:t> </w:t>
      </w:r>
      <w:r>
        <w:rPr>
          <w:sz w:val="20"/>
        </w:rPr>
        <w:t>o</w:t>
      </w:r>
      <w:r>
        <w:rPr>
          <w:spacing w:val="-2"/>
          <w:sz w:val="20"/>
        </w:rPr>
        <w:t> </w:t>
      </w:r>
      <w:r>
        <w:rPr>
          <w:sz w:val="20"/>
        </w:rPr>
        <w:t>los</w:t>
      </w:r>
      <w:r>
        <w:rPr>
          <w:spacing w:val="-1"/>
          <w:sz w:val="20"/>
        </w:rPr>
        <w:t> </w:t>
      </w:r>
      <w:r>
        <w:rPr>
          <w:sz w:val="20"/>
        </w:rPr>
        <w:t>patrones</w:t>
      </w:r>
      <w:r>
        <w:rPr>
          <w:spacing w:val="-3"/>
          <w:sz w:val="20"/>
        </w:rPr>
        <w:t> </w:t>
      </w:r>
      <w:r>
        <w:rPr>
          <w:sz w:val="20"/>
        </w:rPr>
        <w:t>que</w:t>
      </w:r>
      <w:r>
        <w:rPr>
          <w:spacing w:val="-3"/>
          <w:sz w:val="20"/>
        </w:rPr>
        <w:t> </w:t>
      </w:r>
      <w:r>
        <w:rPr>
          <w:sz w:val="20"/>
        </w:rPr>
        <w:t>tengan</w:t>
      </w:r>
      <w:r>
        <w:rPr>
          <w:spacing w:val="-5"/>
          <w:sz w:val="20"/>
        </w:rPr>
        <w:t> </w:t>
      </w:r>
      <w:r>
        <w:rPr>
          <w:sz w:val="20"/>
        </w:rPr>
        <w:t>a</w:t>
      </w:r>
      <w:r>
        <w:rPr>
          <w:spacing w:val="-2"/>
          <w:sz w:val="20"/>
        </w:rPr>
        <w:t> </w:t>
      </w:r>
      <w:r>
        <w:rPr>
          <w:sz w:val="20"/>
        </w:rPr>
        <w:t>su</w:t>
      </w:r>
      <w:r>
        <w:rPr>
          <w:spacing w:val="-4"/>
          <w:sz w:val="20"/>
        </w:rPr>
        <w:t> </w:t>
      </w:r>
      <w:r>
        <w:rPr>
          <w:sz w:val="20"/>
        </w:rPr>
        <w:t>servicio dicha mayoría de trabajadores;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68"/>
        </w:numPr>
        <w:tabs>
          <w:tab w:pos="1195" w:val="left" w:leader="none"/>
        </w:tabs>
        <w:spacing w:line="229" w:lineRule="exact" w:before="0" w:after="0"/>
        <w:ind w:left="1195" w:right="0" w:hanging="569"/>
        <w:jc w:val="left"/>
        <w:rPr>
          <w:sz w:val="20"/>
        </w:rPr>
      </w:pPr>
      <w:r>
        <w:rPr>
          <w:sz w:val="20"/>
        </w:rPr>
        <w:t>La</w:t>
      </w:r>
      <w:r>
        <w:rPr>
          <w:spacing w:val="-8"/>
          <w:sz w:val="20"/>
        </w:rPr>
        <w:t> </w:t>
      </w:r>
      <w:r>
        <w:rPr>
          <w:sz w:val="20"/>
        </w:rPr>
        <w:t>solicitud</w:t>
      </w:r>
      <w:r>
        <w:rPr>
          <w:spacing w:val="-7"/>
          <w:sz w:val="20"/>
        </w:rPr>
        <w:t> </w:t>
      </w:r>
      <w:r>
        <w:rPr>
          <w:sz w:val="20"/>
        </w:rPr>
        <w:t>se</w:t>
      </w:r>
      <w:r>
        <w:rPr>
          <w:spacing w:val="-5"/>
          <w:sz w:val="20"/>
        </w:rPr>
        <w:t> </w:t>
      </w:r>
      <w:r>
        <w:rPr>
          <w:sz w:val="20"/>
        </w:rPr>
        <w:t>presentará</w:t>
      </w:r>
      <w:r>
        <w:rPr>
          <w:spacing w:val="-7"/>
          <w:sz w:val="20"/>
        </w:rPr>
        <w:t> </w:t>
      </w:r>
      <w:r>
        <w:rPr>
          <w:sz w:val="20"/>
        </w:rPr>
        <w:t>al</w:t>
      </w:r>
      <w:r>
        <w:rPr>
          <w:spacing w:val="-7"/>
          <w:sz w:val="20"/>
        </w:rPr>
        <w:t> </w:t>
      </w:r>
      <w:r>
        <w:rPr>
          <w:sz w:val="20"/>
        </w:rPr>
        <w:t>Secretario</w:t>
      </w:r>
      <w:r>
        <w:rPr>
          <w:spacing w:val="-7"/>
          <w:sz w:val="20"/>
        </w:rPr>
        <w:t> </w:t>
      </w:r>
      <w:r>
        <w:rPr>
          <w:sz w:val="20"/>
        </w:rPr>
        <w:t>del</w:t>
      </w:r>
      <w:r>
        <w:rPr>
          <w:spacing w:val="-8"/>
          <w:sz w:val="20"/>
        </w:rPr>
        <w:t> </w:t>
      </w:r>
      <w:r>
        <w:rPr>
          <w:sz w:val="20"/>
        </w:rPr>
        <w:t>Trabajo</w:t>
      </w:r>
      <w:r>
        <w:rPr>
          <w:spacing w:val="-4"/>
          <w:sz w:val="20"/>
        </w:rPr>
        <w:t> </w:t>
      </w:r>
      <w:r>
        <w:rPr>
          <w:sz w:val="20"/>
        </w:rPr>
        <w:t>y</w:t>
      </w:r>
      <w:r>
        <w:rPr>
          <w:spacing w:val="-8"/>
          <w:sz w:val="20"/>
        </w:rPr>
        <w:t> </w:t>
      </w:r>
      <w:r>
        <w:rPr>
          <w:sz w:val="20"/>
        </w:rPr>
        <w:t>Previsión</w:t>
      </w:r>
      <w:r>
        <w:rPr>
          <w:spacing w:val="-6"/>
          <w:sz w:val="20"/>
        </w:rPr>
        <w:t> </w:t>
      </w:r>
      <w:r>
        <w:rPr>
          <w:spacing w:val="-2"/>
          <w:sz w:val="20"/>
        </w:rPr>
        <w:t>Social;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23-12-1974,</w:t>
      </w:r>
      <w:r>
        <w:rPr>
          <w:rFonts w:ascii="Times New Roman" w:hAnsi="Times New Roman"/>
          <w:i/>
          <w:color w:val="0000FF"/>
          <w:spacing w:val="-9"/>
          <w:sz w:val="16"/>
        </w:rPr>
        <w:t> </w:t>
      </w:r>
      <w:r>
        <w:rPr>
          <w:rFonts w:ascii="Times New Roman" w:hAnsi="Times New Roman"/>
          <w:i/>
          <w:color w:val="0000FF"/>
          <w:sz w:val="16"/>
        </w:rPr>
        <w:t>09-04-2012,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68"/>
        </w:numPr>
        <w:tabs>
          <w:tab w:pos="1195" w:val="left" w:leader="none"/>
        </w:tabs>
        <w:spacing w:line="242" w:lineRule="auto" w:before="1" w:after="0"/>
        <w:ind w:left="1195" w:right="345" w:hanging="569"/>
        <w:jc w:val="left"/>
        <w:rPr>
          <w:sz w:val="20"/>
        </w:rPr>
      </w:pPr>
      <w:r>
        <w:rPr>
          <w:sz w:val="20"/>
        </w:rPr>
        <w:t>La</w:t>
      </w:r>
      <w:r>
        <w:rPr>
          <w:spacing w:val="32"/>
          <w:sz w:val="20"/>
        </w:rPr>
        <w:t> </w:t>
      </w:r>
      <w:r>
        <w:rPr>
          <w:sz w:val="20"/>
        </w:rPr>
        <w:t>autoridad</w:t>
      </w:r>
      <w:r>
        <w:rPr>
          <w:spacing w:val="34"/>
          <w:sz w:val="20"/>
        </w:rPr>
        <w:t> </w:t>
      </w:r>
      <w:r>
        <w:rPr>
          <w:sz w:val="20"/>
        </w:rPr>
        <w:t>que</w:t>
      </w:r>
      <w:r>
        <w:rPr>
          <w:spacing w:val="32"/>
          <w:sz w:val="20"/>
        </w:rPr>
        <w:t> </w:t>
      </w:r>
      <w:r>
        <w:rPr>
          <w:sz w:val="20"/>
        </w:rPr>
        <w:t>reciba</w:t>
      </w:r>
      <w:r>
        <w:rPr>
          <w:spacing w:val="34"/>
          <w:sz w:val="20"/>
        </w:rPr>
        <w:t> </w:t>
      </w:r>
      <w:r>
        <w:rPr>
          <w:sz w:val="20"/>
        </w:rPr>
        <w:t>la</w:t>
      </w:r>
      <w:r>
        <w:rPr>
          <w:spacing w:val="32"/>
          <w:sz w:val="20"/>
        </w:rPr>
        <w:t> </w:t>
      </w:r>
      <w:r>
        <w:rPr>
          <w:sz w:val="20"/>
        </w:rPr>
        <w:t>solicitud,</w:t>
      </w:r>
      <w:r>
        <w:rPr>
          <w:spacing w:val="32"/>
          <w:sz w:val="20"/>
        </w:rPr>
        <w:t> </w:t>
      </w:r>
      <w:r>
        <w:rPr>
          <w:sz w:val="20"/>
        </w:rPr>
        <w:t>después</w:t>
      </w:r>
      <w:r>
        <w:rPr>
          <w:spacing w:val="33"/>
          <w:sz w:val="20"/>
        </w:rPr>
        <w:t> </w:t>
      </w:r>
      <w:r>
        <w:rPr>
          <w:sz w:val="20"/>
        </w:rPr>
        <w:t>de</w:t>
      </w:r>
      <w:r>
        <w:rPr>
          <w:spacing w:val="34"/>
          <w:sz w:val="20"/>
        </w:rPr>
        <w:t> </w:t>
      </w:r>
      <w:r>
        <w:rPr>
          <w:sz w:val="20"/>
        </w:rPr>
        <w:t>verificar</w:t>
      </w:r>
      <w:r>
        <w:rPr>
          <w:spacing w:val="33"/>
          <w:sz w:val="20"/>
        </w:rPr>
        <w:t> </w:t>
      </w:r>
      <w:r>
        <w:rPr>
          <w:sz w:val="20"/>
        </w:rPr>
        <w:t>el</w:t>
      </w:r>
      <w:r>
        <w:rPr>
          <w:spacing w:val="31"/>
          <w:sz w:val="20"/>
        </w:rPr>
        <w:t> </w:t>
      </w:r>
      <w:r>
        <w:rPr>
          <w:sz w:val="20"/>
        </w:rPr>
        <w:t>requisito</w:t>
      </w:r>
      <w:r>
        <w:rPr>
          <w:spacing w:val="34"/>
          <w:sz w:val="20"/>
        </w:rPr>
        <w:t> </w:t>
      </w:r>
      <w:r>
        <w:rPr>
          <w:sz w:val="20"/>
        </w:rPr>
        <w:t>de</w:t>
      </w:r>
      <w:r>
        <w:rPr>
          <w:spacing w:val="34"/>
          <w:sz w:val="20"/>
        </w:rPr>
        <w:t> </w:t>
      </w:r>
      <w:r>
        <w:rPr>
          <w:sz w:val="20"/>
        </w:rPr>
        <w:t>la</w:t>
      </w:r>
      <w:r>
        <w:rPr>
          <w:spacing w:val="32"/>
          <w:sz w:val="20"/>
        </w:rPr>
        <w:t> </w:t>
      </w:r>
      <w:r>
        <w:rPr>
          <w:sz w:val="20"/>
        </w:rPr>
        <w:t>mayoría,</w:t>
      </w:r>
      <w:r>
        <w:rPr>
          <w:spacing w:val="32"/>
          <w:sz w:val="20"/>
        </w:rPr>
        <w:t> </w:t>
      </w:r>
      <w:r>
        <w:rPr>
          <w:sz w:val="20"/>
        </w:rPr>
        <w:t>hará</w:t>
      </w:r>
      <w:r>
        <w:rPr>
          <w:spacing w:val="35"/>
          <w:sz w:val="20"/>
        </w:rPr>
        <w:t> </w:t>
      </w:r>
      <w:r>
        <w:rPr>
          <w:sz w:val="20"/>
        </w:rPr>
        <w:t>la declaratoria correspondiente y llamará al suplente, a fin de que rinda la protesta legal; y</w:t>
      </w:r>
    </w:p>
    <w:p>
      <w:pPr>
        <w:pStyle w:val="ListParagraph"/>
        <w:numPr>
          <w:ilvl w:val="0"/>
          <w:numId w:val="268"/>
        </w:numPr>
        <w:tabs>
          <w:tab w:pos="1195" w:val="left" w:leader="none"/>
        </w:tabs>
        <w:spacing w:line="242" w:lineRule="auto" w:before="224" w:after="0"/>
        <w:ind w:left="1195" w:right="343" w:hanging="569"/>
        <w:jc w:val="left"/>
        <w:rPr>
          <w:sz w:val="20"/>
        </w:rPr>
      </w:pPr>
      <w:r>
        <w:rPr>
          <w:sz w:val="20"/>
        </w:rPr>
        <w:t>A</w:t>
      </w:r>
      <w:r>
        <w:rPr>
          <w:spacing w:val="-3"/>
          <w:sz w:val="20"/>
        </w:rPr>
        <w:t> </w:t>
      </w:r>
      <w:r>
        <w:rPr>
          <w:sz w:val="20"/>
        </w:rPr>
        <w:t>falta</w:t>
      </w:r>
      <w:r>
        <w:rPr>
          <w:spacing w:val="-3"/>
          <w:sz w:val="20"/>
        </w:rPr>
        <w:t> </w:t>
      </w:r>
      <w:r>
        <w:rPr>
          <w:sz w:val="20"/>
        </w:rPr>
        <w:t>de</w:t>
      </w:r>
      <w:r>
        <w:rPr>
          <w:spacing w:val="-3"/>
          <w:sz w:val="20"/>
        </w:rPr>
        <w:t> </w:t>
      </w:r>
      <w:r>
        <w:rPr>
          <w:sz w:val="20"/>
        </w:rPr>
        <w:t>suplente</w:t>
      </w:r>
      <w:r>
        <w:rPr>
          <w:spacing w:val="-2"/>
          <w:sz w:val="20"/>
        </w:rPr>
        <w:t> </w:t>
      </w:r>
      <w:r>
        <w:rPr>
          <w:sz w:val="20"/>
        </w:rPr>
        <w:t>o</w:t>
      </w:r>
      <w:r>
        <w:rPr>
          <w:spacing w:val="-4"/>
          <w:sz w:val="20"/>
        </w:rPr>
        <w:t> </w:t>
      </w:r>
      <w:r>
        <w:rPr>
          <w:sz w:val="20"/>
        </w:rPr>
        <w:t>cuando</w:t>
      </w:r>
      <w:r>
        <w:rPr>
          <w:spacing w:val="-3"/>
          <w:sz w:val="20"/>
        </w:rPr>
        <w:t> </w:t>
      </w:r>
      <w:r>
        <w:rPr>
          <w:sz w:val="20"/>
        </w:rPr>
        <w:t>la</w:t>
      </w:r>
      <w:r>
        <w:rPr>
          <w:spacing w:val="-3"/>
          <w:sz w:val="20"/>
        </w:rPr>
        <w:t> </w:t>
      </w:r>
      <w:r>
        <w:rPr>
          <w:sz w:val="20"/>
        </w:rPr>
        <w:t>revocación</w:t>
      </w:r>
      <w:r>
        <w:rPr>
          <w:spacing w:val="-2"/>
          <w:sz w:val="20"/>
        </w:rPr>
        <w:t> </w:t>
      </w:r>
      <w:r>
        <w:rPr>
          <w:sz w:val="20"/>
        </w:rPr>
        <w:t>del</w:t>
      </w:r>
      <w:r>
        <w:rPr>
          <w:spacing w:val="-4"/>
          <w:sz w:val="20"/>
        </w:rPr>
        <w:t> </w:t>
      </w:r>
      <w:r>
        <w:rPr>
          <w:sz w:val="20"/>
        </w:rPr>
        <w:t>nombramiento</w:t>
      </w:r>
      <w:r>
        <w:rPr>
          <w:spacing w:val="-4"/>
          <w:sz w:val="20"/>
        </w:rPr>
        <w:t> </w:t>
      </w:r>
      <w:r>
        <w:rPr>
          <w:sz w:val="20"/>
        </w:rPr>
        <w:t>le</w:t>
      </w:r>
      <w:r>
        <w:rPr>
          <w:spacing w:val="-2"/>
          <w:sz w:val="20"/>
        </w:rPr>
        <w:t> </w:t>
      </w:r>
      <w:r>
        <w:rPr>
          <w:sz w:val="20"/>
        </w:rPr>
        <w:t>afecte,</w:t>
      </w:r>
      <w:r>
        <w:rPr>
          <w:spacing w:val="-2"/>
          <w:sz w:val="20"/>
        </w:rPr>
        <w:t> </w:t>
      </w:r>
      <w:r>
        <w:rPr>
          <w:sz w:val="20"/>
        </w:rPr>
        <w:t>al</w:t>
      </w:r>
      <w:r>
        <w:rPr>
          <w:spacing w:val="-2"/>
          <w:sz w:val="20"/>
        </w:rPr>
        <w:t> </w:t>
      </w:r>
      <w:r>
        <w:rPr>
          <w:sz w:val="20"/>
        </w:rPr>
        <w:t>hacerse</w:t>
      </w:r>
      <w:r>
        <w:rPr>
          <w:spacing w:val="-2"/>
          <w:sz w:val="20"/>
        </w:rPr>
        <w:t> </w:t>
      </w:r>
      <w:r>
        <w:rPr>
          <w:sz w:val="20"/>
        </w:rPr>
        <w:t>la</w:t>
      </w:r>
      <w:r>
        <w:rPr>
          <w:spacing w:val="-2"/>
          <w:sz w:val="20"/>
        </w:rPr>
        <w:t> </w:t>
      </w:r>
      <w:r>
        <w:rPr>
          <w:sz w:val="20"/>
        </w:rPr>
        <w:t>solicitud</w:t>
      </w:r>
      <w:r>
        <w:rPr>
          <w:spacing w:val="-2"/>
          <w:sz w:val="20"/>
        </w:rPr>
        <w:t> </w:t>
      </w:r>
      <w:r>
        <w:rPr>
          <w:sz w:val="20"/>
        </w:rPr>
        <w:t>de revocación, deberán señalarse los nombres de los substitutos.</w:t>
      </w:r>
    </w:p>
    <w:p>
      <w:pPr>
        <w:pStyle w:val="BodyText"/>
        <w:spacing w:line="242" w:lineRule="auto" w:before="225"/>
        <w:ind w:left="338" w:right="343" w:firstLine="288"/>
        <w:jc w:val="both"/>
      </w:pPr>
      <w:bookmarkStart w:name="Artículo_670" w:id="832"/>
      <w:bookmarkEnd w:id="832"/>
      <w:r>
        <w:rPr/>
      </w:r>
      <w:r>
        <w:rPr>
          <w:rFonts w:ascii="Arial" w:hAnsi="Arial"/>
          <w:b/>
        </w:rPr>
        <w:t>Artículo 670.- </w:t>
      </w:r>
      <w:r>
        <w:rPr/>
        <w:t>Las faltas temporales o definitivas de los representantes serán cubiertas por los suplentes. A falta de éstos, el Secretario del Trabajo y Previsión Social, hará la designación del</w:t>
      </w:r>
      <w:r>
        <w:rPr>
          <w:spacing w:val="40"/>
        </w:rPr>
        <w:t> </w:t>
      </w:r>
      <w:r>
        <w:rPr/>
        <w:t>substituto, que deberá recaer en un trabajador o patrón.</w:t>
      </w:r>
    </w:p>
    <w:p>
      <w:pPr>
        <w:spacing w:line="178" w:lineRule="exact" w:before="0"/>
        <w:ind w:left="56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8" w:lineRule="exact"/>
        <w:jc w:val="lef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spacing w:before="0"/>
        <w:ind w:left="626" w:right="0" w:firstLine="0"/>
        <w:jc w:val="left"/>
        <w:rPr>
          <w:sz w:val="20"/>
        </w:rPr>
      </w:pPr>
      <w:bookmarkStart w:name="Artículo_671" w:id="833"/>
      <w:bookmarkEnd w:id="833"/>
      <w:r>
        <w:rPr/>
      </w:r>
      <w:r>
        <w:rPr>
          <w:rFonts w:ascii="Arial" w:hAnsi="Arial"/>
          <w:b/>
          <w:sz w:val="20"/>
        </w:rPr>
        <w:t>Artículo</w:t>
      </w:r>
      <w:r>
        <w:rPr>
          <w:rFonts w:ascii="Arial" w:hAnsi="Arial"/>
          <w:b/>
          <w:spacing w:val="-6"/>
          <w:sz w:val="20"/>
        </w:rPr>
        <w:t> </w:t>
      </w:r>
      <w:r>
        <w:rPr>
          <w:rFonts w:ascii="Arial" w:hAnsi="Arial"/>
          <w:b/>
          <w:sz w:val="20"/>
        </w:rPr>
        <w:t>671.-</w:t>
      </w:r>
      <w:r>
        <w:rPr>
          <w:rFonts w:ascii="Arial" w:hAnsi="Arial"/>
          <w:b/>
          <w:spacing w:val="-4"/>
          <w:sz w:val="20"/>
        </w:rPr>
        <w:t> </w:t>
      </w: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line="229" w:lineRule="exact" w:before="1"/>
        <w:ind w:left="626" w:right="0" w:firstLine="0"/>
        <w:jc w:val="left"/>
        <w:rPr>
          <w:sz w:val="20"/>
        </w:rPr>
      </w:pPr>
      <w:bookmarkStart w:name="Artículo_672" w:id="834"/>
      <w:bookmarkEnd w:id="834"/>
      <w:r>
        <w:rPr/>
      </w:r>
      <w:r>
        <w:rPr>
          <w:rFonts w:ascii="Arial" w:hAnsi="Arial"/>
          <w:b/>
          <w:sz w:val="20"/>
        </w:rPr>
        <w:t>Artículo</w:t>
      </w:r>
      <w:r>
        <w:rPr>
          <w:rFonts w:ascii="Arial" w:hAnsi="Arial"/>
          <w:b/>
          <w:spacing w:val="-6"/>
          <w:sz w:val="20"/>
        </w:rPr>
        <w:t> </w:t>
      </w:r>
      <w:r>
        <w:rPr>
          <w:rFonts w:ascii="Arial" w:hAnsi="Arial"/>
          <w:b/>
          <w:sz w:val="20"/>
        </w:rPr>
        <w:t>672.-</w:t>
      </w:r>
      <w:r>
        <w:rPr>
          <w:rFonts w:ascii="Arial" w:hAnsi="Arial"/>
          <w:b/>
          <w:spacing w:val="-4"/>
          <w:sz w:val="20"/>
        </w:rPr>
        <w:t> </w:t>
      </w:r>
      <w:r>
        <w:rPr>
          <w:sz w:val="20"/>
        </w:rPr>
        <w:t>Se</w:t>
      </w:r>
      <w:r>
        <w:rPr>
          <w:spacing w:val="-5"/>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0"/>
        <w:ind w:left="626" w:right="0" w:firstLine="0"/>
        <w:jc w:val="left"/>
        <w:rPr>
          <w:sz w:val="20"/>
        </w:rPr>
      </w:pPr>
      <w:bookmarkStart w:name="Artículo_673" w:id="835"/>
      <w:bookmarkEnd w:id="835"/>
      <w:r>
        <w:rPr/>
      </w:r>
      <w:r>
        <w:rPr>
          <w:rFonts w:ascii="Arial" w:hAnsi="Arial"/>
          <w:b/>
          <w:sz w:val="20"/>
        </w:rPr>
        <w:t>Artículo</w:t>
      </w:r>
      <w:r>
        <w:rPr>
          <w:rFonts w:ascii="Arial" w:hAnsi="Arial"/>
          <w:b/>
          <w:spacing w:val="-6"/>
          <w:sz w:val="20"/>
        </w:rPr>
        <w:t> </w:t>
      </w:r>
      <w:r>
        <w:rPr>
          <w:rFonts w:ascii="Arial" w:hAnsi="Arial"/>
          <w:b/>
          <w:sz w:val="20"/>
        </w:rPr>
        <w:t>673.-</w:t>
      </w:r>
      <w:r>
        <w:rPr>
          <w:rFonts w:ascii="Arial" w:hAnsi="Arial"/>
          <w:b/>
          <w:spacing w:val="-4"/>
          <w:sz w:val="20"/>
        </w:rPr>
        <w:t> </w:t>
      </w: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626" w:right="0" w:firstLine="0"/>
        <w:jc w:val="left"/>
        <w:rPr>
          <w:sz w:val="20"/>
        </w:rPr>
      </w:pPr>
      <w:bookmarkStart w:name="Artículo_674" w:id="836"/>
      <w:bookmarkEnd w:id="836"/>
      <w:r>
        <w:rPr/>
      </w:r>
      <w:r>
        <w:rPr>
          <w:rFonts w:ascii="Arial" w:hAnsi="Arial"/>
          <w:b/>
          <w:sz w:val="20"/>
        </w:rPr>
        <w:t>Artículo</w:t>
      </w:r>
      <w:r>
        <w:rPr>
          <w:rFonts w:ascii="Arial" w:hAnsi="Arial"/>
          <w:b/>
          <w:spacing w:val="-6"/>
          <w:sz w:val="20"/>
        </w:rPr>
        <w:t> </w:t>
      </w:r>
      <w:r>
        <w:rPr>
          <w:rFonts w:ascii="Arial" w:hAnsi="Arial"/>
          <w:b/>
          <w:sz w:val="20"/>
        </w:rPr>
        <w:t>674.-</w:t>
      </w:r>
      <w:r>
        <w:rPr>
          <w:rFonts w:ascii="Arial" w:hAnsi="Arial"/>
          <w:b/>
          <w:spacing w:val="-4"/>
          <w:sz w:val="20"/>
        </w:rPr>
        <w:t> </w:t>
      </w:r>
      <w:r>
        <w:rPr>
          <w:sz w:val="20"/>
        </w:rPr>
        <w:t>Se</w:t>
      </w:r>
      <w:r>
        <w:rPr>
          <w:spacing w:val="-5"/>
          <w:sz w:val="20"/>
        </w:rPr>
        <w:t> </w:t>
      </w:r>
      <w:r>
        <w:rPr>
          <w:spacing w:val="-2"/>
          <w:sz w:val="20"/>
        </w:rPr>
        <w:t>deroga.</w:t>
      </w:r>
    </w:p>
    <w:p>
      <w:pPr>
        <w:spacing w:before="0"/>
        <w:ind w:left="46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sz w:val="12"/>
        </w:rPr>
      </w:pPr>
    </w:p>
    <w:p>
      <w:pPr>
        <w:pStyle w:val="BodyText"/>
        <w:spacing w:after="0"/>
        <w:rPr>
          <w:rFonts w:ascii="Times New Roman"/>
          <w:i/>
          <w:sz w:val="12"/>
        </w:rPr>
        <w:sectPr>
          <w:pgSz w:w="12240" w:h="15840"/>
          <w:pgMar w:header="724" w:footer="712" w:top="1880" w:bottom="900" w:left="1080" w:right="1080"/>
        </w:sectPr>
      </w:pPr>
    </w:p>
    <w:p>
      <w:pPr>
        <w:spacing w:before="93"/>
        <w:ind w:left="626" w:right="0" w:firstLine="0"/>
        <w:jc w:val="left"/>
        <w:rPr>
          <w:sz w:val="20"/>
        </w:rPr>
      </w:pPr>
      <w:bookmarkStart w:name="Artículo_675" w:id="837"/>
      <w:bookmarkEnd w:id="837"/>
      <w:r>
        <w:rPr/>
      </w:r>
      <w:r>
        <w:rPr>
          <w:rFonts w:ascii="Arial" w:hAnsi="Arial"/>
          <w:b/>
          <w:sz w:val="20"/>
        </w:rPr>
        <w:t>Artículo</w:t>
      </w:r>
      <w:r>
        <w:rPr>
          <w:rFonts w:ascii="Arial" w:hAnsi="Arial"/>
          <w:b/>
          <w:spacing w:val="-6"/>
          <w:sz w:val="20"/>
        </w:rPr>
        <w:t> </w:t>
      </w:r>
      <w:r>
        <w:rPr>
          <w:rFonts w:ascii="Arial" w:hAnsi="Arial"/>
          <w:b/>
          <w:sz w:val="20"/>
        </w:rPr>
        <w:t>675.-</w:t>
      </w:r>
      <w:r>
        <w:rPr>
          <w:rFonts w:ascii="Arial" w:hAnsi="Arial"/>
          <w:b/>
          <w:spacing w:val="-4"/>
          <w:sz w:val="20"/>
        </w:rPr>
        <w:t> </w:t>
      </w: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spacing w:before="229"/>
        <w:rPr>
          <w:sz w:val="22"/>
        </w:rPr>
      </w:pPr>
    </w:p>
    <w:p>
      <w:pPr>
        <w:pStyle w:val="Heading1"/>
        <w:ind w:left="626" w:right="0"/>
        <w:jc w:val="left"/>
      </w:pPr>
      <w:r>
        <w:rPr/>
        <w:t>CAPITULO</w:t>
      </w:r>
      <w:r>
        <w:rPr>
          <w:spacing w:val="-9"/>
        </w:rPr>
        <w:t> </w:t>
      </w:r>
      <w:r>
        <w:rPr>
          <w:spacing w:val="-7"/>
        </w:rPr>
        <w:t>II</w:t>
      </w:r>
    </w:p>
    <w:p>
      <w:pPr>
        <w:spacing w:line="240" w:lineRule="auto" w:before="137"/>
        <w:rPr>
          <w:rFonts w:ascii="Arial"/>
          <w:b/>
          <w:sz w:val="16"/>
        </w:rPr>
      </w:pPr>
      <w:r>
        <w:rPr/>
        <w:br w:type="column"/>
      </w:r>
      <w:r>
        <w:rPr>
          <w:rFonts w:ascii="Arial"/>
          <w:b/>
          <w:sz w:val="16"/>
        </w:rPr>
      </w:r>
    </w:p>
    <w:p>
      <w:pPr>
        <w:spacing w:before="0"/>
        <w:ind w:left="62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i/>
          <w:sz w:val="16"/>
        </w:rPr>
        <w:sectPr>
          <w:type w:val="continuous"/>
          <w:pgSz w:w="12240" w:h="15840"/>
          <w:pgMar w:header="724" w:footer="712" w:top="1880" w:bottom="900" w:left="1080" w:right="1080"/>
          <w:cols w:num="3" w:equalWidth="0">
            <w:col w:w="2966" w:space="793"/>
            <w:col w:w="1976" w:space="1048"/>
            <w:col w:w="3297"/>
          </w:cols>
        </w:sectPr>
      </w:pPr>
    </w:p>
    <w:p>
      <w:pPr>
        <w:pStyle w:val="Heading2"/>
        <w:spacing w:before="1"/>
        <w:ind w:left="2393" w:right="342" w:hanging="1841"/>
        <w:jc w:val="left"/>
      </w:pPr>
      <w:r>
        <w:rPr/>
        <w:t>Representantes</w:t>
      </w:r>
      <w:r>
        <w:rPr>
          <w:spacing w:val="-4"/>
        </w:rPr>
        <w:t> </w:t>
      </w:r>
      <w:r>
        <w:rPr/>
        <w:t>de</w:t>
      </w:r>
      <w:r>
        <w:rPr>
          <w:spacing w:val="-4"/>
        </w:rPr>
        <w:t> </w:t>
      </w:r>
      <w:r>
        <w:rPr/>
        <w:t>los</w:t>
      </w:r>
      <w:r>
        <w:rPr>
          <w:spacing w:val="-4"/>
        </w:rPr>
        <w:t> </w:t>
      </w:r>
      <w:r>
        <w:rPr/>
        <w:t>Trabajadores y</w:t>
      </w:r>
      <w:r>
        <w:rPr>
          <w:spacing w:val="-6"/>
        </w:rPr>
        <w:t> </w:t>
      </w:r>
      <w:r>
        <w:rPr/>
        <w:t>de</w:t>
      </w:r>
      <w:r>
        <w:rPr>
          <w:spacing w:val="-2"/>
        </w:rPr>
        <w:t> </w:t>
      </w:r>
      <w:r>
        <w:rPr/>
        <w:t>los</w:t>
      </w:r>
      <w:r>
        <w:rPr>
          <w:spacing w:val="-4"/>
        </w:rPr>
        <w:t> </w:t>
      </w:r>
      <w:r>
        <w:rPr/>
        <w:t>Patrones</w:t>
      </w:r>
      <w:r>
        <w:rPr>
          <w:spacing w:val="-2"/>
        </w:rPr>
        <w:t> </w:t>
      </w:r>
      <w:r>
        <w:rPr/>
        <w:t>en</w:t>
      </w:r>
      <w:r>
        <w:rPr>
          <w:spacing w:val="-5"/>
        </w:rPr>
        <w:t> </w:t>
      </w:r>
      <w:r>
        <w:rPr/>
        <w:t>la</w:t>
      </w:r>
      <w:r>
        <w:rPr>
          <w:spacing w:val="-3"/>
        </w:rPr>
        <w:t> </w:t>
      </w:r>
      <w:r>
        <w:rPr/>
        <w:t>Comisión</w:t>
      </w:r>
      <w:r>
        <w:rPr>
          <w:spacing w:val="-2"/>
        </w:rPr>
        <w:t> </w:t>
      </w:r>
      <w:r>
        <w:rPr/>
        <w:t>Nacional</w:t>
      </w:r>
      <w:r>
        <w:rPr>
          <w:spacing w:val="-3"/>
        </w:rPr>
        <w:t> </w:t>
      </w:r>
      <w:r>
        <w:rPr/>
        <w:t>de</w:t>
      </w:r>
      <w:r>
        <w:rPr>
          <w:spacing w:val="-5"/>
        </w:rPr>
        <w:t> </w:t>
      </w:r>
      <w:r>
        <w:rPr/>
        <w:t>los Salarios Mínimos y en las Comisiones Consultivas</w:t>
      </w:r>
    </w:p>
    <w:p>
      <w:pPr>
        <w:spacing w:before="0"/>
        <w:ind w:left="609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BodyText"/>
        <w:ind w:left="338" w:right="344" w:firstLine="288"/>
        <w:jc w:val="both"/>
      </w:pPr>
      <w:bookmarkStart w:name="Artículo_676" w:id="838"/>
      <w:bookmarkEnd w:id="838"/>
      <w:r>
        <w:rPr/>
      </w:r>
      <w:r>
        <w:rPr>
          <w:rFonts w:ascii="Arial" w:hAnsi="Arial"/>
          <w:b/>
        </w:rPr>
        <w:t>Artículo</w:t>
      </w:r>
      <w:r>
        <w:rPr>
          <w:rFonts w:ascii="Arial" w:hAnsi="Arial"/>
          <w:b/>
          <w:spacing w:val="-1"/>
        </w:rPr>
        <w:t> </w:t>
      </w:r>
      <w:r>
        <w:rPr>
          <w:rFonts w:ascii="Arial" w:hAnsi="Arial"/>
          <w:b/>
        </w:rPr>
        <w:t>676.- </w:t>
      </w:r>
      <w:r>
        <w:rPr/>
        <w:t>Son</w:t>
      </w:r>
      <w:r>
        <w:rPr>
          <w:spacing w:val="-2"/>
        </w:rPr>
        <w:t> </w:t>
      </w:r>
      <w:r>
        <w:rPr/>
        <w:t>aplicables</w:t>
      </w:r>
      <w:r>
        <w:rPr>
          <w:spacing w:val="-1"/>
        </w:rPr>
        <w:t> </w:t>
      </w:r>
      <w:r>
        <w:rPr/>
        <w:t>a</w:t>
      </w:r>
      <w:r>
        <w:rPr>
          <w:spacing w:val="-2"/>
        </w:rPr>
        <w:t> </w:t>
      </w:r>
      <w:r>
        <w:rPr/>
        <w:t>la</w:t>
      </w:r>
      <w:r>
        <w:rPr>
          <w:spacing w:val="-2"/>
        </w:rPr>
        <w:t> </w:t>
      </w:r>
      <w:r>
        <w:rPr/>
        <w:t>elección</w:t>
      </w:r>
      <w:r>
        <w:rPr>
          <w:spacing w:val="-2"/>
        </w:rPr>
        <w:t> </w:t>
      </w:r>
      <w:r>
        <w:rPr/>
        <w:t>de</w:t>
      </w:r>
      <w:r>
        <w:rPr>
          <w:spacing w:val="-2"/>
        </w:rPr>
        <w:t> </w:t>
      </w:r>
      <w:r>
        <w:rPr/>
        <w:t>representantes</w:t>
      </w:r>
      <w:r>
        <w:rPr>
          <w:spacing w:val="-1"/>
        </w:rPr>
        <w:t> </w:t>
      </w:r>
      <w:r>
        <w:rPr/>
        <w:t>de los trabajadores y</w:t>
      </w:r>
      <w:r>
        <w:rPr>
          <w:spacing w:val="-3"/>
        </w:rPr>
        <w:t> </w:t>
      </w:r>
      <w:r>
        <w:rPr/>
        <w:t>de los</w:t>
      </w:r>
      <w:r>
        <w:rPr>
          <w:spacing w:val="-1"/>
        </w:rPr>
        <w:t> </w:t>
      </w:r>
      <w:r>
        <w:rPr/>
        <w:t>patrones</w:t>
      </w:r>
      <w:r>
        <w:rPr>
          <w:spacing w:val="-1"/>
        </w:rPr>
        <w:t> </w:t>
      </w:r>
      <w:r>
        <w:rPr/>
        <w:t>en la Comisión Nacional de los Salarios Mínimos, las disposiciones contenidas en el Capítulo anterior, con las modalidades de los Artículos siguientes.</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7"/>
        <w:rPr>
          <w:rFonts w:ascii="Times New Roman"/>
          <w:i/>
          <w:sz w:val="16"/>
        </w:rPr>
      </w:pPr>
    </w:p>
    <w:p>
      <w:pPr>
        <w:pStyle w:val="BodyText"/>
        <w:ind w:left="338" w:firstLine="288"/>
      </w:pPr>
      <w:bookmarkStart w:name="Artículo_677" w:id="839"/>
      <w:bookmarkEnd w:id="839"/>
      <w:r>
        <w:rPr/>
      </w:r>
      <w:r>
        <w:rPr>
          <w:rFonts w:ascii="Arial" w:hAnsi="Arial"/>
          <w:b/>
        </w:rPr>
        <w:t>Artículo</w:t>
      </w:r>
      <w:r>
        <w:rPr>
          <w:rFonts w:ascii="Arial" w:hAnsi="Arial"/>
          <w:b/>
          <w:spacing w:val="33"/>
        </w:rPr>
        <w:t> </w:t>
      </w:r>
      <w:r>
        <w:rPr>
          <w:rFonts w:ascii="Arial" w:hAnsi="Arial"/>
          <w:b/>
        </w:rPr>
        <w:t>677.-</w:t>
      </w:r>
      <w:r>
        <w:rPr>
          <w:rFonts w:ascii="Arial" w:hAnsi="Arial"/>
          <w:b/>
          <w:spacing w:val="33"/>
        </w:rPr>
        <w:t> </w:t>
      </w:r>
      <w:r>
        <w:rPr/>
        <w:t>El</w:t>
      </w:r>
      <w:r>
        <w:rPr>
          <w:spacing w:val="29"/>
        </w:rPr>
        <w:t> </w:t>
      </w:r>
      <w:r>
        <w:rPr/>
        <w:t>día</w:t>
      </w:r>
      <w:r>
        <w:rPr>
          <w:spacing w:val="30"/>
        </w:rPr>
        <w:t> </w:t>
      </w:r>
      <w:r>
        <w:rPr/>
        <w:t>quince</w:t>
      </w:r>
      <w:r>
        <w:rPr>
          <w:spacing w:val="30"/>
        </w:rPr>
        <w:t> </w:t>
      </w:r>
      <w:r>
        <w:rPr/>
        <w:t>de</w:t>
      </w:r>
      <w:r>
        <w:rPr>
          <w:spacing w:val="29"/>
        </w:rPr>
        <w:t> </w:t>
      </w:r>
      <w:r>
        <w:rPr/>
        <w:t>mayo</w:t>
      </w:r>
      <w:r>
        <w:rPr>
          <w:spacing w:val="32"/>
        </w:rPr>
        <w:t> </w:t>
      </w:r>
      <w:r>
        <w:rPr/>
        <w:t>del</w:t>
      </w:r>
      <w:r>
        <w:rPr>
          <w:spacing w:val="29"/>
        </w:rPr>
        <w:t> </w:t>
      </w:r>
      <w:r>
        <w:rPr/>
        <w:t>año</w:t>
      </w:r>
      <w:r>
        <w:rPr>
          <w:spacing w:val="32"/>
        </w:rPr>
        <w:t> </w:t>
      </w:r>
      <w:r>
        <w:rPr/>
        <w:t>impar</w:t>
      </w:r>
      <w:r>
        <w:rPr>
          <w:spacing w:val="31"/>
        </w:rPr>
        <w:t> </w:t>
      </w:r>
      <w:r>
        <w:rPr/>
        <w:t>que</w:t>
      </w:r>
      <w:r>
        <w:rPr>
          <w:spacing w:val="30"/>
        </w:rPr>
        <w:t> </w:t>
      </w:r>
      <w:r>
        <w:rPr/>
        <w:t>corresponda,</w:t>
      </w:r>
      <w:r>
        <w:rPr>
          <w:spacing w:val="32"/>
        </w:rPr>
        <w:t> </w:t>
      </w:r>
      <w:r>
        <w:rPr/>
        <w:t>el</w:t>
      </w:r>
      <w:r>
        <w:rPr>
          <w:spacing w:val="31"/>
        </w:rPr>
        <w:t> </w:t>
      </w:r>
      <w:r>
        <w:rPr/>
        <w:t>Secretario</w:t>
      </w:r>
      <w:r>
        <w:rPr>
          <w:spacing w:val="32"/>
        </w:rPr>
        <w:t> </w:t>
      </w:r>
      <w:r>
        <w:rPr/>
        <w:t>del</w:t>
      </w:r>
      <w:r>
        <w:rPr>
          <w:spacing w:val="29"/>
        </w:rPr>
        <w:t> </w:t>
      </w:r>
      <w:r>
        <w:rPr/>
        <w:t>Trabajo</w:t>
      </w:r>
      <w:r>
        <w:rPr>
          <w:spacing w:val="34"/>
        </w:rPr>
        <w:t> </w:t>
      </w:r>
      <w:r>
        <w:rPr/>
        <w:t>y Previsión Social convocará a los trabajadores y patrones para la elección de sus representantes.</w:t>
      </w:r>
    </w:p>
    <w:p>
      <w:pPr>
        <w:spacing w:line="182"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spacing w:before="0"/>
        <w:ind w:left="626" w:right="0" w:firstLine="0"/>
        <w:jc w:val="left"/>
        <w:rPr>
          <w:sz w:val="20"/>
        </w:rPr>
      </w:pPr>
      <w:bookmarkStart w:name="Artículo_678" w:id="840"/>
      <w:bookmarkEnd w:id="840"/>
      <w:r>
        <w:rPr/>
      </w:r>
      <w:r>
        <w:rPr>
          <w:rFonts w:ascii="Arial" w:hAnsi="Arial"/>
          <w:b/>
          <w:sz w:val="20"/>
        </w:rPr>
        <w:t>Artículo</w:t>
      </w:r>
      <w:r>
        <w:rPr>
          <w:rFonts w:ascii="Arial" w:hAnsi="Arial"/>
          <w:b/>
          <w:spacing w:val="-8"/>
          <w:sz w:val="20"/>
        </w:rPr>
        <w:t> </w:t>
      </w:r>
      <w:r>
        <w:rPr>
          <w:rFonts w:ascii="Arial" w:hAnsi="Arial"/>
          <w:b/>
          <w:sz w:val="20"/>
        </w:rPr>
        <w:t>678.-</w:t>
      </w:r>
      <w:r>
        <w:rPr>
          <w:rFonts w:ascii="Arial" w:hAnsi="Arial"/>
          <w:b/>
          <w:spacing w:val="-7"/>
          <w:sz w:val="20"/>
        </w:rPr>
        <w:t> </w:t>
      </w:r>
      <w:r>
        <w:rPr>
          <w:sz w:val="20"/>
        </w:rPr>
        <w:t>La</w:t>
      </w:r>
      <w:r>
        <w:rPr>
          <w:spacing w:val="-8"/>
          <w:sz w:val="20"/>
        </w:rPr>
        <w:t> </w:t>
      </w:r>
      <w:r>
        <w:rPr>
          <w:sz w:val="20"/>
        </w:rPr>
        <w:t>convocatoria</w:t>
      </w:r>
      <w:r>
        <w:rPr>
          <w:spacing w:val="-9"/>
          <w:sz w:val="20"/>
        </w:rPr>
        <w:t> </w:t>
      </w:r>
      <w:r>
        <w:rPr>
          <w:spacing w:val="-2"/>
          <w:sz w:val="20"/>
        </w:rPr>
        <w:t>contendrá:</w:t>
      </w:r>
    </w:p>
    <w:p>
      <w:pPr>
        <w:pStyle w:val="ListParagraph"/>
        <w:numPr>
          <w:ilvl w:val="0"/>
          <w:numId w:val="269"/>
        </w:numPr>
        <w:tabs>
          <w:tab w:pos="1195" w:val="left" w:leader="none"/>
        </w:tabs>
        <w:spacing w:line="242" w:lineRule="auto" w:before="228" w:after="0"/>
        <w:ind w:left="1195" w:right="344" w:hanging="569"/>
        <w:jc w:val="left"/>
        <w:rPr>
          <w:sz w:val="20"/>
        </w:rPr>
      </w:pPr>
      <w:r>
        <w:rPr>
          <w:sz w:val="20"/>
        </w:rPr>
        <w:t>La</w:t>
      </w:r>
      <w:r>
        <w:rPr>
          <w:spacing w:val="26"/>
          <w:sz w:val="20"/>
        </w:rPr>
        <w:t> </w:t>
      </w:r>
      <w:r>
        <w:rPr>
          <w:sz w:val="20"/>
        </w:rPr>
        <w:t>determinación del número de representantes</w:t>
      </w:r>
      <w:r>
        <w:rPr>
          <w:spacing w:val="28"/>
          <w:sz w:val="20"/>
        </w:rPr>
        <w:t> </w:t>
      </w:r>
      <w:r>
        <w:rPr>
          <w:sz w:val="20"/>
        </w:rPr>
        <w:t>que</w:t>
      </w:r>
      <w:r>
        <w:rPr>
          <w:spacing w:val="26"/>
          <w:sz w:val="20"/>
        </w:rPr>
        <w:t> </w:t>
      </w:r>
      <w:r>
        <w:rPr>
          <w:sz w:val="20"/>
        </w:rPr>
        <w:t>deba</w:t>
      </w:r>
      <w:r>
        <w:rPr>
          <w:spacing w:val="26"/>
          <w:sz w:val="20"/>
        </w:rPr>
        <w:t> </w:t>
      </w:r>
      <w:r>
        <w:rPr>
          <w:sz w:val="20"/>
        </w:rPr>
        <w:t>elegirse</w:t>
      </w:r>
      <w:r>
        <w:rPr>
          <w:spacing w:val="26"/>
          <w:sz w:val="20"/>
        </w:rPr>
        <w:t> </w:t>
      </w:r>
      <w:r>
        <w:rPr>
          <w:sz w:val="20"/>
        </w:rPr>
        <w:t>para</w:t>
      </w:r>
      <w:r>
        <w:rPr>
          <w:spacing w:val="26"/>
          <w:sz w:val="20"/>
        </w:rPr>
        <w:t> </w:t>
      </w:r>
      <w:r>
        <w:rPr>
          <w:sz w:val="20"/>
        </w:rPr>
        <w:t>integrar la</w:t>
      </w:r>
      <w:r>
        <w:rPr>
          <w:spacing w:val="26"/>
          <w:sz w:val="20"/>
        </w:rPr>
        <w:t> </w:t>
      </w:r>
      <w:r>
        <w:rPr>
          <w:sz w:val="20"/>
        </w:rPr>
        <w:t>Comisión Nacional, de conformidad con lo dispuesto en el Artículo 554 Fracción II;</w:t>
      </w:r>
    </w:p>
    <w:p>
      <w:pPr>
        <w:pStyle w:val="ListParagraph"/>
        <w:numPr>
          <w:ilvl w:val="0"/>
          <w:numId w:val="269"/>
        </w:numPr>
        <w:tabs>
          <w:tab w:pos="1195" w:val="left" w:leader="none"/>
        </w:tabs>
        <w:spacing w:line="242" w:lineRule="auto" w:before="227" w:after="0"/>
        <w:ind w:left="1195" w:right="344" w:hanging="569"/>
        <w:jc w:val="left"/>
        <w:rPr>
          <w:sz w:val="20"/>
        </w:rPr>
      </w:pPr>
      <w:r>
        <w:rPr>
          <w:sz w:val="20"/>
        </w:rPr>
        <w:t>La</w:t>
      </w:r>
      <w:r>
        <w:rPr>
          <w:spacing w:val="40"/>
          <w:sz w:val="20"/>
        </w:rPr>
        <w:t> </w:t>
      </w:r>
      <w:r>
        <w:rPr>
          <w:sz w:val="20"/>
        </w:rPr>
        <w:t>distribución</w:t>
      </w:r>
      <w:r>
        <w:rPr>
          <w:spacing w:val="40"/>
          <w:sz w:val="20"/>
        </w:rPr>
        <w:t> </w:t>
      </w:r>
      <w:r>
        <w:rPr>
          <w:sz w:val="20"/>
        </w:rPr>
        <w:t>del</w:t>
      </w:r>
      <w:r>
        <w:rPr>
          <w:spacing w:val="40"/>
          <w:sz w:val="20"/>
        </w:rPr>
        <w:t> </w:t>
      </w:r>
      <w:r>
        <w:rPr>
          <w:sz w:val="20"/>
        </w:rPr>
        <w:t>número</w:t>
      </w:r>
      <w:r>
        <w:rPr>
          <w:spacing w:val="40"/>
          <w:sz w:val="20"/>
        </w:rPr>
        <w:t> </w:t>
      </w:r>
      <w:r>
        <w:rPr>
          <w:sz w:val="20"/>
        </w:rPr>
        <w:t>de</w:t>
      </w:r>
      <w:r>
        <w:rPr>
          <w:spacing w:val="40"/>
          <w:sz w:val="20"/>
        </w:rPr>
        <w:t> </w:t>
      </w:r>
      <w:r>
        <w:rPr>
          <w:sz w:val="20"/>
        </w:rPr>
        <w:t>representantes</w:t>
      </w:r>
      <w:r>
        <w:rPr>
          <w:spacing w:val="40"/>
          <w:sz w:val="20"/>
        </w:rPr>
        <w:t> </w:t>
      </w:r>
      <w:r>
        <w:rPr>
          <w:sz w:val="20"/>
        </w:rPr>
        <w:t>que</w:t>
      </w:r>
      <w:r>
        <w:rPr>
          <w:spacing w:val="40"/>
          <w:sz w:val="20"/>
        </w:rPr>
        <w:t> </w:t>
      </w:r>
      <w:r>
        <w:rPr>
          <w:sz w:val="20"/>
        </w:rPr>
        <w:t>se</w:t>
      </w:r>
      <w:r>
        <w:rPr>
          <w:spacing w:val="40"/>
          <w:sz w:val="20"/>
        </w:rPr>
        <w:t> </w:t>
      </w:r>
      <w:r>
        <w:rPr>
          <w:sz w:val="20"/>
        </w:rPr>
        <w:t>haya</w:t>
      </w:r>
      <w:r>
        <w:rPr>
          <w:spacing w:val="40"/>
          <w:sz w:val="20"/>
        </w:rPr>
        <w:t> </w:t>
      </w:r>
      <w:r>
        <w:rPr>
          <w:sz w:val="20"/>
        </w:rPr>
        <w:t>determinado</w:t>
      </w:r>
      <w:r>
        <w:rPr>
          <w:spacing w:val="40"/>
          <w:sz w:val="20"/>
        </w:rPr>
        <w:t> </w:t>
      </w:r>
      <w:r>
        <w:rPr>
          <w:sz w:val="20"/>
        </w:rPr>
        <w:t>entre</w:t>
      </w:r>
      <w:r>
        <w:rPr>
          <w:spacing w:val="40"/>
          <w:sz w:val="20"/>
        </w:rPr>
        <w:t> </w:t>
      </w:r>
      <w:r>
        <w:rPr>
          <w:sz w:val="20"/>
        </w:rPr>
        <w:t>las</w:t>
      </w:r>
      <w:r>
        <w:rPr>
          <w:spacing w:val="40"/>
          <w:sz w:val="20"/>
        </w:rPr>
        <w:t> </w:t>
      </w:r>
      <w:r>
        <w:rPr>
          <w:sz w:val="20"/>
        </w:rPr>
        <w:t>distintas actividades económicas según su importancia;</w:t>
      </w:r>
    </w:p>
    <w:p>
      <w:pPr>
        <w:pStyle w:val="ListParagraph"/>
        <w:numPr>
          <w:ilvl w:val="0"/>
          <w:numId w:val="269"/>
        </w:numPr>
        <w:tabs>
          <w:tab w:pos="1195" w:val="left" w:leader="none"/>
        </w:tabs>
        <w:spacing w:line="240" w:lineRule="auto" w:before="224" w:after="0"/>
        <w:ind w:left="1195" w:right="0" w:hanging="569"/>
        <w:jc w:val="left"/>
        <w:rPr>
          <w:sz w:val="20"/>
        </w:rPr>
      </w:pPr>
      <w:r>
        <w:rPr>
          <w:sz w:val="20"/>
        </w:rPr>
        <w:t>Las</w:t>
      </w:r>
      <w:r>
        <w:rPr>
          <w:spacing w:val="-7"/>
          <w:sz w:val="20"/>
        </w:rPr>
        <w:t> </w:t>
      </w:r>
      <w:r>
        <w:rPr>
          <w:sz w:val="20"/>
        </w:rPr>
        <w:t>autoridades</w:t>
      </w:r>
      <w:r>
        <w:rPr>
          <w:spacing w:val="-5"/>
          <w:sz w:val="20"/>
        </w:rPr>
        <w:t> </w:t>
      </w:r>
      <w:r>
        <w:rPr>
          <w:sz w:val="20"/>
        </w:rPr>
        <w:t>ante</w:t>
      </w:r>
      <w:r>
        <w:rPr>
          <w:spacing w:val="-6"/>
          <w:sz w:val="20"/>
        </w:rPr>
        <w:t> </w:t>
      </w:r>
      <w:r>
        <w:rPr>
          <w:sz w:val="20"/>
        </w:rPr>
        <w:t>las</w:t>
      </w:r>
      <w:r>
        <w:rPr>
          <w:spacing w:val="-5"/>
          <w:sz w:val="20"/>
        </w:rPr>
        <w:t> </w:t>
      </w:r>
      <w:r>
        <w:rPr>
          <w:sz w:val="20"/>
        </w:rPr>
        <w:t>que</w:t>
      </w:r>
      <w:r>
        <w:rPr>
          <w:spacing w:val="-9"/>
          <w:sz w:val="20"/>
        </w:rPr>
        <w:t> </w:t>
      </w:r>
      <w:r>
        <w:rPr>
          <w:sz w:val="20"/>
        </w:rPr>
        <w:t>deban</w:t>
      </w:r>
      <w:r>
        <w:rPr>
          <w:spacing w:val="-7"/>
          <w:sz w:val="20"/>
        </w:rPr>
        <w:t> </w:t>
      </w:r>
      <w:r>
        <w:rPr>
          <w:sz w:val="20"/>
        </w:rPr>
        <w:t>presentarse</w:t>
      </w:r>
      <w:r>
        <w:rPr>
          <w:spacing w:val="-6"/>
          <w:sz w:val="20"/>
        </w:rPr>
        <w:t> </w:t>
      </w:r>
      <w:r>
        <w:rPr>
          <w:sz w:val="20"/>
        </w:rPr>
        <w:t>los</w:t>
      </w:r>
      <w:r>
        <w:rPr>
          <w:spacing w:val="-7"/>
          <w:sz w:val="20"/>
        </w:rPr>
        <w:t> </w:t>
      </w:r>
      <w:r>
        <w:rPr>
          <w:sz w:val="20"/>
        </w:rPr>
        <w:t>padrones</w:t>
      </w:r>
      <w:r>
        <w:rPr>
          <w:spacing w:val="-5"/>
          <w:sz w:val="20"/>
        </w:rPr>
        <w:t> </w:t>
      </w:r>
      <w:r>
        <w:rPr>
          <w:sz w:val="20"/>
        </w:rPr>
        <w:t>y</w:t>
      </w:r>
      <w:r>
        <w:rPr>
          <w:spacing w:val="-10"/>
          <w:sz w:val="20"/>
        </w:rPr>
        <w:t> </w:t>
      </w:r>
      <w:r>
        <w:rPr>
          <w:spacing w:val="-2"/>
          <w:sz w:val="20"/>
        </w:rPr>
        <w:t>credenciales;</w:t>
      </w:r>
    </w:p>
    <w:p>
      <w:pPr>
        <w:pStyle w:val="BodyText"/>
        <w:spacing w:before="1"/>
      </w:pPr>
    </w:p>
    <w:p>
      <w:pPr>
        <w:pStyle w:val="ListParagraph"/>
        <w:numPr>
          <w:ilvl w:val="0"/>
          <w:numId w:val="269"/>
        </w:numPr>
        <w:tabs>
          <w:tab w:pos="1195" w:val="left" w:leader="none"/>
        </w:tabs>
        <w:spacing w:line="240" w:lineRule="auto" w:before="0" w:after="0"/>
        <w:ind w:left="1195" w:right="0" w:hanging="569"/>
        <w:jc w:val="left"/>
        <w:rPr>
          <w:sz w:val="20"/>
        </w:rPr>
      </w:pPr>
      <w:r>
        <w:rPr>
          <w:sz w:val="20"/>
        </w:rPr>
        <w:t>El</w:t>
      </w:r>
      <w:r>
        <w:rPr>
          <w:spacing w:val="-5"/>
          <w:sz w:val="20"/>
        </w:rPr>
        <w:t> </w:t>
      </w:r>
      <w:r>
        <w:rPr>
          <w:sz w:val="20"/>
        </w:rPr>
        <w:t>lugar</w:t>
      </w:r>
      <w:r>
        <w:rPr>
          <w:spacing w:val="-4"/>
          <w:sz w:val="20"/>
        </w:rPr>
        <w:t> </w:t>
      </w:r>
      <w:r>
        <w:rPr>
          <w:sz w:val="20"/>
        </w:rPr>
        <w:t>y</w:t>
      </w:r>
      <w:r>
        <w:rPr>
          <w:spacing w:val="-6"/>
          <w:sz w:val="20"/>
        </w:rPr>
        <w:t> </w:t>
      </w:r>
      <w:r>
        <w:rPr>
          <w:sz w:val="20"/>
        </w:rPr>
        <w:t>la</w:t>
      </w:r>
      <w:r>
        <w:rPr>
          <w:spacing w:val="-4"/>
          <w:sz w:val="20"/>
        </w:rPr>
        <w:t> </w:t>
      </w:r>
      <w:r>
        <w:rPr>
          <w:sz w:val="20"/>
        </w:rPr>
        <w:t>fecha</w:t>
      </w:r>
      <w:r>
        <w:rPr>
          <w:spacing w:val="-7"/>
          <w:sz w:val="20"/>
        </w:rPr>
        <w:t> </w:t>
      </w:r>
      <w:r>
        <w:rPr>
          <w:sz w:val="20"/>
        </w:rPr>
        <w:t>de</w:t>
      </w:r>
      <w:r>
        <w:rPr>
          <w:spacing w:val="-4"/>
          <w:sz w:val="20"/>
        </w:rPr>
        <w:t> </w:t>
      </w:r>
      <w:r>
        <w:rPr>
          <w:sz w:val="20"/>
        </w:rPr>
        <w:t>presentación</w:t>
      </w:r>
      <w:r>
        <w:rPr>
          <w:spacing w:val="-6"/>
          <w:sz w:val="20"/>
        </w:rPr>
        <w:t> </w:t>
      </w:r>
      <w:r>
        <w:rPr>
          <w:sz w:val="20"/>
        </w:rPr>
        <w:t>de</w:t>
      </w:r>
      <w:r>
        <w:rPr>
          <w:spacing w:val="-6"/>
          <w:sz w:val="20"/>
        </w:rPr>
        <w:t> </w:t>
      </w:r>
      <w:r>
        <w:rPr>
          <w:sz w:val="20"/>
        </w:rPr>
        <w:t>los</w:t>
      </w:r>
      <w:r>
        <w:rPr>
          <w:spacing w:val="-5"/>
          <w:sz w:val="20"/>
        </w:rPr>
        <w:t> </w:t>
      </w:r>
      <w:r>
        <w:rPr>
          <w:sz w:val="20"/>
        </w:rPr>
        <w:t>documentos</w:t>
      </w:r>
      <w:r>
        <w:rPr>
          <w:spacing w:val="-3"/>
          <w:sz w:val="20"/>
        </w:rPr>
        <w:t> </w:t>
      </w:r>
      <w:r>
        <w:rPr>
          <w:sz w:val="20"/>
        </w:rPr>
        <w:t>a</w:t>
      </w:r>
      <w:r>
        <w:rPr>
          <w:spacing w:val="-6"/>
          <w:sz w:val="20"/>
        </w:rPr>
        <w:t> </w:t>
      </w:r>
      <w:r>
        <w:rPr>
          <w:sz w:val="20"/>
        </w:rPr>
        <w:t>que</w:t>
      </w:r>
      <w:r>
        <w:rPr>
          <w:spacing w:val="-6"/>
          <w:sz w:val="20"/>
        </w:rPr>
        <w:t> </w:t>
      </w:r>
      <w:r>
        <w:rPr>
          <w:sz w:val="20"/>
        </w:rPr>
        <w:t>se</w:t>
      </w:r>
      <w:r>
        <w:rPr>
          <w:spacing w:val="-6"/>
          <w:sz w:val="20"/>
        </w:rPr>
        <w:t> </w:t>
      </w:r>
      <w:r>
        <w:rPr>
          <w:sz w:val="20"/>
        </w:rPr>
        <w:t>refiere</w:t>
      </w:r>
      <w:r>
        <w:rPr>
          <w:spacing w:val="-4"/>
          <w:sz w:val="20"/>
        </w:rPr>
        <w:t> </w:t>
      </w:r>
      <w:r>
        <w:rPr>
          <w:sz w:val="20"/>
        </w:rPr>
        <w:t>la</w:t>
      </w:r>
      <w:r>
        <w:rPr>
          <w:spacing w:val="-5"/>
          <w:sz w:val="20"/>
        </w:rPr>
        <w:t> </w:t>
      </w:r>
      <w:r>
        <w:rPr>
          <w:sz w:val="20"/>
        </w:rPr>
        <w:t>fracción</w:t>
      </w:r>
      <w:r>
        <w:rPr>
          <w:spacing w:val="-5"/>
          <w:sz w:val="20"/>
        </w:rPr>
        <w:t> </w:t>
      </w:r>
      <w:r>
        <w:rPr>
          <w:sz w:val="20"/>
        </w:rPr>
        <w:t>anterior;</w:t>
      </w:r>
      <w:r>
        <w:rPr>
          <w:spacing w:val="-2"/>
          <w:sz w:val="20"/>
        </w:rPr>
        <w:t> </w:t>
      </w:r>
      <w:r>
        <w:rPr>
          <w:spacing w:val="-10"/>
          <w:sz w:val="20"/>
        </w:rPr>
        <w:t>y</w:t>
      </w:r>
    </w:p>
    <w:p>
      <w:pPr>
        <w:pStyle w:val="BodyText"/>
        <w:spacing w:before="1"/>
      </w:pPr>
    </w:p>
    <w:p>
      <w:pPr>
        <w:pStyle w:val="ListParagraph"/>
        <w:numPr>
          <w:ilvl w:val="0"/>
          <w:numId w:val="269"/>
        </w:numPr>
        <w:tabs>
          <w:tab w:pos="1195" w:val="left" w:leader="none"/>
        </w:tabs>
        <w:spacing w:line="229" w:lineRule="exact" w:before="0" w:after="0"/>
        <w:ind w:left="1195" w:right="0" w:hanging="569"/>
        <w:jc w:val="left"/>
        <w:rPr>
          <w:sz w:val="20"/>
        </w:rPr>
      </w:pPr>
      <w:r>
        <w:rPr>
          <w:sz w:val="20"/>
        </w:rPr>
        <w:t>El</w:t>
      </w:r>
      <w:r>
        <w:rPr>
          <w:spacing w:val="-5"/>
          <w:sz w:val="20"/>
        </w:rPr>
        <w:t> </w:t>
      </w:r>
      <w:r>
        <w:rPr>
          <w:sz w:val="20"/>
        </w:rPr>
        <w:t>local</w:t>
      </w:r>
      <w:r>
        <w:rPr>
          <w:spacing w:val="-4"/>
          <w:sz w:val="20"/>
        </w:rPr>
        <w:t> </w:t>
      </w:r>
      <w:r>
        <w:rPr>
          <w:sz w:val="20"/>
        </w:rPr>
        <w:t>y</w:t>
      </w:r>
      <w:r>
        <w:rPr>
          <w:spacing w:val="-7"/>
          <w:sz w:val="20"/>
        </w:rPr>
        <w:t> </w:t>
      </w:r>
      <w:r>
        <w:rPr>
          <w:sz w:val="20"/>
        </w:rPr>
        <w:t>la</w:t>
      </w:r>
      <w:r>
        <w:rPr>
          <w:spacing w:val="-5"/>
          <w:sz w:val="20"/>
        </w:rPr>
        <w:t> </w:t>
      </w:r>
      <w:r>
        <w:rPr>
          <w:sz w:val="20"/>
        </w:rPr>
        <w:t>hora</w:t>
      </w:r>
      <w:r>
        <w:rPr>
          <w:spacing w:val="-3"/>
          <w:sz w:val="20"/>
        </w:rPr>
        <w:t> </w:t>
      </w:r>
      <w:r>
        <w:rPr>
          <w:sz w:val="20"/>
        </w:rPr>
        <w:t>en</w:t>
      </w:r>
      <w:r>
        <w:rPr>
          <w:spacing w:val="-4"/>
          <w:sz w:val="20"/>
        </w:rPr>
        <w:t> </w:t>
      </w:r>
      <w:r>
        <w:rPr>
          <w:sz w:val="20"/>
        </w:rPr>
        <w:t>que</w:t>
      </w:r>
      <w:r>
        <w:rPr>
          <w:spacing w:val="-6"/>
          <w:sz w:val="20"/>
        </w:rPr>
        <w:t> </w:t>
      </w:r>
      <w:r>
        <w:rPr>
          <w:sz w:val="20"/>
        </w:rPr>
        <w:t>deban</w:t>
      </w:r>
      <w:r>
        <w:rPr>
          <w:spacing w:val="-5"/>
          <w:sz w:val="20"/>
        </w:rPr>
        <w:t> </w:t>
      </w:r>
      <w:r>
        <w:rPr>
          <w:sz w:val="20"/>
        </w:rPr>
        <w:t>celebrarse</w:t>
      </w:r>
      <w:r>
        <w:rPr>
          <w:spacing w:val="-5"/>
          <w:sz w:val="20"/>
        </w:rPr>
        <w:t> </w:t>
      </w:r>
      <w:r>
        <w:rPr>
          <w:sz w:val="20"/>
        </w:rPr>
        <w:t>las</w:t>
      </w:r>
      <w:r>
        <w:rPr>
          <w:spacing w:val="-5"/>
          <w:sz w:val="20"/>
        </w:rPr>
        <w:t> </w:t>
      </w:r>
      <w:r>
        <w:rPr>
          <w:spacing w:val="-2"/>
          <w:sz w:val="20"/>
        </w:rPr>
        <w:t>convenciones.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2"/>
        <w:rPr>
          <w:rFonts w:ascii="Times New Roman"/>
          <w:i/>
        </w:rPr>
      </w:pPr>
    </w:p>
    <w:p>
      <w:pPr>
        <w:pStyle w:val="BodyText"/>
        <w:spacing w:line="242" w:lineRule="auto"/>
        <w:ind w:left="338" w:firstLine="288"/>
      </w:pPr>
      <w:bookmarkStart w:name="Artículo_679" w:id="841"/>
      <w:bookmarkEnd w:id="841"/>
      <w:r>
        <w:rPr/>
      </w:r>
      <w:r>
        <w:rPr>
          <w:rFonts w:ascii="Arial" w:hAnsi="Arial"/>
          <w:b/>
        </w:rPr>
        <w:t>Artículo</w:t>
      </w:r>
      <w:r>
        <w:rPr>
          <w:rFonts w:ascii="Arial" w:hAnsi="Arial"/>
          <w:b/>
          <w:spacing w:val="40"/>
        </w:rPr>
        <w:t> </w:t>
      </w:r>
      <w:r>
        <w:rPr>
          <w:rFonts w:ascii="Arial" w:hAnsi="Arial"/>
          <w:b/>
        </w:rPr>
        <w:t>679.-</w:t>
      </w:r>
      <w:r>
        <w:rPr>
          <w:rFonts w:ascii="Arial" w:hAnsi="Arial"/>
          <w:b/>
          <w:spacing w:val="40"/>
        </w:rPr>
        <w:t> </w:t>
      </w:r>
      <w:r>
        <w:rPr/>
        <w:t>Las</w:t>
      </w:r>
      <w:r>
        <w:rPr>
          <w:spacing w:val="40"/>
        </w:rPr>
        <w:t> </w:t>
      </w:r>
      <w:r>
        <w:rPr/>
        <w:t>Convenciones</w:t>
      </w:r>
      <w:r>
        <w:rPr>
          <w:spacing w:val="40"/>
        </w:rPr>
        <w:t> </w:t>
      </w:r>
      <w:r>
        <w:rPr/>
        <w:t>se</w:t>
      </w:r>
      <w:r>
        <w:rPr>
          <w:spacing w:val="40"/>
        </w:rPr>
        <w:t> </w:t>
      </w:r>
      <w:r>
        <w:rPr/>
        <w:t>celebrarán</w:t>
      </w:r>
      <w:r>
        <w:rPr>
          <w:spacing w:val="40"/>
        </w:rPr>
        <w:t> </w:t>
      </w:r>
      <w:r>
        <w:rPr/>
        <w:t>el</w:t>
      </w:r>
      <w:r>
        <w:rPr>
          <w:spacing w:val="40"/>
        </w:rPr>
        <w:t> </w:t>
      </w:r>
      <w:r>
        <w:rPr/>
        <w:t>día</w:t>
      </w:r>
      <w:r>
        <w:rPr>
          <w:spacing w:val="40"/>
        </w:rPr>
        <w:t> </w:t>
      </w:r>
      <w:r>
        <w:rPr/>
        <w:t>25</w:t>
      </w:r>
      <w:r>
        <w:rPr>
          <w:spacing w:val="40"/>
        </w:rPr>
        <w:t> </w:t>
      </w:r>
      <w:r>
        <w:rPr/>
        <w:t>del</w:t>
      </w:r>
      <w:r>
        <w:rPr>
          <w:spacing w:val="40"/>
        </w:rPr>
        <w:t> </w:t>
      </w:r>
      <w:r>
        <w:rPr/>
        <w:t>mes</w:t>
      </w:r>
      <w:r>
        <w:rPr>
          <w:spacing w:val="40"/>
        </w:rPr>
        <w:t> </w:t>
      </w:r>
      <w:r>
        <w:rPr/>
        <w:t>de</w:t>
      </w:r>
      <w:r>
        <w:rPr>
          <w:spacing w:val="40"/>
        </w:rPr>
        <w:t> </w:t>
      </w:r>
      <w:r>
        <w:rPr/>
        <w:t>junio</w:t>
      </w:r>
      <w:r>
        <w:rPr>
          <w:spacing w:val="40"/>
        </w:rPr>
        <w:t> </w:t>
      </w:r>
      <w:r>
        <w:rPr/>
        <w:t>del</w:t>
      </w:r>
      <w:r>
        <w:rPr>
          <w:spacing w:val="40"/>
        </w:rPr>
        <w:t> </w:t>
      </w:r>
      <w:r>
        <w:rPr/>
        <w:t>año</w:t>
      </w:r>
      <w:r>
        <w:rPr>
          <w:spacing w:val="63"/>
        </w:rPr>
        <w:t> </w:t>
      </w:r>
      <w:r>
        <w:rPr/>
        <w:t>impar</w:t>
      </w:r>
      <w:r>
        <w:rPr>
          <w:spacing w:val="40"/>
        </w:rPr>
        <w:t> </w:t>
      </w:r>
      <w:r>
        <w:rPr/>
        <w:t>que corresponda, en la Capital de la República.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2"/>
        <w:rPr>
          <w:rFonts w:ascii="Times New Roman"/>
          <w:i/>
          <w:sz w:val="16"/>
        </w:rPr>
      </w:pPr>
    </w:p>
    <w:p>
      <w:pPr>
        <w:pStyle w:val="BodyText"/>
        <w:spacing w:line="242" w:lineRule="auto" w:before="1"/>
        <w:ind w:left="338" w:right="335" w:firstLine="288"/>
        <w:jc w:val="both"/>
      </w:pPr>
      <w:bookmarkStart w:name="Artículo_680" w:id="842"/>
      <w:bookmarkEnd w:id="842"/>
      <w:r>
        <w:rPr/>
      </w:r>
      <w:r>
        <w:rPr>
          <w:rFonts w:ascii="Arial" w:hAnsi="Arial"/>
          <w:b/>
        </w:rPr>
        <w:t>Artículo 680.- </w:t>
      </w:r>
      <w:r>
        <w:rPr/>
        <w:t>Para la elección de representantes en la Comisión Nacional se celebrarán una Convención de trabajadores y otra de patrones por cada uno de los grupos en</w:t>
      </w:r>
      <w:r>
        <w:rPr>
          <w:spacing w:val="40"/>
        </w:rPr>
        <w:t> </w:t>
      </w:r>
      <w:r>
        <w:rPr/>
        <w:t>que se hubiesen distribuido las ramas de la industria y las actividades económicas.</w:t>
      </w:r>
    </w:p>
    <w:p>
      <w:pPr>
        <w:spacing w:line="178"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21-01-1988,</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8" w:lineRule="exact"/>
        <w:jc w:val="left"/>
        <w:rPr>
          <w:rFonts w:ascii="Times New Roman" w:hAnsi="Times New Roman"/>
          <w:i/>
          <w:sz w:val="16"/>
        </w:rPr>
        <w:sectPr>
          <w:type w:val="continuous"/>
          <w:pgSz w:w="12240" w:h="15840"/>
          <w:pgMar w:header="724" w:footer="712" w:top="1880" w:bottom="900" w:left="1080" w:right="1080"/>
        </w:sectPr>
      </w:pPr>
    </w:p>
    <w:p>
      <w:pPr>
        <w:pStyle w:val="BodyText"/>
        <w:spacing w:before="63"/>
        <w:rPr>
          <w:rFonts w:ascii="Times New Roman"/>
          <w:i/>
        </w:rPr>
      </w:pPr>
    </w:p>
    <w:p>
      <w:pPr>
        <w:pStyle w:val="BodyText"/>
        <w:spacing w:line="242" w:lineRule="auto"/>
        <w:ind w:left="338" w:right="346" w:firstLine="288"/>
        <w:jc w:val="both"/>
      </w:pPr>
      <w:bookmarkStart w:name="Artículo_681" w:id="843"/>
      <w:bookmarkEnd w:id="843"/>
      <w:r>
        <w:rPr/>
      </w:r>
      <w:r>
        <w:rPr>
          <w:rFonts w:ascii="Arial" w:hAnsi="Arial"/>
          <w:b/>
        </w:rPr>
        <w:t>Artículo 681.- </w:t>
      </w:r>
      <w:r>
        <w:rPr/>
        <w:t>Tienen derecho a participar en la elección los sindicatos de trabajadores y de patrones y los patrones independientes. Los representantes ante la Comisión Nacional serán elegidos por la totalidad de los trabajadores sindicalizados y patrones de la República con derecho a voto.</w:t>
      </w:r>
    </w:p>
    <w:p>
      <w:pPr>
        <w:spacing w:line="178"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BodyText"/>
        <w:spacing w:before="45"/>
        <w:rPr>
          <w:rFonts w:ascii="Times New Roman"/>
          <w:i/>
          <w:sz w:val="16"/>
        </w:rPr>
      </w:pPr>
    </w:p>
    <w:p>
      <w:pPr>
        <w:pStyle w:val="BodyText"/>
        <w:spacing w:line="242" w:lineRule="auto"/>
        <w:ind w:left="338" w:right="343" w:firstLine="288"/>
        <w:jc w:val="both"/>
      </w:pPr>
      <w:bookmarkStart w:name="Artículo_682" w:id="844"/>
      <w:bookmarkEnd w:id="844"/>
      <w:r>
        <w:rPr/>
      </w:r>
      <w:r>
        <w:rPr>
          <w:rFonts w:ascii="Arial" w:hAnsi="Arial"/>
          <w:b/>
        </w:rPr>
        <w:t>Artículo 682.- </w:t>
      </w:r>
      <w:r>
        <w:rPr/>
        <w:t>El Secretario del Trabajo y Previsión Social podrá delegar en las autoridades de las Entidades Federativas, total o parcialmente, las atribuciones que le corresponden en la certificación de padrones y credenciales y en el funcionamiento de las convenciones.</w:t>
      </w:r>
    </w:p>
    <w:p>
      <w:pPr>
        <w:pStyle w:val="BodyText"/>
        <w:spacing w:before="225"/>
        <w:ind w:left="338" w:right="330" w:firstLine="288"/>
        <w:jc w:val="both"/>
      </w:pPr>
      <w:bookmarkStart w:name="Artículo_682_A" w:id="845"/>
      <w:bookmarkEnd w:id="845"/>
      <w:r>
        <w:rPr/>
      </w:r>
      <w:r>
        <w:rPr>
          <w:rFonts w:ascii="Arial" w:hAnsi="Arial"/>
          <w:b/>
        </w:rPr>
        <w:t>Artículo 682-A.- </w:t>
      </w:r>
      <w:r>
        <w:rPr/>
        <w:t>Las Comisiones consultivas serán creadas por resolución del Consejo de Representantes de la Comisión Nacional, que será publicada en el Diario Oficial de la Federación y </w:t>
      </w:r>
      <w:r>
        <w:rPr>
          <w:spacing w:val="-2"/>
        </w:rPr>
        <w:t>contendrá:</w:t>
      </w:r>
    </w:p>
    <w:p>
      <w:pPr>
        <w:pStyle w:val="ListParagraph"/>
        <w:numPr>
          <w:ilvl w:val="0"/>
          <w:numId w:val="270"/>
        </w:numPr>
        <w:tabs>
          <w:tab w:pos="1195" w:val="left" w:leader="none"/>
        </w:tabs>
        <w:spacing w:line="240" w:lineRule="auto" w:before="230" w:after="0"/>
        <w:ind w:left="1195" w:right="0" w:hanging="569"/>
        <w:jc w:val="left"/>
        <w:rPr>
          <w:sz w:val="20"/>
        </w:rPr>
      </w:pPr>
      <w:r>
        <w:rPr>
          <w:sz w:val="20"/>
        </w:rPr>
        <w:t>La</w:t>
      </w:r>
      <w:r>
        <w:rPr>
          <w:spacing w:val="-7"/>
          <w:sz w:val="20"/>
        </w:rPr>
        <w:t> </w:t>
      </w:r>
      <w:r>
        <w:rPr>
          <w:sz w:val="20"/>
        </w:rPr>
        <w:t>materia</w:t>
      </w:r>
      <w:r>
        <w:rPr>
          <w:spacing w:val="-6"/>
          <w:sz w:val="20"/>
        </w:rPr>
        <w:t> </w:t>
      </w:r>
      <w:r>
        <w:rPr>
          <w:sz w:val="20"/>
        </w:rPr>
        <w:t>objeto</w:t>
      </w:r>
      <w:r>
        <w:rPr>
          <w:spacing w:val="-6"/>
          <w:sz w:val="20"/>
        </w:rPr>
        <w:t> </w:t>
      </w:r>
      <w:r>
        <w:rPr>
          <w:sz w:val="20"/>
        </w:rPr>
        <w:t>de</w:t>
      </w:r>
      <w:r>
        <w:rPr>
          <w:spacing w:val="-6"/>
          <w:sz w:val="20"/>
        </w:rPr>
        <w:t> </w:t>
      </w:r>
      <w:r>
        <w:rPr>
          <w:sz w:val="20"/>
        </w:rPr>
        <w:t>la</w:t>
      </w:r>
      <w:r>
        <w:rPr>
          <w:spacing w:val="-5"/>
          <w:sz w:val="20"/>
        </w:rPr>
        <w:t> </w:t>
      </w:r>
      <w:r>
        <w:rPr>
          <w:sz w:val="20"/>
        </w:rPr>
        <w:t>Comisión</w:t>
      </w:r>
      <w:r>
        <w:rPr>
          <w:spacing w:val="-7"/>
          <w:sz w:val="20"/>
        </w:rPr>
        <w:t> </w:t>
      </w:r>
      <w:r>
        <w:rPr>
          <w:spacing w:val="-2"/>
          <w:sz w:val="20"/>
        </w:rPr>
        <w:t>Consultiva;</w:t>
      </w:r>
    </w:p>
    <w:p>
      <w:pPr>
        <w:pStyle w:val="BodyText"/>
      </w:pPr>
    </w:p>
    <w:p>
      <w:pPr>
        <w:pStyle w:val="ListParagraph"/>
        <w:numPr>
          <w:ilvl w:val="0"/>
          <w:numId w:val="270"/>
        </w:numPr>
        <w:tabs>
          <w:tab w:pos="1195" w:val="left" w:leader="none"/>
        </w:tabs>
        <w:spacing w:line="240" w:lineRule="auto" w:before="0" w:after="0"/>
        <w:ind w:left="1195" w:right="0" w:hanging="569"/>
        <w:jc w:val="left"/>
        <w:rPr>
          <w:sz w:val="20"/>
        </w:rPr>
      </w:pPr>
      <w:r>
        <w:rPr>
          <w:sz w:val="20"/>
        </w:rPr>
        <w:t>La</w:t>
      </w:r>
      <w:r>
        <w:rPr>
          <w:spacing w:val="-6"/>
          <w:sz w:val="20"/>
        </w:rPr>
        <w:t> </w:t>
      </w:r>
      <w:r>
        <w:rPr>
          <w:sz w:val="20"/>
        </w:rPr>
        <w:t>duración</w:t>
      </w:r>
      <w:r>
        <w:rPr>
          <w:spacing w:val="-5"/>
          <w:sz w:val="20"/>
        </w:rPr>
        <w:t> </w:t>
      </w:r>
      <w:r>
        <w:rPr>
          <w:sz w:val="20"/>
        </w:rPr>
        <w:t>de</w:t>
      </w:r>
      <w:r>
        <w:rPr>
          <w:spacing w:val="-4"/>
          <w:sz w:val="20"/>
        </w:rPr>
        <w:t> </w:t>
      </w:r>
      <w:r>
        <w:rPr>
          <w:sz w:val="20"/>
        </w:rPr>
        <w:t>sus</w:t>
      </w:r>
      <w:r>
        <w:rPr>
          <w:spacing w:val="-4"/>
          <w:sz w:val="20"/>
        </w:rPr>
        <w:t> </w:t>
      </w:r>
      <w:r>
        <w:rPr>
          <w:spacing w:val="-2"/>
          <w:sz w:val="20"/>
        </w:rPr>
        <w:t>trabajos;</w:t>
      </w:r>
    </w:p>
    <w:p>
      <w:pPr>
        <w:pStyle w:val="ListParagraph"/>
        <w:numPr>
          <w:ilvl w:val="0"/>
          <w:numId w:val="270"/>
        </w:numPr>
        <w:tabs>
          <w:tab w:pos="1191" w:val="left" w:leader="none"/>
          <w:tab w:pos="1195" w:val="left" w:leader="none"/>
        </w:tabs>
        <w:spacing w:line="242" w:lineRule="auto" w:before="229" w:after="0"/>
        <w:ind w:left="1195" w:right="344" w:hanging="569"/>
        <w:jc w:val="both"/>
        <w:rPr>
          <w:sz w:val="20"/>
        </w:rPr>
      </w:pPr>
      <w:r>
        <w:rPr>
          <w:sz w:val="20"/>
        </w:rPr>
        <w:t>El</w:t>
      </w:r>
      <w:r>
        <w:rPr>
          <w:spacing w:val="-1"/>
          <w:sz w:val="20"/>
        </w:rPr>
        <w:t> </w:t>
      </w:r>
      <w:r>
        <w:rPr>
          <w:sz w:val="20"/>
        </w:rPr>
        <w:t>número</w:t>
      </w:r>
      <w:r>
        <w:rPr>
          <w:spacing w:val="-2"/>
          <w:sz w:val="20"/>
        </w:rPr>
        <w:t> </w:t>
      </w:r>
      <w:r>
        <w:rPr>
          <w:sz w:val="20"/>
        </w:rPr>
        <w:t>de representantes</w:t>
      </w:r>
      <w:r>
        <w:rPr>
          <w:spacing w:val="-1"/>
          <w:sz w:val="20"/>
        </w:rPr>
        <w:t> </w:t>
      </w:r>
      <w:r>
        <w:rPr>
          <w:sz w:val="20"/>
        </w:rPr>
        <w:t>de los trabajadores y</w:t>
      </w:r>
      <w:r>
        <w:rPr>
          <w:spacing w:val="-3"/>
          <w:sz w:val="20"/>
        </w:rPr>
        <w:t> </w:t>
      </w:r>
      <w:r>
        <w:rPr>
          <w:sz w:val="20"/>
        </w:rPr>
        <w:t>de los patrones ante la</w:t>
      </w:r>
      <w:r>
        <w:rPr>
          <w:spacing w:val="-2"/>
          <w:sz w:val="20"/>
        </w:rPr>
        <w:t> </w:t>
      </w:r>
      <w:r>
        <w:rPr>
          <w:sz w:val="20"/>
        </w:rPr>
        <w:t>Comisión Consultiva, los que serán designados por los representantes de los trabajadores y de los patrones ante la Comisión Nacional;</w:t>
      </w:r>
    </w:p>
    <w:p>
      <w:pPr>
        <w:pStyle w:val="ListParagraph"/>
        <w:numPr>
          <w:ilvl w:val="0"/>
          <w:numId w:val="270"/>
        </w:numPr>
        <w:tabs>
          <w:tab w:pos="1195" w:val="left" w:leader="none"/>
        </w:tabs>
        <w:spacing w:line="240" w:lineRule="auto" w:before="225" w:after="0"/>
        <w:ind w:left="1195" w:right="337" w:hanging="569"/>
        <w:jc w:val="both"/>
        <w:rPr>
          <w:sz w:val="20"/>
        </w:rPr>
      </w:pPr>
      <w:r>
        <w:rPr>
          <w:sz w:val="20"/>
        </w:rPr>
        <w:t>El término para la designación de representantes, los requisitos que deberán cumplir en cada caso y el lugar que se determine para la notificación de las designaciones; y</w:t>
      </w:r>
    </w:p>
    <w:p>
      <w:pPr>
        <w:pStyle w:val="ListParagraph"/>
        <w:numPr>
          <w:ilvl w:val="0"/>
          <w:numId w:val="270"/>
        </w:numPr>
        <w:tabs>
          <w:tab w:pos="1195" w:val="left" w:leader="none"/>
        </w:tabs>
        <w:spacing w:line="240" w:lineRule="auto" w:before="228" w:after="0"/>
        <w:ind w:left="1195" w:right="0" w:hanging="569"/>
        <w:jc w:val="left"/>
        <w:rPr>
          <w:sz w:val="20"/>
        </w:rPr>
      </w:pPr>
      <w:r>
        <w:rPr>
          <w:sz w:val="20"/>
        </w:rPr>
        <w:t>El</w:t>
      </w:r>
      <w:r>
        <w:rPr>
          <w:spacing w:val="-6"/>
          <w:sz w:val="20"/>
        </w:rPr>
        <w:t> </w:t>
      </w:r>
      <w:r>
        <w:rPr>
          <w:sz w:val="20"/>
        </w:rPr>
        <w:t>lugar</w:t>
      </w:r>
      <w:r>
        <w:rPr>
          <w:spacing w:val="-3"/>
          <w:sz w:val="20"/>
        </w:rPr>
        <w:t> </w:t>
      </w:r>
      <w:r>
        <w:rPr>
          <w:sz w:val="20"/>
        </w:rPr>
        <w:t>y</w:t>
      </w:r>
      <w:r>
        <w:rPr>
          <w:spacing w:val="-9"/>
          <w:sz w:val="20"/>
        </w:rPr>
        <w:t> </w:t>
      </w:r>
      <w:r>
        <w:rPr>
          <w:sz w:val="20"/>
        </w:rPr>
        <w:t>fecha</w:t>
      </w:r>
      <w:r>
        <w:rPr>
          <w:spacing w:val="-4"/>
          <w:sz w:val="20"/>
        </w:rPr>
        <w:t> </w:t>
      </w:r>
      <w:r>
        <w:rPr>
          <w:sz w:val="20"/>
        </w:rPr>
        <w:t>en</w:t>
      </w:r>
      <w:r>
        <w:rPr>
          <w:spacing w:val="-5"/>
          <w:sz w:val="20"/>
        </w:rPr>
        <w:t> </w:t>
      </w:r>
      <w:r>
        <w:rPr>
          <w:sz w:val="20"/>
        </w:rPr>
        <w:t>el</w:t>
      </w:r>
      <w:r>
        <w:rPr>
          <w:spacing w:val="-6"/>
          <w:sz w:val="20"/>
        </w:rPr>
        <w:t> </w:t>
      </w:r>
      <w:r>
        <w:rPr>
          <w:sz w:val="20"/>
        </w:rPr>
        <w:t>que</w:t>
      </w:r>
      <w:r>
        <w:rPr>
          <w:spacing w:val="-6"/>
          <w:sz w:val="20"/>
        </w:rPr>
        <w:t> </w:t>
      </w:r>
      <w:r>
        <w:rPr>
          <w:sz w:val="20"/>
        </w:rPr>
        <w:t>se</w:t>
      </w:r>
      <w:r>
        <w:rPr>
          <w:spacing w:val="-6"/>
          <w:sz w:val="20"/>
        </w:rPr>
        <w:t> </w:t>
      </w:r>
      <w:r>
        <w:rPr>
          <w:sz w:val="20"/>
        </w:rPr>
        <w:t>iniciarán</w:t>
      </w:r>
      <w:r>
        <w:rPr>
          <w:spacing w:val="-7"/>
          <w:sz w:val="20"/>
        </w:rPr>
        <w:t> </w:t>
      </w:r>
      <w:r>
        <w:rPr>
          <w:sz w:val="20"/>
        </w:rPr>
        <w:t>formalmente</w:t>
      </w:r>
      <w:r>
        <w:rPr>
          <w:spacing w:val="-7"/>
          <w:sz w:val="20"/>
        </w:rPr>
        <w:t> </w:t>
      </w:r>
      <w:r>
        <w:rPr>
          <w:sz w:val="20"/>
        </w:rPr>
        <w:t>los</w:t>
      </w:r>
      <w:r>
        <w:rPr>
          <w:spacing w:val="-3"/>
          <w:sz w:val="20"/>
        </w:rPr>
        <w:t> </w:t>
      </w:r>
      <w:r>
        <w:rPr>
          <w:sz w:val="20"/>
        </w:rPr>
        <w:t>trabajos</w:t>
      </w:r>
      <w:r>
        <w:rPr>
          <w:spacing w:val="-6"/>
          <w:sz w:val="20"/>
        </w:rPr>
        <w:t> </w:t>
      </w:r>
      <w:r>
        <w:rPr>
          <w:sz w:val="20"/>
        </w:rPr>
        <w:t>de</w:t>
      </w:r>
      <w:r>
        <w:rPr>
          <w:spacing w:val="-5"/>
          <w:sz w:val="20"/>
        </w:rPr>
        <w:t> </w:t>
      </w:r>
      <w:r>
        <w:rPr>
          <w:sz w:val="20"/>
        </w:rPr>
        <w:t>la</w:t>
      </w:r>
      <w:r>
        <w:rPr>
          <w:spacing w:val="-4"/>
          <w:sz w:val="20"/>
        </w:rPr>
        <w:t> </w:t>
      </w:r>
      <w:r>
        <w:rPr>
          <w:sz w:val="20"/>
        </w:rPr>
        <w:t>Comisión</w:t>
      </w:r>
      <w:r>
        <w:rPr>
          <w:spacing w:val="-7"/>
          <w:sz w:val="20"/>
        </w:rPr>
        <w:t> </w:t>
      </w:r>
      <w:r>
        <w:rPr>
          <w:spacing w:val="-2"/>
          <w:sz w:val="20"/>
        </w:rPr>
        <w:t>Consultiva.</w:t>
      </w:r>
    </w:p>
    <w:p>
      <w:pPr>
        <w:spacing w:before="1"/>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21-01-</w:t>
      </w:r>
      <w:r>
        <w:rPr>
          <w:rFonts w:ascii="Times New Roman" w:hAnsi="Times New Roman"/>
          <w:i/>
          <w:color w:val="0000FF"/>
          <w:spacing w:val="-4"/>
          <w:sz w:val="16"/>
        </w:rPr>
        <w:t>1988</w:t>
      </w:r>
    </w:p>
    <w:p>
      <w:pPr>
        <w:pStyle w:val="Heading1"/>
        <w:spacing w:line="253" w:lineRule="exact" w:before="229"/>
        <w:ind w:left="298"/>
      </w:pPr>
      <w:r>
        <w:rPr/>
        <w:t>CAPITULO</w:t>
      </w:r>
      <w:r>
        <w:rPr>
          <w:spacing w:val="-9"/>
        </w:rPr>
        <w:t> </w:t>
      </w:r>
      <w:r>
        <w:rPr>
          <w:spacing w:val="-5"/>
        </w:rPr>
        <w:t>III</w:t>
      </w:r>
    </w:p>
    <w:p>
      <w:pPr>
        <w:pStyle w:val="Heading2"/>
        <w:ind w:left="297"/>
      </w:pPr>
      <w:r>
        <w:rPr/>
        <w:t>Representantes</w:t>
      </w:r>
      <w:r>
        <w:rPr>
          <w:spacing w:val="-3"/>
        </w:rPr>
        <w:t> </w:t>
      </w:r>
      <w:r>
        <w:rPr/>
        <w:t>de</w:t>
      </w:r>
      <w:r>
        <w:rPr>
          <w:spacing w:val="-4"/>
        </w:rPr>
        <w:t> </w:t>
      </w:r>
      <w:r>
        <w:rPr/>
        <w:t>los</w:t>
      </w:r>
      <w:r>
        <w:rPr>
          <w:spacing w:val="-3"/>
        </w:rPr>
        <w:t> </w:t>
      </w:r>
      <w:r>
        <w:rPr/>
        <w:t>trabajadores</w:t>
      </w:r>
      <w:r>
        <w:rPr>
          <w:spacing w:val="-2"/>
        </w:rPr>
        <w:t> </w:t>
      </w:r>
      <w:r>
        <w:rPr/>
        <w:t>y</w:t>
      </w:r>
      <w:r>
        <w:rPr>
          <w:spacing w:val="-5"/>
        </w:rPr>
        <w:t> </w:t>
      </w:r>
      <w:r>
        <w:rPr/>
        <w:t>de</w:t>
      </w:r>
      <w:r>
        <w:rPr>
          <w:spacing w:val="-2"/>
        </w:rPr>
        <w:t> </w:t>
      </w:r>
      <w:r>
        <w:rPr/>
        <w:t>los</w:t>
      </w:r>
      <w:r>
        <w:rPr>
          <w:spacing w:val="-2"/>
        </w:rPr>
        <w:t> </w:t>
      </w:r>
      <w:r>
        <w:rPr/>
        <w:t>patrones</w:t>
      </w:r>
      <w:r>
        <w:rPr>
          <w:spacing w:val="-2"/>
        </w:rPr>
        <w:t> </w:t>
      </w:r>
      <w:r>
        <w:rPr/>
        <w:t>en</w:t>
      </w:r>
      <w:r>
        <w:rPr>
          <w:spacing w:val="-4"/>
        </w:rPr>
        <w:t> </w:t>
      </w:r>
      <w:r>
        <w:rPr/>
        <w:t>la</w:t>
      </w:r>
      <w:r>
        <w:rPr>
          <w:spacing w:val="-3"/>
        </w:rPr>
        <w:t> </w:t>
      </w:r>
      <w:r>
        <w:rPr/>
        <w:t>comisión</w:t>
      </w:r>
      <w:r>
        <w:rPr>
          <w:spacing w:val="-4"/>
        </w:rPr>
        <w:t> </w:t>
      </w:r>
      <w:r>
        <w:rPr/>
        <w:t>nacional</w:t>
      </w:r>
      <w:r>
        <w:rPr>
          <w:spacing w:val="-3"/>
        </w:rPr>
        <w:t> </w:t>
      </w:r>
      <w:r>
        <w:rPr/>
        <w:t>para</w:t>
      </w:r>
      <w:r>
        <w:rPr>
          <w:spacing w:val="-3"/>
        </w:rPr>
        <w:t> </w:t>
      </w:r>
      <w:r>
        <w:rPr/>
        <w:t>la participación de los trabajadores en las utilidades de las empresas</w:t>
      </w:r>
    </w:p>
    <w:p>
      <w:pPr>
        <w:pStyle w:val="BodyText"/>
        <w:spacing w:line="242" w:lineRule="auto" w:before="230"/>
        <w:ind w:left="338" w:right="334" w:firstLine="288"/>
        <w:jc w:val="both"/>
      </w:pPr>
      <w:bookmarkStart w:name="Artículo_683" w:id="846"/>
      <w:bookmarkEnd w:id="846"/>
      <w:r>
        <w:rPr/>
      </w:r>
      <w:r>
        <w:rPr>
          <w:rFonts w:ascii="Arial" w:hAnsi="Arial"/>
          <w:b/>
        </w:rPr>
        <w:t>Artículo 683.- </w:t>
      </w:r>
      <w:r>
        <w:rPr/>
        <w:t>En la elección de representantes de los trabajadores y de los patrones en la Comisión Nacional para la Participación de los Trabajadores en las Utilidades de las Empresas, se observarán las disposiciones contenidas en los dos capítulos anteriores, con la modalidad del artículo siguiente.</w:t>
      </w:r>
    </w:p>
    <w:p>
      <w:pPr>
        <w:pStyle w:val="BodyText"/>
        <w:spacing w:line="242" w:lineRule="auto" w:before="225"/>
        <w:ind w:left="338" w:right="342" w:firstLine="288"/>
        <w:jc w:val="both"/>
      </w:pPr>
      <w:bookmarkStart w:name="Artículo_684" w:id="847"/>
      <w:bookmarkEnd w:id="847"/>
      <w:r>
        <w:rPr/>
      </w:r>
      <w:r>
        <w:rPr>
          <w:rFonts w:ascii="Arial" w:hAnsi="Arial"/>
          <w:b/>
        </w:rPr>
        <w:t>Artículo 684.- </w:t>
      </w:r>
      <w:r>
        <w:rPr/>
        <w:t>La convocatoria para la determinación o revisión del porcentaje de utilidades,</w:t>
      </w:r>
      <w:r>
        <w:rPr>
          <w:spacing w:val="40"/>
        </w:rPr>
        <w:t> </w:t>
      </w:r>
      <w:r>
        <w:rPr>
          <w:spacing w:val="-2"/>
        </w:rPr>
        <w:t>contendrá:</w:t>
      </w:r>
    </w:p>
    <w:p>
      <w:pPr>
        <w:pStyle w:val="ListParagraph"/>
        <w:numPr>
          <w:ilvl w:val="0"/>
          <w:numId w:val="271"/>
        </w:numPr>
        <w:tabs>
          <w:tab w:pos="1193" w:val="left" w:leader="none"/>
          <w:tab w:pos="1195" w:val="left" w:leader="none"/>
        </w:tabs>
        <w:spacing w:line="242" w:lineRule="auto" w:before="224" w:after="0"/>
        <w:ind w:left="1195" w:right="335" w:hanging="569"/>
        <w:jc w:val="both"/>
        <w:rPr>
          <w:sz w:val="20"/>
        </w:rPr>
      </w:pPr>
      <w:r>
        <w:rPr>
          <w:sz w:val="20"/>
        </w:rPr>
        <w:t>La</w:t>
      </w:r>
      <w:r>
        <w:rPr>
          <w:spacing w:val="-3"/>
          <w:sz w:val="20"/>
        </w:rPr>
        <w:t> </w:t>
      </w:r>
      <w:r>
        <w:rPr>
          <w:sz w:val="20"/>
        </w:rPr>
        <w:t>determinación</w:t>
      </w:r>
      <w:r>
        <w:rPr>
          <w:spacing w:val="-3"/>
          <w:sz w:val="20"/>
        </w:rPr>
        <w:t> </w:t>
      </w:r>
      <w:r>
        <w:rPr>
          <w:sz w:val="20"/>
        </w:rPr>
        <w:t>del</w:t>
      </w:r>
      <w:r>
        <w:rPr>
          <w:spacing w:val="-3"/>
          <w:sz w:val="20"/>
        </w:rPr>
        <w:t> </w:t>
      </w:r>
      <w:r>
        <w:rPr>
          <w:sz w:val="20"/>
        </w:rPr>
        <w:t>número</w:t>
      </w:r>
      <w:r>
        <w:rPr>
          <w:spacing w:val="-2"/>
          <w:sz w:val="20"/>
        </w:rPr>
        <w:t> </w:t>
      </w:r>
      <w:r>
        <w:rPr>
          <w:sz w:val="20"/>
        </w:rPr>
        <w:t>de</w:t>
      </w:r>
      <w:r>
        <w:rPr>
          <w:spacing w:val="-3"/>
          <w:sz w:val="20"/>
        </w:rPr>
        <w:t> </w:t>
      </w:r>
      <w:r>
        <w:rPr>
          <w:sz w:val="20"/>
        </w:rPr>
        <w:t>representantes</w:t>
      </w:r>
      <w:r>
        <w:rPr>
          <w:spacing w:val="-1"/>
          <w:sz w:val="20"/>
        </w:rPr>
        <w:t> </w:t>
      </w:r>
      <w:r>
        <w:rPr>
          <w:sz w:val="20"/>
        </w:rPr>
        <w:t>que</w:t>
      </w:r>
      <w:r>
        <w:rPr>
          <w:spacing w:val="-2"/>
          <w:sz w:val="20"/>
        </w:rPr>
        <w:t> </w:t>
      </w:r>
      <w:r>
        <w:rPr>
          <w:sz w:val="20"/>
        </w:rPr>
        <w:t>deba</w:t>
      </w:r>
      <w:r>
        <w:rPr>
          <w:spacing w:val="-2"/>
          <w:sz w:val="20"/>
        </w:rPr>
        <w:t> </w:t>
      </w:r>
      <w:r>
        <w:rPr>
          <w:sz w:val="20"/>
        </w:rPr>
        <w:t>elegirse</w:t>
      </w:r>
      <w:r>
        <w:rPr>
          <w:spacing w:val="-2"/>
          <w:sz w:val="20"/>
        </w:rPr>
        <w:t> </w:t>
      </w:r>
      <w:r>
        <w:rPr>
          <w:sz w:val="20"/>
        </w:rPr>
        <w:t>para integrar</w:t>
      </w:r>
      <w:r>
        <w:rPr>
          <w:spacing w:val="-1"/>
          <w:sz w:val="20"/>
        </w:rPr>
        <w:t> </w:t>
      </w:r>
      <w:r>
        <w:rPr>
          <w:sz w:val="20"/>
        </w:rPr>
        <w:t>la</w:t>
      </w:r>
      <w:r>
        <w:rPr>
          <w:spacing w:val="-2"/>
          <w:sz w:val="20"/>
        </w:rPr>
        <w:t> </w:t>
      </w:r>
      <w:r>
        <w:rPr>
          <w:sz w:val="20"/>
        </w:rPr>
        <w:t>Comisión,</w:t>
      </w:r>
      <w:r>
        <w:rPr>
          <w:spacing w:val="-2"/>
          <w:sz w:val="20"/>
        </w:rPr>
        <w:t> </w:t>
      </w:r>
      <w:r>
        <w:rPr>
          <w:sz w:val="20"/>
        </w:rPr>
        <w:t>de conformidad con lo dispuesto en el artículo 579, fracción II, así como la distribución</w:t>
      </w:r>
      <w:r>
        <w:rPr>
          <w:spacing w:val="40"/>
          <w:sz w:val="20"/>
        </w:rPr>
        <w:t> </w:t>
      </w:r>
      <w:r>
        <w:rPr>
          <w:sz w:val="20"/>
        </w:rPr>
        <w:t>de las ramas de la industria y de las actividades, según su importancia, entre el número de representantes que se hubiese determinado;</w:t>
      </w:r>
    </w:p>
    <w:p>
      <w:pPr>
        <w:pStyle w:val="ListParagraph"/>
        <w:numPr>
          <w:ilvl w:val="0"/>
          <w:numId w:val="271"/>
        </w:numPr>
        <w:tabs>
          <w:tab w:pos="1195" w:val="left" w:leader="none"/>
        </w:tabs>
        <w:spacing w:line="240" w:lineRule="auto" w:before="221" w:after="0"/>
        <w:ind w:left="1195" w:right="0" w:hanging="569"/>
        <w:jc w:val="left"/>
        <w:rPr>
          <w:sz w:val="20"/>
        </w:rPr>
      </w:pPr>
      <w:r>
        <w:rPr>
          <w:sz w:val="20"/>
        </w:rPr>
        <w:t>El</w:t>
      </w:r>
      <w:r>
        <w:rPr>
          <w:spacing w:val="-6"/>
          <w:sz w:val="20"/>
        </w:rPr>
        <w:t> </w:t>
      </w:r>
      <w:r>
        <w:rPr>
          <w:sz w:val="20"/>
        </w:rPr>
        <w:t>lugar</w:t>
      </w:r>
      <w:r>
        <w:rPr>
          <w:spacing w:val="-3"/>
          <w:sz w:val="20"/>
        </w:rPr>
        <w:t> </w:t>
      </w:r>
      <w:r>
        <w:rPr>
          <w:sz w:val="20"/>
        </w:rPr>
        <w:t>y</w:t>
      </w:r>
      <w:r>
        <w:rPr>
          <w:spacing w:val="-7"/>
          <w:sz w:val="20"/>
        </w:rPr>
        <w:t> </w:t>
      </w:r>
      <w:r>
        <w:rPr>
          <w:sz w:val="20"/>
        </w:rPr>
        <w:t>la</w:t>
      </w:r>
      <w:r>
        <w:rPr>
          <w:spacing w:val="-4"/>
          <w:sz w:val="20"/>
        </w:rPr>
        <w:t> </w:t>
      </w:r>
      <w:r>
        <w:rPr>
          <w:sz w:val="20"/>
        </w:rPr>
        <w:t>fecha</w:t>
      </w:r>
      <w:r>
        <w:rPr>
          <w:spacing w:val="-7"/>
          <w:sz w:val="20"/>
        </w:rPr>
        <w:t> </w:t>
      </w:r>
      <w:r>
        <w:rPr>
          <w:sz w:val="20"/>
        </w:rPr>
        <w:t>de</w:t>
      </w:r>
      <w:r>
        <w:rPr>
          <w:spacing w:val="-5"/>
          <w:sz w:val="20"/>
        </w:rPr>
        <w:t> </w:t>
      </w:r>
      <w:r>
        <w:rPr>
          <w:sz w:val="20"/>
        </w:rPr>
        <w:t>presentación</w:t>
      </w:r>
      <w:r>
        <w:rPr>
          <w:spacing w:val="-6"/>
          <w:sz w:val="20"/>
        </w:rPr>
        <w:t> </w:t>
      </w:r>
      <w:r>
        <w:rPr>
          <w:sz w:val="20"/>
        </w:rPr>
        <w:t>de</w:t>
      </w:r>
      <w:r>
        <w:rPr>
          <w:spacing w:val="-6"/>
          <w:sz w:val="20"/>
        </w:rPr>
        <w:t> </w:t>
      </w:r>
      <w:r>
        <w:rPr>
          <w:sz w:val="20"/>
        </w:rPr>
        <w:t>los</w:t>
      </w:r>
      <w:r>
        <w:rPr>
          <w:spacing w:val="-5"/>
          <w:sz w:val="20"/>
        </w:rPr>
        <w:t> </w:t>
      </w:r>
      <w:r>
        <w:rPr>
          <w:sz w:val="20"/>
        </w:rPr>
        <w:t>padrones</w:t>
      </w:r>
      <w:r>
        <w:rPr>
          <w:spacing w:val="-2"/>
          <w:sz w:val="20"/>
        </w:rPr>
        <w:t> </w:t>
      </w:r>
      <w:r>
        <w:rPr>
          <w:sz w:val="20"/>
        </w:rPr>
        <w:t>y</w:t>
      </w:r>
      <w:r>
        <w:rPr>
          <w:spacing w:val="-9"/>
          <w:sz w:val="20"/>
        </w:rPr>
        <w:t> </w:t>
      </w:r>
      <w:r>
        <w:rPr>
          <w:sz w:val="20"/>
        </w:rPr>
        <w:t>credenciales;</w:t>
      </w:r>
      <w:r>
        <w:rPr>
          <w:spacing w:val="-4"/>
          <w:sz w:val="20"/>
        </w:rPr>
        <w:t> </w:t>
      </w:r>
      <w:r>
        <w:rPr>
          <w:spacing w:val="-10"/>
          <w:sz w:val="20"/>
        </w:rPr>
        <w:t>y</w:t>
      </w:r>
    </w:p>
    <w:p>
      <w:pPr>
        <w:pStyle w:val="BodyText"/>
        <w:rPr>
          <w:sz w:val="12"/>
        </w:rPr>
      </w:pPr>
    </w:p>
    <w:p>
      <w:pPr>
        <w:pStyle w:val="BodyText"/>
        <w:spacing w:after="0"/>
        <w:rPr>
          <w:sz w:val="12"/>
        </w:rPr>
        <w:sectPr>
          <w:pgSz w:w="12240" w:h="15840"/>
          <w:pgMar w:header="724" w:footer="712" w:top="1880" w:bottom="900" w:left="1080" w:right="1080"/>
        </w:sectPr>
      </w:pPr>
    </w:p>
    <w:p>
      <w:pPr>
        <w:pStyle w:val="ListParagraph"/>
        <w:numPr>
          <w:ilvl w:val="0"/>
          <w:numId w:val="271"/>
        </w:numPr>
        <w:tabs>
          <w:tab w:pos="1195" w:val="left" w:leader="none"/>
        </w:tabs>
        <w:spacing w:line="240" w:lineRule="auto" w:before="93" w:after="0"/>
        <w:ind w:left="1195" w:right="0" w:hanging="569"/>
        <w:jc w:val="left"/>
        <w:rPr>
          <w:sz w:val="20"/>
        </w:rPr>
      </w:pPr>
      <w:r>
        <w:rPr>
          <w:sz w:val="20"/>
        </w:rPr>
        <w:t>El</w:t>
      </w:r>
      <w:r>
        <w:rPr>
          <w:spacing w:val="-5"/>
          <w:sz w:val="20"/>
        </w:rPr>
        <w:t> </w:t>
      </w:r>
      <w:r>
        <w:rPr>
          <w:sz w:val="20"/>
        </w:rPr>
        <w:t>lugar,</w:t>
      </w:r>
      <w:r>
        <w:rPr>
          <w:spacing w:val="-5"/>
          <w:sz w:val="20"/>
        </w:rPr>
        <w:t> </w:t>
      </w:r>
      <w:r>
        <w:rPr>
          <w:sz w:val="20"/>
        </w:rPr>
        <w:t>fecha</w:t>
      </w:r>
      <w:r>
        <w:rPr>
          <w:spacing w:val="-1"/>
          <w:sz w:val="20"/>
        </w:rPr>
        <w:t> </w:t>
      </w:r>
      <w:r>
        <w:rPr>
          <w:sz w:val="20"/>
        </w:rPr>
        <w:t>y</w:t>
      </w:r>
      <w:r>
        <w:rPr>
          <w:spacing w:val="-8"/>
          <w:sz w:val="20"/>
        </w:rPr>
        <w:t> </w:t>
      </w:r>
      <w:r>
        <w:rPr>
          <w:sz w:val="20"/>
        </w:rPr>
        <w:t>hora</w:t>
      </w:r>
      <w:r>
        <w:rPr>
          <w:spacing w:val="-5"/>
          <w:sz w:val="20"/>
        </w:rPr>
        <w:t> </w:t>
      </w:r>
      <w:r>
        <w:rPr>
          <w:sz w:val="20"/>
        </w:rPr>
        <w:t>en</w:t>
      </w:r>
      <w:r>
        <w:rPr>
          <w:spacing w:val="-3"/>
          <w:sz w:val="20"/>
        </w:rPr>
        <w:t> </w:t>
      </w:r>
      <w:r>
        <w:rPr>
          <w:sz w:val="20"/>
        </w:rPr>
        <w:t>que</w:t>
      </w:r>
      <w:r>
        <w:rPr>
          <w:spacing w:val="-5"/>
          <w:sz w:val="20"/>
        </w:rPr>
        <w:t> </w:t>
      </w:r>
      <w:r>
        <w:rPr>
          <w:sz w:val="20"/>
        </w:rPr>
        <w:t>deban</w:t>
      </w:r>
      <w:r>
        <w:rPr>
          <w:spacing w:val="-5"/>
          <w:sz w:val="20"/>
        </w:rPr>
        <w:t> </w:t>
      </w:r>
      <w:r>
        <w:rPr>
          <w:sz w:val="20"/>
        </w:rPr>
        <w:t>celebrarse</w:t>
      </w:r>
      <w:r>
        <w:rPr>
          <w:spacing w:val="-5"/>
          <w:sz w:val="20"/>
        </w:rPr>
        <w:t> </w:t>
      </w:r>
      <w:r>
        <w:rPr>
          <w:sz w:val="20"/>
        </w:rPr>
        <w:t>las</w:t>
      </w:r>
      <w:r>
        <w:rPr>
          <w:spacing w:val="-4"/>
          <w:sz w:val="20"/>
        </w:rPr>
        <w:t> </w:t>
      </w:r>
      <w:r>
        <w:rPr>
          <w:spacing w:val="-2"/>
          <w:sz w:val="20"/>
        </w:rPr>
        <w:t>convenciones.</w:t>
      </w:r>
    </w:p>
    <w:p>
      <w:pPr>
        <w:pStyle w:val="Heading1"/>
        <w:spacing w:before="229"/>
        <w:ind w:left="2644" w:right="0"/>
      </w:pPr>
      <w:r>
        <w:rPr/>
        <w:t>TÍTULO</w:t>
      </w:r>
      <w:r>
        <w:rPr>
          <w:spacing w:val="-6"/>
        </w:rPr>
        <w:t> </w:t>
      </w:r>
      <w:r>
        <w:rPr/>
        <w:t>TRECE</w:t>
      </w:r>
      <w:r>
        <w:rPr>
          <w:spacing w:val="-6"/>
        </w:rPr>
        <w:t> </w:t>
      </w:r>
      <w:r>
        <w:rPr>
          <w:spacing w:val="-5"/>
        </w:rPr>
        <w:t>BIS</w:t>
      </w:r>
    </w:p>
    <w:p>
      <w:pPr>
        <w:pStyle w:val="BodyText"/>
        <w:spacing w:before="161"/>
        <w:rPr>
          <w:rFonts w:ascii="Arial"/>
          <w:b/>
          <w:sz w:val="22"/>
        </w:rPr>
      </w:pPr>
    </w:p>
    <w:p>
      <w:pPr>
        <w:spacing w:line="252" w:lineRule="exact" w:before="0"/>
        <w:ind w:left="2644" w:right="0" w:firstLine="0"/>
        <w:jc w:val="center"/>
        <w:rPr>
          <w:rFonts w:ascii="Arial"/>
          <w:b/>
          <w:sz w:val="22"/>
        </w:rPr>
      </w:pPr>
      <w:r>
        <w:rPr>
          <w:rFonts w:ascii="Arial"/>
          <w:b/>
          <w:sz w:val="22"/>
        </w:rPr>
        <w:t>CAPITULO</w:t>
      </w:r>
      <w:r>
        <w:rPr>
          <w:rFonts w:ascii="Arial"/>
          <w:b/>
          <w:spacing w:val="-9"/>
          <w:sz w:val="22"/>
        </w:rPr>
        <w:t> </w:t>
      </w:r>
      <w:r>
        <w:rPr>
          <w:rFonts w:ascii="Arial"/>
          <w:b/>
          <w:spacing w:val="-12"/>
          <w:sz w:val="22"/>
        </w:rPr>
        <w:t>I</w:t>
      </w:r>
    </w:p>
    <w:p>
      <w:pPr>
        <w:pStyle w:val="Heading2"/>
        <w:spacing w:line="252" w:lineRule="exact"/>
        <w:ind w:left="2644" w:right="2"/>
      </w:pPr>
      <w:r>
        <w:rPr/>
        <w:t>Del</w:t>
      </w:r>
      <w:r>
        <w:rPr>
          <w:spacing w:val="-5"/>
        </w:rPr>
        <w:t> </w:t>
      </w:r>
      <w:r>
        <w:rPr/>
        <w:t>Procedimiento</w:t>
      </w:r>
      <w:r>
        <w:rPr>
          <w:spacing w:val="-8"/>
        </w:rPr>
        <w:t> </w:t>
      </w:r>
      <w:r>
        <w:rPr/>
        <w:t>de</w:t>
      </w:r>
      <w:r>
        <w:rPr>
          <w:spacing w:val="-8"/>
        </w:rPr>
        <w:t> </w:t>
      </w:r>
      <w:r>
        <w:rPr/>
        <w:t>Conciliación</w:t>
      </w:r>
      <w:r>
        <w:rPr>
          <w:spacing w:val="-8"/>
        </w:rPr>
        <w:t> </w:t>
      </w:r>
      <w:r>
        <w:rPr>
          <w:spacing w:val="-2"/>
        </w:rPr>
        <w:t>Prejudicial</w:t>
      </w:r>
    </w:p>
    <w:p>
      <w:pPr>
        <w:spacing w:line="240" w:lineRule="auto" w:before="0"/>
        <w:rPr>
          <w:rFonts w:ascii="Arial"/>
          <w:b/>
          <w:sz w:val="16"/>
        </w:rPr>
      </w:pPr>
      <w:r>
        <w:rPr/>
        <w:br w:type="column"/>
      </w:r>
      <w:r>
        <w:rPr>
          <w:rFonts w:ascii="Arial"/>
          <w:b/>
          <w:sz w:val="16"/>
        </w:rPr>
      </w:r>
    </w:p>
    <w:p>
      <w:pPr>
        <w:pStyle w:val="BodyText"/>
        <w:rPr>
          <w:rFonts w:ascii="Arial"/>
          <w:b/>
          <w:sz w:val="16"/>
        </w:rPr>
      </w:pPr>
    </w:p>
    <w:p>
      <w:pPr>
        <w:pStyle w:val="BodyText"/>
        <w:rPr>
          <w:rFonts w:ascii="Arial"/>
          <w:b/>
          <w:sz w:val="16"/>
        </w:rPr>
      </w:pPr>
    </w:p>
    <w:p>
      <w:pPr>
        <w:pStyle w:val="BodyText"/>
        <w:spacing w:before="70"/>
        <w:rPr>
          <w:rFonts w:ascii="Arial"/>
          <w:b/>
          <w:sz w:val="16"/>
        </w:rPr>
      </w:pPr>
    </w:p>
    <w:p>
      <w:pPr>
        <w:spacing w:before="0"/>
        <w:ind w:left="0"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i/>
          <w:sz w:val="16"/>
        </w:rPr>
        <w:sectPr>
          <w:type w:val="continuous"/>
          <w:pgSz w:w="12240" w:h="15840"/>
          <w:pgMar w:header="724" w:footer="712" w:top="1880" w:bottom="900" w:left="1080" w:right="1080"/>
          <w:cols w:num="2" w:equalWidth="0">
            <w:col w:w="7436" w:space="10"/>
            <w:col w:w="2634"/>
          </w:cols>
        </w:sectPr>
      </w:pPr>
    </w:p>
    <w:p>
      <w:pPr>
        <w:spacing w:before="1"/>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right"/>
        <w:rPr>
          <w:rFonts w:ascii="Times New Roman" w:hAnsi="Times New Roman"/>
          <w:i/>
          <w:sz w:val="16"/>
        </w:rPr>
        <w:sectPr>
          <w:type w:val="continuous"/>
          <w:pgSz w:w="12240" w:h="15840"/>
          <w:pgMar w:header="724" w:footer="712" w:top="1880" w:bottom="900" w:left="1080" w:right="1080"/>
        </w:sectPr>
      </w:pPr>
    </w:p>
    <w:p>
      <w:pPr>
        <w:pStyle w:val="BodyText"/>
        <w:rPr>
          <w:rFonts w:ascii="Times New Roman"/>
          <w:i/>
        </w:rPr>
      </w:pPr>
    </w:p>
    <w:p>
      <w:pPr>
        <w:pStyle w:val="BodyText"/>
        <w:spacing w:before="63"/>
        <w:rPr>
          <w:rFonts w:ascii="Times New Roman"/>
          <w:i/>
        </w:rPr>
      </w:pPr>
    </w:p>
    <w:p>
      <w:pPr>
        <w:pStyle w:val="BodyText"/>
        <w:spacing w:line="242" w:lineRule="auto"/>
        <w:ind w:left="338" w:right="335" w:firstLine="288"/>
        <w:jc w:val="both"/>
      </w:pPr>
      <w:bookmarkStart w:name="Artículo_684_A" w:id="848"/>
      <w:bookmarkEnd w:id="848"/>
      <w:r>
        <w:rPr/>
      </w:r>
      <w:r>
        <w:rPr>
          <w:rFonts w:ascii="Arial" w:hAnsi="Arial"/>
          <w:b/>
        </w:rPr>
        <w:t>Artículo 684-A.- </w:t>
      </w:r>
      <w:r>
        <w:rPr/>
        <w:t>Las disposiciones de este Título rigen la tramitación de la instancia conciliatoria previa a la de los conflictos ante los Tribunales, salvo que tengan una tramitación especial en esta Ley.</w:t>
      </w:r>
    </w:p>
    <w:p>
      <w:pPr>
        <w:spacing w:line="180"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35" w:firstLine="288"/>
        <w:jc w:val="both"/>
      </w:pPr>
      <w:bookmarkStart w:name="Artículo_684_B" w:id="849"/>
      <w:bookmarkEnd w:id="849"/>
      <w:r>
        <w:rPr/>
      </w:r>
      <w:r>
        <w:rPr>
          <w:rFonts w:ascii="Arial" w:hAnsi="Arial"/>
          <w:b/>
        </w:rPr>
        <w:t>Artículo 684-B.- </w:t>
      </w:r>
      <w:r>
        <w:rPr/>
        <w:t>Antes de acudir a los Tribunales, los trabajadores y patrones deberán asistir al</w:t>
      </w:r>
      <w:r>
        <w:rPr>
          <w:spacing w:val="40"/>
        </w:rPr>
        <w:t> </w:t>
      </w:r>
      <w:r>
        <w:rPr/>
        <w:t>Centro de Conciliación correspondiente para solicitar el inicio del procedimiento de conciliación, con excepción de aquellos supuestos que están eximidos de agotarla, conforme a lo previsto en esta Ley.</w:t>
      </w:r>
    </w:p>
    <w:p>
      <w:pPr>
        <w:spacing w:line="178"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spacing w:before="0"/>
        <w:ind w:left="626" w:right="0" w:firstLine="0"/>
        <w:jc w:val="left"/>
        <w:rPr>
          <w:sz w:val="20"/>
        </w:rPr>
      </w:pPr>
      <w:bookmarkStart w:name="Artículo_684_C" w:id="850"/>
      <w:bookmarkEnd w:id="850"/>
      <w:r>
        <w:rPr/>
      </w:r>
      <w:r>
        <w:rPr>
          <w:rFonts w:ascii="Arial" w:hAnsi="Arial"/>
          <w:b/>
          <w:sz w:val="20"/>
        </w:rPr>
        <w:t>Artículo</w:t>
      </w:r>
      <w:r>
        <w:rPr>
          <w:rFonts w:ascii="Arial" w:hAnsi="Arial"/>
          <w:b/>
          <w:spacing w:val="-8"/>
          <w:sz w:val="20"/>
        </w:rPr>
        <w:t> </w:t>
      </w:r>
      <w:r>
        <w:rPr>
          <w:rFonts w:ascii="Arial" w:hAnsi="Arial"/>
          <w:b/>
          <w:sz w:val="20"/>
        </w:rPr>
        <w:t>684-C.-</w:t>
      </w:r>
      <w:r>
        <w:rPr>
          <w:rFonts w:ascii="Arial" w:hAnsi="Arial"/>
          <w:b/>
          <w:spacing w:val="-7"/>
          <w:sz w:val="20"/>
        </w:rPr>
        <w:t> </w:t>
      </w:r>
      <w:r>
        <w:rPr>
          <w:sz w:val="20"/>
        </w:rPr>
        <w:t>La</w:t>
      </w:r>
      <w:r>
        <w:rPr>
          <w:spacing w:val="-8"/>
          <w:sz w:val="20"/>
        </w:rPr>
        <w:t> </w:t>
      </w:r>
      <w:r>
        <w:rPr>
          <w:sz w:val="20"/>
        </w:rPr>
        <w:t>solicitud</w:t>
      </w:r>
      <w:r>
        <w:rPr>
          <w:spacing w:val="-9"/>
          <w:sz w:val="20"/>
        </w:rPr>
        <w:t> </w:t>
      </w:r>
      <w:r>
        <w:rPr>
          <w:sz w:val="20"/>
        </w:rPr>
        <w:t>de</w:t>
      </w:r>
      <w:r>
        <w:rPr>
          <w:spacing w:val="-8"/>
          <w:sz w:val="20"/>
        </w:rPr>
        <w:t> </w:t>
      </w:r>
      <w:r>
        <w:rPr>
          <w:sz w:val="20"/>
        </w:rPr>
        <w:t>conciliación</w:t>
      </w:r>
      <w:r>
        <w:rPr>
          <w:spacing w:val="-7"/>
          <w:sz w:val="20"/>
        </w:rPr>
        <w:t> </w:t>
      </w:r>
      <w:r>
        <w:rPr>
          <w:sz w:val="20"/>
        </w:rPr>
        <w:t>deberá</w:t>
      </w:r>
      <w:r>
        <w:rPr>
          <w:spacing w:val="-8"/>
          <w:sz w:val="20"/>
        </w:rPr>
        <w:t> </w:t>
      </w:r>
      <w:r>
        <w:rPr>
          <w:sz w:val="20"/>
        </w:rPr>
        <w:t>contener</w:t>
      </w:r>
      <w:r>
        <w:rPr>
          <w:spacing w:val="-9"/>
          <w:sz w:val="20"/>
        </w:rPr>
        <w:t> </w:t>
      </w:r>
      <w:r>
        <w:rPr>
          <w:sz w:val="20"/>
        </w:rPr>
        <w:t>los</w:t>
      </w:r>
      <w:r>
        <w:rPr>
          <w:spacing w:val="-7"/>
          <w:sz w:val="20"/>
        </w:rPr>
        <w:t> </w:t>
      </w:r>
      <w:r>
        <w:rPr>
          <w:sz w:val="20"/>
        </w:rPr>
        <w:t>siguientes</w:t>
      </w:r>
      <w:r>
        <w:rPr>
          <w:spacing w:val="-7"/>
          <w:sz w:val="20"/>
        </w:rPr>
        <w:t> </w:t>
      </w:r>
      <w:r>
        <w:rPr>
          <w:spacing w:val="-2"/>
          <w:sz w:val="20"/>
        </w:rPr>
        <w:t>datos:</w:t>
      </w:r>
    </w:p>
    <w:p>
      <w:pPr>
        <w:pStyle w:val="BodyText"/>
        <w:spacing w:before="1"/>
      </w:pPr>
    </w:p>
    <w:p>
      <w:pPr>
        <w:pStyle w:val="ListParagraph"/>
        <w:numPr>
          <w:ilvl w:val="0"/>
          <w:numId w:val="272"/>
        </w:numPr>
        <w:tabs>
          <w:tab w:pos="1056" w:val="left" w:leader="none"/>
          <w:tab w:pos="1058" w:val="left" w:leader="none"/>
        </w:tabs>
        <w:spacing w:line="240" w:lineRule="auto" w:before="0" w:after="0"/>
        <w:ind w:left="1058" w:right="334" w:hanging="432"/>
        <w:jc w:val="both"/>
        <w:rPr>
          <w:sz w:val="20"/>
        </w:rPr>
      </w:pPr>
      <w:r>
        <w:rPr>
          <w:sz w:val="20"/>
        </w:rPr>
        <w:t>Nombre, CURP, identificación oficial del solicitante y domicilio dentro del lugar de residencia del Centro de Conciliación al que acuda, para recibir notificaciones en el procedimiento de conciliación prejudicial; el Centro facilitará los elementos y el personal capacitado a fin de asignarle un buzón electrónico al solicitante. En caso de que el solicitante no cuente con identificación oficial, podrá ser identificado por otros medios de que disponga el Centro;</w:t>
      </w:r>
    </w:p>
    <w:p>
      <w:pPr>
        <w:pStyle w:val="BodyText"/>
        <w:spacing w:before="1"/>
      </w:pPr>
    </w:p>
    <w:p>
      <w:pPr>
        <w:pStyle w:val="ListParagraph"/>
        <w:numPr>
          <w:ilvl w:val="0"/>
          <w:numId w:val="272"/>
        </w:numPr>
        <w:tabs>
          <w:tab w:pos="1058" w:val="left" w:leader="none"/>
        </w:tabs>
        <w:spacing w:line="240" w:lineRule="auto" w:before="0" w:after="0"/>
        <w:ind w:left="1058" w:right="0" w:hanging="432"/>
        <w:jc w:val="left"/>
        <w:rPr>
          <w:sz w:val="20"/>
        </w:rPr>
      </w:pPr>
      <w:r>
        <w:rPr>
          <w:sz w:val="20"/>
        </w:rPr>
        <w:t>Nombre</w:t>
      </w:r>
      <w:r>
        <w:rPr>
          <w:spacing w:val="-7"/>
          <w:sz w:val="20"/>
        </w:rPr>
        <w:t> </w:t>
      </w:r>
      <w:r>
        <w:rPr>
          <w:sz w:val="20"/>
        </w:rPr>
        <w:t>de</w:t>
      </w:r>
      <w:r>
        <w:rPr>
          <w:spacing w:val="-7"/>
          <w:sz w:val="20"/>
        </w:rPr>
        <w:t> </w:t>
      </w:r>
      <w:r>
        <w:rPr>
          <w:sz w:val="20"/>
        </w:rPr>
        <w:t>la</w:t>
      </w:r>
      <w:r>
        <w:rPr>
          <w:spacing w:val="-5"/>
          <w:sz w:val="20"/>
        </w:rPr>
        <w:t> </w:t>
      </w:r>
      <w:r>
        <w:rPr>
          <w:sz w:val="20"/>
        </w:rPr>
        <w:t>persona,</w:t>
      </w:r>
      <w:r>
        <w:rPr>
          <w:spacing w:val="-6"/>
          <w:sz w:val="20"/>
        </w:rPr>
        <w:t> </w:t>
      </w:r>
      <w:r>
        <w:rPr>
          <w:sz w:val="20"/>
        </w:rPr>
        <w:t>sindicato</w:t>
      </w:r>
      <w:r>
        <w:rPr>
          <w:spacing w:val="-5"/>
          <w:sz w:val="20"/>
        </w:rPr>
        <w:t> </w:t>
      </w:r>
      <w:r>
        <w:rPr>
          <w:sz w:val="20"/>
        </w:rPr>
        <w:t>o</w:t>
      </w:r>
      <w:r>
        <w:rPr>
          <w:spacing w:val="-7"/>
          <w:sz w:val="20"/>
        </w:rPr>
        <w:t> </w:t>
      </w:r>
      <w:r>
        <w:rPr>
          <w:sz w:val="20"/>
        </w:rPr>
        <w:t>empresa</w:t>
      </w:r>
      <w:r>
        <w:rPr>
          <w:spacing w:val="-7"/>
          <w:sz w:val="20"/>
        </w:rPr>
        <w:t> </w:t>
      </w:r>
      <w:r>
        <w:rPr>
          <w:sz w:val="20"/>
        </w:rPr>
        <w:t>a</w:t>
      </w:r>
      <w:r>
        <w:rPr>
          <w:spacing w:val="-7"/>
          <w:sz w:val="20"/>
        </w:rPr>
        <w:t> </w:t>
      </w:r>
      <w:r>
        <w:rPr>
          <w:sz w:val="20"/>
        </w:rPr>
        <w:t>quien</w:t>
      </w:r>
      <w:r>
        <w:rPr>
          <w:spacing w:val="-7"/>
          <w:sz w:val="20"/>
        </w:rPr>
        <w:t> </w:t>
      </w:r>
      <w:r>
        <w:rPr>
          <w:sz w:val="20"/>
        </w:rPr>
        <w:t>se</w:t>
      </w:r>
      <w:r>
        <w:rPr>
          <w:spacing w:val="-7"/>
          <w:sz w:val="20"/>
        </w:rPr>
        <w:t> </w:t>
      </w:r>
      <w:r>
        <w:rPr>
          <w:sz w:val="20"/>
        </w:rPr>
        <w:t>citará</w:t>
      </w:r>
      <w:r>
        <w:rPr>
          <w:spacing w:val="-4"/>
          <w:sz w:val="20"/>
        </w:rPr>
        <w:t> </w:t>
      </w:r>
      <w:r>
        <w:rPr>
          <w:sz w:val="20"/>
        </w:rPr>
        <w:t>para</w:t>
      </w:r>
      <w:r>
        <w:rPr>
          <w:spacing w:val="-5"/>
          <w:sz w:val="20"/>
        </w:rPr>
        <w:t> </w:t>
      </w:r>
      <w:r>
        <w:rPr>
          <w:sz w:val="20"/>
        </w:rPr>
        <w:t>la</w:t>
      </w:r>
      <w:r>
        <w:rPr>
          <w:spacing w:val="-6"/>
          <w:sz w:val="20"/>
        </w:rPr>
        <w:t> </w:t>
      </w:r>
      <w:r>
        <w:rPr>
          <w:sz w:val="20"/>
        </w:rPr>
        <w:t>conciliación</w:t>
      </w:r>
      <w:r>
        <w:rPr>
          <w:spacing w:val="-5"/>
          <w:sz w:val="20"/>
        </w:rPr>
        <w:t> </w:t>
      </w:r>
      <w:r>
        <w:rPr>
          <w:spacing w:val="-2"/>
          <w:sz w:val="20"/>
        </w:rPr>
        <w:t>prejudicial;</w:t>
      </w:r>
    </w:p>
    <w:p>
      <w:pPr>
        <w:pStyle w:val="BodyText"/>
        <w:spacing w:before="1"/>
      </w:pPr>
    </w:p>
    <w:p>
      <w:pPr>
        <w:pStyle w:val="ListParagraph"/>
        <w:numPr>
          <w:ilvl w:val="0"/>
          <w:numId w:val="272"/>
        </w:numPr>
        <w:tabs>
          <w:tab w:pos="1058" w:val="left" w:leader="none"/>
        </w:tabs>
        <w:spacing w:line="240" w:lineRule="auto" w:before="0" w:after="0"/>
        <w:ind w:left="1058" w:right="0" w:hanging="432"/>
        <w:jc w:val="left"/>
        <w:rPr>
          <w:sz w:val="20"/>
        </w:rPr>
      </w:pPr>
      <w:r>
        <w:rPr>
          <w:sz w:val="20"/>
        </w:rPr>
        <w:t>Domicilio</w:t>
      </w:r>
      <w:r>
        <w:rPr>
          <w:spacing w:val="-5"/>
          <w:sz w:val="20"/>
        </w:rPr>
        <w:t> </w:t>
      </w:r>
      <w:r>
        <w:rPr>
          <w:sz w:val="20"/>
        </w:rPr>
        <w:t>para</w:t>
      </w:r>
      <w:r>
        <w:rPr>
          <w:spacing w:val="-6"/>
          <w:sz w:val="20"/>
        </w:rPr>
        <w:t> </w:t>
      </w:r>
      <w:r>
        <w:rPr>
          <w:sz w:val="20"/>
        </w:rPr>
        <w:t>notificar</w:t>
      </w:r>
      <w:r>
        <w:rPr>
          <w:spacing w:val="-7"/>
          <w:sz w:val="20"/>
        </w:rPr>
        <w:t> </w:t>
      </w:r>
      <w:r>
        <w:rPr>
          <w:sz w:val="20"/>
        </w:rPr>
        <w:t>a</w:t>
      </w:r>
      <w:r>
        <w:rPr>
          <w:spacing w:val="-6"/>
          <w:sz w:val="20"/>
        </w:rPr>
        <w:t> </w:t>
      </w:r>
      <w:r>
        <w:rPr>
          <w:sz w:val="20"/>
        </w:rPr>
        <w:t>la</w:t>
      </w:r>
      <w:r>
        <w:rPr>
          <w:spacing w:val="-4"/>
          <w:sz w:val="20"/>
        </w:rPr>
        <w:t> </w:t>
      </w:r>
      <w:r>
        <w:rPr>
          <w:sz w:val="20"/>
        </w:rPr>
        <w:t>persona,</w:t>
      </w:r>
      <w:r>
        <w:rPr>
          <w:spacing w:val="-5"/>
          <w:sz w:val="20"/>
        </w:rPr>
        <w:t> </w:t>
      </w:r>
      <w:r>
        <w:rPr>
          <w:sz w:val="20"/>
        </w:rPr>
        <w:t>sindicato</w:t>
      </w:r>
      <w:r>
        <w:rPr>
          <w:spacing w:val="-6"/>
          <w:sz w:val="20"/>
        </w:rPr>
        <w:t> </w:t>
      </w:r>
      <w:r>
        <w:rPr>
          <w:sz w:val="20"/>
        </w:rPr>
        <w:t>o</w:t>
      </w:r>
      <w:r>
        <w:rPr>
          <w:spacing w:val="-6"/>
          <w:sz w:val="20"/>
        </w:rPr>
        <w:t> </w:t>
      </w:r>
      <w:r>
        <w:rPr>
          <w:sz w:val="20"/>
        </w:rPr>
        <w:t>empresa</w:t>
      </w:r>
      <w:r>
        <w:rPr>
          <w:spacing w:val="-6"/>
          <w:sz w:val="20"/>
        </w:rPr>
        <w:t> </w:t>
      </w:r>
      <w:r>
        <w:rPr>
          <w:sz w:val="20"/>
        </w:rPr>
        <w:t>a</w:t>
      </w:r>
      <w:r>
        <w:rPr>
          <w:spacing w:val="-7"/>
          <w:sz w:val="20"/>
        </w:rPr>
        <w:t> </w:t>
      </w:r>
      <w:r>
        <w:rPr>
          <w:sz w:val="20"/>
        </w:rPr>
        <w:t>quien</w:t>
      </w:r>
      <w:r>
        <w:rPr>
          <w:spacing w:val="-7"/>
          <w:sz w:val="20"/>
        </w:rPr>
        <w:t> </w:t>
      </w:r>
      <w:r>
        <w:rPr>
          <w:sz w:val="20"/>
        </w:rPr>
        <w:t>se</w:t>
      </w:r>
      <w:r>
        <w:rPr>
          <w:spacing w:val="-7"/>
          <w:sz w:val="20"/>
        </w:rPr>
        <w:t> </w:t>
      </w:r>
      <w:r>
        <w:rPr>
          <w:sz w:val="20"/>
        </w:rPr>
        <w:t>citará,</w:t>
      </w:r>
      <w:r>
        <w:rPr>
          <w:spacing w:val="-1"/>
          <w:sz w:val="20"/>
        </w:rPr>
        <w:t> </w:t>
      </w:r>
      <w:r>
        <w:rPr>
          <w:spacing w:val="-10"/>
          <w:sz w:val="20"/>
        </w:rPr>
        <w:t>y</w:t>
      </w:r>
    </w:p>
    <w:p>
      <w:pPr>
        <w:pStyle w:val="ListParagraph"/>
        <w:numPr>
          <w:ilvl w:val="0"/>
          <w:numId w:val="272"/>
        </w:numPr>
        <w:tabs>
          <w:tab w:pos="1057" w:val="left" w:leader="none"/>
        </w:tabs>
        <w:spacing w:line="240" w:lineRule="auto" w:before="228" w:after="0"/>
        <w:ind w:left="1057" w:right="0" w:hanging="431"/>
        <w:jc w:val="left"/>
        <w:rPr>
          <w:sz w:val="20"/>
        </w:rPr>
      </w:pPr>
      <w:r>
        <w:rPr>
          <w:sz w:val="20"/>
        </w:rPr>
        <w:t>Objeto</w:t>
      </w:r>
      <w:r>
        <w:rPr>
          <w:spacing w:val="-6"/>
          <w:sz w:val="20"/>
        </w:rPr>
        <w:t> </w:t>
      </w:r>
      <w:r>
        <w:rPr>
          <w:sz w:val="20"/>
        </w:rPr>
        <w:t>de</w:t>
      </w:r>
      <w:r>
        <w:rPr>
          <w:spacing w:val="-4"/>
          <w:sz w:val="20"/>
        </w:rPr>
        <w:t> </w:t>
      </w:r>
      <w:r>
        <w:rPr>
          <w:sz w:val="20"/>
        </w:rPr>
        <w:t>la</w:t>
      </w:r>
      <w:r>
        <w:rPr>
          <w:spacing w:val="-3"/>
          <w:sz w:val="20"/>
        </w:rPr>
        <w:t> </w:t>
      </w:r>
      <w:r>
        <w:rPr>
          <w:sz w:val="20"/>
        </w:rPr>
        <w:t>cita</w:t>
      </w:r>
      <w:r>
        <w:rPr>
          <w:spacing w:val="-3"/>
          <w:sz w:val="20"/>
        </w:rPr>
        <w:t> </w:t>
      </w:r>
      <w:r>
        <w:rPr>
          <w:sz w:val="20"/>
        </w:rPr>
        <w:t>a</w:t>
      </w:r>
      <w:r>
        <w:rPr>
          <w:spacing w:val="-5"/>
          <w:sz w:val="20"/>
        </w:rPr>
        <w:t> </w:t>
      </w:r>
      <w:r>
        <w:rPr>
          <w:sz w:val="20"/>
        </w:rPr>
        <w:t>la</w:t>
      </w:r>
      <w:r>
        <w:rPr>
          <w:spacing w:val="-5"/>
          <w:sz w:val="20"/>
        </w:rPr>
        <w:t> </w:t>
      </w:r>
      <w:r>
        <w:rPr>
          <w:spacing w:val="-2"/>
          <w:sz w:val="20"/>
        </w:rPr>
        <w:t>contraparte.</w:t>
      </w:r>
    </w:p>
    <w:p>
      <w:pPr>
        <w:pStyle w:val="BodyText"/>
        <w:spacing w:before="3"/>
      </w:pPr>
    </w:p>
    <w:p>
      <w:pPr>
        <w:pStyle w:val="BodyText"/>
        <w:ind w:left="338" w:right="347" w:firstLine="288"/>
        <w:jc w:val="both"/>
      </w:pPr>
      <w:r>
        <w:rPr/>
        <w:t>Si el solicitante es el trabajador e ignora el nombre de su patrón o empresa de la cual se solicita la conciliación, bastará con señalar el domicilio donde prestó sus servicios.</w:t>
      </w:r>
    </w:p>
    <w:p>
      <w:pPr>
        <w:pStyle w:val="BodyText"/>
        <w:spacing w:before="229"/>
        <w:ind w:left="338" w:right="338" w:firstLine="288"/>
        <w:jc w:val="both"/>
      </w:pPr>
      <w:r>
        <w:rPr/>
        <w:t>Los elementos aportados por las partes no podrán constituir prueba o indicio en ningún procedimiento administrativo o judicial. La información aportada por las partes en el procedimiento de conciliación, no podrá comunicarse a persona o autoridad alguna, a excepción de la constancia de no conciliación y, en</w:t>
      </w:r>
      <w:r>
        <w:rPr>
          <w:spacing w:val="40"/>
        </w:rPr>
        <w:t> </w:t>
      </w:r>
      <w:r>
        <w:rPr/>
        <w:t>su caso, el convenio de conciliación que se celebre, en cuyo supuesto el Centro de Conciliación deberá remitir en forma electrónica al Tribunal que corresponda los documentos referidos, mismos que deberán contener los nombres y domicilios aportados por las partes, acompañando las constancias relativas a la notificación de la parte citada que haya realizado la Autoridad Conciliadora y los buzones electrónicos </w:t>
      </w:r>
      <w:r>
        <w:rPr>
          <w:spacing w:val="-2"/>
        </w:rPr>
        <w:t>asignados.</w:t>
      </w:r>
    </w:p>
    <w:p>
      <w:pPr>
        <w:pStyle w:val="BodyText"/>
        <w:spacing w:before="2"/>
      </w:pPr>
    </w:p>
    <w:p>
      <w:pPr>
        <w:pStyle w:val="BodyText"/>
        <w:ind w:left="338" w:right="346" w:firstLine="288"/>
        <w:jc w:val="both"/>
      </w:pPr>
      <w:r>
        <w:rPr/>
        <w:t>El tratamiento de los datos proporcionados por los interesados estará sujeto a la Ley General de Protección de Datos Personales en Posesión de Sujetos Obligados y a la Ley General de Transparencia</w:t>
      </w:r>
      <w:r>
        <w:rPr>
          <w:spacing w:val="40"/>
        </w:rPr>
        <w:t> </w:t>
      </w:r>
      <w:r>
        <w:rPr/>
        <w:t>y Acceso a la Información Pública.</w:t>
      </w:r>
    </w:p>
    <w:p>
      <w:pPr>
        <w:pStyle w:val="BodyText"/>
        <w:spacing w:before="229"/>
        <w:ind w:left="338" w:right="340" w:firstLine="288"/>
        <w:jc w:val="both"/>
      </w:pPr>
      <w:r>
        <w:rPr/>
        <w:t>El solicitante será notificado de la fecha y hora para la celebración de la audiencia de conciliación o</w:t>
      </w:r>
      <w:r>
        <w:rPr>
          <w:spacing w:val="40"/>
        </w:rPr>
        <w:t> </w:t>
      </w:r>
      <w:r>
        <w:rPr/>
        <w:t>del acuerdo de incompetencia, al momento de presentar su solicitud. Para agilizar el procedimiento de conciliación, el solicitante podrá auxiliar al Centro de Conciliación para llevar a cabo la notificación de la audiencia de conciliación a la persona, sindicato o empresa que se citará.</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right="345" w:firstLine="288"/>
        <w:jc w:val="both"/>
      </w:pPr>
      <w:bookmarkStart w:name="Artículo_684_D" w:id="851"/>
      <w:bookmarkEnd w:id="851"/>
      <w:r>
        <w:rPr/>
      </w:r>
      <w:r>
        <w:rPr>
          <w:rFonts w:ascii="Arial" w:hAnsi="Arial"/>
          <w:b/>
        </w:rPr>
        <w:t>Artículo</w:t>
      </w:r>
      <w:r>
        <w:rPr>
          <w:rFonts w:ascii="Arial" w:hAnsi="Arial"/>
          <w:b/>
          <w:spacing w:val="-1"/>
        </w:rPr>
        <w:t> </w:t>
      </w:r>
      <w:r>
        <w:rPr>
          <w:rFonts w:ascii="Arial" w:hAnsi="Arial"/>
          <w:b/>
        </w:rPr>
        <w:t>684-D.-</w:t>
      </w:r>
      <w:r>
        <w:rPr>
          <w:rFonts w:ascii="Arial" w:hAnsi="Arial"/>
          <w:b/>
          <w:spacing w:val="-1"/>
        </w:rPr>
        <w:t> </w:t>
      </w:r>
      <w:r>
        <w:rPr/>
        <w:t>El procedimiento</w:t>
      </w:r>
      <w:r>
        <w:rPr>
          <w:spacing w:val="-2"/>
        </w:rPr>
        <w:t> </w:t>
      </w:r>
      <w:r>
        <w:rPr/>
        <w:t>de</w:t>
      </w:r>
      <w:r>
        <w:rPr>
          <w:spacing w:val="-3"/>
        </w:rPr>
        <w:t> </w:t>
      </w:r>
      <w:r>
        <w:rPr/>
        <w:t>conciliación</w:t>
      </w:r>
      <w:r>
        <w:rPr>
          <w:spacing w:val="-3"/>
        </w:rPr>
        <w:t> </w:t>
      </w:r>
      <w:r>
        <w:rPr/>
        <w:t>a</w:t>
      </w:r>
      <w:r>
        <w:rPr>
          <w:spacing w:val="-2"/>
        </w:rPr>
        <w:t> </w:t>
      </w:r>
      <w:r>
        <w:rPr/>
        <w:t>que</w:t>
      </w:r>
      <w:r>
        <w:rPr>
          <w:spacing w:val="-2"/>
        </w:rPr>
        <w:t> </w:t>
      </w:r>
      <w:r>
        <w:rPr/>
        <w:t>se</w:t>
      </w:r>
      <w:r>
        <w:rPr>
          <w:spacing w:val="-2"/>
        </w:rPr>
        <w:t> </w:t>
      </w:r>
      <w:r>
        <w:rPr/>
        <w:t>refiere</w:t>
      </w:r>
      <w:r>
        <w:rPr>
          <w:spacing w:val="-2"/>
        </w:rPr>
        <w:t> </w:t>
      </w:r>
      <w:r>
        <w:rPr/>
        <w:t>el</w:t>
      </w:r>
      <w:r>
        <w:rPr>
          <w:spacing w:val="-3"/>
        </w:rPr>
        <w:t> </w:t>
      </w:r>
      <w:r>
        <w:rPr/>
        <w:t>presente</w:t>
      </w:r>
      <w:r>
        <w:rPr>
          <w:spacing w:val="-2"/>
        </w:rPr>
        <w:t> </w:t>
      </w:r>
      <w:r>
        <w:rPr/>
        <w:t>título</w:t>
      </w:r>
      <w:r>
        <w:rPr>
          <w:spacing w:val="-2"/>
        </w:rPr>
        <w:t> </w:t>
      </w:r>
      <w:r>
        <w:rPr/>
        <w:t>no</w:t>
      </w:r>
      <w:r>
        <w:rPr>
          <w:spacing w:val="-3"/>
        </w:rPr>
        <w:t> </w:t>
      </w:r>
      <w:r>
        <w:rPr/>
        <w:t>deberá</w:t>
      </w:r>
      <w:r>
        <w:rPr>
          <w:spacing w:val="-2"/>
        </w:rPr>
        <w:t> </w:t>
      </w:r>
      <w:r>
        <w:rPr/>
        <w:t>exceder de cuarenta y cinco días naturales. La Autoridad Conciliadora tomará las medidas conducentes para que sus actuaciones se ajusten a dicho plazo.</w:t>
      </w:r>
    </w:p>
    <w:p>
      <w:pPr>
        <w:pStyle w:val="BodyText"/>
        <w:spacing w:before="225"/>
        <w:ind w:left="338" w:right="340" w:firstLine="288"/>
        <w:jc w:val="both"/>
      </w:pPr>
      <w:r>
        <w:rPr/>
        <w:t>A efecto de que el personal encargado de realizar las notificaciones, actúe con eficiencia, eficacia e imparcialidad en el desempeño de sus funciones, la Autoridad Conciliadora definirá rutas de notificación con</w:t>
      </w:r>
      <w:r>
        <w:rPr>
          <w:spacing w:val="14"/>
        </w:rPr>
        <w:t> </w:t>
      </w:r>
      <w:r>
        <w:rPr/>
        <w:t>base</w:t>
      </w:r>
      <w:r>
        <w:rPr>
          <w:spacing w:val="15"/>
        </w:rPr>
        <w:t> </w:t>
      </w:r>
      <w:r>
        <w:rPr/>
        <w:t>en</w:t>
      </w:r>
      <w:r>
        <w:rPr>
          <w:spacing w:val="15"/>
        </w:rPr>
        <w:t> </w:t>
      </w:r>
      <w:r>
        <w:rPr/>
        <w:t>la</w:t>
      </w:r>
      <w:r>
        <w:rPr>
          <w:spacing w:val="15"/>
        </w:rPr>
        <w:t> </w:t>
      </w:r>
      <w:r>
        <w:rPr/>
        <w:t>ubicación</w:t>
      </w:r>
      <w:r>
        <w:rPr>
          <w:spacing w:val="19"/>
        </w:rPr>
        <w:t> </w:t>
      </w:r>
      <w:r>
        <w:rPr/>
        <w:t>y</w:t>
      </w:r>
      <w:r>
        <w:rPr>
          <w:spacing w:val="14"/>
        </w:rPr>
        <w:t> </w:t>
      </w:r>
      <w:r>
        <w:rPr/>
        <w:t>proximidad</w:t>
      </w:r>
      <w:r>
        <w:rPr>
          <w:spacing w:val="15"/>
        </w:rPr>
        <w:t> </w:t>
      </w:r>
      <w:r>
        <w:rPr/>
        <w:t>geográfica</w:t>
      </w:r>
      <w:r>
        <w:rPr>
          <w:spacing w:val="15"/>
        </w:rPr>
        <w:t> </w:t>
      </w:r>
      <w:r>
        <w:rPr/>
        <w:t>de</w:t>
      </w:r>
      <w:r>
        <w:rPr>
          <w:spacing w:val="17"/>
        </w:rPr>
        <w:t> </w:t>
      </w:r>
      <w:r>
        <w:rPr/>
        <w:t>los</w:t>
      </w:r>
      <w:r>
        <w:rPr>
          <w:spacing w:val="16"/>
        </w:rPr>
        <w:t> </w:t>
      </w:r>
      <w:r>
        <w:rPr/>
        <w:t>domicilios</w:t>
      </w:r>
      <w:r>
        <w:rPr>
          <w:spacing w:val="16"/>
        </w:rPr>
        <w:t> </w:t>
      </w:r>
      <w:r>
        <w:rPr/>
        <w:t>a</w:t>
      </w:r>
      <w:r>
        <w:rPr>
          <w:spacing w:val="15"/>
        </w:rPr>
        <w:t> </w:t>
      </w:r>
      <w:r>
        <w:rPr/>
        <w:t>los</w:t>
      </w:r>
      <w:r>
        <w:rPr>
          <w:spacing w:val="16"/>
        </w:rPr>
        <w:t> </w:t>
      </w:r>
      <w:r>
        <w:rPr/>
        <w:t>que</w:t>
      </w:r>
      <w:r>
        <w:rPr>
          <w:spacing w:val="17"/>
        </w:rPr>
        <w:t> </w:t>
      </w:r>
      <w:r>
        <w:rPr/>
        <w:t>deberán</w:t>
      </w:r>
      <w:r>
        <w:rPr>
          <w:spacing w:val="17"/>
        </w:rPr>
        <w:t> </w:t>
      </w:r>
      <w:r>
        <w:rPr/>
        <w:t>acudir,</w:t>
      </w:r>
      <w:r>
        <w:rPr>
          <w:spacing w:val="17"/>
        </w:rPr>
        <w:t> </w:t>
      </w:r>
      <w:r>
        <w:rPr/>
        <w:t>así</w:t>
      </w:r>
      <w:r>
        <w:rPr>
          <w:spacing w:val="15"/>
        </w:rPr>
        <w:t> </w:t>
      </w:r>
      <w:r>
        <w:rPr/>
        <w:t>como</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57"/>
      </w:pPr>
      <w:r>
        <w:rPr/>
        <w:t>acorde con la urgencia de las notificaciones a efectuar; la asignación de las rutas se hará diariamente y de forma aleatoria.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626"/>
      </w:pPr>
      <w:bookmarkStart w:name="Artículo_684_E" w:id="852"/>
      <w:bookmarkEnd w:id="852"/>
      <w:r>
        <w:rPr/>
      </w:r>
      <w:r>
        <w:rPr>
          <w:rFonts w:ascii="Arial" w:hAnsi="Arial"/>
          <w:b/>
        </w:rPr>
        <w:t>Artículo</w:t>
      </w:r>
      <w:r>
        <w:rPr>
          <w:rFonts w:ascii="Arial" w:hAnsi="Arial"/>
          <w:b/>
          <w:spacing w:val="-7"/>
        </w:rPr>
        <w:t> </w:t>
      </w:r>
      <w:r>
        <w:rPr>
          <w:rFonts w:ascii="Arial" w:hAnsi="Arial"/>
          <w:b/>
        </w:rPr>
        <w:t>684-E.-</w:t>
      </w:r>
      <w:r>
        <w:rPr>
          <w:rFonts w:ascii="Arial" w:hAnsi="Arial"/>
          <w:b/>
          <w:spacing w:val="-6"/>
        </w:rPr>
        <w:t> </w:t>
      </w:r>
      <w:r>
        <w:rPr/>
        <w:t>El</w:t>
      </w:r>
      <w:r>
        <w:rPr>
          <w:spacing w:val="-8"/>
        </w:rPr>
        <w:t> </w:t>
      </w:r>
      <w:r>
        <w:rPr/>
        <w:t>procedimiento</w:t>
      </w:r>
      <w:r>
        <w:rPr>
          <w:spacing w:val="-8"/>
        </w:rPr>
        <w:t> </w:t>
      </w:r>
      <w:r>
        <w:rPr/>
        <w:t>de</w:t>
      </w:r>
      <w:r>
        <w:rPr>
          <w:spacing w:val="-8"/>
        </w:rPr>
        <w:t> </w:t>
      </w:r>
      <w:r>
        <w:rPr/>
        <w:t>conciliación</w:t>
      </w:r>
      <w:r>
        <w:rPr>
          <w:spacing w:val="-8"/>
        </w:rPr>
        <w:t> </w:t>
      </w:r>
      <w:r>
        <w:rPr/>
        <w:t>se</w:t>
      </w:r>
      <w:r>
        <w:rPr>
          <w:spacing w:val="-7"/>
        </w:rPr>
        <w:t> </w:t>
      </w:r>
      <w:r>
        <w:rPr/>
        <w:t>tramitará</w:t>
      </w:r>
      <w:r>
        <w:rPr>
          <w:spacing w:val="-7"/>
        </w:rPr>
        <w:t> </w:t>
      </w:r>
      <w:r>
        <w:rPr/>
        <w:t>conforme</w:t>
      </w:r>
      <w:r>
        <w:rPr>
          <w:spacing w:val="-7"/>
        </w:rPr>
        <w:t> </w:t>
      </w:r>
      <w:r>
        <w:rPr/>
        <w:t>a</w:t>
      </w:r>
      <w:r>
        <w:rPr>
          <w:spacing w:val="-8"/>
        </w:rPr>
        <w:t> </w:t>
      </w:r>
      <w:r>
        <w:rPr/>
        <w:t>las</w:t>
      </w:r>
      <w:r>
        <w:rPr>
          <w:spacing w:val="-6"/>
        </w:rPr>
        <w:t> </w:t>
      </w:r>
      <w:r>
        <w:rPr/>
        <w:t>reglas</w:t>
      </w:r>
      <w:r>
        <w:rPr>
          <w:spacing w:val="-6"/>
        </w:rPr>
        <w:t> </w:t>
      </w:r>
      <w:r>
        <w:rPr>
          <w:spacing w:val="-2"/>
        </w:rPr>
        <w:t>siguientes:</w:t>
      </w:r>
    </w:p>
    <w:p>
      <w:pPr>
        <w:pStyle w:val="ListParagraph"/>
        <w:numPr>
          <w:ilvl w:val="0"/>
          <w:numId w:val="273"/>
        </w:numPr>
        <w:tabs>
          <w:tab w:pos="1193" w:val="left" w:leader="none"/>
          <w:tab w:pos="1195" w:val="left" w:leader="none"/>
        </w:tabs>
        <w:spacing w:line="240" w:lineRule="auto" w:before="229" w:after="0"/>
        <w:ind w:left="1195" w:right="334" w:hanging="569"/>
        <w:jc w:val="both"/>
        <w:rPr>
          <w:sz w:val="20"/>
        </w:rPr>
      </w:pPr>
      <w:r>
        <w:rPr>
          <w:sz w:val="20"/>
        </w:rPr>
        <w:t>Se iniciará con la presentación de la solicitud de conciliación ante el Centro Federal de Conciliación y Registro Laboral o al Centro de Conciliación local que corresponda, firmada por</w:t>
      </w:r>
      <w:r>
        <w:rPr>
          <w:spacing w:val="40"/>
          <w:sz w:val="20"/>
        </w:rPr>
        <w:t> </w:t>
      </w:r>
      <w:r>
        <w:rPr>
          <w:sz w:val="20"/>
        </w:rPr>
        <w:t>el</w:t>
      </w:r>
      <w:r>
        <w:rPr>
          <w:spacing w:val="-4"/>
          <w:sz w:val="20"/>
        </w:rPr>
        <w:t> </w:t>
      </w:r>
      <w:r>
        <w:rPr>
          <w:sz w:val="20"/>
        </w:rPr>
        <w:t>solicitante,</w:t>
      </w:r>
      <w:r>
        <w:rPr>
          <w:spacing w:val="-1"/>
          <w:sz w:val="20"/>
        </w:rPr>
        <w:t> </w:t>
      </w:r>
      <w:r>
        <w:rPr>
          <w:sz w:val="20"/>
        </w:rPr>
        <w:t>a</w:t>
      </w:r>
      <w:r>
        <w:rPr>
          <w:spacing w:val="-1"/>
          <w:sz w:val="20"/>
        </w:rPr>
        <w:t> </w:t>
      </w:r>
      <w:r>
        <w:rPr>
          <w:sz w:val="20"/>
        </w:rPr>
        <w:t>la</w:t>
      </w:r>
      <w:r>
        <w:rPr>
          <w:spacing w:val="-1"/>
          <w:sz w:val="20"/>
        </w:rPr>
        <w:t> </w:t>
      </w:r>
      <w:r>
        <w:rPr>
          <w:sz w:val="20"/>
        </w:rPr>
        <w:t>que</w:t>
      </w:r>
      <w:r>
        <w:rPr>
          <w:spacing w:val="-1"/>
          <w:sz w:val="20"/>
        </w:rPr>
        <w:t> </w:t>
      </w:r>
      <w:r>
        <w:rPr>
          <w:sz w:val="20"/>
        </w:rPr>
        <w:t>se</w:t>
      </w:r>
      <w:r>
        <w:rPr>
          <w:spacing w:val="-1"/>
          <w:sz w:val="20"/>
        </w:rPr>
        <w:t> </w:t>
      </w:r>
      <w:r>
        <w:rPr>
          <w:sz w:val="20"/>
        </w:rPr>
        <w:t>le</w:t>
      </w:r>
      <w:r>
        <w:rPr>
          <w:spacing w:val="-1"/>
          <w:sz w:val="20"/>
        </w:rPr>
        <w:t> </w:t>
      </w:r>
      <w:r>
        <w:rPr>
          <w:sz w:val="20"/>
        </w:rPr>
        <w:t>agregará</w:t>
      </w:r>
      <w:r>
        <w:rPr>
          <w:spacing w:val="-3"/>
          <w:sz w:val="20"/>
        </w:rPr>
        <w:t> </w:t>
      </w:r>
      <w:r>
        <w:rPr>
          <w:sz w:val="20"/>
        </w:rPr>
        <w:t>copia</w:t>
      </w:r>
      <w:r>
        <w:rPr>
          <w:spacing w:val="-3"/>
          <w:sz w:val="20"/>
        </w:rPr>
        <w:t> </w:t>
      </w:r>
      <w:r>
        <w:rPr>
          <w:sz w:val="20"/>
        </w:rPr>
        <w:t>de</w:t>
      </w:r>
      <w:r>
        <w:rPr>
          <w:spacing w:val="-1"/>
          <w:sz w:val="20"/>
        </w:rPr>
        <w:t> </w:t>
      </w:r>
      <w:r>
        <w:rPr>
          <w:sz w:val="20"/>
        </w:rPr>
        <w:t>la</w:t>
      </w:r>
      <w:r>
        <w:rPr>
          <w:spacing w:val="-1"/>
          <w:sz w:val="20"/>
        </w:rPr>
        <w:t> </w:t>
      </w:r>
      <w:r>
        <w:rPr>
          <w:sz w:val="20"/>
        </w:rPr>
        <w:t>identificación</w:t>
      </w:r>
      <w:r>
        <w:rPr>
          <w:spacing w:val="-4"/>
          <w:sz w:val="20"/>
        </w:rPr>
        <w:t> </w:t>
      </w:r>
      <w:r>
        <w:rPr>
          <w:sz w:val="20"/>
        </w:rPr>
        <w:t>oficial</w:t>
      </w:r>
      <w:r>
        <w:rPr>
          <w:spacing w:val="-2"/>
          <w:sz w:val="20"/>
        </w:rPr>
        <w:t> </w:t>
      </w:r>
      <w:r>
        <w:rPr>
          <w:sz w:val="20"/>
        </w:rPr>
        <w:t>a</w:t>
      </w:r>
      <w:r>
        <w:rPr>
          <w:spacing w:val="-3"/>
          <w:sz w:val="20"/>
        </w:rPr>
        <w:t> </w:t>
      </w:r>
      <w:r>
        <w:rPr>
          <w:sz w:val="20"/>
        </w:rPr>
        <w:t>que</w:t>
      </w:r>
      <w:r>
        <w:rPr>
          <w:spacing w:val="-1"/>
          <w:sz w:val="20"/>
        </w:rPr>
        <w:t> </w:t>
      </w:r>
      <w:r>
        <w:rPr>
          <w:sz w:val="20"/>
        </w:rPr>
        <w:t>hace</w:t>
      </w:r>
      <w:r>
        <w:rPr>
          <w:spacing w:val="-1"/>
          <w:sz w:val="20"/>
        </w:rPr>
        <w:t> </w:t>
      </w:r>
      <w:r>
        <w:rPr>
          <w:sz w:val="20"/>
        </w:rPr>
        <w:t>referencia</w:t>
      </w:r>
      <w:r>
        <w:rPr>
          <w:spacing w:val="-1"/>
          <w:sz w:val="20"/>
        </w:rPr>
        <w:t> </w:t>
      </w:r>
      <w:r>
        <w:rPr>
          <w:sz w:val="20"/>
        </w:rPr>
        <w:t>en</w:t>
      </w:r>
      <w:r>
        <w:rPr>
          <w:spacing w:val="-2"/>
          <w:sz w:val="20"/>
        </w:rPr>
        <w:t> </w:t>
      </w:r>
      <w:r>
        <w:rPr>
          <w:sz w:val="20"/>
        </w:rPr>
        <w:t>la fracción I del artículo 684-C; tratándose de empresas o sindicatos será suscrito por su representante legal;</w:t>
      </w:r>
    </w:p>
    <w:p>
      <w:pPr>
        <w:pStyle w:val="BodyText"/>
      </w:pPr>
    </w:p>
    <w:p>
      <w:pPr>
        <w:pStyle w:val="ListParagraph"/>
        <w:numPr>
          <w:ilvl w:val="0"/>
          <w:numId w:val="273"/>
        </w:numPr>
        <w:tabs>
          <w:tab w:pos="1192" w:val="left" w:leader="none"/>
          <w:tab w:pos="1195" w:val="left" w:leader="none"/>
        </w:tabs>
        <w:spacing w:line="242" w:lineRule="auto" w:before="0" w:after="0"/>
        <w:ind w:left="1195" w:right="345" w:hanging="569"/>
        <w:jc w:val="both"/>
        <w:rPr>
          <w:sz w:val="20"/>
        </w:rPr>
      </w:pPr>
      <w:r>
        <w:rPr>
          <w:sz w:val="20"/>
        </w:rPr>
        <w:t>Los Centros de Conciliación podrán recibir las solicitudes de conciliación por comparecencia personal de los interesados, por escrito debidamente firmado, o en su caso, por vía electrónica mediante el sistema informático que para tal efecto se implemente;</w:t>
      </w:r>
    </w:p>
    <w:p>
      <w:pPr>
        <w:pStyle w:val="ListParagraph"/>
        <w:numPr>
          <w:ilvl w:val="0"/>
          <w:numId w:val="273"/>
        </w:numPr>
        <w:tabs>
          <w:tab w:pos="1191" w:val="left" w:leader="none"/>
          <w:tab w:pos="1195" w:val="left" w:leader="none"/>
        </w:tabs>
        <w:spacing w:line="242" w:lineRule="auto" w:before="223" w:after="0"/>
        <w:ind w:left="1195" w:right="334" w:hanging="569"/>
        <w:jc w:val="both"/>
        <w:rPr>
          <w:sz w:val="20"/>
        </w:rPr>
      </w:pPr>
      <w:r>
        <w:rPr>
          <w:sz w:val="20"/>
        </w:rPr>
        <w:t>Los Centros de Conciliación auxiliarán a los interesados que así lo soliciten para elaborar su petición. Deberán proporcionar asesoría jurídica de manera gratuita sobre sus derechos y los plazos de prescripción de los mismos, así como respecto de los procedimientos de</w:t>
      </w:r>
      <w:r>
        <w:rPr>
          <w:spacing w:val="14"/>
          <w:sz w:val="20"/>
        </w:rPr>
        <w:t> </w:t>
      </w:r>
      <w:r>
        <w:rPr>
          <w:sz w:val="20"/>
        </w:rPr>
        <w:t>conciliación y jurisdiccionales para solucionar los conflictos laborales;</w:t>
      </w:r>
    </w:p>
    <w:p>
      <w:pPr>
        <w:pStyle w:val="ListParagraph"/>
        <w:numPr>
          <w:ilvl w:val="0"/>
          <w:numId w:val="273"/>
        </w:numPr>
        <w:tabs>
          <w:tab w:pos="1195" w:val="left" w:leader="none"/>
        </w:tabs>
        <w:spacing w:line="240" w:lineRule="auto" w:before="222" w:after="0"/>
        <w:ind w:left="1195" w:right="335" w:hanging="569"/>
        <w:jc w:val="both"/>
        <w:rPr>
          <w:sz w:val="20"/>
        </w:rPr>
      </w:pPr>
      <w:r>
        <w:rPr>
          <w:sz w:val="20"/>
        </w:rPr>
        <w:t>Al momento en que reciba la solicitud, la autoridad conciliatoria señalará día y hora para la celebración de una Audiencia de Conciliación que deberá efectuarse dentro de los quince días siguientes. El citatorio se notificará personalmente al patrón cuando menos con cinco días de anticipación a la audiencia, apercibiéndole que de no comparecer por sí o por conducto de su representante legal, o bien por medio de apoderado con facultades suficientes, se le impondrá una multa entre 50 y 100 veces la Unidad de Medida y Actualización, y se le tendrá por inconforme con todo arreglo conciliatorio;</w:t>
      </w:r>
    </w:p>
    <w:p>
      <w:pPr>
        <w:pStyle w:val="ListParagraph"/>
        <w:numPr>
          <w:ilvl w:val="0"/>
          <w:numId w:val="273"/>
        </w:numPr>
        <w:tabs>
          <w:tab w:pos="1195" w:val="left" w:leader="none"/>
        </w:tabs>
        <w:spacing w:line="242" w:lineRule="auto" w:before="229" w:after="0"/>
        <w:ind w:left="1195" w:right="333" w:hanging="569"/>
        <w:jc w:val="both"/>
        <w:rPr>
          <w:sz w:val="20"/>
        </w:rPr>
      </w:pPr>
      <w:r>
        <w:rPr>
          <w:sz w:val="20"/>
        </w:rPr>
        <w:t>Al recibir la solicitud de conciliación, la autoridad conciliadora le asignará un número de identificación único y un buzón electrónico al interesado, que será creado para comunicaciones en lo que hace al procedimiento de conciliación prejudicial. Finalmente, designará por turno una sala de conciliación.</w:t>
      </w:r>
    </w:p>
    <w:p>
      <w:pPr>
        <w:pStyle w:val="BodyText"/>
        <w:spacing w:before="223"/>
        <w:ind w:left="1195" w:right="343"/>
        <w:jc w:val="both"/>
      </w:pPr>
      <w:r>
        <w:rPr/>
        <w:t>En caso de no ser competente, la Autoridad Conciliadora deberá remitir la solicitud al Centro de Conciliación competente vía electrónica, dentro de las veinticuatro horas siguientes de recibida la solicitud, lo cual deberá notificar al solicitante para que acuda ante ella a continuar el procedimiento.</w:t>
      </w:r>
      <w:r>
        <w:rPr>
          <w:spacing w:val="-5"/>
        </w:rPr>
        <w:t> </w:t>
      </w:r>
      <w:r>
        <w:rPr/>
        <w:t>La</w:t>
      </w:r>
      <w:r>
        <w:rPr>
          <w:spacing w:val="-3"/>
        </w:rPr>
        <w:t> </w:t>
      </w:r>
      <w:r>
        <w:rPr/>
        <w:t>Autoridad</w:t>
      </w:r>
      <w:r>
        <w:rPr>
          <w:spacing w:val="-5"/>
        </w:rPr>
        <w:t> </w:t>
      </w:r>
      <w:r>
        <w:rPr/>
        <w:t>Conciliadora</w:t>
      </w:r>
      <w:r>
        <w:rPr>
          <w:spacing w:val="-3"/>
        </w:rPr>
        <w:t> </w:t>
      </w:r>
      <w:r>
        <w:rPr/>
        <w:t>se</w:t>
      </w:r>
      <w:r>
        <w:rPr>
          <w:spacing w:val="-5"/>
        </w:rPr>
        <w:t> </w:t>
      </w:r>
      <w:r>
        <w:rPr/>
        <w:t>pronunciará</w:t>
      </w:r>
      <w:r>
        <w:rPr>
          <w:spacing w:val="-5"/>
        </w:rPr>
        <w:t> </w:t>
      </w:r>
      <w:r>
        <w:rPr/>
        <w:t>respecto</w:t>
      </w:r>
      <w:r>
        <w:rPr>
          <w:spacing w:val="-5"/>
        </w:rPr>
        <w:t> </w:t>
      </w:r>
      <w:r>
        <w:rPr/>
        <w:t>de</w:t>
      </w:r>
      <w:r>
        <w:rPr>
          <w:spacing w:val="-3"/>
        </w:rPr>
        <w:t> </w:t>
      </w:r>
      <w:r>
        <w:rPr/>
        <w:t>la</w:t>
      </w:r>
      <w:r>
        <w:rPr>
          <w:spacing w:val="-3"/>
        </w:rPr>
        <w:t> </w:t>
      </w:r>
      <w:r>
        <w:rPr/>
        <w:t>personalidad</w:t>
      </w:r>
      <w:r>
        <w:rPr>
          <w:spacing w:val="-5"/>
        </w:rPr>
        <w:t> </w:t>
      </w:r>
      <w:r>
        <w:rPr/>
        <w:t>cuando</w:t>
      </w:r>
      <w:r>
        <w:rPr>
          <w:spacing w:val="-3"/>
        </w:rPr>
        <w:t> </w:t>
      </w:r>
      <w:r>
        <w:rPr/>
        <w:t>se trate de solicitudes de personas morales;</w:t>
      </w:r>
    </w:p>
    <w:p>
      <w:pPr>
        <w:pStyle w:val="ListParagraph"/>
        <w:numPr>
          <w:ilvl w:val="0"/>
          <w:numId w:val="273"/>
        </w:numPr>
        <w:tabs>
          <w:tab w:pos="1195" w:val="left" w:leader="none"/>
        </w:tabs>
        <w:spacing w:line="242" w:lineRule="auto" w:before="228" w:after="0"/>
        <w:ind w:left="1195" w:right="341" w:hanging="569"/>
        <w:jc w:val="both"/>
        <w:rPr>
          <w:sz w:val="20"/>
        </w:rPr>
      </w:pPr>
      <w:r>
        <w:rPr>
          <w:sz w:val="20"/>
        </w:rPr>
        <w:t>Si la solicitud de conciliación se presenta personalmente por ambas partes, la autoridad conciliadora</w:t>
      </w:r>
      <w:r>
        <w:rPr>
          <w:spacing w:val="-2"/>
          <w:sz w:val="20"/>
        </w:rPr>
        <w:t> </w:t>
      </w:r>
      <w:r>
        <w:rPr>
          <w:sz w:val="20"/>
        </w:rPr>
        <w:t>les</w:t>
      </w:r>
      <w:r>
        <w:rPr>
          <w:spacing w:val="-1"/>
          <w:sz w:val="20"/>
        </w:rPr>
        <w:t> </w:t>
      </w:r>
      <w:r>
        <w:rPr>
          <w:sz w:val="20"/>
        </w:rPr>
        <w:t>notificará de</w:t>
      </w:r>
      <w:r>
        <w:rPr>
          <w:spacing w:val="-2"/>
          <w:sz w:val="20"/>
        </w:rPr>
        <w:t> </w:t>
      </w:r>
      <w:r>
        <w:rPr>
          <w:sz w:val="20"/>
        </w:rPr>
        <w:t>inmediato,</w:t>
      </w:r>
      <w:r>
        <w:rPr>
          <w:spacing w:val="-2"/>
          <w:sz w:val="20"/>
        </w:rPr>
        <w:t> </w:t>
      </w:r>
      <w:r>
        <w:rPr>
          <w:sz w:val="20"/>
        </w:rPr>
        <w:t>fecha y</w:t>
      </w:r>
      <w:r>
        <w:rPr>
          <w:spacing w:val="-5"/>
          <w:sz w:val="20"/>
        </w:rPr>
        <w:t> </w:t>
      </w:r>
      <w:r>
        <w:rPr>
          <w:sz w:val="20"/>
        </w:rPr>
        <w:t>hora</w:t>
      </w:r>
      <w:r>
        <w:rPr>
          <w:spacing w:val="-2"/>
          <w:sz w:val="20"/>
        </w:rPr>
        <w:t> </w:t>
      </w:r>
      <w:r>
        <w:rPr>
          <w:sz w:val="20"/>
        </w:rPr>
        <w:t>de</w:t>
      </w:r>
      <w:r>
        <w:rPr>
          <w:spacing w:val="-2"/>
          <w:sz w:val="20"/>
        </w:rPr>
        <w:t> </w:t>
      </w:r>
      <w:r>
        <w:rPr>
          <w:sz w:val="20"/>
        </w:rPr>
        <w:t>la audiencia de</w:t>
      </w:r>
      <w:r>
        <w:rPr>
          <w:spacing w:val="-3"/>
          <w:sz w:val="20"/>
        </w:rPr>
        <w:t> </w:t>
      </w:r>
      <w:r>
        <w:rPr>
          <w:sz w:val="20"/>
        </w:rPr>
        <w:t>conciliación,</w:t>
      </w:r>
      <w:r>
        <w:rPr>
          <w:spacing w:val="-2"/>
          <w:sz w:val="20"/>
        </w:rPr>
        <w:t> </w:t>
      </w:r>
      <w:r>
        <w:rPr>
          <w:sz w:val="20"/>
        </w:rPr>
        <w:t>misma</w:t>
      </w:r>
      <w:r>
        <w:rPr>
          <w:spacing w:val="-2"/>
          <w:sz w:val="20"/>
        </w:rPr>
        <w:t> </w:t>
      </w:r>
      <w:r>
        <w:rPr>
          <w:sz w:val="20"/>
        </w:rPr>
        <w:t>que deberá</w:t>
      </w:r>
      <w:r>
        <w:rPr>
          <w:spacing w:val="-1"/>
          <w:sz w:val="20"/>
        </w:rPr>
        <w:t> </w:t>
      </w:r>
      <w:r>
        <w:rPr>
          <w:sz w:val="20"/>
        </w:rPr>
        <w:t>celebrarse dentro de</w:t>
      </w:r>
      <w:r>
        <w:rPr>
          <w:spacing w:val="-1"/>
          <w:sz w:val="20"/>
        </w:rPr>
        <w:t> </w:t>
      </w:r>
      <w:r>
        <w:rPr>
          <w:sz w:val="20"/>
        </w:rPr>
        <w:t>plazo</w:t>
      </w:r>
      <w:r>
        <w:rPr>
          <w:spacing w:val="-1"/>
          <w:sz w:val="20"/>
        </w:rPr>
        <w:t> </w:t>
      </w:r>
      <w:r>
        <w:rPr>
          <w:sz w:val="20"/>
        </w:rPr>
        <w:t>máximo</w:t>
      </w:r>
      <w:r>
        <w:rPr>
          <w:spacing w:val="-1"/>
          <w:sz w:val="20"/>
        </w:rPr>
        <w:t> </w:t>
      </w:r>
      <w:r>
        <w:rPr>
          <w:sz w:val="20"/>
        </w:rPr>
        <w:t>de</w:t>
      </w:r>
      <w:r>
        <w:rPr>
          <w:spacing w:val="-2"/>
          <w:sz w:val="20"/>
        </w:rPr>
        <w:t> </w:t>
      </w:r>
      <w:r>
        <w:rPr>
          <w:sz w:val="20"/>
        </w:rPr>
        <w:t>cinco</w:t>
      </w:r>
      <w:r>
        <w:rPr>
          <w:spacing w:val="-1"/>
          <w:sz w:val="20"/>
        </w:rPr>
        <w:t> </w:t>
      </w:r>
      <w:r>
        <w:rPr>
          <w:sz w:val="20"/>
        </w:rPr>
        <w:t>días a</w:t>
      </w:r>
      <w:r>
        <w:rPr>
          <w:spacing w:val="-1"/>
          <w:sz w:val="20"/>
        </w:rPr>
        <w:t> </w:t>
      </w:r>
      <w:r>
        <w:rPr>
          <w:sz w:val="20"/>
        </w:rPr>
        <w:t>partir de la</w:t>
      </w:r>
      <w:r>
        <w:rPr>
          <w:spacing w:val="-1"/>
          <w:sz w:val="20"/>
        </w:rPr>
        <w:t> </w:t>
      </w:r>
      <w:r>
        <w:rPr>
          <w:sz w:val="20"/>
        </w:rPr>
        <w:t>fecha de presentación de la solicitud, sin menoscabo de que ésta pueda celebrarse en ese momento;</w:t>
      </w:r>
    </w:p>
    <w:p>
      <w:pPr>
        <w:pStyle w:val="ListParagraph"/>
        <w:numPr>
          <w:ilvl w:val="0"/>
          <w:numId w:val="273"/>
        </w:numPr>
        <w:tabs>
          <w:tab w:pos="1193" w:val="left" w:leader="none"/>
          <w:tab w:pos="1195" w:val="left" w:leader="none"/>
        </w:tabs>
        <w:spacing w:line="240" w:lineRule="auto" w:before="221" w:after="0"/>
        <w:ind w:left="1195" w:right="334" w:hanging="569"/>
        <w:jc w:val="both"/>
        <w:rPr>
          <w:sz w:val="20"/>
        </w:rPr>
      </w:pPr>
      <w:r>
        <w:rPr>
          <w:sz w:val="20"/>
        </w:rPr>
        <w:t>El</w:t>
      </w:r>
      <w:r>
        <w:rPr>
          <w:spacing w:val="-3"/>
          <w:sz w:val="20"/>
        </w:rPr>
        <w:t> </w:t>
      </w:r>
      <w:r>
        <w:rPr>
          <w:sz w:val="20"/>
        </w:rPr>
        <w:t>trabajador</w:t>
      </w:r>
      <w:r>
        <w:rPr>
          <w:spacing w:val="-1"/>
          <w:sz w:val="20"/>
        </w:rPr>
        <w:t> </w:t>
      </w:r>
      <w:r>
        <w:rPr>
          <w:sz w:val="20"/>
        </w:rPr>
        <w:t>solicitante</w:t>
      </w:r>
      <w:r>
        <w:rPr>
          <w:spacing w:val="-2"/>
          <w:sz w:val="20"/>
        </w:rPr>
        <w:t> </w:t>
      </w:r>
      <w:r>
        <w:rPr>
          <w:sz w:val="20"/>
        </w:rPr>
        <w:t>de la</w:t>
      </w:r>
      <w:r>
        <w:rPr>
          <w:spacing w:val="-2"/>
          <w:sz w:val="20"/>
        </w:rPr>
        <w:t> </w:t>
      </w:r>
      <w:r>
        <w:rPr>
          <w:sz w:val="20"/>
        </w:rPr>
        <w:t>instancia</w:t>
      </w:r>
      <w:r>
        <w:rPr>
          <w:spacing w:val="-2"/>
          <w:sz w:val="20"/>
        </w:rPr>
        <w:t> </w:t>
      </w:r>
      <w:r>
        <w:rPr>
          <w:sz w:val="20"/>
        </w:rPr>
        <w:t>conciliatoria</w:t>
      </w:r>
      <w:r>
        <w:rPr>
          <w:spacing w:val="-2"/>
          <w:sz w:val="20"/>
        </w:rPr>
        <w:t> </w:t>
      </w:r>
      <w:r>
        <w:rPr>
          <w:sz w:val="20"/>
        </w:rPr>
        <w:t>deberá</w:t>
      </w:r>
      <w:r>
        <w:rPr>
          <w:spacing w:val="-2"/>
          <w:sz w:val="20"/>
        </w:rPr>
        <w:t> </w:t>
      </w:r>
      <w:r>
        <w:rPr>
          <w:sz w:val="20"/>
        </w:rPr>
        <w:t>acudir</w:t>
      </w:r>
      <w:r>
        <w:rPr>
          <w:spacing w:val="-1"/>
          <w:sz w:val="20"/>
        </w:rPr>
        <w:t> </w:t>
      </w:r>
      <w:r>
        <w:rPr>
          <w:sz w:val="20"/>
        </w:rPr>
        <w:t>personalmente a</w:t>
      </w:r>
      <w:r>
        <w:rPr>
          <w:spacing w:val="-2"/>
          <w:sz w:val="20"/>
        </w:rPr>
        <w:t> </w:t>
      </w:r>
      <w:r>
        <w:rPr>
          <w:sz w:val="20"/>
        </w:rPr>
        <w:t>la</w:t>
      </w:r>
      <w:r>
        <w:rPr>
          <w:spacing w:val="-2"/>
          <w:sz w:val="20"/>
        </w:rPr>
        <w:t> </w:t>
      </w:r>
      <w:r>
        <w:rPr>
          <w:sz w:val="20"/>
        </w:rPr>
        <w:t>audiencia. Podrá asistir acompañado por una persona de su confianza, pero no se reconocerá a ésta</w:t>
      </w:r>
      <w:r>
        <w:rPr>
          <w:spacing w:val="80"/>
          <w:sz w:val="20"/>
        </w:rPr>
        <w:t> </w:t>
      </w:r>
      <w:r>
        <w:rPr>
          <w:sz w:val="20"/>
        </w:rPr>
        <w:t>como apoderado, por tratarse de un procedimiento de conciliación y no de un juicio; no</w:t>
      </w:r>
      <w:r>
        <w:rPr>
          <w:spacing w:val="40"/>
          <w:sz w:val="20"/>
        </w:rPr>
        <w:t> </w:t>
      </w:r>
      <w:r>
        <w:rPr>
          <w:sz w:val="20"/>
        </w:rPr>
        <w:t>obstante, el trabajador también podrá ser asistido por un licenciado en derecho, abogado o un Procurador</w:t>
      </w:r>
      <w:r>
        <w:rPr>
          <w:spacing w:val="-3"/>
          <w:sz w:val="20"/>
        </w:rPr>
        <w:t> </w:t>
      </w:r>
      <w:r>
        <w:rPr>
          <w:sz w:val="20"/>
        </w:rPr>
        <w:t>de</w:t>
      </w:r>
      <w:r>
        <w:rPr>
          <w:spacing w:val="-1"/>
          <w:sz w:val="20"/>
        </w:rPr>
        <w:t> </w:t>
      </w:r>
      <w:r>
        <w:rPr>
          <w:sz w:val="20"/>
        </w:rPr>
        <w:t>la</w:t>
      </w:r>
      <w:r>
        <w:rPr>
          <w:spacing w:val="-3"/>
          <w:sz w:val="20"/>
        </w:rPr>
        <w:t> </w:t>
      </w:r>
      <w:r>
        <w:rPr>
          <w:sz w:val="20"/>
        </w:rPr>
        <w:t>Defensa</w:t>
      </w:r>
      <w:r>
        <w:rPr>
          <w:spacing w:val="-3"/>
          <w:sz w:val="20"/>
        </w:rPr>
        <w:t> </w:t>
      </w:r>
      <w:r>
        <w:rPr>
          <w:sz w:val="20"/>
        </w:rPr>
        <w:t>del</w:t>
      </w:r>
      <w:r>
        <w:rPr>
          <w:spacing w:val="-4"/>
          <w:sz w:val="20"/>
        </w:rPr>
        <w:t> </w:t>
      </w:r>
      <w:r>
        <w:rPr>
          <w:sz w:val="20"/>
        </w:rPr>
        <w:t>Trabajo.</w:t>
      </w:r>
      <w:r>
        <w:rPr>
          <w:spacing w:val="-1"/>
          <w:sz w:val="20"/>
        </w:rPr>
        <w:t> </w:t>
      </w:r>
      <w:r>
        <w:rPr>
          <w:sz w:val="20"/>
        </w:rPr>
        <w:t>El</w:t>
      </w:r>
      <w:r>
        <w:rPr>
          <w:spacing w:val="-4"/>
          <w:sz w:val="20"/>
        </w:rPr>
        <w:t> </w:t>
      </w:r>
      <w:r>
        <w:rPr>
          <w:sz w:val="20"/>
        </w:rPr>
        <w:t>patrón</w:t>
      </w:r>
      <w:r>
        <w:rPr>
          <w:spacing w:val="-1"/>
          <w:sz w:val="20"/>
        </w:rPr>
        <w:t> </w:t>
      </w:r>
      <w:r>
        <w:rPr>
          <w:sz w:val="20"/>
        </w:rPr>
        <w:t>deberá</w:t>
      </w:r>
      <w:r>
        <w:rPr>
          <w:spacing w:val="-3"/>
          <w:sz w:val="20"/>
        </w:rPr>
        <w:t> </w:t>
      </w:r>
      <w:r>
        <w:rPr>
          <w:sz w:val="20"/>
        </w:rPr>
        <w:t>asistir</w:t>
      </w:r>
      <w:r>
        <w:rPr>
          <w:spacing w:val="-2"/>
          <w:sz w:val="20"/>
        </w:rPr>
        <w:t> </w:t>
      </w:r>
      <w:r>
        <w:rPr>
          <w:sz w:val="20"/>
        </w:rPr>
        <w:t>personalmente</w:t>
      </w:r>
      <w:r>
        <w:rPr>
          <w:spacing w:val="-4"/>
          <w:sz w:val="20"/>
        </w:rPr>
        <w:t> </w:t>
      </w:r>
      <w:r>
        <w:rPr>
          <w:sz w:val="20"/>
        </w:rPr>
        <w:t>o</w:t>
      </w:r>
      <w:r>
        <w:rPr>
          <w:spacing w:val="-1"/>
          <w:sz w:val="20"/>
        </w:rPr>
        <w:t> </w:t>
      </w:r>
      <w:r>
        <w:rPr>
          <w:sz w:val="20"/>
        </w:rPr>
        <w:t>por</w:t>
      </w:r>
      <w:r>
        <w:rPr>
          <w:spacing w:val="-3"/>
          <w:sz w:val="20"/>
        </w:rPr>
        <w:t> </w:t>
      </w:r>
      <w:r>
        <w:rPr>
          <w:sz w:val="20"/>
        </w:rPr>
        <w:t>conducto</w:t>
      </w:r>
      <w:r>
        <w:rPr>
          <w:spacing w:val="-1"/>
          <w:sz w:val="20"/>
        </w:rPr>
        <w:t> </w:t>
      </w:r>
      <w:r>
        <w:rPr>
          <w:sz w:val="20"/>
        </w:rPr>
        <w:t>de representante con facultades suficientes para obligarse en su nombre;</w:t>
      </w:r>
    </w:p>
    <w:p>
      <w:pPr>
        <w:pStyle w:val="ListParagraph"/>
        <w:spacing w:after="0" w:line="240" w:lineRule="auto"/>
        <w:jc w:val="both"/>
        <w:rPr>
          <w:sz w:val="20"/>
        </w:rPr>
        <w:sectPr>
          <w:pgSz w:w="12240" w:h="15840"/>
          <w:pgMar w:header="724" w:footer="712" w:top="1880" w:bottom="900" w:left="1080" w:right="1080"/>
        </w:sectPr>
      </w:pPr>
    </w:p>
    <w:p>
      <w:pPr>
        <w:pStyle w:val="BodyText"/>
        <w:spacing w:before="63"/>
      </w:pPr>
    </w:p>
    <w:p>
      <w:pPr>
        <w:pStyle w:val="ListParagraph"/>
        <w:numPr>
          <w:ilvl w:val="0"/>
          <w:numId w:val="273"/>
        </w:numPr>
        <w:tabs>
          <w:tab w:pos="1193" w:val="left" w:leader="none"/>
          <w:tab w:pos="1195" w:val="left" w:leader="none"/>
        </w:tabs>
        <w:spacing w:line="242" w:lineRule="auto" w:before="0" w:after="0"/>
        <w:ind w:left="1195" w:right="344" w:hanging="569"/>
        <w:jc w:val="both"/>
        <w:rPr>
          <w:sz w:val="20"/>
        </w:rPr>
      </w:pPr>
      <w:r>
        <w:rPr>
          <w:sz w:val="20"/>
        </w:rPr>
        <w:t>Si las partes acuden a la audiencia, la Autoridad Conciliadora deberá requerirles para que se identifiquen con cualquier documento oficial y, en su caso, verificar que la persona que comparezca en representación de la persona moral acredite su personalidad.</w:t>
      </w:r>
    </w:p>
    <w:p>
      <w:pPr>
        <w:pStyle w:val="BodyText"/>
        <w:spacing w:before="227"/>
        <w:ind w:left="1195" w:right="336"/>
        <w:jc w:val="both"/>
      </w:pPr>
      <w:r>
        <w:rPr/>
        <w:t>También se le asignará a la parte citada, un buzón electrónico para recibir notificaciones en el procedimiento de conciliación prejudicial; hecho lo anterior formulará una propuesta de contenido y alcances de un arreglo conciliatorio, planteando opciones de solución justas y equitativas que a su juicio sean adecuadas para dar por terminada la controversia; de estar de acuerdo las partes, celebrarán convenio por escrito, que deberá ratificarse en ese acto, entregándose copia autorizada de éste.</w:t>
      </w:r>
    </w:p>
    <w:p>
      <w:pPr>
        <w:pStyle w:val="BodyText"/>
      </w:pPr>
    </w:p>
    <w:p>
      <w:pPr>
        <w:pStyle w:val="BodyText"/>
        <w:spacing w:before="1"/>
        <w:ind w:left="1195" w:right="342"/>
        <w:jc w:val="both"/>
      </w:pPr>
      <w:r>
        <w:rPr/>
        <w:t>De no llegar a un acuerdo, la Autoridad Conciliadora emitirá la constancia de haber agotado la etapa de conciliación prejudicial obligatoria. No obstante, las partes de común acuerdo, podrán solicitar se fije nueva audiencia de conciliación, que deberá celebrarse dentro de los cinco días </w:t>
      </w:r>
      <w:r>
        <w:rPr>
          <w:spacing w:val="-2"/>
        </w:rPr>
        <w:t>siguientes;</w:t>
      </w:r>
    </w:p>
    <w:p>
      <w:pPr>
        <w:pStyle w:val="ListParagraph"/>
        <w:numPr>
          <w:ilvl w:val="0"/>
          <w:numId w:val="273"/>
        </w:numPr>
        <w:tabs>
          <w:tab w:pos="1195" w:val="left" w:leader="none"/>
        </w:tabs>
        <w:spacing w:line="240" w:lineRule="auto" w:before="227" w:after="0"/>
        <w:ind w:left="1195" w:right="344" w:hanging="569"/>
        <w:jc w:val="both"/>
        <w:rPr>
          <w:sz w:val="20"/>
        </w:rPr>
      </w:pPr>
      <w:r>
        <w:rPr>
          <w:sz w:val="20"/>
        </w:rPr>
        <w:t>Cuando alguna</w:t>
      </w:r>
      <w:r>
        <w:rPr>
          <w:spacing w:val="-2"/>
          <w:sz w:val="20"/>
        </w:rPr>
        <w:t> </w:t>
      </w:r>
      <w:r>
        <w:rPr>
          <w:sz w:val="20"/>
        </w:rPr>
        <w:t>de</w:t>
      </w:r>
      <w:r>
        <w:rPr>
          <w:spacing w:val="-2"/>
          <w:sz w:val="20"/>
        </w:rPr>
        <w:t> </w:t>
      </w:r>
      <w:r>
        <w:rPr>
          <w:sz w:val="20"/>
        </w:rPr>
        <w:t>las</w:t>
      </w:r>
      <w:r>
        <w:rPr>
          <w:spacing w:val="-1"/>
          <w:sz w:val="20"/>
        </w:rPr>
        <w:t> </w:t>
      </w:r>
      <w:r>
        <w:rPr>
          <w:sz w:val="20"/>
        </w:rPr>
        <w:t>partes</w:t>
      </w:r>
      <w:r>
        <w:rPr>
          <w:spacing w:val="-1"/>
          <w:sz w:val="20"/>
        </w:rPr>
        <w:t> </w:t>
      </w:r>
      <w:r>
        <w:rPr>
          <w:sz w:val="20"/>
        </w:rPr>
        <w:t>o</w:t>
      </w:r>
      <w:r>
        <w:rPr>
          <w:spacing w:val="-2"/>
          <w:sz w:val="20"/>
        </w:rPr>
        <w:t> </w:t>
      </w:r>
      <w:r>
        <w:rPr>
          <w:sz w:val="20"/>
        </w:rPr>
        <w:t>ambas</w:t>
      </w:r>
      <w:r>
        <w:rPr>
          <w:spacing w:val="-1"/>
          <w:sz w:val="20"/>
        </w:rPr>
        <w:t> </w:t>
      </w:r>
      <w:r>
        <w:rPr>
          <w:sz w:val="20"/>
        </w:rPr>
        <w:t>no comparezcan</w:t>
      </w:r>
      <w:r>
        <w:rPr>
          <w:spacing w:val="-2"/>
          <w:sz w:val="20"/>
        </w:rPr>
        <w:t> </w:t>
      </w:r>
      <w:r>
        <w:rPr>
          <w:sz w:val="20"/>
        </w:rPr>
        <w:t>a la</w:t>
      </w:r>
      <w:r>
        <w:rPr>
          <w:spacing w:val="-2"/>
          <w:sz w:val="20"/>
        </w:rPr>
        <w:t> </w:t>
      </w:r>
      <w:r>
        <w:rPr>
          <w:sz w:val="20"/>
        </w:rPr>
        <w:t>audiencia</w:t>
      </w:r>
      <w:r>
        <w:rPr>
          <w:spacing w:val="-2"/>
          <w:sz w:val="20"/>
        </w:rPr>
        <w:t> </w:t>
      </w:r>
      <w:r>
        <w:rPr>
          <w:sz w:val="20"/>
        </w:rPr>
        <w:t>de</w:t>
      </w:r>
      <w:r>
        <w:rPr>
          <w:spacing w:val="-2"/>
          <w:sz w:val="20"/>
        </w:rPr>
        <w:t> </w:t>
      </w:r>
      <w:r>
        <w:rPr>
          <w:sz w:val="20"/>
        </w:rPr>
        <w:t>conciliación por</w:t>
      </w:r>
      <w:r>
        <w:rPr>
          <w:spacing w:val="-1"/>
          <w:sz w:val="20"/>
        </w:rPr>
        <w:t> </w:t>
      </w:r>
      <w:r>
        <w:rPr>
          <w:sz w:val="20"/>
        </w:rPr>
        <w:t>causa justificada, no obstante estar debidamente notificados, se señalará nueva fecha y hora para la celebración de la audiencia, misma que deberá realizarse dentro de los cinco días siguientes.</w:t>
      </w:r>
      <w:r>
        <w:rPr>
          <w:spacing w:val="40"/>
          <w:sz w:val="20"/>
        </w:rPr>
        <w:t> </w:t>
      </w:r>
      <w:r>
        <w:rPr>
          <w:sz w:val="20"/>
        </w:rPr>
        <w:t>La parte que acuda será notificada en ese acto, la contraparte que no acuda lo será por el boletín del Centro y, en su caso, por buzón electrónico;</w:t>
      </w:r>
    </w:p>
    <w:p>
      <w:pPr>
        <w:pStyle w:val="BodyText"/>
      </w:pPr>
    </w:p>
    <w:p>
      <w:pPr>
        <w:pStyle w:val="ListParagraph"/>
        <w:numPr>
          <w:ilvl w:val="0"/>
          <w:numId w:val="273"/>
        </w:numPr>
        <w:tabs>
          <w:tab w:pos="1195" w:val="left" w:leader="none"/>
        </w:tabs>
        <w:spacing w:line="240" w:lineRule="auto" w:before="1" w:after="0"/>
        <w:ind w:left="1195" w:right="333" w:hanging="569"/>
        <w:jc w:val="both"/>
        <w:rPr>
          <w:sz w:val="20"/>
        </w:rPr>
      </w:pPr>
      <w:r>
        <w:rPr>
          <w:sz w:val="20"/>
        </w:rPr>
        <w:t>Si a la audiencia de conciliación sólo comparece el solicitante, la autoridad conciliadora emitirá la constancia de haber agotado la etapa de conciliación prejudicial obligatoria. Si sólo comparece el citado, se archivará el expediente por falta de interés del solicitante. En ambos casos se reanudarán los plazos de prescripción a partir del día siguiente a la fecha de la audiencia,</w:t>
      </w:r>
      <w:r>
        <w:rPr>
          <w:spacing w:val="-3"/>
          <w:sz w:val="20"/>
        </w:rPr>
        <w:t> </w:t>
      </w:r>
      <w:r>
        <w:rPr>
          <w:sz w:val="20"/>
        </w:rPr>
        <w:t>dejando</w:t>
      </w:r>
      <w:r>
        <w:rPr>
          <w:spacing w:val="-3"/>
          <w:sz w:val="20"/>
        </w:rPr>
        <w:t> </w:t>
      </w:r>
      <w:r>
        <w:rPr>
          <w:sz w:val="20"/>
        </w:rPr>
        <w:t>a</w:t>
      </w:r>
      <w:r>
        <w:rPr>
          <w:spacing w:val="-4"/>
          <w:sz w:val="20"/>
        </w:rPr>
        <w:t> </w:t>
      </w:r>
      <w:r>
        <w:rPr>
          <w:sz w:val="20"/>
        </w:rPr>
        <w:t>salvo</w:t>
      </w:r>
      <w:r>
        <w:rPr>
          <w:spacing w:val="-1"/>
          <w:sz w:val="20"/>
        </w:rPr>
        <w:t> </w:t>
      </w:r>
      <w:r>
        <w:rPr>
          <w:sz w:val="20"/>
        </w:rPr>
        <w:t>los</w:t>
      </w:r>
      <w:r>
        <w:rPr>
          <w:spacing w:val="-2"/>
          <w:sz w:val="20"/>
        </w:rPr>
        <w:t> </w:t>
      </w:r>
      <w:r>
        <w:rPr>
          <w:sz w:val="20"/>
        </w:rPr>
        <w:t>derechos</w:t>
      </w:r>
      <w:r>
        <w:rPr>
          <w:spacing w:val="-2"/>
          <w:sz w:val="20"/>
        </w:rPr>
        <w:t> </w:t>
      </w:r>
      <w:r>
        <w:rPr>
          <w:sz w:val="20"/>
        </w:rPr>
        <w:t>del</w:t>
      </w:r>
      <w:r>
        <w:rPr>
          <w:spacing w:val="-4"/>
          <w:sz w:val="20"/>
        </w:rPr>
        <w:t> </w:t>
      </w:r>
      <w:r>
        <w:rPr>
          <w:sz w:val="20"/>
        </w:rPr>
        <w:t>trabajador</w:t>
      </w:r>
      <w:r>
        <w:rPr>
          <w:spacing w:val="-3"/>
          <w:sz w:val="20"/>
        </w:rPr>
        <w:t> </w:t>
      </w:r>
      <w:r>
        <w:rPr>
          <w:sz w:val="20"/>
        </w:rPr>
        <w:t>para</w:t>
      </w:r>
      <w:r>
        <w:rPr>
          <w:spacing w:val="-3"/>
          <w:sz w:val="20"/>
        </w:rPr>
        <w:t> </w:t>
      </w:r>
      <w:r>
        <w:rPr>
          <w:sz w:val="20"/>
        </w:rPr>
        <w:t>solicitar</w:t>
      </w:r>
      <w:r>
        <w:rPr>
          <w:spacing w:val="-3"/>
          <w:sz w:val="20"/>
        </w:rPr>
        <w:t> </w:t>
      </w:r>
      <w:r>
        <w:rPr>
          <w:sz w:val="20"/>
        </w:rPr>
        <w:t>nuevamente</w:t>
      </w:r>
      <w:r>
        <w:rPr>
          <w:spacing w:val="-4"/>
          <w:sz w:val="20"/>
        </w:rPr>
        <w:t> </w:t>
      </w:r>
      <w:r>
        <w:rPr>
          <w:sz w:val="20"/>
        </w:rPr>
        <w:t>la</w:t>
      </w:r>
      <w:r>
        <w:rPr>
          <w:spacing w:val="-3"/>
          <w:sz w:val="20"/>
        </w:rPr>
        <w:t> </w:t>
      </w:r>
      <w:r>
        <w:rPr>
          <w:sz w:val="20"/>
        </w:rPr>
        <w:t>conciliación;</w:t>
      </w:r>
    </w:p>
    <w:p>
      <w:pPr>
        <w:pStyle w:val="BodyText"/>
      </w:pPr>
    </w:p>
    <w:p>
      <w:pPr>
        <w:pStyle w:val="ListParagraph"/>
        <w:numPr>
          <w:ilvl w:val="0"/>
          <w:numId w:val="273"/>
        </w:numPr>
        <w:tabs>
          <w:tab w:pos="1195" w:val="left" w:leader="none"/>
        </w:tabs>
        <w:spacing w:line="240" w:lineRule="auto" w:before="0" w:after="0"/>
        <w:ind w:left="1195" w:right="335" w:hanging="569"/>
        <w:jc w:val="both"/>
        <w:rPr>
          <w:sz w:val="20"/>
        </w:rPr>
      </w:pPr>
      <w:r>
        <w:rPr>
          <w:sz w:val="20"/>
        </w:rPr>
        <w:t>En el caso de que el notificador no haya logrado notificar a la persona, empresa o sindicato a citar, no obstante haberlo intentado, la Autoridad Conciliadora dará por terminada la instancia y emitirá constancia dejando a salvo los derechos del solicitante de la conciliación para promover juicio ante el Tribunal competente;</w:t>
      </w:r>
    </w:p>
    <w:p>
      <w:pPr>
        <w:pStyle w:val="BodyText"/>
      </w:pPr>
    </w:p>
    <w:p>
      <w:pPr>
        <w:pStyle w:val="ListParagraph"/>
        <w:numPr>
          <w:ilvl w:val="0"/>
          <w:numId w:val="273"/>
        </w:numPr>
        <w:tabs>
          <w:tab w:pos="1193" w:val="left" w:leader="none"/>
          <w:tab w:pos="1195" w:val="left" w:leader="none"/>
        </w:tabs>
        <w:spacing w:line="240" w:lineRule="auto" w:before="0" w:after="0"/>
        <w:ind w:left="1195" w:right="340" w:hanging="569"/>
        <w:jc w:val="both"/>
        <w:rPr>
          <w:sz w:val="20"/>
        </w:rPr>
      </w:pPr>
      <w:r>
        <w:rPr>
          <w:sz w:val="20"/>
        </w:rPr>
        <w:t>Cuando en la solicitud de conciliación se manifieste la existencia de acoso sexual, discriminación u otros actos de violencia contemplados por la ley, en los que exista el riesgo inminente de revictimización, la autoridad conciliadora tomará las medidas conducentes para que en ningún momento se reúna o encare a la persona citada a la que se le atribuyen tales actos. En estos casos el procedimiento de conciliación se llevará con el representante o apoderado del citado, evitando que la presunta víctima y la persona o personas a quienes se atribuyen los actos de violencia se reúnan o encuentren en un mismo espacio;</w:t>
      </w:r>
    </w:p>
    <w:p>
      <w:pPr>
        <w:pStyle w:val="ListParagraph"/>
        <w:numPr>
          <w:ilvl w:val="0"/>
          <w:numId w:val="273"/>
        </w:numPr>
        <w:tabs>
          <w:tab w:pos="1193" w:val="left" w:leader="none"/>
          <w:tab w:pos="1195" w:val="left" w:leader="none"/>
        </w:tabs>
        <w:spacing w:line="242" w:lineRule="auto" w:before="228" w:after="0"/>
        <w:ind w:left="1195" w:right="342" w:hanging="569"/>
        <w:jc w:val="both"/>
        <w:rPr>
          <w:sz w:val="20"/>
        </w:rPr>
      </w:pPr>
      <w:r>
        <w:rPr>
          <w:sz w:val="20"/>
        </w:rPr>
        <w:t>Una vez que se celebre el convenio ante los Centros de Conciliación, adquirirá la condición de cosa juzgada, teniendo la calidad de un título para iniciar acciones ejecutivas sin necesidad de ratificación. Cualquiera de las partes podrá promover su cumplimiento mediante el procedimiento</w:t>
      </w:r>
      <w:r>
        <w:rPr>
          <w:spacing w:val="-2"/>
          <w:sz w:val="20"/>
        </w:rPr>
        <w:t> </w:t>
      </w:r>
      <w:r>
        <w:rPr>
          <w:sz w:val="20"/>
        </w:rPr>
        <w:t>de</w:t>
      </w:r>
      <w:r>
        <w:rPr>
          <w:spacing w:val="-3"/>
          <w:sz w:val="20"/>
        </w:rPr>
        <w:t> </w:t>
      </w:r>
      <w:r>
        <w:rPr>
          <w:sz w:val="20"/>
        </w:rPr>
        <w:t>ejecución</w:t>
      </w:r>
      <w:r>
        <w:rPr>
          <w:spacing w:val="-2"/>
          <w:sz w:val="20"/>
        </w:rPr>
        <w:t> </w:t>
      </w:r>
      <w:r>
        <w:rPr>
          <w:sz w:val="20"/>
        </w:rPr>
        <w:t>de</w:t>
      </w:r>
      <w:r>
        <w:rPr>
          <w:spacing w:val="-5"/>
          <w:sz w:val="20"/>
        </w:rPr>
        <w:t> </w:t>
      </w:r>
      <w:r>
        <w:rPr>
          <w:sz w:val="20"/>
        </w:rPr>
        <w:t>sentencia</w:t>
      </w:r>
      <w:r>
        <w:rPr>
          <w:spacing w:val="-4"/>
          <w:sz w:val="20"/>
        </w:rPr>
        <w:t> </w:t>
      </w:r>
      <w:r>
        <w:rPr>
          <w:sz w:val="20"/>
        </w:rPr>
        <w:t>que</w:t>
      </w:r>
      <w:r>
        <w:rPr>
          <w:spacing w:val="-5"/>
          <w:sz w:val="20"/>
        </w:rPr>
        <w:t> </w:t>
      </w:r>
      <w:r>
        <w:rPr>
          <w:sz w:val="20"/>
        </w:rPr>
        <w:t>establece</w:t>
      </w:r>
      <w:r>
        <w:rPr>
          <w:spacing w:val="-4"/>
          <w:sz w:val="20"/>
        </w:rPr>
        <w:t> </w:t>
      </w:r>
      <w:r>
        <w:rPr>
          <w:sz w:val="20"/>
        </w:rPr>
        <w:t>esta</w:t>
      </w:r>
      <w:r>
        <w:rPr>
          <w:spacing w:val="-2"/>
          <w:sz w:val="20"/>
        </w:rPr>
        <w:t> </w:t>
      </w:r>
      <w:r>
        <w:rPr>
          <w:sz w:val="20"/>
        </w:rPr>
        <w:t>Ley,</w:t>
      </w:r>
      <w:r>
        <w:rPr>
          <w:spacing w:val="-4"/>
          <w:sz w:val="20"/>
        </w:rPr>
        <w:t> </w:t>
      </w:r>
      <w:r>
        <w:rPr>
          <w:sz w:val="20"/>
        </w:rPr>
        <w:t>ante</w:t>
      </w:r>
      <w:r>
        <w:rPr>
          <w:spacing w:val="-3"/>
          <w:sz w:val="20"/>
        </w:rPr>
        <w:t> </w:t>
      </w:r>
      <w:r>
        <w:rPr>
          <w:sz w:val="20"/>
        </w:rPr>
        <w:t>el</w:t>
      </w:r>
      <w:r>
        <w:rPr>
          <w:spacing w:val="-5"/>
          <w:sz w:val="20"/>
        </w:rPr>
        <w:t> </w:t>
      </w:r>
      <w:r>
        <w:rPr>
          <w:sz w:val="20"/>
        </w:rPr>
        <w:t>Tribunal</w:t>
      </w:r>
      <w:r>
        <w:rPr>
          <w:spacing w:val="-3"/>
          <w:sz w:val="20"/>
        </w:rPr>
        <w:t> </w:t>
      </w:r>
      <w:r>
        <w:rPr>
          <w:sz w:val="20"/>
        </w:rPr>
        <w:t>competente, y</w:t>
      </w:r>
    </w:p>
    <w:p>
      <w:pPr>
        <w:pStyle w:val="ListParagraph"/>
        <w:numPr>
          <w:ilvl w:val="0"/>
          <w:numId w:val="273"/>
        </w:numPr>
        <w:tabs>
          <w:tab w:pos="1195" w:val="left" w:leader="none"/>
        </w:tabs>
        <w:spacing w:line="242" w:lineRule="auto" w:before="221" w:after="0"/>
        <w:ind w:left="1195" w:right="343" w:hanging="569"/>
        <w:jc w:val="both"/>
        <w:rPr>
          <w:sz w:val="20"/>
        </w:rPr>
      </w:pPr>
      <w:r>
        <w:rPr>
          <w:sz w:val="20"/>
        </w:rPr>
        <w:t>Al</w:t>
      </w:r>
      <w:r>
        <w:rPr>
          <w:spacing w:val="-4"/>
          <w:sz w:val="20"/>
        </w:rPr>
        <w:t> </w:t>
      </w:r>
      <w:r>
        <w:rPr>
          <w:sz w:val="20"/>
        </w:rPr>
        <w:t>celebrar</w:t>
      </w:r>
      <w:r>
        <w:rPr>
          <w:spacing w:val="-2"/>
          <w:sz w:val="20"/>
        </w:rPr>
        <w:t> </w:t>
      </w:r>
      <w:r>
        <w:rPr>
          <w:sz w:val="20"/>
        </w:rPr>
        <w:t>convenio,</w:t>
      </w:r>
      <w:r>
        <w:rPr>
          <w:spacing w:val="-1"/>
          <w:sz w:val="20"/>
        </w:rPr>
        <w:t> </w:t>
      </w:r>
      <w:r>
        <w:rPr>
          <w:sz w:val="20"/>
        </w:rPr>
        <w:t>las Autoridades</w:t>
      </w:r>
      <w:r>
        <w:rPr>
          <w:spacing w:val="-2"/>
          <w:sz w:val="20"/>
        </w:rPr>
        <w:t> </w:t>
      </w:r>
      <w:r>
        <w:rPr>
          <w:sz w:val="20"/>
        </w:rPr>
        <w:t>Conciliadoras</w:t>
      </w:r>
      <w:r>
        <w:rPr>
          <w:spacing w:val="-1"/>
          <w:sz w:val="20"/>
        </w:rPr>
        <w:t> </w:t>
      </w:r>
      <w:r>
        <w:rPr>
          <w:sz w:val="20"/>
        </w:rPr>
        <w:t>entregarán</w:t>
      </w:r>
      <w:r>
        <w:rPr>
          <w:spacing w:val="-3"/>
          <w:sz w:val="20"/>
        </w:rPr>
        <w:t> </w:t>
      </w:r>
      <w:r>
        <w:rPr>
          <w:sz w:val="20"/>
        </w:rPr>
        <w:t>copia</w:t>
      </w:r>
      <w:r>
        <w:rPr>
          <w:spacing w:val="-1"/>
          <w:sz w:val="20"/>
        </w:rPr>
        <w:t> </w:t>
      </w:r>
      <w:r>
        <w:rPr>
          <w:sz w:val="20"/>
        </w:rPr>
        <w:t>certificada</w:t>
      </w:r>
      <w:r>
        <w:rPr>
          <w:spacing w:val="-1"/>
          <w:sz w:val="20"/>
        </w:rPr>
        <w:t> </w:t>
      </w:r>
      <w:r>
        <w:rPr>
          <w:sz w:val="20"/>
        </w:rPr>
        <w:t>del</w:t>
      </w:r>
      <w:r>
        <w:rPr>
          <w:spacing w:val="-2"/>
          <w:sz w:val="20"/>
        </w:rPr>
        <w:t> </w:t>
      </w:r>
      <w:r>
        <w:rPr>
          <w:sz w:val="20"/>
        </w:rPr>
        <w:t>mismo</w:t>
      </w:r>
      <w:r>
        <w:rPr>
          <w:spacing w:val="-3"/>
          <w:sz w:val="20"/>
        </w:rPr>
        <w:t> </w:t>
      </w:r>
      <w:r>
        <w:rPr>
          <w:sz w:val="20"/>
        </w:rPr>
        <w:t>para cada una de las partes, asimismo también se les entregará copia certificada de las actas donde conste el cumplimiento del convenio.</w:t>
      </w:r>
    </w:p>
    <w:p>
      <w:pPr>
        <w:pStyle w:val="BodyText"/>
        <w:spacing w:before="228"/>
        <w:ind w:left="338" w:right="339" w:firstLine="288"/>
        <w:jc w:val="both"/>
      </w:pPr>
      <w:r>
        <w:rPr/>
        <w:t>Sin perjuicio de lo anterior, cuando así lo requiera el</w:t>
      </w:r>
      <w:r>
        <w:rPr>
          <w:spacing w:val="-1"/>
        </w:rPr>
        <w:t> </w:t>
      </w:r>
      <w:r>
        <w:rPr/>
        <w:t>solicitante, el Centro de Conciliación podrá fijar la Audiencia de Conciliación dentro de los cinco días hábiles siguientes a la presentación de la solicitud, para</w:t>
      </w:r>
      <w:r>
        <w:rPr>
          <w:spacing w:val="13"/>
        </w:rPr>
        <w:t> </w:t>
      </w:r>
      <w:r>
        <w:rPr/>
        <w:t>lo</w:t>
      </w:r>
      <w:r>
        <w:rPr>
          <w:spacing w:val="13"/>
        </w:rPr>
        <w:t> </w:t>
      </w:r>
      <w:r>
        <w:rPr/>
        <w:t>cual</w:t>
      </w:r>
      <w:r>
        <w:rPr>
          <w:spacing w:val="13"/>
        </w:rPr>
        <w:t> </w:t>
      </w:r>
      <w:r>
        <w:rPr/>
        <w:t>le</w:t>
      </w:r>
      <w:r>
        <w:rPr>
          <w:spacing w:val="13"/>
        </w:rPr>
        <w:t> </w:t>
      </w:r>
      <w:r>
        <w:rPr/>
        <w:t>proporcionará</w:t>
      </w:r>
      <w:r>
        <w:rPr>
          <w:spacing w:val="13"/>
        </w:rPr>
        <w:t> </w:t>
      </w:r>
      <w:r>
        <w:rPr/>
        <w:t>el</w:t>
      </w:r>
      <w:r>
        <w:rPr>
          <w:spacing w:val="12"/>
        </w:rPr>
        <w:t> </w:t>
      </w:r>
      <w:r>
        <w:rPr/>
        <w:t>citatorio</w:t>
      </w:r>
      <w:r>
        <w:rPr>
          <w:spacing w:val="13"/>
        </w:rPr>
        <w:t> </w:t>
      </w:r>
      <w:r>
        <w:rPr/>
        <w:t>a</w:t>
      </w:r>
      <w:r>
        <w:rPr>
          <w:spacing w:val="16"/>
        </w:rPr>
        <w:t> </w:t>
      </w:r>
      <w:r>
        <w:rPr/>
        <w:t>la</w:t>
      </w:r>
      <w:r>
        <w:rPr>
          <w:spacing w:val="16"/>
        </w:rPr>
        <w:t> </w:t>
      </w:r>
      <w:r>
        <w:rPr/>
        <w:t>audiencia</w:t>
      </w:r>
      <w:r>
        <w:rPr>
          <w:spacing w:val="13"/>
        </w:rPr>
        <w:t> </w:t>
      </w:r>
      <w:r>
        <w:rPr/>
        <w:t>con</w:t>
      </w:r>
      <w:r>
        <w:rPr>
          <w:spacing w:val="20"/>
        </w:rPr>
        <w:t> </w:t>
      </w:r>
      <w:r>
        <w:rPr/>
        <w:t>el</w:t>
      </w:r>
      <w:r>
        <w:rPr>
          <w:spacing w:val="13"/>
        </w:rPr>
        <w:t> </w:t>
      </w:r>
      <w:r>
        <w:rPr/>
        <w:t>fin</w:t>
      </w:r>
      <w:r>
        <w:rPr>
          <w:spacing w:val="13"/>
        </w:rPr>
        <w:t> </w:t>
      </w:r>
      <w:r>
        <w:rPr/>
        <w:t>de</w:t>
      </w:r>
      <w:r>
        <w:rPr>
          <w:spacing w:val="13"/>
        </w:rPr>
        <w:t> </w:t>
      </w:r>
      <w:r>
        <w:rPr/>
        <w:t>que</w:t>
      </w:r>
      <w:r>
        <w:rPr>
          <w:spacing w:val="13"/>
        </w:rPr>
        <w:t> </w:t>
      </w:r>
      <w:r>
        <w:rPr/>
        <w:t>el</w:t>
      </w:r>
      <w:r>
        <w:rPr>
          <w:spacing w:val="13"/>
        </w:rPr>
        <w:t> </w:t>
      </w:r>
      <w:r>
        <w:rPr/>
        <w:t>solicitante</w:t>
      </w:r>
      <w:r>
        <w:rPr>
          <w:spacing w:val="13"/>
        </w:rPr>
        <w:t> </w:t>
      </w:r>
      <w:r>
        <w:rPr/>
        <w:t>se</w:t>
      </w:r>
      <w:r>
        <w:rPr>
          <w:spacing w:val="13"/>
        </w:rPr>
        <w:t> </w:t>
      </w:r>
      <w:r>
        <w:rPr/>
        <w:t>haga</w:t>
      </w:r>
      <w:r>
        <w:rPr>
          <w:spacing w:val="13"/>
        </w:rPr>
        <w:t> </w:t>
      </w:r>
      <w:r>
        <w:rPr/>
        <w:t>cargo</w:t>
      </w:r>
      <w:r>
        <w:rPr>
          <w:spacing w:val="13"/>
        </w:rPr>
        <w:t> </w:t>
      </w:r>
      <w:r>
        <w:rPr/>
        <w:t>de</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37"/>
        <w:jc w:val="both"/>
      </w:pPr>
      <w:r>
        <w:rPr/>
        <w:t>entregarlo directamente</w:t>
      </w:r>
      <w:r>
        <w:rPr>
          <w:spacing w:val="-1"/>
        </w:rPr>
        <w:t> </w:t>
      </w:r>
      <w:r>
        <w:rPr/>
        <w:t>a la</w:t>
      </w:r>
      <w:r>
        <w:rPr>
          <w:spacing w:val="-1"/>
        </w:rPr>
        <w:t> </w:t>
      </w:r>
      <w:r>
        <w:rPr/>
        <w:t>persona</w:t>
      </w:r>
      <w:r>
        <w:rPr>
          <w:spacing w:val="-1"/>
        </w:rPr>
        <w:t> </w:t>
      </w:r>
      <w:r>
        <w:rPr/>
        <w:t>o personas citadas.</w:t>
      </w:r>
      <w:r>
        <w:rPr>
          <w:spacing w:val="-1"/>
        </w:rPr>
        <w:t> </w:t>
      </w:r>
      <w:r>
        <w:rPr/>
        <w:t>En este</w:t>
      </w:r>
      <w:r>
        <w:rPr>
          <w:spacing w:val="-1"/>
        </w:rPr>
        <w:t> </w:t>
      </w:r>
      <w:r>
        <w:rPr/>
        <w:t>caso,</w:t>
      </w:r>
      <w:r>
        <w:rPr>
          <w:spacing w:val="-1"/>
        </w:rPr>
        <w:t> </w:t>
      </w:r>
      <w:r>
        <w:rPr/>
        <w:t>de</w:t>
      </w:r>
      <w:r>
        <w:rPr>
          <w:spacing w:val="-1"/>
        </w:rPr>
        <w:t> </w:t>
      </w:r>
      <w:r>
        <w:rPr/>
        <w:t>presentarse</w:t>
      </w:r>
      <w:r>
        <w:rPr>
          <w:spacing w:val="-1"/>
        </w:rPr>
        <w:t> </w:t>
      </w:r>
      <w:r>
        <w:rPr/>
        <w:t>ambas partes a</w:t>
      </w:r>
      <w:r>
        <w:rPr>
          <w:spacing w:val="-1"/>
        </w:rPr>
        <w:t> </w:t>
      </w:r>
      <w:r>
        <w:rPr/>
        <w:t>la audiencia de conciliación, se procederá a su celebración. Si el solicitante no se presenta a la audiencia, se archivará el asunto por falta de interés, sin emisión de la constancia de haber agotado la conciliación, salvo que justifique su inasistencia, a juicio del conciliador. Si se presenta solamente el solicitante de la conciliación, se señalará nueva fecha y hora para la audiencia de conciliación dentro de los siguientes quince días, ajustándose a las reglas del procedimiento previstas en las fracciones IV y de la VI a la XIV del presente artículo; en dicha audiencia de conciliación, el Centro de Conciliación procederá a geolocalizar el domicilio de la parte citada con auxilio del solicitante; en caso de no poderlo geolocalizar, el Centro de Conciliación fijará una cita para que, acompañado del interesado, se proceda a realizar la citación correspondiente.</w:t>
      </w:r>
    </w:p>
    <w:p>
      <w:pPr>
        <w:pStyle w:val="BodyText"/>
        <w:spacing w:before="2"/>
      </w:pPr>
    </w:p>
    <w:p>
      <w:pPr>
        <w:pStyle w:val="BodyText"/>
        <w:spacing w:before="1"/>
        <w:ind w:left="338" w:right="336" w:firstLine="288"/>
        <w:jc w:val="both"/>
      </w:pPr>
      <w:r>
        <w:rPr/>
        <w:t>La Autoridad Conciliadora es responsable de que el convenio que se celebre cumpla con los</w:t>
      </w:r>
      <w:r>
        <w:rPr>
          <w:spacing w:val="80"/>
        </w:rPr>
        <w:t> </w:t>
      </w:r>
      <w:r>
        <w:rPr/>
        <w:t>requisitos y prestaciones que esta Ley establece, aplicables al caso concreto. Si las partes dan cumplimiento voluntario al convenio celebrado, certificará dicha circunstancia, dando fe de que el trabajador recibe completo y personalmente el pago pactado en el convenio.</w:t>
      </w:r>
    </w:p>
    <w:p>
      <w:pPr>
        <w:pStyle w:val="BodyText"/>
      </w:pPr>
    </w:p>
    <w:p>
      <w:pPr>
        <w:pStyle w:val="BodyText"/>
        <w:ind w:left="338" w:right="341" w:firstLine="288"/>
        <w:jc w:val="both"/>
      </w:pPr>
      <w:r>
        <w:rPr/>
        <w:t>En caso de que las partes establezcan pagos diferidos, en una o más parcialidades a cubrir en fecha diversa a la celebración del convenio, deberá fijarse una pena convencional para el caso de incumplimiento, ésta consistirá en una cantidad no menor al salario diario del trabajador por cada día que transcurra sin que se dé cumplimiento cabal al convenio.</w:t>
      </w:r>
    </w:p>
    <w:p>
      <w:pPr>
        <w:pStyle w:val="BodyText"/>
        <w:spacing w:after="0"/>
        <w:jc w:val="both"/>
        <w:sectPr>
          <w:pgSz w:w="12240" w:h="15840"/>
          <w:pgMar w:header="724" w:footer="712" w:top="1880" w:bottom="900" w:left="1080" w:right="1080"/>
        </w:sectPr>
      </w:pPr>
    </w:p>
    <w:p>
      <w:pPr>
        <w:pStyle w:val="BodyText"/>
        <w:spacing w:before="157"/>
        <w:rPr>
          <w:sz w:val="22"/>
        </w:rPr>
      </w:pPr>
    </w:p>
    <w:p>
      <w:pPr>
        <w:pStyle w:val="Heading1"/>
        <w:spacing w:line="252" w:lineRule="exact"/>
        <w:ind w:left="3949" w:right="0"/>
      </w:pPr>
      <w:r>
        <w:rPr/>
        <w:t>CAPITULO</w:t>
      </w:r>
      <w:r>
        <w:rPr>
          <w:spacing w:val="-9"/>
        </w:rPr>
        <w:t> </w:t>
      </w:r>
      <w:r>
        <w:rPr>
          <w:spacing w:val="-7"/>
        </w:rPr>
        <w:t>II</w:t>
      </w:r>
    </w:p>
    <w:p>
      <w:pPr>
        <w:pStyle w:val="Heading2"/>
        <w:spacing w:line="252" w:lineRule="exact"/>
        <w:ind w:left="3951" w:right="0"/>
      </w:pPr>
      <w:r>
        <w:rPr/>
        <w:t>De</w:t>
      </w:r>
      <w:r>
        <w:rPr>
          <w:spacing w:val="-4"/>
        </w:rPr>
        <w:t> </w:t>
      </w:r>
      <w:r>
        <w:rPr/>
        <w:t>los</w:t>
      </w:r>
      <w:r>
        <w:rPr>
          <w:spacing w:val="-1"/>
        </w:rPr>
        <w:t> </w:t>
      </w:r>
      <w:r>
        <w:rPr>
          <w:spacing w:val="-2"/>
        </w:rPr>
        <w:t>Conciliadores</w:t>
      </w:r>
    </w:p>
    <w:p>
      <w:pPr>
        <w:spacing w:line="181" w:lineRule="exact" w:before="0"/>
        <w:ind w:left="1131"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0"/>
        <w:ind w:left="1098"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i/>
          <w:sz w:val="16"/>
        </w:rPr>
        <w:sectPr>
          <w:type w:val="continuous"/>
          <w:pgSz w:w="12240" w:h="15840"/>
          <w:pgMar w:header="724" w:footer="712" w:top="1880" w:bottom="900" w:left="1080" w:right="1080"/>
          <w:cols w:num="2" w:equalWidth="0">
            <w:col w:w="6131" w:space="40"/>
            <w:col w:w="3909"/>
          </w:cols>
        </w:sectPr>
      </w:pPr>
    </w:p>
    <w:p>
      <w:pPr>
        <w:pStyle w:val="BodyText"/>
        <w:spacing w:before="1"/>
        <w:rPr>
          <w:rFonts w:ascii="Times New Roman"/>
          <w:i/>
        </w:rPr>
      </w:pPr>
    </w:p>
    <w:p>
      <w:pPr>
        <w:spacing w:before="0"/>
        <w:ind w:left="626" w:right="0" w:firstLine="0"/>
        <w:jc w:val="left"/>
        <w:rPr>
          <w:sz w:val="20"/>
        </w:rPr>
      </w:pPr>
      <w:bookmarkStart w:name="Artículo_684_F" w:id="853"/>
      <w:bookmarkEnd w:id="853"/>
      <w:r>
        <w:rPr/>
      </w:r>
      <w:r>
        <w:rPr>
          <w:rFonts w:ascii="Arial" w:hAnsi="Arial"/>
          <w:b/>
          <w:sz w:val="20"/>
        </w:rPr>
        <w:t>Artículo</w:t>
      </w:r>
      <w:r>
        <w:rPr>
          <w:rFonts w:ascii="Arial" w:hAnsi="Arial"/>
          <w:b/>
          <w:spacing w:val="-8"/>
          <w:sz w:val="20"/>
        </w:rPr>
        <w:t> </w:t>
      </w:r>
      <w:r>
        <w:rPr>
          <w:rFonts w:ascii="Arial" w:hAnsi="Arial"/>
          <w:b/>
          <w:sz w:val="20"/>
        </w:rPr>
        <w:t>684-F.-</w:t>
      </w:r>
      <w:r>
        <w:rPr>
          <w:rFonts w:ascii="Arial" w:hAnsi="Arial"/>
          <w:b/>
          <w:spacing w:val="-8"/>
          <w:sz w:val="20"/>
        </w:rPr>
        <w:t> </w:t>
      </w:r>
      <w:r>
        <w:rPr>
          <w:sz w:val="20"/>
        </w:rPr>
        <w:t>El</w:t>
      </w:r>
      <w:r>
        <w:rPr>
          <w:spacing w:val="-10"/>
          <w:sz w:val="20"/>
        </w:rPr>
        <w:t> </w:t>
      </w:r>
      <w:r>
        <w:rPr>
          <w:sz w:val="20"/>
        </w:rPr>
        <w:t>conciliador</w:t>
      </w:r>
      <w:r>
        <w:rPr>
          <w:spacing w:val="-8"/>
          <w:sz w:val="20"/>
        </w:rPr>
        <w:t> </w:t>
      </w:r>
      <w:r>
        <w:rPr>
          <w:sz w:val="20"/>
        </w:rPr>
        <w:t>tendrá</w:t>
      </w:r>
      <w:r>
        <w:rPr>
          <w:spacing w:val="-7"/>
          <w:sz w:val="20"/>
        </w:rPr>
        <w:t> </w:t>
      </w:r>
      <w:r>
        <w:rPr>
          <w:sz w:val="20"/>
        </w:rPr>
        <w:t>las</w:t>
      </w:r>
      <w:r>
        <w:rPr>
          <w:spacing w:val="-8"/>
          <w:sz w:val="20"/>
        </w:rPr>
        <w:t> </w:t>
      </w:r>
      <w:r>
        <w:rPr>
          <w:sz w:val="20"/>
        </w:rPr>
        <w:t>siguientes</w:t>
      </w:r>
      <w:r>
        <w:rPr>
          <w:spacing w:val="-6"/>
          <w:sz w:val="20"/>
        </w:rPr>
        <w:t> </w:t>
      </w:r>
      <w:r>
        <w:rPr>
          <w:sz w:val="20"/>
        </w:rPr>
        <w:t>atribuciones</w:t>
      </w:r>
      <w:r>
        <w:rPr>
          <w:spacing w:val="-5"/>
          <w:sz w:val="20"/>
        </w:rPr>
        <w:t> </w:t>
      </w:r>
      <w:r>
        <w:rPr>
          <w:sz w:val="20"/>
        </w:rPr>
        <w:t>y</w:t>
      </w:r>
      <w:r>
        <w:rPr>
          <w:spacing w:val="-11"/>
          <w:sz w:val="20"/>
        </w:rPr>
        <w:t> </w:t>
      </w:r>
      <w:r>
        <w:rPr>
          <w:spacing w:val="-2"/>
          <w:sz w:val="20"/>
        </w:rPr>
        <w:t>obligaciones:</w:t>
      </w:r>
    </w:p>
    <w:p>
      <w:pPr>
        <w:pStyle w:val="ListParagraph"/>
        <w:numPr>
          <w:ilvl w:val="0"/>
          <w:numId w:val="274"/>
        </w:numPr>
        <w:tabs>
          <w:tab w:pos="1195" w:val="left" w:leader="none"/>
        </w:tabs>
        <w:spacing w:line="240" w:lineRule="auto" w:before="229" w:after="0"/>
        <w:ind w:left="1195" w:right="0" w:hanging="569"/>
        <w:jc w:val="left"/>
        <w:rPr>
          <w:sz w:val="20"/>
        </w:rPr>
      </w:pPr>
      <w:r>
        <w:rPr>
          <w:sz w:val="20"/>
        </w:rPr>
        <w:t>Emitir</w:t>
      </w:r>
      <w:r>
        <w:rPr>
          <w:spacing w:val="-6"/>
          <w:sz w:val="20"/>
        </w:rPr>
        <w:t> </w:t>
      </w:r>
      <w:r>
        <w:rPr>
          <w:sz w:val="20"/>
        </w:rPr>
        <w:t>el</w:t>
      </w:r>
      <w:r>
        <w:rPr>
          <w:spacing w:val="-7"/>
          <w:sz w:val="20"/>
        </w:rPr>
        <w:t> </w:t>
      </w:r>
      <w:r>
        <w:rPr>
          <w:sz w:val="20"/>
        </w:rPr>
        <w:t>citatorio</w:t>
      </w:r>
      <w:r>
        <w:rPr>
          <w:spacing w:val="-7"/>
          <w:sz w:val="20"/>
        </w:rPr>
        <w:t> </w:t>
      </w:r>
      <w:r>
        <w:rPr>
          <w:sz w:val="20"/>
        </w:rPr>
        <w:t>a</w:t>
      </w:r>
      <w:r>
        <w:rPr>
          <w:spacing w:val="-5"/>
          <w:sz w:val="20"/>
        </w:rPr>
        <w:t> </w:t>
      </w:r>
      <w:r>
        <w:rPr>
          <w:sz w:val="20"/>
        </w:rPr>
        <w:t>la</w:t>
      </w:r>
      <w:r>
        <w:rPr>
          <w:spacing w:val="-4"/>
          <w:sz w:val="20"/>
        </w:rPr>
        <w:t> </w:t>
      </w:r>
      <w:r>
        <w:rPr>
          <w:sz w:val="20"/>
        </w:rPr>
        <w:t>audiencia</w:t>
      </w:r>
      <w:r>
        <w:rPr>
          <w:spacing w:val="-7"/>
          <w:sz w:val="20"/>
        </w:rPr>
        <w:t> </w:t>
      </w:r>
      <w:r>
        <w:rPr>
          <w:sz w:val="20"/>
        </w:rPr>
        <w:t>de</w:t>
      </w:r>
      <w:r>
        <w:rPr>
          <w:spacing w:val="-6"/>
          <w:sz w:val="20"/>
        </w:rPr>
        <w:t> </w:t>
      </w:r>
      <w:r>
        <w:rPr>
          <w:sz w:val="20"/>
        </w:rPr>
        <w:t>conciliación,</w:t>
      </w:r>
      <w:r>
        <w:rPr>
          <w:spacing w:val="-7"/>
          <w:sz w:val="20"/>
        </w:rPr>
        <w:t> </w:t>
      </w:r>
      <w:r>
        <w:rPr>
          <w:sz w:val="20"/>
        </w:rPr>
        <w:t>de</w:t>
      </w:r>
      <w:r>
        <w:rPr>
          <w:spacing w:val="-6"/>
          <w:sz w:val="20"/>
        </w:rPr>
        <w:t> </w:t>
      </w:r>
      <w:r>
        <w:rPr>
          <w:sz w:val="20"/>
        </w:rPr>
        <w:t>conformidad</w:t>
      </w:r>
      <w:r>
        <w:rPr>
          <w:spacing w:val="-7"/>
          <w:sz w:val="20"/>
        </w:rPr>
        <w:t> </w:t>
      </w:r>
      <w:r>
        <w:rPr>
          <w:sz w:val="20"/>
        </w:rPr>
        <w:t>con</w:t>
      </w:r>
      <w:r>
        <w:rPr>
          <w:spacing w:val="-7"/>
          <w:sz w:val="20"/>
        </w:rPr>
        <w:t> </w:t>
      </w:r>
      <w:r>
        <w:rPr>
          <w:sz w:val="20"/>
        </w:rPr>
        <w:t>lo</w:t>
      </w:r>
      <w:r>
        <w:rPr>
          <w:spacing w:val="-7"/>
          <w:sz w:val="20"/>
        </w:rPr>
        <w:t> </w:t>
      </w:r>
      <w:r>
        <w:rPr>
          <w:sz w:val="20"/>
        </w:rPr>
        <w:t>dispuesto</w:t>
      </w:r>
      <w:r>
        <w:rPr>
          <w:spacing w:val="-7"/>
          <w:sz w:val="20"/>
        </w:rPr>
        <w:t> </w:t>
      </w:r>
      <w:r>
        <w:rPr>
          <w:sz w:val="20"/>
        </w:rPr>
        <w:t>en</w:t>
      </w:r>
      <w:r>
        <w:rPr>
          <w:spacing w:val="-6"/>
          <w:sz w:val="20"/>
        </w:rPr>
        <w:t> </w:t>
      </w:r>
      <w:r>
        <w:rPr>
          <w:sz w:val="20"/>
        </w:rPr>
        <w:t>esta</w:t>
      </w:r>
      <w:r>
        <w:rPr>
          <w:spacing w:val="-5"/>
          <w:sz w:val="20"/>
        </w:rPr>
        <w:t> </w:t>
      </w:r>
      <w:r>
        <w:rPr>
          <w:spacing w:val="-4"/>
          <w:sz w:val="20"/>
        </w:rPr>
        <w:t>Ley;</w:t>
      </w:r>
    </w:p>
    <w:p>
      <w:pPr>
        <w:pStyle w:val="BodyText"/>
        <w:spacing w:before="1"/>
      </w:pPr>
    </w:p>
    <w:p>
      <w:pPr>
        <w:pStyle w:val="ListParagraph"/>
        <w:numPr>
          <w:ilvl w:val="0"/>
          <w:numId w:val="274"/>
        </w:numPr>
        <w:tabs>
          <w:tab w:pos="1192" w:val="left" w:leader="none"/>
          <w:tab w:pos="1195" w:val="left" w:leader="none"/>
        </w:tabs>
        <w:spacing w:line="242" w:lineRule="auto" w:before="0" w:after="0"/>
        <w:ind w:left="1195" w:right="341" w:hanging="569"/>
        <w:jc w:val="both"/>
        <w:rPr>
          <w:sz w:val="20"/>
        </w:rPr>
      </w:pPr>
      <w:r>
        <w:rPr>
          <w:sz w:val="20"/>
        </w:rPr>
        <w:t>Aprobar o desestimar, según sea el caso, las causas de justificación para la inasistencia a la audiencia de conciliación, con base en los elementos que se le aporten;</w:t>
      </w:r>
    </w:p>
    <w:p>
      <w:pPr>
        <w:pStyle w:val="ListParagraph"/>
        <w:numPr>
          <w:ilvl w:val="0"/>
          <w:numId w:val="274"/>
        </w:numPr>
        <w:tabs>
          <w:tab w:pos="1195" w:val="left" w:leader="none"/>
        </w:tabs>
        <w:spacing w:line="240" w:lineRule="auto" w:before="227" w:after="0"/>
        <w:ind w:left="1195" w:right="0" w:hanging="569"/>
        <w:jc w:val="left"/>
        <w:rPr>
          <w:sz w:val="20"/>
        </w:rPr>
      </w:pPr>
      <w:r>
        <w:rPr>
          <w:sz w:val="20"/>
        </w:rPr>
        <w:t>Comunicar</w:t>
      </w:r>
      <w:r>
        <w:rPr>
          <w:spacing w:val="-6"/>
          <w:sz w:val="20"/>
        </w:rPr>
        <w:t> </w:t>
      </w:r>
      <w:r>
        <w:rPr>
          <w:sz w:val="20"/>
        </w:rPr>
        <w:t>a</w:t>
      </w:r>
      <w:r>
        <w:rPr>
          <w:spacing w:val="-5"/>
          <w:sz w:val="20"/>
        </w:rPr>
        <w:t> </w:t>
      </w:r>
      <w:r>
        <w:rPr>
          <w:sz w:val="20"/>
        </w:rPr>
        <w:t>las</w:t>
      </w:r>
      <w:r>
        <w:rPr>
          <w:spacing w:val="-3"/>
          <w:sz w:val="20"/>
        </w:rPr>
        <w:t> </w:t>
      </w:r>
      <w:r>
        <w:rPr>
          <w:sz w:val="20"/>
        </w:rPr>
        <w:t>partes</w:t>
      </w:r>
      <w:r>
        <w:rPr>
          <w:spacing w:val="-5"/>
          <w:sz w:val="20"/>
        </w:rPr>
        <w:t> </w:t>
      </w:r>
      <w:r>
        <w:rPr>
          <w:sz w:val="20"/>
        </w:rPr>
        <w:t>el</w:t>
      </w:r>
      <w:r>
        <w:rPr>
          <w:spacing w:val="-6"/>
          <w:sz w:val="20"/>
        </w:rPr>
        <w:t> </w:t>
      </w:r>
      <w:r>
        <w:rPr>
          <w:sz w:val="20"/>
        </w:rPr>
        <w:t>objeto,</w:t>
      </w:r>
      <w:r>
        <w:rPr>
          <w:spacing w:val="-6"/>
          <w:sz w:val="20"/>
        </w:rPr>
        <w:t> </w:t>
      </w:r>
      <w:r>
        <w:rPr>
          <w:sz w:val="20"/>
        </w:rPr>
        <w:t>alcance</w:t>
      </w:r>
      <w:r>
        <w:rPr>
          <w:spacing w:val="-1"/>
          <w:sz w:val="20"/>
        </w:rPr>
        <w:t> </w:t>
      </w:r>
      <w:r>
        <w:rPr>
          <w:sz w:val="20"/>
        </w:rPr>
        <w:t>y</w:t>
      </w:r>
      <w:r>
        <w:rPr>
          <w:spacing w:val="-7"/>
          <w:sz w:val="20"/>
        </w:rPr>
        <w:t> </w:t>
      </w:r>
      <w:r>
        <w:rPr>
          <w:sz w:val="20"/>
        </w:rPr>
        <w:t>límites</w:t>
      </w:r>
      <w:r>
        <w:rPr>
          <w:spacing w:val="-4"/>
          <w:sz w:val="20"/>
        </w:rPr>
        <w:t> </w:t>
      </w:r>
      <w:r>
        <w:rPr>
          <w:sz w:val="20"/>
        </w:rPr>
        <w:t>de</w:t>
      </w:r>
      <w:r>
        <w:rPr>
          <w:spacing w:val="-5"/>
          <w:sz w:val="20"/>
        </w:rPr>
        <w:t> </w:t>
      </w:r>
      <w:r>
        <w:rPr>
          <w:sz w:val="20"/>
        </w:rPr>
        <w:t>la</w:t>
      </w:r>
      <w:r>
        <w:rPr>
          <w:spacing w:val="-5"/>
          <w:sz w:val="20"/>
        </w:rPr>
        <w:t> </w:t>
      </w:r>
      <w:r>
        <w:rPr>
          <w:spacing w:val="-2"/>
          <w:sz w:val="20"/>
        </w:rPr>
        <w:t>conciliación;</w:t>
      </w:r>
    </w:p>
    <w:p>
      <w:pPr>
        <w:pStyle w:val="ListParagraph"/>
        <w:numPr>
          <w:ilvl w:val="0"/>
          <w:numId w:val="274"/>
        </w:numPr>
        <w:tabs>
          <w:tab w:pos="1195" w:val="left" w:leader="none"/>
        </w:tabs>
        <w:spacing w:line="240" w:lineRule="auto" w:before="228" w:after="0"/>
        <w:ind w:left="1195" w:right="0" w:hanging="569"/>
        <w:jc w:val="left"/>
        <w:rPr>
          <w:sz w:val="20"/>
        </w:rPr>
      </w:pPr>
      <w:r>
        <w:rPr>
          <w:sz w:val="20"/>
        </w:rPr>
        <w:t>Exhortar</w:t>
      </w:r>
      <w:r>
        <w:rPr>
          <w:spacing w:val="-7"/>
          <w:sz w:val="20"/>
        </w:rPr>
        <w:t> </w:t>
      </w:r>
      <w:r>
        <w:rPr>
          <w:sz w:val="20"/>
        </w:rPr>
        <w:t>a</w:t>
      </w:r>
      <w:r>
        <w:rPr>
          <w:spacing w:val="-4"/>
          <w:sz w:val="20"/>
        </w:rPr>
        <w:t> </w:t>
      </w:r>
      <w:r>
        <w:rPr>
          <w:sz w:val="20"/>
        </w:rPr>
        <w:t>las</w:t>
      </w:r>
      <w:r>
        <w:rPr>
          <w:spacing w:val="-4"/>
          <w:sz w:val="20"/>
        </w:rPr>
        <w:t> </w:t>
      </w:r>
      <w:r>
        <w:rPr>
          <w:sz w:val="20"/>
        </w:rPr>
        <w:t>partes</w:t>
      </w:r>
      <w:r>
        <w:rPr>
          <w:spacing w:val="-5"/>
          <w:sz w:val="20"/>
        </w:rPr>
        <w:t> </w:t>
      </w:r>
      <w:r>
        <w:rPr>
          <w:sz w:val="20"/>
        </w:rPr>
        <w:t>para</w:t>
      </w:r>
      <w:r>
        <w:rPr>
          <w:spacing w:val="-5"/>
          <w:sz w:val="20"/>
        </w:rPr>
        <w:t> </w:t>
      </w:r>
      <w:r>
        <w:rPr>
          <w:sz w:val="20"/>
        </w:rPr>
        <w:t>que</w:t>
      </w:r>
      <w:r>
        <w:rPr>
          <w:spacing w:val="-4"/>
          <w:sz w:val="20"/>
        </w:rPr>
        <w:t> </w:t>
      </w:r>
      <w:r>
        <w:rPr>
          <w:sz w:val="20"/>
        </w:rPr>
        <w:t>presenten</w:t>
      </w:r>
      <w:r>
        <w:rPr>
          <w:spacing w:val="-8"/>
          <w:sz w:val="20"/>
        </w:rPr>
        <w:t> </w:t>
      </w:r>
      <w:r>
        <w:rPr>
          <w:sz w:val="20"/>
        </w:rPr>
        <w:t>fórmulas</w:t>
      </w:r>
      <w:r>
        <w:rPr>
          <w:spacing w:val="-5"/>
          <w:sz w:val="20"/>
        </w:rPr>
        <w:t> </w:t>
      </w:r>
      <w:r>
        <w:rPr>
          <w:sz w:val="20"/>
        </w:rPr>
        <w:t>de</w:t>
      </w:r>
      <w:r>
        <w:rPr>
          <w:spacing w:val="-5"/>
          <w:sz w:val="20"/>
        </w:rPr>
        <w:t> </w:t>
      </w:r>
      <w:r>
        <w:rPr>
          <w:spacing w:val="-2"/>
          <w:sz w:val="20"/>
        </w:rPr>
        <w:t>arreglo;</w:t>
      </w:r>
    </w:p>
    <w:p>
      <w:pPr>
        <w:pStyle w:val="BodyText"/>
        <w:spacing w:before="1"/>
      </w:pPr>
    </w:p>
    <w:p>
      <w:pPr>
        <w:pStyle w:val="ListParagraph"/>
        <w:numPr>
          <w:ilvl w:val="0"/>
          <w:numId w:val="274"/>
        </w:numPr>
        <w:tabs>
          <w:tab w:pos="1195" w:val="left" w:leader="none"/>
        </w:tabs>
        <w:spacing w:line="242" w:lineRule="auto" w:before="0" w:after="0"/>
        <w:ind w:left="1195" w:right="345" w:hanging="569"/>
        <w:jc w:val="both"/>
        <w:rPr>
          <w:sz w:val="20"/>
        </w:rPr>
      </w:pPr>
      <w:r>
        <w:rPr>
          <w:sz w:val="20"/>
        </w:rPr>
        <w:t>Evaluar las solicitudes de los interesados con el fin de determinar la forma más adecuada para formular propuestas de arreglo, sin que ello implique la imposición de acuerdos;</w:t>
      </w:r>
    </w:p>
    <w:p>
      <w:pPr>
        <w:pStyle w:val="ListParagraph"/>
        <w:numPr>
          <w:ilvl w:val="0"/>
          <w:numId w:val="274"/>
        </w:numPr>
        <w:tabs>
          <w:tab w:pos="1195" w:val="left" w:leader="none"/>
        </w:tabs>
        <w:spacing w:line="240" w:lineRule="auto" w:before="224" w:after="0"/>
        <w:ind w:left="1195" w:right="0" w:hanging="569"/>
        <w:jc w:val="left"/>
        <w:rPr>
          <w:sz w:val="20"/>
        </w:rPr>
      </w:pPr>
      <w:r>
        <w:rPr>
          <w:sz w:val="20"/>
        </w:rPr>
        <w:t>Redactar,</w:t>
      </w:r>
      <w:r>
        <w:rPr>
          <w:spacing w:val="-7"/>
          <w:sz w:val="20"/>
        </w:rPr>
        <w:t> </w:t>
      </w:r>
      <w:r>
        <w:rPr>
          <w:sz w:val="20"/>
        </w:rPr>
        <w:t>revisar</w:t>
      </w:r>
      <w:r>
        <w:rPr>
          <w:spacing w:val="-3"/>
          <w:sz w:val="20"/>
        </w:rPr>
        <w:t> </w:t>
      </w:r>
      <w:r>
        <w:rPr>
          <w:sz w:val="20"/>
        </w:rPr>
        <w:t>y</w:t>
      </w:r>
      <w:r>
        <w:rPr>
          <w:spacing w:val="-9"/>
          <w:sz w:val="20"/>
        </w:rPr>
        <w:t> </w:t>
      </w:r>
      <w:r>
        <w:rPr>
          <w:sz w:val="20"/>
        </w:rPr>
        <w:t>sancionar</w:t>
      </w:r>
      <w:r>
        <w:rPr>
          <w:spacing w:val="-6"/>
          <w:sz w:val="20"/>
        </w:rPr>
        <w:t> </w:t>
      </w:r>
      <w:r>
        <w:rPr>
          <w:sz w:val="20"/>
        </w:rPr>
        <w:t>los</w:t>
      </w:r>
      <w:r>
        <w:rPr>
          <w:spacing w:val="-5"/>
          <w:sz w:val="20"/>
        </w:rPr>
        <w:t> </w:t>
      </w:r>
      <w:r>
        <w:rPr>
          <w:sz w:val="20"/>
        </w:rPr>
        <w:t>acuerdos</w:t>
      </w:r>
      <w:r>
        <w:rPr>
          <w:spacing w:val="-6"/>
          <w:sz w:val="20"/>
        </w:rPr>
        <w:t> </w:t>
      </w:r>
      <w:r>
        <w:rPr>
          <w:sz w:val="20"/>
        </w:rPr>
        <w:t>o</w:t>
      </w:r>
      <w:r>
        <w:rPr>
          <w:spacing w:val="-7"/>
          <w:sz w:val="20"/>
        </w:rPr>
        <w:t> </w:t>
      </w:r>
      <w:r>
        <w:rPr>
          <w:sz w:val="20"/>
        </w:rPr>
        <w:t>convenios</w:t>
      </w:r>
      <w:r>
        <w:rPr>
          <w:spacing w:val="-5"/>
          <w:sz w:val="20"/>
        </w:rPr>
        <w:t> </w:t>
      </w:r>
      <w:r>
        <w:rPr>
          <w:sz w:val="20"/>
        </w:rPr>
        <w:t>a</w:t>
      </w:r>
      <w:r>
        <w:rPr>
          <w:spacing w:val="-7"/>
          <w:sz w:val="20"/>
        </w:rPr>
        <w:t> </w:t>
      </w:r>
      <w:r>
        <w:rPr>
          <w:sz w:val="20"/>
        </w:rPr>
        <w:t>que</w:t>
      </w:r>
      <w:r>
        <w:rPr>
          <w:spacing w:val="-4"/>
          <w:sz w:val="20"/>
        </w:rPr>
        <w:t> </w:t>
      </w:r>
      <w:r>
        <w:rPr>
          <w:sz w:val="20"/>
        </w:rPr>
        <w:t>lleguen</w:t>
      </w:r>
      <w:r>
        <w:rPr>
          <w:spacing w:val="-5"/>
          <w:sz w:val="20"/>
        </w:rPr>
        <w:t> </w:t>
      </w:r>
      <w:r>
        <w:rPr>
          <w:sz w:val="20"/>
        </w:rPr>
        <w:t>las</w:t>
      </w:r>
      <w:r>
        <w:rPr>
          <w:spacing w:val="-3"/>
          <w:sz w:val="20"/>
        </w:rPr>
        <w:t> </w:t>
      </w:r>
      <w:r>
        <w:rPr>
          <w:spacing w:val="-2"/>
          <w:sz w:val="20"/>
        </w:rPr>
        <w:t>partes;</w:t>
      </w:r>
    </w:p>
    <w:p>
      <w:pPr>
        <w:pStyle w:val="BodyText"/>
        <w:spacing w:before="1"/>
      </w:pPr>
    </w:p>
    <w:p>
      <w:pPr>
        <w:pStyle w:val="ListParagraph"/>
        <w:numPr>
          <w:ilvl w:val="0"/>
          <w:numId w:val="274"/>
        </w:numPr>
        <w:tabs>
          <w:tab w:pos="1193" w:val="left" w:leader="none"/>
          <w:tab w:pos="1195" w:val="left" w:leader="none"/>
        </w:tabs>
        <w:spacing w:line="242" w:lineRule="auto" w:before="0" w:after="0"/>
        <w:ind w:left="1195" w:right="348" w:hanging="569"/>
        <w:jc w:val="both"/>
        <w:rPr>
          <w:sz w:val="20"/>
        </w:rPr>
      </w:pPr>
      <w:r>
        <w:rPr>
          <w:sz w:val="20"/>
        </w:rPr>
        <w:t>Elaborar el acta en la que se certificará la celebración de audiencias de conciliación y dar fe, en su caso, de la entrega al trabajador de las cantidades o prestaciones convenidas;</w:t>
      </w:r>
    </w:p>
    <w:p>
      <w:pPr>
        <w:pStyle w:val="ListParagraph"/>
        <w:numPr>
          <w:ilvl w:val="0"/>
          <w:numId w:val="274"/>
        </w:numPr>
        <w:tabs>
          <w:tab w:pos="1193" w:val="left" w:leader="none"/>
          <w:tab w:pos="1195" w:val="left" w:leader="none"/>
        </w:tabs>
        <w:spacing w:line="242" w:lineRule="auto" w:before="225" w:after="0"/>
        <w:ind w:left="1195" w:right="342" w:hanging="569"/>
        <w:jc w:val="both"/>
        <w:rPr>
          <w:sz w:val="20"/>
        </w:rPr>
      </w:pPr>
      <w:r>
        <w:rPr>
          <w:sz w:val="20"/>
        </w:rPr>
        <w:t>Expedir las actas de las audiencias de conciliación a su cargo, autorizar los convenios a que lleguen las partes, y las constancias de no conciliación en aquellos casos que ésta no fuere posible. Expedir las copias certificadas de los convenios y las actas de su cumplimiento;</w:t>
      </w:r>
    </w:p>
    <w:p>
      <w:pPr>
        <w:pStyle w:val="ListParagraph"/>
        <w:numPr>
          <w:ilvl w:val="0"/>
          <w:numId w:val="274"/>
        </w:numPr>
        <w:tabs>
          <w:tab w:pos="1195" w:val="left" w:leader="none"/>
        </w:tabs>
        <w:spacing w:line="240" w:lineRule="auto" w:before="225" w:after="0"/>
        <w:ind w:left="1195" w:right="345" w:hanging="569"/>
        <w:jc w:val="both"/>
        <w:rPr>
          <w:sz w:val="20"/>
        </w:rPr>
      </w:pPr>
      <w:r>
        <w:rPr>
          <w:sz w:val="20"/>
        </w:rPr>
        <w:t>Cuidar y verificar que en los acuerdos a que lleguen las partes no se vulneren los derechos de los trabajadores. Lo anterior sin perjuicio de que busque la potencialización con perspectiva de derechos sociales;</w:t>
      </w:r>
    </w:p>
    <w:p>
      <w:pPr>
        <w:pStyle w:val="ListParagraph"/>
        <w:spacing w:after="0" w:line="240" w:lineRule="auto"/>
        <w:jc w:val="both"/>
        <w:rPr>
          <w:sz w:val="20"/>
        </w:rPr>
        <w:sectPr>
          <w:type w:val="continuous"/>
          <w:pgSz w:w="12240" w:h="15840"/>
          <w:pgMar w:header="724" w:footer="712" w:top="1880" w:bottom="900" w:left="1080" w:right="1080"/>
        </w:sectPr>
      </w:pPr>
    </w:p>
    <w:p>
      <w:pPr>
        <w:pStyle w:val="BodyText"/>
        <w:spacing w:before="63"/>
      </w:pPr>
    </w:p>
    <w:p>
      <w:pPr>
        <w:pStyle w:val="ListParagraph"/>
        <w:numPr>
          <w:ilvl w:val="0"/>
          <w:numId w:val="274"/>
        </w:numPr>
        <w:tabs>
          <w:tab w:pos="1195" w:val="left" w:leader="none"/>
        </w:tabs>
        <w:spacing w:line="242" w:lineRule="auto" w:before="0" w:after="0"/>
        <w:ind w:left="1195" w:right="343" w:hanging="569"/>
        <w:jc w:val="both"/>
        <w:rPr>
          <w:sz w:val="20"/>
        </w:rPr>
      </w:pPr>
      <w:r>
        <w:rPr>
          <w:sz w:val="20"/>
        </w:rPr>
        <w:t>Vigilar que los procesos de conciliación en que intervenga, no se afecten derechos de terceros</w:t>
      </w:r>
      <w:r>
        <w:rPr>
          <w:spacing w:val="40"/>
          <w:sz w:val="20"/>
        </w:rPr>
        <w:t> </w:t>
      </w:r>
      <w:r>
        <w:rPr>
          <w:sz w:val="20"/>
        </w:rPr>
        <w:t>y disposiciones de orden público, y</w:t>
      </w:r>
    </w:p>
    <w:p>
      <w:pPr>
        <w:pStyle w:val="ListParagraph"/>
        <w:numPr>
          <w:ilvl w:val="0"/>
          <w:numId w:val="274"/>
        </w:numPr>
        <w:tabs>
          <w:tab w:pos="1195" w:val="left" w:leader="none"/>
        </w:tabs>
        <w:spacing w:line="240" w:lineRule="auto" w:before="227" w:after="0"/>
        <w:ind w:left="1195" w:right="0" w:hanging="569"/>
        <w:jc w:val="left"/>
        <w:rPr>
          <w:sz w:val="20"/>
        </w:rPr>
      </w:pPr>
      <w:r>
        <w:rPr>
          <w:sz w:val="20"/>
        </w:rPr>
        <w:t>Las</w:t>
      </w:r>
      <w:r>
        <w:rPr>
          <w:spacing w:val="-7"/>
          <w:sz w:val="20"/>
        </w:rPr>
        <w:t> </w:t>
      </w:r>
      <w:r>
        <w:rPr>
          <w:sz w:val="20"/>
        </w:rPr>
        <w:t>demás</w:t>
      </w:r>
      <w:r>
        <w:rPr>
          <w:spacing w:val="-6"/>
          <w:sz w:val="20"/>
        </w:rPr>
        <w:t> </w:t>
      </w:r>
      <w:r>
        <w:rPr>
          <w:sz w:val="20"/>
        </w:rPr>
        <w:t>que</w:t>
      </w:r>
      <w:r>
        <w:rPr>
          <w:spacing w:val="-7"/>
          <w:sz w:val="20"/>
        </w:rPr>
        <w:t> </w:t>
      </w:r>
      <w:r>
        <w:rPr>
          <w:sz w:val="20"/>
        </w:rPr>
        <w:t>establezca</w:t>
      </w:r>
      <w:r>
        <w:rPr>
          <w:spacing w:val="-4"/>
          <w:sz w:val="20"/>
        </w:rPr>
        <w:t> </w:t>
      </w:r>
      <w:r>
        <w:rPr>
          <w:sz w:val="20"/>
        </w:rPr>
        <w:t>la</w:t>
      </w:r>
      <w:r>
        <w:rPr>
          <w:spacing w:val="-7"/>
          <w:sz w:val="20"/>
        </w:rPr>
        <w:t> </w:t>
      </w:r>
      <w:r>
        <w:rPr>
          <w:sz w:val="20"/>
        </w:rPr>
        <w:t>presente</w:t>
      </w:r>
      <w:r>
        <w:rPr>
          <w:spacing w:val="-6"/>
          <w:sz w:val="20"/>
        </w:rPr>
        <w:t> </w:t>
      </w:r>
      <w:r>
        <w:rPr>
          <w:sz w:val="20"/>
        </w:rPr>
        <w:t>Ley</w:t>
      </w:r>
      <w:r>
        <w:rPr>
          <w:spacing w:val="-6"/>
          <w:sz w:val="20"/>
        </w:rPr>
        <w:t> </w:t>
      </w:r>
      <w:r>
        <w:rPr>
          <w:sz w:val="20"/>
        </w:rPr>
        <w:t>y</w:t>
      </w:r>
      <w:r>
        <w:rPr>
          <w:spacing w:val="-10"/>
          <w:sz w:val="20"/>
        </w:rPr>
        <w:t> </w:t>
      </w:r>
      <w:r>
        <w:rPr>
          <w:sz w:val="20"/>
        </w:rPr>
        <w:t>demás</w:t>
      </w:r>
      <w:r>
        <w:rPr>
          <w:spacing w:val="-6"/>
          <w:sz w:val="20"/>
        </w:rPr>
        <w:t> </w:t>
      </w:r>
      <w:r>
        <w:rPr>
          <w:sz w:val="20"/>
        </w:rPr>
        <w:t>normatividad</w:t>
      </w:r>
      <w:r>
        <w:rPr>
          <w:spacing w:val="-8"/>
          <w:sz w:val="20"/>
        </w:rPr>
        <w:t> </w:t>
      </w:r>
      <w:r>
        <w:rPr>
          <w:spacing w:val="-2"/>
          <w:sz w:val="20"/>
        </w:rPr>
        <w:t>aplicable.</w:t>
      </w:r>
    </w:p>
    <w:p>
      <w:pPr>
        <w:spacing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626"/>
      </w:pPr>
      <w:bookmarkStart w:name="Artículo_684_G" w:id="854"/>
      <w:bookmarkEnd w:id="854"/>
      <w:r>
        <w:rPr/>
      </w:r>
      <w:r>
        <w:rPr>
          <w:rFonts w:ascii="Arial" w:hAnsi="Arial"/>
          <w:b/>
        </w:rPr>
        <w:t>Artículo</w:t>
      </w:r>
      <w:r>
        <w:rPr>
          <w:rFonts w:ascii="Arial" w:hAnsi="Arial"/>
          <w:b/>
          <w:spacing w:val="-7"/>
        </w:rPr>
        <w:t> </w:t>
      </w:r>
      <w:r>
        <w:rPr>
          <w:rFonts w:ascii="Arial" w:hAnsi="Arial"/>
          <w:b/>
        </w:rPr>
        <w:t>684-G.-</w:t>
      </w:r>
      <w:r>
        <w:rPr>
          <w:rFonts w:ascii="Arial" w:hAnsi="Arial"/>
          <w:b/>
          <w:spacing w:val="-7"/>
        </w:rPr>
        <w:t> </w:t>
      </w:r>
      <w:r>
        <w:rPr/>
        <w:t>Para</w:t>
      </w:r>
      <w:r>
        <w:rPr>
          <w:spacing w:val="-7"/>
        </w:rPr>
        <w:t> </w:t>
      </w:r>
      <w:r>
        <w:rPr/>
        <w:t>desempeñar</w:t>
      </w:r>
      <w:r>
        <w:rPr>
          <w:spacing w:val="-6"/>
        </w:rPr>
        <w:t> </w:t>
      </w:r>
      <w:r>
        <w:rPr/>
        <w:t>el</w:t>
      </w:r>
      <w:r>
        <w:rPr>
          <w:spacing w:val="-8"/>
        </w:rPr>
        <w:t> </w:t>
      </w:r>
      <w:r>
        <w:rPr/>
        <w:t>cargo</w:t>
      </w:r>
      <w:r>
        <w:rPr>
          <w:spacing w:val="-8"/>
        </w:rPr>
        <w:t> </w:t>
      </w:r>
      <w:r>
        <w:rPr/>
        <w:t>de</w:t>
      </w:r>
      <w:r>
        <w:rPr>
          <w:spacing w:val="-6"/>
        </w:rPr>
        <w:t> </w:t>
      </w:r>
      <w:r>
        <w:rPr/>
        <w:t>conciliador</w:t>
      </w:r>
      <w:r>
        <w:rPr>
          <w:spacing w:val="-7"/>
        </w:rPr>
        <w:t> </w:t>
      </w:r>
      <w:r>
        <w:rPr/>
        <w:t>se</w:t>
      </w:r>
      <w:r>
        <w:rPr>
          <w:spacing w:val="-8"/>
        </w:rPr>
        <w:t> </w:t>
      </w:r>
      <w:r>
        <w:rPr/>
        <w:t>deben</w:t>
      </w:r>
      <w:r>
        <w:rPr>
          <w:spacing w:val="-8"/>
        </w:rPr>
        <w:t> </w:t>
      </w:r>
      <w:r>
        <w:rPr/>
        <w:t>cubrir</w:t>
      </w:r>
      <w:r>
        <w:rPr>
          <w:spacing w:val="-7"/>
        </w:rPr>
        <w:t> </w:t>
      </w:r>
      <w:r>
        <w:rPr/>
        <w:t>los</w:t>
      </w:r>
      <w:r>
        <w:rPr>
          <w:spacing w:val="-6"/>
        </w:rPr>
        <w:t> </w:t>
      </w:r>
      <w:r>
        <w:rPr/>
        <w:t>siguientes</w:t>
      </w:r>
      <w:r>
        <w:rPr>
          <w:spacing w:val="-7"/>
        </w:rPr>
        <w:t> </w:t>
      </w:r>
      <w:r>
        <w:rPr>
          <w:spacing w:val="-2"/>
        </w:rPr>
        <w:t>requisitos:</w:t>
      </w:r>
    </w:p>
    <w:p>
      <w:pPr>
        <w:pStyle w:val="BodyText"/>
      </w:pPr>
    </w:p>
    <w:p>
      <w:pPr>
        <w:pStyle w:val="ListParagraph"/>
        <w:numPr>
          <w:ilvl w:val="0"/>
          <w:numId w:val="275"/>
        </w:numPr>
        <w:tabs>
          <w:tab w:pos="1195" w:val="left" w:leader="none"/>
        </w:tabs>
        <w:spacing w:line="240" w:lineRule="auto" w:before="1" w:after="0"/>
        <w:ind w:left="1195" w:right="0" w:hanging="569"/>
        <w:jc w:val="left"/>
        <w:rPr>
          <w:sz w:val="20"/>
        </w:rPr>
      </w:pPr>
      <w:r>
        <w:rPr>
          <w:sz w:val="20"/>
        </w:rPr>
        <w:t>Gozar</w:t>
      </w:r>
      <w:r>
        <w:rPr>
          <w:spacing w:val="-7"/>
          <w:sz w:val="20"/>
        </w:rPr>
        <w:t> </w:t>
      </w:r>
      <w:r>
        <w:rPr>
          <w:sz w:val="20"/>
        </w:rPr>
        <w:t>del</w:t>
      </w:r>
      <w:r>
        <w:rPr>
          <w:spacing w:val="-7"/>
          <w:sz w:val="20"/>
        </w:rPr>
        <w:t> </w:t>
      </w:r>
      <w:r>
        <w:rPr>
          <w:sz w:val="20"/>
        </w:rPr>
        <w:t>pleno</w:t>
      </w:r>
      <w:r>
        <w:rPr>
          <w:spacing w:val="-5"/>
          <w:sz w:val="20"/>
        </w:rPr>
        <w:t> </w:t>
      </w:r>
      <w:r>
        <w:rPr>
          <w:sz w:val="20"/>
        </w:rPr>
        <w:t>ejercicio</w:t>
      </w:r>
      <w:r>
        <w:rPr>
          <w:spacing w:val="-5"/>
          <w:sz w:val="20"/>
        </w:rPr>
        <w:t> </w:t>
      </w:r>
      <w:r>
        <w:rPr>
          <w:sz w:val="20"/>
        </w:rPr>
        <w:t>de</w:t>
      </w:r>
      <w:r>
        <w:rPr>
          <w:spacing w:val="-7"/>
          <w:sz w:val="20"/>
        </w:rPr>
        <w:t> </w:t>
      </w:r>
      <w:r>
        <w:rPr>
          <w:sz w:val="20"/>
        </w:rPr>
        <w:t>sus</w:t>
      </w:r>
      <w:r>
        <w:rPr>
          <w:spacing w:val="-6"/>
          <w:sz w:val="20"/>
        </w:rPr>
        <w:t> </w:t>
      </w:r>
      <w:r>
        <w:rPr>
          <w:sz w:val="20"/>
        </w:rPr>
        <w:t>derechos</w:t>
      </w:r>
      <w:r>
        <w:rPr>
          <w:spacing w:val="-6"/>
          <w:sz w:val="20"/>
        </w:rPr>
        <w:t> </w:t>
      </w:r>
      <w:r>
        <w:rPr>
          <w:sz w:val="20"/>
        </w:rPr>
        <w:t>políticos</w:t>
      </w:r>
      <w:r>
        <w:rPr>
          <w:spacing w:val="-3"/>
          <w:sz w:val="20"/>
        </w:rPr>
        <w:t> </w:t>
      </w:r>
      <w:r>
        <w:rPr>
          <w:sz w:val="20"/>
        </w:rPr>
        <w:t>y</w:t>
      </w:r>
      <w:r>
        <w:rPr>
          <w:spacing w:val="-8"/>
          <w:sz w:val="20"/>
        </w:rPr>
        <w:t> </w:t>
      </w:r>
      <w:r>
        <w:rPr>
          <w:spacing w:val="-2"/>
          <w:sz w:val="20"/>
        </w:rPr>
        <w:t>civiles;</w:t>
      </w:r>
    </w:p>
    <w:p>
      <w:pPr>
        <w:pStyle w:val="BodyText"/>
      </w:pPr>
    </w:p>
    <w:p>
      <w:pPr>
        <w:pStyle w:val="ListParagraph"/>
        <w:numPr>
          <w:ilvl w:val="0"/>
          <w:numId w:val="275"/>
        </w:numPr>
        <w:tabs>
          <w:tab w:pos="1192" w:val="left" w:leader="none"/>
          <w:tab w:pos="1195" w:val="left" w:leader="none"/>
        </w:tabs>
        <w:spacing w:line="240" w:lineRule="auto" w:before="0" w:after="0"/>
        <w:ind w:left="1195" w:right="342" w:hanging="569"/>
        <w:jc w:val="both"/>
        <w:rPr>
          <w:sz w:val="20"/>
        </w:rPr>
      </w:pPr>
      <w:r>
        <w:rPr>
          <w:sz w:val="20"/>
        </w:rPr>
        <w:t>Tener preferentemente experiencia de por lo menos tres años en áreas del derecho del trabajo</w:t>
      </w:r>
      <w:r>
        <w:rPr>
          <w:spacing w:val="40"/>
          <w:sz w:val="20"/>
        </w:rPr>
        <w:t> </w:t>
      </w:r>
      <w:r>
        <w:rPr>
          <w:sz w:val="20"/>
        </w:rPr>
        <w:t>o especialización en las actividades que se vinculen con las atribuciones del Centro de Conciliación que corresponda;</w:t>
      </w:r>
    </w:p>
    <w:p>
      <w:pPr>
        <w:pStyle w:val="BodyText"/>
      </w:pPr>
    </w:p>
    <w:p>
      <w:pPr>
        <w:pStyle w:val="ListParagraph"/>
        <w:numPr>
          <w:ilvl w:val="0"/>
          <w:numId w:val="275"/>
        </w:numPr>
        <w:tabs>
          <w:tab w:pos="1195" w:val="left" w:leader="none"/>
        </w:tabs>
        <w:spacing w:line="240" w:lineRule="auto" w:before="0" w:after="0"/>
        <w:ind w:left="1195" w:right="0" w:hanging="569"/>
        <w:jc w:val="left"/>
        <w:rPr>
          <w:sz w:val="20"/>
        </w:rPr>
      </w:pPr>
      <w:r>
        <w:rPr>
          <w:sz w:val="20"/>
        </w:rPr>
        <w:t>Contar</w:t>
      </w:r>
      <w:r>
        <w:rPr>
          <w:spacing w:val="-7"/>
          <w:sz w:val="20"/>
        </w:rPr>
        <w:t> </w:t>
      </w:r>
      <w:r>
        <w:rPr>
          <w:sz w:val="20"/>
        </w:rPr>
        <w:t>con</w:t>
      </w:r>
      <w:r>
        <w:rPr>
          <w:spacing w:val="-6"/>
          <w:sz w:val="20"/>
        </w:rPr>
        <w:t> </w:t>
      </w:r>
      <w:r>
        <w:rPr>
          <w:sz w:val="20"/>
        </w:rPr>
        <w:t>título</w:t>
      </w:r>
      <w:r>
        <w:rPr>
          <w:spacing w:val="-4"/>
          <w:sz w:val="20"/>
        </w:rPr>
        <w:t> </w:t>
      </w:r>
      <w:r>
        <w:rPr>
          <w:sz w:val="20"/>
        </w:rPr>
        <w:t>profesional</w:t>
      </w:r>
      <w:r>
        <w:rPr>
          <w:spacing w:val="-8"/>
          <w:sz w:val="20"/>
        </w:rPr>
        <w:t> </w:t>
      </w:r>
      <w:r>
        <w:rPr>
          <w:sz w:val="20"/>
        </w:rPr>
        <w:t>a</w:t>
      </w:r>
      <w:r>
        <w:rPr>
          <w:spacing w:val="-4"/>
          <w:sz w:val="20"/>
        </w:rPr>
        <w:t> </w:t>
      </w:r>
      <w:r>
        <w:rPr>
          <w:sz w:val="20"/>
        </w:rPr>
        <w:t>nivel</w:t>
      </w:r>
      <w:r>
        <w:rPr>
          <w:spacing w:val="-5"/>
          <w:sz w:val="20"/>
        </w:rPr>
        <w:t> </w:t>
      </w:r>
      <w:r>
        <w:rPr>
          <w:sz w:val="20"/>
        </w:rPr>
        <w:t>licenciatura</w:t>
      </w:r>
      <w:r>
        <w:rPr>
          <w:spacing w:val="-7"/>
          <w:sz w:val="20"/>
        </w:rPr>
        <w:t> </w:t>
      </w:r>
      <w:r>
        <w:rPr>
          <w:sz w:val="20"/>
        </w:rPr>
        <w:t>en</w:t>
      </w:r>
      <w:r>
        <w:rPr>
          <w:spacing w:val="-4"/>
          <w:sz w:val="20"/>
        </w:rPr>
        <w:t> </w:t>
      </w:r>
      <w:r>
        <w:rPr>
          <w:sz w:val="20"/>
        </w:rPr>
        <w:t>una</w:t>
      </w:r>
      <w:r>
        <w:rPr>
          <w:spacing w:val="-6"/>
          <w:sz w:val="20"/>
        </w:rPr>
        <w:t> </w:t>
      </w:r>
      <w:r>
        <w:rPr>
          <w:sz w:val="20"/>
        </w:rPr>
        <w:t>carrera</w:t>
      </w:r>
      <w:r>
        <w:rPr>
          <w:spacing w:val="-7"/>
          <w:sz w:val="20"/>
        </w:rPr>
        <w:t> </w:t>
      </w:r>
      <w:r>
        <w:rPr>
          <w:sz w:val="20"/>
        </w:rPr>
        <w:t>afín</w:t>
      </w:r>
      <w:r>
        <w:rPr>
          <w:spacing w:val="-7"/>
          <w:sz w:val="20"/>
        </w:rPr>
        <w:t> </w:t>
      </w:r>
      <w:r>
        <w:rPr>
          <w:sz w:val="20"/>
        </w:rPr>
        <w:t>a</w:t>
      </w:r>
      <w:r>
        <w:rPr>
          <w:spacing w:val="-4"/>
          <w:sz w:val="20"/>
        </w:rPr>
        <w:t> </w:t>
      </w:r>
      <w:r>
        <w:rPr>
          <w:sz w:val="20"/>
        </w:rPr>
        <w:t>la</w:t>
      </w:r>
      <w:r>
        <w:rPr>
          <w:spacing w:val="-7"/>
          <w:sz w:val="20"/>
        </w:rPr>
        <w:t> </w:t>
      </w:r>
      <w:r>
        <w:rPr>
          <w:sz w:val="20"/>
        </w:rPr>
        <w:t>función</w:t>
      </w:r>
      <w:r>
        <w:rPr>
          <w:spacing w:val="-5"/>
          <w:sz w:val="20"/>
        </w:rPr>
        <w:t> </w:t>
      </w:r>
      <w:r>
        <w:rPr>
          <w:sz w:val="20"/>
        </w:rPr>
        <w:t>del</w:t>
      </w:r>
      <w:r>
        <w:rPr>
          <w:spacing w:val="-7"/>
          <w:sz w:val="20"/>
        </w:rPr>
        <w:t> </w:t>
      </w:r>
      <w:r>
        <w:rPr>
          <w:spacing w:val="-2"/>
          <w:sz w:val="20"/>
        </w:rPr>
        <w:t>Centro;</w:t>
      </w:r>
    </w:p>
    <w:p>
      <w:pPr>
        <w:pStyle w:val="ListParagraph"/>
        <w:numPr>
          <w:ilvl w:val="0"/>
          <w:numId w:val="275"/>
        </w:numPr>
        <w:tabs>
          <w:tab w:pos="1195" w:val="left" w:leader="none"/>
        </w:tabs>
        <w:spacing w:line="242" w:lineRule="auto" w:before="229" w:after="0"/>
        <w:ind w:left="1195" w:right="336" w:hanging="569"/>
        <w:jc w:val="both"/>
        <w:rPr>
          <w:sz w:val="20"/>
        </w:rPr>
      </w:pPr>
      <w:r>
        <w:rPr>
          <w:sz w:val="20"/>
        </w:rPr>
        <w:t>Tener preferentemente certificación en conciliación laboral o mediación y mecanismos alternativos de solución de controversias;</w:t>
      </w:r>
    </w:p>
    <w:p>
      <w:pPr>
        <w:pStyle w:val="ListParagraph"/>
        <w:numPr>
          <w:ilvl w:val="0"/>
          <w:numId w:val="275"/>
        </w:numPr>
        <w:tabs>
          <w:tab w:pos="1195" w:val="left" w:leader="none"/>
        </w:tabs>
        <w:spacing w:line="240" w:lineRule="auto" w:before="226" w:after="0"/>
        <w:ind w:left="1195" w:right="0" w:hanging="569"/>
        <w:jc w:val="left"/>
        <w:rPr>
          <w:sz w:val="20"/>
        </w:rPr>
      </w:pPr>
      <w:r>
        <w:rPr>
          <w:sz w:val="20"/>
        </w:rPr>
        <w:t>Tener</w:t>
      </w:r>
      <w:r>
        <w:rPr>
          <w:spacing w:val="-9"/>
          <w:sz w:val="20"/>
        </w:rPr>
        <w:t> </w:t>
      </w:r>
      <w:r>
        <w:rPr>
          <w:sz w:val="20"/>
        </w:rPr>
        <w:t>conocimiento</w:t>
      </w:r>
      <w:r>
        <w:rPr>
          <w:spacing w:val="-9"/>
          <w:sz w:val="20"/>
        </w:rPr>
        <w:t> </w:t>
      </w:r>
      <w:r>
        <w:rPr>
          <w:sz w:val="20"/>
        </w:rPr>
        <w:t>sobre</w:t>
      </w:r>
      <w:r>
        <w:rPr>
          <w:spacing w:val="-6"/>
          <w:sz w:val="20"/>
        </w:rPr>
        <w:t> </w:t>
      </w:r>
      <w:r>
        <w:rPr>
          <w:sz w:val="20"/>
        </w:rPr>
        <w:t>derechos</w:t>
      </w:r>
      <w:r>
        <w:rPr>
          <w:spacing w:val="-7"/>
          <w:sz w:val="20"/>
        </w:rPr>
        <w:t> </w:t>
      </w:r>
      <w:r>
        <w:rPr>
          <w:sz w:val="20"/>
        </w:rPr>
        <w:t>humanos</w:t>
      </w:r>
      <w:r>
        <w:rPr>
          <w:spacing w:val="-6"/>
          <w:sz w:val="20"/>
        </w:rPr>
        <w:t> </w:t>
      </w:r>
      <w:r>
        <w:rPr>
          <w:sz w:val="20"/>
        </w:rPr>
        <w:t>y</w:t>
      </w:r>
      <w:r>
        <w:rPr>
          <w:spacing w:val="-10"/>
          <w:sz w:val="20"/>
        </w:rPr>
        <w:t> </w:t>
      </w:r>
      <w:r>
        <w:rPr>
          <w:sz w:val="20"/>
        </w:rPr>
        <w:t>perspectiva</w:t>
      </w:r>
      <w:r>
        <w:rPr>
          <w:spacing w:val="-8"/>
          <w:sz w:val="20"/>
        </w:rPr>
        <w:t> </w:t>
      </w:r>
      <w:r>
        <w:rPr>
          <w:sz w:val="20"/>
        </w:rPr>
        <w:t>de</w:t>
      </w:r>
      <w:r>
        <w:rPr>
          <w:spacing w:val="-8"/>
          <w:sz w:val="20"/>
        </w:rPr>
        <w:t> </w:t>
      </w:r>
      <w:r>
        <w:rPr>
          <w:spacing w:val="-2"/>
          <w:sz w:val="20"/>
        </w:rPr>
        <w:t>género;</w:t>
      </w:r>
    </w:p>
    <w:p>
      <w:pPr>
        <w:pStyle w:val="BodyText"/>
        <w:spacing w:before="1"/>
      </w:pPr>
    </w:p>
    <w:p>
      <w:pPr>
        <w:pStyle w:val="ListParagraph"/>
        <w:numPr>
          <w:ilvl w:val="0"/>
          <w:numId w:val="275"/>
        </w:numPr>
        <w:tabs>
          <w:tab w:pos="1195" w:val="left" w:leader="none"/>
        </w:tabs>
        <w:spacing w:line="240" w:lineRule="auto" w:before="0" w:after="0"/>
        <w:ind w:left="1195" w:right="0" w:hanging="569"/>
        <w:jc w:val="left"/>
        <w:rPr>
          <w:sz w:val="20"/>
        </w:rPr>
      </w:pPr>
      <w:r>
        <w:rPr>
          <w:sz w:val="20"/>
        </w:rPr>
        <w:t>Aprobar</w:t>
      </w:r>
      <w:r>
        <w:rPr>
          <w:spacing w:val="-7"/>
          <w:sz w:val="20"/>
        </w:rPr>
        <w:t> </w:t>
      </w:r>
      <w:r>
        <w:rPr>
          <w:sz w:val="20"/>
        </w:rPr>
        <w:t>el</w:t>
      </w:r>
      <w:r>
        <w:rPr>
          <w:spacing w:val="-8"/>
          <w:sz w:val="20"/>
        </w:rPr>
        <w:t> </w:t>
      </w:r>
      <w:r>
        <w:rPr>
          <w:sz w:val="20"/>
        </w:rPr>
        <w:t>procedimiento</w:t>
      </w:r>
      <w:r>
        <w:rPr>
          <w:spacing w:val="-5"/>
          <w:sz w:val="20"/>
        </w:rPr>
        <w:t> </w:t>
      </w:r>
      <w:r>
        <w:rPr>
          <w:sz w:val="20"/>
        </w:rPr>
        <w:t>de</w:t>
      </w:r>
      <w:r>
        <w:rPr>
          <w:spacing w:val="-7"/>
          <w:sz w:val="20"/>
        </w:rPr>
        <w:t> </w:t>
      </w:r>
      <w:r>
        <w:rPr>
          <w:sz w:val="20"/>
        </w:rPr>
        <w:t>selección</w:t>
      </w:r>
      <w:r>
        <w:rPr>
          <w:spacing w:val="-8"/>
          <w:sz w:val="20"/>
        </w:rPr>
        <w:t> </w:t>
      </w:r>
      <w:r>
        <w:rPr>
          <w:sz w:val="20"/>
        </w:rPr>
        <w:t>que</w:t>
      </w:r>
      <w:r>
        <w:rPr>
          <w:spacing w:val="-8"/>
          <w:sz w:val="20"/>
        </w:rPr>
        <w:t> </w:t>
      </w:r>
      <w:r>
        <w:rPr>
          <w:sz w:val="20"/>
        </w:rPr>
        <w:t>se</w:t>
      </w:r>
      <w:r>
        <w:rPr>
          <w:spacing w:val="-5"/>
          <w:sz w:val="20"/>
        </w:rPr>
        <w:t> </w:t>
      </w:r>
      <w:r>
        <w:rPr>
          <w:sz w:val="20"/>
        </w:rPr>
        <w:t>establezca</w:t>
      </w:r>
      <w:r>
        <w:rPr>
          <w:spacing w:val="-7"/>
          <w:sz w:val="20"/>
        </w:rPr>
        <w:t> </w:t>
      </w:r>
      <w:r>
        <w:rPr>
          <w:sz w:val="20"/>
        </w:rPr>
        <w:t>para</w:t>
      </w:r>
      <w:r>
        <w:rPr>
          <w:spacing w:val="-7"/>
          <w:sz w:val="20"/>
        </w:rPr>
        <w:t> </w:t>
      </w:r>
      <w:r>
        <w:rPr>
          <w:sz w:val="20"/>
        </w:rPr>
        <w:t>tal</w:t>
      </w:r>
      <w:r>
        <w:rPr>
          <w:spacing w:val="-8"/>
          <w:sz w:val="20"/>
        </w:rPr>
        <w:t> </w:t>
      </w:r>
      <w:r>
        <w:rPr>
          <w:sz w:val="20"/>
        </w:rPr>
        <w:t>efecto,</w:t>
      </w:r>
      <w:r>
        <w:rPr>
          <w:spacing w:val="-3"/>
          <w:sz w:val="20"/>
        </w:rPr>
        <w:t> </w:t>
      </w:r>
      <w:r>
        <w:rPr>
          <w:spacing w:val="-10"/>
          <w:sz w:val="20"/>
        </w:rPr>
        <w:t>y</w:t>
      </w:r>
    </w:p>
    <w:p>
      <w:pPr>
        <w:pStyle w:val="ListParagraph"/>
        <w:numPr>
          <w:ilvl w:val="0"/>
          <w:numId w:val="275"/>
        </w:numPr>
        <w:tabs>
          <w:tab w:pos="1195" w:val="left" w:leader="none"/>
        </w:tabs>
        <w:spacing w:line="240" w:lineRule="auto" w:before="229" w:after="0"/>
        <w:ind w:left="1195" w:right="0" w:hanging="569"/>
        <w:jc w:val="left"/>
        <w:rPr>
          <w:sz w:val="20"/>
        </w:rPr>
      </w:pPr>
      <w:r>
        <w:rPr>
          <w:sz w:val="20"/>
        </w:rPr>
        <w:t>No</w:t>
      </w:r>
      <w:r>
        <w:rPr>
          <w:spacing w:val="-8"/>
          <w:sz w:val="20"/>
        </w:rPr>
        <w:t> </w:t>
      </w:r>
      <w:r>
        <w:rPr>
          <w:sz w:val="20"/>
        </w:rPr>
        <w:t>estar</w:t>
      </w:r>
      <w:r>
        <w:rPr>
          <w:spacing w:val="-4"/>
          <w:sz w:val="20"/>
        </w:rPr>
        <w:t> </w:t>
      </w:r>
      <w:r>
        <w:rPr>
          <w:sz w:val="20"/>
        </w:rPr>
        <w:t>inhabilitado</w:t>
      </w:r>
      <w:r>
        <w:rPr>
          <w:spacing w:val="-8"/>
          <w:sz w:val="20"/>
        </w:rPr>
        <w:t> </w:t>
      </w:r>
      <w:r>
        <w:rPr>
          <w:sz w:val="20"/>
        </w:rPr>
        <w:t>para</w:t>
      </w:r>
      <w:r>
        <w:rPr>
          <w:spacing w:val="-7"/>
          <w:sz w:val="20"/>
        </w:rPr>
        <w:t> </w:t>
      </w:r>
      <w:r>
        <w:rPr>
          <w:sz w:val="20"/>
        </w:rPr>
        <w:t>desempeñar</w:t>
      </w:r>
      <w:r>
        <w:rPr>
          <w:spacing w:val="-6"/>
          <w:sz w:val="20"/>
        </w:rPr>
        <w:t> </w:t>
      </w:r>
      <w:r>
        <w:rPr>
          <w:sz w:val="20"/>
        </w:rPr>
        <w:t>un</w:t>
      </w:r>
      <w:r>
        <w:rPr>
          <w:spacing w:val="-8"/>
          <w:sz w:val="20"/>
        </w:rPr>
        <w:t> </w:t>
      </w:r>
      <w:r>
        <w:rPr>
          <w:sz w:val="20"/>
        </w:rPr>
        <w:t>empleo,</w:t>
      </w:r>
      <w:r>
        <w:rPr>
          <w:spacing w:val="-6"/>
          <w:sz w:val="20"/>
        </w:rPr>
        <w:t> </w:t>
      </w:r>
      <w:r>
        <w:rPr>
          <w:sz w:val="20"/>
        </w:rPr>
        <w:t>cargo</w:t>
      </w:r>
      <w:r>
        <w:rPr>
          <w:spacing w:val="-7"/>
          <w:sz w:val="20"/>
        </w:rPr>
        <w:t> </w:t>
      </w:r>
      <w:r>
        <w:rPr>
          <w:sz w:val="20"/>
        </w:rPr>
        <w:t>o</w:t>
      </w:r>
      <w:r>
        <w:rPr>
          <w:spacing w:val="-8"/>
          <w:sz w:val="20"/>
        </w:rPr>
        <w:t> </w:t>
      </w:r>
      <w:r>
        <w:rPr>
          <w:sz w:val="20"/>
        </w:rPr>
        <w:t>comisión</w:t>
      </w:r>
      <w:r>
        <w:rPr>
          <w:spacing w:val="-7"/>
          <w:sz w:val="20"/>
        </w:rPr>
        <w:t> </w:t>
      </w:r>
      <w:r>
        <w:rPr>
          <w:sz w:val="20"/>
        </w:rPr>
        <w:t>en</w:t>
      </w:r>
      <w:r>
        <w:rPr>
          <w:spacing w:val="-6"/>
          <w:sz w:val="20"/>
        </w:rPr>
        <w:t> </w:t>
      </w:r>
      <w:r>
        <w:rPr>
          <w:sz w:val="20"/>
        </w:rPr>
        <w:t>el</w:t>
      </w:r>
      <w:r>
        <w:rPr>
          <w:spacing w:val="-8"/>
          <w:sz w:val="20"/>
        </w:rPr>
        <w:t> </w:t>
      </w:r>
      <w:r>
        <w:rPr>
          <w:sz w:val="20"/>
        </w:rPr>
        <w:t>servicio</w:t>
      </w:r>
      <w:r>
        <w:rPr>
          <w:spacing w:val="-8"/>
          <w:sz w:val="20"/>
        </w:rPr>
        <w:t> </w:t>
      </w:r>
      <w:r>
        <w:rPr>
          <w:spacing w:val="-2"/>
          <w:sz w:val="20"/>
        </w:rPr>
        <w:t>público.</w:t>
      </w:r>
    </w:p>
    <w:p>
      <w:pPr>
        <w:spacing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firstLine="288"/>
      </w:pPr>
      <w:bookmarkStart w:name="Artículo_684_H" w:id="855"/>
      <w:bookmarkEnd w:id="855"/>
      <w:r>
        <w:rPr/>
      </w:r>
      <w:r>
        <w:rPr>
          <w:rFonts w:ascii="Arial" w:hAnsi="Arial"/>
          <w:b/>
        </w:rPr>
        <w:t>Artículo</w:t>
      </w:r>
      <w:r>
        <w:rPr>
          <w:rFonts w:ascii="Arial" w:hAnsi="Arial"/>
          <w:b/>
          <w:spacing w:val="40"/>
        </w:rPr>
        <w:t> </w:t>
      </w:r>
      <w:r>
        <w:rPr>
          <w:rFonts w:ascii="Arial" w:hAnsi="Arial"/>
          <w:b/>
        </w:rPr>
        <w:t>684-H.-</w:t>
      </w:r>
      <w:r>
        <w:rPr>
          <w:rFonts w:ascii="Arial" w:hAnsi="Arial"/>
          <w:b/>
          <w:spacing w:val="40"/>
        </w:rPr>
        <w:t> </w:t>
      </w:r>
      <w:r>
        <w:rPr/>
        <w:t>Los</w:t>
      </w:r>
      <w:r>
        <w:rPr>
          <w:spacing w:val="40"/>
        </w:rPr>
        <w:t> </w:t>
      </w:r>
      <w:r>
        <w:rPr/>
        <w:t>conciliadores</w:t>
      </w:r>
      <w:r>
        <w:rPr>
          <w:spacing w:val="40"/>
        </w:rPr>
        <w:t> </w:t>
      </w:r>
      <w:r>
        <w:rPr/>
        <w:t>en</w:t>
      </w:r>
      <w:r>
        <w:rPr>
          <w:spacing w:val="40"/>
        </w:rPr>
        <w:t> </w:t>
      </w:r>
      <w:r>
        <w:rPr/>
        <w:t>el</w:t>
      </w:r>
      <w:r>
        <w:rPr>
          <w:spacing w:val="40"/>
        </w:rPr>
        <w:t> </w:t>
      </w:r>
      <w:r>
        <w:rPr/>
        <w:t>desempeño</w:t>
      </w:r>
      <w:r>
        <w:rPr>
          <w:spacing w:val="40"/>
        </w:rPr>
        <w:t> </w:t>
      </w:r>
      <w:r>
        <w:rPr/>
        <w:t>de</w:t>
      </w:r>
      <w:r>
        <w:rPr>
          <w:spacing w:val="40"/>
        </w:rPr>
        <w:t> </w:t>
      </w:r>
      <w:r>
        <w:rPr/>
        <w:t>sus</w:t>
      </w:r>
      <w:r>
        <w:rPr>
          <w:spacing w:val="40"/>
        </w:rPr>
        <w:t> </w:t>
      </w:r>
      <w:r>
        <w:rPr/>
        <w:t>atribuciones</w:t>
      </w:r>
      <w:r>
        <w:rPr>
          <w:spacing w:val="40"/>
        </w:rPr>
        <w:t> </w:t>
      </w:r>
      <w:r>
        <w:rPr/>
        <w:t>tendrán</w:t>
      </w:r>
      <w:r>
        <w:rPr>
          <w:spacing w:val="40"/>
        </w:rPr>
        <w:t> </w:t>
      </w:r>
      <w:r>
        <w:rPr/>
        <w:t>las</w:t>
      </w:r>
      <w:r>
        <w:rPr>
          <w:spacing w:val="40"/>
        </w:rPr>
        <w:t> </w:t>
      </w:r>
      <w:r>
        <w:rPr/>
        <w:t>siguientes obligaciones especiales:</w:t>
      </w:r>
    </w:p>
    <w:p>
      <w:pPr>
        <w:pStyle w:val="ListParagraph"/>
        <w:numPr>
          <w:ilvl w:val="0"/>
          <w:numId w:val="276"/>
        </w:numPr>
        <w:tabs>
          <w:tab w:pos="1195" w:val="left" w:leader="none"/>
        </w:tabs>
        <w:spacing w:line="240" w:lineRule="auto" w:before="230" w:after="0"/>
        <w:ind w:left="1195" w:right="0" w:hanging="569"/>
        <w:jc w:val="left"/>
        <w:rPr>
          <w:sz w:val="20"/>
        </w:rPr>
      </w:pPr>
      <w:r>
        <w:rPr>
          <w:sz w:val="20"/>
        </w:rPr>
        <w:t>Salvaguardar</w:t>
      </w:r>
      <w:r>
        <w:rPr>
          <w:spacing w:val="-10"/>
          <w:sz w:val="20"/>
        </w:rPr>
        <w:t> </w:t>
      </w:r>
      <w:r>
        <w:rPr>
          <w:sz w:val="20"/>
        </w:rPr>
        <w:t>los</w:t>
      </w:r>
      <w:r>
        <w:rPr>
          <w:spacing w:val="-10"/>
          <w:sz w:val="20"/>
        </w:rPr>
        <w:t> </w:t>
      </w:r>
      <w:r>
        <w:rPr>
          <w:sz w:val="20"/>
        </w:rPr>
        <w:t>derechos</w:t>
      </w:r>
      <w:r>
        <w:rPr>
          <w:spacing w:val="-5"/>
          <w:sz w:val="20"/>
        </w:rPr>
        <w:t> </w:t>
      </w:r>
      <w:r>
        <w:rPr>
          <w:sz w:val="20"/>
        </w:rPr>
        <w:t>irrenunciables</w:t>
      </w:r>
      <w:r>
        <w:rPr>
          <w:spacing w:val="-10"/>
          <w:sz w:val="20"/>
        </w:rPr>
        <w:t> </w:t>
      </w:r>
      <w:r>
        <w:rPr>
          <w:sz w:val="20"/>
        </w:rPr>
        <w:t>del</w:t>
      </w:r>
      <w:r>
        <w:rPr>
          <w:spacing w:val="-9"/>
          <w:sz w:val="20"/>
        </w:rPr>
        <w:t> </w:t>
      </w:r>
      <w:r>
        <w:rPr>
          <w:spacing w:val="-2"/>
          <w:sz w:val="20"/>
        </w:rPr>
        <w:t>trabajador;</w:t>
      </w:r>
    </w:p>
    <w:p>
      <w:pPr>
        <w:pStyle w:val="BodyText"/>
      </w:pPr>
    </w:p>
    <w:p>
      <w:pPr>
        <w:pStyle w:val="ListParagraph"/>
        <w:numPr>
          <w:ilvl w:val="0"/>
          <w:numId w:val="276"/>
        </w:numPr>
        <w:tabs>
          <w:tab w:pos="1192" w:val="left" w:leader="none"/>
          <w:tab w:pos="1195" w:val="left" w:leader="none"/>
        </w:tabs>
        <w:spacing w:line="242" w:lineRule="auto" w:before="0" w:after="0"/>
        <w:ind w:left="1195" w:right="344" w:hanging="569"/>
        <w:jc w:val="both"/>
        <w:rPr>
          <w:sz w:val="20"/>
        </w:rPr>
      </w:pPr>
      <w:r>
        <w:rPr>
          <w:sz w:val="20"/>
        </w:rPr>
        <w:t>Observar los principios de conciliación, imparcialidad, neutralidad, flexibilidad, legalidad, equidad, buena fe, información, honestidad, y confidencialidad;</w:t>
      </w:r>
    </w:p>
    <w:p>
      <w:pPr>
        <w:pStyle w:val="ListParagraph"/>
        <w:numPr>
          <w:ilvl w:val="0"/>
          <w:numId w:val="276"/>
        </w:numPr>
        <w:tabs>
          <w:tab w:pos="1191" w:val="left" w:leader="none"/>
          <w:tab w:pos="1195" w:val="left" w:leader="none"/>
        </w:tabs>
        <w:spacing w:line="242" w:lineRule="auto" w:before="225" w:after="0"/>
        <w:ind w:left="1195" w:right="338" w:hanging="569"/>
        <w:jc w:val="both"/>
        <w:rPr>
          <w:sz w:val="20"/>
        </w:rPr>
      </w:pPr>
      <w:r>
        <w:rPr>
          <w:sz w:val="20"/>
        </w:rPr>
        <w:t>Tratar con la debida equidad y respeto a los interesados, procurando que todas las conciliaciones que se realicen concluyan en arreglos satisfactorios para los mismos respetando los derechos de las partes;</w:t>
      </w:r>
    </w:p>
    <w:p>
      <w:pPr>
        <w:pStyle w:val="ListParagraph"/>
        <w:numPr>
          <w:ilvl w:val="0"/>
          <w:numId w:val="276"/>
        </w:numPr>
        <w:tabs>
          <w:tab w:pos="1195" w:val="left" w:leader="none"/>
        </w:tabs>
        <w:spacing w:line="240" w:lineRule="auto" w:before="222" w:after="0"/>
        <w:ind w:left="1195" w:right="0" w:hanging="569"/>
        <w:jc w:val="left"/>
        <w:rPr>
          <w:sz w:val="20"/>
        </w:rPr>
      </w:pPr>
      <w:r>
        <w:rPr>
          <w:sz w:val="20"/>
        </w:rPr>
        <w:t>Cumplir</w:t>
      </w:r>
      <w:r>
        <w:rPr>
          <w:spacing w:val="-7"/>
          <w:sz w:val="20"/>
        </w:rPr>
        <w:t> </w:t>
      </w:r>
      <w:r>
        <w:rPr>
          <w:sz w:val="20"/>
        </w:rPr>
        <w:t>con</w:t>
      </w:r>
      <w:r>
        <w:rPr>
          <w:spacing w:val="-9"/>
          <w:sz w:val="20"/>
        </w:rPr>
        <w:t> </w:t>
      </w:r>
      <w:r>
        <w:rPr>
          <w:sz w:val="20"/>
        </w:rPr>
        <w:t>programas</w:t>
      </w:r>
      <w:r>
        <w:rPr>
          <w:spacing w:val="-6"/>
          <w:sz w:val="20"/>
        </w:rPr>
        <w:t> </w:t>
      </w:r>
      <w:r>
        <w:rPr>
          <w:sz w:val="20"/>
        </w:rPr>
        <w:t>de</w:t>
      </w:r>
      <w:r>
        <w:rPr>
          <w:spacing w:val="-9"/>
          <w:sz w:val="20"/>
        </w:rPr>
        <w:t> </w:t>
      </w:r>
      <w:r>
        <w:rPr>
          <w:sz w:val="20"/>
        </w:rPr>
        <w:t>capacitación</w:t>
      </w:r>
      <w:r>
        <w:rPr>
          <w:spacing w:val="-4"/>
          <w:sz w:val="20"/>
        </w:rPr>
        <w:t> </w:t>
      </w:r>
      <w:r>
        <w:rPr>
          <w:sz w:val="20"/>
        </w:rPr>
        <w:t>y</w:t>
      </w:r>
      <w:r>
        <w:rPr>
          <w:spacing w:val="-8"/>
          <w:sz w:val="20"/>
        </w:rPr>
        <w:t> </w:t>
      </w:r>
      <w:r>
        <w:rPr>
          <w:sz w:val="20"/>
        </w:rPr>
        <w:t>actualización</w:t>
      </w:r>
      <w:r>
        <w:rPr>
          <w:spacing w:val="-8"/>
          <w:sz w:val="20"/>
        </w:rPr>
        <w:t> </w:t>
      </w:r>
      <w:r>
        <w:rPr>
          <w:sz w:val="20"/>
        </w:rPr>
        <w:t>para</w:t>
      </w:r>
      <w:r>
        <w:rPr>
          <w:spacing w:val="-6"/>
          <w:sz w:val="20"/>
        </w:rPr>
        <w:t> </w:t>
      </w:r>
      <w:r>
        <w:rPr>
          <w:sz w:val="20"/>
        </w:rPr>
        <w:t>la</w:t>
      </w:r>
      <w:r>
        <w:rPr>
          <w:spacing w:val="-7"/>
          <w:sz w:val="20"/>
        </w:rPr>
        <w:t> </w:t>
      </w:r>
      <w:r>
        <w:rPr>
          <w:sz w:val="20"/>
        </w:rPr>
        <w:t>renovación</w:t>
      </w:r>
      <w:r>
        <w:rPr>
          <w:spacing w:val="-7"/>
          <w:sz w:val="20"/>
        </w:rPr>
        <w:t> </w:t>
      </w:r>
      <w:r>
        <w:rPr>
          <w:sz w:val="20"/>
        </w:rPr>
        <w:t>de</w:t>
      </w:r>
      <w:r>
        <w:rPr>
          <w:spacing w:val="-6"/>
          <w:sz w:val="20"/>
        </w:rPr>
        <w:t> </w:t>
      </w:r>
      <w:r>
        <w:rPr>
          <w:sz w:val="20"/>
        </w:rPr>
        <w:t>la</w:t>
      </w:r>
      <w:r>
        <w:rPr>
          <w:spacing w:val="-6"/>
          <w:sz w:val="20"/>
        </w:rPr>
        <w:t> </w:t>
      </w:r>
      <w:r>
        <w:rPr>
          <w:spacing w:val="-2"/>
          <w:sz w:val="20"/>
        </w:rPr>
        <w:t>certificación;</w:t>
      </w:r>
    </w:p>
    <w:p>
      <w:pPr>
        <w:pStyle w:val="BodyText"/>
        <w:spacing w:before="1"/>
      </w:pPr>
    </w:p>
    <w:p>
      <w:pPr>
        <w:pStyle w:val="ListParagraph"/>
        <w:numPr>
          <w:ilvl w:val="0"/>
          <w:numId w:val="276"/>
        </w:numPr>
        <w:tabs>
          <w:tab w:pos="1195" w:val="left" w:leader="none"/>
        </w:tabs>
        <w:spacing w:line="242" w:lineRule="auto" w:before="0" w:after="0"/>
        <w:ind w:left="1195" w:right="345" w:hanging="569"/>
        <w:jc w:val="both"/>
        <w:rPr>
          <w:sz w:val="20"/>
        </w:rPr>
      </w:pPr>
      <w:r>
        <w:rPr>
          <w:sz w:val="20"/>
        </w:rPr>
        <w:t>Abstenerse de fungir como testigos, representantes jurídicos o abogados de los asuntos relativos a los mecanismos alternativos en los que participen posteriormente en juicio;</w:t>
      </w:r>
    </w:p>
    <w:p>
      <w:pPr>
        <w:pStyle w:val="ListParagraph"/>
        <w:numPr>
          <w:ilvl w:val="0"/>
          <w:numId w:val="276"/>
        </w:numPr>
        <w:tabs>
          <w:tab w:pos="1195" w:val="left" w:leader="none"/>
        </w:tabs>
        <w:spacing w:line="240" w:lineRule="auto" w:before="227" w:after="0"/>
        <w:ind w:left="1195" w:right="0" w:hanging="569"/>
        <w:jc w:val="left"/>
        <w:rPr>
          <w:sz w:val="20"/>
        </w:rPr>
      </w:pPr>
      <w:r>
        <w:rPr>
          <w:sz w:val="20"/>
        </w:rPr>
        <w:t>Ser</w:t>
      </w:r>
      <w:r>
        <w:rPr>
          <w:spacing w:val="-8"/>
          <w:sz w:val="20"/>
        </w:rPr>
        <w:t> </w:t>
      </w:r>
      <w:r>
        <w:rPr>
          <w:sz w:val="20"/>
        </w:rPr>
        <w:t>proactivo</w:t>
      </w:r>
      <w:r>
        <w:rPr>
          <w:spacing w:val="-6"/>
          <w:sz w:val="20"/>
        </w:rPr>
        <w:t> </w:t>
      </w:r>
      <w:r>
        <w:rPr>
          <w:sz w:val="20"/>
        </w:rPr>
        <w:t>para</w:t>
      </w:r>
      <w:r>
        <w:rPr>
          <w:spacing w:val="-7"/>
          <w:sz w:val="20"/>
        </w:rPr>
        <w:t> </w:t>
      </w:r>
      <w:r>
        <w:rPr>
          <w:sz w:val="20"/>
        </w:rPr>
        <w:t>lograr</w:t>
      </w:r>
      <w:r>
        <w:rPr>
          <w:spacing w:val="-5"/>
          <w:sz w:val="20"/>
        </w:rPr>
        <w:t> </w:t>
      </w:r>
      <w:r>
        <w:rPr>
          <w:sz w:val="20"/>
        </w:rPr>
        <w:t>la</w:t>
      </w:r>
      <w:r>
        <w:rPr>
          <w:spacing w:val="-6"/>
          <w:sz w:val="20"/>
        </w:rPr>
        <w:t> </w:t>
      </w:r>
      <w:r>
        <w:rPr>
          <w:sz w:val="20"/>
        </w:rPr>
        <w:t>conciliación</w:t>
      </w:r>
      <w:r>
        <w:rPr>
          <w:spacing w:val="-9"/>
          <w:sz w:val="20"/>
        </w:rPr>
        <w:t> </w:t>
      </w:r>
      <w:r>
        <w:rPr>
          <w:sz w:val="20"/>
        </w:rPr>
        <w:t>entre</w:t>
      </w:r>
      <w:r>
        <w:rPr>
          <w:spacing w:val="-6"/>
          <w:sz w:val="20"/>
        </w:rPr>
        <w:t> </w:t>
      </w:r>
      <w:r>
        <w:rPr>
          <w:sz w:val="20"/>
        </w:rPr>
        <w:t>las</w:t>
      </w:r>
      <w:r>
        <w:rPr>
          <w:spacing w:val="-7"/>
          <w:sz w:val="20"/>
        </w:rPr>
        <w:t> </w:t>
      </w:r>
      <w:r>
        <w:rPr>
          <w:sz w:val="20"/>
        </w:rPr>
        <w:t>partes,</w:t>
      </w:r>
      <w:r>
        <w:rPr>
          <w:spacing w:val="-6"/>
          <w:sz w:val="20"/>
        </w:rPr>
        <w:t> </w:t>
      </w:r>
      <w:r>
        <w:rPr>
          <w:spacing w:val="-10"/>
          <w:sz w:val="20"/>
        </w:rPr>
        <w:t>y</w:t>
      </w:r>
    </w:p>
    <w:p>
      <w:pPr>
        <w:pStyle w:val="ListParagraph"/>
        <w:numPr>
          <w:ilvl w:val="0"/>
          <w:numId w:val="276"/>
        </w:numPr>
        <w:tabs>
          <w:tab w:pos="1193" w:val="left" w:leader="none"/>
          <w:tab w:pos="1195" w:val="left" w:leader="none"/>
        </w:tabs>
        <w:spacing w:line="242" w:lineRule="auto" w:before="229" w:after="0"/>
        <w:ind w:left="1195" w:right="345" w:hanging="569"/>
        <w:jc w:val="both"/>
        <w:rPr>
          <w:sz w:val="20"/>
        </w:rPr>
      </w:pPr>
      <w:r>
        <w:rPr>
          <w:sz w:val="20"/>
        </w:rPr>
        <w:t>Procurar el equilibrio entre los factores de la producción y la justicia social, así como el trabajo digno y decente.</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626" w:right="0" w:firstLine="0"/>
        <w:jc w:val="left"/>
        <w:rPr>
          <w:sz w:val="20"/>
        </w:rPr>
      </w:pPr>
      <w:bookmarkStart w:name="Artículo_684_I" w:id="856"/>
      <w:bookmarkEnd w:id="856"/>
      <w:r>
        <w:rPr/>
      </w:r>
      <w:r>
        <w:rPr>
          <w:rFonts w:ascii="Arial" w:hAnsi="Arial"/>
          <w:b/>
          <w:sz w:val="20"/>
        </w:rPr>
        <w:t>Artículo</w:t>
      </w:r>
      <w:r>
        <w:rPr>
          <w:rFonts w:ascii="Arial" w:hAnsi="Arial"/>
          <w:b/>
          <w:spacing w:val="-7"/>
          <w:sz w:val="20"/>
        </w:rPr>
        <w:t> </w:t>
      </w:r>
      <w:r>
        <w:rPr>
          <w:rFonts w:ascii="Arial" w:hAnsi="Arial"/>
          <w:b/>
          <w:sz w:val="20"/>
        </w:rPr>
        <w:t>684-I.-</w:t>
      </w:r>
      <w:r>
        <w:rPr>
          <w:rFonts w:ascii="Arial" w:hAnsi="Arial"/>
          <w:b/>
          <w:spacing w:val="-5"/>
          <w:sz w:val="20"/>
        </w:rPr>
        <w:t> </w:t>
      </w:r>
      <w:r>
        <w:rPr>
          <w:sz w:val="20"/>
        </w:rPr>
        <w:t>El</w:t>
      </w:r>
      <w:r>
        <w:rPr>
          <w:spacing w:val="-9"/>
          <w:sz w:val="20"/>
        </w:rPr>
        <w:t> </w:t>
      </w:r>
      <w:r>
        <w:rPr>
          <w:sz w:val="20"/>
        </w:rPr>
        <w:t>conciliador</w:t>
      </w:r>
      <w:r>
        <w:rPr>
          <w:spacing w:val="-7"/>
          <w:sz w:val="20"/>
        </w:rPr>
        <w:t> </w:t>
      </w:r>
      <w:r>
        <w:rPr>
          <w:sz w:val="20"/>
        </w:rPr>
        <w:t>tendrá</w:t>
      </w:r>
      <w:r>
        <w:rPr>
          <w:spacing w:val="-8"/>
          <w:sz w:val="20"/>
        </w:rPr>
        <w:t> </w:t>
      </w:r>
      <w:r>
        <w:rPr>
          <w:sz w:val="20"/>
        </w:rPr>
        <w:t>fe</w:t>
      </w:r>
      <w:r>
        <w:rPr>
          <w:spacing w:val="-7"/>
          <w:sz w:val="20"/>
        </w:rPr>
        <w:t> </w:t>
      </w:r>
      <w:r>
        <w:rPr>
          <w:sz w:val="20"/>
        </w:rPr>
        <w:t>pública</w:t>
      </w:r>
      <w:r>
        <w:rPr>
          <w:spacing w:val="-8"/>
          <w:sz w:val="20"/>
        </w:rPr>
        <w:t> </w:t>
      </w:r>
      <w:r>
        <w:rPr>
          <w:sz w:val="20"/>
        </w:rPr>
        <w:t>para</w:t>
      </w:r>
      <w:r>
        <w:rPr>
          <w:spacing w:val="-8"/>
          <w:sz w:val="20"/>
        </w:rPr>
        <w:t> </w:t>
      </w:r>
      <w:r>
        <w:rPr>
          <w:spacing w:val="-2"/>
          <w:sz w:val="20"/>
        </w:rPr>
        <w:t>certificar:</w:t>
      </w:r>
    </w:p>
    <w:p>
      <w:pPr>
        <w:pStyle w:val="BodyText"/>
      </w:pPr>
    </w:p>
    <w:p>
      <w:pPr>
        <w:pStyle w:val="ListParagraph"/>
        <w:numPr>
          <w:ilvl w:val="0"/>
          <w:numId w:val="277"/>
        </w:numPr>
        <w:tabs>
          <w:tab w:pos="1195" w:val="left" w:leader="none"/>
        </w:tabs>
        <w:spacing w:line="242" w:lineRule="auto" w:before="0" w:after="0"/>
        <w:ind w:left="1195" w:right="342" w:hanging="569"/>
        <w:jc w:val="left"/>
        <w:rPr>
          <w:sz w:val="20"/>
        </w:rPr>
      </w:pPr>
      <w:r>
        <w:rPr>
          <w:sz w:val="20"/>
        </w:rPr>
        <w:t>Los</w:t>
      </w:r>
      <w:r>
        <w:rPr>
          <w:spacing w:val="68"/>
          <w:sz w:val="20"/>
        </w:rPr>
        <w:t> </w:t>
      </w:r>
      <w:r>
        <w:rPr>
          <w:sz w:val="20"/>
        </w:rPr>
        <w:t>instrumentos</w:t>
      </w:r>
      <w:r>
        <w:rPr>
          <w:spacing w:val="68"/>
          <w:sz w:val="20"/>
        </w:rPr>
        <w:t> </w:t>
      </w:r>
      <w:r>
        <w:rPr>
          <w:sz w:val="20"/>
        </w:rPr>
        <w:t>con</w:t>
      </w:r>
      <w:r>
        <w:rPr>
          <w:spacing w:val="67"/>
          <w:sz w:val="20"/>
        </w:rPr>
        <w:t> </w:t>
      </w:r>
      <w:r>
        <w:rPr>
          <w:sz w:val="20"/>
        </w:rPr>
        <w:t>los</w:t>
      </w:r>
      <w:r>
        <w:rPr>
          <w:spacing w:val="68"/>
          <w:sz w:val="20"/>
        </w:rPr>
        <w:t> </w:t>
      </w:r>
      <w:r>
        <w:rPr>
          <w:sz w:val="20"/>
        </w:rPr>
        <w:t>que</w:t>
      </w:r>
      <w:r>
        <w:rPr>
          <w:spacing w:val="69"/>
          <w:sz w:val="20"/>
        </w:rPr>
        <w:t> </w:t>
      </w:r>
      <w:r>
        <w:rPr>
          <w:sz w:val="20"/>
        </w:rPr>
        <w:t>las</w:t>
      </w:r>
      <w:r>
        <w:rPr>
          <w:spacing w:val="68"/>
          <w:sz w:val="20"/>
        </w:rPr>
        <w:t> </w:t>
      </w:r>
      <w:r>
        <w:rPr>
          <w:sz w:val="20"/>
        </w:rPr>
        <w:t>partes</w:t>
      </w:r>
      <w:r>
        <w:rPr>
          <w:spacing w:val="68"/>
          <w:sz w:val="20"/>
        </w:rPr>
        <w:t> </w:t>
      </w:r>
      <w:r>
        <w:rPr>
          <w:sz w:val="20"/>
        </w:rPr>
        <w:t>acrediten</w:t>
      </w:r>
      <w:r>
        <w:rPr>
          <w:spacing w:val="67"/>
          <w:sz w:val="20"/>
        </w:rPr>
        <w:t> </w:t>
      </w:r>
      <w:r>
        <w:rPr>
          <w:sz w:val="20"/>
        </w:rPr>
        <w:t>la</w:t>
      </w:r>
      <w:r>
        <w:rPr>
          <w:spacing w:val="69"/>
          <w:sz w:val="20"/>
        </w:rPr>
        <w:t> </w:t>
      </w:r>
      <w:r>
        <w:rPr>
          <w:sz w:val="20"/>
        </w:rPr>
        <w:t>personalidad</w:t>
      </w:r>
      <w:r>
        <w:rPr>
          <w:spacing w:val="67"/>
          <w:sz w:val="20"/>
        </w:rPr>
        <w:t> </w:t>
      </w:r>
      <w:r>
        <w:rPr>
          <w:sz w:val="20"/>
        </w:rPr>
        <w:t>e</w:t>
      </w:r>
      <w:r>
        <w:rPr>
          <w:spacing w:val="67"/>
          <w:sz w:val="20"/>
        </w:rPr>
        <w:t> </w:t>
      </w:r>
      <w:r>
        <w:rPr>
          <w:sz w:val="20"/>
        </w:rPr>
        <w:t>identidad</w:t>
      </w:r>
      <w:r>
        <w:rPr>
          <w:spacing w:val="67"/>
          <w:sz w:val="20"/>
        </w:rPr>
        <w:t> </w:t>
      </w:r>
      <w:r>
        <w:rPr>
          <w:sz w:val="20"/>
        </w:rPr>
        <w:t>con</w:t>
      </w:r>
      <w:r>
        <w:rPr>
          <w:spacing w:val="67"/>
          <w:sz w:val="20"/>
        </w:rPr>
        <w:t> </w:t>
      </w:r>
      <w:r>
        <w:rPr>
          <w:sz w:val="20"/>
        </w:rPr>
        <w:t>que comparecen a la audiencia, para efecto de conservar una copia en el expediente respectivo;</w:t>
      </w:r>
    </w:p>
    <w:p>
      <w:pPr>
        <w:pStyle w:val="ListParagraph"/>
        <w:spacing w:after="0" w:line="242" w:lineRule="auto"/>
        <w:jc w:val="left"/>
        <w:rPr>
          <w:sz w:val="20"/>
        </w:rPr>
        <w:sectPr>
          <w:pgSz w:w="12240" w:h="15840"/>
          <w:pgMar w:header="724" w:footer="712" w:top="1880" w:bottom="900" w:left="1080" w:right="1080"/>
        </w:sectPr>
      </w:pPr>
    </w:p>
    <w:p>
      <w:pPr>
        <w:pStyle w:val="BodyText"/>
      </w:pPr>
    </w:p>
    <w:p>
      <w:pPr>
        <w:pStyle w:val="BodyText"/>
        <w:spacing w:before="63"/>
      </w:pPr>
    </w:p>
    <w:p>
      <w:pPr>
        <w:pStyle w:val="ListParagraph"/>
        <w:numPr>
          <w:ilvl w:val="0"/>
          <w:numId w:val="277"/>
        </w:numPr>
        <w:tabs>
          <w:tab w:pos="1195" w:val="left" w:leader="none"/>
        </w:tabs>
        <w:spacing w:line="242" w:lineRule="auto" w:before="0" w:after="0"/>
        <w:ind w:left="1195" w:right="345" w:hanging="569"/>
        <w:jc w:val="left"/>
        <w:rPr>
          <w:sz w:val="20"/>
        </w:rPr>
      </w:pPr>
      <w:r>
        <w:rPr>
          <w:sz w:val="20"/>
        </w:rPr>
        <w:t>Todo</w:t>
      </w:r>
      <w:r>
        <w:rPr>
          <w:spacing w:val="26"/>
          <w:sz w:val="20"/>
        </w:rPr>
        <w:t> </w:t>
      </w:r>
      <w:r>
        <w:rPr>
          <w:sz w:val="20"/>
        </w:rPr>
        <w:t>lo</w:t>
      </w:r>
      <w:r>
        <w:rPr>
          <w:spacing w:val="28"/>
          <w:sz w:val="20"/>
        </w:rPr>
        <w:t> </w:t>
      </w:r>
      <w:r>
        <w:rPr>
          <w:sz w:val="20"/>
        </w:rPr>
        <w:t>que</w:t>
      </w:r>
      <w:r>
        <w:rPr>
          <w:spacing w:val="26"/>
          <w:sz w:val="20"/>
        </w:rPr>
        <w:t> </w:t>
      </w:r>
      <w:r>
        <w:rPr>
          <w:sz w:val="20"/>
        </w:rPr>
        <w:t>asiente</w:t>
      </w:r>
      <w:r>
        <w:rPr>
          <w:spacing w:val="29"/>
          <w:sz w:val="20"/>
        </w:rPr>
        <w:t> </w:t>
      </w:r>
      <w:r>
        <w:rPr>
          <w:sz w:val="20"/>
        </w:rPr>
        <w:t>en</w:t>
      </w:r>
      <w:r>
        <w:rPr>
          <w:spacing w:val="28"/>
          <w:sz w:val="20"/>
        </w:rPr>
        <w:t> </w:t>
      </w:r>
      <w:r>
        <w:rPr>
          <w:sz w:val="20"/>
        </w:rPr>
        <w:t>las</w:t>
      </w:r>
      <w:r>
        <w:rPr>
          <w:spacing w:val="28"/>
          <w:sz w:val="20"/>
        </w:rPr>
        <w:t> </w:t>
      </w:r>
      <w:r>
        <w:rPr>
          <w:sz w:val="20"/>
        </w:rPr>
        <w:t>actuaciones</w:t>
      </w:r>
      <w:r>
        <w:rPr>
          <w:spacing w:val="30"/>
          <w:sz w:val="20"/>
        </w:rPr>
        <w:t> </w:t>
      </w:r>
      <w:r>
        <w:rPr>
          <w:sz w:val="20"/>
        </w:rPr>
        <w:t>del</w:t>
      </w:r>
      <w:r>
        <w:rPr>
          <w:spacing w:val="28"/>
          <w:sz w:val="20"/>
        </w:rPr>
        <w:t> </w:t>
      </w:r>
      <w:r>
        <w:rPr>
          <w:sz w:val="20"/>
        </w:rPr>
        <w:t>procedimiento</w:t>
      </w:r>
      <w:r>
        <w:rPr>
          <w:spacing w:val="26"/>
          <w:sz w:val="20"/>
        </w:rPr>
        <w:t> </w:t>
      </w:r>
      <w:r>
        <w:rPr>
          <w:sz w:val="20"/>
        </w:rPr>
        <w:t>de</w:t>
      </w:r>
      <w:r>
        <w:rPr>
          <w:spacing w:val="28"/>
          <w:sz w:val="20"/>
        </w:rPr>
        <w:t> </w:t>
      </w:r>
      <w:r>
        <w:rPr>
          <w:sz w:val="20"/>
        </w:rPr>
        <w:t>conciliación</w:t>
      </w:r>
      <w:r>
        <w:rPr>
          <w:spacing w:val="30"/>
          <w:sz w:val="20"/>
        </w:rPr>
        <w:t> </w:t>
      </w:r>
      <w:r>
        <w:rPr>
          <w:sz w:val="20"/>
        </w:rPr>
        <w:t>y,</w:t>
      </w:r>
      <w:r>
        <w:rPr>
          <w:spacing w:val="31"/>
          <w:sz w:val="20"/>
        </w:rPr>
        <w:t> </w:t>
      </w:r>
      <w:r>
        <w:rPr>
          <w:sz w:val="20"/>
        </w:rPr>
        <w:t>en</w:t>
      </w:r>
      <w:r>
        <w:rPr>
          <w:spacing w:val="26"/>
          <w:sz w:val="20"/>
        </w:rPr>
        <w:t> </w:t>
      </w:r>
      <w:r>
        <w:rPr>
          <w:sz w:val="20"/>
        </w:rPr>
        <w:t>su</w:t>
      </w:r>
      <w:r>
        <w:rPr>
          <w:spacing w:val="26"/>
          <w:sz w:val="20"/>
        </w:rPr>
        <w:t> </w:t>
      </w:r>
      <w:r>
        <w:rPr>
          <w:sz w:val="20"/>
        </w:rPr>
        <w:t>caso,</w:t>
      </w:r>
      <w:r>
        <w:rPr>
          <w:spacing w:val="28"/>
          <w:sz w:val="20"/>
        </w:rPr>
        <w:t> </w:t>
      </w:r>
      <w:r>
        <w:rPr>
          <w:sz w:val="20"/>
        </w:rPr>
        <w:t>los convenios a los que lleguen las partes, y</w:t>
      </w:r>
    </w:p>
    <w:p>
      <w:pPr>
        <w:pStyle w:val="ListParagraph"/>
        <w:numPr>
          <w:ilvl w:val="0"/>
          <w:numId w:val="277"/>
        </w:numPr>
        <w:tabs>
          <w:tab w:pos="1195" w:val="left" w:leader="none"/>
        </w:tabs>
        <w:spacing w:line="229" w:lineRule="exact" w:before="227" w:after="0"/>
        <w:ind w:left="1195" w:right="0" w:hanging="569"/>
        <w:jc w:val="left"/>
        <w:rPr>
          <w:sz w:val="20"/>
        </w:rPr>
      </w:pPr>
      <w:r>
        <w:rPr>
          <w:sz w:val="20"/>
        </w:rPr>
        <w:t>Las</w:t>
      </w:r>
      <w:r>
        <w:rPr>
          <w:spacing w:val="-6"/>
          <w:sz w:val="20"/>
        </w:rPr>
        <w:t> </w:t>
      </w:r>
      <w:r>
        <w:rPr>
          <w:sz w:val="20"/>
        </w:rPr>
        <w:t>copias</w:t>
      </w:r>
      <w:r>
        <w:rPr>
          <w:spacing w:val="-5"/>
          <w:sz w:val="20"/>
        </w:rPr>
        <w:t> </w:t>
      </w:r>
      <w:r>
        <w:rPr>
          <w:sz w:val="20"/>
        </w:rPr>
        <w:t>de</w:t>
      </w:r>
      <w:r>
        <w:rPr>
          <w:spacing w:val="-5"/>
          <w:sz w:val="20"/>
        </w:rPr>
        <w:t> </w:t>
      </w:r>
      <w:r>
        <w:rPr>
          <w:sz w:val="20"/>
        </w:rPr>
        <w:t>los</w:t>
      </w:r>
      <w:r>
        <w:rPr>
          <w:spacing w:val="-5"/>
          <w:sz w:val="20"/>
        </w:rPr>
        <w:t> </w:t>
      </w:r>
      <w:r>
        <w:rPr>
          <w:sz w:val="20"/>
        </w:rPr>
        <w:t>convenios</w:t>
      </w:r>
      <w:r>
        <w:rPr>
          <w:spacing w:val="-5"/>
          <w:sz w:val="20"/>
        </w:rPr>
        <w:t> </w:t>
      </w:r>
      <w:r>
        <w:rPr>
          <w:sz w:val="20"/>
        </w:rPr>
        <w:t>que</w:t>
      </w:r>
      <w:r>
        <w:rPr>
          <w:spacing w:val="-6"/>
          <w:sz w:val="20"/>
        </w:rPr>
        <w:t> </w:t>
      </w:r>
      <w:r>
        <w:rPr>
          <w:sz w:val="20"/>
        </w:rPr>
        <w:t>ante</w:t>
      </w:r>
      <w:r>
        <w:rPr>
          <w:spacing w:val="-7"/>
          <w:sz w:val="20"/>
        </w:rPr>
        <w:t> </w:t>
      </w:r>
      <w:r>
        <w:rPr>
          <w:sz w:val="20"/>
        </w:rPr>
        <w:t>su</w:t>
      </w:r>
      <w:r>
        <w:rPr>
          <w:spacing w:val="-4"/>
          <w:sz w:val="20"/>
        </w:rPr>
        <w:t> </w:t>
      </w:r>
      <w:r>
        <w:rPr>
          <w:sz w:val="20"/>
        </w:rPr>
        <w:t>presencia</w:t>
      </w:r>
      <w:r>
        <w:rPr>
          <w:spacing w:val="-6"/>
          <w:sz w:val="20"/>
        </w:rPr>
        <w:t> </w:t>
      </w:r>
      <w:r>
        <w:rPr>
          <w:sz w:val="20"/>
        </w:rPr>
        <w:t>se</w:t>
      </w:r>
      <w:r>
        <w:rPr>
          <w:spacing w:val="-4"/>
          <w:sz w:val="20"/>
        </w:rPr>
        <w:t> </w:t>
      </w:r>
      <w:r>
        <w:rPr>
          <w:spacing w:val="-2"/>
          <w:sz w:val="20"/>
        </w:rPr>
        <w:t>celebren.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BodyText"/>
        <w:spacing w:line="242" w:lineRule="auto"/>
        <w:ind w:left="338" w:firstLine="288"/>
      </w:pPr>
      <w:bookmarkStart w:name="Artículo_684_J" w:id="857"/>
      <w:bookmarkEnd w:id="857"/>
      <w:r>
        <w:rPr/>
      </w:r>
      <w:r>
        <w:rPr>
          <w:rFonts w:ascii="Arial" w:hAnsi="Arial"/>
          <w:b/>
        </w:rPr>
        <w:t>Artículo</w:t>
      </w:r>
      <w:r>
        <w:rPr>
          <w:rFonts w:ascii="Arial" w:hAnsi="Arial"/>
          <w:b/>
          <w:spacing w:val="40"/>
        </w:rPr>
        <w:t> </w:t>
      </w:r>
      <w:r>
        <w:rPr>
          <w:rFonts w:ascii="Arial" w:hAnsi="Arial"/>
          <w:b/>
        </w:rPr>
        <w:t>684-J.-</w:t>
      </w:r>
      <w:r>
        <w:rPr>
          <w:rFonts w:ascii="Arial" w:hAnsi="Arial"/>
          <w:b/>
          <w:spacing w:val="40"/>
        </w:rPr>
        <w:t> </w:t>
      </w:r>
      <w:r>
        <w:rPr/>
        <w:t>Los</w:t>
      </w:r>
      <w:r>
        <w:rPr>
          <w:spacing w:val="40"/>
        </w:rPr>
        <w:t> </w:t>
      </w:r>
      <w:r>
        <w:rPr/>
        <w:t>conciliadores</w:t>
      </w:r>
      <w:r>
        <w:rPr>
          <w:spacing w:val="40"/>
        </w:rPr>
        <w:t> </w:t>
      </w:r>
      <w:r>
        <w:rPr/>
        <w:t>y</w:t>
      </w:r>
      <w:r>
        <w:rPr>
          <w:spacing w:val="39"/>
        </w:rPr>
        <w:t> </w:t>
      </w:r>
      <w:r>
        <w:rPr/>
        <w:t>el</w:t>
      </w:r>
      <w:r>
        <w:rPr>
          <w:spacing w:val="40"/>
        </w:rPr>
        <w:t> </w:t>
      </w:r>
      <w:r>
        <w:rPr/>
        <w:t>personal</w:t>
      </w:r>
      <w:r>
        <w:rPr>
          <w:spacing w:val="40"/>
        </w:rPr>
        <w:t> </w:t>
      </w:r>
      <w:r>
        <w:rPr/>
        <w:t>de</w:t>
      </w:r>
      <w:r>
        <w:rPr>
          <w:spacing w:val="40"/>
        </w:rPr>
        <w:t> </w:t>
      </w:r>
      <w:r>
        <w:rPr/>
        <w:t>las</w:t>
      </w:r>
      <w:r>
        <w:rPr>
          <w:spacing w:val="40"/>
        </w:rPr>
        <w:t> </w:t>
      </w:r>
      <w:r>
        <w:rPr/>
        <w:t>Autoridades</w:t>
      </w:r>
      <w:r>
        <w:rPr>
          <w:spacing w:val="40"/>
        </w:rPr>
        <w:t> </w:t>
      </w:r>
      <w:r>
        <w:rPr/>
        <w:t>Conciliadoras</w:t>
      </w:r>
      <w:r>
        <w:rPr>
          <w:spacing w:val="40"/>
        </w:rPr>
        <w:t> </w:t>
      </w:r>
      <w:r>
        <w:rPr/>
        <w:t>no</w:t>
      </w:r>
      <w:r>
        <w:rPr>
          <w:spacing w:val="40"/>
        </w:rPr>
        <w:t> </w:t>
      </w:r>
      <w:r>
        <w:rPr/>
        <w:t>podrán</w:t>
      </w:r>
      <w:r>
        <w:rPr>
          <w:spacing w:val="40"/>
        </w:rPr>
        <w:t> </w:t>
      </w:r>
      <w:r>
        <w:rPr/>
        <w:t>ser llamados a comparecer como testigos en los procedimientos ante los Tribunales.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Heading1"/>
        <w:spacing w:before="227"/>
        <w:ind w:left="298"/>
      </w:pPr>
      <w:r>
        <w:rPr/>
        <w:t>CAPITULO</w:t>
      </w:r>
      <w:r>
        <w:rPr>
          <w:spacing w:val="-9"/>
        </w:rPr>
        <w:t> </w:t>
      </w:r>
      <w:r>
        <w:rPr>
          <w:spacing w:val="-5"/>
        </w:rPr>
        <w:t>III</w:t>
      </w:r>
    </w:p>
    <w:p>
      <w:pPr>
        <w:pStyle w:val="Heading2"/>
        <w:spacing w:before="2"/>
        <w:ind w:left="297"/>
      </w:pPr>
      <w:r>
        <w:rPr/>
        <w:t>Del</w:t>
      </w:r>
      <w:r>
        <w:rPr>
          <w:spacing w:val="-4"/>
        </w:rPr>
        <w:t> </w:t>
      </w:r>
      <w:r>
        <w:rPr/>
        <w:t>Procedimiento</w:t>
      </w:r>
      <w:r>
        <w:rPr>
          <w:spacing w:val="-7"/>
        </w:rPr>
        <w:t> </w:t>
      </w:r>
      <w:r>
        <w:rPr/>
        <w:t>para</w:t>
      </w:r>
      <w:r>
        <w:rPr>
          <w:spacing w:val="-4"/>
        </w:rPr>
        <w:t> </w:t>
      </w:r>
      <w:r>
        <w:rPr/>
        <w:t>la</w:t>
      </w:r>
      <w:r>
        <w:rPr>
          <w:spacing w:val="-7"/>
        </w:rPr>
        <w:t> </w:t>
      </w:r>
      <w:r>
        <w:rPr/>
        <w:t>Selección</w:t>
      </w:r>
      <w:r>
        <w:rPr>
          <w:spacing w:val="-4"/>
        </w:rPr>
        <w:t> </w:t>
      </w:r>
      <w:r>
        <w:rPr/>
        <w:t>de</w:t>
      </w:r>
      <w:r>
        <w:rPr>
          <w:spacing w:val="-7"/>
        </w:rPr>
        <w:t> </w:t>
      </w:r>
      <w:r>
        <w:rPr>
          <w:spacing w:val="-2"/>
        </w:rPr>
        <w:t>Conciliadores</w:t>
      </w:r>
    </w:p>
    <w:p>
      <w:pPr>
        <w:spacing w:before="1"/>
        <w:ind w:left="7268"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36" w:firstLine="288"/>
        <w:jc w:val="both"/>
      </w:pPr>
      <w:bookmarkStart w:name="Artículo_684_K" w:id="858"/>
      <w:bookmarkEnd w:id="858"/>
      <w:r>
        <w:rPr/>
      </w:r>
      <w:r>
        <w:rPr>
          <w:rFonts w:ascii="Arial" w:hAnsi="Arial"/>
          <w:b/>
        </w:rPr>
        <w:t>Artículo 684-K.- </w:t>
      </w:r>
      <w:r>
        <w:rPr/>
        <w:t>El presente capítulo establece las disposiciones relativas al procedimiento de selección para la designación de los conciliadores de los Centros de Conciliación.</w:t>
      </w:r>
    </w:p>
    <w:p>
      <w:pPr>
        <w:spacing w:line="180"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338" w:right="334" w:firstLine="288"/>
        <w:jc w:val="both"/>
      </w:pPr>
      <w:bookmarkStart w:name="Artículo_684_L" w:id="859"/>
      <w:bookmarkEnd w:id="859"/>
      <w:r>
        <w:rPr/>
      </w:r>
      <w:r>
        <w:rPr>
          <w:rFonts w:ascii="Arial" w:hAnsi="Arial"/>
          <w:b/>
        </w:rPr>
        <w:t>Artículo 684-L.- </w:t>
      </w:r>
      <w:r>
        <w:rPr/>
        <w:t>El procedimiento y los criterios de selección de los conciliadores tienen como fin, garantizar la autonomía de su actuación y el cumplimiento de los principios que rigen la conciliación laboral, así como acreditar su idoneidad a partir de la valoración de las competencias requeridas para el desempeño de sus funciones, con base en la aplicación de instrumentos técnicos, confiables y </w:t>
      </w:r>
      <w:r>
        <w:rPr>
          <w:spacing w:val="-2"/>
        </w:rPr>
        <w:t>pertinentes.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2" w:firstLine="288"/>
      </w:pPr>
      <w:bookmarkStart w:name="Artículo_684_M" w:id="860"/>
      <w:bookmarkEnd w:id="860"/>
      <w:r>
        <w:rPr/>
      </w:r>
      <w:r>
        <w:rPr>
          <w:rFonts w:ascii="Arial" w:hAnsi="Arial"/>
          <w:b/>
        </w:rPr>
        <w:t>Artículo</w:t>
      </w:r>
      <w:r>
        <w:rPr>
          <w:rFonts w:ascii="Arial" w:hAnsi="Arial"/>
          <w:b/>
          <w:spacing w:val="40"/>
        </w:rPr>
        <w:t> </w:t>
      </w:r>
      <w:r>
        <w:rPr>
          <w:rFonts w:ascii="Arial" w:hAnsi="Arial"/>
          <w:b/>
        </w:rPr>
        <w:t>684-M.-</w:t>
      </w:r>
      <w:r>
        <w:rPr>
          <w:rFonts w:ascii="Arial" w:hAnsi="Arial"/>
          <w:b/>
          <w:spacing w:val="40"/>
        </w:rPr>
        <w:t> </w:t>
      </w:r>
      <w:r>
        <w:rPr/>
        <w:t>El</w:t>
      </w:r>
      <w:r>
        <w:rPr>
          <w:spacing w:val="40"/>
        </w:rPr>
        <w:t> </w:t>
      </w:r>
      <w:r>
        <w:rPr/>
        <w:t>procedimiento</w:t>
      </w:r>
      <w:r>
        <w:rPr>
          <w:spacing w:val="40"/>
        </w:rPr>
        <w:t> </w:t>
      </w:r>
      <w:r>
        <w:rPr/>
        <w:t>de</w:t>
      </w:r>
      <w:r>
        <w:rPr>
          <w:spacing w:val="40"/>
        </w:rPr>
        <w:t> </w:t>
      </w:r>
      <w:r>
        <w:rPr/>
        <w:t>selección</w:t>
      </w:r>
      <w:r>
        <w:rPr>
          <w:spacing w:val="40"/>
        </w:rPr>
        <w:t> </w:t>
      </w:r>
      <w:r>
        <w:rPr/>
        <w:t>de</w:t>
      </w:r>
      <w:r>
        <w:rPr>
          <w:spacing w:val="40"/>
        </w:rPr>
        <w:t> </w:t>
      </w:r>
      <w:r>
        <w:rPr/>
        <w:t>los</w:t>
      </w:r>
      <w:r>
        <w:rPr>
          <w:spacing w:val="40"/>
        </w:rPr>
        <w:t> </w:t>
      </w:r>
      <w:r>
        <w:rPr/>
        <w:t>conciliadores</w:t>
      </w:r>
      <w:r>
        <w:rPr>
          <w:spacing w:val="40"/>
        </w:rPr>
        <w:t> </w:t>
      </w:r>
      <w:r>
        <w:rPr/>
        <w:t>deberá</w:t>
      </w:r>
      <w:r>
        <w:rPr>
          <w:spacing w:val="40"/>
        </w:rPr>
        <w:t> </w:t>
      </w:r>
      <w:r>
        <w:rPr/>
        <w:t>garantizar</w:t>
      </w:r>
      <w:r>
        <w:rPr>
          <w:spacing w:val="40"/>
        </w:rPr>
        <w:t> </w:t>
      </w:r>
      <w:r>
        <w:rPr/>
        <w:t>que</w:t>
      </w:r>
      <w:r>
        <w:rPr>
          <w:spacing w:val="40"/>
        </w:rPr>
        <w:t> </w:t>
      </w:r>
      <w:r>
        <w:rPr/>
        <w:t>los</w:t>
      </w:r>
      <w:r>
        <w:rPr>
          <w:spacing w:val="40"/>
        </w:rPr>
        <w:t> </w:t>
      </w:r>
      <w:r>
        <w:rPr/>
        <w:t>aspirantes cuenten con las destrezas, habilidades y competencias siguientes:</w:t>
      </w:r>
    </w:p>
    <w:p>
      <w:pPr>
        <w:pStyle w:val="ListParagraph"/>
        <w:numPr>
          <w:ilvl w:val="1"/>
          <w:numId w:val="277"/>
        </w:numPr>
        <w:tabs>
          <w:tab w:pos="984" w:val="left" w:leader="none"/>
        </w:tabs>
        <w:spacing w:line="240" w:lineRule="auto" w:before="227" w:after="0"/>
        <w:ind w:left="984" w:right="0" w:hanging="358"/>
        <w:jc w:val="left"/>
        <w:rPr>
          <w:sz w:val="20"/>
        </w:rPr>
      </w:pPr>
      <w:r>
        <w:rPr>
          <w:sz w:val="20"/>
        </w:rPr>
        <w:t>Conocimientos</w:t>
      </w:r>
      <w:r>
        <w:rPr>
          <w:spacing w:val="-8"/>
          <w:sz w:val="20"/>
        </w:rPr>
        <w:t> </w:t>
      </w:r>
      <w:r>
        <w:rPr>
          <w:sz w:val="20"/>
        </w:rPr>
        <w:t>generales</w:t>
      </w:r>
      <w:r>
        <w:rPr>
          <w:spacing w:val="-7"/>
          <w:sz w:val="20"/>
        </w:rPr>
        <w:t> </w:t>
      </w:r>
      <w:r>
        <w:rPr>
          <w:sz w:val="20"/>
        </w:rPr>
        <w:t>de</w:t>
      </w:r>
      <w:r>
        <w:rPr>
          <w:spacing w:val="-8"/>
          <w:sz w:val="20"/>
        </w:rPr>
        <w:t> </w:t>
      </w:r>
      <w:r>
        <w:rPr>
          <w:sz w:val="20"/>
        </w:rPr>
        <w:t>derecho</w:t>
      </w:r>
      <w:r>
        <w:rPr>
          <w:spacing w:val="-7"/>
          <w:sz w:val="20"/>
        </w:rPr>
        <w:t> </w:t>
      </w:r>
      <w:r>
        <w:rPr>
          <w:sz w:val="20"/>
        </w:rPr>
        <w:t>y</w:t>
      </w:r>
      <w:r>
        <w:rPr>
          <w:spacing w:val="-9"/>
          <w:sz w:val="20"/>
        </w:rPr>
        <w:t> </w:t>
      </w:r>
      <w:r>
        <w:rPr>
          <w:sz w:val="20"/>
        </w:rPr>
        <w:t>específicos</w:t>
      </w:r>
      <w:r>
        <w:rPr>
          <w:spacing w:val="-7"/>
          <w:sz w:val="20"/>
        </w:rPr>
        <w:t> </w:t>
      </w:r>
      <w:r>
        <w:rPr>
          <w:sz w:val="20"/>
        </w:rPr>
        <w:t>en</w:t>
      </w:r>
      <w:r>
        <w:rPr>
          <w:spacing w:val="-5"/>
          <w:sz w:val="20"/>
        </w:rPr>
        <w:t> </w:t>
      </w:r>
      <w:r>
        <w:rPr>
          <w:sz w:val="20"/>
        </w:rPr>
        <w:t>materia</w:t>
      </w:r>
      <w:r>
        <w:rPr>
          <w:spacing w:val="-8"/>
          <w:sz w:val="20"/>
        </w:rPr>
        <w:t> </w:t>
      </w:r>
      <w:r>
        <w:rPr>
          <w:spacing w:val="-2"/>
          <w:sz w:val="20"/>
        </w:rPr>
        <w:t>laboral;</w:t>
      </w:r>
    </w:p>
    <w:p>
      <w:pPr>
        <w:pStyle w:val="ListParagraph"/>
        <w:numPr>
          <w:ilvl w:val="1"/>
          <w:numId w:val="277"/>
        </w:numPr>
        <w:tabs>
          <w:tab w:pos="984" w:val="left" w:leader="none"/>
        </w:tabs>
        <w:spacing w:line="240" w:lineRule="auto" w:before="228" w:after="0"/>
        <w:ind w:left="984" w:right="0" w:hanging="358"/>
        <w:jc w:val="left"/>
        <w:rPr>
          <w:sz w:val="20"/>
        </w:rPr>
      </w:pPr>
      <w:r>
        <w:rPr>
          <w:sz w:val="20"/>
        </w:rPr>
        <w:t>Análisis</w:t>
      </w:r>
      <w:r>
        <w:rPr>
          <w:spacing w:val="-5"/>
          <w:sz w:val="20"/>
        </w:rPr>
        <w:t> </w:t>
      </w:r>
      <w:r>
        <w:rPr>
          <w:sz w:val="20"/>
        </w:rPr>
        <w:t>y</w:t>
      </w:r>
      <w:r>
        <w:rPr>
          <w:spacing w:val="-10"/>
          <w:sz w:val="20"/>
        </w:rPr>
        <w:t> </w:t>
      </w:r>
      <w:r>
        <w:rPr>
          <w:sz w:val="20"/>
        </w:rPr>
        <w:t>resolución</w:t>
      </w:r>
      <w:r>
        <w:rPr>
          <w:spacing w:val="-7"/>
          <w:sz w:val="20"/>
        </w:rPr>
        <w:t> </w:t>
      </w:r>
      <w:r>
        <w:rPr>
          <w:sz w:val="20"/>
        </w:rPr>
        <w:t>de</w:t>
      </w:r>
      <w:r>
        <w:rPr>
          <w:spacing w:val="-8"/>
          <w:sz w:val="20"/>
        </w:rPr>
        <w:t> </w:t>
      </w:r>
      <w:r>
        <w:rPr>
          <w:spacing w:val="-2"/>
          <w:sz w:val="20"/>
        </w:rPr>
        <w:t>controversias;</w:t>
      </w:r>
    </w:p>
    <w:p>
      <w:pPr>
        <w:pStyle w:val="BodyText"/>
        <w:spacing w:before="1"/>
      </w:pPr>
    </w:p>
    <w:p>
      <w:pPr>
        <w:pStyle w:val="ListParagraph"/>
        <w:numPr>
          <w:ilvl w:val="1"/>
          <w:numId w:val="277"/>
        </w:numPr>
        <w:tabs>
          <w:tab w:pos="984" w:val="left" w:leader="none"/>
        </w:tabs>
        <w:spacing w:line="240" w:lineRule="auto" w:before="0" w:after="0"/>
        <w:ind w:left="984" w:right="0" w:hanging="358"/>
        <w:jc w:val="left"/>
        <w:rPr>
          <w:sz w:val="20"/>
        </w:rPr>
      </w:pPr>
      <w:r>
        <w:rPr>
          <w:sz w:val="20"/>
        </w:rPr>
        <w:t>Gestión</w:t>
      </w:r>
      <w:r>
        <w:rPr>
          <w:spacing w:val="-9"/>
          <w:sz w:val="20"/>
        </w:rPr>
        <w:t> </w:t>
      </w:r>
      <w:r>
        <w:rPr>
          <w:sz w:val="20"/>
        </w:rPr>
        <w:t>del</w:t>
      </w:r>
      <w:r>
        <w:rPr>
          <w:spacing w:val="-10"/>
          <w:sz w:val="20"/>
        </w:rPr>
        <w:t> </w:t>
      </w:r>
      <w:r>
        <w:rPr>
          <w:sz w:val="20"/>
        </w:rPr>
        <w:t>conflicto,</w:t>
      </w:r>
      <w:r>
        <w:rPr>
          <w:spacing w:val="-7"/>
          <w:sz w:val="20"/>
        </w:rPr>
        <w:t> </w:t>
      </w:r>
      <w:r>
        <w:rPr>
          <w:spacing w:val="-10"/>
          <w:sz w:val="20"/>
        </w:rPr>
        <w:t>y</w:t>
      </w:r>
    </w:p>
    <w:p>
      <w:pPr>
        <w:pStyle w:val="BodyText"/>
        <w:spacing w:before="1"/>
      </w:pPr>
    </w:p>
    <w:p>
      <w:pPr>
        <w:pStyle w:val="ListParagraph"/>
        <w:numPr>
          <w:ilvl w:val="1"/>
          <w:numId w:val="277"/>
        </w:numPr>
        <w:tabs>
          <w:tab w:pos="984" w:val="left" w:leader="none"/>
        </w:tabs>
        <w:spacing w:line="229" w:lineRule="exact" w:before="0" w:after="0"/>
        <w:ind w:left="984" w:right="0" w:hanging="358"/>
        <w:jc w:val="left"/>
        <w:rPr>
          <w:sz w:val="20"/>
        </w:rPr>
      </w:pPr>
      <w:r>
        <w:rPr>
          <w:sz w:val="20"/>
        </w:rPr>
        <w:t>Aptitudes</w:t>
      </w:r>
      <w:r>
        <w:rPr>
          <w:spacing w:val="-7"/>
          <w:sz w:val="20"/>
        </w:rPr>
        <w:t> </w:t>
      </w:r>
      <w:r>
        <w:rPr>
          <w:sz w:val="20"/>
        </w:rPr>
        <w:t>en</w:t>
      </w:r>
      <w:r>
        <w:rPr>
          <w:spacing w:val="-7"/>
          <w:sz w:val="20"/>
        </w:rPr>
        <w:t> </w:t>
      </w:r>
      <w:r>
        <w:rPr>
          <w:sz w:val="20"/>
        </w:rPr>
        <w:t>la</w:t>
      </w:r>
      <w:r>
        <w:rPr>
          <w:spacing w:val="-6"/>
          <w:sz w:val="20"/>
        </w:rPr>
        <w:t> </w:t>
      </w:r>
      <w:r>
        <w:rPr>
          <w:sz w:val="20"/>
        </w:rPr>
        <w:t>función</w:t>
      </w:r>
      <w:r>
        <w:rPr>
          <w:spacing w:val="-9"/>
          <w:sz w:val="20"/>
        </w:rPr>
        <w:t> </w:t>
      </w:r>
      <w:r>
        <w:rPr>
          <w:spacing w:val="-2"/>
          <w:sz w:val="20"/>
        </w:rPr>
        <w:t>conciliatoria.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BodyText"/>
        <w:spacing w:line="242" w:lineRule="auto"/>
        <w:ind w:left="338" w:right="345" w:firstLine="288"/>
        <w:jc w:val="both"/>
      </w:pPr>
      <w:bookmarkStart w:name="Artículo_684_N" w:id="861"/>
      <w:bookmarkEnd w:id="861"/>
      <w:r>
        <w:rPr/>
      </w:r>
      <w:r>
        <w:rPr>
          <w:rFonts w:ascii="Arial" w:hAnsi="Arial"/>
          <w:b/>
        </w:rPr>
        <w:t>Artículo 684-N.- </w:t>
      </w:r>
      <w:r>
        <w:rPr/>
        <w:t>El procedimiento de selección se llevará a cabo a través de concurso, cuya convocatoria deberán ser públicas y abiertas.</w:t>
      </w:r>
    </w:p>
    <w:p>
      <w:pPr>
        <w:pStyle w:val="BodyText"/>
        <w:spacing w:before="227"/>
        <w:ind w:left="338" w:right="342" w:firstLine="288"/>
        <w:jc w:val="both"/>
      </w:pPr>
      <w:r>
        <w:rPr/>
        <w:t>Las convocatorias deberán publicarse en el Diario Oficial de la Federación o en los órganos oficiales de difusión de las entidades federativas y en el portal de Internet del Centro de Conciliación, en el que deberá estar publicado de manera permanente mientras se desarrolle el concurso.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37" w:firstLine="288"/>
        <w:jc w:val="both"/>
      </w:pPr>
      <w:bookmarkStart w:name="Artículo_684_O" w:id="862"/>
      <w:bookmarkEnd w:id="862"/>
      <w:r>
        <w:rPr/>
      </w:r>
      <w:r>
        <w:rPr>
          <w:rFonts w:ascii="Arial" w:hAnsi="Arial"/>
          <w:b/>
        </w:rPr>
        <w:t>Artículo 684-O.- </w:t>
      </w:r>
      <w:r>
        <w:rPr/>
        <w:t>El Órgano de Gobierno del Centro de Conciliación, a propuesta del titular de ésta, aprobará la emisión de la convocatoria, que deberá contener:</w:t>
      </w:r>
    </w:p>
    <w:p>
      <w:pPr>
        <w:pStyle w:val="ListParagraph"/>
        <w:numPr>
          <w:ilvl w:val="2"/>
          <w:numId w:val="277"/>
        </w:numPr>
        <w:tabs>
          <w:tab w:pos="1195" w:val="left" w:leader="none"/>
        </w:tabs>
        <w:spacing w:line="240" w:lineRule="auto" w:before="227" w:after="0"/>
        <w:ind w:left="1195" w:right="0" w:hanging="569"/>
        <w:jc w:val="left"/>
        <w:rPr>
          <w:sz w:val="20"/>
        </w:rPr>
      </w:pPr>
      <w:r>
        <w:rPr>
          <w:sz w:val="20"/>
        </w:rPr>
        <w:t>El</w:t>
      </w:r>
      <w:r>
        <w:rPr>
          <w:spacing w:val="-5"/>
          <w:sz w:val="20"/>
        </w:rPr>
        <w:t> </w:t>
      </w:r>
      <w:r>
        <w:rPr>
          <w:sz w:val="20"/>
        </w:rPr>
        <w:t>número</w:t>
      </w:r>
      <w:r>
        <w:rPr>
          <w:spacing w:val="-5"/>
          <w:sz w:val="20"/>
        </w:rPr>
        <w:t> </w:t>
      </w:r>
      <w:r>
        <w:rPr>
          <w:sz w:val="20"/>
        </w:rPr>
        <w:t>de</w:t>
      </w:r>
      <w:r>
        <w:rPr>
          <w:spacing w:val="-6"/>
          <w:sz w:val="20"/>
        </w:rPr>
        <w:t> </w:t>
      </w:r>
      <w:r>
        <w:rPr>
          <w:spacing w:val="-2"/>
          <w:sz w:val="20"/>
        </w:rPr>
        <w:t>publicación;</w:t>
      </w:r>
    </w:p>
    <w:p>
      <w:pPr>
        <w:pStyle w:val="BodyText"/>
      </w:pPr>
    </w:p>
    <w:p>
      <w:pPr>
        <w:pStyle w:val="ListParagraph"/>
        <w:numPr>
          <w:ilvl w:val="2"/>
          <w:numId w:val="277"/>
        </w:numPr>
        <w:tabs>
          <w:tab w:pos="1195" w:val="left" w:leader="none"/>
        </w:tabs>
        <w:spacing w:line="240" w:lineRule="auto" w:before="0" w:after="0"/>
        <w:ind w:left="1195" w:right="0" w:hanging="569"/>
        <w:jc w:val="left"/>
        <w:rPr>
          <w:sz w:val="20"/>
        </w:rPr>
      </w:pPr>
      <w:r>
        <w:rPr>
          <w:sz w:val="20"/>
        </w:rPr>
        <w:t>El</w:t>
      </w:r>
      <w:r>
        <w:rPr>
          <w:spacing w:val="-6"/>
          <w:sz w:val="20"/>
        </w:rPr>
        <w:t> </w:t>
      </w:r>
      <w:r>
        <w:rPr>
          <w:sz w:val="20"/>
        </w:rPr>
        <w:t>número</w:t>
      </w:r>
      <w:r>
        <w:rPr>
          <w:spacing w:val="-6"/>
          <w:sz w:val="20"/>
        </w:rPr>
        <w:t> </w:t>
      </w:r>
      <w:r>
        <w:rPr>
          <w:sz w:val="20"/>
        </w:rPr>
        <w:t>de</w:t>
      </w:r>
      <w:r>
        <w:rPr>
          <w:spacing w:val="-6"/>
          <w:sz w:val="20"/>
        </w:rPr>
        <w:t> </w:t>
      </w:r>
      <w:r>
        <w:rPr>
          <w:sz w:val="20"/>
        </w:rPr>
        <w:t>plazas</w:t>
      </w:r>
      <w:r>
        <w:rPr>
          <w:spacing w:val="-6"/>
          <w:sz w:val="20"/>
        </w:rPr>
        <w:t> </w:t>
      </w:r>
      <w:r>
        <w:rPr>
          <w:sz w:val="20"/>
        </w:rPr>
        <w:t>sujetas</w:t>
      </w:r>
      <w:r>
        <w:rPr>
          <w:spacing w:val="-5"/>
          <w:sz w:val="20"/>
        </w:rPr>
        <w:t> </w:t>
      </w:r>
      <w:r>
        <w:rPr>
          <w:sz w:val="20"/>
        </w:rPr>
        <w:t>a</w:t>
      </w:r>
      <w:r>
        <w:rPr>
          <w:spacing w:val="-7"/>
          <w:sz w:val="20"/>
        </w:rPr>
        <w:t> </w:t>
      </w:r>
      <w:r>
        <w:rPr>
          <w:spacing w:val="-2"/>
          <w:sz w:val="20"/>
        </w:rPr>
        <w:t>concurso;</w:t>
      </w:r>
    </w:p>
    <w:p>
      <w:pPr>
        <w:pStyle w:val="ListParagraph"/>
        <w:numPr>
          <w:ilvl w:val="2"/>
          <w:numId w:val="277"/>
        </w:numPr>
        <w:tabs>
          <w:tab w:pos="1195" w:val="left" w:leader="none"/>
        </w:tabs>
        <w:spacing w:line="240" w:lineRule="auto" w:before="229" w:after="0"/>
        <w:ind w:left="1195" w:right="0" w:hanging="569"/>
        <w:jc w:val="left"/>
        <w:rPr>
          <w:sz w:val="20"/>
        </w:rPr>
      </w:pPr>
      <w:r>
        <w:rPr>
          <w:sz w:val="20"/>
        </w:rPr>
        <w:t>El</w:t>
      </w:r>
      <w:r>
        <w:rPr>
          <w:spacing w:val="-6"/>
          <w:sz w:val="20"/>
        </w:rPr>
        <w:t> </w:t>
      </w:r>
      <w:r>
        <w:rPr>
          <w:sz w:val="20"/>
        </w:rPr>
        <w:t>lugar</w:t>
      </w:r>
      <w:r>
        <w:rPr>
          <w:spacing w:val="-4"/>
          <w:sz w:val="20"/>
        </w:rPr>
        <w:t> </w:t>
      </w:r>
      <w:r>
        <w:rPr>
          <w:sz w:val="20"/>
        </w:rPr>
        <w:t>y</w:t>
      </w:r>
      <w:r>
        <w:rPr>
          <w:spacing w:val="-7"/>
          <w:sz w:val="20"/>
        </w:rPr>
        <w:t> </w:t>
      </w:r>
      <w:r>
        <w:rPr>
          <w:sz w:val="20"/>
        </w:rPr>
        <w:t>las</w:t>
      </w:r>
      <w:r>
        <w:rPr>
          <w:spacing w:val="-6"/>
          <w:sz w:val="20"/>
        </w:rPr>
        <w:t> </w:t>
      </w:r>
      <w:r>
        <w:rPr>
          <w:sz w:val="20"/>
        </w:rPr>
        <w:t>fechas</w:t>
      </w:r>
      <w:r>
        <w:rPr>
          <w:spacing w:val="-6"/>
          <w:sz w:val="20"/>
        </w:rPr>
        <w:t> </w:t>
      </w:r>
      <w:r>
        <w:rPr>
          <w:sz w:val="20"/>
        </w:rPr>
        <w:t>que</w:t>
      </w:r>
      <w:r>
        <w:rPr>
          <w:spacing w:val="-7"/>
          <w:sz w:val="20"/>
        </w:rPr>
        <w:t> </w:t>
      </w:r>
      <w:r>
        <w:rPr>
          <w:sz w:val="20"/>
        </w:rPr>
        <w:t>comprenderán</w:t>
      </w:r>
      <w:r>
        <w:rPr>
          <w:spacing w:val="-8"/>
          <w:sz w:val="20"/>
        </w:rPr>
        <w:t> </w:t>
      </w:r>
      <w:r>
        <w:rPr>
          <w:sz w:val="20"/>
        </w:rPr>
        <w:t>las</w:t>
      </w:r>
      <w:r>
        <w:rPr>
          <w:spacing w:val="-3"/>
          <w:sz w:val="20"/>
        </w:rPr>
        <w:t> </w:t>
      </w:r>
      <w:r>
        <w:rPr>
          <w:sz w:val="20"/>
        </w:rPr>
        <w:t>etapas</w:t>
      </w:r>
      <w:r>
        <w:rPr>
          <w:spacing w:val="-6"/>
          <w:sz w:val="20"/>
        </w:rPr>
        <w:t> </w:t>
      </w:r>
      <w:r>
        <w:rPr>
          <w:sz w:val="20"/>
        </w:rPr>
        <w:t>del</w:t>
      </w:r>
      <w:r>
        <w:rPr>
          <w:spacing w:val="-6"/>
          <w:sz w:val="20"/>
        </w:rPr>
        <w:t> </w:t>
      </w:r>
      <w:r>
        <w:rPr>
          <w:spacing w:val="-2"/>
          <w:sz w:val="20"/>
        </w:rPr>
        <w:t>procedimiento;</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3"/>
      </w:pPr>
    </w:p>
    <w:p>
      <w:pPr>
        <w:pStyle w:val="ListParagraph"/>
        <w:numPr>
          <w:ilvl w:val="2"/>
          <w:numId w:val="277"/>
        </w:numPr>
        <w:tabs>
          <w:tab w:pos="1195" w:val="left" w:leader="none"/>
        </w:tabs>
        <w:spacing w:line="242" w:lineRule="auto" w:before="0" w:after="0"/>
        <w:ind w:left="1195" w:right="344" w:hanging="569"/>
        <w:jc w:val="both"/>
        <w:rPr>
          <w:sz w:val="20"/>
        </w:rPr>
      </w:pPr>
      <w:r>
        <w:rPr>
          <w:sz w:val="20"/>
        </w:rPr>
        <w:t>Los documentos que deberán acompañarse a la solicitud de inscripción al procedimiento, que </w:t>
      </w:r>
      <w:r>
        <w:rPr>
          <w:spacing w:val="-2"/>
          <w:sz w:val="20"/>
        </w:rPr>
        <w:t>serán:</w:t>
      </w:r>
    </w:p>
    <w:p>
      <w:pPr>
        <w:pStyle w:val="ListParagraph"/>
        <w:numPr>
          <w:ilvl w:val="3"/>
          <w:numId w:val="277"/>
        </w:numPr>
        <w:tabs>
          <w:tab w:pos="1649" w:val="left" w:leader="none"/>
        </w:tabs>
        <w:spacing w:line="242" w:lineRule="auto" w:before="227" w:after="0"/>
        <w:ind w:left="1649" w:right="345" w:hanging="454"/>
        <w:jc w:val="left"/>
        <w:rPr>
          <w:sz w:val="20"/>
        </w:rPr>
      </w:pPr>
      <w:r>
        <w:rPr>
          <w:sz w:val="20"/>
        </w:rPr>
        <w:t>Formato</w:t>
      </w:r>
      <w:r>
        <w:rPr>
          <w:spacing w:val="26"/>
          <w:sz w:val="20"/>
        </w:rPr>
        <w:t> </w:t>
      </w:r>
      <w:r>
        <w:rPr>
          <w:sz w:val="20"/>
        </w:rPr>
        <w:t>de</w:t>
      </w:r>
      <w:r>
        <w:rPr>
          <w:spacing w:val="28"/>
          <w:sz w:val="20"/>
        </w:rPr>
        <w:t> </w:t>
      </w:r>
      <w:r>
        <w:rPr>
          <w:sz w:val="20"/>
        </w:rPr>
        <w:t>inscripción,</w:t>
      </w:r>
      <w:r>
        <w:rPr>
          <w:spacing w:val="26"/>
          <w:sz w:val="20"/>
        </w:rPr>
        <w:t> </w:t>
      </w:r>
      <w:r>
        <w:rPr>
          <w:sz w:val="20"/>
        </w:rPr>
        <w:t>que</w:t>
      </w:r>
      <w:r>
        <w:rPr>
          <w:spacing w:val="26"/>
          <w:sz w:val="20"/>
        </w:rPr>
        <w:t> </w:t>
      </w:r>
      <w:r>
        <w:rPr>
          <w:sz w:val="20"/>
        </w:rPr>
        <w:t>se</w:t>
      </w:r>
      <w:r>
        <w:rPr>
          <w:spacing w:val="26"/>
          <w:sz w:val="20"/>
        </w:rPr>
        <w:t> </w:t>
      </w:r>
      <w:r>
        <w:rPr>
          <w:sz w:val="20"/>
        </w:rPr>
        <w:t>pondrá</w:t>
      </w:r>
      <w:r>
        <w:rPr>
          <w:spacing w:val="26"/>
          <w:sz w:val="20"/>
        </w:rPr>
        <w:t> </w:t>
      </w:r>
      <w:r>
        <w:rPr>
          <w:sz w:val="20"/>
        </w:rPr>
        <w:t>a</w:t>
      </w:r>
      <w:r>
        <w:rPr>
          <w:spacing w:val="28"/>
          <w:sz w:val="20"/>
        </w:rPr>
        <w:t> </w:t>
      </w:r>
      <w:r>
        <w:rPr>
          <w:sz w:val="20"/>
        </w:rPr>
        <w:t>disposición</w:t>
      </w:r>
      <w:r>
        <w:rPr>
          <w:spacing w:val="28"/>
          <w:sz w:val="20"/>
        </w:rPr>
        <w:t> </w:t>
      </w:r>
      <w:r>
        <w:rPr>
          <w:sz w:val="20"/>
        </w:rPr>
        <w:t>en</w:t>
      </w:r>
      <w:r>
        <w:rPr>
          <w:spacing w:val="28"/>
          <w:sz w:val="20"/>
        </w:rPr>
        <w:t> </w:t>
      </w:r>
      <w:r>
        <w:rPr>
          <w:sz w:val="20"/>
        </w:rPr>
        <w:t>las</w:t>
      </w:r>
      <w:r>
        <w:rPr>
          <w:spacing w:val="30"/>
          <w:sz w:val="20"/>
        </w:rPr>
        <w:t> </w:t>
      </w:r>
      <w:r>
        <w:rPr>
          <w:sz w:val="20"/>
        </w:rPr>
        <w:t>instalaciones</w:t>
      </w:r>
      <w:r>
        <w:rPr>
          <w:spacing w:val="30"/>
          <w:sz w:val="20"/>
        </w:rPr>
        <w:t> </w:t>
      </w:r>
      <w:r>
        <w:rPr>
          <w:sz w:val="20"/>
        </w:rPr>
        <w:t>del</w:t>
      </w:r>
      <w:r>
        <w:rPr>
          <w:spacing w:val="28"/>
          <w:sz w:val="20"/>
        </w:rPr>
        <w:t> </w:t>
      </w:r>
      <w:r>
        <w:rPr>
          <w:sz w:val="20"/>
        </w:rPr>
        <w:t>Centro</w:t>
      </w:r>
      <w:r>
        <w:rPr>
          <w:spacing w:val="29"/>
          <w:sz w:val="20"/>
        </w:rPr>
        <w:t> </w:t>
      </w:r>
      <w:r>
        <w:rPr>
          <w:sz w:val="20"/>
        </w:rPr>
        <w:t>de Conciliación y en su portal de Internet;</w:t>
      </w:r>
    </w:p>
    <w:p>
      <w:pPr>
        <w:pStyle w:val="ListParagraph"/>
        <w:numPr>
          <w:ilvl w:val="3"/>
          <w:numId w:val="277"/>
        </w:numPr>
        <w:tabs>
          <w:tab w:pos="1649" w:val="left" w:leader="none"/>
        </w:tabs>
        <w:spacing w:line="242" w:lineRule="auto" w:before="224" w:after="0"/>
        <w:ind w:left="1649" w:right="340" w:hanging="454"/>
        <w:jc w:val="left"/>
        <w:rPr>
          <w:sz w:val="20"/>
        </w:rPr>
      </w:pPr>
      <w:r>
        <w:rPr>
          <w:sz w:val="20"/>
        </w:rPr>
        <w:t>Currículum vitae</w:t>
      </w:r>
      <w:r>
        <w:rPr>
          <w:spacing w:val="-1"/>
          <w:sz w:val="20"/>
        </w:rPr>
        <w:t> </w:t>
      </w:r>
      <w:r>
        <w:rPr>
          <w:sz w:val="20"/>
        </w:rPr>
        <w:t>actualizado</w:t>
      </w:r>
      <w:r>
        <w:rPr>
          <w:spacing w:val="-1"/>
          <w:sz w:val="20"/>
        </w:rPr>
        <w:t> </w:t>
      </w:r>
      <w:r>
        <w:rPr>
          <w:sz w:val="20"/>
        </w:rPr>
        <w:t>del</w:t>
      </w:r>
      <w:r>
        <w:rPr>
          <w:spacing w:val="-1"/>
          <w:sz w:val="20"/>
        </w:rPr>
        <w:t> </w:t>
      </w:r>
      <w:r>
        <w:rPr>
          <w:sz w:val="20"/>
        </w:rPr>
        <w:t>aspirante, acompañado</w:t>
      </w:r>
      <w:r>
        <w:rPr>
          <w:spacing w:val="-1"/>
          <w:sz w:val="20"/>
        </w:rPr>
        <w:t> </w:t>
      </w:r>
      <w:r>
        <w:rPr>
          <w:sz w:val="20"/>
        </w:rPr>
        <w:t>con los documentos que</w:t>
      </w:r>
      <w:r>
        <w:rPr>
          <w:spacing w:val="-1"/>
          <w:sz w:val="20"/>
        </w:rPr>
        <w:t> </w:t>
      </w:r>
      <w:r>
        <w:rPr>
          <w:sz w:val="20"/>
        </w:rPr>
        <w:t>soporten la información;</w:t>
      </w:r>
    </w:p>
    <w:p>
      <w:pPr>
        <w:pStyle w:val="ListParagraph"/>
        <w:numPr>
          <w:ilvl w:val="3"/>
          <w:numId w:val="277"/>
        </w:numPr>
        <w:tabs>
          <w:tab w:pos="1649" w:val="left" w:leader="none"/>
        </w:tabs>
        <w:spacing w:line="240" w:lineRule="auto" w:before="227" w:after="0"/>
        <w:ind w:left="1649" w:right="0" w:hanging="454"/>
        <w:jc w:val="left"/>
        <w:rPr>
          <w:sz w:val="20"/>
        </w:rPr>
      </w:pPr>
      <w:r>
        <w:rPr>
          <w:sz w:val="20"/>
        </w:rPr>
        <w:t>Copia</w:t>
      </w:r>
      <w:r>
        <w:rPr>
          <w:spacing w:val="-7"/>
          <w:sz w:val="20"/>
        </w:rPr>
        <w:t> </w:t>
      </w:r>
      <w:r>
        <w:rPr>
          <w:sz w:val="20"/>
        </w:rPr>
        <w:t>certificada</w:t>
      </w:r>
      <w:r>
        <w:rPr>
          <w:spacing w:val="-7"/>
          <w:sz w:val="20"/>
        </w:rPr>
        <w:t> </w:t>
      </w:r>
      <w:r>
        <w:rPr>
          <w:sz w:val="20"/>
        </w:rPr>
        <w:t>del</w:t>
      </w:r>
      <w:r>
        <w:rPr>
          <w:spacing w:val="-6"/>
          <w:sz w:val="20"/>
        </w:rPr>
        <w:t> </w:t>
      </w:r>
      <w:r>
        <w:rPr>
          <w:sz w:val="20"/>
        </w:rPr>
        <w:t>acta</w:t>
      </w:r>
      <w:r>
        <w:rPr>
          <w:spacing w:val="-8"/>
          <w:sz w:val="20"/>
        </w:rPr>
        <w:t> </w:t>
      </w:r>
      <w:r>
        <w:rPr>
          <w:sz w:val="20"/>
        </w:rPr>
        <w:t>de</w:t>
      </w:r>
      <w:r>
        <w:rPr>
          <w:spacing w:val="-7"/>
          <w:sz w:val="20"/>
        </w:rPr>
        <w:t> </w:t>
      </w:r>
      <w:r>
        <w:rPr>
          <w:spacing w:val="-2"/>
          <w:sz w:val="20"/>
        </w:rPr>
        <w:t>nacimiento;</w:t>
      </w:r>
    </w:p>
    <w:p>
      <w:pPr>
        <w:pStyle w:val="ListParagraph"/>
        <w:numPr>
          <w:ilvl w:val="3"/>
          <w:numId w:val="277"/>
        </w:numPr>
        <w:tabs>
          <w:tab w:pos="1649" w:val="left" w:leader="none"/>
        </w:tabs>
        <w:spacing w:line="240" w:lineRule="auto" w:before="229" w:after="0"/>
        <w:ind w:left="1649" w:right="0" w:hanging="454"/>
        <w:jc w:val="left"/>
        <w:rPr>
          <w:sz w:val="20"/>
        </w:rPr>
      </w:pPr>
      <w:r>
        <w:rPr>
          <w:sz w:val="20"/>
        </w:rPr>
        <w:t>Copia</w:t>
      </w:r>
      <w:r>
        <w:rPr>
          <w:spacing w:val="-6"/>
          <w:sz w:val="20"/>
        </w:rPr>
        <w:t> </w:t>
      </w:r>
      <w:r>
        <w:rPr>
          <w:sz w:val="20"/>
        </w:rPr>
        <w:t>del</w:t>
      </w:r>
      <w:r>
        <w:rPr>
          <w:spacing w:val="-7"/>
          <w:sz w:val="20"/>
        </w:rPr>
        <w:t> </w:t>
      </w:r>
      <w:r>
        <w:rPr>
          <w:sz w:val="20"/>
        </w:rPr>
        <w:t>Título</w:t>
      </w:r>
      <w:r>
        <w:rPr>
          <w:spacing w:val="-1"/>
          <w:sz w:val="20"/>
        </w:rPr>
        <w:t> </w:t>
      </w:r>
      <w:r>
        <w:rPr>
          <w:sz w:val="20"/>
        </w:rPr>
        <w:t>y</w:t>
      </w:r>
      <w:r>
        <w:rPr>
          <w:spacing w:val="-9"/>
          <w:sz w:val="20"/>
        </w:rPr>
        <w:t> </w:t>
      </w:r>
      <w:r>
        <w:rPr>
          <w:sz w:val="20"/>
        </w:rPr>
        <w:t>de</w:t>
      </w:r>
      <w:r>
        <w:rPr>
          <w:spacing w:val="-4"/>
          <w:sz w:val="20"/>
        </w:rPr>
        <w:t> </w:t>
      </w:r>
      <w:r>
        <w:rPr>
          <w:sz w:val="20"/>
        </w:rPr>
        <w:t>la</w:t>
      </w:r>
      <w:r>
        <w:rPr>
          <w:spacing w:val="-3"/>
          <w:sz w:val="20"/>
        </w:rPr>
        <w:t> </w:t>
      </w:r>
      <w:r>
        <w:rPr>
          <w:sz w:val="20"/>
        </w:rPr>
        <w:t>cédula</w:t>
      </w:r>
      <w:r>
        <w:rPr>
          <w:spacing w:val="-4"/>
          <w:sz w:val="20"/>
        </w:rPr>
        <w:t> </w:t>
      </w:r>
      <w:r>
        <w:rPr>
          <w:spacing w:val="-2"/>
          <w:sz w:val="20"/>
        </w:rPr>
        <w:t>profesional;</w:t>
      </w:r>
    </w:p>
    <w:p>
      <w:pPr>
        <w:pStyle w:val="BodyText"/>
        <w:spacing w:before="1"/>
      </w:pPr>
    </w:p>
    <w:p>
      <w:pPr>
        <w:pStyle w:val="ListParagraph"/>
        <w:numPr>
          <w:ilvl w:val="3"/>
          <w:numId w:val="277"/>
        </w:numPr>
        <w:tabs>
          <w:tab w:pos="1649" w:val="left" w:leader="none"/>
        </w:tabs>
        <w:spacing w:line="242" w:lineRule="auto" w:before="0" w:after="0"/>
        <w:ind w:left="1649" w:right="336" w:hanging="454"/>
        <w:jc w:val="left"/>
        <w:rPr>
          <w:sz w:val="20"/>
        </w:rPr>
      </w:pPr>
      <w:r>
        <w:rPr>
          <w:sz w:val="20"/>
        </w:rPr>
        <w:t>Escrito en el que, bajo protesta de decir verdad, manifieste encontrarse en pleno goce de sus derechos, y</w:t>
      </w:r>
    </w:p>
    <w:p>
      <w:pPr>
        <w:pStyle w:val="ListParagraph"/>
        <w:numPr>
          <w:ilvl w:val="3"/>
          <w:numId w:val="277"/>
        </w:numPr>
        <w:tabs>
          <w:tab w:pos="1649" w:val="left" w:leader="none"/>
        </w:tabs>
        <w:spacing w:line="240" w:lineRule="auto" w:before="224" w:after="0"/>
        <w:ind w:left="1649" w:right="0" w:hanging="454"/>
        <w:jc w:val="left"/>
        <w:rPr>
          <w:sz w:val="20"/>
        </w:rPr>
      </w:pPr>
      <w:r>
        <w:rPr>
          <w:sz w:val="20"/>
        </w:rPr>
        <w:t>Comprobante</w:t>
      </w:r>
      <w:r>
        <w:rPr>
          <w:spacing w:val="-11"/>
          <w:sz w:val="20"/>
        </w:rPr>
        <w:t> </w:t>
      </w:r>
      <w:r>
        <w:rPr>
          <w:sz w:val="20"/>
        </w:rPr>
        <w:t>de</w:t>
      </w:r>
      <w:r>
        <w:rPr>
          <w:spacing w:val="-10"/>
          <w:sz w:val="20"/>
        </w:rPr>
        <w:t> </w:t>
      </w:r>
      <w:r>
        <w:rPr>
          <w:spacing w:val="-2"/>
          <w:sz w:val="20"/>
        </w:rPr>
        <w:t>domicilio.</w:t>
      </w:r>
    </w:p>
    <w:p>
      <w:pPr>
        <w:pStyle w:val="BodyText"/>
        <w:spacing w:before="1"/>
      </w:pPr>
    </w:p>
    <w:p>
      <w:pPr>
        <w:pStyle w:val="ListParagraph"/>
        <w:numPr>
          <w:ilvl w:val="2"/>
          <w:numId w:val="277"/>
        </w:numPr>
        <w:tabs>
          <w:tab w:pos="1195" w:val="left" w:leader="none"/>
        </w:tabs>
        <w:spacing w:line="240" w:lineRule="auto" w:before="0" w:after="0"/>
        <w:ind w:left="1195" w:right="0" w:hanging="569"/>
        <w:jc w:val="left"/>
        <w:rPr>
          <w:sz w:val="20"/>
        </w:rPr>
      </w:pPr>
      <w:r>
        <w:rPr>
          <w:sz w:val="20"/>
        </w:rPr>
        <w:t>El</w:t>
      </w:r>
      <w:r>
        <w:rPr>
          <w:spacing w:val="-8"/>
          <w:sz w:val="20"/>
        </w:rPr>
        <w:t> </w:t>
      </w:r>
      <w:r>
        <w:rPr>
          <w:sz w:val="20"/>
        </w:rPr>
        <w:t>material</w:t>
      </w:r>
      <w:r>
        <w:rPr>
          <w:spacing w:val="-8"/>
          <w:sz w:val="20"/>
        </w:rPr>
        <w:t> </w:t>
      </w:r>
      <w:r>
        <w:rPr>
          <w:sz w:val="20"/>
        </w:rPr>
        <w:t>de</w:t>
      </w:r>
      <w:r>
        <w:rPr>
          <w:spacing w:val="-7"/>
          <w:sz w:val="20"/>
        </w:rPr>
        <w:t> </w:t>
      </w:r>
      <w:r>
        <w:rPr>
          <w:sz w:val="20"/>
        </w:rPr>
        <w:t>apoyo</w:t>
      </w:r>
      <w:r>
        <w:rPr>
          <w:spacing w:val="-5"/>
          <w:sz w:val="20"/>
        </w:rPr>
        <w:t> </w:t>
      </w:r>
      <w:r>
        <w:rPr>
          <w:sz w:val="20"/>
        </w:rPr>
        <w:t>que</w:t>
      </w:r>
      <w:r>
        <w:rPr>
          <w:spacing w:val="-7"/>
          <w:sz w:val="20"/>
        </w:rPr>
        <w:t> </w:t>
      </w:r>
      <w:r>
        <w:rPr>
          <w:sz w:val="20"/>
        </w:rPr>
        <w:t>podrán</w:t>
      </w:r>
      <w:r>
        <w:rPr>
          <w:spacing w:val="-8"/>
          <w:sz w:val="20"/>
        </w:rPr>
        <w:t> </w:t>
      </w:r>
      <w:r>
        <w:rPr>
          <w:sz w:val="20"/>
        </w:rPr>
        <w:t>consultar</w:t>
      </w:r>
      <w:r>
        <w:rPr>
          <w:spacing w:val="-7"/>
          <w:sz w:val="20"/>
        </w:rPr>
        <w:t> </w:t>
      </w:r>
      <w:r>
        <w:rPr>
          <w:sz w:val="20"/>
        </w:rPr>
        <w:t>los</w:t>
      </w:r>
      <w:r>
        <w:rPr>
          <w:spacing w:val="-4"/>
          <w:sz w:val="20"/>
        </w:rPr>
        <w:t> </w:t>
      </w:r>
      <w:r>
        <w:rPr>
          <w:sz w:val="20"/>
        </w:rPr>
        <w:t>participantes</w:t>
      </w:r>
      <w:r>
        <w:rPr>
          <w:spacing w:val="-6"/>
          <w:sz w:val="20"/>
        </w:rPr>
        <w:t> </w:t>
      </w:r>
      <w:r>
        <w:rPr>
          <w:sz w:val="20"/>
        </w:rPr>
        <w:t>en</w:t>
      </w:r>
      <w:r>
        <w:rPr>
          <w:spacing w:val="-6"/>
          <w:sz w:val="20"/>
        </w:rPr>
        <w:t> </w:t>
      </w:r>
      <w:r>
        <w:rPr>
          <w:sz w:val="20"/>
        </w:rPr>
        <w:t>las</w:t>
      </w:r>
      <w:r>
        <w:rPr>
          <w:spacing w:val="-6"/>
          <w:sz w:val="20"/>
        </w:rPr>
        <w:t> </w:t>
      </w:r>
      <w:r>
        <w:rPr>
          <w:sz w:val="20"/>
        </w:rPr>
        <w:t>distintas</w:t>
      </w:r>
      <w:r>
        <w:rPr>
          <w:spacing w:val="-6"/>
          <w:sz w:val="20"/>
        </w:rPr>
        <w:t> </w:t>
      </w:r>
      <w:r>
        <w:rPr>
          <w:sz w:val="20"/>
        </w:rPr>
        <w:t>fases,</w:t>
      </w:r>
      <w:r>
        <w:rPr>
          <w:spacing w:val="-5"/>
          <w:sz w:val="20"/>
        </w:rPr>
        <w:t> </w:t>
      </w:r>
      <w:r>
        <w:rPr>
          <w:spacing w:val="-10"/>
          <w:sz w:val="20"/>
        </w:rPr>
        <w:t>y</w:t>
      </w:r>
    </w:p>
    <w:p>
      <w:pPr>
        <w:pStyle w:val="BodyText"/>
      </w:pPr>
    </w:p>
    <w:p>
      <w:pPr>
        <w:pStyle w:val="ListParagraph"/>
        <w:numPr>
          <w:ilvl w:val="2"/>
          <w:numId w:val="277"/>
        </w:numPr>
        <w:tabs>
          <w:tab w:pos="1195" w:val="left" w:leader="none"/>
        </w:tabs>
        <w:spacing w:line="240" w:lineRule="auto" w:before="1" w:after="0"/>
        <w:ind w:left="1195" w:right="339" w:hanging="569"/>
        <w:jc w:val="both"/>
        <w:rPr>
          <w:sz w:val="20"/>
        </w:rPr>
      </w:pPr>
      <w:r>
        <w:rPr>
          <w:sz w:val="20"/>
        </w:rPr>
        <w:t>El formato de Conocimiento y Aceptación de las Bases y Lineamientos del Concurso de Selección, en el que el solicitante manifieste que es sabedor de los requisitos de la inscripción, las reglas del procedimiento y su conformidad con ellos.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2" w:firstLine="288"/>
        <w:jc w:val="both"/>
      </w:pPr>
      <w:bookmarkStart w:name="Artículo_684_P" w:id="863"/>
      <w:bookmarkEnd w:id="863"/>
      <w:r>
        <w:rPr/>
      </w:r>
      <w:r>
        <w:rPr>
          <w:rFonts w:ascii="Arial" w:hAnsi="Arial"/>
          <w:b/>
        </w:rPr>
        <w:t>Artículo 684-P.- </w:t>
      </w:r>
      <w:r>
        <w:rPr/>
        <w:t>Para participar en el procedimiento de selección de conciliadores, deberán cumplirse con los requisitos que establece esta Ley. Las Autoridades Conciliadoras elaborarán la lista de los participantes, a los que les asignará un folio de referencia, que será el único medio para identificar a los aspirantes en la etapa de evaluación del procedimiento.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0"/>
        <w:ind w:left="626" w:right="0" w:firstLine="0"/>
        <w:jc w:val="left"/>
        <w:rPr>
          <w:sz w:val="20"/>
        </w:rPr>
      </w:pPr>
      <w:bookmarkStart w:name="Artículo_684_Q" w:id="864"/>
      <w:bookmarkEnd w:id="864"/>
      <w:r>
        <w:rPr/>
      </w:r>
      <w:r>
        <w:rPr>
          <w:rFonts w:ascii="Arial" w:hAnsi="Arial"/>
          <w:b/>
          <w:sz w:val="20"/>
        </w:rPr>
        <w:t>Artículo</w:t>
      </w:r>
      <w:r>
        <w:rPr>
          <w:rFonts w:ascii="Arial" w:hAnsi="Arial"/>
          <w:b/>
          <w:spacing w:val="-10"/>
          <w:sz w:val="20"/>
        </w:rPr>
        <w:t> </w:t>
      </w:r>
      <w:r>
        <w:rPr>
          <w:rFonts w:ascii="Arial" w:hAnsi="Arial"/>
          <w:b/>
          <w:sz w:val="20"/>
        </w:rPr>
        <w:t>684-Q.-</w:t>
      </w:r>
      <w:r>
        <w:rPr>
          <w:rFonts w:ascii="Arial" w:hAnsi="Arial"/>
          <w:b/>
          <w:spacing w:val="-9"/>
          <w:sz w:val="20"/>
        </w:rPr>
        <w:t> </w:t>
      </w:r>
      <w:r>
        <w:rPr>
          <w:sz w:val="20"/>
        </w:rPr>
        <w:t>Los</w:t>
      </w:r>
      <w:r>
        <w:rPr>
          <w:spacing w:val="-7"/>
          <w:sz w:val="20"/>
        </w:rPr>
        <w:t> </w:t>
      </w:r>
      <w:r>
        <w:rPr>
          <w:sz w:val="20"/>
        </w:rPr>
        <w:t>participantes</w:t>
      </w:r>
      <w:r>
        <w:rPr>
          <w:spacing w:val="-10"/>
          <w:sz w:val="20"/>
        </w:rPr>
        <w:t> </w:t>
      </w:r>
      <w:r>
        <w:rPr>
          <w:sz w:val="20"/>
        </w:rPr>
        <w:t>tendrán</w:t>
      </w:r>
      <w:r>
        <w:rPr>
          <w:spacing w:val="-10"/>
          <w:sz w:val="20"/>
        </w:rPr>
        <w:t> </w:t>
      </w:r>
      <w:r>
        <w:rPr>
          <w:sz w:val="20"/>
        </w:rPr>
        <w:t>derecho</w:t>
      </w:r>
      <w:r>
        <w:rPr>
          <w:spacing w:val="-10"/>
          <w:sz w:val="20"/>
        </w:rPr>
        <w:t> </w:t>
      </w:r>
      <w:r>
        <w:rPr>
          <w:spacing w:val="-7"/>
          <w:sz w:val="20"/>
        </w:rPr>
        <w:t>a:</w:t>
      </w:r>
    </w:p>
    <w:p>
      <w:pPr>
        <w:pStyle w:val="ListParagraph"/>
        <w:numPr>
          <w:ilvl w:val="0"/>
          <w:numId w:val="278"/>
        </w:numPr>
        <w:tabs>
          <w:tab w:pos="1195" w:val="left" w:leader="none"/>
        </w:tabs>
        <w:spacing w:line="240" w:lineRule="auto" w:before="228" w:after="0"/>
        <w:ind w:left="1195" w:right="0" w:hanging="569"/>
        <w:jc w:val="left"/>
        <w:rPr>
          <w:sz w:val="20"/>
        </w:rPr>
      </w:pPr>
      <w:r>
        <w:rPr>
          <w:sz w:val="20"/>
        </w:rPr>
        <w:t>Concursar</w:t>
      </w:r>
      <w:r>
        <w:rPr>
          <w:spacing w:val="-8"/>
          <w:sz w:val="20"/>
        </w:rPr>
        <w:t> </w:t>
      </w:r>
      <w:r>
        <w:rPr>
          <w:sz w:val="20"/>
        </w:rPr>
        <w:t>en</w:t>
      </w:r>
      <w:r>
        <w:rPr>
          <w:spacing w:val="-5"/>
          <w:sz w:val="20"/>
        </w:rPr>
        <w:t> </w:t>
      </w:r>
      <w:r>
        <w:rPr>
          <w:sz w:val="20"/>
        </w:rPr>
        <w:t>igualdad</w:t>
      </w:r>
      <w:r>
        <w:rPr>
          <w:spacing w:val="-7"/>
          <w:sz w:val="20"/>
        </w:rPr>
        <w:t> </w:t>
      </w:r>
      <w:r>
        <w:rPr>
          <w:sz w:val="20"/>
        </w:rPr>
        <w:t>de</w:t>
      </w:r>
      <w:r>
        <w:rPr>
          <w:spacing w:val="-6"/>
          <w:sz w:val="20"/>
        </w:rPr>
        <w:t> </w:t>
      </w:r>
      <w:r>
        <w:rPr>
          <w:spacing w:val="-2"/>
          <w:sz w:val="20"/>
        </w:rPr>
        <w:t>condiciones;</w:t>
      </w:r>
    </w:p>
    <w:p>
      <w:pPr>
        <w:pStyle w:val="BodyText"/>
        <w:spacing w:before="1"/>
      </w:pPr>
    </w:p>
    <w:p>
      <w:pPr>
        <w:pStyle w:val="ListParagraph"/>
        <w:numPr>
          <w:ilvl w:val="0"/>
          <w:numId w:val="278"/>
        </w:numPr>
        <w:tabs>
          <w:tab w:pos="1195" w:val="left" w:leader="none"/>
        </w:tabs>
        <w:spacing w:line="240" w:lineRule="auto" w:before="0" w:after="0"/>
        <w:ind w:left="1195" w:right="0" w:hanging="569"/>
        <w:jc w:val="left"/>
        <w:rPr>
          <w:sz w:val="20"/>
        </w:rPr>
      </w:pPr>
      <w:r>
        <w:rPr>
          <w:sz w:val="20"/>
        </w:rPr>
        <w:t>Contar</w:t>
      </w:r>
      <w:r>
        <w:rPr>
          <w:spacing w:val="-7"/>
          <w:sz w:val="20"/>
        </w:rPr>
        <w:t> </w:t>
      </w:r>
      <w:r>
        <w:rPr>
          <w:sz w:val="20"/>
        </w:rPr>
        <w:t>con</w:t>
      </w:r>
      <w:r>
        <w:rPr>
          <w:spacing w:val="-6"/>
          <w:sz w:val="20"/>
        </w:rPr>
        <w:t> </w:t>
      </w:r>
      <w:r>
        <w:rPr>
          <w:sz w:val="20"/>
        </w:rPr>
        <w:t>el</w:t>
      </w:r>
      <w:r>
        <w:rPr>
          <w:spacing w:val="-7"/>
          <w:sz w:val="20"/>
        </w:rPr>
        <w:t> </w:t>
      </w:r>
      <w:r>
        <w:rPr>
          <w:sz w:val="20"/>
        </w:rPr>
        <w:t>lugar,</w:t>
      </w:r>
      <w:r>
        <w:rPr>
          <w:spacing w:val="-4"/>
          <w:sz w:val="20"/>
        </w:rPr>
        <w:t> </w:t>
      </w:r>
      <w:r>
        <w:rPr>
          <w:sz w:val="20"/>
        </w:rPr>
        <w:t>equipo</w:t>
      </w:r>
      <w:r>
        <w:rPr>
          <w:spacing w:val="-3"/>
          <w:sz w:val="20"/>
        </w:rPr>
        <w:t> </w:t>
      </w:r>
      <w:r>
        <w:rPr>
          <w:sz w:val="20"/>
        </w:rPr>
        <w:t>y</w:t>
      </w:r>
      <w:r>
        <w:rPr>
          <w:spacing w:val="-9"/>
          <w:sz w:val="20"/>
        </w:rPr>
        <w:t> </w:t>
      </w:r>
      <w:r>
        <w:rPr>
          <w:sz w:val="20"/>
        </w:rPr>
        <w:t>tiempo</w:t>
      </w:r>
      <w:r>
        <w:rPr>
          <w:spacing w:val="-7"/>
          <w:sz w:val="20"/>
        </w:rPr>
        <w:t> </w:t>
      </w:r>
      <w:r>
        <w:rPr>
          <w:sz w:val="20"/>
        </w:rPr>
        <w:t>necesarios</w:t>
      </w:r>
      <w:r>
        <w:rPr>
          <w:spacing w:val="-6"/>
          <w:sz w:val="20"/>
        </w:rPr>
        <w:t> </w:t>
      </w:r>
      <w:r>
        <w:rPr>
          <w:sz w:val="20"/>
        </w:rPr>
        <w:t>para</w:t>
      </w:r>
      <w:r>
        <w:rPr>
          <w:spacing w:val="-4"/>
          <w:sz w:val="20"/>
        </w:rPr>
        <w:t> </w:t>
      </w:r>
      <w:r>
        <w:rPr>
          <w:sz w:val="20"/>
        </w:rPr>
        <w:t>la</w:t>
      </w:r>
      <w:r>
        <w:rPr>
          <w:spacing w:val="-7"/>
          <w:sz w:val="20"/>
        </w:rPr>
        <w:t> </w:t>
      </w:r>
      <w:r>
        <w:rPr>
          <w:sz w:val="20"/>
        </w:rPr>
        <w:t>presentación</w:t>
      </w:r>
      <w:r>
        <w:rPr>
          <w:spacing w:val="-6"/>
          <w:sz w:val="20"/>
        </w:rPr>
        <w:t> </w:t>
      </w:r>
      <w:r>
        <w:rPr>
          <w:sz w:val="20"/>
        </w:rPr>
        <w:t>de</w:t>
      </w:r>
      <w:r>
        <w:rPr>
          <w:spacing w:val="-6"/>
          <w:sz w:val="20"/>
        </w:rPr>
        <w:t> </w:t>
      </w:r>
      <w:r>
        <w:rPr>
          <w:sz w:val="20"/>
        </w:rPr>
        <w:t>los</w:t>
      </w:r>
      <w:r>
        <w:rPr>
          <w:spacing w:val="-6"/>
          <w:sz w:val="20"/>
        </w:rPr>
        <w:t> </w:t>
      </w:r>
      <w:r>
        <w:rPr>
          <w:sz w:val="20"/>
        </w:rPr>
        <w:t>exámenes,</w:t>
      </w:r>
      <w:r>
        <w:rPr>
          <w:spacing w:val="-2"/>
          <w:sz w:val="20"/>
        </w:rPr>
        <w:t> </w:t>
      </w:r>
      <w:r>
        <w:rPr>
          <w:spacing w:val="-10"/>
          <w:sz w:val="20"/>
        </w:rPr>
        <w:t>y</w:t>
      </w:r>
    </w:p>
    <w:p>
      <w:pPr>
        <w:pStyle w:val="ListParagraph"/>
        <w:numPr>
          <w:ilvl w:val="0"/>
          <w:numId w:val="278"/>
        </w:numPr>
        <w:tabs>
          <w:tab w:pos="1195" w:val="left" w:leader="none"/>
        </w:tabs>
        <w:spacing w:line="240" w:lineRule="auto" w:before="229" w:after="0"/>
        <w:ind w:left="1195" w:right="0" w:hanging="569"/>
        <w:jc w:val="left"/>
        <w:rPr>
          <w:sz w:val="20"/>
        </w:rPr>
      </w:pPr>
      <w:r>
        <w:rPr>
          <w:sz w:val="20"/>
        </w:rPr>
        <w:t>Conocer</w:t>
      </w:r>
      <w:r>
        <w:rPr>
          <w:spacing w:val="-5"/>
          <w:sz w:val="20"/>
        </w:rPr>
        <w:t> </w:t>
      </w:r>
      <w:r>
        <w:rPr>
          <w:sz w:val="20"/>
        </w:rPr>
        <w:t>los</w:t>
      </w:r>
      <w:r>
        <w:rPr>
          <w:spacing w:val="-6"/>
          <w:sz w:val="20"/>
        </w:rPr>
        <w:t> </w:t>
      </w:r>
      <w:r>
        <w:rPr>
          <w:sz w:val="20"/>
        </w:rPr>
        <w:t>resultados</w:t>
      </w:r>
      <w:r>
        <w:rPr>
          <w:spacing w:val="-7"/>
          <w:sz w:val="20"/>
        </w:rPr>
        <w:t> </w:t>
      </w:r>
      <w:r>
        <w:rPr>
          <w:sz w:val="20"/>
        </w:rPr>
        <w:t>del</w:t>
      </w:r>
      <w:r>
        <w:rPr>
          <w:spacing w:val="-6"/>
          <w:sz w:val="20"/>
        </w:rPr>
        <w:t> </w:t>
      </w:r>
      <w:r>
        <w:rPr>
          <w:sz w:val="20"/>
        </w:rPr>
        <w:t>concurso</w:t>
      </w:r>
      <w:r>
        <w:rPr>
          <w:spacing w:val="-7"/>
          <w:sz w:val="20"/>
        </w:rPr>
        <w:t> </w:t>
      </w:r>
      <w:r>
        <w:rPr>
          <w:sz w:val="20"/>
        </w:rPr>
        <w:t>en</w:t>
      </w:r>
      <w:r>
        <w:rPr>
          <w:spacing w:val="-6"/>
          <w:sz w:val="20"/>
        </w:rPr>
        <w:t> </w:t>
      </w:r>
      <w:r>
        <w:rPr>
          <w:sz w:val="20"/>
        </w:rPr>
        <w:t>las</w:t>
      </w:r>
      <w:r>
        <w:rPr>
          <w:spacing w:val="-6"/>
          <w:sz w:val="20"/>
        </w:rPr>
        <w:t> </w:t>
      </w:r>
      <w:r>
        <w:rPr>
          <w:sz w:val="20"/>
        </w:rPr>
        <w:t>publicaciones</w:t>
      </w:r>
      <w:r>
        <w:rPr>
          <w:spacing w:val="-6"/>
          <w:sz w:val="20"/>
        </w:rPr>
        <w:t> </w:t>
      </w:r>
      <w:r>
        <w:rPr>
          <w:sz w:val="20"/>
        </w:rPr>
        <w:t>que</w:t>
      </w:r>
      <w:r>
        <w:rPr>
          <w:spacing w:val="-7"/>
          <w:sz w:val="20"/>
        </w:rPr>
        <w:t> </w:t>
      </w:r>
      <w:r>
        <w:rPr>
          <w:sz w:val="20"/>
        </w:rPr>
        <w:t>realice</w:t>
      </w:r>
      <w:r>
        <w:rPr>
          <w:spacing w:val="-6"/>
          <w:sz w:val="20"/>
        </w:rPr>
        <w:t> </w:t>
      </w:r>
      <w:r>
        <w:rPr>
          <w:sz w:val="20"/>
        </w:rPr>
        <w:t>el</w:t>
      </w:r>
      <w:r>
        <w:rPr>
          <w:spacing w:val="-6"/>
          <w:sz w:val="20"/>
        </w:rPr>
        <w:t> </w:t>
      </w:r>
      <w:r>
        <w:rPr>
          <w:sz w:val="20"/>
        </w:rPr>
        <w:t>Centro</w:t>
      </w:r>
      <w:r>
        <w:rPr>
          <w:spacing w:val="-7"/>
          <w:sz w:val="20"/>
        </w:rPr>
        <w:t> </w:t>
      </w:r>
      <w:r>
        <w:rPr>
          <w:sz w:val="20"/>
        </w:rPr>
        <w:t>de</w:t>
      </w:r>
      <w:r>
        <w:rPr>
          <w:spacing w:val="-8"/>
          <w:sz w:val="20"/>
        </w:rPr>
        <w:t> </w:t>
      </w:r>
      <w:r>
        <w:rPr>
          <w:spacing w:val="-2"/>
          <w:sz w:val="20"/>
        </w:rPr>
        <w:t>Conciliación.</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2" w:firstLine="288"/>
        <w:jc w:val="both"/>
      </w:pPr>
      <w:bookmarkStart w:name="Artículo_684_R" w:id="865"/>
      <w:bookmarkEnd w:id="865"/>
      <w:r>
        <w:rPr/>
      </w:r>
      <w:r>
        <w:rPr>
          <w:rFonts w:ascii="Arial" w:hAnsi="Arial"/>
          <w:b/>
        </w:rPr>
        <w:t>Artículo 684-R.- </w:t>
      </w:r>
      <w:r>
        <w:rPr/>
        <w:t>El Centro de Conciliación garantizará el cumplimiento de los principios de legalidad, imparcialidad, calidad, objetividad, certeza, equidad, competencia por mérito, publicidad y transparencia, en los procedimientos de selección de conciliadores, para lo cual deberá establecer en la convocatoria lo </w:t>
      </w:r>
      <w:r>
        <w:rPr>
          <w:spacing w:val="-2"/>
        </w:rPr>
        <w:t>siguiente:</w:t>
      </w:r>
    </w:p>
    <w:p>
      <w:pPr>
        <w:pStyle w:val="BodyText"/>
      </w:pPr>
    </w:p>
    <w:p>
      <w:pPr>
        <w:pStyle w:val="ListParagraph"/>
        <w:numPr>
          <w:ilvl w:val="0"/>
          <w:numId w:val="279"/>
        </w:numPr>
        <w:tabs>
          <w:tab w:pos="1193" w:val="left" w:leader="none"/>
          <w:tab w:pos="1195" w:val="left" w:leader="none"/>
        </w:tabs>
        <w:spacing w:line="242" w:lineRule="auto" w:before="1" w:after="0"/>
        <w:ind w:left="1195" w:right="337" w:hanging="569"/>
        <w:jc w:val="both"/>
        <w:rPr>
          <w:sz w:val="20"/>
        </w:rPr>
      </w:pPr>
      <w:r>
        <w:rPr>
          <w:sz w:val="20"/>
        </w:rPr>
        <w:t>Las obligaciones específicas de los participantes durante el concurso y las causales de descalificación o eliminación del mismo;</w:t>
      </w:r>
    </w:p>
    <w:p>
      <w:pPr>
        <w:pStyle w:val="ListParagraph"/>
        <w:numPr>
          <w:ilvl w:val="0"/>
          <w:numId w:val="279"/>
        </w:numPr>
        <w:tabs>
          <w:tab w:pos="1192" w:val="left" w:leader="none"/>
          <w:tab w:pos="1195" w:val="left" w:leader="none"/>
        </w:tabs>
        <w:spacing w:line="242" w:lineRule="auto" w:before="224" w:after="0"/>
        <w:ind w:left="1195" w:right="335" w:hanging="569"/>
        <w:jc w:val="both"/>
        <w:rPr>
          <w:sz w:val="20"/>
        </w:rPr>
      </w:pPr>
      <w:r>
        <w:rPr>
          <w:sz w:val="20"/>
        </w:rPr>
        <w:t>Las reglas del concurso, que deberán incluir el trámite de inscripción o registro, la forma y criterios de evaluación, la ponderación de cada área de competencia a evaluar</w:t>
      </w:r>
      <w:r>
        <w:rPr>
          <w:spacing w:val="18"/>
          <w:sz w:val="20"/>
        </w:rPr>
        <w:t> </w:t>
      </w:r>
      <w:r>
        <w:rPr>
          <w:sz w:val="20"/>
        </w:rPr>
        <w:t>y su impacto en la calificación final, las calificaciones mínimas aprobatorias y la publicación de resultados. Las reglas deberán contemplar que el desarrollo del examen será público;</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3"/>
      </w:pPr>
    </w:p>
    <w:p>
      <w:pPr>
        <w:pStyle w:val="ListParagraph"/>
        <w:numPr>
          <w:ilvl w:val="0"/>
          <w:numId w:val="279"/>
        </w:numPr>
        <w:tabs>
          <w:tab w:pos="1195" w:val="left" w:leader="none"/>
        </w:tabs>
        <w:spacing w:line="240" w:lineRule="auto" w:before="0" w:after="0"/>
        <w:ind w:left="1195" w:right="0" w:hanging="569"/>
        <w:jc w:val="left"/>
        <w:rPr>
          <w:sz w:val="20"/>
        </w:rPr>
      </w:pPr>
      <w:r>
        <w:rPr>
          <w:sz w:val="20"/>
        </w:rPr>
        <w:t>La</w:t>
      </w:r>
      <w:r>
        <w:rPr>
          <w:spacing w:val="-8"/>
          <w:sz w:val="20"/>
        </w:rPr>
        <w:t> </w:t>
      </w:r>
      <w:r>
        <w:rPr>
          <w:sz w:val="20"/>
        </w:rPr>
        <w:t>integración</w:t>
      </w:r>
      <w:r>
        <w:rPr>
          <w:spacing w:val="-7"/>
          <w:sz w:val="20"/>
        </w:rPr>
        <w:t> </w:t>
      </w:r>
      <w:r>
        <w:rPr>
          <w:sz w:val="20"/>
        </w:rPr>
        <w:t>del</w:t>
      </w:r>
      <w:r>
        <w:rPr>
          <w:spacing w:val="-7"/>
          <w:sz w:val="20"/>
        </w:rPr>
        <w:t> </w:t>
      </w:r>
      <w:r>
        <w:rPr>
          <w:sz w:val="20"/>
        </w:rPr>
        <w:t>comité</w:t>
      </w:r>
      <w:r>
        <w:rPr>
          <w:spacing w:val="-8"/>
          <w:sz w:val="20"/>
        </w:rPr>
        <w:t> </w:t>
      </w:r>
      <w:r>
        <w:rPr>
          <w:sz w:val="20"/>
        </w:rPr>
        <w:t>de</w:t>
      </w:r>
      <w:r>
        <w:rPr>
          <w:spacing w:val="-7"/>
          <w:sz w:val="20"/>
        </w:rPr>
        <w:t> </w:t>
      </w:r>
      <w:r>
        <w:rPr>
          <w:sz w:val="20"/>
        </w:rPr>
        <w:t>evaluación</w:t>
      </w:r>
      <w:r>
        <w:rPr>
          <w:spacing w:val="-3"/>
          <w:sz w:val="20"/>
        </w:rPr>
        <w:t> </w:t>
      </w:r>
      <w:r>
        <w:rPr>
          <w:sz w:val="20"/>
        </w:rPr>
        <w:t>y</w:t>
      </w:r>
      <w:r>
        <w:rPr>
          <w:spacing w:val="-9"/>
          <w:sz w:val="20"/>
        </w:rPr>
        <w:t> </w:t>
      </w:r>
      <w:r>
        <w:rPr>
          <w:sz w:val="20"/>
        </w:rPr>
        <w:t>selección</w:t>
      </w:r>
      <w:r>
        <w:rPr>
          <w:spacing w:val="-5"/>
          <w:sz w:val="20"/>
        </w:rPr>
        <w:t> </w:t>
      </w:r>
      <w:r>
        <w:rPr>
          <w:sz w:val="20"/>
        </w:rPr>
        <w:t>que</w:t>
      </w:r>
      <w:r>
        <w:rPr>
          <w:spacing w:val="-7"/>
          <w:sz w:val="20"/>
        </w:rPr>
        <w:t> </w:t>
      </w:r>
      <w:r>
        <w:rPr>
          <w:sz w:val="20"/>
        </w:rPr>
        <w:t>llevará</w:t>
      </w:r>
      <w:r>
        <w:rPr>
          <w:spacing w:val="-4"/>
          <w:sz w:val="20"/>
        </w:rPr>
        <w:t> </w:t>
      </w:r>
      <w:r>
        <w:rPr>
          <w:sz w:val="20"/>
        </w:rPr>
        <w:t>a</w:t>
      </w:r>
      <w:r>
        <w:rPr>
          <w:spacing w:val="-3"/>
          <w:sz w:val="20"/>
        </w:rPr>
        <w:t> </w:t>
      </w:r>
      <w:r>
        <w:rPr>
          <w:sz w:val="20"/>
        </w:rPr>
        <w:t>cabo</w:t>
      </w:r>
      <w:r>
        <w:rPr>
          <w:spacing w:val="-4"/>
          <w:sz w:val="20"/>
        </w:rPr>
        <w:t> </w:t>
      </w:r>
      <w:r>
        <w:rPr>
          <w:sz w:val="20"/>
        </w:rPr>
        <w:t>el</w:t>
      </w:r>
      <w:r>
        <w:rPr>
          <w:spacing w:val="-6"/>
          <w:sz w:val="20"/>
        </w:rPr>
        <w:t> </w:t>
      </w:r>
      <w:r>
        <w:rPr>
          <w:sz w:val="20"/>
        </w:rPr>
        <w:t>concurso,</w:t>
      </w:r>
      <w:r>
        <w:rPr>
          <w:spacing w:val="-5"/>
          <w:sz w:val="20"/>
        </w:rPr>
        <w:t> </w:t>
      </w:r>
      <w:r>
        <w:rPr>
          <w:spacing w:val="-10"/>
          <w:sz w:val="20"/>
        </w:rPr>
        <w:t>y</w:t>
      </w:r>
    </w:p>
    <w:p>
      <w:pPr>
        <w:pStyle w:val="ListParagraph"/>
        <w:numPr>
          <w:ilvl w:val="0"/>
          <w:numId w:val="279"/>
        </w:numPr>
        <w:tabs>
          <w:tab w:pos="1195" w:val="left" w:leader="none"/>
        </w:tabs>
        <w:spacing w:line="242" w:lineRule="auto" w:before="229" w:after="0"/>
        <w:ind w:left="1195" w:right="346" w:hanging="569"/>
        <w:jc w:val="both"/>
        <w:rPr>
          <w:sz w:val="20"/>
        </w:rPr>
      </w:pPr>
      <w:r>
        <w:rPr>
          <w:sz w:val="20"/>
        </w:rPr>
        <w:t>Los lineamientos del proceso de selección de conciliadores, los que contendrán los criterios técnicos de evaluación, la integración de cada instrumento, sus escalas de desempeño y las formalidades para su aplicación.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firstLine="288"/>
      </w:pPr>
      <w:bookmarkStart w:name="Artículo_684_S" w:id="866"/>
      <w:bookmarkEnd w:id="866"/>
      <w:r>
        <w:rPr/>
      </w:r>
      <w:r>
        <w:rPr>
          <w:rFonts w:ascii="Arial" w:hAnsi="Arial"/>
          <w:b/>
        </w:rPr>
        <w:t>Artículo</w:t>
      </w:r>
      <w:r>
        <w:rPr>
          <w:rFonts w:ascii="Arial" w:hAnsi="Arial"/>
          <w:b/>
          <w:spacing w:val="40"/>
        </w:rPr>
        <w:t> </w:t>
      </w:r>
      <w:r>
        <w:rPr>
          <w:rFonts w:ascii="Arial" w:hAnsi="Arial"/>
          <w:b/>
        </w:rPr>
        <w:t>684-S.-</w:t>
      </w:r>
      <w:r>
        <w:rPr>
          <w:rFonts w:ascii="Arial" w:hAnsi="Arial"/>
          <w:b/>
          <w:spacing w:val="40"/>
        </w:rPr>
        <w:t> </w:t>
      </w:r>
      <w:r>
        <w:rPr/>
        <w:t>El</w:t>
      </w:r>
      <w:r>
        <w:rPr>
          <w:spacing w:val="40"/>
        </w:rPr>
        <w:t> </w:t>
      </w:r>
      <w:r>
        <w:rPr/>
        <w:t>Órgano</w:t>
      </w:r>
      <w:r>
        <w:rPr>
          <w:spacing w:val="40"/>
        </w:rPr>
        <w:t> </w:t>
      </w:r>
      <w:r>
        <w:rPr/>
        <w:t>de</w:t>
      </w:r>
      <w:r>
        <w:rPr>
          <w:spacing w:val="40"/>
        </w:rPr>
        <w:t> </w:t>
      </w:r>
      <w:r>
        <w:rPr/>
        <w:t>Gobierno</w:t>
      </w:r>
      <w:r>
        <w:rPr>
          <w:spacing w:val="40"/>
        </w:rPr>
        <w:t> </w:t>
      </w:r>
      <w:r>
        <w:rPr/>
        <w:t>del</w:t>
      </w:r>
      <w:r>
        <w:rPr>
          <w:spacing w:val="40"/>
        </w:rPr>
        <w:t> </w:t>
      </w:r>
      <w:r>
        <w:rPr/>
        <w:t>Centro</w:t>
      </w:r>
      <w:r>
        <w:rPr>
          <w:spacing w:val="40"/>
        </w:rPr>
        <w:t> </w:t>
      </w:r>
      <w:r>
        <w:rPr/>
        <w:t>de</w:t>
      </w:r>
      <w:r>
        <w:rPr>
          <w:spacing w:val="40"/>
        </w:rPr>
        <w:t> </w:t>
      </w:r>
      <w:r>
        <w:rPr/>
        <w:t>Conciliación</w:t>
      </w:r>
      <w:r>
        <w:rPr>
          <w:spacing w:val="40"/>
        </w:rPr>
        <w:t> </w:t>
      </w:r>
      <w:r>
        <w:rPr/>
        <w:t>contará</w:t>
      </w:r>
      <w:r>
        <w:rPr>
          <w:spacing w:val="40"/>
        </w:rPr>
        <w:t> </w:t>
      </w:r>
      <w:r>
        <w:rPr/>
        <w:t>con</w:t>
      </w:r>
      <w:r>
        <w:rPr>
          <w:spacing w:val="40"/>
        </w:rPr>
        <w:t> </w:t>
      </w:r>
      <w:r>
        <w:rPr/>
        <w:t>las</w:t>
      </w:r>
      <w:r>
        <w:rPr>
          <w:spacing w:val="40"/>
        </w:rPr>
        <w:t> </w:t>
      </w:r>
      <w:r>
        <w:rPr/>
        <w:t>siguientes atribuciones en lo que se refiere al procedimiento de selección de conciliadores:</w:t>
      </w:r>
    </w:p>
    <w:p>
      <w:pPr>
        <w:pStyle w:val="ListParagraph"/>
        <w:numPr>
          <w:ilvl w:val="0"/>
          <w:numId w:val="280"/>
        </w:numPr>
        <w:tabs>
          <w:tab w:pos="1193" w:val="left" w:leader="none"/>
          <w:tab w:pos="1195" w:val="left" w:leader="none"/>
        </w:tabs>
        <w:spacing w:line="242" w:lineRule="auto" w:before="224" w:after="0"/>
        <w:ind w:left="1195" w:right="336" w:hanging="569"/>
        <w:jc w:val="both"/>
        <w:rPr>
          <w:sz w:val="20"/>
        </w:rPr>
      </w:pPr>
      <w:r>
        <w:rPr>
          <w:sz w:val="20"/>
        </w:rPr>
        <w:t>Aprobar la emisión de las convocatorias para el procedimiento de selección de conciliadores a propuesta del titular del Centro de Conciliación;</w:t>
      </w:r>
    </w:p>
    <w:p>
      <w:pPr>
        <w:pStyle w:val="ListParagraph"/>
        <w:numPr>
          <w:ilvl w:val="0"/>
          <w:numId w:val="280"/>
        </w:numPr>
        <w:tabs>
          <w:tab w:pos="1192" w:val="left" w:leader="none"/>
          <w:tab w:pos="1195" w:val="left" w:leader="none"/>
        </w:tabs>
        <w:spacing w:line="240" w:lineRule="auto" w:before="228" w:after="0"/>
        <w:ind w:left="1195" w:right="335" w:hanging="569"/>
        <w:jc w:val="both"/>
        <w:rPr>
          <w:sz w:val="20"/>
        </w:rPr>
      </w:pPr>
      <w:r>
        <w:rPr>
          <w:sz w:val="20"/>
        </w:rPr>
        <w:t>Aprobar</w:t>
      </w:r>
      <w:r>
        <w:rPr>
          <w:spacing w:val="-1"/>
          <w:sz w:val="20"/>
        </w:rPr>
        <w:t> </w:t>
      </w:r>
      <w:r>
        <w:rPr>
          <w:sz w:val="20"/>
        </w:rPr>
        <w:t>la</w:t>
      </w:r>
      <w:r>
        <w:rPr>
          <w:spacing w:val="-2"/>
          <w:sz w:val="20"/>
        </w:rPr>
        <w:t> </w:t>
      </w:r>
      <w:r>
        <w:rPr>
          <w:sz w:val="20"/>
        </w:rPr>
        <w:t>propuesta para</w:t>
      </w:r>
      <w:r>
        <w:rPr>
          <w:spacing w:val="-2"/>
          <w:sz w:val="20"/>
        </w:rPr>
        <w:t> </w:t>
      </w:r>
      <w:r>
        <w:rPr>
          <w:sz w:val="20"/>
        </w:rPr>
        <w:t>la</w:t>
      </w:r>
      <w:r>
        <w:rPr>
          <w:spacing w:val="-2"/>
          <w:sz w:val="20"/>
        </w:rPr>
        <w:t> </w:t>
      </w:r>
      <w:r>
        <w:rPr>
          <w:sz w:val="20"/>
        </w:rPr>
        <w:t>calendarización y</w:t>
      </w:r>
      <w:r>
        <w:rPr>
          <w:spacing w:val="-7"/>
          <w:sz w:val="20"/>
        </w:rPr>
        <w:t> </w:t>
      </w:r>
      <w:r>
        <w:rPr>
          <w:sz w:val="20"/>
        </w:rPr>
        <w:t>sedes</w:t>
      </w:r>
      <w:r>
        <w:rPr>
          <w:spacing w:val="-1"/>
          <w:sz w:val="20"/>
        </w:rPr>
        <w:t> </w:t>
      </w:r>
      <w:r>
        <w:rPr>
          <w:sz w:val="20"/>
        </w:rPr>
        <w:t>para</w:t>
      </w:r>
      <w:r>
        <w:rPr>
          <w:spacing w:val="-2"/>
          <w:sz w:val="20"/>
        </w:rPr>
        <w:t> </w:t>
      </w:r>
      <w:r>
        <w:rPr>
          <w:sz w:val="20"/>
        </w:rPr>
        <w:t>llevar</w:t>
      </w:r>
      <w:r>
        <w:rPr>
          <w:spacing w:val="-1"/>
          <w:sz w:val="20"/>
        </w:rPr>
        <w:t> </w:t>
      </w:r>
      <w:r>
        <w:rPr>
          <w:sz w:val="20"/>
        </w:rPr>
        <w:t>a</w:t>
      </w:r>
      <w:r>
        <w:rPr>
          <w:spacing w:val="-2"/>
          <w:sz w:val="20"/>
        </w:rPr>
        <w:t> </w:t>
      </w:r>
      <w:r>
        <w:rPr>
          <w:sz w:val="20"/>
        </w:rPr>
        <w:t>cabo</w:t>
      </w:r>
      <w:r>
        <w:rPr>
          <w:spacing w:val="-2"/>
          <w:sz w:val="20"/>
        </w:rPr>
        <w:t> </w:t>
      </w:r>
      <w:r>
        <w:rPr>
          <w:sz w:val="20"/>
        </w:rPr>
        <w:t>las</w:t>
      </w:r>
      <w:r>
        <w:rPr>
          <w:spacing w:val="-1"/>
          <w:sz w:val="20"/>
        </w:rPr>
        <w:t> </w:t>
      </w:r>
      <w:r>
        <w:rPr>
          <w:sz w:val="20"/>
        </w:rPr>
        <w:t>etapas</w:t>
      </w:r>
      <w:r>
        <w:rPr>
          <w:spacing w:val="-1"/>
          <w:sz w:val="20"/>
        </w:rPr>
        <w:t> </w:t>
      </w:r>
      <w:r>
        <w:rPr>
          <w:sz w:val="20"/>
        </w:rPr>
        <w:t>del</w:t>
      </w:r>
      <w:r>
        <w:rPr>
          <w:spacing w:val="-3"/>
          <w:sz w:val="20"/>
        </w:rPr>
        <w:t> </w:t>
      </w:r>
      <w:r>
        <w:rPr>
          <w:sz w:val="20"/>
        </w:rPr>
        <w:t>concurso que presente el Titular del Centro de Conciliación y autorizar algún cambio en las mismas, cuando éste sea debidamente justificado u obedezca a causas de fuerza mayor, y</w:t>
      </w:r>
    </w:p>
    <w:p>
      <w:pPr>
        <w:pStyle w:val="ListParagraph"/>
        <w:numPr>
          <w:ilvl w:val="0"/>
          <w:numId w:val="280"/>
        </w:numPr>
        <w:tabs>
          <w:tab w:pos="1191" w:val="left" w:leader="none"/>
          <w:tab w:pos="1195" w:val="left" w:leader="none"/>
        </w:tabs>
        <w:spacing w:line="242" w:lineRule="auto" w:before="229" w:after="0"/>
        <w:ind w:left="1195" w:right="344" w:hanging="569"/>
        <w:jc w:val="both"/>
        <w:rPr>
          <w:sz w:val="20"/>
        </w:rPr>
      </w:pPr>
      <w:r>
        <w:rPr>
          <w:sz w:val="20"/>
        </w:rPr>
        <w:t>Aprobar, a propuesta de dicho Titular, los Lineamientos del proceso de selección de conciliadores públicos en materia laboral.</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6" w:firstLine="288"/>
        <w:jc w:val="both"/>
      </w:pPr>
      <w:bookmarkStart w:name="Artículo_684_T" w:id="867"/>
      <w:bookmarkEnd w:id="867"/>
      <w:r>
        <w:rPr/>
      </w:r>
      <w:r>
        <w:rPr>
          <w:rFonts w:ascii="Arial" w:hAnsi="Arial"/>
          <w:b/>
        </w:rPr>
        <w:t>Artículo 684-T.- </w:t>
      </w:r>
      <w:r>
        <w:rPr/>
        <w:t>Los resultados del concurso se publicarán en el Diario Oficial de la Federación o en los órganos oficiales de difusión de las entidades federativas, así como en la página oficial del Centro de Conciliación que corresponda.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338" w:right="337" w:firstLine="288"/>
        <w:jc w:val="both"/>
      </w:pPr>
      <w:bookmarkStart w:name="Artículo_684_U" w:id="868"/>
      <w:bookmarkEnd w:id="868"/>
      <w:r>
        <w:rPr/>
      </w:r>
      <w:r>
        <w:rPr>
          <w:rFonts w:ascii="Arial" w:hAnsi="Arial"/>
          <w:b/>
        </w:rPr>
        <w:t>Artículo 684-U.- </w:t>
      </w:r>
      <w:r>
        <w:rPr/>
        <w:t>Una vez hecha la publicación a que se refiere el artículo que antecede, el Titular del Centro de Conciliación llevará a cabo la designación de acuerdo con el número de plazas sujetas a concurso. El nombramiento de los conciliadores tendrá una vigencia de tres años y podrá ratificarse por periodos sucesivos de la misma duración. El Centro de Conciliación establecerá el procedimiento para tales efectos, que deberá atender criterios objetivos de desempeño, honestidad, profesionalismo y la actualización</w:t>
      </w:r>
      <w:r>
        <w:rPr>
          <w:spacing w:val="-2"/>
        </w:rPr>
        <w:t> </w:t>
      </w:r>
      <w:r>
        <w:rPr/>
        <w:t>profesional del</w:t>
      </w:r>
      <w:r>
        <w:rPr>
          <w:spacing w:val="-3"/>
        </w:rPr>
        <w:t> </w:t>
      </w:r>
      <w:r>
        <w:rPr/>
        <w:t>Conciliador.</w:t>
      </w:r>
      <w:r>
        <w:rPr>
          <w:spacing w:val="-2"/>
        </w:rPr>
        <w:t> </w:t>
      </w:r>
      <w:r>
        <w:rPr/>
        <w:t>Dicha</w:t>
      </w:r>
      <w:r>
        <w:rPr>
          <w:spacing w:val="-2"/>
        </w:rPr>
        <w:t> </w:t>
      </w:r>
      <w:r>
        <w:rPr/>
        <w:t>evaluación</w:t>
      </w:r>
      <w:r>
        <w:rPr>
          <w:spacing w:val="-3"/>
        </w:rPr>
        <w:t> </w:t>
      </w:r>
      <w:r>
        <w:rPr/>
        <w:t>se</w:t>
      </w:r>
      <w:r>
        <w:rPr>
          <w:spacing w:val="-2"/>
        </w:rPr>
        <w:t> </w:t>
      </w:r>
      <w:r>
        <w:rPr/>
        <w:t>realizará</w:t>
      </w:r>
      <w:r>
        <w:rPr>
          <w:spacing w:val="-2"/>
        </w:rPr>
        <w:t> </w:t>
      </w:r>
      <w:r>
        <w:rPr/>
        <w:t>a</w:t>
      </w:r>
      <w:r>
        <w:rPr>
          <w:spacing w:val="-2"/>
        </w:rPr>
        <w:t> </w:t>
      </w:r>
      <w:r>
        <w:rPr/>
        <w:t>través de</w:t>
      </w:r>
      <w:r>
        <w:rPr>
          <w:spacing w:val="-3"/>
        </w:rPr>
        <w:t> </w:t>
      </w:r>
      <w:r>
        <w:rPr/>
        <w:t>instrumentos</w:t>
      </w:r>
      <w:r>
        <w:rPr>
          <w:spacing w:val="-1"/>
        </w:rPr>
        <w:t> </w:t>
      </w:r>
      <w:r>
        <w:rPr/>
        <w:t>públicos, técnicos y objetivos.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6"/>
        <w:rPr>
          <w:rFonts w:ascii="Times New Roman"/>
          <w:i/>
          <w:sz w:val="16"/>
        </w:rPr>
      </w:pPr>
    </w:p>
    <w:p>
      <w:pPr>
        <w:pStyle w:val="Heading1"/>
        <w:spacing w:line="252" w:lineRule="exact"/>
      </w:pPr>
      <w:r>
        <w:rPr/>
        <w:t>TITULO</w:t>
      </w:r>
      <w:r>
        <w:rPr>
          <w:spacing w:val="-4"/>
        </w:rPr>
        <w:t> </w:t>
      </w:r>
      <w:r>
        <w:rPr>
          <w:spacing w:val="-2"/>
        </w:rPr>
        <w:t>CATORCE</w:t>
      </w:r>
    </w:p>
    <w:p>
      <w:pPr>
        <w:spacing w:line="252" w:lineRule="exact" w:before="0"/>
        <w:ind w:left="296" w:right="296" w:firstLine="0"/>
        <w:jc w:val="center"/>
        <w:rPr>
          <w:rFonts w:ascii="Arial"/>
          <w:b/>
          <w:sz w:val="22"/>
        </w:rPr>
      </w:pPr>
      <w:r>
        <w:rPr>
          <w:rFonts w:ascii="Arial"/>
          <w:b/>
          <w:sz w:val="22"/>
        </w:rPr>
        <w:t>Derecho</w:t>
      </w:r>
      <w:r>
        <w:rPr>
          <w:rFonts w:ascii="Arial"/>
          <w:b/>
          <w:spacing w:val="-5"/>
          <w:sz w:val="22"/>
        </w:rPr>
        <w:t> </w:t>
      </w:r>
      <w:r>
        <w:rPr>
          <w:rFonts w:ascii="Arial"/>
          <w:b/>
          <w:sz w:val="22"/>
        </w:rPr>
        <w:t>Procesal</w:t>
      </w:r>
      <w:r>
        <w:rPr>
          <w:rFonts w:ascii="Arial"/>
          <w:b/>
          <w:spacing w:val="-6"/>
          <w:sz w:val="22"/>
        </w:rPr>
        <w:t> </w:t>
      </w:r>
      <w:r>
        <w:rPr>
          <w:rFonts w:ascii="Arial"/>
          <w:b/>
          <w:sz w:val="22"/>
        </w:rPr>
        <w:t>del</w:t>
      </w:r>
      <w:r>
        <w:rPr>
          <w:rFonts w:ascii="Arial"/>
          <w:b/>
          <w:spacing w:val="-3"/>
          <w:sz w:val="22"/>
        </w:rPr>
        <w:t> </w:t>
      </w:r>
      <w:r>
        <w:rPr>
          <w:rFonts w:ascii="Arial"/>
          <w:b/>
          <w:spacing w:val="-2"/>
          <w:sz w:val="22"/>
        </w:rPr>
        <w:t>Trabajo</w:t>
      </w:r>
    </w:p>
    <w:p>
      <w:pPr>
        <w:pStyle w:val="BodyText"/>
        <w:rPr>
          <w:rFonts w:ascii="Arial"/>
          <w:b/>
          <w:sz w:val="22"/>
        </w:rPr>
      </w:pPr>
    </w:p>
    <w:p>
      <w:pPr>
        <w:pStyle w:val="Heading1"/>
        <w:spacing w:line="252" w:lineRule="exact"/>
      </w:pPr>
      <w:r>
        <w:rPr/>
        <w:t>CAPITULO</w:t>
      </w:r>
      <w:r>
        <w:rPr>
          <w:spacing w:val="-9"/>
        </w:rPr>
        <w:t> </w:t>
      </w:r>
      <w:r>
        <w:rPr>
          <w:spacing w:val="-12"/>
        </w:rPr>
        <w:t>I</w:t>
      </w:r>
    </w:p>
    <w:p>
      <w:pPr>
        <w:pStyle w:val="Heading2"/>
        <w:spacing w:line="252" w:lineRule="exact"/>
        <w:ind w:left="298"/>
      </w:pPr>
      <w:r>
        <w:rPr/>
        <w:t>Principios</w:t>
      </w:r>
      <w:r>
        <w:rPr>
          <w:spacing w:val="-6"/>
        </w:rPr>
        <w:t> </w:t>
      </w:r>
      <w:r>
        <w:rPr>
          <w:spacing w:val="-2"/>
        </w:rPr>
        <w:t>Procesales</w:t>
      </w:r>
    </w:p>
    <w:p>
      <w:pPr>
        <w:spacing w:before="1"/>
        <w:ind w:left="609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8"/>
        <w:rPr>
          <w:rFonts w:ascii="Times New Roman"/>
          <w:i/>
          <w:sz w:val="16"/>
        </w:rPr>
      </w:pPr>
    </w:p>
    <w:p>
      <w:pPr>
        <w:pStyle w:val="BodyText"/>
        <w:spacing w:line="242" w:lineRule="auto"/>
        <w:ind w:left="338" w:right="335" w:firstLine="288"/>
        <w:jc w:val="both"/>
      </w:pPr>
      <w:bookmarkStart w:name="Artículo_685" w:id="869"/>
      <w:bookmarkEnd w:id="869"/>
      <w:r>
        <w:rPr/>
      </w:r>
      <w:r>
        <w:rPr>
          <w:rFonts w:ascii="Arial" w:hAnsi="Arial"/>
          <w:b/>
        </w:rPr>
        <w:t>Artículo 685.- </w:t>
      </w:r>
      <w:r>
        <w:rPr/>
        <w:t>El proceso del derecho del trabajo se rige bajo los principios de inmediación, inmediatez, continuidad, celeridad, veracidad, concentración, economía y sencillez procesal. Asimismo, será público, gratuito, predominantemente oral y conciliatorio.</w:t>
      </w:r>
    </w:p>
    <w:p>
      <w:pPr>
        <w:pStyle w:val="BodyText"/>
        <w:spacing w:before="225"/>
        <w:ind w:left="338" w:right="334" w:firstLine="288"/>
        <w:jc w:val="both"/>
      </w:pPr>
      <w:r>
        <w:rPr/>
        <w:t>Los Tribunales deben garantizar el cumplimiento de los principios y condiciones citados. El juez</w:t>
      </w:r>
      <w:r>
        <w:rPr>
          <w:spacing w:val="40"/>
        </w:rPr>
        <w:t> </w:t>
      </w:r>
      <w:r>
        <w:rPr/>
        <w:t>deberá atender al principio de realidad sobre los elementos formales que lo contradigan. Asimismo, se privilegiará la solución del conflicto sobre los formalismos procedimentales, sin afectar el debido proceso</w:t>
      </w:r>
      <w:r>
        <w:rPr>
          <w:spacing w:val="40"/>
        </w:rPr>
        <w:t> </w:t>
      </w:r>
      <w:r>
        <w:rPr/>
        <w:t>y los fines del derecho del trabajo.</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40" w:firstLine="288"/>
        <w:jc w:val="both"/>
      </w:pPr>
      <w:r>
        <w:rPr/>
        <w:t>Cuando la demanda del trabajador sea incompleta, en cuanto a que no comprenda todas las prestaciones que de acuerdo con esta Ley deriven de la acción intentada o procedente, conforme a los hechos expuestos por el trabajador, el Tribunal, en el momento de admitir la demanda, subsanará ésta. Lo anterior sin perjuicio de que cuando la demanda sea obscura o vaga se proceda en los términos previstos en el artículo 873 de esta Ley.</w:t>
      </w:r>
    </w:p>
    <w:p>
      <w:pPr>
        <w:spacing w:line="182" w:lineRule="exact" w:before="0"/>
        <w:ind w:left="56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7" w:firstLine="288"/>
        <w:jc w:val="both"/>
      </w:pPr>
      <w:bookmarkStart w:name="Artículo_685_Bis" w:id="870"/>
      <w:bookmarkEnd w:id="870"/>
      <w:r>
        <w:rPr/>
      </w:r>
      <w:r>
        <w:rPr>
          <w:rFonts w:ascii="Arial" w:hAnsi="Arial"/>
          <w:b/>
        </w:rPr>
        <w:t>Artículo 685 Bis.- </w:t>
      </w:r>
      <w:r>
        <w:rPr/>
        <w:t>Las partes tendrán derecho a que se garantice su debida defensa y</w:t>
      </w:r>
      <w:r>
        <w:rPr>
          <w:spacing w:val="80"/>
        </w:rPr>
        <w:t> </w:t>
      </w:r>
      <w:r>
        <w:rPr/>
        <w:t>representación; en consecuencia, podrán estar asistidos por un apoderado legal quien deberá ser Licenciado en Derecho o abogado titulado con cédula profesional. Cuando el Tribunal advierta que exista una manifiesta y sistemática incapacidad técnica del apoderado legal, prevendrá a la parte afectada para que designe otro, contando con tres días naturales para hacerlo. Los trabajadores o sus beneficiarios tendrán derecho a que les sea asignado un abogado de la Procuraduría de la Defensa del Trabajo competente o de la Defensoría Pública que asuma su representación jurídica.</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2" w:firstLine="288"/>
      </w:pPr>
      <w:bookmarkStart w:name="Artículo_685_Ter" w:id="871"/>
      <w:bookmarkEnd w:id="871"/>
      <w:r>
        <w:rPr/>
      </w:r>
      <w:r>
        <w:rPr>
          <w:rFonts w:ascii="Arial" w:hAnsi="Arial"/>
          <w:b/>
        </w:rPr>
        <w:t>Artículo</w:t>
      </w:r>
      <w:r>
        <w:rPr>
          <w:rFonts w:ascii="Arial" w:hAnsi="Arial"/>
          <w:b/>
          <w:spacing w:val="40"/>
        </w:rPr>
        <w:t> </w:t>
      </w:r>
      <w:r>
        <w:rPr>
          <w:rFonts w:ascii="Arial" w:hAnsi="Arial"/>
          <w:b/>
        </w:rPr>
        <w:t>685</w:t>
      </w:r>
      <w:r>
        <w:rPr>
          <w:rFonts w:ascii="Arial" w:hAnsi="Arial"/>
          <w:b/>
          <w:spacing w:val="40"/>
        </w:rPr>
        <w:t> </w:t>
      </w:r>
      <w:r>
        <w:rPr>
          <w:rFonts w:ascii="Arial" w:hAnsi="Arial"/>
          <w:b/>
        </w:rPr>
        <w:t>Ter.-</w:t>
      </w:r>
      <w:r>
        <w:rPr>
          <w:rFonts w:ascii="Arial" w:hAnsi="Arial"/>
          <w:b/>
          <w:spacing w:val="40"/>
        </w:rPr>
        <w:t> </w:t>
      </w:r>
      <w:r>
        <w:rPr/>
        <w:t>Quedan</w:t>
      </w:r>
      <w:r>
        <w:rPr>
          <w:spacing w:val="40"/>
        </w:rPr>
        <w:t> </w:t>
      </w:r>
      <w:r>
        <w:rPr/>
        <w:t>exceptuados</w:t>
      </w:r>
      <w:r>
        <w:rPr>
          <w:spacing w:val="40"/>
        </w:rPr>
        <w:t> </w:t>
      </w:r>
      <w:r>
        <w:rPr/>
        <w:t>de</w:t>
      </w:r>
      <w:r>
        <w:rPr>
          <w:spacing w:val="40"/>
        </w:rPr>
        <w:t> </w:t>
      </w:r>
      <w:r>
        <w:rPr/>
        <w:t>agotar</w:t>
      </w:r>
      <w:r>
        <w:rPr>
          <w:spacing w:val="40"/>
        </w:rPr>
        <w:t> </w:t>
      </w:r>
      <w:r>
        <w:rPr/>
        <w:t>la</w:t>
      </w:r>
      <w:r>
        <w:rPr>
          <w:spacing w:val="40"/>
        </w:rPr>
        <w:t> </w:t>
      </w:r>
      <w:r>
        <w:rPr/>
        <w:t>instancia</w:t>
      </w:r>
      <w:r>
        <w:rPr>
          <w:spacing w:val="40"/>
        </w:rPr>
        <w:t> </w:t>
      </w:r>
      <w:r>
        <w:rPr/>
        <w:t>conciliatoria,</w:t>
      </w:r>
      <w:r>
        <w:rPr>
          <w:spacing w:val="40"/>
        </w:rPr>
        <w:t> </w:t>
      </w:r>
      <w:r>
        <w:rPr/>
        <w:t>cuando</w:t>
      </w:r>
      <w:r>
        <w:rPr>
          <w:spacing w:val="40"/>
        </w:rPr>
        <w:t> </w:t>
      </w:r>
      <w:r>
        <w:rPr/>
        <w:t>se</w:t>
      </w:r>
      <w:r>
        <w:rPr>
          <w:spacing w:val="40"/>
        </w:rPr>
        <w:t> </w:t>
      </w:r>
      <w:r>
        <w:rPr/>
        <w:t>trate</w:t>
      </w:r>
      <w:r>
        <w:rPr>
          <w:spacing w:val="40"/>
        </w:rPr>
        <w:t> </w:t>
      </w:r>
      <w:r>
        <w:rPr/>
        <w:t>de conflictos inherentes a:</w:t>
      </w:r>
    </w:p>
    <w:p>
      <w:pPr>
        <w:pStyle w:val="ListParagraph"/>
        <w:numPr>
          <w:ilvl w:val="0"/>
          <w:numId w:val="281"/>
        </w:numPr>
        <w:tabs>
          <w:tab w:pos="1193" w:val="left" w:leader="none"/>
          <w:tab w:pos="1195" w:val="left" w:leader="none"/>
        </w:tabs>
        <w:spacing w:line="240" w:lineRule="auto" w:before="227" w:after="0"/>
        <w:ind w:left="1195" w:right="338" w:hanging="569"/>
        <w:jc w:val="both"/>
        <w:rPr>
          <w:sz w:val="20"/>
        </w:rPr>
      </w:pPr>
      <w:r>
        <w:rPr>
          <w:sz w:val="20"/>
        </w:rPr>
        <w:t>Discriminación en el empleo y ocupación por embarazo, así como por razones de sexo, orientación sexual, raza, religión, origen étnico, condición social o acoso u hostigamiento</w:t>
      </w:r>
      <w:r>
        <w:rPr>
          <w:spacing w:val="80"/>
          <w:sz w:val="20"/>
        </w:rPr>
        <w:t> </w:t>
      </w:r>
      <w:r>
        <w:rPr>
          <w:spacing w:val="-2"/>
          <w:sz w:val="20"/>
        </w:rPr>
        <w:t>sexual;</w:t>
      </w:r>
    </w:p>
    <w:p>
      <w:pPr>
        <w:pStyle w:val="ListParagraph"/>
        <w:numPr>
          <w:ilvl w:val="0"/>
          <w:numId w:val="281"/>
        </w:numPr>
        <w:tabs>
          <w:tab w:pos="1195" w:val="left" w:leader="none"/>
        </w:tabs>
        <w:spacing w:line="240" w:lineRule="auto" w:before="229" w:after="0"/>
        <w:ind w:left="1195" w:right="0" w:hanging="569"/>
        <w:jc w:val="left"/>
        <w:rPr>
          <w:sz w:val="20"/>
        </w:rPr>
      </w:pPr>
      <w:r>
        <w:rPr>
          <w:sz w:val="20"/>
        </w:rPr>
        <w:t>Designación</w:t>
      </w:r>
      <w:r>
        <w:rPr>
          <w:spacing w:val="-9"/>
          <w:sz w:val="20"/>
        </w:rPr>
        <w:t> </w:t>
      </w:r>
      <w:r>
        <w:rPr>
          <w:sz w:val="20"/>
        </w:rPr>
        <w:t>de</w:t>
      </w:r>
      <w:r>
        <w:rPr>
          <w:spacing w:val="-9"/>
          <w:sz w:val="20"/>
        </w:rPr>
        <w:t> </w:t>
      </w:r>
      <w:r>
        <w:rPr>
          <w:sz w:val="20"/>
        </w:rPr>
        <w:t>beneficiarios</w:t>
      </w:r>
      <w:r>
        <w:rPr>
          <w:spacing w:val="-8"/>
          <w:sz w:val="20"/>
        </w:rPr>
        <w:t> </w:t>
      </w:r>
      <w:r>
        <w:rPr>
          <w:sz w:val="20"/>
        </w:rPr>
        <w:t>por</w:t>
      </w:r>
      <w:r>
        <w:rPr>
          <w:spacing w:val="-8"/>
          <w:sz w:val="20"/>
        </w:rPr>
        <w:t> </w:t>
      </w:r>
      <w:r>
        <w:rPr>
          <w:spacing w:val="-2"/>
          <w:sz w:val="20"/>
        </w:rPr>
        <w:t>muerte;</w:t>
      </w:r>
    </w:p>
    <w:p>
      <w:pPr>
        <w:pStyle w:val="BodyText"/>
        <w:spacing w:before="1"/>
      </w:pPr>
    </w:p>
    <w:p>
      <w:pPr>
        <w:pStyle w:val="ListParagraph"/>
        <w:numPr>
          <w:ilvl w:val="0"/>
          <w:numId w:val="281"/>
        </w:numPr>
        <w:tabs>
          <w:tab w:pos="1191" w:val="left" w:leader="none"/>
          <w:tab w:pos="1195" w:val="left" w:leader="none"/>
        </w:tabs>
        <w:spacing w:line="242" w:lineRule="auto" w:before="0" w:after="0"/>
        <w:ind w:left="1195" w:right="334" w:hanging="569"/>
        <w:jc w:val="both"/>
        <w:rPr>
          <w:sz w:val="20"/>
        </w:rPr>
      </w:pPr>
      <w:r>
        <w:rPr>
          <w:sz w:val="20"/>
        </w:rPr>
        <w:t>Prestaciones de seguridad social por riesgos de trabajo, maternidad, enfermedades, invalidez, vida, guarderías y prestaciones en especie y accidentes de trabajo;</w:t>
      </w:r>
    </w:p>
    <w:p>
      <w:pPr>
        <w:pStyle w:val="ListParagraph"/>
        <w:numPr>
          <w:ilvl w:val="0"/>
          <w:numId w:val="281"/>
        </w:numPr>
        <w:tabs>
          <w:tab w:pos="1195" w:val="left" w:leader="none"/>
        </w:tabs>
        <w:spacing w:line="242" w:lineRule="auto" w:before="224" w:after="0"/>
        <w:ind w:left="1195" w:right="344" w:hanging="569"/>
        <w:jc w:val="both"/>
        <w:rPr>
          <w:sz w:val="20"/>
        </w:rPr>
      </w:pPr>
      <w:r>
        <w:rPr>
          <w:sz w:val="20"/>
        </w:rPr>
        <w:t>La tutela de derechos fundamentales y libertades públicas, ambos de carácter laboral, entendidos en estos rubros los relacionados con:</w:t>
      </w:r>
    </w:p>
    <w:p>
      <w:pPr>
        <w:pStyle w:val="ListParagraph"/>
        <w:numPr>
          <w:ilvl w:val="1"/>
          <w:numId w:val="281"/>
        </w:numPr>
        <w:tabs>
          <w:tab w:pos="1649" w:val="left" w:leader="none"/>
        </w:tabs>
        <w:spacing w:line="242" w:lineRule="auto" w:before="227" w:after="0"/>
        <w:ind w:left="1649" w:right="343" w:hanging="454"/>
        <w:jc w:val="left"/>
        <w:rPr>
          <w:sz w:val="20"/>
        </w:rPr>
      </w:pPr>
      <w:r>
        <w:rPr>
          <w:sz w:val="20"/>
        </w:rPr>
        <w:t>La libertad de asociación, libertad sindical y el reconocimiento efectivo de la negociación </w:t>
      </w:r>
      <w:r>
        <w:rPr>
          <w:spacing w:val="-2"/>
          <w:sz w:val="20"/>
        </w:rPr>
        <w:t>colectiva;</w:t>
      </w:r>
    </w:p>
    <w:p>
      <w:pPr>
        <w:pStyle w:val="ListParagraph"/>
        <w:numPr>
          <w:ilvl w:val="1"/>
          <w:numId w:val="281"/>
        </w:numPr>
        <w:tabs>
          <w:tab w:pos="1649" w:val="left" w:leader="none"/>
        </w:tabs>
        <w:spacing w:line="240" w:lineRule="auto" w:before="224" w:after="0"/>
        <w:ind w:left="1649" w:right="0" w:hanging="454"/>
        <w:jc w:val="left"/>
        <w:rPr>
          <w:sz w:val="20"/>
        </w:rPr>
      </w:pPr>
      <w:r>
        <w:rPr>
          <w:sz w:val="20"/>
        </w:rPr>
        <w:t>Trata</w:t>
      </w:r>
      <w:r>
        <w:rPr>
          <w:spacing w:val="-9"/>
          <w:sz w:val="20"/>
        </w:rPr>
        <w:t> </w:t>
      </w:r>
      <w:r>
        <w:rPr>
          <w:sz w:val="20"/>
        </w:rPr>
        <w:t>laboral,</w:t>
      </w:r>
      <w:r>
        <w:rPr>
          <w:spacing w:val="-6"/>
          <w:sz w:val="20"/>
        </w:rPr>
        <w:t> </w:t>
      </w:r>
      <w:r>
        <w:rPr>
          <w:sz w:val="20"/>
        </w:rPr>
        <w:t>así</w:t>
      </w:r>
      <w:r>
        <w:rPr>
          <w:spacing w:val="-8"/>
          <w:sz w:val="20"/>
        </w:rPr>
        <w:t> </w:t>
      </w:r>
      <w:r>
        <w:rPr>
          <w:sz w:val="20"/>
        </w:rPr>
        <w:t>como</w:t>
      </w:r>
      <w:r>
        <w:rPr>
          <w:spacing w:val="-7"/>
          <w:sz w:val="20"/>
        </w:rPr>
        <w:t> </w:t>
      </w:r>
      <w:r>
        <w:rPr>
          <w:sz w:val="20"/>
        </w:rPr>
        <w:t>trabajo</w:t>
      </w:r>
      <w:r>
        <w:rPr>
          <w:spacing w:val="-8"/>
          <w:sz w:val="20"/>
        </w:rPr>
        <w:t> </w:t>
      </w:r>
      <w:r>
        <w:rPr>
          <w:sz w:val="20"/>
        </w:rPr>
        <w:t>forzoso</w:t>
      </w:r>
      <w:r>
        <w:rPr>
          <w:spacing w:val="-6"/>
          <w:sz w:val="20"/>
        </w:rPr>
        <w:t> </w:t>
      </w:r>
      <w:r>
        <w:rPr>
          <w:sz w:val="20"/>
        </w:rPr>
        <w:t>y</w:t>
      </w:r>
      <w:r>
        <w:rPr>
          <w:spacing w:val="-9"/>
          <w:sz w:val="20"/>
        </w:rPr>
        <w:t> </w:t>
      </w:r>
      <w:r>
        <w:rPr>
          <w:sz w:val="20"/>
        </w:rPr>
        <w:t>obligatorio,</w:t>
      </w:r>
      <w:r>
        <w:rPr>
          <w:spacing w:val="-4"/>
          <w:sz w:val="20"/>
        </w:rPr>
        <w:t> </w:t>
      </w:r>
      <w:r>
        <w:rPr>
          <w:spacing w:val="-10"/>
          <w:sz w:val="20"/>
        </w:rPr>
        <w:t>y</w:t>
      </w:r>
    </w:p>
    <w:p>
      <w:pPr>
        <w:pStyle w:val="BodyText"/>
        <w:spacing w:before="1"/>
      </w:pPr>
    </w:p>
    <w:p>
      <w:pPr>
        <w:pStyle w:val="ListParagraph"/>
        <w:numPr>
          <w:ilvl w:val="1"/>
          <w:numId w:val="281"/>
        </w:numPr>
        <w:tabs>
          <w:tab w:pos="1649" w:val="left" w:leader="none"/>
        </w:tabs>
        <w:spacing w:line="240" w:lineRule="auto" w:before="0" w:after="0"/>
        <w:ind w:left="1649" w:right="0" w:hanging="454"/>
        <w:jc w:val="left"/>
        <w:rPr>
          <w:sz w:val="20"/>
        </w:rPr>
      </w:pPr>
      <w:r>
        <w:rPr>
          <w:sz w:val="20"/>
        </w:rPr>
        <w:t>Trabajo</w:t>
      </w:r>
      <w:r>
        <w:rPr>
          <w:spacing w:val="-9"/>
          <w:sz w:val="20"/>
        </w:rPr>
        <w:t> </w:t>
      </w:r>
      <w:r>
        <w:rPr>
          <w:spacing w:val="-2"/>
          <w:sz w:val="20"/>
        </w:rPr>
        <w:t>infantil.</w:t>
      </w:r>
    </w:p>
    <w:p>
      <w:pPr>
        <w:pStyle w:val="BodyText"/>
        <w:spacing w:before="1"/>
      </w:pPr>
    </w:p>
    <w:p>
      <w:pPr>
        <w:pStyle w:val="BodyText"/>
        <w:ind w:left="1195" w:right="344"/>
        <w:jc w:val="both"/>
      </w:pPr>
      <w:r>
        <w:rPr/>
        <w:t>Para la actualización de estas excepciones se debe acreditar la existencia de indicios que generen al tribunal la razonable sospecha, apariencia o presunción de que se están vulnerando alguno de estos derechos;</w:t>
      </w:r>
    </w:p>
    <w:p>
      <w:pPr>
        <w:pStyle w:val="ListParagraph"/>
        <w:numPr>
          <w:ilvl w:val="0"/>
          <w:numId w:val="281"/>
        </w:numPr>
        <w:tabs>
          <w:tab w:pos="1195" w:val="left" w:leader="none"/>
        </w:tabs>
        <w:spacing w:line="240" w:lineRule="auto" w:before="229" w:after="0"/>
        <w:ind w:left="1195" w:right="0" w:hanging="569"/>
        <w:jc w:val="left"/>
        <w:rPr>
          <w:sz w:val="20"/>
        </w:rPr>
      </w:pPr>
      <w:r>
        <w:rPr>
          <w:sz w:val="20"/>
        </w:rPr>
        <w:t>La</w:t>
      </w:r>
      <w:r>
        <w:rPr>
          <w:spacing w:val="-9"/>
          <w:sz w:val="20"/>
        </w:rPr>
        <w:t> </w:t>
      </w:r>
      <w:r>
        <w:rPr>
          <w:sz w:val="20"/>
        </w:rPr>
        <w:t>disputa</w:t>
      </w:r>
      <w:r>
        <w:rPr>
          <w:spacing w:val="-7"/>
          <w:sz w:val="20"/>
        </w:rPr>
        <w:t> </w:t>
      </w:r>
      <w:r>
        <w:rPr>
          <w:sz w:val="20"/>
        </w:rPr>
        <w:t>de</w:t>
      </w:r>
      <w:r>
        <w:rPr>
          <w:spacing w:val="-6"/>
          <w:sz w:val="20"/>
        </w:rPr>
        <w:t> </w:t>
      </w:r>
      <w:r>
        <w:rPr>
          <w:sz w:val="20"/>
        </w:rPr>
        <w:t>la</w:t>
      </w:r>
      <w:r>
        <w:rPr>
          <w:spacing w:val="-5"/>
          <w:sz w:val="20"/>
        </w:rPr>
        <w:t> </w:t>
      </w:r>
      <w:r>
        <w:rPr>
          <w:sz w:val="20"/>
        </w:rPr>
        <w:t>titularidad</w:t>
      </w:r>
      <w:r>
        <w:rPr>
          <w:spacing w:val="-7"/>
          <w:sz w:val="20"/>
        </w:rPr>
        <w:t> </w:t>
      </w:r>
      <w:r>
        <w:rPr>
          <w:sz w:val="20"/>
        </w:rPr>
        <w:t>de</w:t>
      </w:r>
      <w:r>
        <w:rPr>
          <w:spacing w:val="-8"/>
          <w:sz w:val="20"/>
        </w:rPr>
        <w:t> </w:t>
      </w:r>
      <w:r>
        <w:rPr>
          <w:sz w:val="20"/>
        </w:rPr>
        <w:t>contratos</w:t>
      </w:r>
      <w:r>
        <w:rPr>
          <w:spacing w:val="-7"/>
          <w:sz w:val="20"/>
        </w:rPr>
        <w:t> </w:t>
      </w:r>
      <w:r>
        <w:rPr>
          <w:sz w:val="20"/>
        </w:rPr>
        <w:t>colectivos</w:t>
      </w:r>
      <w:r>
        <w:rPr>
          <w:spacing w:val="-6"/>
          <w:sz w:val="20"/>
        </w:rPr>
        <w:t> </w:t>
      </w:r>
      <w:r>
        <w:rPr>
          <w:sz w:val="20"/>
        </w:rPr>
        <w:t>o</w:t>
      </w:r>
      <w:r>
        <w:rPr>
          <w:spacing w:val="-9"/>
          <w:sz w:val="20"/>
        </w:rPr>
        <w:t> </w:t>
      </w:r>
      <w:r>
        <w:rPr>
          <w:sz w:val="20"/>
        </w:rPr>
        <w:t>contratos</w:t>
      </w:r>
      <w:r>
        <w:rPr>
          <w:spacing w:val="-4"/>
          <w:sz w:val="20"/>
        </w:rPr>
        <w:t> </w:t>
      </w:r>
      <w:r>
        <w:rPr>
          <w:sz w:val="20"/>
        </w:rPr>
        <w:t>ley,</w:t>
      </w:r>
      <w:r>
        <w:rPr>
          <w:spacing w:val="-3"/>
          <w:sz w:val="20"/>
        </w:rPr>
        <w:t> </w:t>
      </w:r>
      <w:r>
        <w:rPr>
          <w:spacing w:val="-10"/>
          <w:sz w:val="20"/>
        </w:rPr>
        <w:t>y</w:t>
      </w:r>
    </w:p>
    <w:p>
      <w:pPr>
        <w:pStyle w:val="ListParagraph"/>
        <w:numPr>
          <w:ilvl w:val="0"/>
          <w:numId w:val="281"/>
        </w:numPr>
        <w:tabs>
          <w:tab w:pos="1195" w:val="left" w:leader="none"/>
        </w:tabs>
        <w:spacing w:line="240" w:lineRule="auto" w:before="229" w:after="0"/>
        <w:ind w:left="1195" w:right="0" w:hanging="569"/>
        <w:jc w:val="left"/>
        <w:rPr>
          <w:sz w:val="20"/>
        </w:rPr>
      </w:pPr>
      <w:r>
        <w:rPr>
          <w:sz w:val="20"/>
        </w:rPr>
        <w:t>La</w:t>
      </w:r>
      <w:r>
        <w:rPr>
          <w:spacing w:val="-7"/>
          <w:sz w:val="20"/>
        </w:rPr>
        <w:t> </w:t>
      </w:r>
      <w:r>
        <w:rPr>
          <w:sz w:val="20"/>
        </w:rPr>
        <w:t>impugnación</w:t>
      </w:r>
      <w:r>
        <w:rPr>
          <w:spacing w:val="-5"/>
          <w:sz w:val="20"/>
        </w:rPr>
        <w:t> </w:t>
      </w:r>
      <w:r>
        <w:rPr>
          <w:sz w:val="20"/>
        </w:rPr>
        <w:t>de</w:t>
      </w:r>
      <w:r>
        <w:rPr>
          <w:spacing w:val="-5"/>
          <w:sz w:val="20"/>
        </w:rPr>
        <w:t> </w:t>
      </w:r>
      <w:r>
        <w:rPr>
          <w:sz w:val="20"/>
        </w:rPr>
        <w:t>los</w:t>
      </w:r>
      <w:r>
        <w:rPr>
          <w:spacing w:val="-5"/>
          <w:sz w:val="20"/>
        </w:rPr>
        <w:t> </w:t>
      </w:r>
      <w:r>
        <w:rPr>
          <w:sz w:val="20"/>
        </w:rPr>
        <w:t>estatutos</w:t>
      </w:r>
      <w:r>
        <w:rPr>
          <w:spacing w:val="-5"/>
          <w:sz w:val="20"/>
        </w:rPr>
        <w:t> </w:t>
      </w:r>
      <w:r>
        <w:rPr>
          <w:sz w:val="20"/>
        </w:rPr>
        <w:t>de</w:t>
      </w:r>
      <w:r>
        <w:rPr>
          <w:spacing w:val="-6"/>
          <w:sz w:val="20"/>
        </w:rPr>
        <w:t> </w:t>
      </w:r>
      <w:r>
        <w:rPr>
          <w:sz w:val="20"/>
        </w:rPr>
        <w:t>los</w:t>
      </w:r>
      <w:r>
        <w:rPr>
          <w:spacing w:val="-6"/>
          <w:sz w:val="20"/>
        </w:rPr>
        <w:t> </w:t>
      </w:r>
      <w:r>
        <w:rPr>
          <w:sz w:val="20"/>
        </w:rPr>
        <w:t>sindicatos</w:t>
      </w:r>
      <w:r>
        <w:rPr>
          <w:spacing w:val="-5"/>
          <w:sz w:val="20"/>
        </w:rPr>
        <w:t> </w:t>
      </w:r>
      <w:r>
        <w:rPr>
          <w:sz w:val="20"/>
        </w:rPr>
        <w:t>o su</w:t>
      </w:r>
      <w:r>
        <w:rPr>
          <w:spacing w:val="-4"/>
          <w:sz w:val="20"/>
        </w:rPr>
        <w:t> </w:t>
      </w:r>
      <w:r>
        <w:rPr>
          <w:spacing w:val="-2"/>
          <w:sz w:val="20"/>
        </w:rPr>
        <w:t>modificación.</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BodyText"/>
        <w:spacing w:line="242" w:lineRule="auto"/>
        <w:ind w:left="338" w:right="343" w:firstLine="288"/>
        <w:jc w:val="both"/>
      </w:pPr>
      <w:bookmarkStart w:name="Artículo_686" w:id="872"/>
      <w:bookmarkEnd w:id="872"/>
      <w:r>
        <w:rPr/>
      </w:r>
      <w:r>
        <w:rPr>
          <w:rFonts w:ascii="Arial" w:hAnsi="Arial"/>
          <w:b/>
        </w:rPr>
        <w:t>Artículo 686.- </w:t>
      </w:r>
      <w:r>
        <w:rPr/>
        <w:t>El proceso del derecho del trabajo y los procedimientos paraprocesales, se sustanciarán y decidirán en los términos señalados en la presente Ley.</w:t>
      </w:r>
    </w:p>
    <w:p>
      <w:pPr>
        <w:pStyle w:val="BodyText"/>
        <w:spacing w:before="227"/>
        <w:ind w:left="338" w:right="341" w:firstLine="288"/>
        <w:jc w:val="both"/>
      </w:pPr>
      <w:r>
        <w:rPr/>
        <w:t>Los Tribunales ordenarán que se corrija cualquier irregularidad u omisión que notaren en la sustanciación del proceso, para el efecto de regularizar el procedimiento, sin que ello implique que puedan revocar sus propias resoluciones, según lo dispone el artículo 848 de la presente Ley.</w:t>
      </w:r>
    </w:p>
    <w:p>
      <w:pPr>
        <w:pStyle w:val="BodyText"/>
        <w:spacing w:after="0"/>
        <w:jc w:val="both"/>
        <w:sectPr>
          <w:pgSz w:w="12240" w:h="15840"/>
          <w:pgMar w:header="724" w:footer="712" w:top="1880" w:bottom="900" w:left="1080" w:right="1080"/>
        </w:sectPr>
      </w:pPr>
    </w:p>
    <w:p>
      <w:pPr>
        <w:pStyle w:val="BodyText"/>
        <w:spacing w:before="109"/>
        <w:rPr>
          <w:sz w:val="16"/>
        </w:rPr>
      </w:pPr>
    </w:p>
    <w:p>
      <w:pPr>
        <w:spacing w:before="0"/>
        <w:ind w:left="7347" w:right="333" w:firstLine="1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8"/>
        <w:rPr>
          <w:rFonts w:ascii="Times New Roman"/>
          <w:i/>
          <w:sz w:val="16"/>
        </w:rPr>
      </w:pPr>
    </w:p>
    <w:p>
      <w:pPr>
        <w:pStyle w:val="BodyText"/>
        <w:ind w:left="338" w:firstLine="288"/>
      </w:pPr>
      <w:bookmarkStart w:name="Artículo_687" w:id="873"/>
      <w:bookmarkEnd w:id="873"/>
      <w:r>
        <w:rPr/>
      </w:r>
      <w:r>
        <w:rPr>
          <w:rFonts w:ascii="Arial" w:hAnsi="Arial"/>
          <w:b/>
        </w:rPr>
        <w:t>Artículo</w:t>
      </w:r>
      <w:r>
        <w:rPr>
          <w:rFonts w:ascii="Arial" w:hAnsi="Arial"/>
          <w:b/>
          <w:spacing w:val="40"/>
        </w:rPr>
        <w:t> </w:t>
      </w:r>
      <w:r>
        <w:rPr>
          <w:rFonts w:ascii="Arial" w:hAnsi="Arial"/>
          <w:b/>
        </w:rPr>
        <w:t>687.-</w:t>
      </w:r>
      <w:r>
        <w:rPr>
          <w:rFonts w:ascii="Arial" w:hAnsi="Arial"/>
          <w:b/>
          <w:spacing w:val="40"/>
        </w:rPr>
        <w:t> </w:t>
      </w:r>
      <w:r>
        <w:rPr/>
        <w:t>En</w:t>
      </w:r>
      <w:r>
        <w:rPr>
          <w:spacing w:val="40"/>
        </w:rPr>
        <w:t> </w:t>
      </w:r>
      <w:r>
        <w:rPr/>
        <w:t>las</w:t>
      </w:r>
      <w:r>
        <w:rPr>
          <w:spacing w:val="40"/>
        </w:rPr>
        <w:t> </w:t>
      </w:r>
      <w:r>
        <w:rPr/>
        <w:t>comparecencias,</w:t>
      </w:r>
      <w:r>
        <w:rPr>
          <w:spacing w:val="40"/>
        </w:rPr>
        <w:t> </w:t>
      </w:r>
      <w:r>
        <w:rPr/>
        <w:t>escritos,</w:t>
      </w:r>
      <w:r>
        <w:rPr>
          <w:spacing w:val="40"/>
        </w:rPr>
        <w:t> </w:t>
      </w:r>
      <w:r>
        <w:rPr/>
        <w:t>promociones</w:t>
      </w:r>
      <w:r>
        <w:rPr>
          <w:spacing w:val="40"/>
        </w:rPr>
        <w:t> </w:t>
      </w:r>
      <w:r>
        <w:rPr/>
        <w:t>o</w:t>
      </w:r>
      <w:r>
        <w:rPr>
          <w:spacing w:val="40"/>
        </w:rPr>
        <w:t> </w:t>
      </w:r>
      <w:r>
        <w:rPr/>
        <w:t>alegaciones,</w:t>
      </w:r>
      <w:r>
        <w:rPr>
          <w:spacing w:val="40"/>
        </w:rPr>
        <w:t> </w:t>
      </w:r>
      <w:r>
        <w:rPr/>
        <w:t>no</w:t>
      </w:r>
      <w:r>
        <w:rPr>
          <w:spacing w:val="40"/>
        </w:rPr>
        <w:t> </w:t>
      </w:r>
      <w:r>
        <w:rPr/>
        <w:t>se</w:t>
      </w:r>
      <w:r>
        <w:rPr>
          <w:spacing w:val="40"/>
        </w:rPr>
        <w:t> </w:t>
      </w:r>
      <w:r>
        <w:rPr/>
        <w:t>exigirá</w:t>
      </w:r>
      <w:r>
        <w:rPr>
          <w:spacing w:val="40"/>
        </w:rPr>
        <w:t> </w:t>
      </w:r>
      <w:r>
        <w:rPr/>
        <w:t>forma determinada; pero las partes deberán precisar los puntos petitorios.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338" w:right="348" w:firstLine="288"/>
        <w:jc w:val="both"/>
      </w:pPr>
      <w:bookmarkStart w:name="Artículo_688" w:id="874"/>
      <w:bookmarkEnd w:id="874"/>
      <w:r>
        <w:rPr/>
      </w:r>
      <w:r>
        <w:rPr>
          <w:rFonts w:ascii="Arial" w:hAnsi="Arial"/>
          <w:b/>
        </w:rPr>
        <w:t>Artículo 688.- </w:t>
      </w:r>
      <w:r>
        <w:rPr/>
        <w:t>Las autoridades administrativas están obligadas, en la esfera de sus respectivas competencias, a auxiliar a los Tribunales, si se negaren a ello, serán responsables en los términos de las Leyes aplicables al caso.</w:t>
      </w:r>
    </w:p>
    <w:p>
      <w:pPr>
        <w:spacing w:line="183" w:lineRule="exact" w:before="0"/>
        <w:ind w:left="56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Heading2"/>
        <w:ind w:left="296"/>
      </w:pPr>
      <w:r>
        <w:rPr/>
        <w:t>Capítulo</w:t>
      </w:r>
      <w:r>
        <w:rPr>
          <w:spacing w:val="-5"/>
        </w:rPr>
        <w:t> II</w:t>
      </w:r>
    </w:p>
    <w:p>
      <w:pPr>
        <w:spacing w:before="0"/>
        <w:ind w:left="2638" w:right="0" w:firstLine="0"/>
        <w:jc w:val="left"/>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Capacidad,</w:t>
      </w:r>
      <w:r>
        <w:rPr>
          <w:rFonts w:ascii="Arial" w:hAnsi="Arial"/>
          <w:b/>
          <w:spacing w:val="-5"/>
          <w:sz w:val="22"/>
        </w:rPr>
        <w:t> </w:t>
      </w:r>
      <w:r>
        <w:rPr>
          <w:rFonts w:ascii="Arial" w:hAnsi="Arial"/>
          <w:b/>
          <w:sz w:val="22"/>
        </w:rPr>
        <w:t>Personalidad</w:t>
      </w:r>
      <w:r>
        <w:rPr>
          <w:rFonts w:ascii="Arial" w:hAnsi="Arial"/>
          <w:b/>
          <w:spacing w:val="-6"/>
          <w:sz w:val="22"/>
        </w:rPr>
        <w:t> </w:t>
      </w:r>
      <w:r>
        <w:rPr>
          <w:rFonts w:ascii="Arial" w:hAnsi="Arial"/>
          <w:b/>
          <w:sz w:val="22"/>
        </w:rPr>
        <w:t>y</w:t>
      </w:r>
      <w:r>
        <w:rPr>
          <w:rFonts w:ascii="Arial" w:hAnsi="Arial"/>
          <w:b/>
          <w:spacing w:val="-7"/>
          <w:sz w:val="22"/>
        </w:rPr>
        <w:t> </w:t>
      </w:r>
      <w:r>
        <w:rPr>
          <w:rFonts w:ascii="Arial" w:hAnsi="Arial"/>
          <w:b/>
          <w:spacing w:val="-2"/>
          <w:sz w:val="22"/>
        </w:rPr>
        <w:t>Legitimación</w:t>
      </w:r>
    </w:p>
    <w:p>
      <w:pPr>
        <w:spacing w:before="1"/>
        <w:ind w:left="2669"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338" w:right="338" w:firstLine="288"/>
        <w:jc w:val="both"/>
      </w:pPr>
      <w:bookmarkStart w:name="Artículo_689" w:id="875"/>
      <w:bookmarkEnd w:id="875"/>
      <w:r>
        <w:rPr/>
      </w:r>
      <w:r>
        <w:rPr>
          <w:rFonts w:ascii="Arial" w:hAnsi="Arial"/>
          <w:b/>
        </w:rPr>
        <w:t>Artículo 689. </w:t>
      </w:r>
      <w:r>
        <w:rPr/>
        <w:t>Son partes en el proceso del trabajo, las personas físicas o morales que acrediten su interés jurídico en el proceso y ejerciten acciones u opongan excepciones.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338" w:right="344" w:firstLine="288"/>
        <w:jc w:val="both"/>
      </w:pPr>
      <w:bookmarkStart w:name="Artículo_690" w:id="876"/>
      <w:bookmarkEnd w:id="876"/>
      <w:r>
        <w:rPr/>
      </w:r>
      <w:r>
        <w:rPr>
          <w:rFonts w:ascii="Arial" w:hAnsi="Arial"/>
          <w:b/>
        </w:rPr>
        <w:t>Artículo 690.- </w:t>
      </w:r>
      <w:r>
        <w:rPr/>
        <w:t>Las personas que puedan ser afectadas por la resolución que se pronuncie en un conflicto,</w:t>
      </w:r>
      <w:r>
        <w:rPr>
          <w:spacing w:val="-1"/>
        </w:rPr>
        <w:t> </w:t>
      </w:r>
      <w:r>
        <w:rPr/>
        <w:t>podrán</w:t>
      </w:r>
      <w:r>
        <w:rPr>
          <w:spacing w:val="-1"/>
        </w:rPr>
        <w:t> </w:t>
      </w:r>
      <w:r>
        <w:rPr/>
        <w:t>intervenir en</w:t>
      </w:r>
      <w:r>
        <w:rPr>
          <w:spacing w:val="-2"/>
        </w:rPr>
        <w:t> </w:t>
      </w:r>
      <w:r>
        <w:rPr/>
        <w:t>él,</w:t>
      </w:r>
      <w:r>
        <w:rPr>
          <w:spacing w:val="-1"/>
        </w:rPr>
        <w:t> </w:t>
      </w:r>
      <w:r>
        <w:rPr/>
        <w:t>comprobando</w:t>
      </w:r>
      <w:r>
        <w:rPr>
          <w:spacing w:val="-1"/>
        </w:rPr>
        <w:t> </w:t>
      </w:r>
      <w:r>
        <w:rPr/>
        <w:t>su interés jurídico</w:t>
      </w:r>
      <w:r>
        <w:rPr>
          <w:spacing w:val="-1"/>
        </w:rPr>
        <w:t> </w:t>
      </w:r>
      <w:r>
        <w:rPr/>
        <w:t>en</w:t>
      </w:r>
      <w:r>
        <w:rPr>
          <w:spacing w:val="-1"/>
        </w:rPr>
        <w:t> </w:t>
      </w:r>
      <w:r>
        <w:rPr/>
        <w:t>el</w:t>
      </w:r>
      <w:r>
        <w:rPr>
          <w:spacing w:val="-2"/>
        </w:rPr>
        <w:t> </w:t>
      </w:r>
      <w:r>
        <w:rPr/>
        <w:t>mismo,</w:t>
      </w:r>
      <w:r>
        <w:rPr>
          <w:spacing w:val="-1"/>
        </w:rPr>
        <w:t> </w:t>
      </w:r>
      <w:r>
        <w:rPr/>
        <w:t>o</w:t>
      </w:r>
      <w:r>
        <w:rPr>
          <w:spacing w:val="-1"/>
        </w:rPr>
        <w:t> </w:t>
      </w:r>
      <w:r>
        <w:rPr/>
        <w:t>ser llamadas a</w:t>
      </w:r>
      <w:r>
        <w:rPr>
          <w:spacing w:val="-1"/>
        </w:rPr>
        <w:t> </w:t>
      </w:r>
      <w:r>
        <w:rPr/>
        <w:t>juicio por el Tribunal.</w:t>
      </w:r>
    </w:p>
    <w:p>
      <w:pPr>
        <w:pStyle w:val="BodyText"/>
        <w:spacing w:before="225"/>
        <w:ind w:left="338" w:right="334" w:firstLine="288"/>
        <w:jc w:val="both"/>
      </w:pPr>
      <w:r>
        <w:rPr/>
        <w:t>Los terceros interesados en un juicio podrán comparecer o ser llamados a éste hasta antes de la celebración de la audiencia preliminar en el caso del procedimiento individual ordinario y de juicio en los demás casos, para manifestar por escrito lo que a su derecho convenga. El Tribunal, sin suspensión del procedimiento dictará el acuerdo respectivo, a fin de que se corra traslado al tercero interesado con los escritos de demanda y</w:t>
      </w:r>
      <w:r>
        <w:rPr>
          <w:spacing w:val="-1"/>
        </w:rPr>
        <w:t> </w:t>
      </w:r>
      <w:r>
        <w:rPr/>
        <w:t>su contestación para que dentro de los diez días siguientes a la fecha en que sea notificando personalmente, presente el escrito en el que manifieste lo que a su derecho convenga; en dicho escrito además de acreditar su personalidad deberá ofrecer las pruebas que a su interés </w:t>
      </w:r>
      <w:r>
        <w:rPr>
          <w:spacing w:val="-2"/>
        </w:rPr>
        <w:t>corresponda.</w:t>
      </w:r>
    </w:p>
    <w:p>
      <w:pPr>
        <w:pStyle w:val="BodyText"/>
        <w:spacing w:before="2"/>
      </w:pPr>
    </w:p>
    <w:p>
      <w:pPr>
        <w:pStyle w:val="BodyText"/>
        <w:ind w:left="338" w:right="347" w:firstLine="288"/>
        <w:jc w:val="both"/>
      </w:pPr>
      <w:r>
        <w:rPr/>
        <w:t>Los terceros interesados que comparezcan o sean llamados al procedimiento ordinario previsto en el capítulo XVII del presente Título de esta Ley, se sujetarán a lo establecido en dicho procedimiento.</w:t>
      </w:r>
    </w:p>
    <w:p>
      <w:pPr>
        <w:pStyle w:val="BodyText"/>
        <w:spacing w:before="229"/>
        <w:ind w:left="338" w:right="351" w:firstLine="288"/>
        <w:jc w:val="both"/>
      </w:pPr>
      <w:r>
        <w:rPr/>
        <w:t>La parte que</w:t>
      </w:r>
      <w:r>
        <w:rPr>
          <w:spacing w:val="-2"/>
        </w:rPr>
        <w:t> </w:t>
      </w:r>
      <w:r>
        <w:rPr/>
        <w:t>solicite se llame</w:t>
      </w:r>
      <w:r>
        <w:rPr>
          <w:spacing w:val="-2"/>
        </w:rPr>
        <w:t> </w:t>
      </w:r>
      <w:r>
        <w:rPr/>
        <w:t>a</w:t>
      </w:r>
      <w:r>
        <w:rPr>
          <w:spacing w:val="-2"/>
        </w:rPr>
        <w:t> </w:t>
      </w:r>
      <w:r>
        <w:rPr/>
        <w:t>un tercero interesado,</w:t>
      </w:r>
      <w:r>
        <w:rPr>
          <w:spacing w:val="-2"/>
        </w:rPr>
        <w:t> </w:t>
      </w:r>
      <w:r>
        <w:rPr/>
        <w:t>deberá expresar el</w:t>
      </w:r>
      <w:r>
        <w:rPr>
          <w:spacing w:val="-1"/>
        </w:rPr>
        <w:t> </w:t>
      </w:r>
      <w:r>
        <w:rPr/>
        <w:t>motivo y</w:t>
      </w:r>
      <w:r>
        <w:rPr>
          <w:spacing w:val="-5"/>
        </w:rPr>
        <w:t> </w:t>
      </w:r>
      <w:r>
        <w:rPr/>
        <w:t>circunstancia por el cual debe llamarse a juicio y demostrar las razones por las que le atribuye tal carácter.</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3" w:firstLine="288"/>
        <w:jc w:val="both"/>
      </w:pPr>
      <w:bookmarkStart w:name="Artículo_691" w:id="877"/>
      <w:bookmarkEnd w:id="877"/>
      <w:r>
        <w:rPr/>
      </w:r>
      <w:r>
        <w:rPr>
          <w:rFonts w:ascii="Arial" w:hAnsi="Arial"/>
          <w:b/>
        </w:rPr>
        <w:t>Artículo 691.- </w:t>
      </w:r>
      <w:r>
        <w:rPr/>
        <w:t>Los menores trabajadores tienen capacidad para comparecer a juicio sin necesidad de autorización alguna; pero, en caso de no estar asesorados en juicio, el Tribunal solicitará la intervención de la Procuraduría de la Defensa del Trabajo para tal efecto. Tratándose de menores de 16 años, la Procuraduría de la Defensa del Trabajo les designará un representante cuando no lo tuvieren.</w:t>
      </w:r>
    </w:p>
    <w:p>
      <w:pPr>
        <w:spacing w:line="177"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8" w:firstLine="288"/>
        <w:jc w:val="both"/>
      </w:pPr>
      <w:r>
        <w:rPr/>
        <w:t>Lo previsto en el párrafo anterior se aplicará también tratándose de presuntos beneficiarios de algún trabajador fallecido.</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338" w:firstLine="288"/>
      </w:pPr>
      <w:bookmarkStart w:name="Artículo_692" w:id="878"/>
      <w:bookmarkEnd w:id="878"/>
      <w:r>
        <w:rPr/>
      </w:r>
      <w:r>
        <w:rPr>
          <w:rFonts w:ascii="Arial" w:hAnsi="Arial"/>
          <w:b/>
        </w:rPr>
        <w:t>Artículo 692.- </w:t>
      </w:r>
      <w:r>
        <w:rPr/>
        <w:t>Las partes podrán comparecer a juicio en forma directa o por conducto de apoderado legalmente autorizado.</w:t>
      </w:r>
    </w:p>
    <w:p>
      <w:pPr>
        <w:pStyle w:val="BodyText"/>
        <w:spacing w:before="229"/>
        <w:ind w:left="626"/>
      </w:pPr>
      <w:r>
        <w:rPr/>
        <w:t>Tratándose</w:t>
      </w:r>
      <w:r>
        <w:rPr>
          <w:spacing w:val="-9"/>
        </w:rPr>
        <w:t> </w:t>
      </w:r>
      <w:r>
        <w:rPr/>
        <w:t>de</w:t>
      </w:r>
      <w:r>
        <w:rPr>
          <w:spacing w:val="-6"/>
        </w:rPr>
        <w:t> </w:t>
      </w:r>
      <w:r>
        <w:rPr/>
        <w:t>apoderado,</w:t>
      </w:r>
      <w:r>
        <w:rPr>
          <w:spacing w:val="-5"/>
        </w:rPr>
        <w:t> </w:t>
      </w:r>
      <w:r>
        <w:rPr/>
        <w:t>la</w:t>
      </w:r>
      <w:r>
        <w:rPr>
          <w:spacing w:val="-8"/>
        </w:rPr>
        <w:t> </w:t>
      </w:r>
      <w:r>
        <w:rPr/>
        <w:t>personalidad</w:t>
      </w:r>
      <w:r>
        <w:rPr>
          <w:spacing w:val="-8"/>
        </w:rPr>
        <w:t> </w:t>
      </w:r>
      <w:r>
        <w:rPr/>
        <w:t>se</w:t>
      </w:r>
      <w:r>
        <w:rPr>
          <w:spacing w:val="-7"/>
        </w:rPr>
        <w:t> </w:t>
      </w:r>
      <w:r>
        <w:rPr/>
        <w:t>acreditará</w:t>
      </w:r>
      <w:r>
        <w:rPr>
          <w:spacing w:val="-8"/>
        </w:rPr>
        <w:t> </w:t>
      </w:r>
      <w:r>
        <w:rPr/>
        <w:t>conforme</w:t>
      </w:r>
      <w:r>
        <w:rPr>
          <w:spacing w:val="-8"/>
        </w:rPr>
        <w:t> </w:t>
      </w:r>
      <w:r>
        <w:rPr/>
        <w:t>a</w:t>
      </w:r>
      <w:r>
        <w:rPr>
          <w:spacing w:val="-9"/>
        </w:rPr>
        <w:t> </w:t>
      </w:r>
      <w:r>
        <w:rPr/>
        <w:t>las</w:t>
      </w:r>
      <w:r>
        <w:rPr>
          <w:spacing w:val="-8"/>
        </w:rPr>
        <w:t> </w:t>
      </w:r>
      <w:r>
        <w:rPr/>
        <w:t>siguientes</w:t>
      </w:r>
      <w:r>
        <w:rPr>
          <w:spacing w:val="-7"/>
        </w:rPr>
        <w:t> </w:t>
      </w:r>
      <w:r>
        <w:rPr>
          <w:spacing w:val="-2"/>
        </w:rPr>
        <w:t>reglas:</w:t>
      </w:r>
    </w:p>
    <w:p>
      <w:pPr>
        <w:pStyle w:val="BodyText"/>
        <w:spacing w:after="0"/>
        <w:sectPr>
          <w:pgSz w:w="12240" w:h="15840"/>
          <w:pgMar w:header="724" w:footer="712" w:top="1880" w:bottom="900" w:left="1080" w:right="1080"/>
        </w:sectPr>
      </w:pPr>
    </w:p>
    <w:p>
      <w:pPr>
        <w:pStyle w:val="BodyText"/>
      </w:pPr>
    </w:p>
    <w:p>
      <w:pPr>
        <w:pStyle w:val="BodyText"/>
        <w:spacing w:before="63"/>
      </w:pPr>
    </w:p>
    <w:p>
      <w:pPr>
        <w:pStyle w:val="ListParagraph"/>
        <w:numPr>
          <w:ilvl w:val="0"/>
          <w:numId w:val="282"/>
        </w:numPr>
        <w:tabs>
          <w:tab w:pos="1193" w:val="left" w:leader="none"/>
          <w:tab w:pos="1195" w:val="left" w:leader="none"/>
        </w:tabs>
        <w:spacing w:line="242" w:lineRule="auto" w:before="0" w:after="0"/>
        <w:ind w:left="1195" w:right="343" w:hanging="569"/>
        <w:jc w:val="both"/>
        <w:rPr>
          <w:sz w:val="20"/>
        </w:rPr>
      </w:pPr>
      <w:r>
        <w:rPr>
          <w:sz w:val="20"/>
        </w:rPr>
        <w:t>Cuando el compareciente actúe como apoderado de persona física, podrá hacerlo mediante poder notarial o carta poder firmada por el otorgante y ante dos testigos, sin necesidad de ser ratificada ante el Tribunal;</w:t>
      </w:r>
    </w:p>
    <w:p>
      <w:pPr>
        <w:spacing w:line="179"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82"/>
        </w:numPr>
        <w:tabs>
          <w:tab w:pos="1192" w:val="left" w:leader="none"/>
          <w:tab w:pos="1195" w:val="left" w:leader="none"/>
        </w:tabs>
        <w:spacing w:line="240" w:lineRule="auto" w:before="0" w:after="0"/>
        <w:ind w:left="1195" w:right="341" w:hanging="569"/>
        <w:jc w:val="both"/>
        <w:rPr>
          <w:sz w:val="20"/>
        </w:rPr>
      </w:pPr>
      <w:r>
        <w:rPr>
          <w:sz w:val="20"/>
        </w:rPr>
        <w:t>Los abogados patronos o asesores legales de las partes, sean o no apoderados de éstas, deberán acreditar ser abogados o licenciados en derecho con cédula profesional o personas que cuenten con carta de pasante vigente expedida por la autoridad competente para ejercer dicha profesión. Sólo se podrá autorizar a otras personas para oír notificaciones y recibir documentos,</w:t>
      </w:r>
      <w:r>
        <w:rPr>
          <w:spacing w:val="-1"/>
          <w:sz w:val="20"/>
        </w:rPr>
        <w:t> </w:t>
      </w:r>
      <w:r>
        <w:rPr>
          <w:sz w:val="20"/>
        </w:rPr>
        <w:t>pero éstas no podrán</w:t>
      </w:r>
      <w:r>
        <w:rPr>
          <w:spacing w:val="-1"/>
          <w:sz w:val="20"/>
        </w:rPr>
        <w:t> </w:t>
      </w:r>
      <w:r>
        <w:rPr>
          <w:sz w:val="20"/>
        </w:rPr>
        <w:t>comparecer</w:t>
      </w:r>
      <w:r>
        <w:rPr>
          <w:spacing w:val="-1"/>
          <w:sz w:val="20"/>
        </w:rPr>
        <w:t> </w:t>
      </w:r>
      <w:r>
        <w:rPr>
          <w:sz w:val="20"/>
        </w:rPr>
        <w:t>en</w:t>
      </w:r>
      <w:r>
        <w:rPr>
          <w:spacing w:val="-1"/>
          <w:sz w:val="20"/>
        </w:rPr>
        <w:t> </w:t>
      </w:r>
      <w:r>
        <w:rPr>
          <w:sz w:val="20"/>
        </w:rPr>
        <w:t>las audiencias ni efectuar promoción</w:t>
      </w:r>
      <w:r>
        <w:rPr>
          <w:spacing w:val="-2"/>
          <w:sz w:val="20"/>
        </w:rPr>
        <w:t> </w:t>
      </w:r>
      <w:r>
        <w:rPr>
          <w:sz w:val="20"/>
        </w:rPr>
        <w:t>alguna;</w:t>
      </w:r>
    </w:p>
    <w:p>
      <w:pPr>
        <w:spacing w:line="184"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ListParagraph"/>
        <w:numPr>
          <w:ilvl w:val="0"/>
          <w:numId w:val="282"/>
        </w:numPr>
        <w:tabs>
          <w:tab w:pos="1191" w:val="left" w:leader="none"/>
          <w:tab w:pos="1195" w:val="left" w:leader="none"/>
        </w:tabs>
        <w:spacing w:line="240" w:lineRule="auto" w:before="0" w:after="0"/>
        <w:ind w:left="1195" w:right="339" w:hanging="569"/>
        <w:jc w:val="both"/>
        <w:rPr>
          <w:sz w:val="20"/>
        </w:rPr>
      </w:pPr>
      <w:r>
        <w:rPr>
          <w:sz w:val="20"/>
        </w:rPr>
        <w:t>Cuando el compareciente actúe como apoderado de persona moral, podrá acreditar su personalidad mediante testimonio notarial o carta poder otorgada ante dos testigos, previa comprobación de que quien le otorga el poder está legalmente autorizado para ello; y</w:t>
      </w:r>
    </w:p>
    <w:p>
      <w:pPr>
        <w:pStyle w:val="ListParagraph"/>
        <w:numPr>
          <w:ilvl w:val="0"/>
          <w:numId w:val="282"/>
        </w:numPr>
        <w:tabs>
          <w:tab w:pos="1195" w:val="left" w:leader="none"/>
        </w:tabs>
        <w:spacing w:line="242" w:lineRule="auto" w:before="225" w:after="0"/>
        <w:ind w:left="1195" w:right="344" w:hanging="569"/>
        <w:jc w:val="both"/>
        <w:rPr>
          <w:sz w:val="20"/>
        </w:rPr>
      </w:pPr>
      <w:r>
        <w:rPr>
          <w:sz w:val="20"/>
        </w:rPr>
        <w:t>Los representantes de los sindicatos acreditarán su personalidad con la certificación que les extienda la autoridad registradora correspondiente, de haber quedado inscrita la directiva del sindicato. También podrán comparecer por conducto de apoderado legal, quien en todos los casos deberá ser abogado, licenciado en derecho o pasante.</w:t>
      </w:r>
    </w:p>
    <w:p>
      <w:pPr>
        <w:spacing w:line="240" w:lineRule="auto" w:before="0"/>
        <w:ind w:left="7347" w:right="333" w:hanging="6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2"/>
        <w:rPr>
          <w:rFonts w:ascii="Times New Roman"/>
          <w:i/>
          <w:sz w:val="16"/>
        </w:rPr>
      </w:pPr>
    </w:p>
    <w:p>
      <w:pPr>
        <w:pStyle w:val="BodyText"/>
        <w:ind w:left="338" w:right="338" w:firstLine="288"/>
        <w:jc w:val="both"/>
      </w:pPr>
      <w:bookmarkStart w:name="Artículo_693" w:id="879"/>
      <w:bookmarkEnd w:id="879"/>
      <w:r>
        <w:rPr/>
      </w:r>
      <w:r>
        <w:rPr>
          <w:rFonts w:ascii="Arial" w:hAnsi="Arial"/>
          <w:b/>
        </w:rPr>
        <w:t>Artículo 693.- </w:t>
      </w:r>
      <w:r>
        <w:rPr/>
        <w:t>Los Tribunales podrán tener por acreditada la personalidad de los representantes de</w:t>
      </w:r>
      <w:r>
        <w:rPr>
          <w:spacing w:val="40"/>
        </w:rPr>
        <w:t> </w:t>
      </w:r>
      <w:r>
        <w:rPr/>
        <w:t>los trabajadores o sindicatos, federaciones y confederaciones sin sujetarse a las reglas del artículo anterior, siempre que de los documentos exhibidos lleguen al convencimiento de que efectivamente se representa a la parte interesada.</w:t>
      </w:r>
    </w:p>
    <w:p>
      <w:pPr>
        <w:spacing w:before="0"/>
        <w:ind w:left="56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3"/>
        <w:rPr>
          <w:rFonts w:ascii="Times New Roman"/>
          <w:i/>
          <w:sz w:val="16"/>
        </w:rPr>
      </w:pPr>
    </w:p>
    <w:p>
      <w:pPr>
        <w:pStyle w:val="BodyText"/>
        <w:spacing w:line="242" w:lineRule="auto"/>
        <w:ind w:left="338" w:right="339" w:firstLine="288"/>
        <w:jc w:val="both"/>
      </w:pPr>
      <w:bookmarkStart w:name="Artículo_694" w:id="880"/>
      <w:bookmarkEnd w:id="880"/>
      <w:r>
        <w:rPr/>
      </w:r>
      <w:r>
        <w:rPr>
          <w:rFonts w:ascii="Arial" w:hAnsi="Arial"/>
          <w:b/>
        </w:rPr>
        <w:t>Artículo 694.- </w:t>
      </w:r>
      <w:r>
        <w:rPr/>
        <w:t>Los trabajadores, los patrones y las organizaciones sindicales, podrán otorgar poder mediante</w:t>
      </w:r>
      <w:r>
        <w:rPr>
          <w:spacing w:val="-3"/>
        </w:rPr>
        <w:t> </w:t>
      </w:r>
      <w:r>
        <w:rPr/>
        <w:t>simple</w:t>
      </w:r>
      <w:r>
        <w:rPr>
          <w:spacing w:val="-3"/>
        </w:rPr>
        <w:t> </w:t>
      </w:r>
      <w:r>
        <w:rPr/>
        <w:t>comparecencia,</w:t>
      </w:r>
      <w:r>
        <w:rPr>
          <w:spacing w:val="-1"/>
        </w:rPr>
        <w:t> </w:t>
      </w:r>
      <w:r>
        <w:rPr/>
        <w:t>previa</w:t>
      </w:r>
      <w:r>
        <w:rPr>
          <w:spacing w:val="-1"/>
        </w:rPr>
        <w:t> </w:t>
      </w:r>
      <w:r>
        <w:rPr/>
        <w:t>identificación,</w:t>
      </w:r>
      <w:r>
        <w:rPr>
          <w:spacing w:val="-1"/>
        </w:rPr>
        <w:t> </w:t>
      </w:r>
      <w:r>
        <w:rPr/>
        <w:t>ante</w:t>
      </w:r>
      <w:r>
        <w:rPr>
          <w:spacing w:val="-3"/>
        </w:rPr>
        <w:t> </w:t>
      </w:r>
      <w:r>
        <w:rPr/>
        <w:t>los</w:t>
      </w:r>
      <w:r>
        <w:rPr>
          <w:spacing w:val="-2"/>
        </w:rPr>
        <w:t> </w:t>
      </w:r>
      <w:r>
        <w:rPr/>
        <w:t>Tribunales</w:t>
      </w:r>
      <w:r>
        <w:rPr>
          <w:spacing w:val="-1"/>
        </w:rPr>
        <w:t> </w:t>
      </w:r>
      <w:r>
        <w:rPr/>
        <w:t>del</w:t>
      </w:r>
      <w:r>
        <w:rPr>
          <w:spacing w:val="-1"/>
        </w:rPr>
        <w:t> </w:t>
      </w:r>
      <w:r>
        <w:rPr/>
        <w:t>lugar</w:t>
      </w:r>
      <w:r>
        <w:rPr>
          <w:spacing w:val="-2"/>
        </w:rPr>
        <w:t> </w:t>
      </w:r>
      <w:r>
        <w:rPr/>
        <w:t>de</w:t>
      </w:r>
      <w:r>
        <w:rPr>
          <w:spacing w:val="-4"/>
        </w:rPr>
        <w:t> </w:t>
      </w:r>
      <w:r>
        <w:rPr/>
        <w:t>su</w:t>
      </w:r>
      <w:r>
        <w:rPr>
          <w:spacing w:val="-3"/>
        </w:rPr>
        <w:t> </w:t>
      </w:r>
      <w:r>
        <w:rPr/>
        <w:t>residencia,</w:t>
      </w:r>
      <w:r>
        <w:rPr>
          <w:spacing w:val="-1"/>
        </w:rPr>
        <w:t> </w:t>
      </w:r>
      <w:r>
        <w:rPr/>
        <w:t>para que los representen ante cualquier autoridad del trabajo; la personalidad se acreditará con la copia certificada que se expida de la misma.</w:t>
      </w:r>
    </w:p>
    <w:p>
      <w:pPr>
        <w:spacing w:line="178"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1"/>
        <w:rPr>
          <w:rFonts w:ascii="Times New Roman"/>
          <w:i/>
          <w:sz w:val="16"/>
        </w:rPr>
      </w:pPr>
    </w:p>
    <w:p>
      <w:pPr>
        <w:pStyle w:val="BodyText"/>
        <w:spacing w:line="242" w:lineRule="auto"/>
        <w:ind w:left="338" w:right="334" w:firstLine="288"/>
        <w:jc w:val="both"/>
      </w:pPr>
      <w:bookmarkStart w:name="Artículo_695" w:id="881"/>
      <w:bookmarkEnd w:id="881"/>
      <w:r>
        <w:rPr/>
      </w:r>
      <w:r>
        <w:rPr>
          <w:rFonts w:ascii="Arial" w:hAnsi="Arial"/>
          <w:b/>
        </w:rPr>
        <w:t>Artículo 695.- </w:t>
      </w:r>
      <w:r>
        <w:rPr/>
        <w:t>Los representantes o apoderados podrán acreditar su personalidad conforme a los lineamientos anteriores, en cada uno de los juicios en que comparezcan, exhibiendo copia simple fotostática para su cotejo con el documento original o certificado por autoridad, el cual les será</w:t>
      </w:r>
      <w:r>
        <w:rPr>
          <w:spacing w:val="22"/>
        </w:rPr>
        <w:t> </w:t>
      </w:r>
      <w:r>
        <w:rPr/>
        <w:t>devuelto de inmediato, quedando en autos la copia debidamente certificada.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before="1"/>
        <w:ind w:left="338" w:right="340" w:firstLine="288"/>
        <w:jc w:val="both"/>
      </w:pPr>
      <w:bookmarkStart w:name="Artículo_696" w:id="882"/>
      <w:bookmarkEnd w:id="882"/>
      <w:r>
        <w:rPr/>
      </w:r>
      <w:r>
        <w:rPr>
          <w:rFonts w:ascii="Arial" w:hAnsi="Arial"/>
          <w:b/>
        </w:rPr>
        <w:t>Artículo 696.- </w:t>
      </w:r>
      <w:r>
        <w:rPr/>
        <w:t>El poder que otorgue el trabajador para ser representado en juicio, se entenderá conferido para demandar todas las prestaciones principales y accesorias que correspondan, aunque no se exprese en el mismo.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ind w:left="338" w:right="340" w:firstLine="288"/>
        <w:jc w:val="both"/>
      </w:pPr>
      <w:bookmarkStart w:name="Artículo_697" w:id="883"/>
      <w:bookmarkEnd w:id="883"/>
      <w:r>
        <w:rPr/>
      </w:r>
      <w:r>
        <w:rPr>
          <w:rFonts w:ascii="Arial" w:hAnsi="Arial"/>
          <w:b/>
        </w:rPr>
        <w:t>Artículo 697.- </w:t>
      </w:r>
      <w:r>
        <w:rPr/>
        <w:t>Siempre que dos o más personas ejerciten la misma acción u opongan la misma excepción en un mismo juicio deben litigar unidas y con una representación común, salvo que los colitigantes tengan intereses opuestos.</w:t>
      </w:r>
    </w:p>
    <w:p>
      <w:pPr>
        <w:pStyle w:val="BodyText"/>
        <w:spacing w:before="225"/>
        <w:ind w:left="338" w:right="336" w:firstLine="288"/>
        <w:jc w:val="both"/>
      </w:pPr>
      <w:r>
        <w:rPr/>
        <w:t>Si se trata de las partes actoras, el nombramiento de representante común deberá hacerse en el escrito de demanda, o en la audiencia preliminar; si se trata de las demandadas, el nombramiento se</w:t>
      </w:r>
      <w:r>
        <w:rPr>
          <w:spacing w:val="40"/>
        </w:rPr>
        <w:t> </w:t>
      </w:r>
      <w:r>
        <w:rPr/>
        <w:t>hará</w:t>
      </w:r>
      <w:r>
        <w:rPr>
          <w:spacing w:val="-3"/>
        </w:rPr>
        <w:t> </w:t>
      </w:r>
      <w:r>
        <w:rPr/>
        <w:t>en</w:t>
      </w:r>
      <w:r>
        <w:rPr>
          <w:spacing w:val="-1"/>
        </w:rPr>
        <w:t> </w:t>
      </w:r>
      <w:r>
        <w:rPr/>
        <w:t>el</w:t>
      </w:r>
      <w:r>
        <w:rPr>
          <w:spacing w:val="-2"/>
        </w:rPr>
        <w:t> </w:t>
      </w:r>
      <w:r>
        <w:rPr/>
        <w:t>escrito</w:t>
      </w:r>
      <w:r>
        <w:rPr>
          <w:spacing w:val="-1"/>
        </w:rPr>
        <w:t> </w:t>
      </w:r>
      <w:r>
        <w:rPr/>
        <w:t>de</w:t>
      </w:r>
      <w:r>
        <w:rPr>
          <w:spacing w:val="-4"/>
        </w:rPr>
        <w:t> </w:t>
      </w:r>
      <w:r>
        <w:rPr/>
        <w:t>contestación</w:t>
      </w:r>
      <w:r>
        <w:rPr>
          <w:spacing w:val="-2"/>
        </w:rPr>
        <w:t> </w:t>
      </w:r>
      <w:r>
        <w:rPr/>
        <w:t>o</w:t>
      </w:r>
      <w:r>
        <w:rPr>
          <w:spacing w:val="-3"/>
        </w:rPr>
        <w:t> </w:t>
      </w:r>
      <w:r>
        <w:rPr/>
        <w:t>en</w:t>
      </w:r>
      <w:r>
        <w:rPr>
          <w:spacing w:val="-1"/>
        </w:rPr>
        <w:t> </w:t>
      </w:r>
      <w:r>
        <w:rPr/>
        <w:t>la</w:t>
      </w:r>
      <w:r>
        <w:rPr>
          <w:spacing w:val="-1"/>
        </w:rPr>
        <w:t> </w:t>
      </w:r>
      <w:r>
        <w:rPr/>
        <w:t>audiencia</w:t>
      </w:r>
      <w:r>
        <w:rPr>
          <w:spacing w:val="-1"/>
        </w:rPr>
        <w:t> </w:t>
      </w:r>
      <w:r>
        <w:rPr/>
        <w:t>a</w:t>
      </w:r>
      <w:r>
        <w:rPr>
          <w:spacing w:val="-1"/>
        </w:rPr>
        <w:t> </w:t>
      </w:r>
      <w:r>
        <w:rPr/>
        <w:t>que</w:t>
      </w:r>
      <w:r>
        <w:rPr>
          <w:spacing w:val="-3"/>
        </w:rPr>
        <w:t> </w:t>
      </w:r>
      <w:r>
        <w:rPr/>
        <w:t>se</w:t>
      </w:r>
      <w:r>
        <w:rPr>
          <w:spacing w:val="-1"/>
        </w:rPr>
        <w:t> </w:t>
      </w:r>
      <w:r>
        <w:rPr/>
        <w:t>ha</w:t>
      </w:r>
      <w:r>
        <w:rPr>
          <w:spacing w:val="-1"/>
        </w:rPr>
        <w:t> </w:t>
      </w:r>
      <w:r>
        <w:rPr/>
        <w:t>hecho</w:t>
      </w:r>
      <w:r>
        <w:rPr>
          <w:spacing w:val="-4"/>
        </w:rPr>
        <w:t> </w:t>
      </w:r>
      <w:r>
        <w:rPr/>
        <w:t>mención. Si</w:t>
      </w:r>
      <w:r>
        <w:rPr>
          <w:spacing w:val="-2"/>
        </w:rPr>
        <w:t> </w:t>
      </w:r>
      <w:r>
        <w:rPr/>
        <w:t>el</w:t>
      </w:r>
      <w:r>
        <w:rPr>
          <w:spacing w:val="-2"/>
        </w:rPr>
        <w:t> </w:t>
      </w:r>
      <w:r>
        <w:rPr/>
        <w:t>nombramiento</w:t>
      </w:r>
      <w:r>
        <w:rPr>
          <w:spacing w:val="-4"/>
        </w:rPr>
        <w:t> </w:t>
      </w:r>
      <w:r>
        <w:rPr/>
        <w:t>no</w:t>
      </w:r>
      <w:r>
        <w:rPr>
          <w:spacing w:val="-1"/>
        </w:rPr>
        <w:t> </w:t>
      </w:r>
      <w:r>
        <w:rPr/>
        <w:t>lo</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pPr>
      <w:r>
        <w:rPr/>
        <w:t>hicieran los interesados dentro de los términos señalados, el Tribunal lo hará escogiéndolo de entre los propios interesados.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338" w:firstLine="288"/>
      </w:pPr>
      <w:r>
        <w:rPr/>
        <w:t>El</w:t>
      </w:r>
      <w:r>
        <w:rPr>
          <w:spacing w:val="78"/>
        </w:rPr>
        <w:t> </w:t>
      </w:r>
      <w:r>
        <w:rPr/>
        <w:t>representante</w:t>
      </w:r>
      <w:r>
        <w:rPr>
          <w:spacing w:val="78"/>
        </w:rPr>
        <w:t> </w:t>
      </w:r>
      <w:r>
        <w:rPr/>
        <w:t>común</w:t>
      </w:r>
      <w:r>
        <w:rPr>
          <w:spacing w:val="76"/>
        </w:rPr>
        <w:t> </w:t>
      </w:r>
      <w:r>
        <w:rPr/>
        <w:t>tendrá</w:t>
      </w:r>
      <w:r>
        <w:rPr>
          <w:spacing w:val="80"/>
        </w:rPr>
        <w:t> </w:t>
      </w:r>
      <w:r>
        <w:rPr/>
        <w:t>los</w:t>
      </w:r>
      <w:r>
        <w:rPr>
          <w:spacing w:val="78"/>
        </w:rPr>
        <w:t> </w:t>
      </w:r>
      <w:r>
        <w:rPr/>
        <w:t>derechos,</w:t>
      </w:r>
      <w:r>
        <w:rPr>
          <w:spacing w:val="79"/>
        </w:rPr>
        <w:t> </w:t>
      </w:r>
      <w:r>
        <w:rPr/>
        <w:t>obligaciones</w:t>
      </w:r>
      <w:r>
        <w:rPr>
          <w:spacing w:val="80"/>
        </w:rPr>
        <w:t> </w:t>
      </w:r>
      <w:r>
        <w:rPr/>
        <w:t>y</w:t>
      </w:r>
      <w:r>
        <w:rPr>
          <w:spacing w:val="73"/>
        </w:rPr>
        <w:t> </w:t>
      </w:r>
      <w:r>
        <w:rPr/>
        <w:t>responsabilidad</w:t>
      </w:r>
      <w:r>
        <w:rPr>
          <w:spacing w:val="79"/>
        </w:rPr>
        <w:t> </w:t>
      </w:r>
      <w:r>
        <w:rPr/>
        <w:t>inherentes</w:t>
      </w:r>
      <w:r>
        <w:rPr>
          <w:spacing w:val="78"/>
        </w:rPr>
        <w:t> </w:t>
      </w:r>
      <w:r>
        <w:rPr/>
        <w:t>a</w:t>
      </w:r>
      <w:r>
        <w:rPr>
          <w:spacing w:val="79"/>
        </w:rPr>
        <w:t> </w:t>
      </w:r>
      <w:r>
        <w:rPr/>
        <w:t>un mandatario judicial.</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Heading1"/>
        <w:spacing w:line="252" w:lineRule="exact"/>
        <w:ind w:left="298"/>
      </w:pPr>
      <w:r>
        <w:rPr/>
        <w:t>CAPITULO</w:t>
      </w:r>
      <w:r>
        <w:rPr>
          <w:spacing w:val="-9"/>
        </w:rPr>
        <w:t> </w:t>
      </w:r>
      <w:r>
        <w:rPr>
          <w:spacing w:val="-5"/>
        </w:rPr>
        <w:t>III</w:t>
      </w:r>
    </w:p>
    <w:p>
      <w:pPr>
        <w:pStyle w:val="Heading2"/>
        <w:spacing w:line="252" w:lineRule="exact"/>
        <w:ind w:left="300"/>
      </w:pPr>
      <w:r>
        <w:rPr/>
        <w:t>De</w:t>
      </w:r>
      <w:r>
        <w:rPr>
          <w:spacing w:val="-3"/>
        </w:rPr>
        <w:t> </w:t>
      </w:r>
      <w:r>
        <w:rPr/>
        <w:t>las</w:t>
      </w:r>
      <w:r>
        <w:rPr>
          <w:spacing w:val="-1"/>
        </w:rPr>
        <w:t> </w:t>
      </w:r>
      <w:r>
        <w:rPr>
          <w:spacing w:val="-2"/>
        </w:rPr>
        <w:t>Competencias</w:t>
      </w:r>
    </w:p>
    <w:p>
      <w:pPr>
        <w:spacing w:before="1"/>
        <w:ind w:left="5564"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ind w:left="338" w:right="341" w:firstLine="288"/>
        <w:jc w:val="both"/>
      </w:pPr>
      <w:bookmarkStart w:name="Artículo_698" w:id="884"/>
      <w:bookmarkEnd w:id="884"/>
      <w:r>
        <w:rPr/>
      </w:r>
      <w:r>
        <w:rPr>
          <w:rFonts w:ascii="Arial" w:hAnsi="Arial"/>
          <w:b/>
        </w:rPr>
        <w:t>Artículo 698.- </w:t>
      </w:r>
      <w:r>
        <w:rPr/>
        <w:t>Será competencia de los Tribunales de las Entidades Federativas, conocer de los conflictos que se susciten dentro de su jurisdicción, que no sean de competencia Federal.</w:t>
      </w:r>
    </w:p>
    <w:p>
      <w:pPr>
        <w:pStyle w:val="BodyText"/>
        <w:spacing w:before="228"/>
        <w:ind w:left="338" w:right="341" w:firstLine="288"/>
        <w:jc w:val="both"/>
      </w:pPr>
      <w:r>
        <w:rPr/>
        <w:t>El Tribunal Federal conocerá de los conflictos de trabajo cuando se trate de las ramas industriales, empresas o materias contenidas en los artículos 123, apartado A, fracción XXXI, de la Constitución Política y 527 de esta Ley.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36" w:firstLine="288"/>
        <w:jc w:val="both"/>
      </w:pPr>
      <w:bookmarkStart w:name="Artículo_699" w:id="885"/>
      <w:bookmarkEnd w:id="885"/>
      <w:r>
        <w:rPr/>
      </w:r>
      <w:r>
        <w:rPr>
          <w:rFonts w:ascii="Arial" w:hAnsi="Arial"/>
          <w:b/>
        </w:rPr>
        <w:t>Artículo 699.- </w:t>
      </w:r>
      <w:r>
        <w:rPr/>
        <w:t>Cuando en los conflictos a que se refiere el párrafo primero del artículo que antecede, se ejerciten en la misma demanda acciones relacionadas con obligaciones en materia de capacitación y adiestramiento o de seguridad e higiene, el conocimiento de estas materias será de la competencia del Tribunal Federal, de acuerdo a su jurisdicción.</w:t>
      </w:r>
    </w:p>
    <w:p>
      <w:pPr>
        <w:pStyle w:val="BodyText"/>
        <w:spacing w:before="225"/>
        <w:ind w:left="338" w:right="334" w:firstLine="288"/>
        <w:jc w:val="both"/>
      </w:pPr>
      <w:r>
        <w:rPr/>
        <w:t>En el supuesto previsto en el párrafo anterior, el Tribunal, al admitir la demanda, ordenará se saque copia de la misma y de los documentos presentados por el actor, las que remitirá inmediatamente al Tribunal</w:t>
      </w:r>
      <w:r>
        <w:rPr>
          <w:spacing w:val="-3"/>
        </w:rPr>
        <w:t> </w:t>
      </w:r>
      <w:r>
        <w:rPr/>
        <w:t>Federal</w:t>
      </w:r>
      <w:r>
        <w:rPr>
          <w:spacing w:val="-3"/>
        </w:rPr>
        <w:t> </w:t>
      </w:r>
      <w:r>
        <w:rPr/>
        <w:t>para la</w:t>
      </w:r>
      <w:r>
        <w:rPr>
          <w:spacing w:val="-2"/>
        </w:rPr>
        <w:t> </w:t>
      </w:r>
      <w:r>
        <w:rPr/>
        <w:t>sustanciación y</w:t>
      </w:r>
      <w:r>
        <w:rPr>
          <w:spacing w:val="-8"/>
        </w:rPr>
        <w:t> </w:t>
      </w:r>
      <w:r>
        <w:rPr/>
        <w:t>resolución, exclusivamente,</w:t>
      </w:r>
      <w:r>
        <w:rPr>
          <w:spacing w:val="-2"/>
        </w:rPr>
        <w:t> </w:t>
      </w:r>
      <w:r>
        <w:rPr/>
        <w:t>de las</w:t>
      </w:r>
      <w:r>
        <w:rPr>
          <w:spacing w:val="-1"/>
        </w:rPr>
        <w:t> </w:t>
      </w:r>
      <w:r>
        <w:rPr/>
        <w:t>cuestiones</w:t>
      </w:r>
      <w:r>
        <w:rPr>
          <w:spacing w:val="-1"/>
        </w:rPr>
        <w:t> </w:t>
      </w:r>
      <w:r>
        <w:rPr/>
        <w:t>sobre</w:t>
      </w:r>
      <w:r>
        <w:rPr>
          <w:spacing w:val="-2"/>
        </w:rPr>
        <w:t> </w:t>
      </w:r>
      <w:r>
        <w:rPr/>
        <w:t>capacitación y adiestramiento, y de seguridad e higiene, en los términos señalados en esta Ley.</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626"/>
      </w:pPr>
      <w:bookmarkStart w:name="Artículo_700" w:id="886"/>
      <w:bookmarkEnd w:id="886"/>
      <w:r>
        <w:rPr/>
      </w:r>
      <w:r>
        <w:rPr>
          <w:rFonts w:ascii="Arial" w:hAnsi="Arial"/>
          <w:b/>
        </w:rPr>
        <w:t>Artículo</w:t>
      </w:r>
      <w:r>
        <w:rPr>
          <w:rFonts w:ascii="Arial" w:hAnsi="Arial"/>
          <w:b/>
          <w:spacing w:val="-6"/>
        </w:rPr>
        <w:t> </w:t>
      </w:r>
      <w:r>
        <w:rPr>
          <w:rFonts w:ascii="Arial" w:hAnsi="Arial"/>
          <w:b/>
        </w:rPr>
        <w:t>700.-</w:t>
      </w:r>
      <w:r>
        <w:rPr>
          <w:rFonts w:ascii="Arial" w:hAnsi="Arial"/>
          <w:b/>
          <w:spacing w:val="-6"/>
        </w:rPr>
        <w:t> </w:t>
      </w:r>
      <w:r>
        <w:rPr/>
        <w:t>La</w:t>
      </w:r>
      <w:r>
        <w:rPr>
          <w:spacing w:val="-6"/>
        </w:rPr>
        <w:t> </w:t>
      </w:r>
      <w:r>
        <w:rPr/>
        <w:t>competencia</w:t>
      </w:r>
      <w:r>
        <w:rPr>
          <w:spacing w:val="-7"/>
        </w:rPr>
        <w:t> </w:t>
      </w:r>
      <w:r>
        <w:rPr/>
        <w:t>por</w:t>
      </w:r>
      <w:r>
        <w:rPr>
          <w:spacing w:val="-6"/>
        </w:rPr>
        <w:t> </w:t>
      </w:r>
      <w:r>
        <w:rPr/>
        <w:t>razón</w:t>
      </w:r>
      <w:r>
        <w:rPr>
          <w:spacing w:val="-6"/>
        </w:rPr>
        <w:t> </w:t>
      </w:r>
      <w:r>
        <w:rPr/>
        <w:t>del</w:t>
      </w:r>
      <w:r>
        <w:rPr>
          <w:spacing w:val="-5"/>
        </w:rPr>
        <w:t> </w:t>
      </w:r>
      <w:r>
        <w:rPr/>
        <w:t>territorio</w:t>
      </w:r>
      <w:r>
        <w:rPr>
          <w:spacing w:val="-6"/>
        </w:rPr>
        <w:t> </w:t>
      </w:r>
      <w:r>
        <w:rPr/>
        <w:t>se</w:t>
      </w:r>
      <w:r>
        <w:rPr>
          <w:spacing w:val="-6"/>
        </w:rPr>
        <w:t> </w:t>
      </w:r>
      <w:r>
        <w:rPr/>
        <w:t>rige</w:t>
      </w:r>
      <w:r>
        <w:rPr>
          <w:spacing w:val="-6"/>
        </w:rPr>
        <w:t> </w:t>
      </w:r>
      <w:r>
        <w:rPr/>
        <w:t>por</w:t>
      </w:r>
      <w:r>
        <w:rPr>
          <w:spacing w:val="-5"/>
        </w:rPr>
        <w:t> </w:t>
      </w:r>
      <w:r>
        <w:rPr/>
        <w:t>las</w:t>
      </w:r>
      <w:r>
        <w:rPr>
          <w:spacing w:val="-6"/>
        </w:rPr>
        <w:t> </w:t>
      </w:r>
      <w:r>
        <w:rPr/>
        <w:t>normas</w:t>
      </w:r>
      <w:r>
        <w:rPr>
          <w:spacing w:val="-6"/>
        </w:rPr>
        <w:t> </w:t>
      </w:r>
      <w:r>
        <w:rPr>
          <w:spacing w:val="-2"/>
        </w:rPr>
        <w:t>siguientes:</w:t>
      </w:r>
    </w:p>
    <w:p>
      <w:pPr>
        <w:pStyle w:val="BodyText"/>
        <w:spacing w:before="1"/>
      </w:pPr>
    </w:p>
    <w:p>
      <w:pPr>
        <w:pStyle w:val="ListParagraph"/>
        <w:numPr>
          <w:ilvl w:val="0"/>
          <w:numId w:val="283"/>
        </w:numPr>
        <w:tabs>
          <w:tab w:pos="1195" w:val="left" w:leader="none"/>
        </w:tabs>
        <w:spacing w:line="240" w:lineRule="auto" w:before="0" w:after="0"/>
        <w:ind w:left="1195" w:right="0" w:hanging="569"/>
        <w:jc w:val="left"/>
        <w:rPr>
          <w:sz w:val="20"/>
        </w:rPr>
      </w:pPr>
      <w:r>
        <w:rPr>
          <w:sz w:val="20"/>
        </w:rPr>
        <w:t>(Se</w:t>
      </w:r>
      <w:r>
        <w:rPr>
          <w:spacing w:val="-6"/>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ListParagraph"/>
        <w:numPr>
          <w:ilvl w:val="0"/>
          <w:numId w:val="283"/>
        </w:numPr>
        <w:tabs>
          <w:tab w:pos="1195" w:val="left" w:leader="none"/>
        </w:tabs>
        <w:spacing w:line="240" w:lineRule="auto" w:before="229" w:after="0"/>
        <w:ind w:left="1195" w:right="0" w:hanging="569"/>
        <w:jc w:val="left"/>
        <w:rPr>
          <w:sz w:val="20"/>
        </w:rPr>
      </w:pPr>
      <w:r>
        <w:rPr>
          <w:sz w:val="20"/>
        </w:rPr>
        <w:t>En</w:t>
      </w:r>
      <w:r>
        <w:rPr>
          <w:spacing w:val="-6"/>
          <w:sz w:val="20"/>
        </w:rPr>
        <w:t> </w:t>
      </w:r>
      <w:r>
        <w:rPr>
          <w:sz w:val="20"/>
        </w:rPr>
        <w:t>los</w:t>
      </w:r>
      <w:r>
        <w:rPr>
          <w:spacing w:val="-7"/>
          <w:sz w:val="20"/>
        </w:rPr>
        <w:t> </w:t>
      </w:r>
      <w:r>
        <w:rPr>
          <w:sz w:val="20"/>
        </w:rPr>
        <w:t>conflictos</w:t>
      </w:r>
      <w:r>
        <w:rPr>
          <w:spacing w:val="-7"/>
          <w:sz w:val="20"/>
        </w:rPr>
        <w:t> </w:t>
      </w:r>
      <w:r>
        <w:rPr>
          <w:sz w:val="20"/>
        </w:rPr>
        <w:t>individuales,</w:t>
      </w:r>
      <w:r>
        <w:rPr>
          <w:spacing w:val="-7"/>
          <w:sz w:val="20"/>
        </w:rPr>
        <w:t> </w:t>
      </w:r>
      <w:r>
        <w:rPr>
          <w:sz w:val="20"/>
        </w:rPr>
        <w:t>el</w:t>
      </w:r>
      <w:r>
        <w:rPr>
          <w:spacing w:val="-9"/>
          <w:sz w:val="20"/>
        </w:rPr>
        <w:t> </w:t>
      </w:r>
      <w:r>
        <w:rPr>
          <w:sz w:val="20"/>
        </w:rPr>
        <w:t>actor</w:t>
      </w:r>
      <w:r>
        <w:rPr>
          <w:spacing w:val="-7"/>
          <w:sz w:val="20"/>
        </w:rPr>
        <w:t> </w:t>
      </w:r>
      <w:r>
        <w:rPr>
          <w:sz w:val="20"/>
        </w:rPr>
        <w:t>puede</w:t>
      </w:r>
      <w:r>
        <w:rPr>
          <w:spacing w:val="-7"/>
          <w:sz w:val="20"/>
        </w:rPr>
        <w:t> </w:t>
      </w:r>
      <w:r>
        <w:rPr>
          <w:sz w:val="20"/>
        </w:rPr>
        <w:t>escoger</w:t>
      </w:r>
      <w:r>
        <w:rPr>
          <w:spacing w:val="-8"/>
          <w:sz w:val="20"/>
        </w:rPr>
        <w:t> </w:t>
      </w:r>
      <w:r>
        <w:rPr>
          <w:spacing w:val="-2"/>
          <w:sz w:val="20"/>
        </w:rPr>
        <w:t>entre:</w:t>
      </w:r>
    </w:p>
    <w:p>
      <w:pPr>
        <w:pStyle w:val="BodyText"/>
        <w:spacing w:before="1"/>
      </w:pPr>
    </w:p>
    <w:p>
      <w:pPr>
        <w:pStyle w:val="ListParagraph"/>
        <w:numPr>
          <w:ilvl w:val="1"/>
          <w:numId w:val="283"/>
        </w:numPr>
        <w:tabs>
          <w:tab w:pos="1761" w:val="left" w:leader="none"/>
        </w:tabs>
        <w:spacing w:line="240" w:lineRule="auto" w:before="0" w:after="0"/>
        <w:ind w:left="1761" w:right="0" w:hanging="566"/>
        <w:jc w:val="left"/>
        <w:rPr>
          <w:sz w:val="20"/>
        </w:rPr>
      </w:pPr>
      <w:r>
        <w:rPr>
          <w:sz w:val="20"/>
        </w:rPr>
        <w:t>El</w:t>
      </w:r>
      <w:r>
        <w:rPr>
          <w:spacing w:val="-8"/>
          <w:sz w:val="20"/>
        </w:rPr>
        <w:t> </w:t>
      </w:r>
      <w:r>
        <w:rPr>
          <w:sz w:val="20"/>
        </w:rPr>
        <w:t>Tribunal</w:t>
      </w:r>
      <w:r>
        <w:rPr>
          <w:spacing w:val="-5"/>
          <w:sz w:val="20"/>
        </w:rPr>
        <w:t> </w:t>
      </w:r>
      <w:r>
        <w:rPr>
          <w:sz w:val="20"/>
        </w:rPr>
        <w:t>del</w:t>
      </w:r>
      <w:r>
        <w:rPr>
          <w:spacing w:val="-8"/>
          <w:sz w:val="20"/>
        </w:rPr>
        <w:t> </w:t>
      </w:r>
      <w:r>
        <w:rPr>
          <w:sz w:val="20"/>
        </w:rPr>
        <w:t>lugar</w:t>
      </w:r>
      <w:r>
        <w:rPr>
          <w:spacing w:val="-4"/>
          <w:sz w:val="20"/>
        </w:rPr>
        <w:t> </w:t>
      </w:r>
      <w:r>
        <w:rPr>
          <w:sz w:val="20"/>
        </w:rPr>
        <w:t>de</w:t>
      </w:r>
      <w:r>
        <w:rPr>
          <w:spacing w:val="-7"/>
          <w:sz w:val="20"/>
        </w:rPr>
        <w:t> </w:t>
      </w:r>
      <w:r>
        <w:rPr>
          <w:sz w:val="20"/>
        </w:rPr>
        <w:t>celebración</w:t>
      </w:r>
      <w:r>
        <w:rPr>
          <w:spacing w:val="-6"/>
          <w:sz w:val="20"/>
        </w:rPr>
        <w:t> </w:t>
      </w:r>
      <w:r>
        <w:rPr>
          <w:sz w:val="20"/>
        </w:rPr>
        <w:t>del</w:t>
      </w:r>
      <w:r>
        <w:rPr>
          <w:spacing w:val="-8"/>
          <w:sz w:val="20"/>
        </w:rPr>
        <w:t> </w:t>
      </w:r>
      <w:r>
        <w:rPr>
          <w:spacing w:val="-2"/>
          <w:sz w:val="20"/>
        </w:rPr>
        <w:t>contrato;</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01-05-</w:t>
      </w:r>
      <w:r>
        <w:rPr>
          <w:rFonts w:ascii="Times New Roman"/>
          <w:i/>
          <w:color w:val="0000FF"/>
          <w:spacing w:val="-4"/>
          <w:sz w:val="16"/>
        </w:rPr>
        <w:t>2019</w:t>
      </w:r>
    </w:p>
    <w:p>
      <w:pPr>
        <w:pStyle w:val="ListParagraph"/>
        <w:numPr>
          <w:ilvl w:val="1"/>
          <w:numId w:val="283"/>
        </w:numPr>
        <w:tabs>
          <w:tab w:pos="1761" w:val="left" w:leader="none"/>
        </w:tabs>
        <w:spacing w:line="240" w:lineRule="auto" w:before="229" w:after="0"/>
        <w:ind w:left="1761" w:right="0" w:hanging="566"/>
        <w:jc w:val="left"/>
        <w:rPr>
          <w:sz w:val="20"/>
        </w:rPr>
      </w:pPr>
      <w:r>
        <w:rPr>
          <w:sz w:val="20"/>
        </w:rPr>
        <w:t>El</w:t>
      </w:r>
      <w:r>
        <w:rPr>
          <w:spacing w:val="-9"/>
          <w:sz w:val="20"/>
        </w:rPr>
        <w:t> </w:t>
      </w:r>
      <w:r>
        <w:rPr>
          <w:sz w:val="20"/>
        </w:rPr>
        <w:t>Tribunal</w:t>
      </w:r>
      <w:r>
        <w:rPr>
          <w:spacing w:val="-7"/>
          <w:sz w:val="20"/>
        </w:rPr>
        <w:t> </w:t>
      </w:r>
      <w:r>
        <w:rPr>
          <w:sz w:val="20"/>
        </w:rPr>
        <w:t>del</w:t>
      </w:r>
      <w:r>
        <w:rPr>
          <w:spacing w:val="-9"/>
          <w:sz w:val="20"/>
        </w:rPr>
        <w:t> </w:t>
      </w:r>
      <w:r>
        <w:rPr>
          <w:sz w:val="20"/>
        </w:rPr>
        <w:t>domicilio</w:t>
      </w:r>
      <w:r>
        <w:rPr>
          <w:spacing w:val="-6"/>
          <w:sz w:val="20"/>
        </w:rPr>
        <w:t> </w:t>
      </w:r>
      <w:r>
        <w:rPr>
          <w:sz w:val="20"/>
        </w:rPr>
        <w:t>de</w:t>
      </w:r>
      <w:r>
        <w:rPr>
          <w:spacing w:val="-6"/>
          <w:sz w:val="20"/>
        </w:rPr>
        <w:t> </w:t>
      </w:r>
      <w:r>
        <w:rPr>
          <w:sz w:val="20"/>
        </w:rPr>
        <w:t>cualquiera</w:t>
      </w:r>
      <w:r>
        <w:rPr>
          <w:spacing w:val="-8"/>
          <w:sz w:val="20"/>
        </w:rPr>
        <w:t> </w:t>
      </w:r>
      <w:r>
        <w:rPr>
          <w:sz w:val="20"/>
        </w:rPr>
        <w:t>de</w:t>
      </w:r>
      <w:r>
        <w:rPr>
          <w:spacing w:val="-6"/>
          <w:sz w:val="20"/>
        </w:rPr>
        <w:t> </w:t>
      </w:r>
      <w:r>
        <w:rPr>
          <w:sz w:val="20"/>
        </w:rPr>
        <w:t>los</w:t>
      </w:r>
      <w:r>
        <w:rPr>
          <w:spacing w:val="-5"/>
          <w:sz w:val="20"/>
        </w:rPr>
        <w:t> </w:t>
      </w:r>
      <w:r>
        <w:rPr>
          <w:sz w:val="20"/>
        </w:rPr>
        <w:t>demandados,</w:t>
      </w:r>
      <w:r>
        <w:rPr>
          <w:spacing w:val="-6"/>
          <w:sz w:val="20"/>
        </w:rPr>
        <w:t> </w:t>
      </w:r>
      <w:r>
        <w:rPr>
          <w:spacing w:val="-10"/>
          <w:sz w:val="20"/>
        </w:rPr>
        <w:t>y</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01-05-</w:t>
      </w:r>
      <w:r>
        <w:rPr>
          <w:rFonts w:ascii="Times New Roman"/>
          <w:i/>
          <w:color w:val="0000FF"/>
          <w:spacing w:val="-4"/>
          <w:sz w:val="16"/>
        </w:rPr>
        <w:t>2019</w:t>
      </w:r>
    </w:p>
    <w:p>
      <w:pPr>
        <w:pStyle w:val="BodyText"/>
        <w:spacing w:before="2"/>
        <w:rPr>
          <w:rFonts w:ascii="Times New Roman"/>
          <w:i/>
        </w:rPr>
      </w:pPr>
    </w:p>
    <w:p>
      <w:pPr>
        <w:pStyle w:val="ListParagraph"/>
        <w:numPr>
          <w:ilvl w:val="1"/>
          <w:numId w:val="283"/>
        </w:numPr>
        <w:tabs>
          <w:tab w:pos="1762" w:val="left" w:leader="none"/>
        </w:tabs>
        <w:spacing w:line="240" w:lineRule="auto" w:before="0" w:after="0"/>
        <w:ind w:left="1762" w:right="347" w:hanging="567"/>
        <w:jc w:val="left"/>
        <w:rPr>
          <w:sz w:val="20"/>
        </w:rPr>
      </w:pPr>
      <w:r>
        <w:rPr>
          <w:sz w:val="20"/>
        </w:rPr>
        <w:t>El</w:t>
      </w:r>
      <w:r>
        <w:rPr>
          <w:spacing w:val="40"/>
          <w:sz w:val="20"/>
        </w:rPr>
        <w:t> </w:t>
      </w:r>
      <w:r>
        <w:rPr>
          <w:sz w:val="20"/>
        </w:rPr>
        <w:t>Tribunal</w:t>
      </w:r>
      <w:r>
        <w:rPr>
          <w:spacing w:val="40"/>
          <w:sz w:val="20"/>
        </w:rPr>
        <w:t> </w:t>
      </w:r>
      <w:r>
        <w:rPr>
          <w:sz w:val="20"/>
        </w:rPr>
        <w:t>del</w:t>
      </w:r>
      <w:r>
        <w:rPr>
          <w:spacing w:val="40"/>
          <w:sz w:val="20"/>
        </w:rPr>
        <w:t> </w:t>
      </w:r>
      <w:r>
        <w:rPr>
          <w:sz w:val="20"/>
        </w:rPr>
        <w:t>lugar</w:t>
      </w:r>
      <w:r>
        <w:rPr>
          <w:spacing w:val="40"/>
          <w:sz w:val="20"/>
        </w:rPr>
        <w:t> </w:t>
      </w:r>
      <w:r>
        <w:rPr>
          <w:sz w:val="20"/>
        </w:rPr>
        <w:t>de</w:t>
      </w:r>
      <w:r>
        <w:rPr>
          <w:spacing w:val="40"/>
          <w:sz w:val="20"/>
        </w:rPr>
        <w:t> </w:t>
      </w:r>
      <w:r>
        <w:rPr>
          <w:sz w:val="20"/>
        </w:rPr>
        <w:t>prestación</w:t>
      </w:r>
      <w:r>
        <w:rPr>
          <w:spacing w:val="40"/>
          <w:sz w:val="20"/>
        </w:rPr>
        <w:t> </w:t>
      </w:r>
      <w:r>
        <w:rPr>
          <w:sz w:val="20"/>
        </w:rPr>
        <w:t>de</w:t>
      </w:r>
      <w:r>
        <w:rPr>
          <w:spacing w:val="40"/>
          <w:sz w:val="20"/>
        </w:rPr>
        <w:t> </w:t>
      </w:r>
      <w:r>
        <w:rPr>
          <w:sz w:val="20"/>
        </w:rPr>
        <w:t>los</w:t>
      </w:r>
      <w:r>
        <w:rPr>
          <w:spacing w:val="40"/>
          <w:sz w:val="20"/>
        </w:rPr>
        <w:t> </w:t>
      </w:r>
      <w:r>
        <w:rPr>
          <w:sz w:val="20"/>
        </w:rPr>
        <w:t>servicios;</w:t>
      </w:r>
      <w:r>
        <w:rPr>
          <w:spacing w:val="40"/>
          <w:sz w:val="20"/>
        </w:rPr>
        <w:t> </w:t>
      </w:r>
      <w:r>
        <w:rPr>
          <w:sz w:val="20"/>
        </w:rPr>
        <w:t>si</w:t>
      </w:r>
      <w:r>
        <w:rPr>
          <w:spacing w:val="40"/>
          <w:sz w:val="20"/>
        </w:rPr>
        <w:t> </w:t>
      </w:r>
      <w:r>
        <w:rPr>
          <w:sz w:val="20"/>
        </w:rPr>
        <w:t>éstos</w:t>
      </w:r>
      <w:r>
        <w:rPr>
          <w:spacing w:val="40"/>
          <w:sz w:val="20"/>
        </w:rPr>
        <w:t> </w:t>
      </w:r>
      <w:r>
        <w:rPr>
          <w:sz w:val="20"/>
        </w:rPr>
        <w:t>se</w:t>
      </w:r>
      <w:r>
        <w:rPr>
          <w:spacing w:val="40"/>
          <w:sz w:val="20"/>
        </w:rPr>
        <w:t> </w:t>
      </w:r>
      <w:r>
        <w:rPr>
          <w:sz w:val="20"/>
        </w:rPr>
        <w:t>prestaron</w:t>
      </w:r>
      <w:r>
        <w:rPr>
          <w:spacing w:val="40"/>
          <w:sz w:val="20"/>
        </w:rPr>
        <w:t> </w:t>
      </w:r>
      <w:r>
        <w:rPr>
          <w:sz w:val="20"/>
        </w:rPr>
        <w:t>en</w:t>
      </w:r>
      <w:r>
        <w:rPr>
          <w:spacing w:val="40"/>
          <w:sz w:val="20"/>
        </w:rPr>
        <w:t> </w:t>
      </w:r>
      <w:r>
        <w:rPr>
          <w:sz w:val="20"/>
        </w:rPr>
        <w:t>varios lugares, será el Tribunal del último de ellos.</w:t>
      </w:r>
    </w:p>
    <w:p>
      <w:pPr>
        <w:spacing w:before="0"/>
        <w:ind w:left="7285" w:right="333" w:firstLine="194"/>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4"/>
        <w:rPr>
          <w:rFonts w:ascii="Times New Roman"/>
          <w:i/>
          <w:sz w:val="16"/>
        </w:rPr>
      </w:pPr>
    </w:p>
    <w:p>
      <w:pPr>
        <w:pStyle w:val="ListParagraph"/>
        <w:numPr>
          <w:ilvl w:val="0"/>
          <w:numId w:val="283"/>
        </w:numPr>
        <w:tabs>
          <w:tab w:pos="1191" w:val="left" w:leader="none"/>
          <w:tab w:pos="1195" w:val="left" w:leader="none"/>
        </w:tabs>
        <w:spacing w:line="242" w:lineRule="auto" w:before="0" w:after="0"/>
        <w:ind w:left="1195" w:right="337" w:hanging="569"/>
        <w:jc w:val="both"/>
        <w:rPr>
          <w:sz w:val="20"/>
        </w:rPr>
      </w:pPr>
      <w:r>
        <w:rPr>
          <w:sz w:val="20"/>
        </w:rPr>
        <w:t>En los conflictos colectivos de jurisdicción federal, será competente el Tribunal Federal; en los conflictos colectivos de jurisdicción local, conocerá el Tribunal Local del lugar en que esté ubicada la empresa o establecimiento;</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9" w:lineRule="exact"/>
        <w:jc w:val="righ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ListParagraph"/>
        <w:numPr>
          <w:ilvl w:val="0"/>
          <w:numId w:val="283"/>
        </w:numPr>
        <w:tabs>
          <w:tab w:pos="1195" w:val="left" w:leader="none"/>
        </w:tabs>
        <w:spacing w:line="242" w:lineRule="auto" w:before="0" w:after="0"/>
        <w:ind w:left="1195" w:right="350" w:hanging="569"/>
        <w:jc w:val="left"/>
        <w:rPr>
          <w:sz w:val="20"/>
        </w:rPr>
      </w:pPr>
      <w:r>
        <w:rPr>
          <w:sz w:val="20"/>
        </w:rPr>
        <w:t>Cuando</w:t>
      </w:r>
      <w:r>
        <w:rPr>
          <w:spacing w:val="40"/>
          <w:sz w:val="20"/>
        </w:rPr>
        <w:t> </w:t>
      </w:r>
      <w:r>
        <w:rPr>
          <w:sz w:val="20"/>
        </w:rPr>
        <w:t>se</w:t>
      </w:r>
      <w:r>
        <w:rPr>
          <w:spacing w:val="40"/>
          <w:sz w:val="20"/>
        </w:rPr>
        <w:t> </w:t>
      </w:r>
      <w:r>
        <w:rPr>
          <w:sz w:val="20"/>
        </w:rPr>
        <w:t>trate</w:t>
      </w:r>
      <w:r>
        <w:rPr>
          <w:spacing w:val="40"/>
          <w:sz w:val="20"/>
        </w:rPr>
        <w:t> </w:t>
      </w:r>
      <w:r>
        <w:rPr>
          <w:sz w:val="20"/>
        </w:rPr>
        <w:t>de</w:t>
      </w:r>
      <w:r>
        <w:rPr>
          <w:spacing w:val="40"/>
          <w:sz w:val="20"/>
        </w:rPr>
        <w:t> </w:t>
      </w:r>
      <w:r>
        <w:rPr>
          <w:sz w:val="20"/>
        </w:rPr>
        <w:t>la</w:t>
      </w:r>
      <w:r>
        <w:rPr>
          <w:spacing w:val="40"/>
          <w:sz w:val="20"/>
        </w:rPr>
        <w:t> </w:t>
      </w:r>
      <w:r>
        <w:rPr>
          <w:sz w:val="20"/>
        </w:rPr>
        <w:t>cancelación</w:t>
      </w:r>
      <w:r>
        <w:rPr>
          <w:spacing w:val="40"/>
          <w:sz w:val="20"/>
        </w:rPr>
        <w:t> </w:t>
      </w:r>
      <w:r>
        <w:rPr>
          <w:sz w:val="20"/>
        </w:rPr>
        <w:t>del</w:t>
      </w:r>
      <w:r>
        <w:rPr>
          <w:spacing w:val="40"/>
          <w:sz w:val="20"/>
        </w:rPr>
        <w:t> </w:t>
      </w:r>
      <w:r>
        <w:rPr>
          <w:sz w:val="20"/>
        </w:rPr>
        <w:t>registro</w:t>
      </w:r>
      <w:r>
        <w:rPr>
          <w:spacing w:val="40"/>
          <w:sz w:val="20"/>
        </w:rPr>
        <w:t> </w:t>
      </w:r>
      <w:r>
        <w:rPr>
          <w:sz w:val="20"/>
        </w:rPr>
        <w:t>de</w:t>
      </w:r>
      <w:r>
        <w:rPr>
          <w:spacing w:val="40"/>
          <w:sz w:val="20"/>
        </w:rPr>
        <w:t> </w:t>
      </w:r>
      <w:r>
        <w:rPr>
          <w:sz w:val="20"/>
        </w:rPr>
        <w:t>un</w:t>
      </w:r>
      <w:r>
        <w:rPr>
          <w:spacing w:val="40"/>
          <w:sz w:val="20"/>
        </w:rPr>
        <w:t> </w:t>
      </w:r>
      <w:r>
        <w:rPr>
          <w:sz w:val="20"/>
        </w:rPr>
        <w:t>sindicato,</w:t>
      </w:r>
      <w:r>
        <w:rPr>
          <w:spacing w:val="40"/>
          <w:sz w:val="20"/>
        </w:rPr>
        <w:t> </w:t>
      </w:r>
      <w:r>
        <w:rPr>
          <w:sz w:val="20"/>
        </w:rPr>
        <w:t>el</w:t>
      </w:r>
      <w:r>
        <w:rPr>
          <w:spacing w:val="40"/>
          <w:sz w:val="20"/>
        </w:rPr>
        <w:t> </w:t>
      </w:r>
      <w:r>
        <w:rPr>
          <w:sz w:val="20"/>
        </w:rPr>
        <w:t>Tribunal</w:t>
      </w:r>
      <w:r>
        <w:rPr>
          <w:spacing w:val="40"/>
          <w:sz w:val="20"/>
        </w:rPr>
        <w:t> </w:t>
      </w:r>
      <w:r>
        <w:rPr>
          <w:sz w:val="20"/>
        </w:rPr>
        <w:t>Federal</w:t>
      </w:r>
      <w:r>
        <w:rPr>
          <w:spacing w:val="40"/>
          <w:sz w:val="20"/>
        </w:rPr>
        <w:t> </w:t>
      </w:r>
      <w:r>
        <w:rPr>
          <w:sz w:val="20"/>
        </w:rPr>
        <w:t>cuya adscripción sea la más cercana a su domicilio;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83"/>
        </w:numPr>
        <w:tabs>
          <w:tab w:pos="1195" w:val="left" w:leader="none"/>
        </w:tabs>
        <w:spacing w:line="240" w:lineRule="auto" w:before="0" w:after="0"/>
        <w:ind w:left="1195" w:right="343" w:hanging="569"/>
        <w:jc w:val="left"/>
        <w:rPr>
          <w:sz w:val="20"/>
        </w:rPr>
      </w:pPr>
      <w:r>
        <w:rPr>
          <w:sz w:val="20"/>
        </w:rPr>
        <w:t>En</w:t>
      </w:r>
      <w:r>
        <w:rPr>
          <w:spacing w:val="-2"/>
          <w:sz w:val="20"/>
        </w:rPr>
        <w:t> </w:t>
      </w:r>
      <w:r>
        <w:rPr>
          <w:sz w:val="20"/>
        </w:rPr>
        <w:t>los</w:t>
      </w:r>
      <w:r>
        <w:rPr>
          <w:spacing w:val="-3"/>
          <w:sz w:val="20"/>
        </w:rPr>
        <w:t> </w:t>
      </w:r>
      <w:r>
        <w:rPr>
          <w:sz w:val="20"/>
        </w:rPr>
        <w:t>conflictos</w:t>
      </w:r>
      <w:r>
        <w:rPr>
          <w:spacing w:val="-1"/>
          <w:sz w:val="20"/>
        </w:rPr>
        <w:t> </w:t>
      </w:r>
      <w:r>
        <w:rPr>
          <w:sz w:val="20"/>
        </w:rPr>
        <w:t>entre</w:t>
      </w:r>
      <w:r>
        <w:rPr>
          <w:spacing w:val="-2"/>
          <w:sz w:val="20"/>
        </w:rPr>
        <w:t> </w:t>
      </w:r>
      <w:r>
        <w:rPr>
          <w:sz w:val="20"/>
        </w:rPr>
        <w:t>patrones</w:t>
      </w:r>
      <w:r>
        <w:rPr>
          <w:spacing w:val="-1"/>
          <w:sz w:val="20"/>
        </w:rPr>
        <w:t> </w:t>
      </w:r>
      <w:r>
        <w:rPr>
          <w:sz w:val="20"/>
        </w:rPr>
        <w:t>o</w:t>
      </w:r>
      <w:r>
        <w:rPr>
          <w:spacing w:val="-4"/>
          <w:sz w:val="20"/>
        </w:rPr>
        <w:t> </w:t>
      </w:r>
      <w:r>
        <w:rPr>
          <w:sz w:val="20"/>
        </w:rPr>
        <w:t>trabajadores</w:t>
      </w:r>
      <w:r>
        <w:rPr>
          <w:spacing w:val="-3"/>
          <w:sz w:val="20"/>
        </w:rPr>
        <w:t> </w:t>
      </w:r>
      <w:r>
        <w:rPr>
          <w:sz w:val="20"/>
        </w:rPr>
        <w:t>entre</w:t>
      </w:r>
      <w:r>
        <w:rPr>
          <w:spacing w:val="-4"/>
          <w:sz w:val="20"/>
        </w:rPr>
        <w:t> </w:t>
      </w:r>
      <w:r>
        <w:rPr>
          <w:sz w:val="20"/>
        </w:rPr>
        <w:t>sí,</w:t>
      </w:r>
      <w:r>
        <w:rPr>
          <w:spacing w:val="-4"/>
          <w:sz w:val="20"/>
        </w:rPr>
        <w:t> </w:t>
      </w:r>
      <w:r>
        <w:rPr>
          <w:sz w:val="20"/>
        </w:rPr>
        <w:t>el</w:t>
      </w:r>
      <w:r>
        <w:rPr>
          <w:spacing w:val="-5"/>
          <w:sz w:val="20"/>
        </w:rPr>
        <w:t> </w:t>
      </w:r>
      <w:r>
        <w:rPr>
          <w:sz w:val="20"/>
        </w:rPr>
        <w:t>Tribunal</w:t>
      </w:r>
      <w:r>
        <w:rPr>
          <w:spacing w:val="-3"/>
          <w:sz w:val="20"/>
        </w:rPr>
        <w:t> </w:t>
      </w:r>
      <w:r>
        <w:rPr>
          <w:sz w:val="20"/>
        </w:rPr>
        <w:t>del</w:t>
      </w:r>
      <w:r>
        <w:rPr>
          <w:spacing w:val="-3"/>
          <w:sz w:val="20"/>
        </w:rPr>
        <w:t> </w:t>
      </w:r>
      <w:r>
        <w:rPr>
          <w:sz w:val="20"/>
        </w:rPr>
        <w:t>domicilio</w:t>
      </w:r>
      <w:r>
        <w:rPr>
          <w:spacing w:val="-2"/>
          <w:sz w:val="20"/>
        </w:rPr>
        <w:t> </w:t>
      </w:r>
      <w:r>
        <w:rPr>
          <w:sz w:val="20"/>
        </w:rPr>
        <w:t>del</w:t>
      </w:r>
      <w:r>
        <w:rPr>
          <w:spacing w:val="-3"/>
          <w:sz w:val="20"/>
        </w:rPr>
        <w:t> </w:t>
      </w:r>
      <w:r>
        <w:rPr>
          <w:sz w:val="20"/>
        </w:rPr>
        <w:t>demandado, </w:t>
      </w:r>
      <w:r>
        <w:rPr>
          <w:spacing w:val="-10"/>
          <w:sz w:val="20"/>
        </w:rPr>
        <w:t>y</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83"/>
        </w:numPr>
        <w:tabs>
          <w:tab w:pos="1195" w:val="left" w:leader="none"/>
        </w:tabs>
        <w:spacing w:line="242" w:lineRule="auto" w:before="0" w:after="0"/>
        <w:ind w:left="1195" w:right="333" w:hanging="569"/>
        <w:jc w:val="left"/>
        <w:rPr>
          <w:sz w:val="20"/>
        </w:rPr>
      </w:pPr>
      <w:r>
        <w:rPr>
          <w:sz w:val="20"/>
        </w:rPr>
        <w:t>Cuando el demandado sea un sindicato, el Tribunal Federal o el Tribunal Local más cercano al domicilio del mismo, según corresponda a la naturaleza de la acción intentada.</w:t>
      </w:r>
    </w:p>
    <w:p>
      <w:pPr>
        <w:spacing w:line="240" w:lineRule="auto" w:before="0"/>
        <w:ind w:left="7347" w:right="0" w:hanging="63"/>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2"/>
        <w:rPr>
          <w:rFonts w:ascii="Times New Roman"/>
          <w:i/>
          <w:sz w:val="16"/>
        </w:rPr>
      </w:pPr>
    </w:p>
    <w:p>
      <w:pPr>
        <w:pStyle w:val="BodyText"/>
        <w:spacing w:before="1"/>
        <w:ind w:left="338" w:right="341" w:firstLine="288"/>
        <w:jc w:val="both"/>
      </w:pPr>
      <w:bookmarkStart w:name="Artículo_701" w:id="887"/>
      <w:bookmarkEnd w:id="887"/>
      <w:r>
        <w:rPr/>
      </w:r>
      <w:r>
        <w:rPr>
          <w:rFonts w:ascii="Arial" w:hAnsi="Arial"/>
          <w:b/>
        </w:rPr>
        <w:t>Artículo 701.- </w:t>
      </w:r>
      <w:r>
        <w:rPr/>
        <w:t>El Tribunal de oficio, deberá declararse incompetente en cualquier estado del proceso, hasta antes de la audiencia de juicio, cuando existan en el expediente datos que lo justifiquen. Si el Tribunal se declara incompetente, con citación de las partes, remitirá de inmediato el expediente al tribunal que estime competente; si éste al recibir el expediente, se declara a su vez incompetente,</w:t>
      </w:r>
      <w:r>
        <w:rPr>
          <w:spacing w:val="40"/>
        </w:rPr>
        <w:t> </w:t>
      </w:r>
      <w:r>
        <w:rPr/>
        <w:t>remitirá de inmediato el expediente a la autoridad que debe decidir la competencia, en los términos del artículo 705 Bis de esta Ley.</w:t>
      </w:r>
    </w:p>
    <w:p>
      <w:pPr>
        <w:spacing w:line="181" w:lineRule="exact" w:before="0"/>
        <w:ind w:left="56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right="382" w:firstLine="288"/>
      </w:pPr>
      <w:bookmarkStart w:name="Artículo_702" w:id="888"/>
      <w:bookmarkEnd w:id="888"/>
      <w:r>
        <w:rPr/>
      </w:r>
      <w:r>
        <w:rPr>
          <w:rFonts w:ascii="Arial" w:hAnsi="Arial"/>
          <w:b/>
        </w:rPr>
        <w:t>Artículo 702.- </w:t>
      </w:r>
      <w:r>
        <w:rPr/>
        <w:t>No se considerará excepción de incompetencia la defensa consistente en la negativa</w:t>
      </w:r>
      <w:r>
        <w:rPr>
          <w:spacing w:val="40"/>
        </w:rPr>
        <w:t> </w:t>
      </w:r>
      <w:r>
        <w:rPr/>
        <w:t>de la relación de trabajo.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ind w:left="338" w:right="345" w:firstLine="288"/>
        <w:jc w:val="both"/>
      </w:pPr>
      <w:bookmarkStart w:name="Artículo_703" w:id="889"/>
      <w:bookmarkEnd w:id="889"/>
      <w:r>
        <w:rPr/>
      </w:r>
      <w:r>
        <w:rPr>
          <w:rFonts w:ascii="Arial" w:hAnsi="Arial"/>
          <w:b/>
        </w:rPr>
        <w:t>Artículo 703.- </w:t>
      </w:r>
      <w:r>
        <w:rPr/>
        <w:t>Las cuestiones de competencia, en materia de trabajo, sólo pueden promoverse por </w:t>
      </w:r>
      <w:r>
        <w:rPr>
          <w:spacing w:val="-2"/>
        </w:rPr>
        <w:t>declinatoria.</w:t>
      </w:r>
    </w:p>
    <w:p>
      <w:pPr>
        <w:pStyle w:val="BodyText"/>
        <w:spacing w:before="229"/>
        <w:ind w:left="338" w:right="335" w:firstLine="288"/>
        <w:jc w:val="both"/>
      </w:pPr>
      <w:r>
        <w:rPr/>
        <w:t>La declinatoria podrá oponerse hasta la audiencia preliminar, acompañando los elementos en que se funde; en ese momento, el Tribunal después de oír a las partes y recibir las pruebas que estime convenientes, las</w:t>
      </w:r>
      <w:r>
        <w:rPr>
          <w:spacing w:val="-1"/>
        </w:rPr>
        <w:t> </w:t>
      </w:r>
      <w:r>
        <w:rPr/>
        <w:t>que deberán</w:t>
      </w:r>
      <w:r>
        <w:rPr>
          <w:spacing w:val="-3"/>
        </w:rPr>
        <w:t> </w:t>
      </w:r>
      <w:r>
        <w:rPr/>
        <w:t>referirse</w:t>
      </w:r>
      <w:r>
        <w:rPr>
          <w:spacing w:val="-2"/>
        </w:rPr>
        <w:t> </w:t>
      </w:r>
      <w:r>
        <w:rPr/>
        <w:t>exclusivamente</w:t>
      </w:r>
      <w:r>
        <w:rPr>
          <w:spacing w:val="-2"/>
        </w:rPr>
        <w:t> </w:t>
      </w:r>
      <w:r>
        <w:rPr/>
        <w:t>a</w:t>
      </w:r>
      <w:r>
        <w:rPr>
          <w:spacing w:val="-2"/>
        </w:rPr>
        <w:t> </w:t>
      </w:r>
      <w:r>
        <w:rPr/>
        <w:t>la</w:t>
      </w:r>
      <w:r>
        <w:rPr>
          <w:spacing w:val="-2"/>
        </w:rPr>
        <w:t> </w:t>
      </w:r>
      <w:r>
        <w:rPr/>
        <w:t>cuestión</w:t>
      </w:r>
      <w:r>
        <w:rPr>
          <w:spacing w:val="-3"/>
        </w:rPr>
        <w:t> </w:t>
      </w:r>
      <w:r>
        <w:rPr/>
        <w:t>de</w:t>
      </w:r>
      <w:r>
        <w:rPr>
          <w:spacing w:val="-2"/>
        </w:rPr>
        <w:t> </w:t>
      </w:r>
      <w:r>
        <w:rPr/>
        <w:t>incompetencia, dictará</w:t>
      </w:r>
      <w:r>
        <w:rPr>
          <w:spacing w:val="-2"/>
        </w:rPr>
        <w:t> </w:t>
      </w:r>
      <w:r>
        <w:rPr/>
        <w:t>en</w:t>
      </w:r>
      <w:r>
        <w:rPr>
          <w:spacing w:val="-2"/>
        </w:rPr>
        <w:t> </w:t>
      </w:r>
      <w:r>
        <w:rPr/>
        <w:t>el</w:t>
      </w:r>
      <w:r>
        <w:rPr>
          <w:spacing w:val="-1"/>
        </w:rPr>
        <w:t> </w:t>
      </w:r>
      <w:r>
        <w:rPr/>
        <w:t>acto </w:t>
      </w:r>
      <w:r>
        <w:rPr>
          <w:spacing w:val="-2"/>
        </w:rPr>
        <w:t>resolución.</w:t>
      </w:r>
    </w:p>
    <w:p>
      <w:pPr>
        <w:spacing w:line="237" w:lineRule="auto" w:before="0"/>
        <w:ind w:left="7347" w:right="333" w:firstLine="1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338" w:right="338" w:firstLine="288"/>
        <w:jc w:val="both"/>
      </w:pPr>
      <w:bookmarkStart w:name="Artículo_704" w:id="890"/>
      <w:bookmarkEnd w:id="890"/>
      <w:r>
        <w:rPr/>
      </w:r>
      <w:r>
        <w:rPr>
          <w:rFonts w:ascii="Arial" w:hAnsi="Arial"/>
          <w:b/>
        </w:rPr>
        <w:t>Artículo 704.- </w:t>
      </w:r>
      <w:r>
        <w:rPr/>
        <w:t>Cuando un Tribunal considere que el conflicto de que conoce, es de la competencia de otro, con citación de las partes, se declarará incompetente y remitirá los autos al Tribunal que estime competente. Si éste al recibir el expediente se declara a su vez incompetente, lo remitirá a la autoridad que deba decidir la cuestión de competencia, para que ésta determine cuál es el Tribunal que debe continuar conociendo del conflicto.</w:t>
      </w:r>
    </w:p>
    <w:p>
      <w:pPr>
        <w:spacing w:line="184"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line="229" w:lineRule="exact" w:before="0"/>
        <w:ind w:left="626" w:right="0" w:firstLine="0"/>
        <w:jc w:val="left"/>
        <w:rPr>
          <w:sz w:val="20"/>
        </w:rPr>
      </w:pPr>
      <w:bookmarkStart w:name="Artículo_705" w:id="891"/>
      <w:bookmarkEnd w:id="891"/>
      <w:r>
        <w:rPr/>
      </w:r>
      <w:r>
        <w:rPr>
          <w:rFonts w:ascii="Arial" w:hAnsi="Arial"/>
          <w:b/>
          <w:sz w:val="20"/>
        </w:rPr>
        <w:t>Artículo</w:t>
      </w:r>
      <w:r>
        <w:rPr>
          <w:rFonts w:ascii="Arial" w:hAnsi="Arial"/>
          <w:b/>
          <w:spacing w:val="-6"/>
          <w:sz w:val="20"/>
        </w:rPr>
        <w:t> </w:t>
      </w:r>
      <w:r>
        <w:rPr>
          <w:rFonts w:ascii="Arial" w:hAnsi="Arial"/>
          <w:b/>
          <w:sz w:val="20"/>
        </w:rPr>
        <w:t>705.-</w:t>
      </w:r>
      <w:r>
        <w:rPr>
          <w:rFonts w:ascii="Arial" w:hAnsi="Arial"/>
          <w:b/>
          <w:spacing w:val="-4"/>
          <w:sz w:val="20"/>
        </w:rPr>
        <w:t> </w:t>
      </w:r>
      <w:r>
        <w:rPr>
          <w:sz w:val="20"/>
        </w:rPr>
        <w:t>Se</w:t>
      </w:r>
      <w:r>
        <w:rPr>
          <w:spacing w:val="-5"/>
          <w:sz w:val="20"/>
        </w:rPr>
        <w:t> </w:t>
      </w:r>
      <w:r>
        <w:rPr>
          <w:spacing w:val="-2"/>
          <w:sz w:val="20"/>
        </w:rPr>
        <w:t>deroga</w:t>
      </w:r>
    </w:p>
    <w:p>
      <w:pPr>
        <w:spacing w:line="183" w:lineRule="exact" w:before="0"/>
        <w:ind w:left="46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2"/>
        <w:rPr>
          <w:rFonts w:ascii="Times New Roman"/>
          <w:i/>
        </w:rPr>
      </w:pPr>
    </w:p>
    <w:p>
      <w:pPr>
        <w:spacing w:before="0"/>
        <w:ind w:left="626" w:right="0" w:firstLine="0"/>
        <w:jc w:val="left"/>
        <w:rPr>
          <w:sz w:val="20"/>
        </w:rPr>
      </w:pPr>
      <w:bookmarkStart w:name="Artículo_705_Bis" w:id="892"/>
      <w:bookmarkEnd w:id="892"/>
      <w:r>
        <w:rPr/>
      </w:r>
      <w:r>
        <w:rPr>
          <w:rFonts w:ascii="Arial" w:hAnsi="Arial"/>
          <w:b/>
          <w:sz w:val="20"/>
        </w:rPr>
        <w:t>Artículo</w:t>
      </w:r>
      <w:r>
        <w:rPr>
          <w:rFonts w:ascii="Arial" w:hAnsi="Arial"/>
          <w:b/>
          <w:spacing w:val="-6"/>
          <w:sz w:val="20"/>
        </w:rPr>
        <w:t> </w:t>
      </w:r>
      <w:r>
        <w:rPr>
          <w:rFonts w:ascii="Arial" w:hAnsi="Arial"/>
          <w:b/>
          <w:sz w:val="20"/>
        </w:rPr>
        <w:t>705</w:t>
      </w:r>
      <w:r>
        <w:rPr>
          <w:rFonts w:ascii="Arial" w:hAnsi="Arial"/>
          <w:b/>
          <w:spacing w:val="-7"/>
          <w:sz w:val="20"/>
        </w:rPr>
        <w:t> </w:t>
      </w:r>
      <w:r>
        <w:rPr>
          <w:rFonts w:ascii="Arial" w:hAnsi="Arial"/>
          <w:b/>
          <w:sz w:val="20"/>
        </w:rPr>
        <w:t>Bis.-</w:t>
      </w:r>
      <w:r>
        <w:rPr>
          <w:rFonts w:ascii="Arial" w:hAnsi="Arial"/>
          <w:b/>
          <w:spacing w:val="-5"/>
          <w:sz w:val="20"/>
        </w:rPr>
        <w:t> </w:t>
      </w:r>
      <w:r>
        <w:rPr>
          <w:sz w:val="20"/>
        </w:rPr>
        <w:t>Las</w:t>
      </w:r>
      <w:r>
        <w:rPr>
          <w:spacing w:val="-6"/>
          <w:sz w:val="20"/>
        </w:rPr>
        <w:t> </w:t>
      </w:r>
      <w:r>
        <w:rPr>
          <w:sz w:val="20"/>
        </w:rPr>
        <w:t>competencias</w:t>
      </w:r>
      <w:r>
        <w:rPr>
          <w:spacing w:val="-6"/>
          <w:sz w:val="20"/>
        </w:rPr>
        <w:t> </w:t>
      </w:r>
      <w:r>
        <w:rPr>
          <w:sz w:val="20"/>
        </w:rPr>
        <w:t>se</w:t>
      </w:r>
      <w:r>
        <w:rPr>
          <w:spacing w:val="-6"/>
          <w:sz w:val="20"/>
        </w:rPr>
        <w:t> </w:t>
      </w:r>
      <w:r>
        <w:rPr>
          <w:spacing w:val="-2"/>
          <w:sz w:val="20"/>
        </w:rPr>
        <w:t>decidirán:</w:t>
      </w:r>
    </w:p>
    <w:p>
      <w:pPr>
        <w:pStyle w:val="BodyText"/>
        <w:spacing w:before="1"/>
      </w:pPr>
    </w:p>
    <w:p>
      <w:pPr>
        <w:pStyle w:val="ListParagraph"/>
        <w:numPr>
          <w:ilvl w:val="0"/>
          <w:numId w:val="284"/>
        </w:numPr>
        <w:tabs>
          <w:tab w:pos="1193" w:val="left" w:leader="none"/>
          <w:tab w:pos="1195" w:val="left" w:leader="none"/>
        </w:tabs>
        <w:spacing w:line="240" w:lineRule="auto" w:before="0" w:after="0"/>
        <w:ind w:left="1195" w:right="345" w:hanging="569"/>
        <w:jc w:val="both"/>
        <w:rPr>
          <w:sz w:val="20"/>
        </w:rPr>
      </w:pPr>
      <w:r>
        <w:rPr>
          <w:sz w:val="20"/>
        </w:rPr>
        <w:t>El Poder Judicial Local a través de su pleno u órgano análogo que corresponda de conformidad con su legislación cuando la competencia se suscite entre tribunales pertenecientes a dicho Poder Judicial local.</w:t>
      </w:r>
    </w:p>
    <w:p>
      <w:pPr>
        <w:pStyle w:val="ListParagraph"/>
        <w:numPr>
          <w:ilvl w:val="0"/>
          <w:numId w:val="284"/>
        </w:numPr>
        <w:tabs>
          <w:tab w:pos="1192" w:val="left" w:leader="none"/>
          <w:tab w:pos="1195" w:val="left" w:leader="none"/>
        </w:tabs>
        <w:spacing w:line="242" w:lineRule="auto" w:before="229" w:after="0"/>
        <w:ind w:left="1195" w:right="340" w:hanging="569"/>
        <w:jc w:val="both"/>
        <w:rPr>
          <w:sz w:val="20"/>
        </w:rPr>
      </w:pPr>
      <w:r>
        <w:rPr>
          <w:sz w:val="20"/>
        </w:rPr>
        <w:t>El Poder Judicial Federal a través del Tribunal Colegiado de Circuito que corresponda, cuando la controversia se suscite entre:</w:t>
      </w:r>
    </w:p>
    <w:p>
      <w:pPr>
        <w:pStyle w:val="ListParagraph"/>
        <w:numPr>
          <w:ilvl w:val="1"/>
          <w:numId w:val="284"/>
        </w:numPr>
        <w:tabs>
          <w:tab w:pos="1649" w:val="left" w:leader="none"/>
        </w:tabs>
        <w:spacing w:line="240" w:lineRule="auto" w:before="224" w:after="0"/>
        <w:ind w:left="1649" w:right="0" w:hanging="454"/>
        <w:jc w:val="left"/>
        <w:rPr>
          <w:sz w:val="20"/>
        </w:rPr>
      </w:pPr>
      <w:r>
        <w:rPr>
          <w:sz w:val="20"/>
        </w:rPr>
        <w:t>Tribunales</w:t>
      </w:r>
      <w:r>
        <w:rPr>
          <w:spacing w:val="-11"/>
          <w:sz w:val="20"/>
        </w:rPr>
        <w:t> </w:t>
      </w:r>
      <w:r>
        <w:rPr>
          <w:sz w:val="20"/>
        </w:rPr>
        <w:t>Federales</w:t>
      </w:r>
      <w:r>
        <w:rPr>
          <w:spacing w:val="-6"/>
          <w:sz w:val="20"/>
        </w:rPr>
        <w:t> </w:t>
      </w:r>
      <w:r>
        <w:rPr>
          <w:sz w:val="20"/>
        </w:rPr>
        <w:t>y</w:t>
      </w:r>
      <w:r>
        <w:rPr>
          <w:spacing w:val="-14"/>
          <w:sz w:val="20"/>
        </w:rPr>
        <w:t> </w:t>
      </w:r>
      <w:r>
        <w:rPr>
          <w:spacing w:val="-2"/>
          <w:sz w:val="20"/>
        </w:rPr>
        <w:t>Locales;</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3"/>
      </w:pPr>
    </w:p>
    <w:p>
      <w:pPr>
        <w:pStyle w:val="ListParagraph"/>
        <w:numPr>
          <w:ilvl w:val="1"/>
          <w:numId w:val="284"/>
        </w:numPr>
        <w:tabs>
          <w:tab w:pos="1649" w:val="left" w:leader="none"/>
        </w:tabs>
        <w:spacing w:line="240" w:lineRule="auto" w:before="0" w:after="0"/>
        <w:ind w:left="1649" w:right="0" w:hanging="454"/>
        <w:jc w:val="left"/>
        <w:rPr>
          <w:sz w:val="20"/>
        </w:rPr>
      </w:pPr>
      <w:r>
        <w:rPr>
          <w:sz w:val="20"/>
        </w:rPr>
        <w:t>Tribunales</w:t>
      </w:r>
      <w:r>
        <w:rPr>
          <w:spacing w:val="-8"/>
          <w:sz w:val="20"/>
        </w:rPr>
        <w:t> </w:t>
      </w:r>
      <w:r>
        <w:rPr>
          <w:sz w:val="20"/>
        </w:rPr>
        <w:t>Locales</w:t>
      </w:r>
      <w:r>
        <w:rPr>
          <w:spacing w:val="-10"/>
          <w:sz w:val="20"/>
        </w:rPr>
        <w:t> </w:t>
      </w:r>
      <w:r>
        <w:rPr>
          <w:sz w:val="20"/>
        </w:rPr>
        <w:t>de</w:t>
      </w:r>
      <w:r>
        <w:rPr>
          <w:spacing w:val="-8"/>
          <w:sz w:val="20"/>
        </w:rPr>
        <w:t> </w:t>
      </w:r>
      <w:r>
        <w:rPr>
          <w:sz w:val="20"/>
        </w:rPr>
        <w:t>diversas</w:t>
      </w:r>
      <w:r>
        <w:rPr>
          <w:spacing w:val="-10"/>
          <w:sz w:val="20"/>
        </w:rPr>
        <w:t> </w:t>
      </w:r>
      <w:r>
        <w:rPr>
          <w:sz w:val="20"/>
        </w:rPr>
        <w:t>entidades</w:t>
      </w:r>
      <w:r>
        <w:rPr>
          <w:spacing w:val="-9"/>
          <w:sz w:val="20"/>
        </w:rPr>
        <w:t> </w:t>
      </w:r>
      <w:r>
        <w:rPr>
          <w:spacing w:val="-2"/>
          <w:sz w:val="20"/>
        </w:rPr>
        <w:t>federativas;</w:t>
      </w:r>
    </w:p>
    <w:p>
      <w:pPr>
        <w:pStyle w:val="BodyText"/>
        <w:spacing w:before="1"/>
      </w:pPr>
    </w:p>
    <w:p>
      <w:pPr>
        <w:pStyle w:val="ListParagraph"/>
        <w:numPr>
          <w:ilvl w:val="1"/>
          <w:numId w:val="284"/>
        </w:numPr>
        <w:tabs>
          <w:tab w:pos="1649" w:val="left" w:leader="none"/>
        </w:tabs>
        <w:spacing w:line="240" w:lineRule="auto" w:before="0" w:after="0"/>
        <w:ind w:left="1649" w:right="0" w:hanging="454"/>
        <w:jc w:val="left"/>
        <w:rPr>
          <w:sz w:val="20"/>
        </w:rPr>
      </w:pPr>
      <w:r>
        <w:rPr>
          <w:sz w:val="20"/>
        </w:rPr>
        <w:t>Tribunales</w:t>
      </w:r>
      <w:r>
        <w:rPr>
          <w:spacing w:val="-6"/>
          <w:sz w:val="20"/>
        </w:rPr>
        <w:t> </w:t>
      </w:r>
      <w:r>
        <w:rPr>
          <w:sz w:val="20"/>
        </w:rPr>
        <w:t>Locales</w:t>
      </w:r>
      <w:r>
        <w:rPr>
          <w:spacing w:val="-5"/>
          <w:sz w:val="20"/>
        </w:rPr>
        <w:t> </w:t>
      </w:r>
      <w:r>
        <w:rPr>
          <w:sz w:val="20"/>
        </w:rPr>
        <w:t>y</w:t>
      </w:r>
      <w:r>
        <w:rPr>
          <w:spacing w:val="-9"/>
          <w:sz w:val="20"/>
        </w:rPr>
        <w:t> </w:t>
      </w:r>
      <w:r>
        <w:rPr>
          <w:sz w:val="20"/>
        </w:rPr>
        <w:t>otro</w:t>
      </w:r>
      <w:r>
        <w:rPr>
          <w:spacing w:val="-6"/>
          <w:sz w:val="20"/>
        </w:rPr>
        <w:t> </w:t>
      </w:r>
      <w:r>
        <w:rPr>
          <w:sz w:val="20"/>
        </w:rPr>
        <w:t>órgano</w:t>
      </w:r>
      <w:r>
        <w:rPr>
          <w:spacing w:val="-8"/>
          <w:sz w:val="20"/>
        </w:rPr>
        <w:t> </w:t>
      </w:r>
      <w:r>
        <w:rPr>
          <w:sz w:val="20"/>
        </w:rPr>
        <w:t>jurisdiccional</w:t>
      </w:r>
      <w:r>
        <w:rPr>
          <w:spacing w:val="-7"/>
          <w:sz w:val="20"/>
        </w:rPr>
        <w:t> </w:t>
      </w:r>
      <w:r>
        <w:rPr>
          <w:sz w:val="20"/>
        </w:rPr>
        <w:t>federal</w:t>
      </w:r>
      <w:r>
        <w:rPr>
          <w:spacing w:val="-5"/>
          <w:sz w:val="20"/>
        </w:rPr>
        <w:t> </w:t>
      </w:r>
      <w:r>
        <w:rPr>
          <w:sz w:val="20"/>
        </w:rPr>
        <w:t>o</w:t>
      </w:r>
      <w:r>
        <w:rPr>
          <w:spacing w:val="-7"/>
          <w:sz w:val="20"/>
        </w:rPr>
        <w:t> </w:t>
      </w:r>
      <w:r>
        <w:rPr>
          <w:sz w:val="20"/>
        </w:rPr>
        <w:t>de</w:t>
      </w:r>
      <w:r>
        <w:rPr>
          <w:spacing w:val="-6"/>
          <w:sz w:val="20"/>
        </w:rPr>
        <w:t> </w:t>
      </w:r>
      <w:r>
        <w:rPr>
          <w:sz w:val="20"/>
        </w:rPr>
        <w:t>diversa</w:t>
      </w:r>
      <w:r>
        <w:rPr>
          <w:spacing w:val="-6"/>
          <w:sz w:val="20"/>
        </w:rPr>
        <w:t> </w:t>
      </w:r>
      <w:r>
        <w:rPr>
          <w:sz w:val="20"/>
        </w:rPr>
        <w:t>entidad</w:t>
      </w:r>
      <w:r>
        <w:rPr>
          <w:spacing w:val="-8"/>
          <w:sz w:val="20"/>
        </w:rPr>
        <w:t> </w:t>
      </w:r>
      <w:r>
        <w:rPr>
          <w:spacing w:val="-2"/>
          <w:sz w:val="20"/>
        </w:rPr>
        <w:t>federativa;</w:t>
      </w:r>
    </w:p>
    <w:p>
      <w:pPr>
        <w:pStyle w:val="BodyText"/>
        <w:spacing w:before="1"/>
      </w:pPr>
    </w:p>
    <w:p>
      <w:pPr>
        <w:pStyle w:val="ListParagraph"/>
        <w:numPr>
          <w:ilvl w:val="1"/>
          <w:numId w:val="284"/>
        </w:numPr>
        <w:tabs>
          <w:tab w:pos="1649" w:val="left" w:leader="none"/>
        </w:tabs>
        <w:spacing w:line="240" w:lineRule="auto" w:before="0" w:after="0"/>
        <w:ind w:left="1649" w:right="0" w:hanging="454"/>
        <w:jc w:val="left"/>
        <w:rPr>
          <w:sz w:val="20"/>
        </w:rPr>
      </w:pPr>
      <w:r>
        <w:rPr>
          <w:sz w:val="20"/>
        </w:rPr>
        <w:t>Tribunales</w:t>
      </w:r>
      <w:r>
        <w:rPr>
          <w:spacing w:val="-13"/>
          <w:sz w:val="20"/>
        </w:rPr>
        <w:t> </w:t>
      </w:r>
      <w:r>
        <w:rPr>
          <w:sz w:val="20"/>
        </w:rPr>
        <w:t>Federales,</w:t>
      </w:r>
      <w:r>
        <w:rPr>
          <w:spacing w:val="-10"/>
          <w:sz w:val="20"/>
        </w:rPr>
        <w:t> y</w:t>
      </w:r>
    </w:p>
    <w:p>
      <w:pPr>
        <w:pStyle w:val="ListParagraph"/>
        <w:numPr>
          <w:ilvl w:val="1"/>
          <w:numId w:val="284"/>
        </w:numPr>
        <w:tabs>
          <w:tab w:pos="1649" w:val="left" w:leader="none"/>
        </w:tabs>
        <w:spacing w:line="240" w:lineRule="auto" w:before="228" w:after="0"/>
        <w:ind w:left="1649" w:right="0" w:hanging="454"/>
        <w:jc w:val="left"/>
        <w:rPr>
          <w:sz w:val="20"/>
        </w:rPr>
      </w:pPr>
      <w:r>
        <w:rPr>
          <w:sz w:val="20"/>
        </w:rPr>
        <w:t>Tribunales</w:t>
      </w:r>
      <w:r>
        <w:rPr>
          <w:spacing w:val="-9"/>
          <w:sz w:val="20"/>
        </w:rPr>
        <w:t> </w:t>
      </w:r>
      <w:r>
        <w:rPr>
          <w:sz w:val="20"/>
        </w:rPr>
        <w:t>Federales</w:t>
      </w:r>
      <w:r>
        <w:rPr>
          <w:spacing w:val="-4"/>
          <w:sz w:val="20"/>
        </w:rPr>
        <w:t> </w:t>
      </w:r>
      <w:r>
        <w:rPr>
          <w:sz w:val="20"/>
        </w:rPr>
        <w:t>y</w:t>
      </w:r>
      <w:r>
        <w:rPr>
          <w:spacing w:val="-12"/>
          <w:sz w:val="20"/>
        </w:rPr>
        <w:t> </w:t>
      </w:r>
      <w:r>
        <w:rPr>
          <w:sz w:val="20"/>
        </w:rPr>
        <w:t>otro</w:t>
      </w:r>
      <w:r>
        <w:rPr>
          <w:spacing w:val="-7"/>
          <w:sz w:val="20"/>
        </w:rPr>
        <w:t> </w:t>
      </w:r>
      <w:r>
        <w:rPr>
          <w:sz w:val="20"/>
        </w:rPr>
        <w:t>órgano</w:t>
      </w:r>
      <w:r>
        <w:rPr>
          <w:spacing w:val="-9"/>
          <w:sz w:val="20"/>
        </w:rPr>
        <w:t> </w:t>
      </w:r>
      <w:r>
        <w:rPr>
          <w:spacing w:val="-2"/>
          <w:sz w:val="20"/>
        </w:rPr>
        <w:t>jurisdiccional.</w:t>
      </w:r>
    </w:p>
    <w:p>
      <w:pPr>
        <w:pStyle w:val="BodyText"/>
        <w:spacing w:before="3"/>
      </w:pPr>
    </w:p>
    <w:p>
      <w:pPr>
        <w:pStyle w:val="BodyText"/>
        <w:spacing w:before="1"/>
        <w:ind w:left="1195"/>
      </w:pPr>
      <w:r>
        <w:rPr/>
        <w:t>Los</w:t>
      </w:r>
      <w:r>
        <w:rPr>
          <w:spacing w:val="40"/>
        </w:rPr>
        <w:t> </w:t>
      </w:r>
      <w:r>
        <w:rPr/>
        <w:t>conflictos</w:t>
      </w:r>
      <w:r>
        <w:rPr>
          <w:spacing w:val="40"/>
        </w:rPr>
        <w:t> </w:t>
      </w:r>
      <w:r>
        <w:rPr/>
        <w:t>competenciales</w:t>
      </w:r>
      <w:r>
        <w:rPr>
          <w:spacing w:val="40"/>
        </w:rPr>
        <w:t> </w:t>
      </w:r>
      <w:r>
        <w:rPr/>
        <w:t>de</w:t>
      </w:r>
      <w:r>
        <w:rPr>
          <w:spacing w:val="40"/>
        </w:rPr>
        <w:t> </w:t>
      </w:r>
      <w:r>
        <w:rPr/>
        <w:t>los</w:t>
      </w:r>
      <w:r>
        <w:rPr>
          <w:spacing w:val="40"/>
        </w:rPr>
        <w:t> </w:t>
      </w:r>
      <w:r>
        <w:rPr/>
        <w:t>Tribunales</w:t>
      </w:r>
      <w:r>
        <w:rPr>
          <w:spacing w:val="40"/>
        </w:rPr>
        <w:t> </w:t>
      </w:r>
      <w:r>
        <w:rPr/>
        <w:t>federales</w:t>
      </w:r>
      <w:r>
        <w:rPr>
          <w:spacing w:val="40"/>
        </w:rPr>
        <w:t> </w:t>
      </w:r>
      <w:r>
        <w:rPr/>
        <w:t>y</w:t>
      </w:r>
      <w:r>
        <w:rPr>
          <w:spacing w:val="40"/>
        </w:rPr>
        <w:t> </w:t>
      </w:r>
      <w:r>
        <w:rPr/>
        <w:t>locales,</w:t>
      </w:r>
      <w:r>
        <w:rPr>
          <w:spacing w:val="40"/>
        </w:rPr>
        <w:t> </w:t>
      </w:r>
      <w:r>
        <w:rPr/>
        <w:t>se</w:t>
      </w:r>
      <w:r>
        <w:rPr>
          <w:spacing w:val="40"/>
        </w:rPr>
        <w:t> </w:t>
      </w:r>
      <w:r>
        <w:rPr/>
        <w:t>substanciarán</w:t>
      </w:r>
      <w:r>
        <w:rPr>
          <w:spacing w:val="40"/>
        </w:rPr>
        <w:t> </w:t>
      </w:r>
      <w:r>
        <w:rPr/>
        <w:t>de conformidad con las leyes orgánicas correspondientes.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spacing w:line="242" w:lineRule="auto"/>
        <w:ind w:left="338" w:right="344" w:firstLine="288"/>
        <w:jc w:val="both"/>
      </w:pPr>
      <w:bookmarkStart w:name="Artículo_706" w:id="893"/>
      <w:bookmarkEnd w:id="893"/>
      <w:r>
        <w:rPr/>
      </w:r>
      <w:r>
        <w:rPr>
          <w:rFonts w:ascii="Arial" w:hAnsi="Arial"/>
          <w:b/>
        </w:rPr>
        <w:t>Artículo 706.- </w:t>
      </w:r>
      <w:r>
        <w:rPr/>
        <w:t>Será nulo todo lo actuado ante el Tribunal incompetente, salvo el acto de admisión de</w:t>
      </w:r>
      <w:r>
        <w:rPr>
          <w:spacing w:val="40"/>
        </w:rPr>
        <w:t> </w:t>
      </w:r>
      <w:r>
        <w:rPr/>
        <w:t>la demanda y lo dispuesto en los artículos 704 y 928 fracción V de esta Ley o, en su caso, cuando se haya celebrado convenio que ponga fin al negocio, en el período de conciliación.</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7" w:firstLine="288"/>
        <w:jc w:val="both"/>
      </w:pPr>
      <w:bookmarkStart w:name="Artículo_706_Bis" w:id="894"/>
      <w:bookmarkEnd w:id="894"/>
      <w:r>
        <w:rPr/>
      </w:r>
      <w:r>
        <w:rPr>
          <w:rFonts w:ascii="Arial" w:hAnsi="Arial"/>
          <w:b/>
        </w:rPr>
        <w:t>Artículo 706 Bis.- </w:t>
      </w:r>
      <w:r>
        <w:rPr/>
        <w:t>Con el propósito de facilitar el acceso a la justicia, los poderes judiciales locales o federal podrán autorizar el funcionamiento, en régimen de movilidad, de uno o más Tribunales conforme</w:t>
      </w:r>
      <w:r>
        <w:rPr>
          <w:spacing w:val="40"/>
        </w:rPr>
        <w:t> </w:t>
      </w:r>
      <w:r>
        <w:rPr/>
        <w:t>a las necesidades de los asuntos que deban conocer. Para esto dispondrá la instalación de la sede correspondiente durante un periodo determinado.</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Heading1"/>
        <w:spacing w:line="252" w:lineRule="exact"/>
      </w:pPr>
      <w:r>
        <w:rPr/>
        <w:t>CAPITULO</w:t>
      </w:r>
      <w:r>
        <w:rPr>
          <w:spacing w:val="-9"/>
        </w:rPr>
        <w:t> </w:t>
      </w:r>
      <w:r>
        <w:rPr>
          <w:spacing w:val="-7"/>
        </w:rPr>
        <w:t>IV</w:t>
      </w:r>
    </w:p>
    <w:p>
      <w:pPr>
        <w:pStyle w:val="Heading2"/>
        <w:spacing w:line="252" w:lineRule="exact"/>
        <w:ind w:left="298"/>
      </w:pPr>
      <w:r>
        <w:rPr/>
        <w:t>De</w:t>
      </w:r>
      <w:r>
        <w:rPr>
          <w:spacing w:val="-3"/>
        </w:rPr>
        <w:t> </w:t>
      </w:r>
      <w:r>
        <w:rPr/>
        <w:t>los</w:t>
      </w:r>
      <w:r>
        <w:rPr>
          <w:spacing w:val="-5"/>
        </w:rPr>
        <w:t> </w:t>
      </w:r>
      <w:r>
        <w:rPr/>
        <w:t>Impedimentos</w:t>
      </w:r>
      <w:r>
        <w:rPr>
          <w:spacing w:val="-5"/>
        </w:rPr>
        <w:t> </w:t>
      </w:r>
      <w:r>
        <w:rPr/>
        <w:t>y</w:t>
      </w:r>
      <w:r>
        <w:rPr>
          <w:spacing w:val="-3"/>
        </w:rPr>
        <w:t> </w:t>
      </w:r>
      <w:r>
        <w:rPr>
          <w:spacing w:val="-2"/>
        </w:rPr>
        <w:t>Excusas</w:t>
      </w:r>
    </w:p>
    <w:p>
      <w:pPr>
        <w:spacing w:before="1"/>
        <w:ind w:left="5564"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2"/>
        <w:rPr>
          <w:rFonts w:ascii="Times New Roman"/>
          <w:i/>
        </w:rPr>
      </w:pPr>
    </w:p>
    <w:p>
      <w:pPr>
        <w:spacing w:before="0"/>
        <w:ind w:left="626" w:right="0" w:firstLine="0"/>
        <w:jc w:val="left"/>
        <w:rPr>
          <w:sz w:val="20"/>
        </w:rPr>
      </w:pPr>
      <w:bookmarkStart w:name="Artículo_707" w:id="895"/>
      <w:bookmarkEnd w:id="895"/>
      <w:r>
        <w:rPr/>
      </w:r>
      <w:r>
        <w:rPr>
          <w:rFonts w:ascii="Arial" w:hAnsi="Arial"/>
          <w:b/>
          <w:sz w:val="20"/>
        </w:rPr>
        <w:t>Artículo</w:t>
      </w:r>
      <w:r>
        <w:rPr>
          <w:rFonts w:ascii="Arial" w:hAnsi="Arial"/>
          <w:b/>
          <w:spacing w:val="-6"/>
          <w:sz w:val="20"/>
        </w:rPr>
        <w:t> </w:t>
      </w:r>
      <w:r>
        <w:rPr>
          <w:rFonts w:ascii="Arial" w:hAnsi="Arial"/>
          <w:b/>
          <w:sz w:val="20"/>
        </w:rPr>
        <w:t>707.-</w:t>
      </w:r>
      <w:r>
        <w:rPr>
          <w:rFonts w:ascii="Arial" w:hAnsi="Arial"/>
          <w:b/>
          <w:spacing w:val="-4"/>
          <w:sz w:val="20"/>
        </w:rPr>
        <w:t> </w:t>
      </w:r>
      <w:r>
        <w:rPr>
          <w:sz w:val="20"/>
        </w:rPr>
        <w:t>Se</w:t>
      </w:r>
      <w:r>
        <w:rPr>
          <w:spacing w:val="-5"/>
          <w:sz w:val="20"/>
        </w:rPr>
        <w:t> </w:t>
      </w:r>
      <w:r>
        <w:rPr>
          <w:spacing w:val="-2"/>
          <w:sz w:val="20"/>
        </w:rPr>
        <w:t>deroga.</w:t>
      </w:r>
    </w:p>
    <w:p>
      <w:pPr>
        <w:spacing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line="242" w:lineRule="auto" w:before="229"/>
        <w:ind w:left="338" w:firstLine="288"/>
      </w:pPr>
      <w:bookmarkStart w:name="Artículo_707_Bis" w:id="896"/>
      <w:bookmarkEnd w:id="896"/>
      <w:r>
        <w:rPr/>
      </w:r>
      <w:r>
        <w:rPr>
          <w:rFonts w:ascii="Arial" w:hAnsi="Arial"/>
          <w:b/>
        </w:rPr>
        <w:t>Artículo</w:t>
      </w:r>
      <w:r>
        <w:rPr>
          <w:rFonts w:ascii="Arial" w:hAnsi="Arial"/>
          <w:b/>
          <w:spacing w:val="32"/>
        </w:rPr>
        <w:t> </w:t>
      </w:r>
      <w:r>
        <w:rPr>
          <w:rFonts w:ascii="Arial" w:hAnsi="Arial"/>
          <w:b/>
        </w:rPr>
        <w:t>707</w:t>
      </w:r>
      <w:r>
        <w:rPr>
          <w:rFonts w:ascii="Arial" w:hAnsi="Arial"/>
          <w:b/>
          <w:spacing w:val="31"/>
        </w:rPr>
        <w:t> </w:t>
      </w:r>
      <w:r>
        <w:rPr>
          <w:rFonts w:ascii="Arial" w:hAnsi="Arial"/>
          <w:b/>
        </w:rPr>
        <w:t>Bis.-</w:t>
      </w:r>
      <w:r>
        <w:rPr>
          <w:rFonts w:ascii="Arial" w:hAnsi="Arial"/>
          <w:b/>
          <w:spacing w:val="32"/>
        </w:rPr>
        <w:t> </w:t>
      </w:r>
      <w:r>
        <w:rPr/>
        <w:t>Los</w:t>
      </w:r>
      <w:r>
        <w:rPr>
          <w:spacing w:val="32"/>
        </w:rPr>
        <w:t> </w:t>
      </w:r>
      <w:r>
        <w:rPr/>
        <w:t>jueces</w:t>
      </w:r>
      <w:r>
        <w:rPr>
          <w:spacing w:val="34"/>
        </w:rPr>
        <w:t> </w:t>
      </w:r>
      <w:r>
        <w:rPr/>
        <w:t>y</w:t>
      </w:r>
      <w:r>
        <w:rPr>
          <w:spacing w:val="26"/>
        </w:rPr>
        <w:t> </w:t>
      </w:r>
      <w:r>
        <w:rPr/>
        <w:t>secretarios</w:t>
      </w:r>
      <w:r>
        <w:rPr>
          <w:spacing w:val="32"/>
        </w:rPr>
        <w:t> </w:t>
      </w:r>
      <w:r>
        <w:rPr/>
        <w:t>instructores</w:t>
      </w:r>
      <w:r>
        <w:rPr>
          <w:spacing w:val="32"/>
        </w:rPr>
        <w:t> </w:t>
      </w:r>
      <w:r>
        <w:rPr/>
        <w:t>se</w:t>
      </w:r>
      <w:r>
        <w:rPr>
          <w:spacing w:val="31"/>
        </w:rPr>
        <w:t> </w:t>
      </w:r>
      <w:r>
        <w:rPr/>
        <w:t>tendrán</w:t>
      </w:r>
      <w:r>
        <w:rPr>
          <w:spacing w:val="34"/>
        </w:rPr>
        <w:t> </w:t>
      </w:r>
      <w:r>
        <w:rPr/>
        <w:t>por</w:t>
      </w:r>
      <w:r>
        <w:rPr>
          <w:spacing w:val="32"/>
        </w:rPr>
        <w:t> </w:t>
      </w:r>
      <w:r>
        <w:rPr/>
        <w:t>forzosamente</w:t>
      </w:r>
      <w:r>
        <w:rPr>
          <w:spacing w:val="31"/>
        </w:rPr>
        <w:t> </w:t>
      </w:r>
      <w:r>
        <w:rPr/>
        <w:t>impedidos</w:t>
      </w:r>
      <w:r>
        <w:rPr>
          <w:spacing w:val="34"/>
        </w:rPr>
        <w:t> </w:t>
      </w:r>
      <w:r>
        <w:rPr/>
        <w:t>y tendrán el deber de excusarse en el conocimiento de los asuntos en los casos siguientes:</w:t>
      </w:r>
    </w:p>
    <w:p>
      <w:pPr>
        <w:pStyle w:val="ListParagraph"/>
        <w:numPr>
          <w:ilvl w:val="0"/>
          <w:numId w:val="285"/>
        </w:numPr>
        <w:tabs>
          <w:tab w:pos="1195" w:val="left" w:leader="none"/>
        </w:tabs>
        <w:spacing w:line="240" w:lineRule="auto" w:before="227" w:after="0"/>
        <w:ind w:left="1195" w:right="0" w:hanging="569"/>
        <w:jc w:val="left"/>
        <w:rPr>
          <w:sz w:val="20"/>
        </w:rPr>
      </w:pPr>
      <w:r>
        <w:rPr>
          <w:sz w:val="20"/>
        </w:rPr>
        <w:t>En</w:t>
      </w:r>
      <w:r>
        <w:rPr>
          <w:spacing w:val="-6"/>
          <w:sz w:val="20"/>
        </w:rPr>
        <w:t> </w:t>
      </w:r>
      <w:r>
        <w:rPr>
          <w:sz w:val="20"/>
        </w:rPr>
        <w:t>asuntos</w:t>
      </w:r>
      <w:r>
        <w:rPr>
          <w:spacing w:val="-5"/>
          <w:sz w:val="20"/>
        </w:rPr>
        <w:t> </w:t>
      </w:r>
      <w:r>
        <w:rPr>
          <w:sz w:val="20"/>
        </w:rPr>
        <w:t>en</w:t>
      </w:r>
      <w:r>
        <w:rPr>
          <w:spacing w:val="-4"/>
          <w:sz w:val="20"/>
        </w:rPr>
        <w:t> </w:t>
      </w:r>
      <w:r>
        <w:rPr>
          <w:sz w:val="20"/>
        </w:rPr>
        <w:t>los</w:t>
      </w:r>
      <w:r>
        <w:rPr>
          <w:spacing w:val="-5"/>
          <w:sz w:val="20"/>
        </w:rPr>
        <w:t> </w:t>
      </w:r>
      <w:r>
        <w:rPr>
          <w:sz w:val="20"/>
        </w:rPr>
        <w:t>que</w:t>
      </w:r>
      <w:r>
        <w:rPr>
          <w:spacing w:val="-5"/>
          <w:sz w:val="20"/>
        </w:rPr>
        <w:t> </w:t>
      </w:r>
      <w:r>
        <w:rPr>
          <w:sz w:val="20"/>
        </w:rPr>
        <w:t>tenga</w:t>
      </w:r>
      <w:r>
        <w:rPr>
          <w:spacing w:val="-6"/>
          <w:sz w:val="20"/>
        </w:rPr>
        <w:t> </w:t>
      </w:r>
      <w:r>
        <w:rPr>
          <w:sz w:val="20"/>
        </w:rPr>
        <w:t>interés</w:t>
      </w:r>
      <w:r>
        <w:rPr>
          <w:spacing w:val="-5"/>
          <w:sz w:val="20"/>
        </w:rPr>
        <w:t> </w:t>
      </w:r>
      <w:r>
        <w:rPr>
          <w:sz w:val="20"/>
        </w:rPr>
        <w:t>directo</w:t>
      </w:r>
      <w:r>
        <w:rPr>
          <w:spacing w:val="-6"/>
          <w:sz w:val="20"/>
        </w:rPr>
        <w:t> </w:t>
      </w:r>
      <w:r>
        <w:rPr>
          <w:sz w:val="20"/>
        </w:rPr>
        <w:t>o</w:t>
      </w:r>
      <w:r>
        <w:rPr>
          <w:spacing w:val="-4"/>
          <w:sz w:val="20"/>
        </w:rPr>
        <w:t> </w:t>
      </w:r>
      <w:r>
        <w:rPr>
          <w:spacing w:val="-2"/>
          <w:sz w:val="20"/>
        </w:rPr>
        <w:t>indirecto;</w:t>
      </w:r>
    </w:p>
    <w:p>
      <w:pPr>
        <w:pStyle w:val="ListParagraph"/>
        <w:numPr>
          <w:ilvl w:val="0"/>
          <w:numId w:val="285"/>
        </w:numPr>
        <w:tabs>
          <w:tab w:pos="1192" w:val="left" w:leader="none"/>
          <w:tab w:pos="1195" w:val="left" w:leader="none"/>
        </w:tabs>
        <w:spacing w:line="242" w:lineRule="auto" w:before="228" w:after="0"/>
        <w:ind w:left="1195" w:right="345" w:hanging="569"/>
        <w:jc w:val="both"/>
        <w:rPr>
          <w:sz w:val="20"/>
        </w:rPr>
      </w:pPr>
      <w:r>
        <w:rPr>
          <w:sz w:val="20"/>
        </w:rPr>
        <w:t>En asuntos que interesen a su cónyuge, concubino o concubina, o a sus parientes consanguíneos</w:t>
      </w:r>
      <w:r>
        <w:rPr>
          <w:spacing w:val="-1"/>
          <w:sz w:val="20"/>
        </w:rPr>
        <w:t> </w:t>
      </w:r>
      <w:r>
        <w:rPr>
          <w:sz w:val="20"/>
        </w:rPr>
        <w:t>en línea</w:t>
      </w:r>
      <w:r>
        <w:rPr>
          <w:spacing w:val="-2"/>
          <w:sz w:val="20"/>
        </w:rPr>
        <w:t> </w:t>
      </w:r>
      <w:r>
        <w:rPr>
          <w:sz w:val="20"/>
        </w:rPr>
        <w:t>recta</w:t>
      </w:r>
      <w:r>
        <w:rPr>
          <w:spacing w:val="-2"/>
          <w:sz w:val="20"/>
        </w:rPr>
        <w:t> </w:t>
      </w:r>
      <w:r>
        <w:rPr>
          <w:sz w:val="20"/>
        </w:rPr>
        <w:t>sin limitación de grados,</w:t>
      </w:r>
      <w:r>
        <w:rPr>
          <w:spacing w:val="-2"/>
          <w:sz w:val="20"/>
        </w:rPr>
        <w:t> </w:t>
      </w:r>
      <w:r>
        <w:rPr>
          <w:sz w:val="20"/>
        </w:rPr>
        <w:t>a los</w:t>
      </w:r>
      <w:r>
        <w:rPr>
          <w:spacing w:val="-1"/>
          <w:sz w:val="20"/>
        </w:rPr>
        <w:t> </w:t>
      </w:r>
      <w:r>
        <w:rPr>
          <w:sz w:val="20"/>
        </w:rPr>
        <w:t>colaterales</w:t>
      </w:r>
      <w:r>
        <w:rPr>
          <w:spacing w:val="-1"/>
          <w:sz w:val="20"/>
        </w:rPr>
        <w:t> </w:t>
      </w:r>
      <w:r>
        <w:rPr>
          <w:sz w:val="20"/>
        </w:rPr>
        <w:t>dentro del</w:t>
      </w:r>
      <w:r>
        <w:rPr>
          <w:spacing w:val="-3"/>
          <w:sz w:val="20"/>
        </w:rPr>
        <w:t> </w:t>
      </w:r>
      <w:r>
        <w:rPr>
          <w:sz w:val="20"/>
        </w:rPr>
        <w:t>cuarto grado, y a los afines dentro del segundo;</w:t>
      </w:r>
    </w:p>
    <w:p>
      <w:pPr>
        <w:pStyle w:val="ListParagraph"/>
        <w:numPr>
          <w:ilvl w:val="0"/>
          <w:numId w:val="285"/>
        </w:numPr>
        <w:tabs>
          <w:tab w:pos="1191" w:val="left" w:leader="none"/>
          <w:tab w:pos="1195" w:val="left" w:leader="none"/>
        </w:tabs>
        <w:spacing w:line="242" w:lineRule="auto" w:before="225" w:after="0"/>
        <w:ind w:left="1195" w:right="346" w:hanging="569"/>
        <w:jc w:val="both"/>
        <w:rPr>
          <w:sz w:val="20"/>
        </w:rPr>
      </w:pPr>
      <w:r>
        <w:rPr>
          <w:sz w:val="20"/>
        </w:rPr>
        <w:t>Si entre el funcionario, su cónyuge, concubino o concubina, o sus hijos y alguno de los interesados, haya relación de intimidad nacida de algún acto civil o religioso;</w:t>
      </w:r>
    </w:p>
    <w:p>
      <w:pPr>
        <w:pStyle w:val="ListParagraph"/>
        <w:numPr>
          <w:ilvl w:val="0"/>
          <w:numId w:val="285"/>
        </w:numPr>
        <w:tabs>
          <w:tab w:pos="1195" w:val="left" w:leader="none"/>
        </w:tabs>
        <w:spacing w:line="242" w:lineRule="auto" w:before="225" w:after="0"/>
        <w:ind w:left="1195" w:right="344" w:hanging="569"/>
        <w:jc w:val="both"/>
        <w:rPr>
          <w:sz w:val="20"/>
        </w:rPr>
      </w:pPr>
      <w:r>
        <w:rPr>
          <w:sz w:val="20"/>
        </w:rPr>
        <w:t>Si fuere pariente por consanguinidad o afinidad, del abogado o procurador de alguna de las partes, en los mismos grados a que se refiere la fracción II de este artículo;</w:t>
      </w:r>
    </w:p>
    <w:p>
      <w:pPr>
        <w:pStyle w:val="ListParagraph"/>
        <w:numPr>
          <w:ilvl w:val="0"/>
          <w:numId w:val="285"/>
        </w:numPr>
        <w:tabs>
          <w:tab w:pos="1195" w:val="left" w:leader="none"/>
        </w:tabs>
        <w:spacing w:line="240" w:lineRule="auto" w:before="226" w:after="0"/>
        <w:ind w:left="1195" w:right="342" w:hanging="569"/>
        <w:jc w:val="both"/>
        <w:rPr>
          <w:sz w:val="20"/>
        </w:rPr>
      </w:pPr>
      <w:r>
        <w:rPr>
          <w:sz w:val="20"/>
        </w:rPr>
        <w:t>Cuando él, su</w:t>
      </w:r>
      <w:r>
        <w:rPr>
          <w:spacing w:val="-2"/>
          <w:sz w:val="20"/>
        </w:rPr>
        <w:t> </w:t>
      </w:r>
      <w:r>
        <w:rPr>
          <w:sz w:val="20"/>
        </w:rPr>
        <w:t>cónyuge o alguno de</w:t>
      </w:r>
      <w:r>
        <w:rPr>
          <w:spacing w:val="-2"/>
          <w:sz w:val="20"/>
        </w:rPr>
        <w:t> </w:t>
      </w:r>
      <w:r>
        <w:rPr>
          <w:sz w:val="20"/>
        </w:rPr>
        <w:t>sus</w:t>
      </w:r>
      <w:r>
        <w:rPr>
          <w:spacing w:val="-1"/>
          <w:sz w:val="20"/>
        </w:rPr>
        <w:t> </w:t>
      </w:r>
      <w:r>
        <w:rPr>
          <w:sz w:val="20"/>
        </w:rPr>
        <w:t>hijos</w:t>
      </w:r>
      <w:r>
        <w:rPr>
          <w:spacing w:val="-1"/>
          <w:sz w:val="20"/>
        </w:rPr>
        <w:t> </w:t>
      </w:r>
      <w:r>
        <w:rPr>
          <w:sz w:val="20"/>
        </w:rPr>
        <w:t>sea heredero, legatario, donante, donatario,</w:t>
      </w:r>
      <w:r>
        <w:rPr>
          <w:spacing w:val="-2"/>
          <w:sz w:val="20"/>
        </w:rPr>
        <w:t> </w:t>
      </w:r>
      <w:r>
        <w:rPr>
          <w:sz w:val="20"/>
        </w:rPr>
        <w:t>socio, acreedor, deudor, fiador, fiado, arrendador, arrendatario, principal, dependiente o comensal habitual de alguna de las partes, o administrador actual de sus bienes;</w:t>
      </w:r>
    </w:p>
    <w:p>
      <w:pPr>
        <w:pStyle w:val="ListParagraph"/>
        <w:numPr>
          <w:ilvl w:val="0"/>
          <w:numId w:val="285"/>
        </w:numPr>
        <w:tabs>
          <w:tab w:pos="1195" w:val="left" w:leader="none"/>
        </w:tabs>
        <w:spacing w:line="242" w:lineRule="auto" w:before="230" w:after="0"/>
        <w:ind w:left="1195" w:right="341" w:hanging="569"/>
        <w:jc w:val="both"/>
        <w:rPr>
          <w:sz w:val="20"/>
        </w:rPr>
      </w:pPr>
      <w:r>
        <w:rPr>
          <w:sz w:val="20"/>
        </w:rPr>
        <w:t>Si ha hecho promesas o amenazas, o ha manifestado de otro modo su odio o afecto por alguna de las partes;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3"/>
      </w:pPr>
    </w:p>
    <w:p>
      <w:pPr>
        <w:pStyle w:val="ListParagraph"/>
        <w:numPr>
          <w:ilvl w:val="0"/>
          <w:numId w:val="285"/>
        </w:numPr>
        <w:tabs>
          <w:tab w:pos="1193" w:val="left" w:leader="none"/>
          <w:tab w:pos="1195" w:val="left" w:leader="none"/>
        </w:tabs>
        <w:spacing w:line="242" w:lineRule="auto" w:before="0" w:after="0"/>
        <w:ind w:left="1195" w:right="336" w:hanging="569"/>
        <w:jc w:val="both"/>
        <w:rPr>
          <w:sz w:val="20"/>
        </w:rPr>
      </w:pPr>
      <w:r>
        <w:rPr>
          <w:sz w:val="20"/>
        </w:rPr>
        <w:t>Si asiste o ha asistido a convites que especialmente para él diere o costeare alguna de las partes,</w:t>
      </w:r>
      <w:r>
        <w:rPr>
          <w:spacing w:val="-2"/>
          <w:sz w:val="20"/>
        </w:rPr>
        <w:t> </w:t>
      </w:r>
      <w:r>
        <w:rPr>
          <w:sz w:val="20"/>
        </w:rPr>
        <w:t>después</w:t>
      </w:r>
      <w:r>
        <w:rPr>
          <w:spacing w:val="-3"/>
          <w:sz w:val="20"/>
        </w:rPr>
        <w:t> </w:t>
      </w:r>
      <w:r>
        <w:rPr>
          <w:sz w:val="20"/>
        </w:rPr>
        <w:t>de</w:t>
      </w:r>
      <w:r>
        <w:rPr>
          <w:spacing w:val="-2"/>
          <w:sz w:val="20"/>
        </w:rPr>
        <w:t> </w:t>
      </w:r>
      <w:r>
        <w:rPr>
          <w:sz w:val="20"/>
        </w:rPr>
        <w:t>comenzado</w:t>
      </w:r>
      <w:r>
        <w:rPr>
          <w:spacing w:val="-2"/>
          <w:sz w:val="20"/>
        </w:rPr>
        <w:t> </w:t>
      </w:r>
      <w:r>
        <w:rPr>
          <w:sz w:val="20"/>
        </w:rPr>
        <w:t>el</w:t>
      </w:r>
      <w:r>
        <w:rPr>
          <w:spacing w:val="-3"/>
          <w:sz w:val="20"/>
        </w:rPr>
        <w:t> </w:t>
      </w:r>
      <w:r>
        <w:rPr>
          <w:sz w:val="20"/>
        </w:rPr>
        <w:t>procedimiento,</w:t>
      </w:r>
      <w:r>
        <w:rPr>
          <w:spacing w:val="-2"/>
          <w:sz w:val="20"/>
        </w:rPr>
        <w:t> </w:t>
      </w:r>
      <w:r>
        <w:rPr>
          <w:sz w:val="20"/>
        </w:rPr>
        <w:t>o</w:t>
      </w:r>
      <w:r>
        <w:rPr>
          <w:spacing w:val="-5"/>
          <w:sz w:val="20"/>
        </w:rPr>
        <w:t> </w:t>
      </w:r>
      <w:r>
        <w:rPr>
          <w:sz w:val="20"/>
        </w:rPr>
        <w:t>si</w:t>
      </w:r>
      <w:r>
        <w:rPr>
          <w:spacing w:val="-3"/>
          <w:sz w:val="20"/>
        </w:rPr>
        <w:t> </w:t>
      </w:r>
      <w:r>
        <w:rPr>
          <w:sz w:val="20"/>
        </w:rPr>
        <w:t>se</w:t>
      </w:r>
      <w:r>
        <w:rPr>
          <w:spacing w:val="-4"/>
          <w:sz w:val="20"/>
        </w:rPr>
        <w:t> </w:t>
      </w:r>
      <w:r>
        <w:rPr>
          <w:sz w:val="20"/>
        </w:rPr>
        <w:t>tiene</w:t>
      </w:r>
      <w:r>
        <w:rPr>
          <w:spacing w:val="-2"/>
          <w:sz w:val="20"/>
        </w:rPr>
        <w:t> </w:t>
      </w:r>
      <w:r>
        <w:rPr>
          <w:sz w:val="20"/>
        </w:rPr>
        <w:t>mucha</w:t>
      </w:r>
      <w:r>
        <w:rPr>
          <w:spacing w:val="-5"/>
          <w:sz w:val="20"/>
        </w:rPr>
        <w:t> </w:t>
      </w:r>
      <w:r>
        <w:rPr>
          <w:sz w:val="20"/>
        </w:rPr>
        <w:t>familiaridad</w:t>
      </w:r>
      <w:r>
        <w:rPr>
          <w:spacing w:val="-2"/>
          <w:sz w:val="20"/>
        </w:rPr>
        <w:t> </w:t>
      </w:r>
      <w:r>
        <w:rPr>
          <w:sz w:val="20"/>
        </w:rPr>
        <w:t>con</w:t>
      </w:r>
      <w:r>
        <w:rPr>
          <w:spacing w:val="-3"/>
          <w:sz w:val="20"/>
        </w:rPr>
        <w:t> </w:t>
      </w:r>
      <w:r>
        <w:rPr>
          <w:sz w:val="20"/>
        </w:rPr>
        <w:t>alguno</w:t>
      </w:r>
      <w:r>
        <w:rPr>
          <w:spacing w:val="-4"/>
          <w:sz w:val="20"/>
        </w:rPr>
        <w:t> </w:t>
      </w:r>
      <w:r>
        <w:rPr>
          <w:sz w:val="20"/>
        </w:rPr>
        <w:t>de ellos, o vive con él, en su compañía, o en una misma casa;</w:t>
      </w:r>
    </w:p>
    <w:p>
      <w:pPr>
        <w:pStyle w:val="ListParagraph"/>
        <w:numPr>
          <w:ilvl w:val="0"/>
          <w:numId w:val="285"/>
        </w:numPr>
        <w:tabs>
          <w:tab w:pos="1193" w:val="left" w:leader="none"/>
          <w:tab w:pos="1195" w:val="left" w:leader="none"/>
        </w:tabs>
        <w:spacing w:line="242" w:lineRule="auto" w:before="225" w:after="0"/>
        <w:ind w:left="1195" w:right="345" w:hanging="569"/>
        <w:jc w:val="both"/>
        <w:rPr>
          <w:sz w:val="20"/>
        </w:rPr>
      </w:pPr>
      <w:r>
        <w:rPr>
          <w:sz w:val="20"/>
        </w:rPr>
        <w:t>Cuando después de comenzado el procedimiento, haya admitido él, su cónyuge o alguno de</w:t>
      </w:r>
      <w:r>
        <w:rPr>
          <w:spacing w:val="40"/>
          <w:sz w:val="20"/>
        </w:rPr>
        <w:t> </w:t>
      </w:r>
      <w:r>
        <w:rPr>
          <w:sz w:val="20"/>
        </w:rPr>
        <w:t>sus hijos, dádivas o servicios de alguna de las partes;</w:t>
      </w:r>
    </w:p>
    <w:p>
      <w:pPr>
        <w:pStyle w:val="ListParagraph"/>
        <w:numPr>
          <w:ilvl w:val="0"/>
          <w:numId w:val="285"/>
        </w:numPr>
        <w:tabs>
          <w:tab w:pos="1195" w:val="left" w:leader="none"/>
        </w:tabs>
        <w:spacing w:line="240" w:lineRule="auto" w:before="224" w:after="0"/>
        <w:ind w:left="1195" w:right="0" w:hanging="569"/>
        <w:jc w:val="left"/>
        <w:rPr>
          <w:sz w:val="20"/>
        </w:rPr>
      </w:pPr>
      <w:r>
        <w:rPr>
          <w:sz w:val="20"/>
        </w:rPr>
        <w:t>Si</w:t>
      </w:r>
      <w:r>
        <w:rPr>
          <w:spacing w:val="-5"/>
          <w:sz w:val="20"/>
        </w:rPr>
        <w:t> </w:t>
      </w:r>
      <w:r>
        <w:rPr>
          <w:sz w:val="20"/>
        </w:rPr>
        <w:t>ha</w:t>
      </w:r>
      <w:r>
        <w:rPr>
          <w:spacing w:val="-6"/>
          <w:sz w:val="20"/>
        </w:rPr>
        <w:t> </w:t>
      </w:r>
      <w:r>
        <w:rPr>
          <w:sz w:val="20"/>
        </w:rPr>
        <w:t>sido</w:t>
      </w:r>
      <w:r>
        <w:rPr>
          <w:spacing w:val="-6"/>
          <w:sz w:val="20"/>
        </w:rPr>
        <w:t> </w:t>
      </w:r>
      <w:r>
        <w:rPr>
          <w:sz w:val="20"/>
        </w:rPr>
        <w:t>abogado</w:t>
      </w:r>
      <w:r>
        <w:rPr>
          <w:spacing w:val="-5"/>
          <w:sz w:val="20"/>
        </w:rPr>
        <w:t> </w:t>
      </w:r>
      <w:r>
        <w:rPr>
          <w:sz w:val="20"/>
        </w:rPr>
        <w:t>o</w:t>
      </w:r>
      <w:r>
        <w:rPr>
          <w:spacing w:val="-2"/>
          <w:sz w:val="20"/>
        </w:rPr>
        <w:t> </w:t>
      </w:r>
      <w:r>
        <w:rPr>
          <w:sz w:val="20"/>
        </w:rPr>
        <w:t>procurador,</w:t>
      </w:r>
      <w:r>
        <w:rPr>
          <w:spacing w:val="-5"/>
          <w:sz w:val="20"/>
        </w:rPr>
        <w:t> </w:t>
      </w:r>
      <w:r>
        <w:rPr>
          <w:sz w:val="20"/>
        </w:rPr>
        <w:t>perito</w:t>
      </w:r>
      <w:r>
        <w:rPr>
          <w:spacing w:val="-3"/>
          <w:sz w:val="20"/>
        </w:rPr>
        <w:t> </w:t>
      </w:r>
      <w:r>
        <w:rPr>
          <w:sz w:val="20"/>
        </w:rPr>
        <w:t>o</w:t>
      </w:r>
      <w:r>
        <w:rPr>
          <w:spacing w:val="-5"/>
          <w:sz w:val="20"/>
        </w:rPr>
        <w:t> </w:t>
      </w:r>
      <w:r>
        <w:rPr>
          <w:sz w:val="20"/>
        </w:rPr>
        <w:t>testigo</w:t>
      </w:r>
      <w:r>
        <w:rPr>
          <w:spacing w:val="-5"/>
          <w:sz w:val="20"/>
        </w:rPr>
        <w:t> </w:t>
      </w:r>
      <w:r>
        <w:rPr>
          <w:sz w:val="20"/>
        </w:rPr>
        <w:t>en</w:t>
      </w:r>
      <w:r>
        <w:rPr>
          <w:spacing w:val="-4"/>
          <w:sz w:val="20"/>
        </w:rPr>
        <w:t> </w:t>
      </w:r>
      <w:r>
        <w:rPr>
          <w:sz w:val="20"/>
        </w:rPr>
        <w:t>el</w:t>
      </w:r>
      <w:r>
        <w:rPr>
          <w:spacing w:val="-2"/>
          <w:sz w:val="20"/>
        </w:rPr>
        <w:t> </w:t>
      </w:r>
      <w:r>
        <w:rPr>
          <w:sz w:val="20"/>
        </w:rPr>
        <w:t>negocio</w:t>
      </w:r>
      <w:r>
        <w:rPr>
          <w:spacing w:val="-5"/>
          <w:sz w:val="20"/>
        </w:rPr>
        <w:t> </w:t>
      </w:r>
      <w:r>
        <w:rPr>
          <w:sz w:val="20"/>
        </w:rPr>
        <w:t>de</w:t>
      </w:r>
      <w:r>
        <w:rPr>
          <w:spacing w:val="-5"/>
          <w:sz w:val="20"/>
        </w:rPr>
        <w:t> </w:t>
      </w:r>
      <w:r>
        <w:rPr>
          <w:sz w:val="20"/>
        </w:rPr>
        <w:t>que</w:t>
      </w:r>
      <w:r>
        <w:rPr>
          <w:spacing w:val="-7"/>
          <w:sz w:val="20"/>
        </w:rPr>
        <w:t> </w:t>
      </w:r>
      <w:r>
        <w:rPr>
          <w:sz w:val="20"/>
        </w:rPr>
        <w:t>se</w:t>
      </w:r>
      <w:r>
        <w:rPr>
          <w:spacing w:val="-5"/>
          <w:sz w:val="20"/>
        </w:rPr>
        <w:t> </w:t>
      </w:r>
      <w:r>
        <w:rPr>
          <w:spacing w:val="-2"/>
          <w:sz w:val="20"/>
        </w:rPr>
        <w:t>trate;</w:t>
      </w:r>
    </w:p>
    <w:p>
      <w:pPr>
        <w:pStyle w:val="BodyText"/>
        <w:spacing w:before="1"/>
      </w:pPr>
    </w:p>
    <w:p>
      <w:pPr>
        <w:pStyle w:val="ListParagraph"/>
        <w:numPr>
          <w:ilvl w:val="0"/>
          <w:numId w:val="285"/>
        </w:numPr>
        <w:tabs>
          <w:tab w:pos="1195" w:val="left" w:leader="none"/>
        </w:tabs>
        <w:spacing w:line="242" w:lineRule="auto" w:before="0" w:after="0"/>
        <w:ind w:left="1195" w:right="342" w:hanging="569"/>
        <w:jc w:val="both"/>
        <w:rPr>
          <w:sz w:val="20"/>
        </w:rPr>
      </w:pPr>
      <w:r>
        <w:rPr>
          <w:sz w:val="20"/>
        </w:rPr>
        <w:t>Si ha conocido del negocio como integrante del Tribunal, árbitro o asesor, resolviendo algún punto que afecte a la sustancia de la cuestión, en la misma instancia o en otra;</w:t>
      </w:r>
    </w:p>
    <w:p>
      <w:pPr>
        <w:pStyle w:val="ListParagraph"/>
        <w:numPr>
          <w:ilvl w:val="0"/>
          <w:numId w:val="285"/>
        </w:numPr>
        <w:tabs>
          <w:tab w:pos="1195" w:val="left" w:leader="none"/>
        </w:tabs>
        <w:spacing w:line="240" w:lineRule="auto" w:before="225" w:after="0"/>
        <w:ind w:left="1195" w:right="334" w:hanging="569"/>
        <w:jc w:val="both"/>
        <w:rPr>
          <w:sz w:val="20"/>
        </w:rPr>
      </w:pPr>
      <w:r>
        <w:rPr>
          <w:sz w:val="20"/>
        </w:rPr>
        <w:t>Cuando él, su cónyuge o alguno de sus parientes consanguíneos en línea recta, sin limitación de grados, de los colaterales dentro del segundo, o de los afines en el primero, siga contra alguna de las partes, o no ha pasado un año de haber seguido un juicio civil, o una causa criminal, como acusador, querellante o denunciante, o se haya constituido parte civil en causa criminal seguida contra cualquiera de ellas;</w:t>
      </w:r>
    </w:p>
    <w:p>
      <w:pPr>
        <w:pStyle w:val="BodyText"/>
      </w:pPr>
    </w:p>
    <w:p>
      <w:pPr>
        <w:pStyle w:val="ListParagraph"/>
        <w:numPr>
          <w:ilvl w:val="0"/>
          <w:numId w:val="285"/>
        </w:numPr>
        <w:tabs>
          <w:tab w:pos="1193" w:val="left" w:leader="none"/>
          <w:tab w:pos="1195" w:val="left" w:leader="none"/>
        </w:tabs>
        <w:spacing w:line="242" w:lineRule="auto" w:before="0" w:after="0"/>
        <w:ind w:left="1195" w:right="342" w:hanging="569"/>
        <w:jc w:val="both"/>
        <w:rPr>
          <w:sz w:val="20"/>
        </w:rPr>
      </w:pPr>
      <w:r>
        <w:rPr>
          <w:sz w:val="20"/>
        </w:rPr>
        <w:t>Cuando alguna de las partes o de sus abogados es o ha sido denunciante, querellante o acusador del funcionario de que se trate, de su cónyuge, o de alguno de sus expresados parientes o se ha constituido parte civil en causa criminal seguida contra cualquiera de ellos, siempre que el Ministerio Público haya ejercitado la acción penal;</w:t>
      </w:r>
    </w:p>
    <w:p>
      <w:pPr>
        <w:pStyle w:val="ListParagraph"/>
        <w:numPr>
          <w:ilvl w:val="0"/>
          <w:numId w:val="285"/>
        </w:numPr>
        <w:tabs>
          <w:tab w:pos="1193" w:val="left" w:leader="none"/>
          <w:tab w:pos="1195" w:val="left" w:leader="none"/>
        </w:tabs>
        <w:spacing w:line="242" w:lineRule="auto" w:before="220" w:after="0"/>
        <w:ind w:left="1195" w:right="345" w:hanging="569"/>
        <w:jc w:val="both"/>
        <w:rPr>
          <w:sz w:val="20"/>
        </w:rPr>
      </w:pPr>
      <w:r>
        <w:rPr>
          <w:sz w:val="20"/>
        </w:rPr>
        <w:t>Cuando el funcionario de que se trate, su cónyuge o alguno de sus expresados parientes sea contrario a cualquiera de las partes en negocio administrativo que afecte a sus intereses;</w:t>
      </w:r>
    </w:p>
    <w:p>
      <w:pPr>
        <w:pStyle w:val="ListParagraph"/>
        <w:numPr>
          <w:ilvl w:val="0"/>
          <w:numId w:val="285"/>
        </w:numPr>
        <w:tabs>
          <w:tab w:pos="1195" w:val="left" w:leader="none"/>
        </w:tabs>
        <w:spacing w:line="242" w:lineRule="auto" w:before="227" w:after="0"/>
        <w:ind w:left="1195" w:right="335" w:hanging="569"/>
        <w:jc w:val="both"/>
        <w:rPr>
          <w:sz w:val="20"/>
        </w:rPr>
      </w:pPr>
      <w:r>
        <w:rPr>
          <w:sz w:val="20"/>
        </w:rPr>
        <w:t>Si él, su cónyuge o alguno de sus parientes sigue algún proceso civil o criminal en que sea integrante el Tribunal, agente del Ministerio Público, árbitro o arbitrador, alguna de las partes;</w:t>
      </w:r>
    </w:p>
    <w:p>
      <w:pPr>
        <w:pStyle w:val="ListParagraph"/>
        <w:numPr>
          <w:ilvl w:val="0"/>
          <w:numId w:val="285"/>
        </w:numPr>
        <w:tabs>
          <w:tab w:pos="1195" w:val="left" w:leader="none"/>
        </w:tabs>
        <w:spacing w:line="240" w:lineRule="auto" w:before="224" w:after="0"/>
        <w:ind w:left="1195" w:right="0" w:hanging="569"/>
        <w:jc w:val="left"/>
        <w:rPr>
          <w:sz w:val="20"/>
        </w:rPr>
      </w:pPr>
      <w:r>
        <w:rPr>
          <w:sz w:val="20"/>
        </w:rPr>
        <w:t>Si</w:t>
      </w:r>
      <w:r>
        <w:rPr>
          <w:spacing w:val="-5"/>
          <w:sz w:val="20"/>
        </w:rPr>
        <w:t> </w:t>
      </w:r>
      <w:r>
        <w:rPr>
          <w:sz w:val="20"/>
        </w:rPr>
        <w:t>es</w:t>
      </w:r>
      <w:r>
        <w:rPr>
          <w:spacing w:val="-5"/>
          <w:sz w:val="20"/>
        </w:rPr>
        <w:t> </w:t>
      </w:r>
      <w:r>
        <w:rPr>
          <w:sz w:val="20"/>
        </w:rPr>
        <w:t>tutor</w:t>
      </w:r>
      <w:r>
        <w:rPr>
          <w:spacing w:val="-3"/>
          <w:sz w:val="20"/>
        </w:rPr>
        <w:t> </w:t>
      </w:r>
      <w:r>
        <w:rPr>
          <w:sz w:val="20"/>
        </w:rPr>
        <w:t>o</w:t>
      </w:r>
      <w:r>
        <w:rPr>
          <w:spacing w:val="-6"/>
          <w:sz w:val="20"/>
        </w:rPr>
        <w:t> </w:t>
      </w:r>
      <w:r>
        <w:rPr>
          <w:sz w:val="20"/>
        </w:rPr>
        <w:t>curador</w:t>
      </w:r>
      <w:r>
        <w:rPr>
          <w:spacing w:val="-6"/>
          <w:sz w:val="20"/>
        </w:rPr>
        <w:t> </w:t>
      </w:r>
      <w:r>
        <w:rPr>
          <w:sz w:val="20"/>
        </w:rPr>
        <w:t>de</w:t>
      </w:r>
      <w:r>
        <w:rPr>
          <w:spacing w:val="-4"/>
          <w:sz w:val="20"/>
        </w:rPr>
        <w:t> </w:t>
      </w:r>
      <w:r>
        <w:rPr>
          <w:sz w:val="20"/>
        </w:rPr>
        <w:t>alguno</w:t>
      </w:r>
      <w:r>
        <w:rPr>
          <w:spacing w:val="-4"/>
          <w:sz w:val="20"/>
        </w:rPr>
        <w:t> </w:t>
      </w:r>
      <w:r>
        <w:rPr>
          <w:sz w:val="20"/>
        </w:rPr>
        <w:t>de</w:t>
      </w:r>
      <w:r>
        <w:rPr>
          <w:spacing w:val="-5"/>
          <w:sz w:val="20"/>
        </w:rPr>
        <w:t> </w:t>
      </w:r>
      <w:r>
        <w:rPr>
          <w:sz w:val="20"/>
        </w:rPr>
        <w:t>los</w:t>
      </w:r>
      <w:r>
        <w:rPr>
          <w:spacing w:val="-5"/>
          <w:sz w:val="20"/>
        </w:rPr>
        <w:t> </w:t>
      </w:r>
      <w:r>
        <w:rPr>
          <w:sz w:val="20"/>
        </w:rPr>
        <w:t>interesados,</w:t>
      </w:r>
      <w:r>
        <w:rPr>
          <w:spacing w:val="-6"/>
          <w:sz w:val="20"/>
        </w:rPr>
        <w:t> </w:t>
      </w:r>
      <w:r>
        <w:rPr>
          <w:sz w:val="20"/>
        </w:rPr>
        <w:t>o</w:t>
      </w:r>
      <w:r>
        <w:rPr>
          <w:spacing w:val="-5"/>
          <w:sz w:val="20"/>
        </w:rPr>
        <w:t> </w:t>
      </w:r>
      <w:r>
        <w:rPr>
          <w:sz w:val="20"/>
        </w:rPr>
        <w:t>no</w:t>
      </w:r>
      <w:r>
        <w:rPr>
          <w:spacing w:val="-6"/>
          <w:sz w:val="20"/>
        </w:rPr>
        <w:t> </w:t>
      </w:r>
      <w:r>
        <w:rPr>
          <w:sz w:val="20"/>
        </w:rPr>
        <w:t>han</w:t>
      </w:r>
      <w:r>
        <w:rPr>
          <w:spacing w:val="-5"/>
          <w:sz w:val="20"/>
        </w:rPr>
        <w:t> </w:t>
      </w:r>
      <w:r>
        <w:rPr>
          <w:sz w:val="20"/>
        </w:rPr>
        <w:t>pasado</w:t>
      </w:r>
      <w:r>
        <w:rPr>
          <w:spacing w:val="-7"/>
          <w:sz w:val="20"/>
        </w:rPr>
        <w:t> </w:t>
      </w:r>
      <w:r>
        <w:rPr>
          <w:sz w:val="20"/>
        </w:rPr>
        <w:t>tres</w:t>
      </w:r>
      <w:r>
        <w:rPr>
          <w:spacing w:val="-5"/>
          <w:sz w:val="20"/>
        </w:rPr>
        <w:t> </w:t>
      </w:r>
      <w:r>
        <w:rPr>
          <w:sz w:val="20"/>
        </w:rPr>
        <w:t>años</w:t>
      </w:r>
      <w:r>
        <w:rPr>
          <w:spacing w:val="-3"/>
          <w:sz w:val="20"/>
        </w:rPr>
        <w:t> </w:t>
      </w:r>
      <w:r>
        <w:rPr>
          <w:sz w:val="20"/>
        </w:rPr>
        <w:t>de</w:t>
      </w:r>
      <w:r>
        <w:rPr>
          <w:spacing w:val="-5"/>
          <w:sz w:val="20"/>
        </w:rPr>
        <w:t> </w:t>
      </w:r>
      <w:r>
        <w:rPr>
          <w:sz w:val="20"/>
        </w:rPr>
        <w:t>haberlo</w:t>
      </w:r>
      <w:r>
        <w:rPr>
          <w:spacing w:val="-6"/>
          <w:sz w:val="20"/>
        </w:rPr>
        <w:t> </w:t>
      </w:r>
      <w:r>
        <w:rPr>
          <w:spacing w:val="-2"/>
          <w:sz w:val="20"/>
        </w:rPr>
        <w:t>sido;</w:t>
      </w:r>
    </w:p>
    <w:p>
      <w:pPr>
        <w:pStyle w:val="BodyText"/>
        <w:spacing w:before="1"/>
      </w:pPr>
    </w:p>
    <w:p>
      <w:pPr>
        <w:pStyle w:val="ListParagraph"/>
        <w:numPr>
          <w:ilvl w:val="0"/>
          <w:numId w:val="285"/>
        </w:numPr>
        <w:tabs>
          <w:tab w:pos="1194" w:val="left" w:leader="none"/>
        </w:tabs>
        <w:spacing w:line="240" w:lineRule="auto" w:before="0" w:after="0"/>
        <w:ind w:left="1194" w:right="0" w:hanging="568"/>
        <w:jc w:val="left"/>
        <w:rPr>
          <w:sz w:val="20"/>
        </w:rPr>
      </w:pPr>
      <w:r>
        <w:rPr>
          <w:sz w:val="20"/>
        </w:rPr>
        <w:t>Cuando</w:t>
      </w:r>
      <w:r>
        <w:rPr>
          <w:spacing w:val="-9"/>
          <w:sz w:val="20"/>
        </w:rPr>
        <w:t> </w:t>
      </w:r>
      <w:r>
        <w:rPr>
          <w:sz w:val="20"/>
        </w:rPr>
        <w:t>haya</w:t>
      </w:r>
      <w:r>
        <w:rPr>
          <w:spacing w:val="-6"/>
          <w:sz w:val="20"/>
        </w:rPr>
        <w:t> </w:t>
      </w:r>
      <w:r>
        <w:rPr>
          <w:sz w:val="20"/>
        </w:rPr>
        <w:t>externado</w:t>
      </w:r>
      <w:r>
        <w:rPr>
          <w:spacing w:val="-8"/>
          <w:sz w:val="20"/>
        </w:rPr>
        <w:t> </w:t>
      </w:r>
      <w:r>
        <w:rPr>
          <w:sz w:val="20"/>
        </w:rPr>
        <w:t>su</w:t>
      </w:r>
      <w:r>
        <w:rPr>
          <w:spacing w:val="-6"/>
          <w:sz w:val="20"/>
        </w:rPr>
        <w:t> </w:t>
      </w:r>
      <w:r>
        <w:rPr>
          <w:sz w:val="20"/>
        </w:rPr>
        <w:t>opinión</w:t>
      </w:r>
      <w:r>
        <w:rPr>
          <w:spacing w:val="-9"/>
          <w:sz w:val="20"/>
        </w:rPr>
        <w:t> </w:t>
      </w:r>
      <w:r>
        <w:rPr>
          <w:sz w:val="20"/>
        </w:rPr>
        <w:t>públicamente</w:t>
      </w:r>
      <w:r>
        <w:rPr>
          <w:spacing w:val="-8"/>
          <w:sz w:val="20"/>
        </w:rPr>
        <w:t> </w:t>
      </w:r>
      <w:r>
        <w:rPr>
          <w:sz w:val="20"/>
        </w:rPr>
        <w:t>antes</w:t>
      </w:r>
      <w:r>
        <w:rPr>
          <w:spacing w:val="-7"/>
          <w:sz w:val="20"/>
        </w:rPr>
        <w:t> </w:t>
      </w:r>
      <w:r>
        <w:rPr>
          <w:sz w:val="20"/>
        </w:rPr>
        <w:t>del</w:t>
      </w:r>
      <w:r>
        <w:rPr>
          <w:spacing w:val="-9"/>
          <w:sz w:val="20"/>
        </w:rPr>
        <w:t> </w:t>
      </w:r>
      <w:r>
        <w:rPr>
          <w:sz w:val="20"/>
        </w:rPr>
        <w:t>fallo,</w:t>
      </w:r>
      <w:r>
        <w:rPr>
          <w:spacing w:val="-4"/>
          <w:sz w:val="20"/>
        </w:rPr>
        <w:t> </w:t>
      </w:r>
      <w:r>
        <w:rPr>
          <w:spacing w:val="-10"/>
          <w:sz w:val="20"/>
        </w:rPr>
        <w:t>y</w:t>
      </w:r>
    </w:p>
    <w:p>
      <w:pPr>
        <w:pStyle w:val="BodyText"/>
        <w:spacing w:before="1"/>
      </w:pPr>
    </w:p>
    <w:p>
      <w:pPr>
        <w:pStyle w:val="ListParagraph"/>
        <w:numPr>
          <w:ilvl w:val="0"/>
          <w:numId w:val="285"/>
        </w:numPr>
        <w:tabs>
          <w:tab w:pos="1193" w:val="left" w:leader="none"/>
        </w:tabs>
        <w:spacing w:line="229" w:lineRule="exact" w:before="0" w:after="0"/>
        <w:ind w:left="1193" w:right="0" w:hanging="567"/>
        <w:jc w:val="left"/>
        <w:rPr>
          <w:sz w:val="20"/>
        </w:rPr>
      </w:pPr>
      <w:r>
        <w:rPr>
          <w:sz w:val="20"/>
        </w:rPr>
        <w:t>Exista</w:t>
      </w:r>
      <w:r>
        <w:rPr>
          <w:spacing w:val="-11"/>
          <w:sz w:val="20"/>
        </w:rPr>
        <w:t> </w:t>
      </w:r>
      <w:r>
        <w:rPr>
          <w:sz w:val="20"/>
        </w:rPr>
        <w:t>cualquier</w:t>
      </w:r>
      <w:r>
        <w:rPr>
          <w:spacing w:val="-9"/>
          <w:sz w:val="20"/>
        </w:rPr>
        <w:t> </w:t>
      </w:r>
      <w:r>
        <w:rPr>
          <w:sz w:val="20"/>
        </w:rPr>
        <w:t>otro</w:t>
      </w:r>
      <w:r>
        <w:rPr>
          <w:spacing w:val="-8"/>
          <w:sz w:val="20"/>
        </w:rPr>
        <w:t> </w:t>
      </w:r>
      <w:r>
        <w:rPr>
          <w:sz w:val="20"/>
        </w:rPr>
        <w:t>impedimento</w:t>
      </w:r>
      <w:r>
        <w:rPr>
          <w:spacing w:val="-10"/>
          <w:sz w:val="20"/>
        </w:rPr>
        <w:t> </w:t>
      </w:r>
      <w:r>
        <w:rPr>
          <w:spacing w:val="-2"/>
          <w:sz w:val="20"/>
        </w:rPr>
        <w:t>legal.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BodyText"/>
        <w:spacing w:before="1"/>
        <w:ind w:left="338" w:right="340" w:firstLine="288"/>
        <w:jc w:val="both"/>
      </w:pPr>
      <w:bookmarkStart w:name="Artículo_707_Ter" w:id="897"/>
      <w:bookmarkEnd w:id="897"/>
      <w:r>
        <w:rPr/>
      </w:r>
      <w:r>
        <w:rPr>
          <w:rFonts w:ascii="Arial" w:hAnsi="Arial"/>
          <w:b/>
        </w:rPr>
        <w:t>Artículo 707 Ter.- </w:t>
      </w:r>
      <w:r>
        <w:rPr/>
        <w:t>Los juzgadores y secretarios instructores tendrán la obligación de excusarse inmediatamente que se avoquen al conocimiento de un negocio del que no deben conocer por impedimento,</w:t>
      </w:r>
      <w:r>
        <w:rPr>
          <w:spacing w:val="-1"/>
        </w:rPr>
        <w:t> </w:t>
      </w:r>
      <w:r>
        <w:rPr/>
        <w:t>o</w:t>
      </w:r>
      <w:r>
        <w:rPr>
          <w:spacing w:val="-1"/>
        </w:rPr>
        <w:t> </w:t>
      </w:r>
      <w:r>
        <w:rPr/>
        <w:t>dentro de las veinticuatro horas siguientes de que</w:t>
      </w:r>
      <w:r>
        <w:rPr>
          <w:spacing w:val="-1"/>
        </w:rPr>
        <w:t> </w:t>
      </w:r>
      <w:r>
        <w:rPr/>
        <w:t>ocurra</w:t>
      </w:r>
      <w:r>
        <w:rPr>
          <w:spacing w:val="-1"/>
        </w:rPr>
        <w:t> </w:t>
      </w:r>
      <w:r>
        <w:rPr/>
        <w:t>el</w:t>
      </w:r>
      <w:r>
        <w:rPr>
          <w:spacing w:val="-2"/>
        </w:rPr>
        <w:t> </w:t>
      </w:r>
      <w:r>
        <w:rPr/>
        <w:t>hecho</w:t>
      </w:r>
      <w:r>
        <w:rPr>
          <w:spacing w:val="-1"/>
        </w:rPr>
        <w:t> </w:t>
      </w:r>
      <w:r>
        <w:rPr/>
        <w:t>que</w:t>
      </w:r>
      <w:r>
        <w:rPr>
          <w:spacing w:val="-1"/>
        </w:rPr>
        <w:t> </w:t>
      </w:r>
      <w:r>
        <w:rPr/>
        <w:t>lo</w:t>
      </w:r>
      <w:r>
        <w:rPr>
          <w:spacing w:val="-1"/>
        </w:rPr>
        <w:t> </w:t>
      </w:r>
      <w:r>
        <w:rPr/>
        <w:t>origine</w:t>
      </w:r>
      <w:r>
        <w:rPr>
          <w:spacing w:val="-2"/>
        </w:rPr>
        <w:t> </w:t>
      </w:r>
      <w:r>
        <w:rPr/>
        <w:t>o de que tengan conocimiento de él, expresando concretamente la causa o razón del impedimento.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line="229" w:lineRule="exact" w:before="0"/>
        <w:ind w:left="626" w:right="0" w:firstLine="0"/>
        <w:jc w:val="left"/>
        <w:rPr>
          <w:sz w:val="20"/>
        </w:rPr>
      </w:pPr>
      <w:bookmarkStart w:name="Artículo_708" w:id="898"/>
      <w:bookmarkEnd w:id="898"/>
      <w:r>
        <w:rPr/>
      </w:r>
      <w:r>
        <w:rPr>
          <w:rFonts w:ascii="Arial" w:hAnsi="Arial"/>
          <w:b/>
          <w:sz w:val="20"/>
        </w:rPr>
        <w:t>Artículo</w:t>
      </w:r>
      <w:r>
        <w:rPr>
          <w:rFonts w:ascii="Arial" w:hAnsi="Arial"/>
          <w:b/>
          <w:spacing w:val="-6"/>
          <w:sz w:val="20"/>
        </w:rPr>
        <w:t> </w:t>
      </w:r>
      <w:r>
        <w:rPr>
          <w:rFonts w:ascii="Arial" w:hAnsi="Arial"/>
          <w:b/>
          <w:sz w:val="20"/>
        </w:rPr>
        <w:t>708.-</w:t>
      </w:r>
      <w:r>
        <w:rPr>
          <w:rFonts w:ascii="Arial" w:hAnsi="Arial"/>
          <w:b/>
          <w:spacing w:val="-4"/>
          <w:sz w:val="20"/>
        </w:rPr>
        <w:t> </w:t>
      </w:r>
      <w:r>
        <w:rPr>
          <w:sz w:val="20"/>
        </w:rPr>
        <w:t>Se</w:t>
      </w:r>
      <w:r>
        <w:rPr>
          <w:spacing w:val="-5"/>
          <w:sz w:val="20"/>
        </w:rPr>
        <w:t> </w:t>
      </w:r>
      <w:r>
        <w:rPr>
          <w:spacing w:val="-2"/>
          <w:sz w:val="20"/>
        </w:rPr>
        <w:t>deroga.</w:t>
      </w:r>
    </w:p>
    <w:p>
      <w:pPr>
        <w:spacing w:line="183" w:lineRule="exact"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line="242" w:lineRule="auto" w:before="229"/>
        <w:ind w:left="338" w:right="340" w:firstLine="288"/>
        <w:jc w:val="both"/>
      </w:pPr>
      <w:bookmarkStart w:name="Artículo_709" w:id="899"/>
      <w:bookmarkEnd w:id="899"/>
      <w:r>
        <w:rPr/>
      </w:r>
      <w:r>
        <w:rPr>
          <w:rFonts w:ascii="Arial" w:hAnsi="Arial"/>
          <w:b/>
        </w:rPr>
        <w:t>Artículo 709.- </w:t>
      </w:r>
      <w:r>
        <w:rPr/>
        <w:t>Procede la recusación cuando, a pesar de existir alguno de los impedimentos expresados, los jueces y secretarios instructores no se excusen. La recusación siempre se fundará en causa legal.</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286"/>
        </w:numPr>
        <w:tabs>
          <w:tab w:pos="1195" w:val="left" w:leader="none"/>
        </w:tabs>
        <w:spacing w:line="240" w:lineRule="auto" w:before="0" w:after="0"/>
        <w:ind w:left="1195" w:right="0" w:hanging="569"/>
        <w:jc w:val="left"/>
        <w:rPr>
          <w:sz w:val="20"/>
        </w:rPr>
      </w:pPr>
      <w:r>
        <w:rPr>
          <w:sz w:val="20"/>
        </w:rPr>
        <w:t>Se</w:t>
      </w:r>
      <w:r>
        <w:rPr>
          <w:spacing w:val="-5"/>
          <w:sz w:val="20"/>
        </w:rPr>
        <w:t> </w:t>
      </w:r>
      <w:r>
        <w:rPr>
          <w:spacing w:val="-2"/>
          <w:sz w:val="20"/>
        </w:rPr>
        <w:t>deroga.</w:t>
      </w:r>
    </w:p>
    <w:p>
      <w:pPr>
        <w:spacing w:before="0"/>
        <w:ind w:left="540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09-04-2012.</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ListParagraph"/>
        <w:numPr>
          <w:ilvl w:val="0"/>
          <w:numId w:val="286"/>
        </w:numPr>
        <w:tabs>
          <w:tab w:pos="1195" w:val="left" w:leader="none"/>
        </w:tabs>
        <w:spacing w:line="240" w:lineRule="auto" w:before="229" w:after="0"/>
        <w:ind w:left="1195" w:right="0" w:hanging="569"/>
        <w:jc w:val="left"/>
        <w:rPr>
          <w:sz w:val="20"/>
        </w:rPr>
      </w:pPr>
      <w:r>
        <w:rPr>
          <w:sz w:val="20"/>
        </w:rPr>
        <w:t>Se</w:t>
      </w:r>
      <w:r>
        <w:rPr>
          <w:spacing w:val="-5"/>
          <w:sz w:val="20"/>
        </w:rPr>
        <w:t> </w:t>
      </w:r>
      <w:r>
        <w:rPr>
          <w:spacing w:val="-2"/>
          <w:sz w:val="20"/>
        </w:rPr>
        <w:t>deroga.</w:t>
      </w:r>
    </w:p>
    <w:p>
      <w:pPr>
        <w:pStyle w:val="ListParagraph"/>
        <w:spacing w:after="0" w:line="240" w:lineRule="auto"/>
        <w:jc w:val="left"/>
        <w:rPr>
          <w:sz w:val="20"/>
        </w:rPr>
        <w:sectPr>
          <w:pgSz w:w="12240" w:h="15840"/>
          <w:pgMar w:header="724" w:footer="712" w:top="1880" w:bottom="900" w:left="1080" w:right="1080"/>
        </w:sectPr>
      </w:pPr>
    </w:p>
    <w:p>
      <w:pPr>
        <w:pStyle w:val="BodyText"/>
        <w:spacing w:before="109"/>
        <w:rPr>
          <w:sz w:val="16"/>
        </w:rPr>
      </w:pP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286"/>
        </w:numPr>
        <w:tabs>
          <w:tab w:pos="1195" w:val="left" w:leader="none"/>
        </w:tabs>
        <w:spacing w:line="240" w:lineRule="auto" w:before="0" w:after="0"/>
        <w:ind w:left="1195" w:right="0" w:hanging="569"/>
        <w:jc w:val="left"/>
        <w:rPr>
          <w:sz w:val="20"/>
        </w:rPr>
      </w:pPr>
      <w:r>
        <w:rPr>
          <w:sz w:val="20"/>
        </w:rPr>
        <w:t>Se</w:t>
      </w:r>
      <w:r>
        <w:rPr>
          <w:spacing w:val="-5"/>
          <w:sz w:val="20"/>
        </w:rPr>
        <w:t> </w:t>
      </w:r>
      <w:r>
        <w:rPr>
          <w:spacing w:val="-2"/>
          <w:sz w:val="20"/>
        </w:rPr>
        <w:t>deroga.</w:t>
      </w:r>
    </w:p>
    <w:p>
      <w:pPr>
        <w:spacing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0"/>
        <w:rPr>
          <w:rFonts w:ascii="Times New Roman"/>
          <w:i/>
          <w:sz w:val="11"/>
        </w:rPr>
      </w:pPr>
    </w:p>
    <w:p>
      <w:pPr>
        <w:pStyle w:val="BodyText"/>
        <w:spacing w:after="0"/>
        <w:rPr>
          <w:rFonts w:ascii="Times New Roman"/>
          <w:i/>
          <w:sz w:val="11"/>
        </w:rPr>
        <w:sectPr>
          <w:pgSz w:w="12240" w:h="15840"/>
          <w:pgMar w:header="724" w:footer="712" w:top="1880" w:bottom="900" w:left="1080" w:right="1080"/>
        </w:sectPr>
      </w:pPr>
    </w:p>
    <w:p>
      <w:pPr>
        <w:pStyle w:val="ListParagraph"/>
        <w:numPr>
          <w:ilvl w:val="0"/>
          <w:numId w:val="286"/>
        </w:numPr>
        <w:tabs>
          <w:tab w:pos="1195" w:val="left" w:leader="none"/>
        </w:tabs>
        <w:spacing w:line="240" w:lineRule="auto" w:before="93" w:after="0"/>
        <w:ind w:left="119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62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i/>
          <w:sz w:val="16"/>
        </w:rPr>
        <w:sectPr>
          <w:type w:val="continuous"/>
          <w:pgSz w:w="12240" w:h="15840"/>
          <w:pgMar w:header="724" w:footer="712" w:top="1880" w:bottom="900" w:left="1080" w:right="1080"/>
          <w:cols w:num="2" w:equalWidth="0">
            <w:col w:w="2213" w:space="4508"/>
            <w:col w:w="3359"/>
          </w:cols>
        </w:sectPr>
      </w:pPr>
    </w:p>
    <w:p>
      <w:pPr>
        <w:pStyle w:val="BodyText"/>
        <w:rPr>
          <w:rFonts w:ascii="Times New Roman"/>
          <w:i/>
        </w:rPr>
      </w:pPr>
    </w:p>
    <w:p>
      <w:pPr>
        <w:pStyle w:val="BodyText"/>
        <w:spacing w:line="242" w:lineRule="auto"/>
        <w:ind w:left="338" w:right="339" w:firstLine="288"/>
        <w:jc w:val="both"/>
      </w:pPr>
      <w:bookmarkStart w:name="Artículo_709_A" w:id="900"/>
      <w:bookmarkEnd w:id="900"/>
      <w:r>
        <w:rPr/>
      </w:r>
      <w:r>
        <w:rPr>
          <w:rFonts w:ascii="Arial" w:hAnsi="Arial"/>
          <w:b/>
        </w:rPr>
        <w:t>Artículo</w:t>
      </w:r>
      <w:r>
        <w:rPr>
          <w:rFonts w:ascii="Arial" w:hAnsi="Arial"/>
          <w:b/>
          <w:spacing w:val="-2"/>
        </w:rPr>
        <w:t> </w:t>
      </w:r>
      <w:r>
        <w:rPr>
          <w:rFonts w:ascii="Arial" w:hAnsi="Arial"/>
          <w:b/>
        </w:rPr>
        <w:t>709-A.- </w:t>
      </w:r>
      <w:r>
        <w:rPr/>
        <w:t>La</w:t>
      </w:r>
      <w:r>
        <w:rPr>
          <w:spacing w:val="-4"/>
        </w:rPr>
        <w:t> </w:t>
      </w:r>
      <w:r>
        <w:rPr/>
        <w:t>recusación</w:t>
      </w:r>
      <w:r>
        <w:rPr>
          <w:spacing w:val="-4"/>
        </w:rPr>
        <w:t> </w:t>
      </w:r>
      <w:r>
        <w:rPr/>
        <w:t>se</w:t>
      </w:r>
      <w:r>
        <w:rPr>
          <w:spacing w:val="-1"/>
        </w:rPr>
        <w:t> </w:t>
      </w:r>
      <w:r>
        <w:rPr/>
        <w:t>interpondrá</w:t>
      </w:r>
      <w:r>
        <w:rPr>
          <w:spacing w:val="-1"/>
        </w:rPr>
        <w:t> </w:t>
      </w:r>
      <w:r>
        <w:rPr/>
        <w:t>ante</w:t>
      </w:r>
      <w:r>
        <w:rPr>
          <w:spacing w:val="-1"/>
        </w:rPr>
        <w:t> </w:t>
      </w:r>
      <w:r>
        <w:rPr/>
        <w:t>el Tribunal</w:t>
      </w:r>
      <w:r>
        <w:rPr>
          <w:spacing w:val="-1"/>
        </w:rPr>
        <w:t> </w:t>
      </w:r>
      <w:r>
        <w:rPr/>
        <w:t>que</w:t>
      </w:r>
      <w:r>
        <w:rPr>
          <w:spacing w:val="-1"/>
        </w:rPr>
        <w:t> </w:t>
      </w:r>
      <w:r>
        <w:rPr/>
        <w:t>conozca</w:t>
      </w:r>
      <w:r>
        <w:rPr>
          <w:spacing w:val="-1"/>
        </w:rPr>
        <w:t> </w:t>
      </w:r>
      <w:r>
        <w:rPr/>
        <w:t>del</w:t>
      </w:r>
      <w:r>
        <w:rPr>
          <w:spacing w:val="-2"/>
        </w:rPr>
        <w:t> </w:t>
      </w:r>
      <w:r>
        <w:rPr/>
        <w:t>asunto,</w:t>
      </w:r>
      <w:r>
        <w:rPr>
          <w:spacing w:val="-1"/>
        </w:rPr>
        <w:t> </w:t>
      </w:r>
      <w:r>
        <w:rPr/>
        <w:t>expresándose con claridad y precisión la causa en que se funde. El Tribunal remitirá de inmediato el testimonio de las actuaciones respectivas a la autoridad competente para resolver, al pleno del superior jerárquico u</w:t>
      </w:r>
      <w:r>
        <w:rPr>
          <w:spacing w:val="40"/>
        </w:rPr>
        <w:t> </w:t>
      </w:r>
      <w:r>
        <w:rPr/>
        <w:t>órgano</w:t>
      </w:r>
      <w:r>
        <w:rPr>
          <w:spacing w:val="-3"/>
        </w:rPr>
        <w:t> </w:t>
      </w:r>
      <w:r>
        <w:rPr/>
        <w:t>análogo</w:t>
      </w:r>
      <w:r>
        <w:rPr>
          <w:spacing w:val="-3"/>
        </w:rPr>
        <w:t> </w:t>
      </w:r>
      <w:r>
        <w:rPr/>
        <w:t>que</w:t>
      </w:r>
      <w:r>
        <w:rPr>
          <w:spacing w:val="-4"/>
        </w:rPr>
        <w:t> </w:t>
      </w:r>
      <w:r>
        <w:rPr/>
        <w:t>corresponda</w:t>
      </w:r>
      <w:r>
        <w:rPr>
          <w:spacing w:val="-1"/>
        </w:rPr>
        <w:t> </w:t>
      </w:r>
      <w:r>
        <w:rPr/>
        <w:t>de</w:t>
      </w:r>
      <w:r>
        <w:rPr>
          <w:spacing w:val="-4"/>
        </w:rPr>
        <w:t> </w:t>
      </w:r>
      <w:r>
        <w:rPr/>
        <w:t>conformidad</w:t>
      </w:r>
      <w:r>
        <w:rPr>
          <w:spacing w:val="-3"/>
        </w:rPr>
        <w:t> </w:t>
      </w:r>
      <w:r>
        <w:rPr/>
        <w:t>con</w:t>
      </w:r>
      <w:r>
        <w:rPr>
          <w:spacing w:val="-1"/>
        </w:rPr>
        <w:t> </w:t>
      </w:r>
      <w:r>
        <w:rPr/>
        <w:t>su</w:t>
      </w:r>
      <w:r>
        <w:rPr>
          <w:spacing w:val="-3"/>
        </w:rPr>
        <w:t> </w:t>
      </w:r>
      <w:r>
        <w:rPr/>
        <w:t>legislación</w:t>
      </w:r>
      <w:r>
        <w:rPr>
          <w:spacing w:val="-3"/>
        </w:rPr>
        <w:t> </w:t>
      </w:r>
      <w:r>
        <w:rPr/>
        <w:t>cuando</w:t>
      </w:r>
      <w:r>
        <w:rPr>
          <w:spacing w:val="-1"/>
        </w:rPr>
        <w:t> </w:t>
      </w:r>
      <w:r>
        <w:rPr/>
        <w:t>la</w:t>
      </w:r>
      <w:r>
        <w:rPr>
          <w:spacing w:val="-3"/>
        </w:rPr>
        <w:t> </w:t>
      </w:r>
      <w:r>
        <w:rPr/>
        <w:t>competencia</w:t>
      </w:r>
      <w:r>
        <w:rPr>
          <w:spacing w:val="-3"/>
        </w:rPr>
        <w:t> </w:t>
      </w:r>
      <w:r>
        <w:rPr/>
        <w:t>sea</w:t>
      </w:r>
      <w:r>
        <w:rPr>
          <w:spacing w:val="-1"/>
        </w:rPr>
        <w:t> </w:t>
      </w:r>
      <w:r>
        <w:rPr/>
        <w:t>del</w:t>
      </w:r>
      <w:r>
        <w:rPr>
          <w:spacing w:val="-2"/>
        </w:rPr>
        <w:t> </w:t>
      </w:r>
      <w:r>
        <w:rPr/>
        <w:t>orden local y al Tribunal Colegiado de Circuito de corresponda, cuando se trate de competencia federal.</w:t>
      </w:r>
    </w:p>
    <w:p>
      <w:pPr>
        <w:spacing w:line="17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right="344" w:firstLine="288"/>
        <w:jc w:val="both"/>
      </w:pPr>
      <w:bookmarkStart w:name="Artículo_709_B" w:id="901"/>
      <w:bookmarkEnd w:id="901"/>
      <w:r>
        <w:rPr/>
      </w:r>
      <w:r>
        <w:rPr>
          <w:rFonts w:ascii="Arial" w:hAnsi="Arial"/>
          <w:b/>
        </w:rPr>
        <w:t>Artículo 709-B.- </w:t>
      </w:r>
      <w:r>
        <w:rPr/>
        <w:t>La recusación solo podrá admitirse hasta antes de la calificación sobre la admisibilidad de las pruebas en la audiencia preliminar, o hasta antes del cierre de la instrucción cuando:</w:t>
      </w:r>
    </w:p>
    <w:p>
      <w:pPr>
        <w:pStyle w:val="ListParagraph"/>
        <w:numPr>
          <w:ilvl w:val="0"/>
          <w:numId w:val="287"/>
        </w:numPr>
        <w:tabs>
          <w:tab w:pos="1195" w:val="left" w:leader="none"/>
        </w:tabs>
        <w:spacing w:line="240" w:lineRule="auto" w:before="225" w:after="0"/>
        <w:ind w:left="1195" w:right="0" w:hanging="569"/>
        <w:jc w:val="left"/>
        <w:rPr>
          <w:sz w:val="20"/>
        </w:rPr>
      </w:pPr>
      <w:r>
        <w:rPr>
          <w:sz w:val="20"/>
        </w:rPr>
        <w:t>Cambie</w:t>
      </w:r>
      <w:r>
        <w:rPr>
          <w:spacing w:val="-8"/>
          <w:sz w:val="20"/>
        </w:rPr>
        <w:t> </w:t>
      </w:r>
      <w:r>
        <w:rPr>
          <w:sz w:val="20"/>
        </w:rPr>
        <w:t>el</w:t>
      </w:r>
      <w:r>
        <w:rPr>
          <w:spacing w:val="-7"/>
          <w:sz w:val="20"/>
        </w:rPr>
        <w:t> </w:t>
      </w:r>
      <w:r>
        <w:rPr>
          <w:sz w:val="20"/>
        </w:rPr>
        <w:t>personal</w:t>
      </w:r>
      <w:r>
        <w:rPr>
          <w:spacing w:val="-7"/>
          <w:sz w:val="20"/>
        </w:rPr>
        <w:t> </w:t>
      </w:r>
      <w:r>
        <w:rPr>
          <w:sz w:val="20"/>
        </w:rPr>
        <w:t>del</w:t>
      </w:r>
      <w:r>
        <w:rPr>
          <w:spacing w:val="-7"/>
          <w:sz w:val="20"/>
        </w:rPr>
        <w:t> </w:t>
      </w:r>
      <w:r>
        <w:rPr>
          <w:sz w:val="20"/>
        </w:rPr>
        <w:t>Tribunal,</w:t>
      </w:r>
      <w:r>
        <w:rPr>
          <w:spacing w:val="-3"/>
          <w:sz w:val="20"/>
        </w:rPr>
        <w:t> </w:t>
      </w:r>
      <w:r>
        <w:rPr>
          <w:spacing w:val="-10"/>
          <w:sz w:val="20"/>
        </w:rPr>
        <w:t>y</w:t>
      </w:r>
    </w:p>
    <w:p>
      <w:pPr>
        <w:pStyle w:val="BodyText"/>
      </w:pPr>
    </w:p>
    <w:p>
      <w:pPr>
        <w:pStyle w:val="ListParagraph"/>
        <w:numPr>
          <w:ilvl w:val="0"/>
          <w:numId w:val="287"/>
        </w:numPr>
        <w:tabs>
          <w:tab w:pos="1195" w:val="left" w:leader="none"/>
        </w:tabs>
        <w:spacing w:line="240" w:lineRule="auto" w:before="0" w:after="0"/>
        <w:ind w:left="1195" w:right="0" w:hanging="569"/>
        <w:jc w:val="left"/>
        <w:rPr>
          <w:sz w:val="20"/>
        </w:rPr>
      </w:pPr>
      <w:r>
        <w:rPr>
          <w:sz w:val="20"/>
        </w:rPr>
        <w:t>Ocurra</w:t>
      </w:r>
      <w:r>
        <w:rPr>
          <w:spacing w:val="-8"/>
          <w:sz w:val="20"/>
        </w:rPr>
        <w:t> </w:t>
      </w:r>
      <w:r>
        <w:rPr>
          <w:sz w:val="20"/>
        </w:rPr>
        <w:t>un</w:t>
      </w:r>
      <w:r>
        <w:rPr>
          <w:spacing w:val="-7"/>
          <w:sz w:val="20"/>
        </w:rPr>
        <w:t> </w:t>
      </w:r>
      <w:r>
        <w:rPr>
          <w:sz w:val="20"/>
        </w:rPr>
        <w:t>hecho</w:t>
      </w:r>
      <w:r>
        <w:rPr>
          <w:spacing w:val="-8"/>
          <w:sz w:val="20"/>
        </w:rPr>
        <w:t> </w:t>
      </w:r>
      <w:r>
        <w:rPr>
          <w:sz w:val="20"/>
        </w:rPr>
        <w:t>superveniente</w:t>
      </w:r>
      <w:r>
        <w:rPr>
          <w:spacing w:val="-5"/>
          <w:sz w:val="20"/>
        </w:rPr>
        <w:t> </w:t>
      </w:r>
      <w:r>
        <w:rPr>
          <w:sz w:val="20"/>
        </w:rPr>
        <w:t>que</w:t>
      </w:r>
      <w:r>
        <w:rPr>
          <w:spacing w:val="-6"/>
          <w:sz w:val="20"/>
        </w:rPr>
        <w:t> </w:t>
      </w:r>
      <w:r>
        <w:rPr>
          <w:sz w:val="20"/>
        </w:rPr>
        <w:t>funde</w:t>
      </w:r>
      <w:r>
        <w:rPr>
          <w:spacing w:val="-6"/>
          <w:sz w:val="20"/>
        </w:rPr>
        <w:t> </w:t>
      </w:r>
      <w:r>
        <w:rPr>
          <w:sz w:val="20"/>
        </w:rPr>
        <w:t>la</w:t>
      </w:r>
      <w:r>
        <w:rPr>
          <w:spacing w:val="-8"/>
          <w:sz w:val="20"/>
        </w:rPr>
        <w:t> </w:t>
      </w:r>
      <w:r>
        <w:rPr>
          <w:spacing w:val="-2"/>
          <w:sz w:val="20"/>
        </w:rPr>
        <w:t>causa.</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626" w:right="0" w:firstLine="0"/>
        <w:jc w:val="left"/>
        <w:rPr>
          <w:sz w:val="20"/>
        </w:rPr>
      </w:pPr>
      <w:bookmarkStart w:name="Artículo_709_C" w:id="902"/>
      <w:bookmarkEnd w:id="902"/>
      <w:r>
        <w:rPr/>
      </w:r>
      <w:r>
        <w:rPr>
          <w:rFonts w:ascii="Arial" w:hAnsi="Arial"/>
          <w:b/>
          <w:sz w:val="20"/>
        </w:rPr>
        <w:t>Artículo</w:t>
      </w:r>
      <w:r>
        <w:rPr>
          <w:rFonts w:ascii="Arial" w:hAnsi="Arial"/>
          <w:b/>
          <w:spacing w:val="-8"/>
          <w:sz w:val="20"/>
        </w:rPr>
        <w:t> </w:t>
      </w:r>
      <w:r>
        <w:rPr>
          <w:rFonts w:ascii="Arial" w:hAnsi="Arial"/>
          <w:b/>
          <w:sz w:val="20"/>
        </w:rPr>
        <w:t>709-C.-</w:t>
      </w:r>
      <w:r>
        <w:rPr>
          <w:rFonts w:ascii="Arial" w:hAnsi="Arial"/>
          <w:b/>
          <w:spacing w:val="-5"/>
          <w:sz w:val="20"/>
        </w:rPr>
        <w:t> </w:t>
      </w:r>
      <w:r>
        <w:rPr>
          <w:sz w:val="20"/>
        </w:rPr>
        <w:t>No</w:t>
      </w:r>
      <w:r>
        <w:rPr>
          <w:spacing w:val="-6"/>
          <w:sz w:val="20"/>
        </w:rPr>
        <w:t> </w:t>
      </w:r>
      <w:r>
        <w:rPr>
          <w:sz w:val="20"/>
        </w:rPr>
        <w:t>se</w:t>
      </w:r>
      <w:r>
        <w:rPr>
          <w:spacing w:val="-6"/>
          <w:sz w:val="20"/>
        </w:rPr>
        <w:t> </w:t>
      </w:r>
      <w:r>
        <w:rPr>
          <w:sz w:val="20"/>
        </w:rPr>
        <w:t>admitirá</w:t>
      </w:r>
      <w:r>
        <w:rPr>
          <w:spacing w:val="-6"/>
          <w:sz w:val="20"/>
        </w:rPr>
        <w:t> </w:t>
      </w:r>
      <w:r>
        <w:rPr>
          <w:spacing w:val="-2"/>
          <w:sz w:val="20"/>
        </w:rPr>
        <w:t>recusación:</w:t>
      </w:r>
    </w:p>
    <w:p>
      <w:pPr>
        <w:pStyle w:val="BodyText"/>
      </w:pPr>
    </w:p>
    <w:p>
      <w:pPr>
        <w:pStyle w:val="ListParagraph"/>
        <w:numPr>
          <w:ilvl w:val="0"/>
          <w:numId w:val="288"/>
        </w:numPr>
        <w:tabs>
          <w:tab w:pos="1195" w:val="left" w:leader="none"/>
        </w:tabs>
        <w:spacing w:line="242" w:lineRule="auto" w:before="1" w:after="0"/>
        <w:ind w:left="1195" w:right="343" w:hanging="569"/>
        <w:jc w:val="left"/>
        <w:rPr>
          <w:sz w:val="20"/>
        </w:rPr>
      </w:pPr>
      <w:r>
        <w:rPr>
          <w:sz w:val="20"/>
        </w:rPr>
        <w:t>Al cumplimentar</w:t>
      </w:r>
      <w:r>
        <w:rPr>
          <w:spacing w:val="26"/>
          <w:sz w:val="20"/>
        </w:rPr>
        <w:t> </w:t>
      </w:r>
      <w:r>
        <w:rPr>
          <w:sz w:val="20"/>
        </w:rPr>
        <w:t>exhortos,</w:t>
      </w:r>
      <w:r>
        <w:rPr>
          <w:spacing w:val="27"/>
          <w:sz w:val="20"/>
        </w:rPr>
        <w:t> </w:t>
      </w:r>
      <w:r>
        <w:rPr>
          <w:sz w:val="20"/>
        </w:rPr>
        <w:t>ejecuciones</w:t>
      </w:r>
      <w:r>
        <w:rPr>
          <w:spacing w:val="28"/>
          <w:sz w:val="20"/>
        </w:rPr>
        <w:t> </w:t>
      </w:r>
      <w:r>
        <w:rPr>
          <w:sz w:val="20"/>
        </w:rPr>
        <w:t>y demás</w:t>
      </w:r>
      <w:r>
        <w:rPr>
          <w:spacing w:val="26"/>
          <w:sz w:val="20"/>
        </w:rPr>
        <w:t> </w:t>
      </w:r>
      <w:r>
        <w:rPr>
          <w:sz w:val="20"/>
        </w:rPr>
        <w:t>diligencias</w:t>
      </w:r>
      <w:r>
        <w:rPr>
          <w:spacing w:val="26"/>
          <w:sz w:val="20"/>
        </w:rPr>
        <w:t> </w:t>
      </w:r>
      <w:r>
        <w:rPr>
          <w:sz w:val="20"/>
        </w:rPr>
        <w:t>cuya</w:t>
      </w:r>
      <w:r>
        <w:rPr>
          <w:spacing w:val="27"/>
          <w:sz w:val="20"/>
        </w:rPr>
        <w:t> </w:t>
      </w:r>
      <w:r>
        <w:rPr>
          <w:sz w:val="20"/>
        </w:rPr>
        <w:t>práctica se encomiende por otros Tribunales;</w:t>
      </w:r>
    </w:p>
    <w:p>
      <w:pPr>
        <w:pStyle w:val="ListParagraph"/>
        <w:numPr>
          <w:ilvl w:val="0"/>
          <w:numId w:val="288"/>
        </w:numPr>
        <w:tabs>
          <w:tab w:pos="1195" w:val="left" w:leader="none"/>
        </w:tabs>
        <w:spacing w:line="240" w:lineRule="auto" w:before="224" w:after="0"/>
        <w:ind w:left="1195" w:right="0" w:hanging="569"/>
        <w:jc w:val="left"/>
        <w:rPr>
          <w:sz w:val="20"/>
        </w:rPr>
      </w:pPr>
      <w:r>
        <w:rPr>
          <w:sz w:val="20"/>
        </w:rPr>
        <w:t>En</w:t>
      </w:r>
      <w:r>
        <w:rPr>
          <w:spacing w:val="-5"/>
          <w:sz w:val="20"/>
        </w:rPr>
        <w:t> </w:t>
      </w:r>
      <w:r>
        <w:rPr>
          <w:sz w:val="20"/>
        </w:rPr>
        <w:t>los</w:t>
      </w:r>
      <w:r>
        <w:rPr>
          <w:spacing w:val="-5"/>
          <w:sz w:val="20"/>
        </w:rPr>
        <w:t> </w:t>
      </w:r>
      <w:r>
        <w:rPr>
          <w:sz w:val="20"/>
        </w:rPr>
        <w:t>procedimientos</w:t>
      </w:r>
      <w:r>
        <w:rPr>
          <w:spacing w:val="-5"/>
          <w:sz w:val="20"/>
        </w:rPr>
        <w:t> </w:t>
      </w:r>
      <w:r>
        <w:rPr>
          <w:sz w:val="20"/>
        </w:rPr>
        <w:t>a</w:t>
      </w:r>
      <w:r>
        <w:rPr>
          <w:spacing w:val="-4"/>
          <w:sz w:val="20"/>
        </w:rPr>
        <w:t> </w:t>
      </w:r>
      <w:r>
        <w:rPr>
          <w:sz w:val="20"/>
        </w:rPr>
        <w:t>los</w:t>
      </w:r>
      <w:r>
        <w:rPr>
          <w:spacing w:val="-4"/>
          <w:sz w:val="20"/>
        </w:rPr>
        <w:t> </w:t>
      </w:r>
      <w:r>
        <w:rPr>
          <w:sz w:val="20"/>
        </w:rPr>
        <w:t>que</w:t>
      </w:r>
      <w:r>
        <w:rPr>
          <w:spacing w:val="-6"/>
          <w:sz w:val="20"/>
        </w:rPr>
        <w:t> </w:t>
      </w:r>
      <w:r>
        <w:rPr>
          <w:sz w:val="20"/>
        </w:rPr>
        <w:t>se</w:t>
      </w:r>
      <w:r>
        <w:rPr>
          <w:spacing w:val="-4"/>
          <w:sz w:val="20"/>
        </w:rPr>
        <w:t> </w:t>
      </w:r>
      <w:r>
        <w:rPr>
          <w:sz w:val="20"/>
        </w:rPr>
        <w:t>refieren</w:t>
      </w:r>
      <w:r>
        <w:rPr>
          <w:spacing w:val="-4"/>
          <w:sz w:val="20"/>
        </w:rPr>
        <w:t> </w:t>
      </w:r>
      <w:r>
        <w:rPr>
          <w:sz w:val="20"/>
        </w:rPr>
        <w:t>los</w:t>
      </w:r>
      <w:r>
        <w:rPr>
          <w:spacing w:val="-6"/>
          <w:sz w:val="20"/>
        </w:rPr>
        <w:t> </w:t>
      </w:r>
      <w:r>
        <w:rPr>
          <w:sz w:val="20"/>
        </w:rPr>
        <w:t>artículos</w:t>
      </w:r>
      <w:r>
        <w:rPr>
          <w:spacing w:val="-5"/>
          <w:sz w:val="20"/>
        </w:rPr>
        <w:t> </w:t>
      </w:r>
      <w:r>
        <w:rPr>
          <w:sz w:val="20"/>
        </w:rPr>
        <w:t>982</w:t>
      </w:r>
      <w:r>
        <w:rPr>
          <w:spacing w:val="-6"/>
          <w:sz w:val="20"/>
        </w:rPr>
        <w:t> </w:t>
      </w:r>
      <w:r>
        <w:rPr>
          <w:sz w:val="20"/>
        </w:rPr>
        <w:t>al</w:t>
      </w:r>
      <w:r>
        <w:rPr>
          <w:spacing w:val="-7"/>
          <w:sz w:val="20"/>
        </w:rPr>
        <w:t> </w:t>
      </w:r>
      <w:r>
        <w:rPr>
          <w:spacing w:val="-4"/>
          <w:sz w:val="20"/>
        </w:rPr>
        <w:t>991;</w:t>
      </w:r>
    </w:p>
    <w:p>
      <w:pPr>
        <w:pStyle w:val="BodyText"/>
        <w:spacing w:before="1"/>
      </w:pPr>
    </w:p>
    <w:p>
      <w:pPr>
        <w:pStyle w:val="ListParagraph"/>
        <w:numPr>
          <w:ilvl w:val="0"/>
          <w:numId w:val="288"/>
        </w:numPr>
        <w:tabs>
          <w:tab w:pos="1195" w:val="left" w:leader="none"/>
        </w:tabs>
        <w:spacing w:line="240" w:lineRule="auto" w:before="0" w:after="0"/>
        <w:ind w:left="1195" w:right="0" w:hanging="569"/>
        <w:jc w:val="left"/>
        <w:rPr>
          <w:sz w:val="20"/>
        </w:rPr>
      </w:pPr>
      <w:r>
        <w:rPr>
          <w:sz w:val="20"/>
        </w:rPr>
        <w:t>En</w:t>
      </w:r>
      <w:r>
        <w:rPr>
          <w:spacing w:val="-4"/>
          <w:sz w:val="20"/>
        </w:rPr>
        <w:t> </w:t>
      </w:r>
      <w:r>
        <w:rPr>
          <w:sz w:val="20"/>
        </w:rPr>
        <w:t>los</w:t>
      </w:r>
      <w:r>
        <w:rPr>
          <w:spacing w:val="-5"/>
          <w:sz w:val="20"/>
        </w:rPr>
        <w:t> </w:t>
      </w:r>
      <w:r>
        <w:rPr>
          <w:sz w:val="20"/>
        </w:rPr>
        <w:t>demás</w:t>
      </w:r>
      <w:r>
        <w:rPr>
          <w:spacing w:val="-5"/>
          <w:sz w:val="20"/>
        </w:rPr>
        <w:t> </w:t>
      </w:r>
      <w:r>
        <w:rPr>
          <w:sz w:val="20"/>
        </w:rPr>
        <w:t>en</w:t>
      </w:r>
      <w:r>
        <w:rPr>
          <w:spacing w:val="-6"/>
          <w:sz w:val="20"/>
        </w:rPr>
        <w:t> </w:t>
      </w:r>
      <w:r>
        <w:rPr>
          <w:sz w:val="20"/>
        </w:rPr>
        <w:t>que</w:t>
      </w:r>
      <w:r>
        <w:rPr>
          <w:spacing w:val="-7"/>
          <w:sz w:val="20"/>
        </w:rPr>
        <w:t> </w:t>
      </w:r>
      <w:r>
        <w:rPr>
          <w:sz w:val="20"/>
        </w:rPr>
        <w:t>no</w:t>
      </w:r>
      <w:r>
        <w:rPr>
          <w:spacing w:val="-6"/>
          <w:sz w:val="20"/>
        </w:rPr>
        <w:t> </w:t>
      </w:r>
      <w:r>
        <w:rPr>
          <w:sz w:val="20"/>
        </w:rPr>
        <w:t>se</w:t>
      </w:r>
      <w:r>
        <w:rPr>
          <w:spacing w:val="-3"/>
          <w:sz w:val="20"/>
        </w:rPr>
        <w:t> </w:t>
      </w:r>
      <w:r>
        <w:rPr>
          <w:sz w:val="20"/>
        </w:rPr>
        <w:t>asuma</w:t>
      </w:r>
      <w:r>
        <w:rPr>
          <w:spacing w:val="-6"/>
          <w:sz w:val="20"/>
        </w:rPr>
        <w:t> </w:t>
      </w:r>
      <w:r>
        <w:rPr>
          <w:sz w:val="20"/>
        </w:rPr>
        <w:t>jurisdicción</w:t>
      </w:r>
      <w:r>
        <w:rPr>
          <w:spacing w:val="-7"/>
          <w:sz w:val="20"/>
        </w:rPr>
        <w:t> </w:t>
      </w:r>
      <w:r>
        <w:rPr>
          <w:sz w:val="20"/>
        </w:rPr>
        <w:t>ni</w:t>
      </w:r>
      <w:r>
        <w:rPr>
          <w:spacing w:val="-6"/>
          <w:sz w:val="20"/>
        </w:rPr>
        <w:t> </w:t>
      </w:r>
      <w:r>
        <w:rPr>
          <w:sz w:val="20"/>
        </w:rPr>
        <w:t>impliquen</w:t>
      </w:r>
      <w:r>
        <w:rPr>
          <w:spacing w:val="-4"/>
          <w:sz w:val="20"/>
        </w:rPr>
        <w:t> </w:t>
      </w:r>
      <w:r>
        <w:rPr>
          <w:sz w:val="20"/>
        </w:rPr>
        <w:t>conocimiento</w:t>
      </w:r>
      <w:r>
        <w:rPr>
          <w:spacing w:val="-6"/>
          <w:sz w:val="20"/>
        </w:rPr>
        <w:t> </w:t>
      </w:r>
      <w:r>
        <w:rPr>
          <w:sz w:val="20"/>
        </w:rPr>
        <w:t>de</w:t>
      </w:r>
      <w:r>
        <w:rPr>
          <w:spacing w:val="-3"/>
          <w:sz w:val="20"/>
        </w:rPr>
        <w:t> </w:t>
      </w:r>
      <w:r>
        <w:rPr>
          <w:sz w:val="20"/>
        </w:rPr>
        <w:t>causa,</w:t>
      </w:r>
      <w:r>
        <w:rPr>
          <w:spacing w:val="-4"/>
          <w:sz w:val="20"/>
        </w:rPr>
        <w:t> </w:t>
      </w:r>
      <w:r>
        <w:rPr>
          <w:spacing w:val="-10"/>
          <w:sz w:val="20"/>
        </w:rPr>
        <w:t>y</w:t>
      </w:r>
    </w:p>
    <w:p>
      <w:pPr>
        <w:pStyle w:val="BodyText"/>
        <w:spacing w:before="1"/>
      </w:pPr>
    </w:p>
    <w:p>
      <w:pPr>
        <w:pStyle w:val="ListParagraph"/>
        <w:numPr>
          <w:ilvl w:val="0"/>
          <w:numId w:val="288"/>
        </w:numPr>
        <w:tabs>
          <w:tab w:pos="1195" w:val="left" w:leader="none"/>
        </w:tabs>
        <w:spacing w:line="229" w:lineRule="exact" w:before="0" w:after="0"/>
        <w:ind w:left="1195" w:right="0" w:hanging="569"/>
        <w:jc w:val="left"/>
        <w:rPr>
          <w:sz w:val="20"/>
        </w:rPr>
      </w:pPr>
      <w:r>
        <w:rPr>
          <w:sz w:val="20"/>
        </w:rPr>
        <w:t>En</w:t>
      </w:r>
      <w:r>
        <w:rPr>
          <w:spacing w:val="-6"/>
          <w:sz w:val="20"/>
        </w:rPr>
        <w:t> </w:t>
      </w:r>
      <w:r>
        <w:rPr>
          <w:sz w:val="20"/>
        </w:rPr>
        <w:t>contra</w:t>
      </w:r>
      <w:r>
        <w:rPr>
          <w:spacing w:val="-6"/>
          <w:sz w:val="20"/>
        </w:rPr>
        <w:t> </w:t>
      </w:r>
      <w:r>
        <w:rPr>
          <w:sz w:val="20"/>
        </w:rPr>
        <w:t>de</w:t>
      </w:r>
      <w:r>
        <w:rPr>
          <w:spacing w:val="-6"/>
          <w:sz w:val="20"/>
        </w:rPr>
        <w:t> </w:t>
      </w:r>
      <w:r>
        <w:rPr>
          <w:sz w:val="20"/>
        </w:rPr>
        <w:t>los</w:t>
      </w:r>
      <w:r>
        <w:rPr>
          <w:spacing w:val="-4"/>
          <w:sz w:val="20"/>
        </w:rPr>
        <w:t> </w:t>
      </w:r>
      <w:r>
        <w:rPr>
          <w:sz w:val="20"/>
        </w:rPr>
        <w:t>magistrados</w:t>
      </w:r>
      <w:r>
        <w:rPr>
          <w:spacing w:val="-3"/>
          <w:sz w:val="20"/>
        </w:rPr>
        <w:t> </w:t>
      </w:r>
      <w:r>
        <w:rPr>
          <w:sz w:val="20"/>
        </w:rPr>
        <w:t>y</w:t>
      </w:r>
      <w:r>
        <w:rPr>
          <w:spacing w:val="-9"/>
          <w:sz w:val="20"/>
        </w:rPr>
        <w:t> </w:t>
      </w:r>
      <w:r>
        <w:rPr>
          <w:sz w:val="20"/>
        </w:rPr>
        <w:t>jueces</w:t>
      </w:r>
      <w:r>
        <w:rPr>
          <w:spacing w:val="-5"/>
          <w:sz w:val="20"/>
        </w:rPr>
        <w:t> </w:t>
      </w:r>
      <w:r>
        <w:rPr>
          <w:sz w:val="20"/>
        </w:rPr>
        <w:t>que</w:t>
      </w:r>
      <w:r>
        <w:rPr>
          <w:spacing w:val="-6"/>
          <w:sz w:val="20"/>
        </w:rPr>
        <w:t> </w:t>
      </w:r>
      <w:r>
        <w:rPr>
          <w:sz w:val="20"/>
        </w:rPr>
        <w:t>conozcan</w:t>
      </w:r>
      <w:r>
        <w:rPr>
          <w:spacing w:val="-5"/>
          <w:sz w:val="20"/>
        </w:rPr>
        <w:t> </w:t>
      </w:r>
      <w:r>
        <w:rPr>
          <w:sz w:val="20"/>
        </w:rPr>
        <w:t>de</w:t>
      </w:r>
      <w:r>
        <w:rPr>
          <w:spacing w:val="-7"/>
          <w:sz w:val="20"/>
        </w:rPr>
        <w:t> </w:t>
      </w:r>
      <w:r>
        <w:rPr>
          <w:sz w:val="20"/>
        </w:rPr>
        <w:t>una</w:t>
      </w:r>
      <w:r>
        <w:rPr>
          <w:spacing w:val="-6"/>
          <w:sz w:val="20"/>
        </w:rPr>
        <w:t> </w:t>
      </w:r>
      <w:r>
        <w:rPr>
          <w:spacing w:val="-2"/>
          <w:sz w:val="20"/>
        </w:rPr>
        <w:t>recusación.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spacing w:before="0"/>
        <w:ind w:left="626" w:right="0" w:firstLine="0"/>
        <w:jc w:val="left"/>
        <w:rPr>
          <w:sz w:val="20"/>
        </w:rPr>
      </w:pPr>
      <w:bookmarkStart w:name="Artículo_709_D" w:id="903"/>
      <w:bookmarkEnd w:id="903"/>
      <w:r>
        <w:rPr/>
      </w:r>
      <w:r>
        <w:rPr>
          <w:rFonts w:ascii="Arial" w:hAnsi="Arial"/>
          <w:b/>
          <w:sz w:val="20"/>
        </w:rPr>
        <w:t>Artículo</w:t>
      </w:r>
      <w:r>
        <w:rPr>
          <w:rFonts w:ascii="Arial" w:hAnsi="Arial"/>
          <w:b/>
          <w:spacing w:val="-7"/>
          <w:sz w:val="20"/>
        </w:rPr>
        <w:t> </w:t>
      </w:r>
      <w:r>
        <w:rPr>
          <w:rFonts w:ascii="Arial" w:hAnsi="Arial"/>
          <w:b/>
          <w:sz w:val="20"/>
        </w:rPr>
        <w:t>709-D.-</w:t>
      </w:r>
      <w:r>
        <w:rPr>
          <w:rFonts w:ascii="Arial" w:hAnsi="Arial"/>
          <w:b/>
          <w:spacing w:val="-5"/>
          <w:sz w:val="20"/>
        </w:rPr>
        <w:t> </w:t>
      </w:r>
      <w:r>
        <w:rPr>
          <w:sz w:val="20"/>
        </w:rPr>
        <w:t>Se</w:t>
      </w:r>
      <w:r>
        <w:rPr>
          <w:spacing w:val="-7"/>
          <w:sz w:val="20"/>
        </w:rPr>
        <w:t> </w:t>
      </w:r>
      <w:r>
        <w:rPr>
          <w:sz w:val="20"/>
        </w:rPr>
        <w:t>desechará</w:t>
      </w:r>
      <w:r>
        <w:rPr>
          <w:spacing w:val="-8"/>
          <w:sz w:val="20"/>
        </w:rPr>
        <w:t> </w:t>
      </w:r>
      <w:r>
        <w:rPr>
          <w:sz w:val="20"/>
        </w:rPr>
        <w:t>de</w:t>
      </w:r>
      <w:r>
        <w:rPr>
          <w:spacing w:val="-7"/>
          <w:sz w:val="20"/>
        </w:rPr>
        <w:t> </w:t>
      </w:r>
      <w:r>
        <w:rPr>
          <w:sz w:val="20"/>
        </w:rPr>
        <w:t>plano</w:t>
      </w:r>
      <w:r>
        <w:rPr>
          <w:spacing w:val="-8"/>
          <w:sz w:val="20"/>
        </w:rPr>
        <w:t> </w:t>
      </w:r>
      <w:r>
        <w:rPr>
          <w:sz w:val="20"/>
        </w:rPr>
        <w:t>toda</w:t>
      </w:r>
      <w:r>
        <w:rPr>
          <w:spacing w:val="-8"/>
          <w:sz w:val="20"/>
        </w:rPr>
        <w:t> </w:t>
      </w:r>
      <w:r>
        <w:rPr>
          <w:sz w:val="20"/>
        </w:rPr>
        <w:t>recusación</w:t>
      </w:r>
      <w:r>
        <w:rPr>
          <w:spacing w:val="-8"/>
          <w:sz w:val="20"/>
        </w:rPr>
        <w:t> </w:t>
      </w:r>
      <w:r>
        <w:rPr>
          <w:spacing w:val="-2"/>
          <w:sz w:val="20"/>
        </w:rPr>
        <w:t>cuando:</w:t>
      </w:r>
    </w:p>
    <w:p>
      <w:pPr>
        <w:pStyle w:val="BodyText"/>
        <w:spacing w:before="1"/>
      </w:pPr>
    </w:p>
    <w:p>
      <w:pPr>
        <w:pStyle w:val="ListParagraph"/>
        <w:numPr>
          <w:ilvl w:val="0"/>
          <w:numId w:val="289"/>
        </w:numPr>
        <w:tabs>
          <w:tab w:pos="1195" w:val="left" w:leader="none"/>
        </w:tabs>
        <w:spacing w:line="240" w:lineRule="auto" w:before="0" w:after="0"/>
        <w:ind w:left="1195" w:right="0" w:hanging="569"/>
        <w:jc w:val="left"/>
        <w:rPr>
          <w:sz w:val="20"/>
        </w:rPr>
      </w:pPr>
      <w:r>
        <w:rPr>
          <w:sz w:val="20"/>
        </w:rPr>
        <w:t>Sea</w:t>
      </w:r>
      <w:r>
        <w:rPr>
          <w:spacing w:val="-11"/>
          <w:sz w:val="20"/>
        </w:rPr>
        <w:t> </w:t>
      </w:r>
      <w:r>
        <w:rPr>
          <w:sz w:val="20"/>
        </w:rPr>
        <w:t>extemporánea,</w:t>
      </w:r>
      <w:r>
        <w:rPr>
          <w:spacing w:val="-8"/>
          <w:sz w:val="20"/>
        </w:rPr>
        <w:t> </w:t>
      </w:r>
      <w:r>
        <w:rPr>
          <w:spacing w:val="-10"/>
          <w:sz w:val="20"/>
        </w:rPr>
        <w:t>y</w:t>
      </w:r>
    </w:p>
    <w:p>
      <w:pPr>
        <w:pStyle w:val="ListParagraph"/>
        <w:numPr>
          <w:ilvl w:val="0"/>
          <w:numId w:val="289"/>
        </w:numPr>
        <w:tabs>
          <w:tab w:pos="1195" w:val="left" w:leader="none"/>
        </w:tabs>
        <w:spacing w:line="242" w:lineRule="auto" w:before="229" w:after="0"/>
        <w:ind w:left="1195" w:right="338" w:hanging="569"/>
        <w:jc w:val="left"/>
        <w:rPr>
          <w:sz w:val="20"/>
        </w:rPr>
      </w:pPr>
      <w:r>
        <w:rPr>
          <w:sz w:val="20"/>
        </w:rPr>
        <w:t>No</w:t>
      </w:r>
      <w:r>
        <w:rPr>
          <w:spacing w:val="40"/>
          <w:sz w:val="20"/>
        </w:rPr>
        <w:t> </w:t>
      </w:r>
      <w:r>
        <w:rPr>
          <w:sz w:val="20"/>
        </w:rPr>
        <w:t>se</w:t>
      </w:r>
      <w:r>
        <w:rPr>
          <w:spacing w:val="40"/>
          <w:sz w:val="20"/>
        </w:rPr>
        <w:t> </w:t>
      </w:r>
      <w:r>
        <w:rPr>
          <w:sz w:val="20"/>
        </w:rPr>
        <w:t>funde</w:t>
      </w:r>
      <w:r>
        <w:rPr>
          <w:spacing w:val="40"/>
          <w:sz w:val="20"/>
        </w:rPr>
        <w:t> </w:t>
      </w:r>
      <w:r>
        <w:rPr>
          <w:sz w:val="20"/>
        </w:rPr>
        <w:t>en</w:t>
      </w:r>
      <w:r>
        <w:rPr>
          <w:spacing w:val="40"/>
          <w:sz w:val="20"/>
        </w:rPr>
        <w:t> </w:t>
      </w:r>
      <w:r>
        <w:rPr>
          <w:sz w:val="20"/>
        </w:rPr>
        <w:t>alguna</w:t>
      </w:r>
      <w:r>
        <w:rPr>
          <w:spacing w:val="40"/>
          <w:sz w:val="20"/>
        </w:rPr>
        <w:t> </w:t>
      </w:r>
      <w:r>
        <w:rPr>
          <w:sz w:val="20"/>
        </w:rPr>
        <w:t>de</w:t>
      </w:r>
      <w:r>
        <w:rPr>
          <w:spacing w:val="40"/>
          <w:sz w:val="20"/>
        </w:rPr>
        <w:t> </w:t>
      </w:r>
      <w:r>
        <w:rPr>
          <w:sz w:val="20"/>
        </w:rPr>
        <w:t>las</w:t>
      </w:r>
      <w:r>
        <w:rPr>
          <w:spacing w:val="40"/>
          <w:sz w:val="20"/>
        </w:rPr>
        <w:t> </w:t>
      </w:r>
      <w:r>
        <w:rPr>
          <w:sz w:val="20"/>
        </w:rPr>
        <w:t>causas</w:t>
      </w:r>
      <w:r>
        <w:rPr>
          <w:spacing w:val="40"/>
          <w:sz w:val="20"/>
        </w:rPr>
        <w:t> </w:t>
      </w:r>
      <w:r>
        <w:rPr>
          <w:sz w:val="20"/>
        </w:rPr>
        <w:t>a</w:t>
      </w:r>
      <w:r>
        <w:rPr>
          <w:spacing w:val="40"/>
          <w:sz w:val="20"/>
        </w:rPr>
        <w:t> </w:t>
      </w:r>
      <w:r>
        <w:rPr>
          <w:sz w:val="20"/>
        </w:rPr>
        <w:t>que</w:t>
      </w:r>
      <w:r>
        <w:rPr>
          <w:spacing w:val="40"/>
          <w:sz w:val="20"/>
        </w:rPr>
        <w:t> </w:t>
      </w:r>
      <w:r>
        <w:rPr>
          <w:sz w:val="20"/>
        </w:rPr>
        <w:t>se</w:t>
      </w:r>
      <w:r>
        <w:rPr>
          <w:spacing w:val="40"/>
          <w:sz w:val="20"/>
        </w:rPr>
        <w:t> </w:t>
      </w:r>
      <w:r>
        <w:rPr>
          <w:sz w:val="20"/>
        </w:rPr>
        <w:t>refiere</w:t>
      </w:r>
      <w:r>
        <w:rPr>
          <w:spacing w:val="40"/>
          <w:sz w:val="20"/>
        </w:rPr>
        <w:t> </w:t>
      </w:r>
      <w:r>
        <w:rPr>
          <w:sz w:val="20"/>
        </w:rPr>
        <w:t>el</w:t>
      </w:r>
      <w:r>
        <w:rPr>
          <w:spacing w:val="40"/>
          <w:sz w:val="20"/>
        </w:rPr>
        <w:t> </w:t>
      </w:r>
      <w:r>
        <w:rPr>
          <w:sz w:val="20"/>
        </w:rPr>
        <w:t>artículo</w:t>
      </w:r>
      <w:r>
        <w:rPr>
          <w:spacing w:val="40"/>
          <w:sz w:val="20"/>
        </w:rPr>
        <w:t> </w:t>
      </w:r>
      <w:r>
        <w:rPr>
          <w:sz w:val="20"/>
        </w:rPr>
        <w:t>707</w:t>
      </w:r>
      <w:r>
        <w:rPr>
          <w:spacing w:val="40"/>
          <w:sz w:val="20"/>
        </w:rPr>
        <w:t> </w:t>
      </w:r>
      <w:r>
        <w:rPr>
          <w:sz w:val="20"/>
        </w:rPr>
        <w:t>Bis</w:t>
      </w:r>
      <w:r>
        <w:rPr>
          <w:spacing w:val="40"/>
          <w:sz w:val="20"/>
        </w:rPr>
        <w:t> </w:t>
      </w:r>
      <w:r>
        <w:rPr>
          <w:sz w:val="20"/>
        </w:rPr>
        <w:t>de</w:t>
      </w:r>
      <w:r>
        <w:rPr>
          <w:spacing w:val="40"/>
          <w:sz w:val="20"/>
        </w:rPr>
        <w:t> </w:t>
      </w:r>
      <w:r>
        <w:rPr>
          <w:sz w:val="20"/>
        </w:rPr>
        <w:t>esta</w:t>
      </w:r>
      <w:r>
        <w:rPr>
          <w:spacing w:val="40"/>
          <w:sz w:val="20"/>
        </w:rPr>
        <w:t> </w:t>
      </w:r>
      <w:r>
        <w:rPr>
          <w:sz w:val="20"/>
        </w:rPr>
        <w:t>Ley,</w:t>
      </w:r>
      <w:r>
        <w:rPr>
          <w:spacing w:val="40"/>
          <w:sz w:val="20"/>
        </w:rPr>
        <w:t> </w:t>
      </w:r>
      <w:r>
        <w:rPr>
          <w:sz w:val="20"/>
        </w:rPr>
        <w:t>o anteriormente se haya declarado improcedente.</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firstLine="288"/>
      </w:pPr>
      <w:bookmarkStart w:name="Artículo_709_E" w:id="904"/>
      <w:bookmarkEnd w:id="904"/>
      <w:r>
        <w:rPr/>
      </w:r>
      <w:r>
        <w:rPr>
          <w:rFonts w:ascii="Arial" w:hAnsi="Arial"/>
          <w:b/>
        </w:rPr>
        <w:t>Artículo 709-E.- </w:t>
      </w:r>
      <w:r>
        <w:rPr/>
        <w:t>La recusación</w:t>
      </w:r>
      <w:r>
        <w:rPr>
          <w:spacing w:val="-2"/>
        </w:rPr>
        <w:t> </w:t>
      </w:r>
      <w:r>
        <w:rPr/>
        <w:t>se</w:t>
      </w:r>
      <w:r>
        <w:rPr>
          <w:spacing w:val="-1"/>
        </w:rPr>
        <w:t> </w:t>
      </w:r>
      <w:r>
        <w:rPr/>
        <w:t>resolverá</w:t>
      </w:r>
      <w:r>
        <w:rPr>
          <w:spacing w:val="-1"/>
        </w:rPr>
        <w:t> </w:t>
      </w:r>
      <w:r>
        <w:rPr/>
        <w:t>sin</w:t>
      </w:r>
      <w:r>
        <w:rPr>
          <w:spacing w:val="-1"/>
        </w:rPr>
        <w:t> </w:t>
      </w:r>
      <w:r>
        <w:rPr/>
        <w:t>citación</w:t>
      </w:r>
      <w:r>
        <w:rPr>
          <w:spacing w:val="-1"/>
        </w:rPr>
        <w:t> </w:t>
      </w:r>
      <w:r>
        <w:rPr/>
        <w:t>a la parte contraria y</w:t>
      </w:r>
      <w:r>
        <w:rPr>
          <w:spacing w:val="-4"/>
        </w:rPr>
        <w:t> </w:t>
      </w:r>
      <w:r>
        <w:rPr/>
        <w:t>se</w:t>
      </w:r>
      <w:r>
        <w:rPr>
          <w:spacing w:val="-1"/>
        </w:rPr>
        <w:t> </w:t>
      </w:r>
      <w:r>
        <w:rPr/>
        <w:t>tramitará</w:t>
      </w:r>
      <w:r>
        <w:rPr>
          <w:spacing w:val="-1"/>
        </w:rPr>
        <w:t> </w:t>
      </w:r>
      <w:r>
        <w:rPr/>
        <w:t>en</w:t>
      </w:r>
      <w:r>
        <w:rPr>
          <w:spacing w:val="-2"/>
        </w:rPr>
        <w:t> </w:t>
      </w:r>
      <w:r>
        <w:rPr/>
        <w:t>forma</w:t>
      </w:r>
      <w:r>
        <w:rPr>
          <w:spacing w:val="-1"/>
        </w:rPr>
        <w:t> </w:t>
      </w:r>
      <w:r>
        <w:rPr/>
        <w:t>de </w:t>
      </w:r>
      <w:r>
        <w:rPr>
          <w:spacing w:val="-2"/>
        </w:rPr>
        <w:t>incidente.</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2" w:firstLine="288"/>
      </w:pPr>
      <w:bookmarkStart w:name="Artículo_709_F" w:id="905"/>
      <w:bookmarkEnd w:id="905"/>
      <w:r>
        <w:rPr/>
      </w:r>
      <w:r>
        <w:rPr>
          <w:rFonts w:ascii="Arial" w:hAnsi="Arial"/>
          <w:b/>
        </w:rPr>
        <w:t>Artículo 709-F.- </w:t>
      </w:r>
      <w:r>
        <w:rPr/>
        <w:t>En tanto se califica la recusación, se continuará con el procedimiento. Si se declara procedente, será nulo todo lo actuado a partir de la fecha en que se interpuso.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right="357" w:firstLine="288"/>
      </w:pPr>
      <w:bookmarkStart w:name="Artículo_709_G" w:id="906"/>
      <w:bookmarkEnd w:id="906"/>
      <w:r>
        <w:rPr/>
      </w:r>
      <w:r>
        <w:rPr>
          <w:rFonts w:ascii="Arial" w:hAnsi="Arial"/>
          <w:b/>
        </w:rPr>
        <w:t>Artículo 709-G.- </w:t>
      </w:r>
      <w:r>
        <w:rPr/>
        <w:t>En la recusación son admisibles todos los medios de prueba establecidos por este Título y además la confesión del funcionario recusado.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8" w:lineRule="exact"/>
        <w:jc w:val="right"/>
        <w:rPr>
          <w:rFonts w:ascii="Times New Roman" w:hAnsi="Times New Roman"/>
          <w:i/>
          <w:sz w:val="16"/>
        </w:rPr>
        <w:sectPr>
          <w:type w:val="continuous"/>
          <w:pgSz w:w="12240" w:h="15840"/>
          <w:pgMar w:header="724" w:footer="712" w:top="1880" w:bottom="900" w:left="1080" w:right="1080"/>
        </w:sectPr>
      </w:pPr>
    </w:p>
    <w:p>
      <w:pPr>
        <w:pStyle w:val="BodyText"/>
        <w:rPr>
          <w:rFonts w:ascii="Times New Roman"/>
          <w:i/>
        </w:rPr>
      </w:pPr>
    </w:p>
    <w:p>
      <w:pPr>
        <w:pStyle w:val="BodyText"/>
        <w:spacing w:before="63"/>
        <w:rPr>
          <w:rFonts w:ascii="Times New Roman"/>
          <w:i/>
        </w:rPr>
      </w:pPr>
    </w:p>
    <w:p>
      <w:pPr>
        <w:spacing w:before="0"/>
        <w:ind w:left="626" w:right="0" w:firstLine="0"/>
        <w:jc w:val="left"/>
        <w:rPr>
          <w:sz w:val="20"/>
        </w:rPr>
      </w:pPr>
      <w:bookmarkStart w:name="Artículo_709_H" w:id="907"/>
      <w:bookmarkEnd w:id="907"/>
      <w:r>
        <w:rPr/>
      </w:r>
      <w:r>
        <w:rPr>
          <w:rFonts w:ascii="Arial" w:hAnsi="Arial"/>
          <w:b/>
          <w:sz w:val="20"/>
        </w:rPr>
        <w:t>Artículo</w:t>
      </w:r>
      <w:r>
        <w:rPr>
          <w:rFonts w:ascii="Arial" w:hAnsi="Arial"/>
          <w:b/>
          <w:spacing w:val="-7"/>
          <w:sz w:val="20"/>
        </w:rPr>
        <w:t> </w:t>
      </w:r>
      <w:r>
        <w:rPr>
          <w:rFonts w:ascii="Arial" w:hAnsi="Arial"/>
          <w:b/>
          <w:sz w:val="20"/>
        </w:rPr>
        <w:t>709-H.-</w:t>
      </w:r>
      <w:r>
        <w:rPr>
          <w:rFonts w:ascii="Arial" w:hAnsi="Arial"/>
          <w:b/>
          <w:spacing w:val="-7"/>
          <w:sz w:val="20"/>
        </w:rPr>
        <w:t> </w:t>
      </w:r>
      <w:r>
        <w:rPr>
          <w:sz w:val="20"/>
        </w:rPr>
        <w:t>La</w:t>
      </w:r>
      <w:r>
        <w:rPr>
          <w:spacing w:val="-7"/>
          <w:sz w:val="20"/>
        </w:rPr>
        <w:t> </w:t>
      </w:r>
      <w:r>
        <w:rPr>
          <w:sz w:val="20"/>
        </w:rPr>
        <w:t>resolución</w:t>
      </w:r>
      <w:r>
        <w:rPr>
          <w:spacing w:val="-8"/>
          <w:sz w:val="20"/>
        </w:rPr>
        <w:t> </w:t>
      </w:r>
      <w:r>
        <w:rPr>
          <w:sz w:val="20"/>
        </w:rPr>
        <w:t>será</w:t>
      </w:r>
      <w:r>
        <w:rPr>
          <w:spacing w:val="-8"/>
          <w:sz w:val="20"/>
        </w:rPr>
        <w:t> </w:t>
      </w:r>
      <w:r>
        <w:rPr>
          <w:sz w:val="20"/>
        </w:rPr>
        <w:t>comunicada</w:t>
      </w:r>
      <w:r>
        <w:rPr>
          <w:spacing w:val="-7"/>
          <w:sz w:val="20"/>
        </w:rPr>
        <w:t> </w:t>
      </w:r>
      <w:r>
        <w:rPr>
          <w:sz w:val="20"/>
        </w:rPr>
        <w:t>al</w:t>
      </w:r>
      <w:r>
        <w:rPr>
          <w:spacing w:val="-8"/>
          <w:sz w:val="20"/>
        </w:rPr>
        <w:t> </w:t>
      </w:r>
      <w:r>
        <w:rPr>
          <w:spacing w:val="-2"/>
          <w:sz w:val="20"/>
        </w:rPr>
        <w:t>recusado.</w:t>
      </w:r>
    </w:p>
    <w:p>
      <w:pPr>
        <w:pStyle w:val="BodyText"/>
        <w:spacing w:before="3"/>
      </w:pPr>
    </w:p>
    <w:p>
      <w:pPr>
        <w:pStyle w:val="BodyText"/>
        <w:spacing w:before="1"/>
        <w:ind w:left="338" w:firstLine="288"/>
      </w:pPr>
      <w:r>
        <w:rPr/>
        <w:t>Si</w:t>
      </w:r>
      <w:r>
        <w:rPr>
          <w:spacing w:val="36"/>
        </w:rPr>
        <w:t> </w:t>
      </w:r>
      <w:r>
        <w:rPr/>
        <w:t>la</w:t>
      </w:r>
      <w:r>
        <w:rPr>
          <w:spacing w:val="37"/>
        </w:rPr>
        <w:t> </w:t>
      </w:r>
      <w:r>
        <w:rPr/>
        <w:t>recusación</w:t>
      </w:r>
      <w:r>
        <w:rPr>
          <w:spacing w:val="34"/>
        </w:rPr>
        <w:t> </w:t>
      </w:r>
      <w:r>
        <w:rPr/>
        <w:t>se</w:t>
      </w:r>
      <w:r>
        <w:rPr>
          <w:spacing w:val="37"/>
        </w:rPr>
        <w:t> </w:t>
      </w:r>
      <w:r>
        <w:rPr/>
        <w:t>declara</w:t>
      </w:r>
      <w:r>
        <w:rPr>
          <w:spacing w:val="35"/>
        </w:rPr>
        <w:t> </w:t>
      </w:r>
      <w:r>
        <w:rPr/>
        <w:t>procedente,</w:t>
      </w:r>
      <w:r>
        <w:rPr>
          <w:spacing w:val="34"/>
        </w:rPr>
        <w:t> </w:t>
      </w:r>
      <w:r>
        <w:rPr/>
        <w:t>terminará</w:t>
      </w:r>
      <w:r>
        <w:rPr>
          <w:spacing w:val="34"/>
        </w:rPr>
        <w:t> </w:t>
      </w:r>
      <w:r>
        <w:rPr/>
        <w:t>su</w:t>
      </w:r>
      <w:r>
        <w:rPr>
          <w:spacing w:val="34"/>
        </w:rPr>
        <w:t> </w:t>
      </w:r>
      <w:r>
        <w:rPr/>
        <w:t>intervención</w:t>
      </w:r>
      <w:r>
        <w:rPr>
          <w:spacing w:val="36"/>
        </w:rPr>
        <w:t> </w:t>
      </w:r>
      <w:r>
        <w:rPr/>
        <w:t>en</w:t>
      </w:r>
      <w:r>
        <w:rPr>
          <w:spacing w:val="36"/>
        </w:rPr>
        <w:t> </w:t>
      </w:r>
      <w:r>
        <w:rPr/>
        <w:t>el</w:t>
      </w:r>
      <w:r>
        <w:rPr>
          <w:spacing w:val="36"/>
        </w:rPr>
        <w:t> </w:t>
      </w:r>
      <w:r>
        <w:rPr/>
        <w:t>asunto</w:t>
      </w:r>
      <w:r>
        <w:rPr>
          <w:spacing w:val="34"/>
        </w:rPr>
        <w:t> </w:t>
      </w:r>
      <w:r>
        <w:rPr/>
        <w:t>de</w:t>
      </w:r>
      <w:r>
        <w:rPr>
          <w:spacing w:val="36"/>
        </w:rPr>
        <w:t> </w:t>
      </w:r>
      <w:r>
        <w:rPr/>
        <w:t>que</w:t>
      </w:r>
      <w:r>
        <w:rPr>
          <w:spacing w:val="34"/>
        </w:rPr>
        <w:t> </w:t>
      </w:r>
      <w:r>
        <w:rPr/>
        <w:t>se</w:t>
      </w:r>
      <w:r>
        <w:rPr>
          <w:spacing w:val="37"/>
        </w:rPr>
        <w:t> </w:t>
      </w:r>
      <w:r>
        <w:rPr/>
        <w:t>trate</w:t>
      </w:r>
      <w:r>
        <w:rPr>
          <w:spacing w:val="39"/>
        </w:rPr>
        <w:t> </w:t>
      </w:r>
      <w:r>
        <w:rPr/>
        <w:t>y remitirá los autos al Tribunal que corresponda.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2" w:firstLine="288"/>
        <w:jc w:val="both"/>
      </w:pPr>
      <w:bookmarkStart w:name="Artículo_709_I" w:id="908"/>
      <w:bookmarkEnd w:id="908"/>
      <w:r>
        <w:rPr/>
      </w:r>
      <w:r>
        <w:rPr>
          <w:rFonts w:ascii="Arial" w:hAnsi="Arial"/>
          <w:b/>
        </w:rPr>
        <w:t>Artículo 709-I.- </w:t>
      </w:r>
      <w:r>
        <w:rPr/>
        <w:t>Cuando se declare improcedente, se impondrá al recusante una multa a favor del Fondo de Apoyo a la Administración de Justicia del Poder Judicial que corresponda, la cual no será inferior a 100 ni mayor a 500 Unidades de Medida y Actualización.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firstLine="288"/>
      </w:pPr>
      <w:bookmarkStart w:name="Artículo_709_J" w:id="909"/>
      <w:bookmarkEnd w:id="909"/>
      <w:r>
        <w:rPr/>
      </w:r>
      <w:r>
        <w:rPr>
          <w:rFonts w:ascii="Arial" w:hAnsi="Arial"/>
          <w:b/>
        </w:rPr>
        <w:t>Artículo</w:t>
      </w:r>
      <w:r>
        <w:rPr>
          <w:rFonts w:ascii="Arial" w:hAnsi="Arial"/>
          <w:b/>
          <w:spacing w:val="29"/>
        </w:rPr>
        <w:t> </w:t>
      </w:r>
      <w:r>
        <w:rPr>
          <w:rFonts w:ascii="Arial" w:hAnsi="Arial"/>
          <w:b/>
        </w:rPr>
        <w:t>709-J.-</w:t>
      </w:r>
      <w:r>
        <w:rPr>
          <w:rFonts w:ascii="Arial" w:hAnsi="Arial"/>
          <w:b/>
          <w:spacing w:val="30"/>
        </w:rPr>
        <w:t> </w:t>
      </w:r>
      <w:r>
        <w:rPr/>
        <w:t>Una</w:t>
      </w:r>
      <w:r>
        <w:rPr>
          <w:spacing w:val="31"/>
        </w:rPr>
        <w:t> </w:t>
      </w:r>
      <w:r>
        <w:rPr/>
        <w:t>vez</w:t>
      </w:r>
      <w:r>
        <w:rPr>
          <w:spacing w:val="30"/>
        </w:rPr>
        <w:t> </w:t>
      </w:r>
      <w:r>
        <w:rPr/>
        <w:t>interpuesta</w:t>
      </w:r>
      <w:r>
        <w:rPr>
          <w:spacing w:val="31"/>
        </w:rPr>
        <w:t> </w:t>
      </w:r>
      <w:r>
        <w:rPr/>
        <w:t>la</w:t>
      </w:r>
      <w:r>
        <w:rPr>
          <w:spacing w:val="29"/>
        </w:rPr>
        <w:t> </w:t>
      </w:r>
      <w:r>
        <w:rPr/>
        <w:t>recusación,</w:t>
      </w:r>
      <w:r>
        <w:rPr>
          <w:spacing w:val="33"/>
        </w:rPr>
        <w:t> </w:t>
      </w:r>
      <w:r>
        <w:rPr/>
        <w:t>la</w:t>
      </w:r>
      <w:r>
        <w:rPr>
          <w:spacing w:val="29"/>
        </w:rPr>
        <w:t> </w:t>
      </w:r>
      <w:r>
        <w:rPr/>
        <w:t>parte</w:t>
      </w:r>
      <w:r>
        <w:rPr>
          <w:spacing w:val="28"/>
        </w:rPr>
        <w:t> </w:t>
      </w:r>
      <w:r>
        <w:rPr/>
        <w:t>recusante</w:t>
      </w:r>
      <w:r>
        <w:rPr>
          <w:spacing w:val="28"/>
        </w:rPr>
        <w:t> </w:t>
      </w:r>
      <w:r>
        <w:rPr/>
        <w:t>no</w:t>
      </w:r>
      <w:r>
        <w:rPr>
          <w:spacing w:val="29"/>
        </w:rPr>
        <w:t> </w:t>
      </w:r>
      <w:r>
        <w:rPr/>
        <w:t>podrá</w:t>
      </w:r>
      <w:r>
        <w:rPr>
          <w:spacing w:val="29"/>
        </w:rPr>
        <w:t> </w:t>
      </w:r>
      <w:r>
        <w:rPr/>
        <w:t>alzarla</w:t>
      </w:r>
      <w:r>
        <w:rPr>
          <w:spacing w:val="29"/>
        </w:rPr>
        <w:t> </w:t>
      </w:r>
      <w:r>
        <w:rPr/>
        <w:t>en</w:t>
      </w:r>
      <w:r>
        <w:rPr>
          <w:spacing w:val="31"/>
        </w:rPr>
        <w:t> </w:t>
      </w:r>
      <w:r>
        <w:rPr/>
        <w:t>ningún tiempo, ni variar la causa.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626" w:right="0" w:firstLine="0"/>
        <w:jc w:val="left"/>
        <w:rPr>
          <w:sz w:val="20"/>
        </w:rPr>
      </w:pPr>
      <w:bookmarkStart w:name="Artículo_710" w:id="910"/>
      <w:bookmarkEnd w:id="910"/>
      <w:r>
        <w:rPr/>
      </w:r>
      <w:r>
        <w:rPr>
          <w:rFonts w:ascii="Arial" w:hAnsi="Arial"/>
          <w:b/>
          <w:sz w:val="20"/>
        </w:rPr>
        <w:t>Artículo</w:t>
      </w:r>
      <w:r>
        <w:rPr>
          <w:rFonts w:ascii="Arial" w:hAnsi="Arial"/>
          <w:b/>
          <w:spacing w:val="-6"/>
          <w:sz w:val="20"/>
        </w:rPr>
        <w:t> </w:t>
      </w:r>
      <w:r>
        <w:rPr>
          <w:rFonts w:ascii="Arial" w:hAnsi="Arial"/>
          <w:b/>
          <w:sz w:val="20"/>
        </w:rPr>
        <w:t>710.-</w:t>
      </w:r>
      <w:r>
        <w:rPr>
          <w:rFonts w:ascii="Arial" w:hAnsi="Arial"/>
          <w:b/>
          <w:spacing w:val="-4"/>
          <w:sz w:val="20"/>
        </w:rPr>
        <w:t> </w:t>
      </w:r>
      <w:r>
        <w:rPr>
          <w:sz w:val="20"/>
        </w:rPr>
        <w:t>Se</w:t>
      </w:r>
      <w:r>
        <w:rPr>
          <w:spacing w:val="-5"/>
          <w:sz w:val="20"/>
        </w:rPr>
        <w:t> </w:t>
      </w:r>
      <w:r>
        <w:rPr>
          <w:spacing w:val="-2"/>
          <w:sz w:val="20"/>
        </w:rPr>
        <w:t>deroga.</w:t>
      </w:r>
    </w:p>
    <w:p>
      <w:pPr>
        <w:spacing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229"/>
        <w:ind w:left="626"/>
      </w:pPr>
      <w:bookmarkStart w:name="Artículo_711" w:id="911"/>
      <w:bookmarkEnd w:id="911"/>
      <w:r>
        <w:rPr/>
      </w:r>
      <w:r>
        <w:rPr>
          <w:rFonts w:ascii="Arial" w:hAnsi="Arial"/>
          <w:b/>
        </w:rPr>
        <w:t>Artículo</w:t>
      </w:r>
      <w:r>
        <w:rPr>
          <w:rFonts w:ascii="Arial" w:hAnsi="Arial"/>
          <w:b/>
          <w:spacing w:val="-6"/>
        </w:rPr>
        <w:t> </w:t>
      </w:r>
      <w:r>
        <w:rPr>
          <w:rFonts w:ascii="Arial" w:hAnsi="Arial"/>
          <w:b/>
        </w:rPr>
        <w:t>711.</w:t>
      </w:r>
      <w:r>
        <w:rPr>
          <w:rFonts w:ascii="Arial" w:hAnsi="Arial"/>
          <w:b/>
          <w:spacing w:val="-4"/>
        </w:rPr>
        <w:t> </w:t>
      </w:r>
      <w:r>
        <w:rPr/>
        <w:t>El</w:t>
      </w:r>
      <w:r>
        <w:rPr>
          <w:spacing w:val="-6"/>
        </w:rPr>
        <w:t> </w:t>
      </w:r>
      <w:r>
        <w:rPr/>
        <w:t>procedimiento</w:t>
      </w:r>
      <w:r>
        <w:rPr>
          <w:spacing w:val="-5"/>
        </w:rPr>
        <w:t> </w:t>
      </w:r>
      <w:r>
        <w:rPr/>
        <w:t>no</w:t>
      </w:r>
      <w:r>
        <w:rPr>
          <w:spacing w:val="-8"/>
        </w:rPr>
        <w:t> </w:t>
      </w:r>
      <w:r>
        <w:rPr/>
        <w:t>se</w:t>
      </w:r>
      <w:r>
        <w:rPr>
          <w:spacing w:val="-6"/>
        </w:rPr>
        <w:t> </w:t>
      </w:r>
      <w:r>
        <w:rPr/>
        <w:t>suspenderá</w:t>
      </w:r>
      <w:r>
        <w:rPr>
          <w:spacing w:val="-7"/>
        </w:rPr>
        <w:t> </w:t>
      </w:r>
      <w:r>
        <w:rPr/>
        <w:t>mientras</w:t>
      </w:r>
      <w:r>
        <w:rPr>
          <w:spacing w:val="-6"/>
        </w:rPr>
        <w:t> </w:t>
      </w:r>
      <w:r>
        <w:rPr/>
        <w:t>se</w:t>
      </w:r>
      <w:r>
        <w:rPr>
          <w:spacing w:val="-7"/>
        </w:rPr>
        <w:t> </w:t>
      </w:r>
      <w:r>
        <w:rPr/>
        <w:t>tramite</w:t>
      </w:r>
      <w:r>
        <w:rPr>
          <w:spacing w:val="-7"/>
        </w:rPr>
        <w:t> </w:t>
      </w:r>
      <w:r>
        <w:rPr/>
        <w:t>la</w:t>
      </w:r>
      <w:r>
        <w:rPr>
          <w:spacing w:val="-5"/>
        </w:rPr>
        <w:t> </w:t>
      </w:r>
      <w:r>
        <w:rPr/>
        <w:t>denuncia</w:t>
      </w:r>
      <w:r>
        <w:rPr>
          <w:spacing w:val="-7"/>
        </w:rPr>
        <w:t> </w:t>
      </w:r>
      <w:r>
        <w:rPr/>
        <w:t>de</w:t>
      </w:r>
      <w:r>
        <w:rPr>
          <w:spacing w:val="-5"/>
        </w:rPr>
        <w:t> </w:t>
      </w:r>
      <w:r>
        <w:rPr>
          <w:spacing w:val="-2"/>
        </w:rPr>
        <w:t>impedimento.</w:t>
      </w:r>
    </w:p>
    <w:p>
      <w:pPr>
        <w:spacing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Heading1"/>
        <w:spacing w:line="252" w:lineRule="exact" w:before="230"/>
      </w:pPr>
      <w:r>
        <w:rPr/>
        <w:t>CAPITULO</w:t>
      </w:r>
      <w:r>
        <w:rPr>
          <w:spacing w:val="-7"/>
        </w:rPr>
        <w:t> </w:t>
      </w:r>
      <w:r>
        <w:rPr>
          <w:spacing w:val="-12"/>
        </w:rPr>
        <w:t>V</w:t>
      </w:r>
    </w:p>
    <w:p>
      <w:pPr>
        <w:pStyle w:val="Heading2"/>
        <w:spacing w:line="252" w:lineRule="exact"/>
        <w:ind w:left="297"/>
      </w:pPr>
      <w:r>
        <w:rPr/>
        <w:t>De</w:t>
      </w:r>
      <w:r>
        <w:rPr>
          <w:spacing w:val="-4"/>
        </w:rPr>
        <w:t> </w:t>
      </w:r>
      <w:r>
        <w:rPr/>
        <w:t>la Actuación</w:t>
      </w:r>
      <w:r>
        <w:rPr>
          <w:spacing w:val="-4"/>
        </w:rPr>
        <w:t> </w:t>
      </w:r>
      <w:r>
        <w:rPr/>
        <w:t>de</w:t>
      </w:r>
      <w:r>
        <w:rPr>
          <w:spacing w:val="-5"/>
        </w:rPr>
        <w:t> </w:t>
      </w:r>
      <w:r>
        <w:rPr/>
        <w:t>los</w:t>
      </w:r>
      <w:r>
        <w:rPr>
          <w:spacing w:val="-5"/>
        </w:rPr>
        <w:t> </w:t>
      </w:r>
      <w:r>
        <w:rPr>
          <w:spacing w:val="-2"/>
        </w:rPr>
        <w:t>Tribunales</w:t>
      </w:r>
    </w:p>
    <w:p>
      <w:pPr>
        <w:spacing w:before="0"/>
        <w:ind w:left="2669"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spacing w:line="242" w:lineRule="auto"/>
        <w:ind w:left="338" w:right="334" w:firstLine="288"/>
        <w:jc w:val="both"/>
      </w:pPr>
      <w:bookmarkStart w:name="Artículo_712" w:id="912"/>
      <w:bookmarkEnd w:id="912"/>
      <w:r>
        <w:rPr/>
      </w:r>
      <w:r>
        <w:rPr>
          <w:rFonts w:ascii="Arial" w:hAnsi="Arial"/>
          <w:b/>
        </w:rPr>
        <w:t>Artículo 712.- </w:t>
      </w:r>
      <w:r>
        <w:rPr/>
        <w:t>Cuando el trabajador ignore el nombre del patrón o la denominación o razón social en donde labora o laboró, deberá precisar por lo menos en su escrito de demanda el domicilio de la</w:t>
      </w:r>
      <w:r>
        <w:rPr>
          <w:spacing w:val="40"/>
        </w:rPr>
        <w:t> </w:t>
      </w:r>
      <w:r>
        <w:rPr/>
        <w:t>empresa, establecimiento, oficina o lugar en donde prestó o presta el trabajo y la actividad a que se dedica el patrón.</w:t>
      </w:r>
    </w:p>
    <w:p>
      <w:pPr>
        <w:pStyle w:val="BodyText"/>
        <w:spacing w:before="223"/>
        <w:ind w:left="338" w:right="346" w:firstLine="288"/>
        <w:jc w:val="both"/>
      </w:pPr>
      <w:r>
        <w:rPr/>
        <w:t>La sola presentación de la demanda o de la instancia conciliatoria, en los términos del párrafo anterior interrumpe la prescripción respecto de quien resulte ser el patrón del trabajador.</w:t>
      </w:r>
    </w:p>
    <w:p>
      <w:pPr>
        <w:pStyle w:val="BodyText"/>
        <w:spacing w:before="1"/>
      </w:pPr>
    </w:p>
    <w:p>
      <w:pPr>
        <w:pStyle w:val="BodyText"/>
        <w:ind w:left="338" w:right="334" w:firstLine="288"/>
        <w:jc w:val="both"/>
      </w:pPr>
      <w:r>
        <w:rPr/>
        <w:t>Si el demandado ya no tiene su domicilio donde se prestaron los servicios, el trabajador lo hará del conocimiento del Tribunal, para que ésta gire oficios a las dependencias que considere pertinente, para localizar el nuevo domicilio del demandado. El Tribunal deberá ordenar el desahogo de cualquier diligencia, entre las cuales podrá girar oficios a instituciones que cuenten con registro oficial de personas a fin de que se obtenga el nombre del demandado y su localización. Una vez obtenida la información necesaria, se realizará el emplazamiento.</w:t>
      </w:r>
    </w:p>
    <w:p>
      <w:pPr>
        <w:pStyle w:val="BodyText"/>
        <w:spacing w:before="228"/>
        <w:ind w:left="338" w:right="337" w:firstLine="288"/>
        <w:jc w:val="both"/>
      </w:pPr>
      <w:r>
        <w:rPr/>
        <w:t>De no obtener la información que permita al Tribunal conocer el domicilio del demandado, se procederá a la notificación por edictos y en el sitio de Internet que para tal efecto establezca el Poder Judicial federal o local cuando se trate de personas cuyo domicilio se ignora, previo informe de una institución que cuente con registro oficial de personas. En este caso, el procedimiento seguirá su curso y se tendrá por perdido el derecho que debió ejercerse, sin perjuicio de que antes de la audiencia</w:t>
      </w:r>
      <w:r>
        <w:rPr>
          <w:spacing w:val="40"/>
        </w:rPr>
        <w:t> </w:t>
      </w:r>
      <w:r>
        <w:rPr/>
        <w:t>preliminar pueda la parte demandada ofrecer pruebas en contra para demostrar que el actor no era trabajador o patrón; que no existió el despido o que no son ciertos los hechos afirmados por la parte </w:t>
      </w:r>
      <w:r>
        <w:rPr>
          <w:spacing w:val="-2"/>
        </w:rPr>
        <w:t>actora.</w:t>
      </w:r>
    </w:p>
    <w:p>
      <w:pPr>
        <w:pStyle w:val="BodyText"/>
        <w:spacing w:before="2"/>
      </w:pPr>
    </w:p>
    <w:p>
      <w:pPr>
        <w:pStyle w:val="BodyText"/>
        <w:ind w:left="338" w:right="338" w:firstLine="288"/>
        <w:jc w:val="both"/>
      </w:pPr>
      <w:r>
        <w:rPr/>
        <w:t>En este caso, los edictos se publicarán por dos veces, con un lapso de tres días entre uno y otro, haciéndose saber que debe de presentarse el citado, dentro de un término que no será inferior a quince días ni excederá de sesenta días. Asimismo, se publicarán en el medio oficial de difusión del Tribunal, incluyendo su portal de Internet.</w:t>
      </w:r>
    </w:p>
    <w:p>
      <w:pPr>
        <w:pStyle w:val="BodyText"/>
        <w:spacing w:after="0"/>
        <w:jc w:val="both"/>
        <w:sectPr>
          <w:pgSz w:w="12240" w:h="15840"/>
          <w:pgMar w:header="724" w:footer="712" w:top="1880" w:bottom="900" w:left="1080" w:right="1080"/>
        </w:sectPr>
      </w:pPr>
    </w:p>
    <w:p>
      <w:pPr>
        <w:pStyle w:val="BodyText"/>
        <w:spacing w:before="109"/>
        <w:rPr>
          <w:sz w:val="16"/>
        </w:rPr>
      </w:pPr>
    </w:p>
    <w:p>
      <w:pPr>
        <w:spacing w:before="0"/>
        <w:ind w:left="626" w:right="0" w:firstLine="5892"/>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right="338" w:firstLine="288"/>
        <w:jc w:val="both"/>
      </w:pPr>
      <w:bookmarkStart w:name="Artículo_712_Bis" w:id="913"/>
      <w:bookmarkEnd w:id="913"/>
      <w:r>
        <w:rPr/>
      </w:r>
      <w:r>
        <w:rPr>
          <w:rFonts w:ascii="Arial" w:hAnsi="Arial"/>
          <w:b/>
        </w:rPr>
        <w:t>Artículo 712 Bis.- </w:t>
      </w:r>
      <w:r>
        <w:rPr/>
        <w:t>Los Tribunales tendrán una unidad receptora que proporcionará servicio durante</w:t>
      </w:r>
      <w:r>
        <w:rPr>
          <w:spacing w:val="40"/>
        </w:rPr>
        <w:t> </w:t>
      </w:r>
      <w:r>
        <w:rPr/>
        <w:t>los días señalados en el artículo 715 de esta Ley, y remitirán los escritos que reciba al Tribunal que corresponda, a más tardar al día siguiente.</w:t>
      </w:r>
    </w:p>
    <w:p>
      <w:pPr>
        <w:pStyle w:val="BodyText"/>
        <w:spacing w:before="225"/>
        <w:ind w:left="338" w:right="343" w:firstLine="288"/>
        <w:jc w:val="both"/>
      </w:pPr>
      <w:r>
        <w:rPr/>
        <w:t>Tratándose del procedimiento especial de huelga, la unidad receptora proporcionará dicho servicio todos los días del año.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2" w:firstLine="288"/>
      </w:pPr>
      <w:bookmarkStart w:name="Artículo_712_Ter" w:id="914"/>
      <w:bookmarkEnd w:id="914"/>
      <w:r>
        <w:rPr/>
      </w:r>
      <w:r>
        <w:rPr>
          <w:rFonts w:ascii="Arial" w:hAnsi="Arial"/>
          <w:b/>
        </w:rPr>
        <w:t>Artículo</w:t>
      </w:r>
      <w:r>
        <w:rPr>
          <w:rFonts w:ascii="Arial" w:hAnsi="Arial"/>
          <w:b/>
          <w:spacing w:val="40"/>
        </w:rPr>
        <w:t> </w:t>
      </w:r>
      <w:r>
        <w:rPr>
          <w:rFonts w:ascii="Arial" w:hAnsi="Arial"/>
          <w:b/>
        </w:rPr>
        <w:t>712</w:t>
      </w:r>
      <w:r>
        <w:rPr>
          <w:rFonts w:ascii="Arial" w:hAnsi="Arial"/>
          <w:b/>
          <w:spacing w:val="40"/>
        </w:rPr>
        <w:t> </w:t>
      </w:r>
      <w:r>
        <w:rPr>
          <w:rFonts w:ascii="Arial" w:hAnsi="Arial"/>
          <w:b/>
        </w:rPr>
        <w:t>Ter.-</w:t>
      </w:r>
      <w:r>
        <w:rPr>
          <w:rFonts w:ascii="Arial" w:hAnsi="Arial"/>
          <w:b/>
          <w:spacing w:val="40"/>
        </w:rPr>
        <w:t> </w:t>
      </w:r>
      <w:r>
        <w:rPr/>
        <w:t>En</w:t>
      </w:r>
      <w:r>
        <w:rPr>
          <w:spacing w:val="40"/>
        </w:rPr>
        <w:t> </w:t>
      </w:r>
      <w:r>
        <w:rPr/>
        <w:t>la</w:t>
      </w:r>
      <w:r>
        <w:rPr>
          <w:spacing w:val="40"/>
        </w:rPr>
        <w:t> </w:t>
      </w:r>
      <w:r>
        <w:rPr/>
        <w:t>integración</w:t>
      </w:r>
      <w:r>
        <w:rPr>
          <w:spacing w:val="38"/>
        </w:rPr>
        <w:t> </w:t>
      </w:r>
      <w:r>
        <w:rPr/>
        <w:t>de</w:t>
      </w:r>
      <w:r>
        <w:rPr>
          <w:spacing w:val="40"/>
        </w:rPr>
        <w:t> </w:t>
      </w:r>
      <w:r>
        <w:rPr/>
        <w:t>los</w:t>
      </w:r>
      <w:r>
        <w:rPr>
          <w:spacing w:val="39"/>
        </w:rPr>
        <w:t> </w:t>
      </w:r>
      <w:r>
        <w:rPr/>
        <w:t>expedientes,</w:t>
      </w:r>
      <w:r>
        <w:rPr>
          <w:spacing w:val="40"/>
        </w:rPr>
        <w:t> </w:t>
      </w:r>
      <w:r>
        <w:rPr/>
        <w:t>los</w:t>
      </w:r>
      <w:r>
        <w:rPr>
          <w:spacing w:val="39"/>
        </w:rPr>
        <w:t> </w:t>
      </w:r>
      <w:r>
        <w:rPr/>
        <w:t>Tribunales</w:t>
      </w:r>
      <w:r>
        <w:rPr>
          <w:spacing w:val="40"/>
        </w:rPr>
        <w:t> </w:t>
      </w:r>
      <w:r>
        <w:rPr/>
        <w:t>garantizarán</w:t>
      </w:r>
      <w:r>
        <w:rPr>
          <w:spacing w:val="38"/>
        </w:rPr>
        <w:t> </w:t>
      </w:r>
      <w:r>
        <w:rPr/>
        <w:t>su</w:t>
      </w:r>
      <w:r>
        <w:rPr>
          <w:spacing w:val="40"/>
        </w:rPr>
        <w:t> </w:t>
      </w:r>
      <w:r>
        <w:rPr/>
        <w:t>fidelidad, integridad, reproducción, conservación y resguardo.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338" w:right="336" w:firstLine="288"/>
        <w:jc w:val="both"/>
      </w:pPr>
      <w:bookmarkStart w:name="Artículo_713" w:id="915"/>
      <w:bookmarkEnd w:id="915"/>
      <w:r>
        <w:rPr/>
      </w:r>
      <w:r>
        <w:rPr>
          <w:rFonts w:ascii="Arial" w:hAnsi="Arial"/>
          <w:b/>
        </w:rPr>
        <w:t>Artículo 713.- </w:t>
      </w:r>
      <w:r>
        <w:rPr/>
        <w:t>En las audiencias que</w:t>
      </w:r>
      <w:r>
        <w:rPr>
          <w:spacing w:val="-1"/>
        </w:rPr>
        <w:t> </w:t>
      </w:r>
      <w:r>
        <w:rPr/>
        <w:t>se</w:t>
      </w:r>
      <w:r>
        <w:rPr>
          <w:spacing w:val="-1"/>
        </w:rPr>
        <w:t> </w:t>
      </w:r>
      <w:r>
        <w:rPr/>
        <w:t>celebren</w:t>
      </w:r>
      <w:r>
        <w:rPr>
          <w:spacing w:val="-1"/>
        </w:rPr>
        <w:t> </w:t>
      </w:r>
      <w:r>
        <w:rPr/>
        <w:t>se</w:t>
      </w:r>
      <w:r>
        <w:rPr>
          <w:spacing w:val="-1"/>
        </w:rPr>
        <w:t> </w:t>
      </w:r>
      <w:r>
        <w:rPr/>
        <w:t>requerirá</w:t>
      </w:r>
      <w:r>
        <w:rPr>
          <w:spacing w:val="-1"/>
        </w:rPr>
        <w:t> </w:t>
      </w:r>
      <w:r>
        <w:rPr/>
        <w:t>de</w:t>
      </w:r>
      <w:r>
        <w:rPr>
          <w:spacing w:val="-1"/>
        </w:rPr>
        <w:t> </w:t>
      </w:r>
      <w:r>
        <w:rPr/>
        <w:t>la</w:t>
      </w:r>
      <w:r>
        <w:rPr>
          <w:spacing w:val="-1"/>
        </w:rPr>
        <w:t> </w:t>
      </w:r>
      <w:r>
        <w:rPr/>
        <w:t>presencia</w:t>
      </w:r>
      <w:r>
        <w:rPr>
          <w:spacing w:val="-1"/>
        </w:rPr>
        <w:t> </w:t>
      </w:r>
      <w:r>
        <w:rPr/>
        <w:t>física</w:t>
      </w:r>
      <w:r>
        <w:rPr>
          <w:spacing w:val="-1"/>
        </w:rPr>
        <w:t> </w:t>
      </w:r>
      <w:r>
        <w:rPr/>
        <w:t>de las partes o de sus representantes o apoderados, salvo disposición en contrario de la Ley.</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05-06-1970.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338" w:right="344" w:firstLine="288"/>
        <w:jc w:val="both"/>
      </w:pPr>
      <w:bookmarkStart w:name="Artículo_714" w:id="916"/>
      <w:bookmarkEnd w:id="916"/>
      <w:r>
        <w:rPr/>
      </w:r>
      <w:r>
        <w:rPr>
          <w:rFonts w:ascii="Arial" w:hAnsi="Arial"/>
          <w:b/>
        </w:rPr>
        <w:t>Artículo 714.- </w:t>
      </w:r>
      <w:r>
        <w:rPr/>
        <w:t>Las actuaciones de los Tribunales, del Centro Federal de Conciliación y Registro Laboral y</w:t>
      </w:r>
      <w:r>
        <w:rPr>
          <w:spacing w:val="-2"/>
        </w:rPr>
        <w:t> </w:t>
      </w:r>
      <w:r>
        <w:rPr/>
        <w:t>de los</w:t>
      </w:r>
      <w:r>
        <w:rPr>
          <w:spacing w:val="-1"/>
        </w:rPr>
        <w:t> </w:t>
      </w:r>
      <w:r>
        <w:rPr/>
        <w:t>Centros</w:t>
      </w:r>
      <w:r>
        <w:rPr>
          <w:spacing w:val="-1"/>
        </w:rPr>
        <w:t> </w:t>
      </w:r>
      <w:r>
        <w:rPr/>
        <w:t>de</w:t>
      </w:r>
      <w:r>
        <w:rPr>
          <w:spacing w:val="-2"/>
        </w:rPr>
        <w:t> </w:t>
      </w:r>
      <w:r>
        <w:rPr/>
        <w:t>Conciliación Locales deben practicarse en días y</w:t>
      </w:r>
      <w:r>
        <w:rPr>
          <w:spacing w:val="-2"/>
        </w:rPr>
        <w:t> </w:t>
      </w:r>
      <w:r>
        <w:rPr/>
        <w:t>horas</w:t>
      </w:r>
      <w:r>
        <w:rPr>
          <w:spacing w:val="-1"/>
        </w:rPr>
        <w:t> </w:t>
      </w:r>
      <w:r>
        <w:rPr/>
        <w:t>hábiles,</w:t>
      </w:r>
      <w:r>
        <w:rPr>
          <w:spacing w:val="-2"/>
        </w:rPr>
        <w:t> </w:t>
      </w:r>
      <w:r>
        <w:rPr/>
        <w:t>bajo</w:t>
      </w:r>
      <w:r>
        <w:rPr>
          <w:spacing w:val="-2"/>
        </w:rPr>
        <w:t> </w:t>
      </w:r>
      <w:r>
        <w:rPr/>
        <w:t>pena de nulidad, siempre que esta Ley no disponga otra cosa.</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8" w:firstLine="288"/>
        <w:jc w:val="both"/>
      </w:pPr>
      <w:bookmarkStart w:name="Artículo_715" w:id="917"/>
      <w:bookmarkEnd w:id="917"/>
      <w:r>
        <w:rPr/>
      </w:r>
      <w:r>
        <w:rPr>
          <w:rFonts w:ascii="Arial" w:hAnsi="Arial"/>
          <w:b/>
        </w:rPr>
        <w:t>Artículo 715.- </w:t>
      </w:r>
      <w:r>
        <w:rPr/>
        <w:t>Son días hábiles todos los del año con excepción de los sábados y domingos, los de descanso obligatorio, los festivos que señale el calendario oficial y aquéllos en que las autoridades laborales señaladas en el artículo anterior suspendan sus labores.</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firstLine="288"/>
      </w:pPr>
      <w:bookmarkStart w:name="Artículo_716" w:id="918"/>
      <w:bookmarkEnd w:id="918"/>
      <w:r>
        <w:rPr/>
      </w:r>
      <w:r>
        <w:rPr>
          <w:rFonts w:ascii="Arial" w:hAnsi="Arial"/>
          <w:b/>
        </w:rPr>
        <w:t>Artículo</w:t>
      </w:r>
      <w:r>
        <w:rPr>
          <w:rFonts w:ascii="Arial" w:hAnsi="Arial"/>
          <w:b/>
          <w:spacing w:val="27"/>
        </w:rPr>
        <w:t> </w:t>
      </w:r>
      <w:r>
        <w:rPr>
          <w:rFonts w:ascii="Arial" w:hAnsi="Arial"/>
          <w:b/>
        </w:rPr>
        <w:t>716.-</w:t>
      </w:r>
      <w:r>
        <w:rPr>
          <w:rFonts w:ascii="Arial" w:hAnsi="Arial"/>
          <w:b/>
          <w:spacing w:val="25"/>
        </w:rPr>
        <w:t> </w:t>
      </w:r>
      <w:r>
        <w:rPr/>
        <w:t>Son</w:t>
      </w:r>
      <w:r>
        <w:rPr>
          <w:spacing w:val="26"/>
        </w:rPr>
        <w:t> </w:t>
      </w:r>
      <w:r>
        <w:rPr/>
        <w:t>horas</w:t>
      </w:r>
      <w:r>
        <w:rPr>
          <w:spacing w:val="30"/>
        </w:rPr>
        <w:t> </w:t>
      </w:r>
      <w:r>
        <w:rPr/>
        <w:t>hábiles</w:t>
      </w:r>
      <w:r>
        <w:rPr>
          <w:spacing w:val="27"/>
        </w:rPr>
        <w:t> </w:t>
      </w:r>
      <w:r>
        <w:rPr/>
        <w:t>las</w:t>
      </w:r>
      <w:r>
        <w:rPr>
          <w:spacing w:val="27"/>
        </w:rPr>
        <w:t> </w:t>
      </w:r>
      <w:r>
        <w:rPr/>
        <w:t>comprendidas</w:t>
      </w:r>
      <w:r>
        <w:rPr>
          <w:spacing w:val="30"/>
        </w:rPr>
        <w:t> </w:t>
      </w:r>
      <w:r>
        <w:rPr/>
        <w:t>entre</w:t>
      </w:r>
      <w:r>
        <w:rPr>
          <w:spacing w:val="26"/>
        </w:rPr>
        <w:t> </w:t>
      </w:r>
      <w:r>
        <w:rPr/>
        <w:t>las</w:t>
      </w:r>
      <w:r>
        <w:rPr>
          <w:spacing w:val="25"/>
        </w:rPr>
        <w:t> </w:t>
      </w:r>
      <w:r>
        <w:rPr/>
        <w:t>siete</w:t>
      </w:r>
      <w:r>
        <w:rPr>
          <w:spacing w:val="29"/>
        </w:rPr>
        <w:t> </w:t>
      </w:r>
      <w:r>
        <w:rPr/>
        <w:t>y</w:t>
      </w:r>
      <w:r>
        <w:rPr>
          <w:spacing w:val="24"/>
        </w:rPr>
        <w:t> </w:t>
      </w:r>
      <w:r>
        <w:rPr/>
        <w:t>las</w:t>
      </w:r>
      <w:r>
        <w:rPr>
          <w:spacing w:val="27"/>
        </w:rPr>
        <w:t> </w:t>
      </w:r>
      <w:r>
        <w:rPr/>
        <w:t>diecinueve</w:t>
      </w:r>
      <w:r>
        <w:rPr>
          <w:spacing w:val="26"/>
        </w:rPr>
        <w:t> </w:t>
      </w:r>
      <w:r>
        <w:rPr/>
        <w:t>horas,</w:t>
      </w:r>
      <w:r>
        <w:rPr>
          <w:spacing w:val="24"/>
        </w:rPr>
        <w:t> </w:t>
      </w:r>
      <w:r>
        <w:rPr/>
        <w:t>salvo</w:t>
      </w:r>
      <w:r>
        <w:rPr>
          <w:spacing w:val="26"/>
        </w:rPr>
        <w:t> </w:t>
      </w:r>
      <w:r>
        <w:rPr/>
        <w:t>el procedimiento de huelga, en el que todos los días y horas son hábiles.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338" w:right="338" w:firstLine="288"/>
        <w:jc w:val="both"/>
      </w:pPr>
      <w:bookmarkStart w:name="Artículo_717" w:id="919"/>
      <w:bookmarkEnd w:id="919"/>
      <w:r>
        <w:rPr/>
      </w:r>
      <w:r>
        <w:rPr>
          <w:rFonts w:ascii="Arial" w:hAnsi="Arial"/>
          <w:b/>
        </w:rPr>
        <w:t>Artículo 717.- </w:t>
      </w:r>
      <w:r>
        <w:rPr/>
        <w:t>Los Tribunales, el Centro Federal de Conciliación y Registro Laboral y los Centros de Conciliación Locales pueden habilitar los días y horas inhábiles para que se practiquen diligencias, cuando haya causa justificada, expresando concreta y claramente cuál es ésta, así como las diligencias que hayan de practicarse.</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34" w:firstLine="288"/>
        <w:jc w:val="both"/>
      </w:pPr>
      <w:bookmarkStart w:name="Artículo_718" w:id="920"/>
      <w:bookmarkEnd w:id="920"/>
      <w:r>
        <w:rPr/>
      </w:r>
      <w:r>
        <w:rPr>
          <w:rFonts w:ascii="Arial" w:hAnsi="Arial"/>
          <w:b/>
        </w:rPr>
        <w:t>Artículo 718.- </w:t>
      </w:r>
      <w:r>
        <w:rPr/>
        <w:t>La audiencia o diligencia que se inicie en día y hora hábil podrá continuarse hasta su terminación, sin suspenderse y sin necesidad de habilitación expresa. En caso de que se suspenda deberá continuarse el siguiente día hábil; el Tribunal hará constar en autos la razón de la suspensión.</w:t>
      </w:r>
    </w:p>
    <w:p>
      <w:pPr>
        <w:spacing w:line="178"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35" w:firstLine="288"/>
        <w:jc w:val="both"/>
      </w:pPr>
      <w:bookmarkStart w:name="Artículo_719" w:id="921"/>
      <w:bookmarkEnd w:id="921"/>
      <w:r>
        <w:rPr/>
      </w:r>
      <w:r>
        <w:rPr>
          <w:rFonts w:ascii="Arial" w:hAnsi="Arial"/>
          <w:b/>
        </w:rPr>
        <w:t>Artículo 719.- </w:t>
      </w:r>
      <w:r>
        <w:rPr/>
        <w:t>Cuando en la fecha señalada no se llevare a cabo la práctica de alguna diligencia, el Tribunal hará constar en autos la razón por la cual no se practicó</w:t>
      </w:r>
      <w:r>
        <w:rPr>
          <w:spacing w:val="10"/>
        </w:rPr>
        <w:t> </w:t>
      </w:r>
      <w:r>
        <w:rPr/>
        <w:t>y señalará en el mismo acuerdo, el día</w:t>
      </w:r>
      <w:r>
        <w:rPr>
          <w:spacing w:val="40"/>
        </w:rPr>
        <w:t> </w:t>
      </w:r>
      <w:r>
        <w:rPr/>
        <w:t>y hora para que tenga lugar la misma.</w:t>
      </w:r>
    </w:p>
    <w:p>
      <w:pPr>
        <w:spacing w:line="179"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39" w:firstLine="288"/>
        <w:jc w:val="both"/>
      </w:pPr>
      <w:bookmarkStart w:name="Artículo_720" w:id="922"/>
      <w:bookmarkEnd w:id="922"/>
      <w:r>
        <w:rPr/>
      </w:r>
      <w:r>
        <w:rPr>
          <w:rFonts w:ascii="Arial" w:hAnsi="Arial"/>
          <w:b/>
        </w:rPr>
        <w:t>Artículo 720.- </w:t>
      </w:r>
      <w:r>
        <w:rPr/>
        <w:t>Las audiencias serán públicas. El Tribunal podrá ordenar, de oficio o a instancia de parte, que</w:t>
      </w:r>
      <w:r>
        <w:rPr>
          <w:spacing w:val="-1"/>
        </w:rPr>
        <w:t> </w:t>
      </w:r>
      <w:r>
        <w:rPr/>
        <w:t>sean a</w:t>
      </w:r>
      <w:r>
        <w:rPr>
          <w:spacing w:val="-1"/>
        </w:rPr>
        <w:t> </w:t>
      </w:r>
      <w:r>
        <w:rPr/>
        <w:t>puerta cerrada, cuando</w:t>
      </w:r>
      <w:r>
        <w:rPr>
          <w:spacing w:val="-2"/>
        </w:rPr>
        <w:t> </w:t>
      </w:r>
      <w:r>
        <w:rPr/>
        <w:t>se puedan transgredir el</w:t>
      </w:r>
      <w:r>
        <w:rPr>
          <w:spacing w:val="-2"/>
        </w:rPr>
        <w:t> </w:t>
      </w:r>
      <w:r>
        <w:rPr/>
        <w:t>derecho a la intimidad o</w:t>
      </w:r>
      <w:r>
        <w:rPr>
          <w:spacing w:val="-1"/>
        </w:rPr>
        <w:t> </w:t>
      </w:r>
      <w:r>
        <w:rPr/>
        <w:t>tratándose de </w:t>
      </w:r>
      <w:r>
        <w:rPr>
          <w:spacing w:val="-2"/>
        </w:rPr>
        <w:t>menores.</w:t>
      </w:r>
    </w:p>
    <w:p>
      <w:pPr>
        <w:pStyle w:val="BodyText"/>
        <w:spacing w:before="227"/>
        <w:ind w:left="338" w:right="347" w:firstLine="288"/>
        <w:jc w:val="both"/>
      </w:pPr>
      <w:r>
        <w:rPr/>
        <w:t>Las audiencias serán presididas íntegramente por el juez; de incumplirse esta condición las actuaciones respectivas serán nulas de pleno derecho. Al inicio de las audiencias, el secretario instructor</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pPr>
      <w:r>
        <w:rPr/>
        <w:t>del Tribunal hará constar oralmente en el registro la fecha, hora y lugar de realización, el nombre de los servidores públicos del Tribunal, y demás personas que intervendrán.</w:t>
      </w:r>
    </w:p>
    <w:p>
      <w:pPr>
        <w:pStyle w:val="BodyText"/>
        <w:spacing w:before="1"/>
      </w:pPr>
    </w:p>
    <w:p>
      <w:pPr>
        <w:pStyle w:val="BodyText"/>
        <w:spacing w:before="1"/>
        <w:ind w:left="338" w:right="345" w:firstLine="288"/>
        <w:jc w:val="both"/>
      </w:pPr>
      <w:r>
        <w:rPr/>
        <w:t>Las partes y los terceros que intervengan en el desarrollo de las audiencias deberán rendir previamente</w:t>
      </w:r>
      <w:r>
        <w:rPr>
          <w:spacing w:val="-2"/>
        </w:rPr>
        <w:t> </w:t>
      </w:r>
      <w:r>
        <w:rPr/>
        <w:t>protesta de que</w:t>
      </w:r>
      <w:r>
        <w:rPr>
          <w:spacing w:val="-2"/>
        </w:rPr>
        <w:t> </w:t>
      </w:r>
      <w:r>
        <w:rPr/>
        <w:t>se</w:t>
      </w:r>
      <w:r>
        <w:rPr>
          <w:spacing w:val="-2"/>
        </w:rPr>
        <w:t> </w:t>
      </w:r>
      <w:r>
        <w:rPr/>
        <w:t>conducirán</w:t>
      </w:r>
      <w:r>
        <w:rPr>
          <w:spacing w:val="-2"/>
        </w:rPr>
        <w:t> </w:t>
      </w:r>
      <w:r>
        <w:rPr/>
        <w:t>con verdad.</w:t>
      </w:r>
      <w:r>
        <w:rPr>
          <w:spacing w:val="-2"/>
        </w:rPr>
        <w:t> </w:t>
      </w:r>
      <w:r>
        <w:rPr/>
        <w:t>Para</w:t>
      </w:r>
      <w:r>
        <w:rPr>
          <w:spacing w:val="-2"/>
        </w:rPr>
        <w:t> </w:t>
      </w:r>
      <w:r>
        <w:rPr/>
        <w:t>tal</w:t>
      </w:r>
      <w:r>
        <w:rPr>
          <w:spacing w:val="-1"/>
        </w:rPr>
        <w:t> </w:t>
      </w:r>
      <w:r>
        <w:rPr/>
        <w:t>efecto, el</w:t>
      </w:r>
      <w:r>
        <w:rPr>
          <w:spacing w:val="-3"/>
        </w:rPr>
        <w:t> </w:t>
      </w:r>
      <w:r>
        <w:rPr/>
        <w:t>secretario instructor les</w:t>
      </w:r>
      <w:r>
        <w:rPr>
          <w:spacing w:val="-1"/>
        </w:rPr>
        <w:t> </w:t>
      </w:r>
      <w:r>
        <w:rPr/>
        <w:t>tomará protesta, apercibiéndolos de las penas que se imponen a quienes declaran con falsedad.</w:t>
      </w:r>
    </w:p>
    <w:p>
      <w:pPr>
        <w:pStyle w:val="BodyText"/>
        <w:spacing w:before="229"/>
        <w:ind w:left="626"/>
      </w:pPr>
      <w:r>
        <w:rPr/>
        <w:t>La</w:t>
      </w:r>
      <w:r>
        <w:rPr>
          <w:spacing w:val="-9"/>
        </w:rPr>
        <w:t> </w:t>
      </w:r>
      <w:r>
        <w:rPr/>
        <w:t>intervención</w:t>
      </w:r>
      <w:r>
        <w:rPr>
          <w:spacing w:val="-6"/>
        </w:rPr>
        <w:t> </w:t>
      </w:r>
      <w:r>
        <w:rPr/>
        <w:t>de</w:t>
      </w:r>
      <w:r>
        <w:rPr>
          <w:spacing w:val="-6"/>
        </w:rPr>
        <w:t> </w:t>
      </w:r>
      <w:r>
        <w:rPr/>
        <w:t>quienes</w:t>
      </w:r>
      <w:r>
        <w:rPr>
          <w:spacing w:val="-7"/>
        </w:rPr>
        <w:t> </w:t>
      </w:r>
      <w:r>
        <w:rPr/>
        <w:t>participen</w:t>
      </w:r>
      <w:r>
        <w:rPr>
          <w:spacing w:val="-5"/>
        </w:rPr>
        <w:t> </w:t>
      </w:r>
      <w:r>
        <w:rPr/>
        <w:t>en</w:t>
      </w:r>
      <w:r>
        <w:rPr>
          <w:spacing w:val="-7"/>
        </w:rPr>
        <w:t> </w:t>
      </w:r>
      <w:r>
        <w:rPr/>
        <w:t>ellas</w:t>
      </w:r>
      <w:r>
        <w:rPr>
          <w:spacing w:val="-6"/>
        </w:rPr>
        <w:t> </w:t>
      </w:r>
      <w:r>
        <w:rPr/>
        <w:t>será</w:t>
      </w:r>
      <w:r>
        <w:rPr>
          <w:spacing w:val="-6"/>
        </w:rPr>
        <w:t> </w:t>
      </w:r>
      <w:r>
        <w:rPr/>
        <w:t>en</w:t>
      </w:r>
      <w:r>
        <w:rPr>
          <w:spacing w:val="-8"/>
        </w:rPr>
        <w:t> </w:t>
      </w:r>
      <w:r>
        <w:rPr/>
        <w:t>forma</w:t>
      </w:r>
      <w:r>
        <w:rPr>
          <w:spacing w:val="-7"/>
        </w:rPr>
        <w:t> </w:t>
      </w:r>
      <w:r>
        <w:rPr>
          <w:spacing w:val="-2"/>
        </w:rPr>
        <w:t>oral.</w:t>
      </w:r>
    </w:p>
    <w:p>
      <w:pPr>
        <w:pStyle w:val="BodyText"/>
      </w:pPr>
    </w:p>
    <w:p>
      <w:pPr>
        <w:pStyle w:val="BodyText"/>
        <w:spacing w:before="1"/>
        <w:ind w:left="338" w:right="340" w:firstLine="288"/>
        <w:jc w:val="both"/>
      </w:pPr>
      <w:r>
        <w:rPr/>
        <w:t>El juez recibirá por sí mismo las declaraciones y presidirá todos los actos de prueba bajo su más estricta y personal responsabilidad; ordenará la práctica de las pruebas, dirigirá el debate, exigirá el cumplimiento de las formalidades que correspondan, moderará la discusión, impedirá que las</w:t>
      </w:r>
      <w:r>
        <w:rPr>
          <w:spacing w:val="40"/>
        </w:rPr>
        <w:t> </w:t>
      </w:r>
      <w:r>
        <w:rPr/>
        <w:t>alegaciones se desvíen hacia aspectos no pertinentes o inadmisibles y podrá limitar el tiempo y número de ocasiones en que intervengan los interesados con base en criterios de equidad y agilidad procesal.</w:t>
      </w:r>
    </w:p>
    <w:p>
      <w:pPr>
        <w:pStyle w:val="BodyText"/>
      </w:pPr>
    </w:p>
    <w:p>
      <w:pPr>
        <w:pStyle w:val="BodyText"/>
        <w:ind w:left="338" w:right="346" w:firstLine="288"/>
        <w:jc w:val="both"/>
      </w:pPr>
      <w:r>
        <w:rPr/>
        <w:t>El juez determinará el inicio y la conclusión de cada una de las etapas de la audiencia, por lo que se tendrán por precluídos los derechos procesales que debieron ejercerse en cada una de ellas.</w:t>
      </w:r>
    </w:p>
    <w:p>
      <w:pPr>
        <w:pStyle w:val="BodyText"/>
        <w:spacing w:before="229"/>
        <w:ind w:left="338" w:right="349" w:firstLine="288"/>
        <w:jc w:val="both"/>
      </w:pPr>
      <w:r>
        <w:rPr/>
        <w:t>Una vez que los testigos, peritos o partes concluyan su intervención, a petición de ellos podrán retirarse del Tribunal cuando el juez lo autorice.</w:t>
      </w:r>
    </w:p>
    <w:p>
      <w:pPr>
        <w:pStyle w:val="BodyText"/>
        <w:spacing w:before="1"/>
      </w:pPr>
    </w:p>
    <w:p>
      <w:pPr>
        <w:pStyle w:val="BodyText"/>
        <w:ind w:left="626"/>
      </w:pPr>
      <w:r>
        <w:rPr/>
        <w:t>Al</w:t>
      </w:r>
      <w:r>
        <w:rPr>
          <w:spacing w:val="-8"/>
        </w:rPr>
        <w:t> </w:t>
      </w:r>
      <w:r>
        <w:rPr/>
        <w:t>terminar</w:t>
      </w:r>
      <w:r>
        <w:rPr>
          <w:spacing w:val="-7"/>
        </w:rPr>
        <w:t> </w:t>
      </w:r>
      <w:r>
        <w:rPr/>
        <w:t>las</w:t>
      </w:r>
      <w:r>
        <w:rPr>
          <w:spacing w:val="-6"/>
        </w:rPr>
        <w:t> </w:t>
      </w:r>
      <w:r>
        <w:rPr/>
        <w:t>audiencias,</w:t>
      </w:r>
      <w:r>
        <w:rPr>
          <w:spacing w:val="-5"/>
        </w:rPr>
        <w:t> </w:t>
      </w:r>
      <w:r>
        <w:rPr/>
        <w:t>se</w:t>
      </w:r>
      <w:r>
        <w:rPr>
          <w:spacing w:val="-7"/>
        </w:rPr>
        <w:t> </w:t>
      </w:r>
      <w:r>
        <w:rPr/>
        <w:t>levantará</w:t>
      </w:r>
      <w:r>
        <w:rPr>
          <w:spacing w:val="-6"/>
        </w:rPr>
        <w:t> </w:t>
      </w:r>
      <w:r>
        <w:rPr/>
        <w:t>acta</w:t>
      </w:r>
      <w:r>
        <w:rPr>
          <w:spacing w:val="-8"/>
        </w:rPr>
        <w:t> </w:t>
      </w:r>
      <w:r>
        <w:rPr/>
        <w:t>que</w:t>
      </w:r>
      <w:r>
        <w:rPr>
          <w:spacing w:val="-8"/>
        </w:rPr>
        <w:t> </w:t>
      </w:r>
      <w:r>
        <w:rPr/>
        <w:t>deberá</w:t>
      </w:r>
      <w:r>
        <w:rPr>
          <w:spacing w:val="-7"/>
        </w:rPr>
        <w:t> </w:t>
      </w:r>
      <w:r>
        <w:rPr/>
        <w:t>contener,</w:t>
      </w:r>
      <w:r>
        <w:rPr>
          <w:spacing w:val="-7"/>
        </w:rPr>
        <w:t> </w:t>
      </w:r>
      <w:r>
        <w:rPr/>
        <w:t>cuando</w:t>
      </w:r>
      <w:r>
        <w:rPr>
          <w:spacing w:val="-7"/>
        </w:rPr>
        <w:t> </w:t>
      </w:r>
      <w:r>
        <w:rPr>
          <w:spacing w:val="-2"/>
        </w:rPr>
        <w:t>menos:</w:t>
      </w:r>
    </w:p>
    <w:p>
      <w:pPr>
        <w:pStyle w:val="ListParagraph"/>
        <w:numPr>
          <w:ilvl w:val="0"/>
          <w:numId w:val="290"/>
        </w:numPr>
        <w:tabs>
          <w:tab w:pos="1195" w:val="left" w:leader="none"/>
        </w:tabs>
        <w:spacing w:line="240" w:lineRule="auto" w:before="227" w:after="0"/>
        <w:ind w:left="1195" w:right="0" w:hanging="569"/>
        <w:jc w:val="left"/>
        <w:rPr>
          <w:sz w:val="20"/>
        </w:rPr>
      </w:pPr>
      <w:r>
        <w:rPr>
          <w:sz w:val="20"/>
        </w:rPr>
        <w:t>El</w:t>
      </w:r>
      <w:r>
        <w:rPr>
          <w:spacing w:val="-5"/>
          <w:sz w:val="20"/>
        </w:rPr>
        <w:t> </w:t>
      </w:r>
      <w:r>
        <w:rPr>
          <w:sz w:val="20"/>
        </w:rPr>
        <w:t>lugar,</w:t>
      </w:r>
      <w:r>
        <w:rPr>
          <w:spacing w:val="-5"/>
          <w:sz w:val="20"/>
        </w:rPr>
        <w:t> </w:t>
      </w:r>
      <w:r>
        <w:rPr>
          <w:sz w:val="20"/>
        </w:rPr>
        <w:t>la</w:t>
      </w:r>
      <w:r>
        <w:rPr>
          <w:spacing w:val="-5"/>
          <w:sz w:val="20"/>
        </w:rPr>
        <w:t> </w:t>
      </w:r>
      <w:r>
        <w:rPr>
          <w:sz w:val="20"/>
        </w:rPr>
        <w:t>fecha</w:t>
      </w:r>
      <w:r>
        <w:rPr>
          <w:spacing w:val="-2"/>
          <w:sz w:val="20"/>
        </w:rPr>
        <w:t> </w:t>
      </w:r>
      <w:r>
        <w:rPr>
          <w:sz w:val="20"/>
        </w:rPr>
        <w:t>y</w:t>
      </w:r>
      <w:r>
        <w:rPr>
          <w:spacing w:val="-8"/>
          <w:sz w:val="20"/>
        </w:rPr>
        <w:t> </w:t>
      </w:r>
      <w:r>
        <w:rPr>
          <w:sz w:val="20"/>
        </w:rPr>
        <w:t>el</w:t>
      </w:r>
      <w:r>
        <w:rPr>
          <w:spacing w:val="-6"/>
          <w:sz w:val="20"/>
        </w:rPr>
        <w:t> </w:t>
      </w:r>
      <w:r>
        <w:rPr>
          <w:sz w:val="20"/>
        </w:rPr>
        <w:t>expediente</w:t>
      </w:r>
      <w:r>
        <w:rPr>
          <w:spacing w:val="-5"/>
          <w:sz w:val="20"/>
        </w:rPr>
        <w:t> </w:t>
      </w:r>
      <w:r>
        <w:rPr>
          <w:sz w:val="20"/>
        </w:rPr>
        <w:t>al</w:t>
      </w:r>
      <w:r>
        <w:rPr>
          <w:spacing w:val="-4"/>
          <w:sz w:val="20"/>
        </w:rPr>
        <w:t> </w:t>
      </w:r>
      <w:r>
        <w:rPr>
          <w:sz w:val="20"/>
        </w:rPr>
        <w:t>que</w:t>
      </w:r>
      <w:r>
        <w:rPr>
          <w:spacing w:val="-7"/>
          <w:sz w:val="20"/>
        </w:rPr>
        <w:t> </w:t>
      </w:r>
      <w:r>
        <w:rPr>
          <w:spacing w:val="-2"/>
          <w:sz w:val="20"/>
        </w:rPr>
        <w:t>corresponde;</w:t>
      </w:r>
    </w:p>
    <w:p>
      <w:pPr>
        <w:pStyle w:val="BodyText"/>
      </w:pPr>
    </w:p>
    <w:p>
      <w:pPr>
        <w:pStyle w:val="ListParagraph"/>
        <w:numPr>
          <w:ilvl w:val="0"/>
          <w:numId w:val="290"/>
        </w:numPr>
        <w:tabs>
          <w:tab w:pos="1195" w:val="left" w:leader="none"/>
        </w:tabs>
        <w:spacing w:line="242" w:lineRule="auto" w:before="0" w:after="0"/>
        <w:ind w:left="1195" w:right="343" w:hanging="569"/>
        <w:jc w:val="left"/>
        <w:rPr>
          <w:sz w:val="20"/>
        </w:rPr>
      </w:pPr>
      <w:r>
        <w:rPr>
          <w:sz w:val="20"/>
        </w:rPr>
        <w:t>El</w:t>
      </w:r>
      <w:r>
        <w:rPr>
          <w:spacing w:val="38"/>
          <w:sz w:val="20"/>
        </w:rPr>
        <w:t> </w:t>
      </w:r>
      <w:r>
        <w:rPr>
          <w:sz w:val="20"/>
        </w:rPr>
        <w:t>nombre</w:t>
      </w:r>
      <w:r>
        <w:rPr>
          <w:spacing w:val="36"/>
          <w:sz w:val="20"/>
        </w:rPr>
        <w:t> </w:t>
      </w:r>
      <w:r>
        <w:rPr>
          <w:sz w:val="20"/>
        </w:rPr>
        <w:t>de</w:t>
      </w:r>
      <w:r>
        <w:rPr>
          <w:spacing w:val="38"/>
          <w:sz w:val="20"/>
        </w:rPr>
        <w:t> </w:t>
      </w:r>
      <w:r>
        <w:rPr>
          <w:sz w:val="20"/>
        </w:rPr>
        <w:t>quienes</w:t>
      </w:r>
      <w:r>
        <w:rPr>
          <w:spacing w:val="37"/>
          <w:sz w:val="20"/>
        </w:rPr>
        <w:t> </w:t>
      </w:r>
      <w:r>
        <w:rPr>
          <w:sz w:val="20"/>
        </w:rPr>
        <w:t>intervienen</w:t>
      </w:r>
      <w:r>
        <w:rPr>
          <w:spacing w:val="40"/>
          <w:sz w:val="20"/>
        </w:rPr>
        <w:t> </w:t>
      </w:r>
      <w:r>
        <w:rPr>
          <w:sz w:val="20"/>
        </w:rPr>
        <w:t>y</w:t>
      </w:r>
      <w:r>
        <w:rPr>
          <w:spacing w:val="35"/>
          <w:sz w:val="20"/>
        </w:rPr>
        <w:t> </w:t>
      </w:r>
      <w:r>
        <w:rPr>
          <w:sz w:val="20"/>
        </w:rPr>
        <w:t>la</w:t>
      </w:r>
      <w:r>
        <w:rPr>
          <w:spacing w:val="36"/>
          <w:sz w:val="20"/>
        </w:rPr>
        <w:t> </w:t>
      </w:r>
      <w:r>
        <w:rPr>
          <w:sz w:val="20"/>
        </w:rPr>
        <w:t>constancia</w:t>
      </w:r>
      <w:r>
        <w:rPr>
          <w:spacing w:val="38"/>
          <w:sz w:val="20"/>
        </w:rPr>
        <w:t> </w:t>
      </w:r>
      <w:r>
        <w:rPr>
          <w:sz w:val="20"/>
        </w:rPr>
        <w:t>de</w:t>
      </w:r>
      <w:r>
        <w:rPr>
          <w:spacing w:val="38"/>
          <w:sz w:val="20"/>
        </w:rPr>
        <w:t> </w:t>
      </w:r>
      <w:r>
        <w:rPr>
          <w:sz w:val="20"/>
        </w:rPr>
        <w:t>la</w:t>
      </w:r>
      <w:r>
        <w:rPr>
          <w:spacing w:val="38"/>
          <w:sz w:val="20"/>
        </w:rPr>
        <w:t> </w:t>
      </w:r>
      <w:r>
        <w:rPr>
          <w:sz w:val="20"/>
        </w:rPr>
        <w:t>inasistencia</w:t>
      </w:r>
      <w:r>
        <w:rPr>
          <w:spacing w:val="38"/>
          <w:sz w:val="20"/>
        </w:rPr>
        <w:t> </w:t>
      </w:r>
      <w:r>
        <w:rPr>
          <w:sz w:val="20"/>
        </w:rPr>
        <w:t>de</w:t>
      </w:r>
      <w:r>
        <w:rPr>
          <w:spacing w:val="38"/>
          <w:sz w:val="20"/>
        </w:rPr>
        <w:t> </w:t>
      </w:r>
      <w:r>
        <w:rPr>
          <w:sz w:val="20"/>
        </w:rPr>
        <w:t>los</w:t>
      </w:r>
      <w:r>
        <w:rPr>
          <w:spacing w:val="39"/>
          <w:sz w:val="20"/>
        </w:rPr>
        <w:t> </w:t>
      </w:r>
      <w:r>
        <w:rPr>
          <w:sz w:val="20"/>
        </w:rPr>
        <w:t>que</w:t>
      </w:r>
      <w:r>
        <w:rPr>
          <w:spacing w:val="38"/>
          <w:sz w:val="20"/>
        </w:rPr>
        <w:t> </w:t>
      </w:r>
      <w:r>
        <w:rPr>
          <w:sz w:val="20"/>
        </w:rPr>
        <w:t>debieron</w:t>
      </w:r>
      <w:r>
        <w:rPr>
          <w:spacing w:val="38"/>
          <w:sz w:val="20"/>
        </w:rPr>
        <w:t> </w:t>
      </w:r>
      <w:r>
        <w:rPr>
          <w:sz w:val="20"/>
        </w:rPr>
        <w:t>o pudieron estar presentes, indicándose la causa de la ausencia si se conoce;</w:t>
      </w:r>
    </w:p>
    <w:p>
      <w:pPr>
        <w:pStyle w:val="ListParagraph"/>
        <w:numPr>
          <w:ilvl w:val="0"/>
          <w:numId w:val="290"/>
        </w:numPr>
        <w:tabs>
          <w:tab w:pos="1195" w:val="left" w:leader="none"/>
        </w:tabs>
        <w:spacing w:line="240" w:lineRule="auto" w:before="227" w:after="0"/>
        <w:ind w:left="1195" w:right="0" w:hanging="569"/>
        <w:jc w:val="left"/>
        <w:rPr>
          <w:sz w:val="20"/>
        </w:rPr>
      </w:pPr>
      <w:r>
        <w:rPr>
          <w:sz w:val="20"/>
        </w:rPr>
        <w:t>Una</w:t>
      </w:r>
      <w:r>
        <w:rPr>
          <w:spacing w:val="-8"/>
          <w:sz w:val="20"/>
        </w:rPr>
        <w:t> </w:t>
      </w:r>
      <w:r>
        <w:rPr>
          <w:sz w:val="20"/>
        </w:rPr>
        <w:t>relación</w:t>
      </w:r>
      <w:r>
        <w:rPr>
          <w:spacing w:val="-9"/>
          <w:sz w:val="20"/>
        </w:rPr>
        <w:t> </w:t>
      </w:r>
      <w:r>
        <w:rPr>
          <w:sz w:val="20"/>
        </w:rPr>
        <w:t>sucinta</w:t>
      </w:r>
      <w:r>
        <w:rPr>
          <w:spacing w:val="-7"/>
          <w:sz w:val="20"/>
        </w:rPr>
        <w:t> </w:t>
      </w:r>
      <w:r>
        <w:rPr>
          <w:sz w:val="20"/>
        </w:rPr>
        <w:t>del</w:t>
      </w:r>
      <w:r>
        <w:rPr>
          <w:spacing w:val="-7"/>
          <w:sz w:val="20"/>
        </w:rPr>
        <w:t> </w:t>
      </w:r>
      <w:r>
        <w:rPr>
          <w:sz w:val="20"/>
        </w:rPr>
        <w:t>desarrollo</w:t>
      </w:r>
      <w:r>
        <w:rPr>
          <w:spacing w:val="-6"/>
          <w:sz w:val="20"/>
        </w:rPr>
        <w:t> </w:t>
      </w:r>
      <w:r>
        <w:rPr>
          <w:sz w:val="20"/>
        </w:rPr>
        <w:t>de</w:t>
      </w:r>
      <w:r>
        <w:rPr>
          <w:spacing w:val="-7"/>
          <w:sz w:val="20"/>
        </w:rPr>
        <w:t> </w:t>
      </w:r>
      <w:r>
        <w:rPr>
          <w:sz w:val="20"/>
        </w:rPr>
        <w:t>la</w:t>
      </w:r>
      <w:r>
        <w:rPr>
          <w:spacing w:val="-6"/>
          <w:sz w:val="20"/>
        </w:rPr>
        <w:t> </w:t>
      </w:r>
      <w:r>
        <w:rPr>
          <w:sz w:val="20"/>
        </w:rPr>
        <w:t>audiencia,</w:t>
      </w:r>
      <w:r>
        <w:rPr>
          <w:spacing w:val="-5"/>
          <w:sz w:val="20"/>
        </w:rPr>
        <w:t> </w:t>
      </w:r>
      <w:r>
        <w:rPr>
          <w:spacing w:val="-10"/>
          <w:sz w:val="20"/>
        </w:rPr>
        <w:t>y</w:t>
      </w:r>
    </w:p>
    <w:p>
      <w:pPr>
        <w:pStyle w:val="ListParagraph"/>
        <w:numPr>
          <w:ilvl w:val="0"/>
          <w:numId w:val="290"/>
        </w:numPr>
        <w:tabs>
          <w:tab w:pos="1195" w:val="left" w:leader="none"/>
        </w:tabs>
        <w:spacing w:line="240" w:lineRule="auto" w:before="229" w:after="0"/>
        <w:ind w:left="1195" w:right="0" w:hanging="569"/>
        <w:jc w:val="left"/>
        <w:rPr>
          <w:sz w:val="20"/>
        </w:rPr>
      </w:pPr>
      <w:r>
        <w:rPr>
          <w:sz w:val="20"/>
        </w:rPr>
        <w:t>La</w:t>
      </w:r>
      <w:r>
        <w:rPr>
          <w:spacing w:val="-6"/>
          <w:sz w:val="20"/>
        </w:rPr>
        <w:t> </w:t>
      </w:r>
      <w:r>
        <w:rPr>
          <w:sz w:val="20"/>
        </w:rPr>
        <w:t>firma</w:t>
      </w:r>
      <w:r>
        <w:rPr>
          <w:spacing w:val="-5"/>
          <w:sz w:val="20"/>
        </w:rPr>
        <w:t> </w:t>
      </w:r>
      <w:r>
        <w:rPr>
          <w:sz w:val="20"/>
        </w:rPr>
        <w:t>del</w:t>
      </w:r>
      <w:r>
        <w:rPr>
          <w:spacing w:val="-6"/>
          <w:sz w:val="20"/>
        </w:rPr>
        <w:t> </w:t>
      </w:r>
      <w:r>
        <w:rPr>
          <w:sz w:val="20"/>
        </w:rPr>
        <w:t>juez</w:t>
      </w:r>
      <w:r>
        <w:rPr>
          <w:spacing w:val="-4"/>
          <w:sz w:val="20"/>
        </w:rPr>
        <w:t> </w:t>
      </w:r>
      <w:r>
        <w:rPr>
          <w:sz w:val="20"/>
        </w:rPr>
        <w:t>y</w:t>
      </w:r>
      <w:r>
        <w:rPr>
          <w:spacing w:val="-8"/>
          <w:sz w:val="20"/>
        </w:rPr>
        <w:t> </w:t>
      </w:r>
      <w:r>
        <w:rPr>
          <w:sz w:val="20"/>
        </w:rPr>
        <w:t>secretario</w:t>
      </w:r>
      <w:r>
        <w:rPr>
          <w:spacing w:val="-6"/>
          <w:sz w:val="20"/>
        </w:rPr>
        <w:t> </w:t>
      </w:r>
      <w:r>
        <w:rPr>
          <w:spacing w:val="-2"/>
          <w:sz w:val="20"/>
        </w:rPr>
        <w:t>instructor.</w:t>
      </w:r>
    </w:p>
    <w:p>
      <w:pPr>
        <w:pStyle w:val="BodyText"/>
        <w:spacing w:before="3"/>
      </w:pPr>
    </w:p>
    <w:p>
      <w:pPr>
        <w:pStyle w:val="BodyText"/>
        <w:ind w:left="338" w:right="336" w:firstLine="288"/>
        <w:jc w:val="both"/>
      </w:pPr>
      <w:r>
        <w:rPr/>
        <w:t>El secretario instructor deberá certificar el medio en donde se encuentre registrada la audiencia respectiva, identificar dicho medio con el número de expediente y tomar las medidas necesarias para evitar que pueda alterarse.</w:t>
      </w:r>
    </w:p>
    <w:p>
      <w:pPr>
        <w:pStyle w:val="BodyText"/>
        <w:spacing w:before="229"/>
        <w:ind w:left="338" w:right="349" w:firstLine="288"/>
        <w:jc w:val="both"/>
      </w:pPr>
      <w:r>
        <w:rPr/>
        <w:t>Las partes podrán solicitar copia simple o certificada de las actas o copia en medio electrónico de los registros que obren en el procedimiento.</w:t>
      </w:r>
    </w:p>
    <w:p>
      <w:pPr>
        <w:pStyle w:val="BodyText"/>
        <w:spacing w:before="1"/>
      </w:pPr>
    </w:p>
    <w:p>
      <w:pPr>
        <w:pStyle w:val="BodyText"/>
        <w:spacing w:before="1"/>
        <w:ind w:left="338" w:right="340" w:firstLine="288"/>
        <w:jc w:val="both"/>
      </w:pPr>
      <w:r>
        <w:rPr/>
        <w:t>La conservación y resguardo de los registros estará a cargo del Tribunal que los haya generado, los que deberán contar con el respaldo necesario, que se certificará en los términos de este artículo.</w:t>
      </w:r>
    </w:p>
    <w:p>
      <w:pPr>
        <w:pStyle w:val="BodyText"/>
        <w:spacing w:before="229"/>
        <w:ind w:left="338" w:right="332" w:firstLine="288"/>
        <w:jc w:val="both"/>
      </w:pPr>
      <w:r>
        <w:rPr/>
        <w:t>El</w:t>
      </w:r>
      <w:r>
        <w:rPr>
          <w:spacing w:val="-3"/>
        </w:rPr>
        <w:t> </w:t>
      </w:r>
      <w:r>
        <w:rPr/>
        <w:t>juez</w:t>
      </w:r>
      <w:r>
        <w:rPr>
          <w:spacing w:val="-5"/>
        </w:rPr>
        <w:t> </w:t>
      </w:r>
      <w:r>
        <w:rPr/>
        <w:t>contará</w:t>
      </w:r>
      <w:r>
        <w:rPr>
          <w:spacing w:val="-4"/>
        </w:rPr>
        <w:t> </w:t>
      </w:r>
      <w:r>
        <w:rPr/>
        <w:t>con</w:t>
      </w:r>
      <w:r>
        <w:rPr>
          <w:spacing w:val="-2"/>
        </w:rPr>
        <w:t> </w:t>
      </w:r>
      <w:r>
        <w:rPr/>
        <w:t>las</w:t>
      </w:r>
      <w:r>
        <w:rPr>
          <w:spacing w:val="-3"/>
        </w:rPr>
        <w:t> </w:t>
      </w:r>
      <w:r>
        <w:rPr/>
        <w:t>más</w:t>
      </w:r>
      <w:r>
        <w:rPr>
          <w:spacing w:val="-3"/>
        </w:rPr>
        <w:t> </w:t>
      </w:r>
      <w:r>
        <w:rPr/>
        <w:t>amplias</w:t>
      </w:r>
      <w:r>
        <w:rPr>
          <w:spacing w:val="-3"/>
        </w:rPr>
        <w:t> </w:t>
      </w:r>
      <w:r>
        <w:rPr/>
        <w:t>facultades</w:t>
      </w:r>
      <w:r>
        <w:rPr>
          <w:spacing w:val="-1"/>
        </w:rPr>
        <w:t> </w:t>
      </w:r>
      <w:r>
        <w:rPr/>
        <w:t>disciplinarias</w:t>
      </w:r>
      <w:r>
        <w:rPr>
          <w:spacing w:val="-1"/>
        </w:rPr>
        <w:t> </w:t>
      </w:r>
      <w:r>
        <w:rPr/>
        <w:t>para</w:t>
      </w:r>
      <w:r>
        <w:rPr>
          <w:spacing w:val="-2"/>
        </w:rPr>
        <w:t> </w:t>
      </w:r>
      <w:r>
        <w:rPr/>
        <w:t>mantener</w:t>
      </w:r>
      <w:r>
        <w:rPr>
          <w:spacing w:val="-1"/>
        </w:rPr>
        <w:t> </w:t>
      </w:r>
      <w:r>
        <w:rPr/>
        <w:t>el</w:t>
      </w:r>
      <w:r>
        <w:rPr>
          <w:spacing w:val="-3"/>
        </w:rPr>
        <w:t> </w:t>
      </w:r>
      <w:r>
        <w:rPr/>
        <w:t>orden</w:t>
      </w:r>
      <w:r>
        <w:rPr>
          <w:spacing w:val="-2"/>
        </w:rPr>
        <w:t> </w:t>
      </w:r>
      <w:r>
        <w:rPr/>
        <w:t>durante el</w:t>
      </w:r>
      <w:r>
        <w:rPr>
          <w:spacing w:val="-3"/>
        </w:rPr>
        <w:t> </w:t>
      </w:r>
      <w:r>
        <w:rPr/>
        <w:t>debate y durante las audiencias, para lo cual podrá ejercer el poder de mando de la fuerza pública e imponer indistintamente las correcciones disciplinarias a que se refiere el artículo 729 de esta Ley.</w:t>
      </w:r>
    </w:p>
    <w:p>
      <w:pPr>
        <w:spacing w:line="180"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right="342" w:firstLine="288"/>
        <w:jc w:val="both"/>
      </w:pPr>
      <w:bookmarkStart w:name="Artículo_721" w:id="923"/>
      <w:bookmarkEnd w:id="923"/>
      <w:r>
        <w:rPr/>
      </w:r>
      <w:r>
        <w:rPr>
          <w:rFonts w:ascii="Arial" w:hAnsi="Arial"/>
          <w:b/>
        </w:rPr>
        <w:t>Artículo 721.- </w:t>
      </w:r>
      <w:r>
        <w:rPr/>
        <w:t>Todas las actuaciones procesales serán autorizadas por el juez, excepción hecha de las diligencias encomendadas a otros funcionarios.</w:t>
      </w:r>
    </w:p>
    <w:p>
      <w:pPr>
        <w:pStyle w:val="BodyText"/>
        <w:spacing w:before="229"/>
        <w:ind w:left="338" w:right="347" w:firstLine="288"/>
        <w:jc w:val="both"/>
      </w:pPr>
      <w:r>
        <w:rPr/>
        <w:t>Para producir</w:t>
      </w:r>
      <w:r>
        <w:rPr>
          <w:spacing w:val="-1"/>
        </w:rPr>
        <w:t> </w:t>
      </w:r>
      <w:r>
        <w:rPr/>
        <w:t>fe,</w:t>
      </w:r>
      <w:r>
        <w:rPr>
          <w:spacing w:val="-2"/>
        </w:rPr>
        <w:t> </w:t>
      </w:r>
      <w:r>
        <w:rPr/>
        <w:t>las</w:t>
      </w:r>
      <w:r>
        <w:rPr>
          <w:spacing w:val="-1"/>
        </w:rPr>
        <w:t> </w:t>
      </w:r>
      <w:r>
        <w:rPr/>
        <w:t>audiencias</w:t>
      </w:r>
      <w:r>
        <w:rPr>
          <w:spacing w:val="-1"/>
        </w:rPr>
        <w:t> </w:t>
      </w:r>
      <w:r>
        <w:rPr/>
        <w:t>se</w:t>
      </w:r>
      <w:r>
        <w:rPr>
          <w:spacing w:val="-2"/>
        </w:rPr>
        <w:t> </w:t>
      </w:r>
      <w:r>
        <w:rPr/>
        <w:t>registrarán</w:t>
      </w:r>
      <w:r>
        <w:rPr>
          <w:spacing w:val="-2"/>
        </w:rPr>
        <w:t> </w:t>
      </w:r>
      <w:r>
        <w:rPr/>
        <w:t>por</w:t>
      </w:r>
      <w:r>
        <w:rPr>
          <w:spacing w:val="-1"/>
        </w:rPr>
        <w:t> </w:t>
      </w:r>
      <w:r>
        <w:rPr/>
        <w:t>medios electrónicos, o</w:t>
      </w:r>
      <w:r>
        <w:rPr>
          <w:spacing w:val="-2"/>
        </w:rPr>
        <w:t> </w:t>
      </w:r>
      <w:r>
        <w:rPr/>
        <w:t>cualquier</w:t>
      </w:r>
      <w:r>
        <w:rPr>
          <w:spacing w:val="-1"/>
        </w:rPr>
        <w:t> </w:t>
      </w:r>
      <w:r>
        <w:rPr/>
        <w:t>otro idóneo</w:t>
      </w:r>
      <w:r>
        <w:rPr>
          <w:spacing w:val="-2"/>
        </w:rPr>
        <w:t> </w:t>
      </w:r>
      <w:r>
        <w:rPr/>
        <w:t>a juicio del juez,</w:t>
      </w:r>
      <w:r>
        <w:rPr>
          <w:spacing w:val="-2"/>
        </w:rPr>
        <w:t> </w:t>
      </w:r>
      <w:r>
        <w:rPr/>
        <w:t>que permita</w:t>
      </w:r>
      <w:r>
        <w:rPr>
          <w:spacing w:val="-2"/>
        </w:rPr>
        <w:t> </w:t>
      </w:r>
      <w:r>
        <w:rPr/>
        <w:t>garantizar</w:t>
      </w:r>
      <w:r>
        <w:rPr>
          <w:spacing w:val="-1"/>
        </w:rPr>
        <w:t> </w:t>
      </w:r>
      <w:r>
        <w:rPr/>
        <w:t>la</w:t>
      </w:r>
      <w:r>
        <w:rPr>
          <w:spacing w:val="-2"/>
        </w:rPr>
        <w:t> </w:t>
      </w:r>
      <w:r>
        <w:rPr/>
        <w:t>fidelidad e integridad</w:t>
      </w:r>
      <w:r>
        <w:rPr>
          <w:spacing w:val="-2"/>
        </w:rPr>
        <w:t> </w:t>
      </w:r>
      <w:r>
        <w:rPr/>
        <w:t>de la</w:t>
      </w:r>
      <w:r>
        <w:rPr>
          <w:spacing w:val="-2"/>
        </w:rPr>
        <w:t> </w:t>
      </w:r>
      <w:r>
        <w:rPr/>
        <w:t>información,</w:t>
      </w:r>
      <w:r>
        <w:rPr>
          <w:spacing w:val="-2"/>
        </w:rPr>
        <w:t> </w:t>
      </w:r>
      <w:r>
        <w:rPr/>
        <w:t>la</w:t>
      </w:r>
      <w:r>
        <w:rPr>
          <w:spacing w:val="-2"/>
        </w:rPr>
        <w:t> </w:t>
      </w:r>
      <w:r>
        <w:rPr/>
        <w:t>conservación y</w:t>
      </w:r>
      <w:r>
        <w:rPr>
          <w:spacing w:val="-5"/>
        </w:rPr>
        <w:t> </w:t>
      </w:r>
      <w:r>
        <w:rPr/>
        <w:t>reproducción de su contenido y el acceso a los mismos a quienes de acuerdo a la ley, tuvieren derecho a</w:t>
      </w:r>
      <w:r>
        <w:rPr>
          <w:spacing w:val="-2"/>
        </w:rPr>
        <w:t> </w:t>
      </w:r>
      <w:r>
        <w:rPr/>
        <w:t>ella.</w:t>
      </w:r>
    </w:p>
    <w:p>
      <w:pPr>
        <w:pStyle w:val="BodyText"/>
        <w:spacing w:after="0"/>
        <w:jc w:val="both"/>
        <w:sectPr>
          <w:pgSz w:w="12240" w:h="15840"/>
          <w:pgMar w:header="724" w:footer="712" w:top="1880" w:bottom="900" w:left="1080" w:right="1080"/>
        </w:sectPr>
      </w:pPr>
    </w:p>
    <w:p>
      <w:pPr>
        <w:pStyle w:val="BodyText"/>
      </w:pPr>
    </w:p>
    <w:p>
      <w:pPr>
        <w:pStyle w:val="BodyText"/>
        <w:spacing w:before="66"/>
      </w:pPr>
    </w:p>
    <w:p>
      <w:pPr>
        <w:pStyle w:val="BodyText"/>
        <w:ind w:left="338" w:firstLine="288"/>
      </w:pPr>
      <w:r>
        <w:rPr/>
        <w:t>La certificación de las actas que se lleven a través del Sistema Digital del Tribunal deberá realizarla el Funcionario Judicial competente.</w:t>
      </w:r>
    </w:p>
    <w:p>
      <w:pPr>
        <w:spacing w:line="182"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2" w:firstLine="288"/>
        <w:jc w:val="both"/>
      </w:pPr>
      <w:bookmarkStart w:name="Artículo_722" w:id="924"/>
      <w:bookmarkEnd w:id="924"/>
      <w:r>
        <w:rPr/>
      </w:r>
      <w:r>
        <w:rPr>
          <w:rFonts w:ascii="Arial" w:hAnsi="Arial"/>
          <w:b/>
        </w:rPr>
        <w:t>Artículo 722.- </w:t>
      </w:r>
      <w:r>
        <w:rPr/>
        <w:t>Las declaraciones que rindan las partes, sus apoderados o cualquier persona ante el Tribunal, las harán bajo protesta de decir verdad y bajo apercibimiento de las penas en que incurren si declaran falsamente ante autoridad.</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firstLine="288"/>
      </w:pPr>
      <w:r>
        <w:rPr/>
        <w:t>Las</w:t>
      </w:r>
      <w:r>
        <w:rPr>
          <w:spacing w:val="23"/>
        </w:rPr>
        <w:t> </w:t>
      </w:r>
      <w:r>
        <w:rPr/>
        <w:t>declaraciones</w:t>
      </w:r>
      <w:r>
        <w:rPr>
          <w:spacing w:val="25"/>
        </w:rPr>
        <w:t> </w:t>
      </w:r>
      <w:r>
        <w:rPr/>
        <w:t>de</w:t>
      </w:r>
      <w:r>
        <w:rPr>
          <w:spacing w:val="24"/>
        </w:rPr>
        <w:t> </w:t>
      </w:r>
      <w:r>
        <w:rPr/>
        <w:t>peritos</w:t>
      </w:r>
      <w:r>
        <w:rPr>
          <w:spacing w:val="23"/>
        </w:rPr>
        <w:t> </w:t>
      </w:r>
      <w:r>
        <w:rPr/>
        <w:t>en</w:t>
      </w:r>
      <w:r>
        <w:rPr>
          <w:spacing w:val="24"/>
        </w:rPr>
        <w:t> </w:t>
      </w:r>
      <w:r>
        <w:rPr/>
        <w:t>derecho,</w:t>
      </w:r>
      <w:r>
        <w:rPr>
          <w:spacing w:val="24"/>
        </w:rPr>
        <w:t> </w:t>
      </w:r>
      <w:r>
        <w:rPr/>
        <w:t>serán</w:t>
      </w:r>
      <w:r>
        <w:rPr>
          <w:spacing w:val="24"/>
        </w:rPr>
        <w:t> </w:t>
      </w:r>
      <w:r>
        <w:rPr/>
        <w:t>rendidas</w:t>
      </w:r>
      <w:r>
        <w:rPr>
          <w:spacing w:val="25"/>
        </w:rPr>
        <w:t> </w:t>
      </w:r>
      <w:r>
        <w:rPr/>
        <w:t>bajo</w:t>
      </w:r>
      <w:r>
        <w:rPr>
          <w:spacing w:val="24"/>
        </w:rPr>
        <w:t> </w:t>
      </w:r>
      <w:r>
        <w:rPr/>
        <w:t>protesta</w:t>
      </w:r>
      <w:r>
        <w:rPr>
          <w:spacing w:val="24"/>
        </w:rPr>
        <w:t> </w:t>
      </w:r>
      <w:r>
        <w:rPr/>
        <w:t>de</w:t>
      </w:r>
      <w:r>
        <w:rPr>
          <w:spacing w:val="24"/>
        </w:rPr>
        <w:t> </w:t>
      </w:r>
      <w:r>
        <w:rPr/>
        <w:t>decir</w:t>
      </w:r>
      <w:r>
        <w:rPr>
          <w:spacing w:val="25"/>
        </w:rPr>
        <w:t> </w:t>
      </w:r>
      <w:r>
        <w:rPr/>
        <w:t>verdad,</w:t>
      </w:r>
      <w:r>
        <w:rPr>
          <w:spacing w:val="22"/>
        </w:rPr>
        <w:t> </w:t>
      </w:r>
      <w:r>
        <w:rPr/>
        <w:t>sin</w:t>
      </w:r>
      <w:r>
        <w:rPr>
          <w:spacing w:val="22"/>
        </w:rPr>
        <w:t> </w:t>
      </w:r>
      <w:r>
        <w:rPr/>
        <w:t>que</w:t>
      </w:r>
      <w:r>
        <w:rPr>
          <w:spacing w:val="24"/>
        </w:rPr>
        <w:t> </w:t>
      </w:r>
      <w:r>
        <w:rPr/>
        <w:t>se requiera apercibimiento alguno.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8"/>
        <w:rPr>
          <w:rFonts w:ascii="Times New Roman"/>
          <w:i/>
          <w:sz w:val="16"/>
        </w:rPr>
      </w:pPr>
    </w:p>
    <w:p>
      <w:pPr>
        <w:pStyle w:val="BodyText"/>
        <w:ind w:left="338" w:right="333" w:firstLine="288"/>
        <w:jc w:val="both"/>
      </w:pPr>
      <w:bookmarkStart w:name="Artículo_723" w:id="925"/>
      <w:bookmarkEnd w:id="925"/>
      <w:r>
        <w:rPr/>
      </w:r>
      <w:r>
        <w:rPr>
          <w:rFonts w:ascii="Arial" w:hAnsi="Arial"/>
          <w:b/>
        </w:rPr>
        <w:t>Artículo 723.- </w:t>
      </w:r>
      <w:r>
        <w:rPr/>
        <w:t>El Tribunal, conforme a lo establecido en esta Ley, está obligado a expedir a la parte solicitante, copia certificada de cualquier documento o constancia que obre en el expediente. También deberá certificar la copia fotostática que exhiban las partes de algún documento o constancia que aparezca en autos, previo cotejo que se haga con el original.</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2" w:firstLine="288"/>
        <w:jc w:val="both"/>
      </w:pPr>
      <w:bookmarkStart w:name="Artículo_724" w:id="926"/>
      <w:bookmarkEnd w:id="926"/>
      <w:r>
        <w:rPr/>
      </w:r>
      <w:r>
        <w:rPr>
          <w:rFonts w:ascii="Arial" w:hAnsi="Arial"/>
          <w:b/>
        </w:rPr>
        <w:t>Artículo 724.- </w:t>
      </w:r>
      <w:r>
        <w:rPr/>
        <w:t>El Tribunal, podrá acordar la creación, divulgación y utilización de herramientas tecnológicas en las que se incluyan los sistemas necesarios para la consulta y</w:t>
      </w:r>
      <w:r>
        <w:rPr>
          <w:spacing w:val="-3"/>
        </w:rPr>
        <w:t> </w:t>
      </w:r>
      <w:r>
        <w:rPr/>
        <w:t>actuación de las partes en los procedimientos establecidos en el Título Catorce de la presente Ley.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7" w:firstLine="288"/>
        <w:jc w:val="both"/>
      </w:pPr>
      <w:r>
        <w:rPr/>
        <w:t>También podrá acordar que los expedientes concluidos de manera definitiva sean dados de baja previa certificación de la microfilmación de los mismos o de su conservación a través de cualquier otro procedimiento técnico científico que permita su consulta.</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ind w:left="338" w:right="335" w:firstLine="288"/>
        <w:jc w:val="both"/>
      </w:pPr>
      <w:bookmarkStart w:name="Artículo_725" w:id="927"/>
      <w:bookmarkEnd w:id="927"/>
      <w:r>
        <w:rPr/>
      </w:r>
      <w:r>
        <w:rPr>
          <w:rFonts w:ascii="Arial" w:hAnsi="Arial"/>
          <w:b/>
        </w:rPr>
        <w:t>Artículo 725.- </w:t>
      </w:r>
      <w:r>
        <w:rPr/>
        <w:t>En caso de extravío o desaparición del expediente o de alguna constancia, el Secretario,</w:t>
      </w:r>
      <w:r>
        <w:rPr>
          <w:spacing w:val="-2"/>
        </w:rPr>
        <w:t> </w:t>
      </w:r>
      <w:r>
        <w:rPr/>
        <w:t>previo informe</w:t>
      </w:r>
      <w:r>
        <w:rPr>
          <w:spacing w:val="-4"/>
        </w:rPr>
        <w:t> </w:t>
      </w:r>
      <w:r>
        <w:rPr/>
        <w:t>del</w:t>
      </w:r>
      <w:r>
        <w:rPr>
          <w:spacing w:val="-1"/>
        </w:rPr>
        <w:t> </w:t>
      </w:r>
      <w:r>
        <w:rPr/>
        <w:t>archivista, certificará la existencia</w:t>
      </w:r>
      <w:r>
        <w:rPr>
          <w:spacing w:val="-2"/>
        </w:rPr>
        <w:t> </w:t>
      </w:r>
      <w:r>
        <w:rPr/>
        <w:t>anterior y</w:t>
      </w:r>
      <w:r>
        <w:rPr>
          <w:spacing w:val="-3"/>
        </w:rPr>
        <w:t> </w:t>
      </w:r>
      <w:r>
        <w:rPr/>
        <w:t>la</w:t>
      </w:r>
      <w:r>
        <w:rPr>
          <w:spacing w:val="-2"/>
        </w:rPr>
        <w:t> </w:t>
      </w:r>
      <w:r>
        <w:rPr/>
        <w:t>falta posterior</w:t>
      </w:r>
      <w:r>
        <w:rPr>
          <w:spacing w:val="-1"/>
        </w:rPr>
        <w:t> </w:t>
      </w:r>
      <w:r>
        <w:rPr/>
        <w:t>del</w:t>
      </w:r>
      <w:r>
        <w:rPr>
          <w:spacing w:val="-3"/>
        </w:rPr>
        <w:t> </w:t>
      </w:r>
      <w:r>
        <w:rPr/>
        <w:t>expediente o de las actuaciones del Tribunal, de oficio o a petición de parte, lo hará del conocimiento de las partes; procederá a practicar las investigaciones del caso y</w:t>
      </w:r>
      <w:r>
        <w:rPr>
          <w:spacing w:val="-2"/>
        </w:rPr>
        <w:t> </w:t>
      </w:r>
      <w:r>
        <w:rPr/>
        <w:t>a tramitar de inmediato la reposición de los autos, en forma incidental.</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5" w:firstLine="288"/>
        <w:jc w:val="both"/>
      </w:pPr>
      <w:bookmarkStart w:name="Artículo_726" w:id="928"/>
      <w:bookmarkEnd w:id="928"/>
      <w:r>
        <w:rPr/>
      </w:r>
      <w:r>
        <w:rPr>
          <w:rFonts w:ascii="Arial" w:hAnsi="Arial"/>
          <w:b/>
        </w:rPr>
        <w:t>Artículo 726.- </w:t>
      </w:r>
      <w:r>
        <w:rPr/>
        <w:t>En el caso del artículo anterior, el Tribunal señalará dentro de las setenta y dos horas siguientes, día y hora para que tenga lugar una audiencia en la que las partes deberán aportar todos los elementos,</w:t>
      </w:r>
      <w:r>
        <w:rPr>
          <w:spacing w:val="-2"/>
        </w:rPr>
        <w:t> </w:t>
      </w:r>
      <w:r>
        <w:rPr/>
        <w:t>constancias y</w:t>
      </w:r>
      <w:r>
        <w:rPr>
          <w:spacing w:val="-5"/>
        </w:rPr>
        <w:t> </w:t>
      </w:r>
      <w:r>
        <w:rPr/>
        <w:t>copias</w:t>
      </w:r>
      <w:r>
        <w:rPr>
          <w:spacing w:val="-1"/>
        </w:rPr>
        <w:t> </w:t>
      </w:r>
      <w:r>
        <w:rPr/>
        <w:t>que</w:t>
      </w:r>
      <w:r>
        <w:rPr>
          <w:spacing w:val="-2"/>
        </w:rPr>
        <w:t> </w:t>
      </w:r>
      <w:r>
        <w:rPr/>
        <w:t>obren</w:t>
      </w:r>
      <w:r>
        <w:rPr>
          <w:spacing w:val="-3"/>
        </w:rPr>
        <w:t> </w:t>
      </w:r>
      <w:r>
        <w:rPr/>
        <w:t>en</w:t>
      </w:r>
      <w:r>
        <w:rPr>
          <w:spacing w:val="-3"/>
        </w:rPr>
        <w:t> </w:t>
      </w:r>
      <w:r>
        <w:rPr/>
        <w:t>su</w:t>
      </w:r>
      <w:r>
        <w:rPr>
          <w:spacing w:val="-2"/>
        </w:rPr>
        <w:t> </w:t>
      </w:r>
      <w:r>
        <w:rPr/>
        <w:t>poder.</w:t>
      </w:r>
      <w:r>
        <w:rPr>
          <w:spacing w:val="-1"/>
        </w:rPr>
        <w:t> </w:t>
      </w:r>
      <w:r>
        <w:rPr/>
        <w:t>El</w:t>
      </w:r>
      <w:r>
        <w:rPr>
          <w:spacing w:val="-3"/>
        </w:rPr>
        <w:t> </w:t>
      </w:r>
      <w:r>
        <w:rPr/>
        <w:t>Tribunal</w:t>
      </w:r>
      <w:r>
        <w:rPr>
          <w:spacing w:val="-3"/>
        </w:rPr>
        <w:t> </w:t>
      </w:r>
      <w:r>
        <w:rPr/>
        <w:t>podrá</w:t>
      </w:r>
      <w:r>
        <w:rPr>
          <w:spacing w:val="-2"/>
        </w:rPr>
        <w:t> </w:t>
      </w:r>
      <w:r>
        <w:rPr/>
        <w:t>ordenar</w:t>
      </w:r>
      <w:r>
        <w:rPr>
          <w:spacing w:val="-1"/>
        </w:rPr>
        <w:t> </w:t>
      </w:r>
      <w:r>
        <w:rPr/>
        <w:t>se</w:t>
      </w:r>
      <w:r>
        <w:rPr>
          <w:spacing w:val="-2"/>
        </w:rPr>
        <w:t> </w:t>
      </w:r>
      <w:r>
        <w:rPr/>
        <w:t>practiquen</w:t>
      </w:r>
      <w:r>
        <w:rPr>
          <w:spacing w:val="-2"/>
        </w:rPr>
        <w:t> </w:t>
      </w:r>
      <w:r>
        <w:rPr/>
        <w:t>aquellas actuaciones y</w:t>
      </w:r>
      <w:r>
        <w:rPr>
          <w:spacing w:val="-5"/>
        </w:rPr>
        <w:t> </w:t>
      </w:r>
      <w:r>
        <w:rPr/>
        <w:t>diligencias</w:t>
      </w:r>
      <w:r>
        <w:rPr>
          <w:spacing w:val="-1"/>
        </w:rPr>
        <w:t> </w:t>
      </w:r>
      <w:r>
        <w:rPr/>
        <w:t>necesarias</w:t>
      </w:r>
      <w:r>
        <w:rPr>
          <w:spacing w:val="-1"/>
        </w:rPr>
        <w:t> </w:t>
      </w:r>
      <w:r>
        <w:rPr/>
        <w:t>para</w:t>
      </w:r>
      <w:r>
        <w:rPr>
          <w:spacing w:val="-2"/>
        </w:rPr>
        <w:t> </w:t>
      </w:r>
      <w:r>
        <w:rPr/>
        <w:t>reponer</w:t>
      </w:r>
      <w:r>
        <w:rPr>
          <w:spacing w:val="-1"/>
        </w:rPr>
        <w:t> </w:t>
      </w:r>
      <w:r>
        <w:rPr/>
        <w:t>los autos, teniendo en</w:t>
      </w:r>
      <w:r>
        <w:rPr>
          <w:spacing w:val="-3"/>
        </w:rPr>
        <w:t> </w:t>
      </w:r>
      <w:r>
        <w:rPr/>
        <w:t>cuenta, en</w:t>
      </w:r>
      <w:r>
        <w:rPr>
          <w:spacing w:val="-3"/>
        </w:rPr>
        <w:t> </w:t>
      </w:r>
      <w:r>
        <w:rPr/>
        <w:t>su</w:t>
      </w:r>
      <w:r>
        <w:rPr>
          <w:spacing w:val="-2"/>
        </w:rPr>
        <w:t> </w:t>
      </w:r>
      <w:r>
        <w:rPr/>
        <w:t>caso,</w:t>
      </w:r>
      <w:r>
        <w:rPr>
          <w:spacing w:val="-2"/>
        </w:rPr>
        <w:t> </w:t>
      </w:r>
      <w:r>
        <w:rPr/>
        <w:t>lo</w:t>
      </w:r>
      <w:r>
        <w:rPr>
          <w:spacing w:val="-2"/>
        </w:rPr>
        <w:t> </w:t>
      </w:r>
      <w:r>
        <w:rPr/>
        <w:t>dispuesto por el artículo 724 de esta Ley.</w:t>
      </w:r>
    </w:p>
    <w:p>
      <w:pPr>
        <w:pStyle w:val="BodyText"/>
        <w:spacing w:before="2"/>
      </w:pPr>
    </w:p>
    <w:p>
      <w:pPr>
        <w:pStyle w:val="BodyText"/>
        <w:spacing w:before="1"/>
        <w:ind w:left="338" w:right="344" w:firstLine="288"/>
        <w:jc w:val="both"/>
      </w:pPr>
      <w:r>
        <w:rPr/>
        <w:t>El Tribunal deberá proporcionar las videograbaciones con que cuente y las actas que existan en el Sistema Digital del Tribunal, a fin de llevar a cabo la reposición de los autos.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02-07-1976,</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0" w:firstLine="288"/>
        <w:jc w:val="both"/>
      </w:pPr>
      <w:bookmarkStart w:name="Artículo_727" w:id="929"/>
      <w:bookmarkEnd w:id="929"/>
      <w:r>
        <w:rPr/>
      </w:r>
      <w:r>
        <w:rPr>
          <w:rFonts w:ascii="Arial" w:hAnsi="Arial"/>
          <w:b/>
        </w:rPr>
        <w:t>Artículo 727.- </w:t>
      </w:r>
      <w:r>
        <w:rPr/>
        <w:t>El Tribunal, de oficio, hará la denuncia correspondiente ante el Ministerio Público competente de la desaparición del expediente o actuación, acompañando copia de las actas y demás diligencias practicadas con dicho motivo.</w:t>
      </w:r>
    </w:p>
    <w:p>
      <w:pPr>
        <w:spacing w:line="178" w:lineRule="exact" w:before="0"/>
        <w:ind w:left="56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right="342" w:firstLine="288"/>
      </w:pPr>
      <w:bookmarkStart w:name="Artículo_728" w:id="930"/>
      <w:bookmarkEnd w:id="930"/>
      <w:r>
        <w:rPr/>
      </w:r>
      <w:r>
        <w:rPr>
          <w:rFonts w:ascii="Arial" w:hAnsi="Arial"/>
          <w:b/>
        </w:rPr>
        <w:t>Artículo 728.- </w:t>
      </w:r>
      <w:r>
        <w:rPr/>
        <w:t>Los Jueces a cargo de los Tribunales, así como los titulares y los conciliadores de los Centros</w:t>
      </w:r>
      <w:r>
        <w:rPr>
          <w:spacing w:val="51"/>
        </w:rPr>
        <w:t> </w:t>
      </w:r>
      <w:r>
        <w:rPr/>
        <w:t>de</w:t>
      </w:r>
      <w:r>
        <w:rPr>
          <w:spacing w:val="49"/>
        </w:rPr>
        <w:t> </w:t>
      </w:r>
      <w:r>
        <w:rPr/>
        <w:t>Conciliación</w:t>
      </w:r>
      <w:r>
        <w:rPr>
          <w:spacing w:val="54"/>
        </w:rPr>
        <w:t> </w:t>
      </w:r>
      <w:r>
        <w:rPr/>
        <w:t>y</w:t>
      </w:r>
      <w:r>
        <w:rPr>
          <w:spacing w:val="50"/>
        </w:rPr>
        <w:t> </w:t>
      </w:r>
      <w:r>
        <w:rPr/>
        <w:t>del</w:t>
      </w:r>
      <w:r>
        <w:rPr>
          <w:spacing w:val="49"/>
        </w:rPr>
        <w:t> </w:t>
      </w:r>
      <w:r>
        <w:rPr/>
        <w:t>Organismo</w:t>
      </w:r>
      <w:r>
        <w:rPr>
          <w:spacing w:val="50"/>
        </w:rPr>
        <w:t> </w:t>
      </w:r>
      <w:r>
        <w:rPr/>
        <w:t>Descentralizado</w:t>
      </w:r>
      <w:r>
        <w:rPr>
          <w:spacing w:val="50"/>
        </w:rPr>
        <w:t> </w:t>
      </w:r>
      <w:r>
        <w:rPr/>
        <w:t>encargado</w:t>
      </w:r>
      <w:r>
        <w:rPr>
          <w:spacing w:val="50"/>
        </w:rPr>
        <w:t> </w:t>
      </w:r>
      <w:r>
        <w:rPr/>
        <w:t>de</w:t>
      </w:r>
      <w:r>
        <w:rPr>
          <w:spacing w:val="52"/>
        </w:rPr>
        <w:t> </w:t>
      </w:r>
      <w:r>
        <w:rPr/>
        <w:t>la</w:t>
      </w:r>
      <w:r>
        <w:rPr>
          <w:spacing w:val="52"/>
        </w:rPr>
        <w:t> </w:t>
      </w:r>
      <w:r>
        <w:rPr/>
        <w:t>conciliación</w:t>
      </w:r>
      <w:r>
        <w:rPr>
          <w:spacing w:val="51"/>
        </w:rPr>
        <w:t> </w:t>
      </w:r>
      <w:r>
        <w:rPr/>
        <w:t>en</w:t>
      </w:r>
      <w:r>
        <w:rPr>
          <w:spacing w:val="49"/>
        </w:rPr>
        <w:t> </w:t>
      </w:r>
      <w:r>
        <w:rPr>
          <w:spacing w:val="-2"/>
        </w:rPr>
        <w:t>materia</w:t>
      </w:r>
    </w:p>
    <w:p>
      <w:pPr>
        <w:pStyle w:val="BodyText"/>
        <w:spacing w:after="0" w:line="242" w:lineRule="auto"/>
        <w:sectPr>
          <w:pgSz w:w="12240" w:h="15840"/>
          <w:pgMar w:header="724" w:footer="712" w:top="1880" w:bottom="900" w:left="1080" w:right="1080"/>
        </w:sectPr>
      </w:pPr>
    </w:p>
    <w:p>
      <w:pPr>
        <w:pStyle w:val="BodyText"/>
        <w:spacing w:before="65"/>
      </w:pPr>
    </w:p>
    <w:p>
      <w:pPr>
        <w:pStyle w:val="BodyText"/>
        <w:ind w:left="338" w:right="336"/>
        <w:jc w:val="both"/>
      </w:pPr>
      <w:r>
        <w:rPr/>
        <w:t>Federal y el Registro de todos los Contratos Colectivos y las Organizaciones Sindicales, podrán imponer correcciones disciplinarias, para mantener el buen orden en el desarrollo de las audiencias o diligencias,</w:t>
      </w:r>
      <w:r>
        <w:rPr>
          <w:spacing w:val="40"/>
        </w:rPr>
        <w:t> </w:t>
      </w:r>
      <w:r>
        <w:rPr/>
        <w:t>y exigir que se les guarde el respeto y la consideración debidos.</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229"/>
        <w:ind w:left="626"/>
      </w:pPr>
      <w:bookmarkStart w:name="Artículo_729" w:id="931"/>
      <w:bookmarkEnd w:id="931"/>
      <w:r>
        <w:rPr/>
      </w:r>
      <w:r>
        <w:rPr>
          <w:rFonts w:ascii="Arial" w:hAnsi="Arial"/>
          <w:b/>
        </w:rPr>
        <w:t>Artículo</w:t>
      </w:r>
      <w:r>
        <w:rPr>
          <w:rFonts w:ascii="Arial" w:hAnsi="Arial"/>
          <w:b/>
          <w:spacing w:val="-9"/>
        </w:rPr>
        <w:t> </w:t>
      </w:r>
      <w:r>
        <w:rPr>
          <w:rFonts w:ascii="Arial" w:hAnsi="Arial"/>
          <w:b/>
        </w:rPr>
        <w:t>729.</w:t>
      </w:r>
      <w:r>
        <w:rPr>
          <w:rFonts w:ascii="Arial" w:hAnsi="Arial"/>
          <w:b/>
          <w:spacing w:val="-7"/>
        </w:rPr>
        <w:t> </w:t>
      </w:r>
      <w:r>
        <w:rPr/>
        <w:t>Las</w:t>
      </w:r>
      <w:r>
        <w:rPr>
          <w:spacing w:val="-9"/>
        </w:rPr>
        <w:t> </w:t>
      </w:r>
      <w:r>
        <w:rPr/>
        <w:t>correcciones</w:t>
      </w:r>
      <w:r>
        <w:rPr>
          <w:spacing w:val="-8"/>
        </w:rPr>
        <w:t> </w:t>
      </w:r>
      <w:r>
        <w:rPr/>
        <w:t>disciplinarias</w:t>
      </w:r>
      <w:r>
        <w:rPr>
          <w:spacing w:val="-9"/>
        </w:rPr>
        <w:t> </w:t>
      </w:r>
      <w:r>
        <w:rPr/>
        <w:t>que</w:t>
      </w:r>
      <w:r>
        <w:rPr>
          <w:spacing w:val="-9"/>
        </w:rPr>
        <w:t> </w:t>
      </w:r>
      <w:r>
        <w:rPr/>
        <w:t>pueden</w:t>
      </w:r>
      <w:r>
        <w:rPr>
          <w:spacing w:val="-11"/>
        </w:rPr>
        <w:t> </w:t>
      </w:r>
      <w:r>
        <w:rPr/>
        <w:t>imponerse</w:t>
      </w:r>
      <w:r>
        <w:rPr>
          <w:spacing w:val="-9"/>
        </w:rPr>
        <w:t> </w:t>
      </w:r>
      <w:r>
        <w:rPr>
          <w:spacing w:val="-4"/>
        </w:rPr>
        <w:t>son:</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rPr>
      </w:pPr>
    </w:p>
    <w:p>
      <w:pPr>
        <w:pStyle w:val="ListParagraph"/>
        <w:numPr>
          <w:ilvl w:val="0"/>
          <w:numId w:val="291"/>
        </w:numPr>
        <w:tabs>
          <w:tab w:pos="1195" w:val="left" w:leader="none"/>
        </w:tabs>
        <w:spacing w:line="240" w:lineRule="auto" w:before="0" w:after="0"/>
        <w:ind w:left="1195" w:right="0" w:hanging="569"/>
        <w:jc w:val="left"/>
        <w:rPr>
          <w:sz w:val="20"/>
        </w:rPr>
      </w:pPr>
      <w:r>
        <w:rPr>
          <w:spacing w:val="-2"/>
          <w:sz w:val="20"/>
        </w:rPr>
        <w:t>Amonestación;</w:t>
      </w:r>
    </w:p>
    <w:p>
      <w:pPr>
        <w:pStyle w:val="ListParagraph"/>
        <w:numPr>
          <w:ilvl w:val="0"/>
          <w:numId w:val="291"/>
        </w:numPr>
        <w:tabs>
          <w:tab w:pos="1192" w:val="left" w:leader="none"/>
          <w:tab w:pos="1195" w:val="left" w:leader="none"/>
        </w:tabs>
        <w:spacing w:line="242" w:lineRule="auto" w:before="228" w:after="0"/>
        <w:ind w:left="1195" w:right="340" w:hanging="569"/>
        <w:jc w:val="both"/>
        <w:rPr>
          <w:sz w:val="20"/>
        </w:rPr>
      </w:pPr>
      <w:r>
        <w:rPr>
          <w:sz w:val="20"/>
        </w:rPr>
        <w:t>Multa, que no podrá exceder de 100 veces la Unidad de Medida y Actualización en el momento en que se cometa la falta. Tratándose de trabajadores, la multa no podrá exceder del importe</w:t>
      </w:r>
      <w:r>
        <w:rPr>
          <w:spacing w:val="40"/>
          <w:sz w:val="20"/>
        </w:rPr>
        <w:t> </w:t>
      </w:r>
      <w:r>
        <w:rPr>
          <w:sz w:val="20"/>
        </w:rPr>
        <w:t>de su jornal o salario en un día. Para los efectos de este artículo, no se considera trabajadores</w:t>
      </w:r>
      <w:r>
        <w:rPr>
          <w:spacing w:val="40"/>
          <w:sz w:val="20"/>
        </w:rPr>
        <w:t> </w:t>
      </w:r>
      <w:r>
        <w:rPr>
          <w:sz w:val="20"/>
        </w:rPr>
        <w:t>a los apoderados, y</w:t>
      </w:r>
    </w:p>
    <w:p>
      <w:pPr>
        <w:spacing w:line="178"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91"/>
        </w:numPr>
        <w:tabs>
          <w:tab w:pos="1195" w:val="left" w:leader="none"/>
        </w:tabs>
        <w:spacing w:line="242" w:lineRule="auto" w:before="0" w:after="0"/>
        <w:ind w:left="1195" w:right="345" w:hanging="569"/>
        <w:jc w:val="left"/>
        <w:rPr>
          <w:sz w:val="20"/>
        </w:rPr>
      </w:pPr>
      <w:r>
        <w:rPr>
          <w:sz w:val="20"/>
        </w:rPr>
        <w:t>Expulsión del local del Tribunal; la persona que se resista a cumplir la orden, será desalojada</w:t>
      </w:r>
      <w:r>
        <w:rPr>
          <w:spacing w:val="40"/>
          <w:sz w:val="20"/>
        </w:rPr>
        <w:t> </w:t>
      </w:r>
      <w:r>
        <w:rPr>
          <w:sz w:val="20"/>
        </w:rPr>
        <w:t>del local con el auxilio de la fuerza pública.</w:t>
      </w:r>
    </w:p>
    <w:p>
      <w:pPr>
        <w:spacing w:line="237" w:lineRule="auto" w:before="0"/>
        <w:ind w:left="7347" w:right="333" w:hanging="6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3"/>
        <w:rPr>
          <w:rFonts w:ascii="Times New Roman"/>
          <w:i/>
          <w:sz w:val="16"/>
        </w:rPr>
      </w:pPr>
    </w:p>
    <w:p>
      <w:pPr>
        <w:pStyle w:val="BodyText"/>
        <w:spacing w:line="242" w:lineRule="auto"/>
        <w:ind w:left="338" w:right="338" w:firstLine="288"/>
        <w:jc w:val="both"/>
      </w:pPr>
      <w:bookmarkStart w:name="Artículo_730" w:id="932"/>
      <w:bookmarkEnd w:id="932"/>
      <w:r>
        <w:rPr/>
      </w:r>
      <w:r>
        <w:rPr>
          <w:rFonts w:ascii="Arial" w:hAnsi="Arial"/>
          <w:b/>
        </w:rPr>
        <w:t>Artículo 730.- </w:t>
      </w:r>
      <w:r>
        <w:rPr/>
        <w:t>Cuando los hechos que motiven la imposición de una corrección disciplinaria, puedan constituir la comisión de un delito, el Tribunal levantará un acta circunstanciada y la turnará al Ministerio Público, para los efectos conducentes.</w:t>
      </w:r>
    </w:p>
    <w:p>
      <w:pPr>
        <w:spacing w:line="178"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5" w:firstLine="288"/>
        <w:jc w:val="both"/>
      </w:pPr>
      <w:bookmarkStart w:name="Artículo_731" w:id="933"/>
      <w:bookmarkEnd w:id="933"/>
      <w:r>
        <w:rPr/>
      </w:r>
      <w:r>
        <w:rPr>
          <w:rFonts w:ascii="Arial" w:hAnsi="Arial"/>
          <w:b/>
        </w:rPr>
        <w:t>Artículo 731.- </w:t>
      </w:r>
      <w:r>
        <w:rPr/>
        <w:t>El juez podrá emplear, cualquiera de los medios de apremio necesarios, para que las personas concurran a las audiencias en las que su presencia es indispensable o para asegurar el cumplimiento de sus resoluciones.</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3"/>
        <w:rPr>
          <w:rFonts w:ascii="Times New Roman"/>
          <w:i/>
        </w:rPr>
      </w:pPr>
    </w:p>
    <w:p>
      <w:pPr>
        <w:pStyle w:val="BodyText"/>
        <w:spacing w:before="1"/>
        <w:ind w:left="626"/>
      </w:pPr>
      <w:r>
        <w:rPr/>
        <w:t>Los</w:t>
      </w:r>
      <w:r>
        <w:rPr>
          <w:spacing w:val="-6"/>
        </w:rPr>
        <w:t> </w:t>
      </w:r>
      <w:r>
        <w:rPr/>
        <w:t>medios</w:t>
      </w:r>
      <w:r>
        <w:rPr>
          <w:spacing w:val="-6"/>
        </w:rPr>
        <w:t> </w:t>
      </w:r>
      <w:r>
        <w:rPr/>
        <w:t>de</w:t>
      </w:r>
      <w:r>
        <w:rPr>
          <w:spacing w:val="-6"/>
        </w:rPr>
        <w:t> </w:t>
      </w:r>
      <w:r>
        <w:rPr/>
        <w:t>apremio</w:t>
      </w:r>
      <w:r>
        <w:rPr>
          <w:spacing w:val="-7"/>
        </w:rPr>
        <w:t> </w:t>
      </w:r>
      <w:r>
        <w:rPr/>
        <w:t>que</w:t>
      </w:r>
      <w:r>
        <w:rPr>
          <w:spacing w:val="-7"/>
        </w:rPr>
        <w:t> </w:t>
      </w:r>
      <w:r>
        <w:rPr/>
        <w:t>pueden</w:t>
      </w:r>
      <w:r>
        <w:rPr>
          <w:spacing w:val="-7"/>
        </w:rPr>
        <w:t> </w:t>
      </w:r>
      <w:r>
        <w:rPr/>
        <w:t>emplearse</w:t>
      </w:r>
      <w:r>
        <w:rPr>
          <w:spacing w:val="-7"/>
        </w:rPr>
        <w:t> </w:t>
      </w:r>
      <w:r>
        <w:rPr>
          <w:spacing w:val="-4"/>
        </w:rPr>
        <w:t>son:</w:t>
      </w:r>
    </w:p>
    <w:p>
      <w:pPr>
        <w:pStyle w:val="ListParagraph"/>
        <w:numPr>
          <w:ilvl w:val="0"/>
          <w:numId w:val="292"/>
        </w:numPr>
        <w:tabs>
          <w:tab w:pos="1193" w:val="left" w:leader="none"/>
          <w:tab w:pos="1195" w:val="left" w:leader="none"/>
        </w:tabs>
        <w:spacing w:line="240" w:lineRule="auto" w:before="228" w:after="0"/>
        <w:ind w:left="1195" w:right="340" w:hanging="569"/>
        <w:jc w:val="both"/>
        <w:rPr>
          <w:sz w:val="20"/>
        </w:rPr>
      </w:pPr>
      <w:r>
        <w:rPr>
          <w:sz w:val="20"/>
        </w:rPr>
        <w:t>Multa, que no podrá exceder de 200 veces la Unidad de Medida y Actualización en el momento en que se cometió el desacato. Tratándose de trabajadores, la multa no podrá exceder del importe de su jornal o salario de un día. Para los efectos de este artículo, no se considerará trabajadores a los apoderados ni a los funcionarios públicos que incumplan o sean omisos con un requerimiento u orden judicial.</w:t>
      </w:r>
    </w:p>
    <w:p>
      <w:pPr>
        <w:spacing w:line="181"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92"/>
        </w:numPr>
        <w:tabs>
          <w:tab w:pos="1195" w:val="left" w:leader="none"/>
        </w:tabs>
        <w:spacing w:line="240" w:lineRule="auto" w:before="0" w:after="0"/>
        <w:ind w:left="1195" w:right="0" w:hanging="569"/>
        <w:jc w:val="left"/>
        <w:rPr>
          <w:sz w:val="20"/>
        </w:rPr>
      </w:pPr>
      <w:r>
        <w:rPr>
          <w:sz w:val="20"/>
        </w:rPr>
        <w:t>Presentación</w:t>
      </w:r>
      <w:r>
        <w:rPr>
          <w:spacing w:val="-6"/>
          <w:sz w:val="20"/>
        </w:rPr>
        <w:t> </w:t>
      </w:r>
      <w:r>
        <w:rPr>
          <w:sz w:val="20"/>
        </w:rPr>
        <w:t>de</w:t>
      </w:r>
      <w:r>
        <w:rPr>
          <w:spacing w:val="-6"/>
          <w:sz w:val="20"/>
        </w:rPr>
        <w:t> </w:t>
      </w:r>
      <w:r>
        <w:rPr>
          <w:sz w:val="20"/>
        </w:rPr>
        <w:t>la</w:t>
      </w:r>
      <w:r>
        <w:rPr>
          <w:spacing w:val="-3"/>
          <w:sz w:val="20"/>
        </w:rPr>
        <w:t> </w:t>
      </w:r>
      <w:r>
        <w:rPr>
          <w:sz w:val="20"/>
        </w:rPr>
        <w:t>persona</w:t>
      </w:r>
      <w:r>
        <w:rPr>
          <w:spacing w:val="-6"/>
          <w:sz w:val="20"/>
        </w:rPr>
        <w:t> </w:t>
      </w:r>
      <w:r>
        <w:rPr>
          <w:sz w:val="20"/>
        </w:rPr>
        <w:t>con</w:t>
      </w:r>
      <w:r>
        <w:rPr>
          <w:spacing w:val="-8"/>
          <w:sz w:val="20"/>
        </w:rPr>
        <w:t> </w:t>
      </w:r>
      <w:r>
        <w:rPr>
          <w:sz w:val="20"/>
        </w:rPr>
        <w:t>auxilio</w:t>
      </w:r>
      <w:r>
        <w:rPr>
          <w:spacing w:val="-7"/>
          <w:sz w:val="20"/>
        </w:rPr>
        <w:t> </w:t>
      </w:r>
      <w:r>
        <w:rPr>
          <w:sz w:val="20"/>
        </w:rPr>
        <w:t>de</w:t>
      </w:r>
      <w:r>
        <w:rPr>
          <w:spacing w:val="-7"/>
          <w:sz w:val="20"/>
        </w:rPr>
        <w:t> </w:t>
      </w:r>
      <w:r>
        <w:rPr>
          <w:sz w:val="20"/>
        </w:rPr>
        <w:t>la</w:t>
      </w:r>
      <w:r>
        <w:rPr>
          <w:spacing w:val="-7"/>
          <w:sz w:val="20"/>
        </w:rPr>
        <w:t> </w:t>
      </w:r>
      <w:r>
        <w:rPr>
          <w:sz w:val="20"/>
        </w:rPr>
        <w:t>fuerza</w:t>
      </w:r>
      <w:r>
        <w:rPr>
          <w:spacing w:val="-7"/>
          <w:sz w:val="20"/>
        </w:rPr>
        <w:t> </w:t>
      </w:r>
      <w:r>
        <w:rPr>
          <w:sz w:val="20"/>
        </w:rPr>
        <w:t>pública;</w:t>
      </w:r>
      <w:r>
        <w:rPr>
          <w:spacing w:val="-5"/>
          <w:sz w:val="20"/>
        </w:rPr>
        <w:t> </w:t>
      </w:r>
      <w:r>
        <w:rPr>
          <w:spacing w:val="-10"/>
          <w:sz w:val="20"/>
        </w:rPr>
        <w:t>y</w:t>
      </w:r>
    </w:p>
    <w:p>
      <w:pPr>
        <w:pStyle w:val="BodyText"/>
        <w:spacing w:before="1"/>
      </w:pPr>
    </w:p>
    <w:p>
      <w:pPr>
        <w:pStyle w:val="ListParagraph"/>
        <w:numPr>
          <w:ilvl w:val="0"/>
          <w:numId w:val="292"/>
        </w:numPr>
        <w:tabs>
          <w:tab w:pos="1195" w:val="left" w:leader="none"/>
        </w:tabs>
        <w:spacing w:line="229" w:lineRule="exact" w:before="0" w:after="0"/>
        <w:ind w:left="1195" w:right="0" w:hanging="569"/>
        <w:jc w:val="left"/>
        <w:rPr>
          <w:sz w:val="20"/>
        </w:rPr>
      </w:pPr>
      <w:r>
        <w:rPr>
          <w:sz w:val="20"/>
        </w:rPr>
        <w:t>Arresto</w:t>
      </w:r>
      <w:r>
        <w:rPr>
          <w:spacing w:val="-8"/>
          <w:sz w:val="20"/>
        </w:rPr>
        <w:t> </w:t>
      </w:r>
      <w:r>
        <w:rPr>
          <w:sz w:val="20"/>
        </w:rPr>
        <w:t>hasta</w:t>
      </w:r>
      <w:r>
        <w:rPr>
          <w:spacing w:val="-6"/>
          <w:sz w:val="20"/>
        </w:rPr>
        <w:t> </w:t>
      </w:r>
      <w:r>
        <w:rPr>
          <w:sz w:val="20"/>
        </w:rPr>
        <w:t>por</w:t>
      </w:r>
      <w:r>
        <w:rPr>
          <w:spacing w:val="-3"/>
          <w:sz w:val="20"/>
        </w:rPr>
        <w:t> </w:t>
      </w:r>
      <w:r>
        <w:rPr>
          <w:sz w:val="20"/>
        </w:rPr>
        <w:t>treinta</w:t>
      </w:r>
      <w:r>
        <w:rPr>
          <w:spacing w:val="-3"/>
          <w:sz w:val="20"/>
        </w:rPr>
        <w:t> </w:t>
      </w:r>
      <w:r>
        <w:rPr>
          <w:sz w:val="20"/>
        </w:rPr>
        <w:t>y</w:t>
      </w:r>
      <w:r>
        <w:rPr>
          <w:spacing w:val="-7"/>
          <w:sz w:val="20"/>
        </w:rPr>
        <w:t> </w:t>
      </w:r>
      <w:r>
        <w:rPr>
          <w:sz w:val="20"/>
        </w:rPr>
        <w:t>seis</w:t>
      </w:r>
      <w:r>
        <w:rPr>
          <w:spacing w:val="-5"/>
          <w:sz w:val="20"/>
        </w:rPr>
        <w:t> </w:t>
      </w:r>
      <w:r>
        <w:rPr>
          <w:spacing w:val="-2"/>
          <w:sz w:val="20"/>
        </w:rPr>
        <w:t>horas.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rPr>
          <w:rFonts w:ascii="Times New Roman"/>
          <w:i/>
        </w:rPr>
      </w:pPr>
    </w:p>
    <w:p>
      <w:pPr>
        <w:pStyle w:val="BodyText"/>
        <w:spacing w:line="242" w:lineRule="auto"/>
        <w:ind w:left="338" w:right="339" w:firstLine="288"/>
        <w:jc w:val="both"/>
      </w:pPr>
      <w:bookmarkStart w:name="Artículo_732" w:id="934"/>
      <w:bookmarkEnd w:id="934"/>
      <w:r>
        <w:rPr/>
      </w:r>
      <w:r>
        <w:rPr>
          <w:rFonts w:ascii="Arial" w:hAnsi="Arial"/>
          <w:b/>
        </w:rPr>
        <w:t>Artículo 732.- </w:t>
      </w:r>
      <w:r>
        <w:rPr/>
        <w:t>Las correcciones disciplinarias y medios de apremio se impondrán de plano, sin substanciación alguna, y deberán estar fundadas y motivadas. Podrán ser impugnadas en los términos señalados en esta Ley.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Heading1"/>
      </w:pPr>
      <w:r>
        <w:rPr/>
        <w:t>CAPITULO</w:t>
      </w:r>
      <w:r>
        <w:rPr>
          <w:spacing w:val="-7"/>
        </w:rPr>
        <w:t> VI</w:t>
      </w:r>
    </w:p>
    <w:p>
      <w:pPr>
        <w:pStyle w:val="Heading2"/>
        <w:spacing w:before="2"/>
        <w:ind w:left="301"/>
      </w:pPr>
      <w:r>
        <w:rPr/>
        <w:t>De</w:t>
      </w:r>
      <w:r>
        <w:rPr>
          <w:spacing w:val="-4"/>
        </w:rPr>
        <w:t> </w:t>
      </w:r>
      <w:r>
        <w:rPr/>
        <w:t>los</w:t>
      </w:r>
      <w:r>
        <w:rPr>
          <w:spacing w:val="-4"/>
        </w:rPr>
        <w:t> </w:t>
      </w:r>
      <w:r>
        <w:rPr/>
        <w:t>Términos</w:t>
      </w:r>
      <w:r>
        <w:rPr>
          <w:spacing w:val="-2"/>
        </w:rPr>
        <w:t> Procesales</w:t>
      </w:r>
    </w:p>
    <w:p>
      <w:pPr>
        <w:spacing w:before="0"/>
        <w:ind w:left="5564"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BodyText"/>
        <w:spacing w:line="242" w:lineRule="auto"/>
        <w:ind w:left="338" w:right="357" w:firstLine="288"/>
      </w:pPr>
      <w:bookmarkStart w:name="Artículo_733" w:id="935"/>
      <w:bookmarkEnd w:id="935"/>
      <w:r>
        <w:rPr/>
      </w:r>
      <w:r>
        <w:rPr>
          <w:rFonts w:ascii="Arial" w:hAnsi="Arial"/>
          <w:b/>
        </w:rPr>
        <w:t>Artículo 733.- </w:t>
      </w:r>
      <w:r>
        <w:rPr/>
        <w:t>Los términos comenzarán a correr el día siguiente al en que surta efecto la notificación y se contará en ellos el día del vencimiento.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338" w:right="341" w:firstLine="288"/>
        <w:jc w:val="both"/>
      </w:pPr>
      <w:bookmarkStart w:name="Artículo_734" w:id="936"/>
      <w:bookmarkEnd w:id="936"/>
      <w:r>
        <w:rPr/>
      </w:r>
      <w:r>
        <w:rPr>
          <w:rFonts w:ascii="Arial" w:hAnsi="Arial"/>
          <w:b/>
        </w:rPr>
        <w:t>Artículo 734.- </w:t>
      </w:r>
      <w:r>
        <w:rPr/>
        <w:t>En los términos no se computarán los días en que el Tribunal deje de actuar conforme al calendario de labores aprobado por el Pleno, así como cuando por caso fortuito o de fuerza mayor no puedan llevarse a cabo actuaciones. Los avisos de suspensión de labores se publicarán en el boletín laboral o en los estrados, en su caso.</w:t>
      </w:r>
    </w:p>
    <w:p>
      <w:pPr>
        <w:spacing w:line="183" w:lineRule="exact" w:before="0"/>
        <w:ind w:left="56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firstLine="288"/>
      </w:pPr>
      <w:bookmarkStart w:name="Artículo_735" w:id="937"/>
      <w:bookmarkEnd w:id="937"/>
      <w:r>
        <w:rPr/>
      </w:r>
      <w:r>
        <w:rPr>
          <w:rFonts w:ascii="Arial" w:hAnsi="Arial"/>
          <w:b/>
        </w:rPr>
        <w:t>Artículo</w:t>
      </w:r>
      <w:r>
        <w:rPr>
          <w:rFonts w:ascii="Arial" w:hAnsi="Arial"/>
          <w:b/>
          <w:spacing w:val="-1"/>
        </w:rPr>
        <w:t> </w:t>
      </w:r>
      <w:r>
        <w:rPr>
          <w:rFonts w:ascii="Arial" w:hAnsi="Arial"/>
          <w:b/>
        </w:rPr>
        <w:t>735.-</w:t>
      </w:r>
      <w:r>
        <w:rPr>
          <w:rFonts w:ascii="Arial" w:hAnsi="Arial"/>
          <w:b/>
          <w:spacing w:val="-1"/>
        </w:rPr>
        <w:t> </w:t>
      </w:r>
      <w:r>
        <w:rPr/>
        <w:t>Cuando la</w:t>
      </w:r>
      <w:r>
        <w:rPr>
          <w:spacing w:val="-2"/>
        </w:rPr>
        <w:t> </w:t>
      </w:r>
      <w:r>
        <w:rPr/>
        <w:t>realización</w:t>
      </w:r>
      <w:r>
        <w:rPr>
          <w:spacing w:val="-2"/>
        </w:rPr>
        <w:t> </w:t>
      </w:r>
      <w:r>
        <w:rPr/>
        <w:t>o práctica de algún</w:t>
      </w:r>
      <w:r>
        <w:rPr>
          <w:spacing w:val="-3"/>
        </w:rPr>
        <w:t> </w:t>
      </w:r>
      <w:r>
        <w:rPr/>
        <w:t>acto procesal</w:t>
      </w:r>
      <w:r>
        <w:rPr>
          <w:spacing w:val="-3"/>
        </w:rPr>
        <w:t> </w:t>
      </w:r>
      <w:r>
        <w:rPr/>
        <w:t>o el</w:t>
      </w:r>
      <w:r>
        <w:rPr>
          <w:spacing w:val="-1"/>
        </w:rPr>
        <w:t> </w:t>
      </w:r>
      <w:r>
        <w:rPr/>
        <w:t>ejercicio</w:t>
      </w:r>
      <w:r>
        <w:rPr>
          <w:spacing w:val="-2"/>
        </w:rPr>
        <w:t> </w:t>
      </w:r>
      <w:r>
        <w:rPr/>
        <w:t>de un derecho,</w:t>
      </w:r>
      <w:r>
        <w:rPr>
          <w:spacing w:val="-2"/>
        </w:rPr>
        <w:t> </w:t>
      </w:r>
      <w:r>
        <w:rPr/>
        <w:t>no tengan fijado un término, éste será el de tres días hábiles.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8"/>
        <w:rPr>
          <w:rFonts w:ascii="Times New Roman"/>
          <w:i/>
          <w:sz w:val="16"/>
        </w:rPr>
      </w:pPr>
    </w:p>
    <w:p>
      <w:pPr>
        <w:pStyle w:val="BodyText"/>
        <w:ind w:left="338" w:right="343" w:firstLine="288"/>
        <w:jc w:val="both"/>
      </w:pPr>
      <w:bookmarkStart w:name="Artículo_736" w:id="938"/>
      <w:bookmarkEnd w:id="938"/>
      <w:r>
        <w:rPr/>
      </w:r>
      <w:r>
        <w:rPr>
          <w:rFonts w:ascii="Arial" w:hAnsi="Arial"/>
          <w:b/>
        </w:rPr>
        <w:t>Artículo 736.- </w:t>
      </w:r>
      <w:r>
        <w:rPr/>
        <w:t>Para computar los términos, los meses se regularán por el de treinta días naturales; y los días hábiles se consideraran de veinticuatro horas naturales, contados de las veinticuatro a las veinticuatro horas, salvo disposición contraria en esta Ley.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30-01-</w:t>
      </w:r>
      <w:r>
        <w:rPr>
          <w:rFonts w:ascii="Times New Roman" w:hAnsi="Times New Roman"/>
          <w:i/>
          <w:color w:val="0000FF"/>
          <w:spacing w:val="-4"/>
          <w:sz w:val="16"/>
        </w:rPr>
        <w:t>1980</w:t>
      </w:r>
    </w:p>
    <w:p>
      <w:pPr>
        <w:pStyle w:val="BodyText"/>
        <w:spacing w:before="45"/>
        <w:rPr>
          <w:rFonts w:ascii="Times New Roman"/>
          <w:i/>
          <w:sz w:val="16"/>
        </w:rPr>
      </w:pPr>
    </w:p>
    <w:p>
      <w:pPr>
        <w:pStyle w:val="BodyText"/>
        <w:ind w:left="338" w:right="344" w:firstLine="288"/>
        <w:jc w:val="both"/>
      </w:pPr>
      <w:bookmarkStart w:name="Artículo_737" w:id="939"/>
      <w:bookmarkEnd w:id="939"/>
      <w:r>
        <w:rPr/>
      </w:r>
      <w:r>
        <w:rPr>
          <w:rFonts w:ascii="Arial" w:hAnsi="Arial"/>
          <w:b/>
        </w:rPr>
        <w:t>Artículo 737.- </w:t>
      </w:r>
      <w:r>
        <w:rPr/>
        <w:t>Cuando el domicilio de la persona demandada o parte en el procedimiento de conciliación se encuentre fuera del lugar de residencia del Tribunal, o del Centro de Conciliación, éstos ampliarán el término de que se trate en función de la distancia, a razón de un día por cada 200</w:t>
      </w:r>
      <w:r>
        <w:rPr>
          <w:spacing w:val="40"/>
        </w:rPr>
        <w:t> </w:t>
      </w:r>
      <w:r>
        <w:rPr/>
        <w:t>kilómetros, de 3 a 12 días, tomando en cuenta los medios de transporte y las vías generales de comunicación existentes.</w:t>
      </w:r>
    </w:p>
    <w:p>
      <w:pPr>
        <w:spacing w:line="184" w:lineRule="exact" w:before="0"/>
        <w:ind w:left="56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firstLine="288"/>
      </w:pPr>
      <w:bookmarkStart w:name="Artículo_738" w:id="940"/>
      <w:bookmarkEnd w:id="940"/>
      <w:r>
        <w:rPr/>
      </w:r>
      <w:r>
        <w:rPr>
          <w:rFonts w:ascii="Arial" w:hAnsi="Arial"/>
          <w:b/>
        </w:rPr>
        <w:t>Artículo 738.- </w:t>
      </w:r>
      <w:r>
        <w:rPr/>
        <w:t>Transcurridos los términos fijados a las partes, se tendrá por perdido su derecho que debieron ejercitar, sin necesidad de acusar rebeldía.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3"/>
        <w:rPr>
          <w:rFonts w:ascii="Times New Roman"/>
          <w:i/>
          <w:sz w:val="16"/>
        </w:rPr>
      </w:pPr>
    </w:p>
    <w:p>
      <w:pPr>
        <w:pStyle w:val="Heading1"/>
        <w:ind w:left="298"/>
      </w:pPr>
      <w:r>
        <w:rPr/>
        <w:t>CAPITULO</w:t>
      </w:r>
      <w:r>
        <w:rPr>
          <w:spacing w:val="-9"/>
        </w:rPr>
        <w:t> </w:t>
      </w:r>
      <w:r>
        <w:rPr>
          <w:spacing w:val="-5"/>
        </w:rPr>
        <w:t>VII</w:t>
      </w:r>
    </w:p>
    <w:p>
      <w:pPr>
        <w:pStyle w:val="Heading2"/>
        <w:spacing w:before="1"/>
        <w:ind w:left="300"/>
      </w:pPr>
      <w:r>
        <w:rPr/>
        <w:t>De</w:t>
      </w:r>
      <w:r>
        <w:rPr>
          <w:spacing w:val="-3"/>
        </w:rPr>
        <w:t> </w:t>
      </w:r>
      <w:r>
        <w:rPr/>
        <w:t>las</w:t>
      </w:r>
      <w:r>
        <w:rPr>
          <w:spacing w:val="-1"/>
        </w:rPr>
        <w:t> </w:t>
      </w:r>
      <w:r>
        <w:rPr>
          <w:spacing w:val="-2"/>
        </w:rPr>
        <w:t>Notificaciones</w:t>
      </w:r>
    </w:p>
    <w:p>
      <w:pPr>
        <w:spacing w:before="1"/>
        <w:ind w:left="5564"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338" w:right="339" w:firstLine="288"/>
        <w:jc w:val="both"/>
      </w:pPr>
      <w:bookmarkStart w:name="Artículo_739" w:id="941"/>
      <w:bookmarkEnd w:id="941"/>
      <w:r>
        <w:rPr/>
      </w:r>
      <w:r>
        <w:rPr>
          <w:rFonts w:ascii="Arial" w:hAnsi="Arial"/>
          <w:b/>
        </w:rPr>
        <w:t>Artículo</w:t>
      </w:r>
      <w:r>
        <w:rPr>
          <w:rFonts w:ascii="Arial" w:hAnsi="Arial"/>
          <w:b/>
          <w:spacing w:val="-1"/>
        </w:rPr>
        <w:t> </w:t>
      </w:r>
      <w:r>
        <w:rPr>
          <w:rFonts w:ascii="Arial" w:hAnsi="Arial"/>
          <w:b/>
        </w:rPr>
        <w:t>739.-</w:t>
      </w:r>
      <w:r>
        <w:rPr>
          <w:rFonts w:ascii="Arial" w:hAnsi="Arial"/>
          <w:b/>
          <w:spacing w:val="-3"/>
        </w:rPr>
        <w:t> </w:t>
      </w:r>
      <w:r>
        <w:rPr/>
        <w:t>Las partes,</w:t>
      </w:r>
      <w:r>
        <w:rPr>
          <w:spacing w:val="-2"/>
        </w:rPr>
        <w:t> </w:t>
      </w:r>
      <w:r>
        <w:rPr/>
        <w:t>en</w:t>
      </w:r>
      <w:r>
        <w:rPr>
          <w:spacing w:val="-5"/>
        </w:rPr>
        <w:t> </w:t>
      </w:r>
      <w:r>
        <w:rPr/>
        <w:t>su</w:t>
      </w:r>
      <w:r>
        <w:rPr>
          <w:spacing w:val="-2"/>
        </w:rPr>
        <w:t> </w:t>
      </w:r>
      <w:r>
        <w:rPr/>
        <w:t>primera</w:t>
      </w:r>
      <w:r>
        <w:rPr>
          <w:spacing w:val="-4"/>
        </w:rPr>
        <w:t> </w:t>
      </w:r>
      <w:r>
        <w:rPr/>
        <w:t>comparecencia</w:t>
      </w:r>
      <w:r>
        <w:rPr>
          <w:spacing w:val="-4"/>
        </w:rPr>
        <w:t> </w:t>
      </w:r>
      <w:r>
        <w:rPr/>
        <w:t>o</w:t>
      </w:r>
      <w:r>
        <w:rPr>
          <w:spacing w:val="-2"/>
        </w:rPr>
        <w:t> </w:t>
      </w:r>
      <w:r>
        <w:rPr/>
        <w:t>escrito,</w:t>
      </w:r>
      <w:r>
        <w:rPr>
          <w:spacing w:val="-2"/>
        </w:rPr>
        <w:t> </w:t>
      </w:r>
      <w:r>
        <w:rPr/>
        <w:t>deberán</w:t>
      </w:r>
      <w:r>
        <w:rPr>
          <w:spacing w:val="-4"/>
        </w:rPr>
        <w:t> </w:t>
      </w:r>
      <w:r>
        <w:rPr/>
        <w:t>señalar</w:t>
      </w:r>
      <w:r>
        <w:rPr>
          <w:spacing w:val="-4"/>
        </w:rPr>
        <w:t> </w:t>
      </w:r>
      <w:r>
        <w:rPr/>
        <w:t>domicilio</w:t>
      </w:r>
      <w:r>
        <w:rPr>
          <w:spacing w:val="-2"/>
        </w:rPr>
        <w:t> </w:t>
      </w:r>
      <w:r>
        <w:rPr/>
        <w:t>para</w:t>
      </w:r>
      <w:r>
        <w:rPr>
          <w:spacing w:val="-2"/>
        </w:rPr>
        <w:t> </w:t>
      </w:r>
      <w:r>
        <w:rPr/>
        <w:t>oír y recibir notificaciones dentro del lugar de</w:t>
      </w:r>
      <w:r>
        <w:rPr>
          <w:spacing w:val="-1"/>
        </w:rPr>
        <w:t> </w:t>
      </w:r>
      <w:r>
        <w:rPr/>
        <w:t>residencia del Centro</w:t>
      </w:r>
      <w:r>
        <w:rPr>
          <w:spacing w:val="-1"/>
        </w:rPr>
        <w:t> </w:t>
      </w:r>
      <w:r>
        <w:rPr/>
        <w:t>Federal</w:t>
      </w:r>
      <w:r>
        <w:rPr>
          <w:spacing w:val="-2"/>
        </w:rPr>
        <w:t> </w:t>
      </w:r>
      <w:r>
        <w:rPr/>
        <w:t>de</w:t>
      </w:r>
      <w:r>
        <w:rPr>
          <w:spacing w:val="-1"/>
        </w:rPr>
        <w:t> </w:t>
      </w:r>
      <w:r>
        <w:rPr/>
        <w:t>Conciliación y</w:t>
      </w:r>
      <w:r>
        <w:rPr>
          <w:spacing w:val="-2"/>
        </w:rPr>
        <w:t> </w:t>
      </w:r>
      <w:r>
        <w:rPr/>
        <w:t>Registro Laboral, o del Centro de Conciliación Local o bien del Tribunal al que acudan; si no lo hacen, las notificaciones personales se harán por boletín o por estrados, según el caso, en los términos previstos en esta Ley.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338" w:right="344" w:firstLine="288"/>
        <w:jc w:val="both"/>
      </w:pPr>
      <w:r>
        <w:rPr/>
        <w:t>Asimismo, deberán señalar el domicilio del demandado para recibir notificaciones, o el último lugar donde el trabajador prestó sus servicios. La notificación es personal y se diligenciará conforme a lo dispuesto en el artículo 743 de esta Ley.</w:t>
      </w:r>
    </w:p>
    <w:p>
      <w:pPr>
        <w:spacing w:line="183"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338" w:right="343" w:firstLine="288"/>
        <w:jc w:val="both"/>
      </w:pPr>
      <w:r>
        <w:rPr/>
        <w:t>La persona que comparezca como tercero interesado en un juicio, deberá señalar domicilio físico dentro del lugar de residencia del Tribunal para recibir notificaciones; si no lo hace, se estará a lo dispuesto en la parte final del primer párrafo de este artículo. Asimismo, se le asignará un buzón electrónico conforme a lo previsto en este artículo.</w:t>
      </w:r>
    </w:p>
    <w:p>
      <w:pPr>
        <w:spacing w:line="181" w:lineRule="exact" w:before="0"/>
        <w:ind w:left="537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338" w:right="337" w:firstLine="288"/>
        <w:jc w:val="both"/>
      </w:pPr>
      <w:r>
        <w:rPr/>
        <w:t>La Autoridad Conciliadora o el Tribunal contará con una plataforma digital para realizar notificaciones por vía electrónica. Para tal efecto, asignará un buzón electrónico a las partes; las que acudan a la audiencia</w:t>
      </w:r>
      <w:r>
        <w:rPr>
          <w:spacing w:val="20"/>
        </w:rPr>
        <w:t> </w:t>
      </w:r>
      <w:r>
        <w:rPr/>
        <w:t>de</w:t>
      </w:r>
      <w:r>
        <w:rPr>
          <w:spacing w:val="19"/>
        </w:rPr>
        <w:t> </w:t>
      </w:r>
      <w:r>
        <w:rPr/>
        <w:t>conciliación</w:t>
      </w:r>
      <w:r>
        <w:rPr>
          <w:spacing w:val="24"/>
        </w:rPr>
        <w:t> </w:t>
      </w:r>
      <w:r>
        <w:rPr/>
        <w:t>y</w:t>
      </w:r>
      <w:r>
        <w:rPr>
          <w:spacing w:val="19"/>
        </w:rPr>
        <w:t> </w:t>
      </w:r>
      <w:r>
        <w:rPr/>
        <w:t>las</w:t>
      </w:r>
      <w:r>
        <w:rPr>
          <w:spacing w:val="21"/>
        </w:rPr>
        <w:t> </w:t>
      </w:r>
      <w:r>
        <w:rPr/>
        <w:t>que</w:t>
      </w:r>
      <w:r>
        <w:rPr>
          <w:spacing w:val="20"/>
        </w:rPr>
        <w:t> </w:t>
      </w:r>
      <w:r>
        <w:rPr/>
        <w:t>fueron</w:t>
      </w:r>
      <w:r>
        <w:rPr>
          <w:spacing w:val="19"/>
        </w:rPr>
        <w:t> </w:t>
      </w:r>
      <w:r>
        <w:rPr/>
        <w:t>notificadas</w:t>
      </w:r>
      <w:r>
        <w:rPr>
          <w:spacing w:val="21"/>
        </w:rPr>
        <w:t> </w:t>
      </w:r>
      <w:r>
        <w:rPr/>
        <w:t>del</w:t>
      </w:r>
      <w:r>
        <w:rPr>
          <w:spacing w:val="21"/>
        </w:rPr>
        <w:t> </w:t>
      </w:r>
      <w:r>
        <w:rPr/>
        <w:t>emplazamiento</w:t>
      </w:r>
      <w:r>
        <w:rPr>
          <w:spacing w:val="22"/>
        </w:rPr>
        <w:t> </w:t>
      </w:r>
      <w:r>
        <w:rPr/>
        <w:t>a</w:t>
      </w:r>
      <w:r>
        <w:rPr>
          <w:spacing w:val="20"/>
        </w:rPr>
        <w:t> </w:t>
      </w:r>
      <w:r>
        <w:rPr/>
        <w:t>juicio,</w:t>
      </w:r>
      <w:r>
        <w:rPr>
          <w:spacing w:val="19"/>
        </w:rPr>
        <w:t> </w:t>
      </w:r>
      <w:r>
        <w:rPr/>
        <w:t>tendrán</w:t>
      </w:r>
      <w:r>
        <w:rPr>
          <w:spacing w:val="22"/>
        </w:rPr>
        <w:t> </w:t>
      </w:r>
      <w:r>
        <w:rPr/>
        <w:t>la</w:t>
      </w:r>
      <w:r>
        <w:rPr>
          <w:spacing w:val="20"/>
        </w:rPr>
        <w:t> </w:t>
      </w:r>
      <w:r>
        <w:rPr/>
        <w:t>opción</w:t>
      </w:r>
      <w:r>
        <w:rPr>
          <w:spacing w:val="20"/>
        </w:rPr>
        <w:t> </w:t>
      </w:r>
      <w:r>
        <w:rPr/>
        <w:t>de</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39"/>
        <w:jc w:val="both"/>
      </w:pPr>
      <w:r>
        <w:rPr/>
        <w:t>señalar que las posteriores notificaciones se realicen vía electrónica en dicho buzón. En este caso, independientemente de las notificaciones que el Tribunal deba realizar por estrados o boletín, todas las notificaciones, aún las personales posteriores en el procedimiento de conciliación o jurisdiccional se realizarán al buzón electrónico asignado, debiendo recabarse el acuse de recibo electrónico respectivo.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338" w:firstLine="288"/>
      </w:pPr>
      <w:r>
        <w:rPr/>
        <w:t>Cuando</w:t>
      </w:r>
      <w:r>
        <w:rPr>
          <w:spacing w:val="62"/>
        </w:rPr>
        <w:t> </w:t>
      </w:r>
      <w:r>
        <w:rPr/>
        <w:t>se</w:t>
      </w:r>
      <w:r>
        <w:rPr>
          <w:spacing w:val="61"/>
        </w:rPr>
        <w:t> </w:t>
      </w:r>
      <w:r>
        <w:rPr/>
        <w:t>trate</w:t>
      </w:r>
      <w:r>
        <w:rPr>
          <w:spacing w:val="63"/>
        </w:rPr>
        <w:t> </w:t>
      </w:r>
      <w:r>
        <w:rPr/>
        <w:t>del</w:t>
      </w:r>
      <w:r>
        <w:rPr>
          <w:spacing w:val="62"/>
        </w:rPr>
        <w:t> </w:t>
      </w:r>
      <w:r>
        <w:rPr/>
        <w:t>emplazamiento</w:t>
      </w:r>
      <w:r>
        <w:rPr>
          <w:spacing w:val="63"/>
        </w:rPr>
        <w:t> </w:t>
      </w:r>
      <w:r>
        <w:rPr/>
        <w:t>a</w:t>
      </w:r>
      <w:r>
        <w:rPr>
          <w:spacing w:val="63"/>
        </w:rPr>
        <w:t> </w:t>
      </w:r>
      <w:r>
        <w:rPr/>
        <w:t>juicio</w:t>
      </w:r>
      <w:r>
        <w:rPr>
          <w:spacing w:val="66"/>
        </w:rPr>
        <w:t> </w:t>
      </w:r>
      <w:r>
        <w:rPr/>
        <w:t>y</w:t>
      </w:r>
      <w:r>
        <w:rPr>
          <w:spacing w:val="60"/>
        </w:rPr>
        <w:t> </w:t>
      </w:r>
      <w:r>
        <w:rPr/>
        <w:t>de</w:t>
      </w:r>
      <w:r>
        <w:rPr>
          <w:spacing w:val="62"/>
        </w:rPr>
        <w:t> </w:t>
      </w:r>
      <w:r>
        <w:rPr/>
        <w:t>la</w:t>
      </w:r>
      <w:r>
        <w:rPr>
          <w:spacing w:val="63"/>
        </w:rPr>
        <w:t> </w:t>
      </w:r>
      <w:r>
        <w:rPr/>
        <w:t>primera</w:t>
      </w:r>
      <w:r>
        <w:rPr>
          <w:spacing w:val="61"/>
        </w:rPr>
        <w:t> </w:t>
      </w:r>
      <w:r>
        <w:rPr/>
        <w:t>notificación</w:t>
      </w:r>
      <w:r>
        <w:rPr>
          <w:spacing w:val="62"/>
        </w:rPr>
        <w:t> </w:t>
      </w:r>
      <w:r>
        <w:rPr/>
        <w:t>para</w:t>
      </w:r>
      <w:r>
        <w:rPr>
          <w:spacing w:val="64"/>
        </w:rPr>
        <w:t> </w:t>
      </w:r>
      <w:r>
        <w:rPr/>
        <w:t>la</w:t>
      </w:r>
      <w:r>
        <w:rPr>
          <w:spacing w:val="63"/>
        </w:rPr>
        <w:t> </w:t>
      </w:r>
      <w:r>
        <w:rPr/>
        <w:t>audiencia</w:t>
      </w:r>
      <w:r>
        <w:rPr>
          <w:spacing w:val="63"/>
        </w:rPr>
        <w:t> </w:t>
      </w:r>
      <w:r>
        <w:rPr/>
        <w:t>de conciliación prejudicial, las notificaciones deberán ser personales.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firstLine="288"/>
      </w:pPr>
      <w:r>
        <w:rPr/>
        <w:t>En</w:t>
      </w:r>
      <w:r>
        <w:rPr>
          <w:spacing w:val="22"/>
        </w:rPr>
        <w:t> </w:t>
      </w:r>
      <w:r>
        <w:rPr/>
        <w:t>caso</w:t>
      </w:r>
      <w:r>
        <w:rPr>
          <w:spacing w:val="22"/>
        </w:rPr>
        <w:t> </w:t>
      </w:r>
      <w:r>
        <w:rPr/>
        <w:t>de</w:t>
      </w:r>
      <w:r>
        <w:rPr>
          <w:spacing w:val="22"/>
        </w:rPr>
        <w:t> </w:t>
      </w:r>
      <w:r>
        <w:rPr/>
        <w:t>que</w:t>
      </w:r>
      <w:r>
        <w:rPr>
          <w:spacing w:val="22"/>
        </w:rPr>
        <w:t> </w:t>
      </w:r>
      <w:r>
        <w:rPr/>
        <w:t>las</w:t>
      </w:r>
      <w:r>
        <w:rPr>
          <w:spacing w:val="23"/>
        </w:rPr>
        <w:t> </w:t>
      </w:r>
      <w:r>
        <w:rPr/>
        <w:t>partes</w:t>
      </w:r>
      <w:r>
        <w:rPr>
          <w:spacing w:val="25"/>
        </w:rPr>
        <w:t> </w:t>
      </w:r>
      <w:r>
        <w:rPr/>
        <w:t>señalen</w:t>
      </w:r>
      <w:r>
        <w:rPr>
          <w:spacing w:val="22"/>
        </w:rPr>
        <w:t> </w:t>
      </w:r>
      <w:r>
        <w:rPr/>
        <w:t>terceros</w:t>
      </w:r>
      <w:r>
        <w:rPr>
          <w:spacing w:val="24"/>
        </w:rPr>
        <w:t> </w:t>
      </w:r>
      <w:r>
        <w:rPr/>
        <w:t>interesados,</w:t>
      </w:r>
      <w:r>
        <w:rPr>
          <w:spacing w:val="22"/>
        </w:rPr>
        <w:t> </w:t>
      </w:r>
      <w:r>
        <w:rPr/>
        <w:t>deberán</w:t>
      </w:r>
      <w:r>
        <w:rPr>
          <w:spacing w:val="24"/>
        </w:rPr>
        <w:t> </w:t>
      </w:r>
      <w:r>
        <w:rPr/>
        <w:t>indicar</w:t>
      </w:r>
      <w:r>
        <w:rPr>
          <w:spacing w:val="23"/>
        </w:rPr>
        <w:t> </w:t>
      </w:r>
      <w:r>
        <w:rPr/>
        <w:t>en</w:t>
      </w:r>
      <w:r>
        <w:rPr>
          <w:spacing w:val="22"/>
        </w:rPr>
        <w:t> </w:t>
      </w:r>
      <w:r>
        <w:rPr/>
        <w:t>su</w:t>
      </w:r>
      <w:r>
        <w:rPr>
          <w:spacing w:val="22"/>
        </w:rPr>
        <w:t> </w:t>
      </w:r>
      <w:r>
        <w:rPr/>
        <w:t>promoción</w:t>
      </w:r>
      <w:r>
        <w:rPr>
          <w:spacing w:val="22"/>
        </w:rPr>
        <w:t> </w:t>
      </w:r>
      <w:r>
        <w:rPr/>
        <w:t>inicial</w:t>
      </w:r>
      <w:r>
        <w:rPr>
          <w:spacing w:val="21"/>
        </w:rPr>
        <w:t> </w:t>
      </w:r>
      <w:r>
        <w:rPr/>
        <w:t>el domicilio de éstos para recibir notificaciones.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50"/>
        <w:rPr>
          <w:rFonts w:ascii="Times New Roman"/>
          <w:i/>
          <w:sz w:val="16"/>
        </w:rPr>
      </w:pPr>
    </w:p>
    <w:p>
      <w:pPr>
        <w:pStyle w:val="BodyText"/>
        <w:ind w:left="338" w:right="344" w:firstLine="288"/>
        <w:jc w:val="both"/>
      </w:pPr>
      <w:r>
        <w:rPr/>
        <w:t>Tratándose</w:t>
      </w:r>
      <w:r>
        <w:rPr>
          <w:spacing w:val="-3"/>
        </w:rPr>
        <w:t> </w:t>
      </w:r>
      <w:r>
        <w:rPr/>
        <w:t>de</w:t>
      </w:r>
      <w:r>
        <w:rPr>
          <w:spacing w:val="-3"/>
        </w:rPr>
        <w:t> </w:t>
      </w:r>
      <w:r>
        <w:rPr/>
        <w:t>conflictos</w:t>
      </w:r>
      <w:r>
        <w:rPr>
          <w:spacing w:val="-2"/>
        </w:rPr>
        <w:t> </w:t>
      </w:r>
      <w:r>
        <w:rPr/>
        <w:t>colectivos, la</w:t>
      </w:r>
      <w:r>
        <w:rPr>
          <w:spacing w:val="-1"/>
        </w:rPr>
        <w:t> </w:t>
      </w:r>
      <w:r>
        <w:rPr/>
        <w:t>Autoridad</w:t>
      </w:r>
      <w:r>
        <w:rPr>
          <w:spacing w:val="-1"/>
        </w:rPr>
        <w:t> </w:t>
      </w:r>
      <w:r>
        <w:rPr/>
        <w:t>Conciliadora</w:t>
      </w:r>
      <w:r>
        <w:rPr>
          <w:spacing w:val="-1"/>
        </w:rPr>
        <w:t> </w:t>
      </w:r>
      <w:r>
        <w:rPr/>
        <w:t>o</w:t>
      </w:r>
      <w:r>
        <w:rPr>
          <w:spacing w:val="-1"/>
        </w:rPr>
        <w:t> </w:t>
      </w:r>
      <w:r>
        <w:rPr/>
        <w:t>el</w:t>
      </w:r>
      <w:r>
        <w:rPr>
          <w:spacing w:val="-4"/>
        </w:rPr>
        <w:t> </w:t>
      </w:r>
      <w:r>
        <w:rPr/>
        <w:t>Tribunal</w:t>
      </w:r>
      <w:r>
        <w:rPr>
          <w:spacing w:val="-2"/>
        </w:rPr>
        <w:t> </w:t>
      </w:r>
      <w:r>
        <w:rPr/>
        <w:t>efectuará</w:t>
      </w:r>
      <w:r>
        <w:rPr>
          <w:spacing w:val="-3"/>
        </w:rPr>
        <w:t> </w:t>
      </w:r>
      <w:r>
        <w:rPr/>
        <w:t>las</w:t>
      </w:r>
      <w:r>
        <w:rPr>
          <w:spacing w:val="-2"/>
        </w:rPr>
        <w:t> </w:t>
      </w:r>
      <w:r>
        <w:rPr/>
        <w:t>notificaciones personales a los sindicatos y los patrones en los domicilios que respectivamente hayan señalado en el contrato colectivo de trabajo, el cual será considerado para oír y recibir notificaciones, salvo que se haya designado otro distinto.</w:t>
      </w:r>
    </w:p>
    <w:p>
      <w:pPr>
        <w:spacing w:line="237" w:lineRule="auto" w:before="0"/>
        <w:ind w:left="7347" w:right="33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6"/>
        <w:rPr>
          <w:rFonts w:ascii="Times New Roman"/>
          <w:i/>
          <w:sz w:val="16"/>
        </w:rPr>
      </w:pPr>
    </w:p>
    <w:p>
      <w:pPr>
        <w:pStyle w:val="BodyText"/>
        <w:spacing w:line="242" w:lineRule="auto"/>
        <w:ind w:left="338" w:right="336" w:firstLine="288"/>
        <w:jc w:val="both"/>
      </w:pPr>
      <w:bookmarkStart w:name="Artículo_739_Bis" w:id="942"/>
      <w:bookmarkEnd w:id="942"/>
      <w:r>
        <w:rPr/>
      </w:r>
      <w:r>
        <w:rPr>
          <w:rFonts w:ascii="Arial" w:hAnsi="Arial"/>
          <w:b/>
        </w:rPr>
        <w:t>Artículo 739 Bis.- </w:t>
      </w:r>
      <w:r>
        <w:rPr/>
        <w:t>Las resoluciones que se dicten en los juicios laborales deben notificarse a más tardar dentro del tercer día hábil siguiente. La razón que corresponda se asentará inmediatamente después de dicha resolución.</w:t>
      </w:r>
    </w:p>
    <w:p>
      <w:pPr>
        <w:pStyle w:val="BodyText"/>
        <w:spacing w:before="225"/>
        <w:ind w:left="338" w:right="331" w:firstLine="288"/>
        <w:jc w:val="both"/>
      </w:pPr>
      <w:r>
        <w:rPr/>
        <w:t>Las partes y el tercero interesado podrán autorizar a cualquier persona con capacidad legal para oír y recibir notificaciones aún las de carácter personal e imponerse de los autos.</w:t>
      </w:r>
    </w:p>
    <w:p>
      <w:pPr>
        <w:pStyle w:val="BodyText"/>
        <w:spacing w:before="2"/>
      </w:pPr>
    </w:p>
    <w:p>
      <w:pPr>
        <w:pStyle w:val="BodyText"/>
        <w:ind w:left="338" w:right="337" w:firstLine="288"/>
        <w:jc w:val="both"/>
      </w:pPr>
      <w:r>
        <w:rPr/>
        <w:t>Cuando las partes y el tercero interesado cuenten con Firma Electrónica y pretendan que los autorizados en términos del párrafo anterior, utilicen o hagan uso de ésta en su representación, deberán comunicarlo a la Autoridad Conciliadora y al órgano jurisdiccional correspondiente, señalando las limitaciones o revocación de facultades en el uso de la misma.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firstLine="288"/>
      </w:pPr>
      <w:bookmarkStart w:name="Artículo_739_Ter" w:id="943"/>
      <w:bookmarkEnd w:id="943"/>
      <w:r>
        <w:rPr/>
      </w:r>
      <w:r>
        <w:rPr>
          <w:rFonts w:ascii="Arial" w:hAnsi="Arial"/>
          <w:b/>
        </w:rPr>
        <w:t>Artículo 739 Ter.- </w:t>
      </w:r>
      <w:r>
        <w:rPr/>
        <w:t>Las notificaciones en los procedimientos ante los Centros de Conciliación y en los juicios laborales se harán:</w:t>
      </w:r>
    </w:p>
    <w:p>
      <w:pPr>
        <w:pStyle w:val="ListParagraph"/>
        <w:numPr>
          <w:ilvl w:val="0"/>
          <w:numId w:val="293"/>
        </w:numPr>
        <w:tabs>
          <w:tab w:pos="1195" w:val="left" w:leader="none"/>
        </w:tabs>
        <w:spacing w:line="240" w:lineRule="auto" w:before="229" w:after="0"/>
        <w:ind w:left="1195" w:right="0" w:hanging="569"/>
        <w:jc w:val="left"/>
        <w:rPr>
          <w:sz w:val="20"/>
        </w:rPr>
      </w:pPr>
      <w:r>
        <w:rPr>
          <w:sz w:val="20"/>
        </w:rPr>
        <w:t>En</w:t>
      </w:r>
      <w:r>
        <w:rPr>
          <w:spacing w:val="-7"/>
          <w:sz w:val="20"/>
        </w:rPr>
        <w:t> </w:t>
      </w:r>
      <w:r>
        <w:rPr>
          <w:sz w:val="20"/>
        </w:rPr>
        <w:t>forma</w:t>
      </w:r>
      <w:r>
        <w:rPr>
          <w:spacing w:val="-6"/>
          <w:sz w:val="20"/>
        </w:rPr>
        <w:t> </w:t>
      </w:r>
      <w:r>
        <w:rPr>
          <w:sz w:val="20"/>
        </w:rPr>
        <w:t>personal,</w:t>
      </w:r>
      <w:r>
        <w:rPr>
          <w:spacing w:val="-4"/>
          <w:sz w:val="20"/>
        </w:rPr>
        <w:t> </w:t>
      </w:r>
      <w:r>
        <w:rPr>
          <w:sz w:val="20"/>
        </w:rPr>
        <w:t>las</w:t>
      </w:r>
      <w:r>
        <w:rPr>
          <w:spacing w:val="-5"/>
          <w:sz w:val="20"/>
        </w:rPr>
        <w:t> </w:t>
      </w:r>
      <w:r>
        <w:rPr>
          <w:sz w:val="20"/>
        </w:rPr>
        <w:t>establecidas</w:t>
      </w:r>
      <w:r>
        <w:rPr>
          <w:spacing w:val="-5"/>
          <w:sz w:val="20"/>
        </w:rPr>
        <w:t> </w:t>
      </w:r>
      <w:r>
        <w:rPr>
          <w:sz w:val="20"/>
        </w:rPr>
        <w:t>en</w:t>
      </w:r>
      <w:r>
        <w:rPr>
          <w:spacing w:val="-7"/>
          <w:sz w:val="20"/>
        </w:rPr>
        <w:t> </w:t>
      </w:r>
      <w:r>
        <w:rPr>
          <w:sz w:val="20"/>
        </w:rPr>
        <w:t>el</w:t>
      </w:r>
      <w:r>
        <w:rPr>
          <w:spacing w:val="-7"/>
          <w:sz w:val="20"/>
        </w:rPr>
        <w:t> </w:t>
      </w:r>
      <w:r>
        <w:rPr>
          <w:sz w:val="20"/>
        </w:rPr>
        <w:t>artículo</w:t>
      </w:r>
      <w:r>
        <w:rPr>
          <w:spacing w:val="-4"/>
          <w:sz w:val="20"/>
        </w:rPr>
        <w:t> </w:t>
      </w:r>
      <w:r>
        <w:rPr>
          <w:sz w:val="20"/>
        </w:rPr>
        <w:t>742</w:t>
      </w:r>
      <w:r>
        <w:rPr>
          <w:spacing w:val="-4"/>
          <w:sz w:val="20"/>
        </w:rPr>
        <w:t> </w:t>
      </w:r>
      <w:r>
        <w:rPr>
          <w:sz w:val="20"/>
        </w:rPr>
        <w:t>de</w:t>
      </w:r>
      <w:r>
        <w:rPr>
          <w:spacing w:val="-7"/>
          <w:sz w:val="20"/>
        </w:rPr>
        <w:t> </w:t>
      </w:r>
      <w:r>
        <w:rPr>
          <w:sz w:val="20"/>
        </w:rPr>
        <w:t>esta</w:t>
      </w:r>
      <w:r>
        <w:rPr>
          <w:spacing w:val="-5"/>
          <w:sz w:val="20"/>
        </w:rPr>
        <w:t> </w:t>
      </w:r>
      <w:r>
        <w:rPr>
          <w:spacing w:val="-4"/>
          <w:sz w:val="20"/>
        </w:rPr>
        <w:t>Ley;</w:t>
      </w:r>
    </w:p>
    <w:p>
      <w:pPr>
        <w:pStyle w:val="BodyText"/>
        <w:spacing w:before="1"/>
      </w:pPr>
    </w:p>
    <w:p>
      <w:pPr>
        <w:pStyle w:val="ListParagraph"/>
        <w:numPr>
          <w:ilvl w:val="0"/>
          <w:numId w:val="293"/>
        </w:numPr>
        <w:tabs>
          <w:tab w:pos="1195" w:val="left" w:leader="none"/>
        </w:tabs>
        <w:spacing w:line="240" w:lineRule="auto" w:before="0" w:after="0"/>
        <w:ind w:left="1195" w:right="0" w:hanging="569"/>
        <w:jc w:val="left"/>
        <w:rPr>
          <w:sz w:val="20"/>
        </w:rPr>
      </w:pPr>
      <w:r>
        <w:rPr>
          <w:sz w:val="20"/>
        </w:rPr>
        <w:t>Por</w:t>
      </w:r>
      <w:r>
        <w:rPr>
          <w:spacing w:val="-6"/>
          <w:sz w:val="20"/>
        </w:rPr>
        <w:t> </w:t>
      </w:r>
      <w:r>
        <w:rPr>
          <w:spacing w:val="-2"/>
          <w:sz w:val="20"/>
        </w:rPr>
        <w:t>oficio:</w:t>
      </w:r>
    </w:p>
    <w:p>
      <w:pPr>
        <w:pStyle w:val="ListParagraph"/>
        <w:numPr>
          <w:ilvl w:val="1"/>
          <w:numId w:val="293"/>
        </w:numPr>
        <w:tabs>
          <w:tab w:pos="1647" w:val="left" w:leader="none"/>
          <w:tab w:pos="1649" w:val="left" w:leader="none"/>
        </w:tabs>
        <w:spacing w:line="242" w:lineRule="auto" w:before="228" w:after="0"/>
        <w:ind w:left="1649" w:right="340" w:hanging="454"/>
        <w:jc w:val="both"/>
        <w:rPr>
          <w:sz w:val="20"/>
        </w:rPr>
      </w:pPr>
      <w:r>
        <w:rPr>
          <w:sz w:val="20"/>
        </w:rPr>
        <w:t>A las autoridades a que se refiere el artículo 742 Ter de esta Ley, salvo que se trate de la primera notificación, en cuyo caso se observará lo establecido en el artículo 742 de esta Ley, y</w:t>
      </w:r>
    </w:p>
    <w:p>
      <w:pPr>
        <w:pStyle w:val="ListParagraph"/>
        <w:numPr>
          <w:ilvl w:val="1"/>
          <w:numId w:val="293"/>
        </w:numPr>
        <w:tabs>
          <w:tab w:pos="1649" w:val="left" w:leader="none"/>
        </w:tabs>
        <w:spacing w:line="240" w:lineRule="auto" w:before="226" w:after="0"/>
        <w:ind w:left="1649" w:right="0" w:hanging="454"/>
        <w:jc w:val="left"/>
        <w:rPr>
          <w:sz w:val="20"/>
        </w:rPr>
      </w:pPr>
      <w:r>
        <w:rPr>
          <w:sz w:val="20"/>
        </w:rPr>
        <w:t>A</w:t>
      </w:r>
      <w:r>
        <w:rPr>
          <w:spacing w:val="-6"/>
          <w:sz w:val="20"/>
        </w:rPr>
        <w:t> </w:t>
      </w:r>
      <w:r>
        <w:rPr>
          <w:sz w:val="20"/>
        </w:rPr>
        <w:t>la</w:t>
      </w:r>
      <w:r>
        <w:rPr>
          <w:spacing w:val="-6"/>
          <w:sz w:val="20"/>
        </w:rPr>
        <w:t> </w:t>
      </w:r>
      <w:r>
        <w:rPr>
          <w:sz w:val="20"/>
        </w:rPr>
        <w:t>autoridad</w:t>
      </w:r>
      <w:r>
        <w:rPr>
          <w:spacing w:val="-4"/>
          <w:sz w:val="20"/>
        </w:rPr>
        <w:t> </w:t>
      </w:r>
      <w:r>
        <w:rPr>
          <w:sz w:val="20"/>
        </w:rPr>
        <w:t>que</w:t>
      </w:r>
      <w:r>
        <w:rPr>
          <w:spacing w:val="-4"/>
          <w:sz w:val="20"/>
        </w:rPr>
        <w:t> </w:t>
      </w:r>
      <w:r>
        <w:rPr>
          <w:sz w:val="20"/>
        </w:rPr>
        <w:t>tenga</w:t>
      </w:r>
      <w:r>
        <w:rPr>
          <w:spacing w:val="-5"/>
          <w:sz w:val="20"/>
        </w:rPr>
        <w:t> </w:t>
      </w:r>
      <w:r>
        <w:rPr>
          <w:sz w:val="20"/>
        </w:rPr>
        <w:t>el</w:t>
      </w:r>
      <w:r>
        <w:rPr>
          <w:spacing w:val="-5"/>
          <w:sz w:val="20"/>
        </w:rPr>
        <w:t> </w:t>
      </w:r>
      <w:r>
        <w:rPr>
          <w:sz w:val="20"/>
        </w:rPr>
        <w:t>carácter</w:t>
      </w:r>
      <w:r>
        <w:rPr>
          <w:spacing w:val="-6"/>
          <w:sz w:val="20"/>
        </w:rPr>
        <w:t> </w:t>
      </w:r>
      <w:r>
        <w:rPr>
          <w:sz w:val="20"/>
        </w:rPr>
        <w:t>de</w:t>
      </w:r>
      <w:r>
        <w:rPr>
          <w:spacing w:val="-6"/>
          <w:sz w:val="20"/>
        </w:rPr>
        <w:t> </w:t>
      </w:r>
      <w:r>
        <w:rPr>
          <w:sz w:val="20"/>
        </w:rPr>
        <w:t>tercero</w:t>
      </w:r>
      <w:r>
        <w:rPr>
          <w:spacing w:val="-6"/>
          <w:sz w:val="20"/>
        </w:rPr>
        <w:t> </w:t>
      </w:r>
      <w:r>
        <w:rPr>
          <w:spacing w:val="-2"/>
          <w:sz w:val="20"/>
        </w:rPr>
        <w:t>interesado;</w:t>
      </w:r>
    </w:p>
    <w:p>
      <w:pPr>
        <w:pStyle w:val="ListParagraph"/>
        <w:numPr>
          <w:ilvl w:val="0"/>
          <w:numId w:val="293"/>
        </w:numPr>
        <w:tabs>
          <w:tab w:pos="1195" w:val="left" w:leader="none"/>
        </w:tabs>
        <w:spacing w:line="242" w:lineRule="auto" w:before="228" w:after="0"/>
        <w:ind w:left="1195" w:right="338" w:hanging="569"/>
        <w:jc w:val="left"/>
        <w:rPr>
          <w:sz w:val="20"/>
        </w:rPr>
      </w:pPr>
      <w:r>
        <w:rPr>
          <w:sz w:val="20"/>
        </w:rPr>
        <w:t>Por boletín o lista impresa y electrónica, en los casos no</w:t>
      </w:r>
      <w:r>
        <w:rPr>
          <w:spacing w:val="12"/>
          <w:sz w:val="20"/>
        </w:rPr>
        <w:t> </w:t>
      </w:r>
      <w:r>
        <w:rPr>
          <w:sz w:val="20"/>
        </w:rPr>
        <w:t>previstos en las fracciones anteriores,</w:t>
      </w:r>
      <w:r>
        <w:rPr>
          <w:spacing w:val="40"/>
          <w:sz w:val="20"/>
        </w:rPr>
        <w:t> </w:t>
      </w:r>
      <w:r>
        <w:rPr>
          <w:spacing w:val="-10"/>
          <w:sz w:val="20"/>
        </w:rPr>
        <w:t>y</w:t>
      </w:r>
    </w:p>
    <w:p>
      <w:pPr>
        <w:pStyle w:val="ListParagraph"/>
        <w:numPr>
          <w:ilvl w:val="0"/>
          <w:numId w:val="293"/>
        </w:numPr>
        <w:tabs>
          <w:tab w:pos="1195" w:val="left" w:leader="none"/>
        </w:tabs>
        <w:spacing w:line="242" w:lineRule="auto" w:before="226" w:after="0"/>
        <w:ind w:left="1195" w:right="344" w:hanging="569"/>
        <w:jc w:val="left"/>
        <w:rPr>
          <w:sz w:val="20"/>
        </w:rPr>
      </w:pPr>
      <w:r>
        <w:rPr>
          <w:sz w:val="20"/>
        </w:rPr>
        <w:t>Por buzón electrónico, a las partes que expresamente así lo soliciten, y</w:t>
      </w:r>
      <w:r>
        <w:rPr>
          <w:spacing w:val="-1"/>
          <w:sz w:val="20"/>
        </w:rPr>
        <w:t> </w:t>
      </w:r>
      <w:r>
        <w:rPr>
          <w:sz w:val="20"/>
        </w:rPr>
        <w:t>que previamente hayan obtenido la firma electrónica.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8" w:lineRule="exact"/>
        <w:jc w:val="righ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BodyText"/>
        <w:ind w:left="338" w:right="335" w:firstLine="288"/>
        <w:jc w:val="both"/>
      </w:pPr>
      <w:bookmarkStart w:name="Artículo_740" w:id="944"/>
      <w:bookmarkEnd w:id="944"/>
      <w:r>
        <w:rPr/>
      </w:r>
      <w:r>
        <w:rPr>
          <w:rFonts w:ascii="Arial" w:hAnsi="Arial"/>
          <w:b/>
        </w:rPr>
        <w:t>Artículo 740. </w:t>
      </w:r>
      <w:r>
        <w:rPr/>
        <w:t>Cuando en la demanda no se haya expresado el nombre del patrón o de la empresa en que trabaja o trabajó el trabajador, la notificación personal de la misma se sujetará al procedimiento establecido en el artículo 743 de esta Ley en lo conducente, debiendo cerciorarse el actuario de que el lugar donde efectúa la notificación es precisamente el indicado por el demandante, y la notificación se entenderá hecha al patrón, aunque al hacerla se ignore el nombre del mismo.</w:t>
      </w:r>
    </w:p>
    <w:p>
      <w:pPr>
        <w:spacing w:line="184"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338" w:right="345" w:firstLine="288"/>
        <w:jc w:val="both"/>
      </w:pPr>
      <w:bookmarkStart w:name="Artículo_741" w:id="945"/>
      <w:bookmarkEnd w:id="945"/>
      <w:r>
        <w:rPr/>
      </w:r>
      <w:r>
        <w:rPr>
          <w:rFonts w:ascii="Arial" w:hAnsi="Arial"/>
          <w:b/>
        </w:rPr>
        <w:t>Artículo 741.- </w:t>
      </w:r>
      <w:r>
        <w:rPr/>
        <w:t>Las notificaciones personales se harán en el domicilio señalado en autos, hasta en tanto no se designe nueva casa o local para ello; y las que se realicen en estas condiciones, surtirán plenamente sus efectos.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1"/>
        <w:rPr>
          <w:rFonts w:ascii="Times New Roman"/>
          <w:i/>
        </w:rPr>
      </w:pPr>
    </w:p>
    <w:p>
      <w:pPr>
        <w:spacing w:before="0"/>
        <w:ind w:left="626" w:right="0" w:firstLine="0"/>
        <w:jc w:val="left"/>
        <w:rPr>
          <w:sz w:val="20"/>
        </w:rPr>
      </w:pPr>
      <w:bookmarkStart w:name="Artículo_742" w:id="946"/>
      <w:bookmarkEnd w:id="946"/>
      <w:r>
        <w:rPr/>
      </w:r>
      <w:r>
        <w:rPr>
          <w:rFonts w:ascii="Arial" w:hAnsi="Arial"/>
          <w:b/>
          <w:sz w:val="20"/>
        </w:rPr>
        <w:t>Artículo</w:t>
      </w:r>
      <w:r>
        <w:rPr>
          <w:rFonts w:ascii="Arial" w:hAnsi="Arial"/>
          <w:b/>
          <w:spacing w:val="-9"/>
          <w:sz w:val="20"/>
        </w:rPr>
        <w:t> </w:t>
      </w:r>
      <w:r>
        <w:rPr>
          <w:rFonts w:ascii="Arial" w:hAnsi="Arial"/>
          <w:b/>
          <w:sz w:val="20"/>
        </w:rPr>
        <w:t>742.-</w:t>
      </w:r>
      <w:r>
        <w:rPr>
          <w:rFonts w:ascii="Arial" w:hAnsi="Arial"/>
          <w:b/>
          <w:spacing w:val="-6"/>
          <w:sz w:val="20"/>
        </w:rPr>
        <w:t> </w:t>
      </w:r>
      <w:r>
        <w:rPr>
          <w:sz w:val="20"/>
        </w:rPr>
        <w:t>Se</w:t>
      </w:r>
      <w:r>
        <w:rPr>
          <w:spacing w:val="-8"/>
          <w:sz w:val="20"/>
        </w:rPr>
        <w:t> </w:t>
      </w:r>
      <w:r>
        <w:rPr>
          <w:sz w:val="20"/>
        </w:rPr>
        <w:t>harán</w:t>
      </w:r>
      <w:r>
        <w:rPr>
          <w:spacing w:val="-7"/>
          <w:sz w:val="20"/>
        </w:rPr>
        <w:t> </w:t>
      </w:r>
      <w:r>
        <w:rPr>
          <w:sz w:val="20"/>
        </w:rPr>
        <w:t>personalmente</w:t>
      </w:r>
      <w:r>
        <w:rPr>
          <w:spacing w:val="-10"/>
          <w:sz w:val="20"/>
        </w:rPr>
        <w:t> </w:t>
      </w:r>
      <w:r>
        <w:rPr>
          <w:sz w:val="20"/>
        </w:rPr>
        <w:t>las</w:t>
      </w:r>
      <w:r>
        <w:rPr>
          <w:spacing w:val="-9"/>
          <w:sz w:val="20"/>
        </w:rPr>
        <w:t> </w:t>
      </w:r>
      <w:r>
        <w:rPr>
          <w:sz w:val="20"/>
        </w:rPr>
        <w:t>notificaciones</w:t>
      </w:r>
      <w:r>
        <w:rPr>
          <w:spacing w:val="-8"/>
          <w:sz w:val="20"/>
        </w:rPr>
        <w:t> </w:t>
      </w:r>
      <w:r>
        <w:rPr>
          <w:spacing w:val="-2"/>
          <w:sz w:val="20"/>
        </w:rPr>
        <w:t>siguientes:</w:t>
      </w:r>
    </w:p>
    <w:p>
      <w:pPr>
        <w:pStyle w:val="BodyText"/>
        <w:spacing w:before="1"/>
      </w:pPr>
    </w:p>
    <w:p>
      <w:pPr>
        <w:pStyle w:val="ListParagraph"/>
        <w:numPr>
          <w:ilvl w:val="0"/>
          <w:numId w:val="294"/>
        </w:numPr>
        <w:tabs>
          <w:tab w:pos="1195" w:val="left" w:leader="none"/>
        </w:tabs>
        <w:spacing w:line="240" w:lineRule="auto" w:before="1" w:after="0"/>
        <w:ind w:left="1195" w:right="0" w:hanging="569"/>
        <w:jc w:val="left"/>
        <w:rPr>
          <w:sz w:val="20"/>
        </w:rPr>
      </w:pPr>
      <w:r>
        <w:rPr>
          <w:sz w:val="20"/>
        </w:rPr>
        <w:t>El</w:t>
      </w:r>
      <w:r>
        <w:rPr>
          <w:spacing w:val="-5"/>
          <w:sz w:val="20"/>
        </w:rPr>
        <w:t> </w:t>
      </w:r>
      <w:r>
        <w:rPr>
          <w:sz w:val="20"/>
        </w:rPr>
        <w:t>emplazamiento</w:t>
      </w:r>
      <w:r>
        <w:rPr>
          <w:spacing w:val="-4"/>
          <w:sz w:val="20"/>
        </w:rPr>
        <w:t> </w:t>
      </w:r>
      <w:r>
        <w:rPr>
          <w:sz w:val="20"/>
        </w:rPr>
        <w:t>a</w:t>
      </w:r>
      <w:r>
        <w:rPr>
          <w:spacing w:val="-6"/>
          <w:sz w:val="20"/>
        </w:rPr>
        <w:t> </w:t>
      </w:r>
      <w:r>
        <w:rPr>
          <w:sz w:val="20"/>
        </w:rPr>
        <w:t>juicio</w:t>
      </w:r>
      <w:r>
        <w:rPr>
          <w:spacing w:val="-2"/>
          <w:sz w:val="20"/>
        </w:rPr>
        <w:t> </w:t>
      </w:r>
      <w:r>
        <w:rPr>
          <w:sz w:val="20"/>
        </w:rPr>
        <w:t>y</w:t>
      </w:r>
      <w:r>
        <w:rPr>
          <w:spacing w:val="-6"/>
          <w:sz w:val="20"/>
        </w:rPr>
        <w:t> </w:t>
      </w:r>
      <w:r>
        <w:rPr>
          <w:sz w:val="20"/>
        </w:rPr>
        <w:t>cuando</w:t>
      </w:r>
      <w:r>
        <w:rPr>
          <w:spacing w:val="-5"/>
          <w:sz w:val="20"/>
        </w:rPr>
        <w:t> </w:t>
      </w:r>
      <w:r>
        <w:rPr>
          <w:sz w:val="20"/>
        </w:rPr>
        <w:t>se</w:t>
      </w:r>
      <w:r>
        <w:rPr>
          <w:spacing w:val="-6"/>
          <w:sz w:val="20"/>
        </w:rPr>
        <w:t> </w:t>
      </w:r>
      <w:r>
        <w:rPr>
          <w:sz w:val="20"/>
        </w:rPr>
        <w:t>trate</w:t>
      </w:r>
      <w:r>
        <w:rPr>
          <w:spacing w:val="-5"/>
          <w:sz w:val="20"/>
        </w:rPr>
        <w:t> </w:t>
      </w:r>
      <w:r>
        <w:rPr>
          <w:sz w:val="20"/>
        </w:rPr>
        <w:t>del</w:t>
      </w:r>
      <w:r>
        <w:rPr>
          <w:spacing w:val="-5"/>
          <w:sz w:val="20"/>
        </w:rPr>
        <w:t> </w:t>
      </w:r>
      <w:r>
        <w:rPr>
          <w:sz w:val="20"/>
        </w:rPr>
        <w:t>primer</w:t>
      </w:r>
      <w:r>
        <w:rPr>
          <w:spacing w:val="-7"/>
          <w:sz w:val="20"/>
        </w:rPr>
        <w:t> </w:t>
      </w:r>
      <w:r>
        <w:rPr>
          <w:sz w:val="20"/>
        </w:rPr>
        <w:t>proveído</w:t>
      </w:r>
      <w:r>
        <w:rPr>
          <w:spacing w:val="-5"/>
          <w:sz w:val="20"/>
        </w:rPr>
        <w:t> </w:t>
      </w:r>
      <w:r>
        <w:rPr>
          <w:sz w:val="20"/>
        </w:rPr>
        <w:t>que</w:t>
      </w:r>
      <w:r>
        <w:rPr>
          <w:spacing w:val="-5"/>
          <w:sz w:val="20"/>
        </w:rPr>
        <w:t> </w:t>
      </w:r>
      <w:r>
        <w:rPr>
          <w:sz w:val="20"/>
        </w:rPr>
        <w:t>se</w:t>
      </w:r>
      <w:r>
        <w:rPr>
          <w:spacing w:val="-5"/>
          <w:sz w:val="20"/>
        </w:rPr>
        <w:t> </w:t>
      </w:r>
      <w:r>
        <w:rPr>
          <w:sz w:val="20"/>
        </w:rPr>
        <w:t>dicte</w:t>
      </w:r>
      <w:r>
        <w:rPr>
          <w:spacing w:val="-7"/>
          <w:sz w:val="20"/>
        </w:rPr>
        <w:t> </w:t>
      </w:r>
      <w:r>
        <w:rPr>
          <w:sz w:val="20"/>
        </w:rPr>
        <w:t>en</w:t>
      </w:r>
      <w:r>
        <w:rPr>
          <w:spacing w:val="-5"/>
          <w:sz w:val="20"/>
        </w:rPr>
        <w:t> </w:t>
      </w:r>
      <w:r>
        <w:rPr>
          <w:sz w:val="20"/>
        </w:rPr>
        <w:t>el</w:t>
      </w:r>
      <w:r>
        <w:rPr>
          <w:spacing w:val="-5"/>
          <w:sz w:val="20"/>
        </w:rPr>
        <w:t> </w:t>
      </w:r>
      <w:r>
        <w:rPr>
          <w:spacing w:val="-2"/>
          <w:sz w:val="20"/>
        </w:rPr>
        <w:t>mismo;</w:t>
      </w:r>
    </w:p>
    <w:p>
      <w:pPr>
        <w:pStyle w:val="ListParagraph"/>
        <w:numPr>
          <w:ilvl w:val="0"/>
          <w:numId w:val="294"/>
        </w:numPr>
        <w:tabs>
          <w:tab w:pos="1195" w:val="left" w:leader="none"/>
        </w:tabs>
        <w:spacing w:line="242" w:lineRule="auto" w:before="228" w:after="0"/>
        <w:ind w:left="1195" w:right="346" w:hanging="569"/>
        <w:jc w:val="left"/>
        <w:rPr>
          <w:sz w:val="20"/>
        </w:rPr>
      </w:pPr>
      <w:r>
        <w:rPr>
          <w:sz w:val="20"/>
        </w:rPr>
        <w:t>El</w:t>
      </w:r>
      <w:r>
        <w:rPr>
          <w:spacing w:val="-1"/>
          <w:sz w:val="20"/>
        </w:rPr>
        <w:t> </w:t>
      </w:r>
      <w:r>
        <w:rPr>
          <w:sz w:val="20"/>
        </w:rPr>
        <w:t>auto de radicación</w:t>
      </w:r>
      <w:r>
        <w:rPr>
          <w:spacing w:val="-2"/>
          <w:sz w:val="20"/>
        </w:rPr>
        <w:t> </w:t>
      </w:r>
      <w:r>
        <w:rPr>
          <w:sz w:val="20"/>
        </w:rPr>
        <w:t>del</w:t>
      </w:r>
      <w:r>
        <w:rPr>
          <w:spacing w:val="-1"/>
          <w:sz w:val="20"/>
        </w:rPr>
        <w:t> </w:t>
      </w:r>
      <w:r>
        <w:rPr>
          <w:sz w:val="20"/>
        </w:rPr>
        <w:t>juicio, que dicten los</w:t>
      </w:r>
      <w:r>
        <w:rPr>
          <w:spacing w:val="-1"/>
          <w:sz w:val="20"/>
        </w:rPr>
        <w:t> </w:t>
      </w:r>
      <w:r>
        <w:rPr>
          <w:sz w:val="20"/>
        </w:rPr>
        <w:t>Tribunales</w:t>
      </w:r>
      <w:r>
        <w:rPr>
          <w:spacing w:val="-1"/>
          <w:sz w:val="20"/>
        </w:rPr>
        <w:t> </w:t>
      </w:r>
      <w:r>
        <w:rPr>
          <w:sz w:val="20"/>
        </w:rPr>
        <w:t>en los</w:t>
      </w:r>
      <w:r>
        <w:rPr>
          <w:spacing w:val="-1"/>
          <w:sz w:val="20"/>
        </w:rPr>
        <w:t> </w:t>
      </w:r>
      <w:r>
        <w:rPr>
          <w:sz w:val="20"/>
        </w:rPr>
        <w:t>expedientes</w:t>
      </w:r>
      <w:r>
        <w:rPr>
          <w:spacing w:val="-1"/>
          <w:sz w:val="20"/>
        </w:rPr>
        <w:t> </w:t>
      </w:r>
      <w:r>
        <w:rPr>
          <w:sz w:val="20"/>
        </w:rPr>
        <w:t>que les</w:t>
      </w:r>
      <w:r>
        <w:rPr>
          <w:spacing w:val="-1"/>
          <w:sz w:val="20"/>
        </w:rPr>
        <w:t> </w:t>
      </w:r>
      <w:r>
        <w:rPr>
          <w:sz w:val="20"/>
        </w:rPr>
        <w:t>remitan los tribunales de otra competencia;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ListParagraph"/>
        <w:numPr>
          <w:ilvl w:val="0"/>
          <w:numId w:val="294"/>
        </w:numPr>
        <w:tabs>
          <w:tab w:pos="1195" w:val="left" w:leader="none"/>
        </w:tabs>
        <w:spacing w:line="240" w:lineRule="auto" w:before="229" w:after="0"/>
        <w:ind w:left="1195" w:right="0" w:hanging="569"/>
        <w:jc w:val="left"/>
        <w:rPr>
          <w:sz w:val="20"/>
        </w:rPr>
      </w:pPr>
      <w:r>
        <w:rPr>
          <w:sz w:val="20"/>
        </w:rPr>
        <w:t>La</w:t>
      </w:r>
      <w:r>
        <w:rPr>
          <w:spacing w:val="-7"/>
          <w:sz w:val="20"/>
        </w:rPr>
        <w:t> </w:t>
      </w:r>
      <w:r>
        <w:rPr>
          <w:sz w:val="20"/>
        </w:rPr>
        <w:t>resolución</w:t>
      </w:r>
      <w:r>
        <w:rPr>
          <w:spacing w:val="-6"/>
          <w:sz w:val="20"/>
        </w:rPr>
        <w:t> </w:t>
      </w:r>
      <w:r>
        <w:rPr>
          <w:sz w:val="20"/>
        </w:rPr>
        <w:t>en</w:t>
      </w:r>
      <w:r>
        <w:rPr>
          <w:spacing w:val="-6"/>
          <w:sz w:val="20"/>
        </w:rPr>
        <w:t> </w:t>
      </w:r>
      <w:r>
        <w:rPr>
          <w:sz w:val="20"/>
        </w:rPr>
        <w:t>que</w:t>
      </w:r>
      <w:r>
        <w:rPr>
          <w:spacing w:val="-6"/>
          <w:sz w:val="20"/>
        </w:rPr>
        <w:t> </w:t>
      </w:r>
      <w:r>
        <w:rPr>
          <w:sz w:val="20"/>
        </w:rPr>
        <w:t>un</w:t>
      </w:r>
      <w:r>
        <w:rPr>
          <w:spacing w:val="-6"/>
          <w:sz w:val="20"/>
        </w:rPr>
        <w:t> </w:t>
      </w:r>
      <w:r>
        <w:rPr>
          <w:sz w:val="20"/>
        </w:rPr>
        <w:t>Tribunal</w:t>
      </w:r>
      <w:r>
        <w:rPr>
          <w:spacing w:val="-7"/>
          <w:sz w:val="20"/>
        </w:rPr>
        <w:t> </w:t>
      </w:r>
      <w:r>
        <w:rPr>
          <w:sz w:val="20"/>
        </w:rPr>
        <w:t>se</w:t>
      </w:r>
      <w:r>
        <w:rPr>
          <w:spacing w:val="-4"/>
          <w:sz w:val="20"/>
        </w:rPr>
        <w:t> </w:t>
      </w:r>
      <w:r>
        <w:rPr>
          <w:sz w:val="20"/>
        </w:rPr>
        <w:t>declare</w:t>
      </w:r>
      <w:r>
        <w:rPr>
          <w:spacing w:val="-6"/>
          <w:sz w:val="20"/>
        </w:rPr>
        <w:t> </w:t>
      </w:r>
      <w:r>
        <w:rPr>
          <w:spacing w:val="-2"/>
          <w:sz w:val="20"/>
        </w:rPr>
        <w:t>incompetente;</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294"/>
        </w:numPr>
        <w:tabs>
          <w:tab w:pos="1195" w:val="left" w:leader="none"/>
        </w:tabs>
        <w:spacing w:line="240" w:lineRule="auto" w:before="0" w:after="0"/>
        <w:ind w:left="1195" w:right="0" w:hanging="569"/>
        <w:jc w:val="left"/>
        <w:rPr>
          <w:sz w:val="20"/>
        </w:rPr>
      </w:pPr>
      <w:r>
        <w:rPr>
          <w:sz w:val="20"/>
        </w:rPr>
        <w:t>El</w:t>
      </w:r>
      <w:r>
        <w:rPr>
          <w:spacing w:val="-6"/>
          <w:sz w:val="20"/>
        </w:rPr>
        <w:t> </w:t>
      </w:r>
      <w:r>
        <w:rPr>
          <w:sz w:val="20"/>
        </w:rPr>
        <w:t>auto</w:t>
      </w:r>
      <w:r>
        <w:rPr>
          <w:spacing w:val="-4"/>
          <w:sz w:val="20"/>
        </w:rPr>
        <w:t> </w:t>
      </w:r>
      <w:r>
        <w:rPr>
          <w:sz w:val="20"/>
        </w:rPr>
        <w:t>que</w:t>
      </w:r>
      <w:r>
        <w:rPr>
          <w:spacing w:val="-6"/>
          <w:sz w:val="20"/>
        </w:rPr>
        <w:t> </w:t>
      </w:r>
      <w:r>
        <w:rPr>
          <w:sz w:val="20"/>
        </w:rPr>
        <w:t>recaiga</w:t>
      </w:r>
      <w:r>
        <w:rPr>
          <w:spacing w:val="-5"/>
          <w:sz w:val="20"/>
        </w:rPr>
        <w:t> </w:t>
      </w:r>
      <w:r>
        <w:rPr>
          <w:sz w:val="20"/>
        </w:rPr>
        <w:t>al</w:t>
      </w:r>
      <w:r>
        <w:rPr>
          <w:spacing w:val="-7"/>
          <w:sz w:val="20"/>
        </w:rPr>
        <w:t> </w:t>
      </w:r>
      <w:r>
        <w:rPr>
          <w:sz w:val="20"/>
        </w:rPr>
        <w:t>recibir</w:t>
      </w:r>
      <w:r>
        <w:rPr>
          <w:spacing w:val="-6"/>
          <w:sz w:val="20"/>
        </w:rPr>
        <w:t> </w:t>
      </w:r>
      <w:r>
        <w:rPr>
          <w:sz w:val="20"/>
        </w:rPr>
        <w:t>la</w:t>
      </w:r>
      <w:r>
        <w:rPr>
          <w:spacing w:val="-6"/>
          <w:sz w:val="20"/>
        </w:rPr>
        <w:t> </w:t>
      </w:r>
      <w:r>
        <w:rPr>
          <w:sz w:val="20"/>
        </w:rPr>
        <w:t>sentencia</w:t>
      </w:r>
      <w:r>
        <w:rPr>
          <w:spacing w:val="-4"/>
          <w:sz w:val="20"/>
        </w:rPr>
        <w:t> </w:t>
      </w:r>
      <w:r>
        <w:rPr>
          <w:sz w:val="20"/>
        </w:rPr>
        <w:t>de</w:t>
      </w:r>
      <w:r>
        <w:rPr>
          <w:spacing w:val="-5"/>
          <w:sz w:val="20"/>
        </w:rPr>
        <w:t> </w:t>
      </w:r>
      <w:r>
        <w:rPr>
          <w:spacing w:val="-2"/>
          <w:sz w:val="20"/>
        </w:rPr>
        <w:t>amparo;</w:t>
      </w:r>
    </w:p>
    <w:p>
      <w:pPr>
        <w:pStyle w:val="ListParagraph"/>
        <w:numPr>
          <w:ilvl w:val="0"/>
          <w:numId w:val="294"/>
        </w:numPr>
        <w:tabs>
          <w:tab w:pos="1195" w:val="left" w:leader="none"/>
        </w:tabs>
        <w:spacing w:line="242" w:lineRule="auto" w:before="229" w:after="0"/>
        <w:ind w:left="1195" w:right="339" w:hanging="569"/>
        <w:jc w:val="both"/>
        <w:rPr>
          <w:sz w:val="20"/>
        </w:rPr>
      </w:pPr>
      <w:r>
        <w:rPr>
          <w:sz w:val="20"/>
        </w:rPr>
        <w:t>La resolución que ordene la reanudación del procedimiento; cuya tramitación estuviese interrumpida o suspendida por cualquier causa legal;</w:t>
      </w:r>
    </w:p>
    <w:p>
      <w:pPr>
        <w:pStyle w:val="ListParagraph"/>
        <w:numPr>
          <w:ilvl w:val="0"/>
          <w:numId w:val="294"/>
        </w:numPr>
        <w:tabs>
          <w:tab w:pos="1195" w:val="left" w:leader="none"/>
        </w:tabs>
        <w:spacing w:line="242" w:lineRule="auto" w:before="225" w:after="0"/>
        <w:ind w:left="1195" w:right="340" w:hanging="569"/>
        <w:jc w:val="both"/>
        <w:rPr>
          <w:sz w:val="20"/>
        </w:rPr>
      </w:pPr>
      <w:r>
        <w:rPr>
          <w:sz w:val="20"/>
        </w:rPr>
        <w:t>El auto que cite a absolver posiciones o responder un interrogatorio, siempre y cuando por causa justificada el absolvente o testigo, a criterio del juez no pueda ser presentado a la audiencia de juicio por las partes;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294"/>
        </w:numPr>
        <w:tabs>
          <w:tab w:pos="1195" w:val="left" w:leader="none"/>
        </w:tabs>
        <w:spacing w:line="240" w:lineRule="auto" w:before="0" w:after="0"/>
        <w:ind w:left="1195" w:right="0" w:hanging="569"/>
        <w:jc w:val="left"/>
        <w:rPr>
          <w:sz w:val="20"/>
        </w:rPr>
      </w:pPr>
      <w:r>
        <w:rPr>
          <w:sz w:val="20"/>
        </w:rPr>
        <w:t>La</w:t>
      </w:r>
      <w:r>
        <w:rPr>
          <w:spacing w:val="-8"/>
          <w:sz w:val="20"/>
        </w:rPr>
        <w:t> </w:t>
      </w:r>
      <w:r>
        <w:rPr>
          <w:sz w:val="20"/>
        </w:rPr>
        <w:t>resolución</w:t>
      </w:r>
      <w:r>
        <w:rPr>
          <w:spacing w:val="-6"/>
          <w:sz w:val="20"/>
        </w:rPr>
        <w:t> </w:t>
      </w:r>
      <w:r>
        <w:rPr>
          <w:sz w:val="20"/>
        </w:rPr>
        <w:t>que</w:t>
      </w:r>
      <w:r>
        <w:rPr>
          <w:spacing w:val="-8"/>
          <w:sz w:val="20"/>
        </w:rPr>
        <w:t> </w:t>
      </w:r>
      <w:r>
        <w:rPr>
          <w:sz w:val="20"/>
        </w:rPr>
        <w:t>deban</w:t>
      </w:r>
      <w:r>
        <w:rPr>
          <w:spacing w:val="-6"/>
          <w:sz w:val="20"/>
        </w:rPr>
        <w:t> </w:t>
      </w:r>
      <w:r>
        <w:rPr>
          <w:sz w:val="20"/>
        </w:rPr>
        <w:t>conocer</w:t>
      </w:r>
      <w:r>
        <w:rPr>
          <w:spacing w:val="-7"/>
          <w:sz w:val="20"/>
        </w:rPr>
        <w:t> </w:t>
      </w:r>
      <w:r>
        <w:rPr>
          <w:sz w:val="20"/>
        </w:rPr>
        <w:t>los</w:t>
      </w:r>
      <w:r>
        <w:rPr>
          <w:spacing w:val="-5"/>
          <w:sz w:val="20"/>
        </w:rPr>
        <w:t> </w:t>
      </w:r>
      <w:r>
        <w:rPr>
          <w:sz w:val="20"/>
        </w:rPr>
        <w:t>terceros</w:t>
      </w:r>
      <w:r>
        <w:rPr>
          <w:spacing w:val="-5"/>
          <w:sz w:val="20"/>
        </w:rPr>
        <w:t> </w:t>
      </w:r>
      <w:r>
        <w:rPr>
          <w:sz w:val="20"/>
        </w:rPr>
        <w:t>extraños</w:t>
      </w:r>
      <w:r>
        <w:rPr>
          <w:spacing w:val="-5"/>
          <w:sz w:val="20"/>
        </w:rPr>
        <w:t> </w:t>
      </w:r>
      <w:r>
        <w:rPr>
          <w:sz w:val="20"/>
        </w:rPr>
        <w:t>al</w:t>
      </w:r>
      <w:r>
        <w:rPr>
          <w:spacing w:val="-8"/>
          <w:sz w:val="20"/>
        </w:rPr>
        <w:t> </w:t>
      </w:r>
      <w:r>
        <w:rPr>
          <w:spacing w:val="-2"/>
          <w:sz w:val="20"/>
        </w:rPr>
        <w:t>juicio;</w:t>
      </w:r>
    </w:p>
    <w:p>
      <w:pPr>
        <w:pStyle w:val="BodyText"/>
        <w:spacing w:before="1"/>
      </w:pPr>
    </w:p>
    <w:p>
      <w:pPr>
        <w:pStyle w:val="ListParagraph"/>
        <w:numPr>
          <w:ilvl w:val="0"/>
          <w:numId w:val="294"/>
        </w:numPr>
        <w:tabs>
          <w:tab w:pos="1195" w:val="left" w:leader="none"/>
        </w:tabs>
        <w:spacing w:line="229" w:lineRule="exact" w:before="0" w:after="0"/>
        <w:ind w:left="1195" w:right="0" w:hanging="569"/>
        <w:jc w:val="left"/>
        <w:rPr>
          <w:sz w:val="20"/>
        </w:rPr>
      </w:pPr>
      <w:r>
        <w:rPr>
          <w:sz w:val="20"/>
        </w:rPr>
        <w:t>La</w:t>
      </w:r>
      <w:r>
        <w:rPr>
          <w:spacing w:val="-8"/>
          <w:sz w:val="20"/>
        </w:rPr>
        <w:t> </w:t>
      </w:r>
      <w:r>
        <w:rPr>
          <w:sz w:val="20"/>
        </w:rPr>
        <w:t>sentencia</w:t>
      </w:r>
      <w:r>
        <w:rPr>
          <w:spacing w:val="-6"/>
          <w:sz w:val="20"/>
        </w:rPr>
        <w:t> </w:t>
      </w:r>
      <w:r>
        <w:rPr>
          <w:sz w:val="20"/>
        </w:rPr>
        <w:t>laboral,</w:t>
      </w:r>
      <w:r>
        <w:rPr>
          <w:spacing w:val="-7"/>
          <w:sz w:val="20"/>
        </w:rPr>
        <w:t> </w:t>
      </w:r>
      <w:r>
        <w:rPr>
          <w:sz w:val="20"/>
        </w:rPr>
        <w:t>cuando</w:t>
      </w:r>
      <w:r>
        <w:rPr>
          <w:spacing w:val="-6"/>
          <w:sz w:val="20"/>
        </w:rPr>
        <w:t> </w:t>
      </w:r>
      <w:r>
        <w:rPr>
          <w:sz w:val="20"/>
        </w:rPr>
        <w:t>ésta</w:t>
      </w:r>
      <w:r>
        <w:rPr>
          <w:spacing w:val="-5"/>
          <w:sz w:val="20"/>
        </w:rPr>
        <w:t> </w:t>
      </w:r>
      <w:r>
        <w:rPr>
          <w:sz w:val="20"/>
        </w:rPr>
        <w:t>no</w:t>
      </w:r>
      <w:r>
        <w:rPr>
          <w:spacing w:val="-7"/>
          <w:sz w:val="20"/>
        </w:rPr>
        <w:t> </w:t>
      </w:r>
      <w:r>
        <w:rPr>
          <w:sz w:val="20"/>
        </w:rPr>
        <w:t>se</w:t>
      </w:r>
      <w:r>
        <w:rPr>
          <w:spacing w:val="-5"/>
          <w:sz w:val="20"/>
        </w:rPr>
        <w:t> </w:t>
      </w:r>
      <w:r>
        <w:rPr>
          <w:sz w:val="20"/>
        </w:rPr>
        <w:t>dicte</w:t>
      </w:r>
      <w:r>
        <w:rPr>
          <w:spacing w:val="-4"/>
          <w:sz w:val="20"/>
        </w:rPr>
        <w:t> </w:t>
      </w:r>
      <w:r>
        <w:rPr>
          <w:sz w:val="20"/>
        </w:rPr>
        <w:t>en</w:t>
      </w:r>
      <w:r>
        <w:rPr>
          <w:spacing w:val="-6"/>
          <w:sz w:val="20"/>
        </w:rPr>
        <w:t> </w:t>
      </w:r>
      <w:r>
        <w:rPr>
          <w:sz w:val="20"/>
        </w:rPr>
        <w:t>la</w:t>
      </w:r>
      <w:r>
        <w:rPr>
          <w:spacing w:val="-4"/>
          <w:sz w:val="20"/>
        </w:rPr>
        <w:t> </w:t>
      </w:r>
      <w:r>
        <w:rPr>
          <w:sz w:val="20"/>
        </w:rPr>
        <w:t>audiencia</w:t>
      </w:r>
      <w:r>
        <w:rPr>
          <w:spacing w:val="-7"/>
          <w:sz w:val="20"/>
        </w:rPr>
        <w:t> </w:t>
      </w:r>
      <w:r>
        <w:rPr>
          <w:sz w:val="20"/>
        </w:rPr>
        <w:t>de</w:t>
      </w:r>
      <w:r>
        <w:rPr>
          <w:spacing w:val="-6"/>
          <w:sz w:val="20"/>
        </w:rPr>
        <w:t> </w:t>
      </w:r>
      <w:r>
        <w:rPr>
          <w:spacing w:val="-2"/>
          <w:sz w:val="20"/>
        </w:rPr>
        <w:t>juicio;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94"/>
        </w:numPr>
        <w:tabs>
          <w:tab w:pos="1195" w:val="left" w:leader="none"/>
        </w:tabs>
        <w:spacing w:line="240" w:lineRule="auto" w:before="0" w:after="0"/>
        <w:ind w:left="1195" w:right="0" w:hanging="569"/>
        <w:jc w:val="left"/>
        <w:rPr>
          <w:sz w:val="20"/>
        </w:rPr>
      </w:pPr>
      <w:r>
        <w:rPr>
          <w:sz w:val="20"/>
        </w:rPr>
        <w:t>El</w:t>
      </w:r>
      <w:r>
        <w:rPr>
          <w:spacing w:val="-5"/>
          <w:sz w:val="20"/>
        </w:rPr>
        <w:t> </w:t>
      </w:r>
      <w:r>
        <w:rPr>
          <w:sz w:val="20"/>
        </w:rPr>
        <w:t>auto</w:t>
      </w:r>
      <w:r>
        <w:rPr>
          <w:spacing w:val="-4"/>
          <w:sz w:val="20"/>
        </w:rPr>
        <w:t> </w:t>
      </w:r>
      <w:r>
        <w:rPr>
          <w:sz w:val="20"/>
        </w:rPr>
        <w:t>que</w:t>
      </w:r>
      <w:r>
        <w:rPr>
          <w:spacing w:val="-6"/>
          <w:sz w:val="20"/>
        </w:rPr>
        <w:t> </w:t>
      </w:r>
      <w:r>
        <w:rPr>
          <w:sz w:val="20"/>
        </w:rPr>
        <w:t>conceda</w:t>
      </w:r>
      <w:r>
        <w:rPr>
          <w:spacing w:val="-7"/>
          <w:sz w:val="20"/>
        </w:rPr>
        <w:t> </w:t>
      </w:r>
      <w:r>
        <w:rPr>
          <w:sz w:val="20"/>
        </w:rPr>
        <w:t>término</w:t>
      </w:r>
      <w:r>
        <w:rPr>
          <w:spacing w:val="-6"/>
          <w:sz w:val="20"/>
        </w:rPr>
        <w:t> </w:t>
      </w:r>
      <w:r>
        <w:rPr>
          <w:sz w:val="20"/>
        </w:rPr>
        <w:t>o</w:t>
      </w:r>
      <w:r>
        <w:rPr>
          <w:spacing w:val="-7"/>
          <w:sz w:val="20"/>
        </w:rPr>
        <w:t> </w:t>
      </w:r>
      <w:r>
        <w:rPr>
          <w:sz w:val="20"/>
        </w:rPr>
        <w:t>señale</w:t>
      </w:r>
      <w:r>
        <w:rPr>
          <w:spacing w:val="-6"/>
          <w:sz w:val="20"/>
        </w:rPr>
        <w:t> </w:t>
      </w:r>
      <w:r>
        <w:rPr>
          <w:sz w:val="20"/>
        </w:rPr>
        <w:t>fecha</w:t>
      </w:r>
      <w:r>
        <w:rPr>
          <w:spacing w:val="-6"/>
          <w:sz w:val="20"/>
        </w:rPr>
        <w:t> </w:t>
      </w:r>
      <w:r>
        <w:rPr>
          <w:sz w:val="20"/>
        </w:rPr>
        <w:t>para</w:t>
      </w:r>
      <w:r>
        <w:rPr>
          <w:spacing w:val="-6"/>
          <w:sz w:val="20"/>
        </w:rPr>
        <w:t> </w:t>
      </w:r>
      <w:r>
        <w:rPr>
          <w:sz w:val="20"/>
        </w:rPr>
        <w:t>que</w:t>
      </w:r>
      <w:r>
        <w:rPr>
          <w:spacing w:val="-4"/>
          <w:sz w:val="20"/>
        </w:rPr>
        <w:t> </w:t>
      </w:r>
      <w:r>
        <w:rPr>
          <w:sz w:val="20"/>
        </w:rPr>
        <w:t>el</w:t>
      </w:r>
      <w:r>
        <w:rPr>
          <w:spacing w:val="-6"/>
          <w:sz w:val="20"/>
        </w:rPr>
        <w:t> </w:t>
      </w:r>
      <w:r>
        <w:rPr>
          <w:sz w:val="20"/>
        </w:rPr>
        <w:t>trabajador</w:t>
      </w:r>
      <w:r>
        <w:rPr>
          <w:spacing w:val="-6"/>
          <w:sz w:val="20"/>
        </w:rPr>
        <w:t> </w:t>
      </w:r>
      <w:r>
        <w:rPr>
          <w:sz w:val="20"/>
        </w:rPr>
        <w:t>sea</w:t>
      </w:r>
      <w:r>
        <w:rPr>
          <w:spacing w:val="-7"/>
          <w:sz w:val="20"/>
        </w:rPr>
        <w:t> </w:t>
      </w:r>
      <w:r>
        <w:rPr>
          <w:spacing w:val="-2"/>
          <w:sz w:val="20"/>
        </w:rPr>
        <w:t>reinstalado;</w:t>
      </w:r>
    </w:p>
    <w:p>
      <w:pPr>
        <w:pStyle w:val="ListParagraph"/>
        <w:numPr>
          <w:ilvl w:val="0"/>
          <w:numId w:val="294"/>
        </w:numPr>
        <w:tabs>
          <w:tab w:pos="1195" w:val="left" w:leader="none"/>
        </w:tabs>
        <w:spacing w:line="240" w:lineRule="auto" w:before="229" w:after="0"/>
        <w:ind w:left="1195" w:right="0" w:hanging="569"/>
        <w:jc w:val="left"/>
        <w:rPr>
          <w:sz w:val="20"/>
        </w:rPr>
      </w:pPr>
      <w:r>
        <w:rPr>
          <w:sz w:val="20"/>
        </w:rPr>
        <w:t>El</w:t>
      </w:r>
      <w:r>
        <w:rPr>
          <w:spacing w:val="-6"/>
          <w:sz w:val="20"/>
        </w:rPr>
        <w:t> </w:t>
      </w:r>
      <w:r>
        <w:rPr>
          <w:sz w:val="20"/>
        </w:rPr>
        <w:t>auto</w:t>
      </w:r>
      <w:r>
        <w:rPr>
          <w:spacing w:val="-4"/>
          <w:sz w:val="20"/>
        </w:rPr>
        <w:t> </w:t>
      </w:r>
      <w:r>
        <w:rPr>
          <w:sz w:val="20"/>
        </w:rPr>
        <w:t>por</w:t>
      </w:r>
      <w:r>
        <w:rPr>
          <w:spacing w:val="-3"/>
          <w:sz w:val="20"/>
        </w:rPr>
        <w:t> </w:t>
      </w:r>
      <w:r>
        <w:rPr>
          <w:sz w:val="20"/>
        </w:rPr>
        <w:t>el</w:t>
      </w:r>
      <w:r>
        <w:rPr>
          <w:spacing w:val="-5"/>
          <w:sz w:val="20"/>
        </w:rPr>
        <w:t> </w:t>
      </w:r>
      <w:r>
        <w:rPr>
          <w:sz w:val="20"/>
        </w:rPr>
        <w:t>que</w:t>
      </w:r>
      <w:r>
        <w:rPr>
          <w:spacing w:val="-6"/>
          <w:sz w:val="20"/>
        </w:rPr>
        <w:t> </w:t>
      </w:r>
      <w:r>
        <w:rPr>
          <w:sz w:val="20"/>
        </w:rPr>
        <w:t>se</w:t>
      </w:r>
      <w:r>
        <w:rPr>
          <w:spacing w:val="-5"/>
          <w:sz w:val="20"/>
        </w:rPr>
        <w:t> </w:t>
      </w:r>
      <w:r>
        <w:rPr>
          <w:sz w:val="20"/>
        </w:rPr>
        <w:t>ordena</w:t>
      </w:r>
      <w:r>
        <w:rPr>
          <w:spacing w:val="-6"/>
          <w:sz w:val="20"/>
        </w:rPr>
        <w:t> </w:t>
      </w:r>
      <w:r>
        <w:rPr>
          <w:sz w:val="20"/>
        </w:rPr>
        <w:t>la</w:t>
      </w:r>
      <w:r>
        <w:rPr>
          <w:spacing w:val="-4"/>
          <w:sz w:val="20"/>
        </w:rPr>
        <w:t> </w:t>
      </w:r>
      <w:r>
        <w:rPr>
          <w:sz w:val="20"/>
        </w:rPr>
        <w:t>reposición</w:t>
      </w:r>
      <w:r>
        <w:rPr>
          <w:spacing w:val="-4"/>
          <w:sz w:val="20"/>
        </w:rPr>
        <w:t> </w:t>
      </w:r>
      <w:r>
        <w:rPr>
          <w:sz w:val="20"/>
        </w:rPr>
        <w:t>de</w:t>
      </w:r>
      <w:r>
        <w:rPr>
          <w:spacing w:val="-5"/>
          <w:sz w:val="20"/>
        </w:rPr>
        <w:t> </w:t>
      </w:r>
      <w:r>
        <w:rPr>
          <w:spacing w:val="-2"/>
          <w:sz w:val="20"/>
        </w:rPr>
        <w:t>actuaciones;</w:t>
      </w:r>
    </w:p>
    <w:p>
      <w:pPr>
        <w:pStyle w:val="BodyText"/>
      </w:pPr>
    </w:p>
    <w:p>
      <w:pPr>
        <w:pStyle w:val="ListParagraph"/>
        <w:numPr>
          <w:ilvl w:val="0"/>
          <w:numId w:val="294"/>
        </w:numPr>
        <w:tabs>
          <w:tab w:pos="1195" w:val="left" w:leader="none"/>
        </w:tabs>
        <w:spacing w:line="240" w:lineRule="auto" w:before="1" w:after="0"/>
        <w:ind w:left="1195" w:right="0" w:hanging="569"/>
        <w:jc w:val="left"/>
        <w:rPr>
          <w:sz w:val="20"/>
        </w:rPr>
      </w:pPr>
      <w:r>
        <w:rPr>
          <w:sz w:val="20"/>
        </w:rPr>
        <w:t>En</w:t>
      </w:r>
      <w:r>
        <w:rPr>
          <w:spacing w:val="-4"/>
          <w:sz w:val="20"/>
        </w:rPr>
        <w:t> </w:t>
      </w:r>
      <w:r>
        <w:rPr>
          <w:sz w:val="20"/>
        </w:rPr>
        <w:t>los</w:t>
      </w:r>
      <w:r>
        <w:rPr>
          <w:spacing w:val="-4"/>
          <w:sz w:val="20"/>
        </w:rPr>
        <w:t> </w:t>
      </w:r>
      <w:r>
        <w:rPr>
          <w:sz w:val="20"/>
        </w:rPr>
        <w:t>casos</w:t>
      </w:r>
      <w:r>
        <w:rPr>
          <w:spacing w:val="-4"/>
          <w:sz w:val="20"/>
        </w:rPr>
        <w:t> </w:t>
      </w:r>
      <w:r>
        <w:rPr>
          <w:sz w:val="20"/>
        </w:rPr>
        <w:t>a</w:t>
      </w:r>
      <w:r>
        <w:rPr>
          <w:spacing w:val="-6"/>
          <w:sz w:val="20"/>
        </w:rPr>
        <w:t> </w:t>
      </w:r>
      <w:r>
        <w:rPr>
          <w:sz w:val="20"/>
        </w:rPr>
        <w:t>que</w:t>
      </w:r>
      <w:r>
        <w:rPr>
          <w:spacing w:val="-6"/>
          <w:sz w:val="20"/>
        </w:rPr>
        <w:t> </w:t>
      </w:r>
      <w:r>
        <w:rPr>
          <w:sz w:val="20"/>
        </w:rPr>
        <w:t>se</w:t>
      </w:r>
      <w:r>
        <w:rPr>
          <w:spacing w:val="-3"/>
          <w:sz w:val="20"/>
        </w:rPr>
        <w:t> </w:t>
      </w:r>
      <w:r>
        <w:rPr>
          <w:sz w:val="20"/>
        </w:rPr>
        <w:t>refieren</w:t>
      </w:r>
      <w:r>
        <w:rPr>
          <w:spacing w:val="-6"/>
          <w:sz w:val="20"/>
        </w:rPr>
        <w:t> </w:t>
      </w:r>
      <w:r>
        <w:rPr>
          <w:sz w:val="20"/>
        </w:rPr>
        <w:t>los</w:t>
      </w:r>
      <w:r>
        <w:rPr>
          <w:spacing w:val="-3"/>
          <w:sz w:val="20"/>
        </w:rPr>
        <w:t> </w:t>
      </w:r>
      <w:r>
        <w:rPr>
          <w:sz w:val="20"/>
        </w:rPr>
        <w:t>artículos</w:t>
      </w:r>
      <w:r>
        <w:rPr>
          <w:spacing w:val="-4"/>
          <w:sz w:val="20"/>
        </w:rPr>
        <w:t> </w:t>
      </w:r>
      <w:r>
        <w:rPr>
          <w:sz w:val="20"/>
        </w:rPr>
        <w:t>772</w:t>
      </w:r>
      <w:r>
        <w:rPr>
          <w:spacing w:val="-1"/>
          <w:sz w:val="20"/>
        </w:rPr>
        <w:t> </w:t>
      </w:r>
      <w:r>
        <w:rPr>
          <w:sz w:val="20"/>
        </w:rPr>
        <w:t>y</w:t>
      </w:r>
      <w:r>
        <w:rPr>
          <w:spacing w:val="-6"/>
          <w:sz w:val="20"/>
        </w:rPr>
        <w:t> </w:t>
      </w:r>
      <w:r>
        <w:rPr>
          <w:sz w:val="20"/>
        </w:rPr>
        <w:t>774</w:t>
      </w:r>
      <w:r>
        <w:rPr>
          <w:spacing w:val="-1"/>
          <w:sz w:val="20"/>
        </w:rPr>
        <w:t> </w:t>
      </w:r>
      <w:r>
        <w:rPr>
          <w:sz w:val="20"/>
        </w:rPr>
        <w:t>de</w:t>
      </w:r>
      <w:r>
        <w:rPr>
          <w:spacing w:val="-6"/>
          <w:sz w:val="20"/>
        </w:rPr>
        <w:t> </w:t>
      </w:r>
      <w:r>
        <w:rPr>
          <w:sz w:val="20"/>
        </w:rPr>
        <w:t>esta</w:t>
      </w:r>
      <w:r>
        <w:rPr>
          <w:spacing w:val="3"/>
          <w:sz w:val="20"/>
        </w:rPr>
        <w:t> </w:t>
      </w:r>
      <w:r>
        <w:rPr>
          <w:sz w:val="20"/>
        </w:rPr>
        <w:t>Ley;</w:t>
      </w:r>
      <w:r>
        <w:rPr>
          <w:spacing w:val="-1"/>
          <w:sz w:val="20"/>
        </w:rPr>
        <w:t> </w:t>
      </w:r>
      <w:r>
        <w:rPr>
          <w:spacing w:val="-10"/>
          <w:sz w:val="20"/>
        </w:rPr>
        <w:t>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ListParagraph"/>
        <w:numPr>
          <w:ilvl w:val="0"/>
          <w:numId w:val="294"/>
        </w:numPr>
        <w:tabs>
          <w:tab w:pos="1193" w:val="left" w:leader="none"/>
          <w:tab w:pos="1195" w:val="left" w:leader="none"/>
        </w:tabs>
        <w:spacing w:line="242" w:lineRule="auto" w:before="229" w:after="0"/>
        <w:ind w:left="1195" w:right="345" w:hanging="569"/>
        <w:jc w:val="both"/>
        <w:rPr>
          <w:sz w:val="20"/>
        </w:rPr>
      </w:pPr>
      <w:r>
        <w:rPr>
          <w:sz w:val="20"/>
        </w:rPr>
        <w:t>En casos urgentes o cuando concurran circunstancias especiales a juicio del Centro Federal de Conciliación y Registro Laboral, los Centros de Conciliación Locales o los Tribunales, 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ListParagraph"/>
        <w:numPr>
          <w:ilvl w:val="0"/>
          <w:numId w:val="294"/>
        </w:numPr>
        <w:tabs>
          <w:tab w:pos="1193" w:val="left" w:leader="none"/>
          <w:tab w:pos="1195" w:val="left" w:leader="none"/>
        </w:tabs>
        <w:spacing w:line="240" w:lineRule="auto" w:before="0" w:after="0"/>
        <w:ind w:left="1195" w:right="345" w:hanging="569"/>
        <w:jc w:val="both"/>
        <w:rPr>
          <w:sz w:val="20"/>
        </w:rPr>
      </w:pPr>
      <w:r>
        <w:rPr>
          <w:sz w:val="20"/>
        </w:rPr>
        <w:t>La</w:t>
      </w:r>
      <w:r>
        <w:rPr>
          <w:spacing w:val="-3"/>
          <w:sz w:val="20"/>
        </w:rPr>
        <w:t> </w:t>
      </w:r>
      <w:r>
        <w:rPr>
          <w:sz w:val="20"/>
        </w:rPr>
        <w:t>primera</w:t>
      </w:r>
      <w:r>
        <w:rPr>
          <w:spacing w:val="-2"/>
          <w:sz w:val="20"/>
        </w:rPr>
        <w:t> </w:t>
      </w:r>
      <w:r>
        <w:rPr>
          <w:sz w:val="20"/>
        </w:rPr>
        <w:t>notificación</w:t>
      </w:r>
      <w:r>
        <w:rPr>
          <w:spacing w:val="-2"/>
          <w:sz w:val="20"/>
        </w:rPr>
        <w:t> </w:t>
      </w:r>
      <w:r>
        <w:rPr>
          <w:sz w:val="20"/>
        </w:rPr>
        <w:t>para</w:t>
      </w:r>
      <w:r>
        <w:rPr>
          <w:spacing w:val="-2"/>
          <w:sz w:val="20"/>
        </w:rPr>
        <w:t> </w:t>
      </w:r>
      <w:r>
        <w:rPr>
          <w:sz w:val="20"/>
        </w:rPr>
        <w:t>comparecer</w:t>
      </w:r>
      <w:r>
        <w:rPr>
          <w:spacing w:val="-1"/>
          <w:sz w:val="20"/>
        </w:rPr>
        <w:t> </w:t>
      </w:r>
      <w:r>
        <w:rPr>
          <w:sz w:val="20"/>
        </w:rPr>
        <w:t>a</w:t>
      </w:r>
      <w:r>
        <w:rPr>
          <w:spacing w:val="-2"/>
          <w:sz w:val="20"/>
        </w:rPr>
        <w:t> </w:t>
      </w:r>
      <w:r>
        <w:rPr>
          <w:sz w:val="20"/>
        </w:rPr>
        <w:t>la</w:t>
      </w:r>
      <w:r>
        <w:rPr>
          <w:spacing w:val="-2"/>
          <w:sz w:val="20"/>
        </w:rPr>
        <w:t> </w:t>
      </w:r>
      <w:r>
        <w:rPr>
          <w:sz w:val="20"/>
        </w:rPr>
        <w:t>audiencia</w:t>
      </w:r>
      <w:r>
        <w:rPr>
          <w:spacing w:val="-2"/>
          <w:sz w:val="20"/>
        </w:rPr>
        <w:t> </w:t>
      </w:r>
      <w:r>
        <w:rPr>
          <w:sz w:val="20"/>
        </w:rPr>
        <w:t>obligatoria</w:t>
      </w:r>
      <w:r>
        <w:rPr>
          <w:spacing w:val="-2"/>
          <w:sz w:val="20"/>
        </w:rPr>
        <w:t> </w:t>
      </w:r>
      <w:r>
        <w:rPr>
          <w:sz w:val="20"/>
        </w:rPr>
        <w:t>de</w:t>
      </w:r>
      <w:r>
        <w:rPr>
          <w:spacing w:val="-3"/>
          <w:sz w:val="20"/>
        </w:rPr>
        <w:t> </w:t>
      </w:r>
      <w:r>
        <w:rPr>
          <w:sz w:val="20"/>
        </w:rPr>
        <w:t>conciliación</w:t>
      </w:r>
      <w:r>
        <w:rPr>
          <w:spacing w:val="-2"/>
          <w:sz w:val="20"/>
        </w:rPr>
        <w:t> </w:t>
      </w:r>
      <w:r>
        <w:rPr>
          <w:sz w:val="20"/>
        </w:rPr>
        <w:t>ante</w:t>
      </w:r>
      <w:r>
        <w:rPr>
          <w:spacing w:val="-1"/>
          <w:sz w:val="20"/>
        </w:rPr>
        <w:t> </w:t>
      </w:r>
      <w:r>
        <w:rPr>
          <w:sz w:val="20"/>
        </w:rPr>
        <w:t>el</w:t>
      </w:r>
      <w:r>
        <w:rPr>
          <w:spacing w:val="-3"/>
          <w:sz w:val="20"/>
        </w:rPr>
        <w:t> </w:t>
      </w:r>
      <w:r>
        <w:rPr>
          <w:sz w:val="20"/>
        </w:rPr>
        <w:t>Centro Federal de Conciliación y Registro Laboral o los Centros de Conciliación Locales competentes, a excepción de lo previsto en el antepenúltimo párrafo del artículo 684-E de esta Ley.</w:t>
      </w:r>
    </w:p>
    <w:p>
      <w:pPr>
        <w:spacing w:before="0"/>
        <w:ind w:left="4239" w:right="220" w:firstLine="3002"/>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30-04-1970.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23-12-1974,</w:t>
      </w:r>
      <w:r>
        <w:rPr>
          <w:rFonts w:ascii="Times New Roman" w:hAnsi="Times New Roman"/>
          <w:i/>
          <w:color w:val="0000FF"/>
          <w:spacing w:val="-5"/>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BodyText"/>
        <w:spacing w:line="242" w:lineRule="auto"/>
        <w:ind w:left="338" w:right="344" w:firstLine="288"/>
        <w:jc w:val="both"/>
      </w:pPr>
      <w:bookmarkStart w:name="Artículo_742_Bis" w:id="947"/>
      <w:bookmarkEnd w:id="947"/>
      <w:r>
        <w:rPr/>
      </w:r>
      <w:r>
        <w:rPr>
          <w:rFonts w:ascii="Arial" w:hAnsi="Arial"/>
          <w:b/>
        </w:rPr>
        <w:t>Artículo 742 Bis.- </w:t>
      </w:r>
      <w:r>
        <w:rPr/>
        <w:t>Si las partes aceptaron que las notificaciones personales posteriores al emplazamiento a juicio se lleven a cabo mediante el buzón electrónico, éstas se harán por dicho medio, sin necesidad de remitir la orden de notificación al actuario.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39" w:firstLine="288"/>
        <w:jc w:val="both"/>
      </w:pPr>
      <w:bookmarkStart w:name="Artículo_742_Ter" w:id="948"/>
      <w:bookmarkEnd w:id="948"/>
      <w:r>
        <w:rPr/>
      </w:r>
      <w:r>
        <w:rPr>
          <w:rFonts w:ascii="Arial" w:hAnsi="Arial"/>
          <w:b/>
        </w:rPr>
        <w:t>Artículo</w:t>
      </w:r>
      <w:r>
        <w:rPr>
          <w:rFonts w:ascii="Arial" w:hAnsi="Arial"/>
          <w:b/>
          <w:spacing w:val="-2"/>
        </w:rPr>
        <w:t> </w:t>
      </w:r>
      <w:r>
        <w:rPr>
          <w:rFonts w:ascii="Arial" w:hAnsi="Arial"/>
          <w:b/>
        </w:rPr>
        <w:t>742</w:t>
      </w:r>
      <w:r>
        <w:rPr>
          <w:rFonts w:ascii="Arial" w:hAnsi="Arial"/>
          <w:b/>
          <w:spacing w:val="-3"/>
        </w:rPr>
        <w:t> </w:t>
      </w:r>
      <w:r>
        <w:rPr>
          <w:rFonts w:ascii="Arial" w:hAnsi="Arial"/>
          <w:b/>
        </w:rPr>
        <w:t>Ter.-</w:t>
      </w:r>
      <w:r>
        <w:rPr>
          <w:rFonts w:ascii="Arial" w:hAnsi="Arial"/>
          <w:b/>
          <w:spacing w:val="-4"/>
        </w:rPr>
        <w:t> </w:t>
      </w:r>
      <w:r>
        <w:rPr/>
        <w:t>Tratándose</w:t>
      </w:r>
      <w:r>
        <w:rPr>
          <w:spacing w:val="-5"/>
        </w:rPr>
        <w:t> </w:t>
      </w:r>
      <w:r>
        <w:rPr/>
        <w:t>de</w:t>
      </w:r>
      <w:r>
        <w:rPr>
          <w:spacing w:val="-5"/>
        </w:rPr>
        <w:t> </w:t>
      </w:r>
      <w:r>
        <w:rPr/>
        <w:t>Dependencias</w:t>
      </w:r>
      <w:r>
        <w:rPr>
          <w:spacing w:val="-2"/>
        </w:rPr>
        <w:t> </w:t>
      </w:r>
      <w:r>
        <w:rPr/>
        <w:t>u</w:t>
      </w:r>
      <w:r>
        <w:rPr>
          <w:spacing w:val="-3"/>
        </w:rPr>
        <w:t> </w:t>
      </w:r>
      <w:r>
        <w:rPr/>
        <w:t>Organismos</w:t>
      </w:r>
      <w:r>
        <w:rPr>
          <w:spacing w:val="-4"/>
        </w:rPr>
        <w:t> </w:t>
      </w:r>
      <w:r>
        <w:rPr/>
        <w:t>Públicos,</w:t>
      </w:r>
      <w:r>
        <w:rPr>
          <w:spacing w:val="-3"/>
        </w:rPr>
        <w:t> </w:t>
      </w:r>
      <w:r>
        <w:rPr/>
        <w:t>las</w:t>
      </w:r>
      <w:r>
        <w:rPr>
          <w:spacing w:val="-4"/>
        </w:rPr>
        <w:t> </w:t>
      </w:r>
      <w:r>
        <w:rPr/>
        <w:t>notificaciones</w:t>
      </w:r>
      <w:r>
        <w:rPr>
          <w:spacing w:val="-2"/>
        </w:rPr>
        <w:t> </w:t>
      </w:r>
      <w:r>
        <w:rPr/>
        <w:t>posteriores al emplazamiento a Juicio, se hará al buzón electrónico asignado en términos del artículo 739 de esta</w:t>
      </w:r>
      <w:r>
        <w:rPr>
          <w:spacing w:val="40"/>
        </w:rPr>
        <w:t> </w:t>
      </w:r>
      <w:r>
        <w:rPr>
          <w:spacing w:val="-4"/>
        </w:rPr>
        <w:t>Ley.</w:t>
      </w:r>
    </w:p>
    <w:p>
      <w:pPr>
        <w:spacing w:line="178"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626"/>
      </w:pPr>
      <w:bookmarkStart w:name="Artículo_743" w:id="949"/>
      <w:bookmarkEnd w:id="949"/>
      <w:r>
        <w:rPr/>
      </w:r>
      <w:r>
        <w:rPr>
          <w:rFonts w:ascii="Arial" w:hAnsi="Arial"/>
          <w:b/>
        </w:rPr>
        <w:t>Artículo</w:t>
      </w:r>
      <w:r>
        <w:rPr>
          <w:rFonts w:ascii="Arial" w:hAnsi="Arial"/>
          <w:b/>
          <w:spacing w:val="-6"/>
        </w:rPr>
        <w:t> </w:t>
      </w:r>
      <w:r>
        <w:rPr>
          <w:rFonts w:ascii="Arial" w:hAnsi="Arial"/>
          <w:b/>
        </w:rPr>
        <w:t>743.-</w:t>
      </w:r>
      <w:r>
        <w:rPr>
          <w:rFonts w:ascii="Arial" w:hAnsi="Arial"/>
          <w:b/>
          <w:spacing w:val="-6"/>
        </w:rPr>
        <w:t> </w:t>
      </w:r>
      <w:r>
        <w:rPr/>
        <w:t>La</w:t>
      </w:r>
      <w:r>
        <w:rPr>
          <w:spacing w:val="-6"/>
        </w:rPr>
        <w:t> </w:t>
      </w:r>
      <w:r>
        <w:rPr/>
        <w:t>primera</w:t>
      </w:r>
      <w:r>
        <w:rPr>
          <w:spacing w:val="-7"/>
        </w:rPr>
        <w:t> </w:t>
      </w:r>
      <w:r>
        <w:rPr/>
        <w:t>notificación</w:t>
      </w:r>
      <w:r>
        <w:rPr>
          <w:spacing w:val="-6"/>
        </w:rPr>
        <w:t> </w:t>
      </w:r>
      <w:r>
        <w:rPr/>
        <w:t>personal</w:t>
      </w:r>
      <w:r>
        <w:rPr>
          <w:spacing w:val="-6"/>
        </w:rPr>
        <w:t> </w:t>
      </w:r>
      <w:r>
        <w:rPr/>
        <w:t>se</w:t>
      </w:r>
      <w:r>
        <w:rPr>
          <w:spacing w:val="-6"/>
        </w:rPr>
        <w:t> </w:t>
      </w:r>
      <w:r>
        <w:rPr/>
        <w:t>hará</w:t>
      </w:r>
      <w:r>
        <w:rPr>
          <w:spacing w:val="-5"/>
        </w:rPr>
        <w:t> </w:t>
      </w:r>
      <w:r>
        <w:rPr/>
        <w:t>de</w:t>
      </w:r>
      <w:r>
        <w:rPr>
          <w:spacing w:val="-7"/>
        </w:rPr>
        <w:t> </w:t>
      </w:r>
      <w:r>
        <w:rPr/>
        <w:t>conformidad</w:t>
      </w:r>
      <w:r>
        <w:rPr>
          <w:spacing w:val="-6"/>
        </w:rPr>
        <w:t> </w:t>
      </w:r>
      <w:r>
        <w:rPr/>
        <w:t>con</w:t>
      </w:r>
      <w:r>
        <w:rPr>
          <w:spacing w:val="-6"/>
        </w:rPr>
        <w:t> </w:t>
      </w:r>
      <w:r>
        <w:rPr/>
        <w:t>las</w:t>
      </w:r>
      <w:r>
        <w:rPr>
          <w:spacing w:val="-6"/>
        </w:rPr>
        <w:t> </w:t>
      </w:r>
      <w:r>
        <w:rPr/>
        <w:t>normas</w:t>
      </w:r>
      <w:r>
        <w:rPr>
          <w:spacing w:val="-5"/>
        </w:rPr>
        <w:t> </w:t>
      </w:r>
      <w:r>
        <w:rPr>
          <w:spacing w:val="-2"/>
        </w:rPr>
        <w:t>siguientes:</w:t>
      </w:r>
    </w:p>
    <w:p>
      <w:pPr>
        <w:pStyle w:val="BodyText"/>
      </w:pPr>
    </w:p>
    <w:p>
      <w:pPr>
        <w:pStyle w:val="ListParagraph"/>
        <w:numPr>
          <w:ilvl w:val="0"/>
          <w:numId w:val="295"/>
        </w:numPr>
        <w:tabs>
          <w:tab w:pos="1193" w:val="left" w:leader="none"/>
          <w:tab w:pos="1195" w:val="left" w:leader="none"/>
        </w:tabs>
        <w:spacing w:line="242" w:lineRule="auto" w:before="1" w:after="0"/>
        <w:ind w:left="1195" w:right="347" w:hanging="569"/>
        <w:jc w:val="both"/>
        <w:rPr>
          <w:sz w:val="20"/>
        </w:rPr>
      </w:pPr>
      <w:r>
        <w:rPr>
          <w:sz w:val="20"/>
        </w:rPr>
        <w:t>El actuario se cerciorará de que la persona que deba ser notificada, habita, trabaja o tiene su domicilio en la casa o local, señalado en autos para hacer la notificación;</w:t>
      </w:r>
    </w:p>
    <w:p>
      <w:pPr>
        <w:pStyle w:val="ListParagraph"/>
        <w:numPr>
          <w:ilvl w:val="0"/>
          <w:numId w:val="295"/>
        </w:numPr>
        <w:tabs>
          <w:tab w:pos="1192" w:val="left" w:leader="none"/>
          <w:tab w:pos="1195" w:val="left" w:leader="none"/>
        </w:tabs>
        <w:spacing w:line="242" w:lineRule="auto" w:before="224" w:after="0"/>
        <w:ind w:left="1195" w:right="335" w:hanging="569"/>
        <w:jc w:val="both"/>
        <w:rPr>
          <w:sz w:val="20"/>
        </w:rPr>
      </w:pPr>
      <w:r>
        <w:rPr>
          <w:sz w:val="20"/>
        </w:rPr>
        <w:t>Si está presente el interesado o su representante, el actuario notificará la resolución,</w:t>
      </w:r>
      <w:r>
        <w:rPr>
          <w:spacing w:val="40"/>
          <w:sz w:val="20"/>
        </w:rPr>
        <w:t> </w:t>
      </w:r>
      <w:r>
        <w:rPr>
          <w:sz w:val="20"/>
        </w:rPr>
        <w:t>entregando copia de la misma; si se trata de persona moral, el actuario se asegurará de que la persona con quien entiende la diligencia es representante o apoderado legal de aquélla;</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295"/>
        </w:numPr>
        <w:tabs>
          <w:tab w:pos="1191" w:val="left" w:leader="none"/>
          <w:tab w:pos="1195" w:val="left" w:leader="none"/>
        </w:tabs>
        <w:spacing w:line="240" w:lineRule="auto" w:before="0" w:after="0"/>
        <w:ind w:left="1195" w:right="334" w:hanging="569"/>
        <w:jc w:val="both"/>
        <w:rPr>
          <w:sz w:val="20"/>
        </w:rPr>
      </w:pPr>
      <w:r>
        <w:rPr>
          <w:sz w:val="20"/>
        </w:rPr>
        <w:t>Si no está presente</w:t>
      </w:r>
      <w:r>
        <w:rPr>
          <w:spacing w:val="-1"/>
          <w:sz w:val="20"/>
        </w:rPr>
        <w:t> </w:t>
      </w:r>
      <w:r>
        <w:rPr>
          <w:sz w:val="20"/>
        </w:rPr>
        <w:t>el interesado o</w:t>
      </w:r>
      <w:r>
        <w:rPr>
          <w:spacing w:val="-1"/>
          <w:sz w:val="20"/>
        </w:rPr>
        <w:t> </w:t>
      </w:r>
      <w:r>
        <w:rPr>
          <w:sz w:val="20"/>
        </w:rPr>
        <w:t>su</w:t>
      </w:r>
      <w:r>
        <w:rPr>
          <w:spacing w:val="-1"/>
          <w:sz w:val="20"/>
        </w:rPr>
        <w:t> </w:t>
      </w:r>
      <w:r>
        <w:rPr>
          <w:sz w:val="20"/>
        </w:rPr>
        <w:t>representante, la</w:t>
      </w:r>
      <w:r>
        <w:rPr>
          <w:spacing w:val="-1"/>
          <w:sz w:val="20"/>
        </w:rPr>
        <w:t> </w:t>
      </w:r>
      <w:r>
        <w:rPr>
          <w:sz w:val="20"/>
        </w:rPr>
        <w:t>notificación</w:t>
      </w:r>
      <w:r>
        <w:rPr>
          <w:spacing w:val="-1"/>
          <w:sz w:val="20"/>
        </w:rPr>
        <w:t> </w:t>
      </w:r>
      <w:r>
        <w:rPr>
          <w:sz w:val="20"/>
        </w:rPr>
        <w:t>se hará a</w:t>
      </w:r>
      <w:r>
        <w:rPr>
          <w:spacing w:val="-1"/>
          <w:sz w:val="20"/>
        </w:rPr>
        <w:t> </w:t>
      </w:r>
      <w:r>
        <w:rPr>
          <w:sz w:val="20"/>
        </w:rPr>
        <w:t>cualquier persona mayor de edad que se encuentre en la casa o local; el actuario asentará el nombre de la persona con la que se entiende la diligencia y especificará si la persona habita en el domicilio y la relación que ésta tiene con la persona que deba ser notificada y en su caso su puesto de </w:t>
      </w:r>
      <w:r>
        <w:rPr>
          <w:spacing w:val="-2"/>
          <w:sz w:val="20"/>
        </w:rPr>
        <w:t>trabajo;</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295"/>
        </w:numPr>
        <w:tabs>
          <w:tab w:pos="1195" w:val="left" w:leader="none"/>
        </w:tabs>
        <w:spacing w:line="240" w:lineRule="auto" w:before="0" w:after="0"/>
        <w:ind w:left="1195" w:right="0" w:hanging="569"/>
        <w:jc w:val="left"/>
        <w:rPr>
          <w:sz w:val="20"/>
        </w:rPr>
      </w:pPr>
      <w:r>
        <w:rPr>
          <w:sz w:val="20"/>
        </w:rPr>
        <w:t>Se</w:t>
      </w:r>
      <w:r>
        <w:rPr>
          <w:spacing w:val="-5"/>
          <w:sz w:val="20"/>
        </w:rPr>
        <w:t> </w:t>
      </w:r>
      <w:r>
        <w:rPr>
          <w:spacing w:val="-2"/>
          <w:sz w:val="20"/>
        </w:rPr>
        <w:t>deroga.</w:t>
      </w:r>
    </w:p>
    <w:p>
      <w:pPr>
        <w:spacing w:before="1"/>
        <w:ind w:left="540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ListParagraph"/>
        <w:numPr>
          <w:ilvl w:val="0"/>
          <w:numId w:val="295"/>
        </w:numPr>
        <w:tabs>
          <w:tab w:pos="1195" w:val="left" w:leader="none"/>
        </w:tabs>
        <w:spacing w:line="240" w:lineRule="auto" w:before="229" w:after="0"/>
        <w:ind w:left="1195" w:right="334" w:hanging="569"/>
        <w:jc w:val="both"/>
        <w:rPr>
          <w:sz w:val="20"/>
        </w:rPr>
      </w:pPr>
      <w:r>
        <w:rPr>
          <w:sz w:val="20"/>
        </w:rPr>
        <w:t>Si en la casa o local señalado para hacer la notificación se negare el interesado, su representante o la persona con quien se entienda la diligencia a recibir la notificación, ésta se hará por instructivo que se fijará en la puerta de la misma, adjuntando una copia de la resolución, asentando en su razón los medios de convicción de que la persona que deba ser notificada indudablemente habita, trabaja o tiene su domicilio en la casa o local señalado en autos para hacer la notificación, 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95"/>
        </w:numPr>
        <w:tabs>
          <w:tab w:pos="1195" w:val="left" w:leader="none"/>
        </w:tabs>
        <w:spacing w:line="240" w:lineRule="auto" w:before="0" w:after="0"/>
        <w:ind w:left="1195" w:right="341" w:hanging="569"/>
        <w:jc w:val="both"/>
        <w:rPr>
          <w:sz w:val="20"/>
        </w:rPr>
      </w:pPr>
      <w:r>
        <w:rPr>
          <w:sz w:val="20"/>
        </w:rPr>
        <w:t>En el caso del artículo 712 de esta Ley, el actuario se constituirá acompañado del trabajador y se cerciorará de que el local designado en autos es aquel en que se prestan o se prestaron los </w:t>
      </w:r>
      <w:r>
        <w:rPr>
          <w:spacing w:val="-2"/>
          <w:sz w:val="20"/>
        </w:rPr>
        <w:t>servicios.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338" w:right="334" w:firstLine="288"/>
        <w:jc w:val="both"/>
      </w:pPr>
      <w:r>
        <w:rPr/>
        <w:t>En todos los casos a que se refiere este artículo, el actuario asentará razón en autos, señalando con claridad los elementos de convicción en que se apoye, asentando las características exteriores de la casa, inmueble, local, o espacio físico en el que se realice la diligencia de notificación, y los medios por los que se cerciore de ser el domicilio buscado. En caso de no encontrarse la persona buscada asentará el nombre y apellidos de quien recibe la cédula de notificación y la relación que guarda con ésta o en su caso el puesto de trabajo que desempeña; si se rehúsa a dar su nombre o señalar la relación que tiene con la persona buscada, señalará la media filiación. En cualquier caso, los medios de convicción deben evidenciar que</w:t>
      </w:r>
      <w:r>
        <w:rPr>
          <w:spacing w:val="-2"/>
        </w:rPr>
        <w:t> </w:t>
      </w:r>
      <w:r>
        <w:rPr/>
        <w:t>el</w:t>
      </w:r>
      <w:r>
        <w:rPr>
          <w:spacing w:val="-2"/>
        </w:rPr>
        <w:t> </w:t>
      </w:r>
      <w:r>
        <w:rPr/>
        <w:t>domicilio corresponde al</w:t>
      </w:r>
      <w:r>
        <w:rPr>
          <w:spacing w:val="-2"/>
        </w:rPr>
        <w:t> </w:t>
      </w:r>
      <w:r>
        <w:rPr/>
        <w:t>señalado</w:t>
      </w:r>
      <w:r>
        <w:rPr>
          <w:spacing w:val="-1"/>
        </w:rPr>
        <w:t> </w:t>
      </w:r>
      <w:r>
        <w:rPr/>
        <w:t>para</w:t>
      </w:r>
      <w:r>
        <w:rPr>
          <w:spacing w:val="-1"/>
        </w:rPr>
        <w:t> </w:t>
      </w:r>
      <w:r>
        <w:rPr/>
        <w:t>realizar la</w:t>
      </w:r>
      <w:r>
        <w:rPr>
          <w:spacing w:val="-1"/>
        </w:rPr>
        <w:t> </w:t>
      </w:r>
      <w:r>
        <w:rPr/>
        <w:t>notificación y</w:t>
      </w:r>
      <w:r>
        <w:rPr>
          <w:spacing w:val="-2"/>
        </w:rPr>
        <w:t> </w:t>
      </w:r>
      <w:r>
        <w:rPr/>
        <w:t>que la</w:t>
      </w:r>
      <w:r>
        <w:rPr>
          <w:spacing w:val="-1"/>
        </w:rPr>
        <w:t> </w:t>
      </w:r>
      <w:r>
        <w:rPr/>
        <w:t>persona buscada habita, labora o tiene su domicilio en la casa o local en que se constituye. El actuario podrá anexar fotografías o cualquier otro documento físico o electrónico para robustecer los elementos de convicción</w:t>
      </w:r>
      <w:r>
        <w:rPr>
          <w:spacing w:val="40"/>
        </w:rPr>
        <w:t> </w:t>
      </w:r>
      <w:r>
        <w:rPr/>
        <w:t>de la constancia o razón que al efecto levante.</w:t>
      </w:r>
    </w:p>
    <w:p>
      <w:pPr>
        <w:pStyle w:val="BodyText"/>
        <w:spacing w:after="0"/>
        <w:jc w:val="both"/>
        <w:sectPr>
          <w:pgSz w:w="12240" w:h="15840"/>
          <w:pgMar w:header="724" w:footer="712" w:top="1880" w:bottom="900" w:left="1080" w:right="1080"/>
        </w:sectPr>
      </w:pPr>
    </w:p>
    <w:p>
      <w:pPr>
        <w:pStyle w:val="BodyText"/>
        <w:spacing w:before="109"/>
        <w:rPr>
          <w:sz w:val="16"/>
        </w:rPr>
      </w:pPr>
    </w:p>
    <w:p>
      <w:pPr>
        <w:spacing w:before="0"/>
        <w:ind w:left="626" w:right="0" w:firstLine="673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338" w:right="342" w:firstLine="288"/>
        <w:jc w:val="both"/>
      </w:pPr>
      <w:r>
        <w:rPr/>
        <w:t>Los Tribunales y los Centros de Conciliación establecerán un sistema de registro voluntario para que las empresas, patrones o personas físicas empleadoras, cuenten con un buzón electrónico al que dichas autoridades deberán comunicarles la existencia de algún procedimiento cuyo emplazamiento no pudo efectuarse. En ningún caso, el aviso que se realice sustituirá las notificaciones procesales; no obstante, deberá constar tal circunstancia en la razón del actuario. Asimismo, llevarán a cabo los acuerdos de colaboración conducentes con organismos públicos, con el fin de facilitar la localización del domicilio de las partes.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57" w:firstLine="288"/>
      </w:pPr>
      <w:r>
        <w:rPr/>
        <w:t>Tratándose de la primera notificación al trabajador en la instancia prejudicial, se estará a lo dispuesto por el artículo 684 C de esta Ley.</w:t>
      </w:r>
    </w:p>
    <w:p>
      <w:pPr>
        <w:spacing w:before="0"/>
        <w:ind w:left="5067" w:right="220" w:firstLine="2254"/>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05-06-1970.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ind w:left="338" w:right="339" w:firstLine="288"/>
        <w:jc w:val="both"/>
      </w:pPr>
      <w:bookmarkStart w:name="Artículo_744" w:id="950"/>
      <w:bookmarkEnd w:id="950"/>
      <w:r>
        <w:rPr/>
      </w:r>
      <w:r>
        <w:rPr>
          <w:rFonts w:ascii="Arial" w:hAnsi="Arial"/>
          <w:b/>
        </w:rPr>
        <w:t>Artículo 744.- </w:t>
      </w:r>
      <w:r>
        <w:rPr/>
        <w:t>Las ulteriores notificaciones personales se harán al interesado o persona autorizada para ello, el mismo día en que se dicte la resolución si concurre al Tribunal o mediante el Sistema Digital</w:t>
      </w:r>
      <w:r>
        <w:rPr>
          <w:spacing w:val="40"/>
        </w:rPr>
        <w:t> </w:t>
      </w:r>
      <w:r>
        <w:rPr/>
        <w:t>o Plataforma Electrónica al buzón electrónico que se haya asignado a las partes. En caso de que la notificación se realice por el actuario, si la parte o persona a notificar no se hallare presente, se le dejará una copia de la resolución autorizada por el actuario; si la casa o local está cerrado, se fijará la copia en</w:t>
      </w:r>
      <w:r>
        <w:rPr>
          <w:spacing w:val="40"/>
        </w:rPr>
        <w:t> </w:t>
      </w:r>
      <w:r>
        <w:rPr/>
        <w:t>la puerta de entrada o en el lugar de trabajo.</w:t>
      </w:r>
    </w:p>
    <w:p>
      <w:pPr>
        <w:pStyle w:val="BodyText"/>
        <w:spacing w:before="3"/>
      </w:pPr>
    </w:p>
    <w:p>
      <w:pPr>
        <w:pStyle w:val="BodyText"/>
        <w:ind w:left="626"/>
      </w:pPr>
      <w:r>
        <w:rPr/>
        <w:t>El</w:t>
      </w:r>
      <w:r>
        <w:rPr>
          <w:spacing w:val="-5"/>
        </w:rPr>
        <w:t> </w:t>
      </w:r>
      <w:r>
        <w:rPr/>
        <w:t>actuario</w:t>
      </w:r>
      <w:r>
        <w:rPr>
          <w:spacing w:val="-6"/>
        </w:rPr>
        <w:t> </w:t>
      </w:r>
      <w:r>
        <w:rPr/>
        <w:t>asentará</w:t>
      </w:r>
      <w:r>
        <w:rPr>
          <w:spacing w:val="-6"/>
        </w:rPr>
        <w:t> </w:t>
      </w:r>
      <w:r>
        <w:rPr/>
        <w:t>razón</w:t>
      </w:r>
      <w:r>
        <w:rPr>
          <w:spacing w:val="-3"/>
        </w:rPr>
        <w:t> </w:t>
      </w:r>
      <w:r>
        <w:rPr/>
        <w:t>en</w:t>
      </w:r>
      <w:r>
        <w:rPr>
          <w:spacing w:val="-7"/>
        </w:rPr>
        <w:t> </w:t>
      </w:r>
      <w:r>
        <w:rPr/>
        <w:t>autos y</w:t>
      </w:r>
      <w:r>
        <w:rPr>
          <w:spacing w:val="-9"/>
        </w:rPr>
        <w:t> </w:t>
      </w:r>
      <w:r>
        <w:rPr/>
        <w:t>en</w:t>
      </w:r>
      <w:r>
        <w:rPr>
          <w:spacing w:val="-3"/>
        </w:rPr>
        <w:t> </w:t>
      </w:r>
      <w:r>
        <w:rPr/>
        <w:t>su</w:t>
      </w:r>
      <w:r>
        <w:rPr>
          <w:spacing w:val="-6"/>
        </w:rPr>
        <w:t> </w:t>
      </w:r>
      <w:r>
        <w:rPr/>
        <w:t>caso</w:t>
      </w:r>
      <w:r>
        <w:rPr>
          <w:spacing w:val="-6"/>
        </w:rPr>
        <w:t> </w:t>
      </w:r>
      <w:r>
        <w:rPr/>
        <w:t>fotos</w:t>
      </w:r>
      <w:r>
        <w:rPr>
          <w:spacing w:val="-2"/>
        </w:rPr>
        <w:t> </w:t>
      </w:r>
      <w:r>
        <w:rPr/>
        <w:t>del</w:t>
      </w:r>
      <w:r>
        <w:rPr>
          <w:spacing w:val="-4"/>
        </w:rPr>
        <w:t> </w:t>
      </w:r>
      <w:r>
        <w:rPr/>
        <w:t>lugar</w:t>
      </w:r>
      <w:r>
        <w:rPr>
          <w:spacing w:val="-2"/>
        </w:rPr>
        <w:t> </w:t>
      </w:r>
      <w:r>
        <w:rPr/>
        <w:t>y</w:t>
      </w:r>
      <w:r>
        <w:rPr>
          <w:spacing w:val="-8"/>
        </w:rPr>
        <w:t> </w:t>
      </w:r>
      <w:r>
        <w:rPr/>
        <w:t>la</w:t>
      </w:r>
      <w:r>
        <w:rPr>
          <w:spacing w:val="-6"/>
        </w:rPr>
        <w:t> </w:t>
      </w:r>
      <w:r>
        <w:rPr/>
        <w:t>cédula</w:t>
      </w:r>
      <w:r>
        <w:rPr>
          <w:spacing w:val="-3"/>
        </w:rPr>
        <w:t> </w:t>
      </w:r>
      <w:r>
        <w:rPr/>
        <w:t>que</w:t>
      </w:r>
      <w:r>
        <w:rPr>
          <w:spacing w:val="-6"/>
        </w:rPr>
        <w:t> </w:t>
      </w:r>
      <w:r>
        <w:rPr>
          <w:spacing w:val="-2"/>
        </w:rPr>
        <w:t>fije.</w:t>
      </w:r>
    </w:p>
    <w:p>
      <w:pPr>
        <w:pStyle w:val="BodyText"/>
        <w:spacing w:before="228"/>
        <w:ind w:left="338" w:right="344" w:firstLine="288"/>
        <w:jc w:val="both"/>
      </w:pPr>
      <w:r>
        <w:rPr/>
        <w:t>Las resoluciones judiciales pronunciadas en las audiencias se tendrán por notificadas en ese mismo acto, sin necesidad de formalidad alguna a quienes estén presentes o debieron haber estado.</w:t>
      </w:r>
    </w:p>
    <w:p>
      <w:pPr>
        <w:spacing w:line="182"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spacing w:before="0"/>
        <w:ind w:left="626" w:right="0" w:firstLine="0"/>
        <w:jc w:val="left"/>
        <w:rPr>
          <w:sz w:val="20"/>
        </w:rPr>
      </w:pPr>
      <w:bookmarkStart w:name="Artículo_744_Bis" w:id="951"/>
      <w:bookmarkEnd w:id="951"/>
      <w:r>
        <w:rPr/>
      </w:r>
      <w:r>
        <w:rPr>
          <w:rFonts w:ascii="Arial" w:hAnsi="Arial"/>
          <w:b/>
          <w:sz w:val="20"/>
        </w:rPr>
        <w:t>Artículo</w:t>
      </w:r>
      <w:r>
        <w:rPr>
          <w:rFonts w:ascii="Arial" w:hAnsi="Arial"/>
          <w:b/>
          <w:spacing w:val="-6"/>
          <w:sz w:val="20"/>
        </w:rPr>
        <w:t> </w:t>
      </w:r>
      <w:r>
        <w:rPr>
          <w:rFonts w:ascii="Arial" w:hAnsi="Arial"/>
          <w:b/>
          <w:sz w:val="20"/>
        </w:rPr>
        <w:t>744</w:t>
      </w:r>
      <w:r>
        <w:rPr>
          <w:rFonts w:ascii="Arial" w:hAnsi="Arial"/>
          <w:b/>
          <w:spacing w:val="-6"/>
          <w:sz w:val="20"/>
        </w:rPr>
        <w:t> </w:t>
      </w:r>
      <w:r>
        <w:rPr>
          <w:rFonts w:ascii="Arial" w:hAnsi="Arial"/>
          <w:b/>
          <w:sz w:val="20"/>
        </w:rPr>
        <w:t>Bis.-</w:t>
      </w:r>
      <w:r>
        <w:rPr>
          <w:rFonts w:ascii="Arial" w:hAnsi="Arial"/>
          <w:b/>
          <w:spacing w:val="-5"/>
          <w:sz w:val="20"/>
        </w:rPr>
        <w:t> </w:t>
      </w:r>
      <w:r>
        <w:rPr>
          <w:sz w:val="20"/>
        </w:rPr>
        <w:t>Las</w:t>
      </w:r>
      <w:r>
        <w:rPr>
          <w:spacing w:val="-5"/>
          <w:sz w:val="20"/>
        </w:rPr>
        <w:t> </w:t>
      </w:r>
      <w:r>
        <w:rPr>
          <w:sz w:val="20"/>
        </w:rPr>
        <w:t>notificaciones</w:t>
      </w:r>
      <w:r>
        <w:rPr>
          <w:spacing w:val="-5"/>
          <w:sz w:val="20"/>
        </w:rPr>
        <w:t> </w:t>
      </w:r>
      <w:r>
        <w:rPr>
          <w:sz w:val="20"/>
        </w:rPr>
        <w:t>por</w:t>
      </w:r>
      <w:r>
        <w:rPr>
          <w:spacing w:val="-3"/>
          <w:sz w:val="20"/>
        </w:rPr>
        <w:t> </w:t>
      </w:r>
      <w:r>
        <w:rPr>
          <w:sz w:val="20"/>
        </w:rPr>
        <w:t>oficio</w:t>
      </w:r>
      <w:r>
        <w:rPr>
          <w:spacing w:val="-6"/>
          <w:sz w:val="20"/>
        </w:rPr>
        <w:t> </w:t>
      </w:r>
      <w:r>
        <w:rPr>
          <w:sz w:val="20"/>
        </w:rPr>
        <w:t>se</w:t>
      </w:r>
      <w:r>
        <w:rPr>
          <w:spacing w:val="-6"/>
          <w:sz w:val="20"/>
        </w:rPr>
        <w:t> </w:t>
      </w:r>
      <w:r>
        <w:rPr>
          <w:sz w:val="20"/>
        </w:rPr>
        <w:t>harán</w:t>
      </w:r>
      <w:r>
        <w:rPr>
          <w:spacing w:val="-6"/>
          <w:sz w:val="20"/>
        </w:rPr>
        <w:t> </w:t>
      </w:r>
      <w:r>
        <w:rPr>
          <w:sz w:val="20"/>
        </w:rPr>
        <w:t>conforme</w:t>
      </w:r>
      <w:r>
        <w:rPr>
          <w:spacing w:val="-6"/>
          <w:sz w:val="20"/>
        </w:rPr>
        <w:t> </w:t>
      </w:r>
      <w:r>
        <w:rPr>
          <w:sz w:val="20"/>
        </w:rPr>
        <w:t>a</w:t>
      </w:r>
      <w:r>
        <w:rPr>
          <w:spacing w:val="-7"/>
          <w:sz w:val="20"/>
        </w:rPr>
        <w:t> </w:t>
      </w:r>
      <w:r>
        <w:rPr>
          <w:sz w:val="20"/>
        </w:rPr>
        <w:t>las</w:t>
      </w:r>
      <w:r>
        <w:rPr>
          <w:spacing w:val="-5"/>
          <w:sz w:val="20"/>
        </w:rPr>
        <w:t> </w:t>
      </w:r>
      <w:r>
        <w:rPr>
          <w:sz w:val="20"/>
        </w:rPr>
        <w:t>reglas</w:t>
      </w:r>
      <w:r>
        <w:rPr>
          <w:spacing w:val="-5"/>
          <w:sz w:val="20"/>
        </w:rPr>
        <w:t> </w:t>
      </w:r>
      <w:r>
        <w:rPr>
          <w:spacing w:val="-2"/>
          <w:sz w:val="20"/>
        </w:rPr>
        <w:t>siguientes:</w:t>
      </w:r>
    </w:p>
    <w:p>
      <w:pPr>
        <w:pStyle w:val="ListParagraph"/>
        <w:numPr>
          <w:ilvl w:val="0"/>
          <w:numId w:val="296"/>
        </w:numPr>
        <w:tabs>
          <w:tab w:pos="1193" w:val="left" w:leader="none"/>
          <w:tab w:pos="1195" w:val="left" w:leader="none"/>
        </w:tabs>
        <w:spacing w:line="242" w:lineRule="auto" w:before="228" w:after="0"/>
        <w:ind w:left="1195" w:right="338" w:hanging="569"/>
        <w:jc w:val="both"/>
        <w:rPr>
          <w:sz w:val="20"/>
        </w:rPr>
      </w:pPr>
      <w:r>
        <w:rPr>
          <w:sz w:val="20"/>
        </w:rPr>
        <w:t>Si el domicilio de la oficina principal de la autoridad se encuentra en el lugar del juicio, el funcionario designado hará la entrega, recabando la constancia de recibo correspondiente.</w:t>
      </w:r>
    </w:p>
    <w:p>
      <w:pPr>
        <w:pStyle w:val="BodyText"/>
        <w:spacing w:before="229"/>
        <w:ind w:left="1195" w:right="342"/>
        <w:jc w:val="both"/>
      </w:pPr>
      <w:r>
        <w:rPr/>
        <w:t>Si la autoridad se niega a recibir el oficio, el actuario hará del conocimiento del encargado de la oficina correspondiente que no obstante esta circunstancia, se tendrá por hecha la notificación. Si a pesar de esto subsiste la negativa, asentará la razón en autos y se tendrá por hecha, y</w:t>
      </w:r>
    </w:p>
    <w:p>
      <w:pPr>
        <w:pStyle w:val="ListParagraph"/>
        <w:numPr>
          <w:ilvl w:val="0"/>
          <w:numId w:val="296"/>
        </w:numPr>
        <w:tabs>
          <w:tab w:pos="1192" w:val="left" w:leader="none"/>
          <w:tab w:pos="1195" w:val="left" w:leader="none"/>
        </w:tabs>
        <w:spacing w:line="242" w:lineRule="auto" w:before="227" w:after="0"/>
        <w:ind w:left="1195" w:right="334" w:hanging="569"/>
        <w:jc w:val="both"/>
        <w:rPr>
          <w:sz w:val="20"/>
        </w:rPr>
      </w:pPr>
      <w:r>
        <w:rPr>
          <w:sz w:val="20"/>
        </w:rPr>
        <w:t>Si el domicilio de la autoridad se encuentra fuera del lugar del juicio, se enviará el oficio por exhorto a través de la plataforma electrónica para que la autoridad exhortada realice la notificación al día siguiente de su recepción.</w:t>
      </w:r>
    </w:p>
    <w:p>
      <w:pPr>
        <w:pStyle w:val="BodyText"/>
        <w:spacing w:before="225"/>
        <w:ind w:left="1195" w:right="342"/>
        <w:jc w:val="both"/>
      </w:pPr>
      <w:r>
        <w:rPr/>
        <w:t>Cuando el domicilio se encuentre fuera de la circunscripción territorial del órgano jurisdiccional que conozca del juicio, pero en zona conurbada, podrá ordenarse que la notificación se haga por medio del actuario.</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5" w:firstLine="288"/>
        <w:jc w:val="both"/>
      </w:pPr>
      <w:bookmarkStart w:name="Artículo_745" w:id="952"/>
      <w:bookmarkEnd w:id="952"/>
      <w:r>
        <w:rPr/>
      </w:r>
      <w:r>
        <w:rPr>
          <w:rFonts w:ascii="Arial" w:hAnsi="Arial"/>
          <w:b/>
        </w:rPr>
        <w:t>Artículo 745.- </w:t>
      </w:r>
      <w:r>
        <w:rPr/>
        <w:t>El Tribunal Federal y los Tribunales Locales, deberán acordar la publicación de un boletín impreso y electrónico que contenga la lista de las notificaciones que no sean personales.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4" w:firstLine="288"/>
        <w:jc w:val="both"/>
      </w:pPr>
      <w:bookmarkStart w:name="Artículo_745_Bis" w:id="953"/>
      <w:bookmarkEnd w:id="953"/>
      <w:r>
        <w:rPr/>
      </w:r>
      <w:r>
        <w:rPr>
          <w:rFonts w:ascii="Arial" w:hAnsi="Arial"/>
          <w:b/>
        </w:rPr>
        <w:t>Artículo 745 Bis.- </w:t>
      </w:r>
      <w:r>
        <w:rPr/>
        <w:t>Las notificaciones por boletín o lista se fijarán y publicarán en el local del órgano jurisdiccional, en lugar visible y de fácil acceso, así como en el portal de Internet del Poder Judicial de la Federación</w:t>
      </w:r>
      <w:r>
        <w:rPr>
          <w:spacing w:val="31"/>
        </w:rPr>
        <w:t> </w:t>
      </w:r>
      <w:r>
        <w:rPr/>
        <w:t>y</w:t>
      </w:r>
      <w:r>
        <w:rPr>
          <w:spacing w:val="25"/>
        </w:rPr>
        <w:t> </w:t>
      </w:r>
      <w:r>
        <w:rPr/>
        <w:t>de</w:t>
      </w:r>
      <w:r>
        <w:rPr>
          <w:spacing w:val="29"/>
        </w:rPr>
        <w:t> </w:t>
      </w:r>
      <w:r>
        <w:rPr/>
        <w:t>los</w:t>
      </w:r>
      <w:r>
        <w:rPr>
          <w:spacing w:val="30"/>
        </w:rPr>
        <w:t> </w:t>
      </w:r>
      <w:r>
        <w:rPr/>
        <w:t>Poderes</w:t>
      </w:r>
      <w:r>
        <w:rPr>
          <w:spacing w:val="30"/>
        </w:rPr>
        <w:t> </w:t>
      </w:r>
      <w:r>
        <w:rPr/>
        <w:t>Judiciales</w:t>
      </w:r>
      <w:r>
        <w:rPr>
          <w:spacing w:val="30"/>
        </w:rPr>
        <w:t> </w:t>
      </w:r>
      <w:r>
        <w:rPr/>
        <w:t>de</w:t>
      </w:r>
      <w:r>
        <w:rPr>
          <w:spacing w:val="28"/>
        </w:rPr>
        <w:t> </w:t>
      </w:r>
      <w:r>
        <w:rPr/>
        <w:t>las</w:t>
      </w:r>
      <w:r>
        <w:rPr>
          <w:spacing w:val="30"/>
        </w:rPr>
        <w:t> </w:t>
      </w:r>
      <w:r>
        <w:rPr/>
        <w:t>Entidades</w:t>
      </w:r>
      <w:r>
        <w:rPr>
          <w:spacing w:val="30"/>
        </w:rPr>
        <w:t> </w:t>
      </w:r>
      <w:r>
        <w:rPr/>
        <w:t>Federativas;</w:t>
      </w:r>
      <w:r>
        <w:rPr>
          <w:spacing w:val="29"/>
        </w:rPr>
        <w:t> </w:t>
      </w:r>
      <w:r>
        <w:rPr/>
        <w:t>en</w:t>
      </w:r>
      <w:r>
        <w:rPr>
          <w:spacing w:val="28"/>
        </w:rPr>
        <w:t> </w:t>
      </w:r>
      <w:r>
        <w:rPr/>
        <w:t>estos</w:t>
      </w:r>
      <w:r>
        <w:rPr>
          <w:spacing w:val="30"/>
        </w:rPr>
        <w:t> </w:t>
      </w:r>
      <w:r>
        <w:rPr/>
        <w:t>casos</w:t>
      </w:r>
      <w:r>
        <w:rPr>
          <w:spacing w:val="30"/>
        </w:rPr>
        <w:t> </w:t>
      </w:r>
      <w:r>
        <w:rPr/>
        <w:t>los</w:t>
      </w:r>
      <w:r>
        <w:rPr>
          <w:spacing w:val="30"/>
        </w:rPr>
        <w:t> </w:t>
      </w:r>
      <w:r>
        <w:rPr/>
        <w:t>portales</w:t>
      </w:r>
      <w:r>
        <w:rPr>
          <w:spacing w:val="30"/>
        </w:rPr>
        <w:t> </w:t>
      </w:r>
      <w:r>
        <w:rPr/>
        <w:t>de</w:t>
      </w:r>
    </w:p>
    <w:p>
      <w:pPr>
        <w:pStyle w:val="BodyText"/>
        <w:spacing w:after="0" w:line="242" w:lineRule="auto"/>
        <w:jc w:val="both"/>
        <w:sectPr>
          <w:pgSz w:w="12240" w:h="15840"/>
          <w:pgMar w:header="724" w:footer="712" w:top="1880" w:bottom="900" w:left="1080" w:right="1080"/>
        </w:sectPr>
      </w:pPr>
    </w:p>
    <w:p>
      <w:pPr>
        <w:pStyle w:val="BodyText"/>
        <w:spacing w:before="65"/>
      </w:pPr>
    </w:p>
    <w:p>
      <w:pPr>
        <w:pStyle w:val="BodyText"/>
        <w:ind w:left="338" w:right="340"/>
        <w:jc w:val="both"/>
      </w:pPr>
      <w:r>
        <w:rPr/>
        <w:t>Internet deberán tener la opción de consulta por órgano</w:t>
      </w:r>
      <w:r>
        <w:rPr>
          <w:spacing w:val="-2"/>
        </w:rPr>
        <w:t> </w:t>
      </w:r>
      <w:r>
        <w:rPr/>
        <w:t>jurisdiccional y</w:t>
      </w:r>
      <w:r>
        <w:rPr>
          <w:spacing w:val="-4"/>
        </w:rPr>
        <w:t> </w:t>
      </w:r>
      <w:r>
        <w:rPr/>
        <w:t>número</w:t>
      </w:r>
      <w:r>
        <w:rPr>
          <w:spacing w:val="-1"/>
        </w:rPr>
        <w:t> </w:t>
      </w:r>
      <w:r>
        <w:rPr/>
        <w:t>de</w:t>
      </w:r>
      <w:r>
        <w:rPr>
          <w:spacing w:val="-2"/>
        </w:rPr>
        <w:t> </w:t>
      </w:r>
      <w:r>
        <w:rPr/>
        <w:t>juicio o expediente.</w:t>
      </w:r>
      <w:r>
        <w:rPr>
          <w:spacing w:val="-1"/>
        </w:rPr>
        <w:t> </w:t>
      </w:r>
      <w:r>
        <w:rPr/>
        <w:t>La fijación y publicación de esta lista se realizará a primera hora hábil del día siguiente al de la fecha de la resolución que la ordena y contendrá:</w:t>
      </w:r>
    </w:p>
    <w:p>
      <w:pPr>
        <w:pStyle w:val="ListParagraph"/>
        <w:numPr>
          <w:ilvl w:val="0"/>
          <w:numId w:val="297"/>
        </w:numPr>
        <w:tabs>
          <w:tab w:pos="1195" w:val="left" w:leader="none"/>
        </w:tabs>
        <w:spacing w:line="240" w:lineRule="auto" w:before="230" w:after="0"/>
        <w:ind w:left="1195" w:right="0" w:hanging="569"/>
        <w:jc w:val="left"/>
        <w:rPr>
          <w:sz w:val="20"/>
        </w:rPr>
      </w:pPr>
      <w:r>
        <w:rPr>
          <w:sz w:val="20"/>
        </w:rPr>
        <w:t>El</w:t>
      </w:r>
      <w:r>
        <w:rPr>
          <w:spacing w:val="-5"/>
          <w:sz w:val="20"/>
        </w:rPr>
        <w:t> </w:t>
      </w:r>
      <w:r>
        <w:rPr>
          <w:sz w:val="20"/>
        </w:rPr>
        <w:t>número</w:t>
      </w:r>
      <w:r>
        <w:rPr>
          <w:spacing w:val="-5"/>
          <w:sz w:val="20"/>
        </w:rPr>
        <w:t> </w:t>
      </w:r>
      <w:r>
        <w:rPr>
          <w:sz w:val="20"/>
        </w:rPr>
        <w:t>del</w:t>
      </w:r>
      <w:r>
        <w:rPr>
          <w:spacing w:val="-7"/>
          <w:sz w:val="20"/>
        </w:rPr>
        <w:t> </w:t>
      </w:r>
      <w:r>
        <w:rPr>
          <w:sz w:val="20"/>
        </w:rPr>
        <w:t>juicio</w:t>
      </w:r>
      <w:r>
        <w:rPr>
          <w:spacing w:val="-3"/>
          <w:sz w:val="20"/>
        </w:rPr>
        <w:t> </w:t>
      </w:r>
      <w:r>
        <w:rPr>
          <w:sz w:val="20"/>
        </w:rPr>
        <w:t>de</w:t>
      </w:r>
      <w:r>
        <w:rPr>
          <w:spacing w:val="-5"/>
          <w:sz w:val="20"/>
        </w:rPr>
        <w:t> </w:t>
      </w:r>
      <w:r>
        <w:rPr>
          <w:sz w:val="20"/>
        </w:rPr>
        <w:t>que</w:t>
      </w:r>
      <w:r>
        <w:rPr>
          <w:spacing w:val="-4"/>
          <w:sz w:val="20"/>
        </w:rPr>
        <w:t> </w:t>
      </w:r>
      <w:r>
        <w:rPr>
          <w:sz w:val="20"/>
        </w:rPr>
        <w:t>se</w:t>
      </w:r>
      <w:r>
        <w:rPr>
          <w:spacing w:val="-5"/>
          <w:sz w:val="20"/>
        </w:rPr>
        <w:t> </w:t>
      </w:r>
      <w:r>
        <w:rPr>
          <w:spacing w:val="-2"/>
          <w:sz w:val="20"/>
        </w:rPr>
        <w:t>trate;</w:t>
      </w:r>
    </w:p>
    <w:p>
      <w:pPr>
        <w:pStyle w:val="ListParagraph"/>
        <w:numPr>
          <w:ilvl w:val="0"/>
          <w:numId w:val="297"/>
        </w:numPr>
        <w:tabs>
          <w:tab w:pos="1195" w:val="left" w:leader="none"/>
        </w:tabs>
        <w:spacing w:line="240" w:lineRule="auto" w:before="228" w:after="0"/>
        <w:ind w:left="1195" w:right="0" w:hanging="569"/>
        <w:jc w:val="left"/>
        <w:rPr>
          <w:sz w:val="20"/>
        </w:rPr>
      </w:pPr>
      <w:r>
        <w:rPr>
          <w:sz w:val="20"/>
        </w:rPr>
        <w:t>El</w:t>
      </w:r>
      <w:r>
        <w:rPr>
          <w:spacing w:val="-4"/>
          <w:sz w:val="20"/>
        </w:rPr>
        <w:t> </w:t>
      </w:r>
      <w:r>
        <w:rPr>
          <w:sz w:val="20"/>
        </w:rPr>
        <w:t>nombre</w:t>
      </w:r>
      <w:r>
        <w:rPr>
          <w:spacing w:val="-5"/>
          <w:sz w:val="20"/>
        </w:rPr>
        <w:t> </w:t>
      </w:r>
      <w:r>
        <w:rPr>
          <w:sz w:val="20"/>
        </w:rPr>
        <w:t>de</w:t>
      </w:r>
      <w:r>
        <w:rPr>
          <w:spacing w:val="-4"/>
          <w:sz w:val="20"/>
        </w:rPr>
        <w:t> </w:t>
      </w:r>
      <w:r>
        <w:rPr>
          <w:sz w:val="20"/>
        </w:rPr>
        <w:t>las</w:t>
      </w:r>
      <w:r>
        <w:rPr>
          <w:spacing w:val="-4"/>
          <w:sz w:val="20"/>
        </w:rPr>
        <w:t> </w:t>
      </w:r>
      <w:r>
        <w:rPr>
          <w:spacing w:val="-2"/>
          <w:sz w:val="20"/>
        </w:rPr>
        <w:t>partes;</w:t>
      </w:r>
    </w:p>
    <w:p>
      <w:pPr>
        <w:pStyle w:val="BodyText"/>
        <w:spacing w:before="1"/>
      </w:pPr>
    </w:p>
    <w:p>
      <w:pPr>
        <w:pStyle w:val="ListParagraph"/>
        <w:numPr>
          <w:ilvl w:val="0"/>
          <w:numId w:val="297"/>
        </w:numPr>
        <w:tabs>
          <w:tab w:pos="1195" w:val="left" w:leader="none"/>
        </w:tabs>
        <w:spacing w:line="240" w:lineRule="auto" w:before="0" w:after="0"/>
        <w:ind w:left="1195" w:right="0" w:hanging="569"/>
        <w:jc w:val="left"/>
        <w:rPr>
          <w:sz w:val="20"/>
        </w:rPr>
      </w:pPr>
      <w:r>
        <w:rPr>
          <w:sz w:val="20"/>
        </w:rPr>
        <w:t>La</w:t>
      </w:r>
      <w:r>
        <w:rPr>
          <w:spacing w:val="-8"/>
          <w:sz w:val="20"/>
        </w:rPr>
        <w:t> </w:t>
      </w:r>
      <w:r>
        <w:rPr>
          <w:sz w:val="20"/>
        </w:rPr>
        <w:t>síntesis</w:t>
      </w:r>
      <w:r>
        <w:rPr>
          <w:spacing w:val="-5"/>
          <w:sz w:val="20"/>
        </w:rPr>
        <w:t> </w:t>
      </w:r>
      <w:r>
        <w:rPr>
          <w:sz w:val="20"/>
        </w:rPr>
        <w:t>de</w:t>
      </w:r>
      <w:r>
        <w:rPr>
          <w:spacing w:val="-5"/>
          <w:sz w:val="20"/>
        </w:rPr>
        <w:t> </w:t>
      </w:r>
      <w:r>
        <w:rPr>
          <w:sz w:val="20"/>
        </w:rPr>
        <w:t>la</w:t>
      </w:r>
      <w:r>
        <w:rPr>
          <w:spacing w:val="-6"/>
          <w:sz w:val="20"/>
        </w:rPr>
        <w:t> </w:t>
      </w:r>
      <w:r>
        <w:rPr>
          <w:sz w:val="20"/>
        </w:rPr>
        <w:t>resolución</w:t>
      </w:r>
      <w:r>
        <w:rPr>
          <w:spacing w:val="-4"/>
          <w:sz w:val="20"/>
        </w:rPr>
        <w:t> </w:t>
      </w:r>
      <w:r>
        <w:rPr>
          <w:sz w:val="20"/>
        </w:rPr>
        <w:t>que</w:t>
      </w:r>
      <w:r>
        <w:rPr>
          <w:spacing w:val="-7"/>
          <w:sz w:val="20"/>
        </w:rPr>
        <w:t> </w:t>
      </w:r>
      <w:r>
        <w:rPr>
          <w:sz w:val="20"/>
        </w:rPr>
        <w:t>se</w:t>
      </w:r>
      <w:r>
        <w:rPr>
          <w:spacing w:val="-4"/>
          <w:sz w:val="20"/>
        </w:rPr>
        <w:t> </w:t>
      </w:r>
      <w:r>
        <w:rPr>
          <w:spacing w:val="-2"/>
          <w:sz w:val="20"/>
        </w:rPr>
        <w:t>notifica.</w:t>
      </w:r>
    </w:p>
    <w:p>
      <w:pPr>
        <w:pStyle w:val="BodyText"/>
        <w:spacing w:before="3"/>
      </w:pPr>
    </w:p>
    <w:p>
      <w:pPr>
        <w:pStyle w:val="BodyText"/>
        <w:spacing w:line="228" w:lineRule="exact"/>
        <w:ind w:left="626"/>
      </w:pPr>
      <w:r>
        <w:rPr/>
        <w:t>El</w:t>
      </w:r>
      <w:r>
        <w:rPr>
          <w:spacing w:val="-7"/>
        </w:rPr>
        <w:t> </w:t>
      </w:r>
      <w:r>
        <w:rPr/>
        <w:t>actuario</w:t>
      </w:r>
      <w:r>
        <w:rPr>
          <w:spacing w:val="-7"/>
        </w:rPr>
        <w:t> </w:t>
      </w:r>
      <w:r>
        <w:rPr/>
        <w:t>o</w:t>
      </w:r>
      <w:r>
        <w:rPr>
          <w:spacing w:val="-6"/>
        </w:rPr>
        <w:t> </w:t>
      </w:r>
      <w:r>
        <w:rPr/>
        <w:t>el</w:t>
      </w:r>
      <w:r>
        <w:rPr>
          <w:spacing w:val="-9"/>
        </w:rPr>
        <w:t> </w:t>
      </w:r>
      <w:r>
        <w:rPr/>
        <w:t>funcionario</w:t>
      </w:r>
      <w:r>
        <w:rPr>
          <w:spacing w:val="-6"/>
        </w:rPr>
        <w:t> </w:t>
      </w:r>
      <w:r>
        <w:rPr/>
        <w:t>habilitado</w:t>
      </w:r>
      <w:r>
        <w:rPr>
          <w:spacing w:val="-7"/>
        </w:rPr>
        <w:t> </w:t>
      </w:r>
      <w:r>
        <w:rPr/>
        <w:t>para</w:t>
      </w:r>
      <w:r>
        <w:rPr>
          <w:spacing w:val="-7"/>
        </w:rPr>
        <w:t> </w:t>
      </w:r>
      <w:r>
        <w:rPr/>
        <w:t>tal</w:t>
      </w:r>
      <w:r>
        <w:rPr>
          <w:spacing w:val="-8"/>
        </w:rPr>
        <w:t> </w:t>
      </w:r>
      <w:r>
        <w:rPr/>
        <w:t>efecto</w:t>
      </w:r>
      <w:r>
        <w:rPr>
          <w:spacing w:val="-6"/>
        </w:rPr>
        <w:t> </w:t>
      </w:r>
      <w:r>
        <w:rPr/>
        <w:t>asentará</w:t>
      </w:r>
      <w:r>
        <w:rPr>
          <w:spacing w:val="-5"/>
        </w:rPr>
        <w:t> </w:t>
      </w:r>
      <w:r>
        <w:rPr/>
        <w:t>en</w:t>
      </w:r>
      <w:r>
        <w:rPr>
          <w:spacing w:val="-7"/>
        </w:rPr>
        <w:t> </w:t>
      </w:r>
      <w:r>
        <w:rPr/>
        <w:t>el</w:t>
      </w:r>
      <w:r>
        <w:rPr>
          <w:spacing w:val="-6"/>
        </w:rPr>
        <w:t> </w:t>
      </w:r>
      <w:r>
        <w:rPr/>
        <w:t>expediente</w:t>
      </w:r>
      <w:r>
        <w:rPr>
          <w:spacing w:val="-6"/>
        </w:rPr>
        <w:t> </w:t>
      </w:r>
      <w:r>
        <w:rPr/>
        <w:t>la</w:t>
      </w:r>
      <w:r>
        <w:rPr>
          <w:spacing w:val="-8"/>
        </w:rPr>
        <w:t> </w:t>
      </w:r>
      <w:r>
        <w:rPr/>
        <w:t>razón</w:t>
      </w:r>
      <w:r>
        <w:rPr>
          <w:spacing w:val="-7"/>
        </w:rPr>
        <w:t> </w:t>
      </w:r>
      <w:r>
        <w:rPr>
          <w:spacing w:val="-2"/>
        </w:rPr>
        <w:t>respectiva.</w:t>
      </w:r>
    </w:p>
    <w:p>
      <w:pPr>
        <w:spacing w:line="182"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626"/>
      </w:pPr>
      <w:bookmarkStart w:name="Artículo_745_Ter" w:id="954"/>
      <w:bookmarkEnd w:id="954"/>
      <w:r>
        <w:rPr/>
      </w:r>
      <w:r>
        <w:rPr>
          <w:rFonts w:ascii="Arial" w:hAnsi="Arial"/>
          <w:b/>
        </w:rPr>
        <w:t>Artículo</w:t>
      </w:r>
      <w:r>
        <w:rPr>
          <w:rFonts w:ascii="Arial" w:hAnsi="Arial"/>
          <w:b/>
          <w:spacing w:val="-7"/>
        </w:rPr>
        <w:t> </w:t>
      </w:r>
      <w:r>
        <w:rPr>
          <w:rFonts w:ascii="Arial" w:hAnsi="Arial"/>
          <w:b/>
        </w:rPr>
        <w:t>745</w:t>
      </w:r>
      <w:r>
        <w:rPr>
          <w:rFonts w:ascii="Arial" w:hAnsi="Arial"/>
          <w:b/>
          <w:spacing w:val="-7"/>
        </w:rPr>
        <w:t> </w:t>
      </w:r>
      <w:r>
        <w:rPr>
          <w:rFonts w:ascii="Arial" w:hAnsi="Arial"/>
          <w:b/>
        </w:rPr>
        <w:t>Ter.-</w:t>
      </w:r>
      <w:r>
        <w:rPr>
          <w:rFonts w:ascii="Arial" w:hAnsi="Arial"/>
          <w:b/>
          <w:spacing w:val="-6"/>
        </w:rPr>
        <w:t> </w:t>
      </w:r>
      <w:r>
        <w:rPr/>
        <w:t>Las</w:t>
      </w:r>
      <w:r>
        <w:rPr>
          <w:spacing w:val="-6"/>
        </w:rPr>
        <w:t> </w:t>
      </w:r>
      <w:r>
        <w:rPr/>
        <w:t>notificaciones</w:t>
      </w:r>
      <w:r>
        <w:rPr>
          <w:spacing w:val="-6"/>
        </w:rPr>
        <w:t> </w:t>
      </w:r>
      <w:r>
        <w:rPr/>
        <w:t>por</w:t>
      </w:r>
      <w:r>
        <w:rPr>
          <w:spacing w:val="-4"/>
        </w:rPr>
        <w:t> </w:t>
      </w:r>
      <w:r>
        <w:rPr/>
        <w:t>vía</w:t>
      </w:r>
      <w:r>
        <w:rPr>
          <w:spacing w:val="-5"/>
        </w:rPr>
        <w:t> </w:t>
      </w:r>
      <w:r>
        <w:rPr/>
        <w:t>electrónica</w:t>
      </w:r>
      <w:r>
        <w:rPr>
          <w:spacing w:val="-7"/>
        </w:rPr>
        <w:t> </w:t>
      </w:r>
      <w:r>
        <w:rPr/>
        <w:t>se</w:t>
      </w:r>
      <w:r>
        <w:rPr>
          <w:spacing w:val="-7"/>
        </w:rPr>
        <w:t> </w:t>
      </w:r>
      <w:r>
        <w:rPr/>
        <w:t>sujetarán</w:t>
      </w:r>
      <w:r>
        <w:rPr>
          <w:spacing w:val="-7"/>
        </w:rPr>
        <w:t> </w:t>
      </w:r>
      <w:r>
        <w:rPr/>
        <w:t>a</w:t>
      </w:r>
      <w:r>
        <w:rPr>
          <w:spacing w:val="-6"/>
        </w:rPr>
        <w:t> </w:t>
      </w:r>
      <w:r>
        <w:rPr/>
        <w:t>las</w:t>
      </w:r>
      <w:r>
        <w:rPr>
          <w:spacing w:val="-6"/>
        </w:rPr>
        <w:t> </w:t>
      </w:r>
      <w:r>
        <w:rPr/>
        <w:t>reglas</w:t>
      </w:r>
      <w:r>
        <w:rPr>
          <w:spacing w:val="-5"/>
        </w:rPr>
        <w:t> </w:t>
      </w:r>
      <w:r>
        <w:rPr>
          <w:spacing w:val="-2"/>
        </w:rPr>
        <w:t>siguientes:</w:t>
      </w:r>
    </w:p>
    <w:p>
      <w:pPr>
        <w:pStyle w:val="BodyText"/>
        <w:spacing w:before="1"/>
      </w:pPr>
    </w:p>
    <w:p>
      <w:pPr>
        <w:pStyle w:val="ListParagraph"/>
        <w:numPr>
          <w:ilvl w:val="0"/>
          <w:numId w:val="298"/>
        </w:numPr>
        <w:tabs>
          <w:tab w:pos="1193" w:val="left" w:leader="none"/>
          <w:tab w:pos="1195" w:val="left" w:leader="none"/>
        </w:tabs>
        <w:spacing w:line="240" w:lineRule="auto" w:before="0" w:after="0"/>
        <w:ind w:left="1195" w:right="342" w:hanging="569"/>
        <w:jc w:val="both"/>
        <w:rPr>
          <w:sz w:val="20"/>
        </w:rPr>
      </w:pPr>
      <w:r>
        <w:rPr>
          <w:sz w:val="20"/>
        </w:rPr>
        <w:t>Las partes o terceros interesados están obligados a ingresar al buzón electrónico asignado todos los días y obtener la constancia a que se refiere la fracción IV del artículo 747 de esta</w:t>
      </w:r>
      <w:r>
        <w:rPr>
          <w:spacing w:val="40"/>
          <w:sz w:val="20"/>
        </w:rPr>
        <w:t> </w:t>
      </w:r>
      <w:r>
        <w:rPr>
          <w:sz w:val="20"/>
        </w:rPr>
        <w:t>Ley, en un plazo</w:t>
      </w:r>
      <w:r>
        <w:rPr>
          <w:spacing w:val="-1"/>
          <w:sz w:val="20"/>
        </w:rPr>
        <w:t> </w:t>
      </w:r>
      <w:r>
        <w:rPr>
          <w:sz w:val="20"/>
        </w:rPr>
        <w:t>máximo</w:t>
      </w:r>
      <w:r>
        <w:rPr>
          <w:spacing w:val="-1"/>
          <w:sz w:val="20"/>
        </w:rPr>
        <w:t> </w:t>
      </w:r>
      <w:r>
        <w:rPr>
          <w:sz w:val="20"/>
        </w:rPr>
        <w:t>de</w:t>
      </w:r>
      <w:r>
        <w:rPr>
          <w:spacing w:val="-1"/>
          <w:sz w:val="20"/>
        </w:rPr>
        <w:t> </w:t>
      </w:r>
      <w:r>
        <w:rPr>
          <w:sz w:val="20"/>
        </w:rPr>
        <w:t>dos días a partir de</w:t>
      </w:r>
      <w:r>
        <w:rPr>
          <w:spacing w:val="-2"/>
          <w:sz w:val="20"/>
        </w:rPr>
        <w:t> </w:t>
      </w:r>
      <w:r>
        <w:rPr>
          <w:sz w:val="20"/>
        </w:rPr>
        <w:t>que el</w:t>
      </w:r>
      <w:r>
        <w:rPr>
          <w:spacing w:val="-2"/>
          <w:sz w:val="20"/>
        </w:rPr>
        <w:t> </w:t>
      </w:r>
      <w:r>
        <w:rPr>
          <w:sz w:val="20"/>
        </w:rPr>
        <w:t>órgano</w:t>
      </w:r>
      <w:r>
        <w:rPr>
          <w:spacing w:val="-2"/>
          <w:sz w:val="20"/>
        </w:rPr>
        <w:t> </w:t>
      </w:r>
      <w:r>
        <w:rPr>
          <w:sz w:val="20"/>
        </w:rPr>
        <w:t>jurisdiccional la hubiere enviado.</w:t>
      </w:r>
    </w:p>
    <w:p>
      <w:pPr>
        <w:pStyle w:val="BodyText"/>
        <w:spacing w:before="1"/>
      </w:pPr>
    </w:p>
    <w:p>
      <w:pPr>
        <w:pStyle w:val="BodyText"/>
        <w:spacing w:before="1"/>
        <w:ind w:left="1195" w:right="332"/>
        <w:jc w:val="both"/>
      </w:pPr>
      <w:r>
        <w:rPr/>
        <w:t>De no ingresar dentro de los plazos señalados al sistema electrónico establecido para tal</w:t>
      </w:r>
      <w:r>
        <w:rPr>
          <w:spacing w:val="80"/>
        </w:rPr>
        <w:t> </w:t>
      </w:r>
      <w:r>
        <w:rPr/>
        <w:t>efecto, el Tribunal tendrá por hecha la notificación. Cuando éste lo estime conveniente por la naturaleza o trascendencia del acto, podrá ordenar que la notificación a realizar se haga por conducto del actuario, quien hará constar en el expediente cualquiera de las situaciones anteriores, y</w:t>
      </w:r>
    </w:p>
    <w:p>
      <w:pPr>
        <w:pStyle w:val="ListParagraph"/>
        <w:numPr>
          <w:ilvl w:val="0"/>
          <w:numId w:val="298"/>
        </w:numPr>
        <w:tabs>
          <w:tab w:pos="1192" w:val="left" w:leader="none"/>
          <w:tab w:pos="1195" w:val="left" w:leader="none"/>
        </w:tabs>
        <w:spacing w:line="240" w:lineRule="auto" w:before="227" w:after="0"/>
        <w:ind w:left="1195" w:right="339" w:hanging="569"/>
        <w:jc w:val="both"/>
        <w:rPr>
          <w:sz w:val="20"/>
        </w:rPr>
      </w:pPr>
      <w:r>
        <w:rPr>
          <w:sz w:val="20"/>
        </w:rPr>
        <w:t>Cuando por caso fortuito, fuerza mayor o por fallas técnicas se interrumpa el sistema, haciendo imposible el envío de notificaciones dentro de los plazos establecidos en esta Ley, las partes deberán dar aviso de inmediato por cualquier otra vía al Tribunal, el cual comunicará tal circunstancia a la unidad administrativa encargada de operar el sistema. En tanto dure dicha situación, se suspenderán, por ese mismo lapso los plazos correspondientes.</w:t>
      </w:r>
    </w:p>
    <w:p>
      <w:pPr>
        <w:pStyle w:val="BodyText"/>
        <w:spacing w:before="3"/>
      </w:pPr>
    </w:p>
    <w:p>
      <w:pPr>
        <w:pStyle w:val="BodyText"/>
        <w:ind w:left="1195" w:right="337"/>
        <w:jc w:val="both"/>
      </w:pPr>
      <w:r>
        <w:rPr/>
        <w:t>Una vez que se haya restablecido el sistema, la unidad administrativa encargada de operar el sistema enviará un reporte al o los órganos jurisdiccionales correspondientes en el que deberá señalar la causa y el tiempo de la interrupción del sistema, para efectos del cómputo </w:t>
      </w:r>
      <w:r>
        <w:rPr>
          <w:spacing w:val="-2"/>
        </w:rPr>
        <w:t>correspondiente.</w:t>
      </w:r>
    </w:p>
    <w:p>
      <w:pPr>
        <w:pStyle w:val="BodyText"/>
      </w:pPr>
    </w:p>
    <w:p>
      <w:pPr>
        <w:pStyle w:val="BodyText"/>
        <w:ind w:left="1195" w:right="335"/>
        <w:jc w:val="both"/>
      </w:pPr>
      <w:r>
        <w:rPr/>
        <w:t>El Tribunal deberá notificar a las partes sobre la interrupción del sistema, haciéndoles saber el tiempo de interrupción, desde su inicio hasta su restablecimiento, así como el momento en que reinicie el cómputo de los plazos correspondientes.</w:t>
      </w:r>
    </w:p>
    <w:p>
      <w:pPr>
        <w:pStyle w:val="BodyText"/>
        <w:spacing w:line="229" w:lineRule="exact" w:before="229"/>
        <w:ind w:left="626"/>
      </w:pPr>
      <w:r>
        <w:rPr/>
        <w:t>En</w:t>
      </w:r>
      <w:r>
        <w:rPr>
          <w:spacing w:val="-7"/>
        </w:rPr>
        <w:t> </w:t>
      </w:r>
      <w:r>
        <w:rPr/>
        <w:t>todos</w:t>
      </w:r>
      <w:r>
        <w:rPr>
          <w:spacing w:val="-4"/>
        </w:rPr>
        <w:t> </w:t>
      </w:r>
      <w:r>
        <w:rPr/>
        <w:t>los</w:t>
      </w:r>
      <w:r>
        <w:rPr>
          <w:spacing w:val="-6"/>
        </w:rPr>
        <w:t> </w:t>
      </w:r>
      <w:r>
        <w:rPr/>
        <w:t>casos</w:t>
      </w:r>
      <w:r>
        <w:rPr>
          <w:spacing w:val="-6"/>
        </w:rPr>
        <w:t> </w:t>
      </w:r>
      <w:r>
        <w:rPr/>
        <w:t>la</w:t>
      </w:r>
      <w:r>
        <w:rPr>
          <w:spacing w:val="-6"/>
        </w:rPr>
        <w:t> </w:t>
      </w:r>
      <w:r>
        <w:rPr/>
        <w:t>notificación</w:t>
      </w:r>
      <w:r>
        <w:rPr>
          <w:spacing w:val="-8"/>
        </w:rPr>
        <w:t> </w:t>
      </w:r>
      <w:r>
        <w:rPr/>
        <w:t>o</w:t>
      </w:r>
      <w:r>
        <w:rPr>
          <w:spacing w:val="-5"/>
        </w:rPr>
        <w:t> </w:t>
      </w:r>
      <w:r>
        <w:rPr/>
        <w:t>constancia</w:t>
      </w:r>
      <w:r>
        <w:rPr>
          <w:spacing w:val="-6"/>
        </w:rPr>
        <w:t> </w:t>
      </w:r>
      <w:r>
        <w:rPr/>
        <w:t>respectiva</w:t>
      </w:r>
      <w:r>
        <w:rPr>
          <w:spacing w:val="-7"/>
        </w:rPr>
        <w:t> </w:t>
      </w:r>
      <w:r>
        <w:rPr/>
        <w:t>se</w:t>
      </w:r>
      <w:r>
        <w:rPr>
          <w:spacing w:val="-7"/>
        </w:rPr>
        <w:t> </w:t>
      </w:r>
      <w:r>
        <w:rPr/>
        <w:t>agregará</w:t>
      </w:r>
      <w:r>
        <w:rPr>
          <w:spacing w:val="-6"/>
        </w:rPr>
        <w:t> </w:t>
      </w:r>
      <w:r>
        <w:rPr/>
        <w:t>a</w:t>
      </w:r>
      <w:r>
        <w:rPr>
          <w:spacing w:val="-5"/>
        </w:rPr>
        <w:t> </w:t>
      </w:r>
      <w:r>
        <w:rPr/>
        <w:t>los</w:t>
      </w:r>
      <w:r>
        <w:rPr>
          <w:spacing w:val="-6"/>
        </w:rPr>
        <w:t> </w:t>
      </w:r>
      <w:r>
        <w:rPr>
          <w:spacing w:val="-2"/>
        </w:rPr>
        <w:t>autos.</w:t>
      </w:r>
    </w:p>
    <w:p>
      <w:pPr>
        <w:spacing w:line="183"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338" w:right="345" w:firstLine="288"/>
        <w:jc w:val="both"/>
      </w:pPr>
      <w:bookmarkStart w:name="Artículo_746" w:id="955"/>
      <w:bookmarkEnd w:id="955"/>
      <w:r>
        <w:rPr/>
      </w:r>
      <w:r>
        <w:rPr>
          <w:rFonts w:ascii="Arial" w:hAnsi="Arial"/>
          <w:b/>
        </w:rPr>
        <w:t>Artículo 746.- </w:t>
      </w:r>
      <w:r>
        <w:rPr/>
        <w:t>Surtirán sus efectos las notificaciones que se hagan a las partes en el Boletín Judicial,</w:t>
      </w:r>
      <w:r>
        <w:rPr>
          <w:spacing w:val="40"/>
        </w:rPr>
        <w:t> </w:t>
      </w:r>
      <w:r>
        <w:rPr/>
        <w:t>y buzón electrónico salvo que sean personales. El Tribunal competente publicará también dichas notificaciones en los estrados de la autoridad.</w:t>
      </w:r>
    </w:p>
    <w:p>
      <w:pPr>
        <w:spacing w:line="183"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338" w:right="334" w:firstLine="288"/>
        <w:jc w:val="both"/>
      </w:pPr>
      <w:r>
        <w:rPr/>
        <w:t>El Secretario responsable o en su caso el funcionario que al efecto se designe hará constar en autos</w:t>
      </w:r>
      <w:r>
        <w:rPr>
          <w:spacing w:val="40"/>
        </w:rPr>
        <w:t> </w:t>
      </w:r>
      <w:r>
        <w:rPr/>
        <w:t>la</w:t>
      </w:r>
      <w:r>
        <w:rPr>
          <w:spacing w:val="-3"/>
        </w:rPr>
        <w:t> </w:t>
      </w:r>
      <w:r>
        <w:rPr/>
        <w:t>fecha</w:t>
      </w:r>
      <w:r>
        <w:rPr>
          <w:spacing w:val="-1"/>
        </w:rPr>
        <w:t> </w:t>
      </w:r>
      <w:r>
        <w:rPr/>
        <w:t>de</w:t>
      </w:r>
      <w:r>
        <w:rPr>
          <w:spacing w:val="-1"/>
        </w:rPr>
        <w:t> </w:t>
      </w:r>
      <w:r>
        <w:rPr/>
        <w:t>la</w:t>
      </w:r>
      <w:r>
        <w:rPr>
          <w:spacing w:val="-1"/>
        </w:rPr>
        <w:t> </w:t>
      </w:r>
      <w:r>
        <w:rPr/>
        <w:t>publicación</w:t>
      </w:r>
      <w:r>
        <w:rPr>
          <w:spacing w:val="-4"/>
        </w:rPr>
        <w:t> </w:t>
      </w:r>
      <w:r>
        <w:rPr/>
        <w:t>respectiva y</w:t>
      </w:r>
      <w:r>
        <w:rPr>
          <w:spacing w:val="-6"/>
        </w:rPr>
        <w:t> </w:t>
      </w:r>
      <w:r>
        <w:rPr/>
        <w:t>fijará diariamente</w:t>
      </w:r>
      <w:r>
        <w:rPr>
          <w:spacing w:val="-4"/>
        </w:rPr>
        <w:t> </w:t>
      </w:r>
      <w:r>
        <w:rPr/>
        <w:t>en</w:t>
      </w:r>
      <w:r>
        <w:rPr>
          <w:spacing w:val="-1"/>
        </w:rPr>
        <w:t> </w:t>
      </w:r>
      <w:r>
        <w:rPr/>
        <w:t>lugar</w:t>
      </w:r>
      <w:r>
        <w:rPr>
          <w:spacing w:val="-3"/>
        </w:rPr>
        <w:t> </w:t>
      </w:r>
      <w:r>
        <w:rPr/>
        <w:t>visible</w:t>
      </w:r>
      <w:r>
        <w:rPr>
          <w:spacing w:val="-1"/>
        </w:rPr>
        <w:t> </w:t>
      </w:r>
      <w:r>
        <w:rPr/>
        <w:t>del</w:t>
      </w:r>
      <w:r>
        <w:rPr>
          <w:spacing w:val="-2"/>
        </w:rPr>
        <w:t> </w:t>
      </w:r>
      <w:r>
        <w:rPr/>
        <w:t>local</w:t>
      </w:r>
      <w:r>
        <w:rPr>
          <w:spacing w:val="-2"/>
        </w:rPr>
        <w:t> </w:t>
      </w:r>
      <w:r>
        <w:rPr/>
        <w:t>del</w:t>
      </w:r>
      <w:r>
        <w:rPr>
          <w:spacing w:val="-2"/>
        </w:rPr>
        <w:t> </w:t>
      </w:r>
      <w:r>
        <w:rPr/>
        <w:t>Tribunal,</w:t>
      </w:r>
      <w:r>
        <w:rPr>
          <w:spacing w:val="-1"/>
        </w:rPr>
        <w:t> </w:t>
      </w:r>
      <w:r>
        <w:rPr/>
        <w:t>un</w:t>
      </w:r>
      <w:r>
        <w:rPr>
          <w:spacing w:val="-2"/>
        </w:rPr>
        <w:t> </w:t>
      </w:r>
      <w:r>
        <w:rPr/>
        <w:t>ejemplar del Boletín Laboral o, en su caso, las listas de las notificaciones por estrados; coleccionando unos y</w:t>
      </w:r>
      <w:r>
        <w:rPr>
          <w:spacing w:val="80"/>
        </w:rPr>
        <w:t> </w:t>
      </w:r>
      <w:r>
        <w:rPr/>
        <w:t>otras, para resolver cualquier cuestión que se suscite sobre la omisión de alguna publicación.</w:t>
      </w:r>
    </w:p>
    <w:p>
      <w:pPr>
        <w:spacing w:line="181"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1" w:lineRule="exact"/>
        <w:jc w:val="lef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BodyText"/>
        <w:ind w:left="338" w:right="343" w:firstLine="288"/>
        <w:jc w:val="both"/>
      </w:pPr>
      <w:r>
        <w:rPr/>
        <w:t>Las listas de notificaciones deberán ser autorizadas y selladas en su fecha por el Secretario. La publicación de las notificaciones contendrá la fecha, el número del expediente y los nombres de las</w:t>
      </w:r>
      <w:r>
        <w:rPr>
          <w:spacing w:val="40"/>
        </w:rPr>
        <w:t> </w:t>
      </w:r>
      <w:r>
        <w:rPr/>
        <w:t>partes en los juicios de que se trate.</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ind w:left="626"/>
      </w:pPr>
      <w:bookmarkStart w:name="Artículo_747" w:id="956"/>
      <w:bookmarkEnd w:id="956"/>
      <w:r>
        <w:rPr/>
      </w:r>
      <w:r>
        <w:rPr>
          <w:rFonts w:ascii="Arial" w:hAnsi="Arial"/>
          <w:b/>
        </w:rPr>
        <w:t>Artículo</w:t>
      </w:r>
      <w:r>
        <w:rPr>
          <w:rFonts w:ascii="Arial" w:hAnsi="Arial"/>
          <w:b/>
          <w:spacing w:val="-7"/>
        </w:rPr>
        <w:t> </w:t>
      </w:r>
      <w:r>
        <w:rPr>
          <w:rFonts w:ascii="Arial" w:hAnsi="Arial"/>
          <w:b/>
        </w:rPr>
        <w:t>747.-</w:t>
      </w:r>
      <w:r>
        <w:rPr>
          <w:rFonts w:ascii="Arial" w:hAnsi="Arial"/>
          <w:b/>
          <w:spacing w:val="-7"/>
        </w:rPr>
        <w:t> </w:t>
      </w:r>
      <w:r>
        <w:rPr/>
        <w:t>Las</w:t>
      </w:r>
      <w:r>
        <w:rPr>
          <w:spacing w:val="-6"/>
        </w:rPr>
        <w:t> </w:t>
      </w:r>
      <w:r>
        <w:rPr/>
        <w:t>notificaciones</w:t>
      </w:r>
      <w:r>
        <w:rPr>
          <w:spacing w:val="-7"/>
        </w:rPr>
        <w:t> </w:t>
      </w:r>
      <w:r>
        <w:rPr/>
        <w:t>surtirán</w:t>
      </w:r>
      <w:r>
        <w:rPr>
          <w:spacing w:val="-8"/>
        </w:rPr>
        <w:t> </w:t>
      </w:r>
      <w:r>
        <w:rPr/>
        <w:t>sus</w:t>
      </w:r>
      <w:r>
        <w:rPr>
          <w:spacing w:val="-5"/>
        </w:rPr>
        <w:t> </w:t>
      </w:r>
      <w:r>
        <w:rPr/>
        <w:t>efectos</w:t>
      </w:r>
      <w:r>
        <w:rPr>
          <w:spacing w:val="-6"/>
        </w:rPr>
        <w:t> </w:t>
      </w:r>
      <w:r>
        <w:rPr/>
        <w:t>de</w:t>
      </w:r>
      <w:r>
        <w:rPr>
          <w:spacing w:val="-9"/>
        </w:rPr>
        <w:t> </w:t>
      </w:r>
      <w:r>
        <w:rPr/>
        <w:t>la</w:t>
      </w:r>
      <w:r>
        <w:rPr>
          <w:spacing w:val="-5"/>
        </w:rPr>
        <w:t> </w:t>
      </w:r>
      <w:r>
        <w:rPr/>
        <w:t>manera</w:t>
      </w:r>
      <w:r>
        <w:rPr>
          <w:spacing w:val="-8"/>
        </w:rPr>
        <w:t> </w:t>
      </w:r>
      <w:r>
        <w:rPr>
          <w:spacing w:val="-2"/>
        </w:rPr>
        <w:t>siguiente:</w:t>
      </w:r>
    </w:p>
    <w:p>
      <w:pPr>
        <w:pStyle w:val="BodyText"/>
      </w:pPr>
    </w:p>
    <w:p>
      <w:pPr>
        <w:pStyle w:val="ListParagraph"/>
        <w:numPr>
          <w:ilvl w:val="0"/>
          <w:numId w:val="299"/>
        </w:numPr>
        <w:tabs>
          <w:tab w:pos="1193" w:val="left" w:leader="none"/>
          <w:tab w:pos="1195" w:val="left" w:leader="none"/>
        </w:tabs>
        <w:spacing w:line="242" w:lineRule="auto" w:before="1" w:after="0"/>
        <w:ind w:left="1195" w:right="334" w:hanging="569"/>
        <w:jc w:val="both"/>
        <w:rPr>
          <w:sz w:val="20"/>
        </w:rPr>
      </w:pPr>
      <w:r>
        <w:rPr>
          <w:sz w:val="20"/>
        </w:rPr>
        <w:t>Las personales: el día y hora en que se practiquen, contándose de momento a momento, cualquiera que sea la hora en que se haya hecho la notificación, salvo disposición en contrario en la Ley; y</w:t>
      </w:r>
    </w:p>
    <w:p>
      <w:pPr>
        <w:pStyle w:val="ListParagraph"/>
        <w:numPr>
          <w:ilvl w:val="0"/>
          <w:numId w:val="299"/>
        </w:numPr>
        <w:tabs>
          <w:tab w:pos="1192" w:val="left" w:leader="none"/>
          <w:tab w:pos="1195" w:val="left" w:leader="none"/>
        </w:tabs>
        <w:spacing w:line="242" w:lineRule="auto" w:before="223" w:after="0"/>
        <w:ind w:left="1195" w:right="345" w:hanging="569"/>
        <w:jc w:val="both"/>
        <w:rPr>
          <w:sz w:val="20"/>
        </w:rPr>
      </w:pPr>
      <w:r>
        <w:rPr>
          <w:sz w:val="20"/>
        </w:rPr>
        <w:t>Las demás; al día siguiente al de su publicación en el Boletín, o en la lista que se publique en los estrados del Tribunal;</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ListParagraph"/>
        <w:numPr>
          <w:ilvl w:val="0"/>
          <w:numId w:val="299"/>
        </w:numPr>
        <w:tabs>
          <w:tab w:pos="1195" w:val="left" w:leader="none"/>
        </w:tabs>
        <w:spacing w:line="240" w:lineRule="auto" w:before="229" w:after="0"/>
        <w:ind w:left="1195" w:right="0" w:hanging="569"/>
        <w:jc w:val="left"/>
        <w:rPr>
          <w:sz w:val="20"/>
        </w:rPr>
      </w:pPr>
      <w:r>
        <w:rPr>
          <w:sz w:val="20"/>
        </w:rPr>
        <w:t>En</w:t>
      </w:r>
      <w:r>
        <w:rPr>
          <w:spacing w:val="-6"/>
          <w:sz w:val="20"/>
        </w:rPr>
        <w:t> </w:t>
      </w:r>
      <w:r>
        <w:rPr>
          <w:sz w:val="20"/>
        </w:rPr>
        <w:t>dos</w:t>
      </w:r>
      <w:r>
        <w:rPr>
          <w:spacing w:val="-5"/>
          <w:sz w:val="20"/>
        </w:rPr>
        <w:t> </w:t>
      </w:r>
      <w:r>
        <w:rPr>
          <w:sz w:val="20"/>
        </w:rPr>
        <w:t>días</w:t>
      </w:r>
      <w:r>
        <w:rPr>
          <w:spacing w:val="-3"/>
          <w:sz w:val="20"/>
        </w:rPr>
        <w:t> </w:t>
      </w:r>
      <w:r>
        <w:rPr>
          <w:sz w:val="20"/>
        </w:rPr>
        <w:t>las</w:t>
      </w:r>
      <w:r>
        <w:rPr>
          <w:spacing w:val="-4"/>
          <w:sz w:val="20"/>
        </w:rPr>
        <w:t> </w:t>
      </w:r>
      <w:r>
        <w:rPr>
          <w:sz w:val="20"/>
        </w:rPr>
        <w:t>que</w:t>
      </w:r>
      <w:r>
        <w:rPr>
          <w:spacing w:val="-7"/>
          <w:sz w:val="20"/>
        </w:rPr>
        <w:t> </w:t>
      </w:r>
      <w:r>
        <w:rPr>
          <w:sz w:val="20"/>
        </w:rPr>
        <w:t>se</w:t>
      </w:r>
      <w:r>
        <w:rPr>
          <w:spacing w:val="-5"/>
          <w:sz w:val="20"/>
        </w:rPr>
        <w:t> </w:t>
      </w:r>
      <w:r>
        <w:rPr>
          <w:sz w:val="20"/>
        </w:rPr>
        <w:t>realicen</w:t>
      </w:r>
      <w:r>
        <w:rPr>
          <w:spacing w:val="-7"/>
          <w:sz w:val="20"/>
        </w:rPr>
        <w:t> </w:t>
      </w:r>
      <w:r>
        <w:rPr>
          <w:sz w:val="20"/>
        </w:rPr>
        <w:t>al</w:t>
      </w:r>
      <w:r>
        <w:rPr>
          <w:spacing w:val="-6"/>
          <w:sz w:val="20"/>
        </w:rPr>
        <w:t> </w:t>
      </w:r>
      <w:r>
        <w:rPr>
          <w:sz w:val="20"/>
        </w:rPr>
        <w:t>buzón</w:t>
      </w:r>
      <w:r>
        <w:rPr>
          <w:spacing w:val="-5"/>
          <w:sz w:val="20"/>
        </w:rPr>
        <w:t> </w:t>
      </w:r>
      <w:r>
        <w:rPr>
          <w:sz w:val="20"/>
        </w:rPr>
        <w:t>electrónico,</w:t>
      </w:r>
      <w:r>
        <w:rPr>
          <w:spacing w:val="-1"/>
          <w:sz w:val="20"/>
        </w:rPr>
        <w:t> </w:t>
      </w:r>
      <w:r>
        <w:rPr>
          <w:spacing w:val="-10"/>
          <w:sz w:val="20"/>
        </w:rPr>
        <w:t>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299"/>
        </w:numPr>
        <w:tabs>
          <w:tab w:pos="1195" w:val="left" w:leader="none"/>
        </w:tabs>
        <w:spacing w:line="240" w:lineRule="auto" w:before="0" w:after="0"/>
        <w:ind w:left="1195" w:right="342" w:hanging="569"/>
        <w:jc w:val="both"/>
        <w:rPr>
          <w:sz w:val="20"/>
        </w:rPr>
      </w:pPr>
      <w:r>
        <w:rPr>
          <w:sz w:val="20"/>
        </w:rPr>
        <w:t>Las realizadas por vía electrónica, se harán al buzón electrónico asignado a cada una de las partes, cuando se genere la constancia de la consulta realizada, la cual, por una parte, el órgano jurisdiccional digitalizará para el expediente electrónico y, por otra, hará una impresión que agregará al expediente impreso correspondiente como constancia de notificación.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338" w:right="339" w:firstLine="288"/>
        <w:jc w:val="both"/>
      </w:pPr>
      <w:r>
        <w:rPr/>
        <w:t>Se</w:t>
      </w:r>
      <w:r>
        <w:rPr>
          <w:spacing w:val="-1"/>
        </w:rPr>
        <w:t> </w:t>
      </w:r>
      <w:r>
        <w:rPr/>
        <w:t>entiende generada la</w:t>
      </w:r>
      <w:r>
        <w:rPr>
          <w:spacing w:val="-1"/>
        </w:rPr>
        <w:t> </w:t>
      </w:r>
      <w:r>
        <w:rPr/>
        <w:t>constancia</w:t>
      </w:r>
      <w:r>
        <w:rPr>
          <w:spacing w:val="-1"/>
        </w:rPr>
        <w:t> </w:t>
      </w:r>
      <w:r>
        <w:rPr/>
        <w:t>cuando</w:t>
      </w:r>
      <w:r>
        <w:rPr>
          <w:spacing w:val="-1"/>
        </w:rPr>
        <w:t> </w:t>
      </w:r>
      <w:r>
        <w:rPr/>
        <w:t>el</w:t>
      </w:r>
      <w:r>
        <w:rPr>
          <w:spacing w:val="-1"/>
        </w:rPr>
        <w:t> </w:t>
      </w:r>
      <w:r>
        <w:rPr/>
        <w:t>sistema</w:t>
      </w:r>
      <w:r>
        <w:rPr>
          <w:spacing w:val="-1"/>
        </w:rPr>
        <w:t> </w:t>
      </w:r>
      <w:r>
        <w:rPr/>
        <w:t>electrónico del Poder Judicial</w:t>
      </w:r>
      <w:r>
        <w:rPr>
          <w:spacing w:val="-1"/>
        </w:rPr>
        <w:t> </w:t>
      </w:r>
      <w:r>
        <w:rPr/>
        <w:t>de</w:t>
      </w:r>
      <w:r>
        <w:rPr>
          <w:spacing w:val="-1"/>
        </w:rPr>
        <w:t> </w:t>
      </w:r>
      <w:r>
        <w:rPr/>
        <w:t>la</w:t>
      </w:r>
      <w:r>
        <w:rPr>
          <w:spacing w:val="-1"/>
        </w:rPr>
        <w:t> </w:t>
      </w:r>
      <w:r>
        <w:rPr/>
        <w:t>Federación y los Poderes Judiciales locales, produzca el aviso de la hora en que se recupere la determinación</w:t>
      </w:r>
      <w:r>
        <w:rPr>
          <w:spacing w:val="40"/>
        </w:rPr>
        <w:t> </w:t>
      </w:r>
      <w:r>
        <w:rPr/>
        <w:t>judicial correspondiente, contenida en el archivo electrónico.</w:t>
      </w:r>
    </w:p>
    <w:p>
      <w:pPr>
        <w:spacing w:before="0"/>
        <w:ind w:left="7347" w:right="33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2"/>
        <w:rPr>
          <w:rFonts w:ascii="Times New Roman"/>
          <w:i/>
          <w:sz w:val="16"/>
        </w:rPr>
      </w:pPr>
    </w:p>
    <w:p>
      <w:pPr>
        <w:pStyle w:val="BodyText"/>
        <w:spacing w:line="242" w:lineRule="auto" w:before="1"/>
        <w:ind w:left="338" w:right="345" w:firstLine="288"/>
        <w:jc w:val="both"/>
      </w:pPr>
      <w:bookmarkStart w:name="Artículo_748" w:id="957"/>
      <w:bookmarkEnd w:id="957"/>
      <w:r>
        <w:rPr/>
      </w:r>
      <w:r>
        <w:rPr>
          <w:rFonts w:ascii="Arial" w:hAnsi="Arial"/>
          <w:b/>
        </w:rPr>
        <w:t>Artículo 748.- </w:t>
      </w:r>
      <w:r>
        <w:rPr/>
        <w:t>Las notificaciones deberán hacerse en horas hábiles con una anticipación de veinticuatro horas, por lo menos, del</w:t>
      </w:r>
      <w:r>
        <w:rPr>
          <w:spacing w:val="-1"/>
        </w:rPr>
        <w:t> </w:t>
      </w:r>
      <w:r>
        <w:rPr/>
        <w:t>día y</w:t>
      </w:r>
      <w:r>
        <w:rPr>
          <w:spacing w:val="-3"/>
        </w:rPr>
        <w:t> </w:t>
      </w:r>
      <w:r>
        <w:rPr/>
        <w:t>hora en que deba efectuarse la diligencia, salvo disposición en contrario de la Ley.</w:t>
      </w:r>
    </w:p>
    <w:p>
      <w:pPr>
        <w:spacing w:line="178"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02-07-1976,</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338" w:right="343" w:firstLine="288"/>
        <w:jc w:val="both"/>
      </w:pPr>
      <w:bookmarkStart w:name="Artículo_749" w:id="958"/>
      <w:bookmarkEnd w:id="958"/>
      <w:r>
        <w:rPr/>
      </w:r>
      <w:r>
        <w:rPr>
          <w:rFonts w:ascii="Arial" w:hAnsi="Arial"/>
          <w:b/>
        </w:rPr>
        <w:t>Artículo 749.- </w:t>
      </w:r>
      <w:r>
        <w:rPr/>
        <w:t>Las notificaciones hechas al apoderado o a las personas expresamente autorizadas legalmente por las partes, acreditadas ante el Tribunal, surtirán los mismos efectos que si se hubiesen hecho a ellas.</w:t>
      </w:r>
    </w:p>
    <w:p>
      <w:pPr>
        <w:spacing w:line="178"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before="1"/>
        <w:ind w:left="338" w:right="346" w:firstLine="288"/>
        <w:jc w:val="both"/>
      </w:pPr>
      <w:bookmarkStart w:name="Artículo_750" w:id="959"/>
      <w:bookmarkEnd w:id="959"/>
      <w:r>
        <w:rPr/>
      </w:r>
      <w:r>
        <w:rPr>
          <w:rFonts w:ascii="Arial" w:hAnsi="Arial"/>
          <w:b/>
        </w:rPr>
        <w:t>Artículo 750.- </w:t>
      </w:r>
      <w:r>
        <w:rPr/>
        <w:t>Las notificaciones, citaciones o emplazamientos deberán realizarse dentro de los cinco días siguientes a su fecha, salvo cuando expresamente en la resolución o en la Ley exista disposición en </w:t>
      </w:r>
      <w:r>
        <w:rPr>
          <w:spacing w:val="-2"/>
        </w:rPr>
        <w:t>contrario.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1"/>
        <w:rPr>
          <w:rFonts w:ascii="Times New Roman"/>
          <w:i/>
        </w:rPr>
      </w:pPr>
    </w:p>
    <w:p>
      <w:pPr>
        <w:spacing w:before="0"/>
        <w:ind w:left="626" w:right="0" w:firstLine="0"/>
        <w:jc w:val="left"/>
        <w:rPr>
          <w:sz w:val="20"/>
        </w:rPr>
      </w:pPr>
      <w:bookmarkStart w:name="Artículo_751" w:id="960"/>
      <w:bookmarkEnd w:id="960"/>
      <w:r>
        <w:rPr/>
      </w:r>
      <w:r>
        <w:rPr>
          <w:rFonts w:ascii="Arial" w:hAnsi="Arial"/>
          <w:b/>
          <w:sz w:val="20"/>
        </w:rPr>
        <w:t>Artículo</w:t>
      </w:r>
      <w:r>
        <w:rPr>
          <w:rFonts w:ascii="Arial" w:hAnsi="Arial"/>
          <w:b/>
          <w:spacing w:val="-7"/>
          <w:sz w:val="20"/>
        </w:rPr>
        <w:t> </w:t>
      </w:r>
      <w:r>
        <w:rPr>
          <w:rFonts w:ascii="Arial" w:hAnsi="Arial"/>
          <w:b/>
          <w:sz w:val="20"/>
        </w:rPr>
        <w:t>751.-</w:t>
      </w:r>
      <w:r>
        <w:rPr>
          <w:rFonts w:ascii="Arial" w:hAnsi="Arial"/>
          <w:b/>
          <w:spacing w:val="-6"/>
          <w:sz w:val="20"/>
        </w:rPr>
        <w:t> </w:t>
      </w:r>
      <w:r>
        <w:rPr>
          <w:sz w:val="20"/>
        </w:rPr>
        <w:t>La</w:t>
      </w:r>
      <w:r>
        <w:rPr>
          <w:spacing w:val="-8"/>
          <w:sz w:val="20"/>
        </w:rPr>
        <w:t> </w:t>
      </w:r>
      <w:r>
        <w:rPr>
          <w:sz w:val="20"/>
        </w:rPr>
        <w:t>cédula</w:t>
      </w:r>
      <w:r>
        <w:rPr>
          <w:spacing w:val="-7"/>
          <w:sz w:val="20"/>
        </w:rPr>
        <w:t> </w:t>
      </w:r>
      <w:r>
        <w:rPr>
          <w:sz w:val="20"/>
        </w:rPr>
        <w:t>de</w:t>
      </w:r>
      <w:r>
        <w:rPr>
          <w:spacing w:val="-7"/>
          <w:sz w:val="20"/>
        </w:rPr>
        <w:t> </w:t>
      </w:r>
      <w:r>
        <w:rPr>
          <w:sz w:val="20"/>
        </w:rPr>
        <w:t>notificación</w:t>
      </w:r>
      <w:r>
        <w:rPr>
          <w:spacing w:val="-6"/>
          <w:sz w:val="20"/>
        </w:rPr>
        <w:t> </w:t>
      </w:r>
      <w:r>
        <w:rPr>
          <w:sz w:val="20"/>
        </w:rPr>
        <w:t>deberá</w:t>
      </w:r>
      <w:r>
        <w:rPr>
          <w:spacing w:val="-7"/>
          <w:sz w:val="20"/>
        </w:rPr>
        <w:t> </w:t>
      </w:r>
      <w:r>
        <w:rPr>
          <w:sz w:val="20"/>
        </w:rPr>
        <w:t>contener,</w:t>
      </w:r>
      <w:r>
        <w:rPr>
          <w:spacing w:val="-7"/>
          <w:sz w:val="20"/>
        </w:rPr>
        <w:t> </w:t>
      </w:r>
      <w:r>
        <w:rPr>
          <w:sz w:val="20"/>
        </w:rPr>
        <w:t>por</w:t>
      </w:r>
      <w:r>
        <w:rPr>
          <w:spacing w:val="-5"/>
          <w:sz w:val="20"/>
        </w:rPr>
        <w:t> </w:t>
      </w:r>
      <w:r>
        <w:rPr>
          <w:sz w:val="20"/>
        </w:rPr>
        <w:t>lo</w:t>
      </w:r>
      <w:r>
        <w:rPr>
          <w:spacing w:val="-7"/>
          <w:sz w:val="20"/>
        </w:rPr>
        <w:t> </w:t>
      </w:r>
      <w:r>
        <w:rPr>
          <w:spacing w:val="-2"/>
          <w:sz w:val="20"/>
        </w:rPr>
        <w:t>menos:</w:t>
      </w:r>
    </w:p>
    <w:p>
      <w:pPr>
        <w:pStyle w:val="BodyText"/>
        <w:spacing w:before="1"/>
      </w:pPr>
    </w:p>
    <w:p>
      <w:pPr>
        <w:pStyle w:val="ListParagraph"/>
        <w:numPr>
          <w:ilvl w:val="0"/>
          <w:numId w:val="300"/>
        </w:numPr>
        <w:tabs>
          <w:tab w:pos="1195" w:val="left" w:leader="none"/>
        </w:tabs>
        <w:spacing w:line="240" w:lineRule="auto" w:before="0" w:after="0"/>
        <w:ind w:left="1195" w:right="0" w:hanging="569"/>
        <w:jc w:val="left"/>
        <w:rPr>
          <w:sz w:val="20"/>
        </w:rPr>
      </w:pPr>
      <w:r>
        <w:rPr>
          <w:sz w:val="20"/>
        </w:rPr>
        <w:t>Lugar,</w:t>
      </w:r>
      <w:r>
        <w:rPr>
          <w:spacing w:val="-4"/>
          <w:sz w:val="20"/>
        </w:rPr>
        <w:t> </w:t>
      </w:r>
      <w:r>
        <w:rPr>
          <w:sz w:val="20"/>
        </w:rPr>
        <w:t>día</w:t>
      </w:r>
      <w:r>
        <w:rPr>
          <w:spacing w:val="-3"/>
          <w:sz w:val="20"/>
        </w:rPr>
        <w:t> </w:t>
      </w:r>
      <w:r>
        <w:rPr>
          <w:sz w:val="20"/>
        </w:rPr>
        <w:t>y</w:t>
      </w:r>
      <w:r>
        <w:rPr>
          <w:spacing w:val="-6"/>
          <w:sz w:val="20"/>
        </w:rPr>
        <w:t> </w:t>
      </w:r>
      <w:r>
        <w:rPr>
          <w:sz w:val="20"/>
        </w:rPr>
        <w:t>hora</w:t>
      </w:r>
      <w:r>
        <w:rPr>
          <w:spacing w:val="-4"/>
          <w:sz w:val="20"/>
        </w:rPr>
        <w:t> </w:t>
      </w:r>
      <w:r>
        <w:rPr>
          <w:sz w:val="20"/>
        </w:rPr>
        <w:t>en</w:t>
      </w:r>
      <w:r>
        <w:rPr>
          <w:spacing w:val="-7"/>
          <w:sz w:val="20"/>
        </w:rPr>
        <w:t> </w:t>
      </w:r>
      <w:r>
        <w:rPr>
          <w:sz w:val="20"/>
        </w:rPr>
        <w:t>que</w:t>
      </w:r>
      <w:r>
        <w:rPr>
          <w:spacing w:val="-7"/>
          <w:sz w:val="20"/>
        </w:rPr>
        <w:t> </w:t>
      </w:r>
      <w:r>
        <w:rPr>
          <w:sz w:val="20"/>
        </w:rPr>
        <w:t>se</w:t>
      </w:r>
      <w:r>
        <w:rPr>
          <w:spacing w:val="-4"/>
          <w:sz w:val="20"/>
        </w:rPr>
        <w:t> </w:t>
      </w:r>
      <w:r>
        <w:rPr>
          <w:sz w:val="20"/>
        </w:rPr>
        <w:t>practique</w:t>
      </w:r>
      <w:r>
        <w:rPr>
          <w:spacing w:val="-4"/>
          <w:sz w:val="20"/>
        </w:rPr>
        <w:t> </w:t>
      </w:r>
      <w:r>
        <w:rPr>
          <w:sz w:val="20"/>
        </w:rPr>
        <w:t>la</w:t>
      </w:r>
      <w:r>
        <w:rPr>
          <w:spacing w:val="-4"/>
          <w:sz w:val="20"/>
        </w:rPr>
        <w:t> </w:t>
      </w:r>
      <w:r>
        <w:rPr>
          <w:spacing w:val="-2"/>
          <w:sz w:val="20"/>
        </w:rPr>
        <w:t>notificación;</w:t>
      </w:r>
    </w:p>
    <w:p>
      <w:pPr>
        <w:pStyle w:val="ListParagraph"/>
        <w:numPr>
          <w:ilvl w:val="0"/>
          <w:numId w:val="300"/>
        </w:numPr>
        <w:tabs>
          <w:tab w:pos="1195" w:val="left" w:leader="none"/>
        </w:tabs>
        <w:spacing w:line="240" w:lineRule="auto" w:before="228" w:after="0"/>
        <w:ind w:left="1195" w:right="0" w:hanging="569"/>
        <w:jc w:val="left"/>
        <w:rPr>
          <w:sz w:val="20"/>
        </w:rPr>
      </w:pPr>
      <w:r>
        <w:rPr>
          <w:sz w:val="20"/>
        </w:rPr>
        <w:t>El</w:t>
      </w:r>
      <w:r>
        <w:rPr>
          <w:spacing w:val="-5"/>
          <w:sz w:val="20"/>
        </w:rPr>
        <w:t> </w:t>
      </w:r>
      <w:r>
        <w:rPr>
          <w:sz w:val="20"/>
        </w:rPr>
        <w:t>número</w:t>
      </w:r>
      <w:r>
        <w:rPr>
          <w:spacing w:val="-5"/>
          <w:sz w:val="20"/>
        </w:rPr>
        <w:t> </w:t>
      </w:r>
      <w:r>
        <w:rPr>
          <w:sz w:val="20"/>
        </w:rPr>
        <w:t>de</w:t>
      </w:r>
      <w:r>
        <w:rPr>
          <w:spacing w:val="-6"/>
          <w:sz w:val="20"/>
        </w:rPr>
        <w:t> </w:t>
      </w:r>
      <w:r>
        <w:rPr>
          <w:spacing w:val="-2"/>
          <w:sz w:val="20"/>
        </w:rPr>
        <w:t>expediente;</w:t>
      </w:r>
    </w:p>
    <w:p>
      <w:pPr>
        <w:pStyle w:val="BodyText"/>
        <w:spacing w:before="1"/>
      </w:pPr>
    </w:p>
    <w:p>
      <w:pPr>
        <w:pStyle w:val="ListParagraph"/>
        <w:numPr>
          <w:ilvl w:val="0"/>
          <w:numId w:val="300"/>
        </w:numPr>
        <w:tabs>
          <w:tab w:pos="1195" w:val="left" w:leader="none"/>
        </w:tabs>
        <w:spacing w:line="240" w:lineRule="auto" w:before="0" w:after="0"/>
        <w:ind w:left="1195" w:right="0" w:hanging="569"/>
        <w:jc w:val="left"/>
        <w:rPr>
          <w:sz w:val="20"/>
        </w:rPr>
      </w:pPr>
      <w:r>
        <w:rPr>
          <w:sz w:val="20"/>
        </w:rPr>
        <w:t>El</w:t>
      </w:r>
      <w:r>
        <w:rPr>
          <w:spacing w:val="-4"/>
          <w:sz w:val="20"/>
        </w:rPr>
        <w:t> </w:t>
      </w:r>
      <w:r>
        <w:rPr>
          <w:sz w:val="20"/>
        </w:rPr>
        <w:t>nombre</w:t>
      </w:r>
      <w:r>
        <w:rPr>
          <w:spacing w:val="-5"/>
          <w:sz w:val="20"/>
        </w:rPr>
        <w:t> </w:t>
      </w:r>
      <w:r>
        <w:rPr>
          <w:sz w:val="20"/>
        </w:rPr>
        <w:t>de</w:t>
      </w:r>
      <w:r>
        <w:rPr>
          <w:spacing w:val="-6"/>
          <w:sz w:val="20"/>
        </w:rPr>
        <w:t> </w:t>
      </w:r>
      <w:r>
        <w:rPr>
          <w:sz w:val="20"/>
        </w:rPr>
        <w:t>las</w:t>
      </w:r>
      <w:r>
        <w:rPr>
          <w:spacing w:val="-4"/>
          <w:sz w:val="20"/>
        </w:rPr>
        <w:t> </w:t>
      </w:r>
      <w:r>
        <w:rPr>
          <w:spacing w:val="-2"/>
          <w:sz w:val="20"/>
        </w:rPr>
        <w:t>partes;</w:t>
      </w:r>
    </w:p>
    <w:p>
      <w:pPr>
        <w:pStyle w:val="ListParagraph"/>
        <w:spacing w:after="0" w:line="240" w:lineRule="auto"/>
        <w:jc w:val="left"/>
        <w:rPr>
          <w:sz w:val="20"/>
        </w:rPr>
        <w:sectPr>
          <w:pgSz w:w="12240" w:h="15840"/>
          <w:pgMar w:header="724" w:footer="712" w:top="1880" w:bottom="900" w:left="1080" w:right="1080"/>
        </w:sectPr>
      </w:pPr>
    </w:p>
    <w:p>
      <w:pPr>
        <w:pStyle w:val="BodyText"/>
        <w:spacing w:before="63"/>
      </w:pPr>
    </w:p>
    <w:p>
      <w:pPr>
        <w:pStyle w:val="ListParagraph"/>
        <w:numPr>
          <w:ilvl w:val="0"/>
          <w:numId w:val="300"/>
        </w:numPr>
        <w:tabs>
          <w:tab w:pos="1195" w:val="left" w:leader="none"/>
        </w:tabs>
        <w:spacing w:line="240" w:lineRule="auto" w:before="0" w:after="0"/>
        <w:ind w:left="1195" w:right="0" w:hanging="569"/>
        <w:jc w:val="left"/>
        <w:rPr>
          <w:sz w:val="20"/>
        </w:rPr>
      </w:pPr>
      <w:r>
        <w:rPr>
          <w:sz w:val="20"/>
        </w:rPr>
        <w:t>El</w:t>
      </w:r>
      <w:r>
        <w:rPr>
          <w:spacing w:val="-6"/>
          <w:sz w:val="20"/>
        </w:rPr>
        <w:t> </w:t>
      </w:r>
      <w:r>
        <w:rPr>
          <w:sz w:val="20"/>
        </w:rPr>
        <w:t>nombre</w:t>
      </w:r>
      <w:r>
        <w:rPr>
          <w:spacing w:val="-4"/>
          <w:sz w:val="20"/>
        </w:rPr>
        <w:t> </w:t>
      </w:r>
      <w:r>
        <w:rPr>
          <w:sz w:val="20"/>
        </w:rPr>
        <w:t>y</w:t>
      </w:r>
      <w:r>
        <w:rPr>
          <w:spacing w:val="-9"/>
          <w:sz w:val="20"/>
        </w:rPr>
        <w:t> </w:t>
      </w:r>
      <w:r>
        <w:rPr>
          <w:sz w:val="20"/>
        </w:rPr>
        <w:t>domicilio</w:t>
      </w:r>
      <w:r>
        <w:rPr>
          <w:spacing w:val="-4"/>
          <w:sz w:val="20"/>
        </w:rPr>
        <w:t> </w:t>
      </w:r>
      <w:r>
        <w:rPr>
          <w:sz w:val="20"/>
        </w:rPr>
        <w:t>de</w:t>
      </w:r>
      <w:r>
        <w:rPr>
          <w:spacing w:val="-6"/>
          <w:sz w:val="20"/>
        </w:rPr>
        <w:t> </w:t>
      </w:r>
      <w:r>
        <w:rPr>
          <w:sz w:val="20"/>
        </w:rPr>
        <w:t>la</w:t>
      </w:r>
      <w:r>
        <w:rPr>
          <w:spacing w:val="-4"/>
          <w:sz w:val="20"/>
        </w:rPr>
        <w:t> </w:t>
      </w:r>
      <w:r>
        <w:rPr>
          <w:sz w:val="20"/>
        </w:rPr>
        <w:t>persona</w:t>
      </w:r>
      <w:r>
        <w:rPr>
          <w:spacing w:val="-4"/>
          <w:sz w:val="20"/>
        </w:rPr>
        <w:t> </w:t>
      </w:r>
      <w:r>
        <w:rPr>
          <w:sz w:val="20"/>
        </w:rPr>
        <w:t>o</w:t>
      </w:r>
      <w:r>
        <w:rPr>
          <w:spacing w:val="-7"/>
          <w:sz w:val="20"/>
        </w:rPr>
        <w:t> </w:t>
      </w:r>
      <w:r>
        <w:rPr>
          <w:sz w:val="20"/>
        </w:rPr>
        <w:t>personas</w:t>
      </w:r>
      <w:r>
        <w:rPr>
          <w:spacing w:val="-5"/>
          <w:sz w:val="20"/>
        </w:rPr>
        <w:t> </w:t>
      </w:r>
      <w:r>
        <w:rPr>
          <w:sz w:val="20"/>
        </w:rPr>
        <w:t>que</w:t>
      </w:r>
      <w:r>
        <w:rPr>
          <w:spacing w:val="-7"/>
          <w:sz w:val="20"/>
        </w:rPr>
        <w:t> </w:t>
      </w:r>
      <w:r>
        <w:rPr>
          <w:sz w:val="20"/>
        </w:rPr>
        <w:t>deban</w:t>
      </w:r>
      <w:r>
        <w:rPr>
          <w:spacing w:val="-6"/>
          <w:sz w:val="20"/>
        </w:rPr>
        <w:t> </w:t>
      </w:r>
      <w:r>
        <w:rPr>
          <w:sz w:val="20"/>
        </w:rPr>
        <w:t>ser</w:t>
      </w:r>
      <w:r>
        <w:rPr>
          <w:spacing w:val="-6"/>
          <w:sz w:val="20"/>
        </w:rPr>
        <w:t> </w:t>
      </w:r>
      <w:r>
        <w:rPr>
          <w:sz w:val="20"/>
        </w:rPr>
        <w:t>notificadas;</w:t>
      </w:r>
      <w:r>
        <w:rPr>
          <w:spacing w:val="-2"/>
          <w:sz w:val="20"/>
        </w:rPr>
        <w:t> </w:t>
      </w:r>
      <w:r>
        <w:rPr>
          <w:spacing w:val="-10"/>
          <w:sz w:val="20"/>
        </w:rPr>
        <w:t>y</w:t>
      </w:r>
    </w:p>
    <w:p>
      <w:pPr>
        <w:pStyle w:val="BodyText"/>
        <w:spacing w:before="1"/>
      </w:pPr>
    </w:p>
    <w:p>
      <w:pPr>
        <w:pStyle w:val="ListParagraph"/>
        <w:numPr>
          <w:ilvl w:val="0"/>
          <w:numId w:val="300"/>
        </w:numPr>
        <w:tabs>
          <w:tab w:pos="1195" w:val="left" w:leader="none"/>
        </w:tabs>
        <w:spacing w:line="240" w:lineRule="auto" w:before="0" w:after="0"/>
        <w:ind w:left="1195" w:right="0" w:hanging="569"/>
        <w:jc w:val="left"/>
        <w:rPr>
          <w:sz w:val="20"/>
        </w:rPr>
      </w:pPr>
      <w:r>
        <w:rPr>
          <w:sz w:val="20"/>
        </w:rPr>
        <w:t>Copia</w:t>
      </w:r>
      <w:r>
        <w:rPr>
          <w:spacing w:val="-7"/>
          <w:sz w:val="20"/>
        </w:rPr>
        <w:t> </w:t>
      </w:r>
      <w:r>
        <w:rPr>
          <w:sz w:val="20"/>
        </w:rPr>
        <w:t>autorizada</w:t>
      </w:r>
      <w:r>
        <w:rPr>
          <w:spacing w:val="-6"/>
          <w:sz w:val="20"/>
        </w:rPr>
        <w:t> </w:t>
      </w:r>
      <w:r>
        <w:rPr>
          <w:sz w:val="20"/>
        </w:rPr>
        <w:t>de</w:t>
      </w:r>
      <w:r>
        <w:rPr>
          <w:spacing w:val="-6"/>
          <w:sz w:val="20"/>
        </w:rPr>
        <w:t> </w:t>
      </w:r>
      <w:r>
        <w:rPr>
          <w:sz w:val="20"/>
        </w:rPr>
        <w:t>la</w:t>
      </w:r>
      <w:r>
        <w:rPr>
          <w:spacing w:val="-7"/>
          <w:sz w:val="20"/>
        </w:rPr>
        <w:t> </w:t>
      </w:r>
      <w:r>
        <w:rPr>
          <w:sz w:val="20"/>
        </w:rPr>
        <w:t>resolución</w:t>
      </w:r>
      <w:r>
        <w:rPr>
          <w:spacing w:val="-7"/>
          <w:sz w:val="20"/>
        </w:rPr>
        <w:t> </w:t>
      </w:r>
      <w:r>
        <w:rPr>
          <w:sz w:val="20"/>
        </w:rPr>
        <w:t>que</w:t>
      </w:r>
      <w:r>
        <w:rPr>
          <w:spacing w:val="-7"/>
          <w:sz w:val="20"/>
        </w:rPr>
        <w:t> </w:t>
      </w:r>
      <w:r>
        <w:rPr>
          <w:sz w:val="20"/>
        </w:rPr>
        <w:t>se</w:t>
      </w:r>
      <w:r>
        <w:rPr>
          <w:spacing w:val="-5"/>
          <w:sz w:val="20"/>
        </w:rPr>
        <w:t> </w:t>
      </w:r>
      <w:r>
        <w:rPr>
          <w:sz w:val="20"/>
        </w:rPr>
        <w:t>anexará</w:t>
      </w:r>
      <w:r>
        <w:rPr>
          <w:spacing w:val="-4"/>
          <w:sz w:val="20"/>
        </w:rPr>
        <w:t> </w:t>
      </w:r>
      <w:r>
        <w:rPr>
          <w:sz w:val="20"/>
        </w:rPr>
        <w:t>a</w:t>
      </w:r>
      <w:r>
        <w:rPr>
          <w:spacing w:val="-5"/>
          <w:sz w:val="20"/>
        </w:rPr>
        <w:t> </w:t>
      </w:r>
      <w:r>
        <w:rPr>
          <w:sz w:val="20"/>
        </w:rPr>
        <w:t>la</w:t>
      </w:r>
      <w:r>
        <w:rPr>
          <w:spacing w:val="-5"/>
          <w:sz w:val="20"/>
        </w:rPr>
        <w:t> </w:t>
      </w:r>
      <w:r>
        <w:rPr>
          <w:spacing w:val="-2"/>
          <w:sz w:val="20"/>
        </w:rPr>
        <w:t>cédula.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line="242" w:lineRule="auto" w:before="229"/>
        <w:ind w:left="338" w:right="345" w:firstLine="288"/>
      </w:pPr>
      <w:bookmarkStart w:name="Artículo_752" w:id="961"/>
      <w:bookmarkEnd w:id="961"/>
      <w:r>
        <w:rPr/>
      </w:r>
      <w:r>
        <w:rPr>
          <w:rFonts w:ascii="Arial" w:hAnsi="Arial"/>
          <w:b/>
        </w:rPr>
        <w:t>Artículo</w:t>
      </w:r>
      <w:r>
        <w:rPr>
          <w:rFonts w:ascii="Arial" w:hAnsi="Arial"/>
          <w:b/>
          <w:spacing w:val="23"/>
        </w:rPr>
        <w:t> </w:t>
      </w:r>
      <w:r>
        <w:rPr>
          <w:rFonts w:ascii="Arial" w:hAnsi="Arial"/>
          <w:b/>
        </w:rPr>
        <w:t>752.-</w:t>
      </w:r>
      <w:r>
        <w:rPr>
          <w:rFonts w:ascii="Arial" w:hAnsi="Arial"/>
          <w:b/>
          <w:spacing w:val="25"/>
        </w:rPr>
        <w:t> </w:t>
      </w:r>
      <w:r>
        <w:rPr/>
        <w:t>Son</w:t>
      </w:r>
      <w:r>
        <w:rPr>
          <w:spacing w:val="22"/>
        </w:rPr>
        <w:t> </w:t>
      </w:r>
      <w:r>
        <w:rPr/>
        <w:t>nulas</w:t>
      </w:r>
      <w:r>
        <w:rPr>
          <w:spacing w:val="25"/>
        </w:rPr>
        <w:t> </w:t>
      </w:r>
      <w:r>
        <w:rPr/>
        <w:t>las</w:t>
      </w:r>
      <w:r>
        <w:rPr>
          <w:spacing w:val="23"/>
        </w:rPr>
        <w:t> </w:t>
      </w:r>
      <w:r>
        <w:rPr/>
        <w:t>notificaciones</w:t>
      </w:r>
      <w:r>
        <w:rPr>
          <w:spacing w:val="23"/>
        </w:rPr>
        <w:t> </w:t>
      </w:r>
      <w:r>
        <w:rPr/>
        <w:t>que</w:t>
      </w:r>
      <w:r>
        <w:rPr>
          <w:spacing w:val="24"/>
        </w:rPr>
        <w:t> </w:t>
      </w:r>
      <w:r>
        <w:rPr/>
        <w:t>no</w:t>
      </w:r>
      <w:r>
        <w:rPr>
          <w:spacing w:val="24"/>
        </w:rPr>
        <w:t> </w:t>
      </w:r>
      <w:r>
        <w:rPr/>
        <w:t>se</w:t>
      </w:r>
      <w:r>
        <w:rPr>
          <w:spacing w:val="22"/>
        </w:rPr>
        <w:t> </w:t>
      </w:r>
      <w:r>
        <w:rPr/>
        <w:t>practiquen</w:t>
      </w:r>
      <w:r>
        <w:rPr>
          <w:spacing w:val="22"/>
        </w:rPr>
        <w:t> </w:t>
      </w:r>
      <w:r>
        <w:rPr/>
        <w:t>de</w:t>
      </w:r>
      <w:r>
        <w:rPr>
          <w:spacing w:val="22"/>
        </w:rPr>
        <w:t> </w:t>
      </w:r>
      <w:r>
        <w:rPr/>
        <w:t>conformidad</w:t>
      </w:r>
      <w:r>
        <w:rPr>
          <w:spacing w:val="22"/>
        </w:rPr>
        <w:t> </w:t>
      </w:r>
      <w:r>
        <w:rPr/>
        <w:t>a</w:t>
      </w:r>
      <w:r>
        <w:rPr>
          <w:spacing w:val="24"/>
        </w:rPr>
        <w:t> </w:t>
      </w:r>
      <w:r>
        <w:rPr/>
        <w:t>lo</w:t>
      </w:r>
      <w:r>
        <w:rPr>
          <w:spacing w:val="24"/>
        </w:rPr>
        <w:t> </w:t>
      </w:r>
      <w:r>
        <w:rPr/>
        <w:t>dispuesto</w:t>
      </w:r>
      <w:r>
        <w:rPr>
          <w:spacing w:val="24"/>
        </w:rPr>
        <w:t> </w:t>
      </w:r>
      <w:r>
        <w:rPr/>
        <w:t>en este Capítulo.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Heading1"/>
        <w:spacing w:line="252" w:lineRule="exact"/>
        <w:ind w:left="298"/>
      </w:pPr>
      <w:r>
        <w:rPr/>
        <w:t>CAPITULO</w:t>
      </w:r>
      <w:r>
        <w:rPr>
          <w:spacing w:val="-9"/>
        </w:rPr>
        <w:t> </w:t>
      </w:r>
      <w:r>
        <w:rPr>
          <w:spacing w:val="-4"/>
        </w:rPr>
        <w:t>VIII</w:t>
      </w:r>
    </w:p>
    <w:p>
      <w:pPr>
        <w:pStyle w:val="Heading2"/>
        <w:spacing w:line="252" w:lineRule="exact"/>
        <w:ind w:left="296"/>
      </w:pPr>
      <w:r>
        <w:rPr/>
        <w:t>De</w:t>
      </w:r>
      <w:r>
        <w:rPr>
          <w:spacing w:val="-2"/>
        </w:rPr>
        <w:t> </w:t>
      </w:r>
      <w:r>
        <w:rPr/>
        <w:t>los</w:t>
      </w:r>
      <w:r>
        <w:rPr>
          <w:spacing w:val="-2"/>
        </w:rPr>
        <w:t> </w:t>
      </w:r>
      <w:r>
        <w:rPr/>
        <w:t>Exhortos</w:t>
      </w:r>
      <w:r>
        <w:rPr>
          <w:spacing w:val="-5"/>
        </w:rPr>
        <w:t> </w:t>
      </w:r>
      <w:r>
        <w:rPr/>
        <w:t>y</w:t>
      </w:r>
      <w:r>
        <w:rPr>
          <w:spacing w:val="-5"/>
        </w:rPr>
        <w:t> </w:t>
      </w:r>
      <w:r>
        <w:rPr>
          <w:spacing w:val="-2"/>
        </w:rPr>
        <w:t>Despachos</w:t>
      </w:r>
    </w:p>
    <w:p>
      <w:pPr>
        <w:spacing w:before="1"/>
        <w:ind w:left="5564"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8"/>
        <w:rPr>
          <w:rFonts w:ascii="Times New Roman"/>
          <w:i/>
          <w:sz w:val="16"/>
        </w:rPr>
      </w:pPr>
    </w:p>
    <w:p>
      <w:pPr>
        <w:pStyle w:val="BodyText"/>
        <w:ind w:left="338" w:right="335" w:firstLine="288"/>
        <w:jc w:val="both"/>
      </w:pPr>
      <w:bookmarkStart w:name="Artículo_753" w:id="962"/>
      <w:bookmarkEnd w:id="962"/>
      <w:r>
        <w:rPr/>
      </w:r>
      <w:r>
        <w:rPr>
          <w:rFonts w:ascii="Arial" w:hAnsi="Arial"/>
          <w:b/>
        </w:rPr>
        <w:t>Artículo 753.- </w:t>
      </w:r>
      <w:r>
        <w:rPr/>
        <w:t>Las diligencias que no puedan practicarse en el lugar de residencia del Tribunal o de la Autoridad Conciliadora que conozca del juicio o del procedimiento conciliatorio, según sea el caso, deberán encomendarse por medio de exhorto al Tribunal o a la Autoridad Conciliadora, del domicilio en que deban practicarse según corresponda; y, de no haberlas en dicho lugar, a la autoridad más próxima</w:t>
      </w:r>
      <w:r>
        <w:rPr>
          <w:spacing w:val="40"/>
        </w:rPr>
        <w:t> </w:t>
      </w:r>
      <w:r>
        <w:rPr/>
        <w:t>al lugar que corresponda dentro de la República Mexicana.</w:t>
      </w:r>
    </w:p>
    <w:p>
      <w:pPr>
        <w:pStyle w:val="BodyText"/>
        <w:spacing w:before="2"/>
      </w:pPr>
    </w:p>
    <w:p>
      <w:pPr>
        <w:pStyle w:val="BodyText"/>
        <w:ind w:left="338" w:right="337" w:firstLine="288"/>
        <w:jc w:val="both"/>
      </w:pPr>
      <w:r>
        <w:rPr/>
        <w:t>El envío, recepción y devolución de los exhortos excepto en el caso de desahogo de prueba testimonial,</w:t>
      </w:r>
      <w:r>
        <w:rPr>
          <w:spacing w:val="-2"/>
        </w:rPr>
        <w:t> </w:t>
      </w:r>
      <w:r>
        <w:rPr/>
        <w:t>se</w:t>
      </w:r>
      <w:r>
        <w:rPr>
          <w:spacing w:val="-2"/>
        </w:rPr>
        <w:t> </w:t>
      </w:r>
      <w:r>
        <w:rPr/>
        <w:t>realizará vía plataforma</w:t>
      </w:r>
      <w:r>
        <w:rPr>
          <w:spacing w:val="-2"/>
        </w:rPr>
        <w:t> </w:t>
      </w:r>
      <w:r>
        <w:rPr/>
        <w:t>electrónica</w:t>
      </w:r>
      <w:r>
        <w:rPr>
          <w:spacing w:val="-2"/>
        </w:rPr>
        <w:t> </w:t>
      </w:r>
      <w:r>
        <w:rPr/>
        <w:t>en la</w:t>
      </w:r>
      <w:r>
        <w:rPr>
          <w:spacing w:val="-2"/>
        </w:rPr>
        <w:t> </w:t>
      </w:r>
      <w:r>
        <w:rPr/>
        <w:t>que deben estar</w:t>
      </w:r>
      <w:r>
        <w:rPr>
          <w:spacing w:val="-1"/>
        </w:rPr>
        <w:t> </w:t>
      </w:r>
      <w:r>
        <w:rPr/>
        <w:t>enlazadas</w:t>
      </w:r>
      <w:r>
        <w:rPr>
          <w:spacing w:val="-1"/>
        </w:rPr>
        <w:t> </w:t>
      </w:r>
      <w:r>
        <w:rPr/>
        <w:t>todas</w:t>
      </w:r>
      <w:r>
        <w:rPr>
          <w:spacing w:val="-1"/>
        </w:rPr>
        <w:t> </w:t>
      </w:r>
      <w:r>
        <w:rPr/>
        <w:t>las</w:t>
      </w:r>
      <w:r>
        <w:rPr>
          <w:spacing w:val="-1"/>
        </w:rPr>
        <w:t> </w:t>
      </w:r>
      <w:r>
        <w:rPr/>
        <w:t>autoridades de justicia laboral ya sean el Tribunal o a la Autoridad Conciliadora del orden federal y local.</w:t>
      </w:r>
    </w:p>
    <w:p>
      <w:pPr>
        <w:spacing w:line="180" w:lineRule="exact" w:before="0"/>
        <w:ind w:left="56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338" w:right="340" w:firstLine="288"/>
        <w:jc w:val="both"/>
      </w:pPr>
      <w:bookmarkStart w:name="Artículo_754" w:id="963"/>
      <w:bookmarkEnd w:id="963"/>
      <w:r>
        <w:rPr/>
      </w:r>
      <w:r>
        <w:rPr>
          <w:rFonts w:ascii="Arial" w:hAnsi="Arial"/>
          <w:b/>
        </w:rPr>
        <w:t>Artículo 754.- </w:t>
      </w:r>
      <w:r>
        <w:rPr/>
        <w:t>Las diligencias que se practiquen en el extranjero, únicamente se autorizarán cuando se demuestre que son indispensables para probar los hechos fundamentales de la demanda o de su </w:t>
      </w:r>
      <w:r>
        <w:rPr>
          <w:spacing w:val="-2"/>
        </w:rPr>
        <w:t>contestación.</w:t>
      </w:r>
    </w:p>
    <w:p>
      <w:pPr>
        <w:pStyle w:val="BodyText"/>
        <w:spacing w:before="2"/>
      </w:pPr>
    </w:p>
    <w:p>
      <w:pPr>
        <w:pStyle w:val="BodyText"/>
        <w:ind w:left="338" w:right="344" w:firstLine="288"/>
        <w:jc w:val="both"/>
      </w:pPr>
      <w:r>
        <w:rPr/>
        <w:t>En el caso a que se refiere el párrafo anterior, se librará el despacho correspondiente, tomando en cuenta lo dispuesto en los tratados o convenios internacionales.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ind w:left="626"/>
      </w:pPr>
      <w:bookmarkStart w:name="Artículo_755" w:id="964"/>
      <w:bookmarkEnd w:id="964"/>
      <w:r>
        <w:rPr/>
      </w:r>
      <w:r>
        <w:rPr>
          <w:rFonts w:ascii="Arial" w:hAnsi="Arial"/>
          <w:b/>
        </w:rPr>
        <w:t>Artículo</w:t>
      </w:r>
      <w:r>
        <w:rPr>
          <w:rFonts w:ascii="Arial" w:hAnsi="Arial"/>
          <w:b/>
          <w:spacing w:val="-6"/>
        </w:rPr>
        <w:t> </w:t>
      </w:r>
      <w:r>
        <w:rPr>
          <w:rFonts w:ascii="Arial" w:hAnsi="Arial"/>
          <w:b/>
        </w:rPr>
        <w:t>755.-</w:t>
      </w:r>
      <w:r>
        <w:rPr>
          <w:rFonts w:ascii="Arial" w:hAnsi="Arial"/>
          <w:b/>
          <w:spacing w:val="-4"/>
        </w:rPr>
        <w:t> </w:t>
      </w:r>
      <w:r>
        <w:rPr/>
        <w:t>A</w:t>
      </w:r>
      <w:r>
        <w:rPr>
          <w:spacing w:val="-7"/>
        </w:rPr>
        <w:t> </w:t>
      </w:r>
      <w:r>
        <w:rPr/>
        <w:t>falta</w:t>
      </w:r>
      <w:r>
        <w:rPr>
          <w:spacing w:val="-5"/>
        </w:rPr>
        <w:t> </w:t>
      </w:r>
      <w:r>
        <w:rPr/>
        <w:t>de</w:t>
      </w:r>
      <w:r>
        <w:rPr>
          <w:spacing w:val="-6"/>
        </w:rPr>
        <w:t> </w:t>
      </w:r>
      <w:r>
        <w:rPr/>
        <w:t>tratados</w:t>
      </w:r>
      <w:r>
        <w:rPr>
          <w:spacing w:val="-6"/>
        </w:rPr>
        <w:t> </w:t>
      </w:r>
      <w:r>
        <w:rPr/>
        <w:t>o</w:t>
      </w:r>
      <w:r>
        <w:rPr>
          <w:spacing w:val="-7"/>
        </w:rPr>
        <w:t> </w:t>
      </w:r>
      <w:r>
        <w:rPr/>
        <w:t>convenios,</w:t>
      </w:r>
      <w:r>
        <w:rPr>
          <w:spacing w:val="-5"/>
        </w:rPr>
        <w:t> </w:t>
      </w:r>
      <w:r>
        <w:rPr/>
        <w:t>deberá</w:t>
      </w:r>
      <w:r>
        <w:rPr>
          <w:spacing w:val="-7"/>
        </w:rPr>
        <w:t> </w:t>
      </w:r>
      <w:r>
        <w:rPr/>
        <w:t>estarse</w:t>
      </w:r>
      <w:r>
        <w:rPr>
          <w:spacing w:val="-7"/>
        </w:rPr>
        <w:t> </w:t>
      </w:r>
      <w:r>
        <w:rPr/>
        <w:t>a</w:t>
      </w:r>
      <w:r>
        <w:rPr>
          <w:spacing w:val="-6"/>
        </w:rPr>
        <w:t> </w:t>
      </w:r>
      <w:r>
        <w:rPr/>
        <w:t>las</w:t>
      </w:r>
      <w:r>
        <w:rPr>
          <w:spacing w:val="-5"/>
        </w:rPr>
        <w:t> </w:t>
      </w:r>
      <w:r>
        <w:rPr/>
        <w:t>siguientes</w:t>
      </w:r>
      <w:r>
        <w:rPr>
          <w:spacing w:val="-6"/>
        </w:rPr>
        <w:t> </w:t>
      </w:r>
      <w:r>
        <w:rPr>
          <w:spacing w:val="-2"/>
        </w:rPr>
        <w:t>reglas:</w:t>
      </w:r>
    </w:p>
    <w:p>
      <w:pPr>
        <w:pStyle w:val="BodyText"/>
      </w:pPr>
    </w:p>
    <w:p>
      <w:pPr>
        <w:pStyle w:val="ListParagraph"/>
        <w:numPr>
          <w:ilvl w:val="0"/>
          <w:numId w:val="301"/>
        </w:numPr>
        <w:tabs>
          <w:tab w:pos="1195" w:val="left" w:leader="none"/>
        </w:tabs>
        <w:spacing w:line="242" w:lineRule="auto" w:before="1" w:after="0"/>
        <w:ind w:left="1195" w:right="335" w:hanging="569"/>
        <w:jc w:val="left"/>
        <w:rPr>
          <w:sz w:val="20"/>
        </w:rPr>
      </w:pPr>
      <w:r>
        <w:rPr>
          <w:sz w:val="20"/>
        </w:rPr>
        <w:t>Los</w:t>
      </w:r>
      <w:r>
        <w:rPr>
          <w:spacing w:val="40"/>
          <w:sz w:val="20"/>
        </w:rPr>
        <w:t> </w:t>
      </w:r>
      <w:r>
        <w:rPr>
          <w:sz w:val="20"/>
        </w:rPr>
        <w:t>despachos</w:t>
      </w:r>
      <w:r>
        <w:rPr>
          <w:spacing w:val="40"/>
          <w:sz w:val="20"/>
        </w:rPr>
        <w:t> </w:t>
      </w:r>
      <w:r>
        <w:rPr>
          <w:sz w:val="20"/>
        </w:rPr>
        <w:t>serán</w:t>
      </w:r>
      <w:r>
        <w:rPr>
          <w:spacing w:val="40"/>
          <w:sz w:val="20"/>
        </w:rPr>
        <w:t> </w:t>
      </w:r>
      <w:r>
        <w:rPr>
          <w:sz w:val="20"/>
        </w:rPr>
        <w:t>remitidos</w:t>
      </w:r>
      <w:r>
        <w:rPr>
          <w:spacing w:val="40"/>
          <w:sz w:val="20"/>
        </w:rPr>
        <w:t> </w:t>
      </w:r>
      <w:r>
        <w:rPr>
          <w:sz w:val="20"/>
        </w:rPr>
        <w:t>por</w:t>
      </w:r>
      <w:r>
        <w:rPr>
          <w:spacing w:val="40"/>
          <w:sz w:val="20"/>
        </w:rPr>
        <w:t> </w:t>
      </w:r>
      <w:r>
        <w:rPr>
          <w:sz w:val="20"/>
        </w:rPr>
        <w:t>vía</w:t>
      </w:r>
      <w:r>
        <w:rPr>
          <w:spacing w:val="40"/>
          <w:sz w:val="20"/>
        </w:rPr>
        <w:t> </w:t>
      </w:r>
      <w:r>
        <w:rPr>
          <w:sz w:val="20"/>
        </w:rPr>
        <w:t>diplomática,</w:t>
      </w:r>
      <w:r>
        <w:rPr>
          <w:spacing w:val="40"/>
          <w:sz w:val="20"/>
        </w:rPr>
        <w:t> </w:t>
      </w:r>
      <w:r>
        <w:rPr>
          <w:sz w:val="20"/>
        </w:rPr>
        <w:t>al</w:t>
      </w:r>
      <w:r>
        <w:rPr>
          <w:spacing w:val="40"/>
          <w:sz w:val="20"/>
        </w:rPr>
        <w:t> </w:t>
      </w:r>
      <w:r>
        <w:rPr>
          <w:sz w:val="20"/>
        </w:rPr>
        <w:t>lugar</w:t>
      </w:r>
      <w:r>
        <w:rPr>
          <w:spacing w:val="40"/>
          <w:sz w:val="20"/>
        </w:rPr>
        <w:t> </w:t>
      </w:r>
      <w:r>
        <w:rPr>
          <w:sz w:val="20"/>
        </w:rPr>
        <w:t>de</w:t>
      </w:r>
      <w:r>
        <w:rPr>
          <w:spacing w:val="40"/>
          <w:sz w:val="20"/>
        </w:rPr>
        <w:t> </w:t>
      </w:r>
      <w:r>
        <w:rPr>
          <w:sz w:val="20"/>
        </w:rPr>
        <w:t>residencia</w:t>
      </w:r>
      <w:r>
        <w:rPr>
          <w:spacing w:val="40"/>
          <w:sz w:val="20"/>
        </w:rPr>
        <w:t> </w:t>
      </w:r>
      <w:r>
        <w:rPr>
          <w:sz w:val="20"/>
        </w:rPr>
        <w:t>de</w:t>
      </w:r>
      <w:r>
        <w:rPr>
          <w:spacing w:val="40"/>
          <w:sz w:val="20"/>
        </w:rPr>
        <w:t> </w:t>
      </w:r>
      <w:r>
        <w:rPr>
          <w:sz w:val="20"/>
        </w:rPr>
        <w:t>la</w:t>
      </w:r>
      <w:r>
        <w:rPr>
          <w:spacing w:val="40"/>
          <w:sz w:val="20"/>
        </w:rPr>
        <w:t> </w:t>
      </w:r>
      <w:r>
        <w:rPr>
          <w:sz w:val="20"/>
        </w:rPr>
        <w:t>autoridad correspondiente, debiendo ser legalizadas las firmas de las autoridades que los expidan; y</w:t>
      </w:r>
    </w:p>
    <w:p>
      <w:pPr>
        <w:pStyle w:val="ListParagraph"/>
        <w:numPr>
          <w:ilvl w:val="0"/>
          <w:numId w:val="301"/>
        </w:numPr>
        <w:tabs>
          <w:tab w:pos="1195" w:val="left" w:leader="none"/>
        </w:tabs>
        <w:spacing w:line="242" w:lineRule="auto" w:before="224" w:after="0"/>
        <w:ind w:left="1195" w:right="346" w:hanging="569"/>
        <w:jc w:val="left"/>
        <w:rPr>
          <w:sz w:val="20"/>
        </w:rPr>
      </w:pPr>
      <w:r>
        <w:rPr>
          <w:sz w:val="20"/>
        </w:rPr>
        <w:t>No será necesaria la legalización de firmas, si las leyes o prácticas del país a donde se libre el despacho, no establecen ese requisito.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338" w:firstLine="288"/>
      </w:pPr>
      <w:bookmarkStart w:name="Artículo_756" w:id="965"/>
      <w:bookmarkEnd w:id="965"/>
      <w:r>
        <w:rPr/>
      </w:r>
      <w:r>
        <w:rPr>
          <w:rFonts w:ascii="Arial" w:hAnsi="Arial"/>
          <w:b/>
        </w:rPr>
        <w:t>Artículo 756.- </w:t>
      </w:r>
      <w:r>
        <w:rPr/>
        <w:t>En los exhortos que deban ser diligenciados dentro de la República Mexicana, no se</w:t>
      </w:r>
      <w:r>
        <w:rPr>
          <w:spacing w:val="40"/>
        </w:rPr>
        <w:t> </w:t>
      </w:r>
      <w:r>
        <w:rPr/>
        <w:t>requiere la legalización de firmas de la autoridad que los expida.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8"/>
        <w:rPr>
          <w:rFonts w:ascii="Times New Roman"/>
          <w:i/>
          <w:sz w:val="16"/>
        </w:rPr>
      </w:pPr>
    </w:p>
    <w:p>
      <w:pPr>
        <w:pStyle w:val="BodyText"/>
        <w:ind w:left="338" w:right="357" w:firstLine="288"/>
      </w:pPr>
      <w:bookmarkStart w:name="Artículo_757" w:id="966"/>
      <w:bookmarkEnd w:id="966"/>
      <w:r>
        <w:rPr/>
      </w:r>
      <w:r>
        <w:rPr>
          <w:rFonts w:ascii="Arial" w:hAnsi="Arial"/>
          <w:b/>
        </w:rPr>
        <w:t>Artículo 757.- </w:t>
      </w:r>
      <w:r>
        <w:rPr/>
        <w:t>El Tribunal deberá expedir los exhortos y despachos, al día siguiente de aquél en que surta sus efectos la resolución que los ordene.</w:t>
      </w:r>
    </w:p>
    <w:p>
      <w:pPr>
        <w:spacing w:line="182"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5" w:firstLine="288"/>
        <w:jc w:val="both"/>
      </w:pPr>
      <w:bookmarkStart w:name="Artículo_758" w:id="967"/>
      <w:bookmarkEnd w:id="967"/>
      <w:r>
        <w:rPr/>
      </w:r>
      <w:r>
        <w:rPr>
          <w:rFonts w:ascii="Arial" w:hAnsi="Arial"/>
          <w:b/>
        </w:rPr>
        <w:t>Artículo 758.- </w:t>
      </w:r>
      <w:r>
        <w:rPr/>
        <w:t>Los exhortos y despachos que reciban los Tribunales a que se refiere</w:t>
      </w:r>
      <w:r>
        <w:rPr>
          <w:spacing w:val="23"/>
        </w:rPr>
        <w:t> </w:t>
      </w:r>
      <w:r>
        <w:rPr/>
        <w:t>el artículo 753,</w:t>
      </w:r>
      <w:r>
        <w:rPr>
          <w:spacing w:val="40"/>
        </w:rPr>
        <w:t> </w:t>
      </w:r>
      <w:r>
        <w:rPr/>
        <w:t>se proveerán y deberán diligenciar dentro de los cinco días siguientes, salvo en los casos en que por la naturaleza de lo que haya de practicarse, exija necesariamente mayor tiempo; en este caso, la autoridad requerida fijará el que crea conveniente sin que el termino fijado pueda exceder de quince días.</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3" w:lineRule="exact"/>
        <w:jc w:val="lef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3"/>
        <w:rPr>
          <w:rFonts w:ascii="Times New Roman"/>
          <w:i/>
        </w:rPr>
      </w:pPr>
    </w:p>
    <w:p>
      <w:pPr>
        <w:pStyle w:val="BodyText"/>
        <w:ind w:left="338" w:right="336" w:firstLine="288"/>
        <w:jc w:val="both"/>
      </w:pPr>
      <w:bookmarkStart w:name="Artículo_759" w:id="968"/>
      <w:bookmarkEnd w:id="968"/>
      <w:r>
        <w:rPr/>
      </w:r>
      <w:r>
        <w:rPr>
          <w:rFonts w:ascii="Arial" w:hAnsi="Arial"/>
          <w:b/>
        </w:rPr>
        <w:t>Artículo 759.- </w:t>
      </w:r>
      <w:r>
        <w:rPr/>
        <w:t>Cuando se demore el cumplimiento de un exhorto, se recordará de oficio o a instancia de parte, a la autoridad exhortada; si a pesar del</w:t>
      </w:r>
      <w:r>
        <w:rPr>
          <w:spacing w:val="-1"/>
        </w:rPr>
        <w:t> </w:t>
      </w:r>
      <w:r>
        <w:rPr/>
        <w:t>recordatorio continúa la demora, la autoridad exhortante lo pondrá en conocimiento del Consejo de la Judicatura que corresponda al ámbito de actuación del exhortado, y se considerará como un acto notoriamente improcedente de dilación por parte de la autoridad exhortada, en los términos del artículo 48 Bis de esta Ley.</w:t>
      </w:r>
    </w:p>
    <w:p>
      <w:pPr>
        <w:spacing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1" w:firstLine="288"/>
        <w:jc w:val="both"/>
      </w:pPr>
      <w:bookmarkStart w:name="Artículo_760" w:id="969"/>
      <w:bookmarkEnd w:id="969"/>
      <w:r>
        <w:rPr/>
      </w:r>
      <w:r>
        <w:rPr>
          <w:rFonts w:ascii="Arial" w:hAnsi="Arial"/>
          <w:b/>
        </w:rPr>
        <w:t>Artículo 760.- </w:t>
      </w:r>
      <w:r>
        <w:rPr/>
        <w:t>El Tribunal a solicitud de parte, podrá entregar el exhorto y sus anexos al oferente previa razón que deje en autos, quien bajo su más estricta responsabilidad lo entregará a la autoridad exhortada para su diligenciamiento.</w:t>
      </w:r>
    </w:p>
    <w:p>
      <w:pPr>
        <w:spacing w:line="178"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spacing w:line="229" w:lineRule="exact"/>
        <w:ind w:left="626"/>
      </w:pPr>
      <w:r>
        <w:rPr/>
        <w:t>El</w:t>
      </w:r>
      <w:r>
        <w:rPr>
          <w:spacing w:val="-7"/>
        </w:rPr>
        <w:t> </w:t>
      </w:r>
      <w:r>
        <w:rPr/>
        <w:t>oferente</w:t>
      </w:r>
      <w:r>
        <w:rPr>
          <w:spacing w:val="-7"/>
        </w:rPr>
        <w:t> </w:t>
      </w:r>
      <w:r>
        <w:rPr/>
        <w:t>devolverá</w:t>
      </w:r>
      <w:r>
        <w:rPr>
          <w:spacing w:val="-8"/>
        </w:rPr>
        <w:t> </w:t>
      </w:r>
      <w:r>
        <w:rPr/>
        <w:t>el</w:t>
      </w:r>
      <w:r>
        <w:rPr>
          <w:spacing w:val="-9"/>
        </w:rPr>
        <w:t> </w:t>
      </w:r>
      <w:r>
        <w:rPr/>
        <w:t>exhorto</w:t>
      </w:r>
      <w:r>
        <w:rPr>
          <w:spacing w:val="-8"/>
        </w:rPr>
        <w:t> </w:t>
      </w:r>
      <w:r>
        <w:rPr/>
        <w:t>diligenciado</w:t>
      </w:r>
      <w:r>
        <w:rPr>
          <w:spacing w:val="-6"/>
        </w:rPr>
        <w:t> </w:t>
      </w:r>
      <w:r>
        <w:rPr/>
        <w:t>bajo</w:t>
      </w:r>
      <w:r>
        <w:rPr>
          <w:spacing w:val="-8"/>
        </w:rPr>
        <w:t> </w:t>
      </w:r>
      <w:r>
        <w:rPr/>
        <w:t>su</w:t>
      </w:r>
      <w:r>
        <w:rPr>
          <w:spacing w:val="-6"/>
        </w:rPr>
        <w:t> </w:t>
      </w:r>
      <w:r>
        <w:rPr/>
        <w:t>más</w:t>
      </w:r>
      <w:r>
        <w:rPr>
          <w:spacing w:val="-7"/>
        </w:rPr>
        <w:t> </w:t>
      </w:r>
      <w:r>
        <w:rPr/>
        <w:t>estricta</w:t>
      </w:r>
      <w:r>
        <w:rPr>
          <w:spacing w:val="-8"/>
        </w:rPr>
        <w:t> </w:t>
      </w:r>
      <w:r>
        <w:rPr/>
        <w:t>responsabilidad</w:t>
      </w:r>
      <w:r>
        <w:rPr>
          <w:spacing w:val="-8"/>
        </w:rPr>
        <w:t> </w:t>
      </w:r>
      <w:r>
        <w:rPr/>
        <w:t>a</w:t>
      </w:r>
      <w:r>
        <w:rPr>
          <w:spacing w:val="-7"/>
        </w:rPr>
        <w:t> </w:t>
      </w:r>
      <w:r>
        <w:rPr/>
        <w:t>la</w:t>
      </w:r>
      <w:r>
        <w:rPr>
          <w:spacing w:val="-8"/>
        </w:rPr>
        <w:t> </w:t>
      </w:r>
      <w:r>
        <w:rPr>
          <w:spacing w:val="-2"/>
        </w:rPr>
        <w:t>exhortante.</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Heading1"/>
        <w:spacing w:before="227"/>
      </w:pPr>
      <w:r>
        <w:rPr/>
        <w:t>CAPITULO</w:t>
      </w:r>
      <w:r>
        <w:rPr>
          <w:spacing w:val="-9"/>
        </w:rPr>
        <w:t> </w:t>
      </w:r>
      <w:r>
        <w:rPr>
          <w:spacing w:val="-7"/>
        </w:rPr>
        <w:t>IX</w:t>
      </w:r>
    </w:p>
    <w:p>
      <w:pPr>
        <w:pStyle w:val="Heading2"/>
        <w:spacing w:before="2"/>
        <w:ind w:left="300"/>
      </w:pPr>
      <w:r>
        <w:rPr/>
        <w:t>De</w:t>
      </w:r>
      <w:r>
        <w:rPr>
          <w:spacing w:val="-2"/>
        </w:rPr>
        <w:t> </w:t>
      </w:r>
      <w:r>
        <w:rPr/>
        <w:t>los</w:t>
      </w:r>
      <w:r>
        <w:rPr>
          <w:spacing w:val="-2"/>
        </w:rPr>
        <w:t> Incidentes</w:t>
      </w:r>
    </w:p>
    <w:p>
      <w:pPr>
        <w:spacing w:before="0"/>
        <w:ind w:left="5564"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338" w:right="357" w:firstLine="288"/>
      </w:pPr>
      <w:bookmarkStart w:name="Artículo_761" w:id="970"/>
      <w:bookmarkEnd w:id="970"/>
      <w:r>
        <w:rPr/>
      </w:r>
      <w:r>
        <w:rPr>
          <w:rFonts w:ascii="Arial" w:hAnsi="Arial"/>
          <w:b/>
        </w:rPr>
        <w:t>Artículo 761.- </w:t>
      </w:r>
      <w:r>
        <w:rPr/>
        <w:t>Los incidentes se tramitarán dentro del expediente principal donde se promueve, salvo los casos previstos en esta Ley.</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338" w:firstLine="288"/>
      </w:pPr>
      <w:bookmarkStart w:name="Artículo_762" w:id="971"/>
      <w:bookmarkEnd w:id="971"/>
      <w:r>
        <w:rPr/>
      </w:r>
      <w:r>
        <w:rPr>
          <w:rFonts w:ascii="Arial" w:hAnsi="Arial"/>
          <w:b/>
        </w:rPr>
        <w:t>Artículo</w:t>
      </w:r>
      <w:r>
        <w:rPr>
          <w:rFonts w:ascii="Arial" w:hAnsi="Arial"/>
          <w:b/>
          <w:spacing w:val="37"/>
        </w:rPr>
        <w:t> </w:t>
      </w:r>
      <w:r>
        <w:rPr>
          <w:rFonts w:ascii="Arial" w:hAnsi="Arial"/>
          <w:b/>
        </w:rPr>
        <w:t>762.-</w:t>
      </w:r>
      <w:r>
        <w:rPr>
          <w:rFonts w:ascii="Arial" w:hAnsi="Arial"/>
          <w:b/>
          <w:spacing w:val="37"/>
        </w:rPr>
        <w:t> </w:t>
      </w:r>
      <w:r>
        <w:rPr/>
        <w:t>Se</w:t>
      </w:r>
      <w:r>
        <w:rPr>
          <w:spacing w:val="36"/>
        </w:rPr>
        <w:t> </w:t>
      </w:r>
      <w:r>
        <w:rPr/>
        <w:t>tramitarán</w:t>
      </w:r>
      <w:r>
        <w:rPr>
          <w:spacing w:val="33"/>
        </w:rPr>
        <w:t> </w:t>
      </w:r>
      <w:r>
        <w:rPr/>
        <w:t>como</w:t>
      </w:r>
      <w:r>
        <w:rPr>
          <w:spacing w:val="33"/>
        </w:rPr>
        <w:t> </w:t>
      </w:r>
      <w:r>
        <w:rPr/>
        <w:t>incidentes</w:t>
      </w:r>
      <w:r>
        <w:rPr>
          <w:spacing w:val="34"/>
        </w:rPr>
        <w:t> </w:t>
      </w:r>
      <w:r>
        <w:rPr/>
        <w:t>de</w:t>
      </w:r>
      <w:r>
        <w:rPr>
          <w:spacing w:val="33"/>
        </w:rPr>
        <w:t> </w:t>
      </w:r>
      <w:r>
        <w:rPr/>
        <w:t>previo</w:t>
      </w:r>
      <w:r>
        <w:rPr>
          <w:spacing w:val="38"/>
        </w:rPr>
        <w:t> </w:t>
      </w:r>
      <w:r>
        <w:rPr/>
        <w:t>y</w:t>
      </w:r>
      <w:r>
        <w:rPr>
          <w:spacing w:val="33"/>
        </w:rPr>
        <w:t> </w:t>
      </w:r>
      <w:r>
        <w:rPr/>
        <w:t>especial</w:t>
      </w:r>
      <w:r>
        <w:rPr>
          <w:spacing w:val="35"/>
        </w:rPr>
        <w:t> </w:t>
      </w:r>
      <w:r>
        <w:rPr/>
        <w:t>pronunciamiento</w:t>
      </w:r>
      <w:r>
        <w:rPr>
          <w:spacing w:val="33"/>
        </w:rPr>
        <w:t> </w:t>
      </w:r>
      <w:r>
        <w:rPr/>
        <w:t>las</w:t>
      </w:r>
      <w:r>
        <w:rPr>
          <w:spacing w:val="34"/>
        </w:rPr>
        <w:t> </w:t>
      </w:r>
      <w:r>
        <w:rPr/>
        <w:t>siguientes </w:t>
      </w:r>
      <w:r>
        <w:rPr>
          <w:spacing w:val="-2"/>
        </w:rPr>
        <w:t>cuestiones.</w:t>
      </w:r>
    </w:p>
    <w:p>
      <w:pPr>
        <w:pStyle w:val="ListParagraph"/>
        <w:numPr>
          <w:ilvl w:val="0"/>
          <w:numId w:val="302"/>
        </w:numPr>
        <w:tabs>
          <w:tab w:pos="1195" w:val="left" w:leader="none"/>
        </w:tabs>
        <w:spacing w:line="240" w:lineRule="auto" w:before="229" w:after="0"/>
        <w:ind w:left="1195" w:right="0" w:hanging="569"/>
        <w:jc w:val="left"/>
        <w:rPr>
          <w:sz w:val="20"/>
        </w:rPr>
      </w:pPr>
      <w:r>
        <w:rPr>
          <w:spacing w:val="-2"/>
          <w:sz w:val="20"/>
        </w:rPr>
        <w:t>Nulidad;</w:t>
      </w:r>
    </w:p>
    <w:p>
      <w:pPr>
        <w:pStyle w:val="BodyText"/>
        <w:spacing w:before="1"/>
      </w:pPr>
    </w:p>
    <w:p>
      <w:pPr>
        <w:pStyle w:val="ListParagraph"/>
        <w:numPr>
          <w:ilvl w:val="0"/>
          <w:numId w:val="302"/>
        </w:numPr>
        <w:tabs>
          <w:tab w:pos="1195" w:val="left" w:leader="none"/>
        </w:tabs>
        <w:spacing w:line="240" w:lineRule="auto" w:before="0" w:after="0"/>
        <w:ind w:left="1195" w:right="0" w:hanging="569"/>
        <w:jc w:val="left"/>
        <w:rPr>
          <w:sz w:val="20"/>
        </w:rPr>
      </w:pPr>
      <w:r>
        <w:rPr>
          <w:spacing w:val="-2"/>
          <w:sz w:val="20"/>
        </w:rPr>
        <w:t>Competencia;</w:t>
      </w:r>
    </w:p>
    <w:p>
      <w:pPr>
        <w:pStyle w:val="ListParagraph"/>
        <w:numPr>
          <w:ilvl w:val="0"/>
          <w:numId w:val="302"/>
        </w:numPr>
        <w:tabs>
          <w:tab w:pos="1195" w:val="left" w:leader="none"/>
        </w:tabs>
        <w:spacing w:line="240" w:lineRule="auto" w:before="229" w:after="0"/>
        <w:ind w:left="1195" w:right="0" w:hanging="569"/>
        <w:jc w:val="left"/>
        <w:rPr>
          <w:sz w:val="20"/>
        </w:rPr>
      </w:pPr>
      <w:r>
        <w:rPr>
          <w:spacing w:val="-2"/>
          <w:sz w:val="20"/>
        </w:rPr>
        <w:t>Personalidad;</w:t>
      </w:r>
    </w:p>
    <w:p>
      <w:pPr>
        <w:pStyle w:val="BodyText"/>
      </w:pPr>
    </w:p>
    <w:p>
      <w:pPr>
        <w:pStyle w:val="ListParagraph"/>
        <w:numPr>
          <w:ilvl w:val="0"/>
          <w:numId w:val="302"/>
        </w:numPr>
        <w:tabs>
          <w:tab w:pos="1195" w:val="left" w:leader="none"/>
        </w:tabs>
        <w:spacing w:line="240" w:lineRule="auto" w:before="0" w:after="0"/>
        <w:ind w:left="1195" w:right="0" w:hanging="569"/>
        <w:jc w:val="left"/>
        <w:rPr>
          <w:sz w:val="20"/>
        </w:rPr>
      </w:pPr>
      <w:r>
        <w:rPr>
          <w:sz w:val="20"/>
        </w:rPr>
        <w:t>Acumulación;</w:t>
      </w:r>
      <w:r>
        <w:rPr>
          <w:spacing w:val="-14"/>
          <w:sz w:val="20"/>
        </w:rPr>
        <w:t> </w:t>
      </w:r>
      <w:r>
        <w:rPr>
          <w:spacing w:val="-10"/>
          <w:sz w:val="20"/>
        </w:rPr>
        <w:t>y</w:t>
      </w:r>
    </w:p>
    <w:p>
      <w:pPr>
        <w:pStyle w:val="BodyText"/>
        <w:spacing w:before="1"/>
      </w:pPr>
    </w:p>
    <w:p>
      <w:pPr>
        <w:pStyle w:val="ListParagraph"/>
        <w:numPr>
          <w:ilvl w:val="0"/>
          <w:numId w:val="302"/>
        </w:numPr>
        <w:tabs>
          <w:tab w:pos="1195" w:val="left" w:leader="none"/>
        </w:tabs>
        <w:spacing w:line="229" w:lineRule="exact" w:before="0" w:after="0"/>
        <w:ind w:left="1195" w:right="0" w:hanging="569"/>
        <w:jc w:val="left"/>
        <w:rPr>
          <w:sz w:val="20"/>
        </w:rPr>
      </w:pPr>
      <w:r>
        <w:rPr>
          <w:spacing w:val="-2"/>
          <w:sz w:val="20"/>
        </w:rPr>
        <w:t>Excusas.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2"/>
        <w:rPr>
          <w:rFonts w:ascii="Times New Roman"/>
          <w:i/>
        </w:rPr>
      </w:pPr>
    </w:p>
    <w:p>
      <w:pPr>
        <w:pStyle w:val="BodyText"/>
        <w:spacing w:line="242" w:lineRule="auto"/>
        <w:ind w:left="338" w:right="345" w:firstLine="288"/>
        <w:jc w:val="both"/>
      </w:pPr>
      <w:bookmarkStart w:name="Artículo_763" w:id="972"/>
      <w:bookmarkEnd w:id="972"/>
      <w:r>
        <w:rPr/>
      </w:r>
      <w:r>
        <w:rPr>
          <w:rFonts w:ascii="Arial" w:hAnsi="Arial"/>
          <w:b/>
        </w:rPr>
        <w:t>Artículo 763. </w:t>
      </w:r>
      <w:r>
        <w:rPr/>
        <w:t>Cuando en una audiencia o diligencia se promueva incidente de falta de personalidad, se sustanciará de inmediato oyendo a las partes y se resolverá, continuándose el procedimiento.</w:t>
      </w:r>
    </w:p>
    <w:p>
      <w:pPr>
        <w:pStyle w:val="BodyText"/>
        <w:spacing w:before="226"/>
        <w:ind w:left="338" w:right="338" w:firstLine="288"/>
        <w:jc w:val="both"/>
      </w:pPr>
      <w:r>
        <w:rPr/>
        <w:t>En los demás casos a que se refiere el artículo anterior, se señalará día y hora para la celebración de la audiencia incidental, que se realizará dentro de las veinticuatro horas siguientes, en la que las partes podrán</w:t>
      </w:r>
      <w:r>
        <w:rPr>
          <w:spacing w:val="-4"/>
        </w:rPr>
        <w:t> </w:t>
      </w:r>
      <w:r>
        <w:rPr/>
        <w:t>ofrecer</w:t>
      </w:r>
      <w:r>
        <w:rPr>
          <w:spacing w:val="-1"/>
        </w:rPr>
        <w:t> </w:t>
      </w:r>
      <w:r>
        <w:rPr/>
        <w:t>y</w:t>
      </w:r>
      <w:r>
        <w:rPr>
          <w:spacing w:val="-5"/>
        </w:rPr>
        <w:t> </w:t>
      </w:r>
      <w:r>
        <w:rPr/>
        <w:t>desahogar</w:t>
      </w:r>
      <w:r>
        <w:rPr>
          <w:spacing w:val="-3"/>
        </w:rPr>
        <w:t> </w:t>
      </w:r>
      <w:r>
        <w:rPr/>
        <w:t>pruebas</w:t>
      </w:r>
      <w:r>
        <w:rPr>
          <w:spacing w:val="-3"/>
        </w:rPr>
        <w:t> </w:t>
      </w:r>
      <w:r>
        <w:rPr/>
        <w:t>documentales</w:t>
      </w:r>
      <w:r>
        <w:rPr>
          <w:spacing w:val="-3"/>
        </w:rPr>
        <w:t> </w:t>
      </w:r>
      <w:r>
        <w:rPr/>
        <w:t>e</w:t>
      </w:r>
      <w:r>
        <w:rPr>
          <w:spacing w:val="-2"/>
        </w:rPr>
        <w:t> </w:t>
      </w:r>
      <w:r>
        <w:rPr/>
        <w:t>instrumentales</w:t>
      </w:r>
      <w:r>
        <w:rPr>
          <w:spacing w:val="-3"/>
        </w:rPr>
        <w:t> </w:t>
      </w:r>
      <w:r>
        <w:rPr/>
        <w:t>para</w:t>
      </w:r>
      <w:r>
        <w:rPr>
          <w:spacing w:val="-4"/>
        </w:rPr>
        <w:t> </w:t>
      </w:r>
      <w:r>
        <w:rPr/>
        <w:t>que</w:t>
      </w:r>
      <w:r>
        <w:rPr>
          <w:spacing w:val="-2"/>
        </w:rPr>
        <w:t> </w:t>
      </w:r>
      <w:r>
        <w:rPr/>
        <w:t>de inmediato</w:t>
      </w:r>
      <w:r>
        <w:rPr>
          <w:spacing w:val="-2"/>
        </w:rPr>
        <w:t> </w:t>
      </w:r>
      <w:r>
        <w:rPr/>
        <w:t>se</w:t>
      </w:r>
      <w:r>
        <w:rPr>
          <w:spacing w:val="-4"/>
        </w:rPr>
        <w:t> </w:t>
      </w:r>
      <w:r>
        <w:rPr/>
        <w:t>resuelva</w:t>
      </w:r>
      <w:r>
        <w:rPr>
          <w:spacing w:val="-2"/>
        </w:rPr>
        <w:t> </w:t>
      </w:r>
      <w:r>
        <w:rPr/>
        <w:t>el incidente, continuándose el procedimiento.</w:t>
      </w:r>
    </w:p>
    <w:p>
      <w:pPr>
        <w:pStyle w:val="BodyText"/>
        <w:spacing w:before="3"/>
      </w:pPr>
    </w:p>
    <w:p>
      <w:pPr>
        <w:pStyle w:val="BodyText"/>
        <w:ind w:left="338" w:right="346" w:firstLine="288"/>
        <w:jc w:val="both"/>
      </w:pPr>
      <w:r>
        <w:rPr/>
        <w:t>Lo establecido en los párrafos anteriores no aplica en lo que se refiere al juicio individual ordinario previsto en el capítulo XVII del presente Título.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338" w:right="357" w:firstLine="288"/>
      </w:pPr>
      <w:r>
        <w:rPr/>
        <w:t>Al promoverse un incidente, se señalarán los motivos de este y acompañarse las pruebas en que lo</w:t>
      </w:r>
      <w:r>
        <w:rPr>
          <w:spacing w:val="40"/>
        </w:rPr>
        <w:t> </w:t>
      </w:r>
      <w:r>
        <w:rPr/>
        <w:t>funde; de no cumplir con dichos requisitos, el tribunal lo desechará de plano.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0" w:lineRule="exact"/>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BodyText"/>
        <w:ind w:left="338" w:right="342" w:firstLine="288"/>
      </w:pPr>
      <w:r>
        <w:rPr/>
        <w:t>Los incidentes que no tengan señalada una tramitación especial en esta Ley se resolverán de plano oyendo a las partes.</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37" w:firstLine="288"/>
        <w:jc w:val="both"/>
      </w:pPr>
      <w:bookmarkStart w:name="Artículo_763_Bis" w:id="973"/>
      <w:bookmarkEnd w:id="973"/>
      <w:r>
        <w:rPr/>
      </w:r>
      <w:r>
        <w:rPr>
          <w:rFonts w:ascii="Arial" w:hAnsi="Arial"/>
          <w:b/>
        </w:rPr>
        <w:t>Artículo 763 Bis.- </w:t>
      </w:r>
      <w:r>
        <w:rPr/>
        <w:t>En lo que se refiere a los incidentes que se promuevan en el Juicio Individual Ordinario, los incidentes se sustanciarán y resolverán en la audiencia preliminar oyendo a las partes, sin suspensión del procedimiento, a excepción del incidente de nulidad, el que deberá promoverse dentro de los tres días siguientes en que se tenga conocimiento del acto irregular, hasta antes que se dicte sentencia. En este caso, el juez señalará día y hora para la celebración de la audiencia incidental que se realizará dentro de las veinticuatro horas siguientes, en la cual se podrán ofrecer y desahogar pruebas documentales, instrumentales y presuncionales para que de inmediato se resuelva el incidente, continuándose el procedimiento.</w:t>
      </w:r>
    </w:p>
    <w:p>
      <w:pPr>
        <w:pStyle w:val="BodyText"/>
        <w:spacing w:before="2"/>
      </w:pPr>
    </w:p>
    <w:p>
      <w:pPr>
        <w:pStyle w:val="BodyText"/>
        <w:ind w:left="338" w:right="345" w:firstLine="288"/>
        <w:jc w:val="both"/>
      </w:pPr>
      <w:r>
        <w:rPr/>
        <w:t>A quien promueva un incidente notoriamente improcedente, se le impondrá una multa de hasta 100 veces la Unidad de Medida y Actualización.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5" w:firstLine="288"/>
        <w:jc w:val="both"/>
      </w:pPr>
      <w:bookmarkStart w:name="Artículo_764" w:id="974"/>
      <w:bookmarkEnd w:id="974"/>
      <w:r>
        <w:rPr/>
      </w:r>
      <w:r>
        <w:rPr>
          <w:rFonts w:ascii="Arial" w:hAnsi="Arial"/>
          <w:b/>
        </w:rPr>
        <w:t>Artículo 764.- </w:t>
      </w:r>
      <w:r>
        <w:rPr/>
        <w:t>Si en autos consta que una persona se manifiesta sabedora de una resolución, la notificación mal hecha u omitida surtirá sus efectos como si estuviese hecha conforme a la Ley. En este caso, el incidente de nulidad que se promueva será desechado de plano.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rPr>
          <w:rFonts w:ascii="Times New Roman"/>
          <w:i/>
          <w:sz w:val="12"/>
        </w:rPr>
      </w:pPr>
    </w:p>
    <w:p>
      <w:pPr>
        <w:pStyle w:val="BodyText"/>
        <w:spacing w:after="0"/>
        <w:rPr>
          <w:rFonts w:ascii="Times New Roman"/>
          <w:i/>
          <w:sz w:val="12"/>
        </w:rPr>
        <w:sectPr>
          <w:pgSz w:w="12240" w:h="15840"/>
          <w:pgMar w:header="724" w:footer="712" w:top="1880" w:bottom="900" w:left="1080" w:right="1080"/>
        </w:sectPr>
      </w:pPr>
    </w:p>
    <w:p>
      <w:pPr>
        <w:spacing w:before="93"/>
        <w:ind w:left="626" w:right="0" w:firstLine="0"/>
        <w:jc w:val="left"/>
        <w:rPr>
          <w:sz w:val="20"/>
        </w:rPr>
      </w:pPr>
      <w:bookmarkStart w:name="Artículo_765" w:id="975"/>
      <w:bookmarkEnd w:id="975"/>
      <w:r>
        <w:rPr/>
      </w:r>
      <w:r>
        <w:rPr>
          <w:rFonts w:ascii="Arial" w:hAnsi="Arial"/>
          <w:b/>
          <w:sz w:val="20"/>
        </w:rPr>
        <w:t>Artículo</w:t>
      </w:r>
      <w:r>
        <w:rPr>
          <w:rFonts w:ascii="Arial" w:hAnsi="Arial"/>
          <w:b/>
          <w:spacing w:val="-6"/>
          <w:sz w:val="20"/>
        </w:rPr>
        <w:t> </w:t>
      </w:r>
      <w:r>
        <w:rPr>
          <w:rFonts w:ascii="Arial" w:hAnsi="Arial"/>
          <w:b/>
          <w:sz w:val="20"/>
        </w:rPr>
        <w:t>765.</w:t>
      </w:r>
      <w:r>
        <w:rPr>
          <w:rFonts w:ascii="Arial" w:hAnsi="Arial"/>
          <w:b/>
          <w:spacing w:val="-5"/>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6"/>
        <w:rPr>
          <w:rFonts w:ascii="Times New Roman"/>
          <w:i/>
          <w:sz w:val="16"/>
        </w:rPr>
      </w:pPr>
    </w:p>
    <w:p>
      <w:pPr>
        <w:pStyle w:val="Heading1"/>
        <w:spacing w:line="252" w:lineRule="exact"/>
        <w:ind w:left="0" w:right="3428"/>
      </w:pPr>
      <w:r>
        <w:rPr/>
        <w:t>CAPITULO</w:t>
      </w:r>
      <w:r>
        <w:rPr>
          <w:spacing w:val="-7"/>
        </w:rPr>
        <w:t> </w:t>
      </w:r>
      <w:r>
        <w:rPr>
          <w:spacing w:val="-12"/>
        </w:rPr>
        <w:t>X</w:t>
      </w:r>
    </w:p>
    <w:p>
      <w:pPr>
        <w:pStyle w:val="Heading2"/>
        <w:spacing w:line="252" w:lineRule="exact"/>
        <w:ind w:left="6" w:right="3428"/>
      </w:pPr>
      <w:r>
        <w:rPr/>
        <w:t>De</w:t>
      </w:r>
      <w:r>
        <w:rPr>
          <w:spacing w:val="-3"/>
        </w:rPr>
        <w:t> </w:t>
      </w:r>
      <w:r>
        <w:rPr/>
        <w:t>la</w:t>
      </w:r>
      <w:r>
        <w:rPr>
          <w:spacing w:val="3"/>
        </w:rPr>
        <w:t> </w:t>
      </w:r>
      <w:r>
        <w:rPr>
          <w:spacing w:val="-2"/>
        </w:rPr>
        <w:t>Acumulación</w:t>
      </w:r>
    </w:p>
    <w:p>
      <w:pPr>
        <w:spacing w:before="1"/>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right"/>
        <w:rPr>
          <w:rFonts w:ascii="Times New Roman" w:hAnsi="Times New Roman"/>
          <w:i/>
          <w:sz w:val="16"/>
        </w:rPr>
        <w:sectPr>
          <w:type w:val="continuous"/>
          <w:pgSz w:w="12240" w:h="15840"/>
          <w:pgMar w:header="724" w:footer="712" w:top="1880" w:bottom="900" w:left="1080" w:right="1080"/>
          <w:cols w:num="2" w:equalWidth="0">
            <w:col w:w="3032" w:space="398"/>
            <w:col w:w="6650"/>
          </w:cols>
        </w:sectPr>
      </w:pPr>
    </w:p>
    <w:p>
      <w:pPr>
        <w:pStyle w:val="BodyText"/>
        <w:spacing w:before="1"/>
        <w:rPr>
          <w:rFonts w:ascii="Times New Roman"/>
          <w:i/>
        </w:rPr>
      </w:pPr>
    </w:p>
    <w:p>
      <w:pPr>
        <w:pStyle w:val="BodyText"/>
        <w:spacing w:line="242" w:lineRule="auto"/>
        <w:ind w:left="338" w:right="382" w:firstLine="288"/>
      </w:pPr>
      <w:bookmarkStart w:name="Artículo_766" w:id="976"/>
      <w:bookmarkEnd w:id="976"/>
      <w:r>
        <w:rPr/>
      </w:r>
      <w:r>
        <w:rPr>
          <w:rFonts w:ascii="Arial" w:hAnsi="Arial"/>
          <w:b/>
        </w:rPr>
        <w:t>Artículo 766.- </w:t>
      </w:r>
      <w:r>
        <w:rPr/>
        <w:t>En los procesos de trabajo que se encuentren en trámite ante los Tribunales, procede</w:t>
      </w:r>
      <w:r>
        <w:rPr>
          <w:spacing w:val="40"/>
        </w:rPr>
        <w:t> </w:t>
      </w:r>
      <w:r>
        <w:rPr/>
        <w:t>la acumulación de oficio o a instancia de parte, en los casos siguientes:</w:t>
      </w:r>
    </w:p>
    <w:p>
      <w:pPr>
        <w:spacing w:line="178"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03"/>
        </w:numPr>
        <w:tabs>
          <w:tab w:pos="1195" w:val="left" w:leader="none"/>
        </w:tabs>
        <w:spacing w:line="242" w:lineRule="auto" w:before="0" w:after="0"/>
        <w:ind w:left="1195" w:right="332" w:hanging="569"/>
        <w:jc w:val="left"/>
        <w:rPr>
          <w:sz w:val="20"/>
        </w:rPr>
      </w:pPr>
      <w:r>
        <w:rPr>
          <w:sz w:val="20"/>
        </w:rPr>
        <w:t>Cuando se trate de juicios promovidos por el mismo actor contra el mismo demandado, en</w:t>
      </w:r>
      <w:r>
        <w:rPr>
          <w:spacing w:val="24"/>
          <w:sz w:val="20"/>
        </w:rPr>
        <w:t> </w:t>
      </w:r>
      <w:r>
        <w:rPr>
          <w:sz w:val="20"/>
        </w:rPr>
        <w:t>los que se reclamen las mismas prestaciones;</w:t>
      </w:r>
    </w:p>
    <w:p>
      <w:pPr>
        <w:pStyle w:val="ListParagraph"/>
        <w:numPr>
          <w:ilvl w:val="0"/>
          <w:numId w:val="303"/>
        </w:numPr>
        <w:tabs>
          <w:tab w:pos="1195" w:val="left" w:leader="none"/>
        </w:tabs>
        <w:spacing w:line="242" w:lineRule="auto" w:before="224" w:after="0"/>
        <w:ind w:left="1195" w:right="345" w:hanging="569"/>
        <w:jc w:val="left"/>
        <w:rPr>
          <w:sz w:val="20"/>
        </w:rPr>
      </w:pPr>
      <w:r>
        <w:rPr>
          <w:sz w:val="20"/>
        </w:rPr>
        <w:t>Cuando</w:t>
      </w:r>
      <w:r>
        <w:rPr>
          <w:spacing w:val="-4"/>
          <w:sz w:val="20"/>
        </w:rPr>
        <w:t> </w:t>
      </w:r>
      <w:r>
        <w:rPr>
          <w:sz w:val="20"/>
        </w:rPr>
        <w:t>sean</w:t>
      </w:r>
      <w:r>
        <w:rPr>
          <w:spacing w:val="-1"/>
          <w:sz w:val="20"/>
        </w:rPr>
        <w:t> </w:t>
      </w:r>
      <w:r>
        <w:rPr>
          <w:sz w:val="20"/>
        </w:rPr>
        <w:t>las</w:t>
      </w:r>
      <w:r>
        <w:rPr>
          <w:spacing w:val="-2"/>
          <w:sz w:val="20"/>
        </w:rPr>
        <w:t> </w:t>
      </w:r>
      <w:r>
        <w:rPr>
          <w:sz w:val="20"/>
        </w:rPr>
        <w:t>mismas</w:t>
      </w:r>
      <w:r>
        <w:rPr>
          <w:spacing w:val="-2"/>
          <w:sz w:val="20"/>
        </w:rPr>
        <w:t> </w:t>
      </w:r>
      <w:r>
        <w:rPr>
          <w:sz w:val="20"/>
        </w:rPr>
        <w:t>partes,</w:t>
      </w:r>
      <w:r>
        <w:rPr>
          <w:spacing w:val="-3"/>
          <w:sz w:val="20"/>
        </w:rPr>
        <w:t> </w:t>
      </w:r>
      <w:r>
        <w:rPr>
          <w:sz w:val="20"/>
        </w:rPr>
        <w:t>aunque</w:t>
      </w:r>
      <w:r>
        <w:rPr>
          <w:spacing w:val="-3"/>
          <w:sz w:val="20"/>
        </w:rPr>
        <w:t> </w:t>
      </w:r>
      <w:r>
        <w:rPr>
          <w:sz w:val="20"/>
        </w:rPr>
        <w:t>las</w:t>
      </w:r>
      <w:r>
        <w:rPr>
          <w:spacing w:val="-2"/>
          <w:sz w:val="20"/>
        </w:rPr>
        <w:t> </w:t>
      </w:r>
      <w:r>
        <w:rPr>
          <w:sz w:val="20"/>
        </w:rPr>
        <w:t>prestaciones</w:t>
      </w:r>
      <w:r>
        <w:rPr>
          <w:spacing w:val="-2"/>
          <w:sz w:val="20"/>
        </w:rPr>
        <w:t> </w:t>
      </w:r>
      <w:r>
        <w:rPr>
          <w:sz w:val="20"/>
        </w:rPr>
        <w:t>sean</w:t>
      </w:r>
      <w:r>
        <w:rPr>
          <w:spacing w:val="-1"/>
          <w:sz w:val="20"/>
        </w:rPr>
        <w:t> </w:t>
      </w:r>
      <w:r>
        <w:rPr>
          <w:sz w:val="20"/>
        </w:rPr>
        <w:t>distintas, pero</w:t>
      </w:r>
      <w:r>
        <w:rPr>
          <w:spacing w:val="-1"/>
          <w:sz w:val="20"/>
        </w:rPr>
        <w:t> </w:t>
      </w:r>
      <w:r>
        <w:rPr>
          <w:sz w:val="20"/>
        </w:rPr>
        <w:t>derivadas</w:t>
      </w:r>
      <w:r>
        <w:rPr>
          <w:spacing w:val="-2"/>
          <w:sz w:val="20"/>
        </w:rPr>
        <w:t> </w:t>
      </w:r>
      <w:r>
        <w:rPr>
          <w:sz w:val="20"/>
        </w:rPr>
        <w:t>de</w:t>
      </w:r>
      <w:r>
        <w:rPr>
          <w:spacing w:val="-3"/>
          <w:sz w:val="20"/>
        </w:rPr>
        <w:t> </w:t>
      </w:r>
      <w:r>
        <w:rPr>
          <w:sz w:val="20"/>
        </w:rPr>
        <w:t>una misma relación de trabajo;</w:t>
      </w:r>
    </w:p>
    <w:p>
      <w:pPr>
        <w:pStyle w:val="ListParagraph"/>
        <w:numPr>
          <w:ilvl w:val="0"/>
          <w:numId w:val="303"/>
        </w:numPr>
        <w:tabs>
          <w:tab w:pos="1195" w:val="left" w:leader="none"/>
        </w:tabs>
        <w:spacing w:line="242" w:lineRule="auto" w:before="227" w:after="0"/>
        <w:ind w:left="1195" w:right="334" w:hanging="569"/>
        <w:jc w:val="left"/>
        <w:rPr>
          <w:sz w:val="20"/>
        </w:rPr>
      </w:pPr>
      <w:r>
        <w:rPr>
          <w:sz w:val="20"/>
        </w:rPr>
        <w:t>Cuando se trate de juicios promovidos por diversos actores contra el mismo demandado, si el conflicto tuvo su origen en el mismo hecho derivado de la relación de trabajo; y</w:t>
      </w:r>
    </w:p>
    <w:p>
      <w:pPr>
        <w:pStyle w:val="ListParagraph"/>
        <w:numPr>
          <w:ilvl w:val="0"/>
          <w:numId w:val="303"/>
        </w:numPr>
        <w:tabs>
          <w:tab w:pos="1195" w:val="left" w:leader="none"/>
        </w:tabs>
        <w:spacing w:line="242" w:lineRule="auto" w:before="224" w:after="0"/>
        <w:ind w:left="1195" w:right="345" w:hanging="569"/>
        <w:jc w:val="left"/>
        <w:rPr>
          <w:sz w:val="20"/>
        </w:rPr>
      </w:pPr>
      <w:r>
        <w:rPr>
          <w:sz w:val="20"/>
        </w:rPr>
        <w:t>En</w:t>
      </w:r>
      <w:r>
        <w:rPr>
          <w:spacing w:val="40"/>
          <w:sz w:val="20"/>
        </w:rPr>
        <w:t> </w:t>
      </w:r>
      <w:r>
        <w:rPr>
          <w:sz w:val="20"/>
        </w:rPr>
        <w:t>todos</w:t>
      </w:r>
      <w:r>
        <w:rPr>
          <w:spacing w:val="40"/>
          <w:sz w:val="20"/>
        </w:rPr>
        <w:t> </w:t>
      </w:r>
      <w:r>
        <w:rPr>
          <w:sz w:val="20"/>
        </w:rPr>
        <w:t>aquellos</w:t>
      </w:r>
      <w:r>
        <w:rPr>
          <w:spacing w:val="40"/>
          <w:sz w:val="20"/>
        </w:rPr>
        <w:t> </w:t>
      </w:r>
      <w:r>
        <w:rPr>
          <w:sz w:val="20"/>
        </w:rPr>
        <w:t>casos,</w:t>
      </w:r>
      <w:r>
        <w:rPr>
          <w:spacing w:val="40"/>
          <w:sz w:val="20"/>
        </w:rPr>
        <w:t> </w:t>
      </w:r>
      <w:r>
        <w:rPr>
          <w:sz w:val="20"/>
        </w:rPr>
        <w:t>que</w:t>
      </w:r>
      <w:r>
        <w:rPr>
          <w:spacing w:val="40"/>
          <w:sz w:val="20"/>
        </w:rPr>
        <w:t> </w:t>
      </w:r>
      <w:r>
        <w:rPr>
          <w:sz w:val="20"/>
        </w:rPr>
        <w:t>por</w:t>
      </w:r>
      <w:r>
        <w:rPr>
          <w:spacing w:val="40"/>
          <w:sz w:val="20"/>
        </w:rPr>
        <w:t> </w:t>
      </w:r>
      <w:r>
        <w:rPr>
          <w:sz w:val="20"/>
        </w:rPr>
        <w:t>su</w:t>
      </w:r>
      <w:r>
        <w:rPr>
          <w:spacing w:val="40"/>
          <w:sz w:val="20"/>
        </w:rPr>
        <w:t> </w:t>
      </w:r>
      <w:r>
        <w:rPr>
          <w:sz w:val="20"/>
        </w:rPr>
        <w:t>propia</w:t>
      </w:r>
      <w:r>
        <w:rPr>
          <w:spacing w:val="40"/>
          <w:sz w:val="20"/>
        </w:rPr>
        <w:t> </w:t>
      </w:r>
      <w:r>
        <w:rPr>
          <w:sz w:val="20"/>
        </w:rPr>
        <w:t>naturaleza</w:t>
      </w:r>
      <w:r>
        <w:rPr>
          <w:spacing w:val="40"/>
          <w:sz w:val="20"/>
        </w:rPr>
        <w:t> </w:t>
      </w:r>
      <w:r>
        <w:rPr>
          <w:sz w:val="20"/>
        </w:rPr>
        <w:t>las</w:t>
      </w:r>
      <w:r>
        <w:rPr>
          <w:spacing w:val="40"/>
          <w:sz w:val="20"/>
        </w:rPr>
        <w:t> </w:t>
      </w:r>
      <w:r>
        <w:rPr>
          <w:sz w:val="20"/>
        </w:rPr>
        <w:t>prestaciones</w:t>
      </w:r>
      <w:r>
        <w:rPr>
          <w:spacing w:val="40"/>
          <w:sz w:val="20"/>
        </w:rPr>
        <w:t> </w:t>
      </w:r>
      <w:r>
        <w:rPr>
          <w:sz w:val="20"/>
        </w:rPr>
        <w:t>reclamadas</w:t>
      </w:r>
      <w:r>
        <w:rPr>
          <w:spacing w:val="40"/>
          <w:sz w:val="20"/>
        </w:rPr>
        <w:t> </w:t>
      </w:r>
      <w:r>
        <w:rPr>
          <w:sz w:val="20"/>
        </w:rPr>
        <w:t>o</w:t>
      </w:r>
      <w:r>
        <w:rPr>
          <w:spacing w:val="40"/>
          <w:sz w:val="20"/>
        </w:rPr>
        <w:t> </w:t>
      </w:r>
      <w:r>
        <w:rPr>
          <w:sz w:val="20"/>
        </w:rPr>
        <w:t>los hechos que las motivaron, puedan originar resoluciones contradictorias.</w:t>
      </w:r>
    </w:p>
    <w:p>
      <w:pPr>
        <w:spacing w:line="181"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338" w:firstLine="288"/>
      </w:pPr>
      <w:bookmarkStart w:name="Artículo_767" w:id="977"/>
      <w:bookmarkEnd w:id="977"/>
      <w:r>
        <w:rPr/>
      </w:r>
      <w:r>
        <w:rPr>
          <w:rFonts w:ascii="Arial" w:hAnsi="Arial"/>
          <w:b/>
        </w:rPr>
        <w:t>Artículo</w:t>
      </w:r>
      <w:r>
        <w:rPr>
          <w:rFonts w:ascii="Arial" w:hAnsi="Arial"/>
          <w:b/>
          <w:spacing w:val="68"/>
        </w:rPr>
        <w:t> </w:t>
      </w:r>
      <w:r>
        <w:rPr>
          <w:rFonts w:ascii="Arial" w:hAnsi="Arial"/>
          <w:b/>
        </w:rPr>
        <w:t>767.-</w:t>
      </w:r>
      <w:r>
        <w:rPr>
          <w:rFonts w:ascii="Arial" w:hAnsi="Arial"/>
          <w:b/>
          <w:spacing w:val="71"/>
        </w:rPr>
        <w:t> </w:t>
      </w:r>
      <w:r>
        <w:rPr/>
        <w:t>Si</w:t>
      </w:r>
      <w:r>
        <w:rPr>
          <w:spacing w:val="69"/>
        </w:rPr>
        <w:t> </w:t>
      </w:r>
      <w:r>
        <w:rPr/>
        <w:t>se</w:t>
      </w:r>
      <w:r>
        <w:rPr>
          <w:spacing w:val="67"/>
        </w:rPr>
        <w:t> </w:t>
      </w:r>
      <w:r>
        <w:rPr/>
        <w:t>declara</w:t>
      </w:r>
      <w:r>
        <w:rPr>
          <w:spacing w:val="70"/>
        </w:rPr>
        <w:t> </w:t>
      </w:r>
      <w:r>
        <w:rPr/>
        <w:t>procedente</w:t>
      </w:r>
      <w:r>
        <w:rPr>
          <w:spacing w:val="69"/>
        </w:rPr>
        <w:t> </w:t>
      </w:r>
      <w:r>
        <w:rPr/>
        <w:t>la</w:t>
      </w:r>
      <w:r>
        <w:rPr>
          <w:spacing w:val="69"/>
        </w:rPr>
        <w:t> </w:t>
      </w:r>
      <w:r>
        <w:rPr/>
        <w:t>acumulación,</w:t>
      </w:r>
      <w:r>
        <w:rPr>
          <w:spacing w:val="69"/>
        </w:rPr>
        <w:t> </w:t>
      </w:r>
      <w:r>
        <w:rPr/>
        <w:t>el</w:t>
      </w:r>
      <w:r>
        <w:rPr>
          <w:spacing w:val="68"/>
        </w:rPr>
        <w:t> </w:t>
      </w:r>
      <w:r>
        <w:rPr/>
        <w:t>juicio</w:t>
      </w:r>
      <w:r>
        <w:rPr>
          <w:spacing w:val="67"/>
        </w:rPr>
        <w:t> </w:t>
      </w:r>
      <w:r>
        <w:rPr/>
        <w:t>o</w:t>
      </w:r>
      <w:r>
        <w:rPr>
          <w:spacing w:val="67"/>
        </w:rPr>
        <w:t> </w:t>
      </w:r>
      <w:r>
        <w:rPr/>
        <w:t>juicios</w:t>
      </w:r>
      <w:r>
        <w:rPr>
          <w:spacing w:val="66"/>
        </w:rPr>
        <w:t> </w:t>
      </w:r>
      <w:r>
        <w:rPr/>
        <w:t>más</w:t>
      </w:r>
      <w:r>
        <w:rPr>
          <w:spacing w:val="68"/>
        </w:rPr>
        <w:t> </w:t>
      </w:r>
      <w:r>
        <w:rPr/>
        <w:t>recientes,</w:t>
      </w:r>
      <w:r>
        <w:rPr>
          <w:spacing w:val="67"/>
        </w:rPr>
        <w:t> </w:t>
      </w:r>
      <w:r>
        <w:rPr/>
        <w:t>se acumularán al más antiguo.</w:t>
      </w:r>
    </w:p>
    <w:p>
      <w:pPr>
        <w:spacing w:line="181" w:lineRule="exact" w:before="0"/>
        <w:ind w:left="5067"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05-06-1970.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338" w:right="335" w:firstLine="288"/>
        <w:jc w:val="both"/>
      </w:pPr>
      <w:bookmarkStart w:name="Artículo_768" w:id="978"/>
      <w:bookmarkEnd w:id="978"/>
      <w:r>
        <w:rPr/>
      </w:r>
      <w:r>
        <w:rPr>
          <w:rFonts w:ascii="Arial" w:hAnsi="Arial"/>
          <w:b/>
        </w:rPr>
        <w:t>Artículo 768.- </w:t>
      </w:r>
      <w:r>
        <w:rPr/>
        <w:t>Las demandas presentadas en relación con las obligaciones patronales en materia de capacitación y adiestramiento de los trabajadores y seguridad e higiene en los centros de trabajo, no serán acumulables a ninguna otra acción. Si cualquiera de estas acciones se ejercita conjuntamente con otras derivadas de la misma relación de trabajo, se estará a lo dispuesto en el artículo 699.</w:t>
      </w:r>
    </w:p>
    <w:p>
      <w:pPr>
        <w:pStyle w:val="BodyText"/>
        <w:spacing w:after="0"/>
        <w:jc w:val="both"/>
        <w:sectPr>
          <w:type w:val="continuous"/>
          <w:pgSz w:w="12240" w:h="15840"/>
          <w:pgMar w:header="724" w:footer="712" w:top="1880" w:bottom="900" w:left="1080" w:right="1080"/>
        </w:sectPr>
      </w:pPr>
    </w:p>
    <w:p>
      <w:pPr>
        <w:pStyle w:val="BodyText"/>
        <w:spacing w:before="109"/>
        <w:rPr>
          <w:sz w:val="16"/>
        </w:rPr>
      </w:pP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626"/>
      </w:pPr>
      <w:bookmarkStart w:name="Artículo_769" w:id="979"/>
      <w:bookmarkEnd w:id="979"/>
      <w:r>
        <w:rPr/>
      </w:r>
      <w:r>
        <w:rPr>
          <w:rFonts w:ascii="Arial" w:hAnsi="Arial"/>
          <w:b/>
        </w:rPr>
        <w:t>Artículo</w:t>
      </w:r>
      <w:r>
        <w:rPr>
          <w:rFonts w:ascii="Arial" w:hAnsi="Arial"/>
          <w:b/>
          <w:spacing w:val="-9"/>
        </w:rPr>
        <w:t> </w:t>
      </w:r>
      <w:r>
        <w:rPr>
          <w:rFonts w:ascii="Arial" w:hAnsi="Arial"/>
          <w:b/>
        </w:rPr>
        <w:t>769.-</w:t>
      </w:r>
      <w:r>
        <w:rPr>
          <w:rFonts w:ascii="Arial" w:hAnsi="Arial"/>
          <w:b/>
          <w:spacing w:val="-9"/>
        </w:rPr>
        <w:t> </w:t>
      </w:r>
      <w:r>
        <w:rPr/>
        <w:t>La</w:t>
      </w:r>
      <w:r>
        <w:rPr>
          <w:spacing w:val="-9"/>
        </w:rPr>
        <w:t> </w:t>
      </w:r>
      <w:r>
        <w:rPr/>
        <w:t>acumulación</w:t>
      </w:r>
      <w:r>
        <w:rPr>
          <w:spacing w:val="-11"/>
        </w:rPr>
        <w:t> </w:t>
      </w:r>
      <w:r>
        <w:rPr/>
        <w:t>declarada</w:t>
      </w:r>
      <w:r>
        <w:rPr>
          <w:spacing w:val="-8"/>
        </w:rPr>
        <w:t> </w:t>
      </w:r>
      <w:r>
        <w:rPr/>
        <w:t>procedente,</w:t>
      </w:r>
      <w:r>
        <w:rPr>
          <w:spacing w:val="-8"/>
        </w:rPr>
        <w:t> </w:t>
      </w:r>
      <w:r>
        <w:rPr/>
        <w:t>produce</w:t>
      </w:r>
      <w:r>
        <w:rPr>
          <w:spacing w:val="-8"/>
        </w:rPr>
        <w:t> </w:t>
      </w:r>
      <w:r>
        <w:rPr/>
        <w:t>los</w:t>
      </w:r>
      <w:r>
        <w:rPr>
          <w:spacing w:val="-9"/>
        </w:rPr>
        <w:t> </w:t>
      </w:r>
      <w:r>
        <w:rPr/>
        <w:t>siguientes</w:t>
      </w:r>
      <w:r>
        <w:rPr>
          <w:spacing w:val="-8"/>
        </w:rPr>
        <w:t> </w:t>
      </w:r>
      <w:r>
        <w:rPr>
          <w:spacing w:val="-2"/>
        </w:rPr>
        <w:t>efectos:</w:t>
      </w:r>
    </w:p>
    <w:p>
      <w:pPr>
        <w:pStyle w:val="BodyText"/>
        <w:spacing w:before="1"/>
      </w:pPr>
    </w:p>
    <w:p>
      <w:pPr>
        <w:pStyle w:val="ListParagraph"/>
        <w:numPr>
          <w:ilvl w:val="0"/>
          <w:numId w:val="304"/>
        </w:numPr>
        <w:tabs>
          <w:tab w:pos="1195" w:val="left" w:leader="none"/>
        </w:tabs>
        <w:spacing w:line="240" w:lineRule="auto" w:before="0" w:after="0"/>
        <w:ind w:left="1195" w:right="344" w:hanging="569"/>
        <w:jc w:val="left"/>
        <w:rPr>
          <w:sz w:val="20"/>
        </w:rPr>
      </w:pPr>
      <w:r>
        <w:rPr>
          <w:sz w:val="20"/>
        </w:rPr>
        <w:t>En</w:t>
      </w:r>
      <w:r>
        <w:rPr>
          <w:spacing w:val="20"/>
          <w:sz w:val="20"/>
        </w:rPr>
        <w:t> </w:t>
      </w:r>
      <w:r>
        <w:rPr>
          <w:sz w:val="20"/>
        </w:rPr>
        <w:t>el</w:t>
      </w:r>
      <w:r>
        <w:rPr>
          <w:spacing w:val="19"/>
          <w:sz w:val="20"/>
        </w:rPr>
        <w:t> </w:t>
      </w:r>
      <w:r>
        <w:rPr>
          <w:sz w:val="20"/>
        </w:rPr>
        <w:t>caso</w:t>
      </w:r>
      <w:r>
        <w:rPr>
          <w:spacing w:val="20"/>
          <w:sz w:val="20"/>
        </w:rPr>
        <w:t> </w:t>
      </w:r>
      <w:r>
        <w:rPr>
          <w:sz w:val="20"/>
        </w:rPr>
        <w:t>de</w:t>
      </w:r>
      <w:r>
        <w:rPr>
          <w:spacing w:val="22"/>
          <w:sz w:val="20"/>
        </w:rPr>
        <w:t> </w:t>
      </w:r>
      <w:r>
        <w:rPr>
          <w:sz w:val="20"/>
        </w:rPr>
        <w:t>la</w:t>
      </w:r>
      <w:r>
        <w:rPr>
          <w:spacing w:val="20"/>
          <w:sz w:val="20"/>
        </w:rPr>
        <w:t> </w:t>
      </w:r>
      <w:r>
        <w:rPr>
          <w:sz w:val="20"/>
        </w:rPr>
        <w:t>fracción</w:t>
      </w:r>
      <w:r>
        <w:rPr>
          <w:spacing w:val="18"/>
          <w:sz w:val="20"/>
        </w:rPr>
        <w:t> </w:t>
      </w:r>
      <w:r>
        <w:rPr>
          <w:sz w:val="20"/>
        </w:rPr>
        <w:t>I,</w:t>
      </w:r>
      <w:r>
        <w:rPr>
          <w:spacing w:val="18"/>
          <w:sz w:val="20"/>
        </w:rPr>
        <w:t> </w:t>
      </w:r>
      <w:r>
        <w:rPr>
          <w:sz w:val="20"/>
        </w:rPr>
        <w:t>del</w:t>
      </w:r>
      <w:r>
        <w:rPr>
          <w:spacing w:val="20"/>
          <w:sz w:val="20"/>
        </w:rPr>
        <w:t> </w:t>
      </w:r>
      <w:r>
        <w:rPr>
          <w:sz w:val="20"/>
        </w:rPr>
        <w:t>artículo</w:t>
      </w:r>
      <w:r>
        <w:rPr>
          <w:spacing w:val="20"/>
          <w:sz w:val="20"/>
        </w:rPr>
        <w:t> </w:t>
      </w:r>
      <w:r>
        <w:rPr>
          <w:sz w:val="20"/>
        </w:rPr>
        <w:t>766,</w:t>
      </w:r>
      <w:r>
        <w:rPr>
          <w:spacing w:val="20"/>
          <w:sz w:val="20"/>
        </w:rPr>
        <w:t> </w:t>
      </w:r>
      <w:r>
        <w:rPr>
          <w:sz w:val="20"/>
        </w:rPr>
        <w:t>no</w:t>
      </w:r>
      <w:r>
        <w:rPr>
          <w:spacing w:val="20"/>
          <w:sz w:val="20"/>
        </w:rPr>
        <w:t> </w:t>
      </w:r>
      <w:r>
        <w:rPr>
          <w:sz w:val="20"/>
        </w:rPr>
        <w:t>surtirá</w:t>
      </w:r>
      <w:r>
        <w:rPr>
          <w:spacing w:val="18"/>
          <w:sz w:val="20"/>
        </w:rPr>
        <w:t> </w:t>
      </w:r>
      <w:r>
        <w:rPr>
          <w:sz w:val="20"/>
        </w:rPr>
        <w:t>efecto</w:t>
      </w:r>
      <w:r>
        <w:rPr>
          <w:spacing w:val="20"/>
          <w:sz w:val="20"/>
        </w:rPr>
        <w:t> </w:t>
      </w:r>
      <w:r>
        <w:rPr>
          <w:sz w:val="20"/>
        </w:rPr>
        <w:t>alguno</w:t>
      </w:r>
      <w:r>
        <w:rPr>
          <w:spacing w:val="20"/>
          <w:sz w:val="20"/>
        </w:rPr>
        <w:t> </w:t>
      </w:r>
      <w:r>
        <w:rPr>
          <w:sz w:val="20"/>
        </w:rPr>
        <w:t>lo</w:t>
      </w:r>
      <w:r>
        <w:rPr>
          <w:spacing w:val="20"/>
          <w:sz w:val="20"/>
        </w:rPr>
        <w:t> </w:t>
      </w:r>
      <w:r>
        <w:rPr>
          <w:sz w:val="20"/>
        </w:rPr>
        <w:t>actuado</w:t>
      </w:r>
      <w:r>
        <w:rPr>
          <w:spacing w:val="20"/>
          <w:sz w:val="20"/>
        </w:rPr>
        <w:t> </w:t>
      </w:r>
      <w:r>
        <w:rPr>
          <w:sz w:val="20"/>
        </w:rPr>
        <w:t>en</w:t>
      </w:r>
      <w:r>
        <w:rPr>
          <w:spacing w:val="20"/>
          <w:sz w:val="20"/>
        </w:rPr>
        <w:t> </w:t>
      </w:r>
      <w:r>
        <w:rPr>
          <w:sz w:val="20"/>
        </w:rPr>
        <w:t>el</w:t>
      </w:r>
      <w:r>
        <w:rPr>
          <w:spacing w:val="18"/>
          <w:sz w:val="20"/>
        </w:rPr>
        <w:t> </w:t>
      </w:r>
      <w:r>
        <w:rPr>
          <w:sz w:val="20"/>
        </w:rPr>
        <w:t>juicio</w:t>
      </w:r>
      <w:r>
        <w:rPr>
          <w:spacing w:val="20"/>
          <w:sz w:val="20"/>
        </w:rPr>
        <w:t> </w:t>
      </w:r>
      <w:r>
        <w:rPr>
          <w:sz w:val="20"/>
        </w:rPr>
        <w:t>o juicios acumulados y únicamente surtirán efecto las actuaciones del juicio más antiguo; y</w:t>
      </w:r>
    </w:p>
    <w:p>
      <w:pPr>
        <w:pStyle w:val="ListParagraph"/>
        <w:numPr>
          <w:ilvl w:val="0"/>
          <w:numId w:val="304"/>
        </w:numPr>
        <w:tabs>
          <w:tab w:pos="1195" w:val="left" w:leader="none"/>
        </w:tabs>
        <w:spacing w:line="242" w:lineRule="auto" w:before="229" w:after="0"/>
        <w:ind w:left="1195" w:right="336" w:hanging="569"/>
        <w:jc w:val="left"/>
        <w:rPr>
          <w:sz w:val="20"/>
        </w:rPr>
      </w:pPr>
      <w:r>
        <w:rPr>
          <w:sz w:val="20"/>
        </w:rPr>
        <w:t>En los casos previstos por las fracciones II, III y IV del artículo 766, los conflictos se resolverán por el mismo Tribunal en una sola resolución.</w:t>
      </w:r>
    </w:p>
    <w:p>
      <w:pPr>
        <w:spacing w:line="237" w:lineRule="auto" w:before="0"/>
        <w:ind w:left="7347" w:right="333" w:hanging="6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338" w:firstLine="288"/>
      </w:pPr>
      <w:bookmarkStart w:name="Artículo_770" w:id="980"/>
      <w:bookmarkEnd w:id="980"/>
      <w:r>
        <w:rPr/>
      </w:r>
      <w:r>
        <w:rPr>
          <w:rFonts w:ascii="Arial" w:hAnsi="Arial"/>
          <w:b/>
        </w:rPr>
        <w:t>Artículo</w:t>
      </w:r>
      <w:r>
        <w:rPr>
          <w:rFonts w:ascii="Arial" w:hAnsi="Arial"/>
          <w:b/>
          <w:spacing w:val="68"/>
        </w:rPr>
        <w:t> </w:t>
      </w:r>
      <w:r>
        <w:rPr>
          <w:rFonts w:ascii="Arial" w:hAnsi="Arial"/>
          <w:b/>
        </w:rPr>
        <w:t>770.-</w:t>
      </w:r>
      <w:r>
        <w:rPr>
          <w:rFonts w:ascii="Arial" w:hAnsi="Arial"/>
          <w:b/>
          <w:spacing w:val="68"/>
        </w:rPr>
        <w:t> </w:t>
      </w:r>
      <w:r>
        <w:rPr/>
        <w:t>Para</w:t>
      </w:r>
      <w:r>
        <w:rPr>
          <w:spacing w:val="70"/>
        </w:rPr>
        <w:t> </w:t>
      </w:r>
      <w:r>
        <w:rPr/>
        <w:t>la</w:t>
      </w:r>
      <w:r>
        <w:rPr>
          <w:spacing w:val="67"/>
        </w:rPr>
        <w:t> </w:t>
      </w:r>
      <w:r>
        <w:rPr/>
        <w:t>tramitación</w:t>
      </w:r>
      <w:r>
        <w:rPr>
          <w:spacing w:val="69"/>
        </w:rPr>
        <w:t> </w:t>
      </w:r>
      <w:r>
        <w:rPr/>
        <w:t>y</w:t>
      </w:r>
      <w:r>
        <w:rPr>
          <w:spacing w:val="64"/>
        </w:rPr>
        <w:t> </w:t>
      </w:r>
      <w:r>
        <w:rPr/>
        <w:t>resolución</w:t>
      </w:r>
      <w:r>
        <w:rPr>
          <w:spacing w:val="67"/>
        </w:rPr>
        <w:t> </w:t>
      </w:r>
      <w:r>
        <w:rPr/>
        <w:t>de</w:t>
      </w:r>
      <w:r>
        <w:rPr>
          <w:spacing w:val="67"/>
        </w:rPr>
        <w:t> </w:t>
      </w:r>
      <w:r>
        <w:rPr/>
        <w:t>la</w:t>
      </w:r>
      <w:r>
        <w:rPr>
          <w:spacing w:val="67"/>
        </w:rPr>
        <w:t> </w:t>
      </w:r>
      <w:r>
        <w:rPr/>
        <w:t>acumulación,</w:t>
      </w:r>
      <w:r>
        <w:rPr>
          <w:spacing w:val="67"/>
        </w:rPr>
        <w:t> </w:t>
      </w:r>
      <w:r>
        <w:rPr/>
        <w:t>se</w:t>
      </w:r>
      <w:r>
        <w:rPr>
          <w:spacing w:val="67"/>
        </w:rPr>
        <w:t> </w:t>
      </w:r>
      <w:r>
        <w:rPr/>
        <w:t>observarán</w:t>
      </w:r>
      <w:r>
        <w:rPr>
          <w:spacing w:val="67"/>
        </w:rPr>
        <w:t> </w:t>
      </w:r>
      <w:r>
        <w:rPr/>
        <w:t>las</w:t>
      </w:r>
      <w:r>
        <w:rPr>
          <w:spacing w:val="68"/>
        </w:rPr>
        <w:t> </w:t>
      </w:r>
      <w:r>
        <w:rPr/>
        <w:t>normas contenidas en los artículos 761 al 765.</w:t>
      </w:r>
    </w:p>
    <w:p>
      <w:pPr>
        <w:pStyle w:val="BodyText"/>
        <w:spacing w:before="228"/>
        <w:ind w:left="338" w:right="342" w:firstLine="288"/>
      </w:pPr>
      <w:r>
        <w:rPr/>
        <w:t>Será</w:t>
      </w:r>
      <w:r>
        <w:rPr>
          <w:spacing w:val="-2"/>
        </w:rPr>
        <w:t> </w:t>
      </w:r>
      <w:r>
        <w:rPr/>
        <w:t>competente</w:t>
      </w:r>
      <w:r>
        <w:rPr>
          <w:spacing w:val="-1"/>
        </w:rPr>
        <w:t> </w:t>
      </w:r>
      <w:r>
        <w:rPr/>
        <w:t>para</w:t>
      </w:r>
      <w:r>
        <w:rPr>
          <w:spacing w:val="-2"/>
        </w:rPr>
        <w:t> </w:t>
      </w:r>
      <w:r>
        <w:rPr/>
        <w:t>conocer</w:t>
      </w:r>
      <w:r>
        <w:rPr>
          <w:spacing w:val="-1"/>
        </w:rPr>
        <w:t> </w:t>
      </w:r>
      <w:r>
        <w:rPr/>
        <w:t>de</w:t>
      </w:r>
      <w:r>
        <w:rPr>
          <w:spacing w:val="-3"/>
        </w:rPr>
        <w:t> </w:t>
      </w:r>
      <w:r>
        <w:rPr/>
        <w:t>la</w:t>
      </w:r>
      <w:r>
        <w:rPr>
          <w:spacing w:val="-1"/>
        </w:rPr>
        <w:t> </w:t>
      </w:r>
      <w:r>
        <w:rPr/>
        <w:t>acumulación</w:t>
      </w:r>
      <w:r>
        <w:rPr>
          <w:spacing w:val="-3"/>
        </w:rPr>
        <w:t> </w:t>
      </w:r>
      <w:r>
        <w:rPr/>
        <w:t>el</w:t>
      </w:r>
      <w:r>
        <w:rPr>
          <w:spacing w:val="-3"/>
        </w:rPr>
        <w:t> </w:t>
      </w:r>
      <w:r>
        <w:rPr/>
        <w:t>Tribunal</w:t>
      </w:r>
      <w:r>
        <w:rPr>
          <w:spacing w:val="-3"/>
        </w:rPr>
        <w:t> </w:t>
      </w:r>
      <w:r>
        <w:rPr/>
        <w:t>que</w:t>
      </w:r>
      <w:r>
        <w:rPr>
          <w:spacing w:val="-3"/>
        </w:rPr>
        <w:t> </w:t>
      </w:r>
      <w:r>
        <w:rPr/>
        <w:t>hubiere</w:t>
      </w:r>
      <w:r>
        <w:rPr>
          <w:spacing w:val="-2"/>
        </w:rPr>
        <w:t> </w:t>
      </w:r>
      <w:r>
        <w:rPr/>
        <w:t>prevenido;</w:t>
      </w:r>
      <w:r>
        <w:rPr>
          <w:spacing w:val="-2"/>
        </w:rPr>
        <w:t> </w:t>
      </w:r>
      <w:r>
        <w:rPr/>
        <w:t>observándose</w:t>
      </w:r>
      <w:r>
        <w:rPr>
          <w:spacing w:val="-2"/>
        </w:rPr>
        <w:t> </w:t>
      </w:r>
      <w:r>
        <w:rPr/>
        <w:t>en lo conducente, lo dispuesto en el capítulo III de este Título.</w:t>
      </w:r>
    </w:p>
    <w:p>
      <w:pPr>
        <w:pStyle w:val="BodyText"/>
        <w:spacing w:after="0"/>
        <w:sectPr>
          <w:pgSz w:w="12240" w:h="15840"/>
          <w:pgMar w:header="724" w:footer="712" w:top="1880" w:bottom="900" w:left="1080" w:right="1080"/>
        </w:sectPr>
      </w:pPr>
    </w:p>
    <w:p>
      <w:pPr>
        <w:pStyle w:val="BodyText"/>
        <w:rPr>
          <w:sz w:val="22"/>
        </w:rPr>
      </w:pPr>
    </w:p>
    <w:p>
      <w:pPr>
        <w:pStyle w:val="BodyText"/>
        <w:spacing w:before="88"/>
        <w:rPr>
          <w:sz w:val="22"/>
        </w:rPr>
      </w:pPr>
    </w:p>
    <w:p>
      <w:pPr>
        <w:pStyle w:val="Heading1"/>
        <w:ind w:left="0" w:right="0"/>
        <w:jc w:val="right"/>
      </w:pPr>
      <w:r>
        <w:rPr/>
        <w:t>CAPITULO</w:t>
      </w:r>
      <w:r>
        <w:rPr>
          <w:spacing w:val="-7"/>
        </w:rPr>
        <w:t> XI</w:t>
      </w:r>
    </w:p>
    <w:p>
      <w:pPr>
        <w:spacing w:before="0"/>
        <w:ind w:left="744" w:right="333" w:firstLine="844"/>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12"/>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02-07-1976,</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i/>
          <w:sz w:val="16"/>
        </w:rPr>
        <w:sectPr>
          <w:type w:val="continuous"/>
          <w:pgSz w:w="12240" w:h="15840"/>
          <w:pgMar w:header="724" w:footer="712" w:top="1880" w:bottom="900" w:left="1080" w:right="1080"/>
          <w:cols w:num="2" w:equalWidth="0">
            <w:col w:w="5736" w:space="40"/>
            <w:col w:w="4304"/>
          </w:cols>
        </w:sectPr>
      </w:pPr>
    </w:p>
    <w:p>
      <w:pPr>
        <w:pStyle w:val="Heading2"/>
        <w:spacing w:before="1"/>
        <w:ind w:left="296"/>
      </w:pPr>
      <w:r>
        <w:rPr/>
        <w:t>De</w:t>
      </w:r>
      <w:r>
        <w:rPr>
          <w:spacing w:val="-4"/>
        </w:rPr>
        <w:t> </w:t>
      </w:r>
      <w:r>
        <w:rPr/>
        <w:t>la</w:t>
      </w:r>
      <w:r>
        <w:rPr>
          <w:spacing w:val="-2"/>
        </w:rPr>
        <w:t> </w:t>
      </w:r>
      <w:r>
        <w:rPr/>
        <w:t>Continuación</w:t>
      </w:r>
      <w:r>
        <w:rPr>
          <w:spacing w:val="-3"/>
        </w:rPr>
        <w:t> </w:t>
      </w:r>
      <w:r>
        <w:rPr/>
        <w:t>del</w:t>
      </w:r>
      <w:r>
        <w:rPr>
          <w:spacing w:val="-3"/>
        </w:rPr>
        <w:t> </w:t>
      </w:r>
      <w:r>
        <w:rPr/>
        <w:t>Proceso</w:t>
      </w:r>
      <w:r>
        <w:rPr>
          <w:spacing w:val="-3"/>
        </w:rPr>
        <w:t> </w:t>
      </w:r>
      <w:r>
        <w:rPr/>
        <w:t>y</w:t>
      </w:r>
      <w:r>
        <w:rPr>
          <w:spacing w:val="-7"/>
        </w:rPr>
        <w:t> </w:t>
      </w:r>
      <w:r>
        <w:rPr/>
        <w:t>de</w:t>
      </w:r>
      <w:r>
        <w:rPr>
          <w:spacing w:val="-3"/>
        </w:rPr>
        <w:t> </w:t>
      </w:r>
      <w:r>
        <w:rPr/>
        <w:t>la</w:t>
      </w:r>
      <w:r>
        <w:rPr>
          <w:spacing w:val="-2"/>
        </w:rPr>
        <w:t> Caducidad</w:t>
      </w:r>
    </w:p>
    <w:p>
      <w:pPr>
        <w:spacing w:before="1"/>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338" w:right="340" w:firstLine="288"/>
        <w:jc w:val="both"/>
      </w:pPr>
      <w:bookmarkStart w:name="Artículo_771" w:id="981"/>
      <w:bookmarkEnd w:id="981"/>
      <w:r>
        <w:rPr/>
      </w:r>
      <w:r>
        <w:rPr>
          <w:rFonts w:ascii="Arial" w:hAnsi="Arial"/>
          <w:b/>
        </w:rPr>
        <w:t>Artículo 771.- </w:t>
      </w:r>
      <w:r>
        <w:rPr/>
        <w:t>El Tribunal cuidará, bajo su más estricta responsabilidad, que los juicios que ante él se tramiten no queden inactivos, proveyendo lo que conforme a la Ley corresponda hasta dictar sentencia, salvo disposición en contrario.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338" w:right="342" w:firstLine="288"/>
      </w:pPr>
      <w:r>
        <w:rPr/>
        <w:t>En caso de no cumplir lo anterior, se harán acreedores a las sanciones que establezcan las Leyes de responsabilidades administrativas de los servidores públicos.</w:t>
      </w:r>
    </w:p>
    <w:p>
      <w:pPr>
        <w:spacing w:before="0"/>
        <w:ind w:left="6519" w:right="0" w:firstLine="80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02-07-1976,</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3"/>
        <w:rPr>
          <w:rFonts w:ascii="Times New Roman"/>
          <w:i/>
          <w:sz w:val="16"/>
        </w:rPr>
      </w:pPr>
    </w:p>
    <w:p>
      <w:pPr>
        <w:pStyle w:val="BodyText"/>
        <w:spacing w:line="242" w:lineRule="auto" w:before="1"/>
        <w:ind w:left="338" w:right="335" w:firstLine="288"/>
        <w:jc w:val="both"/>
      </w:pPr>
      <w:bookmarkStart w:name="Artículo_772" w:id="982"/>
      <w:bookmarkEnd w:id="982"/>
      <w:r>
        <w:rPr/>
      </w:r>
      <w:r>
        <w:rPr>
          <w:rFonts w:ascii="Arial" w:hAnsi="Arial"/>
          <w:b/>
        </w:rPr>
        <w:t>Artículo 772.- </w:t>
      </w:r>
      <w:r>
        <w:rPr/>
        <w:t>Cuando, para continuar el trámite del juicio en los términos del artículo que antecede, sea necesaria promoción del trabajador y éste no la haya efectuado dentro de un lapso de cuarenta y cinco días naturales, el Tribunal deberá ordenar que se le requiera personalmente para que la presente, apercibiéndolo de que, de no hacerlo, operará la caducidad a que se refiere el artículo siguiente.</w:t>
      </w:r>
    </w:p>
    <w:p>
      <w:pPr>
        <w:pStyle w:val="BodyText"/>
        <w:spacing w:before="222"/>
        <w:ind w:left="338" w:right="339" w:firstLine="288"/>
        <w:jc w:val="both"/>
      </w:pPr>
      <w:r>
        <w:rPr/>
        <w:t>Si el trabajador está patrocinado por un Procurador del Trabajo, el Tribunal notificará el acuerdo de que se trata al trabajador y a la Procuraduría de la Defensa del Trabajo, para los efectos correspondientes. Si no estuviera patrocinado por la Procuraduría, se le hará saber a ésta el acuerdo, para el efecto de que intervenga ante el trabajador y le precise las consecuencias legales de la falta de promoción, así como para que le brinde asesoría legal en caso de que el trabajador se la requiera.</w:t>
      </w:r>
    </w:p>
    <w:p>
      <w:pPr>
        <w:spacing w:line="182" w:lineRule="exact" w:before="0"/>
        <w:ind w:left="56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338" w:right="337" w:firstLine="288"/>
        <w:jc w:val="both"/>
      </w:pPr>
      <w:bookmarkStart w:name="Artículo_773" w:id="983"/>
      <w:bookmarkEnd w:id="983"/>
      <w:r>
        <w:rPr/>
      </w:r>
      <w:r>
        <w:rPr>
          <w:rFonts w:ascii="Arial" w:hAnsi="Arial"/>
          <w:b/>
        </w:rPr>
        <w:t>Artículo 773.- </w:t>
      </w:r>
      <w:r>
        <w:rPr/>
        <w:t>El Tribunal, a petición de parte, tendrá por desistida de la acción intentada a toda persona que no haga promoción alguna en el término de cuatro meses, siempre que esa promoción sea necesaria para la continuación del procedimiento y se haya cumplido lo dispuesto en el artículo anterior. No se considerará que dicho término opera si están desahogadas las pruebas del actor o está pendiente de dictarse resolución sobre alguna promoción de las partes a que se refiere este artículo, o la práctica</w:t>
      </w:r>
      <w:r>
        <w:rPr>
          <w:spacing w:val="40"/>
        </w:rPr>
        <w:t> </w:t>
      </w:r>
      <w:r>
        <w:rPr/>
        <w:t>de alguna diligencia, o se encuentre pendiente de acordarse la devolución de un exhorto o la recepción</w:t>
      </w:r>
      <w:r>
        <w:rPr>
          <w:spacing w:val="40"/>
        </w:rPr>
        <w:t> </w:t>
      </w:r>
      <w:r>
        <w:rPr/>
        <w:t>de informes o copias que se hubiesen solicitado a diversa autoridad dentro del procedimiento.</w:t>
      </w:r>
    </w:p>
    <w:p>
      <w:pPr>
        <w:pStyle w:val="BodyText"/>
        <w:spacing w:after="0"/>
        <w:jc w:val="both"/>
        <w:sectPr>
          <w:type w:val="continuous"/>
          <w:pgSz w:w="12240" w:h="15840"/>
          <w:pgMar w:header="724" w:footer="712" w:top="1880" w:bottom="900" w:left="1080" w:right="1080"/>
        </w:sectPr>
      </w:pPr>
    </w:p>
    <w:p>
      <w:pPr>
        <w:pStyle w:val="BodyText"/>
        <w:spacing w:before="65"/>
      </w:pPr>
    </w:p>
    <w:p>
      <w:pPr>
        <w:pStyle w:val="BodyText"/>
        <w:ind w:left="338" w:right="348" w:firstLine="288"/>
        <w:jc w:val="both"/>
      </w:pPr>
      <w:r>
        <w:rPr/>
        <w:t>Para los</w:t>
      </w:r>
      <w:r>
        <w:rPr>
          <w:spacing w:val="-1"/>
        </w:rPr>
        <w:t> </w:t>
      </w:r>
      <w:r>
        <w:rPr/>
        <w:t>efectos del párrafo</w:t>
      </w:r>
      <w:r>
        <w:rPr>
          <w:spacing w:val="-2"/>
        </w:rPr>
        <w:t> </w:t>
      </w:r>
      <w:r>
        <w:rPr/>
        <w:t>anterior,</w:t>
      </w:r>
      <w:r>
        <w:rPr>
          <w:spacing w:val="-1"/>
        </w:rPr>
        <w:t> </w:t>
      </w:r>
      <w:r>
        <w:rPr/>
        <w:t>el</w:t>
      </w:r>
      <w:r>
        <w:rPr>
          <w:spacing w:val="-3"/>
        </w:rPr>
        <w:t> </w:t>
      </w:r>
      <w:r>
        <w:rPr/>
        <w:t>Tribunal</w:t>
      </w:r>
      <w:r>
        <w:rPr>
          <w:spacing w:val="-3"/>
        </w:rPr>
        <w:t> </w:t>
      </w:r>
      <w:r>
        <w:rPr/>
        <w:t>citará a</w:t>
      </w:r>
      <w:r>
        <w:rPr>
          <w:spacing w:val="-2"/>
        </w:rPr>
        <w:t> </w:t>
      </w:r>
      <w:r>
        <w:rPr/>
        <w:t>las partes</w:t>
      </w:r>
      <w:r>
        <w:rPr>
          <w:spacing w:val="-1"/>
        </w:rPr>
        <w:t> </w:t>
      </w:r>
      <w:r>
        <w:rPr/>
        <w:t>a una</w:t>
      </w:r>
      <w:r>
        <w:rPr>
          <w:spacing w:val="-2"/>
        </w:rPr>
        <w:t> </w:t>
      </w:r>
      <w:r>
        <w:rPr/>
        <w:t>audiencia,</w:t>
      </w:r>
      <w:r>
        <w:rPr>
          <w:spacing w:val="-2"/>
        </w:rPr>
        <w:t> </w:t>
      </w:r>
      <w:r>
        <w:rPr/>
        <w:t>en la que</w:t>
      </w:r>
      <w:r>
        <w:rPr>
          <w:spacing w:val="-2"/>
        </w:rPr>
        <w:t> </w:t>
      </w:r>
      <w:r>
        <w:rPr/>
        <w:t>después de oírlas y recibir las pruebas que ofrezcan, que deberán referirse exclusivamente a la procedencia o improcedencia del desistimiento, dictará resolución.</w:t>
      </w:r>
    </w:p>
    <w:p>
      <w:pPr>
        <w:spacing w:line="183" w:lineRule="exact" w:before="0"/>
        <w:ind w:left="56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34" w:firstLine="288"/>
        <w:jc w:val="both"/>
      </w:pPr>
      <w:bookmarkStart w:name="Artículo_774" w:id="984"/>
      <w:bookmarkEnd w:id="984"/>
      <w:r>
        <w:rPr/>
      </w:r>
      <w:r>
        <w:rPr>
          <w:rFonts w:ascii="Arial" w:hAnsi="Arial"/>
          <w:b/>
        </w:rPr>
        <w:t>Artículo</w:t>
      </w:r>
      <w:r>
        <w:rPr>
          <w:rFonts w:ascii="Arial" w:hAnsi="Arial"/>
          <w:b/>
          <w:spacing w:val="-1"/>
        </w:rPr>
        <w:t> </w:t>
      </w:r>
      <w:r>
        <w:rPr>
          <w:rFonts w:ascii="Arial" w:hAnsi="Arial"/>
          <w:b/>
        </w:rPr>
        <w:t>774.-</w:t>
      </w:r>
      <w:r>
        <w:rPr>
          <w:rFonts w:ascii="Arial" w:hAnsi="Arial"/>
          <w:b/>
          <w:spacing w:val="-1"/>
        </w:rPr>
        <w:t> </w:t>
      </w:r>
      <w:r>
        <w:rPr/>
        <w:t>En</w:t>
      </w:r>
      <w:r>
        <w:rPr>
          <w:spacing w:val="-2"/>
        </w:rPr>
        <w:t> </w:t>
      </w:r>
      <w:r>
        <w:rPr/>
        <w:t>caso</w:t>
      </w:r>
      <w:r>
        <w:rPr>
          <w:spacing w:val="-2"/>
        </w:rPr>
        <w:t> </w:t>
      </w:r>
      <w:r>
        <w:rPr/>
        <w:t>de muerte</w:t>
      </w:r>
      <w:r>
        <w:rPr>
          <w:spacing w:val="-2"/>
        </w:rPr>
        <w:t> </w:t>
      </w:r>
      <w:r>
        <w:rPr/>
        <w:t>del</w:t>
      </w:r>
      <w:r>
        <w:rPr>
          <w:spacing w:val="-3"/>
        </w:rPr>
        <w:t> </w:t>
      </w:r>
      <w:r>
        <w:rPr/>
        <w:t>trabajador,</w:t>
      </w:r>
      <w:r>
        <w:rPr>
          <w:spacing w:val="-1"/>
        </w:rPr>
        <w:t> </w:t>
      </w:r>
      <w:r>
        <w:rPr/>
        <w:t>mientras</w:t>
      </w:r>
      <w:r>
        <w:rPr>
          <w:spacing w:val="-1"/>
        </w:rPr>
        <w:t> </w:t>
      </w:r>
      <w:r>
        <w:rPr/>
        <w:t>tanto</w:t>
      </w:r>
      <w:r>
        <w:rPr>
          <w:spacing w:val="-2"/>
        </w:rPr>
        <w:t> </w:t>
      </w:r>
      <w:r>
        <w:rPr/>
        <w:t>comparecen</w:t>
      </w:r>
      <w:r>
        <w:rPr>
          <w:spacing w:val="-3"/>
        </w:rPr>
        <w:t> </w:t>
      </w:r>
      <w:r>
        <w:rPr/>
        <w:t>a</w:t>
      </w:r>
      <w:r>
        <w:rPr>
          <w:spacing w:val="-2"/>
        </w:rPr>
        <w:t> </w:t>
      </w:r>
      <w:r>
        <w:rPr/>
        <w:t>juicio</w:t>
      </w:r>
      <w:r>
        <w:rPr>
          <w:spacing w:val="-2"/>
        </w:rPr>
        <w:t> </w:t>
      </w:r>
      <w:r>
        <w:rPr/>
        <w:t>sus</w:t>
      </w:r>
      <w:r>
        <w:rPr>
          <w:spacing w:val="-1"/>
        </w:rPr>
        <w:t> </w:t>
      </w:r>
      <w:r>
        <w:rPr/>
        <w:t>beneficiarios, el Tribunal hará la solicitud al Procurador de la Defensa del Trabajo, en los términos y para los efectos a que se refiere el artículo 772 de esta Ley.</w:t>
      </w:r>
    </w:p>
    <w:p>
      <w:pPr>
        <w:spacing w:line="178"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BodyText"/>
        <w:spacing w:line="242" w:lineRule="auto"/>
        <w:ind w:left="338" w:right="338" w:firstLine="288"/>
        <w:jc w:val="both"/>
      </w:pPr>
      <w:bookmarkStart w:name="Artículo_774_Bis" w:id="985"/>
      <w:bookmarkEnd w:id="985"/>
      <w:r>
        <w:rPr/>
      </w:r>
      <w:r>
        <w:rPr>
          <w:rFonts w:ascii="Arial" w:hAnsi="Arial"/>
          <w:b/>
        </w:rPr>
        <w:t>Artículo 774 Bis. </w:t>
      </w:r>
      <w:r>
        <w:rPr/>
        <w:t>En cualquier estado del procedimiento, las partes podrán, mediante la conciliación, celebrar un convenio que ponga fin al juicio; asimismo, el demandado podrá allanarse en todo o en parte a lo reclamado. En el primer supuesto, se dará por terminado el juicio; en el segundo, se continuará el procedimiento por lo pendiente.</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338" w:right="343" w:firstLine="288"/>
        <w:jc w:val="both"/>
      </w:pPr>
      <w:bookmarkStart w:name="Artículo_775" w:id="986"/>
      <w:bookmarkEnd w:id="986"/>
      <w:r>
        <w:rPr/>
      </w:r>
      <w:r>
        <w:rPr>
          <w:rFonts w:ascii="Arial" w:hAnsi="Arial"/>
          <w:b/>
        </w:rPr>
        <w:t>Artículo 775.- </w:t>
      </w:r>
      <w:r>
        <w:rPr/>
        <w:t>El Procurador Auxiliar tendrá las facultades y responsabilidades de un mandatario; deberá presentar las promociones necesarias para la continuación del procedimiento, hasta su total </w:t>
      </w:r>
      <w:r>
        <w:rPr>
          <w:spacing w:val="-2"/>
        </w:rPr>
        <w:t>terminación.</w:t>
      </w:r>
    </w:p>
    <w:p>
      <w:pPr>
        <w:pStyle w:val="BodyText"/>
        <w:spacing w:before="224"/>
        <w:ind w:left="338" w:right="336" w:firstLine="288"/>
        <w:jc w:val="both"/>
      </w:pPr>
      <w:r>
        <w:rPr/>
        <w:t>Reunidos los requisitos a que se refieren los artículos que anteceden, cesará la representación del procurador auxiliar en el juicio en que intervino.</w:t>
      </w:r>
    </w:p>
    <w:p>
      <w:pPr>
        <w:pStyle w:val="BodyText"/>
        <w:spacing w:after="0"/>
        <w:jc w:val="both"/>
        <w:sectPr>
          <w:pgSz w:w="12240" w:h="15840"/>
          <w:pgMar w:header="724" w:footer="712" w:top="1880" w:bottom="900" w:left="1080" w:right="1080"/>
        </w:sectPr>
      </w:pPr>
    </w:p>
    <w:p>
      <w:pPr>
        <w:pStyle w:val="BodyText"/>
        <w:spacing w:before="159"/>
        <w:rPr>
          <w:sz w:val="22"/>
        </w:rPr>
      </w:pPr>
    </w:p>
    <w:p>
      <w:pPr>
        <w:pStyle w:val="Heading1"/>
        <w:spacing w:line="252" w:lineRule="exact"/>
        <w:ind w:left="4313" w:right="0"/>
        <w:jc w:val="left"/>
      </w:pPr>
      <w:r>
        <w:rPr/>
        <w:t>CAPITULO</w:t>
      </w:r>
      <w:r>
        <w:rPr>
          <w:spacing w:val="-9"/>
        </w:rPr>
        <w:t> </w:t>
      </w:r>
      <w:r>
        <w:rPr>
          <w:spacing w:val="-5"/>
        </w:rPr>
        <w:t>XII</w:t>
      </w:r>
    </w:p>
    <w:p>
      <w:pPr>
        <w:pStyle w:val="Heading2"/>
        <w:spacing w:line="252" w:lineRule="exact"/>
        <w:ind w:left="4251" w:right="0"/>
        <w:jc w:val="left"/>
      </w:pPr>
      <w:r>
        <w:rPr/>
        <w:t>De</w:t>
      </w:r>
      <w:r>
        <w:rPr>
          <w:spacing w:val="-1"/>
        </w:rPr>
        <w:t> </w:t>
      </w:r>
      <w:r>
        <w:rPr/>
        <w:t>las</w:t>
      </w:r>
      <w:r>
        <w:rPr>
          <w:spacing w:val="-1"/>
        </w:rPr>
        <w:t> </w:t>
      </w:r>
      <w:r>
        <w:rPr>
          <w:spacing w:val="-2"/>
        </w:rPr>
        <w:t>Pruebas</w:t>
      </w:r>
    </w:p>
    <w:p>
      <w:pPr>
        <w:spacing w:line="183" w:lineRule="exact" w:before="0"/>
        <w:ind w:left="1476"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0"/>
        <w:ind w:left="1397"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i/>
          <w:sz w:val="16"/>
        </w:rPr>
        <w:sectPr>
          <w:type w:val="continuous"/>
          <w:pgSz w:w="12240" w:h="15840"/>
          <w:pgMar w:header="724" w:footer="712" w:top="1880" w:bottom="900" w:left="1080" w:right="1080"/>
          <w:cols w:num="2" w:equalWidth="0">
            <w:col w:w="5832" w:space="40"/>
            <w:col w:w="4208"/>
          </w:cols>
        </w:sectPr>
      </w:pPr>
    </w:p>
    <w:p>
      <w:pPr>
        <w:pStyle w:val="BodyText"/>
        <w:spacing w:before="11"/>
        <w:rPr>
          <w:rFonts w:ascii="Times New Roman"/>
          <w:i/>
          <w:sz w:val="13"/>
        </w:rPr>
      </w:pPr>
    </w:p>
    <w:p>
      <w:pPr>
        <w:pStyle w:val="BodyText"/>
        <w:spacing w:after="0"/>
        <w:rPr>
          <w:rFonts w:ascii="Times New Roman"/>
          <w:i/>
          <w:sz w:val="13"/>
        </w:rPr>
        <w:sectPr>
          <w:type w:val="continuous"/>
          <w:pgSz w:w="12240" w:h="15840"/>
          <w:pgMar w:header="724" w:footer="712" w:top="1880" w:bottom="900" w:left="1080" w:right="1080"/>
        </w:sectPr>
      </w:pPr>
    </w:p>
    <w:p>
      <w:pPr>
        <w:pStyle w:val="Heading2"/>
        <w:spacing w:before="93"/>
        <w:ind w:left="4117" w:right="0" w:firstLine="62"/>
        <w:jc w:val="right"/>
      </w:pPr>
      <w:r>
        <w:rPr/>
        <w:t>Sección Primera Reglas</w:t>
      </w:r>
      <w:r>
        <w:rPr>
          <w:spacing w:val="-6"/>
        </w:rPr>
        <w:t> </w:t>
      </w:r>
      <w:r>
        <w:rPr>
          <w:spacing w:val="-2"/>
        </w:rPr>
        <w:t>Generales</w:t>
      </w:r>
    </w:p>
    <w:p>
      <w:pPr>
        <w:spacing w:line="240" w:lineRule="auto" w:before="0"/>
        <w:rPr>
          <w:rFonts w:ascii="Arial"/>
          <w:b/>
          <w:sz w:val="16"/>
        </w:rPr>
      </w:pPr>
      <w:r>
        <w:rPr/>
        <w:br w:type="column"/>
      </w:r>
      <w:r>
        <w:rPr>
          <w:rFonts w:ascii="Arial"/>
          <w:b/>
          <w:sz w:val="16"/>
        </w:rPr>
      </w:r>
    </w:p>
    <w:p>
      <w:pPr>
        <w:pStyle w:val="BodyText"/>
        <w:rPr>
          <w:rFonts w:ascii="Arial"/>
          <w:b/>
          <w:sz w:val="16"/>
        </w:rPr>
      </w:pPr>
    </w:p>
    <w:p>
      <w:pPr>
        <w:pStyle w:val="BodyText"/>
        <w:spacing w:before="47"/>
        <w:rPr>
          <w:rFonts w:ascii="Arial"/>
          <w:b/>
          <w:sz w:val="16"/>
        </w:rPr>
      </w:pPr>
    </w:p>
    <w:p>
      <w:pPr>
        <w:spacing w:before="0"/>
        <w:ind w:left="1325"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i/>
          <w:sz w:val="16"/>
        </w:rPr>
        <w:sectPr>
          <w:type w:val="continuous"/>
          <w:pgSz w:w="12240" w:h="15840"/>
          <w:pgMar w:header="724" w:footer="712" w:top="1880" w:bottom="900" w:left="1080" w:right="1080"/>
          <w:cols w:num="2" w:equalWidth="0">
            <w:col w:w="5966" w:space="40"/>
            <w:col w:w="4074"/>
          </w:cols>
        </w:sectPr>
      </w:pPr>
    </w:p>
    <w:p>
      <w:pPr>
        <w:pStyle w:val="BodyText"/>
        <w:spacing w:before="1"/>
        <w:rPr>
          <w:rFonts w:ascii="Times New Roman"/>
          <w:i/>
        </w:rPr>
      </w:pPr>
    </w:p>
    <w:p>
      <w:pPr>
        <w:pStyle w:val="BodyText"/>
        <w:spacing w:line="242" w:lineRule="auto" w:before="1"/>
        <w:ind w:left="338" w:right="357" w:firstLine="288"/>
      </w:pPr>
      <w:bookmarkStart w:name="Artículo_776" w:id="987"/>
      <w:bookmarkEnd w:id="987"/>
      <w:r>
        <w:rPr/>
      </w:r>
      <w:r>
        <w:rPr>
          <w:rFonts w:ascii="Arial" w:hAnsi="Arial"/>
          <w:b/>
        </w:rPr>
        <w:t>Artículo 776.- </w:t>
      </w:r>
      <w:r>
        <w:rPr/>
        <w:t>Son admisibles en el proceso todos los medios de prueba que no sean contrarios a la moral y al derecho, y en especial los siguientes:</w:t>
      </w:r>
    </w:p>
    <w:p>
      <w:pPr>
        <w:pStyle w:val="ListParagraph"/>
        <w:numPr>
          <w:ilvl w:val="0"/>
          <w:numId w:val="305"/>
        </w:numPr>
        <w:tabs>
          <w:tab w:pos="1195" w:val="left" w:leader="none"/>
        </w:tabs>
        <w:spacing w:line="240" w:lineRule="auto" w:before="224" w:after="0"/>
        <w:ind w:left="1195" w:right="0" w:hanging="569"/>
        <w:jc w:val="left"/>
        <w:rPr>
          <w:sz w:val="20"/>
        </w:rPr>
      </w:pPr>
      <w:r>
        <w:rPr>
          <w:spacing w:val="-2"/>
          <w:sz w:val="20"/>
        </w:rPr>
        <w:t>Confesional;</w:t>
      </w:r>
    </w:p>
    <w:p>
      <w:pPr>
        <w:pStyle w:val="BodyText"/>
      </w:pPr>
    </w:p>
    <w:p>
      <w:pPr>
        <w:pStyle w:val="ListParagraph"/>
        <w:numPr>
          <w:ilvl w:val="0"/>
          <w:numId w:val="305"/>
        </w:numPr>
        <w:tabs>
          <w:tab w:pos="1195" w:val="left" w:leader="none"/>
        </w:tabs>
        <w:spacing w:line="240" w:lineRule="auto" w:before="1" w:after="0"/>
        <w:ind w:left="1195" w:right="0" w:hanging="569"/>
        <w:jc w:val="left"/>
        <w:rPr>
          <w:sz w:val="20"/>
        </w:rPr>
      </w:pPr>
      <w:r>
        <w:rPr>
          <w:spacing w:val="-2"/>
          <w:sz w:val="20"/>
        </w:rPr>
        <w:t>Documental;</w:t>
      </w:r>
    </w:p>
    <w:p>
      <w:pPr>
        <w:pStyle w:val="BodyText"/>
      </w:pPr>
    </w:p>
    <w:p>
      <w:pPr>
        <w:pStyle w:val="ListParagraph"/>
        <w:numPr>
          <w:ilvl w:val="0"/>
          <w:numId w:val="305"/>
        </w:numPr>
        <w:tabs>
          <w:tab w:pos="1195" w:val="left" w:leader="none"/>
        </w:tabs>
        <w:spacing w:line="240" w:lineRule="auto" w:before="0" w:after="0"/>
        <w:ind w:left="1195" w:right="0" w:hanging="569"/>
        <w:jc w:val="left"/>
        <w:rPr>
          <w:sz w:val="20"/>
        </w:rPr>
      </w:pPr>
      <w:r>
        <w:rPr>
          <w:spacing w:val="-2"/>
          <w:sz w:val="20"/>
        </w:rPr>
        <w:t>Testimonial;</w:t>
      </w:r>
    </w:p>
    <w:p>
      <w:pPr>
        <w:pStyle w:val="ListParagraph"/>
        <w:numPr>
          <w:ilvl w:val="0"/>
          <w:numId w:val="305"/>
        </w:numPr>
        <w:tabs>
          <w:tab w:pos="1195" w:val="left" w:leader="none"/>
        </w:tabs>
        <w:spacing w:line="240" w:lineRule="auto" w:before="229" w:after="0"/>
        <w:ind w:left="1195" w:right="0" w:hanging="569"/>
        <w:jc w:val="left"/>
        <w:rPr>
          <w:sz w:val="20"/>
        </w:rPr>
      </w:pPr>
      <w:r>
        <w:rPr>
          <w:spacing w:val="-2"/>
          <w:sz w:val="20"/>
        </w:rPr>
        <w:t>Pericial;</w:t>
      </w:r>
    </w:p>
    <w:p>
      <w:pPr>
        <w:pStyle w:val="BodyText"/>
        <w:spacing w:before="1"/>
      </w:pPr>
    </w:p>
    <w:p>
      <w:pPr>
        <w:pStyle w:val="ListParagraph"/>
        <w:numPr>
          <w:ilvl w:val="0"/>
          <w:numId w:val="305"/>
        </w:numPr>
        <w:tabs>
          <w:tab w:pos="1195" w:val="left" w:leader="none"/>
        </w:tabs>
        <w:spacing w:line="240" w:lineRule="auto" w:before="0" w:after="0"/>
        <w:ind w:left="1195" w:right="0" w:hanging="569"/>
        <w:jc w:val="left"/>
        <w:rPr>
          <w:sz w:val="20"/>
        </w:rPr>
      </w:pPr>
      <w:r>
        <w:rPr>
          <w:spacing w:val="-2"/>
          <w:sz w:val="20"/>
        </w:rPr>
        <w:t>Inspección;</w:t>
      </w:r>
    </w:p>
    <w:p>
      <w:pPr>
        <w:pStyle w:val="BodyText"/>
        <w:spacing w:before="1"/>
      </w:pPr>
    </w:p>
    <w:p>
      <w:pPr>
        <w:pStyle w:val="ListParagraph"/>
        <w:numPr>
          <w:ilvl w:val="0"/>
          <w:numId w:val="305"/>
        </w:numPr>
        <w:tabs>
          <w:tab w:pos="1195" w:val="left" w:leader="none"/>
        </w:tabs>
        <w:spacing w:line="240" w:lineRule="auto" w:before="0" w:after="0"/>
        <w:ind w:left="1195" w:right="0" w:hanging="569"/>
        <w:jc w:val="left"/>
        <w:rPr>
          <w:sz w:val="20"/>
        </w:rPr>
      </w:pPr>
      <w:r>
        <w:rPr>
          <w:spacing w:val="-2"/>
          <w:sz w:val="20"/>
        </w:rPr>
        <w:t>Presuncional;</w:t>
      </w:r>
    </w:p>
    <w:p>
      <w:pPr>
        <w:pStyle w:val="ListParagraph"/>
        <w:numPr>
          <w:ilvl w:val="0"/>
          <w:numId w:val="305"/>
        </w:numPr>
        <w:tabs>
          <w:tab w:pos="1195" w:val="left" w:leader="none"/>
        </w:tabs>
        <w:spacing w:line="240" w:lineRule="auto" w:before="229" w:after="0"/>
        <w:ind w:left="1195" w:right="0" w:hanging="569"/>
        <w:jc w:val="left"/>
        <w:rPr>
          <w:sz w:val="20"/>
        </w:rPr>
      </w:pPr>
      <w:r>
        <w:rPr>
          <w:sz w:val="20"/>
        </w:rPr>
        <w:t>Instrumental</w:t>
      </w:r>
      <w:r>
        <w:rPr>
          <w:spacing w:val="-11"/>
          <w:sz w:val="20"/>
        </w:rPr>
        <w:t> </w:t>
      </w:r>
      <w:r>
        <w:rPr>
          <w:sz w:val="20"/>
        </w:rPr>
        <w:t>de</w:t>
      </w:r>
      <w:r>
        <w:rPr>
          <w:spacing w:val="-7"/>
          <w:sz w:val="20"/>
        </w:rPr>
        <w:t> </w:t>
      </w:r>
      <w:r>
        <w:rPr>
          <w:sz w:val="20"/>
        </w:rPr>
        <w:t>actuaciones;</w:t>
      </w:r>
      <w:r>
        <w:rPr>
          <w:spacing w:val="-8"/>
          <w:sz w:val="20"/>
        </w:rPr>
        <w:t> </w:t>
      </w:r>
      <w:r>
        <w:rPr>
          <w:spacing w:val="-10"/>
          <w:sz w:val="20"/>
        </w:rPr>
        <w:t>y</w:t>
      </w:r>
    </w:p>
    <w:p>
      <w:pPr>
        <w:pStyle w:val="BodyText"/>
      </w:pPr>
    </w:p>
    <w:p>
      <w:pPr>
        <w:pStyle w:val="ListParagraph"/>
        <w:numPr>
          <w:ilvl w:val="0"/>
          <w:numId w:val="305"/>
        </w:numPr>
        <w:tabs>
          <w:tab w:pos="1193" w:val="left" w:leader="none"/>
          <w:tab w:pos="1195" w:val="left" w:leader="none"/>
        </w:tabs>
        <w:spacing w:line="240" w:lineRule="auto" w:before="0" w:after="0"/>
        <w:ind w:left="1195" w:right="337" w:hanging="569"/>
        <w:jc w:val="both"/>
        <w:rPr>
          <w:sz w:val="20"/>
        </w:rPr>
      </w:pPr>
      <w:r>
        <w:rPr>
          <w:sz w:val="20"/>
        </w:rPr>
        <w:t>Fotografías, cintas cinematográficas, registros dactiloscópicos, grabaciones de audio y de</w:t>
      </w:r>
      <w:r>
        <w:rPr>
          <w:spacing w:val="80"/>
          <w:sz w:val="20"/>
        </w:rPr>
        <w:t> </w:t>
      </w:r>
      <w:r>
        <w:rPr>
          <w:sz w:val="20"/>
        </w:rPr>
        <w:t>video, o las distintas tecnologías de la información y la comunicación, tales como sistemas informáticos,</w:t>
      </w:r>
      <w:r>
        <w:rPr>
          <w:spacing w:val="40"/>
          <w:sz w:val="20"/>
        </w:rPr>
        <w:t> </w:t>
      </w:r>
      <w:r>
        <w:rPr>
          <w:sz w:val="20"/>
        </w:rPr>
        <w:t>medios</w:t>
      </w:r>
      <w:r>
        <w:rPr>
          <w:spacing w:val="40"/>
          <w:sz w:val="20"/>
        </w:rPr>
        <w:t> </w:t>
      </w:r>
      <w:r>
        <w:rPr>
          <w:sz w:val="20"/>
        </w:rPr>
        <w:t>electrónicos</w:t>
      </w:r>
      <w:r>
        <w:rPr>
          <w:spacing w:val="40"/>
          <w:sz w:val="20"/>
        </w:rPr>
        <w:t> </w:t>
      </w:r>
      <w:r>
        <w:rPr>
          <w:sz w:val="20"/>
        </w:rPr>
        <w:t>ópticos,</w:t>
      </w:r>
      <w:r>
        <w:rPr>
          <w:spacing w:val="40"/>
          <w:sz w:val="20"/>
        </w:rPr>
        <w:t> </w:t>
      </w:r>
      <w:r>
        <w:rPr>
          <w:sz w:val="20"/>
        </w:rPr>
        <w:t>fax,</w:t>
      </w:r>
      <w:r>
        <w:rPr>
          <w:spacing w:val="66"/>
          <w:sz w:val="20"/>
        </w:rPr>
        <w:t> </w:t>
      </w:r>
      <w:r>
        <w:rPr>
          <w:sz w:val="20"/>
        </w:rPr>
        <w:t>correo</w:t>
      </w:r>
      <w:r>
        <w:rPr>
          <w:spacing w:val="40"/>
          <w:sz w:val="20"/>
        </w:rPr>
        <w:t> </w:t>
      </w:r>
      <w:r>
        <w:rPr>
          <w:sz w:val="20"/>
        </w:rPr>
        <w:t>electrónico,</w:t>
      </w:r>
      <w:r>
        <w:rPr>
          <w:spacing w:val="40"/>
          <w:sz w:val="20"/>
        </w:rPr>
        <w:t> </w:t>
      </w:r>
      <w:r>
        <w:rPr>
          <w:sz w:val="20"/>
        </w:rPr>
        <w:t>documento</w:t>
      </w:r>
      <w:r>
        <w:rPr>
          <w:spacing w:val="40"/>
          <w:sz w:val="20"/>
        </w:rPr>
        <w:t> </w:t>
      </w:r>
      <w:r>
        <w:rPr>
          <w:sz w:val="20"/>
        </w:rPr>
        <w:t>digital,</w:t>
      </w:r>
      <w:r>
        <w:rPr>
          <w:spacing w:val="40"/>
          <w:sz w:val="20"/>
        </w:rPr>
        <w:t> </w:t>
      </w:r>
      <w:r>
        <w:rPr>
          <w:sz w:val="20"/>
        </w:rPr>
        <w:t>firma</w:t>
      </w:r>
    </w:p>
    <w:p>
      <w:pPr>
        <w:pStyle w:val="ListParagraph"/>
        <w:spacing w:after="0" w:line="240" w:lineRule="auto"/>
        <w:jc w:val="both"/>
        <w:rPr>
          <w:sz w:val="20"/>
        </w:rPr>
        <w:sectPr>
          <w:type w:val="continuous"/>
          <w:pgSz w:w="12240" w:h="15840"/>
          <w:pgMar w:header="724" w:footer="712" w:top="1880" w:bottom="900" w:left="1080" w:right="1080"/>
        </w:sectPr>
      </w:pPr>
    </w:p>
    <w:p>
      <w:pPr>
        <w:pStyle w:val="BodyText"/>
        <w:spacing w:before="65"/>
      </w:pPr>
    </w:p>
    <w:p>
      <w:pPr>
        <w:pStyle w:val="BodyText"/>
        <w:ind w:left="1195" w:right="342"/>
      </w:pPr>
      <w:r>
        <w:rPr/>
        <w:t>electrónica</w:t>
      </w:r>
      <w:r>
        <w:rPr>
          <w:spacing w:val="32"/>
        </w:rPr>
        <w:t> </w:t>
      </w:r>
      <w:r>
        <w:rPr/>
        <w:t>o</w:t>
      </w:r>
      <w:r>
        <w:rPr>
          <w:spacing w:val="32"/>
        </w:rPr>
        <w:t> </w:t>
      </w:r>
      <w:r>
        <w:rPr/>
        <w:t>contraseña</w:t>
      </w:r>
      <w:r>
        <w:rPr>
          <w:spacing w:val="37"/>
        </w:rPr>
        <w:t> </w:t>
      </w:r>
      <w:r>
        <w:rPr/>
        <w:t>y,</w:t>
      </w:r>
      <w:r>
        <w:rPr>
          <w:spacing w:val="33"/>
        </w:rPr>
        <w:t> </w:t>
      </w:r>
      <w:r>
        <w:rPr/>
        <w:t>en</w:t>
      </w:r>
      <w:r>
        <w:rPr>
          <w:spacing w:val="32"/>
        </w:rPr>
        <w:t> </w:t>
      </w:r>
      <w:r>
        <w:rPr/>
        <w:t>general,</w:t>
      </w:r>
      <w:r>
        <w:rPr>
          <w:spacing w:val="33"/>
        </w:rPr>
        <w:t> </w:t>
      </w:r>
      <w:r>
        <w:rPr/>
        <w:t>los</w:t>
      </w:r>
      <w:r>
        <w:rPr>
          <w:spacing w:val="33"/>
        </w:rPr>
        <w:t> </w:t>
      </w:r>
      <w:r>
        <w:rPr/>
        <w:t>medios</w:t>
      </w:r>
      <w:r>
        <w:rPr>
          <w:spacing w:val="33"/>
        </w:rPr>
        <w:t> </w:t>
      </w:r>
      <w:r>
        <w:rPr/>
        <w:t>aportados</w:t>
      </w:r>
      <w:r>
        <w:rPr>
          <w:spacing w:val="34"/>
        </w:rPr>
        <w:t> </w:t>
      </w:r>
      <w:r>
        <w:rPr/>
        <w:t>por</w:t>
      </w:r>
      <w:r>
        <w:rPr>
          <w:spacing w:val="33"/>
        </w:rPr>
        <w:t> </w:t>
      </w:r>
      <w:r>
        <w:rPr/>
        <w:t>los</w:t>
      </w:r>
      <w:r>
        <w:rPr>
          <w:spacing w:val="33"/>
        </w:rPr>
        <w:t> </w:t>
      </w:r>
      <w:r>
        <w:rPr/>
        <w:t>descubrimientos</w:t>
      </w:r>
      <w:r>
        <w:rPr>
          <w:spacing w:val="33"/>
        </w:rPr>
        <w:t> </w:t>
      </w:r>
      <w:r>
        <w:rPr/>
        <w:t>de</w:t>
      </w:r>
      <w:r>
        <w:rPr>
          <w:spacing w:val="32"/>
        </w:rPr>
        <w:t> </w:t>
      </w:r>
      <w:r>
        <w:rPr/>
        <w:t>la </w:t>
      </w:r>
      <w:r>
        <w:rPr>
          <w:spacing w:val="-2"/>
        </w:rPr>
        <w:t>ciencia.</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305"/>
        </w:numPr>
        <w:tabs>
          <w:tab w:pos="1195" w:val="left" w:leader="none"/>
        </w:tabs>
        <w:spacing w:line="229" w:lineRule="exact" w:before="0" w:after="0"/>
        <w:ind w:left="1195" w:right="0" w:hanging="569"/>
        <w:jc w:val="left"/>
        <w:rPr>
          <w:sz w:val="20"/>
        </w:rPr>
      </w:pPr>
      <w:r>
        <w:rPr>
          <w:sz w:val="20"/>
        </w:rPr>
        <w:t>Las</w:t>
      </w:r>
      <w:r>
        <w:rPr>
          <w:spacing w:val="-8"/>
          <w:sz w:val="20"/>
        </w:rPr>
        <w:t> </w:t>
      </w:r>
      <w:r>
        <w:rPr>
          <w:sz w:val="20"/>
        </w:rPr>
        <w:t>Constancias</w:t>
      </w:r>
      <w:r>
        <w:rPr>
          <w:spacing w:val="-5"/>
          <w:sz w:val="20"/>
        </w:rPr>
        <w:t> </w:t>
      </w:r>
      <w:r>
        <w:rPr>
          <w:sz w:val="20"/>
        </w:rPr>
        <w:t>de</w:t>
      </w:r>
      <w:r>
        <w:rPr>
          <w:spacing w:val="-9"/>
          <w:sz w:val="20"/>
        </w:rPr>
        <w:t> </w:t>
      </w:r>
      <w:r>
        <w:rPr>
          <w:sz w:val="20"/>
        </w:rPr>
        <w:t>notificación</w:t>
      </w:r>
      <w:r>
        <w:rPr>
          <w:spacing w:val="-8"/>
          <w:sz w:val="20"/>
        </w:rPr>
        <w:t> </w:t>
      </w:r>
      <w:r>
        <w:rPr>
          <w:sz w:val="20"/>
        </w:rPr>
        <w:t>hechas</w:t>
      </w:r>
      <w:r>
        <w:rPr>
          <w:spacing w:val="-7"/>
          <w:sz w:val="20"/>
        </w:rPr>
        <w:t> </w:t>
      </w:r>
      <w:r>
        <w:rPr>
          <w:sz w:val="20"/>
        </w:rPr>
        <w:t>a</w:t>
      </w:r>
      <w:r>
        <w:rPr>
          <w:spacing w:val="-7"/>
          <w:sz w:val="20"/>
        </w:rPr>
        <w:t> </w:t>
      </w:r>
      <w:r>
        <w:rPr>
          <w:sz w:val="20"/>
        </w:rPr>
        <w:t>través</w:t>
      </w:r>
      <w:r>
        <w:rPr>
          <w:spacing w:val="-7"/>
          <w:sz w:val="20"/>
        </w:rPr>
        <w:t> </w:t>
      </w:r>
      <w:r>
        <w:rPr>
          <w:sz w:val="20"/>
        </w:rPr>
        <w:t>del</w:t>
      </w:r>
      <w:r>
        <w:rPr>
          <w:spacing w:val="-8"/>
          <w:sz w:val="20"/>
        </w:rPr>
        <w:t> </w:t>
      </w:r>
      <w:r>
        <w:rPr>
          <w:sz w:val="20"/>
        </w:rPr>
        <w:t>Buzón</w:t>
      </w:r>
      <w:r>
        <w:rPr>
          <w:spacing w:val="-8"/>
          <w:sz w:val="20"/>
        </w:rPr>
        <w:t> </w:t>
      </w:r>
      <w:r>
        <w:rPr>
          <w:sz w:val="20"/>
        </w:rPr>
        <w:t>Electrónico,</w:t>
      </w:r>
      <w:r>
        <w:rPr>
          <w:spacing w:val="2"/>
          <w:sz w:val="20"/>
        </w:rPr>
        <w:t> </w:t>
      </w:r>
      <w:r>
        <w:rPr>
          <w:spacing w:val="-10"/>
          <w:sz w:val="20"/>
        </w:rPr>
        <w:t>y</w:t>
      </w:r>
    </w:p>
    <w:p>
      <w:pPr>
        <w:spacing w:line="183"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sz w:val="12"/>
        </w:rPr>
      </w:pPr>
    </w:p>
    <w:p>
      <w:pPr>
        <w:pStyle w:val="BodyText"/>
        <w:spacing w:after="0"/>
        <w:rPr>
          <w:rFonts w:ascii="Times New Roman"/>
          <w:i/>
          <w:sz w:val="12"/>
        </w:rPr>
        <w:sectPr>
          <w:pgSz w:w="12240" w:h="15840"/>
          <w:pgMar w:header="724" w:footer="712" w:top="1880" w:bottom="900" w:left="1080" w:right="1080"/>
        </w:sectPr>
      </w:pPr>
    </w:p>
    <w:p>
      <w:pPr>
        <w:pStyle w:val="ListParagraph"/>
        <w:numPr>
          <w:ilvl w:val="0"/>
          <w:numId w:val="305"/>
        </w:numPr>
        <w:tabs>
          <w:tab w:pos="1195" w:val="left" w:leader="none"/>
        </w:tabs>
        <w:spacing w:line="240" w:lineRule="auto" w:before="93" w:after="0"/>
        <w:ind w:left="1195" w:right="0" w:hanging="569"/>
        <w:jc w:val="left"/>
        <w:rPr>
          <w:sz w:val="20"/>
        </w:rPr>
      </w:pPr>
      <w:r>
        <w:rPr>
          <w:sz w:val="20"/>
        </w:rPr>
        <w:t>Los</w:t>
      </w:r>
      <w:r>
        <w:rPr>
          <w:spacing w:val="-6"/>
          <w:sz w:val="20"/>
        </w:rPr>
        <w:t> </w:t>
      </w:r>
      <w:r>
        <w:rPr>
          <w:sz w:val="20"/>
        </w:rPr>
        <w:t>recibos</w:t>
      </w:r>
      <w:r>
        <w:rPr>
          <w:spacing w:val="-6"/>
          <w:sz w:val="20"/>
        </w:rPr>
        <w:t> </w:t>
      </w:r>
      <w:r>
        <w:rPr>
          <w:sz w:val="20"/>
        </w:rPr>
        <w:t>de</w:t>
      </w:r>
      <w:r>
        <w:rPr>
          <w:spacing w:val="-6"/>
          <w:sz w:val="20"/>
        </w:rPr>
        <w:t> </w:t>
      </w:r>
      <w:r>
        <w:rPr>
          <w:sz w:val="20"/>
        </w:rPr>
        <w:t>nómina</w:t>
      </w:r>
      <w:r>
        <w:rPr>
          <w:spacing w:val="-8"/>
          <w:sz w:val="20"/>
        </w:rPr>
        <w:t> </w:t>
      </w:r>
      <w:r>
        <w:rPr>
          <w:sz w:val="20"/>
        </w:rPr>
        <w:t>con</w:t>
      </w:r>
      <w:r>
        <w:rPr>
          <w:spacing w:val="-6"/>
          <w:sz w:val="20"/>
        </w:rPr>
        <w:t> </w:t>
      </w:r>
      <w:r>
        <w:rPr>
          <w:sz w:val="20"/>
        </w:rPr>
        <w:t>sello</w:t>
      </w:r>
      <w:r>
        <w:rPr>
          <w:spacing w:val="-5"/>
          <w:sz w:val="20"/>
        </w:rPr>
        <w:t> </w:t>
      </w:r>
      <w:r>
        <w:rPr>
          <w:spacing w:val="-2"/>
          <w:sz w:val="20"/>
        </w:rPr>
        <w:t>digital.</w:t>
      </w:r>
    </w:p>
    <w:p>
      <w:pPr>
        <w:spacing w:line="240" w:lineRule="auto" w:before="139"/>
        <w:rPr>
          <w:sz w:val="16"/>
        </w:rPr>
      </w:pPr>
      <w:r>
        <w:rPr/>
        <w:br w:type="column"/>
      </w:r>
      <w:r>
        <w:rPr>
          <w:sz w:val="16"/>
        </w:rPr>
      </w:r>
    </w:p>
    <w:p>
      <w:pPr>
        <w:spacing w:before="0"/>
        <w:ind w:left="732" w:right="333" w:hanging="106"/>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i/>
          <w:sz w:val="16"/>
        </w:rPr>
        <w:sectPr>
          <w:type w:val="continuous"/>
          <w:pgSz w:w="12240" w:h="15840"/>
          <w:pgMar w:header="724" w:footer="712" w:top="1880" w:bottom="900" w:left="1080" w:right="1080"/>
          <w:cols w:num="2" w:equalWidth="0">
            <w:col w:w="4720" w:space="1895"/>
            <w:col w:w="3465"/>
          </w:cols>
        </w:sectPr>
      </w:pPr>
    </w:p>
    <w:p>
      <w:pPr>
        <w:pStyle w:val="BodyText"/>
        <w:spacing w:line="242" w:lineRule="auto" w:before="230"/>
        <w:ind w:left="338" w:firstLine="288"/>
      </w:pPr>
      <w:bookmarkStart w:name="Artículo_777" w:id="988"/>
      <w:bookmarkEnd w:id="988"/>
      <w:r>
        <w:rPr/>
      </w:r>
      <w:r>
        <w:rPr>
          <w:rFonts w:ascii="Arial" w:hAnsi="Arial"/>
          <w:b/>
        </w:rPr>
        <w:t>Artículo</w:t>
      </w:r>
      <w:r>
        <w:rPr>
          <w:rFonts w:ascii="Arial" w:hAnsi="Arial"/>
          <w:b/>
          <w:spacing w:val="40"/>
        </w:rPr>
        <w:t> </w:t>
      </w:r>
      <w:r>
        <w:rPr>
          <w:rFonts w:ascii="Arial" w:hAnsi="Arial"/>
          <w:b/>
        </w:rPr>
        <w:t>777.-</w:t>
      </w:r>
      <w:r>
        <w:rPr>
          <w:rFonts w:ascii="Arial" w:hAnsi="Arial"/>
          <w:b/>
          <w:spacing w:val="40"/>
        </w:rPr>
        <w:t> </w:t>
      </w:r>
      <w:r>
        <w:rPr/>
        <w:t>Las</w:t>
      </w:r>
      <w:r>
        <w:rPr>
          <w:spacing w:val="40"/>
        </w:rPr>
        <w:t> </w:t>
      </w:r>
      <w:r>
        <w:rPr/>
        <w:t>pruebas</w:t>
      </w:r>
      <w:r>
        <w:rPr>
          <w:spacing w:val="40"/>
        </w:rPr>
        <w:t> </w:t>
      </w:r>
      <w:r>
        <w:rPr/>
        <w:t>deben</w:t>
      </w:r>
      <w:r>
        <w:rPr>
          <w:spacing w:val="40"/>
        </w:rPr>
        <w:t> </w:t>
      </w:r>
      <w:r>
        <w:rPr/>
        <w:t>referirse</w:t>
      </w:r>
      <w:r>
        <w:rPr>
          <w:spacing w:val="40"/>
        </w:rPr>
        <w:t> </w:t>
      </w:r>
      <w:r>
        <w:rPr/>
        <w:t>a</w:t>
      </w:r>
      <w:r>
        <w:rPr>
          <w:spacing w:val="40"/>
        </w:rPr>
        <w:t> </w:t>
      </w:r>
      <w:r>
        <w:rPr/>
        <w:t>los</w:t>
      </w:r>
      <w:r>
        <w:rPr>
          <w:spacing w:val="40"/>
        </w:rPr>
        <w:t> </w:t>
      </w:r>
      <w:r>
        <w:rPr/>
        <w:t>hechos</w:t>
      </w:r>
      <w:r>
        <w:rPr>
          <w:spacing w:val="40"/>
        </w:rPr>
        <w:t> </w:t>
      </w:r>
      <w:r>
        <w:rPr/>
        <w:t>controvertidos</w:t>
      </w:r>
      <w:r>
        <w:rPr>
          <w:spacing w:val="40"/>
        </w:rPr>
        <w:t> </w:t>
      </w:r>
      <w:r>
        <w:rPr/>
        <w:t>cuando</w:t>
      </w:r>
      <w:r>
        <w:rPr>
          <w:spacing w:val="40"/>
        </w:rPr>
        <w:t> </w:t>
      </w:r>
      <w:r>
        <w:rPr/>
        <w:t>no</w:t>
      </w:r>
      <w:r>
        <w:rPr>
          <w:spacing w:val="40"/>
        </w:rPr>
        <w:t> </w:t>
      </w:r>
      <w:r>
        <w:rPr/>
        <w:t>hayan</w:t>
      </w:r>
      <w:r>
        <w:rPr>
          <w:spacing w:val="40"/>
        </w:rPr>
        <w:t> </w:t>
      </w:r>
      <w:r>
        <w:rPr/>
        <w:t>sido</w:t>
      </w:r>
      <w:r>
        <w:rPr>
          <w:spacing w:val="40"/>
        </w:rPr>
        <w:t> </w:t>
      </w:r>
      <w:r>
        <w:rPr/>
        <w:t>confesados por las partes.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ind w:left="338" w:right="343" w:firstLine="288"/>
        <w:jc w:val="both"/>
      </w:pPr>
      <w:bookmarkStart w:name="Artículo_778" w:id="989"/>
      <w:bookmarkEnd w:id="989"/>
      <w:r>
        <w:rPr/>
      </w:r>
      <w:r>
        <w:rPr>
          <w:rFonts w:ascii="Arial" w:hAnsi="Arial"/>
          <w:b/>
        </w:rPr>
        <w:t>Artículo 778.- </w:t>
      </w:r>
      <w:r>
        <w:rPr/>
        <w:t>Las pruebas deberán ofrecerse conforme a lo previsto para cada uno de los procedimientos regulados por esta Ley.</w:t>
      </w:r>
    </w:p>
    <w:p>
      <w:pPr>
        <w:pStyle w:val="BodyText"/>
        <w:spacing w:before="227"/>
        <w:ind w:left="338" w:right="336" w:firstLine="288"/>
        <w:jc w:val="both"/>
      </w:pPr>
      <w:r>
        <w:rPr/>
        <w:t>Las pruebas que se refieran a hechos supervenientes, podrán ofrecerse hasta antes de emitir sentencia, dentro de los tres días siguientes en que se tenga conocimiento de los mismos. El Tribunal deberá dar vista con dichas pruebas a las demás partes para que manifiesten lo que a su derecho e interés convenga y en su caso formulen las objeciones correspondientes; de ser necesario, se señalará día y hora para su desahogo en audiencia.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30-01-1980.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right="339" w:firstLine="288"/>
        <w:jc w:val="both"/>
      </w:pPr>
      <w:bookmarkStart w:name="Artículo_779" w:id="990"/>
      <w:bookmarkEnd w:id="990"/>
      <w:r>
        <w:rPr/>
      </w:r>
      <w:r>
        <w:rPr>
          <w:rFonts w:ascii="Arial" w:hAnsi="Arial"/>
          <w:b/>
        </w:rPr>
        <w:t>Artículo 779.- </w:t>
      </w:r>
      <w:r>
        <w:rPr/>
        <w:t>El Tribunal desechará aquellas pruebas que no tengan relación con la litis planteada o resulten inútiles o intrascendentes, expresando el motivo de ello.</w:t>
      </w:r>
    </w:p>
    <w:p>
      <w:pPr>
        <w:spacing w:line="181"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firstLine="288"/>
      </w:pPr>
      <w:bookmarkStart w:name="Artículo_780" w:id="991"/>
      <w:bookmarkEnd w:id="991"/>
      <w:r>
        <w:rPr/>
      </w:r>
      <w:r>
        <w:rPr>
          <w:rFonts w:ascii="Arial" w:hAnsi="Arial"/>
          <w:b/>
        </w:rPr>
        <w:t>Artículo</w:t>
      </w:r>
      <w:r>
        <w:rPr>
          <w:rFonts w:ascii="Arial" w:hAnsi="Arial"/>
          <w:b/>
          <w:spacing w:val="25"/>
        </w:rPr>
        <w:t> </w:t>
      </w:r>
      <w:r>
        <w:rPr>
          <w:rFonts w:ascii="Arial" w:hAnsi="Arial"/>
          <w:b/>
        </w:rPr>
        <w:t>780.-</w:t>
      </w:r>
      <w:r>
        <w:rPr>
          <w:rFonts w:ascii="Arial" w:hAnsi="Arial"/>
          <w:b/>
          <w:spacing w:val="23"/>
        </w:rPr>
        <w:t> </w:t>
      </w:r>
      <w:r>
        <w:rPr/>
        <w:t>Las</w:t>
      </w:r>
      <w:r>
        <w:rPr>
          <w:spacing w:val="23"/>
        </w:rPr>
        <w:t> </w:t>
      </w:r>
      <w:r>
        <w:rPr/>
        <w:t>pruebas</w:t>
      </w:r>
      <w:r>
        <w:rPr>
          <w:spacing w:val="23"/>
        </w:rPr>
        <w:t> </w:t>
      </w:r>
      <w:r>
        <w:rPr/>
        <w:t>se ofrecerán</w:t>
      </w:r>
      <w:r>
        <w:rPr>
          <w:spacing w:val="24"/>
        </w:rPr>
        <w:t> </w:t>
      </w:r>
      <w:r>
        <w:rPr/>
        <w:t>acompañadas</w:t>
      </w:r>
      <w:r>
        <w:rPr>
          <w:spacing w:val="23"/>
        </w:rPr>
        <w:t> </w:t>
      </w:r>
      <w:r>
        <w:rPr/>
        <w:t>de</w:t>
      </w:r>
      <w:r>
        <w:rPr>
          <w:spacing w:val="24"/>
        </w:rPr>
        <w:t> </w:t>
      </w:r>
      <w:r>
        <w:rPr/>
        <w:t>todos</w:t>
      </w:r>
      <w:r>
        <w:rPr>
          <w:spacing w:val="25"/>
        </w:rPr>
        <w:t> </w:t>
      </w:r>
      <w:r>
        <w:rPr/>
        <w:t>los</w:t>
      </w:r>
      <w:r>
        <w:rPr>
          <w:spacing w:val="25"/>
        </w:rPr>
        <w:t> </w:t>
      </w:r>
      <w:r>
        <w:rPr/>
        <w:t>elementos</w:t>
      </w:r>
      <w:r>
        <w:rPr>
          <w:spacing w:val="25"/>
        </w:rPr>
        <w:t> </w:t>
      </w:r>
      <w:r>
        <w:rPr/>
        <w:t>necesarios</w:t>
      </w:r>
      <w:r>
        <w:rPr>
          <w:spacing w:val="23"/>
        </w:rPr>
        <w:t> </w:t>
      </w:r>
      <w:r>
        <w:rPr/>
        <w:t>para su </w:t>
      </w:r>
      <w:r>
        <w:rPr>
          <w:spacing w:val="-2"/>
        </w:rPr>
        <w:t>desahogo.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338" w:right="343" w:firstLine="288"/>
        <w:jc w:val="both"/>
      </w:pPr>
      <w:bookmarkStart w:name="Artículo_781" w:id="992"/>
      <w:bookmarkEnd w:id="992"/>
      <w:r>
        <w:rPr/>
      </w:r>
      <w:r>
        <w:rPr>
          <w:rFonts w:ascii="Arial" w:hAnsi="Arial"/>
          <w:b/>
        </w:rPr>
        <w:t>Artículo</w:t>
      </w:r>
      <w:r>
        <w:rPr>
          <w:rFonts w:ascii="Arial" w:hAnsi="Arial"/>
          <w:b/>
          <w:spacing w:val="-2"/>
        </w:rPr>
        <w:t> </w:t>
      </w:r>
      <w:r>
        <w:rPr>
          <w:rFonts w:ascii="Arial" w:hAnsi="Arial"/>
          <w:b/>
        </w:rPr>
        <w:t>781.-</w:t>
      </w:r>
      <w:r>
        <w:rPr>
          <w:rFonts w:ascii="Arial" w:hAnsi="Arial"/>
          <w:b/>
          <w:spacing w:val="-2"/>
        </w:rPr>
        <w:t> </w:t>
      </w:r>
      <w:r>
        <w:rPr/>
        <w:t>Las</w:t>
      </w:r>
      <w:r>
        <w:rPr>
          <w:spacing w:val="-2"/>
        </w:rPr>
        <w:t> </w:t>
      </w:r>
      <w:r>
        <w:rPr/>
        <w:t>partes</w:t>
      </w:r>
      <w:r>
        <w:rPr>
          <w:spacing w:val="-2"/>
        </w:rPr>
        <w:t> </w:t>
      </w:r>
      <w:r>
        <w:rPr/>
        <w:t>podrán</w:t>
      </w:r>
      <w:r>
        <w:rPr>
          <w:spacing w:val="-3"/>
        </w:rPr>
        <w:t> </w:t>
      </w:r>
      <w:r>
        <w:rPr/>
        <w:t>interrogar</w:t>
      </w:r>
      <w:r>
        <w:rPr>
          <w:spacing w:val="-5"/>
        </w:rPr>
        <w:t> </w:t>
      </w:r>
      <w:r>
        <w:rPr/>
        <w:t>libremente</w:t>
      </w:r>
      <w:r>
        <w:rPr>
          <w:spacing w:val="-3"/>
        </w:rPr>
        <w:t> </w:t>
      </w:r>
      <w:r>
        <w:rPr/>
        <w:t>a</w:t>
      </w:r>
      <w:r>
        <w:rPr>
          <w:spacing w:val="-3"/>
        </w:rPr>
        <w:t> </w:t>
      </w:r>
      <w:r>
        <w:rPr/>
        <w:t>las</w:t>
      </w:r>
      <w:r>
        <w:rPr>
          <w:spacing w:val="-2"/>
        </w:rPr>
        <w:t> </w:t>
      </w:r>
      <w:r>
        <w:rPr/>
        <w:t>personas</w:t>
      </w:r>
      <w:r>
        <w:rPr>
          <w:spacing w:val="-2"/>
        </w:rPr>
        <w:t> </w:t>
      </w:r>
      <w:r>
        <w:rPr/>
        <w:t>que</w:t>
      </w:r>
      <w:r>
        <w:rPr>
          <w:spacing w:val="-5"/>
        </w:rPr>
        <w:t> </w:t>
      </w:r>
      <w:r>
        <w:rPr/>
        <w:t>intervengan</w:t>
      </w:r>
      <w:r>
        <w:rPr>
          <w:spacing w:val="-3"/>
        </w:rPr>
        <w:t> </w:t>
      </w:r>
      <w:r>
        <w:rPr/>
        <w:t>en</w:t>
      </w:r>
      <w:r>
        <w:rPr>
          <w:spacing w:val="-5"/>
        </w:rPr>
        <w:t> </w:t>
      </w:r>
      <w:r>
        <w:rPr/>
        <w:t>el</w:t>
      </w:r>
      <w:r>
        <w:rPr>
          <w:spacing w:val="-4"/>
        </w:rPr>
        <w:t> </w:t>
      </w:r>
      <w:r>
        <w:rPr/>
        <w:t>desahogo de las pruebas sobre los hechos controvertidos, hacerse mutuamente las preguntas que juzguen convenientes, y examinar los documentos y objetos que se exhiban.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338" w:right="336" w:firstLine="288"/>
        <w:jc w:val="both"/>
      </w:pPr>
      <w:bookmarkStart w:name="Artículo_782" w:id="993"/>
      <w:bookmarkEnd w:id="993"/>
      <w:r>
        <w:rPr/>
      </w:r>
      <w:r>
        <w:rPr>
          <w:rFonts w:ascii="Arial" w:hAnsi="Arial"/>
          <w:b/>
        </w:rPr>
        <w:t>Artículo 782.- </w:t>
      </w:r>
      <w:r>
        <w:rPr/>
        <w:t>El Tribunal podrá ordenar con citación de las partes, el examen de documentos,</w:t>
      </w:r>
      <w:r>
        <w:rPr>
          <w:spacing w:val="80"/>
        </w:rPr>
        <w:t> </w:t>
      </w:r>
      <w:r>
        <w:rPr/>
        <w:t>objetos y lugares, su reconocimiento por actuarios o peritos y, en general, practicar las diligencias que juzgue conveniente para el esclarecimiento de la verdad y requerirá a las partes para que exhiban los documentos y objetos de que se trate.</w:t>
      </w:r>
    </w:p>
    <w:p>
      <w:pPr>
        <w:pStyle w:val="BodyText"/>
        <w:spacing w:before="223"/>
        <w:ind w:left="338" w:right="334" w:firstLine="288"/>
        <w:jc w:val="both"/>
      </w:pPr>
      <w:r>
        <w:rPr/>
        <w:t>El juez podrá interrogar libremente a las partes y a todos aquellos que intervengan en el juicio sobre los hechos y circunstancias que sean conducentes para averiguar la verdad.</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24-04-1972,</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2" w:firstLine="288"/>
        <w:jc w:val="both"/>
      </w:pPr>
      <w:bookmarkStart w:name="Artículo_783" w:id="994"/>
      <w:bookmarkEnd w:id="994"/>
      <w:r>
        <w:rPr/>
      </w:r>
      <w:r>
        <w:rPr>
          <w:rFonts w:ascii="Arial" w:hAnsi="Arial"/>
          <w:b/>
        </w:rPr>
        <w:t>Artículo 783.- </w:t>
      </w:r>
      <w:r>
        <w:rPr/>
        <w:t>Toda autoridad o persona ajena al juicio que tenga documentos en su poder que puedan contribuir al esclarecimiento de la verdad deberá aportarlos, a más tardar en la Audiencia de Juicio, hasta antes del cierre de la instrucción, cuando le sean requeridos por el Tribunal.</w:t>
      </w:r>
    </w:p>
    <w:p>
      <w:pPr>
        <w:pStyle w:val="BodyText"/>
        <w:spacing w:before="1"/>
      </w:pPr>
    </w:p>
    <w:p>
      <w:pPr>
        <w:pStyle w:val="BodyText"/>
        <w:spacing w:before="1"/>
        <w:ind w:left="338" w:right="341" w:firstLine="288"/>
        <w:jc w:val="both"/>
      </w:pPr>
      <w:r>
        <w:rPr/>
        <w:t>En lo que hace al juicio individual ordinario a que se refiere el capítulo XVII del Título Catorce de esta Ley, los documentos deberán aportarse en la Audiencia Preliminar o en su defecto hasta antes del cierre de la instrucción. Los Tribunales deberán tomar las medidas pertinentes para cumplir con esta</w:t>
      </w:r>
      <w:r>
        <w:rPr>
          <w:spacing w:val="40"/>
        </w:rPr>
        <w:t> </w:t>
      </w:r>
      <w:r>
        <w:rPr>
          <w:spacing w:val="-2"/>
        </w:rPr>
        <w:t>disposición.</w:t>
      </w:r>
    </w:p>
    <w:p>
      <w:pPr>
        <w:pStyle w:val="BodyText"/>
        <w:spacing w:after="0"/>
        <w:jc w:val="both"/>
        <w:sectPr>
          <w:type w:val="continuous"/>
          <w:pgSz w:w="12240" w:h="15840"/>
          <w:pgMar w:header="724" w:footer="712" w:top="1880" w:bottom="900" w:left="1080" w:right="1080"/>
        </w:sectPr>
      </w:pPr>
    </w:p>
    <w:p>
      <w:pPr>
        <w:pStyle w:val="BodyText"/>
        <w:spacing w:before="109"/>
        <w:rPr>
          <w:sz w:val="16"/>
        </w:rPr>
      </w:pPr>
    </w:p>
    <w:p>
      <w:pPr>
        <w:spacing w:before="0"/>
        <w:ind w:left="56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8" w:firstLine="288"/>
        <w:jc w:val="both"/>
      </w:pPr>
      <w:bookmarkStart w:name="Artículo_784" w:id="995"/>
      <w:bookmarkEnd w:id="995"/>
      <w:r>
        <w:rPr/>
      </w:r>
      <w:r>
        <w:rPr>
          <w:rFonts w:ascii="Arial" w:hAnsi="Arial"/>
          <w:b/>
        </w:rPr>
        <w:t>Artículo</w:t>
      </w:r>
      <w:r>
        <w:rPr>
          <w:rFonts w:ascii="Arial" w:hAnsi="Arial"/>
          <w:b/>
          <w:spacing w:val="-1"/>
        </w:rPr>
        <w:t> </w:t>
      </w:r>
      <w:r>
        <w:rPr>
          <w:rFonts w:ascii="Arial" w:hAnsi="Arial"/>
          <w:b/>
        </w:rPr>
        <w:t>784.-</w:t>
      </w:r>
      <w:r>
        <w:rPr>
          <w:rFonts w:ascii="Arial" w:hAnsi="Arial"/>
          <w:b/>
          <w:spacing w:val="-1"/>
        </w:rPr>
        <w:t> </w:t>
      </w:r>
      <w:r>
        <w:rPr/>
        <w:t>El</w:t>
      </w:r>
      <w:r>
        <w:rPr>
          <w:spacing w:val="-4"/>
        </w:rPr>
        <w:t> </w:t>
      </w:r>
      <w:r>
        <w:rPr/>
        <w:t>Tribunal</w:t>
      </w:r>
      <w:r>
        <w:rPr>
          <w:spacing w:val="-1"/>
        </w:rPr>
        <w:t> </w:t>
      </w:r>
      <w:r>
        <w:rPr/>
        <w:t>eximirá</w:t>
      </w:r>
      <w:r>
        <w:rPr>
          <w:spacing w:val="-3"/>
        </w:rPr>
        <w:t> </w:t>
      </w:r>
      <w:r>
        <w:rPr/>
        <w:t>de</w:t>
      </w:r>
      <w:r>
        <w:rPr>
          <w:spacing w:val="-3"/>
        </w:rPr>
        <w:t> </w:t>
      </w:r>
      <w:r>
        <w:rPr/>
        <w:t>la</w:t>
      </w:r>
      <w:r>
        <w:rPr>
          <w:spacing w:val="-3"/>
        </w:rPr>
        <w:t> </w:t>
      </w:r>
      <w:r>
        <w:rPr/>
        <w:t>carga</w:t>
      </w:r>
      <w:r>
        <w:rPr>
          <w:spacing w:val="-4"/>
        </w:rPr>
        <w:t> </w:t>
      </w:r>
      <w:r>
        <w:rPr/>
        <w:t>de</w:t>
      </w:r>
      <w:r>
        <w:rPr>
          <w:spacing w:val="-2"/>
        </w:rPr>
        <w:t> </w:t>
      </w:r>
      <w:r>
        <w:rPr/>
        <w:t>la</w:t>
      </w:r>
      <w:r>
        <w:rPr>
          <w:spacing w:val="-2"/>
        </w:rPr>
        <w:t> </w:t>
      </w:r>
      <w:r>
        <w:rPr/>
        <w:t>prueba</w:t>
      </w:r>
      <w:r>
        <w:rPr>
          <w:spacing w:val="-2"/>
        </w:rPr>
        <w:t> </w:t>
      </w:r>
      <w:r>
        <w:rPr/>
        <w:t>al</w:t>
      </w:r>
      <w:r>
        <w:rPr>
          <w:spacing w:val="-3"/>
        </w:rPr>
        <w:t> </w:t>
      </w:r>
      <w:r>
        <w:rPr/>
        <w:t>trabajador,</w:t>
      </w:r>
      <w:r>
        <w:rPr>
          <w:spacing w:val="-1"/>
        </w:rPr>
        <w:t> </w:t>
      </w:r>
      <w:r>
        <w:rPr/>
        <w:t>cuando</w:t>
      </w:r>
      <w:r>
        <w:rPr>
          <w:spacing w:val="-3"/>
        </w:rPr>
        <w:t> </w:t>
      </w:r>
      <w:r>
        <w:rPr/>
        <w:t>por</w:t>
      </w:r>
      <w:r>
        <w:rPr>
          <w:spacing w:val="-3"/>
        </w:rPr>
        <w:t> </w:t>
      </w:r>
      <w:r>
        <w:rPr/>
        <w:t>otros</w:t>
      </w:r>
      <w:r>
        <w:rPr>
          <w:spacing w:val="-3"/>
        </w:rPr>
        <w:t> </w:t>
      </w:r>
      <w:r>
        <w:rPr/>
        <w:t>medios</w:t>
      </w:r>
      <w:r>
        <w:rPr>
          <w:spacing w:val="-1"/>
        </w:rPr>
        <w:t> </w:t>
      </w:r>
      <w:r>
        <w:rPr/>
        <w:t>esté en posibilidad de llegar al conocimiento de los hechos, y para tal efecto a petición del trabajador o de considerarlo necesario requerirá al patrón para que exhiba los documentos que, de acuerdo con las</w:t>
      </w:r>
      <w:r>
        <w:rPr>
          <w:spacing w:val="40"/>
        </w:rPr>
        <w:t> </w:t>
      </w:r>
      <w:r>
        <w:rPr/>
        <w:t>leyes, tiene la obligación legal de conservar en la empresa, bajo el apercibimiento de que, de no presentarlos, se presumirán ciertos los hechos alegados por el trabajador. En todo caso, corresponderá</w:t>
      </w:r>
      <w:r>
        <w:rPr>
          <w:spacing w:val="40"/>
        </w:rPr>
        <w:t> </w:t>
      </w:r>
      <w:r>
        <w:rPr/>
        <w:t>al patrón probar su dicho cuando exista controversia sobre:</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ListParagraph"/>
        <w:numPr>
          <w:ilvl w:val="0"/>
          <w:numId w:val="306"/>
        </w:numPr>
        <w:tabs>
          <w:tab w:pos="1195" w:val="left" w:leader="none"/>
        </w:tabs>
        <w:spacing w:line="240" w:lineRule="auto" w:before="229" w:after="0"/>
        <w:ind w:left="1195" w:right="0" w:hanging="569"/>
        <w:jc w:val="left"/>
        <w:rPr>
          <w:sz w:val="20"/>
        </w:rPr>
      </w:pPr>
      <w:r>
        <w:rPr>
          <w:sz w:val="20"/>
        </w:rPr>
        <w:t>Fecha</w:t>
      </w:r>
      <w:r>
        <w:rPr>
          <w:spacing w:val="-7"/>
          <w:sz w:val="20"/>
        </w:rPr>
        <w:t> </w:t>
      </w:r>
      <w:r>
        <w:rPr>
          <w:sz w:val="20"/>
        </w:rPr>
        <w:t>de</w:t>
      </w:r>
      <w:r>
        <w:rPr>
          <w:spacing w:val="-4"/>
          <w:sz w:val="20"/>
        </w:rPr>
        <w:t> </w:t>
      </w:r>
      <w:r>
        <w:rPr>
          <w:sz w:val="20"/>
        </w:rPr>
        <w:t>ingreso</w:t>
      </w:r>
      <w:r>
        <w:rPr>
          <w:spacing w:val="-6"/>
          <w:sz w:val="20"/>
        </w:rPr>
        <w:t> </w:t>
      </w:r>
      <w:r>
        <w:rPr>
          <w:sz w:val="20"/>
        </w:rPr>
        <w:t>del</w:t>
      </w:r>
      <w:r>
        <w:rPr>
          <w:spacing w:val="-5"/>
          <w:sz w:val="20"/>
        </w:rPr>
        <w:t> </w:t>
      </w:r>
      <w:r>
        <w:rPr>
          <w:spacing w:val="-2"/>
          <w:sz w:val="20"/>
        </w:rPr>
        <w:t>trabajador;</w:t>
      </w:r>
    </w:p>
    <w:p>
      <w:pPr>
        <w:pStyle w:val="BodyText"/>
        <w:spacing w:before="1"/>
      </w:pPr>
    </w:p>
    <w:p>
      <w:pPr>
        <w:pStyle w:val="ListParagraph"/>
        <w:numPr>
          <w:ilvl w:val="0"/>
          <w:numId w:val="306"/>
        </w:numPr>
        <w:tabs>
          <w:tab w:pos="1195" w:val="left" w:leader="none"/>
        </w:tabs>
        <w:spacing w:line="240" w:lineRule="auto" w:before="0" w:after="0"/>
        <w:ind w:left="1195" w:right="0" w:hanging="569"/>
        <w:jc w:val="left"/>
        <w:rPr>
          <w:sz w:val="20"/>
        </w:rPr>
      </w:pPr>
      <w:r>
        <w:rPr>
          <w:sz w:val="20"/>
        </w:rPr>
        <w:t>Antigüedad</w:t>
      </w:r>
      <w:r>
        <w:rPr>
          <w:spacing w:val="-9"/>
          <w:sz w:val="20"/>
        </w:rPr>
        <w:t> </w:t>
      </w:r>
      <w:r>
        <w:rPr>
          <w:sz w:val="20"/>
        </w:rPr>
        <w:t>del</w:t>
      </w:r>
      <w:r>
        <w:rPr>
          <w:spacing w:val="-10"/>
          <w:sz w:val="20"/>
        </w:rPr>
        <w:t> </w:t>
      </w:r>
      <w:r>
        <w:rPr>
          <w:spacing w:val="-2"/>
          <w:sz w:val="20"/>
        </w:rPr>
        <w:t>trabajador;</w:t>
      </w:r>
    </w:p>
    <w:p>
      <w:pPr>
        <w:pStyle w:val="BodyText"/>
        <w:spacing w:before="1"/>
      </w:pPr>
    </w:p>
    <w:p>
      <w:pPr>
        <w:pStyle w:val="ListParagraph"/>
        <w:numPr>
          <w:ilvl w:val="0"/>
          <w:numId w:val="306"/>
        </w:numPr>
        <w:tabs>
          <w:tab w:pos="1195" w:val="left" w:leader="none"/>
        </w:tabs>
        <w:spacing w:line="240" w:lineRule="auto" w:before="0" w:after="0"/>
        <w:ind w:left="1195" w:right="0" w:hanging="569"/>
        <w:jc w:val="left"/>
        <w:rPr>
          <w:sz w:val="20"/>
        </w:rPr>
      </w:pPr>
      <w:r>
        <w:rPr>
          <w:sz w:val="20"/>
        </w:rPr>
        <w:t>Faltas</w:t>
      </w:r>
      <w:r>
        <w:rPr>
          <w:spacing w:val="-6"/>
          <w:sz w:val="20"/>
        </w:rPr>
        <w:t> </w:t>
      </w:r>
      <w:r>
        <w:rPr>
          <w:sz w:val="20"/>
        </w:rPr>
        <w:t>de</w:t>
      </w:r>
      <w:r>
        <w:rPr>
          <w:spacing w:val="-6"/>
          <w:sz w:val="20"/>
        </w:rPr>
        <w:t> </w:t>
      </w:r>
      <w:r>
        <w:rPr>
          <w:sz w:val="20"/>
        </w:rPr>
        <w:t>asistencia</w:t>
      </w:r>
      <w:r>
        <w:rPr>
          <w:spacing w:val="-6"/>
          <w:sz w:val="20"/>
        </w:rPr>
        <w:t> </w:t>
      </w:r>
      <w:r>
        <w:rPr>
          <w:sz w:val="20"/>
        </w:rPr>
        <w:t>del</w:t>
      </w:r>
      <w:r>
        <w:rPr>
          <w:spacing w:val="-7"/>
          <w:sz w:val="20"/>
        </w:rPr>
        <w:t> </w:t>
      </w:r>
      <w:r>
        <w:rPr>
          <w:spacing w:val="-2"/>
          <w:sz w:val="20"/>
        </w:rPr>
        <w:t>trabajador;</w:t>
      </w:r>
    </w:p>
    <w:p>
      <w:pPr>
        <w:pStyle w:val="ListParagraph"/>
        <w:numPr>
          <w:ilvl w:val="0"/>
          <w:numId w:val="306"/>
        </w:numPr>
        <w:tabs>
          <w:tab w:pos="1195" w:val="left" w:leader="none"/>
        </w:tabs>
        <w:spacing w:line="240" w:lineRule="auto" w:before="229" w:after="0"/>
        <w:ind w:left="1195" w:right="0" w:hanging="569"/>
        <w:jc w:val="left"/>
        <w:rPr>
          <w:sz w:val="20"/>
        </w:rPr>
      </w:pPr>
      <w:r>
        <w:rPr>
          <w:sz w:val="20"/>
        </w:rPr>
        <w:t>Causa</w:t>
      </w:r>
      <w:r>
        <w:rPr>
          <w:spacing w:val="-5"/>
          <w:sz w:val="20"/>
        </w:rPr>
        <w:t> </w:t>
      </w:r>
      <w:r>
        <w:rPr>
          <w:sz w:val="20"/>
        </w:rPr>
        <w:t>de</w:t>
      </w:r>
      <w:r>
        <w:rPr>
          <w:spacing w:val="-5"/>
          <w:sz w:val="20"/>
        </w:rPr>
        <w:t> </w:t>
      </w:r>
      <w:r>
        <w:rPr>
          <w:sz w:val="20"/>
        </w:rPr>
        <w:t>rescisión</w:t>
      </w:r>
      <w:r>
        <w:rPr>
          <w:spacing w:val="-5"/>
          <w:sz w:val="20"/>
        </w:rPr>
        <w:t> </w:t>
      </w:r>
      <w:r>
        <w:rPr>
          <w:sz w:val="20"/>
        </w:rPr>
        <w:t>de</w:t>
      </w:r>
      <w:r>
        <w:rPr>
          <w:spacing w:val="-5"/>
          <w:sz w:val="20"/>
        </w:rPr>
        <w:t> </w:t>
      </w:r>
      <w:r>
        <w:rPr>
          <w:sz w:val="20"/>
        </w:rPr>
        <w:t>la</w:t>
      </w:r>
      <w:r>
        <w:rPr>
          <w:spacing w:val="-5"/>
          <w:sz w:val="20"/>
        </w:rPr>
        <w:t> </w:t>
      </w:r>
      <w:r>
        <w:rPr>
          <w:sz w:val="20"/>
        </w:rPr>
        <w:t>relación</w:t>
      </w:r>
      <w:r>
        <w:rPr>
          <w:spacing w:val="-5"/>
          <w:sz w:val="20"/>
        </w:rPr>
        <w:t> </w:t>
      </w:r>
      <w:r>
        <w:rPr>
          <w:sz w:val="20"/>
        </w:rPr>
        <w:t>de</w:t>
      </w:r>
      <w:r>
        <w:rPr>
          <w:spacing w:val="-5"/>
          <w:sz w:val="20"/>
        </w:rPr>
        <w:t> </w:t>
      </w:r>
      <w:r>
        <w:rPr>
          <w:spacing w:val="-2"/>
          <w:sz w:val="20"/>
        </w:rPr>
        <w:t>trabajo;</w:t>
      </w:r>
    </w:p>
    <w:p>
      <w:pPr>
        <w:pStyle w:val="BodyText"/>
      </w:pPr>
    </w:p>
    <w:p>
      <w:pPr>
        <w:pStyle w:val="ListParagraph"/>
        <w:numPr>
          <w:ilvl w:val="0"/>
          <w:numId w:val="306"/>
        </w:numPr>
        <w:tabs>
          <w:tab w:pos="1195" w:val="left" w:leader="none"/>
        </w:tabs>
        <w:spacing w:line="242" w:lineRule="auto" w:before="0" w:after="0"/>
        <w:ind w:left="1195" w:right="347" w:hanging="569"/>
        <w:jc w:val="left"/>
        <w:rPr>
          <w:sz w:val="20"/>
        </w:rPr>
      </w:pPr>
      <w:r>
        <w:rPr>
          <w:sz w:val="20"/>
        </w:rPr>
        <w:t>Terminación</w:t>
      </w:r>
      <w:r>
        <w:rPr>
          <w:spacing w:val="40"/>
          <w:sz w:val="20"/>
        </w:rPr>
        <w:t> </w:t>
      </w:r>
      <w:r>
        <w:rPr>
          <w:sz w:val="20"/>
        </w:rPr>
        <w:t>de</w:t>
      </w:r>
      <w:r>
        <w:rPr>
          <w:spacing w:val="40"/>
          <w:sz w:val="20"/>
        </w:rPr>
        <w:t> </w:t>
      </w:r>
      <w:r>
        <w:rPr>
          <w:sz w:val="20"/>
        </w:rPr>
        <w:t>la</w:t>
      </w:r>
      <w:r>
        <w:rPr>
          <w:spacing w:val="40"/>
          <w:sz w:val="20"/>
        </w:rPr>
        <w:t> </w:t>
      </w:r>
      <w:r>
        <w:rPr>
          <w:sz w:val="20"/>
        </w:rPr>
        <w:t>relación</w:t>
      </w:r>
      <w:r>
        <w:rPr>
          <w:spacing w:val="40"/>
          <w:sz w:val="20"/>
        </w:rPr>
        <w:t> </w:t>
      </w:r>
      <w:r>
        <w:rPr>
          <w:sz w:val="20"/>
        </w:rPr>
        <w:t>o</w:t>
      </w:r>
      <w:r>
        <w:rPr>
          <w:spacing w:val="40"/>
          <w:sz w:val="20"/>
        </w:rPr>
        <w:t> </w:t>
      </w:r>
      <w:r>
        <w:rPr>
          <w:sz w:val="20"/>
        </w:rPr>
        <w:t>contrato</w:t>
      </w:r>
      <w:r>
        <w:rPr>
          <w:spacing w:val="40"/>
          <w:sz w:val="20"/>
        </w:rPr>
        <w:t> </w:t>
      </w:r>
      <w:r>
        <w:rPr>
          <w:sz w:val="20"/>
        </w:rPr>
        <w:t>de</w:t>
      </w:r>
      <w:r>
        <w:rPr>
          <w:spacing w:val="40"/>
          <w:sz w:val="20"/>
        </w:rPr>
        <w:t> </w:t>
      </w:r>
      <w:r>
        <w:rPr>
          <w:sz w:val="20"/>
        </w:rPr>
        <w:t>trabajo</w:t>
      </w:r>
      <w:r>
        <w:rPr>
          <w:spacing w:val="40"/>
          <w:sz w:val="20"/>
        </w:rPr>
        <w:t> </w:t>
      </w:r>
      <w:r>
        <w:rPr>
          <w:sz w:val="20"/>
        </w:rPr>
        <w:t>para</w:t>
      </w:r>
      <w:r>
        <w:rPr>
          <w:spacing w:val="40"/>
          <w:sz w:val="20"/>
        </w:rPr>
        <w:t> </w:t>
      </w:r>
      <w:r>
        <w:rPr>
          <w:sz w:val="20"/>
        </w:rPr>
        <w:t>obra</w:t>
      </w:r>
      <w:r>
        <w:rPr>
          <w:spacing w:val="40"/>
          <w:sz w:val="20"/>
        </w:rPr>
        <w:t> </w:t>
      </w:r>
      <w:r>
        <w:rPr>
          <w:sz w:val="20"/>
        </w:rPr>
        <w:t>o</w:t>
      </w:r>
      <w:r>
        <w:rPr>
          <w:spacing w:val="40"/>
          <w:sz w:val="20"/>
        </w:rPr>
        <w:t> </w:t>
      </w:r>
      <w:r>
        <w:rPr>
          <w:sz w:val="20"/>
        </w:rPr>
        <w:t>tiempo</w:t>
      </w:r>
      <w:r>
        <w:rPr>
          <w:spacing w:val="40"/>
          <w:sz w:val="20"/>
        </w:rPr>
        <w:t> </w:t>
      </w:r>
      <w:r>
        <w:rPr>
          <w:sz w:val="20"/>
        </w:rPr>
        <w:t>determinado,</w:t>
      </w:r>
      <w:r>
        <w:rPr>
          <w:spacing w:val="40"/>
          <w:sz w:val="20"/>
        </w:rPr>
        <w:t> </w:t>
      </w:r>
      <w:r>
        <w:rPr>
          <w:sz w:val="20"/>
        </w:rPr>
        <w:t>en</w:t>
      </w:r>
      <w:r>
        <w:rPr>
          <w:spacing w:val="40"/>
          <w:sz w:val="20"/>
        </w:rPr>
        <w:t> </w:t>
      </w:r>
      <w:r>
        <w:rPr>
          <w:sz w:val="20"/>
        </w:rPr>
        <w:t>los términos de los artículos 37, fracción I, y 53, fracción III, de esta Ley;</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306"/>
        </w:numPr>
        <w:tabs>
          <w:tab w:pos="1195" w:val="left" w:leader="none"/>
        </w:tabs>
        <w:spacing w:line="242" w:lineRule="auto" w:before="0" w:after="0"/>
        <w:ind w:left="1195" w:right="346" w:hanging="569"/>
        <w:jc w:val="left"/>
        <w:rPr>
          <w:sz w:val="20"/>
        </w:rPr>
      </w:pPr>
      <w:r>
        <w:rPr>
          <w:sz w:val="20"/>
        </w:rPr>
        <w:t>Constancia</w:t>
      </w:r>
      <w:r>
        <w:rPr>
          <w:spacing w:val="32"/>
          <w:sz w:val="20"/>
        </w:rPr>
        <w:t> </w:t>
      </w:r>
      <w:r>
        <w:rPr>
          <w:sz w:val="20"/>
        </w:rPr>
        <w:t>de</w:t>
      </w:r>
      <w:r>
        <w:rPr>
          <w:spacing w:val="31"/>
          <w:sz w:val="20"/>
        </w:rPr>
        <w:t> </w:t>
      </w:r>
      <w:r>
        <w:rPr>
          <w:sz w:val="20"/>
        </w:rPr>
        <w:t>haber</w:t>
      </w:r>
      <w:r>
        <w:rPr>
          <w:spacing w:val="30"/>
          <w:sz w:val="20"/>
        </w:rPr>
        <w:t> </w:t>
      </w:r>
      <w:r>
        <w:rPr>
          <w:sz w:val="20"/>
        </w:rPr>
        <w:t>dado</w:t>
      </w:r>
      <w:r>
        <w:rPr>
          <w:spacing w:val="31"/>
          <w:sz w:val="20"/>
        </w:rPr>
        <w:t> </w:t>
      </w:r>
      <w:r>
        <w:rPr>
          <w:sz w:val="20"/>
        </w:rPr>
        <w:t>por</w:t>
      </w:r>
      <w:r>
        <w:rPr>
          <w:spacing w:val="31"/>
          <w:sz w:val="20"/>
        </w:rPr>
        <w:t> </w:t>
      </w:r>
      <w:r>
        <w:rPr>
          <w:sz w:val="20"/>
        </w:rPr>
        <w:t>escrito</w:t>
      </w:r>
      <w:r>
        <w:rPr>
          <w:spacing w:val="32"/>
          <w:sz w:val="20"/>
        </w:rPr>
        <w:t> </w:t>
      </w:r>
      <w:r>
        <w:rPr>
          <w:sz w:val="20"/>
        </w:rPr>
        <w:t>al</w:t>
      </w:r>
      <w:r>
        <w:rPr>
          <w:spacing w:val="29"/>
          <w:sz w:val="20"/>
        </w:rPr>
        <w:t> </w:t>
      </w:r>
      <w:r>
        <w:rPr>
          <w:sz w:val="20"/>
        </w:rPr>
        <w:t>trabajador</w:t>
      </w:r>
      <w:r>
        <w:rPr>
          <w:spacing w:val="32"/>
          <w:sz w:val="20"/>
        </w:rPr>
        <w:t> </w:t>
      </w:r>
      <w:r>
        <w:rPr>
          <w:sz w:val="20"/>
        </w:rPr>
        <w:t>o</w:t>
      </w:r>
      <w:r>
        <w:rPr>
          <w:spacing w:val="30"/>
          <w:sz w:val="20"/>
        </w:rPr>
        <w:t> </w:t>
      </w:r>
      <w:r>
        <w:rPr>
          <w:sz w:val="20"/>
        </w:rPr>
        <w:t>al</w:t>
      </w:r>
      <w:r>
        <w:rPr>
          <w:spacing w:val="31"/>
          <w:sz w:val="20"/>
        </w:rPr>
        <w:t> </w:t>
      </w:r>
      <w:r>
        <w:rPr>
          <w:sz w:val="20"/>
        </w:rPr>
        <w:t>Tribunal</w:t>
      </w:r>
      <w:r>
        <w:rPr>
          <w:spacing w:val="31"/>
          <w:sz w:val="20"/>
        </w:rPr>
        <w:t> </w:t>
      </w:r>
      <w:r>
        <w:rPr>
          <w:sz w:val="20"/>
        </w:rPr>
        <w:t>de</w:t>
      </w:r>
      <w:r>
        <w:rPr>
          <w:spacing w:val="32"/>
          <w:sz w:val="20"/>
        </w:rPr>
        <w:t> </w:t>
      </w:r>
      <w:r>
        <w:rPr>
          <w:sz w:val="20"/>
        </w:rPr>
        <w:t>la</w:t>
      </w:r>
      <w:r>
        <w:rPr>
          <w:spacing w:val="30"/>
          <w:sz w:val="20"/>
        </w:rPr>
        <w:t> </w:t>
      </w:r>
      <w:r>
        <w:rPr>
          <w:sz w:val="20"/>
        </w:rPr>
        <w:t>fecha</w:t>
      </w:r>
      <w:r>
        <w:rPr>
          <w:spacing w:val="32"/>
          <w:sz w:val="20"/>
        </w:rPr>
        <w:t> </w:t>
      </w:r>
      <w:r>
        <w:rPr>
          <w:sz w:val="20"/>
        </w:rPr>
        <w:t>y</w:t>
      </w:r>
      <w:r>
        <w:rPr>
          <w:spacing w:val="29"/>
          <w:sz w:val="20"/>
        </w:rPr>
        <w:t> </w:t>
      </w:r>
      <w:r>
        <w:rPr>
          <w:sz w:val="20"/>
        </w:rPr>
        <w:t>la</w:t>
      </w:r>
      <w:r>
        <w:rPr>
          <w:spacing w:val="30"/>
          <w:sz w:val="20"/>
        </w:rPr>
        <w:t> </w:t>
      </w:r>
      <w:r>
        <w:rPr>
          <w:sz w:val="20"/>
        </w:rPr>
        <w:t>causa</w:t>
      </w:r>
      <w:r>
        <w:rPr>
          <w:spacing w:val="32"/>
          <w:sz w:val="20"/>
        </w:rPr>
        <w:t> </w:t>
      </w:r>
      <w:r>
        <w:rPr>
          <w:sz w:val="20"/>
        </w:rPr>
        <w:t>del </w:t>
      </w:r>
      <w:r>
        <w:rPr>
          <w:spacing w:val="-2"/>
          <w:sz w:val="20"/>
        </w:rPr>
        <w:t>despido.</w:t>
      </w:r>
    </w:p>
    <w:p>
      <w:pPr>
        <w:pStyle w:val="BodyText"/>
        <w:spacing w:before="229"/>
        <w:ind w:left="1195"/>
      </w:pPr>
      <w:r>
        <w:rPr/>
        <w:t>La</w:t>
      </w:r>
      <w:r>
        <w:rPr>
          <w:spacing w:val="-8"/>
        </w:rPr>
        <w:t> </w:t>
      </w:r>
      <w:r>
        <w:rPr/>
        <w:t>negativa</w:t>
      </w:r>
      <w:r>
        <w:rPr>
          <w:spacing w:val="-4"/>
        </w:rPr>
        <w:t> </w:t>
      </w:r>
      <w:r>
        <w:rPr/>
        <w:t>lisa</w:t>
      </w:r>
      <w:r>
        <w:rPr>
          <w:spacing w:val="-2"/>
        </w:rPr>
        <w:t> </w:t>
      </w:r>
      <w:r>
        <w:rPr/>
        <w:t>y</w:t>
      </w:r>
      <w:r>
        <w:rPr>
          <w:spacing w:val="-8"/>
        </w:rPr>
        <w:t> </w:t>
      </w:r>
      <w:r>
        <w:rPr/>
        <w:t>llana</w:t>
      </w:r>
      <w:r>
        <w:rPr>
          <w:spacing w:val="-4"/>
        </w:rPr>
        <w:t> </w:t>
      </w:r>
      <w:r>
        <w:rPr/>
        <w:t>del</w:t>
      </w:r>
      <w:r>
        <w:rPr>
          <w:spacing w:val="-5"/>
        </w:rPr>
        <w:t> </w:t>
      </w:r>
      <w:r>
        <w:rPr/>
        <w:t>despido,</w:t>
      </w:r>
      <w:r>
        <w:rPr>
          <w:spacing w:val="-5"/>
        </w:rPr>
        <w:t> </w:t>
      </w:r>
      <w:r>
        <w:rPr/>
        <w:t>no</w:t>
      </w:r>
      <w:r>
        <w:rPr>
          <w:spacing w:val="-7"/>
        </w:rPr>
        <w:t> </w:t>
      </w:r>
      <w:r>
        <w:rPr/>
        <w:t>revierte</w:t>
      </w:r>
      <w:r>
        <w:rPr>
          <w:spacing w:val="-4"/>
        </w:rPr>
        <w:t> </w:t>
      </w:r>
      <w:r>
        <w:rPr/>
        <w:t>la</w:t>
      </w:r>
      <w:r>
        <w:rPr>
          <w:spacing w:val="-6"/>
        </w:rPr>
        <w:t> </w:t>
      </w:r>
      <w:r>
        <w:rPr/>
        <w:t>carga</w:t>
      </w:r>
      <w:r>
        <w:rPr>
          <w:spacing w:val="-6"/>
        </w:rPr>
        <w:t> </w:t>
      </w:r>
      <w:r>
        <w:rPr/>
        <w:t>de</w:t>
      </w:r>
      <w:r>
        <w:rPr>
          <w:spacing w:val="-5"/>
        </w:rPr>
        <w:t> </w:t>
      </w:r>
      <w:r>
        <w:rPr/>
        <w:t>la</w:t>
      </w:r>
      <w:r>
        <w:rPr>
          <w:spacing w:val="-4"/>
        </w:rPr>
        <w:t> </w:t>
      </w:r>
      <w:r>
        <w:rPr>
          <w:spacing w:val="-2"/>
        </w:rPr>
        <w:t>prueba.</w:t>
      </w:r>
    </w:p>
    <w:p>
      <w:pPr>
        <w:pStyle w:val="BodyText"/>
        <w:spacing w:before="229"/>
        <w:ind w:left="1195"/>
      </w:pPr>
      <w:r>
        <w:rPr/>
        <w:t>Asimismo, la negativa del despido y</w:t>
      </w:r>
      <w:r>
        <w:rPr>
          <w:spacing w:val="-2"/>
        </w:rPr>
        <w:t> </w:t>
      </w:r>
      <w:r>
        <w:rPr/>
        <w:t>el ofrecimiento del empleo hecho al trabajador, no exime al patrón de probar su dicho;</w:t>
      </w:r>
    </w:p>
    <w:p>
      <w:pPr>
        <w:spacing w:line="183"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ListParagraph"/>
        <w:numPr>
          <w:ilvl w:val="0"/>
          <w:numId w:val="306"/>
        </w:numPr>
        <w:tabs>
          <w:tab w:pos="1195" w:val="left" w:leader="none"/>
        </w:tabs>
        <w:spacing w:line="240" w:lineRule="auto" w:before="229" w:after="0"/>
        <w:ind w:left="1195" w:right="0" w:hanging="569"/>
        <w:jc w:val="left"/>
        <w:rPr>
          <w:sz w:val="20"/>
        </w:rPr>
      </w:pPr>
      <w:r>
        <w:rPr>
          <w:sz w:val="20"/>
        </w:rPr>
        <w:t>El</w:t>
      </w:r>
      <w:r>
        <w:rPr>
          <w:spacing w:val="-8"/>
          <w:sz w:val="20"/>
        </w:rPr>
        <w:t> </w:t>
      </w:r>
      <w:r>
        <w:rPr>
          <w:sz w:val="20"/>
        </w:rPr>
        <w:t>contrato</w:t>
      </w:r>
      <w:r>
        <w:rPr>
          <w:spacing w:val="-5"/>
          <w:sz w:val="20"/>
        </w:rPr>
        <w:t> </w:t>
      </w:r>
      <w:r>
        <w:rPr>
          <w:sz w:val="20"/>
        </w:rPr>
        <w:t>de</w:t>
      </w:r>
      <w:r>
        <w:rPr>
          <w:spacing w:val="-6"/>
          <w:sz w:val="20"/>
        </w:rPr>
        <w:t> </w:t>
      </w:r>
      <w:r>
        <w:rPr>
          <w:spacing w:val="-2"/>
          <w:sz w:val="20"/>
        </w:rPr>
        <w:t>trabajo;</w:t>
      </w:r>
    </w:p>
    <w:p>
      <w:pPr>
        <w:pStyle w:val="BodyText"/>
      </w:pPr>
    </w:p>
    <w:p>
      <w:pPr>
        <w:pStyle w:val="ListParagraph"/>
        <w:numPr>
          <w:ilvl w:val="0"/>
          <w:numId w:val="306"/>
        </w:numPr>
        <w:tabs>
          <w:tab w:pos="1195" w:val="left" w:leader="none"/>
        </w:tabs>
        <w:spacing w:line="242" w:lineRule="auto" w:before="1" w:after="0"/>
        <w:ind w:left="1195" w:right="342" w:hanging="569"/>
        <w:jc w:val="left"/>
        <w:rPr>
          <w:sz w:val="20"/>
        </w:rPr>
      </w:pPr>
      <w:r>
        <w:rPr>
          <w:sz w:val="20"/>
        </w:rPr>
        <w:t>Jornada</w:t>
      </w:r>
      <w:r>
        <w:rPr>
          <w:spacing w:val="77"/>
          <w:sz w:val="20"/>
        </w:rPr>
        <w:t> </w:t>
      </w:r>
      <w:r>
        <w:rPr>
          <w:sz w:val="20"/>
        </w:rPr>
        <w:t>de</w:t>
      </w:r>
      <w:r>
        <w:rPr>
          <w:spacing w:val="78"/>
          <w:sz w:val="20"/>
        </w:rPr>
        <w:t> </w:t>
      </w:r>
      <w:r>
        <w:rPr>
          <w:sz w:val="20"/>
        </w:rPr>
        <w:t>trabajo</w:t>
      </w:r>
      <w:r>
        <w:rPr>
          <w:spacing w:val="80"/>
          <w:sz w:val="20"/>
        </w:rPr>
        <w:t> </w:t>
      </w:r>
      <w:r>
        <w:rPr>
          <w:sz w:val="20"/>
        </w:rPr>
        <w:t>ordinaria</w:t>
      </w:r>
      <w:r>
        <w:rPr>
          <w:spacing w:val="80"/>
          <w:sz w:val="20"/>
        </w:rPr>
        <w:t> </w:t>
      </w:r>
      <w:r>
        <w:rPr>
          <w:sz w:val="20"/>
        </w:rPr>
        <w:t>y</w:t>
      </w:r>
      <w:r>
        <w:rPr>
          <w:spacing w:val="77"/>
          <w:sz w:val="20"/>
        </w:rPr>
        <w:t> </w:t>
      </w:r>
      <w:r>
        <w:rPr>
          <w:sz w:val="20"/>
        </w:rPr>
        <w:t>extraordinaria,</w:t>
      </w:r>
      <w:r>
        <w:rPr>
          <w:spacing w:val="78"/>
          <w:sz w:val="20"/>
        </w:rPr>
        <w:t> </w:t>
      </w:r>
      <w:r>
        <w:rPr>
          <w:sz w:val="20"/>
        </w:rPr>
        <w:t>cuando</w:t>
      </w:r>
      <w:r>
        <w:rPr>
          <w:spacing w:val="78"/>
          <w:sz w:val="20"/>
        </w:rPr>
        <w:t> </w:t>
      </w:r>
      <w:r>
        <w:rPr>
          <w:sz w:val="20"/>
        </w:rPr>
        <w:t>ésta</w:t>
      </w:r>
      <w:r>
        <w:rPr>
          <w:spacing w:val="80"/>
          <w:sz w:val="20"/>
        </w:rPr>
        <w:t> </w:t>
      </w:r>
      <w:r>
        <w:rPr>
          <w:sz w:val="20"/>
        </w:rPr>
        <w:t>no</w:t>
      </w:r>
      <w:r>
        <w:rPr>
          <w:spacing w:val="78"/>
          <w:sz w:val="20"/>
        </w:rPr>
        <w:t> </w:t>
      </w:r>
      <w:r>
        <w:rPr>
          <w:sz w:val="20"/>
        </w:rPr>
        <w:t>exceda</w:t>
      </w:r>
      <w:r>
        <w:rPr>
          <w:spacing w:val="80"/>
          <w:sz w:val="20"/>
        </w:rPr>
        <w:t> </w:t>
      </w:r>
      <w:r>
        <w:rPr>
          <w:sz w:val="20"/>
        </w:rPr>
        <w:t>de</w:t>
      </w:r>
      <w:r>
        <w:rPr>
          <w:spacing w:val="80"/>
          <w:sz w:val="20"/>
        </w:rPr>
        <w:t> </w:t>
      </w:r>
      <w:r>
        <w:rPr>
          <w:sz w:val="20"/>
        </w:rPr>
        <w:t>nueve</w:t>
      </w:r>
      <w:r>
        <w:rPr>
          <w:spacing w:val="78"/>
          <w:sz w:val="20"/>
        </w:rPr>
        <w:t> </w:t>
      </w:r>
      <w:r>
        <w:rPr>
          <w:sz w:val="20"/>
        </w:rPr>
        <w:t>horas </w:t>
      </w:r>
      <w:r>
        <w:rPr>
          <w:spacing w:val="-2"/>
          <w:sz w:val="20"/>
        </w:rPr>
        <w:t>semanales;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ListParagraph"/>
        <w:numPr>
          <w:ilvl w:val="0"/>
          <w:numId w:val="306"/>
        </w:numPr>
        <w:tabs>
          <w:tab w:pos="1195" w:val="left" w:leader="none"/>
        </w:tabs>
        <w:spacing w:line="240" w:lineRule="auto" w:before="229" w:after="0"/>
        <w:ind w:left="1195" w:right="0" w:hanging="569"/>
        <w:jc w:val="left"/>
        <w:rPr>
          <w:sz w:val="20"/>
        </w:rPr>
      </w:pPr>
      <w:r>
        <w:rPr>
          <w:sz w:val="20"/>
        </w:rPr>
        <w:t>Pagos</w:t>
      </w:r>
      <w:r>
        <w:rPr>
          <w:spacing w:val="-6"/>
          <w:sz w:val="20"/>
        </w:rPr>
        <w:t> </w:t>
      </w:r>
      <w:r>
        <w:rPr>
          <w:sz w:val="20"/>
        </w:rPr>
        <w:t>de</w:t>
      </w:r>
      <w:r>
        <w:rPr>
          <w:spacing w:val="-5"/>
          <w:sz w:val="20"/>
        </w:rPr>
        <w:t> </w:t>
      </w:r>
      <w:r>
        <w:rPr>
          <w:sz w:val="20"/>
        </w:rPr>
        <w:t>días</w:t>
      </w:r>
      <w:r>
        <w:rPr>
          <w:spacing w:val="-5"/>
          <w:sz w:val="20"/>
        </w:rPr>
        <w:t> </w:t>
      </w:r>
      <w:r>
        <w:rPr>
          <w:sz w:val="20"/>
        </w:rPr>
        <w:t>de</w:t>
      </w:r>
      <w:r>
        <w:rPr>
          <w:spacing w:val="-7"/>
          <w:sz w:val="20"/>
        </w:rPr>
        <w:t> </w:t>
      </w:r>
      <w:r>
        <w:rPr>
          <w:sz w:val="20"/>
        </w:rPr>
        <w:t>descanso</w:t>
      </w:r>
      <w:r>
        <w:rPr>
          <w:spacing w:val="-4"/>
          <w:sz w:val="20"/>
        </w:rPr>
        <w:t> </w:t>
      </w:r>
      <w:r>
        <w:rPr>
          <w:sz w:val="20"/>
        </w:rPr>
        <w:t>y</w:t>
      </w:r>
      <w:r>
        <w:rPr>
          <w:spacing w:val="-7"/>
          <w:sz w:val="20"/>
        </w:rPr>
        <w:t> </w:t>
      </w:r>
      <w:r>
        <w:rPr>
          <w:sz w:val="20"/>
        </w:rPr>
        <w:t>obligatorios,</w:t>
      </w:r>
      <w:r>
        <w:rPr>
          <w:spacing w:val="-6"/>
          <w:sz w:val="20"/>
        </w:rPr>
        <w:t> </w:t>
      </w:r>
      <w:r>
        <w:rPr>
          <w:sz w:val="20"/>
        </w:rPr>
        <w:t>así</w:t>
      </w:r>
      <w:r>
        <w:rPr>
          <w:spacing w:val="-7"/>
          <w:sz w:val="20"/>
        </w:rPr>
        <w:t> </w:t>
      </w:r>
      <w:r>
        <w:rPr>
          <w:sz w:val="20"/>
        </w:rPr>
        <w:t>como</w:t>
      </w:r>
      <w:r>
        <w:rPr>
          <w:spacing w:val="-6"/>
          <w:sz w:val="20"/>
        </w:rPr>
        <w:t> </w:t>
      </w:r>
      <w:r>
        <w:rPr>
          <w:sz w:val="20"/>
        </w:rPr>
        <w:t>del</w:t>
      </w:r>
      <w:r>
        <w:rPr>
          <w:spacing w:val="-7"/>
          <w:sz w:val="20"/>
        </w:rPr>
        <w:t> </w:t>
      </w:r>
      <w:r>
        <w:rPr>
          <w:spacing w:val="-2"/>
          <w:sz w:val="20"/>
        </w:rPr>
        <w:t>aguinaldo;</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ListParagraph"/>
        <w:numPr>
          <w:ilvl w:val="0"/>
          <w:numId w:val="306"/>
        </w:numPr>
        <w:tabs>
          <w:tab w:pos="1195" w:val="left" w:leader="none"/>
        </w:tabs>
        <w:spacing w:line="240" w:lineRule="auto" w:before="229" w:after="0"/>
        <w:ind w:left="1195" w:right="0" w:hanging="569"/>
        <w:jc w:val="left"/>
        <w:rPr>
          <w:sz w:val="20"/>
        </w:rPr>
      </w:pPr>
      <w:r>
        <w:rPr>
          <w:sz w:val="20"/>
        </w:rPr>
        <w:t>Disfrute</w:t>
      </w:r>
      <w:r>
        <w:rPr>
          <w:spacing w:val="-5"/>
          <w:sz w:val="20"/>
        </w:rPr>
        <w:t> </w:t>
      </w:r>
      <w:r>
        <w:rPr>
          <w:sz w:val="20"/>
        </w:rPr>
        <w:t>y</w:t>
      </w:r>
      <w:r>
        <w:rPr>
          <w:spacing w:val="-7"/>
          <w:sz w:val="20"/>
        </w:rPr>
        <w:t> </w:t>
      </w:r>
      <w:r>
        <w:rPr>
          <w:sz w:val="20"/>
        </w:rPr>
        <w:t>pago</w:t>
      </w:r>
      <w:r>
        <w:rPr>
          <w:spacing w:val="-5"/>
          <w:sz w:val="20"/>
        </w:rPr>
        <w:t> </w:t>
      </w:r>
      <w:r>
        <w:rPr>
          <w:sz w:val="20"/>
        </w:rPr>
        <w:t>de</w:t>
      </w:r>
      <w:r>
        <w:rPr>
          <w:spacing w:val="-3"/>
          <w:sz w:val="20"/>
        </w:rPr>
        <w:t> </w:t>
      </w:r>
      <w:r>
        <w:rPr>
          <w:sz w:val="20"/>
        </w:rPr>
        <w:t>las</w:t>
      </w:r>
      <w:r>
        <w:rPr>
          <w:spacing w:val="-3"/>
          <w:sz w:val="20"/>
        </w:rPr>
        <w:t> </w:t>
      </w:r>
      <w:r>
        <w:rPr>
          <w:spacing w:val="-2"/>
          <w:sz w:val="20"/>
        </w:rPr>
        <w:t>vacaciones;</w:t>
      </w:r>
    </w:p>
    <w:p>
      <w:pPr>
        <w:pStyle w:val="BodyText"/>
        <w:spacing w:before="1"/>
      </w:pPr>
    </w:p>
    <w:p>
      <w:pPr>
        <w:pStyle w:val="ListParagraph"/>
        <w:numPr>
          <w:ilvl w:val="0"/>
          <w:numId w:val="306"/>
        </w:numPr>
        <w:tabs>
          <w:tab w:pos="1195" w:val="left" w:leader="none"/>
        </w:tabs>
        <w:spacing w:line="240" w:lineRule="auto" w:before="0" w:after="0"/>
        <w:ind w:left="1195" w:right="0" w:hanging="569"/>
        <w:jc w:val="left"/>
        <w:rPr>
          <w:sz w:val="20"/>
        </w:rPr>
      </w:pPr>
      <w:r>
        <w:rPr>
          <w:sz w:val="20"/>
        </w:rPr>
        <w:t>Pago</w:t>
      </w:r>
      <w:r>
        <w:rPr>
          <w:spacing w:val="-7"/>
          <w:sz w:val="20"/>
        </w:rPr>
        <w:t> </w:t>
      </w:r>
      <w:r>
        <w:rPr>
          <w:sz w:val="20"/>
        </w:rPr>
        <w:t>de</w:t>
      </w:r>
      <w:r>
        <w:rPr>
          <w:spacing w:val="-5"/>
          <w:sz w:val="20"/>
        </w:rPr>
        <w:t> </w:t>
      </w:r>
      <w:r>
        <w:rPr>
          <w:sz w:val="20"/>
        </w:rPr>
        <w:t>las</w:t>
      </w:r>
      <w:r>
        <w:rPr>
          <w:spacing w:val="-6"/>
          <w:sz w:val="20"/>
        </w:rPr>
        <w:t> </w:t>
      </w:r>
      <w:r>
        <w:rPr>
          <w:sz w:val="20"/>
        </w:rPr>
        <w:t>primas</w:t>
      </w:r>
      <w:r>
        <w:rPr>
          <w:spacing w:val="-6"/>
          <w:sz w:val="20"/>
        </w:rPr>
        <w:t> </w:t>
      </w:r>
      <w:r>
        <w:rPr>
          <w:sz w:val="20"/>
        </w:rPr>
        <w:t>dominical,</w:t>
      </w:r>
      <w:r>
        <w:rPr>
          <w:spacing w:val="-5"/>
          <w:sz w:val="20"/>
        </w:rPr>
        <w:t> </w:t>
      </w:r>
      <w:r>
        <w:rPr>
          <w:sz w:val="20"/>
        </w:rPr>
        <w:t>vacacional</w:t>
      </w:r>
      <w:r>
        <w:rPr>
          <w:spacing w:val="-6"/>
          <w:sz w:val="20"/>
        </w:rPr>
        <w:t> </w:t>
      </w:r>
      <w:r>
        <w:rPr>
          <w:sz w:val="20"/>
        </w:rPr>
        <w:t>y</w:t>
      </w:r>
      <w:r>
        <w:rPr>
          <w:spacing w:val="-8"/>
          <w:sz w:val="20"/>
        </w:rPr>
        <w:t> </w:t>
      </w:r>
      <w:r>
        <w:rPr>
          <w:sz w:val="20"/>
        </w:rPr>
        <w:t>de</w:t>
      </w:r>
      <w:r>
        <w:rPr>
          <w:spacing w:val="-6"/>
          <w:sz w:val="20"/>
        </w:rPr>
        <w:t> </w:t>
      </w:r>
      <w:r>
        <w:rPr>
          <w:spacing w:val="-2"/>
          <w:sz w:val="20"/>
        </w:rPr>
        <w:t>antigüedad;</w:t>
      </w:r>
    </w:p>
    <w:p>
      <w:pPr>
        <w:pStyle w:val="BodyText"/>
        <w:spacing w:before="1"/>
      </w:pPr>
    </w:p>
    <w:p>
      <w:pPr>
        <w:pStyle w:val="ListParagraph"/>
        <w:numPr>
          <w:ilvl w:val="0"/>
          <w:numId w:val="306"/>
        </w:numPr>
        <w:tabs>
          <w:tab w:pos="1195" w:val="left" w:leader="none"/>
        </w:tabs>
        <w:spacing w:line="240" w:lineRule="auto" w:before="0" w:after="0"/>
        <w:ind w:left="1195" w:right="0" w:hanging="569"/>
        <w:jc w:val="left"/>
        <w:rPr>
          <w:sz w:val="20"/>
        </w:rPr>
      </w:pPr>
      <w:r>
        <w:rPr>
          <w:sz w:val="20"/>
        </w:rPr>
        <w:t>Monto</w:t>
      </w:r>
      <w:r>
        <w:rPr>
          <w:spacing w:val="-4"/>
          <w:sz w:val="20"/>
        </w:rPr>
        <w:t> </w:t>
      </w:r>
      <w:r>
        <w:rPr>
          <w:sz w:val="20"/>
        </w:rPr>
        <w:t>y</w:t>
      </w:r>
      <w:r>
        <w:rPr>
          <w:spacing w:val="-6"/>
          <w:sz w:val="20"/>
        </w:rPr>
        <w:t> </w:t>
      </w:r>
      <w:r>
        <w:rPr>
          <w:sz w:val="20"/>
        </w:rPr>
        <w:t>pago</w:t>
      </w:r>
      <w:r>
        <w:rPr>
          <w:spacing w:val="-5"/>
          <w:sz w:val="20"/>
        </w:rPr>
        <w:t> </w:t>
      </w:r>
      <w:r>
        <w:rPr>
          <w:sz w:val="20"/>
        </w:rPr>
        <w:t>del</w:t>
      </w:r>
      <w:r>
        <w:rPr>
          <w:spacing w:val="-4"/>
          <w:sz w:val="20"/>
        </w:rPr>
        <w:t> </w:t>
      </w:r>
      <w:r>
        <w:rPr>
          <w:spacing w:val="-2"/>
          <w:sz w:val="20"/>
        </w:rPr>
        <w:t>salario;</w:t>
      </w:r>
    </w:p>
    <w:p>
      <w:pPr>
        <w:pStyle w:val="ListParagraph"/>
        <w:numPr>
          <w:ilvl w:val="0"/>
          <w:numId w:val="306"/>
        </w:numPr>
        <w:tabs>
          <w:tab w:pos="1195" w:val="left" w:leader="none"/>
        </w:tabs>
        <w:spacing w:line="240" w:lineRule="auto" w:before="229" w:after="0"/>
        <w:ind w:left="1195" w:right="0" w:hanging="569"/>
        <w:jc w:val="left"/>
        <w:rPr>
          <w:sz w:val="20"/>
        </w:rPr>
      </w:pPr>
      <w:r>
        <w:rPr>
          <w:sz w:val="20"/>
        </w:rPr>
        <w:t>Pago</w:t>
      </w:r>
      <w:r>
        <w:rPr>
          <w:spacing w:val="-8"/>
          <w:sz w:val="20"/>
        </w:rPr>
        <w:t> </w:t>
      </w:r>
      <w:r>
        <w:rPr>
          <w:sz w:val="20"/>
        </w:rPr>
        <w:t>de</w:t>
      </w:r>
      <w:r>
        <w:rPr>
          <w:spacing w:val="-5"/>
          <w:sz w:val="20"/>
        </w:rPr>
        <w:t> </w:t>
      </w:r>
      <w:r>
        <w:rPr>
          <w:sz w:val="20"/>
        </w:rPr>
        <w:t>la</w:t>
      </w:r>
      <w:r>
        <w:rPr>
          <w:spacing w:val="-7"/>
          <w:sz w:val="20"/>
        </w:rPr>
        <w:t> </w:t>
      </w:r>
      <w:r>
        <w:rPr>
          <w:sz w:val="20"/>
        </w:rPr>
        <w:t>participación</w:t>
      </w:r>
      <w:r>
        <w:rPr>
          <w:spacing w:val="-7"/>
          <w:sz w:val="20"/>
        </w:rPr>
        <w:t> </w:t>
      </w:r>
      <w:r>
        <w:rPr>
          <w:sz w:val="20"/>
        </w:rPr>
        <w:t>de</w:t>
      </w:r>
      <w:r>
        <w:rPr>
          <w:spacing w:val="-5"/>
          <w:sz w:val="20"/>
        </w:rPr>
        <w:t> </w:t>
      </w:r>
      <w:r>
        <w:rPr>
          <w:sz w:val="20"/>
        </w:rPr>
        <w:t>los</w:t>
      </w:r>
      <w:r>
        <w:rPr>
          <w:spacing w:val="-6"/>
          <w:sz w:val="20"/>
        </w:rPr>
        <w:t> </w:t>
      </w:r>
      <w:r>
        <w:rPr>
          <w:sz w:val="20"/>
        </w:rPr>
        <w:t>trabajadores</w:t>
      </w:r>
      <w:r>
        <w:rPr>
          <w:spacing w:val="-4"/>
          <w:sz w:val="20"/>
        </w:rPr>
        <w:t> </w:t>
      </w:r>
      <w:r>
        <w:rPr>
          <w:sz w:val="20"/>
        </w:rPr>
        <w:t>en</w:t>
      </w:r>
      <w:r>
        <w:rPr>
          <w:spacing w:val="-6"/>
          <w:sz w:val="20"/>
        </w:rPr>
        <w:t> </w:t>
      </w:r>
      <w:r>
        <w:rPr>
          <w:sz w:val="20"/>
        </w:rPr>
        <w:t>las</w:t>
      </w:r>
      <w:r>
        <w:rPr>
          <w:spacing w:val="-6"/>
          <w:sz w:val="20"/>
        </w:rPr>
        <w:t> </w:t>
      </w:r>
      <w:r>
        <w:rPr>
          <w:sz w:val="20"/>
        </w:rPr>
        <w:t>utilidades</w:t>
      </w:r>
      <w:r>
        <w:rPr>
          <w:spacing w:val="-5"/>
          <w:sz w:val="20"/>
        </w:rPr>
        <w:t> </w:t>
      </w:r>
      <w:r>
        <w:rPr>
          <w:sz w:val="20"/>
        </w:rPr>
        <w:t>de</w:t>
      </w:r>
      <w:r>
        <w:rPr>
          <w:spacing w:val="-6"/>
          <w:sz w:val="20"/>
        </w:rPr>
        <w:t> </w:t>
      </w:r>
      <w:r>
        <w:rPr>
          <w:sz w:val="20"/>
        </w:rPr>
        <w:t>las</w:t>
      </w:r>
      <w:r>
        <w:rPr>
          <w:spacing w:val="-6"/>
          <w:sz w:val="20"/>
        </w:rPr>
        <w:t> </w:t>
      </w:r>
      <w:r>
        <w:rPr>
          <w:sz w:val="20"/>
        </w:rPr>
        <w:t>empresas;</w:t>
      </w:r>
      <w:r>
        <w:rPr>
          <w:spacing w:val="-5"/>
          <w:sz w:val="20"/>
        </w:rPr>
        <w:t> </w:t>
      </w:r>
      <w:r>
        <w:rPr>
          <w:spacing w:val="-10"/>
          <w:sz w:val="20"/>
        </w:rPr>
        <w:t>y</w:t>
      </w:r>
    </w:p>
    <w:p>
      <w:pPr>
        <w:pStyle w:val="BodyText"/>
      </w:pPr>
    </w:p>
    <w:p>
      <w:pPr>
        <w:pStyle w:val="ListParagraph"/>
        <w:numPr>
          <w:ilvl w:val="0"/>
          <w:numId w:val="306"/>
        </w:numPr>
        <w:tabs>
          <w:tab w:pos="1195" w:val="left" w:leader="none"/>
        </w:tabs>
        <w:spacing w:line="242" w:lineRule="auto" w:before="0" w:after="0"/>
        <w:ind w:left="1195" w:right="343" w:hanging="569"/>
        <w:jc w:val="left"/>
        <w:rPr>
          <w:sz w:val="20"/>
        </w:rPr>
      </w:pPr>
      <w:r>
        <w:rPr>
          <w:sz w:val="20"/>
        </w:rPr>
        <w:t>Incorporación y aportaciones al Instituto Mexicano del Seguro Social; al Fondo Nacional de la</w:t>
      </w:r>
      <w:r>
        <w:rPr>
          <w:spacing w:val="40"/>
          <w:sz w:val="20"/>
        </w:rPr>
        <w:t> </w:t>
      </w:r>
      <w:r>
        <w:rPr>
          <w:sz w:val="20"/>
        </w:rPr>
        <w:t>Vivienda y al Sistema de Ahorro para el Retiro.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firstLine="288"/>
      </w:pPr>
      <w:r>
        <w:rPr/>
        <w:t>La</w:t>
      </w:r>
      <w:r>
        <w:rPr>
          <w:spacing w:val="26"/>
        </w:rPr>
        <w:t> </w:t>
      </w:r>
      <w:r>
        <w:rPr/>
        <w:t>pérdida</w:t>
      </w:r>
      <w:r>
        <w:rPr>
          <w:spacing w:val="28"/>
        </w:rPr>
        <w:t> </w:t>
      </w:r>
      <w:r>
        <w:rPr/>
        <w:t>o</w:t>
      </w:r>
      <w:r>
        <w:rPr>
          <w:spacing w:val="29"/>
        </w:rPr>
        <w:t> </w:t>
      </w:r>
      <w:r>
        <w:rPr/>
        <w:t>destrucción</w:t>
      </w:r>
      <w:r>
        <w:rPr>
          <w:spacing w:val="29"/>
        </w:rPr>
        <w:t> </w:t>
      </w:r>
      <w:r>
        <w:rPr/>
        <w:t>de</w:t>
      </w:r>
      <w:r>
        <w:rPr>
          <w:spacing w:val="28"/>
        </w:rPr>
        <w:t> </w:t>
      </w:r>
      <w:r>
        <w:rPr/>
        <w:t>los</w:t>
      </w:r>
      <w:r>
        <w:rPr>
          <w:spacing w:val="27"/>
        </w:rPr>
        <w:t> </w:t>
      </w:r>
      <w:r>
        <w:rPr/>
        <w:t>documentos</w:t>
      </w:r>
      <w:r>
        <w:rPr>
          <w:spacing w:val="27"/>
        </w:rPr>
        <w:t> </w:t>
      </w:r>
      <w:r>
        <w:rPr/>
        <w:t>señalados</w:t>
      </w:r>
      <w:r>
        <w:rPr>
          <w:spacing w:val="28"/>
        </w:rPr>
        <w:t> </w:t>
      </w:r>
      <w:r>
        <w:rPr/>
        <w:t>en</w:t>
      </w:r>
      <w:r>
        <w:rPr>
          <w:spacing w:val="28"/>
        </w:rPr>
        <w:t> </w:t>
      </w:r>
      <w:r>
        <w:rPr/>
        <w:t>este</w:t>
      </w:r>
      <w:r>
        <w:rPr>
          <w:spacing w:val="28"/>
        </w:rPr>
        <w:t> </w:t>
      </w:r>
      <w:r>
        <w:rPr/>
        <w:t>artículo,</w:t>
      </w:r>
      <w:r>
        <w:rPr>
          <w:spacing w:val="28"/>
        </w:rPr>
        <w:t> </w:t>
      </w:r>
      <w:r>
        <w:rPr/>
        <w:t>por</w:t>
      </w:r>
      <w:r>
        <w:rPr>
          <w:spacing w:val="32"/>
        </w:rPr>
        <w:t> </w:t>
      </w:r>
      <w:r>
        <w:rPr/>
        <w:t>caso</w:t>
      </w:r>
      <w:r>
        <w:rPr>
          <w:spacing w:val="26"/>
        </w:rPr>
        <w:t> </w:t>
      </w:r>
      <w:r>
        <w:rPr/>
        <w:t>fortuito</w:t>
      </w:r>
      <w:r>
        <w:rPr>
          <w:spacing w:val="28"/>
        </w:rPr>
        <w:t> </w:t>
      </w:r>
      <w:r>
        <w:rPr/>
        <w:t>o</w:t>
      </w:r>
      <w:r>
        <w:rPr>
          <w:spacing w:val="26"/>
        </w:rPr>
        <w:t> </w:t>
      </w:r>
      <w:r>
        <w:rPr/>
        <w:t>fuerza mayor, no releva al patrón de probar su dicho por otros medios.</w:t>
      </w:r>
    </w:p>
    <w:p>
      <w:pPr>
        <w:pStyle w:val="BodyText"/>
        <w:spacing w:after="0"/>
        <w:sectPr>
          <w:pgSz w:w="12240" w:h="15840"/>
          <w:pgMar w:header="724" w:footer="712" w:top="1880" w:bottom="900" w:left="1080" w:right="1080"/>
        </w:sectPr>
      </w:pPr>
    </w:p>
    <w:p>
      <w:pPr>
        <w:pStyle w:val="BodyText"/>
        <w:spacing w:before="109"/>
        <w:rPr>
          <w:sz w:val="16"/>
        </w:rPr>
      </w:pPr>
    </w:p>
    <w:p>
      <w:pPr>
        <w:spacing w:before="0"/>
        <w:ind w:left="7347" w:right="33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8"/>
        <w:rPr>
          <w:rFonts w:ascii="Times New Roman"/>
          <w:i/>
          <w:sz w:val="16"/>
        </w:rPr>
      </w:pPr>
    </w:p>
    <w:p>
      <w:pPr>
        <w:pStyle w:val="BodyText"/>
        <w:ind w:left="338" w:right="336" w:firstLine="288"/>
        <w:jc w:val="both"/>
      </w:pPr>
      <w:bookmarkStart w:name="Artículo_785" w:id="996"/>
      <w:bookmarkEnd w:id="996"/>
      <w:r>
        <w:rPr/>
      </w:r>
      <w:r>
        <w:rPr>
          <w:rFonts w:ascii="Arial" w:hAnsi="Arial"/>
          <w:b/>
        </w:rPr>
        <w:t>Artículo 785.- </w:t>
      </w:r>
      <w:r>
        <w:rPr/>
        <w:t>Si alguna persona está imposibilitada por enfermedad u otra causa para concurrir al local del Tribunal para absolver posiciones; reconocer el contenido o firma de un documento o rendir testimonio, y lo justifica a juicio del mismo, mediante certificado médico u otra constancia fehaciente que exhiba bajo protesta de decir verdad e indicando el domicilio en el que se encuentra la persona imposibilitada, el juez dispondrá lo necesario para desahogar la prueba en la misma audiencia, ya sea en el local del Tribunal o en el domicilio en el que se encuentre dicha persona, a menos que exista imposibilidad para ello, lo que deberá justificarse plenamente; en este caso se deberá señalar nuevo día</w:t>
      </w:r>
      <w:r>
        <w:rPr>
          <w:spacing w:val="80"/>
        </w:rPr>
        <w:t> </w:t>
      </w:r>
      <w:r>
        <w:rPr/>
        <w:t>y hora para desahogar la prueba dentro de los tres días siguientes.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338" w:right="357" w:firstLine="288"/>
      </w:pPr>
      <w:r>
        <w:rPr/>
        <w:t>El juez podrá ordenar que el actuario judicial se traslade de inmediato a efecto de que se cerciore que la persona imposibilitada se encuentra en el domicilio proporcionado.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338" w:right="357" w:firstLine="288"/>
      </w:pPr>
      <w:r>
        <w:rPr/>
        <w:t>De no encontrarse ésta en el domicilio se le declarará confeso o por reconocidos los documentos a</w:t>
      </w:r>
      <w:r>
        <w:rPr>
          <w:spacing w:val="80"/>
        </w:rPr>
        <w:t> </w:t>
      </w:r>
      <w:r>
        <w:rPr/>
        <w:t>que se refiere la diligencia o bien, por desierta la prueba, según sea el caso.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338" w:right="337" w:firstLine="288"/>
        <w:jc w:val="both"/>
      </w:pPr>
      <w:r>
        <w:rPr/>
        <w:t>Los certificados médicos deberán contener el nombre y número de cédula profesional de quien los expida, la fecha y el estado patológico que impide la comparecencia del citado. Los certificados médicos expedidos por instituciones públicas de seguridad social no requieren ser ratificados.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30-01-1980.</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Heading2"/>
        <w:ind w:left="4117" w:right="4114" w:firstLine="5"/>
      </w:pPr>
      <w:r>
        <w:rPr/>
        <w:t>Sección</w:t>
      </w:r>
      <w:r>
        <w:rPr>
          <w:spacing w:val="-16"/>
        </w:rPr>
        <w:t> </w:t>
      </w:r>
      <w:r>
        <w:rPr/>
        <w:t>Segunda De</w:t>
      </w:r>
      <w:r>
        <w:rPr>
          <w:spacing w:val="-1"/>
        </w:rPr>
        <w:t> </w:t>
      </w:r>
      <w:r>
        <w:rPr/>
        <w:t>la </w:t>
      </w:r>
      <w:r>
        <w:rPr>
          <w:spacing w:val="-2"/>
        </w:rPr>
        <w:t>Confesional</w:t>
      </w:r>
    </w:p>
    <w:p>
      <w:pPr>
        <w:spacing w:before="3"/>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4"/>
        <w:rPr>
          <w:rFonts w:ascii="Times New Roman"/>
          <w:i/>
          <w:sz w:val="16"/>
        </w:rPr>
      </w:pPr>
    </w:p>
    <w:p>
      <w:pPr>
        <w:pStyle w:val="BodyText"/>
        <w:spacing w:line="242" w:lineRule="auto" w:before="1"/>
        <w:ind w:left="338" w:firstLine="288"/>
      </w:pPr>
      <w:bookmarkStart w:name="Artículo_786" w:id="997"/>
      <w:bookmarkEnd w:id="997"/>
      <w:r>
        <w:rPr/>
      </w:r>
      <w:r>
        <w:rPr>
          <w:rFonts w:ascii="Arial" w:hAnsi="Arial"/>
          <w:b/>
        </w:rPr>
        <w:t>Artículo 786.- </w:t>
      </w:r>
      <w:r>
        <w:rPr/>
        <w:t>Cada parte podrá solicitar que se cite a su contraparte para que concurra a absolver</w:t>
      </w:r>
      <w:r>
        <w:rPr>
          <w:spacing w:val="80"/>
        </w:rPr>
        <w:t> </w:t>
      </w:r>
      <w:r>
        <w:rPr/>
        <w:t>posiciones y responder preguntas.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7" w:firstLine="288"/>
        <w:jc w:val="both"/>
      </w:pPr>
      <w:r>
        <w:rPr/>
        <w:t>Tratándose de personas morales, la confesional puede desahogarse por conducto de su</w:t>
      </w:r>
      <w:r>
        <w:rPr>
          <w:spacing w:val="40"/>
        </w:rPr>
        <w:t> </w:t>
      </w:r>
      <w:r>
        <w:rPr/>
        <w:t>representante legal o apoderado con facultades para absolver posiciones.</w:t>
      </w:r>
    </w:p>
    <w:p>
      <w:pPr>
        <w:pStyle w:val="BodyText"/>
        <w:spacing w:before="1"/>
      </w:pPr>
    </w:p>
    <w:p>
      <w:pPr>
        <w:pStyle w:val="BodyText"/>
        <w:ind w:left="338" w:right="341" w:firstLine="288"/>
        <w:jc w:val="both"/>
      </w:pPr>
      <w:r>
        <w:rPr/>
        <w:t>Los</w:t>
      </w:r>
      <w:r>
        <w:rPr>
          <w:spacing w:val="-1"/>
        </w:rPr>
        <w:t> </w:t>
      </w:r>
      <w:r>
        <w:rPr/>
        <w:t>sindicatos</w:t>
      </w:r>
      <w:r>
        <w:rPr>
          <w:spacing w:val="-1"/>
        </w:rPr>
        <w:t> </w:t>
      </w:r>
      <w:r>
        <w:rPr/>
        <w:t>u organizaciones de trabajadores o patrones</w:t>
      </w:r>
      <w:r>
        <w:rPr>
          <w:spacing w:val="-1"/>
        </w:rPr>
        <w:t> </w:t>
      </w:r>
      <w:r>
        <w:rPr/>
        <w:t>absolverán posiciones</w:t>
      </w:r>
      <w:r>
        <w:rPr>
          <w:spacing w:val="-1"/>
        </w:rPr>
        <w:t> </w:t>
      </w:r>
      <w:r>
        <w:rPr/>
        <w:t>por</w:t>
      </w:r>
      <w:r>
        <w:rPr>
          <w:spacing w:val="-1"/>
        </w:rPr>
        <w:t> </w:t>
      </w:r>
      <w:r>
        <w:rPr/>
        <w:t>conducto de</w:t>
      </w:r>
      <w:r>
        <w:rPr>
          <w:spacing w:val="-2"/>
        </w:rPr>
        <w:t> </w:t>
      </w:r>
      <w:r>
        <w:rPr/>
        <w:t>su secretario general o integrante de la representación estatutariamente autorizada o por apoderado con facultades expresas.</w:t>
      </w:r>
    </w:p>
    <w:p>
      <w:pPr>
        <w:spacing w:line="181"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42" w:firstLine="288"/>
        <w:jc w:val="both"/>
      </w:pPr>
      <w:bookmarkStart w:name="Artículo_787" w:id="998"/>
      <w:bookmarkEnd w:id="998"/>
      <w:r>
        <w:rPr/>
      </w:r>
      <w:r>
        <w:rPr>
          <w:rFonts w:ascii="Arial" w:hAnsi="Arial"/>
          <w:b/>
        </w:rPr>
        <w:t>Artículo 787.- </w:t>
      </w:r>
      <w:r>
        <w:rPr/>
        <w:t>Las partes podrán también solicitar que se cite a absolver posiciones o responder preguntas personalmente a los directores, administradores, gerentes y, en general, a las personas que ejerzan funciones de dirección y administración, en la empresa o establecimiento, así como a los miembros de la directiva de los sindicatos, cuando los hechos que dieron origen al conflicto les sean propios y se les hayan atribuido en la demanda o contestación, o bien que por razones de sus funciones les deban ser conocidos.</w:t>
      </w:r>
    </w:p>
    <w:p>
      <w:pPr>
        <w:pStyle w:val="BodyText"/>
        <w:spacing w:before="3"/>
      </w:pPr>
    </w:p>
    <w:p>
      <w:pPr>
        <w:pStyle w:val="BodyText"/>
        <w:spacing w:before="1"/>
        <w:ind w:left="338" w:right="343" w:firstLine="288"/>
        <w:jc w:val="both"/>
      </w:pPr>
      <w:r>
        <w:rPr/>
        <w:t>La presentación de los absolventes a que se refiere el párrafo anterior para el desahogo de su confesional en la audiencia de juicio, quedará a cargo del apoderado legal de la parte patronal, salvo que demuestre causa justificada que lo impida, en cuyo caso el tribunal lo citará por conducto de actuario.</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42" w:firstLine="288"/>
      </w:pPr>
      <w:r>
        <w:rPr/>
        <w:t>El</w:t>
      </w:r>
      <w:r>
        <w:rPr>
          <w:spacing w:val="33"/>
        </w:rPr>
        <w:t> </w:t>
      </w:r>
      <w:r>
        <w:rPr/>
        <w:t>juez</w:t>
      </w:r>
      <w:r>
        <w:rPr>
          <w:spacing w:val="33"/>
        </w:rPr>
        <w:t> </w:t>
      </w:r>
      <w:r>
        <w:rPr/>
        <w:t>podrá</w:t>
      </w:r>
      <w:r>
        <w:rPr>
          <w:spacing w:val="36"/>
        </w:rPr>
        <w:t> </w:t>
      </w:r>
      <w:r>
        <w:rPr/>
        <w:t>desechar</w:t>
      </w:r>
      <w:r>
        <w:rPr>
          <w:spacing w:val="34"/>
        </w:rPr>
        <w:t> </w:t>
      </w:r>
      <w:r>
        <w:rPr/>
        <w:t>la</w:t>
      </w:r>
      <w:r>
        <w:rPr>
          <w:spacing w:val="36"/>
        </w:rPr>
        <w:t> </w:t>
      </w:r>
      <w:r>
        <w:rPr/>
        <w:t>confesional</w:t>
      </w:r>
      <w:r>
        <w:rPr>
          <w:spacing w:val="32"/>
        </w:rPr>
        <w:t> </w:t>
      </w:r>
      <w:r>
        <w:rPr/>
        <w:t>o</w:t>
      </w:r>
      <w:r>
        <w:rPr>
          <w:spacing w:val="36"/>
        </w:rPr>
        <w:t> </w:t>
      </w:r>
      <w:r>
        <w:rPr/>
        <w:t>interrogatorio</w:t>
      </w:r>
      <w:r>
        <w:rPr>
          <w:spacing w:val="33"/>
        </w:rPr>
        <w:t> </w:t>
      </w:r>
      <w:r>
        <w:rPr/>
        <w:t>para</w:t>
      </w:r>
      <w:r>
        <w:rPr>
          <w:spacing w:val="33"/>
        </w:rPr>
        <w:t> </w:t>
      </w:r>
      <w:r>
        <w:rPr/>
        <w:t>hechos</w:t>
      </w:r>
      <w:r>
        <w:rPr>
          <w:spacing w:val="35"/>
        </w:rPr>
        <w:t> </w:t>
      </w:r>
      <w:r>
        <w:rPr/>
        <w:t>propios</w:t>
      </w:r>
      <w:r>
        <w:rPr>
          <w:spacing w:val="34"/>
        </w:rPr>
        <w:t> </w:t>
      </w:r>
      <w:r>
        <w:rPr/>
        <w:t>del</w:t>
      </w:r>
      <w:r>
        <w:rPr>
          <w:spacing w:val="33"/>
        </w:rPr>
        <w:t> </w:t>
      </w:r>
      <w:r>
        <w:rPr/>
        <w:t>absolvente</w:t>
      </w:r>
      <w:r>
        <w:rPr>
          <w:spacing w:val="33"/>
        </w:rPr>
        <w:t> </w:t>
      </w:r>
      <w:r>
        <w:rPr/>
        <w:t>que</w:t>
      </w:r>
      <w:r>
        <w:rPr>
          <w:spacing w:val="33"/>
        </w:rPr>
        <w:t> </w:t>
      </w:r>
      <w:r>
        <w:rPr/>
        <w:t>se pretenda comparezca a juicio, cuando:</w:t>
      </w:r>
    </w:p>
    <w:p>
      <w:pPr>
        <w:pStyle w:val="ListParagraph"/>
        <w:numPr>
          <w:ilvl w:val="1"/>
          <w:numId w:val="306"/>
        </w:numPr>
        <w:tabs>
          <w:tab w:pos="984" w:val="left" w:leader="none"/>
        </w:tabs>
        <w:spacing w:line="240" w:lineRule="auto" w:before="229" w:after="0"/>
        <w:ind w:left="984" w:right="0" w:hanging="358"/>
        <w:jc w:val="left"/>
        <w:rPr>
          <w:sz w:val="20"/>
        </w:rPr>
      </w:pPr>
      <w:r>
        <w:rPr>
          <w:sz w:val="20"/>
        </w:rPr>
        <w:t>No</w:t>
      </w:r>
      <w:r>
        <w:rPr>
          <w:spacing w:val="-7"/>
          <w:sz w:val="20"/>
        </w:rPr>
        <w:t> </w:t>
      </w:r>
      <w:r>
        <w:rPr>
          <w:sz w:val="20"/>
        </w:rPr>
        <w:t>se</w:t>
      </w:r>
      <w:r>
        <w:rPr>
          <w:spacing w:val="-6"/>
          <w:sz w:val="20"/>
        </w:rPr>
        <w:t> </w:t>
      </w:r>
      <w:r>
        <w:rPr>
          <w:sz w:val="20"/>
        </w:rPr>
        <w:t>cumplan</w:t>
      </w:r>
      <w:r>
        <w:rPr>
          <w:spacing w:val="-5"/>
          <w:sz w:val="20"/>
        </w:rPr>
        <w:t> </w:t>
      </w:r>
      <w:r>
        <w:rPr>
          <w:sz w:val="20"/>
        </w:rPr>
        <w:t>las</w:t>
      </w:r>
      <w:r>
        <w:rPr>
          <w:spacing w:val="-5"/>
          <w:sz w:val="20"/>
        </w:rPr>
        <w:t> </w:t>
      </w:r>
      <w:r>
        <w:rPr>
          <w:sz w:val="20"/>
        </w:rPr>
        <w:t>hipótesis</w:t>
      </w:r>
      <w:r>
        <w:rPr>
          <w:spacing w:val="-5"/>
          <w:sz w:val="20"/>
        </w:rPr>
        <w:t> </w:t>
      </w:r>
      <w:r>
        <w:rPr>
          <w:sz w:val="20"/>
        </w:rPr>
        <w:t>previstas</w:t>
      </w:r>
      <w:r>
        <w:rPr>
          <w:spacing w:val="-5"/>
          <w:sz w:val="20"/>
        </w:rPr>
        <w:t> </w:t>
      </w:r>
      <w:r>
        <w:rPr>
          <w:sz w:val="20"/>
        </w:rPr>
        <w:t>en</w:t>
      </w:r>
      <w:r>
        <w:rPr>
          <w:spacing w:val="-6"/>
          <w:sz w:val="20"/>
        </w:rPr>
        <w:t> </w:t>
      </w:r>
      <w:r>
        <w:rPr>
          <w:sz w:val="20"/>
        </w:rPr>
        <w:t>el</w:t>
      </w:r>
      <w:r>
        <w:rPr>
          <w:spacing w:val="-5"/>
          <w:sz w:val="20"/>
        </w:rPr>
        <w:t> </w:t>
      </w:r>
      <w:r>
        <w:rPr>
          <w:sz w:val="20"/>
        </w:rPr>
        <w:t>primer</w:t>
      </w:r>
      <w:r>
        <w:rPr>
          <w:spacing w:val="-6"/>
          <w:sz w:val="20"/>
        </w:rPr>
        <w:t> </w:t>
      </w:r>
      <w:r>
        <w:rPr>
          <w:sz w:val="20"/>
        </w:rPr>
        <w:t>párrafo</w:t>
      </w:r>
      <w:r>
        <w:rPr>
          <w:spacing w:val="-6"/>
          <w:sz w:val="20"/>
        </w:rPr>
        <w:t> </w:t>
      </w:r>
      <w:r>
        <w:rPr>
          <w:sz w:val="20"/>
        </w:rPr>
        <w:t>del</w:t>
      </w:r>
      <w:r>
        <w:rPr>
          <w:spacing w:val="-7"/>
          <w:sz w:val="20"/>
        </w:rPr>
        <w:t> </w:t>
      </w:r>
      <w:r>
        <w:rPr>
          <w:sz w:val="20"/>
        </w:rPr>
        <w:t>presente</w:t>
      </w:r>
      <w:r>
        <w:rPr>
          <w:spacing w:val="-4"/>
          <w:sz w:val="20"/>
        </w:rPr>
        <w:t> </w:t>
      </w:r>
      <w:r>
        <w:rPr>
          <w:spacing w:val="-2"/>
          <w:sz w:val="20"/>
        </w:rPr>
        <w:t>artículo;</w:t>
      </w:r>
    </w:p>
    <w:p>
      <w:pPr>
        <w:pStyle w:val="BodyText"/>
        <w:spacing w:before="1"/>
      </w:pPr>
    </w:p>
    <w:p>
      <w:pPr>
        <w:pStyle w:val="ListParagraph"/>
        <w:numPr>
          <w:ilvl w:val="1"/>
          <w:numId w:val="306"/>
        </w:numPr>
        <w:tabs>
          <w:tab w:pos="984" w:val="left" w:leader="none"/>
          <w:tab w:pos="986" w:val="left" w:leader="none"/>
        </w:tabs>
        <w:spacing w:line="240" w:lineRule="auto" w:before="0" w:after="0"/>
        <w:ind w:left="986" w:right="347" w:hanging="360"/>
        <w:jc w:val="left"/>
        <w:rPr>
          <w:sz w:val="20"/>
        </w:rPr>
      </w:pPr>
      <w:r>
        <w:rPr>
          <w:sz w:val="20"/>
        </w:rPr>
        <w:t>Sea</w:t>
      </w:r>
      <w:r>
        <w:rPr>
          <w:spacing w:val="39"/>
          <w:sz w:val="20"/>
        </w:rPr>
        <w:t> </w:t>
      </w:r>
      <w:r>
        <w:rPr>
          <w:sz w:val="20"/>
        </w:rPr>
        <w:t>sobreabundante</w:t>
      </w:r>
      <w:r>
        <w:rPr>
          <w:spacing w:val="39"/>
          <w:sz w:val="20"/>
        </w:rPr>
        <w:t> </w:t>
      </w:r>
      <w:r>
        <w:rPr>
          <w:sz w:val="20"/>
        </w:rPr>
        <w:t>o</w:t>
      </w:r>
      <w:r>
        <w:rPr>
          <w:spacing w:val="39"/>
          <w:sz w:val="20"/>
        </w:rPr>
        <w:t> </w:t>
      </w:r>
      <w:r>
        <w:rPr>
          <w:sz w:val="20"/>
        </w:rPr>
        <w:t>se</w:t>
      </w:r>
      <w:r>
        <w:rPr>
          <w:spacing w:val="40"/>
          <w:sz w:val="20"/>
        </w:rPr>
        <w:t> </w:t>
      </w:r>
      <w:r>
        <w:rPr>
          <w:sz w:val="20"/>
        </w:rPr>
        <w:t>trate</w:t>
      </w:r>
      <w:r>
        <w:rPr>
          <w:spacing w:val="39"/>
          <w:sz w:val="20"/>
        </w:rPr>
        <w:t> </w:t>
      </w:r>
      <w:r>
        <w:rPr>
          <w:sz w:val="20"/>
        </w:rPr>
        <w:t>de</w:t>
      </w:r>
      <w:r>
        <w:rPr>
          <w:spacing w:val="39"/>
          <w:sz w:val="20"/>
        </w:rPr>
        <w:t> </w:t>
      </w:r>
      <w:r>
        <w:rPr>
          <w:sz w:val="20"/>
        </w:rPr>
        <w:t>absolventes</w:t>
      </w:r>
      <w:r>
        <w:rPr>
          <w:spacing w:val="40"/>
          <w:sz w:val="20"/>
        </w:rPr>
        <w:t> </w:t>
      </w:r>
      <w:r>
        <w:rPr>
          <w:sz w:val="20"/>
        </w:rPr>
        <w:t>cuya</w:t>
      </w:r>
      <w:r>
        <w:rPr>
          <w:spacing w:val="39"/>
          <w:sz w:val="20"/>
        </w:rPr>
        <w:t> </w:t>
      </w:r>
      <w:r>
        <w:rPr>
          <w:sz w:val="20"/>
        </w:rPr>
        <w:t>confesión</w:t>
      </w:r>
      <w:r>
        <w:rPr>
          <w:spacing w:val="40"/>
          <w:sz w:val="20"/>
        </w:rPr>
        <w:t> </w:t>
      </w:r>
      <w:r>
        <w:rPr>
          <w:sz w:val="20"/>
        </w:rPr>
        <w:t>o</w:t>
      </w:r>
      <w:r>
        <w:rPr>
          <w:spacing w:val="39"/>
          <w:sz w:val="20"/>
        </w:rPr>
        <w:t> </w:t>
      </w:r>
      <w:r>
        <w:rPr>
          <w:sz w:val="20"/>
        </w:rPr>
        <w:t>declaración</w:t>
      </w:r>
      <w:r>
        <w:rPr>
          <w:spacing w:val="40"/>
          <w:sz w:val="20"/>
        </w:rPr>
        <w:t> </w:t>
      </w:r>
      <w:r>
        <w:rPr>
          <w:sz w:val="20"/>
        </w:rPr>
        <w:t>verse</w:t>
      </w:r>
      <w:r>
        <w:rPr>
          <w:spacing w:val="39"/>
          <w:sz w:val="20"/>
        </w:rPr>
        <w:t> </w:t>
      </w:r>
      <w:r>
        <w:rPr>
          <w:sz w:val="20"/>
        </w:rPr>
        <w:t>sobre</w:t>
      </w:r>
      <w:r>
        <w:rPr>
          <w:spacing w:val="39"/>
          <w:sz w:val="20"/>
        </w:rPr>
        <w:t> </w:t>
      </w:r>
      <w:r>
        <w:rPr>
          <w:sz w:val="20"/>
        </w:rPr>
        <w:t>los mismos hechos;</w:t>
      </w:r>
    </w:p>
    <w:p>
      <w:pPr>
        <w:pStyle w:val="ListParagraph"/>
        <w:numPr>
          <w:ilvl w:val="1"/>
          <w:numId w:val="306"/>
        </w:numPr>
        <w:tabs>
          <w:tab w:pos="984" w:val="left" w:leader="none"/>
          <w:tab w:pos="986" w:val="left" w:leader="none"/>
        </w:tabs>
        <w:spacing w:line="242" w:lineRule="auto" w:before="229" w:after="0"/>
        <w:ind w:left="986" w:right="346" w:hanging="360"/>
        <w:jc w:val="left"/>
        <w:rPr>
          <w:sz w:val="20"/>
        </w:rPr>
      </w:pPr>
      <w:r>
        <w:rPr>
          <w:sz w:val="20"/>
        </w:rPr>
        <w:t>Cuando</w:t>
      </w:r>
      <w:r>
        <w:rPr>
          <w:spacing w:val="24"/>
          <w:sz w:val="20"/>
        </w:rPr>
        <w:t> </w:t>
      </w:r>
      <w:r>
        <w:rPr>
          <w:sz w:val="20"/>
        </w:rPr>
        <w:t>los</w:t>
      </w:r>
      <w:r>
        <w:rPr>
          <w:spacing w:val="25"/>
          <w:sz w:val="20"/>
        </w:rPr>
        <w:t> </w:t>
      </w:r>
      <w:r>
        <w:rPr>
          <w:sz w:val="20"/>
        </w:rPr>
        <w:t>hechos</w:t>
      </w:r>
      <w:r>
        <w:rPr>
          <w:spacing w:val="23"/>
          <w:sz w:val="20"/>
        </w:rPr>
        <w:t> </w:t>
      </w:r>
      <w:r>
        <w:rPr>
          <w:sz w:val="20"/>
        </w:rPr>
        <w:t>sobre</w:t>
      </w:r>
      <w:r>
        <w:rPr>
          <w:spacing w:val="26"/>
          <w:sz w:val="20"/>
        </w:rPr>
        <w:t> </w:t>
      </w:r>
      <w:r>
        <w:rPr>
          <w:sz w:val="20"/>
        </w:rPr>
        <w:t>los</w:t>
      </w:r>
      <w:r>
        <w:rPr>
          <w:spacing w:val="23"/>
          <w:sz w:val="20"/>
        </w:rPr>
        <w:t> </w:t>
      </w:r>
      <w:r>
        <w:rPr>
          <w:sz w:val="20"/>
        </w:rPr>
        <w:t>que</w:t>
      </w:r>
      <w:r>
        <w:rPr>
          <w:spacing w:val="24"/>
          <w:sz w:val="20"/>
        </w:rPr>
        <w:t> </w:t>
      </w:r>
      <w:r>
        <w:rPr>
          <w:sz w:val="20"/>
        </w:rPr>
        <w:t>se</w:t>
      </w:r>
      <w:r>
        <w:rPr>
          <w:spacing w:val="24"/>
          <w:sz w:val="20"/>
        </w:rPr>
        <w:t> </w:t>
      </w:r>
      <w:r>
        <w:rPr>
          <w:sz w:val="20"/>
        </w:rPr>
        <w:t>pretenda</w:t>
      </w:r>
      <w:r>
        <w:rPr>
          <w:spacing w:val="24"/>
          <w:sz w:val="20"/>
        </w:rPr>
        <w:t> </w:t>
      </w:r>
      <w:r>
        <w:rPr>
          <w:sz w:val="20"/>
        </w:rPr>
        <w:t>que</w:t>
      </w:r>
      <w:r>
        <w:rPr>
          <w:spacing w:val="24"/>
          <w:sz w:val="20"/>
        </w:rPr>
        <w:t> </w:t>
      </w:r>
      <w:r>
        <w:rPr>
          <w:sz w:val="20"/>
        </w:rPr>
        <w:t>declare,</w:t>
      </w:r>
      <w:r>
        <w:rPr>
          <w:spacing w:val="24"/>
          <w:sz w:val="20"/>
        </w:rPr>
        <w:t> </w:t>
      </w:r>
      <w:r>
        <w:rPr>
          <w:sz w:val="20"/>
        </w:rPr>
        <w:t>resulten</w:t>
      </w:r>
      <w:r>
        <w:rPr>
          <w:spacing w:val="24"/>
          <w:sz w:val="20"/>
        </w:rPr>
        <w:t> </w:t>
      </w:r>
      <w:r>
        <w:rPr>
          <w:sz w:val="20"/>
        </w:rPr>
        <w:t>inverosímiles</w:t>
      </w:r>
      <w:r>
        <w:rPr>
          <w:spacing w:val="23"/>
          <w:sz w:val="20"/>
        </w:rPr>
        <w:t> </w:t>
      </w:r>
      <w:r>
        <w:rPr>
          <w:sz w:val="20"/>
        </w:rPr>
        <w:t>a</w:t>
      </w:r>
      <w:r>
        <w:rPr>
          <w:spacing w:val="24"/>
          <w:sz w:val="20"/>
        </w:rPr>
        <w:t> </w:t>
      </w:r>
      <w:r>
        <w:rPr>
          <w:sz w:val="20"/>
        </w:rPr>
        <w:t>criterio</w:t>
      </w:r>
      <w:r>
        <w:rPr>
          <w:spacing w:val="22"/>
          <w:sz w:val="20"/>
        </w:rPr>
        <w:t> </w:t>
      </w:r>
      <w:r>
        <w:rPr>
          <w:sz w:val="20"/>
        </w:rPr>
        <w:t>del juez, y</w:t>
      </w:r>
    </w:p>
    <w:p>
      <w:pPr>
        <w:pStyle w:val="ListParagraph"/>
        <w:numPr>
          <w:ilvl w:val="1"/>
          <w:numId w:val="306"/>
        </w:numPr>
        <w:tabs>
          <w:tab w:pos="984" w:val="left" w:leader="none"/>
          <w:tab w:pos="986" w:val="left" w:leader="none"/>
        </w:tabs>
        <w:spacing w:line="240" w:lineRule="auto" w:before="226" w:after="0"/>
        <w:ind w:left="986" w:right="340" w:hanging="360"/>
        <w:jc w:val="left"/>
        <w:rPr>
          <w:sz w:val="20"/>
        </w:rPr>
      </w:pPr>
      <w:r>
        <w:rPr>
          <w:sz w:val="20"/>
        </w:rPr>
        <w:t>Su</w:t>
      </w:r>
      <w:r>
        <w:rPr>
          <w:spacing w:val="33"/>
          <w:sz w:val="20"/>
        </w:rPr>
        <w:t> </w:t>
      </w:r>
      <w:r>
        <w:rPr>
          <w:sz w:val="20"/>
        </w:rPr>
        <w:t>comparecencia</w:t>
      </w:r>
      <w:r>
        <w:rPr>
          <w:spacing w:val="33"/>
          <w:sz w:val="20"/>
        </w:rPr>
        <w:t> </w:t>
      </w:r>
      <w:r>
        <w:rPr>
          <w:sz w:val="20"/>
        </w:rPr>
        <w:t>resulte</w:t>
      </w:r>
      <w:r>
        <w:rPr>
          <w:spacing w:val="35"/>
          <w:sz w:val="20"/>
        </w:rPr>
        <w:t> </w:t>
      </w:r>
      <w:r>
        <w:rPr>
          <w:sz w:val="20"/>
        </w:rPr>
        <w:t>innecesaria</w:t>
      </w:r>
      <w:r>
        <w:rPr>
          <w:spacing w:val="36"/>
          <w:sz w:val="20"/>
        </w:rPr>
        <w:t> </w:t>
      </w:r>
      <w:r>
        <w:rPr>
          <w:sz w:val="20"/>
        </w:rPr>
        <w:t>o</w:t>
      </w:r>
      <w:r>
        <w:rPr>
          <w:spacing w:val="33"/>
          <w:sz w:val="20"/>
        </w:rPr>
        <w:t> </w:t>
      </w:r>
      <w:r>
        <w:rPr>
          <w:sz w:val="20"/>
        </w:rPr>
        <w:t>su</w:t>
      </w:r>
      <w:r>
        <w:rPr>
          <w:spacing w:val="36"/>
          <w:sz w:val="20"/>
        </w:rPr>
        <w:t> </w:t>
      </w:r>
      <w:r>
        <w:rPr>
          <w:sz w:val="20"/>
        </w:rPr>
        <w:t>desahogo</w:t>
      </w:r>
      <w:r>
        <w:rPr>
          <w:spacing w:val="35"/>
          <w:sz w:val="20"/>
        </w:rPr>
        <w:t> </w:t>
      </w:r>
      <w:r>
        <w:rPr>
          <w:sz w:val="20"/>
        </w:rPr>
        <w:t>pueda</w:t>
      </w:r>
      <w:r>
        <w:rPr>
          <w:spacing w:val="40"/>
          <w:sz w:val="20"/>
        </w:rPr>
        <w:t> </w:t>
      </w:r>
      <w:r>
        <w:rPr>
          <w:sz w:val="20"/>
        </w:rPr>
        <w:t>causar</w:t>
      </w:r>
      <w:r>
        <w:rPr>
          <w:spacing w:val="37"/>
          <w:sz w:val="20"/>
        </w:rPr>
        <w:t> </w:t>
      </w:r>
      <w:r>
        <w:rPr>
          <w:sz w:val="20"/>
        </w:rPr>
        <w:t>una</w:t>
      </w:r>
      <w:r>
        <w:rPr>
          <w:spacing w:val="36"/>
          <w:sz w:val="20"/>
        </w:rPr>
        <w:t> </w:t>
      </w:r>
      <w:r>
        <w:rPr>
          <w:sz w:val="20"/>
        </w:rPr>
        <w:t>dilación</w:t>
      </w:r>
      <w:r>
        <w:rPr>
          <w:spacing w:val="35"/>
          <w:sz w:val="20"/>
        </w:rPr>
        <w:t> </w:t>
      </w:r>
      <w:r>
        <w:rPr>
          <w:sz w:val="20"/>
        </w:rPr>
        <w:t>indebida</w:t>
      </w:r>
      <w:r>
        <w:rPr>
          <w:spacing w:val="33"/>
          <w:sz w:val="20"/>
        </w:rPr>
        <w:t> </w:t>
      </w:r>
      <w:r>
        <w:rPr>
          <w:sz w:val="20"/>
        </w:rPr>
        <w:t>del </w:t>
      </w:r>
      <w:r>
        <w:rPr>
          <w:spacing w:val="-2"/>
          <w:sz w:val="20"/>
        </w:rPr>
        <w:t>juicio.</w:t>
      </w:r>
    </w:p>
    <w:p>
      <w:pPr>
        <w:spacing w:line="184"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8" w:firstLine="288"/>
        <w:jc w:val="both"/>
      </w:pPr>
      <w:bookmarkStart w:name="Artículo_788" w:id="999"/>
      <w:bookmarkEnd w:id="999"/>
      <w:r>
        <w:rPr/>
      </w:r>
      <w:r>
        <w:rPr>
          <w:rFonts w:ascii="Arial" w:hAnsi="Arial"/>
          <w:b/>
        </w:rPr>
        <w:t>Artículo 788.- </w:t>
      </w:r>
      <w:r>
        <w:rPr/>
        <w:t>El juez ordenará se cite a los absolventes personalmente o por conducto de sus apoderados, apercibiéndolos de que, si no concurren el día y hora señalados, se les tendrá por confesos de las posiciones que se les articulen.</w:t>
      </w:r>
    </w:p>
    <w:p>
      <w:pPr>
        <w:pStyle w:val="BodyText"/>
        <w:spacing w:before="2"/>
      </w:pPr>
    </w:p>
    <w:p>
      <w:pPr>
        <w:pStyle w:val="BodyText"/>
        <w:ind w:left="338" w:right="335" w:firstLine="288"/>
        <w:jc w:val="both"/>
      </w:pPr>
      <w:r>
        <w:rPr/>
        <w:t>El juez podrá reducir el número de personas de quienes se pida sean citados a desahogar la prueba confesional,</w:t>
      </w:r>
      <w:r>
        <w:rPr>
          <w:spacing w:val="-3"/>
        </w:rPr>
        <w:t> </w:t>
      </w:r>
      <w:r>
        <w:rPr/>
        <w:t>cuando</w:t>
      </w:r>
      <w:r>
        <w:rPr>
          <w:spacing w:val="-1"/>
        </w:rPr>
        <w:t> </w:t>
      </w:r>
      <w:r>
        <w:rPr/>
        <w:t>estime</w:t>
      </w:r>
      <w:r>
        <w:rPr>
          <w:spacing w:val="-3"/>
        </w:rPr>
        <w:t> </w:t>
      </w:r>
      <w:r>
        <w:rPr/>
        <w:t>que</w:t>
      </w:r>
      <w:r>
        <w:rPr>
          <w:spacing w:val="-3"/>
        </w:rPr>
        <w:t> </w:t>
      </w:r>
      <w:r>
        <w:rPr/>
        <w:t>sus declaraciones</w:t>
      </w:r>
      <w:r>
        <w:rPr>
          <w:spacing w:val="-2"/>
        </w:rPr>
        <w:t> </w:t>
      </w:r>
      <w:r>
        <w:rPr/>
        <w:t>puedan</w:t>
      </w:r>
      <w:r>
        <w:rPr>
          <w:spacing w:val="-3"/>
        </w:rPr>
        <w:t> </w:t>
      </w:r>
      <w:r>
        <w:rPr/>
        <w:t>resultar una</w:t>
      </w:r>
      <w:r>
        <w:rPr>
          <w:spacing w:val="-1"/>
        </w:rPr>
        <w:t> </w:t>
      </w:r>
      <w:r>
        <w:rPr/>
        <w:t>reiteración inútil</w:t>
      </w:r>
      <w:r>
        <w:rPr>
          <w:spacing w:val="-4"/>
        </w:rPr>
        <w:t> </w:t>
      </w:r>
      <w:r>
        <w:rPr/>
        <w:t>sobre</w:t>
      </w:r>
      <w:r>
        <w:rPr>
          <w:spacing w:val="-1"/>
        </w:rPr>
        <w:t> </w:t>
      </w:r>
      <w:r>
        <w:rPr/>
        <w:t>los</w:t>
      </w:r>
      <w:r>
        <w:rPr>
          <w:spacing w:val="-2"/>
        </w:rPr>
        <w:t> </w:t>
      </w:r>
      <w:r>
        <w:rPr/>
        <w:t>mismos hechos, o cuando advierta que se causará una dilación innecesaria del juicio.</w:t>
      </w:r>
    </w:p>
    <w:p>
      <w:pPr>
        <w:spacing w:line="180"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right="338" w:firstLine="288"/>
        <w:jc w:val="both"/>
      </w:pPr>
      <w:bookmarkStart w:name="Artículo_789" w:id="1000"/>
      <w:bookmarkEnd w:id="1000"/>
      <w:r>
        <w:rPr/>
      </w:r>
      <w:r>
        <w:rPr>
          <w:rFonts w:ascii="Arial" w:hAnsi="Arial"/>
          <w:b/>
        </w:rPr>
        <w:t>Artículo 789.- </w:t>
      </w:r>
      <w:r>
        <w:rPr/>
        <w:t>Si la persona citada para responder preguntas y</w:t>
      </w:r>
      <w:r>
        <w:rPr>
          <w:spacing w:val="-3"/>
        </w:rPr>
        <w:t> </w:t>
      </w:r>
      <w:r>
        <w:rPr/>
        <w:t>absolver posiciones, no concurre en la fecha y hora señalada, se hará efectivo el apercibimiento a que se refiere el artículo anterior y se le declarará confesa de las posiciones que se hubieren articulado y calificado de legales.</w:t>
      </w:r>
    </w:p>
    <w:p>
      <w:pPr>
        <w:spacing w:line="176"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626"/>
      </w:pPr>
      <w:bookmarkStart w:name="Artículo_790" w:id="1001"/>
      <w:bookmarkEnd w:id="1001"/>
      <w:r>
        <w:rPr/>
      </w:r>
      <w:r>
        <w:rPr>
          <w:rFonts w:ascii="Arial" w:hAnsi="Arial"/>
          <w:b/>
        </w:rPr>
        <w:t>Artículo</w:t>
      </w:r>
      <w:r>
        <w:rPr>
          <w:rFonts w:ascii="Arial" w:hAnsi="Arial"/>
          <w:b/>
          <w:spacing w:val="-7"/>
        </w:rPr>
        <w:t> </w:t>
      </w:r>
      <w:r>
        <w:rPr>
          <w:rFonts w:ascii="Arial" w:hAnsi="Arial"/>
          <w:b/>
        </w:rPr>
        <w:t>790.-</w:t>
      </w:r>
      <w:r>
        <w:rPr>
          <w:rFonts w:ascii="Arial" w:hAnsi="Arial"/>
          <w:b/>
          <w:spacing w:val="-4"/>
        </w:rPr>
        <w:t> </w:t>
      </w:r>
      <w:r>
        <w:rPr/>
        <w:t>En</w:t>
      </w:r>
      <w:r>
        <w:rPr>
          <w:spacing w:val="-5"/>
        </w:rPr>
        <w:t> </w:t>
      </w:r>
      <w:r>
        <w:rPr/>
        <w:t>el</w:t>
      </w:r>
      <w:r>
        <w:rPr>
          <w:spacing w:val="-7"/>
        </w:rPr>
        <w:t> </w:t>
      </w:r>
      <w:r>
        <w:rPr/>
        <w:t>desahogo</w:t>
      </w:r>
      <w:r>
        <w:rPr>
          <w:spacing w:val="-6"/>
        </w:rPr>
        <w:t> </w:t>
      </w:r>
      <w:r>
        <w:rPr/>
        <w:t>de</w:t>
      </w:r>
      <w:r>
        <w:rPr>
          <w:spacing w:val="-6"/>
        </w:rPr>
        <w:t> </w:t>
      </w:r>
      <w:r>
        <w:rPr/>
        <w:t>la</w:t>
      </w:r>
      <w:r>
        <w:rPr>
          <w:spacing w:val="-7"/>
        </w:rPr>
        <w:t> </w:t>
      </w:r>
      <w:r>
        <w:rPr/>
        <w:t>prueba</w:t>
      </w:r>
      <w:r>
        <w:rPr>
          <w:spacing w:val="-7"/>
        </w:rPr>
        <w:t> </w:t>
      </w:r>
      <w:r>
        <w:rPr/>
        <w:t>confesional</w:t>
      </w:r>
      <w:r>
        <w:rPr>
          <w:spacing w:val="-8"/>
        </w:rPr>
        <w:t> </w:t>
      </w:r>
      <w:r>
        <w:rPr/>
        <w:t>se</w:t>
      </w:r>
      <w:r>
        <w:rPr>
          <w:spacing w:val="-5"/>
        </w:rPr>
        <w:t> </w:t>
      </w:r>
      <w:r>
        <w:rPr/>
        <w:t>observarán</w:t>
      </w:r>
      <w:r>
        <w:rPr>
          <w:spacing w:val="-6"/>
        </w:rPr>
        <w:t> </w:t>
      </w:r>
      <w:r>
        <w:rPr/>
        <w:t>las</w:t>
      </w:r>
      <w:r>
        <w:rPr>
          <w:spacing w:val="-6"/>
        </w:rPr>
        <w:t> </w:t>
      </w:r>
      <w:r>
        <w:rPr/>
        <w:t>normas</w:t>
      </w:r>
      <w:r>
        <w:rPr>
          <w:spacing w:val="-6"/>
        </w:rPr>
        <w:t> </w:t>
      </w:r>
      <w:r>
        <w:rPr>
          <w:spacing w:val="-2"/>
        </w:rPr>
        <w:t>siguientes:</w:t>
      </w:r>
    </w:p>
    <w:p>
      <w:pPr>
        <w:pStyle w:val="BodyText"/>
        <w:spacing w:before="1"/>
      </w:pPr>
    </w:p>
    <w:p>
      <w:pPr>
        <w:pStyle w:val="ListParagraph"/>
        <w:numPr>
          <w:ilvl w:val="2"/>
          <w:numId w:val="306"/>
        </w:numPr>
        <w:tabs>
          <w:tab w:pos="1193" w:val="left" w:leader="none"/>
          <w:tab w:pos="1195" w:val="left" w:leader="none"/>
        </w:tabs>
        <w:spacing w:line="240" w:lineRule="auto" w:before="0" w:after="0"/>
        <w:ind w:left="1195" w:right="341" w:hanging="569"/>
        <w:jc w:val="both"/>
        <w:rPr>
          <w:sz w:val="20"/>
        </w:rPr>
      </w:pPr>
      <w:r>
        <w:rPr>
          <w:sz w:val="20"/>
        </w:rPr>
        <w:t>Las preguntas y/o posiciones se formularán en forma oral en el momento de la audiencia mediante interrogatorio abierto, sin presentación de pliegos; deberán referirse a los hechos controvertidos en términos claros y precisos, que puedan ser entendidas sin dificultad, y cuyo</w:t>
      </w:r>
      <w:r>
        <w:rPr>
          <w:spacing w:val="40"/>
          <w:sz w:val="20"/>
        </w:rPr>
        <w:t> </w:t>
      </w:r>
      <w:r>
        <w:rPr>
          <w:sz w:val="20"/>
        </w:rPr>
        <w:t>fin sea esclarecer la verdad de los hechos;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2"/>
          <w:numId w:val="306"/>
        </w:numPr>
        <w:tabs>
          <w:tab w:pos="1192" w:val="left" w:leader="none"/>
          <w:tab w:pos="1195" w:val="left" w:leader="none"/>
        </w:tabs>
        <w:spacing w:line="242" w:lineRule="auto" w:before="0" w:after="0"/>
        <w:ind w:left="1195" w:right="331" w:hanging="569"/>
        <w:jc w:val="both"/>
        <w:rPr>
          <w:sz w:val="20"/>
        </w:rPr>
      </w:pPr>
      <w:r>
        <w:rPr>
          <w:sz w:val="20"/>
        </w:rPr>
        <w:t>El juez, de oficio o a petición de parte, podrá desechar las preguntas que no cumplan</w:t>
      </w:r>
      <w:r>
        <w:rPr>
          <w:spacing w:val="40"/>
          <w:sz w:val="20"/>
        </w:rPr>
        <w:t> </w:t>
      </w:r>
      <w:r>
        <w:rPr>
          <w:sz w:val="20"/>
        </w:rPr>
        <w:t>con dichos requisitos, justificando su decisión; también podrá formular a los absolventes las preguntas que estime pertinentes, así como ordenarles que precisen o aclaren sus respuestas;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30-01-1980.</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2"/>
          <w:numId w:val="306"/>
        </w:numPr>
        <w:tabs>
          <w:tab w:pos="1191" w:val="left" w:leader="none"/>
          <w:tab w:pos="1195" w:val="left" w:leader="none"/>
        </w:tabs>
        <w:spacing w:line="242" w:lineRule="auto" w:before="0" w:after="0"/>
        <w:ind w:left="1195" w:right="343" w:hanging="569"/>
        <w:jc w:val="both"/>
        <w:rPr>
          <w:sz w:val="20"/>
        </w:rPr>
      </w:pPr>
      <w:r>
        <w:rPr>
          <w:sz w:val="20"/>
        </w:rPr>
        <w:t>El declarante bajo protesta de decir verdad, responderá por sí mismo, sin ser asistido por persona alguna. No podrá valerse de borrador de respuestas, pero se le permitirá que consulte notas o apuntes, si el juez resuelve que son necesarios para auxiliar su memoria;</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ListParagraph"/>
        <w:numPr>
          <w:ilvl w:val="2"/>
          <w:numId w:val="306"/>
        </w:numPr>
        <w:tabs>
          <w:tab w:pos="1195" w:val="left" w:leader="none"/>
        </w:tabs>
        <w:spacing w:line="240" w:lineRule="auto" w:before="229" w:after="0"/>
        <w:ind w:left="1195" w:right="0" w:hanging="569"/>
        <w:jc w:val="left"/>
        <w:rPr>
          <w:sz w:val="20"/>
        </w:rPr>
      </w:pP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2"/>
          <w:numId w:val="306"/>
        </w:numPr>
        <w:tabs>
          <w:tab w:pos="1195" w:val="left" w:leader="none"/>
        </w:tabs>
        <w:spacing w:line="229" w:lineRule="exact" w:before="0" w:after="0"/>
        <w:ind w:left="1195" w:right="0" w:hanging="569"/>
        <w:jc w:val="left"/>
        <w:rPr>
          <w:sz w:val="20"/>
        </w:rPr>
      </w:pPr>
      <w:r>
        <w:rPr>
          <w:sz w:val="20"/>
        </w:rPr>
        <w:t>Se</w:t>
      </w:r>
      <w:r>
        <w:rPr>
          <w:spacing w:val="-5"/>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ListParagraph"/>
        <w:numPr>
          <w:ilvl w:val="2"/>
          <w:numId w:val="306"/>
        </w:numPr>
        <w:tabs>
          <w:tab w:pos="1195" w:val="left" w:leader="none"/>
        </w:tabs>
        <w:spacing w:line="242" w:lineRule="auto" w:before="0" w:after="0"/>
        <w:ind w:left="1195" w:right="332" w:hanging="569"/>
        <w:jc w:val="left"/>
        <w:rPr>
          <w:sz w:val="20"/>
        </w:rPr>
      </w:pPr>
      <w:r>
        <w:rPr>
          <w:sz w:val="20"/>
        </w:rPr>
        <w:t>El declarante contestará las posiciones o preguntas que se le formulen, pudiendo agregar las</w:t>
      </w:r>
      <w:r>
        <w:rPr>
          <w:spacing w:val="40"/>
          <w:sz w:val="20"/>
        </w:rPr>
        <w:t> </w:t>
      </w:r>
      <w:r>
        <w:rPr>
          <w:sz w:val="20"/>
        </w:rPr>
        <w:t>explicaciones que juzgue convenientes o las que le pida el Tribunal;</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2"/>
          <w:numId w:val="306"/>
        </w:numPr>
        <w:tabs>
          <w:tab w:pos="1193" w:val="left" w:leader="none"/>
          <w:tab w:pos="1195" w:val="left" w:leader="none"/>
        </w:tabs>
        <w:spacing w:line="240" w:lineRule="auto" w:before="0" w:after="0"/>
        <w:ind w:left="1195" w:right="339" w:hanging="569"/>
        <w:jc w:val="both"/>
        <w:rPr>
          <w:sz w:val="20"/>
        </w:rPr>
      </w:pPr>
      <w:r>
        <w:rPr>
          <w:sz w:val="20"/>
        </w:rPr>
        <w:t>Si el declarante se niega a responder o sus respuestas son evasivas, el Tribunal de oficio o a instancia de parte, lo apercibirá en el acto de tenerlo por confeso de los hechos que se le atribuyen si persiste en ello.</w:t>
      </w:r>
    </w:p>
    <w:p>
      <w:pPr>
        <w:spacing w:before="0"/>
        <w:ind w:left="7347" w:right="333" w:hanging="6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1"/>
        <w:rPr>
          <w:rFonts w:ascii="Times New Roman"/>
          <w:i/>
          <w:sz w:val="16"/>
        </w:rPr>
      </w:pPr>
    </w:p>
    <w:p>
      <w:pPr>
        <w:pStyle w:val="BodyText"/>
        <w:spacing w:line="242" w:lineRule="auto"/>
        <w:ind w:left="338" w:right="344" w:firstLine="288"/>
        <w:jc w:val="both"/>
      </w:pPr>
      <w:bookmarkStart w:name="Artículo_790_Bis" w:id="1002"/>
      <w:bookmarkEnd w:id="1002"/>
      <w:r>
        <w:rPr/>
      </w:r>
      <w:r>
        <w:rPr>
          <w:rFonts w:ascii="Arial" w:hAnsi="Arial"/>
          <w:b/>
        </w:rPr>
        <w:t>Artículo 790 Bis.- </w:t>
      </w:r>
      <w:r>
        <w:rPr/>
        <w:t>Si fueren varios los declarantes, las diligencias se practicarán evitando que los que declaren primero se comuniquen con los que lo hagan después; éstos últimos permanecerán en una sala distinta a aquélla en donde se desarrolle la audiencia, por lo que serán llamados a declarar en el orden establecido. Esta disposición no aplica para el actor ni el demandado.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4" w:firstLine="288"/>
        <w:jc w:val="both"/>
      </w:pPr>
      <w:bookmarkStart w:name="Artículo_791" w:id="1003"/>
      <w:bookmarkEnd w:id="1003"/>
      <w:r>
        <w:rPr/>
      </w:r>
      <w:r>
        <w:rPr>
          <w:rFonts w:ascii="Arial" w:hAnsi="Arial"/>
          <w:b/>
        </w:rPr>
        <w:t>Artículo 791.- </w:t>
      </w:r>
      <w:r>
        <w:rPr/>
        <w:t>Si la persona que deba absolver posiciones y responder preguntas tiene su residencia fuera</w:t>
      </w:r>
      <w:r>
        <w:rPr>
          <w:spacing w:val="-2"/>
        </w:rPr>
        <w:t> </w:t>
      </w:r>
      <w:r>
        <w:rPr/>
        <w:t>del lugar</w:t>
      </w:r>
      <w:r>
        <w:rPr>
          <w:spacing w:val="-1"/>
        </w:rPr>
        <w:t> </w:t>
      </w:r>
      <w:r>
        <w:rPr/>
        <w:t>donde</w:t>
      </w:r>
      <w:r>
        <w:rPr>
          <w:spacing w:val="-2"/>
        </w:rPr>
        <w:t> </w:t>
      </w:r>
      <w:r>
        <w:rPr/>
        <w:t>se</w:t>
      </w:r>
      <w:r>
        <w:rPr>
          <w:spacing w:val="-2"/>
        </w:rPr>
        <w:t> </w:t>
      </w:r>
      <w:r>
        <w:rPr/>
        <w:t>encuentre</w:t>
      </w:r>
      <w:r>
        <w:rPr>
          <w:spacing w:val="-2"/>
        </w:rPr>
        <w:t> </w:t>
      </w:r>
      <w:r>
        <w:rPr/>
        <w:t>el</w:t>
      </w:r>
      <w:r>
        <w:rPr>
          <w:spacing w:val="-3"/>
        </w:rPr>
        <w:t> </w:t>
      </w:r>
      <w:r>
        <w:rPr/>
        <w:t>Tribunal, éste librará</w:t>
      </w:r>
      <w:r>
        <w:rPr>
          <w:spacing w:val="-2"/>
        </w:rPr>
        <w:t> </w:t>
      </w:r>
      <w:r>
        <w:rPr/>
        <w:t>exhorto para que cite al</w:t>
      </w:r>
      <w:r>
        <w:rPr>
          <w:spacing w:val="-3"/>
        </w:rPr>
        <w:t> </w:t>
      </w:r>
      <w:r>
        <w:rPr/>
        <w:t>declarante y</w:t>
      </w:r>
      <w:r>
        <w:rPr>
          <w:spacing w:val="-4"/>
        </w:rPr>
        <w:t> </w:t>
      </w:r>
      <w:r>
        <w:rPr/>
        <w:t>provea lo necesario para que comparezca ante éste por conducto del Tribunal exhortado el día y hora señalados para tal efecto; dicha prueba se rendirá vía remota a través de videoconferencia, en la que el tribunal exhortante conducirá el desahogo de la confesional.</w:t>
      </w:r>
    </w:p>
    <w:p>
      <w:pPr>
        <w:spacing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firstLine="288"/>
      </w:pPr>
      <w:bookmarkStart w:name="Artículo_792" w:id="1004"/>
      <w:bookmarkEnd w:id="1004"/>
      <w:r>
        <w:rPr/>
      </w:r>
      <w:r>
        <w:rPr>
          <w:rFonts w:ascii="Arial" w:hAnsi="Arial"/>
          <w:b/>
        </w:rPr>
        <w:t>Artículo</w:t>
      </w:r>
      <w:r>
        <w:rPr>
          <w:rFonts w:ascii="Arial" w:hAnsi="Arial"/>
          <w:b/>
          <w:spacing w:val="24"/>
        </w:rPr>
        <w:t> </w:t>
      </w:r>
      <w:r>
        <w:rPr>
          <w:rFonts w:ascii="Arial" w:hAnsi="Arial"/>
          <w:b/>
        </w:rPr>
        <w:t>792.-</w:t>
      </w:r>
      <w:r>
        <w:rPr>
          <w:rFonts w:ascii="Arial" w:hAnsi="Arial"/>
          <w:b/>
          <w:spacing w:val="24"/>
        </w:rPr>
        <w:t> </w:t>
      </w:r>
      <w:r>
        <w:rPr/>
        <w:t>Se</w:t>
      </w:r>
      <w:r>
        <w:rPr>
          <w:spacing w:val="25"/>
        </w:rPr>
        <w:t> </w:t>
      </w:r>
      <w:r>
        <w:rPr/>
        <w:t>tendrán</w:t>
      </w:r>
      <w:r>
        <w:rPr>
          <w:spacing w:val="25"/>
        </w:rPr>
        <w:t> </w:t>
      </w:r>
      <w:r>
        <w:rPr/>
        <w:t>por</w:t>
      </w:r>
      <w:r>
        <w:rPr>
          <w:spacing w:val="24"/>
        </w:rPr>
        <w:t> </w:t>
      </w:r>
      <w:r>
        <w:rPr/>
        <w:t>confesión</w:t>
      </w:r>
      <w:r>
        <w:rPr>
          <w:spacing w:val="23"/>
        </w:rPr>
        <w:t> </w:t>
      </w:r>
      <w:r>
        <w:rPr/>
        <w:t>expresa</w:t>
      </w:r>
      <w:r>
        <w:rPr>
          <w:spacing w:val="28"/>
        </w:rPr>
        <w:t> </w:t>
      </w:r>
      <w:r>
        <w:rPr/>
        <w:t>y</w:t>
      </w:r>
      <w:r>
        <w:rPr>
          <w:spacing w:val="23"/>
        </w:rPr>
        <w:t> </w:t>
      </w:r>
      <w:r>
        <w:rPr/>
        <w:t>espontánea,</w:t>
      </w:r>
      <w:r>
        <w:rPr>
          <w:spacing w:val="23"/>
        </w:rPr>
        <w:t> </w:t>
      </w:r>
      <w:r>
        <w:rPr/>
        <w:t>las</w:t>
      </w:r>
      <w:r>
        <w:rPr>
          <w:spacing w:val="24"/>
        </w:rPr>
        <w:t> </w:t>
      </w:r>
      <w:r>
        <w:rPr/>
        <w:t>afirmaciones</w:t>
      </w:r>
      <w:r>
        <w:rPr>
          <w:spacing w:val="24"/>
        </w:rPr>
        <w:t> </w:t>
      </w:r>
      <w:r>
        <w:rPr/>
        <w:t>contenidas</w:t>
      </w:r>
      <w:r>
        <w:rPr>
          <w:spacing w:val="24"/>
        </w:rPr>
        <w:t> </w:t>
      </w:r>
      <w:r>
        <w:rPr/>
        <w:t>en</w:t>
      </w:r>
      <w:r>
        <w:rPr>
          <w:spacing w:val="23"/>
        </w:rPr>
        <w:t> </w:t>
      </w:r>
      <w:r>
        <w:rPr/>
        <w:t>las posiciones que formule el articulante.</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338" w:right="337" w:firstLine="288"/>
        <w:jc w:val="both"/>
      </w:pPr>
      <w:bookmarkStart w:name="Artículo_793" w:id="1005"/>
      <w:bookmarkEnd w:id="1005"/>
      <w:r>
        <w:rPr/>
      </w:r>
      <w:r>
        <w:rPr>
          <w:rFonts w:ascii="Arial" w:hAnsi="Arial"/>
          <w:b/>
        </w:rPr>
        <w:t>Artículo 793.- </w:t>
      </w:r>
      <w:r>
        <w:rPr/>
        <w:t>Cuando el declarante para hechos propios ya no labore para la empresa o establecimiento, previa comprobación del hecho, el oferente de la prueba será requerido para que proporcione el domicilio donde deba ser citado. En caso de que el oferente ignore</w:t>
      </w:r>
      <w:r>
        <w:rPr>
          <w:spacing w:val="-1"/>
        </w:rPr>
        <w:t> </w:t>
      </w:r>
      <w:r>
        <w:rPr/>
        <w:t>el domicilio, lo hará del conocimiento</w:t>
      </w:r>
      <w:r>
        <w:rPr>
          <w:spacing w:val="-2"/>
        </w:rPr>
        <w:t> </w:t>
      </w:r>
      <w:r>
        <w:rPr/>
        <w:t>del</w:t>
      </w:r>
      <w:r>
        <w:rPr>
          <w:spacing w:val="-3"/>
        </w:rPr>
        <w:t> </w:t>
      </w:r>
      <w:r>
        <w:rPr/>
        <w:t>Tribunal</w:t>
      </w:r>
      <w:r>
        <w:rPr>
          <w:spacing w:val="-3"/>
        </w:rPr>
        <w:t> </w:t>
      </w:r>
      <w:r>
        <w:rPr/>
        <w:t>antes</w:t>
      </w:r>
      <w:r>
        <w:rPr>
          <w:spacing w:val="-1"/>
        </w:rPr>
        <w:t> </w:t>
      </w:r>
      <w:r>
        <w:rPr/>
        <w:t>de</w:t>
      </w:r>
      <w:r>
        <w:rPr>
          <w:spacing w:val="-2"/>
        </w:rPr>
        <w:t> </w:t>
      </w:r>
      <w:r>
        <w:rPr/>
        <w:t>la</w:t>
      </w:r>
      <w:r>
        <w:rPr>
          <w:spacing w:val="-2"/>
        </w:rPr>
        <w:t> </w:t>
      </w:r>
      <w:r>
        <w:rPr/>
        <w:t>fecha</w:t>
      </w:r>
      <w:r>
        <w:rPr>
          <w:spacing w:val="-2"/>
        </w:rPr>
        <w:t> </w:t>
      </w:r>
      <w:r>
        <w:rPr/>
        <w:t>señalada</w:t>
      </w:r>
      <w:r>
        <w:rPr>
          <w:spacing w:val="-2"/>
        </w:rPr>
        <w:t> </w:t>
      </w:r>
      <w:r>
        <w:rPr/>
        <w:t>para</w:t>
      </w:r>
      <w:r>
        <w:rPr>
          <w:spacing w:val="-2"/>
        </w:rPr>
        <w:t> </w:t>
      </w:r>
      <w:r>
        <w:rPr/>
        <w:t>la</w:t>
      </w:r>
      <w:r>
        <w:rPr>
          <w:spacing w:val="-2"/>
        </w:rPr>
        <w:t> </w:t>
      </w:r>
      <w:r>
        <w:rPr/>
        <w:t>celebración</w:t>
      </w:r>
      <w:r>
        <w:rPr>
          <w:spacing w:val="-2"/>
        </w:rPr>
        <w:t> </w:t>
      </w:r>
      <w:r>
        <w:rPr/>
        <w:t>de</w:t>
      </w:r>
      <w:r>
        <w:rPr>
          <w:spacing w:val="-2"/>
        </w:rPr>
        <w:t> </w:t>
      </w:r>
      <w:r>
        <w:rPr/>
        <w:t>la</w:t>
      </w:r>
      <w:r>
        <w:rPr>
          <w:spacing w:val="-2"/>
        </w:rPr>
        <w:t> </w:t>
      </w:r>
      <w:r>
        <w:rPr/>
        <w:t>audiencia</w:t>
      </w:r>
      <w:r>
        <w:rPr>
          <w:spacing w:val="-2"/>
        </w:rPr>
        <w:t> </w:t>
      </w:r>
      <w:r>
        <w:rPr/>
        <w:t>de</w:t>
      </w:r>
      <w:r>
        <w:rPr>
          <w:spacing w:val="-2"/>
        </w:rPr>
        <w:t> </w:t>
      </w:r>
      <w:r>
        <w:rPr/>
        <w:t>Juicio</w:t>
      </w:r>
      <w:r>
        <w:rPr>
          <w:spacing w:val="-2"/>
        </w:rPr>
        <w:t> </w:t>
      </w:r>
      <w:r>
        <w:rPr/>
        <w:t>en</w:t>
      </w:r>
      <w:r>
        <w:rPr>
          <w:spacing w:val="-2"/>
        </w:rPr>
        <w:t> </w:t>
      </w:r>
      <w:r>
        <w:rPr/>
        <w:t>que se desahogue la prueba; el Tribunal podrá solicitar a la empresa que proporcione el último domicilio que tenga registrado de dicha persona. En el supuesto de que la persona a que se refiere este artículo haya dejado de prestar sus servicios a la empresa por un término mayor de tres meses, la prueba cambiará su naturaleza a testimonial.</w:t>
      </w:r>
    </w:p>
    <w:p>
      <w:pPr>
        <w:pStyle w:val="BodyText"/>
        <w:spacing w:before="2"/>
      </w:pPr>
    </w:p>
    <w:p>
      <w:pPr>
        <w:pStyle w:val="BodyText"/>
        <w:ind w:left="338" w:right="336" w:firstLine="288"/>
        <w:jc w:val="both"/>
      </w:pPr>
      <w:r>
        <w:rPr/>
        <w:t>Si la persona citada no concurre el día y hora señalados, el juez valorará la pertinencia de la prueba</w:t>
      </w:r>
      <w:r>
        <w:rPr>
          <w:spacing w:val="40"/>
        </w:rPr>
        <w:t> </w:t>
      </w:r>
      <w:r>
        <w:rPr/>
        <w:t>en relación con los hechos controvertidos, pudiendo desecharla en caso de considerar que resulta irrelevante para esclarecerlos o la dificultad de su desahogo sea motivo del retraso injustificado del </w:t>
      </w:r>
      <w:r>
        <w:rPr>
          <w:spacing w:val="-2"/>
        </w:rPr>
        <w:t>procedimiento.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firstLine="288"/>
      </w:pPr>
      <w:bookmarkStart w:name="Artículo_794" w:id="1006"/>
      <w:bookmarkEnd w:id="1006"/>
      <w:r>
        <w:rPr/>
      </w:r>
      <w:r>
        <w:rPr>
          <w:rFonts w:ascii="Arial" w:hAnsi="Arial"/>
          <w:b/>
        </w:rPr>
        <w:t>Artículo</w:t>
      </w:r>
      <w:r>
        <w:rPr>
          <w:rFonts w:ascii="Arial" w:hAnsi="Arial"/>
          <w:b/>
          <w:spacing w:val="22"/>
        </w:rPr>
        <w:t> </w:t>
      </w:r>
      <w:r>
        <w:rPr>
          <w:rFonts w:ascii="Arial" w:hAnsi="Arial"/>
          <w:b/>
        </w:rPr>
        <w:t>794.-</w:t>
      </w:r>
      <w:r>
        <w:rPr>
          <w:rFonts w:ascii="Arial" w:hAnsi="Arial"/>
          <w:b/>
          <w:spacing w:val="22"/>
        </w:rPr>
        <w:t> </w:t>
      </w:r>
      <w:r>
        <w:rPr/>
        <w:t>Se</w:t>
      </w:r>
      <w:r>
        <w:rPr>
          <w:spacing w:val="21"/>
        </w:rPr>
        <w:t> </w:t>
      </w:r>
      <w:r>
        <w:rPr/>
        <w:t>tendrán</w:t>
      </w:r>
      <w:r>
        <w:rPr>
          <w:spacing w:val="23"/>
        </w:rPr>
        <w:t> </w:t>
      </w:r>
      <w:r>
        <w:rPr/>
        <w:t>por</w:t>
      </w:r>
      <w:r>
        <w:rPr>
          <w:spacing w:val="22"/>
        </w:rPr>
        <w:t> </w:t>
      </w:r>
      <w:r>
        <w:rPr/>
        <w:t>confesión</w:t>
      </w:r>
      <w:r>
        <w:rPr>
          <w:spacing w:val="21"/>
        </w:rPr>
        <w:t> </w:t>
      </w:r>
      <w:r>
        <w:rPr/>
        <w:t>expresa</w:t>
      </w:r>
      <w:r>
        <w:rPr>
          <w:spacing w:val="25"/>
        </w:rPr>
        <w:t> </w:t>
      </w:r>
      <w:r>
        <w:rPr/>
        <w:t>y</w:t>
      </w:r>
      <w:r>
        <w:rPr>
          <w:spacing w:val="20"/>
        </w:rPr>
        <w:t> </w:t>
      </w:r>
      <w:r>
        <w:rPr/>
        <w:t>espontánea</w:t>
      </w:r>
      <w:r>
        <w:rPr>
          <w:spacing w:val="21"/>
        </w:rPr>
        <w:t> </w:t>
      </w:r>
      <w:r>
        <w:rPr/>
        <w:t>de</w:t>
      </w:r>
      <w:r>
        <w:rPr>
          <w:spacing w:val="23"/>
        </w:rPr>
        <w:t> </w:t>
      </w:r>
      <w:r>
        <w:rPr/>
        <w:t>las</w:t>
      </w:r>
      <w:r>
        <w:rPr>
          <w:spacing w:val="22"/>
        </w:rPr>
        <w:t> </w:t>
      </w:r>
      <w:r>
        <w:rPr/>
        <w:t>partes,</w:t>
      </w:r>
      <w:r>
        <w:rPr>
          <w:spacing w:val="21"/>
        </w:rPr>
        <w:t> </w:t>
      </w:r>
      <w:r>
        <w:rPr/>
        <w:t>sin</w:t>
      </w:r>
      <w:r>
        <w:rPr>
          <w:spacing w:val="21"/>
        </w:rPr>
        <w:t> </w:t>
      </w:r>
      <w:r>
        <w:rPr/>
        <w:t>necesidad</w:t>
      </w:r>
      <w:r>
        <w:rPr>
          <w:spacing w:val="23"/>
        </w:rPr>
        <w:t> </w:t>
      </w:r>
      <w:r>
        <w:rPr/>
        <w:t>de</w:t>
      </w:r>
      <w:r>
        <w:rPr>
          <w:spacing w:val="21"/>
        </w:rPr>
        <w:t> </w:t>
      </w:r>
      <w:r>
        <w:rPr/>
        <w:t>ser ofrecida como prueba, las manifestaciones contenidas en las constancias y las actuaciones del juicio.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Heading2"/>
        <w:spacing w:before="230"/>
        <w:ind w:left="3946" w:right="3928" w:firstLine="244"/>
        <w:jc w:val="left"/>
      </w:pPr>
      <w:r>
        <w:rPr/>
        <w:t>Sección Tercera De</w:t>
      </w:r>
      <w:r>
        <w:rPr>
          <w:spacing w:val="-16"/>
        </w:rPr>
        <w:t> </w:t>
      </w:r>
      <w:r>
        <w:rPr/>
        <w:t>las</w:t>
      </w:r>
      <w:r>
        <w:rPr>
          <w:spacing w:val="-15"/>
        </w:rPr>
        <w:t> </w:t>
      </w:r>
      <w:r>
        <w:rPr/>
        <w:t>documentales</w:t>
      </w:r>
    </w:p>
    <w:p>
      <w:pPr>
        <w:spacing w:before="2"/>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line="242" w:lineRule="auto" w:before="229"/>
        <w:ind w:left="338" w:right="341" w:firstLine="288"/>
        <w:jc w:val="both"/>
      </w:pPr>
      <w:bookmarkStart w:name="Artículo_795" w:id="1007"/>
      <w:bookmarkEnd w:id="1007"/>
      <w:r>
        <w:rPr/>
      </w:r>
      <w:r>
        <w:rPr>
          <w:rFonts w:ascii="Arial" w:hAnsi="Arial"/>
          <w:b/>
        </w:rPr>
        <w:t>Artículo 795.- </w:t>
      </w:r>
      <w:r>
        <w:rPr/>
        <w:t>Son documentos públicos aquellos cuya formulación está encomendada por la Ley a</w:t>
      </w:r>
      <w:r>
        <w:rPr>
          <w:spacing w:val="40"/>
        </w:rPr>
        <w:t> </w:t>
      </w:r>
      <w:r>
        <w:rPr/>
        <w:t>un funcionario investido de fe pública, o a aquellos servidores públicos que los expidan en ejercicio de</w:t>
      </w:r>
      <w:r>
        <w:rPr>
          <w:spacing w:val="40"/>
        </w:rPr>
        <w:t> </w:t>
      </w:r>
      <w:r>
        <w:rPr/>
        <w:t>sus funciones.</w:t>
      </w:r>
    </w:p>
    <w:p>
      <w:pPr>
        <w:pStyle w:val="BodyText"/>
        <w:spacing w:after="0" w:line="242" w:lineRule="auto"/>
        <w:jc w:val="both"/>
        <w:sectPr>
          <w:pgSz w:w="12240" w:h="15840"/>
          <w:pgMar w:header="724" w:footer="712" w:top="1880" w:bottom="900" w:left="1080" w:right="1080"/>
        </w:sectPr>
      </w:pPr>
    </w:p>
    <w:p>
      <w:pPr>
        <w:pStyle w:val="BodyText"/>
        <w:spacing w:before="65"/>
      </w:pPr>
    </w:p>
    <w:p>
      <w:pPr>
        <w:pStyle w:val="BodyText"/>
        <w:ind w:left="338" w:right="334" w:firstLine="288"/>
        <w:jc w:val="both"/>
      </w:pPr>
      <w:r>
        <w:rPr/>
        <w:t>Los documentos públicos expedidos por las autoridades de la Federación, de los estados, de la Ciudad de México o de los municipios y</w:t>
      </w:r>
      <w:r>
        <w:rPr>
          <w:spacing w:val="-5"/>
        </w:rPr>
        <w:t> </w:t>
      </w:r>
      <w:r>
        <w:rPr/>
        <w:t>alcaldías, así como</w:t>
      </w:r>
      <w:r>
        <w:rPr>
          <w:spacing w:val="-2"/>
        </w:rPr>
        <w:t> </w:t>
      </w:r>
      <w:r>
        <w:rPr/>
        <w:t>de los</w:t>
      </w:r>
      <w:r>
        <w:rPr>
          <w:spacing w:val="-1"/>
        </w:rPr>
        <w:t> </w:t>
      </w:r>
      <w:r>
        <w:rPr/>
        <w:t>organismos</w:t>
      </w:r>
      <w:r>
        <w:rPr>
          <w:spacing w:val="-1"/>
        </w:rPr>
        <w:t> </w:t>
      </w:r>
      <w:r>
        <w:rPr/>
        <w:t>públicos</w:t>
      </w:r>
      <w:r>
        <w:rPr>
          <w:spacing w:val="-1"/>
        </w:rPr>
        <w:t> </w:t>
      </w:r>
      <w:r>
        <w:rPr/>
        <w:t>autónomos</w:t>
      </w:r>
      <w:r>
        <w:rPr>
          <w:spacing w:val="-1"/>
        </w:rPr>
        <w:t> </w:t>
      </w:r>
      <w:r>
        <w:rPr/>
        <w:t>harán fe en el juicio sin necesidad de legalización.</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firstLine="288"/>
      </w:pPr>
      <w:bookmarkStart w:name="Artículo_796" w:id="1008"/>
      <w:bookmarkEnd w:id="1008"/>
      <w:r>
        <w:rPr/>
      </w:r>
      <w:r>
        <w:rPr>
          <w:rFonts w:ascii="Arial" w:hAnsi="Arial"/>
          <w:b/>
        </w:rPr>
        <w:t>Artículo 796.- </w:t>
      </w:r>
      <w:r>
        <w:rPr/>
        <w:t>Son documentos privados los que no reúnen las condiciones previstas por el artículo</w:t>
      </w:r>
      <w:r>
        <w:rPr>
          <w:spacing w:val="40"/>
        </w:rPr>
        <w:t> </w:t>
      </w:r>
      <w:r>
        <w:rPr>
          <w:spacing w:val="-2"/>
        </w:rPr>
        <w:t>anterior.</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338" w:right="337" w:firstLine="288"/>
        <w:jc w:val="both"/>
      </w:pPr>
      <w:bookmarkStart w:name="Artículo_797" w:id="1009"/>
      <w:bookmarkEnd w:id="1009"/>
      <w:r>
        <w:rPr/>
      </w:r>
      <w:r>
        <w:rPr>
          <w:rFonts w:ascii="Arial" w:hAnsi="Arial"/>
          <w:b/>
        </w:rPr>
        <w:t>Artículo 797.- </w:t>
      </w:r>
      <w:r>
        <w:rPr/>
        <w:t>Los originales de los documentos privados se presentarán por la parte oferente que los tenga en su poder; si éstos se objetan en cuanto a contenido y firma se dejarán en autos hasta su perfeccionamiento; en caso de no ser objetados, la oferente podrá solicitar la devolución del original, previa copia certificada en autos.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ind w:left="338" w:right="338" w:firstLine="288"/>
        <w:jc w:val="both"/>
      </w:pPr>
      <w:bookmarkStart w:name="Artículo_798" w:id="1010"/>
      <w:bookmarkEnd w:id="1010"/>
      <w:r>
        <w:rPr/>
      </w:r>
      <w:r>
        <w:rPr>
          <w:rFonts w:ascii="Arial" w:hAnsi="Arial"/>
          <w:b/>
        </w:rPr>
        <w:t>Artículo 798.- </w:t>
      </w:r>
      <w:r>
        <w:rPr/>
        <w:t>Si el documento privado consiste en copia simple o fotostática se podrá solicitar, en caso de ser objetado, la compulsa o cotejo con el original; para este efecto, la parte oferente deberá justificar los motivos o el impedimento para no presentarlo en juicio y precisar el lugar donde el documento original se encuentre. En este caso el juez requerirá al tenedor del mismo su presentación en la audiencia de juicio, de no ser posible ello por disposición legal o impedimento material, podrá comisionar al actuario o secretario para que lo lleve a cabo; a fin de desahogar este medio de perfeccionamiento la diligencia se efectuará, en lo conducente, conforme a lo señalado en los artículos 827 y 829 de esta Ley.</w:t>
      </w:r>
    </w:p>
    <w:p>
      <w:pPr>
        <w:spacing w:before="1"/>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BodyText"/>
        <w:spacing w:line="242" w:lineRule="auto" w:before="1"/>
        <w:ind w:left="338" w:firstLine="288"/>
      </w:pPr>
      <w:bookmarkStart w:name="Artículo_799" w:id="1011"/>
      <w:bookmarkEnd w:id="1011"/>
      <w:r>
        <w:rPr/>
      </w:r>
      <w:r>
        <w:rPr>
          <w:rFonts w:ascii="Arial" w:hAnsi="Arial"/>
          <w:b/>
        </w:rPr>
        <w:t>Artículo</w:t>
      </w:r>
      <w:r>
        <w:rPr>
          <w:rFonts w:ascii="Arial" w:hAnsi="Arial"/>
          <w:b/>
          <w:spacing w:val="40"/>
        </w:rPr>
        <w:t> </w:t>
      </w:r>
      <w:r>
        <w:rPr>
          <w:rFonts w:ascii="Arial" w:hAnsi="Arial"/>
          <w:b/>
        </w:rPr>
        <w:t>799.-</w:t>
      </w:r>
      <w:r>
        <w:rPr>
          <w:rFonts w:ascii="Arial" w:hAnsi="Arial"/>
          <w:b/>
          <w:spacing w:val="40"/>
        </w:rPr>
        <w:t> </w:t>
      </w:r>
      <w:r>
        <w:rPr/>
        <w:t>Si</w:t>
      </w:r>
      <w:r>
        <w:rPr>
          <w:spacing w:val="40"/>
        </w:rPr>
        <w:t> </w:t>
      </w:r>
      <w:r>
        <w:rPr/>
        <w:t>el</w:t>
      </w:r>
      <w:r>
        <w:rPr>
          <w:spacing w:val="40"/>
        </w:rPr>
        <w:t> </w:t>
      </w:r>
      <w:r>
        <w:rPr/>
        <w:t>documento</w:t>
      </w:r>
      <w:r>
        <w:rPr>
          <w:spacing w:val="40"/>
        </w:rPr>
        <w:t> </w:t>
      </w:r>
      <w:r>
        <w:rPr/>
        <w:t>original</w:t>
      </w:r>
      <w:r>
        <w:rPr>
          <w:spacing w:val="40"/>
        </w:rPr>
        <w:t> </w:t>
      </w:r>
      <w:r>
        <w:rPr/>
        <w:t>sobre</w:t>
      </w:r>
      <w:r>
        <w:rPr>
          <w:spacing w:val="40"/>
        </w:rPr>
        <w:t> </w:t>
      </w:r>
      <w:r>
        <w:rPr/>
        <w:t>el</w:t>
      </w:r>
      <w:r>
        <w:rPr>
          <w:spacing w:val="40"/>
        </w:rPr>
        <w:t> </w:t>
      </w:r>
      <w:r>
        <w:rPr/>
        <w:t>que</w:t>
      </w:r>
      <w:r>
        <w:rPr>
          <w:spacing w:val="40"/>
        </w:rPr>
        <w:t> </w:t>
      </w:r>
      <w:r>
        <w:rPr/>
        <w:t>deba</w:t>
      </w:r>
      <w:r>
        <w:rPr>
          <w:spacing w:val="40"/>
        </w:rPr>
        <w:t> </w:t>
      </w:r>
      <w:r>
        <w:rPr/>
        <w:t>practicarse</w:t>
      </w:r>
      <w:r>
        <w:rPr>
          <w:spacing w:val="40"/>
        </w:rPr>
        <w:t> </w:t>
      </w:r>
      <w:r>
        <w:rPr/>
        <w:t>el</w:t>
      </w:r>
      <w:r>
        <w:rPr>
          <w:spacing w:val="40"/>
        </w:rPr>
        <w:t> </w:t>
      </w:r>
      <w:r>
        <w:rPr/>
        <w:t>cotejo</w:t>
      </w:r>
      <w:r>
        <w:rPr>
          <w:spacing w:val="40"/>
        </w:rPr>
        <w:t> </w:t>
      </w:r>
      <w:r>
        <w:rPr/>
        <w:t>o</w:t>
      </w:r>
      <w:r>
        <w:rPr>
          <w:spacing w:val="40"/>
        </w:rPr>
        <w:t> </w:t>
      </w:r>
      <w:r>
        <w:rPr/>
        <w:t>compulsa</w:t>
      </w:r>
      <w:r>
        <w:rPr>
          <w:spacing w:val="40"/>
        </w:rPr>
        <w:t> </w:t>
      </w:r>
      <w:r>
        <w:rPr/>
        <w:t>se encuentra en poder de un tercero, éste estará obligado a exhibirlo.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before="1"/>
        <w:ind w:left="338" w:right="345" w:firstLine="288"/>
        <w:jc w:val="both"/>
      </w:pPr>
      <w:bookmarkStart w:name="Artículo_800" w:id="1012"/>
      <w:bookmarkEnd w:id="1012"/>
      <w:r>
        <w:rPr/>
      </w:r>
      <w:r>
        <w:rPr>
          <w:rFonts w:ascii="Arial" w:hAnsi="Arial"/>
          <w:b/>
        </w:rPr>
        <w:t>Artículo 800.- </w:t>
      </w:r>
      <w:r>
        <w:rPr/>
        <w:t>Cuando un documento que provenga de tercero ajeno al juicio, resulta impugnado, deberá ser ratificado en su contenido y firma por el suscriptor, para lo cual deberá ser citado en los términos de la fracción VII del artículo 742 de esta Ley.</w:t>
      </w:r>
    </w:p>
    <w:p>
      <w:pPr>
        <w:pStyle w:val="BodyText"/>
        <w:spacing w:before="1"/>
      </w:pPr>
    </w:p>
    <w:p>
      <w:pPr>
        <w:pStyle w:val="BodyText"/>
        <w:ind w:left="338" w:right="336" w:firstLine="288"/>
        <w:jc w:val="both"/>
      </w:pPr>
      <w:r>
        <w:rPr/>
        <w:t>La contraparte podrá formular las preguntas en relación a la idoneidad del ratificante así como sobre los</w:t>
      </w:r>
      <w:r>
        <w:rPr>
          <w:spacing w:val="-1"/>
        </w:rPr>
        <w:t> </w:t>
      </w:r>
      <w:r>
        <w:rPr/>
        <w:t>elementos</w:t>
      </w:r>
      <w:r>
        <w:rPr>
          <w:spacing w:val="-1"/>
        </w:rPr>
        <w:t> </w:t>
      </w:r>
      <w:r>
        <w:rPr/>
        <w:t>circunstanciales</w:t>
      </w:r>
      <w:r>
        <w:rPr>
          <w:spacing w:val="-1"/>
        </w:rPr>
        <w:t> </w:t>
      </w:r>
      <w:r>
        <w:rPr/>
        <w:t>de</w:t>
      </w:r>
      <w:r>
        <w:rPr>
          <w:spacing w:val="-3"/>
        </w:rPr>
        <w:t> </w:t>
      </w:r>
      <w:r>
        <w:rPr/>
        <w:t>los</w:t>
      </w:r>
      <w:r>
        <w:rPr>
          <w:spacing w:val="-1"/>
        </w:rPr>
        <w:t> </w:t>
      </w:r>
      <w:r>
        <w:rPr/>
        <w:t>hechos</w:t>
      </w:r>
      <w:r>
        <w:rPr>
          <w:spacing w:val="-1"/>
        </w:rPr>
        <w:t> </w:t>
      </w:r>
      <w:r>
        <w:rPr/>
        <w:t>contenidos</w:t>
      </w:r>
      <w:r>
        <w:rPr>
          <w:spacing w:val="-1"/>
        </w:rPr>
        <w:t> </w:t>
      </w:r>
      <w:r>
        <w:rPr/>
        <w:t>en</w:t>
      </w:r>
      <w:r>
        <w:rPr>
          <w:spacing w:val="-3"/>
        </w:rPr>
        <w:t> </w:t>
      </w:r>
      <w:r>
        <w:rPr/>
        <w:t>el</w:t>
      </w:r>
      <w:r>
        <w:rPr>
          <w:spacing w:val="-3"/>
        </w:rPr>
        <w:t> </w:t>
      </w:r>
      <w:r>
        <w:rPr/>
        <w:t>documento y</w:t>
      </w:r>
      <w:r>
        <w:rPr>
          <w:spacing w:val="-5"/>
        </w:rPr>
        <w:t> </w:t>
      </w:r>
      <w:r>
        <w:rPr/>
        <w:t>los de</w:t>
      </w:r>
      <w:r>
        <w:rPr>
          <w:spacing w:val="-3"/>
        </w:rPr>
        <w:t> </w:t>
      </w:r>
      <w:r>
        <w:rPr/>
        <w:t>su</w:t>
      </w:r>
      <w:r>
        <w:rPr>
          <w:spacing w:val="-2"/>
        </w:rPr>
        <w:t> </w:t>
      </w:r>
      <w:r>
        <w:rPr/>
        <w:t>elaboración,</w:t>
      </w:r>
      <w:r>
        <w:rPr>
          <w:spacing w:val="-2"/>
        </w:rPr>
        <w:t> </w:t>
      </w:r>
      <w:r>
        <w:rPr/>
        <w:t>para</w:t>
      </w:r>
      <w:r>
        <w:rPr>
          <w:spacing w:val="-2"/>
        </w:rPr>
        <w:t> </w:t>
      </w:r>
      <w:r>
        <w:rPr/>
        <w:t>lo cual se observarán las reglas establecidas en el artículo 815 de esta Ley.</w:t>
      </w:r>
    </w:p>
    <w:p>
      <w:pPr>
        <w:spacing w:line="240" w:lineRule="auto" w:before="0"/>
        <w:ind w:left="7347" w:right="333" w:firstLine="1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2"/>
        <w:rPr>
          <w:rFonts w:ascii="Times New Roman"/>
          <w:i/>
          <w:sz w:val="16"/>
        </w:rPr>
      </w:pPr>
    </w:p>
    <w:p>
      <w:pPr>
        <w:pStyle w:val="BodyText"/>
        <w:ind w:left="338" w:right="338" w:firstLine="288"/>
        <w:jc w:val="both"/>
      </w:pPr>
      <w:bookmarkStart w:name="Artículo_801" w:id="1013"/>
      <w:bookmarkEnd w:id="1013"/>
      <w:r>
        <w:rPr/>
      </w:r>
      <w:r>
        <w:rPr>
          <w:rFonts w:ascii="Arial" w:hAnsi="Arial"/>
          <w:b/>
        </w:rPr>
        <w:t>Artículo 801.- </w:t>
      </w:r>
      <w:r>
        <w:rPr/>
        <w:t>Los interesados presentarán los originales de los documentos privados y, cuando formen</w:t>
      </w:r>
      <w:r>
        <w:rPr>
          <w:spacing w:val="-2"/>
        </w:rPr>
        <w:t> </w:t>
      </w:r>
      <w:r>
        <w:rPr/>
        <w:t>parte</w:t>
      </w:r>
      <w:r>
        <w:rPr>
          <w:spacing w:val="-1"/>
        </w:rPr>
        <w:t> </w:t>
      </w:r>
      <w:r>
        <w:rPr/>
        <w:t>de un libro,</w:t>
      </w:r>
      <w:r>
        <w:rPr>
          <w:spacing w:val="-1"/>
        </w:rPr>
        <w:t> </w:t>
      </w:r>
      <w:r>
        <w:rPr/>
        <w:t>expediente</w:t>
      </w:r>
      <w:r>
        <w:rPr>
          <w:spacing w:val="-1"/>
        </w:rPr>
        <w:t> </w:t>
      </w:r>
      <w:r>
        <w:rPr/>
        <w:t>o</w:t>
      </w:r>
      <w:r>
        <w:rPr>
          <w:spacing w:val="-1"/>
        </w:rPr>
        <w:t> </w:t>
      </w:r>
      <w:r>
        <w:rPr/>
        <w:t>legajo,</w:t>
      </w:r>
      <w:r>
        <w:rPr>
          <w:spacing w:val="-1"/>
        </w:rPr>
        <w:t> </w:t>
      </w:r>
      <w:r>
        <w:rPr/>
        <w:t>exhibirán copia</w:t>
      </w:r>
      <w:r>
        <w:rPr>
          <w:spacing w:val="-1"/>
        </w:rPr>
        <w:t> </w:t>
      </w:r>
      <w:r>
        <w:rPr/>
        <w:t>para</w:t>
      </w:r>
      <w:r>
        <w:rPr>
          <w:spacing w:val="-1"/>
        </w:rPr>
        <w:t> </w:t>
      </w:r>
      <w:r>
        <w:rPr/>
        <w:t>que</w:t>
      </w:r>
      <w:r>
        <w:rPr>
          <w:spacing w:val="-1"/>
        </w:rPr>
        <w:t> </w:t>
      </w:r>
      <w:r>
        <w:rPr/>
        <w:t>se</w:t>
      </w:r>
      <w:r>
        <w:rPr>
          <w:spacing w:val="-1"/>
        </w:rPr>
        <w:t> </w:t>
      </w:r>
      <w:r>
        <w:rPr/>
        <w:t>compulse</w:t>
      </w:r>
      <w:r>
        <w:rPr>
          <w:spacing w:val="-1"/>
        </w:rPr>
        <w:t> </w:t>
      </w:r>
      <w:r>
        <w:rPr/>
        <w:t>la</w:t>
      </w:r>
      <w:r>
        <w:rPr>
          <w:spacing w:val="-1"/>
        </w:rPr>
        <w:t> </w:t>
      </w:r>
      <w:r>
        <w:rPr/>
        <w:t>parte</w:t>
      </w:r>
      <w:r>
        <w:rPr>
          <w:spacing w:val="-1"/>
        </w:rPr>
        <w:t> </w:t>
      </w:r>
      <w:r>
        <w:rPr/>
        <w:t>que</w:t>
      </w:r>
      <w:r>
        <w:rPr>
          <w:spacing w:val="-2"/>
        </w:rPr>
        <w:t> </w:t>
      </w:r>
      <w:r>
        <w:rPr/>
        <w:t>señalen, indicando el lugar en donde éstos se encuentren, debiendo justificar la circunstancia por la cual no puede exhibirlos en el Tribunal; en este caso el juez podrá comisionar a un actuario o secretario para que de fe de los extremos de la prueba, observando en lo conducente lo establecido en los artículos 827 y 829 de esta Ley.</w:t>
      </w:r>
    </w:p>
    <w:p>
      <w:pPr>
        <w:spacing w:before="1"/>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spacing w:before="0"/>
        <w:ind w:left="626" w:right="0" w:firstLine="0"/>
        <w:jc w:val="left"/>
        <w:rPr>
          <w:sz w:val="20"/>
        </w:rPr>
      </w:pPr>
      <w:bookmarkStart w:name="Artículo_802" w:id="1014"/>
      <w:bookmarkEnd w:id="1014"/>
      <w:r>
        <w:rPr/>
      </w:r>
      <w:r>
        <w:rPr>
          <w:rFonts w:ascii="Arial" w:hAnsi="Arial"/>
          <w:b/>
          <w:sz w:val="20"/>
        </w:rPr>
        <w:t>Artículo</w:t>
      </w:r>
      <w:r>
        <w:rPr>
          <w:rFonts w:ascii="Arial" w:hAnsi="Arial"/>
          <w:b/>
          <w:spacing w:val="-5"/>
          <w:sz w:val="20"/>
        </w:rPr>
        <w:t> </w:t>
      </w:r>
      <w:r>
        <w:rPr>
          <w:rFonts w:ascii="Arial" w:hAnsi="Arial"/>
          <w:b/>
          <w:sz w:val="20"/>
        </w:rPr>
        <w:t>802.-</w:t>
      </w:r>
      <w:r>
        <w:rPr>
          <w:rFonts w:ascii="Arial" w:hAnsi="Arial"/>
          <w:b/>
          <w:spacing w:val="-3"/>
          <w:sz w:val="20"/>
        </w:rPr>
        <w:t> </w:t>
      </w:r>
      <w:r>
        <w:rPr>
          <w:sz w:val="20"/>
        </w:rPr>
        <w:t>Se</w:t>
      </w:r>
      <w:r>
        <w:rPr>
          <w:spacing w:val="-6"/>
          <w:sz w:val="20"/>
        </w:rPr>
        <w:t> </w:t>
      </w:r>
      <w:r>
        <w:rPr>
          <w:sz w:val="20"/>
        </w:rPr>
        <w:t>reputa</w:t>
      </w:r>
      <w:r>
        <w:rPr>
          <w:spacing w:val="-6"/>
          <w:sz w:val="20"/>
        </w:rPr>
        <w:t> </w:t>
      </w:r>
      <w:r>
        <w:rPr>
          <w:sz w:val="20"/>
        </w:rPr>
        <w:t>autor</w:t>
      </w:r>
      <w:r>
        <w:rPr>
          <w:spacing w:val="-5"/>
          <w:sz w:val="20"/>
        </w:rPr>
        <w:t> </w:t>
      </w:r>
      <w:r>
        <w:rPr>
          <w:sz w:val="20"/>
        </w:rPr>
        <w:t>de</w:t>
      </w:r>
      <w:r>
        <w:rPr>
          <w:spacing w:val="-4"/>
          <w:sz w:val="20"/>
        </w:rPr>
        <w:t> </w:t>
      </w:r>
      <w:r>
        <w:rPr>
          <w:sz w:val="20"/>
        </w:rPr>
        <w:t>un</w:t>
      </w:r>
      <w:r>
        <w:rPr>
          <w:spacing w:val="-5"/>
          <w:sz w:val="20"/>
        </w:rPr>
        <w:t> </w:t>
      </w:r>
      <w:r>
        <w:rPr>
          <w:sz w:val="20"/>
        </w:rPr>
        <w:t>documento</w:t>
      </w:r>
      <w:r>
        <w:rPr>
          <w:spacing w:val="-7"/>
          <w:sz w:val="20"/>
        </w:rPr>
        <w:t> </w:t>
      </w:r>
      <w:r>
        <w:rPr>
          <w:sz w:val="20"/>
        </w:rPr>
        <w:t>privado</w:t>
      </w:r>
      <w:r>
        <w:rPr>
          <w:spacing w:val="-6"/>
          <w:sz w:val="20"/>
        </w:rPr>
        <w:t> </w:t>
      </w:r>
      <w:r>
        <w:rPr>
          <w:sz w:val="20"/>
        </w:rPr>
        <w:t>al</w:t>
      </w:r>
      <w:r>
        <w:rPr>
          <w:spacing w:val="-7"/>
          <w:sz w:val="20"/>
        </w:rPr>
        <w:t> </w:t>
      </w:r>
      <w:r>
        <w:rPr>
          <w:sz w:val="20"/>
        </w:rPr>
        <w:t>que</w:t>
      </w:r>
      <w:r>
        <w:rPr>
          <w:spacing w:val="-5"/>
          <w:sz w:val="20"/>
        </w:rPr>
        <w:t> </w:t>
      </w:r>
      <w:r>
        <w:rPr>
          <w:sz w:val="20"/>
        </w:rPr>
        <w:t>lo</w:t>
      </w:r>
      <w:r>
        <w:rPr>
          <w:spacing w:val="-6"/>
          <w:sz w:val="20"/>
        </w:rPr>
        <w:t> </w:t>
      </w:r>
      <w:r>
        <w:rPr>
          <w:spacing w:val="-2"/>
          <w:sz w:val="20"/>
        </w:rPr>
        <w:t>suscribe.</w:t>
      </w:r>
    </w:p>
    <w:p>
      <w:pPr>
        <w:pStyle w:val="BodyText"/>
        <w:spacing w:before="3"/>
      </w:pPr>
    </w:p>
    <w:p>
      <w:pPr>
        <w:pStyle w:val="BodyText"/>
        <w:ind w:left="338" w:firstLine="288"/>
      </w:pPr>
      <w:r>
        <w:rPr/>
        <w:t>Se</w:t>
      </w:r>
      <w:r>
        <w:rPr>
          <w:spacing w:val="32"/>
        </w:rPr>
        <w:t> </w:t>
      </w:r>
      <w:r>
        <w:rPr/>
        <w:t>entiende</w:t>
      </w:r>
      <w:r>
        <w:rPr>
          <w:spacing w:val="32"/>
        </w:rPr>
        <w:t> </w:t>
      </w:r>
      <w:r>
        <w:rPr/>
        <w:t>por</w:t>
      </w:r>
      <w:r>
        <w:rPr>
          <w:spacing w:val="33"/>
        </w:rPr>
        <w:t> </w:t>
      </w:r>
      <w:r>
        <w:rPr/>
        <w:t>suscripción</w:t>
      </w:r>
      <w:r>
        <w:rPr>
          <w:spacing w:val="32"/>
        </w:rPr>
        <w:t> </w:t>
      </w:r>
      <w:r>
        <w:rPr/>
        <w:t>de</w:t>
      </w:r>
      <w:r>
        <w:rPr>
          <w:spacing w:val="32"/>
        </w:rPr>
        <w:t> </w:t>
      </w:r>
      <w:r>
        <w:rPr/>
        <w:t>un</w:t>
      </w:r>
      <w:r>
        <w:rPr>
          <w:spacing w:val="32"/>
        </w:rPr>
        <w:t> </w:t>
      </w:r>
      <w:r>
        <w:rPr/>
        <w:t>escrito</w:t>
      </w:r>
      <w:r>
        <w:rPr>
          <w:spacing w:val="32"/>
        </w:rPr>
        <w:t> </w:t>
      </w:r>
      <w:r>
        <w:rPr/>
        <w:t>la</w:t>
      </w:r>
      <w:r>
        <w:rPr>
          <w:spacing w:val="32"/>
        </w:rPr>
        <w:t> </w:t>
      </w:r>
      <w:r>
        <w:rPr/>
        <w:t>colocación</w:t>
      </w:r>
      <w:r>
        <w:rPr>
          <w:spacing w:val="32"/>
        </w:rPr>
        <w:t> </w:t>
      </w:r>
      <w:r>
        <w:rPr/>
        <w:t>al</w:t>
      </w:r>
      <w:r>
        <w:rPr>
          <w:spacing w:val="31"/>
        </w:rPr>
        <w:t> </w:t>
      </w:r>
      <w:r>
        <w:rPr/>
        <w:t>pie</w:t>
      </w:r>
      <w:r>
        <w:rPr>
          <w:spacing w:val="32"/>
        </w:rPr>
        <w:t> </w:t>
      </w:r>
      <w:r>
        <w:rPr/>
        <w:t>o</w:t>
      </w:r>
      <w:r>
        <w:rPr>
          <w:spacing w:val="32"/>
        </w:rPr>
        <w:t> </w:t>
      </w:r>
      <w:r>
        <w:rPr/>
        <w:t>al</w:t>
      </w:r>
      <w:r>
        <w:rPr>
          <w:spacing w:val="31"/>
        </w:rPr>
        <w:t> </w:t>
      </w:r>
      <w:r>
        <w:rPr/>
        <w:t>margen</w:t>
      </w:r>
      <w:r>
        <w:rPr>
          <w:spacing w:val="32"/>
        </w:rPr>
        <w:t> </w:t>
      </w:r>
      <w:r>
        <w:rPr/>
        <w:t>del</w:t>
      </w:r>
      <w:r>
        <w:rPr>
          <w:spacing w:val="31"/>
        </w:rPr>
        <w:t> </w:t>
      </w:r>
      <w:r>
        <w:rPr/>
        <w:t>mismo</w:t>
      </w:r>
      <w:r>
        <w:rPr>
          <w:spacing w:val="32"/>
        </w:rPr>
        <w:t> </w:t>
      </w:r>
      <w:r>
        <w:rPr/>
        <w:t>de</w:t>
      </w:r>
      <w:r>
        <w:rPr>
          <w:spacing w:val="32"/>
        </w:rPr>
        <w:t> </w:t>
      </w:r>
      <w:r>
        <w:rPr/>
        <w:t>la</w:t>
      </w:r>
      <w:r>
        <w:rPr>
          <w:spacing w:val="32"/>
        </w:rPr>
        <w:t> </w:t>
      </w:r>
      <w:r>
        <w:rPr/>
        <w:t>firma autógrafa de su autor o de su huella digital, como expresión de la voluntad de hacerlo suyo.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line="180" w:lineRule="exact"/>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BodyText"/>
        <w:ind w:left="338" w:right="339" w:firstLine="288"/>
        <w:jc w:val="both"/>
      </w:pPr>
      <w:r>
        <w:rPr/>
        <w:t>La suscripción hace plena fe de la formulación del documento por cuenta del suscriptor cuando sea ratificado en su contenido y firma o huella digital; excepto en los casos en que el contenido no se repute proveniente del autor, circunstancia que deberá justificarse con prueba idónea y del señalado en el artículo 33 de esta Ley.</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338" w:right="339" w:firstLine="288"/>
        <w:jc w:val="both"/>
      </w:pPr>
      <w:bookmarkStart w:name="Artículo_803" w:id="1015"/>
      <w:bookmarkEnd w:id="1015"/>
      <w:r>
        <w:rPr/>
      </w:r>
      <w:r>
        <w:rPr>
          <w:rFonts w:ascii="Arial" w:hAnsi="Arial"/>
          <w:b/>
        </w:rPr>
        <w:t>Artículo 803.- </w:t>
      </w:r>
      <w:r>
        <w:rPr/>
        <w:t>Cada parte exhibirá los documentos u objetos que ofrezca como prueba para que</w:t>
      </w:r>
      <w:r>
        <w:rPr>
          <w:spacing w:val="40"/>
        </w:rPr>
        <w:t> </w:t>
      </w:r>
      <w:r>
        <w:rPr/>
        <w:t>obren en autos. Si se trata de informes, o copias, que deba expedir alguna autoridad, el Tribunal deberá solicitarlos directamente, asegurándose de recabarlos antes de la audiencia de juicio.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39" w:firstLine="288"/>
        <w:jc w:val="both"/>
      </w:pPr>
      <w:bookmarkStart w:name="Artículo_804" w:id="1016"/>
      <w:bookmarkEnd w:id="1016"/>
      <w:r>
        <w:rPr/>
      </w:r>
      <w:r>
        <w:rPr>
          <w:rFonts w:ascii="Arial" w:hAnsi="Arial"/>
          <w:b/>
        </w:rPr>
        <w:t>Artículo 804.- </w:t>
      </w:r>
      <w:r>
        <w:rPr/>
        <w:t>El patrón tiene obligación de conservar y exhibir en juicio los documentos que a continuación se precisan:</w:t>
      </w:r>
    </w:p>
    <w:p>
      <w:pPr>
        <w:pStyle w:val="ListParagraph"/>
        <w:numPr>
          <w:ilvl w:val="0"/>
          <w:numId w:val="307"/>
        </w:numPr>
        <w:tabs>
          <w:tab w:pos="1195" w:val="left" w:leader="none"/>
        </w:tabs>
        <w:spacing w:line="240" w:lineRule="auto" w:before="227" w:after="0"/>
        <w:ind w:left="1195" w:right="345" w:hanging="569"/>
        <w:jc w:val="left"/>
        <w:rPr>
          <w:sz w:val="20"/>
        </w:rPr>
      </w:pPr>
      <w:r>
        <w:rPr>
          <w:sz w:val="20"/>
        </w:rPr>
        <w:t>Contratos</w:t>
      </w:r>
      <w:r>
        <w:rPr>
          <w:spacing w:val="40"/>
          <w:sz w:val="20"/>
        </w:rPr>
        <w:t> </w:t>
      </w:r>
      <w:r>
        <w:rPr>
          <w:sz w:val="20"/>
        </w:rPr>
        <w:t>individuales</w:t>
      </w:r>
      <w:r>
        <w:rPr>
          <w:spacing w:val="40"/>
          <w:sz w:val="20"/>
        </w:rPr>
        <w:t> </w:t>
      </w:r>
      <w:r>
        <w:rPr>
          <w:sz w:val="20"/>
        </w:rPr>
        <w:t>de</w:t>
      </w:r>
      <w:r>
        <w:rPr>
          <w:spacing w:val="40"/>
          <w:sz w:val="20"/>
        </w:rPr>
        <w:t> </w:t>
      </w:r>
      <w:r>
        <w:rPr>
          <w:sz w:val="20"/>
        </w:rPr>
        <w:t>trabajo</w:t>
      </w:r>
      <w:r>
        <w:rPr>
          <w:spacing w:val="40"/>
          <w:sz w:val="20"/>
        </w:rPr>
        <w:t> </w:t>
      </w:r>
      <w:r>
        <w:rPr>
          <w:sz w:val="20"/>
        </w:rPr>
        <w:t>que</w:t>
      </w:r>
      <w:r>
        <w:rPr>
          <w:spacing w:val="40"/>
          <w:sz w:val="20"/>
        </w:rPr>
        <w:t> </w:t>
      </w:r>
      <w:r>
        <w:rPr>
          <w:sz w:val="20"/>
        </w:rPr>
        <w:t>se</w:t>
      </w:r>
      <w:r>
        <w:rPr>
          <w:spacing w:val="40"/>
          <w:sz w:val="20"/>
        </w:rPr>
        <w:t> </w:t>
      </w:r>
      <w:r>
        <w:rPr>
          <w:sz w:val="20"/>
        </w:rPr>
        <w:t>celebren,</w:t>
      </w:r>
      <w:r>
        <w:rPr>
          <w:spacing w:val="40"/>
          <w:sz w:val="20"/>
        </w:rPr>
        <w:t> </w:t>
      </w:r>
      <w:r>
        <w:rPr>
          <w:sz w:val="20"/>
        </w:rPr>
        <w:t>cuando</w:t>
      </w:r>
      <w:r>
        <w:rPr>
          <w:spacing w:val="40"/>
          <w:sz w:val="20"/>
        </w:rPr>
        <w:t> </w:t>
      </w:r>
      <w:r>
        <w:rPr>
          <w:sz w:val="20"/>
        </w:rPr>
        <w:t>no</w:t>
      </w:r>
      <w:r>
        <w:rPr>
          <w:spacing w:val="40"/>
          <w:sz w:val="20"/>
        </w:rPr>
        <w:t> </w:t>
      </w:r>
      <w:r>
        <w:rPr>
          <w:sz w:val="20"/>
        </w:rPr>
        <w:t>exista</w:t>
      </w:r>
      <w:r>
        <w:rPr>
          <w:spacing w:val="40"/>
          <w:sz w:val="20"/>
        </w:rPr>
        <w:t> </w:t>
      </w:r>
      <w:r>
        <w:rPr>
          <w:sz w:val="20"/>
        </w:rPr>
        <w:t>contrato</w:t>
      </w:r>
      <w:r>
        <w:rPr>
          <w:spacing w:val="40"/>
          <w:sz w:val="20"/>
        </w:rPr>
        <w:t> </w:t>
      </w:r>
      <w:r>
        <w:rPr>
          <w:sz w:val="20"/>
        </w:rPr>
        <w:t>colectivo</w:t>
      </w:r>
      <w:r>
        <w:rPr>
          <w:spacing w:val="40"/>
          <w:sz w:val="20"/>
        </w:rPr>
        <w:t> </w:t>
      </w:r>
      <w:r>
        <w:rPr>
          <w:sz w:val="20"/>
        </w:rPr>
        <w:t>o</w:t>
      </w:r>
      <w:r>
        <w:rPr>
          <w:spacing w:val="40"/>
          <w:sz w:val="20"/>
        </w:rPr>
        <w:t> </w:t>
      </w:r>
      <w:r>
        <w:rPr>
          <w:sz w:val="20"/>
        </w:rPr>
        <w:t>contrato Ley aplicable;</w:t>
      </w:r>
    </w:p>
    <w:p>
      <w:pPr>
        <w:pStyle w:val="ListParagraph"/>
        <w:numPr>
          <w:ilvl w:val="0"/>
          <w:numId w:val="307"/>
        </w:numPr>
        <w:tabs>
          <w:tab w:pos="1195" w:val="left" w:leader="none"/>
        </w:tabs>
        <w:spacing w:line="242" w:lineRule="auto" w:before="229" w:after="0"/>
        <w:ind w:left="1195" w:right="334" w:hanging="569"/>
        <w:jc w:val="left"/>
        <w:rPr>
          <w:sz w:val="20"/>
        </w:rPr>
      </w:pPr>
      <w:r>
        <w:rPr>
          <w:sz w:val="20"/>
        </w:rPr>
        <w:t>Listas</w:t>
      </w:r>
      <w:r>
        <w:rPr>
          <w:spacing w:val="26"/>
          <w:sz w:val="20"/>
        </w:rPr>
        <w:t> </w:t>
      </w:r>
      <w:r>
        <w:rPr>
          <w:sz w:val="20"/>
        </w:rPr>
        <w:t>de</w:t>
      </w:r>
      <w:r>
        <w:rPr>
          <w:spacing w:val="25"/>
          <w:sz w:val="20"/>
        </w:rPr>
        <w:t> </w:t>
      </w:r>
      <w:r>
        <w:rPr>
          <w:sz w:val="20"/>
        </w:rPr>
        <w:t>raya</w:t>
      </w:r>
      <w:r>
        <w:rPr>
          <w:spacing w:val="27"/>
          <w:sz w:val="20"/>
        </w:rPr>
        <w:t> </w:t>
      </w:r>
      <w:r>
        <w:rPr>
          <w:sz w:val="20"/>
        </w:rPr>
        <w:t>o</w:t>
      </w:r>
      <w:r>
        <w:rPr>
          <w:spacing w:val="23"/>
          <w:sz w:val="20"/>
        </w:rPr>
        <w:t> </w:t>
      </w:r>
      <w:r>
        <w:rPr>
          <w:sz w:val="20"/>
        </w:rPr>
        <w:t>nómina</w:t>
      </w:r>
      <w:r>
        <w:rPr>
          <w:spacing w:val="23"/>
          <w:sz w:val="20"/>
        </w:rPr>
        <w:t> </w:t>
      </w:r>
      <w:r>
        <w:rPr>
          <w:sz w:val="20"/>
        </w:rPr>
        <w:t>de</w:t>
      </w:r>
      <w:r>
        <w:rPr>
          <w:spacing w:val="23"/>
          <w:sz w:val="20"/>
        </w:rPr>
        <w:t> </w:t>
      </w:r>
      <w:r>
        <w:rPr>
          <w:sz w:val="20"/>
        </w:rPr>
        <w:t>personal,</w:t>
      </w:r>
      <w:r>
        <w:rPr>
          <w:spacing w:val="23"/>
          <w:sz w:val="20"/>
        </w:rPr>
        <w:t> </w:t>
      </w:r>
      <w:r>
        <w:rPr>
          <w:sz w:val="20"/>
        </w:rPr>
        <w:t>cuando</w:t>
      </w:r>
      <w:r>
        <w:rPr>
          <w:spacing w:val="23"/>
          <w:sz w:val="20"/>
        </w:rPr>
        <w:t> </w:t>
      </w:r>
      <w:r>
        <w:rPr>
          <w:sz w:val="20"/>
        </w:rPr>
        <w:t>se</w:t>
      </w:r>
      <w:r>
        <w:rPr>
          <w:spacing w:val="25"/>
          <w:sz w:val="20"/>
        </w:rPr>
        <w:t> </w:t>
      </w:r>
      <w:r>
        <w:rPr>
          <w:sz w:val="20"/>
        </w:rPr>
        <w:t>lleven</w:t>
      </w:r>
      <w:r>
        <w:rPr>
          <w:spacing w:val="25"/>
          <w:sz w:val="20"/>
        </w:rPr>
        <w:t> </w:t>
      </w:r>
      <w:r>
        <w:rPr>
          <w:sz w:val="20"/>
        </w:rPr>
        <w:t>en</w:t>
      </w:r>
      <w:r>
        <w:rPr>
          <w:spacing w:val="25"/>
          <w:sz w:val="20"/>
        </w:rPr>
        <w:t> </w:t>
      </w:r>
      <w:r>
        <w:rPr>
          <w:sz w:val="20"/>
        </w:rPr>
        <w:t>el</w:t>
      </w:r>
      <w:r>
        <w:rPr>
          <w:spacing w:val="24"/>
          <w:sz w:val="20"/>
        </w:rPr>
        <w:t> </w:t>
      </w:r>
      <w:r>
        <w:rPr>
          <w:sz w:val="20"/>
        </w:rPr>
        <w:t>centro</w:t>
      </w:r>
      <w:r>
        <w:rPr>
          <w:spacing w:val="23"/>
          <w:sz w:val="20"/>
        </w:rPr>
        <w:t> </w:t>
      </w:r>
      <w:r>
        <w:rPr>
          <w:sz w:val="20"/>
        </w:rPr>
        <w:t>de</w:t>
      </w:r>
      <w:r>
        <w:rPr>
          <w:spacing w:val="25"/>
          <w:sz w:val="20"/>
        </w:rPr>
        <w:t> </w:t>
      </w:r>
      <w:r>
        <w:rPr>
          <w:sz w:val="20"/>
        </w:rPr>
        <w:t>trabajo;</w:t>
      </w:r>
      <w:r>
        <w:rPr>
          <w:spacing w:val="23"/>
          <w:sz w:val="20"/>
        </w:rPr>
        <w:t> </w:t>
      </w:r>
      <w:r>
        <w:rPr>
          <w:sz w:val="20"/>
        </w:rPr>
        <w:t>o</w:t>
      </w:r>
      <w:r>
        <w:rPr>
          <w:spacing w:val="25"/>
          <w:sz w:val="20"/>
        </w:rPr>
        <w:t> </w:t>
      </w:r>
      <w:r>
        <w:rPr>
          <w:sz w:val="20"/>
        </w:rPr>
        <w:t>recibos</w:t>
      </w:r>
      <w:r>
        <w:rPr>
          <w:spacing w:val="24"/>
          <w:sz w:val="20"/>
        </w:rPr>
        <w:t> </w:t>
      </w:r>
      <w:r>
        <w:rPr>
          <w:sz w:val="20"/>
        </w:rPr>
        <w:t>de pagos de salarios;</w:t>
      </w:r>
    </w:p>
    <w:p>
      <w:pPr>
        <w:pStyle w:val="ListParagraph"/>
        <w:numPr>
          <w:ilvl w:val="0"/>
          <w:numId w:val="307"/>
        </w:numPr>
        <w:tabs>
          <w:tab w:pos="1195" w:val="left" w:leader="none"/>
        </w:tabs>
        <w:spacing w:line="240" w:lineRule="auto" w:before="226" w:after="0"/>
        <w:ind w:left="1195" w:right="0" w:hanging="569"/>
        <w:jc w:val="left"/>
        <w:rPr>
          <w:sz w:val="20"/>
        </w:rPr>
      </w:pPr>
      <w:r>
        <w:rPr>
          <w:sz w:val="20"/>
        </w:rPr>
        <w:t>Controles</w:t>
      </w:r>
      <w:r>
        <w:rPr>
          <w:spacing w:val="-7"/>
          <w:sz w:val="20"/>
        </w:rPr>
        <w:t> </w:t>
      </w:r>
      <w:r>
        <w:rPr>
          <w:sz w:val="20"/>
        </w:rPr>
        <w:t>de</w:t>
      </w:r>
      <w:r>
        <w:rPr>
          <w:spacing w:val="-7"/>
          <w:sz w:val="20"/>
        </w:rPr>
        <w:t> </w:t>
      </w:r>
      <w:r>
        <w:rPr>
          <w:sz w:val="20"/>
        </w:rPr>
        <w:t>asistencia,</w:t>
      </w:r>
      <w:r>
        <w:rPr>
          <w:spacing w:val="-5"/>
          <w:sz w:val="20"/>
        </w:rPr>
        <w:t> </w:t>
      </w:r>
      <w:r>
        <w:rPr>
          <w:sz w:val="20"/>
        </w:rPr>
        <w:t>cuando</w:t>
      </w:r>
      <w:r>
        <w:rPr>
          <w:spacing w:val="-5"/>
          <w:sz w:val="20"/>
        </w:rPr>
        <w:t> </w:t>
      </w:r>
      <w:r>
        <w:rPr>
          <w:sz w:val="20"/>
        </w:rPr>
        <w:t>se</w:t>
      </w:r>
      <w:r>
        <w:rPr>
          <w:spacing w:val="-7"/>
          <w:sz w:val="20"/>
        </w:rPr>
        <w:t> </w:t>
      </w:r>
      <w:r>
        <w:rPr>
          <w:sz w:val="20"/>
        </w:rPr>
        <w:t>lleven</w:t>
      </w:r>
      <w:r>
        <w:rPr>
          <w:spacing w:val="-5"/>
          <w:sz w:val="20"/>
        </w:rPr>
        <w:t> </w:t>
      </w:r>
      <w:r>
        <w:rPr>
          <w:sz w:val="20"/>
        </w:rPr>
        <w:t>en</w:t>
      </w:r>
      <w:r>
        <w:rPr>
          <w:spacing w:val="-6"/>
          <w:sz w:val="20"/>
        </w:rPr>
        <w:t> </w:t>
      </w:r>
      <w:r>
        <w:rPr>
          <w:sz w:val="20"/>
        </w:rPr>
        <w:t>el</w:t>
      </w:r>
      <w:r>
        <w:rPr>
          <w:spacing w:val="-6"/>
          <w:sz w:val="20"/>
        </w:rPr>
        <w:t> </w:t>
      </w:r>
      <w:r>
        <w:rPr>
          <w:sz w:val="20"/>
        </w:rPr>
        <w:t>centro</w:t>
      </w:r>
      <w:r>
        <w:rPr>
          <w:spacing w:val="-5"/>
          <w:sz w:val="20"/>
        </w:rPr>
        <w:t> </w:t>
      </w:r>
      <w:r>
        <w:rPr>
          <w:sz w:val="20"/>
        </w:rPr>
        <w:t>de</w:t>
      </w:r>
      <w:r>
        <w:rPr>
          <w:spacing w:val="-8"/>
          <w:sz w:val="20"/>
        </w:rPr>
        <w:t> </w:t>
      </w:r>
      <w:r>
        <w:rPr>
          <w:spacing w:val="-2"/>
          <w:sz w:val="20"/>
        </w:rPr>
        <w:t>trabajo;</w:t>
      </w:r>
    </w:p>
    <w:p>
      <w:pPr>
        <w:pStyle w:val="ListParagraph"/>
        <w:numPr>
          <w:ilvl w:val="0"/>
          <w:numId w:val="307"/>
        </w:numPr>
        <w:tabs>
          <w:tab w:pos="1195" w:val="left" w:leader="none"/>
        </w:tabs>
        <w:spacing w:line="242" w:lineRule="auto" w:before="229" w:after="0"/>
        <w:ind w:left="1195" w:right="343" w:hanging="569"/>
        <w:jc w:val="left"/>
        <w:rPr>
          <w:sz w:val="20"/>
        </w:rPr>
      </w:pPr>
      <w:r>
        <w:rPr>
          <w:sz w:val="20"/>
        </w:rPr>
        <w:t>Comprobantes de</w:t>
      </w:r>
      <w:r>
        <w:rPr>
          <w:spacing w:val="-1"/>
          <w:sz w:val="20"/>
        </w:rPr>
        <w:t> </w:t>
      </w:r>
      <w:r>
        <w:rPr>
          <w:sz w:val="20"/>
        </w:rPr>
        <w:t>pago de participación</w:t>
      </w:r>
      <w:r>
        <w:rPr>
          <w:spacing w:val="-1"/>
          <w:sz w:val="20"/>
        </w:rPr>
        <w:t> </w:t>
      </w:r>
      <w:r>
        <w:rPr>
          <w:sz w:val="20"/>
        </w:rPr>
        <w:t>de utilidades, de</w:t>
      </w:r>
      <w:r>
        <w:rPr>
          <w:spacing w:val="-1"/>
          <w:sz w:val="20"/>
        </w:rPr>
        <w:t> </w:t>
      </w:r>
      <w:r>
        <w:rPr>
          <w:sz w:val="20"/>
        </w:rPr>
        <w:t>vacaciones y</w:t>
      </w:r>
      <w:r>
        <w:rPr>
          <w:spacing w:val="-4"/>
          <w:sz w:val="20"/>
        </w:rPr>
        <w:t> </w:t>
      </w:r>
      <w:r>
        <w:rPr>
          <w:sz w:val="20"/>
        </w:rPr>
        <w:t>de</w:t>
      </w:r>
      <w:r>
        <w:rPr>
          <w:spacing w:val="-1"/>
          <w:sz w:val="20"/>
        </w:rPr>
        <w:t> </w:t>
      </w:r>
      <w:r>
        <w:rPr>
          <w:sz w:val="20"/>
        </w:rPr>
        <w:t>aguinaldos, así como las primas a que se refiere esta Ley, y pagos, aportaciones y cuotas de seguridad social; 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307"/>
        </w:numPr>
        <w:tabs>
          <w:tab w:pos="1195" w:val="left" w:leader="none"/>
        </w:tabs>
        <w:spacing w:line="240" w:lineRule="auto" w:before="0" w:after="0"/>
        <w:ind w:left="1195" w:right="0" w:hanging="569"/>
        <w:jc w:val="left"/>
        <w:rPr>
          <w:sz w:val="20"/>
        </w:rPr>
      </w:pPr>
      <w:r>
        <w:rPr>
          <w:sz w:val="20"/>
        </w:rPr>
        <w:t>Los</w:t>
      </w:r>
      <w:r>
        <w:rPr>
          <w:spacing w:val="-6"/>
          <w:sz w:val="20"/>
        </w:rPr>
        <w:t> </w:t>
      </w:r>
      <w:r>
        <w:rPr>
          <w:sz w:val="20"/>
        </w:rPr>
        <w:t>demás</w:t>
      </w:r>
      <w:r>
        <w:rPr>
          <w:spacing w:val="-6"/>
          <w:sz w:val="20"/>
        </w:rPr>
        <w:t> </w:t>
      </w:r>
      <w:r>
        <w:rPr>
          <w:sz w:val="20"/>
        </w:rPr>
        <w:t>que</w:t>
      </w:r>
      <w:r>
        <w:rPr>
          <w:spacing w:val="-6"/>
          <w:sz w:val="20"/>
        </w:rPr>
        <w:t> </w:t>
      </w:r>
      <w:r>
        <w:rPr>
          <w:sz w:val="20"/>
        </w:rPr>
        <w:t>señalen</w:t>
      </w:r>
      <w:r>
        <w:rPr>
          <w:spacing w:val="-6"/>
          <w:sz w:val="20"/>
        </w:rPr>
        <w:t> </w:t>
      </w:r>
      <w:r>
        <w:rPr>
          <w:sz w:val="20"/>
        </w:rPr>
        <w:t>las</w:t>
      </w:r>
      <w:r>
        <w:rPr>
          <w:spacing w:val="-4"/>
          <w:sz w:val="20"/>
        </w:rPr>
        <w:t> </w:t>
      </w:r>
      <w:r>
        <w:rPr>
          <w:spacing w:val="-2"/>
          <w:sz w:val="20"/>
        </w:rPr>
        <w:t>leyes.</w:t>
      </w:r>
    </w:p>
    <w:p>
      <w:pPr>
        <w:pStyle w:val="BodyText"/>
        <w:spacing w:before="3"/>
      </w:pPr>
    </w:p>
    <w:p>
      <w:pPr>
        <w:pStyle w:val="BodyText"/>
        <w:spacing w:before="1"/>
        <w:ind w:left="338" w:right="341" w:firstLine="288"/>
        <w:jc w:val="both"/>
      </w:pPr>
      <w:r>
        <w:rPr/>
        <w:t>Los documentos señalados en la fracción I deberán conservarse mientras dure la relación laboral y hasta un año después; los señalados en las fracciones II, III y</w:t>
      </w:r>
      <w:r>
        <w:rPr>
          <w:spacing w:val="-2"/>
        </w:rPr>
        <w:t> </w:t>
      </w:r>
      <w:r>
        <w:rPr/>
        <w:t>IV, durante el último año y</w:t>
      </w:r>
      <w:r>
        <w:rPr>
          <w:spacing w:val="-2"/>
        </w:rPr>
        <w:t> </w:t>
      </w:r>
      <w:r>
        <w:rPr/>
        <w:t>un año después de que se extinga la relación laboral; y los mencionados en la fracción V, conforme lo señalen las Leyes que los rijan.</w:t>
      </w:r>
    </w:p>
    <w:p>
      <w:pPr>
        <w:spacing w:line="240" w:lineRule="auto" w:before="0"/>
        <w:ind w:left="7347" w:right="333" w:firstLine="1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4"/>
        <w:rPr>
          <w:rFonts w:ascii="Times New Roman"/>
          <w:i/>
          <w:sz w:val="16"/>
        </w:rPr>
      </w:pPr>
    </w:p>
    <w:p>
      <w:pPr>
        <w:pStyle w:val="BodyText"/>
        <w:ind w:left="338" w:right="342" w:firstLine="288"/>
        <w:jc w:val="both"/>
      </w:pPr>
      <w:bookmarkStart w:name="Artículo_805" w:id="1017"/>
      <w:bookmarkEnd w:id="1017"/>
      <w:r>
        <w:rPr/>
      </w:r>
      <w:r>
        <w:rPr>
          <w:rFonts w:ascii="Arial" w:hAnsi="Arial"/>
          <w:b/>
        </w:rPr>
        <w:t>Artículo 805.- </w:t>
      </w:r>
      <w:r>
        <w:rPr/>
        <w:t>El incumplimiento a lo dispuesto por el artículo anterior, establecerá la presunción de ser ciertos los hechos que el actor exprese en su demanda, en relación con tales documentos, salvo la prueba en contrario.</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338" w:right="342" w:firstLine="288"/>
        <w:jc w:val="both"/>
      </w:pPr>
      <w:bookmarkStart w:name="Artículo_806" w:id="1018"/>
      <w:bookmarkEnd w:id="1018"/>
      <w:r>
        <w:rPr/>
      </w:r>
      <w:r>
        <w:rPr>
          <w:rFonts w:ascii="Arial" w:hAnsi="Arial"/>
          <w:b/>
        </w:rPr>
        <w:t>Artículo 806.- </w:t>
      </w:r>
      <w:r>
        <w:rPr/>
        <w:t>Siempre que uno de los litigantes pida copia o testimonio de un documento, pieza o expediente que obre en las oficinas públicas, la parte contraria tendrá derecho de que, a su costa, se adicione con lo que crea conducente del mismo documento, pieza o expediente.</w:t>
      </w:r>
    </w:p>
    <w:p>
      <w:pPr>
        <w:spacing w:line="178"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338" w:right="346" w:firstLine="288"/>
        <w:jc w:val="both"/>
      </w:pPr>
      <w:bookmarkStart w:name="Artículo_807" w:id="1019"/>
      <w:bookmarkEnd w:id="1019"/>
      <w:r>
        <w:rPr/>
      </w:r>
      <w:r>
        <w:rPr>
          <w:rFonts w:ascii="Arial" w:hAnsi="Arial"/>
          <w:b/>
        </w:rPr>
        <w:t>Artículo 807.- </w:t>
      </w:r>
      <w:r>
        <w:rPr/>
        <w:t>Los documentos existentes en el lugar donde se promueva el</w:t>
      </w:r>
      <w:r>
        <w:rPr>
          <w:spacing w:val="-1"/>
        </w:rPr>
        <w:t> </w:t>
      </w:r>
      <w:r>
        <w:rPr/>
        <w:t>juicio, que se encuentren en poder de la contraparte, autoridades o terceros, serán objeto de cotejo o compulsa, a solicitud de la oferente, por conducto del actuario.</w:t>
      </w:r>
    </w:p>
    <w:p>
      <w:pPr>
        <w:pStyle w:val="BodyText"/>
        <w:spacing w:before="227"/>
        <w:ind w:left="338" w:right="346" w:firstLine="288"/>
        <w:jc w:val="both"/>
      </w:pPr>
      <w:r>
        <w:rPr/>
        <w:t>Los documentos existentes en lugar distinto del de la residencia del Tribunal, que se encuentren en cualquiera de los supuestos mencionados en el párrafo anterior, se cotejarán o compulsarán a solicitud del oferente, mediante exhorto dirigido a la autoridad que corresponda.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1" w:lineRule="exact"/>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BodyText"/>
        <w:ind w:left="338" w:right="357" w:firstLine="288"/>
      </w:pPr>
      <w:r>
        <w:rPr/>
        <w:t>Para que proceda la compulsa o cotejo, deberá exhibirse en la audiencia de ofrecimiento de pruebas, copia del documento que por este medio deba ser perfeccionado.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338" w:right="343" w:firstLine="288"/>
        <w:jc w:val="both"/>
      </w:pPr>
      <w:bookmarkStart w:name="Artículo_808" w:id="1020"/>
      <w:bookmarkEnd w:id="1020"/>
      <w:r>
        <w:rPr/>
      </w:r>
      <w:r>
        <w:rPr>
          <w:rFonts w:ascii="Arial" w:hAnsi="Arial"/>
          <w:b/>
        </w:rPr>
        <w:t>Artículo 808. </w:t>
      </w:r>
      <w:r>
        <w:rPr/>
        <w:t>Para que hagan fe en la República, los documentos procedentes del</w:t>
      </w:r>
      <w:r>
        <w:rPr>
          <w:spacing w:val="-1"/>
        </w:rPr>
        <w:t> </w:t>
      </w:r>
      <w:r>
        <w:rPr/>
        <w:t>extranjero deberán presentarse debidamente legalizados por las autoridades diplomáticas o consulares, en los términos que establezcan las Leyes relativas o los tratados internacionales.</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38" w:firstLine="288"/>
        <w:jc w:val="both"/>
      </w:pPr>
      <w:bookmarkStart w:name="Artículo_809" w:id="1021"/>
      <w:bookmarkEnd w:id="1021"/>
      <w:r>
        <w:rPr/>
      </w:r>
      <w:r>
        <w:rPr>
          <w:rFonts w:ascii="Arial" w:hAnsi="Arial"/>
          <w:b/>
        </w:rPr>
        <w:t>Artículo 809.- </w:t>
      </w:r>
      <w:r>
        <w:rPr/>
        <w:t>Los documentos que se presenten en idioma extranjero deberán acompañarse de su traducción; el tribunal de oficio nombrará inmediatamente traductor oficial, el cual presentará y ratificará, bajo protesta de decir verdad, la traducción que haga dentro del término de cinco días; el juez deberá tomar las medidas necesarias para que dicha traducción esté lista antes de la audiencia de juicio.</w:t>
      </w:r>
    </w:p>
    <w:p>
      <w:pPr>
        <w:spacing w:line="184"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6" w:firstLine="288"/>
        <w:jc w:val="both"/>
      </w:pPr>
      <w:bookmarkStart w:name="Artículo_810" w:id="1022"/>
      <w:bookmarkEnd w:id="1022"/>
      <w:r>
        <w:rPr/>
      </w:r>
      <w:r>
        <w:rPr>
          <w:rFonts w:ascii="Arial" w:hAnsi="Arial"/>
          <w:b/>
        </w:rPr>
        <w:t>Artículo 810.- </w:t>
      </w:r>
      <w:r>
        <w:rPr/>
        <w:t>Las copias hacen presumir la existencia de los originales, conforme a las reglas procedentes; pero si se pone en duda su exactitud, deberá ordenarse su cotejo con los originales de que se tomaron, siempre y cuando así se haya ofrecido.</w:t>
      </w:r>
    </w:p>
    <w:p>
      <w:pPr>
        <w:spacing w:line="179"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338" w:right="337" w:firstLine="288"/>
        <w:jc w:val="both"/>
      </w:pPr>
      <w:bookmarkStart w:name="Artículo_811" w:id="1023"/>
      <w:bookmarkEnd w:id="1023"/>
      <w:r>
        <w:rPr/>
      </w:r>
      <w:r>
        <w:rPr>
          <w:rFonts w:ascii="Arial" w:hAnsi="Arial"/>
          <w:b/>
        </w:rPr>
        <w:t>Artículo 811.- </w:t>
      </w:r>
      <w:r>
        <w:rPr/>
        <w:t>Si se objeta la autenticidad de algún documento en cuanto a contenido, firma o huella digital; las partes podrán ofrecer pruebas con respecto a las objeciones, las que se recibirán, si fueren procedentes, en la audiencia de desahogo de pruebas a que se refiere el artículo 884 de esta Ley.</w:t>
      </w:r>
    </w:p>
    <w:p>
      <w:pPr>
        <w:spacing w:line="178"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338" w:right="346" w:firstLine="288"/>
        <w:jc w:val="both"/>
      </w:pPr>
      <w:bookmarkStart w:name="Artículo_812" w:id="1024"/>
      <w:bookmarkEnd w:id="1024"/>
      <w:r>
        <w:rPr/>
      </w:r>
      <w:r>
        <w:rPr>
          <w:rFonts w:ascii="Arial" w:hAnsi="Arial"/>
          <w:b/>
        </w:rPr>
        <w:t>Artículo 812.- </w:t>
      </w:r>
      <w:r>
        <w:rPr/>
        <w:t>Cuando los documentos públicos contengan declaraciones o manifestaciones hechas por particulares, sólo prueban</w:t>
      </w:r>
      <w:r>
        <w:rPr>
          <w:spacing w:val="-1"/>
        </w:rPr>
        <w:t> </w:t>
      </w:r>
      <w:r>
        <w:rPr/>
        <w:t>que las mismas</w:t>
      </w:r>
      <w:r>
        <w:rPr>
          <w:spacing w:val="-2"/>
        </w:rPr>
        <w:t> </w:t>
      </w:r>
      <w:r>
        <w:rPr/>
        <w:t>fueron</w:t>
      </w:r>
      <w:r>
        <w:rPr>
          <w:spacing w:val="-1"/>
        </w:rPr>
        <w:t> </w:t>
      </w:r>
      <w:r>
        <w:rPr/>
        <w:t>hechas ante la autoridad que</w:t>
      </w:r>
      <w:r>
        <w:rPr>
          <w:spacing w:val="-1"/>
        </w:rPr>
        <w:t> </w:t>
      </w:r>
      <w:r>
        <w:rPr/>
        <w:t>expidió el</w:t>
      </w:r>
      <w:r>
        <w:rPr>
          <w:spacing w:val="-1"/>
        </w:rPr>
        <w:t> </w:t>
      </w:r>
      <w:r>
        <w:rPr/>
        <w:t>documento.</w:t>
      </w:r>
    </w:p>
    <w:p>
      <w:pPr>
        <w:pStyle w:val="BodyText"/>
        <w:spacing w:before="229"/>
        <w:ind w:left="338" w:right="348" w:firstLine="288"/>
        <w:jc w:val="both"/>
      </w:pPr>
      <w:r>
        <w:rPr/>
        <w:t>Las declaraciones o manifestaciones de que se trate prueban contra quienes las hicieron o asistieron al acto en que fueron hechas, y se manifestaron conformes con ellas.</w:t>
      </w:r>
    </w:p>
    <w:p>
      <w:pPr>
        <w:pStyle w:val="BodyText"/>
        <w:spacing w:after="0"/>
        <w:jc w:val="both"/>
        <w:sectPr>
          <w:pgSz w:w="12240" w:h="15840"/>
          <w:pgMar w:header="724" w:footer="712" w:top="1880" w:bottom="900" w:left="1080" w:right="1080"/>
        </w:sectPr>
      </w:pPr>
    </w:p>
    <w:p>
      <w:pPr>
        <w:pStyle w:val="BodyText"/>
        <w:spacing w:before="156"/>
        <w:rPr>
          <w:sz w:val="22"/>
        </w:rPr>
      </w:pPr>
    </w:p>
    <w:p>
      <w:pPr>
        <w:pStyle w:val="Heading2"/>
        <w:ind w:left="4136" w:right="0" w:firstLine="103"/>
        <w:jc w:val="left"/>
      </w:pPr>
      <w:r>
        <w:rPr/>
        <w:t>Sección Cuarta De</w:t>
      </w:r>
      <w:r>
        <w:rPr>
          <w:spacing w:val="-16"/>
        </w:rPr>
        <w:t> </w:t>
      </w:r>
      <w:r>
        <w:rPr/>
        <w:t>la</w:t>
      </w:r>
      <w:r>
        <w:rPr>
          <w:spacing w:val="-15"/>
        </w:rPr>
        <w:t> </w:t>
      </w:r>
      <w:r>
        <w:rPr/>
        <w:t>Testimonial</w:t>
      </w:r>
    </w:p>
    <w:p>
      <w:pPr>
        <w:spacing w:line="180" w:lineRule="exact" w:before="0"/>
        <w:ind w:left="1361"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1"/>
        <w:rPr>
          <w:rFonts w:ascii="Times New Roman"/>
          <w:i/>
          <w:sz w:val="16"/>
        </w:rPr>
      </w:pPr>
    </w:p>
    <w:p>
      <w:pPr>
        <w:spacing w:before="0"/>
        <w:ind w:left="1344"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i/>
          <w:sz w:val="16"/>
        </w:rPr>
        <w:sectPr>
          <w:type w:val="continuous"/>
          <w:pgSz w:w="12240" w:h="15840"/>
          <w:pgMar w:header="724" w:footer="712" w:top="1880" w:bottom="900" w:left="1080" w:right="1080"/>
          <w:cols w:num="2" w:equalWidth="0">
            <w:col w:w="5947" w:space="40"/>
            <w:col w:w="4093"/>
          </w:cols>
        </w:sectPr>
      </w:pPr>
    </w:p>
    <w:p>
      <w:pPr>
        <w:pStyle w:val="BodyText"/>
        <w:spacing w:line="242" w:lineRule="auto" w:before="229"/>
        <w:ind w:left="338" w:firstLine="288"/>
      </w:pPr>
      <w:bookmarkStart w:name="Artículo_813" w:id="1025"/>
      <w:bookmarkEnd w:id="1025"/>
      <w:r>
        <w:rPr/>
      </w:r>
      <w:r>
        <w:rPr>
          <w:rFonts w:ascii="Arial" w:hAnsi="Arial"/>
          <w:b/>
        </w:rPr>
        <w:t>Artículo 813.- </w:t>
      </w:r>
      <w:r>
        <w:rPr/>
        <w:t>Todos los que tengan conocimiento de los hechos que las partes deben probar, están obligados a declarar como testigos.</w:t>
      </w:r>
    </w:p>
    <w:p>
      <w:pPr>
        <w:pStyle w:val="BodyText"/>
        <w:spacing w:before="229"/>
        <w:ind w:left="626"/>
      </w:pPr>
      <w:r>
        <w:rPr/>
        <w:t>La</w:t>
      </w:r>
      <w:r>
        <w:rPr>
          <w:spacing w:val="-9"/>
        </w:rPr>
        <w:t> </w:t>
      </w:r>
      <w:r>
        <w:rPr/>
        <w:t>parte</w:t>
      </w:r>
      <w:r>
        <w:rPr>
          <w:spacing w:val="-8"/>
        </w:rPr>
        <w:t> </w:t>
      </w:r>
      <w:r>
        <w:rPr/>
        <w:t>que</w:t>
      </w:r>
      <w:r>
        <w:rPr>
          <w:spacing w:val="-6"/>
        </w:rPr>
        <w:t> </w:t>
      </w:r>
      <w:r>
        <w:rPr/>
        <w:t>ofrezca</w:t>
      </w:r>
      <w:r>
        <w:rPr>
          <w:spacing w:val="-6"/>
        </w:rPr>
        <w:t> </w:t>
      </w:r>
      <w:r>
        <w:rPr/>
        <w:t>prueba</w:t>
      </w:r>
      <w:r>
        <w:rPr>
          <w:spacing w:val="-8"/>
        </w:rPr>
        <w:t> </w:t>
      </w:r>
      <w:r>
        <w:rPr/>
        <w:t>testimonial</w:t>
      </w:r>
      <w:r>
        <w:rPr>
          <w:spacing w:val="-8"/>
        </w:rPr>
        <w:t> </w:t>
      </w:r>
      <w:r>
        <w:rPr/>
        <w:t>deberá</w:t>
      </w:r>
      <w:r>
        <w:rPr>
          <w:spacing w:val="-8"/>
        </w:rPr>
        <w:t> </w:t>
      </w:r>
      <w:r>
        <w:rPr/>
        <w:t>cumplir</w:t>
      </w:r>
      <w:r>
        <w:rPr>
          <w:spacing w:val="-7"/>
        </w:rPr>
        <w:t> </w:t>
      </w:r>
      <w:r>
        <w:rPr/>
        <w:t>con</w:t>
      </w:r>
      <w:r>
        <w:rPr>
          <w:spacing w:val="-8"/>
        </w:rPr>
        <w:t> </w:t>
      </w:r>
      <w:r>
        <w:rPr/>
        <w:t>los</w:t>
      </w:r>
      <w:r>
        <w:rPr>
          <w:spacing w:val="-7"/>
        </w:rPr>
        <w:t> </w:t>
      </w:r>
      <w:r>
        <w:rPr/>
        <w:t>requisitos</w:t>
      </w:r>
      <w:r>
        <w:rPr>
          <w:spacing w:val="-7"/>
        </w:rPr>
        <w:t> </w:t>
      </w:r>
      <w:r>
        <w:rPr>
          <w:spacing w:val="-2"/>
        </w:rPr>
        <w:t>siguientes:</w:t>
      </w:r>
    </w:p>
    <w:p>
      <w:pPr>
        <w:pStyle w:val="ListParagraph"/>
        <w:numPr>
          <w:ilvl w:val="0"/>
          <w:numId w:val="308"/>
        </w:numPr>
        <w:tabs>
          <w:tab w:pos="1193" w:val="left" w:leader="none"/>
          <w:tab w:pos="1195" w:val="left" w:leader="none"/>
        </w:tabs>
        <w:spacing w:line="242" w:lineRule="auto" w:before="226" w:after="0"/>
        <w:ind w:left="1195" w:right="344" w:hanging="569"/>
        <w:jc w:val="both"/>
        <w:rPr>
          <w:sz w:val="20"/>
        </w:rPr>
      </w:pPr>
      <w:r>
        <w:rPr>
          <w:sz w:val="20"/>
        </w:rPr>
        <w:t>Sólo podrán ofrecerse un máximo de tres testigos por cada hecho controvertido que se</w:t>
      </w:r>
      <w:r>
        <w:rPr>
          <w:spacing w:val="40"/>
          <w:sz w:val="20"/>
        </w:rPr>
        <w:t> </w:t>
      </w:r>
      <w:r>
        <w:rPr>
          <w:sz w:val="20"/>
        </w:rPr>
        <w:t>pretenda probar;</w:t>
      </w:r>
    </w:p>
    <w:p>
      <w:pPr>
        <w:pStyle w:val="ListParagraph"/>
        <w:numPr>
          <w:ilvl w:val="0"/>
          <w:numId w:val="308"/>
        </w:numPr>
        <w:tabs>
          <w:tab w:pos="1192" w:val="left" w:leader="none"/>
          <w:tab w:pos="1195" w:val="left" w:leader="none"/>
        </w:tabs>
        <w:spacing w:line="240" w:lineRule="auto" w:before="228" w:after="0"/>
        <w:ind w:left="1195" w:right="335" w:hanging="569"/>
        <w:jc w:val="both"/>
        <w:rPr>
          <w:sz w:val="20"/>
        </w:rPr>
      </w:pPr>
      <w:r>
        <w:rPr>
          <w:sz w:val="20"/>
        </w:rPr>
        <w:t>Indicará los nombres y domicilios de los testigos; cuando exista impedimento para presentar directamente a los testigos, deberá solicitarse al Tribunal que los cite, señalando la causa o motivo justificados que se lo impidan, en cuyo caso deberá proporcionar su domicilio y, de resultar éstos incorrectos, quedará a cargo del oferente su presentación;</w:t>
      </w:r>
    </w:p>
    <w:p>
      <w:pPr>
        <w:pStyle w:val="ListParagraph"/>
        <w:numPr>
          <w:ilvl w:val="0"/>
          <w:numId w:val="308"/>
        </w:numPr>
        <w:tabs>
          <w:tab w:pos="1191" w:val="left" w:leader="none"/>
          <w:tab w:pos="1195" w:val="left" w:leader="none"/>
        </w:tabs>
        <w:spacing w:line="240" w:lineRule="auto" w:before="229" w:after="0"/>
        <w:ind w:left="1195" w:right="340" w:hanging="569"/>
        <w:jc w:val="both"/>
        <w:rPr>
          <w:sz w:val="20"/>
        </w:rPr>
      </w:pPr>
      <w:r>
        <w:rPr>
          <w:sz w:val="20"/>
        </w:rPr>
        <w:t>Si el testigo radica fuera del lugar de residencia del Tribunal, el oferente deberá al ofrecer la prueba,</w:t>
      </w:r>
      <w:r>
        <w:rPr>
          <w:spacing w:val="-5"/>
          <w:sz w:val="20"/>
        </w:rPr>
        <w:t> </w:t>
      </w:r>
      <w:r>
        <w:rPr>
          <w:sz w:val="20"/>
        </w:rPr>
        <w:t>acompañar</w:t>
      </w:r>
      <w:r>
        <w:rPr>
          <w:spacing w:val="-2"/>
          <w:sz w:val="20"/>
        </w:rPr>
        <w:t> </w:t>
      </w:r>
      <w:r>
        <w:rPr>
          <w:sz w:val="20"/>
        </w:rPr>
        <w:t>interrogatorio</w:t>
      </w:r>
      <w:r>
        <w:rPr>
          <w:spacing w:val="-3"/>
          <w:sz w:val="20"/>
        </w:rPr>
        <w:t> </w:t>
      </w:r>
      <w:r>
        <w:rPr>
          <w:sz w:val="20"/>
        </w:rPr>
        <w:t>por</w:t>
      </w:r>
      <w:r>
        <w:rPr>
          <w:spacing w:val="-2"/>
          <w:sz w:val="20"/>
        </w:rPr>
        <w:t> </w:t>
      </w:r>
      <w:r>
        <w:rPr>
          <w:sz w:val="20"/>
        </w:rPr>
        <w:t>escrito,</w:t>
      </w:r>
      <w:r>
        <w:rPr>
          <w:spacing w:val="-3"/>
          <w:sz w:val="20"/>
        </w:rPr>
        <w:t> </w:t>
      </w:r>
      <w:r>
        <w:rPr>
          <w:sz w:val="20"/>
        </w:rPr>
        <w:t>al</w:t>
      </w:r>
      <w:r>
        <w:rPr>
          <w:spacing w:val="-4"/>
          <w:sz w:val="20"/>
        </w:rPr>
        <w:t> </w:t>
      </w:r>
      <w:r>
        <w:rPr>
          <w:sz w:val="20"/>
        </w:rPr>
        <w:t>tenor</w:t>
      </w:r>
      <w:r>
        <w:rPr>
          <w:spacing w:val="-2"/>
          <w:sz w:val="20"/>
        </w:rPr>
        <w:t> </w:t>
      </w:r>
      <w:r>
        <w:rPr>
          <w:sz w:val="20"/>
        </w:rPr>
        <w:t>del</w:t>
      </w:r>
      <w:r>
        <w:rPr>
          <w:spacing w:val="-4"/>
          <w:sz w:val="20"/>
        </w:rPr>
        <w:t> </w:t>
      </w:r>
      <w:r>
        <w:rPr>
          <w:sz w:val="20"/>
        </w:rPr>
        <w:t>cual</w:t>
      </w:r>
      <w:r>
        <w:rPr>
          <w:spacing w:val="-6"/>
          <w:sz w:val="20"/>
        </w:rPr>
        <w:t> </w:t>
      </w:r>
      <w:r>
        <w:rPr>
          <w:sz w:val="20"/>
        </w:rPr>
        <w:t>deberá</w:t>
      </w:r>
      <w:r>
        <w:rPr>
          <w:spacing w:val="-2"/>
          <w:sz w:val="20"/>
        </w:rPr>
        <w:t> </w:t>
      </w:r>
      <w:r>
        <w:rPr>
          <w:sz w:val="20"/>
        </w:rPr>
        <w:t>ser</w:t>
      </w:r>
      <w:r>
        <w:rPr>
          <w:spacing w:val="-2"/>
          <w:sz w:val="20"/>
        </w:rPr>
        <w:t> </w:t>
      </w:r>
      <w:r>
        <w:rPr>
          <w:sz w:val="20"/>
        </w:rPr>
        <w:t>examinado</w:t>
      </w:r>
      <w:r>
        <w:rPr>
          <w:spacing w:val="-4"/>
          <w:sz w:val="20"/>
        </w:rPr>
        <w:t> </w:t>
      </w:r>
      <w:r>
        <w:rPr>
          <w:sz w:val="20"/>
        </w:rPr>
        <w:t>el</w:t>
      </w:r>
      <w:r>
        <w:rPr>
          <w:spacing w:val="-4"/>
          <w:sz w:val="20"/>
        </w:rPr>
        <w:t> </w:t>
      </w:r>
      <w:r>
        <w:rPr>
          <w:sz w:val="20"/>
        </w:rPr>
        <w:t>testigo</w:t>
      </w:r>
      <w:r>
        <w:rPr>
          <w:spacing w:val="-1"/>
          <w:sz w:val="20"/>
        </w:rPr>
        <w:t> </w:t>
      </w:r>
      <w:r>
        <w:rPr>
          <w:sz w:val="20"/>
        </w:rPr>
        <w:t>y exhibir copias para cada una de las partes, de no hacerlo, se declarará desierta. Las copias del interrogatorio, se pondrán a disposición de las demás partes, para que dentro del término de tres días presenten su pliego de repreguntas en sobre cerrado.</w:t>
      </w:r>
    </w:p>
    <w:p>
      <w:pPr>
        <w:pStyle w:val="ListParagraph"/>
        <w:spacing w:after="0" w:line="240" w:lineRule="auto"/>
        <w:jc w:val="both"/>
        <w:rPr>
          <w:sz w:val="20"/>
        </w:rPr>
        <w:sectPr>
          <w:type w:val="continuous"/>
          <w:pgSz w:w="12240" w:h="15840"/>
          <w:pgMar w:header="724" w:footer="712" w:top="1880" w:bottom="900" w:left="1080" w:right="1080"/>
        </w:sectPr>
      </w:pPr>
    </w:p>
    <w:p>
      <w:pPr>
        <w:pStyle w:val="BodyText"/>
      </w:pPr>
    </w:p>
    <w:p>
      <w:pPr>
        <w:pStyle w:val="BodyText"/>
        <w:spacing w:before="66"/>
      </w:pPr>
    </w:p>
    <w:p>
      <w:pPr>
        <w:pStyle w:val="BodyText"/>
        <w:ind w:left="1195" w:right="341"/>
        <w:jc w:val="both"/>
      </w:pPr>
      <w:r>
        <w:rPr/>
        <w:t>El Tribunal, librará exhorto, acompañando, en sobre cerrado y sellado, los interrogatorios en su caso previamente calificados; del que deberá sacarse una copia que se guardará en el secreto del Tribunal, para que sea desahogado por el Tribunal exhortado.</w:t>
      </w:r>
    </w:p>
    <w:p>
      <w:pPr>
        <w:pStyle w:val="BodyText"/>
        <w:spacing w:before="1"/>
      </w:pPr>
    </w:p>
    <w:p>
      <w:pPr>
        <w:pStyle w:val="BodyText"/>
        <w:ind w:left="1195" w:right="338"/>
        <w:jc w:val="both"/>
      </w:pPr>
      <w:r>
        <w:rPr/>
        <w:t>No obstante, lo anterior de no existir impedimento técnico o material, el tribunal podrá ordenar que el desahogo de la prueba se rinda vía remota, a través de videoconferencia, cuando sea posible, para lo cual el tribunal exhortado deberá asegurarse de que el testigo se encuentre en la sala de audiencias que disponga para llevar a cabo dicha prueba;</w:t>
      </w:r>
    </w:p>
    <w:p>
      <w:pPr>
        <w:pStyle w:val="ListParagraph"/>
        <w:numPr>
          <w:ilvl w:val="0"/>
          <w:numId w:val="308"/>
        </w:numPr>
        <w:tabs>
          <w:tab w:pos="1195" w:val="left" w:leader="none"/>
        </w:tabs>
        <w:spacing w:line="240" w:lineRule="auto" w:before="228" w:after="0"/>
        <w:ind w:left="1195" w:right="340" w:hanging="569"/>
        <w:jc w:val="both"/>
        <w:rPr>
          <w:sz w:val="20"/>
        </w:rPr>
      </w:pPr>
      <w:r>
        <w:rPr>
          <w:sz w:val="20"/>
        </w:rPr>
        <w:t>Cuando el testigo sea servidor público, desde el nivel de Dirección o similar, rendirá su declaración por medio de oficio en vía de informe, observándose lo dispuesto en este artículo</w:t>
      </w:r>
      <w:r>
        <w:rPr>
          <w:spacing w:val="40"/>
          <w:sz w:val="20"/>
        </w:rPr>
        <w:t> </w:t>
      </w:r>
      <w:r>
        <w:rPr>
          <w:sz w:val="20"/>
        </w:rPr>
        <w:t>en lo que sea aplicable.</w:t>
      </w:r>
    </w:p>
    <w:p>
      <w:pPr>
        <w:spacing w:line="183" w:lineRule="exact" w:before="0"/>
        <w:ind w:left="56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7" w:firstLine="288"/>
        <w:jc w:val="both"/>
      </w:pPr>
      <w:bookmarkStart w:name="Artículo_814" w:id="1026"/>
      <w:bookmarkEnd w:id="1026"/>
      <w:r>
        <w:rPr/>
      </w:r>
      <w:r>
        <w:rPr>
          <w:rFonts w:ascii="Arial" w:hAnsi="Arial"/>
          <w:b/>
        </w:rPr>
        <w:t>Artículo 814.- </w:t>
      </w:r>
      <w:r>
        <w:rPr/>
        <w:t>El Tribunal, en el caso de la fracción II del artículo anterior, ordenará que se cite al testigo para que rinda su declaración en la hora y día que al efecto se</w:t>
      </w:r>
      <w:r>
        <w:rPr>
          <w:spacing w:val="21"/>
        </w:rPr>
        <w:t> </w:t>
      </w:r>
      <w:r>
        <w:rPr/>
        <w:t>señale, con el apercibimiento de ser presentado por medio de la fuerza pública.</w:t>
      </w:r>
    </w:p>
    <w:p>
      <w:pPr>
        <w:spacing w:line="183" w:lineRule="exact" w:before="0"/>
        <w:ind w:left="56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626"/>
      </w:pPr>
      <w:bookmarkStart w:name="Artículo_815" w:id="1027"/>
      <w:bookmarkEnd w:id="1027"/>
      <w:r>
        <w:rPr/>
      </w:r>
      <w:r>
        <w:rPr>
          <w:rFonts w:ascii="Arial" w:hAnsi="Arial"/>
          <w:b/>
        </w:rPr>
        <w:t>Artículo</w:t>
      </w:r>
      <w:r>
        <w:rPr>
          <w:rFonts w:ascii="Arial" w:hAnsi="Arial"/>
          <w:b/>
          <w:spacing w:val="-7"/>
        </w:rPr>
        <w:t> </w:t>
      </w:r>
      <w:r>
        <w:rPr>
          <w:rFonts w:ascii="Arial" w:hAnsi="Arial"/>
          <w:b/>
        </w:rPr>
        <w:t>815.-</w:t>
      </w:r>
      <w:r>
        <w:rPr>
          <w:rFonts w:ascii="Arial" w:hAnsi="Arial"/>
          <w:b/>
          <w:spacing w:val="-4"/>
        </w:rPr>
        <w:t> </w:t>
      </w:r>
      <w:r>
        <w:rPr/>
        <w:t>En</w:t>
      </w:r>
      <w:r>
        <w:rPr>
          <w:spacing w:val="-5"/>
        </w:rPr>
        <w:t> </w:t>
      </w:r>
      <w:r>
        <w:rPr/>
        <w:t>el</w:t>
      </w:r>
      <w:r>
        <w:rPr>
          <w:spacing w:val="-7"/>
        </w:rPr>
        <w:t> </w:t>
      </w:r>
      <w:r>
        <w:rPr/>
        <w:t>desahogo</w:t>
      </w:r>
      <w:r>
        <w:rPr>
          <w:spacing w:val="-5"/>
        </w:rPr>
        <w:t> </w:t>
      </w:r>
      <w:r>
        <w:rPr/>
        <w:t>de</w:t>
      </w:r>
      <w:r>
        <w:rPr>
          <w:spacing w:val="-6"/>
        </w:rPr>
        <w:t> </w:t>
      </w:r>
      <w:r>
        <w:rPr/>
        <w:t>la</w:t>
      </w:r>
      <w:r>
        <w:rPr>
          <w:spacing w:val="-7"/>
        </w:rPr>
        <w:t> </w:t>
      </w:r>
      <w:r>
        <w:rPr/>
        <w:t>prueba</w:t>
      </w:r>
      <w:r>
        <w:rPr>
          <w:spacing w:val="-7"/>
        </w:rPr>
        <w:t> </w:t>
      </w:r>
      <w:r>
        <w:rPr/>
        <w:t>testimonial</w:t>
      </w:r>
      <w:r>
        <w:rPr>
          <w:spacing w:val="-8"/>
        </w:rPr>
        <w:t> </w:t>
      </w:r>
      <w:r>
        <w:rPr/>
        <w:t>se</w:t>
      </w:r>
      <w:r>
        <w:rPr>
          <w:spacing w:val="-6"/>
        </w:rPr>
        <w:t> </w:t>
      </w:r>
      <w:r>
        <w:rPr/>
        <w:t>observarán</w:t>
      </w:r>
      <w:r>
        <w:rPr>
          <w:spacing w:val="-5"/>
        </w:rPr>
        <w:t> </w:t>
      </w:r>
      <w:r>
        <w:rPr/>
        <w:t>las</w:t>
      </w:r>
      <w:r>
        <w:rPr>
          <w:spacing w:val="-6"/>
        </w:rPr>
        <w:t> </w:t>
      </w:r>
      <w:r>
        <w:rPr/>
        <w:t>normas</w:t>
      </w:r>
      <w:r>
        <w:rPr>
          <w:spacing w:val="-6"/>
        </w:rPr>
        <w:t> </w:t>
      </w:r>
      <w:r>
        <w:rPr>
          <w:spacing w:val="-2"/>
        </w:rPr>
        <w:t>siguientes:</w:t>
      </w:r>
    </w:p>
    <w:p>
      <w:pPr>
        <w:pStyle w:val="ListParagraph"/>
        <w:numPr>
          <w:ilvl w:val="0"/>
          <w:numId w:val="309"/>
        </w:numPr>
        <w:tabs>
          <w:tab w:pos="1195" w:val="left" w:leader="none"/>
        </w:tabs>
        <w:spacing w:line="242" w:lineRule="auto" w:before="229" w:after="0"/>
        <w:ind w:left="1195" w:right="342" w:hanging="569"/>
        <w:jc w:val="left"/>
        <w:rPr>
          <w:sz w:val="20"/>
        </w:rPr>
      </w:pPr>
      <w:r>
        <w:rPr>
          <w:sz w:val="20"/>
        </w:rPr>
        <w:t>El</w:t>
      </w:r>
      <w:r>
        <w:rPr>
          <w:spacing w:val="-3"/>
          <w:sz w:val="20"/>
        </w:rPr>
        <w:t> </w:t>
      </w:r>
      <w:r>
        <w:rPr>
          <w:sz w:val="20"/>
        </w:rPr>
        <w:t>oferente</w:t>
      </w:r>
      <w:r>
        <w:rPr>
          <w:spacing w:val="-2"/>
          <w:sz w:val="20"/>
        </w:rPr>
        <w:t> </w:t>
      </w:r>
      <w:r>
        <w:rPr>
          <w:sz w:val="20"/>
        </w:rPr>
        <w:t>de</w:t>
      </w:r>
      <w:r>
        <w:rPr>
          <w:spacing w:val="-2"/>
          <w:sz w:val="20"/>
        </w:rPr>
        <w:t> </w:t>
      </w:r>
      <w:r>
        <w:rPr>
          <w:sz w:val="20"/>
        </w:rPr>
        <w:t>la</w:t>
      </w:r>
      <w:r>
        <w:rPr>
          <w:spacing w:val="-2"/>
          <w:sz w:val="20"/>
        </w:rPr>
        <w:t> </w:t>
      </w:r>
      <w:r>
        <w:rPr>
          <w:sz w:val="20"/>
        </w:rPr>
        <w:t>prueba</w:t>
      </w:r>
      <w:r>
        <w:rPr>
          <w:spacing w:val="-4"/>
          <w:sz w:val="20"/>
        </w:rPr>
        <w:t> </w:t>
      </w:r>
      <w:r>
        <w:rPr>
          <w:sz w:val="20"/>
        </w:rPr>
        <w:t>presentará</w:t>
      </w:r>
      <w:r>
        <w:rPr>
          <w:spacing w:val="-2"/>
          <w:sz w:val="20"/>
        </w:rPr>
        <w:t> </w:t>
      </w:r>
      <w:r>
        <w:rPr>
          <w:sz w:val="20"/>
        </w:rPr>
        <w:t>directamente</w:t>
      </w:r>
      <w:r>
        <w:rPr>
          <w:spacing w:val="-5"/>
          <w:sz w:val="20"/>
        </w:rPr>
        <w:t> </w:t>
      </w:r>
      <w:r>
        <w:rPr>
          <w:sz w:val="20"/>
        </w:rPr>
        <w:t>a</w:t>
      </w:r>
      <w:r>
        <w:rPr>
          <w:spacing w:val="-2"/>
          <w:sz w:val="20"/>
        </w:rPr>
        <w:t> </w:t>
      </w:r>
      <w:r>
        <w:rPr>
          <w:sz w:val="20"/>
        </w:rPr>
        <w:t>sus</w:t>
      </w:r>
      <w:r>
        <w:rPr>
          <w:spacing w:val="-3"/>
          <w:sz w:val="20"/>
        </w:rPr>
        <w:t> </w:t>
      </w:r>
      <w:r>
        <w:rPr>
          <w:sz w:val="20"/>
        </w:rPr>
        <w:t>testigos,</w:t>
      </w:r>
      <w:r>
        <w:rPr>
          <w:spacing w:val="-4"/>
          <w:sz w:val="20"/>
        </w:rPr>
        <w:t> </w:t>
      </w:r>
      <w:r>
        <w:rPr>
          <w:sz w:val="20"/>
        </w:rPr>
        <w:t>salvo</w:t>
      </w:r>
      <w:r>
        <w:rPr>
          <w:spacing w:val="-2"/>
          <w:sz w:val="20"/>
        </w:rPr>
        <w:t> </w:t>
      </w:r>
      <w:r>
        <w:rPr>
          <w:sz w:val="20"/>
        </w:rPr>
        <w:t>lo</w:t>
      </w:r>
      <w:r>
        <w:rPr>
          <w:spacing w:val="-4"/>
          <w:sz w:val="20"/>
        </w:rPr>
        <w:t> </w:t>
      </w:r>
      <w:r>
        <w:rPr>
          <w:sz w:val="20"/>
        </w:rPr>
        <w:t>dispuesto</w:t>
      </w:r>
      <w:r>
        <w:rPr>
          <w:spacing w:val="-4"/>
          <w:sz w:val="20"/>
        </w:rPr>
        <w:t> </w:t>
      </w:r>
      <w:r>
        <w:rPr>
          <w:sz w:val="20"/>
        </w:rPr>
        <w:t>en</w:t>
      </w:r>
      <w:r>
        <w:rPr>
          <w:spacing w:val="-2"/>
          <w:sz w:val="20"/>
        </w:rPr>
        <w:t> </w:t>
      </w:r>
      <w:r>
        <w:rPr>
          <w:sz w:val="20"/>
        </w:rPr>
        <w:t>el</w:t>
      </w:r>
      <w:r>
        <w:rPr>
          <w:spacing w:val="-3"/>
          <w:sz w:val="20"/>
        </w:rPr>
        <w:t> </w:t>
      </w:r>
      <w:r>
        <w:rPr>
          <w:sz w:val="20"/>
        </w:rPr>
        <w:t>artículo 813, y el Tribunal procederá a recibir su testimonio;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09"/>
        </w:numPr>
        <w:tabs>
          <w:tab w:pos="1192" w:val="left" w:leader="none"/>
          <w:tab w:pos="1195" w:val="left" w:leader="none"/>
        </w:tabs>
        <w:spacing w:line="240" w:lineRule="auto" w:before="0" w:after="0"/>
        <w:ind w:left="1195" w:right="338" w:hanging="569"/>
        <w:jc w:val="both"/>
        <w:rPr>
          <w:sz w:val="20"/>
        </w:rPr>
      </w:pPr>
      <w:r>
        <w:rPr>
          <w:sz w:val="20"/>
        </w:rPr>
        <w:t>Previo al</w:t>
      </w:r>
      <w:r>
        <w:rPr>
          <w:spacing w:val="-1"/>
          <w:sz w:val="20"/>
        </w:rPr>
        <w:t> </w:t>
      </w:r>
      <w:r>
        <w:rPr>
          <w:sz w:val="20"/>
        </w:rPr>
        <w:t>inicio de</w:t>
      </w:r>
      <w:r>
        <w:rPr>
          <w:spacing w:val="-3"/>
          <w:sz w:val="20"/>
        </w:rPr>
        <w:t> </w:t>
      </w:r>
      <w:r>
        <w:rPr>
          <w:sz w:val="20"/>
        </w:rPr>
        <w:t>la</w:t>
      </w:r>
      <w:r>
        <w:rPr>
          <w:spacing w:val="-2"/>
          <w:sz w:val="20"/>
        </w:rPr>
        <w:t> </w:t>
      </w:r>
      <w:r>
        <w:rPr>
          <w:sz w:val="20"/>
        </w:rPr>
        <w:t>comparecencia, el</w:t>
      </w:r>
      <w:r>
        <w:rPr>
          <w:spacing w:val="-3"/>
          <w:sz w:val="20"/>
        </w:rPr>
        <w:t> </w:t>
      </w:r>
      <w:r>
        <w:rPr>
          <w:sz w:val="20"/>
        </w:rPr>
        <w:t>Tribunal</w:t>
      </w:r>
      <w:r>
        <w:rPr>
          <w:spacing w:val="-1"/>
          <w:sz w:val="20"/>
        </w:rPr>
        <w:t> </w:t>
      </w:r>
      <w:r>
        <w:rPr>
          <w:sz w:val="20"/>
        </w:rPr>
        <w:t>deberá</w:t>
      </w:r>
      <w:r>
        <w:rPr>
          <w:spacing w:val="-2"/>
          <w:sz w:val="20"/>
        </w:rPr>
        <w:t> </w:t>
      </w:r>
      <w:r>
        <w:rPr>
          <w:sz w:val="20"/>
        </w:rPr>
        <w:t>requerir</w:t>
      </w:r>
      <w:r>
        <w:rPr>
          <w:spacing w:val="-1"/>
          <w:sz w:val="20"/>
        </w:rPr>
        <w:t> </w:t>
      </w:r>
      <w:r>
        <w:rPr>
          <w:sz w:val="20"/>
        </w:rPr>
        <w:t>a la</w:t>
      </w:r>
      <w:r>
        <w:rPr>
          <w:spacing w:val="-2"/>
          <w:sz w:val="20"/>
        </w:rPr>
        <w:t> </w:t>
      </w:r>
      <w:r>
        <w:rPr>
          <w:sz w:val="20"/>
        </w:rPr>
        <w:t>persona</w:t>
      </w:r>
      <w:r>
        <w:rPr>
          <w:spacing w:val="-2"/>
          <w:sz w:val="20"/>
        </w:rPr>
        <w:t> </w:t>
      </w:r>
      <w:r>
        <w:rPr>
          <w:sz w:val="20"/>
        </w:rPr>
        <w:t>que comparezca</w:t>
      </w:r>
      <w:r>
        <w:rPr>
          <w:spacing w:val="-2"/>
          <w:sz w:val="20"/>
        </w:rPr>
        <w:t> </w:t>
      </w:r>
      <w:r>
        <w:rPr>
          <w:sz w:val="20"/>
        </w:rPr>
        <w:t>a desahogar</w:t>
      </w:r>
      <w:r>
        <w:rPr>
          <w:spacing w:val="-2"/>
          <w:sz w:val="20"/>
        </w:rPr>
        <w:t> </w:t>
      </w:r>
      <w:r>
        <w:rPr>
          <w:sz w:val="20"/>
        </w:rPr>
        <w:t>la</w:t>
      </w:r>
      <w:r>
        <w:rPr>
          <w:spacing w:val="-3"/>
          <w:sz w:val="20"/>
        </w:rPr>
        <w:t> </w:t>
      </w:r>
      <w:r>
        <w:rPr>
          <w:sz w:val="20"/>
        </w:rPr>
        <w:t>prueba</w:t>
      </w:r>
      <w:r>
        <w:rPr>
          <w:spacing w:val="-4"/>
          <w:sz w:val="20"/>
        </w:rPr>
        <w:t> </w:t>
      </w:r>
      <w:r>
        <w:rPr>
          <w:sz w:val="20"/>
        </w:rPr>
        <w:t>correspondiente</w:t>
      </w:r>
      <w:r>
        <w:rPr>
          <w:spacing w:val="-4"/>
          <w:sz w:val="20"/>
        </w:rPr>
        <w:t> </w:t>
      </w:r>
      <w:r>
        <w:rPr>
          <w:sz w:val="20"/>
        </w:rPr>
        <w:t>para</w:t>
      </w:r>
      <w:r>
        <w:rPr>
          <w:spacing w:val="-3"/>
          <w:sz w:val="20"/>
        </w:rPr>
        <w:t> </w:t>
      </w:r>
      <w:r>
        <w:rPr>
          <w:sz w:val="20"/>
        </w:rPr>
        <w:t>que</w:t>
      </w:r>
      <w:r>
        <w:rPr>
          <w:spacing w:val="-3"/>
          <w:sz w:val="20"/>
        </w:rPr>
        <w:t> </w:t>
      </w:r>
      <w:r>
        <w:rPr>
          <w:sz w:val="20"/>
        </w:rPr>
        <w:t>se</w:t>
      </w:r>
      <w:r>
        <w:rPr>
          <w:spacing w:val="-3"/>
          <w:sz w:val="20"/>
        </w:rPr>
        <w:t> </w:t>
      </w:r>
      <w:r>
        <w:rPr>
          <w:sz w:val="20"/>
        </w:rPr>
        <w:t>identifique</w:t>
      </w:r>
      <w:r>
        <w:rPr>
          <w:spacing w:val="-3"/>
          <w:sz w:val="20"/>
        </w:rPr>
        <w:t> </w:t>
      </w:r>
      <w:r>
        <w:rPr>
          <w:sz w:val="20"/>
        </w:rPr>
        <w:t>con</w:t>
      </w:r>
      <w:r>
        <w:rPr>
          <w:spacing w:val="-3"/>
          <w:sz w:val="20"/>
        </w:rPr>
        <w:t> </w:t>
      </w:r>
      <w:r>
        <w:rPr>
          <w:sz w:val="20"/>
        </w:rPr>
        <w:t>cualquier</w:t>
      </w:r>
      <w:r>
        <w:rPr>
          <w:spacing w:val="-2"/>
          <w:sz w:val="20"/>
        </w:rPr>
        <w:t> </w:t>
      </w:r>
      <w:r>
        <w:rPr>
          <w:sz w:val="20"/>
        </w:rPr>
        <w:t>documento</w:t>
      </w:r>
      <w:r>
        <w:rPr>
          <w:spacing w:val="-3"/>
          <w:sz w:val="20"/>
        </w:rPr>
        <w:t> </w:t>
      </w:r>
      <w:r>
        <w:rPr>
          <w:sz w:val="20"/>
        </w:rPr>
        <w:t>oficial; y, si no lo hiciere en el momento de la audiencia, se dejará sin efectos la declaración correspondiente. Podrá dispensarse lo anterior sí las partes reconocen al testigo; se harán constar el nombre, edad, domicilio, ocupación, puesto y lugar en que trabaja, si guarda parentesco por consanguinidad o afinidad de alguna de las partes o sus representantes, si es dependiente o empleado del que lo presente, si tiene con él sociedad o alguna otra relación, si tiene interés directo o indirecto en el procedimiento, si es amigo de alguna de las partes y a continuación se procederá a tomar su declaración;</w:t>
      </w:r>
    </w:p>
    <w:p>
      <w:pPr>
        <w:spacing w:before="1"/>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09"/>
        </w:numPr>
        <w:tabs>
          <w:tab w:pos="1191" w:val="left" w:leader="none"/>
          <w:tab w:pos="1195" w:val="left" w:leader="none"/>
        </w:tabs>
        <w:spacing w:line="242" w:lineRule="auto" w:before="0" w:after="0"/>
        <w:ind w:left="1195" w:right="343" w:hanging="569"/>
        <w:jc w:val="both"/>
        <w:rPr>
          <w:sz w:val="20"/>
        </w:rPr>
      </w:pPr>
      <w:r>
        <w:rPr>
          <w:sz w:val="20"/>
        </w:rPr>
        <w:t>Los testigos serán examinados por separado, en el orden en que fueran ofrecidos. Los interrogatorios se formularán oralmente, salvo lo dispuesto en las fracciones III y IV del artículo 813 de esta Ley;</w:t>
      </w:r>
    </w:p>
    <w:p>
      <w:pPr>
        <w:pStyle w:val="ListParagraph"/>
        <w:numPr>
          <w:ilvl w:val="0"/>
          <w:numId w:val="309"/>
        </w:numPr>
        <w:tabs>
          <w:tab w:pos="1195" w:val="left" w:leader="none"/>
        </w:tabs>
        <w:spacing w:line="240" w:lineRule="auto" w:before="225" w:after="0"/>
        <w:ind w:left="1195" w:right="339" w:hanging="569"/>
        <w:jc w:val="both"/>
        <w:rPr>
          <w:sz w:val="20"/>
        </w:rPr>
      </w:pPr>
      <w:r>
        <w:rPr>
          <w:sz w:val="20"/>
        </w:rPr>
        <w:t>El Tribunal</w:t>
      </w:r>
      <w:r>
        <w:rPr>
          <w:spacing w:val="-2"/>
          <w:sz w:val="20"/>
        </w:rPr>
        <w:t> </w:t>
      </w:r>
      <w:r>
        <w:rPr>
          <w:sz w:val="20"/>
        </w:rPr>
        <w:t>tomará</w:t>
      </w:r>
      <w:r>
        <w:rPr>
          <w:spacing w:val="-1"/>
          <w:sz w:val="20"/>
        </w:rPr>
        <w:t> </w:t>
      </w:r>
      <w:r>
        <w:rPr>
          <w:sz w:val="20"/>
        </w:rPr>
        <w:t>al testigo</w:t>
      </w:r>
      <w:r>
        <w:rPr>
          <w:spacing w:val="-1"/>
          <w:sz w:val="20"/>
        </w:rPr>
        <w:t> </w:t>
      </w:r>
      <w:r>
        <w:rPr>
          <w:sz w:val="20"/>
        </w:rPr>
        <w:t>la protesta de</w:t>
      </w:r>
      <w:r>
        <w:rPr>
          <w:spacing w:val="-1"/>
          <w:sz w:val="20"/>
        </w:rPr>
        <w:t> </w:t>
      </w:r>
      <w:r>
        <w:rPr>
          <w:sz w:val="20"/>
        </w:rPr>
        <w:t>conducirse con verdad y</w:t>
      </w:r>
      <w:r>
        <w:rPr>
          <w:spacing w:val="-2"/>
          <w:sz w:val="20"/>
        </w:rPr>
        <w:t> </w:t>
      </w:r>
      <w:r>
        <w:rPr>
          <w:sz w:val="20"/>
        </w:rPr>
        <w:t>lo advertirá de</w:t>
      </w:r>
      <w:r>
        <w:rPr>
          <w:spacing w:val="-1"/>
          <w:sz w:val="20"/>
        </w:rPr>
        <w:t> </w:t>
      </w:r>
      <w:r>
        <w:rPr>
          <w:sz w:val="20"/>
        </w:rPr>
        <w:t>las penas en que incurren los testigos falsos;</w:t>
      </w:r>
    </w:p>
    <w:p>
      <w:pPr>
        <w:spacing w:line="183"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09"/>
        </w:numPr>
        <w:tabs>
          <w:tab w:pos="1195" w:val="left" w:leader="none"/>
        </w:tabs>
        <w:spacing w:line="242" w:lineRule="auto" w:before="0" w:after="0"/>
        <w:ind w:left="1195" w:right="343" w:hanging="569"/>
        <w:jc w:val="left"/>
        <w:rPr>
          <w:sz w:val="20"/>
        </w:rPr>
      </w:pPr>
      <w:r>
        <w:rPr>
          <w:sz w:val="20"/>
        </w:rPr>
        <w:t>Las partes formularán las preguntas en forma verbal y directamente y que no se hayan hecho con anterioridad al mismo testigo, o lleven implícita la contestación.</w:t>
      </w:r>
    </w:p>
    <w:p>
      <w:pPr>
        <w:pStyle w:val="BodyText"/>
        <w:spacing w:before="227"/>
        <w:ind w:left="1195" w:right="345"/>
        <w:jc w:val="both"/>
      </w:pPr>
      <w:r>
        <w:rPr/>
        <w:t>No se permitirán preguntas ambiguas, indicativas, ni referirse a hechos y circunstancias ajenas al objeto de la prueba o que pretendan coaccionar a los testigos.</w:t>
      </w:r>
    </w:p>
    <w:p>
      <w:pPr>
        <w:pStyle w:val="BodyText"/>
        <w:spacing w:before="1"/>
      </w:pPr>
    </w:p>
    <w:p>
      <w:pPr>
        <w:pStyle w:val="BodyText"/>
        <w:ind w:left="1195" w:right="337"/>
        <w:jc w:val="both"/>
      </w:pPr>
      <w:r>
        <w:rPr/>
        <w:t>Las preguntas podrán ser objetadas por la contraparte antes de que el testigo emita su respuesta, para lo cual el juez procederá a calificar la procedencia o desechamiento de la pregunta, fundando su determinación.</w:t>
      </w:r>
    </w:p>
    <w:p>
      <w:pPr>
        <w:pStyle w:val="BodyText"/>
        <w:spacing w:after="0"/>
        <w:jc w:val="both"/>
        <w:sectPr>
          <w:pgSz w:w="12240" w:h="15840"/>
          <w:pgMar w:header="724" w:footer="712" w:top="1880" w:bottom="900" w:left="1080" w:right="1080"/>
        </w:sectPr>
      </w:pPr>
    </w:p>
    <w:p>
      <w:pPr>
        <w:pStyle w:val="BodyText"/>
      </w:pPr>
    </w:p>
    <w:p>
      <w:pPr>
        <w:pStyle w:val="BodyText"/>
        <w:spacing w:before="66"/>
      </w:pPr>
    </w:p>
    <w:p>
      <w:pPr>
        <w:pStyle w:val="BodyText"/>
        <w:ind w:left="1195" w:right="342"/>
      </w:pPr>
      <w:r>
        <w:rPr/>
        <w:t>Si a juicio del juez hubiere puntos no suficientemente esclarecidos, podrá ordenar al</w:t>
      </w:r>
      <w:r>
        <w:rPr>
          <w:spacing w:val="-1"/>
        </w:rPr>
        <w:t> </w:t>
      </w:r>
      <w:r>
        <w:rPr/>
        <w:t>testigo que lo aclare;</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09"/>
        </w:numPr>
        <w:tabs>
          <w:tab w:pos="1195" w:val="left" w:leader="none"/>
        </w:tabs>
        <w:spacing w:line="242" w:lineRule="auto" w:before="0" w:after="0"/>
        <w:ind w:left="1195" w:right="344" w:hanging="569"/>
        <w:jc w:val="both"/>
        <w:rPr>
          <w:sz w:val="20"/>
        </w:rPr>
      </w:pPr>
      <w:r>
        <w:rPr>
          <w:sz w:val="20"/>
        </w:rPr>
        <w:t>Primero interrogará el oferente de la prueba y posteriormente las demás partes. El Tribunal, cuando lo estime pertinente, examinará directamente al testigo;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09"/>
        </w:numPr>
        <w:tabs>
          <w:tab w:pos="1193" w:val="left" w:leader="none"/>
          <w:tab w:pos="1195" w:val="left" w:leader="none"/>
        </w:tabs>
        <w:spacing w:line="240" w:lineRule="auto" w:before="0" w:after="0"/>
        <w:ind w:left="1195" w:right="337" w:hanging="569"/>
        <w:jc w:val="both"/>
        <w:rPr>
          <w:sz w:val="20"/>
        </w:rPr>
      </w:pPr>
      <w:r>
        <w:rPr>
          <w:sz w:val="20"/>
        </w:rPr>
        <w:t>Las preguntas y las respuestas se harán constar en autos a través de medios gráficos, documentales, de audio o audiovisuales. Para ello el tribunal implementará los sistemas que considere necesarios para dejar constancia del desarrollo de la audiencia, privilegiando los principios de inmediatez, concentración y celeridad procesal. En ningún caso se permitirá el dictado de las preguntas y respuestas;</w:t>
      </w:r>
    </w:p>
    <w:p>
      <w:pPr>
        <w:spacing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09"/>
        </w:numPr>
        <w:tabs>
          <w:tab w:pos="1195" w:val="left" w:leader="none"/>
        </w:tabs>
        <w:spacing w:line="242" w:lineRule="auto" w:before="0" w:after="0"/>
        <w:ind w:left="1195" w:right="339" w:hanging="569"/>
        <w:jc w:val="left"/>
        <w:rPr>
          <w:sz w:val="20"/>
        </w:rPr>
      </w:pPr>
      <w:r>
        <w:rPr>
          <w:sz w:val="20"/>
        </w:rPr>
        <w:t>Los</w:t>
      </w:r>
      <w:r>
        <w:rPr>
          <w:spacing w:val="-1"/>
          <w:sz w:val="20"/>
        </w:rPr>
        <w:t> </w:t>
      </w:r>
      <w:r>
        <w:rPr>
          <w:sz w:val="20"/>
        </w:rPr>
        <w:t>testigos</w:t>
      </w:r>
      <w:r>
        <w:rPr>
          <w:spacing w:val="-1"/>
          <w:sz w:val="20"/>
        </w:rPr>
        <w:t> </w:t>
      </w:r>
      <w:r>
        <w:rPr>
          <w:sz w:val="20"/>
        </w:rPr>
        <w:t>están</w:t>
      </w:r>
      <w:r>
        <w:rPr>
          <w:spacing w:val="-3"/>
          <w:sz w:val="20"/>
        </w:rPr>
        <w:t> </w:t>
      </w:r>
      <w:r>
        <w:rPr>
          <w:sz w:val="20"/>
        </w:rPr>
        <w:t>obligados</w:t>
      </w:r>
      <w:r>
        <w:rPr>
          <w:spacing w:val="-1"/>
          <w:sz w:val="20"/>
        </w:rPr>
        <w:t> </w:t>
      </w:r>
      <w:r>
        <w:rPr>
          <w:sz w:val="20"/>
        </w:rPr>
        <w:t>a</w:t>
      </w:r>
      <w:r>
        <w:rPr>
          <w:spacing w:val="-2"/>
          <w:sz w:val="20"/>
        </w:rPr>
        <w:t> </w:t>
      </w:r>
      <w:r>
        <w:rPr>
          <w:sz w:val="20"/>
        </w:rPr>
        <w:t>dar</w:t>
      </w:r>
      <w:r>
        <w:rPr>
          <w:spacing w:val="-1"/>
          <w:sz w:val="20"/>
        </w:rPr>
        <w:t> </w:t>
      </w:r>
      <w:r>
        <w:rPr>
          <w:sz w:val="20"/>
        </w:rPr>
        <w:t>la</w:t>
      </w:r>
      <w:r>
        <w:rPr>
          <w:spacing w:val="-2"/>
          <w:sz w:val="20"/>
        </w:rPr>
        <w:t> </w:t>
      </w:r>
      <w:r>
        <w:rPr>
          <w:sz w:val="20"/>
        </w:rPr>
        <w:t>razón</w:t>
      </w:r>
      <w:r>
        <w:rPr>
          <w:spacing w:val="-2"/>
          <w:sz w:val="20"/>
        </w:rPr>
        <w:t> </w:t>
      </w:r>
      <w:r>
        <w:rPr>
          <w:sz w:val="20"/>
        </w:rPr>
        <w:t>de su</w:t>
      </w:r>
      <w:r>
        <w:rPr>
          <w:spacing w:val="-2"/>
          <w:sz w:val="20"/>
        </w:rPr>
        <w:t> </w:t>
      </w:r>
      <w:r>
        <w:rPr>
          <w:sz w:val="20"/>
        </w:rPr>
        <w:t>dicho, y</w:t>
      </w:r>
      <w:r>
        <w:rPr>
          <w:spacing w:val="-5"/>
          <w:sz w:val="20"/>
        </w:rPr>
        <w:t> </w:t>
      </w:r>
      <w:r>
        <w:rPr>
          <w:sz w:val="20"/>
        </w:rPr>
        <w:t>el</w:t>
      </w:r>
      <w:r>
        <w:rPr>
          <w:spacing w:val="-3"/>
          <w:sz w:val="20"/>
        </w:rPr>
        <w:t> </w:t>
      </w:r>
      <w:r>
        <w:rPr>
          <w:sz w:val="20"/>
        </w:rPr>
        <w:t>Tribunal</w:t>
      </w:r>
      <w:r>
        <w:rPr>
          <w:spacing w:val="-3"/>
          <w:sz w:val="20"/>
        </w:rPr>
        <w:t> </w:t>
      </w:r>
      <w:r>
        <w:rPr>
          <w:sz w:val="20"/>
        </w:rPr>
        <w:t>deberá</w:t>
      </w:r>
      <w:r>
        <w:rPr>
          <w:spacing w:val="-2"/>
          <w:sz w:val="20"/>
        </w:rPr>
        <w:t> </w:t>
      </w:r>
      <w:r>
        <w:rPr>
          <w:sz w:val="20"/>
        </w:rPr>
        <w:t>solicitarla,</w:t>
      </w:r>
      <w:r>
        <w:rPr>
          <w:spacing w:val="-2"/>
          <w:sz w:val="20"/>
        </w:rPr>
        <w:t> </w:t>
      </w:r>
      <w:r>
        <w:rPr>
          <w:sz w:val="20"/>
        </w:rPr>
        <w:t>respecto de las respuestas que no la lleven ya en sí;</w:t>
      </w:r>
    </w:p>
    <w:p>
      <w:pPr>
        <w:spacing w:line="181"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ListParagraph"/>
        <w:numPr>
          <w:ilvl w:val="0"/>
          <w:numId w:val="309"/>
        </w:numPr>
        <w:tabs>
          <w:tab w:pos="1195" w:val="left" w:leader="none"/>
        </w:tabs>
        <w:spacing w:line="240" w:lineRule="auto" w:before="229" w:after="0"/>
        <w:ind w:left="1195" w:right="0" w:hanging="569"/>
        <w:jc w:val="left"/>
        <w:rPr>
          <w:sz w:val="20"/>
        </w:rPr>
      </w:pPr>
      <w:r>
        <w:rPr>
          <w:sz w:val="20"/>
        </w:rPr>
        <w:t>Se</w:t>
      </w:r>
      <w:r>
        <w:rPr>
          <w:spacing w:val="-5"/>
          <w:sz w:val="20"/>
        </w:rPr>
        <w:t> </w:t>
      </w:r>
      <w:r>
        <w:rPr>
          <w:spacing w:val="-2"/>
          <w:sz w:val="20"/>
        </w:rPr>
        <w:t>deroga.</w:t>
      </w:r>
    </w:p>
    <w:p>
      <w:pPr>
        <w:spacing w:before="0"/>
        <w:ind w:left="540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309"/>
        </w:numPr>
        <w:tabs>
          <w:tab w:pos="1195" w:val="left" w:leader="none"/>
        </w:tabs>
        <w:spacing w:line="229" w:lineRule="exact" w:before="0" w:after="0"/>
        <w:ind w:left="1195" w:right="0" w:hanging="569"/>
        <w:jc w:val="left"/>
        <w:rPr>
          <w:sz w:val="20"/>
        </w:rPr>
      </w:pPr>
      <w:r>
        <w:rPr>
          <w:sz w:val="20"/>
        </w:rPr>
        <w:t>Se</w:t>
      </w:r>
      <w:r>
        <w:rPr>
          <w:spacing w:val="-5"/>
          <w:sz w:val="20"/>
        </w:rPr>
        <w:t> </w:t>
      </w:r>
      <w:r>
        <w:rPr>
          <w:spacing w:val="-2"/>
          <w:sz w:val="20"/>
        </w:rPr>
        <w:t>deroga.</w:t>
      </w:r>
    </w:p>
    <w:p>
      <w:pPr>
        <w:spacing w:line="183" w:lineRule="exact" w:before="0"/>
        <w:ind w:left="53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2"/>
        <w:rPr>
          <w:rFonts w:ascii="Times New Roman"/>
          <w:i/>
        </w:rPr>
      </w:pPr>
    </w:p>
    <w:p>
      <w:pPr>
        <w:pStyle w:val="ListParagraph"/>
        <w:numPr>
          <w:ilvl w:val="0"/>
          <w:numId w:val="309"/>
        </w:numPr>
        <w:tabs>
          <w:tab w:pos="1195" w:val="left" w:leader="none"/>
        </w:tabs>
        <w:spacing w:line="240" w:lineRule="auto" w:before="0" w:after="0"/>
        <w:ind w:left="1195" w:right="343" w:hanging="569"/>
        <w:jc w:val="both"/>
        <w:rPr>
          <w:sz w:val="20"/>
        </w:rPr>
      </w:pPr>
      <w:r>
        <w:rPr>
          <w:sz w:val="20"/>
        </w:rPr>
        <w:t>El desahogo de esta prueba es indivisible, salvo que alguno de los testigos radique fuera del lugar de residencia del Tribunal y que la prueba tenga que desahogarse por exhorto, en cuyo caso el juzgador adoptará las medidas pertinentes para que los otros testigos no tengan conocimiento previo de las declaraciones desahogadas;</w:t>
      </w:r>
    </w:p>
    <w:p>
      <w:pPr>
        <w:spacing w:line="183" w:lineRule="exact" w:before="0"/>
        <w:ind w:left="52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09"/>
        </w:numPr>
        <w:tabs>
          <w:tab w:pos="1193" w:val="left" w:leader="none"/>
          <w:tab w:pos="1195" w:val="left" w:leader="none"/>
        </w:tabs>
        <w:spacing w:line="240" w:lineRule="auto" w:before="0" w:after="0"/>
        <w:ind w:left="1195" w:right="338" w:hanging="569"/>
        <w:jc w:val="both"/>
        <w:rPr>
          <w:sz w:val="20"/>
        </w:rPr>
      </w:pPr>
      <w:r>
        <w:rPr>
          <w:sz w:val="20"/>
        </w:rPr>
        <w:t>Durante el interrogatorio y contrainterrogatorio, para superar o evidenciar contradicciones, o solicitar las aclaraciones pertinentes, las partes o sus apoderados podrán poner a la vista del testigo documentos elaborados por éste o en los que hubiere participado, así como pedirle que lea</w:t>
      </w:r>
      <w:r>
        <w:rPr>
          <w:spacing w:val="-2"/>
          <w:sz w:val="20"/>
        </w:rPr>
        <w:t> </w:t>
      </w:r>
      <w:r>
        <w:rPr>
          <w:sz w:val="20"/>
        </w:rPr>
        <w:t>parte</w:t>
      </w:r>
      <w:r>
        <w:rPr>
          <w:spacing w:val="-4"/>
          <w:sz w:val="20"/>
        </w:rPr>
        <w:t> </w:t>
      </w:r>
      <w:r>
        <w:rPr>
          <w:sz w:val="20"/>
        </w:rPr>
        <w:t>de</w:t>
      </w:r>
      <w:r>
        <w:rPr>
          <w:spacing w:val="-2"/>
          <w:sz w:val="20"/>
        </w:rPr>
        <w:t> </w:t>
      </w:r>
      <w:r>
        <w:rPr>
          <w:sz w:val="20"/>
        </w:rPr>
        <w:t>los</w:t>
      </w:r>
      <w:r>
        <w:rPr>
          <w:spacing w:val="-3"/>
          <w:sz w:val="20"/>
        </w:rPr>
        <w:t> </w:t>
      </w:r>
      <w:r>
        <w:rPr>
          <w:sz w:val="20"/>
        </w:rPr>
        <w:t>mismos,</w:t>
      </w:r>
      <w:r>
        <w:rPr>
          <w:spacing w:val="-4"/>
          <w:sz w:val="20"/>
        </w:rPr>
        <w:t> </w:t>
      </w:r>
      <w:r>
        <w:rPr>
          <w:sz w:val="20"/>
        </w:rPr>
        <w:t>cuando</w:t>
      </w:r>
      <w:r>
        <w:rPr>
          <w:spacing w:val="-2"/>
          <w:sz w:val="20"/>
        </w:rPr>
        <w:t> </w:t>
      </w:r>
      <w:r>
        <w:rPr>
          <w:sz w:val="20"/>
        </w:rPr>
        <w:t>sea</w:t>
      </w:r>
      <w:r>
        <w:rPr>
          <w:spacing w:val="-2"/>
          <w:sz w:val="20"/>
        </w:rPr>
        <w:t> </w:t>
      </w:r>
      <w:r>
        <w:rPr>
          <w:sz w:val="20"/>
        </w:rPr>
        <w:t>necesario</w:t>
      </w:r>
      <w:r>
        <w:rPr>
          <w:spacing w:val="-2"/>
          <w:sz w:val="20"/>
        </w:rPr>
        <w:t> </w:t>
      </w:r>
      <w:r>
        <w:rPr>
          <w:sz w:val="20"/>
        </w:rPr>
        <w:t>para</w:t>
      </w:r>
      <w:r>
        <w:rPr>
          <w:spacing w:val="-2"/>
          <w:sz w:val="20"/>
        </w:rPr>
        <w:t> </w:t>
      </w:r>
      <w:r>
        <w:rPr>
          <w:sz w:val="20"/>
        </w:rPr>
        <w:t>apoyar</w:t>
      </w:r>
      <w:r>
        <w:rPr>
          <w:spacing w:val="-1"/>
          <w:sz w:val="20"/>
        </w:rPr>
        <w:t> </w:t>
      </w:r>
      <w:r>
        <w:rPr>
          <w:sz w:val="20"/>
        </w:rPr>
        <w:t>su</w:t>
      </w:r>
      <w:r>
        <w:rPr>
          <w:spacing w:val="-4"/>
          <w:sz w:val="20"/>
        </w:rPr>
        <w:t> </w:t>
      </w:r>
      <w:r>
        <w:rPr>
          <w:sz w:val="20"/>
        </w:rPr>
        <w:t>memoria.</w:t>
      </w:r>
      <w:r>
        <w:rPr>
          <w:spacing w:val="-4"/>
          <w:sz w:val="20"/>
        </w:rPr>
        <w:t> </w:t>
      </w:r>
      <w:r>
        <w:rPr>
          <w:sz w:val="20"/>
        </w:rPr>
        <w:t>Solo</w:t>
      </w:r>
      <w:r>
        <w:rPr>
          <w:spacing w:val="-2"/>
          <w:sz w:val="20"/>
        </w:rPr>
        <w:t> </w:t>
      </w:r>
      <w:r>
        <w:rPr>
          <w:sz w:val="20"/>
        </w:rPr>
        <w:t>podrán</w:t>
      </w:r>
      <w:r>
        <w:rPr>
          <w:spacing w:val="-2"/>
          <w:sz w:val="20"/>
        </w:rPr>
        <w:t> </w:t>
      </w:r>
      <w:r>
        <w:rPr>
          <w:sz w:val="20"/>
        </w:rPr>
        <w:t>ponerse</w:t>
      </w:r>
      <w:r>
        <w:rPr>
          <w:spacing w:val="-4"/>
          <w:sz w:val="20"/>
        </w:rPr>
        <w:t> </w:t>
      </w:r>
      <w:r>
        <w:rPr>
          <w:sz w:val="20"/>
        </w:rPr>
        <w:t>a la vista documentos que formen parte de los autos, 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09"/>
        </w:numPr>
        <w:tabs>
          <w:tab w:pos="1193" w:val="left" w:leader="none"/>
          <w:tab w:pos="1195" w:val="left" w:leader="none"/>
        </w:tabs>
        <w:spacing w:line="242" w:lineRule="auto" w:before="0" w:after="0"/>
        <w:ind w:left="1195" w:right="345" w:hanging="569"/>
        <w:jc w:val="both"/>
        <w:rPr>
          <w:sz w:val="20"/>
        </w:rPr>
      </w:pPr>
      <w:r>
        <w:rPr>
          <w:sz w:val="20"/>
        </w:rPr>
        <w:t>En su oportunidad, las partes podrán manifestar lo que a su interés convenga respecto de las circunstancias personales de</w:t>
      </w:r>
      <w:r>
        <w:rPr>
          <w:spacing w:val="-1"/>
          <w:sz w:val="20"/>
        </w:rPr>
        <w:t> </w:t>
      </w:r>
      <w:r>
        <w:rPr>
          <w:sz w:val="20"/>
        </w:rPr>
        <w:t>los</w:t>
      </w:r>
      <w:r>
        <w:rPr>
          <w:spacing w:val="-2"/>
          <w:sz w:val="20"/>
        </w:rPr>
        <w:t> </w:t>
      </w:r>
      <w:r>
        <w:rPr>
          <w:sz w:val="20"/>
        </w:rPr>
        <w:t>testigos y</w:t>
      </w:r>
      <w:r>
        <w:rPr>
          <w:spacing w:val="-4"/>
          <w:sz w:val="20"/>
        </w:rPr>
        <w:t> </w:t>
      </w:r>
      <w:r>
        <w:rPr>
          <w:sz w:val="20"/>
        </w:rPr>
        <w:t>de</w:t>
      </w:r>
      <w:r>
        <w:rPr>
          <w:spacing w:val="-1"/>
          <w:sz w:val="20"/>
        </w:rPr>
        <w:t> </w:t>
      </w:r>
      <w:r>
        <w:rPr>
          <w:sz w:val="20"/>
        </w:rPr>
        <w:t>la veracidad</w:t>
      </w:r>
      <w:r>
        <w:rPr>
          <w:spacing w:val="-1"/>
          <w:sz w:val="20"/>
        </w:rPr>
        <w:t> </w:t>
      </w:r>
      <w:r>
        <w:rPr>
          <w:sz w:val="20"/>
        </w:rPr>
        <w:t>de</w:t>
      </w:r>
      <w:r>
        <w:rPr>
          <w:spacing w:val="-1"/>
          <w:sz w:val="20"/>
        </w:rPr>
        <w:t> </w:t>
      </w:r>
      <w:r>
        <w:rPr>
          <w:sz w:val="20"/>
        </w:rPr>
        <w:t>sus</w:t>
      </w:r>
      <w:r>
        <w:rPr>
          <w:spacing w:val="-2"/>
          <w:sz w:val="20"/>
        </w:rPr>
        <w:t> </w:t>
      </w:r>
      <w:r>
        <w:rPr>
          <w:sz w:val="20"/>
        </w:rPr>
        <w:t>manifestaciones,</w:t>
      </w:r>
      <w:r>
        <w:rPr>
          <w:spacing w:val="-3"/>
          <w:sz w:val="20"/>
        </w:rPr>
        <w:t> </w:t>
      </w:r>
      <w:r>
        <w:rPr>
          <w:sz w:val="20"/>
        </w:rPr>
        <w:t>conforme</w:t>
      </w:r>
      <w:r>
        <w:rPr>
          <w:spacing w:val="-3"/>
          <w:sz w:val="20"/>
        </w:rPr>
        <w:t> </w:t>
      </w:r>
      <w:r>
        <w:rPr>
          <w:sz w:val="20"/>
        </w:rPr>
        <w:t>lo establece el artículo 818 de esta Ley.</w:t>
      </w:r>
    </w:p>
    <w:p>
      <w:pPr>
        <w:spacing w:line="178" w:lineRule="exact" w:before="0"/>
        <w:ind w:left="7202" w:right="296" w:firstLine="0"/>
        <w:jc w:val="center"/>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spacing w:line="229" w:lineRule="exact"/>
        <w:ind w:left="626"/>
      </w:pPr>
      <w:r>
        <w:rPr/>
        <w:t>Si</w:t>
      </w:r>
      <w:r>
        <w:rPr>
          <w:spacing w:val="-5"/>
        </w:rPr>
        <w:t> </w:t>
      </w:r>
      <w:r>
        <w:rPr/>
        <w:t>el</w:t>
      </w:r>
      <w:r>
        <w:rPr>
          <w:spacing w:val="-7"/>
        </w:rPr>
        <w:t> </w:t>
      </w:r>
      <w:r>
        <w:rPr/>
        <w:t>testigo</w:t>
      </w:r>
      <w:r>
        <w:rPr>
          <w:spacing w:val="-5"/>
        </w:rPr>
        <w:t> </w:t>
      </w:r>
      <w:r>
        <w:rPr/>
        <w:t>lo</w:t>
      </w:r>
      <w:r>
        <w:rPr>
          <w:spacing w:val="-6"/>
        </w:rPr>
        <w:t> </w:t>
      </w:r>
      <w:r>
        <w:rPr/>
        <w:t>solicita,</w:t>
      </w:r>
      <w:r>
        <w:rPr>
          <w:spacing w:val="-6"/>
        </w:rPr>
        <w:t> </w:t>
      </w:r>
      <w:r>
        <w:rPr/>
        <w:t>se</w:t>
      </w:r>
      <w:r>
        <w:rPr>
          <w:spacing w:val="-3"/>
        </w:rPr>
        <w:t> </w:t>
      </w:r>
      <w:r>
        <w:rPr/>
        <w:t>le</w:t>
      </w:r>
      <w:r>
        <w:rPr>
          <w:spacing w:val="-4"/>
        </w:rPr>
        <w:t> </w:t>
      </w:r>
      <w:r>
        <w:rPr/>
        <w:t>extenderá</w:t>
      </w:r>
      <w:r>
        <w:rPr>
          <w:spacing w:val="-6"/>
        </w:rPr>
        <w:t> </w:t>
      </w:r>
      <w:r>
        <w:rPr/>
        <w:t>una</w:t>
      </w:r>
      <w:r>
        <w:rPr>
          <w:spacing w:val="-6"/>
        </w:rPr>
        <w:t> </w:t>
      </w:r>
      <w:r>
        <w:rPr/>
        <w:t>constancia</w:t>
      </w:r>
      <w:r>
        <w:rPr>
          <w:spacing w:val="-4"/>
        </w:rPr>
        <w:t> </w:t>
      </w:r>
      <w:r>
        <w:rPr/>
        <w:t>de</w:t>
      </w:r>
      <w:r>
        <w:rPr>
          <w:spacing w:val="-7"/>
        </w:rPr>
        <w:t> </w:t>
      </w:r>
      <w:r>
        <w:rPr/>
        <w:t>que</w:t>
      </w:r>
      <w:r>
        <w:rPr>
          <w:spacing w:val="-6"/>
        </w:rPr>
        <w:t> </w:t>
      </w:r>
      <w:r>
        <w:rPr/>
        <w:t>asistió</w:t>
      </w:r>
      <w:r>
        <w:rPr>
          <w:spacing w:val="-4"/>
        </w:rPr>
        <w:t> </w:t>
      </w:r>
      <w:r>
        <w:rPr/>
        <w:t>a</w:t>
      </w:r>
      <w:r>
        <w:rPr>
          <w:spacing w:val="-6"/>
        </w:rPr>
        <w:t> </w:t>
      </w:r>
      <w:r>
        <w:rPr/>
        <w:t>la</w:t>
      </w:r>
      <w:r>
        <w:rPr>
          <w:spacing w:val="-5"/>
        </w:rPr>
        <w:t> </w:t>
      </w:r>
      <w:r>
        <w:rPr>
          <w:spacing w:val="-2"/>
        </w:rPr>
        <w:t>diligencia.</w:t>
      </w:r>
    </w:p>
    <w:p>
      <w:pPr>
        <w:spacing w:before="0"/>
        <w:ind w:left="7321" w:right="333" w:firstLine="0"/>
        <w:jc w:val="center"/>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0"/>
        <w:rPr>
          <w:rFonts w:ascii="Times New Roman"/>
          <w:i/>
          <w:sz w:val="16"/>
        </w:rPr>
      </w:pPr>
    </w:p>
    <w:p>
      <w:pPr>
        <w:pStyle w:val="BodyText"/>
        <w:spacing w:line="242" w:lineRule="auto"/>
        <w:ind w:left="338" w:right="337" w:firstLine="288"/>
        <w:jc w:val="both"/>
      </w:pPr>
      <w:bookmarkStart w:name="Artículo_816" w:id="1028"/>
      <w:bookmarkEnd w:id="1028"/>
      <w:r>
        <w:rPr/>
      </w:r>
      <w:r>
        <w:rPr>
          <w:rFonts w:ascii="Arial" w:hAnsi="Arial"/>
          <w:b/>
        </w:rPr>
        <w:t>Artículo 816.- </w:t>
      </w:r>
      <w:r>
        <w:rPr/>
        <w:t>Si el</w:t>
      </w:r>
      <w:r>
        <w:rPr>
          <w:spacing w:val="-1"/>
        </w:rPr>
        <w:t> </w:t>
      </w:r>
      <w:r>
        <w:rPr/>
        <w:t>testigo no habla el idioma español, rendirá su declaración por medio de intérprete, que será nombrado por el Tribunal, el que protestará su fiel desempeño. Cuando el oferente lo pidiere, además de asentarse su declaración en español, deberá escribirse en su propio idioma, por él o por el </w:t>
      </w:r>
      <w:r>
        <w:rPr>
          <w:spacing w:val="-2"/>
        </w:rPr>
        <w:t>intérprete.</w:t>
      </w:r>
    </w:p>
    <w:p>
      <w:pPr>
        <w:spacing w:line="179" w:lineRule="exact" w:before="0"/>
        <w:ind w:left="56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9" w:lineRule="exact"/>
        <w:jc w:val="left"/>
        <w:rPr>
          <w:rFonts w:ascii="Times New Roman" w:hAnsi="Times New Roman"/>
          <w:i/>
          <w:sz w:val="16"/>
        </w:rPr>
        <w:sectPr>
          <w:pgSz w:w="12240" w:h="15840"/>
          <w:pgMar w:header="724" w:footer="712" w:top="1880" w:bottom="900" w:left="1080" w:right="1080"/>
        </w:sectPr>
      </w:pPr>
    </w:p>
    <w:p>
      <w:pPr>
        <w:pStyle w:val="BodyText"/>
        <w:spacing w:before="61"/>
        <w:rPr>
          <w:rFonts w:ascii="Times New Roman"/>
          <w:i/>
        </w:rPr>
      </w:pPr>
    </w:p>
    <w:p>
      <w:pPr>
        <w:pStyle w:val="BodyText"/>
        <w:spacing w:line="242" w:lineRule="auto"/>
        <w:ind w:left="338" w:right="340" w:firstLine="288"/>
        <w:jc w:val="both"/>
      </w:pPr>
      <w:bookmarkStart w:name="Artículo_817" w:id="1029"/>
      <w:bookmarkEnd w:id="1029"/>
      <w:r>
        <w:rPr/>
      </w:r>
      <w:r>
        <w:rPr>
          <w:rFonts w:ascii="Arial" w:hAnsi="Arial"/>
          <w:b/>
        </w:rPr>
        <w:t>Artículo 817.- </w:t>
      </w:r>
      <w:r>
        <w:rPr/>
        <w:t>El Tribunal, al girar el exhorto para desahogar la prueba testimonial, acompañará los interrogatorios con las preguntas y las repreguntas calificadas, a cuyo tenor deberá desahogarse la prueba, sin que las partes puedan ampliarlos, e indicará a la autoridad exhortada los nombres de las personas que tienen facultad para intervenir en la diligencia.</w:t>
      </w:r>
    </w:p>
    <w:p>
      <w:pPr>
        <w:spacing w:line="179" w:lineRule="exact" w:before="0"/>
        <w:ind w:left="56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3" w:firstLine="288"/>
        <w:jc w:val="both"/>
      </w:pPr>
      <w:bookmarkStart w:name="Artículo_818" w:id="1030"/>
      <w:bookmarkEnd w:id="1030"/>
      <w:r>
        <w:rPr/>
      </w:r>
      <w:r>
        <w:rPr>
          <w:rFonts w:ascii="Arial" w:hAnsi="Arial"/>
          <w:b/>
        </w:rPr>
        <w:t>Artículo 818.- </w:t>
      </w:r>
      <w:r>
        <w:rPr/>
        <w:t>Las objeciones a los testigos se formularán oralmente al concluir el desahogo de la prueba para su apreciación por el Tribunal.</w:t>
      </w:r>
    </w:p>
    <w:p>
      <w:pPr>
        <w:pStyle w:val="BodyText"/>
        <w:spacing w:before="229"/>
        <w:ind w:left="338" w:right="340" w:firstLine="288"/>
        <w:jc w:val="both"/>
      </w:pPr>
      <w:r>
        <w:rPr/>
        <w:t>Cuando se objetare de falso un testigo, el Tribunal recibirá las pruebas en la audiencia de juicio. Solo se admitirán las pruebas documentales, las que consten en medios electrónicos, las presuncionales y las que</w:t>
      </w:r>
      <w:r>
        <w:rPr>
          <w:spacing w:val="-2"/>
        </w:rPr>
        <w:t> </w:t>
      </w:r>
      <w:r>
        <w:rPr/>
        <w:t>se</w:t>
      </w:r>
      <w:r>
        <w:rPr>
          <w:spacing w:val="-2"/>
        </w:rPr>
        <w:t> </w:t>
      </w:r>
      <w:r>
        <w:rPr/>
        <w:t>desahoguen</w:t>
      </w:r>
      <w:r>
        <w:rPr>
          <w:spacing w:val="-2"/>
        </w:rPr>
        <w:t> </w:t>
      </w:r>
      <w:r>
        <w:rPr/>
        <w:t>por</w:t>
      </w:r>
      <w:r>
        <w:rPr>
          <w:spacing w:val="-1"/>
        </w:rPr>
        <w:t> </w:t>
      </w:r>
      <w:r>
        <w:rPr/>
        <w:t>su</w:t>
      </w:r>
      <w:r>
        <w:rPr>
          <w:spacing w:val="-2"/>
        </w:rPr>
        <w:t> </w:t>
      </w:r>
      <w:r>
        <w:rPr/>
        <w:t>propia y</w:t>
      </w:r>
      <w:r>
        <w:rPr>
          <w:spacing w:val="-5"/>
        </w:rPr>
        <w:t> </w:t>
      </w:r>
      <w:r>
        <w:rPr/>
        <w:t>especial</w:t>
      </w:r>
      <w:r>
        <w:rPr>
          <w:spacing w:val="-3"/>
        </w:rPr>
        <w:t> </w:t>
      </w:r>
      <w:r>
        <w:rPr/>
        <w:t>naturaleza.</w:t>
      </w:r>
      <w:r>
        <w:rPr>
          <w:spacing w:val="-2"/>
        </w:rPr>
        <w:t> </w:t>
      </w:r>
      <w:r>
        <w:rPr/>
        <w:t>Desahogadas</w:t>
      </w:r>
      <w:r>
        <w:rPr>
          <w:spacing w:val="-1"/>
        </w:rPr>
        <w:t> </w:t>
      </w:r>
      <w:r>
        <w:rPr/>
        <w:t>éstas y</w:t>
      </w:r>
      <w:r>
        <w:rPr>
          <w:spacing w:val="-5"/>
        </w:rPr>
        <w:t> </w:t>
      </w:r>
      <w:r>
        <w:rPr/>
        <w:t>después</w:t>
      </w:r>
      <w:r>
        <w:rPr>
          <w:spacing w:val="-1"/>
        </w:rPr>
        <w:t> </w:t>
      </w:r>
      <w:r>
        <w:rPr/>
        <w:t>de</w:t>
      </w:r>
      <w:r>
        <w:rPr>
          <w:spacing w:val="-3"/>
        </w:rPr>
        <w:t> </w:t>
      </w:r>
      <w:r>
        <w:rPr/>
        <w:t>escuchar</w:t>
      </w:r>
      <w:r>
        <w:rPr>
          <w:spacing w:val="-1"/>
        </w:rPr>
        <w:t> </w:t>
      </w:r>
      <w:r>
        <w:rPr/>
        <w:t>a</w:t>
      </w:r>
      <w:r>
        <w:rPr>
          <w:spacing w:val="-2"/>
        </w:rPr>
        <w:t> </w:t>
      </w:r>
      <w:r>
        <w:rPr/>
        <w:t>las partes, se resolverá en la misma audiencia de juicio.</w:t>
      </w:r>
    </w:p>
    <w:p>
      <w:pPr>
        <w:spacing w:line="181"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5" w:firstLine="288"/>
        <w:jc w:val="both"/>
      </w:pPr>
      <w:bookmarkStart w:name="Artículo_819" w:id="1031"/>
      <w:bookmarkEnd w:id="1031"/>
      <w:r>
        <w:rPr/>
      </w:r>
      <w:r>
        <w:rPr>
          <w:rFonts w:ascii="Arial" w:hAnsi="Arial"/>
          <w:b/>
        </w:rPr>
        <w:t>Artículo 819.- </w:t>
      </w:r>
      <w:r>
        <w:rPr/>
        <w:t>Al testigo que dejare de concurrir a la audiencia, no obstante haber sido citado legalmente, se le hará efectivo el apercibimiento decretado, y el Tribunal dictará las medidas necesarias para que comparezca a rendir su declaración, el día y hora señalados.</w:t>
      </w:r>
    </w:p>
    <w:p>
      <w:pPr>
        <w:spacing w:line="178"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2" w:firstLine="288"/>
        <w:jc w:val="both"/>
      </w:pPr>
      <w:bookmarkStart w:name="Artículo_820" w:id="1032"/>
      <w:bookmarkEnd w:id="1032"/>
      <w:r>
        <w:rPr/>
      </w:r>
      <w:r>
        <w:rPr>
          <w:rFonts w:ascii="Arial" w:hAnsi="Arial"/>
          <w:b/>
        </w:rPr>
        <w:t>Artículo 820.- </w:t>
      </w:r>
      <w:r>
        <w:rPr/>
        <w:t>Un solo testigo podrá formar convicción, si en el mismo concurren circunstancias que sean garantía de veracidad que lo hagan insospechable de falsear los hechos sobre los que declara, si:</w:t>
      </w:r>
    </w:p>
    <w:p>
      <w:pPr>
        <w:pStyle w:val="ListParagraph"/>
        <w:numPr>
          <w:ilvl w:val="0"/>
          <w:numId w:val="310"/>
        </w:numPr>
        <w:tabs>
          <w:tab w:pos="1195" w:val="left" w:leader="none"/>
        </w:tabs>
        <w:spacing w:line="240" w:lineRule="auto" w:before="226" w:after="0"/>
        <w:ind w:left="1195" w:right="0" w:hanging="569"/>
        <w:jc w:val="left"/>
        <w:rPr>
          <w:sz w:val="20"/>
        </w:rPr>
      </w:pPr>
      <w:r>
        <w:rPr>
          <w:sz w:val="20"/>
        </w:rPr>
        <w:t>Fue</w:t>
      </w:r>
      <w:r>
        <w:rPr>
          <w:spacing w:val="-6"/>
          <w:sz w:val="20"/>
        </w:rPr>
        <w:t> </w:t>
      </w:r>
      <w:r>
        <w:rPr>
          <w:sz w:val="20"/>
        </w:rPr>
        <w:t>el</w:t>
      </w:r>
      <w:r>
        <w:rPr>
          <w:spacing w:val="-6"/>
          <w:sz w:val="20"/>
        </w:rPr>
        <w:t> </w:t>
      </w:r>
      <w:r>
        <w:rPr>
          <w:sz w:val="20"/>
        </w:rPr>
        <w:t>único</w:t>
      </w:r>
      <w:r>
        <w:rPr>
          <w:spacing w:val="-4"/>
          <w:sz w:val="20"/>
        </w:rPr>
        <w:t> </w:t>
      </w:r>
      <w:r>
        <w:rPr>
          <w:sz w:val="20"/>
        </w:rPr>
        <w:t>que</w:t>
      </w:r>
      <w:r>
        <w:rPr>
          <w:spacing w:val="-5"/>
          <w:sz w:val="20"/>
        </w:rPr>
        <w:t> </w:t>
      </w:r>
      <w:r>
        <w:rPr>
          <w:sz w:val="20"/>
        </w:rPr>
        <w:t>se</w:t>
      </w:r>
      <w:r>
        <w:rPr>
          <w:spacing w:val="-3"/>
          <w:sz w:val="20"/>
        </w:rPr>
        <w:t> </w:t>
      </w:r>
      <w:r>
        <w:rPr>
          <w:sz w:val="20"/>
        </w:rPr>
        <w:t>percató</w:t>
      </w:r>
      <w:r>
        <w:rPr>
          <w:spacing w:val="-5"/>
          <w:sz w:val="20"/>
        </w:rPr>
        <w:t> </w:t>
      </w:r>
      <w:r>
        <w:rPr>
          <w:sz w:val="20"/>
        </w:rPr>
        <w:t>de</w:t>
      </w:r>
      <w:r>
        <w:rPr>
          <w:spacing w:val="-3"/>
          <w:sz w:val="20"/>
        </w:rPr>
        <w:t> </w:t>
      </w:r>
      <w:r>
        <w:rPr>
          <w:sz w:val="20"/>
        </w:rPr>
        <w:t>los</w:t>
      </w:r>
      <w:r>
        <w:rPr>
          <w:spacing w:val="-4"/>
          <w:sz w:val="20"/>
        </w:rPr>
        <w:t> </w:t>
      </w:r>
      <w:r>
        <w:rPr>
          <w:spacing w:val="-2"/>
          <w:sz w:val="20"/>
        </w:rPr>
        <w:t>hechos;</w:t>
      </w:r>
    </w:p>
    <w:p>
      <w:pPr>
        <w:pStyle w:val="BodyText"/>
        <w:spacing w:before="1"/>
      </w:pPr>
    </w:p>
    <w:p>
      <w:pPr>
        <w:pStyle w:val="ListParagraph"/>
        <w:numPr>
          <w:ilvl w:val="0"/>
          <w:numId w:val="310"/>
        </w:numPr>
        <w:tabs>
          <w:tab w:pos="1195" w:val="left" w:leader="none"/>
        </w:tabs>
        <w:spacing w:line="240" w:lineRule="auto" w:before="0" w:after="0"/>
        <w:ind w:left="1195" w:right="0" w:hanging="569"/>
        <w:jc w:val="left"/>
        <w:rPr>
          <w:sz w:val="20"/>
        </w:rPr>
      </w:pPr>
      <w:r>
        <w:rPr>
          <w:sz w:val="20"/>
        </w:rPr>
        <w:t>La</w:t>
      </w:r>
      <w:r>
        <w:rPr>
          <w:spacing w:val="-8"/>
          <w:sz w:val="20"/>
        </w:rPr>
        <w:t> </w:t>
      </w:r>
      <w:r>
        <w:rPr>
          <w:sz w:val="20"/>
        </w:rPr>
        <w:t>declaración</w:t>
      </w:r>
      <w:r>
        <w:rPr>
          <w:spacing w:val="-5"/>
          <w:sz w:val="20"/>
        </w:rPr>
        <w:t> </w:t>
      </w:r>
      <w:r>
        <w:rPr>
          <w:sz w:val="20"/>
        </w:rPr>
        <w:t>no</w:t>
      </w:r>
      <w:r>
        <w:rPr>
          <w:spacing w:val="-8"/>
          <w:sz w:val="20"/>
        </w:rPr>
        <w:t> </w:t>
      </w:r>
      <w:r>
        <w:rPr>
          <w:sz w:val="20"/>
        </w:rPr>
        <w:t>se</w:t>
      </w:r>
      <w:r>
        <w:rPr>
          <w:spacing w:val="-5"/>
          <w:sz w:val="20"/>
        </w:rPr>
        <w:t> </w:t>
      </w:r>
      <w:r>
        <w:rPr>
          <w:sz w:val="20"/>
        </w:rPr>
        <w:t>encuentre</w:t>
      </w:r>
      <w:r>
        <w:rPr>
          <w:spacing w:val="-6"/>
          <w:sz w:val="20"/>
        </w:rPr>
        <w:t> </w:t>
      </w:r>
      <w:r>
        <w:rPr>
          <w:sz w:val="20"/>
        </w:rPr>
        <w:t>en</w:t>
      </w:r>
      <w:r>
        <w:rPr>
          <w:spacing w:val="-6"/>
          <w:sz w:val="20"/>
        </w:rPr>
        <w:t> </w:t>
      </w:r>
      <w:r>
        <w:rPr>
          <w:sz w:val="20"/>
        </w:rPr>
        <w:t>oposición</w:t>
      </w:r>
      <w:r>
        <w:rPr>
          <w:spacing w:val="-6"/>
          <w:sz w:val="20"/>
        </w:rPr>
        <w:t> </w:t>
      </w:r>
      <w:r>
        <w:rPr>
          <w:sz w:val="20"/>
        </w:rPr>
        <w:t>con</w:t>
      </w:r>
      <w:r>
        <w:rPr>
          <w:spacing w:val="-6"/>
          <w:sz w:val="20"/>
        </w:rPr>
        <w:t> </w:t>
      </w:r>
      <w:r>
        <w:rPr>
          <w:sz w:val="20"/>
        </w:rPr>
        <w:t>otras</w:t>
      </w:r>
      <w:r>
        <w:rPr>
          <w:spacing w:val="2"/>
          <w:sz w:val="20"/>
        </w:rPr>
        <w:t> </w:t>
      </w:r>
      <w:r>
        <w:rPr>
          <w:sz w:val="20"/>
        </w:rPr>
        <w:t>pruebas</w:t>
      </w:r>
      <w:r>
        <w:rPr>
          <w:spacing w:val="-6"/>
          <w:sz w:val="20"/>
        </w:rPr>
        <w:t> </w:t>
      </w:r>
      <w:r>
        <w:rPr>
          <w:sz w:val="20"/>
        </w:rPr>
        <w:t>que</w:t>
      </w:r>
      <w:r>
        <w:rPr>
          <w:spacing w:val="-6"/>
          <w:sz w:val="20"/>
        </w:rPr>
        <w:t> </w:t>
      </w:r>
      <w:r>
        <w:rPr>
          <w:sz w:val="20"/>
        </w:rPr>
        <w:t>obren</w:t>
      </w:r>
      <w:r>
        <w:rPr>
          <w:spacing w:val="-7"/>
          <w:sz w:val="20"/>
        </w:rPr>
        <w:t> </w:t>
      </w:r>
      <w:r>
        <w:rPr>
          <w:sz w:val="20"/>
        </w:rPr>
        <w:t>en</w:t>
      </w:r>
      <w:r>
        <w:rPr>
          <w:spacing w:val="-6"/>
          <w:sz w:val="20"/>
        </w:rPr>
        <w:t> </w:t>
      </w:r>
      <w:r>
        <w:rPr>
          <w:sz w:val="20"/>
        </w:rPr>
        <w:t>autos;</w:t>
      </w:r>
      <w:r>
        <w:rPr>
          <w:spacing w:val="-5"/>
          <w:sz w:val="20"/>
        </w:rPr>
        <w:t> </w:t>
      </w:r>
      <w:r>
        <w:rPr>
          <w:spacing w:val="-10"/>
          <w:sz w:val="20"/>
        </w:rPr>
        <w:t>y</w:t>
      </w:r>
    </w:p>
    <w:p>
      <w:pPr>
        <w:pStyle w:val="ListParagraph"/>
        <w:numPr>
          <w:ilvl w:val="0"/>
          <w:numId w:val="310"/>
        </w:numPr>
        <w:tabs>
          <w:tab w:pos="1195" w:val="left" w:leader="none"/>
        </w:tabs>
        <w:spacing w:line="240" w:lineRule="auto" w:before="229" w:after="0"/>
        <w:ind w:left="1195" w:right="0" w:hanging="569"/>
        <w:jc w:val="left"/>
        <w:rPr>
          <w:sz w:val="20"/>
        </w:rPr>
      </w:pPr>
      <w:r>
        <w:rPr>
          <w:sz w:val="20"/>
        </w:rPr>
        <w:t>Concurran</w:t>
      </w:r>
      <w:r>
        <w:rPr>
          <w:spacing w:val="-7"/>
          <w:sz w:val="20"/>
        </w:rPr>
        <w:t> </w:t>
      </w:r>
      <w:r>
        <w:rPr>
          <w:sz w:val="20"/>
        </w:rPr>
        <w:t>en</w:t>
      </w:r>
      <w:r>
        <w:rPr>
          <w:spacing w:val="-7"/>
          <w:sz w:val="20"/>
        </w:rPr>
        <w:t> </w:t>
      </w:r>
      <w:r>
        <w:rPr>
          <w:sz w:val="20"/>
        </w:rPr>
        <w:t>el</w:t>
      </w:r>
      <w:r>
        <w:rPr>
          <w:spacing w:val="-8"/>
          <w:sz w:val="20"/>
        </w:rPr>
        <w:t> </w:t>
      </w:r>
      <w:r>
        <w:rPr>
          <w:sz w:val="20"/>
        </w:rPr>
        <w:t>testigo</w:t>
      </w:r>
      <w:r>
        <w:rPr>
          <w:spacing w:val="-7"/>
          <w:sz w:val="20"/>
        </w:rPr>
        <w:t> </w:t>
      </w:r>
      <w:r>
        <w:rPr>
          <w:sz w:val="20"/>
        </w:rPr>
        <w:t>circunstancias</w:t>
      </w:r>
      <w:r>
        <w:rPr>
          <w:spacing w:val="-7"/>
          <w:sz w:val="20"/>
        </w:rPr>
        <w:t> </w:t>
      </w:r>
      <w:r>
        <w:rPr>
          <w:sz w:val="20"/>
        </w:rPr>
        <w:t>que</w:t>
      </w:r>
      <w:r>
        <w:rPr>
          <w:spacing w:val="-7"/>
          <w:sz w:val="20"/>
        </w:rPr>
        <w:t> </w:t>
      </w:r>
      <w:r>
        <w:rPr>
          <w:sz w:val="20"/>
        </w:rPr>
        <w:t>sean</w:t>
      </w:r>
      <w:r>
        <w:rPr>
          <w:spacing w:val="-7"/>
          <w:sz w:val="20"/>
        </w:rPr>
        <w:t> </w:t>
      </w:r>
      <w:r>
        <w:rPr>
          <w:sz w:val="20"/>
        </w:rPr>
        <w:t>garantía</w:t>
      </w:r>
      <w:r>
        <w:rPr>
          <w:spacing w:val="-7"/>
          <w:sz w:val="20"/>
        </w:rPr>
        <w:t> </w:t>
      </w:r>
      <w:r>
        <w:rPr>
          <w:sz w:val="20"/>
        </w:rPr>
        <w:t>de</w:t>
      </w:r>
      <w:r>
        <w:rPr>
          <w:spacing w:val="-7"/>
          <w:sz w:val="20"/>
        </w:rPr>
        <w:t> </w:t>
      </w:r>
      <w:r>
        <w:rPr>
          <w:spacing w:val="-2"/>
          <w:sz w:val="20"/>
        </w:rPr>
        <w:t>veracidad.</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Heading2"/>
        <w:spacing w:before="230"/>
        <w:ind w:left="4128" w:right="4124"/>
      </w:pPr>
      <w:r>
        <w:rPr/>
        <w:t>Sección</w:t>
      </w:r>
      <w:r>
        <w:rPr>
          <w:spacing w:val="-16"/>
        </w:rPr>
        <w:t> </w:t>
      </w:r>
      <w:r>
        <w:rPr/>
        <w:t>Quinta De la Pericial</w:t>
      </w:r>
    </w:p>
    <w:p>
      <w:pPr>
        <w:spacing w:before="0"/>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1"/>
        <w:rPr>
          <w:rFonts w:ascii="Times New Roman"/>
          <w:i/>
        </w:rPr>
      </w:pPr>
    </w:p>
    <w:p>
      <w:pPr>
        <w:pStyle w:val="BodyText"/>
        <w:ind w:left="338" w:right="343" w:firstLine="288"/>
        <w:jc w:val="both"/>
      </w:pPr>
      <w:bookmarkStart w:name="Artículo_821" w:id="1033"/>
      <w:bookmarkEnd w:id="1033"/>
      <w:r>
        <w:rPr/>
      </w:r>
      <w:r>
        <w:rPr>
          <w:rFonts w:ascii="Arial" w:hAnsi="Arial"/>
          <w:b/>
        </w:rPr>
        <w:t>Artículo 821.</w:t>
      </w:r>
      <w:r>
        <w:rPr/>
        <w:t>- La prueba pericial sólo será admisible cuando para acreditar un hecho controvertido se requieran conocimientos en la ciencia, arte, profesión, técnica, oficio, o industria de que se trate, y en general cuando se trate de materias que por su naturaleza no sean conocidas por el Tribunal.</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4" w:firstLine="288"/>
        <w:jc w:val="both"/>
      </w:pPr>
      <w:bookmarkStart w:name="Artículo_822" w:id="1034"/>
      <w:bookmarkEnd w:id="1034"/>
      <w:r>
        <w:rPr/>
      </w:r>
      <w:r>
        <w:rPr>
          <w:rFonts w:ascii="Arial" w:hAnsi="Arial"/>
          <w:b/>
        </w:rPr>
        <w:t>Artículo 822.- </w:t>
      </w:r>
      <w:r>
        <w:rPr/>
        <w:t>Los peritos deben acreditar que tienen conocimientos en la materia sobre la que deba versar su dictamen; si la profesión o el arte estuvieren legalmente reglamentados, los peritos deben acreditar estar autorizados conforme a la Ley.</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338" w:right="338" w:firstLine="288"/>
        <w:jc w:val="both"/>
      </w:pPr>
      <w:bookmarkStart w:name="Artículo_823" w:id="1035"/>
      <w:bookmarkEnd w:id="1035"/>
      <w:r>
        <w:rPr/>
      </w:r>
      <w:r>
        <w:rPr>
          <w:rFonts w:ascii="Arial" w:hAnsi="Arial"/>
          <w:b/>
        </w:rPr>
        <w:t>Artículo 823.- </w:t>
      </w:r>
      <w:r>
        <w:rPr/>
        <w:t>La prueba pericial deberá ofrecerse indicando la materia sobre la que deba versar, exhibiendo el cuestionario respectivo, con copia para cada una de las partes. La omisión del cuestionario dará lugar a que el Tribunal no admita la prueba.</w:t>
      </w:r>
    </w:p>
    <w:p>
      <w:pPr>
        <w:spacing w:line="183" w:lineRule="exact" w:before="0"/>
        <w:ind w:left="56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1" w:firstLine="288"/>
        <w:jc w:val="both"/>
      </w:pPr>
      <w:bookmarkStart w:name="Artículo_824" w:id="1036"/>
      <w:bookmarkEnd w:id="1036"/>
      <w:r>
        <w:rPr/>
      </w:r>
      <w:r>
        <w:rPr>
          <w:rFonts w:ascii="Arial" w:hAnsi="Arial"/>
          <w:b/>
        </w:rPr>
        <w:t>Artículo</w:t>
      </w:r>
      <w:r>
        <w:rPr>
          <w:rFonts w:ascii="Arial" w:hAnsi="Arial"/>
          <w:b/>
          <w:spacing w:val="-3"/>
        </w:rPr>
        <w:t> </w:t>
      </w:r>
      <w:r>
        <w:rPr>
          <w:rFonts w:ascii="Arial" w:hAnsi="Arial"/>
          <w:b/>
        </w:rPr>
        <w:t>824.-</w:t>
      </w:r>
      <w:r>
        <w:rPr>
          <w:rFonts w:ascii="Arial" w:hAnsi="Arial"/>
          <w:b/>
          <w:spacing w:val="-1"/>
        </w:rPr>
        <w:t> </w:t>
      </w:r>
      <w:r>
        <w:rPr/>
        <w:t>Al</w:t>
      </w:r>
      <w:r>
        <w:rPr>
          <w:spacing w:val="-3"/>
        </w:rPr>
        <w:t> </w:t>
      </w:r>
      <w:r>
        <w:rPr/>
        <w:t>admitir</w:t>
      </w:r>
      <w:r>
        <w:rPr>
          <w:spacing w:val="-3"/>
        </w:rPr>
        <w:t> </w:t>
      </w:r>
      <w:r>
        <w:rPr/>
        <w:t>la</w:t>
      </w:r>
      <w:r>
        <w:rPr>
          <w:spacing w:val="-2"/>
        </w:rPr>
        <w:t> </w:t>
      </w:r>
      <w:r>
        <w:rPr/>
        <w:t>prueba</w:t>
      </w:r>
      <w:r>
        <w:rPr>
          <w:spacing w:val="-4"/>
        </w:rPr>
        <w:t> </w:t>
      </w:r>
      <w:r>
        <w:rPr/>
        <w:t>pericial,</w:t>
      </w:r>
      <w:r>
        <w:rPr>
          <w:spacing w:val="-4"/>
        </w:rPr>
        <w:t> </w:t>
      </w:r>
      <w:r>
        <w:rPr/>
        <w:t>el</w:t>
      </w:r>
      <w:r>
        <w:rPr>
          <w:spacing w:val="-5"/>
        </w:rPr>
        <w:t> </w:t>
      </w:r>
      <w:r>
        <w:rPr/>
        <w:t>Tribunal</w:t>
      </w:r>
      <w:r>
        <w:rPr>
          <w:spacing w:val="-3"/>
        </w:rPr>
        <w:t> </w:t>
      </w:r>
      <w:r>
        <w:rPr/>
        <w:t>designará</w:t>
      </w:r>
      <w:r>
        <w:rPr>
          <w:spacing w:val="-2"/>
        </w:rPr>
        <w:t> </w:t>
      </w:r>
      <w:r>
        <w:rPr/>
        <w:t>al</w:t>
      </w:r>
      <w:r>
        <w:rPr>
          <w:spacing w:val="-3"/>
        </w:rPr>
        <w:t> </w:t>
      </w:r>
      <w:r>
        <w:rPr/>
        <w:t>perito</w:t>
      </w:r>
      <w:r>
        <w:rPr>
          <w:spacing w:val="-4"/>
        </w:rPr>
        <w:t> </w:t>
      </w:r>
      <w:r>
        <w:rPr/>
        <w:t>o</w:t>
      </w:r>
      <w:r>
        <w:rPr>
          <w:spacing w:val="-3"/>
        </w:rPr>
        <w:t> </w:t>
      </w:r>
      <w:r>
        <w:rPr/>
        <w:t>peritos</w:t>
      </w:r>
      <w:r>
        <w:rPr>
          <w:spacing w:val="-3"/>
        </w:rPr>
        <w:t> </w:t>
      </w:r>
      <w:r>
        <w:rPr/>
        <w:t>oficiales</w:t>
      </w:r>
      <w:r>
        <w:rPr>
          <w:spacing w:val="-3"/>
        </w:rPr>
        <w:t> </w:t>
      </w:r>
      <w:r>
        <w:rPr/>
        <w:t>que</w:t>
      </w:r>
      <w:r>
        <w:rPr>
          <w:spacing w:val="-3"/>
        </w:rPr>
        <w:t> </w:t>
      </w:r>
      <w:r>
        <w:rPr/>
        <w:t>estime necesarios, sin perjuicio de que las partes puedan acompañarse de un asesor que los auxilie durante el desahogo de dicha prueba.</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46" w:firstLine="288"/>
        <w:jc w:val="both"/>
      </w:pPr>
      <w:r>
        <w:rPr/>
        <w:t>La parte trabajadora podrá solicitar a la Defensoría Pública o a la Procuraduría del Trabajo que le asigne un asesor para que le auxilie en el desahogo de la prueba pericial.</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338" w:right="339" w:firstLine="288"/>
        <w:jc w:val="both"/>
      </w:pPr>
      <w:bookmarkStart w:name="Artículo_824_Bis" w:id="1037"/>
      <w:bookmarkEnd w:id="1037"/>
      <w:r>
        <w:rPr/>
      </w:r>
      <w:r>
        <w:rPr>
          <w:rFonts w:ascii="Arial" w:hAnsi="Arial"/>
          <w:b/>
        </w:rPr>
        <w:t>Artículo 824 Bis.- </w:t>
      </w:r>
      <w:r>
        <w:rPr/>
        <w:t>Si el perito se encuentra fuera de la jurisdicción del Tribunal, la prueba a su cargo podrá desahogarse</w:t>
      </w:r>
      <w:r>
        <w:rPr>
          <w:spacing w:val="-2"/>
        </w:rPr>
        <w:t> </w:t>
      </w:r>
      <w:r>
        <w:rPr/>
        <w:t>mediante</w:t>
      </w:r>
      <w:r>
        <w:rPr>
          <w:spacing w:val="-2"/>
        </w:rPr>
        <w:t> </w:t>
      </w:r>
      <w:r>
        <w:rPr/>
        <w:t>los</w:t>
      </w:r>
      <w:r>
        <w:rPr>
          <w:spacing w:val="-1"/>
        </w:rPr>
        <w:t> </w:t>
      </w:r>
      <w:r>
        <w:rPr/>
        <w:t>medios</w:t>
      </w:r>
      <w:r>
        <w:rPr>
          <w:spacing w:val="-1"/>
        </w:rPr>
        <w:t> </w:t>
      </w:r>
      <w:r>
        <w:rPr/>
        <w:t>electrónicos o</w:t>
      </w:r>
      <w:r>
        <w:rPr>
          <w:spacing w:val="-2"/>
        </w:rPr>
        <w:t> </w:t>
      </w:r>
      <w:r>
        <w:rPr/>
        <w:t>tecnológicos</w:t>
      </w:r>
      <w:r>
        <w:rPr>
          <w:spacing w:val="-1"/>
        </w:rPr>
        <w:t> </w:t>
      </w:r>
      <w:r>
        <w:rPr/>
        <w:t>de</w:t>
      </w:r>
      <w:r>
        <w:rPr>
          <w:spacing w:val="-2"/>
        </w:rPr>
        <w:t> </w:t>
      </w:r>
      <w:r>
        <w:rPr/>
        <w:t>que</w:t>
      </w:r>
      <w:r>
        <w:rPr>
          <w:spacing w:val="-2"/>
        </w:rPr>
        <w:t> </w:t>
      </w:r>
      <w:r>
        <w:rPr/>
        <w:t>se</w:t>
      </w:r>
      <w:r>
        <w:rPr>
          <w:spacing w:val="-2"/>
        </w:rPr>
        <w:t> </w:t>
      </w:r>
      <w:r>
        <w:rPr/>
        <w:t>disponga;</w:t>
      </w:r>
      <w:r>
        <w:rPr>
          <w:spacing w:val="-2"/>
        </w:rPr>
        <w:t> </w:t>
      </w:r>
      <w:r>
        <w:rPr/>
        <w:t>en estos</w:t>
      </w:r>
      <w:r>
        <w:rPr>
          <w:spacing w:val="-1"/>
        </w:rPr>
        <w:t> </w:t>
      </w:r>
      <w:r>
        <w:rPr/>
        <w:t>casos, el Tribunal se asegurará que el Perito se identifique plenamente y que acepte y proteste su cargo ante el tribunal exhortado, cuando no lo haya hecho previamente ante el propio Tribunal del juicio.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626"/>
      </w:pPr>
      <w:bookmarkStart w:name="Artículo_825" w:id="1038"/>
      <w:bookmarkEnd w:id="1038"/>
      <w:r>
        <w:rPr/>
      </w:r>
      <w:r>
        <w:rPr>
          <w:rFonts w:ascii="Arial" w:hAnsi="Arial"/>
          <w:b/>
        </w:rPr>
        <w:t>Artículo</w:t>
      </w:r>
      <w:r>
        <w:rPr>
          <w:rFonts w:ascii="Arial" w:hAnsi="Arial"/>
          <w:b/>
          <w:spacing w:val="-7"/>
        </w:rPr>
        <w:t> </w:t>
      </w:r>
      <w:r>
        <w:rPr>
          <w:rFonts w:ascii="Arial" w:hAnsi="Arial"/>
          <w:b/>
        </w:rPr>
        <w:t>825.-</w:t>
      </w:r>
      <w:r>
        <w:rPr>
          <w:rFonts w:ascii="Arial" w:hAnsi="Arial"/>
          <w:b/>
          <w:spacing w:val="-5"/>
        </w:rPr>
        <w:t> </w:t>
      </w:r>
      <w:r>
        <w:rPr/>
        <w:t>En</w:t>
      </w:r>
      <w:r>
        <w:rPr>
          <w:spacing w:val="-6"/>
        </w:rPr>
        <w:t> </w:t>
      </w:r>
      <w:r>
        <w:rPr/>
        <w:t>el</w:t>
      </w:r>
      <w:r>
        <w:rPr>
          <w:spacing w:val="-7"/>
        </w:rPr>
        <w:t> </w:t>
      </w:r>
      <w:r>
        <w:rPr/>
        <w:t>desahogo</w:t>
      </w:r>
      <w:r>
        <w:rPr>
          <w:spacing w:val="-5"/>
        </w:rPr>
        <w:t> </w:t>
      </w:r>
      <w:r>
        <w:rPr/>
        <w:t>de</w:t>
      </w:r>
      <w:r>
        <w:rPr>
          <w:spacing w:val="-7"/>
        </w:rPr>
        <w:t> </w:t>
      </w:r>
      <w:r>
        <w:rPr/>
        <w:t>la</w:t>
      </w:r>
      <w:r>
        <w:rPr>
          <w:spacing w:val="-8"/>
        </w:rPr>
        <w:t> </w:t>
      </w:r>
      <w:r>
        <w:rPr/>
        <w:t>prueba</w:t>
      </w:r>
      <w:r>
        <w:rPr>
          <w:spacing w:val="-7"/>
        </w:rPr>
        <w:t> </w:t>
      </w:r>
      <w:r>
        <w:rPr/>
        <w:t>pericial</w:t>
      </w:r>
      <w:r>
        <w:rPr>
          <w:spacing w:val="-9"/>
        </w:rPr>
        <w:t> </w:t>
      </w:r>
      <w:r>
        <w:rPr/>
        <w:t>se</w:t>
      </w:r>
      <w:r>
        <w:rPr>
          <w:spacing w:val="-7"/>
        </w:rPr>
        <w:t> </w:t>
      </w:r>
      <w:r>
        <w:rPr/>
        <w:t>observarán</w:t>
      </w:r>
      <w:r>
        <w:rPr>
          <w:spacing w:val="-6"/>
        </w:rPr>
        <w:t> </w:t>
      </w:r>
      <w:r>
        <w:rPr/>
        <w:t>las</w:t>
      </w:r>
      <w:r>
        <w:rPr>
          <w:spacing w:val="-5"/>
        </w:rPr>
        <w:t> </w:t>
      </w:r>
      <w:r>
        <w:rPr/>
        <w:t>disposiciones</w:t>
      </w:r>
      <w:r>
        <w:rPr>
          <w:spacing w:val="-6"/>
        </w:rPr>
        <w:t> </w:t>
      </w:r>
      <w:r>
        <w:rPr>
          <w:spacing w:val="-2"/>
        </w:rPr>
        <w:t>siguientes:</w:t>
      </w:r>
    </w:p>
    <w:p>
      <w:pPr>
        <w:pStyle w:val="BodyText"/>
      </w:pPr>
    </w:p>
    <w:p>
      <w:pPr>
        <w:pStyle w:val="ListParagraph"/>
        <w:numPr>
          <w:ilvl w:val="0"/>
          <w:numId w:val="311"/>
        </w:numPr>
        <w:tabs>
          <w:tab w:pos="1195" w:val="left" w:leader="none"/>
        </w:tabs>
        <w:spacing w:line="240" w:lineRule="auto" w:before="1" w:after="0"/>
        <w:ind w:left="1195" w:right="0" w:hanging="569"/>
        <w:jc w:val="left"/>
        <w:rPr>
          <w:sz w:val="20"/>
        </w:rPr>
      </w:pP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ListParagraph"/>
        <w:numPr>
          <w:ilvl w:val="0"/>
          <w:numId w:val="311"/>
        </w:numPr>
        <w:tabs>
          <w:tab w:pos="1192" w:val="left" w:leader="none"/>
          <w:tab w:pos="1195" w:val="left" w:leader="none"/>
        </w:tabs>
        <w:spacing w:line="240" w:lineRule="auto" w:before="229" w:after="0"/>
        <w:ind w:left="1195" w:right="335" w:hanging="569"/>
        <w:jc w:val="both"/>
        <w:rPr>
          <w:sz w:val="20"/>
        </w:rPr>
      </w:pPr>
      <w:r>
        <w:rPr>
          <w:sz w:val="20"/>
        </w:rPr>
        <w:t>El o los peritos, una vez que acepten y protesten su cargo con arreglo a la Ley y hacerse sabedores de las penas en que incurren los falsos declarantes, proporcionarán su nombre, edad,</w:t>
      </w:r>
      <w:r>
        <w:rPr>
          <w:spacing w:val="-2"/>
          <w:sz w:val="20"/>
        </w:rPr>
        <w:t> </w:t>
      </w:r>
      <w:r>
        <w:rPr>
          <w:sz w:val="20"/>
        </w:rPr>
        <w:t>ocupación y</w:t>
      </w:r>
      <w:r>
        <w:rPr>
          <w:spacing w:val="-3"/>
          <w:sz w:val="20"/>
        </w:rPr>
        <w:t> </w:t>
      </w:r>
      <w:r>
        <w:rPr>
          <w:sz w:val="20"/>
        </w:rPr>
        <w:t>lugar en que atienden</w:t>
      </w:r>
      <w:r>
        <w:rPr>
          <w:spacing w:val="-2"/>
          <w:sz w:val="20"/>
        </w:rPr>
        <w:t> </w:t>
      </w:r>
      <w:r>
        <w:rPr>
          <w:sz w:val="20"/>
        </w:rPr>
        <w:t>su práctica o prestan sus</w:t>
      </w:r>
      <w:r>
        <w:rPr>
          <w:spacing w:val="-1"/>
          <w:sz w:val="20"/>
        </w:rPr>
        <w:t> </w:t>
      </w:r>
      <w:r>
        <w:rPr>
          <w:sz w:val="20"/>
        </w:rPr>
        <w:t>servicios. Deberán asimismo acreditar que cuentan con los conocimientos en la materia sobre la que rendirán su dictamen con el o los documentos respectivos. Acto seguido deberán rendir su dictamen;</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ListParagraph"/>
        <w:numPr>
          <w:ilvl w:val="0"/>
          <w:numId w:val="311"/>
        </w:numPr>
        <w:tabs>
          <w:tab w:pos="1195" w:val="left" w:leader="none"/>
        </w:tabs>
        <w:spacing w:line="240" w:lineRule="auto" w:before="0" w:after="0"/>
        <w:ind w:left="1195" w:right="0" w:hanging="569"/>
        <w:jc w:val="left"/>
        <w:rPr>
          <w:sz w:val="20"/>
        </w:rPr>
      </w:pPr>
      <w:r>
        <w:rPr>
          <w:sz w:val="20"/>
        </w:rPr>
        <w:t>El</w:t>
      </w:r>
      <w:r>
        <w:rPr>
          <w:spacing w:val="-5"/>
          <w:sz w:val="20"/>
        </w:rPr>
        <w:t> </w:t>
      </w:r>
      <w:r>
        <w:rPr>
          <w:sz w:val="20"/>
        </w:rPr>
        <w:t>dictamen</w:t>
      </w:r>
      <w:r>
        <w:rPr>
          <w:spacing w:val="-6"/>
          <w:sz w:val="20"/>
        </w:rPr>
        <w:t> </w:t>
      </w:r>
      <w:r>
        <w:rPr>
          <w:sz w:val="20"/>
        </w:rPr>
        <w:t>versará</w:t>
      </w:r>
      <w:r>
        <w:rPr>
          <w:spacing w:val="-6"/>
          <w:sz w:val="20"/>
        </w:rPr>
        <w:t> </w:t>
      </w:r>
      <w:r>
        <w:rPr>
          <w:sz w:val="20"/>
        </w:rPr>
        <w:t>sobre</w:t>
      </w:r>
      <w:r>
        <w:rPr>
          <w:spacing w:val="-3"/>
          <w:sz w:val="20"/>
        </w:rPr>
        <w:t> </w:t>
      </w:r>
      <w:r>
        <w:rPr>
          <w:sz w:val="20"/>
        </w:rPr>
        <w:t>los</w:t>
      </w:r>
      <w:r>
        <w:rPr>
          <w:spacing w:val="-5"/>
          <w:sz w:val="20"/>
        </w:rPr>
        <w:t> </w:t>
      </w:r>
      <w:r>
        <w:rPr>
          <w:sz w:val="20"/>
        </w:rPr>
        <w:t>puntos</w:t>
      </w:r>
      <w:r>
        <w:rPr>
          <w:spacing w:val="-4"/>
          <w:sz w:val="20"/>
        </w:rPr>
        <w:t> </w:t>
      </w:r>
      <w:r>
        <w:rPr>
          <w:sz w:val="20"/>
        </w:rPr>
        <w:t>a</w:t>
      </w:r>
      <w:r>
        <w:rPr>
          <w:spacing w:val="-7"/>
          <w:sz w:val="20"/>
        </w:rPr>
        <w:t> </w:t>
      </w:r>
      <w:r>
        <w:rPr>
          <w:sz w:val="20"/>
        </w:rPr>
        <w:t>que</w:t>
      </w:r>
      <w:r>
        <w:rPr>
          <w:spacing w:val="-6"/>
          <w:sz w:val="20"/>
        </w:rPr>
        <w:t> </w:t>
      </w:r>
      <w:r>
        <w:rPr>
          <w:sz w:val="20"/>
        </w:rPr>
        <w:t>se</w:t>
      </w:r>
      <w:r>
        <w:rPr>
          <w:spacing w:val="-5"/>
          <w:sz w:val="20"/>
        </w:rPr>
        <w:t> </w:t>
      </w:r>
      <w:r>
        <w:rPr>
          <w:sz w:val="20"/>
        </w:rPr>
        <w:t>refiere</w:t>
      </w:r>
      <w:r>
        <w:rPr>
          <w:spacing w:val="-4"/>
          <w:sz w:val="20"/>
        </w:rPr>
        <w:t> </w:t>
      </w:r>
      <w:r>
        <w:rPr>
          <w:sz w:val="20"/>
        </w:rPr>
        <w:t>el</w:t>
      </w:r>
      <w:r>
        <w:rPr>
          <w:spacing w:val="-6"/>
          <w:sz w:val="20"/>
        </w:rPr>
        <w:t> </w:t>
      </w:r>
      <w:r>
        <w:rPr>
          <w:sz w:val="20"/>
        </w:rPr>
        <w:t>artículo</w:t>
      </w:r>
      <w:r>
        <w:rPr>
          <w:spacing w:val="-4"/>
          <w:sz w:val="20"/>
        </w:rPr>
        <w:t> </w:t>
      </w:r>
      <w:r>
        <w:rPr>
          <w:sz w:val="20"/>
        </w:rPr>
        <w:t>823</w:t>
      </w:r>
      <w:r>
        <w:rPr>
          <w:spacing w:val="-5"/>
          <w:sz w:val="20"/>
        </w:rPr>
        <w:t> </w:t>
      </w:r>
      <w:r>
        <w:rPr>
          <w:sz w:val="20"/>
        </w:rPr>
        <w:t>de</w:t>
      </w:r>
      <w:r>
        <w:rPr>
          <w:spacing w:val="-4"/>
          <w:sz w:val="20"/>
        </w:rPr>
        <w:t> </w:t>
      </w:r>
      <w:r>
        <w:rPr>
          <w:sz w:val="20"/>
        </w:rPr>
        <w:t>esta</w:t>
      </w:r>
      <w:r>
        <w:rPr>
          <w:spacing w:val="-3"/>
          <w:sz w:val="20"/>
        </w:rPr>
        <w:t> </w:t>
      </w:r>
      <w:r>
        <w:rPr>
          <w:sz w:val="20"/>
        </w:rPr>
        <w:t>Ley,</w:t>
      </w:r>
      <w:r>
        <w:rPr>
          <w:spacing w:val="-2"/>
          <w:sz w:val="20"/>
        </w:rPr>
        <w:t> </w:t>
      </w:r>
      <w:r>
        <w:rPr>
          <w:spacing w:val="-10"/>
          <w:sz w:val="20"/>
        </w:rPr>
        <w:t>y</w:t>
      </w:r>
    </w:p>
    <w:p>
      <w:pPr>
        <w:spacing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11"/>
        </w:numPr>
        <w:tabs>
          <w:tab w:pos="1195" w:val="left" w:leader="none"/>
        </w:tabs>
        <w:spacing w:line="242" w:lineRule="auto" w:before="0" w:after="0"/>
        <w:ind w:left="1195" w:right="340" w:hanging="569"/>
        <w:jc w:val="both"/>
        <w:rPr>
          <w:sz w:val="20"/>
        </w:rPr>
      </w:pPr>
      <w:r>
        <w:rPr>
          <w:sz w:val="20"/>
        </w:rPr>
        <w:t>Las partes y el juez podrán hacer a los peritos las preguntas que juzguen convenientes; así como formular las observaciones sobre las deficiencias o inconsistencias que a su juicio contenga el dictamen, o bien los aspectos que sustenten su idoneidad. Para este efecto será aplicable en lo conducente lo establecido en el artículo 815 de esta Ley.</w:t>
      </w:r>
    </w:p>
    <w:p>
      <w:pPr>
        <w:spacing w:line="17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sz w:val="12"/>
        </w:rPr>
      </w:pPr>
    </w:p>
    <w:p>
      <w:pPr>
        <w:pStyle w:val="BodyText"/>
        <w:spacing w:after="0"/>
        <w:rPr>
          <w:rFonts w:ascii="Times New Roman"/>
          <w:i/>
          <w:sz w:val="12"/>
        </w:rPr>
        <w:sectPr>
          <w:pgSz w:w="12240" w:h="15840"/>
          <w:pgMar w:header="724" w:footer="712" w:top="1880" w:bottom="900" w:left="1080" w:right="1080"/>
        </w:sectPr>
      </w:pPr>
    </w:p>
    <w:p>
      <w:pPr>
        <w:pStyle w:val="ListParagraph"/>
        <w:numPr>
          <w:ilvl w:val="0"/>
          <w:numId w:val="311"/>
        </w:numPr>
        <w:tabs>
          <w:tab w:pos="1195" w:val="left" w:leader="none"/>
        </w:tabs>
        <w:spacing w:line="240" w:lineRule="auto" w:before="92" w:after="0"/>
        <w:ind w:left="119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62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i/>
          <w:sz w:val="16"/>
        </w:rPr>
        <w:sectPr>
          <w:type w:val="continuous"/>
          <w:pgSz w:w="12240" w:h="15840"/>
          <w:pgMar w:header="724" w:footer="712" w:top="1880" w:bottom="900" w:left="1080" w:right="1080"/>
          <w:cols w:num="2" w:equalWidth="0">
            <w:col w:w="2213" w:space="4508"/>
            <w:col w:w="3359"/>
          </w:cols>
        </w:sectPr>
      </w:pPr>
    </w:p>
    <w:p>
      <w:pPr>
        <w:pStyle w:val="BodyText"/>
        <w:spacing w:line="242" w:lineRule="auto" w:before="230"/>
        <w:ind w:left="338" w:right="343" w:firstLine="288"/>
        <w:jc w:val="both"/>
      </w:pPr>
      <w:bookmarkStart w:name="Artículo_826" w:id="1039"/>
      <w:bookmarkEnd w:id="1039"/>
      <w:r>
        <w:rPr/>
      </w:r>
      <w:r>
        <w:rPr>
          <w:rFonts w:ascii="Arial" w:hAnsi="Arial"/>
          <w:b/>
        </w:rPr>
        <w:t>Artículo 826.- </w:t>
      </w:r>
      <w:r>
        <w:rPr/>
        <w:t>El perito que designe el Tribunal debe excusarse dentro de las cuarenta y ocho horas siguientes en que se notifique su nombramiento, siempre que concurra alguna de las causas a que se refiere el Capítulo Cuarto de este Título.</w:t>
      </w:r>
    </w:p>
    <w:p>
      <w:pPr>
        <w:pStyle w:val="BodyText"/>
        <w:spacing w:line="229" w:lineRule="exact" w:before="224"/>
        <w:ind w:left="626"/>
      </w:pPr>
      <w:r>
        <w:rPr/>
        <w:t>El</w:t>
      </w:r>
      <w:r>
        <w:rPr>
          <w:spacing w:val="-9"/>
        </w:rPr>
        <w:t> </w:t>
      </w:r>
      <w:r>
        <w:rPr/>
        <w:t>Tribunal</w:t>
      </w:r>
      <w:r>
        <w:rPr>
          <w:spacing w:val="-5"/>
        </w:rPr>
        <w:t> </w:t>
      </w:r>
      <w:r>
        <w:rPr/>
        <w:t>calificará</w:t>
      </w:r>
      <w:r>
        <w:rPr>
          <w:spacing w:val="-7"/>
        </w:rPr>
        <w:t> </w:t>
      </w:r>
      <w:r>
        <w:rPr/>
        <w:t>de</w:t>
      </w:r>
      <w:r>
        <w:rPr>
          <w:spacing w:val="-7"/>
        </w:rPr>
        <w:t> </w:t>
      </w:r>
      <w:r>
        <w:rPr/>
        <w:t>plano</w:t>
      </w:r>
      <w:r>
        <w:rPr>
          <w:spacing w:val="-8"/>
        </w:rPr>
        <w:t> </w:t>
      </w:r>
      <w:r>
        <w:rPr/>
        <w:t>la</w:t>
      </w:r>
      <w:r>
        <w:rPr>
          <w:spacing w:val="-7"/>
        </w:rPr>
        <w:t> </w:t>
      </w:r>
      <w:r>
        <w:rPr/>
        <w:t>excusa</w:t>
      </w:r>
      <w:r>
        <w:rPr>
          <w:spacing w:val="-4"/>
        </w:rPr>
        <w:t> </w:t>
      </w:r>
      <w:r>
        <w:rPr/>
        <w:t>y,</w:t>
      </w:r>
      <w:r>
        <w:rPr>
          <w:spacing w:val="-7"/>
        </w:rPr>
        <w:t> </w:t>
      </w:r>
      <w:r>
        <w:rPr/>
        <w:t>declarada</w:t>
      </w:r>
      <w:r>
        <w:rPr>
          <w:spacing w:val="-6"/>
        </w:rPr>
        <w:t> </w:t>
      </w:r>
      <w:r>
        <w:rPr/>
        <w:t>procedente,</w:t>
      </w:r>
      <w:r>
        <w:rPr>
          <w:spacing w:val="-7"/>
        </w:rPr>
        <w:t> </w:t>
      </w:r>
      <w:r>
        <w:rPr/>
        <w:t>se</w:t>
      </w:r>
      <w:r>
        <w:rPr>
          <w:spacing w:val="-6"/>
        </w:rPr>
        <w:t> </w:t>
      </w:r>
      <w:r>
        <w:rPr/>
        <w:t>nombrará</w:t>
      </w:r>
      <w:r>
        <w:rPr>
          <w:spacing w:val="-7"/>
        </w:rPr>
        <w:t> </w:t>
      </w:r>
      <w:r>
        <w:rPr/>
        <w:t>nuevo</w:t>
      </w:r>
      <w:r>
        <w:rPr>
          <w:spacing w:val="-5"/>
        </w:rPr>
        <w:t> </w:t>
      </w:r>
      <w:r>
        <w:rPr>
          <w:spacing w:val="-2"/>
        </w:rPr>
        <w:t>perito.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338" w:right="345" w:firstLine="288"/>
        <w:jc w:val="both"/>
      </w:pPr>
      <w:bookmarkStart w:name="Artículo_826_Bis" w:id="1040"/>
      <w:bookmarkEnd w:id="1040"/>
      <w:r>
        <w:rPr/>
      </w:r>
      <w:r>
        <w:rPr>
          <w:rFonts w:ascii="Arial" w:hAnsi="Arial"/>
          <w:b/>
        </w:rPr>
        <w:t>Artículo 826 Bis.- </w:t>
      </w:r>
      <w:r>
        <w:rPr/>
        <w:t>Cuando el dictamen rendido por un perito sea notoriamente falso, tendencioso o inexacto, el Tribunal dará vista al Ministerio Público para que determine si existe la comisión de un delito.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Heading2"/>
        <w:ind w:left="4172" w:right="4167" w:firstLine="2"/>
      </w:pPr>
      <w:r>
        <w:rPr/>
        <w:t>Sección Sexta De</w:t>
      </w:r>
      <w:r>
        <w:rPr>
          <w:spacing w:val="-16"/>
        </w:rPr>
        <w:t> </w:t>
      </w:r>
      <w:r>
        <w:rPr/>
        <w:t>la</w:t>
      </w:r>
      <w:r>
        <w:rPr>
          <w:spacing w:val="-15"/>
        </w:rPr>
        <w:t> </w:t>
      </w:r>
      <w:r>
        <w:rPr/>
        <w:t>Inspección</w:t>
      </w:r>
    </w:p>
    <w:p>
      <w:pPr>
        <w:spacing w:before="0"/>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ind w:left="338" w:right="338" w:firstLine="288"/>
        <w:jc w:val="both"/>
      </w:pPr>
      <w:bookmarkStart w:name="Artículo_827" w:id="1041"/>
      <w:bookmarkEnd w:id="1041"/>
      <w:r>
        <w:rPr/>
      </w:r>
      <w:r>
        <w:rPr>
          <w:rFonts w:ascii="Arial" w:hAnsi="Arial"/>
          <w:b/>
        </w:rPr>
        <w:t>Artículo 827.- </w:t>
      </w:r>
      <w:r>
        <w:rPr/>
        <w:t>La parte que ofrezca la inspección deberá precisar el objeto materia de la misma, los periodos que abarcará y los objetos y documentos que deben ser examinados. Al ofrecerse la prueba, deberá hacerse en sentido afirmativo, fijando los hechos o cuestiones que se pretenden acreditar con la </w:t>
      </w:r>
      <w:r>
        <w:rPr>
          <w:spacing w:val="-2"/>
        </w:rPr>
        <w:t>misma.</w:t>
      </w:r>
    </w:p>
    <w:p>
      <w:pPr>
        <w:pStyle w:val="BodyText"/>
        <w:spacing w:after="0" w:line="242" w:lineRule="auto"/>
        <w:jc w:val="both"/>
        <w:sectPr>
          <w:type w:val="continuous"/>
          <w:pgSz w:w="12240" w:h="15840"/>
          <w:pgMar w:header="724" w:footer="712" w:top="1880" w:bottom="900" w:left="1080" w:right="1080"/>
        </w:sectPr>
      </w:pPr>
    </w:p>
    <w:p>
      <w:pPr>
        <w:pStyle w:val="BodyText"/>
        <w:spacing w:before="65"/>
      </w:pPr>
    </w:p>
    <w:p>
      <w:pPr>
        <w:pStyle w:val="BodyText"/>
        <w:ind w:left="338" w:right="341" w:firstLine="288"/>
        <w:jc w:val="both"/>
      </w:pPr>
      <w:r>
        <w:rPr/>
        <w:t>La prueba de inspección se desahogará en el domicilio del Tribunal, a menos que exista impedimento legal o material para ello. En este caso, la parte que tenga bajo su custodia los elementos a inspeccionar deberá indicar el lugar donde deba practicarse la inspección y los motivos que le impiden exhibirlos en el Tribunal; si a juicio de éste se justifica el impedimento planteado, comisionará al actuario o secretario</w:t>
      </w:r>
      <w:r>
        <w:rPr>
          <w:spacing w:val="40"/>
        </w:rPr>
        <w:t> </w:t>
      </w:r>
      <w:r>
        <w:rPr/>
        <w:t>para que acudan al lugar señalado y se proceda a dar fe de los extremos de la prueba.</w:t>
      </w:r>
    </w:p>
    <w:p>
      <w:pPr>
        <w:spacing w:line="181"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338" w:right="335" w:firstLine="288"/>
        <w:jc w:val="both"/>
      </w:pPr>
      <w:bookmarkStart w:name="Artículo_828" w:id="1042"/>
      <w:bookmarkEnd w:id="1042"/>
      <w:r>
        <w:rPr/>
      </w:r>
      <w:r>
        <w:rPr>
          <w:rFonts w:ascii="Arial" w:hAnsi="Arial"/>
          <w:b/>
        </w:rPr>
        <w:t>Artículo 828.- </w:t>
      </w:r>
      <w:r>
        <w:rPr/>
        <w:t>Admitida la prueba de inspección por el Tribunal, señalará día, hora y lugar para su desahogo; si los documentos y objetos obran en poder de alguna de las partes, el Tribunal</w:t>
      </w:r>
      <w:r>
        <w:rPr>
          <w:spacing w:val="22"/>
        </w:rPr>
        <w:t> </w:t>
      </w:r>
      <w:r>
        <w:rPr/>
        <w:t>la apercibirá de que, en caso de no exhibirlos, se tendrán por ciertos presuntivamente los hechos que tratan de probarse, siempre que se trate de los documentos a que se refiere el artículo 804 de esta Ley. Si los documentos y objetos se encuentran en poder de personas ajenas a la controversia, se aplicarán los medios de apremio que procedan.</w:t>
      </w:r>
    </w:p>
    <w:p>
      <w:pPr>
        <w:spacing w:before="0"/>
        <w:ind w:left="56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626"/>
      </w:pPr>
      <w:bookmarkStart w:name="Artículo_829" w:id="1043"/>
      <w:bookmarkEnd w:id="1043"/>
      <w:r>
        <w:rPr/>
      </w:r>
      <w:r>
        <w:rPr>
          <w:rFonts w:ascii="Arial" w:hAnsi="Arial"/>
          <w:b/>
        </w:rPr>
        <w:t>Artículo</w:t>
      </w:r>
      <w:r>
        <w:rPr>
          <w:rFonts w:ascii="Arial" w:hAnsi="Arial"/>
          <w:b/>
          <w:spacing w:val="-7"/>
        </w:rPr>
        <w:t> </w:t>
      </w:r>
      <w:r>
        <w:rPr>
          <w:rFonts w:ascii="Arial" w:hAnsi="Arial"/>
          <w:b/>
        </w:rPr>
        <w:t>829.-</w:t>
      </w:r>
      <w:r>
        <w:rPr>
          <w:rFonts w:ascii="Arial" w:hAnsi="Arial"/>
          <w:b/>
          <w:spacing w:val="-4"/>
        </w:rPr>
        <w:t> </w:t>
      </w:r>
      <w:r>
        <w:rPr/>
        <w:t>En</w:t>
      </w:r>
      <w:r>
        <w:rPr>
          <w:spacing w:val="-5"/>
        </w:rPr>
        <w:t> </w:t>
      </w:r>
      <w:r>
        <w:rPr/>
        <w:t>el</w:t>
      </w:r>
      <w:r>
        <w:rPr>
          <w:spacing w:val="-6"/>
        </w:rPr>
        <w:t> </w:t>
      </w:r>
      <w:r>
        <w:rPr/>
        <w:t>desahogo</w:t>
      </w:r>
      <w:r>
        <w:rPr>
          <w:spacing w:val="-5"/>
        </w:rPr>
        <w:t> </w:t>
      </w:r>
      <w:r>
        <w:rPr/>
        <w:t>de</w:t>
      </w:r>
      <w:r>
        <w:rPr>
          <w:spacing w:val="-6"/>
        </w:rPr>
        <w:t> </w:t>
      </w:r>
      <w:r>
        <w:rPr/>
        <w:t>la</w:t>
      </w:r>
      <w:r>
        <w:rPr>
          <w:spacing w:val="-7"/>
        </w:rPr>
        <w:t> </w:t>
      </w:r>
      <w:r>
        <w:rPr/>
        <w:t>prueba</w:t>
      </w:r>
      <w:r>
        <w:rPr>
          <w:spacing w:val="-7"/>
        </w:rPr>
        <w:t> </w:t>
      </w:r>
      <w:r>
        <w:rPr/>
        <w:t>de</w:t>
      </w:r>
      <w:r>
        <w:rPr>
          <w:spacing w:val="-5"/>
        </w:rPr>
        <w:t> </w:t>
      </w:r>
      <w:r>
        <w:rPr/>
        <w:t>inspección</w:t>
      </w:r>
      <w:r>
        <w:rPr>
          <w:spacing w:val="-8"/>
        </w:rPr>
        <w:t> </w:t>
      </w:r>
      <w:r>
        <w:rPr/>
        <w:t>se</w:t>
      </w:r>
      <w:r>
        <w:rPr>
          <w:spacing w:val="-5"/>
        </w:rPr>
        <w:t> </w:t>
      </w:r>
      <w:r>
        <w:rPr/>
        <w:t>observarán</w:t>
      </w:r>
      <w:r>
        <w:rPr>
          <w:spacing w:val="-5"/>
        </w:rPr>
        <w:t> </w:t>
      </w:r>
      <w:r>
        <w:rPr/>
        <w:t>las</w:t>
      </w:r>
      <w:r>
        <w:rPr>
          <w:spacing w:val="-6"/>
        </w:rPr>
        <w:t> </w:t>
      </w:r>
      <w:r>
        <w:rPr/>
        <w:t>reglas</w:t>
      </w:r>
      <w:r>
        <w:rPr>
          <w:spacing w:val="-6"/>
        </w:rPr>
        <w:t> </w:t>
      </w:r>
      <w:r>
        <w:rPr>
          <w:spacing w:val="-2"/>
        </w:rPr>
        <w:t>siguientes:</w:t>
      </w:r>
    </w:p>
    <w:p>
      <w:pPr>
        <w:pStyle w:val="BodyText"/>
        <w:spacing w:before="1"/>
      </w:pPr>
    </w:p>
    <w:p>
      <w:pPr>
        <w:pStyle w:val="ListParagraph"/>
        <w:numPr>
          <w:ilvl w:val="0"/>
          <w:numId w:val="312"/>
        </w:numPr>
        <w:tabs>
          <w:tab w:pos="1195" w:val="left" w:leader="none"/>
        </w:tabs>
        <w:spacing w:line="242" w:lineRule="auto" w:before="0" w:after="0"/>
        <w:ind w:left="1195" w:right="343" w:hanging="569"/>
        <w:jc w:val="left"/>
        <w:rPr>
          <w:sz w:val="20"/>
        </w:rPr>
      </w:pPr>
      <w:r>
        <w:rPr>
          <w:sz w:val="20"/>
        </w:rPr>
        <w:t>Sólo</w:t>
      </w:r>
      <w:r>
        <w:rPr>
          <w:spacing w:val="32"/>
          <w:sz w:val="20"/>
        </w:rPr>
        <w:t> </w:t>
      </w:r>
      <w:r>
        <w:rPr>
          <w:sz w:val="20"/>
        </w:rPr>
        <w:t>para</w:t>
      </w:r>
      <w:r>
        <w:rPr>
          <w:spacing w:val="32"/>
          <w:sz w:val="20"/>
        </w:rPr>
        <w:t> </w:t>
      </w:r>
      <w:r>
        <w:rPr>
          <w:sz w:val="20"/>
        </w:rPr>
        <w:t>el</w:t>
      </w:r>
      <w:r>
        <w:rPr>
          <w:spacing w:val="29"/>
          <w:sz w:val="20"/>
        </w:rPr>
        <w:t> </w:t>
      </w:r>
      <w:r>
        <w:rPr>
          <w:sz w:val="20"/>
        </w:rPr>
        <w:t>caso</w:t>
      </w:r>
      <w:r>
        <w:rPr>
          <w:spacing w:val="32"/>
          <w:sz w:val="20"/>
        </w:rPr>
        <w:t> </w:t>
      </w:r>
      <w:r>
        <w:rPr>
          <w:sz w:val="20"/>
        </w:rPr>
        <w:t>en</w:t>
      </w:r>
      <w:r>
        <w:rPr>
          <w:spacing w:val="32"/>
          <w:sz w:val="20"/>
        </w:rPr>
        <w:t> </w:t>
      </w:r>
      <w:r>
        <w:rPr>
          <w:sz w:val="20"/>
        </w:rPr>
        <w:t>que</w:t>
      </w:r>
      <w:r>
        <w:rPr>
          <w:spacing w:val="32"/>
          <w:sz w:val="20"/>
        </w:rPr>
        <w:t> </w:t>
      </w:r>
      <w:r>
        <w:rPr>
          <w:sz w:val="20"/>
        </w:rPr>
        <w:t>deba</w:t>
      </w:r>
      <w:r>
        <w:rPr>
          <w:spacing w:val="32"/>
          <w:sz w:val="20"/>
        </w:rPr>
        <w:t> </w:t>
      </w:r>
      <w:r>
        <w:rPr>
          <w:sz w:val="20"/>
        </w:rPr>
        <w:t>desahogarse</w:t>
      </w:r>
      <w:r>
        <w:rPr>
          <w:spacing w:val="32"/>
          <w:sz w:val="20"/>
        </w:rPr>
        <w:t> </w:t>
      </w:r>
      <w:r>
        <w:rPr>
          <w:sz w:val="20"/>
        </w:rPr>
        <w:t>la</w:t>
      </w:r>
      <w:r>
        <w:rPr>
          <w:spacing w:val="32"/>
          <w:sz w:val="20"/>
        </w:rPr>
        <w:t> </w:t>
      </w:r>
      <w:r>
        <w:rPr>
          <w:sz w:val="20"/>
        </w:rPr>
        <w:t>inspección</w:t>
      </w:r>
      <w:r>
        <w:rPr>
          <w:spacing w:val="31"/>
          <w:sz w:val="20"/>
        </w:rPr>
        <w:t> </w:t>
      </w:r>
      <w:r>
        <w:rPr>
          <w:sz w:val="20"/>
        </w:rPr>
        <w:t>fuera</w:t>
      </w:r>
      <w:r>
        <w:rPr>
          <w:spacing w:val="32"/>
          <w:sz w:val="20"/>
        </w:rPr>
        <w:t> </w:t>
      </w:r>
      <w:r>
        <w:rPr>
          <w:sz w:val="20"/>
        </w:rPr>
        <w:t>del</w:t>
      </w:r>
      <w:r>
        <w:rPr>
          <w:spacing w:val="31"/>
          <w:sz w:val="20"/>
        </w:rPr>
        <w:t> </w:t>
      </w:r>
      <w:r>
        <w:rPr>
          <w:sz w:val="20"/>
        </w:rPr>
        <w:t>local</w:t>
      </w:r>
      <w:r>
        <w:rPr>
          <w:spacing w:val="31"/>
          <w:sz w:val="20"/>
        </w:rPr>
        <w:t> </w:t>
      </w:r>
      <w:r>
        <w:rPr>
          <w:sz w:val="20"/>
        </w:rPr>
        <w:t>del</w:t>
      </w:r>
      <w:r>
        <w:rPr>
          <w:spacing w:val="31"/>
          <w:sz w:val="20"/>
        </w:rPr>
        <w:t> </w:t>
      </w:r>
      <w:r>
        <w:rPr>
          <w:sz w:val="20"/>
        </w:rPr>
        <w:t>Tribunal,</w:t>
      </w:r>
      <w:r>
        <w:rPr>
          <w:spacing w:val="32"/>
          <w:sz w:val="20"/>
        </w:rPr>
        <w:t> </w:t>
      </w:r>
      <w:r>
        <w:rPr>
          <w:sz w:val="20"/>
        </w:rPr>
        <w:t>éste ordenará su práctica previo a la audiencia de Juicio, bajo las siguientes reglas:</w:t>
      </w:r>
    </w:p>
    <w:p>
      <w:pPr>
        <w:pStyle w:val="ListParagraph"/>
        <w:numPr>
          <w:ilvl w:val="1"/>
          <w:numId w:val="312"/>
        </w:numPr>
        <w:tabs>
          <w:tab w:pos="1647" w:val="left" w:leader="none"/>
          <w:tab w:pos="1649" w:val="left" w:leader="none"/>
        </w:tabs>
        <w:spacing w:line="240" w:lineRule="auto" w:before="227" w:after="0"/>
        <w:ind w:left="1649" w:right="347" w:hanging="454"/>
        <w:jc w:val="both"/>
        <w:rPr>
          <w:sz w:val="20"/>
        </w:rPr>
      </w:pPr>
      <w:r>
        <w:rPr>
          <w:sz w:val="20"/>
        </w:rPr>
        <w:t>Las partes y sus apoderados podrán concurrir a la diligencia de inspección y formular las objeciones u observaciones que estimen pertinentes;</w:t>
      </w:r>
    </w:p>
    <w:p>
      <w:pPr>
        <w:pStyle w:val="ListParagraph"/>
        <w:numPr>
          <w:ilvl w:val="1"/>
          <w:numId w:val="312"/>
        </w:numPr>
        <w:tabs>
          <w:tab w:pos="1647" w:val="left" w:leader="none"/>
          <w:tab w:pos="1649" w:val="left" w:leader="none"/>
        </w:tabs>
        <w:spacing w:line="242" w:lineRule="auto" w:before="229" w:after="0"/>
        <w:ind w:left="1649" w:right="345" w:hanging="454"/>
        <w:jc w:val="both"/>
        <w:rPr>
          <w:sz w:val="20"/>
        </w:rPr>
      </w:pPr>
      <w:r>
        <w:rPr>
          <w:sz w:val="20"/>
        </w:rPr>
        <w:t>El</w:t>
      </w:r>
      <w:r>
        <w:rPr>
          <w:spacing w:val="-3"/>
          <w:sz w:val="20"/>
        </w:rPr>
        <w:t> </w:t>
      </w:r>
      <w:r>
        <w:rPr>
          <w:sz w:val="20"/>
        </w:rPr>
        <w:t>juez</w:t>
      </w:r>
      <w:r>
        <w:rPr>
          <w:spacing w:val="-3"/>
          <w:sz w:val="20"/>
        </w:rPr>
        <w:t> </w:t>
      </w:r>
      <w:r>
        <w:rPr>
          <w:sz w:val="20"/>
        </w:rPr>
        <w:t>o el</w:t>
      </w:r>
      <w:r>
        <w:rPr>
          <w:spacing w:val="-3"/>
          <w:sz w:val="20"/>
        </w:rPr>
        <w:t> </w:t>
      </w:r>
      <w:r>
        <w:rPr>
          <w:sz w:val="20"/>
        </w:rPr>
        <w:t>funcionario actuante</w:t>
      </w:r>
      <w:r>
        <w:rPr>
          <w:spacing w:val="-2"/>
          <w:sz w:val="20"/>
        </w:rPr>
        <w:t> </w:t>
      </w:r>
      <w:r>
        <w:rPr>
          <w:sz w:val="20"/>
        </w:rPr>
        <w:t>requerirá se le pongan</w:t>
      </w:r>
      <w:r>
        <w:rPr>
          <w:spacing w:val="-3"/>
          <w:sz w:val="20"/>
        </w:rPr>
        <w:t> </w:t>
      </w:r>
      <w:r>
        <w:rPr>
          <w:sz w:val="20"/>
        </w:rPr>
        <w:t>a la vista los documentos y</w:t>
      </w:r>
      <w:r>
        <w:rPr>
          <w:spacing w:val="-4"/>
          <w:sz w:val="20"/>
        </w:rPr>
        <w:t> </w:t>
      </w:r>
      <w:r>
        <w:rPr>
          <w:sz w:val="20"/>
        </w:rPr>
        <w:t>objetos que deben inspeccionarse, y</w:t>
      </w:r>
    </w:p>
    <w:p>
      <w:pPr>
        <w:pStyle w:val="ListParagraph"/>
        <w:numPr>
          <w:ilvl w:val="1"/>
          <w:numId w:val="312"/>
        </w:numPr>
        <w:tabs>
          <w:tab w:pos="1647" w:val="left" w:leader="none"/>
          <w:tab w:pos="1649" w:val="left" w:leader="none"/>
        </w:tabs>
        <w:spacing w:line="240" w:lineRule="auto" w:before="226" w:after="0"/>
        <w:ind w:left="1649" w:right="339" w:hanging="454"/>
        <w:jc w:val="both"/>
        <w:rPr>
          <w:sz w:val="20"/>
        </w:rPr>
      </w:pPr>
      <w:r>
        <w:rPr>
          <w:sz w:val="20"/>
        </w:rPr>
        <w:t>De la diligencia se levantará acta circunstanciada, que firmarán los que en ella</w:t>
      </w:r>
      <w:r>
        <w:rPr>
          <w:spacing w:val="40"/>
          <w:sz w:val="20"/>
        </w:rPr>
        <w:t> </w:t>
      </w:r>
      <w:r>
        <w:rPr>
          <w:sz w:val="20"/>
        </w:rPr>
        <w:t>intervengan, la cual se agregará al expediente, previa razón en autos; a la misma podrán anexarse los elementos que se estimen pertinentes para robustecer los medios de convicción del desahogo de la diligencia.</w:t>
      </w:r>
    </w:p>
    <w:p>
      <w:pPr>
        <w:spacing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12"/>
        </w:numPr>
        <w:tabs>
          <w:tab w:pos="1195" w:val="left" w:leader="none"/>
        </w:tabs>
        <w:spacing w:line="242" w:lineRule="auto" w:before="0" w:after="0"/>
        <w:ind w:left="1195" w:right="341" w:hanging="569"/>
        <w:jc w:val="left"/>
        <w:rPr>
          <w:sz w:val="20"/>
        </w:rPr>
      </w:pPr>
      <w:r>
        <w:rPr>
          <w:sz w:val="20"/>
        </w:rPr>
        <w:t>En los demás casos, la prueba de inspección se rendirá ante la presencia del juez y en el local del Tribunal en la audiencia de juicio, conforme a las siguientes reglas:</w:t>
      </w:r>
    </w:p>
    <w:p>
      <w:pPr>
        <w:pStyle w:val="ListParagraph"/>
        <w:numPr>
          <w:ilvl w:val="1"/>
          <w:numId w:val="312"/>
        </w:numPr>
        <w:tabs>
          <w:tab w:pos="1649" w:val="left" w:leader="none"/>
        </w:tabs>
        <w:spacing w:line="242" w:lineRule="auto" w:before="226" w:after="0"/>
        <w:ind w:left="1649" w:right="343" w:hanging="454"/>
        <w:jc w:val="left"/>
        <w:rPr>
          <w:sz w:val="20"/>
        </w:rPr>
      </w:pPr>
      <w:r>
        <w:rPr>
          <w:sz w:val="20"/>
        </w:rPr>
        <w:t>El</w:t>
      </w:r>
      <w:r>
        <w:rPr>
          <w:spacing w:val="80"/>
          <w:sz w:val="20"/>
        </w:rPr>
        <w:t> </w:t>
      </w:r>
      <w:r>
        <w:rPr>
          <w:sz w:val="20"/>
        </w:rPr>
        <w:t>juez</w:t>
      </w:r>
      <w:r>
        <w:rPr>
          <w:spacing w:val="80"/>
          <w:sz w:val="20"/>
        </w:rPr>
        <w:t> </w:t>
      </w:r>
      <w:r>
        <w:rPr>
          <w:sz w:val="20"/>
        </w:rPr>
        <w:t>requerirá</w:t>
      </w:r>
      <w:r>
        <w:rPr>
          <w:spacing w:val="80"/>
          <w:sz w:val="20"/>
        </w:rPr>
        <w:t> </w:t>
      </w:r>
      <w:r>
        <w:rPr>
          <w:sz w:val="20"/>
        </w:rPr>
        <w:t>se</w:t>
      </w:r>
      <w:r>
        <w:rPr>
          <w:spacing w:val="80"/>
          <w:sz w:val="20"/>
        </w:rPr>
        <w:t> </w:t>
      </w:r>
      <w:r>
        <w:rPr>
          <w:sz w:val="20"/>
        </w:rPr>
        <w:t>le</w:t>
      </w:r>
      <w:r>
        <w:rPr>
          <w:spacing w:val="80"/>
          <w:sz w:val="20"/>
        </w:rPr>
        <w:t> </w:t>
      </w:r>
      <w:r>
        <w:rPr>
          <w:sz w:val="20"/>
        </w:rPr>
        <w:t>pongan</w:t>
      </w:r>
      <w:r>
        <w:rPr>
          <w:spacing w:val="80"/>
          <w:sz w:val="20"/>
        </w:rPr>
        <w:t> </w:t>
      </w:r>
      <w:r>
        <w:rPr>
          <w:sz w:val="20"/>
        </w:rPr>
        <w:t>a</w:t>
      </w:r>
      <w:r>
        <w:rPr>
          <w:spacing w:val="80"/>
          <w:sz w:val="20"/>
        </w:rPr>
        <w:t> </w:t>
      </w:r>
      <w:r>
        <w:rPr>
          <w:sz w:val="20"/>
        </w:rPr>
        <w:t>la</w:t>
      </w:r>
      <w:r>
        <w:rPr>
          <w:spacing w:val="80"/>
          <w:sz w:val="20"/>
        </w:rPr>
        <w:t> </w:t>
      </w:r>
      <w:r>
        <w:rPr>
          <w:sz w:val="20"/>
        </w:rPr>
        <w:t>vista</w:t>
      </w:r>
      <w:r>
        <w:rPr>
          <w:spacing w:val="80"/>
          <w:sz w:val="20"/>
        </w:rPr>
        <w:t> </w:t>
      </w:r>
      <w:r>
        <w:rPr>
          <w:sz w:val="20"/>
        </w:rPr>
        <w:t>los</w:t>
      </w:r>
      <w:r>
        <w:rPr>
          <w:spacing w:val="80"/>
          <w:sz w:val="20"/>
        </w:rPr>
        <w:t> </w:t>
      </w:r>
      <w:r>
        <w:rPr>
          <w:sz w:val="20"/>
        </w:rPr>
        <w:t>documentos</w:t>
      </w:r>
      <w:r>
        <w:rPr>
          <w:spacing w:val="80"/>
          <w:sz w:val="20"/>
        </w:rPr>
        <w:t> </w:t>
      </w:r>
      <w:r>
        <w:rPr>
          <w:sz w:val="20"/>
        </w:rPr>
        <w:t>y</w:t>
      </w:r>
      <w:r>
        <w:rPr>
          <w:spacing w:val="80"/>
          <w:sz w:val="20"/>
        </w:rPr>
        <w:t> </w:t>
      </w:r>
      <w:r>
        <w:rPr>
          <w:sz w:val="20"/>
        </w:rPr>
        <w:t>objetos</w:t>
      </w:r>
      <w:r>
        <w:rPr>
          <w:spacing w:val="80"/>
          <w:sz w:val="20"/>
        </w:rPr>
        <w:t> </w:t>
      </w:r>
      <w:r>
        <w:rPr>
          <w:sz w:val="20"/>
        </w:rPr>
        <w:t>que</w:t>
      </w:r>
      <w:r>
        <w:rPr>
          <w:spacing w:val="80"/>
          <w:sz w:val="20"/>
        </w:rPr>
        <w:t> </w:t>
      </w:r>
      <w:r>
        <w:rPr>
          <w:sz w:val="20"/>
        </w:rPr>
        <w:t>deben inspeccionarse, y</w:t>
      </w:r>
    </w:p>
    <w:p>
      <w:pPr>
        <w:pStyle w:val="ListParagraph"/>
        <w:numPr>
          <w:ilvl w:val="1"/>
          <w:numId w:val="312"/>
        </w:numPr>
        <w:tabs>
          <w:tab w:pos="1649" w:val="left" w:leader="none"/>
        </w:tabs>
        <w:spacing w:line="240" w:lineRule="auto" w:before="225" w:after="0"/>
        <w:ind w:left="1649" w:right="0" w:hanging="454"/>
        <w:jc w:val="left"/>
        <w:rPr>
          <w:sz w:val="20"/>
        </w:rPr>
      </w:pPr>
      <w:r>
        <w:rPr>
          <w:sz w:val="20"/>
        </w:rPr>
        <w:t>Las</w:t>
      </w:r>
      <w:r>
        <w:rPr>
          <w:spacing w:val="-7"/>
          <w:sz w:val="20"/>
        </w:rPr>
        <w:t> </w:t>
      </w:r>
      <w:r>
        <w:rPr>
          <w:sz w:val="20"/>
        </w:rPr>
        <w:t>partes</w:t>
      </w:r>
      <w:r>
        <w:rPr>
          <w:spacing w:val="-4"/>
          <w:sz w:val="20"/>
        </w:rPr>
        <w:t> </w:t>
      </w:r>
      <w:r>
        <w:rPr>
          <w:sz w:val="20"/>
        </w:rPr>
        <w:t>podrán</w:t>
      </w:r>
      <w:r>
        <w:rPr>
          <w:spacing w:val="-7"/>
          <w:sz w:val="20"/>
        </w:rPr>
        <w:t> </w:t>
      </w:r>
      <w:r>
        <w:rPr>
          <w:sz w:val="20"/>
        </w:rPr>
        <w:t>formular</w:t>
      </w:r>
      <w:r>
        <w:rPr>
          <w:spacing w:val="-7"/>
          <w:sz w:val="20"/>
        </w:rPr>
        <w:t> </w:t>
      </w:r>
      <w:r>
        <w:rPr>
          <w:sz w:val="20"/>
        </w:rPr>
        <w:t>las</w:t>
      </w:r>
      <w:r>
        <w:rPr>
          <w:spacing w:val="-7"/>
          <w:sz w:val="20"/>
        </w:rPr>
        <w:t> </w:t>
      </w:r>
      <w:r>
        <w:rPr>
          <w:sz w:val="20"/>
        </w:rPr>
        <w:t>objeciones</w:t>
      </w:r>
      <w:r>
        <w:rPr>
          <w:spacing w:val="-6"/>
          <w:sz w:val="20"/>
        </w:rPr>
        <w:t> </w:t>
      </w:r>
      <w:r>
        <w:rPr>
          <w:sz w:val="20"/>
        </w:rPr>
        <w:t>u</w:t>
      </w:r>
      <w:r>
        <w:rPr>
          <w:spacing w:val="-8"/>
          <w:sz w:val="20"/>
        </w:rPr>
        <w:t> </w:t>
      </w:r>
      <w:r>
        <w:rPr>
          <w:sz w:val="20"/>
        </w:rPr>
        <w:t>observaciones</w:t>
      </w:r>
      <w:r>
        <w:rPr>
          <w:spacing w:val="-6"/>
          <w:sz w:val="20"/>
        </w:rPr>
        <w:t> </w:t>
      </w:r>
      <w:r>
        <w:rPr>
          <w:sz w:val="20"/>
        </w:rPr>
        <w:t>que</w:t>
      </w:r>
      <w:r>
        <w:rPr>
          <w:spacing w:val="-8"/>
          <w:sz w:val="20"/>
        </w:rPr>
        <w:t> </w:t>
      </w:r>
      <w:r>
        <w:rPr>
          <w:sz w:val="20"/>
        </w:rPr>
        <w:t>estimen</w:t>
      </w:r>
      <w:r>
        <w:rPr>
          <w:spacing w:val="-8"/>
          <w:sz w:val="20"/>
        </w:rPr>
        <w:t> </w:t>
      </w:r>
      <w:r>
        <w:rPr>
          <w:spacing w:val="-2"/>
          <w:sz w:val="20"/>
        </w:rPr>
        <w:t>pertinentes.</w:t>
      </w:r>
    </w:p>
    <w:p>
      <w:pPr>
        <w:spacing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312"/>
        </w:numPr>
        <w:tabs>
          <w:tab w:pos="1195" w:val="left" w:leader="none"/>
        </w:tabs>
        <w:spacing w:line="229" w:lineRule="exact" w:before="0" w:after="0"/>
        <w:ind w:left="1195" w:right="0" w:hanging="569"/>
        <w:jc w:val="left"/>
        <w:rPr>
          <w:sz w:val="20"/>
        </w:rPr>
      </w:pPr>
      <w:r>
        <w:rPr>
          <w:sz w:val="20"/>
        </w:rPr>
        <w:t>Se</w:t>
      </w:r>
      <w:r>
        <w:rPr>
          <w:spacing w:val="-5"/>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sz w:val="12"/>
        </w:rPr>
      </w:pPr>
    </w:p>
    <w:p>
      <w:pPr>
        <w:pStyle w:val="BodyText"/>
        <w:spacing w:after="0"/>
        <w:rPr>
          <w:rFonts w:ascii="Times New Roman"/>
          <w:i/>
          <w:sz w:val="12"/>
        </w:rPr>
        <w:sectPr>
          <w:pgSz w:w="12240" w:h="15840"/>
          <w:pgMar w:header="724" w:footer="712" w:top="1880" w:bottom="900" w:left="1080" w:right="1080"/>
        </w:sectPr>
      </w:pPr>
    </w:p>
    <w:p>
      <w:pPr>
        <w:pStyle w:val="ListParagraph"/>
        <w:numPr>
          <w:ilvl w:val="0"/>
          <w:numId w:val="312"/>
        </w:numPr>
        <w:tabs>
          <w:tab w:pos="1195" w:val="left" w:leader="none"/>
        </w:tabs>
        <w:spacing w:line="240" w:lineRule="auto" w:before="93" w:after="0"/>
        <w:ind w:left="1195" w:right="0" w:hanging="569"/>
        <w:jc w:val="left"/>
        <w:rPr>
          <w:sz w:val="20"/>
        </w:rPr>
      </w:pP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rPr>
          <w:sz w:val="22"/>
        </w:rPr>
      </w:pPr>
    </w:p>
    <w:p>
      <w:pPr>
        <w:pStyle w:val="BodyText"/>
        <w:spacing w:before="160"/>
        <w:rPr>
          <w:sz w:val="22"/>
        </w:rPr>
      </w:pPr>
    </w:p>
    <w:p>
      <w:pPr>
        <w:pStyle w:val="Heading2"/>
        <w:ind w:left="626" w:right="38" w:firstLine="103"/>
        <w:jc w:val="left"/>
      </w:pPr>
      <w:r>
        <w:rPr/>
        <w:t>Sección Séptima De</w:t>
      </w:r>
      <w:r>
        <w:rPr>
          <w:spacing w:val="-16"/>
        </w:rPr>
        <w:t> </w:t>
      </w:r>
      <w:r>
        <w:rPr/>
        <w:t>la</w:t>
      </w:r>
      <w:r>
        <w:rPr>
          <w:spacing w:val="-15"/>
        </w:rPr>
        <w:t> </w:t>
      </w:r>
      <w:r>
        <w:rPr/>
        <w:t>Presuncional</w:t>
      </w:r>
    </w:p>
    <w:p>
      <w:pPr>
        <w:spacing w:line="240" w:lineRule="auto" w:before="139"/>
        <w:rPr>
          <w:rFonts w:ascii="Arial"/>
          <w:b/>
          <w:sz w:val="16"/>
        </w:rPr>
      </w:pPr>
      <w:r>
        <w:rPr/>
        <w:br w:type="column"/>
      </w:r>
      <w:r>
        <w:rPr>
          <w:rFonts w:ascii="Arial"/>
          <w:b/>
          <w:sz w:val="16"/>
        </w:rPr>
      </w:r>
    </w:p>
    <w:p>
      <w:pPr>
        <w:spacing w:before="1"/>
        <w:ind w:left="64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1"/>
        <w:ind w:left="626"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i/>
          <w:sz w:val="16"/>
        </w:rPr>
        <w:sectPr>
          <w:type w:val="continuous"/>
          <w:pgSz w:w="12240" w:h="15840"/>
          <w:pgMar w:header="724" w:footer="712" w:top="1880" w:bottom="900" w:left="1080" w:right="1080"/>
          <w:cols w:num="3" w:equalWidth="0">
            <w:col w:w="2213" w:space="1217"/>
            <w:col w:w="2636" w:space="638"/>
            <w:col w:w="3376"/>
          </w:cols>
        </w:sectPr>
      </w:pPr>
    </w:p>
    <w:p>
      <w:pPr>
        <w:pStyle w:val="BodyText"/>
        <w:spacing w:line="242" w:lineRule="auto" w:before="229"/>
        <w:ind w:left="338" w:right="357" w:firstLine="288"/>
      </w:pPr>
      <w:bookmarkStart w:name="Artículo_830" w:id="1044"/>
      <w:bookmarkEnd w:id="1044"/>
      <w:r>
        <w:rPr/>
      </w:r>
      <w:r>
        <w:rPr>
          <w:rFonts w:ascii="Arial" w:hAnsi="Arial"/>
          <w:b/>
        </w:rPr>
        <w:t>Artículo 830.- </w:t>
      </w:r>
      <w:r>
        <w:rPr/>
        <w:t>Presunción es la consecuencia que la Ley o el</w:t>
      </w:r>
      <w:r>
        <w:rPr>
          <w:spacing w:val="-1"/>
        </w:rPr>
        <w:t> </w:t>
      </w:r>
      <w:r>
        <w:rPr/>
        <w:t>Tribunal deducen de un hecho conocido para</w:t>
      </w:r>
      <w:r>
        <w:rPr>
          <w:spacing w:val="6"/>
        </w:rPr>
        <w:t> </w:t>
      </w:r>
      <w:r>
        <w:rPr/>
        <w:t>averiguar</w:t>
      </w:r>
      <w:r>
        <w:rPr>
          <w:spacing w:val="4"/>
        </w:rPr>
        <w:t> </w:t>
      </w:r>
      <w:r>
        <w:rPr/>
        <w:t>la</w:t>
      </w:r>
      <w:r>
        <w:rPr>
          <w:spacing w:val="7"/>
        </w:rPr>
        <w:t> </w:t>
      </w:r>
      <w:r>
        <w:rPr/>
        <w:t>verdad</w:t>
      </w:r>
      <w:r>
        <w:rPr>
          <w:spacing w:val="5"/>
        </w:rPr>
        <w:t> </w:t>
      </w:r>
      <w:r>
        <w:rPr/>
        <w:t>de</w:t>
      </w:r>
      <w:r>
        <w:rPr>
          <w:spacing w:val="5"/>
        </w:rPr>
        <w:t> </w:t>
      </w:r>
      <w:r>
        <w:rPr/>
        <w:t>otro</w:t>
      </w:r>
      <w:r>
        <w:rPr>
          <w:spacing w:val="6"/>
        </w:rPr>
        <w:t> </w:t>
      </w:r>
      <w:r>
        <w:rPr/>
        <w:t>desconocido.</w:t>
      </w:r>
      <w:r>
        <w:rPr>
          <w:spacing w:val="6"/>
        </w:rPr>
        <w:t> </w:t>
      </w:r>
      <w:r>
        <w:rPr/>
        <w:t>El</w:t>
      </w:r>
      <w:r>
        <w:rPr>
          <w:spacing w:val="6"/>
        </w:rPr>
        <w:t> </w:t>
      </w:r>
      <w:r>
        <w:rPr/>
        <w:t>Tribunal</w:t>
      </w:r>
      <w:r>
        <w:rPr>
          <w:spacing w:val="3"/>
        </w:rPr>
        <w:t> </w:t>
      </w:r>
      <w:r>
        <w:rPr/>
        <w:t>deberá</w:t>
      </w:r>
      <w:r>
        <w:rPr>
          <w:spacing w:val="7"/>
        </w:rPr>
        <w:t> </w:t>
      </w:r>
      <w:r>
        <w:rPr/>
        <w:t>considerarla</w:t>
      </w:r>
      <w:r>
        <w:rPr>
          <w:spacing w:val="4"/>
        </w:rPr>
        <w:t> </w:t>
      </w:r>
      <w:r>
        <w:rPr/>
        <w:t>aun</w:t>
      </w:r>
      <w:r>
        <w:rPr>
          <w:spacing w:val="4"/>
        </w:rPr>
        <w:t> </w:t>
      </w:r>
      <w:r>
        <w:rPr/>
        <w:t>cuando</w:t>
      </w:r>
      <w:r>
        <w:rPr>
          <w:spacing w:val="6"/>
        </w:rPr>
        <w:t> </w:t>
      </w:r>
      <w:r>
        <w:rPr/>
        <w:t>las</w:t>
      </w:r>
      <w:r>
        <w:rPr>
          <w:spacing w:val="15"/>
        </w:rPr>
        <w:t> </w:t>
      </w:r>
      <w:r>
        <w:rPr/>
        <w:t>partes</w:t>
      </w:r>
      <w:r>
        <w:rPr>
          <w:spacing w:val="5"/>
        </w:rPr>
        <w:t> </w:t>
      </w:r>
      <w:r>
        <w:rPr>
          <w:spacing w:val="-5"/>
        </w:rPr>
        <w:t>no</w:t>
      </w:r>
    </w:p>
    <w:p>
      <w:pPr>
        <w:pStyle w:val="BodyText"/>
        <w:spacing w:after="0" w:line="242" w:lineRule="auto"/>
        <w:sectPr>
          <w:type w:val="continuous"/>
          <w:pgSz w:w="12240" w:h="15840"/>
          <w:pgMar w:header="724" w:footer="712" w:top="1880" w:bottom="900" w:left="1080" w:right="1080"/>
        </w:sectPr>
      </w:pPr>
    </w:p>
    <w:p>
      <w:pPr>
        <w:pStyle w:val="BodyText"/>
        <w:spacing w:before="65"/>
      </w:pPr>
    </w:p>
    <w:p>
      <w:pPr>
        <w:pStyle w:val="BodyText"/>
        <w:ind w:left="338" w:right="357"/>
      </w:pPr>
      <w:r>
        <w:rPr/>
        <w:t>la ofrezcan, con objeto de que se</w:t>
      </w:r>
      <w:r>
        <w:rPr>
          <w:spacing w:val="-2"/>
        </w:rPr>
        <w:t> </w:t>
      </w:r>
      <w:r>
        <w:rPr/>
        <w:t>cumplan los</w:t>
      </w:r>
      <w:r>
        <w:rPr>
          <w:spacing w:val="-1"/>
        </w:rPr>
        <w:t> </w:t>
      </w:r>
      <w:r>
        <w:rPr/>
        <w:t>fines</w:t>
      </w:r>
      <w:r>
        <w:rPr>
          <w:spacing w:val="-1"/>
        </w:rPr>
        <w:t> </w:t>
      </w:r>
      <w:r>
        <w:rPr/>
        <w:t>del</w:t>
      </w:r>
      <w:r>
        <w:rPr>
          <w:spacing w:val="-1"/>
        </w:rPr>
        <w:t> </w:t>
      </w:r>
      <w:r>
        <w:rPr/>
        <w:t>derecho del</w:t>
      </w:r>
      <w:r>
        <w:rPr>
          <w:spacing w:val="-3"/>
        </w:rPr>
        <w:t> </w:t>
      </w:r>
      <w:r>
        <w:rPr/>
        <w:t>trabajo señalados</w:t>
      </w:r>
      <w:r>
        <w:rPr>
          <w:spacing w:val="-1"/>
        </w:rPr>
        <w:t> </w:t>
      </w:r>
      <w:r>
        <w:rPr/>
        <w:t>en los artículos</w:t>
      </w:r>
      <w:r>
        <w:rPr>
          <w:spacing w:val="-1"/>
        </w:rPr>
        <w:t> </w:t>
      </w:r>
      <w:r>
        <w:rPr/>
        <w:t>2o. y 3o. de esta Ley.</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7" w:firstLine="288"/>
        <w:jc w:val="both"/>
      </w:pPr>
      <w:bookmarkStart w:name="Artículo_831" w:id="1045"/>
      <w:bookmarkEnd w:id="1045"/>
      <w:r>
        <w:rPr/>
      </w:r>
      <w:r>
        <w:rPr>
          <w:rFonts w:ascii="Arial" w:hAnsi="Arial"/>
          <w:b/>
        </w:rPr>
        <w:t>Artículo 831.- </w:t>
      </w:r>
      <w:r>
        <w:rPr/>
        <w:t>Hay</w:t>
      </w:r>
      <w:r>
        <w:rPr>
          <w:spacing w:val="-4"/>
        </w:rPr>
        <w:t> </w:t>
      </w:r>
      <w:r>
        <w:rPr/>
        <w:t>presunción legal</w:t>
      </w:r>
      <w:r>
        <w:rPr>
          <w:spacing w:val="-2"/>
        </w:rPr>
        <w:t> </w:t>
      </w:r>
      <w:r>
        <w:rPr/>
        <w:t>cuando la</w:t>
      </w:r>
      <w:r>
        <w:rPr>
          <w:spacing w:val="-1"/>
        </w:rPr>
        <w:t> </w:t>
      </w:r>
      <w:r>
        <w:rPr/>
        <w:t>Ley</w:t>
      </w:r>
      <w:r>
        <w:rPr>
          <w:spacing w:val="-2"/>
        </w:rPr>
        <w:t> </w:t>
      </w:r>
      <w:r>
        <w:rPr/>
        <w:t>la</w:t>
      </w:r>
      <w:r>
        <w:rPr>
          <w:spacing w:val="-1"/>
        </w:rPr>
        <w:t> </w:t>
      </w:r>
      <w:r>
        <w:rPr/>
        <w:t>establece expresamente o</w:t>
      </w:r>
      <w:r>
        <w:rPr>
          <w:spacing w:val="-1"/>
        </w:rPr>
        <w:t> </w:t>
      </w:r>
      <w:r>
        <w:rPr/>
        <w:t>cuando</w:t>
      </w:r>
      <w:r>
        <w:rPr>
          <w:spacing w:val="-1"/>
        </w:rPr>
        <w:t> </w:t>
      </w:r>
      <w:r>
        <w:rPr/>
        <w:t>se deriven de la aplicación de alguno de los principios que rigen el derecho del</w:t>
      </w:r>
      <w:r>
        <w:rPr>
          <w:spacing w:val="-2"/>
        </w:rPr>
        <w:t> </w:t>
      </w:r>
      <w:r>
        <w:rPr/>
        <w:t>trabajo; hay</w:t>
      </w:r>
      <w:r>
        <w:rPr>
          <w:spacing w:val="-2"/>
        </w:rPr>
        <w:t> </w:t>
      </w:r>
      <w:r>
        <w:rPr/>
        <w:t>presunción humana cuando de un hecho debidamente probado se deduce otro que es consecuencia de aquél.</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338" w:right="346" w:firstLine="288"/>
        <w:jc w:val="both"/>
      </w:pPr>
      <w:bookmarkStart w:name="Artículo_832" w:id="1046"/>
      <w:bookmarkEnd w:id="1046"/>
      <w:r>
        <w:rPr/>
      </w:r>
      <w:r>
        <w:rPr>
          <w:rFonts w:ascii="Arial" w:hAnsi="Arial"/>
          <w:b/>
        </w:rPr>
        <w:t>Artículo 832.- </w:t>
      </w:r>
      <w:r>
        <w:rPr/>
        <w:t>El que tiene a su favor una presunción legal, sólo está obligado a probar el hecho en que la funda.</w:t>
      </w:r>
    </w:p>
    <w:p>
      <w:pPr>
        <w:spacing w:line="182"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8"/>
        <w:rPr>
          <w:rFonts w:ascii="Times New Roman"/>
          <w:i/>
          <w:sz w:val="16"/>
        </w:rPr>
      </w:pPr>
    </w:p>
    <w:p>
      <w:pPr>
        <w:pStyle w:val="BodyText"/>
        <w:spacing w:line="229" w:lineRule="exact"/>
        <w:ind w:left="626"/>
      </w:pPr>
      <w:bookmarkStart w:name="Artículo_833" w:id="1047"/>
      <w:bookmarkEnd w:id="1047"/>
      <w:r>
        <w:rPr/>
      </w:r>
      <w:r>
        <w:rPr>
          <w:rFonts w:ascii="Arial" w:hAnsi="Arial"/>
          <w:b/>
        </w:rPr>
        <w:t>Artículo</w:t>
      </w:r>
      <w:r>
        <w:rPr>
          <w:rFonts w:ascii="Arial" w:hAnsi="Arial"/>
          <w:b/>
          <w:spacing w:val="-7"/>
        </w:rPr>
        <w:t> </w:t>
      </w:r>
      <w:r>
        <w:rPr>
          <w:rFonts w:ascii="Arial" w:hAnsi="Arial"/>
          <w:b/>
        </w:rPr>
        <w:t>833.-</w:t>
      </w:r>
      <w:r>
        <w:rPr>
          <w:rFonts w:ascii="Arial" w:hAnsi="Arial"/>
          <w:b/>
          <w:spacing w:val="-6"/>
        </w:rPr>
        <w:t> </w:t>
      </w:r>
      <w:r>
        <w:rPr/>
        <w:t>Las</w:t>
      </w:r>
      <w:r>
        <w:rPr>
          <w:spacing w:val="-7"/>
        </w:rPr>
        <w:t> </w:t>
      </w:r>
      <w:r>
        <w:rPr/>
        <w:t>presunciones</w:t>
      </w:r>
      <w:r>
        <w:rPr>
          <w:spacing w:val="-6"/>
        </w:rPr>
        <w:t> </w:t>
      </w:r>
      <w:r>
        <w:rPr/>
        <w:t>legales</w:t>
      </w:r>
      <w:r>
        <w:rPr>
          <w:spacing w:val="-5"/>
        </w:rPr>
        <w:t> </w:t>
      </w:r>
      <w:r>
        <w:rPr/>
        <w:t>y</w:t>
      </w:r>
      <w:r>
        <w:rPr>
          <w:spacing w:val="-8"/>
        </w:rPr>
        <w:t> </w:t>
      </w:r>
      <w:r>
        <w:rPr/>
        <w:t>humanas,</w:t>
      </w:r>
      <w:r>
        <w:rPr>
          <w:spacing w:val="-8"/>
        </w:rPr>
        <w:t> </w:t>
      </w:r>
      <w:r>
        <w:rPr/>
        <w:t>admiten</w:t>
      </w:r>
      <w:r>
        <w:rPr>
          <w:spacing w:val="-8"/>
        </w:rPr>
        <w:t> </w:t>
      </w:r>
      <w:r>
        <w:rPr/>
        <w:t>prueba</w:t>
      </w:r>
      <w:r>
        <w:rPr>
          <w:spacing w:val="-7"/>
        </w:rPr>
        <w:t> </w:t>
      </w:r>
      <w:r>
        <w:rPr/>
        <w:t>en</w:t>
      </w:r>
      <w:r>
        <w:rPr>
          <w:spacing w:val="-7"/>
        </w:rPr>
        <w:t> </w:t>
      </w:r>
      <w:r>
        <w:rPr>
          <w:spacing w:val="-2"/>
        </w:rPr>
        <w:t>contrario.</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ind w:left="338" w:firstLine="288"/>
      </w:pPr>
      <w:bookmarkStart w:name="Artículo_834" w:id="1048"/>
      <w:bookmarkEnd w:id="1048"/>
      <w:r>
        <w:rPr/>
      </w:r>
      <w:r>
        <w:rPr>
          <w:rFonts w:ascii="Arial" w:hAnsi="Arial"/>
          <w:b/>
        </w:rPr>
        <w:t>Artículo</w:t>
      </w:r>
      <w:r>
        <w:rPr>
          <w:rFonts w:ascii="Arial" w:hAnsi="Arial"/>
          <w:b/>
          <w:spacing w:val="27"/>
        </w:rPr>
        <w:t> </w:t>
      </w:r>
      <w:r>
        <w:rPr>
          <w:rFonts w:ascii="Arial" w:hAnsi="Arial"/>
          <w:b/>
        </w:rPr>
        <w:t>834.-</w:t>
      </w:r>
      <w:r>
        <w:rPr>
          <w:rFonts w:ascii="Arial" w:hAnsi="Arial"/>
          <w:b/>
          <w:spacing w:val="28"/>
        </w:rPr>
        <w:t> </w:t>
      </w:r>
      <w:r>
        <w:rPr/>
        <w:t>Las</w:t>
      </w:r>
      <w:r>
        <w:rPr>
          <w:spacing w:val="28"/>
        </w:rPr>
        <w:t> </w:t>
      </w:r>
      <w:r>
        <w:rPr/>
        <w:t>partes</w:t>
      </w:r>
      <w:r>
        <w:rPr>
          <w:spacing w:val="27"/>
        </w:rPr>
        <w:t> </w:t>
      </w:r>
      <w:r>
        <w:rPr/>
        <w:t>al</w:t>
      </w:r>
      <w:r>
        <w:rPr>
          <w:spacing w:val="25"/>
        </w:rPr>
        <w:t> </w:t>
      </w:r>
      <w:r>
        <w:rPr/>
        <w:t>ofrecer</w:t>
      </w:r>
      <w:r>
        <w:rPr>
          <w:spacing w:val="27"/>
        </w:rPr>
        <w:t> </w:t>
      </w:r>
      <w:r>
        <w:rPr/>
        <w:t>la</w:t>
      </w:r>
      <w:r>
        <w:rPr>
          <w:spacing w:val="26"/>
        </w:rPr>
        <w:t> </w:t>
      </w:r>
      <w:r>
        <w:rPr/>
        <w:t>prueba</w:t>
      </w:r>
      <w:r>
        <w:rPr>
          <w:spacing w:val="26"/>
        </w:rPr>
        <w:t> </w:t>
      </w:r>
      <w:r>
        <w:rPr/>
        <w:t>presuncional,</w:t>
      </w:r>
      <w:r>
        <w:rPr>
          <w:spacing w:val="29"/>
        </w:rPr>
        <w:t> </w:t>
      </w:r>
      <w:r>
        <w:rPr/>
        <w:t>indicarán</w:t>
      </w:r>
      <w:r>
        <w:rPr>
          <w:spacing w:val="29"/>
        </w:rPr>
        <w:t> </w:t>
      </w:r>
      <w:r>
        <w:rPr/>
        <w:t>en</w:t>
      </w:r>
      <w:r>
        <w:rPr>
          <w:spacing w:val="26"/>
        </w:rPr>
        <w:t> </w:t>
      </w:r>
      <w:r>
        <w:rPr/>
        <w:t>qué</w:t>
      </w:r>
      <w:r>
        <w:rPr>
          <w:spacing w:val="29"/>
        </w:rPr>
        <w:t> </w:t>
      </w:r>
      <w:r>
        <w:rPr/>
        <w:t>consiste</w:t>
      </w:r>
      <w:r>
        <w:rPr>
          <w:spacing w:val="28"/>
        </w:rPr>
        <w:t> </w:t>
      </w:r>
      <w:r>
        <w:rPr/>
        <w:t>y</w:t>
      </w:r>
      <w:r>
        <w:rPr>
          <w:spacing w:val="25"/>
        </w:rPr>
        <w:t> </w:t>
      </w:r>
      <w:r>
        <w:rPr/>
        <w:t>lo</w:t>
      </w:r>
      <w:r>
        <w:rPr>
          <w:spacing w:val="26"/>
        </w:rPr>
        <w:t> </w:t>
      </w:r>
      <w:r>
        <w:rPr/>
        <w:t>que</w:t>
      </w:r>
      <w:r>
        <w:rPr>
          <w:spacing w:val="26"/>
        </w:rPr>
        <w:t> </w:t>
      </w:r>
      <w:r>
        <w:rPr/>
        <w:t>se acredita con ella.</w:t>
      </w:r>
    </w:p>
    <w:p>
      <w:pPr>
        <w:pStyle w:val="BodyText"/>
        <w:spacing w:after="0" w:line="242" w:lineRule="auto"/>
        <w:sectPr>
          <w:pgSz w:w="12240" w:h="15840"/>
          <w:pgMar w:header="724" w:footer="712" w:top="1880" w:bottom="900" w:left="1080" w:right="1080"/>
        </w:sectPr>
      </w:pPr>
    </w:p>
    <w:p>
      <w:pPr>
        <w:pStyle w:val="BodyText"/>
        <w:spacing w:before="154"/>
        <w:rPr>
          <w:sz w:val="22"/>
        </w:rPr>
      </w:pPr>
    </w:p>
    <w:p>
      <w:pPr>
        <w:pStyle w:val="Heading2"/>
        <w:ind w:left="4085" w:right="0" w:firstLine="134"/>
        <w:jc w:val="left"/>
      </w:pPr>
      <w:r>
        <w:rPr/>
        <w:t>Sección Octava De</w:t>
      </w:r>
      <w:r>
        <w:rPr>
          <w:spacing w:val="-16"/>
        </w:rPr>
        <w:t> </w:t>
      </w:r>
      <w:r>
        <w:rPr/>
        <w:t>la</w:t>
      </w:r>
      <w:r>
        <w:rPr>
          <w:spacing w:val="-15"/>
        </w:rPr>
        <w:t> </w:t>
      </w:r>
      <w:r>
        <w:rPr/>
        <w:t>Instrumental</w:t>
      </w:r>
    </w:p>
    <w:p>
      <w:pPr>
        <w:spacing w:line="178" w:lineRule="exact" w:before="0"/>
        <w:ind w:left="1312"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1"/>
        <w:rPr>
          <w:rFonts w:ascii="Times New Roman"/>
          <w:i/>
          <w:sz w:val="16"/>
        </w:rPr>
      </w:pPr>
    </w:p>
    <w:p>
      <w:pPr>
        <w:spacing w:before="0"/>
        <w:ind w:left="1295"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i/>
          <w:sz w:val="16"/>
        </w:rPr>
        <w:sectPr>
          <w:type w:val="continuous"/>
          <w:pgSz w:w="12240" w:h="15840"/>
          <w:pgMar w:header="724" w:footer="712" w:top="1880" w:bottom="900" w:left="1080" w:right="1080"/>
          <w:cols w:num="2" w:equalWidth="0">
            <w:col w:w="5996" w:space="40"/>
            <w:col w:w="4044"/>
          </w:cols>
        </w:sectPr>
      </w:pPr>
    </w:p>
    <w:p>
      <w:pPr>
        <w:pStyle w:val="BodyText"/>
        <w:spacing w:line="242" w:lineRule="auto" w:before="229"/>
        <w:ind w:left="338" w:right="379" w:firstLine="288"/>
      </w:pPr>
      <w:bookmarkStart w:name="Artículo_835" w:id="1049"/>
      <w:bookmarkEnd w:id="1049"/>
      <w:r>
        <w:rPr/>
      </w:r>
      <w:r>
        <w:rPr>
          <w:rFonts w:ascii="Arial" w:hAnsi="Arial"/>
          <w:b/>
        </w:rPr>
        <w:t>Artículo 835.- </w:t>
      </w:r>
      <w:r>
        <w:rPr/>
        <w:t>La instrumental es el conjunto de actuaciones y elementos que obren en el expediente</w:t>
      </w:r>
      <w:r>
        <w:rPr>
          <w:spacing w:val="40"/>
        </w:rPr>
        <w:t> </w:t>
      </w:r>
      <w:r>
        <w:rPr/>
        <w:t>y los anexos formados con motivo del juicio.</w:t>
      </w:r>
    </w:p>
    <w:p>
      <w:pPr>
        <w:spacing w:line="181"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57" w:firstLine="288"/>
      </w:pPr>
      <w:bookmarkStart w:name="Artículo_836" w:id="1050"/>
      <w:bookmarkEnd w:id="1050"/>
      <w:r>
        <w:rPr/>
      </w:r>
      <w:r>
        <w:rPr>
          <w:rFonts w:ascii="Arial" w:hAnsi="Arial"/>
          <w:b/>
        </w:rPr>
        <w:t>Artículo 836.- </w:t>
      </w:r>
      <w:r>
        <w:rPr/>
        <w:t>El Tribunal estará obligado a tomar en cuenta las actuaciones y elementos que obren en el expediente y los anexos formados con motivo del juicio.</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Heading2"/>
        <w:ind w:left="298"/>
      </w:pPr>
      <w:r>
        <w:rPr/>
        <w:t>Sección</w:t>
      </w:r>
      <w:r>
        <w:rPr>
          <w:spacing w:val="-3"/>
        </w:rPr>
        <w:t> </w:t>
      </w:r>
      <w:r>
        <w:rPr>
          <w:spacing w:val="-2"/>
        </w:rPr>
        <w:t>Novena</w:t>
      </w:r>
    </w:p>
    <w:p>
      <w:pPr>
        <w:spacing w:line="252" w:lineRule="exact" w:before="0"/>
        <w:ind w:left="299" w:right="296" w:firstLine="0"/>
        <w:jc w:val="center"/>
        <w:rPr>
          <w:sz w:val="22"/>
        </w:rPr>
      </w:pPr>
      <w:r>
        <w:rPr>
          <w:rFonts w:ascii="Arial"/>
          <w:b/>
          <w:sz w:val="22"/>
        </w:rPr>
        <w:t>De</w:t>
      </w:r>
      <w:r>
        <w:rPr>
          <w:rFonts w:ascii="Arial"/>
          <w:b/>
          <w:spacing w:val="-7"/>
          <w:sz w:val="22"/>
        </w:rPr>
        <w:t> </w:t>
      </w:r>
      <w:r>
        <w:rPr>
          <w:rFonts w:ascii="Arial"/>
          <w:b/>
          <w:sz w:val="22"/>
        </w:rPr>
        <w:t>los</w:t>
      </w:r>
      <w:r>
        <w:rPr>
          <w:rFonts w:ascii="Arial"/>
          <w:b/>
          <w:spacing w:val="-4"/>
          <w:sz w:val="22"/>
        </w:rPr>
        <w:t> </w:t>
      </w:r>
      <w:r>
        <w:rPr>
          <w:rFonts w:ascii="Arial"/>
          <w:b/>
          <w:sz w:val="22"/>
        </w:rPr>
        <w:t>Elementos</w:t>
      </w:r>
      <w:r>
        <w:rPr>
          <w:rFonts w:ascii="Arial"/>
          <w:b/>
          <w:spacing w:val="-2"/>
          <w:sz w:val="22"/>
        </w:rPr>
        <w:t> </w:t>
      </w:r>
      <w:r>
        <w:rPr>
          <w:rFonts w:ascii="Arial"/>
          <w:b/>
          <w:sz w:val="22"/>
        </w:rPr>
        <w:t>Aportados</w:t>
      </w:r>
      <w:r>
        <w:rPr>
          <w:rFonts w:ascii="Arial"/>
          <w:b/>
          <w:spacing w:val="-4"/>
          <w:sz w:val="22"/>
        </w:rPr>
        <w:t> </w:t>
      </w:r>
      <w:r>
        <w:rPr>
          <w:rFonts w:ascii="Arial"/>
          <w:b/>
          <w:sz w:val="22"/>
        </w:rPr>
        <w:t>por</w:t>
      </w:r>
      <w:r>
        <w:rPr>
          <w:rFonts w:ascii="Arial"/>
          <w:b/>
          <w:spacing w:val="-6"/>
          <w:sz w:val="22"/>
        </w:rPr>
        <w:t> </w:t>
      </w:r>
      <w:r>
        <w:rPr>
          <w:rFonts w:ascii="Arial"/>
          <w:b/>
          <w:sz w:val="22"/>
        </w:rPr>
        <w:t>los</w:t>
      </w:r>
      <w:r>
        <w:rPr>
          <w:rFonts w:ascii="Arial"/>
          <w:b/>
          <w:spacing w:val="-4"/>
          <w:sz w:val="22"/>
        </w:rPr>
        <w:t> </w:t>
      </w:r>
      <w:r>
        <w:rPr>
          <w:rFonts w:ascii="Arial"/>
          <w:b/>
          <w:sz w:val="22"/>
        </w:rPr>
        <w:t>Avances</w:t>
      </w:r>
      <w:r>
        <w:rPr>
          <w:rFonts w:ascii="Arial"/>
          <w:b/>
          <w:spacing w:val="-1"/>
          <w:sz w:val="22"/>
        </w:rPr>
        <w:t> </w:t>
      </w:r>
      <w:r>
        <w:rPr>
          <w:rFonts w:ascii="Arial"/>
          <w:b/>
          <w:sz w:val="22"/>
        </w:rPr>
        <w:t>de</w:t>
      </w:r>
      <w:r>
        <w:rPr>
          <w:rFonts w:ascii="Arial"/>
          <w:b/>
          <w:spacing w:val="-4"/>
          <w:sz w:val="22"/>
        </w:rPr>
        <w:t> </w:t>
      </w:r>
      <w:r>
        <w:rPr>
          <w:rFonts w:ascii="Arial"/>
          <w:b/>
          <w:sz w:val="22"/>
        </w:rPr>
        <w:t>la</w:t>
      </w:r>
      <w:r>
        <w:rPr>
          <w:rFonts w:ascii="Arial"/>
          <w:b/>
          <w:spacing w:val="-6"/>
          <w:sz w:val="22"/>
        </w:rPr>
        <w:t> </w:t>
      </w:r>
      <w:r>
        <w:rPr>
          <w:rFonts w:ascii="Arial"/>
          <w:b/>
          <w:spacing w:val="-2"/>
          <w:sz w:val="22"/>
        </w:rPr>
        <w:t>Ciencia</w:t>
      </w:r>
      <w:r>
        <w:rPr>
          <w:spacing w:val="-2"/>
          <w:sz w:val="22"/>
        </w:rPr>
        <w:t>.</w:t>
      </w:r>
    </w:p>
    <w:p>
      <w:pPr>
        <w:spacing w:before="1"/>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33" w:firstLine="288"/>
        <w:jc w:val="both"/>
      </w:pPr>
      <w:bookmarkStart w:name="Artículo_836_A" w:id="1051"/>
      <w:bookmarkEnd w:id="1051"/>
      <w:r>
        <w:rPr/>
      </w:r>
      <w:r>
        <w:rPr>
          <w:rFonts w:ascii="Arial" w:hAnsi="Arial"/>
          <w:b/>
        </w:rPr>
        <w:t>Artículo 836-A.- </w:t>
      </w:r>
      <w:r>
        <w:rPr/>
        <w:t>En el caso de que las partes ofrezcan como prueba, las señaladas en la fracción VIII del artículo 776, el oferente deberá proporcionar al Tribunal los instrumentos, aparatos o elementos necesarios para que pueda apreciarse el contenido de los registros y reproducirse los sonidos e imágenes, por el tiempo indispensable para su desahogo.</w:t>
      </w:r>
    </w:p>
    <w:p>
      <w:pPr>
        <w:pStyle w:val="BodyText"/>
        <w:spacing w:before="2"/>
      </w:pPr>
    </w:p>
    <w:p>
      <w:pPr>
        <w:pStyle w:val="BodyText"/>
        <w:ind w:left="338" w:right="345" w:firstLine="288"/>
        <w:jc w:val="both"/>
      </w:pPr>
      <w:r>
        <w:rPr/>
        <w:t>En caso de que el oferente justifique debidamente su impedimento para proporcionar dichos elementos, el Tribunal lo proveerá.</w:t>
      </w:r>
    </w:p>
    <w:p>
      <w:pPr>
        <w:spacing w:line="183"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2" w:firstLine="288"/>
      </w:pPr>
      <w:bookmarkStart w:name="Artículo_836_B" w:id="1052"/>
      <w:bookmarkEnd w:id="1052"/>
      <w:r>
        <w:rPr/>
      </w:r>
      <w:r>
        <w:rPr>
          <w:rFonts w:ascii="Arial" w:hAnsi="Arial"/>
          <w:b/>
        </w:rPr>
        <w:t>Artículo 836-B. </w:t>
      </w:r>
      <w:r>
        <w:rPr/>
        <w:t>Para el desahogo o valoración de los medios de prueba referidos en esta Sección, se entenderá por:</w:t>
      </w:r>
    </w:p>
    <w:p>
      <w:pPr>
        <w:pStyle w:val="ListParagraph"/>
        <w:numPr>
          <w:ilvl w:val="1"/>
          <w:numId w:val="312"/>
        </w:numPr>
        <w:tabs>
          <w:tab w:pos="1195" w:val="left" w:leader="none"/>
        </w:tabs>
        <w:spacing w:line="240" w:lineRule="auto" w:before="227" w:after="0"/>
        <w:ind w:left="1195" w:right="342" w:hanging="569"/>
        <w:jc w:val="both"/>
        <w:rPr>
          <w:sz w:val="20"/>
        </w:rPr>
      </w:pPr>
      <w:r>
        <w:rPr>
          <w:sz w:val="20"/>
        </w:rPr>
        <w:t>Autoridad Certificadora: a las dependencias y entidades de la Administración Pública Federal y</w:t>
      </w:r>
      <w:r>
        <w:rPr>
          <w:spacing w:val="40"/>
          <w:sz w:val="20"/>
        </w:rPr>
        <w:t> </w:t>
      </w:r>
      <w:r>
        <w:rPr>
          <w:sz w:val="20"/>
        </w:rPr>
        <w:t>a los prestadores de servicios de certificación que, conforme a las disposiciones jurídicas, tengan reconocida esta calidad y cuenten con la infraestructura tecnológica para la emisión, administración y registro de certificados digitales, así como para proporcionar servicios relacionados con los mismos;</w:t>
      </w:r>
    </w:p>
    <w:p>
      <w:pPr>
        <w:pStyle w:val="ListParagraph"/>
        <w:spacing w:after="0" w:line="240" w:lineRule="auto"/>
        <w:jc w:val="both"/>
        <w:rPr>
          <w:sz w:val="20"/>
        </w:rPr>
        <w:sectPr>
          <w:type w:val="continuous"/>
          <w:pgSz w:w="12240" w:h="15840"/>
          <w:pgMar w:header="724" w:footer="712" w:top="1880" w:bottom="900" w:left="1080" w:right="1080"/>
        </w:sectPr>
      </w:pPr>
    </w:p>
    <w:p>
      <w:pPr>
        <w:pStyle w:val="BodyText"/>
        <w:spacing w:before="63"/>
      </w:pPr>
    </w:p>
    <w:p>
      <w:pPr>
        <w:pStyle w:val="ListParagraph"/>
        <w:numPr>
          <w:ilvl w:val="1"/>
          <w:numId w:val="312"/>
        </w:numPr>
        <w:tabs>
          <w:tab w:pos="1193" w:val="left" w:leader="none"/>
          <w:tab w:pos="1195" w:val="left" w:leader="none"/>
        </w:tabs>
        <w:spacing w:line="242" w:lineRule="auto" w:before="0" w:after="0"/>
        <w:ind w:left="1195" w:right="343" w:hanging="569"/>
        <w:jc w:val="both"/>
        <w:rPr>
          <w:sz w:val="20"/>
        </w:rPr>
      </w:pPr>
      <w:r>
        <w:rPr>
          <w:sz w:val="20"/>
        </w:rPr>
        <w:t>Clave de acceso: al conjunto único de caracteres alfanuméricos que un usuario emplea para acceder a un servicio, sistema o programa y que puede estar asociado a un medio físico, magnético o biométrico;</w:t>
      </w:r>
    </w:p>
    <w:p>
      <w:pPr>
        <w:pStyle w:val="ListParagraph"/>
        <w:numPr>
          <w:ilvl w:val="1"/>
          <w:numId w:val="312"/>
        </w:numPr>
        <w:tabs>
          <w:tab w:pos="1195" w:val="left" w:leader="none"/>
        </w:tabs>
        <w:spacing w:line="242" w:lineRule="auto" w:before="225" w:after="0"/>
        <w:ind w:left="1195" w:right="342" w:hanging="569"/>
        <w:jc w:val="both"/>
        <w:rPr>
          <w:sz w:val="20"/>
        </w:rPr>
      </w:pPr>
      <w:r>
        <w:rPr>
          <w:sz w:val="20"/>
        </w:rPr>
        <w:t>Certificado Digital: a la constancia digital emitida por una Autoridad Certificadora que garantiza la autenticidad de los datos de identidad del titular del certificado;</w:t>
      </w:r>
    </w:p>
    <w:p>
      <w:pPr>
        <w:pStyle w:val="ListParagraph"/>
        <w:numPr>
          <w:ilvl w:val="1"/>
          <w:numId w:val="312"/>
        </w:numPr>
        <w:tabs>
          <w:tab w:pos="1193" w:val="left" w:leader="none"/>
          <w:tab w:pos="1195" w:val="left" w:leader="none"/>
        </w:tabs>
        <w:spacing w:line="242" w:lineRule="auto" w:before="224" w:after="0"/>
        <w:ind w:left="1195" w:right="339" w:hanging="569"/>
        <w:jc w:val="both"/>
        <w:rPr>
          <w:sz w:val="20"/>
        </w:rPr>
      </w:pPr>
      <w:r>
        <w:rPr>
          <w:sz w:val="20"/>
        </w:rPr>
        <w:t>Contraseña: al conjunto único de caracteres secretos que permite validar la identificación de la persona a la que se le asignó una Clave de Acceso para ingresar a un servicio, sistema o </w:t>
      </w:r>
      <w:r>
        <w:rPr>
          <w:spacing w:val="-2"/>
          <w:sz w:val="20"/>
        </w:rPr>
        <w:t>programa;</w:t>
      </w:r>
    </w:p>
    <w:p>
      <w:pPr>
        <w:pStyle w:val="ListParagraph"/>
        <w:numPr>
          <w:ilvl w:val="1"/>
          <w:numId w:val="312"/>
        </w:numPr>
        <w:tabs>
          <w:tab w:pos="1195" w:val="left" w:leader="none"/>
        </w:tabs>
        <w:spacing w:line="240" w:lineRule="auto" w:before="225" w:after="0"/>
        <w:ind w:left="1195" w:right="345" w:hanging="569"/>
        <w:jc w:val="both"/>
        <w:rPr>
          <w:sz w:val="20"/>
        </w:rPr>
      </w:pPr>
      <w:r>
        <w:rPr>
          <w:sz w:val="20"/>
        </w:rPr>
        <w:t>Clave privada: el conjunto de caracteres que genera el titular del certificado digital de manera exclusiva y secreta para crear su firma electrónica avanzada;</w:t>
      </w:r>
    </w:p>
    <w:p>
      <w:pPr>
        <w:pStyle w:val="ListParagraph"/>
        <w:numPr>
          <w:ilvl w:val="1"/>
          <w:numId w:val="312"/>
        </w:numPr>
        <w:tabs>
          <w:tab w:pos="1193" w:val="left" w:leader="none"/>
          <w:tab w:pos="1195" w:val="left" w:leader="none"/>
        </w:tabs>
        <w:spacing w:line="242" w:lineRule="auto" w:before="229" w:after="0"/>
        <w:ind w:left="1195" w:right="340" w:hanging="569"/>
        <w:jc w:val="both"/>
        <w:rPr>
          <w:sz w:val="20"/>
        </w:rPr>
      </w:pPr>
      <w:r>
        <w:rPr>
          <w:sz w:val="20"/>
        </w:rPr>
        <w:t>Clave pública: los datos contenidos en un certificado digital que permiten la identificación del firmante y la verificación de la autenticidad de su firma electrónica avanzada;</w:t>
      </w:r>
    </w:p>
    <w:p>
      <w:pPr>
        <w:pStyle w:val="ListParagraph"/>
        <w:numPr>
          <w:ilvl w:val="1"/>
          <w:numId w:val="312"/>
        </w:numPr>
        <w:tabs>
          <w:tab w:pos="1195" w:val="left" w:leader="none"/>
        </w:tabs>
        <w:spacing w:line="240" w:lineRule="auto" w:before="224" w:after="0"/>
        <w:ind w:left="1195" w:right="0" w:hanging="569"/>
        <w:jc w:val="left"/>
        <w:rPr>
          <w:sz w:val="20"/>
        </w:rPr>
      </w:pPr>
      <w:r>
        <w:rPr>
          <w:sz w:val="20"/>
        </w:rPr>
        <w:t>Destinatario:</w:t>
      </w:r>
      <w:r>
        <w:rPr>
          <w:spacing w:val="-6"/>
          <w:sz w:val="20"/>
        </w:rPr>
        <w:t> </w:t>
      </w:r>
      <w:r>
        <w:rPr>
          <w:sz w:val="20"/>
        </w:rPr>
        <w:t>la</w:t>
      </w:r>
      <w:r>
        <w:rPr>
          <w:spacing w:val="-6"/>
          <w:sz w:val="20"/>
        </w:rPr>
        <w:t> </w:t>
      </w:r>
      <w:r>
        <w:rPr>
          <w:sz w:val="20"/>
        </w:rPr>
        <w:t>persona</w:t>
      </w:r>
      <w:r>
        <w:rPr>
          <w:spacing w:val="-5"/>
          <w:sz w:val="20"/>
        </w:rPr>
        <w:t> </w:t>
      </w:r>
      <w:r>
        <w:rPr>
          <w:sz w:val="20"/>
        </w:rPr>
        <w:t>designada</w:t>
      </w:r>
      <w:r>
        <w:rPr>
          <w:spacing w:val="-8"/>
          <w:sz w:val="20"/>
        </w:rPr>
        <w:t> </w:t>
      </w:r>
      <w:r>
        <w:rPr>
          <w:sz w:val="20"/>
        </w:rPr>
        <w:t>por</w:t>
      </w:r>
      <w:r>
        <w:rPr>
          <w:spacing w:val="-7"/>
          <w:sz w:val="20"/>
        </w:rPr>
        <w:t> </w:t>
      </w:r>
      <w:r>
        <w:rPr>
          <w:sz w:val="20"/>
        </w:rPr>
        <w:t>el</w:t>
      </w:r>
      <w:r>
        <w:rPr>
          <w:spacing w:val="-8"/>
          <w:sz w:val="20"/>
        </w:rPr>
        <w:t> </w:t>
      </w:r>
      <w:r>
        <w:rPr>
          <w:sz w:val="20"/>
        </w:rPr>
        <w:t>emisor</w:t>
      </w:r>
      <w:r>
        <w:rPr>
          <w:spacing w:val="-7"/>
          <w:sz w:val="20"/>
        </w:rPr>
        <w:t> </w:t>
      </w:r>
      <w:r>
        <w:rPr>
          <w:sz w:val="20"/>
        </w:rPr>
        <w:t>para</w:t>
      </w:r>
      <w:r>
        <w:rPr>
          <w:spacing w:val="-5"/>
          <w:sz w:val="20"/>
        </w:rPr>
        <w:t> </w:t>
      </w:r>
      <w:r>
        <w:rPr>
          <w:sz w:val="20"/>
        </w:rPr>
        <w:t>recibir</w:t>
      </w:r>
      <w:r>
        <w:rPr>
          <w:spacing w:val="-6"/>
          <w:sz w:val="20"/>
        </w:rPr>
        <w:t> </w:t>
      </w:r>
      <w:r>
        <w:rPr>
          <w:sz w:val="20"/>
        </w:rPr>
        <w:t>el</w:t>
      </w:r>
      <w:r>
        <w:rPr>
          <w:spacing w:val="-7"/>
          <w:sz w:val="20"/>
        </w:rPr>
        <w:t> </w:t>
      </w:r>
      <w:r>
        <w:rPr>
          <w:sz w:val="20"/>
        </w:rPr>
        <w:t>mensaje</w:t>
      </w:r>
      <w:r>
        <w:rPr>
          <w:spacing w:val="-7"/>
          <w:sz w:val="20"/>
        </w:rPr>
        <w:t> </w:t>
      </w:r>
      <w:r>
        <w:rPr>
          <w:sz w:val="20"/>
        </w:rPr>
        <w:t>de</w:t>
      </w:r>
      <w:r>
        <w:rPr>
          <w:spacing w:val="-7"/>
          <w:sz w:val="20"/>
        </w:rPr>
        <w:t> </w:t>
      </w:r>
      <w:r>
        <w:rPr>
          <w:spacing w:val="-2"/>
          <w:sz w:val="20"/>
        </w:rPr>
        <w:t>datos;</w:t>
      </w:r>
    </w:p>
    <w:p>
      <w:pPr>
        <w:pStyle w:val="BodyText"/>
        <w:spacing w:before="1"/>
      </w:pPr>
    </w:p>
    <w:p>
      <w:pPr>
        <w:pStyle w:val="ListParagraph"/>
        <w:numPr>
          <w:ilvl w:val="1"/>
          <w:numId w:val="312"/>
        </w:numPr>
        <w:tabs>
          <w:tab w:pos="1193" w:val="left" w:leader="none"/>
          <w:tab w:pos="1195" w:val="left" w:leader="none"/>
        </w:tabs>
        <w:spacing w:line="242" w:lineRule="auto" w:before="0" w:after="0"/>
        <w:ind w:left="1195" w:right="341" w:hanging="569"/>
        <w:jc w:val="both"/>
        <w:rPr>
          <w:sz w:val="20"/>
        </w:rPr>
      </w:pPr>
      <w:r>
        <w:rPr>
          <w:sz w:val="20"/>
        </w:rPr>
        <w:t>Documento Digital: la información que sólo puede ser generada, consultada, modificada y procesada por medios electrónicos, y enviada a través de un mensaje de datos;</w:t>
      </w:r>
    </w:p>
    <w:p>
      <w:pPr>
        <w:pStyle w:val="ListParagraph"/>
        <w:numPr>
          <w:ilvl w:val="1"/>
          <w:numId w:val="312"/>
        </w:numPr>
        <w:tabs>
          <w:tab w:pos="1195" w:val="left" w:leader="none"/>
        </w:tabs>
        <w:spacing w:line="240" w:lineRule="auto" w:before="227" w:after="0"/>
        <w:ind w:left="1195" w:right="0" w:hanging="569"/>
        <w:jc w:val="left"/>
        <w:rPr>
          <w:sz w:val="20"/>
        </w:rPr>
      </w:pPr>
      <w:r>
        <w:rPr>
          <w:sz w:val="20"/>
        </w:rPr>
        <w:t>Emisor:</w:t>
      </w:r>
      <w:r>
        <w:rPr>
          <w:spacing w:val="-6"/>
          <w:sz w:val="20"/>
        </w:rPr>
        <w:t> </w:t>
      </w:r>
      <w:r>
        <w:rPr>
          <w:sz w:val="20"/>
        </w:rPr>
        <w:t>a</w:t>
      </w:r>
      <w:r>
        <w:rPr>
          <w:spacing w:val="-5"/>
          <w:sz w:val="20"/>
        </w:rPr>
        <w:t> </w:t>
      </w:r>
      <w:r>
        <w:rPr>
          <w:sz w:val="20"/>
        </w:rPr>
        <w:t>la</w:t>
      </w:r>
      <w:r>
        <w:rPr>
          <w:spacing w:val="-6"/>
          <w:sz w:val="20"/>
        </w:rPr>
        <w:t> </w:t>
      </w:r>
      <w:r>
        <w:rPr>
          <w:sz w:val="20"/>
        </w:rPr>
        <w:t>persona</w:t>
      </w:r>
      <w:r>
        <w:rPr>
          <w:spacing w:val="-4"/>
          <w:sz w:val="20"/>
        </w:rPr>
        <w:t> </w:t>
      </w:r>
      <w:r>
        <w:rPr>
          <w:sz w:val="20"/>
        </w:rPr>
        <w:t>que</w:t>
      </w:r>
      <w:r>
        <w:rPr>
          <w:spacing w:val="-5"/>
          <w:sz w:val="20"/>
        </w:rPr>
        <w:t> </w:t>
      </w:r>
      <w:r>
        <w:rPr>
          <w:sz w:val="20"/>
        </w:rPr>
        <w:t>envía</w:t>
      </w:r>
      <w:r>
        <w:rPr>
          <w:spacing w:val="-5"/>
          <w:sz w:val="20"/>
        </w:rPr>
        <w:t> </w:t>
      </w:r>
      <w:r>
        <w:rPr>
          <w:sz w:val="20"/>
        </w:rPr>
        <w:t>un</w:t>
      </w:r>
      <w:r>
        <w:rPr>
          <w:spacing w:val="-4"/>
          <w:sz w:val="20"/>
        </w:rPr>
        <w:t> </w:t>
      </w:r>
      <w:r>
        <w:rPr>
          <w:sz w:val="20"/>
        </w:rPr>
        <w:t>documento</w:t>
      </w:r>
      <w:r>
        <w:rPr>
          <w:spacing w:val="-7"/>
          <w:sz w:val="20"/>
        </w:rPr>
        <w:t> </w:t>
      </w:r>
      <w:r>
        <w:rPr>
          <w:sz w:val="20"/>
        </w:rPr>
        <w:t>digital</w:t>
      </w:r>
      <w:r>
        <w:rPr>
          <w:spacing w:val="-6"/>
          <w:sz w:val="20"/>
        </w:rPr>
        <w:t> </w:t>
      </w:r>
      <w:r>
        <w:rPr>
          <w:sz w:val="20"/>
        </w:rPr>
        <w:t>o</w:t>
      </w:r>
      <w:r>
        <w:rPr>
          <w:spacing w:val="-4"/>
          <w:sz w:val="20"/>
        </w:rPr>
        <w:t> </w:t>
      </w:r>
      <w:r>
        <w:rPr>
          <w:sz w:val="20"/>
        </w:rPr>
        <w:t>un</w:t>
      </w:r>
      <w:r>
        <w:rPr>
          <w:spacing w:val="-6"/>
          <w:sz w:val="20"/>
        </w:rPr>
        <w:t> </w:t>
      </w:r>
      <w:r>
        <w:rPr>
          <w:sz w:val="20"/>
        </w:rPr>
        <w:t>mensaje</w:t>
      </w:r>
      <w:r>
        <w:rPr>
          <w:spacing w:val="-5"/>
          <w:sz w:val="20"/>
        </w:rPr>
        <w:t> </w:t>
      </w:r>
      <w:r>
        <w:rPr>
          <w:sz w:val="20"/>
        </w:rPr>
        <w:t>de</w:t>
      </w:r>
      <w:r>
        <w:rPr>
          <w:spacing w:val="-6"/>
          <w:sz w:val="20"/>
        </w:rPr>
        <w:t> </w:t>
      </w:r>
      <w:r>
        <w:rPr>
          <w:spacing w:val="-2"/>
          <w:sz w:val="20"/>
        </w:rPr>
        <w:t>datos;</w:t>
      </w:r>
    </w:p>
    <w:p>
      <w:pPr>
        <w:pStyle w:val="ListParagraph"/>
        <w:numPr>
          <w:ilvl w:val="1"/>
          <w:numId w:val="312"/>
        </w:numPr>
        <w:tabs>
          <w:tab w:pos="1193" w:val="left" w:leader="none"/>
          <w:tab w:pos="1195" w:val="left" w:leader="none"/>
        </w:tabs>
        <w:spacing w:line="242" w:lineRule="auto" w:before="228" w:after="0"/>
        <w:ind w:left="1195" w:right="338" w:hanging="569"/>
        <w:jc w:val="both"/>
        <w:rPr>
          <w:sz w:val="20"/>
        </w:rPr>
      </w:pPr>
      <w:r>
        <w:rPr>
          <w:sz w:val="20"/>
        </w:rPr>
        <w:t>Firma electrónica: Conjunto de datos que en forma electrónica son vinculados o asociados a un mensaje de datos por cualquier tecnología y que son utilizados para identificar al firmante en relación con el mensaje de datos para indicar que aprueba la información contenida en el mensaje de datos;</w:t>
      </w:r>
    </w:p>
    <w:p>
      <w:pPr>
        <w:pStyle w:val="ListParagraph"/>
        <w:numPr>
          <w:ilvl w:val="1"/>
          <w:numId w:val="312"/>
        </w:numPr>
        <w:tabs>
          <w:tab w:pos="1195" w:val="left" w:leader="none"/>
        </w:tabs>
        <w:spacing w:line="242" w:lineRule="auto" w:before="221" w:after="0"/>
        <w:ind w:left="1195" w:right="339" w:hanging="569"/>
        <w:jc w:val="both"/>
        <w:rPr>
          <w:sz w:val="20"/>
        </w:rPr>
      </w:pPr>
      <w:r>
        <w:rPr>
          <w:sz w:val="20"/>
        </w:rPr>
        <w:t>Firma Electrónica Avanzada: al conjunto de caracteres que permite la identificación del firmante en los documentos electrónicos o en los mensajes de datos, como resultado de utilizar su certificado digital y clave privada y que produce los mismos efectos jurídicos que la firma </w:t>
      </w:r>
      <w:r>
        <w:rPr>
          <w:spacing w:val="-2"/>
          <w:sz w:val="20"/>
        </w:rPr>
        <w:t>autógrafa;</w:t>
      </w:r>
    </w:p>
    <w:p>
      <w:pPr>
        <w:pStyle w:val="ListParagraph"/>
        <w:numPr>
          <w:ilvl w:val="1"/>
          <w:numId w:val="312"/>
        </w:numPr>
        <w:tabs>
          <w:tab w:pos="1193" w:val="left" w:leader="none"/>
          <w:tab w:pos="1195" w:val="left" w:leader="none"/>
        </w:tabs>
        <w:spacing w:line="240" w:lineRule="auto" w:before="223" w:after="0"/>
        <w:ind w:left="1195" w:right="347" w:hanging="569"/>
        <w:jc w:val="both"/>
        <w:rPr>
          <w:sz w:val="20"/>
        </w:rPr>
      </w:pPr>
      <w:r>
        <w:rPr>
          <w:sz w:val="20"/>
        </w:rPr>
        <w:t>Firmante: a toda persona que utiliza su firma electrónica o firma electrónica avanzada para suscribir documentos digitales y, en su caso, mensajes de datos;</w:t>
      </w:r>
    </w:p>
    <w:p>
      <w:pPr>
        <w:pStyle w:val="ListParagraph"/>
        <w:numPr>
          <w:ilvl w:val="1"/>
          <w:numId w:val="312"/>
        </w:numPr>
        <w:tabs>
          <w:tab w:pos="1193" w:val="left" w:leader="none"/>
          <w:tab w:pos="1195" w:val="left" w:leader="none"/>
        </w:tabs>
        <w:spacing w:line="242" w:lineRule="auto" w:before="229" w:after="0"/>
        <w:ind w:left="1195" w:right="343" w:hanging="569"/>
        <w:jc w:val="both"/>
        <w:rPr>
          <w:sz w:val="20"/>
        </w:rPr>
      </w:pPr>
      <w:r>
        <w:rPr>
          <w:sz w:val="20"/>
        </w:rPr>
        <w:t>Medios de Comunicación Electrónica: a los dispositivos tecnológicos para efectuar la transmisión y recepción de mensajes de datos y documentos digitales;</w:t>
      </w:r>
    </w:p>
    <w:p>
      <w:pPr>
        <w:pStyle w:val="ListParagraph"/>
        <w:numPr>
          <w:ilvl w:val="1"/>
          <w:numId w:val="312"/>
        </w:numPr>
        <w:tabs>
          <w:tab w:pos="1193" w:val="left" w:leader="none"/>
          <w:tab w:pos="1195" w:val="left" w:leader="none"/>
        </w:tabs>
        <w:spacing w:line="242" w:lineRule="auto" w:before="224" w:after="0"/>
        <w:ind w:left="1195" w:right="341" w:hanging="569"/>
        <w:jc w:val="both"/>
        <w:rPr>
          <w:sz w:val="20"/>
        </w:rPr>
      </w:pPr>
      <w:r>
        <w:rPr>
          <w:sz w:val="20"/>
        </w:rPr>
        <w:t>Medios Electrónicos: a los dispositivos tecnológicos para el procesamiento, impresión, despliegue, almacenamiento, reproducción, recuperación, extracción y conservación de la </w:t>
      </w:r>
      <w:r>
        <w:rPr>
          <w:spacing w:val="-2"/>
          <w:sz w:val="20"/>
        </w:rPr>
        <w:t>información;</w:t>
      </w:r>
    </w:p>
    <w:p>
      <w:pPr>
        <w:pStyle w:val="BodyText"/>
        <w:tabs>
          <w:tab w:pos="1195" w:val="left" w:leader="none"/>
        </w:tabs>
        <w:spacing w:line="242" w:lineRule="auto" w:before="225"/>
        <w:ind w:left="1195" w:right="357" w:hanging="569"/>
      </w:pPr>
      <w:r>
        <w:rPr>
          <w:rFonts w:ascii="Arial" w:hAnsi="Arial"/>
          <w:b/>
          <w:spacing w:val="-6"/>
        </w:rPr>
        <w:t>ñ)</w:t>
      </w:r>
      <w:r>
        <w:rPr>
          <w:rFonts w:ascii="Arial" w:hAnsi="Arial"/>
          <w:b/>
        </w:rPr>
        <w:tab/>
      </w:r>
      <w:r>
        <w:rPr/>
        <w:t>Mensaje</w:t>
      </w:r>
      <w:r>
        <w:rPr>
          <w:spacing w:val="29"/>
        </w:rPr>
        <w:t> </w:t>
      </w:r>
      <w:r>
        <w:rPr/>
        <w:t>de</w:t>
      </w:r>
      <w:r>
        <w:rPr>
          <w:spacing w:val="29"/>
        </w:rPr>
        <w:t> </w:t>
      </w:r>
      <w:r>
        <w:rPr/>
        <w:t>Datos:</w:t>
      </w:r>
      <w:r>
        <w:rPr>
          <w:spacing w:val="29"/>
        </w:rPr>
        <w:t> </w:t>
      </w:r>
      <w:r>
        <w:rPr/>
        <w:t>al</w:t>
      </w:r>
      <w:r>
        <w:rPr>
          <w:spacing w:val="28"/>
        </w:rPr>
        <w:t> </w:t>
      </w:r>
      <w:r>
        <w:rPr/>
        <w:t>intercambio</w:t>
      </w:r>
      <w:r>
        <w:rPr>
          <w:spacing w:val="29"/>
        </w:rPr>
        <w:t> </w:t>
      </w:r>
      <w:r>
        <w:rPr/>
        <w:t>de</w:t>
      </w:r>
      <w:r>
        <w:rPr>
          <w:spacing w:val="31"/>
        </w:rPr>
        <w:t> </w:t>
      </w:r>
      <w:r>
        <w:rPr/>
        <w:t>información</w:t>
      </w:r>
      <w:r>
        <w:rPr>
          <w:spacing w:val="28"/>
        </w:rPr>
        <w:t> </w:t>
      </w:r>
      <w:r>
        <w:rPr/>
        <w:t>entre</w:t>
      </w:r>
      <w:r>
        <w:rPr>
          <w:spacing w:val="29"/>
        </w:rPr>
        <w:t> </w:t>
      </w:r>
      <w:r>
        <w:rPr/>
        <w:t>un</w:t>
      </w:r>
      <w:r>
        <w:rPr>
          <w:spacing w:val="31"/>
        </w:rPr>
        <w:t> </w:t>
      </w:r>
      <w:r>
        <w:rPr/>
        <w:t>emisor</w:t>
      </w:r>
      <w:r>
        <w:rPr>
          <w:spacing w:val="32"/>
        </w:rPr>
        <w:t> </w:t>
      </w:r>
      <w:r>
        <w:rPr/>
        <w:t>y</w:t>
      </w:r>
      <w:r>
        <w:rPr>
          <w:spacing w:val="26"/>
        </w:rPr>
        <w:t> </w:t>
      </w:r>
      <w:r>
        <w:rPr/>
        <w:t>un</w:t>
      </w:r>
      <w:r>
        <w:rPr>
          <w:spacing w:val="28"/>
        </w:rPr>
        <w:t> </w:t>
      </w:r>
      <w:r>
        <w:rPr/>
        <w:t>receptor</w:t>
      </w:r>
      <w:r>
        <w:rPr>
          <w:spacing w:val="29"/>
        </w:rPr>
        <w:t> </w:t>
      </w:r>
      <w:r>
        <w:rPr/>
        <w:t>a</w:t>
      </w:r>
      <w:r>
        <w:rPr>
          <w:spacing w:val="29"/>
        </w:rPr>
        <w:t> </w:t>
      </w:r>
      <w:r>
        <w:rPr/>
        <w:t>través</w:t>
      </w:r>
      <w:r>
        <w:rPr>
          <w:spacing w:val="30"/>
        </w:rPr>
        <w:t> </w:t>
      </w:r>
      <w:r>
        <w:rPr/>
        <w:t>de medios de comunicación electrónica;</w:t>
      </w:r>
    </w:p>
    <w:p>
      <w:pPr>
        <w:pStyle w:val="ListParagraph"/>
        <w:numPr>
          <w:ilvl w:val="1"/>
          <w:numId w:val="312"/>
        </w:numPr>
        <w:tabs>
          <w:tab w:pos="1193" w:val="left" w:leader="none"/>
          <w:tab w:pos="1195" w:val="left" w:leader="none"/>
        </w:tabs>
        <w:spacing w:line="242" w:lineRule="auto" w:before="225" w:after="0"/>
        <w:ind w:left="1195" w:right="339" w:hanging="569"/>
        <w:jc w:val="both"/>
        <w:rPr>
          <w:sz w:val="20"/>
        </w:rPr>
      </w:pPr>
      <w:r>
        <w:rPr>
          <w:sz w:val="20"/>
        </w:rPr>
        <w:t>Número de identificación personal (NIP): la contraseña que se utiliza en los servicios, sistemas</w:t>
      </w:r>
      <w:r>
        <w:rPr>
          <w:spacing w:val="40"/>
          <w:sz w:val="20"/>
        </w:rPr>
        <w:t> </w:t>
      </w:r>
      <w:r>
        <w:rPr>
          <w:sz w:val="20"/>
        </w:rPr>
        <w:t>o programas, para obtener acceso, o identificarse; y</w:t>
      </w:r>
    </w:p>
    <w:p>
      <w:pPr>
        <w:pStyle w:val="ListParagraph"/>
        <w:numPr>
          <w:ilvl w:val="1"/>
          <w:numId w:val="312"/>
        </w:numPr>
        <w:tabs>
          <w:tab w:pos="1193" w:val="left" w:leader="none"/>
          <w:tab w:pos="1195" w:val="left" w:leader="none"/>
        </w:tabs>
        <w:spacing w:line="242" w:lineRule="auto" w:before="226" w:after="0"/>
        <w:ind w:left="1195" w:right="345" w:hanging="569"/>
        <w:jc w:val="both"/>
        <w:rPr>
          <w:sz w:val="20"/>
        </w:rPr>
      </w:pPr>
      <w:r>
        <w:rPr>
          <w:sz w:val="20"/>
        </w:rPr>
        <w:t>Sistema de información: conjunto de elementos tecnológicos para generar, enviar, recibir, almacenar o procesar información.</w:t>
      </w:r>
    </w:p>
    <w:p>
      <w:pPr>
        <w:pStyle w:val="ListParagraph"/>
        <w:spacing w:after="0" w:line="242" w:lineRule="auto"/>
        <w:jc w:val="both"/>
        <w:rPr>
          <w:sz w:val="20"/>
        </w:rPr>
        <w:sectPr>
          <w:pgSz w:w="12240" w:h="15840"/>
          <w:pgMar w:header="724" w:footer="712" w:top="1880" w:bottom="900" w:left="1080" w:right="1080"/>
        </w:sectPr>
      </w:pPr>
    </w:p>
    <w:p>
      <w:pPr>
        <w:pStyle w:val="BodyText"/>
        <w:spacing w:before="63"/>
      </w:pPr>
    </w:p>
    <w:p>
      <w:pPr>
        <w:pStyle w:val="ListParagraph"/>
        <w:numPr>
          <w:ilvl w:val="1"/>
          <w:numId w:val="312"/>
        </w:numPr>
        <w:tabs>
          <w:tab w:pos="1195" w:val="left" w:leader="none"/>
        </w:tabs>
        <w:spacing w:line="242" w:lineRule="auto" w:before="0" w:after="0"/>
        <w:ind w:left="1195" w:right="340" w:hanging="569"/>
        <w:jc w:val="left"/>
        <w:rPr>
          <w:sz w:val="20"/>
        </w:rPr>
      </w:pPr>
      <w:r>
        <w:rPr>
          <w:sz w:val="20"/>
        </w:rPr>
        <w:t>CFDI:</w:t>
      </w:r>
      <w:r>
        <w:rPr>
          <w:spacing w:val="38"/>
          <w:sz w:val="20"/>
        </w:rPr>
        <w:t> </w:t>
      </w:r>
      <w:r>
        <w:rPr>
          <w:sz w:val="20"/>
        </w:rPr>
        <w:t>Comprobante</w:t>
      </w:r>
      <w:r>
        <w:rPr>
          <w:spacing w:val="38"/>
          <w:sz w:val="20"/>
        </w:rPr>
        <w:t> </w:t>
      </w:r>
      <w:r>
        <w:rPr>
          <w:sz w:val="20"/>
        </w:rPr>
        <w:t>Fiscal</w:t>
      </w:r>
      <w:r>
        <w:rPr>
          <w:spacing w:val="39"/>
          <w:sz w:val="20"/>
        </w:rPr>
        <w:t> </w:t>
      </w:r>
      <w:r>
        <w:rPr>
          <w:sz w:val="20"/>
        </w:rPr>
        <w:t>Digital</w:t>
      </w:r>
      <w:r>
        <w:rPr>
          <w:spacing w:val="39"/>
          <w:sz w:val="20"/>
        </w:rPr>
        <w:t> </w:t>
      </w:r>
      <w:r>
        <w:rPr>
          <w:sz w:val="20"/>
        </w:rPr>
        <w:t>por</w:t>
      </w:r>
      <w:r>
        <w:rPr>
          <w:spacing w:val="39"/>
          <w:sz w:val="20"/>
        </w:rPr>
        <w:t> </w:t>
      </w:r>
      <w:r>
        <w:rPr>
          <w:sz w:val="20"/>
        </w:rPr>
        <w:t>Internet</w:t>
      </w:r>
      <w:r>
        <w:rPr>
          <w:spacing w:val="40"/>
          <w:sz w:val="20"/>
        </w:rPr>
        <w:t> </w:t>
      </w:r>
      <w:r>
        <w:rPr>
          <w:sz w:val="20"/>
        </w:rPr>
        <w:t>o</w:t>
      </w:r>
      <w:r>
        <w:rPr>
          <w:spacing w:val="38"/>
          <w:sz w:val="20"/>
        </w:rPr>
        <w:t> </w:t>
      </w:r>
      <w:r>
        <w:rPr>
          <w:sz w:val="20"/>
        </w:rPr>
        <w:t>documento</w:t>
      </w:r>
      <w:r>
        <w:rPr>
          <w:spacing w:val="38"/>
          <w:sz w:val="20"/>
        </w:rPr>
        <w:t> </w:t>
      </w:r>
      <w:r>
        <w:rPr>
          <w:sz w:val="20"/>
        </w:rPr>
        <w:t>equivalente</w:t>
      </w:r>
      <w:r>
        <w:rPr>
          <w:spacing w:val="38"/>
          <w:sz w:val="20"/>
        </w:rPr>
        <w:t> </w:t>
      </w:r>
      <w:r>
        <w:rPr>
          <w:sz w:val="20"/>
        </w:rPr>
        <w:t>en</w:t>
      </w:r>
      <w:r>
        <w:rPr>
          <w:spacing w:val="38"/>
          <w:sz w:val="20"/>
        </w:rPr>
        <w:t> </w:t>
      </w:r>
      <w:r>
        <w:rPr>
          <w:sz w:val="20"/>
        </w:rPr>
        <w:t>términos</w:t>
      </w:r>
      <w:r>
        <w:rPr>
          <w:spacing w:val="40"/>
          <w:sz w:val="20"/>
        </w:rPr>
        <w:t> </w:t>
      </w:r>
      <w:r>
        <w:rPr>
          <w:sz w:val="20"/>
        </w:rPr>
        <w:t>de</w:t>
      </w:r>
      <w:r>
        <w:rPr>
          <w:spacing w:val="38"/>
          <w:sz w:val="20"/>
        </w:rPr>
        <w:t> </w:t>
      </w:r>
      <w:r>
        <w:rPr>
          <w:sz w:val="20"/>
        </w:rPr>
        <w:t>las disposiciones fiscales aplicables.</w:t>
      </w:r>
    </w:p>
    <w:p>
      <w:pPr>
        <w:spacing w:line="240" w:lineRule="auto" w:before="0"/>
        <w:ind w:left="7302" w:right="333" w:firstLine="134"/>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2"/>
        <w:rPr>
          <w:rFonts w:ascii="Times New Roman"/>
          <w:i/>
          <w:sz w:val="16"/>
        </w:rPr>
      </w:pPr>
    </w:p>
    <w:p>
      <w:pPr>
        <w:pStyle w:val="BodyText"/>
        <w:spacing w:line="242" w:lineRule="auto"/>
        <w:ind w:left="338" w:firstLine="288"/>
      </w:pPr>
      <w:bookmarkStart w:name="Artículo_836_C" w:id="1053"/>
      <w:bookmarkEnd w:id="1053"/>
      <w:r>
        <w:rPr/>
      </w:r>
      <w:r>
        <w:rPr>
          <w:rFonts w:ascii="Arial" w:hAnsi="Arial"/>
          <w:b/>
        </w:rPr>
        <w:t>Artículo 836-C. </w:t>
      </w:r>
      <w:r>
        <w:rPr/>
        <w:t>La parte que ofrezca algún documento digital o cualquier medio electrónico, deberá cumplir con lo siguiente:</w:t>
      </w:r>
    </w:p>
    <w:p>
      <w:pPr>
        <w:pStyle w:val="ListParagraph"/>
        <w:numPr>
          <w:ilvl w:val="2"/>
          <w:numId w:val="312"/>
        </w:numPr>
        <w:tabs>
          <w:tab w:pos="1195" w:val="left" w:leader="none"/>
        </w:tabs>
        <w:spacing w:line="240" w:lineRule="auto" w:before="226" w:after="0"/>
        <w:ind w:left="1195" w:right="0" w:hanging="569"/>
        <w:jc w:val="left"/>
        <w:rPr>
          <w:sz w:val="20"/>
        </w:rPr>
      </w:pPr>
      <w:r>
        <w:rPr>
          <w:sz w:val="20"/>
        </w:rPr>
        <w:t>Presentar</w:t>
      </w:r>
      <w:r>
        <w:rPr>
          <w:spacing w:val="-8"/>
          <w:sz w:val="20"/>
        </w:rPr>
        <w:t> </w:t>
      </w:r>
      <w:r>
        <w:rPr>
          <w:sz w:val="20"/>
        </w:rPr>
        <w:t>una</w:t>
      </w:r>
      <w:r>
        <w:rPr>
          <w:spacing w:val="-7"/>
          <w:sz w:val="20"/>
        </w:rPr>
        <w:t> </w:t>
      </w:r>
      <w:r>
        <w:rPr>
          <w:sz w:val="20"/>
        </w:rPr>
        <w:t>impresión</w:t>
      </w:r>
      <w:r>
        <w:rPr>
          <w:spacing w:val="-9"/>
          <w:sz w:val="20"/>
        </w:rPr>
        <w:t> </w:t>
      </w:r>
      <w:r>
        <w:rPr>
          <w:sz w:val="20"/>
        </w:rPr>
        <w:t>o</w:t>
      </w:r>
      <w:r>
        <w:rPr>
          <w:spacing w:val="-4"/>
          <w:sz w:val="20"/>
        </w:rPr>
        <w:t> </w:t>
      </w:r>
      <w:r>
        <w:rPr>
          <w:sz w:val="20"/>
        </w:rPr>
        <w:t>copia</w:t>
      </w:r>
      <w:r>
        <w:rPr>
          <w:spacing w:val="-6"/>
          <w:sz w:val="20"/>
        </w:rPr>
        <w:t> </w:t>
      </w:r>
      <w:r>
        <w:rPr>
          <w:sz w:val="20"/>
        </w:rPr>
        <w:t>del</w:t>
      </w:r>
      <w:r>
        <w:rPr>
          <w:spacing w:val="-8"/>
          <w:sz w:val="20"/>
        </w:rPr>
        <w:t> </w:t>
      </w:r>
      <w:r>
        <w:rPr>
          <w:sz w:val="20"/>
        </w:rPr>
        <w:t>documento</w:t>
      </w:r>
      <w:r>
        <w:rPr>
          <w:spacing w:val="-6"/>
          <w:sz w:val="20"/>
        </w:rPr>
        <w:t> </w:t>
      </w:r>
      <w:r>
        <w:rPr>
          <w:sz w:val="20"/>
        </w:rPr>
        <w:t>digital;</w:t>
      </w:r>
      <w:r>
        <w:rPr>
          <w:spacing w:val="-5"/>
          <w:sz w:val="20"/>
        </w:rPr>
        <w:t> </w:t>
      </w:r>
      <w:r>
        <w:rPr>
          <w:spacing w:val="-10"/>
          <w:sz w:val="20"/>
        </w:rPr>
        <w:t>y</w:t>
      </w:r>
    </w:p>
    <w:p>
      <w:pPr>
        <w:pStyle w:val="ListParagraph"/>
        <w:numPr>
          <w:ilvl w:val="2"/>
          <w:numId w:val="312"/>
        </w:numPr>
        <w:tabs>
          <w:tab w:pos="1195" w:val="left" w:leader="none"/>
        </w:tabs>
        <w:spacing w:line="242" w:lineRule="auto" w:before="229" w:after="0"/>
        <w:ind w:left="1195" w:right="344" w:hanging="569"/>
        <w:jc w:val="left"/>
        <w:rPr>
          <w:sz w:val="20"/>
        </w:rPr>
      </w:pPr>
      <w:r>
        <w:rPr>
          <w:sz w:val="20"/>
        </w:rPr>
        <w:t>Acompañar</w:t>
      </w:r>
      <w:r>
        <w:rPr>
          <w:spacing w:val="80"/>
          <w:sz w:val="20"/>
        </w:rPr>
        <w:t> </w:t>
      </w:r>
      <w:r>
        <w:rPr>
          <w:sz w:val="20"/>
        </w:rPr>
        <w:t>los</w:t>
      </w:r>
      <w:r>
        <w:rPr>
          <w:spacing w:val="80"/>
          <w:sz w:val="20"/>
        </w:rPr>
        <w:t> </w:t>
      </w:r>
      <w:r>
        <w:rPr>
          <w:sz w:val="20"/>
        </w:rPr>
        <w:t>datos</w:t>
      </w:r>
      <w:r>
        <w:rPr>
          <w:spacing w:val="80"/>
          <w:sz w:val="20"/>
        </w:rPr>
        <w:t> </w:t>
      </w:r>
      <w:r>
        <w:rPr>
          <w:sz w:val="20"/>
        </w:rPr>
        <w:t>mínimos</w:t>
      </w:r>
      <w:r>
        <w:rPr>
          <w:spacing w:val="80"/>
          <w:sz w:val="20"/>
        </w:rPr>
        <w:t> </w:t>
      </w:r>
      <w:r>
        <w:rPr>
          <w:sz w:val="20"/>
        </w:rPr>
        <w:t>para</w:t>
      </w:r>
      <w:r>
        <w:rPr>
          <w:spacing w:val="79"/>
          <w:sz w:val="20"/>
        </w:rPr>
        <w:t> </w:t>
      </w:r>
      <w:r>
        <w:rPr>
          <w:sz w:val="20"/>
        </w:rPr>
        <w:t>la</w:t>
      </w:r>
      <w:r>
        <w:rPr>
          <w:spacing w:val="80"/>
          <w:sz w:val="20"/>
        </w:rPr>
        <w:t> </w:t>
      </w:r>
      <w:r>
        <w:rPr>
          <w:sz w:val="20"/>
        </w:rPr>
        <w:t>localización</w:t>
      </w:r>
      <w:r>
        <w:rPr>
          <w:spacing w:val="79"/>
          <w:sz w:val="20"/>
        </w:rPr>
        <w:t> </w:t>
      </w:r>
      <w:r>
        <w:rPr>
          <w:sz w:val="20"/>
        </w:rPr>
        <w:t>del</w:t>
      </w:r>
      <w:r>
        <w:rPr>
          <w:spacing w:val="78"/>
          <w:sz w:val="20"/>
        </w:rPr>
        <w:t> </w:t>
      </w:r>
      <w:r>
        <w:rPr>
          <w:sz w:val="20"/>
        </w:rPr>
        <w:t>documento</w:t>
      </w:r>
      <w:r>
        <w:rPr>
          <w:spacing w:val="79"/>
          <w:sz w:val="20"/>
        </w:rPr>
        <w:t> </w:t>
      </w:r>
      <w:r>
        <w:rPr>
          <w:sz w:val="20"/>
        </w:rPr>
        <w:t>digital,</w:t>
      </w:r>
      <w:r>
        <w:rPr>
          <w:spacing w:val="80"/>
          <w:sz w:val="20"/>
        </w:rPr>
        <w:t> </w:t>
      </w:r>
      <w:r>
        <w:rPr>
          <w:sz w:val="20"/>
        </w:rPr>
        <w:t>en</w:t>
      </w:r>
      <w:r>
        <w:rPr>
          <w:spacing w:val="80"/>
          <w:sz w:val="20"/>
        </w:rPr>
        <w:t> </w:t>
      </w:r>
      <w:r>
        <w:rPr>
          <w:sz w:val="20"/>
        </w:rPr>
        <w:t>el</w:t>
      </w:r>
      <w:r>
        <w:rPr>
          <w:spacing w:val="78"/>
          <w:sz w:val="20"/>
        </w:rPr>
        <w:t> </w:t>
      </w:r>
      <w:r>
        <w:rPr>
          <w:sz w:val="20"/>
        </w:rPr>
        <w:t>medio electrónico en que aquél se encuentre.</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8"/>
        <w:rPr>
          <w:rFonts w:ascii="Times New Roman"/>
          <w:i/>
          <w:sz w:val="16"/>
        </w:rPr>
      </w:pPr>
    </w:p>
    <w:p>
      <w:pPr>
        <w:pStyle w:val="BodyText"/>
        <w:ind w:left="338" w:firstLine="288"/>
      </w:pPr>
      <w:bookmarkStart w:name="Artículo_836_D" w:id="1054"/>
      <w:bookmarkEnd w:id="1054"/>
      <w:r>
        <w:rPr/>
      </w:r>
      <w:r>
        <w:rPr>
          <w:rFonts w:ascii="Arial" w:hAnsi="Arial"/>
          <w:b/>
        </w:rPr>
        <w:t>Artículo</w:t>
      </w:r>
      <w:r>
        <w:rPr>
          <w:rFonts w:ascii="Arial" w:hAnsi="Arial"/>
          <w:b/>
          <w:spacing w:val="39"/>
        </w:rPr>
        <w:t> </w:t>
      </w:r>
      <w:r>
        <w:rPr>
          <w:rFonts w:ascii="Arial" w:hAnsi="Arial"/>
          <w:b/>
        </w:rPr>
        <w:t>836-D.</w:t>
      </w:r>
      <w:r>
        <w:rPr>
          <w:rFonts w:ascii="Arial" w:hAnsi="Arial"/>
          <w:b/>
          <w:spacing w:val="39"/>
        </w:rPr>
        <w:t> </w:t>
      </w:r>
      <w:r>
        <w:rPr/>
        <w:t>En</w:t>
      </w:r>
      <w:r>
        <w:rPr>
          <w:spacing w:val="36"/>
        </w:rPr>
        <w:t> </w:t>
      </w:r>
      <w:r>
        <w:rPr/>
        <w:t>el</w:t>
      </w:r>
      <w:r>
        <w:rPr>
          <w:spacing w:val="38"/>
        </w:rPr>
        <w:t> </w:t>
      </w:r>
      <w:r>
        <w:rPr/>
        <w:t>desahogo</w:t>
      </w:r>
      <w:r>
        <w:rPr>
          <w:spacing w:val="38"/>
        </w:rPr>
        <w:t> </w:t>
      </w:r>
      <w:r>
        <w:rPr/>
        <w:t>de</w:t>
      </w:r>
      <w:r>
        <w:rPr>
          <w:spacing w:val="38"/>
        </w:rPr>
        <w:t> </w:t>
      </w:r>
      <w:r>
        <w:rPr/>
        <w:t>la</w:t>
      </w:r>
      <w:r>
        <w:rPr>
          <w:spacing w:val="36"/>
        </w:rPr>
        <w:t> </w:t>
      </w:r>
      <w:r>
        <w:rPr/>
        <w:t>prueba</w:t>
      </w:r>
      <w:r>
        <w:rPr>
          <w:spacing w:val="36"/>
        </w:rPr>
        <w:t> </w:t>
      </w:r>
      <w:r>
        <w:rPr/>
        <w:t>de</w:t>
      </w:r>
      <w:r>
        <w:rPr>
          <w:spacing w:val="38"/>
        </w:rPr>
        <w:t> </w:t>
      </w:r>
      <w:r>
        <w:rPr/>
        <w:t>medios</w:t>
      </w:r>
      <w:r>
        <w:rPr>
          <w:spacing w:val="37"/>
        </w:rPr>
        <w:t> </w:t>
      </w:r>
      <w:r>
        <w:rPr/>
        <w:t>electrónicos,</w:t>
      </w:r>
      <w:r>
        <w:rPr>
          <w:spacing w:val="36"/>
        </w:rPr>
        <w:t> </w:t>
      </w:r>
      <w:r>
        <w:rPr/>
        <w:t>se</w:t>
      </w:r>
      <w:r>
        <w:rPr>
          <w:spacing w:val="38"/>
        </w:rPr>
        <w:t> </w:t>
      </w:r>
      <w:r>
        <w:rPr/>
        <w:t>observarán</w:t>
      </w:r>
      <w:r>
        <w:rPr>
          <w:spacing w:val="36"/>
        </w:rPr>
        <w:t> </w:t>
      </w:r>
      <w:r>
        <w:rPr/>
        <w:t>las</w:t>
      </w:r>
      <w:r>
        <w:rPr>
          <w:spacing w:val="37"/>
        </w:rPr>
        <w:t> </w:t>
      </w:r>
      <w:r>
        <w:rPr/>
        <w:t>normas </w:t>
      </w:r>
      <w:r>
        <w:rPr>
          <w:spacing w:val="-2"/>
        </w:rPr>
        <w:t>siguientes:</w:t>
      </w:r>
    </w:p>
    <w:p>
      <w:pPr>
        <w:pStyle w:val="ListParagraph"/>
        <w:numPr>
          <w:ilvl w:val="0"/>
          <w:numId w:val="313"/>
        </w:numPr>
        <w:tabs>
          <w:tab w:pos="1193" w:val="left" w:leader="none"/>
          <w:tab w:pos="1195" w:val="left" w:leader="none"/>
        </w:tabs>
        <w:spacing w:line="240" w:lineRule="auto" w:before="229" w:after="0"/>
        <w:ind w:left="1195" w:right="336" w:hanging="569"/>
        <w:jc w:val="both"/>
        <w:rPr>
          <w:sz w:val="20"/>
        </w:rPr>
      </w:pPr>
      <w:r>
        <w:rPr>
          <w:sz w:val="20"/>
        </w:rPr>
        <w:t>El Tribunal designará el o los peritos oficiales que se requieran, a fin de determinar si la información contenida en el documento digital se encuentra íntegra e inalterada, tal y como fue generada desde el primer momento, ubicándola en tiempo y espacio entre el emisor y </w:t>
      </w:r>
      <w:r>
        <w:rPr>
          <w:spacing w:val="-2"/>
          <w:sz w:val="20"/>
        </w:rPr>
        <w:t>destinatario.</w:t>
      </w:r>
    </w:p>
    <w:p>
      <w:pPr>
        <w:pStyle w:val="BodyText"/>
        <w:spacing w:before="1"/>
      </w:pPr>
    </w:p>
    <w:p>
      <w:pPr>
        <w:pStyle w:val="BodyText"/>
        <w:spacing w:before="1"/>
        <w:ind w:left="1195" w:right="332"/>
        <w:jc w:val="both"/>
      </w:pPr>
      <w:r>
        <w:rPr/>
        <w:t>El Tribunal podrá comisionar al actuario para que asociado del o los peritos designados, dé fe del lugar, fecha y hora en que se ponga a disposición de éstos el medio en el cual se contenga el documento digital.</w:t>
      </w:r>
    </w:p>
    <w:p>
      <w:pPr>
        <w:pStyle w:val="BodyText"/>
        <w:spacing w:before="229"/>
        <w:ind w:left="1195" w:right="339"/>
        <w:jc w:val="both"/>
      </w:pPr>
      <w:r>
        <w:rPr/>
        <w:t>Tratándose de recibos electrónicos de pago el Tribunal designará a un fedatario para que consulte la liga o ligas proporcionadas por el oferente de la prueba, en donde se encuentran los Comprobantes Fiscales Digitales por Internet o CFDI, compulse su contenido, y en el caso de coincidir, se tendrán por perfeccionados, salvo prueba en contrario.</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13"/>
        </w:numPr>
        <w:tabs>
          <w:tab w:pos="1192" w:val="left" w:leader="none"/>
          <w:tab w:pos="1195" w:val="left" w:leader="none"/>
        </w:tabs>
        <w:spacing w:line="242" w:lineRule="auto" w:before="0" w:after="0"/>
        <w:ind w:left="1195" w:right="342" w:hanging="569"/>
        <w:jc w:val="both"/>
        <w:rPr>
          <w:sz w:val="20"/>
        </w:rPr>
      </w:pPr>
      <w:r>
        <w:rPr>
          <w:sz w:val="20"/>
        </w:rPr>
        <w:t>Si el documento digital o medio electrónico, se encuentra en poder del oferente, éste deberá poner</w:t>
      </w:r>
      <w:r>
        <w:rPr>
          <w:spacing w:val="-2"/>
          <w:sz w:val="20"/>
        </w:rPr>
        <w:t> </w:t>
      </w:r>
      <w:r>
        <w:rPr>
          <w:sz w:val="20"/>
        </w:rPr>
        <w:t>a</w:t>
      </w:r>
      <w:r>
        <w:rPr>
          <w:spacing w:val="-3"/>
          <w:sz w:val="20"/>
        </w:rPr>
        <w:t> </w:t>
      </w:r>
      <w:r>
        <w:rPr>
          <w:sz w:val="20"/>
        </w:rPr>
        <w:t>disposición</w:t>
      </w:r>
      <w:r>
        <w:rPr>
          <w:spacing w:val="-3"/>
          <w:sz w:val="20"/>
        </w:rPr>
        <w:t> </w:t>
      </w:r>
      <w:r>
        <w:rPr>
          <w:sz w:val="20"/>
        </w:rPr>
        <w:t>del</w:t>
      </w:r>
      <w:r>
        <w:rPr>
          <w:spacing w:val="-4"/>
          <w:sz w:val="20"/>
        </w:rPr>
        <w:t> </w:t>
      </w:r>
      <w:r>
        <w:rPr>
          <w:sz w:val="20"/>
        </w:rPr>
        <w:t>o</w:t>
      </w:r>
      <w:r>
        <w:rPr>
          <w:spacing w:val="-3"/>
          <w:sz w:val="20"/>
        </w:rPr>
        <w:t> </w:t>
      </w:r>
      <w:r>
        <w:rPr>
          <w:sz w:val="20"/>
        </w:rPr>
        <w:t>los</w:t>
      </w:r>
      <w:r>
        <w:rPr>
          <w:spacing w:val="-4"/>
          <w:sz w:val="20"/>
        </w:rPr>
        <w:t> </w:t>
      </w:r>
      <w:r>
        <w:rPr>
          <w:sz w:val="20"/>
        </w:rPr>
        <w:t>peritos</w:t>
      </w:r>
      <w:r>
        <w:rPr>
          <w:spacing w:val="-4"/>
          <w:sz w:val="20"/>
        </w:rPr>
        <w:t> </w:t>
      </w:r>
      <w:r>
        <w:rPr>
          <w:sz w:val="20"/>
        </w:rPr>
        <w:t>designados,</w:t>
      </w:r>
      <w:r>
        <w:rPr>
          <w:spacing w:val="-3"/>
          <w:sz w:val="20"/>
        </w:rPr>
        <w:t> </w:t>
      </w:r>
      <w:r>
        <w:rPr>
          <w:sz w:val="20"/>
        </w:rPr>
        <w:t>los</w:t>
      </w:r>
      <w:r>
        <w:rPr>
          <w:spacing w:val="-4"/>
          <w:sz w:val="20"/>
        </w:rPr>
        <w:t> </w:t>
      </w:r>
      <w:r>
        <w:rPr>
          <w:sz w:val="20"/>
        </w:rPr>
        <w:t>medios</w:t>
      </w:r>
      <w:r>
        <w:rPr>
          <w:spacing w:val="-4"/>
          <w:sz w:val="20"/>
        </w:rPr>
        <w:t> </w:t>
      </w:r>
      <w:r>
        <w:rPr>
          <w:sz w:val="20"/>
        </w:rPr>
        <w:t>necesarios</w:t>
      </w:r>
      <w:r>
        <w:rPr>
          <w:spacing w:val="-2"/>
          <w:sz w:val="20"/>
        </w:rPr>
        <w:t> </w:t>
      </w:r>
      <w:r>
        <w:rPr>
          <w:sz w:val="20"/>
        </w:rPr>
        <w:t>para</w:t>
      </w:r>
      <w:r>
        <w:rPr>
          <w:spacing w:val="-3"/>
          <w:sz w:val="20"/>
        </w:rPr>
        <w:t> </w:t>
      </w:r>
      <w:r>
        <w:rPr>
          <w:sz w:val="20"/>
        </w:rPr>
        <w:t>emitir</w:t>
      </w:r>
      <w:r>
        <w:rPr>
          <w:spacing w:val="-4"/>
          <w:sz w:val="20"/>
        </w:rPr>
        <w:t> </w:t>
      </w:r>
      <w:r>
        <w:rPr>
          <w:sz w:val="20"/>
        </w:rPr>
        <w:t>su</w:t>
      </w:r>
      <w:r>
        <w:rPr>
          <w:spacing w:val="-4"/>
          <w:sz w:val="20"/>
        </w:rPr>
        <w:t> </w:t>
      </w:r>
      <w:r>
        <w:rPr>
          <w:sz w:val="20"/>
        </w:rPr>
        <w:t>dictamen, apercibido que de no hacerlo se decretará desierta la prueba.</w:t>
      </w:r>
    </w:p>
    <w:p>
      <w:pPr>
        <w:pStyle w:val="ListParagraph"/>
        <w:numPr>
          <w:ilvl w:val="0"/>
          <w:numId w:val="313"/>
        </w:numPr>
        <w:tabs>
          <w:tab w:pos="1191" w:val="left" w:leader="none"/>
          <w:tab w:pos="1195" w:val="left" w:leader="none"/>
        </w:tabs>
        <w:spacing w:line="242" w:lineRule="auto" w:before="222" w:after="0"/>
        <w:ind w:left="1195" w:right="337" w:hanging="569"/>
        <w:jc w:val="both"/>
        <w:rPr>
          <w:sz w:val="20"/>
        </w:rPr>
      </w:pPr>
      <w:r>
        <w:rPr>
          <w:sz w:val="20"/>
        </w:rPr>
        <w:t>Si el documento digital o medio electrónico se encuentra en poder de la contraparte, se deberá poner igualmente a disposición del o los peritos designados, con el apercibimiento de que en caso de no hacerlo, se establecerá la presunción de ser ciertos los hechos que el oferente exprese, en relación con el documento digital.</w:t>
      </w:r>
    </w:p>
    <w:p>
      <w:pPr>
        <w:pStyle w:val="ListParagraph"/>
        <w:numPr>
          <w:ilvl w:val="0"/>
          <w:numId w:val="313"/>
        </w:numPr>
        <w:tabs>
          <w:tab w:pos="1195" w:val="left" w:leader="none"/>
        </w:tabs>
        <w:spacing w:line="240" w:lineRule="auto" w:before="223" w:after="0"/>
        <w:ind w:left="1195" w:right="337" w:hanging="569"/>
        <w:jc w:val="both"/>
        <w:rPr>
          <w:sz w:val="20"/>
        </w:rPr>
      </w:pPr>
      <w:r>
        <w:rPr>
          <w:sz w:val="20"/>
        </w:rPr>
        <w:t>Si el documento digital o medio electrónico se encuentra en poder de un tercero, éste tiene la obligación de ponerlo a disposición del Tribunal, bajo los apercibimientos establecidos en el artículo 731 de esta Ley.</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1195"/>
      </w:pPr>
      <w:r>
        <w:rPr/>
        <w:t>Para</w:t>
      </w:r>
      <w:r>
        <w:rPr>
          <w:spacing w:val="22"/>
        </w:rPr>
        <w:t> </w:t>
      </w:r>
      <w:r>
        <w:rPr/>
        <w:t>los</w:t>
      </w:r>
      <w:r>
        <w:rPr>
          <w:spacing w:val="23"/>
        </w:rPr>
        <w:t> </w:t>
      </w:r>
      <w:r>
        <w:rPr/>
        <w:t>efectos</w:t>
      </w:r>
      <w:r>
        <w:rPr>
          <w:spacing w:val="23"/>
        </w:rPr>
        <w:t> </w:t>
      </w:r>
      <w:r>
        <w:rPr/>
        <w:t>de</w:t>
      </w:r>
      <w:r>
        <w:rPr>
          <w:spacing w:val="22"/>
        </w:rPr>
        <w:t> </w:t>
      </w:r>
      <w:r>
        <w:rPr/>
        <w:t>este</w:t>
      </w:r>
      <w:r>
        <w:rPr>
          <w:spacing w:val="22"/>
        </w:rPr>
        <w:t> </w:t>
      </w:r>
      <w:r>
        <w:rPr/>
        <w:t>artículo,</w:t>
      </w:r>
      <w:r>
        <w:rPr>
          <w:spacing w:val="22"/>
        </w:rPr>
        <w:t> </w:t>
      </w:r>
      <w:r>
        <w:rPr/>
        <w:t>se</w:t>
      </w:r>
      <w:r>
        <w:rPr>
          <w:spacing w:val="22"/>
        </w:rPr>
        <w:t> </w:t>
      </w:r>
      <w:r>
        <w:rPr/>
        <w:t>estará</w:t>
      </w:r>
      <w:r>
        <w:rPr>
          <w:spacing w:val="24"/>
        </w:rPr>
        <w:t> </w:t>
      </w:r>
      <w:r>
        <w:rPr/>
        <w:t>a</w:t>
      </w:r>
      <w:r>
        <w:rPr>
          <w:spacing w:val="22"/>
        </w:rPr>
        <w:t> </w:t>
      </w:r>
      <w:r>
        <w:rPr/>
        <w:t>lo</w:t>
      </w:r>
      <w:r>
        <w:rPr>
          <w:spacing w:val="22"/>
        </w:rPr>
        <w:t> </w:t>
      </w:r>
      <w:r>
        <w:rPr/>
        <w:t>dispuesto</w:t>
      </w:r>
      <w:r>
        <w:rPr>
          <w:spacing w:val="22"/>
        </w:rPr>
        <w:t> </w:t>
      </w:r>
      <w:r>
        <w:rPr/>
        <w:t>en</w:t>
      </w:r>
      <w:r>
        <w:rPr>
          <w:spacing w:val="24"/>
        </w:rPr>
        <w:t> </w:t>
      </w:r>
      <w:r>
        <w:rPr/>
        <w:t>la</w:t>
      </w:r>
      <w:r>
        <w:rPr>
          <w:spacing w:val="24"/>
        </w:rPr>
        <w:t> </w:t>
      </w:r>
      <w:r>
        <w:rPr/>
        <w:t>Sección</w:t>
      </w:r>
      <w:r>
        <w:rPr>
          <w:spacing w:val="22"/>
        </w:rPr>
        <w:t> </w:t>
      </w:r>
      <w:r>
        <w:rPr/>
        <w:t>Quinta</w:t>
      </w:r>
      <w:r>
        <w:rPr>
          <w:spacing w:val="22"/>
        </w:rPr>
        <w:t> </w:t>
      </w:r>
      <w:r>
        <w:rPr/>
        <w:t>del</w:t>
      </w:r>
      <w:r>
        <w:rPr>
          <w:spacing w:val="24"/>
        </w:rPr>
        <w:t> </w:t>
      </w:r>
      <w:r>
        <w:rPr/>
        <w:t>presente Capítulo, relativo a la prueba pericial.</w:t>
      </w:r>
    </w:p>
    <w:p>
      <w:pPr>
        <w:pStyle w:val="ListParagraph"/>
        <w:numPr>
          <w:ilvl w:val="0"/>
          <w:numId w:val="313"/>
        </w:numPr>
        <w:tabs>
          <w:tab w:pos="1195" w:val="left" w:leader="none"/>
        </w:tabs>
        <w:spacing w:line="242" w:lineRule="auto" w:before="226" w:after="0"/>
        <w:ind w:left="1195" w:right="339" w:hanging="569"/>
        <w:jc w:val="left"/>
        <w:rPr>
          <w:sz w:val="20"/>
        </w:rPr>
      </w:pPr>
      <w:r>
        <w:rPr>
          <w:sz w:val="20"/>
        </w:rPr>
        <w:t>Las</w:t>
      </w:r>
      <w:r>
        <w:rPr>
          <w:spacing w:val="-1"/>
          <w:sz w:val="20"/>
        </w:rPr>
        <w:t> </w:t>
      </w:r>
      <w:r>
        <w:rPr>
          <w:sz w:val="20"/>
        </w:rPr>
        <w:t>partes y</w:t>
      </w:r>
      <w:r>
        <w:rPr>
          <w:spacing w:val="-5"/>
          <w:sz w:val="20"/>
        </w:rPr>
        <w:t> </w:t>
      </w:r>
      <w:r>
        <w:rPr>
          <w:sz w:val="20"/>
        </w:rPr>
        <w:t>los</w:t>
      </w:r>
      <w:r>
        <w:rPr>
          <w:spacing w:val="-1"/>
          <w:sz w:val="20"/>
        </w:rPr>
        <w:t> </w:t>
      </w:r>
      <w:r>
        <w:rPr>
          <w:sz w:val="20"/>
        </w:rPr>
        <w:t>miembros</w:t>
      </w:r>
      <w:r>
        <w:rPr>
          <w:spacing w:val="-2"/>
          <w:sz w:val="20"/>
        </w:rPr>
        <w:t> </w:t>
      </w:r>
      <w:r>
        <w:rPr>
          <w:sz w:val="20"/>
        </w:rPr>
        <w:t>del</w:t>
      </w:r>
      <w:r>
        <w:rPr>
          <w:spacing w:val="-3"/>
          <w:sz w:val="20"/>
        </w:rPr>
        <w:t> </w:t>
      </w:r>
      <w:r>
        <w:rPr>
          <w:sz w:val="20"/>
        </w:rPr>
        <w:t>Tribunal</w:t>
      </w:r>
      <w:r>
        <w:rPr>
          <w:spacing w:val="-1"/>
          <w:sz w:val="20"/>
        </w:rPr>
        <w:t> </w:t>
      </w:r>
      <w:r>
        <w:rPr>
          <w:sz w:val="20"/>
        </w:rPr>
        <w:t>podrán</w:t>
      </w:r>
      <w:r>
        <w:rPr>
          <w:spacing w:val="-2"/>
          <w:sz w:val="20"/>
        </w:rPr>
        <w:t> </w:t>
      </w:r>
      <w:r>
        <w:rPr>
          <w:sz w:val="20"/>
        </w:rPr>
        <w:t>hacer</w:t>
      </w:r>
      <w:r>
        <w:rPr>
          <w:spacing w:val="-1"/>
          <w:sz w:val="20"/>
        </w:rPr>
        <w:t> </w:t>
      </w:r>
      <w:r>
        <w:rPr>
          <w:sz w:val="20"/>
        </w:rPr>
        <w:t>al</w:t>
      </w:r>
      <w:r>
        <w:rPr>
          <w:spacing w:val="-3"/>
          <w:sz w:val="20"/>
        </w:rPr>
        <w:t> </w:t>
      </w:r>
      <w:r>
        <w:rPr>
          <w:sz w:val="20"/>
        </w:rPr>
        <w:t>o</w:t>
      </w:r>
      <w:r>
        <w:rPr>
          <w:spacing w:val="-2"/>
          <w:sz w:val="20"/>
        </w:rPr>
        <w:t> </w:t>
      </w:r>
      <w:r>
        <w:rPr>
          <w:sz w:val="20"/>
        </w:rPr>
        <w:t>a los</w:t>
      </w:r>
      <w:r>
        <w:rPr>
          <w:spacing w:val="-1"/>
          <w:sz w:val="20"/>
        </w:rPr>
        <w:t> </w:t>
      </w:r>
      <w:r>
        <w:rPr>
          <w:sz w:val="20"/>
        </w:rPr>
        <w:t>peritos</w:t>
      </w:r>
      <w:r>
        <w:rPr>
          <w:spacing w:val="-1"/>
          <w:sz w:val="20"/>
        </w:rPr>
        <w:t> </w:t>
      </w:r>
      <w:r>
        <w:rPr>
          <w:sz w:val="20"/>
        </w:rPr>
        <w:t>designados las</w:t>
      </w:r>
      <w:r>
        <w:rPr>
          <w:spacing w:val="-1"/>
          <w:sz w:val="20"/>
        </w:rPr>
        <w:t> </w:t>
      </w:r>
      <w:r>
        <w:rPr>
          <w:sz w:val="20"/>
        </w:rPr>
        <w:t>preguntas que juzguen convenientes.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0" w:lineRule="exact"/>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BodyText"/>
        <w:ind w:left="338" w:firstLine="288"/>
      </w:pPr>
      <w:r>
        <w:rPr/>
        <w:t>Para</w:t>
      </w:r>
      <w:r>
        <w:rPr>
          <w:spacing w:val="30"/>
        </w:rPr>
        <w:t> </w:t>
      </w:r>
      <w:r>
        <w:rPr/>
        <w:t>el</w:t>
      </w:r>
      <w:r>
        <w:rPr>
          <w:spacing w:val="29"/>
        </w:rPr>
        <w:t> </w:t>
      </w:r>
      <w:r>
        <w:rPr/>
        <w:t>desahogo</w:t>
      </w:r>
      <w:r>
        <w:rPr>
          <w:spacing w:val="29"/>
        </w:rPr>
        <w:t> </w:t>
      </w:r>
      <w:r>
        <w:rPr/>
        <w:t>de</w:t>
      </w:r>
      <w:r>
        <w:rPr>
          <w:spacing w:val="30"/>
        </w:rPr>
        <w:t> </w:t>
      </w:r>
      <w:r>
        <w:rPr/>
        <w:t>la</w:t>
      </w:r>
      <w:r>
        <w:rPr>
          <w:spacing w:val="30"/>
        </w:rPr>
        <w:t> </w:t>
      </w:r>
      <w:r>
        <w:rPr/>
        <w:t>prueba</w:t>
      </w:r>
      <w:r>
        <w:rPr>
          <w:spacing w:val="32"/>
        </w:rPr>
        <w:t> </w:t>
      </w:r>
      <w:r>
        <w:rPr/>
        <w:t>a</w:t>
      </w:r>
      <w:r>
        <w:rPr>
          <w:spacing w:val="30"/>
        </w:rPr>
        <w:t> </w:t>
      </w:r>
      <w:r>
        <w:rPr/>
        <w:t>que</w:t>
      </w:r>
      <w:r>
        <w:rPr>
          <w:spacing w:val="30"/>
        </w:rPr>
        <w:t> </w:t>
      </w:r>
      <w:r>
        <w:rPr/>
        <w:t>se</w:t>
      </w:r>
      <w:r>
        <w:rPr>
          <w:spacing w:val="30"/>
        </w:rPr>
        <w:t> </w:t>
      </w:r>
      <w:r>
        <w:rPr/>
        <w:t>refiere</w:t>
      </w:r>
      <w:r>
        <w:rPr>
          <w:spacing w:val="30"/>
        </w:rPr>
        <w:t> </w:t>
      </w:r>
      <w:r>
        <w:rPr/>
        <w:t>este</w:t>
      </w:r>
      <w:r>
        <w:rPr>
          <w:spacing w:val="30"/>
        </w:rPr>
        <w:t> </w:t>
      </w:r>
      <w:r>
        <w:rPr/>
        <w:t>artículo,</w:t>
      </w:r>
      <w:r>
        <w:rPr>
          <w:spacing w:val="29"/>
        </w:rPr>
        <w:t> </w:t>
      </w:r>
      <w:r>
        <w:rPr/>
        <w:t>el</w:t>
      </w:r>
      <w:r>
        <w:rPr>
          <w:spacing w:val="36"/>
        </w:rPr>
        <w:t> </w:t>
      </w:r>
      <w:r>
        <w:rPr/>
        <w:t>Tribunal</w:t>
      </w:r>
      <w:r>
        <w:rPr>
          <w:spacing w:val="29"/>
        </w:rPr>
        <w:t> </w:t>
      </w:r>
      <w:r>
        <w:rPr/>
        <w:t>en</w:t>
      </w:r>
      <w:r>
        <w:rPr>
          <w:spacing w:val="30"/>
        </w:rPr>
        <w:t> </w:t>
      </w:r>
      <w:r>
        <w:rPr/>
        <w:t>todo</w:t>
      </w:r>
      <w:r>
        <w:rPr>
          <w:spacing w:val="30"/>
        </w:rPr>
        <w:t> </w:t>
      </w:r>
      <w:r>
        <w:rPr/>
        <w:t>momento</w:t>
      </w:r>
      <w:r>
        <w:rPr>
          <w:spacing w:val="29"/>
        </w:rPr>
        <w:t> </w:t>
      </w:r>
      <w:r>
        <w:rPr/>
        <w:t>podrá asistirse de elementos humanos y tecnológicos necesarios para mejor proveer.</w:t>
      </w:r>
    </w:p>
    <w:p>
      <w:pPr>
        <w:pStyle w:val="BodyText"/>
        <w:spacing w:after="0"/>
        <w:sectPr>
          <w:pgSz w:w="12240" w:h="15840"/>
          <w:pgMar w:header="724" w:footer="712" w:top="1880" w:bottom="900" w:left="1080" w:right="1080"/>
        </w:sectPr>
      </w:pPr>
    </w:p>
    <w:p>
      <w:pPr>
        <w:pStyle w:val="BodyText"/>
        <w:rPr>
          <w:sz w:val="22"/>
        </w:rPr>
      </w:pPr>
    </w:p>
    <w:p>
      <w:pPr>
        <w:pStyle w:val="BodyText"/>
        <w:spacing w:before="88"/>
        <w:rPr>
          <w:sz w:val="22"/>
        </w:rPr>
      </w:pPr>
    </w:p>
    <w:p>
      <w:pPr>
        <w:pStyle w:val="Heading1"/>
        <w:ind w:left="3418" w:right="0"/>
      </w:pPr>
      <w:r>
        <w:rPr/>
        <w:t>CAPITULO</w:t>
      </w:r>
      <w:r>
        <w:rPr>
          <w:spacing w:val="-9"/>
        </w:rPr>
        <w:t> </w:t>
      </w:r>
      <w:r>
        <w:rPr>
          <w:spacing w:val="-4"/>
        </w:rPr>
        <w:t>XIII</w:t>
      </w:r>
    </w:p>
    <w:p>
      <w:pPr>
        <w:pStyle w:val="Heading2"/>
        <w:spacing w:before="2"/>
        <w:ind w:left="3421" w:right="0"/>
      </w:pPr>
      <w:r>
        <w:rPr/>
        <w:t>De</w:t>
      </w:r>
      <w:r>
        <w:rPr>
          <w:spacing w:val="-5"/>
        </w:rPr>
        <w:t> </w:t>
      </w:r>
      <w:r>
        <w:rPr/>
        <w:t>las</w:t>
      </w:r>
      <w:r>
        <w:rPr>
          <w:spacing w:val="-5"/>
        </w:rPr>
        <w:t> </w:t>
      </w:r>
      <w:r>
        <w:rPr/>
        <w:t>Resoluciones</w:t>
      </w:r>
      <w:r>
        <w:rPr>
          <w:spacing w:val="-6"/>
        </w:rPr>
        <w:t> </w:t>
      </w:r>
      <w:r>
        <w:rPr>
          <w:spacing w:val="-2"/>
        </w:rPr>
        <w:t>Laborales</w:t>
      </w:r>
    </w:p>
    <w:p>
      <w:pPr>
        <w:spacing w:before="0"/>
        <w:ind w:left="598" w:right="0" w:firstLine="62"/>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rPr>
          <w:rFonts w:ascii="Times New Roman"/>
          <w:i/>
          <w:sz w:val="16"/>
        </w:rPr>
      </w:pPr>
    </w:p>
    <w:p>
      <w:pPr>
        <w:pStyle w:val="BodyText"/>
        <w:rPr>
          <w:rFonts w:ascii="Times New Roman"/>
          <w:i/>
          <w:sz w:val="16"/>
        </w:rPr>
      </w:pPr>
    </w:p>
    <w:p>
      <w:pPr>
        <w:pStyle w:val="BodyText"/>
        <w:spacing w:before="182"/>
        <w:rPr>
          <w:rFonts w:ascii="Times New Roman"/>
          <w:i/>
          <w:sz w:val="16"/>
        </w:rPr>
      </w:pPr>
    </w:p>
    <w:p>
      <w:pPr>
        <w:spacing w:before="1"/>
        <w:ind w:left="564"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i/>
          <w:sz w:val="16"/>
        </w:rPr>
        <w:sectPr>
          <w:type w:val="continuous"/>
          <w:pgSz w:w="12240" w:h="15840"/>
          <w:pgMar w:header="724" w:footer="712" w:top="1880" w:bottom="900" w:left="1080" w:right="1080"/>
          <w:cols w:num="2" w:equalWidth="0">
            <w:col w:w="6664" w:space="40"/>
            <w:col w:w="3376"/>
          </w:cols>
        </w:sectPr>
      </w:pPr>
    </w:p>
    <w:p>
      <w:pPr>
        <w:pStyle w:val="BodyText"/>
        <w:spacing w:before="1"/>
        <w:rPr>
          <w:rFonts w:ascii="Times New Roman"/>
          <w:i/>
        </w:rPr>
      </w:pPr>
    </w:p>
    <w:p>
      <w:pPr>
        <w:spacing w:before="0"/>
        <w:ind w:left="626" w:right="0" w:firstLine="0"/>
        <w:jc w:val="left"/>
        <w:rPr>
          <w:sz w:val="20"/>
        </w:rPr>
      </w:pPr>
      <w:bookmarkStart w:name="Artículo_837" w:id="1055"/>
      <w:bookmarkEnd w:id="1055"/>
      <w:r>
        <w:rPr/>
      </w:r>
      <w:r>
        <w:rPr>
          <w:rFonts w:ascii="Arial" w:hAnsi="Arial"/>
          <w:b/>
          <w:sz w:val="20"/>
        </w:rPr>
        <w:t>Artículo</w:t>
      </w:r>
      <w:r>
        <w:rPr>
          <w:rFonts w:ascii="Arial" w:hAnsi="Arial"/>
          <w:b/>
          <w:spacing w:val="-8"/>
          <w:sz w:val="20"/>
        </w:rPr>
        <w:t> </w:t>
      </w:r>
      <w:r>
        <w:rPr>
          <w:rFonts w:ascii="Arial" w:hAnsi="Arial"/>
          <w:b/>
          <w:sz w:val="20"/>
        </w:rPr>
        <w:t>837.-</w:t>
      </w:r>
      <w:r>
        <w:rPr>
          <w:rFonts w:ascii="Arial" w:hAnsi="Arial"/>
          <w:b/>
          <w:spacing w:val="-7"/>
          <w:sz w:val="20"/>
        </w:rPr>
        <w:t> </w:t>
      </w:r>
      <w:r>
        <w:rPr>
          <w:sz w:val="20"/>
        </w:rPr>
        <w:t>Las</w:t>
      </w:r>
      <w:r>
        <w:rPr>
          <w:spacing w:val="-7"/>
          <w:sz w:val="20"/>
        </w:rPr>
        <w:t> </w:t>
      </w:r>
      <w:r>
        <w:rPr>
          <w:sz w:val="20"/>
        </w:rPr>
        <w:t>resoluciones</w:t>
      </w:r>
      <w:r>
        <w:rPr>
          <w:spacing w:val="-8"/>
          <w:sz w:val="20"/>
        </w:rPr>
        <w:t> </w:t>
      </w:r>
      <w:r>
        <w:rPr>
          <w:sz w:val="20"/>
        </w:rPr>
        <w:t>de</w:t>
      </w:r>
      <w:r>
        <w:rPr>
          <w:spacing w:val="-8"/>
          <w:sz w:val="20"/>
        </w:rPr>
        <w:t> </w:t>
      </w:r>
      <w:r>
        <w:rPr>
          <w:sz w:val="20"/>
        </w:rPr>
        <w:t>los</w:t>
      </w:r>
      <w:r>
        <w:rPr>
          <w:spacing w:val="-7"/>
          <w:sz w:val="20"/>
        </w:rPr>
        <w:t> </w:t>
      </w:r>
      <w:r>
        <w:rPr>
          <w:sz w:val="20"/>
        </w:rPr>
        <w:t>tribunales</w:t>
      </w:r>
      <w:r>
        <w:rPr>
          <w:spacing w:val="-7"/>
          <w:sz w:val="20"/>
        </w:rPr>
        <w:t> </w:t>
      </w:r>
      <w:r>
        <w:rPr>
          <w:sz w:val="20"/>
        </w:rPr>
        <w:t>laborales</w:t>
      </w:r>
      <w:r>
        <w:rPr>
          <w:spacing w:val="-8"/>
          <w:sz w:val="20"/>
        </w:rPr>
        <w:t> </w:t>
      </w:r>
      <w:r>
        <w:rPr>
          <w:spacing w:val="-4"/>
          <w:sz w:val="20"/>
        </w:rPr>
        <w:t>son:</w:t>
      </w:r>
    </w:p>
    <w:p>
      <w:pPr>
        <w:pStyle w:val="ListParagraph"/>
        <w:numPr>
          <w:ilvl w:val="0"/>
          <w:numId w:val="314"/>
        </w:numPr>
        <w:tabs>
          <w:tab w:pos="1195" w:val="left" w:leader="none"/>
        </w:tabs>
        <w:spacing w:line="242" w:lineRule="auto" w:before="228" w:after="0"/>
        <w:ind w:left="1195" w:right="345" w:hanging="569"/>
        <w:jc w:val="left"/>
        <w:rPr>
          <w:sz w:val="20"/>
        </w:rPr>
      </w:pPr>
      <w:r>
        <w:rPr>
          <w:sz w:val="20"/>
        </w:rPr>
        <w:t>Acuerdos:</w:t>
      </w:r>
      <w:r>
        <w:rPr>
          <w:spacing w:val="40"/>
          <w:sz w:val="20"/>
        </w:rPr>
        <w:t> </w:t>
      </w:r>
      <w:r>
        <w:rPr>
          <w:sz w:val="20"/>
        </w:rPr>
        <w:t>si</w:t>
      </w:r>
      <w:r>
        <w:rPr>
          <w:spacing w:val="40"/>
          <w:sz w:val="20"/>
        </w:rPr>
        <w:t> </w:t>
      </w:r>
      <w:r>
        <w:rPr>
          <w:sz w:val="20"/>
        </w:rPr>
        <w:t>se</w:t>
      </w:r>
      <w:r>
        <w:rPr>
          <w:spacing w:val="40"/>
          <w:sz w:val="20"/>
        </w:rPr>
        <w:t> </w:t>
      </w:r>
      <w:r>
        <w:rPr>
          <w:sz w:val="20"/>
        </w:rPr>
        <w:t>refieren</w:t>
      </w:r>
      <w:r>
        <w:rPr>
          <w:spacing w:val="40"/>
          <w:sz w:val="20"/>
        </w:rPr>
        <w:t> </w:t>
      </w:r>
      <w:r>
        <w:rPr>
          <w:sz w:val="20"/>
        </w:rPr>
        <w:t>a</w:t>
      </w:r>
      <w:r>
        <w:rPr>
          <w:spacing w:val="40"/>
          <w:sz w:val="20"/>
        </w:rPr>
        <w:t> </w:t>
      </w:r>
      <w:r>
        <w:rPr>
          <w:sz w:val="20"/>
        </w:rPr>
        <w:t>simples</w:t>
      </w:r>
      <w:r>
        <w:rPr>
          <w:spacing w:val="40"/>
          <w:sz w:val="20"/>
        </w:rPr>
        <w:t> </w:t>
      </w:r>
      <w:r>
        <w:rPr>
          <w:sz w:val="20"/>
        </w:rPr>
        <w:t>determinaciones</w:t>
      </w:r>
      <w:r>
        <w:rPr>
          <w:spacing w:val="40"/>
          <w:sz w:val="20"/>
        </w:rPr>
        <w:t> </w:t>
      </w:r>
      <w:r>
        <w:rPr>
          <w:sz w:val="20"/>
        </w:rPr>
        <w:t>de</w:t>
      </w:r>
      <w:r>
        <w:rPr>
          <w:spacing w:val="40"/>
          <w:sz w:val="20"/>
        </w:rPr>
        <w:t> </w:t>
      </w:r>
      <w:r>
        <w:rPr>
          <w:sz w:val="20"/>
        </w:rPr>
        <w:t>trámite</w:t>
      </w:r>
      <w:r>
        <w:rPr>
          <w:spacing w:val="40"/>
          <w:sz w:val="20"/>
        </w:rPr>
        <w:t> </w:t>
      </w:r>
      <w:r>
        <w:rPr>
          <w:sz w:val="20"/>
        </w:rPr>
        <w:t>o</w:t>
      </w:r>
      <w:r>
        <w:rPr>
          <w:spacing w:val="40"/>
          <w:sz w:val="20"/>
        </w:rPr>
        <w:t> </w:t>
      </w:r>
      <w:r>
        <w:rPr>
          <w:sz w:val="20"/>
        </w:rPr>
        <w:t>cuando</w:t>
      </w:r>
      <w:r>
        <w:rPr>
          <w:spacing w:val="40"/>
          <w:sz w:val="20"/>
        </w:rPr>
        <w:t> </w:t>
      </w:r>
      <w:r>
        <w:rPr>
          <w:sz w:val="20"/>
        </w:rPr>
        <w:t>decidan</w:t>
      </w:r>
      <w:r>
        <w:rPr>
          <w:spacing w:val="40"/>
          <w:sz w:val="20"/>
        </w:rPr>
        <w:t> </w:t>
      </w:r>
      <w:r>
        <w:rPr>
          <w:sz w:val="20"/>
        </w:rPr>
        <w:t>cualquier cuestión dentro del negocio;</w:t>
      </w:r>
    </w:p>
    <w:p>
      <w:pPr>
        <w:pStyle w:val="ListParagraph"/>
        <w:numPr>
          <w:ilvl w:val="0"/>
          <w:numId w:val="314"/>
        </w:numPr>
        <w:tabs>
          <w:tab w:pos="1195" w:val="left" w:leader="none"/>
        </w:tabs>
        <w:spacing w:line="240" w:lineRule="auto" w:before="228" w:after="0"/>
        <w:ind w:left="1195" w:right="345" w:hanging="569"/>
        <w:jc w:val="left"/>
        <w:rPr>
          <w:sz w:val="20"/>
        </w:rPr>
      </w:pPr>
      <w:r>
        <w:rPr>
          <w:sz w:val="20"/>
        </w:rPr>
        <w:t>Autos incidentales o resoluciones interlocutorias: cuando resuelvan dentro o fuera de juicio un incidente; y</w:t>
      </w:r>
    </w:p>
    <w:p>
      <w:pPr>
        <w:pStyle w:val="BodyText"/>
        <w:spacing w:before="9"/>
        <w:rPr>
          <w:sz w:val="11"/>
        </w:rPr>
      </w:pPr>
    </w:p>
    <w:p>
      <w:pPr>
        <w:pStyle w:val="BodyText"/>
        <w:spacing w:after="0"/>
        <w:rPr>
          <w:sz w:val="11"/>
        </w:rPr>
        <w:sectPr>
          <w:type w:val="continuous"/>
          <w:pgSz w:w="12240" w:h="15840"/>
          <w:pgMar w:header="724" w:footer="712" w:top="1880" w:bottom="900" w:left="1080" w:right="1080"/>
        </w:sectPr>
      </w:pPr>
    </w:p>
    <w:p>
      <w:pPr>
        <w:pStyle w:val="ListParagraph"/>
        <w:numPr>
          <w:ilvl w:val="0"/>
          <w:numId w:val="314"/>
        </w:numPr>
        <w:tabs>
          <w:tab w:pos="1195" w:val="left" w:leader="none"/>
        </w:tabs>
        <w:spacing w:line="240" w:lineRule="auto" w:before="93" w:after="0"/>
        <w:ind w:left="1195" w:right="0" w:hanging="569"/>
        <w:jc w:val="left"/>
        <w:rPr>
          <w:sz w:val="20"/>
        </w:rPr>
      </w:pPr>
      <w:r>
        <w:rPr>
          <w:sz w:val="20"/>
        </w:rPr>
        <w:t>Sentencias:</w:t>
      </w:r>
      <w:r>
        <w:rPr>
          <w:spacing w:val="-7"/>
          <w:sz w:val="20"/>
        </w:rPr>
        <w:t> </w:t>
      </w:r>
      <w:r>
        <w:rPr>
          <w:sz w:val="20"/>
        </w:rPr>
        <w:t>cuando</w:t>
      </w:r>
      <w:r>
        <w:rPr>
          <w:spacing w:val="-6"/>
          <w:sz w:val="20"/>
        </w:rPr>
        <w:t> </w:t>
      </w:r>
      <w:r>
        <w:rPr>
          <w:sz w:val="20"/>
        </w:rPr>
        <w:t>decidan</w:t>
      </w:r>
      <w:r>
        <w:rPr>
          <w:spacing w:val="-7"/>
          <w:sz w:val="20"/>
        </w:rPr>
        <w:t> </w:t>
      </w:r>
      <w:r>
        <w:rPr>
          <w:sz w:val="20"/>
        </w:rPr>
        <w:t>sobre</w:t>
      </w:r>
      <w:r>
        <w:rPr>
          <w:spacing w:val="-7"/>
          <w:sz w:val="20"/>
        </w:rPr>
        <w:t> </w:t>
      </w:r>
      <w:r>
        <w:rPr>
          <w:sz w:val="20"/>
        </w:rPr>
        <w:t>el</w:t>
      </w:r>
      <w:r>
        <w:rPr>
          <w:spacing w:val="-8"/>
          <w:sz w:val="20"/>
        </w:rPr>
        <w:t> </w:t>
      </w:r>
      <w:r>
        <w:rPr>
          <w:sz w:val="20"/>
        </w:rPr>
        <w:t>fondo</w:t>
      </w:r>
      <w:r>
        <w:rPr>
          <w:spacing w:val="-7"/>
          <w:sz w:val="20"/>
        </w:rPr>
        <w:t> </w:t>
      </w:r>
      <w:r>
        <w:rPr>
          <w:sz w:val="20"/>
        </w:rPr>
        <w:t>del</w:t>
      </w:r>
      <w:r>
        <w:rPr>
          <w:spacing w:val="-8"/>
          <w:sz w:val="20"/>
        </w:rPr>
        <w:t> </w:t>
      </w:r>
      <w:r>
        <w:rPr>
          <w:spacing w:val="-2"/>
          <w:sz w:val="20"/>
        </w:rPr>
        <w:t>conflicto.</w:t>
      </w:r>
    </w:p>
    <w:p>
      <w:pPr>
        <w:spacing w:line="240" w:lineRule="auto" w:before="139"/>
        <w:rPr>
          <w:sz w:val="16"/>
        </w:rPr>
      </w:pPr>
      <w:r>
        <w:rPr/>
        <w:br w:type="column"/>
      </w:r>
      <w:r>
        <w:rPr>
          <w:sz w:val="16"/>
        </w:rPr>
      </w:r>
    </w:p>
    <w:p>
      <w:pPr>
        <w:spacing w:before="0"/>
        <w:ind w:left="689" w:right="0" w:hanging="63"/>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i/>
          <w:sz w:val="16"/>
        </w:rPr>
        <w:sectPr>
          <w:type w:val="continuous"/>
          <w:pgSz w:w="12240" w:h="15840"/>
          <w:pgMar w:header="724" w:footer="712" w:top="1880" w:bottom="900" w:left="1080" w:right="1080"/>
          <w:cols w:num="2" w:equalWidth="0">
            <w:col w:w="6238" w:space="420"/>
            <w:col w:w="3422"/>
          </w:cols>
        </w:sectPr>
      </w:pPr>
    </w:p>
    <w:p>
      <w:pPr>
        <w:pStyle w:val="BodyText"/>
        <w:spacing w:line="242" w:lineRule="auto" w:before="228"/>
        <w:ind w:left="338" w:right="337" w:firstLine="288"/>
        <w:jc w:val="both"/>
      </w:pPr>
      <w:bookmarkStart w:name="Artículo_838" w:id="1056"/>
      <w:bookmarkEnd w:id="1056"/>
      <w:r>
        <w:rPr/>
      </w:r>
      <w:r>
        <w:rPr>
          <w:rFonts w:ascii="Arial" w:hAnsi="Arial"/>
          <w:b/>
        </w:rPr>
        <w:t>Artículo 838.- </w:t>
      </w:r>
      <w:r>
        <w:rPr/>
        <w:t>El Tribunal dictará sus resoluciones en el acto en que concluya la diligencia respectiva</w:t>
      </w:r>
      <w:r>
        <w:rPr>
          <w:spacing w:val="40"/>
        </w:rPr>
        <w:t> </w:t>
      </w:r>
      <w:r>
        <w:rPr/>
        <w:t>o dentro de las cuarenta y ocho horas siguientes a aquellas en la que reciba promociones por escrito, salvo disposición en contrario de esta Ley.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right="345" w:firstLine="288"/>
      </w:pPr>
      <w:bookmarkStart w:name="Artículo_839" w:id="1057"/>
      <w:bookmarkEnd w:id="1057"/>
      <w:r>
        <w:rPr/>
      </w:r>
      <w:r>
        <w:rPr>
          <w:rFonts w:ascii="Arial" w:hAnsi="Arial"/>
          <w:b/>
        </w:rPr>
        <w:t>Artículo</w:t>
      </w:r>
      <w:r>
        <w:rPr>
          <w:rFonts w:ascii="Arial" w:hAnsi="Arial"/>
          <w:b/>
          <w:spacing w:val="-1"/>
        </w:rPr>
        <w:t> </w:t>
      </w:r>
      <w:r>
        <w:rPr>
          <w:rFonts w:ascii="Arial" w:hAnsi="Arial"/>
          <w:b/>
        </w:rPr>
        <w:t>839.-</w:t>
      </w:r>
      <w:r>
        <w:rPr>
          <w:rFonts w:ascii="Arial" w:hAnsi="Arial"/>
          <w:b/>
          <w:spacing w:val="-1"/>
        </w:rPr>
        <w:t> </w:t>
      </w:r>
      <w:r>
        <w:rPr/>
        <w:t>Las</w:t>
      </w:r>
      <w:r>
        <w:rPr>
          <w:spacing w:val="-1"/>
        </w:rPr>
        <w:t> </w:t>
      </w:r>
      <w:r>
        <w:rPr/>
        <w:t>resoluciones</w:t>
      </w:r>
      <w:r>
        <w:rPr>
          <w:spacing w:val="-1"/>
        </w:rPr>
        <w:t> </w:t>
      </w:r>
      <w:r>
        <w:rPr/>
        <w:t>que</w:t>
      </w:r>
      <w:r>
        <w:rPr>
          <w:spacing w:val="-2"/>
        </w:rPr>
        <w:t> </w:t>
      </w:r>
      <w:r>
        <w:rPr/>
        <w:t>así lo</w:t>
      </w:r>
      <w:r>
        <w:rPr>
          <w:spacing w:val="-2"/>
        </w:rPr>
        <w:t> </w:t>
      </w:r>
      <w:r>
        <w:rPr/>
        <w:t>ameriten de</w:t>
      </w:r>
      <w:r>
        <w:rPr>
          <w:spacing w:val="-2"/>
        </w:rPr>
        <w:t> </w:t>
      </w:r>
      <w:r>
        <w:rPr/>
        <w:t>los</w:t>
      </w:r>
      <w:r>
        <w:rPr>
          <w:spacing w:val="-1"/>
        </w:rPr>
        <w:t> </w:t>
      </w:r>
      <w:r>
        <w:rPr/>
        <w:t>Tribunales</w:t>
      </w:r>
      <w:r>
        <w:rPr>
          <w:spacing w:val="-1"/>
        </w:rPr>
        <w:t> </w:t>
      </w:r>
      <w:r>
        <w:rPr/>
        <w:t>deberán</w:t>
      </w:r>
      <w:r>
        <w:rPr>
          <w:spacing w:val="-3"/>
        </w:rPr>
        <w:t> </w:t>
      </w:r>
      <w:r>
        <w:rPr/>
        <w:t>ser</w:t>
      </w:r>
      <w:r>
        <w:rPr>
          <w:spacing w:val="-1"/>
        </w:rPr>
        <w:t> </w:t>
      </w:r>
      <w:r>
        <w:rPr/>
        <w:t>firmadas</w:t>
      </w:r>
      <w:r>
        <w:rPr>
          <w:spacing w:val="-1"/>
        </w:rPr>
        <w:t> </w:t>
      </w:r>
      <w:r>
        <w:rPr/>
        <w:t>por</w:t>
      </w:r>
      <w:r>
        <w:rPr>
          <w:spacing w:val="-1"/>
        </w:rPr>
        <w:t> </w:t>
      </w:r>
      <w:r>
        <w:rPr/>
        <w:t>el</w:t>
      </w:r>
      <w:r>
        <w:rPr>
          <w:spacing w:val="-3"/>
        </w:rPr>
        <w:t> </w:t>
      </w:r>
      <w:r>
        <w:rPr/>
        <w:t>juez o por el secretario instructor, según corresponda, el día en que se emitan.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626" w:right="0" w:firstLine="0"/>
        <w:jc w:val="left"/>
        <w:rPr>
          <w:sz w:val="20"/>
        </w:rPr>
      </w:pPr>
      <w:bookmarkStart w:name="Artículo_840" w:id="1058"/>
      <w:bookmarkEnd w:id="1058"/>
      <w:r>
        <w:rPr/>
      </w:r>
      <w:r>
        <w:rPr>
          <w:rFonts w:ascii="Arial" w:hAnsi="Arial"/>
          <w:b/>
          <w:sz w:val="20"/>
        </w:rPr>
        <w:t>Artículo</w:t>
      </w:r>
      <w:r>
        <w:rPr>
          <w:rFonts w:ascii="Arial" w:hAnsi="Arial"/>
          <w:b/>
          <w:spacing w:val="-6"/>
          <w:sz w:val="20"/>
        </w:rPr>
        <w:t> </w:t>
      </w:r>
      <w:r>
        <w:rPr>
          <w:rFonts w:ascii="Arial" w:hAnsi="Arial"/>
          <w:b/>
          <w:sz w:val="20"/>
        </w:rPr>
        <w:t>840.-</w:t>
      </w:r>
      <w:r>
        <w:rPr>
          <w:rFonts w:ascii="Arial" w:hAnsi="Arial"/>
          <w:b/>
          <w:spacing w:val="-6"/>
          <w:sz w:val="20"/>
        </w:rPr>
        <w:t> </w:t>
      </w:r>
      <w:r>
        <w:rPr>
          <w:sz w:val="20"/>
        </w:rPr>
        <w:t>La</w:t>
      </w:r>
      <w:r>
        <w:rPr>
          <w:spacing w:val="-7"/>
          <w:sz w:val="20"/>
        </w:rPr>
        <w:t> </w:t>
      </w:r>
      <w:r>
        <w:rPr>
          <w:sz w:val="20"/>
        </w:rPr>
        <w:t>sentencia</w:t>
      </w:r>
      <w:r>
        <w:rPr>
          <w:spacing w:val="-5"/>
          <w:sz w:val="20"/>
        </w:rPr>
        <w:t> </w:t>
      </w:r>
      <w:r>
        <w:rPr>
          <w:spacing w:val="-2"/>
          <w:sz w:val="20"/>
        </w:rPr>
        <w:t>contendrá:</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2"/>
        <w:rPr>
          <w:rFonts w:ascii="Times New Roman"/>
          <w:i/>
        </w:rPr>
      </w:pPr>
    </w:p>
    <w:p>
      <w:pPr>
        <w:pStyle w:val="ListParagraph"/>
        <w:numPr>
          <w:ilvl w:val="0"/>
          <w:numId w:val="315"/>
        </w:numPr>
        <w:tabs>
          <w:tab w:pos="1195" w:val="left" w:leader="none"/>
        </w:tabs>
        <w:spacing w:line="229" w:lineRule="exact" w:before="0" w:after="0"/>
        <w:ind w:left="1195" w:right="0" w:hanging="569"/>
        <w:jc w:val="left"/>
        <w:rPr>
          <w:sz w:val="20"/>
        </w:rPr>
      </w:pPr>
      <w:r>
        <w:rPr>
          <w:sz w:val="20"/>
        </w:rPr>
        <w:t>Lugar,</w:t>
      </w:r>
      <w:r>
        <w:rPr>
          <w:spacing w:val="-7"/>
          <w:sz w:val="20"/>
        </w:rPr>
        <w:t> </w:t>
      </w:r>
      <w:r>
        <w:rPr>
          <w:sz w:val="20"/>
        </w:rPr>
        <w:t>fecha</w:t>
      </w:r>
      <w:r>
        <w:rPr>
          <w:spacing w:val="-2"/>
          <w:sz w:val="20"/>
        </w:rPr>
        <w:t> </w:t>
      </w:r>
      <w:r>
        <w:rPr>
          <w:sz w:val="20"/>
        </w:rPr>
        <w:t>y</w:t>
      </w:r>
      <w:r>
        <w:rPr>
          <w:spacing w:val="-9"/>
          <w:sz w:val="20"/>
        </w:rPr>
        <w:t> </w:t>
      </w:r>
      <w:r>
        <w:rPr>
          <w:sz w:val="20"/>
        </w:rPr>
        <w:t>Tribunal</w:t>
      </w:r>
      <w:r>
        <w:rPr>
          <w:spacing w:val="-5"/>
          <w:sz w:val="20"/>
        </w:rPr>
        <w:t> </w:t>
      </w:r>
      <w:r>
        <w:rPr>
          <w:sz w:val="20"/>
        </w:rPr>
        <w:t>que</w:t>
      </w:r>
      <w:r>
        <w:rPr>
          <w:spacing w:val="-5"/>
          <w:sz w:val="20"/>
        </w:rPr>
        <w:t> </w:t>
      </w:r>
      <w:r>
        <w:rPr>
          <w:sz w:val="20"/>
        </w:rPr>
        <w:t>lo</w:t>
      </w:r>
      <w:r>
        <w:rPr>
          <w:spacing w:val="-4"/>
          <w:sz w:val="20"/>
        </w:rPr>
        <w:t> </w:t>
      </w:r>
      <w:r>
        <w:rPr>
          <w:spacing w:val="-2"/>
          <w:sz w:val="20"/>
        </w:rPr>
        <w:t>pronuncie;</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315"/>
        </w:numPr>
        <w:tabs>
          <w:tab w:pos="1195" w:val="left" w:leader="none"/>
        </w:tabs>
        <w:spacing w:line="240" w:lineRule="auto" w:before="0" w:after="0"/>
        <w:ind w:left="1195" w:right="0" w:hanging="569"/>
        <w:jc w:val="left"/>
        <w:rPr>
          <w:sz w:val="20"/>
        </w:rPr>
      </w:pPr>
      <w:r>
        <w:rPr>
          <w:sz w:val="20"/>
        </w:rPr>
        <w:t>Nombres</w:t>
      </w:r>
      <w:r>
        <w:rPr>
          <w:spacing w:val="-2"/>
          <w:sz w:val="20"/>
        </w:rPr>
        <w:t> </w:t>
      </w:r>
      <w:r>
        <w:rPr>
          <w:sz w:val="20"/>
        </w:rPr>
        <w:t>y</w:t>
      </w:r>
      <w:r>
        <w:rPr>
          <w:spacing w:val="-10"/>
          <w:sz w:val="20"/>
        </w:rPr>
        <w:t> </w:t>
      </w:r>
      <w:r>
        <w:rPr>
          <w:sz w:val="20"/>
        </w:rPr>
        <w:t>domicilios</w:t>
      </w:r>
      <w:r>
        <w:rPr>
          <w:spacing w:val="-4"/>
          <w:sz w:val="20"/>
        </w:rPr>
        <w:t> </w:t>
      </w:r>
      <w:r>
        <w:rPr>
          <w:sz w:val="20"/>
        </w:rPr>
        <w:t>de</w:t>
      </w:r>
      <w:r>
        <w:rPr>
          <w:spacing w:val="-5"/>
          <w:sz w:val="20"/>
        </w:rPr>
        <w:t> </w:t>
      </w:r>
      <w:r>
        <w:rPr>
          <w:sz w:val="20"/>
        </w:rPr>
        <w:t>las</w:t>
      </w:r>
      <w:r>
        <w:rPr>
          <w:spacing w:val="-4"/>
          <w:sz w:val="20"/>
        </w:rPr>
        <w:t> </w:t>
      </w:r>
      <w:r>
        <w:rPr>
          <w:sz w:val="20"/>
        </w:rPr>
        <w:t>partes</w:t>
      </w:r>
      <w:r>
        <w:rPr>
          <w:spacing w:val="-2"/>
          <w:sz w:val="20"/>
        </w:rPr>
        <w:t> </w:t>
      </w:r>
      <w:r>
        <w:rPr>
          <w:sz w:val="20"/>
        </w:rPr>
        <w:t>y</w:t>
      </w:r>
      <w:r>
        <w:rPr>
          <w:spacing w:val="-5"/>
          <w:sz w:val="20"/>
        </w:rPr>
        <w:t> </w:t>
      </w:r>
      <w:r>
        <w:rPr>
          <w:sz w:val="20"/>
        </w:rPr>
        <w:t>de</w:t>
      </w:r>
      <w:r>
        <w:rPr>
          <w:spacing w:val="-6"/>
          <w:sz w:val="20"/>
        </w:rPr>
        <w:t> </w:t>
      </w:r>
      <w:r>
        <w:rPr>
          <w:sz w:val="20"/>
        </w:rPr>
        <w:t>sus</w:t>
      </w:r>
      <w:r>
        <w:rPr>
          <w:spacing w:val="-4"/>
          <w:sz w:val="20"/>
        </w:rPr>
        <w:t> </w:t>
      </w:r>
      <w:r>
        <w:rPr>
          <w:spacing w:val="-2"/>
          <w:sz w:val="20"/>
        </w:rPr>
        <w:t>representantes;</w:t>
      </w:r>
    </w:p>
    <w:p>
      <w:pPr>
        <w:pStyle w:val="ListParagraph"/>
        <w:numPr>
          <w:ilvl w:val="0"/>
          <w:numId w:val="315"/>
        </w:numPr>
        <w:tabs>
          <w:tab w:pos="1191" w:val="left" w:leader="none"/>
          <w:tab w:pos="1195" w:val="left" w:leader="none"/>
        </w:tabs>
        <w:spacing w:line="242" w:lineRule="auto" w:before="229" w:after="0"/>
        <w:ind w:left="1195" w:right="336" w:hanging="569"/>
        <w:jc w:val="both"/>
        <w:rPr>
          <w:sz w:val="20"/>
        </w:rPr>
      </w:pPr>
      <w:r>
        <w:rPr>
          <w:sz w:val="20"/>
        </w:rPr>
        <w:t>Extracto de la demanda y su contestación; réplica y contrarréplica y, en su caso, de la reconvención y contestación a la misma, que deberá contener con claridad y concisión las peticiones de las partes y los hechos controvertidos;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315"/>
        </w:numPr>
        <w:tabs>
          <w:tab w:pos="1195" w:val="left" w:leader="none"/>
        </w:tabs>
        <w:spacing w:line="242" w:lineRule="auto" w:before="0" w:after="0"/>
        <w:ind w:left="1195" w:right="345" w:hanging="569"/>
        <w:jc w:val="left"/>
        <w:rPr>
          <w:sz w:val="20"/>
        </w:rPr>
      </w:pPr>
      <w:r>
        <w:rPr>
          <w:sz w:val="20"/>
        </w:rPr>
        <w:t>Enumeración</w:t>
      </w:r>
      <w:r>
        <w:rPr>
          <w:spacing w:val="71"/>
          <w:sz w:val="20"/>
        </w:rPr>
        <w:t> </w:t>
      </w:r>
      <w:r>
        <w:rPr>
          <w:sz w:val="20"/>
        </w:rPr>
        <w:t>de</w:t>
      </w:r>
      <w:r>
        <w:rPr>
          <w:spacing w:val="72"/>
          <w:sz w:val="20"/>
        </w:rPr>
        <w:t> </w:t>
      </w:r>
      <w:r>
        <w:rPr>
          <w:sz w:val="20"/>
        </w:rPr>
        <w:t>las</w:t>
      </w:r>
      <w:r>
        <w:rPr>
          <w:spacing w:val="73"/>
          <w:sz w:val="20"/>
        </w:rPr>
        <w:t> </w:t>
      </w:r>
      <w:r>
        <w:rPr>
          <w:sz w:val="20"/>
        </w:rPr>
        <w:t>pruebas</w:t>
      </w:r>
      <w:r>
        <w:rPr>
          <w:spacing w:val="72"/>
          <w:sz w:val="20"/>
        </w:rPr>
        <w:t> </w:t>
      </w:r>
      <w:r>
        <w:rPr>
          <w:sz w:val="20"/>
        </w:rPr>
        <w:t>admitidas</w:t>
      </w:r>
      <w:r>
        <w:rPr>
          <w:spacing w:val="77"/>
          <w:sz w:val="20"/>
        </w:rPr>
        <w:t> </w:t>
      </w:r>
      <w:r>
        <w:rPr>
          <w:sz w:val="20"/>
        </w:rPr>
        <w:t>y</w:t>
      </w:r>
      <w:r>
        <w:rPr>
          <w:spacing w:val="69"/>
          <w:sz w:val="20"/>
        </w:rPr>
        <w:t> </w:t>
      </w:r>
      <w:r>
        <w:rPr>
          <w:sz w:val="20"/>
        </w:rPr>
        <w:t>desahogadas</w:t>
      </w:r>
      <w:r>
        <w:rPr>
          <w:spacing w:val="74"/>
          <w:sz w:val="20"/>
        </w:rPr>
        <w:t> </w:t>
      </w:r>
      <w:r>
        <w:rPr>
          <w:sz w:val="20"/>
        </w:rPr>
        <w:t>y</w:t>
      </w:r>
      <w:r>
        <w:rPr>
          <w:spacing w:val="69"/>
          <w:sz w:val="20"/>
        </w:rPr>
        <w:t> </w:t>
      </w:r>
      <w:r>
        <w:rPr>
          <w:sz w:val="20"/>
        </w:rPr>
        <w:t>su</w:t>
      </w:r>
      <w:r>
        <w:rPr>
          <w:spacing w:val="72"/>
          <w:sz w:val="20"/>
        </w:rPr>
        <w:t> </w:t>
      </w:r>
      <w:r>
        <w:rPr>
          <w:sz w:val="20"/>
        </w:rPr>
        <w:t>apreciación</w:t>
      </w:r>
      <w:r>
        <w:rPr>
          <w:spacing w:val="71"/>
          <w:sz w:val="20"/>
        </w:rPr>
        <w:t> </w:t>
      </w:r>
      <w:r>
        <w:rPr>
          <w:sz w:val="20"/>
        </w:rPr>
        <w:t>en</w:t>
      </w:r>
      <w:r>
        <w:rPr>
          <w:spacing w:val="72"/>
          <w:sz w:val="20"/>
        </w:rPr>
        <w:t> </w:t>
      </w:r>
      <w:r>
        <w:rPr>
          <w:sz w:val="20"/>
        </w:rPr>
        <w:t>conciencia, señalando los hechos que deban considerarse probados;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rPr>
      </w:pPr>
    </w:p>
    <w:p>
      <w:pPr>
        <w:pStyle w:val="ListParagraph"/>
        <w:numPr>
          <w:ilvl w:val="0"/>
          <w:numId w:val="315"/>
        </w:numPr>
        <w:tabs>
          <w:tab w:pos="1195" w:val="left" w:leader="none"/>
        </w:tabs>
        <w:spacing w:line="240" w:lineRule="auto" w:before="0" w:after="0"/>
        <w:ind w:left="1195" w:right="0" w:hanging="569"/>
        <w:jc w:val="left"/>
        <w:rPr>
          <w:sz w:val="20"/>
        </w:rPr>
      </w:pPr>
      <w:r>
        <w:rPr>
          <w:sz w:val="20"/>
        </w:rPr>
        <w:t>Extracto</w:t>
      </w:r>
      <w:r>
        <w:rPr>
          <w:spacing w:val="-6"/>
          <w:sz w:val="20"/>
        </w:rPr>
        <w:t> </w:t>
      </w:r>
      <w:r>
        <w:rPr>
          <w:sz w:val="20"/>
        </w:rPr>
        <w:t>de</w:t>
      </w:r>
      <w:r>
        <w:rPr>
          <w:spacing w:val="-5"/>
          <w:sz w:val="20"/>
        </w:rPr>
        <w:t> </w:t>
      </w:r>
      <w:r>
        <w:rPr>
          <w:sz w:val="20"/>
        </w:rPr>
        <w:t>los</w:t>
      </w:r>
      <w:r>
        <w:rPr>
          <w:spacing w:val="-5"/>
          <w:sz w:val="20"/>
        </w:rPr>
        <w:t> </w:t>
      </w:r>
      <w:r>
        <w:rPr>
          <w:spacing w:val="-2"/>
          <w:sz w:val="20"/>
        </w:rPr>
        <w:t>alegatos;</w:t>
      </w:r>
    </w:p>
    <w:p>
      <w:pPr>
        <w:pStyle w:val="ListParagraph"/>
        <w:numPr>
          <w:ilvl w:val="0"/>
          <w:numId w:val="315"/>
        </w:numPr>
        <w:tabs>
          <w:tab w:pos="1195" w:val="left" w:leader="none"/>
        </w:tabs>
        <w:spacing w:line="240" w:lineRule="auto" w:before="229" w:after="0"/>
        <w:ind w:left="1195" w:right="0" w:hanging="569"/>
        <w:jc w:val="left"/>
        <w:rPr>
          <w:sz w:val="20"/>
        </w:rPr>
      </w:pPr>
      <w:r>
        <w:rPr>
          <w:sz w:val="20"/>
        </w:rPr>
        <w:t>Las</w:t>
      </w:r>
      <w:r>
        <w:rPr>
          <w:spacing w:val="-7"/>
          <w:sz w:val="20"/>
        </w:rPr>
        <w:t> </w:t>
      </w:r>
      <w:r>
        <w:rPr>
          <w:sz w:val="20"/>
        </w:rPr>
        <w:t>razones</w:t>
      </w:r>
      <w:r>
        <w:rPr>
          <w:spacing w:val="-5"/>
          <w:sz w:val="20"/>
        </w:rPr>
        <w:t> </w:t>
      </w:r>
      <w:r>
        <w:rPr>
          <w:sz w:val="20"/>
        </w:rPr>
        <w:t>legales</w:t>
      </w:r>
      <w:r>
        <w:rPr>
          <w:spacing w:val="-6"/>
          <w:sz w:val="20"/>
        </w:rPr>
        <w:t> </w:t>
      </w:r>
      <w:r>
        <w:rPr>
          <w:sz w:val="20"/>
        </w:rPr>
        <w:t>o</w:t>
      </w:r>
      <w:r>
        <w:rPr>
          <w:spacing w:val="-9"/>
          <w:sz w:val="20"/>
        </w:rPr>
        <w:t> </w:t>
      </w:r>
      <w:r>
        <w:rPr>
          <w:sz w:val="20"/>
        </w:rPr>
        <w:t>de</w:t>
      </w:r>
      <w:r>
        <w:rPr>
          <w:spacing w:val="-7"/>
          <w:sz w:val="20"/>
        </w:rPr>
        <w:t> </w:t>
      </w:r>
      <w:r>
        <w:rPr>
          <w:sz w:val="20"/>
        </w:rPr>
        <w:t>equidad,</w:t>
      </w:r>
      <w:r>
        <w:rPr>
          <w:spacing w:val="-6"/>
          <w:sz w:val="20"/>
        </w:rPr>
        <w:t> </w:t>
      </w:r>
      <w:r>
        <w:rPr>
          <w:sz w:val="20"/>
        </w:rPr>
        <w:t>la</w:t>
      </w:r>
      <w:r>
        <w:rPr>
          <w:spacing w:val="-6"/>
          <w:sz w:val="20"/>
        </w:rPr>
        <w:t> </w:t>
      </w:r>
      <w:r>
        <w:rPr>
          <w:sz w:val="20"/>
        </w:rPr>
        <w:t>jurisprudencia</w:t>
      </w:r>
      <w:r>
        <w:rPr>
          <w:spacing w:val="-3"/>
          <w:sz w:val="20"/>
        </w:rPr>
        <w:t> </w:t>
      </w:r>
      <w:r>
        <w:rPr>
          <w:sz w:val="20"/>
        </w:rPr>
        <w:t>y</w:t>
      </w:r>
      <w:r>
        <w:rPr>
          <w:spacing w:val="-9"/>
          <w:sz w:val="20"/>
        </w:rPr>
        <w:t> </w:t>
      </w:r>
      <w:r>
        <w:rPr>
          <w:sz w:val="20"/>
        </w:rPr>
        <w:t>doctrina</w:t>
      </w:r>
      <w:r>
        <w:rPr>
          <w:spacing w:val="-5"/>
          <w:sz w:val="20"/>
        </w:rPr>
        <w:t> </w:t>
      </w:r>
      <w:r>
        <w:rPr>
          <w:sz w:val="20"/>
        </w:rPr>
        <w:t>que</w:t>
      </w:r>
      <w:r>
        <w:rPr>
          <w:spacing w:val="-8"/>
          <w:sz w:val="20"/>
        </w:rPr>
        <w:t> </w:t>
      </w:r>
      <w:r>
        <w:rPr>
          <w:sz w:val="20"/>
        </w:rPr>
        <w:t>les</w:t>
      </w:r>
      <w:r>
        <w:rPr>
          <w:spacing w:val="-6"/>
          <w:sz w:val="20"/>
        </w:rPr>
        <w:t> </w:t>
      </w:r>
      <w:r>
        <w:rPr>
          <w:sz w:val="20"/>
        </w:rPr>
        <w:t>sirva</w:t>
      </w:r>
      <w:r>
        <w:rPr>
          <w:spacing w:val="-6"/>
          <w:sz w:val="20"/>
        </w:rPr>
        <w:t> </w:t>
      </w:r>
      <w:r>
        <w:rPr>
          <w:sz w:val="20"/>
        </w:rPr>
        <w:t>de</w:t>
      </w:r>
      <w:r>
        <w:rPr>
          <w:spacing w:val="-6"/>
          <w:sz w:val="20"/>
        </w:rPr>
        <w:t> </w:t>
      </w:r>
      <w:r>
        <w:rPr>
          <w:sz w:val="20"/>
        </w:rPr>
        <w:t>fundamento;</w:t>
      </w:r>
      <w:r>
        <w:rPr>
          <w:spacing w:val="-4"/>
          <w:sz w:val="20"/>
        </w:rPr>
        <w:t> </w:t>
      </w:r>
      <w:r>
        <w:rPr>
          <w:spacing w:val="-10"/>
          <w:sz w:val="20"/>
        </w:rPr>
        <w:t>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rPr>
      </w:pPr>
    </w:p>
    <w:p>
      <w:pPr>
        <w:pStyle w:val="ListParagraph"/>
        <w:numPr>
          <w:ilvl w:val="0"/>
          <w:numId w:val="315"/>
        </w:numPr>
        <w:tabs>
          <w:tab w:pos="1195" w:val="left" w:leader="none"/>
        </w:tabs>
        <w:spacing w:line="229" w:lineRule="exact" w:before="0" w:after="0"/>
        <w:ind w:left="1195" w:right="0" w:hanging="569"/>
        <w:jc w:val="left"/>
        <w:rPr>
          <w:sz w:val="20"/>
        </w:rPr>
      </w:pPr>
      <w:r>
        <w:rPr>
          <w:sz w:val="20"/>
        </w:rPr>
        <w:t>Los</w:t>
      </w:r>
      <w:r>
        <w:rPr>
          <w:spacing w:val="-8"/>
          <w:sz w:val="20"/>
        </w:rPr>
        <w:t> </w:t>
      </w:r>
      <w:r>
        <w:rPr>
          <w:sz w:val="20"/>
        </w:rPr>
        <w:t>puntos</w:t>
      </w:r>
      <w:r>
        <w:rPr>
          <w:spacing w:val="-7"/>
          <w:sz w:val="20"/>
        </w:rPr>
        <w:t> </w:t>
      </w:r>
      <w:r>
        <w:rPr>
          <w:spacing w:val="-2"/>
          <w:sz w:val="20"/>
        </w:rPr>
        <w:t>resolutivos.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line="183" w:lineRule="exact"/>
        <w:jc w:val="right"/>
        <w:rPr>
          <w:rFonts w:ascii="Times New Roman" w:hAnsi="Times New Roman"/>
          <w:i/>
          <w:sz w:val="16"/>
        </w:rPr>
        <w:sectPr>
          <w:type w:val="continuous"/>
          <w:pgSz w:w="12240" w:h="15840"/>
          <w:pgMar w:header="724" w:footer="712" w:top="1880" w:bottom="900" w:left="1080" w:right="1080"/>
        </w:sectPr>
      </w:pPr>
    </w:p>
    <w:p>
      <w:pPr>
        <w:pStyle w:val="BodyText"/>
        <w:spacing w:before="63"/>
        <w:rPr>
          <w:rFonts w:ascii="Times New Roman"/>
          <w:i/>
        </w:rPr>
      </w:pPr>
    </w:p>
    <w:p>
      <w:pPr>
        <w:pStyle w:val="BodyText"/>
        <w:spacing w:line="242" w:lineRule="auto"/>
        <w:ind w:left="338" w:right="338" w:firstLine="288"/>
        <w:jc w:val="both"/>
      </w:pPr>
      <w:bookmarkStart w:name="Artículo_841" w:id="1059"/>
      <w:bookmarkEnd w:id="1059"/>
      <w:r>
        <w:rPr/>
      </w:r>
      <w:r>
        <w:rPr>
          <w:rFonts w:ascii="Arial" w:hAnsi="Arial"/>
          <w:b/>
        </w:rPr>
        <w:t>Artículo 841.- </w:t>
      </w:r>
      <w:r>
        <w:rPr/>
        <w:t>Las sentencias se dictarán a verdad sabida y buena fe guardada, y apreciando los hechos en conciencia, sin necesidad de sujetarse a reglas o formulismos sobre estimación de las pruebas, pero los Tribunales están obligados a estudiar pormenorizadamente las rendidas, haciendo la valoración de las mismas. Asimismo, expresarán los motivos y fundamentos legales en que se apoyan.</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37" w:firstLine="288"/>
        <w:jc w:val="both"/>
      </w:pPr>
      <w:bookmarkStart w:name="Artículo_842" w:id="1060"/>
      <w:bookmarkEnd w:id="1060"/>
      <w:r>
        <w:rPr/>
      </w:r>
      <w:r>
        <w:rPr>
          <w:rFonts w:ascii="Arial" w:hAnsi="Arial"/>
          <w:b/>
        </w:rPr>
        <w:t>Artículo 842.- </w:t>
      </w:r>
      <w:r>
        <w:rPr/>
        <w:t>Las sentencias deben ser claras, precisas y congruentes con la demanda,</w:t>
      </w:r>
      <w:r>
        <w:rPr>
          <w:spacing w:val="40"/>
        </w:rPr>
        <w:t> </w:t>
      </w:r>
      <w:r>
        <w:rPr/>
        <w:t>contestación, y demás pretensiones deducidas en el juicio oportunamente.</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BodyText"/>
        <w:spacing w:line="242" w:lineRule="auto"/>
        <w:ind w:left="338" w:right="342" w:firstLine="288"/>
        <w:jc w:val="both"/>
      </w:pPr>
      <w:bookmarkStart w:name="Artículo_843" w:id="1061"/>
      <w:bookmarkEnd w:id="1061"/>
      <w:r>
        <w:rPr/>
      </w:r>
      <w:r>
        <w:rPr>
          <w:rFonts w:ascii="Arial" w:hAnsi="Arial"/>
          <w:b/>
        </w:rPr>
        <w:t>Artículo 843.- </w:t>
      </w:r>
      <w:r>
        <w:rPr/>
        <w:t>En las sentencias, cuando se trate de prestaciones económicas, se determinará el salario que sirva de base a la condena; cuantificándose el importe de la prestación se señalarán las medidas con arreglo a las cuales deberá cumplirse con la resolución. Sólo por excepción, podrá ordenarse que se abra incidente de liquidación.</w:t>
      </w:r>
    </w:p>
    <w:p>
      <w:pPr>
        <w:spacing w:line="178"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firstLine="288"/>
      </w:pPr>
      <w:bookmarkStart w:name="Artículo_844" w:id="1062"/>
      <w:bookmarkEnd w:id="1062"/>
      <w:r>
        <w:rPr/>
      </w:r>
      <w:r>
        <w:rPr>
          <w:rFonts w:ascii="Arial" w:hAnsi="Arial"/>
          <w:b/>
        </w:rPr>
        <w:t>Artículo 844.- </w:t>
      </w:r>
      <w:r>
        <w:rPr/>
        <w:t>Cuando la</w:t>
      </w:r>
      <w:r>
        <w:rPr>
          <w:spacing w:val="-2"/>
        </w:rPr>
        <w:t> </w:t>
      </w:r>
      <w:r>
        <w:rPr/>
        <w:t>condena</w:t>
      </w:r>
      <w:r>
        <w:rPr>
          <w:spacing w:val="-3"/>
        </w:rPr>
        <w:t> </w:t>
      </w:r>
      <w:r>
        <w:rPr/>
        <w:t>sea de</w:t>
      </w:r>
      <w:r>
        <w:rPr>
          <w:spacing w:val="-3"/>
        </w:rPr>
        <w:t> </w:t>
      </w:r>
      <w:r>
        <w:rPr/>
        <w:t>cantidad líquida,</w:t>
      </w:r>
      <w:r>
        <w:rPr>
          <w:spacing w:val="-2"/>
        </w:rPr>
        <w:t> </w:t>
      </w:r>
      <w:r>
        <w:rPr/>
        <w:t>se establecerán</w:t>
      </w:r>
      <w:r>
        <w:rPr>
          <w:spacing w:val="-2"/>
        </w:rPr>
        <w:t> </w:t>
      </w:r>
      <w:r>
        <w:rPr/>
        <w:t>en la propia</w:t>
      </w:r>
      <w:r>
        <w:rPr>
          <w:spacing w:val="-2"/>
        </w:rPr>
        <w:t> </w:t>
      </w:r>
      <w:r>
        <w:rPr/>
        <w:t>sentencia, sin necesidad de incidente, las bases con arreglo a las cuales deberá cumplimentarse.</w:t>
      </w:r>
    </w:p>
    <w:p>
      <w:pPr>
        <w:spacing w:line="180"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626" w:right="0" w:firstLine="0"/>
        <w:jc w:val="left"/>
        <w:rPr>
          <w:sz w:val="20"/>
        </w:rPr>
      </w:pPr>
      <w:bookmarkStart w:name="Artículo_845" w:id="1063"/>
      <w:bookmarkEnd w:id="1063"/>
      <w:r>
        <w:rPr/>
      </w:r>
      <w:r>
        <w:rPr>
          <w:rFonts w:ascii="Arial" w:hAnsi="Arial"/>
          <w:b/>
          <w:sz w:val="20"/>
        </w:rPr>
        <w:t>Artículo</w:t>
      </w:r>
      <w:r>
        <w:rPr>
          <w:rFonts w:ascii="Arial" w:hAnsi="Arial"/>
          <w:b/>
          <w:spacing w:val="-6"/>
          <w:sz w:val="20"/>
        </w:rPr>
        <w:t> </w:t>
      </w:r>
      <w:r>
        <w:rPr>
          <w:rFonts w:ascii="Arial" w:hAnsi="Arial"/>
          <w:b/>
          <w:sz w:val="20"/>
        </w:rPr>
        <w:t>845.-</w:t>
      </w:r>
      <w:r>
        <w:rPr>
          <w:rFonts w:ascii="Arial" w:hAnsi="Arial"/>
          <w:b/>
          <w:spacing w:val="-4"/>
          <w:sz w:val="20"/>
        </w:rPr>
        <w:t> </w:t>
      </w:r>
      <w:r>
        <w:rPr>
          <w:sz w:val="20"/>
        </w:rPr>
        <w:t>Se</w:t>
      </w:r>
      <w:r>
        <w:rPr>
          <w:spacing w:val="-5"/>
          <w:sz w:val="20"/>
        </w:rPr>
        <w:t> </w:t>
      </w:r>
      <w:r>
        <w:rPr>
          <w:spacing w:val="-2"/>
          <w:sz w:val="20"/>
        </w:rPr>
        <w:t>deroga.</w:t>
      </w:r>
    </w:p>
    <w:p>
      <w:pPr>
        <w:spacing w:before="0"/>
        <w:ind w:left="46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9"/>
          <w:sz w:val="16"/>
        </w:rPr>
        <w:t> </w:t>
      </w:r>
      <w:r>
        <w:rPr>
          <w:rFonts w:ascii="Times New Roman" w:hAnsi="Times New Roman"/>
          <w:i/>
          <w:color w:val="0000FF"/>
          <w:sz w:val="16"/>
        </w:rPr>
        <w:t>09-04-2012.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line="229" w:lineRule="exact" w:before="0"/>
        <w:ind w:left="626" w:right="0" w:firstLine="0"/>
        <w:jc w:val="left"/>
        <w:rPr>
          <w:sz w:val="20"/>
        </w:rPr>
      </w:pPr>
      <w:bookmarkStart w:name="Artículo_846" w:id="1064"/>
      <w:bookmarkEnd w:id="1064"/>
      <w:r>
        <w:rPr/>
      </w:r>
      <w:r>
        <w:rPr>
          <w:rFonts w:ascii="Arial" w:hAnsi="Arial"/>
          <w:b/>
          <w:sz w:val="20"/>
        </w:rPr>
        <w:t>Artículo</w:t>
      </w:r>
      <w:r>
        <w:rPr>
          <w:rFonts w:ascii="Arial" w:hAnsi="Arial"/>
          <w:b/>
          <w:spacing w:val="-6"/>
          <w:sz w:val="20"/>
        </w:rPr>
        <w:t> </w:t>
      </w:r>
      <w:r>
        <w:rPr>
          <w:rFonts w:ascii="Arial" w:hAnsi="Arial"/>
          <w:b/>
          <w:sz w:val="20"/>
        </w:rPr>
        <w:t>846.-</w:t>
      </w:r>
      <w:r>
        <w:rPr>
          <w:rFonts w:ascii="Arial" w:hAnsi="Arial"/>
          <w:b/>
          <w:spacing w:val="-4"/>
          <w:sz w:val="20"/>
        </w:rPr>
        <w:t> </w:t>
      </w:r>
      <w:r>
        <w:rPr>
          <w:sz w:val="20"/>
        </w:rPr>
        <w:t>Se</w:t>
      </w:r>
      <w:r>
        <w:rPr>
          <w:spacing w:val="-5"/>
          <w:sz w:val="20"/>
        </w:rPr>
        <w:t> </w:t>
      </w:r>
      <w:r>
        <w:rPr>
          <w:spacing w:val="-2"/>
          <w:sz w:val="20"/>
        </w:rPr>
        <w:t>deroga.</w:t>
      </w:r>
    </w:p>
    <w:p>
      <w:pPr>
        <w:spacing w:line="183" w:lineRule="exact"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2"/>
        <w:rPr>
          <w:rFonts w:ascii="Times New Roman"/>
          <w:i/>
        </w:rPr>
      </w:pPr>
    </w:p>
    <w:p>
      <w:pPr>
        <w:pStyle w:val="BodyText"/>
        <w:ind w:left="338" w:right="338" w:firstLine="288"/>
        <w:jc w:val="both"/>
      </w:pPr>
      <w:bookmarkStart w:name="Artículo_847" w:id="1065"/>
      <w:bookmarkEnd w:id="1065"/>
      <w:r>
        <w:rPr/>
      </w:r>
      <w:r>
        <w:rPr>
          <w:rFonts w:ascii="Arial" w:hAnsi="Arial"/>
          <w:b/>
        </w:rPr>
        <w:t>Artículo 847.- </w:t>
      </w:r>
      <w:r>
        <w:rPr/>
        <w:t>Una vez notificada la sentencia, cualquiera de las partes, dentro del término de tres días,</w:t>
      </w:r>
      <w:r>
        <w:rPr>
          <w:spacing w:val="-2"/>
        </w:rPr>
        <w:t> </w:t>
      </w:r>
      <w:r>
        <w:rPr/>
        <w:t>podrá</w:t>
      </w:r>
      <w:r>
        <w:rPr>
          <w:spacing w:val="-2"/>
        </w:rPr>
        <w:t> </w:t>
      </w:r>
      <w:r>
        <w:rPr/>
        <w:t>solicitar</w:t>
      </w:r>
      <w:r>
        <w:rPr>
          <w:spacing w:val="-1"/>
        </w:rPr>
        <w:t> </w:t>
      </w:r>
      <w:r>
        <w:rPr/>
        <w:t>al</w:t>
      </w:r>
      <w:r>
        <w:rPr>
          <w:spacing w:val="-3"/>
        </w:rPr>
        <w:t> </w:t>
      </w:r>
      <w:r>
        <w:rPr/>
        <w:t>Tribunal la</w:t>
      </w:r>
      <w:r>
        <w:rPr>
          <w:spacing w:val="-2"/>
        </w:rPr>
        <w:t> </w:t>
      </w:r>
      <w:r>
        <w:rPr/>
        <w:t>aclaración</w:t>
      </w:r>
      <w:r>
        <w:rPr>
          <w:spacing w:val="-2"/>
        </w:rPr>
        <w:t> </w:t>
      </w:r>
      <w:r>
        <w:rPr/>
        <w:t>de</w:t>
      </w:r>
      <w:r>
        <w:rPr>
          <w:spacing w:val="-3"/>
        </w:rPr>
        <w:t> </w:t>
      </w:r>
      <w:r>
        <w:rPr/>
        <w:t>la</w:t>
      </w:r>
      <w:r>
        <w:rPr>
          <w:spacing w:val="-2"/>
        </w:rPr>
        <w:t> </w:t>
      </w:r>
      <w:r>
        <w:rPr/>
        <w:t>resolución,</w:t>
      </w:r>
      <w:r>
        <w:rPr>
          <w:spacing w:val="-2"/>
        </w:rPr>
        <w:t> </w:t>
      </w:r>
      <w:r>
        <w:rPr/>
        <w:t>para</w:t>
      </w:r>
      <w:r>
        <w:rPr>
          <w:spacing w:val="-2"/>
        </w:rPr>
        <w:t> </w:t>
      </w:r>
      <w:r>
        <w:rPr/>
        <w:t>corregir</w:t>
      </w:r>
      <w:r>
        <w:rPr>
          <w:spacing w:val="-1"/>
        </w:rPr>
        <w:t> </w:t>
      </w:r>
      <w:r>
        <w:rPr/>
        <w:t>errores</w:t>
      </w:r>
      <w:r>
        <w:rPr>
          <w:spacing w:val="-1"/>
        </w:rPr>
        <w:t> </w:t>
      </w:r>
      <w:r>
        <w:rPr/>
        <w:t>o</w:t>
      </w:r>
      <w:r>
        <w:rPr>
          <w:spacing w:val="-2"/>
        </w:rPr>
        <w:t> </w:t>
      </w:r>
      <w:r>
        <w:rPr/>
        <w:t>precisar</w:t>
      </w:r>
      <w:r>
        <w:rPr>
          <w:spacing w:val="-1"/>
        </w:rPr>
        <w:t> </w:t>
      </w:r>
      <w:r>
        <w:rPr/>
        <w:t>algún</w:t>
      </w:r>
      <w:r>
        <w:rPr>
          <w:spacing w:val="-2"/>
        </w:rPr>
        <w:t> </w:t>
      </w:r>
      <w:r>
        <w:rPr/>
        <w:t>punto. El Tribunal dentro del mismo plazo resolverá, pero por ningún motivo podrá variarse el sentido de la resolución. El error de mención de fecha, nombre, denominación o de cálculo podrá aclararse de oficio.</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right="344" w:firstLine="288"/>
        <w:jc w:val="both"/>
      </w:pPr>
      <w:bookmarkStart w:name="Artículo_848" w:id="1066"/>
      <w:bookmarkEnd w:id="1066"/>
      <w:r>
        <w:rPr/>
      </w:r>
      <w:r>
        <w:rPr>
          <w:rFonts w:ascii="Arial" w:hAnsi="Arial"/>
          <w:b/>
        </w:rPr>
        <w:t>Artículo 848.- </w:t>
      </w:r>
      <w:r>
        <w:rPr/>
        <w:t>Los Tribunales no pueden revocar sus propias resoluciones salvo aquellas que se combatan a través del Recurso de Reconsideración que contempla esta Ley.</w:t>
      </w:r>
    </w:p>
    <w:p>
      <w:pPr>
        <w:pStyle w:val="BodyText"/>
        <w:spacing w:line="229" w:lineRule="exact" w:before="227"/>
        <w:ind w:left="626"/>
      </w:pPr>
      <w:r>
        <w:rPr/>
        <w:t>Las</w:t>
      </w:r>
      <w:r>
        <w:rPr>
          <w:spacing w:val="-7"/>
        </w:rPr>
        <w:t> </w:t>
      </w:r>
      <w:r>
        <w:rPr/>
        <w:t>partes</w:t>
      </w:r>
      <w:r>
        <w:rPr>
          <w:spacing w:val="-4"/>
        </w:rPr>
        <w:t> </w:t>
      </w:r>
      <w:r>
        <w:rPr/>
        <w:t>pueden</w:t>
      </w:r>
      <w:r>
        <w:rPr>
          <w:spacing w:val="-5"/>
        </w:rPr>
        <w:t> </w:t>
      </w:r>
      <w:r>
        <w:rPr/>
        <w:t>exigir</w:t>
      </w:r>
      <w:r>
        <w:rPr>
          <w:spacing w:val="-6"/>
        </w:rPr>
        <w:t> </w:t>
      </w:r>
      <w:r>
        <w:rPr/>
        <w:t>la</w:t>
      </w:r>
      <w:r>
        <w:rPr>
          <w:spacing w:val="-5"/>
        </w:rPr>
        <w:t> </w:t>
      </w:r>
      <w:r>
        <w:rPr/>
        <w:t>responsabilidad</w:t>
      </w:r>
      <w:r>
        <w:rPr>
          <w:spacing w:val="-8"/>
        </w:rPr>
        <w:t> </w:t>
      </w:r>
      <w:r>
        <w:rPr/>
        <w:t>en</w:t>
      </w:r>
      <w:r>
        <w:rPr>
          <w:spacing w:val="-7"/>
        </w:rPr>
        <w:t> </w:t>
      </w:r>
      <w:r>
        <w:rPr/>
        <w:t>que</w:t>
      </w:r>
      <w:r>
        <w:rPr>
          <w:spacing w:val="-6"/>
        </w:rPr>
        <w:t> </w:t>
      </w:r>
      <w:r>
        <w:rPr/>
        <w:t>incurran</w:t>
      </w:r>
      <w:r>
        <w:rPr>
          <w:spacing w:val="-8"/>
        </w:rPr>
        <w:t> </w:t>
      </w:r>
      <w:r>
        <w:rPr/>
        <w:t>los</w:t>
      </w:r>
      <w:r>
        <w:rPr>
          <w:spacing w:val="-6"/>
        </w:rPr>
        <w:t> </w:t>
      </w:r>
      <w:r>
        <w:rPr/>
        <w:t>miembros</w:t>
      </w:r>
      <w:r>
        <w:rPr>
          <w:spacing w:val="-5"/>
        </w:rPr>
        <w:t> </w:t>
      </w:r>
      <w:r>
        <w:rPr/>
        <w:t>de</w:t>
      </w:r>
      <w:r>
        <w:rPr>
          <w:spacing w:val="-8"/>
        </w:rPr>
        <w:t> </w:t>
      </w:r>
      <w:r>
        <w:rPr/>
        <w:t>los</w:t>
      </w:r>
      <w:r>
        <w:rPr>
          <w:spacing w:val="-4"/>
        </w:rPr>
        <w:t> </w:t>
      </w:r>
      <w:r>
        <w:rPr>
          <w:spacing w:val="-2"/>
        </w:rPr>
        <w:t>Tribunales.</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Heading1"/>
        <w:spacing w:line="252" w:lineRule="exact" w:before="229"/>
        <w:ind w:left="297"/>
      </w:pPr>
      <w:r>
        <w:rPr/>
        <w:t>CAPITULO</w:t>
      </w:r>
      <w:r>
        <w:rPr>
          <w:spacing w:val="-9"/>
        </w:rPr>
        <w:t> </w:t>
      </w:r>
      <w:r>
        <w:rPr>
          <w:spacing w:val="-5"/>
        </w:rPr>
        <w:t>XIV</w:t>
      </w:r>
    </w:p>
    <w:p>
      <w:pPr>
        <w:pStyle w:val="Heading2"/>
        <w:spacing w:line="252" w:lineRule="exact"/>
        <w:ind w:left="301"/>
      </w:pPr>
      <w:r>
        <w:rPr/>
        <w:t>De</w:t>
      </w:r>
      <w:r>
        <w:rPr>
          <w:spacing w:val="-3"/>
        </w:rPr>
        <w:t> </w:t>
      </w:r>
      <w:r>
        <w:rPr/>
        <w:t>la</w:t>
      </w:r>
      <w:r>
        <w:rPr>
          <w:spacing w:val="-2"/>
        </w:rPr>
        <w:t> </w:t>
      </w:r>
      <w:r>
        <w:rPr/>
        <w:t>Revisión</w:t>
      </w:r>
      <w:r>
        <w:rPr>
          <w:spacing w:val="-5"/>
        </w:rPr>
        <w:t> </w:t>
      </w:r>
      <w:r>
        <w:rPr/>
        <w:t>de</w:t>
      </w:r>
      <w:r>
        <w:rPr>
          <w:spacing w:val="-5"/>
        </w:rPr>
        <w:t> </w:t>
      </w:r>
      <w:r>
        <w:rPr/>
        <w:t>los Actos</w:t>
      </w:r>
      <w:r>
        <w:rPr>
          <w:spacing w:val="-3"/>
        </w:rPr>
        <w:t> </w:t>
      </w:r>
      <w:r>
        <w:rPr/>
        <w:t>de</w:t>
      </w:r>
      <w:r>
        <w:rPr>
          <w:spacing w:val="-3"/>
        </w:rPr>
        <w:t> </w:t>
      </w:r>
      <w:r>
        <w:rPr>
          <w:spacing w:val="-2"/>
        </w:rPr>
        <w:t>Ejecución</w:t>
      </w:r>
    </w:p>
    <w:p>
      <w:pPr>
        <w:spacing w:before="1"/>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1"/>
        <w:rPr>
          <w:rFonts w:ascii="Times New Roman"/>
          <w:i/>
        </w:rPr>
      </w:pPr>
    </w:p>
    <w:p>
      <w:pPr>
        <w:spacing w:line="229" w:lineRule="exact" w:before="0"/>
        <w:ind w:left="626" w:right="0" w:firstLine="0"/>
        <w:jc w:val="left"/>
        <w:rPr>
          <w:sz w:val="20"/>
        </w:rPr>
      </w:pPr>
      <w:bookmarkStart w:name="Artículo_849" w:id="1067"/>
      <w:bookmarkEnd w:id="1067"/>
      <w:r>
        <w:rPr/>
      </w:r>
      <w:r>
        <w:rPr>
          <w:rFonts w:ascii="Arial" w:hAnsi="Arial"/>
          <w:b/>
          <w:sz w:val="20"/>
        </w:rPr>
        <w:t>Artículo</w:t>
      </w:r>
      <w:r>
        <w:rPr>
          <w:rFonts w:ascii="Arial" w:hAnsi="Arial"/>
          <w:b/>
          <w:spacing w:val="-6"/>
          <w:sz w:val="20"/>
        </w:rPr>
        <w:t> </w:t>
      </w:r>
      <w:r>
        <w:rPr>
          <w:rFonts w:ascii="Arial" w:hAnsi="Arial"/>
          <w:b/>
          <w:sz w:val="20"/>
        </w:rPr>
        <w:t>849.-</w:t>
      </w:r>
      <w:r>
        <w:rPr>
          <w:rFonts w:ascii="Arial" w:hAnsi="Arial"/>
          <w:b/>
          <w:spacing w:val="-4"/>
          <w:sz w:val="20"/>
        </w:rPr>
        <w:t> </w:t>
      </w:r>
      <w:r>
        <w:rPr>
          <w:sz w:val="20"/>
        </w:rPr>
        <w:t>Se</w:t>
      </w:r>
      <w:r>
        <w:rPr>
          <w:spacing w:val="-5"/>
          <w:sz w:val="20"/>
        </w:rPr>
        <w:t> </w:t>
      </w:r>
      <w:r>
        <w:rPr>
          <w:spacing w:val="-2"/>
          <w:sz w:val="20"/>
        </w:rPr>
        <w:t>deroga.</w:t>
      </w:r>
    </w:p>
    <w:p>
      <w:pPr>
        <w:spacing w:line="183" w:lineRule="exact"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2"/>
        <w:rPr>
          <w:rFonts w:ascii="Times New Roman"/>
          <w:i/>
        </w:rPr>
      </w:pPr>
    </w:p>
    <w:p>
      <w:pPr>
        <w:spacing w:before="0"/>
        <w:ind w:left="626" w:right="0" w:firstLine="0"/>
        <w:jc w:val="left"/>
        <w:rPr>
          <w:sz w:val="20"/>
        </w:rPr>
      </w:pPr>
      <w:bookmarkStart w:name="Artículo_850" w:id="1068"/>
      <w:bookmarkEnd w:id="1068"/>
      <w:r>
        <w:rPr/>
      </w:r>
      <w:r>
        <w:rPr>
          <w:rFonts w:ascii="Arial" w:hAnsi="Arial"/>
          <w:b/>
          <w:sz w:val="20"/>
        </w:rPr>
        <w:t>Artículo</w:t>
      </w:r>
      <w:r>
        <w:rPr>
          <w:rFonts w:ascii="Arial" w:hAnsi="Arial"/>
          <w:b/>
          <w:spacing w:val="-6"/>
          <w:sz w:val="20"/>
        </w:rPr>
        <w:t> </w:t>
      </w:r>
      <w:r>
        <w:rPr>
          <w:rFonts w:ascii="Arial" w:hAnsi="Arial"/>
          <w:b/>
          <w:sz w:val="20"/>
        </w:rPr>
        <w:t>850.-</w:t>
      </w:r>
      <w:r>
        <w:rPr>
          <w:rFonts w:ascii="Arial" w:hAnsi="Arial"/>
          <w:b/>
          <w:spacing w:val="-4"/>
          <w:sz w:val="20"/>
        </w:rPr>
        <w:t> </w:t>
      </w:r>
      <w:r>
        <w:rPr>
          <w:sz w:val="20"/>
        </w:rPr>
        <w:t>Se</w:t>
      </w:r>
      <w:r>
        <w:rPr>
          <w:spacing w:val="-5"/>
          <w:sz w:val="20"/>
        </w:rPr>
        <w:t> </w:t>
      </w:r>
      <w:r>
        <w:rPr>
          <w:spacing w:val="-2"/>
          <w:sz w:val="20"/>
        </w:rPr>
        <w:t>deroga.</w:t>
      </w:r>
    </w:p>
    <w:p>
      <w:pPr>
        <w:spacing w:before="1"/>
        <w:ind w:left="46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626" w:right="0" w:firstLine="0"/>
        <w:jc w:val="left"/>
        <w:rPr>
          <w:sz w:val="20"/>
        </w:rPr>
      </w:pPr>
      <w:bookmarkStart w:name="Artículo_851" w:id="1069"/>
      <w:bookmarkEnd w:id="1069"/>
      <w:r>
        <w:rPr/>
      </w:r>
      <w:r>
        <w:rPr>
          <w:rFonts w:ascii="Arial" w:hAnsi="Arial"/>
          <w:b/>
          <w:sz w:val="20"/>
        </w:rPr>
        <w:t>Artículo</w:t>
      </w:r>
      <w:r>
        <w:rPr>
          <w:rFonts w:ascii="Arial" w:hAnsi="Arial"/>
          <w:b/>
          <w:spacing w:val="-6"/>
          <w:sz w:val="20"/>
        </w:rPr>
        <w:t> </w:t>
      </w:r>
      <w:r>
        <w:rPr>
          <w:rFonts w:ascii="Arial" w:hAnsi="Arial"/>
          <w:b/>
          <w:sz w:val="20"/>
        </w:rPr>
        <w:t>851.-</w:t>
      </w:r>
      <w:r>
        <w:rPr>
          <w:rFonts w:ascii="Arial" w:hAnsi="Arial"/>
          <w:b/>
          <w:spacing w:val="-4"/>
          <w:sz w:val="20"/>
        </w:rPr>
        <w:t> </w:t>
      </w:r>
      <w:r>
        <w:rPr>
          <w:sz w:val="20"/>
        </w:rPr>
        <w:t>Se</w:t>
      </w:r>
      <w:r>
        <w:rPr>
          <w:spacing w:val="-5"/>
          <w:sz w:val="20"/>
        </w:rPr>
        <w:t> </w:t>
      </w:r>
      <w:r>
        <w:rPr>
          <w:spacing w:val="-2"/>
          <w:sz w:val="20"/>
        </w:rPr>
        <w:t>deroga.</w:t>
      </w:r>
    </w:p>
    <w:p>
      <w:pPr>
        <w:spacing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line="229" w:lineRule="exact" w:before="0"/>
        <w:ind w:left="626" w:right="0" w:firstLine="0"/>
        <w:jc w:val="left"/>
        <w:rPr>
          <w:sz w:val="20"/>
        </w:rPr>
      </w:pPr>
      <w:bookmarkStart w:name="Artículo_852" w:id="1070"/>
      <w:bookmarkEnd w:id="1070"/>
      <w:r>
        <w:rPr/>
      </w:r>
      <w:r>
        <w:rPr>
          <w:rFonts w:ascii="Arial" w:hAnsi="Arial"/>
          <w:b/>
          <w:sz w:val="20"/>
        </w:rPr>
        <w:t>Artículo</w:t>
      </w:r>
      <w:r>
        <w:rPr>
          <w:rFonts w:ascii="Arial" w:hAnsi="Arial"/>
          <w:b/>
          <w:spacing w:val="-6"/>
          <w:sz w:val="20"/>
        </w:rPr>
        <w:t> </w:t>
      </w:r>
      <w:r>
        <w:rPr>
          <w:rFonts w:ascii="Arial" w:hAnsi="Arial"/>
          <w:b/>
          <w:sz w:val="20"/>
        </w:rPr>
        <w:t>852.-</w:t>
      </w:r>
      <w:r>
        <w:rPr>
          <w:rFonts w:ascii="Arial" w:hAnsi="Arial"/>
          <w:b/>
          <w:spacing w:val="-4"/>
          <w:sz w:val="20"/>
        </w:rPr>
        <w:t> </w:t>
      </w:r>
      <w:r>
        <w:rPr>
          <w:sz w:val="20"/>
        </w:rPr>
        <w:t>Se</w:t>
      </w:r>
      <w:r>
        <w:rPr>
          <w:spacing w:val="-5"/>
          <w:sz w:val="20"/>
        </w:rPr>
        <w:t> </w:t>
      </w:r>
      <w:r>
        <w:rPr>
          <w:spacing w:val="-2"/>
          <w:sz w:val="20"/>
        </w:rPr>
        <w:t>deroga.</w:t>
      </w:r>
    </w:p>
    <w:p>
      <w:pPr>
        <w:spacing w:line="183" w:lineRule="exact"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2"/>
        <w:rPr>
          <w:rFonts w:ascii="Times New Roman"/>
          <w:i/>
        </w:rPr>
      </w:pPr>
    </w:p>
    <w:p>
      <w:pPr>
        <w:spacing w:before="0"/>
        <w:ind w:left="626" w:right="0" w:firstLine="0"/>
        <w:jc w:val="left"/>
        <w:rPr>
          <w:sz w:val="20"/>
        </w:rPr>
      </w:pPr>
      <w:bookmarkStart w:name="Artículo_853" w:id="1071"/>
      <w:bookmarkEnd w:id="1071"/>
      <w:r>
        <w:rPr/>
      </w:r>
      <w:r>
        <w:rPr>
          <w:rFonts w:ascii="Arial" w:hAnsi="Arial"/>
          <w:b/>
          <w:sz w:val="20"/>
        </w:rPr>
        <w:t>Artículo</w:t>
      </w:r>
      <w:r>
        <w:rPr>
          <w:rFonts w:ascii="Arial" w:hAnsi="Arial"/>
          <w:b/>
          <w:spacing w:val="-6"/>
          <w:sz w:val="20"/>
        </w:rPr>
        <w:t> </w:t>
      </w:r>
      <w:r>
        <w:rPr>
          <w:rFonts w:ascii="Arial" w:hAnsi="Arial"/>
          <w:b/>
          <w:sz w:val="20"/>
        </w:rPr>
        <w:t>853.-</w:t>
      </w:r>
      <w:r>
        <w:rPr>
          <w:rFonts w:ascii="Arial" w:hAnsi="Arial"/>
          <w:b/>
          <w:spacing w:val="-4"/>
          <w:sz w:val="20"/>
        </w:rPr>
        <w:t> </w:t>
      </w:r>
      <w:r>
        <w:rPr>
          <w:sz w:val="20"/>
        </w:rPr>
        <w:t>Se</w:t>
      </w:r>
      <w:r>
        <w:rPr>
          <w:spacing w:val="-5"/>
          <w:sz w:val="20"/>
        </w:rPr>
        <w:t> </w:t>
      </w:r>
      <w:r>
        <w:rPr>
          <w:spacing w:val="-2"/>
          <w:sz w:val="20"/>
        </w:rPr>
        <w:t>deroga.</w:t>
      </w:r>
    </w:p>
    <w:p>
      <w:pPr>
        <w:spacing w:after="0"/>
        <w:jc w:val="left"/>
        <w:rPr>
          <w:sz w:val="20"/>
        </w:rPr>
        <w:sectPr>
          <w:pgSz w:w="12240" w:h="15840"/>
          <w:pgMar w:header="724" w:footer="712" w:top="1880" w:bottom="900" w:left="1080" w:right="1080"/>
        </w:sectPr>
      </w:pPr>
    </w:p>
    <w:p>
      <w:pPr>
        <w:pStyle w:val="BodyText"/>
        <w:spacing w:before="109"/>
        <w:rPr>
          <w:sz w:val="16"/>
        </w:rPr>
      </w:pPr>
    </w:p>
    <w:p>
      <w:pPr>
        <w:spacing w:before="0"/>
        <w:ind w:left="46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0"/>
        <w:ind w:left="626" w:right="0" w:firstLine="0"/>
        <w:jc w:val="left"/>
        <w:rPr>
          <w:sz w:val="20"/>
        </w:rPr>
      </w:pPr>
      <w:bookmarkStart w:name="Artículo_854" w:id="1072"/>
      <w:bookmarkEnd w:id="1072"/>
      <w:r>
        <w:rPr/>
      </w:r>
      <w:r>
        <w:rPr>
          <w:rFonts w:ascii="Arial" w:hAnsi="Arial"/>
          <w:b/>
          <w:sz w:val="20"/>
        </w:rPr>
        <w:t>Artículo</w:t>
      </w:r>
      <w:r>
        <w:rPr>
          <w:rFonts w:ascii="Arial" w:hAnsi="Arial"/>
          <w:b/>
          <w:spacing w:val="-6"/>
          <w:sz w:val="20"/>
        </w:rPr>
        <w:t> </w:t>
      </w:r>
      <w:r>
        <w:rPr>
          <w:rFonts w:ascii="Arial" w:hAnsi="Arial"/>
          <w:b/>
          <w:sz w:val="20"/>
        </w:rPr>
        <w:t>854.-</w:t>
      </w:r>
      <w:r>
        <w:rPr>
          <w:rFonts w:ascii="Arial" w:hAnsi="Arial"/>
          <w:b/>
          <w:spacing w:val="-4"/>
          <w:sz w:val="20"/>
        </w:rPr>
        <w:t> </w:t>
      </w:r>
      <w:r>
        <w:rPr>
          <w:sz w:val="20"/>
        </w:rPr>
        <w:t>Se</w:t>
      </w:r>
      <w:r>
        <w:rPr>
          <w:spacing w:val="-5"/>
          <w:sz w:val="20"/>
        </w:rPr>
        <w:t> </w:t>
      </w:r>
      <w:r>
        <w:rPr>
          <w:spacing w:val="-2"/>
          <w:sz w:val="20"/>
        </w:rPr>
        <w:t>deroga.</w:t>
      </w:r>
    </w:p>
    <w:p>
      <w:pPr>
        <w:spacing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626" w:right="0" w:firstLine="0"/>
        <w:jc w:val="left"/>
        <w:rPr>
          <w:sz w:val="20"/>
        </w:rPr>
      </w:pPr>
      <w:bookmarkStart w:name="Artículo_855" w:id="1073"/>
      <w:bookmarkEnd w:id="1073"/>
      <w:r>
        <w:rPr/>
      </w:r>
      <w:r>
        <w:rPr>
          <w:rFonts w:ascii="Arial" w:hAnsi="Arial"/>
          <w:b/>
          <w:sz w:val="20"/>
        </w:rPr>
        <w:t>Artículo</w:t>
      </w:r>
      <w:r>
        <w:rPr>
          <w:rFonts w:ascii="Arial" w:hAnsi="Arial"/>
          <w:b/>
          <w:spacing w:val="-6"/>
          <w:sz w:val="20"/>
        </w:rPr>
        <w:t> </w:t>
      </w:r>
      <w:r>
        <w:rPr>
          <w:rFonts w:ascii="Arial" w:hAnsi="Arial"/>
          <w:b/>
          <w:sz w:val="20"/>
        </w:rPr>
        <w:t>855.-</w:t>
      </w:r>
      <w:r>
        <w:rPr>
          <w:rFonts w:ascii="Arial" w:hAnsi="Arial"/>
          <w:b/>
          <w:spacing w:val="-4"/>
          <w:sz w:val="20"/>
        </w:rPr>
        <w:t> </w:t>
      </w:r>
      <w:r>
        <w:rPr>
          <w:sz w:val="20"/>
        </w:rPr>
        <w:t>Se</w:t>
      </w:r>
      <w:r>
        <w:rPr>
          <w:spacing w:val="-5"/>
          <w:sz w:val="20"/>
        </w:rPr>
        <w:t> </w:t>
      </w:r>
      <w:r>
        <w:rPr>
          <w:spacing w:val="-2"/>
          <w:sz w:val="20"/>
        </w:rPr>
        <w:t>deroga.</w:t>
      </w:r>
    </w:p>
    <w:p>
      <w:pPr>
        <w:spacing w:before="1"/>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pStyle w:val="BodyText"/>
        <w:spacing w:after="0"/>
        <w:rPr>
          <w:rFonts w:ascii="Times New Roman"/>
          <w:i/>
          <w:sz w:val="12"/>
        </w:rPr>
        <w:sectPr>
          <w:pgSz w:w="12240" w:h="15840"/>
          <w:pgMar w:header="724" w:footer="712" w:top="1880" w:bottom="900" w:left="1080" w:right="1080"/>
        </w:sectPr>
      </w:pPr>
    </w:p>
    <w:p>
      <w:pPr>
        <w:spacing w:before="93"/>
        <w:ind w:left="626" w:right="0" w:firstLine="0"/>
        <w:jc w:val="left"/>
        <w:rPr>
          <w:sz w:val="20"/>
        </w:rPr>
      </w:pPr>
      <w:bookmarkStart w:name="Artículo_856" w:id="1074"/>
      <w:bookmarkEnd w:id="1074"/>
      <w:r>
        <w:rPr/>
      </w:r>
      <w:r>
        <w:rPr>
          <w:rFonts w:ascii="Arial" w:hAnsi="Arial"/>
          <w:b/>
          <w:sz w:val="20"/>
        </w:rPr>
        <w:t>Artículo</w:t>
      </w:r>
      <w:r>
        <w:rPr>
          <w:rFonts w:ascii="Arial" w:hAnsi="Arial"/>
          <w:b/>
          <w:spacing w:val="-6"/>
          <w:sz w:val="20"/>
        </w:rPr>
        <w:t> </w:t>
      </w:r>
      <w:r>
        <w:rPr>
          <w:rFonts w:ascii="Arial" w:hAnsi="Arial"/>
          <w:b/>
          <w:sz w:val="20"/>
        </w:rPr>
        <w:t>856.-</w:t>
      </w:r>
      <w:r>
        <w:rPr>
          <w:rFonts w:ascii="Arial" w:hAnsi="Arial"/>
          <w:b/>
          <w:spacing w:val="-4"/>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166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Heading1"/>
        <w:spacing w:line="252" w:lineRule="exact"/>
        <w:ind w:left="0" w:right="2961"/>
      </w:pPr>
      <w:r>
        <w:rPr/>
        <w:t>CAPITULO</w:t>
      </w:r>
      <w:r>
        <w:rPr>
          <w:spacing w:val="-7"/>
        </w:rPr>
        <w:t> XV</w:t>
      </w:r>
    </w:p>
    <w:p>
      <w:pPr>
        <w:pStyle w:val="Heading2"/>
        <w:spacing w:line="252" w:lineRule="exact"/>
        <w:ind w:left="1" w:right="2961"/>
      </w:pPr>
      <w:r>
        <w:rPr/>
        <w:t>De</w:t>
      </w:r>
      <w:r>
        <w:rPr>
          <w:spacing w:val="-5"/>
        </w:rPr>
        <w:t> </w:t>
      </w:r>
      <w:r>
        <w:rPr/>
        <w:t>las</w:t>
      </w:r>
      <w:r>
        <w:rPr>
          <w:spacing w:val="-5"/>
        </w:rPr>
        <w:t> </w:t>
      </w:r>
      <w:r>
        <w:rPr/>
        <w:t>Providencias</w:t>
      </w:r>
      <w:r>
        <w:rPr>
          <w:spacing w:val="-4"/>
        </w:rPr>
        <w:t> </w:t>
      </w:r>
      <w:r>
        <w:rPr>
          <w:spacing w:val="-2"/>
        </w:rPr>
        <w:t>Cautelares</w:t>
      </w:r>
    </w:p>
    <w:p>
      <w:pPr>
        <w:pStyle w:val="Heading2"/>
        <w:spacing w:after="0" w:line="252" w:lineRule="exact"/>
        <w:sectPr>
          <w:type w:val="continuous"/>
          <w:pgSz w:w="12240" w:h="15840"/>
          <w:pgMar w:header="724" w:footer="712" w:top="1880" w:bottom="900" w:left="1080" w:right="1080"/>
          <w:cols w:num="2" w:equalWidth="0">
            <w:col w:w="2926" w:space="40"/>
            <w:col w:w="7114"/>
          </w:cols>
        </w:sectPr>
      </w:pPr>
    </w:p>
    <w:p>
      <w:pPr>
        <w:spacing w:before="4"/>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338" w:firstLine="288"/>
      </w:pPr>
      <w:bookmarkStart w:name="Artículo_857" w:id="1075"/>
      <w:bookmarkEnd w:id="1075"/>
      <w:r>
        <w:rPr/>
      </w:r>
      <w:r>
        <w:rPr>
          <w:rFonts w:ascii="Arial" w:hAnsi="Arial"/>
          <w:b/>
        </w:rPr>
        <w:t>Artículo 857.- </w:t>
      </w:r>
      <w:r>
        <w:rPr/>
        <w:t>El secretario instructor del Tribunal, a petición de parte, podrá decretar las siguientes</w:t>
      </w:r>
      <w:r>
        <w:rPr>
          <w:spacing w:val="40"/>
        </w:rPr>
        <w:t> </w:t>
      </w:r>
      <w:r>
        <w:rPr/>
        <w:t>providencias cautelares: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16"/>
        </w:numPr>
        <w:tabs>
          <w:tab w:pos="1193" w:val="left" w:leader="none"/>
          <w:tab w:pos="1195" w:val="left" w:leader="none"/>
        </w:tabs>
        <w:spacing w:line="242" w:lineRule="auto" w:before="0" w:after="0"/>
        <w:ind w:left="1195" w:right="340" w:hanging="569"/>
        <w:jc w:val="both"/>
        <w:rPr>
          <w:sz w:val="20"/>
        </w:rPr>
      </w:pPr>
      <w:r>
        <w:rPr>
          <w:sz w:val="20"/>
        </w:rPr>
        <w:t>Prohibición de salir del territorio nacional o de una población determinada cuando haya temor</w:t>
      </w:r>
      <w:r>
        <w:rPr>
          <w:spacing w:val="40"/>
          <w:sz w:val="20"/>
        </w:rPr>
        <w:t> </w:t>
      </w:r>
      <w:r>
        <w:rPr>
          <w:sz w:val="20"/>
        </w:rPr>
        <w:t>de que se ausente u oculte la persona contra quien se entable o se haya entablado una </w:t>
      </w:r>
      <w:r>
        <w:rPr>
          <w:spacing w:val="-2"/>
          <w:sz w:val="20"/>
        </w:rPr>
        <w:t>demanda;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16"/>
        </w:numPr>
        <w:tabs>
          <w:tab w:pos="1195" w:val="left" w:leader="none"/>
        </w:tabs>
        <w:spacing w:line="242" w:lineRule="auto" w:before="0" w:after="0"/>
        <w:ind w:left="1195" w:right="337" w:hanging="569"/>
        <w:jc w:val="left"/>
        <w:rPr>
          <w:sz w:val="20"/>
        </w:rPr>
      </w:pPr>
      <w:r>
        <w:rPr>
          <w:sz w:val="20"/>
        </w:rPr>
        <w:t>Embargo precautorio, cuando sea necesario asegurar los bienes de una persona, empresa o</w:t>
      </w:r>
      <w:r>
        <w:rPr>
          <w:spacing w:val="80"/>
          <w:sz w:val="20"/>
        </w:rPr>
        <w:t> </w:t>
      </w:r>
      <w:r>
        <w:rPr>
          <w:spacing w:val="-2"/>
          <w:sz w:val="20"/>
        </w:rPr>
        <w:t>establecimiento.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316"/>
        </w:numPr>
        <w:tabs>
          <w:tab w:pos="1191" w:val="left" w:leader="none"/>
          <w:tab w:pos="1195" w:val="left" w:leader="none"/>
        </w:tabs>
        <w:spacing w:line="240" w:lineRule="auto" w:before="0" w:after="0"/>
        <w:ind w:left="1195" w:right="334" w:hanging="569"/>
        <w:jc w:val="both"/>
        <w:rPr>
          <w:sz w:val="20"/>
        </w:rPr>
      </w:pPr>
      <w:r>
        <w:rPr>
          <w:sz w:val="20"/>
        </w:rPr>
        <w:t>Requerir al patrón se abstenga de dar de baja de la institución de seguridad social en la que se encuentra afiliada la trabajadora embarazada que haya sido despedida, cuando a juicio del Tribunal existan indicios suficientes para presumir que fue separada en razón de su estado; dicha medida se aplicará siempre y cuando se acompañe a la demanda certificado médico que acredite el embarazo, emitido conforme a los requisitos y formalidades contempladas en la ley,</w:t>
      </w:r>
      <w:r>
        <w:rPr>
          <w:spacing w:val="40"/>
          <w:sz w:val="20"/>
        </w:rPr>
        <w:t> </w:t>
      </w:r>
      <w:r>
        <w:rPr>
          <w:spacing w:val="-10"/>
          <w:sz w:val="20"/>
        </w:rPr>
        <w:t>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16"/>
        </w:numPr>
        <w:tabs>
          <w:tab w:pos="1195" w:val="left" w:leader="none"/>
        </w:tabs>
        <w:spacing w:line="240" w:lineRule="auto" w:before="0" w:after="0"/>
        <w:ind w:left="1195" w:right="331" w:hanging="569"/>
        <w:jc w:val="both"/>
        <w:rPr>
          <w:sz w:val="20"/>
        </w:rPr>
      </w:pPr>
      <w:r>
        <w:rPr>
          <w:sz w:val="20"/>
        </w:rPr>
        <w:t>En los casos que se reclame discriminación en el empleo, tales como discriminación por embarazo, u orientación sexual, o por identidad de género, así como en los casos de trabajo infantil, el tribunal tomará las providencias necesarias para evitar que se cancele el goce de derechos fundamentales, tales como la seguridad social, en tanto se resuelve el</w:t>
      </w:r>
      <w:r>
        <w:rPr>
          <w:spacing w:val="-1"/>
          <w:sz w:val="20"/>
        </w:rPr>
        <w:t> </w:t>
      </w:r>
      <w:r>
        <w:rPr>
          <w:sz w:val="20"/>
        </w:rPr>
        <w:t>juicio laboral, o bien decretará las medidas de aseguramiento para las personas que así lo ameriten. Para tal efecto, los demandantes deben acreditar la existencia de indicios que generen al Tribunal la razonable sospecha, apariencia o presunción de los actos de discriminación que hagan valer.</w:t>
      </w:r>
    </w:p>
    <w:p>
      <w:pPr>
        <w:spacing w:line="242" w:lineRule="auto" w:before="0"/>
        <w:ind w:left="7347" w:right="333" w:hanging="106"/>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3"/>
        <w:rPr>
          <w:rFonts w:ascii="Times New Roman"/>
          <w:i/>
          <w:sz w:val="16"/>
        </w:rPr>
      </w:pPr>
    </w:p>
    <w:p>
      <w:pPr>
        <w:pStyle w:val="BodyText"/>
        <w:spacing w:before="1"/>
        <w:ind w:left="338" w:right="342" w:firstLine="288"/>
        <w:jc w:val="both"/>
      </w:pPr>
      <w:bookmarkStart w:name="Artículo_858" w:id="1076"/>
      <w:bookmarkEnd w:id="1076"/>
      <w:r>
        <w:rPr/>
      </w:r>
      <w:r>
        <w:rPr>
          <w:rFonts w:ascii="Arial" w:hAnsi="Arial"/>
          <w:b/>
        </w:rPr>
        <w:t>Artículo 858.- </w:t>
      </w:r>
      <w:r>
        <w:rPr/>
        <w:t>Las providencias cautelares señaladas en las fracciones I y II del artículo anterior podrán ser solicitadas al presentar la demanda, o posteriormente ya sea que se formulen por escrito o en comparecencia. En el primer caso, se tramitarán previamente al emplazamiento y en el segundo, por cuerda separada. En ninguno de los dos casos se pondrá la solicitud en conocimiento de la persona contra quien se pida la providencia.</w:t>
      </w:r>
    </w:p>
    <w:p>
      <w:pPr>
        <w:pStyle w:val="BodyText"/>
        <w:spacing w:before="2"/>
      </w:pPr>
    </w:p>
    <w:p>
      <w:pPr>
        <w:pStyle w:val="BodyText"/>
        <w:ind w:left="338" w:right="343" w:firstLine="288"/>
        <w:jc w:val="both"/>
      </w:pPr>
      <w:r>
        <w:rPr/>
        <w:t>Las providencias cautelares previstas en las fracciones III y IV del artículo 857 de esta Ley, se</w:t>
      </w:r>
      <w:r>
        <w:rPr>
          <w:spacing w:val="40"/>
        </w:rPr>
        <w:t> </w:t>
      </w:r>
      <w:r>
        <w:rPr/>
        <w:t>deberán solicitar al presentar la demanda.</w:t>
      </w:r>
    </w:p>
    <w:p>
      <w:pPr>
        <w:pStyle w:val="BodyText"/>
        <w:spacing w:after="0"/>
        <w:jc w:val="both"/>
        <w:sectPr>
          <w:type w:val="continuous"/>
          <w:pgSz w:w="12240" w:h="15840"/>
          <w:pgMar w:header="724" w:footer="712" w:top="1880" w:bottom="900" w:left="1080" w:right="1080"/>
        </w:sectPr>
      </w:pPr>
    </w:p>
    <w:p>
      <w:pPr>
        <w:pStyle w:val="BodyText"/>
        <w:spacing w:before="65"/>
      </w:pPr>
    </w:p>
    <w:p>
      <w:pPr>
        <w:pStyle w:val="BodyText"/>
        <w:ind w:left="338" w:right="342" w:firstLine="288"/>
        <w:jc w:val="both"/>
      </w:pPr>
      <w:r>
        <w:rPr/>
        <w:t>Las providencias cautelares podrán ser impugnadas mediante el recurso de reconsideración; éste se interpondrá por escrito dentro de los tres días siguientes en que se tenga conocimiento del acto que se impugna, en el que se expresarán los agravios que le cause la providencia impugnada; dándole vista a la contraparte por el término de tres días para que manifieste lo que a su derecho convenga.</w:t>
      </w:r>
    </w:p>
    <w:p>
      <w:pPr>
        <w:pStyle w:val="BodyText"/>
        <w:spacing w:before="2"/>
      </w:pPr>
    </w:p>
    <w:p>
      <w:pPr>
        <w:pStyle w:val="BodyText"/>
        <w:ind w:left="338" w:right="349" w:firstLine="288"/>
        <w:jc w:val="both"/>
      </w:pPr>
      <w:r>
        <w:rPr/>
        <w:t>Una vez transcurrido el término de vista, el recurso se resolverá de plano por el juez del conocimiento en la audiencia preliminar.</w:t>
      </w:r>
    </w:p>
    <w:p>
      <w:pPr>
        <w:pStyle w:val="BodyText"/>
        <w:spacing w:before="229"/>
        <w:ind w:left="338" w:right="342" w:firstLine="288"/>
        <w:jc w:val="both"/>
      </w:pPr>
      <w:r>
        <w:rPr/>
        <w:t>En el supuesto que la providencia cautelar sea decretada con posterioridad a la audiencia preliminar,</w:t>
      </w:r>
      <w:r>
        <w:rPr>
          <w:spacing w:val="40"/>
        </w:rPr>
        <w:t> </w:t>
      </w:r>
      <w:r>
        <w:rPr/>
        <w:t>y se interponga el recurso de reconsideración, agotada la vista a la contraparte, el Tribunal resolverá de </w:t>
      </w:r>
      <w:r>
        <w:rPr>
          <w:spacing w:val="-2"/>
        </w:rPr>
        <w:t>plano.</w:t>
      </w:r>
    </w:p>
    <w:p>
      <w:pPr>
        <w:spacing w:line="181"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before="1"/>
        <w:ind w:left="338" w:right="336" w:firstLine="288"/>
        <w:jc w:val="both"/>
      </w:pPr>
      <w:bookmarkStart w:name="Artículo_859" w:id="1077"/>
      <w:bookmarkEnd w:id="1077"/>
      <w:r>
        <w:rPr/>
      </w:r>
      <w:r>
        <w:rPr>
          <w:rFonts w:ascii="Arial" w:hAnsi="Arial"/>
          <w:b/>
        </w:rPr>
        <w:t>Artículo 859.- </w:t>
      </w:r>
      <w:r>
        <w:rPr/>
        <w:t>El arraigo se decretará de plano y su efecto consistirá en prevenir al demandado que</w:t>
      </w:r>
      <w:r>
        <w:rPr>
          <w:spacing w:val="40"/>
        </w:rPr>
        <w:t> </w:t>
      </w:r>
      <w:r>
        <w:rPr/>
        <w:t>no se ausente del lugar de su residencia, sin dejar representante legítimo, suficientemente instruido y </w:t>
      </w:r>
      <w:r>
        <w:rPr>
          <w:spacing w:val="-2"/>
        </w:rPr>
        <w:t>expensado.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338" w:right="338" w:firstLine="288"/>
        <w:jc w:val="both"/>
      </w:pPr>
      <w:bookmarkStart w:name="Artículo_860" w:id="1078"/>
      <w:bookmarkEnd w:id="1078"/>
      <w:r>
        <w:rPr/>
      </w:r>
      <w:r>
        <w:rPr>
          <w:rFonts w:ascii="Arial" w:hAnsi="Arial"/>
          <w:b/>
        </w:rPr>
        <w:t>Artículo 860.- </w:t>
      </w:r>
      <w:r>
        <w:rPr/>
        <w:t>La persona que quebrante el arraigo decretado, será responsable del delito de desobediencia a un mandato de autoridad. Para este efecto, el Tribunal hará la denuncia respectiva ante el Ministerio Público respectivo.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626"/>
      </w:pPr>
      <w:bookmarkStart w:name="Artículo_861" w:id="1079"/>
      <w:bookmarkEnd w:id="1079"/>
      <w:r>
        <w:rPr/>
      </w:r>
      <w:r>
        <w:rPr>
          <w:rFonts w:ascii="Arial" w:hAnsi="Arial"/>
          <w:b/>
        </w:rPr>
        <w:t>Artículo</w:t>
      </w:r>
      <w:r>
        <w:rPr>
          <w:rFonts w:ascii="Arial" w:hAnsi="Arial"/>
          <w:b/>
          <w:spacing w:val="-7"/>
        </w:rPr>
        <w:t> </w:t>
      </w:r>
      <w:r>
        <w:rPr>
          <w:rFonts w:ascii="Arial" w:hAnsi="Arial"/>
          <w:b/>
        </w:rPr>
        <w:t>861.</w:t>
      </w:r>
      <w:r>
        <w:rPr>
          <w:rFonts w:ascii="Arial" w:hAnsi="Arial"/>
          <w:b/>
          <w:spacing w:val="-4"/>
        </w:rPr>
        <w:t> </w:t>
      </w:r>
      <w:r>
        <w:rPr/>
        <w:t>Para</w:t>
      </w:r>
      <w:r>
        <w:rPr>
          <w:spacing w:val="-5"/>
        </w:rPr>
        <w:t> </w:t>
      </w:r>
      <w:r>
        <w:rPr/>
        <w:t>decretar</w:t>
      </w:r>
      <w:r>
        <w:rPr>
          <w:spacing w:val="-6"/>
        </w:rPr>
        <w:t> </w:t>
      </w:r>
      <w:r>
        <w:rPr/>
        <w:t>un</w:t>
      </w:r>
      <w:r>
        <w:rPr>
          <w:spacing w:val="-8"/>
        </w:rPr>
        <w:t> </w:t>
      </w:r>
      <w:r>
        <w:rPr/>
        <w:t>embargo</w:t>
      </w:r>
      <w:r>
        <w:rPr>
          <w:spacing w:val="-8"/>
        </w:rPr>
        <w:t> </w:t>
      </w:r>
      <w:r>
        <w:rPr/>
        <w:t>precautorio,</w:t>
      </w:r>
      <w:r>
        <w:rPr>
          <w:spacing w:val="-6"/>
        </w:rPr>
        <w:t> </w:t>
      </w:r>
      <w:r>
        <w:rPr/>
        <w:t>se</w:t>
      </w:r>
      <w:r>
        <w:rPr>
          <w:spacing w:val="-7"/>
        </w:rPr>
        <w:t> </w:t>
      </w:r>
      <w:r>
        <w:rPr/>
        <w:t>observarán</w:t>
      </w:r>
      <w:r>
        <w:rPr>
          <w:spacing w:val="-5"/>
        </w:rPr>
        <w:t> </w:t>
      </w:r>
      <w:r>
        <w:rPr/>
        <w:t>las</w:t>
      </w:r>
      <w:r>
        <w:rPr>
          <w:spacing w:val="-7"/>
        </w:rPr>
        <w:t> </w:t>
      </w:r>
      <w:r>
        <w:rPr/>
        <w:t>normas</w:t>
      </w:r>
      <w:r>
        <w:rPr>
          <w:spacing w:val="-9"/>
        </w:rPr>
        <w:t> </w:t>
      </w:r>
      <w:r>
        <w:rPr>
          <w:spacing w:val="-2"/>
        </w:rPr>
        <w:t>siguientes:</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317"/>
        </w:numPr>
        <w:tabs>
          <w:tab w:pos="1193" w:val="left" w:leader="none"/>
          <w:tab w:pos="1195" w:val="left" w:leader="none"/>
        </w:tabs>
        <w:spacing w:line="242" w:lineRule="auto" w:before="0" w:after="0"/>
        <w:ind w:left="1195" w:right="341" w:hanging="569"/>
        <w:jc w:val="both"/>
        <w:rPr>
          <w:sz w:val="20"/>
        </w:rPr>
      </w:pPr>
      <w:r>
        <w:rPr>
          <w:sz w:val="20"/>
        </w:rPr>
        <w:t>El solicitante determinará el monto de lo demandado y rendirá las pruebas que juzgue conveniente para acreditar la necesidad de la medida;</w:t>
      </w:r>
    </w:p>
    <w:p>
      <w:pPr>
        <w:pStyle w:val="ListParagraph"/>
        <w:numPr>
          <w:ilvl w:val="0"/>
          <w:numId w:val="317"/>
        </w:numPr>
        <w:tabs>
          <w:tab w:pos="1192" w:val="left" w:leader="none"/>
          <w:tab w:pos="1195" w:val="left" w:leader="none"/>
        </w:tabs>
        <w:spacing w:line="240" w:lineRule="auto" w:before="227" w:after="0"/>
        <w:ind w:left="1195" w:right="343" w:hanging="569"/>
        <w:jc w:val="both"/>
        <w:rPr>
          <w:sz w:val="20"/>
        </w:rPr>
      </w:pPr>
      <w:r>
        <w:rPr>
          <w:sz w:val="20"/>
        </w:rPr>
        <w:t>El Tribunal, tomando en consideración las circunstancias del caso y las pruebas rendidas, dentro de las veinticuatro horas siguientes a aquella en que se le solicite, podrá decretar el embargo precautorio si, a su juicio, es necesaria la providencia;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ListParagraph"/>
        <w:numPr>
          <w:ilvl w:val="0"/>
          <w:numId w:val="317"/>
        </w:numPr>
        <w:tabs>
          <w:tab w:pos="1195" w:val="left" w:leader="none"/>
        </w:tabs>
        <w:spacing w:line="229" w:lineRule="exact" w:before="0" w:after="0"/>
        <w:ind w:left="1195" w:right="0" w:hanging="569"/>
        <w:jc w:val="left"/>
        <w:rPr>
          <w:sz w:val="20"/>
        </w:rPr>
      </w:pPr>
      <w:r>
        <w:rPr>
          <w:sz w:val="20"/>
        </w:rPr>
        <w:t>El</w:t>
      </w:r>
      <w:r>
        <w:rPr>
          <w:spacing w:val="-6"/>
          <w:sz w:val="20"/>
        </w:rPr>
        <w:t> </w:t>
      </w:r>
      <w:r>
        <w:rPr>
          <w:sz w:val="20"/>
        </w:rPr>
        <w:t>auto</w:t>
      </w:r>
      <w:r>
        <w:rPr>
          <w:spacing w:val="-4"/>
          <w:sz w:val="20"/>
        </w:rPr>
        <w:t> </w:t>
      </w:r>
      <w:r>
        <w:rPr>
          <w:sz w:val="20"/>
        </w:rPr>
        <w:t>que</w:t>
      </w:r>
      <w:r>
        <w:rPr>
          <w:spacing w:val="-7"/>
          <w:sz w:val="20"/>
        </w:rPr>
        <w:t> </w:t>
      </w:r>
      <w:r>
        <w:rPr>
          <w:sz w:val="20"/>
        </w:rPr>
        <w:t>ordene</w:t>
      </w:r>
      <w:r>
        <w:rPr>
          <w:spacing w:val="-4"/>
          <w:sz w:val="20"/>
        </w:rPr>
        <w:t> </w:t>
      </w:r>
      <w:r>
        <w:rPr>
          <w:sz w:val="20"/>
        </w:rPr>
        <w:t>el</w:t>
      </w:r>
      <w:r>
        <w:rPr>
          <w:spacing w:val="-6"/>
          <w:sz w:val="20"/>
        </w:rPr>
        <w:t> </w:t>
      </w:r>
      <w:r>
        <w:rPr>
          <w:sz w:val="20"/>
        </w:rPr>
        <w:t>embargo</w:t>
      </w:r>
      <w:r>
        <w:rPr>
          <w:spacing w:val="-7"/>
          <w:sz w:val="20"/>
        </w:rPr>
        <w:t> </w:t>
      </w:r>
      <w:r>
        <w:rPr>
          <w:sz w:val="20"/>
        </w:rPr>
        <w:t>determinará</w:t>
      </w:r>
      <w:r>
        <w:rPr>
          <w:spacing w:val="-6"/>
          <w:sz w:val="20"/>
        </w:rPr>
        <w:t> </w:t>
      </w:r>
      <w:r>
        <w:rPr>
          <w:sz w:val="20"/>
        </w:rPr>
        <w:t>el</w:t>
      </w:r>
      <w:r>
        <w:rPr>
          <w:spacing w:val="-8"/>
          <w:sz w:val="20"/>
        </w:rPr>
        <w:t> </w:t>
      </w:r>
      <w:r>
        <w:rPr>
          <w:sz w:val="20"/>
        </w:rPr>
        <w:t>monto por</w:t>
      </w:r>
      <w:r>
        <w:rPr>
          <w:spacing w:val="-5"/>
          <w:sz w:val="20"/>
        </w:rPr>
        <w:t> </w:t>
      </w:r>
      <w:r>
        <w:rPr>
          <w:sz w:val="20"/>
        </w:rPr>
        <w:t>el</w:t>
      </w:r>
      <w:r>
        <w:rPr>
          <w:spacing w:val="-6"/>
          <w:sz w:val="20"/>
        </w:rPr>
        <w:t> </w:t>
      </w:r>
      <w:r>
        <w:rPr>
          <w:sz w:val="20"/>
        </w:rPr>
        <w:t>cual</w:t>
      </w:r>
      <w:r>
        <w:rPr>
          <w:spacing w:val="-7"/>
          <w:sz w:val="20"/>
        </w:rPr>
        <w:t> </w:t>
      </w:r>
      <w:r>
        <w:rPr>
          <w:sz w:val="20"/>
        </w:rPr>
        <w:t>deba</w:t>
      </w:r>
      <w:r>
        <w:rPr>
          <w:spacing w:val="-5"/>
          <w:sz w:val="20"/>
        </w:rPr>
        <w:t> </w:t>
      </w:r>
      <w:r>
        <w:rPr>
          <w:sz w:val="20"/>
        </w:rPr>
        <w:t>practicarse;</w:t>
      </w:r>
      <w:r>
        <w:rPr>
          <w:spacing w:val="-5"/>
          <w:sz w:val="20"/>
        </w:rPr>
        <w:t> </w:t>
      </w:r>
      <w:r>
        <w:rPr>
          <w:spacing w:val="-10"/>
          <w:sz w:val="20"/>
        </w:rPr>
        <w:t>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317"/>
        </w:numPr>
        <w:tabs>
          <w:tab w:pos="1195" w:val="left" w:leader="none"/>
        </w:tabs>
        <w:spacing w:line="242" w:lineRule="auto" w:before="0" w:after="0"/>
        <w:ind w:left="1195" w:right="346" w:hanging="569"/>
        <w:jc w:val="both"/>
        <w:rPr>
          <w:sz w:val="20"/>
        </w:rPr>
      </w:pPr>
      <w:r>
        <w:rPr>
          <w:sz w:val="20"/>
        </w:rPr>
        <w:t>El</w:t>
      </w:r>
      <w:r>
        <w:rPr>
          <w:spacing w:val="-2"/>
          <w:sz w:val="20"/>
        </w:rPr>
        <w:t> </w:t>
      </w:r>
      <w:r>
        <w:rPr>
          <w:sz w:val="20"/>
        </w:rPr>
        <w:t>Tribunal dictará</w:t>
      </w:r>
      <w:r>
        <w:rPr>
          <w:spacing w:val="-1"/>
          <w:sz w:val="20"/>
        </w:rPr>
        <w:t> </w:t>
      </w:r>
      <w:r>
        <w:rPr>
          <w:sz w:val="20"/>
        </w:rPr>
        <w:t>las medidas a</w:t>
      </w:r>
      <w:r>
        <w:rPr>
          <w:spacing w:val="-1"/>
          <w:sz w:val="20"/>
        </w:rPr>
        <w:t> </w:t>
      </w:r>
      <w:r>
        <w:rPr>
          <w:sz w:val="20"/>
        </w:rPr>
        <w:t>que</w:t>
      </w:r>
      <w:r>
        <w:rPr>
          <w:spacing w:val="-2"/>
          <w:sz w:val="20"/>
        </w:rPr>
        <w:t> </w:t>
      </w:r>
      <w:r>
        <w:rPr>
          <w:sz w:val="20"/>
        </w:rPr>
        <w:t>se</w:t>
      </w:r>
      <w:r>
        <w:rPr>
          <w:spacing w:val="-1"/>
          <w:sz w:val="20"/>
        </w:rPr>
        <w:t> </w:t>
      </w:r>
      <w:r>
        <w:rPr>
          <w:sz w:val="20"/>
        </w:rPr>
        <w:t>sujetará</w:t>
      </w:r>
      <w:r>
        <w:rPr>
          <w:spacing w:val="-1"/>
          <w:sz w:val="20"/>
        </w:rPr>
        <w:t> </w:t>
      </w:r>
      <w:r>
        <w:rPr>
          <w:sz w:val="20"/>
        </w:rPr>
        <w:t>el</w:t>
      </w:r>
      <w:r>
        <w:rPr>
          <w:spacing w:val="-2"/>
          <w:sz w:val="20"/>
        </w:rPr>
        <w:t> </w:t>
      </w:r>
      <w:r>
        <w:rPr>
          <w:sz w:val="20"/>
        </w:rPr>
        <w:t>embargo,</w:t>
      </w:r>
      <w:r>
        <w:rPr>
          <w:spacing w:val="-1"/>
          <w:sz w:val="20"/>
        </w:rPr>
        <w:t> </w:t>
      </w:r>
      <w:r>
        <w:rPr>
          <w:sz w:val="20"/>
        </w:rPr>
        <w:t>a</w:t>
      </w:r>
      <w:r>
        <w:rPr>
          <w:spacing w:val="-1"/>
          <w:sz w:val="20"/>
        </w:rPr>
        <w:t> </w:t>
      </w:r>
      <w:r>
        <w:rPr>
          <w:sz w:val="20"/>
        </w:rPr>
        <w:t>efecto</w:t>
      </w:r>
      <w:r>
        <w:rPr>
          <w:spacing w:val="-1"/>
          <w:sz w:val="20"/>
        </w:rPr>
        <w:t> </w:t>
      </w:r>
      <w:r>
        <w:rPr>
          <w:sz w:val="20"/>
        </w:rPr>
        <w:t>de que no</w:t>
      </w:r>
      <w:r>
        <w:rPr>
          <w:spacing w:val="-1"/>
          <w:sz w:val="20"/>
        </w:rPr>
        <w:t> </w:t>
      </w:r>
      <w:r>
        <w:rPr>
          <w:sz w:val="20"/>
        </w:rPr>
        <w:t>se</w:t>
      </w:r>
      <w:r>
        <w:rPr>
          <w:spacing w:val="-1"/>
          <w:sz w:val="20"/>
        </w:rPr>
        <w:t> </w:t>
      </w:r>
      <w:r>
        <w:rPr>
          <w:sz w:val="20"/>
        </w:rPr>
        <w:t>suspenda o dificulte el desarrollo de las actividades de la empresa o establecimiento.</w:t>
      </w:r>
    </w:p>
    <w:p>
      <w:pPr>
        <w:spacing w:line="240" w:lineRule="auto" w:before="0"/>
        <w:ind w:left="7347" w:right="333" w:hanging="891"/>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30-11-2012,</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2"/>
        <w:rPr>
          <w:rFonts w:ascii="Times New Roman"/>
          <w:i/>
          <w:sz w:val="16"/>
        </w:rPr>
      </w:pPr>
    </w:p>
    <w:p>
      <w:pPr>
        <w:pStyle w:val="BodyText"/>
        <w:ind w:left="338" w:right="335" w:firstLine="288"/>
        <w:jc w:val="both"/>
      </w:pPr>
      <w:bookmarkStart w:name="Artículo_862" w:id="1080"/>
      <w:bookmarkEnd w:id="1080"/>
      <w:r>
        <w:rPr/>
      </w:r>
      <w:r>
        <w:rPr>
          <w:rFonts w:ascii="Arial" w:hAnsi="Arial"/>
          <w:b/>
        </w:rPr>
        <w:t>Artículo 862.- </w:t>
      </w:r>
      <w:r>
        <w:rPr/>
        <w:t>En el caso de la fracción II del artículo anterior, se considerará necesaria la</w:t>
      </w:r>
      <w:r>
        <w:rPr>
          <w:spacing w:val="40"/>
        </w:rPr>
        <w:t> </w:t>
      </w:r>
      <w:r>
        <w:rPr/>
        <w:t>providencia, cuando el solicitante compruebe que el demandado tiene diferentes juicios o reclamaciones ante autoridades judiciales o administrativas promovidos por terceros en su contra, y que por su cuantía,</w:t>
      </w:r>
      <w:r>
        <w:rPr>
          <w:spacing w:val="40"/>
        </w:rPr>
        <w:t> </w:t>
      </w:r>
      <w:r>
        <w:rPr/>
        <w:t>a criterio del Tribunal, exista el riesgo de insolvencia.</w:t>
      </w:r>
    </w:p>
    <w:p>
      <w:pPr>
        <w:spacing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2" w:firstLine="288"/>
        <w:jc w:val="both"/>
      </w:pPr>
      <w:bookmarkStart w:name="Artículo_863" w:id="1081"/>
      <w:bookmarkEnd w:id="1081"/>
      <w:r>
        <w:rPr/>
      </w:r>
      <w:r>
        <w:rPr>
          <w:rFonts w:ascii="Arial" w:hAnsi="Arial"/>
          <w:b/>
        </w:rPr>
        <w:t>Artículo 863. </w:t>
      </w:r>
      <w:r>
        <w:rPr/>
        <w:t>La providencia se llevará a cabo aún cuando no esté presente la persona contra quien se dicte. El propietario de los bienes embargados será depositario de los mismos, sin necesidad de que acepte el cargo ni proteste desempeñarlo, con las responsabilidades y atribuciones inherentes al mismo, observándose las disposiciones de esta Ley en lo que sean aplicables. En caso de persona moral, el depositario será el gerente o director general o quien tenga la representación legal de la misma.</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firstLine="288"/>
      </w:pPr>
      <w:r>
        <w:rPr/>
        <w:t>Tratándose de inmuebles, a petición del interesado, el Tribunal solicitará la inscripción del embargo</w:t>
      </w:r>
      <w:r>
        <w:rPr>
          <w:spacing w:val="80"/>
        </w:rPr>
        <w:t> </w:t>
      </w:r>
      <w:r>
        <w:rPr/>
        <w:t>precautorio en el Registro Público de la Propiedad.</w:t>
      </w:r>
    </w:p>
    <w:p>
      <w:pPr>
        <w:spacing w:before="0"/>
        <w:ind w:left="6519" w:right="0" w:firstLine="844"/>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2"/>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9"/>
        <w:rPr>
          <w:rFonts w:ascii="Times New Roman"/>
          <w:i/>
          <w:sz w:val="11"/>
        </w:rPr>
      </w:pPr>
    </w:p>
    <w:p>
      <w:pPr>
        <w:pStyle w:val="BodyText"/>
        <w:spacing w:after="0"/>
        <w:rPr>
          <w:rFonts w:ascii="Times New Roman"/>
          <w:i/>
          <w:sz w:val="11"/>
        </w:rPr>
        <w:sectPr>
          <w:pgSz w:w="12240" w:h="15840"/>
          <w:pgMar w:header="724" w:footer="712" w:top="1880" w:bottom="900" w:left="1080" w:right="1080"/>
        </w:sectPr>
      </w:pPr>
    </w:p>
    <w:p>
      <w:pPr>
        <w:spacing w:before="93"/>
        <w:ind w:left="626" w:right="0" w:firstLine="0"/>
        <w:jc w:val="left"/>
        <w:rPr>
          <w:sz w:val="20"/>
        </w:rPr>
      </w:pPr>
      <w:bookmarkStart w:name="Artículo_864" w:id="1082"/>
      <w:bookmarkEnd w:id="1082"/>
      <w:r>
        <w:rPr/>
      </w:r>
      <w:r>
        <w:rPr>
          <w:rFonts w:ascii="Arial" w:hAnsi="Arial"/>
          <w:b/>
          <w:sz w:val="20"/>
        </w:rPr>
        <w:t>Artículo</w:t>
      </w:r>
      <w:r>
        <w:rPr>
          <w:rFonts w:ascii="Arial" w:hAnsi="Arial"/>
          <w:b/>
          <w:spacing w:val="-6"/>
          <w:sz w:val="20"/>
        </w:rPr>
        <w:t> </w:t>
      </w:r>
      <w:r>
        <w:rPr>
          <w:rFonts w:ascii="Arial" w:hAnsi="Arial"/>
          <w:b/>
          <w:sz w:val="20"/>
        </w:rPr>
        <w:t>864.-</w:t>
      </w:r>
      <w:r>
        <w:rPr>
          <w:rFonts w:ascii="Arial" w:hAnsi="Arial"/>
          <w:b/>
          <w:spacing w:val="-4"/>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18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Heading1"/>
        <w:spacing w:before="1"/>
        <w:ind w:left="626" w:right="0"/>
        <w:jc w:val="left"/>
      </w:pPr>
      <w:r>
        <w:rPr/>
        <w:t>CAPITULO</w:t>
      </w:r>
      <w:r>
        <w:rPr>
          <w:spacing w:val="-9"/>
        </w:rPr>
        <w:t> </w:t>
      </w:r>
      <w:r>
        <w:rPr>
          <w:spacing w:val="-5"/>
        </w:rPr>
        <w:t>XVI</w:t>
      </w:r>
    </w:p>
    <w:p>
      <w:pPr>
        <w:pStyle w:val="Heading1"/>
        <w:spacing w:after="0"/>
        <w:jc w:val="left"/>
        <w:sectPr>
          <w:type w:val="continuous"/>
          <w:pgSz w:w="12240" w:h="15840"/>
          <w:pgMar w:header="724" w:footer="712" w:top="1880" w:bottom="900" w:left="1080" w:right="1080"/>
          <w:cols w:num="2" w:equalWidth="0">
            <w:col w:w="2966" w:space="678"/>
            <w:col w:w="6436"/>
          </w:cols>
        </w:sectPr>
      </w:pPr>
    </w:p>
    <w:p>
      <w:pPr>
        <w:pStyle w:val="Heading2"/>
        <w:spacing w:line="252" w:lineRule="exact"/>
        <w:ind w:left="298"/>
      </w:pPr>
      <w:r>
        <w:rPr/>
        <w:t>Procedimientos</w:t>
      </w:r>
      <w:r>
        <w:rPr>
          <w:spacing w:val="-5"/>
        </w:rPr>
        <w:t> </w:t>
      </w:r>
      <w:r>
        <w:rPr/>
        <w:t>Ante</w:t>
      </w:r>
      <w:r>
        <w:rPr>
          <w:spacing w:val="-5"/>
        </w:rPr>
        <w:t> </w:t>
      </w:r>
      <w:r>
        <w:rPr/>
        <w:t>las</w:t>
      </w:r>
      <w:r>
        <w:rPr>
          <w:spacing w:val="-5"/>
        </w:rPr>
        <w:t> </w:t>
      </w:r>
      <w:r>
        <w:rPr/>
        <w:t>Juntas</w:t>
      </w:r>
      <w:r>
        <w:rPr>
          <w:spacing w:val="-8"/>
        </w:rPr>
        <w:t> </w:t>
      </w:r>
      <w:r>
        <w:rPr/>
        <w:t>de</w:t>
      </w:r>
      <w:r>
        <w:rPr>
          <w:spacing w:val="-4"/>
        </w:rPr>
        <w:t> </w:t>
      </w:r>
      <w:r>
        <w:rPr>
          <w:spacing w:val="-2"/>
        </w:rPr>
        <w:t>Conciliación</w:t>
      </w:r>
    </w:p>
    <w:p>
      <w:pPr>
        <w:spacing w:before="1"/>
        <w:ind w:left="5384"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rPr>
      </w:pPr>
    </w:p>
    <w:p>
      <w:pPr>
        <w:spacing w:before="0"/>
        <w:ind w:left="626" w:right="0" w:firstLine="0"/>
        <w:jc w:val="left"/>
        <w:rPr>
          <w:sz w:val="20"/>
        </w:rPr>
      </w:pPr>
      <w:bookmarkStart w:name="Artículo_865" w:id="1083"/>
      <w:bookmarkEnd w:id="1083"/>
      <w:r>
        <w:rPr/>
      </w:r>
      <w:r>
        <w:rPr>
          <w:rFonts w:ascii="Arial" w:hAnsi="Arial"/>
          <w:b/>
          <w:sz w:val="20"/>
        </w:rPr>
        <w:t>Artículo</w:t>
      </w:r>
      <w:r>
        <w:rPr>
          <w:rFonts w:ascii="Arial" w:hAnsi="Arial"/>
          <w:b/>
          <w:spacing w:val="-6"/>
          <w:sz w:val="20"/>
        </w:rPr>
        <w:t> </w:t>
      </w:r>
      <w:r>
        <w:rPr>
          <w:rFonts w:ascii="Arial" w:hAnsi="Arial"/>
          <w:b/>
          <w:sz w:val="20"/>
        </w:rPr>
        <w:t>865.</w:t>
      </w:r>
      <w:r>
        <w:rPr>
          <w:rFonts w:ascii="Arial" w:hAnsi="Arial"/>
          <w:b/>
          <w:spacing w:val="-5"/>
          <w:sz w:val="20"/>
        </w:rPr>
        <w:t> </w:t>
      </w:r>
      <w:r>
        <w:rPr>
          <w:sz w:val="20"/>
        </w:rPr>
        <w:t>(Se</w:t>
      </w:r>
      <w:r>
        <w:rPr>
          <w:spacing w:val="-4"/>
          <w:sz w:val="20"/>
        </w:rPr>
        <w:t> </w:t>
      </w:r>
      <w:r>
        <w:rPr>
          <w:spacing w:val="-2"/>
          <w:sz w:val="20"/>
        </w:rPr>
        <w:t>deroga).</w:t>
      </w:r>
    </w:p>
    <w:p>
      <w:pPr>
        <w:spacing w:before="1"/>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before="229"/>
        <w:ind w:left="626" w:right="0" w:firstLine="0"/>
        <w:jc w:val="left"/>
        <w:rPr>
          <w:sz w:val="20"/>
        </w:rPr>
      </w:pPr>
      <w:bookmarkStart w:name="Artículo_866" w:id="1084"/>
      <w:bookmarkEnd w:id="1084"/>
      <w:r>
        <w:rPr/>
      </w:r>
      <w:r>
        <w:rPr>
          <w:rFonts w:ascii="Arial" w:hAnsi="Arial"/>
          <w:b/>
          <w:sz w:val="20"/>
        </w:rPr>
        <w:t>Artículo</w:t>
      </w:r>
      <w:r>
        <w:rPr>
          <w:rFonts w:ascii="Arial" w:hAnsi="Arial"/>
          <w:b/>
          <w:spacing w:val="-6"/>
          <w:sz w:val="20"/>
        </w:rPr>
        <w:t> </w:t>
      </w:r>
      <w:r>
        <w:rPr>
          <w:rFonts w:ascii="Arial" w:hAnsi="Arial"/>
          <w:b/>
          <w:sz w:val="20"/>
        </w:rPr>
        <w:t>866.</w:t>
      </w:r>
      <w:r>
        <w:rPr>
          <w:rFonts w:ascii="Arial" w:hAnsi="Arial"/>
          <w:b/>
          <w:spacing w:val="-5"/>
          <w:sz w:val="20"/>
        </w:rPr>
        <w:t> </w:t>
      </w:r>
      <w:r>
        <w:rPr>
          <w:sz w:val="20"/>
        </w:rPr>
        <w:t>(Se</w:t>
      </w:r>
      <w:r>
        <w:rPr>
          <w:spacing w:val="-4"/>
          <w:sz w:val="20"/>
        </w:rPr>
        <w:t> </w:t>
      </w:r>
      <w:r>
        <w:rPr>
          <w:spacing w:val="-2"/>
          <w:sz w:val="20"/>
        </w:rPr>
        <w:t>deroga).</w:t>
      </w:r>
    </w:p>
    <w:p>
      <w:pPr>
        <w:spacing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before="229"/>
        <w:ind w:left="626" w:right="0" w:firstLine="0"/>
        <w:jc w:val="left"/>
        <w:rPr>
          <w:sz w:val="20"/>
        </w:rPr>
      </w:pPr>
      <w:bookmarkStart w:name="Artículo_867" w:id="1085"/>
      <w:bookmarkEnd w:id="1085"/>
      <w:r>
        <w:rPr/>
      </w:r>
      <w:r>
        <w:rPr>
          <w:rFonts w:ascii="Arial" w:hAnsi="Arial"/>
          <w:b/>
          <w:sz w:val="20"/>
        </w:rPr>
        <w:t>Artículo</w:t>
      </w:r>
      <w:r>
        <w:rPr>
          <w:rFonts w:ascii="Arial" w:hAnsi="Arial"/>
          <w:b/>
          <w:spacing w:val="-6"/>
          <w:sz w:val="20"/>
        </w:rPr>
        <w:t> </w:t>
      </w:r>
      <w:r>
        <w:rPr>
          <w:rFonts w:ascii="Arial" w:hAnsi="Arial"/>
          <w:b/>
          <w:sz w:val="20"/>
        </w:rPr>
        <w:t>867.</w:t>
      </w:r>
      <w:r>
        <w:rPr>
          <w:rFonts w:ascii="Arial" w:hAnsi="Arial"/>
          <w:b/>
          <w:spacing w:val="-5"/>
          <w:sz w:val="20"/>
        </w:rPr>
        <w:t> </w:t>
      </w:r>
      <w:r>
        <w:rPr>
          <w:sz w:val="20"/>
        </w:rPr>
        <w:t>(Se</w:t>
      </w:r>
      <w:r>
        <w:rPr>
          <w:spacing w:val="-4"/>
          <w:sz w:val="20"/>
        </w:rPr>
        <w:t> </w:t>
      </w:r>
      <w:r>
        <w:rPr>
          <w:spacing w:val="-2"/>
          <w:sz w:val="20"/>
        </w:rPr>
        <w:t>deroga).</w:t>
      </w:r>
    </w:p>
    <w:p>
      <w:pPr>
        <w:spacing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rPr>
      </w:pPr>
    </w:p>
    <w:p>
      <w:pPr>
        <w:spacing w:line="229" w:lineRule="exact" w:before="1"/>
        <w:ind w:left="626" w:right="0" w:firstLine="0"/>
        <w:jc w:val="left"/>
        <w:rPr>
          <w:sz w:val="20"/>
        </w:rPr>
      </w:pPr>
      <w:bookmarkStart w:name="Artículo_868" w:id="1086"/>
      <w:bookmarkEnd w:id="1086"/>
      <w:r>
        <w:rPr/>
      </w:r>
      <w:r>
        <w:rPr>
          <w:rFonts w:ascii="Arial" w:hAnsi="Arial"/>
          <w:b/>
          <w:sz w:val="20"/>
        </w:rPr>
        <w:t>Artículo</w:t>
      </w:r>
      <w:r>
        <w:rPr>
          <w:rFonts w:ascii="Arial" w:hAnsi="Arial"/>
          <w:b/>
          <w:spacing w:val="-6"/>
          <w:sz w:val="20"/>
        </w:rPr>
        <w:t> </w:t>
      </w:r>
      <w:r>
        <w:rPr>
          <w:rFonts w:ascii="Arial" w:hAnsi="Arial"/>
          <w:b/>
          <w:sz w:val="20"/>
        </w:rPr>
        <w:t>868.</w:t>
      </w:r>
      <w:r>
        <w:rPr>
          <w:rFonts w:ascii="Arial" w:hAnsi="Arial"/>
          <w:b/>
          <w:spacing w:val="-5"/>
          <w:sz w:val="20"/>
        </w:rPr>
        <w:t> </w:t>
      </w:r>
      <w:r>
        <w:rPr>
          <w:sz w:val="20"/>
        </w:rPr>
        <w:t>(Se</w:t>
      </w:r>
      <w:r>
        <w:rPr>
          <w:spacing w:val="-4"/>
          <w:sz w:val="20"/>
        </w:rPr>
        <w:t> </w:t>
      </w:r>
      <w:r>
        <w:rPr>
          <w:spacing w:val="-2"/>
          <w:sz w:val="20"/>
        </w:rPr>
        <w:t>deroga).</w:t>
      </w:r>
    </w:p>
    <w:p>
      <w:pPr>
        <w:spacing w:line="183" w:lineRule="exact"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rPr>
          <w:rFonts w:ascii="Times New Roman"/>
          <w:i/>
          <w:sz w:val="12"/>
        </w:rPr>
      </w:pPr>
    </w:p>
    <w:p>
      <w:pPr>
        <w:pStyle w:val="BodyText"/>
        <w:spacing w:after="0"/>
        <w:rPr>
          <w:rFonts w:ascii="Times New Roman"/>
          <w:i/>
          <w:sz w:val="12"/>
        </w:rPr>
        <w:sectPr>
          <w:type w:val="continuous"/>
          <w:pgSz w:w="12240" w:h="15840"/>
          <w:pgMar w:header="724" w:footer="712" w:top="1880" w:bottom="900" w:left="1080" w:right="1080"/>
        </w:sectPr>
      </w:pPr>
    </w:p>
    <w:p>
      <w:pPr>
        <w:spacing w:before="93"/>
        <w:ind w:left="626" w:right="0" w:firstLine="0"/>
        <w:jc w:val="left"/>
        <w:rPr>
          <w:sz w:val="20"/>
        </w:rPr>
      </w:pPr>
      <w:bookmarkStart w:name="Artículo_869" w:id="1087"/>
      <w:bookmarkEnd w:id="1087"/>
      <w:r>
        <w:rPr/>
      </w:r>
      <w:r>
        <w:rPr>
          <w:rFonts w:ascii="Arial" w:hAnsi="Arial"/>
          <w:b/>
          <w:sz w:val="20"/>
        </w:rPr>
        <w:t>Artículo</w:t>
      </w:r>
      <w:r>
        <w:rPr>
          <w:rFonts w:ascii="Arial" w:hAnsi="Arial"/>
          <w:b/>
          <w:spacing w:val="-6"/>
          <w:sz w:val="20"/>
        </w:rPr>
        <w:t> </w:t>
      </w:r>
      <w:r>
        <w:rPr>
          <w:rFonts w:ascii="Arial" w:hAnsi="Arial"/>
          <w:b/>
          <w:sz w:val="20"/>
        </w:rPr>
        <w:t>869.</w:t>
      </w:r>
      <w:r>
        <w:rPr>
          <w:rFonts w:ascii="Arial" w:hAnsi="Arial"/>
          <w:b/>
          <w:spacing w:val="-5"/>
          <w:sz w:val="20"/>
        </w:rPr>
        <w:t> </w:t>
      </w:r>
      <w:r>
        <w:rPr>
          <w:sz w:val="20"/>
        </w:rPr>
        <w:t>(Se</w:t>
      </w:r>
      <w:r>
        <w:rPr>
          <w:spacing w:val="-4"/>
          <w:sz w:val="20"/>
        </w:rPr>
        <w:t> </w:t>
      </w:r>
      <w:r>
        <w:rPr>
          <w:spacing w:val="-2"/>
          <w:sz w:val="20"/>
        </w:rPr>
        <w:t>deroga).</w:t>
      </w:r>
    </w:p>
    <w:p>
      <w:pPr>
        <w:spacing w:line="240" w:lineRule="auto" w:before="139"/>
        <w:rPr>
          <w:sz w:val="16"/>
        </w:rPr>
      </w:pPr>
      <w:r>
        <w:rPr/>
        <w:br w:type="column"/>
      </w:r>
      <w:r>
        <w:rPr>
          <w:sz w:val="16"/>
        </w:rPr>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6"/>
        <w:rPr>
          <w:rFonts w:ascii="Times New Roman"/>
          <w:i/>
          <w:sz w:val="16"/>
        </w:rPr>
      </w:pPr>
    </w:p>
    <w:p>
      <w:pPr>
        <w:pStyle w:val="Heading1"/>
        <w:spacing w:line="252" w:lineRule="exact"/>
        <w:ind w:left="0" w:right="3030"/>
      </w:pPr>
      <w:r>
        <w:rPr/>
        <w:t>CAPITULO</w:t>
      </w:r>
      <w:r>
        <w:rPr>
          <w:spacing w:val="-9"/>
        </w:rPr>
        <w:t> </w:t>
      </w:r>
      <w:r>
        <w:rPr>
          <w:spacing w:val="-4"/>
        </w:rPr>
        <w:t>XVII</w:t>
      </w:r>
    </w:p>
    <w:p>
      <w:pPr>
        <w:pStyle w:val="Heading2"/>
        <w:spacing w:line="252" w:lineRule="exact"/>
        <w:ind w:left="4" w:right="3030"/>
      </w:pPr>
      <w:r>
        <w:rPr/>
        <w:t>Del</w:t>
      </w:r>
      <w:r>
        <w:rPr>
          <w:spacing w:val="-7"/>
        </w:rPr>
        <w:t> </w:t>
      </w:r>
      <w:r>
        <w:rPr/>
        <w:t>procedimiento</w:t>
      </w:r>
      <w:r>
        <w:rPr>
          <w:spacing w:val="-8"/>
        </w:rPr>
        <w:t> </w:t>
      </w:r>
      <w:r>
        <w:rPr>
          <w:spacing w:val="-2"/>
        </w:rPr>
        <w:t>ordinario</w:t>
      </w:r>
    </w:p>
    <w:p>
      <w:pPr>
        <w:spacing w:before="1"/>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Denominación</w:t>
      </w:r>
      <w:r>
        <w:rPr>
          <w:rFonts w:ascii="Times New Roman" w:hAnsi="Times New Roman"/>
          <w:i/>
          <w:color w:val="0000FF"/>
          <w:spacing w:val="-9"/>
          <w:sz w:val="16"/>
        </w:rPr>
        <w:t> </w:t>
      </w:r>
      <w:r>
        <w:rPr>
          <w:rFonts w:ascii="Times New Roman" w:hAnsi="Times New Roman"/>
          <w:i/>
          <w:color w:val="0000FF"/>
          <w:sz w:val="16"/>
        </w:rPr>
        <w:t>del</w:t>
      </w:r>
      <w:r>
        <w:rPr>
          <w:rFonts w:ascii="Times New Roman" w:hAnsi="Times New Roman"/>
          <w:i/>
          <w:color w:val="0000FF"/>
          <w:spacing w:val="-9"/>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right"/>
        <w:rPr>
          <w:rFonts w:ascii="Times New Roman" w:hAnsi="Times New Roman"/>
          <w:i/>
          <w:sz w:val="16"/>
        </w:rPr>
        <w:sectPr>
          <w:type w:val="continuous"/>
          <w:pgSz w:w="12240" w:h="15840"/>
          <w:pgMar w:header="724" w:footer="712" w:top="1880" w:bottom="900" w:left="1080" w:right="1080"/>
          <w:cols w:num="2" w:equalWidth="0">
            <w:col w:w="2993" w:space="40"/>
            <w:col w:w="7047"/>
          </w:cols>
        </w:sectPr>
      </w:pPr>
    </w:p>
    <w:p>
      <w:pPr>
        <w:pStyle w:val="BodyText"/>
        <w:spacing w:before="1"/>
        <w:rPr>
          <w:rFonts w:ascii="Times New Roman"/>
          <w:i/>
        </w:rPr>
      </w:pPr>
    </w:p>
    <w:p>
      <w:pPr>
        <w:pStyle w:val="BodyText"/>
        <w:spacing w:line="242" w:lineRule="auto"/>
        <w:ind w:left="338" w:firstLine="288"/>
      </w:pPr>
      <w:bookmarkStart w:name="Artículo_870" w:id="1088"/>
      <w:bookmarkEnd w:id="1088"/>
      <w:r>
        <w:rPr/>
      </w:r>
      <w:r>
        <w:rPr>
          <w:rFonts w:ascii="Arial" w:hAnsi="Arial"/>
          <w:b/>
        </w:rPr>
        <w:t>Artículo</w:t>
      </w:r>
      <w:r>
        <w:rPr>
          <w:rFonts w:ascii="Arial" w:hAnsi="Arial"/>
          <w:b/>
          <w:spacing w:val="23"/>
        </w:rPr>
        <w:t> </w:t>
      </w:r>
      <w:r>
        <w:rPr>
          <w:rFonts w:ascii="Arial" w:hAnsi="Arial"/>
          <w:b/>
        </w:rPr>
        <w:t>870.-</w:t>
      </w:r>
      <w:r>
        <w:rPr>
          <w:rFonts w:ascii="Arial" w:hAnsi="Arial"/>
          <w:b/>
          <w:spacing w:val="25"/>
        </w:rPr>
        <w:t> </w:t>
      </w:r>
      <w:r>
        <w:rPr/>
        <w:t>Las</w:t>
      </w:r>
      <w:r>
        <w:rPr>
          <w:spacing w:val="23"/>
        </w:rPr>
        <w:t> </w:t>
      </w:r>
      <w:r>
        <w:rPr/>
        <w:t>disposiciones</w:t>
      </w:r>
      <w:r>
        <w:rPr>
          <w:spacing w:val="25"/>
        </w:rPr>
        <w:t> </w:t>
      </w:r>
      <w:r>
        <w:rPr/>
        <w:t>de</w:t>
      </w:r>
      <w:r>
        <w:rPr>
          <w:spacing w:val="22"/>
        </w:rPr>
        <w:t> </w:t>
      </w:r>
      <w:r>
        <w:rPr/>
        <w:t>este</w:t>
      </w:r>
      <w:r>
        <w:rPr>
          <w:spacing w:val="22"/>
        </w:rPr>
        <w:t> </w:t>
      </w:r>
      <w:r>
        <w:rPr/>
        <w:t>capítulo</w:t>
      </w:r>
      <w:r>
        <w:rPr>
          <w:spacing w:val="22"/>
        </w:rPr>
        <w:t> </w:t>
      </w:r>
      <w:r>
        <w:rPr/>
        <w:t>rigen</w:t>
      </w:r>
      <w:r>
        <w:rPr>
          <w:spacing w:val="22"/>
        </w:rPr>
        <w:t> </w:t>
      </w:r>
      <w:r>
        <w:rPr/>
        <w:t>para</w:t>
      </w:r>
      <w:r>
        <w:rPr>
          <w:spacing w:val="22"/>
        </w:rPr>
        <w:t> </w:t>
      </w:r>
      <w:r>
        <w:rPr/>
        <w:t>el</w:t>
      </w:r>
      <w:r>
        <w:rPr>
          <w:spacing w:val="24"/>
        </w:rPr>
        <w:t> </w:t>
      </w:r>
      <w:r>
        <w:rPr/>
        <w:t>procedimiento</w:t>
      </w:r>
      <w:r>
        <w:rPr>
          <w:spacing w:val="24"/>
        </w:rPr>
        <w:t> </w:t>
      </w:r>
      <w:r>
        <w:rPr/>
        <w:t>ordinario</w:t>
      </w:r>
      <w:r>
        <w:rPr>
          <w:spacing w:val="26"/>
        </w:rPr>
        <w:t> </w:t>
      </w:r>
      <w:r>
        <w:rPr/>
        <w:t>y</w:t>
      </w:r>
      <w:r>
        <w:rPr>
          <w:spacing w:val="21"/>
        </w:rPr>
        <w:t> </w:t>
      </w:r>
      <w:r>
        <w:rPr/>
        <w:t>en</w:t>
      </w:r>
      <w:r>
        <w:rPr>
          <w:spacing w:val="24"/>
        </w:rPr>
        <w:t> </w:t>
      </w:r>
      <w:r>
        <w:rPr/>
        <w:t>lo</w:t>
      </w:r>
      <w:r>
        <w:rPr>
          <w:spacing w:val="24"/>
        </w:rPr>
        <w:t> </w:t>
      </w:r>
      <w:r>
        <w:rPr/>
        <w:t>que resulte aplicable a los procedimientos especiales.</w:t>
      </w:r>
    </w:p>
    <w:p>
      <w:pPr>
        <w:pStyle w:val="BodyText"/>
        <w:spacing w:before="227"/>
        <w:ind w:left="338" w:firstLine="288"/>
      </w:pPr>
      <w:r>
        <w:rPr/>
        <w:t>El</w:t>
      </w:r>
      <w:r>
        <w:rPr>
          <w:spacing w:val="40"/>
        </w:rPr>
        <w:t> </w:t>
      </w:r>
      <w:r>
        <w:rPr/>
        <w:t>procedimiento</w:t>
      </w:r>
      <w:r>
        <w:rPr>
          <w:spacing w:val="40"/>
        </w:rPr>
        <w:t> </w:t>
      </w:r>
      <w:r>
        <w:rPr/>
        <w:t>ordinario</w:t>
      </w:r>
      <w:r>
        <w:rPr>
          <w:spacing w:val="40"/>
        </w:rPr>
        <w:t> </w:t>
      </w:r>
      <w:r>
        <w:rPr/>
        <w:t>aplicará</w:t>
      </w:r>
      <w:r>
        <w:rPr>
          <w:spacing w:val="40"/>
        </w:rPr>
        <w:t> </w:t>
      </w:r>
      <w:r>
        <w:rPr/>
        <w:t>en</w:t>
      </w:r>
      <w:r>
        <w:rPr>
          <w:spacing w:val="40"/>
        </w:rPr>
        <w:t> </w:t>
      </w:r>
      <w:r>
        <w:rPr/>
        <w:t>aquellos</w:t>
      </w:r>
      <w:r>
        <w:rPr>
          <w:spacing w:val="40"/>
        </w:rPr>
        <w:t> </w:t>
      </w:r>
      <w:r>
        <w:rPr/>
        <w:t>conflictos</w:t>
      </w:r>
      <w:r>
        <w:rPr>
          <w:spacing w:val="40"/>
        </w:rPr>
        <w:t> </w:t>
      </w:r>
      <w:r>
        <w:rPr/>
        <w:t>individuales</w:t>
      </w:r>
      <w:r>
        <w:rPr>
          <w:spacing w:val="40"/>
        </w:rPr>
        <w:t> </w:t>
      </w:r>
      <w:r>
        <w:rPr/>
        <w:t>y</w:t>
      </w:r>
      <w:r>
        <w:rPr>
          <w:spacing w:val="40"/>
        </w:rPr>
        <w:t> </w:t>
      </w:r>
      <w:r>
        <w:rPr/>
        <w:t>colectivos</w:t>
      </w:r>
      <w:r>
        <w:rPr>
          <w:spacing w:val="40"/>
        </w:rPr>
        <w:t> </w:t>
      </w:r>
      <w:r>
        <w:rPr/>
        <w:t>de</w:t>
      </w:r>
      <w:r>
        <w:rPr>
          <w:spacing w:val="40"/>
        </w:rPr>
        <w:t> </w:t>
      </w:r>
      <w:r>
        <w:rPr/>
        <w:t>naturaleza jurídica que no tengan una tramitación especial en esta Ley.</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4" w:firstLine="288"/>
        <w:jc w:val="both"/>
      </w:pPr>
      <w:bookmarkStart w:name="Artículo_870_Bis" w:id="1089"/>
      <w:bookmarkEnd w:id="1089"/>
      <w:r>
        <w:rPr/>
      </w:r>
      <w:r>
        <w:rPr>
          <w:rFonts w:ascii="Arial" w:hAnsi="Arial"/>
          <w:b/>
        </w:rPr>
        <w:t>Artículo 870 Bis.- </w:t>
      </w:r>
      <w:r>
        <w:rPr/>
        <w:t>Las partes no podrán invocar en ninguna etapa procesal, antecedente alguno relacionado con la proposición, discusión, aceptación, rechazo o reconocimiento de hechos y derechos que se hayan realizado en el procedimiento de conciliación prejudicial.</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4" w:firstLine="288"/>
        <w:jc w:val="both"/>
      </w:pPr>
      <w:bookmarkStart w:name="Artículo_871" w:id="1090"/>
      <w:bookmarkEnd w:id="1090"/>
      <w:r>
        <w:rPr/>
      </w:r>
      <w:r>
        <w:rPr>
          <w:rFonts w:ascii="Arial" w:hAnsi="Arial"/>
          <w:b/>
        </w:rPr>
        <w:t>Artículo 871.- </w:t>
      </w:r>
      <w:r>
        <w:rPr/>
        <w:t>El procedimiento ordinario se iniciará con la presentación del escrito de demanda ante la Oficialía de Partes o la Unidad Receptora del Tribunal competente.</w:t>
      </w:r>
    </w:p>
    <w:p>
      <w:pPr>
        <w:pStyle w:val="BodyText"/>
        <w:spacing w:before="229"/>
        <w:ind w:left="338" w:right="345" w:firstLine="288"/>
        <w:jc w:val="both"/>
      </w:pPr>
      <w:r>
        <w:rPr/>
        <w:t>En los actos procesales de la fase escrita del procedimiento hasta antes de la audiencia preliminar, el Tribunal podrá auxiliarse para el dictado de los acuerdos o providencias de un secretario instructor, el</w:t>
      </w:r>
      <w:r>
        <w:rPr>
          <w:spacing w:val="40"/>
        </w:rPr>
        <w:t> </w:t>
      </w:r>
      <w:r>
        <w:rPr/>
        <w:t>cual podrá dictar los siguientes acuerdos:</w:t>
      </w:r>
    </w:p>
    <w:p>
      <w:pPr>
        <w:pStyle w:val="ListParagraph"/>
        <w:numPr>
          <w:ilvl w:val="1"/>
          <w:numId w:val="317"/>
        </w:numPr>
        <w:tabs>
          <w:tab w:pos="984" w:val="left" w:leader="none"/>
          <w:tab w:pos="986" w:val="left" w:leader="none"/>
        </w:tabs>
        <w:spacing w:line="242" w:lineRule="auto" w:before="227" w:after="0"/>
        <w:ind w:left="986" w:right="345" w:hanging="360"/>
        <w:jc w:val="left"/>
        <w:rPr>
          <w:sz w:val="20"/>
        </w:rPr>
      </w:pPr>
      <w:r>
        <w:rPr>
          <w:sz w:val="20"/>
        </w:rPr>
        <w:t>Admitir</w:t>
      </w:r>
      <w:r>
        <w:rPr>
          <w:spacing w:val="23"/>
          <w:sz w:val="20"/>
        </w:rPr>
        <w:t> </w:t>
      </w:r>
      <w:r>
        <w:rPr>
          <w:sz w:val="20"/>
        </w:rPr>
        <w:t>o</w:t>
      </w:r>
      <w:r>
        <w:rPr>
          <w:spacing w:val="22"/>
          <w:sz w:val="20"/>
        </w:rPr>
        <w:t> </w:t>
      </w:r>
      <w:r>
        <w:rPr>
          <w:sz w:val="20"/>
        </w:rPr>
        <w:t>prevenir</w:t>
      </w:r>
      <w:r>
        <w:rPr>
          <w:spacing w:val="23"/>
          <w:sz w:val="20"/>
        </w:rPr>
        <w:t> </w:t>
      </w:r>
      <w:r>
        <w:rPr>
          <w:sz w:val="20"/>
        </w:rPr>
        <w:t>la</w:t>
      </w:r>
      <w:r>
        <w:rPr>
          <w:spacing w:val="22"/>
          <w:sz w:val="20"/>
        </w:rPr>
        <w:t> </w:t>
      </w:r>
      <w:r>
        <w:rPr>
          <w:sz w:val="20"/>
        </w:rPr>
        <w:t>demanda</w:t>
      </w:r>
      <w:r>
        <w:rPr>
          <w:spacing w:val="24"/>
          <w:sz w:val="20"/>
        </w:rPr>
        <w:t> </w:t>
      </w:r>
      <w:r>
        <w:rPr>
          <w:sz w:val="20"/>
        </w:rPr>
        <w:t>y</w:t>
      </w:r>
      <w:r>
        <w:rPr>
          <w:spacing w:val="19"/>
          <w:sz w:val="20"/>
        </w:rPr>
        <w:t> </w:t>
      </w:r>
      <w:r>
        <w:rPr>
          <w:sz w:val="20"/>
        </w:rPr>
        <w:t>en</w:t>
      </w:r>
      <w:r>
        <w:rPr>
          <w:spacing w:val="22"/>
          <w:sz w:val="20"/>
        </w:rPr>
        <w:t> </w:t>
      </w:r>
      <w:r>
        <w:rPr>
          <w:sz w:val="20"/>
        </w:rPr>
        <w:t>su</w:t>
      </w:r>
      <w:r>
        <w:rPr>
          <w:spacing w:val="22"/>
          <w:sz w:val="20"/>
        </w:rPr>
        <w:t> </w:t>
      </w:r>
      <w:r>
        <w:rPr>
          <w:sz w:val="20"/>
        </w:rPr>
        <w:t>caso</w:t>
      </w:r>
      <w:r>
        <w:rPr>
          <w:spacing w:val="22"/>
          <w:sz w:val="20"/>
        </w:rPr>
        <w:t> </w:t>
      </w:r>
      <w:r>
        <w:rPr>
          <w:sz w:val="20"/>
        </w:rPr>
        <w:t>subsanarla</w:t>
      </w:r>
      <w:r>
        <w:rPr>
          <w:spacing w:val="22"/>
          <w:sz w:val="20"/>
        </w:rPr>
        <w:t> </w:t>
      </w:r>
      <w:r>
        <w:rPr>
          <w:sz w:val="20"/>
        </w:rPr>
        <w:t>conforme</w:t>
      </w:r>
      <w:r>
        <w:rPr>
          <w:spacing w:val="22"/>
          <w:sz w:val="20"/>
        </w:rPr>
        <w:t> </w:t>
      </w:r>
      <w:r>
        <w:rPr>
          <w:sz w:val="20"/>
        </w:rPr>
        <w:t>a</w:t>
      </w:r>
      <w:r>
        <w:rPr>
          <w:spacing w:val="22"/>
          <w:sz w:val="20"/>
        </w:rPr>
        <w:t> </w:t>
      </w:r>
      <w:r>
        <w:rPr>
          <w:sz w:val="20"/>
        </w:rPr>
        <w:t>las</w:t>
      </w:r>
      <w:r>
        <w:rPr>
          <w:spacing w:val="23"/>
          <w:sz w:val="20"/>
        </w:rPr>
        <w:t> </w:t>
      </w:r>
      <w:r>
        <w:rPr>
          <w:sz w:val="20"/>
        </w:rPr>
        <w:t>normas</w:t>
      </w:r>
      <w:r>
        <w:rPr>
          <w:spacing w:val="21"/>
          <w:sz w:val="20"/>
        </w:rPr>
        <w:t> </w:t>
      </w:r>
      <w:r>
        <w:rPr>
          <w:sz w:val="20"/>
        </w:rPr>
        <w:t>del</w:t>
      </w:r>
      <w:r>
        <w:rPr>
          <w:spacing w:val="21"/>
          <w:sz w:val="20"/>
        </w:rPr>
        <w:t> </w:t>
      </w:r>
      <w:r>
        <w:rPr>
          <w:sz w:val="20"/>
        </w:rPr>
        <w:t>trabajo</w:t>
      </w:r>
      <w:r>
        <w:rPr>
          <w:spacing w:val="26"/>
          <w:sz w:val="20"/>
        </w:rPr>
        <w:t> </w:t>
      </w:r>
      <w:r>
        <w:rPr>
          <w:sz w:val="20"/>
        </w:rPr>
        <w:t>y</w:t>
      </w:r>
      <w:r>
        <w:rPr>
          <w:spacing w:val="19"/>
          <w:sz w:val="20"/>
        </w:rPr>
        <w:t> </w:t>
      </w:r>
      <w:r>
        <w:rPr>
          <w:sz w:val="20"/>
        </w:rPr>
        <w:t>lo establecido en la presente Ley;</w:t>
      </w:r>
    </w:p>
    <w:p>
      <w:pPr>
        <w:pStyle w:val="ListParagraph"/>
        <w:numPr>
          <w:ilvl w:val="1"/>
          <w:numId w:val="317"/>
        </w:numPr>
        <w:tabs>
          <w:tab w:pos="984" w:val="left" w:leader="none"/>
        </w:tabs>
        <w:spacing w:line="240" w:lineRule="auto" w:before="227" w:after="0"/>
        <w:ind w:left="984" w:right="0" w:hanging="358"/>
        <w:jc w:val="left"/>
        <w:rPr>
          <w:sz w:val="20"/>
        </w:rPr>
      </w:pPr>
      <w:r>
        <w:rPr>
          <w:sz w:val="20"/>
        </w:rPr>
        <w:t>Ordenar</w:t>
      </w:r>
      <w:r>
        <w:rPr>
          <w:spacing w:val="-7"/>
          <w:sz w:val="20"/>
        </w:rPr>
        <w:t> </w:t>
      </w:r>
      <w:r>
        <w:rPr>
          <w:sz w:val="20"/>
        </w:rPr>
        <w:t>la</w:t>
      </w:r>
      <w:r>
        <w:rPr>
          <w:spacing w:val="-8"/>
          <w:sz w:val="20"/>
        </w:rPr>
        <w:t> </w:t>
      </w:r>
      <w:r>
        <w:rPr>
          <w:sz w:val="20"/>
        </w:rPr>
        <w:t>notificación</w:t>
      </w:r>
      <w:r>
        <w:rPr>
          <w:spacing w:val="-7"/>
          <w:sz w:val="20"/>
        </w:rPr>
        <w:t> </w:t>
      </w:r>
      <w:r>
        <w:rPr>
          <w:sz w:val="20"/>
        </w:rPr>
        <w:t>al</w:t>
      </w:r>
      <w:r>
        <w:rPr>
          <w:spacing w:val="-9"/>
          <w:sz w:val="20"/>
        </w:rPr>
        <w:t> </w:t>
      </w:r>
      <w:r>
        <w:rPr>
          <w:spacing w:val="-2"/>
          <w:sz w:val="20"/>
        </w:rPr>
        <w:t>demandado;</w:t>
      </w:r>
    </w:p>
    <w:p>
      <w:pPr>
        <w:pStyle w:val="ListParagraph"/>
        <w:spacing w:after="0" w:line="240" w:lineRule="auto"/>
        <w:jc w:val="left"/>
        <w:rPr>
          <w:sz w:val="20"/>
        </w:rPr>
        <w:sectPr>
          <w:type w:val="continuous"/>
          <w:pgSz w:w="12240" w:h="15840"/>
          <w:pgMar w:header="724" w:footer="712" w:top="1880" w:bottom="900" w:left="1080" w:right="1080"/>
        </w:sectPr>
      </w:pPr>
    </w:p>
    <w:p>
      <w:pPr>
        <w:pStyle w:val="BodyText"/>
        <w:spacing w:before="63"/>
      </w:pPr>
    </w:p>
    <w:p>
      <w:pPr>
        <w:pStyle w:val="ListParagraph"/>
        <w:numPr>
          <w:ilvl w:val="1"/>
          <w:numId w:val="317"/>
        </w:numPr>
        <w:tabs>
          <w:tab w:pos="984" w:val="left" w:leader="none"/>
        </w:tabs>
        <w:spacing w:line="240" w:lineRule="auto" w:before="0" w:after="0"/>
        <w:ind w:left="984" w:right="0" w:hanging="358"/>
        <w:jc w:val="left"/>
        <w:rPr>
          <w:sz w:val="20"/>
        </w:rPr>
      </w:pPr>
      <w:r>
        <w:rPr>
          <w:sz w:val="20"/>
        </w:rPr>
        <w:t>Ordenar</w:t>
      </w:r>
      <w:r>
        <w:rPr>
          <w:spacing w:val="-6"/>
          <w:sz w:val="20"/>
        </w:rPr>
        <w:t> </w:t>
      </w:r>
      <w:r>
        <w:rPr>
          <w:sz w:val="20"/>
        </w:rPr>
        <w:t>las</w:t>
      </w:r>
      <w:r>
        <w:rPr>
          <w:spacing w:val="-6"/>
          <w:sz w:val="20"/>
        </w:rPr>
        <w:t> </w:t>
      </w:r>
      <w:r>
        <w:rPr>
          <w:sz w:val="20"/>
        </w:rPr>
        <w:t>vistas,</w:t>
      </w:r>
      <w:r>
        <w:rPr>
          <w:spacing w:val="-7"/>
          <w:sz w:val="20"/>
        </w:rPr>
        <w:t> </w:t>
      </w:r>
      <w:r>
        <w:rPr>
          <w:sz w:val="20"/>
        </w:rPr>
        <w:t>traslados</w:t>
      </w:r>
      <w:r>
        <w:rPr>
          <w:spacing w:val="-4"/>
          <w:sz w:val="20"/>
        </w:rPr>
        <w:t> </w:t>
      </w:r>
      <w:r>
        <w:rPr>
          <w:sz w:val="20"/>
        </w:rPr>
        <w:t>y</w:t>
      </w:r>
      <w:r>
        <w:rPr>
          <w:spacing w:val="-9"/>
          <w:sz w:val="20"/>
        </w:rPr>
        <w:t> </w:t>
      </w:r>
      <w:r>
        <w:rPr>
          <w:spacing w:val="-2"/>
          <w:sz w:val="20"/>
        </w:rPr>
        <w:t>notificaciones;</w:t>
      </w:r>
    </w:p>
    <w:p>
      <w:pPr>
        <w:pStyle w:val="BodyText"/>
        <w:spacing w:before="1"/>
      </w:pPr>
    </w:p>
    <w:p>
      <w:pPr>
        <w:pStyle w:val="ListParagraph"/>
        <w:numPr>
          <w:ilvl w:val="1"/>
          <w:numId w:val="317"/>
        </w:numPr>
        <w:tabs>
          <w:tab w:pos="984" w:val="left" w:leader="none"/>
          <w:tab w:pos="986" w:val="left" w:leader="none"/>
        </w:tabs>
        <w:spacing w:line="242" w:lineRule="auto" w:before="0" w:after="0"/>
        <w:ind w:left="986" w:right="345" w:hanging="360"/>
        <w:jc w:val="left"/>
        <w:rPr>
          <w:sz w:val="20"/>
        </w:rPr>
      </w:pPr>
      <w:r>
        <w:rPr>
          <w:sz w:val="20"/>
        </w:rPr>
        <w:t>Admitir</w:t>
      </w:r>
      <w:r>
        <w:rPr>
          <w:spacing w:val="27"/>
          <w:sz w:val="20"/>
        </w:rPr>
        <w:t> </w:t>
      </w:r>
      <w:r>
        <w:rPr>
          <w:sz w:val="20"/>
        </w:rPr>
        <w:t>y</w:t>
      </w:r>
      <w:r>
        <w:rPr>
          <w:spacing w:val="21"/>
          <w:sz w:val="20"/>
        </w:rPr>
        <w:t> </w:t>
      </w:r>
      <w:r>
        <w:rPr>
          <w:sz w:val="20"/>
        </w:rPr>
        <w:t>en</w:t>
      </w:r>
      <w:r>
        <w:rPr>
          <w:spacing w:val="24"/>
          <w:sz w:val="20"/>
        </w:rPr>
        <w:t> </w:t>
      </w:r>
      <w:r>
        <w:rPr>
          <w:sz w:val="20"/>
        </w:rPr>
        <w:t>su</w:t>
      </w:r>
      <w:r>
        <w:rPr>
          <w:spacing w:val="24"/>
          <w:sz w:val="20"/>
        </w:rPr>
        <w:t> </w:t>
      </w:r>
      <w:r>
        <w:rPr>
          <w:sz w:val="20"/>
        </w:rPr>
        <w:t>caso</w:t>
      </w:r>
      <w:r>
        <w:rPr>
          <w:spacing w:val="24"/>
          <w:sz w:val="20"/>
        </w:rPr>
        <w:t> </w:t>
      </w:r>
      <w:r>
        <w:rPr>
          <w:sz w:val="20"/>
        </w:rPr>
        <w:t>proveer</w:t>
      </w:r>
      <w:r>
        <w:rPr>
          <w:spacing w:val="28"/>
          <w:sz w:val="20"/>
        </w:rPr>
        <w:t> </w:t>
      </w:r>
      <w:r>
        <w:rPr>
          <w:sz w:val="20"/>
        </w:rPr>
        <w:t>respecto</w:t>
      </w:r>
      <w:r>
        <w:rPr>
          <w:spacing w:val="24"/>
          <w:sz w:val="20"/>
        </w:rPr>
        <w:t> </w:t>
      </w:r>
      <w:r>
        <w:rPr>
          <w:sz w:val="20"/>
        </w:rPr>
        <w:t>de</w:t>
      </w:r>
      <w:r>
        <w:rPr>
          <w:spacing w:val="24"/>
          <w:sz w:val="20"/>
        </w:rPr>
        <w:t> </w:t>
      </w:r>
      <w:r>
        <w:rPr>
          <w:sz w:val="20"/>
        </w:rPr>
        <w:t>las</w:t>
      </w:r>
      <w:r>
        <w:rPr>
          <w:spacing w:val="25"/>
          <w:sz w:val="20"/>
        </w:rPr>
        <w:t> </w:t>
      </w:r>
      <w:r>
        <w:rPr>
          <w:sz w:val="20"/>
        </w:rPr>
        <w:t>pruebas</w:t>
      </w:r>
      <w:r>
        <w:rPr>
          <w:spacing w:val="25"/>
          <w:sz w:val="20"/>
        </w:rPr>
        <w:t> </w:t>
      </w:r>
      <w:r>
        <w:rPr>
          <w:sz w:val="20"/>
        </w:rPr>
        <w:t>ofrecidas</w:t>
      </w:r>
      <w:r>
        <w:rPr>
          <w:spacing w:val="25"/>
          <w:sz w:val="20"/>
        </w:rPr>
        <w:t> </w:t>
      </w:r>
      <w:r>
        <w:rPr>
          <w:sz w:val="20"/>
        </w:rPr>
        <w:t>para</w:t>
      </w:r>
      <w:r>
        <w:rPr>
          <w:spacing w:val="24"/>
          <w:sz w:val="20"/>
        </w:rPr>
        <w:t> </w:t>
      </w:r>
      <w:r>
        <w:rPr>
          <w:sz w:val="20"/>
        </w:rPr>
        <w:t>acreditar</w:t>
      </w:r>
      <w:r>
        <w:rPr>
          <w:spacing w:val="27"/>
          <w:sz w:val="20"/>
        </w:rPr>
        <w:t> </w:t>
      </w:r>
      <w:r>
        <w:rPr>
          <w:sz w:val="20"/>
        </w:rPr>
        <w:t>las</w:t>
      </w:r>
      <w:r>
        <w:rPr>
          <w:spacing w:val="25"/>
          <w:sz w:val="20"/>
        </w:rPr>
        <w:t> </w:t>
      </w:r>
      <w:r>
        <w:rPr>
          <w:sz w:val="20"/>
        </w:rPr>
        <w:t>excepciones </w:t>
      </w:r>
      <w:r>
        <w:rPr>
          <w:spacing w:val="-2"/>
          <w:sz w:val="20"/>
        </w:rPr>
        <w:t>dilatorias;</w:t>
      </w:r>
    </w:p>
    <w:p>
      <w:pPr>
        <w:pStyle w:val="ListParagraph"/>
        <w:numPr>
          <w:ilvl w:val="1"/>
          <w:numId w:val="317"/>
        </w:numPr>
        <w:tabs>
          <w:tab w:pos="984" w:val="left" w:leader="none"/>
        </w:tabs>
        <w:spacing w:line="240" w:lineRule="auto" w:before="226" w:after="0"/>
        <w:ind w:left="984" w:right="0" w:hanging="358"/>
        <w:jc w:val="left"/>
        <w:rPr>
          <w:sz w:val="20"/>
        </w:rPr>
      </w:pPr>
      <w:r>
        <w:rPr>
          <w:sz w:val="20"/>
        </w:rPr>
        <w:t>Dictar</w:t>
      </w:r>
      <w:r>
        <w:rPr>
          <w:spacing w:val="-10"/>
          <w:sz w:val="20"/>
        </w:rPr>
        <w:t> </w:t>
      </w:r>
      <w:r>
        <w:rPr>
          <w:sz w:val="20"/>
        </w:rPr>
        <w:t>las</w:t>
      </w:r>
      <w:r>
        <w:rPr>
          <w:spacing w:val="-8"/>
          <w:sz w:val="20"/>
        </w:rPr>
        <w:t> </w:t>
      </w:r>
      <w:r>
        <w:rPr>
          <w:sz w:val="20"/>
        </w:rPr>
        <w:t>providencias</w:t>
      </w:r>
      <w:r>
        <w:rPr>
          <w:spacing w:val="-8"/>
          <w:sz w:val="20"/>
        </w:rPr>
        <w:t> </w:t>
      </w:r>
      <w:r>
        <w:rPr>
          <w:sz w:val="20"/>
        </w:rPr>
        <w:t>cautelares,</w:t>
      </w:r>
      <w:r>
        <w:rPr>
          <w:spacing w:val="-5"/>
          <w:sz w:val="20"/>
        </w:rPr>
        <w:t> </w:t>
      </w:r>
      <w:r>
        <w:rPr>
          <w:spacing w:val="-10"/>
          <w:sz w:val="20"/>
        </w:rPr>
        <w:t>y</w:t>
      </w:r>
    </w:p>
    <w:p>
      <w:pPr>
        <w:pStyle w:val="ListParagraph"/>
        <w:numPr>
          <w:ilvl w:val="1"/>
          <w:numId w:val="317"/>
        </w:numPr>
        <w:tabs>
          <w:tab w:pos="986" w:val="left" w:leader="none"/>
        </w:tabs>
        <w:spacing w:line="240" w:lineRule="auto" w:before="229" w:after="0"/>
        <w:ind w:left="986" w:right="0" w:hanging="360"/>
        <w:jc w:val="left"/>
        <w:rPr>
          <w:sz w:val="20"/>
        </w:rPr>
      </w:pPr>
      <w:r>
        <w:rPr>
          <w:sz w:val="20"/>
        </w:rPr>
        <w:t>Las</w:t>
      </w:r>
      <w:r>
        <w:rPr>
          <w:spacing w:val="-4"/>
          <w:sz w:val="20"/>
        </w:rPr>
        <w:t> </w:t>
      </w:r>
      <w:r>
        <w:rPr>
          <w:sz w:val="20"/>
        </w:rPr>
        <w:t>demás</w:t>
      </w:r>
      <w:r>
        <w:rPr>
          <w:spacing w:val="-4"/>
          <w:sz w:val="20"/>
        </w:rPr>
        <w:t> </w:t>
      </w:r>
      <w:r>
        <w:rPr>
          <w:sz w:val="20"/>
        </w:rPr>
        <w:t>que</w:t>
      </w:r>
      <w:r>
        <w:rPr>
          <w:spacing w:val="-5"/>
          <w:sz w:val="20"/>
        </w:rPr>
        <w:t> </w:t>
      </w:r>
      <w:r>
        <w:rPr>
          <w:sz w:val="20"/>
        </w:rPr>
        <w:t>el</w:t>
      </w:r>
      <w:r>
        <w:rPr>
          <w:spacing w:val="-5"/>
          <w:sz w:val="20"/>
        </w:rPr>
        <w:t> </w:t>
      </w:r>
      <w:r>
        <w:rPr>
          <w:sz w:val="20"/>
        </w:rPr>
        <w:t>juez</w:t>
      </w:r>
      <w:r>
        <w:rPr>
          <w:spacing w:val="-4"/>
          <w:sz w:val="20"/>
        </w:rPr>
        <w:t> </w:t>
      </w:r>
      <w:r>
        <w:rPr>
          <w:sz w:val="20"/>
        </w:rPr>
        <w:t>le</w:t>
      </w:r>
      <w:r>
        <w:rPr>
          <w:spacing w:val="-5"/>
          <w:sz w:val="20"/>
        </w:rPr>
        <w:t> </w:t>
      </w:r>
      <w:r>
        <w:rPr>
          <w:spacing w:val="-2"/>
          <w:sz w:val="20"/>
        </w:rPr>
        <w:t>ordene.</w:t>
      </w:r>
    </w:p>
    <w:p>
      <w:pPr>
        <w:pStyle w:val="BodyText"/>
        <w:spacing w:before="3"/>
      </w:pPr>
    </w:p>
    <w:p>
      <w:pPr>
        <w:pStyle w:val="BodyText"/>
        <w:ind w:left="338" w:right="334" w:firstLine="288"/>
        <w:jc w:val="both"/>
      </w:pPr>
      <w:r>
        <w:rPr/>
        <w:t>Contra los actos u omisiones del secretario instructor, procederá el recurso de reconsideración, que deberá promoverse de forma oral en la audiencia preliminar el cual será resuelto de plano, oyendo a las partes por el juez del conocimiento en dicha audiencia. De resultar fundado el recurso, el juez modificará en lo que proceda el acto impugnado y proveerá lo conducente a efecto de subsanar el acto u omisión </w:t>
      </w:r>
      <w:r>
        <w:rPr>
          <w:spacing w:val="-2"/>
        </w:rPr>
        <w:t>recurrido.</w:t>
      </w:r>
    </w:p>
    <w:p>
      <w:pPr>
        <w:spacing w:line="182"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2" w:firstLine="288"/>
        <w:jc w:val="both"/>
      </w:pPr>
      <w:bookmarkStart w:name="Artículo_872" w:id="1091"/>
      <w:bookmarkEnd w:id="1091"/>
      <w:r>
        <w:rPr/>
      </w:r>
      <w:r>
        <w:rPr>
          <w:rFonts w:ascii="Arial" w:hAnsi="Arial"/>
          <w:b/>
        </w:rPr>
        <w:t>Artículo 872.- </w:t>
      </w:r>
      <w:r>
        <w:rPr/>
        <w:t>La demanda se formulará por escrito, acompañando tantas copias de la misma, como demandados haya. En caso que el demandante sea el trabajador y faltaren copias, ello no será causa para prevención, archivo, o desechamiento. El Tribunal deberá subsanar de oficio dicha falta.</w:t>
      </w:r>
    </w:p>
    <w:p>
      <w:pPr>
        <w:pStyle w:val="ListParagraph"/>
        <w:numPr>
          <w:ilvl w:val="2"/>
          <w:numId w:val="317"/>
        </w:numPr>
        <w:tabs>
          <w:tab w:pos="568" w:val="left" w:leader="none"/>
        </w:tabs>
        <w:spacing w:line="240" w:lineRule="auto" w:before="224" w:after="0"/>
        <w:ind w:left="568" w:right="3884" w:hanging="568"/>
        <w:jc w:val="right"/>
        <w:rPr>
          <w:sz w:val="20"/>
        </w:rPr>
      </w:pPr>
      <w:r>
        <w:rPr>
          <w:sz w:val="20"/>
        </w:rPr>
        <w:t>La</w:t>
      </w:r>
      <w:r>
        <w:rPr>
          <w:spacing w:val="-7"/>
          <w:sz w:val="20"/>
        </w:rPr>
        <w:t> </w:t>
      </w:r>
      <w:r>
        <w:rPr>
          <w:sz w:val="20"/>
        </w:rPr>
        <w:t>demanda</w:t>
      </w:r>
      <w:r>
        <w:rPr>
          <w:spacing w:val="-7"/>
          <w:sz w:val="20"/>
        </w:rPr>
        <w:t> </w:t>
      </w:r>
      <w:r>
        <w:rPr>
          <w:sz w:val="20"/>
        </w:rPr>
        <w:t>deberá</w:t>
      </w:r>
      <w:r>
        <w:rPr>
          <w:spacing w:val="-4"/>
          <w:sz w:val="20"/>
        </w:rPr>
        <w:t> </w:t>
      </w:r>
      <w:r>
        <w:rPr>
          <w:sz w:val="20"/>
        </w:rPr>
        <w:t>estar</w:t>
      </w:r>
      <w:r>
        <w:rPr>
          <w:spacing w:val="-6"/>
          <w:sz w:val="20"/>
        </w:rPr>
        <w:t> </w:t>
      </w:r>
      <w:r>
        <w:rPr>
          <w:sz w:val="20"/>
        </w:rPr>
        <w:t>firmada</w:t>
      </w:r>
      <w:r>
        <w:rPr>
          <w:spacing w:val="-3"/>
          <w:sz w:val="20"/>
        </w:rPr>
        <w:t> </w:t>
      </w:r>
      <w:r>
        <w:rPr>
          <w:sz w:val="20"/>
        </w:rPr>
        <w:t>y</w:t>
      </w:r>
      <w:r>
        <w:rPr>
          <w:spacing w:val="-9"/>
          <w:sz w:val="20"/>
        </w:rPr>
        <w:t> </w:t>
      </w:r>
      <w:r>
        <w:rPr>
          <w:sz w:val="20"/>
        </w:rPr>
        <w:t>señalar</w:t>
      </w:r>
      <w:r>
        <w:rPr>
          <w:spacing w:val="-6"/>
          <w:sz w:val="20"/>
        </w:rPr>
        <w:t> </w:t>
      </w:r>
      <w:r>
        <w:rPr>
          <w:sz w:val="20"/>
        </w:rPr>
        <w:t>lo</w:t>
      </w:r>
      <w:r>
        <w:rPr>
          <w:spacing w:val="-6"/>
          <w:sz w:val="20"/>
        </w:rPr>
        <w:t> </w:t>
      </w:r>
      <w:r>
        <w:rPr>
          <w:spacing w:val="-2"/>
          <w:sz w:val="20"/>
        </w:rPr>
        <w:t>siguiente:</w:t>
      </w:r>
    </w:p>
    <w:p>
      <w:pPr>
        <w:pStyle w:val="ListParagraph"/>
        <w:numPr>
          <w:ilvl w:val="3"/>
          <w:numId w:val="317"/>
        </w:numPr>
        <w:tabs>
          <w:tab w:pos="566" w:val="left" w:leader="none"/>
        </w:tabs>
        <w:spacing w:line="240" w:lineRule="auto" w:before="229" w:after="0"/>
        <w:ind w:left="566" w:right="3981" w:hanging="566"/>
        <w:jc w:val="right"/>
        <w:rPr>
          <w:sz w:val="20"/>
        </w:rPr>
      </w:pPr>
      <w:r>
        <w:rPr>
          <w:sz w:val="20"/>
        </w:rPr>
        <w:t>El</w:t>
      </w:r>
      <w:r>
        <w:rPr>
          <w:spacing w:val="-7"/>
          <w:sz w:val="20"/>
        </w:rPr>
        <w:t> </w:t>
      </w:r>
      <w:r>
        <w:rPr>
          <w:sz w:val="20"/>
        </w:rPr>
        <w:t>tribunal</w:t>
      </w:r>
      <w:r>
        <w:rPr>
          <w:spacing w:val="-6"/>
          <w:sz w:val="20"/>
        </w:rPr>
        <w:t> </w:t>
      </w:r>
      <w:r>
        <w:rPr>
          <w:sz w:val="20"/>
        </w:rPr>
        <w:t>ante</w:t>
      </w:r>
      <w:r>
        <w:rPr>
          <w:spacing w:val="-6"/>
          <w:sz w:val="20"/>
        </w:rPr>
        <w:t> </w:t>
      </w:r>
      <w:r>
        <w:rPr>
          <w:sz w:val="20"/>
        </w:rPr>
        <w:t>el</w:t>
      </w:r>
      <w:r>
        <w:rPr>
          <w:spacing w:val="-6"/>
          <w:sz w:val="20"/>
        </w:rPr>
        <w:t> </w:t>
      </w:r>
      <w:r>
        <w:rPr>
          <w:sz w:val="20"/>
        </w:rPr>
        <w:t>cual</w:t>
      </w:r>
      <w:r>
        <w:rPr>
          <w:spacing w:val="-6"/>
          <w:sz w:val="20"/>
        </w:rPr>
        <w:t> </w:t>
      </w:r>
      <w:r>
        <w:rPr>
          <w:sz w:val="20"/>
        </w:rPr>
        <w:t>se</w:t>
      </w:r>
      <w:r>
        <w:rPr>
          <w:spacing w:val="-3"/>
          <w:sz w:val="20"/>
        </w:rPr>
        <w:t> </w:t>
      </w:r>
      <w:r>
        <w:rPr>
          <w:sz w:val="20"/>
        </w:rPr>
        <w:t>promueve</w:t>
      </w:r>
      <w:r>
        <w:rPr>
          <w:spacing w:val="-5"/>
          <w:sz w:val="20"/>
        </w:rPr>
        <w:t> </w:t>
      </w:r>
      <w:r>
        <w:rPr>
          <w:sz w:val="20"/>
        </w:rPr>
        <w:t>la</w:t>
      </w:r>
      <w:r>
        <w:rPr>
          <w:spacing w:val="-4"/>
          <w:sz w:val="20"/>
        </w:rPr>
        <w:t> </w:t>
      </w:r>
      <w:r>
        <w:rPr>
          <w:spacing w:val="-2"/>
          <w:sz w:val="20"/>
        </w:rPr>
        <w:t>demanda;</w:t>
      </w:r>
    </w:p>
    <w:p>
      <w:pPr>
        <w:pStyle w:val="BodyText"/>
        <w:spacing w:before="1"/>
      </w:pPr>
    </w:p>
    <w:p>
      <w:pPr>
        <w:pStyle w:val="ListParagraph"/>
        <w:numPr>
          <w:ilvl w:val="3"/>
          <w:numId w:val="317"/>
        </w:numPr>
        <w:tabs>
          <w:tab w:pos="1759" w:val="left" w:leader="none"/>
          <w:tab w:pos="1762" w:val="left" w:leader="none"/>
        </w:tabs>
        <w:spacing w:line="242" w:lineRule="auto" w:before="0" w:after="0"/>
        <w:ind w:left="1762" w:right="343" w:hanging="567"/>
        <w:jc w:val="both"/>
        <w:rPr>
          <w:sz w:val="20"/>
        </w:rPr>
      </w:pPr>
      <w:r>
        <w:rPr>
          <w:sz w:val="20"/>
        </w:rPr>
        <w:t>El nombre y domicilio del actor; éste podrá solicitar que le sean notificados en el buzón electrónico que el Tribunal le asigne los subsecuentes acuerdos y resoluciones, incluyendo la sentencia que en el caso se emita;</w:t>
      </w:r>
    </w:p>
    <w:p>
      <w:pPr>
        <w:pStyle w:val="ListParagraph"/>
        <w:numPr>
          <w:ilvl w:val="3"/>
          <w:numId w:val="317"/>
        </w:numPr>
        <w:tabs>
          <w:tab w:pos="1758" w:val="left" w:leader="none"/>
          <w:tab w:pos="1762" w:val="left" w:leader="none"/>
        </w:tabs>
        <w:spacing w:line="240" w:lineRule="auto" w:before="222" w:after="0"/>
        <w:ind w:left="1762" w:right="338" w:hanging="567"/>
        <w:jc w:val="both"/>
        <w:rPr>
          <w:sz w:val="20"/>
        </w:rPr>
      </w:pPr>
      <w:r>
        <w:rPr>
          <w:sz w:val="20"/>
        </w:rPr>
        <w:t>El nombre, denominación o razón social del demandado, así como su domicilio. Cuando el trabajador ignore el nombre del patrón o la denominación o razón social del establecimiento en el que labora o laboró, deberá aportar los datos que establece el artículo 712 de esta Ley; el trabajador podrá acompañar a su demanda cualquier dato o elemento que estime conveniente para facilitar la localización del domicilio del demandado, tales como croquis de localización, fotografías del inmueble o mapa en el que se señale su ubicación exacta;</w:t>
      </w:r>
    </w:p>
    <w:p>
      <w:pPr>
        <w:pStyle w:val="BodyText"/>
        <w:spacing w:before="1"/>
      </w:pPr>
    </w:p>
    <w:p>
      <w:pPr>
        <w:pStyle w:val="ListParagraph"/>
        <w:numPr>
          <w:ilvl w:val="3"/>
          <w:numId w:val="317"/>
        </w:numPr>
        <w:tabs>
          <w:tab w:pos="1761" w:val="left" w:leader="none"/>
        </w:tabs>
        <w:spacing w:line="240" w:lineRule="auto" w:before="0" w:after="0"/>
        <w:ind w:left="1761" w:right="0" w:hanging="566"/>
        <w:jc w:val="left"/>
        <w:rPr>
          <w:sz w:val="20"/>
        </w:rPr>
      </w:pPr>
      <w:r>
        <w:rPr>
          <w:sz w:val="20"/>
        </w:rPr>
        <w:t>Las</w:t>
      </w:r>
      <w:r>
        <w:rPr>
          <w:spacing w:val="-6"/>
          <w:sz w:val="20"/>
        </w:rPr>
        <w:t> </w:t>
      </w:r>
      <w:r>
        <w:rPr>
          <w:sz w:val="20"/>
        </w:rPr>
        <w:t>prestaciones</w:t>
      </w:r>
      <w:r>
        <w:rPr>
          <w:spacing w:val="-5"/>
          <w:sz w:val="20"/>
        </w:rPr>
        <w:t> </w:t>
      </w:r>
      <w:r>
        <w:rPr>
          <w:sz w:val="20"/>
        </w:rPr>
        <w:t>que</w:t>
      </w:r>
      <w:r>
        <w:rPr>
          <w:spacing w:val="-6"/>
          <w:sz w:val="20"/>
        </w:rPr>
        <w:t> </w:t>
      </w:r>
      <w:r>
        <w:rPr>
          <w:sz w:val="20"/>
        </w:rPr>
        <w:t>se</w:t>
      </w:r>
      <w:r>
        <w:rPr>
          <w:spacing w:val="-6"/>
          <w:sz w:val="20"/>
        </w:rPr>
        <w:t> </w:t>
      </w:r>
      <w:r>
        <w:rPr>
          <w:spacing w:val="-2"/>
          <w:sz w:val="20"/>
        </w:rPr>
        <w:t>reclamen;</w:t>
      </w:r>
    </w:p>
    <w:p>
      <w:pPr>
        <w:pStyle w:val="BodyText"/>
        <w:spacing w:before="1"/>
      </w:pPr>
    </w:p>
    <w:p>
      <w:pPr>
        <w:pStyle w:val="ListParagraph"/>
        <w:numPr>
          <w:ilvl w:val="3"/>
          <w:numId w:val="317"/>
        </w:numPr>
        <w:tabs>
          <w:tab w:pos="1761" w:val="left" w:leader="none"/>
        </w:tabs>
        <w:spacing w:line="240" w:lineRule="auto" w:before="0" w:after="0"/>
        <w:ind w:left="1761" w:right="0" w:hanging="566"/>
        <w:jc w:val="left"/>
        <w:rPr>
          <w:sz w:val="20"/>
        </w:rPr>
      </w:pPr>
      <w:r>
        <w:rPr>
          <w:sz w:val="20"/>
        </w:rPr>
        <w:t>Los</w:t>
      </w:r>
      <w:r>
        <w:rPr>
          <w:spacing w:val="-5"/>
          <w:sz w:val="20"/>
        </w:rPr>
        <w:t> </w:t>
      </w:r>
      <w:r>
        <w:rPr>
          <w:sz w:val="20"/>
        </w:rPr>
        <w:t>hechos</w:t>
      </w:r>
      <w:r>
        <w:rPr>
          <w:spacing w:val="-4"/>
          <w:sz w:val="20"/>
        </w:rPr>
        <w:t> </w:t>
      </w:r>
      <w:r>
        <w:rPr>
          <w:sz w:val="20"/>
        </w:rPr>
        <w:t>en</w:t>
      </w:r>
      <w:r>
        <w:rPr>
          <w:spacing w:val="-5"/>
          <w:sz w:val="20"/>
        </w:rPr>
        <w:t> </w:t>
      </w:r>
      <w:r>
        <w:rPr>
          <w:sz w:val="20"/>
        </w:rPr>
        <w:t>los</w:t>
      </w:r>
      <w:r>
        <w:rPr>
          <w:spacing w:val="-4"/>
          <w:sz w:val="20"/>
        </w:rPr>
        <w:t> </w:t>
      </w:r>
      <w:r>
        <w:rPr>
          <w:sz w:val="20"/>
        </w:rPr>
        <w:t>que</w:t>
      </w:r>
      <w:r>
        <w:rPr>
          <w:spacing w:val="-7"/>
          <w:sz w:val="20"/>
        </w:rPr>
        <w:t> </w:t>
      </w:r>
      <w:r>
        <w:rPr>
          <w:sz w:val="20"/>
        </w:rPr>
        <w:t>funde</w:t>
      </w:r>
      <w:r>
        <w:rPr>
          <w:spacing w:val="-5"/>
          <w:sz w:val="20"/>
        </w:rPr>
        <w:t> </w:t>
      </w:r>
      <w:r>
        <w:rPr>
          <w:sz w:val="20"/>
        </w:rPr>
        <w:t>sus</w:t>
      </w:r>
      <w:r>
        <w:rPr>
          <w:spacing w:val="-4"/>
          <w:sz w:val="20"/>
        </w:rPr>
        <w:t> </w:t>
      </w:r>
      <w:r>
        <w:rPr>
          <w:spacing w:val="-2"/>
          <w:sz w:val="20"/>
        </w:rPr>
        <w:t>peticiones;</w:t>
      </w:r>
    </w:p>
    <w:p>
      <w:pPr>
        <w:pStyle w:val="ListParagraph"/>
        <w:numPr>
          <w:ilvl w:val="3"/>
          <w:numId w:val="317"/>
        </w:numPr>
        <w:tabs>
          <w:tab w:pos="1762" w:val="left" w:leader="none"/>
        </w:tabs>
        <w:spacing w:line="242" w:lineRule="auto" w:before="229" w:after="0"/>
        <w:ind w:left="1762" w:right="346" w:hanging="567"/>
        <w:jc w:val="both"/>
        <w:rPr>
          <w:sz w:val="20"/>
        </w:rPr>
      </w:pPr>
      <w:r>
        <w:rPr>
          <w:sz w:val="20"/>
        </w:rPr>
        <w:t>La relación de pruebas que el actor pretende se rindan en juicio, expresando el hecho o hechos que se intentan demostrar con las mismas, y</w:t>
      </w:r>
    </w:p>
    <w:p>
      <w:pPr>
        <w:pStyle w:val="ListParagraph"/>
        <w:numPr>
          <w:ilvl w:val="3"/>
          <w:numId w:val="317"/>
        </w:numPr>
        <w:tabs>
          <w:tab w:pos="1760" w:val="left" w:leader="none"/>
          <w:tab w:pos="1762" w:val="left" w:leader="none"/>
        </w:tabs>
        <w:spacing w:line="242" w:lineRule="auto" w:before="227" w:after="0"/>
        <w:ind w:left="1762" w:right="341" w:hanging="567"/>
        <w:jc w:val="both"/>
        <w:rPr>
          <w:sz w:val="20"/>
        </w:rPr>
      </w:pPr>
      <w:r>
        <w:rPr>
          <w:sz w:val="20"/>
        </w:rPr>
        <w:t>En</w:t>
      </w:r>
      <w:r>
        <w:rPr>
          <w:spacing w:val="-4"/>
          <w:sz w:val="20"/>
        </w:rPr>
        <w:t> </w:t>
      </w:r>
      <w:r>
        <w:rPr>
          <w:sz w:val="20"/>
        </w:rPr>
        <w:t>caso</w:t>
      </w:r>
      <w:r>
        <w:rPr>
          <w:spacing w:val="-2"/>
          <w:sz w:val="20"/>
        </w:rPr>
        <w:t> </w:t>
      </w:r>
      <w:r>
        <w:rPr>
          <w:sz w:val="20"/>
        </w:rPr>
        <w:t>de</w:t>
      </w:r>
      <w:r>
        <w:rPr>
          <w:spacing w:val="-4"/>
          <w:sz w:val="20"/>
        </w:rPr>
        <w:t> </w:t>
      </w:r>
      <w:r>
        <w:rPr>
          <w:sz w:val="20"/>
        </w:rPr>
        <w:t>existir</w:t>
      </w:r>
      <w:r>
        <w:rPr>
          <w:spacing w:val="-3"/>
          <w:sz w:val="20"/>
        </w:rPr>
        <w:t> </w:t>
      </w:r>
      <w:r>
        <w:rPr>
          <w:sz w:val="20"/>
        </w:rPr>
        <w:t>un</w:t>
      </w:r>
      <w:r>
        <w:rPr>
          <w:spacing w:val="-4"/>
          <w:sz w:val="20"/>
        </w:rPr>
        <w:t> </w:t>
      </w:r>
      <w:r>
        <w:rPr>
          <w:sz w:val="20"/>
        </w:rPr>
        <w:t>juicio anterior</w:t>
      </w:r>
      <w:r>
        <w:rPr>
          <w:spacing w:val="-4"/>
          <w:sz w:val="20"/>
        </w:rPr>
        <w:t> </w:t>
      </w:r>
      <w:r>
        <w:rPr>
          <w:sz w:val="20"/>
        </w:rPr>
        <w:t>promovido</w:t>
      </w:r>
      <w:r>
        <w:rPr>
          <w:spacing w:val="-2"/>
          <w:sz w:val="20"/>
        </w:rPr>
        <w:t> </w:t>
      </w:r>
      <w:r>
        <w:rPr>
          <w:sz w:val="20"/>
        </w:rPr>
        <w:t>por</w:t>
      </w:r>
      <w:r>
        <w:rPr>
          <w:spacing w:val="-1"/>
          <w:sz w:val="20"/>
        </w:rPr>
        <w:t> </w:t>
      </w:r>
      <w:r>
        <w:rPr>
          <w:sz w:val="20"/>
        </w:rPr>
        <w:t>el</w:t>
      </w:r>
      <w:r>
        <w:rPr>
          <w:spacing w:val="-3"/>
          <w:sz w:val="20"/>
        </w:rPr>
        <w:t> </w:t>
      </w:r>
      <w:r>
        <w:rPr>
          <w:sz w:val="20"/>
        </w:rPr>
        <w:t>actor</w:t>
      </w:r>
      <w:r>
        <w:rPr>
          <w:spacing w:val="-4"/>
          <w:sz w:val="20"/>
        </w:rPr>
        <w:t> </w:t>
      </w:r>
      <w:r>
        <w:rPr>
          <w:sz w:val="20"/>
        </w:rPr>
        <w:t>contra</w:t>
      </w:r>
      <w:r>
        <w:rPr>
          <w:spacing w:val="-2"/>
          <w:sz w:val="20"/>
        </w:rPr>
        <w:t> </w:t>
      </w:r>
      <w:r>
        <w:rPr>
          <w:sz w:val="20"/>
        </w:rPr>
        <w:t>el</w:t>
      </w:r>
      <w:r>
        <w:rPr>
          <w:spacing w:val="-3"/>
          <w:sz w:val="20"/>
        </w:rPr>
        <w:t> </w:t>
      </w:r>
      <w:r>
        <w:rPr>
          <w:sz w:val="20"/>
        </w:rPr>
        <w:t>mismo</w:t>
      </w:r>
      <w:r>
        <w:rPr>
          <w:spacing w:val="-4"/>
          <w:sz w:val="20"/>
        </w:rPr>
        <w:t> </w:t>
      </w:r>
      <w:r>
        <w:rPr>
          <w:sz w:val="20"/>
        </w:rPr>
        <w:t>patrón,</w:t>
      </w:r>
      <w:r>
        <w:rPr>
          <w:spacing w:val="-4"/>
          <w:sz w:val="20"/>
        </w:rPr>
        <w:t> </w:t>
      </w:r>
      <w:r>
        <w:rPr>
          <w:sz w:val="20"/>
        </w:rPr>
        <w:t>deberá informarlo en la nueva demanda.</w:t>
      </w:r>
    </w:p>
    <w:p>
      <w:pPr>
        <w:pStyle w:val="ListParagraph"/>
        <w:numPr>
          <w:ilvl w:val="2"/>
          <w:numId w:val="317"/>
        </w:numPr>
        <w:tabs>
          <w:tab w:pos="1195" w:val="left" w:leader="none"/>
        </w:tabs>
        <w:spacing w:line="240" w:lineRule="auto" w:before="224" w:after="0"/>
        <w:ind w:left="1195" w:right="0" w:hanging="569"/>
        <w:jc w:val="left"/>
        <w:rPr>
          <w:sz w:val="20"/>
        </w:rPr>
      </w:pPr>
      <w:r>
        <w:rPr>
          <w:sz w:val="20"/>
        </w:rPr>
        <w:t>A</w:t>
      </w:r>
      <w:r>
        <w:rPr>
          <w:spacing w:val="-7"/>
          <w:sz w:val="20"/>
        </w:rPr>
        <w:t> </w:t>
      </w:r>
      <w:r>
        <w:rPr>
          <w:sz w:val="20"/>
        </w:rPr>
        <w:t>la</w:t>
      </w:r>
      <w:r>
        <w:rPr>
          <w:spacing w:val="-6"/>
          <w:sz w:val="20"/>
        </w:rPr>
        <w:t> </w:t>
      </w:r>
      <w:r>
        <w:rPr>
          <w:sz w:val="20"/>
        </w:rPr>
        <w:t>demanda</w:t>
      </w:r>
      <w:r>
        <w:rPr>
          <w:spacing w:val="-5"/>
          <w:sz w:val="20"/>
        </w:rPr>
        <w:t> </w:t>
      </w:r>
      <w:r>
        <w:rPr>
          <w:sz w:val="20"/>
        </w:rPr>
        <w:t>deberá</w:t>
      </w:r>
      <w:r>
        <w:rPr>
          <w:spacing w:val="-6"/>
          <w:sz w:val="20"/>
        </w:rPr>
        <w:t> </w:t>
      </w:r>
      <w:r>
        <w:rPr>
          <w:sz w:val="20"/>
        </w:rPr>
        <w:t>anexarse</w:t>
      </w:r>
      <w:r>
        <w:rPr>
          <w:spacing w:val="-6"/>
          <w:sz w:val="20"/>
        </w:rPr>
        <w:t> </w:t>
      </w:r>
      <w:r>
        <w:rPr>
          <w:sz w:val="20"/>
        </w:rPr>
        <w:t>lo</w:t>
      </w:r>
      <w:r>
        <w:rPr>
          <w:spacing w:val="-6"/>
          <w:sz w:val="20"/>
        </w:rPr>
        <w:t> </w:t>
      </w:r>
      <w:r>
        <w:rPr>
          <w:spacing w:val="-2"/>
          <w:sz w:val="20"/>
        </w:rPr>
        <w:t>siguiente:</w:t>
      </w:r>
    </w:p>
    <w:p>
      <w:pPr>
        <w:pStyle w:val="BodyText"/>
        <w:spacing w:before="1"/>
      </w:pPr>
    </w:p>
    <w:p>
      <w:pPr>
        <w:pStyle w:val="ListParagraph"/>
        <w:numPr>
          <w:ilvl w:val="3"/>
          <w:numId w:val="317"/>
        </w:numPr>
        <w:tabs>
          <w:tab w:pos="1760" w:val="left" w:leader="none"/>
          <w:tab w:pos="1762" w:val="left" w:leader="none"/>
        </w:tabs>
        <w:spacing w:line="240" w:lineRule="auto" w:before="0" w:after="0"/>
        <w:ind w:left="1762" w:right="344" w:hanging="567"/>
        <w:jc w:val="both"/>
        <w:rPr>
          <w:sz w:val="20"/>
        </w:rPr>
      </w:pPr>
      <w:r>
        <w:rPr>
          <w:sz w:val="20"/>
        </w:rPr>
        <w:t>La constancia expedida por el Organismo de Conciliación que acredite la conclusión del procedimiento de conciliación prejudicial sin acuerdo entre las partes, a excepción de los casos en los que no se requiera dicha constancia, según lo establezca expresamente esta Ley;</w:t>
      </w:r>
    </w:p>
    <w:p>
      <w:pPr>
        <w:pStyle w:val="ListParagraph"/>
        <w:spacing w:after="0" w:line="240" w:lineRule="auto"/>
        <w:jc w:val="both"/>
        <w:rPr>
          <w:sz w:val="20"/>
        </w:rPr>
        <w:sectPr>
          <w:pgSz w:w="12240" w:h="15840"/>
          <w:pgMar w:header="724" w:footer="712" w:top="1880" w:bottom="900" w:left="1080" w:right="1080"/>
        </w:sectPr>
      </w:pPr>
    </w:p>
    <w:p>
      <w:pPr>
        <w:pStyle w:val="BodyText"/>
        <w:spacing w:before="63"/>
      </w:pPr>
    </w:p>
    <w:p>
      <w:pPr>
        <w:pStyle w:val="ListParagraph"/>
        <w:numPr>
          <w:ilvl w:val="3"/>
          <w:numId w:val="317"/>
        </w:numPr>
        <w:tabs>
          <w:tab w:pos="1759" w:val="left" w:leader="none"/>
          <w:tab w:pos="1762" w:val="left" w:leader="none"/>
        </w:tabs>
        <w:spacing w:line="242" w:lineRule="auto" w:before="0" w:after="0"/>
        <w:ind w:left="1762" w:right="337" w:hanging="567"/>
        <w:jc w:val="both"/>
        <w:rPr>
          <w:sz w:val="20"/>
        </w:rPr>
      </w:pPr>
      <w:r>
        <w:rPr>
          <w:sz w:val="20"/>
        </w:rPr>
        <w:t>Los documentos que acrediten la personalidad de su representante conforme al artículo 692, fracción II, si la demanda se promueve a través de éste, y</w:t>
      </w:r>
    </w:p>
    <w:p>
      <w:pPr>
        <w:pStyle w:val="ListParagraph"/>
        <w:numPr>
          <w:ilvl w:val="3"/>
          <w:numId w:val="317"/>
        </w:numPr>
        <w:tabs>
          <w:tab w:pos="1758" w:val="left" w:leader="none"/>
          <w:tab w:pos="1762" w:val="left" w:leader="none"/>
        </w:tabs>
        <w:spacing w:line="240" w:lineRule="auto" w:before="227" w:after="0"/>
        <w:ind w:left="1762" w:right="343" w:hanging="567"/>
        <w:jc w:val="both"/>
        <w:rPr>
          <w:sz w:val="20"/>
        </w:rPr>
      </w:pPr>
      <w:r>
        <w:rPr>
          <w:sz w:val="20"/>
        </w:rPr>
        <w:t>Las pruebas de que disponga el actor, acompañadas de los elementos necesarios para su desahogo. En caso que no pueda aportar directamente alguna prueba que tenga por objeto demostrar los hechos en que funde su demanda, deberá señalar el lugar en que puedan obtenerse y las diligencias cuya práctica solicite con el mismo fin. El ofrecimiento de las pruebas deberá cumplir con lo dispuesto en el capítulo XII del Título Catorce de esta Ley.</w:t>
      </w:r>
    </w:p>
    <w:p>
      <w:pPr>
        <w:spacing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BodyText"/>
        <w:spacing w:line="242" w:lineRule="auto" w:before="1"/>
        <w:ind w:left="338" w:right="337" w:firstLine="288"/>
        <w:jc w:val="both"/>
      </w:pPr>
      <w:bookmarkStart w:name="Artículo_873" w:id="1092"/>
      <w:bookmarkEnd w:id="1092"/>
      <w:r>
        <w:rPr/>
      </w:r>
      <w:r>
        <w:rPr>
          <w:rFonts w:ascii="Arial" w:hAnsi="Arial"/>
          <w:b/>
        </w:rPr>
        <w:t>Artículo 873.- </w:t>
      </w:r>
      <w:r>
        <w:rPr/>
        <w:t>Dentro de las veinticuatro horas siguientes a la presentación de la demanda, deberá turnarse al Tribunal correspondiente; si la demanda se encuentra ajustada a derecho, éste deberá dictar el acuerdo de admisión respectivo dentro de los tres días siguientes a que le sea turnada o de que se haya subsanado ésta en los términos del tercer párrafo del presente artículo.</w:t>
      </w:r>
    </w:p>
    <w:p>
      <w:pPr>
        <w:pStyle w:val="BodyText"/>
        <w:spacing w:before="223"/>
        <w:ind w:left="338" w:right="336" w:firstLine="288"/>
        <w:jc w:val="both"/>
      </w:pPr>
      <w:r>
        <w:rPr/>
        <w:t>Al presentarse la demanda, el Tribunal le asignará al actor un buzón electrónico, proporcionándole el nombre de usuario y la clave de acceso correspondiente, mediante el cual podrá consultar su expediente y revisar los acuerdos que se dicten en éste.</w:t>
      </w:r>
    </w:p>
    <w:p>
      <w:pPr>
        <w:pStyle w:val="BodyText"/>
        <w:spacing w:before="1"/>
      </w:pPr>
    </w:p>
    <w:p>
      <w:pPr>
        <w:pStyle w:val="BodyText"/>
        <w:spacing w:before="1"/>
        <w:ind w:left="338" w:right="337" w:firstLine="288"/>
        <w:jc w:val="both"/>
      </w:pPr>
      <w:r>
        <w:rPr/>
        <w:t>Cuando el actor sea el trabajador o sus beneficiarios, de advertir el Tribunal alguna irregularidad en el escrito de demanda o se promueven acciones contradictorias o no se haya precisado el salario base de</w:t>
      </w:r>
      <w:r>
        <w:rPr>
          <w:spacing w:val="40"/>
        </w:rPr>
        <w:t> </w:t>
      </w:r>
      <w:r>
        <w:rPr/>
        <w:t>la acción, en el acuerdo le señalará los defectos u omisiones en que haya incurrido y lo prevendrá para que los subsane dentro de un término de tres días. Dicho acuerdo deberá notificarse personalmente al </w:t>
      </w:r>
      <w:r>
        <w:rPr>
          <w:spacing w:val="-2"/>
        </w:rPr>
        <w:t>actor.</w:t>
      </w:r>
    </w:p>
    <w:p>
      <w:pPr>
        <w:pStyle w:val="BodyText"/>
      </w:pPr>
    </w:p>
    <w:p>
      <w:pPr>
        <w:pStyle w:val="BodyText"/>
        <w:ind w:left="338" w:right="335" w:firstLine="288"/>
        <w:jc w:val="both"/>
      </w:pPr>
      <w:r>
        <w:rPr/>
        <w:t>De no subsanar el actor la demanda en el término concedido, el Tribunal subsanará las omisiones o irregularidades basándose en el material probatorio que el actor acompañe a su demanda y conforme a las normas del trabajo, una vez hecho lo anterior, el Tribunal admitirá la demanda.</w:t>
      </w:r>
    </w:p>
    <w:p>
      <w:pPr>
        <w:pStyle w:val="BodyText"/>
        <w:spacing w:before="229"/>
        <w:ind w:left="338" w:right="335" w:firstLine="288"/>
        <w:jc w:val="both"/>
      </w:pPr>
      <w:r>
        <w:rPr/>
        <w:t>No se recibirán pruebas adicionales a las ofrecidas en la demanda, salvo las que se refieran a hechos relacionados con la</w:t>
      </w:r>
      <w:r>
        <w:rPr>
          <w:spacing w:val="-1"/>
        </w:rPr>
        <w:t> </w:t>
      </w:r>
      <w:r>
        <w:rPr/>
        <w:t>réplica, siempre</w:t>
      </w:r>
      <w:r>
        <w:rPr>
          <w:spacing w:val="-1"/>
        </w:rPr>
        <w:t> </w:t>
      </w:r>
      <w:r>
        <w:rPr/>
        <w:t>que</w:t>
      </w:r>
      <w:r>
        <w:rPr>
          <w:spacing w:val="-1"/>
        </w:rPr>
        <w:t> </w:t>
      </w:r>
      <w:r>
        <w:rPr/>
        <w:t>se trate de aquéllos que el actor no hubiese</w:t>
      </w:r>
      <w:r>
        <w:rPr>
          <w:spacing w:val="-1"/>
        </w:rPr>
        <w:t> </w:t>
      </w:r>
      <w:r>
        <w:rPr/>
        <w:t>tenido conocimiento al presentar su demanda, así como las que se ofrezcan para sustentar las objeciones hechas a las pruebas de las demás partes, o las que se refieran a la objeción de testigos. Lo anterior sin menoscabo de que se puedan ofrecer pruebas sobre hechos supervenientes.</w:t>
      </w:r>
    </w:p>
    <w:p>
      <w:pPr>
        <w:pStyle w:val="BodyText"/>
      </w:pPr>
    </w:p>
    <w:p>
      <w:pPr>
        <w:pStyle w:val="BodyText"/>
        <w:spacing w:before="1"/>
        <w:ind w:left="338" w:right="335" w:firstLine="288"/>
        <w:jc w:val="both"/>
      </w:pPr>
      <w:r>
        <w:rPr/>
        <w:t>El</w:t>
      </w:r>
      <w:r>
        <w:rPr>
          <w:spacing w:val="-2"/>
        </w:rPr>
        <w:t> </w:t>
      </w:r>
      <w:r>
        <w:rPr/>
        <w:t>Tribunal</w:t>
      </w:r>
      <w:r>
        <w:rPr>
          <w:spacing w:val="-4"/>
        </w:rPr>
        <w:t> </w:t>
      </w:r>
      <w:r>
        <w:rPr/>
        <w:t>solo</w:t>
      </w:r>
      <w:r>
        <w:rPr>
          <w:spacing w:val="-1"/>
        </w:rPr>
        <w:t> </w:t>
      </w:r>
      <w:r>
        <w:rPr/>
        <w:t>podrá admitir</w:t>
      </w:r>
      <w:r>
        <w:rPr>
          <w:spacing w:val="-2"/>
        </w:rPr>
        <w:t> </w:t>
      </w:r>
      <w:r>
        <w:rPr/>
        <w:t>la</w:t>
      </w:r>
      <w:r>
        <w:rPr>
          <w:spacing w:val="-3"/>
        </w:rPr>
        <w:t> </w:t>
      </w:r>
      <w:r>
        <w:rPr/>
        <w:t>ampliación</w:t>
      </w:r>
      <w:r>
        <w:rPr>
          <w:spacing w:val="-1"/>
        </w:rPr>
        <w:t> </w:t>
      </w:r>
      <w:r>
        <w:rPr/>
        <w:t>de</w:t>
      </w:r>
      <w:r>
        <w:rPr>
          <w:spacing w:val="-3"/>
        </w:rPr>
        <w:t> </w:t>
      </w:r>
      <w:r>
        <w:rPr/>
        <w:t>demanda</w:t>
      </w:r>
      <w:r>
        <w:rPr>
          <w:spacing w:val="-4"/>
        </w:rPr>
        <w:t> </w:t>
      </w:r>
      <w:r>
        <w:rPr/>
        <w:t>en</w:t>
      </w:r>
      <w:r>
        <w:rPr>
          <w:spacing w:val="-1"/>
        </w:rPr>
        <w:t> </w:t>
      </w:r>
      <w:r>
        <w:rPr/>
        <w:t>caso</w:t>
      </w:r>
      <w:r>
        <w:rPr>
          <w:spacing w:val="-1"/>
        </w:rPr>
        <w:t> </w:t>
      </w:r>
      <w:r>
        <w:rPr/>
        <w:t>de</w:t>
      </w:r>
      <w:r>
        <w:rPr>
          <w:spacing w:val="-2"/>
        </w:rPr>
        <w:t> </w:t>
      </w:r>
      <w:r>
        <w:rPr/>
        <w:t>que</w:t>
      </w:r>
      <w:r>
        <w:rPr>
          <w:spacing w:val="-1"/>
        </w:rPr>
        <w:t> </w:t>
      </w:r>
      <w:r>
        <w:rPr/>
        <w:t>en</w:t>
      </w:r>
      <w:r>
        <w:rPr>
          <w:spacing w:val="-3"/>
        </w:rPr>
        <w:t> </w:t>
      </w:r>
      <w:r>
        <w:rPr/>
        <w:t>la</w:t>
      </w:r>
      <w:r>
        <w:rPr>
          <w:spacing w:val="-3"/>
        </w:rPr>
        <w:t> </w:t>
      </w:r>
      <w:r>
        <w:rPr/>
        <w:t>contestación</w:t>
      </w:r>
      <w:r>
        <w:rPr>
          <w:spacing w:val="-3"/>
        </w:rPr>
        <w:t> </w:t>
      </w:r>
      <w:r>
        <w:rPr/>
        <w:t>a</w:t>
      </w:r>
      <w:r>
        <w:rPr>
          <w:spacing w:val="-1"/>
        </w:rPr>
        <w:t> </w:t>
      </w:r>
      <w:r>
        <w:rPr/>
        <w:t>la</w:t>
      </w:r>
      <w:r>
        <w:rPr>
          <w:spacing w:val="-3"/>
        </w:rPr>
        <w:t> </w:t>
      </w:r>
      <w:r>
        <w:rPr/>
        <w:t>misma se hagan valer hechos novedosos, de los cuales el actor no haya tenido conocimiento al presentar su </w:t>
      </w:r>
      <w:r>
        <w:rPr>
          <w:spacing w:val="-2"/>
        </w:rPr>
        <w:t>demanda.</w:t>
      </w:r>
    </w:p>
    <w:p>
      <w:pPr>
        <w:spacing w:line="180" w:lineRule="exact" w:before="0"/>
        <w:ind w:left="569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7" w:firstLine="288"/>
        <w:jc w:val="both"/>
      </w:pPr>
      <w:bookmarkStart w:name="Artículo_873_A" w:id="1093"/>
      <w:bookmarkEnd w:id="1093"/>
      <w:r>
        <w:rPr/>
      </w:r>
      <w:r>
        <w:rPr>
          <w:rFonts w:ascii="Arial" w:hAnsi="Arial"/>
          <w:b/>
        </w:rPr>
        <w:t>Artículo 873-A.- </w:t>
      </w:r>
      <w:r>
        <w:rPr/>
        <w:t>Dentro de los cinco días siguientes a su admisión, el Tribunal emplazará a la parte demandada, entregándole copia cotejada del auto admisorio y del escrito de demanda, así como de las pruebas ofrecidas en ésta, para que produzca su contestación por escrito dentro de los quince días siguientes, ofrezca pruebas y de ser el caso reconvenga, apercibiéndole que de no hacerlo en dicho término</w:t>
      </w:r>
      <w:r>
        <w:rPr>
          <w:spacing w:val="-3"/>
        </w:rPr>
        <w:t> </w:t>
      </w:r>
      <w:r>
        <w:rPr/>
        <w:t>se</w:t>
      </w:r>
      <w:r>
        <w:rPr>
          <w:spacing w:val="-2"/>
        </w:rPr>
        <w:t> </w:t>
      </w:r>
      <w:r>
        <w:rPr/>
        <w:t>tendrán por</w:t>
      </w:r>
      <w:r>
        <w:rPr>
          <w:spacing w:val="-1"/>
        </w:rPr>
        <w:t> </w:t>
      </w:r>
      <w:r>
        <w:rPr/>
        <w:t>admitidas</w:t>
      </w:r>
      <w:r>
        <w:rPr>
          <w:spacing w:val="-1"/>
        </w:rPr>
        <w:t> </w:t>
      </w:r>
      <w:r>
        <w:rPr/>
        <w:t>las</w:t>
      </w:r>
      <w:r>
        <w:rPr>
          <w:spacing w:val="-1"/>
        </w:rPr>
        <w:t> </w:t>
      </w:r>
      <w:r>
        <w:rPr/>
        <w:t>peticiones</w:t>
      </w:r>
      <w:r>
        <w:rPr>
          <w:spacing w:val="-1"/>
        </w:rPr>
        <w:t> </w:t>
      </w:r>
      <w:r>
        <w:rPr/>
        <w:t>de la parte</w:t>
      </w:r>
      <w:r>
        <w:rPr>
          <w:spacing w:val="-2"/>
        </w:rPr>
        <w:t> </w:t>
      </w:r>
      <w:r>
        <w:rPr/>
        <w:t>actora,</w:t>
      </w:r>
      <w:r>
        <w:rPr>
          <w:spacing w:val="-2"/>
        </w:rPr>
        <w:t> </w:t>
      </w:r>
      <w:r>
        <w:rPr/>
        <w:t>salvo</w:t>
      </w:r>
      <w:r>
        <w:rPr>
          <w:spacing w:val="-2"/>
        </w:rPr>
        <w:t> </w:t>
      </w:r>
      <w:r>
        <w:rPr/>
        <w:t>aquéllas que</w:t>
      </w:r>
      <w:r>
        <w:rPr>
          <w:spacing w:val="-2"/>
        </w:rPr>
        <w:t> </w:t>
      </w:r>
      <w:r>
        <w:rPr/>
        <w:t>sean</w:t>
      </w:r>
      <w:r>
        <w:rPr>
          <w:spacing w:val="-2"/>
        </w:rPr>
        <w:t> </w:t>
      </w:r>
      <w:r>
        <w:rPr/>
        <w:t>contrarias</w:t>
      </w:r>
      <w:r>
        <w:rPr>
          <w:spacing w:val="-1"/>
        </w:rPr>
        <w:t> </w:t>
      </w:r>
      <w:r>
        <w:rPr/>
        <w:t>a</w:t>
      </w:r>
      <w:r>
        <w:rPr>
          <w:spacing w:val="-2"/>
        </w:rPr>
        <w:t> </w:t>
      </w:r>
      <w:r>
        <w:rPr/>
        <w:t>lo dispuesto por la ley, así como por perdido su derecho a ofrecer pruebas y en su caso a formular reconvención. Asimismo, deberá apercibirlo que de no cumplir con lo previsto en el artículo 739 de esta Ley, las notificaciones personales subsecuentes se le harán por boletín o por estrados, y en su caso por buzón electrónico, conforme a lo establecido en esta Ley.</w:t>
      </w:r>
    </w:p>
    <w:p>
      <w:pPr>
        <w:pStyle w:val="BodyText"/>
        <w:spacing w:before="2"/>
      </w:pPr>
    </w:p>
    <w:p>
      <w:pPr>
        <w:pStyle w:val="BodyText"/>
        <w:ind w:left="338" w:right="336" w:firstLine="288"/>
        <w:jc w:val="both"/>
      </w:pPr>
      <w:r>
        <w:rPr/>
        <w:t>A toda contestación de demanda deberá anexarse el documento con el que se acredite la personalidad de quien comparezca en representación del demandado.</w:t>
      </w:r>
    </w:p>
    <w:p>
      <w:pPr>
        <w:pStyle w:val="BodyText"/>
        <w:spacing w:after="0"/>
        <w:jc w:val="both"/>
        <w:sectPr>
          <w:pgSz w:w="12240" w:h="15840"/>
          <w:pgMar w:header="724" w:footer="712" w:top="1880" w:bottom="900" w:left="1080" w:right="1080"/>
        </w:sectPr>
      </w:pPr>
    </w:p>
    <w:p>
      <w:pPr>
        <w:pStyle w:val="BodyText"/>
      </w:pPr>
    </w:p>
    <w:p>
      <w:pPr>
        <w:pStyle w:val="BodyText"/>
        <w:spacing w:before="66"/>
      </w:pPr>
    </w:p>
    <w:p>
      <w:pPr>
        <w:pStyle w:val="BodyText"/>
        <w:ind w:left="338" w:right="337" w:firstLine="288"/>
        <w:jc w:val="both"/>
      </w:pPr>
      <w:r>
        <w:rPr/>
        <w:t>El escrito de contestación de demanda deberá contener una exposición clara y circunstanciada de los hechos, los fundamentos de derecho en los que se sustenta, las excepciones y defensas que el demandado tuviere a su favor, debiendo referirse a todos y cada uno de los hechos aducidos en la demanda, afirmándolos o negándolos, y expresando los que ignore cuando no sean propios, agregando las manifestaciones que estime convenientes y, en su caso, objetar las pruebas ofrecidas por la parte actora, apercibido que en caso de no hacerlo se le tendrá por perdido el derecho de objetar las pruebas de su contraparte.</w:t>
      </w:r>
    </w:p>
    <w:p>
      <w:pPr>
        <w:pStyle w:val="BodyText"/>
        <w:spacing w:before="1"/>
      </w:pPr>
    </w:p>
    <w:p>
      <w:pPr>
        <w:pStyle w:val="BodyText"/>
        <w:ind w:left="338" w:right="340" w:firstLine="288"/>
        <w:jc w:val="both"/>
      </w:pPr>
      <w:r>
        <w:rPr/>
        <w:t>El silencio y las evasivas harán que se tengan por admitidos aquellos hechos sobre los que no se suscite controversia, sin que sea admisible prueba en contrario. La negación pura y simple del derecho, implica la confesión de los hechos. La confesión de éstos no entraña la aceptación del derecho. En caso que el demandado niegue la relación de trabajo podrá negar los hechos en forma genérica, sin estar obligado a referirse a cada uno de ellos.</w:t>
      </w:r>
    </w:p>
    <w:p>
      <w:pPr>
        <w:pStyle w:val="BodyText"/>
      </w:pPr>
    </w:p>
    <w:p>
      <w:pPr>
        <w:pStyle w:val="BodyText"/>
        <w:ind w:left="338" w:right="337" w:firstLine="288"/>
        <w:jc w:val="both"/>
      </w:pPr>
      <w:r>
        <w:rPr/>
        <w:t>Todas las excepciones procesales que tenga el demandado deberá hacerlas valer al contestar la demanda, y en ningún caso suspenderán el procedimiento; de oponerse éstas, sólo se admitirán como pruebas la documental y pericial, salvo en el caso de la litispendencia y conexidad, de las que se podrá ofrecer también la prueba de inspección de los autos.</w:t>
      </w:r>
    </w:p>
    <w:p>
      <w:pPr>
        <w:pStyle w:val="BodyText"/>
      </w:pPr>
    </w:p>
    <w:p>
      <w:pPr>
        <w:pStyle w:val="BodyText"/>
        <w:ind w:left="338" w:right="340" w:firstLine="288"/>
        <w:jc w:val="both"/>
      </w:pPr>
      <w:r>
        <w:rPr/>
        <w:t>La excepción de incompetencia no exime al demandado de contestar la demanda; si no lo hace y el Tribunal se declara competente, se tendrán por admitidas las peticiones de la actora, salvo aquellas que sean contrarias a lo dispuesto por la ley.</w:t>
      </w:r>
    </w:p>
    <w:p>
      <w:pPr>
        <w:pStyle w:val="BodyText"/>
        <w:spacing w:before="229"/>
        <w:ind w:left="338" w:right="336" w:firstLine="288"/>
        <w:jc w:val="both"/>
      </w:pPr>
      <w:r>
        <w:rPr/>
        <w:t>Las mismas consecuencias correrán a cargo del demandado si éste no da contestación a la demanda o la formula fuera del plazo concedido para hacerlo, sin perjuicio de que hasta antes de la audiencia preliminar</w:t>
      </w:r>
      <w:r>
        <w:rPr>
          <w:spacing w:val="-1"/>
        </w:rPr>
        <w:t> </w:t>
      </w:r>
      <w:r>
        <w:rPr/>
        <w:t>pueda</w:t>
      </w:r>
      <w:r>
        <w:rPr>
          <w:spacing w:val="-2"/>
        </w:rPr>
        <w:t> </w:t>
      </w:r>
      <w:r>
        <w:rPr/>
        <w:t>ofrecer</w:t>
      </w:r>
      <w:r>
        <w:rPr>
          <w:spacing w:val="-1"/>
        </w:rPr>
        <w:t> </w:t>
      </w:r>
      <w:r>
        <w:rPr/>
        <w:t>pruebas</w:t>
      </w:r>
      <w:r>
        <w:rPr>
          <w:spacing w:val="-1"/>
        </w:rPr>
        <w:t> </w:t>
      </w:r>
      <w:r>
        <w:rPr/>
        <w:t>en</w:t>
      </w:r>
      <w:r>
        <w:rPr>
          <w:spacing w:val="-3"/>
        </w:rPr>
        <w:t> </w:t>
      </w:r>
      <w:r>
        <w:rPr/>
        <w:t>contrario</w:t>
      </w:r>
      <w:r>
        <w:rPr>
          <w:spacing w:val="-2"/>
        </w:rPr>
        <w:t> </w:t>
      </w:r>
      <w:r>
        <w:rPr/>
        <w:t>para</w:t>
      </w:r>
      <w:r>
        <w:rPr>
          <w:spacing w:val="-2"/>
        </w:rPr>
        <w:t> </w:t>
      </w:r>
      <w:r>
        <w:rPr/>
        <w:t>demostrar</w:t>
      </w:r>
      <w:r>
        <w:rPr>
          <w:spacing w:val="-1"/>
        </w:rPr>
        <w:t> </w:t>
      </w:r>
      <w:r>
        <w:rPr/>
        <w:t>que</w:t>
      </w:r>
      <w:r>
        <w:rPr>
          <w:spacing w:val="-2"/>
        </w:rPr>
        <w:t> </w:t>
      </w:r>
      <w:r>
        <w:rPr/>
        <w:t>el</w:t>
      </w:r>
      <w:r>
        <w:rPr>
          <w:spacing w:val="-3"/>
        </w:rPr>
        <w:t> </w:t>
      </w:r>
      <w:r>
        <w:rPr/>
        <w:t>actor</w:t>
      </w:r>
      <w:r>
        <w:rPr>
          <w:spacing w:val="-1"/>
        </w:rPr>
        <w:t> </w:t>
      </w:r>
      <w:r>
        <w:rPr/>
        <w:t>no</w:t>
      </w:r>
      <w:r>
        <w:rPr>
          <w:spacing w:val="-3"/>
        </w:rPr>
        <w:t> </w:t>
      </w:r>
      <w:r>
        <w:rPr/>
        <w:t>era trabajador</w:t>
      </w:r>
      <w:r>
        <w:rPr>
          <w:spacing w:val="-1"/>
        </w:rPr>
        <w:t> </w:t>
      </w:r>
      <w:r>
        <w:rPr/>
        <w:t>o</w:t>
      </w:r>
      <w:r>
        <w:rPr>
          <w:spacing w:val="-2"/>
        </w:rPr>
        <w:t> </w:t>
      </w:r>
      <w:r>
        <w:rPr/>
        <w:t>patrón,</w:t>
      </w:r>
      <w:r>
        <w:rPr>
          <w:spacing w:val="-2"/>
        </w:rPr>
        <w:t> </w:t>
      </w:r>
      <w:r>
        <w:rPr/>
        <w:t>que no existió el despido o que no son ciertos los hechos afirmados por la parte actora.</w:t>
      </w:r>
    </w:p>
    <w:p>
      <w:pPr>
        <w:pStyle w:val="BodyText"/>
      </w:pPr>
    </w:p>
    <w:p>
      <w:pPr>
        <w:pStyle w:val="BodyText"/>
        <w:ind w:left="338" w:right="335" w:firstLine="288"/>
        <w:jc w:val="both"/>
      </w:pPr>
      <w:r>
        <w:rPr/>
        <w:t>La parte demandada deberá ofrecer sus pruebas en el escrito de contestación a la demanda, acompañando las copias respectivas para que se corra traslado con ellas a la parte actora. No se recibirán pruebas adicionales a menos que se refieran a hechos relacionados con la contrarréplica, siempre que se trate de aquellos que el demandado no hubiese tenido conocimiento al contestar la demanda, así como las que se ofrezcan para sustentar las objeciones hechas a las pruebas de las</w:t>
      </w:r>
      <w:r>
        <w:rPr>
          <w:spacing w:val="80"/>
        </w:rPr>
        <w:t> </w:t>
      </w:r>
      <w:r>
        <w:rPr/>
        <w:t>demás partes, o las que se refieran a la objeción de testigos. Lo anterior sin menoscabo de que se puedan ofrecer pruebas sobre hechos supervenientes.</w:t>
      </w:r>
    </w:p>
    <w:p>
      <w:pPr>
        <w:pStyle w:val="BodyText"/>
        <w:spacing w:before="1"/>
      </w:pPr>
    </w:p>
    <w:p>
      <w:pPr>
        <w:pStyle w:val="BodyText"/>
        <w:ind w:left="338" w:right="339" w:firstLine="288"/>
        <w:jc w:val="both"/>
      </w:pPr>
      <w:r>
        <w:rPr/>
        <w:t>Las</w:t>
      </w:r>
      <w:r>
        <w:rPr>
          <w:spacing w:val="-1"/>
        </w:rPr>
        <w:t> </w:t>
      </w:r>
      <w:r>
        <w:rPr/>
        <w:t>pruebas</w:t>
      </w:r>
      <w:r>
        <w:rPr>
          <w:spacing w:val="-1"/>
        </w:rPr>
        <w:t> </w:t>
      </w:r>
      <w:r>
        <w:rPr/>
        <w:t>deberán</w:t>
      </w:r>
      <w:r>
        <w:rPr>
          <w:spacing w:val="-2"/>
        </w:rPr>
        <w:t> </w:t>
      </w:r>
      <w:r>
        <w:rPr/>
        <w:t>acompañarse</w:t>
      </w:r>
      <w:r>
        <w:rPr>
          <w:spacing w:val="-2"/>
        </w:rPr>
        <w:t> </w:t>
      </w:r>
      <w:r>
        <w:rPr/>
        <w:t>de</w:t>
      </w:r>
      <w:r>
        <w:rPr>
          <w:spacing w:val="-2"/>
        </w:rPr>
        <w:t> </w:t>
      </w:r>
      <w:r>
        <w:rPr/>
        <w:t>todos</w:t>
      </w:r>
      <w:r>
        <w:rPr>
          <w:spacing w:val="-1"/>
        </w:rPr>
        <w:t> </w:t>
      </w:r>
      <w:r>
        <w:rPr/>
        <w:t>los</w:t>
      </w:r>
      <w:r>
        <w:rPr>
          <w:spacing w:val="-1"/>
        </w:rPr>
        <w:t> </w:t>
      </w:r>
      <w:r>
        <w:rPr/>
        <w:t>elementos</w:t>
      </w:r>
      <w:r>
        <w:rPr>
          <w:spacing w:val="-1"/>
        </w:rPr>
        <w:t> </w:t>
      </w:r>
      <w:r>
        <w:rPr/>
        <w:t>necesarios</w:t>
      </w:r>
      <w:r>
        <w:rPr>
          <w:spacing w:val="-1"/>
        </w:rPr>
        <w:t> </w:t>
      </w:r>
      <w:r>
        <w:rPr/>
        <w:t>para</w:t>
      </w:r>
      <w:r>
        <w:rPr>
          <w:spacing w:val="-2"/>
        </w:rPr>
        <w:t> </w:t>
      </w:r>
      <w:r>
        <w:rPr/>
        <w:t>su</w:t>
      </w:r>
      <w:r>
        <w:rPr>
          <w:spacing w:val="-2"/>
        </w:rPr>
        <w:t> </w:t>
      </w:r>
      <w:r>
        <w:rPr/>
        <w:t>desahogo,</w:t>
      </w:r>
      <w:r>
        <w:rPr>
          <w:spacing w:val="-2"/>
        </w:rPr>
        <w:t> </w:t>
      </w:r>
      <w:r>
        <w:rPr/>
        <w:t>para</w:t>
      </w:r>
      <w:r>
        <w:rPr>
          <w:spacing w:val="-2"/>
        </w:rPr>
        <w:t> </w:t>
      </w:r>
      <w:r>
        <w:rPr/>
        <w:t>lo</w:t>
      </w:r>
      <w:r>
        <w:rPr>
          <w:spacing w:val="-2"/>
        </w:rPr>
        <w:t> </w:t>
      </w:r>
      <w:r>
        <w:rPr/>
        <w:t>cual se estará a lo dispuesto en el capítulo XII del Título Catorce de esta Ley.</w:t>
      </w:r>
    </w:p>
    <w:p>
      <w:pPr>
        <w:pStyle w:val="BodyText"/>
        <w:spacing w:before="229"/>
        <w:ind w:left="338" w:right="343" w:firstLine="288"/>
        <w:jc w:val="both"/>
      </w:pPr>
      <w:r>
        <w:rPr/>
        <w:t>En caso de que el demandado se allane a la demanda el Tribunal citará a las partes a la audiencia de juicio, que tendrá verificativo en un plazo no mayor de diez días, en la que se dictará la sentencia </w:t>
      </w:r>
      <w:r>
        <w:rPr>
          <w:spacing w:val="-2"/>
        </w:rPr>
        <w:t>respectiva.</w:t>
      </w:r>
    </w:p>
    <w:p>
      <w:pPr>
        <w:pStyle w:val="BodyText"/>
        <w:spacing w:before="2"/>
      </w:pPr>
    </w:p>
    <w:p>
      <w:pPr>
        <w:pStyle w:val="BodyText"/>
        <w:spacing w:before="1"/>
        <w:ind w:left="338" w:right="335" w:firstLine="288"/>
        <w:jc w:val="both"/>
      </w:pPr>
      <w:r>
        <w:rPr/>
        <w:t>Presentada que sea la contestación de demanda, el Tribunal le asignará al demandado un buzón electrónico, proporcionándole el nombre de usuario y la clave de acceso correspondiente, mediante el cual podrá consultar su expediente y revisar los acuerdos que emita el órgano jurisdiccional.</w:t>
      </w:r>
    </w:p>
    <w:p>
      <w:pPr>
        <w:pStyle w:val="BodyText"/>
        <w:spacing w:before="229"/>
        <w:ind w:left="338" w:right="335" w:firstLine="288"/>
        <w:jc w:val="both"/>
      </w:pPr>
      <w:r>
        <w:rPr/>
        <w:t>Si el Tribunal admite la reconvención, deberá emplazar a la parte actora corriéndole traslado con ésta y con las pruebas que ofrezca la actora reconvencionista, para que dentro del término de quince días siguientes a su emplazamiento conteste lo que a su derecho e interés corresponda y ofrezca pruebas, y en su caso objete las de la contraria. De no dar contestación a la reconvención la parte trabajadora, se le</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pPr>
      <w:r>
        <w:rPr/>
        <w:t>tendrá</w:t>
      </w:r>
      <w:r>
        <w:rPr>
          <w:spacing w:val="21"/>
        </w:rPr>
        <w:t> </w:t>
      </w:r>
      <w:r>
        <w:rPr/>
        <w:t>por</w:t>
      </w:r>
      <w:r>
        <w:rPr>
          <w:spacing w:val="20"/>
        </w:rPr>
        <w:t> </w:t>
      </w:r>
      <w:r>
        <w:rPr/>
        <w:t>contestada</w:t>
      </w:r>
      <w:r>
        <w:rPr>
          <w:spacing w:val="21"/>
        </w:rPr>
        <w:t> </w:t>
      </w:r>
      <w:r>
        <w:rPr/>
        <w:t>negando</w:t>
      </w:r>
      <w:r>
        <w:rPr>
          <w:spacing w:val="21"/>
        </w:rPr>
        <w:t> </w:t>
      </w:r>
      <w:r>
        <w:rPr/>
        <w:t>los</w:t>
      </w:r>
      <w:r>
        <w:rPr>
          <w:spacing w:val="20"/>
        </w:rPr>
        <w:t> </w:t>
      </w:r>
      <w:r>
        <w:rPr/>
        <w:t>hechos</w:t>
      </w:r>
      <w:r>
        <w:rPr>
          <w:spacing w:val="20"/>
        </w:rPr>
        <w:t> </w:t>
      </w:r>
      <w:r>
        <w:rPr/>
        <w:t>aducidos</w:t>
      </w:r>
      <w:r>
        <w:rPr>
          <w:spacing w:val="20"/>
        </w:rPr>
        <w:t> </w:t>
      </w:r>
      <w:r>
        <w:rPr/>
        <w:t>en la reconvención</w:t>
      </w:r>
      <w:r>
        <w:rPr>
          <w:spacing w:val="23"/>
        </w:rPr>
        <w:t> </w:t>
      </w:r>
      <w:r>
        <w:rPr/>
        <w:t>y por perdido el derecho para ofrecer pruebas. La reconvención seguirá las mismas reglas establecidas para la demanda.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338" w:right="336" w:firstLine="288"/>
        <w:jc w:val="both"/>
      </w:pPr>
      <w:bookmarkStart w:name="Artículo_873_B" w:id="1094"/>
      <w:bookmarkEnd w:id="1094"/>
      <w:r>
        <w:rPr/>
      </w:r>
      <w:r>
        <w:rPr>
          <w:rFonts w:ascii="Arial" w:hAnsi="Arial"/>
          <w:b/>
        </w:rPr>
        <w:t>Artículo 873-B.- </w:t>
      </w:r>
      <w:r>
        <w:rPr/>
        <w:t>El Tribunal correrá traslado a la actora con la copia de la contestación a la demanda</w:t>
      </w:r>
      <w:r>
        <w:rPr>
          <w:spacing w:val="40"/>
        </w:rPr>
        <w:t> </w:t>
      </w:r>
      <w:r>
        <w:rPr/>
        <w:t>y sus anexos para que en un plazo de ocho días objete las pruebas de su contraparte, formule su réplica y en su caso ofrezca pruebas en relación a dichas objeciones y réplica, acompañando copia de traslado para cada parte; en caso de que se ofrezcan pruebas, la actora deberá acompañar también copia de las </w:t>
      </w:r>
      <w:r>
        <w:rPr>
          <w:spacing w:val="-2"/>
        </w:rPr>
        <w:t>mismas.</w:t>
      </w:r>
    </w:p>
    <w:p>
      <w:pPr>
        <w:pStyle w:val="BodyText"/>
        <w:spacing w:before="2"/>
      </w:pPr>
    </w:p>
    <w:p>
      <w:pPr>
        <w:pStyle w:val="BodyText"/>
        <w:ind w:left="338" w:right="345" w:firstLine="288"/>
        <w:jc w:val="both"/>
      </w:pPr>
      <w:r>
        <w:rPr/>
        <w:t>En caso de que el patrón realice el ofrecimiento del trabajo, el trabajador deberá pronunciarse al respecto al formular su réplica.</w:t>
      </w:r>
    </w:p>
    <w:p>
      <w:pPr>
        <w:spacing w:line="180"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338" w:right="336" w:firstLine="288"/>
        <w:jc w:val="both"/>
      </w:pPr>
      <w:bookmarkStart w:name="Artículo_873_C" w:id="1095"/>
      <w:bookmarkEnd w:id="1095"/>
      <w:r>
        <w:rPr/>
      </w:r>
      <w:r>
        <w:rPr>
          <w:rFonts w:ascii="Arial" w:hAnsi="Arial"/>
          <w:b/>
        </w:rPr>
        <w:t>Artículo 873-C.- </w:t>
      </w:r>
      <w:r>
        <w:rPr/>
        <w:t>Con el escrito de réplica y sus anexos, el Tribunal correrá traslado a la parte demandada, otorgándole un plazo de cinco días para que formule su contrarréplica por escrito y, en su caso, objete las pruebas que se hayan ofrecido con éste. El demandado al presentar su contrarréplica deberá acompañar copia para traslado a la parte actora. En caso de que la parte demandada ofrezca pruebas en relación a su contrarréplica conforme a lo previsto en el artículo 873-A de esta Ley, deberá acompañar también copia de las mismas, para que se le corra traslado a la parte actora, y ésta en el término de tres días manifieste lo que a su interés corresponda.</w:t>
      </w:r>
    </w:p>
    <w:p>
      <w:pPr>
        <w:pStyle w:val="BodyText"/>
      </w:pPr>
    </w:p>
    <w:p>
      <w:pPr>
        <w:pStyle w:val="BodyText"/>
        <w:spacing w:before="1"/>
        <w:ind w:left="338" w:right="340" w:firstLine="288"/>
        <w:jc w:val="both"/>
      </w:pPr>
      <w:r>
        <w:rPr/>
        <w:t>Si la réplica o contrarréplica no se formulan dentro del plazo concedido, se tendrá por perdido el derecho según sea el caso y se continuará con el procedimiento.</w:t>
      </w:r>
    </w:p>
    <w:p>
      <w:pPr>
        <w:pStyle w:val="BodyText"/>
        <w:spacing w:before="1"/>
      </w:pPr>
    </w:p>
    <w:p>
      <w:pPr>
        <w:pStyle w:val="BodyText"/>
        <w:ind w:left="338" w:right="350" w:firstLine="288"/>
        <w:jc w:val="both"/>
      </w:pPr>
      <w:r>
        <w:rPr/>
        <w:t>Transcurridos los plazos señalados en los dos últimos párrafos que anteceden, el Tribunal fijará fecha para celebrar la Audiencia Preliminar, la cual tendrá verificativo dentro de los diez días siguientes.</w:t>
      </w:r>
    </w:p>
    <w:p>
      <w:pPr>
        <w:spacing w:line="180"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338" w:right="332" w:firstLine="288"/>
        <w:jc w:val="both"/>
      </w:pPr>
      <w:bookmarkStart w:name="Artículo_873_D" w:id="1096"/>
      <w:bookmarkEnd w:id="1096"/>
      <w:r>
        <w:rPr/>
      </w:r>
      <w:r>
        <w:rPr>
          <w:rFonts w:ascii="Arial" w:hAnsi="Arial"/>
          <w:b/>
        </w:rPr>
        <w:t>Artículo</w:t>
      </w:r>
      <w:r>
        <w:rPr>
          <w:rFonts w:ascii="Arial" w:hAnsi="Arial"/>
          <w:b/>
          <w:spacing w:val="-3"/>
        </w:rPr>
        <w:t> </w:t>
      </w:r>
      <w:r>
        <w:rPr>
          <w:rFonts w:ascii="Arial" w:hAnsi="Arial"/>
          <w:b/>
        </w:rPr>
        <w:t>873-D.-</w:t>
      </w:r>
      <w:r>
        <w:rPr>
          <w:rFonts w:ascii="Arial" w:hAnsi="Arial"/>
          <w:b/>
          <w:spacing w:val="-3"/>
        </w:rPr>
        <w:t> </w:t>
      </w:r>
      <w:r>
        <w:rPr/>
        <w:t>Las</w:t>
      </w:r>
      <w:r>
        <w:rPr>
          <w:spacing w:val="-3"/>
        </w:rPr>
        <w:t> </w:t>
      </w:r>
      <w:r>
        <w:rPr/>
        <w:t>partes</w:t>
      </w:r>
      <w:r>
        <w:rPr>
          <w:spacing w:val="-3"/>
        </w:rPr>
        <w:t> </w:t>
      </w:r>
      <w:r>
        <w:rPr/>
        <w:t>podrán</w:t>
      </w:r>
      <w:r>
        <w:rPr>
          <w:spacing w:val="-4"/>
        </w:rPr>
        <w:t> </w:t>
      </w:r>
      <w:r>
        <w:rPr/>
        <w:t>solicitar,</w:t>
      </w:r>
      <w:r>
        <w:rPr>
          <w:spacing w:val="-1"/>
        </w:rPr>
        <w:t> </w:t>
      </w:r>
      <w:r>
        <w:rPr/>
        <w:t>que</w:t>
      </w:r>
      <w:r>
        <w:rPr>
          <w:spacing w:val="-2"/>
        </w:rPr>
        <w:t> </w:t>
      </w:r>
      <w:r>
        <w:rPr/>
        <w:t>se</w:t>
      </w:r>
      <w:r>
        <w:rPr>
          <w:spacing w:val="-4"/>
        </w:rPr>
        <w:t> </w:t>
      </w:r>
      <w:r>
        <w:rPr/>
        <w:t>llame</w:t>
      </w:r>
      <w:r>
        <w:rPr>
          <w:spacing w:val="-4"/>
        </w:rPr>
        <w:t> </w:t>
      </w:r>
      <w:r>
        <w:rPr/>
        <w:t>a</w:t>
      </w:r>
      <w:r>
        <w:rPr>
          <w:spacing w:val="-5"/>
        </w:rPr>
        <w:t> </w:t>
      </w:r>
      <w:r>
        <w:rPr/>
        <w:t>juicio</w:t>
      </w:r>
      <w:r>
        <w:rPr>
          <w:spacing w:val="-4"/>
        </w:rPr>
        <w:t> </w:t>
      </w:r>
      <w:r>
        <w:rPr/>
        <w:t>a</w:t>
      </w:r>
      <w:r>
        <w:rPr>
          <w:spacing w:val="-3"/>
        </w:rPr>
        <w:t> </w:t>
      </w:r>
      <w:r>
        <w:rPr/>
        <w:t>terceros</w:t>
      </w:r>
      <w:r>
        <w:rPr>
          <w:spacing w:val="-2"/>
        </w:rPr>
        <w:t> </w:t>
      </w:r>
      <w:r>
        <w:rPr/>
        <w:t>que</w:t>
      </w:r>
      <w:r>
        <w:rPr>
          <w:spacing w:val="-2"/>
        </w:rPr>
        <w:t> </w:t>
      </w:r>
      <w:r>
        <w:rPr/>
        <w:t>puedan</w:t>
      </w:r>
      <w:r>
        <w:rPr>
          <w:spacing w:val="-4"/>
        </w:rPr>
        <w:t> </w:t>
      </w:r>
      <w:r>
        <w:rPr/>
        <w:t>ser</w:t>
      </w:r>
      <w:r>
        <w:rPr>
          <w:spacing w:val="-1"/>
        </w:rPr>
        <w:t> </w:t>
      </w:r>
      <w:r>
        <w:rPr/>
        <w:t>afectados por la resolución que se dicte en el procedimiento, siempre que justifiquen la necesidad de su llamamiento; para ello, deberán proporcionar el domicilio de éste, exhibir las copias necesarias de la demanda y en su caso de la contestación, así como de los documentos exhibidos por las partes, con los que deberá correrse traslado al tercero; de no cumplir con tales requisitos se tendrá por perdido su derecho a solicitar el llamamiento.</w:t>
      </w:r>
    </w:p>
    <w:p>
      <w:pPr>
        <w:pStyle w:val="BodyText"/>
        <w:spacing w:before="2"/>
      </w:pPr>
    </w:p>
    <w:p>
      <w:pPr>
        <w:pStyle w:val="BodyText"/>
        <w:spacing w:before="1"/>
        <w:ind w:left="338" w:right="347" w:firstLine="288"/>
        <w:jc w:val="both"/>
      </w:pPr>
      <w:r>
        <w:rPr/>
        <w:t>El</w:t>
      </w:r>
      <w:r>
        <w:rPr>
          <w:spacing w:val="-3"/>
        </w:rPr>
        <w:t> </w:t>
      </w:r>
      <w:r>
        <w:rPr/>
        <w:t>tercero</w:t>
      </w:r>
      <w:r>
        <w:rPr>
          <w:spacing w:val="-2"/>
        </w:rPr>
        <w:t> </w:t>
      </w:r>
      <w:r>
        <w:rPr/>
        <w:t>podrá</w:t>
      </w:r>
      <w:r>
        <w:rPr>
          <w:spacing w:val="-1"/>
        </w:rPr>
        <w:t> </w:t>
      </w:r>
      <w:r>
        <w:rPr/>
        <w:t>acudir</w:t>
      </w:r>
      <w:r>
        <w:rPr>
          <w:spacing w:val="-1"/>
        </w:rPr>
        <w:t> </w:t>
      </w:r>
      <w:r>
        <w:rPr/>
        <w:t>al</w:t>
      </w:r>
      <w:r>
        <w:rPr>
          <w:spacing w:val="-3"/>
        </w:rPr>
        <w:t> </w:t>
      </w:r>
      <w:r>
        <w:rPr/>
        <w:t>juicio</w:t>
      </w:r>
      <w:r>
        <w:rPr>
          <w:spacing w:val="-2"/>
        </w:rPr>
        <w:t> </w:t>
      </w:r>
      <w:r>
        <w:rPr/>
        <w:t>hasta</w:t>
      </w:r>
      <w:r>
        <w:rPr>
          <w:spacing w:val="-2"/>
        </w:rPr>
        <w:t> </w:t>
      </w:r>
      <w:r>
        <w:rPr/>
        <w:t>antes</w:t>
      </w:r>
      <w:r>
        <w:rPr>
          <w:spacing w:val="-3"/>
        </w:rPr>
        <w:t> </w:t>
      </w:r>
      <w:r>
        <w:rPr/>
        <w:t>de</w:t>
      </w:r>
      <w:r>
        <w:rPr>
          <w:spacing w:val="-2"/>
        </w:rPr>
        <w:t> </w:t>
      </w:r>
      <w:r>
        <w:rPr/>
        <w:t>la</w:t>
      </w:r>
      <w:r>
        <w:rPr>
          <w:spacing w:val="-2"/>
        </w:rPr>
        <w:t> </w:t>
      </w:r>
      <w:r>
        <w:rPr/>
        <w:t>audiencia</w:t>
      </w:r>
      <w:r>
        <w:rPr>
          <w:spacing w:val="-2"/>
        </w:rPr>
        <w:t> </w:t>
      </w:r>
      <w:r>
        <w:rPr/>
        <w:t>preliminar;</w:t>
      </w:r>
      <w:r>
        <w:rPr>
          <w:spacing w:val="-4"/>
        </w:rPr>
        <w:t> </w:t>
      </w:r>
      <w:r>
        <w:rPr/>
        <w:t>de</w:t>
      </w:r>
      <w:r>
        <w:rPr>
          <w:spacing w:val="-2"/>
        </w:rPr>
        <w:t> </w:t>
      </w:r>
      <w:r>
        <w:rPr/>
        <w:t>no</w:t>
      </w:r>
      <w:r>
        <w:rPr>
          <w:spacing w:val="-4"/>
        </w:rPr>
        <w:t> </w:t>
      </w:r>
      <w:r>
        <w:rPr/>
        <w:t>hacerlo</w:t>
      </w:r>
      <w:r>
        <w:rPr>
          <w:spacing w:val="-4"/>
        </w:rPr>
        <w:t> </w:t>
      </w:r>
      <w:r>
        <w:rPr/>
        <w:t>se</w:t>
      </w:r>
      <w:r>
        <w:rPr>
          <w:spacing w:val="-2"/>
        </w:rPr>
        <w:t> </w:t>
      </w:r>
      <w:r>
        <w:rPr/>
        <w:t>entenderá</w:t>
      </w:r>
      <w:r>
        <w:rPr>
          <w:spacing w:val="-2"/>
        </w:rPr>
        <w:t> </w:t>
      </w:r>
      <w:r>
        <w:rPr/>
        <w:t>que no tiene interés jurídico en el asunto, quedando sujeto al resultado del juicio.</w:t>
      </w:r>
    </w:p>
    <w:p>
      <w:pPr>
        <w:pStyle w:val="BodyText"/>
        <w:spacing w:before="229"/>
        <w:ind w:left="338" w:right="346" w:firstLine="288"/>
        <w:jc w:val="both"/>
      </w:pPr>
      <w:r>
        <w:rPr/>
        <w:t>El tercero interesado que acuda a juicio será parte en éste, debiendo sujetarse a las formalidades del procedimiento previstas en el presente capítulo.</w:t>
      </w:r>
    </w:p>
    <w:p>
      <w:pPr>
        <w:pStyle w:val="BodyText"/>
        <w:spacing w:before="1"/>
      </w:pPr>
    </w:p>
    <w:p>
      <w:pPr>
        <w:pStyle w:val="BodyText"/>
        <w:ind w:left="338" w:right="335" w:firstLine="288"/>
        <w:jc w:val="both"/>
      </w:pPr>
      <w:r>
        <w:rPr/>
        <w:t>El llamamiento a tercero interesado lo deberán hacer las partes en la demanda, contestación, reconvención o contestación a al reconvención, o bien al emitir la réplica y contrarréplica, según sea el caso; el Tribunal acordará de plano dicha solicitud, la que en caso de admitirse, ordenará se emplace al tercero interesado para que dentro de los quince días siguientes, realice sus manifestaciones por escrito, al cual deberá acompañar las pruebas que estime pertinentes conforme lo establecido en el artículo 780 de esta Ley, con copias de traslado suficientes para las partes.</w:t>
      </w:r>
    </w:p>
    <w:p>
      <w:pPr>
        <w:pStyle w:val="BodyText"/>
        <w:spacing w:after="0"/>
        <w:jc w:val="both"/>
        <w:sectPr>
          <w:pgSz w:w="12240" w:h="15840"/>
          <w:pgMar w:header="724" w:footer="712" w:top="1880" w:bottom="900" w:left="1080" w:right="1080"/>
        </w:sectPr>
      </w:pPr>
    </w:p>
    <w:p>
      <w:pPr>
        <w:pStyle w:val="BodyText"/>
        <w:spacing w:before="156"/>
        <w:rPr>
          <w:sz w:val="22"/>
        </w:rPr>
      </w:pPr>
    </w:p>
    <w:p>
      <w:pPr>
        <w:pStyle w:val="Heading2"/>
        <w:ind w:left="3946" w:right="0" w:firstLine="232"/>
        <w:jc w:val="left"/>
      </w:pPr>
      <w:r>
        <w:rPr/>
        <w:t>Sección Primera Audiencia</w:t>
      </w:r>
      <w:r>
        <w:rPr>
          <w:spacing w:val="-16"/>
        </w:rPr>
        <w:t> </w:t>
      </w:r>
      <w:r>
        <w:rPr/>
        <w:t>Preliminar</w:t>
      </w:r>
    </w:p>
    <w:p>
      <w:pPr>
        <w:spacing w:line="180" w:lineRule="exact" w:before="0"/>
        <w:ind w:left="1125"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1"/>
        <w:rPr>
          <w:rFonts w:ascii="Times New Roman"/>
          <w:i/>
          <w:sz w:val="16"/>
        </w:rPr>
      </w:pPr>
    </w:p>
    <w:p>
      <w:pPr>
        <w:spacing w:before="0"/>
        <w:ind w:left="1154"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i/>
          <w:sz w:val="16"/>
        </w:rPr>
        <w:sectPr>
          <w:type w:val="continuous"/>
          <w:pgSz w:w="12240" w:h="15840"/>
          <w:pgMar w:header="724" w:footer="712" w:top="1880" w:bottom="900" w:left="1080" w:right="1080"/>
          <w:cols w:num="2" w:equalWidth="0">
            <w:col w:w="6137" w:space="40"/>
            <w:col w:w="3903"/>
          </w:cols>
        </w:sectPr>
      </w:pPr>
    </w:p>
    <w:p>
      <w:pPr>
        <w:pStyle w:val="BodyText"/>
        <w:rPr>
          <w:rFonts w:ascii="Times New Roman"/>
          <w:i/>
        </w:rPr>
      </w:pPr>
    </w:p>
    <w:p>
      <w:pPr>
        <w:pStyle w:val="BodyText"/>
        <w:spacing w:before="63"/>
        <w:rPr>
          <w:rFonts w:ascii="Times New Roman"/>
          <w:i/>
        </w:rPr>
      </w:pPr>
    </w:p>
    <w:p>
      <w:pPr>
        <w:spacing w:before="0"/>
        <w:ind w:left="626" w:right="0" w:firstLine="0"/>
        <w:jc w:val="left"/>
        <w:rPr>
          <w:sz w:val="20"/>
        </w:rPr>
      </w:pPr>
      <w:bookmarkStart w:name="Artículo_873_E" w:id="1097"/>
      <w:bookmarkEnd w:id="1097"/>
      <w:r>
        <w:rPr/>
      </w:r>
      <w:r>
        <w:rPr>
          <w:rFonts w:ascii="Arial" w:hAnsi="Arial"/>
          <w:b/>
          <w:sz w:val="20"/>
        </w:rPr>
        <w:t>Artículo</w:t>
      </w:r>
      <w:r>
        <w:rPr>
          <w:rFonts w:ascii="Arial" w:hAnsi="Arial"/>
          <w:b/>
          <w:spacing w:val="-8"/>
          <w:sz w:val="20"/>
        </w:rPr>
        <w:t> </w:t>
      </w:r>
      <w:r>
        <w:rPr>
          <w:rFonts w:ascii="Arial" w:hAnsi="Arial"/>
          <w:b/>
          <w:sz w:val="20"/>
        </w:rPr>
        <w:t>873-E.-</w:t>
      </w:r>
      <w:r>
        <w:rPr>
          <w:rFonts w:ascii="Arial" w:hAnsi="Arial"/>
          <w:b/>
          <w:spacing w:val="-8"/>
          <w:sz w:val="20"/>
        </w:rPr>
        <w:t> </w:t>
      </w:r>
      <w:r>
        <w:rPr>
          <w:sz w:val="20"/>
        </w:rPr>
        <w:t>La</w:t>
      </w:r>
      <w:r>
        <w:rPr>
          <w:spacing w:val="-8"/>
          <w:sz w:val="20"/>
        </w:rPr>
        <w:t> </w:t>
      </w:r>
      <w:r>
        <w:rPr>
          <w:sz w:val="20"/>
        </w:rPr>
        <w:t>audiencia</w:t>
      </w:r>
      <w:r>
        <w:rPr>
          <w:spacing w:val="-9"/>
          <w:sz w:val="20"/>
        </w:rPr>
        <w:t> </w:t>
      </w:r>
      <w:r>
        <w:rPr>
          <w:sz w:val="20"/>
        </w:rPr>
        <w:t>preliminar</w:t>
      </w:r>
      <w:r>
        <w:rPr>
          <w:spacing w:val="-7"/>
          <w:sz w:val="20"/>
        </w:rPr>
        <w:t> </w:t>
      </w:r>
      <w:r>
        <w:rPr>
          <w:sz w:val="20"/>
        </w:rPr>
        <w:t>tiene</w:t>
      </w:r>
      <w:r>
        <w:rPr>
          <w:spacing w:val="-7"/>
          <w:sz w:val="20"/>
        </w:rPr>
        <w:t> </w:t>
      </w:r>
      <w:r>
        <w:rPr>
          <w:sz w:val="20"/>
        </w:rPr>
        <w:t>por</w:t>
      </w:r>
      <w:r>
        <w:rPr>
          <w:spacing w:val="-6"/>
          <w:sz w:val="20"/>
        </w:rPr>
        <w:t> </w:t>
      </w:r>
      <w:r>
        <w:rPr>
          <w:spacing w:val="-2"/>
          <w:sz w:val="20"/>
        </w:rPr>
        <w:t>objeto:</w:t>
      </w:r>
    </w:p>
    <w:p>
      <w:pPr>
        <w:pStyle w:val="BodyText"/>
        <w:spacing w:before="1"/>
      </w:pPr>
    </w:p>
    <w:p>
      <w:pPr>
        <w:pStyle w:val="ListParagraph"/>
        <w:numPr>
          <w:ilvl w:val="0"/>
          <w:numId w:val="318"/>
        </w:numPr>
        <w:tabs>
          <w:tab w:pos="984" w:val="left" w:leader="none"/>
        </w:tabs>
        <w:spacing w:line="240" w:lineRule="auto" w:before="0" w:after="0"/>
        <w:ind w:left="984" w:right="0" w:hanging="358"/>
        <w:jc w:val="left"/>
        <w:rPr>
          <w:sz w:val="20"/>
        </w:rPr>
      </w:pPr>
      <w:r>
        <w:rPr>
          <w:sz w:val="20"/>
        </w:rPr>
        <w:t>Depurar</w:t>
      </w:r>
      <w:r>
        <w:rPr>
          <w:spacing w:val="-6"/>
          <w:sz w:val="20"/>
        </w:rPr>
        <w:t> </w:t>
      </w:r>
      <w:r>
        <w:rPr>
          <w:sz w:val="20"/>
        </w:rPr>
        <w:t>el</w:t>
      </w:r>
      <w:r>
        <w:rPr>
          <w:spacing w:val="-8"/>
          <w:sz w:val="20"/>
        </w:rPr>
        <w:t> </w:t>
      </w:r>
      <w:r>
        <w:rPr>
          <w:sz w:val="20"/>
        </w:rPr>
        <w:t>procedimiento</w:t>
      </w:r>
      <w:r>
        <w:rPr>
          <w:spacing w:val="-5"/>
          <w:sz w:val="20"/>
        </w:rPr>
        <w:t> </w:t>
      </w:r>
      <w:r>
        <w:rPr>
          <w:sz w:val="20"/>
        </w:rPr>
        <w:t>y</w:t>
      </w:r>
      <w:r>
        <w:rPr>
          <w:spacing w:val="-9"/>
          <w:sz w:val="20"/>
        </w:rPr>
        <w:t> </w:t>
      </w:r>
      <w:r>
        <w:rPr>
          <w:sz w:val="20"/>
        </w:rPr>
        <w:t>resolver</w:t>
      </w:r>
      <w:r>
        <w:rPr>
          <w:spacing w:val="-9"/>
          <w:sz w:val="20"/>
        </w:rPr>
        <w:t> </w:t>
      </w:r>
      <w:r>
        <w:rPr>
          <w:sz w:val="20"/>
        </w:rPr>
        <w:t>las</w:t>
      </w:r>
      <w:r>
        <w:rPr>
          <w:spacing w:val="-7"/>
          <w:sz w:val="20"/>
        </w:rPr>
        <w:t> </w:t>
      </w:r>
      <w:r>
        <w:rPr>
          <w:sz w:val="20"/>
        </w:rPr>
        <w:t>excepciones</w:t>
      </w:r>
      <w:r>
        <w:rPr>
          <w:spacing w:val="-8"/>
          <w:sz w:val="20"/>
        </w:rPr>
        <w:t> </w:t>
      </w:r>
      <w:r>
        <w:rPr>
          <w:sz w:val="20"/>
        </w:rPr>
        <w:t>dilatorias</w:t>
      </w:r>
      <w:r>
        <w:rPr>
          <w:spacing w:val="-8"/>
          <w:sz w:val="20"/>
        </w:rPr>
        <w:t> </w:t>
      </w:r>
      <w:r>
        <w:rPr>
          <w:sz w:val="20"/>
        </w:rPr>
        <w:t>planteadas</w:t>
      </w:r>
      <w:r>
        <w:rPr>
          <w:spacing w:val="-5"/>
          <w:sz w:val="20"/>
        </w:rPr>
        <w:t> </w:t>
      </w:r>
      <w:r>
        <w:rPr>
          <w:sz w:val="20"/>
        </w:rPr>
        <w:t>por</w:t>
      </w:r>
      <w:r>
        <w:rPr>
          <w:spacing w:val="-8"/>
          <w:sz w:val="20"/>
        </w:rPr>
        <w:t> </w:t>
      </w:r>
      <w:r>
        <w:rPr>
          <w:sz w:val="20"/>
        </w:rPr>
        <w:t>las</w:t>
      </w:r>
      <w:r>
        <w:rPr>
          <w:spacing w:val="-6"/>
          <w:sz w:val="20"/>
        </w:rPr>
        <w:t> </w:t>
      </w:r>
      <w:r>
        <w:rPr>
          <w:spacing w:val="-2"/>
          <w:sz w:val="20"/>
        </w:rPr>
        <w:t>partes;</w:t>
      </w:r>
    </w:p>
    <w:p>
      <w:pPr>
        <w:pStyle w:val="BodyText"/>
        <w:spacing w:before="1"/>
      </w:pPr>
    </w:p>
    <w:p>
      <w:pPr>
        <w:pStyle w:val="ListParagraph"/>
        <w:numPr>
          <w:ilvl w:val="0"/>
          <w:numId w:val="318"/>
        </w:numPr>
        <w:tabs>
          <w:tab w:pos="984" w:val="left" w:leader="none"/>
        </w:tabs>
        <w:spacing w:line="240" w:lineRule="auto" w:before="0" w:after="0"/>
        <w:ind w:left="984" w:right="0" w:hanging="358"/>
        <w:jc w:val="left"/>
        <w:rPr>
          <w:sz w:val="20"/>
        </w:rPr>
      </w:pPr>
      <w:r>
        <w:rPr>
          <w:sz w:val="20"/>
        </w:rPr>
        <w:t>Establecer</w:t>
      </w:r>
      <w:r>
        <w:rPr>
          <w:spacing w:val="-7"/>
          <w:sz w:val="20"/>
        </w:rPr>
        <w:t> </w:t>
      </w:r>
      <w:r>
        <w:rPr>
          <w:sz w:val="20"/>
        </w:rPr>
        <w:t>los</w:t>
      </w:r>
      <w:r>
        <w:rPr>
          <w:spacing w:val="-6"/>
          <w:sz w:val="20"/>
        </w:rPr>
        <w:t> </w:t>
      </w:r>
      <w:r>
        <w:rPr>
          <w:sz w:val="20"/>
        </w:rPr>
        <w:t>hechos</w:t>
      </w:r>
      <w:r>
        <w:rPr>
          <w:spacing w:val="-6"/>
          <w:sz w:val="20"/>
        </w:rPr>
        <w:t> </w:t>
      </w:r>
      <w:r>
        <w:rPr>
          <w:sz w:val="20"/>
        </w:rPr>
        <w:t>no</w:t>
      </w:r>
      <w:r>
        <w:rPr>
          <w:spacing w:val="-8"/>
          <w:sz w:val="20"/>
        </w:rPr>
        <w:t> </w:t>
      </w:r>
      <w:r>
        <w:rPr>
          <w:spacing w:val="-2"/>
          <w:sz w:val="20"/>
        </w:rPr>
        <w:t>controvertidos;</w:t>
      </w:r>
    </w:p>
    <w:p>
      <w:pPr>
        <w:pStyle w:val="ListParagraph"/>
        <w:numPr>
          <w:ilvl w:val="0"/>
          <w:numId w:val="318"/>
        </w:numPr>
        <w:tabs>
          <w:tab w:pos="984" w:val="left" w:leader="none"/>
        </w:tabs>
        <w:spacing w:line="240" w:lineRule="auto" w:before="228" w:after="0"/>
        <w:ind w:left="984" w:right="0" w:hanging="358"/>
        <w:jc w:val="left"/>
        <w:rPr>
          <w:sz w:val="20"/>
        </w:rPr>
      </w:pPr>
      <w:r>
        <w:rPr>
          <w:sz w:val="20"/>
        </w:rPr>
        <w:t>Admitir</w:t>
      </w:r>
      <w:r>
        <w:rPr>
          <w:spacing w:val="-6"/>
          <w:sz w:val="20"/>
        </w:rPr>
        <w:t> </w:t>
      </w:r>
      <w:r>
        <w:rPr>
          <w:sz w:val="20"/>
        </w:rPr>
        <w:t>o</w:t>
      </w:r>
      <w:r>
        <w:rPr>
          <w:spacing w:val="-7"/>
          <w:sz w:val="20"/>
        </w:rPr>
        <w:t> </w:t>
      </w:r>
      <w:r>
        <w:rPr>
          <w:sz w:val="20"/>
        </w:rPr>
        <w:t>desechar</w:t>
      </w:r>
      <w:r>
        <w:rPr>
          <w:spacing w:val="-6"/>
          <w:sz w:val="20"/>
        </w:rPr>
        <w:t> </w:t>
      </w:r>
      <w:r>
        <w:rPr>
          <w:sz w:val="20"/>
        </w:rPr>
        <w:t>las</w:t>
      </w:r>
      <w:r>
        <w:rPr>
          <w:spacing w:val="-6"/>
          <w:sz w:val="20"/>
        </w:rPr>
        <w:t> </w:t>
      </w:r>
      <w:r>
        <w:rPr>
          <w:sz w:val="20"/>
        </w:rPr>
        <w:t>pruebas</w:t>
      </w:r>
      <w:r>
        <w:rPr>
          <w:spacing w:val="-5"/>
          <w:sz w:val="20"/>
        </w:rPr>
        <w:t> </w:t>
      </w:r>
      <w:r>
        <w:rPr>
          <w:sz w:val="20"/>
        </w:rPr>
        <w:t>ofrecidas</w:t>
      </w:r>
      <w:r>
        <w:rPr>
          <w:spacing w:val="-6"/>
          <w:sz w:val="20"/>
        </w:rPr>
        <w:t> </w:t>
      </w:r>
      <w:r>
        <w:rPr>
          <w:sz w:val="20"/>
        </w:rPr>
        <w:t>por</w:t>
      </w:r>
      <w:r>
        <w:rPr>
          <w:spacing w:val="-6"/>
          <w:sz w:val="20"/>
        </w:rPr>
        <w:t> </w:t>
      </w:r>
      <w:r>
        <w:rPr>
          <w:sz w:val="20"/>
        </w:rPr>
        <w:t>las</w:t>
      </w:r>
      <w:r>
        <w:rPr>
          <w:spacing w:val="-6"/>
          <w:sz w:val="20"/>
        </w:rPr>
        <w:t> </w:t>
      </w:r>
      <w:r>
        <w:rPr>
          <w:sz w:val="20"/>
        </w:rPr>
        <w:t>partes,</w:t>
      </w:r>
      <w:r>
        <w:rPr>
          <w:spacing w:val="-6"/>
          <w:sz w:val="20"/>
        </w:rPr>
        <w:t> </w:t>
      </w:r>
      <w:r>
        <w:rPr>
          <w:sz w:val="20"/>
        </w:rPr>
        <w:t>según</w:t>
      </w:r>
      <w:r>
        <w:rPr>
          <w:spacing w:val="-8"/>
          <w:sz w:val="20"/>
        </w:rPr>
        <w:t> </w:t>
      </w:r>
      <w:r>
        <w:rPr>
          <w:sz w:val="20"/>
        </w:rPr>
        <w:t>sea</w:t>
      </w:r>
      <w:r>
        <w:rPr>
          <w:spacing w:val="-6"/>
          <w:sz w:val="20"/>
        </w:rPr>
        <w:t> </w:t>
      </w:r>
      <w:r>
        <w:rPr>
          <w:sz w:val="20"/>
        </w:rPr>
        <w:t>el</w:t>
      </w:r>
      <w:r>
        <w:rPr>
          <w:spacing w:val="-8"/>
          <w:sz w:val="20"/>
        </w:rPr>
        <w:t> </w:t>
      </w:r>
      <w:r>
        <w:rPr>
          <w:spacing w:val="-2"/>
          <w:sz w:val="20"/>
        </w:rPr>
        <w:t>caso;</w:t>
      </w:r>
    </w:p>
    <w:p>
      <w:pPr>
        <w:pStyle w:val="BodyText"/>
        <w:spacing w:before="1"/>
      </w:pPr>
    </w:p>
    <w:p>
      <w:pPr>
        <w:pStyle w:val="ListParagraph"/>
        <w:numPr>
          <w:ilvl w:val="0"/>
          <w:numId w:val="318"/>
        </w:numPr>
        <w:tabs>
          <w:tab w:pos="984" w:val="left" w:leader="none"/>
        </w:tabs>
        <w:spacing w:line="240" w:lineRule="auto" w:before="0" w:after="0"/>
        <w:ind w:left="984" w:right="0" w:hanging="358"/>
        <w:jc w:val="left"/>
        <w:rPr>
          <w:sz w:val="20"/>
        </w:rPr>
      </w:pPr>
      <w:r>
        <w:rPr>
          <w:sz w:val="20"/>
        </w:rPr>
        <w:t>Citar</w:t>
      </w:r>
      <w:r>
        <w:rPr>
          <w:spacing w:val="-7"/>
          <w:sz w:val="20"/>
        </w:rPr>
        <w:t> </w:t>
      </w:r>
      <w:r>
        <w:rPr>
          <w:sz w:val="20"/>
        </w:rPr>
        <w:t>para</w:t>
      </w:r>
      <w:r>
        <w:rPr>
          <w:spacing w:val="-7"/>
          <w:sz w:val="20"/>
        </w:rPr>
        <w:t> </w:t>
      </w:r>
      <w:r>
        <w:rPr>
          <w:sz w:val="20"/>
        </w:rPr>
        <w:t>audiencia</w:t>
      </w:r>
      <w:r>
        <w:rPr>
          <w:spacing w:val="-7"/>
          <w:sz w:val="20"/>
        </w:rPr>
        <w:t> </w:t>
      </w:r>
      <w:r>
        <w:rPr>
          <w:sz w:val="20"/>
        </w:rPr>
        <w:t>de</w:t>
      </w:r>
      <w:r>
        <w:rPr>
          <w:spacing w:val="-7"/>
          <w:sz w:val="20"/>
        </w:rPr>
        <w:t> </w:t>
      </w:r>
      <w:r>
        <w:rPr>
          <w:spacing w:val="-2"/>
          <w:sz w:val="20"/>
        </w:rPr>
        <w:t>juicio;</w:t>
      </w:r>
    </w:p>
    <w:p>
      <w:pPr>
        <w:pStyle w:val="BodyText"/>
        <w:spacing w:before="1"/>
      </w:pPr>
    </w:p>
    <w:p>
      <w:pPr>
        <w:pStyle w:val="ListParagraph"/>
        <w:numPr>
          <w:ilvl w:val="0"/>
          <w:numId w:val="318"/>
        </w:numPr>
        <w:tabs>
          <w:tab w:pos="984" w:val="left" w:leader="none"/>
        </w:tabs>
        <w:spacing w:line="229" w:lineRule="exact" w:before="0" w:after="0"/>
        <w:ind w:left="984" w:right="0" w:hanging="358"/>
        <w:jc w:val="left"/>
        <w:rPr>
          <w:sz w:val="20"/>
        </w:rPr>
      </w:pPr>
      <w:r>
        <w:rPr>
          <w:sz w:val="20"/>
        </w:rPr>
        <w:t>Resolver</w:t>
      </w:r>
      <w:r>
        <w:rPr>
          <w:spacing w:val="-7"/>
          <w:sz w:val="20"/>
        </w:rPr>
        <w:t> </w:t>
      </w:r>
      <w:r>
        <w:rPr>
          <w:sz w:val="20"/>
        </w:rPr>
        <w:t>el</w:t>
      </w:r>
      <w:r>
        <w:rPr>
          <w:spacing w:val="-8"/>
          <w:sz w:val="20"/>
        </w:rPr>
        <w:t> </w:t>
      </w:r>
      <w:r>
        <w:rPr>
          <w:sz w:val="20"/>
        </w:rPr>
        <w:t>recurso</w:t>
      </w:r>
      <w:r>
        <w:rPr>
          <w:spacing w:val="-7"/>
          <w:sz w:val="20"/>
        </w:rPr>
        <w:t> </w:t>
      </w:r>
      <w:r>
        <w:rPr>
          <w:sz w:val="20"/>
        </w:rPr>
        <w:t>de</w:t>
      </w:r>
      <w:r>
        <w:rPr>
          <w:spacing w:val="-7"/>
          <w:sz w:val="20"/>
        </w:rPr>
        <w:t> </w:t>
      </w:r>
      <w:r>
        <w:rPr>
          <w:sz w:val="20"/>
        </w:rPr>
        <w:t>reconsideración</w:t>
      </w:r>
      <w:r>
        <w:rPr>
          <w:spacing w:val="-8"/>
          <w:sz w:val="20"/>
        </w:rPr>
        <w:t> </w:t>
      </w:r>
      <w:r>
        <w:rPr>
          <w:sz w:val="20"/>
        </w:rPr>
        <w:t>contra</w:t>
      </w:r>
      <w:r>
        <w:rPr>
          <w:spacing w:val="-5"/>
          <w:sz w:val="20"/>
        </w:rPr>
        <w:t> </w:t>
      </w:r>
      <w:r>
        <w:rPr>
          <w:sz w:val="20"/>
        </w:rPr>
        <w:t>los</w:t>
      </w:r>
      <w:r>
        <w:rPr>
          <w:spacing w:val="-6"/>
          <w:sz w:val="20"/>
        </w:rPr>
        <w:t> </w:t>
      </w:r>
      <w:r>
        <w:rPr>
          <w:sz w:val="20"/>
        </w:rPr>
        <w:t>actos</w:t>
      </w:r>
      <w:r>
        <w:rPr>
          <w:spacing w:val="-7"/>
          <w:sz w:val="20"/>
        </w:rPr>
        <w:t> </w:t>
      </w:r>
      <w:r>
        <w:rPr>
          <w:sz w:val="20"/>
        </w:rPr>
        <w:t>u</w:t>
      </w:r>
      <w:r>
        <w:rPr>
          <w:spacing w:val="-7"/>
          <w:sz w:val="20"/>
        </w:rPr>
        <w:t> </w:t>
      </w:r>
      <w:r>
        <w:rPr>
          <w:sz w:val="20"/>
        </w:rPr>
        <w:t>omisiones</w:t>
      </w:r>
      <w:r>
        <w:rPr>
          <w:spacing w:val="-7"/>
          <w:sz w:val="20"/>
        </w:rPr>
        <w:t> </w:t>
      </w:r>
      <w:r>
        <w:rPr>
          <w:sz w:val="20"/>
        </w:rPr>
        <w:t>del</w:t>
      </w:r>
      <w:r>
        <w:rPr>
          <w:spacing w:val="-7"/>
          <w:sz w:val="20"/>
        </w:rPr>
        <w:t> </w:t>
      </w:r>
      <w:r>
        <w:rPr>
          <w:sz w:val="20"/>
        </w:rPr>
        <w:t>secretario</w:t>
      </w:r>
      <w:r>
        <w:rPr>
          <w:spacing w:val="-7"/>
          <w:sz w:val="20"/>
        </w:rPr>
        <w:t> </w:t>
      </w:r>
      <w:r>
        <w:rPr>
          <w:spacing w:val="-2"/>
          <w:sz w:val="20"/>
        </w:rPr>
        <w:t>instructor.</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spacing w:before="1"/>
        <w:ind w:left="626" w:right="0" w:firstLine="0"/>
        <w:jc w:val="left"/>
        <w:rPr>
          <w:sz w:val="20"/>
        </w:rPr>
      </w:pPr>
      <w:bookmarkStart w:name="Artículo_873_F" w:id="1098"/>
      <w:bookmarkEnd w:id="1098"/>
      <w:r>
        <w:rPr/>
      </w:r>
      <w:r>
        <w:rPr>
          <w:rFonts w:ascii="Arial" w:hAnsi="Arial"/>
          <w:b/>
          <w:sz w:val="20"/>
        </w:rPr>
        <w:t>Artículo</w:t>
      </w:r>
      <w:r>
        <w:rPr>
          <w:rFonts w:ascii="Arial" w:hAnsi="Arial"/>
          <w:b/>
          <w:spacing w:val="-7"/>
          <w:sz w:val="20"/>
        </w:rPr>
        <w:t> </w:t>
      </w:r>
      <w:r>
        <w:rPr>
          <w:rFonts w:ascii="Arial" w:hAnsi="Arial"/>
          <w:b/>
          <w:sz w:val="20"/>
        </w:rPr>
        <w:t>873-F.-</w:t>
      </w:r>
      <w:r>
        <w:rPr>
          <w:rFonts w:ascii="Arial" w:hAnsi="Arial"/>
          <w:b/>
          <w:spacing w:val="-7"/>
          <w:sz w:val="20"/>
        </w:rPr>
        <w:t> </w:t>
      </w:r>
      <w:r>
        <w:rPr>
          <w:sz w:val="20"/>
        </w:rPr>
        <w:t>La</w:t>
      </w:r>
      <w:r>
        <w:rPr>
          <w:spacing w:val="-6"/>
          <w:sz w:val="20"/>
        </w:rPr>
        <w:t> </w:t>
      </w:r>
      <w:r>
        <w:rPr>
          <w:sz w:val="20"/>
        </w:rPr>
        <w:t>audiencia</w:t>
      </w:r>
      <w:r>
        <w:rPr>
          <w:spacing w:val="-7"/>
          <w:sz w:val="20"/>
        </w:rPr>
        <w:t> </w:t>
      </w:r>
      <w:r>
        <w:rPr>
          <w:sz w:val="20"/>
        </w:rPr>
        <w:t>preliminar</w:t>
      </w:r>
      <w:r>
        <w:rPr>
          <w:spacing w:val="-7"/>
          <w:sz w:val="20"/>
        </w:rPr>
        <w:t> </w:t>
      </w:r>
      <w:r>
        <w:rPr>
          <w:sz w:val="20"/>
        </w:rPr>
        <w:t>se</w:t>
      </w:r>
      <w:r>
        <w:rPr>
          <w:spacing w:val="-8"/>
          <w:sz w:val="20"/>
        </w:rPr>
        <w:t> </w:t>
      </w:r>
      <w:r>
        <w:rPr>
          <w:sz w:val="20"/>
        </w:rPr>
        <w:t>desarrollará</w:t>
      </w:r>
      <w:r>
        <w:rPr>
          <w:spacing w:val="-7"/>
          <w:sz w:val="20"/>
        </w:rPr>
        <w:t> </w:t>
      </w:r>
      <w:r>
        <w:rPr>
          <w:sz w:val="20"/>
        </w:rPr>
        <w:t>conforme</w:t>
      </w:r>
      <w:r>
        <w:rPr>
          <w:spacing w:val="-8"/>
          <w:sz w:val="20"/>
        </w:rPr>
        <w:t> </w:t>
      </w:r>
      <w:r>
        <w:rPr>
          <w:sz w:val="20"/>
        </w:rPr>
        <w:t>a</w:t>
      </w:r>
      <w:r>
        <w:rPr>
          <w:spacing w:val="-8"/>
          <w:sz w:val="20"/>
        </w:rPr>
        <w:t> </w:t>
      </w:r>
      <w:r>
        <w:rPr>
          <w:sz w:val="20"/>
        </w:rPr>
        <w:t>lo</w:t>
      </w:r>
      <w:r>
        <w:rPr>
          <w:spacing w:val="-8"/>
          <w:sz w:val="20"/>
        </w:rPr>
        <w:t> </w:t>
      </w:r>
      <w:r>
        <w:rPr>
          <w:spacing w:val="-2"/>
          <w:sz w:val="20"/>
        </w:rPr>
        <w:t>siguiente:</w:t>
      </w:r>
    </w:p>
    <w:p>
      <w:pPr>
        <w:pStyle w:val="ListParagraph"/>
        <w:numPr>
          <w:ilvl w:val="1"/>
          <w:numId w:val="318"/>
        </w:numPr>
        <w:tabs>
          <w:tab w:pos="1193" w:val="left" w:leader="none"/>
          <w:tab w:pos="1195" w:val="left" w:leader="none"/>
        </w:tabs>
        <w:spacing w:line="242" w:lineRule="auto" w:before="228" w:after="0"/>
        <w:ind w:left="1195" w:right="342" w:hanging="569"/>
        <w:jc w:val="both"/>
        <w:rPr>
          <w:sz w:val="20"/>
        </w:rPr>
      </w:pPr>
      <w:r>
        <w:rPr>
          <w:sz w:val="20"/>
        </w:rPr>
        <w:t>Las partes comparecerán personalmente o por conducto de apoderado ante el Tribunal; en</w:t>
      </w:r>
      <w:r>
        <w:rPr>
          <w:spacing w:val="40"/>
          <w:sz w:val="20"/>
        </w:rPr>
        <w:t> </w:t>
      </w:r>
      <w:r>
        <w:rPr>
          <w:sz w:val="20"/>
        </w:rPr>
        <w:t>caso de hacerlo por su cuenta deberán estar asistidas por Licenciado en Derecho o abogado titulado con cédula profesional, o pasante de derecho, a fin de garantizar su debida defensa.</w:t>
      </w:r>
    </w:p>
    <w:p>
      <w:pPr>
        <w:pStyle w:val="BodyText"/>
        <w:spacing w:before="227"/>
        <w:ind w:left="1195" w:right="337"/>
        <w:jc w:val="both"/>
      </w:pPr>
      <w:r>
        <w:rPr/>
        <w:t>Si las partes no comparecen por sí mismas o por conducto de sus apoderados, se tendrán por consentidas las actuaciones judiciales que en cada etapa sucedan y quedarán precluídos los derechos procesales que debieron ejercitarse en cada una de las etapas de la audiencia. El tribunal determinará el inicio y la conclusión de cada una de las etapas de la audiencia;</w:t>
      </w:r>
    </w:p>
    <w:p>
      <w:pPr>
        <w:pStyle w:val="ListParagraph"/>
        <w:numPr>
          <w:ilvl w:val="1"/>
          <w:numId w:val="318"/>
        </w:numPr>
        <w:tabs>
          <w:tab w:pos="1192" w:val="left" w:leader="none"/>
          <w:tab w:pos="1195" w:val="left" w:leader="none"/>
        </w:tabs>
        <w:spacing w:line="240" w:lineRule="auto" w:before="227" w:after="0"/>
        <w:ind w:left="1195" w:right="342" w:hanging="569"/>
        <w:jc w:val="both"/>
        <w:rPr>
          <w:sz w:val="20"/>
        </w:rPr>
      </w:pPr>
      <w:r>
        <w:rPr>
          <w:sz w:val="20"/>
        </w:rPr>
        <w:t>La audiencia preliminar se desahogará con la comparecencia de las partes que se encuentren presentes al inicio. Las que no hayan comparecido en su apertura, podrán hacerlo en el momento en que se presenten, siempre y</w:t>
      </w:r>
      <w:r>
        <w:rPr>
          <w:spacing w:val="-2"/>
          <w:sz w:val="20"/>
        </w:rPr>
        <w:t> </w:t>
      </w:r>
      <w:r>
        <w:rPr>
          <w:sz w:val="20"/>
        </w:rPr>
        <w:t>cuando no se haya emitido el acuerdo de cierre de la audiencia. Si las partes no comparecen se efectuará la audiencia con los elementos que se disponga en autos;</w:t>
      </w:r>
    </w:p>
    <w:p>
      <w:pPr>
        <w:pStyle w:val="BodyText"/>
        <w:spacing w:before="1"/>
      </w:pPr>
    </w:p>
    <w:p>
      <w:pPr>
        <w:pStyle w:val="ListParagraph"/>
        <w:numPr>
          <w:ilvl w:val="1"/>
          <w:numId w:val="318"/>
        </w:numPr>
        <w:tabs>
          <w:tab w:pos="1191" w:val="left" w:leader="none"/>
          <w:tab w:pos="1195" w:val="left" w:leader="none"/>
        </w:tabs>
        <w:spacing w:line="242" w:lineRule="auto" w:before="0" w:after="0"/>
        <w:ind w:left="1195" w:right="335" w:hanging="569"/>
        <w:jc w:val="both"/>
        <w:rPr>
          <w:sz w:val="20"/>
        </w:rPr>
      </w:pPr>
      <w:r>
        <w:rPr>
          <w:sz w:val="20"/>
        </w:rPr>
        <w:t>El Tribunal examinará las cuestiones relativas a la legitimación procesal y resolverá las excepciones procesales que se hayan hecho valer, con el fin de depurar el procedimiento;</w:t>
      </w:r>
    </w:p>
    <w:p>
      <w:pPr>
        <w:pStyle w:val="ListParagraph"/>
        <w:numPr>
          <w:ilvl w:val="1"/>
          <w:numId w:val="318"/>
        </w:numPr>
        <w:tabs>
          <w:tab w:pos="1195" w:val="left" w:leader="none"/>
        </w:tabs>
        <w:spacing w:line="242" w:lineRule="auto" w:before="224" w:after="0"/>
        <w:ind w:left="1195" w:right="347" w:hanging="569"/>
        <w:jc w:val="both"/>
        <w:rPr>
          <w:sz w:val="20"/>
        </w:rPr>
      </w:pPr>
      <w:r>
        <w:rPr>
          <w:sz w:val="20"/>
        </w:rPr>
        <w:t>El</w:t>
      </w:r>
      <w:r>
        <w:rPr>
          <w:spacing w:val="-3"/>
          <w:sz w:val="20"/>
        </w:rPr>
        <w:t> </w:t>
      </w:r>
      <w:r>
        <w:rPr>
          <w:sz w:val="20"/>
        </w:rPr>
        <w:t>Tribunal</w:t>
      </w:r>
      <w:r>
        <w:rPr>
          <w:spacing w:val="-3"/>
          <w:sz w:val="20"/>
        </w:rPr>
        <w:t> </w:t>
      </w:r>
      <w:r>
        <w:rPr>
          <w:sz w:val="20"/>
        </w:rPr>
        <w:t>definirá los</w:t>
      </w:r>
      <w:r>
        <w:rPr>
          <w:spacing w:val="-1"/>
          <w:sz w:val="20"/>
        </w:rPr>
        <w:t> </w:t>
      </w:r>
      <w:r>
        <w:rPr>
          <w:sz w:val="20"/>
        </w:rPr>
        <w:t>hechos</w:t>
      </w:r>
      <w:r>
        <w:rPr>
          <w:spacing w:val="-1"/>
          <w:sz w:val="20"/>
        </w:rPr>
        <w:t> </w:t>
      </w:r>
      <w:r>
        <w:rPr>
          <w:sz w:val="20"/>
        </w:rPr>
        <w:t>que no</w:t>
      </w:r>
      <w:r>
        <w:rPr>
          <w:spacing w:val="-3"/>
          <w:sz w:val="20"/>
        </w:rPr>
        <w:t> </w:t>
      </w:r>
      <w:r>
        <w:rPr>
          <w:sz w:val="20"/>
        </w:rPr>
        <w:t>sean</w:t>
      </w:r>
      <w:r>
        <w:rPr>
          <w:spacing w:val="-2"/>
          <w:sz w:val="20"/>
        </w:rPr>
        <w:t> </w:t>
      </w:r>
      <w:r>
        <w:rPr>
          <w:sz w:val="20"/>
        </w:rPr>
        <w:t>motivo</w:t>
      </w:r>
      <w:r>
        <w:rPr>
          <w:spacing w:val="-2"/>
          <w:sz w:val="20"/>
        </w:rPr>
        <w:t> </w:t>
      </w:r>
      <w:r>
        <w:rPr>
          <w:sz w:val="20"/>
        </w:rPr>
        <w:t>de controversia</w:t>
      </w:r>
      <w:r>
        <w:rPr>
          <w:spacing w:val="-2"/>
          <w:sz w:val="20"/>
        </w:rPr>
        <w:t> </w:t>
      </w:r>
      <w:r>
        <w:rPr>
          <w:sz w:val="20"/>
        </w:rPr>
        <w:t>con</w:t>
      </w:r>
      <w:r>
        <w:rPr>
          <w:spacing w:val="-3"/>
          <w:sz w:val="20"/>
        </w:rPr>
        <w:t> </w:t>
      </w:r>
      <w:r>
        <w:rPr>
          <w:sz w:val="20"/>
        </w:rPr>
        <w:t>el</w:t>
      </w:r>
      <w:r>
        <w:rPr>
          <w:spacing w:val="-3"/>
          <w:sz w:val="20"/>
        </w:rPr>
        <w:t> </w:t>
      </w:r>
      <w:r>
        <w:rPr>
          <w:sz w:val="20"/>
        </w:rPr>
        <w:t>fin</w:t>
      </w:r>
      <w:r>
        <w:rPr>
          <w:spacing w:val="-2"/>
          <w:sz w:val="20"/>
        </w:rPr>
        <w:t> </w:t>
      </w:r>
      <w:r>
        <w:rPr>
          <w:sz w:val="20"/>
        </w:rPr>
        <w:t>de</w:t>
      </w:r>
      <w:r>
        <w:rPr>
          <w:spacing w:val="-2"/>
          <w:sz w:val="20"/>
        </w:rPr>
        <w:t> </w:t>
      </w:r>
      <w:r>
        <w:rPr>
          <w:sz w:val="20"/>
        </w:rPr>
        <w:t>que</w:t>
      </w:r>
      <w:r>
        <w:rPr>
          <w:spacing w:val="-2"/>
          <w:sz w:val="20"/>
        </w:rPr>
        <w:t> </w:t>
      </w:r>
      <w:r>
        <w:rPr>
          <w:sz w:val="20"/>
        </w:rPr>
        <w:t>las</w:t>
      </w:r>
      <w:r>
        <w:rPr>
          <w:spacing w:val="-1"/>
          <w:sz w:val="20"/>
        </w:rPr>
        <w:t> </w:t>
      </w:r>
      <w:r>
        <w:rPr>
          <w:sz w:val="20"/>
        </w:rPr>
        <w:t>pruebas que se admitan se dirijan a los hechos sujetos a debate;</w:t>
      </w:r>
    </w:p>
    <w:p>
      <w:pPr>
        <w:pStyle w:val="ListParagraph"/>
        <w:numPr>
          <w:ilvl w:val="1"/>
          <w:numId w:val="318"/>
        </w:numPr>
        <w:tabs>
          <w:tab w:pos="1195" w:val="left" w:leader="none"/>
        </w:tabs>
        <w:spacing w:line="240" w:lineRule="auto" w:before="227" w:after="0"/>
        <w:ind w:left="1195" w:right="334" w:hanging="569"/>
        <w:jc w:val="both"/>
        <w:rPr>
          <w:sz w:val="20"/>
        </w:rPr>
      </w:pPr>
      <w:r>
        <w:rPr>
          <w:sz w:val="20"/>
        </w:rPr>
        <w:t>En seguida, el Tribunal resolverá la admisión de las pruebas ofrecidas por las partes, admitirá las que tengan relación con la litis y desechará las inútiles, intrascendentes o que no guarden relación con los hechos controvertidos, expresando el motivo de ello; asimismo, establecerá la forma en que deberán prepararse las pruebas que admita para su desahogo la audiencia de juicio o las que se realizarán fuera de las instalaciones del Tribunal, cuando proceda en los términos de esta Ley. El Tribunal fijará día y hora para la celebración de la audiencia de juicio, que deberá efectuarse dentro del lapso de veinte días siguientes a la emisión del acuerdo respectivo, si se admiten pruebas que deban desahogarse fuera de las instalaciones del Tribunal, señalará la fecha y hora en que se desarrollarán las diligencias, proveyendo en relación a las mismas;</w:t>
      </w:r>
    </w:p>
    <w:p>
      <w:pPr>
        <w:pStyle w:val="BodyText"/>
      </w:pPr>
    </w:p>
    <w:p>
      <w:pPr>
        <w:pStyle w:val="ListParagraph"/>
        <w:numPr>
          <w:ilvl w:val="1"/>
          <w:numId w:val="318"/>
        </w:numPr>
        <w:tabs>
          <w:tab w:pos="1195" w:val="left" w:leader="none"/>
        </w:tabs>
        <w:spacing w:line="240" w:lineRule="auto" w:before="0" w:after="0"/>
        <w:ind w:left="1195" w:right="339" w:hanging="569"/>
        <w:jc w:val="both"/>
        <w:rPr>
          <w:sz w:val="20"/>
        </w:rPr>
      </w:pPr>
      <w:r>
        <w:rPr>
          <w:sz w:val="20"/>
        </w:rPr>
        <w:t>La preparación de las pruebas será ordenada por el Tribunal, salvo aquellas que queden a cargo de las partes, por lo que la audiencia de juicio no se diferirá por falta de preparación,</w:t>
      </w:r>
      <w:r>
        <w:rPr>
          <w:spacing w:val="40"/>
          <w:sz w:val="20"/>
        </w:rPr>
        <w:t> </w:t>
      </w:r>
      <w:r>
        <w:rPr>
          <w:sz w:val="20"/>
        </w:rPr>
        <w:t>salvo caso fortuito o fuerza mayor. La citación de los testigos a que se refiere el artículo 813 de esta Ley, quedará a cargo de su oferente, salvo que por causa justificada deba practicarse mediante notificación personal, la que se efectuará con al menos tres días de anticipación a la</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195" w:right="340"/>
        <w:jc w:val="both"/>
      </w:pPr>
      <w:r>
        <w:rPr/>
        <w:t>audiencia, sin contar el día en que reciban la citación, ni el de la audiencia. El Tribunal, a solicitud del oferente, podrá expedir oficios o citaciones a fin de que éste los entregue por su cuenta y bajo su responsabilidad, con el objeto de que se preparen debidamente las pruebas y puedan desahogarse en la audiencia de juicio;</w:t>
      </w:r>
    </w:p>
    <w:p>
      <w:pPr>
        <w:pStyle w:val="BodyText"/>
      </w:pPr>
    </w:p>
    <w:p>
      <w:pPr>
        <w:pStyle w:val="ListParagraph"/>
        <w:numPr>
          <w:ilvl w:val="1"/>
          <w:numId w:val="318"/>
        </w:numPr>
        <w:tabs>
          <w:tab w:pos="1193" w:val="left" w:leader="none"/>
          <w:tab w:pos="1195" w:val="left" w:leader="none"/>
        </w:tabs>
        <w:spacing w:line="240" w:lineRule="auto" w:before="0" w:after="0"/>
        <w:ind w:left="1195" w:right="341" w:hanging="569"/>
        <w:jc w:val="both"/>
        <w:rPr>
          <w:sz w:val="20"/>
        </w:rPr>
      </w:pPr>
      <w:r>
        <w:rPr>
          <w:sz w:val="20"/>
        </w:rPr>
        <w:t>Solamente en casos excepcionales, cuando debido a la naturaleza de las pruebas admitidas el Tribunal considere bajo su más estricta responsabilidad que no es posible su desahogo en una sola audiencia, en el mismo acuerdo en el que las admita, señalará los días y horas en que deberán desahogarse, aunque no guarden</w:t>
      </w:r>
      <w:r>
        <w:rPr>
          <w:spacing w:val="-2"/>
          <w:sz w:val="20"/>
        </w:rPr>
        <w:t> </w:t>
      </w:r>
      <w:r>
        <w:rPr>
          <w:sz w:val="20"/>
        </w:rPr>
        <w:t>el orden</w:t>
      </w:r>
      <w:r>
        <w:rPr>
          <w:spacing w:val="-2"/>
          <w:sz w:val="20"/>
        </w:rPr>
        <w:t> </w:t>
      </w:r>
      <w:r>
        <w:rPr>
          <w:sz w:val="20"/>
        </w:rPr>
        <w:t>en</w:t>
      </w:r>
      <w:r>
        <w:rPr>
          <w:spacing w:val="-2"/>
          <w:sz w:val="20"/>
        </w:rPr>
        <w:t> </w:t>
      </w:r>
      <w:r>
        <w:rPr>
          <w:sz w:val="20"/>
        </w:rPr>
        <w:t>que</w:t>
      </w:r>
      <w:r>
        <w:rPr>
          <w:spacing w:val="-3"/>
          <w:sz w:val="20"/>
        </w:rPr>
        <w:t> </w:t>
      </w:r>
      <w:r>
        <w:rPr>
          <w:sz w:val="20"/>
        </w:rPr>
        <w:t>fueron ofrecidas,</w:t>
      </w:r>
      <w:r>
        <w:rPr>
          <w:spacing w:val="-2"/>
          <w:sz w:val="20"/>
        </w:rPr>
        <w:t> </w:t>
      </w:r>
      <w:r>
        <w:rPr>
          <w:sz w:val="20"/>
        </w:rPr>
        <w:t>procurando</w:t>
      </w:r>
      <w:r>
        <w:rPr>
          <w:spacing w:val="-1"/>
          <w:sz w:val="20"/>
        </w:rPr>
        <w:t> </w:t>
      </w:r>
      <w:r>
        <w:rPr>
          <w:sz w:val="20"/>
        </w:rPr>
        <w:t>que</w:t>
      </w:r>
      <w:r>
        <w:rPr>
          <w:spacing w:val="-2"/>
          <w:sz w:val="20"/>
        </w:rPr>
        <w:t> </w:t>
      </w:r>
      <w:r>
        <w:rPr>
          <w:sz w:val="20"/>
        </w:rPr>
        <w:t>se reciban primero las del actor y luego las del demandado, y</w:t>
      </w:r>
    </w:p>
    <w:p>
      <w:pPr>
        <w:pStyle w:val="BodyText"/>
      </w:pPr>
    </w:p>
    <w:p>
      <w:pPr>
        <w:pStyle w:val="ListParagraph"/>
        <w:numPr>
          <w:ilvl w:val="1"/>
          <w:numId w:val="318"/>
        </w:numPr>
        <w:tabs>
          <w:tab w:pos="1193" w:val="left" w:leader="none"/>
          <w:tab w:pos="1195" w:val="left" w:leader="none"/>
        </w:tabs>
        <w:spacing w:line="240" w:lineRule="auto" w:before="0" w:after="0"/>
        <w:ind w:left="1195" w:right="345" w:hanging="569"/>
        <w:jc w:val="both"/>
        <w:rPr>
          <w:sz w:val="20"/>
        </w:rPr>
      </w:pPr>
      <w:r>
        <w:rPr>
          <w:sz w:val="20"/>
        </w:rPr>
        <w:t>Si las partes están de acuerdo con los hechos y la controversia queda reducida a un punto de derecho, se declarará cerrada la instrucción turnándose los autos a resolución.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338" w:right="342" w:firstLine="288"/>
        <w:jc w:val="both"/>
      </w:pPr>
      <w:bookmarkStart w:name="Artículo_873_G" w:id="1099"/>
      <w:bookmarkEnd w:id="1099"/>
      <w:r>
        <w:rPr/>
      </w:r>
      <w:r>
        <w:rPr>
          <w:rFonts w:ascii="Arial" w:hAnsi="Arial"/>
          <w:b/>
        </w:rPr>
        <w:t>Artículo 873-G.- </w:t>
      </w:r>
      <w:r>
        <w:rPr/>
        <w:t>El</w:t>
      </w:r>
      <w:r>
        <w:rPr>
          <w:spacing w:val="-1"/>
        </w:rPr>
        <w:t> </w:t>
      </w:r>
      <w:r>
        <w:rPr/>
        <w:t>tribunal girará los oficios y</w:t>
      </w:r>
      <w:r>
        <w:rPr>
          <w:spacing w:val="-3"/>
        </w:rPr>
        <w:t> </w:t>
      </w:r>
      <w:r>
        <w:rPr/>
        <w:t>exhortos necesarios para</w:t>
      </w:r>
      <w:r>
        <w:rPr>
          <w:spacing w:val="-1"/>
        </w:rPr>
        <w:t> </w:t>
      </w:r>
      <w:r>
        <w:rPr/>
        <w:t>recabar los informes o</w:t>
      </w:r>
      <w:r>
        <w:rPr>
          <w:spacing w:val="-1"/>
        </w:rPr>
        <w:t> </w:t>
      </w:r>
      <w:r>
        <w:rPr/>
        <w:t>copias que deba expedir alguna autoridad o exhibir terceros ajenos al juicio, que haya solicitado el oferente, con los apercibimientos señalados en esta Ley; asimismo dictará las medidas necesarias a fin de que el día de la audiencia se desahoguen las pruebas admitidas, conforme a lo siguiente:</w:t>
      </w:r>
    </w:p>
    <w:p>
      <w:pPr>
        <w:pStyle w:val="ListParagraph"/>
        <w:numPr>
          <w:ilvl w:val="2"/>
          <w:numId w:val="318"/>
        </w:numPr>
        <w:tabs>
          <w:tab w:pos="984" w:val="left" w:leader="none"/>
          <w:tab w:pos="986" w:val="left" w:leader="none"/>
        </w:tabs>
        <w:spacing w:line="240" w:lineRule="auto" w:before="229" w:after="0"/>
        <w:ind w:left="986" w:right="345" w:hanging="360"/>
        <w:jc w:val="both"/>
        <w:rPr>
          <w:sz w:val="20"/>
        </w:rPr>
      </w:pPr>
      <w:r>
        <w:rPr>
          <w:sz w:val="20"/>
        </w:rPr>
        <w:t>Si se tratare de autoridades, el Tribunal las requerirá para que envíen los documentos o copias; si no cumplieren con ello, el Tribunal dictará las medidas de apremio conducentes, sin perjuicio de dar vista del incumplimiento al superior jerárquico del servidor público omiso, y en su caso al órgano de control competente, y</w:t>
      </w:r>
    </w:p>
    <w:p>
      <w:pPr>
        <w:pStyle w:val="ListParagraph"/>
        <w:numPr>
          <w:ilvl w:val="2"/>
          <w:numId w:val="318"/>
        </w:numPr>
        <w:tabs>
          <w:tab w:pos="984" w:val="left" w:leader="none"/>
          <w:tab w:pos="986" w:val="left" w:leader="none"/>
        </w:tabs>
        <w:spacing w:line="242" w:lineRule="auto" w:before="230" w:after="0"/>
        <w:ind w:left="986" w:right="341" w:hanging="360"/>
        <w:jc w:val="both"/>
        <w:rPr>
          <w:sz w:val="20"/>
        </w:rPr>
      </w:pPr>
      <w:r>
        <w:rPr>
          <w:sz w:val="20"/>
        </w:rPr>
        <w:t>Si se trata de terceros, el Tribunal dictará las medidas de apremio correspondientes, hasta que se logre la presentación de las copias o documentos requeridos.</w:t>
      </w:r>
    </w:p>
    <w:p>
      <w:pPr>
        <w:pStyle w:val="ListParagraph"/>
        <w:spacing w:after="0" w:line="242" w:lineRule="auto"/>
        <w:jc w:val="both"/>
        <w:rPr>
          <w:sz w:val="20"/>
        </w:rPr>
        <w:sectPr>
          <w:pgSz w:w="12240" w:h="15840"/>
          <w:pgMar w:header="724" w:footer="712" w:top="1880" w:bottom="900" w:left="1080" w:right="1080"/>
        </w:sectPr>
      </w:pPr>
    </w:p>
    <w:p>
      <w:pPr>
        <w:pStyle w:val="BodyText"/>
        <w:spacing w:before="154"/>
        <w:rPr>
          <w:sz w:val="22"/>
        </w:rPr>
      </w:pPr>
    </w:p>
    <w:p>
      <w:pPr>
        <w:pStyle w:val="Heading2"/>
        <w:ind w:left="4006" w:right="0" w:firstLine="117"/>
        <w:jc w:val="left"/>
      </w:pPr>
      <w:r>
        <w:rPr/>
        <w:t>Sección Segunda Audiencia</w:t>
      </w:r>
      <w:r>
        <w:rPr>
          <w:spacing w:val="-16"/>
        </w:rPr>
        <w:t> </w:t>
      </w:r>
      <w:r>
        <w:rPr/>
        <w:t>de</w:t>
      </w:r>
      <w:r>
        <w:rPr>
          <w:spacing w:val="-15"/>
        </w:rPr>
        <w:t> </w:t>
      </w:r>
      <w:r>
        <w:rPr/>
        <w:t>Juicio</w:t>
      </w:r>
    </w:p>
    <w:p>
      <w:pPr>
        <w:spacing w:line="178" w:lineRule="exact" w:before="0"/>
        <w:ind w:left="1187"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2"/>
        <w:rPr>
          <w:rFonts w:ascii="Times New Roman"/>
          <w:i/>
          <w:sz w:val="16"/>
        </w:rPr>
      </w:pPr>
    </w:p>
    <w:p>
      <w:pPr>
        <w:spacing w:before="0"/>
        <w:ind w:left="1216"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jc w:val="left"/>
        <w:rPr>
          <w:rFonts w:ascii="Times New Roman" w:hAnsi="Times New Roman"/>
          <w:i/>
          <w:sz w:val="16"/>
        </w:rPr>
        <w:sectPr>
          <w:type w:val="continuous"/>
          <w:pgSz w:w="12240" w:h="15840"/>
          <w:pgMar w:header="724" w:footer="712" w:top="1880" w:bottom="900" w:left="1080" w:right="1080"/>
          <w:cols w:num="2" w:equalWidth="0">
            <w:col w:w="6075" w:space="40"/>
            <w:col w:w="3965"/>
          </w:cols>
        </w:sectPr>
      </w:pPr>
    </w:p>
    <w:p>
      <w:pPr>
        <w:pStyle w:val="BodyText"/>
        <w:spacing w:before="229"/>
        <w:ind w:left="338" w:right="337" w:firstLine="288"/>
        <w:jc w:val="both"/>
      </w:pPr>
      <w:bookmarkStart w:name="Artículo_873_H" w:id="1100"/>
      <w:bookmarkEnd w:id="1100"/>
      <w:r>
        <w:rPr/>
      </w:r>
      <w:r>
        <w:rPr>
          <w:rFonts w:ascii="Arial" w:hAnsi="Arial"/>
          <w:b/>
        </w:rPr>
        <w:t>Artículo 873-H.- </w:t>
      </w:r>
      <w:r>
        <w:rPr/>
        <w:t>La audiencia de juicio se desahogará con la comparecencia de las partes que estén presentes en su apertura. Las que no hayan comparecido en su inicio, podrán intervenir en el momento en que se presenten, siempre que el juez no la haya dado por concluida. Si las partes no comparecen se efectuará la audiencia con los elementos que se disponga en autos y se harán efectivos los apercibimientos realizados previamente a las partes.</w:t>
      </w:r>
    </w:p>
    <w:p>
      <w:pPr>
        <w:pStyle w:val="BodyText"/>
        <w:spacing w:before="2"/>
      </w:pPr>
    </w:p>
    <w:p>
      <w:pPr>
        <w:pStyle w:val="BodyText"/>
        <w:ind w:left="338" w:right="335" w:firstLine="288"/>
        <w:jc w:val="both"/>
      </w:pPr>
      <w:r>
        <w:rPr/>
        <w:t>El juez contará con las más amplias facultades para conducir el procedimiento; dará cuenta de la presencia de las partes que comparezcan a la audiencia, así como de los testigos y peritos que intervendrán; De igual forma, verificará la disponibilidad de los documentos a exhibirse y moderará el desarrollo de las manifestaciones de quienes intervengan en la audiencia; en su caso, analizará y calificará las pruebas que presenten las partes como supervenientes para su admisión o desechamiento según corresponda.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626"/>
      </w:pPr>
      <w:bookmarkStart w:name="Artículo_873_I" w:id="1101"/>
      <w:bookmarkEnd w:id="1101"/>
      <w:r>
        <w:rPr/>
      </w:r>
      <w:r>
        <w:rPr>
          <w:rFonts w:ascii="Arial" w:hAnsi="Arial"/>
          <w:b/>
        </w:rPr>
        <w:t>Artículo</w:t>
      </w:r>
      <w:r>
        <w:rPr>
          <w:rFonts w:ascii="Arial" w:hAnsi="Arial"/>
          <w:b/>
          <w:spacing w:val="-6"/>
        </w:rPr>
        <w:t> </w:t>
      </w:r>
      <w:r>
        <w:rPr>
          <w:rFonts w:ascii="Arial" w:hAnsi="Arial"/>
          <w:b/>
        </w:rPr>
        <w:t>873-I.-</w:t>
      </w:r>
      <w:r>
        <w:rPr>
          <w:rFonts w:ascii="Arial" w:hAnsi="Arial"/>
          <w:b/>
          <w:spacing w:val="-4"/>
        </w:rPr>
        <w:t> </w:t>
      </w:r>
      <w:r>
        <w:rPr/>
        <w:t>El</w:t>
      </w:r>
      <w:r>
        <w:rPr>
          <w:spacing w:val="-7"/>
        </w:rPr>
        <w:t> </w:t>
      </w:r>
      <w:r>
        <w:rPr/>
        <w:t>Tribunal,</w:t>
      </w:r>
      <w:r>
        <w:rPr>
          <w:spacing w:val="-7"/>
        </w:rPr>
        <w:t> </w:t>
      </w:r>
      <w:r>
        <w:rPr/>
        <w:t>abrirá</w:t>
      </w:r>
      <w:r>
        <w:rPr>
          <w:spacing w:val="-5"/>
        </w:rPr>
        <w:t> </w:t>
      </w:r>
      <w:r>
        <w:rPr/>
        <w:t>la</w:t>
      </w:r>
      <w:r>
        <w:rPr>
          <w:spacing w:val="-4"/>
        </w:rPr>
        <w:t> </w:t>
      </w:r>
      <w:r>
        <w:rPr/>
        <w:t>fase</w:t>
      </w:r>
      <w:r>
        <w:rPr>
          <w:spacing w:val="-7"/>
        </w:rPr>
        <w:t> </w:t>
      </w:r>
      <w:r>
        <w:rPr/>
        <w:t>de</w:t>
      </w:r>
      <w:r>
        <w:rPr>
          <w:spacing w:val="-7"/>
        </w:rPr>
        <w:t> </w:t>
      </w:r>
      <w:r>
        <w:rPr/>
        <w:t>desahogo</w:t>
      </w:r>
      <w:r>
        <w:rPr>
          <w:spacing w:val="-6"/>
        </w:rPr>
        <w:t> </w:t>
      </w:r>
      <w:r>
        <w:rPr/>
        <w:t>de</w:t>
      </w:r>
      <w:r>
        <w:rPr>
          <w:spacing w:val="-5"/>
        </w:rPr>
        <w:t> </w:t>
      </w:r>
      <w:r>
        <w:rPr/>
        <w:t>pruebas,</w:t>
      </w:r>
      <w:r>
        <w:rPr>
          <w:spacing w:val="-6"/>
        </w:rPr>
        <w:t> </w:t>
      </w:r>
      <w:r>
        <w:rPr/>
        <w:t>conforme</w:t>
      </w:r>
      <w:r>
        <w:rPr>
          <w:spacing w:val="-7"/>
        </w:rPr>
        <w:t> </w:t>
      </w:r>
      <w:r>
        <w:rPr/>
        <w:t>a</w:t>
      </w:r>
      <w:r>
        <w:rPr>
          <w:spacing w:val="-7"/>
        </w:rPr>
        <w:t> </w:t>
      </w:r>
      <w:r>
        <w:rPr/>
        <w:t>lo</w:t>
      </w:r>
      <w:r>
        <w:rPr>
          <w:spacing w:val="-7"/>
        </w:rPr>
        <w:t> </w:t>
      </w:r>
      <w:r>
        <w:rPr>
          <w:spacing w:val="-2"/>
        </w:rPr>
        <w:t>siguiente:</w:t>
      </w:r>
    </w:p>
    <w:p>
      <w:pPr>
        <w:pStyle w:val="ListParagraph"/>
        <w:numPr>
          <w:ilvl w:val="3"/>
          <w:numId w:val="318"/>
        </w:numPr>
        <w:tabs>
          <w:tab w:pos="1195" w:val="left" w:leader="none"/>
        </w:tabs>
        <w:spacing w:line="242" w:lineRule="auto" w:before="229" w:after="0"/>
        <w:ind w:left="1195" w:right="346" w:hanging="569"/>
        <w:jc w:val="left"/>
        <w:rPr>
          <w:sz w:val="20"/>
        </w:rPr>
      </w:pPr>
      <w:r>
        <w:rPr>
          <w:sz w:val="20"/>
        </w:rPr>
        <w:t>Se</w:t>
      </w:r>
      <w:r>
        <w:rPr>
          <w:spacing w:val="40"/>
          <w:sz w:val="20"/>
        </w:rPr>
        <w:t> </w:t>
      </w:r>
      <w:r>
        <w:rPr>
          <w:sz w:val="20"/>
        </w:rPr>
        <w:t>procederá</w:t>
      </w:r>
      <w:r>
        <w:rPr>
          <w:spacing w:val="40"/>
          <w:sz w:val="20"/>
        </w:rPr>
        <w:t> </w:t>
      </w:r>
      <w:r>
        <w:rPr>
          <w:sz w:val="20"/>
        </w:rPr>
        <w:t>a</w:t>
      </w:r>
      <w:r>
        <w:rPr>
          <w:spacing w:val="40"/>
          <w:sz w:val="20"/>
        </w:rPr>
        <w:t> </w:t>
      </w:r>
      <w:r>
        <w:rPr>
          <w:sz w:val="20"/>
        </w:rPr>
        <w:t>desahogar</w:t>
      </w:r>
      <w:r>
        <w:rPr>
          <w:spacing w:val="40"/>
          <w:sz w:val="20"/>
        </w:rPr>
        <w:t> </w:t>
      </w:r>
      <w:r>
        <w:rPr>
          <w:sz w:val="20"/>
        </w:rPr>
        <w:t>todas</w:t>
      </w:r>
      <w:r>
        <w:rPr>
          <w:spacing w:val="40"/>
          <w:sz w:val="20"/>
        </w:rPr>
        <w:t> </w:t>
      </w:r>
      <w:r>
        <w:rPr>
          <w:sz w:val="20"/>
        </w:rPr>
        <w:t>las</w:t>
      </w:r>
      <w:r>
        <w:rPr>
          <w:spacing w:val="40"/>
          <w:sz w:val="20"/>
        </w:rPr>
        <w:t> </w:t>
      </w:r>
      <w:r>
        <w:rPr>
          <w:sz w:val="20"/>
        </w:rPr>
        <w:t>pruebas</w:t>
      </w:r>
      <w:r>
        <w:rPr>
          <w:spacing w:val="40"/>
          <w:sz w:val="20"/>
        </w:rPr>
        <w:t> </w:t>
      </w:r>
      <w:r>
        <w:rPr>
          <w:sz w:val="20"/>
        </w:rPr>
        <w:t>que</w:t>
      </w:r>
      <w:r>
        <w:rPr>
          <w:spacing w:val="40"/>
          <w:sz w:val="20"/>
        </w:rPr>
        <w:t> </w:t>
      </w:r>
      <w:r>
        <w:rPr>
          <w:sz w:val="20"/>
        </w:rPr>
        <w:t>se</w:t>
      </w:r>
      <w:r>
        <w:rPr>
          <w:spacing w:val="40"/>
          <w:sz w:val="20"/>
        </w:rPr>
        <w:t> </w:t>
      </w:r>
      <w:r>
        <w:rPr>
          <w:sz w:val="20"/>
        </w:rPr>
        <w:t>encuentren</w:t>
      </w:r>
      <w:r>
        <w:rPr>
          <w:spacing w:val="39"/>
          <w:sz w:val="20"/>
        </w:rPr>
        <w:t> </w:t>
      </w:r>
      <w:r>
        <w:rPr>
          <w:sz w:val="20"/>
        </w:rPr>
        <w:t>debidamente</w:t>
      </w:r>
      <w:r>
        <w:rPr>
          <w:spacing w:val="39"/>
          <w:sz w:val="20"/>
        </w:rPr>
        <w:t> </w:t>
      </w:r>
      <w:r>
        <w:rPr>
          <w:sz w:val="20"/>
        </w:rPr>
        <w:t>preparadas, procurando que sean primero las del actor y luego las del demandado;</w:t>
      </w:r>
    </w:p>
    <w:p>
      <w:pPr>
        <w:pStyle w:val="ListParagraph"/>
        <w:spacing w:after="0" w:line="242" w:lineRule="auto"/>
        <w:jc w:val="left"/>
        <w:rPr>
          <w:sz w:val="20"/>
        </w:rPr>
        <w:sectPr>
          <w:type w:val="continuous"/>
          <w:pgSz w:w="12240" w:h="15840"/>
          <w:pgMar w:header="724" w:footer="712" w:top="1880" w:bottom="900" w:left="1080" w:right="1080"/>
        </w:sectPr>
      </w:pPr>
    </w:p>
    <w:p>
      <w:pPr>
        <w:pStyle w:val="BodyText"/>
        <w:spacing w:before="63"/>
      </w:pPr>
    </w:p>
    <w:p>
      <w:pPr>
        <w:pStyle w:val="ListParagraph"/>
        <w:numPr>
          <w:ilvl w:val="3"/>
          <w:numId w:val="318"/>
        </w:numPr>
        <w:tabs>
          <w:tab w:pos="1192" w:val="left" w:leader="none"/>
          <w:tab w:pos="1195" w:val="left" w:leader="none"/>
        </w:tabs>
        <w:spacing w:line="240" w:lineRule="auto" w:before="0" w:after="0"/>
        <w:ind w:left="1195" w:right="338" w:hanging="569"/>
        <w:jc w:val="both"/>
        <w:rPr>
          <w:sz w:val="20"/>
        </w:rPr>
      </w:pPr>
      <w:r>
        <w:rPr>
          <w:sz w:val="20"/>
        </w:rPr>
        <w:t>Si alguna de las pruebas admitidas no se encontrara debidamente preparada y estuviera a cargo de las partes, se declarará la deserción de la misma, salvo causa justificada, en cuyo</w:t>
      </w:r>
      <w:r>
        <w:rPr>
          <w:spacing w:val="40"/>
          <w:sz w:val="20"/>
        </w:rPr>
        <w:t> </w:t>
      </w:r>
      <w:r>
        <w:rPr>
          <w:sz w:val="20"/>
        </w:rPr>
        <w:t>caso el juez señalará nuevo día y hora para su desahogo dentro de los diez días siguientes; para ello, deberá tomará las medidas conducentes y podrá hacer uso de las medidas de apremio que estime necesarias para lograr el desahogo de las pruebas admitidas y evitar la dilación del juicio, y</w:t>
      </w:r>
    </w:p>
    <w:p>
      <w:pPr>
        <w:pStyle w:val="ListParagraph"/>
        <w:numPr>
          <w:ilvl w:val="3"/>
          <w:numId w:val="318"/>
        </w:numPr>
        <w:tabs>
          <w:tab w:pos="1191" w:val="left" w:leader="none"/>
          <w:tab w:pos="1195" w:val="left" w:leader="none"/>
        </w:tabs>
        <w:spacing w:line="242" w:lineRule="auto" w:before="226" w:after="0"/>
        <w:ind w:left="1195" w:right="337" w:hanging="569"/>
        <w:jc w:val="both"/>
        <w:rPr>
          <w:sz w:val="20"/>
        </w:rPr>
      </w:pPr>
      <w:r>
        <w:rPr>
          <w:sz w:val="20"/>
        </w:rPr>
        <w:t>El juez deberá requerir a la persona que comparezca a desahogar la prueba correspondiente para que se identifique con cualquier documento oficial; y, si no lo hace en el momento de la audiencia, se le concederán tres días para ello, apercibiéndola de que en caso contrario se dejará sin efectos la declaración correspondiente.</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338" w:right="342" w:firstLine="288"/>
        <w:jc w:val="both"/>
      </w:pPr>
      <w:bookmarkStart w:name="Artículo_873_J" w:id="1102"/>
      <w:bookmarkEnd w:id="1102"/>
      <w:r>
        <w:rPr/>
      </w:r>
      <w:r>
        <w:rPr>
          <w:rFonts w:ascii="Arial" w:hAnsi="Arial"/>
          <w:b/>
        </w:rPr>
        <w:t>Artículo 873-J.- </w:t>
      </w:r>
      <w:r>
        <w:rPr/>
        <w:t>Concluido el desahogo de pruebas, el secretario del Tribunal hará la certificación respectiva. En caso de que las partes señalen que queda alguna prueba pendiente de desahogar, el juez resolverá de plano y de advertir alguna omisión al respecto, ordenará su desahogo. Una vez hecho lo anterior, el juez otorgará sucesivamente el uso de la voz a las partes, para que formulen de manera concisa y breve sus alegatos.</w:t>
      </w:r>
    </w:p>
    <w:p>
      <w:pPr>
        <w:pStyle w:val="BodyText"/>
        <w:spacing w:before="2"/>
      </w:pPr>
    </w:p>
    <w:p>
      <w:pPr>
        <w:pStyle w:val="BodyText"/>
        <w:ind w:left="338" w:right="336" w:firstLine="288"/>
        <w:jc w:val="both"/>
      </w:pPr>
      <w:r>
        <w:rPr/>
        <w:t>Realizados que sean los alegatos de las partes, el Tribunal declarará cerrada la etapa de juicio y emitirá la sentencia en la misma audiencia, con lo que se pondrá fin al procedimiento. El texto de la resolución deberá ponerse a disposición de las partes en la misma audiencia. Solamente en casos excepcionales y que así se justifique por el cúmulo de hechos controvertidos o bien de las pruebas rendidas, el Tribunal emitirá sentencia dentro de los cinco días siguientes al de la celebración de la audiencia de juicio.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338" w:right="339" w:firstLine="288"/>
        <w:jc w:val="both"/>
      </w:pPr>
      <w:bookmarkStart w:name="Artículo_873_K" w:id="1103"/>
      <w:bookmarkEnd w:id="1103"/>
      <w:r>
        <w:rPr/>
      </w:r>
      <w:r>
        <w:rPr>
          <w:rFonts w:ascii="Arial" w:hAnsi="Arial"/>
          <w:b/>
        </w:rPr>
        <w:t>Artículo 873-K.- </w:t>
      </w:r>
      <w:r>
        <w:rPr/>
        <w:t>Contra las resoluciones pronunciadas en el procedimiento ordinario laboral, no procederá recurso alguno, salvo el recurso de reconsideración contra los actos del secretario instructor establecido en el artículo 871, de esta Ley. No obstante, ya sea de oficio o a petición de parte, el juez podrá subsanar las omisiones o errores en que hubiere incurrido, o bien podrá precisar algún punto,</w:t>
      </w:r>
      <w:r>
        <w:rPr>
          <w:spacing w:val="40"/>
        </w:rPr>
        <w:t> </w:t>
      </w:r>
      <w:r>
        <w:rPr/>
        <w:t>hasta antes de dictar sentencia; asimismo, podrá aclarar ésta una vez que se haya emitido.</w:t>
      </w:r>
    </w:p>
    <w:p>
      <w:pPr>
        <w:pStyle w:val="BodyText"/>
        <w:spacing w:before="2"/>
      </w:pPr>
    </w:p>
    <w:p>
      <w:pPr>
        <w:pStyle w:val="BodyText"/>
        <w:spacing w:before="1"/>
        <w:ind w:left="338" w:right="339" w:firstLine="288"/>
        <w:jc w:val="both"/>
      </w:pPr>
      <w:r>
        <w:rPr/>
        <w:t>Atendiendo</w:t>
      </w:r>
      <w:r>
        <w:rPr>
          <w:spacing w:val="-2"/>
        </w:rPr>
        <w:t> </w:t>
      </w:r>
      <w:r>
        <w:rPr/>
        <w:t>a</w:t>
      </w:r>
      <w:r>
        <w:rPr>
          <w:spacing w:val="-2"/>
        </w:rPr>
        <w:t> </w:t>
      </w:r>
      <w:r>
        <w:rPr/>
        <w:t>la naturaleza y</w:t>
      </w:r>
      <w:r>
        <w:rPr>
          <w:spacing w:val="-5"/>
        </w:rPr>
        <w:t> </w:t>
      </w:r>
      <w:r>
        <w:rPr/>
        <w:t>fines</w:t>
      </w:r>
      <w:r>
        <w:rPr>
          <w:spacing w:val="-1"/>
        </w:rPr>
        <w:t> </w:t>
      </w:r>
      <w:r>
        <w:rPr/>
        <w:t>del derecho laboral, el</w:t>
      </w:r>
      <w:r>
        <w:rPr>
          <w:spacing w:val="-3"/>
        </w:rPr>
        <w:t> </w:t>
      </w:r>
      <w:r>
        <w:rPr/>
        <w:t>juez</w:t>
      </w:r>
      <w:r>
        <w:rPr>
          <w:spacing w:val="-3"/>
        </w:rPr>
        <w:t> </w:t>
      </w:r>
      <w:r>
        <w:rPr/>
        <w:t>deberá</w:t>
      </w:r>
      <w:r>
        <w:rPr>
          <w:spacing w:val="-2"/>
        </w:rPr>
        <w:t> </w:t>
      </w:r>
      <w:r>
        <w:rPr/>
        <w:t>asumir</w:t>
      </w:r>
      <w:r>
        <w:rPr>
          <w:spacing w:val="-1"/>
        </w:rPr>
        <w:t> </w:t>
      </w:r>
      <w:r>
        <w:rPr/>
        <w:t>un</w:t>
      </w:r>
      <w:r>
        <w:rPr>
          <w:spacing w:val="-3"/>
        </w:rPr>
        <w:t> </w:t>
      </w:r>
      <w:r>
        <w:rPr/>
        <w:t>desempeño</w:t>
      </w:r>
      <w:r>
        <w:rPr>
          <w:spacing w:val="-3"/>
        </w:rPr>
        <w:t> </w:t>
      </w:r>
      <w:r>
        <w:rPr/>
        <w:t>proactivo, en el que impulse permanentemente el procedimiento, evitando que las deficiencias o inconsistencias formales cometidas durante su desarrollo trasciendan en perjuicio de las partes provocando su dilación a futuro, por lo que de advertirlas podrá subsanarlas. En todo momento se fomentará la conciliación como</w:t>
      </w:r>
      <w:r>
        <w:rPr>
          <w:spacing w:val="40"/>
        </w:rPr>
        <w:t> </w:t>
      </w:r>
      <w:r>
        <w:rPr/>
        <w:t>la vía privilegiada para la solución del conflicto.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5" w:firstLine="288"/>
        <w:jc w:val="both"/>
      </w:pPr>
      <w:bookmarkStart w:name="Artículo_874" w:id="1104"/>
      <w:bookmarkEnd w:id="1104"/>
      <w:r>
        <w:rPr/>
      </w:r>
      <w:r>
        <w:rPr>
          <w:rFonts w:ascii="Arial" w:hAnsi="Arial"/>
          <w:b/>
        </w:rPr>
        <w:t>Artículo 874.- </w:t>
      </w:r>
      <w:r>
        <w:rPr/>
        <w:t>La falta de notificación de alguno o de todos los demandados, obliga al Tribunal a señalar de oficio</w:t>
      </w:r>
      <w:r>
        <w:rPr>
          <w:spacing w:val="-1"/>
        </w:rPr>
        <w:t> </w:t>
      </w:r>
      <w:r>
        <w:rPr/>
        <w:t>nuevo</w:t>
      </w:r>
      <w:r>
        <w:rPr>
          <w:spacing w:val="-1"/>
        </w:rPr>
        <w:t> </w:t>
      </w:r>
      <w:r>
        <w:rPr/>
        <w:t>día y</w:t>
      </w:r>
      <w:r>
        <w:rPr>
          <w:spacing w:val="-4"/>
        </w:rPr>
        <w:t> </w:t>
      </w:r>
      <w:r>
        <w:rPr/>
        <w:t>hora</w:t>
      </w:r>
      <w:r>
        <w:rPr>
          <w:spacing w:val="-1"/>
        </w:rPr>
        <w:t> </w:t>
      </w:r>
      <w:r>
        <w:rPr/>
        <w:t>para</w:t>
      </w:r>
      <w:r>
        <w:rPr>
          <w:spacing w:val="-1"/>
        </w:rPr>
        <w:t> </w:t>
      </w:r>
      <w:r>
        <w:rPr/>
        <w:t>la celebración de</w:t>
      </w:r>
      <w:r>
        <w:rPr>
          <w:spacing w:val="-2"/>
        </w:rPr>
        <w:t> </w:t>
      </w:r>
      <w:r>
        <w:rPr/>
        <w:t>la</w:t>
      </w:r>
      <w:r>
        <w:rPr>
          <w:spacing w:val="-1"/>
        </w:rPr>
        <w:t> </w:t>
      </w:r>
      <w:r>
        <w:rPr/>
        <w:t>audiencia,</w:t>
      </w:r>
      <w:r>
        <w:rPr>
          <w:spacing w:val="-1"/>
        </w:rPr>
        <w:t> </w:t>
      </w:r>
      <w:r>
        <w:rPr/>
        <w:t>salvo que las partes concurran a</w:t>
      </w:r>
      <w:r>
        <w:rPr>
          <w:spacing w:val="-1"/>
        </w:rPr>
        <w:t> </w:t>
      </w:r>
      <w:r>
        <w:rPr/>
        <w:t>la misma o cuando el actor se desista de las acciones intentadas en contra de los demandados que no hayan sido notificados.</w:t>
      </w:r>
    </w:p>
    <w:p>
      <w:pPr>
        <w:pStyle w:val="BodyText"/>
        <w:spacing w:before="3"/>
      </w:pPr>
    </w:p>
    <w:p>
      <w:pPr>
        <w:pStyle w:val="BodyText"/>
        <w:ind w:left="338" w:right="346" w:firstLine="288"/>
        <w:jc w:val="both"/>
      </w:pPr>
      <w:r>
        <w:rPr/>
        <w:t>Las partes que comparecieren a la audiencia, quedarán notificadas de la nueva fecha para su celebración, a las que fueron notificadas y no concurrieron, se les notificará por boletín o en estrados del Tribunal; y las que no fueron notificadas se les hará personalmente.</w:t>
      </w:r>
    </w:p>
    <w:p>
      <w:pPr>
        <w:spacing w:line="180"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0"/>
        <w:ind w:left="626" w:right="0" w:firstLine="0"/>
        <w:jc w:val="left"/>
        <w:rPr>
          <w:sz w:val="20"/>
        </w:rPr>
      </w:pPr>
      <w:bookmarkStart w:name="Artículo_875" w:id="1105"/>
      <w:bookmarkEnd w:id="1105"/>
      <w:r>
        <w:rPr/>
      </w:r>
      <w:r>
        <w:rPr>
          <w:rFonts w:ascii="Arial" w:hAnsi="Arial"/>
          <w:b/>
          <w:sz w:val="20"/>
        </w:rPr>
        <w:t>Artículo</w:t>
      </w:r>
      <w:r>
        <w:rPr>
          <w:rFonts w:ascii="Arial" w:hAnsi="Arial"/>
          <w:b/>
          <w:spacing w:val="-6"/>
          <w:sz w:val="20"/>
        </w:rPr>
        <w:t> </w:t>
      </w:r>
      <w:r>
        <w:rPr>
          <w:rFonts w:ascii="Arial" w:hAnsi="Arial"/>
          <w:b/>
          <w:sz w:val="20"/>
        </w:rPr>
        <w:t>875.-</w:t>
      </w:r>
      <w:r>
        <w:rPr>
          <w:rFonts w:ascii="Arial" w:hAnsi="Arial"/>
          <w:b/>
          <w:spacing w:val="-4"/>
          <w:sz w:val="20"/>
        </w:rPr>
        <w:t> </w:t>
      </w:r>
      <w:r>
        <w:rPr>
          <w:sz w:val="20"/>
        </w:rPr>
        <w:t>Se</w:t>
      </w:r>
      <w:r>
        <w:rPr>
          <w:spacing w:val="-5"/>
          <w:sz w:val="20"/>
        </w:rPr>
        <w:t> </w:t>
      </w:r>
      <w:r>
        <w:rPr>
          <w:spacing w:val="-2"/>
          <w:sz w:val="20"/>
        </w:rPr>
        <w:t>deroga.</w:t>
      </w:r>
    </w:p>
    <w:p>
      <w:pPr>
        <w:spacing w:before="0"/>
        <w:ind w:left="46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626" w:right="0" w:firstLine="0"/>
        <w:jc w:val="left"/>
        <w:rPr>
          <w:sz w:val="20"/>
        </w:rPr>
      </w:pPr>
      <w:bookmarkStart w:name="Artículo_876" w:id="1106"/>
      <w:bookmarkEnd w:id="1106"/>
      <w:r>
        <w:rPr/>
      </w:r>
      <w:r>
        <w:rPr>
          <w:rFonts w:ascii="Arial" w:hAnsi="Arial"/>
          <w:b/>
          <w:sz w:val="20"/>
        </w:rPr>
        <w:t>Artículo</w:t>
      </w:r>
      <w:r>
        <w:rPr>
          <w:rFonts w:ascii="Arial" w:hAnsi="Arial"/>
          <w:b/>
          <w:spacing w:val="-6"/>
          <w:sz w:val="20"/>
        </w:rPr>
        <w:t> </w:t>
      </w:r>
      <w:r>
        <w:rPr>
          <w:rFonts w:ascii="Arial" w:hAnsi="Arial"/>
          <w:b/>
          <w:sz w:val="20"/>
        </w:rPr>
        <w:t>876.-</w:t>
      </w:r>
      <w:r>
        <w:rPr>
          <w:rFonts w:ascii="Arial" w:hAnsi="Arial"/>
          <w:b/>
          <w:spacing w:val="-4"/>
          <w:sz w:val="20"/>
        </w:rPr>
        <w:t> </w:t>
      </w:r>
      <w:r>
        <w:rPr>
          <w:sz w:val="20"/>
        </w:rPr>
        <w:t>Se</w:t>
      </w:r>
      <w:r>
        <w:rPr>
          <w:spacing w:val="-5"/>
          <w:sz w:val="20"/>
        </w:rPr>
        <w:t> </w:t>
      </w:r>
      <w:r>
        <w:rPr>
          <w:spacing w:val="-2"/>
          <w:sz w:val="20"/>
        </w:rPr>
        <w:t>deroga.</w:t>
      </w:r>
    </w:p>
    <w:p>
      <w:pPr>
        <w:spacing w:after="0"/>
        <w:jc w:val="left"/>
        <w:rPr>
          <w:sz w:val="20"/>
        </w:rPr>
        <w:sectPr>
          <w:pgSz w:w="12240" w:h="15840"/>
          <w:pgMar w:header="724" w:footer="712" w:top="1880" w:bottom="900" w:left="1080" w:right="1080"/>
        </w:sectPr>
      </w:pPr>
    </w:p>
    <w:p>
      <w:pPr>
        <w:pStyle w:val="BodyText"/>
        <w:spacing w:before="109"/>
        <w:rPr>
          <w:sz w:val="16"/>
        </w:rPr>
      </w:pPr>
    </w:p>
    <w:p>
      <w:pPr>
        <w:spacing w:before="0"/>
        <w:ind w:left="380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0"/>
        <w:ind w:left="626" w:right="0" w:firstLine="0"/>
        <w:jc w:val="left"/>
        <w:rPr>
          <w:sz w:val="20"/>
        </w:rPr>
      </w:pPr>
      <w:bookmarkStart w:name="Artículo_877" w:id="1107"/>
      <w:bookmarkEnd w:id="1107"/>
      <w:r>
        <w:rPr/>
      </w:r>
      <w:r>
        <w:rPr>
          <w:rFonts w:ascii="Arial" w:hAnsi="Arial"/>
          <w:b/>
          <w:sz w:val="20"/>
        </w:rPr>
        <w:t>Artículo</w:t>
      </w:r>
      <w:r>
        <w:rPr>
          <w:rFonts w:ascii="Arial" w:hAnsi="Arial"/>
          <w:b/>
          <w:spacing w:val="-6"/>
          <w:sz w:val="20"/>
        </w:rPr>
        <w:t> </w:t>
      </w:r>
      <w:r>
        <w:rPr>
          <w:rFonts w:ascii="Arial" w:hAnsi="Arial"/>
          <w:b/>
          <w:sz w:val="20"/>
        </w:rPr>
        <w:t>877.</w:t>
      </w:r>
      <w:r>
        <w:rPr>
          <w:rFonts w:ascii="Arial" w:hAnsi="Arial"/>
          <w:b/>
          <w:spacing w:val="-5"/>
          <w:sz w:val="20"/>
        </w:rPr>
        <w:t> </w:t>
      </w:r>
      <w:r>
        <w:rPr>
          <w:sz w:val="20"/>
        </w:rPr>
        <w:t>(Se</w:t>
      </w:r>
      <w:r>
        <w:rPr>
          <w:spacing w:val="-4"/>
          <w:sz w:val="20"/>
        </w:rPr>
        <w:t> </w:t>
      </w:r>
      <w:r>
        <w:rPr>
          <w:spacing w:val="-2"/>
          <w:sz w:val="20"/>
        </w:rPr>
        <w:t>deroga).</w:t>
      </w:r>
    </w:p>
    <w:p>
      <w:pPr>
        <w:spacing w:before="0"/>
        <w:ind w:left="46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before="229"/>
        <w:ind w:left="626" w:right="0" w:firstLine="0"/>
        <w:jc w:val="left"/>
        <w:rPr>
          <w:sz w:val="20"/>
        </w:rPr>
      </w:pPr>
      <w:bookmarkStart w:name="Artículo_878" w:id="1108"/>
      <w:bookmarkEnd w:id="1108"/>
      <w:r>
        <w:rPr/>
      </w:r>
      <w:r>
        <w:rPr>
          <w:rFonts w:ascii="Arial" w:hAnsi="Arial"/>
          <w:b/>
          <w:sz w:val="20"/>
        </w:rPr>
        <w:t>Artículo</w:t>
      </w:r>
      <w:r>
        <w:rPr>
          <w:rFonts w:ascii="Arial" w:hAnsi="Arial"/>
          <w:b/>
          <w:spacing w:val="-6"/>
          <w:sz w:val="20"/>
        </w:rPr>
        <w:t> </w:t>
      </w:r>
      <w:r>
        <w:rPr>
          <w:rFonts w:ascii="Arial" w:hAnsi="Arial"/>
          <w:b/>
          <w:sz w:val="20"/>
        </w:rPr>
        <w:t>878.-</w:t>
      </w:r>
      <w:r>
        <w:rPr>
          <w:rFonts w:ascii="Arial" w:hAnsi="Arial"/>
          <w:b/>
          <w:spacing w:val="-4"/>
          <w:sz w:val="20"/>
        </w:rPr>
        <w:t> </w:t>
      </w:r>
      <w:r>
        <w:rPr>
          <w:sz w:val="20"/>
        </w:rPr>
        <w:t>Se</w:t>
      </w:r>
      <w:r>
        <w:rPr>
          <w:spacing w:val="-5"/>
          <w:sz w:val="20"/>
        </w:rPr>
        <w:t> </w:t>
      </w:r>
      <w:r>
        <w:rPr>
          <w:spacing w:val="-2"/>
          <w:sz w:val="20"/>
        </w:rPr>
        <w:t>deroga.</w:t>
      </w:r>
    </w:p>
    <w:p>
      <w:pPr>
        <w:spacing w:before="1"/>
        <w:ind w:left="0" w:right="332"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24-12-1974,</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30-01-1980.</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30-11-</w:t>
      </w:r>
      <w:r>
        <w:rPr>
          <w:rFonts w:ascii="Times New Roman" w:hAnsi="Times New Roman"/>
          <w:i/>
          <w:color w:val="0000FF"/>
          <w:spacing w:val="-2"/>
          <w:sz w:val="16"/>
        </w:rPr>
        <w:t>2012.</w:t>
      </w:r>
    </w:p>
    <w:p>
      <w:pPr>
        <w:spacing w:before="0"/>
        <w:ind w:left="0" w:right="333" w:firstLine="0"/>
        <w:jc w:val="right"/>
        <w:rPr>
          <w:rFonts w:ascii="Times New Roman"/>
          <w:i/>
          <w:sz w:val="16"/>
        </w:rPr>
      </w:pPr>
      <w:r>
        <w:rPr>
          <w:rFonts w:ascii="Times New Roman"/>
          <w:i/>
          <w:color w:val="0000FF"/>
          <w:sz w:val="16"/>
        </w:rPr>
        <w:t>Derogado</w:t>
      </w:r>
      <w:r>
        <w:rPr>
          <w:rFonts w:ascii="Times New Roman"/>
          <w:i/>
          <w:color w:val="0000FF"/>
          <w:spacing w:val="-8"/>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01-05-</w:t>
      </w:r>
      <w:r>
        <w:rPr>
          <w:rFonts w:ascii="Times New Roman"/>
          <w:i/>
          <w:color w:val="0000FF"/>
          <w:spacing w:val="-4"/>
          <w:sz w:val="16"/>
        </w:rPr>
        <w:t>2019</w:t>
      </w:r>
    </w:p>
    <w:p>
      <w:pPr>
        <w:spacing w:before="229"/>
        <w:ind w:left="626" w:right="0" w:firstLine="0"/>
        <w:jc w:val="left"/>
        <w:rPr>
          <w:sz w:val="20"/>
        </w:rPr>
      </w:pPr>
      <w:bookmarkStart w:name="Artículo_879" w:id="1109"/>
      <w:bookmarkEnd w:id="1109"/>
      <w:r>
        <w:rPr/>
      </w:r>
      <w:r>
        <w:rPr>
          <w:rFonts w:ascii="Arial" w:hAnsi="Arial"/>
          <w:b/>
          <w:sz w:val="20"/>
        </w:rPr>
        <w:t>Artículo</w:t>
      </w:r>
      <w:r>
        <w:rPr>
          <w:rFonts w:ascii="Arial" w:hAnsi="Arial"/>
          <w:b/>
          <w:spacing w:val="-7"/>
          <w:sz w:val="20"/>
        </w:rPr>
        <w:t> </w:t>
      </w:r>
      <w:r>
        <w:rPr>
          <w:rFonts w:ascii="Arial" w:hAnsi="Arial"/>
          <w:b/>
          <w:sz w:val="20"/>
        </w:rPr>
        <w:t>879</w:t>
      </w:r>
      <w:r>
        <w:rPr>
          <w:sz w:val="20"/>
        </w:rPr>
        <w:t>.-</w:t>
      </w:r>
      <w:r>
        <w:rPr>
          <w:spacing w:val="-4"/>
          <w:sz w:val="20"/>
        </w:rPr>
        <w:t> </w:t>
      </w:r>
      <w:r>
        <w:rPr>
          <w:sz w:val="20"/>
        </w:rPr>
        <w:t>Se</w:t>
      </w:r>
      <w:r>
        <w:rPr>
          <w:spacing w:val="-5"/>
          <w:sz w:val="20"/>
        </w:rPr>
        <w:t> </w:t>
      </w:r>
      <w:r>
        <w:rPr>
          <w:spacing w:val="-2"/>
          <w:sz w:val="20"/>
        </w:rPr>
        <w:t>deroga.</w:t>
      </w:r>
    </w:p>
    <w:p>
      <w:pPr>
        <w:spacing w:before="1"/>
        <w:ind w:left="380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line="229" w:lineRule="exact" w:before="0"/>
        <w:ind w:left="626" w:right="0" w:firstLine="0"/>
        <w:jc w:val="left"/>
        <w:rPr>
          <w:sz w:val="20"/>
        </w:rPr>
      </w:pPr>
      <w:bookmarkStart w:name="Artículo_880" w:id="1110"/>
      <w:bookmarkEnd w:id="1110"/>
      <w:r>
        <w:rPr/>
      </w:r>
      <w:r>
        <w:rPr>
          <w:rFonts w:ascii="Arial" w:hAnsi="Arial"/>
          <w:b/>
          <w:sz w:val="20"/>
        </w:rPr>
        <w:t>Artículo</w:t>
      </w:r>
      <w:r>
        <w:rPr>
          <w:rFonts w:ascii="Arial" w:hAnsi="Arial"/>
          <w:b/>
          <w:spacing w:val="-7"/>
          <w:sz w:val="20"/>
        </w:rPr>
        <w:t> </w:t>
      </w:r>
      <w:r>
        <w:rPr>
          <w:rFonts w:ascii="Arial" w:hAnsi="Arial"/>
          <w:b/>
          <w:sz w:val="20"/>
        </w:rPr>
        <w:t>880</w:t>
      </w:r>
      <w:r>
        <w:rPr>
          <w:sz w:val="20"/>
        </w:rPr>
        <w:t>.-</w:t>
      </w:r>
      <w:r>
        <w:rPr>
          <w:spacing w:val="-4"/>
          <w:sz w:val="20"/>
        </w:rPr>
        <w:t> </w:t>
      </w:r>
      <w:r>
        <w:rPr>
          <w:sz w:val="20"/>
        </w:rPr>
        <w:t>Se</w:t>
      </w:r>
      <w:r>
        <w:rPr>
          <w:spacing w:val="-5"/>
          <w:sz w:val="20"/>
        </w:rPr>
        <w:t> </w:t>
      </w:r>
      <w:r>
        <w:rPr>
          <w:spacing w:val="-2"/>
          <w:sz w:val="20"/>
        </w:rPr>
        <w:t>deroga.</w:t>
      </w:r>
    </w:p>
    <w:p>
      <w:pPr>
        <w:spacing w:line="183" w:lineRule="exact" w:before="0"/>
        <w:ind w:left="0" w:right="332"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28-04-1978,</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2"/>
          <w:sz w:val="16"/>
        </w:rPr>
        <w:t>2012.</w:t>
      </w:r>
    </w:p>
    <w:p>
      <w:pPr>
        <w:spacing w:before="1"/>
        <w:ind w:left="0" w:right="333" w:firstLine="0"/>
        <w:jc w:val="right"/>
        <w:rPr>
          <w:rFonts w:ascii="Times New Roman"/>
          <w:i/>
          <w:sz w:val="16"/>
        </w:rPr>
      </w:pPr>
      <w:r>
        <w:rPr>
          <w:rFonts w:ascii="Times New Roman"/>
          <w:i/>
          <w:color w:val="0000FF"/>
          <w:sz w:val="16"/>
        </w:rPr>
        <w:t>Derogado</w:t>
      </w:r>
      <w:r>
        <w:rPr>
          <w:rFonts w:ascii="Times New Roman"/>
          <w:i/>
          <w:color w:val="0000FF"/>
          <w:spacing w:val="-8"/>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01-05-</w:t>
      </w:r>
      <w:r>
        <w:rPr>
          <w:rFonts w:ascii="Times New Roman"/>
          <w:i/>
          <w:color w:val="0000FF"/>
          <w:spacing w:val="-4"/>
          <w:sz w:val="16"/>
        </w:rPr>
        <w:t>2019</w:t>
      </w:r>
    </w:p>
    <w:p>
      <w:pPr>
        <w:spacing w:before="229"/>
        <w:ind w:left="626" w:right="0" w:firstLine="0"/>
        <w:jc w:val="left"/>
        <w:rPr>
          <w:sz w:val="20"/>
        </w:rPr>
      </w:pPr>
      <w:bookmarkStart w:name="Artículo_881" w:id="1111"/>
      <w:bookmarkEnd w:id="1111"/>
      <w:r>
        <w:rPr/>
      </w:r>
      <w:r>
        <w:rPr>
          <w:rFonts w:ascii="Arial" w:hAnsi="Arial"/>
          <w:b/>
          <w:sz w:val="20"/>
        </w:rPr>
        <w:t>Artículo</w:t>
      </w:r>
      <w:r>
        <w:rPr>
          <w:rFonts w:ascii="Arial" w:hAnsi="Arial"/>
          <w:b/>
          <w:spacing w:val="-6"/>
          <w:sz w:val="20"/>
        </w:rPr>
        <w:t> </w:t>
      </w:r>
      <w:r>
        <w:rPr>
          <w:rFonts w:ascii="Arial" w:hAnsi="Arial"/>
          <w:b/>
          <w:sz w:val="20"/>
        </w:rPr>
        <w:t>881.-</w:t>
      </w:r>
      <w:r>
        <w:rPr>
          <w:rFonts w:ascii="Arial" w:hAnsi="Arial"/>
          <w:b/>
          <w:spacing w:val="-4"/>
          <w:sz w:val="20"/>
        </w:rPr>
        <w:t> </w:t>
      </w:r>
      <w:r>
        <w:rPr>
          <w:sz w:val="20"/>
        </w:rPr>
        <w:t>Se</w:t>
      </w:r>
      <w:r>
        <w:rPr>
          <w:spacing w:val="-5"/>
          <w:sz w:val="20"/>
        </w:rPr>
        <w:t> </w:t>
      </w:r>
      <w:r>
        <w:rPr>
          <w:spacing w:val="-2"/>
          <w:sz w:val="20"/>
        </w:rPr>
        <w:t>deroga.</w:t>
      </w:r>
    </w:p>
    <w:p>
      <w:pPr>
        <w:spacing w:before="0"/>
        <w:ind w:left="46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line="229" w:lineRule="exact" w:before="1"/>
        <w:ind w:left="626" w:right="0" w:firstLine="0"/>
        <w:jc w:val="left"/>
        <w:rPr>
          <w:sz w:val="20"/>
        </w:rPr>
      </w:pPr>
      <w:bookmarkStart w:name="Artículo_882" w:id="1112"/>
      <w:bookmarkEnd w:id="1112"/>
      <w:r>
        <w:rPr/>
      </w:r>
      <w:r>
        <w:rPr>
          <w:rFonts w:ascii="Arial" w:hAnsi="Arial"/>
          <w:b/>
          <w:sz w:val="20"/>
        </w:rPr>
        <w:t>Artículo</w:t>
      </w:r>
      <w:r>
        <w:rPr>
          <w:rFonts w:ascii="Arial" w:hAnsi="Arial"/>
          <w:b/>
          <w:spacing w:val="-6"/>
          <w:sz w:val="20"/>
        </w:rPr>
        <w:t> </w:t>
      </w:r>
      <w:r>
        <w:rPr>
          <w:rFonts w:ascii="Arial" w:hAnsi="Arial"/>
          <w:b/>
          <w:sz w:val="20"/>
        </w:rPr>
        <w:t>882.</w:t>
      </w:r>
      <w:r>
        <w:rPr>
          <w:rFonts w:ascii="Arial" w:hAnsi="Arial"/>
          <w:b/>
          <w:spacing w:val="-5"/>
          <w:sz w:val="20"/>
        </w:rPr>
        <w:t> </w:t>
      </w:r>
      <w:r>
        <w:rPr>
          <w:sz w:val="20"/>
        </w:rPr>
        <w:t>(Se</w:t>
      </w:r>
      <w:r>
        <w:rPr>
          <w:spacing w:val="-4"/>
          <w:sz w:val="20"/>
        </w:rPr>
        <w:t> </w:t>
      </w:r>
      <w:r>
        <w:rPr>
          <w:spacing w:val="-2"/>
          <w:sz w:val="20"/>
        </w:rPr>
        <w:t>deroga).</w:t>
      </w:r>
    </w:p>
    <w:p>
      <w:pPr>
        <w:spacing w:line="183" w:lineRule="exact" w:before="0"/>
        <w:ind w:left="46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rPr>
      </w:pPr>
    </w:p>
    <w:p>
      <w:pPr>
        <w:spacing w:before="0"/>
        <w:ind w:left="626" w:right="0" w:firstLine="0"/>
        <w:jc w:val="left"/>
        <w:rPr>
          <w:sz w:val="20"/>
        </w:rPr>
      </w:pPr>
      <w:bookmarkStart w:name="Artículo_883" w:id="1113"/>
      <w:bookmarkEnd w:id="1113"/>
      <w:r>
        <w:rPr/>
      </w:r>
      <w:r>
        <w:rPr>
          <w:rFonts w:ascii="Arial" w:hAnsi="Arial"/>
          <w:b/>
          <w:sz w:val="20"/>
        </w:rPr>
        <w:t>Artículo</w:t>
      </w:r>
      <w:r>
        <w:rPr>
          <w:rFonts w:ascii="Arial" w:hAnsi="Arial"/>
          <w:b/>
          <w:spacing w:val="-6"/>
          <w:sz w:val="20"/>
        </w:rPr>
        <w:t> </w:t>
      </w:r>
      <w:r>
        <w:rPr>
          <w:rFonts w:ascii="Arial" w:hAnsi="Arial"/>
          <w:b/>
          <w:sz w:val="20"/>
        </w:rPr>
        <w:t>883.-</w:t>
      </w:r>
      <w:r>
        <w:rPr>
          <w:rFonts w:ascii="Arial" w:hAnsi="Arial"/>
          <w:b/>
          <w:spacing w:val="-4"/>
          <w:sz w:val="20"/>
        </w:rPr>
        <w:t> </w:t>
      </w:r>
      <w:r>
        <w:rPr>
          <w:sz w:val="20"/>
        </w:rPr>
        <w:t>Se</w:t>
      </w:r>
      <w:r>
        <w:rPr>
          <w:spacing w:val="-5"/>
          <w:sz w:val="20"/>
        </w:rPr>
        <w:t> </w:t>
      </w:r>
      <w:r>
        <w:rPr>
          <w:spacing w:val="-2"/>
          <w:sz w:val="20"/>
        </w:rPr>
        <w:t>deroga.</w:t>
      </w:r>
    </w:p>
    <w:p>
      <w:pPr>
        <w:spacing w:before="0"/>
        <w:ind w:left="380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626" w:right="0" w:firstLine="0"/>
        <w:jc w:val="left"/>
        <w:rPr>
          <w:sz w:val="20"/>
        </w:rPr>
      </w:pPr>
      <w:bookmarkStart w:name="Artículo_884" w:id="1114"/>
      <w:bookmarkEnd w:id="1114"/>
      <w:r>
        <w:rPr/>
      </w:r>
      <w:r>
        <w:rPr>
          <w:rFonts w:ascii="Arial" w:hAnsi="Arial"/>
          <w:b/>
          <w:sz w:val="20"/>
        </w:rPr>
        <w:t>Artículo</w:t>
      </w:r>
      <w:r>
        <w:rPr>
          <w:rFonts w:ascii="Arial" w:hAnsi="Arial"/>
          <w:b/>
          <w:spacing w:val="-6"/>
          <w:sz w:val="20"/>
        </w:rPr>
        <w:t> </w:t>
      </w:r>
      <w:r>
        <w:rPr>
          <w:rFonts w:ascii="Arial" w:hAnsi="Arial"/>
          <w:b/>
          <w:sz w:val="20"/>
        </w:rPr>
        <w:t>884.-</w:t>
      </w:r>
      <w:r>
        <w:rPr>
          <w:rFonts w:ascii="Arial" w:hAnsi="Arial"/>
          <w:b/>
          <w:spacing w:val="-4"/>
          <w:sz w:val="20"/>
        </w:rPr>
        <w:t> </w:t>
      </w:r>
      <w:r>
        <w:rPr>
          <w:sz w:val="20"/>
        </w:rPr>
        <w:t>Se</w:t>
      </w:r>
      <w:r>
        <w:rPr>
          <w:spacing w:val="-5"/>
          <w:sz w:val="20"/>
        </w:rPr>
        <w:t> </w:t>
      </w:r>
      <w:r>
        <w:rPr>
          <w:spacing w:val="-2"/>
          <w:sz w:val="20"/>
        </w:rPr>
        <w:t>deroga.</w:t>
      </w:r>
    </w:p>
    <w:p>
      <w:pPr>
        <w:spacing w:before="0"/>
        <w:ind w:left="380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2"/>
        <w:rPr>
          <w:rFonts w:ascii="Times New Roman"/>
          <w:i/>
        </w:rPr>
      </w:pPr>
    </w:p>
    <w:p>
      <w:pPr>
        <w:spacing w:line="229" w:lineRule="exact" w:before="0"/>
        <w:ind w:left="626" w:right="0" w:firstLine="0"/>
        <w:jc w:val="left"/>
        <w:rPr>
          <w:sz w:val="20"/>
        </w:rPr>
      </w:pPr>
      <w:bookmarkStart w:name="Artículo_885" w:id="1115"/>
      <w:bookmarkEnd w:id="1115"/>
      <w:r>
        <w:rPr/>
      </w:r>
      <w:r>
        <w:rPr>
          <w:rFonts w:ascii="Arial" w:hAnsi="Arial"/>
          <w:b/>
          <w:sz w:val="20"/>
        </w:rPr>
        <w:t>Artículo</w:t>
      </w:r>
      <w:r>
        <w:rPr>
          <w:rFonts w:ascii="Arial" w:hAnsi="Arial"/>
          <w:b/>
          <w:spacing w:val="-6"/>
          <w:sz w:val="20"/>
        </w:rPr>
        <w:t> </w:t>
      </w:r>
      <w:r>
        <w:rPr>
          <w:rFonts w:ascii="Arial" w:hAnsi="Arial"/>
          <w:b/>
          <w:sz w:val="20"/>
        </w:rPr>
        <w:t>885.-</w:t>
      </w:r>
      <w:r>
        <w:rPr>
          <w:rFonts w:ascii="Arial" w:hAnsi="Arial"/>
          <w:b/>
          <w:spacing w:val="-4"/>
          <w:sz w:val="20"/>
        </w:rPr>
        <w:t> </w:t>
      </w:r>
      <w:r>
        <w:rPr>
          <w:sz w:val="20"/>
        </w:rPr>
        <w:t>Se</w:t>
      </w:r>
      <w:r>
        <w:rPr>
          <w:spacing w:val="-5"/>
          <w:sz w:val="20"/>
        </w:rPr>
        <w:t> </w:t>
      </w:r>
      <w:r>
        <w:rPr>
          <w:spacing w:val="-2"/>
          <w:sz w:val="20"/>
        </w:rPr>
        <w:t>deroga.</w:t>
      </w:r>
    </w:p>
    <w:p>
      <w:pPr>
        <w:spacing w:line="183" w:lineRule="exact" w:before="0"/>
        <w:ind w:left="380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1"/>
        <w:ind w:left="626" w:right="0" w:firstLine="0"/>
        <w:jc w:val="left"/>
        <w:rPr>
          <w:sz w:val="20"/>
        </w:rPr>
      </w:pPr>
      <w:bookmarkStart w:name="Artículo_886" w:id="1116"/>
      <w:bookmarkEnd w:id="1116"/>
      <w:r>
        <w:rPr/>
      </w:r>
      <w:r>
        <w:rPr>
          <w:rFonts w:ascii="Arial" w:hAnsi="Arial"/>
          <w:b/>
          <w:sz w:val="20"/>
        </w:rPr>
        <w:t>Artículo</w:t>
      </w:r>
      <w:r>
        <w:rPr>
          <w:rFonts w:ascii="Arial" w:hAnsi="Arial"/>
          <w:b/>
          <w:spacing w:val="-7"/>
          <w:sz w:val="20"/>
        </w:rPr>
        <w:t> </w:t>
      </w:r>
      <w:r>
        <w:rPr>
          <w:rFonts w:ascii="Arial" w:hAnsi="Arial"/>
          <w:b/>
          <w:sz w:val="20"/>
        </w:rPr>
        <w:t>886</w:t>
      </w:r>
      <w:r>
        <w:rPr>
          <w:sz w:val="20"/>
        </w:rPr>
        <w:t>.-</w:t>
      </w:r>
      <w:r>
        <w:rPr>
          <w:spacing w:val="-4"/>
          <w:sz w:val="20"/>
        </w:rPr>
        <w:t> </w:t>
      </w:r>
      <w:r>
        <w:rPr>
          <w:sz w:val="20"/>
        </w:rPr>
        <w:t>Se</w:t>
      </w:r>
      <w:r>
        <w:rPr>
          <w:spacing w:val="-5"/>
          <w:sz w:val="20"/>
        </w:rPr>
        <w:t> </w:t>
      </w:r>
      <w:r>
        <w:rPr>
          <w:spacing w:val="-2"/>
          <w:sz w:val="20"/>
        </w:rPr>
        <w:t>deroga.</w:t>
      </w:r>
    </w:p>
    <w:p>
      <w:pPr>
        <w:spacing w:before="0"/>
        <w:ind w:left="380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626" w:right="0" w:firstLine="0"/>
        <w:jc w:val="left"/>
        <w:rPr>
          <w:sz w:val="20"/>
        </w:rPr>
      </w:pPr>
      <w:bookmarkStart w:name="Artículo_887" w:id="1117"/>
      <w:bookmarkEnd w:id="1117"/>
      <w:r>
        <w:rPr/>
      </w:r>
      <w:r>
        <w:rPr>
          <w:rFonts w:ascii="Arial" w:hAnsi="Arial"/>
          <w:b/>
          <w:sz w:val="20"/>
        </w:rPr>
        <w:t>Artículo</w:t>
      </w:r>
      <w:r>
        <w:rPr>
          <w:rFonts w:ascii="Arial" w:hAnsi="Arial"/>
          <w:b/>
          <w:spacing w:val="-6"/>
          <w:sz w:val="20"/>
        </w:rPr>
        <w:t> </w:t>
      </w:r>
      <w:r>
        <w:rPr>
          <w:rFonts w:ascii="Arial" w:hAnsi="Arial"/>
          <w:b/>
          <w:sz w:val="20"/>
        </w:rPr>
        <w:t>887.-</w:t>
      </w:r>
      <w:r>
        <w:rPr>
          <w:rFonts w:ascii="Arial" w:hAnsi="Arial"/>
          <w:b/>
          <w:spacing w:val="-4"/>
          <w:sz w:val="20"/>
        </w:rPr>
        <w:t> </w:t>
      </w:r>
      <w:r>
        <w:rPr>
          <w:sz w:val="20"/>
        </w:rPr>
        <w:t>Se</w:t>
      </w:r>
      <w:r>
        <w:rPr>
          <w:spacing w:val="-5"/>
          <w:sz w:val="20"/>
        </w:rPr>
        <w:t> </w:t>
      </w:r>
      <w:r>
        <w:rPr>
          <w:spacing w:val="-2"/>
          <w:sz w:val="20"/>
        </w:rPr>
        <w:t>deroga.</w:t>
      </w:r>
    </w:p>
    <w:p>
      <w:pPr>
        <w:spacing w:before="0"/>
        <w:ind w:left="380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23-12-1974,</w:t>
      </w:r>
      <w:r>
        <w:rPr>
          <w:rFonts w:ascii="Times New Roman" w:hAnsi="Times New Roman"/>
          <w:i/>
          <w:color w:val="0000FF"/>
          <w:spacing w:val="-8"/>
          <w:sz w:val="16"/>
        </w:rPr>
        <w:t> </w:t>
      </w:r>
      <w:r>
        <w:rPr>
          <w:rFonts w:ascii="Times New Roman" w:hAnsi="Times New Roman"/>
          <w:i/>
          <w:color w:val="0000FF"/>
          <w:sz w:val="16"/>
        </w:rPr>
        <w:t>28-04-1978,</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line="229" w:lineRule="exact" w:before="1"/>
        <w:ind w:left="626" w:right="0" w:firstLine="0"/>
        <w:jc w:val="left"/>
        <w:rPr>
          <w:sz w:val="20"/>
        </w:rPr>
      </w:pPr>
      <w:bookmarkStart w:name="Artículo_888" w:id="1118"/>
      <w:bookmarkEnd w:id="1118"/>
      <w:r>
        <w:rPr/>
      </w:r>
      <w:r>
        <w:rPr>
          <w:rFonts w:ascii="Arial" w:hAnsi="Arial"/>
          <w:b/>
          <w:sz w:val="20"/>
        </w:rPr>
        <w:t>Artículo</w:t>
      </w:r>
      <w:r>
        <w:rPr>
          <w:rFonts w:ascii="Arial" w:hAnsi="Arial"/>
          <w:b/>
          <w:spacing w:val="-6"/>
          <w:sz w:val="20"/>
        </w:rPr>
        <w:t> </w:t>
      </w:r>
      <w:r>
        <w:rPr>
          <w:rFonts w:ascii="Arial" w:hAnsi="Arial"/>
          <w:b/>
          <w:sz w:val="20"/>
        </w:rPr>
        <w:t>888.-</w:t>
      </w:r>
      <w:r>
        <w:rPr>
          <w:rFonts w:ascii="Arial" w:hAnsi="Arial"/>
          <w:b/>
          <w:spacing w:val="-4"/>
          <w:sz w:val="20"/>
        </w:rPr>
        <w:t> </w:t>
      </w:r>
      <w:r>
        <w:rPr>
          <w:sz w:val="20"/>
        </w:rPr>
        <w:t>Se</w:t>
      </w:r>
      <w:r>
        <w:rPr>
          <w:spacing w:val="-5"/>
          <w:sz w:val="20"/>
        </w:rPr>
        <w:t> </w:t>
      </w:r>
      <w:r>
        <w:rPr>
          <w:spacing w:val="-2"/>
          <w:sz w:val="20"/>
        </w:rPr>
        <w:t>deroga.</w:t>
      </w:r>
    </w:p>
    <w:p>
      <w:pPr>
        <w:spacing w:line="183" w:lineRule="exact" w:before="0"/>
        <w:ind w:left="46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0"/>
        <w:ind w:left="626" w:right="0" w:firstLine="0"/>
        <w:jc w:val="left"/>
        <w:rPr>
          <w:sz w:val="20"/>
        </w:rPr>
      </w:pPr>
      <w:bookmarkStart w:name="Artículo_889" w:id="1119"/>
      <w:bookmarkEnd w:id="1119"/>
      <w:r>
        <w:rPr/>
      </w:r>
      <w:r>
        <w:rPr>
          <w:rFonts w:ascii="Arial" w:hAnsi="Arial"/>
          <w:b/>
          <w:sz w:val="20"/>
        </w:rPr>
        <w:t>Artículo</w:t>
      </w:r>
      <w:r>
        <w:rPr>
          <w:rFonts w:ascii="Arial" w:hAnsi="Arial"/>
          <w:b/>
          <w:spacing w:val="-6"/>
          <w:sz w:val="20"/>
        </w:rPr>
        <w:t> </w:t>
      </w:r>
      <w:r>
        <w:rPr>
          <w:rFonts w:ascii="Arial" w:hAnsi="Arial"/>
          <w:b/>
          <w:sz w:val="20"/>
        </w:rPr>
        <w:t>889.-</w:t>
      </w:r>
      <w:r>
        <w:rPr>
          <w:rFonts w:ascii="Arial" w:hAnsi="Arial"/>
          <w:b/>
          <w:spacing w:val="-4"/>
          <w:sz w:val="20"/>
        </w:rPr>
        <w:t> </w:t>
      </w:r>
      <w:r>
        <w:rPr>
          <w:sz w:val="20"/>
        </w:rPr>
        <w:t>Se</w:t>
      </w:r>
      <w:r>
        <w:rPr>
          <w:spacing w:val="-5"/>
          <w:sz w:val="20"/>
        </w:rPr>
        <w:t> </w:t>
      </w:r>
      <w:r>
        <w:rPr>
          <w:spacing w:val="-2"/>
          <w:sz w:val="20"/>
        </w:rPr>
        <w:t>deroga.</w:t>
      </w:r>
    </w:p>
    <w:p>
      <w:pPr>
        <w:spacing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626" w:right="0" w:firstLine="0"/>
        <w:jc w:val="left"/>
        <w:rPr>
          <w:sz w:val="20"/>
        </w:rPr>
      </w:pPr>
      <w:bookmarkStart w:name="Artículo_890" w:id="1120"/>
      <w:bookmarkEnd w:id="1120"/>
      <w:r>
        <w:rPr/>
      </w:r>
      <w:r>
        <w:rPr>
          <w:rFonts w:ascii="Arial" w:hAnsi="Arial"/>
          <w:b/>
          <w:sz w:val="20"/>
        </w:rPr>
        <w:t>Artículo</w:t>
      </w:r>
      <w:r>
        <w:rPr>
          <w:rFonts w:ascii="Arial" w:hAnsi="Arial"/>
          <w:b/>
          <w:spacing w:val="-8"/>
          <w:sz w:val="20"/>
        </w:rPr>
        <w:t> </w:t>
      </w:r>
      <w:r>
        <w:rPr>
          <w:rFonts w:ascii="Arial" w:hAnsi="Arial"/>
          <w:b/>
          <w:sz w:val="20"/>
        </w:rPr>
        <w:t>890-</w:t>
      </w:r>
      <w:r>
        <w:rPr>
          <w:rFonts w:ascii="Arial" w:hAnsi="Arial"/>
          <w:b/>
          <w:spacing w:val="-4"/>
          <w:sz w:val="20"/>
        </w:rPr>
        <w:t> </w:t>
      </w:r>
      <w:r>
        <w:rPr>
          <w:sz w:val="20"/>
        </w:rPr>
        <w:t>Se</w:t>
      </w:r>
      <w:r>
        <w:rPr>
          <w:spacing w:val="-6"/>
          <w:sz w:val="20"/>
        </w:rPr>
        <w:t> </w:t>
      </w:r>
      <w:r>
        <w:rPr>
          <w:spacing w:val="-2"/>
          <w:sz w:val="20"/>
        </w:rPr>
        <w:t>deroga.</w:t>
      </w:r>
    </w:p>
    <w:p>
      <w:pPr>
        <w:spacing w:before="0"/>
        <w:ind w:left="46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24-12-1974,</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2"/>
        <w:rPr>
          <w:rFonts w:ascii="Times New Roman"/>
          <w:i/>
        </w:rPr>
      </w:pPr>
    </w:p>
    <w:p>
      <w:pPr>
        <w:spacing w:line="229" w:lineRule="exact" w:before="0"/>
        <w:ind w:left="626" w:right="0" w:firstLine="0"/>
        <w:jc w:val="left"/>
        <w:rPr>
          <w:sz w:val="20"/>
        </w:rPr>
      </w:pPr>
      <w:bookmarkStart w:name="Artículo_891" w:id="1121"/>
      <w:bookmarkEnd w:id="1121"/>
      <w:r>
        <w:rPr/>
      </w:r>
      <w:r>
        <w:rPr>
          <w:rFonts w:ascii="Arial" w:hAnsi="Arial"/>
          <w:b/>
          <w:sz w:val="20"/>
        </w:rPr>
        <w:t>Artículo</w:t>
      </w:r>
      <w:r>
        <w:rPr>
          <w:rFonts w:ascii="Arial" w:hAnsi="Arial"/>
          <w:b/>
          <w:spacing w:val="-6"/>
          <w:sz w:val="20"/>
        </w:rPr>
        <w:t> </w:t>
      </w:r>
      <w:r>
        <w:rPr>
          <w:rFonts w:ascii="Arial" w:hAnsi="Arial"/>
          <w:b/>
          <w:sz w:val="20"/>
        </w:rPr>
        <w:t>891.-</w:t>
      </w:r>
      <w:r>
        <w:rPr>
          <w:rFonts w:ascii="Arial" w:hAnsi="Arial"/>
          <w:b/>
          <w:spacing w:val="-4"/>
          <w:sz w:val="20"/>
        </w:rPr>
        <w:t> </w:t>
      </w:r>
      <w:r>
        <w:rPr>
          <w:sz w:val="20"/>
        </w:rPr>
        <w:t>Se</w:t>
      </w:r>
      <w:r>
        <w:rPr>
          <w:spacing w:val="-5"/>
          <w:sz w:val="20"/>
        </w:rPr>
        <w:t> </w:t>
      </w:r>
      <w:r>
        <w:rPr>
          <w:spacing w:val="-2"/>
          <w:sz w:val="20"/>
        </w:rPr>
        <w:t>deroga.</w:t>
      </w:r>
    </w:p>
    <w:p>
      <w:pPr>
        <w:spacing w:line="183" w:lineRule="exact" w:before="0"/>
        <w:ind w:left="18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24-12-1974.</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28-04-1978,</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6"/>
        <w:rPr>
          <w:rFonts w:ascii="Times New Roman"/>
          <w:i/>
          <w:sz w:val="16"/>
        </w:rPr>
      </w:pPr>
    </w:p>
    <w:p>
      <w:pPr>
        <w:pStyle w:val="Heading1"/>
        <w:spacing w:line="252" w:lineRule="exact"/>
      </w:pPr>
      <w:r>
        <w:rPr/>
        <w:t>CAPITULO</w:t>
      </w:r>
      <w:r>
        <w:rPr>
          <w:spacing w:val="-9"/>
        </w:rPr>
        <w:t> </w:t>
      </w:r>
      <w:r>
        <w:rPr>
          <w:spacing w:val="-4"/>
        </w:rPr>
        <w:t>XVIII</w:t>
      </w:r>
    </w:p>
    <w:p>
      <w:pPr>
        <w:pStyle w:val="Heading2"/>
        <w:spacing w:line="252" w:lineRule="exact"/>
        <w:ind w:left="299"/>
      </w:pPr>
      <w:r>
        <w:rPr/>
        <w:t>Del</w:t>
      </w:r>
      <w:r>
        <w:rPr>
          <w:spacing w:val="-7"/>
        </w:rPr>
        <w:t> </w:t>
      </w:r>
      <w:r>
        <w:rPr/>
        <w:t>Procedimiento</w:t>
      </w:r>
      <w:r>
        <w:rPr>
          <w:spacing w:val="-8"/>
        </w:rPr>
        <w:t> </w:t>
      </w:r>
      <w:r>
        <w:rPr>
          <w:spacing w:val="-2"/>
        </w:rPr>
        <w:t>Especial</w:t>
      </w:r>
    </w:p>
    <w:p>
      <w:pPr>
        <w:spacing w:before="3"/>
        <w:ind w:left="3538"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Denominación</w:t>
      </w:r>
      <w:r>
        <w:rPr>
          <w:rFonts w:ascii="Times New Roman" w:hAnsi="Times New Roman"/>
          <w:i/>
          <w:color w:val="0000FF"/>
          <w:spacing w:val="-9"/>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38" w:firstLine="288"/>
        <w:jc w:val="both"/>
      </w:pPr>
      <w:bookmarkStart w:name="Artículo_892" w:id="1122"/>
      <w:bookmarkEnd w:id="1122"/>
      <w:r>
        <w:rPr/>
      </w:r>
      <w:r>
        <w:rPr>
          <w:rFonts w:ascii="Arial" w:hAnsi="Arial"/>
          <w:b/>
        </w:rPr>
        <w:t>Artículo 892.- </w:t>
      </w:r>
      <w:r>
        <w:rPr/>
        <w:t>Las disposiciones de este capítulo rigen la tramitación de los conflictos que se susciten con motivo de la aplicación de los artículos 5o. fracción III; 28, fracción III; 151; 153-X; 158; 162; 204, fracción</w:t>
      </w:r>
      <w:r>
        <w:rPr>
          <w:spacing w:val="34"/>
        </w:rPr>
        <w:t> </w:t>
      </w:r>
      <w:r>
        <w:rPr/>
        <w:t>IX;</w:t>
      </w:r>
      <w:r>
        <w:rPr>
          <w:spacing w:val="36"/>
        </w:rPr>
        <w:t> </w:t>
      </w:r>
      <w:r>
        <w:rPr/>
        <w:t>209,</w:t>
      </w:r>
      <w:r>
        <w:rPr>
          <w:spacing w:val="36"/>
        </w:rPr>
        <w:t> </w:t>
      </w:r>
      <w:r>
        <w:rPr/>
        <w:t>fracción</w:t>
      </w:r>
      <w:r>
        <w:rPr>
          <w:spacing w:val="34"/>
        </w:rPr>
        <w:t> </w:t>
      </w:r>
      <w:r>
        <w:rPr/>
        <w:t>V;</w:t>
      </w:r>
      <w:r>
        <w:rPr>
          <w:spacing w:val="36"/>
        </w:rPr>
        <w:t> </w:t>
      </w:r>
      <w:r>
        <w:rPr/>
        <w:t>210;</w:t>
      </w:r>
      <w:r>
        <w:rPr>
          <w:spacing w:val="36"/>
        </w:rPr>
        <w:t> </w:t>
      </w:r>
      <w:r>
        <w:rPr/>
        <w:t>236,</w:t>
      </w:r>
      <w:r>
        <w:rPr>
          <w:spacing w:val="36"/>
        </w:rPr>
        <w:t> </w:t>
      </w:r>
      <w:r>
        <w:rPr/>
        <w:t>fracciones</w:t>
      </w:r>
      <w:r>
        <w:rPr>
          <w:spacing w:val="36"/>
        </w:rPr>
        <w:t> </w:t>
      </w:r>
      <w:r>
        <w:rPr/>
        <w:t>II</w:t>
      </w:r>
      <w:r>
        <w:rPr>
          <w:spacing w:val="40"/>
        </w:rPr>
        <w:t> </w:t>
      </w:r>
      <w:r>
        <w:rPr/>
        <w:t>y</w:t>
      </w:r>
      <w:r>
        <w:rPr>
          <w:spacing w:val="30"/>
        </w:rPr>
        <w:t> </w:t>
      </w:r>
      <w:r>
        <w:rPr/>
        <w:t>III,</w:t>
      </w:r>
      <w:r>
        <w:rPr>
          <w:spacing w:val="36"/>
        </w:rPr>
        <w:t> </w:t>
      </w:r>
      <w:r>
        <w:rPr/>
        <w:t>484,</w:t>
      </w:r>
      <w:r>
        <w:rPr>
          <w:spacing w:val="35"/>
        </w:rPr>
        <w:t> </w:t>
      </w:r>
      <w:r>
        <w:rPr/>
        <w:t>503</w:t>
      </w:r>
      <w:r>
        <w:rPr>
          <w:spacing w:val="38"/>
        </w:rPr>
        <w:t> </w:t>
      </w:r>
      <w:r>
        <w:rPr/>
        <w:t>y</w:t>
      </w:r>
      <w:r>
        <w:rPr>
          <w:spacing w:val="33"/>
        </w:rPr>
        <w:t> </w:t>
      </w:r>
      <w:r>
        <w:rPr/>
        <w:t>505</w:t>
      </w:r>
      <w:r>
        <w:rPr>
          <w:spacing w:val="35"/>
        </w:rPr>
        <w:t> </w:t>
      </w:r>
      <w:r>
        <w:rPr/>
        <w:t>de</w:t>
      </w:r>
      <w:r>
        <w:rPr>
          <w:spacing w:val="37"/>
        </w:rPr>
        <w:t> </w:t>
      </w:r>
      <w:r>
        <w:rPr/>
        <w:t>esta</w:t>
      </w:r>
      <w:r>
        <w:rPr>
          <w:spacing w:val="36"/>
        </w:rPr>
        <w:t> </w:t>
      </w:r>
      <w:r>
        <w:rPr/>
        <w:t>Ley,</w:t>
      </w:r>
      <w:r>
        <w:rPr>
          <w:spacing w:val="36"/>
        </w:rPr>
        <w:t> </w:t>
      </w:r>
      <w:r>
        <w:rPr/>
        <w:t>así</w:t>
      </w:r>
      <w:r>
        <w:rPr>
          <w:spacing w:val="35"/>
        </w:rPr>
        <w:t> </w:t>
      </w:r>
      <w:r>
        <w:rPr/>
        <w:t>como</w:t>
      </w:r>
      <w:r>
        <w:rPr>
          <w:spacing w:val="36"/>
        </w:rPr>
        <w:t> </w:t>
      </w:r>
      <w:r>
        <w:rPr>
          <w:spacing w:val="-5"/>
        </w:rPr>
        <w:t>los</w:t>
      </w:r>
    </w:p>
    <w:p>
      <w:pPr>
        <w:pStyle w:val="BodyText"/>
        <w:spacing w:after="0" w:line="242" w:lineRule="auto"/>
        <w:jc w:val="both"/>
        <w:sectPr>
          <w:pgSz w:w="12240" w:h="15840"/>
          <w:pgMar w:header="724" w:footer="712" w:top="1880" w:bottom="900" w:left="1080" w:right="1080"/>
        </w:sectPr>
      </w:pPr>
    </w:p>
    <w:p>
      <w:pPr>
        <w:pStyle w:val="BodyText"/>
        <w:spacing w:before="65"/>
      </w:pPr>
    </w:p>
    <w:p>
      <w:pPr>
        <w:pStyle w:val="BodyText"/>
        <w:ind w:left="338" w:right="349"/>
        <w:jc w:val="both"/>
      </w:pPr>
      <w:r>
        <w:rPr/>
        <w:t>conflictos que tengan por objeto el cobro de prestaciones que no excedan del importe de tres meses de salarios, la designación de beneficiarios del trabajador fallecido, con independencia de la causa del deceso, o desaparecido por un acto delincuencial, y los conflictos en materia de seguridad social.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4"/>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3" w:firstLine="288"/>
        <w:jc w:val="both"/>
      </w:pPr>
      <w:bookmarkStart w:name="Artículo_893" w:id="1123"/>
      <w:bookmarkEnd w:id="1123"/>
      <w:r>
        <w:rPr/>
      </w:r>
      <w:r>
        <w:rPr>
          <w:rFonts w:ascii="Arial" w:hAnsi="Arial"/>
          <w:b/>
        </w:rPr>
        <w:t>Artículo 893.- </w:t>
      </w:r>
      <w:r>
        <w:rPr/>
        <w:t>Los escritos de demanda y contestación deberán cumplir con los requisitos a que se refieren los artículos 872 y 873-A de esta Ley, en lo que sea aplicable.</w:t>
      </w:r>
    </w:p>
    <w:p>
      <w:pPr>
        <w:pStyle w:val="BodyText"/>
        <w:spacing w:before="229"/>
        <w:ind w:left="338" w:right="341" w:firstLine="288"/>
        <w:jc w:val="both"/>
      </w:pPr>
      <w:r>
        <w:rPr/>
        <w:t>Una vez que el Tribunal admita la demanda con los documentos y copias requeridas, se correrá traslado al demandado, quien deberá contestarla por escrito dentro de los diez días siguientes a la fecha del</w:t>
      </w:r>
      <w:r>
        <w:rPr>
          <w:spacing w:val="-3"/>
        </w:rPr>
        <w:t> </w:t>
      </w:r>
      <w:r>
        <w:rPr/>
        <w:t>emplazamiento,</w:t>
      </w:r>
      <w:r>
        <w:rPr>
          <w:spacing w:val="-2"/>
        </w:rPr>
        <w:t> </w:t>
      </w:r>
      <w:r>
        <w:rPr/>
        <w:t>pudiendo</w:t>
      </w:r>
      <w:r>
        <w:rPr>
          <w:spacing w:val="-5"/>
        </w:rPr>
        <w:t> </w:t>
      </w:r>
      <w:r>
        <w:rPr/>
        <w:t>objetar</w:t>
      </w:r>
      <w:r>
        <w:rPr>
          <w:spacing w:val="-1"/>
        </w:rPr>
        <w:t> </w:t>
      </w:r>
      <w:r>
        <w:rPr/>
        <w:t>las</w:t>
      </w:r>
      <w:r>
        <w:rPr>
          <w:spacing w:val="-1"/>
        </w:rPr>
        <w:t> </w:t>
      </w:r>
      <w:r>
        <w:rPr/>
        <w:t>pruebas</w:t>
      </w:r>
      <w:r>
        <w:rPr>
          <w:spacing w:val="-3"/>
        </w:rPr>
        <w:t> </w:t>
      </w:r>
      <w:r>
        <w:rPr/>
        <w:t>del</w:t>
      </w:r>
      <w:r>
        <w:rPr>
          <w:spacing w:val="-3"/>
        </w:rPr>
        <w:t> </w:t>
      </w:r>
      <w:r>
        <w:rPr/>
        <w:t>actor,</w:t>
      </w:r>
      <w:r>
        <w:rPr>
          <w:spacing w:val="-4"/>
        </w:rPr>
        <w:t> </w:t>
      </w:r>
      <w:r>
        <w:rPr/>
        <w:t>con</w:t>
      </w:r>
      <w:r>
        <w:rPr>
          <w:spacing w:val="-2"/>
        </w:rPr>
        <w:t> </w:t>
      </w:r>
      <w:r>
        <w:rPr/>
        <w:t>el</w:t>
      </w:r>
      <w:r>
        <w:rPr>
          <w:spacing w:val="-3"/>
        </w:rPr>
        <w:t> </w:t>
      </w:r>
      <w:r>
        <w:rPr/>
        <w:t>apercibimiento</w:t>
      </w:r>
      <w:r>
        <w:rPr>
          <w:spacing w:val="-2"/>
        </w:rPr>
        <w:t> </w:t>
      </w:r>
      <w:r>
        <w:rPr/>
        <w:t>de</w:t>
      </w:r>
      <w:r>
        <w:rPr>
          <w:spacing w:val="-3"/>
        </w:rPr>
        <w:t> </w:t>
      </w:r>
      <w:r>
        <w:rPr/>
        <w:t>que</w:t>
      </w:r>
      <w:r>
        <w:rPr>
          <w:spacing w:val="-4"/>
        </w:rPr>
        <w:t> </w:t>
      </w:r>
      <w:r>
        <w:rPr/>
        <w:t>de</w:t>
      </w:r>
      <w:r>
        <w:rPr>
          <w:spacing w:val="-4"/>
        </w:rPr>
        <w:t> </w:t>
      </w:r>
      <w:r>
        <w:rPr/>
        <w:t>no</w:t>
      </w:r>
      <w:r>
        <w:rPr>
          <w:spacing w:val="-4"/>
        </w:rPr>
        <w:t> </w:t>
      </w:r>
      <w:r>
        <w:rPr/>
        <w:t>hacerlo</w:t>
      </w:r>
      <w:r>
        <w:rPr>
          <w:spacing w:val="-2"/>
        </w:rPr>
        <w:t> </w:t>
      </w:r>
      <w:r>
        <w:rPr/>
        <w:t>se le tendrán por admitidas las peticiones del actor.</w:t>
      </w:r>
    </w:p>
    <w:p>
      <w:pPr>
        <w:pStyle w:val="BodyText"/>
      </w:pPr>
    </w:p>
    <w:p>
      <w:pPr>
        <w:pStyle w:val="BodyText"/>
        <w:spacing w:before="1"/>
        <w:ind w:left="338" w:right="344" w:firstLine="288"/>
        <w:jc w:val="both"/>
      </w:pPr>
      <w:r>
        <w:rPr/>
        <w:t>Con</w:t>
      </w:r>
      <w:r>
        <w:rPr>
          <w:spacing w:val="-4"/>
        </w:rPr>
        <w:t> </w:t>
      </w:r>
      <w:r>
        <w:rPr/>
        <w:t>copia</w:t>
      </w:r>
      <w:r>
        <w:rPr>
          <w:spacing w:val="-3"/>
        </w:rPr>
        <w:t> </w:t>
      </w:r>
      <w:r>
        <w:rPr/>
        <w:t>del</w:t>
      </w:r>
      <w:r>
        <w:rPr>
          <w:spacing w:val="-3"/>
        </w:rPr>
        <w:t> </w:t>
      </w:r>
      <w:r>
        <w:rPr/>
        <w:t>escrito</w:t>
      </w:r>
      <w:r>
        <w:rPr>
          <w:spacing w:val="-2"/>
        </w:rPr>
        <w:t> </w:t>
      </w:r>
      <w:r>
        <w:rPr/>
        <w:t>de</w:t>
      </w:r>
      <w:r>
        <w:rPr>
          <w:spacing w:val="-4"/>
        </w:rPr>
        <w:t> </w:t>
      </w:r>
      <w:r>
        <w:rPr/>
        <w:t>contestación y</w:t>
      </w:r>
      <w:r>
        <w:rPr>
          <w:spacing w:val="-6"/>
        </w:rPr>
        <w:t> </w:t>
      </w:r>
      <w:r>
        <w:rPr/>
        <w:t>sus</w:t>
      </w:r>
      <w:r>
        <w:rPr>
          <w:spacing w:val="-1"/>
        </w:rPr>
        <w:t> </w:t>
      </w:r>
      <w:r>
        <w:rPr/>
        <w:t>anexos</w:t>
      </w:r>
      <w:r>
        <w:rPr>
          <w:spacing w:val="-3"/>
        </w:rPr>
        <w:t> </w:t>
      </w:r>
      <w:r>
        <w:rPr/>
        <w:t>se</w:t>
      </w:r>
      <w:r>
        <w:rPr>
          <w:spacing w:val="-2"/>
        </w:rPr>
        <w:t> </w:t>
      </w:r>
      <w:r>
        <w:rPr/>
        <w:t>correrá</w:t>
      </w:r>
      <w:r>
        <w:rPr>
          <w:spacing w:val="-3"/>
        </w:rPr>
        <w:t> </w:t>
      </w:r>
      <w:r>
        <w:rPr/>
        <w:t>traslado</w:t>
      </w:r>
      <w:r>
        <w:rPr>
          <w:spacing w:val="-2"/>
        </w:rPr>
        <w:t> </w:t>
      </w:r>
      <w:r>
        <w:rPr/>
        <w:t>a</w:t>
      </w:r>
      <w:r>
        <w:rPr>
          <w:spacing w:val="-2"/>
        </w:rPr>
        <w:t> </w:t>
      </w:r>
      <w:r>
        <w:rPr/>
        <w:t>la</w:t>
      </w:r>
      <w:r>
        <w:rPr>
          <w:spacing w:val="-2"/>
        </w:rPr>
        <w:t> </w:t>
      </w:r>
      <w:r>
        <w:rPr/>
        <w:t>parte</w:t>
      </w:r>
      <w:r>
        <w:rPr>
          <w:spacing w:val="-2"/>
        </w:rPr>
        <w:t> </w:t>
      </w:r>
      <w:r>
        <w:rPr/>
        <w:t>actora</w:t>
      </w:r>
      <w:r>
        <w:rPr>
          <w:spacing w:val="-3"/>
        </w:rPr>
        <w:t> </w:t>
      </w:r>
      <w:r>
        <w:rPr/>
        <w:t>para</w:t>
      </w:r>
      <w:r>
        <w:rPr>
          <w:spacing w:val="-2"/>
        </w:rPr>
        <w:t> </w:t>
      </w:r>
      <w:r>
        <w:rPr/>
        <w:t>que</w:t>
      </w:r>
      <w:r>
        <w:rPr>
          <w:spacing w:val="-2"/>
        </w:rPr>
        <w:t> </w:t>
      </w:r>
      <w:r>
        <w:rPr/>
        <w:t>en</w:t>
      </w:r>
      <w:r>
        <w:rPr>
          <w:spacing w:val="-2"/>
        </w:rPr>
        <w:t> </w:t>
      </w:r>
      <w:r>
        <w:rPr/>
        <w:t>el término de tres días formule réplica y objete pruebas de su contraria. Desahogada ésta, se correrá traslado al demandado para que en el mismo plazo realice su contrarréplica.</w:t>
      </w:r>
    </w:p>
    <w:p>
      <w:pPr>
        <w:pStyle w:val="BodyText"/>
        <w:spacing w:before="229"/>
        <w:ind w:left="338" w:right="348" w:firstLine="288"/>
        <w:jc w:val="both"/>
      </w:pPr>
      <w:r>
        <w:rPr/>
        <w:t>En</w:t>
      </w:r>
      <w:r>
        <w:rPr>
          <w:spacing w:val="-1"/>
        </w:rPr>
        <w:t> </w:t>
      </w:r>
      <w:r>
        <w:rPr/>
        <w:t>estos procedimientos se</w:t>
      </w:r>
      <w:r>
        <w:rPr>
          <w:spacing w:val="-1"/>
        </w:rPr>
        <w:t> </w:t>
      </w:r>
      <w:r>
        <w:rPr/>
        <w:t>privilegiará la</w:t>
      </w:r>
      <w:r>
        <w:rPr>
          <w:spacing w:val="-1"/>
        </w:rPr>
        <w:t> </w:t>
      </w:r>
      <w:r>
        <w:rPr/>
        <w:t>substanciación</w:t>
      </w:r>
      <w:r>
        <w:rPr>
          <w:spacing w:val="-1"/>
        </w:rPr>
        <w:t> </w:t>
      </w:r>
      <w:r>
        <w:rPr/>
        <w:t>en</w:t>
      </w:r>
      <w:r>
        <w:rPr>
          <w:spacing w:val="-1"/>
        </w:rPr>
        <w:t> </w:t>
      </w:r>
      <w:r>
        <w:rPr/>
        <w:t>línea, salvo</w:t>
      </w:r>
      <w:r>
        <w:rPr>
          <w:spacing w:val="-1"/>
        </w:rPr>
        <w:t> </w:t>
      </w:r>
      <w:r>
        <w:rPr/>
        <w:t>la</w:t>
      </w:r>
      <w:r>
        <w:rPr>
          <w:spacing w:val="-1"/>
        </w:rPr>
        <w:t> </w:t>
      </w:r>
      <w:r>
        <w:rPr/>
        <w:t>imposibilidad</w:t>
      </w:r>
      <w:r>
        <w:rPr>
          <w:spacing w:val="-1"/>
        </w:rPr>
        <w:t> </w:t>
      </w:r>
      <w:r>
        <w:rPr/>
        <w:t>material para ello y sin detrimento de los derechos de los trabajadores, asegurados y sus beneficiarios.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338" w:right="334" w:firstLine="288"/>
        <w:jc w:val="both"/>
      </w:pPr>
      <w:bookmarkStart w:name="Artículo_894" w:id="1124"/>
      <w:bookmarkEnd w:id="1124"/>
      <w:r>
        <w:rPr/>
      </w:r>
      <w:r>
        <w:rPr>
          <w:rFonts w:ascii="Arial" w:hAnsi="Arial"/>
          <w:b/>
        </w:rPr>
        <w:t>Artículo 894.- </w:t>
      </w:r>
      <w:r>
        <w:rPr/>
        <w:t>Una vez formulada la réplica y contrarréplica o transcurridos los términos para ello, dentro de los quince días siguientes, el Tribunal dictará el auto de depuración, que se ocupará de los aspectos que son objeto de la audiencia preliminar en términos del artículo 873-E de esta Ley. Esta actuación se emitirá por escrito fuera de audiencia, y no podrá delegarse en el secretario instructor. El Tribunal podrá emplear el sistema de videoconferencia a fin de formular las prevenciones y aclaraciones que sean necesarias para emitir el auto de depuración.</w:t>
      </w:r>
    </w:p>
    <w:p>
      <w:pPr>
        <w:pStyle w:val="BodyText"/>
        <w:spacing w:before="3"/>
      </w:pPr>
    </w:p>
    <w:p>
      <w:pPr>
        <w:pStyle w:val="BodyText"/>
        <w:ind w:left="338" w:right="344" w:firstLine="288"/>
        <w:jc w:val="both"/>
      </w:pPr>
      <w:r>
        <w:rPr/>
        <w:t>Cuando el asunto así lo requiera debido a la complejidad de los puntos controvertidos, las</w:t>
      </w:r>
      <w:r>
        <w:rPr>
          <w:spacing w:val="40"/>
        </w:rPr>
        <w:t> </w:t>
      </w:r>
      <w:r>
        <w:rPr/>
        <w:t>excepciones propuestas o la preparación de las pruebas, el Tribunal citará a audiencia preliminar dentro de los diez días siguientes a que concluyan los plazos para la réplica y contrarréplica. La audiencia preliminar se desahogará conforme a lo establecido en el artículo 873-F.</w:t>
      </w:r>
    </w:p>
    <w:p>
      <w:pPr>
        <w:pStyle w:val="BodyText"/>
      </w:pPr>
    </w:p>
    <w:p>
      <w:pPr>
        <w:pStyle w:val="BodyText"/>
        <w:ind w:left="338" w:right="337" w:firstLine="288"/>
        <w:jc w:val="both"/>
      </w:pPr>
      <w:r>
        <w:rPr/>
        <w:t>Cuando la controversia se reduzca a puntos de derecho, o bien cuando la única prueba que resulte admitida sea la documental, y ésta ya se hubiera exhibido sin ser objetada, el Tribunal otorgará a las partes un plazo de cinco días para formular alegatos por escrito, y vencido éste dictará sentencia, sin previa celebración de la audiencia de juicio.</w:t>
      </w:r>
    </w:p>
    <w:p>
      <w:pPr>
        <w:spacing w:line="181"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firstLine="288"/>
      </w:pPr>
      <w:bookmarkStart w:name="Artículo_895" w:id="1125"/>
      <w:bookmarkEnd w:id="1125"/>
      <w:r>
        <w:rPr/>
      </w:r>
      <w:r>
        <w:rPr>
          <w:rFonts w:ascii="Arial" w:hAnsi="Arial"/>
          <w:b/>
        </w:rPr>
        <w:t>Artículo 895.- </w:t>
      </w:r>
      <w:r>
        <w:rPr/>
        <w:t>La audiencia de juicio se desahogará en los términos previstos para el procedimiento </w:t>
      </w:r>
      <w:r>
        <w:rPr>
          <w:spacing w:val="-2"/>
        </w:rPr>
        <w:t>ordinario.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338" w:right="357" w:firstLine="288"/>
      </w:pPr>
      <w:r>
        <w:rPr/>
        <w:t>En los procedimientos especiales se observarán las disposiciones de los capítulos XII y XVII de este Título, en lo que sean aplicables.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ListParagraph"/>
        <w:numPr>
          <w:ilvl w:val="0"/>
          <w:numId w:val="319"/>
        </w:numPr>
        <w:tabs>
          <w:tab w:pos="1195" w:val="left" w:leader="none"/>
        </w:tabs>
        <w:spacing w:line="240" w:lineRule="auto" w:before="229" w:after="0"/>
        <w:ind w:left="1195" w:right="0" w:hanging="569"/>
        <w:jc w:val="left"/>
        <w:rPr>
          <w:sz w:val="20"/>
        </w:rPr>
      </w:pP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319"/>
        </w:numPr>
        <w:tabs>
          <w:tab w:pos="1195" w:val="left" w:leader="none"/>
        </w:tabs>
        <w:spacing w:line="229" w:lineRule="exact" w:before="0" w:after="0"/>
        <w:ind w:left="1195" w:right="0" w:hanging="569"/>
        <w:jc w:val="left"/>
        <w:rPr>
          <w:sz w:val="20"/>
        </w:rPr>
      </w:pPr>
      <w:r>
        <w:rPr>
          <w:sz w:val="20"/>
        </w:rPr>
        <w:t>Se</w:t>
      </w:r>
      <w:r>
        <w:rPr>
          <w:spacing w:val="-5"/>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319"/>
        </w:numPr>
        <w:tabs>
          <w:tab w:pos="1195" w:val="left" w:leader="none"/>
        </w:tabs>
        <w:spacing w:line="240" w:lineRule="auto" w:before="1" w:after="0"/>
        <w:ind w:left="1195" w:right="0" w:hanging="569"/>
        <w:jc w:val="left"/>
        <w:rPr>
          <w:sz w:val="20"/>
        </w:rPr>
      </w:pPr>
      <w:r>
        <w:rPr>
          <w:sz w:val="20"/>
        </w:rPr>
        <w:t>Se</w:t>
      </w:r>
      <w:r>
        <w:rPr>
          <w:spacing w:val="-5"/>
          <w:sz w:val="20"/>
        </w:rPr>
        <w:t> </w:t>
      </w:r>
      <w:r>
        <w:rPr>
          <w:spacing w:val="-2"/>
          <w:sz w:val="20"/>
        </w:rPr>
        <w:t>deroga.</w:t>
      </w:r>
    </w:p>
    <w:p>
      <w:pPr>
        <w:pStyle w:val="ListParagraph"/>
        <w:spacing w:after="0" w:line="240" w:lineRule="auto"/>
        <w:jc w:val="left"/>
        <w:rPr>
          <w:sz w:val="20"/>
        </w:rPr>
        <w:sectPr>
          <w:pgSz w:w="12240" w:h="15840"/>
          <w:pgMar w:header="724" w:footer="712" w:top="1880" w:bottom="900" w:left="1080" w:right="1080"/>
        </w:sectPr>
      </w:pPr>
    </w:p>
    <w:p>
      <w:pPr>
        <w:pStyle w:val="BodyText"/>
        <w:spacing w:before="109"/>
        <w:rPr>
          <w:sz w:val="16"/>
        </w:rPr>
      </w:pP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2"/>
        </w:rPr>
      </w:pPr>
    </w:p>
    <w:p>
      <w:pPr>
        <w:pStyle w:val="BodyText"/>
        <w:spacing w:after="0"/>
        <w:rPr>
          <w:rFonts w:ascii="Times New Roman"/>
          <w:i/>
          <w:sz w:val="12"/>
        </w:rPr>
        <w:sectPr>
          <w:pgSz w:w="12240" w:h="15840"/>
          <w:pgMar w:header="724" w:footer="712" w:top="1880" w:bottom="900" w:left="1080" w:right="1080"/>
        </w:sectPr>
      </w:pPr>
    </w:p>
    <w:p>
      <w:pPr>
        <w:pStyle w:val="ListParagraph"/>
        <w:numPr>
          <w:ilvl w:val="0"/>
          <w:numId w:val="319"/>
        </w:numPr>
        <w:tabs>
          <w:tab w:pos="1195" w:val="left" w:leader="none"/>
        </w:tabs>
        <w:spacing w:line="240" w:lineRule="auto" w:before="93" w:after="0"/>
        <w:ind w:left="119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626" w:right="0" w:firstLine="45"/>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i/>
          <w:sz w:val="16"/>
        </w:rPr>
        <w:sectPr>
          <w:type w:val="continuous"/>
          <w:pgSz w:w="12240" w:h="15840"/>
          <w:pgMar w:header="724" w:footer="712" w:top="1880" w:bottom="900" w:left="1080" w:right="1080"/>
          <w:cols w:num="2" w:equalWidth="0">
            <w:col w:w="2213" w:space="4462"/>
            <w:col w:w="3405"/>
          </w:cols>
        </w:sectPr>
      </w:pPr>
    </w:p>
    <w:p>
      <w:pPr>
        <w:pStyle w:val="BodyText"/>
        <w:rPr>
          <w:rFonts w:ascii="Times New Roman"/>
          <w:i/>
        </w:rPr>
      </w:pPr>
    </w:p>
    <w:p>
      <w:pPr>
        <w:pStyle w:val="BodyText"/>
        <w:ind w:left="338" w:right="336" w:firstLine="288"/>
        <w:jc w:val="both"/>
      </w:pPr>
      <w:bookmarkStart w:name="Artículo_896" w:id="1126"/>
      <w:bookmarkEnd w:id="1126"/>
      <w:r>
        <w:rPr/>
      </w:r>
      <w:r>
        <w:rPr>
          <w:rFonts w:ascii="Arial" w:hAnsi="Arial"/>
          <w:b/>
        </w:rPr>
        <w:t>Artículo 896.- </w:t>
      </w:r>
      <w:r>
        <w:rPr/>
        <w:t>Para</w:t>
      </w:r>
      <w:r>
        <w:rPr>
          <w:spacing w:val="-3"/>
        </w:rPr>
        <w:t> </w:t>
      </w:r>
      <w:r>
        <w:rPr/>
        <w:t>aplicación</w:t>
      </w:r>
      <w:r>
        <w:rPr>
          <w:spacing w:val="-1"/>
        </w:rPr>
        <w:t> </w:t>
      </w:r>
      <w:r>
        <w:rPr/>
        <w:t>del</w:t>
      </w:r>
      <w:r>
        <w:rPr>
          <w:spacing w:val="-2"/>
        </w:rPr>
        <w:t> </w:t>
      </w:r>
      <w:r>
        <w:rPr/>
        <w:t>artículo</w:t>
      </w:r>
      <w:r>
        <w:rPr>
          <w:spacing w:val="-3"/>
        </w:rPr>
        <w:t> </w:t>
      </w:r>
      <w:r>
        <w:rPr/>
        <w:t>503</w:t>
      </w:r>
      <w:r>
        <w:rPr>
          <w:spacing w:val="-1"/>
        </w:rPr>
        <w:t> </w:t>
      </w:r>
      <w:r>
        <w:rPr/>
        <w:t>de</w:t>
      </w:r>
      <w:r>
        <w:rPr>
          <w:spacing w:val="-1"/>
        </w:rPr>
        <w:t> </w:t>
      </w:r>
      <w:r>
        <w:rPr/>
        <w:t>la</w:t>
      </w:r>
      <w:r>
        <w:rPr>
          <w:spacing w:val="-1"/>
        </w:rPr>
        <w:t> </w:t>
      </w:r>
      <w:r>
        <w:rPr/>
        <w:t>Ley</w:t>
      </w:r>
      <w:r>
        <w:rPr>
          <w:spacing w:val="-6"/>
        </w:rPr>
        <w:t> </w:t>
      </w:r>
      <w:r>
        <w:rPr/>
        <w:t>Federal</w:t>
      </w:r>
      <w:r>
        <w:rPr>
          <w:spacing w:val="-2"/>
        </w:rPr>
        <w:t> </w:t>
      </w:r>
      <w:r>
        <w:rPr/>
        <w:t>del</w:t>
      </w:r>
      <w:r>
        <w:rPr>
          <w:spacing w:val="-4"/>
        </w:rPr>
        <w:t> </w:t>
      </w:r>
      <w:r>
        <w:rPr/>
        <w:t>Trabajo,</w:t>
      </w:r>
      <w:r>
        <w:rPr>
          <w:spacing w:val="-3"/>
        </w:rPr>
        <w:t> </w:t>
      </w:r>
      <w:r>
        <w:rPr/>
        <w:t>con</w:t>
      </w:r>
      <w:r>
        <w:rPr>
          <w:spacing w:val="-1"/>
        </w:rPr>
        <w:t> </w:t>
      </w:r>
      <w:r>
        <w:rPr/>
        <w:t>la</w:t>
      </w:r>
      <w:r>
        <w:rPr>
          <w:spacing w:val="-1"/>
        </w:rPr>
        <w:t> </w:t>
      </w:r>
      <w:r>
        <w:rPr/>
        <w:t>presentación</w:t>
      </w:r>
      <w:r>
        <w:rPr>
          <w:spacing w:val="-2"/>
        </w:rPr>
        <w:t> </w:t>
      </w:r>
      <w:r>
        <w:rPr/>
        <w:t>de</w:t>
      </w:r>
      <w:r>
        <w:rPr>
          <w:spacing w:val="-2"/>
        </w:rPr>
        <w:t> </w:t>
      </w:r>
      <w:r>
        <w:rPr/>
        <w:t>la demanda el Tribunal iniciará las investigaciones a que se refiere ese precepto; para ello solicitará al patrón le proporcione los nombres y domicilios de los beneficiarios registrados ante él y en las instituciones oficiales; podrá además ordenar la práctica de cualquier diligencia, o emplear los medios de comunicación que estime pertinentes, para convocar a todas las personas que dependían económicamente del trabajador fallecido a ejercer sus derechos ante el Tribunal.</w:t>
      </w:r>
    </w:p>
    <w:p>
      <w:pPr>
        <w:pStyle w:val="BodyText"/>
        <w:spacing w:before="4"/>
      </w:pPr>
    </w:p>
    <w:p>
      <w:pPr>
        <w:pStyle w:val="BodyText"/>
        <w:ind w:left="626"/>
      </w:pPr>
      <w:r>
        <w:rPr/>
        <w:t>De</w:t>
      </w:r>
      <w:r>
        <w:rPr>
          <w:spacing w:val="-8"/>
        </w:rPr>
        <w:t> </w:t>
      </w:r>
      <w:r>
        <w:rPr/>
        <w:t>existir</w:t>
      </w:r>
      <w:r>
        <w:rPr>
          <w:spacing w:val="-7"/>
        </w:rPr>
        <w:t> </w:t>
      </w:r>
      <w:r>
        <w:rPr/>
        <w:t>controversia</w:t>
      </w:r>
      <w:r>
        <w:rPr>
          <w:spacing w:val="-6"/>
        </w:rPr>
        <w:t> </w:t>
      </w:r>
      <w:r>
        <w:rPr/>
        <w:t>entre</w:t>
      </w:r>
      <w:r>
        <w:rPr>
          <w:spacing w:val="-7"/>
        </w:rPr>
        <w:t> </w:t>
      </w:r>
      <w:r>
        <w:rPr/>
        <w:t>los</w:t>
      </w:r>
      <w:r>
        <w:rPr>
          <w:spacing w:val="-5"/>
        </w:rPr>
        <w:t> </w:t>
      </w:r>
      <w:r>
        <w:rPr/>
        <w:t>interesados,</w:t>
      </w:r>
      <w:r>
        <w:rPr>
          <w:spacing w:val="-6"/>
        </w:rPr>
        <w:t> </w:t>
      </w:r>
      <w:r>
        <w:rPr/>
        <w:t>el</w:t>
      </w:r>
      <w:r>
        <w:rPr>
          <w:spacing w:val="-8"/>
        </w:rPr>
        <w:t> </w:t>
      </w:r>
      <w:r>
        <w:rPr/>
        <w:t>Tribunal</w:t>
      </w:r>
      <w:r>
        <w:rPr>
          <w:spacing w:val="-9"/>
        </w:rPr>
        <w:t> </w:t>
      </w:r>
      <w:r>
        <w:rPr/>
        <w:t>citará</w:t>
      </w:r>
      <w:r>
        <w:rPr>
          <w:spacing w:val="-8"/>
        </w:rPr>
        <w:t> </w:t>
      </w:r>
      <w:r>
        <w:rPr/>
        <w:t>a</w:t>
      </w:r>
      <w:r>
        <w:rPr>
          <w:spacing w:val="-5"/>
        </w:rPr>
        <w:t> </w:t>
      </w:r>
      <w:r>
        <w:rPr/>
        <w:t>la</w:t>
      </w:r>
      <w:r>
        <w:rPr>
          <w:spacing w:val="-6"/>
        </w:rPr>
        <w:t> </w:t>
      </w:r>
      <w:r>
        <w:rPr/>
        <w:t>audiencia</w:t>
      </w:r>
      <w:r>
        <w:rPr>
          <w:spacing w:val="-6"/>
        </w:rPr>
        <w:t> </w:t>
      </w:r>
      <w:r>
        <w:rPr>
          <w:spacing w:val="-2"/>
        </w:rPr>
        <w:t>preliminar.</w:t>
      </w:r>
    </w:p>
    <w:p>
      <w:pPr>
        <w:pStyle w:val="BodyText"/>
        <w:spacing w:before="228"/>
        <w:ind w:left="338" w:right="347" w:firstLine="288"/>
        <w:jc w:val="both"/>
      </w:pPr>
      <w:r>
        <w:rPr/>
        <w:t>El Tribunal dictará su resolución tomando en cuenta los alegatos y pruebas aportadas por las personas que ejercitaron derechos derivados de las prestaciones que generó el trabajador fallecido.</w:t>
      </w:r>
    </w:p>
    <w:p>
      <w:pPr>
        <w:spacing w:line="182" w:lineRule="exact" w:before="0"/>
        <w:ind w:left="325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4"/>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338" w:right="336" w:firstLine="288"/>
        <w:jc w:val="both"/>
      </w:pPr>
      <w:bookmarkStart w:name="Artículo_897" w:id="1127"/>
      <w:bookmarkEnd w:id="1127"/>
      <w:r>
        <w:rPr/>
      </w:r>
      <w:r>
        <w:rPr>
          <w:rFonts w:ascii="Arial" w:hAnsi="Arial"/>
          <w:b/>
        </w:rPr>
        <w:t>Artículo 897.- </w:t>
      </w:r>
      <w:r>
        <w:rPr/>
        <w:t>La tramitación y resolución de los conflictos colectivos a que se refieren los artículos 389; 418;</w:t>
      </w:r>
      <w:r>
        <w:rPr>
          <w:spacing w:val="-1"/>
        </w:rPr>
        <w:t> </w:t>
      </w:r>
      <w:r>
        <w:rPr/>
        <w:t>424,</w:t>
      </w:r>
      <w:r>
        <w:rPr>
          <w:spacing w:val="-1"/>
        </w:rPr>
        <w:t> </w:t>
      </w:r>
      <w:r>
        <w:rPr/>
        <w:t>fracción</w:t>
      </w:r>
      <w:r>
        <w:rPr>
          <w:spacing w:val="-2"/>
        </w:rPr>
        <w:t> </w:t>
      </w:r>
      <w:r>
        <w:rPr/>
        <w:t>IV; 427,</w:t>
      </w:r>
      <w:r>
        <w:rPr>
          <w:spacing w:val="-1"/>
        </w:rPr>
        <w:t> </w:t>
      </w:r>
      <w:r>
        <w:rPr/>
        <w:t>fracciones I,</w:t>
      </w:r>
      <w:r>
        <w:rPr>
          <w:spacing w:val="-1"/>
        </w:rPr>
        <w:t> </w:t>
      </w:r>
      <w:r>
        <w:rPr/>
        <w:t>II y</w:t>
      </w:r>
      <w:r>
        <w:rPr>
          <w:spacing w:val="-2"/>
        </w:rPr>
        <w:t> </w:t>
      </w:r>
      <w:r>
        <w:rPr/>
        <w:t>VI;</w:t>
      </w:r>
      <w:r>
        <w:rPr>
          <w:spacing w:val="-1"/>
        </w:rPr>
        <w:t> </w:t>
      </w:r>
      <w:r>
        <w:rPr/>
        <w:t>434,</w:t>
      </w:r>
      <w:r>
        <w:rPr>
          <w:spacing w:val="-1"/>
        </w:rPr>
        <w:t> </w:t>
      </w:r>
      <w:r>
        <w:rPr/>
        <w:t>fracciones I,</w:t>
      </w:r>
      <w:r>
        <w:rPr>
          <w:spacing w:val="-1"/>
        </w:rPr>
        <w:t> </w:t>
      </w:r>
      <w:r>
        <w:rPr/>
        <w:t>III y</w:t>
      </w:r>
      <w:r>
        <w:rPr>
          <w:spacing w:val="-2"/>
        </w:rPr>
        <w:t> </w:t>
      </w:r>
      <w:r>
        <w:rPr/>
        <w:t>V; y</w:t>
      </w:r>
      <w:r>
        <w:rPr>
          <w:spacing w:val="-2"/>
        </w:rPr>
        <w:t> </w:t>
      </w:r>
      <w:r>
        <w:rPr/>
        <w:t>439,</w:t>
      </w:r>
      <w:r>
        <w:rPr>
          <w:spacing w:val="-1"/>
        </w:rPr>
        <w:t> </w:t>
      </w:r>
      <w:r>
        <w:rPr/>
        <w:t>de esta Ley,</w:t>
      </w:r>
      <w:r>
        <w:rPr>
          <w:spacing w:val="-1"/>
        </w:rPr>
        <w:t> </w:t>
      </w:r>
      <w:r>
        <w:rPr/>
        <w:t>así</w:t>
      </w:r>
      <w:r>
        <w:rPr>
          <w:spacing w:val="-1"/>
        </w:rPr>
        <w:t> </w:t>
      </w:r>
      <w:r>
        <w:rPr/>
        <w:t>como los casos de violaciones a derechos fundamentales en materia colectiva que atenten contra la libertad de asociación, libertad sindical, derecho de negociación colectiva, o se impugnen procedimientos de</w:t>
      </w:r>
      <w:r>
        <w:rPr>
          <w:spacing w:val="80"/>
        </w:rPr>
        <w:t> </w:t>
      </w:r>
      <w:r>
        <w:rPr/>
        <w:t>elección de directivas sindicales, o bien sanciones sindicales que limiten el derecho a votar y ser votado, se resolverán mediante el Procedimiento Especial Colectivo previsto en los artículos 897-A al 897-G de esta Ley.</w:t>
      </w:r>
    </w:p>
    <w:p>
      <w:pPr>
        <w:spacing w:before="1"/>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8" w:firstLine="288"/>
        <w:jc w:val="both"/>
      </w:pPr>
      <w:bookmarkStart w:name="Artículo_897_A" w:id="1128"/>
      <w:bookmarkEnd w:id="1128"/>
      <w:r>
        <w:rPr/>
      </w:r>
      <w:r>
        <w:rPr>
          <w:rFonts w:ascii="Arial" w:hAnsi="Arial"/>
          <w:b/>
        </w:rPr>
        <w:t>Artículo 897-A.- </w:t>
      </w:r>
      <w:r>
        <w:rPr/>
        <w:t>Los escritos de demanda y contestación se presentarán ante el Tribunal competente y deberán cumplir con los requisitos a que se refieren los artículos 872</w:t>
      </w:r>
      <w:r>
        <w:rPr>
          <w:spacing w:val="20"/>
        </w:rPr>
        <w:t> </w:t>
      </w:r>
      <w:r>
        <w:rPr/>
        <w:t>y 873-A de esta Ley, en lo que</w:t>
      </w:r>
      <w:r>
        <w:rPr>
          <w:spacing w:val="40"/>
        </w:rPr>
        <w:t> </w:t>
      </w:r>
      <w:r>
        <w:rPr/>
        <w:t>sea aplicable.</w:t>
      </w:r>
    </w:p>
    <w:p>
      <w:pPr>
        <w:pStyle w:val="BodyText"/>
        <w:spacing w:before="2"/>
      </w:pPr>
    </w:p>
    <w:p>
      <w:pPr>
        <w:pStyle w:val="BodyText"/>
        <w:ind w:left="338" w:right="336" w:firstLine="288"/>
        <w:jc w:val="both"/>
      </w:pPr>
      <w:r>
        <w:rPr/>
        <w:t>Los conflictos entre sindicatos a los que se refieren los artículos 389 y 418 de esta Ley se resolverán únicamente a través de la consulta de los trabajadores, quienes manifestarán su voluntad a través del voto personal, libre, directo y secreto, por lo que no puede ser materia de negociación al ser elementos esenciales de la democracia y de los derechos humanos vinculados a ésta. En estos casos y tratándose de violaciones a derechos fundamentales en materia colectiva que atenten contra la libertad de asociación, libertad sindical o</w:t>
      </w:r>
      <w:r>
        <w:rPr>
          <w:spacing w:val="-1"/>
        </w:rPr>
        <w:t> </w:t>
      </w:r>
      <w:r>
        <w:rPr/>
        <w:t>al</w:t>
      </w:r>
      <w:r>
        <w:rPr>
          <w:spacing w:val="-2"/>
        </w:rPr>
        <w:t> </w:t>
      </w:r>
      <w:r>
        <w:rPr/>
        <w:t>derecho</w:t>
      </w:r>
      <w:r>
        <w:rPr>
          <w:spacing w:val="-2"/>
        </w:rPr>
        <w:t> </w:t>
      </w:r>
      <w:r>
        <w:rPr/>
        <w:t>de</w:t>
      </w:r>
      <w:r>
        <w:rPr>
          <w:spacing w:val="-1"/>
        </w:rPr>
        <w:t> </w:t>
      </w:r>
      <w:r>
        <w:rPr/>
        <w:t>negociación</w:t>
      </w:r>
      <w:r>
        <w:rPr>
          <w:spacing w:val="-2"/>
        </w:rPr>
        <w:t> </w:t>
      </w:r>
      <w:r>
        <w:rPr/>
        <w:t>colectiva, o</w:t>
      </w:r>
      <w:r>
        <w:rPr>
          <w:spacing w:val="-1"/>
        </w:rPr>
        <w:t> </w:t>
      </w:r>
      <w:r>
        <w:rPr/>
        <w:t>cuando se</w:t>
      </w:r>
      <w:r>
        <w:rPr>
          <w:spacing w:val="-1"/>
        </w:rPr>
        <w:t> </w:t>
      </w:r>
      <w:r>
        <w:rPr/>
        <w:t>impugnen</w:t>
      </w:r>
      <w:r>
        <w:rPr>
          <w:spacing w:val="-2"/>
        </w:rPr>
        <w:t> </w:t>
      </w:r>
      <w:r>
        <w:rPr/>
        <w:t>procedimientos de elección de las directivas sindicales, para promover el juicio no será necesario acudir a la conciliación prejudicial ni exhibir la constancia correspondiente.</w:t>
      </w:r>
    </w:p>
    <w:p>
      <w:pPr>
        <w:pStyle w:val="BodyText"/>
        <w:spacing w:before="229"/>
        <w:ind w:left="338" w:right="344" w:firstLine="288"/>
        <w:jc w:val="both"/>
      </w:pPr>
      <w:r>
        <w:rPr/>
        <w:t>No podrán acumularse en esta vía pretensiones ajenas al propósito de ésta; de reclamarse, se</w:t>
      </w:r>
      <w:r>
        <w:rPr>
          <w:spacing w:val="40"/>
        </w:rPr>
        <w:t> </w:t>
      </w:r>
      <w:r>
        <w:rPr/>
        <w:t>dejarán a salvo los derechos de las partes para que los ejerzan en la vía que corresponda.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338" w:right="334" w:firstLine="288"/>
        <w:jc w:val="both"/>
      </w:pPr>
      <w:bookmarkStart w:name="Artículo_897_B" w:id="1129"/>
      <w:bookmarkEnd w:id="1129"/>
      <w:r>
        <w:rPr/>
      </w:r>
      <w:r>
        <w:rPr>
          <w:rFonts w:ascii="Arial" w:hAnsi="Arial"/>
          <w:b/>
        </w:rPr>
        <w:t>Artículo 897-B.- </w:t>
      </w:r>
      <w:r>
        <w:rPr/>
        <w:t>Una vez</w:t>
      </w:r>
      <w:r>
        <w:rPr>
          <w:spacing w:val="-2"/>
        </w:rPr>
        <w:t> </w:t>
      </w:r>
      <w:r>
        <w:rPr/>
        <w:t>que</w:t>
      </w:r>
      <w:r>
        <w:rPr>
          <w:spacing w:val="-2"/>
        </w:rPr>
        <w:t> </w:t>
      </w:r>
      <w:r>
        <w:rPr/>
        <w:t>el</w:t>
      </w:r>
      <w:r>
        <w:rPr>
          <w:spacing w:val="-2"/>
        </w:rPr>
        <w:t> </w:t>
      </w:r>
      <w:r>
        <w:rPr/>
        <w:t>Tribunal</w:t>
      </w:r>
      <w:r>
        <w:rPr>
          <w:spacing w:val="-2"/>
        </w:rPr>
        <w:t> </w:t>
      </w:r>
      <w:r>
        <w:rPr/>
        <w:t>admita</w:t>
      </w:r>
      <w:r>
        <w:rPr>
          <w:spacing w:val="-1"/>
        </w:rPr>
        <w:t> </w:t>
      </w:r>
      <w:r>
        <w:rPr/>
        <w:t>la</w:t>
      </w:r>
      <w:r>
        <w:rPr>
          <w:spacing w:val="-1"/>
        </w:rPr>
        <w:t> </w:t>
      </w:r>
      <w:r>
        <w:rPr/>
        <w:t>demanda</w:t>
      </w:r>
      <w:r>
        <w:rPr>
          <w:spacing w:val="-2"/>
        </w:rPr>
        <w:t> </w:t>
      </w:r>
      <w:r>
        <w:rPr/>
        <w:t>con</w:t>
      </w:r>
      <w:r>
        <w:rPr>
          <w:spacing w:val="-2"/>
        </w:rPr>
        <w:t> </w:t>
      </w:r>
      <w:r>
        <w:rPr/>
        <w:t>los documentos y</w:t>
      </w:r>
      <w:r>
        <w:rPr>
          <w:spacing w:val="-4"/>
        </w:rPr>
        <w:t> </w:t>
      </w:r>
      <w:r>
        <w:rPr/>
        <w:t>copias requeridas, se correrá traslado al demandado, quien deberá contestarla por escrito dentro de los diez días siguientes a la fecha del emplazamiento, cubriendo los requisitos señalados en el artículo 873-A de la Ley y objetando las pruebas del actor, apercibido que de no hacerlo se estará a lo establecido en dicho precepto legal. En los conflictos de titularidad de la contratación colectiva, el allanamiento a la demanda no impedirá la continuación del procedimiento.</w:t>
      </w:r>
    </w:p>
    <w:p>
      <w:pPr>
        <w:pStyle w:val="BodyText"/>
      </w:pPr>
    </w:p>
    <w:p>
      <w:pPr>
        <w:pStyle w:val="BodyText"/>
        <w:ind w:left="338" w:right="345" w:firstLine="288"/>
        <w:jc w:val="both"/>
      </w:pPr>
      <w:r>
        <w:rPr/>
        <w:t>Con copia del escrito de contestación a la demanda y sus anexos se correrá traslado a la parte actora para</w:t>
      </w:r>
      <w:r>
        <w:rPr>
          <w:spacing w:val="-1"/>
        </w:rPr>
        <w:t> </w:t>
      </w:r>
      <w:r>
        <w:rPr/>
        <w:t>que</w:t>
      </w:r>
      <w:r>
        <w:rPr>
          <w:spacing w:val="-1"/>
        </w:rPr>
        <w:t> </w:t>
      </w:r>
      <w:r>
        <w:rPr/>
        <w:t>en</w:t>
      </w:r>
      <w:r>
        <w:rPr>
          <w:spacing w:val="-1"/>
        </w:rPr>
        <w:t> </w:t>
      </w:r>
      <w:r>
        <w:rPr/>
        <w:t>el</w:t>
      </w:r>
      <w:r>
        <w:rPr>
          <w:spacing w:val="-2"/>
        </w:rPr>
        <w:t> </w:t>
      </w:r>
      <w:r>
        <w:rPr/>
        <w:t>término</w:t>
      </w:r>
      <w:r>
        <w:rPr>
          <w:spacing w:val="-2"/>
        </w:rPr>
        <w:t> </w:t>
      </w:r>
      <w:r>
        <w:rPr/>
        <w:t>de</w:t>
      </w:r>
      <w:r>
        <w:rPr>
          <w:spacing w:val="-1"/>
        </w:rPr>
        <w:t> </w:t>
      </w:r>
      <w:r>
        <w:rPr/>
        <w:t>tres</w:t>
      </w:r>
      <w:r>
        <w:rPr>
          <w:spacing w:val="-2"/>
        </w:rPr>
        <w:t> </w:t>
      </w:r>
      <w:r>
        <w:rPr/>
        <w:t>días formule</w:t>
      </w:r>
      <w:r>
        <w:rPr>
          <w:spacing w:val="-3"/>
        </w:rPr>
        <w:t> </w:t>
      </w:r>
      <w:r>
        <w:rPr/>
        <w:t>réplica y</w:t>
      </w:r>
      <w:r>
        <w:rPr>
          <w:spacing w:val="-4"/>
        </w:rPr>
        <w:t> </w:t>
      </w:r>
      <w:r>
        <w:rPr/>
        <w:t>objete</w:t>
      </w:r>
      <w:r>
        <w:rPr>
          <w:spacing w:val="-2"/>
        </w:rPr>
        <w:t> </w:t>
      </w:r>
      <w:r>
        <w:rPr/>
        <w:t>pruebas de</w:t>
      </w:r>
      <w:r>
        <w:rPr>
          <w:spacing w:val="-4"/>
        </w:rPr>
        <w:t> </w:t>
      </w:r>
      <w:r>
        <w:rPr/>
        <w:t>su</w:t>
      </w:r>
      <w:r>
        <w:rPr>
          <w:spacing w:val="-3"/>
        </w:rPr>
        <w:t> </w:t>
      </w:r>
      <w:r>
        <w:rPr/>
        <w:t>contraria.</w:t>
      </w:r>
      <w:r>
        <w:rPr>
          <w:spacing w:val="-1"/>
        </w:rPr>
        <w:t> </w:t>
      </w:r>
      <w:r>
        <w:rPr/>
        <w:t>Desahogada</w:t>
      </w:r>
      <w:r>
        <w:rPr>
          <w:spacing w:val="-1"/>
        </w:rPr>
        <w:t> </w:t>
      </w:r>
      <w:r>
        <w:rPr/>
        <w:t>ésta,</w:t>
      </w:r>
      <w:r>
        <w:rPr>
          <w:spacing w:val="-3"/>
        </w:rPr>
        <w:t> </w:t>
      </w:r>
      <w:r>
        <w:rPr/>
        <w:t>se</w:t>
      </w:r>
    </w:p>
    <w:p>
      <w:pPr>
        <w:pStyle w:val="BodyText"/>
        <w:spacing w:after="0"/>
        <w:jc w:val="both"/>
        <w:sectPr>
          <w:type w:val="continuous"/>
          <w:pgSz w:w="12240" w:h="15840"/>
          <w:pgMar w:header="724" w:footer="712" w:top="1880" w:bottom="900" w:left="1080" w:right="1080"/>
        </w:sectPr>
      </w:pPr>
    </w:p>
    <w:p>
      <w:pPr>
        <w:pStyle w:val="BodyText"/>
        <w:spacing w:before="65"/>
      </w:pPr>
    </w:p>
    <w:p>
      <w:pPr>
        <w:pStyle w:val="BodyText"/>
        <w:ind w:left="338" w:right="338"/>
        <w:jc w:val="both"/>
      </w:pPr>
      <w:r>
        <w:rPr/>
        <w:t>correrá traslado a la parte demandada para que en el mismo plazo realice su contrarréplica. Una vez formulada la réplica y contrarréplica o transcurridos los términos para ello, se dictará auto que fije fecha para la celebración de la audiencia de juicio, la cual deberá efectuarse dentro de los cinco días</w:t>
      </w:r>
      <w:r>
        <w:rPr>
          <w:spacing w:val="40"/>
        </w:rPr>
        <w:t> </w:t>
      </w:r>
      <w:r>
        <w:rPr/>
        <w:t>siguientes, salvo lo establecido en el artículo 897-F de esta Ley.</w:t>
      </w:r>
    </w:p>
    <w:p>
      <w:pPr>
        <w:pStyle w:val="BodyText"/>
        <w:spacing w:before="2"/>
      </w:pPr>
    </w:p>
    <w:p>
      <w:pPr>
        <w:pStyle w:val="BodyText"/>
        <w:ind w:left="338" w:right="340" w:firstLine="288"/>
        <w:jc w:val="both"/>
      </w:pPr>
      <w:r>
        <w:rPr/>
        <w:t>En el mismo auto el juez depurará el procedimiento y, en su caso, resolverá las excepciones procesales que se hubieren opuesto; asimismo, admitirá o desechará las pruebas, según sea el caso. También fijará la forma de preparación de las pruebas y ordenará la expedición de oficios o citaciones</w:t>
      </w:r>
      <w:r>
        <w:rPr>
          <w:spacing w:val="40"/>
        </w:rPr>
        <w:t> </w:t>
      </w:r>
      <w:r>
        <w:rPr/>
        <w:t>que correspondan conforme lo establece el capítulo XII del Título Catorce de esta Ley.</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spacing w:before="0"/>
        <w:ind w:left="626" w:right="0" w:firstLine="0"/>
        <w:jc w:val="left"/>
        <w:rPr>
          <w:sz w:val="20"/>
        </w:rPr>
      </w:pPr>
      <w:bookmarkStart w:name="Artículo_897_C" w:id="1130"/>
      <w:bookmarkEnd w:id="1130"/>
      <w:r>
        <w:rPr/>
      </w:r>
      <w:r>
        <w:rPr>
          <w:rFonts w:ascii="Arial" w:hAnsi="Arial"/>
          <w:b/>
          <w:sz w:val="20"/>
        </w:rPr>
        <w:t>Artículo</w:t>
      </w:r>
      <w:r>
        <w:rPr>
          <w:rFonts w:ascii="Arial" w:hAnsi="Arial"/>
          <w:b/>
          <w:spacing w:val="-7"/>
          <w:sz w:val="20"/>
        </w:rPr>
        <w:t> </w:t>
      </w:r>
      <w:r>
        <w:rPr>
          <w:rFonts w:ascii="Arial" w:hAnsi="Arial"/>
          <w:b/>
          <w:sz w:val="20"/>
        </w:rPr>
        <w:t>897-C.-</w:t>
      </w:r>
      <w:r>
        <w:rPr>
          <w:rFonts w:ascii="Arial" w:hAnsi="Arial"/>
          <w:b/>
          <w:spacing w:val="-6"/>
          <w:sz w:val="20"/>
        </w:rPr>
        <w:t> </w:t>
      </w:r>
      <w:r>
        <w:rPr>
          <w:sz w:val="20"/>
        </w:rPr>
        <w:t>La</w:t>
      </w:r>
      <w:r>
        <w:rPr>
          <w:spacing w:val="-7"/>
          <w:sz w:val="20"/>
        </w:rPr>
        <w:t> </w:t>
      </w:r>
      <w:r>
        <w:rPr>
          <w:sz w:val="20"/>
        </w:rPr>
        <w:t>audiencia</w:t>
      </w:r>
      <w:r>
        <w:rPr>
          <w:spacing w:val="-7"/>
          <w:sz w:val="20"/>
        </w:rPr>
        <w:t> </w:t>
      </w:r>
      <w:r>
        <w:rPr>
          <w:sz w:val="20"/>
        </w:rPr>
        <w:t>de</w:t>
      </w:r>
      <w:r>
        <w:rPr>
          <w:spacing w:val="-6"/>
          <w:sz w:val="20"/>
        </w:rPr>
        <w:t> </w:t>
      </w:r>
      <w:r>
        <w:rPr>
          <w:sz w:val="20"/>
        </w:rPr>
        <w:t>juicio</w:t>
      </w:r>
      <w:r>
        <w:rPr>
          <w:spacing w:val="-5"/>
          <w:sz w:val="20"/>
        </w:rPr>
        <w:t> </w:t>
      </w:r>
      <w:r>
        <w:rPr>
          <w:sz w:val="20"/>
        </w:rPr>
        <w:t>se</w:t>
      </w:r>
      <w:r>
        <w:rPr>
          <w:spacing w:val="-8"/>
          <w:sz w:val="20"/>
        </w:rPr>
        <w:t> </w:t>
      </w:r>
      <w:r>
        <w:rPr>
          <w:sz w:val="20"/>
        </w:rPr>
        <w:t>desarrollará</w:t>
      </w:r>
      <w:r>
        <w:rPr>
          <w:spacing w:val="-4"/>
          <w:sz w:val="20"/>
        </w:rPr>
        <w:t> </w:t>
      </w:r>
      <w:r>
        <w:rPr>
          <w:sz w:val="20"/>
        </w:rPr>
        <w:t>de</w:t>
      </w:r>
      <w:r>
        <w:rPr>
          <w:spacing w:val="-6"/>
          <w:sz w:val="20"/>
        </w:rPr>
        <w:t> </w:t>
      </w:r>
      <w:r>
        <w:rPr>
          <w:sz w:val="20"/>
        </w:rPr>
        <w:t>la</w:t>
      </w:r>
      <w:r>
        <w:rPr>
          <w:spacing w:val="-8"/>
          <w:sz w:val="20"/>
        </w:rPr>
        <w:t> </w:t>
      </w:r>
      <w:r>
        <w:rPr>
          <w:sz w:val="20"/>
        </w:rPr>
        <w:t>siguiente</w:t>
      </w:r>
      <w:r>
        <w:rPr>
          <w:spacing w:val="-7"/>
          <w:sz w:val="20"/>
        </w:rPr>
        <w:t> </w:t>
      </w:r>
      <w:r>
        <w:rPr>
          <w:spacing w:val="-2"/>
          <w:sz w:val="20"/>
        </w:rPr>
        <w:t>manera:</w:t>
      </w:r>
    </w:p>
    <w:p>
      <w:pPr>
        <w:pStyle w:val="BodyText"/>
        <w:spacing w:before="2"/>
      </w:pPr>
    </w:p>
    <w:p>
      <w:pPr>
        <w:pStyle w:val="ListParagraph"/>
        <w:numPr>
          <w:ilvl w:val="0"/>
          <w:numId w:val="320"/>
        </w:numPr>
        <w:tabs>
          <w:tab w:pos="1195" w:val="left" w:leader="none"/>
        </w:tabs>
        <w:spacing w:line="240" w:lineRule="auto" w:before="0" w:after="0"/>
        <w:ind w:left="1195" w:right="0" w:hanging="569"/>
        <w:jc w:val="left"/>
        <w:rPr>
          <w:sz w:val="20"/>
        </w:rPr>
      </w:pPr>
      <w:r>
        <w:rPr>
          <w:sz w:val="20"/>
        </w:rPr>
        <w:t>El</w:t>
      </w:r>
      <w:r>
        <w:rPr>
          <w:spacing w:val="-7"/>
          <w:sz w:val="20"/>
        </w:rPr>
        <w:t> </w:t>
      </w:r>
      <w:r>
        <w:rPr>
          <w:sz w:val="20"/>
        </w:rPr>
        <w:t>juez</w:t>
      </w:r>
      <w:r>
        <w:rPr>
          <w:spacing w:val="-5"/>
          <w:sz w:val="20"/>
        </w:rPr>
        <w:t> </w:t>
      </w:r>
      <w:r>
        <w:rPr>
          <w:sz w:val="20"/>
        </w:rPr>
        <w:t>abrirá</w:t>
      </w:r>
      <w:r>
        <w:rPr>
          <w:spacing w:val="-4"/>
          <w:sz w:val="20"/>
        </w:rPr>
        <w:t> </w:t>
      </w:r>
      <w:r>
        <w:rPr>
          <w:sz w:val="20"/>
        </w:rPr>
        <w:t>la</w:t>
      </w:r>
      <w:r>
        <w:rPr>
          <w:spacing w:val="-4"/>
          <w:sz w:val="20"/>
        </w:rPr>
        <w:t> </w:t>
      </w:r>
      <w:r>
        <w:rPr>
          <w:sz w:val="20"/>
        </w:rPr>
        <w:t>fase</w:t>
      </w:r>
      <w:r>
        <w:rPr>
          <w:spacing w:val="-5"/>
          <w:sz w:val="20"/>
        </w:rPr>
        <w:t> </w:t>
      </w:r>
      <w:r>
        <w:rPr>
          <w:sz w:val="20"/>
        </w:rPr>
        <w:t>de</w:t>
      </w:r>
      <w:r>
        <w:rPr>
          <w:spacing w:val="-6"/>
          <w:sz w:val="20"/>
        </w:rPr>
        <w:t> </w:t>
      </w:r>
      <w:r>
        <w:rPr>
          <w:sz w:val="20"/>
        </w:rPr>
        <w:t>desahogo</w:t>
      </w:r>
      <w:r>
        <w:rPr>
          <w:spacing w:val="-4"/>
          <w:sz w:val="20"/>
        </w:rPr>
        <w:t> </w:t>
      </w:r>
      <w:r>
        <w:rPr>
          <w:sz w:val="20"/>
        </w:rPr>
        <w:t>de</w:t>
      </w:r>
      <w:r>
        <w:rPr>
          <w:spacing w:val="-5"/>
          <w:sz w:val="20"/>
        </w:rPr>
        <w:t> </w:t>
      </w:r>
      <w:r>
        <w:rPr>
          <w:spacing w:val="-2"/>
          <w:sz w:val="20"/>
        </w:rPr>
        <w:t>pruebas;</w:t>
      </w:r>
    </w:p>
    <w:p>
      <w:pPr>
        <w:pStyle w:val="BodyText"/>
        <w:spacing w:before="1"/>
      </w:pPr>
    </w:p>
    <w:p>
      <w:pPr>
        <w:pStyle w:val="ListParagraph"/>
        <w:numPr>
          <w:ilvl w:val="0"/>
          <w:numId w:val="320"/>
        </w:numPr>
        <w:tabs>
          <w:tab w:pos="1192" w:val="left" w:leader="none"/>
          <w:tab w:pos="1195" w:val="left" w:leader="none"/>
        </w:tabs>
        <w:spacing w:line="240" w:lineRule="auto" w:before="0" w:after="0"/>
        <w:ind w:left="1195" w:right="341" w:hanging="569"/>
        <w:jc w:val="both"/>
        <w:rPr>
          <w:sz w:val="20"/>
        </w:rPr>
      </w:pPr>
      <w:r>
        <w:rPr>
          <w:sz w:val="20"/>
        </w:rPr>
        <w:t>Se desahogarán ante el juez las pruebas admitidas y preparadas. La audiencia no se suspenderá ni diferirá en ningún caso por falta de preparación de las pruebas admitidas, salvo causa justificada; tratándose de la prueba de recuento se señalará día, hora y lugar para su realización, y</w:t>
      </w:r>
    </w:p>
    <w:p>
      <w:pPr>
        <w:pStyle w:val="ListParagraph"/>
        <w:numPr>
          <w:ilvl w:val="0"/>
          <w:numId w:val="320"/>
        </w:numPr>
        <w:tabs>
          <w:tab w:pos="1191" w:val="left" w:leader="none"/>
          <w:tab w:pos="1195" w:val="left" w:leader="none"/>
        </w:tabs>
        <w:spacing w:line="240" w:lineRule="auto" w:before="229" w:after="0"/>
        <w:ind w:left="1195" w:right="334" w:hanging="569"/>
        <w:jc w:val="both"/>
        <w:rPr>
          <w:sz w:val="20"/>
        </w:rPr>
      </w:pPr>
      <w:r>
        <w:rPr>
          <w:sz w:val="20"/>
        </w:rPr>
        <w:t>Desahogadas las pruebas, las partes formularán alegatos en forma oral; acto seguido el juez declarará cerrada la etapa de juicio y suspenderá la audiencia, citando a las partes para oír sentencia dentro de los tres días posteriores.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right="357" w:firstLine="288"/>
      </w:pPr>
      <w:bookmarkStart w:name="Artículo_897_D" w:id="1131"/>
      <w:bookmarkEnd w:id="1131"/>
      <w:r>
        <w:rPr/>
      </w:r>
      <w:r>
        <w:rPr>
          <w:rFonts w:ascii="Arial" w:hAnsi="Arial"/>
          <w:b/>
        </w:rPr>
        <w:t>Artículo 897-D.- </w:t>
      </w:r>
      <w:r>
        <w:rPr/>
        <w:t>El juez dictará su resolución tomando en cuenta</w:t>
      </w:r>
      <w:r>
        <w:rPr>
          <w:spacing w:val="23"/>
        </w:rPr>
        <w:t> </w:t>
      </w:r>
      <w:r>
        <w:rPr/>
        <w:t>los alegatos y pruebas aportadas</w:t>
      </w:r>
      <w:r>
        <w:rPr>
          <w:spacing w:val="80"/>
        </w:rPr>
        <w:t> </w:t>
      </w:r>
      <w:r>
        <w:rPr/>
        <w:t>por las partes.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338" w:right="337" w:firstLine="288"/>
        <w:jc w:val="both"/>
      </w:pPr>
      <w:bookmarkStart w:name="Artículo_897_E" w:id="1132"/>
      <w:bookmarkEnd w:id="1132"/>
      <w:r>
        <w:rPr/>
      </w:r>
      <w:r>
        <w:rPr>
          <w:rFonts w:ascii="Arial" w:hAnsi="Arial"/>
          <w:b/>
        </w:rPr>
        <w:t>Artículo 897-E.- </w:t>
      </w:r>
      <w:r>
        <w:rPr/>
        <w:t>En la sesión de lectura de sentencia el Juez expondrá oralmente y de forma breve</w:t>
      </w:r>
      <w:r>
        <w:rPr>
          <w:spacing w:val="40"/>
        </w:rPr>
        <w:t> </w:t>
      </w:r>
      <w:r>
        <w:rPr/>
        <w:t>las consideraciones y motivos de su resolución; leerá únicamente los puntos resolutivos, dejando a disposición de las partes copia</w:t>
      </w:r>
      <w:r>
        <w:rPr>
          <w:spacing w:val="-1"/>
        </w:rPr>
        <w:t> </w:t>
      </w:r>
      <w:r>
        <w:rPr/>
        <w:t>de la sentencia y</w:t>
      </w:r>
      <w:r>
        <w:rPr>
          <w:spacing w:val="-4"/>
        </w:rPr>
        <w:t> </w:t>
      </w:r>
      <w:r>
        <w:rPr/>
        <w:t>cerrará</w:t>
      </w:r>
      <w:r>
        <w:rPr>
          <w:spacing w:val="-1"/>
        </w:rPr>
        <w:t> </w:t>
      </w:r>
      <w:r>
        <w:rPr/>
        <w:t>la audiencia de juicio,</w:t>
      </w:r>
      <w:r>
        <w:rPr>
          <w:spacing w:val="-1"/>
        </w:rPr>
        <w:t> </w:t>
      </w:r>
      <w:r>
        <w:rPr/>
        <w:t>con lo que</w:t>
      </w:r>
      <w:r>
        <w:rPr>
          <w:spacing w:val="-1"/>
        </w:rPr>
        <w:t> </w:t>
      </w:r>
      <w:r>
        <w:rPr/>
        <w:t>se pondrá fin al </w:t>
      </w:r>
      <w:r>
        <w:rPr>
          <w:spacing w:val="-2"/>
        </w:rPr>
        <w:t>procedimiento.</w:t>
      </w:r>
    </w:p>
    <w:p>
      <w:pPr>
        <w:pStyle w:val="BodyText"/>
        <w:spacing w:before="1"/>
      </w:pPr>
    </w:p>
    <w:p>
      <w:pPr>
        <w:pStyle w:val="BodyText"/>
        <w:spacing w:before="1"/>
        <w:ind w:left="338" w:right="343" w:firstLine="288"/>
        <w:jc w:val="both"/>
      </w:pPr>
      <w:r>
        <w:rPr/>
        <w:t>Contra las resoluciones pronunciadas en el procedimiento especial colectivo no procederá recurso alguno. No obstante, de oficio o a petición de parte se podrán subsanar las omisiones o irregularidades que se adviertan para el solo efecto de regularizar el procedimiento.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right="357" w:firstLine="288"/>
      </w:pPr>
      <w:bookmarkStart w:name="Artículo_897_F" w:id="1133"/>
      <w:bookmarkEnd w:id="1133"/>
      <w:r>
        <w:rPr/>
      </w:r>
      <w:r>
        <w:rPr>
          <w:rFonts w:ascii="Arial" w:hAnsi="Arial"/>
          <w:b/>
        </w:rPr>
        <w:t>Artículo</w:t>
      </w:r>
      <w:r>
        <w:rPr>
          <w:rFonts w:ascii="Arial" w:hAnsi="Arial"/>
          <w:b/>
          <w:spacing w:val="23"/>
        </w:rPr>
        <w:t> </w:t>
      </w:r>
      <w:r>
        <w:rPr>
          <w:rFonts w:ascii="Arial" w:hAnsi="Arial"/>
          <w:b/>
        </w:rPr>
        <w:t>897-F.-</w:t>
      </w:r>
      <w:r>
        <w:rPr>
          <w:rFonts w:ascii="Arial" w:hAnsi="Arial"/>
          <w:b/>
          <w:spacing w:val="23"/>
        </w:rPr>
        <w:t> </w:t>
      </w:r>
      <w:r>
        <w:rPr/>
        <w:t>Si se</w:t>
      </w:r>
      <w:r>
        <w:rPr>
          <w:spacing w:val="22"/>
        </w:rPr>
        <w:t> </w:t>
      </w:r>
      <w:r>
        <w:rPr/>
        <w:t>ofrece el recuento</w:t>
      </w:r>
      <w:r>
        <w:rPr>
          <w:spacing w:val="22"/>
        </w:rPr>
        <w:t> </w:t>
      </w:r>
      <w:r>
        <w:rPr/>
        <w:t>de los</w:t>
      </w:r>
      <w:r>
        <w:rPr>
          <w:spacing w:val="23"/>
        </w:rPr>
        <w:t> </w:t>
      </w:r>
      <w:r>
        <w:rPr/>
        <w:t>trabajadores,</w:t>
      </w:r>
      <w:r>
        <w:rPr>
          <w:spacing w:val="22"/>
        </w:rPr>
        <w:t> </w:t>
      </w:r>
      <w:r>
        <w:rPr/>
        <w:t>para</w:t>
      </w:r>
      <w:r>
        <w:rPr>
          <w:spacing w:val="22"/>
        </w:rPr>
        <w:t> </w:t>
      </w:r>
      <w:r>
        <w:rPr/>
        <w:t>preparar su</w:t>
      </w:r>
      <w:r>
        <w:rPr>
          <w:spacing w:val="22"/>
        </w:rPr>
        <w:t> </w:t>
      </w:r>
      <w:r>
        <w:rPr/>
        <w:t>desahogo mediante voto personal, libre, directo y secreto, el Tribunal llevará a cabo las siguientes diligencias:</w:t>
      </w:r>
    </w:p>
    <w:p>
      <w:pPr>
        <w:pStyle w:val="ListParagraph"/>
        <w:numPr>
          <w:ilvl w:val="0"/>
          <w:numId w:val="321"/>
        </w:numPr>
        <w:tabs>
          <w:tab w:pos="1195" w:val="left" w:leader="none"/>
        </w:tabs>
        <w:spacing w:line="242" w:lineRule="auto" w:before="224" w:after="0"/>
        <w:ind w:left="1195" w:right="345" w:hanging="569"/>
        <w:jc w:val="left"/>
        <w:rPr>
          <w:sz w:val="20"/>
        </w:rPr>
      </w:pPr>
      <w:r>
        <w:rPr>
          <w:sz w:val="20"/>
        </w:rPr>
        <w:t>Con</w:t>
      </w:r>
      <w:r>
        <w:rPr>
          <w:spacing w:val="40"/>
          <w:sz w:val="20"/>
        </w:rPr>
        <w:t> </w:t>
      </w:r>
      <w:r>
        <w:rPr>
          <w:sz w:val="20"/>
        </w:rPr>
        <w:t>objeto</w:t>
      </w:r>
      <w:r>
        <w:rPr>
          <w:spacing w:val="40"/>
          <w:sz w:val="20"/>
        </w:rPr>
        <w:t> </w:t>
      </w:r>
      <w:r>
        <w:rPr>
          <w:sz w:val="20"/>
        </w:rPr>
        <w:t>de</w:t>
      </w:r>
      <w:r>
        <w:rPr>
          <w:spacing w:val="40"/>
          <w:sz w:val="20"/>
        </w:rPr>
        <w:t> </w:t>
      </w:r>
      <w:r>
        <w:rPr>
          <w:sz w:val="20"/>
        </w:rPr>
        <w:t>definir</w:t>
      </w:r>
      <w:r>
        <w:rPr>
          <w:spacing w:val="40"/>
          <w:sz w:val="20"/>
        </w:rPr>
        <w:t> </w:t>
      </w:r>
      <w:r>
        <w:rPr>
          <w:sz w:val="20"/>
        </w:rPr>
        <w:t>los</w:t>
      </w:r>
      <w:r>
        <w:rPr>
          <w:spacing w:val="40"/>
          <w:sz w:val="20"/>
        </w:rPr>
        <w:t> </w:t>
      </w:r>
      <w:r>
        <w:rPr>
          <w:sz w:val="20"/>
        </w:rPr>
        <w:t>trabajadores</w:t>
      </w:r>
      <w:r>
        <w:rPr>
          <w:spacing w:val="40"/>
          <w:sz w:val="20"/>
        </w:rPr>
        <w:t> </w:t>
      </w:r>
      <w:r>
        <w:rPr>
          <w:sz w:val="20"/>
        </w:rPr>
        <w:t>que</w:t>
      </w:r>
      <w:r>
        <w:rPr>
          <w:spacing w:val="40"/>
          <w:sz w:val="20"/>
        </w:rPr>
        <w:t> </w:t>
      </w:r>
      <w:r>
        <w:rPr>
          <w:sz w:val="20"/>
        </w:rPr>
        <w:t>tienen</w:t>
      </w:r>
      <w:r>
        <w:rPr>
          <w:spacing w:val="40"/>
          <w:sz w:val="20"/>
        </w:rPr>
        <w:t> </w:t>
      </w:r>
      <w:r>
        <w:rPr>
          <w:sz w:val="20"/>
        </w:rPr>
        <w:t>derecho</w:t>
      </w:r>
      <w:r>
        <w:rPr>
          <w:spacing w:val="40"/>
          <w:sz w:val="20"/>
        </w:rPr>
        <w:t> </w:t>
      </w:r>
      <w:r>
        <w:rPr>
          <w:sz w:val="20"/>
        </w:rPr>
        <w:t>a</w:t>
      </w:r>
      <w:r>
        <w:rPr>
          <w:spacing w:val="40"/>
          <w:sz w:val="20"/>
        </w:rPr>
        <w:t> </w:t>
      </w:r>
      <w:r>
        <w:rPr>
          <w:sz w:val="20"/>
        </w:rPr>
        <w:t>votar,</w:t>
      </w:r>
      <w:r>
        <w:rPr>
          <w:spacing w:val="40"/>
          <w:sz w:val="20"/>
        </w:rPr>
        <w:t> </w:t>
      </w:r>
      <w:r>
        <w:rPr>
          <w:sz w:val="20"/>
        </w:rPr>
        <w:t>dentro</w:t>
      </w:r>
      <w:r>
        <w:rPr>
          <w:spacing w:val="40"/>
          <w:sz w:val="20"/>
        </w:rPr>
        <w:t> </w:t>
      </w:r>
      <w:r>
        <w:rPr>
          <w:sz w:val="20"/>
        </w:rPr>
        <w:t>de</w:t>
      </w:r>
      <w:r>
        <w:rPr>
          <w:spacing w:val="40"/>
          <w:sz w:val="20"/>
        </w:rPr>
        <w:t> </w:t>
      </w:r>
      <w:r>
        <w:rPr>
          <w:sz w:val="20"/>
        </w:rPr>
        <w:t>los</w:t>
      </w:r>
      <w:r>
        <w:rPr>
          <w:spacing w:val="40"/>
          <w:sz w:val="20"/>
        </w:rPr>
        <w:t> </w:t>
      </w:r>
      <w:r>
        <w:rPr>
          <w:sz w:val="20"/>
        </w:rPr>
        <w:t>dos</w:t>
      </w:r>
      <w:r>
        <w:rPr>
          <w:spacing w:val="40"/>
          <w:sz w:val="20"/>
        </w:rPr>
        <w:t> </w:t>
      </w:r>
      <w:r>
        <w:rPr>
          <w:sz w:val="20"/>
        </w:rPr>
        <w:t>días siguientes a la recepción de la demanda, requerirá:</w:t>
      </w:r>
    </w:p>
    <w:p>
      <w:pPr>
        <w:pStyle w:val="ListParagraph"/>
        <w:numPr>
          <w:ilvl w:val="1"/>
          <w:numId w:val="321"/>
        </w:numPr>
        <w:tabs>
          <w:tab w:pos="1656" w:val="left" w:leader="none"/>
          <w:tab w:pos="1658" w:val="left" w:leader="none"/>
        </w:tabs>
        <w:spacing w:line="240" w:lineRule="auto" w:before="228" w:after="0"/>
        <w:ind w:left="1658" w:right="338" w:hanging="454"/>
        <w:jc w:val="both"/>
        <w:rPr>
          <w:sz w:val="20"/>
        </w:rPr>
      </w:pPr>
      <w:r>
        <w:rPr>
          <w:sz w:val="20"/>
        </w:rPr>
        <w:t>Al Instituto Mexicano del Seguro Social o institución de seguridad social homologa,</w:t>
      </w:r>
      <w:r>
        <w:rPr>
          <w:spacing w:val="40"/>
          <w:sz w:val="20"/>
        </w:rPr>
        <w:t> </w:t>
      </w:r>
      <w:r>
        <w:rPr>
          <w:sz w:val="20"/>
        </w:rPr>
        <w:t>Servicio de Administración Tributaria, Instituto del Fondo Nacional de la Vivienda para los Trabajadores y demás autoridades que por la naturaleza de su actividad puedan tener información de los trabajadores del centro de trabajo, la información necesaria a fin de elaborar el padrón que servirá de base en la prueba de recuento; esta información abarcará el período de tres meses de anticipación a la fecha de presentación de la </w:t>
      </w:r>
      <w:r>
        <w:rPr>
          <w:spacing w:val="-2"/>
          <w:sz w:val="20"/>
        </w:rPr>
        <w:t>demanda;</w:t>
      </w:r>
    </w:p>
    <w:p>
      <w:pPr>
        <w:pStyle w:val="ListParagraph"/>
        <w:spacing w:after="0" w:line="240" w:lineRule="auto"/>
        <w:jc w:val="both"/>
        <w:rPr>
          <w:sz w:val="20"/>
        </w:rPr>
        <w:sectPr>
          <w:pgSz w:w="12240" w:h="15840"/>
          <w:pgMar w:header="724" w:footer="712" w:top="1880" w:bottom="900" w:left="1080" w:right="1080"/>
        </w:sectPr>
      </w:pPr>
    </w:p>
    <w:p>
      <w:pPr>
        <w:pStyle w:val="BodyText"/>
        <w:spacing w:before="63"/>
      </w:pPr>
    </w:p>
    <w:p>
      <w:pPr>
        <w:pStyle w:val="ListParagraph"/>
        <w:numPr>
          <w:ilvl w:val="1"/>
          <w:numId w:val="321"/>
        </w:numPr>
        <w:tabs>
          <w:tab w:pos="1656" w:val="left" w:leader="none"/>
          <w:tab w:pos="1658" w:val="left" w:leader="none"/>
        </w:tabs>
        <w:spacing w:line="240" w:lineRule="auto" w:before="0" w:after="0"/>
        <w:ind w:left="1658" w:right="343" w:hanging="454"/>
        <w:jc w:val="both"/>
        <w:rPr>
          <w:sz w:val="20"/>
        </w:rPr>
      </w:pPr>
      <w:r>
        <w:rPr>
          <w:sz w:val="20"/>
        </w:rPr>
        <w:t>Al patrón, para que bajo protesta de decir verdad, informe el nombre de todos sus trabajadores, distinguiendo los de confianza, los sindicalizables y sindicalizados, además de precisar puesto, salario y fecha de ingreso. Asimismo, señalará los nombres de los trabajadores que hayan ingresado a laborar, hayan sido despedidos o dejado de prestar sus servicios con tres meses de anterioridad a la fecha de la presentación de la demanda, y anexará un ejemplar del contrato colectivo de trabajo;</w:t>
      </w:r>
    </w:p>
    <w:p>
      <w:pPr>
        <w:pStyle w:val="BodyText"/>
      </w:pPr>
    </w:p>
    <w:p>
      <w:pPr>
        <w:pStyle w:val="ListParagraph"/>
        <w:numPr>
          <w:ilvl w:val="1"/>
          <w:numId w:val="321"/>
        </w:numPr>
        <w:tabs>
          <w:tab w:pos="1656" w:val="left" w:leader="none"/>
          <w:tab w:pos="1658" w:val="left" w:leader="none"/>
        </w:tabs>
        <w:spacing w:line="242" w:lineRule="auto" w:before="0" w:after="0"/>
        <w:ind w:left="1658" w:right="336" w:hanging="454"/>
        <w:jc w:val="both"/>
        <w:rPr>
          <w:sz w:val="20"/>
        </w:rPr>
      </w:pPr>
      <w:r>
        <w:rPr>
          <w:sz w:val="20"/>
        </w:rPr>
        <w:t>Al Centro Federal de Conciliación y Registro Laboral, la documentación e información relativa al registro del contrato colectivo o de la administración del contrato-ley, tabuladores, padrones de trabajadores afiliados a los sindicatos contendientes y toda aquella información que posea.</w:t>
      </w:r>
    </w:p>
    <w:p>
      <w:pPr>
        <w:pStyle w:val="BodyText"/>
        <w:spacing w:before="224"/>
        <w:ind w:left="1195" w:right="331"/>
        <w:jc w:val="both"/>
      </w:pPr>
      <w:r>
        <w:rPr/>
        <w:t>Esta información deberá ser entregada al Tribunal en el plazo de cinco días. Con copia de la misma se les correrá traslado a las partes a fin de que dentro del plazo de siete días formulen objeciones a los informes recibidos y a los listados de trabajadores, así como para que</w:t>
      </w:r>
      <w:r>
        <w:rPr>
          <w:spacing w:val="40"/>
        </w:rPr>
        <w:t> </w:t>
      </w:r>
      <w:r>
        <w:rPr/>
        <w:t>ofrezcan, en su caso, las pruebas de que dispongan para sustentar sus objeciones;</w:t>
      </w:r>
    </w:p>
    <w:p>
      <w:pPr>
        <w:pStyle w:val="ListParagraph"/>
        <w:numPr>
          <w:ilvl w:val="0"/>
          <w:numId w:val="321"/>
        </w:numPr>
        <w:tabs>
          <w:tab w:pos="1192" w:val="left" w:leader="none"/>
          <w:tab w:pos="1195" w:val="left" w:leader="none"/>
        </w:tabs>
        <w:spacing w:line="242" w:lineRule="auto" w:before="227" w:after="0"/>
        <w:ind w:left="1195" w:right="340" w:hanging="569"/>
        <w:jc w:val="both"/>
        <w:rPr>
          <w:sz w:val="20"/>
        </w:rPr>
      </w:pPr>
      <w:r>
        <w:rPr>
          <w:sz w:val="20"/>
        </w:rPr>
        <w:t>Una vez recibidas las objeciones o transcurrido el plazo para ello, el Tribunal citará a las partes dentro de los tres días siguientes a una audiencia incidental de objeciones y preparación al recuento. En dicha audiencia incidental el Tribunal acordará sobre la admisión y desahogo de las pruebas documentales que hubieran ofrecido las partes.</w:t>
      </w:r>
    </w:p>
    <w:p>
      <w:pPr>
        <w:pStyle w:val="BodyText"/>
        <w:spacing w:before="225"/>
        <w:ind w:left="1195" w:right="334"/>
        <w:jc w:val="both"/>
      </w:pPr>
      <w:r>
        <w:rPr/>
        <w:t>Una vez desahogadas las pruebas documentales, dentro de los siete días siguientes a que se dicte el acuerdo respectivo, el Tribunal elaborará el padrón que servirá de base para el</w:t>
      </w:r>
      <w:r>
        <w:rPr>
          <w:spacing w:val="40"/>
        </w:rPr>
        <w:t> </w:t>
      </w:r>
      <w:r>
        <w:rPr/>
        <w:t>recuento, y señalará lugar, fecha y hora, así como condiciones bajo las que se desahogará el recuento de los trabajadores mediante voto personal, libre, directo y secreto, conforme al procedimiento establecido en el artículo 390 Bis, fracción II, incisos c) a j), de la presente Ley, con las modalidades contempladas en el presente artículo; en dicho acuerdo el juez facultará a él o los funcionarios o personal que deberá llevar a cabo el procedimiento del recuento.</w:t>
      </w:r>
    </w:p>
    <w:p>
      <w:pPr>
        <w:pStyle w:val="BodyText"/>
        <w:spacing w:before="229"/>
        <w:ind w:left="1195" w:right="341"/>
        <w:jc w:val="both"/>
      </w:pPr>
      <w:r>
        <w:rPr/>
        <w:t>El juez garantizará que el procedimiento de recuento se realice en los términos y plazos establecidos en este artículo y que las objeciones presentadas no impliquen la dilación del </w:t>
      </w:r>
      <w:r>
        <w:rPr>
          <w:spacing w:val="-2"/>
        </w:rPr>
        <w:t>procedimiento;</w:t>
      </w:r>
    </w:p>
    <w:p>
      <w:pPr>
        <w:pStyle w:val="BodyText"/>
      </w:pPr>
    </w:p>
    <w:p>
      <w:pPr>
        <w:pStyle w:val="ListParagraph"/>
        <w:numPr>
          <w:ilvl w:val="0"/>
          <w:numId w:val="321"/>
        </w:numPr>
        <w:tabs>
          <w:tab w:pos="1191" w:val="left" w:leader="none"/>
          <w:tab w:pos="1195" w:val="left" w:leader="none"/>
        </w:tabs>
        <w:spacing w:line="240" w:lineRule="auto" w:before="0" w:after="0"/>
        <w:ind w:left="1195" w:right="344" w:hanging="569"/>
        <w:jc w:val="both"/>
        <w:rPr>
          <w:sz w:val="20"/>
        </w:rPr>
      </w:pPr>
      <w:r>
        <w:rPr>
          <w:sz w:val="20"/>
        </w:rPr>
        <w:t>El Tribunal correrá traslado a las partes con el padrón autorizado y con el acuerdo en el que se ordena el desahogo del recuento, y</w:t>
      </w:r>
    </w:p>
    <w:p>
      <w:pPr>
        <w:pStyle w:val="ListParagraph"/>
        <w:numPr>
          <w:ilvl w:val="0"/>
          <w:numId w:val="321"/>
        </w:numPr>
        <w:tabs>
          <w:tab w:pos="1195" w:val="left" w:leader="none"/>
        </w:tabs>
        <w:spacing w:line="242" w:lineRule="auto" w:before="229" w:after="0"/>
        <w:ind w:left="1195" w:right="341" w:hanging="569"/>
        <w:jc w:val="both"/>
        <w:rPr>
          <w:sz w:val="20"/>
        </w:rPr>
      </w:pPr>
      <w:r>
        <w:rPr>
          <w:sz w:val="20"/>
        </w:rPr>
        <w:t>Desahogado el recuento el Tribunal citará a las partes a la audiencia de juicio prevista en el artículo 897-C de esta Ley, la cual deberá celebrarse a más tardar en los cinco días siguientes.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6" w:firstLine="288"/>
        <w:jc w:val="both"/>
      </w:pPr>
      <w:bookmarkStart w:name="Artículo_897_G" w:id="1134"/>
      <w:bookmarkEnd w:id="1134"/>
      <w:r>
        <w:rPr/>
      </w:r>
      <w:r>
        <w:rPr>
          <w:rFonts w:ascii="Arial" w:hAnsi="Arial"/>
          <w:b/>
        </w:rPr>
        <w:t>Artículo 897-G.- </w:t>
      </w:r>
      <w:r>
        <w:rPr/>
        <w:t>Cuando se trate de conflictos entre sindicatos a los que se refieren los artículos 389</w:t>
      </w:r>
      <w:r>
        <w:rPr>
          <w:spacing w:val="40"/>
        </w:rPr>
        <w:t> </w:t>
      </w:r>
      <w:r>
        <w:rPr/>
        <w:t>y 418 de esta Ley, si en el desarrollo del procedimiento se advierte la injerencia del patrón a favor de alguno de los sindicatos contendientes o la comisión de actos de violencia por algunas de las partes, el Juez tomará las medidas necesarias para que el ejercicio del voto de los trabajadores se realice con</w:t>
      </w:r>
      <w:r>
        <w:rPr>
          <w:spacing w:val="40"/>
        </w:rPr>
        <w:t> </w:t>
      </w:r>
      <w:r>
        <w:rPr/>
        <w:t>plena libertad y seguridad, con independencia de que de vista de los hechos a las autoridades penales y administrativas correspondientes para su sanción.</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2"/>
        <w:rPr>
          <w:rFonts w:ascii="Times New Roman"/>
          <w:i/>
        </w:rPr>
      </w:pPr>
    </w:p>
    <w:p>
      <w:pPr>
        <w:spacing w:line="229" w:lineRule="exact" w:before="0"/>
        <w:ind w:left="626" w:right="0" w:firstLine="0"/>
        <w:jc w:val="left"/>
        <w:rPr>
          <w:sz w:val="20"/>
        </w:rPr>
      </w:pPr>
      <w:bookmarkStart w:name="Artículo_898" w:id="1135"/>
      <w:bookmarkEnd w:id="1135"/>
      <w:r>
        <w:rPr/>
      </w:r>
      <w:r>
        <w:rPr>
          <w:rFonts w:ascii="Arial" w:hAnsi="Arial"/>
          <w:b/>
          <w:sz w:val="20"/>
        </w:rPr>
        <w:t>Artículo</w:t>
      </w:r>
      <w:r>
        <w:rPr>
          <w:rFonts w:ascii="Arial" w:hAnsi="Arial"/>
          <w:b/>
          <w:spacing w:val="-6"/>
          <w:sz w:val="20"/>
        </w:rPr>
        <w:t> </w:t>
      </w:r>
      <w:r>
        <w:rPr>
          <w:rFonts w:ascii="Arial" w:hAnsi="Arial"/>
          <w:b/>
          <w:sz w:val="20"/>
        </w:rPr>
        <w:t>898.-</w:t>
      </w:r>
      <w:r>
        <w:rPr>
          <w:rFonts w:ascii="Arial" w:hAnsi="Arial"/>
          <w:b/>
          <w:spacing w:val="-4"/>
          <w:sz w:val="20"/>
        </w:rPr>
        <w:t> </w:t>
      </w:r>
      <w:r>
        <w:rPr>
          <w:sz w:val="20"/>
        </w:rPr>
        <w:t>Se</w:t>
      </w:r>
      <w:r>
        <w:rPr>
          <w:spacing w:val="-5"/>
          <w:sz w:val="20"/>
        </w:rPr>
        <w:t> </w:t>
      </w:r>
      <w:r>
        <w:rPr>
          <w:spacing w:val="-2"/>
          <w:sz w:val="20"/>
        </w:rPr>
        <w:t>deroga.</w:t>
      </w:r>
    </w:p>
    <w:p>
      <w:pPr>
        <w:spacing w:line="183" w:lineRule="exact" w:before="0"/>
        <w:ind w:left="54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spacing w:before="0"/>
        <w:ind w:left="626" w:right="0" w:firstLine="0"/>
        <w:jc w:val="left"/>
        <w:rPr>
          <w:sz w:val="20"/>
        </w:rPr>
      </w:pPr>
      <w:bookmarkStart w:name="Artículo_899" w:id="1136"/>
      <w:bookmarkEnd w:id="1136"/>
      <w:r>
        <w:rPr/>
      </w:r>
      <w:r>
        <w:rPr>
          <w:rFonts w:ascii="Arial" w:hAnsi="Arial"/>
          <w:b/>
          <w:sz w:val="20"/>
        </w:rPr>
        <w:t>Artículo</w:t>
      </w:r>
      <w:r>
        <w:rPr>
          <w:rFonts w:ascii="Arial" w:hAnsi="Arial"/>
          <w:b/>
          <w:spacing w:val="-6"/>
          <w:sz w:val="20"/>
        </w:rPr>
        <w:t> </w:t>
      </w:r>
      <w:r>
        <w:rPr>
          <w:rFonts w:ascii="Arial" w:hAnsi="Arial"/>
          <w:b/>
          <w:sz w:val="20"/>
        </w:rPr>
        <w:t>899.-</w:t>
      </w:r>
      <w:r>
        <w:rPr>
          <w:rFonts w:ascii="Arial" w:hAnsi="Arial"/>
          <w:b/>
          <w:spacing w:val="-4"/>
          <w:sz w:val="20"/>
        </w:rPr>
        <w:t> </w:t>
      </w:r>
      <w:r>
        <w:rPr>
          <w:sz w:val="20"/>
        </w:rPr>
        <w:t>Se</w:t>
      </w:r>
      <w:r>
        <w:rPr>
          <w:spacing w:val="-5"/>
          <w:sz w:val="20"/>
        </w:rPr>
        <w:t> </w:t>
      </w:r>
      <w:r>
        <w:rPr>
          <w:spacing w:val="-2"/>
          <w:sz w:val="20"/>
        </w:rPr>
        <w:t>deroga.</w:t>
      </w:r>
    </w:p>
    <w:p>
      <w:pPr>
        <w:spacing w:after="0"/>
        <w:jc w:val="left"/>
        <w:rPr>
          <w:sz w:val="20"/>
        </w:rPr>
        <w:sectPr>
          <w:pgSz w:w="12240" w:h="15840"/>
          <w:pgMar w:header="724" w:footer="712" w:top="1880" w:bottom="900" w:left="1080" w:right="1080"/>
        </w:sectPr>
      </w:pPr>
    </w:p>
    <w:p>
      <w:pPr>
        <w:pStyle w:val="BodyText"/>
        <w:spacing w:before="109"/>
        <w:rPr>
          <w:sz w:val="16"/>
        </w:rPr>
      </w:pPr>
    </w:p>
    <w:p>
      <w:pPr>
        <w:spacing w:before="0"/>
        <w:ind w:left="54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Heading2"/>
        <w:ind w:left="300"/>
      </w:pPr>
      <w:r>
        <w:rPr/>
        <w:t>Sección</w:t>
      </w:r>
      <w:r>
        <w:rPr>
          <w:spacing w:val="-3"/>
        </w:rPr>
        <w:t> </w:t>
      </w:r>
      <w:r>
        <w:rPr>
          <w:spacing w:val="-2"/>
        </w:rPr>
        <w:t>Primera</w:t>
      </w:r>
    </w:p>
    <w:p>
      <w:pPr>
        <w:spacing w:before="2"/>
        <w:ind w:left="296" w:right="296" w:firstLine="0"/>
        <w:jc w:val="center"/>
        <w:rPr>
          <w:rFonts w:ascii="Arial"/>
          <w:b/>
          <w:sz w:val="22"/>
        </w:rPr>
      </w:pPr>
      <w:r>
        <w:rPr>
          <w:rFonts w:ascii="Arial"/>
          <w:b/>
          <w:sz w:val="22"/>
        </w:rPr>
        <w:t>Conflictos</w:t>
      </w:r>
      <w:r>
        <w:rPr>
          <w:rFonts w:ascii="Arial"/>
          <w:b/>
          <w:spacing w:val="-9"/>
          <w:sz w:val="22"/>
        </w:rPr>
        <w:t> </w:t>
      </w:r>
      <w:r>
        <w:rPr>
          <w:rFonts w:ascii="Arial"/>
          <w:b/>
          <w:sz w:val="22"/>
        </w:rPr>
        <w:t>Individuales</w:t>
      </w:r>
      <w:r>
        <w:rPr>
          <w:rFonts w:ascii="Arial"/>
          <w:b/>
          <w:spacing w:val="-8"/>
          <w:sz w:val="22"/>
        </w:rPr>
        <w:t> </w:t>
      </w:r>
      <w:r>
        <w:rPr>
          <w:rFonts w:ascii="Arial"/>
          <w:b/>
          <w:sz w:val="22"/>
        </w:rPr>
        <w:t>de</w:t>
      </w:r>
      <w:r>
        <w:rPr>
          <w:rFonts w:ascii="Arial"/>
          <w:b/>
          <w:spacing w:val="-6"/>
          <w:sz w:val="22"/>
        </w:rPr>
        <w:t> </w:t>
      </w:r>
      <w:r>
        <w:rPr>
          <w:rFonts w:ascii="Arial"/>
          <w:b/>
          <w:sz w:val="22"/>
        </w:rPr>
        <w:t>Seguridad</w:t>
      </w:r>
      <w:r>
        <w:rPr>
          <w:rFonts w:ascii="Arial"/>
          <w:b/>
          <w:spacing w:val="-6"/>
          <w:sz w:val="22"/>
        </w:rPr>
        <w:t> </w:t>
      </w:r>
      <w:r>
        <w:rPr>
          <w:rFonts w:ascii="Arial"/>
          <w:b/>
          <w:spacing w:val="-2"/>
          <w:sz w:val="22"/>
        </w:rPr>
        <w:t>Social</w:t>
      </w:r>
    </w:p>
    <w:p>
      <w:pPr>
        <w:spacing w:before="0"/>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ind w:left="338" w:right="337" w:firstLine="288"/>
        <w:jc w:val="both"/>
      </w:pPr>
      <w:bookmarkStart w:name="Artículo_899_A" w:id="1137"/>
      <w:bookmarkEnd w:id="1137"/>
      <w:r>
        <w:rPr/>
      </w:r>
      <w:r>
        <w:rPr>
          <w:rFonts w:ascii="Arial" w:hAnsi="Arial"/>
          <w:b/>
        </w:rPr>
        <w:t>Artículo 899-A. </w:t>
      </w:r>
      <w:r>
        <w:rPr/>
        <w:t>Los conflictos individuales de seguridad social son los que tienen por objeto reclamar el otorgamiento de prestaciones en dinero o en especie, derivadas de los diversos seguros que</w:t>
      </w:r>
      <w:r>
        <w:rPr>
          <w:spacing w:val="40"/>
        </w:rPr>
        <w:t> </w:t>
      </w:r>
      <w:r>
        <w:rPr/>
        <w:t>componen el régimen obligatorio del Seguro Social, organizado y administrado por el Instituto Mexicano del Seguro Social, y de aquellas que conforme a la Ley del Seguro Social y la Ley del Instituto del Fondo Nacional de</w:t>
      </w:r>
      <w:r>
        <w:rPr>
          <w:spacing w:val="-2"/>
        </w:rPr>
        <w:t> </w:t>
      </w:r>
      <w:r>
        <w:rPr/>
        <w:t>la</w:t>
      </w:r>
      <w:r>
        <w:rPr>
          <w:spacing w:val="-1"/>
        </w:rPr>
        <w:t> </w:t>
      </w:r>
      <w:r>
        <w:rPr/>
        <w:t>Vivienda para</w:t>
      </w:r>
      <w:r>
        <w:rPr>
          <w:spacing w:val="-1"/>
        </w:rPr>
        <w:t> </w:t>
      </w:r>
      <w:r>
        <w:rPr/>
        <w:t>los Trabajadores,</w:t>
      </w:r>
      <w:r>
        <w:rPr>
          <w:spacing w:val="-1"/>
        </w:rPr>
        <w:t> </w:t>
      </w:r>
      <w:r>
        <w:rPr/>
        <w:t>deban cubrir el</w:t>
      </w:r>
      <w:r>
        <w:rPr>
          <w:spacing w:val="-2"/>
        </w:rPr>
        <w:t> </w:t>
      </w:r>
      <w:r>
        <w:rPr/>
        <w:t>Instituto</w:t>
      </w:r>
      <w:r>
        <w:rPr>
          <w:spacing w:val="-2"/>
        </w:rPr>
        <w:t> </w:t>
      </w:r>
      <w:r>
        <w:rPr/>
        <w:t>del</w:t>
      </w:r>
      <w:r>
        <w:rPr>
          <w:spacing w:val="-2"/>
        </w:rPr>
        <w:t> </w:t>
      </w:r>
      <w:r>
        <w:rPr/>
        <w:t>Fondo Nacional de</w:t>
      </w:r>
      <w:r>
        <w:rPr>
          <w:spacing w:val="-2"/>
        </w:rPr>
        <w:t> </w:t>
      </w:r>
      <w:r>
        <w:rPr/>
        <w:t>la</w:t>
      </w:r>
      <w:r>
        <w:rPr>
          <w:spacing w:val="-1"/>
        </w:rPr>
        <w:t> </w:t>
      </w:r>
      <w:r>
        <w:rPr/>
        <w:t>Vivienda para los Trabajadores y las Administradoras de Fondos para el Retiro, así como las que resulten aplicables en virtud de contratos colectivos de trabajo o contratos-Ley que contengan beneficios en materia de seguridad social.</w:t>
      </w:r>
    </w:p>
    <w:p>
      <w:pPr>
        <w:pStyle w:val="BodyText"/>
        <w:spacing w:before="5"/>
      </w:pPr>
    </w:p>
    <w:p>
      <w:pPr>
        <w:pStyle w:val="BodyText"/>
        <w:ind w:left="338" w:right="348" w:firstLine="288"/>
        <w:jc w:val="both"/>
      </w:pPr>
      <w:r>
        <w:rPr/>
        <w:t>La competencia para conocer de estos conflictos, por razón de territorio corresponderá al Tribunal del lugar en el que se encuentre la clínica del Instituto Mexicano del Seguro Social a la cual se encuentren adscritos los asegurados o sus beneficiarios.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338" w:right="334" w:firstLine="288"/>
        <w:jc w:val="both"/>
      </w:pPr>
      <w:r>
        <w:rPr/>
        <w:t>En caso de que se demanden únicamente prestaciones relacionadas con la devolución de fondos</w:t>
      </w:r>
      <w:r>
        <w:rPr>
          <w:spacing w:val="80"/>
        </w:rPr>
        <w:t> </w:t>
      </w:r>
      <w:r>
        <w:rPr/>
        <w:t>para el retiro y vivienda, corresponderá la competencia al Tribunal federal de la entidad federativa donde se encuentre el último centro de trabajo del derechohabiente.</w:t>
      </w:r>
    </w:p>
    <w:p>
      <w:pPr>
        <w:spacing w:line="240" w:lineRule="auto" w:before="0"/>
        <w:ind w:left="7302" w:right="0" w:firstLine="62"/>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1"/>
        <w:rPr>
          <w:rFonts w:ascii="Times New Roman"/>
          <w:i/>
          <w:sz w:val="16"/>
        </w:rPr>
      </w:pPr>
    </w:p>
    <w:p>
      <w:pPr>
        <w:pStyle w:val="BodyText"/>
        <w:spacing w:before="1"/>
        <w:ind w:left="626"/>
      </w:pPr>
      <w:bookmarkStart w:name="Artículo_899_B" w:id="1138"/>
      <w:bookmarkEnd w:id="1138"/>
      <w:r>
        <w:rPr/>
      </w:r>
      <w:r>
        <w:rPr>
          <w:rFonts w:ascii="Arial" w:hAnsi="Arial"/>
          <w:b/>
        </w:rPr>
        <w:t>Artículo</w:t>
      </w:r>
      <w:r>
        <w:rPr>
          <w:rFonts w:ascii="Arial" w:hAnsi="Arial"/>
          <w:b/>
          <w:spacing w:val="-9"/>
        </w:rPr>
        <w:t> </w:t>
      </w:r>
      <w:r>
        <w:rPr>
          <w:rFonts w:ascii="Arial" w:hAnsi="Arial"/>
          <w:b/>
        </w:rPr>
        <w:t>899-B.</w:t>
      </w:r>
      <w:r>
        <w:rPr>
          <w:rFonts w:ascii="Arial" w:hAnsi="Arial"/>
          <w:b/>
          <w:spacing w:val="-6"/>
        </w:rPr>
        <w:t> </w:t>
      </w:r>
      <w:r>
        <w:rPr/>
        <w:t>Los</w:t>
      </w:r>
      <w:r>
        <w:rPr>
          <w:spacing w:val="-9"/>
        </w:rPr>
        <w:t> </w:t>
      </w:r>
      <w:r>
        <w:rPr/>
        <w:t>conflictos</w:t>
      </w:r>
      <w:r>
        <w:rPr>
          <w:spacing w:val="-8"/>
        </w:rPr>
        <w:t> </w:t>
      </w:r>
      <w:r>
        <w:rPr/>
        <w:t>individuales</w:t>
      </w:r>
      <w:r>
        <w:rPr>
          <w:spacing w:val="-8"/>
        </w:rPr>
        <w:t> </w:t>
      </w:r>
      <w:r>
        <w:rPr/>
        <w:t>de</w:t>
      </w:r>
      <w:r>
        <w:rPr>
          <w:spacing w:val="-9"/>
        </w:rPr>
        <w:t> </w:t>
      </w:r>
      <w:r>
        <w:rPr/>
        <w:t>seguridad</w:t>
      </w:r>
      <w:r>
        <w:rPr>
          <w:spacing w:val="-10"/>
        </w:rPr>
        <w:t> </w:t>
      </w:r>
      <w:r>
        <w:rPr/>
        <w:t>social,</w:t>
      </w:r>
      <w:r>
        <w:rPr>
          <w:spacing w:val="-8"/>
        </w:rPr>
        <w:t> </w:t>
      </w:r>
      <w:r>
        <w:rPr/>
        <w:t>podrán</w:t>
      </w:r>
      <w:r>
        <w:rPr>
          <w:spacing w:val="-9"/>
        </w:rPr>
        <w:t> </w:t>
      </w:r>
      <w:r>
        <w:rPr/>
        <w:t>ser</w:t>
      </w:r>
      <w:r>
        <w:rPr>
          <w:spacing w:val="-9"/>
        </w:rPr>
        <w:t> </w:t>
      </w:r>
      <w:r>
        <w:rPr/>
        <w:t>planteados</w:t>
      </w:r>
      <w:r>
        <w:rPr>
          <w:spacing w:val="-7"/>
        </w:rPr>
        <w:t> </w:t>
      </w:r>
      <w:r>
        <w:rPr>
          <w:spacing w:val="-4"/>
        </w:rPr>
        <w:t>por:</w:t>
      </w:r>
    </w:p>
    <w:p>
      <w:pPr>
        <w:pStyle w:val="BodyText"/>
        <w:spacing w:before="1"/>
      </w:pPr>
    </w:p>
    <w:p>
      <w:pPr>
        <w:pStyle w:val="ListParagraph"/>
        <w:numPr>
          <w:ilvl w:val="0"/>
          <w:numId w:val="322"/>
        </w:numPr>
        <w:tabs>
          <w:tab w:pos="1193" w:val="left" w:leader="none"/>
          <w:tab w:pos="1195" w:val="left" w:leader="none"/>
        </w:tabs>
        <w:spacing w:line="242" w:lineRule="auto" w:before="0" w:after="0"/>
        <w:ind w:left="1195" w:right="343" w:hanging="569"/>
        <w:jc w:val="both"/>
        <w:rPr>
          <w:sz w:val="20"/>
        </w:rPr>
      </w:pPr>
      <w:r>
        <w:rPr>
          <w:sz w:val="20"/>
        </w:rPr>
        <w:t>Los trabajadores, asegurados, pensionados o sus beneficiarios, que sean titulares de derechos derivados de los seguros que comprende el régimen obligatorio del Seguro Social;</w:t>
      </w:r>
    </w:p>
    <w:p>
      <w:pPr>
        <w:pStyle w:val="ListParagraph"/>
        <w:numPr>
          <w:ilvl w:val="0"/>
          <w:numId w:val="322"/>
        </w:numPr>
        <w:tabs>
          <w:tab w:pos="1192" w:val="left" w:leader="none"/>
          <w:tab w:pos="1195" w:val="left" w:leader="none"/>
        </w:tabs>
        <w:spacing w:line="242" w:lineRule="auto" w:before="224" w:after="0"/>
        <w:ind w:left="1195" w:right="348" w:hanging="569"/>
        <w:jc w:val="both"/>
        <w:rPr>
          <w:sz w:val="20"/>
        </w:rPr>
      </w:pPr>
      <w:r>
        <w:rPr>
          <w:sz w:val="20"/>
        </w:rPr>
        <w:t>Los trabajadores que sean titulares de derechos derivados del Fondo Nacional de la Vivienda para los Trabajadores o sus beneficiarios;</w:t>
      </w:r>
    </w:p>
    <w:p>
      <w:pPr>
        <w:pStyle w:val="ListParagraph"/>
        <w:numPr>
          <w:ilvl w:val="0"/>
          <w:numId w:val="322"/>
        </w:numPr>
        <w:tabs>
          <w:tab w:pos="1191" w:val="left" w:leader="none"/>
          <w:tab w:pos="1195" w:val="left" w:leader="none"/>
        </w:tabs>
        <w:spacing w:line="242" w:lineRule="auto" w:before="227" w:after="0"/>
        <w:ind w:left="1195" w:right="342" w:hanging="569"/>
        <w:jc w:val="both"/>
        <w:rPr>
          <w:sz w:val="20"/>
        </w:rPr>
      </w:pPr>
      <w:r>
        <w:rPr>
          <w:sz w:val="20"/>
        </w:rPr>
        <w:t>Los titulares de las cuentas individuales del Sistema de Ahorro para el Retiro de los</w:t>
      </w:r>
      <w:r>
        <w:rPr>
          <w:spacing w:val="40"/>
          <w:sz w:val="20"/>
        </w:rPr>
        <w:t> </w:t>
      </w:r>
      <w:r>
        <w:rPr>
          <w:sz w:val="20"/>
        </w:rPr>
        <w:t>trabajadores sujetos a esta Ley o sus beneficiarios; y</w:t>
      </w:r>
    </w:p>
    <w:p>
      <w:pPr>
        <w:pStyle w:val="ListParagraph"/>
        <w:numPr>
          <w:ilvl w:val="0"/>
          <w:numId w:val="322"/>
        </w:numPr>
        <w:tabs>
          <w:tab w:pos="1195" w:val="left" w:leader="none"/>
        </w:tabs>
        <w:spacing w:line="242" w:lineRule="auto" w:before="224" w:after="0"/>
        <w:ind w:left="1195" w:right="336" w:hanging="569"/>
        <w:jc w:val="both"/>
        <w:rPr>
          <w:sz w:val="20"/>
        </w:rPr>
      </w:pPr>
      <w:r>
        <w:rPr>
          <w:sz w:val="20"/>
        </w:rPr>
        <w:t>Los trabajadores a quienes les resulten aplicables los contratos colectivos de trabajo o contratos-Ley que contengan beneficios en materia de seguridad social.</w:t>
      </w:r>
    </w:p>
    <w:p>
      <w:pPr>
        <w:spacing w:line="180"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338" w:firstLine="288"/>
      </w:pPr>
      <w:bookmarkStart w:name="Artículo_899_C" w:id="1139"/>
      <w:bookmarkEnd w:id="1139"/>
      <w:r>
        <w:rPr/>
      </w:r>
      <w:r>
        <w:rPr>
          <w:rFonts w:ascii="Arial" w:hAnsi="Arial"/>
          <w:b/>
        </w:rPr>
        <w:t>Artículo</w:t>
      </w:r>
      <w:r>
        <w:rPr>
          <w:rFonts w:ascii="Arial" w:hAnsi="Arial"/>
          <w:b/>
          <w:spacing w:val="40"/>
        </w:rPr>
        <w:t> </w:t>
      </w:r>
      <w:r>
        <w:rPr>
          <w:rFonts w:ascii="Arial" w:hAnsi="Arial"/>
          <w:b/>
        </w:rPr>
        <w:t>899-C.</w:t>
      </w:r>
      <w:r>
        <w:rPr>
          <w:rFonts w:ascii="Arial" w:hAnsi="Arial"/>
          <w:b/>
          <w:spacing w:val="40"/>
        </w:rPr>
        <w:t> </w:t>
      </w:r>
      <w:r>
        <w:rPr/>
        <w:t>Las</w:t>
      </w:r>
      <w:r>
        <w:rPr>
          <w:spacing w:val="40"/>
        </w:rPr>
        <w:t> </w:t>
      </w:r>
      <w:r>
        <w:rPr/>
        <w:t>demandas</w:t>
      </w:r>
      <w:r>
        <w:rPr>
          <w:spacing w:val="40"/>
        </w:rPr>
        <w:t> </w:t>
      </w:r>
      <w:r>
        <w:rPr/>
        <w:t>relativas</w:t>
      </w:r>
      <w:r>
        <w:rPr>
          <w:spacing w:val="40"/>
        </w:rPr>
        <w:t> </w:t>
      </w:r>
      <w:r>
        <w:rPr/>
        <w:t>a</w:t>
      </w:r>
      <w:r>
        <w:rPr>
          <w:spacing w:val="40"/>
        </w:rPr>
        <w:t> </w:t>
      </w:r>
      <w:r>
        <w:rPr/>
        <w:t>los</w:t>
      </w:r>
      <w:r>
        <w:rPr>
          <w:spacing w:val="40"/>
        </w:rPr>
        <w:t> </w:t>
      </w:r>
      <w:r>
        <w:rPr/>
        <w:t>conflictos</w:t>
      </w:r>
      <w:r>
        <w:rPr>
          <w:spacing w:val="40"/>
        </w:rPr>
        <w:t> </w:t>
      </w:r>
      <w:r>
        <w:rPr/>
        <w:t>a</w:t>
      </w:r>
      <w:r>
        <w:rPr>
          <w:spacing w:val="40"/>
        </w:rPr>
        <w:t> </w:t>
      </w:r>
      <w:r>
        <w:rPr/>
        <w:t>que</w:t>
      </w:r>
      <w:r>
        <w:rPr>
          <w:spacing w:val="40"/>
        </w:rPr>
        <w:t> </w:t>
      </w:r>
      <w:r>
        <w:rPr/>
        <w:t>se</w:t>
      </w:r>
      <w:r>
        <w:rPr>
          <w:spacing w:val="40"/>
        </w:rPr>
        <w:t> </w:t>
      </w:r>
      <w:r>
        <w:rPr/>
        <w:t>refiere</w:t>
      </w:r>
      <w:r>
        <w:rPr>
          <w:spacing w:val="40"/>
        </w:rPr>
        <w:t> </w:t>
      </w:r>
      <w:r>
        <w:rPr/>
        <w:t>esta</w:t>
      </w:r>
      <w:r>
        <w:rPr>
          <w:spacing w:val="40"/>
        </w:rPr>
        <w:t> </w:t>
      </w:r>
      <w:r>
        <w:rPr/>
        <w:t>sección,</w:t>
      </w:r>
      <w:r>
        <w:rPr>
          <w:spacing w:val="40"/>
        </w:rPr>
        <w:t> </w:t>
      </w:r>
      <w:r>
        <w:rPr/>
        <w:t>deberán </w:t>
      </w:r>
      <w:r>
        <w:rPr>
          <w:spacing w:val="-2"/>
        </w:rPr>
        <w:t>contener:</w:t>
      </w:r>
    </w:p>
    <w:p>
      <w:pPr>
        <w:pStyle w:val="ListParagraph"/>
        <w:numPr>
          <w:ilvl w:val="0"/>
          <w:numId w:val="323"/>
        </w:numPr>
        <w:tabs>
          <w:tab w:pos="1193" w:val="left" w:leader="none"/>
          <w:tab w:pos="1195" w:val="left" w:leader="none"/>
        </w:tabs>
        <w:spacing w:line="242" w:lineRule="auto" w:before="227" w:after="0"/>
        <w:ind w:left="1195" w:right="341" w:hanging="569"/>
        <w:jc w:val="both"/>
        <w:rPr>
          <w:sz w:val="20"/>
        </w:rPr>
      </w:pPr>
      <w:r>
        <w:rPr>
          <w:sz w:val="20"/>
        </w:rPr>
        <w:t>Nombre, domicilio y fecha de nacimiento del promovente y los documentos que acrediten su </w:t>
      </w:r>
      <w:r>
        <w:rPr>
          <w:spacing w:val="-2"/>
          <w:sz w:val="20"/>
        </w:rPr>
        <w:t>personalidad;</w:t>
      </w:r>
    </w:p>
    <w:p>
      <w:pPr>
        <w:pStyle w:val="ListParagraph"/>
        <w:numPr>
          <w:ilvl w:val="0"/>
          <w:numId w:val="323"/>
        </w:numPr>
        <w:tabs>
          <w:tab w:pos="1195" w:val="left" w:leader="none"/>
        </w:tabs>
        <w:spacing w:line="240" w:lineRule="auto" w:before="224" w:after="0"/>
        <w:ind w:left="1195" w:right="0" w:hanging="569"/>
        <w:jc w:val="left"/>
        <w:rPr>
          <w:sz w:val="20"/>
        </w:rPr>
      </w:pPr>
      <w:r>
        <w:rPr>
          <w:sz w:val="20"/>
        </w:rPr>
        <w:t>Exposición</w:t>
      </w:r>
      <w:r>
        <w:rPr>
          <w:spacing w:val="-5"/>
          <w:sz w:val="20"/>
        </w:rPr>
        <w:t> </w:t>
      </w:r>
      <w:r>
        <w:rPr>
          <w:sz w:val="20"/>
        </w:rPr>
        <w:t>de</w:t>
      </w:r>
      <w:r>
        <w:rPr>
          <w:spacing w:val="-5"/>
          <w:sz w:val="20"/>
        </w:rPr>
        <w:t> </w:t>
      </w:r>
      <w:r>
        <w:rPr>
          <w:sz w:val="20"/>
        </w:rPr>
        <w:t>los</w:t>
      </w:r>
      <w:r>
        <w:rPr>
          <w:spacing w:val="-4"/>
          <w:sz w:val="20"/>
        </w:rPr>
        <w:t> </w:t>
      </w:r>
      <w:r>
        <w:rPr>
          <w:sz w:val="20"/>
        </w:rPr>
        <w:t>hechos</w:t>
      </w:r>
      <w:r>
        <w:rPr>
          <w:spacing w:val="-3"/>
          <w:sz w:val="20"/>
        </w:rPr>
        <w:t> </w:t>
      </w:r>
      <w:r>
        <w:rPr>
          <w:sz w:val="20"/>
        </w:rPr>
        <w:t>y</w:t>
      </w:r>
      <w:r>
        <w:rPr>
          <w:spacing w:val="-7"/>
          <w:sz w:val="20"/>
        </w:rPr>
        <w:t> </w:t>
      </w:r>
      <w:r>
        <w:rPr>
          <w:sz w:val="20"/>
        </w:rPr>
        <w:t>causas</w:t>
      </w:r>
      <w:r>
        <w:rPr>
          <w:spacing w:val="-4"/>
          <w:sz w:val="20"/>
        </w:rPr>
        <w:t> </w:t>
      </w:r>
      <w:r>
        <w:rPr>
          <w:sz w:val="20"/>
        </w:rPr>
        <w:t>que</w:t>
      </w:r>
      <w:r>
        <w:rPr>
          <w:spacing w:val="-4"/>
          <w:sz w:val="20"/>
        </w:rPr>
        <w:t> </w:t>
      </w:r>
      <w:r>
        <w:rPr>
          <w:sz w:val="20"/>
        </w:rPr>
        <w:t>dan</w:t>
      </w:r>
      <w:r>
        <w:rPr>
          <w:spacing w:val="-5"/>
          <w:sz w:val="20"/>
        </w:rPr>
        <w:t> </w:t>
      </w:r>
      <w:r>
        <w:rPr>
          <w:sz w:val="20"/>
        </w:rPr>
        <w:t>origen</w:t>
      </w:r>
      <w:r>
        <w:rPr>
          <w:spacing w:val="-4"/>
          <w:sz w:val="20"/>
        </w:rPr>
        <w:t> </w:t>
      </w:r>
      <w:r>
        <w:rPr>
          <w:sz w:val="20"/>
        </w:rPr>
        <w:t>a</w:t>
      </w:r>
      <w:r>
        <w:rPr>
          <w:spacing w:val="-7"/>
          <w:sz w:val="20"/>
        </w:rPr>
        <w:t> </w:t>
      </w:r>
      <w:r>
        <w:rPr>
          <w:sz w:val="20"/>
        </w:rPr>
        <w:t>su</w:t>
      </w:r>
      <w:r>
        <w:rPr>
          <w:spacing w:val="-5"/>
          <w:sz w:val="20"/>
        </w:rPr>
        <w:t> </w:t>
      </w:r>
      <w:r>
        <w:rPr>
          <w:spacing w:val="-2"/>
          <w:sz w:val="20"/>
        </w:rPr>
        <w:t>reclamación;</w:t>
      </w:r>
    </w:p>
    <w:p>
      <w:pPr>
        <w:pStyle w:val="BodyText"/>
        <w:spacing w:before="1"/>
      </w:pPr>
    </w:p>
    <w:p>
      <w:pPr>
        <w:pStyle w:val="ListParagraph"/>
        <w:numPr>
          <w:ilvl w:val="0"/>
          <w:numId w:val="323"/>
        </w:numPr>
        <w:tabs>
          <w:tab w:pos="1195" w:val="left" w:leader="none"/>
        </w:tabs>
        <w:spacing w:line="240" w:lineRule="auto" w:before="0" w:after="0"/>
        <w:ind w:left="1195" w:right="0" w:hanging="569"/>
        <w:jc w:val="left"/>
        <w:rPr>
          <w:sz w:val="20"/>
        </w:rPr>
      </w:pPr>
      <w:r>
        <w:rPr>
          <w:sz w:val="20"/>
        </w:rPr>
        <w:t>Las</w:t>
      </w:r>
      <w:r>
        <w:rPr>
          <w:spacing w:val="-8"/>
          <w:sz w:val="20"/>
        </w:rPr>
        <w:t> </w:t>
      </w:r>
      <w:r>
        <w:rPr>
          <w:sz w:val="20"/>
        </w:rPr>
        <w:t>pretensiones</w:t>
      </w:r>
      <w:r>
        <w:rPr>
          <w:spacing w:val="-7"/>
          <w:sz w:val="20"/>
        </w:rPr>
        <w:t> </w:t>
      </w:r>
      <w:r>
        <w:rPr>
          <w:sz w:val="20"/>
        </w:rPr>
        <w:t>del</w:t>
      </w:r>
      <w:r>
        <w:rPr>
          <w:spacing w:val="-7"/>
          <w:sz w:val="20"/>
        </w:rPr>
        <w:t> </w:t>
      </w:r>
      <w:r>
        <w:rPr>
          <w:sz w:val="20"/>
        </w:rPr>
        <w:t>promovente,</w:t>
      </w:r>
      <w:r>
        <w:rPr>
          <w:spacing w:val="-6"/>
          <w:sz w:val="20"/>
        </w:rPr>
        <w:t> </w:t>
      </w:r>
      <w:r>
        <w:rPr>
          <w:sz w:val="20"/>
        </w:rPr>
        <w:t>expresando</w:t>
      </w:r>
      <w:r>
        <w:rPr>
          <w:spacing w:val="-9"/>
          <w:sz w:val="20"/>
        </w:rPr>
        <w:t> </w:t>
      </w:r>
      <w:r>
        <w:rPr>
          <w:sz w:val="20"/>
        </w:rPr>
        <w:t>claramente</w:t>
      </w:r>
      <w:r>
        <w:rPr>
          <w:spacing w:val="-6"/>
          <w:sz w:val="20"/>
        </w:rPr>
        <w:t> </w:t>
      </w:r>
      <w:r>
        <w:rPr>
          <w:sz w:val="20"/>
        </w:rPr>
        <w:t>lo</w:t>
      </w:r>
      <w:r>
        <w:rPr>
          <w:spacing w:val="-7"/>
          <w:sz w:val="20"/>
        </w:rPr>
        <w:t> </w:t>
      </w:r>
      <w:r>
        <w:rPr>
          <w:sz w:val="20"/>
        </w:rPr>
        <w:t>que</w:t>
      </w:r>
      <w:r>
        <w:rPr>
          <w:spacing w:val="-6"/>
          <w:sz w:val="20"/>
        </w:rPr>
        <w:t> </w:t>
      </w:r>
      <w:r>
        <w:rPr>
          <w:sz w:val="20"/>
        </w:rPr>
        <w:t>se</w:t>
      </w:r>
      <w:r>
        <w:rPr>
          <w:spacing w:val="-8"/>
          <w:sz w:val="20"/>
        </w:rPr>
        <w:t> </w:t>
      </w:r>
      <w:r>
        <w:rPr>
          <w:sz w:val="20"/>
        </w:rPr>
        <w:t>le</w:t>
      </w:r>
      <w:r>
        <w:rPr>
          <w:spacing w:val="-8"/>
          <w:sz w:val="20"/>
        </w:rPr>
        <w:t> </w:t>
      </w:r>
      <w:r>
        <w:rPr>
          <w:spacing w:val="-2"/>
          <w:sz w:val="20"/>
        </w:rPr>
        <w:t>pide;</w:t>
      </w:r>
    </w:p>
    <w:p>
      <w:pPr>
        <w:pStyle w:val="BodyText"/>
        <w:spacing w:before="1"/>
      </w:pPr>
    </w:p>
    <w:p>
      <w:pPr>
        <w:pStyle w:val="ListParagraph"/>
        <w:numPr>
          <w:ilvl w:val="0"/>
          <w:numId w:val="323"/>
        </w:numPr>
        <w:tabs>
          <w:tab w:pos="1195" w:val="left" w:leader="none"/>
        </w:tabs>
        <w:spacing w:line="240" w:lineRule="auto" w:before="0" w:after="0"/>
        <w:ind w:left="1195" w:right="341" w:hanging="569"/>
        <w:jc w:val="both"/>
        <w:rPr>
          <w:sz w:val="20"/>
        </w:rPr>
      </w:pPr>
      <w:r>
        <w:rPr>
          <w:sz w:val="20"/>
        </w:rPr>
        <w:t>Nombre y domicilio de las empresas o establecimientos en las que ha laborado; puestos desempeñados; actividades desarrolladas; antigüedad generada y cotizaciones al régimen de seguridad social;</w:t>
      </w:r>
    </w:p>
    <w:p>
      <w:pPr>
        <w:pStyle w:val="ListParagraph"/>
        <w:spacing w:after="0" w:line="240" w:lineRule="auto"/>
        <w:jc w:val="both"/>
        <w:rPr>
          <w:sz w:val="20"/>
        </w:rPr>
        <w:sectPr>
          <w:pgSz w:w="12240" w:h="15840"/>
          <w:pgMar w:header="724" w:footer="712" w:top="1880" w:bottom="900" w:left="1080" w:right="1080"/>
        </w:sectPr>
      </w:pPr>
    </w:p>
    <w:p>
      <w:pPr>
        <w:pStyle w:val="BodyText"/>
      </w:pPr>
    </w:p>
    <w:p>
      <w:pPr>
        <w:pStyle w:val="BodyText"/>
        <w:spacing w:before="63"/>
      </w:pPr>
    </w:p>
    <w:p>
      <w:pPr>
        <w:pStyle w:val="ListParagraph"/>
        <w:numPr>
          <w:ilvl w:val="0"/>
          <w:numId w:val="323"/>
        </w:numPr>
        <w:tabs>
          <w:tab w:pos="1195" w:val="left" w:leader="none"/>
        </w:tabs>
        <w:spacing w:line="242" w:lineRule="auto" w:before="0" w:after="0"/>
        <w:ind w:left="1195" w:right="338" w:hanging="569"/>
        <w:jc w:val="both"/>
        <w:rPr>
          <w:sz w:val="20"/>
        </w:rPr>
      </w:pPr>
      <w:r>
        <w:rPr>
          <w:sz w:val="20"/>
        </w:rPr>
        <w:t>Número de seguridad social o referencia de identificación como asegurado, pensionado o beneficiario, clínica o unidad de medicina familiar asignada;</w:t>
      </w:r>
    </w:p>
    <w:p>
      <w:pPr>
        <w:pStyle w:val="ListParagraph"/>
        <w:numPr>
          <w:ilvl w:val="0"/>
          <w:numId w:val="323"/>
        </w:numPr>
        <w:tabs>
          <w:tab w:pos="1195" w:val="left" w:leader="none"/>
        </w:tabs>
        <w:spacing w:line="240" w:lineRule="auto" w:before="227" w:after="0"/>
        <w:ind w:left="1195" w:right="335" w:hanging="569"/>
        <w:jc w:val="both"/>
        <w:rPr>
          <w:sz w:val="20"/>
        </w:rPr>
      </w:pPr>
      <w:r>
        <w:rPr>
          <w:sz w:val="20"/>
        </w:rPr>
        <w:t>En su caso, el último estado de la cuenta individual de ahorro para el retiro, constancia</w:t>
      </w:r>
      <w:r>
        <w:rPr>
          <w:spacing w:val="40"/>
          <w:sz w:val="20"/>
        </w:rPr>
        <w:t> </w:t>
      </w:r>
      <w:r>
        <w:rPr>
          <w:sz w:val="20"/>
        </w:rPr>
        <w:t>expedida por el Instituto Mexicano del Seguro Social de otorgamiento o negativa de pensión, o constancia de otorgamiento o negativa de crédito para vivienda;</w:t>
      </w:r>
    </w:p>
    <w:p>
      <w:pPr>
        <w:pStyle w:val="ListParagraph"/>
        <w:numPr>
          <w:ilvl w:val="0"/>
          <w:numId w:val="323"/>
        </w:numPr>
        <w:tabs>
          <w:tab w:pos="1193" w:val="left" w:leader="none"/>
          <w:tab w:pos="1195" w:val="left" w:leader="none"/>
        </w:tabs>
        <w:spacing w:line="240" w:lineRule="auto" w:before="229" w:after="0"/>
        <w:ind w:left="1195" w:right="338" w:hanging="569"/>
        <w:jc w:val="both"/>
        <w:rPr>
          <w:sz w:val="20"/>
        </w:rPr>
      </w:pPr>
      <w:r>
        <w:rPr>
          <w:sz w:val="20"/>
        </w:rPr>
        <w:t>Los documentos expedidos por los patrones, el Instituto</w:t>
      </w:r>
      <w:r>
        <w:rPr>
          <w:spacing w:val="-1"/>
          <w:sz w:val="20"/>
        </w:rPr>
        <w:t> </w:t>
      </w:r>
      <w:r>
        <w:rPr>
          <w:sz w:val="20"/>
        </w:rPr>
        <w:t>Mexicano</w:t>
      </w:r>
      <w:r>
        <w:rPr>
          <w:spacing w:val="-1"/>
          <w:sz w:val="20"/>
        </w:rPr>
        <w:t> </w:t>
      </w:r>
      <w:r>
        <w:rPr>
          <w:sz w:val="20"/>
        </w:rPr>
        <w:t>del Seguro Social, el</w:t>
      </w:r>
      <w:r>
        <w:rPr>
          <w:spacing w:val="-2"/>
          <w:sz w:val="20"/>
        </w:rPr>
        <w:t> </w:t>
      </w:r>
      <w:r>
        <w:rPr>
          <w:sz w:val="20"/>
        </w:rPr>
        <w:t>Instituto del Fondo Nacional de la Vivienda para los Trabajadores y la Administradora de Fondos para el Retiro correspondiente o, en su caso, el acuse de recibo de la solicitud de los mismos y, en general, la</w:t>
      </w:r>
      <w:r>
        <w:rPr>
          <w:spacing w:val="-2"/>
          <w:sz w:val="20"/>
        </w:rPr>
        <w:t> </w:t>
      </w:r>
      <w:r>
        <w:rPr>
          <w:sz w:val="20"/>
        </w:rPr>
        <w:t>información</w:t>
      </w:r>
      <w:r>
        <w:rPr>
          <w:spacing w:val="-3"/>
          <w:sz w:val="20"/>
        </w:rPr>
        <w:t> </w:t>
      </w:r>
      <w:r>
        <w:rPr>
          <w:sz w:val="20"/>
        </w:rPr>
        <w:t>necesaria</w:t>
      </w:r>
      <w:r>
        <w:rPr>
          <w:spacing w:val="-3"/>
          <w:sz w:val="20"/>
        </w:rPr>
        <w:t> </w:t>
      </w:r>
      <w:r>
        <w:rPr>
          <w:sz w:val="20"/>
        </w:rPr>
        <w:t>que</w:t>
      </w:r>
      <w:r>
        <w:rPr>
          <w:spacing w:val="-3"/>
          <w:sz w:val="20"/>
        </w:rPr>
        <w:t> </w:t>
      </w:r>
      <w:r>
        <w:rPr>
          <w:sz w:val="20"/>
        </w:rPr>
        <w:t>garantice</w:t>
      </w:r>
      <w:r>
        <w:rPr>
          <w:spacing w:val="-2"/>
          <w:sz w:val="20"/>
        </w:rPr>
        <w:t> </w:t>
      </w:r>
      <w:r>
        <w:rPr>
          <w:sz w:val="20"/>
        </w:rPr>
        <w:t>la</w:t>
      </w:r>
      <w:r>
        <w:rPr>
          <w:spacing w:val="-2"/>
          <w:sz w:val="20"/>
        </w:rPr>
        <w:t> </w:t>
      </w:r>
      <w:r>
        <w:rPr>
          <w:sz w:val="20"/>
        </w:rPr>
        <w:t>sustanciación</w:t>
      </w:r>
      <w:r>
        <w:rPr>
          <w:spacing w:val="-3"/>
          <w:sz w:val="20"/>
        </w:rPr>
        <w:t> </w:t>
      </w:r>
      <w:r>
        <w:rPr>
          <w:sz w:val="20"/>
        </w:rPr>
        <w:t>del</w:t>
      </w:r>
      <w:r>
        <w:rPr>
          <w:spacing w:val="-3"/>
          <w:sz w:val="20"/>
        </w:rPr>
        <w:t> </w:t>
      </w:r>
      <w:r>
        <w:rPr>
          <w:sz w:val="20"/>
        </w:rPr>
        <w:t>procedimiento</w:t>
      </w:r>
      <w:r>
        <w:rPr>
          <w:spacing w:val="-2"/>
          <w:sz w:val="20"/>
        </w:rPr>
        <w:t> </w:t>
      </w:r>
      <w:r>
        <w:rPr>
          <w:sz w:val="20"/>
        </w:rPr>
        <w:t>con</w:t>
      </w:r>
      <w:r>
        <w:rPr>
          <w:spacing w:val="-3"/>
          <w:sz w:val="20"/>
        </w:rPr>
        <w:t> </w:t>
      </w:r>
      <w:r>
        <w:rPr>
          <w:sz w:val="20"/>
        </w:rPr>
        <w:t>apego</w:t>
      </w:r>
      <w:r>
        <w:rPr>
          <w:spacing w:val="-3"/>
          <w:sz w:val="20"/>
        </w:rPr>
        <w:t> </w:t>
      </w:r>
      <w:r>
        <w:rPr>
          <w:sz w:val="20"/>
        </w:rPr>
        <w:t>al principio de inmediatez;</w:t>
      </w:r>
    </w:p>
    <w:p>
      <w:pPr>
        <w:pStyle w:val="BodyText"/>
        <w:spacing w:before="1"/>
      </w:pPr>
    </w:p>
    <w:p>
      <w:pPr>
        <w:pStyle w:val="ListParagraph"/>
        <w:numPr>
          <w:ilvl w:val="0"/>
          <w:numId w:val="323"/>
        </w:numPr>
        <w:tabs>
          <w:tab w:pos="1195" w:val="left" w:leader="none"/>
        </w:tabs>
        <w:spacing w:line="240" w:lineRule="auto" w:before="0" w:after="0"/>
        <w:ind w:left="1195" w:right="0" w:hanging="569"/>
        <w:jc w:val="left"/>
        <w:rPr>
          <w:sz w:val="20"/>
        </w:rPr>
      </w:pPr>
      <w:r>
        <w:rPr>
          <w:sz w:val="20"/>
        </w:rPr>
        <w:t>Las</w:t>
      </w:r>
      <w:r>
        <w:rPr>
          <w:spacing w:val="-9"/>
          <w:sz w:val="20"/>
        </w:rPr>
        <w:t> </w:t>
      </w:r>
      <w:r>
        <w:rPr>
          <w:sz w:val="20"/>
        </w:rPr>
        <w:t>demás</w:t>
      </w:r>
      <w:r>
        <w:rPr>
          <w:spacing w:val="-8"/>
          <w:sz w:val="20"/>
        </w:rPr>
        <w:t> </w:t>
      </w:r>
      <w:r>
        <w:rPr>
          <w:sz w:val="20"/>
        </w:rPr>
        <w:t>pruebas</w:t>
      </w:r>
      <w:r>
        <w:rPr>
          <w:spacing w:val="-8"/>
          <w:sz w:val="20"/>
        </w:rPr>
        <w:t> </w:t>
      </w:r>
      <w:r>
        <w:rPr>
          <w:sz w:val="20"/>
        </w:rPr>
        <w:t>que</w:t>
      </w:r>
      <w:r>
        <w:rPr>
          <w:spacing w:val="-9"/>
          <w:sz w:val="20"/>
        </w:rPr>
        <w:t> </w:t>
      </w:r>
      <w:r>
        <w:rPr>
          <w:sz w:val="20"/>
        </w:rPr>
        <w:t>juzgue</w:t>
      </w:r>
      <w:r>
        <w:rPr>
          <w:spacing w:val="-9"/>
          <w:sz w:val="20"/>
        </w:rPr>
        <w:t> </w:t>
      </w:r>
      <w:r>
        <w:rPr>
          <w:sz w:val="20"/>
        </w:rPr>
        <w:t>conveniente</w:t>
      </w:r>
      <w:r>
        <w:rPr>
          <w:spacing w:val="-8"/>
          <w:sz w:val="20"/>
        </w:rPr>
        <w:t> </w:t>
      </w:r>
      <w:r>
        <w:rPr>
          <w:sz w:val="20"/>
        </w:rPr>
        <w:t>para</w:t>
      </w:r>
      <w:r>
        <w:rPr>
          <w:spacing w:val="-7"/>
          <w:sz w:val="20"/>
        </w:rPr>
        <w:t> </w:t>
      </w:r>
      <w:r>
        <w:rPr>
          <w:sz w:val="20"/>
        </w:rPr>
        <w:t>acreditar</w:t>
      </w:r>
      <w:r>
        <w:rPr>
          <w:spacing w:val="-9"/>
          <w:sz w:val="20"/>
        </w:rPr>
        <w:t> </w:t>
      </w:r>
      <w:r>
        <w:rPr>
          <w:sz w:val="20"/>
        </w:rPr>
        <w:t>sus</w:t>
      </w:r>
      <w:r>
        <w:rPr>
          <w:spacing w:val="-8"/>
          <w:sz w:val="20"/>
        </w:rPr>
        <w:t> </w:t>
      </w:r>
      <w:r>
        <w:rPr>
          <w:sz w:val="20"/>
        </w:rPr>
        <w:t>pretensiones;</w:t>
      </w:r>
      <w:r>
        <w:rPr>
          <w:spacing w:val="-5"/>
          <w:sz w:val="20"/>
        </w:rPr>
        <w:t> </w:t>
      </w:r>
      <w:r>
        <w:rPr>
          <w:spacing w:val="-10"/>
          <w:sz w:val="20"/>
        </w:rPr>
        <w:t>y</w:t>
      </w:r>
    </w:p>
    <w:p>
      <w:pPr>
        <w:pStyle w:val="BodyText"/>
        <w:spacing w:before="1"/>
      </w:pPr>
    </w:p>
    <w:p>
      <w:pPr>
        <w:pStyle w:val="ListParagraph"/>
        <w:numPr>
          <w:ilvl w:val="0"/>
          <w:numId w:val="323"/>
        </w:numPr>
        <w:tabs>
          <w:tab w:pos="1195" w:val="left" w:leader="none"/>
        </w:tabs>
        <w:spacing w:line="229" w:lineRule="exact" w:before="0" w:after="0"/>
        <w:ind w:left="1195" w:right="0" w:hanging="569"/>
        <w:jc w:val="left"/>
        <w:rPr>
          <w:sz w:val="20"/>
        </w:rPr>
      </w:pPr>
      <w:r>
        <w:rPr>
          <w:sz w:val="20"/>
        </w:rPr>
        <w:t>Las</w:t>
      </w:r>
      <w:r>
        <w:rPr>
          <w:spacing w:val="-6"/>
          <w:sz w:val="20"/>
        </w:rPr>
        <w:t> </w:t>
      </w:r>
      <w:r>
        <w:rPr>
          <w:sz w:val="20"/>
        </w:rPr>
        <w:t>copias</w:t>
      </w:r>
      <w:r>
        <w:rPr>
          <w:spacing w:val="-5"/>
          <w:sz w:val="20"/>
        </w:rPr>
        <w:t> </w:t>
      </w:r>
      <w:r>
        <w:rPr>
          <w:sz w:val="20"/>
        </w:rPr>
        <w:t>necesarias</w:t>
      </w:r>
      <w:r>
        <w:rPr>
          <w:spacing w:val="-5"/>
          <w:sz w:val="20"/>
        </w:rPr>
        <w:t> </w:t>
      </w:r>
      <w:r>
        <w:rPr>
          <w:sz w:val="20"/>
        </w:rPr>
        <w:t>de</w:t>
      </w:r>
      <w:r>
        <w:rPr>
          <w:spacing w:val="-4"/>
          <w:sz w:val="20"/>
        </w:rPr>
        <w:t> </w:t>
      </w:r>
      <w:r>
        <w:rPr>
          <w:sz w:val="20"/>
        </w:rPr>
        <w:t>la</w:t>
      </w:r>
      <w:r>
        <w:rPr>
          <w:spacing w:val="-6"/>
          <w:sz w:val="20"/>
        </w:rPr>
        <w:t> </w:t>
      </w:r>
      <w:r>
        <w:rPr>
          <w:sz w:val="20"/>
        </w:rPr>
        <w:t>demanda</w:t>
      </w:r>
      <w:r>
        <w:rPr>
          <w:spacing w:val="-2"/>
          <w:sz w:val="20"/>
        </w:rPr>
        <w:t> </w:t>
      </w:r>
      <w:r>
        <w:rPr>
          <w:sz w:val="20"/>
        </w:rPr>
        <w:t>y</w:t>
      </w:r>
      <w:r>
        <w:rPr>
          <w:spacing w:val="-9"/>
          <w:sz w:val="20"/>
        </w:rPr>
        <w:t> </w:t>
      </w:r>
      <w:r>
        <w:rPr>
          <w:sz w:val="20"/>
        </w:rPr>
        <w:t>sus</w:t>
      </w:r>
      <w:r>
        <w:rPr>
          <w:spacing w:val="-5"/>
          <w:sz w:val="20"/>
        </w:rPr>
        <w:t> </w:t>
      </w:r>
      <w:r>
        <w:rPr>
          <w:sz w:val="20"/>
        </w:rPr>
        <w:t>anexos,</w:t>
      </w:r>
      <w:r>
        <w:rPr>
          <w:spacing w:val="-5"/>
          <w:sz w:val="20"/>
        </w:rPr>
        <w:t> </w:t>
      </w:r>
      <w:r>
        <w:rPr>
          <w:sz w:val="20"/>
        </w:rPr>
        <w:t>para</w:t>
      </w:r>
      <w:r>
        <w:rPr>
          <w:spacing w:val="-6"/>
          <w:sz w:val="20"/>
        </w:rPr>
        <w:t> </w:t>
      </w:r>
      <w:r>
        <w:rPr>
          <w:sz w:val="20"/>
        </w:rPr>
        <w:t>correr</w:t>
      </w:r>
      <w:r>
        <w:rPr>
          <w:spacing w:val="-6"/>
          <w:sz w:val="20"/>
        </w:rPr>
        <w:t> </w:t>
      </w:r>
      <w:r>
        <w:rPr>
          <w:sz w:val="20"/>
        </w:rPr>
        <w:t>traslado</w:t>
      </w:r>
      <w:r>
        <w:rPr>
          <w:spacing w:val="-7"/>
          <w:sz w:val="20"/>
        </w:rPr>
        <w:t> </w:t>
      </w:r>
      <w:r>
        <w:rPr>
          <w:sz w:val="20"/>
        </w:rPr>
        <w:t>a</w:t>
      </w:r>
      <w:r>
        <w:rPr>
          <w:spacing w:val="-4"/>
          <w:sz w:val="20"/>
        </w:rPr>
        <w:t> </w:t>
      </w:r>
      <w:r>
        <w:rPr>
          <w:sz w:val="20"/>
        </w:rPr>
        <w:t>la</w:t>
      </w:r>
      <w:r>
        <w:rPr>
          <w:spacing w:val="-4"/>
          <w:sz w:val="20"/>
        </w:rPr>
        <w:t> </w:t>
      </w:r>
      <w:r>
        <w:rPr>
          <w:spacing w:val="-2"/>
          <w:sz w:val="20"/>
        </w:rPr>
        <w:t>contraparte.</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40" w:firstLine="288"/>
        <w:jc w:val="both"/>
      </w:pPr>
      <w:bookmarkStart w:name="Artículo_899_D" w:id="1140"/>
      <w:bookmarkEnd w:id="1140"/>
      <w:r>
        <w:rPr/>
      </w:r>
      <w:r>
        <w:rPr>
          <w:rFonts w:ascii="Arial" w:hAnsi="Arial"/>
          <w:b/>
        </w:rPr>
        <w:t>Artículo 899-D. </w:t>
      </w:r>
      <w:r>
        <w:rPr/>
        <w:t>Los organismos de seguridad social, conforme a lo dispuesto por el artículo 784 deberán exhibir los documentos que, de acuerdo con las Leyes, tienen la obligación legal de expedir y conservar, bajo el apercibimiento de que de no presentarlos, se presumirán ciertos los hechos alegados por el promovente. En todo caso, corresponde a los organismos de seguridad social, probar su dicho cuando exista controversia sobre:</w:t>
      </w:r>
    </w:p>
    <w:p>
      <w:pPr>
        <w:pStyle w:val="BodyText"/>
      </w:pPr>
    </w:p>
    <w:p>
      <w:pPr>
        <w:pStyle w:val="ListParagraph"/>
        <w:numPr>
          <w:ilvl w:val="0"/>
          <w:numId w:val="324"/>
        </w:numPr>
        <w:tabs>
          <w:tab w:pos="1195" w:val="left" w:leader="none"/>
        </w:tabs>
        <w:spacing w:line="240" w:lineRule="auto" w:before="0" w:after="0"/>
        <w:ind w:left="1195" w:right="0" w:hanging="569"/>
        <w:jc w:val="left"/>
        <w:rPr>
          <w:sz w:val="20"/>
        </w:rPr>
      </w:pPr>
      <w:r>
        <w:rPr>
          <w:sz w:val="20"/>
        </w:rPr>
        <w:t>Fecha</w:t>
      </w:r>
      <w:r>
        <w:rPr>
          <w:spacing w:val="-9"/>
          <w:sz w:val="20"/>
        </w:rPr>
        <w:t> </w:t>
      </w:r>
      <w:r>
        <w:rPr>
          <w:sz w:val="20"/>
        </w:rPr>
        <w:t>de</w:t>
      </w:r>
      <w:r>
        <w:rPr>
          <w:spacing w:val="-6"/>
          <w:sz w:val="20"/>
        </w:rPr>
        <w:t> </w:t>
      </w:r>
      <w:r>
        <w:rPr>
          <w:sz w:val="20"/>
        </w:rPr>
        <w:t>inscripción</w:t>
      </w:r>
      <w:r>
        <w:rPr>
          <w:spacing w:val="-7"/>
          <w:sz w:val="20"/>
        </w:rPr>
        <w:t> </w:t>
      </w:r>
      <w:r>
        <w:rPr>
          <w:sz w:val="20"/>
        </w:rPr>
        <w:t>al</w:t>
      </w:r>
      <w:r>
        <w:rPr>
          <w:spacing w:val="-7"/>
          <w:sz w:val="20"/>
        </w:rPr>
        <w:t> </w:t>
      </w:r>
      <w:r>
        <w:rPr>
          <w:sz w:val="20"/>
        </w:rPr>
        <w:t>régimen</w:t>
      </w:r>
      <w:r>
        <w:rPr>
          <w:spacing w:val="-9"/>
          <w:sz w:val="20"/>
        </w:rPr>
        <w:t> </w:t>
      </w:r>
      <w:r>
        <w:rPr>
          <w:sz w:val="20"/>
        </w:rPr>
        <w:t>de</w:t>
      </w:r>
      <w:r>
        <w:rPr>
          <w:spacing w:val="-9"/>
          <w:sz w:val="20"/>
        </w:rPr>
        <w:t> </w:t>
      </w:r>
      <w:r>
        <w:rPr>
          <w:sz w:val="20"/>
        </w:rPr>
        <w:t>seguridad</w:t>
      </w:r>
      <w:r>
        <w:rPr>
          <w:spacing w:val="-9"/>
          <w:sz w:val="20"/>
        </w:rPr>
        <w:t> </w:t>
      </w:r>
      <w:r>
        <w:rPr>
          <w:spacing w:val="-2"/>
          <w:sz w:val="20"/>
        </w:rPr>
        <w:t>social;</w:t>
      </w:r>
    </w:p>
    <w:p>
      <w:pPr>
        <w:pStyle w:val="BodyText"/>
        <w:spacing w:before="1"/>
      </w:pPr>
    </w:p>
    <w:p>
      <w:pPr>
        <w:pStyle w:val="ListParagraph"/>
        <w:numPr>
          <w:ilvl w:val="0"/>
          <w:numId w:val="324"/>
        </w:numPr>
        <w:tabs>
          <w:tab w:pos="1195" w:val="left" w:leader="none"/>
        </w:tabs>
        <w:spacing w:line="240" w:lineRule="auto" w:before="0" w:after="0"/>
        <w:ind w:left="1195" w:right="0" w:hanging="569"/>
        <w:jc w:val="left"/>
        <w:rPr>
          <w:sz w:val="20"/>
        </w:rPr>
      </w:pPr>
      <w:r>
        <w:rPr>
          <w:sz w:val="20"/>
        </w:rPr>
        <w:t>Número</w:t>
      </w:r>
      <w:r>
        <w:rPr>
          <w:spacing w:val="-7"/>
          <w:sz w:val="20"/>
        </w:rPr>
        <w:t> </w:t>
      </w:r>
      <w:r>
        <w:rPr>
          <w:sz w:val="20"/>
        </w:rPr>
        <w:t>de</w:t>
      </w:r>
      <w:r>
        <w:rPr>
          <w:spacing w:val="-7"/>
          <w:sz w:val="20"/>
        </w:rPr>
        <w:t> </w:t>
      </w:r>
      <w:r>
        <w:rPr>
          <w:sz w:val="20"/>
        </w:rPr>
        <w:t>semanas</w:t>
      </w:r>
      <w:r>
        <w:rPr>
          <w:spacing w:val="-6"/>
          <w:sz w:val="20"/>
        </w:rPr>
        <w:t> </w:t>
      </w:r>
      <w:r>
        <w:rPr>
          <w:sz w:val="20"/>
        </w:rPr>
        <w:t>cotizadas</w:t>
      </w:r>
      <w:r>
        <w:rPr>
          <w:spacing w:val="-6"/>
          <w:sz w:val="20"/>
        </w:rPr>
        <w:t> </w:t>
      </w:r>
      <w:r>
        <w:rPr>
          <w:sz w:val="20"/>
        </w:rPr>
        <w:t>en</w:t>
      </w:r>
      <w:r>
        <w:rPr>
          <w:spacing w:val="-5"/>
          <w:sz w:val="20"/>
        </w:rPr>
        <w:t> </w:t>
      </w:r>
      <w:r>
        <w:rPr>
          <w:sz w:val="20"/>
        </w:rPr>
        <w:t>los</w:t>
      </w:r>
      <w:r>
        <w:rPr>
          <w:spacing w:val="-6"/>
          <w:sz w:val="20"/>
        </w:rPr>
        <w:t> </w:t>
      </w:r>
      <w:r>
        <w:rPr>
          <w:sz w:val="20"/>
        </w:rPr>
        <w:t>ramos</w:t>
      </w:r>
      <w:r>
        <w:rPr>
          <w:spacing w:val="-6"/>
          <w:sz w:val="20"/>
        </w:rPr>
        <w:t> </w:t>
      </w:r>
      <w:r>
        <w:rPr>
          <w:sz w:val="20"/>
        </w:rPr>
        <w:t>de</w:t>
      </w:r>
      <w:r>
        <w:rPr>
          <w:spacing w:val="-7"/>
          <w:sz w:val="20"/>
        </w:rPr>
        <w:t> </w:t>
      </w:r>
      <w:r>
        <w:rPr>
          <w:spacing w:val="-2"/>
          <w:sz w:val="20"/>
        </w:rPr>
        <w:t>aseguramiento;</w:t>
      </w:r>
    </w:p>
    <w:p>
      <w:pPr>
        <w:pStyle w:val="ListParagraph"/>
        <w:numPr>
          <w:ilvl w:val="0"/>
          <w:numId w:val="324"/>
        </w:numPr>
        <w:tabs>
          <w:tab w:pos="1195" w:val="left" w:leader="none"/>
        </w:tabs>
        <w:spacing w:line="240" w:lineRule="auto" w:before="229" w:after="0"/>
        <w:ind w:left="1195" w:right="0" w:hanging="569"/>
        <w:jc w:val="left"/>
        <w:rPr>
          <w:sz w:val="20"/>
        </w:rPr>
      </w:pPr>
      <w:r>
        <w:rPr>
          <w:sz w:val="20"/>
        </w:rPr>
        <w:t>Promedios</w:t>
      </w:r>
      <w:r>
        <w:rPr>
          <w:spacing w:val="-8"/>
          <w:sz w:val="20"/>
        </w:rPr>
        <w:t> </w:t>
      </w:r>
      <w:r>
        <w:rPr>
          <w:sz w:val="20"/>
        </w:rPr>
        <w:t>salariales</w:t>
      </w:r>
      <w:r>
        <w:rPr>
          <w:spacing w:val="-8"/>
          <w:sz w:val="20"/>
        </w:rPr>
        <w:t> </w:t>
      </w:r>
      <w:r>
        <w:rPr>
          <w:sz w:val="20"/>
        </w:rPr>
        <w:t>de</w:t>
      </w:r>
      <w:r>
        <w:rPr>
          <w:spacing w:val="-6"/>
          <w:sz w:val="20"/>
        </w:rPr>
        <w:t> </w:t>
      </w:r>
      <w:r>
        <w:rPr>
          <w:sz w:val="20"/>
        </w:rPr>
        <w:t>cotización</w:t>
      </w:r>
      <w:r>
        <w:rPr>
          <w:spacing w:val="-9"/>
          <w:sz w:val="20"/>
        </w:rPr>
        <w:t> </w:t>
      </w:r>
      <w:r>
        <w:rPr>
          <w:sz w:val="20"/>
        </w:rPr>
        <w:t>de</w:t>
      </w:r>
      <w:r>
        <w:rPr>
          <w:spacing w:val="-7"/>
          <w:sz w:val="20"/>
        </w:rPr>
        <w:t> </w:t>
      </w:r>
      <w:r>
        <w:rPr>
          <w:sz w:val="20"/>
        </w:rPr>
        <w:t>los</w:t>
      </w:r>
      <w:r>
        <w:rPr>
          <w:spacing w:val="-5"/>
          <w:sz w:val="20"/>
        </w:rPr>
        <w:t> </w:t>
      </w:r>
      <w:r>
        <w:rPr>
          <w:spacing w:val="-2"/>
          <w:sz w:val="20"/>
        </w:rPr>
        <w:t>promoventes;</w:t>
      </w:r>
    </w:p>
    <w:p>
      <w:pPr>
        <w:pStyle w:val="BodyText"/>
        <w:spacing w:before="1"/>
      </w:pPr>
    </w:p>
    <w:p>
      <w:pPr>
        <w:pStyle w:val="ListParagraph"/>
        <w:numPr>
          <w:ilvl w:val="0"/>
          <w:numId w:val="324"/>
        </w:numPr>
        <w:tabs>
          <w:tab w:pos="1195" w:val="left" w:leader="none"/>
        </w:tabs>
        <w:spacing w:line="240" w:lineRule="auto" w:before="0" w:after="0"/>
        <w:ind w:left="1195" w:right="0" w:hanging="569"/>
        <w:jc w:val="left"/>
        <w:rPr>
          <w:sz w:val="20"/>
        </w:rPr>
      </w:pPr>
      <w:r>
        <w:rPr>
          <w:sz w:val="20"/>
        </w:rPr>
        <w:t>Estado</w:t>
      </w:r>
      <w:r>
        <w:rPr>
          <w:spacing w:val="-5"/>
          <w:sz w:val="20"/>
        </w:rPr>
        <w:t> </w:t>
      </w:r>
      <w:r>
        <w:rPr>
          <w:sz w:val="20"/>
        </w:rPr>
        <w:t>de</w:t>
      </w:r>
      <w:r>
        <w:rPr>
          <w:spacing w:val="-7"/>
          <w:sz w:val="20"/>
        </w:rPr>
        <w:t> </w:t>
      </w:r>
      <w:r>
        <w:rPr>
          <w:sz w:val="20"/>
        </w:rPr>
        <w:t>cuenta</w:t>
      </w:r>
      <w:r>
        <w:rPr>
          <w:spacing w:val="-6"/>
          <w:sz w:val="20"/>
        </w:rPr>
        <w:t> </w:t>
      </w:r>
      <w:r>
        <w:rPr>
          <w:sz w:val="20"/>
        </w:rPr>
        <w:t>de</w:t>
      </w:r>
      <w:r>
        <w:rPr>
          <w:spacing w:val="-6"/>
          <w:sz w:val="20"/>
        </w:rPr>
        <w:t> </w:t>
      </w:r>
      <w:r>
        <w:rPr>
          <w:sz w:val="20"/>
        </w:rPr>
        <w:t>aportaciones</w:t>
      </w:r>
      <w:r>
        <w:rPr>
          <w:spacing w:val="-6"/>
          <w:sz w:val="20"/>
        </w:rPr>
        <w:t> </w:t>
      </w:r>
      <w:r>
        <w:rPr>
          <w:sz w:val="20"/>
        </w:rPr>
        <w:t>de</w:t>
      </w:r>
      <w:r>
        <w:rPr>
          <w:spacing w:val="-5"/>
          <w:sz w:val="20"/>
        </w:rPr>
        <w:t> </w:t>
      </w:r>
      <w:r>
        <w:rPr>
          <w:sz w:val="20"/>
        </w:rPr>
        <w:t>vivienda</w:t>
      </w:r>
      <w:r>
        <w:rPr>
          <w:spacing w:val="-3"/>
          <w:sz w:val="20"/>
        </w:rPr>
        <w:t> </w:t>
      </w:r>
      <w:r>
        <w:rPr>
          <w:sz w:val="20"/>
        </w:rPr>
        <w:t>y</w:t>
      </w:r>
      <w:r>
        <w:rPr>
          <w:spacing w:val="-9"/>
          <w:sz w:val="20"/>
        </w:rPr>
        <w:t> </w:t>
      </w:r>
      <w:r>
        <w:rPr>
          <w:sz w:val="20"/>
        </w:rPr>
        <w:t>retiro</w:t>
      </w:r>
      <w:r>
        <w:rPr>
          <w:spacing w:val="-4"/>
          <w:sz w:val="20"/>
        </w:rPr>
        <w:t> </w:t>
      </w:r>
      <w:r>
        <w:rPr>
          <w:sz w:val="20"/>
        </w:rPr>
        <w:t>de</w:t>
      </w:r>
      <w:r>
        <w:rPr>
          <w:spacing w:val="-5"/>
          <w:sz w:val="20"/>
        </w:rPr>
        <w:t> </w:t>
      </w:r>
      <w:r>
        <w:rPr>
          <w:sz w:val="20"/>
        </w:rPr>
        <w:t>los</w:t>
      </w:r>
      <w:r>
        <w:rPr>
          <w:spacing w:val="-6"/>
          <w:sz w:val="20"/>
        </w:rPr>
        <w:t> </w:t>
      </w:r>
      <w:r>
        <w:rPr>
          <w:spacing w:val="-2"/>
          <w:sz w:val="20"/>
        </w:rPr>
        <w:t>asegurados;</w:t>
      </w:r>
    </w:p>
    <w:p>
      <w:pPr>
        <w:pStyle w:val="BodyText"/>
      </w:pPr>
    </w:p>
    <w:p>
      <w:pPr>
        <w:pStyle w:val="ListParagraph"/>
        <w:numPr>
          <w:ilvl w:val="0"/>
          <w:numId w:val="324"/>
        </w:numPr>
        <w:tabs>
          <w:tab w:pos="1195" w:val="left" w:leader="none"/>
        </w:tabs>
        <w:spacing w:line="240" w:lineRule="auto" w:before="1" w:after="0"/>
        <w:ind w:left="1195" w:right="0" w:hanging="569"/>
        <w:jc w:val="left"/>
        <w:rPr>
          <w:sz w:val="20"/>
        </w:rPr>
      </w:pPr>
      <w:r>
        <w:rPr>
          <w:sz w:val="20"/>
        </w:rPr>
        <w:t>Disposiciones</w:t>
      </w:r>
      <w:r>
        <w:rPr>
          <w:spacing w:val="-5"/>
          <w:sz w:val="20"/>
        </w:rPr>
        <w:t> </w:t>
      </w:r>
      <w:r>
        <w:rPr>
          <w:sz w:val="20"/>
        </w:rPr>
        <w:t>o</w:t>
      </w:r>
      <w:r>
        <w:rPr>
          <w:spacing w:val="-6"/>
          <w:sz w:val="20"/>
        </w:rPr>
        <w:t> </w:t>
      </w:r>
      <w:r>
        <w:rPr>
          <w:sz w:val="20"/>
        </w:rPr>
        <w:t>retiros</w:t>
      </w:r>
      <w:r>
        <w:rPr>
          <w:spacing w:val="-6"/>
          <w:sz w:val="20"/>
        </w:rPr>
        <w:t> </w:t>
      </w:r>
      <w:r>
        <w:rPr>
          <w:sz w:val="20"/>
        </w:rPr>
        <w:t>de</w:t>
      </w:r>
      <w:r>
        <w:rPr>
          <w:spacing w:val="-6"/>
          <w:sz w:val="20"/>
        </w:rPr>
        <w:t> </w:t>
      </w:r>
      <w:r>
        <w:rPr>
          <w:sz w:val="20"/>
        </w:rPr>
        <w:t>los</w:t>
      </w:r>
      <w:r>
        <w:rPr>
          <w:spacing w:val="-6"/>
          <w:sz w:val="20"/>
        </w:rPr>
        <w:t> </w:t>
      </w:r>
      <w:r>
        <w:rPr>
          <w:sz w:val="20"/>
        </w:rPr>
        <w:t>asegurados,</w:t>
      </w:r>
      <w:r>
        <w:rPr>
          <w:spacing w:val="-6"/>
          <w:sz w:val="20"/>
        </w:rPr>
        <w:t> </w:t>
      </w:r>
      <w:r>
        <w:rPr>
          <w:sz w:val="20"/>
        </w:rPr>
        <w:t>sobre</w:t>
      </w:r>
      <w:r>
        <w:rPr>
          <w:spacing w:val="-5"/>
          <w:sz w:val="20"/>
        </w:rPr>
        <w:t> </w:t>
      </w:r>
      <w:r>
        <w:rPr>
          <w:sz w:val="20"/>
        </w:rPr>
        <w:t>los</w:t>
      </w:r>
      <w:r>
        <w:rPr>
          <w:spacing w:val="-6"/>
          <w:sz w:val="20"/>
        </w:rPr>
        <w:t> </w:t>
      </w:r>
      <w:r>
        <w:rPr>
          <w:sz w:val="20"/>
        </w:rPr>
        <w:t>recursos</w:t>
      </w:r>
      <w:r>
        <w:rPr>
          <w:spacing w:val="-6"/>
          <w:sz w:val="20"/>
        </w:rPr>
        <w:t> </w:t>
      </w:r>
      <w:r>
        <w:rPr>
          <w:sz w:val="20"/>
        </w:rPr>
        <w:t>de</w:t>
      </w:r>
      <w:r>
        <w:rPr>
          <w:spacing w:val="-7"/>
          <w:sz w:val="20"/>
        </w:rPr>
        <w:t> </w:t>
      </w:r>
      <w:r>
        <w:rPr>
          <w:sz w:val="20"/>
        </w:rPr>
        <w:t>las</w:t>
      </w:r>
      <w:r>
        <w:rPr>
          <w:spacing w:val="-6"/>
          <w:sz w:val="20"/>
        </w:rPr>
        <w:t> </w:t>
      </w:r>
      <w:r>
        <w:rPr>
          <w:spacing w:val="-2"/>
          <w:sz w:val="20"/>
        </w:rPr>
        <w:t>cuentas;</w:t>
      </w:r>
    </w:p>
    <w:p>
      <w:pPr>
        <w:pStyle w:val="ListParagraph"/>
        <w:numPr>
          <w:ilvl w:val="0"/>
          <w:numId w:val="324"/>
        </w:numPr>
        <w:tabs>
          <w:tab w:pos="1195" w:val="left" w:leader="none"/>
        </w:tabs>
        <w:spacing w:line="240" w:lineRule="auto" w:before="228" w:after="0"/>
        <w:ind w:left="1195" w:right="0" w:hanging="569"/>
        <w:jc w:val="left"/>
        <w:rPr>
          <w:sz w:val="20"/>
        </w:rPr>
      </w:pPr>
      <w:r>
        <w:rPr>
          <w:sz w:val="20"/>
        </w:rPr>
        <w:t>Otorgamiento</w:t>
      </w:r>
      <w:r>
        <w:rPr>
          <w:spacing w:val="-9"/>
          <w:sz w:val="20"/>
        </w:rPr>
        <w:t> </w:t>
      </w:r>
      <w:r>
        <w:rPr>
          <w:sz w:val="20"/>
        </w:rPr>
        <w:t>de</w:t>
      </w:r>
      <w:r>
        <w:rPr>
          <w:spacing w:val="-7"/>
          <w:sz w:val="20"/>
        </w:rPr>
        <w:t> </w:t>
      </w:r>
      <w:r>
        <w:rPr>
          <w:sz w:val="20"/>
        </w:rPr>
        <w:t>pensiones</w:t>
      </w:r>
      <w:r>
        <w:rPr>
          <w:spacing w:val="-7"/>
          <w:sz w:val="20"/>
        </w:rPr>
        <w:t> </w:t>
      </w:r>
      <w:r>
        <w:rPr>
          <w:sz w:val="20"/>
        </w:rPr>
        <w:t>o</w:t>
      </w:r>
      <w:r>
        <w:rPr>
          <w:spacing w:val="-8"/>
          <w:sz w:val="20"/>
        </w:rPr>
        <w:t> </w:t>
      </w:r>
      <w:r>
        <w:rPr>
          <w:spacing w:val="-2"/>
          <w:sz w:val="20"/>
        </w:rPr>
        <w:t>indemnizaciones;</w:t>
      </w:r>
    </w:p>
    <w:p>
      <w:pPr>
        <w:pStyle w:val="BodyText"/>
        <w:spacing w:before="1"/>
      </w:pPr>
    </w:p>
    <w:p>
      <w:pPr>
        <w:pStyle w:val="ListParagraph"/>
        <w:numPr>
          <w:ilvl w:val="0"/>
          <w:numId w:val="324"/>
        </w:numPr>
        <w:tabs>
          <w:tab w:pos="1195" w:val="left" w:leader="none"/>
        </w:tabs>
        <w:spacing w:line="240" w:lineRule="auto" w:before="0" w:after="0"/>
        <w:ind w:left="1195" w:right="0" w:hanging="569"/>
        <w:jc w:val="left"/>
        <w:rPr>
          <w:sz w:val="20"/>
        </w:rPr>
      </w:pPr>
      <w:r>
        <w:rPr>
          <w:sz w:val="20"/>
        </w:rPr>
        <w:t>Vigencia</w:t>
      </w:r>
      <w:r>
        <w:rPr>
          <w:spacing w:val="-8"/>
          <w:sz w:val="20"/>
        </w:rPr>
        <w:t> </w:t>
      </w:r>
      <w:r>
        <w:rPr>
          <w:sz w:val="20"/>
        </w:rPr>
        <w:t>de</w:t>
      </w:r>
      <w:r>
        <w:rPr>
          <w:spacing w:val="-7"/>
          <w:sz w:val="20"/>
        </w:rPr>
        <w:t> </w:t>
      </w:r>
      <w:r>
        <w:rPr>
          <w:sz w:val="20"/>
        </w:rPr>
        <w:t>derechos;</w:t>
      </w:r>
      <w:r>
        <w:rPr>
          <w:spacing w:val="-2"/>
          <w:sz w:val="20"/>
        </w:rPr>
        <w:t> </w:t>
      </w:r>
      <w:r>
        <w:rPr>
          <w:spacing w:val="-10"/>
          <w:sz w:val="20"/>
        </w:rPr>
        <w:t>y</w:t>
      </w:r>
    </w:p>
    <w:p>
      <w:pPr>
        <w:pStyle w:val="ListParagraph"/>
        <w:numPr>
          <w:ilvl w:val="0"/>
          <w:numId w:val="324"/>
        </w:numPr>
        <w:tabs>
          <w:tab w:pos="1195" w:val="left" w:leader="none"/>
        </w:tabs>
        <w:spacing w:line="240" w:lineRule="auto" w:before="228" w:after="0"/>
        <w:ind w:left="1195" w:right="0" w:hanging="569"/>
        <w:jc w:val="left"/>
        <w:rPr>
          <w:sz w:val="20"/>
        </w:rPr>
      </w:pPr>
      <w:r>
        <w:rPr>
          <w:sz w:val="20"/>
        </w:rPr>
        <w:t>Pagos</w:t>
      </w:r>
      <w:r>
        <w:rPr>
          <w:spacing w:val="-8"/>
          <w:sz w:val="20"/>
        </w:rPr>
        <w:t> </w:t>
      </w:r>
      <w:r>
        <w:rPr>
          <w:sz w:val="20"/>
        </w:rPr>
        <w:t>parciales</w:t>
      </w:r>
      <w:r>
        <w:rPr>
          <w:spacing w:val="-7"/>
          <w:sz w:val="20"/>
        </w:rPr>
        <w:t> </w:t>
      </w:r>
      <w:r>
        <w:rPr>
          <w:sz w:val="20"/>
        </w:rPr>
        <w:t>otorgados</w:t>
      </w:r>
      <w:r>
        <w:rPr>
          <w:spacing w:val="-6"/>
          <w:sz w:val="20"/>
        </w:rPr>
        <w:t> </w:t>
      </w:r>
      <w:r>
        <w:rPr>
          <w:sz w:val="20"/>
        </w:rPr>
        <w:t>a</w:t>
      </w:r>
      <w:r>
        <w:rPr>
          <w:spacing w:val="-8"/>
          <w:sz w:val="20"/>
        </w:rPr>
        <w:t> </w:t>
      </w:r>
      <w:r>
        <w:rPr>
          <w:sz w:val="20"/>
        </w:rPr>
        <w:t>los</w:t>
      </w:r>
      <w:r>
        <w:rPr>
          <w:spacing w:val="-6"/>
          <w:sz w:val="20"/>
        </w:rPr>
        <w:t> </w:t>
      </w:r>
      <w:r>
        <w:rPr>
          <w:spacing w:val="-2"/>
          <w:sz w:val="20"/>
        </w:rPr>
        <w:t>asegurados.</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1"/>
        <w:rPr>
          <w:rFonts w:ascii="Times New Roman"/>
          <w:i/>
        </w:rPr>
      </w:pPr>
    </w:p>
    <w:p>
      <w:pPr>
        <w:pStyle w:val="BodyText"/>
        <w:ind w:left="338" w:right="342" w:firstLine="288"/>
        <w:jc w:val="both"/>
      </w:pPr>
      <w:bookmarkStart w:name="Artículo_899_E" w:id="1141"/>
      <w:bookmarkEnd w:id="1141"/>
      <w:r>
        <w:rPr/>
      </w:r>
      <w:r>
        <w:rPr>
          <w:rFonts w:ascii="Arial" w:hAnsi="Arial"/>
          <w:b/>
        </w:rPr>
        <w:t>Artículo 899-E.- </w:t>
      </w:r>
      <w:r>
        <w:rPr/>
        <w:t>En el procedimiento se observará lo establecido en la sección primera de este capítulo, y en los casos en que se demanden prestaciones derivadas de riesgos de trabajo o enfermedades generales, el procedimiento se sujetará además a las siguientes reglas: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338" w:right="335" w:firstLine="288"/>
        <w:jc w:val="both"/>
      </w:pPr>
      <w:r>
        <w:rPr/>
        <w:t>Cuando lo planteado en la demanda exija la designación de peritos, deberá citarse a la audiencia preliminar, y en el auto de citación se designará al perito o peritos médicos oficiales que estime necesarios, sin perjuicio de que las partes puedan acompañarse de un asesor que los auxilie en el desahogo del interrogatorio.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1" w:lineRule="exact"/>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BodyText"/>
        <w:ind w:left="626"/>
      </w:pPr>
      <w:r>
        <w:rPr/>
        <w:t>Los</w:t>
      </w:r>
      <w:r>
        <w:rPr>
          <w:spacing w:val="-9"/>
        </w:rPr>
        <w:t> </w:t>
      </w:r>
      <w:r>
        <w:rPr/>
        <w:t>dictámenes</w:t>
      </w:r>
      <w:r>
        <w:rPr>
          <w:spacing w:val="-8"/>
        </w:rPr>
        <w:t> </w:t>
      </w:r>
      <w:r>
        <w:rPr/>
        <w:t>deberán</w:t>
      </w:r>
      <w:r>
        <w:rPr>
          <w:spacing w:val="-9"/>
        </w:rPr>
        <w:t> </w:t>
      </w:r>
      <w:r>
        <w:rPr>
          <w:spacing w:val="-2"/>
        </w:rPr>
        <w:t>contener:</w:t>
      </w:r>
    </w:p>
    <w:p>
      <w:pPr>
        <w:pStyle w:val="ListParagraph"/>
        <w:numPr>
          <w:ilvl w:val="0"/>
          <w:numId w:val="325"/>
        </w:numPr>
        <w:tabs>
          <w:tab w:pos="1193" w:val="left" w:leader="none"/>
          <w:tab w:pos="1195" w:val="left" w:leader="none"/>
        </w:tabs>
        <w:spacing w:line="242" w:lineRule="auto" w:before="229" w:after="0"/>
        <w:ind w:left="1195" w:right="346" w:hanging="569"/>
        <w:jc w:val="both"/>
        <w:rPr>
          <w:sz w:val="20"/>
        </w:rPr>
      </w:pPr>
      <w:r>
        <w:rPr>
          <w:sz w:val="20"/>
        </w:rPr>
        <w:t>Datos de la identificación y de la acreditación de la profesión de médico de cada uno de los </w:t>
      </w:r>
      <w:r>
        <w:rPr>
          <w:spacing w:val="-2"/>
          <w:sz w:val="20"/>
        </w:rPr>
        <w:t>peritos;</w:t>
      </w:r>
    </w:p>
    <w:p>
      <w:pPr>
        <w:pStyle w:val="ListParagraph"/>
        <w:numPr>
          <w:ilvl w:val="0"/>
          <w:numId w:val="325"/>
        </w:numPr>
        <w:tabs>
          <w:tab w:pos="1192" w:val="left" w:leader="none"/>
          <w:tab w:pos="1195" w:val="left" w:leader="none"/>
        </w:tabs>
        <w:spacing w:line="240" w:lineRule="auto" w:before="226" w:after="0"/>
        <w:ind w:left="1195" w:right="340" w:hanging="569"/>
        <w:jc w:val="both"/>
        <w:rPr>
          <w:sz w:val="20"/>
        </w:rPr>
      </w:pPr>
      <w:r>
        <w:rPr>
          <w:sz w:val="20"/>
        </w:rPr>
        <w:t>Datos de identificación del actor, precisando el documento con el que se comprobó su</w:t>
      </w:r>
      <w:r>
        <w:rPr>
          <w:spacing w:val="80"/>
          <w:sz w:val="20"/>
        </w:rPr>
        <w:t> </w:t>
      </w:r>
      <w:r>
        <w:rPr>
          <w:spacing w:val="-2"/>
          <w:sz w:val="20"/>
        </w:rPr>
        <w:t>identidad;</w:t>
      </w:r>
    </w:p>
    <w:p>
      <w:pPr>
        <w:pStyle w:val="ListParagraph"/>
        <w:numPr>
          <w:ilvl w:val="0"/>
          <w:numId w:val="325"/>
        </w:numPr>
        <w:tabs>
          <w:tab w:pos="1195" w:val="left" w:leader="none"/>
        </w:tabs>
        <w:spacing w:line="240" w:lineRule="auto" w:before="229" w:after="0"/>
        <w:ind w:left="1195" w:right="0" w:hanging="569"/>
        <w:jc w:val="left"/>
        <w:rPr>
          <w:sz w:val="20"/>
        </w:rPr>
      </w:pPr>
      <w:r>
        <w:rPr>
          <w:sz w:val="20"/>
        </w:rPr>
        <w:t>Diagnóstico</w:t>
      </w:r>
      <w:r>
        <w:rPr>
          <w:spacing w:val="-10"/>
          <w:sz w:val="20"/>
        </w:rPr>
        <w:t> </w:t>
      </w:r>
      <w:r>
        <w:rPr>
          <w:sz w:val="20"/>
        </w:rPr>
        <w:t>sobre</w:t>
      </w:r>
      <w:r>
        <w:rPr>
          <w:spacing w:val="-9"/>
          <w:sz w:val="20"/>
        </w:rPr>
        <w:t> </w:t>
      </w:r>
      <w:r>
        <w:rPr>
          <w:sz w:val="20"/>
        </w:rPr>
        <w:t>los</w:t>
      </w:r>
      <w:r>
        <w:rPr>
          <w:spacing w:val="-10"/>
          <w:sz w:val="20"/>
        </w:rPr>
        <w:t> </w:t>
      </w:r>
      <w:r>
        <w:rPr>
          <w:sz w:val="20"/>
        </w:rPr>
        <w:t>padecimientos</w:t>
      </w:r>
      <w:r>
        <w:rPr>
          <w:spacing w:val="-10"/>
          <w:sz w:val="20"/>
        </w:rPr>
        <w:t> </w:t>
      </w:r>
      <w:r>
        <w:rPr>
          <w:spacing w:val="-2"/>
          <w:sz w:val="20"/>
        </w:rPr>
        <w:t>reclamados;</w:t>
      </w:r>
    </w:p>
    <w:p>
      <w:pPr>
        <w:pStyle w:val="BodyText"/>
        <w:spacing w:before="1"/>
      </w:pPr>
    </w:p>
    <w:p>
      <w:pPr>
        <w:pStyle w:val="ListParagraph"/>
        <w:numPr>
          <w:ilvl w:val="0"/>
          <w:numId w:val="325"/>
        </w:numPr>
        <w:tabs>
          <w:tab w:pos="1195" w:val="left" w:leader="none"/>
        </w:tabs>
        <w:spacing w:line="240" w:lineRule="auto" w:before="0" w:after="0"/>
        <w:ind w:left="1195" w:right="342" w:hanging="569"/>
        <w:jc w:val="both"/>
        <w:rPr>
          <w:sz w:val="20"/>
        </w:rPr>
      </w:pPr>
      <w:r>
        <w:rPr>
          <w:sz w:val="20"/>
        </w:rPr>
        <w:t>Tratándose</w:t>
      </w:r>
      <w:r>
        <w:rPr>
          <w:spacing w:val="-1"/>
          <w:sz w:val="20"/>
        </w:rPr>
        <w:t> </w:t>
      </w:r>
      <w:r>
        <w:rPr>
          <w:sz w:val="20"/>
        </w:rPr>
        <w:t>de</w:t>
      </w:r>
      <w:r>
        <w:rPr>
          <w:spacing w:val="-1"/>
          <w:sz w:val="20"/>
        </w:rPr>
        <w:t> </w:t>
      </w:r>
      <w:r>
        <w:rPr>
          <w:sz w:val="20"/>
        </w:rPr>
        <w:t>calificación y</w:t>
      </w:r>
      <w:r>
        <w:rPr>
          <w:spacing w:val="-1"/>
          <w:sz w:val="20"/>
        </w:rPr>
        <w:t> </w:t>
      </w:r>
      <w:r>
        <w:rPr>
          <w:sz w:val="20"/>
        </w:rPr>
        <w:t>valuación</w:t>
      </w:r>
      <w:r>
        <w:rPr>
          <w:spacing w:val="-1"/>
          <w:sz w:val="20"/>
        </w:rPr>
        <w:t> </w:t>
      </w:r>
      <w:r>
        <w:rPr>
          <w:sz w:val="20"/>
        </w:rPr>
        <w:t>de</w:t>
      </w:r>
      <w:r>
        <w:rPr>
          <w:spacing w:val="-1"/>
          <w:sz w:val="20"/>
        </w:rPr>
        <w:t> </w:t>
      </w:r>
      <w:r>
        <w:rPr>
          <w:sz w:val="20"/>
        </w:rPr>
        <w:t>riesgos de</w:t>
      </w:r>
      <w:r>
        <w:rPr>
          <w:spacing w:val="-1"/>
          <w:sz w:val="20"/>
        </w:rPr>
        <w:t> </w:t>
      </w:r>
      <w:r>
        <w:rPr>
          <w:sz w:val="20"/>
        </w:rPr>
        <w:t>trabajo,</w:t>
      </w:r>
      <w:r>
        <w:rPr>
          <w:spacing w:val="-1"/>
          <w:sz w:val="20"/>
        </w:rPr>
        <w:t> </w:t>
      </w:r>
      <w:r>
        <w:rPr>
          <w:sz w:val="20"/>
        </w:rPr>
        <w:t>los razonamientos para determinar la relación de causa efecto entre la actividad específica desarrollada por el trabajador y el estado de incapacidad cuya calificación o valuación se determine;</w:t>
      </w:r>
    </w:p>
    <w:p>
      <w:pPr>
        <w:pStyle w:val="BodyText"/>
      </w:pPr>
    </w:p>
    <w:p>
      <w:pPr>
        <w:pStyle w:val="ListParagraph"/>
        <w:numPr>
          <w:ilvl w:val="0"/>
          <w:numId w:val="325"/>
        </w:numPr>
        <w:tabs>
          <w:tab w:pos="1195" w:val="left" w:leader="none"/>
        </w:tabs>
        <w:spacing w:line="242" w:lineRule="auto" w:before="0" w:after="0"/>
        <w:ind w:left="1195" w:right="345" w:hanging="569"/>
        <w:jc w:val="both"/>
        <w:rPr>
          <w:sz w:val="20"/>
        </w:rPr>
      </w:pPr>
      <w:r>
        <w:rPr>
          <w:sz w:val="20"/>
        </w:rPr>
        <w:t>Los medios de convicción en los cuales se basan las conclusiones del peritaje, incluyendo la referencia a los estudios médicos a los que se hubiera sometido el trabajador; y</w:t>
      </w:r>
    </w:p>
    <w:p>
      <w:pPr>
        <w:pStyle w:val="ListParagraph"/>
        <w:numPr>
          <w:ilvl w:val="0"/>
          <w:numId w:val="325"/>
        </w:numPr>
        <w:tabs>
          <w:tab w:pos="1195" w:val="left" w:leader="none"/>
        </w:tabs>
        <w:spacing w:line="242" w:lineRule="auto" w:before="224" w:after="0"/>
        <w:ind w:left="1195" w:right="342" w:hanging="569"/>
        <w:jc w:val="both"/>
        <w:rPr>
          <w:sz w:val="20"/>
        </w:rPr>
      </w:pPr>
      <w:r>
        <w:rPr>
          <w:sz w:val="20"/>
        </w:rPr>
        <w:t>En su caso, el porcentaje de valuación, de disminución orgánico funcional, o la determinación del estado de invalidez.</w:t>
      </w:r>
    </w:p>
    <w:p>
      <w:pPr>
        <w:pStyle w:val="BodyText"/>
        <w:spacing w:before="229"/>
        <w:ind w:left="338" w:right="336" w:firstLine="288"/>
        <w:jc w:val="both"/>
      </w:pPr>
      <w:r>
        <w:rPr/>
        <w:t>El Tribunal deberá tomar las medidas conducentes para que el o los peritos médicos oficiales designados acepten y</w:t>
      </w:r>
      <w:r>
        <w:rPr>
          <w:spacing w:val="-2"/>
        </w:rPr>
        <w:t> </w:t>
      </w:r>
      <w:r>
        <w:rPr/>
        <w:t>protesten el cargo conferido dentro de los cinco días siguientes a la celebración de la audiencia preparatoria, quienes deberán señalar al Tribunal en forma justificada, los requerimientos necesarios para la emisión del dictamen pericial y, en su caso, para la determinación del nexo causal, tratándose de riesgos de trabajo.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338" w:right="337" w:firstLine="288"/>
        <w:jc w:val="both"/>
      </w:pPr>
      <w:r>
        <w:rPr/>
        <w:t>El Tribunal notificará al perito o peritos oficiales y dictará las medidas que considere pertinentes para agilizar la emisión de los dictámenes periciales y requerirá al trabajador para que se presente a la realización de los estudios médicos o diligencias que requieran el o los peritos.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338" w:right="346" w:firstLine="288"/>
        <w:jc w:val="both"/>
      </w:pPr>
      <w:r>
        <w:rPr/>
        <w:t>Dentro de los treinta días siguientes a la celebración de la audiencia preparatoria, el</w:t>
      </w:r>
      <w:r>
        <w:rPr>
          <w:spacing w:val="-1"/>
        </w:rPr>
        <w:t> </w:t>
      </w:r>
      <w:r>
        <w:rPr/>
        <w:t>Tribunal señalará día y hora para la audiencia de juicio, en que se recibirán el o los dictámenes periciales con citación de las partes, con el apercibimiento que de no comparecer, se les tendrá por perdido su derecho para formular repreguntas u observaciones.</w:t>
      </w:r>
    </w:p>
    <w:p>
      <w:pPr>
        <w:spacing w:line="180"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7" w:firstLine="288"/>
        <w:jc w:val="both"/>
      </w:pPr>
      <w:r>
        <w:rPr/>
        <w:t>Si la parte actora no acude a las diligencias ordenadas por el Tribunal, o si abandona los estudios médicos o diligencias ordenadas, se hará constar la falta de interés, a efecto de que se decrete la deserción de la prueba, salvo las causas justificadas a que se refiere el artículo 785 de esta Ley.</w:t>
      </w:r>
    </w:p>
    <w:p>
      <w:pPr>
        <w:spacing w:line="183"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338" w:right="347" w:firstLine="288"/>
        <w:jc w:val="both"/>
      </w:pPr>
      <w:r>
        <w:rPr/>
        <w:t>El Tribunal deberá aplicar a los peritos las medidas de apremio que establece esta Ley, para garantizar la emisión oportuna del dictamen.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5" w:firstLine="288"/>
        <w:jc w:val="both"/>
      </w:pPr>
      <w:r>
        <w:rPr/>
        <w:t>Las partes en la audiencia de desahogo de la pericial médica, por sí o a través de un especialista en medicina, podrán formular las observaciones o preguntas que juzguen convenientes en relación a las consideraciones y conclusiones de la prueba pericial médica.</w:t>
      </w:r>
    </w:p>
    <w:p>
      <w:pPr>
        <w:spacing w:line="183"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29" w:lineRule="exact"/>
        <w:ind w:left="626"/>
      </w:pPr>
      <w:r>
        <w:rPr/>
        <w:t>El</w:t>
      </w:r>
      <w:r>
        <w:rPr>
          <w:spacing w:val="-8"/>
        </w:rPr>
        <w:t> </w:t>
      </w:r>
      <w:r>
        <w:rPr/>
        <w:t>Tribunal</w:t>
      </w:r>
      <w:r>
        <w:rPr>
          <w:spacing w:val="-5"/>
        </w:rPr>
        <w:t> </w:t>
      </w:r>
      <w:r>
        <w:rPr/>
        <w:t>podrá</w:t>
      </w:r>
      <w:r>
        <w:rPr>
          <w:spacing w:val="-7"/>
        </w:rPr>
        <w:t> </w:t>
      </w:r>
      <w:r>
        <w:rPr/>
        <w:t>formular</w:t>
      </w:r>
      <w:r>
        <w:rPr>
          <w:spacing w:val="-4"/>
        </w:rPr>
        <w:t> </w:t>
      </w:r>
      <w:r>
        <w:rPr/>
        <w:t>preguntas</w:t>
      </w:r>
      <w:r>
        <w:rPr>
          <w:spacing w:val="-5"/>
        </w:rPr>
        <w:t> </w:t>
      </w:r>
      <w:r>
        <w:rPr/>
        <w:t>al</w:t>
      </w:r>
      <w:r>
        <w:rPr>
          <w:spacing w:val="-8"/>
        </w:rPr>
        <w:t> </w:t>
      </w:r>
      <w:r>
        <w:rPr/>
        <w:t>perito</w:t>
      </w:r>
      <w:r>
        <w:rPr>
          <w:spacing w:val="-4"/>
        </w:rPr>
        <w:t> </w:t>
      </w:r>
      <w:r>
        <w:rPr/>
        <w:t>o</w:t>
      </w:r>
      <w:r>
        <w:rPr>
          <w:spacing w:val="-7"/>
        </w:rPr>
        <w:t> </w:t>
      </w:r>
      <w:r>
        <w:rPr/>
        <w:t>a</w:t>
      </w:r>
      <w:r>
        <w:rPr>
          <w:spacing w:val="-5"/>
        </w:rPr>
        <w:t> </w:t>
      </w:r>
      <w:r>
        <w:rPr/>
        <w:t>los</w:t>
      </w:r>
      <w:r>
        <w:rPr>
          <w:spacing w:val="-4"/>
        </w:rPr>
        <w:t> </w:t>
      </w:r>
      <w:r>
        <w:rPr/>
        <w:t>peritos</w:t>
      </w:r>
      <w:r>
        <w:rPr>
          <w:spacing w:val="-4"/>
        </w:rPr>
        <w:t> </w:t>
      </w:r>
      <w:r>
        <w:rPr/>
        <w:t>que</w:t>
      </w:r>
      <w:r>
        <w:rPr>
          <w:spacing w:val="-6"/>
        </w:rPr>
        <w:t> </w:t>
      </w:r>
      <w:r>
        <w:rPr/>
        <w:t>comparezcan</w:t>
      </w:r>
      <w:r>
        <w:rPr>
          <w:spacing w:val="-7"/>
        </w:rPr>
        <w:t> </w:t>
      </w:r>
      <w:r>
        <w:rPr/>
        <w:t>a</w:t>
      </w:r>
      <w:r>
        <w:rPr>
          <w:spacing w:val="-5"/>
        </w:rPr>
        <w:t> </w:t>
      </w:r>
      <w:r>
        <w:rPr/>
        <w:t>la</w:t>
      </w:r>
      <w:r>
        <w:rPr>
          <w:spacing w:val="-4"/>
        </w:rPr>
        <w:t> </w:t>
      </w:r>
      <w:r>
        <w:rPr>
          <w:spacing w:val="-2"/>
        </w:rPr>
        <w:t>diligencia.</w:t>
      </w:r>
    </w:p>
    <w:p>
      <w:pPr>
        <w:spacing w:line="183"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3" w:lineRule="exact"/>
        <w:jc w:val="lef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BodyText"/>
        <w:ind w:left="338" w:right="335" w:firstLine="288"/>
        <w:jc w:val="both"/>
      </w:pPr>
      <w:r>
        <w:rPr/>
        <w:t>El Tribunal determinará si se acreditó el nexo causal entre la actividad específica desarrollada por el trabajador y el medio ambiente de trabajo señalado en el escrito de demanda, así como el origen profesional del presunto riesgo de trabajo, para calificarlo como tal.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5" w:firstLine="288"/>
        <w:jc w:val="both"/>
      </w:pPr>
      <w:r>
        <w:rPr/>
        <w:t>El Tribunal podrá requerir a las autoridades, instituciones públicas y organismos descentralizados, la información que posean y que contribuya al esclarecimiento de los hechos; también podrá solicitar estudios médicos de instituciones de salud públicas o privadas; practicar toda clase de consultas e inspecciones en las empresas o establecimientos en los que el trabajador haya laborado y, de ser necesario, se auxiliará con la opinión de peritos en otras materias.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338" w:right="338" w:firstLine="288"/>
        <w:jc w:val="both"/>
      </w:pPr>
      <w:r>
        <w:rPr/>
        <w:t>Las instituciones de seguridad social deberán poner a disposición de los tribunales una plataforma informática que permita el acceso a sus bases de datos con el objeto de que el tribunal esté en condiciones de esclarecer los hechos controvertidos.</w:t>
      </w:r>
    </w:p>
    <w:p>
      <w:pPr>
        <w:spacing w:line="181" w:lineRule="exact" w:before="0"/>
        <w:ind w:left="7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line="228" w:lineRule="exact" w:before="1"/>
        <w:ind w:left="626"/>
      </w:pPr>
      <w:r>
        <w:rPr/>
        <w:t>En</w:t>
      </w:r>
      <w:r>
        <w:rPr>
          <w:spacing w:val="-6"/>
        </w:rPr>
        <w:t> </w:t>
      </w:r>
      <w:r>
        <w:rPr/>
        <w:t>la</w:t>
      </w:r>
      <w:r>
        <w:rPr>
          <w:spacing w:val="-7"/>
        </w:rPr>
        <w:t> </w:t>
      </w:r>
      <w:r>
        <w:rPr/>
        <w:t>ejecución</w:t>
      </w:r>
      <w:r>
        <w:rPr>
          <w:spacing w:val="-5"/>
        </w:rPr>
        <w:t> </w:t>
      </w:r>
      <w:r>
        <w:rPr/>
        <w:t>de</w:t>
      </w:r>
      <w:r>
        <w:rPr>
          <w:spacing w:val="-6"/>
        </w:rPr>
        <w:t> </w:t>
      </w:r>
      <w:r>
        <w:rPr/>
        <w:t>la</w:t>
      </w:r>
      <w:r>
        <w:rPr>
          <w:spacing w:val="-7"/>
        </w:rPr>
        <w:t> </w:t>
      </w:r>
      <w:r>
        <w:rPr/>
        <w:t>sentencia</w:t>
      </w:r>
      <w:r>
        <w:rPr>
          <w:spacing w:val="-5"/>
        </w:rPr>
        <w:t> </w:t>
      </w:r>
      <w:r>
        <w:rPr/>
        <w:t>las</w:t>
      </w:r>
      <w:r>
        <w:rPr>
          <w:spacing w:val="-6"/>
        </w:rPr>
        <w:t> </w:t>
      </w:r>
      <w:r>
        <w:rPr/>
        <w:t>partes</w:t>
      </w:r>
      <w:r>
        <w:rPr>
          <w:spacing w:val="-7"/>
        </w:rPr>
        <w:t> </w:t>
      </w:r>
      <w:r>
        <w:rPr/>
        <w:t>podrán</w:t>
      </w:r>
      <w:r>
        <w:rPr>
          <w:spacing w:val="-7"/>
        </w:rPr>
        <w:t> </w:t>
      </w:r>
      <w:r>
        <w:rPr/>
        <w:t>convenir</w:t>
      </w:r>
      <w:r>
        <w:rPr>
          <w:spacing w:val="-4"/>
        </w:rPr>
        <w:t> </w:t>
      </w:r>
      <w:r>
        <w:rPr/>
        <w:t>las</w:t>
      </w:r>
      <w:r>
        <w:rPr>
          <w:spacing w:val="-6"/>
        </w:rPr>
        <w:t> </w:t>
      </w:r>
      <w:r>
        <w:rPr/>
        <w:t>modalidades</w:t>
      </w:r>
      <w:r>
        <w:rPr>
          <w:spacing w:val="-6"/>
        </w:rPr>
        <w:t> </w:t>
      </w:r>
      <w:r>
        <w:rPr/>
        <w:t>de</w:t>
      </w:r>
      <w:r>
        <w:rPr>
          <w:spacing w:val="-8"/>
        </w:rPr>
        <w:t> </w:t>
      </w:r>
      <w:r>
        <w:rPr/>
        <w:t>su</w:t>
      </w:r>
      <w:r>
        <w:rPr>
          <w:spacing w:val="-3"/>
        </w:rPr>
        <w:t> </w:t>
      </w:r>
      <w:r>
        <w:rPr>
          <w:spacing w:val="-2"/>
        </w:rPr>
        <w:t>cumplimiento.</w:t>
      </w:r>
    </w:p>
    <w:p>
      <w:pPr>
        <w:spacing w:line="182"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9"/>
        <w:rPr>
          <w:rFonts w:ascii="Times New Roman"/>
          <w:i/>
          <w:sz w:val="16"/>
        </w:rPr>
      </w:pPr>
    </w:p>
    <w:p>
      <w:pPr>
        <w:pStyle w:val="BodyText"/>
        <w:ind w:left="338" w:right="357" w:firstLine="288"/>
      </w:pPr>
      <w:r>
        <w:rPr/>
        <w:t>En el desahogo de la prueba pericial médica, se estará a lo dispuesto en los artículos 822, 823, 824, 824 Bis, 825 y 826 en lo que no se oponga a lo previsto en este artículo.</w:t>
      </w:r>
    </w:p>
    <w:p>
      <w:pPr>
        <w:spacing w:before="0"/>
        <w:ind w:left="3692" w:right="0" w:firstLine="362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01-05-2019:</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los</w:t>
      </w:r>
      <w:r>
        <w:rPr>
          <w:rFonts w:ascii="Times New Roman" w:hAnsi="Times New Roman"/>
          <w:i/>
          <w:color w:val="585858"/>
          <w:spacing w:val="-4"/>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párrafos</w:t>
      </w:r>
      <w:r>
        <w:rPr>
          <w:rFonts w:ascii="Times New Roman" w:hAnsi="Times New Roman"/>
          <w:i/>
          <w:color w:val="585858"/>
          <w:spacing w:val="-7"/>
          <w:sz w:val="16"/>
        </w:rPr>
        <w:t> </w:t>
      </w:r>
      <w:r>
        <w:rPr>
          <w:rFonts w:ascii="Times New Roman" w:hAnsi="Times New Roman"/>
          <w:i/>
          <w:color w:val="585858"/>
          <w:sz w:val="16"/>
        </w:rPr>
        <w:t>tercero,</w:t>
      </w:r>
      <w:r>
        <w:rPr>
          <w:rFonts w:ascii="Times New Roman" w:hAnsi="Times New Roman"/>
          <w:i/>
          <w:color w:val="585858"/>
          <w:spacing w:val="-6"/>
          <w:sz w:val="16"/>
        </w:rPr>
        <w:t> </w:t>
      </w:r>
      <w:r>
        <w:rPr>
          <w:rFonts w:ascii="Times New Roman" w:hAnsi="Times New Roman"/>
          <w:i/>
          <w:color w:val="585858"/>
          <w:sz w:val="16"/>
        </w:rPr>
        <w:t>cuarto</w:t>
      </w:r>
      <w:r>
        <w:rPr>
          <w:rFonts w:ascii="Times New Roman" w:hAnsi="Times New Roman"/>
          <w:i/>
          <w:color w:val="585858"/>
          <w:spacing w:val="-5"/>
          <w:sz w:val="16"/>
        </w:rPr>
        <w:t> </w:t>
      </w:r>
      <w:r>
        <w:rPr>
          <w:rFonts w:ascii="Times New Roman" w:hAnsi="Times New Roman"/>
          <w:i/>
          <w:color w:val="585858"/>
          <w:sz w:val="16"/>
        </w:rPr>
        <w:t>y</w:t>
      </w:r>
      <w:r>
        <w:rPr>
          <w:rFonts w:ascii="Times New Roman" w:hAnsi="Times New Roman"/>
          <w:i/>
          <w:color w:val="585858"/>
          <w:spacing w:val="-6"/>
          <w:sz w:val="16"/>
        </w:rPr>
        <w:t> </w:t>
      </w:r>
      <w:r>
        <w:rPr>
          <w:rFonts w:ascii="Times New Roman" w:hAnsi="Times New Roman"/>
          <w:i/>
          <w:color w:val="585858"/>
          <w:spacing w:val="-2"/>
          <w:sz w:val="16"/>
        </w:rPr>
        <w:t>quinto</w:t>
      </w:r>
    </w:p>
    <w:p>
      <w:pPr>
        <w:spacing w:line="183"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6"/>
        <w:rPr>
          <w:rFonts w:ascii="Times New Roman"/>
          <w:i/>
          <w:sz w:val="16"/>
        </w:rPr>
      </w:pPr>
    </w:p>
    <w:p>
      <w:pPr>
        <w:pStyle w:val="BodyText"/>
        <w:ind w:left="338" w:right="336" w:firstLine="288"/>
        <w:jc w:val="both"/>
      </w:pPr>
      <w:bookmarkStart w:name="Artículo_899_F" w:id="1142"/>
      <w:bookmarkEnd w:id="1142"/>
      <w:r>
        <w:rPr/>
      </w:r>
      <w:r>
        <w:rPr>
          <w:rFonts w:ascii="Arial" w:hAnsi="Arial"/>
          <w:b/>
        </w:rPr>
        <w:t>Artículo 899-F.</w:t>
      </w:r>
      <w:r>
        <w:rPr/>
        <w:t>- Los peritos médicos que intervengan en los conflictos vinculados con la calificación y valuación de riesgos de trabajo y enfermedades generales, deberán estar inscritos en el registro del Tribunal federal como peritos oficiales conforme a lo previsto en el artículo 899-G.</w:t>
      </w:r>
    </w:p>
    <w:p>
      <w:pPr>
        <w:spacing w:line="183"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626"/>
      </w:pPr>
      <w:r>
        <w:rPr/>
        <w:t>Para</w:t>
      </w:r>
      <w:r>
        <w:rPr>
          <w:spacing w:val="-8"/>
        </w:rPr>
        <w:t> </w:t>
      </w:r>
      <w:r>
        <w:rPr/>
        <w:t>tal</w:t>
      </w:r>
      <w:r>
        <w:rPr>
          <w:spacing w:val="-6"/>
        </w:rPr>
        <w:t> </w:t>
      </w:r>
      <w:r>
        <w:rPr/>
        <w:t>efecto,</w:t>
      </w:r>
      <w:r>
        <w:rPr>
          <w:spacing w:val="-7"/>
        </w:rPr>
        <w:t> </w:t>
      </w:r>
      <w:r>
        <w:rPr/>
        <w:t>los</w:t>
      </w:r>
      <w:r>
        <w:rPr>
          <w:spacing w:val="-6"/>
        </w:rPr>
        <w:t> </w:t>
      </w:r>
      <w:r>
        <w:rPr/>
        <w:t>peritos</w:t>
      </w:r>
      <w:r>
        <w:rPr>
          <w:spacing w:val="-4"/>
        </w:rPr>
        <w:t> </w:t>
      </w:r>
      <w:r>
        <w:rPr/>
        <w:t>médicos</w:t>
      </w:r>
      <w:r>
        <w:rPr>
          <w:spacing w:val="-7"/>
        </w:rPr>
        <w:t> </w:t>
      </w:r>
      <w:r>
        <w:rPr/>
        <w:t>deberán</w:t>
      </w:r>
      <w:r>
        <w:rPr>
          <w:spacing w:val="-7"/>
        </w:rPr>
        <w:t> </w:t>
      </w:r>
      <w:r>
        <w:rPr/>
        <w:t>satisfacer</w:t>
      </w:r>
      <w:r>
        <w:rPr>
          <w:spacing w:val="-8"/>
        </w:rPr>
        <w:t> </w:t>
      </w:r>
      <w:r>
        <w:rPr/>
        <w:t>los</w:t>
      </w:r>
      <w:r>
        <w:rPr>
          <w:spacing w:val="-6"/>
        </w:rPr>
        <w:t> </w:t>
      </w:r>
      <w:r>
        <w:rPr/>
        <w:t>requisitos</w:t>
      </w:r>
      <w:r>
        <w:rPr>
          <w:spacing w:val="-6"/>
        </w:rPr>
        <w:t> </w:t>
      </w:r>
      <w:r>
        <w:rPr>
          <w:spacing w:val="-2"/>
        </w:rPr>
        <w:t>siguientes:</w:t>
      </w:r>
    </w:p>
    <w:p>
      <w:pPr>
        <w:pStyle w:val="ListParagraph"/>
        <w:numPr>
          <w:ilvl w:val="0"/>
          <w:numId w:val="326"/>
        </w:numPr>
        <w:tabs>
          <w:tab w:pos="1195" w:val="left" w:leader="none"/>
        </w:tabs>
        <w:spacing w:line="240" w:lineRule="auto" w:before="226" w:after="0"/>
        <w:ind w:left="1195" w:right="0" w:hanging="569"/>
        <w:jc w:val="left"/>
        <w:rPr>
          <w:sz w:val="20"/>
        </w:rPr>
      </w:pPr>
      <w:r>
        <w:rPr>
          <w:sz w:val="20"/>
        </w:rPr>
        <w:t>Estar</w:t>
      </w:r>
      <w:r>
        <w:rPr>
          <w:spacing w:val="-8"/>
          <w:sz w:val="20"/>
        </w:rPr>
        <w:t> </w:t>
      </w:r>
      <w:r>
        <w:rPr>
          <w:sz w:val="20"/>
        </w:rPr>
        <w:t>legalmente</w:t>
      </w:r>
      <w:r>
        <w:rPr>
          <w:spacing w:val="-9"/>
          <w:sz w:val="20"/>
        </w:rPr>
        <w:t> </w:t>
      </w:r>
      <w:r>
        <w:rPr>
          <w:sz w:val="20"/>
        </w:rPr>
        <w:t>autorizados</w:t>
      </w:r>
      <w:r>
        <w:rPr>
          <w:spacing w:val="-5"/>
          <w:sz w:val="20"/>
        </w:rPr>
        <w:t> </w:t>
      </w:r>
      <w:r>
        <w:rPr>
          <w:sz w:val="20"/>
        </w:rPr>
        <w:t>y</w:t>
      </w:r>
      <w:r>
        <w:rPr>
          <w:spacing w:val="-11"/>
          <w:sz w:val="20"/>
        </w:rPr>
        <w:t> </w:t>
      </w:r>
      <w:r>
        <w:rPr>
          <w:sz w:val="20"/>
        </w:rPr>
        <w:t>capacitados</w:t>
      </w:r>
      <w:r>
        <w:rPr>
          <w:spacing w:val="-7"/>
          <w:sz w:val="20"/>
        </w:rPr>
        <w:t> </w:t>
      </w:r>
      <w:r>
        <w:rPr>
          <w:sz w:val="20"/>
        </w:rPr>
        <w:t>para</w:t>
      </w:r>
      <w:r>
        <w:rPr>
          <w:spacing w:val="-7"/>
          <w:sz w:val="20"/>
        </w:rPr>
        <w:t> </w:t>
      </w:r>
      <w:r>
        <w:rPr>
          <w:sz w:val="20"/>
        </w:rPr>
        <w:t>ejercer</w:t>
      </w:r>
      <w:r>
        <w:rPr>
          <w:spacing w:val="-8"/>
          <w:sz w:val="20"/>
        </w:rPr>
        <w:t> </w:t>
      </w:r>
      <w:r>
        <w:rPr>
          <w:sz w:val="20"/>
        </w:rPr>
        <w:t>la</w:t>
      </w:r>
      <w:r>
        <w:rPr>
          <w:spacing w:val="-6"/>
          <w:sz w:val="20"/>
        </w:rPr>
        <w:t> </w:t>
      </w:r>
      <w:r>
        <w:rPr>
          <w:sz w:val="20"/>
        </w:rPr>
        <w:t>profesión</w:t>
      </w:r>
      <w:r>
        <w:rPr>
          <w:spacing w:val="-7"/>
          <w:sz w:val="20"/>
        </w:rPr>
        <w:t> </w:t>
      </w:r>
      <w:r>
        <w:rPr>
          <w:sz w:val="20"/>
        </w:rPr>
        <w:t>de</w:t>
      </w:r>
      <w:r>
        <w:rPr>
          <w:spacing w:val="-9"/>
          <w:sz w:val="20"/>
        </w:rPr>
        <w:t> </w:t>
      </w:r>
      <w:r>
        <w:rPr>
          <w:spacing w:val="-2"/>
          <w:sz w:val="20"/>
        </w:rPr>
        <w:t>médico;</w:t>
      </w:r>
    </w:p>
    <w:p>
      <w:pPr>
        <w:pStyle w:val="BodyText"/>
      </w:pPr>
    </w:p>
    <w:p>
      <w:pPr>
        <w:pStyle w:val="ListParagraph"/>
        <w:numPr>
          <w:ilvl w:val="0"/>
          <w:numId w:val="326"/>
        </w:numPr>
        <w:tabs>
          <w:tab w:pos="1195" w:val="left" w:leader="none"/>
        </w:tabs>
        <w:spacing w:line="240" w:lineRule="auto" w:before="1" w:after="0"/>
        <w:ind w:left="1195" w:right="0" w:hanging="569"/>
        <w:jc w:val="left"/>
        <w:rPr>
          <w:sz w:val="20"/>
        </w:rPr>
      </w:pPr>
      <w:r>
        <w:rPr>
          <w:sz w:val="20"/>
        </w:rPr>
        <w:t>Gozar</w:t>
      </w:r>
      <w:r>
        <w:rPr>
          <w:spacing w:val="-6"/>
          <w:sz w:val="20"/>
        </w:rPr>
        <w:t> </w:t>
      </w:r>
      <w:r>
        <w:rPr>
          <w:sz w:val="20"/>
        </w:rPr>
        <w:t>de</w:t>
      </w:r>
      <w:r>
        <w:rPr>
          <w:spacing w:val="-6"/>
          <w:sz w:val="20"/>
        </w:rPr>
        <w:t> </w:t>
      </w:r>
      <w:r>
        <w:rPr>
          <w:sz w:val="20"/>
        </w:rPr>
        <w:t>buena</w:t>
      </w:r>
      <w:r>
        <w:rPr>
          <w:spacing w:val="-6"/>
          <w:sz w:val="20"/>
        </w:rPr>
        <w:t> </w:t>
      </w:r>
      <w:r>
        <w:rPr>
          <w:spacing w:val="-2"/>
          <w:sz w:val="20"/>
        </w:rPr>
        <w:t>reputación;</w:t>
      </w:r>
    </w:p>
    <w:p>
      <w:pPr>
        <w:pStyle w:val="ListParagraph"/>
        <w:numPr>
          <w:ilvl w:val="0"/>
          <w:numId w:val="326"/>
        </w:numPr>
        <w:tabs>
          <w:tab w:pos="1195" w:val="left" w:leader="none"/>
        </w:tabs>
        <w:spacing w:line="240" w:lineRule="auto" w:before="228" w:after="0"/>
        <w:ind w:left="1195" w:right="0" w:hanging="569"/>
        <w:jc w:val="left"/>
        <w:rPr>
          <w:sz w:val="20"/>
        </w:rPr>
      </w:pPr>
      <w:r>
        <w:rPr>
          <w:sz w:val="20"/>
        </w:rPr>
        <w:t>Tener</w:t>
      </w:r>
      <w:r>
        <w:rPr>
          <w:spacing w:val="-8"/>
          <w:sz w:val="20"/>
        </w:rPr>
        <w:t> </w:t>
      </w:r>
      <w:r>
        <w:rPr>
          <w:sz w:val="20"/>
        </w:rPr>
        <w:t>tres</w:t>
      </w:r>
      <w:r>
        <w:rPr>
          <w:spacing w:val="-6"/>
          <w:sz w:val="20"/>
        </w:rPr>
        <w:t> </w:t>
      </w:r>
      <w:r>
        <w:rPr>
          <w:sz w:val="20"/>
        </w:rPr>
        <w:t>años</w:t>
      </w:r>
      <w:r>
        <w:rPr>
          <w:spacing w:val="-7"/>
          <w:sz w:val="20"/>
        </w:rPr>
        <w:t> </w:t>
      </w:r>
      <w:r>
        <w:rPr>
          <w:sz w:val="20"/>
        </w:rPr>
        <w:t>de</w:t>
      </w:r>
      <w:r>
        <w:rPr>
          <w:spacing w:val="-7"/>
          <w:sz w:val="20"/>
        </w:rPr>
        <w:t> </w:t>
      </w:r>
      <w:r>
        <w:rPr>
          <w:sz w:val="20"/>
        </w:rPr>
        <w:t>experiencia</w:t>
      </w:r>
      <w:r>
        <w:rPr>
          <w:spacing w:val="-7"/>
          <w:sz w:val="20"/>
        </w:rPr>
        <w:t> </w:t>
      </w:r>
      <w:r>
        <w:rPr>
          <w:sz w:val="20"/>
        </w:rPr>
        <w:t>profesional</w:t>
      </w:r>
      <w:r>
        <w:rPr>
          <w:spacing w:val="-7"/>
          <w:sz w:val="20"/>
        </w:rPr>
        <w:t> </w:t>
      </w:r>
      <w:r>
        <w:rPr>
          <w:sz w:val="20"/>
        </w:rPr>
        <w:t>vinculada</w:t>
      </w:r>
      <w:r>
        <w:rPr>
          <w:spacing w:val="-6"/>
          <w:sz w:val="20"/>
        </w:rPr>
        <w:t> </w:t>
      </w:r>
      <w:r>
        <w:rPr>
          <w:sz w:val="20"/>
        </w:rPr>
        <w:t>con</w:t>
      </w:r>
      <w:r>
        <w:rPr>
          <w:spacing w:val="-8"/>
          <w:sz w:val="20"/>
        </w:rPr>
        <w:t> </w:t>
      </w:r>
      <w:r>
        <w:rPr>
          <w:sz w:val="20"/>
        </w:rPr>
        <w:t>la</w:t>
      </w:r>
      <w:r>
        <w:rPr>
          <w:spacing w:val="-6"/>
          <w:sz w:val="20"/>
        </w:rPr>
        <w:t> </w:t>
      </w:r>
      <w:r>
        <w:rPr>
          <w:sz w:val="20"/>
        </w:rPr>
        <w:t>medicina</w:t>
      </w:r>
      <w:r>
        <w:rPr>
          <w:spacing w:val="-6"/>
          <w:sz w:val="20"/>
        </w:rPr>
        <w:t> </w:t>
      </w:r>
      <w:r>
        <w:rPr>
          <w:sz w:val="20"/>
        </w:rPr>
        <w:t>del</w:t>
      </w:r>
      <w:r>
        <w:rPr>
          <w:spacing w:val="-7"/>
          <w:sz w:val="20"/>
        </w:rPr>
        <w:t> </w:t>
      </w:r>
      <w:r>
        <w:rPr>
          <w:spacing w:val="-2"/>
          <w:sz w:val="20"/>
        </w:rPr>
        <w:t>trabajo;</w:t>
      </w:r>
    </w:p>
    <w:p>
      <w:pPr>
        <w:pStyle w:val="BodyText"/>
        <w:spacing w:before="1"/>
      </w:pPr>
    </w:p>
    <w:p>
      <w:pPr>
        <w:pStyle w:val="ListParagraph"/>
        <w:numPr>
          <w:ilvl w:val="0"/>
          <w:numId w:val="326"/>
        </w:numPr>
        <w:tabs>
          <w:tab w:pos="1195" w:val="left" w:leader="none"/>
        </w:tabs>
        <w:spacing w:line="240" w:lineRule="auto" w:before="0" w:after="0"/>
        <w:ind w:left="1195" w:right="0" w:hanging="569"/>
        <w:jc w:val="left"/>
        <w:rPr>
          <w:sz w:val="20"/>
        </w:rPr>
      </w:pPr>
      <w:r>
        <w:rPr>
          <w:sz w:val="20"/>
        </w:rPr>
        <w:t>No</w:t>
      </w:r>
      <w:r>
        <w:rPr>
          <w:spacing w:val="-9"/>
          <w:sz w:val="20"/>
        </w:rPr>
        <w:t> </w:t>
      </w:r>
      <w:r>
        <w:rPr>
          <w:sz w:val="20"/>
        </w:rPr>
        <w:t>haber</w:t>
      </w:r>
      <w:r>
        <w:rPr>
          <w:spacing w:val="-7"/>
          <w:sz w:val="20"/>
        </w:rPr>
        <w:t> </w:t>
      </w:r>
      <w:r>
        <w:rPr>
          <w:sz w:val="20"/>
        </w:rPr>
        <w:t>sido</w:t>
      </w:r>
      <w:r>
        <w:rPr>
          <w:spacing w:val="-10"/>
          <w:sz w:val="20"/>
        </w:rPr>
        <w:t> </w:t>
      </w:r>
      <w:r>
        <w:rPr>
          <w:sz w:val="20"/>
        </w:rPr>
        <w:t>condenado</w:t>
      </w:r>
      <w:r>
        <w:rPr>
          <w:spacing w:val="-6"/>
          <w:sz w:val="20"/>
        </w:rPr>
        <w:t> </w:t>
      </w:r>
      <w:r>
        <w:rPr>
          <w:sz w:val="20"/>
        </w:rPr>
        <w:t>por</w:t>
      </w:r>
      <w:r>
        <w:rPr>
          <w:spacing w:val="-8"/>
          <w:sz w:val="20"/>
        </w:rPr>
        <w:t> </w:t>
      </w:r>
      <w:r>
        <w:rPr>
          <w:sz w:val="20"/>
        </w:rPr>
        <w:t>delito</w:t>
      </w:r>
      <w:r>
        <w:rPr>
          <w:spacing w:val="-7"/>
          <w:sz w:val="20"/>
        </w:rPr>
        <w:t> </w:t>
      </w:r>
      <w:r>
        <w:rPr>
          <w:sz w:val="20"/>
        </w:rPr>
        <w:t>intencional</w:t>
      </w:r>
      <w:r>
        <w:rPr>
          <w:spacing w:val="-7"/>
          <w:sz w:val="20"/>
        </w:rPr>
        <w:t> </w:t>
      </w:r>
      <w:r>
        <w:rPr>
          <w:sz w:val="20"/>
        </w:rPr>
        <w:t>sancionado</w:t>
      </w:r>
      <w:r>
        <w:rPr>
          <w:spacing w:val="-9"/>
          <w:sz w:val="20"/>
        </w:rPr>
        <w:t> </w:t>
      </w:r>
      <w:r>
        <w:rPr>
          <w:sz w:val="20"/>
        </w:rPr>
        <w:t>con</w:t>
      </w:r>
      <w:r>
        <w:rPr>
          <w:spacing w:val="-7"/>
          <w:sz w:val="20"/>
        </w:rPr>
        <w:t> </w:t>
      </w:r>
      <w:r>
        <w:rPr>
          <w:sz w:val="20"/>
        </w:rPr>
        <w:t>pena</w:t>
      </w:r>
      <w:r>
        <w:rPr>
          <w:spacing w:val="-9"/>
          <w:sz w:val="20"/>
        </w:rPr>
        <w:t> </w:t>
      </w:r>
      <w:r>
        <w:rPr>
          <w:sz w:val="20"/>
        </w:rPr>
        <w:t>corporal;</w:t>
      </w:r>
      <w:r>
        <w:rPr>
          <w:spacing w:val="-4"/>
          <w:sz w:val="20"/>
        </w:rPr>
        <w:t> </w:t>
      </w:r>
      <w:r>
        <w:rPr>
          <w:spacing w:val="-10"/>
          <w:sz w:val="20"/>
        </w:rPr>
        <w:t>y</w:t>
      </w:r>
    </w:p>
    <w:p>
      <w:pPr>
        <w:pStyle w:val="BodyText"/>
        <w:spacing w:before="1"/>
      </w:pPr>
    </w:p>
    <w:p>
      <w:pPr>
        <w:pStyle w:val="ListParagraph"/>
        <w:numPr>
          <w:ilvl w:val="0"/>
          <w:numId w:val="326"/>
        </w:numPr>
        <w:tabs>
          <w:tab w:pos="1195" w:val="left" w:leader="none"/>
        </w:tabs>
        <w:spacing w:line="240" w:lineRule="auto" w:before="0" w:after="0"/>
        <w:ind w:left="1195" w:right="341" w:hanging="569"/>
        <w:jc w:val="both"/>
        <w:rPr>
          <w:sz w:val="20"/>
        </w:rPr>
      </w:pPr>
      <w:r>
        <w:rPr>
          <w:sz w:val="20"/>
        </w:rPr>
        <w:t>Observar lo dispuesto por el artículo 707 de esta Ley, así como las disposiciones de la Ley Federal de Responsabilidades Administrativas de los Servidores Públicos, en lo que respecta a las causas de impedimento y excusa.</w:t>
      </w:r>
    </w:p>
    <w:p>
      <w:pPr>
        <w:pStyle w:val="BodyText"/>
        <w:spacing w:before="2"/>
      </w:pPr>
    </w:p>
    <w:p>
      <w:pPr>
        <w:pStyle w:val="BodyText"/>
        <w:ind w:left="338" w:right="341" w:firstLine="288"/>
        <w:jc w:val="both"/>
      </w:pPr>
      <w:r>
        <w:rPr/>
        <w:t>Si durante el lapso de seis meses alguno de los peritos médicos incumple en más de tres ocasiones, con la presentación oportuna de los dictámenes médicos que le sean requeridos, sin que medie causa justificada, a juicio del Tribunal será dado de baja del registro de peritos médicos y no podrá reingresar sino transcurridos dos años, contados a partir de la fecha de la baja.</w:t>
      </w:r>
    </w:p>
    <w:p>
      <w:pPr>
        <w:spacing w:line="240" w:lineRule="auto" w:before="0"/>
        <w:ind w:left="7302" w:right="333"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ind w:left="338" w:firstLine="288"/>
      </w:pPr>
      <w:bookmarkStart w:name="Artículo_899_G" w:id="1143"/>
      <w:bookmarkEnd w:id="1143"/>
      <w:r>
        <w:rPr/>
      </w:r>
      <w:r>
        <w:rPr>
          <w:rFonts w:ascii="Arial" w:hAnsi="Arial"/>
          <w:b/>
        </w:rPr>
        <w:t>Artículo 899-G.- </w:t>
      </w:r>
      <w:r>
        <w:rPr/>
        <w:t>El Consejo de la Judicatura Federal integrará un cuerpo de peritos médicos oficiales especializados</w:t>
      </w:r>
      <w:r>
        <w:rPr>
          <w:spacing w:val="39"/>
        </w:rPr>
        <w:t> </w:t>
      </w:r>
      <w:r>
        <w:rPr/>
        <w:t>en</w:t>
      </w:r>
      <w:r>
        <w:rPr>
          <w:spacing w:val="38"/>
        </w:rPr>
        <w:t> </w:t>
      </w:r>
      <w:r>
        <w:rPr/>
        <w:t>medicina</w:t>
      </w:r>
      <w:r>
        <w:rPr>
          <w:spacing w:val="38"/>
        </w:rPr>
        <w:t> </w:t>
      </w:r>
      <w:r>
        <w:rPr/>
        <w:t>del</w:t>
      </w:r>
      <w:r>
        <w:rPr>
          <w:spacing w:val="37"/>
        </w:rPr>
        <w:t> </w:t>
      </w:r>
      <w:r>
        <w:rPr/>
        <w:t>trabajo</w:t>
      </w:r>
      <w:r>
        <w:rPr>
          <w:spacing w:val="42"/>
        </w:rPr>
        <w:t> </w:t>
      </w:r>
      <w:r>
        <w:rPr/>
        <w:t>y</w:t>
      </w:r>
      <w:r>
        <w:rPr>
          <w:spacing w:val="35"/>
        </w:rPr>
        <w:t> </w:t>
      </w:r>
      <w:r>
        <w:rPr/>
        <w:t>áreas</w:t>
      </w:r>
      <w:r>
        <w:rPr>
          <w:spacing w:val="39"/>
        </w:rPr>
        <w:t> </w:t>
      </w:r>
      <w:r>
        <w:rPr/>
        <w:t>afines</w:t>
      </w:r>
      <w:r>
        <w:rPr>
          <w:spacing w:val="39"/>
        </w:rPr>
        <w:t> </w:t>
      </w:r>
      <w:r>
        <w:rPr/>
        <w:t>que</w:t>
      </w:r>
      <w:r>
        <w:rPr>
          <w:spacing w:val="40"/>
        </w:rPr>
        <w:t> </w:t>
      </w:r>
      <w:r>
        <w:rPr/>
        <w:t>estarán</w:t>
      </w:r>
      <w:r>
        <w:rPr>
          <w:spacing w:val="38"/>
        </w:rPr>
        <w:t> </w:t>
      </w:r>
      <w:r>
        <w:rPr/>
        <w:t>adscritos</w:t>
      </w:r>
      <w:r>
        <w:rPr>
          <w:spacing w:val="41"/>
        </w:rPr>
        <w:t> </w:t>
      </w:r>
      <w:r>
        <w:rPr/>
        <w:t>al</w:t>
      </w:r>
      <w:r>
        <w:rPr>
          <w:spacing w:val="40"/>
        </w:rPr>
        <w:t> </w:t>
      </w:r>
      <w:r>
        <w:rPr/>
        <w:t>Poder</w:t>
      </w:r>
      <w:r>
        <w:rPr>
          <w:spacing w:val="39"/>
        </w:rPr>
        <w:t> </w:t>
      </w:r>
      <w:r>
        <w:rPr/>
        <w:t>Judicial</w:t>
      </w:r>
      <w:r>
        <w:rPr>
          <w:spacing w:val="37"/>
        </w:rPr>
        <w:t> </w:t>
      </w:r>
      <w:r>
        <w:rPr/>
        <w:t>de</w:t>
      </w:r>
      <w:r>
        <w:rPr>
          <w:spacing w:val="38"/>
        </w:rPr>
        <w:t> </w:t>
      </w:r>
      <w:r>
        <w:rPr>
          <w:spacing w:val="-5"/>
        </w:rPr>
        <w:t>la</w:t>
      </w:r>
    </w:p>
    <w:p>
      <w:pPr>
        <w:pStyle w:val="BodyText"/>
        <w:spacing w:after="0"/>
        <w:sectPr>
          <w:pgSz w:w="12240" w:h="15840"/>
          <w:pgMar w:header="724" w:footer="712" w:top="1880" w:bottom="900" w:left="1080" w:right="1080"/>
        </w:sectPr>
      </w:pPr>
    </w:p>
    <w:p>
      <w:pPr>
        <w:pStyle w:val="BodyText"/>
        <w:spacing w:before="65"/>
      </w:pPr>
    </w:p>
    <w:p>
      <w:pPr>
        <w:pStyle w:val="BodyText"/>
        <w:ind w:left="338" w:right="335"/>
        <w:jc w:val="both"/>
      </w:pPr>
      <w:r>
        <w:rPr/>
        <w:t>Federación. En caso de que por la carga de trabajo o el nivel de especialización así lo requiera, las instituciones públicas que presten servicios de salud, deberán designar a los peritos médicos que les</w:t>
      </w:r>
      <w:r>
        <w:rPr>
          <w:spacing w:val="40"/>
        </w:rPr>
        <w:t> </w:t>
      </w:r>
      <w:r>
        <w:rPr/>
        <w:t>sean solicitados por el Tribunal, en los términos del Reglamento correspondiente, garantizando que el médico designado no tenga conflicto de intereses.</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3"/>
        <w:rPr>
          <w:rFonts w:ascii="Times New Roman"/>
          <w:i/>
          <w:sz w:val="16"/>
        </w:rPr>
      </w:pPr>
    </w:p>
    <w:p>
      <w:pPr>
        <w:pStyle w:val="Heading1"/>
        <w:ind w:left="297"/>
      </w:pPr>
      <w:r>
        <w:rPr/>
        <w:t>CAPITULO</w:t>
      </w:r>
      <w:r>
        <w:rPr>
          <w:spacing w:val="-9"/>
        </w:rPr>
        <w:t> </w:t>
      </w:r>
      <w:r>
        <w:rPr>
          <w:spacing w:val="-5"/>
        </w:rPr>
        <w:t>XIX</w:t>
      </w:r>
    </w:p>
    <w:p>
      <w:pPr>
        <w:pStyle w:val="Heading2"/>
        <w:spacing w:before="1"/>
        <w:ind w:left="298"/>
      </w:pPr>
      <w:r>
        <w:rPr/>
        <w:t>Procedimientos</w:t>
      </w:r>
      <w:r>
        <w:rPr>
          <w:spacing w:val="-12"/>
        </w:rPr>
        <w:t> </w:t>
      </w:r>
      <w:r>
        <w:rPr/>
        <w:t>de</w:t>
      </w:r>
      <w:r>
        <w:rPr>
          <w:spacing w:val="-8"/>
        </w:rPr>
        <w:t> </w:t>
      </w:r>
      <w:r>
        <w:rPr/>
        <w:t>los</w:t>
      </w:r>
      <w:r>
        <w:rPr>
          <w:spacing w:val="-8"/>
        </w:rPr>
        <w:t> </w:t>
      </w:r>
      <w:r>
        <w:rPr/>
        <w:t>Conflictos</w:t>
      </w:r>
      <w:r>
        <w:rPr>
          <w:spacing w:val="-5"/>
        </w:rPr>
        <w:t> </w:t>
      </w:r>
      <w:r>
        <w:rPr/>
        <w:t>Colectivos</w:t>
      </w:r>
      <w:r>
        <w:rPr>
          <w:spacing w:val="-7"/>
        </w:rPr>
        <w:t> </w:t>
      </w:r>
      <w:r>
        <w:rPr/>
        <w:t>de</w:t>
      </w:r>
      <w:r>
        <w:rPr>
          <w:spacing w:val="-6"/>
        </w:rPr>
        <w:t> </w:t>
      </w:r>
      <w:r>
        <w:rPr/>
        <w:t>Naturaleza</w:t>
      </w:r>
      <w:r>
        <w:rPr>
          <w:spacing w:val="-6"/>
        </w:rPr>
        <w:t> </w:t>
      </w:r>
      <w:r>
        <w:rPr>
          <w:spacing w:val="-2"/>
        </w:rPr>
        <w:t>Económica</w:t>
      </w:r>
    </w:p>
    <w:p>
      <w:pPr>
        <w:spacing w:before="1"/>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338" w:right="343" w:firstLine="288"/>
        <w:jc w:val="both"/>
      </w:pPr>
      <w:bookmarkStart w:name="Artículo_900" w:id="1144"/>
      <w:bookmarkEnd w:id="1144"/>
      <w:r>
        <w:rPr/>
      </w:r>
      <w:r>
        <w:rPr>
          <w:rFonts w:ascii="Arial" w:hAnsi="Arial"/>
          <w:b/>
        </w:rPr>
        <w:t>Artículo 900.- </w:t>
      </w:r>
      <w:r>
        <w:rPr/>
        <w:t>Los conflictos colectivos de naturaleza económica, son aquéllos cuyo planteamiento tiene por objeto la modificación o implantación de nuevas condiciones de trabajo, o bien, la suspensión o terminación de las relaciones colectivas de trabajo, salvo que la presente Ley señale otro procedimiento.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4"/>
        <w:rPr>
          <w:rFonts w:ascii="Times New Roman"/>
          <w:i/>
          <w:sz w:val="16"/>
        </w:rPr>
      </w:pPr>
    </w:p>
    <w:p>
      <w:pPr>
        <w:pStyle w:val="BodyText"/>
        <w:spacing w:line="242" w:lineRule="auto"/>
        <w:ind w:left="338" w:right="334" w:firstLine="288"/>
        <w:jc w:val="both"/>
      </w:pPr>
      <w:bookmarkStart w:name="Artículo_901" w:id="1145"/>
      <w:bookmarkEnd w:id="1145"/>
      <w:r>
        <w:rPr/>
      </w:r>
      <w:r>
        <w:rPr>
          <w:rFonts w:ascii="Arial" w:hAnsi="Arial"/>
          <w:b/>
        </w:rPr>
        <w:t>Artículo 901.- </w:t>
      </w:r>
      <w:r>
        <w:rPr/>
        <w:t>En la</w:t>
      </w:r>
      <w:r>
        <w:rPr>
          <w:spacing w:val="-2"/>
        </w:rPr>
        <w:t> </w:t>
      </w:r>
      <w:r>
        <w:rPr/>
        <w:t>tramitación de los</w:t>
      </w:r>
      <w:r>
        <w:rPr>
          <w:spacing w:val="-1"/>
        </w:rPr>
        <w:t> </w:t>
      </w:r>
      <w:r>
        <w:rPr/>
        <w:t>conflictos</w:t>
      </w:r>
      <w:r>
        <w:rPr>
          <w:spacing w:val="-1"/>
        </w:rPr>
        <w:t> </w:t>
      </w:r>
      <w:r>
        <w:rPr/>
        <w:t>a que</w:t>
      </w:r>
      <w:r>
        <w:rPr>
          <w:spacing w:val="-2"/>
        </w:rPr>
        <w:t> </w:t>
      </w:r>
      <w:r>
        <w:rPr/>
        <w:t>se</w:t>
      </w:r>
      <w:r>
        <w:rPr>
          <w:spacing w:val="-2"/>
        </w:rPr>
        <w:t> </w:t>
      </w:r>
      <w:r>
        <w:rPr/>
        <w:t>refiere este</w:t>
      </w:r>
      <w:r>
        <w:rPr>
          <w:spacing w:val="-2"/>
        </w:rPr>
        <w:t> </w:t>
      </w:r>
      <w:r>
        <w:rPr/>
        <w:t>capítulo, los</w:t>
      </w:r>
      <w:r>
        <w:rPr>
          <w:spacing w:val="-1"/>
        </w:rPr>
        <w:t> </w:t>
      </w:r>
      <w:r>
        <w:rPr/>
        <w:t>Tribunales deberán procurar, ante todo, que las partes lleguen a un convenio. A este fin, podrán intentar la conciliación en cualquier estado del procedimiento, siempre que no se haya dictado la resolución que ponga fin al </w:t>
      </w:r>
      <w:r>
        <w:rPr>
          <w:spacing w:val="-2"/>
        </w:rPr>
        <w:t>conflicto.</w:t>
      </w:r>
    </w:p>
    <w:p>
      <w:pPr>
        <w:spacing w:line="178"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34" w:firstLine="288"/>
        <w:jc w:val="both"/>
      </w:pPr>
      <w:bookmarkStart w:name="Artículo_902" w:id="1146"/>
      <w:bookmarkEnd w:id="1146"/>
      <w:r>
        <w:rPr/>
      </w:r>
      <w:r>
        <w:rPr>
          <w:rFonts w:ascii="Arial" w:hAnsi="Arial"/>
          <w:b/>
        </w:rPr>
        <w:t>Artículo 902.- </w:t>
      </w:r>
      <w:r>
        <w:rPr/>
        <w:t>El ejercicio del derecho de huelga suspende la tramitación de los conflictos colectivos de naturaleza económica, pendientes ante el Tribunal y la de las solicitudes que se presenten, salvo que los trabajadores manifiesten por escrito, estar de acuerdo en someter el conflicto a la decisión del </w:t>
      </w:r>
      <w:r>
        <w:rPr>
          <w:spacing w:val="-2"/>
        </w:rPr>
        <w:t>Tribunal.</w:t>
      </w:r>
    </w:p>
    <w:p>
      <w:pPr>
        <w:pStyle w:val="BodyText"/>
        <w:spacing w:before="223"/>
        <w:ind w:left="338" w:right="343" w:firstLine="288"/>
        <w:jc w:val="both"/>
      </w:pPr>
      <w:r>
        <w:rPr/>
        <w:t>No</w:t>
      </w:r>
      <w:r>
        <w:rPr>
          <w:spacing w:val="-3"/>
        </w:rPr>
        <w:t> </w:t>
      </w:r>
      <w:r>
        <w:rPr/>
        <w:t>es</w:t>
      </w:r>
      <w:r>
        <w:rPr>
          <w:spacing w:val="-1"/>
        </w:rPr>
        <w:t> </w:t>
      </w:r>
      <w:r>
        <w:rPr/>
        <w:t>aplicable</w:t>
      </w:r>
      <w:r>
        <w:rPr>
          <w:spacing w:val="-2"/>
        </w:rPr>
        <w:t> </w:t>
      </w:r>
      <w:r>
        <w:rPr/>
        <w:t>lo</w:t>
      </w:r>
      <w:r>
        <w:rPr>
          <w:spacing w:val="-3"/>
        </w:rPr>
        <w:t> </w:t>
      </w:r>
      <w:r>
        <w:rPr/>
        <w:t>dispuesto</w:t>
      </w:r>
      <w:r>
        <w:rPr>
          <w:spacing w:val="-3"/>
        </w:rPr>
        <w:t> </w:t>
      </w:r>
      <w:r>
        <w:rPr/>
        <w:t>en</w:t>
      </w:r>
      <w:r>
        <w:rPr>
          <w:spacing w:val="-2"/>
        </w:rPr>
        <w:t> </w:t>
      </w:r>
      <w:r>
        <w:rPr/>
        <w:t>el</w:t>
      </w:r>
      <w:r>
        <w:rPr>
          <w:spacing w:val="-4"/>
        </w:rPr>
        <w:t> </w:t>
      </w:r>
      <w:r>
        <w:rPr/>
        <w:t>párrafo</w:t>
      </w:r>
      <w:r>
        <w:rPr>
          <w:spacing w:val="-3"/>
        </w:rPr>
        <w:t> </w:t>
      </w:r>
      <w:r>
        <w:rPr/>
        <w:t>anterior,</w:t>
      </w:r>
      <w:r>
        <w:rPr>
          <w:spacing w:val="-2"/>
        </w:rPr>
        <w:t> </w:t>
      </w:r>
      <w:r>
        <w:rPr/>
        <w:t>cuando</w:t>
      </w:r>
      <w:r>
        <w:rPr>
          <w:spacing w:val="-2"/>
        </w:rPr>
        <w:t> </w:t>
      </w:r>
      <w:r>
        <w:rPr/>
        <w:t>la</w:t>
      </w:r>
      <w:r>
        <w:rPr>
          <w:spacing w:val="-3"/>
        </w:rPr>
        <w:t> </w:t>
      </w:r>
      <w:r>
        <w:rPr/>
        <w:t>huelga</w:t>
      </w:r>
      <w:r>
        <w:rPr>
          <w:spacing w:val="-2"/>
        </w:rPr>
        <w:t> </w:t>
      </w:r>
      <w:r>
        <w:rPr/>
        <w:t>tenga</w:t>
      </w:r>
      <w:r>
        <w:rPr>
          <w:spacing w:val="-2"/>
        </w:rPr>
        <w:t> </w:t>
      </w:r>
      <w:r>
        <w:rPr/>
        <w:t>por</w:t>
      </w:r>
      <w:r>
        <w:rPr>
          <w:spacing w:val="-1"/>
        </w:rPr>
        <w:t> </w:t>
      </w:r>
      <w:r>
        <w:rPr/>
        <w:t>objeto</w:t>
      </w:r>
      <w:r>
        <w:rPr>
          <w:spacing w:val="-2"/>
        </w:rPr>
        <w:t> </w:t>
      </w:r>
      <w:r>
        <w:rPr/>
        <w:t>lo</w:t>
      </w:r>
      <w:r>
        <w:rPr>
          <w:spacing w:val="-3"/>
        </w:rPr>
        <w:t> </w:t>
      </w:r>
      <w:r>
        <w:rPr/>
        <w:t>señalado</w:t>
      </w:r>
      <w:r>
        <w:rPr>
          <w:spacing w:val="-3"/>
        </w:rPr>
        <w:t> </w:t>
      </w:r>
      <w:r>
        <w:rPr/>
        <w:t>en</w:t>
      </w:r>
      <w:r>
        <w:rPr>
          <w:spacing w:val="-3"/>
        </w:rPr>
        <w:t> </w:t>
      </w:r>
      <w:r>
        <w:rPr/>
        <w:t>el artículo 450, fracción VI.</w:t>
      </w:r>
    </w:p>
    <w:p>
      <w:pPr>
        <w:spacing w:line="183"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7" w:firstLine="288"/>
        <w:jc w:val="both"/>
      </w:pPr>
      <w:bookmarkStart w:name="Artículo_903" w:id="1147"/>
      <w:bookmarkEnd w:id="1147"/>
      <w:r>
        <w:rPr/>
      </w:r>
      <w:r>
        <w:rPr>
          <w:rFonts w:ascii="Arial" w:hAnsi="Arial"/>
          <w:b/>
        </w:rPr>
        <w:t>Artículo 903.- </w:t>
      </w:r>
      <w:r>
        <w:rPr/>
        <w:t>Los conflictos colectivos de naturaleza económica podrán ser planteados por los sindicatos de trabajadores titulares de los contratos colectivos de trabajo, por la mayoría de los trabajadores de una empresa o establecimiento, siempre que se afecte el interés profesional, o por el patrón o patronos, mediante demanda por escrito, la cual deberá contener:</w:t>
      </w:r>
    </w:p>
    <w:p>
      <w:pPr>
        <w:pStyle w:val="BodyText"/>
      </w:pPr>
    </w:p>
    <w:p>
      <w:pPr>
        <w:pStyle w:val="ListParagraph"/>
        <w:numPr>
          <w:ilvl w:val="0"/>
          <w:numId w:val="327"/>
        </w:numPr>
        <w:tabs>
          <w:tab w:pos="1195" w:val="left" w:leader="none"/>
        </w:tabs>
        <w:spacing w:line="240" w:lineRule="auto" w:before="0" w:after="0"/>
        <w:ind w:left="1195" w:right="0" w:hanging="569"/>
        <w:jc w:val="left"/>
        <w:rPr>
          <w:sz w:val="20"/>
        </w:rPr>
      </w:pPr>
      <w:r>
        <w:rPr>
          <w:sz w:val="20"/>
        </w:rPr>
        <w:t>Nombre</w:t>
      </w:r>
      <w:r>
        <w:rPr>
          <w:spacing w:val="-5"/>
          <w:sz w:val="20"/>
        </w:rPr>
        <w:t> </w:t>
      </w:r>
      <w:r>
        <w:rPr>
          <w:sz w:val="20"/>
        </w:rPr>
        <w:t>y</w:t>
      </w:r>
      <w:r>
        <w:rPr>
          <w:spacing w:val="-10"/>
          <w:sz w:val="20"/>
        </w:rPr>
        <w:t> </w:t>
      </w:r>
      <w:r>
        <w:rPr>
          <w:sz w:val="20"/>
        </w:rPr>
        <w:t>domicilio</w:t>
      </w:r>
      <w:r>
        <w:rPr>
          <w:spacing w:val="-6"/>
          <w:sz w:val="20"/>
        </w:rPr>
        <w:t> </w:t>
      </w:r>
      <w:r>
        <w:rPr>
          <w:sz w:val="20"/>
        </w:rPr>
        <w:t>del</w:t>
      </w:r>
      <w:r>
        <w:rPr>
          <w:spacing w:val="-7"/>
          <w:sz w:val="20"/>
        </w:rPr>
        <w:t> </w:t>
      </w:r>
      <w:r>
        <w:rPr>
          <w:sz w:val="20"/>
        </w:rPr>
        <w:t>que</w:t>
      </w:r>
      <w:r>
        <w:rPr>
          <w:spacing w:val="-4"/>
          <w:sz w:val="20"/>
        </w:rPr>
        <w:t> </w:t>
      </w:r>
      <w:r>
        <w:rPr>
          <w:sz w:val="20"/>
        </w:rPr>
        <w:t>promueve</w:t>
      </w:r>
      <w:r>
        <w:rPr>
          <w:spacing w:val="-3"/>
          <w:sz w:val="20"/>
        </w:rPr>
        <w:t> </w:t>
      </w:r>
      <w:r>
        <w:rPr>
          <w:sz w:val="20"/>
        </w:rPr>
        <w:t>y</w:t>
      </w:r>
      <w:r>
        <w:rPr>
          <w:spacing w:val="-9"/>
          <w:sz w:val="20"/>
        </w:rPr>
        <w:t> </w:t>
      </w:r>
      <w:r>
        <w:rPr>
          <w:sz w:val="20"/>
        </w:rPr>
        <w:t>los</w:t>
      </w:r>
      <w:r>
        <w:rPr>
          <w:spacing w:val="-5"/>
          <w:sz w:val="20"/>
        </w:rPr>
        <w:t> </w:t>
      </w:r>
      <w:r>
        <w:rPr>
          <w:sz w:val="20"/>
        </w:rPr>
        <w:t>documentos</w:t>
      </w:r>
      <w:r>
        <w:rPr>
          <w:spacing w:val="-6"/>
          <w:sz w:val="20"/>
        </w:rPr>
        <w:t> </w:t>
      </w:r>
      <w:r>
        <w:rPr>
          <w:sz w:val="20"/>
        </w:rPr>
        <w:t>que</w:t>
      </w:r>
      <w:r>
        <w:rPr>
          <w:spacing w:val="-6"/>
          <w:sz w:val="20"/>
        </w:rPr>
        <w:t> </w:t>
      </w:r>
      <w:r>
        <w:rPr>
          <w:sz w:val="20"/>
        </w:rPr>
        <w:t>justifiquen</w:t>
      </w:r>
      <w:r>
        <w:rPr>
          <w:spacing w:val="-6"/>
          <w:sz w:val="20"/>
        </w:rPr>
        <w:t> </w:t>
      </w:r>
      <w:r>
        <w:rPr>
          <w:sz w:val="20"/>
        </w:rPr>
        <w:t>su</w:t>
      </w:r>
      <w:r>
        <w:rPr>
          <w:spacing w:val="-6"/>
          <w:sz w:val="20"/>
        </w:rPr>
        <w:t> </w:t>
      </w:r>
      <w:r>
        <w:rPr>
          <w:spacing w:val="-2"/>
          <w:sz w:val="20"/>
        </w:rPr>
        <w:t>personalidad;</w:t>
      </w:r>
    </w:p>
    <w:p>
      <w:pPr>
        <w:pStyle w:val="ListParagraph"/>
        <w:numPr>
          <w:ilvl w:val="0"/>
          <w:numId w:val="327"/>
        </w:numPr>
        <w:tabs>
          <w:tab w:pos="1195" w:val="left" w:leader="none"/>
        </w:tabs>
        <w:spacing w:line="240" w:lineRule="auto" w:before="228" w:after="0"/>
        <w:ind w:left="1195" w:right="0" w:hanging="569"/>
        <w:jc w:val="left"/>
        <w:rPr>
          <w:sz w:val="20"/>
        </w:rPr>
      </w:pPr>
      <w:r>
        <w:rPr>
          <w:sz w:val="20"/>
        </w:rPr>
        <w:t>Exposición</w:t>
      </w:r>
      <w:r>
        <w:rPr>
          <w:spacing w:val="-7"/>
          <w:sz w:val="20"/>
        </w:rPr>
        <w:t> </w:t>
      </w:r>
      <w:r>
        <w:rPr>
          <w:sz w:val="20"/>
        </w:rPr>
        <w:t>de</w:t>
      </w:r>
      <w:r>
        <w:rPr>
          <w:spacing w:val="-6"/>
          <w:sz w:val="20"/>
        </w:rPr>
        <w:t> </w:t>
      </w:r>
      <w:r>
        <w:rPr>
          <w:sz w:val="20"/>
        </w:rPr>
        <w:t>los</w:t>
      </w:r>
      <w:r>
        <w:rPr>
          <w:spacing w:val="-6"/>
          <w:sz w:val="20"/>
        </w:rPr>
        <w:t> </w:t>
      </w:r>
      <w:r>
        <w:rPr>
          <w:sz w:val="20"/>
        </w:rPr>
        <w:t>hechos</w:t>
      </w:r>
      <w:r>
        <w:rPr>
          <w:spacing w:val="-4"/>
          <w:sz w:val="20"/>
        </w:rPr>
        <w:t> </w:t>
      </w:r>
      <w:r>
        <w:rPr>
          <w:sz w:val="20"/>
        </w:rPr>
        <w:t>y</w:t>
      </w:r>
      <w:r>
        <w:rPr>
          <w:spacing w:val="-8"/>
          <w:sz w:val="20"/>
        </w:rPr>
        <w:t> </w:t>
      </w:r>
      <w:r>
        <w:rPr>
          <w:sz w:val="20"/>
        </w:rPr>
        <w:t>causas</w:t>
      </w:r>
      <w:r>
        <w:rPr>
          <w:spacing w:val="-6"/>
          <w:sz w:val="20"/>
        </w:rPr>
        <w:t> </w:t>
      </w:r>
      <w:r>
        <w:rPr>
          <w:sz w:val="20"/>
        </w:rPr>
        <w:t>que</w:t>
      </w:r>
      <w:r>
        <w:rPr>
          <w:spacing w:val="-6"/>
          <w:sz w:val="20"/>
        </w:rPr>
        <w:t> </w:t>
      </w:r>
      <w:r>
        <w:rPr>
          <w:sz w:val="20"/>
        </w:rPr>
        <w:t>dieron</w:t>
      </w:r>
      <w:r>
        <w:rPr>
          <w:spacing w:val="-5"/>
          <w:sz w:val="20"/>
        </w:rPr>
        <w:t> </w:t>
      </w:r>
      <w:r>
        <w:rPr>
          <w:sz w:val="20"/>
        </w:rPr>
        <w:t>origen</w:t>
      </w:r>
      <w:r>
        <w:rPr>
          <w:spacing w:val="-6"/>
          <w:sz w:val="20"/>
        </w:rPr>
        <w:t> </w:t>
      </w:r>
      <w:r>
        <w:rPr>
          <w:sz w:val="20"/>
        </w:rPr>
        <w:t>al</w:t>
      </w:r>
      <w:r>
        <w:rPr>
          <w:spacing w:val="-8"/>
          <w:sz w:val="20"/>
        </w:rPr>
        <w:t> </w:t>
      </w:r>
      <w:r>
        <w:rPr>
          <w:sz w:val="20"/>
        </w:rPr>
        <w:t>conflicto;</w:t>
      </w:r>
      <w:r>
        <w:rPr>
          <w:spacing w:val="-4"/>
          <w:sz w:val="20"/>
        </w:rPr>
        <w:t> </w:t>
      </w:r>
      <w:r>
        <w:rPr>
          <w:spacing w:val="-10"/>
          <w:sz w:val="20"/>
        </w:rPr>
        <w:t>y</w:t>
      </w:r>
    </w:p>
    <w:p>
      <w:pPr>
        <w:pStyle w:val="BodyText"/>
        <w:spacing w:before="1"/>
      </w:pPr>
    </w:p>
    <w:p>
      <w:pPr>
        <w:pStyle w:val="ListParagraph"/>
        <w:numPr>
          <w:ilvl w:val="0"/>
          <w:numId w:val="327"/>
        </w:numPr>
        <w:tabs>
          <w:tab w:pos="1195" w:val="left" w:leader="none"/>
        </w:tabs>
        <w:spacing w:line="240" w:lineRule="auto" w:before="0" w:after="0"/>
        <w:ind w:left="1195" w:right="0" w:hanging="569"/>
        <w:jc w:val="left"/>
        <w:rPr>
          <w:sz w:val="20"/>
        </w:rPr>
      </w:pPr>
      <w:r>
        <w:rPr>
          <w:sz w:val="20"/>
        </w:rPr>
        <w:t>Las</w:t>
      </w:r>
      <w:r>
        <w:rPr>
          <w:spacing w:val="-8"/>
          <w:sz w:val="20"/>
        </w:rPr>
        <w:t> </w:t>
      </w:r>
      <w:r>
        <w:rPr>
          <w:sz w:val="20"/>
        </w:rPr>
        <w:t>pretensiones</w:t>
      </w:r>
      <w:r>
        <w:rPr>
          <w:spacing w:val="-8"/>
          <w:sz w:val="20"/>
        </w:rPr>
        <w:t> </w:t>
      </w:r>
      <w:r>
        <w:rPr>
          <w:sz w:val="20"/>
        </w:rPr>
        <w:t>del</w:t>
      </w:r>
      <w:r>
        <w:rPr>
          <w:spacing w:val="-7"/>
          <w:sz w:val="20"/>
        </w:rPr>
        <w:t> </w:t>
      </w:r>
      <w:r>
        <w:rPr>
          <w:sz w:val="20"/>
        </w:rPr>
        <w:t>promovente,</w:t>
      </w:r>
      <w:r>
        <w:rPr>
          <w:spacing w:val="-7"/>
          <w:sz w:val="20"/>
        </w:rPr>
        <w:t> </w:t>
      </w:r>
      <w:r>
        <w:rPr>
          <w:sz w:val="20"/>
        </w:rPr>
        <w:t>expresando</w:t>
      </w:r>
      <w:r>
        <w:rPr>
          <w:spacing w:val="-10"/>
          <w:sz w:val="20"/>
        </w:rPr>
        <w:t> </w:t>
      </w:r>
      <w:r>
        <w:rPr>
          <w:sz w:val="20"/>
        </w:rPr>
        <w:t>claramente</w:t>
      </w:r>
      <w:r>
        <w:rPr>
          <w:spacing w:val="-6"/>
          <w:sz w:val="20"/>
        </w:rPr>
        <w:t> </w:t>
      </w:r>
      <w:r>
        <w:rPr>
          <w:sz w:val="20"/>
        </w:rPr>
        <w:t>lo</w:t>
      </w:r>
      <w:r>
        <w:rPr>
          <w:spacing w:val="-7"/>
          <w:sz w:val="20"/>
        </w:rPr>
        <w:t> </w:t>
      </w:r>
      <w:r>
        <w:rPr>
          <w:sz w:val="20"/>
        </w:rPr>
        <w:t>que</w:t>
      </w:r>
      <w:r>
        <w:rPr>
          <w:spacing w:val="-7"/>
          <w:sz w:val="20"/>
        </w:rPr>
        <w:t> </w:t>
      </w:r>
      <w:r>
        <w:rPr>
          <w:sz w:val="20"/>
        </w:rPr>
        <w:t>se</w:t>
      </w:r>
      <w:r>
        <w:rPr>
          <w:spacing w:val="-8"/>
          <w:sz w:val="20"/>
        </w:rPr>
        <w:t> </w:t>
      </w:r>
      <w:r>
        <w:rPr>
          <w:spacing w:val="-2"/>
          <w:sz w:val="20"/>
        </w:rPr>
        <w:t>pide.</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ind w:left="626"/>
      </w:pPr>
      <w:bookmarkStart w:name="Artículo_904" w:id="1148"/>
      <w:bookmarkEnd w:id="1148"/>
      <w:r>
        <w:rPr/>
      </w:r>
      <w:r>
        <w:rPr>
          <w:rFonts w:ascii="Arial" w:hAnsi="Arial"/>
          <w:b/>
        </w:rPr>
        <w:t>Artículo</w:t>
      </w:r>
      <w:r>
        <w:rPr>
          <w:rFonts w:ascii="Arial" w:hAnsi="Arial"/>
          <w:b/>
          <w:spacing w:val="-6"/>
        </w:rPr>
        <w:t> </w:t>
      </w:r>
      <w:r>
        <w:rPr>
          <w:rFonts w:ascii="Arial" w:hAnsi="Arial"/>
          <w:b/>
        </w:rPr>
        <w:t>904.-</w:t>
      </w:r>
      <w:r>
        <w:rPr>
          <w:rFonts w:ascii="Arial" w:hAnsi="Arial"/>
          <w:b/>
          <w:spacing w:val="-4"/>
        </w:rPr>
        <w:t> </w:t>
      </w:r>
      <w:r>
        <w:rPr/>
        <w:t>El</w:t>
      </w:r>
      <w:r>
        <w:rPr>
          <w:spacing w:val="-6"/>
        </w:rPr>
        <w:t> </w:t>
      </w:r>
      <w:r>
        <w:rPr/>
        <w:t>promovente,</w:t>
      </w:r>
      <w:r>
        <w:rPr>
          <w:spacing w:val="-6"/>
        </w:rPr>
        <w:t> </w:t>
      </w:r>
      <w:r>
        <w:rPr/>
        <w:t>según</w:t>
      </w:r>
      <w:r>
        <w:rPr>
          <w:spacing w:val="-8"/>
        </w:rPr>
        <w:t> </w:t>
      </w:r>
      <w:r>
        <w:rPr/>
        <w:t>el</w:t>
      </w:r>
      <w:r>
        <w:rPr>
          <w:spacing w:val="-7"/>
        </w:rPr>
        <w:t> </w:t>
      </w:r>
      <w:r>
        <w:rPr/>
        <w:t>caso,</w:t>
      </w:r>
      <w:r>
        <w:rPr>
          <w:spacing w:val="-5"/>
        </w:rPr>
        <w:t> </w:t>
      </w:r>
      <w:r>
        <w:rPr/>
        <w:t>deberá</w:t>
      </w:r>
      <w:r>
        <w:rPr>
          <w:spacing w:val="-7"/>
        </w:rPr>
        <w:t> </w:t>
      </w:r>
      <w:r>
        <w:rPr/>
        <w:t>acompañar</w:t>
      </w:r>
      <w:r>
        <w:rPr>
          <w:spacing w:val="-5"/>
        </w:rPr>
        <w:t> </w:t>
      </w:r>
      <w:r>
        <w:rPr/>
        <w:t>a</w:t>
      </w:r>
      <w:r>
        <w:rPr>
          <w:spacing w:val="-5"/>
        </w:rPr>
        <w:t> </w:t>
      </w:r>
      <w:r>
        <w:rPr/>
        <w:t>la</w:t>
      </w:r>
      <w:r>
        <w:rPr>
          <w:spacing w:val="-5"/>
        </w:rPr>
        <w:t> </w:t>
      </w:r>
      <w:r>
        <w:rPr/>
        <w:t>demanda</w:t>
      </w:r>
      <w:r>
        <w:rPr>
          <w:spacing w:val="-7"/>
        </w:rPr>
        <w:t> </w:t>
      </w:r>
      <w:r>
        <w:rPr/>
        <w:t>lo</w:t>
      </w:r>
      <w:r>
        <w:rPr>
          <w:spacing w:val="-5"/>
        </w:rPr>
        <w:t> </w:t>
      </w:r>
      <w:r>
        <w:rPr>
          <w:spacing w:val="-2"/>
        </w:rPr>
        <w:t>siguiente:</w:t>
      </w:r>
    </w:p>
    <w:p>
      <w:pPr>
        <w:spacing w:before="1"/>
        <w:ind w:left="0" w:right="3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30-01-</w:t>
      </w:r>
      <w:r>
        <w:rPr>
          <w:rFonts w:ascii="Times New Roman" w:hAnsi="Times New Roman"/>
          <w:i/>
          <w:color w:val="0000FF"/>
          <w:spacing w:val="-4"/>
          <w:sz w:val="16"/>
        </w:rPr>
        <w:t>1980</w:t>
      </w:r>
    </w:p>
    <w:p>
      <w:pPr>
        <w:pStyle w:val="BodyText"/>
        <w:spacing w:before="47"/>
        <w:rPr>
          <w:rFonts w:ascii="Times New Roman"/>
          <w:i/>
          <w:sz w:val="16"/>
        </w:rPr>
      </w:pPr>
    </w:p>
    <w:p>
      <w:pPr>
        <w:pStyle w:val="ListParagraph"/>
        <w:numPr>
          <w:ilvl w:val="0"/>
          <w:numId w:val="328"/>
        </w:numPr>
        <w:tabs>
          <w:tab w:pos="1193" w:val="left" w:leader="none"/>
          <w:tab w:pos="1195" w:val="left" w:leader="none"/>
        </w:tabs>
        <w:spacing w:line="240" w:lineRule="auto" w:before="1" w:after="0"/>
        <w:ind w:left="1195" w:right="341" w:hanging="569"/>
        <w:jc w:val="both"/>
        <w:rPr>
          <w:sz w:val="20"/>
        </w:rPr>
      </w:pPr>
      <w:r>
        <w:rPr>
          <w:sz w:val="20"/>
        </w:rPr>
        <w:t>Los documentos públicos o privados que tiendan a comprobar la situación económica de la empresa o establecimiento y la necesidad de las medidas que se solicitan;</w:t>
      </w:r>
    </w:p>
    <w:p>
      <w:pPr>
        <w:pStyle w:val="ListParagraph"/>
        <w:numPr>
          <w:ilvl w:val="0"/>
          <w:numId w:val="328"/>
        </w:numPr>
        <w:tabs>
          <w:tab w:pos="1192" w:val="left" w:leader="none"/>
          <w:tab w:pos="1195" w:val="left" w:leader="none"/>
        </w:tabs>
        <w:spacing w:line="242" w:lineRule="auto" w:before="228" w:after="0"/>
        <w:ind w:left="1195" w:right="341" w:hanging="569"/>
        <w:jc w:val="both"/>
        <w:rPr>
          <w:sz w:val="20"/>
        </w:rPr>
      </w:pPr>
      <w:r>
        <w:rPr>
          <w:sz w:val="20"/>
        </w:rPr>
        <w:t>La relación de los trabajadores que prestan sus servicios en la empresa o establecimiento, indicando sus nombres, apellidos, empleo que desempeñan, salario que perciban y antigüedad en el trabajo;</w:t>
      </w:r>
    </w:p>
    <w:p>
      <w:pPr>
        <w:pStyle w:val="ListParagraph"/>
        <w:numPr>
          <w:ilvl w:val="0"/>
          <w:numId w:val="328"/>
        </w:numPr>
        <w:tabs>
          <w:tab w:pos="1191" w:val="left" w:leader="none"/>
          <w:tab w:pos="1195" w:val="left" w:leader="none"/>
        </w:tabs>
        <w:spacing w:line="242" w:lineRule="auto" w:before="223" w:after="0"/>
        <w:ind w:left="1195" w:right="342" w:hanging="569"/>
        <w:jc w:val="both"/>
        <w:rPr>
          <w:sz w:val="20"/>
        </w:rPr>
      </w:pPr>
      <w:r>
        <w:rPr>
          <w:sz w:val="20"/>
        </w:rPr>
        <w:t>Un dictamen formulado por el perito relativo a la situación económica de la empresa o </w:t>
      </w:r>
      <w:r>
        <w:rPr>
          <w:spacing w:val="-2"/>
          <w:sz w:val="20"/>
        </w:rPr>
        <w:t>establecimiento;</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3"/>
      </w:pPr>
    </w:p>
    <w:p>
      <w:pPr>
        <w:pStyle w:val="ListParagraph"/>
        <w:numPr>
          <w:ilvl w:val="0"/>
          <w:numId w:val="328"/>
        </w:numPr>
        <w:tabs>
          <w:tab w:pos="1195" w:val="left" w:leader="none"/>
        </w:tabs>
        <w:spacing w:line="240" w:lineRule="auto" w:before="0" w:after="0"/>
        <w:ind w:left="1195" w:right="0" w:hanging="569"/>
        <w:jc w:val="left"/>
        <w:rPr>
          <w:sz w:val="20"/>
        </w:rPr>
      </w:pPr>
      <w:r>
        <w:rPr>
          <w:sz w:val="20"/>
        </w:rPr>
        <w:t>Las</w:t>
      </w:r>
      <w:r>
        <w:rPr>
          <w:spacing w:val="-9"/>
          <w:sz w:val="20"/>
        </w:rPr>
        <w:t> </w:t>
      </w:r>
      <w:r>
        <w:rPr>
          <w:sz w:val="20"/>
        </w:rPr>
        <w:t>pruebas</w:t>
      </w:r>
      <w:r>
        <w:rPr>
          <w:spacing w:val="-8"/>
          <w:sz w:val="20"/>
        </w:rPr>
        <w:t> </w:t>
      </w:r>
      <w:r>
        <w:rPr>
          <w:sz w:val="20"/>
        </w:rPr>
        <w:t>que</w:t>
      </w:r>
      <w:r>
        <w:rPr>
          <w:spacing w:val="-10"/>
          <w:sz w:val="20"/>
        </w:rPr>
        <w:t> </w:t>
      </w:r>
      <w:r>
        <w:rPr>
          <w:sz w:val="20"/>
        </w:rPr>
        <w:t>juzgue</w:t>
      </w:r>
      <w:r>
        <w:rPr>
          <w:spacing w:val="-9"/>
          <w:sz w:val="20"/>
        </w:rPr>
        <w:t> </w:t>
      </w:r>
      <w:r>
        <w:rPr>
          <w:sz w:val="20"/>
        </w:rPr>
        <w:t>conveniente</w:t>
      </w:r>
      <w:r>
        <w:rPr>
          <w:spacing w:val="-8"/>
          <w:sz w:val="20"/>
        </w:rPr>
        <w:t> </w:t>
      </w:r>
      <w:r>
        <w:rPr>
          <w:sz w:val="20"/>
        </w:rPr>
        <w:t>para</w:t>
      </w:r>
      <w:r>
        <w:rPr>
          <w:spacing w:val="-7"/>
          <w:sz w:val="20"/>
        </w:rPr>
        <w:t> </w:t>
      </w:r>
      <w:r>
        <w:rPr>
          <w:sz w:val="20"/>
        </w:rPr>
        <w:t>acreditar</w:t>
      </w:r>
      <w:r>
        <w:rPr>
          <w:spacing w:val="-10"/>
          <w:sz w:val="20"/>
        </w:rPr>
        <w:t> </w:t>
      </w:r>
      <w:r>
        <w:rPr>
          <w:sz w:val="20"/>
        </w:rPr>
        <w:t>sus</w:t>
      </w:r>
      <w:r>
        <w:rPr>
          <w:spacing w:val="-3"/>
          <w:sz w:val="20"/>
        </w:rPr>
        <w:t> </w:t>
      </w:r>
      <w:r>
        <w:rPr>
          <w:sz w:val="20"/>
        </w:rPr>
        <w:t>pretensiones;</w:t>
      </w:r>
      <w:r>
        <w:rPr>
          <w:spacing w:val="-5"/>
          <w:sz w:val="20"/>
        </w:rPr>
        <w:t> </w:t>
      </w:r>
      <w:r>
        <w:rPr>
          <w:spacing w:val="-10"/>
          <w:sz w:val="20"/>
        </w:rPr>
        <w:t>y</w:t>
      </w:r>
    </w:p>
    <w:p>
      <w:pPr>
        <w:pStyle w:val="BodyText"/>
        <w:spacing w:before="1"/>
      </w:pPr>
    </w:p>
    <w:p>
      <w:pPr>
        <w:pStyle w:val="ListParagraph"/>
        <w:numPr>
          <w:ilvl w:val="0"/>
          <w:numId w:val="328"/>
        </w:numPr>
        <w:tabs>
          <w:tab w:pos="1195" w:val="left" w:leader="none"/>
        </w:tabs>
        <w:spacing w:line="240" w:lineRule="auto" w:before="0" w:after="0"/>
        <w:ind w:left="1195" w:right="0" w:hanging="569"/>
        <w:jc w:val="left"/>
        <w:rPr>
          <w:sz w:val="20"/>
        </w:rPr>
      </w:pPr>
      <w:r>
        <w:rPr>
          <w:sz w:val="20"/>
        </w:rPr>
        <w:t>Las</w:t>
      </w:r>
      <w:r>
        <w:rPr>
          <w:spacing w:val="-6"/>
          <w:sz w:val="20"/>
        </w:rPr>
        <w:t> </w:t>
      </w:r>
      <w:r>
        <w:rPr>
          <w:sz w:val="20"/>
        </w:rPr>
        <w:t>copias</w:t>
      </w:r>
      <w:r>
        <w:rPr>
          <w:spacing w:val="-5"/>
          <w:sz w:val="20"/>
        </w:rPr>
        <w:t> </w:t>
      </w:r>
      <w:r>
        <w:rPr>
          <w:sz w:val="20"/>
        </w:rPr>
        <w:t>necesarias</w:t>
      </w:r>
      <w:r>
        <w:rPr>
          <w:spacing w:val="-5"/>
          <w:sz w:val="20"/>
        </w:rPr>
        <w:t> </w:t>
      </w:r>
      <w:r>
        <w:rPr>
          <w:sz w:val="20"/>
        </w:rPr>
        <w:t>de</w:t>
      </w:r>
      <w:r>
        <w:rPr>
          <w:spacing w:val="-4"/>
          <w:sz w:val="20"/>
        </w:rPr>
        <w:t> </w:t>
      </w:r>
      <w:r>
        <w:rPr>
          <w:sz w:val="20"/>
        </w:rPr>
        <w:t>la</w:t>
      </w:r>
      <w:r>
        <w:rPr>
          <w:spacing w:val="-6"/>
          <w:sz w:val="20"/>
        </w:rPr>
        <w:t> </w:t>
      </w:r>
      <w:r>
        <w:rPr>
          <w:sz w:val="20"/>
        </w:rPr>
        <w:t>demanda</w:t>
      </w:r>
      <w:r>
        <w:rPr>
          <w:spacing w:val="-2"/>
          <w:sz w:val="20"/>
        </w:rPr>
        <w:t> </w:t>
      </w:r>
      <w:r>
        <w:rPr>
          <w:sz w:val="20"/>
        </w:rPr>
        <w:t>y</w:t>
      </w:r>
      <w:r>
        <w:rPr>
          <w:spacing w:val="-9"/>
          <w:sz w:val="20"/>
        </w:rPr>
        <w:t> </w:t>
      </w:r>
      <w:r>
        <w:rPr>
          <w:sz w:val="20"/>
        </w:rPr>
        <w:t>sus</w:t>
      </w:r>
      <w:r>
        <w:rPr>
          <w:spacing w:val="-5"/>
          <w:sz w:val="20"/>
        </w:rPr>
        <w:t> </w:t>
      </w:r>
      <w:r>
        <w:rPr>
          <w:sz w:val="20"/>
        </w:rPr>
        <w:t>anexos,</w:t>
      </w:r>
      <w:r>
        <w:rPr>
          <w:spacing w:val="-5"/>
          <w:sz w:val="20"/>
        </w:rPr>
        <w:t> </w:t>
      </w:r>
      <w:r>
        <w:rPr>
          <w:sz w:val="20"/>
        </w:rPr>
        <w:t>para</w:t>
      </w:r>
      <w:r>
        <w:rPr>
          <w:spacing w:val="-6"/>
          <w:sz w:val="20"/>
        </w:rPr>
        <w:t> </w:t>
      </w:r>
      <w:r>
        <w:rPr>
          <w:sz w:val="20"/>
        </w:rPr>
        <w:t>correr</w:t>
      </w:r>
      <w:r>
        <w:rPr>
          <w:spacing w:val="-6"/>
          <w:sz w:val="20"/>
        </w:rPr>
        <w:t> </w:t>
      </w:r>
      <w:r>
        <w:rPr>
          <w:sz w:val="20"/>
        </w:rPr>
        <w:t>traslado</w:t>
      </w:r>
      <w:r>
        <w:rPr>
          <w:spacing w:val="-7"/>
          <w:sz w:val="20"/>
        </w:rPr>
        <w:t> </w:t>
      </w:r>
      <w:r>
        <w:rPr>
          <w:sz w:val="20"/>
        </w:rPr>
        <w:t>a</w:t>
      </w:r>
      <w:r>
        <w:rPr>
          <w:spacing w:val="-4"/>
          <w:sz w:val="20"/>
        </w:rPr>
        <w:t> </w:t>
      </w:r>
      <w:r>
        <w:rPr>
          <w:sz w:val="20"/>
        </w:rPr>
        <w:t>la</w:t>
      </w:r>
      <w:r>
        <w:rPr>
          <w:spacing w:val="-4"/>
          <w:sz w:val="20"/>
        </w:rPr>
        <w:t> </w:t>
      </w:r>
      <w:r>
        <w:rPr>
          <w:spacing w:val="-2"/>
          <w:sz w:val="20"/>
        </w:rPr>
        <w:t>contraparte.</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338" w:right="342" w:firstLine="288"/>
        <w:jc w:val="both"/>
      </w:pPr>
      <w:bookmarkStart w:name="Artículo_905" w:id="1149"/>
      <w:bookmarkEnd w:id="1149"/>
      <w:r>
        <w:rPr/>
      </w:r>
      <w:r>
        <w:rPr>
          <w:rFonts w:ascii="Arial" w:hAnsi="Arial"/>
          <w:b/>
        </w:rPr>
        <w:t>Artículo 905.- </w:t>
      </w:r>
      <w:r>
        <w:rPr/>
        <w:t>El Tribunal, inmediatamente después de recibir la demanda, ordenará emplazar a la parte demandada para que conteste en el término de quince días.</w:t>
      </w:r>
    </w:p>
    <w:p>
      <w:pPr>
        <w:pStyle w:val="BodyText"/>
        <w:spacing w:before="229"/>
        <w:ind w:left="338" w:right="345" w:firstLine="288"/>
        <w:jc w:val="both"/>
      </w:pPr>
      <w:r>
        <w:rPr/>
        <w:t>El escrito de contestación deberá reunir los mismos requisitos exigidos para la demanda, incluyendo en su caso la objeción de pruebas de la contraparte, las excepciones procesales y las pruebas con que éstas se acrediten.</w:t>
      </w:r>
    </w:p>
    <w:p>
      <w:pPr>
        <w:pStyle w:val="BodyText"/>
      </w:pPr>
    </w:p>
    <w:p>
      <w:pPr>
        <w:pStyle w:val="BodyText"/>
        <w:ind w:left="338" w:right="345" w:firstLine="288"/>
        <w:jc w:val="both"/>
      </w:pPr>
      <w:r>
        <w:rPr/>
        <w:t>Con la contestación se dará vista a la parte actora para que en el término de cinco días manifieste lo que corresponda y, en su caso, objete las pruebas de la demandada. De objetar las pruebas, deberá ofrecer los medios probatorios conducentes.</w:t>
      </w:r>
    </w:p>
    <w:p>
      <w:pPr>
        <w:pStyle w:val="BodyText"/>
        <w:spacing w:before="230"/>
        <w:ind w:left="338" w:right="347" w:firstLine="288"/>
        <w:jc w:val="both"/>
      </w:pPr>
      <w:r>
        <w:rPr/>
        <w:t>Desahogada la vista o transcurrido el plazo para su desahogo, el Tribunal citará a las partes a una audiencia que deberá efectuarse dentro de los veinticinco días siguientes.</w:t>
      </w:r>
    </w:p>
    <w:p>
      <w:pPr>
        <w:pStyle w:val="BodyText"/>
        <w:spacing w:before="1"/>
      </w:pPr>
    </w:p>
    <w:p>
      <w:pPr>
        <w:pStyle w:val="BodyText"/>
        <w:ind w:left="338" w:right="337" w:firstLine="288"/>
        <w:jc w:val="both"/>
      </w:pPr>
      <w:r>
        <w:rPr/>
        <w:t>En el auto que</w:t>
      </w:r>
      <w:r>
        <w:rPr>
          <w:spacing w:val="-1"/>
        </w:rPr>
        <w:t> </w:t>
      </w:r>
      <w:r>
        <w:rPr/>
        <w:t>señale</w:t>
      </w:r>
      <w:r>
        <w:rPr>
          <w:spacing w:val="-1"/>
        </w:rPr>
        <w:t> </w:t>
      </w:r>
      <w:r>
        <w:rPr/>
        <w:t>día y</w:t>
      </w:r>
      <w:r>
        <w:rPr>
          <w:spacing w:val="-2"/>
        </w:rPr>
        <w:t> </w:t>
      </w:r>
      <w:r>
        <w:rPr/>
        <w:t>hora para la</w:t>
      </w:r>
      <w:r>
        <w:rPr>
          <w:spacing w:val="-1"/>
        </w:rPr>
        <w:t> </w:t>
      </w:r>
      <w:r>
        <w:rPr/>
        <w:t>celebración de</w:t>
      </w:r>
      <w:r>
        <w:rPr>
          <w:spacing w:val="-1"/>
        </w:rPr>
        <w:t> </w:t>
      </w:r>
      <w:r>
        <w:rPr/>
        <w:t>audiencia, el Tribunal</w:t>
      </w:r>
      <w:r>
        <w:rPr>
          <w:spacing w:val="-2"/>
        </w:rPr>
        <w:t> </w:t>
      </w:r>
      <w:r>
        <w:rPr/>
        <w:t>se pronunciará respecto de la admisión de pruebas ofrecidas por las partes, ordenando su desahogo dentro de dicha audiencia.</w:t>
      </w:r>
    </w:p>
    <w:p>
      <w:pPr>
        <w:pStyle w:val="BodyText"/>
        <w:spacing w:before="229"/>
        <w:ind w:left="338" w:right="346" w:firstLine="288"/>
        <w:jc w:val="both"/>
      </w:pPr>
      <w:r>
        <w:rPr/>
        <w:t>La prueba pericial se rendirá por medio de peritos oficiales, quienes deberán aceptar el cargo dentro de los tres días siguientes a la fecha de su designación.</w:t>
      </w:r>
    </w:p>
    <w:p>
      <w:pPr>
        <w:pStyle w:val="BodyText"/>
        <w:spacing w:before="1"/>
      </w:pPr>
    </w:p>
    <w:p>
      <w:pPr>
        <w:pStyle w:val="BodyText"/>
        <w:ind w:left="338" w:right="344" w:firstLine="288"/>
        <w:jc w:val="both"/>
      </w:pPr>
      <w:r>
        <w:rPr/>
        <w:t>El dictamen de los peritos oficiales deberá presentarse con al menos diez días de anticipación a la fecha de audiencia a fin de que se le corra traslado con copia del mismo a las partes para que éstas puedan realizar por escrito las objeciones y</w:t>
      </w:r>
      <w:r>
        <w:rPr>
          <w:spacing w:val="-3"/>
        </w:rPr>
        <w:t> </w:t>
      </w:r>
      <w:r>
        <w:rPr/>
        <w:t>alegatos que estimen</w:t>
      </w:r>
      <w:r>
        <w:rPr>
          <w:spacing w:val="-3"/>
        </w:rPr>
        <w:t> </w:t>
      </w:r>
      <w:r>
        <w:rPr/>
        <w:t>convenientes, lo</w:t>
      </w:r>
      <w:r>
        <w:rPr>
          <w:spacing w:val="-2"/>
        </w:rPr>
        <w:t> </w:t>
      </w:r>
      <w:r>
        <w:rPr/>
        <w:t>cual</w:t>
      </w:r>
      <w:r>
        <w:rPr>
          <w:spacing w:val="-1"/>
        </w:rPr>
        <w:t> </w:t>
      </w:r>
      <w:r>
        <w:rPr/>
        <w:t>deberán hacer</w:t>
      </w:r>
      <w:r>
        <w:rPr>
          <w:spacing w:val="-1"/>
        </w:rPr>
        <w:t> </w:t>
      </w:r>
      <w:r>
        <w:rPr/>
        <w:t>en el plazo de los cinco días siguientes a su recepción. Cada parte podrá designar uno o más peritos para que se asocien a los nombrados por el Tribunal o rindan su dictamen por separado.</w:t>
      </w:r>
    </w:p>
    <w:p>
      <w:pPr>
        <w:pStyle w:val="BodyText"/>
      </w:pPr>
    </w:p>
    <w:p>
      <w:pPr>
        <w:pStyle w:val="BodyText"/>
        <w:ind w:left="338" w:right="344" w:firstLine="288"/>
        <w:jc w:val="both"/>
      </w:pPr>
      <w:r>
        <w:rPr/>
        <w:t>Los trabajadores y los patrones podrán designar dos comisiones integradas con el número de personas que determine el Tribunal, para que acompañen a los peritos en la investigación y les indiquen las observaciones y sugerencias que juzguen conveniente.</w:t>
      </w:r>
    </w:p>
    <w:p>
      <w:pPr>
        <w:spacing w:line="180"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626"/>
      </w:pPr>
      <w:bookmarkStart w:name="Artículo_906" w:id="1150"/>
      <w:bookmarkEnd w:id="1150"/>
      <w:r>
        <w:rPr/>
      </w:r>
      <w:r>
        <w:rPr>
          <w:rFonts w:ascii="Arial" w:hAnsi="Arial"/>
          <w:b/>
        </w:rPr>
        <w:t>Artículo</w:t>
      </w:r>
      <w:r>
        <w:rPr>
          <w:rFonts w:ascii="Arial" w:hAnsi="Arial"/>
          <w:b/>
          <w:spacing w:val="-6"/>
        </w:rPr>
        <w:t> </w:t>
      </w:r>
      <w:r>
        <w:rPr>
          <w:rFonts w:ascii="Arial" w:hAnsi="Arial"/>
          <w:b/>
        </w:rPr>
        <w:t>906.-</w:t>
      </w:r>
      <w:r>
        <w:rPr>
          <w:rFonts w:ascii="Arial" w:hAnsi="Arial"/>
          <w:b/>
          <w:spacing w:val="-6"/>
        </w:rPr>
        <w:t> </w:t>
      </w:r>
      <w:r>
        <w:rPr/>
        <w:t>La</w:t>
      </w:r>
      <w:r>
        <w:rPr>
          <w:spacing w:val="-7"/>
        </w:rPr>
        <w:t> </w:t>
      </w:r>
      <w:r>
        <w:rPr/>
        <w:t>audiencia</w:t>
      </w:r>
      <w:r>
        <w:rPr>
          <w:spacing w:val="-7"/>
        </w:rPr>
        <w:t> </w:t>
      </w:r>
      <w:r>
        <w:rPr/>
        <w:t>se</w:t>
      </w:r>
      <w:r>
        <w:rPr>
          <w:spacing w:val="-6"/>
        </w:rPr>
        <w:t> </w:t>
      </w:r>
      <w:r>
        <w:rPr/>
        <w:t>desarrollará</w:t>
      </w:r>
      <w:r>
        <w:rPr>
          <w:spacing w:val="-7"/>
        </w:rPr>
        <w:t> </w:t>
      </w:r>
      <w:r>
        <w:rPr/>
        <w:t>de</w:t>
      </w:r>
      <w:r>
        <w:rPr>
          <w:spacing w:val="-7"/>
        </w:rPr>
        <w:t> </w:t>
      </w:r>
      <w:r>
        <w:rPr/>
        <w:t>conformidad</w:t>
      </w:r>
      <w:r>
        <w:rPr>
          <w:spacing w:val="-6"/>
        </w:rPr>
        <w:t> </w:t>
      </w:r>
      <w:r>
        <w:rPr/>
        <w:t>con</w:t>
      </w:r>
      <w:r>
        <w:rPr>
          <w:spacing w:val="-8"/>
        </w:rPr>
        <w:t> </w:t>
      </w:r>
      <w:r>
        <w:rPr/>
        <w:t>las</w:t>
      </w:r>
      <w:r>
        <w:rPr>
          <w:spacing w:val="-6"/>
        </w:rPr>
        <w:t> </w:t>
      </w:r>
      <w:r>
        <w:rPr/>
        <w:t>normas</w:t>
      </w:r>
      <w:r>
        <w:rPr>
          <w:spacing w:val="-6"/>
        </w:rPr>
        <w:t> </w:t>
      </w:r>
      <w:r>
        <w:rPr>
          <w:spacing w:val="-2"/>
        </w:rPr>
        <w:t>siguientes:</w:t>
      </w:r>
    </w:p>
    <w:p>
      <w:pPr>
        <w:pStyle w:val="ListParagraph"/>
        <w:numPr>
          <w:ilvl w:val="0"/>
          <w:numId w:val="329"/>
        </w:numPr>
        <w:tabs>
          <w:tab w:pos="1195" w:val="left" w:leader="none"/>
        </w:tabs>
        <w:spacing w:line="240" w:lineRule="auto" w:before="228" w:after="0"/>
        <w:ind w:left="1195" w:right="0" w:hanging="569"/>
        <w:jc w:val="left"/>
        <w:rPr>
          <w:sz w:val="20"/>
        </w:rPr>
      </w:pPr>
      <w:r>
        <w:rPr>
          <w:sz w:val="20"/>
        </w:rPr>
        <w:t>Si</w:t>
      </w:r>
      <w:r>
        <w:rPr>
          <w:spacing w:val="-5"/>
          <w:sz w:val="20"/>
        </w:rPr>
        <w:t> </w:t>
      </w:r>
      <w:r>
        <w:rPr>
          <w:sz w:val="20"/>
        </w:rPr>
        <w:t>el</w:t>
      </w:r>
      <w:r>
        <w:rPr>
          <w:spacing w:val="-4"/>
          <w:sz w:val="20"/>
        </w:rPr>
        <w:t> </w:t>
      </w:r>
      <w:r>
        <w:rPr>
          <w:sz w:val="20"/>
        </w:rPr>
        <w:t>promovente</w:t>
      </w:r>
      <w:r>
        <w:rPr>
          <w:spacing w:val="-4"/>
          <w:sz w:val="20"/>
        </w:rPr>
        <w:t> </w:t>
      </w:r>
      <w:r>
        <w:rPr>
          <w:sz w:val="20"/>
        </w:rPr>
        <w:t>no</w:t>
      </w:r>
      <w:r>
        <w:rPr>
          <w:spacing w:val="-6"/>
          <w:sz w:val="20"/>
        </w:rPr>
        <w:t> </w:t>
      </w:r>
      <w:r>
        <w:rPr>
          <w:sz w:val="20"/>
        </w:rPr>
        <w:t>concurre</w:t>
      </w:r>
      <w:r>
        <w:rPr>
          <w:spacing w:val="-5"/>
          <w:sz w:val="20"/>
        </w:rPr>
        <w:t> </w:t>
      </w:r>
      <w:r>
        <w:rPr>
          <w:sz w:val="20"/>
        </w:rPr>
        <w:t>a</w:t>
      </w:r>
      <w:r>
        <w:rPr>
          <w:spacing w:val="-6"/>
          <w:sz w:val="20"/>
        </w:rPr>
        <w:t> </w:t>
      </w:r>
      <w:r>
        <w:rPr>
          <w:sz w:val="20"/>
        </w:rPr>
        <w:t>la</w:t>
      </w:r>
      <w:r>
        <w:rPr>
          <w:spacing w:val="-5"/>
          <w:sz w:val="20"/>
        </w:rPr>
        <w:t> </w:t>
      </w:r>
      <w:r>
        <w:rPr>
          <w:sz w:val="20"/>
        </w:rPr>
        <w:t>audiencia,</w:t>
      </w:r>
      <w:r>
        <w:rPr>
          <w:spacing w:val="-6"/>
          <w:sz w:val="20"/>
        </w:rPr>
        <w:t> </w:t>
      </w:r>
      <w:r>
        <w:rPr>
          <w:sz w:val="20"/>
        </w:rPr>
        <w:t>se</w:t>
      </w:r>
      <w:r>
        <w:rPr>
          <w:spacing w:val="-3"/>
          <w:sz w:val="20"/>
        </w:rPr>
        <w:t> </w:t>
      </w:r>
      <w:r>
        <w:rPr>
          <w:sz w:val="20"/>
        </w:rPr>
        <w:t>le</w:t>
      </w:r>
      <w:r>
        <w:rPr>
          <w:spacing w:val="-5"/>
          <w:sz w:val="20"/>
        </w:rPr>
        <w:t> </w:t>
      </w:r>
      <w:r>
        <w:rPr>
          <w:sz w:val="20"/>
        </w:rPr>
        <w:t>tendrá</w:t>
      </w:r>
      <w:r>
        <w:rPr>
          <w:spacing w:val="-6"/>
          <w:sz w:val="20"/>
        </w:rPr>
        <w:t> </w:t>
      </w:r>
      <w:r>
        <w:rPr>
          <w:sz w:val="20"/>
        </w:rPr>
        <w:t>por</w:t>
      </w:r>
      <w:r>
        <w:rPr>
          <w:spacing w:val="-5"/>
          <w:sz w:val="20"/>
        </w:rPr>
        <w:t> </w:t>
      </w:r>
      <w:r>
        <w:rPr>
          <w:sz w:val="20"/>
        </w:rPr>
        <w:t>desistido</w:t>
      </w:r>
      <w:r>
        <w:rPr>
          <w:spacing w:val="-5"/>
          <w:sz w:val="20"/>
        </w:rPr>
        <w:t> </w:t>
      </w:r>
      <w:r>
        <w:rPr>
          <w:sz w:val="20"/>
        </w:rPr>
        <w:t>de</w:t>
      </w:r>
      <w:r>
        <w:rPr>
          <w:spacing w:val="-5"/>
          <w:sz w:val="20"/>
        </w:rPr>
        <w:t> </w:t>
      </w:r>
      <w:r>
        <w:rPr>
          <w:sz w:val="20"/>
        </w:rPr>
        <w:t>su</w:t>
      </w:r>
      <w:r>
        <w:rPr>
          <w:spacing w:val="-6"/>
          <w:sz w:val="20"/>
        </w:rPr>
        <w:t> </w:t>
      </w:r>
      <w:r>
        <w:rPr>
          <w:spacing w:val="-2"/>
          <w:sz w:val="20"/>
        </w:rPr>
        <w:t>solicitud;</w:t>
      </w:r>
    </w:p>
    <w:p>
      <w:pPr>
        <w:pStyle w:val="BodyText"/>
        <w:spacing w:before="1"/>
      </w:pPr>
    </w:p>
    <w:p>
      <w:pPr>
        <w:pStyle w:val="ListParagraph"/>
        <w:numPr>
          <w:ilvl w:val="0"/>
          <w:numId w:val="329"/>
        </w:numPr>
        <w:tabs>
          <w:tab w:pos="1192" w:val="left" w:leader="none"/>
          <w:tab w:pos="1195" w:val="left" w:leader="none"/>
        </w:tabs>
        <w:spacing w:line="242" w:lineRule="auto" w:before="0" w:after="0"/>
        <w:ind w:left="1195" w:right="347" w:hanging="569"/>
        <w:jc w:val="both"/>
        <w:rPr>
          <w:sz w:val="20"/>
        </w:rPr>
      </w:pPr>
      <w:r>
        <w:rPr>
          <w:sz w:val="20"/>
        </w:rPr>
        <w:t>Si no concurre la contraparte, se le tendrá por inconforme con todo arreglo. El promovente hará una exposición de los hechos y de las causas que dieron origen al conflicto y ratificará su </w:t>
      </w:r>
      <w:r>
        <w:rPr>
          <w:spacing w:val="-2"/>
          <w:sz w:val="20"/>
        </w:rPr>
        <w:t>petición;</w:t>
      </w:r>
    </w:p>
    <w:p>
      <w:pPr>
        <w:pStyle w:val="ListParagraph"/>
        <w:numPr>
          <w:ilvl w:val="0"/>
          <w:numId w:val="329"/>
        </w:numPr>
        <w:tabs>
          <w:tab w:pos="1191" w:val="left" w:leader="none"/>
          <w:tab w:pos="1195" w:val="left" w:leader="none"/>
        </w:tabs>
        <w:spacing w:line="242" w:lineRule="auto" w:before="223" w:after="0"/>
        <w:ind w:left="1195" w:right="341" w:hanging="569"/>
        <w:jc w:val="both"/>
        <w:rPr>
          <w:sz w:val="20"/>
        </w:rPr>
      </w:pPr>
      <w:r>
        <w:rPr>
          <w:sz w:val="20"/>
        </w:rPr>
        <w:t>Si</w:t>
      </w:r>
      <w:r>
        <w:rPr>
          <w:spacing w:val="-3"/>
          <w:sz w:val="20"/>
        </w:rPr>
        <w:t> </w:t>
      </w:r>
      <w:r>
        <w:rPr>
          <w:sz w:val="20"/>
        </w:rPr>
        <w:t>concurren las dos</w:t>
      </w:r>
      <w:r>
        <w:rPr>
          <w:spacing w:val="-1"/>
          <w:sz w:val="20"/>
        </w:rPr>
        <w:t> </w:t>
      </w:r>
      <w:r>
        <w:rPr>
          <w:sz w:val="20"/>
        </w:rPr>
        <w:t>partes,</w:t>
      </w:r>
      <w:r>
        <w:rPr>
          <w:spacing w:val="-2"/>
          <w:sz w:val="20"/>
        </w:rPr>
        <w:t> </w:t>
      </w:r>
      <w:r>
        <w:rPr>
          <w:sz w:val="20"/>
        </w:rPr>
        <w:t>el</w:t>
      </w:r>
      <w:r>
        <w:rPr>
          <w:spacing w:val="-1"/>
          <w:sz w:val="20"/>
        </w:rPr>
        <w:t> </w:t>
      </w:r>
      <w:r>
        <w:rPr>
          <w:sz w:val="20"/>
        </w:rPr>
        <w:t>Tribunal, después</w:t>
      </w:r>
      <w:r>
        <w:rPr>
          <w:spacing w:val="-1"/>
          <w:sz w:val="20"/>
        </w:rPr>
        <w:t> </w:t>
      </w:r>
      <w:r>
        <w:rPr>
          <w:sz w:val="20"/>
        </w:rPr>
        <w:t>de oír</w:t>
      </w:r>
      <w:r>
        <w:rPr>
          <w:spacing w:val="-1"/>
          <w:sz w:val="20"/>
        </w:rPr>
        <w:t> </w:t>
      </w:r>
      <w:r>
        <w:rPr>
          <w:sz w:val="20"/>
        </w:rPr>
        <w:t>sus</w:t>
      </w:r>
      <w:r>
        <w:rPr>
          <w:spacing w:val="-1"/>
          <w:sz w:val="20"/>
        </w:rPr>
        <w:t> </w:t>
      </w:r>
      <w:r>
        <w:rPr>
          <w:sz w:val="20"/>
        </w:rPr>
        <w:t>alegaciones, las exhortará</w:t>
      </w:r>
      <w:r>
        <w:rPr>
          <w:spacing w:val="-2"/>
          <w:sz w:val="20"/>
        </w:rPr>
        <w:t> </w:t>
      </w:r>
      <w:r>
        <w:rPr>
          <w:sz w:val="20"/>
        </w:rPr>
        <w:t>para</w:t>
      </w:r>
      <w:r>
        <w:rPr>
          <w:spacing w:val="-2"/>
          <w:sz w:val="20"/>
        </w:rPr>
        <w:t> </w:t>
      </w:r>
      <w:r>
        <w:rPr>
          <w:sz w:val="20"/>
        </w:rPr>
        <w:t>que procuren un arreglo conciliatorio. Los miembros del mismo podrán hacer las sugestiones que juzguen convenientes para el arreglo del conflicto;</w:t>
      </w:r>
    </w:p>
    <w:p>
      <w:pPr>
        <w:spacing w:line="179"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29"/>
        </w:numPr>
        <w:tabs>
          <w:tab w:pos="1195" w:val="left" w:leader="none"/>
        </w:tabs>
        <w:spacing w:line="242" w:lineRule="auto" w:before="0" w:after="0"/>
        <w:ind w:left="1195" w:right="348" w:hanging="569"/>
        <w:jc w:val="left"/>
        <w:rPr>
          <w:sz w:val="20"/>
        </w:rPr>
      </w:pPr>
      <w:r>
        <w:rPr>
          <w:sz w:val="20"/>
        </w:rPr>
        <w:t>Si las partes llegan</w:t>
      </w:r>
      <w:r>
        <w:rPr>
          <w:spacing w:val="-2"/>
          <w:sz w:val="20"/>
        </w:rPr>
        <w:t> </w:t>
      </w:r>
      <w:r>
        <w:rPr>
          <w:sz w:val="20"/>
        </w:rPr>
        <w:t>a un</w:t>
      </w:r>
      <w:r>
        <w:rPr>
          <w:spacing w:val="-3"/>
          <w:sz w:val="20"/>
        </w:rPr>
        <w:t> </w:t>
      </w:r>
      <w:r>
        <w:rPr>
          <w:sz w:val="20"/>
        </w:rPr>
        <w:t>convenio,</w:t>
      </w:r>
      <w:r>
        <w:rPr>
          <w:spacing w:val="-2"/>
          <w:sz w:val="20"/>
        </w:rPr>
        <w:t> </w:t>
      </w:r>
      <w:r>
        <w:rPr>
          <w:sz w:val="20"/>
        </w:rPr>
        <w:t>se dará por</w:t>
      </w:r>
      <w:r>
        <w:rPr>
          <w:spacing w:val="-1"/>
          <w:sz w:val="20"/>
        </w:rPr>
        <w:t> </w:t>
      </w:r>
      <w:r>
        <w:rPr>
          <w:sz w:val="20"/>
        </w:rPr>
        <w:t>terminado</w:t>
      </w:r>
      <w:r>
        <w:rPr>
          <w:spacing w:val="-3"/>
          <w:sz w:val="20"/>
        </w:rPr>
        <w:t> </w:t>
      </w:r>
      <w:r>
        <w:rPr>
          <w:sz w:val="20"/>
        </w:rPr>
        <w:t>el</w:t>
      </w:r>
      <w:r>
        <w:rPr>
          <w:spacing w:val="-3"/>
          <w:sz w:val="20"/>
        </w:rPr>
        <w:t> </w:t>
      </w:r>
      <w:r>
        <w:rPr>
          <w:sz w:val="20"/>
        </w:rPr>
        <w:t>conflicto. El</w:t>
      </w:r>
      <w:r>
        <w:rPr>
          <w:spacing w:val="-1"/>
          <w:sz w:val="20"/>
        </w:rPr>
        <w:t> </w:t>
      </w:r>
      <w:r>
        <w:rPr>
          <w:sz w:val="20"/>
        </w:rPr>
        <w:t>convenio, aprobado por el Tribunal, producirá todos los efectos jurídicos inherentes a una sentencia;</w:t>
      </w:r>
    </w:p>
    <w:p>
      <w:pPr>
        <w:spacing w:line="180"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0" w:lineRule="exact"/>
        <w:jc w:val="lef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3"/>
        <w:rPr>
          <w:rFonts w:ascii="Times New Roman"/>
          <w:i/>
        </w:rPr>
      </w:pPr>
    </w:p>
    <w:p>
      <w:pPr>
        <w:pStyle w:val="ListParagraph"/>
        <w:numPr>
          <w:ilvl w:val="0"/>
          <w:numId w:val="329"/>
        </w:numPr>
        <w:tabs>
          <w:tab w:pos="1195" w:val="left" w:leader="none"/>
        </w:tabs>
        <w:spacing w:line="242" w:lineRule="auto" w:before="0" w:after="0"/>
        <w:ind w:left="1195" w:right="337" w:hanging="569"/>
        <w:jc w:val="both"/>
        <w:rPr>
          <w:sz w:val="20"/>
        </w:rPr>
      </w:pPr>
      <w:r>
        <w:rPr>
          <w:sz w:val="20"/>
        </w:rPr>
        <w:t>Si no se llega a un convenio, las partes harán una exposición de los hechos y causas que</w:t>
      </w:r>
      <w:r>
        <w:rPr>
          <w:spacing w:val="40"/>
          <w:sz w:val="20"/>
        </w:rPr>
        <w:t> </w:t>
      </w:r>
      <w:r>
        <w:rPr>
          <w:sz w:val="20"/>
        </w:rPr>
        <w:t>dieron origen al conflicto y formularán sus peticiones y a las que por su naturaleza no puedan desahogarse, se les señalará día y hora para ello;</w:t>
      </w:r>
    </w:p>
    <w:p>
      <w:pPr>
        <w:pStyle w:val="ListParagraph"/>
        <w:numPr>
          <w:ilvl w:val="0"/>
          <w:numId w:val="329"/>
        </w:numPr>
        <w:tabs>
          <w:tab w:pos="1195" w:val="left" w:leader="none"/>
        </w:tabs>
        <w:spacing w:line="240" w:lineRule="auto" w:before="225" w:after="0"/>
        <w:ind w:left="1195" w:right="336" w:hanging="569"/>
        <w:jc w:val="both"/>
        <w:rPr>
          <w:sz w:val="20"/>
        </w:rPr>
      </w:pPr>
      <w:r>
        <w:rPr>
          <w:sz w:val="20"/>
        </w:rPr>
        <w:t>Concluidas las exposiciones de las partes y formuladas sus peticiones, se procederá a desahogar las pruebas admitidas, 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29"/>
        </w:numPr>
        <w:tabs>
          <w:tab w:pos="1195" w:val="left" w:leader="none"/>
        </w:tabs>
        <w:spacing w:line="242" w:lineRule="auto" w:before="0" w:after="0"/>
        <w:ind w:left="1195" w:right="348" w:hanging="569"/>
        <w:jc w:val="left"/>
        <w:rPr>
          <w:sz w:val="20"/>
        </w:rPr>
      </w:pPr>
      <w:r>
        <w:rPr>
          <w:sz w:val="20"/>
        </w:rPr>
        <w:t>Desahogadas</w:t>
      </w:r>
      <w:r>
        <w:rPr>
          <w:spacing w:val="-1"/>
          <w:sz w:val="20"/>
        </w:rPr>
        <w:t> </w:t>
      </w:r>
      <w:r>
        <w:rPr>
          <w:sz w:val="20"/>
        </w:rPr>
        <w:t>las pruebas, se</w:t>
      </w:r>
      <w:r>
        <w:rPr>
          <w:spacing w:val="-2"/>
          <w:sz w:val="20"/>
        </w:rPr>
        <w:t> </w:t>
      </w:r>
      <w:r>
        <w:rPr>
          <w:sz w:val="20"/>
        </w:rPr>
        <w:t>concederá el</w:t>
      </w:r>
      <w:r>
        <w:rPr>
          <w:spacing w:val="-3"/>
          <w:sz w:val="20"/>
        </w:rPr>
        <w:t> </w:t>
      </w:r>
      <w:r>
        <w:rPr>
          <w:sz w:val="20"/>
        </w:rPr>
        <w:t>uso de la voz</w:t>
      </w:r>
      <w:r>
        <w:rPr>
          <w:spacing w:val="-3"/>
          <w:sz w:val="20"/>
        </w:rPr>
        <w:t> </w:t>
      </w:r>
      <w:r>
        <w:rPr>
          <w:sz w:val="20"/>
        </w:rPr>
        <w:t>a</w:t>
      </w:r>
      <w:r>
        <w:rPr>
          <w:spacing w:val="-2"/>
          <w:sz w:val="20"/>
        </w:rPr>
        <w:t> </w:t>
      </w:r>
      <w:r>
        <w:rPr>
          <w:sz w:val="20"/>
        </w:rPr>
        <w:t>las</w:t>
      </w:r>
      <w:r>
        <w:rPr>
          <w:spacing w:val="-1"/>
          <w:sz w:val="20"/>
        </w:rPr>
        <w:t> </w:t>
      </w:r>
      <w:r>
        <w:rPr>
          <w:sz w:val="20"/>
        </w:rPr>
        <w:t>partes</w:t>
      </w:r>
      <w:r>
        <w:rPr>
          <w:spacing w:val="-1"/>
          <w:sz w:val="20"/>
        </w:rPr>
        <w:t> </w:t>
      </w:r>
      <w:r>
        <w:rPr>
          <w:sz w:val="20"/>
        </w:rPr>
        <w:t>para formular</w:t>
      </w:r>
      <w:r>
        <w:rPr>
          <w:spacing w:val="-1"/>
          <w:sz w:val="20"/>
        </w:rPr>
        <w:t> </w:t>
      </w:r>
      <w:r>
        <w:rPr>
          <w:sz w:val="20"/>
        </w:rPr>
        <w:t>alegatos</w:t>
      </w:r>
      <w:r>
        <w:rPr>
          <w:spacing w:val="-1"/>
          <w:sz w:val="20"/>
        </w:rPr>
        <w:t> </w:t>
      </w:r>
      <w:r>
        <w:rPr>
          <w:sz w:val="20"/>
        </w:rPr>
        <w:t>en forma breve y se declararán vistos los autos para sentencia.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sz w:val="12"/>
        </w:rPr>
      </w:pPr>
    </w:p>
    <w:p>
      <w:pPr>
        <w:pStyle w:val="BodyText"/>
        <w:spacing w:after="0"/>
        <w:rPr>
          <w:rFonts w:ascii="Times New Roman"/>
          <w:i/>
          <w:sz w:val="12"/>
        </w:rPr>
        <w:sectPr>
          <w:pgSz w:w="12240" w:h="15840"/>
          <w:pgMar w:header="724" w:footer="712" w:top="1880" w:bottom="900" w:left="1080" w:right="1080"/>
        </w:sectPr>
      </w:pPr>
    </w:p>
    <w:p>
      <w:pPr>
        <w:pStyle w:val="ListParagraph"/>
        <w:numPr>
          <w:ilvl w:val="0"/>
          <w:numId w:val="329"/>
        </w:numPr>
        <w:tabs>
          <w:tab w:pos="1195" w:val="left" w:leader="none"/>
        </w:tabs>
        <w:spacing w:line="240" w:lineRule="auto" w:before="93" w:after="0"/>
        <w:ind w:left="119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626" w:right="0" w:firstLine="45"/>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i/>
          <w:sz w:val="16"/>
        </w:rPr>
        <w:sectPr>
          <w:type w:val="continuous"/>
          <w:pgSz w:w="12240" w:h="15840"/>
          <w:pgMar w:header="724" w:footer="712" w:top="1880" w:bottom="900" w:left="1080" w:right="1080"/>
          <w:cols w:num="2" w:equalWidth="0">
            <w:col w:w="2213" w:space="4462"/>
            <w:col w:w="3405"/>
          </w:cols>
        </w:sectPr>
      </w:pPr>
    </w:p>
    <w:p>
      <w:pPr>
        <w:pStyle w:val="BodyText"/>
        <w:rPr>
          <w:rFonts w:ascii="Times New Roman"/>
          <w:i/>
        </w:rPr>
      </w:pPr>
    </w:p>
    <w:p>
      <w:pPr>
        <w:pStyle w:val="BodyText"/>
        <w:spacing w:line="229" w:lineRule="exact"/>
        <w:ind w:left="626"/>
      </w:pPr>
      <w:bookmarkStart w:name="Artículo_907" w:id="1151"/>
      <w:bookmarkEnd w:id="1151"/>
      <w:r>
        <w:rPr/>
      </w:r>
      <w:r>
        <w:rPr>
          <w:rFonts w:ascii="Arial" w:hAnsi="Arial"/>
          <w:b/>
        </w:rPr>
        <w:t>Artículo</w:t>
      </w:r>
      <w:r>
        <w:rPr>
          <w:rFonts w:ascii="Arial" w:hAnsi="Arial"/>
          <w:b/>
          <w:spacing w:val="-8"/>
        </w:rPr>
        <w:t> </w:t>
      </w:r>
      <w:r>
        <w:rPr>
          <w:rFonts w:ascii="Arial" w:hAnsi="Arial"/>
          <w:b/>
        </w:rPr>
        <w:t>907.-</w:t>
      </w:r>
      <w:r>
        <w:rPr>
          <w:rFonts w:ascii="Arial" w:hAnsi="Arial"/>
          <w:b/>
          <w:spacing w:val="-7"/>
        </w:rPr>
        <w:t> </w:t>
      </w:r>
      <w:r>
        <w:rPr/>
        <w:t>Los</w:t>
      </w:r>
      <w:r>
        <w:rPr>
          <w:spacing w:val="-7"/>
        </w:rPr>
        <w:t> </w:t>
      </w:r>
      <w:r>
        <w:rPr/>
        <w:t>peritos</w:t>
      </w:r>
      <w:r>
        <w:rPr>
          <w:spacing w:val="-5"/>
        </w:rPr>
        <w:t> </w:t>
      </w:r>
      <w:r>
        <w:rPr/>
        <w:t>designados</w:t>
      </w:r>
      <w:r>
        <w:rPr>
          <w:spacing w:val="-7"/>
        </w:rPr>
        <w:t> </w:t>
      </w:r>
      <w:r>
        <w:rPr/>
        <w:t>por</w:t>
      </w:r>
      <w:r>
        <w:rPr>
          <w:spacing w:val="-8"/>
        </w:rPr>
        <w:t> </w:t>
      </w:r>
      <w:r>
        <w:rPr/>
        <w:t>el</w:t>
      </w:r>
      <w:r>
        <w:rPr>
          <w:spacing w:val="-8"/>
        </w:rPr>
        <w:t> </w:t>
      </w:r>
      <w:r>
        <w:rPr/>
        <w:t>Tribunal</w:t>
      </w:r>
      <w:r>
        <w:rPr>
          <w:spacing w:val="-8"/>
        </w:rPr>
        <w:t> </w:t>
      </w:r>
      <w:r>
        <w:rPr/>
        <w:t>deberán</w:t>
      </w:r>
      <w:r>
        <w:rPr>
          <w:spacing w:val="-8"/>
        </w:rPr>
        <w:t> </w:t>
      </w:r>
      <w:r>
        <w:rPr/>
        <w:t>satisfacer</w:t>
      </w:r>
      <w:r>
        <w:rPr>
          <w:spacing w:val="-8"/>
        </w:rPr>
        <w:t> </w:t>
      </w:r>
      <w:r>
        <w:rPr/>
        <w:t>los</w:t>
      </w:r>
      <w:r>
        <w:rPr>
          <w:spacing w:val="-8"/>
        </w:rPr>
        <w:t> </w:t>
      </w:r>
      <w:r>
        <w:rPr/>
        <w:t>requisitos</w:t>
      </w:r>
      <w:r>
        <w:rPr>
          <w:spacing w:val="-7"/>
        </w:rPr>
        <w:t> </w:t>
      </w:r>
      <w:r>
        <w:rPr>
          <w:spacing w:val="-2"/>
        </w:rPr>
        <w:t>siguientes: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30"/>
        </w:numPr>
        <w:tabs>
          <w:tab w:pos="1195" w:val="left" w:leader="none"/>
        </w:tabs>
        <w:spacing w:line="240" w:lineRule="auto" w:before="0" w:after="0"/>
        <w:ind w:left="1195" w:right="0" w:hanging="569"/>
        <w:jc w:val="left"/>
        <w:rPr>
          <w:sz w:val="20"/>
        </w:rPr>
      </w:pPr>
      <w:r>
        <w:rPr>
          <w:sz w:val="20"/>
        </w:rPr>
        <w:t>Ser</w:t>
      </w:r>
      <w:r>
        <w:rPr>
          <w:spacing w:val="-6"/>
          <w:sz w:val="20"/>
        </w:rPr>
        <w:t> </w:t>
      </w:r>
      <w:r>
        <w:rPr>
          <w:sz w:val="20"/>
        </w:rPr>
        <w:t>mexicanos</w:t>
      </w:r>
      <w:r>
        <w:rPr>
          <w:spacing w:val="-3"/>
          <w:sz w:val="20"/>
        </w:rPr>
        <w:t> </w:t>
      </w:r>
      <w:r>
        <w:rPr>
          <w:sz w:val="20"/>
        </w:rPr>
        <w:t>y</w:t>
      </w:r>
      <w:r>
        <w:rPr>
          <w:spacing w:val="-7"/>
          <w:sz w:val="20"/>
        </w:rPr>
        <w:t> </w:t>
      </w:r>
      <w:r>
        <w:rPr>
          <w:sz w:val="20"/>
        </w:rPr>
        <w:t>estar</w:t>
      </w:r>
      <w:r>
        <w:rPr>
          <w:spacing w:val="-5"/>
          <w:sz w:val="20"/>
        </w:rPr>
        <w:t> </w:t>
      </w:r>
      <w:r>
        <w:rPr>
          <w:sz w:val="20"/>
        </w:rPr>
        <w:t>en</w:t>
      </w:r>
      <w:r>
        <w:rPr>
          <w:spacing w:val="-4"/>
          <w:sz w:val="20"/>
        </w:rPr>
        <w:t> </w:t>
      </w:r>
      <w:r>
        <w:rPr>
          <w:sz w:val="20"/>
        </w:rPr>
        <w:t>pleno</w:t>
      </w:r>
      <w:r>
        <w:rPr>
          <w:spacing w:val="-6"/>
          <w:sz w:val="20"/>
        </w:rPr>
        <w:t> </w:t>
      </w:r>
      <w:r>
        <w:rPr>
          <w:sz w:val="20"/>
        </w:rPr>
        <w:t>ejercicio</w:t>
      </w:r>
      <w:r>
        <w:rPr>
          <w:spacing w:val="-4"/>
          <w:sz w:val="20"/>
        </w:rPr>
        <w:t> </w:t>
      </w:r>
      <w:r>
        <w:rPr>
          <w:sz w:val="20"/>
        </w:rPr>
        <w:t>de</w:t>
      </w:r>
      <w:r>
        <w:rPr>
          <w:spacing w:val="-6"/>
          <w:sz w:val="20"/>
        </w:rPr>
        <w:t> </w:t>
      </w:r>
      <w:r>
        <w:rPr>
          <w:sz w:val="20"/>
        </w:rPr>
        <w:t>sus</w:t>
      </w:r>
      <w:r>
        <w:rPr>
          <w:spacing w:val="-3"/>
          <w:sz w:val="20"/>
        </w:rPr>
        <w:t> </w:t>
      </w:r>
      <w:r>
        <w:rPr>
          <w:spacing w:val="-2"/>
          <w:sz w:val="20"/>
        </w:rPr>
        <w:t>derechos;</w:t>
      </w:r>
    </w:p>
    <w:p>
      <w:pPr>
        <w:pStyle w:val="BodyText"/>
        <w:spacing w:before="1"/>
      </w:pPr>
    </w:p>
    <w:p>
      <w:pPr>
        <w:pStyle w:val="ListParagraph"/>
        <w:numPr>
          <w:ilvl w:val="0"/>
          <w:numId w:val="330"/>
        </w:numPr>
        <w:tabs>
          <w:tab w:pos="1192" w:val="left" w:leader="none"/>
          <w:tab w:pos="1195" w:val="left" w:leader="none"/>
        </w:tabs>
        <w:spacing w:line="240" w:lineRule="auto" w:before="0" w:after="0"/>
        <w:ind w:left="1195" w:right="345" w:hanging="569"/>
        <w:jc w:val="both"/>
        <w:rPr>
          <w:sz w:val="20"/>
        </w:rPr>
      </w:pPr>
      <w:r>
        <w:rPr>
          <w:sz w:val="20"/>
        </w:rPr>
        <w:t>Estar legalmente autorizados y capacitados para ejercer la técnica, ciencia o arte sobre el que verse el peritaje, salvo los casos en que no se requiera autorización, pero deberán tener los conocimientos de la materia de que se trate; y</w:t>
      </w:r>
    </w:p>
    <w:p>
      <w:pPr>
        <w:pStyle w:val="ListParagraph"/>
        <w:numPr>
          <w:ilvl w:val="0"/>
          <w:numId w:val="330"/>
        </w:numPr>
        <w:tabs>
          <w:tab w:pos="1195" w:val="left" w:leader="none"/>
        </w:tabs>
        <w:spacing w:line="240" w:lineRule="auto" w:before="229" w:after="0"/>
        <w:ind w:left="1195" w:right="0" w:hanging="569"/>
        <w:jc w:val="left"/>
        <w:rPr>
          <w:sz w:val="20"/>
        </w:rPr>
      </w:pPr>
      <w:r>
        <w:rPr>
          <w:sz w:val="20"/>
        </w:rPr>
        <w:t>No</w:t>
      </w:r>
      <w:r>
        <w:rPr>
          <w:spacing w:val="-8"/>
          <w:sz w:val="20"/>
        </w:rPr>
        <w:t> </w:t>
      </w:r>
      <w:r>
        <w:rPr>
          <w:sz w:val="20"/>
        </w:rPr>
        <w:t>haber</w:t>
      </w:r>
      <w:r>
        <w:rPr>
          <w:spacing w:val="-6"/>
          <w:sz w:val="20"/>
        </w:rPr>
        <w:t> </w:t>
      </w:r>
      <w:r>
        <w:rPr>
          <w:sz w:val="20"/>
        </w:rPr>
        <w:t>sido</w:t>
      </w:r>
      <w:r>
        <w:rPr>
          <w:spacing w:val="-8"/>
          <w:sz w:val="20"/>
        </w:rPr>
        <w:t> </w:t>
      </w:r>
      <w:r>
        <w:rPr>
          <w:sz w:val="20"/>
        </w:rPr>
        <w:t>condenados</w:t>
      </w:r>
      <w:r>
        <w:rPr>
          <w:spacing w:val="-7"/>
          <w:sz w:val="20"/>
        </w:rPr>
        <w:t> </w:t>
      </w:r>
      <w:r>
        <w:rPr>
          <w:sz w:val="20"/>
        </w:rPr>
        <w:t>por</w:t>
      </w:r>
      <w:r>
        <w:rPr>
          <w:spacing w:val="-6"/>
          <w:sz w:val="20"/>
        </w:rPr>
        <w:t> </w:t>
      </w:r>
      <w:r>
        <w:rPr>
          <w:sz w:val="20"/>
        </w:rPr>
        <w:t>delito</w:t>
      </w:r>
      <w:r>
        <w:rPr>
          <w:spacing w:val="-5"/>
          <w:sz w:val="20"/>
        </w:rPr>
        <w:t> </w:t>
      </w:r>
      <w:r>
        <w:rPr>
          <w:spacing w:val="-2"/>
          <w:sz w:val="20"/>
        </w:rPr>
        <w:t>intencional.</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before="229"/>
        <w:ind w:left="626" w:right="0" w:firstLine="0"/>
        <w:jc w:val="left"/>
        <w:rPr>
          <w:sz w:val="20"/>
        </w:rPr>
      </w:pPr>
      <w:bookmarkStart w:name="Artículo_908" w:id="1152"/>
      <w:bookmarkEnd w:id="1152"/>
      <w:r>
        <w:rPr/>
      </w:r>
      <w:r>
        <w:rPr>
          <w:rFonts w:ascii="Arial" w:hAnsi="Arial"/>
          <w:b/>
          <w:sz w:val="20"/>
        </w:rPr>
        <w:t>Artículo</w:t>
      </w:r>
      <w:r>
        <w:rPr>
          <w:rFonts w:ascii="Arial" w:hAnsi="Arial"/>
          <w:b/>
          <w:spacing w:val="-6"/>
          <w:sz w:val="20"/>
        </w:rPr>
        <w:t> </w:t>
      </w:r>
      <w:r>
        <w:rPr>
          <w:rFonts w:ascii="Arial" w:hAnsi="Arial"/>
          <w:b/>
          <w:sz w:val="20"/>
        </w:rPr>
        <w:t>908.-</w:t>
      </w:r>
      <w:r>
        <w:rPr>
          <w:rFonts w:ascii="Arial" w:hAnsi="Arial"/>
          <w:b/>
          <w:spacing w:val="-4"/>
          <w:sz w:val="20"/>
        </w:rPr>
        <w:t> </w:t>
      </w:r>
      <w:r>
        <w:rPr>
          <w:sz w:val="20"/>
        </w:rPr>
        <w:t>Se</w:t>
      </w:r>
      <w:r>
        <w:rPr>
          <w:spacing w:val="-5"/>
          <w:sz w:val="20"/>
        </w:rPr>
        <w:t> </w:t>
      </w:r>
      <w:r>
        <w:rPr>
          <w:spacing w:val="-2"/>
          <w:sz w:val="20"/>
        </w:rPr>
        <w:t>deroga.</w:t>
      </w:r>
    </w:p>
    <w:p>
      <w:pPr>
        <w:spacing w:before="0"/>
        <w:ind w:left="54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BodyText"/>
        <w:spacing w:before="1"/>
        <w:ind w:left="338" w:right="341" w:firstLine="288"/>
        <w:jc w:val="both"/>
      </w:pPr>
      <w:bookmarkStart w:name="Artículo_909" w:id="1153"/>
      <w:bookmarkEnd w:id="1153"/>
      <w:r>
        <w:rPr/>
      </w:r>
      <w:r>
        <w:rPr>
          <w:rFonts w:ascii="Arial" w:hAnsi="Arial"/>
          <w:b/>
        </w:rPr>
        <w:t>Artículo 909.- </w:t>
      </w:r>
      <w:r>
        <w:rPr/>
        <w:t>El Tribunal, en auxilio de las partes, podrá actuar con la mayor amplitud para que los peritos nombrados, realicen las investigaciones y estudios que juzguen conveniente, y podrán actuar con la mayor amplitud, teniendo, además de las inherentes a su desempeño, las facultades siguientes: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31"/>
        </w:numPr>
        <w:tabs>
          <w:tab w:pos="1193" w:val="left" w:leader="none"/>
          <w:tab w:pos="1195" w:val="left" w:leader="none"/>
        </w:tabs>
        <w:spacing w:line="240" w:lineRule="auto" w:before="0" w:after="0"/>
        <w:ind w:left="1195" w:right="342" w:hanging="569"/>
        <w:jc w:val="both"/>
        <w:rPr>
          <w:sz w:val="20"/>
        </w:rPr>
      </w:pPr>
      <w:r>
        <w:rPr>
          <w:sz w:val="20"/>
        </w:rPr>
        <w:t>Solicitar toda clase de informes y estudios de las autoridades y de las instituciones oficiales, federales</w:t>
      </w:r>
      <w:r>
        <w:rPr>
          <w:spacing w:val="-1"/>
          <w:sz w:val="20"/>
        </w:rPr>
        <w:t> </w:t>
      </w:r>
      <w:r>
        <w:rPr>
          <w:sz w:val="20"/>
        </w:rPr>
        <w:t>o estatales y</w:t>
      </w:r>
      <w:r>
        <w:rPr>
          <w:spacing w:val="-5"/>
          <w:sz w:val="20"/>
        </w:rPr>
        <w:t> </w:t>
      </w:r>
      <w:r>
        <w:rPr>
          <w:sz w:val="20"/>
        </w:rPr>
        <w:t>de</w:t>
      </w:r>
      <w:r>
        <w:rPr>
          <w:spacing w:val="-2"/>
          <w:sz w:val="20"/>
        </w:rPr>
        <w:t> </w:t>
      </w:r>
      <w:r>
        <w:rPr>
          <w:sz w:val="20"/>
        </w:rPr>
        <w:t>las</w:t>
      </w:r>
      <w:r>
        <w:rPr>
          <w:spacing w:val="-1"/>
          <w:sz w:val="20"/>
        </w:rPr>
        <w:t> </w:t>
      </w:r>
      <w:r>
        <w:rPr>
          <w:sz w:val="20"/>
        </w:rPr>
        <w:t>particulares que</w:t>
      </w:r>
      <w:r>
        <w:rPr>
          <w:spacing w:val="-3"/>
          <w:sz w:val="20"/>
        </w:rPr>
        <w:t> </w:t>
      </w:r>
      <w:r>
        <w:rPr>
          <w:sz w:val="20"/>
        </w:rPr>
        <w:t>se ocupen</w:t>
      </w:r>
      <w:r>
        <w:rPr>
          <w:spacing w:val="-3"/>
          <w:sz w:val="20"/>
        </w:rPr>
        <w:t> </w:t>
      </w:r>
      <w:r>
        <w:rPr>
          <w:sz w:val="20"/>
        </w:rPr>
        <w:t>de</w:t>
      </w:r>
      <w:r>
        <w:rPr>
          <w:spacing w:val="-2"/>
          <w:sz w:val="20"/>
        </w:rPr>
        <w:t> </w:t>
      </w:r>
      <w:r>
        <w:rPr>
          <w:sz w:val="20"/>
        </w:rPr>
        <w:t>problemas</w:t>
      </w:r>
      <w:r>
        <w:rPr>
          <w:spacing w:val="-1"/>
          <w:sz w:val="20"/>
        </w:rPr>
        <w:t> </w:t>
      </w:r>
      <w:r>
        <w:rPr>
          <w:sz w:val="20"/>
        </w:rPr>
        <w:t>económicos,</w:t>
      </w:r>
      <w:r>
        <w:rPr>
          <w:spacing w:val="-2"/>
          <w:sz w:val="20"/>
        </w:rPr>
        <w:t> </w:t>
      </w:r>
      <w:r>
        <w:rPr>
          <w:sz w:val="20"/>
        </w:rPr>
        <w:t>tales</w:t>
      </w:r>
      <w:r>
        <w:rPr>
          <w:spacing w:val="-1"/>
          <w:sz w:val="20"/>
        </w:rPr>
        <w:t> </w:t>
      </w:r>
      <w:r>
        <w:rPr>
          <w:sz w:val="20"/>
        </w:rPr>
        <w:t>como los institutos de investigaciones sociales y económicos, las organizaciones sindicales, las cámaras de comercio, las de industria y otras instituciones semejantes;</w:t>
      </w:r>
    </w:p>
    <w:p>
      <w:pPr>
        <w:pStyle w:val="ListParagraph"/>
        <w:numPr>
          <w:ilvl w:val="0"/>
          <w:numId w:val="331"/>
        </w:numPr>
        <w:tabs>
          <w:tab w:pos="1192" w:val="left" w:leader="none"/>
          <w:tab w:pos="1195" w:val="left" w:leader="none"/>
        </w:tabs>
        <w:spacing w:line="242" w:lineRule="auto" w:before="230" w:after="0"/>
        <w:ind w:left="1195" w:right="341" w:hanging="569"/>
        <w:jc w:val="both"/>
        <w:rPr>
          <w:sz w:val="20"/>
        </w:rPr>
      </w:pPr>
      <w:r>
        <w:rPr>
          <w:sz w:val="20"/>
        </w:rPr>
        <w:t>Practicar toda clase de inspecciones en la empresa o establecimiento y revisar sus libros y documentos; y</w:t>
      </w:r>
    </w:p>
    <w:p>
      <w:pPr>
        <w:pStyle w:val="ListParagraph"/>
        <w:numPr>
          <w:ilvl w:val="0"/>
          <w:numId w:val="331"/>
        </w:numPr>
        <w:tabs>
          <w:tab w:pos="1191" w:val="left" w:leader="none"/>
          <w:tab w:pos="1195" w:val="left" w:leader="none"/>
        </w:tabs>
        <w:spacing w:line="242" w:lineRule="auto" w:before="224" w:after="0"/>
        <w:ind w:left="1195" w:right="345" w:hanging="569"/>
        <w:jc w:val="both"/>
        <w:rPr>
          <w:sz w:val="20"/>
        </w:rPr>
      </w:pPr>
      <w:r>
        <w:rPr>
          <w:sz w:val="20"/>
        </w:rPr>
        <w:t>Examinar</w:t>
      </w:r>
      <w:r>
        <w:rPr>
          <w:spacing w:val="-1"/>
          <w:sz w:val="20"/>
        </w:rPr>
        <w:t> </w:t>
      </w:r>
      <w:r>
        <w:rPr>
          <w:sz w:val="20"/>
        </w:rPr>
        <w:t>a</w:t>
      </w:r>
      <w:r>
        <w:rPr>
          <w:spacing w:val="-2"/>
          <w:sz w:val="20"/>
        </w:rPr>
        <w:t> </w:t>
      </w:r>
      <w:r>
        <w:rPr>
          <w:sz w:val="20"/>
        </w:rPr>
        <w:t>las</w:t>
      </w:r>
      <w:r>
        <w:rPr>
          <w:spacing w:val="-1"/>
          <w:sz w:val="20"/>
        </w:rPr>
        <w:t> </w:t>
      </w:r>
      <w:r>
        <w:rPr>
          <w:sz w:val="20"/>
        </w:rPr>
        <w:t>partes y</w:t>
      </w:r>
      <w:r>
        <w:rPr>
          <w:spacing w:val="-5"/>
          <w:sz w:val="20"/>
        </w:rPr>
        <w:t> </w:t>
      </w:r>
      <w:r>
        <w:rPr>
          <w:sz w:val="20"/>
        </w:rPr>
        <w:t>a</w:t>
      </w:r>
      <w:r>
        <w:rPr>
          <w:spacing w:val="-2"/>
          <w:sz w:val="20"/>
        </w:rPr>
        <w:t> </w:t>
      </w:r>
      <w:r>
        <w:rPr>
          <w:sz w:val="20"/>
        </w:rPr>
        <w:t>las</w:t>
      </w:r>
      <w:r>
        <w:rPr>
          <w:spacing w:val="-1"/>
          <w:sz w:val="20"/>
        </w:rPr>
        <w:t> </w:t>
      </w:r>
      <w:r>
        <w:rPr>
          <w:sz w:val="20"/>
        </w:rPr>
        <w:t>personas</w:t>
      </w:r>
      <w:r>
        <w:rPr>
          <w:spacing w:val="-1"/>
          <w:sz w:val="20"/>
        </w:rPr>
        <w:t> </w:t>
      </w:r>
      <w:r>
        <w:rPr>
          <w:sz w:val="20"/>
        </w:rPr>
        <w:t>relacionadas</w:t>
      </w:r>
      <w:r>
        <w:rPr>
          <w:spacing w:val="-1"/>
          <w:sz w:val="20"/>
        </w:rPr>
        <w:t> </w:t>
      </w:r>
      <w:r>
        <w:rPr>
          <w:sz w:val="20"/>
        </w:rPr>
        <w:t>con</w:t>
      </w:r>
      <w:r>
        <w:rPr>
          <w:spacing w:val="-3"/>
          <w:sz w:val="20"/>
        </w:rPr>
        <w:t> </w:t>
      </w:r>
      <w:r>
        <w:rPr>
          <w:sz w:val="20"/>
        </w:rPr>
        <w:t>los</w:t>
      </w:r>
      <w:r>
        <w:rPr>
          <w:spacing w:val="-1"/>
          <w:sz w:val="20"/>
        </w:rPr>
        <w:t> </w:t>
      </w:r>
      <w:r>
        <w:rPr>
          <w:sz w:val="20"/>
        </w:rPr>
        <w:t>trabajadores o</w:t>
      </w:r>
      <w:r>
        <w:rPr>
          <w:spacing w:val="-2"/>
          <w:sz w:val="20"/>
        </w:rPr>
        <w:t> </w:t>
      </w:r>
      <w:r>
        <w:rPr>
          <w:sz w:val="20"/>
        </w:rPr>
        <w:t>con</w:t>
      </w:r>
      <w:r>
        <w:rPr>
          <w:spacing w:val="-3"/>
          <w:sz w:val="20"/>
        </w:rPr>
        <w:t> </w:t>
      </w:r>
      <w:r>
        <w:rPr>
          <w:sz w:val="20"/>
        </w:rPr>
        <w:t>la</w:t>
      </w:r>
      <w:r>
        <w:rPr>
          <w:spacing w:val="-2"/>
          <w:sz w:val="20"/>
        </w:rPr>
        <w:t> </w:t>
      </w:r>
      <w:r>
        <w:rPr>
          <w:sz w:val="20"/>
        </w:rPr>
        <w:t>empresa,</w:t>
      </w:r>
      <w:r>
        <w:rPr>
          <w:spacing w:val="-2"/>
          <w:sz w:val="20"/>
        </w:rPr>
        <w:t> </w:t>
      </w:r>
      <w:r>
        <w:rPr>
          <w:sz w:val="20"/>
        </w:rPr>
        <w:t>que juzguen conveniente.</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before="229"/>
        <w:ind w:left="626" w:right="0" w:firstLine="0"/>
        <w:jc w:val="left"/>
        <w:rPr>
          <w:sz w:val="20"/>
        </w:rPr>
      </w:pPr>
      <w:bookmarkStart w:name="Artículo_910" w:id="1154"/>
      <w:bookmarkEnd w:id="1154"/>
      <w:r>
        <w:rPr/>
      </w:r>
      <w:r>
        <w:rPr>
          <w:rFonts w:ascii="Arial" w:hAnsi="Arial"/>
          <w:b/>
          <w:sz w:val="20"/>
        </w:rPr>
        <w:t>Artículo</w:t>
      </w:r>
      <w:r>
        <w:rPr>
          <w:rFonts w:ascii="Arial" w:hAnsi="Arial"/>
          <w:b/>
          <w:spacing w:val="-6"/>
          <w:sz w:val="20"/>
        </w:rPr>
        <w:t> </w:t>
      </w:r>
      <w:r>
        <w:rPr>
          <w:rFonts w:ascii="Arial" w:hAnsi="Arial"/>
          <w:b/>
          <w:sz w:val="20"/>
        </w:rPr>
        <w:t>910.-</w:t>
      </w:r>
      <w:r>
        <w:rPr>
          <w:rFonts w:ascii="Arial" w:hAnsi="Arial"/>
          <w:b/>
          <w:spacing w:val="-5"/>
          <w:sz w:val="20"/>
        </w:rPr>
        <w:t> </w:t>
      </w:r>
      <w:r>
        <w:rPr>
          <w:sz w:val="20"/>
        </w:rPr>
        <w:t>El</w:t>
      </w:r>
      <w:r>
        <w:rPr>
          <w:spacing w:val="-5"/>
          <w:sz w:val="20"/>
        </w:rPr>
        <w:t> </w:t>
      </w:r>
      <w:r>
        <w:rPr>
          <w:sz w:val="20"/>
        </w:rPr>
        <w:t>dictamen</w:t>
      </w:r>
      <w:r>
        <w:rPr>
          <w:spacing w:val="-6"/>
          <w:sz w:val="20"/>
        </w:rPr>
        <w:t> </w:t>
      </w:r>
      <w:r>
        <w:rPr>
          <w:sz w:val="20"/>
        </w:rPr>
        <w:t>de</w:t>
      </w:r>
      <w:r>
        <w:rPr>
          <w:spacing w:val="-8"/>
          <w:sz w:val="20"/>
        </w:rPr>
        <w:t> </w:t>
      </w:r>
      <w:r>
        <w:rPr>
          <w:sz w:val="20"/>
        </w:rPr>
        <w:t>los</w:t>
      </w:r>
      <w:r>
        <w:rPr>
          <w:spacing w:val="-6"/>
          <w:sz w:val="20"/>
        </w:rPr>
        <w:t> </w:t>
      </w:r>
      <w:r>
        <w:rPr>
          <w:sz w:val="20"/>
        </w:rPr>
        <w:t>peritos</w:t>
      </w:r>
      <w:r>
        <w:rPr>
          <w:spacing w:val="-6"/>
          <w:sz w:val="20"/>
        </w:rPr>
        <w:t> </w:t>
      </w:r>
      <w:r>
        <w:rPr>
          <w:sz w:val="20"/>
        </w:rPr>
        <w:t>deberá</w:t>
      </w:r>
      <w:r>
        <w:rPr>
          <w:spacing w:val="-7"/>
          <w:sz w:val="20"/>
        </w:rPr>
        <w:t> </w:t>
      </w:r>
      <w:r>
        <w:rPr>
          <w:sz w:val="20"/>
        </w:rPr>
        <w:t>contener,</w:t>
      </w:r>
      <w:r>
        <w:rPr>
          <w:spacing w:val="-6"/>
          <w:sz w:val="20"/>
        </w:rPr>
        <w:t> </w:t>
      </w:r>
      <w:r>
        <w:rPr>
          <w:sz w:val="20"/>
        </w:rPr>
        <w:t>por</w:t>
      </w:r>
      <w:r>
        <w:rPr>
          <w:spacing w:val="-5"/>
          <w:sz w:val="20"/>
        </w:rPr>
        <w:t> </w:t>
      </w:r>
      <w:r>
        <w:rPr>
          <w:sz w:val="20"/>
        </w:rPr>
        <w:t>lo</w:t>
      </w:r>
      <w:r>
        <w:rPr>
          <w:spacing w:val="-6"/>
          <w:sz w:val="20"/>
        </w:rPr>
        <w:t> </w:t>
      </w:r>
      <w:r>
        <w:rPr>
          <w:spacing w:val="-2"/>
          <w:sz w:val="20"/>
        </w:rPr>
        <w:t>menos:</w:t>
      </w:r>
    </w:p>
    <w:p>
      <w:pPr>
        <w:pStyle w:val="BodyText"/>
      </w:pPr>
    </w:p>
    <w:p>
      <w:pPr>
        <w:pStyle w:val="ListParagraph"/>
        <w:numPr>
          <w:ilvl w:val="0"/>
          <w:numId w:val="332"/>
        </w:numPr>
        <w:tabs>
          <w:tab w:pos="1195" w:val="left" w:leader="none"/>
        </w:tabs>
        <w:spacing w:line="240" w:lineRule="auto" w:before="1" w:after="0"/>
        <w:ind w:left="1195" w:right="0" w:hanging="569"/>
        <w:jc w:val="left"/>
        <w:rPr>
          <w:sz w:val="20"/>
        </w:rPr>
      </w:pPr>
      <w:r>
        <w:rPr>
          <w:sz w:val="20"/>
        </w:rPr>
        <w:t>Los</w:t>
      </w:r>
      <w:r>
        <w:rPr>
          <w:spacing w:val="-6"/>
          <w:sz w:val="20"/>
        </w:rPr>
        <w:t> </w:t>
      </w:r>
      <w:r>
        <w:rPr>
          <w:sz w:val="20"/>
        </w:rPr>
        <w:t>hechos</w:t>
      </w:r>
      <w:r>
        <w:rPr>
          <w:spacing w:val="-3"/>
          <w:sz w:val="20"/>
        </w:rPr>
        <w:t> </w:t>
      </w:r>
      <w:r>
        <w:rPr>
          <w:sz w:val="20"/>
        </w:rPr>
        <w:t>y</w:t>
      </w:r>
      <w:r>
        <w:rPr>
          <w:spacing w:val="-9"/>
          <w:sz w:val="20"/>
        </w:rPr>
        <w:t> </w:t>
      </w:r>
      <w:r>
        <w:rPr>
          <w:sz w:val="20"/>
        </w:rPr>
        <w:t>causas</w:t>
      </w:r>
      <w:r>
        <w:rPr>
          <w:spacing w:val="-4"/>
          <w:sz w:val="20"/>
        </w:rPr>
        <w:t> </w:t>
      </w:r>
      <w:r>
        <w:rPr>
          <w:sz w:val="20"/>
        </w:rPr>
        <w:t>que</w:t>
      </w:r>
      <w:r>
        <w:rPr>
          <w:spacing w:val="-6"/>
          <w:sz w:val="20"/>
        </w:rPr>
        <w:t> </w:t>
      </w:r>
      <w:r>
        <w:rPr>
          <w:sz w:val="20"/>
        </w:rPr>
        <w:t>dieron</w:t>
      </w:r>
      <w:r>
        <w:rPr>
          <w:spacing w:val="-4"/>
          <w:sz w:val="20"/>
        </w:rPr>
        <w:t> </w:t>
      </w:r>
      <w:r>
        <w:rPr>
          <w:sz w:val="20"/>
        </w:rPr>
        <w:t>origen</w:t>
      </w:r>
      <w:r>
        <w:rPr>
          <w:spacing w:val="-5"/>
          <w:sz w:val="20"/>
        </w:rPr>
        <w:t> </w:t>
      </w:r>
      <w:r>
        <w:rPr>
          <w:sz w:val="20"/>
        </w:rPr>
        <w:t>al</w:t>
      </w:r>
      <w:r>
        <w:rPr>
          <w:spacing w:val="-8"/>
          <w:sz w:val="20"/>
        </w:rPr>
        <w:t> </w:t>
      </w:r>
      <w:r>
        <w:rPr>
          <w:spacing w:val="-2"/>
          <w:sz w:val="20"/>
        </w:rPr>
        <w:t>conflicto;</w:t>
      </w:r>
    </w:p>
    <w:p>
      <w:pPr>
        <w:pStyle w:val="BodyText"/>
      </w:pPr>
    </w:p>
    <w:p>
      <w:pPr>
        <w:pStyle w:val="ListParagraph"/>
        <w:numPr>
          <w:ilvl w:val="0"/>
          <w:numId w:val="332"/>
        </w:numPr>
        <w:tabs>
          <w:tab w:pos="1195" w:val="left" w:leader="none"/>
        </w:tabs>
        <w:spacing w:line="240" w:lineRule="auto" w:before="0" w:after="0"/>
        <w:ind w:left="1195" w:right="0" w:hanging="569"/>
        <w:jc w:val="left"/>
        <w:rPr>
          <w:sz w:val="20"/>
        </w:rPr>
      </w:pPr>
      <w:r>
        <w:rPr>
          <w:sz w:val="20"/>
        </w:rPr>
        <w:t>La</w:t>
      </w:r>
      <w:r>
        <w:rPr>
          <w:spacing w:val="-7"/>
          <w:sz w:val="20"/>
        </w:rPr>
        <w:t> </w:t>
      </w:r>
      <w:r>
        <w:rPr>
          <w:sz w:val="20"/>
        </w:rPr>
        <w:t>relación</w:t>
      </w:r>
      <w:r>
        <w:rPr>
          <w:spacing w:val="-6"/>
          <w:sz w:val="20"/>
        </w:rPr>
        <w:t> </w:t>
      </w:r>
      <w:r>
        <w:rPr>
          <w:sz w:val="20"/>
        </w:rPr>
        <w:t>entre</w:t>
      </w:r>
      <w:r>
        <w:rPr>
          <w:spacing w:val="-6"/>
          <w:sz w:val="20"/>
        </w:rPr>
        <w:t> </w:t>
      </w:r>
      <w:r>
        <w:rPr>
          <w:sz w:val="20"/>
        </w:rPr>
        <w:t>el</w:t>
      </w:r>
      <w:r>
        <w:rPr>
          <w:spacing w:val="-6"/>
          <w:sz w:val="20"/>
        </w:rPr>
        <w:t> </w:t>
      </w:r>
      <w:r>
        <w:rPr>
          <w:sz w:val="20"/>
        </w:rPr>
        <w:t>costo</w:t>
      </w:r>
      <w:r>
        <w:rPr>
          <w:spacing w:val="-4"/>
          <w:sz w:val="20"/>
        </w:rPr>
        <w:t> </w:t>
      </w:r>
      <w:r>
        <w:rPr>
          <w:sz w:val="20"/>
        </w:rPr>
        <w:t>de</w:t>
      </w:r>
      <w:r>
        <w:rPr>
          <w:spacing w:val="-6"/>
          <w:sz w:val="20"/>
        </w:rPr>
        <w:t> </w:t>
      </w:r>
      <w:r>
        <w:rPr>
          <w:sz w:val="20"/>
        </w:rPr>
        <w:t>la</w:t>
      </w:r>
      <w:r>
        <w:rPr>
          <w:spacing w:val="-4"/>
          <w:sz w:val="20"/>
        </w:rPr>
        <w:t> </w:t>
      </w:r>
      <w:r>
        <w:rPr>
          <w:sz w:val="20"/>
        </w:rPr>
        <w:t>vida</w:t>
      </w:r>
      <w:r>
        <w:rPr>
          <w:spacing w:val="-4"/>
          <w:sz w:val="20"/>
        </w:rPr>
        <w:t> </w:t>
      </w:r>
      <w:r>
        <w:rPr>
          <w:sz w:val="20"/>
        </w:rPr>
        <w:t>por</w:t>
      </w:r>
      <w:r>
        <w:rPr>
          <w:spacing w:val="-5"/>
          <w:sz w:val="20"/>
        </w:rPr>
        <w:t> </w:t>
      </w:r>
      <w:r>
        <w:rPr>
          <w:sz w:val="20"/>
        </w:rPr>
        <w:t>familia</w:t>
      </w:r>
      <w:r>
        <w:rPr>
          <w:spacing w:val="-2"/>
          <w:sz w:val="20"/>
        </w:rPr>
        <w:t> </w:t>
      </w:r>
      <w:r>
        <w:rPr>
          <w:sz w:val="20"/>
        </w:rPr>
        <w:t>y</w:t>
      </w:r>
      <w:r>
        <w:rPr>
          <w:spacing w:val="-9"/>
          <w:sz w:val="20"/>
        </w:rPr>
        <w:t> </w:t>
      </w:r>
      <w:r>
        <w:rPr>
          <w:sz w:val="20"/>
        </w:rPr>
        <w:t>los</w:t>
      </w:r>
      <w:r>
        <w:rPr>
          <w:spacing w:val="-4"/>
          <w:sz w:val="20"/>
        </w:rPr>
        <w:t> </w:t>
      </w:r>
      <w:r>
        <w:rPr>
          <w:sz w:val="20"/>
        </w:rPr>
        <w:t>salarios</w:t>
      </w:r>
      <w:r>
        <w:rPr>
          <w:spacing w:val="-5"/>
          <w:sz w:val="20"/>
        </w:rPr>
        <w:t> </w:t>
      </w:r>
      <w:r>
        <w:rPr>
          <w:sz w:val="20"/>
        </w:rPr>
        <w:t>que</w:t>
      </w:r>
      <w:r>
        <w:rPr>
          <w:spacing w:val="-6"/>
          <w:sz w:val="20"/>
        </w:rPr>
        <w:t> </w:t>
      </w:r>
      <w:r>
        <w:rPr>
          <w:sz w:val="20"/>
        </w:rPr>
        <w:t>perciban</w:t>
      </w:r>
      <w:r>
        <w:rPr>
          <w:spacing w:val="-6"/>
          <w:sz w:val="20"/>
        </w:rPr>
        <w:t> </w:t>
      </w:r>
      <w:r>
        <w:rPr>
          <w:sz w:val="20"/>
        </w:rPr>
        <w:t>los</w:t>
      </w:r>
      <w:r>
        <w:rPr>
          <w:spacing w:val="-5"/>
          <w:sz w:val="20"/>
        </w:rPr>
        <w:t> </w:t>
      </w:r>
      <w:r>
        <w:rPr>
          <w:spacing w:val="-2"/>
          <w:sz w:val="20"/>
        </w:rPr>
        <w:t>trabajadores;</w:t>
      </w:r>
    </w:p>
    <w:p>
      <w:pPr>
        <w:pStyle w:val="ListParagraph"/>
        <w:spacing w:after="0" w:line="240" w:lineRule="auto"/>
        <w:jc w:val="left"/>
        <w:rPr>
          <w:sz w:val="20"/>
        </w:rPr>
        <w:sectPr>
          <w:type w:val="continuous"/>
          <w:pgSz w:w="12240" w:h="15840"/>
          <w:pgMar w:header="724" w:footer="712" w:top="1880" w:bottom="900" w:left="1080" w:right="1080"/>
        </w:sectPr>
      </w:pPr>
    </w:p>
    <w:p>
      <w:pPr>
        <w:pStyle w:val="BodyText"/>
      </w:pPr>
    </w:p>
    <w:p>
      <w:pPr>
        <w:pStyle w:val="BodyText"/>
        <w:spacing w:before="63"/>
      </w:pPr>
    </w:p>
    <w:p>
      <w:pPr>
        <w:pStyle w:val="ListParagraph"/>
        <w:numPr>
          <w:ilvl w:val="0"/>
          <w:numId w:val="332"/>
        </w:numPr>
        <w:tabs>
          <w:tab w:pos="1195" w:val="left" w:leader="none"/>
        </w:tabs>
        <w:spacing w:line="242" w:lineRule="auto" w:before="0" w:after="0"/>
        <w:ind w:left="1195" w:right="344" w:hanging="569"/>
        <w:jc w:val="left"/>
        <w:rPr>
          <w:sz w:val="20"/>
        </w:rPr>
      </w:pPr>
      <w:r>
        <w:rPr>
          <w:sz w:val="20"/>
        </w:rPr>
        <w:t>Los</w:t>
      </w:r>
      <w:r>
        <w:rPr>
          <w:spacing w:val="26"/>
          <w:sz w:val="20"/>
        </w:rPr>
        <w:t> </w:t>
      </w:r>
      <w:r>
        <w:rPr>
          <w:sz w:val="20"/>
        </w:rPr>
        <w:t>salarios</w:t>
      </w:r>
      <w:r>
        <w:rPr>
          <w:spacing w:val="26"/>
          <w:sz w:val="20"/>
        </w:rPr>
        <w:t> </w:t>
      </w:r>
      <w:r>
        <w:rPr>
          <w:sz w:val="20"/>
        </w:rPr>
        <w:t>medios</w:t>
      </w:r>
      <w:r>
        <w:rPr>
          <w:spacing w:val="28"/>
          <w:sz w:val="20"/>
        </w:rPr>
        <w:t> </w:t>
      </w:r>
      <w:r>
        <w:rPr>
          <w:sz w:val="20"/>
        </w:rPr>
        <w:t>que</w:t>
      </w:r>
      <w:r>
        <w:rPr>
          <w:spacing w:val="25"/>
          <w:sz w:val="20"/>
        </w:rPr>
        <w:t> </w:t>
      </w:r>
      <w:r>
        <w:rPr>
          <w:sz w:val="20"/>
        </w:rPr>
        <w:t>se</w:t>
      </w:r>
      <w:r>
        <w:rPr>
          <w:spacing w:val="25"/>
          <w:sz w:val="20"/>
        </w:rPr>
        <w:t> </w:t>
      </w:r>
      <w:r>
        <w:rPr>
          <w:sz w:val="20"/>
        </w:rPr>
        <w:t>paguen</w:t>
      </w:r>
      <w:r>
        <w:rPr>
          <w:spacing w:val="27"/>
          <w:sz w:val="20"/>
        </w:rPr>
        <w:t> </w:t>
      </w:r>
      <w:r>
        <w:rPr>
          <w:sz w:val="20"/>
        </w:rPr>
        <w:t>en</w:t>
      </w:r>
      <w:r>
        <w:rPr>
          <w:spacing w:val="27"/>
          <w:sz w:val="20"/>
        </w:rPr>
        <w:t> </w:t>
      </w:r>
      <w:r>
        <w:rPr>
          <w:sz w:val="20"/>
        </w:rPr>
        <w:t>empresa</w:t>
      </w:r>
      <w:r>
        <w:rPr>
          <w:spacing w:val="25"/>
          <w:sz w:val="20"/>
        </w:rPr>
        <w:t> </w:t>
      </w:r>
      <w:r>
        <w:rPr>
          <w:sz w:val="20"/>
        </w:rPr>
        <w:t>o</w:t>
      </w:r>
      <w:r>
        <w:rPr>
          <w:spacing w:val="25"/>
          <w:sz w:val="20"/>
        </w:rPr>
        <w:t> </w:t>
      </w:r>
      <w:r>
        <w:rPr>
          <w:sz w:val="20"/>
        </w:rPr>
        <w:t>establecimientos</w:t>
      </w:r>
      <w:r>
        <w:rPr>
          <w:spacing w:val="26"/>
          <w:sz w:val="20"/>
        </w:rPr>
        <w:t> </w:t>
      </w:r>
      <w:r>
        <w:rPr>
          <w:sz w:val="20"/>
        </w:rPr>
        <w:t>de</w:t>
      </w:r>
      <w:r>
        <w:rPr>
          <w:spacing w:val="27"/>
          <w:sz w:val="20"/>
        </w:rPr>
        <w:t> </w:t>
      </w:r>
      <w:r>
        <w:rPr>
          <w:sz w:val="20"/>
        </w:rPr>
        <w:t>la</w:t>
      </w:r>
      <w:r>
        <w:rPr>
          <w:spacing w:val="25"/>
          <w:sz w:val="20"/>
        </w:rPr>
        <w:t> </w:t>
      </w:r>
      <w:r>
        <w:rPr>
          <w:sz w:val="20"/>
        </w:rPr>
        <w:t>misma</w:t>
      </w:r>
      <w:r>
        <w:rPr>
          <w:spacing w:val="25"/>
          <w:sz w:val="20"/>
        </w:rPr>
        <w:t> </w:t>
      </w:r>
      <w:r>
        <w:rPr>
          <w:sz w:val="20"/>
        </w:rPr>
        <w:t>rama</w:t>
      </w:r>
      <w:r>
        <w:rPr>
          <w:spacing w:val="25"/>
          <w:sz w:val="20"/>
        </w:rPr>
        <w:t> </w:t>
      </w:r>
      <w:r>
        <w:rPr>
          <w:sz w:val="20"/>
        </w:rPr>
        <w:t>de</w:t>
      </w:r>
      <w:r>
        <w:rPr>
          <w:spacing w:val="25"/>
          <w:sz w:val="20"/>
        </w:rPr>
        <w:t> </w:t>
      </w:r>
      <w:r>
        <w:rPr>
          <w:sz w:val="20"/>
        </w:rPr>
        <w:t>la industria y las condiciones generales de trabajo que rijan en ellos;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4"/>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3"/>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30-01-</w:t>
      </w:r>
      <w:r>
        <w:rPr>
          <w:rFonts w:ascii="Times New Roman" w:hAnsi="Times New Roman"/>
          <w:i/>
          <w:color w:val="0000FF"/>
          <w:spacing w:val="-4"/>
          <w:sz w:val="16"/>
        </w:rPr>
        <w:t>1980</w:t>
      </w:r>
    </w:p>
    <w:p>
      <w:pPr>
        <w:pStyle w:val="BodyText"/>
        <w:spacing w:before="45"/>
        <w:rPr>
          <w:rFonts w:ascii="Times New Roman"/>
          <w:i/>
          <w:sz w:val="16"/>
        </w:rPr>
      </w:pPr>
    </w:p>
    <w:p>
      <w:pPr>
        <w:pStyle w:val="ListParagraph"/>
        <w:numPr>
          <w:ilvl w:val="0"/>
          <w:numId w:val="332"/>
        </w:numPr>
        <w:tabs>
          <w:tab w:pos="1195" w:val="left" w:leader="none"/>
        </w:tabs>
        <w:spacing w:line="242" w:lineRule="auto" w:before="0" w:after="0"/>
        <w:ind w:left="1195" w:right="341" w:hanging="569"/>
        <w:jc w:val="left"/>
        <w:rPr>
          <w:sz w:val="20"/>
        </w:rPr>
      </w:pPr>
      <w:r>
        <w:rPr>
          <w:sz w:val="20"/>
        </w:rPr>
        <w:t>Las</w:t>
      </w:r>
      <w:r>
        <w:rPr>
          <w:spacing w:val="80"/>
          <w:w w:val="150"/>
          <w:sz w:val="20"/>
        </w:rPr>
        <w:t> </w:t>
      </w:r>
      <w:r>
        <w:rPr>
          <w:sz w:val="20"/>
        </w:rPr>
        <w:t>condiciones</w:t>
      </w:r>
      <w:r>
        <w:rPr>
          <w:spacing w:val="80"/>
          <w:w w:val="150"/>
          <w:sz w:val="20"/>
        </w:rPr>
        <w:t> </w:t>
      </w:r>
      <w:r>
        <w:rPr>
          <w:sz w:val="20"/>
        </w:rPr>
        <w:t>económicas</w:t>
      </w:r>
      <w:r>
        <w:rPr>
          <w:spacing w:val="80"/>
          <w:w w:val="150"/>
          <w:sz w:val="20"/>
        </w:rPr>
        <w:t> </w:t>
      </w:r>
      <w:r>
        <w:rPr>
          <w:sz w:val="20"/>
        </w:rPr>
        <w:t>de</w:t>
      </w:r>
      <w:r>
        <w:rPr>
          <w:spacing w:val="80"/>
          <w:w w:val="150"/>
          <w:sz w:val="20"/>
        </w:rPr>
        <w:t> </w:t>
      </w:r>
      <w:r>
        <w:rPr>
          <w:sz w:val="20"/>
        </w:rPr>
        <w:t>la</w:t>
      </w:r>
      <w:r>
        <w:rPr>
          <w:spacing w:val="80"/>
          <w:w w:val="150"/>
          <w:sz w:val="20"/>
        </w:rPr>
        <w:t> </w:t>
      </w:r>
      <w:r>
        <w:rPr>
          <w:sz w:val="20"/>
        </w:rPr>
        <w:t>empresa</w:t>
      </w:r>
      <w:r>
        <w:rPr>
          <w:spacing w:val="80"/>
          <w:w w:val="150"/>
          <w:sz w:val="20"/>
        </w:rPr>
        <w:t> </w:t>
      </w:r>
      <w:r>
        <w:rPr>
          <w:sz w:val="20"/>
        </w:rPr>
        <w:t>o</w:t>
      </w:r>
      <w:r>
        <w:rPr>
          <w:spacing w:val="80"/>
          <w:w w:val="150"/>
          <w:sz w:val="20"/>
        </w:rPr>
        <w:t> </w:t>
      </w:r>
      <w:r>
        <w:rPr>
          <w:sz w:val="20"/>
        </w:rPr>
        <w:t>empresas</w:t>
      </w:r>
      <w:r>
        <w:rPr>
          <w:spacing w:val="80"/>
          <w:w w:val="150"/>
          <w:sz w:val="20"/>
        </w:rPr>
        <w:t> </w:t>
      </w:r>
      <w:r>
        <w:rPr>
          <w:sz w:val="20"/>
        </w:rPr>
        <w:t>o</w:t>
      </w:r>
      <w:r>
        <w:rPr>
          <w:spacing w:val="80"/>
          <w:w w:val="150"/>
          <w:sz w:val="20"/>
        </w:rPr>
        <w:t> </w:t>
      </w:r>
      <w:r>
        <w:rPr>
          <w:sz w:val="20"/>
        </w:rPr>
        <w:t>del</w:t>
      </w:r>
      <w:r>
        <w:rPr>
          <w:spacing w:val="80"/>
          <w:w w:val="150"/>
          <w:sz w:val="20"/>
        </w:rPr>
        <w:t> </w:t>
      </w:r>
      <w:r>
        <w:rPr>
          <w:sz w:val="20"/>
        </w:rPr>
        <w:t>establecimiento</w:t>
      </w:r>
      <w:r>
        <w:rPr>
          <w:spacing w:val="80"/>
          <w:w w:val="150"/>
          <w:sz w:val="20"/>
        </w:rPr>
        <w:t> </w:t>
      </w:r>
      <w:r>
        <w:rPr>
          <w:sz w:val="20"/>
        </w:rPr>
        <w:t>o</w:t>
      </w:r>
      <w:r>
        <w:rPr>
          <w:spacing w:val="40"/>
          <w:sz w:val="20"/>
        </w:rPr>
        <w:t> </w:t>
      </w:r>
      <w:r>
        <w:rPr>
          <w:spacing w:val="-2"/>
          <w:sz w:val="20"/>
        </w:rPr>
        <w:t>establecimientos;</w:t>
      </w:r>
    </w:p>
    <w:p>
      <w:pPr>
        <w:pStyle w:val="ListParagraph"/>
        <w:numPr>
          <w:ilvl w:val="0"/>
          <w:numId w:val="332"/>
        </w:numPr>
        <w:tabs>
          <w:tab w:pos="1195" w:val="left" w:leader="none"/>
        </w:tabs>
        <w:spacing w:line="240" w:lineRule="auto" w:before="227" w:after="0"/>
        <w:ind w:left="1195" w:right="0" w:hanging="569"/>
        <w:jc w:val="left"/>
        <w:rPr>
          <w:sz w:val="20"/>
        </w:rPr>
      </w:pPr>
      <w:r>
        <w:rPr>
          <w:sz w:val="20"/>
        </w:rPr>
        <w:t>La</w:t>
      </w:r>
      <w:r>
        <w:rPr>
          <w:spacing w:val="-7"/>
          <w:sz w:val="20"/>
        </w:rPr>
        <w:t> </w:t>
      </w:r>
      <w:r>
        <w:rPr>
          <w:sz w:val="20"/>
        </w:rPr>
        <w:t>condición</w:t>
      </w:r>
      <w:r>
        <w:rPr>
          <w:spacing w:val="-7"/>
          <w:sz w:val="20"/>
        </w:rPr>
        <w:t> </w:t>
      </w:r>
      <w:r>
        <w:rPr>
          <w:sz w:val="20"/>
        </w:rPr>
        <w:t>general</w:t>
      </w:r>
      <w:r>
        <w:rPr>
          <w:spacing w:val="-5"/>
          <w:sz w:val="20"/>
        </w:rPr>
        <w:t> </w:t>
      </w:r>
      <w:r>
        <w:rPr>
          <w:sz w:val="20"/>
        </w:rPr>
        <w:t>de</w:t>
      </w:r>
      <w:r>
        <w:rPr>
          <w:spacing w:val="-5"/>
          <w:sz w:val="20"/>
        </w:rPr>
        <w:t> </w:t>
      </w:r>
      <w:r>
        <w:rPr>
          <w:sz w:val="20"/>
        </w:rPr>
        <w:t>la</w:t>
      </w:r>
      <w:r>
        <w:rPr>
          <w:spacing w:val="-4"/>
          <w:sz w:val="20"/>
        </w:rPr>
        <w:t> </w:t>
      </w:r>
      <w:r>
        <w:rPr>
          <w:sz w:val="20"/>
        </w:rPr>
        <w:t>industria</w:t>
      </w:r>
      <w:r>
        <w:rPr>
          <w:spacing w:val="-4"/>
          <w:sz w:val="20"/>
        </w:rPr>
        <w:t> </w:t>
      </w:r>
      <w:r>
        <w:rPr>
          <w:sz w:val="20"/>
        </w:rPr>
        <w:t>de</w:t>
      </w:r>
      <w:r>
        <w:rPr>
          <w:spacing w:val="-6"/>
          <w:sz w:val="20"/>
        </w:rPr>
        <w:t> </w:t>
      </w:r>
      <w:r>
        <w:rPr>
          <w:sz w:val="20"/>
        </w:rPr>
        <w:t>que</w:t>
      </w:r>
      <w:r>
        <w:rPr>
          <w:spacing w:val="-5"/>
          <w:sz w:val="20"/>
        </w:rPr>
        <w:t> </w:t>
      </w:r>
      <w:r>
        <w:rPr>
          <w:sz w:val="20"/>
        </w:rPr>
        <w:t>forma</w:t>
      </w:r>
      <w:r>
        <w:rPr>
          <w:spacing w:val="-6"/>
          <w:sz w:val="20"/>
        </w:rPr>
        <w:t> </w:t>
      </w:r>
      <w:r>
        <w:rPr>
          <w:sz w:val="20"/>
        </w:rPr>
        <w:t>parte</w:t>
      </w:r>
      <w:r>
        <w:rPr>
          <w:spacing w:val="-6"/>
          <w:sz w:val="20"/>
        </w:rPr>
        <w:t> </w:t>
      </w:r>
      <w:r>
        <w:rPr>
          <w:sz w:val="20"/>
        </w:rPr>
        <w:t>la</w:t>
      </w:r>
      <w:r>
        <w:rPr>
          <w:spacing w:val="-4"/>
          <w:sz w:val="20"/>
        </w:rPr>
        <w:t> </w:t>
      </w:r>
      <w:r>
        <w:rPr>
          <w:sz w:val="20"/>
        </w:rPr>
        <w:t>empresa</w:t>
      </w:r>
      <w:r>
        <w:rPr>
          <w:spacing w:val="-1"/>
          <w:sz w:val="20"/>
        </w:rPr>
        <w:t> </w:t>
      </w:r>
      <w:r>
        <w:rPr>
          <w:sz w:val="20"/>
        </w:rPr>
        <w:t>o</w:t>
      </w:r>
      <w:r>
        <w:rPr>
          <w:spacing w:val="-6"/>
          <w:sz w:val="20"/>
        </w:rPr>
        <w:t> </w:t>
      </w:r>
      <w:r>
        <w:rPr>
          <w:spacing w:val="-2"/>
          <w:sz w:val="20"/>
        </w:rPr>
        <w:t>establecimiento;</w:t>
      </w:r>
    </w:p>
    <w:p>
      <w:pPr>
        <w:pStyle w:val="BodyText"/>
        <w:spacing w:before="1"/>
      </w:pPr>
    </w:p>
    <w:p>
      <w:pPr>
        <w:pStyle w:val="ListParagraph"/>
        <w:numPr>
          <w:ilvl w:val="0"/>
          <w:numId w:val="332"/>
        </w:numPr>
        <w:tabs>
          <w:tab w:pos="1195" w:val="left" w:leader="none"/>
        </w:tabs>
        <w:spacing w:line="240" w:lineRule="auto" w:before="0" w:after="0"/>
        <w:ind w:left="1195" w:right="0" w:hanging="569"/>
        <w:jc w:val="left"/>
        <w:rPr>
          <w:sz w:val="20"/>
        </w:rPr>
      </w:pPr>
      <w:r>
        <w:rPr>
          <w:sz w:val="20"/>
        </w:rPr>
        <w:t>Las</w:t>
      </w:r>
      <w:r>
        <w:rPr>
          <w:spacing w:val="-8"/>
          <w:sz w:val="20"/>
        </w:rPr>
        <w:t> </w:t>
      </w:r>
      <w:r>
        <w:rPr>
          <w:sz w:val="20"/>
        </w:rPr>
        <w:t>condiciones</w:t>
      </w:r>
      <w:r>
        <w:rPr>
          <w:spacing w:val="-8"/>
          <w:sz w:val="20"/>
        </w:rPr>
        <w:t> </w:t>
      </w:r>
      <w:r>
        <w:rPr>
          <w:sz w:val="20"/>
        </w:rPr>
        <w:t>generales</w:t>
      </w:r>
      <w:r>
        <w:rPr>
          <w:spacing w:val="-6"/>
          <w:sz w:val="20"/>
        </w:rPr>
        <w:t> </w:t>
      </w:r>
      <w:r>
        <w:rPr>
          <w:sz w:val="20"/>
        </w:rPr>
        <w:t>de</w:t>
      </w:r>
      <w:r>
        <w:rPr>
          <w:spacing w:val="-9"/>
          <w:sz w:val="20"/>
        </w:rPr>
        <w:t> </w:t>
      </w:r>
      <w:r>
        <w:rPr>
          <w:sz w:val="20"/>
        </w:rPr>
        <w:t>los</w:t>
      </w:r>
      <w:r>
        <w:rPr>
          <w:spacing w:val="-8"/>
          <w:sz w:val="20"/>
        </w:rPr>
        <w:t> </w:t>
      </w:r>
      <w:r>
        <w:rPr>
          <w:spacing w:val="-2"/>
          <w:sz w:val="20"/>
        </w:rPr>
        <w:t>mercados;</w:t>
      </w:r>
    </w:p>
    <w:p>
      <w:pPr>
        <w:pStyle w:val="ListParagraph"/>
        <w:numPr>
          <w:ilvl w:val="0"/>
          <w:numId w:val="332"/>
        </w:numPr>
        <w:tabs>
          <w:tab w:pos="1195" w:val="left" w:leader="none"/>
        </w:tabs>
        <w:spacing w:line="240" w:lineRule="auto" w:before="229" w:after="0"/>
        <w:ind w:left="1195" w:right="0" w:hanging="569"/>
        <w:jc w:val="left"/>
        <w:rPr>
          <w:sz w:val="20"/>
        </w:rPr>
      </w:pPr>
      <w:r>
        <w:rPr>
          <w:sz w:val="20"/>
        </w:rPr>
        <w:t>Los</w:t>
      </w:r>
      <w:r>
        <w:rPr>
          <w:spacing w:val="-7"/>
          <w:sz w:val="20"/>
        </w:rPr>
        <w:t> </w:t>
      </w:r>
      <w:r>
        <w:rPr>
          <w:sz w:val="20"/>
        </w:rPr>
        <w:t>índices</w:t>
      </w:r>
      <w:r>
        <w:rPr>
          <w:spacing w:val="-7"/>
          <w:sz w:val="20"/>
        </w:rPr>
        <w:t> </w:t>
      </w:r>
      <w:r>
        <w:rPr>
          <w:sz w:val="20"/>
        </w:rPr>
        <w:t>estadísticos</w:t>
      </w:r>
      <w:r>
        <w:rPr>
          <w:spacing w:val="-7"/>
          <w:sz w:val="20"/>
        </w:rPr>
        <w:t> </w:t>
      </w:r>
      <w:r>
        <w:rPr>
          <w:sz w:val="20"/>
        </w:rPr>
        <w:t>que</w:t>
      </w:r>
      <w:r>
        <w:rPr>
          <w:spacing w:val="-8"/>
          <w:sz w:val="20"/>
        </w:rPr>
        <w:t> </w:t>
      </w:r>
      <w:r>
        <w:rPr>
          <w:sz w:val="20"/>
        </w:rPr>
        <w:t>tiendan</w:t>
      </w:r>
      <w:r>
        <w:rPr>
          <w:spacing w:val="-8"/>
          <w:sz w:val="20"/>
        </w:rPr>
        <w:t> </w:t>
      </w:r>
      <w:r>
        <w:rPr>
          <w:sz w:val="20"/>
        </w:rPr>
        <w:t>a</w:t>
      </w:r>
      <w:r>
        <w:rPr>
          <w:spacing w:val="-6"/>
          <w:sz w:val="20"/>
        </w:rPr>
        <w:t> </w:t>
      </w:r>
      <w:r>
        <w:rPr>
          <w:sz w:val="20"/>
        </w:rPr>
        <w:t>precisar</w:t>
      </w:r>
      <w:r>
        <w:rPr>
          <w:spacing w:val="-5"/>
          <w:sz w:val="20"/>
        </w:rPr>
        <w:t> </w:t>
      </w:r>
      <w:r>
        <w:rPr>
          <w:sz w:val="20"/>
        </w:rPr>
        <w:t>la</w:t>
      </w:r>
      <w:r>
        <w:rPr>
          <w:spacing w:val="-6"/>
          <w:sz w:val="20"/>
        </w:rPr>
        <w:t> </w:t>
      </w:r>
      <w:r>
        <w:rPr>
          <w:sz w:val="20"/>
        </w:rPr>
        <w:t>economía</w:t>
      </w:r>
      <w:r>
        <w:rPr>
          <w:spacing w:val="-9"/>
          <w:sz w:val="20"/>
        </w:rPr>
        <w:t> </w:t>
      </w:r>
      <w:r>
        <w:rPr>
          <w:sz w:val="20"/>
        </w:rPr>
        <w:t>nacional;</w:t>
      </w:r>
      <w:r>
        <w:rPr>
          <w:spacing w:val="-4"/>
          <w:sz w:val="20"/>
        </w:rPr>
        <w:t> </w:t>
      </w:r>
      <w:r>
        <w:rPr>
          <w:spacing w:val="-10"/>
          <w:sz w:val="20"/>
        </w:rPr>
        <w:t>y</w:t>
      </w:r>
    </w:p>
    <w:p>
      <w:pPr>
        <w:pStyle w:val="BodyText"/>
      </w:pPr>
    </w:p>
    <w:p>
      <w:pPr>
        <w:pStyle w:val="ListParagraph"/>
        <w:numPr>
          <w:ilvl w:val="0"/>
          <w:numId w:val="332"/>
        </w:numPr>
        <w:tabs>
          <w:tab w:pos="1195" w:val="left" w:leader="none"/>
        </w:tabs>
        <w:spacing w:line="229" w:lineRule="exact" w:before="1" w:after="0"/>
        <w:ind w:left="1195" w:right="0" w:hanging="569"/>
        <w:jc w:val="left"/>
        <w:rPr>
          <w:sz w:val="20"/>
        </w:rPr>
      </w:pPr>
      <w:r>
        <w:rPr>
          <w:sz w:val="20"/>
        </w:rPr>
        <w:t>La</w:t>
      </w:r>
      <w:r>
        <w:rPr>
          <w:spacing w:val="-8"/>
          <w:sz w:val="20"/>
        </w:rPr>
        <w:t> </w:t>
      </w:r>
      <w:r>
        <w:rPr>
          <w:sz w:val="20"/>
        </w:rPr>
        <w:t>forma</w:t>
      </w:r>
      <w:r>
        <w:rPr>
          <w:spacing w:val="-6"/>
          <w:sz w:val="20"/>
        </w:rPr>
        <w:t> </w:t>
      </w:r>
      <w:r>
        <w:rPr>
          <w:sz w:val="20"/>
        </w:rPr>
        <w:t>en</w:t>
      </w:r>
      <w:r>
        <w:rPr>
          <w:spacing w:val="-6"/>
          <w:sz w:val="20"/>
        </w:rPr>
        <w:t> </w:t>
      </w:r>
      <w:r>
        <w:rPr>
          <w:sz w:val="20"/>
        </w:rPr>
        <w:t>que,</w:t>
      </w:r>
      <w:r>
        <w:rPr>
          <w:spacing w:val="-7"/>
          <w:sz w:val="20"/>
        </w:rPr>
        <w:t> </w:t>
      </w:r>
      <w:r>
        <w:rPr>
          <w:sz w:val="20"/>
        </w:rPr>
        <w:t>según</w:t>
      </w:r>
      <w:r>
        <w:rPr>
          <w:spacing w:val="-6"/>
          <w:sz w:val="20"/>
        </w:rPr>
        <w:t> </w:t>
      </w:r>
      <w:r>
        <w:rPr>
          <w:sz w:val="20"/>
        </w:rPr>
        <w:t>su</w:t>
      </w:r>
      <w:r>
        <w:rPr>
          <w:spacing w:val="-3"/>
          <w:sz w:val="20"/>
        </w:rPr>
        <w:t> </w:t>
      </w:r>
      <w:r>
        <w:rPr>
          <w:sz w:val="20"/>
        </w:rPr>
        <w:t>parecer,</w:t>
      </w:r>
      <w:r>
        <w:rPr>
          <w:spacing w:val="-6"/>
          <w:sz w:val="20"/>
        </w:rPr>
        <w:t> </w:t>
      </w:r>
      <w:r>
        <w:rPr>
          <w:sz w:val="20"/>
        </w:rPr>
        <w:t>pueda</w:t>
      </w:r>
      <w:r>
        <w:rPr>
          <w:spacing w:val="-6"/>
          <w:sz w:val="20"/>
        </w:rPr>
        <w:t> </w:t>
      </w:r>
      <w:r>
        <w:rPr>
          <w:sz w:val="20"/>
        </w:rPr>
        <w:t>solucionarse</w:t>
      </w:r>
      <w:r>
        <w:rPr>
          <w:spacing w:val="-7"/>
          <w:sz w:val="20"/>
        </w:rPr>
        <w:t> </w:t>
      </w:r>
      <w:r>
        <w:rPr>
          <w:sz w:val="20"/>
        </w:rPr>
        <w:t>el</w:t>
      </w:r>
      <w:r>
        <w:rPr>
          <w:spacing w:val="-5"/>
          <w:sz w:val="20"/>
        </w:rPr>
        <w:t> </w:t>
      </w:r>
      <w:r>
        <w:rPr>
          <w:spacing w:val="-2"/>
          <w:sz w:val="20"/>
        </w:rPr>
        <w:t>conflicto.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1"/>
        <w:rPr>
          <w:rFonts w:ascii="Times New Roman"/>
          <w:i/>
        </w:rPr>
      </w:pPr>
    </w:p>
    <w:p>
      <w:pPr>
        <w:pStyle w:val="BodyText"/>
        <w:spacing w:line="242" w:lineRule="auto"/>
        <w:ind w:left="338" w:right="357" w:firstLine="288"/>
      </w:pPr>
      <w:bookmarkStart w:name="Artículo_911" w:id="1155"/>
      <w:bookmarkEnd w:id="1155"/>
      <w:r>
        <w:rPr/>
      </w:r>
      <w:r>
        <w:rPr>
          <w:rFonts w:ascii="Arial" w:hAnsi="Arial"/>
          <w:b/>
        </w:rPr>
        <w:t>Artículo 911.- </w:t>
      </w:r>
      <w:r>
        <w:rPr/>
        <w:t>El dictamen de los peritos se agregará al expediente y se entregará una copia a cada una de las partes.</w:t>
      </w:r>
    </w:p>
    <w:p>
      <w:pPr>
        <w:pStyle w:val="BodyText"/>
        <w:spacing w:before="229"/>
        <w:ind w:left="338" w:right="357" w:firstLine="288"/>
      </w:pPr>
      <w:r>
        <w:rPr/>
        <w:t>El Secretario asentará razón en autos del día y hora en que hizo entrega de las copias a las partes, o de la negativa de éstas para recibirlas.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338" w:right="336" w:firstLine="288"/>
        <w:jc w:val="both"/>
      </w:pPr>
      <w:bookmarkStart w:name="Artículo_912" w:id="1156"/>
      <w:bookmarkEnd w:id="1156"/>
      <w:r>
        <w:rPr/>
      </w:r>
      <w:r>
        <w:rPr>
          <w:rFonts w:ascii="Arial" w:hAnsi="Arial"/>
          <w:b/>
        </w:rPr>
        <w:t>Artículo 912.- </w:t>
      </w:r>
      <w:r>
        <w:rPr/>
        <w:t>En caso de que las partes formulen objeciones al dictamen pericial oficial, el Tribunal citará a una audiencia incidental de objeciones al peritaje oficial dentro de los tres días siguientes a que reciba dichas objeciones. A esta audiencia deberán concurrir los peritos para contestar las preguntas que les formulen las partes y, en relación con los peritajes que rindieron, se podrán ofrecer pruebas que tengan por objeto comprobar la falsedad o inconsistencia de los hechos y consideraciones contenidas en el dictamen.</w:t>
      </w:r>
    </w:p>
    <w:p>
      <w:pPr>
        <w:pStyle w:val="BodyText"/>
        <w:spacing w:before="3"/>
      </w:pPr>
    </w:p>
    <w:p>
      <w:pPr>
        <w:pStyle w:val="BodyText"/>
        <w:ind w:left="338" w:right="332" w:firstLine="288"/>
        <w:jc w:val="both"/>
      </w:pPr>
      <w:r>
        <w:rPr/>
        <w:t>Atendiendo a la naturaleza de este tipo de juicios, la audiencia en cuestión deberá prorrogarse el tiempo necesario para dar oportunidad a las partes de interrogar exhaustivamente a los peritos y desahogar las pruebas que ofrezcan para acreditar sus objeciones.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338" w:right="342" w:firstLine="288"/>
        <w:jc w:val="both"/>
      </w:pPr>
      <w:bookmarkStart w:name="Artículo_913" w:id="1157"/>
      <w:bookmarkEnd w:id="1157"/>
      <w:r>
        <w:rPr/>
      </w:r>
      <w:r>
        <w:rPr>
          <w:rFonts w:ascii="Arial" w:hAnsi="Arial"/>
          <w:b/>
        </w:rPr>
        <w:t>Artículo 913.- </w:t>
      </w:r>
      <w:r>
        <w:rPr/>
        <w:t>El Tribunal tiene las más amplias facultades para practicar las diligencias que juzgue convenientes, a fin de completar, aclarar o precisar las cuestiones analizadas por los peritos, así como para solicitar nuevos informes a las autoridades, instituciones y particulares a que se refiere el artículo 909, fracción I de este capítulo, interrogar a los peritos o pedirles algún dictamen complementario o designar comisiones para que practiquen o realicen investigaciones o estudios especiales.</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6"/>
        <w:rPr>
          <w:rFonts w:ascii="Times New Roman"/>
          <w:i/>
          <w:sz w:val="16"/>
        </w:rPr>
      </w:pPr>
    </w:p>
    <w:p>
      <w:pPr>
        <w:pStyle w:val="BodyText"/>
        <w:spacing w:line="242" w:lineRule="auto"/>
        <w:ind w:left="338" w:right="341" w:firstLine="288"/>
        <w:jc w:val="both"/>
      </w:pPr>
      <w:bookmarkStart w:name="Artículo_914" w:id="1158"/>
      <w:bookmarkEnd w:id="1158"/>
      <w:r>
        <w:rPr/>
      </w:r>
      <w:r>
        <w:rPr>
          <w:rFonts w:ascii="Arial" w:hAnsi="Arial"/>
          <w:b/>
        </w:rPr>
        <w:t>Artículo 914.- </w:t>
      </w:r>
      <w:r>
        <w:rPr/>
        <w:t>Las autoridades, las instituciones y los particulares a que se refieren los artículos que anteceden, están obligadas a proporcionar los informes, contestar los cuestionarios y rendir las declaraciones que se les soliciten.</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1"/>
        <w:rPr>
          <w:rFonts w:ascii="Times New Roman"/>
          <w:i/>
        </w:rPr>
      </w:pPr>
    </w:p>
    <w:p>
      <w:pPr>
        <w:spacing w:before="0"/>
        <w:ind w:left="626" w:right="0" w:firstLine="0"/>
        <w:jc w:val="left"/>
        <w:rPr>
          <w:sz w:val="20"/>
        </w:rPr>
      </w:pPr>
      <w:bookmarkStart w:name="Artículo_915" w:id="1159"/>
      <w:bookmarkEnd w:id="1159"/>
      <w:r>
        <w:rPr/>
      </w:r>
      <w:r>
        <w:rPr>
          <w:rFonts w:ascii="Arial" w:hAnsi="Arial"/>
          <w:b/>
          <w:sz w:val="20"/>
        </w:rPr>
        <w:t>Artículo</w:t>
      </w:r>
      <w:r>
        <w:rPr>
          <w:rFonts w:ascii="Arial" w:hAnsi="Arial"/>
          <w:b/>
          <w:spacing w:val="-6"/>
          <w:sz w:val="20"/>
        </w:rPr>
        <w:t> </w:t>
      </w:r>
      <w:r>
        <w:rPr>
          <w:rFonts w:ascii="Arial" w:hAnsi="Arial"/>
          <w:b/>
          <w:sz w:val="20"/>
        </w:rPr>
        <w:t>915.-</w:t>
      </w:r>
      <w:r>
        <w:rPr>
          <w:rFonts w:ascii="Arial" w:hAnsi="Arial"/>
          <w:b/>
          <w:spacing w:val="-4"/>
          <w:sz w:val="20"/>
        </w:rPr>
        <w:t> </w:t>
      </w:r>
      <w:r>
        <w:rPr>
          <w:sz w:val="20"/>
        </w:rPr>
        <w:t>Se</w:t>
      </w:r>
      <w:r>
        <w:rPr>
          <w:spacing w:val="-5"/>
          <w:sz w:val="20"/>
        </w:rPr>
        <w:t> </w:t>
      </w:r>
      <w:r>
        <w:rPr>
          <w:spacing w:val="-2"/>
          <w:sz w:val="20"/>
        </w:rPr>
        <w:t>deroga.</w:t>
      </w:r>
    </w:p>
    <w:p>
      <w:pPr>
        <w:spacing w:before="0"/>
        <w:ind w:left="54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line="242" w:lineRule="auto" w:before="229"/>
        <w:ind w:left="338" w:right="357" w:firstLine="288"/>
      </w:pPr>
      <w:bookmarkStart w:name="Artículo_916" w:id="1160"/>
      <w:bookmarkEnd w:id="1160"/>
      <w:r>
        <w:rPr/>
      </w:r>
      <w:r>
        <w:rPr>
          <w:rFonts w:ascii="Arial" w:hAnsi="Arial"/>
          <w:b/>
        </w:rPr>
        <w:t>Artículo 916.- </w:t>
      </w:r>
      <w:r>
        <w:rPr/>
        <w:t>Una vez que se declare cerrada la instrucción, el Tribunal dictará sentencia dentro de los treinta días siguientes, la que deberá contener:</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1"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3"/>
        <w:rPr>
          <w:rFonts w:ascii="Times New Roman"/>
          <w:i/>
        </w:rPr>
      </w:pPr>
    </w:p>
    <w:p>
      <w:pPr>
        <w:pStyle w:val="ListParagraph"/>
        <w:numPr>
          <w:ilvl w:val="0"/>
          <w:numId w:val="333"/>
        </w:numPr>
        <w:tabs>
          <w:tab w:pos="1195" w:val="left" w:leader="none"/>
        </w:tabs>
        <w:spacing w:line="240" w:lineRule="auto" w:before="0" w:after="0"/>
        <w:ind w:left="1195" w:right="0" w:hanging="569"/>
        <w:jc w:val="left"/>
        <w:rPr>
          <w:sz w:val="20"/>
        </w:rPr>
      </w:pPr>
      <w:r>
        <w:rPr>
          <w:sz w:val="20"/>
        </w:rPr>
        <w:t>Un</w:t>
      </w:r>
      <w:r>
        <w:rPr>
          <w:spacing w:val="-7"/>
          <w:sz w:val="20"/>
        </w:rPr>
        <w:t> </w:t>
      </w:r>
      <w:r>
        <w:rPr>
          <w:sz w:val="20"/>
        </w:rPr>
        <w:t>extracto</w:t>
      </w:r>
      <w:r>
        <w:rPr>
          <w:spacing w:val="-4"/>
          <w:sz w:val="20"/>
        </w:rPr>
        <w:t> </w:t>
      </w:r>
      <w:r>
        <w:rPr>
          <w:sz w:val="20"/>
        </w:rPr>
        <w:t>de</w:t>
      </w:r>
      <w:r>
        <w:rPr>
          <w:spacing w:val="-5"/>
          <w:sz w:val="20"/>
        </w:rPr>
        <w:t> </w:t>
      </w:r>
      <w:r>
        <w:rPr>
          <w:sz w:val="20"/>
        </w:rPr>
        <w:t>las</w:t>
      </w:r>
      <w:r>
        <w:rPr>
          <w:spacing w:val="-6"/>
          <w:sz w:val="20"/>
        </w:rPr>
        <w:t> </w:t>
      </w:r>
      <w:r>
        <w:rPr>
          <w:sz w:val="20"/>
        </w:rPr>
        <w:t>exposiciones</w:t>
      </w:r>
      <w:r>
        <w:rPr>
          <w:spacing w:val="-1"/>
          <w:sz w:val="20"/>
        </w:rPr>
        <w:t> </w:t>
      </w:r>
      <w:r>
        <w:rPr>
          <w:sz w:val="20"/>
        </w:rPr>
        <w:t>y</w:t>
      </w:r>
      <w:r>
        <w:rPr>
          <w:spacing w:val="-9"/>
          <w:sz w:val="20"/>
        </w:rPr>
        <w:t> </w:t>
      </w:r>
      <w:r>
        <w:rPr>
          <w:sz w:val="20"/>
        </w:rPr>
        <w:t>peticiones</w:t>
      </w:r>
      <w:r>
        <w:rPr>
          <w:spacing w:val="-6"/>
          <w:sz w:val="20"/>
        </w:rPr>
        <w:t> </w:t>
      </w:r>
      <w:r>
        <w:rPr>
          <w:sz w:val="20"/>
        </w:rPr>
        <w:t>de</w:t>
      </w:r>
      <w:r>
        <w:rPr>
          <w:spacing w:val="-6"/>
          <w:sz w:val="20"/>
        </w:rPr>
        <w:t> </w:t>
      </w:r>
      <w:r>
        <w:rPr>
          <w:sz w:val="20"/>
        </w:rPr>
        <w:t>las</w:t>
      </w:r>
      <w:r>
        <w:rPr>
          <w:spacing w:val="-5"/>
          <w:sz w:val="20"/>
        </w:rPr>
        <w:t> </w:t>
      </w:r>
      <w:r>
        <w:rPr>
          <w:spacing w:val="-2"/>
          <w:sz w:val="20"/>
        </w:rPr>
        <w:t>partes;</w:t>
      </w:r>
    </w:p>
    <w:p>
      <w:pPr>
        <w:pStyle w:val="BodyText"/>
        <w:spacing w:before="1"/>
      </w:pPr>
    </w:p>
    <w:p>
      <w:pPr>
        <w:pStyle w:val="ListParagraph"/>
        <w:numPr>
          <w:ilvl w:val="0"/>
          <w:numId w:val="333"/>
        </w:numPr>
        <w:tabs>
          <w:tab w:pos="1195" w:val="left" w:leader="none"/>
        </w:tabs>
        <w:spacing w:line="240" w:lineRule="auto" w:before="0" w:after="0"/>
        <w:ind w:left="1195" w:right="0" w:hanging="569"/>
        <w:jc w:val="left"/>
        <w:rPr>
          <w:sz w:val="20"/>
        </w:rPr>
      </w:pPr>
      <w:r>
        <w:rPr>
          <w:sz w:val="20"/>
        </w:rPr>
        <w:t>Un</w:t>
      </w:r>
      <w:r>
        <w:rPr>
          <w:spacing w:val="-7"/>
          <w:sz w:val="20"/>
        </w:rPr>
        <w:t> </w:t>
      </w:r>
      <w:r>
        <w:rPr>
          <w:sz w:val="20"/>
        </w:rPr>
        <w:t>extracto</w:t>
      </w:r>
      <w:r>
        <w:rPr>
          <w:spacing w:val="-4"/>
          <w:sz w:val="20"/>
        </w:rPr>
        <w:t> </w:t>
      </w:r>
      <w:r>
        <w:rPr>
          <w:sz w:val="20"/>
        </w:rPr>
        <w:t>del</w:t>
      </w:r>
      <w:r>
        <w:rPr>
          <w:spacing w:val="-8"/>
          <w:sz w:val="20"/>
        </w:rPr>
        <w:t> </w:t>
      </w:r>
      <w:r>
        <w:rPr>
          <w:sz w:val="20"/>
        </w:rPr>
        <w:t>dictamen</w:t>
      </w:r>
      <w:r>
        <w:rPr>
          <w:spacing w:val="-7"/>
          <w:sz w:val="20"/>
        </w:rPr>
        <w:t> </w:t>
      </w:r>
      <w:r>
        <w:rPr>
          <w:sz w:val="20"/>
        </w:rPr>
        <w:t>de</w:t>
      </w:r>
      <w:r>
        <w:rPr>
          <w:spacing w:val="-7"/>
          <w:sz w:val="20"/>
        </w:rPr>
        <w:t> </w:t>
      </w:r>
      <w:r>
        <w:rPr>
          <w:sz w:val="20"/>
        </w:rPr>
        <w:t>los</w:t>
      </w:r>
      <w:r>
        <w:rPr>
          <w:spacing w:val="-4"/>
          <w:sz w:val="20"/>
        </w:rPr>
        <w:t> </w:t>
      </w:r>
      <w:r>
        <w:rPr>
          <w:sz w:val="20"/>
        </w:rPr>
        <w:t>peritos</w:t>
      </w:r>
      <w:r>
        <w:rPr>
          <w:spacing w:val="-3"/>
          <w:sz w:val="20"/>
        </w:rPr>
        <w:t> </w:t>
      </w:r>
      <w:r>
        <w:rPr>
          <w:sz w:val="20"/>
        </w:rPr>
        <w:t>y</w:t>
      </w:r>
      <w:r>
        <w:rPr>
          <w:spacing w:val="-7"/>
          <w:sz w:val="20"/>
        </w:rPr>
        <w:t> </w:t>
      </w:r>
      <w:r>
        <w:rPr>
          <w:sz w:val="20"/>
        </w:rPr>
        <w:t>de</w:t>
      </w:r>
      <w:r>
        <w:rPr>
          <w:spacing w:val="-6"/>
          <w:sz w:val="20"/>
        </w:rPr>
        <w:t> </w:t>
      </w:r>
      <w:r>
        <w:rPr>
          <w:sz w:val="20"/>
        </w:rPr>
        <w:t>las</w:t>
      </w:r>
      <w:r>
        <w:rPr>
          <w:spacing w:val="-5"/>
          <w:sz w:val="20"/>
        </w:rPr>
        <w:t> </w:t>
      </w:r>
      <w:r>
        <w:rPr>
          <w:sz w:val="20"/>
        </w:rPr>
        <w:t>observaciones</w:t>
      </w:r>
      <w:r>
        <w:rPr>
          <w:spacing w:val="-6"/>
          <w:sz w:val="20"/>
        </w:rPr>
        <w:t> </w:t>
      </w:r>
      <w:r>
        <w:rPr>
          <w:sz w:val="20"/>
        </w:rPr>
        <w:t>que</w:t>
      </w:r>
      <w:r>
        <w:rPr>
          <w:spacing w:val="-5"/>
          <w:sz w:val="20"/>
        </w:rPr>
        <w:t> </w:t>
      </w:r>
      <w:r>
        <w:rPr>
          <w:sz w:val="20"/>
        </w:rPr>
        <w:t>hubiesen</w:t>
      </w:r>
      <w:r>
        <w:rPr>
          <w:spacing w:val="-6"/>
          <w:sz w:val="20"/>
        </w:rPr>
        <w:t> </w:t>
      </w:r>
      <w:r>
        <w:rPr>
          <w:sz w:val="20"/>
        </w:rPr>
        <w:t>hecho</w:t>
      </w:r>
      <w:r>
        <w:rPr>
          <w:spacing w:val="-7"/>
          <w:sz w:val="20"/>
        </w:rPr>
        <w:t> </w:t>
      </w:r>
      <w:r>
        <w:rPr>
          <w:sz w:val="20"/>
        </w:rPr>
        <w:t>las</w:t>
      </w:r>
      <w:r>
        <w:rPr>
          <w:spacing w:val="-6"/>
          <w:sz w:val="20"/>
        </w:rPr>
        <w:t> </w:t>
      </w:r>
      <w:r>
        <w:rPr>
          <w:spacing w:val="-2"/>
          <w:sz w:val="20"/>
        </w:rPr>
        <w:t>partes;</w:t>
      </w:r>
    </w:p>
    <w:p>
      <w:pPr>
        <w:pStyle w:val="BodyText"/>
        <w:spacing w:before="1"/>
      </w:pPr>
    </w:p>
    <w:p>
      <w:pPr>
        <w:pStyle w:val="ListParagraph"/>
        <w:numPr>
          <w:ilvl w:val="0"/>
          <w:numId w:val="333"/>
        </w:numPr>
        <w:tabs>
          <w:tab w:pos="1195" w:val="left" w:leader="none"/>
        </w:tabs>
        <w:spacing w:line="229" w:lineRule="exact" w:before="0" w:after="0"/>
        <w:ind w:left="1195" w:right="0" w:hanging="569"/>
        <w:jc w:val="left"/>
        <w:rPr>
          <w:sz w:val="20"/>
        </w:rPr>
      </w:pPr>
      <w:r>
        <w:rPr>
          <w:sz w:val="20"/>
        </w:rPr>
        <w:t>Una</w:t>
      </w:r>
      <w:r>
        <w:rPr>
          <w:spacing w:val="-8"/>
          <w:sz w:val="20"/>
        </w:rPr>
        <w:t> </w:t>
      </w:r>
      <w:r>
        <w:rPr>
          <w:sz w:val="20"/>
        </w:rPr>
        <w:t>enumeración</w:t>
      </w:r>
      <w:r>
        <w:rPr>
          <w:spacing w:val="-3"/>
          <w:sz w:val="20"/>
        </w:rPr>
        <w:t> </w:t>
      </w:r>
      <w:r>
        <w:rPr>
          <w:sz w:val="20"/>
        </w:rPr>
        <w:t>y</w:t>
      </w:r>
      <w:r>
        <w:rPr>
          <w:spacing w:val="-10"/>
          <w:sz w:val="20"/>
        </w:rPr>
        <w:t> </w:t>
      </w:r>
      <w:r>
        <w:rPr>
          <w:sz w:val="20"/>
        </w:rPr>
        <w:t>apreciación</w:t>
      </w:r>
      <w:r>
        <w:rPr>
          <w:spacing w:val="-8"/>
          <w:sz w:val="20"/>
        </w:rPr>
        <w:t> </w:t>
      </w:r>
      <w:r>
        <w:rPr>
          <w:sz w:val="20"/>
        </w:rPr>
        <w:t>de</w:t>
      </w:r>
      <w:r>
        <w:rPr>
          <w:spacing w:val="-6"/>
          <w:sz w:val="20"/>
        </w:rPr>
        <w:t> </w:t>
      </w:r>
      <w:r>
        <w:rPr>
          <w:sz w:val="20"/>
        </w:rPr>
        <w:t>las</w:t>
      </w:r>
      <w:r>
        <w:rPr>
          <w:spacing w:val="-6"/>
          <w:sz w:val="20"/>
        </w:rPr>
        <w:t> </w:t>
      </w:r>
      <w:r>
        <w:rPr>
          <w:sz w:val="20"/>
        </w:rPr>
        <w:t>pruebas</w:t>
      </w:r>
      <w:r>
        <w:rPr>
          <w:spacing w:val="-2"/>
          <w:sz w:val="20"/>
        </w:rPr>
        <w:t> </w:t>
      </w:r>
      <w:r>
        <w:rPr>
          <w:sz w:val="20"/>
        </w:rPr>
        <w:t>y</w:t>
      </w:r>
      <w:r>
        <w:rPr>
          <w:spacing w:val="-9"/>
          <w:sz w:val="20"/>
        </w:rPr>
        <w:t> </w:t>
      </w:r>
      <w:r>
        <w:rPr>
          <w:sz w:val="20"/>
        </w:rPr>
        <w:t>de</w:t>
      </w:r>
      <w:r>
        <w:rPr>
          <w:spacing w:val="-5"/>
          <w:sz w:val="20"/>
        </w:rPr>
        <w:t> </w:t>
      </w:r>
      <w:r>
        <w:rPr>
          <w:sz w:val="20"/>
        </w:rPr>
        <w:t>las</w:t>
      </w:r>
      <w:r>
        <w:rPr>
          <w:spacing w:val="-6"/>
          <w:sz w:val="20"/>
        </w:rPr>
        <w:t> </w:t>
      </w:r>
      <w:r>
        <w:rPr>
          <w:sz w:val="20"/>
        </w:rPr>
        <w:t>diligencias</w:t>
      </w:r>
      <w:r>
        <w:rPr>
          <w:spacing w:val="-6"/>
          <w:sz w:val="20"/>
        </w:rPr>
        <w:t> </w:t>
      </w:r>
      <w:r>
        <w:rPr>
          <w:sz w:val="20"/>
        </w:rPr>
        <w:t>practicadas</w:t>
      </w:r>
      <w:r>
        <w:rPr>
          <w:spacing w:val="-6"/>
          <w:sz w:val="20"/>
        </w:rPr>
        <w:t> </w:t>
      </w:r>
      <w:r>
        <w:rPr>
          <w:sz w:val="20"/>
        </w:rPr>
        <w:t>por</w:t>
      </w:r>
      <w:r>
        <w:rPr>
          <w:spacing w:val="-6"/>
          <w:sz w:val="20"/>
        </w:rPr>
        <w:t> </w:t>
      </w:r>
      <w:r>
        <w:rPr>
          <w:sz w:val="20"/>
        </w:rPr>
        <w:t>el</w:t>
      </w:r>
      <w:r>
        <w:rPr>
          <w:spacing w:val="-8"/>
          <w:sz w:val="20"/>
        </w:rPr>
        <w:t> </w:t>
      </w:r>
      <w:r>
        <w:rPr>
          <w:spacing w:val="-2"/>
          <w:sz w:val="20"/>
        </w:rPr>
        <w:t>Tribunal;</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33"/>
        </w:numPr>
        <w:tabs>
          <w:tab w:pos="1195" w:val="left" w:leader="none"/>
        </w:tabs>
        <w:spacing w:line="240" w:lineRule="auto" w:before="0" w:after="0"/>
        <w:ind w:left="1195" w:right="0" w:hanging="569"/>
        <w:jc w:val="left"/>
        <w:rPr>
          <w:sz w:val="20"/>
        </w:rPr>
      </w:pPr>
      <w:r>
        <w:rPr>
          <w:sz w:val="20"/>
        </w:rPr>
        <w:t>Un</w:t>
      </w:r>
      <w:r>
        <w:rPr>
          <w:spacing w:val="-7"/>
          <w:sz w:val="20"/>
        </w:rPr>
        <w:t> </w:t>
      </w:r>
      <w:r>
        <w:rPr>
          <w:sz w:val="20"/>
        </w:rPr>
        <w:t>extracto</w:t>
      </w:r>
      <w:r>
        <w:rPr>
          <w:spacing w:val="-5"/>
          <w:sz w:val="20"/>
        </w:rPr>
        <w:t> </w:t>
      </w:r>
      <w:r>
        <w:rPr>
          <w:sz w:val="20"/>
        </w:rPr>
        <w:t>de</w:t>
      </w:r>
      <w:r>
        <w:rPr>
          <w:spacing w:val="-6"/>
          <w:sz w:val="20"/>
        </w:rPr>
        <w:t> </w:t>
      </w:r>
      <w:r>
        <w:rPr>
          <w:sz w:val="20"/>
        </w:rPr>
        <w:t>los</w:t>
      </w:r>
      <w:r>
        <w:rPr>
          <w:spacing w:val="-5"/>
          <w:sz w:val="20"/>
        </w:rPr>
        <w:t> </w:t>
      </w:r>
      <w:r>
        <w:rPr>
          <w:sz w:val="20"/>
        </w:rPr>
        <w:t>alegatos;</w:t>
      </w:r>
      <w:r>
        <w:rPr>
          <w:spacing w:val="-5"/>
          <w:sz w:val="20"/>
        </w:rPr>
        <w:t> </w:t>
      </w:r>
      <w:r>
        <w:rPr>
          <w:spacing w:val="-10"/>
          <w:sz w:val="20"/>
        </w:rPr>
        <w:t>y</w:t>
      </w:r>
    </w:p>
    <w:p>
      <w:pPr>
        <w:pStyle w:val="BodyText"/>
        <w:spacing w:before="1"/>
      </w:pPr>
    </w:p>
    <w:p>
      <w:pPr>
        <w:pStyle w:val="ListParagraph"/>
        <w:numPr>
          <w:ilvl w:val="0"/>
          <w:numId w:val="333"/>
        </w:numPr>
        <w:tabs>
          <w:tab w:pos="1195" w:val="left" w:leader="none"/>
        </w:tabs>
        <w:spacing w:line="229" w:lineRule="exact" w:before="0" w:after="0"/>
        <w:ind w:left="1195" w:right="0" w:hanging="569"/>
        <w:jc w:val="left"/>
        <w:rPr>
          <w:sz w:val="20"/>
        </w:rPr>
      </w:pPr>
      <w:r>
        <w:rPr>
          <w:sz w:val="20"/>
        </w:rPr>
        <w:t>Señalará</w:t>
      </w:r>
      <w:r>
        <w:rPr>
          <w:spacing w:val="-8"/>
          <w:sz w:val="20"/>
        </w:rPr>
        <w:t> </w:t>
      </w:r>
      <w:r>
        <w:rPr>
          <w:sz w:val="20"/>
        </w:rPr>
        <w:t>los</w:t>
      </w:r>
      <w:r>
        <w:rPr>
          <w:spacing w:val="-6"/>
          <w:sz w:val="20"/>
        </w:rPr>
        <w:t> </w:t>
      </w:r>
      <w:r>
        <w:rPr>
          <w:sz w:val="20"/>
        </w:rPr>
        <w:t>motivos</w:t>
      </w:r>
      <w:r>
        <w:rPr>
          <w:spacing w:val="-5"/>
          <w:sz w:val="20"/>
        </w:rPr>
        <w:t> </w:t>
      </w:r>
      <w:r>
        <w:rPr>
          <w:sz w:val="20"/>
        </w:rPr>
        <w:t>y</w:t>
      </w:r>
      <w:r>
        <w:rPr>
          <w:spacing w:val="-9"/>
          <w:sz w:val="20"/>
        </w:rPr>
        <w:t> </w:t>
      </w:r>
      <w:r>
        <w:rPr>
          <w:sz w:val="20"/>
        </w:rPr>
        <w:t>fundamentos</w:t>
      </w:r>
      <w:r>
        <w:rPr>
          <w:spacing w:val="-7"/>
          <w:sz w:val="20"/>
        </w:rPr>
        <w:t> </w:t>
      </w:r>
      <w:r>
        <w:rPr>
          <w:sz w:val="20"/>
        </w:rPr>
        <w:t>que</w:t>
      </w:r>
      <w:r>
        <w:rPr>
          <w:spacing w:val="-5"/>
          <w:sz w:val="20"/>
        </w:rPr>
        <w:t> </w:t>
      </w:r>
      <w:r>
        <w:rPr>
          <w:sz w:val="20"/>
        </w:rPr>
        <w:t>puedan</w:t>
      </w:r>
      <w:r>
        <w:rPr>
          <w:spacing w:val="-6"/>
          <w:sz w:val="20"/>
        </w:rPr>
        <w:t> </w:t>
      </w:r>
      <w:r>
        <w:rPr>
          <w:sz w:val="20"/>
        </w:rPr>
        <w:t>servir</w:t>
      </w:r>
      <w:r>
        <w:rPr>
          <w:spacing w:val="-6"/>
          <w:sz w:val="20"/>
        </w:rPr>
        <w:t> </w:t>
      </w:r>
      <w:r>
        <w:rPr>
          <w:sz w:val="20"/>
        </w:rPr>
        <w:t>para</w:t>
      </w:r>
      <w:r>
        <w:rPr>
          <w:spacing w:val="-5"/>
          <w:sz w:val="20"/>
        </w:rPr>
        <w:t> </w:t>
      </w:r>
      <w:r>
        <w:rPr>
          <w:sz w:val="20"/>
        </w:rPr>
        <w:t>la</w:t>
      </w:r>
      <w:r>
        <w:rPr>
          <w:spacing w:val="-8"/>
          <w:sz w:val="20"/>
        </w:rPr>
        <w:t> </w:t>
      </w:r>
      <w:r>
        <w:rPr>
          <w:sz w:val="20"/>
        </w:rPr>
        <w:t>solución</w:t>
      </w:r>
      <w:r>
        <w:rPr>
          <w:spacing w:val="-6"/>
          <w:sz w:val="20"/>
        </w:rPr>
        <w:t> </w:t>
      </w:r>
      <w:r>
        <w:rPr>
          <w:sz w:val="20"/>
        </w:rPr>
        <w:t>del</w:t>
      </w:r>
      <w:r>
        <w:rPr>
          <w:spacing w:val="-8"/>
          <w:sz w:val="20"/>
        </w:rPr>
        <w:t> </w:t>
      </w:r>
      <w:r>
        <w:rPr>
          <w:spacing w:val="-2"/>
          <w:sz w:val="20"/>
        </w:rPr>
        <w:t>conflicto.</w:t>
      </w:r>
    </w:p>
    <w:p>
      <w:pPr>
        <w:spacing w:line="183"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2"/>
        <w:rPr>
          <w:rFonts w:ascii="Times New Roman"/>
          <w:i/>
        </w:rPr>
      </w:pPr>
    </w:p>
    <w:p>
      <w:pPr>
        <w:spacing w:before="0"/>
        <w:ind w:left="626" w:right="0" w:firstLine="0"/>
        <w:jc w:val="left"/>
        <w:rPr>
          <w:sz w:val="20"/>
        </w:rPr>
      </w:pPr>
      <w:bookmarkStart w:name="Artículo_917" w:id="1161"/>
      <w:bookmarkEnd w:id="1161"/>
      <w:r>
        <w:rPr/>
      </w:r>
      <w:r>
        <w:rPr>
          <w:rFonts w:ascii="Arial" w:hAnsi="Arial"/>
          <w:b/>
          <w:sz w:val="20"/>
        </w:rPr>
        <w:t>Artículo</w:t>
      </w:r>
      <w:r>
        <w:rPr>
          <w:rFonts w:ascii="Arial" w:hAnsi="Arial"/>
          <w:b/>
          <w:spacing w:val="-6"/>
          <w:sz w:val="20"/>
        </w:rPr>
        <w:t> </w:t>
      </w:r>
      <w:r>
        <w:rPr>
          <w:rFonts w:ascii="Arial" w:hAnsi="Arial"/>
          <w:b/>
          <w:sz w:val="20"/>
        </w:rPr>
        <w:t>917.-</w:t>
      </w:r>
      <w:r>
        <w:rPr>
          <w:rFonts w:ascii="Arial" w:hAnsi="Arial"/>
          <w:b/>
          <w:spacing w:val="-4"/>
          <w:sz w:val="20"/>
        </w:rPr>
        <w:t> </w:t>
      </w:r>
      <w:r>
        <w:rPr>
          <w:sz w:val="20"/>
        </w:rPr>
        <w:t>Se</w:t>
      </w:r>
      <w:r>
        <w:rPr>
          <w:spacing w:val="-5"/>
          <w:sz w:val="20"/>
        </w:rPr>
        <w:t> </w:t>
      </w:r>
      <w:r>
        <w:rPr>
          <w:spacing w:val="-2"/>
          <w:sz w:val="20"/>
        </w:rPr>
        <w:t>deroga.</w:t>
      </w:r>
    </w:p>
    <w:p>
      <w:pPr>
        <w:spacing w:before="1"/>
        <w:ind w:left="54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before="229"/>
        <w:ind w:left="626" w:right="0" w:firstLine="0"/>
        <w:jc w:val="left"/>
        <w:rPr>
          <w:sz w:val="20"/>
        </w:rPr>
      </w:pPr>
      <w:bookmarkStart w:name="Artículo_918" w:id="1162"/>
      <w:bookmarkEnd w:id="1162"/>
      <w:r>
        <w:rPr/>
      </w:r>
      <w:r>
        <w:rPr>
          <w:rFonts w:ascii="Arial" w:hAnsi="Arial"/>
          <w:b/>
          <w:sz w:val="20"/>
        </w:rPr>
        <w:t>Artículo</w:t>
      </w:r>
      <w:r>
        <w:rPr>
          <w:rFonts w:ascii="Arial" w:hAnsi="Arial"/>
          <w:b/>
          <w:spacing w:val="-6"/>
          <w:sz w:val="20"/>
        </w:rPr>
        <w:t> </w:t>
      </w:r>
      <w:r>
        <w:rPr>
          <w:rFonts w:ascii="Arial" w:hAnsi="Arial"/>
          <w:b/>
          <w:sz w:val="20"/>
        </w:rPr>
        <w:t>918.-</w:t>
      </w:r>
      <w:r>
        <w:rPr>
          <w:rFonts w:ascii="Arial" w:hAnsi="Arial"/>
          <w:b/>
          <w:spacing w:val="-4"/>
          <w:sz w:val="20"/>
        </w:rPr>
        <w:t> </w:t>
      </w:r>
      <w:r>
        <w:rPr>
          <w:sz w:val="20"/>
        </w:rPr>
        <w:t>Se</w:t>
      </w:r>
      <w:r>
        <w:rPr>
          <w:spacing w:val="-5"/>
          <w:sz w:val="20"/>
        </w:rPr>
        <w:t> </w:t>
      </w:r>
      <w:r>
        <w:rPr>
          <w:spacing w:val="-2"/>
          <w:sz w:val="20"/>
        </w:rPr>
        <w:t>deroga.</w:t>
      </w:r>
    </w:p>
    <w:p>
      <w:pPr>
        <w:spacing w:before="0"/>
        <w:ind w:left="541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line="242" w:lineRule="auto" w:before="229"/>
        <w:ind w:left="338" w:right="340" w:firstLine="288"/>
        <w:jc w:val="both"/>
      </w:pPr>
      <w:bookmarkStart w:name="Artículo_919" w:id="1163"/>
      <w:bookmarkEnd w:id="1163"/>
      <w:r>
        <w:rPr/>
      </w:r>
      <w:r>
        <w:rPr>
          <w:rFonts w:ascii="Arial" w:hAnsi="Arial"/>
          <w:b/>
        </w:rPr>
        <w:t>Artículo 919.- </w:t>
      </w:r>
      <w:r>
        <w:rPr/>
        <w:t>El Tribunal, a fin de conseguir el equilibrio y la justicia social en las relaciones entre los trabajadores y patrones, en su resolución podrá aumentar o disminuir el personal, la jornada, la semana de trabajo, los salarios y, en general, modificar las condiciones de trabajo de la empresa o establecimiento, sin que en ningún caso pueda reducir los derechos mínimos consignados en las leyes.</w:t>
      </w:r>
    </w:p>
    <w:p>
      <w:pPr>
        <w:spacing w:line="176"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3"/>
        <w:rPr>
          <w:rFonts w:ascii="Times New Roman"/>
          <w:i/>
          <w:sz w:val="16"/>
        </w:rPr>
      </w:pPr>
    </w:p>
    <w:p>
      <w:pPr>
        <w:pStyle w:val="Heading1"/>
        <w:ind w:left="298"/>
      </w:pPr>
      <w:r>
        <w:rPr/>
        <w:t>CAPITULO</w:t>
      </w:r>
      <w:r>
        <w:rPr>
          <w:spacing w:val="-7"/>
        </w:rPr>
        <w:t> XX</w:t>
      </w:r>
    </w:p>
    <w:p>
      <w:pPr>
        <w:pStyle w:val="Heading2"/>
        <w:spacing w:before="1"/>
        <w:ind w:left="299"/>
      </w:pPr>
      <w:r>
        <w:rPr/>
        <w:t>Procedimiento</w:t>
      </w:r>
      <w:r>
        <w:rPr>
          <w:spacing w:val="-8"/>
        </w:rPr>
        <w:t> </w:t>
      </w:r>
      <w:r>
        <w:rPr/>
        <w:t>de</w:t>
      </w:r>
      <w:r>
        <w:rPr>
          <w:spacing w:val="-4"/>
        </w:rPr>
        <w:t> </w:t>
      </w:r>
      <w:r>
        <w:rPr>
          <w:spacing w:val="-2"/>
        </w:rPr>
        <w:t>Huelga</w:t>
      </w:r>
    </w:p>
    <w:p>
      <w:pPr>
        <w:spacing w:before="1"/>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8"/>
        <w:rPr>
          <w:rFonts w:ascii="Times New Roman"/>
          <w:i/>
          <w:sz w:val="16"/>
        </w:rPr>
      </w:pPr>
    </w:p>
    <w:p>
      <w:pPr>
        <w:pStyle w:val="BodyText"/>
        <w:ind w:left="338" w:right="342" w:firstLine="288"/>
      </w:pPr>
      <w:bookmarkStart w:name="Artículo_920" w:id="1164"/>
      <w:bookmarkEnd w:id="1164"/>
      <w:r>
        <w:rPr/>
      </w:r>
      <w:r>
        <w:rPr>
          <w:rFonts w:ascii="Arial" w:hAnsi="Arial"/>
          <w:b/>
        </w:rPr>
        <w:t>Artículo</w:t>
      </w:r>
      <w:r>
        <w:rPr>
          <w:rFonts w:ascii="Arial" w:hAnsi="Arial"/>
          <w:b/>
          <w:spacing w:val="68"/>
        </w:rPr>
        <w:t> </w:t>
      </w:r>
      <w:r>
        <w:rPr>
          <w:rFonts w:ascii="Arial" w:hAnsi="Arial"/>
          <w:b/>
        </w:rPr>
        <w:t>920.-</w:t>
      </w:r>
      <w:r>
        <w:rPr>
          <w:rFonts w:ascii="Arial" w:hAnsi="Arial"/>
          <w:b/>
          <w:spacing w:val="68"/>
        </w:rPr>
        <w:t> </w:t>
      </w:r>
      <w:r>
        <w:rPr/>
        <w:t>El</w:t>
      </w:r>
      <w:r>
        <w:rPr>
          <w:spacing w:val="66"/>
        </w:rPr>
        <w:t> </w:t>
      </w:r>
      <w:r>
        <w:rPr/>
        <w:t>procedimiento</w:t>
      </w:r>
      <w:r>
        <w:rPr>
          <w:spacing w:val="67"/>
        </w:rPr>
        <w:t> </w:t>
      </w:r>
      <w:r>
        <w:rPr/>
        <w:t>de</w:t>
      </w:r>
      <w:r>
        <w:rPr>
          <w:spacing w:val="67"/>
        </w:rPr>
        <w:t> </w:t>
      </w:r>
      <w:r>
        <w:rPr/>
        <w:t>huelga</w:t>
      </w:r>
      <w:r>
        <w:rPr>
          <w:spacing w:val="67"/>
        </w:rPr>
        <w:t> </w:t>
      </w:r>
      <w:r>
        <w:rPr/>
        <w:t>se</w:t>
      </w:r>
      <w:r>
        <w:rPr>
          <w:spacing w:val="69"/>
        </w:rPr>
        <w:t> </w:t>
      </w:r>
      <w:r>
        <w:rPr/>
        <w:t>iniciará</w:t>
      </w:r>
      <w:r>
        <w:rPr>
          <w:spacing w:val="67"/>
        </w:rPr>
        <w:t> </w:t>
      </w:r>
      <w:r>
        <w:rPr/>
        <w:t>mediante</w:t>
      </w:r>
      <w:r>
        <w:rPr>
          <w:spacing w:val="67"/>
        </w:rPr>
        <w:t> </w:t>
      </w:r>
      <w:r>
        <w:rPr/>
        <w:t>la</w:t>
      </w:r>
      <w:r>
        <w:rPr>
          <w:spacing w:val="67"/>
        </w:rPr>
        <w:t> </w:t>
      </w:r>
      <w:r>
        <w:rPr/>
        <w:t>presentación</w:t>
      </w:r>
      <w:r>
        <w:rPr>
          <w:spacing w:val="69"/>
        </w:rPr>
        <w:t> </w:t>
      </w:r>
      <w:r>
        <w:rPr/>
        <w:t>del</w:t>
      </w:r>
      <w:r>
        <w:rPr>
          <w:spacing w:val="69"/>
        </w:rPr>
        <w:t> </w:t>
      </w:r>
      <w:r>
        <w:rPr/>
        <w:t>pliego</w:t>
      </w:r>
      <w:r>
        <w:rPr>
          <w:spacing w:val="67"/>
        </w:rPr>
        <w:t> </w:t>
      </w:r>
      <w:r>
        <w:rPr/>
        <w:t>de peticiones, que deberá reunir los requisitos siguientes:</w:t>
      </w:r>
    </w:p>
    <w:p>
      <w:pPr>
        <w:pStyle w:val="ListParagraph"/>
        <w:numPr>
          <w:ilvl w:val="0"/>
          <w:numId w:val="334"/>
        </w:numPr>
        <w:tabs>
          <w:tab w:pos="1193" w:val="left" w:leader="none"/>
          <w:tab w:pos="1195" w:val="left" w:leader="none"/>
        </w:tabs>
        <w:spacing w:line="242" w:lineRule="auto" w:before="229" w:after="0"/>
        <w:ind w:left="1195" w:right="339" w:hanging="569"/>
        <w:jc w:val="both"/>
        <w:rPr>
          <w:sz w:val="20"/>
        </w:rPr>
      </w:pPr>
      <w:r>
        <w:rPr>
          <w:sz w:val="20"/>
        </w:rPr>
        <w:t>Se dirigirá por escrito al patrón y en él se formularán las peticiones, anunciarán el propósito de</w:t>
      </w:r>
      <w:r>
        <w:rPr>
          <w:spacing w:val="40"/>
          <w:sz w:val="20"/>
        </w:rPr>
        <w:t> </w:t>
      </w:r>
      <w:r>
        <w:rPr>
          <w:sz w:val="20"/>
        </w:rPr>
        <w:t>ir a la huelga si no son satisfechas, expresarán concretamente el objeto de la misma y</w:t>
      </w:r>
      <w:r>
        <w:rPr>
          <w:spacing w:val="40"/>
          <w:sz w:val="20"/>
        </w:rPr>
        <w:t> </w:t>
      </w:r>
      <w:r>
        <w:rPr>
          <w:sz w:val="20"/>
        </w:rPr>
        <w:t>señalarán el día y hora en que se suspenderán las labores, o el término de prehuelga;</w:t>
      </w:r>
    </w:p>
    <w:p>
      <w:pPr>
        <w:pStyle w:val="ListParagraph"/>
        <w:numPr>
          <w:ilvl w:val="0"/>
          <w:numId w:val="334"/>
        </w:numPr>
        <w:tabs>
          <w:tab w:pos="1192" w:val="left" w:leader="none"/>
          <w:tab w:pos="1195" w:val="left" w:leader="none"/>
        </w:tabs>
        <w:spacing w:line="240" w:lineRule="auto" w:before="222" w:after="0"/>
        <w:ind w:left="1195" w:right="335" w:hanging="569"/>
        <w:jc w:val="both"/>
        <w:rPr>
          <w:sz w:val="20"/>
        </w:rPr>
      </w:pPr>
      <w:r>
        <w:rPr>
          <w:sz w:val="20"/>
        </w:rPr>
        <w:t>Se presentará por duplicado al Tribunal competente. Si la empresa o establecimiento están ubicados en lugar distinto al en que resida el Tribunal, el escrito podrá presentarse al órgano jurisdiccional más próximo</w:t>
      </w:r>
      <w:r>
        <w:rPr>
          <w:spacing w:val="-1"/>
          <w:sz w:val="20"/>
        </w:rPr>
        <w:t> </w:t>
      </w:r>
      <w:r>
        <w:rPr>
          <w:sz w:val="20"/>
        </w:rPr>
        <w:t>o a la autoridad política de mayor jerarquía del lugar de ubicación de la empresa o establecimiento. El órgano o autoridad que haga el emplazamiento remitirá el expediente, dentro de las veinticuatro horas siguientes, al Tribunal competente; y le avisará telefónicamente, o por cualquier medio electrónico;</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ListParagraph"/>
        <w:numPr>
          <w:ilvl w:val="0"/>
          <w:numId w:val="334"/>
        </w:numPr>
        <w:tabs>
          <w:tab w:pos="1191" w:val="left" w:leader="none"/>
          <w:tab w:pos="1195" w:val="left" w:leader="none"/>
        </w:tabs>
        <w:spacing w:line="240" w:lineRule="auto" w:before="0" w:after="0"/>
        <w:ind w:left="1195" w:right="337" w:hanging="569"/>
        <w:jc w:val="both"/>
        <w:rPr>
          <w:sz w:val="20"/>
        </w:rPr>
      </w:pPr>
      <w:r>
        <w:rPr>
          <w:sz w:val="20"/>
        </w:rPr>
        <w:t>El aviso para la suspensión de las labores deberá darse, por lo menos, con seis días de anticipación a la fecha señalada para suspender el trabajo y con diez días de anticipación cuando se trate de servicios públicos, observándose las disposiciones legales de esta Ley. El término se contará a partir del día y hora en que el patrón quede notificado.</w:t>
      </w:r>
    </w:p>
    <w:p>
      <w:pPr>
        <w:pStyle w:val="ListParagraph"/>
        <w:numPr>
          <w:ilvl w:val="0"/>
          <w:numId w:val="334"/>
        </w:numPr>
        <w:tabs>
          <w:tab w:pos="1195" w:val="left" w:leader="none"/>
        </w:tabs>
        <w:spacing w:line="240" w:lineRule="auto" w:before="230" w:after="0"/>
        <w:ind w:left="1195" w:right="336" w:hanging="569"/>
        <w:jc w:val="both"/>
        <w:rPr>
          <w:sz w:val="20"/>
        </w:rPr>
      </w:pPr>
      <w:r>
        <w:rPr>
          <w:sz w:val="20"/>
        </w:rPr>
        <w:t>Cuando el procedimiento de huelga tenga por objeto obtener del patrón o patrones la celebración del contrato colectivo de trabajo en términos del artículo 450, fracción II de esta</w:t>
      </w:r>
      <w:r>
        <w:rPr>
          <w:spacing w:val="40"/>
          <w:sz w:val="20"/>
        </w:rPr>
        <w:t> </w:t>
      </w:r>
      <w:r>
        <w:rPr>
          <w:sz w:val="20"/>
        </w:rPr>
        <w:t>Ley, se</w:t>
      </w:r>
      <w:r>
        <w:rPr>
          <w:spacing w:val="-2"/>
          <w:sz w:val="20"/>
        </w:rPr>
        <w:t> </w:t>
      </w:r>
      <w:r>
        <w:rPr>
          <w:sz w:val="20"/>
        </w:rPr>
        <w:t>deberá</w:t>
      </w:r>
      <w:r>
        <w:rPr>
          <w:spacing w:val="-2"/>
          <w:sz w:val="20"/>
        </w:rPr>
        <w:t> </w:t>
      </w:r>
      <w:r>
        <w:rPr>
          <w:sz w:val="20"/>
        </w:rPr>
        <w:t>anexar</w:t>
      </w:r>
      <w:r>
        <w:rPr>
          <w:spacing w:val="-1"/>
          <w:sz w:val="20"/>
        </w:rPr>
        <w:t> </w:t>
      </w:r>
      <w:r>
        <w:rPr>
          <w:sz w:val="20"/>
        </w:rPr>
        <w:t>al</w:t>
      </w:r>
      <w:r>
        <w:rPr>
          <w:spacing w:val="-3"/>
          <w:sz w:val="20"/>
        </w:rPr>
        <w:t> </w:t>
      </w:r>
      <w:r>
        <w:rPr>
          <w:sz w:val="20"/>
        </w:rPr>
        <w:t>emplazamiento</w:t>
      </w:r>
      <w:r>
        <w:rPr>
          <w:spacing w:val="-2"/>
          <w:sz w:val="20"/>
        </w:rPr>
        <w:t> </w:t>
      </w:r>
      <w:r>
        <w:rPr>
          <w:sz w:val="20"/>
        </w:rPr>
        <w:t>a huelga la Constancia de</w:t>
      </w:r>
      <w:r>
        <w:rPr>
          <w:spacing w:val="-3"/>
          <w:sz w:val="20"/>
        </w:rPr>
        <w:t> </w:t>
      </w:r>
      <w:r>
        <w:rPr>
          <w:sz w:val="20"/>
        </w:rPr>
        <w:t>Representatividad</w:t>
      </w:r>
      <w:r>
        <w:rPr>
          <w:spacing w:val="-2"/>
          <w:sz w:val="20"/>
        </w:rPr>
        <w:t> </w:t>
      </w:r>
      <w:r>
        <w:rPr>
          <w:sz w:val="20"/>
        </w:rPr>
        <w:t>expedida por</w:t>
      </w:r>
      <w:r>
        <w:rPr>
          <w:spacing w:val="-1"/>
          <w:sz w:val="20"/>
        </w:rPr>
        <w:t> </w:t>
      </w:r>
      <w:r>
        <w:rPr>
          <w:sz w:val="20"/>
        </w:rPr>
        <w:t>el</w:t>
      </w:r>
      <w:r>
        <w:rPr>
          <w:spacing w:val="-3"/>
          <w:sz w:val="20"/>
        </w:rPr>
        <w:t> </w:t>
      </w:r>
      <w:r>
        <w:rPr>
          <w:sz w:val="20"/>
        </w:rPr>
        <w:t>Centro</w:t>
      </w:r>
      <w:r>
        <w:rPr>
          <w:spacing w:val="-2"/>
          <w:sz w:val="20"/>
        </w:rPr>
        <w:t> </w:t>
      </w:r>
      <w:r>
        <w:rPr>
          <w:sz w:val="20"/>
        </w:rPr>
        <w:t>Federal de</w:t>
      </w:r>
      <w:r>
        <w:rPr>
          <w:spacing w:val="-3"/>
          <w:sz w:val="20"/>
        </w:rPr>
        <w:t> </w:t>
      </w:r>
      <w:r>
        <w:rPr>
          <w:sz w:val="20"/>
        </w:rPr>
        <w:t>Conciliación y</w:t>
      </w:r>
      <w:r>
        <w:rPr>
          <w:spacing w:val="-3"/>
          <w:sz w:val="20"/>
        </w:rPr>
        <w:t> </w:t>
      </w:r>
      <w:r>
        <w:rPr>
          <w:sz w:val="20"/>
        </w:rPr>
        <w:t>Registro</w:t>
      </w:r>
      <w:r>
        <w:rPr>
          <w:spacing w:val="-2"/>
          <w:sz w:val="20"/>
        </w:rPr>
        <w:t> </w:t>
      </w:r>
      <w:r>
        <w:rPr>
          <w:sz w:val="20"/>
        </w:rPr>
        <w:t>Laboral,</w:t>
      </w:r>
      <w:r>
        <w:rPr>
          <w:spacing w:val="-2"/>
          <w:sz w:val="20"/>
        </w:rPr>
        <w:t> </w:t>
      </w:r>
      <w:r>
        <w:rPr>
          <w:sz w:val="20"/>
        </w:rPr>
        <w:t>conforme</w:t>
      </w:r>
      <w:r>
        <w:rPr>
          <w:spacing w:val="-2"/>
          <w:sz w:val="20"/>
        </w:rPr>
        <w:t> </w:t>
      </w:r>
      <w:r>
        <w:rPr>
          <w:sz w:val="20"/>
        </w:rPr>
        <w:t>al</w:t>
      </w:r>
      <w:r>
        <w:rPr>
          <w:spacing w:val="-3"/>
          <w:sz w:val="20"/>
        </w:rPr>
        <w:t> </w:t>
      </w:r>
      <w:r>
        <w:rPr>
          <w:sz w:val="20"/>
        </w:rPr>
        <w:t>procedimiento</w:t>
      </w:r>
      <w:r>
        <w:rPr>
          <w:spacing w:val="-2"/>
          <w:sz w:val="20"/>
        </w:rPr>
        <w:t> </w:t>
      </w:r>
      <w:r>
        <w:rPr>
          <w:sz w:val="20"/>
        </w:rPr>
        <w:t>establecido en el artículo 390 Bis;</w:t>
      </w:r>
    </w:p>
    <w:p>
      <w:pPr>
        <w:pStyle w:val="ListParagraph"/>
        <w:spacing w:after="0" w:line="240" w:lineRule="auto"/>
        <w:jc w:val="both"/>
        <w:rPr>
          <w:sz w:val="20"/>
        </w:rPr>
        <w:sectPr>
          <w:pgSz w:w="12240" w:h="15840"/>
          <w:pgMar w:header="724" w:footer="712" w:top="1880" w:bottom="900" w:left="1080" w:right="1080"/>
        </w:sectPr>
      </w:pPr>
    </w:p>
    <w:p>
      <w:pPr>
        <w:pStyle w:val="BodyText"/>
        <w:spacing w:before="109"/>
        <w:rPr>
          <w:sz w:val="16"/>
        </w:rPr>
      </w:pP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34"/>
        </w:numPr>
        <w:tabs>
          <w:tab w:pos="1195" w:val="left" w:leader="none"/>
        </w:tabs>
        <w:spacing w:line="240" w:lineRule="auto" w:before="0" w:after="0"/>
        <w:ind w:left="1195" w:right="340" w:hanging="569"/>
        <w:jc w:val="both"/>
        <w:rPr>
          <w:sz w:val="20"/>
        </w:rPr>
      </w:pPr>
      <w:r>
        <w:rPr>
          <w:sz w:val="20"/>
        </w:rPr>
        <w:t>Cuando el procedimiento de huelga tenga por objeto obtener del patrón o patrones la celebración</w:t>
      </w:r>
      <w:r>
        <w:rPr>
          <w:spacing w:val="-2"/>
          <w:sz w:val="20"/>
        </w:rPr>
        <w:t> </w:t>
      </w:r>
      <w:r>
        <w:rPr>
          <w:sz w:val="20"/>
        </w:rPr>
        <w:t>del</w:t>
      </w:r>
      <w:r>
        <w:rPr>
          <w:spacing w:val="-2"/>
          <w:sz w:val="20"/>
        </w:rPr>
        <w:t> </w:t>
      </w:r>
      <w:r>
        <w:rPr>
          <w:sz w:val="20"/>
        </w:rPr>
        <w:t>contrato-ley</w:t>
      </w:r>
      <w:r>
        <w:rPr>
          <w:spacing w:val="-2"/>
          <w:sz w:val="20"/>
        </w:rPr>
        <w:t> </w:t>
      </w:r>
      <w:r>
        <w:rPr>
          <w:sz w:val="20"/>
        </w:rPr>
        <w:t>en</w:t>
      </w:r>
      <w:r>
        <w:rPr>
          <w:spacing w:val="-2"/>
          <w:sz w:val="20"/>
        </w:rPr>
        <w:t> </w:t>
      </w:r>
      <w:r>
        <w:rPr>
          <w:sz w:val="20"/>
        </w:rPr>
        <w:t>términos</w:t>
      </w:r>
      <w:r>
        <w:rPr>
          <w:spacing w:val="-1"/>
          <w:sz w:val="20"/>
        </w:rPr>
        <w:t> </w:t>
      </w:r>
      <w:r>
        <w:rPr>
          <w:sz w:val="20"/>
        </w:rPr>
        <w:t>de</w:t>
      </w:r>
      <w:r>
        <w:rPr>
          <w:spacing w:val="-2"/>
          <w:sz w:val="20"/>
        </w:rPr>
        <w:t> </w:t>
      </w:r>
      <w:r>
        <w:rPr>
          <w:sz w:val="20"/>
        </w:rPr>
        <w:t>la</w:t>
      </w:r>
      <w:r>
        <w:rPr>
          <w:spacing w:val="-2"/>
          <w:sz w:val="20"/>
        </w:rPr>
        <w:t> </w:t>
      </w:r>
      <w:r>
        <w:rPr>
          <w:sz w:val="20"/>
        </w:rPr>
        <w:t>fracción</w:t>
      </w:r>
      <w:r>
        <w:rPr>
          <w:spacing w:val="-2"/>
          <w:sz w:val="20"/>
        </w:rPr>
        <w:t> </w:t>
      </w:r>
      <w:r>
        <w:rPr>
          <w:sz w:val="20"/>
        </w:rPr>
        <w:t>III</w:t>
      </w:r>
      <w:r>
        <w:rPr>
          <w:spacing w:val="-2"/>
          <w:sz w:val="20"/>
        </w:rPr>
        <w:t> </w:t>
      </w:r>
      <w:r>
        <w:rPr>
          <w:sz w:val="20"/>
        </w:rPr>
        <w:t>del</w:t>
      </w:r>
      <w:r>
        <w:rPr>
          <w:spacing w:val="-2"/>
          <w:sz w:val="20"/>
        </w:rPr>
        <w:t> </w:t>
      </w:r>
      <w:r>
        <w:rPr>
          <w:sz w:val="20"/>
        </w:rPr>
        <w:t>artículo</w:t>
      </w:r>
      <w:r>
        <w:rPr>
          <w:spacing w:val="-2"/>
          <w:sz w:val="20"/>
        </w:rPr>
        <w:t> </w:t>
      </w:r>
      <w:r>
        <w:rPr>
          <w:sz w:val="20"/>
        </w:rPr>
        <w:t>450</w:t>
      </w:r>
      <w:r>
        <w:rPr>
          <w:spacing w:val="-2"/>
          <w:sz w:val="20"/>
        </w:rPr>
        <w:t> </w:t>
      </w:r>
      <w:r>
        <w:rPr>
          <w:sz w:val="20"/>
        </w:rPr>
        <w:t>de</w:t>
      </w:r>
      <w:r>
        <w:rPr>
          <w:spacing w:val="-2"/>
          <w:sz w:val="20"/>
        </w:rPr>
        <w:t> </w:t>
      </w:r>
      <w:r>
        <w:rPr>
          <w:sz w:val="20"/>
        </w:rPr>
        <w:t>esta</w:t>
      </w:r>
      <w:r>
        <w:rPr>
          <w:spacing w:val="-2"/>
          <w:sz w:val="20"/>
        </w:rPr>
        <w:t> </w:t>
      </w:r>
      <w:r>
        <w:rPr>
          <w:sz w:val="20"/>
        </w:rPr>
        <w:t>Ley,</w:t>
      </w:r>
      <w:r>
        <w:rPr>
          <w:spacing w:val="-2"/>
          <w:sz w:val="20"/>
        </w:rPr>
        <w:t> </w:t>
      </w:r>
      <w:r>
        <w:rPr>
          <w:sz w:val="20"/>
        </w:rPr>
        <w:t>se</w:t>
      </w:r>
      <w:r>
        <w:rPr>
          <w:spacing w:val="-2"/>
          <w:sz w:val="20"/>
        </w:rPr>
        <w:t> </w:t>
      </w:r>
      <w:r>
        <w:rPr>
          <w:sz w:val="20"/>
        </w:rPr>
        <w:t>deberá anexar al emplazamiento a huelga la Constancia de Representatividad, expedida por el Centro Federal de Conciliación y Registro Laboral o deberá de mencionarse que se tiene celebrado contrato colectivo de trabajo en la empresa, señalando el número o folio de su registro ante el Centro Federal de Conciliación y Registro Laboral, 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34"/>
        </w:numPr>
        <w:tabs>
          <w:tab w:pos="1195" w:val="left" w:leader="none"/>
        </w:tabs>
        <w:spacing w:line="240" w:lineRule="auto" w:before="0" w:after="0"/>
        <w:ind w:left="1195" w:right="334" w:hanging="569"/>
        <w:jc w:val="both"/>
        <w:rPr>
          <w:sz w:val="20"/>
        </w:rPr>
      </w:pPr>
      <w:r>
        <w:rPr>
          <w:sz w:val="20"/>
        </w:rPr>
        <w:t>Cuando</w:t>
      </w:r>
      <w:r>
        <w:rPr>
          <w:spacing w:val="-3"/>
          <w:sz w:val="20"/>
        </w:rPr>
        <w:t> </w:t>
      </w:r>
      <w:r>
        <w:rPr>
          <w:sz w:val="20"/>
        </w:rPr>
        <w:t>el</w:t>
      </w:r>
      <w:r>
        <w:rPr>
          <w:spacing w:val="-3"/>
          <w:sz w:val="20"/>
        </w:rPr>
        <w:t> </w:t>
      </w:r>
      <w:r>
        <w:rPr>
          <w:sz w:val="20"/>
        </w:rPr>
        <w:t>procedimiento</w:t>
      </w:r>
      <w:r>
        <w:rPr>
          <w:spacing w:val="-2"/>
          <w:sz w:val="20"/>
        </w:rPr>
        <w:t> </w:t>
      </w:r>
      <w:r>
        <w:rPr>
          <w:sz w:val="20"/>
        </w:rPr>
        <w:t>de</w:t>
      </w:r>
      <w:r>
        <w:rPr>
          <w:spacing w:val="-4"/>
          <w:sz w:val="20"/>
        </w:rPr>
        <w:t> </w:t>
      </w:r>
      <w:r>
        <w:rPr>
          <w:sz w:val="20"/>
        </w:rPr>
        <w:t>huelga</w:t>
      </w:r>
      <w:r>
        <w:rPr>
          <w:spacing w:val="-3"/>
          <w:sz w:val="20"/>
        </w:rPr>
        <w:t> </w:t>
      </w:r>
      <w:r>
        <w:rPr>
          <w:sz w:val="20"/>
        </w:rPr>
        <w:t>tenga</w:t>
      </w:r>
      <w:r>
        <w:rPr>
          <w:spacing w:val="-3"/>
          <w:sz w:val="20"/>
        </w:rPr>
        <w:t> </w:t>
      </w:r>
      <w:r>
        <w:rPr>
          <w:sz w:val="20"/>
        </w:rPr>
        <w:t>por</w:t>
      </w:r>
      <w:r>
        <w:rPr>
          <w:spacing w:val="-1"/>
          <w:sz w:val="20"/>
        </w:rPr>
        <w:t> </w:t>
      </w:r>
      <w:r>
        <w:rPr>
          <w:sz w:val="20"/>
        </w:rPr>
        <w:t>objeto</w:t>
      </w:r>
      <w:r>
        <w:rPr>
          <w:spacing w:val="-2"/>
          <w:sz w:val="20"/>
        </w:rPr>
        <w:t> </w:t>
      </w:r>
      <w:r>
        <w:rPr>
          <w:sz w:val="20"/>
        </w:rPr>
        <w:t>los</w:t>
      </w:r>
      <w:r>
        <w:rPr>
          <w:spacing w:val="-3"/>
          <w:sz w:val="20"/>
        </w:rPr>
        <w:t> </w:t>
      </w:r>
      <w:r>
        <w:rPr>
          <w:sz w:val="20"/>
        </w:rPr>
        <w:t>contemplados</w:t>
      </w:r>
      <w:r>
        <w:rPr>
          <w:spacing w:val="-3"/>
          <w:sz w:val="20"/>
        </w:rPr>
        <w:t> </w:t>
      </w:r>
      <w:r>
        <w:rPr>
          <w:sz w:val="20"/>
        </w:rPr>
        <w:t>en</w:t>
      </w:r>
      <w:r>
        <w:rPr>
          <w:spacing w:val="-2"/>
          <w:sz w:val="20"/>
        </w:rPr>
        <w:t> </w:t>
      </w:r>
      <w:r>
        <w:rPr>
          <w:sz w:val="20"/>
        </w:rPr>
        <w:t>las</w:t>
      </w:r>
      <w:r>
        <w:rPr>
          <w:spacing w:val="-3"/>
          <w:sz w:val="20"/>
        </w:rPr>
        <w:t> </w:t>
      </w:r>
      <w:r>
        <w:rPr>
          <w:sz w:val="20"/>
        </w:rPr>
        <w:t>fracciones</w:t>
      </w:r>
      <w:r>
        <w:rPr>
          <w:spacing w:val="-3"/>
          <w:sz w:val="20"/>
        </w:rPr>
        <w:t> </w:t>
      </w:r>
      <w:r>
        <w:rPr>
          <w:sz w:val="20"/>
        </w:rPr>
        <w:t>I,</w:t>
      </w:r>
      <w:r>
        <w:rPr>
          <w:spacing w:val="-2"/>
          <w:sz w:val="20"/>
        </w:rPr>
        <w:t> </w:t>
      </w:r>
      <w:r>
        <w:rPr>
          <w:sz w:val="20"/>
        </w:rPr>
        <w:t>IV,</w:t>
      </w:r>
      <w:r>
        <w:rPr>
          <w:spacing w:val="-2"/>
          <w:sz w:val="20"/>
        </w:rPr>
        <w:t> </w:t>
      </w:r>
      <w:r>
        <w:rPr>
          <w:sz w:val="20"/>
        </w:rPr>
        <w:t>V, VI o VII del</w:t>
      </w:r>
      <w:r>
        <w:rPr>
          <w:spacing w:val="-1"/>
          <w:sz w:val="20"/>
        </w:rPr>
        <w:t> </w:t>
      </w:r>
      <w:r>
        <w:rPr>
          <w:sz w:val="20"/>
        </w:rPr>
        <w:t>artículo 450 de esta Ley, así como el previsto en la fracción II de dicho artículo en lo que se refiere a la revisión contractual, para acreditar que el sindicato emplazante es el titular del contrato colectivo de trabajo o el administrador del contrato ley, se deberá anexar al emplazamiento a huelga el Certificado de Registro del contrato colectivo expedido por el Centro Federal de Conciliación y Registro Laboral o el acuse de recibo del escrito en el que se solicitó dicho Certificado.</w:t>
      </w:r>
    </w:p>
    <w:p>
      <w:pPr>
        <w:spacing w:before="1"/>
        <w:ind w:left="7302" w:right="333" w:hanging="6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6"/>
        <w:rPr>
          <w:rFonts w:ascii="Times New Roman"/>
          <w:i/>
          <w:sz w:val="16"/>
        </w:rPr>
      </w:pPr>
    </w:p>
    <w:p>
      <w:pPr>
        <w:pStyle w:val="BodyText"/>
        <w:spacing w:line="242" w:lineRule="auto"/>
        <w:ind w:left="338" w:right="337" w:firstLine="288"/>
        <w:jc w:val="both"/>
      </w:pPr>
      <w:bookmarkStart w:name="Artículo_921" w:id="1165"/>
      <w:bookmarkEnd w:id="1165"/>
      <w:r>
        <w:rPr/>
      </w:r>
      <w:r>
        <w:rPr>
          <w:rFonts w:ascii="Arial" w:hAnsi="Arial"/>
          <w:b/>
        </w:rPr>
        <w:t>Artículo 921.- </w:t>
      </w:r>
      <w:r>
        <w:rPr/>
        <w:t>El Tribunal o las autoridades mencionadas en la fracción II del artículo anterior, bajo su más estricta responsabilidad harán llegar al patrón la copia del escrito de emplazamiento dentro de las cuarenta y ocho horas siguientes a la de su recibo.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2" w:firstLine="288"/>
        <w:jc w:val="both"/>
      </w:pPr>
      <w:r>
        <w:rPr/>
        <w:t>La notificación producirá el efecto de constituir al patrón, por todo el término del aviso, en depositario de la empresa o establecimiento afectado por la huelga, con las atribuciones y responsabilidades inherentes al cargo.</w:t>
      </w:r>
    </w:p>
    <w:p>
      <w:pPr>
        <w:pStyle w:val="BodyText"/>
        <w:spacing w:before="2"/>
      </w:pPr>
    </w:p>
    <w:p>
      <w:pPr>
        <w:pStyle w:val="BodyText"/>
        <w:ind w:left="338" w:right="337" w:firstLine="288"/>
        <w:jc w:val="both"/>
      </w:pPr>
      <w:r>
        <w:rPr/>
        <w:t>A petición de parte, los Tribunales, dentro de las cuarenta y ocho horas siguientes a que le sea solicitado, expedirán la certificación de la existencia o no de un emplazamiento</w:t>
      </w:r>
      <w:r>
        <w:rPr>
          <w:spacing w:val="40"/>
        </w:rPr>
        <w:t> </w:t>
      </w:r>
      <w:r>
        <w:rPr/>
        <w:t>a huelga promovido contra un centro de trabajo.</w:t>
      </w:r>
    </w:p>
    <w:p>
      <w:pPr>
        <w:spacing w:line="240" w:lineRule="auto" w:before="0"/>
        <w:ind w:left="7302" w:right="333" w:firstLine="1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2"/>
        <w:rPr>
          <w:rFonts w:ascii="Times New Roman"/>
          <w:i/>
          <w:sz w:val="16"/>
        </w:rPr>
      </w:pPr>
    </w:p>
    <w:p>
      <w:pPr>
        <w:pStyle w:val="BodyText"/>
        <w:ind w:left="338" w:right="336" w:firstLine="288"/>
        <w:jc w:val="both"/>
      </w:pPr>
      <w:bookmarkStart w:name="Artículo_921_Bis" w:id="1166"/>
      <w:bookmarkEnd w:id="1166"/>
      <w:r>
        <w:rPr/>
      </w:r>
      <w:r>
        <w:rPr>
          <w:rFonts w:ascii="Arial" w:hAnsi="Arial"/>
          <w:b/>
        </w:rPr>
        <w:t>Artículo 921 Bis.- </w:t>
      </w:r>
      <w:r>
        <w:rPr/>
        <w:t>Dentro de las veinticuatro horas siguientes a la que sea presentado el emplazamiento a huelga, el Tribunal o las autoridades mencionadas en la fracción II del artículo 920 de esta Ley, notificarán al Centro de Conciliación competente para que intervenga durante el período de prehuelga a fin de avenir a las partes; éste tendrá facultad de citarlas dentro del período de prehuelga para negociar y celebrar pláticas conciliatorias. Para este propósito, podrán asignar conciliadores ante el </w:t>
      </w:r>
      <w:r>
        <w:rPr>
          <w:spacing w:val="-2"/>
        </w:rPr>
        <w:t>Tribunal.</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338" w:firstLine="288"/>
      </w:pPr>
      <w:bookmarkStart w:name="Artículo_922" w:id="1167"/>
      <w:bookmarkEnd w:id="1167"/>
      <w:r>
        <w:rPr/>
      </w:r>
      <w:r>
        <w:rPr>
          <w:rFonts w:ascii="Arial" w:hAnsi="Arial"/>
          <w:b/>
        </w:rPr>
        <w:t>Artículo 922.- </w:t>
      </w:r>
      <w:r>
        <w:rPr/>
        <w:t>El patrón, dentro de las cuarenta y ocho horas siguientes a la de la notificación, deberá presentar su contestación por escrito ante el Tribunal.</w:t>
      </w:r>
    </w:p>
    <w:p>
      <w:pPr>
        <w:spacing w:line="183"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4" w:firstLine="288"/>
        <w:jc w:val="both"/>
      </w:pPr>
      <w:bookmarkStart w:name="Artículo_923" w:id="1168"/>
      <w:bookmarkEnd w:id="1168"/>
      <w:r>
        <w:rPr/>
      </w:r>
      <w:r>
        <w:rPr>
          <w:rFonts w:ascii="Arial" w:hAnsi="Arial"/>
          <w:b/>
        </w:rPr>
        <w:t>Artículo 923.- </w:t>
      </w:r>
      <w:r>
        <w:rPr/>
        <w:t>No se dará trámite al escrito de emplazamiento de huelga cuando éste no sea formulado conforme a los requisitos del artículo 920 o sea presentado por un sindicato que no sea el titular del contrato colectivo de trabajo, o el administrador del contrato ley, o cuando se pretenda exigir la firma de un contrato colectivo, no obstante existir ya uno depositado ante el Centro Federal de Conciliación y Registro Laboral, salvo que dicho contrato no haya sido revisado en los últimos cuatro años. El Tribunal, antes de iniciar el trámite de cualquier emplazamiento a huelga, deberá cerciorarse de lo anterior y notificarle por escrito la resolución al promovente.</w:t>
      </w:r>
    </w:p>
    <w:p>
      <w:pPr>
        <w:spacing w:line="182"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2" w:lineRule="exact"/>
        <w:jc w:val="lef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3"/>
        <w:rPr>
          <w:rFonts w:ascii="Times New Roman"/>
          <w:i/>
        </w:rPr>
      </w:pPr>
    </w:p>
    <w:p>
      <w:pPr>
        <w:pStyle w:val="BodyText"/>
        <w:spacing w:line="242" w:lineRule="auto"/>
        <w:ind w:left="338" w:right="339" w:firstLine="288"/>
        <w:jc w:val="both"/>
      </w:pPr>
      <w:bookmarkStart w:name="Artículo_924" w:id="1169"/>
      <w:bookmarkEnd w:id="1169"/>
      <w:r>
        <w:rPr/>
      </w:r>
      <w:r>
        <w:rPr>
          <w:rFonts w:ascii="Arial" w:hAnsi="Arial"/>
          <w:b/>
        </w:rPr>
        <w:t>Artículo 924.- </w:t>
      </w:r>
      <w:r>
        <w:rPr/>
        <w:t>A partir de la notificación del pliego de peticiones con emplazamiento a huelga, deberá suspenderse toda ejecución de sentencia alguna, así como tampoco podrá practicarse embargo, aseguramiento, diligencia o desahucio, en contra de la empresa o establecimiento, ni secuestrar bienes del local en que se encuentren instalados, salvo cuando antes de estallar la huelga se trate de:</w:t>
      </w:r>
    </w:p>
    <w:p>
      <w:pPr>
        <w:pStyle w:val="ListParagraph"/>
        <w:numPr>
          <w:ilvl w:val="0"/>
          <w:numId w:val="335"/>
        </w:numPr>
        <w:tabs>
          <w:tab w:pos="1195" w:val="left" w:leader="none"/>
        </w:tabs>
        <w:spacing w:line="242" w:lineRule="auto" w:before="221" w:after="0"/>
        <w:ind w:left="1195" w:right="340" w:hanging="569"/>
        <w:jc w:val="left"/>
        <w:rPr>
          <w:sz w:val="20"/>
        </w:rPr>
      </w:pPr>
      <w:r>
        <w:rPr>
          <w:sz w:val="20"/>
        </w:rPr>
        <w:t>Asegurar</w:t>
      </w:r>
      <w:r>
        <w:rPr>
          <w:spacing w:val="35"/>
          <w:sz w:val="20"/>
        </w:rPr>
        <w:t> </w:t>
      </w:r>
      <w:r>
        <w:rPr>
          <w:sz w:val="20"/>
        </w:rPr>
        <w:t>los</w:t>
      </w:r>
      <w:r>
        <w:rPr>
          <w:spacing w:val="32"/>
          <w:sz w:val="20"/>
        </w:rPr>
        <w:t> </w:t>
      </w:r>
      <w:r>
        <w:rPr>
          <w:sz w:val="20"/>
        </w:rPr>
        <w:t>derechos</w:t>
      </w:r>
      <w:r>
        <w:rPr>
          <w:spacing w:val="33"/>
          <w:sz w:val="20"/>
        </w:rPr>
        <w:t> </w:t>
      </w:r>
      <w:r>
        <w:rPr>
          <w:sz w:val="20"/>
        </w:rPr>
        <w:t>del</w:t>
      </w:r>
      <w:r>
        <w:rPr>
          <w:spacing w:val="33"/>
          <w:sz w:val="20"/>
        </w:rPr>
        <w:t> </w:t>
      </w:r>
      <w:r>
        <w:rPr>
          <w:sz w:val="20"/>
        </w:rPr>
        <w:t>trabajador,</w:t>
      </w:r>
      <w:r>
        <w:rPr>
          <w:spacing w:val="32"/>
          <w:sz w:val="20"/>
        </w:rPr>
        <w:t> </w:t>
      </w:r>
      <w:r>
        <w:rPr>
          <w:sz w:val="20"/>
        </w:rPr>
        <w:t>especialmente</w:t>
      </w:r>
      <w:r>
        <w:rPr>
          <w:spacing w:val="33"/>
          <w:sz w:val="20"/>
        </w:rPr>
        <w:t> </w:t>
      </w:r>
      <w:r>
        <w:rPr>
          <w:sz w:val="20"/>
        </w:rPr>
        <w:t>indemnizaciones,</w:t>
      </w:r>
      <w:r>
        <w:rPr>
          <w:spacing w:val="32"/>
          <w:sz w:val="20"/>
        </w:rPr>
        <w:t> </w:t>
      </w:r>
      <w:r>
        <w:rPr>
          <w:sz w:val="20"/>
        </w:rPr>
        <w:t>salarios,</w:t>
      </w:r>
      <w:r>
        <w:rPr>
          <w:spacing w:val="32"/>
          <w:sz w:val="20"/>
        </w:rPr>
        <w:t> </w:t>
      </w:r>
      <w:r>
        <w:rPr>
          <w:sz w:val="20"/>
        </w:rPr>
        <w:t>pensiones</w:t>
      </w:r>
      <w:r>
        <w:rPr>
          <w:spacing w:val="36"/>
          <w:sz w:val="20"/>
        </w:rPr>
        <w:t> </w:t>
      </w:r>
      <w:r>
        <w:rPr>
          <w:sz w:val="20"/>
        </w:rPr>
        <w:t>y demás prestaciones devengadas, hasta por el importe de dos años de salarios del trabajador;</w:t>
      </w:r>
    </w:p>
    <w:p>
      <w:pPr>
        <w:pStyle w:val="ListParagraph"/>
        <w:numPr>
          <w:ilvl w:val="0"/>
          <w:numId w:val="335"/>
        </w:numPr>
        <w:tabs>
          <w:tab w:pos="1195" w:val="left" w:leader="none"/>
        </w:tabs>
        <w:spacing w:line="240" w:lineRule="auto" w:before="226" w:after="0"/>
        <w:ind w:left="1195" w:right="0" w:hanging="569"/>
        <w:jc w:val="left"/>
        <w:rPr>
          <w:sz w:val="20"/>
        </w:rPr>
      </w:pPr>
      <w:r>
        <w:rPr>
          <w:sz w:val="20"/>
        </w:rPr>
        <w:t>Créditos</w:t>
      </w:r>
      <w:r>
        <w:rPr>
          <w:spacing w:val="-5"/>
          <w:sz w:val="20"/>
        </w:rPr>
        <w:t> </w:t>
      </w:r>
      <w:r>
        <w:rPr>
          <w:sz w:val="20"/>
        </w:rPr>
        <w:t>derivados</w:t>
      </w:r>
      <w:r>
        <w:rPr>
          <w:spacing w:val="-5"/>
          <w:sz w:val="20"/>
        </w:rPr>
        <w:t> </w:t>
      </w:r>
      <w:r>
        <w:rPr>
          <w:sz w:val="20"/>
        </w:rPr>
        <w:t>de</w:t>
      </w:r>
      <w:r>
        <w:rPr>
          <w:spacing w:val="-6"/>
          <w:sz w:val="20"/>
        </w:rPr>
        <w:t> </w:t>
      </w:r>
      <w:r>
        <w:rPr>
          <w:sz w:val="20"/>
        </w:rPr>
        <w:t>la</w:t>
      </w:r>
      <w:r>
        <w:rPr>
          <w:spacing w:val="-6"/>
          <w:sz w:val="20"/>
        </w:rPr>
        <w:t> </w:t>
      </w:r>
      <w:r>
        <w:rPr>
          <w:sz w:val="20"/>
        </w:rPr>
        <w:t>falta</w:t>
      </w:r>
      <w:r>
        <w:rPr>
          <w:spacing w:val="-7"/>
          <w:sz w:val="20"/>
        </w:rPr>
        <w:t> </w:t>
      </w:r>
      <w:r>
        <w:rPr>
          <w:sz w:val="20"/>
        </w:rPr>
        <w:t>de</w:t>
      </w:r>
      <w:r>
        <w:rPr>
          <w:spacing w:val="-4"/>
          <w:sz w:val="20"/>
        </w:rPr>
        <w:t> </w:t>
      </w:r>
      <w:r>
        <w:rPr>
          <w:sz w:val="20"/>
        </w:rPr>
        <w:t>pago</w:t>
      </w:r>
      <w:r>
        <w:rPr>
          <w:spacing w:val="-7"/>
          <w:sz w:val="20"/>
        </w:rPr>
        <w:t> </w:t>
      </w:r>
      <w:r>
        <w:rPr>
          <w:sz w:val="20"/>
        </w:rPr>
        <w:t>de</w:t>
      </w:r>
      <w:r>
        <w:rPr>
          <w:spacing w:val="-6"/>
          <w:sz w:val="20"/>
        </w:rPr>
        <w:t> </w:t>
      </w:r>
      <w:r>
        <w:rPr>
          <w:sz w:val="20"/>
        </w:rPr>
        <w:t>las</w:t>
      </w:r>
      <w:r>
        <w:rPr>
          <w:spacing w:val="-5"/>
          <w:sz w:val="20"/>
        </w:rPr>
        <w:t> </w:t>
      </w:r>
      <w:r>
        <w:rPr>
          <w:sz w:val="20"/>
        </w:rPr>
        <w:t>cuotas</w:t>
      </w:r>
      <w:r>
        <w:rPr>
          <w:spacing w:val="-3"/>
          <w:sz w:val="20"/>
        </w:rPr>
        <w:t> </w:t>
      </w:r>
      <w:r>
        <w:rPr>
          <w:sz w:val="20"/>
        </w:rPr>
        <w:t>al</w:t>
      </w:r>
      <w:r>
        <w:rPr>
          <w:spacing w:val="-5"/>
          <w:sz w:val="20"/>
        </w:rPr>
        <w:t> </w:t>
      </w:r>
      <w:r>
        <w:rPr>
          <w:sz w:val="20"/>
        </w:rPr>
        <w:t>Instituto</w:t>
      </w:r>
      <w:r>
        <w:rPr>
          <w:spacing w:val="-7"/>
          <w:sz w:val="20"/>
        </w:rPr>
        <w:t> </w:t>
      </w:r>
      <w:r>
        <w:rPr>
          <w:sz w:val="20"/>
        </w:rPr>
        <w:t>Mexicano</w:t>
      </w:r>
      <w:r>
        <w:rPr>
          <w:spacing w:val="-6"/>
          <w:sz w:val="20"/>
        </w:rPr>
        <w:t> </w:t>
      </w:r>
      <w:r>
        <w:rPr>
          <w:sz w:val="20"/>
        </w:rPr>
        <w:t>del</w:t>
      </w:r>
      <w:r>
        <w:rPr>
          <w:spacing w:val="-5"/>
          <w:sz w:val="20"/>
        </w:rPr>
        <w:t> </w:t>
      </w:r>
      <w:r>
        <w:rPr>
          <w:sz w:val="20"/>
        </w:rPr>
        <w:t>Seguro</w:t>
      </w:r>
      <w:r>
        <w:rPr>
          <w:spacing w:val="-6"/>
          <w:sz w:val="20"/>
        </w:rPr>
        <w:t> </w:t>
      </w:r>
      <w:r>
        <w:rPr>
          <w:spacing w:val="-2"/>
          <w:sz w:val="20"/>
        </w:rPr>
        <w:t>Social;</w:t>
      </w:r>
    </w:p>
    <w:p>
      <w:pPr>
        <w:pStyle w:val="BodyText"/>
        <w:spacing w:before="1"/>
      </w:pPr>
    </w:p>
    <w:p>
      <w:pPr>
        <w:pStyle w:val="ListParagraph"/>
        <w:numPr>
          <w:ilvl w:val="0"/>
          <w:numId w:val="335"/>
        </w:numPr>
        <w:tabs>
          <w:tab w:pos="1195" w:val="left" w:leader="none"/>
        </w:tabs>
        <w:spacing w:line="240" w:lineRule="auto" w:before="0" w:after="0"/>
        <w:ind w:left="1195" w:right="344" w:hanging="569"/>
        <w:jc w:val="left"/>
        <w:rPr>
          <w:sz w:val="20"/>
        </w:rPr>
      </w:pPr>
      <w:r>
        <w:rPr>
          <w:sz w:val="20"/>
        </w:rPr>
        <w:t>Asegurar el cobro de las aportaciones que el patrón tiene obligación de efectuar al Instituto del Fondo Nacional de la Vivienda de los Trabajadores; y</w:t>
      </w:r>
    </w:p>
    <w:p>
      <w:pPr>
        <w:pStyle w:val="BodyText"/>
      </w:pPr>
    </w:p>
    <w:p>
      <w:pPr>
        <w:pStyle w:val="ListParagraph"/>
        <w:numPr>
          <w:ilvl w:val="0"/>
          <w:numId w:val="335"/>
        </w:numPr>
        <w:tabs>
          <w:tab w:pos="1195" w:val="left" w:leader="none"/>
        </w:tabs>
        <w:spacing w:line="240" w:lineRule="auto" w:before="0" w:after="0"/>
        <w:ind w:left="1195" w:right="0" w:hanging="569"/>
        <w:jc w:val="left"/>
        <w:rPr>
          <w:sz w:val="20"/>
        </w:rPr>
      </w:pPr>
      <w:r>
        <w:rPr>
          <w:sz w:val="20"/>
        </w:rPr>
        <w:t>Los</w:t>
      </w:r>
      <w:r>
        <w:rPr>
          <w:spacing w:val="-7"/>
          <w:sz w:val="20"/>
        </w:rPr>
        <w:t> </w:t>
      </w:r>
      <w:r>
        <w:rPr>
          <w:sz w:val="20"/>
        </w:rPr>
        <w:t>demás</w:t>
      </w:r>
      <w:r>
        <w:rPr>
          <w:spacing w:val="-7"/>
          <w:sz w:val="20"/>
        </w:rPr>
        <w:t> </w:t>
      </w:r>
      <w:r>
        <w:rPr>
          <w:sz w:val="20"/>
        </w:rPr>
        <w:t>créditos</w:t>
      </w:r>
      <w:r>
        <w:rPr>
          <w:spacing w:val="-7"/>
          <w:sz w:val="20"/>
        </w:rPr>
        <w:t> </w:t>
      </w:r>
      <w:r>
        <w:rPr>
          <w:spacing w:val="-2"/>
          <w:sz w:val="20"/>
        </w:rPr>
        <w:t>fiscales.</w:t>
      </w:r>
    </w:p>
    <w:p>
      <w:pPr>
        <w:pStyle w:val="BodyText"/>
        <w:spacing w:before="3"/>
      </w:pPr>
    </w:p>
    <w:p>
      <w:pPr>
        <w:pStyle w:val="BodyText"/>
        <w:ind w:left="338" w:right="341" w:firstLine="288"/>
        <w:jc w:val="both"/>
      </w:pPr>
      <w:r>
        <w:rPr/>
        <w:t>Siempre serán preferentes los derechos de los trabajadores, sobre los créditos a que se refieran las fracciones II, III y IV de este precepto, y en todo caso las actuaciones relativas a los casos de excepción señaladas en las fracciones anteriores, se practicarán sin afectar el procedimiento de huelga.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338" w:right="342" w:firstLine="288"/>
        <w:jc w:val="both"/>
      </w:pPr>
      <w:bookmarkStart w:name="Artículo_925" w:id="1170"/>
      <w:bookmarkEnd w:id="1170"/>
      <w:r>
        <w:rPr/>
      </w:r>
      <w:r>
        <w:rPr>
          <w:rFonts w:ascii="Arial" w:hAnsi="Arial"/>
          <w:b/>
        </w:rPr>
        <w:t>Artículo 925.- </w:t>
      </w:r>
      <w:r>
        <w:rPr/>
        <w:t>Para los efectos de este Capítulo, se entiende por servicios públicos los de comunicaciones y transportes, los de luz y energía eléctrica, los de limpia, los de aprovechamiento y distribución de aguas destinadas al servicio de las poblaciones, los de gas, los sanitarios, los de hospitales,</w:t>
      </w:r>
      <w:r>
        <w:rPr>
          <w:spacing w:val="-4"/>
        </w:rPr>
        <w:t> </w:t>
      </w:r>
      <w:r>
        <w:rPr/>
        <w:t>los</w:t>
      </w:r>
      <w:r>
        <w:rPr>
          <w:spacing w:val="-3"/>
        </w:rPr>
        <w:t> </w:t>
      </w:r>
      <w:r>
        <w:rPr/>
        <w:t>de</w:t>
      </w:r>
      <w:r>
        <w:rPr>
          <w:spacing w:val="-4"/>
        </w:rPr>
        <w:t> </w:t>
      </w:r>
      <w:r>
        <w:rPr/>
        <w:t>cementerios y</w:t>
      </w:r>
      <w:r>
        <w:rPr>
          <w:spacing w:val="-5"/>
        </w:rPr>
        <w:t> </w:t>
      </w:r>
      <w:r>
        <w:rPr/>
        <w:t>los</w:t>
      </w:r>
      <w:r>
        <w:rPr>
          <w:spacing w:val="-3"/>
        </w:rPr>
        <w:t> </w:t>
      </w:r>
      <w:r>
        <w:rPr/>
        <w:t>de</w:t>
      </w:r>
      <w:r>
        <w:rPr>
          <w:spacing w:val="-2"/>
        </w:rPr>
        <w:t> </w:t>
      </w:r>
      <w:r>
        <w:rPr/>
        <w:t>alimentación,</w:t>
      </w:r>
      <w:r>
        <w:rPr>
          <w:spacing w:val="-2"/>
        </w:rPr>
        <w:t> </w:t>
      </w:r>
      <w:r>
        <w:rPr/>
        <w:t>cuando</w:t>
      </w:r>
      <w:r>
        <w:rPr>
          <w:spacing w:val="-4"/>
        </w:rPr>
        <w:t> </w:t>
      </w:r>
      <w:r>
        <w:rPr/>
        <w:t>se</w:t>
      </w:r>
      <w:r>
        <w:rPr>
          <w:spacing w:val="-2"/>
        </w:rPr>
        <w:t> </w:t>
      </w:r>
      <w:r>
        <w:rPr/>
        <w:t>refieran</w:t>
      </w:r>
      <w:r>
        <w:rPr>
          <w:spacing w:val="-2"/>
        </w:rPr>
        <w:t> </w:t>
      </w:r>
      <w:r>
        <w:rPr/>
        <w:t>a</w:t>
      </w:r>
      <w:r>
        <w:rPr>
          <w:spacing w:val="-2"/>
        </w:rPr>
        <w:t> </w:t>
      </w:r>
      <w:r>
        <w:rPr/>
        <w:t>artículos</w:t>
      </w:r>
      <w:r>
        <w:rPr>
          <w:spacing w:val="-3"/>
        </w:rPr>
        <w:t> </w:t>
      </w:r>
      <w:r>
        <w:rPr/>
        <w:t>de</w:t>
      </w:r>
      <w:r>
        <w:rPr>
          <w:spacing w:val="-3"/>
        </w:rPr>
        <w:t> </w:t>
      </w:r>
      <w:r>
        <w:rPr/>
        <w:t>primera</w:t>
      </w:r>
      <w:r>
        <w:rPr>
          <w:spacing w:val="-4"/>
        </w:rPr>
        <w:t> </w:t>
      </w:r>
      <w:r>
        <w:rPr/>
        <w:t>necesidad, siempre que en este último caso se afecte alguna rama completa del servicio.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ind w:left="338" w:right="346" w:firstLine="288"/>
        <w:jc w:val="both"/>
      </w:pPr>
      <w:bookmarkStart w:name="Artículo_926" w:id="1171"/>
      <w:bookmarkEnd w:id="1171"/>
      <w:r>
        <w:rPr/>
      </w:r>
      <w:r>
        <w:rPr>
          <w:rFonts w:ascii="Arial" w:hAnsi="Arial"/>
          <w:b/>
        </w:rPr>
        <w:t>Artículo 926.- </w:t>
      </w:r>
      <w:r>
        <w:rPr/>
        <w:t>El Tribunal citará a las partes a una audiencia de conciliación que se celebrará dentro del período de prehuelga, en la que podrá intervenir el</w:t>
      </w:r>
      <w:r>
        <w:rPr>
          <w:spacing w:val="-1"/>
        </w:rPr>
        <w:t> </w:t>
      </w:r>
      <w:r>
        <w:rPr/>
        <w:t>conciliador del Centro de Conciliación competente para procurar avenirlas. En esta audiencia no se hará declaración alguna que prejuzgue sobre la existencia o inexistencia, justificación o injustificación de la huelga. Esta audiencia podrá ser diferida a petición del sindicato o de ambas partes.</w:t>
      </w:r>
    </w:p>
    <w:p>
      <w:pPr>
        <w:spacing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626"/>
      </w:pPr>
      <w:bookmarkStart w:name="Artículo_927" w:id="1172"/>
      <w:bookmarkEnd w:id="1172"/>
      <w:r>
        <w:rPr/>
      </w:r>
      <w:r>
        <w:rPr>
          <w:rFonts w:ascii="Arial" w:hAnsi="Arial"/>
          <w:b/>
        </w:rPr>
        <w:t>Artículo</w:t>
      </w:r>
      <w:r>
        <w:rPr>
          <w:rFonts w:ascii="Arial" w:hAnsi="Arial"/>
          <w:b/>
          <w:spacing w:val="-6"/>
        </w:rPr>
        <w:t> </w:t>
      </w:r>
      <w:r>
        <w:rPr>
          <w:rFonts w:ascii="Arial" w:hAnsi="Arial"/>
          <w:b/>
        </w:rPr>
        <w:t>927.-</w:t>
      </w:r>
      <w:r>
        <w:rPr>
          <w:rFonts w:ascii="Arial" w:hAnsi="Arial"/>
          <w:b/>
          <w:spacing w:val="-5"/>
        </w:rPr>
        <w:t> </w:t>
      </w:r>
      <w:r>
        <w:rPr/>
        <w:t>La</w:t>
      </w:r>
      <w:r>
        <w:rPr>
          <w:spacing w:val="-7"/>
        </w:rPr>
        <w:t> </w:t>
      </w:r>
      <w:r>
        <w:rPr/>
        <w:t>audiencia</w:t>
      </w:r>
      <w:r>
        <w:rPr>
          <w:spacing w:val="-6"/>
        </w:rPr>
        <w:t> </w:t>
      </w:r>
      <w:r>
        <w:rPr/>
        <w:t>de</w:t>
      </w:r>
      <w:r>
        <w:rPr>
          <w:spacing w:val="-6"/>
        </w:rPr>
        <w:t> </w:t>
      </w:r>
      <w:r>
        <w:rPr/>
        <w:t>conciliación</w:t>
      </w:r>
      <w:r>
        <w:rPr>
          <w:spacing w:val="-7"/>
        </w:rPr>
        <w:t> </w:t>
      </w:r>
      <w:r>
        <w:rPr/>
        <w:t>se</w:t>
      </w:r>
      <w:r>
        <w:rPr>
          <w:spacing w:val="-5"/>
        </w:rPr>
        <w:t> </w:t>
      </w:r>
      <w:r>
        <w:rPr/>
        <w:t>ajustará</w:t>
      </w:r>
      <w:r>
        <w:rPr>
          <w:spacing w:val="-6"/>
        </w:rPr>
        <w:t> </w:t>
      </w:r>
      <w:r>
        <w:rPr/>
        <w:t>a</w:t>
      </w:r>
      <w:r>
        <w:rPr>
          <w:spacing w:val="-6"/>
        </w:rPr>
        <w:t> </w:t>
      </w:r>
      <w:r>
        <w:rPr/>
        <w:t>las</w:t>
      </w:r>
      <w:r>
        <w:rPr>
          <w:spacing w:val="-5"/>
        </w:rPr>
        <w:t> </w:t>
      </w:r>
      <w:r>
        <w:rPr/>
        <w:t>normas</w:t>
      </w:r>
      <w:r>
        <w:rPr>
          <w:spacing w:val="-6"/>
        </w:rPr>
        <w:t> </w:t>
      </w:r>
      <w:r>
        <w:rPr>
          <w:spacing w:val="-2"/>
        </w:rPr>
        <w:t>siguientes:</w:t>
      </w:r>
    </w:p>
    <w:p>
      <w:pPr>
        <w:pStyle w:val="ListParagraph"/>
        <w:numPr>
          <w:ilvl w:val="0"/>
          <w:numId w:val="336"/>
        </w:numPr>
        <w:tabs>
          <w:tab w:pos="1193" w:val="left" w:leader="none"/>
          <w:tab w:pos="1195" w:val="left" w:leader="none"/>
        </w:tabs>
        <w:spacing w:line="242" w:lineRule="auto" w:before="229" w:after="0"/>
        <w:ind w:left="1195" w:right="341" w:hanging="569"/>
        <w:jc w:val="both"/>
        <w:rPr>
          <w:sz w:val="20"/>
        </w:rPr>
      </w:pPr>
      <w:r>
        <w:rPr>
          <w:sz w:val="20"/>
        </w:rPr>
        <w:t>Si el patrón opuso la excepción de falta de personalidad al contestar el pliego de peticiones, el Tribunal resolverá previamente esta situación y, en caso de declararla infundada, se continuará con la audiencia;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36"/>
        </w:numPr>
        <w:tabs>
          <w:tab w:pos="1195" w:val="left" w:leader="none"/>
        </w:tabs>
        <w:spacing w:line="242" w:lineRule="auto" w:before="0" w:after="0"/>
        <w:ind w:left="1195" w:right="344" w:hanging="569"/>
        <w:jc w:val="left"/>
        <w:rPr>
          <w:sz w:val="20"/>
        </w:rPr>
      </w:pPr>
      <w:r>
        <w:rPr>
          <w:sz w:val="20"/>
        </w:rPr>
        <w:t>Si</w:t>
      </w:r>
      <w:r>
        <w:rPr>
          <w:spacing w:val="24"/>
          <w:sz w:val="20"/>
        </w:rPr>
        <w:t> </w:t>
      </w:r>
      <w:r>
        <w:rPr>
          <w:sz w:val="20"/>
        </w:rPr>
        <w:t>los</w:t>
      </w:r>
      <w:r>
        <w:rPr>
          <w:spacing w:val="23"/>
          <w:sz w:val="20"/>
        </w:rPr>
        <w:t> </w:t>
      </w:r>
      <w:r>
        <w:rPr>
          <w:sz w:val="20"/>
        </w:rPr>
        <w:t>trabajadores</w:t>
      </w:r>
      <w:r>
        <w:rPr>
          <w:spacing w:val="23"/>
          <w:sz w:val="20"/>
        </w:rPr>
        <w:t> </w:t>
      </w:r>
      <w:r>
        <w:rPr>
          <w:sz w:val="20"/>
        </w:rPr>
        <w:t>no</w:t>
      </w:r>
      <w:r>
        <w:rPr>
          <w:spacing w:val="22"/>
          <w:sz w:val="20"/>
        </w:rPr>
        <w:t> </w:t>
      </w:r>
      <w:r>
        <w:rPr>
          <w:sz w:val="20"/>
        </w:rPr>
        <w:t>concurren</w:t>
      </w:r>
      <w:r>
        <w:rPr>
          <w:spacing w:val="22"/>
          <w:sz w:val="20"/>
        </w:rPr>
        <w:t> </w:t>
      </w:r>
      <w:r>
        <w:rPr>
          <w:sz w:val="20"/>
        </w:rPr>
        <w:t>a</w:t>
      </w:r>
      <w:r>
        <w:rPr>
          <w:spacing w:val="22"/>
          <w:sz w:val="20"/>
        </w:rPr>
        <w:t> </w:t>
      </w:r>
      <w:r>
        <w:rPr>
          <w:sz w:val="20"/>
        </w:rPr>
        <w:t>la</w:t>
      </w:r>
      <w:r>
        <w:rPr>
          <w:spacing w:val="24"/>
          <w:sz w:val="20"/>
        </w:rPr>
        <w:t> </w:t>
      </w:r>
      <w:r>
        <w:rPr>
          <w:sz w:val="20"/>
        </w:rPr>
        <w:t>audiencia</w:t>
      </w:r>
      <w:r>
        <w:rPr>
          <w:spacing w:val="22"/>
          <w:sz w:val="20"/>
        </w:rPr>
        <w:t> </w:t>
      </w:r>
      <w:r>
        <w:rPr>
          <w:sz w:val="20"/>
        </w:rPr>
        <w:t>de</w:t>
      </w:r>
      <w:r>
        <w:rPr>
          <w:spacing w:val="22"/>
          <w:sz w:val="20"/>
        </w:rPr>
        <w:t> </w:t>
      </w:r>
      <w:r>
        <w:rPr>
          <w:sz w:val="20"/>
        </w:rPr>
        <w:t>conciliación,</w:t>
      </w:r>
      <w:r>
        <w:rPr>
          <w:spacing w:val="24"/>
          <w:sz w:val="20"/>
        </w:rPr>
        <w:t> </w:t>
      </w:r>
      <w:r>
        <w:rPr>
          <w:sz w:val="20"/>
        </w:rPr>
        <w:t>no</w:t>
      </w:r>
      <w:r>
        <w:rPr>
          <w:spacing w:val="22"/>
          <w:sz w:val="20"/>
        </w:rPr>
        <w:t> </w:t>
      </w:r>
      <w:r>
        <w:rPr>
          <w:sz w:val="20"/>
        </w:rPr>
        <w:t>correrá</w:t>
      </w:r>
      <w:r>
        <w:rPr>
          <w:spacing w:val="22"/>
          <w:sz w:val="20"/>
        </w:rPr>
        <w:t> </w:t>
      </w:r>
      <w:r>
        <w:rPr>
          <w:sz w:val="20"/>
        </w:rPr>
        <w:t>el</w:t>
      </w:r>
      <w:r>
        <w:rPr>
          <w:spacing w:val="21"/>
          <w:sz w:val="20"/>
        </w:rPr>
        <w:t> </w:t>
      </w:r>
      <w:r>
        <w:rPr>
          <w:sz w:val="20"/>
        </w:rPr>
        <w:t>término</w:t>
      </w:r>
      <w:r>
        <w:rPr>
          <w:spacing w:val="22"/>
          <w:sz w:val="20"/>
        </w:rPr>
        <w:t> </w:t>
      </w:r>
      <w:r>
        <w:rPr>
          <w:sz w:val="20"/>
        </w:rPr>
        <w:t>para</w:t>
      </w:r>
      <w:r>
        <w:rPr>
          <w:spacing w:val="22"/>
          <w:sz w:val="20"/>
        </w:rPr>
        <w:t> </w:t>
      </w:r>
      <w:r>
        <w:rPr>
          <w:sz w:val="20"/>
        </w:rPr>
        <w:t>la suspensión de las labores;</w:t>
      </w:r>
    </w:p>
    <w:p>
      <w:pPr>
        <w:pStyle w:val="ListParagraph"/>
        <w:numPr>
          <w:ilvl w:val="0"/>
          <w:numId w:val="336"/>
        </w:numPr>
        <w:tabs>
          <w:tab w:pos="1195" w:val="left" w:leader="none"/>
        </w:tabs>
        <w:spacing w:line="242" w:lineRule="auto" w:before="227" w:after="0"/>
        <w:ind w:left="1195" w:right="345" w:hanging="569"/>
        <w:jc w:val="left"/>
        <w:rPr>
          <w:sz w:val="20"/>
        </w:rPr>
      </w:pPr>
      <w:r>
        <w:rPr>
          <w:sz w:val="20"/>
        </w:rPr>
        <w:t>El</w:t>
      </w:r>
      <w:r>
        <w:rPr>
          <w:spacing w:val="25"/>
          <w:sz w:val="20"/>
        </w:rPr>
        <w:t> </w:t>
      </w:r>
      <w:r>
        <w:rPr>
          <w:sz w:val="20"/>
        </w:rPr>
        <w:t>Tribunal</w:t>
      </w:r>
      <w:r>
        <w:rPr>
          <w:spacing w:val="26"/>
          <w:sz w:val="20"/>
        </w:rPr>
        <w:t> </w:t>
      </w:r>
      <w:r>
        <w:rPr>
          <w:sz w:val="20"/>
        </w:rPr>
        <w:t>podrá</w:t>
      </w:r>
      <w:r>
        <w:rPr>
          <w:spacing w:val="28"/>
          <w:sz w:val="20"/>
        </w:rPr>
        <w:t> </w:t>
      </w:r>
      <w:r>
        <w:rPr>
          <w:sz w:val="20"/>
        </w:rPr>
        <w:t>emplear</w:t>
      </w:r>
      <w:r>
        <w:rPr>
          <w:spacing w:val="26"/>
          <w:sz w:val="20"/>
        </w:rPr>
        <w:t> </w:t>
      </w:r>
      <w:r>
        <w:rPr>
          <w:sz w:val="20"/>
        </w:rPr>
        <w:t>los</w:t>
      </w:r>
      <w:r>
        <w:rPr>
          <w:spacing w:val="26"/>
          <w:sz w:val="20"/>
        </w:rPr>
        <w:t> </w:t>
      </w:r>
      <w:r>
        <w:rPr>
          <w:sz w:val="20"/>
        </w:rPr>
        <w:t>medios</w:t>
      </w:r>
      <w:r>
        <w:rPr>
          <w:spacing w:val="26"/>
          <w:sz w:val="20"/>
        </w:rPr>
        <w:t> </w:t>
      </w:r>
      <w:r>
        <w:rPr>
          <w:sz w:val="20"/>
        </w:rPr>
        <w:t>de</w:t>
      </w:r>
      <w:r>
        <w:rPr>
          <w:spacing w:val="25"/>
          <w:sz w:val="20"/>
        </w:rPr>
        <w:t> </w:t>
      </w:r>
      <w:r>
        <w:rPr>
          <w:sz w:val="20"/>
        </w:rPr>
        <w:t>apremio</w:t>
      </w:r>
      <w:r>
        <w:rPr>
          <w:spacing w:val="25"/>
          <w:sz w:val="20"/>
        </w:rPr>
        <w:t> </w:t>
      </w:r>
      <w:r>
        <w:rPr>
          <w:sz w:val="20"/>
        </w:rPr>
        <w:t>para</w:t>
      </w:r>
      <w:r>
        <w:rPr>
          <w:spacing w:val="25"/>
          <w:sz w:val="20"/>
        </w:rPr>
        <w:t> </w:t>
      </w:r>
      <w:r>
        <w:rPr>
          <w:sz w:val="20"/>
        </w:rPr>
        <w:t>obligar</w:t>
      </w:r>
      <w:r>
        <w:rPr>
          <w:spacing w:val="28"/>
          <w:sz w:val="20"/>
        </w:rPr>
        <w:t> </w:t>
      </w:r>
      <w:r>
        <w:rPr>
          <w:sz w:val="20"/>
        </w:rPr>
        <w:t>al</w:t>
      </w:r>
      <w:r>
        <w:rPr>
          <w:spacing w:val="26"/>
          <w:sz w:val="20"/>
        </w:rPr>
        <w:t> </w:t>
      </w:r>
      <w:r>
        <w:rPr>
          <w:sz w:val="20"/>
        </w:rPr>
        <w:t>patrón</w:t>
      </w:r>
      <w:r>
        <w:rPr>
          <w:spacing w:val="25"/>
          <w:sz w:val="20"/>
        </w:rPr>
        <w:t> </w:t>
      </w:r>
      <w:r>
        <w:rPr>
          <w:sz w:val="20"/>
        </w:rPr>
        <w:t>a</w:t>
      </w:r>
      <w:r>
        <w:rPr>
          <w:spacing w:val="27"/>
          <w:sz w:val="20"/>
        </w:rPr>
        <w:t> </w:t>
      </w:r>
      <w:r>
        <w:rPr>
          <w:sz w:val="20"/>
        </w:rPr>
        <w:t>que</w:t>
      </w:r>
      <w:r>
        <w:rPr>
          <w:spacing w:val="25"/>
          <w:sz w:val="20"/>
        </w:rPr>
        <w:t> </w:t>
      </w:r>
      <w:r>
        <w:rPr>
          <w:sz w:val="20"/>
        </w:rPr>
        <w:t>concurra</w:t>
      </w:r>
      <w:r>
        <w:rPr>
          <w:spacing w:val="27"/>
          <w:sz w:val="20"/>
        </w:rPr>
        <w:t> </w:t>
      </w:r>
      <w:r>
        <w:rPr>
          <w:sz w:val="20"/>
        </w:rPr>
        <w:t>a</w:t>
      </w:r>
      <w:r>
        <w:rPr>
          <w:spacing w:val="25"/>
          <w:sz w:val="20"/>
        </w:rPr>
        <w:t> </w:t>
      </w:r>
      <w:r>
        <w:rPr>
          <w:sz w:val="20"/>
        </w:rPr>
        <w:t>la audiencia de conciliación;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36"/>
        </w:numPr>
        <w:tabs>
          <w:tab w:pos="1195" w:val="left" w:leader="none"/>
        </w:tabs>
        <w:spacing w:line="242" w:lineRule="auto" w:before="0" w:after="0"/>
        <w:ind w:left="1195" w:right="345" w:hanging="569"/>
        <w:jc w:val="left"/>
        <w:rPr>
          <w:sz w:val="20"/>
        </w:rPr>
      </w:pPr>
      <w:r>
        <w:rPr>
          <w:sz w:val="20"/>
        </w:rPr>
        <w:t>Los</w:t>
      </w:r>
      <w:r>
        <w:rPr>
          <w:spacing w:val="37"/>
          <w:sz w:val="20"/>
        </w:rPr>
        <w:t> </w:t>
      </w:r>
      <w:r>
        <w:rPr>
          <w:sz w:val="20"/>
        </w:rPr>
        <w:t>efectos</w:t>
      </w:r>
      <w:r>
        <w:rPr>
          <w:spacing w:val="36"/>
          <w:sz w:val="20"/>
        </w:rPr>
        <w:t> </w:t>
      </w:r>
      <w:r>
        <w:rPr>
          <w:sz w:val="20"/>
        </w:rPr>
        <w:t>del</w:t>
      </w:r>
      <w:r>
        <w:rPr>
          <w:spacing w:val="37"/>
          <w:sz w:val="20"/>
        </w:rPr>
        <w:t> </w:t>
      </w:r>
      <w:r>
        <w:rPr>
          <w:sz w:val="20"/>
        </w:rPr>
        <w:t>aviso</w:t>
      </w:r>
      <w:r>
        <w:rPr>
          <w:spacing w:val="38"/>
          <w:sz w:val="20"/>
        </w:rPr>
        <w:t> </w:t>
      </w:r>
      <w:r>
        <w:rPr>
          <w:sz w:val="20"/>
        </w:rPr>
        <w:t>a</w:t>
      </w:r>
      <w:r>
        <w:rPr>
          <w:spacing w:val="35"/>
          <w:sz w:val="20"/>
        </w:rPr>
        <w:t> </w:t>
      </w:r>
      <w:r>
        <w:rPr>
          <w:sz w:val="20"/>
        </w:rPr>
        <w:t>que</w:t>
      </w:r>
      <w:r>
        <w:rPr>
          <w:spacing w:val="35"/>
          <w:sz w:val="20"/>
        </w:rPr>
        <w:t> </w:t>
      </w:r>
      <w:r>
        <w:rPr>
          <w:sz w:val="20"/>
        </w:rPr>
        <w:t>se</w:t>
      </w:r>
      <w:r>
        <w:rPr>
          <w:spacing w:val="35"/>
          <w:sz w:val="20"/>
        </w:rPr>
        <w:t> </w:t>
      </w:r>
      <w:r>
        <w:rPr>
          <w:sz w:val="20"/>
        </w:rPr>
        <w:t>refiere</w:t>
      </w:r>
      <w:r>
        <w:rPr>
          <w:spacing w:val="36"/>
          <w:sz w:val="20"/>
        </w:rPr>
        <w:t> </w:t>
      </w:r>
      <w:r>
        <w:rPr>
          <w:sz w:val="20"/>
        </w:rPr>
        <w:t>el</w:t>
      </w:r>
      <w:r>
        <w:rPr>
          <w:spacing w:val="35"/>
          <w:sz w:val="20"/>
        </w:rPr>
        <w:t> </w:t>
      </w:r>
      <w:r>
        <w:rPr>
          <w:sz w:val="20"/>
        </w:rPr>
        <w:t>artículo</w:t>
      </w:r>
      <w:r>
        <w:rPr>
          <w:spacing w:val="38"/>
          <w:sz w:val="20"/>
        </w:rPr>
        <w:t> </w:t>
      </w:r>
      <w:r>
        <w:rPr>
          <w:sz w:val="20"/>
        </w:rPr>
        <w:t>920</w:t>
      </w:r>
      <w:r>
        <w:rPr>
          <w:spacing w:val="35"/>
          <w:sz w:val="20"/>
        </w:rPr>
        <w:t> </w:t>
      </w:r>
      <w:r>
        <w:rPr>
          <w:sz w:val="20"/>
        </w:rPr>
        <w:t>fracción</w:t>
      </w:r>
      <w:r>
        <w:rPr>
          <w:spacing w:val="35"/>
          <w:sz w:val="20"/>
        </w:rPr>
        <w:t> </w:t>
      </w:r>
      <w:r>
        <w:rPr>
          <w:sz w:val="20"/>
        </w:rPr>
        <w:t>II</w:t>
      </w:r>
      <w:r>
        <w:rPr>
          <w:spacing w:val="38"/>
          <w:sz w:val="20"/>
        </w:rPr>
        <w:t> </w:t>
      </w:r>
      <w:r>
        <w:rPr>
          <w:sz w:val="20"/>
        </w:rPr>
        <w:t>de</w:t>
      </w:r>
      <w:r>
        <w:rPr>
          <w:spacing w:val="35"/>
          <w:sz w:val="20"/>
        </w:rPr>
        <w:t> </w:t>
      </w:r>
      <w:r>
        <w:rPr>
          <w:sz w:val="20"/>
        </w:rPr>
        <w:t>la</w:t>
      </w:r>
      <w:r>
        <w:rPr>
          <w:spacing w:val="35"/>
          <w:sz w:val="20"/>
        </w:rPr>
        <w:t> </w:t>
      </w:r>
      <w:r>
        <w:rPr>
          <w:sz w:val="20"/>
        </w:rPr>
        <w:t>presente</w:t>
      </w:r>
      <w:r>
        <w:rPr>
          <w:spacing w:val="37"/>
          <w:sz w:val="20"/>
        </w:rPr>
        <w:t> </w:t>
      </w:r>
      <w:r>
        <w:rPr>
          <w:sz w:val="20"/>
        </w:rPr>
        <w:t>Ley,</w:t>
      </w:r>
      <w:r>
        <w:rPr>
          <w:spacing w:val="36"/>
          <w:sz w:val="20"/>
        </w:rPr>
        <w:t> </w:t>
      </w:r>
      <w:r>
        <w:rPr>
          <w:sz w:val="20"/>
        </w:rPr>
        <w:t>no</w:t>
      </w:r>
      <w:r>
        <w:rPr>
          <w:spacing w:val="35"/>
          <w:sz w:val="20"/>
        </w:rPr>
        <w:t> </w:t>
      </w:r>
      <w:r>
        <w:rPr>
          <w:sz w:val="20"/>
        </w:rPr>
        <w:t>se suspenderán por la audiencia de conciliación ni por la rebeldía del patrón para concurrir a ella.</w:t>
      </w:r>
    </w:p>
    <w:p>
      <w:pPr>
        <w:pStyle w:val="ListParagraph"/>
        <w:numPr>
          <w:ilvl w:val="0"/>
          <w:numId w:val="336"/>
        </w:numPr>
        <w:tabs>
          <w:tab w:pos="1195" w:val="left" w:leader="none"/>
        </w:tabs>
        <w:spacing w:line="240" w:lineRule="auto" w:before="227" w:after="0"/>
        <w:ind w:left="1195" w:right="334" w:hanging="569"/>
        <w:jc w:val="left"/>
        <w:rPr>
          <w:sz w:val="20"/>
        </w:rPr>
      </w:pPr>
      <w:r>
        <w:rPr>
          <w:sz w:val="20"/>
        </w:rPr>
        <w:t>Después</w:t>
      </w:r>
      <w:r>
        <w:rPr>
          <w:spacing w:val="40"/>
          <w:sz w:val="20"/>
        </w:rPr>
        <w:t> </w:t>
      </w:r>
      <w:r>
        <w:rPr>
          <w:sz w:val="20"/>
        </w:rPr>
        <w:t>de</w:t>
      </w:r>
      <w:r>
        <w:rPr>
          <w:spacing w:val="40"/>
          <w:sz w:val="20"/>
        </w:rPr>
        <w:t> </w:t>
      </w:r>
      <w:r>
        <w:rPr>
          <w:sz w:val="20"/>
        </w:rPr>
        <w:t>emplazado</w:t>
      </w:r>
      <w:r>
        <w:rPr>
          <w:spacing w:val="40"/>
          <w:sz w:val="20"/>
        </w:rPr>
        <w:t> </w:t>
      </w:r>
      <w:r>
        <w:rPr>
          <w:sz w:val="20"/>
        </w:rPr>
        <w:t>el</w:t>
      </w:r>
      <w:r>
        <w:rPr>
          <w:spacing w:val="40"/>
          <w:sz w:val="20"/>
        </w:rPr>
        <w:t> </w:t>
      </w:r>
      <w:r>
        <w:rPr>
          <w:sz w:val="20"/>
        </w:rPr>
        <w:t>patrón,</w:t>
      </w:r>
      <w:r>
        <w:rPr>
          <w:spacing w:val="40"/>
          <w:sz w:val="20"/>
        </w:rPr>
        <w:t> </w:t>
      </w:r>
      <w:r>
        <w:rPr>
          <w:sz w:val="20"/>
        </w:rPr>
        <w:t>a</w:t>
      </w:r>
      <w:r>
        <w:rPr>
          <w:spacing w:val="40"/>
          <w:sz w:val="20"/>
        </w:rPr>
        <w:t> </w:t>
      </w:r>
      <w:r>
        <w:rPr>
          <w:sz w:val="20"/>
        </w:rPr>
        <w:t>petición</w:t>
      </w:r>
      <w:r>
        <w:rPr>
          <w:spacing w:val="40"/>
          <w:sz w:val="20"/>
        </w:rPr>
        <w:t> </w:t>
      </w:r>
      <w:r>
        <w:rPr>
          <w:sz w:val="20"/>
        </w:rPr>
        <w:t>del</w:t>
      </w:r>
      <w:r>
        <w:rPr>
          <w:spacing w:val="40"/>
          <w:sz w:val="20"/>
        </w:rPr>
        <w:t> </w:t>
      </w:r>
      <w:r>
        <w:rPr>
          <w:sz w:val="20"/>
        </w:rPr>
        <w:t>sindicato</w:t>
      </w:r>
      <w:r>
        <w:rPr>
          <w:spacing w:val="40"/>
          <w:sz w:val="20"/>
        </w:rPr>
        <w:t> </w:t>
      </w:r>
      <w:r>
        <w:rPr>
          <w:sz w:val="20"/>
        </w:rPr>
        <w:t>se</w:t>
      </w:r>
      <w:r>
        <w:rPr>
          <w:spacing w:val="40"/>
          <w:sz w:val="20"/>
        </w:rPr>
        <w:t> </w:t>
      </w:r>
      <w:r>
        <w:rPr>
          <w:sz w:val="20"/>
        </w:rPr>
        <w:t>podrá</w:t>
      </w:r>
      <w:r>
        <w:rPr>
          <w:spacing w:val="40"/>
          <w:sz w:val="20"/>
        </w:rPr>
        <w:t> </w:t>
      </w:r>
      <w:r>
        <w:rPr>
          <w:sz w:val="20"/>
        </w:rPr>
        <w:t>prorrogar</w:t>
      </w:r>
      <w:r>
        <w:rPr>
          <w:spacing w:val="40"/>
          <w:sz w:val="20"/>
        </w:rPr>
        <w:t> </w:t>
      </w:r>
      <w:r>
        <w:rPr>
          <w:sz w:val="20"/>
        </w:rPr>
        <w:t>o</w:t>
      </w:r>
      <w:r>
        <w:rPr>
          <w:spacing w:val="40"/>
          <w:sz w:val="20"/>
        </w:rPr>
        <w:t> </w:t>
      </w:r>
      <w:r>
        <w:rPr>
          <w:sz w:val="20"/>
        </w:rPr>
        <w:t>ampliar</w:t>
      </w:r>
      <w:r>
        <w:rPr>
          <w:spacing w:val="40"/>
          <w:sz w:val="20"/>
        </w:rPr>
        <w:t> </w:t>
      </w:r>
      <w:r>
        <w:rPr>
          <w:sz w:val="20"/>
        </w:rPr>
        <w:t>el período de prehuelga por una sola ocasión hasta por treinta días. Cuando se trate de empresas</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BodyText"/>
        <w:ind w:left="1195" w:right="345"/>
        <w:jc w:val="both"/>
      </w:pPr>
      <w:r>
        <w:rPr/>
        <w:t>o instituciones que dependan de recursos públicos, se podrá prorrogar por un plazo mayor. Asimismo, podrán admitirse prórrogas adicionales cuando a criterio del Tribunal exista causa que lo justifique.</w:t>
      </w:r>
    </w:p>
    <w:p>
      <w:pPr>
        <w:pStyle w:val="BodyText"/>
        <w:spacing w:before="2"/>
      </w:pPr>
    </w:p>
    <w:p>
      <w:pPr>
        <w:pStyle w:val="BodyText"/>
        <w:ind w:left="1195" w:right="342"/>
        <w:jc w:val="both"/>
      </w:pPr>
      <w:r>
        <w:rPr/>
        <w:t>En caso de que el contrato colectivo de trabajo inicial o el convenio de revisión del contrato colectivo no sea aprobado por los trabajadores en términos de lo previsto por el artículo 390</w:t>
      </w:r>
      <w:r>
        <w:rPr>
          <w:spacing w:val="40"/>
        </w:rPr>
        <w:t> </w:t>
      </w:r>
      <w:r>
        <w:rPr/>
        <w:t>Ter, fracción II, el sindicato podrá prorrogar el periodo de prehuelga hasta por quince días. No obstante, cuando las circunstancias así lo ameriten, el Tribunal podrá autorizar que la prórroga se extienda hasta por un máximo de treinta días, siempre y cuando el sindicato así lo solicite y justifique al momento de promoverla.</w:t>
      </w:r>
    </w:p>
    <w:p>
      <w:pPr>
        <w:pStyle w:val="BodyText"/>
      </w:pPr>
    </w:p>
    <w:p>
      <w:pPr>
        <w:pStyle w:val="BodyText"/>
        <w:spacing w:before="1"/>
        <w:ind w:left="1195" w:right="342"/>
        <w:jc w:val="both"/>
      </w:pPr>
      <w:r>
        <w:rPr/>
        <w:t>Con independencia de lo anterior, las partes de común acuerdo podrán prorrogar o ampliar el período de prehuelga con objeto de llegar a un acuerdo conciliatorio; no obstante, la prórroga</w:t>
      </w:r>
      <w:r>
        <w:rPr>
          <w:spacing w:val="40"/>
        </w:rPr>
        <w:t> </w:t>
      </w:r>
      <w:r>
        <w:rPr/>
        <w:t>no podrá tener una duración que afecte derechos de terceros.</w:t>
      </w:r>
    </w:p>
    <w:p>
      <w:pPr>
        <w:spacing w:line="181"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firstLine="288"/>
      </w:pPr>
      <w:r>
        <w:rPr/>
        <w:t>Tratándose</w:t>
      </w:r>
      <w:r>
        <w:rPr>
          <w:spacing w:val="74"/>
        </w:rPr>
        <w:t> </w:t>
      </w:r>
      <w:r>
        <w:rPr/>
        <w:t>de</w:t>
      </w:r>
      <w:r>
        <w:rPr>
          <w:spacing w:val="74"/>
        </w:rPr>
        <w:t> </w:t>
      </w:r>
      <w:r>
        <w:rPr/>
        <w:t>emplazamientos</w:t>
      </w:r>
      <w:r>
        <w:rPr>
          <w:spacing w:val="73"/>
        </w:rPr>
        <w:t> </w:t>
      </w:r>
      <w:r>
        <w:rPr/>
        <w:t>a</w:t>
      </w:r>
      <w:r>
        <w:rPr>
          <w:spacing w:val="74"/>
        </w:rPr>
        <w:t> </w:t>
      </w:r>
      <w:r>
        <w:rPr/>
        <w:t>huelga</w:t>
      </w:r>
      <w:r>
        <w:rPr>
          <w:spacing w:val="74"/>
        </w:rPr>
        <w:t> </w:t>
      </w:r>
      <w:r>
        <w:rPr/>
        <w:t>por</w:t>
      </w:r>
      <w:r>
        <w:rPr>
          <w:spacing w:val="75"/>
        </w:rPr>
        <w:t> </w:t>
      </w:r>
      <w:r>
        <w:rPr/>
        <w:t>firma</w:t>
      </w:r>
      <w:r>
        <w:rPr>
          <w:spacing w:val="72"/>
        </w:rPr>
        <w:t> </w:t>
      </w:r>
      <w:r>
        <w:rPr/>
        <w:t>de</w:t>
      </w:r>
      <w:r>
        <w:rPr>
          <w:spacing w:val="72"/>
        </w:rPr>
        <w:t> </w:t>
      </w:r>
      <w:r>
        <w:rPr/>
        <w:t>contrato</w:t>
      </w:r>
      <w:r>
        <w:rPr>
          <w:spacing w:val="74"/>
        </w:rPr>
        <w:t> </w:t>
      </w:r>
      <w:r>
        <w:rPr/>
        <w:t>colectivo</w:t>
      </w:r>
      <w:r>
        <w:rPr>
          <w:spacing w:val="76"/>
        </w:rPr>
        <w:t> </w:t>
      </w:r>
      <w:r>
        <w:rPr/>
        <w:t>de</w:t>
      </w:r>
      <w:r>
        <w:rPr>
          <w:spacing w:val="71"/>
        </w:rPr>
        <w:t> </w:t>
      </w:r>
      <w:r>
        <w:rPr/>
        <w:t>trabajo</w:t>
      </w:r>
      <w:r>
        <w:rPr>
          <w:spacing w:val="74"/>
        </w:rPr>
        <w:t> </w:t>
      </w:r>
      <w:r>
        <w:rPr/>
        <w:t>por</w:t>
      </w:r>
      <w:r>
        <w:rPr>
          <w:spacing w:val="75"/>
        </w:rPr>
        <w:t> </w:t>
      </w:r>
      <w:r>
        <w:rPr/>
        <w:t>obra determinada, el periodo de prehuelga no podrá exceder del término de duración de la obra.</w:t>
      </w:r>
    </w:p>
    <w:p>
      <w:pPr>
        <w:spacing w:before="0"/>
        <w:ind w:left="7302" w:right="0" w:firstLine="1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4"/>
        <w:rPr>
          <w:rFonts w:ascii="Times New Roman"/>
          <w:i/>
          <w:sz w:val="16"/>
        </w:rPr>
      </w:pPr>
    </w:p>
    <w:p>
      <w:pPr>
        <w:pStyle w:val="BodyText"/>
        <w:spacing w:line="242" w:lineRule="auto"/>
        <w:ind w:left="338" w:firstLine="288"/>
      </w:pPr>
      <w:bookmarkStart w:name="Artículo_928" w:id="1173"/>
      <w:bookmarkEnd w:id="1173"/>
      <w:r>
        <w:rPr/>
      </w:r>
      <w:r>
        <w:rPr>
          <w:rFonts w:ascii="Arial" w:hAnsi="Arial"/>
          <w:b/>
        </w:rPr>
        <w:t>Artículo</w:t>
      </w:r>
      <w:r>
        <w:rPr>
          <w:rFonts w:ascii="Arial" w:hAnsi="Arial"/>
          <w:b/>
          <w:spacing w:val="40"/>
        </w:rPr>
        <w:t> </w:t>
      </w:r>
      <w:r>
        <w:rPr>
          <w:rFonts w:ascii="Arial" w:hAnsi="Arial"/>
          <w:b/>
        </w:rPr>
        <w:t>928.-</w:t>
      </w:r>
      <w:r>
        <w:rPr>
          <w:rFonts w:ascii="Arial" w:hAnsi="Arial"/>
          <w:b/>
          <w:spacing w:val="40"/>
        </w:rPr>
        <w:t> </w:t>
      </w:r>
      <w:r>
        <w:rPr/>
        <w:t>En</w:t>
      </w:r>
      <w:r>
        <w:rPr>
          <w:spacing w:val="40"/>
        </w:rPr>
        <w:t> </w:t>
      </w:r>
      <w:r>
        <w:rPr/>
        <w:t>los</w:t>
      </w:r>
      <w:r>
        <w:rPr>
          <w:spacing w:val="40"/>
        </w:rPr>
        <w:t> </w:t>
      </w:r>
      <w:r>
        <w:rPr/>
        <w:t>procedimientos</w:t>
      </w:r>
      <w:r>
        <w:rPr>
          <w:spacing w:val="40"/>
        </w:rPr>
        <w:t> </w:t>
      </w:r>
      <w:r>
        <w:rPr/>
        <w:t>a</w:t>
      </w:r>
      <w:r>
        <w:rPr>
          <w:spacing w:val="40"/>
        </w:rPr>
        <w:t> </w:t>
      </w:r>
      <w:r>
        <w:rPr/>
        <w:t>que</w:t>
      </w:r>
      <w:r>
        <w:rPr>
          <w:spacing w:val="40"/>
        </w:rPr>
        <w:t> </w:t>
      </w:r>
      <w:r>
        <w:rPr/>
        <w:t>se</w:t>
      </w:r>
      <w:r>
        <w:rPr>
          <w:spacing w:val="40"/>
        </w:rPr>
        <w:t> </w:t>
      </w:r>
      <w:r>
        <w:rPr/>
        <w:t>refiere</w:t>
      </w:r>
      <w:r>
        <w:rPr>
          <w:spacing w:val="40"/>
        </w:rPr>
        <w:t> </w:t>
      </w:r>
      <w:r>
        <w:rPr/>
        <w:t>este</w:t>
      </w:r>
      <w:r>
        <w:rPr>
          <w:spacing w:val="40"/>
        </w:rPr>
        <w:t> </w:t>
      </w:r>
      <w:r>
        <w:rPr/>
        <w:t>capítulo</w:t>
      </w:r>
      <w:r>
        <w:rPr>
          <w:spacing w:val="40"/>
        </w:rPr>
        <w:t> </w:t>
      </w:r>
      <w:r>
        <w:rPr/>
        <w:t>se</w:t>
      </w:r>
      <w:r>
        <w:rPr>
          <w:spacing w:val="40"/>
        </w:rPr>
        <w:t> </w:t>
      </w:r>
      <w:r>
        <w:rPr/>
        <w:t>observarán</w:t>
      </w:r>
      <w:r>
        <w:rPr>
          <w:spacing w:val="40"/>
        </w:rPr>
        <w:t> </w:t>
      </w:r>
      <w:r>
        <w:rPr/>
        <w:t>las</w:t>
      </w:r>
      <w:r>
        <w:rPr>
          <w:spacing w:val="40"/>
        </w:rPr>
        <w:t> </w:t>
      </w:r>
      <w:r>
        <w:rPr/>
        <w:t>normas</w:t>
      </w:r>
      <w:r>
        <w:rPr>
          <w:spacing w:val="40"/>
        </w:rPr>
        <w:t> </w:t>
      </w:r>
      <w:r>
        <w:rPr>
          <w:spacing w:val="-2"/>
        </w:rPr>
        <w:t>siguientes:</w:t>
      </w:r>
    </w:p>
    <w:p>
      <w:pPr>
        <w:pStyle w:val="ListParagraph"/>
        <w:numPr>
          <w:ilvl w:val="0"/>
          <w:numId w:val="337"/>
        </w:numPr>
        <w:tabs>
          <w:tab w:pos="1195" w:val="left" w:leader="none"/>
        </w:tabs>
        <w:spacing w:line="229" w:lineRule="exact" w:before="227" w:after="0"/>
        <w:ind w:left="1195" w:right="0" w:hanging="569"/>
        <w:jc w:val="left"/>
        <w:rPr>
          <w:sz w:val="20"/>
        </w:rPr>
      </w:pPr>
      <w:r>
        <w:rPr>
          <w:sz w:val="20"/>
        </w:rPr>
        <w:t>Se</w:t>
      </w:r>
      <w:r>
        <w:rPr>
          <w:spacing w:val="-5"/>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337"/>
        </w:numPr>
        <w:tabs>
          <w:tab w:pos="1192" w:val="left" w:leader="none"/>
          <w:tab w:pos="1195" w:val="left" w:leader="none"/>
        </w:tabs>
        <w:spacing w:line="242" w:lineRule="auto" w:before="0" w:after="0"/>
        <w:ind w:left="1195" w:right="342" w:hanging="569"/>
        <w:jc w:val="both"/>
        <w:rPr>
          <w:sz w:val="20"/>
        </w:rPr>
      </w:pPr>
      <w:r>
        <w:rPr>
          <w:sz w:val="20"/>
        </w:rPr>
        <w:t>No serán aplicables las reglas generales respecto de términos para hacer notificaciones y citaciones. Las notificaciones surtirán efectos desde el día y hora en que quedan hechas;</w:t>
      </w:r>
    </w:p>
    <w:p>
      <w:pPr>
        <w:pStyle w:val="ListParagraph"/>
        <w:numPr>
          <w:ilvl w:val="0"/>
          <w:numId w:val="337"/>
        </w:numPr>
        <w:tabs>
          <w:tab w:pos="1195" w:val="left" w:leader="none"/>
        </w:tabs>
        <w:spacing w:line="229" w:lineRule="exact" w:before="227" w:after="0"/>
        <w:ind w:left="1195" w:right="0" w:hanging="569"/>
        <w:jc w:val="left"/>
        <w:rPr>
          <w:sz w:val="20"/>
        </w:rPr>
      </w:pPr>
      <w:r>
        <w:rPr>
          <w:sz w:val="20"/>
        </w:rPr>
        <w:t>Todos</w:t>
      </w:r>
      <w:r>
        <w:rPr>
          <w:spacing w:val="-6"/>
          <w:sz w:val="20"/>
        </w:rPr>
        <w:t> </w:t>
      </w:r>
      <w:r>
        <w:rPr>
          <w:sz w:val="20"/>
        </w:rPr>
        <w:t>los</w:t>
      </w:r>
      <w:r>
        <w:rPr>
          <w:spacing w:val="-6"/>
          <w:sz w:val="20"/>
        </w:rPr>
        <w:t> </w:t>
      </w:r>
      <w:r>
        <w:rPr>
          <w:sz w:val="20"/>
        </w:rPr>
        <w:t>días</w:t>
      </w:r>
      <w:r>
        <w:rPr>
          <w:spacing w:val="-3"/>
          <w:sz w:val="20"/>
        </w:rPr>
        <w:t> </w:t>
      </w:r>
      <w:r>
        <w:rPr>
          <w:sz w:val="20"/>
        </w:rPr>
        <w:t>y</w:t>
      </w:r>
      <w:r>
        <w:rPr>
          <w:spacing w:val="-9"/>
          <w:sz w:val="20"/>
        </w:rPr>
        <w:t> </w:t>
      </w:r>
      <w:r>
        <w:rPr>
          <w:sz w:val="20"/>
        </w:rPr>
        <w:t>horas</w:t>
      </w:r>
      <w:r>
        <w:rPr>
          <w:spacing w:val="-6"/>
          <w:sz w:val="20"/>
        </w:rPr>
        <w:t> </w:t>
      </w:r>
      <w:r>
        <w:rPr>
          <w:sz w:val="20"/>
        </w:rPr>
        <w:t>serán</w:t>
      </w:r>
      <w:r>
        <w:rPr>
          <w:spacing w:val="-6"/>
          <w:sz w:val="20"/>
        </w:rPr>
        <w:t> </w:t>
      </w:r>
      <w:r>
        <w:rPr>
          <w:sz w:val="20"/>
        </w:rPr>
        <w:t>hábiles.</w:t>
      </w:r>
      <w:r>
        <w:rPr>
          <w:spacing w:val="-6"/>
          <w:sz w:val="20"/>
        </w:rPr>
        <w:t> </w:t>
      </w:r>
      <w:r>
        <w:rPr>
          <w:sz w:val="20"/>
        </w:rPr>
        <w:t>El</w:t>
      </w:r>
      <w:r>
        <w:rPr>
          <w:spacing w:val="-6"/>
          <w:sz w:val="20"/>
        </w:rPr>
        <w:t> </w:t>
      </w:r>
      <w:r>
        <w:rPr>
          <w:sz w:val="20"/>
        </w:rPr>
        <w:t>Tribunal</w:t>
      </w:r>
      <w:r>
        <w:rPr>
          <w:spacing w:val="-3"/>
          <w:sz w:val="20"/>
        </w:rPr>
        <w:t> </w:t>
      </w:r>
      <w:r>
        <w:rPr>
          <w:sz w:val="20"/>
        </w:rPr>
        <w:t>tendrá</w:t>
      </w:r>
      <w:r>
        <w:rPr>
          <w:spacing w:val="-7"/>
          <w:sz w:val="20"/>
        </w:rPr>
        <w:t> </w:t>
      </w:r>
      <w:r>
        <w:rPr>
          <w:sz w:val="20"/>
        </w:rPr>
        <w:t>guardias</w:t>
      </w:r>
      <w:r>
        <w:rPr>
          <w:spacing w:val="-6"/>
          <w:sz w:val="20"/>
        </w:rPr>
        <w:t> </w:t>
      </w:r>
      <w:r>
        <w:rPr>
          <w:sz w:val="20"/>
        </w:rPr>
        <w:t>permanentes</w:t>
      </w:r>
      <w:r>
        <w:rPr>
          <w:spacing w:val="-6"/>
          <w:sz w:val="20"/>
        </w:rPr>
        <w:t> </w:t>
      </w:r>
      <w:r>
        <w:rPr>
          <w:sz w:val="20"/>
        </w:rPr>
        <w:t>para</w:t>
      </w:r>
      <w:r>
        <w:rPr>
          <w:spacing w:val="-7"/>
          <w:sz w:val="20"/>
        </w:rPr>
        <w:t> </w:t>
      </w:r>
      <w:r>
        <w:rPr>
          <w:sz w:val="20"/>
        </w:rPr>
        <w:t>tal</w:t>
      </w:r>
      <w:r>
        <w:rPr>
          <w:spacing w:val="-7"/>
          <w:sz w:val="20"/>
        </w:rPr>
        <w:t> </w:t>
      </w:r>
      <w:r>
        <w:rPr>
          <w:spacing w:val="-2"/>
          <w:sz w:val="20"/>
        </w:rPr>
        <w:t>efecto;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ListParagraph"/>
        <w:numPr>
          <w:ilvl w:val="0"/>
          <w:numId w:val="337"/>
        </w:numPr>
        <w:tabs>
          <w:tab w:pos="1195" w:val="left" w:leader="none"/>
        </w:tabs>
        <w:spacing w:line="240" w:lineRule="auto" w:before="0" w:after="0"/>
        <w:ind w:left="1195" w:right="340" w:hanging="569"/>
        <w:jc w:val="both"/>
        <w:rPr>
          <w:sz w:val="20"/>
        </w:rPr>
      </w:pPr>
      <w:r>
        <w:rPr>
          <w:sz w:val="20"/>
        </w:rPr>
        <w:t>No serán denunciables tanto el Tribunal como el conciliador del Centro de Conciliación, ni se admitirán más incidentes que el de falta de personalidad, que podrá promoverse, por el patrón, en el escrito de contestación al emplazamiento, y por los trabajadores, dentro de las cuarenta y ocho horas siguientes a la en que tengan conocimiento de la primera promoción del patrón. El Tribunal dentro de las veinticuatro horas siguientes a la promoción, con audiencia de las partes, dictará resolución, 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ListParagraph"/>
        <w:numPr>
          <w:ilvl w:val="0"/>
          <w:numId w:val="337"/>
        </w:numPr>
        <w:tabs>
          <w:tab w:pos="1195" w:val="left" w:leader="none"/>
        </w:tabs>
        <w:spacing w:line="242" w:lineRule="auto" w:before="1" w:after="0"/>
        <w:ind w:left="1195" w:right="341" w:hanging="569"/>
        <w:jc w:val="both"/>
        <w:rPr>
          <w:sz w:val="20"/>
        </w:rPr>
      </w:pPr>
      <w:r>
        <w:rPr>
          <w:sz w:val="20"/>
        </w:rPr>
        <w:t>No podrá promoverse cuestión alguna de competencia. Si una vez hecho el emplazamiento al patrón, el Tribunal observa que el asunto no es de su competencia, hará la declaratoria </w:t>
      </w:r>
      <w:r>
        <w:rPr>
          <w:spacing w:val="-2"/>
          <w:sz w:val="20"/>
        </w:rPr>
        <w:t>correspondiente.</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3" w:firstLine="288"/>
        <w:jc w:val="both"/>
      </w:pPr>
      <w:r>
        <w:rPr/>
        <w:t>Los trabajadores dispondrán de un término de veinticuatro horas para designar el Tribunal que consideren competente, a fin de que se le remita el expediente. Las actuaciones conservarán su validez, pero el término para la suspensión de las labores correrá a partir de la fecha en que el Tribunal</w:t>
      </w:r>
      <w:r>
        <w:rPr>
          <w:spacing w:val="80"/>
        </w:rPr>
        <w:t> </w:t>
      </w:r>
      <w:r>
        <w:rPr/>
        <w:t>designado competente notifique al patrón haber recibido el expediente; lo que se hará saber a las partes en la resolución de incompetencia.</w:t>
      </w:r>
    </w:p>
    <w:p>
      <w:pPr>
        <w:spacing w:line="240" w:lineRule="auto" w:before="0"/>
        <w:ind w:left="7302" w:right="333"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line="240" w:lineRule="auto"/>
        <w:jc w:val="righ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BodyText"/>
        <w:spacing w:line="242" w:lineRule="auto"/>
        <w:ind w:left="338" w:right="336" w:firstLine="288"/>
        <w:jc w:val="both"/>
      </w:pPr>
      <w:bookmarkStart w:name="Artículo_929" w:id="1174"/>
      <w:bookmarkEnd w:id="1174"/>
      <w:r>
        <w:rPr/>
      </w:r>
      <w:r>
        <w:rPr>
          <w:rFonts w:ascii="Arial" w:hAnsi="Arial"/>
          <w:b/>
        </w:rPr>
        <w:t>Artículo 929.- </w:t>
      </w:r>
      <w:r>
        <w:rPr/>
        <w:t>Los trabajadores y los patrones de la empresa o establecimiento afectado, o terceros interesados,</w:t>
      </w:r>
      <w:r>
        <w:rPr>
          <w:spacing w:val="-2"/>
        </w:rPr>
        <w:t> </w:t>
      </w:r>
      <w:r>
        <w:rPr/>
        <w:t>podrán</w:t>
      </w:r>
      <w:r>
        <w:rPr>
          <w:spacing w:val="-4"/>
        </w:rPr>
        <w:t> </w:t>
      </w:r>
      <w:r>
        <w:rPr/>
        <w:t>solicitar</w:t>
      </w:r>
      <w:r>
        <w:rPr>
          <w:spacing w:val="-2"/>
        </w:rPr>
        <w:t> </w:t>
      </w:r>
      <w:r>
        <w:rPr/>
        <w:t>del</w:t>
      </w:r>
      <w:r>
        <w:rPr>
          <w:spacing w:val="-2"/>
        </w:rPr>
        <w:t> </w:t>
      </w:r>
      <w:r>
        <w:rPr/>
        <w:t>Tribunal,</w:t>
      </w:r>
      <w:r>
        <w:rPr>
          <w:spacing w:val="-2"/>
        </w:rPr>
        <w:t> </w:t>
      </w:r>
      <w:r>
        <w:rPr/>
        <w:t>dentro</w:t>
      </w:r>
      <w:r>
        <w:rPr>
          <w:spacing w:val="-3"/>
        </w:rPr>
        <w:t> </w:t>
      </w:r>
      <w:r>
        <w:rPr/>
        <w:t>de</w:t>
      </w:r>
      <w:r>
        <w:rPr>
          <w:spacing w:val="-2"/>
        </w:rPr>
        <w:t> </w:t>
      </w:r>
      <w:r>
        <w:rPr/>
        <w:t>las</w:t>
      </w:r>
      <w:r>
        <w:rPr>
          <w:spacing w:val="-1"/>
        </w:rPr>
        <w:t> </w:t>
      </w:r>
      <w:r>
        <w:rPr/>
        <w:t>setenta y</w:t>
      </w:r>
      <w:r>
        <w:rPr>
          <w:spacing w:val="-4"/>
        </w:rPr>
        <w:t> </w:t>
      </w:r>
      <w:r>
        <w:rPr/>
        <w:t>dos</w:t>
      </w:r>
      <w:r>
        <w:rPr>
          <w:spacing w:val="-2"/>
        </w:rPr>
        <w:t> </w:t>
      </w:r>
      <w:r>
        <w:rPr/>
        <w:t>horas</w:t>
      </w:r>
      <w:r>
        <w:rPr>
          <w:spacing w:val="-2"/>
        </w:rPr>
        <w:t> </w:t>
      </w:r>
      <w:r>
        <w:rPr/>
        <w:t>siguientes</w:t>
      </w:r>
      <w:r>
        <w:rPr>
          <w:spacing w:val="-2"/>
        </w:rPr>
        <w:t> </w:t>
      </w:r>
      <w:r>
        <w:rPr/>
        <w:t>a</w:t>
      </w:r>
      <w:r>
        <w:rPr>
          <w:spacing w:val="-2"/>
        </w:rPr>
        <w:t> </w:t>
      </w:r>
      <w:r>
        <w:rPr/>
        <w:t>la</w:t>
      </w:r>
      <w:r>
        <w:rPr>
          <w:spacing w:val="-3"/>
        </w:rPr>
        <w:t> </w:t>
      </w:r>
      <w:r>
        <w:rPr/>
        <w:t>suspensión</w:t>
      </w:r>
      <w:r>
        <w:rPr>
          <w:spacing w:val="-3"/>
        </w:rPr>
        <w:t> </w:t>
      </w:r>
      <w:r>
        <w:rPr/>
        <w:t>del trabajo, declare la inexistencia de la huelga por las causas señaladas en el artículo 459 o por no haber cumplido los requisitos establecidos en el artículo 920 de esta Ley.</w:t>
      </w:r>
    </w:p>
    <w:p>
      <w:pPr>
        <w:pStyle w:val="BodyText"/>
        <w:spacing w:before="225"/>
        <w:ind w:left="338" w:right="347" w:firstLine="288"/>
        <w:jc w:val="both"/>
      </w:pPr>
      <w:r>
        <w:rPr/>
        <w:t>Si no se solicita la declaración de inexistencia, la huelga será considerada existente para todos los efectos legales, por lo que el Tribunal hará la declaratoria correspondiente.</w:t>
      </w:r>
    </w:p>
    <w:p>
      <w:pPr>
        <w:spacing w:line="180"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before="1"/>
        <w:ind w:left="338" w:right="343" w:firstLine="288"/>
        <w:jc w:val="both"/>
      </w:pPr>
      <w:bookmarkStart w:name="Artículo_930" w:id="1175"/>
      <w:bookmarkEnd w:id="1175"/>
      <w:r>
        <w:rPr/>
      </w:r>
      <w:r>
        <w:rPr>
          <w:rFonts w:ascii="Arial" w:hAnsi="Arial"/>
          <w:b/>
        </w:rPr>
        <w:t>Artículo 930.- </w:t>
      </w:r>
      <w:r>
        <w:rPr/>
        <w:t>En el procedimiento de declaración de inexistencia de la huelga, se observarán las normas siguientes:</w:t>
      </w:r>
    </w:p>
    <w:p>
      <w:pPr>
        <w:pStyle w:val="ListParagraph"/>
        <w:numPr>
          <w:ilvl w:val="0"/>
          <w:numId w:val="338"/>
        </w:numPr>
        <w:tabs>
          <w:tab w:pos="1193" w:val="left" w:leader="none"/>
          <w:tab w:pos="1195" w:val="left" w:leader="none"/>
        </w:tabs>
        <w:spacing w:line="240" w:lineRule="auto" w:before="224" w:after="0"/>
        <w:ind w:left="1195" w:right="337" w:hanging="569"/>
        <w:jc w:val="both"/>
        <w:rPr>
          <w:sz w:val="20"/>
        </w:rPr>
      </w:pPr>
      <w:r>
        <w:rPr>
          <w:sz w:val="20"/>
        </w:rPr>
        <w:t>La solicitud para que se declare la inexistencia de la huelga, se presentará por escrito, acompañada de una copia para cada uno de los patrones emplazados y de los sindicatos o coalición de trabajadores emplazantes. En la solicitud se indicarán las causas y fundamentos legales para ello. No podrán aducirse posteriormente causas distintas de inexistencia. En caso de que en la solicitud de inexistencia se haga valer la hipótesis señalada en la fracción I del artículo 459 de esta Ley, deberá ofrecerse la prueba de recuento observando lo establecido en su artículo 931;</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3"/>
        <w:rPr>
          <w:rFonts w:ascii="Times New Roman"/>
          <w:i/>
          <w:sz w:val="16"/>
        </w:rPr>
      </w:pPr>
    </w:p>
    <w:p>
      <w:pPr>
        <w:pStyle w:val="ListParagraph"/>
        <w:numPr>
          <w:ilvl w:val="0"/>
          <w:numId w:val="338"/>
        </w:numPr>
        <w:tabs>
          <w:tab w:pos="1192" w:val="left" w:leader="none"/>
          <w:tab w:pos="1195" w:val="left" w:leader="none"/>
        </w:tabs>
        <w:spacing w:line="242" w:lineRule="auto" w:before="0" w:after="0"/>
        <w:ind w:left="1195" w:right="341" w:hanging="569"/>
        <w:jc w:val="both"/>
        <w:rPr>
          <w:sz w:val="20"/>
        </w:rPr>
      </w:pPr>
      <w:r>
        <w:rPr>
          <w:sz w:val="20"/>
        </w:rPr>
        <w:t>El Tribunal correrá traslado de la solicitud con sus anexos y oirá a las partes en una audiencia de calificación de la huelga, que será también de ofrecimiento y recepción de pruebas, la cual deberá</w:t>
      </w:r>
      <w:r>
        <w:rPr>
          <w:spacing w:val="-2"/>
          <w:sz w:val="20"/>
        </w:rPr>
        <w:t> </w:t>
      </w:r>
      <w:r>
        <w:rPr>
          <w:sz w:val="20"/>
        </w:rPr>
        <w:t>celebrarse</w:t>
      </w:r>
      <w:r>
        <w:rPr>
          <w:spacing w:val="-2"/>
          <w:sz w:val="20"/>
        </w:rPr>
        <w:t> </w:t>
      </w:r>
      <w:r>
        <w:rPr>
          <w:sz w:val="20"/>
        </w:rPr>
        <w:t>dentro</w:t>
      </w:r>
      <w:r>
        <w:rPr>
          <w:spacing w:val="-2"/>
          <w:sz w:val="20"/>
        </w:rPr>
        <w:t> </w:t>
      </w:r>
      <w:r>
        <w:rPr>
          <w:sz w:val="20"/>
        </w:rPr>
        <w:t>de</w:t>
      </w:r>
      <w:r>
        <w:rPr>
          <w:spacing w:val="-2"/>
          <w:sz w:val="20"/>
        </w:rPr>
        <w:t> </w:t>
      </w:r>
      <w:r>
        <w:rPr>
          <w:sz w:val="20"/>
        </w:rPr>
        <w:t>un</w:t>
      </w:r>
      <w:r>
        <w:rPr>
          <w:spacing w:val="-2"/>
          <w:sz w:val="20"/>
        </w:rPr>
        <w:t> </w:t>
      </w:r>
      <w:r>
        <w:rPr>
          <w:sz w:val="20"/>
        </w:rPr>
        <w:t>término</w:t>
      </w:r>
      <w:r>
        <w:rPr>
          <w:spacing w:val="-3"/>
          <w:sz w:val="20"/>
        </w:rPr>
        <w:t> </w:t>
      </w:r>
      <w:r>
        <w:rPr>
          <w:sz w:val="20"/>
        </w:rPr>
        <w:t>no</w:t>
      </w:r>
      <w:r>
        <w:rPr>
          <w:spacing w:val="-3"/>
          <w:sz w:val="20"/>
        </w:rPr>
        <w:t> </w:t>
      </w:r>
      <w:r>
        <w:rPr>
          <w:sz w:val="20"/>
        </w:rPr>
        <w:t>mayor</w:t>
      </w:r>
      <w:r>
        <w:rPr>
          <w:spacing w:val="-1"/>
          <w:sz w:val="20"/>
        </w:rPr>
        <w:t> </w:t>
      </w:r>
      <w:r>
        <w:rPr>
          <w:sz w:val="20"/>
        </w:rPr>
        <w:t>de</w:t>
      </w:r>
      <w:r>
        <w:rPr>
          <w:spacing w:val="-2"/>
          <w:sz w:val="20"/>
        </w:rPr>
        <w:t> </w:t>
      </w:r>
      <w:r>
        <w:rPr>
          <w:sz w:val="20"/>
        </w:rPr>
        <w:t>cinco</w:t>
      </w:r>
      <w:r>
        <w:rPr>
          <w:spacing w:val="-2"/>
          <w:sz w:val="20"/>
        </w:rPr>
        <w:t> </w:t>
      </w:r>
      <w:r>
        <w:rPr>
          <w:sz w:val="20"/>
        </w:rPr>
        <w:t>días y</w:t>
      </w:r>
      <w:r>
        <w:rPr>
          <w:spacing w:val="-8"/>
          <w:sz w:val="20"/>
        </w:rPr>
        <w:t> </w:t>
      </w:r>
      <w:r>
        <w:rPr>
          <w:sz w:val="20"/>
        </w:rPr>
        <w:t>ser</w:t>
      </w:r>
      <w:r>
        <w:rPr>
          <w:spacing w:val="-1"/>
          <w:sz w:val="20"/>
        </w:rPr>
        <w:t> </w:t>
      </w:r>
      <w:r>
        <w:rPr>
          <w:sz w:val="20"/>
        </w:rPr>
        <w:t>notificada</w:t>
      </w:r>
      <w:r>
        <w:rPr>
          <w:spacing w:val="-2"/>
          <w:sz w:val="20"/>
        </w:rPr>
        <w:t> </w:t>
      </w:r>
      <w:r>
        <w:rPr>
          <w:sz w:val="20"/>
        </w:rPr>
        <w:t>con</w:t>
      </w:r>
      <w:r>
        <w:rPr>
          <w:spacing w:val="-3"/>
          <w:sz w:val="20"/>
        </w:rPr>
        <w:t> </w:t>
      </w:r>
      <w:r>
        <w:rPr>
          <w:sz w:val="20"/>
        </w:rPr>
        <w:t>anticipación de tres días a su celebración;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1"/>
        <w:rPr>
          <w:rFonts w:ascii="Times New Roman"/>
          <w:i/>
          <w:sz w:val="16"/>
        </w:rPr>
      </w:pPr>
    </w:p>
    <w:p>
      <w:pPr>
        <w:pStyle w:val="ListParagraph"/>
        <w:numPr>
          <w:ilvl w:val="0"/>
          <w:numId w:val="338"/>
        </w:numPr>
        <w:tabs>
          <w:tab w:pos="1191" w:val="left" w:leader="none"/>
          <w:tab w:pos="1195" w:val="left" w:leader="none"/>
        </w:tabs>
        <w:spacing w:line="242" w:lineRule="auto" w:before="0" w:after="0"/>
        <w:ind w:left="1195" w:right="342" w:hanging="569"/>
        <w:jc w:val="both"/>
        <w:rPr>
          <w:sz w:val="20"/>
        </w:rPr>
      </w:pPr>
      <w:r>
        <w:rPr>
          <w:sz w:val="20"/>
        </w:rPr>
        <w:t>Las pruebas deberán referirse a las causas de inexistencia contenidas en la solicitud mencionada en la fracción I, y cuando la solicitud se hubiere presentado por terceros, las que además tiendan</w:t>
      </w:r>
      <w:r>
        <w:rPr>
          <w:spacing w:val="-1"/>
          <w:sz w:val="20"/>
        </w:rPr>
        <w:t> </w:t>
      </w:r>
      <w:r>
        <w:rPr>
          <w:sz w:val="20"/>
        </w:rPr>
        <w:t>a</w:t>
      </w:r>
      <w:r>
        <w:rPr>
          <w:spacing w:val="-1"/>
          <w:sz w:val="20"/>
        </w:rPr>
        <w:t> </w:t>
      </w:r>
      <w:r>
        <w:rPr>
          <w:sz w:val="20"/>
        </w:rPr>
        <w:t>comprobar su</w:t>
      </w:r>
      <w:r>
        <w:rPr>
          <w:spacing w:val="-1"/>
          <w:sz w:val="20"/>
        </w:rPr>
        <w:t> </w:t>
      </w:r>
      <w:r>
        <w:rPr>
          <w:sz w:val="20"/>
        </w:rPr>
        <w:t>interés. El</w:t>
      </w:r>
      <w:r>
        <w:rPr>
          <w:spacing w:val="-1"/>
          <w:sz w:val="20"/>
        </w:rPr>
        <w:t> </w:t>
      </w:r>
      <w:r>
        <w:rPr>
          <w:sz w:val="20"/>
        </w:rPr>
        <w:t>Tribunal</w:t>
      </w:r>
      <w:r>
        <w:rPr>
          <w:spacing w:val="-2"/>
          <w:sz w:val="20"/>
        </w:rPr>
        <w:t> </w:t>
      </w:r>
      <w:r>
        <w:rPr>
          <w:sz w:val="20"/>
        </w:rPr>
        <w:t>aceptará únicamente</w:t>
      </w:r>
      <w:r>
        <w:rPr>
          <w:spacing w:val="-1"/>
          <w:sz w:val="20"/>
        </w:rPr>
        <w:t> </w:t>
      </w:r>
      <w:r>
        <w:rPr>
          <w:sz w:val="20"/>
        </w:rPr>
        <w:t>las que satisfagan</w:t>
      </w:r>
      <w:r>
        <w:rPr>
          <w:spacing w:val="-1"/>
          <w:sz w:val="20"/>
        </w:rPr>
        <w:t> </w:t>
      </w:r>
      <w:r>
        <w:rPr>
          <w:sz w:val="20"/>
        </w:rPr>
        <w:t>los requisitos señalados;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38"/>
        </w:numPr>
        <w:tabs>
          <w:tab w:pos="1195" w:val="left" w:leader="none"/>
        </w:tabs>
        <w:spacing w:line="240" w:lineRule="auto" w:before="0" w:after="0"/>
        <w:ind w:left="1195" w:right="339" w:hanging="569"/>
        <w:jc w:val="both"/>
        <w:rPr>
          <w:sz w:val="20"/>
        </w:rPr>
      </w:pPr>
      <w:r>
        <w:rPr>
          <w:sz w:val="20"/>
        </w:rPr>
        <w:t>Las pruebas se rendirán en la audiencia de calificación de la huelga, salvo lo dispuesto en el artículo 931 de esta Ley. Sólo en casos excepcionales podrá el Tribunal diferir la recepción de las pruebas que por su naturaleza no puedan desahogarse en la audiencia de calificación de la huelga, y</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38"/>
        </w:numPr>
        <w:tabs>
          <w:tab w:pos="1195" w:val="left" w:leader="none"/>
        </w:tabs>
        <w:spacing w:line="242" w:lineRule="auto" w:before="0" w:after="0"/>
        <w:ind w:left="1195" w:right="346" w:hanging="569"/>
        <w:jc w:val="left"/>
        <w:rPr>
          <w:sz w:val="20"/>
        </w:rPr>
      </w:pPr>
      <w:r>
        <w:rPr>
          <w:sz w:val="20"/>
        </w:rPr>
        <w:t>Concluida la recepción de las pruebas, el Tribunal, dentro de las veinticuatro horas siguientes, resolverá sobre la existencia o inexistencia del estado legal de la huelga.</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sz w:val="12"/>
        </w:rPr>
      </w:pPr>
    </w:p>
    <w:p>
      <w:pPr>
        <w:pStyle w:val="BodyText"/>
        <w:spacing w:after="0"/>
        <w:rPr>
          <w:rFonts w:ascii="Times New Roman"/>
          <w:i/>
          <w:sz w:val="12"/>
        </w:rPr>
        <w:sectPr>
          <w:pgSz w:w="12240" w:h="15840"/>
          <w:pgMar w:header="724" w:footer="712" w:top="1880" w:bottom="900" w:left="1080" w:right="1080"/>
        </w:sectPr>
      </w:pPr>
    </w:p>
    <w:p>
      <w:pPr>
        <w:pStyle w:val="ListParagraph"/>
        <w:numPr>
          <w:ilvl w:val="0"/>
          <w:numId w:val="338"/>
        </w:numPr>
        <w:tabs>
          <w:tab w:pos="1195" w:val="left" w:leader="none"/>
        </w:tabs>
        <w:spacing w:line="240" w:lineRule="auto" w:before="93" w:after="0"/>
        <w:ind w:left="119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626" w:right="0" w:firstLine="45"/>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i/>
          <w:sz w:val="16"/>
        </w:rPr>
        <w:sectPr>
          <w:type w:val="continuous"/>
          <w:pgSz w:w="12240" w:h="15840"/>
          <w:pgMar w:header="724" w:footer="712" w:top="1880" w:bottom="900" w:left="1080" w:right="1080"/>
          <w:cols w:num="2" w:equalWidth="0">
            <w:col w:w="2213" w:space="4462"/>
            <w:col w:w="3405"/>
          </w:cols>
        </w:sectPr>
      </w:pPr>
    </w:p>
    <w:p>
      <w:pPr>
        <w:pStyle w:val="BodyText"/>
        <w:rPr>
          <w:rFonts w:ascii="Times New Roman"/>
          <w:i/>
        </w:rPr>
      </w:pPr>
    </w:p>
    <w:p>
      <w:pPr>
        <w:pStyle w:val="BodyText"/>
        <w:spacing w:line="242" w:lineRule="auto"/>
        <w:ind w:left="338" w:firstLine="288"/>
      </w:pPr>
      <w:bookmarkStart w:name="Artículo_931" w:id="1176"/>
      <w:bookmarkEnd w:id="1176"/>
      <w:r>
        <w:rPr/>
      </w:r>
      <w:r>
        <w:rPr>
          <w:rFonts w:ascii="Arial" w:hAnsi="Arial"/>
          <w:b/>
        </w:rPr>
        <w:t>Artículo 931.- </w:t>
      </w:r>
      <w:r>
        <w:rPr/>
        <w:t>Si se ofrece como prueba el recuento de los trabajadores, se observarán las normas</w:t>
      </w:r>
      <w:r>
        <w:rPr>
          <w:spacing w:val="80"/>
        </w:rPr>
        <w:t> </w:t>
      </w:r>
      <w:r>
        <w:rPr>
          <w:spacing w:val="-2"/>
        </w:rPr>
        <w:t>siguientes:</w:t>
      </w:r>
    </w:p>
    <w:p>
      <w:pPr>
        <w:pStyle w:val="ListParagraph"/>
        <w:numPr>
          <w:ilvl w:val="0"/>
          <w:numId w:val="339"/>
        </w:numPr>
        <w:tabs>
          <w:tab w:pos="1195" w:val="left" w:leader="none"/>
        </w:tabs>
        <w:spacing w:line="240" w:lineRule="auto" w:before="224" w:after="0"/>
        <w:ind w:left="1195" w:right="0" w:hanging="569"/>
        <w:jc w:val="left"/>
        <w:rPr>
          <w:sz w:val="20"/>
        </w:rPr>
      </w:pPr>
      <w:r>
        <w:rPr>
          <w:sz w:val="20"/>
        </w:rPr>
        <w:t>Se</w:t>
      </w:r>
      <w:r>
        <w:rPr>
          <w:spacing w:val="-5"/>
          <w:sz w:val="20"/>
        </w:rPr>
        <w:t> </w:t>
      </w:r>
      <w:r>
        <w:rPr>
          <w:spacing w:val="-2"/>
          <w:sz w:val="20"/>
        </w:rPr>
        <w:t>deroga.</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339"/>
        </w:numPr>
        <w:tabs>
          <w:tab w:pos="1195" w:val="left" w:leader="none"/>
        </w:tabs>
        <w:spacing w:line="240" w:lineRule="auto" w:before="0" w:after="0"/>
        <w:ind w:left="1195" w:right="0" w:hanging="569"/>
        <w:jc w:val="left"/>
        <w:rPr>
          <w:sz w:val="20"/>
        </w:rPr>
      </w:pPr>
      <w:r>
        <w:rPr>
          <w:sz w:val="20"/>
        </w:rPr>
        <w:t>Unicamente</w:t>
      </w:r>
      <w:r>
        <w:rPr>
          <w:spacing w:val="-8"/>
          <w:sz w:val="20"/>
        </w:rPr>
        <w:t> </w:t>
      </w:r>
      <w:r>
        <w:rPr>
          <w:sz w:val="20"/>
        </w:rPr>
        <w:t>tendrán</w:t>
      </w:r>
      <w:r>
        <w:rPr>
          <w:spacing w:val="-7"/>
          <w:sz w:val="20"/>
        </w:rPr>
        <w:t> </w:t>
      </w:r>
      <w:r>
        <w:rPr>
          <w:sz w:val="20"/>
        </w:rPr>
        <w:t>derecho</w:t>
      </w:r>
      <w:r>
        <w:rPr>
          <w:spacing w:val="-7"/>
          <w:sz w:val="20"/>
        </w:rPr>
        <w:t> </w:t>
      </w:r>
      <w:r>
        <w:rPr>
          <w:sz w:val="20"/>
        </w:rPr>
        <w:t>a</w:t>
      </w:r>
      <w:r>
        <w:rPr>
          <w:spacing w:val="-5"/>
          <w:sz w:val="20"/>
        </w:rPr>
        <w:t> </w:t>
      </w:r>
      <w:r>
        <w:rPr>
          <w:sz w:val="20"/>
        </w:rPr>
        <w:t>votar</w:t>
      </w:r>
      <w:r>
        <w:rPr>
          <w:spacing w:val="-7"/>
          <w:sz w:val="20"/>
        </w:rPr>
        <w:t> </w:t>
      </w:r>
      <w:r>
        <w:rPr>
          <w:sz w:val="20"/>
        </w:rPr>
        <w:t>los</w:t>
      </w:r>
      <w:r>
        <w:rPr>
          <w:spacing w:val="-5"/>
          <w:sz w:val="20"/>
        </w:rPr>
        <w:t> </w:t>
      </w:r>
      <w:r>
        <w:rPr>
          <w:sz w:val="20"/>
        </w:rPr>
        <w:t>trabajadores</w:t>
      </w:r>
      <w:r>
        <w:rPr>
          <w:spacing w:val="-4"/>
          <w:sz w:val="20"/>
        </w:rPr>
        <w:t> </w:t>
      </w:r>
      <w:r>
        <w:rPr>
          <w:sz w:val="20"/>
        </w:rPr>
        <w:t>de</w:t>
      </w:r>
      <w:r>
        <w:rPr>
          <w:spacing w:val="-8"/>
          <w:sz w:val="20"/>
        </w:rPr>
        <w:t> </w:t>
      </w:r>
      <w:r>
        <w:rPr>
          <w:sz w:val="20"/>
        </w:rPr>
        <w:t>la</w:t>
      </w:r>
      <w:r>
        <w:rPr>
          <w:spacing w:val="-7"/>
          <w:sz w:val="20"/>
        </w:rPr>
        <w:t> </w:t>
      </w:r>
      <w:r>
        <w:rPr>
          <w:sz w:val="20"/>
        </w:rPr>
        <w:t>empresa</w:t>
      </w:r>
      <w:r>
        <w:rPr>
          <w:spacing w:val="-6"/>
          <w:sz w:val="20"/>
        </w:rPr>
        <w:t> </w:t>
      </w:r>
      <w:r>
        <w:rPr>
          <w:sz w:val="20"/>
        </w:rPr>
        <w:t>que</w:t>
      </w:r>
      <w:r>
        <w:rPr>
          <w:spacing w:val="-8"/>
          <w:sz w:val="20"/>
        </w:rPr>
        <w:t> </w:t>
      </w:r>
      <w:r>
        <w:rPr>
          <w:sz w:val="20"/>
        </w:rPr>
        <w:t>concurran</w:t>
      </w:r>
      <w:r>
        <w:rPr>
          <w:spacing w:val="-7"/>
          <w:sz w:val="20"/>
        </w:rPr>
        <w:t> </w:t>
      </w:r>
      <w:r>
        <w:rPr>
          <w:sz w:val="20"/>
        </w:rPr>
        <w:t>al</w:t>
      </w:r>
      <w:r>
        <w:rPr>
          <w:spacing w:val="-8"/>
          <w:sz w:val="20"/>
        </w:rPr>
        <w:t> </w:t>
      </w:r>
      <w:r>
        <w:rPr>
          <w:spacing w:val="-2"/>
          <w:sz w:val="20"/>
        </w:rPr>
        <w:t>recuento;</w:t>
      </w:r>
    </w:p>
    <w:p>
      <w:pPr>
        <w:pStyle w:val="ListParagraph"/>
        <w:spacing w:after="0" w:line="240" w:lineRule="auto"/>
        <w:jc w:val="left"/>
        <w:rPr>
          <w:sz w:val="20"/>
        </w:rPr>
        <w:sectPr>
          <w:type w:val="continuous"/>
          <w:pgSz w:w="12240" w:h="15840"/>
          <w:pgMar w:header="724" w:footer="712" w:top="1880" w:bottom="900" w:left="1080" w:right="1080"/>
        </w:sectPr>
      </w:pPr>
    </w:p>
    <w:p>
      <w:pPr>
        <w:pStyle w:val="BodyText"/>
      </w:pPr>
    </w:p>
    <w:p>
      <w:pPr>
        <w:pStyle w:val="BodyText"/>
        <w:spacing w:before="63"/>
      </w:pPr>
    </w:p>
    <w:p>
      <w:pPr>
        <w:pStyle w:val="ListParagraph"/>
        <w:numPr>
          <w:ilvl w:val="0"/>
          <w:numId w:val="339"/>
        </w:numPr>
        <w:tabs>
          <w:tab w:pos="1191" w:val="left" w:leader="none"/>
          <w:tab w:pos="1195" w:val="left" w:leader="none"/>
        </w:tabs>
        <w:spacing w:line="242" w:lineRule="auto" w:before="0" w:after="0"/>
        <w:ind w:left="1195" w:right="344" w:hanging="569"/>
        <w:jc w:val="both"/>
        <w:rPr>
          <w:sz w:val="20"/>
        </w:rPr>
      </w:pPr>
      <w:r>
        <w:rPr>
          <w:sz w:val="20"/>
        </w:rPr>
        <w:t>Serán considerados trabajadores de la empresa los que hubiesen sido despedidos del trabajo después de la fecha de presentación del escrito de emplazamiento;</w:t>
      </w:r>
    </w:p>
    <w:p>
      <w:pPr>
        <w:pStyle w:val="ListParagraph"/>
        <w:numPr>
          <w:ilvl w:val="0"/>
          <w:numId w:val="339"/>
        </w:numPr>
        <w:tabs>
          <w:tab w:pos="1195" w:val="left" w:leader="none"/>
        </w:tabs>
        <w:spacing w:line="240" w:lineRule="auto" w:before="227" w:after="0"/>
        <w:ind w:left="1195" w:right="343" w:hanging="569"/>
        <w:jc w:val="both"/>
        <w:rPr>
          <w:sz w:val="20"/>
        </w:rPr>
      </w:pPr>
      <w:r>
        <w:rPr>
          <w:sz w:val="20"/>
        </w:rPr>
        <w:t>No se computarán los votos de los trabajadores de confianza, ni los de los trabajadores que hayan ingresado al trabajo con posterioridad a la fecha de presentación del escrito de emplazamiento de huelga; y</w:t>
      </w:r>
    </w:p>
    <w:p>
      <w:pPr>
        <w:pStyle w:val="ListParagraph"/>
        <w:numPr>
          <w:ilvl w:val="0"/>
          <w:numId w:val="339"/>
        </w:numPr>
        <w:tabs>
          <w:tab w:pos="1195" w:val="left" w:leader="none"/>
        </w:tabs>
        <w:spacing w:line="242" w:lineRule="auto" w:before="226" w:after="0"/>
        <w:ind w:left="1195" w:right="339" w:hanging="569"/>
        <w:jc w:val="both"/>
        <w:rPr>
          <w:sz w:val="20"/>
        </w:rPr>
      </w:pPr>
      <w:r>
        <w:rPr>
          <w:sz w:val="20"/>
        </w:rPr>
        <w:t>El ofrecimiento de la prueba de recuento debe hacerse en el escrito de solicitud de la inexistencia de la huelga contemplado en la fracción I del artículo 930 de esta Ley, al que se acompañará el listado con los nombres de los trabajadores que serán consultados, para que se le corra traslado con éste a la parte contraria;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39"/>
        </w:numPr>
        <w:tabs>
          <w:tab w:pos="1195" w:val="left" w:leader="none"/>
        </w:tabs>
        <w:spacing w:line="240" w:lineRule="auto" w:before="0" w:after="0"/>
        <w:ind w:left="1195" w:right="336" w:hanging="569"/>
        <w:jc w:val="both"/>
        <w:rPr>
          <w:sz w:val="20"/>
        </w:rPr>
      </w:pPr>
      <w:r>
        <w:rPr>
          <w:sz w:val="20"/>
        </w:rPr>
        <w:t>La contraparte de quien solicitó la inexistencia de la huelga, al momento de hacer sus manifestaciones sobre las causales de inexistencia, exhibirá en la audiencia de calificación de</w:t>
      </w:r>
      <w:r>
        <w:rPr>
          <w:spacing w:val="40"/>
          <w:sz w:val="20"/>
        </w:rPr>
        <w:t> </w:t>
      </w:r>
      <w:r>
        <w:rPr>
          <w:sz w:val="20"/>
        </w:rPr>
        <w:t>la huelga el listado con los nombres de los trabajadores que en su opinión tienen derecho a participar en el recuento. La audiencia de calificación de la huelga será diferida en términos de fracción IV del artículo 930 de esta Ley, a fin de preparar y desahogar la prueba de recuento mediante voto personal, libre, directo y secreto;</w:t>
      </w:r>
    </w:p>
    <w:p>
      <w:pPr>
        <w:spacing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39"/>
        </w:numPr>
        <w:tabs>
          <w:tab w:pos="1193" w:val="left" w:leader="none"/>
          <w:tab w:pos="1195" w:val="left" w:leader="none"/>
        </w:tabs>
        <w:spacing w:line="240" w:lineRule="auto" w:before="0" w:after="0"/>
        <w:ind w:left="1195" w:right="339" w:hanging="569"/>
        <w:jc w:val="both"/>
        <w:rPr>
          <w:sz w:val="20"/>
        </w:rPr>
      </w:pPr>
      <w:r>
        <w:rPr>
          <w:sz w:val="20"/>
        </w:rPr>
        <w:t>En caso de que los listados de trabajadores ofrecidos por las partes y de los elementos recabados se advierta que existe</w:t>
      </w:r>
      <w:r>
        <w:rPr>
          <w:spacing w:val="-1"/>
          <w:sz w:val="20"/>
        </w:rPr>
        <w:t> </w:t>
      </w:r>
      <w:r>
        <w:rPr>
          <w:sz w:val="20"/>
        </w:rPr>
        <w:t>coincidencia en los mismos o</w:t>
      </w:r>
      <w:r>
        <w:rPr>
          <w:spacing w:val="-1"/>
          <w:sz w:val="20"/>
        </w:rPr>
        <w:t> </w:t>
      </w:r>
      <w:r>
        <w:rPr>
          <w:sz w:val="20"/>
        </w:rPr>
        <w:t>de que las partes convengan en elaborar uno sólo, el Tribunal lo tomará para que sirva de padrón. En caso de existir diferencias sobre los listados, se dará vista a las partes en la audiencia de calificación de la huelga para</w:t>
      </w:r>
      <w:r>
        <w:rPr>
          <w:spacing w:val="40"/>
          <w:sz w:val="20"/>
        </w:rPr>
        <w:t> </w:t>
      </w:r>
      <w:r>
        <w:rPr>
          <w:sz w:val="20"/>
        </w:rPr>
        <w:t>que hagan las objeciones al listado presentado por su contraria, en cuyo caso se abrirá un incidente en el que las partes deberán ofrecer y rendir las pruebas relacionadas con sus objeciones,</w:t>
      </w:r>
      <w:r>
        <w:rPr>
          <w:spacing w:val="-2"/>
          <w:sz w:val="20"/>
        </w:rPr>
        <w:t> </w:t>
      </w:r>
      <w:r>
        <w:rPr>
          <w:sz w:val="20"/>
        </w:rPr>
        <w:t>que se</w:t>
      </w:r>
      <w:r>
        <w:rPr>
          <w:spacing w:val="-2"/>
          <w:sz w:val="20"/>
        </w:rPr>
        <w:t> </w:t>
      </w:r>
      <w:r>
        <w:rPr>
          <w:sz w:val="20"/>
        </w:rPr>
        <w:t>sustanciará en las</w:t>
      </w:r>
      <w:r>
        <w:rPr>
          <w:spacing w:val="-1"/>
          <w:sz w:val="20"/>
        </w:rPr>
        <w:t> </w:t>
      </w:r>
      <w:r>
        <w:rPr>
          <w:sz w:val="20"/>
        </w:rPr>
        <w:t>setenta y</w:t>
      </w:r>
      <w:r>
        <w:rPr>
          <w:spacing w:val="-3"/>
          <w:sz w:val="20"/>
        </w:rPr>
        <w:t> </w:t>
      </w:r>
      <w:r>
        <w:rPr>
          <w:sz w:val="20"/>
        </w:rPr>
        <w:t>dos horas siguientes. Una vez</w:t>
      </w:r>
      <w:r>
        <w:rPr>
          <w:spacing w:val="-3"/>
          <w:sz w:val="20"/>
        </w:rPr>
        <w:t> </w:t>
      </w:r>
      <w:r>
        <w:rPr>
          <w:sz w:val="20"/>
        </w:rPr>
        <w:t>desahogadas las pruebas ofrecidas por las partes, el Juez elaborará el padrón que servirá para el recuento;</w:t>
      </w:r>
    </w:p>
    <w:p>
      <w:pPr>
        <w:spacing w:before="1"/>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39"/>
        </w:numPr>
        <w:tabs>
          <w:tab w:pos="1193" w:val="left" w:leader="none"/>
          <w:tab w:pos="1195" w:val="left" w:leader="none"/>
        </w:tabs>
        <w:spacing w:line="240" w:lineRule="auto" w:before="0" w:after="0"/>
        <w:ind w:left="1195" w:right="338" w:hanging="569"/>
        <w:jc w:val="both"/>
        <w:rPr>
          <w:sz w:val="20"/>
        </w:rPr>
      </w:pPr>
      <w:r>
        <w:rPr>
          <w:sz w:val="20"/>
        </w:rPr>
        <w:t>Dentro de los cinco días siguientes el Tribunal señalará el lugar, día y hora en que deba efectuarse</w:t>
      </w:r>
      <w:r>
        <w:rPr>
          <w:spacing w:val="-1"/>
          <w:sz w:val="20"/>
        </w:rPr>
        <w:t> </w:t>
      </w:r>
      <w:r>
        <w:rPr>
          <w:sz w:val="20"/>
        </w:rPr>
        <w:t>el</w:t>
      </w:r>
      <w:r>
        <w:rPr>
          <w:spacing w:val="-2"/>
          <w:sz w:val="20"/>
        </w:rPr>
        <w:t> </w:t>
      </w:r>
      <w:r>
        <w:rPr>
          <w:sz w:val="20"/>
        </w:rPr>
        <w:t>recuento de los trabajadores, el cual deberá llevarse</w:t>
      </w:r>
      <w:r>
        <w:rPr>
          <w:spacing w:val="-1"/>
          <w:sz w:val="20"/>
        </w:rPr>
        <w:t> </w:t>
      </w:r>
      <w:r>
        <w:rPr>
          <w:sz w:val="20"/>
        </w:rPr>
        <w:t>a cabo dentro de un plazo no mayor a</w:t>
      </w:r>
      <w:r>
        <w:rPr>
          <w:spacing w:val="-1"/>
          <w:sz w:val="20"/>
        </w:rPr>
        <w:t> </w:t>
      </w:r>
      <w:r>
        <w:rPr>
          <w:sz w:val="20"/>
        </w:rPr>
        <w:t>diez</w:t>
      </w:r>
      <w:r>
        <w:rPr>
          <w:spacing w:val="-2"/>
          <w:sz w:val="20"/>
        </w:rPr>
        <w:t> </w:t>
      </w:r>
      <w:r>
        <w:rPr>
          <w:sz w:val="20"/>
        </w:rPr>
        <w:t>días;</w:t>
      </w:r>
      <w:r>
        <w:rPr>
          <w:spacing w:val="-1"/>
          <w:sz w:val="20"/>
        </w:rPr>
        <w:t> </w:t>
      </w:r>
      <w:r>
        <w:rPr>
          <w:sz w:val="20"/>
        </w:rPr>
        <w:t>este</w:t>
      </w:r>
      <w:r>
        <w:rPr>
          <w:spacing w:val="-1"/>
          <w:sz w:val="20"/>
        </w:rPr>
        <w:t> </w:t>
      </w:r>
      <w:r>
        <w:rPr>
          <w:sz w:val="20"/>
        </w:rPr>
        <w:t>plazo</w:t>
      </w:r>
      <w:r>
        <w:rPr>
          <w:spacing w:val="-1"/>
          <w:sz w:val="20"/>
        </w:rPr>
        <w:t> </w:t>
      </w:r>
      <w:r>
        <w:rPr>
          <w:sz w:val="20"/>
        </w:rPr>
        <w:t>podrá</w:t>
      </w:r>
      <w:r>
        <w:rPr>
          <w:spacing w:val="-1"/>
          <w:sz w:val="20"/>
        </w:rPr>
        <w:t> </w:t>
      </w:r>
      <w:r>
        <w:rPr>
          <w:sz w:val="20"/>
        </w:rPr>
        <w:t>prorrogarse</w:t>
      </w:r>
      <w:r>
        <w:rPr>
          <w:spacing w:val="-1"/>
          <w:sz w:val="20"/>
        </w:rPr>
        <w:t> </w:t>
      </w:r>
      <w:r>
        <w:rPr>
          <w:sz w:val="20"/>
        </w:rPr>
        <w:t>por un</w:t>
      </w:r>
      <w:r>
        <w:rPr>
          <w:spacing w:val="-1"/>
          <w:sz w:val="20"/>
        </w:rPr>
        <w:t> </w:t>
      </w:r>
      <w:r>
        <w:rPr>
          <w:sz w:val="20"/>
        </w:rPr>
        <w:t>período</w:t>
      </w:r>
      <w:r>
        <w:rPr>
          <w:spacing w:val="-2"/>
          <w:sz w:val="20"/>
        </w:rPr>
        <w:t> </w:t>
      </w:r>
      <w:r>
        <w:rPr>
          <w:sz w:val="20"/>
        </w:rPr>
        <w:t>igual</w:t>
      </w:r>
      <w:r>
        <w:rPr>
          <w:spacing w:val="-2"/>
          <w:sz w:val="20"/>
        </w:rPr>
        <w:t> </w:t>
      </w:r>
      <w:r>
        <w:rPr>
          <w:sz w:val="20"/>
        </w:rPr>
        <w:t>en</w:t>
      </w:r>
      <w:r>
        <w:rPr>
          <w:spacing w:val="-2"/>
          <w:sz w:val="20"/>
        </w:rPr>
        <w:t> </w:t>
      </w:r>
      <w:r>
        <w:rPr>
          <w:sz w:val="20"/>
        </w:rPr>
        <w:t>caso de que</w:t>
      </w:r>
      <w:r>
        <w:rPr>
          <w:spacing w:val="-1"/>
          <w:sz w:val="20"/>
        </w:rPr>
        <w:t> </w:t>
      </w:r>
      <w:r>
        <w:rPr>
          <w:sz w:val="20"/>
        </w:rPr>
        <w:t>a</w:t>
      </w:r>
      <w:r>
        <w:rPr>
          <w:spacing w:val="-1"/>
          <w:sz w:val="20"/>
        </w:rPr>
        <w:t> </w:t>
      </w:r>
      <w:r>
        <w:rPr>
          <w:sz w:val="20"/>
        </w:rPr>
        <w:t>juicio</w:t>
      </w:r>
      <w:r>
        <w:rPr>
          <w:spacing w:val="-1"/>
          <w:sz w:val="20"/>
        </w:rPr>
        <w:t> </w:t>
      </w:r>
      <w:r>
        <w:rPr>
          <w:sz w:val="20"/>
        </w:rPr>
        <w:t>del Tribunal exista imposibilidad material de realizar el recuento dentro de dicho plazo. La consulta</w:t>
      </w:r>
      <w:r>
        <w:rPr>
          <w:spacing w:val="40"/>
          <w:sz w:val="20"/>
        </w:rPr>
        <w:t> </w:t>
      </w:r>
      <w:r>
        <w:rPr>
          <w:sz w:val="20"/>
        </w:rPr>
        <w:t>a</w:t>
      </w:r>
      <w:r>
        <w:rPr>
          <w:spacing w:val="-2"/>
          <w:sz w:val="20"/>
        </w:rPr>
        <w:t> </w:t>
      </w:r>
      <w:r>
        <w:rPr>
          <w:sz w:val="20"/>
        </w:rPr>
        <w:t>los</w:t>
      </w:r>
      <w:r>
        <w:rPr>
          <w:spacing w:val="-1"/>
          <w:sz w:val="20"/>
        </w:rPr>
        <w:t> </w:t>
      </w:r>
      <w:r>
        <w:rPr>
          <w:sz w:val="20"/>
        </w:rPr>
        <w:t>trabajadores</w:t>
      </w:r>
      <w:r>
        <w:rPr>
          <w:spacing w:val="-1"/>
          <w:sz w:val="20"/>
        </w:rPr>
        <w:t> </w:t>
      </w:r>
      <w:r>
        <w:rPr>
          <w:sz w:val="20"/>
        </w:rPr>
        <w:t>se</w:t>
      </w:r>
      <w:r>
        <w:rPr>
          <w:spacing w:val="-2"/>
          <w:sz w:val="20"/>
        </w:rPr>
        <w:t> </w:t>
      </w:r>
      <w:r>
        <w:rPr>
          <w:sz w:val="20"/>
        </w:rPr>
        <w:t>realizará</w:t>
      </w:r>
      <w:r>
        <w:rPr>
          <w:spacing w:val="-2"/>
          <w:sz w:val="20"/>
        </w:rPr>
        <w:t> </w:t>
      </w:r>
      <w:r>
        <w:rPr>
          <w:sz w:val="20"/>
        </w:rPr>
        <w:t>mediante voto personal,</w:t>
      </w:r>
      <w:r>
        <w:rPr>
          <w:spacing w:val="-2"/>
          <w:sz w:val="20"/>
        </w:rPr>
        <w:t> </w:t>
      </w:r>
      <w:r>
        <w:rPr>
          <w:sz w:val="20"/>
        </w:rPr>
        <w:t>libre,</w:t>
      </w:r>
      <w:r>
        <w:rPr>
          <w:spacing w:val="-2"/>
          <w:sz w:val="20"/>
        </w:rPr>
        <w:t> </w:t>
      </w:r>
      <w:r>
        <w:rPr>
          <w:sz w:val="20"/>
        </w:rPr>
        <w:t>directo y</w:t>
      </w:r>
      <w:r>
        <w:rPr>
          <w:spacing w:val="-5"/>
          <w:sz w:val="20"/>
        </w:rPr>
        <w:t> </w:t>
      </w:r>
      <w:r>
        <w:rPr>
          <w:sz w:val="20"/>
        </w:rPr>
        <w:t>secreto,</w:t>
      </w:r>
      <w:r>
        <w:rPr>
          <w:spacing w:val="-2"/>
          <w:sz w:val="20"/>
        </w:rPr>
        <w:t> </w:t>
      </w:r>
      <w:r>
        <w:rPr>
          <w:sz w:val="20"/>
        </w:rPr>
        <w:t>ante</w:t>
      </w:r>
      <w:r>
        <w:rPr>
          <w:spacing w:val="-2"/>
          <w:sz w:val="20"/>
        </w:rPr>
        <w:t> </w:t>
      </w:r>
      <w:r>
        <w:rPr>
          <w:sz w:val="20"/>
        </w:rPr>
        <w:t>la presencia del juez o la de los funcionarios que éste designe;</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39"/>
        </w:numPr>
        <w:tabs>
          <w:tab w:pos="1195" w:val="left" w:leader="none"/>
        </w:tabs>
        <w:spacing w:line="240" w:lineRule="auto" w:before="1" w:after="0"/>
        <w:ind w:left="1195" w:right="334" w:hanging="569"/>
        <w:jc w:val="both"/>
        <w:rPr>
          <w:sz w:val="20"/>
        </w:rPr>
      </w:pPr>
      <w:r>
        <w:rPr>
          <w:sz w:val="20"/>
        </w:rPr>
        <w:t>El desahogo de la prueba se efectuará el día y hora ordenado, en el lugar o lugares señalados por el Tribunal. Se iniciará con la presencia de las partes que asistan y, previo al ingreso de los trabajadores, el juez o los funcionarios que se designen instalarán la o las mamparas</w:t>
      </w:r>
      <w:r>
        <w:rPr>
          <w:spacing w:val="40"/>
          <w:sz w:val="20"/>
        </w:rPr>
        <w:t> </w:t>
      </w:r>
      <w:r>
        <w:rPr>
          <w:sz w:val="20"/>
        </w:rPr>
        <w:t>necesarias para el cruce de las boletas en secreto y la urna o urnas transparentes para su depósito, verificando que se encuentran vacías y sin leyenda alguna. Acto seguido, previa identificación, con documento oficial, se procederá al ingreso de los trabajadores con derecho a voto y se dotará a cada uno con su boleta para ejercerlo;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39"/>
        </w:numPr>
        <w:tabs>
          <w:tab w:pos="1195" w:val="left" w:leader="none"/>
        </w:tabs>
        <w:spacing w:line="240" w:lineRule="auto" w:before="0" w:after="0"/>
        <w:ind w:left="1195" w:right="336" w:hanging="569"/>
        <w:jc w:val="both"/>
        <w:rPr>
          <w:sz w:val="20"/>
        </w:rPr>
      </w:pPr>
      <w:r>
        <w:rPr>
          <w:sz w:val="20"/>
        </w:rPr>
        <w:t>A efecto de asegurar la secrecía del voto, no deberá aparecer en las boletas ni en el listado señal o dato que permita identificar el folio de la boleta que le fue entregada al trabajador; dicha boleta contendrá dos recuadros, uno a favor de la huelga y el otro en contra de la misma. Cada trabajador</w:t>
      </w:r>
      <w:r>
        <w:rPr>
          <w:spacing w:val="-1"/>
          <w:sz w:val="20"/>
        </w:rPr>
        <w:t> </w:t>
      </w:r>
      <w:r>
        <w:rPr>
          <w:sz w:val="20"/>
        </w:rPr>
        <w:t>deberá</w:t>
      </w:r>
      <w:r>
        <w:rPr>
          <w:spacing w:val="-2"/>
          <w:sz w:val="20"/>
        </w:rPr>
        <w:t> </w:t>
      </w:r>
      <w:r>
        <w:rPr>
          <w:sz w:val="20"/>
        </w:rPr>
        <w:t>marcar</w:t>
      </w:r>
      <w:r>
        <w:rPr>
          <w:spacing w:val="-1"/>
          <w:sz w:val="20"/>
        </w:rPr>
        <w:t> </w:t>
      </w:r>
      <w:r>
        <w:rPr>
          <w:sz w:val="20"/>
        </w:rPr>
        <w:t>su</w:t>
      </w:r>
      <w:r>
        <w:rPr>
          <w:spacing w:val="-2"/>
          <w:sz w:val="20"/>
        </w:rPr>
        <w:t> </w:t>
      </w:r>
      <w:r>
        <w:rPr>
          <w:sz w:val="20"/>
        </w:rPr>
        <w:t>boleta, doblarla y</w:t>
      </w:r>
      <w:r>
        <w:rPr>
          <w:spacing w:val="-2"/>
          <w:sz w:val="20"/>
        </w:rPr>
        <w:t> </w:t>
      </w:r>
      <w:r>
        <w:rPr>
          <w:sz w:val="20"/>
        </w:rPr>
        <w:t>depositarla en la urna,</w:t>
      </w:r>
      <w:r>
        <w:rPr>
          <w:spacing w:val="-2"/>
          <w:sz w:val="20"/>
        </w:rPr>
        <w:t> </w:t>
      </w:r>
      <w:r>
        <w:rPr>
          <w:sz w:val="20"/>
        </w:rPr>
        <w:t>retirándose del</w:t>
      </w:r>
      <w:r>
        <w:rPr>
          <w:spacing w:val="-2"/>
          <w:sz w:val="20"/>
        </w:rPr>
        <w:t> </w:t>
      </w:r>
      <w:r>
        <w:rPr>
          <w:sz w:val="20"/>
        </w:rPr>
        <w:t>lugar de la votación. Terminada la diligencia, el juez o los funcionarios</w:t>
      </w:r>
      <w:r>
        <w:rPr>
          <w:spacing w:val="20"/>
          <w:sz w:val="20"/>
        </w:rPr>
        <w:t> </w:t>
      </w:r>
      <w:r>
        <w:rPr>
          <w:sz w:val="20"/>
        </w:rPr>
        <w:t>designados procederán a practicar</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1195" w:right="343"/>
        <w:jc w:val="both"/>
      </w:pPr>
      <w:r>
        <w:rPr/>
        <w:t>el</w:t>
      </w:r>
      <w:r>
        <w:rPr>
          <w:spacing w:val="-2"/>
        </w:rPr>
        <w:t> </w:t>
      </w:r>
      <w:r>
        <w:rPr/>
        <w:t>escrutinio,</w:t>
      </w:r>
      <w:r>
        <w:rPr>
          <w:spacing w:val="-1"/>
        </w:rPr>
        <w:t> </w:t>
      </w:r>
      <w:r>
        <w:rPr/>
        <w:t>abriendo</w:t>
      </w:r>
      <w:r>
        <w:rPr>
          <w:spacing w:val="-3"/>
        </w:rPr>
        <w:t> </w:t>
      </w:r>
      <w:r>
        <w:rPr/>
        <w:t>sucesivamente</w:t>
      </w:r>
      <w:r>
        <w:rPr>
          <w:spacing w:val="-1"/>
        </w:rPr>
        <w:t> </w:t>
      </w:r>
      <w:r>
        <w:rPr/>
        <w:t>las urnas, extrayendo</w:t>
      </w:r>
      <w:r>
        <w:rPr>
          <w:spacing w:val="-1"/>
        </w:rPr>
        <w:t> </w:t>
      </w:r>
      <w:r>
        <w:rPr/>
        <w:t>una</w:t>
      </w:r>
      <w:r>
        <w:rPr>
          <w:spacing w:val="-1"/>
        </w:rPr>
        <w:t> </w:t>
      </w:r>
      <w:r>
        <w:rPr/>
        <w:t>a</w:t>
      </w:r>
      <w:r>
        <w:rPr>
          <w:spacing w:val="-2"/>
        </w:rPr>
        <w:t> </w:t>
      </w:r>
      <w:r>
        <w:rPr/>
        <w:t>una</w:t>
      </w:r>
      <w:r>
        <w:rPr>
          <w:spacing w:val="-1"/>
        </w:rPr>
        <w:t> </w:t>
      </w:r>
      <w:r>
        <w:rPr/>
        <w:t>las boletas</w:t>
      </w:r>
      <w:r>
        <w:rPr>
          <w:spacing w:val="-2"/>
        </w:rPr>
        <w:t> </w:t>
      </w:r>
      <w:r>
        <w:rPr/>
        <w:t>de</w:t>
      </w:r>
      <w:r>
        <w:rPr>
          <w:spacing w:val="-1"/>
        </w:rPr>
        <w:t> </w:t>
      </w:r>
      <w:r>
        <w:rPr/>
        <w:t>votación y examinándolas para corroborar su autenticidad y exhibiéndolas a la vista de los representantes de las partes y observadores autorizados asistentes; las boletas no cruzadas o marcadas en más de uno de los recuadros o falsas, serán nulas;</w:t>
      </w:r>
    </w:p>
    <w:p>
      <w:pPr>
        <w:spacing w:line="184"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39"/>
        </w:numPr>
        <w:tabs>
          <w:tab w:pos="1195" w:val="left" w:leader="none"/>
        </w:tabs>
        <w:spacing w:line="242" w:lineRule="auto" w:before="0" w:after="0"/>
        <w:ind w:left="1195" w:right="340" w:hanging="569"/>
        <w:jc w:val="both"/>
        <w:rPr>
          <w:sz w:val="20"/>
        </w:rPr>
      </w:pPr>
      <w:r>
        <w:rPr>
          <w:sz w:val="20"/>
        </w:rPr>
        <w:t>Terminado</w:t>
      </w:r>
      <w:r>
        <w:rPr>
          <w:spacing w:val="-5"/>
          <w:sz w:val="20"/>
        </w:rPr>
        <w:t> </w:t>
      </w:r>
      <w:r>
        <w:rPr>
          <w:sz w:val="20"/>
        </w:rPr>
        <w:t>el</w:t>
      </w:r>
      <w:r>
        <w:rPr>
          <w:spacing w:val="-5"/>
          <w:sz w:val="20"/>
        </w:rPr>
        <w:t> </w:t>
      </w:r>
      <w:r>
        <w:rPr>
          <w:sz w:val="20"/>
        </w:rPr>
        <w:t>escrutinio,</w:t>
      </w:r>
      <w:r>
        <w:rPr>
          <w:spacing w:val="-2"/>
          <w:sz w:val="20"/>
        </w:rPr>
        <w:t> </w:t>
      </w:r>
      <w:r>
        <w:rPr>
          <w:sz w:val="20"/>
        </w:rPr>
        <w:t>el</w:t>
      </w:r>
      <w:r>
        <w:rPr>
          <w:spacing w:val="-3"/>
          <w:sz w:val="20"/>
        </w:rPr>
        <w:t> </w:t>
      </w:r>
      <w:r>
        <w:rPr>
          <w:sz w:val="20"/>
        </w:rPr>
        <w:t>juez</w:t>
      </w:r>
      <w:r>
        <w:rPr>
          <w:spacing w:val="-5"/>
          <w:sz w:val="20"/>
        </w:rPr>
        <w:t> </w:t>
      </w:r>
      <w:r>
        <w:rPr>
          <w:sz w:val="20"/>
        </w:rPr>
        <w:t>o</w:t>
      </w:r>
      <w:r>
        <w:rPr>
          <w:spacing w:val="-2"/>
          <w:sz w:val="20"/>
        </w:rPr>
        <w:t> </w:t>
      </w:r>
      <w:r>
        <w:rPr>
          <w:sz w:val="20"/>
        </w:rPr>
        <w:t>los</w:t>
      </w:r>
      <w:r>
        <w:rPr>
          <w:spacing w:val="-1"/>
          <w:sz w:val="20"/>
        </w:rPr>
        <w:t> </w:t>
      </w:r>
      <w:r>
        <w:rPr>
          <w:sz w:val="20"/>
        </w:rPr>
        <w:t>funcionarios</w:t>
      </w:r>
      <w:r>
        <w:rPr>
          <w:spacing w:val="-1"/>
          <w:sz w:val="20"/>
        </w:rPr>
        <w:t> </w:t>
      </w:r>
      <w:r>
        <w:rPr>
          <w:sz w:val="20"/>
        </w:rPr>
        <w:t>designados</w:t>
      </w:r>
      <w:r>
        <w:rPr>
          <w:spacing w:val="-3"/>
          <w:sz w:val="20"/>
        </w:rPr>
        <w:t> </w:t>
      </w:r>
      <w:r>
        <w:rPr>
          <w:sz w:val="20"/>
        </w:rPr>
        <w:t>procederán</w:t>
      </w:r>
      <w:r>
        <w:rPr>
          <w:spacing w:val="-2"/>
          <w:sz w:val="20"/>
        </w:rPr>
        <w:t> </w:t>
      </w:r>
      <w:r>
        <w:rPr>
          <w:sz w:val="20"/>
        </w:rPr>
        <w:t>al</w:t>
      </w:r>
      <w:r>
        <w:rPr>
          <w:spacing w:val="-5"/>
          <w:sz w:val="20"/>
        </w:rPr>
        <w:t> </w:t>
      </w:r>
      <w:r>
        <w:rPr>
          <w:sz w:val="20"/>
        </w:rPr>
        <w:t>recuento</w:t>
      </w:r>
      <w:r>
        <w:rPr>
          <w:spacing w:val="-2"/>
          <w:sz w:val="20"/>
        </w:rPr>
        <w:t> </w:t>
      </w:r>
      <w:r>
        <w:rPr>
          <w:sz w:val="20"/>
        </w:rPr>
        <w:t>de</w:t>
      </w:r>
      <w:r>
        <w:rPr>
          <w:spacing w:val="-2"/>
          <w:sz w:val="20"/>
        </w:rPr>
        <w:t> </w:t>
      </w:r>
      <w:r>
        <w:rPr>
          <w:sz w:val="20"/>
        </w:rPr>
        <w:t>votos y anunciarán en voz alta el resultado. Terminada la diligencia, se levantará acta de la misma e invitará a los representantes de las partes que deseen hacerlo, a suscribirla, y</w:t>
      </w:r>
    </w:p>
    <w:p>
      <w:pPr>
        <w:spacing w:line="178"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39"/>
        </w:numPr>
        <w:tabs>
          <w:tab w:pos="1193" w:val="left" w:leader="none"/>
          <w:tab w:pos="1195" w:val="left" w:leader="none"/>
        </w:tabs>
        <w:spacing w:line="240" w:lineRule="auto" w:before="0" w:after="0"/>
        <w:ind w:left="1195" w:right="339" w:hanging="569"/>
        <w:jc w:val="both"/>
        <w:rPr>
          <w:sz w:val="20"/>
        </w:rPr>
      </w:pPr>
      <w:r>
        <w:rPr>
          <w:sz w:val="20"/>
        </w:rPr>
        <w:t>En caso de que se susciten actos de presión o intimidación en contra de los trabajadores que tiendan a violentar o impedir su libertad de voto u obstaculizar su ingreso al lugar de la diligencia, el juez o los funcionarios designados solicitarán el auxilio de la fuerza pública y proveerán lo conducente para que el recuento se realice en las condiciones que establece esta Ley y, de presumirse la existencia de algún ilícito penal deberá presentarse la denuncia de hechos ante la autoridad competente.</w:t>
      </w:r>
    </w:p>
    <w:p>
      <w:pPr>
        <w:spacing w:before="0"/>
        <w:ind w:left="7302" w:right="333" w:hanging="6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6"/>
        <w:rPr>
          <w:rFonts w:ascii="Times New Roman"/>
          <w:i/>
          <w:sz w:val="16"/>
        </w:rPr>
      </w:pPr>
    </w:p>
    <w:p>
      <w:pPr>
        <w:pStyle w:val="BodyText"/>
        <w:ind w:left="626"/>
      </w:pPr>
      <w:bookmarkStart w:name="Artículo_932" w:id="1177"/>
      <w:bookmarkEnd w:id="1177"/>
      <w:r>
        <w:rPr/>
      </w:r>
      <w:r>
        <w:rPr>
          <w:rFonts w:ascii="Arial" w:hAnsi="Arial"/>
          <w:b/>
        </w:rPr>
        <w:t>Artículo</w:t>
      </w:r>
      <w:r>
        <w:rPr>
          <w:rFonts w:ascii="Arial" w:hAnsi="Arial"/>
          <w:b/>
          <w:spacing w:val="-6"/>
        </w:rPr>
        <w:t> </w:t>
      </w:r>
      <w:r>
        <w:rPr>
          <w:rFonts w:ascii="Arial" w:hAnsi="Arial"/>
          <w:b/>
        </w:rPr>
        <w:t>932.-</w:t>
      </w:r>
      <w:r>
        <w:rPr>
          <w:rFonts w:ascii="Arial" w:hAnsi="Arial"/>
          <w:b/>
          <w:spacing w:val="-5"/>
        </w:rPr>
        <w:t> </w:t>
      </w:r>
      <w:r>
        <w:rPr/>
        <w:t>Si</w:t>
      </w:r>
      <w:r>
        <w:rPr>
          <w:spacing w:val="-6"/>
        </w:rPr>
        <w:t> </w:t>
      </w:r>
      <w:r>
        <w:rPr/>
        <w:t>el</w:t>
      </w:r>
      <w:r>
        <w:rPr>
          <w:spacing w:val="-7"/>
        </w:rPr>
        <w:t> </w:t>
      </w:r>
      <w:r>
        <w:rPr/>
        <w:t>Tribunal</w:t>
      </w:r>
      <w:r>
        <w:rPr>
          <w:spacing w:val="-8"/>
        </w:rPr>
        <w:t> </w:t>
      </w:r>
      <w:r>
        <w:rPr/>
        <w:t>declara</w:t>
      </w:r>
      <w:r>
        <w:rPr>
          <w:spacing w:val="-5"/>
        </w:rPr>
        <w:t> </w:t>
      </w:r>
      <w:r>
        <w:rPr/>
        <w:t>la</w:t>
      </w:r>
      <w:r>
        <w:rPr>
          <w:spacing w:val="-5"/>
        </w:rPr>
        <w:t> </w:t>
      </w:r>
      <w:r>
        <w:rPr/>
        <w:t>inexistencia</w:t>
      </w:r>
      <w:r>
        <w:rPr>
          <w:spacing w:val="-7"/>
        </w:rPr>
        <w:t> </w:t>
      </w:r>
      <w:r>
        <w:rPr/>
        <w:t>legal</w:t>
      </w:r>
      <w:r>
        <w:rPr>
          <w:spacing w:val="-8"/>
        </w:rPr>
        <w:t> </w:t>
      </w:r>
      <w:r>
        <w:rPr/>
        <w:t>del</w:t>
      </w:r>
      <w:r>
        <w:rPr>
          <w:spacing w:val="-6"/>
        </w:rPr>
        <w:t> </w:t>
      </w:r>
      <w:r>
        <w:rPr/>
        <w:t>estado</w:t>
      </w:r>
      <w:r>
        <w:rPr>
          <w:spacing w:val="-7"/>
        </w:rPr>
        <w:t> </w:t>
      </w:r>
      <w:r>
        <w:rPr/>
        <w:t>de</w:t>
      </w:r>
      <w:r>
        <w:rPr>
          <w:spacing w:val="-5"/>
        </w:rPr>
        <w:t> </w:t>
      </w:r>
      <w:r>
        <w:rPr>
          <w:spacing w:val="-2"/>
        </w:rPr>
        <w:t>huelga:</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ListParagraph"/>
        <w:numPr>
          <w:ilvl w:val="0"/>
          <w:numId w:val="340"/>
        </w:numPr>
        <w:tabs>
          <w:tab w:pos="1195" w:val="left" w:leader="none"/>
        </w:tabs>
        <w:spacing w:line="240" w:lineRule="auto" w:before="0" w:after="0"/>
        <w:ind w:left="1195" w:right="0" w:hanging="569"/>
        <w:jc w:val="left"/>
        <w:rPr>
          <w:sz w:val="20"/>
        </w:rPr>
      </w:pPr>
      <w:r>
        <w:rPr>
          <w:sz w:val="20"/>
        </w:rPr>
        <w:t>Fijará</w:t>
      </w:r>
      <w:r>
        <w:rPr>
          <w:spacing w:val="-7"/>
          <w:sz w:val="20"/>
        </w:rPr>
        <w:t> </w:t>
      </w:r>
      <w:r>
        <w:rPr>
          <w:sz w:val="20"/>
        </w:rPr>
        <w:t>a</w:t>
      </w:r>
      <w:r>
        <w:rPr>
          <w:spacing w:val="-5"/>
          <w:sz w:val="20"/>
        </w:rPr>
        <w:t> </w:t>
      </w:r>
      <w:r>
        <w:rPr>
          <w:sz w:val="20"/>
        </w:rPr>
        <w:t>los</w:t>
      </w:r>
      <w:r>
        <w:rPr>
          <w:spacing w:val="-6"/>
          <w:sz w:val="20"/>
        </w:rPr>
        <w:t> </w:t>
      </w:r>
      <w:r>
        <w:rPr>
          <w:sz w:val="20"/>
        </w:rPr>
        <w:t>trabajadores</w:t>
      </w:r>
      <w:r>
        <w:rPr>
          <w:spacing w:val="-4"/>
          <w:sz w:val="20"/>
        </w:rPr>
        <w:t> </w:t>
      </w:r>
      <w:r>
        <w:rPr>
          <w:sz w:val="20"/>
        </w:rPr>
        <w:t>un</w:t>
      </w:r>
      <w:r>
        <w:rPr>
          <w:spacing w:val="-5"/>
          <w:sz w:val="20"/>
        </w:rPr>
        <w:t> </w:t>
      </w:r>
      <w:r>
        <w:rPr>
          <w:sz w:val="20"/>
        </w:rPr>
        <w:t>término</w:t>
      </w:r>
      <w:r>
        <w:rPr>
          <w:spacing w:val="-8"/>
          <w:sz w:val="20"/>
        </w:rPr>
        <w:t> </w:t>
      </w:r>
      <w:r>
        <w:rPr>
          <w:sz w:val="20"/>
        </w:rPr>
        <w:t>de</w:t>
      </w:r>
      <w:r>
        <w:rPr>
          <w:spacing w:val="-6"/>
          <w:sz w:val="20"/>
        </w:rPr>
        <w:t> </w:t>
      </w:r>
      <w:r>
        <w:rPr>
          <w:sz w:val="20"/>
        </w:rPr>
        <w:t>veinticuatro</w:t>
      </w:r>
      <w:r>
        <w:rPr>
          <w:spacing w:val="-5"/>
          <w:sz w:val="20"/>
        </w:rPr>
        <w:t> </w:t>
      </w:r>
      <w:r>
        <w:rPr>
          <w:sz w:val="20"/>
        </w:rPr>
        <w:t>horas</w:t>
      </w:r>
      <w:r>
        <w:rPr>
          <w:spacing w:val="-6"/>
          <w:sz w:val="20"/>
        </w:rPr>
        <w:t> </w:t>
      </w:r>
      <w:r>
        <w:rPr>
          <w:sz w:val="20"/>
        </w:rPr>
        <w:t>para</w:t>
      </w:r>
      <w:r>
        <w:rPr>
          <w:spacing w:val="-7"/>
          <w:sz w:val="20"/>
        </w:rPr>
        <w:t> </w:t>
      </w:r>
      <w:r>
        <w:rPr>
          <w:sz w:val="20"/>
        </w:rPr>
        <w:t>que</w:t>
      </w:r>
      <w:r>
        <w:rPr>
          <w:spacing w:val="-7"/>
          <w:sz w:val="20"/>
        </w:rPr>
        <w:t> </w:t>
      </w:r>
      <w:r>
        <w:rPr>
          <w:sz w:val="20"/>
        </w:rPr>
        <w:t>regresen</w:t>
      </w:r>
      <w:r>
        <w:rPr>
          <w:spacing w:val="-6"/>
          <w:sz w:val="20"/>
        </w:rPr>
        <w:t> </w:t>
      </w:r>
      <w:r>
        <w:rPr>
          <w:sz w:val="20"/>
        </w:rPr>
        <w:t>a</w:t>
      </w:r>
      <w:r>
        <w:rPr>
          <w:spacing w:val="-7"/>
          <w:sz w:val="20"/>
        </w:rPr>
        <w:t> </w:t>
      </w:r>
      <w:r>
        <w:rPr>
          <w:sz w:val="20"/>
        </w:rPr>
        <w:t>su</w:t>
      </w:r>
      <w:r>
        <w:rPr>
          <w:spacing w:val="-7"/>
          <w:sz w:val="20"/>
        </w:rPr>
        <w:t> </w:t>
      </w:r>
      <w:r>
        <w:rPr>
          <w:spacing w:val="-2"/>
          <w:sz w:val="20"/>
        </w:rPr>
        <w:t>trabajo;</w:t>
      </w:r>
    </w:p>
    <w:p>
      <w:pPr>
        <w:pStyle w:val="ListParagraph"/>
        <w:numPr>
          <w:ilvl w:val="0"/>
          <w:numId w:val="340"/>
        </w:numPr>
        <w:tabs>
          <w:tab w:pos="1192" w:val="left" w:leader="none"/>
          <w:tab w:pos="1195" w:val="left" w:leader="none"/>
        </w:tabs>
        <w:spacing w:line="242" w:lineRule="auto" w:before="228" w:after="0"/>
        <w:ind w:left="1195" w:right="344" w:hanging="569"/>
        <w:jc w:val="both"/>
        <w:rPr>
          <w:sz w:val="20"/>
        </w:rPr>
      </w:pPr>
      <w:r>
        <w:rPr>
          <w:sz w:val="20"/>
        </w:rPr>
        <w:t>Deberá notificar lo anterior por conducto de la representación sindical, apercibiendo a los trabajadores que por el solo hecho de no acatar la resolución, quedarán terminadas las relaciones de trabajo, salvo causa justificada;</w:t>
      </w:r>
    </w:p>
    <w:p>
      <w:pPr>
        <w:pStyle w:val="ListParagraph"/>
        <w:numPr>
          <w:ilvl w:val="0"/>
          <w:numId w:val="340"/>
        </w:numPr>
        <w:tabs>
          <w:tab w:pos="1191" w:val="left" w:leader="none"/>
          <w:tab w:pos="1195" w:val="left" w:leader="none"/>
        </w:tabs>
        <w:spacing w:line="240" w:lineRule="auto" w:before="225" w:after="0"/>
        <w:ind w:left="1195" w:right="340" w:hanging="569"/>
        <w:jc w:val="both"/>
        <w:rPr>
          <w:sz w:val="20"/>
        </w:rPr>
      </w:pPr>
      <w:r>
        <w:rPr>
          <w:sz w:val="20"/>
        </w:rPr>
        <w:t>Declarará que el patrón no ha incurrido en responsabilidad y que de no presentarse a laborar</w:t>
      </w:r>
      <w:r>
        <w:rPr>
          <w:spacing w:val="40"/>
          <w:sz w:val="20"/>
        </w:rPr>
        <w:t> </w:t>
      </w:r>
      <w:r>
        <w:rPr>
          <w:sz w:val="20"/>
        </w:rPr>
        <w:t>los trabajadores dentro del término señalado, quedará en libertad para contratar otros; y</w:t>
      </w:r>
    </w:p>
    <w:p>
      <w:pPr>
        <w:pStyle w:val="ListParagraph"/>
        <w:numPr>
          <w:ilvl w:val="0"/>
          <w:numId w:val="340"/>
        </w:numPr>
        <w:tabs>
          <w:tab w:pos="1195" w:val="left" w:leader="none"/>
        </w:tabs>
        <w:spacing w:line="240" w:lineRule="auto" w:before="229" w:after="0"/>
        <w:ind w:left="1195" w:right="0" w:hanging="569"/>
        <w:jc w:val="left"/>
        <w:rPr>
          <w:sz w:val="20"/>
        </w:rPr>
      </w:pPr>
      <w:r>
        <w:rPr>
          <w:sz w:val="20"/>
        </w:rPr>
        <w:t>Dictará</w:t>
      </w:r>
      <w:r>
        <w:rPr>
          <w:spacing w:val="-7"/>
          <w:sz w:val="20"/>
        </w:rPr>
        <w:t> </w:t>
      </w:r>
      <w:r>
        <w:rPr>
          <w:sz w:val="20"/>
        </w:rPr>
        <w:t>las</w:t>
      </w:r>
      <w:r>
        <w:rPr>
          <w:spacing w:val="-7"/>
          <w:sz w:val="20"/>
        </w:rPr>
        <w:t> </w:t>
      </w:r>
      <w:r>
        <w:rPr>
          <w:sz w:val="20"/>
        </w:rPr>
        <w:t>medidas</w:t>
      </w:r>
      <w:r>
        <w:rPr>
          <w:spacing w:val="-8"/>
          <w:sz w:val="20"/>
        </w:rPr>
        <w:t> </w:t>
      </w:r>
      <w:r>
        <w:rPr>
          <w:sz w:val="20"/>
        </w:rPr>
        <w:t>que</w:t>
      </w:r>
      <w:r>
        <w:rPr>
          <w:spacing w:val="-9"/>
          <w:sz w:val="20"/>
        </w:rPr>
        <w:t> </w:t>
      </w:r>
      <w:r>
        <w:rPr>
          <w:sz w:val="20"/>
        </w:rPr>
        <w:t>juzgue</w:t>
      </w:r>
      <w:r>
        <w:rPr>
          <w:spacing w:val="-8"/>
          <w:sz w:val="20"/>
        </w:rPr>
        <w:t> </w:t>
      </w:r>
      <w:r>
        <w:rPr>
          <w:sz w:val="20"/>
        </w:rPr>
        <w:t>convenientes</w:t>
      </w:r>
      <w:r>
        <w:rPr>
          <w:spacing w:val="-5"/>
          <w:sz w:val="20"/>
        </w:rPr>
        <w:t> </w:t>
      </w:r>
      <w:r>
        <w:rPr>
          <w:sz w:val="20"/>
        </w:rPr>
        <w:t>para</w:t>
      </w:r>
      <w:r>
        <w:rPr>
          <w:spacing w:val="-9"/>
          <w:sz w:val="20"/>
        </w:rPr>
        <w:t> </w:t>
      </w:r>
      <w:r>
        <w:rPr>
          <w:sz w:val="20"/>
        </w:rPr>
        <w:t>que</w:t>
      </w:r>
      <w:r>
        <w:rPr>
          <w:spacing w:val="-8"/>
          <w:sz w:val="20"/>
        </w:rPr>
        <w:t> </w:t>
      </w:r>
      <w:r>
        <w:rPr>
          <w:sz w:val="20"/>
        </w:rPr>
        <w:t>pueda</w:t>
      </w:r>
      <w:r>
        <w:rPr>
          <w:spacing w:val="-8"/>
          <w:sz w:val="20"/>
        </w:rPr>
        <w:t> </w:t>
      </w:r>
      <w:r>
        <w:rPr>
          <w:sz w:val="20"/>
        </w:rPr>
        <w:t>reanudarse</w:t>
      </w:r>
      <w:r>
        <w:rPr>
          <w:spacing w:val="-6"/>
          <w:sz w:val="20"/>
        </w:rPr>
        <w:t> </w:t>
      </w:r>
      <w:r>
        <w:rPr>
          <w:sz w:val="20"/>
        </w:rPr>
        <w:t>el</w:t>
      </w:r>
      <w:r>
        <w:rPr>
          <w:spacing w:val="-10"/>
          <w:sz w:val="20"/>
        </w:rPr>
        <w:t> </w:t>
      </w:r>
      <w:r>
        <w:rPr>
          <w:spacing w:val="-2"/>
          <w:sz w:val="20"/>
        </w:rPr>
        <w:t>trabajo.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338" w:right="342" w:firstLine="288"/>
      </w:pPr>
      <w:bookmarkStart w:name="Artículo_933" w:id="1178"/>
      <w:bookmarkEnd w:id="1178"/>
      <w:r>
        <w:rPr/>
      </w:r>
      <w:r>
        <w:rPr>
          <w:rFonts w:ascii="Arial" w:hAnsi="Arial"/>
          <w:b/>
        </w:rPr>
        <w:t>Artículo 933.- </w:t>
      </w:r>
      <w:r>
        <w:rPr/>
        <w:t>En el procedimiento de calificación de ilicitud de la huelga, se observarán las normas contenidas en el artículo 930 de esta Ley.</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338" w:firstLine="288"/>
      </w:pPr>
      <w:bookmarkStart w:name="Artículo_934" w:id="1179"/>
      <w:bookmarkEnd w:id="1179"/>
      <w:r>
        <w:rPr/>
      </w:r>
      <w:r>
        <w:rPr>
          <w:rFonts w:ascii="Arial" w:hAnsi="Arial"/>
          <w:b/>
        </w:rPr>
        <w:t>Artículo 934.- </w:t>
      </w:r>
      <w:r>
        <w:rPr/>
        <w:t>Si el</w:t>
      </w:r>
      <w:r>
        <w:rPr>
          <w:spacing w:val="-2"/>
        </w:rPr>
        <w:t> </w:t>
      </w:r>
      <w:r>
        <w:rPr/>
        <w:t>Tribunal</w:t>
      </w:r>
      <w:r>
        <w:rPr>
          <w:spacing w:val="-2"/>
        </w:rPr>
        <w:t> </w:t>
      </w:r>
      <w:r>
        <w:rPr/>
        <w:t>declara que la</w:t>
      </w:r>
      <w:r>
        <w:rPr>
          <w:spacing w:val="-1"/>
        </w:rPr>
        <w:t> </w:t>
      </w:r>
      <w:r>
        <w:rPr/>
        <w:t>huelga es ilícita,</w:t>
      </w:r>
      <w:r>
        <w:rPr>
          <w:spacing w:val="-1"/>
        </w:rPr>
        <w:t> </w:t>
      </w:r>
      <w:r>
        <w:rPr/>
        <w:t>se darán</w:t>
      </w:r>
      <w:r>
        <w:rPr>
          <w:spacing w:val="-1"/>
        </w:rPr>
        <w:t> </w:t>
      </w:r>
      <w:r>
        <w:rPr/>
        <w:t>por terminadas las relaciones de trabajo de los huelguistas.</w:t>
      </w:r>
    </w:p>
    <w:p>
      <w:pPr>
        <w:spacing w:line="180"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9" w:firstLine="288"/>
        <w:jc w:val="both"/>
      </w:pPr>
      <w:bookmarkStart w:name="Artículo_935" w:id="1180"/>
      <w:bookmarkEnd w:id="1180"/>
      <w:r>
        <w:rPr/>
      </w:r>
      <w:r>
        <w:rPr>
          <w:rFonts w:ascii="Arial" w:hAnsi="Arial"/>
          <w:b/>
        </w:rPr>
        <w:t>Artículo</w:t>
      </w:r>
      <w:r>
        <w:rPr>
          <w:rFonts w:ascii="Arial" w:hAnsi="Arial"/>
          <w:b/>
          <w:spacing w:val="-1"/>
        </w:rPr>
        <w:t> </w:t>
      </w:r>
      <w:r>
        <w:rPr>
          <w:rFonts w:ascii="Arial" w:hAnsi="Arial"/>
          <w:b/>
        </w:rPr>
        <w:t>935.-</w:t>
      </w:r>
      <w:r>
        <w:rPr>
          <w:rFonts w:ascii="Arial" w:hAnsi="Arial"/>
          <w:b/>
          <w:spacing w:val="-1"/>
        </w:rPr>
        <w:t> </w:t>
      </w:r>
      <w:r>
        <w:rPr/>
        <w:t>Antes</w:t>
      </w:r>
      <w:r>
        <w:rPr>
          <w:spacing w:val="-1"/>
        </w:rPr>
        <w:t> </w:t>
      </w:r>
      <w:r>
        <w:rPr/>
        <w:t>de</w:t>
      </w:r>
      <w:r>
        <w:rPr>
          <w:spacing w:val="-3"/>
        </w:rPr>
        <w:t> </w:t>
      </w:r>
      <w:r>
        <w:rPr/>
        <w:t>la suspensión</w:t>
      </w:r>
      <w:r>
        <w:rPr>
          <w:spacing w:val="-2"/>
        </w:rPr>
        <w:t> </w:t>
      </w:r>
      <w:r>
        <w:rPr/>
        <w:t>de</w:t>
      </w:r>
      <w:r>
        <w:rPr>
          <w:spacing w:val="-3"/>
        </w:rPr>
        <w:t> </w:t>
      </w:r>
      <w:r>
        <w:rPr/>
        <w:t>los</w:t>
      </w:r>
      <w:r>
        <w:rPr>
          <w:spacing w:val="-1"/>
        </w:rPr>
        <w:t> </w:t>
      </w:r>
      <w:r>
        <w:rPr/>
        <w:t>trabajos, el</w:t>
      </w:r>
      <w:r>
        <w:rPr>
          <w:spacing w:val="-3"/>
        </w:rPr>
        <w:t> </w:t>
      </w:r>
      <w:r>
        <w:rPr/>
        <w:t>Tribunal,</w:t>
      </w:r>
      <w:r>
        <w:rPr>
          <w:spacing w:val="-2"/>
        </w:rPr>
        <w:t> </w:t>
      </w:r>
      <w:r>
        <w:rPr/>
        <w:t>con</w:t>
      </w:r>
      <w:r>
        <w:rPr>
          <w:spacing w:val="-3"/>
        </w:rPr>
        <w:t> </w:t>
      </w:r>
      <w:r>
        <w:rPr/>
        <w:t>audiencia de</w:t>
      </w:r>
      <w:r>
        <w:rPr>
          <w:spacing w:val="-3"/>
        </w:rPr>
        <w:t> </w:t>
      </w:r>
      <w:r>
        <w:rPr/>
        <w:t>las</w:t>
      </w:r>
      <w:r>
        <w:rPr>
          <w:spacing w:val="-1"/>
        </w:rPr>
        <w:t> </w:t>
      </w:r>
      <w:r>
        <w:rPr/>
        <w:t>partes,</w:t>
      </w:r>
      <w:r>
        <w:rPr>
          <w:spacing w:val="-2"/>
        </w:rPr>
        <w:t> </w:t>
      </w:r>
      <w:r>
        <w:rPr/>
        <w:t>fijará</w:t>
      </w:r>
      <w:r>
        <w:rPr>
          <w:spacing w:val="-2"/>
        </w:rPr>
        <w:t> </w:t>
      </w:r>
      <w:r>
        <w:rPr/>
        <w:t>el número indispensable de trabajadores que deberá continuar trabajando para que sigan ejecutándose las labores, cuya suspensión perjudique gravemente la seguridad y conservación de los locales, maquinaria</w:t>
      </w:r>
      <w:r>
        <w:rPr>
          <w:spacing w:val="40"/>
        </w:rPr>
        <w:t> </w:t>
      </w:r>
      <w:r>
        <w:rPr/>
        <w:t>y</w:t>
      </w:r>
      <w:r>
        <w:rPr>
          <w:spacing w:val="-4"/>
        </w:rPr>
        <w:t> </w:t>
      </w:r>
      <w:r>
        <w:rPr/>
        <w:t>materias primas o</w:t>
      </w:r>
      <w:r>
        <w:rPr>
          <w:spacing w:val="-1"/>
        </w:rPr>
        <w:t> </w:t>
      </w:r>
      <w:r>
        <w:rPr/>
        <w:t>la reanudación de los trabajos.</w:t>
      </w:r>
      <w:r>
        <w:rPr>
          <w:spacing w:val="-1"/>
        </w:rPr>
        <w:t> </w:t>
      </w:r>
      <w:r>
        <w:rPr/>
        <w:t>Para</w:t>
      </w:r>
      <w:r>
        <w:rPr>
          <w:spacing w:val="-1"/>
        </w:rPr>
        <w:t> </w:t>
      </w:r>
      <w:r>
        <w:rPr/>
        <w:t>este</w:t>
      </w:r>
      <w:r>
        <w:rPr>
          <w:spacing w:val="-1"/>
        </w:rPr>
        <w:t> </w:t>
      </w:r>
      <w:r>
        <w:rPr/>
        <w:t>efecto, el Tribunal</w:t>
      </w:r>
      <w:r>
        <w:rPr>
          <w:spacing w:val="-2"/>
        </w:rPr>
        <w:t> </w:t>
      </w:r>
      <w:r>
        <w:rPr/>
        <w:t>podrá</w:t>
      </w:r>
      <w:r>
        <w:rPr>
          <w:spacing w:val="-1"/>
        </w:rPr>
        <w:t> </w:t>
      </w:r>
      <w:r>
        <w:rPr/>
        <w:t>ordenar la práctica de las diligencias que juzgue conveniente.</w:t>
      </w:r>
    </w:p>
    <w:p>
      <w:pPr>
        <w:spacing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5" w:firstLine="288"/>
        <w:jc w:val="both"/>
      </w:pPr>
      <w:bookmarkStart w:name="Artículo_936" w:id="1181"/>
      <w:bookmarkEnd w:id="1181"/>
      <w:r>
        <w:rPr/>
      </w:r>
      <w:r>
        <w:rPr>
          <w:rFonts w:ascii="Arial" w:hAnsi="Arial"/>
          <w:b/>
        </w:rPr>
        <w:t>Artículo 936.- </w:t>
      </w:r>
      <w:r>
        <w:rPr/>
        <w:t>Si los huelguistas se niegan a prestar los servicios mencionados en los artículos 466 y 935 de esta Ley, el patrón podrá utilizar otros trabajadores. El Tribunal, en caso necesario, solicitará el auxilio de la fuerza pública, a fin de que puedan prestarse dichos servicios.</w:t>
      </w:r>
    </w:p>
    <w:p>
      <w:pPr>
        <w:spacing w:line="178"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78" w:lineRule="exact"/>
        <w:jc w:val="lef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BodyText"/>
        <w:spacing w:line="242" w:lineRule="auto"/>
        <w:ind w:left="338" w:right="337" w:firstLine="288"/>
        <w:jc w:val="both"/>
      </w:pPr>
      <w:bookmarkStart w:name="Artículo_937" w:id="1182"/>
      <w:bookmarkEnd w:id="1182"/>
      <w:r>
        <w:rPr/>
      </w:r>
      <w:r>
        <w:rPr>
          <w:rFonts w:ascii="Arial" w:hAnsi="Arial"/>
          <w:b/>
        </w:rPr>
        <w:t>Artículo 937.- </w:t>
      </w:r>
      <w:r>
        <w:rPr/>
        <w:t>Si el conflicto motivo de la huelga se somete por los trabajadores o por el patrón a la decisión del Tribunal, se seguirá el procedimiento ordinario o el procedimiento para conflictos colectivos de naturaleza económica, según el caso. El patrón sólo podrá ejercer este derecho en caso de que la huelga se extienda por más de sesenta días.</w:t>
      </w:r>
    </w:p>
    <w:p>
      <w:pPr>
        <w:pStyle w:val="BodyText"/>
        <w:spacing w:before="225"/>
        <w:ind w:left="338" w:right="336" w:firstLine="288"/>
        <w:jc w:val="both"/>
      </w:pPr>
      <w:r>
        <w:rPr/>
        <w:t>Si el Tribunal declara en la sentencia que los motivos de la huelga son imputables al patrón, condenará a éste a la satisfacción de las peticiones de los trabajadores en cuanto sean procedentes, y</w:t>
      </w:r>
      <w:r>
        <w:rPr>
          <w:spacing w:val="-3"/>
        </w:rPr>
        <w:t> </w:t>
      </w:r>
      <w:r>
        <w:rPr/>
        <w:t>al pago de los salarios correspondientes a los días que hubiese durado la huelga. En ningún caso será condenado el patrón al pago de los salarios de los trabajadores que hubiesen declarado una huelga en los términos del artículo 450 fracción VI de esta Ley.</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firstLine="288"/>
      </w:pPr>
      <w:bookmarkStart w:name="Artículo_938" w:id="1183"/>
      <w:bookmarkEnd w:id="1183"/>
      <w:r>
        <w:rPr/>
      </w:r>
      <w:r>
        <w:rPr>
          <w:rFonts w:ascii="Arial" w:hAnsi="Arial"/>
          <w:b/>
        </w:rPr>
        <w:t>Artículo</w:t>
      </w:r>
      <w:r>
        <w:rPr>
          <w:rFonts w:ascii="Arial" w:hAnsi="Arial"/>
          <w:b/>
          <w:spacing w:val="-1"/>
        </w:rPr>
        <w:t> </w:t>
      </w:r>
      <w:r>
        <w:rPr>
          <w:rFonts w:ascii="Arial" w:hAnsi="Arial"/>
          <w:b/>
        </w:rPr>
        <w:t>938.-</w:t>
      </w:r>
      <w:r>
        <w:rPr>
          <w:rFonts w:ascii="Arial" w:hAnsi="Arial"/>
          <w:b/>
          <w:spacing w:val="-1"/>
        </w:rPr>
        <w:t> </w:t>
      </w:r>
      <w:r>
        <w:rPr/>
        <w:t>Si</w:t>
      </w:r>
      <w:r>
        <w:rPr>
          <w:spacing w:val="-3"/>
        </w:rPr>
        <w:t> </w:t>
      </w:r>
      <w:r>
        <w:rPr/>
        <w:t>la</w:t>
      </w:r>
      <w:r>
        <w:rPr>
          <w:spacing w:val="-2"/>
        </w:rPr>
        <w:t> </w:t>
      </w:r>
      <w:r>
        <w:rPr/>
        <w:t>huelga</w:t>
      </w:r>
      <w:r>
        <w:rPr>
          <w:spacing w:val="-2"/>
        </w:rPr>
        <w:t> </w:t>
      </w:r>
      <w:r>
        <w:rPr/>
        <w:t>tiene</w:t>
      </w:r>
      <w:r>
        <w:rPr>
          <w:spacing w:val="-4"/>
        </w:rPr>
        <w:t> </w:t>
      </w:r>
      <w:r>
        <w:rPr/>
        <w:t>por</w:t>
      </w:r>
      <w:r>
        <w:rPr>
          <w:spacing w:val="-4"/>
        </w:rPr>
        <w:t> </w:t>
      </w:r>
      <w:r>
        <w:rPr/>
        <w:t>objeto</w:t>
      </w:r>
      <w:r>
        <w:rPr>
          <w:spacing w:val="-3"/>
        </w:rPr>
        <w:t> </w:t>
      </w:r>
      <w:r>
        <w:rPr/>
        <w:t>la</w:t>
      </w:r>
      <w:r>
        <w:rPr>
          <w:spacing w:val="-2"/>
        </w:rPr>
        <w:t> </w:t>
      </w:r>
      <w:r>
        <w:rPr/>
        <w:t>celebración</w:t>
      </w:r>
      <w:r>
        <w:rPr>
          <w:spacing w:val="-5"/>
        </w:rPr>
        <w:t> </w:t>
      </w:r>
      <w:r>
        <w:rPr/>
        <w:t>o</w:t>
      </w:r>
      <w:r>
        <w:rPr>
          <w:spacing w:val="-2"/>
        </w:rPr>
        <w:t> </w:t>
      </w:r>
      <w:r>
        <w:rPr/>
        <w:t>revisión</w:t>
      </w:r>
      <w:r>
        <w:rPr>
          <w:spacing w:val="-3"/>
        </w:rPr>
        <w:t> </w:t>
      </w:r>
      <w:r>
        <w:rPr/>
        <w:t>del</w:t>
      </w:r>
      <w:r>
        <w:rPr>
          <w:spacing w:val="-5"/>
        </w:rPr>
        <w:t> </w:t>
      </w:r>
      <w:r>
        <w:rPr/>
        <w:t>contrato</w:t>
      </w:r>
      <w:r>
        <w:rPr>
          <w:spacing w:val="-2"/>
        </w:rPr>
        <w:t> </w:t>
      </w:r>
      <w:r>
        <w:rPr/>
        <w:t>ley,</w:t>
      </w:r>
      <w:r>
        <w:rPr>
          <w:spacing w:val="-2"/>
        </w:rPr>
        <w:t> </w:t>
      </w:r>
      <w:r>
        <w:rPr/>
        <w:t>se</w:t>
      </w:r>
      <w:r>
        <w:rPr>
          <w:spacing w:val="-2"/>
        </w:rPr>
        <w:t> </w:t>
      </w:r>
      <w:r>
        <w:rPr/>
        <w:t>observarán</w:t>
      </w:r>
      <w:r>
        <w:rPr>
          <w:spacing w:val="-4"/>
        </w:rPr>
        <w:t> </w:t>
      </w:r>
      <w:r>
        <w:rPr/>
        <w:t>las disposiciones de este Capítulo, con las modalidades siguientes:</w:t>
      </w:r>
    </w:p>
    <w:p>
      <w:pPr>
        <w:pStyle w:val="ListParagraph"/>
        <w:numPr>
          <w:ilvl w:val="0"/>
          <w:numId w:val="341"/>
        </w:numPr>
        <w:tabs>
          <w:tab w:pos="1193" w:val="left" w:leader="none"/>
          <w:tab w:pos="1195" w:val="left" w:leader="none"/>
        </w:tabs>
        <w:spacing w:line="240" w:lineRule="auto" w:before="227" w:after="0"/>
        <w:ind w:left="1195" w:right="344" w:hanging="569"/>
        <w:jc w:val="both"/>
        <w:rPr>
          <w:sz w:val="20"/>
        </w:rPr>
      </w:pPr>
      <w:r>
        <w:rPr>
          <w:sz w:val="20"/>
        </w:rPr>
        <w:t>El escrito de emplazamiento de huelga se presentará por los sindicatos coaligados, con una copia para</w:t>
      </w:r>
      <w:r>
        <w:rPr>
          <w:spacing w:val="-2"/>
          <w:sz w:val="20"/>
        </w:rPr>
        <w:t> </w:t>
      </w:r>
      <w:r>
        <w:rPr>
          <w:sz w:val="20"/>
        </w:rPr>
        <w:t>cada</w:t>
      </w:r>
      <w:r>
        <w:rPr>
          <w:spacing w:val="-2"/>
          <w:sz w:val="20"/>
        </w:rPr>
        <w:t> </w:t>
      </w:r>
      <w:r>
        <w:rPr>
          <w:sz w:val="20"/>
        </w:rPr>
        <w:t>uno</w:t>
      </w:r>
      <w:r>
        <w:rPr>
          <w:spacing w:val="-3"/>
          <w:sz w:val="20"/>
        </w:rPr>
        <w:t> </w:t>
      </w:r>
      <w:r>
        <w:rPr>
          <w:sz w:val="20"/>
        </w:rPr>
        <w:t>de</w:t>
      </w:r>
      <w:r>
        <w:rPr>
          <w:spacing w:val="-2"/>
          <w:sz w:val="20"/>
        </w:rPr>
        <w:t> </w:t>
      </w:r>
      <w:r>
        <w:rPr>
          <w:sz w:val="20"/>
        </w:rPr>
        <w:t>los</w:t>
      </w:r>
      <w:r>
        <w:rPr>
          <w:spacing w:val="-1"/>
          <w:sz w:val="20"/>
        </w:rPr>
        <w:t> </w:t>
      </w:r>
      <w:r>
        <w:rPr>
          <w:sz w:val="20"/>
        </w:rPr>
        <w:t>patrones</w:t>
      </w:r>
      <w:r>
        <w:rPr>
          <w:spacing w:val="-1"/>
          <w:sz w:val="20"/>
        </w:rPr>
        <w:t> </w:t>
      </w:r>
      <w:r>
        <w:rPr>
          <w:sz w:val="20"/>
        </w:rPr>
        <w:t>emplazados,</w:t>
      </w:r>
      <w:r>
        <w:rPr>
          <w:spacing w:val="-2"/>
          <w:sz w:val="20"/>
        </w:rPr>
        <w:t> </w:t>
      </w:r>
      <w:r>
        <w:rPr>
          <w:sz w:val="20"/>
        </w:rPr>
        <w:t>o por</w:t>
      </w:r>
      <w:r>
        <w:rPr>
          <w:spacing w:val="-1"/>
          <w:sz w:val="20"/>
        </w:rPr>
        <w:t> </w:t>
      </w:r>
      <w:r>
        <w:rPr>
          <w:sz w:val="20"/>
        </w:rPr>
        <w:t>los</w:t>
      </w:r>
      <w:r>
        <w:rPr>
          <w:spacing w:val="-1"/>
          <w:sz w:val="20"/>
        </w:rPr>
        <w:t> </w:t>
      </w:r>
      <w:r>
        <w:rPr>
          <w:sz w:val="20"/>
        </w:rPr>
        <w:t>de</w:t>
      </w:r>
      <w:r>
        <w:rPr>
          <w:spacing w:val="-3"/>
          <w:sz w:val="20"/>
        </w:rPr>
        <w:t> </w:t>
      </w:r>
      <w:r>
        <w:rPr>
          <w:sz w:val="20"/>
        </w:rPr>
        <w:t>cada empresa</w:t>
      </w:r>
      <w:r>
        <w:rPr>
          <w:spacing w:val="-2"/>
          <w:sz w:val="20"/>
        </w:rPr>
        <w:t> </w:t>
      </w:r>
      <w:r>
        <w:rPr>
          <w:sz w:val="20"/>
        </w:rPr>
        <w:t>o</w:t>
      </w:r>
      <w:r>
        <w:rPr>
          <w:spacing w:val="-2"/>
          <w:sz w:val="20"/>
        </w:rPr>
        <w:t> </w:t>
      </w:r>
      <w:r>
        <w:rPr>
          <w:sz w:val="20"/>
        </w:rPr>
        <w:t>establecimiento, ante el Tribunal, o ante las autoridades mencionadas en el artículo 920 fracción II de esta Ley;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41"/>
        </w:numPr>
        <w:tabs>
          <w:tab w:pos="1192" w:val="left" w:leader="none"/>
          <w:tab w:pos="1195" w:val="left" w:leader="none"/>
        </w:tabs>
        <w:spacing w:line="240" w:lineRule="auto" w:before="0" w:after="0"/>
        <w:ind w:left="1195" w:right="346" w:hanging="569"/>
        <w:jc w:val="both"/>
        <w:rPr>
          <w:sz w:val="20"/>
        </w:rPr>
      </w:pPr>
      <w:r>
        <w:rPr>
          <w:sz w:val="20"/>
        </w:rPr>
        <w:t>En el escrito de emplazamiento se señalará el día y la hora en que se suspenderán las labores, que deberán ser treinta o más días posteriores a la fecha de su presentación ante el Tribunal;</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ListParagraph"/>
        <w:numPr>
          <w:ilvl w:val="0"/>
          <w:numId w:val="341"/>
        </w:numPr>
        <w:tabs>
          <w:tab w:pos="1191" w:val="left" w:leader="none"/>
          <w:tab w:pos="1195" w:val="left" w:leader="none"/>
        </w:tabs>
        <w:spacing w:line="240" w:lineRule="auto" w:before="0" w:after="0"/>
        <w:ind w:left="1195" w:right="342" w:hanging="569"/>
        <w:jc w:val="both"/>
        <w:rPr>
          <w:sz w:val="20"/>
        </w:rPr>
      </w:pPr>
      <w:r>
        <w:rPr>
          <w:sz w:val="20"/>
        </w:rPr>
        <w:t>Si el escrito se presenta ante el Tribunal, bajo su más estricta responsabilidad, hará llegar a los patrones la copia del escrito de emplazamiento directamente dentro de las veinticuatro horas siguientes a la de su recibo, o girará dentro del mismo término los exhortos necesarios, los que deberán desahogarse por la autoridad exhortada, bajo su más estricta responsabilidad, dentro de las veinticuatro horas siguientes a su recepción. Desahogados los exhortos, deberán devolverse dentro del mismo término de veinticuatro horas, 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41"/>
        </w:numPr>
        <w:tabs>
          <w:tab w:pos="1195" w:val="left" w:leader="none"/>
        </w:tabs>
        <w:spacing w:line="240" w:lineRule="auto" w:before="0" w:after="0"/>
        <w:ind w:left="1195" w:right="337" w:hanging="569"/>
        <w:jc w:val="both"/>
        <w:rPr>
          <w:sz w:val="20"/>
        </w:rPr>
      </w:pPr>
      <w:r>
        <w:rPr>
          <w:sz w:val="20"/>
        </w:rPr>
        <w:t>Si el escrito se presenta ante las otras autoridades a que se refiere la fracción I, éstas, bajo su más estricta responsabilidad, harán llegar directamente a los patrones la copia del escrito de emplazamiento, dentro de las veinticuatro horas siguientes a la de su recibo. Una vez hecho el emplazamiento, remitirán el expediente al Tribunal dentro del mismo término de veinticuatro </w:t>
      </w:r>
      <w:r>
        <w:rPr>
          <w:spacing w:val="-2"/>
          <w:sz w:val="20"/>
        </w:rPr>
        <w:t>horas.</w:t>
      </w:r>
    </w:p>
    <w:p>
      <w:pPr>
        <w:pStyle w:val="ListParagraph"/>
        <w:spacing w:after="0" w:line="240" w:lineRule="auto"/>
        <w:jc w:val="both"/>
        <w:rPr>
          <w:sz w:val="20"/>
        </w:rPr>
        <w:sectPr>
          <w:pgSz w:w="12240" w:h="15840"/>
          <w:pgMar w:header="724" w:footer="712" w:top="1880" w:bottom="900" w:left="1080" w:right="1080"/>
        </w:sectPr>
      </w:pPr>
    </w:p>
    <w:p>
      <w:pPr>
        <w:pStyle w:val="BodyText"/>
        <w:rPr>
          <w:sz w:val="22"/>
        </w:rPr>
      </w:pPr>
    </w:p>
    <w:p>
      <w:pPr>
        <w:pStyle w:val="BodyText"/>
        <w:spacing w:before="92"/>
        <w:rPr>
          <w:sz w:val="22"/>
        </w:rPr>
      </w:pPr>
    </w:p>
    <w:p>
      <w:pPr>
        <w:pStyle w:val="Heading1"/>
        <w:spacing w:line="252" w:lineRule="exact"/>
        <w:ind w:left="3503" w:right="0"/>
      </w:pPr>
      <w:r>
        <w:rPr/>
        <w:t>TITULO</w:t>
      </w:r>
      <w:r>
        <w:rPr>
          <w:spacing w:val="-4"/>
        </w:rPr>
        <w:t> </w:t>
      </w:r>
      <w:r>
        <w:rPr>
          <w:spacing w:val="-2"/>
        </w:rPr>
        <w:t>QUINCE</w:t>
      </w:r>
    </w:p>
    <w:p>
      <w:pPr>
        <w:pStyle w:val="Heading2"/>
        <w:spacing w:line="252" w:lineRule="exact"/>
        <w:ind w:left="3507" w:right="0"/>
      </w:pPr>
      <w:r>
        <w:rPr/>
        <w:t>Procedimientos</w:t>
      </w:r>
      <w:r>
        <w:rPr>
          <w:spacing w:val="-9"/>
        </w:rPr>
        <w:t> </w:t>
      </w:r>
      <w:r>
        <w:rPr/>
        <w:t>de</w:t>
      </w:r>
      <w:r>
        <w:rPr>
          <w:spacing w:val="-6"/>
        </w:rPr>
        <w:t> </w:t>
      </w:r>
      <w:r>
        <w:rPr>
          <w:spacing w:val="-2"/>
        </w:rPr>
        <w:t>Ejecución</w:t>
      </w:r>
    </w:p>
    <w:p>
      <w:pPr>
        <w:spacing w:before="0"/>
        <w:ind w:left="685" w:right="333" w:hanging="17"/>
        <w:jc w:val="left"/>
        <w:rPr>
          <w:rFonts w:ascii="Times New Roman" w:hAnsi="Times New Roman"/>
          <w:i/>
          <w:sz w:val="16"/>
        </w:rPr>
      </w:pPr>
      <w:r>
        <w:rPr/>
        <w:br w:type="column"/>
      </w: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i/>
          <w:sz w:val="16"/>
        </w:rPr>
        <w:sectPr>
          <w:type w:val="continuous"/>
          <w:pgSz w:w="12240" w:h="15840"/>
          <w:pgMar w:header="724" w:footer="712" w:top="1880" w:bottom="900" w:left="1080" w:right="1080"/>
          <w:cols w:num="2" w:equalWidth="0">
            <w:col w:w="6577" w:space="40"/>
            <w:col w:w="3463"/>
          </w:cols>
        </w:sectPr>
      </w:pPr>
    </w:p>
    <w:p>
      <w:pPr>
        <w:spacing w:before="1"/>
        <w:ind w:left="0" w:right="333"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8"/>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70"/>
        <w:rPr>
          <w:rFonts w:ascii="Times New Roman"/>
          <w:i/>
          <w:sz w:val="16"/>
        </w:rPr>
      </w:pPr>
    </w:p>
    <w:p>
      <w:pPr>
        <w:pStyle w:val="Heading1"/>
      </w:pPr>
      <w:r>
        <w:rPr/>
        <w:t>CAPITULO</w:t>
      </w:r>
      <w:r>
        <w:rPr>
          <w:spacing w:val="-9"/>
        </w:rPr>
        <w:t> </w:t>
      </w:r>
      <w:r>
        <w:rPr>
          <w:spacing w:val="-12"/>
        </w:rPr>
        <w:t>I</w:t>
      </w:r>
    </w:p>
    <w:p>
      <w:pPr>
        <w:spacing w:before="1"/>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suprimida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Heading2"/>
        <w:spacing w:before="251"/>
        <w:ind w:left="3733" w:right="3728" w:firstLine="2"/>
      </w:pPr>
      <w:r>
        <w:rPr/>
        <w:t>Sección Primera Disposiciones</w:t>
      </w:r>
      <w:r>
        <w:rPr>
          <w:spacing w:val="-16"/>
        </w:rPr>
        <w:t> </w:t>
      </w:r>
      <w:r>
        <w:rPr/>
        <w:t>Generales</w:t>
      </w:r>
    </w:p>
    <w:p>
      <w:pPr>
        <w:spacing w:before="0"/>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1"/>
        <w:rPr>
          <w:rFonts w:ascii="Times New Roman"/>
          <w:i/>
        </w:rPr>
      </w:pPr>
    </w:p>
    <w:p>
      <w:pPr>
        <w:pStyle w:val="BodyText"/>
        <w:spacing w:line="242" w:lineRule="auto"/>
        <w:ind w:left="338" w:right="343" w:firstLine="288"/>
        <w:jc w:val="both"/>
      </w:pPr>
      <w:bookmarkStart w:name="Artículo_939" w:id="1184"/>
      <w:bookmarkEnd w:id="1184"/>
      <w:r>
        <w:rPr/>
      </w:r>
      <w:r>
        <w:rPr>
          <w:rFonts w:ascii="Arial" w:hAnsi="Arial"/>
          <w:b/>
        </w:rPr>
        <w:t>Artículo 939.- </w:t>
      </w:r>
      <w:r>
        <w:rPr/>
        <w:t>Las disposiciones de este Título rigen la ejecución de las sentencias dictadas por los Tribunales. Son también aplicables a los laudos arbitrales, a las resoluciones dictadas en los conflictos colectivos de naturaleza económica, y a los convenios celebrados ante los Centros de Conciliación.</w:t>
      </w:r>
    </w:p>
    <w:p>
      <w:pPr>
        <w:pStyle w:val="BodyText"/>
        <w:spacing w:after="0" w:line="242" w:lineRule="auto"/>
        <w:jc w:val="both"/>
        <w:sectPr>
          <w:type w:val="continuous"/>
          <w:pgSz w:w="12240" w:h="15840"/>
          <w:pgMar w:header="724" w:footer="712" w:top="1880" w:bottom="900" w:left="1080" w:right="1080"/>
        </w:sectPr>
      </w:pPr>
    </w:p>
    <w:p>
      <w:pPr>
        <w:pStyle w:val="BodyText"/>
      </w:pPr>
    </w:p>
    <w:p>
      <w:pPr>
        <w:pStyle w:val="BodyText"/>
        <w:spacing w:before="66"/>
      </w:pPr>
    </w:p>
    <w:p>
      <w:pPr>
        <w:pStyle w:val="BodyText"/>
        <w:ind w:left="338" w:right="338" w:firstLine="288"/>
        <w:jc w:val="both"/>
      </w:pPr>
      <w:r>
        <w:rPr/>
        <w:t>Cuando se trate de laudos arbitrales y convenios celebrados ante los centros de conciliación, que no hayan sido cumplidos en los términos establecidos en los mismos, los trabajadores y en su caso los patrones, acudirán al tribunal para solicitar su ejecución conforme a las disposiciones de este capítulo, dándoles el mismo tratamiento que una sentencia.</w:t>
      </w:r>
    </w:p>
    <w:p>
      <w:pPr>
        <w:spacing w:line="181" w:lineRule="exact" w:before="0"/>
        <w:ind w:left="452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4" w:firstLine="288"/>
        <w:jc w:val="both"/>
      </w:pPr>
      <w:bookmarkStart w:name="Artículo_940" w:id="1185"/>
      <w:bookmarkEnd w:id="1185"/>
      <w:r>
        <w:rPr/>
      </w:r>
      <w:r>
        <w:rPr>
          <w:rFonts w:ascii="Arial" w:hAnsi="Arial"/>
          <w:b/>
        </w:rPr>
        <w:t>Artículo 940.- </w:t>
      </w:r>
      <w:r>
        <w:rPr/>
        <w:t>La ejecución de las sentencias y</w:t>
      </w:r>
      <w:r>
        <w:rPr>
          <w:spacing w:val="-2"/>
        </w:rPr>
        <w:t> </w:t>
      </w:r>
      <w:r>
        <w:rPr/>
        <w:t>convenios a que se refiere el artículo 939 de esta Ley corresponde a los Tribunales, a cuyo fin dictarán las medidas necesarias para que la ejecución sea</w:t>
      </w:r>
      <w:r>
        <w:rPr>
          <w:spacing w:val="40"/>
        </w:rPr>
        <w:t> </w:t>
      </w:r>
      <w:r>
        <w:rPr/>
        <w:t>pronta y expedita.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right="344" w:firstLine="288"/>
        <w:jc w:val="both"/>
      </w:pPr>
      <w:bookmarkStart w:name="Artículo_941" w:id="1186"/>
      <w:bookmarkEnd w:id="1186"/>
      <w:r>
        <w:rPr/>
      </w:r>
      <w:r>
        <w:rPr>
          <w:rFonts w:ascii="Arial" w:hAnsi="Arial"/>
          <w:b/>
        </w:rPr>
        <w:t>Artículo 941.- </w:t>
      </w:r>
      <w:r>
        <w:rPr/>
        <w:t>Cuando la sentencia deba ser ejecutada por otro Tribunal se le dirigirá exhorto con las inserciones necesarias, facultándolo para hacer uso de los medios de apremio y dictar las medidas conducentes en caso de oposición a la diligencia de ejecución.</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626"/>
      </w:pPr>
      <w:bookmarkStart w:name="Artículo_942" w:id="1187"/>
      <w:bookmarkEnd w:id="1187"/>
      <w:r>
        <w:rPr/>
      </w:r>
      <w:r>
        <w:rPr>
          <w:rFonts w:ascii="Arial" w:hAnsi="Arial"/>
          <w:b/>
        </w:rPr>
        <w:t>Artículo</w:t>
      </w:r>
      <w:r>
        <w:rPr>
          <w:rFonts w:ascii="Arial" w:hAnsi="Arial"/>
          <w:b/>
          <w:spacing w:val="-7"/>
        </w:rPr>
        <w:t> </w:t>
      </w:r>
      <w:r>
        <w:rPr>
          <w:rFonts w:ascii="Arial" w:hAnsi="Arial"/>
          <w:b/>
        </w:rPr>
        <w:t>942.-</w:t>
      </w:r>
      <w:r>
        <w:rPr>
          <w:rFonts w:ascii="Arial" w:hAnsi="Arial"/>
          <w:b/>
          <w:spacing w:val="-5"/>
        </w:rPr>
        <w:t> </w:t>
      </w:r>
      <w:r>
        <w:rPr/>
        <w:t>El</w:t>
      </w:r>
      <w:r>
        <w:rPr>
          <w:spacing w:val="-9"/>
        </w:rPr>
        <w:t> </w:t>
      </w:r>
      <w:r>
        <w:rPr/>
        <w:t>Tribunal</w:t>
      </w:r>
      <w:r>
        <w:rPr>
          <w:spacing w:val="-5"/>
        </w:rPr>
        <w:t> </w:t>
      </w:r>
      <w:r>
        <w:rPr/>
        <w:t>exhortado</w:t>
      </w:r>
      <w:r>
        <w:rPr>
          <w:spacing w:val="-6"/>
        </w:rPr>
        <w:t> </w:t>
      </w:r>
      <w:r>
        <w:rPr/>
        <w:t>no</w:t>
      </w:r>
      <w:r>
        <w:rPr>
          <w:spacing w:val="-6"/>
        </w:rPr>
        <w:t> </w:t>
      </w:r>
      <w:r>
        <w:rPr/>
        <w:t>podrá</w:t>
      </w:r>
      <w:r>
        <w:rPr>
          <w:spacing w:val="-5"/>
        </w:rPr>
        <w:t> </w:t>
      </w:r>
      <w:r>
        <w:rPr/>
        <w:t>conocer</w:t>
      </w:r>
      <w:r>
        <w:rPr>
          <w:spacing w:val="-5"/>
        </w:rPr>
        <w:t> </w:t>
      </w:r>
      <w:r>
        <w:rPr/>
        <w:t>de</w:t>
      </w:r>
      <w:r>
        <w:rPr>
          <w:spacing w:val="-9"/>
        </w:rPr>
        <w:t> </w:t>
      </w:r>
      <w:r>
        <w:rPr/>
        <w:t>las</w:t>
      </w:r>
      <w:r>
        <w:rPr>
          <w:spacing w:val="-7"/>
        </w:rPr>
        <w:t> </w:t>
      </w:r>
      <w:r>
        <w:rPr/>
        <w:t>excepciones</w:t>
      </w:r>
      <w:r>
        <w:rPr>
          <w:spacing w:val="-6"/>
        </w:rPr>
        <w:t> </w:t>
      </w:r>
      <w:r>
        <w:rPr/>
        <w:t>que</w:t>
      </w:r>
      <w:r>
        <w:rPr>
          <w:spacing w:val="-7"/>
        </w:rPr>
        <w:t> </w:t>
      </w:r>
      <w:r>
        <w:rPr/>
        <w:t>opongan</w:t>
      </w:r>
      <w:r>
        <w:rPr>
          <w:spacing w:val="-8"/>
        </w:rPr>
        <w:t> </w:t>
      </w:r>
      <w:r>
        <w:rPr/>
        <w:t>las</w:t>
      </w:r>
      <w:r>
        <w:rPr>
          <w:spacing w:val="-7"/>
        </w:rPr>
        <w:t> </w:t>
      </w:r>
      <w:r>
        <w:rPr>
          <w:spacing w:val="-2"/>
        </w:rPr>
        <w:t>partes.</w:t>
      </w:r>
    </w:p>
    <w:p>
      <w:pPr>
        <w:spacing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1" w:firstLine="288"/>
        <w:jc w:val="both"/>
      </w:pPr>
      <w:bookmarkStart w:name="Artículo_943" w:id="1188"/>
      <w:bookmarkEnd w:id="1188"/>
      <w:r>
        <w:rPr/>
      </w:r>
      <w:r>
        <w:rPr>
          <w:rFonts w:ascii="Arial" w:hAnsi="Arial"/>
          <w:b/>
        </w:rPr>
        <w:t>Artículo 943.- </w:t>
      </w:r>
      <w:r>
        <w:rPr/>
        <w:t>Si al cumplimentar un exhorto, se opone algún tercero que no hubiese sido oído por el Tribunal exhortante, se suspenderá la cumplimentación del exhorto, previa fianza que otorgue para garantizar el monto de la cantidad por la que se despachó ejecución y de los daños y perjuicios que puedan causarse. Otorgada la fianza, se devolverá el exhorto al Tribunal exhortante.</w:t>
      </w:r>
    </w:p>
    <w:p>
      <w:pPr>
        <w:spacing w:line="17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right="342" w:firstLine="288"/>
        <w:jc w:val="both"/>
      </w:pPr>
      <w:bookmarkStart w:name="Artículo_944" w:id="1189"/>
      <w:bookmarkEnd w:id="1189"/>
      <w:r>
        <w:rPr/>
      </w:r>
      <w:r>
        <w:rPr>
          <w:rFonts w:ascii="Arial" w:hAnsi="Arial"/>
          <w:b/>
        </w:rPr>
        <w:t>Artículo 944.- </w:t>
      </w:r>
      <w:r>
        <w:rPr/>
        <w:t>Los gastos que se originen en la ejecución de las sentencias, serán a cargo de la parte que no cumpla.</w:t>
      </w:r>
    </w:p>
    <w:p>
      <w:pPr>
        <w:spacing w:line="181"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6" w:firstLine="288"/>
        <w:jc w:val="both"/>
      </w:pPr>
      <w:bookmarkStart w:name="Artículo_945" w:id="1190"/>
      <w:bookmarkEnd w:id="1190"/>
      <w:r>
        <w:rPr/>
      </w:r>
      <w:r>
        <w:rPr>
          <w:rFonts w:ascii="Arial" w:hAnsi="Arial"/>
          <w:b/>
        </w:rPr>
        <w:t>Artículo</w:t>
      </w:r>
      <w:r>
        <w:rPr>
          <w:rFonts w:ascii="Arial" w:hAnsi="Arial"/>
          <w:b/>
          <w:spacing w:val="-1"/>
        </w:rPr>
        <w:t> </w:t>
      </w:r>
      <w:r>
        <w:rPr>
          <w:rFonts w:ascii="Arial" w:hAnsi="Arial"/>
          <w:b/>
        </w:rPr>
        <w:t>945</w:t>
      </w:r>
      <w:r>
        <w:rPr/>
        <w:t>. Las</w:t>
      </w:r>
      <w:r>
        <w:rPr>
          <w:spacing w:val="-1"/>
        </w:rPr>
        <w:t> </w:t>
      </w:r>
      <w:r>
        <w:rPr/>
        <w:t>sentencias</w:t>
      </w:r>
      <w:r>
        <w:rPr>
          <w:spacing w:val="-1"/>
        </w:rPr>
        <w:t> </w:t>
      </w:r>
      <w:r>
        <w:rPr/>
        <w:t>deben</w:t>
      </w:r>
      <w:r>
        <w:rPr>
          <w:spacing w:val="-3"/>
        </w:rPr>
        <w:t> </w:t>
      </w:r>
      <w:r>
        <w:rPr/>
        <w:t>cumplirse dentro de los</w:t>
      </w:r>
      <w:r>
        <w:rPr>
          <w:spacing w:val="-1"/>
        </w:rPr>
        <w:t> </w:t>
      </w:r>
      <w:r>
        <w:rPr/>
        <w:t>quince días</w:t>
      </w:r>
      <w:r>
        <w:rPr>
          <w:spacing w:val="-1"/>
        </w:rPr>
        <w:t> </w:t>
      </w:r>
      <w:r>
        <w:rPr/>
        <w:t>siguientes</w:t>
      </w:r>
      <w:r>
        <w:rPr>
          <w:spacing w:val="-1"/>
        </w:rPr>
        <w:t> </w:t>
      </w:r>
      <w:r>
        <w:rPr/>
        <w:t>al</w:t>
      </w:r>
      <w:r>
        <w:rPr>
          <w:spacing w:val="-1"/>
        </w:rPr>
        <w:t> </w:t>
      </w:r>
      <w:r>
        <w:rPr/>
        <w:t>día en que</w:t>
      </w:r>
      <w:r>
        <w:rPr>
          <w:spacing w:val="-2"/>
        </w:rPr>
        <w:t> </w:t>
      </w:r>
      <w:r>
        <w:rPr/>
        <w:t>surta efectos la notificación. Vencido el plazo, la parte que obtuvo sentencia favorable podrá solicitar la ejecución de ésta en términos de lo dispuesto en el artículo 950 de esta Ley.</w:t>
      </w:r>
    </w:p>
    <w:p>
      <w:pPr>
        <w:pStyle w:val="BodyText"/>
        <w:spacing w:before="227"/>
        <w:ind w:left="338" w:right="335" w:firstLine="288"/>
        <w:jc w:val="both"/>
      </w:pPr>
      <w:r>
        <w:rPr/>
        <w:t>Si el juez advierte que existe riesgo de no ejecutar la sentencia, o si el patrón realiza actos tendientes al incumplimiento de la misma, el juez tomará las medidas necesarias a efecto de lograr el cumplimiento eficaz de la sentencia. Para ello podrá decretar el embargo de cuentas bancarias y/o bienes inmuebles, debiendo girar los oficios respectivos a las instituciones competentes. Asimismo, deberá dar vista a las instituciones de seguridad social a efecto de que se cumplimenten las resoluciones en lo que respecta al pago de las cotizaciones y aportaciones que se contengan en la sentencia.</w:t>
      </w:r>
    </w:p>
    <w:p>
      <w:pPr>
        <w:pStyle w:val="BodyText"/>
        <w:spacing w:before="228"/>
        <w:ind w:left="338" w:right="346" w:firstLine="288"/>
        <w:jc w:val="both"/>
      </w:pPr>
      <w:r>
        <w:rPr/>
        <w:t>La</w:t>
      </w:r>
      <w:r>
        <w:rPr>
          <w:spacing w:val="-5"/>
        </w:rPr>
        <w:t> </w:t>
      </w:r>
      <w:r>
        <w:rPr/>
        <w:t>acción</w:t>
      </w:r>
      <w:r>
        <w:rPr>
          <w:spacing w:val="-3"/>
        </w:rPr>
        <w:t> </w:t>
      </w:r>
      <w:r>
        <w:rPr/>
        <w:t>para</w:t>
      </w:r>
      <w:r>
        <w:rPr>
          <w:spacing w:val="-1"/>
        </w:rPr>
        <w:t> </w:t>
      </w:r>
      <w:r>
        <w:rPr/>
        <w:t>solicitar</w:t>
      </w:r>
      <w:r>
        <w:rPr>
          <w:spacing w:val="-1"/>
        </w:rPr>
        <w:t> </w:t>
      </w:r>
      <w:r>
        <w:rPr/>
        <w:t>la</w:t>
      </w:r>
      <w:r>
        <w:rPr>
          <w:spacing w:val="-4"/>
        </w:rPr>
        <w:t> </w:t>
      </w:r>
      <w:r>
        <w:rPr/>
        <w:t>ejecución</w:t>
      </w:r>
      <w:r>
        <w:rPr>
          <w:spacing w:val="-3"/>
        </w:rPr>
        <w:t> </w:t>
      </w:r>
      <w:r>
        <w:rPr/>
        <w:t>de</w:t>
      </w:r>
      <w:r>
        <w:rPr>
          <w:spacing w:val="-3"/>
        </w:rPr>
        <w:t> </w:t>
      </w:r>
      <w:r>
        <w:rPr/>
        <w:t>las</w:t>
      </w:r>
      <w:r>
        <w:rPr>
          <w:spacing w:val="-3"/>
        </w:rPr>
        <w:t> </w:t>
      </w:r>
      <w:r>
        <w:rPr/>
        <w:t>sentencias</w:t>
      </w:r>
      <w:r>
        <w:rPr>
          <w:spacing w:val="-1"/>
        </w:rPr>
        <w:t> </w:t>
      </w:r>
      <w:r>
        <w:rPr/>
        <w:t>definitivas</w:t>
      </w:r>
      <w:r>
        <w:rPr>
          <w:spacing w:val="-3"/>
        </w:rPr>
        <w:t> </w:t>
      </w:r>
      <w:r>
        <w:rPr/>
        <w:t>del</w:t>
      </w:r>
      <w:r>
        <w:rPr>
          <w:spacing w:val="-3"/>
        </w:rPr>
        <w:t> </w:t>
      </w:r>
      <w:r>
        <w:rPr/>
        <w:t>Tribunal</w:t>
      </w:r>
      <w:r>
        <w:rPr>
          <w:spacing w:val="-3"/>
        </w:rPr>
        <w:t> </w:t>
      </w:r>
      <w:r>
        <w:rPr/>
        <w:t>prescribe</w:t>
      </w:r>
      <w:r>
        <w:rPr>
          <w:spacing w:val="-5"/>
        </w:rPr>
        <w:t> </w:t>
      </w:r>
      <w:r>
        <w:rPr/>
        <w:t>en</w:t>
      </w:r>
      <w:r>
        <w:rPr>
          <w:spacing w:val="-2"/>
        </w:rPr>
        <w:t> </w:t>
      </w:r>
      <w:r>
        <w:rPr/>
        <w:t>dos</w:t>
      </w:r>
      <w:r>
        <w:rPr>
          <w:spacing w:val="-3"/>
        </w:rPr>
        <w:t> </w:t>
      </w:r>
      <w:r>
        <w:rPr/>
        <w:t>años</w:t>
      </w:r>
      <w:r>
        <w:rPr>
          <w:spacing w:val="-1"/>
        </w:rPr>
        <w:t> </w:t>
      </w:r>
      <w:r>
        <w:rPr/>
        <w:t>en términos del artículo 519 de esta Ley. La prescripción correrá a partir del día siguiente al que hubiese notificado la sentencia del Tribunal a las partes y solo se interrumpe en los siguientes casos:</w:t>
      </w:r>
    </w:p>
    <w:p>
      <w:pPr>
        <w:pStyle w:val="BodyText"/>
      </w:pPr>
    </w:p>
    <w:p>
      <w:pPr>
        <w:pStyle w:val="ListParagraph"/>
        <w:numPr>
          <w:ilvl w:val="1"/>
          <w:numId w:val="341"/>
        </w:numPr>
        <w:tabs>
          <w:tab w:pos="984" w:val="left" w:leader="none"/>
          <w:tab w:pos="986" w:val="left" w:leader="none"/>
        </w:tabs>
        <w:spacing w:line="240" w:lineRule="auto" w:before="0" w:after="0"/>
        <w:ind w:left="986" w:right="342" w:hanging="360"/>
        <w:jc w:val="both"/>
        <w:rPr>
          <w:sz w:val="20"/>
        </w:rPr>
      </w:pPr>
      <w:r>
        <w:rPr>
          <w:sz w:val="20"/>
        </w:rPr>
        <w:t>Por la presentación de la</w:t>
      </w:r>
      <w:r>
        <w:rPr>
          <w:spacing w:val="-2"/>
          <w:sz w:val="20"/>
        </w:rPr>
        <w:t> </w:t>
      </w:r>
      <w:r>
        <w:rPr>
          <w:sz w:val="20"/>
        </w:rPr>
        <w:t>solicitud de ejecución debidamente</w:t>
      </w:r>
      <w:r>
        <w:rPr>
          <w:spacing w:val="-2"/>
          <w:sz w:val="20"/>
        </w:rPr>
        <w:t> </w:t>
      </w:r>
      <w:r>
        <w:rPr>
          <w:sz w:val="20"/>
        </w:rPr>
        <w:t>requisitada, mediante la cual la parte que obtuvo sentencia favorable, solicite al juez dicte el auto de requerimiento y embargo correspondiente, o bien que abra el Incidente de Liquidación, y</w:t>
      </w:r>
    </w:p>
    <w:p>
      <w:pPr>
        <w:pStyle w:val="ListParagraph"/>
        <w:numPr>
          <w:ilvl w:val="1"/>
          <w:numId w:val="341"/>
        </w:numPr>
        <w:tabs>
          <w:tab w:pos="984" w:val="left" w:leader="none"/>
        </w:tabs>
        <w:spacing w:line="240" w:lineRule="auto" w:before="229" w:after="0"/>
        <w:ind w:left="984" w:right="0" w:hanging="358"/>
        <w:jc w:val="left"/>
        <w:rPr>
          <w:sz w:val="20"/>
        </w:rPr>
      </w:pPr>
      <w:r>
        <w:rPr>
          <w:sz w:val="20"/>
        </w:rPr>
        <w:t>Cuando</w:t>
      </w:r>
      <w:r>
        <w:rPr>
          <w:spacing w:val="-9"/>
          <w:sz w:val="20"/>
        </w:rPr>
        <w:t> </w:t>
      </w:r>
      <w:r>
        <w:rPr>
          <w:sz w:val="20"/>
        </w:rPr>
        <w:t>alguna</w:t>
      </w:r>
      <w:r>
        <w:rPr>
          <w:spacing w:val="-6"/>
          <w:sz w:val="20"/>
        </w:rPr>
        <w:t> </w:t>
      </w:r>
      <w:r>
        <w:rPr>
          <w:sz w:val="20"/>
        </w:rPr>
        <w:t>de</w:t>
      </w:r>
      <w:r>
        <w:rPr>
          <w:spacing w:val="-7"/>
          <w:sz w:val="20"/>
        </w:rPr>
        <w:t> </w:t>
      </w:r>
      <w:r>
        <w:rPr>
          <w:sz w:val="20"/>
        </w:rPr>
        <w:t>las</w:t>
      </w:r>
      <w:r>
        <w:rPr>
          <w:spacing w:val="-7"/>
          <w:sz w:val="20"/>
        </w:rPr>
        <w:t> </w:t>
      </w:r>
      <w:r>
        <w:rPr>
          <w:sz w:val="20"/>
        </w:rPr>
        <w:t>partes</w:t>
      </w:r>
      <w:r>
        <w:rPr>
          <w:spacing w:val="-6"/>
          <w:sz w:val="20"/>
        </w:rPr>
        <w:t> </w:t>
      </w:r>
      <w:r>
        <w:rPr>
          <w:sz w:val="20"/>
        </w:rPr>
        <w:t>interponga</w:t>
      </w:r>
      <w:r>
        <w:rPr>
          <w:spacing w:val="-7"/>
          <w:sz w:val="20"/>
        </w:rPr>
        <w:t> </w:t>
      </w:r>
      <w:r>
        <w:rPr>
          <w:sz w:val="20"/>
        </w:rPr>
        <w:t>el</w:t>
      </w:r>
      <w:r>
        <w:rPr>
          <w:spacing w:val="-9"/>
          <w:sz w:val="20"/>
        </w:rPr>
        <w:t> </w:t>
      </w:r>
      <w:r>
        <w:rPr>
          <w:sz w:val="20"/>
        </w:rPr>
        <w:t>medio</w:t>
      </w:r>
      <w:r>
        <w:rPr>
          <w:spacing w:val="-6"/>
          <w:sz w:val="20"/>
        </w:rPr>
        <w:t> </w:t>
      </w:r>
      <w:r>
        <w:rPr>
          <w:sz w:val="20"/>
        </w:rPr>
        <w:t>de</w:t>
      </w:r>
      <w:r>
        <w:rPr>
          <w:spacing w:val="-6"/>
          <w:sz w:val="20"/>
        </w:rPr>
        <w:t> </w:t>
      </w:r>
      <w:r>
        <w:rPr>
          <w:sz w:val="20"/>
        </w:rPr>
        <w:t>impugnación</w:t>
      </w:r>
      <w:r>
        <w:rPr>
          <w:spacing w:val="-9"/>
          <w:sz w:val="20"/>
        </w:rPr>
        <w:t> </w:t>
      </w:r>
      <w:r>
        <w:rPr>
          <w:spacing w:val="-2"/>
          <w:sz w:val="20"/>
        </w:rPr>
        <w:t>correspondiente.</w:t>
      </w:r>
    </w:p>
    <w:p>
      <w:pPr>
        <w:pStyle w:val="BodyText"/>
        <w:spacing w:before="5"/>
      </w:pPr>
    </w:p>
    <w:p>
      <w:pPr>
        <w:pStyle w:val="BodyText"/>
        <w:spacing w:line="237" w:lineRule="auto"/>
        <w:ind w:left="338" w:right="346" w:firstLine="288"/>
        <w:jc w:val="both"/>
      </w:pPr>
      <w:r>
        <w:rPr/>
        <w:t>Independientemente de lo anterior, las partes pueden convenir en las modalidades de su</w:t>
      </w:r>
      <w:r>
        <w:rPr>
          <w:spacing w:val="40"/>
        </w:rPr>
        <w:t> </w:t>
      </w:r>
      <w:r>
        <w:rPr>
          <w:spacing w:val="-2"/>
        </w:rPr>
        <w:t>cumplimiento.</w:t>
      </w:r>
    </w:p>
    <w:p>
      <w:pPr>
        <w:spacing w:line="183" w:lineRule="exact" w:before="0"/>
        <w:ind w:left="452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3" w:lineRule="exact"/>
        <w:jc w:val="lef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3"/>
        <w:rPr>
          <w:rFonts w:ascii="Times New Roman"/>
          <w:i/>
        </w:rPr>
      </w:pPr>
    </w:p>
    <w:p>
      <w:pPr>
        <w:pStyle w:val="BodyText"/>
        <w:spacing w:line="242" w:lineRule="auto"/>
        <w:ind w:left="338" w:right="345" w:firstLine="288"/>
        <w:jc w:val="both"/>
      </w:pPr>
      <w:bookmarkStart w:name="Artículo_946" w:id="1191"/>
      <w:bookmarkEnd w:id="1191"/>
      <w:r>
        <w:rPr/>
      </w:r>
      <w:r>
        <w:rPr>
          <w:rFonts w:ascii="Arial" w:hAnsi="Arial"/>
          <w:b/>
        </w:rPr>
        <w:t>Artículo 946.- </w:t>
      </w:r>
      <w:r>
        <w:rPr/>
        <w:t>La ejecución deberá despacharse para el cumplimiento de un derecho o el pago de cantidad</w:t>
      </w:r>
      <w:r>
        <w:rPr>
          <w:spacing w:val="-1"/>
        </w:rPr>
        <w:t> </w:t>
      </w:r>
      <w:r>
        <w:rPr/>
        <w:t>líquida,</w:t>
      </w:r>
      <w:r>
        <w:rPr>
          <w:spacing w:val="-1"/>
        </w:rPr>
        <w:t> </w:t>
      </w:r>
      <w:r>
        <w:rPr/>
        <w:t>expresamente</w:t>
      </w:r>
      <w:r>
        <w:rPr>
          <w:spacing w:val="-1"/>
        </w:rPr>
        <w:t> </w:t>
      </w:r>
      <w:r>
        <w:rPr/>
        <w:t>señalados en</w:t>
      </w:r>
      <w:r>
        <w:rPr>
          <w:spacing w:val="-1"/>
        </w:rPr>
        <w:t> </w:t>
      </w:r>
      <w:r>
        <w:rPr/>
        <w:t>la</w:t>
      </w:r>
      <w:r>
        <w:rPr>
          <w:spacing w:val="-1"/>
        </w:rPr>
        <w:t> </w:t>
      </w:r>
      <w:r>
        <w:rPr/>
        <w:t>sentencia</w:t>
      </w:r>
      <w:r>
        <w:rPr>
          <w:spacing w:val="-1"/>
        </w:rPr>
        <w:t> </w:t>
      </w:r>
      <w:r>
        <w:rPr/>
        <w:t>o</w:t>
      </w:r>
      <w:r>
        <w:rPr>
          <w:spacing w:val="-3"/>
        </w:rPr>
        <w:t> </w:t>
      </w:r>
      <w:r>
        <w:rPr/>
        <w:t>convenio</w:t>
      </w:r>
      <w:r>
        <w:rPr>
          <w:spacing w:val="-1"/>
        </w:rPr>
        <w:t> </w:t>
      </w:r>
      <w:r>
        <w:rPr/>
        <w:t>a</w:t>
      </w:r>
      <w:r>
        <w:rPr>
          <w:spacing w:val="-1"/>
        </w:rPr>
        <w:t> </w:t>
      </w:r>
      <w:r>
        <w:rPr/>
        <w:t>ejecutar, entendiéndose</w:t>
      </w:r>
      <w:r>
        <w:rPr>
          <w:spacing w:val="-1"/>
        </w:rPr>
        <w:t> </w:t>
      </w:r>
      <w:r>
        <w:rPr/>
        <w:t>por ésta, la cuantificada en éstas.</w:t>
      </w:r>
    </w:p>
    <w:p>
      <w:pPr>
        <w:spacing w:line="179"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firstLine="288"/>
      </w:pPr>
      <w:bookmarkStart w:name="Artículo_947" w:id="1192"/>
      <w:bookmarkEnd w:id="1192"/>
      <w:r>
        <w:rPr/>
      </w:r>
      <w:r>
        <w:rPr>
          <w:rFonts w:ascii="Arial" w:hAnsi="Arial"/>
          <w:b/>
        </w:rPr>
        <w:t>Artículo</w:t>
      </w:r>
      <w:r>
        <w:rPr>
          <w:rFonts w:ascii="Arial" w:hAnsi="Arial"/>
          <w:b/>
          <w:spacing w:val="33"/>
        </w:rPr>
        <w:t> </w:t>
      </w:r>
      <w:r>
        <w:rPr>
          <w:rFonts w:ascii="Arial" w:hAnsi="Arial"/>
          <w:b/>
        </w:rPr>
        <w:t>947.-</w:t>
      </w:r>
      <w:r>
        <w:rPr>
          <w:rFonts w:ascii="Arial" w:hAnsi="Arial"/>
          <w:b/>
          <w:spacing w:val="33"/>
        </w:rPr>
        <w:t> </w:t>
      </w:r>
      <w:r>
        <w:rPr/>
        <w:t>Si</w:t>
      </w:r>
      <w:r>
        <w:rPr>
          <w:spacing w:val="31"/>
        </w:rPr>
        <w:t> </w:t>
      </w:r>
      <w:r>
        <w:rPr/>
        <w:t>el</w:t>
      </w:r>
      <w:r>
        <w:rPr>
          <w:spacing w:val="33"/>
        </w:rPr>
        <w:t> </w:t>
      </w:r>
      <w:r>
        <w:rPr/>
        <w:t>patrón</w:t>
      </w:r>
      <w:r>
        <w:rPr>
          <w:spacing w:val="32"/>
        </w:rPr>
        <w:t> </w:t>
      </w:r>
      <w:r>
        <w:rPr/>
        <w:t>se</w:t>
      </w:r>
      <w:r>
        <w:rPr>
          <w:spacing w:val="32"/>
        </w:rPr>
        <w:t> </w:t>
      </w:r>
      <w:r>
        <w:rPr/>
        <w:t>negare</w:t>
      </w:r>
      <w:r>
        <w:rPr>
          <w:spacing w:val="33"/>
        </w:rPr>
        <w:t> </w:t>
      </w:r>
      <w:r>
        <w:rPr/>
        <w:t>a</w:t>
      </w:r>
      <w:r>
        <w:rPr>
          <w:spacing w:val="32"/>
        </w:rPr>
        <w:t> </w:t>
      </w:r>
      <w:r>
        <w:rPr/>
        <w:t>someter</w:t>
      </w:r>
      <w:r>
        <w:rPr>
          <w:spacing w:val="33"/>
        </w:rPr>
        <w:t> </w:t>
      </w:r>
      <w:r>
        <w:rPr/>
        <w:t>sus</w:t>
      </w:r>
      <w:r>
        <w:rPr>
          <w:spacing w:val="33"/>
        </w:rPr>
        <w:t> </w:t>
      </w:r>
      <w:r>
        <w:rPr/>
        <w:t>diferencias</w:t>
      </w:r>
      <w:r>
        <w:rPr>
          <w:spacing w:val="33"/>
        </w:rPr>
        <w:t> </w:t>
      </w:r>
      <w:r>
        <w:rPr/>
        <w:t>al</w:t>
      </w:r>
      <w:r>
        <w:rPr>
          <w:spacing w:val="31"/>
        </w:rPr>
        <w:t> </w:t>
      </w:r>
      <w:r>
        <w:rPr/>
        <w:t>juicio</w:t>
      </w:r>
      <w:r>
        <w:rPr>
          <w:spacing w:val="32"/>
        </w:rPr>
        <w:t> </w:t>
      </w:r>
      <w:r>
        <w:rPr/>
        <w:t>o</w:t>
      </w:r>
      <w:r>
        <w:rPr>
          <w:spacing w:val="34"/>
        </w:rPr>
        <w:t> </w:t>
      </w:r>
      <w:r>
        <w:rPr/>
        <w:t>a</w:t>
      </w:r>
      <w:r>
        <w:rPr>
          <w:spacing w:val="32"/>
        </w:rPr>
        <w:t> </w:t>
      </w:r>
      <w:r>
        <w:rPr/>
        <w:t>aceptar</w:t>
      </w:r>
      <w:r>
        <w:rPr>
          <w:spacing w:val="33"/>
        </w:rPr>
        <w:t> </w:t>
      </w:r>
      <w:r>
        <w:rPr/>
        <w:t>la</w:t>
      </w:r>
      <w:r>
        <w:rPr>
          <w:spacing w:val="32"/>
        </w:rPr>
        <w:t> </w:t>
      </w:r>
      <w:r>
        <w:rPr/>
        <w:t>sentencia pronunciada, el Tribunal:</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ListParagraph"/>
        <w:numPr>
          <w:ilvl w:val="2"/>
          <w:numId w:val="341"/>
        </w:numPr>
        <w:tabs>
          <w:tab w:pos="1195" w:val="left" w:leader="none"/>
        </w:tabs>
        <w:spacing w:line="240" w:lineRule="auto" w:before="229" w:after="0"/>
        <w:ind w:left="1195" w:right="0" w:hanging="569"/>
        <w:jc w:val="left"/>
        <w:rPr>
          <w:sz w:val="20"/>
        </w:rPr>
      </w:pPr>
      <w:r>
        <w:rPr>
          <w:sz w:val="20"/>
        </w:rPr>
        <w:t>Dará</w:t>
      </w:r>
      <w:r>
        <w:rPr>
          <w:spacing w:val="-7"/>
          <w:sz w:val="20"/>
        </w:rPr>
        <w:t> </w:t>
      </w:r>
      <w:r>
        <w:rPr>
          <w:sz w:val="20"/>
        </w:rPr>
        <w:t>por</w:t>
      </w:r>
      <w:r>
        <w:rPr>
          <w:spacing w:val="-3"/>
          <w:sz w:val="20"/>
        </w:rPr>
        <w:t> </w:t>
      </w:r>
      <w:r>
        <w:rPr>
          <w:sz w:val="20"/>
        </w:rPr>
        <w:t>terminada</w:t>
      </w:r>
      <w:r>
        <w:rPr>
          <w:spacing w:val="-6"/>
          <w:sz w:val="20"/>
        </w:rPr>
        <w:t> </w:t>
      </w:r>
      <w:r>
        <w:rPr>
          <w:sz w:val="20"/>
        </w:rPr>
        <w:t>la</w:t>
      </w:r>
      <w:r>
        <w:rPr>
          <w:spacing w:val="-6"/>
          <w:sz w:val="20"/>
        </w:rPr>
        <w:t> </w:t>
      </w:r>
      <w:r>
        <w:rPr>
          <w:sz w:val="20"/>
        </w:rPr>
        <w:t>relación</w:t>
      </w:r>
      <w:r>
        <w:rPr>
          <w:spacing w:val="-5"/>
          <w:sz w:val="20"/>
        </w:rPr>
        <w:t> </w:t>
      </w:r>
      <w:r>
        <w:rPr>
          <w:sz w:val="20"/>
        </w:rPr>
        <w:t>de</w:t>
      </w:r>
      <w:r>
        <w:rPr>
          <w:spacing w:val="-7"/>
          <w:sz w:val="20"/>
        </w:rPr>
        <w:t> </w:t>
      </w:r>
      <w:r>
        <w:rPr>
          <w:spacing w:val="-2"/>
          <w:sz w:val="20"/>
        </w:rPr>
        <w:t>trabajo;</w:t>
      </w:r>
    </w:p>
    <w:p>
      <w:pPr>
        <w:pStyle w:val="BodyText"/>
      </w:pPr>
    </w:p>
    <w:p>
      <w:pPr>
        <w:pStyle w:val="ListParagraph"/>
        <w:numPr>
          <w:ilvl w:val="2"/>
          <w:numId w:val="341"/>
        </w:numPr>
        <w:tabs>
          <w:tab w:pos="1195" w:val="left" w:leader="none"/>
        </w:tabs>
        <w:spacing w:line="240" w:lineRule="auto" w:before="1" w:after="0"/>
        <w:ind w:left="1195" w:right="0" w:hanging="569"/>
        <w:jc w:val="left"/>
        <w:rPr>
          <w:sz w:val="20"/>
        </w:rPr>
      </w:pPr>
      <w:r>
        <w:rPr>
          <w:sz w:val="20"/>
        </w:rPr>
        <w:t>Condenará</w:t>
      </w:r>
      <w:r>
        <w:rPr>
          <w:spacing w:val="-4"/>
          <w:sz w:val="20"/>
        </w:rPr>
        <w:t> </w:t>
      </w:r>
      <w:r>
        <w:rPr>
          <w:sz w:val="20"/>
        </w:rPr>
        <w:t>a</w:t>
      </w:r>
      <w:r>
        <w:rPr>
          <w:spacing w:val="-5"/>
          <w:sz w:val="20"/>
        </w:rPr>
        <w:t> </w:t>
      </w:r>
      <w:r>
        <w:rPr>
          <w:sz w:val="20"/>
        </w:rPr>
        <w:t>indemnizar</w:t>
      </w:r>
      <w:r>
        <w:rPr>
          <w:spacing w:val="-6"/>
          <w:sz w:val="20"/>
        </w:rPr>
        <w:t> </w:t>
      </w:r>
      <w:r>
        <w:rPr>
          <w:sz w:val="20"/>
        </w:rPr>
        <w:t>al</w:t>
      </w:r>
      <w:r>
        <w:rPr>
          <w:spacing w:val="-6"/>
          <w:sz w:val="20"/>
        </w:rPr>
        <w:t> </w:t>
      </w:r>
      <w:r>
        <w:rPr>
          <w:sz w:val="20"/>
        </w:rPr>
        <w:t>trabajador</w:t>
      </w:r>
      <w:r>
        <w:rPr>
          <w:spacing w:val="-7"/>
          <w:sz w:val="20"/>
        </w:rPr>
        <w:t> </w:t>
      </w:r>
      <w:r>
        <w:rPr>
          <w:sz w:val="20"/>
        </w:rPr>
        <w:t>con</w:t>
      </w:r>
      <w:r>
        <w:rPr>
          <w:spacing w:val="-7"/>
          <w:sz w:val="20"/>
        </w:rPr>
        <w:t> </w:t>
      </w:r>
      <w:r>
        <w:rPr>
          <w:sz w:val="20"/>
        </w:rPr>
        <w:t>el</w:t>
      </w:r>
      <w:r>
        <w:rPr>
          <w:spacing w:val="-6"/>
          <w:sz w:val="20"/>
        </w:rPr>
        <w:t> </w:t>
      </w:r>
      <w:r>
        <w:rPr>
          <w:sz w:val="20"/>
        </w:rPr>
        <w:t>importe</w:t>
      </w:r>
      <w:r>
        <w:rPr>
          <w:spacing w:val="-7"/>
          <w:sz w:val="20"/>
        </w:rPr>
        <w:t> </w:t>
      </w:r>
      <w:r>
        <w:rPr>
          <w:sz w:val="20"/>
        </w:rPr>
        <w:t>de</w:t>
      </w:r>
      <w:r>
        <w:rPr>
          <w:spacing w:val="-6"/>
          <w:sz w:val="20"/>
        </w:rPr>
        <w:t> </w:t>
      </w:r>
      <w:r>
        <w:rPr>
          <w:sz w:val="20"/>
        </w:rPr>
        <w:t>tres</w:t>
      </w:r>
      <w:r>
        <w:rPr>
          <w:spacing w:val="-6"/>
          <w:sz w:val="20"/>
        </w:rPr>
        <w:t> </w:t>
      </w:r>
      <w:r>
        <w:rPr>
          <w:sz w:val="20"/>
        </w:rPr>
        <w:t>meses</w:t>
      </w:r>
      <w:r>
        <w:rPr>
          <w:spacing w:val="-6"/>
          <w:sz w:val="20"/>
        </w:rPr>
        <w:t> </w:t>
      </w:r>
      <w:r>
        <w:rPr>
          <w:sz w:val="20"/>
        </w:rPr>
        <w:t>de</w:t>
      </w:r>
      <w:r>
        <w:rPr>
          <w:spacing w:val="-7"/>
          <w:sz w:val="20"/>
        </w:rPr>
        <w:t> </w:t>
      </w:r>
      <w:r>
        <w:rPr>
          <w:spacing w:val="-2"/>
          <w:sz w:val="20"/>
        </w:rPr>
        <w:t>salario;</w:t>
      </w:r>
    </w:p>
    <w:p>
      <w:pPr>
        <w:pStyle w:val="BodyText"/>
        <w:spacing w:before="1"/>
      </w:pPr>
    </w:p>
    <w:p>
      <w:pPr>
        <w:pStyle w:val="ListParagraph"/>
        <w:numPr>
          <w:ilvl w:val="2"/>
          <w:numId w:val="341"/>
        </w:numPr>
        <w:tabs>
          <w:tab w:pos="1191" w:val="left" w:leader="none"/>
          <w:tab w:pos="1195" w:val="left" w:leader="none"/>
        </w:tabs>
        <w:spacing w:line="240" w:lineRule="auto" w:before="0" w:after="0"/>
        <w:ind w:left="1195" w:right="345" w:hanging="569"/>
        <w:jc w:val="both"/>
        <w:rPr>
          <w:sz w:val="20"/>
        </w:rPr>
      </w:pPr>
      <w:r>
        <w:rPr>
          <w:sz w:val="20"/>
        </w:rPr>
        <w:t>Procederá a fijar la responsabilidad que resulte al patrón del conflicto, de conformidad con lo dispuesto en el artículo 50, fracciones I y II; y</w:t>
      </w:r>
    </w:p>
    <w:p>
      <w:pPr>
        <w:pStyle w:val="ListParagraph"/>
        <w:numPr>
          <w:ilvl w:val="2"/>
          <w:numId w:val="341"/>
        </w:numPr>
        <w:tabs>
          <w:tab w:pos="1195" w:val="left" w:leader="none"/>
        </w:tabs>
        <w:spacing w:line="242" w:lineRule="auto" w:before="227" w:after="0"/>
        <w:ind w:left="1195" w:right="344" w:hanging="569"/>
        <w:jc w:val="both"/>
        <w:rPr>
          <w:sz w:val="20"/>
        </w:rPr>
      </w:pPr>
      <w:r>
        <w:rPr>
          <w:sz w:val="20"/>
        </w:rPr>
        <w:t>Además, condenará al pago de los salarios vencidos e intereses, en su caso, conforme a lo establecido en el artículo 48, así como al pago de la prima de antigüedad, en los términos del artículo 162.</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338" w:firstLine="288"/>
      </w:pPr>
      <w:r>
        <w:rPr/>
        <w:t>Las</w:t>
      </w:r>
      <w:r>
        <w:rPr>
          <w:spacing w:val="40"/>
        </w:rPr>
        <w:t> </w:t>
      </w:r>
      <w:r>
        <w:rPr/>
        <w:t>disposiciones</w:t>
      </w:r>
      <w:r>
        <w:rPr>
          <w:spacing w:val="40"/>
        </w:rPr>
        <w:t> </w:t>
      </w:r>
      <w:r>
        <w:rPr/>
        <w:t>contenidas</w:t>
      </w:r>
      <w:r>
        <w:rPr>
          <w:spacing w:val="40"/>
        </w:rPr>
        <w:t> </w:t>
      </w:r>
      <w:r>
        <w:rPr/>
        <w:t>en</w:t>
      </w:r>
      <w:r>
        <w:rPr>
          <w:spacing w:val="40"/>
        </w:rPr>
        <w:t> </w:t>
      </w:r>
      <w:r>
        <w:rPr/>
        <w:t>este</w:t>
      </w:r>
      <w:r>
        <w:rPr>
          <w:spacing w:val="40"/>
        </w:rPr>
        <w:t> </w:t>
      </w:r>
      <w:r>
        <w:rPr/>
        <w:t>artículo</w:t>
      </w:r>
      <w:r>
        <w:rPr>
          <w:spacing w:val="40"/>
        </w:rPr>
        <w:t> </w:t>
      </w:r>
      <w:r>
        <w:rPr/>
        <w:t>no</w:t>
      </w:r>
      <w:r>
        <w:rPr>
          <w:spacing w:val="40"/>
        </w:rPr>
        <w:t> </w:t>
      </w:r>
      <w:r>
        <w:rPr/>
        <w:t>son</w:t>
      </w:r>
      <w:r>
        <w:rPr>
          <w:spacing w:val="40"/>
        </w:rPr>
        <w:t> </w:t>
      </w:r>
      <w:r>
        <w:rPr/>
        <w:t>aplicables</w:t>
      </w:r>
      <w:r>
        <w:rPr>
          <w:spacing w:val="40"/>
        </w:rPr>
        <w:t> </w:t>
      </w:r>
      <w:r>
        <w:rPr/>
        <w:t>en</w:t>
      </w:r>
      <w:r>
        <w:rPr>
          <w:spacing w:val="40"/>
        </w:rPr>
        <w:t> </w:t>
      </w:r>
      <w:r>
        <w:rPr/>
        <w:t>los</w:t>
      </w:r>
      <w:r>
        <w:rPr>
          <w:spacing w:val="40"/>
        </w:rPr>
        <w:t> </w:t>
      </w:r>
      <w:r>
        <w:rPr/>
        <w:t>casos</w:t>
      </w:r>
      <w:r>
        <w:rPr>
          <w:spacing w:val="40"/>
        </w:rPr>
        <w:t> </w:t>
      </w:r>
      <w:r>
        <w:rPr/>
        <w:t>de</w:t>
      </w:r>
      <w:r>
        <w:rPr>
          <w:spacing w:val="40"/>
        </w:rPr>
        <w:t> </w:t>
      </w:r>
      <w:r>
        <w:rPr/>
        <w:t>las</w:t>
      </w:r>
      <w:r>
        <w:rPr>
          <w:spacing w:val="40"/>
        </w:rPr>
        <w:t> </w:t>
      </w:r>
      <w:r>
        <w:rPr/>
        <w:t>acciones</w:t>
      </w:r>
      <w:r>
        <w:rPr>
          <w:spacing w:val="80"/>
        </w:rPr>
        <w:t> </w:t>
      </w:r>
      <w:r>
        <w:rPr/>
        <w:t>consignadas en el artículo 123, fracción XXII, apartado “A” de la Constitución.</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338" w:right="336" w:firstLine="288"/>
        <w:jc w:val="both"/>
      </w:pPr>
      <w:bookmarkStart w:name="Artículo_948" w:id="1193"/>
      <w:bookmarkEnd w:id="1193"/>
      <w:r>
        <w:rPr/>
      </w:r>
      <w:r>
        <w:rPr>
          <w:rFonts w:ascii="Arial" w:hAnsi="Arial"/>
          <w:b/>
        </w:rPr>
        <w:t>Artículo 948.- </w:t>
      </w:r>
      <w:r>
        <w:rPr/>
        <w:t>Si la negativa a aceptar la sentencia pronunciado por el Tribunal fuere de los trabajadores se dará por terminada la relación de trabajo, de conformidad con lo dispuesto por el artículo 519 fracción III, último párrafo de esta Ley.</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338" w:right="335" w:firstLine="288"/>
        <w:jc w:val="both"/>
      </w:pPr>
      <w:bookmarkStart w:name="Artículo_949" w:id="1194"/>
      <w:bookmarkEnd w:id="1194"/>
      <w:r>
        <w:rPr/>
      </w:r>
      <w:r>
        <w:rPr>
          <w:rFonts w:ascii="Arial" w:hAnsi="Arial"/>
          <w:b/>
        </w:rPr>
        <w:t>Artículo 949</w:t>
      </w:r>
      <w:r>
        <w:rPr/>
        <w:t>.- Siempre que en ejecución de una sentencia o convenio deba entregarse una suma de dinero o el cumplimiento de un derecho al trabajador, el Tribunal cuidará que se le otorgue personalmente. En caso de que la parte que haya sido condenada radique fuera del lugar de residencia del Tribunal, se girará exhorto al Tribunal o al Órgano jurisdiccional más próximo a su domicilio para que se cumplimente la ejecución de la sentencia o convenio.</w:t>
      </w:r>
    </w:p>
    <w:p>
      <w:pPr>
        <w:pStyle w:val="BodyText"/>
        <w:spacing w:before="2"/>
      </w:pPr>
    </w:p>
    <w:p>
      <w:pPr>
        <w:pStyle w:val="BodyText"/>
        <w:ind w:left="338" w:right="339" w:firstLine="288"/>
        <w:jc w:val="both"/>
      </w:pPr>
      <w:r>
        <w:rPr/>
        <w:t>El trámite del exhorto de ejecución de una sentencia favorable, puede ser realizado por conducto de apoderado, sin que éste pueda recibir cantidad alguna de la condena.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3"/>
        <w:rPr>
          <w:rFonts w:ascii="Times New Roman"/>
          <w:i/>
          <w:sz w:val="16"/>
        </w:rPr>
      </w:pPr>
    </w:p>
    <w:p>
      <w:pPr>
        <w:pStyle w:val="Heading2"/>
        <w:ind w:left="301"/>
      </w:pPr>
      <w:r>
        <w:rPr/>
        <w:t>Sección</w:t>
      </w:r>
      <w:r>
        <w:rPr>
          <w:spacing w:val="-3"/>
        </w:rPr>
        <w:t> </w:t>
      </w:r>
      <w:r>
        <w:rPr>
          <w:spacing w:val="-2"/>
        </w:rPr>
        <w:t>Segunda</w:t>
      </w:r>
    </w:p>
    <w:p>
      <w:pPr>
        <w:spacing w:before="2"/>
        <w:ind w:left="301" w:right="296" w:firstLine="0"/>
        <w:jc w:val="center"/>
        <w:rPr>
          <w:rFonts w:ascii="Arial"/>
          <w:b/>
          <w:sz w:val="22"/>
        </w:rPr>
      </w:pPr>
      <w:r>
        <w:rPr>
          <w:rFonts w:ascii="Arial"/>
          <w:b/>
          <w:sz w:val="22"/>
        </w:rPr>
        <w:t>Del</w:t>
      </w:r>
      <w:r>
        <w:rPr>
          <w:rFonts w:ascii="Arial"/>
          <w:b/>
          <w:spacing w:val="-5"/>
          <w:sz w:val="22"/>
        </w:rPr>
        <w:t> </w:t>
      </w:r>
      <w:r>
        <w:rPr>
          <w:rFonts w:ascii="Arial"/>
          <w:b/>
          <w:sz w:val="22"/>
        </w:rPr>
        <w:t>procedimiento</w:t>
      </w:r>
      <w:r>
        <w:rPr>
          <w:rFonts w:ascii="Arial"/>
          <w:b/>
          <w:spacing w:val="-7"/>
          <w:sz w:val="22"/>
        </w:rPr>
        <w:t> </w:t>
      </w:r>
      <w:r>
        <w:rPr>
          <w:rFonts w:ascii="Arial"/>
          <w:b/>
          <w:sz w:val="22"/>
        </w:rPr>
        <w:t>del</w:t>
      </w:r>
      <w:r>
        <w:rPr>
          <w:rFonts w:ascii="Arial"/>
          <w:b/>
          <w:spacing w:val="-7"/>
          <w:sz w:val="22"/>
        </w:rPr>
        <w:t> </w:t>
      </w:r>
      <w:r>
        <w:rPr>
          <w:rFonts w:ascii="Arial"/>
          <w:b/>
          <w:spacing w:val="-2"/>
          <w:sz w:val="22"/>
        </w:rPr>
        <w:t>embargo</w:t>
      </w:r>
    </w:p>
    <w:p>
      <w:pPr>
        <w:spacing w:before="0"/>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8"/>
        <w:rPr>
          <w:rFonts w:ascii="Times New Roman"/>
          <w:i/>
          <w:sz w:val="16"/>
        </w:rPr>
      </w:pPr>
    </w:p>
    <w:p>
      <w:pPr>
        <w:pStyle w:val="BodyText"/>
        <w:spacing w:before="1"/>
        <w:ind w:left="338" w:right="342" w:firstLine="288"/>
      </w:pPr>
      <w:bookmarkStart w:name="Artículo_950" w:id="1195"/>
      <w:bookmarkEnd w:id="1195"/>
      <w:r>
        <w:rPr/>
      </w:r>
      <w:r>
        <w:rPr>
          <w:rFonts w:ascii="Arial" w:hAnsi="Arial"/>
          <w:b/>
        </w:rPr>
        <w:t>Artículo 950.- </w:t>
      </w:r>
      <w:r>
        <w:rPr/>
        <w:t>Transcurrido el término señalado en el artículo 945, el juez, a petición de la parte que obtuvo, dictará auto de requerimiento y embargo.</w:t>
      </w:r>
    </w:p>
    <w:p>
      <w:pPr>
        <w:spacing w:line="182"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right="342" w:firstLine="288"/>
      </w:pPr>
      <w:bookmarkStart w:name="Artículo_951" w:id="1196"/>
      <w:bookmarkEnd w:id="1196"/>
      <w:r>
        <w:rPr/>
      </w:r>
      <w:r>
        <w:rPr>
          <w:rFonts w:ascii="Arial" w:hAnsi="Arial"/>
          <w:b/>
        </w:rPr>
        <w:t>Artículo</w:t>
      </w:r>
      <w:r>
        <w:rPr>
          <w:rFonts w:ascii="Arial" w:hAnsi="Arial"/>
          <w:b/>
          <w:spacing w:val="40"/>
        </w:rPr>
        <w:t> </w:t>
      </w:r>
      <w:r>
        <w:rPr>
          <w:rFonts w:ascii="Arial" w:hAnsi="Arial"/>
          <w:b/>
        </w:rPr>
        <w:t>951.-</w:t>
      </w:r>
      <w:r>
        <w:rPr>
          <w:rFonts w:ascii="Arial" w:hAnsi="Arial"/>
          <w:b/>
          <w:spacing w:val="40"/>
        </w:rPr>
        <w:t> </w:t>
      </w:r>
      <w:r>
        <w:rPr/>
        <w:t>En</w:t>
      </w:r>
      <w:r>
        <w:rPr>
          <w:spacing w:val="40"/>
        </w:rPr>
        <w:t> </w:t>
      </w:r>
      <w:r>
        <w:rPr/>
        <w:t>la</w:t>
      </w:r>
      <w:r>
        <w:rPr>
          <w:spacing w:val="40"/>
        </w:rPr>
        <w:t> </w:t>
      </w:r>
      <w:r>
        <w:rPr/>
        <w:t>diligencia</w:t>
      </w:r>
      <w:r>
        <w:rPr>
          <w:spacing w:val="40"/>
        </w:rPr>
        <w:t> </w:t>
      </w:r>
      <w:r>
        <w:rPr/>
        <w:t>de</w:t>
      </w:r>
      <w:r>
        <w:rPr>
          <w:spacing w:val="40"/>
        </w:rPr>
        <w:t> </w:t>
      </w:r>
      <w:r>
        <w:rPr/>
        <w:t>requerimiento</w:t>
      </w:r>
      <w:r>
        <w:rPr>
          <w:spacing w:val="40"/>
        </w:rPr>
        <w:t> </w:t>
      </w:r>
      <w:r>
        <w:rPr/>
        <w:t>de</w:t>
      </w:r>
      <w:r>
        <w:rPr>
          <w:spacing w:val="40"/>
        </w:rPr>
        <w:t> </w:t>
      </w:r>
      <w:r>
        <w:rPr/>
        <w:t>pago</w:t>
      </w:r>
      <w:r>
        <w:rPr>
          <w:spacing w:val="40"/>
        </w:rPr>
        <w:t> </w:t>
      </w:r>
      <w:r>
        <w:rPr/>
        <w:t>y</w:t>
      </w:r>
      <w:r>
        <w:rPr>
          <w:spacing w:val="40"/>
        </w:rPr>
        <w:t> </w:t>
      </w:r>
      <w:r>
        <w:rPr/>
        <w:t>embargo</w:t>
      </w:r>
      <w:r>
        <w:rPr>
          <w:spacing w:val="40"/>
        </w:rPr>
        <w:t> </w:t>
      </w:r>
      <w:r>
        <w:rPr/>
        <w:t>se</w:t>
      </w:r>
      <w:r>
        <w:rPr>
          <w:spacing w:val="40"/>
        </w:rPr>
        <w:t> </w:t>
      </w:r>
      <w:r>
        <w:rPr/>
        <w:t>observarán</w:t>
      </w:r>
      <w:r>
        <w:rPr>
          <w:spacing w:val="40"/>
        </w:rPr>
        <w:t> </w:t>
      </w:r>
      <w:r>
        <w:rPr/>
        <w:t>las</w:t>
      </w:r>
      <w:r>
        <w:rPr>
          <w:spacing w:val="40"/>
        </w:rPr>
        <w:t> </w:t>
      </w:r>
      <w:r>
        <w:rPr/>
        <w:t>normas </w:t>
      </w:r>
      <w:r>
        <w:rPr>
          <w:spacing w:val="-2"/>
        </w:rPr>
        <w:t>siguientes:</w:t>
      </w:r>
    </w:p>
    <w:p>
      <w:pPr>
        <w:pStyle w:val="BodyText"/>
        <w:spacing w:after="0" w:line="242" w:lineRule="auto"/>
        <w:sectPr>
          <w:pgSz w:w="12240" w:h="15840"/>
          <w:pgMar w:header="724" w:footer="712" w:top="1880" w:bottom="900" w:left="1080" w:right="1080"/>
        </w:sectPr>
      </w:pPr>
    </w:p>
    <w:p>
      <w:pPr>
        <w:pStyle w:val="BodyText"/>
        <w:spacing w:before="63"/>
      </w:pPr>
    </w:p>
    <w:p>
      <w:pPr>
        <w:pStyle w:val="ListParagraph"/>
        <w:numPr>
          <w:ilvl w:val="0"/>
          <w:numId w:val="342"/>
        </w:numPr>
        <w:tabs>
          <w:tab w:pos="1193" w:val="left" w:leader="none"/>
          <w:tab w:pos="1195" w:val="left" w:leader="none"/>
        </w:tabs>
        <w:spacing w:line="242" w:lineRule="auto" w:before="0" w:after="0"/>
        <w:ind w:left="1195" w:right="334" w:hanging="569"/>
        <w:jc w:val="both"/>
        <w:rPr>
          <w:sz w:val="20"/>
        </w:rPr>
      </w:pPr>
      <w:r>
        <w:rPr>
          <w:sz w:val="20"/>
        </w:rPr>
        <w:t>Se practicará en el lugar donde se presta o prestaron los servicios, en el nuevo domicilio del deudor</w:t>
      </w:r>
      <w:r>
        <w:rPr>
          <w:spacing w:val="-1"/>
          <w:sz w:val="20"/>
        </w:rPr>
        <w:t> </w:t>
      </w:r>
      <w:r>
        <w:rPr>
          <w:sz w:val="20"/>
        </w:rPr>
        <w:t>o en la habitación, oficina, establecimiento o lugar</w:t>
      </w:r>
      <w:r>
        <w:rPr>
          <w:spacing w:val="-1"/>
          <w:sz w:val="20"/>
        </w:rPr>
        <w:t> </w:t>
      </w:r>
      <w:r>
        <w:rPr>
          <w:sz w:val="20"/>
        </w:rPr>
        <w:t>señalado por el</w:t>
      </w:r>
      <w:r>
        <w:rPr>
          <w:spacing w:val="-1"/>
          <w:sz w:val="20"/>
        </w:rPr>
        <w:t> </w:t>
      </w:r>
      <w:r>
        <w:rPr>
          <w:sz w:val="20"/>
        </w:rPr>
        <w:t>actuario en el acta</w:t>
      </w:r>
      <w:r>
        <w:rPr>
          <w:spacing w:val="-2"/>
          <w:sz w:val="20"/>
        </w:rPr>
        <w:t> </w:t>
      </w:r>
      <w:r>
        <w:rPr>
          <w:sz w:val="20"/>
        </w:rPr>
        <w:t>de notificación de conformidad con el artículo 740 de esta Ley;</w:t>
      </w:r>
    </w:p>
    <w:p>
      <w:pPr>
        <w:pStyle w:val="ListParagraph"/>
        <w:numPr>
          <w:ilvl w:val="0"/>
          <w:numId w:val="342"/>
        </w:numPr>
        <w:tabs>
          <w:tab w:pos="1192" w:val="left" w:leader="none"/>
          <w:tab w:pos="1195" w:val="left" w:leader="none"/>
        </w:tabs>
        <w:spacing w:line="242" w:lineRule="auto" w:before="225" w:after="0"/>
        <w:ind w:left="1195" w:right="346" w:hanging="569"/>
        <w:jc w:val="both"/>
        <w:rPr>
          <w:sz w:val="20"/>
        </w:rPr>
      </w:pPr>
      <w:r>
        <w:rPr>
          <w:sz w:val="20"/>
        </w:rPr>
        <w:t>Si no se encuentra el deudor, la diligencia se practicará con cualquier persona que esté </w:t>
      </w:r>
      <w:r>
        <w:rPr>
          <w:spacing w:val="-2"/>
          <w:sz w:val="20"/>
        </w:rPr>
        <w:t>presente;</w:t>
      </w:r>
    </w:p>
    <w:p>
      <w:pPr>
        <w:pStyle w:val="ListParagraph"/>
        <w:numPr>
          <w:ilvl w:val="0"/>
          <w:numId w:val="342"/>
        </w:numPr>
        <w:tabs>
          <w:tab w:pos="1191" w:val="left" w:leader="none"/>
          <w:tab w:pos="1195" w:val="left" w:leader="none"/>
        </w:tabs>
        <w:spacing w:line="242" w:lineRule="auto" w:before="224" w:after="0"/>
        <w:ind w:left="1195" w:right="336" w:hanging="569"/>
        <w:jc w:val="both"/>
        <w:rPr>
          <w:sz w:val="20"/>
        </w:rPr>
      </w:pPr>
      <w:r>
        <w:rPr>
          <w:sz w:val="20"/>
        </w:rPr>
        <w:t>El Actuario requerirá de pago a la persona con quien entienda la diligencia y si no se efectúa el mismo procederá al embargo;</w:t>
      </w:r>
    </w:p>
    <w:p>
      <w:pPr>
        <w:pStyle w:val="ListParagraph"/>
        <w:numPr>
          <w:ilvl w:val="0"/>
          <w:numId w:val="342"/>
        </w:numPr>
        <w:tabs>
          <w:tab w:pos="1195" w:val="left" w:leader="none"/>
        </w:tabs>
        <w:spacing w:line="242" w:lineRule="auto" w:before="227" w:after="0"/>
        <w:ind w:left="1195" w:right="346" w:hanging="569"/>
        <w:jc w:val="both"/>
        <w:rPr>
          <w:sz w:val="20"/>
        </w:rPr>
      </w:pPr>
      <w:r>
        <w:rPr>
          <w:sz w:val="20"/>
        </w:rPr>
        <w:t>El Actuario podrá, en caso necesario, sin autorización previa, solicitar el auxilio de la fuerza pública y romper las cerraduras del local en que se deba practicar la diligencia;</w:t>
      </w:r>
    </w:p>
    <w:p>
      <w:pPr>
        <w:pStyle w:val="ListParagraph"/>
        <w:numPr>
          <w:ilvl w:val="0"/>
          <w:numId w:val="342"/>
        </w:numPr>
        <w:tabs>
          <w:tab w:pos="1195" w:val="left" w:leader="none"/>
        </w:tabs>
        <w:spacing w:line="242" w:lineRule="auto" w:before="224" w:after="0"/>
        <w:ind w:left="1195" w:right="342" w:hanging="569"/>
        <w:jc w:val="both"/>
        <w:rPr>
          <w:sz w:val="20"/>
        </w:rPr>
      </w:pPr>
      <w:r>
        <w:rPr>
          <w:sz w:val="20"/>
        </w:rPr>
        <w:t>Si ninguna persona está presente, el actuario practicará el embargo y fijará copia autorizada de la diligencia en la puerta de entrada del local en que se hubiere practicado; y</w:t>
      </w:r>
    </w:p>
    <w:p>
      <w:pPr>
        <w:pStyle w:val="ListParagraph"/>
        <w:numPr>
          <w:ilvl w:val="0"/>
          <w:numId w:val="342"/>
        </w:numPr>
        <w:tabs>
          <w:tab w:pos="1195" w:val="left" w:leader="none"/>
        </w:tabs>
        <w:spacing w:line="240" w:lineRule="auto" w:before="227" w:after="0"/>
        <w:ind w:left="1195" w:right="340" w:hanging="569"/>
        <w:jc w:val="both"/>
        <w:rPr>
          <w:sz w:val="20"/>
        </w:rPr>
      </w:pPr>
      <w:r>
        <w:rPr>
          <w:sz w:val="20"/>
        </w:rPr>
        <w:t>El Actuario, bajo su responsabilidad, embargará únicamente los bienes necesarios para garantizar el monto de la condena, de sus intereses y de los gastos de ejecución.</w:t>
      </w:r>
    </w:p>
    <w:p>
      <w:pPr>
        <w:spacing w:line="182"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spacing w:before="0"/>
        <w:ind w:left="626" w:right="0" w:firstLine="0"/>
        <w:jc w:val="left"/>
        <w:rPr>
          <w:sz w:val="20"/>
        </w:rPr>
      </w:pPr>
      <w:bookmarkStart w:name="Artículo_952" w:id="1197"/>
      <w:bookmarkEnd w:id="1197"/>
      <w:r>
        <w:rPr/>
      </w:r>
      <w:r>
        <w:rPr>
          <w:rFonts w:ascii="Arial" w:hAnsi="Arial"/>
          <w:b/>
          <w:sz w:val="20"/>
        </w:rPr>
        <w:t>Artículo</w:t>
      </w:r>
      <w:r>
        <w:rPr>
          <w:rFonts w:ascii="Arial" w:hAnsi="Arial"/>
          <w:b/>
          <w:spacing w:val="-8"/>
          <w:sz w:val="20"/>
        </w:rPr>
        <w:t> </w:t>
      </w:r>
      <w:r>
        <w:rPr>
          <w:rFonts w:ascii="Arial" w:hAnsi="Arial"/>
          <w:b/>
          <w:sz w:val="20"/>
        </w:rPr>
        <w:t>952.-</w:t>
      </w:r>
      <w:r>
        <w:rPr>
          <w:rFonts w:ascii="Arial" w:hAnsi="Arial"/>
          <w:b/>
          <w:spacing w:val="-8"/>
          <w:sz w:val="20"/>
        </w:rPr>
        <w:t> </w:t>
      </w:r>
      <w:r>
        <w:rPr>
          <w:sz w:val="20"/>
        </w:rPr>
        <w:t>Quedan</w:t>
      </w:r>
      <w:r>
        <w:rPr>
          <w:spacing w:val="-9"/>
          <w:sz w:val="20"/>
        </w:rPr>
        <w:t> </w:t>
      </w:r>
      <w:r>
        <w:rPr>
          <w:sz w:val="20"/>
        </w:rPr>
        <w:t>únicamente</w:t>
      </w:r>
      <w:r>
        <w:rPr>
          <w:spacing w:val="-10"/>
          <w:sz w:val="20"/>
        </w:rPr>
        <w:t> </w:t>
      </w:r>
      <w:r>
        <w:rPr>
          <w:sz w:val="20"/>
        </w:rPr>
        <w:t>exceptuados</w:t>
      </w:r>
      <w:r>
        <w:rPr>
          <w:spacing w:val="-8"/>
          <w:sz w:val="20"/>
        </w:rPr>
        <w:t> </w:t>
      </w:r>
      <w:r>
        <w:rPr>
          <w:sz w:val="20"/>
        </w:rPr>
        <w:t>de</w:t>
      </w:r>
      <w:r>
        <w:rPr>
          <w:spacing w:val="-8"/>
          <w:sz w:val="20"/>
        </w:rPr>
        <w:t> </w:t>
      </w:r>
      <w:r>
        <w:rPr>
          <w:spacing w:val="-2"/>
          <w:sz w:val="20"/>
        </w:rPr>
        <w:t>embargo:</w:t>
      </w:r>
    </w:p>
    <w:p>
      <w:pPr>
        <w:pStyle w:val="ListParagraph"/>
        <w:numPr>
          <w:ilvl w:val="0"/>
          <w:numId w:val="343"/>
        </w:numPr>
        <w:tabs>
          <w:tab w:pos="1195" w:val="left" w:leader="none"/>
        </w:tabs>
        <w:spacing w:line="240" w:lineRule="auto" w:before="229" w:after="0"/>
        <w:ind w:left="1195" w:right="0" w:hanging="569"/>
        <w:jc w:val="left"/>
        <w:rPr>
          <w:sz w:val="20"/>
        </w:rPr>
      </w:pPr>
      <w:r>
        <w:rPr>
          <w:sz w:val="20"/>
        </w:rPr>
        <w:t>Los</w:t>
      </w:r>
      <w:r>
        <w:rPr>
          <w:spacing w:val="-8"/>
          <w:sz w:val="20"/>
        </w:rPr>
        <w:t> </w:t>
      </w:r>
      <w:r>
        <w:rPr>
          <w:sz w:val="20"/>
        </w:rPr>
        <w:t>bienes</w:t>
      </w:r>
      <w:r>
        <w:rPr>
          <w:spacing w:val="-5"/>
          <w:sz w:val="20"/>
        </w:rPr>
        <w:t> </w:t>
      </w:r>
      <w:r>
        <w:rPr>
          <w:sz w:val="20"/>
        </w:rPr>
        <w:t>que</w:t>
      </w:r>
      <w:r>
        <w:rPr>
          <w:spacing w:val="-8"/>
          <w:sz w:val="20"/>
        </w:rPr>
        <w:t> </w:t>
      </w:r>
      <w:r>
        <w:rPr>
          <w:sz w:val="20"/>
        </w:rPr>
        <w:t>constituyen</w:t>
      </w:r>
      <w:r>
        <w:rPr>
          <w:spacing w:val="-7"/>
          <w:sz w:val="20"/>
        </w:rPr>
        <w:t> </w:t>
      </w:r>
      <w:r>
        <w:rPr>
          <w:sz w:val="20"/>
        </w:rPr>
        <w:t>el</w:t>
      </w:r>
      <w:r>
        <w:rPr>
          <w:spacing w:val="-7"/>
          <w:sz w:val="20"/>
        </w:rPr>
        <w:t> </w:t>
      </w:r>
      <w:r>
        <w:rPr>
          <w:sz w:val="20"/>
        </w:rPr>
        <w:t>patrimonio</w:t>
      </w:r>
      <w:r>
        <w:rPr>
          <w:spacing w:val="-6"/>
          <w:sz w:val="20"/>
        </w:rPr>
        <w:t> </w:t>
      </w:r>
      <w:r>
        <w:rPr>
          <w:sz w:val="20"/>
        </w:rPr>
        <w:t>de</w:t>
      </w:r>
      <w:r>
        <w:rPr>
          <w:spacing w:val="-9"/>
          <w:sz w:val="20"/>
        </w:rPr>
        <w:t> </w:t>
      </w:r>
      <w:r>
        <w:rPr>
          <w:spacing w:val="-2"/>
          <w:sz w:val="20"/>
        </w:rPr>
        <w:t>familia;</w:t>
      </w:r>
    </w:p>
    <w:p>
      <w:pPr>
        <w:pStyle w:val="BodyText"/>
        <w:spacing w:before="1"/>
      </w:pPr>
    </w:p>
    <w:p>
      <w:pPr>
        <w:pStyle w:val="ListParagraph"/>
        <w:numPr>
          <w:ilvl w:val="0"/>
          <w:numId w:val="343"/>
        </w:numPr>
        <w:tabs>
          <w:tab w:pos="1195" w:val="left" w:leader="none"/>
        </w:tabs>
        <w:spacing w:line="240" w:lineRule="auto" w:before="0" w:after="0"/>
        <w:ind w:left="1195" w:right="0" w:hanging="569"/>
        <w:jc w:val="left"/>
        <w:rPr>
          <w:sz w:val="20"/>
        </w:rPr>
      </w:pPr>
      <w:r>
        <w:rPr>
          <w:sz w:val="20"/>
        </w:rPr>
        <w:t>Los</w:t>
      </w:r>
      <w:r>
        <w:rPr>
          <w:spacing w:val="-6"/>
          <w:sz w:val="20"/>
        </w:rPr>
        <w:t> </w:t>
      </w:r>
      <w:r>
        <w:rPr>
          <w:sz w:val="20"/>
        </w:rPr>
        <w:t>que</w:t>
      </w:r>
      <w:r>
        <w:rPr>
          <w:spacing w:val="-6"/>
          <w:sz w:val="20"/>
        </w:rPr>
        <w:t> </w:t>
      </w:r>
      <w:r>
        <w:rPr>
          <w:sz w:val="20"/>
        </w:rPr>
        <w:t>pertenezcan</w:t>
      </w:r>
      <w:r>
        <w:rPr>
          <w:spacing w:val="-4"/>
          <w:sz w:val="20"/>
        </w:rPr>
        <w:t> </w:t>
      </w:r>
      <w:r>
        <w:rPr>
          <w:sz w:val="20"/>
        </w:rPr>
        <w:t>a</w:t>
      </w:r>
      <w:r>
        <w:rPr>
          <w:spacing w:val="-5"/>
          <w:sz w:val="20"/>
        </w:rPr>
        <w:t> </w:t>
      </w:r>
      <w:r>
        <w:rPr>
          <w:sz w:val="20"/>
        </w:rPr>
        <w:t>la</w:t>
      </w:r>
      <w:r>
        <w:rPr>
          <w:spacing w:val="-6"/>
          <w:sz w:val="20"/>
        </w:rPr>
        <w:t> </w:t>
      </w:r>
      <w:r>
        <w:rPr>
          <w:sz w:val="20"/>
        </w:rPr>
        <w:t>casa</w:t>
      </w:r>
      <w:r>
        <w:rPr>
          <w:spacing w:val="-6"/>
          <w:sz w:val="20"/>
        </w:rPr>
        <w:t> </w:t>
      </w:r>
      <w:r>
        <w:rPr>
          <w:sz w:val="20"/>
        </w:rPr>
        <w:t>habitación,</w:t>
      </w:r>
      <w:r>
        <w:rPr>
          <w:spacing w:val="-6"/>
          <w:sz w:val="20"/>
        </w:rPr>
        <w:t> </w:t>
      </w:r>
      <w:r>
        <w:rPr>
          <w:sz w:val="20"/>
        </w:rPr>
        <w:t>siempre</w:t>
      </w:r>
      <w:r>
        <w:rPr>
          <w:spacing w:val="-7"/>
          <w:sz w:val="20"/>
        </w:rPr>
        <w:t> </w:t>
      </w:r>
      <w:r>
        <w:rPr>
          <w:sz w:val="20"/>
        </w:rPr>
        <w:t>que</w:t>
      </w:r>
      <w:r>
        <w:rPr>
          <w:spacing w:val="-6"/>
          <w:sz w:val="20"/>
        </w:rPr>
        <w:t> </w:t>
      </w:r>
      <w:r>
        <w:rPr>
          <w:sz w:val="20"/>
        </w:rPr>
        <w:t>sean</w:t>
      </w:r>
      <w:r>
        <w:rPr>
          <w:spacing w:val="-4"/>
          <w:sz w:val="20"/>
        </w:rPr>
        <w:t> </w:t>
      </w:r>
      <w:r>
        <w:rPr>
          <w:sz w:val="20"/>
        </w:rPr>
        <w:t>de</w:t>
      </w:r>
      <w:r>
        <w:rPr>
          <w:spacing w:val="-6"/>
          <w:sz w:val="20"/>
        </w:rPr>
        <w:t> </w:t>
      </w:r>
      <w:r>
        <w:rPr>
          <w:sz w:val="20"/>
        </w:rPr>
        <w:t>uso</w:t>
      </w:r>
      <w:r>
        <w:rPr>
          <w:spacing w:val="-6"/>
          <w:sz w:val="20"/>
        </w:rPr>
        <w:t> </w:t>
      </w:r>
      <w:r>
        <w:rPr>
          <w:spacing w:val="-2"/>
          <w:sz w:val="20"/>
        </w:rPr>
        <w:t>indispensable;</w:t>
      </w:r>
    </w:p>
    <w:p>
      <w:pPr>
        <w:pStyle w:val="BodyText"/>
      </w:pPr>
    </w:p>
    <w:p>
      <w:pPr>
        <w:pStyle w:val="ListParagraph"/>
        <w:numPr>
          <w:ilvl w:val="0"/>
          <w:numId w:val="343"/>
        </w:numPr>
        <w:tabs>
          <w:tab w:pos="1191" w:val="left" w:leader="none"/>
          <w:tab w:pos="1195" w:val="left" w:leader="none"/>
        </w:tabs>
        <w:spacing w:line="242" w:lineRule="auto" w:before="1" w:after="0"/>
        <w:ind w:left="1195" w:right="344" w:hanging="569"/>
        <w:jc w:val="both"/>
        <w:rPr>
          <w:sz w:val="20"/>
        </w:rPr>
      </w:pPr>
      <w:r>
        <w:rPr>
          <w:sz w:val="20"/>
        </w:rPr>
        <w:t>La</w:t>
      </w:r>
      <w:r>
        <w:rPr>
          <w:spacing w:val="-3"/>
          <w:sz w:val="20"/>
        </w:rPr>
        <w:t> </w:t>
      </w:r>
      <w:r>
        <w:rPr>
          <w:sz w:val="20"/>
        </w:rPr>
        <w:t>maquinaria,</w:t>
      </w:r>
      <w:r>
        <w:rPr>
          <w:spacing w:val="-2"/>
          <w:sz w:val="20"/>
        </w:rPr>
        <w:t> </w:t>
      </w:r>
      <w:r>
        <w:rPr>
          <w:sz w:val="20"/>
        </w:rPr>
        <w:t>los</w:t>
      </w:r>
      <w:r>
        <w:rPr>
          <w:spacing w:val="-2"/>
          <w:sz w:val="20"/>
        </w:rPr>
        <w:t> </w:t>
      </w:r>
      <w:r>
        <w:rPr>
          <w:sz w:val="20"/>
        </w:rPr>
        <w:t>instrumentos,</w:t>
      </w:r>
      <w:r>
        <w:rPr>
          <w:spacing w:val="-2"/>
          <w:sz w:val="20"/>
        </w:rPr>
        <w:t> </w:t>
      </w:r>
      <w:r>
        <w:rPr>
          <w:sz w:val="20"/>
        </w:rPr>
        <w:t>útiles y</w:t>
      </w:r>
      <w:r>
        <w:rPr>
          <w:spacing w:val="-5"/>
          <w:sz w:val="20"/>
        </w:rPr>
        <w:t> </w:t>
      </w:r>
      <w:r>
        <w:rPr>
          <w:sz w:val="20"/>
        </w:rPr>
        <w:t>animales</w:t>
      </w:r>
      <w:r>
        <w:rPr>
          <w:spacing w:val="-2"/>
          <w:sz w:val="20"/>
        </w:rPr>
        <w:t> </w:t>
      </w:r>
      <w:r>
        <w:rPr>
          <w:sz w:val="20"/>
        </w:rPr>
        <w:t>de</w:t>
      </w:r>
      <w:r>
        <w:rPr>
          <w:spacing w:val="-1"/>
          <w:sz w:val="20"/>
        </w:rPr>
        <w:t> </w:t>
      </w:r>
      <w:r>
        <w:rPr>
          <w:sz w:val="20"/>
        </w:rPr>
        <w:t>una</w:t>
      </w:r>
      <w:r>
        <w:rPr>
          <w:spacing w:val="-2"/>
          <w:sz w:val="20"/>
        </w:rPr>
        <w:t> </w:t>
      </w:r>
      <w:r>
        <w:rPr>
          <w:sz w:val="20"/>
        </w:rPr>
        <w:t>empresa</w:t>
      </w:r>
      <w:r>
        <w:rPr>
          <w:spacing w:val="-2"/>
          <w:sz w:val="20"/>
        </w:rPr>
        <w:t> </w:t>
      </w:r>
      <w:r>
        <w:rPr>
          <w:sz w:val="20"/>
        </w:rPr>
        <w:t>o</w:t>
      </w:r>
      <w:r>
        <w:rPr>
          <w:spacing w:val="-2"/>
          <w:sz w:val="20"/>
        </w:rPr>
        <w:t> </w:t>
      </w:r>
      <w:r>
        <w:rPr>
          <w:sz w:val="20"/>
        </w:rPr>
        <w:t>establecimiento,</w:t>
      </w:r>
      <w:r>
        <w:rPr>
          <w:spacing w:val="-1"/>
          <w:sz w:val="20"/>
        </w:rPr>
        <w:t> </w:t>
      </w:r>
      <w:r>
        <w:rPr>
          <w:sz w:val="20"/>
        </w:rPr>
        <w:t>en</w:t>
      </w:r>
      <w:r>
        <w:rPr>
          <w:spacing w:val="-3"/>
          <w:sz w:val="20"/>
        </w:rPr>
        <w:t> </w:t>
      </w:r>
      <w:r>
        <w:rPr>
          <w:sz w:val="20"/>
        </w:rPr>
        <w:t>cuanto sean necesarios para el desarrollo de sus actividades.</w:t>
      </w:r>
    </w:p>
    <w:p>
      <w:pPr>
        <w:pStyle w:val="BodyText"/>
        <w:spacing w:before="227"/>
        <w:ind w:left="1195" w:right="342"/>
      </w:pPr>
      <w:r>
        <w:rPr/>
        <w:t>Podrá embargarse la empresa</w:t>
      </w:r>
      <w:r>
        <w:rPr>
          <w:spacing w:val="-2"/>
        </w:rPr>
        <w:t> </w:t>
      </w:r>
      <w:r>
        <w:rPr/>
        <w:t>o establecimiento, de conformidad</w:t>
      </w:r>
      <w:r>
        <w:rPr>
          <w:spacing w:val="-2"/>
        </w:rPr>
        <w:t> </w:t>
      </w:r>
      <w:r>
        <w:rPr/>
        <w:t>con lo dispuesto</w:t>
      </w:r>
      <w:r>
        <w:rPr>
          <w:spacing w:val="-2"/>
        </w:rPr>
        <w:t> </w:t>
      </w:r>
      <w:r>
        <w:rPr/>
        <w:t>en</w:t>
      </w:r>
      <w:r>
        <w:rPr>
          <w:spacing w:val="-2"/>
        </w:rPr>
        <w:t> </w:t>
      </w:r>
      <w:r>
        <w:rPr/>
        <w:t>el</w:t>
      </w:r>
      <w:r>
        <w:rPr>
          <w:spacing w:val="-1"/>
        </w:rPr>
        <w:t> </w:t>
      </w:r>
      <w:r>
        <w:rPr/>
        <w:t>artículo 966 de esta Ley;</w:t>
      </w:r>
    </w:p>
    <w:p>
      <w:pPr>
        <w:pStyle w:val="ListParagraph"/>
        <w:numPr>
          <w:ilvl w:val="0"/>
          <w:numId w:val="343"/>
        </w:numPr>
        <w:tabs>
          <w:tab w:pos="1195" w:val="left" w:leader="none"/>
        </w:tabs>
        <w:spacing w:line="240" w:lineRule="auto" w:before="228" w:after="0"/>
        <w:ind w:left="1195" w:right="0" w:hanging="569"/>
        <w:jc w:val="left"/>
        <w:rPr>
          <w:sz w:val="20"/>
        </w:rPr>
      </w:pPr>
      <w:r>
        <w:rPr>
          <w:sz w:val="20"/>
        </w:rPr>
        <w:t>Las</w:t>
      </w:r>
      <w:r>
        <w:rPr>
          <w:spacing w:val="-6"/>
          <w:sz w:val="20"/>
        </w:rPr>
        <w:t> </w:t>
      </w:r>
      <w:r>
        <w:rPr>
          <w:sz w:val="20"/>
        </w:rPr>
        <w:t>mieses</w:t>
      </w:r>
      <w:r>
        <w:rPr>
          <w:spacing w:val="-5"/>
          <w:sz w:val="20"/>
        </w:rPr>
        <w:t> </w:t>
      </w:r>
      <w:r>
        <w:rPr>
          <w:sz w:val="20"/>
        </w:rPr>
        <w:t>antes</w:t>
      </w:r>
      <w:r>
        <w:rPr>
          <w:spacing w:val="-6"/>
          <w:sz w:val="20"/>
        </w:rPr>
        <w:t> </w:t>
      </w:r>
      <w:r>
        <w:rPr>
          <w:sz w:val="20"/>
        </w:rPr>
        <w:t>de</w:t>
      </w:r>
      <w:r>
        <w:rPr>
          <w:spacing w:val="-4"/>
          <w:sz w:val="20"/>
        </w:rPr>
        <w:t> </w:t>
      </w:r>
      <w:r>
        <w:rPr>
          <w:sz w:val="20"/>
        </w:rPr>
        <w:t>ser</w:t>
      </w:r>
      <w:r>
        <w:rPr>
          <w:spacing w:val="-6"/>
          <w:sz w:val="20"/>
        </w:rPr>
        <w:t> </w:t>
      </w:r>
      <w:r>
        <w:rPr>
          <w:sz w:val="20"/>
        </w:rPr>
        <w:t>cosechadas,</w:t>
      </w:r>
      <w:r>
        <w:rPr>
          <w:spacing w:val="-7"/>
          <w:sz w:val="20"/>
        </w:rPr>
        <w:t> </w:t>
      </w:r>
      <w:r>
        <w:rPr>
          <w:sz w:val="20"/>
        </w:rPr>
        <w:t>pero</w:t>
      </w:r>
      <w:r>
        <w:rPr>
          <w:spacing w:val="-6"/>
          <w:sz w:val="20"/>
        </w:rPr>
        <w:t> </w:t>
      </w:r>
      <w:r>
        <w:rPr>
          <w:sz w:val="20"/>
        </w:rPr>
        <w:t>no</w:t>
      </w:r>
      <w:r>
        <w:rPr>
          <w:spacing w:val="-6"/>
          <w:sz w:val="20"/>
        </w:rPr>
        <w:t> </w:t>
      </w:r>
      <w:r>
        <w:rPr>
          <w:sz w:val="20"/>
        </w:rPr>
        <w:t>los</w:t>
      </w:r>
      <w:r>
        <w:rPr>
          <w:spacing w:val="-6"/>
          <w:sz w:val="20"/>
        </w:rPr>
        <w:t> </w:t>
      </w:r>
      <w:r>
        <w:rPr>
          <w:sz w:val="20"/>
        </w:rPr>
        <w:t>derechos</w:t>
      </w:r>
      <w:r>
        <w:rPr>
          <w:spacing w:val="-5"/>
          <w:sz w:val="20"/>
        </w:rPr>
        <w:t> </w:t>
      </w:r>
      <w:r>
        <w:rPr>
          <w:sz w:val="20"/>
        </w:rPr>
        <w:t>sobre</w:t>
      </w:r>
      <w:r>
        <w:rPr>
          <w:spacing w:val="-6"/>
          <w:sz w:val="20"/>
        </w:rPr>
        <w:t> </w:t>
      </w:r>
      <w:r>
        <w:rPr>
          <w:sz w:val="20"/>
        </w:rPr>
        <w:t>las</w:t>
      </w:r>
      <w:r>
        <w:rPr>
          <w:spacing w:val="-6"/>
          <w:sz w:val="20"/>
        </w:rPr>
        <w:t> </w:t>
      </w:r>
      <w:r>
        <w:rPr>
          <w:spacing w:val="-2"/>
          <w:sz w:val="20"/>
        </w:rPr>
        <w:t>siembras;</w:t>
      </w:r>
    </w:p>
    <w:p>
      <w:pPr>
        <w:pStyle w:val="ListParagraph"/>
        <w:numPr>
          <w:ilvl w:val="0"/>
          <w:numId w:val="343"/>
        </w:numPr>
        <w:tabs>
          <w:tab w:pos="1195" w:val="left" w:leader="none"/>
        </w:tabs>
        <w:spacing w:line="242" w:lineRule="auto" w:before="229" w:after="0"/>
        <w:ind w:left="1195" w:right="344" w:hanging="569"/>
        <w:jc w:val="both"/>
        <w:rPr>
          <w:sz w:val="20"/>
        </w:rPr>
      </w:pPr>
      <w:r>
        <w:rPr>
          <w:sz w:val="20"/>
        </w:rPr>
        <w:t>Las armas y caballos de los militares en servicio activo, indispensables para éste, de conformidad con las leyes;</w:t>
      </w:r>
    </w:p>
    <w:p>
      <w:pPr>
        <w:pStyle w:val="ListParagraph"/>
        <w:numPr>
          <w:ilvl w:val="0"/>
          <w:numId w:val="343"/>
        </w:numPr>
        <w:tabs>
          <w:tab w:pos="1195" w:val="left" w:leader="none"/>
        </w:tabs>
        <w:spacing w:line="240" w:lineRule="auto" w:before="226" w:after="0"/>
        <w:ind w:left="1195" w:right="0" w:hanging="569"/>
        <w:jc w:val="left"/>
        <w:rPr>
          <w:sz w:val="20"/>
        </w:rPr>
      </w:pPr>
      <w:r>
        <w:rPr>
          <w:sz w:val="20"/>
        </w:rPr>
        <w:t>El</w:t>
      </w:r>
      <w:r>
        <w:rPr>
          <w:spacing w:val="-6"/>
          <w:sz w:val="20"/>
        </w:rPr>
        <w:t> </w:t>
      </w:r>
      <w:r>
        <w:rPr>
          <w:sz w:val="20"/>
        </w:rPr>
        <w:t>derecho</w:t>
      </w:r>
      <w:r>
        <w:rPr>
          <w:spacing w:val="-4"/>
          <w:sz w:val="20"/>
        </w:rPr>
        <w:t> </w:t>
      </w:r>
      <w:r>
        <w:rPr>
          <w:sz w:val="20"/>
        </w:rPr>
        <w:t>de</w:t>
      </w:r>
      <w:r>
        <w:rPr>
          <w:spacing w:val="-5"/>
          <w:sz w:val="20"/>
        </w:rPr>
        <w:t> </w:t>
      </w:r>
      <w:r>
        <w:rPr>
          <w:sz w:val="20"/>
        </w:rPr>
        <w:t>usufructo,</w:t>
      </w:r>
      <w:r>
        <w:rPr>
          <w:spacing w:val="-6"/>
          <w:sz w:val="20"/>
        </w:rPr>
        <w:t> </w:t>
      </w:r>
      <w:r>
        <w:rPr>
          <w:sz w:val="20"/>
        </w:rPr>
        <w:t>pero</w:t>
      </w:r>
      <w:r>
        <w:rPr>
          <w:spacing w:val="-6"/>
          <w:sz w:val="20"/>
        </w:rPr>
        <w:t> </w:t>
      </w:r>
      <w:r>
        <w:rPr>
          <w:sz w:val="20"/>
        </w:rPr>
        <w:t>no</w:t>
      </w:r>
      <w:r>
        <w:rPr>
          <w:spacing w:val="-4"/>
          <w:sz w:val="20"/>
        </w:rPr>
        <w:t> </w:t>
      </w:r>
      <w:r>
        <w:rPr>
          <w:sz w:val="20"/>
        </w:rPr>
        <w:t>los</w:t>
      </w:r>
      <w:r>
        <w:rPr>
          <w:spacing w:val="-5"/>
          <w:sz w:val="20"/>
        </w:rPr>
        <w:t> </w:t>
      </w:r>
      <w:r>
        <w:rPr>
          <w:sz w:val="20"/>
        </w:rPr>
        <w:t>frutos</w:t>
      </w:r>
      <w:r>
        <w:rPr>
          <w:spacing w:val="-5"/>
          <w:sz w:val="20"/>
        </w:rPr>
        <w:t> </w:t>
      </w:r>
      <w:r>
        <w:rPr>
          <w:sz w:val="20"/>
        </w:rPr>
        <w:t>de</w:t>
      </w:r>
      <w:r>
        <w:rPr>
          <w:spacing w:val="-6"/>
          <w:sz w:val="20"/>
        </w:rPr>
        <w:t> </w:t>
      </w:r>
      <w:r>
        <w:rPr>
          <w:spacing w:val="-2"/>
          <w:sz w:val="20"/>
        </w:rPr>
        <w:t>éste;</w:t>
      </w:r>
    </w:p>
    <w:p>
      <w:pPr>
        <w:pStyle w:val="ListParagraph"/>
        <w:numPr>
          <w:ilvl w:val="0"/>
          <w:numId w:val="343"/>
        </w:numPr>
        <w:tabs>
          <w:tab w:pos="1195" w:val="left" w:leader="none"/>
        </w:tabs>
        <w:spacing w:line="240" w:lineRule="auto" w:before="229" w:after="0"/>
        <w:ind w:left="1195" w:right="0" w:hanging="569"/>
        <w:jc w:val="left"/>
        <w:rPr>
          <w:sz w:val="20"/>
        </w:rPr>
      </w:pPr>
      <w:r>
        <w:rPr>
          <w:sz w:val="20"/>
        </w:rPr>
        <w:t>Los</w:t>
      </w:r>
      <w:r>
        <w:rPr>
          <w:spacing w:val="-6"/>
          <w:sz w:val="20"/>
        </w:rPr>
        <w:t> </w:t>
      </w:r>
      <w:r>
        <w:rPr>
          <w:sz w:val="20"/>
        </w:rPr>
        <w:t>derechos</w:t>
      </w:r>
      <w:r>
        <w:rPr>
          <w:spacing w:val="-5"/>
          <w:sz w:val="20"/>
        </w:rPr>
        <w:t> </w:t>
      </w:r>
      <w:r>
        <w:rPr>
          <w:sz w:val="20"/>
        </w:rPr>
        <w:t>de</w:t>
      </w:r>
      <w:r>
        <w:rPr>
          <w:spacing w:val="-6"/>
          <w:sz w:val="20"/>
        </w:rPr>
        <w:t> </w:t>
      </w:r>
      <w:r>
        <w:rPr>
          <w:sz w:val="20"/>
        </w:rPr>
        <w:t>uso</w:t>
      </w:r>
      <w:r>
        <w:rPr>
          <w:spacing w:val="-3"/>
          <w:sz w:val="20"/>
        </w:rPr>
        <w:t> </w:t>
      </w:r>
      <w:r>
        <w:rPr>
          <w:sz w:val="20"/>
        </w:rPr>
        <w:t>y</w:t>
      </w:r>
      <w:r>
        <w:rPr>
          <w:spacing w:val="-9"/>
          <w:sz w:val="20"/>
        </w:rPr>
        <w:t> </w:t>
      </w:r>
      <w:r>
        <w:rPr>
          <w:sz w:val="20"/>
        </w:rPr>
        <w:t>de</w:t>
      </w:r>
      <w:r>
        <w:rPr>
          <w:spacing w:val="-2"/>
          <w:sz w:val="20"/>
        </w:rPr>
        <w:t> </w:t>
      </w:r>
      <w:r>
        <w:rPr>
          <w:sz w:val="20"/>
        </w:rPr>
        <w:t>habitación;</w:t>
      </w:r>
      <w:r>
        <w:rPr>
          <w:spacing w:val="-2"/>
          <w:sz w:val="20"/>
        </w:rPr>
        <w:t> </w:t>
      </w:r>
      <w:r>
        <w:rPr>
          <w:spacing w:val="-10"/>
          <w:sz w:val="20"/>
        </w:rPr>
        <w:t>y</w:t>
      </w:r>
    </w:p>
    <w:p>
      <w:pPr>
        <w:pStyle w:val="BodyText"/>
        <w:spacing w:before="1"/>
      </w:pPr>
    </w:p>
    <w:p>
      <w:pPr>
        <w:pStyle w:val="ListParagraph"/>
        <w:numPr>
          <w:ilvl w:val="0"/>
          <w:numId w:val="343"/>
        </w:numPr>
        <w:tabs>
          <w:tab w:pos="1195" w:val="left" w:leader="none"/>
        </w:tabs>
        <w:spacing w:line="240" w:lineRule="auto" w:before="0" w:after="0"/>
        <w:ind w:left="1195" w:right="0" w:hanging="569"/>
        <w:jc w:val="left"/>
        <w:rPr>
          <w:sz w:val="20"/>
        </w:rPr>
      </w:pPr>
      <w:r>
        <w:rPr>
          <w:sz w:val="20"/>
        </w:rPr>
        <w:t>Las</w:t>
      </w:r>
      <w:r>
        <w:rPr>
          <w:spacing w:val="-5"/>
          <w:sz w:val="20"/>
        </w:rPr>
        <w:t> </w:t>
      </w:r>
      <w:r>
        <w:rPr>
          <w:sz w:val="20"/>
        </w:rPr>
        <w:t>servidumbres,</w:t>
      </w:r>
      <w:r>
        <w:rPr>
          <w:spacing w:val="-6"/>
          <w:sz w:val="20"/>
        </w:rPr>
        <w:t> </w:t>
      </w:r>
      <w:r>
        <w:rPr>
          <w:sz w:val="20"/>
        </w:rPr>
        <w:t>a</w:t>
      </w:r>
      <w:r>
        <w:rPr>
          <w:spacing w:val="-6"/>
          <w:sz w:val="20"/>
        </w:rPr>
        <w:t> </w:t>
      </w:r>
      <w:r>
        <w:rPr>
          <w:sz w:val="20"/>
        </w:rPr>
        <w:t>no</w:t>
      </w:r>
      <w:r>
        <w:rPr>
          <w:spacing w:val="-7"/>
          <w:sz w:val="20"/>
        </w:rPr>
        <w:t> </w:t>
      </w:r>
      <w:r>
        <w:rPr>
          <w:sz w:val="20"/>
        </w:rPr>
        <w:t>ser</w:t>
      </w:r>
      <w:r>
        <w:rPr>
          <w:spacing w:val="-3"/>
          <w:sz w:val="20"/>
        </w:rPr>
        <w:t> </w:t>
      </w:r>
      <w:r>
        <w:rPr>
          <w:sz w:val="20"/>
        </w:rPr>
        <w:t>que</w:t>
      </w:r>
      <w:r>
        <w:rPr>
          <w:spacing w:val="-5"/>
          <w:sz w:val="20"/>
        </w:rPr>
        <w:t> </w:t>
      </w:r>
      <w:r>
        <w:rPr>
          <w:sz w:val="20"/>
        </w:rPr>
        <w:t>se</w:t>
      </w:r>
      <w:r>
        <w:rPr>
          <w:spacing w:val="-4"/>
          <w:sz w:val="20"/>
        </w:rPr>
        <w:t> </w:t>
      </w:r>
      <w:r>
        <w:rPr>
          <w:sz w:val="20"/>
        </w:rPr>
        <w:t>embargue</w:t>
      </w:r>
      <w:r>
        <w:rPr>
          <w:spacing w:val="-6"/>
          <w:sz w:val="20"/>
        </w:rPr>
        <w:t> </w:t>
      </w:r>
      <w:r>
        <w:rPr>
          <w:sz w:val="20"/>
        </w:rPr>
        <w:t>el</w:t>
      </w:r>
      <w:r>
        <w:rPr>
          <w:spacing w:val="-6"/>
          <w:sz w:val="20"/>
        </w:rPr>
        <w:t> </w:t>
      </w:r>
      <w:r>
        <w:rPr>
          <w:sz w:val="20"/>
        </w:rPr>
        <w:t>fundo,</w:t>
      </w:r>
      <w:r>
        <w:rPr>
          <w:spacing w:val="-4"/>
          <w:sz w:val="20"/>
        </w:rPr>
        <w:t> </w:t>
      </w:r>
      <w:r>
        <w:rPr>
          <w:sz w:val="20"/>
        </w:rPr>
        <w:t>a</w:t>
      </w:r>
      <w:r>
        <w:rPr>
          <w:spacing w:val="-6"/>
          <w:sz w:val="20"/>
        </w:rPr>
        <w:t> </w:t>
      </w:r>
      <w:r>
        <w:rPr>
          <w:sz w:val="20"/>
        </w:rPr>
        <w:t>cuyo</w:t>
      </w:r>
      <w:r>
        <w:rPr>
          <w:spacing w:val="-4"/>
          <w:sz w:val="20"/>
        </w:rPr>
        <w:t> </w:t>
      </w:r>
      <w:r>
        <w:rPr>
          <w:sz w:val="20"/>
        </w:rPr>
        <w:t>favor</w:t>
      </w:r>
      <w:r>
        <w:rPr>
          <w:spacing w:val="-3"/>
          <w:sz w:val="20"/>
        </w:rPr>
        <w:t> </w:t>
      </w:r>
      <w:r>
        <w:rPr>
          <w:sz w:val="20"/>
        </w:rPr>
        <w:t>estén</w:t>
      </w:r>
      <w:r>
        <w:rPr>
          <w:spacing w:val="-7"/>
          <w:sz w:val="20"/>
        </w:rPr>
        <w:t> </w:t>
      </w:r>
      <w:r>
        <w:rPr>
          <w:spacing w:val="-2"/>
          <w:sz w:val="20"/>
        </w:rPr>
        <w:t>constituidas.</w:t>
      </w:r>
    </w:p>
    <w:p>
      <w:pPr>
        <w:spacing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before="1"/>
        <w:ind w:left="338" w:firstLine="288"/>
      </w:pPr>
      <w:bookmarkStart w:name="Artículo_953" w:id="1198"/>
      <w:bookmarkEnd w:id="1198"/>
      <w:r>
        <w:rPr/>
      </w:r>
      <w:r>
        <w:rPr>
          <w:rFonts w:ascii="Arial" w:hAnsi="Arial"/>
          <w:b/>
        </w:rPr>
        <w:t>Artículo</w:t>
      </w:r>
      <w:r>
        <w:rPr>
          <w:rFonts w:ascii="Arial" w:hAnsi="Arial"/>
          <w:b/>
          <w:spacing w:val="73"/>
        </w:rPr>
        <w:t> </w:t>
      </w:r>
      <w:r>
        <w:rPr>
          <w:rFonts w:ascii="Arial" w:hAnsi="Arial"/>
          <w:b/>
        </w:rPr>
        <w:t>953.-</w:t>
      </w:r>
      <w:r>
        <w:rPr>
          <w:rFonts w:ascii="Arial" w:hAnsi="Arial"/>
          <w:b/>
          <w:spacing w:val="73"/>
        </w:rPr>
        <w:t> </w:t>
      </w:r>
      <w:r>
        <w:rPr/>
        <w:t>Las</w:t>
      </w:r>
      <w:r>
        <w:rPr>
          <w:spacing w:val="73"/>
        </w:rPr>
        <w:t> </w:t>
      </w:r>
      <w:r>
        <w:rPr/>
        <w:t>diligencias</w:t>
      </w:r>
      <w:r>
        <w:rPr>
          <w:spacing w:val="73"/>
        </w:rPr>
        <w:t> </w:t>
      </w:r>
      <w:r>
        <w:rPr/>
        <w:t>de</w:t>
      </w:r>
      <w:r>
        <w:rPr>
          <w:spacing w:val="71"/>
        </w:rPr>
        <w:t> </w:t>
      </w:r>
      <w:r>
        <w:rPr/>
        <w:t>embargo</w:t>
      </w:r>
      <w:r>
        <w:rPr>
          <w:spacing w:val="71"/>
        </w:rPr>
        <w:t> </w:t>
      </w:r>
      <w:r>
        <w:rPr/>
        <w:t>no</w:t>
      </w:r>
      <w:r>
        <w:rPr>
          <w:spacing w:val="71"/>
        </w:rPr>
        <w:t> </w:t>
      </w:r>
      <w:r>
        <w:rPr/>
        <w:t>pueden</w:t>
      </w:r>
      <w:r>
        <w:rPr>
          <w:spacing w:val="71"/>
        </w:rPr>
        <w:t> </w:t>
      </w:r>
      <w:r>
        <w:rPr/>
        <w:t>suspenderse.</w:t>
      </w:r>
      <w:r>
        <w:rPr>
          <w:spacing w:val="72"/>
        </w:rPr>
        <w:t> </w:t>
      </w:r>
      <w:r>
        <w:rPr/>
        <w:t>El</w:t>
      </w:r>
      <w:r>
        <w:rPr>
          <w:spacing w:val="73"/>
        </w:rPr>
        <w:t> </w:t>
      </w:r>
      <w:r>
        <w:rPr/>
        <w:t>actuario</w:t>
      </w:r>
      <w:r>
        <w:rPr>
          <w:spacing w:val="72"/>
        </w:rPr>
        <w:t> </w:t>
      </w:r>
      <w:r>
        <w:rPr/>
        <w:t>resolverá</w:t>
      </w:r>
      <w:r>
        <w:rPr>
          <w:spacing w:val="72"/>
        </w:rPr>
        <w:t> </w:t>
      </w:r>
      <w:r>
        <w:rPr/>
        <w:t>las cuestiones que se susciten.</w:t>
      </w:r>
    </w:p>
    <w:p>
      <w:pPr>
        <w:spacing w:line="180"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338" w:right="342" w:firstLine="288"/>
      </w:pPr>
      <w:bookmarkStart w:name="Artículo_954" w:id="1199"/>
      <w:bookmarkEnd w:id="1199"/>
      <w:r>
        <w:rPr/>
      </w:r>
      <w:r>
        <w:rPr>
          <w:rFonts w:ascii="Arial" w:hAnsi="Arial"/>
          <w:b/>
        </w:rPr>
        <w:t>Artículo</w:t>
      </w:r>
      <w:r>
        <w:rPr>
          <w:rFonts w:ascii="Arial" w:hAnsi="Arial"/>
          <w:b/>
          <w:spacing w:val="28"/>
        </w:rPr>
        <w:t> </w:t>
      </w:r>
      <w:r>
        <w:rPr>
          <w:rFonts w:ascii="Arial" w:hAnsi="Arial"/>
          <w:b/>
        </w:rPr>
        <w:t>954.-</w:t>
      </w:r>
      <w:r>
        <w:rPr>
          <w:rFonts w:ascii="Arial" w:hAnsi="Arial"/>
          <w:b/>
          <w:spacing w:val="29"/>
        </w:rPr>
        <w:t> </w:t>
      </w:r>
      <w:r>
        <w:rPr/>
        <w:t>El</w:t>
      </w:r>
      <w:r>
        <w:rPr>
          <w:spacing w:val="27"/>
        </w:rPr>
        <w:t> </w:t>
      </w:r>
      <w:r>
        <w:rPr/>
        <w:t>Actuario,</w:t>
      </w:r>
      <w:r>
        <w:rPr>
          <w:spacing w:val="30"/>
        </w:rPr>
        <w:t> </w:t>
      </w:r>
      <w:r>
        <w:rPr/>
        <w:t>tomando</w:t>
      </w:r>
      <w:r>
        <w:rPr>
          <w:spacing w:val="27"/>
        </w:rPr>
        <w:t> </w:t>
      </w:r>
      <w:r>
        <w:rPr/>
        <w:t>en</w:t>
      </w:r>
      <w:r>
        <w:rPr>
          <w:spacing w:val="27"/>
        </w:rPr>
        <w:t> </w:t>
      </w:r>
      <w:r>
        <w:rPr/>
        <w:t>consideración</w:t>
      </w:r>
      <w:r>
        <w:rPr>
          <w:spacing w:val="28"/>
        </w:rPr>
        <w:t> </w:t>
      </w:r>
      <w:r>
        <w:rPr/>
        <w:t>lo</w:t>
      </w:r>
      <w:r>
        <w:rPr>
          <w:spacing w:val="28"/>
        </w:rPr>
        <w:t> </w:t>
      </w:r>
      <w:r>
        <w:rPr/>
        <w:t>que</w:t>
      </w:r>
      <w:r>
        <w:rPr>
          <w:spacing w:val="28"/>
        </w:rPr>
        <w:t> </w:t>
      </w:r>
      <w:r>
        <w:rPr/>
        <w:t>expongan</w:t>
      </w:r>
      <w:r>
        <w:rPr>
          <w:spacing w:val="30"/>
        </w:rPr>
        <w:t> </w:t>
      </w:r>
      <w:r>
        <w:rPr/>
        <w:t>las</w:t>
      </w:r>
      <w:r>
        <w:rPr>
          <w:spacing w:val="29"/>
        </w:rPr>
        <w:t> </w:t>
      </w:r>
      <w:r>
        <w:rPr/>
        <w:t>partes,</w:t>
      </w:r>
      <w:r>
        <w:rPr>
          <w:spacing w:val="28"/>
        </w:rPr>
        <w:t> </w:t>
      </w:r>
      <w:r>
        <w:rPr/>
        <w:t>determinará</w:t>
      </w:r>
      <w:r>
        <w:rPr>
          <w:spacing w:val="28"/>
        </w:rPr>
        <w:t> </w:t>
      </w:r>
      <w:r>
        <w:rPr/>
        <w:t>los bienes que deban ser objeto del embargo, prefiriendo los que sean de más fácil realización.</w:t>
      </w:r>
    </w:p>
    <w:p>
      <w:pPr>
        <w:spacing w:line="182"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line="182" w:lineRule="exact"/>
        <w:jc w:val="lef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BodyText"/>
        <w:spacing w:line="242" w:lineRule="auto"/>
        <w:ind w:left="338" w:right="344" w:firstLine="288"/>
        <w:jc w:val="both"/>
      </w:pPr>
      <w:bookmarkStart w:name="Artículo_955" w:id="1200"/>
      <w:bookmarkEnd w:id="1200"/>
      <w:r>
        <w:rPr/>
      </w:r>
      <w:r>
        <w:rPr>
          <w:rFonts w:ascii="Arial" w:hAnsi="Arial"/>
          <w:b/>
        </w:rPr>
        <w:t>Artículo 955.- </w:t>
      </w:r>
      <w:r>
        <w:rPr/>
        <w:t>Cuando el</w:t>
      </w:r>
      <w:r>
        <w:rPr>
          <w:spacing w:val="-1"/>
        </w:rPr>
        <w:t> </w:t>
      </w:r>
      <w:r>
        <w:rPr/>
        <w:t>embargo deba recaer en bienes que se encuentren fuera del lugar donde se practique la diligencia, la parte que obtuvo sentencia favorable, deberá manifestar al Actuario el local en que se encuentran y previa identificación de los bienes, practicará el embargo.</w:t>
      </w:r>
    </w:p>
    <w:p>
      <w:pPr>
        <w:spacing w:line="178"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1" w:firstLine="288"/>
        <w:jc w:val="both"/>
      </w:pPr>
      <w:bookmarkStart w:name="Artículo_956" w:id="1201"/>
      <w:bookmarkEnd w:id="1201"/>
      <w:r>
        <w:rPr/>
      </w:r>
      <w:r>
        <w:rPr>
          <w:rFonts w:ascii="Arial" w:hAnsi="Arial"/>
          <w:b/>
        </w:rPr>
        <w:t>Artículo 956.- </w:t>
      </w:r>
      <w:r>
        <w:rPr/>
        <w:t>Si los bienes embargados fuesen dinero o créditos realizables en el acto, el Actuario trabará embargo y los pondrá a disposición del Tribunal, quien deberá resolver de inmediato sobre el pago del actor.</w:t>
      </w:r>
    </w:p>
    <w:p>
      <w:pPr>
        <w:spacing w:line="178"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338" w:right="338" w:firstLine="288"/>
        <w:jc w:val="both"/>
      </w:pPr>
      <w:bookmarkStart w:name="Artículo_957" w:id="1202"/>
      <w:bookmarkEnd w:id="1202"/>
      <w:r>
        <w:rPr/>
      </w:r>
      <w:r>
        <w:rPr>
          <w:rFonts w:ascii="Arial" w:hAnsi="Arial"/>
          <w:b/>
        </w:rPr>
        <w:t>Artículo 957.- </w:t>
      </w:r>
      <w:r>
        <w:rPr/>
        <w:t>Si los bienes embargados son muebles, se pondrán en depósito de la persona, que bajo su responsabilidad designe la parte que obtuvo sentencia favorable. El depositario deberá exhibir identificación oficial para que se agregue copia de la misma a los autos, otorgar las generales exigidas a los testigos, proporcionar domicilio de guarda y custodia en que quedarán los bienes embargados dentro de la jurisdicción del Tribunal, protestar el fiel desempeño de su cargo y manifestarse sabedor de las penas en que incurren los depositarios infieles. La parte que obtuvo podrá solicitar el cambio de </w:t>
      </w:r>
      <w:r>
        <w:rPr>
          <w:spacing w:val="-2"/>
        </w:rPr>
        <w:t>depositario.</w:t>
      </w:r>
    </w:p>
    <w:p>
      <w:pPr>
        <w:spacing w:before="1"/>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4" w:firstLine="288"/>
        <w:jc w:val="both"/>
      </w:pPr>
      <w:bookmarkStart w:name="Artículo_958" w:id="1203"/>
      <w:bookmarkEnd w:id="1203"/>
      <w:r>
        <w:rPr/>
      </w:r>
      <w:r>
        <w:rPr>
          <w:rFonts w:ascii="Arial" w:hAnsi="Arial"/>
          <w:b/>
        </w:rPr>
        <w:t>Artículo 958.- </w:t>
      </w:r>
      <w:r>
        <w:rPr/>
        <w:t>Si los bienes embargados son cuentas bancarias, valores, créditos, frutos o productos, se notificará al Banco, institución de valores, deudor o inquilino, que el importe del pago lo ponga a disposición del Tribunal, apercibido de doble pago en caso de desobediencia.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9" w:firstLine="288"/>
        <w:jc w:val="both"/>
      </w:pPr>
      <w:bookmarkStart w:name="Artículo_959" w:id="1204"/>
      <w:bookmarkEnd w:id="1204"/>
      <w:r>
        <w:rPr/>
      </w:r>
      <w:r>
        <w:rPr>
          <w:rFonts w:ascii="Arial" w:hAnsi="Arial"/>
          <w:b/>
        </w:rPr>
        <w:t>Artículo 959.- </w:t>
      </w:r>
      <w:r>
        <w:rPr/>
        <w:t>El Actuario requerirá al demandando a fin de que le exhiba los documentos y contratos respectivos, para que en el acta conste y dé fe de las condiciones estipuladas en los mismos.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8"/>
        <w:rPr>
          <w:rFonts w:ascii="Times New Roman"/>
          <w:i/>
          <w:sz w:val="16"/>
        </w:rPr>
      </w:pPr>
    </w:p>
    <w:p>
      <w:pPr>
        <w:pStyle w:val="BodyText"/>
        <w:ind w:left="338" w:right="335" w:firstLine="288"/>
        <w:jc w:val="both"/>
      </w:pPr>
      <w:bookmarkStart w:name="Artículo_960" w:id="1205"/>
      <w:bookmarkEnd w:id="1205"/>
      <w:r>
        <w:rPr/>
      </w:r>
      <w:r>
        <w:rPr>
          <w:rFonts w:ascii="Arial" w:hAnsi="Arial"/>
          <w:b/>
        </w:rPr>
        <w:t>Artículo 960. </w:t>
      </w:r>
      <w:r>
        <w:rPr/>
        <w:t>Si llega a asegurarse un título de crédito, se designará un depositario que lo conserve</w:t>
      </w:r>
      <w:r>
        <w:rPr>
          <w:spacing w:val="40"/>
        </w:rPr>
        <w:t> </w:t>
      </w:r>
      <w:r>
        <w:rPr/>
        <w:t>en guarda, quien estará obligado a hacer todo lo necesario para que no se altere ni menoscabe el derecho que el Título represente y a intentar todas las acciones y los recursos que la Ley concede para hacer efectivo el crédito, quedando sujeto, además, a las obligaciones que impongan las Leyes a los </w:t>
      </w:r>
      <w:r>
        <w:rPr>
          <w:spacing w:val="-2"/>
        </w:rPr>
        <w:t>depositarios.</w:t>
      </w:r>
    </w:p>
    <w:p>
      <w:pPr>
        <w:spacing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338" w:right="337" w:firstLine="288"/>
        <w:jc w:val="both"/>
      </w:pPr>
      <w:bookmarkStart w:name="Artículo_961" w:id="1206"/>
      <w:bookmarkEnd w:id="1206"/>
      <w:r>
        <w:rPr/>
      </w:r>
      <w:r>
        <w:rPr>
          <w:rFonts w:ascii="Arial" w:hAnsi="Arial"/>
          <w:b/>
        </w:rPr>
        <w:t>Artículo 961.- </w:t>
      </w:r>
      <w:r>
        <w:rPr/>
        <w:t>Si el crédito fuese litigioso, se notificará el embargo a la autoridad que conozca del juicio</w:t>
      </w:r>
      <w:r>
        <w:rPr>
          <w:spacing w:val="-1"/>
        </w:rPr>
        <w:t> </w:t>
      </w:r>
      <w:r>
        <w:rPr/>
        <w:t>respectivo, y</w:t>
      </w:r>
      <w:r>
        <w:rPr>
          <w:spacing w:val="-4"/>
        </w:rPr>
        <w:t> </w:t>
      </w:r>
      <w:r>
        <w:rPr/>
        <w:t>el</w:t>
      </w:r>
      <w:r>
        <w:rPr>
          <w:spacing w:val="-2"/>
        </w:rPr>
        <w:t> </w:t>
      </w:r>
      <w:r>
        <w:rPr/>
        <w:t>nombre</w:t>
      </w:r>
      <w:r>
        <w:rPr>
          <w:spacing w:val="-3"/>
        </w:rPr>
        <w:t> </w:t>
      </w:r>
      <w:r>
        <w:rPr/>
        <w:t>del</w:t>
      </w:r>
      <w:r>
        <w:rPr>
          <w:spacing w:val="-2"/>
        </w:rPr>
        <w:t> </w:t>
      </w:r>
      <w:r>
        <w:rPr/>
        <w:t>depositario,</w:t>
      </w:r>
      <w:r>
        <w:rPr>
          <w:spacing w:val="-1"/>
        </w:rPr>
        <w:t> </w:t>
      </w:r>
      <w:r>
        <w:rPr/>
        <w:t>a</w:t>
      </w:r>
      <w:r>
        <w:rPr>
          <w:spacing w:val="-1"/>
        </w:rPr>
        <w:t> </w:t>
      </w:r>
      <w:r>
        <w:rPr/>
        <w:t>fin</w:t>
      </w:r>
      <w:r>
        <w:rPr>
          <w:spacing w:val="-1"/>
        </w:rPr>
        <w:t> </w:t>
      </w:r>
      <w:r>
        <w:rPr/>
        <w:t>de</w:t>
      </w:r>
      <w:r>
        <w:rPr>
          <w:spacing w:val="-1"/>
        </w:rPr>
        <w:t> </w:t>
      </w:r>
      <w:r>
        <w:rPr/>
        <w:t>que</w:t>
      </w:r>
      <w:r>
        <w:rPr>
          <w:spacing w:val="-1"/>
        </w:rPr>
        <w:t> </w:t>
      </w:r>
      <w:r>
        <w:rPr/>
        <w:t>éste</w:t>
      </w:r>
      <w:r>
        <w:rPr>
          <w:spacing w:val="-1"/>
        </w:rPr>
        <w:t> </w:t>
      </w:r>
      <w:r>
        <w:rPr/>
        <w:t>pueda</w:t>
      </w:r>
      <w:r>
        <w:rPr>
          <w:spacing w:val="-1"/>
        </w:rPr>
        <w:t> </w:t>
      </w:r>
      <w:r>
        <w:rPr/>
        <w:t>desempeñar</w:t>
      </w:r>
      <w:r>
        <w:rPr>
          <w:spacing w:val="-2"/>
        </w:rPr>
        <w:t> </w:t>
      </w:r>
      <w:r>
        <w:rPr/>
        <w:t>las</w:t>
      </w:r>
      <w:r>
        <w:rPr>
          <w:spacing w:val="-2"/>
        </w:rPr>
        <w:t> </w:t>
      </w:r>
      <w:r>
        <w:rPr/>
        <w:t>obligaciones</w:t>
      </w:r>
      <w:r>
        <w:rPr>
          <w:spacing w:val="-2"/>
        </w:rPr>
        <w:t> </w:t>
      </w:r>
      <w:r>
        <w:rPr/>
        <w:t>que</w:t>
      </w:r>
      <w:r>
        <w:rPr>
          <w:spacing w:val="-1"/>
        </w:rPr>
        <w:t> </w:t>
      </w:r>
      <w:r>
        <w:rPr/>
        <w:t>le impone la parte final del artículo anterior.</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4"/>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338" w:firstLine="288"/>
      </w:pPr>
      <w:bookmarkStart w:name="Artículo_962" w:id="1207"/>
      <w:bookmarkEnd w:id="1207"/>
      <w:r>
        <w:rPr/>
      </w:r>
      <w:r>
        <w:rPr>
          <w:rFonts w:ascii="Arial" w:hAnsi="Arial"/>
          <w:b/>
        </w:rPr>
        <w:t>Artículo</w:t>
      </w:r>
      <w:r>
        <w:rPr>
          <w:rFonts w:ascii="Arial" w:hAnsi="Arial"/>
          <w:b/>
          <w:spacing w:val="40"/>
        </w:rPr>
        <w:t> </w:t>
      </w:r>
      <w:r>
        <w:rPr>
          <w:rFonts w:ascii="Arial" w:hAnsi="Arial"/>
          <w:b/>
        </w:rPr>
        <w:t>962.-</w:t>
      </w:r>
      <w:r>
        <w:rPr>
          <w:rFonts w:ascii="Arial" w:hAnsi="Arial"/>
          <w:b/>
          <w:spacing w:val="40"/>
        </w:rPr>
        <w:t> </w:t>
      </w:r>
      <w:r>
        <w:rPr/>
        <w:t>Si</w:t>
      </w:r>
      <w:r>
        <w:rPr>
          <w:spacing w:val="40"/>
        </w:rPr>
        <w:t> </w:t>
      </w:r>
      <w:r>
        <w:rPr/>
        <w:t>los</w:t>
      </w:r>
      <w:r>
        <w:rPr>
          <w:spacing w:val="40"/>
        </w:rPr>
        <w:t> </w:t>
      </w:r>
      <w:r>
        <w:rPr/>
        <w:t>bienes</w:t>
      </w:r>
      <w:r>
        <w:rPr>
          <w:spacing w:val="40"/>
        </w:rPr>
        <w:t> </w:t>
      </w:r>
      <w:r>
        <w:rPr/>
        <w:t>embargados</w:t>
      </w:r>
      <w:r>
        <w:rPr>
          <w:spacing w:val="40"/>
        </w:rPr>
        <w:t> </w:t>
      </w:r>
      <w:r>
        <w:rPr/>
        <w:t>fueren</w:t>
      </w:r>
      <w:r>
        <w:rPr>
          <w:spacing w:val="40"/>
        </w:rPr>
        <w:t> </w:t>
      </w:r>
      <w:r>
        <w:rPr/>
        <w:t>inmuebles,</w:t>
      </w:r>
      <w:r>
        <w:rPr>
          <w:spacing w:val="40"/>
        </w:rPr>
        <w:t> </w:t>
      </w:r>
      <w:r>
        <w:rPr/>
        <w:t>el</w:t>
      </w:r>
      <w:r>
        <w:rPr>
          <w:spacing w:val="40"/>
        </w:rPr>
        <w:t> </w:t>
      </w:r>
      <w:r>
        <w:rPr/>
        <w:t>Tribunal,</w:t>
      </w:r>
      <w:r>
        <w:rPr>
          <w:spacing w:val="40"/>
        </w:rPr>
        <w:t> </w:t>
      </w:r>
      <w:r>
        <w:rPr/>
        <w:t>bajo</w:t>
      </w:r>
      <w:r>
        <w:rPr>
          <w:spacing w:val="40"/>
        </w:rPr>
        <w:t> </w:t>
      </w:r>
      <w:r>
        <w:rPr/>
        <w:t>su</w:t>
      </w:r>
      <w:r>
        <w:rPr>
          <w:spacing w:val="40"/>
        </w:rPr>
        <w:t> </w:t>
      </w:r>
      <w:r>
        <w:rPr/>
        <w:t>responsabilidad, ordenará, dentro de las 24 horas siguientes, la inscripción en el Registro Público de la Propiedad.</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firstLine="288"/>
      </w:pPr>
      <w:bookmarkStart w:name="Artículo_963" w:id="1208"/>
      <w:bookmarkEnd w:id="1208"/>
      <w:r>
        <w:rPr/>
      </w:r>
      <w:r>
        <w:rPr>
          <w:rFonts w:ascii="Arial" w:hAnsi="Arial"/>
          <w:b/>
        </w:rPr>
        <w:t>Artículo</w:t>
      </w:r>
      <w:r>
        <w:rPr>
          <w:rFonts w:ascii="Arial" w:hAnsi="Arial"/>
          <w:b/>
          <w:spacing w:val="35"/>
        </w:rPr>
        <w:t> </w:t>
      </w:r>
      <w:r>
        <w:rPr>
          <w:rFonts w:ascii="Arial" w:hAnsi="Arial"/>
          <w:b/>
        </w:rPr>
        <w:t>963.-</w:t>
      </w:r>
      <w:r>
        <w:rPr>
          <w:rFonts w:ascii="Arial" w:hAnsi="Arial"/>
          <w:b/>
          <w:spacing w:val="38"/>
        </w:rPr>
        <w:t> </w:t>
      </w:r>
      <w:r>
        <w:rPr/>
        <w:t>Si</w:t>
      </w:r>
      <w:r>
        <w:rPr>
          <w:spacing w:val="34"/>
        </w:rPr>
        <w:t> </w:t>
      </w:r>
      <w:r>
        <w:rPr/>
        <w:t>el</w:t>
      </w:r>
      <w:r>
        <w:rPr>
          <w:spacing w:val="34"/>
        </w:rPr>
        <w:t> </w:t>
      </w:r>
      <w:r>
        <w:rPr/>
        <w:t>embargo</w:t>
      </w:r>
      <w:r>
        <w:rPr>
          <w:spacing w:val="34"/>
        </w:rPr>
        <w:t> </w:t>
      </w:r>
      <w:r>
        <w:rPr/>
        <w:t>recae</w:t>
      </w:r>
      <w:r>
        <w:rPr>
          <w:spacing w:val="34"/>
        </w:rPr>
        <w:t> </w:t>
      </w:r>
      <w:r>
        <w:rPr/>
        <w:t>en</w:t>
      </w:r>
      <w:r>
        <w:rPr>
          <w:spacing w:val="34"/>
        </w:rPr>
        <w:t> </w:t>
      </w:r>
      <w:r>
        <w:rPr/>
        <w:t>finca</w:t>
      </w:r>
      <w:r>
        <w:rPr>
          <w:spacing w:val="34"/>
        </w:rPr>
        <w:t> </w:t>
      </w:r>
      <w:r>
        <w:rPr/>
        <w:t>urbana</w:t>
      </w:r>
      <w:r>
        <w:rPr>
          <w:spacing w:val="39"/>
        </w:rPr>
        <w:t> </w:t>
      </w:r>
      <w:r>
        <w:rPr/>
        <w:t>y</w:t>
      </w:r>
      <w:r>
        <w:rPr>
          <w:spacing w:val="31"/>
        </w:rPr>
        <w:t> </w:t>
      </w:r>
      <w:r>
        <w:rPr/>
        <w:t>sus</w:t>
      </w:r>
      <w:r>
        <w:rPr>
          <w:spacing w:val="35"/>
        </w:rPr>
        <w:t> </w:t>
      </w:r>
      <w:r>
        <w:rPr/>
        <w:t>productos</w:t>
      </w:r>
      <w:r>
        <w:rPr>
          <w:spacing w:val="35"/>
        </w:rPr>
        <w:t> </w:t>
      </w:r>
      <w:r>
        <w:rPr/>
        <w:t>o</w:t>
      </w:r>
      <w:r>
        <w:rPr>
          <w:spacing w:val="34"/>
        </w:rPr>
        <w:t> </w:t>
      </w:r>
      <w:r>
        <w:rPr/>
        <w:t>sobre</w:t>
      </w:r>
      <w:r>
        <w:rPr>
          <w:spacing w:val="37"/>
        </w:rPr>
        <w:t> </w:t>
      </w:r>
      <w:r>
        <w:rPr/>
        <w:t>éstos</w:t>
      </w:r>
      <w:r>
        <w:rPr>
          <w:spacing w:val="35"/>
        </w:rPr>
        <w:t> </w:t>
      </w:r>
      <w:r>
        <w:rPr/>
        <w:t>solamente,</w:t>
      </w:r>
      <w:r>
        <w:rPr>
          <w:spacing w:val="34"/>
        </w:rPr>
        <w:t> </w:t>
      </w:r>
      <w:r>
        <w:rPr/>
        <w:t>el depositario tendrá el carácter de administrador con las facultades y obligaciones siguientes:</w:t>
      </w:r>
    </w:p>
    <w:p>
      <w:pPr>
        <w:pStyle w:val="ListParagraph"/>
        <w:numPr>
          <w:ilvl w:val="0"/>
          <w:numId w:val="344"/>
        </w:numPr>
        <w:tabs>
          <w:tab w:pos="1193" w:val="left" w:leader="none"/>
          <w:tab w:pos="1195" w:val="left" w:leader="none"/>
        </w:tabs>
        <w:spacing w:line="240" w:lineRule="auto" w:before="227" w:after="0"/>
        <w:ind w:left="1195" w:right="337" w:hanging="569"/>
        <w:jc w:val="both"/>
        <w:rPr>
          <w:sz w:val="20"/>
        </w:rPr>
      </w:pPr>
      <w:r>
        <w:rPr>
          <w:sz w:val="20"/>
        </w:rPr>
        <w:t>Podrá celebrar contratos de arrendamiento, conforme a estas condiciones: por tiempo</w:t>
      </w:r>
      <w:r>
        <w:rPr>
          <w:spacing w:val="80"/>
          <w:sz w:val="20"/>
        </w:rPr>
        <w:t> </w:t>
      </w:r>
      <w:r>
        <w:rPr>
          <w:sz w:val="20"/>
        </w:rPr>
        <w:t>voluntario para ambas partes; el importe de la renta no podrá ser menor al fijado en el último contrato; exigir al arrendatario las garantías necesarias de su cumplimiento; y recabar en todos los casos, la autorización del Tribunal;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ListParagraph"/>
        <w:numPr>
          <w:ilvl w:val="0"/>
          <w:numId w:val="344"/>
        </w:numPr>
        <w:tabs>
          <w:tab w:pos="1195" w:val="left" w:leader="none"/>
        </w:tabs>
        <w:spacing w:line="242" w:lineRule="auto" w:before="0" w:after="0"/>
        <w:ind w:left="1195" w:right="346" w:hanging="569"/>
        <w:jc w:val="left"/>
        <w:rPr>
          <w:sz w:val="20"/>
        </w:rPr>
      </w:pPr>
      <w:r>
        <w:rPr>
          <w:sz w:val="20"/>
        </w:rPr>
        <w:t>Cobrar oportunamente las rentas en sus términos</w:t>
      </w:r>
      <w:r>
        <w:rPr>
          <w:spacing w:val="26"/>
          <w:sz w:val="20"/>
        </w:rPr>
        <w:t> </w:t>
      </w:r>
      <w:r>
        <w:rPr>
          <w:sz w:val="20"/>
        </w:rPr>
        <w:t>y plazos, procediendo contra los inquilinos</w:t>
      </w:r>
      <w:r>
        <w:rPr>
          <w:spacing w:val="80"/>
          <w:sz w:val="20"/>
        </w:rPr>
        <w:t> </w:t>
      </w:r>
      <w:r>
        <w:rPr>
          <w:sz w:val="20"/>
        </w:rPr>
        <w:t>morosos con arreglo a la Ley;</w:t>
      </w:r>
    </w:p>
    <w:p>
      <w:pPr>
        <w:pStyle w:val="ListParagraph"/>
        <w:numPr>
          <w:ilvl w:val="0"/>
          <w:numId w:val="344"/>
        </w:numPr>
        <w:tabs>
          <w:tab w:pos="1195" w:val="left" w:leader="none"/>
        </w:tabs>
        <w:spacing w:line="242" w:lineRule="auto" w:before="227" w:after="0"/>
        <w:ind w:left="1195" w:right="329" w:hanging="569"/>
        <w:jc w:val="left"/>
        <w:rPr>
          <w:sz w:val="20"/>
        </w:rPr>
      </w:pPr>
      <w:r>
        <w:rPr>
          <w:sz w:val="20"/>
        </w:rPr>
        <w:t>Hacer sin previa autorización los pagos de los impuestos y derechos que cause el inmueble; y cubrir los gastos ordinarios de conservación y aseo;</w:t>
      </w:r>
    </w:p>
    <w:p>
      <w:pPr>
        <w:pStyle w:val="ListParagraph"/>
        <w:numPr>
          <w:ilvl w:val="0"/>
          <w:numId w:val="344"/>
        </w:numPr>
        <w:tabs>
          <w:tab w:pos="1195" w:val="left" w:leader="none"/>
        </w:tabs>
        <w:spacing w:line="242" w:lineRule="auto" w:before="224" w:after="0"/>
        <w:ind w:left="1195" w:right="343" w:hanging="569"/>
        <w:jc w:val="left"/>
        <w:rPr>
          <w:sz w:val="20"/>
        </w:rPr>
      </w:pPr>
      <w:r>
        <w:rPr>
          <w:sz w:val="20"/>
        </w:rPr>
        <w:t>Presentar</w:t>
      </w:r>
      <w:r>
        <w:rPr>
          <w:spacing w:val="26"/>
          <w:sz w:val="20"/>
        </w:rPr>
        <w:t> </w:t>
      </w:r>
      <w:r>
        <w:rPr>
          <w:sz w:val="20"/>
        </w:rPr>
        <w:t>a</w:t>
      </w:r>
      <w:r>
        <w:rPr>
          <w:spacing w:val="26"/>
          <w:sz w:val="20"/>
        </w:rPr>
        <w:t> </w:t>
      </w:r>
      <w:r>
        <w:rPr>
          <w:sz w:val="20"/>
        </w:rPr>
        <w:t>la</w:t>
      </w:r>
      <w:r>
        <w:rPr>
          <w:spacing w:val="28"/>
          <w:sz w:val="20"/>
        </w:rPr>
        <w:t> </w:t>
      </w:r>
      <w:r>
        <w:rPr>
          <w:sz w:val="20"/>
        </w:rPr>
        <w:t>oficina</w:t>
      </w:r>
      <w:r>
        <w:rPr>
          <w:spacing w:val="26"/>
          <w:sz w:val="20"/>
        </w:rPr>
        <w:t> </w:t>
      </w:r>
      <w:r>
        <w:rPr>
          <w:sz w:val="20"/>
        </w:rPr>
        <w:t>correspondiente,</w:t>
      </w:r>
      <w:r>
        <w:rPr>
          <w:spacing w:val="28"/>
          <w:sz w:val="20"/>
        </w:rPr>
        <w:t> </w:t>
      </w:r>
      <w:r>
        <w:rPr>
          <w:sz w:val="20"/>
        </w:rPr>
        <w:t>las</w:t>
      </w:r>
      <w:r>
        <w:rPr>
          <w:spacing w:val="26"/>
          <w:sz w:val="20"/>
        </w:rPr>
        <w:t> </w:t>
      </w:r>
      <w:r>
        <w:rPr>
          <w:sz w:val="20"/>
        </w:rPr>
        <w:t>manifestaciones</w:t>
      </w:r>
      <w:r>
        <w:rPr>
          <w:spacing w:val="31"/>
          <w:sz w:val="20"/>
        </w:rPr>
        <w:t> </w:t>
      </w:r>
      <w:r>
        <w:rPr>
          <w:sz w:val="20"/>
        </w:rPr>
        <w:t>y</w:t>
      </w:r>
      <w:r>
        <w:rPr>
          <w:spacing w:val="24"/>
          <w:sz w:val="20"/>
        </w:rPr>
        <w:t> </w:t>
      </w:r>
      <w:r>
        <w:rPr>
          <w:sz w:val="20"/>
        </w:rPr>
        <w:t>declaraciones</w:t>
      </w:r>
      <w:r>
        <w:rPr>
          <w:spacing w:val="27"/>
          <w:sz w:val="20"/>
        </w:rPr>
        <w:t> </w:t>
      </w:r>
      <w:r>
        <w:rPr>
          <w:sz w:val="20"/>
        </w:rPr>
        <w:t>que</w:t>
      </w:r>
      <w:r>
        <w:rPr>
          <w:spacing w:val="26"/>
          <w:sz w:val="20"/>
        </w:rPr>
        <w:t> </w:t>
      </w:r>
      <w:r>
        <w:rPr>
          <w:sz w:val="20"/>
        </w:rPr>
        <w:t>la</w:t>
      </w:r>
      <w:r>
        <w:rPr>
          <w:spacing w:val="26"/>
          <w:sz w:val="20"/>
        </w:rPr>
        <w:t> </w:t>
      </w:r>
      <w:r>
        <w:rPr>
          <w:sz w:val="20"/>
        </w:rPr>
        <w:t>Ley</w:t>
      </w:r>
      <w:r>
        <w:rPr>
          <w:spacing w:val="25"/>
          <w:sz w:val="20"/>
        </w:rPr>
        <w:t> </w:t>
      </w:r>
      <w:r>
        <w:rPr>
          <w:sz w:val="20"/>
        </w:rPr>
        <w:t>de</w:t>
      </w:r>
      <w:r>
        <w:rPr>
          <w:spacing w:val="27"/>
          <w:sz w:val="20"/>
        </w:rPr>
        <w:t> </w:t>
      </w:r>
      <w:r>
        <w:rPr>
          <w:sz w:val="20"/>
        </w:rPr>
        <w:t>la materia previene;</w:t>
      </w:r>
    </w:p>
    <w:p>
      <w:pPr>
        <w:pStyle w:val="ListParagraph"/>
        <w:numPr>
          <w:ilvl w:val="0"/>
          <w:numId w:val="344"/>
        </w:numPr>
        <w:tabs>
          <w:tab w:pos="1195" w:val="left" w:leader="none"/>
        </w:tabs>
        <w:spacing w:line="242" w:lineRule="auto" w:before="226" w:after="0"/>
        <w:ind w:left="1195" w:right="333" w:hanging="569"/>
        <w:jc w:val="left"/>
        <w:rPr>
          <w:sz w:val="20"/>
        </w:rPr>
      </w:pPr>
      <w:r>
        <w:rPr>
          <w:sz w:val="20"/>
        </w:rPr>
        <w:t>Presentar</w:t>
      </w:r>
      <w:r>
        <w:rPr>
          <w:spacing w:val="77"/>
          <w:sz w:val="20"/>
        </w:rPr>
        <w:t> </w:t>
      </w:r>
      <w:r>
        <w:rPr>
          <w:sz w:val="20"/>
        </w:rPr>
        <w:t>para</w:t>
      </w:r>
      <w:r>
        <w:rPr>
          <w:spacing w:val="77"/>
          <w:sz w:val="20"/>
        </w:rPr>
        <w:t> </w:t>
      </w:r>
      <w:r>
        <w:rPr>
          <w:sz w:val="20"/>
        </w:rPr>
        <w:t>su</w:t>
      </w:r>
      <w:r>
        <w:rPr>
          <w:spacing w:val="77"/>
          <w:sz w:val="20"/>
        </w:rPr>
        <w:t> </w:t>
      </w:r>
      <w:r>
        <w:rPr>
          <w:sz w:val="20"/>
        </w:rPr>
        <w:t>autorización</w:t>
      </w:r>
      <w:r>
        <w:rPr>
          <w:spacing w:val="76"/>
          <w:sz w:val="20"/>
        </w:rPr>
        <w:t> </w:t>
      </w:r>
      <w:r>
        <w:rPr>
          <w:sz w:val="20"/>
        </w:rPr>
        <w:t>al</w:t>
      </w:r>
      <w:r>
        <w:rPr>
          <w:spacing w:val="76"/>
          <w:sz w:val="20"/>
        </w:rPr>
        <w:t> </w:t>
      </w:r>
      <w:r>
        <w:rPr>
          <w:sz w:val="20"/>
        </w:rPr>
        <w:t>Tribunal,</w:t>
      </w:r>
      <w:r>
        <w:rPr>
          <w:spacing w:val="79"/>
          <w:sz w:val="20"/>
        </w:rPr>
        <w:t> </w:t>
      </w:r>
      <w:r>
        <w:rPr>
          <w:sz w:val="20"/>
        </w:rPr>
        <w:t>los</w:t>
      </w:r>
      <w:r>
        <w:rPr>
          <w:spacing w:val="78"/>
          <w:sz w:val="20"/>
        </w:rPr>
        <w:t> </w:t>
      </w:r>
      <w:r>
        <w:rPr>
          <w:sz w:val="20"/>
        </w:rPr>
        <w:t>presupuestos</w:t>
      </w:r>
      <w:r>
        <w:rPr>
          <w:spacing w:val="77"/>
          <w:sz w:val="20"/>
        </w:rPr>
        <w:t> </w:t>
      </w:r>
      <w:r>
        <w:rPr>
          <w:sz w:val="20"/>
        </w:rPr>
        <w:t>para</w:t>
      </w:r>
      <w:r>
        <w:rPr>
          <w:spacing w:val="77"/>
          <w:sz w:val="20"/>
        </w:rPr>
        <w:t> </w:t>
      </w:r>
      <w:r>
        <w:rPr>
          <w:sz w:val="20"/>
        </w:rPr>
        <w:t>hacer</w:t>
      </w:r>
      <w:r>
        <w:rPr>
          <w:spacing w:val="77"/>
          <w:sz w:val="20"/>
        </w:rPr>
        <w:t> </w:t>
      </w:r>
      <w:r>
        <w:rPr>
          <w:sz w:val="20"/>
        </w:rPr>
        <w:t>los</w:t>
      </w:r>
      <w:r>
        <w:rPr>
          <w:spacing w:val="78"/>
          <w:sz w:val="20"/>
        </w:rPr>
        <w:t> </w:t>
      </w:r>
      <w:r>
        <w:rPr>
          <w:sz w:val="20"/>
        </w:rPr>
        <w:t>gastos</w:t>
      </w:r>
      <w:r>
        <w:rPr>
          <w:spacing w:val="77"/>
          <w:sz w:val="20"/>
        </w:rPr>
        <w:t> </w:t>
      </w:r>
      <w:r>
        <w:rPr>
          <w:sz w:val="20"/>
        </w:rPr>
        <w:t>de reparación o de construcción;</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ListParagraph"/>
        <w:numPr>
          <w:ilvl w:val="0"/>
          <w:numId w:val="344"/>
        </w:numPr>
        <w:tabs>
          <w:tab w:pos="1195" w:val="left" w:leader="none"/>
        </w:tabs>
        <w:spacing w:line="240" w:lineRule="auto" w:before="0" w:after="0"/>
        <w:ind w:left="1195" w:right="0" w:hanging="569"/>
        <w:jc w:val="left"/>
        <w:rPr>
          <w:sz w:val="20"/>
        </w:rPr>
      </w:pPr>
      <w:r>
        <w:rPr>
          <w:sz w:val="20"/>
        </w:rPr>
        <w:t>Pagar,</w:t>
      </w:r>
      <w:r>
        <w:rPr>
          <w:spacing w:val="-8"/>
          <w:sz w:val="20"/>
        </w:rPr>
        <w:t> </w:t>
      </w:r>
      <w:r>
        <w:rPr>
          <w:sz w:val="20"/>
        </w:rPr>
        <w:t>previa</w:t>
      </w:r>
      <w:r>
        <w:rPr>
          <w:spacing w:val="-8"/>
          <w:sz w:val="20"/>
        </w:rPr>
        <w:t> </w:t>
      </w:r>
      <w:r>
        <w:rPr>
          <w:sz w:val="20"/>
        </w:rPr>
        <w:t>autorización</w:t>
      </w:r>
      <w:r>
        <w:rPr>
          <w:spacing w:val="-8"/>
          <w:sz w:val="20"/>
        </w:rPr>
        <w:t> </w:t>
      </w:r>
      <w:r>
        <w:rPr>
          <w:sz w:val="20"/>
        </w:rPr>
        <w:t>del</w:t>
      </w:r>
      <w:r>
        <w:rPr>
          <w:spacing w:val="-8"/>
          <w:sz w:val="20"/>
        </w:rPr>
        <w:t> </w:t>
      </w:r>
      <w:r>
        <w:rPr>
          <w:sz w:val="20"/>
        </w:rPr>
        <w:t>Tribunal,</w:t>
      </w:r>
      <w:r>
        <w:rPr>
          <w:spacing w:val="-8"/>
          <w:sz w:val="20"/>
        </w:rPr>
        <w:t> </w:t>
      </w:r>
      <w:r>
        <w:rPr>
          <w:sz w:val="20"/>
        </w:rPr>
        <w:t>los</w:t>
      </w:r>
      <w:r>
        <w:rPr>
          <w:spacing w:val="-8"/>
          <w:sz w:val="20"/>
        </w:rPr>
        <w:t> </w:t>
      </w:r>
      <w:r>
        <w:rPr>
          <w:sz w:val="20"/>
        </w:rPr>
        <w:t>gravámenes</w:t>
      </w:r>
      <w:r>
        <w:rPr>
          <w:spacing w:val="-7"/>
          <w:sz w:val="20"/>
        </w:rPr>
        <w:t> </w:t>
      </w:r>
      <w:r>
        <w:rPr>
          <w:sz w:val="20"/>
        </w:rPr>
        <w:t>que</w:t>
      </w:r>
      <w:r>
        <w:rPr>
          <w:spacing w:val="-8"/>
          <w:sz w:val="20"/>
        </w:rPr>
        <w:t> </w:t>
      </w:r>
      <w:r>
        <w:rPr>
          <w:sz w:val="20"/>
        </w:rPr>
        <w:t>reporta</w:t>
      </w:r>
      <w:r>
        <w:rPr>
          <w:spacing w:val="-6"/>
          <w:sz w:val="20"/>
        </w:rPr>
        <w:t> </w:t>
      </w:r>
      <w:r>
        <w:rPr>
          <w:sz w:val="20"/>
        </w:rPr>
        <w:t>la</w:t>
      </w:r>
      <w:r>
        <w:rPr>
          <w:spacing w:val="-6"/>
          <w:sz w:val="20"/>
        </w:rPr>
        <w:t> </w:t>
      </w:r>
      <w:r>
        <w:rPr>
          <w:sz w:val="20"/>
        </w:rPr>
        <w:t>finca,</w:t>
      </w:r>
      <w:r>
        <w:rPr>
          <w:spacing w:val="-5"/>
          <w:sz w:val="20"/>
        </w:rPr>
        <w:t> </w:t>
      </w:r>
      <w:r>
        <w:rPr>
          <w:spacing w:val="-10"/>
          <w:sz w:val="20"/>
        </w:rPr>
        <w:t>y</w:t>
      </w:r>
    </w:p>
    <w:p>
      <w:pPr>
        <w:spacing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44"/>
        </w:numPr>
        <w:tabs>
          <w:tab w:pos="1195" w:val="left" w:leader="none"/>
        </w:tabs>
        <w:spacing w:line="242" w:lineRule="auto" w:before="0" w:after="0"/>
        <w:ind w:left="1195" w:right="339" w:hanging="569"/>
        <w:jc w:val="left"/>
        <w:rPr>
          <w:sz w:val="20"/>
        </w:rPr>
      </w:pPr>
      <w:r>
        <w:rPr>
          <w:sz w:val="20"/>
        </w:rPr>
        <w:t>Rendir cuentas mensuales de su gestión y entregar el remanente en un billete de depósito, que pondrá a disposición del Tribunal.</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82" w:firstLine="288"/>
      </w:pPr>
      <w:r>
        <w:rPr/>
        <w:t>El depositario que falte al cumplimiento de las obligaciones señaladas en este artículo, será acreedor</w:t>
      </w:r>
      <w:r>
        <w:rPr>
          <w:spacing w:val="40"/>
        </w:rPr>
        <w:t> </w:t>
      </w:r>
      <w:r>
        <w:rPr/>
        <w:t>a las sanciones previstas en las leyes respectivas.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338" w:firstLine="288"/>
      </w:pPr>
      <w:bookmarkStart w:name="Artículo_964" w:id="1209"/>
      <w:bookmarkEnd w:id="1209"/>
      <w:r>
        <w:rPr/>
      </w:r>
      <w:r>
        <w:rPr>
          <w:rFonts w:ascii="Arial" w:hAnsi="Arial"/>
          <w:b/>
        </w:rPr>
        <w:t>Artículo</w:t>
      </w:r>
      <w:r>
        <w:rPr>
          <w:rFonts w:ascii="Arial" w:hAnsi="Arial"/>
          <w:b/>
          <w:spacing w:val="33"/>
        </w:rPr>
        <w:t> </w:t>
      </w:r>
      <w:r>
        <w:rPr>
          <w:rFonts w:ascii="Arial" w:hAnsi="Arial"/>
          <w:b/>
        </w:rPr>
        <w:t>964.-</w:t>
      </w:r>
      <w:r>
        <w:rPr>
          <w:rFonts w:ascii="Arial" w:hAnsi="Arial"/>
          <w:b/>
          <w:spacing w:val="33"/>
        </w:rPr>
        <w:t> </w:t>
      </w:r>
      <w:r>
        <w:rPr/>
        <w:t>Si</w:t>
      </w:r>
      <w:r>
        <w:rPr>
          <w:spacing w:val="29"/>
        </w:rPr>
        <w:t> </w:t>
      </w:r>
      <w:r>
        <w:rPr/>
        <w:t>el</w:t>
      </w:r>
      <w:r>
        <w:rPr>
          <w:spacing w:val="31"/>
        </w:rPr>
        <w:t> </w:t>
      </w:r>
      <w:r>
        <w:rPr/>
        <w:t>embargo</w:t>
      </w:r>
      <w:r>
        <w:rPr>
          <w:spacing w:val="29"/>
        </w:rPr>
        <w:t> </w:t>
      </w:r>
      <w:r>
        <w:rPr/>
        <w:t>recae</w:t>
      </w:r>
      <w:r>
        <w:rPr>
          <w:spacing w:val="31"/>
        </w:rPr>
        <w:t> </w:t>
      </w:r>
      <w:r>
        <w:rPr/>
        <w:t>en</w:t>
      </w:r>
      <w:r>
        <w:rPr>
          <w:spacing w:val="31"/>
        </w:rPr>
        <w:t> </w:t>
      </w:r>
      <w:r>
        <w:rPr/>
        <w:t>una</w:t>
      </w:r>
      <w:r>
        <w:rPr>
          <w:spacing w:val="30"/>
        </w:rPr>
        <w:t> </w:t>
      </w:r>
      <w:r>
        <w:rPr/>
        <w:t>empresa</w:t>
      </w:r>
      <w:r>
        <w:rPr>
          <w:spacing w:val="30"/>
        </w:rPr>
        <w:t> </w:t>
      </w:r>
      <w:r>
        <w:rPr/>
        <w:t>o</w:t>
      </w:r>
      <w:r>
        <w:rPr>
          <w:spacing w:val="32"/>
        </w:rPr>
        <w:t> </w:t>
      </w:r>
      <w:r>
        <w:rPr/>
        <w:t>establecimiento,</w:t>
      </w:r>
      <w:r>
        <w:rPr>
          <w:spacing w:val="30"/>
        </w:rPr>
        <w:t> </w:t>
      </w:r>
      <w:r>
        <w:rPr/>
        <w:t>se</w:t>
      </w:r>
      <w:r>
        <w:rPr>
          <w:spacing w:val="32"/>
        </w:rPr>
        <w:t> </w:t>
      </w:r>
      <w:r>
        <w:rPr/>
        <w:t>observarán</w:t>
      </w:r>
      <w:r>
        <w:rPr>
          <w:spacing w:val="30"/>
        </w:rPr>
        <w:t> </w:t>
      </w:r>
      <w:r>
        <w:rPr/>
        <w:t>las</w:t>
      </w:r>
      <w:r>
        <w:rPr>
          <w:spacing w:val="31"/>
        </w:rPr>
        <w:t> </w:t>
      </w:r>
      <w:r>
        <w:rPr/>
        <w:t>normas </w:t>
      </w:r>
      <w:r>
        <w:rPr>
          <w:spacing w:val="-2"/>
        </w:rPr>
        <w:t>siguientes:</w:t>
      </w:r>
    </w:p>
    <w:p>
      <w:pPr>
        <w:pStyle w:val="ListParagraph"/>
        <w:numPr>
          <w:ilvl w:val="0"/>
          <w:numId w:val="345"/>
        </w:numPr>
        <w:tabs>
          <w:tab w:pos="1195" w:val="left" w:leader="none"/>
        </w:tabs>
        <w:spacing w:line="240" w:lineRule="auto" w:before="229" w:after="0"/>
        <w:ind w:left="1195" w:right="0" w:hanging="569"/>
        <w:jc w:val="left"/>
        <w:rPr>
          <w:sz w:val="20"/>
        </w:rPr>
      </w:pPr>
      <w:r>
        <w:rPr>
          <w:sz w:val="20"/>
        </w:rPr>
        <w:t>El</w:t>
      </w:r>
      <w:r>
        <w:rPr>
          <w:spacing w:val="-7"/>
          <w:sz w:val="20"/>
        </w:rPr>
        <w:t> </w:t>
      </w:r>
      <w:r>
        <w:rPr>
          <w:sz w:val="20"/>
        </w:rPr>
        <w:t>depositario</w:t>
      </w:r>
      <w:r>
        <w:rPr>
          <w:spacing w:val="-8"/>
          <w:sz w:val="20"/>
        </w:rPr>
        <w:t> </w:t>
      </w:r>
      <w:r>
        <w:rPr>
          <w:sz w:val="20"/>
        </w:rPr>
        <w:t>será</w:t>
      </w:r>
      <w:r>
        <w:rPr>
          <w:spacing w:val="-5"/>
          <w:sz w:val="20"/>
        </w:rPr>
        <w:t> </w:t>
      </w:r>
      <w:r>
        <w:rPr>
          <w:sz w:val="20"/>
        </w:rPr>
        <w:t>interventor</w:t>
      </w:r>
      <w:r>
        <w:rPr>
          <w:spacing w:val="-8"/>
          <w:sz w:val="20"/>
        </w:rPr>
        <w:t> </w:t>
      </w:r>
      <w:r>
        <w:rPr>
          <w:sz w:val="20"/>
        </w:rPr>
        <w:t>con</w:t>
      </w:r>
      <w:r>
        <w:rPr>
          <w:spacing w:val="-8"/>
          <w:sz w:val="20"/>
        </w:rPr>
        <w:t> </w:t>
      </w:r>
      <w:r>
        <w:rPr>
          <w:sz w:val="20"/>
        </w:rPr>
        <w:t>cargo</w:t>
      </w:r>
      <w:r>
        <w:rPr>
          <w:spacing w:val="-6"/>
          <w:sz w:val="20"/>
        </w:rPr>
        <w:t> </w:t>
      </w:r>
      <w:r>
        <w:rPr>
          <w:sz w:val="20"/>
        </w:rPr>
        <w:t>a</w:t>
      </w:r>
      <w:r>
        <w:rPr>
          <w:spacing w:val="-6"/>
          <w:sz w:val="20"/>
        </w:rPr>
        <w:t> </w:t>
      </w:r>
      <w:r>
        <w:rPr>
          <w:sz w:val="20"/>
        </w:rPr>
        <w:t>la</w:t>
      </w:r>
      <w:r>
        <w:rPr>
          <w:spacing w:val="-7"/>
          <w:sz w:val="20"/>
        </w:rPr>
        <w:t> </w:t>
      </w:r>
      <w:r>
        <w:rPr>
          <w:sz w:val="20"/>
        </w:rPr>
        <w:t>caja,</w:t>
      </w:r>
      <w:r>
        <w:rPr>
          <w:spacing w:val="-6"/>
          <w:sz w:val="20"/>
        </w:rPr>
        <w:t> </w:t>
      </w:r>
      <w:r>
        <w:rPr>
          <w:sz w:val="20"/>
        </w:rPr>
        <w:t>estando</w:t>
      </w:r>
      <w:r>
        <w:rPr>
          <w:spacing w:val="-6"/>
          <w:sz w:val="20"/>
        </w:rPr>
        <w:t> </w:t>
      </w:r>
      <w:r>
        <w:rPr>
          <w:sz w:val="20"/>
        </w:rPr>
        <w:t>obligado</w:t>
      </w:r>
      <w:r>
        <w:rPr>
          <w:spacing w:val="-7"/>
          <w:sz w:val="20"/>
        </w:rPr>
        <w:t> </w:t>
      </w:r>
      <w:r>
        <w:rPr>
          <w:spacing w:val="-5"/>
          <w:sz w:val="20"/>
        </w:rPr>
        <w:t>a:</w:t>
      </w:r>
    </w:p>
    <w:p>
      <w:pPr>
        <w:pStyle w:val="BodyText"/>
        <w:spacing w:before="1"/>
      </w:pPr>
    </w:p>
    <w:p>
      <w:pPr>
        <w:pStyle w:val="ListParagraph"/>
        <w:numPr>
          <w:ilvl w:val="1"/>
          <w:numId w:val="345"/>
        </w:numPr>
        <w:tabs>
          <w:tab w:pos="1761" w:val="left" w:leader="none"/>
        </w:tabs>
        <w:spacing w:line="240" w:lineRule="auto" w:before="0" w:after="0"/>
        <w:ind w:left="1761" w:right="0" w:hanging="566"/>
        <w:jc w:val="left"/>
        <w:rPr>
          <w:sz w:val="20"/>
        </w:rPr>
      </w:pPr>
      <w:r>
        <w:rPr>
          <w:sz w:val="20"/>
        </w:rPr>
        <w:t>Vigilar</w:t>
      </w:r>
      <w:r>
        <w:rPr>
          <w:spacing w:val="-6"/>
          <w:sz w:val="20"/>
        </w:rPr>
        <w:t> </w:t>
      </w:r>
      <w:r>
        <w:rPr>
          <w:sz w:val="20"/>
        </w:rPr>
        <w:t>la</w:t>
      </w:r>
      <w:r>
        <w:rPr>
          <w:spacing w:val="-6"/>
          <w:sz w:val="20"/>
        </w:rPr>
        <w:t> </w:t>
      </w:r>
      <w:r>
        <w:rPr>
          <w:spacing w:val="-2"/>
          <w:sz w:val="20"/>
        </w:rPr>
        <w:t>contabilidad:</w:t>
      </w:r>
    </w:p>
    <w:p>
      <w:pPr>
        <w:pStyle w:val="ListParagraph"/>
        <w:numPr>
          <w:ilvl w:val="1"/>
          <w:numId w:val="345"/>
        </w:numPr>
        <w:tabs>
          <w:tab w:pos="1759" w:val="left" w:leader="none"/>
          <w:tab w:pos="1762" w:val="left" w:leader="none"/>
        </w:tabs>
        <w:spacing w:line="242" w:lineRule="auto" w:before="229" w:after="0"/>
        <w:ind w:left="1762" w:right="342" w:hanging="567"/>
        <w:jc w:val="both"/>
        <w:rPr>
          <w:sz w:val="20"/>
        </w:rPr>
      </w:pPr>
      <w:r>
        <w:rPr>
          <w:sz w:val="20"/>
        </w:rPr>
        <w:t>Administrar el manejo de la negociación o empresa y las operaciones que en ella se practiquen, a fin de que produzcan el mejor rendimiento posible; y los demás actos inherentes a su cargo.</w:t>
      </w:r>
    </w:p>
    <w:p>
      <w:pPr>
        <w:pStyle w:val="ListParagraph"/>
        <w:numPr>
          <w:ilvl w:val="0"/>
          <w:numId w:val="345"/>
        </w:numPr>
        <w:tabs>
          <w:tab w:pos="1192" w:val="left" w:leader="none"/>
          <w:tab w:pos="1195" w:val="left" w:leader="none"/>
        </w:tabs>
        <w:spacing w:line="240" w:lineRule="auto" w:before="224" w:after="0"/>
        <w:ind w:left="1195" w:right="336" w:hanging="569"/>
        <w:jc w:val="both"/>
        <w:rPr>
          <w:sz w:val="20"/>
        </w:rPr>
      </w:pPr>
      <w:r>
        <w:rPr>
          <w:sz w:val="20"/>
        </w:rPr>
        <w:t>Si el depositario considera que la administración no se hace convenientemente o que pueda perjudicar los derechos del embargante, lo pondrá en conocimiento del juez, para que éste, oyendo a las partes y al interventor en una audiencia, resuelva lo que estime conveniente, 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ListParagraph"/>
        <w:numPr>
          <w:ilvl w:val="0"/>
          <w:numId w:val="345"/>
        </w:numPr>
        <w:tabs>
          <w:tab w:pos="1191" w:val="left" w:leader="none"/>
          <w:tab w:pos="1195" w:val="left" w:leader="none"/>
        </w:tabs>
        <w:spacing w:line="240" w:lineRule="auto" w:before="0" w:after="0"/>
        <w:ind w:left="1195" w:right="341" w:hanging="569"/>
        <w:jc w:val="both"/>
        <w:rPr>
          <w:sz w:val="20"/>
        </w:rPr>
      </w:pPr>
      <w:r>
        <w:rPr>
          <w:sz w:val="20"/>
        </w:rPr>
        <w:t>Siempre que el depositario sea un tercero, otorgará fianza ante el Tribunal, por la suma que se determine y rendirá cuenta de su gestión en los términos y forma que señale el mismo;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ListParagraph"/>
        <w:numPr>
          <w:ilvl w:val="0"/>
          <w:numId w:val="345"/>
        </w:numPr>
        <w:tabs>
          <w:tab w:pos="1195" w:val="left" w:leader="none"/>
        </w:tabs>
        <w:spacing w:line="240" w:lineRule="auto" w:before="0" w:after="0"/>
        <w:ind w:left="1195" w:right="342" w:hanging="569"/>
        <w:jc w:val="both"/>
        <w:rPr>
          <w:sz w:val="20"/>
        </w:rPr>
      </w:pPr>
      <w:r>
        <w:rPr>
          <w:sz w:val="20"/>
        </w:rPr>
        <w:t>Una vez designado el interventor con cargo a la caja, el Tribunal dentro de los tres días siguientes, comunicará la designación a la Comisión Nacional Bancaría y de Valores, Instituto Mexicano del Seguro Social, Instituto del Fondo Nacional de la Vivienda para los Trabajadores, u homólogos, a la Administradora de Fondos para el Retiro correspondiente, al Sistema de Administración Tributaria, así como a los deudores y acreedores cuyo domicilio proporcione el patrón embargado, 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ListParagraph"/>
        <w:numPr>
          <w:ilvl w:val="0"/>
          <w:numId w:val="345"/>
        </w:numPr>
        <w:tabs>
          <w:tab w:pos="1195" w:val="left" w:leader="none"/>
        </w:tabs>
        <w:spacing w:line="242" w:lineRule="auto" w:before="1" w:after="0"/>
        <w:ind w:left="1195" w:right="344" w:hanging="569"/>
        <w:jc w:val="left"/>
        <w:rPr>
          <w:sz w:val="20"/>
        </w:rPr>
      </w:pPr>
      <w:r>
        <w:rPr>
          <w:sz w:val="20"/>
        </w:rPr>
        <w:t>El</w:t>
      </w:r>
      <w:r>
        <w:rPr>
          <w:spacing w:val="40"/>
          <w:sz w:val="20"/>
        </w:rPr>
        <w:t> </w:t>
      </w:r>
      <w:r>
        <w:rPr>
          <w:sz w:val="20"/>
        </w:rPr>
        <w:t>embargado</w:t>
      </w:r>
      <w:r>
        <w:rPr>
          <w:spacing w:val="40"/>
          <w:sz w:val="20"/>
        </w:rPr>
        <w:t> </w:t>
      </w:r>
      <w:r>
        <w:rPr>
          <w:sz w:val="20"/>
        </w:rPr>
        <w:t>dentro</w:t>
      </w:r>
      <w:r>
        <w:rPr>
          <w:spacing w:val="40"/>
          <w:sz w:val="20"/>
        </w:rPr>
        <w:t> </w:t>
      </w:r>
      <w:r>
        <w:rPr>
          <w:sz w:val="20"/>
        </w:rPr>
        <w:t>de</w:t>
      </w:r>
      <w:r>
        <w:rPr>
          <w:spacing w:val="40"/>
          <w:sz w:val="20"/>
        </w:rPr>
        <w:t> </w:t>
      </w:r>
      <w:r>
        <w:rPr>
          <w:sz w:val="20"/>
        </w:rPr>
        <w:t>los</w:t>
      </w:r>
      <w:r>
        <w:rPr>
          <w:spacing w:val="40"/>
          <w:sz w:val="20"/>
        </w:rPr>
        <w:t> </w:t>
      </w:r>
      <w:r>
        <w:rPr>
          <w:sz w:val="20"/>
        </w:rPr>
        <w:t>tres</w:t>
      </w:r>
      <w:r>
        <w:rPr>
          <w:spacing w:val="40"/>
          <w:sz w:val="20"/>
        </w:rPr>
        <w:t> </w:t>
      </w:r>
      <w:r>
        <w:rPr>
          <w:sz w:val="20"/>
        </w:rPr>
        <w:t>días</w:t>
      </w:r>
      <w:r>
        <w:rPr>
          <w:spacing w:val="40"/>
          <w:sz w:val="20"/>
        </w:rPr>
        <w:t> </w:t>
      </w:r>
      <w:r>
        <w:rPr>
          <w:sz w:val="20"/>
        </w:rPr>
        <w:t>siguientes,</w:t>
      </w:r>
      <w:r>
        <w:rPr>
          <w:spacing w:val="40"/>
          <w:sz w:val="20"/>
        </w:rPr>
        <w:t> </w:t>
      </w:r>
      <w:r>
        <w:rPr>
          <w:sz w:val="20"/>
        </w:rPr>
        <w:t>exhibirá</w:t>
      </w:r>
      <w:r>
        <w:rPr>
          <w:spacing w:val="40"/>
          <w:sz w:val="20"/>
        </w:rPr>
        <w:t> </w:t>
      </w:r>
      <w:r>
        <w:rPr>
          <w:sz w:val="20"/>
        </w:rPr>
        <w:t>al</w:t>
      </w:r>
      <w:r>
        <w:rPr>
          <w:spacing w:val="40"/>
          <w:sz w:val="20"/>
        </w:rPr>
        <w:t> </w:t>
      </w:r>
      <w:r>
        <w:rPr>
          <w:sz w:val="20"/>
        </w:rPr>
        <w:t>Tribunal</w:t>
      </w:r>
      <w:r>
        <w:rPr>
          <w:spacing w:val="40"/>
          <w:sz w:val="20"/>
        </w:rPr>
        <w:t> </w:t>
      </w:r>
      <w:r>
        <w:rPr>
          <w:sz w:val="20"/>
        </w:rPr>
        <w:t>la</w:t>
      </w:r>
      <w:r>
        <w:rPr>
          <w:spacing w:val="40"/>
          <w:sz w:val="20"/>
        </w:rPr>
        <w:t> </w:t>
      </w:r>
      <w:r>
        <w:rPr>
          <w:sz w:val="20"/>
        </w:rPr>
        <w:t>documentación</w:t>
      </w:r>
      <w:r>
        <w:rPr>
          <w:spacing w:val="40"/>
          <w:sz w:val="20"/>
        </w:rPr>
        <w:t> </w:t>
      </w:r>
      <w:r>
        <w:rPr>
          <w:sz w:val="20"/>
        </w:rPr>
        <w:t>e información necesaria que deba ser del conocimiento del interventor con cargo a la caja.</w:t>
      </w:r>
    </w:p>
    <w:p>
      <w:pPr>
        <w:pStyle w:val="ListParagraph"/>
        <w:spacing w:after="0" w:line="242" w:lineRule="auto"/>
        <w:jc w:val="left"/>
        <w:rPr>
          <w:sz w:val="20"/>
        </w:rPr>
        <w:sectPr>
          <w:pgSz w:w="12240" w:h="15840"/>
          <w:pgMar w:header="724" w:footer="712" w:top="1880" w:bottom="900" w:left="1080" w:right="1080"/>
        </w:sectPr>
      </w:pPr>
    </w:p>
    <w:p>
      <w:pPr>
        <w:pStyle w:val="BodyText"/>
        <w:spacing w:before="109"/>
        <w:rPr>
          <w:sz w:val="16"/>
        </w:rPr>
      </w:pPr>
    </w:p>
    <w:p>
      <w:pPr>
        <w:spacing w:before="0"/>
        <w:ind w:left="7302" w:right="333" w:hanging="6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2"/>
        <w:rPr>
          <w:rFonts w:ascii="Times New Roman"/>
          <w:i/>
        </w:rPr>
      </w:pPr>
    </w:p>
    <w:p>
      <w:pPr>
        <w:spacing w:before="0"/>
        <w:ind w:left="626" w:right="0" w:firstLine="0"/>
        <w:jc w:val="left"/>
        <w:rPr>
          <w:sz w:val="20"/>
        </w:rPr>
      </w:pPr>
      <w:bookmarkStart w:name="Artículo_965" w:id="1210"/>
      <w:bookmarkEnd w:id="1210"/>
      <w:r>
        <w:rPr/>
      </w:r>
      <w:r>
        <w:rPr>
          <w:rFonts w:ascii="Arial" w:hAnsi="Arial"/>
          <w:b/>
          <w:sz w:val="20"/>
        </w:rPr>
        <w:t>Artículo</w:t>
      </w:r>
      <w:r>
        <w:rPr>
          <w:rFonts w:ascii="Arial" w:hAnsi="Arial"/>
          <w:b/>
          <w:spacing w:val="-6"/>
          <w:sz w:val="20"/>
        </w:rPr>
        <w:t> </w:t>
      </w:r>
      <w:r>
        <w:rPr>
          <w:rFonts w:ascii="Arial" w:hAnsi="Arial"/>
          <w:b/>
          <w:sz w:val="20"/>
        </w:rPr>
        <w:t>965.-</w:t>
      </w:r>
      <w:r>
        <w:rPr>
          <w:rFonts w:ascii="Arial" w:hAnsi="Arial"/>
          <w:b/>
          <w:spacing w:val="-4"/>
          <w:sz w:val="20"/>
        </w:rPr>
        <w:t> </w:t>
      </w:r>
      <w:r>
        <w:rPr>
          <w:sz w:val="20"/>
        </w:rPr>
        <w:t>El</w:t>
      </w:r>
      <w:r>
        <w:rPr>
          <w:spacing w:val="-6"/>
          <w:sz w:val="20"/>
        </w:rPr>
        <w:t> </w:t>
      </w:r>
      <w:r>
        <w:rPr>
          <w:sz w:val="20"/>
        </w:rPr>
        <w:t>actor</w:t>
      </w:r>
      <w:r>
        <w:rPr>
          <w:spacing w:val="-7"/>
          <w:sz w:val="20"/>
        </w:rPr>
        <w:t> </w:t>
      </w:r>
      <w:r>
        <w:rPr>
          <w:sz w:val="20"/>
        </w:rPr>
        <w:t>puede</w:t>
      </w:r>
      <w:r>
        <w:rPr>
          <w:spacing w:val="-8"/>
          <w:sz w:val="20"/>
        </w:rPr>
        <w:t> </w:t>
      </w:r>
      <w:r>
        <w:rPr>
          <w:sz w:val="20"/>
        </w:rPr>
        <w:t>pedir</w:t>
      </w:r>
      <w:r>
        <w:rPr>
          <w:spacing w:val="-4"/>
          <w:sz w:val="20"/>
        </w:rPr>
        <w:t> </w:t>
      </w:r>
      <w:r>
        <w:rPr>
          <w:sz w:val="20"/>
        </w:rPr>
        <w:t>la</w:t>
      </w:r>
      <w:r>
        <w:rPr>
          <w:spacing w:val="-5"/>
          <w:sz w:val="20"/>
        </w:rPr>
        <w:t> </w:t>
      </w:r>
      <w:r>
        <w:rPr>
          <w:sz w:val="20"/>
        </w:rPr>
        <w:t>ampliación</w:t>
      </w:r>
      <w:r>
        <w:rPr>
          <w:spacing w:val="-7"/>
          <w:sz w:val="20"/>
        </w:rPr>
        <w:t> </w:t>
      </w:r>
      <w:r>
        <w:rPr>
          <w:sz w:val="20"/>
        </w:rPr>
        <w:t>del</w:t>
      </w:r>
      <w:r>
        <w:rPr>
          <w:spacing w:val="-6"/>
          <w:sz w:val="20"/>
        </w:rPr>
        <w:t> </w:t>
      </w:r>
      <w:r>
        <w:rPr>
          <w:spacing w:val="-2"/>
          <w:sz w:val="20"/>
        </w:rPr>
        <w:t>embargo:</w:t>
      </w:r>
    </w:p>
    <w:p>
      <w:pPr>
        <w:pStyle w:val="ListParagraph"/>
        <w:numPr>
          <w:ilvl w:val="0"/>
          <w:numId w:val="346"/>
        </w:numPr>
        <w:tabs>
          <w:tab w:pos="1195" w:val="left" w:leader="none"/>
        </w:tabs>
        <w:spacing w:line="242" w:lineRule="auto" w:before="228" w:after="0"/>
        <w:ind w:left="1195" w:right="346" w:hanging="569"/>
        <w:jc w:val="left"/>
        <w:rPr>
          <w:sz w:val="20"/>
        </w:rPr>
      </w:pPr>
      <w:r>
        <w:rPr>
          <w:sz w:val="20"/>
        </w:rPr>
        <w:t>Cuando no basten los bienes embargados para cubrir las cantidades por las que se despachó ejecución, después de rendido el avalúo de los mismos; y</w:t>
      </w:r>
    </w:p>
    <w:p>
      <w:pPr>
        <w:pStyle w:val="ListParagraph"/>
        <w:numPr>
          <w:ilvl w:val="0"/>
          <w:numId w:val="346"/>
        </w:numPr>
        <w:tabs>
          <w:tab w:pos="1195" w:val="left" w:leader="none"/>
        </w:tabs>
        <w:spacing w:line="229" w:lineRule="exact" w:before="227" w:after="0"/>
        <w:ind w:left="1195" w:right="0" w:hanging="569"/>
        <w:jc w:val="left"/>
        <w:rPr>
          <w:sz w:val="20"/>
        </w:rPr>
      </w:pPr>
      <w:r>
        <w:rPr>
          <w:sz w:val="20"/>
        </w:rPr>
        <w:t>Cuando</w:t>
      </w:r>
      <w:r>
        <w:rPr>
          <w:spacing w:val="-8"/>
          <w:sz w:val="20"/>
        </w:rPr>
        <w:t> </w:t>
      </w:r>
      <w:r>
        <w:rPr>
          <w:sz w:val="20"/>
        </w:rPr>
        <w:t>se</w:t>
      </w:r>
      <w:r>
        <w:rPr>
          <w:spacing w:val="-5"/>
          <w:sz w:val="20"/>
        </w:rPr>
        <w:t> </w:t>
      </w:r>
      <w:r>
        <w:rPr>
          <w:sz w:val="20"/>
        </w:rPr>
        <w:t>promueva</w:t>
      </w:r>
      <w:r>
        <w:rPr>
          <w:spacing w:val="-6"/>
          <w:sz w:val="20"/>
        </w:rPr>
        <w:t> </w:t>
      </w:r>
      <w:r>
        <w:rPr>
          <w:sz w:val="20"/>
        </w:rPr>
        <w:t>una</w:t>
      </w:r>
      <w:r>
        <w:rPr>
          <w:spacing w:val="-8"/>
          <w:sz w:val="20"/>
        </w:rPr>
        <w:t> </w:t>
      </w:r>
      <w:r>
        <w:rPr>
          <w:sz w:val="20"/>
        </w:rPr>
        <w:t>tercería</w:t>
      </w:r>
      <w:r>
        <w:rPr>
          <w:spacing w:val="-4"/>
          <w:sz w:val="20"/>
        </w:rPr>
        <w:t> </w:t>
      </w:r>
      <w:r>
        <w:rPr>
          <w:sz w:val="20"/>
        </w:rPr>
        <w:t>y</w:t>
      </w:r>
      <w:r>
        <w:rPr>
          <w:spacing w:val="-9"/>
          <w:sz w:val="20"/>
        </w:rPr>
        <w:t> </w:t>
      </w:r>
      <w:r>
        <w:rPr>
          <w:sz w:val="20"/>
        </w:rPr>
        <w:t>se</w:t>
      </w:r>
      <w:r>
        <w:rPr>
          <w:spacing w:val="-5"/>
          <w:sz w:val="20"/>
        </w:rPr>
        <w:t> </w:t>
      </w:r>
      <w:r>
        <w:rPr>
          <w:sz w:val="20"/>
        </w:rPr>
        <w:t>haya</w:t>
      </w:r>
      <w:r>
        <w:rPr>
          <w:spacing w:val="-5"/>
          <w:sz w:val="20"/>
        </w:rPr>
        <w:t> </w:t>
      </w:r>
      <w:r>
        <w:rPr>
          <w:sz w:val="20"/>
        </w:rPr>
        <w:t>dictado</w:t>
      </w:r>
      <w:r>
        <w:rPr>
          <w:spacing w:val="-5"/>
          <w:sz w:val="20"/>
        </w:rPr>
        <w:t> </w:t>
      </w:r>
      <w:r>
        <w:rPr>
          <w:sz w:val="20"/>
        </w:rPr>
        <w:t>auto</w:t>
      </w:r>
      <w:r>
        <w:rPr>
          <w:spacing w:val="-3"/>
          <w:sz w:val="20"/>
        </w:rPr>
        <w:t> </w:t>
      </w:r>
      <w:r>
        <w:rPr>
          <w:spacing w:val="-2"/>
          <w:sz w:val="20"/>
        </w:rPr>
        <w:t>admisorio.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
        <w:rPr>
          <w:rFonts w:ascii="Times New Roman"/>
          <w:i/>
        </w:rPr>
      </w:pPr>
    </w:p>
    <w:p>
      <w:pPr>
        <w:pStyle w:val="BodyText"/>
        <w:ind w:left="338" w:right="357" w:firstLine="288"/>
      </w:pPr>
      <w:r>
        <w:rPr/>
        <w:t>El Tribunal podrá decretar la ampliación si, a su juicio, concurren las circunstancias a que se refieren las fracciones anteriores, sin ponerlo en conocimiento del demandado.</w:t>
      </w:r>
    </w:p>
    <w:p>
      <w:pPr>
        <w:spacing w:before="0"/>
        <w:ind w:left="7302" w:right="333" w:hanging="76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30-11-2012,</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4"/>
        <w:rPr>
          <w:rFonts w:ascii="Times New Roman"/>
          <w:i/>
          <w:sz w:val="16"/>
        </w:rPr>
      </w:pPr>
    </w:p>
    <w:p>
      <w:pPr>
        <w:pStyle w:val="BodyText"/>
        <w:spacing w:line="242" w:lineRule="auto" w:before="1"/>
        <w:ind w:left="338" w:right="342" w:firstLine="288"/>
      </w:pPr>
      <w:bookmarkStart w:name="Artículo_966" w:id="1211"/>
      <w:bookmarkEnd w:id="1211"/>
      <w:r>
        <w:rPr/>
      </w:r>
      <w:r>
        <w:rPr>
          <w:rFonts w:ascii="Arial" w:hAnsi="Arial"/>
          <w:b/>
        </w:rPr>
        <w:t>Artículo</w:t>
      </w:r>
      <w:r>
        <w:rPr>
          <w:rFonts w:ascii="Arial" w:hAnsi="Arial"/>
          <w:b/>
          <w:spacing w:val="25"/>
        </w:rPr>
        <w:t> </w:t>
      </w:r>
      <w:r>
        <w:rPr>
          <w:rFonts w:ascii="Arial" w:hAnsi="Arial"/>
          <w:b/>
        </w:rPr>
        <w:t>966.-</w:t>
      </w:r>
      <w:r>
        <w:rPr>
          <w:rFonts w:ascii="Arial" w:hAnsi="Arial"/>
          <w:b/>
          <w:spacing w:val="23"/>
        </w:rPr>
        <w:t> </w:t>
      </w:r>
      <w:r>
        <w:rPr/>
        <w:t>Cuando se</w:t>
      </w:r>
      <w:r>
        <w:rPr>
          <w:spacing w:val="26"/>
        </w:rPr>
        <w:t> </w:t>
      </w:r>
      <w:r>
        <w:rPr/>
        <w:t>practiquen</w:t>
      </w:r>
      <w:r>
        <w:rPr>
          <w:spacing w:val="24"/>
        </w:rPr>
        <w:t> </w:t>
      </w:r>
      <w:r>
        <w:rPr/>
        <w:t>varios</w:t>
      </w:r>
      <w:r>
        <w:rPr>
          <w:spacing w:val="25"/>
        </w:rPr>
        <w:t> </w:t>
      </w:r>
      <w:r>
        <w:rPr/>
        <w:t>embargos</w:t>
      </w:r>
      <w:r>
        <w:rPr>
          <w:spacing w:val="23"/>
        </w:rPr>
        <w:t> </w:t>
      </w:r>
      <w:r>
        <w:rPr/>
        <w:t>sobre</w:t>
      </w:r>
      <w:r>
        <w:rPr>
          <w:spacing w:val="24"/>
        </w:rPr>
        <w:t> </w:t>
      </w:r>
      <w:r>
        <w:rPr/>
        <w:t>los</w:t>
      </w:r>
      <w:r>
        <w:rPr>
          <w:spacing w:val="23"/>
        </w:rPr>
        <w:t> </w:t>
      </w:r>
      <w:r>
        <w:rPr/>
        <w:t>mismos</w:t>
      </w:r>
      <w:r>
        <w:rPr>
          <w:spacing w:val="23"/>
        </w:rPr>
        <w:t> </w:t>
      </w:r>
      <w:r>
        <w:rPr/>
        <w:t>bienes, se observarán</w:t>
      </w:r>
      <w:r>
        <w:rPr>
          <w:spacing w:val="24"/>
        </w:rPr>
        <w:t> </w:t>
      </w:r>
      <w:r>
        <w:rPr/>
        <w:t>las normas siguientes:</w:t>
      </w:r>
    </w:p>
    <w:p>
      <w:pPr>
        <w:pStyle w:val="ListParagraph"/>
        <w:numPr>
          <w:ilvl w:val="0"/>
          <w:numId w:val="347"/>
        </w:numPr>
        <w:tabs>
          <w:tab w:pos="1193" w:val="left" w:leader="none"/>
          <w:tab w:pos="1195" w:val="left" w:leader="none"/>
        </w:tabs>
        <w:spacing w:line="242" w:lineRule="auto" w:before="224" w:after="0"/>
        <w:ind w:left="1195" w:right="345" w:hanging="569"/>
        <w:jc w:val="both"/>
        <w:rPr>
          <w:sz w:val="20"/>
        </w:rPr>
      </w:pPr>
      <w:r>
        <w:rPr>
          <w:sz w:val="20"/>
        </w:rPr>
        <w:t>Si se practican en ejecución de créditos de trabajo, se pagará en el orden sucesivo de los embargos, salvo el caso de preferencia de derechos;</w:t>
      </w:r>
    </w:p>
    <w:p>
      <w:pPr>
        <w:pStyle w:val="ListParagraph"/>
        <w:numPr>
          <w:ilvl w:val="0"/>
          <w:numId w:val="347"/>
        </w:numPr>
        <w:tabs>
          <w:tab w:pos="1192" w:val="left" w:leader="none"/>
          <w:tab w:pos="1195" w:val="left" w:leader="none"/>
        </w:tabs>
        <w:spacing w:line="240" w:lineRule="auto" w:before="226" w:after="0"/>
        <w:ind w:left="1195" w:right="342" w:hanging="569"/>
        <w:jc w:val="both"/>
        <w:rPr>
          <w:sz w:val="20"/>
        </w:rPr>
      </w:pPr>
      <w:r>
        <w:rPr>
          <w:sz w:val="20"/>
        </w:rPr>
        <w:t>El embargo practicado en ejecución de un crédito de trabajo, aun cuando sea posterior, es preferente sobre los practicados por autoridades distintas al Tribunal siempre que dicho embargo se practique antes que quede fincado el remate.</w:t>
      </w:r>
    </w:p>
    <w:p>
      <w:pPr>
        <w:pStyle w:val="BodyText"/>
        <w:spacing w:before="2"/>
      </w:pPr>
    </w:p>
    <w:p>
      <w:pPr>
        <w:pStyle w:val="BodyText"/>
        <w:ind w:left="1195" w:right="342"/>
        <w:jc w:val="both"/>
      </w:pPr>
      <w:r>
        <w:rPr/>
        <w:t>Cuando el Tribunal tenga conocimiento de la existencia de un embargo, hará saber a la autoridad que lo practicó, que los bienes embargados quedan afectos al pago preferente del crédito de trabajo y continuará los procedimientos de ejecución hasta efectuar el pago. El saldo líquido que resulte después de hacer el pago, se pondrá a disposición de la autoridad que hubiese practicado el embargo.</w:t>
      </w:r>
    </w:p>
    <w:p>
      <w:pPr>
        <w:pStyle w:val="BodyText"/>
      </w:pPr>
    </w:p>
    <w:p>
      <w:pPr>
        <w:pStyle w:val="BodyText"/>
        <w:spacing w:before="1"/>
        <w:ind w:left="1195" w:right="337"/>
        <w:jc w:val="both"/>
      </w:pPr>
      <w:r>
        <w:rPr/>
        <w:t>Las cuestiones de preferencia que se susciten, se tramitarán y resolverán por el Tribunal que conozca del negocio, con exclusión de cualquiera otra autoridad, y</w:t>
      </w:r>
    </w:p>
    <w:p>
      <w:pPr>
        <w:spacing w:line="182"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2"/>
        <w:rPr>
          <w:rFonts w:ascii="Times New Roman"/>
          <w:i/>
          <w:sz w:val="16"/>
        </w:rPr>
      </w:pPr>
    </w:p>
    <w:p>
      <w:pPr>
        <w:pStyle w:val="ListParagraph"/>
        <w:numPr>
          <w:ilvl w:val="0"/>
          <w:numId w:val="347"/>
        </w:numPr>
        <w:tabs>
          <w:tab w:pos="1191" w:val="left" w:leader="none"/>
          <w:tab w:pos="1195" w:val="left" w:leader="none"/>
        </w:tabs>
        <w:spacing w:line="242" w:lineRule="auto" w:before="0" w:after="0"/>
        <w:ind w:left="1195" w:right="339" w:hanging="569"/>
        <w:jc w:val="both"/>
        <w:rPr>
          <w:sz w:val="20"/>
        </w:rPr>
      </w:pPr>
      <w:r>
        <w:rPr>
          <w:sz w:val="20"/>
        </w:rPr>
        <w:t>El que haya reembargado puede continuar la ejecución de la Sentencia o convenio, pero rematados</w:t>
      </w:r>
      <w:r>
        <w:rPr>
          <w:spacing w:val="-3"/>
          <w:sz w:val="20"/>
        </w:rPr>
        <w:t> </w:t>
      </w:r>
      <w:r>
        <w:rPr>
          <w:sz w:val="20"/>
        </w:rPr>
        <w:t>los</w:t>
      </w:r>
      <w:r>
        <w:rPr>
          <w:spacing w:val="-3"/>
          <w:sz w:val="20"/>
        </w:rPr>
        <w:t> </w:t>
      </w:r>
      <w:r>
        <w:rPr>
          <w:sz w:val="20"/>
        </w:rPr>
        <w:t>bienes,</w:t>
      </w:r>
      <w:r>
        <w:rPr>
          <w:spacing w:val="-4"/>
          <w:sz w:val="20"/>
        </w:rPr>
        <w:t> </w:t>
      </w:r>
      <w:r>
        <w:rPr>
          <w:sz w:val="20"/>
        </w:rPr>
        <w:t>se</w:t>
      </w:r>
      <w:r>
        <w:rPr>
          <w:spacing w:val="-2"/>
          <w:sz w:val="20"/>
        </w:rPr>
        <w:t> </w:t>
      </w:r>
      <w:r>
        <w:rPr>
          <w:sz w:val="20"/>
        </w:rPr>
        <w:t>pagará</w:t>
      </w:r>
      <w:r>
        <w:rPr>
          <w:spacing w:val="-1"/>
          <w:sz w:val="20"/>
        </w:rPr>
        <w:t> </w:t>
      </w:r>
      <w:r>
        <w:rPr>
          <w:sz w:val="20"/>
        </w:rPr>
        <w:t>al primer</w:t>
      </w:r>
      <w:r>
        <w:rPr>
          <w:spacing w:val="-4"/>
          <w:sz w:val="20"/>
        </w:rPr>
        <w:t> </w:t>
      </w:r>
      <w:r>
        <w:rPr>
          <w:sz w:val="20"/>
        </w:rPr>
        <w:t>embargante</w:t>
      </w:r>
      <w:r>
        <w:rPr>
          <w:spacing w:val="-4"/>
          <w:sz w:val="20"/>
        </w:rPr>
        <w:t> </w:t>
      </w:r>
      <w:r>
        <w:rPr>
          <w:sz w:val="20"/>
        </w:rPr>
        <w:t>el</w:t>
      </w:r>
      <w:r>
        <w:rPr>
          <w:spacing w:val="-3"/>
          <w:sz w:val="20"/>
        </w:rPr>
        <w:t> </w:t>
      </w:r>
      <w:r>
        <w:rPr>
          <w:sz w:val="20"/>
        </w:rPr>
        <w:t>importe</w:t>
      </w:r>
      <w:r>
        <w:rPr>
          <w:spacing w:val="-4"/>
          <w:sz w:val="20"/>
        </w:rPr>
        <w:t> </w:t>
      </w:r>
      <w:r>
        <w:rPr>
          <w:sz w:val="20"/>
        </w:rPr>
        <w:t>de</w:t>
      </w:r>
      <w:r>
        <w:rPr>
          <w:spacing w:val="-4"/>
          <w:sz w:val="20"/>
        </w:rPr>
        <w:t> </w:t>
      </w:r>
      <w:r>
        <w:rPr>
          <w:sz w:val="20"/>
        </w:rPr>
        <w:t>su</w:t>
      </w:r>
      <w:r>
        <w:rPr>
          <w:spacing w:val="-2"/>
          <w:sz w:val="20"/>
        </w:rPr>
        <w:t> </w:t>
      </w:r>
      <w:r>
        <w:rPr>
          <w:sz w:val="20"/>
        </w:rPr>
        <w:t>crédito, salvo</w:t>
      </w:r>
      <w:r>
        <w:rPr>
          <w:spacing w:val="-4"/>
          <w:sz w:val="20"/>
        </w:rPr>
        <w:t> </w:t>
      </w:r>
      <w:r>
        <w:rPr>
          <w:sz w:val="20"/>
        </w:rPr>
        <w:t>el</w:t>
      </w:r>
      <w:r>
        <w:rPr>
          <w:spacing w:val="-4"/>
          <w:sz w:val="20"/>
        </w:rPr>
        <w:t> </w:t>
      </w:r>
      <w:r>
        <w:rPr>
          <w:sz w:val="20"/>
        </w:rPr>
        <w:t>caso</w:t>
      </w:r>
      <w:r>
        <w:rPr>
          <w:spacing w:val="-2"/>
          <w:sz w:val="20"/>
        </w:rPr>
        <w:t> </w:t>
      </w:r>
      <w:r>
        <w:rPr>
          <w:sz w:val="20"/>
        </w:rPr>
        <w:t>de preferencia de derechos.</w:t>
      </w:r>
    </w:p>
    <w:p>
      <w:pPr>
        <w:spacing w:line="240" w:lineRule="auto" w:before="0"/>
        <w:ind w:left="7302" w:right="333" w:hanging="17"/>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2"/>
        <w:rPr>
          <w:rFonts w:ascii="Times New Roman"/>
          <w:i/>
          <w:sz w:val="16"/>
        </w:rPr>
      </w:pPr>
    </w:p>
    <w:p>
      <w:pPr>
        <w:pStyle w:val="BodyText"/>
        <w:spacing w:before="1"/>
        <w:ind w:left="338" w:right="335" w:firstLine="288"/>
        <w:jc w:val="both"/>
      </w:pPr>
      <w:bookmarkStart w:name="Artículo_966_Bis" w:id="1212"/>
      <w:bookmarkEnd w:id="1212"/>
      <w:r>
        <w:rPr/>
      </w:r>
      <w:r>
        <w:rPr>
          <w:rFonts w:ascii="Arial" w:hAnsi="Arial"/>
          <w:b/>
        </w:rPr>
        <w:t>Artículo 966 Bis.- </w:t>
      </w:r>
      <w:r>
        <w:rPr/>
        <w:t>El Tribunal podrá, a petición de parte, solicitar información ante las autoridades correspondientes sobre la existencia de datos y bienes de la parte que resultará condenada, con la finalidad de cumplimentar la sentencia de manera pronta y expedita. Dicha solicitud procederá únicamente cuando se hubiere acreditado la imposibilidad de llevar a cabo la ejecución de la sentencia.</w:t>
      </w:r>
    </w:p>
    <w:p>
      <w:pPr>
        <w:pStyle w:val="BodyText"/>
        <w:spacing w:before="2"/>
      </w:pPr>
    </w:p>
    <w:p>
      <w:pPr>
        <w:pStyle w:val="BodyText"/>
        <w:ind w:left="338" w:right="337" w:firstLine="288"/>
        <w:jc w:val="both"/>
      </w:pPr>
      <w:r>
        <w:rPr/>
        <w:t>Tratándose de la investigación de cuentas bancarias y el procedimiento de embargo y ejecución, el Tribunal hará uso del Sistema de Atención a Requerimientos de Información de Autoridad o bien el instrumento que para tales efectos implemente la Comisión Nacional Bancaria y de Valores, para lo cual los Tribunales celebrarán convenio con dicha Comisión. Lo anterior, independientemente de dar vista a las autoridades hacendarias, así como al Instituto Mexicano del Seguro Social, Instituto del Fondo Nacional de la Vivienda para los Trabajadores o instituciones homólogas, con el fin de llevar a cabo el cabal cumplimiento de las sentencias laborales.</w:t>
      </w:r>
    </w:p>
    <w:p>
      <w:pPr>
        <w:pStyle w:val="BodyText"/>
        <w:spacing w:after="0"/>
        <w:jc w:val="both"/>
        <w:sectPr>
          <w:pgSz w:w="12240" w:h="15840"/>
          <w:pgMar w:header="724" w:footer="712" w:top="1880" w:bottom="900" w:left="1080" w:right="1080"/>
        </w:sectPr>
      </w:pPr>
    </w:p>
    <w:p>
      <w:pPr>
        <w:pStyle w:val="BodyText"/>
      </w:pPr>
    </w:p>
    <w:p>
      <w:pPr>
        <w:pStyle w:val="BodyText"/>
        <w:spacing w:before="66"/>
      </w:pPr>
    </w:p>
    <w:p>
      <w:pPr>
        <w:pStyle w:val="BodyText"/>
        <w:ind w:left="338" w:right="340" w:firstLine="288"/>
        <w:jc w:val="both"/>
      </w:pPr>
      <w:r>
        <w:rPr/>
        <w:t>Deberá designar perito valuador de los bienes embargados; cuando se trate de bienes inmuebles ordenar la inscripción del embargo ante el Registro Público de la Propiedad que corresponda.</w:t>
      </w:r>
    </w:p>
    <w:p>
      <w:pPr>
        <w:spacing w:line="182"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2" w:firstLine="288"/>
        <w:jc w:val="both"/>
      </w:pPr>
      <w:bookmarkStart w:name="Artículo_966_Ter" w:id="1213"/>
      <w:bookmarkEnd w:id="1213"/>
      <w:r>
        <w:rPr/>
      </w:r>
      <w:r>
        <w:rPr>
          <w:rFonts w:ascii="Arial" w:hAnsi="Arial"/>
          <w:b/>
        </w:rPr>
        <w:t>Artículo 966 Ter.- </w:t>
      </w:r>
      <w:r>
        <w:rPr/>
        <w:t>El Tribunal deberá dar vista al Instituto Mexicano del Seguro Social con la</w:t>
      </w:r>
      <w:r>
        <w:rPr>
          <w:spacing w:val="40"/>
        </w:rPr>
        <w:t> </w:t>
      </w:r>
      <w:r>
        <w:rPr/>
        <w:t>sentencia condenatoria, a fin de que dicho organismo actúe conforme a sus atribuciones haga cumplir a</w:t>
      </w:r>
      <w:r>
        <w:rPr>
          <w:spacing w:val="40"/>
        </w:rPr>
        <w:t> </w:t>
      </w:r>
      <w:r>
        <w:rPr/>
        <w:t>la parte condenada respecto de sus obligaciones en materia de seguridad social.</w:t>
      </w:r>
    </w:p>
    <w:p>
      <w:pPr>
        <w:spacing w:line="178"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Heading2"/>
        <w:spacing w:before="229"/>
        <w:ind w:left="4131" w:right="4124"/>
      </w:pPr>
      <w:r>
        <w:rPr/>
        <w:t>Sección</w:t>
      </w:r>
      <w:r>
        <w:rPr>
          <w:spacing w:val="-16"/>
        </w:rPr>
        <w:t> </w:t>
      </w:r>
      <w:r>
        <w:rPr/>
        <w:t>Tercera </w:t>
      </w:r>
      <w:r>
        <w:rPr>
          <w:spacing w:val="-2"/>
        </w:rPr>
        <w:t>Remates</w:t>
      </w:r>
    </w:p>
    <w:p>
      <w:pPr>
        <w:spacing w:before="0"/>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2"/>
        <w:rPr>
          <w:rFonts w:ascii="Times New Roman"/>
          <w:i/>
        </w:rPr>
      </w:pPr>
    </w:p>
    <w:p>
      <w:pPr>
        <w:pStyle w:val="BodyText"/>
        <w:ind w:left="338" w:right="345" w:firstLine="288"/>
        <w:jc w:val="both"/>
      </w:pPr>
      <w:bookmarkStart w:name="Artículo_967" w:id="1214"/>
      <w:bookmarkEnd w:id="1214"/>
      <w:r>
        <w:rPr/>
      </w:r>
      <w:r>
        <w:rPr>
          <w:rFonts w:ascii="Arial" w:hAnsi="Arial"/>
          <w:b/>
        </w:rPr>
        <w:t>Artículo 967.- </w:t>
      </w:r>
      <w:r>
        <w:rPr/>
        <w:t>Concluidas las diligencias de embargo, se procederá al remate de los bienes, de conformidad con las normas contenidas en este Capítulo.</w:t>
      </w:r>
    </w:p>
    <w:p>
      <w:pPr>
        <w:pStyle w:val="BodyText"/>
        <w:spacing w:before="1"/>
      </w:pPr>
    </w:p>
    <w:p>
      <w:pPr>
        <w:pStyle w:val="BodyText"/>
        <w:ind w:left="338" w:right="336" w:firstLine="288"/>
        <w:jc w:val="both"/>
      </w:pPr>
      <w:r>
        <w:rPr/>
        <w:t>Antes de aprobarse el remate o declararse la adjudicación, podrá la parte ejecutada liberar los bienes embargados, pagando de inmediato y en efectivo el importe de las cantidades fijadas en la sentencia y</w:t>
      </w:r>
      <w:r>
        <w:rPr>
          <w:spacing w:val="40"/>
        </w:rPr>
        <w:t> </w:t>
      </w:r>
      <w:r>
        <w:rPr/>
        <w:t>los gastos de ejecución. Después de fincarse el remate, la venta quedará irrevocable.</w:t>
      </w:r>
    </w:p>
    <w:p>
      <w:pPr>
        <w:spacing w:line="240" w:lineRule="auto" w:before="0"/>
        <w:ind w:left="7302" w:right="333"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spacing w:before="0"/>
        <w:ind w:left="626" w:right="0" w:firstLine="0"/>
        <w:jc w:val="left"/>
        <w:rPr>
          <w:sz w:val="20"/>
        </w:rPr>
      </w:pPr>
      <w:bookmarkStart w:name="Artículo_968" w:id="1215"/>
      <w:bookmarkEnd w:id="1215"/>
      <w:r>
        <w:rPr/>
      </w:r>
      <w:r>
        <w:rPr>
          <w:rFonts w:ascii="Arial" w:hAnsi="Arial"/>
          <w:b/>
          <w:sz w:val="20"/>
        </w:rPr>
        <w:t>Artículo</w:t>
      </w:r>
      <w:r>
        <w:rPr>
          <w:rFonts w:ascii="Arial" w:hAnsi="Arial"/>
          <w:b/>
          <w:spacing w:val="-7"/>
          <w:sz w:val="20"/>
        </w:rPr>
        <w:t> </w:t>
      </w:r>
      <w:r>
        <w:rPr>
          <w:rFonts w:ascii="Arial" w:hAnsi="Arial"/>
          <w:b/>
          <w:sz w:val="20"/>
        </w:rPr>
        <w:t>968.-</w:t>
      </w:r>
      <w:r>
        <w:rPr>
          <w:rFonts w:ascii="Arial" w:hAnsi="Arial"/>
          <w:b/>
          <w:spacing w:val="-5"/>
          <w:sz w:val="20"/>
        </w:rPr>
        <w:t> </w:t>
      </w:r>
      <w:r>
        <w:rPr>
          <w:sz w:val="20"/>
        </w:rPr>
        <w:t>En</w:t>
      </w:r>
      <w:r>
        <w:rPr>
          <w:spacing w:val="-5"/>
          <w:sz w:val="20"/>
        </w:rPr>
        <w:t> </w:t>
      </w:r>
      <w:r>
        <w:rPr>
          <w:sz w:val="20"/>
        </w:rPr>
        <w:t>los</w:t>
      </w:r>
      <w:r>
        <w:rPr>
          <w:spacing w:val="-7"/>
          <w:sz w:val="20"/>
        </w:rPr>
        <w:t> </w:t>
      </w:r>
      <w:r>
        <w:rPr>
          <w:sz w:val="20"/>
        </w:rPr>
        <w:t>embargos</w:t>
      </w:r>
      <w:r>
        <w:rPr>
          <w:spacing w:val="-6"/>
          <w:sz w:val="20"/>
        </w:rPr>
        <w:t> </w:t>
      </w:r>
      <w:r>
        <w:rPr>
          <w:sz w:val="20"/>
        </w:rPr>
        <w:t>se</w:t>
      </w:r>
      <w:r>
        <w:rPr>
          <w:spacing w:val="-7"/>
          <w:sz w:val="20"/>
        </w:rPr>
        <w:t> </w:t>
      </w:r>
      <w:r>
        <w:rPr>
          <w:sz w:val="20"/>
        </w:rPr>
        <w:t>observarán</w:t>
      </w:r>
      <w:r>
        <w:rPr>
          <w:spacing w:val="-6"/>
          <w:sz w:val="20"/>
        </w:rPr>
        <w:t> </w:t>
      </w:r>
      <w:r>
        <w:rPr>
          <w:sz w:val="20"/>
        </w:rPr>
        <w:t>las</w:t>
      </w:r>
      <w:r>
        <w:rPr>
          <w:spacing w:val="-4"/>
          <w:sz w:val="20"/>
        </w:rPr>
        <w:t> </w:t>
      </w:r>
      <w:r>
        <w:rPr>
          <w:sz w:val="20"/>
        </w:rPr>
        <w:t>normas</w:t>
      </w:r>
      <w:r>
        <w:rPr>
          <w:spacing w:val="-7"/>
          <w:sz w:val="20"/>
        </w:rPr>
        <w:t> </w:t>
      </w:r>
      <w:r>
        <w:rPr>
          <w:spacing w:val="-2"/>
          <w:sz w:val="20"/>
        </w:rPr>
        <w:t>siguientes:</w:t>
      </w:r>
    </w:p>
    <w:p>
      <w:pPr>
        <w:pStyle w:val="ListParagraph"/>
        <w:numPr>
          <w:ilvl w:val="1"/>
          <w:numId w:val="347"/>
        </w:numPr>
        <w:tabs>
          <w:tab w:pos="1195" w:val="left" w:leader="none"/>
        </w:tabs>
        <w:spacing w:line="240" w:lineRule="auto" w:before="228" w:after="0"/>
        <w:ind w:left="1195" w:right="0" w:hanging="569"/>
        <w:jc w:val="left"/>
        <w:rPr>
          <w:sz w:val="20"/>
        </w:rPr>
      </w:pPr>
      <w:r>
        <w:rPr>
          <w:sz w:val="20"/>
        </w:rPr>
        <w:t>Si</w:t>
      </w:r>
      <w:r>
        <w:rPr>
          <w:spacing w:val="-7"/>
          <w:sz w:val="20"/>
        </w:rPr>
        <w:t> </w:t>
      </w:r>
      <w:r>
        <w:rPr>
          <w:sz w:val="20"/>
        </w:rPr>
        <w:t>los</w:t>
      </w:r>
      <w:r>
        <w:rPr>
          <w:spacing w:val="-7"/>
          <w:sz w:val="20"/>
        </w:rPr>
        <w:t> </w:t>
      </w:r>
      <w:r>
        <w:rPr>
          <w:sz w:val="20"/>
        </w:rPr>
        <w:t>bienes</w:t>
      </w:r>
      <w:r>
        <w:rPr>
          <w:spacing w:val="-6"/>
          <w:sz w:val="20"/>
        </w:rPr>
        <w:t> </w:t>
      </w:r>
      <w:r>
        <w:rPr>
          <w:sz w:val="20"/>
        </w:rPr>
        <w:t>embargados</w:t>
      </w:r>
      <w:r>
        <w:rPr>
          <w:spacing w:val="-5"/>
          <w:sz w:val="20"/>
        </w:rPr>
        <w:t> </w:t>
      </w:r>
      <w:r>
        <w:rPr>
          <w:sz w:val="20"/>
        </w:rPr>
        <w:t>son</w:t>
      </w:r>
      <w:r>
        <w:rPr>
          <w:spacing w:val="-8"/>
          <w:sz w:val="20"/>
        </w:rPr>
        <w:t> </w:t>
      </w:r>
      <w:r>
        <w:rPr>
          <w:spacing w:val="-2"/>
          <w:sz w:val="20"/>
        </w:rPr>
        <w:t>muebles:</w:t>
      </w:r>
    </w:p>
    <w:p>
      <w:pPr>
        <w:pStyle w:val="ListParagraph"/>
        <w:numPr>
          <w:ilvl w:val="2"/>
          <w:numId w:val="347"/>
        </w:numPr>
        <w:tabs>
          <w:tab w:pos="1760" w:val="left" w:leader="none"/>
          <w:tab w:pos="1762" w:val="left" w:leader="none"/>
        </w:tabs>
        <w:spacing w:line="242" w:lineRule="auto" w:before="227" w:after="0"/>
        <w:ind w:left="1762" w:right="339" w:hanging="567"/>
        <w:jc w:val="both"/>
        <w:rPr>
          <w:sz w:val="20"/>
        </w:rPr>
      </w:pPr>
      <w:r>
        <w:rPr>
          <w:sz w:val="20"/>
        </w:rPr>
        <w:t>Se efectuará su avalúo por la persona que designe el juez; en los casos en que éste se percate de que el avalúo de los bienes es notoriamente inferior o superior a su valor, podrá ordenar la práctica de otro, razonando los motivos por los cuales considera que el avalúo no corresponde al valor real del bien;</w:t>
      </w:r>
    </w:p>
    <w:p>
      <w:pPr>
        <w:spacing w:line="179"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48"/>
        </w:numPr>
        <w:tabs>
          <w:tab w:pos="1761" w:val="left" w:leader="none"/>
        </w:tabs>
        <w:spacing w:line="240" w:lineRule="auto" w:before="0" w:after="0"/>
        <w:ind w:left="1761" w:right="0" w:hanging="566"/>
        <w:jc w:val="left"/>
        <w:rPr>
          <w:sz w:val="20"/>
        </w:rPr>
      </w:pPr>
      <w:r>
        <w:rPr>
          <w:sz w:val="20"/>
        </w:rPr>
        <w:t>Servirá</w:t>
      </w:r>
      <w:r>
        <w:rPr>
          <w:spacing w:val="-6"/>
          <w:sz w:val="20"/>
        </w:rPr>
        <w:t> </w:t>
      </w:r>
      <w:r>
        <w:rPr>
          <w:sz w:val="20"/>
        </w:rPr>
        <w:t>de</w:t>
      </w:r>
      <w:r>
        <w:rPr>
          <w:spacing w:val="-5"/>
          <w:sz w:val="20"/>
        </w:rPr>
        <w:t> </w:t>
      </w:r>
      <w:r>
        <w:rPr>
          <w:sz w:val="20"/>
        </w:rPr>
        <w:t>base</w:t>
      </w:r>
      <w:r>
        <w:rPr>
          <w:spacing w:val="-6"/>
          <w:sz w:val="20"/>
        </w:rPr>
        <w:t> </w:t>
      </w:r>
      <w:r>
        <w:rPr>
          <w:sz w:val="20"/>
        </w:rPr>
        <w:t>para</w:t>
      </w:r>
      <w:r>
        <w:rPr>
          <w:spacing w:val="-5"/>
          <w:sz w:val="20"/>
        </w:rPr>
        <w:t> </w:t>
      </w:r>
      <w:r>
        <w:rPr>
          <w:sz w:val="20"/>
        </w:rPr>
        <w:t>el</w:t>
      </w:r>
      <w:r>
        <w:rPr>
          <w:spacing w:val="-4"/>
          <w:sz w:val="20"/>
        </w:rPr>
        <w:t> </w:t>
      </w:r>
      <w:r>
        <w:rPr>
          <w:sz w:val="20"/>
        </w:rPr>
        <w:t>remate</w:t>
      </w:r>
      <w:r>
        <w:rPr>
          <w:spacing w:val="-7"/>
          <w:sz w:val="20"/>
        </w:rPr>
        <w:t> </w:t>
      </w:r>
      <w:r>
        <w:rPr>
          <w:sz w:val="20"/>
        </w:rPr>
        <w:t>el</w:t>
      </w:r>
      <w:r>
        <w:rPr>
          <w:spacing w:val="-6"/>
          <w:sz w:val="20"/>
        </w:rPr>
        <w:t> </w:t>
      </w:r>
      <w:r>
        <w:rPr>
          <w:sz w:val="20"/>
        </w:rPr>
        <w:t>monto</w:t>
      </w:r>
      <w:r>
        <w:rPr>
          <w:spacing w:val="-6"/>
          <w:sz w:val="20"/>
        </w:rPr>
        <w:t> </w:t>
      </w:r>
      <w:r>
        <w:rPr>
          <w:sz w:val="20"/>
        </w:rPr>
        <w:t>del</w:t>
      </w:r>
      <w:r>
        <w:rPr>
          <w:spacing w:val="-5"/>
          <w:sz w:val="20"/>
        </w:rPr>
        <w:t> </w:t>
      </w:r>
      <w:r>
        <w:rPr>
          <w:sz w:val="20"/>
        </w:rPr>
        <w:t>avalúo; </w:t>
      </w:r>
      <w:r>
        <w:rPr>
          <w:spacing w:val="-10"/>
          <w:sz w:val="20"/>
        </w:rPr>
        <w:t>y</w:t>
      </w:r>
    </w:p>
    <w:p>
      <w:pPr>
        <w:pStyle w:val="BodyText"/>
        <w:spacing w:before="1"/>
      </w:pPr>
    </w:p>
    <w:p>
      <w:pPr>
        <w:pStyle w:val="ListParagraph"/>
        <w:numPr>
          <w:ilvl w:val="0"/>
          <w:numId w:val="348"/>
        </w:numPr>
        <w:tabs>
          <w:tab w:pos="1758" w:val="left" w:leader="none"/>
          <w:tab w:pos="1762" w:val="left" w:leader="none"/>
        </w:tabs>
        <w:spacing w:line="240" w:lineRule="auto" w:before="0" w:after="0"/>
        <w:ind w:left="1762" w:right="339" w:hanging="567"/>
        <w:jc w:val="both"/>
        <w:rPr>
          <w:sz w:val="20"/>
        </w:rPr>
      </w:pPr>
      <w:r>
        <w:rPr>
          <w:sz w:val="20"/>
        </w:rPr>
        <w:t>El remate se anunciará en el boletín laboral o en los estrados del Tribunal, en su caso y en el palacio municipal o en la oficina de gobierno que designe el Tribunal, el cual podrá utilizar algún otro medio de publicidad.</w:t>
      </w:r>
    </w:p>
    <w:p>
      <w:pPr>
        <w:spacing w:line="183"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ListParagraph"/>
        <w:numPr>
          <w:ilvl w:val="1"/>
          <w:numId w:val="347"/>
        </w:numPr>
        <w:tabs>
          <w:tab w:pos="1195" w:val="left" w:leader="none"/>
        </w:tabs>
        <w:spacing w:line="240" w:lineRule="auto" w:before="229" w:after="0"/>
        <w:ind w:left="1195" w:right="0" w:hanging="569"/>
        <w:jc w:val="left"/>
        <w:rPr>
          <w:sz w:val="20"/>
        </w:rPr>
      </w:pPr>
      <w:r>
        <w:rPr>
          <w:sz w:val="20"/>
        </w:rPr>
        <w:t>Si</w:t>
      </w:r>
      <w:r>
        <w:rPr>
          <w:spacing w:val="-7"/>
          <w:sz w:val="20"/>
        </w:rPr>
        <w:t> </w:t>
      </w:r>
      <w:r>
        <w:rPr>
          <w:sz w:val="20"/>
        </w:rPr>
        <w:t>los</w:t>
      </w:r>
      <w:r>
        <w:rPr>
          <w:spacing w:val="-7"/>
          <w:sz w:val="20"/>
        </w:rPr>
        <w:t> </w:t>
      </w:r>
      <w:r>
        <w:rPr>
          <w:sz w:val="20"/>
        </w:rPr>
        <w:t>bienes</w:t>
      </w:r>
      <w:r>
        <w:rPr>
          <w:spacing w:val="-6"/>
          <w:sz w:val="20"/>
        </w:rPr>
        <w:t> </w:t>
      </w:r>
      <w:r>
        <w:rPr>
          <w:sz w:val="20"/>
        </w:rPr>
        <w:t>embargados</w:t>
      </w:r>
      <w:r>
        <w:rPr>
          <w:spacing w:val="-5"/>
          <w:sz w:val="20"/>
        </w:rPr>
        <w:t> </w:t>
      </w:r>
      <w:r>
        <w:rPr>
          <w:sz w:val="20"/>
        </w:rPr>
        <w:t>son</w:t>
      </w:r>
      <w:r>
        <w:rPr>
          <w:spacing w:val="-8"/>
          <w:sz w:val="20"/>
        </w:rPr>
        <w:t> </w:t>
      </w:r>
      <w:r>
        <w:rPr>
          <w:spacing w:val="-2"/>
          <w:sz w:val="20"/>
        </w:rPr>
        <w:t>inmuebles:</w:t>
      </w:r>
    </w:p>
    <w:p>
      <w:pPr>
        <w:pStyle w:val="ListParagraph"/>
        <w:numPr>
          <w:ilvl w:val="2"/>
          <w:numId w:val="347"/>
        </w:numPr>
        <w:tabs>
          <w:tab w:pos="1760" w:val="left" w:leader="none"/>
          <w:tab w:pos="1762" w:val="left" w:leader="none"/>
        </w:tabs>
        <w:spacing w:line="242" w:lineRule="auto" w:before="229" w:after="0"/>
        <w:ind w:left="1762" w:right="335" w:hanging="567"/>
        <w:jc w:val="both"/>
        <w:rPr>
          <w:sz w:val="20"/>
        </w:rPr>
      </w:pPr>
      <w:r>
        <w:rPr>
          <w:sz w:val="20"/>
        </w:rPr>
        <w:t>Se tomará como avalúo el de un perito valuador legalmente autorizado, que será designado</w:t>
      </w:r>
      <w:r>
        <w:rPr>
          <w:spacing w:val="-2"/>
          <w:sz w:val="20"/>
        </w:rPr>
        <w:t> </w:t>
      </w:r>
      <w:r>
        <w:rPr>
          <w:sz w:val="20"/>
        </w:rPr>
        <w:t>por</w:t>
      </w:r>
      <w:r>
        <w:rPr>
          <w:spacing w:val="-1"/>
          <w:sz w:val="20"/>
        </w:rPr>
        <w:t> </w:t>
      </w:r>
      <w:r>
        <w:rPr>
          <w:sz w:val="20"/>
        </w:rPr>
        <w:t>el</w:t>
      </w:r>
      <w:r>
        <w:rPr>
          <w:spacing w:val="-3"/>
          <w:sz w:val="20"/>
        </w:rPr>
        <w:t> </w:t>
      </w:r>
      <w:r>
        <w:rPr>
          <w:sz w:val="20"/>
        </w:rPr>
        <w:t>juez y</w:t>
      </w:r>
      <w:r>
        <w:rPr>
          <w:spacing w:val="-5"/>
          <w:sz w:val="20"/>
        </w:rPr>
        <w:t> </w:t>
      </w:r>
      <w:r>
        <w:rPr>
          <w:sz w:val="20"/>
        </w:rPr>
        <w:t>en</w:t>
      </w:r>
      <w:r>
        <w:rPr>
          <w:spacing w:val="-2"/>
          <w:sz w:val="20"/>
        </w:rPr>
        <w:t> </w:t>
      </w:r>
      <w:r>
        <w:rPr>
          <w:sz w:val="20"/>
        </w:rPr>
        <w:t>su</w:t>
      </w:r>
      <w:r>
        <w:rPr>
          <w:spacing w:val="-2"/>
          <w:sz w:val="20"/>
        </w:rPr>
        <w:t> </w:t>
      </w:r>
      <w:r>
        <w:rPr>
          <w:sz w:val="20"/>
        </w:rPr>
        <w:t>caso,</w:t>
      </w:r>
      <w:r>
        <w:rPr>
          <w:spacing w:val="-2"/>
          <w:sz w:val="20"/>
        </w:rPr>
        <w:t> </w:t>
      </w:r>
      <w:r>
        <w:rPr>
          <w:sz w:val="20"/>
        </w:rPr>
        <w:t>se</w:t>
      </w:r>
      <w:r>
        <w:rPr>
          <w:spacing w:val="-2"/>
          <w:sz w:val="20"/>
        </w:rPr>
        <w:t> </w:t>
      </w:r>
      <w:r>
        <w:rPr>
          <w:sz w:val="20"/>
        </w:rPr>
        <w:t>procederá</w:t>
      </w:r>
      <w:r>
        <w:rPr>
          <w:spacing w:val="-2"/>
          <w:sz w:val="20"/>
        </w:rPr>
        <w:t> </w:t>
      </w:r>
      <w:r>
        <w:rPr>
          <w:sz w:val="20"/>
        </w:rPr>
        <w:t>conforme</w:t>
      </w:r>
      <w:r>
        <w:rPr>
          <w:spacing w:val="-2"/>
          <w:sz w:val="20"/>
        </w:rPr>
        <w:t> </w:t>
      </w:r>
      <w:r>
        <w:rPr>
          <w:sz w:val="20"/>
        </w:rPr>
        <w:t>a</w:t>
      </w:r>
      <w:r>
        <w:rPr>
          <w:spacing w:val="-2"/>
          <w:sz w:val="20"/>
        </w:rPr>
        <w:t> </w:t>
      </w:r>
      <w:r>
        <w:rPr>
          <w:sz w:val="20"/>
        </w:rPr>
        <w:t>lo</w:t>
      </w:r>
      <w:r>
        <w:rPr>
          <w:spacing w:val="-2"/>
          <w:sz w:val="20"/>
        </w:rPr>
        <w:t> </w:t>
      </w:r>
      <w:r>
        <w:rPr>
          <w:sz w:val="20"/>
        </w:rPr>
        <w:t>dispuesto</w:t>
      </w:r>
      <w:r>
        <w:rPr>
          <w:spacing w:val="-2"/>
          <w:sz w:val="20"/>
        </w:rPr>
        <w:t> </w:t>
      </w:r>
      <w:r>
        <w:rPr>
          <w:sz w:val="20"/>
        </w:rPr>
        <w:t>por la</w:t>
      </w:r>
      <w:r>
        <w:rPr>
          <w:spacing w:val="-2"/>
          <w:sz w:val="20"/>
        </w:rPr>
        <w:t> </w:t>
      </w:r>
      <w:r>
        <w:rPr>
          <w:sz w:val="20"/>
        </w:rPr>
        <w:t>fracción</w:t>
      </w:r>
      <w:r>
        <w:rPr>
          <w:spacing w:val="-3"/>
          <w:sz w:val="20"/>
        </w:rPr>
        <w:t> </w:t>
      </w:r>
      <w:r>
        <w:rPr>
          <w:sz w:val="20"/>
        </w:rPr>
        <w:t>I del apartado A de este artículo;</w:t>
      </w:r>
    </w:p>
    <w:p>
      <w:pPr>
        <w:spacing w:line="178"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3"/>
        <w:rPr>
          <w:rFonts w:ascii="Times New Roman"/>
          <w:i/>
          <w:sz w:val="16"/>
        </w:rPr>
      </w:pPr>
    </w:p>
    <w:p>
      <w:pPr>
        <w:pStyle w:val="ListParagraph"/>
        <w:numPr>
          <w:ilvl w:val="0"/>
          <w:numId w:val="349"/>
        </w:numPr>
        <w:tabs>
          <w:tab w:pos="1759" w:val="left" w:leader="none"/>
          <w:tab w:pos="1762" w:val="left" w:leader="none"/>
        </w:tabs>
        <w:spacing w:line="242" w:lineRule="auto" w:before="0" w:after="0"/>
        <w:ind w:left="1762" w:right="337" w:hanging="567"/>
        <w:jc w:val="both"/>
        <w:rPr>
          <w:sz w:val="20"/>
        </w:rPr>
      </w:pPr>
      <w:r>
        <w:rPr>
          <w:sz w:val="20"/>
        </w:rPr>
        <w:t>El embargante exhibirá certificado de gravámenes expedido por el Registro Público de la Propiedad, de 10 años anteriores a la fecha en que ordenó el remate. Si en autos obrare ya otro certificado, se pedirá al Registro sólo el relativo al periodo o periodos que aquél</w:t>
      </w:r>
      <w:r>
        <w:rPr>
          <w:spacing w:val="40"/>
          <w:sz w:val="20"/>
        </w:rPr>
        <w:t> </w:t>
      </w:r>
      <w:r>
        <w:rPr>
          <w:sz w:val="20"/>
        </w:rPr>
        <w:t>no abarque;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spacing w:after="0" w:line="178" w:lineRule="exact"/>
        <w:jc w:val="righ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ListParagraph"/>
        <w:numPr>
          <w:ilvl w:val="0"/>
          <w:numId w:val="349"/>
        </w:numPr>
        <w:tabs>
          <w:tab w:pos="1758" w:val="left" w:leader="none"/>
          <w:tab w:pos="1762" w:val="left" w:leader="none"/>
        </w:tabs>
        <w:spacing w:line="240" w:lineRule="auto" w:before="0" w:after="0"/>
        <w:ind w:left="1762" w:right="332" w:hanging="567"/>
        <w:jc w:val="both"/>
        <w:rPr>
          <w:sz w:val="20"/>
        </w:rPr>
      </w:pPr>
      <w:r>
        <w:rPr>
          <w:sz w:val="20"/>
        </w:rPr>
        <w:t>El proveído que ordene el remate se publicará, por una sola vez, con una anticipación de diez días a la fecha del remate, en el boletín y en los estrados del Tribunal, además de manera potestativa utilizará algún otro medio de publicidad, en su caso y se fijará, por</w:t>
      </w:r>
      <w:r>
        <w:rPr>
          <w:spacing w:val="40"/>
          <w:sz w:val="20"/>
        </w:rPr>
        <w:t> </w:t>
      </w:r>
      <w:r>
        <w:rPr>
          <w:sz w:val="20"/>
        </w:rPr>
        <w:t>una sola vez, en la Tesorería de cada entidad federativa y en el periódico de mayor circulación del lugar en que se encuentren ubicados los bienes, convocando postores.</w:t>
      </w:r>
    </w:p>
    <w:p>
      <w:pPr>
        <w:spacing w:line="184"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1195" w:right="340"/>
        <w:jc w:val="both"/>
      </w:pPr>
      <w:r>
        <w:rPr/>
        <w:t>Se citará personalmente con una anticipación de diez días a los acreedores que aparezcan en</w:t>
      </w:r>
      <w:r>
        <w:rPr>
          <w:spacing w:val="40"/>
        </w:rPr>
        <w:t> </w:t>
      </w:r>
      <w:r>
        <w:rPr/>
        <w:t>el certificado de gravámenes, así como al poseedor del bien inmueble, a efecto de que hagan valer sus derechos.</w:t>
      </w:r>
    </w:p>
    <w:p>
      <w:pPr>
        <w:spacing w:line="240" w:lineRule="auto" w:before="0"/>
        <w:ind w:left="7302" w:right="333"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338" w:right="342" w:firstLine="288"/>
      </w:pPr>
      <w:bookmarkStart w:name="Artículo_969" w:id="1216"/>
      <w:bookmarkEnd w:id="1216"/>
      <w:r>
        <w:rPr/>
      </w:r>
      <w:r>
        <w:rPr>
          <w:rFonts w:ascii="Arial" w:hAnsi="Arial"/>
          <w:b/>
        </w:rPr>
        <w:t>Artículo</w:t>
      </w:r>
      <w:r>
        <w:rPr>
          <w:rFonts w:ascii="Arial" w:hAnsi="Arial"/>
          <w:b/>
          <w:spacing w:val="63"/>
        </w:rPr>
        <w:t> </w:t>
      </w:r>
      <w:r>
        <w:rPr>
          <w:rFonts w:ascii="Arial" w:hAnsi="Arial"/>
          <w:b/>
        </w:rPr>
        <w:t>969.-</w:t>
      </w:r>
      <w:r>
        <w:rPr>
          <w:rFonts w:ascii="Arial" w:hAnsi="Arial"/>
          <w:b/>
          <w:spacing w:val="64"/>
        </w:rPr>
        <w:t> </w:t>
      </w:r>
      <w:r>
        <w:rPr/>
        <w:t>Si</w:t>
      </w:r>
      <w:r>
        <w:rPr>
          <w:spacing w:val="40"/>
        </w:rPr>
        <w:t> </w:t>
      </w:r>
      <w:r>
        <w:rPr/>
        <w:t>los</w:t>
      </w:r>
      <w:r>
        <w:rPr>
          <w:spacing w:val="63"/>
        </w:rPr>
        <w:t> </w:t>
      </w:r>
      <w:r>
        <w:rPr/>
        <w:t>bienes</w:t>
      </w:r>
      <w:r>
        <w:rPr>
          <w:spacing w:val="40"/>
        </w:rPr>
        <w:t> </w:t>
      </w:r>
      <w:r>
        <w:rPr/>
        <w:t>embargados</w:t>
      </w:r>
      <w:r>
        <w:rPr>
          <w:spacing w:val="40"/>
        </w:rPr>
        <w:t> </w:t>
      </w:r>
      <w:r>
        <w:rPr/>
        <w:t>son</w:t>
      </w:r>
      <w:r>
        <w:rPr>
          <w:spacing w:val="40"/>
        </w:rPr>
        <w:t> </w:t>
      </w:r>
      <w:r>
        <w:rPr/>
        <w:t>una</w:t>
      </w:r>
      <w:r>
        <w:rPr>
          <w:spacing w:val="40"/>
        </w:rPr>
        <w:t> </w:t>
      </w:r>
      <w:r>
        <w:rPr/>
        <w:t>empresa</w:t>
      </w:r>
      <w:r>
        <w:rPr>
          <w:spacing w:val="40"/>
        </w:rPr>
        <w:t> </w:t>
      </w:r>
      <w:r>
        <w:rPr/>
        <w:t>o</w:t>
      </w:r>
      <w:r>
        <w:rPr>
          <w:spacing w:val="40"/>
        </w:rPr>
        <w:t> </w:t>
      </w:r>
      <w:r>
        <w:rPr/>
        <w:t>establecimiento</w:t>
      </w:r>
      <w:r>
        <w:rPr>
          <w:spacing w:val="40"/>
        </w:rPr>
        <w:t> </w:t>
      </w:r>
      <w:r>
        <w:rPr/>
        <w:t>se</w:t>
      </w:r>
      <w:r>
        <w:rPr>
          <w:spacing w:val="40"/>
        </w:rPr>
        <w:t> </w:t>
      </w:r>
      <w:r>
        <w:rPr/>
        <w:t>observará</w:t>
      </w:r>
      <w:r>
        <w:rPr>
          <w:spacing w:val="40"/>
        </w:rPr>
        <w:t> </w:t>
      </w:r>
      <w:r>
        <w:rPr/>
        <w:t>el</w:t>
      </w:r>
      <w:r>
        <w:rPr>
          <w:spacing w:val="40"/>
        </w:rPr>
        <w:t> </w:t>
      </w:r>
      <w:r>
        <w:rPr/>
        <w:t>procedimiento siguiente:</w:t>
      </w:r>
    </w:p>
    <w:p>
      <w:pPr>
        <w:pStyle w:val="BodyText"/>
        <w:tabs>
          <w:tab w:pos="1195" w:val="left" w:leader="none"/>
        </w:tabs>
        <w:spacing w:line="242" w:lineRule="auto" w:before="224"/>
        <w:ind w:left="1195" w:right="344" w:hanging="569"/>
      </w:pPr>
      <w:r>
        <w:rPr>
          <w:rFonts w:ascii="Arial" w:hAnsi="Arial"/>
          <w:b/>
          <w:spacing w:val="-6"/>
        </w:rPr>
        <w:t>l.</w:t>
      </w:r>
      <w:r>
        <w:rPr>
          <w:rFonts w:ascii="Arial" w:hAnsi="Arial"/>
          <w:b/>
        </w:rPr>
        <w:tab/>
      </w:r>
      <w:r>
        <w:rPr/>
        <w:t>Se</w:t>
      </w:r>
      <w:r>
        <w:rPr>
          <w:spacing w:val="-2"/>
        </w:rPr>
        <w:t> </w:t>
      </w:r>
      <w:r>
        <w:rPr/>
        <w:t>efectuará</w:t>
      </w:r>
      <w:r>
        <w:rPr>
          <w:spacing w:val="-2"/>
        </w:rPr>
        <w:t> </w:t>
      </w:r>
      <w:r>
        <w:rPr/>
        <w:t>un</w:t>
      </w:r>
      <w:r>
        <w:rPr>
          <w:spacing w:val="-3"/>
        </w:rPr>
        <w:t> </w:t>
      </w:r>
      <w:r>
        <w:rPr/>
        <w:t>avalúo</w:t>
      </w:r>
      <w:r>
        <w:rPr>
          <w:spacing w:val="-2"/>
        </w:rPr>
        <w:t> </w:t>
      </w:r>
      <w:r>
        <w:rPr/>
        <w:t>por perito</w:t>
      </w:r>
      <w:r>
        <w:rPr>
          <w:spacing w:val="-2"/>
        </w:rPr>
        <w:t> </w:t>
      </w:r>
      <w:r>
        <w:rPr/>
        <w:t>que</w:t>
      </w:r>
      <w:r>
        <w:rPr>
          <w:spacing w:val="-2"/>
        </w:rPr>
        <w:t> </w:t>
      </w:r>
      <w:r>
        <w:rPr/>
        <w:t>se</w:t>
      </w:r>
      <w:r>
        <w:rPr>
          <w:spacing w:val="-2"/>
        </w:rPr>
        <w:t> </w:t>
      </w:r>
      <w:r>
        <w:rPr/>
        <w:t>solicitará</w:t>
      </w:r>
      <w:r>
        <w:rPr>
          <w:spacing w:val="-2"/>
        </w:rPr>
        <w:t> </w:t>
      </w:r>
      <w:r>
        <w:rPr/>
        <w:t>por el</w:t>
      </w:r>
      <w:r>
        <w:rPr>
          <w:spacing w:val="-3"/>
        </w:rPr>
        <w:t> </w:t>
      </w:r>
      <w:r>
        <w:rPr/>
        <w:t>tribunal</w:t>
      </w:r>
      <w:r>
        <w:rPr>
          <w:spacing w:val="-3"/>
        </w:rPr>
        <w:t> </w:t>
      </w:r>
      <w:r>
        <w:rPr/>
        <w:t>al</w:t>
      </w:r>
      <w:r>
        <w:rPr>
          <w:spacing w:val="-3"/>
        </w:rPr>
        <w:t> </w:t>
      </w:r>
      <w:r>
        <w:rPr/>
        <w:t>Banco</w:t>
      </w:r>
      <w:r>
        <w:rPr>
          <w:spacing w:val="-2"/>
        </w:rPr>
        <w:t> </w:t>
      </w:r>
      <w:r>
        <w:rPr/>
        <w:t>del</w:t>
      </w:r>
      <w:r>
        <w:rPr>
          <w:spacing w:val="-3"/>
        </w:rPr>
        <w:t> </w:t>
      </w:r>
      <w:r>
        <w:rPr/>
        <w:t>Ahorro</w:t>
      </w:r>
      <w:r>
        <w:rPr>
          <w:spacing w:val="-2"/>
        </w:rPr>
        <w:t> </w:t>
      </w:r>
      <w:r>
        <w:rPr/>
        <w:t>Nacional</w:t>
      </w:r>
      <w:r>
        <w:rPr>
          <w:spacing w:val="-1"/>
        </w:rPr>
        <w:t> </w:t>
      </w:r>
      <w:r>
        <w:rPr/>
        <w:t>y Servicios Financieros (BANSEFI) u homólogo, o alguna otra institución oficial;</w:t>
      </w:r>
    </w:p>
    <w:p>
      <w:pPr>
        <w:spacing w:line="180"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ListParagraph"/>
        <w:numPr>
          <w:ilvl w:val="0"/>
          <w:numId w:val="350"/>
        </w:numPr>
        <w:tabs>
          <w:tab w:pos="1195" w:val="left" w:leader="none"/>
        </w:tabs>
        <w:spacing w:line="240" w:lineRule="auto" w:before="229" w:after="0"/>
        <w:ind w:left="1195" w:right="0" w:hanging="569"/>
        <w:jc w:val="left"/>
        <w:rPr>
          <w:sz w:val="20"/>
        </w:rPr>
      </w:pPr>
      <w:r>
        <w:rPr>
          <w:sz w:val="20"/>
        </w:rPr>
        <w:t>Servirá</w:t>
      </w:r>
      <w:r>
        <w:rPr>
          <w:spacing w:val="-5"/>
          <w:sz w:val="20"/>
        </w:rPr>
        <w:t> </w:t>
      </w:r>
      <w:r>
        <w:rPr>
          <w:sz w:val="20"/>
        </w:rPr>
        <w:t>de</w:t>
      </w:r>
      <w:r>
        <w:rPr>
          <w:spacing w:val="-5"/>
          <w:sz w:val="20"/>
        </w:rPr>
        <w:t> </w:t>
      </w:r>
      <w:r>
        <w:rPr>
          <w:sz w:val="20"/>
        </w:rPr>
        <w:t>base</w:t>
      </w:r>
      <w:r>
        <w:rPr>
          <w:spacing w:val="-4"/>
          <w:sz w:val="20"/>
        </w:rPr>
        <w:t> </w:t>
      </w:r>
      <w:r>
        <w:rPr>
          <w:sz w:val="20"/>
        </w:rPr>
        <w:t>para</w:t>
      </w:r>
      <w:r>
        <w:rPr>
          <w:spacing w:val="-5"/>
          <w:sz w:val="20"/>
        </w:rPr>
        <w:t> </w:t>
      </w:r>
      <w:r>
        <w:rPr>
          <w:sz w:val="20"/>
        </w:rPr>
        <w:t>el</w:t>
      </w:r>
      <w:r>
        <w:rPr>
          <w:spacing w:val="-5"/>
          <w:sz w:val="20"/>
        </w:rPr>
        <w:t> </w:t>
      </w:r>
      <w:r>
        <w:rPr>
          <w:sz w:val="20"/>
        </w:rPr>
        <w:t>remate</w:t>
      </w:r>
      <w:r>
        <w:rPr>
          <w:spacing w:val="-6"/>
          <w:sz w:val="20"/>
        </w:rPr>
        <w:t> </w:t>
      </w:r>
      <w:r>
        <w:rPr>
          <w:sz w:val="20"/>
        </w:rPr>
        <w:t>el</w:t>
      </w:r>
      <w:r>
        <w:rPr>
          <w:spacing w:val="-5"/>
          <w:sz w:val="20"/>
        </w:rPr>
        <w:t> </w:t>
      </w:r>
      <w:r>
        <w:rPr>
          <w:sz w:val="20"/>
        </w:rPr>
        <w:t>monto</w:t>
      </w:r>
      <w:r>
        <w:rPr>
          <w:spacing w:val="-6"/>
          <w:sz w:val="20"/>
        </w:rPr>
        <w:t> </w:t>
      </w:r>
      <w:r>
        <w:rPr>
          <w:sz w:val="20"/>
        </w:rPr>
        <w:t>de</w:t>
      </w:r>
      <w:r>
        <w:rPr>
          <w:spacing w:val="-6"/>
          <w:sz w:val="20"/>
        </w:rPr>
        <w:t> </w:t>
      </w:r>
      <w:r>
        <w:rPr>
          <w:spacing w:val="-2"/>
          <w:sz w:val="20"/>
        </w:rPr>
        <w:t>avalúo;</w:t>
      </w:r>
    </w:p>
    <w:p>
      <w:pPr>
        <w:spacing w:before="0"/>
        <w:ind w:left="0" w:right="3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4"/>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3"/>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30-01-</w:t>
      </w:r>
      <w:r>
        <w:rPr>
          <w:rFonts w:ascii="Times New Roman" w:hAnsi="Times New Roman"/>
          <w:i/>
          <w:color w:val="0000FF"/>
          <w:spacing w:val="-4"/>
          <w:sz w:val="16"/>
        </w:rPr>
        <w:t>1980</w:t>
      </w:r>
    </w:p>
    <w:p>
      <w:pPr>
        <w:pStyle w:val="BodyText"/>
        <w:spacing w:before="2"/>
        <w:rPr>
          <w:rFonts w:ascii="Times New Roman"/>
          <w:i/>
        </w:rPr>
      </w:pPr>
    </w:p>
    <w:p>
      <w:pPr>
        <w:pStyle w:val="ListParagraph"/>
        <w:numPr>
          <w:ilvl w:val="0"/>
          <w:numId w:val="350"/>
        </w:numPr>
        <w:tabs>
          <w:tab w:pos="1195" w:val="left" w:leader="none"/>
        </w:tabs>
        <w:spacing w:line="240" w:lineRule="auto" w:before="0" w:after="0"/>
        <w:ind w:left="1195" w:right="342" w:hanging="569"/>
        <w:jc w:val="left"/>
        <w:rPr>
          <w:sz w:val="20"/>
        </w:rPr>
      </w:pPr>
      <w:r>
        <w:rPr>
          <w:sz w:val="20"/>
        </w:rPr>
        <w:t>Es</w:t>
      </w:r>
      <w:r>
        <w:rPr>
          <w:spacing w:val="40"/>
          <w:sz w:val="20"/>
        </w:rPr>
        <w:t> </w:t>
      </w:r>
      <w:r>
        <w:rPr>
          <w:sz w:val="20"/>
        </w:rPr>
        <w:t>aplicable</w:t>
      </w:r>
      <w:r>
        <w:rPr>
          <w:spacing w:val="40"/>
          <w:sz w:val="20"/>
        </w:rPr>
        <w:t> </w:t>
      </w:r>
      <w:r>
        <w:rPr>
          <w:sz w:val="20"/>
        </w:rPr>
        <w:t>lo</w:t>
      </w:r>
      <w:r>
        <w:rPr>
          <w:spacing w:val="40"/>
          <w:sz w:val="20"/>
        </w:rPr>
        <w:t> </w:t>
      </w:r>
      <w:r>
        <w:rPr>
          <w:sz w:val="20"/>
        </w:rPr>
        <w:t>dispuesto</w:t>
      </w:r>
      <w:r>
        <w:rPr>
          <w:spacing w:val="40"/>
          <w:sz w:val="20"/>
        </w:rPr>
        <w:t> </w:t>
      </w:r>
      <w:r>
        <w:rPr>
          <w:sz w:val="20"/>
        </w:rPr>
        <w:t>en</w:t>
      </w:r>
      <w:r>
        <w:rPr>
          <w:spacing w:val="40"/>
          <w:sz w:val="20"/>
        </w:rPr>
        <w:t> </w:t>
      </w:r>
      <w:r>
        <w:rPr>
          <w:sz w:val="20"/>
        </w:rPr>
        <w:t>la</w:t>
      </w:r>
      <w:r>
        <w:rPr>
          <w:spacing w:val="40"/>
          <w:sz w:val="20"/>
        </w:rPr>
        <w:t> </w:t>
      </w:r>
      <w:r>
        <w:rPr>
          <w:sz w:val="20"/>
        </w:rPr>
        <w:t>fracción</w:t>
      </w:r>
      <w:r>
        <w:rPr>
          <w:spacing w:val="40"/>
          <w:sz w:val="20"/>
        </w:rPr>
        <w:t> </w:t>
      </w:r>
      <w:r>
        <w:rPr>
          <w:sz w:val="20"/>
        </w:rPr>
        <w:t>III</w:t>
      </w:r>
      <w:r>
        <w:rPr>
          <w:spacing w:val="40"/>
          <w:sz w:val="20"/>
        </w:rPr>
        <w:t> </w:t>
      </w:r>
      <w:r>
        <w:rPr>
          <w:sz w:val="20"/>
        </w:rPr>
        <w:t>del</w:t>
      </w:r>
      <w:r>
        <w:rPr>
          <w:spacing w:val="40"/>
          <w:sz w:val="20"/>
        </w:rPr>
        <w:t> </w:t>
      </w:r>
      <w:r>
        <w:rPr>
          <w:sz w:val="20"/>
        </w:rPr>
        <w:t>apartado</w:t>
      </w:r>
      <w:r>
        <w:rPr>
          <w:spacing w:val="40"/>
          <w:sz w:val="20"/>
        </w:rPr>
        <w:t> </w:t>
      </w:r>
      <w:r>
        <w:rPr>
          <w:sz w:val="20"/>
        </w:rPr>
        <w:t>A</w:t>
      </w:r>
      <w:r>
        <w:rPr>
          <w:spacing w:val="40"/>
          <w:sz w:val="20"/>
        </w:rPr>
        <w:t> </w:t>
      </w:r>
      <w:r>
        <w:rPr>
          <w:sz w:val="20"/>
        </w:rPr>
        <w:t>del</w:t>
      </w:r>
      <w:r>
        <w:rPr>
          <w:spacing w:val="40"/>
          <w:sz w:val="20"/>
        </w:rPr>
        <w:t> </w:t>
      </w:r>
      <w:r>
        <w:rPr>
          <w:sz w:val="20"/>
        </w:rPr>
        <w:t>artículo</w:t>
      </w:r>
      <w:r>
        <w:rPr>
          <w:spacing w:val="40"/>
          <w:sz w:val="20"/>
        </w:rPr>
        <w:t> </w:t>
      </w:r>
      <w:r>
        <w:rPr>
          <w:sz w:val="20"/>
        </w:rPr>
        <w:t>anterior,</w:t>
      </w:r>
      <w:r>
        <w:rPr>
          <w:spacing w:val="40"/>
          <w:sz w:val="20"/>
        </w:rPr>
        <w:t> </w:t>
      </w:r>
      <w:r>
        <w:rPr>
          <w:sz w:val="20"/>
        </w:rPr>
        <w:t>referente</w:t>
      </w:r>
      <w:r>
        <w:rPr>
          <w:spacing w:val="40"/>
          <w:sz w:val="20"/>
        </w:rPr>
        <w:t> </w:t>
      </w:r>
      <w:r>
        <w:rPr>
          <w:sz w:val="20"/>
        </w:rPr>
        <w:t>a muebles; y</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350"/>
        </w:numPr>
        <w:tabs>
          <w:tab w:pos="1195" w:val="left" w:leader="none"/>
        </w:tabs>
        <w:spacing w:line="242" w:lineRule="auto" w:before="0" w:after="0"/>
        <w:ind w:left="1195" w:right="343" w:hanging="569"/>
        <w:jc w:val="left"/>
        <w:rPr>
          <w:sz w:val="20"/>
        </w:rPr>
      </w:pPr>
      <w:r>
        <w:rPr>
          <w:sz w:val="20"/>
        </w:rPr>
        <w:t>Si la empresa o establecimiento se integra con bienes inmuebles, se recabará el certificado de gravámenes a que se refiere la fracción II del apartado B del artículo anterior.</w:t>
      </w:r>
    </w:p>
    <w:p>
      <w:pPr>
        <w:spacing w:line="240" w:lineRule="auto" w:before="0"/>
        <w:ind w:left="7302" w:right="333" w:hanging="435"/>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30-01-1980</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2"/>
        <w:rPr>
          <w:rFonts w:ascii="Times New Roman"/>
          <w:i/>
          <w:sz w:val="16"/>
        </w:rPr>
      </w:pPr>
    </w:p>
    <w:p>
      <w:pPr>
        <w:pStyle w:val="BodyText"/>
        <w:ind w:left="338" w:right="337" w:firstLine="288"/>
        <w:jc w:val="both"/>
      </w:pPr>
      <w:bookmarkStart w:name="Artículo_970" w:id="1217"/>
      <w:bookmarkEnd w:id="1217"/>
      <w:r>
        <w:rPr/>
      </w:r>
      <w:r>
        <w:rPr>
          <w:rFonts w:ascii="Arial" w:hAnsi="Arial"/>
          <w:b/>
        </w:rPr>
        <w:t>Artículo 970.- </w:t>
      </w:r>
      <w:r>
        <w:rPr/>
        <w:t>Postura legal es la que cubre las dos terceras partes del avalúo. La persona que concurra como postor deberá presentar por escrito su postura y exhibir en un billete de depósito de</w:t>
      </w:r>
      <w:r>
        <w:rPr>
          <w:spacing w:val="40"/>
        </w:rPr>
        <w:t> </w:t>
      </w:r>
      <w:r>
        <w:rPr/>
        <w:t>Banco del Ahorro Nacional y Servicios Financieros (BANSEFI), u homólogo por el importe de diez por ciento de su puja.</w:t>
      </w:r>
    </w:p>
    <w:p>
      <w:pPr>
        <w:spacing w:line="184" w:lineRule="exact" w:before="0"/>
        <w:ind w:left="452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626"/>
      </w:pPr>
      <w:bookmarkStart w:name="Artículo_971" w:id="1218"/>
      <w:bookmarkEnd w:id="1218"/>
      <w:r>
        <w:rPr/>
      </w:r>
      <w:r>
        <w:rPr>
          <w:rFonts w:ascii="Arial" w:hAnsi="Arial"/>
          <w:b/>
        </w:rPr>
        <w:t>Artículo</w:t>
      </w:r>
      <w:r>
        <w:rPr>
          <w:rFonts w:ascii="Arial" w:hAnsi="Arial"/>
          <w:b/>
          <w:spacing w:val="-6"/>
        </w:rPr>
        <w:t> </w:t>
      </w:r>
      <w:r>
        <w:rPr>
          <w:rFonts w:ascii="Arial" w:hAnsi="Arial"/>
          <w:b/>
        </w:rPr>
        <w:t>971.-</w:t>
      </w:r>
      <w:r>
        <w:rPr>
          <w:rFonts w:ascii="Arial" w:hAnsi="Arial"/>
          <w:b/>
          <w:spacing w:val="-4"/>
        </w:rPr>
        <w:t> </w:t>
      </w:r>
      <w:r>
        <w:rPr/>
        <w:t>El</w:t>
      </w:r>
      <w:r>
        <w:rPr>
          <w:spacing w:val="-8"/>
        </w:rPr>
        <w:t> </w:t>
      </w:r>
      <w:r>
        <w:rPr/>
        <w:t>remate</w:t>
      </w:r>
      <w:r>
        <w:rPr>
          <w:spacing w:val="-7"/>
        </w:rPr>
        <w:t> </w:t>
      </w:r>
      <w:r>
        <w:rPr/>
        <w:t>se</w:t>
      </w:r>
      <w:r>
        <w:rPr>
          <w:spacing w:val="-5"/>
        </w:rPr>
        <w:t> </w:t>
      </w:r>
      <w:r>
        <w:rPr/>
        <w:t>efectuará</w:t>
      </w:r>
      <w:r>
        <w:rPr>
          <w:spacing w:val="-6"/>
        </w:rPr>
        <w:t> </w:t>
      </w:r>
      <w:r>
        <w:rPr/>
        <w:t>de</w:t>
      </w:r>
      <w:r>
        <w:rPr>
          <w:spacing w:val="-5"/>
        </w:rPr>
        <w:t> </w:t>
      </w:r>
      <w:r>
        <w:rPr/>
        <w:t>conformidad</w:t>
      </w:r>
      <w:r>
        <w:rPr>
          <w:spacing w:val="-7"/>
        </w:rPr>
        <w:t> </w:t>
      </w:r>
      <w:r>
        <w:rPr/>
        <w:t>con</w:t>
      </w:r>
      <w:r>
        <w:rPr>
          <w:spacing w:val="-7"/>
        </w:rPr>
        <w:t> </w:t>
      </w:r>
      <w:r>
        <w:rPr/>
        <w:t>las</w:t>
      </w:r>
      <w:r>
        <w:rPr>
          <w:spacing w:val="-4"/>
        </w:rPr>
        <w:t> </w:t>
      </w:r>
      <w:r>
        <w:rPr/>
        <w:t>normas</w:t>
      </w:r>
      <w:r>
        <w:rPr>
          <w:spacing w:val="-6"/>
        </w:rPr>
        <w:t> </w:t>
      </w:r>
      <w:r>
        <w:rPr>
          <w:spacing w:val="-2"/>
        </w:rPr>
        <w:t>siguientes:</w:t>
      </w:r>
    </w:p>
    <w:p>
      <w:pPr>
        <w:pStyle w:val="BodyText"/>
      </w:pPr>
    </w:p>
    <w:p>
      <w:pPr>
        <w:pStyle w:val="BodyText"/>
        <w:tabs>
          <w:tab w:pos="1195" w:val="left" w:leader="none"/>
        </w:tabs>
        <w:spacing w:before="1"/>
        <w:ind w:left="626"/>
      </w:pPr>
      <w:r>
        <w:rPr>
          <w:rFonts w:ascii="Arial" w:hAnsi="Arial"/>
          <w:b/>
          <w:spacing w:val="-5"/>
        </w:rPr>
        <w:t>l.</w:t>
      </w:r>
      <w:r>
        <w:rPr>
          <w:rFonts w:ascii="Arial" w:hAnsi="Arial"/>
          <w:b/>
        </w:rPr>
        <w:tab/>
      </w:r>
      <w:r>
        <w:rPr/>
        <w:t>El</w:t>
      </w:r>
      <w:r>
        <w:rPr>
          <w:spacing w:val="-4"/>
        </w:rPr>
        <w:t> </w:t>
      </w:r>
      <w:r>
        <w:rPr/>
        <w:t>día</w:t>
      </w:r>
      <w:r>
        <w:rPr>
          <w:spacing w:val="-2"/>
        </w:rPr>
        <w:t> </w:t>
      </w:r>
      <w:r>
        <w:rPr/>
        <w:t>y</w:t>
      </w:r>
      <w:r>
        <w:rPr>
          <w:spacing w:val="-7"/>
        </w:rPr>
        <w:t> </w:t>
      </w:r>
      <w:r>
        <w:rPr/>
        <w:t>hora</w:t>
      </w:r>
      <w:r>
        <w:rPr>
          <w:spacing w:val="-5"/>
        </w:rPr>
        <w:t> </w:t>
      </w:r>
      <w:r>
        <w:rPr/>
        <w:t>señalados</w:t>
      </w:r>
      <w:r>
        <w:rPr>
          <w:spacing w:val="-4"/>
        </w:rPr>
        <w:t> </w:t>
      </w:r>
      <w:r>
        <w:rPr/>
        <w:t>se</w:t>
      </w:r>
      <w:r>
        <w:rPr>
          <w:spacing w:val="-3"/>
        </w:rPr>
        <w:t> </w:t>
      </w:r>
      <w:r>
        <w:rPr/>
        <w:t>llevará</w:t>
      </w:r>
      <w:r>
        <w:rPr>
          <w:spacing w:val="-5"/>
        </w:rPr>
        <w:t> </w:t>
      </w:r>
      <w:r>
        <w:rPr/>
        <w:t>a</w:t>
      </w:r>
      <w:r>
        <w:rPr>
          <w:spacing w:val="-6"/>
        </w:rPr>
        <w:t> </w:t>
      </w:r>
      <w:r>
        <w:rPr/>
        <w:t>cabo</w:t>
      </w:r>
      <w:r>
        <w:rPr>
          <w:spacing w:val="-6"/>
        </w:rPr>
        <w:t> </w:t>
      </w:r>
      <w:r>
        <w:rPr/>
        <w:t>en</w:t>
      </w:r>
      <w:r>
        <w:rPr>
          <w:spacing w:val="-5"/>
        </w:rPr>
        <w:t> </w:t>
      </w:r>
      <w:r>
        <w:rPr/>
        <w:t>el</w:t>
      </w:r>
      <w:r>
        <w:rPr>
          <w:spacing w:val="-6"/>
        </w:rPr>
        <w:t> </w:t>
      </w:r>
      <w:r>
        <w:rPr/>
        <w:t>local</w:t>
      </w:r>
      <w:r>
        <w:rPr>
          <w:spacing w:val="-4"/>
        </w:rPr>
        <w:t> </w:t>
      </w:r>
      <w:r>
        <w:rPr/>
        <w:t>del</w:t>
      </w:r>
      <w:r>
        <w:rPr>
          <w:spacing w:val="-6"/>
        </w:rPr>
        <w:t> </w:t>
      </w:r>
      <w:r>
        <w:rPr/>
        <w:t>Tribunal</w:t>
      </w:r>
      <w:r>
        <w:rPr>
          <w:spacing w:val="-5"/>
        </w:rPr>
        <w:t> </w:t>
      </w:r>
      <w:r>
        <w:rPr>
          <w:spacing w:val="-2"/>
        </w:rPr>
        <w:t>correspondiente;</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ListParagraph"/>
        <w:numPr>
          <w:ilvl w:val="0"/>
          <w:numId w:val="351"/>
        </w:numPr>
        <w:tabs>
          <w:tab w:pos="1195" w:val="left" w:leader="none"/>
        </w:tabs>
        <w:spacing w:line="240" w:lineRule="auto" w:before="229" w:after="0"/>
        <w:ind w:left="1195" w:right="0" w:hanging="569"/>
        <w:jc w:val="left"/>
        <w:rPr>
          <w:sz w:val="20"/>
        </w:rPr>
      </w:pPr>
      <w:r>
        <w:rPr>
          <w:sz w:val="20"/>
        </w:rPr>
        <w:t>Será</w:t>
      </w:r>
      <w:r>
        <w:rPr>
          <w:spacing w:val="-4"/>
          <w:sz w:val="20"/>
        </w:rPr>
        <w:t> </w:t>
      </w:r>
      <w:r>
        <w:rPr>
          <w:sz w:val="20"/>
        </w:rPr>
        <w:t>llevado</w:t>
      </w:r>
      <w:r>
        <w:rPr>
          <w:spacing w:val="-4"/>
          <w:sz w:val="20"/>
        </w:rPr>
        <w:t> </w:t>
      </w:r>
      <w:r>
        <w:rPr>
          <w:sz w:val="20"/>
        </w:rPr>
        <w:t>a</w:t>
      </w:r>
      <w:r>
        <w:rPr>
          <w:spacing w:val="-6"/>
          <w:sz w:val="20"/>
        </w:rPr>
        <w:t> </w:t>
      </w:r>
      <w:r>
        <w:rPr>
          <w:sz w:val="20"/>
        </w:rPr>
        <w:t>cabo</w:t>
      </w:r>
      <w:r>
        <w:rPr>
          <w:spacing w:val="-5"/>
          <w:sz w:val="20"/>
        </w:rPr>
        <w:t> </w:t>
      </w:r>
      <w:r>
        <w:rPr>
          <w:sz w:val="20"/>
        </w:rPr>
        <w:t>por</w:t>
      </w:r>
      <w:r>
        <w:rPr>
          <w:spacing w:val="-6"/>
          <w:sz w:val="20"/>
        </w:rPr>
        <w:t> </w:t>
      </w:r>
      <w:r>
        <w:rPr>
          <w:sz w:val="20"/>
        </w:rPr>
        <w:t>el</w:t>
      </w:r>
      <w:r>
        <w:rPr>
          <w:spacing w:val="-6"/>
          <w:sz w:val="20"/>
        </w:rPr>
        <w:t> </w:t>
      </w:r>
      <w:r>
        <w:rPr>
          <w:sz w:val="20"/>
        </w:rPr>
        <w:t>juez,</w:t>
      </w:r>
      <w:r>
        <w:rPr>
          <w:spacing w:val="-6"/>
          <w:sz w:val="20"/>
        </w:rPr>
        <w:t> </w:t>
      </w:r>
      <w:r>
        <w:rPr>
          <w:sz w:val="20"/>
        </w:rPr>
        <w:t>quien</w:t>
      </w:r>
      <w:r>
        <w:rPr>
          <w:spacing w:val="-6"/>
          <w:sz w:val="20"/>
        </w:rPr>
        <w:t> </w:t>
      </w:r>
      <w:r>
        <w:rPr>
          <w:sz w:val="20"/>
        </w:rPr>
        <w:t>lo</w:t>
      </w:r>
      <w:r>
        <w:rPr>
          <w:spacing w:val="-5"/>
          <w:sz w:val="20"/>
        </w:rPr>
        <w:t> </w:t>
      </w:r>
      <w:r>
        <w:rPr>
          <w:sz w:val="20"/>
        </w:rPr>
        <w:t>declarará</w:t>
      </w:r>
      <w:r>
        <w:rPr>
          <w:spacing w:val="-4"/>
          <w:sz w:val="20"/>
        </w:rPr>
        <w:t> </w:t>
      </w:r>
      <w:r>
        <w:rPr>
          <w:spacing w:val="-2"/>
          <w:sz w:val="20"/>
        </w:rPr>
        <w:t>abierto;</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2"/>
        <w:rPr>
          <w:rFonts w:ascii="Times New Roman"/>
          <w:i/>
        </w:rPr>
      </w:pPr>
    </w:p>
    <w:p>
      <w:pPr>
        <w:pStyle w:val="ListParagraph"/>
        <w:numPr>
          <w:ilvl w:val="0"/>
          <w:numId w:val="351"/>
        </w:numPr>
        <w:tabs>
          <w:tab w:pos="1191" w:val="left" w:leader="none"/>
          <w:tab w:pos="1195" w:val="left" w:leader="none"/>
        </w:tabs>
        <w:spacing w:line="240" w:lineRule="auto" w:before="0" w:after="0"/>
        <w:ind w:left="1195" w:right="335" w:hanging="569"/>
        <w:jc w:val="both"/>
        <w:rPr>
          <w:sz w:val="20"/>
        </w:rPr>
      </w:pPr>
      <w:r>
        <w:rPr>
          <w:sz w:val="20"/>
        </w:rPr>
        <w:t>El juez concederá un término de espera, que no podrá ser mayor de media hora, para recibir posturas; transcurrido éste no se admitirán nuevos postores salvo que sea el actor o el propio </w:t>
      </w:r>
      <w:r>
        <w:rPr>
          <w:spacing w:val="-2"/>
          <w:sz w:val="20"/>
        </w:rPr>
        <w:t>embargado;</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51"/>
        </w:numPr>
        <w:tabs>
          <w:tab w:pos="1195" w:val="left" w:leader="none"/>
        </w:tabs>
        <w:spacing w:line="229" w:lineRule="exact" w:before="0" w:after="0"/>
        <w:ind w:left="1195" w:right="0" w:hanging="569"/>
        <w:jc w:val="left"/>
        <w:rPr>
          <w:sz w:val="20"/>
        </w:rPr>
      </w:pPr>
      <w:r>
        <w:rPr>
          <w:sz w:val="20"/>
        </w:rPr>
        <w:t>El</w:t>
      </w:r>
      <w:r>
        <w:rPr>
          <w:spacing w:val="-8"/>
          <w:sz w:val="20"/>
        </w:rPr>
        <w:t> </w:t>
      </w:r>
      <w:r>
        <w:rPr>
          <w:sz w:val="20"/>
        </w:rPr>
        <w:t>juez</w:t>
      </w:r>
      <w:r>
        <w:rPr>
          <w:spacing w:val="-8"/>
          <w:sz w:val="20"/>
        </w:rPr>
        <w:t> </w:t>
      </w:r>
      <w:r>
        <w:rPr>
          <w:sz w:val="20"/>
        </w:rPr>
        <w:t>calificará</w:t>
      </w:r>
      <w:r>
        <w:rPr>
          <w:spacing w:val="-5"/>
          <w:sz w:val="20"/>
        </w:rPr>
        <w:t> </w:t>
      </w:r>
      <w:r>
        <w:rPr>
          <w:sz w:val="20"/>
        </w:rPr>
        <w:t>las</w:t>
      </w:r>
      <w:r>
        <w:rPr>
          <w:spacing w:val="-5"/>
          <w:sz w:val="20"/>
        </w:rPr>
        <w:t> </w:t>
      </w:r>
      <w:r>
        <w:rPr>
          <w:sz w:val="20"/>
        </w:rPr>
        <w:t>posturas,</w:t>
      </w:r>
      <w:r>
        <w:rPr>
          <w:spacing w:val="-5"/>
          <w:sz w:val="20"/>
        </w:rPr>
        <w:t> </w:t>
      </w:r>
      <w:r>
        <w:rPr>
          <w:sz w:val="20"/>
        </w:rPr>
        <w:t>y</w:t>
      </w:r>
      <w:r>
        <w:rPr>
          <w:spacing w:val="-10"/>
          <w:sz w:val="20"/>
        </w:rPr>
        <w:t> </w:t>
      </w:r>
      <w:r>
        <w:rPr>
          <w:sz w:val="20"/>
        </w:rPr>
        <w:t>concederá</w:t>
      </w:r>
      <w:r>
        <w:rPr>
          <w:spacing w:val="-4"/>
          <w:sz w:val="20"/>
        </w:rPr>
        <w:t> </w:t>
      </w:r>
      <w:r>
        <w:rPr>
          <w:sz w:val="20"/>
        </w:rPr>
        <w:t>quince</w:t>
      </w:r>
      <w:r>
        <w:rPr>
          <w:spacing w:val="-7"/>
          <w:sz w:val="20"/>
        </w:rPr>
        <w:t> </w:t>
      </w:r>
      <w:r>
        <w:rPr>
          <w:sz w:val="20"/>
        </w:rPr>
        <w:t>minutos</w:t>
      </w:r>
      <w:r>
        <w:rPr>
          <w:spacing w:val="-6"/>
          <w:sz w:val="20"/>
        </w:rPr>
        <w:t> </w:t>
      </w:r>
      <w:r>
        <w:rPr>
          <w:sz w:val="20"/>
        </w:rPr>
        <w:t>entre</w:t>
      </w:r>
      <w:r>
        <w:rPr>
          <w:spacing w:val="-7"/>
          <w:sz w:val="20"/>
        </w:rPr>
        <w:t> </w:t>
      </w:r>
      <w:r>
        <w:rPr>
          <w:sz w:val="20"/>
        </w:rPr>
        <w:t>puja</w:t>
      </w:r>
      <w:r>
        <w:rPr>
          <w:spacing w:val="-3"/>
          <w:sz w:val="20"/>
        </w:rPr>
        <w:t> </w:t>
      </w:r>
      <w:r>
        <w:rPr>
          <w:sz w:val="20"/>
        </w:rPr>
        <w:t>y</w:t>
      </w:r>
      <w:r>
        <w:rPr>
          <w:spacing w:val="-7"/>
          <w:sz w:val="20"/>
        </w:rPr>
        <w:t> </w:t>
      </w:r>
      <w:r>
        <w:rPr>
          <w:spacing w:val="-2"/>
          <w:sz w:val="20"/>
        </w:rPr>
        <w:t>puja;</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3" w:lineRule="exact"/>
        <w:jc w:val="lef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ListParagraph"/>
        <w:numPr>
          <w:ilvl w:val="0"/>
          <w:numId w:val="351"/>
        </w:numPr>
        <w:tabs>
          <w:tab w:pos="1195" w:val="left" w:leader="none"/>
        </w:tabs>
        <w:spacing w:line="242" w:lineRule="auto" w:before="0" w:after="0"/>
        <w:ind w:left="1195" w:right="343" w:hanging="569"/>
        <w:jc w:val="left"/>
        <w:rPr>
          <w:sz w:val="20"/>
        </w:rPr>
      </w:pPr>
      <w:r>
        <w:rPr>
          <w:sz w:val="20"/>
        </w:rPr>
        <w:t>El</w:t>
      </w:r>
      <w:r>
        <w:rPr>
          <w:spacing w:val="26"/>
          <w:sz w:val="20"/>
        </w:rPr>
        <w:t> </w:t>
      </w:r>
      <w:r>
        <w:rPr>
          <w:sz w:val="20"/>
        </w:rPr>
        <w:t>actor</w:t>
      </w:r>
      <w:r>
        <w:rPr>
          <w:spacing w:val="27"/>
          <w:sz w:val="20"/>
        </w:rPr>
        <w:t> </w:t>
      </w:r>
      <w:r>
        <w:rPr>
          <w:sz w:val="20"/>
        </w:rPr>
        <w:t>podrá</w:t>
      </w:r>
      <w:r>
        <w:rPr>
          <w:spacing w:val="26"/>
          <w:sz w:val="20"/>
        </w:rPr>
        <w:t> </w:t>
      </w:r>
      <w:r>
        <w:rPr>
          <w:sz w:val="20"/>
        </w:rPr>
        <w:t>concurrir</w:t>
      </w:r>
      <w:r>
        <w:rPr>
          <w:spacing w:val="27"/>
          <w:sz w:val="20"/>
        </w:rPr>
        <w:t> </w:t>
      </w:r>
      <w:r>
        <w:rPr>
          <w:sz w:val="20"/>
        </w:rPr>
        <w:t>a</w:t>
      </w:r>
      <w:r>
        <w:rPr>
          <w:spacing w:val="29"/>
          <w:sz w:val="20"/>
        </w:rPr>
        <w:t> </w:t>
      </w:r>
      <w:r>
        <w:rPr>
          <w:sz w:val="20"/>
        </w:rPr>
        <w:t>la</w:t>
      </w:r>
      <w:r>
        <w:rPr>
          <w:spacing w:val="26"/>
          <w:sz w:val="20"/>
        </w:rPr>
        <w:t> </w:t>
      </w:r>
      <w:r>
        <w:rPr>
          <w:sz w:val="20"/>
        </w:rPr>
        <w:t>almoneda</w:t>
      </w:r>
      <w:r>
        <w:rPr>
          <w:spacing w:val="26"/>
          <w:sz w:val="20"/>
        </w:rPr>
        <w:t> </w:t>
      </w:r>
      <w:r>
        <w:rPr>
          <w:sz w:val="20"/>
        </w:rPr>
        <w:t>como</w:t>
      </w:r>
      <w:r>
        <w:rPr>
          <w:spacing w:val="26"/>
          <w:sz w:val="20"/>
        </w:rPr>
        <w:t> </w:t>
      </w:r>
      <w:r>
        <w:rPr>
          <w:sz w:val="20"/>
        </w:rPr>
        <w:t>postor,</w:t>
      </w:r>
      <w:r>
        <w:rPr>
          <w:spacing w:val="29"/>
          <w:sz w:val="20"/>
        </w:rPr>
        <w:t> </w:t>
      </w:r>
      <w:r>
        <w:rPr>
          <w:sz w:val="20"/>
        </w:rPr>
        <w:t>presentando</w:t>
      </w:r>
      <w:r>
        <w:rPr>
          <w:spacing w:val="29"/>
          <w:sz w:val="20"/>
        </w:rPr>
        <w:t> </w:t>
      </w:r>
      <w:r>
        <w:rPr>
          <w:sz w:val="20"/>
        </w:rPr>
        <w:t>por</w:t>
      </w:r>
      <w:r>
        <w:rPr>
          <w:spacing w:val="27"/>
          <w:sz w:val="20"/>
        </w:rPr>
        <w:t> </w:t>
      </w:r>
      <w:r>
        <w:rPr>
          <w:sz w:val="20"/>
        </w:rPr>
        <w:t>escrito</w:t>
      </w:r>
      <w:r>
        <w:rPr>
          <w:spacing w:val="26"/>
          <w:sz w:val="20"/>
        </w:rPr>
        <w:t> </w:t>
      </w:r>
      <w:r>
        <w:rPr>
          <w:sz w:val="20"/>
        </w:rPr>
        <w:t>su</w:t>
      </w:r>
      <w:r>
        <w:rPr>
          <w:spacing w:val="26"/>
          <w:sz w:val="20"/>
        </w:rPr>
        <w:t> </w:t>
      </w:r>
      <w:r>
        <w:rPr>
          <w:sz w:val="20"/>
        </w:rPr>
        <w:t>postura,</w:t>
      </w:r>
      <w:r>
        <w:rPr>
          <w:spacing w:val="26"/>
          <w:sz w:val="20"/>
        </w:rPr>
        <w:t> </w:t>
      </w:r>
      <w:r>
        <w:rPr>
          <w:sz w:val="20"/>
        </w:rPr>
        <w:t>sin necesidad de cumplir el requisito a que se refiere el artículo 974 de esta Ley; y</w:t>
      </w:r>
    </w:p>
    <w:p>
      <w:pPr>
        <w:pStyle w:val="BodyText"/>
        <w:spacing w:before="7"/>
        <w:rPr>
          <w:sz w:val="11"/>
        </w:rPr>
      </w:pPr>
    </w:p>
    <w:p>
      <w:pPr>
        <w:pStyle w:val="BodyText"/>
        <w:spacing w:after="0"/>
        <w:rPr>
          <w:sz w:val="11"/>
        </w:rPr>
        <w:sectPr>
          <w:pgSz w:w="12240" w:h="15840"/>
          <w:pgMar w:header="724" w:footer="712" w:top="1880" w:bottom="900" w:left="1080" w:right="1080"/>
        </w:sectPr>
      </w:pPr>
    </w:p>
    <w:p>
      <w:pPr>
        <w:pStyle w:val="ListParagraph"/>
        <w:numPr>
          <w:ilvl w:val="0"/>
          <w:numId w:val="351"/>
        </w:numPr>
        <w:tabs>
          <w:tab w:pos="1195" w:val="left" w:leader="none"/>
        </w:tabs>
        <w:spacing w:line="240" w:lineRule="auto" w:before="93" w:after="0"/>
        <w:ind w:left="1195" w:right="0" w:hanging="569"/>
        <w:jc w:val="left"/>
        <w:rPr>
          <w:sz w:val="20"/>
        </w:rPr>
      </w:pPr>
      <w:r>
        <w:rPr>
          <w:sz w:val="20"/>
        </w:rPr>
        <w:t>El</w:t>
      </w:r>
      <w:r>
        <w:rPr>
          <w:spacing w:val="-6"/>
          <w:sz w:val="20"/>
        </w:rPr>
        <w:t> </w:t>
      </w:r>
      <w:r>
        <w:rPr>
          <w:sz w:val="20"/>
        </w:rPr>
        <w:t>juez</w:t>
      </w:r>
      <w:r>
        <w:rPr>
          <w:spacing w:val="-4"/>
          <w:sz w:val="20"/>
        </w:rPr>
        <w:t> </w:t>
      </w:r>
      <w:r>
        <w:rPr>
          <w:sz w:val="20"/>
        </w:rPr>
        <w:t>declarará</w:t>
      </w:r>
      <w:r>
        <w:rPr>
          <w:spacing w:val="-5"/>
          <w:sz w:val="20"/>
        </w:rPr>
        <w:t> </w:t>
      </w:r>
      <w:r>
        <w:rPr>
          <w:sz w:val="20"/>
        </w:rPr>
        <w:t>fincado</w:t>
      </w:r>
      <w:r>
        <w:rPr>
          <w:spacing w:val="-5"/>
          <w:sz w:val="20"/>
        </w:rPr>
        <w:t> </w:t>
      </w:r>
      <w:r>
        <w:rPr>
          <w:sz w:val="20"/>
        </w:rPr>
        <w:t>el</w:t>
      </w:r>
      <w:r>
        <w:rPr>
          <w:spacing w:val="-4"/>
          <w:sz w:val="20"/>
        </w:rPr>
        <w:t> </w:t>
      </w:r>
      <w:r>
        <w:rPr>
          <w:sz w:val="20"/>
        </w:rPr>
        <w:t>remate</w:t>
      </w:r>
      <w:r>
        <w:rPr>
          <w:spacing w:val="-6"/>
          <w:sz w:val="20"/>
        </w:rPr>
        <w:t> </w:t>
      </w:r>
      <w:r>
        <w:rPr>
          <w:sz w:val="20"/>
        </w:rPr>
        <w:t>a</w:t>
      </w:r>
      <w:r>
        <w:rPr>
          <w:spacing w:val="-5"/>
          <w:sz w:val="20"/>
        </w:rPr>
        <w:t> </w:t>
      </w:r>
      <w:r>
        <w:rPr>
          <w:sz w:val="20"/>
        </w:rPr>
        <w:t>favor</w:t>
      </w:r>
      <w:r>
        <w:rPr>
          <w:spacing w:val="-5"/>
          <w:sz w:val="20"/>
        </w:rPr>
        <w:t> </w:t>
      </w:r>
      <w:r>
        <w:rPr>
          <w:sz w:val="20"/>
        </w:rPr>
        <w:t>del</w:t>
      </w:r>
      <w:r>
        <w:rPr>
          <w:spacing w:val="-6"/>
          <w:sz w:val="20"/>
        </w:rPr>
        <w:t> </w:t>
      </w:r>
      <w:r>
        <w:rPr>
          <w:sz w:val="20"/>
        </w:rPr>
        <w:t>mejor</w:t>
      </w:r>
      <w:r>
        <w:rPr>
          <w:spacing w:val="-5"/>
          <w:sz w:val="20"/>
        </w:rPr>
        <w:t> </w:t>
      </w:r>
      <w:r>
        <w:rPr>
          <w:spacing w:val="-2"/>
          <w:sz w:val="20"/>
        </w:rPr>
        <w:t>postor.</w:t>
      </w:r>
    </w:p>
    <w:p>
      <w:pPr>
        <w:spacing w:line="240" w:lineRule="auto" w:before="139"/>
        <w:rPr>
          <w:sz w:val="16"/>
        </w:rPr>
      </w:pPr>
      <w:r>
        <w:rPr/>
        <w:br w:type="column"/>
      </w:r>
      <w:r>
        <w:rPr>
          <w:sz w:val="16"/>
        </w:rPr>
      </w:r>
    </w:p>
    <w:p>
      <w:pPr>
        <w:spacing w:before="0"/>
        <w:ind w:left="643" w:right="0" w:hanging="17"/>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i/>
          <w:sz w:val="16"/>
        </w:rPr>
        <w:sectPr>
          <w:type w:val="continuous"/>
          <w:pgSz w:w="12240" w:h="15840"/>
          <w:pgMar w:header="724" w:footer="712" w:top="1880" w:bottom="900" w:left="1080" w:right="1080"/>
          <w:cols w:num="2" w:equalWidth="0">
            <w:col w:w="6524" w:space="134"/>
            <w:col w:w="3422"/>
          </w:cols>
        </w:sectPr>
      </w:pPr>
    </w:p>
    <w:p>
      <w:pPr>
        <w:pStyle w:val="BodyText"/>
        <w:rPr>
          <w:rFonts w:ascii="Times New Roman"/>
          <w:i/>
        </w:rPr>
      </w:pPr>
    </w:p>
    <w:p>
      <w:pPr>
        <w:pStyle w:val="BodyText"/>
        <w:spacing w:line="242" w:lineRule="auto"/>
        <w:ind w:left="338" w:firstLine="288"/>
      </w:pPr>
      <w:bookmarkStart w:name="Artículo_972" w:id="1219"/>
      <w:bookmarkEnd w:id="1219"/>
      <w:r>
        <w:rPr/>
      </w:r>
      <w:r>
        <w:rPr>
          <w:rFonts w:ascii="Arial" w:hAnsi="Arial"/>
          <w:b/>
        </w:rPr>
        <w:t>Artículo 972.- </w:t>
      </w:r>
      <w:r>
        <w:rPr/>
        <w:t>La diligencia de remate no puede suspenderse. El Tribunal resolverá de inmediato las cuestiones que planteen las partes interesadas.</w:t>
      </w:r>
    </w:p>
    <w:p>
      <w:pPr>
        <w:spacing w:line="178"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BodyText"/>
        <w:spacing w:line="242" w:lineRule="auto"/>
        <w:ind w:left="338" w:right="344" w:firstLine="288"/>
        <w:jc w:val="both"/>
      </w:pPr>
      <w:bookmarkStart w:name="Artículo_973" w:id="1220"/>
      <w:bookmarkEnd w:id="1220"/>
      <w:r>
        <w:rPr/>
      </w:r>
      <w:r>
        <w:rPr>
          <w:rFonts w:ascii="Arial" w:hAnsi="Arial"/>
          <w:b/>
        </w:rPr>
        <w:t>Artículo 973.- </w:t>
      </w:r>
      <w:r>
        <w:rPr/>
        <w:t>Si no se presentan postores, podrá el actor pedir se le adjudiquen los bienes por el precio de su postura, o solicitar la celebración de nuevas almonedas con deducción de un veinte por ciento en cada una de ellas. Las almonedas subsecuentes se celebrarán dentro de los treinta días siguientes a la fecha de la anterior.</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338" w:right="344" w:firstLine="288"/>
        <w:jc w:val="both"/>
      </w:pPr>
      <w:bookmarkStart w:name="Artículo_974" w:id="1221"/>
      <w:bookmarkEnd w:id="1221"/>
      <w:r>
        <w:rPr/>
      </w:r>
      <w:r>
        <w:rPr>
          <w:rFonts w:ascii="Arial" w:hAnsi="Arial"/>
          <w:b/>
        </w:rPr>
        <w:t>Artículo 974.- </w:t>
      </w:r>
      <w:r>
        <w:rPr/>
        <w:t>El adjudicatario exhibirá dentro de los tres días siguientes, el importe total de su postura, apercibido de que de no hacerlo, la cantidad exhibida quedará en favor del actor; y el Tribunal señalará nueva fecha para la celebración de la almoneda.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right="341" w:firstLine="288"/>
        <w:jc w:val="both"/>
      </w:pPr>
      <w:bookmarkStart w:name="Artículo_975" w:id="1222"/>
      <w:bookmarkEnd w:id="1222"/>
      <w:r>
        <w:rPr/>
      </w:r>
      <w:r>
        <w:rPr>
          <w:rFonts w:ascii="Arial" w:hAnsi="Arial"/>
          <w:b/>
        </w:rPr>
        <w:t>Artículo 975.- </w:t>
      </w:r>
      <w:r>
        <w:rPr/>
        <w:t>Exhibido el importe total del precio de la adjudicación, el Tribunal declarará fincado el remate y se observará lo siguiente:</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52"/>
        </w:numPr>
        <w:tabs>
          <w:tab w:pos="1195" w:val="left" w:leader="none"/>
        </w:tabs>
        <w:spacing w:line="242" w:lineRule="auto" w:before="0" w:after="0"/>
        <w:ind w:left="1195" w:right="344" w:hanging="569"/>
        <w:jc w:val="left"/>
        <w:rPr>
          <w:sz w:val="20"/>
        </w:rPr>
      </w:pPr>
      <w:r>
        <w:rPr>
          <w:sz w:val="20"/>
        </w:rPr>
        <w:t>Cubrirá</w:t>
      </w:r>
      <w:r>
        <w:rPr>
          <w:spacing w:val="17"/>
          <w:sz w:val="20"/>
        </w:rPr>
        <w:t> </w:t>
      </w:r>
      <w:r>
        <w:rPr>
          <w:sz w:val="20"/>
        </w:rPr>
        <w:t>de inmediato</w:t>
      </w:r>
      <w:r>
        <w:rPr>
          <w:spacing w:val="17"/>
          <w:sz w:val="20"/>
        </w:rPr>
        <w:t> </w:t>
      </w:r>
      <w:r>
        <w:rPr>
          <w:sz w:val="20"/>
        </w:rPr>
        <w:t>al actor</w:t>
      </w:r>
      <w:r>
        <w:rPr>
          <w:spacing w:val="18"/>
          <w:sz w:val="20"/>
        </w:rPr>
        <w:t> </w:t>
      </w:r>
      <w:r>
        <w:rPr>
          <w:sz w:val="20"/>
        </w:rPr>
        <w:t>y a</w:t>
      </w:r>
      <w:r>
        <w:rPr>
          <w:spacing w:val="17"/>
          <w:sz w:val="20"/>
        </w:rPr>
        <w:t> </w:t>
      </w:r>
      <w:r>
        <w:rPr>
          <w:sz w:val="20"/>
        </w:rPr>
        <w:t>los demás acreedores por su</w:t>
      </w:r>
      <w:r>
        <w:rPr>
          <w:spacing w:val="17"/>
          <w:sz w:val="20"/>
        </w:rPr>
        <w:t> </w:t>
      </w:r>
      <w:r>
        <w:rPr>
          <w:sz w:val="20"/>
        </w:rPr>
        <w:t>orden;</w:t>
      </w:r>
      <w:r>
        <w:rPr>
          <w:spacing w:val="19"/>
          <w:sz w:val="20"/>
        </w:rPr>
        <w:t> </w:t>
      </w:r>
      <w:r>
        <w:rPr>
          <w:sz w:val="20"/>
        </w:rPr>
        <w:t>y si</w:t>
      </w:r>
      <w:r>
        <w:rPr>
          <w:spacing w:val="17"/>
          <w:sz w:val="20"/>
        </w:rPr>
        <w:t> </w:t>
      </w:r>
      <w:r>
        <w:rPr>
          <w:sz w:val="20"/>
        </w:rPr>
        <w:t>hay remanente, se entregará al demandado;</w:t>
      </w:r>
    </w:p>
    <w:p>
      <w:pPr>
        <w:pStyle w:val="ListParagraph"/>
        <w:numPr>
          <w:ilvl w:val="0"/>
          <w:numId w:val="352"/>
        </w:numPr>
        <w:tabs>
          <w:tab w:pos="1195" w:val="left" w:leader="none"/>
        </w:tabs>
        <w:spacing w:line="240" w:lineRule="auto" w:before="225" w:after="0"/>
        <w:ind w:left="1195" w:right="0" w:hanging="569"/>
        <w:jc w:val="left"/>
        <w:rPr>
          <w:sz w:val="20"/>
        </w:rPr>
      </w:pPr>
      <w:r>
        <w:rPr>
          <w:sz w:val="20"/>
        </w:rPr>
        <w:t>Si</w:t>
      </w:r>
      <w:r>
        <w:rPr>
          <w:spacing w:val="-8"/>
          <w:sz w:val="20"/>
        </w:rPr>
        <w:t> </w:t>
      </w:r>
      <w:r>
        <w:rPr>
          <w:sz w:val="20"/>
        </w:rPr>
        <w:t>se</w:t>
      </w:r>
      <w:r>
        <w:rPr>
          <w:spacing w:val="-4"/>
          <w:sz w:val="20"/>
        </w:rPr>
        <w:t> </w:t>
      </w:r>
      <w:r>
        <w:rPr>
          <w:sz w:val="20"/>
        </w:rPr>
        <w:t>trata</w:t>
      </w:r>
      <w:r>
        <w:rPr>
          <w:spacing w:val="-6"/>
          <w:sz w:val="20"/>
        </w:rPr>
        <w:t> </w:t>
      </w:r>
      <w:r>
        <w:rPr>
          <w:sz w:val="20"/>
        </w:rPr>
        <w:t>de</w:t>
      </w:r>
      <w:r>
        <w:rPr>
          <w:spacing w:val="-5"/>
          <w:sz w:val="20"/>
        </w:rPr>
        <w:t> </w:t>
      </w:r>
      <w:r>
        <w:rPr>
          <w:sz w:val="20"/>
        </w:rPr>
        <w:t>bienes</w:t>
      </w:r>
      <w:r>
        <w:rPr>
          <w:spacing w:val="-5"/>
          <w:sz w:val="20"/>
        </w:rPr>
        <w:t> </w:t>
      </w:r>
      <w:r>
        <w:rPr>
          <w:sz w:val="20"/>
        </w:rPr>
        <w:t>inmuebles,</w:t>
      </w:r>
      <w:r>
        <w:rPr>
          <w:spacing w:val="-7"/>
          <w:sz w:val="20"/>
        </w:rPr>
        <w:t> </w:t>
      </w:r>
      <w:r>
        <w:rPr>
          <w:sz w:val="20"/>
        </w:rPr>
        <w:t>se</w:t>
      </w:r>
      <w:r>
        <w:rPr>
          <w:spacing w:val="-4"/>
          <w:sz w:val="20"/>
        </w:rPr>
        <w:t> </w:t>
      </w:r>
      <w:r>
        <w:rPr>
          <w:spacing w:val="-2"/>
          <w:sz w:val="20"/>
        </w:rPr>
        <w:t>observará;</w:t>
      </w:r>
    </w:p>
    <w:p>
      <w:pPr>
        <w:pStyle w:val="BodyText"/>
      </w:pPr>
    </w:p>
    <w:p>
      <w:pPr>
        <w:pStyle w:val="ListParagraph"/>
        <w:numPr>
          <w:ilvl w:val="1"/>
          <w:numId w:val="352"/>
        </w:numPr>
        <w:tabs>
          <w:tab w:pos="1762" w:val="left" w:leader="none"/>
        </w:tabs>
        <w:spacing w:line="242" w:lineRule="auto" w:before="1" w:after="0"/>
        <w:ind w:left="1762" w:right="342" w:hanging="567"/>
        <w:jc w:val="left"/>
        <w:rPr>
          <w:sz w:val="20"/>
        </w:rPr>
      </w:pPr>
      <w:r>
        <w:rPr>
          <w:sz w:val="20"/>
        </w:rPr>
        <w:t>El</w:t>
      </w:r>
      <w:r>
        <w:rPr>
          <w:spacing w:val="27"/>
          <w:sz w:val="20"/>
        </w:rPr>
        <w:t> </w:t>
      </w:r>
      <w:r>
        <w:rPr>
          <w:sz w:val="20"/>
        </w:rPr>
        <w:t>anterior</w:t>
      </w:r>
      <w:r>
        <w:rPr>
          <w:spacing w:val="28"/>
          <w:sz w:val="20"/>
        </w:rPr>
        <w:t> </w:t>
      </w:r>
      <w:r>
        <w:rPr>
          <w:sz w:val="20"/>
        </w:rPr>
        <w:t>propietario</w:t>
      </w:r>
      <w:r>
        <w:rPr>
          <w:spacing w:val="30"/>
          <w:sz w:val="20"/>
        </w:rPr>
        <w:t> </w:t>
      </w:r>
      <w:r>
        <w:rPr>
          <w:sz w:val="20"/>
        </w:rPr>
        <w:t>entregará</w:t>
      </w:r>
      <w:r>
        <w:rPr>
          <w:spacing w:val="28"/>
          <w:sz w:val="20"/>
        </w:rPr>
        <w:t> </w:t>
      </w:r>
      <w:r>
        <w:rPr>
          <w:sz w:val="20"/>
        </w:rPr>
        <w:t>al</w:t>
      </w:r>
      <w:r>
        <w:rPr>
          <w:spacing w:val="27"/>
          <w:sz w:val="20"/>
        </w:rPr>
        <w:t> </w:t>
      </w:r>
      <w:r>
        <w:rPr>
          <w:sz w:val="20"/>
        </w:rPr>
        <w:t>Tribunal,</w:t>
      </w:r>
      <w:r>
        <w:rPr>
          <w:spacing w:val="28"/>
          <w:sz w:val="20"/>
        </w:rPr>
        <w:t> </w:t>
      </w:r>
      <w:r>
        <w:rPr>
          <w:sz w:val="20"/>
        </w:rPr>
        <w:t>toda</w:t>
      </w:r>
      <w:r>
        <w:rPr>
          <w:spacing w:val="30"/>
          <w:sz w:val="20"/>
        </w:rPr>
        <w:t> </w:t>
      </w:r>
      <w:r>
        <w:rPr>
          <w:sz w:val="20"/>
        </w:rPr>
        <w:t>la</w:t>
      </w:r>
      <w:r>
        <w:rPr>
          <w:spacing w:val="30"/>
          <w:sz w:val="20"/>
        </w:rPr>
        <w:t> </w:t>
      </w:r>
      <w:r>
        <w:rPr>
          <w:sz w:val="20"/>
        </w:rPr>
        <w:t>documentación</w:t>
      </w:r>
      <w:r>
        <w:rPr>
          <w:spacing w:val="27"/>
          <w:sz w:val="20"/>
        </w:rPr>
        <w:t> </w:t>
      </w:r>
      <w:r>
        <w:rPr>
          <w:sz w:val="20"/>
        </w:rPr>
        <w:t>relacionada</w:t>
      </w:r>
      <w:r>
        <w:rPr>
          <w:spacing w:val="28"/>
          <w:sz w:val="20"/>
        </w:rPr>
        <w:t> </w:t>
      </w:r>
      <w:r>
        <w:rPr>
          <w:sz w:val="20"/>
        </w:rPr>
        <w:t>con</w:t>
      </w:r>
      <w:r>
        <w:rPr>
          <w:spacing w:val="27"/>
          <w:sz w:val="20"/>
        </w:rPr>
        <w:t> </w:t>
      </w:r>
      <w:r>
        <w:rPr>
          <w:sz w:val="20"/>
        </w:rPr>
        <w:t>el inmueble que se remató.</w:t>
      </w:r>
    </w:p>
    <w:p>
      <w:pPr>
        <w:spacing w:line="180"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01-05-</w:t>
      </w:r>
      <w:r>
        <w:rPr>
          <w:rFonts w:ascii="Times New Roman"/>
          <w:i/>
          <w:color w:val="0000FF"/>
          <w:spacing w:val="-4"/>
          <w:sz w:val="16"/>
        </w:rPr>
        <w:t>2019</w:t>
      </w:r>
    </w:p>
    <w:p>
      <w:pPr>
        <w:pStyle w:val="BodyText"/>
        <w:spacing w:before="45"/>
        <w:rPr>
          <w:rFonts w:ascii="Times New Roman"/>
          <w:i/>
          <w:sz w:val="16"/>
        </w:rPr>
      </w:pPr>
    </w:p>
    <w:p>
      <w:pPr>
        <w:pStyle w:val="ListParagraph"/>
        <w:numPr>
          <w:ilvl w:val="1"/>
          <w:numId w:val="352"/>
        </w:numPr>
        <w:tabs>
          <w:tab w:pos="1759" w:val="left" w:leader="none"/>
          <w:tab w:pos="1762" w:val="left" w:leader="none"/>
        </w:tabs>
        <w:spacing w:line="242" w:lineRule="auto" w:before="0" w:after="0"/>
        <w:ind w:left="1762" w:right="338" w:hanging="567"/>
        <w:jc w:val="both"/>
        <w:rPr>
          <w:sz w:val="20"/>
        </w:rPr>
      </w:pPr>
      <w:r>
        <w:rPr>
          <w:sz w:val="20"/>
        </w:rPr>
        <w:t>Si se lo adjudica el trabajador, deberá ser libre de todo gravamen, impuestos y derechos </w:t>
      </w:r>
      <w:r>
        <w:rPr>
          <w:spacing w:val="-2"/>
          <w:sz w:val="20"/>
        </w:rPr>
        <w:t>fiscales.</w:t>
      </w:r>
    </w:p>
    <w:p>
      <w:pPr>
        <w:pStyle w:val="ListParagraph"/>
        <w:numPr>
          <w:ilvl w:val="1"/>
          <w:numId w:val="352"/>
        </w:numPr>
        <w:tabs>
          <w:tab w:pos="1760" w:val="left" w:leader="none"/>
          <w:tab w:pos="1762" w:val="left" w:leader="none"/>
        </w:tabs>
        <w:spacing w:line="240" w:lineRule="auto" w:before="226" w:after="0"/>
        <w:ind w:left="1762" w:right="345" w:hanging="567"/>
        <w:jc w:val="both"/>
        <w:rPr>
          <w:sz w:val="20"/>
        </w:rPr>
      </w:pPr>
      <w:r>
        <w:rPr>
          <w:sz w:val="20"/>
        </w:rPr>
        <w:t>La</w:t>
      </w:r>
      <w:r>
        <w:rPr>
          <w:spacing w:val="-3"/>
          <w:sz w:val="20"/>
        </w:rPr>
        <w:t> </w:t>
      </w:r>
      <w:r>
        <w:rPr>
          <w:sz w:val="20"/>
        </w:rPr>
        <w:t>escritura deberá</w:t>
      </w:r>
      <w:r>
        <w:rPr>
          <w:spacing w:val="-2"/>
          <w:sz w:val="20"/>
        </w:rPr>
        <w:t> </w:t>
      </w:r>
      <w:r>
        <w:rPr>
          <w:sz w:val="20"/>
        </w:rPr>
        <w:t>firmarla</w:t>
      </w:r>
      <w:r>
        <w:rPr>
          <w:spacing w:val="-3"/>
          <w:sz w:val="20"/>
        </w:rPr>
        <w:t> </w:t>
      </w:r>
      <w:r>
        <w:rPr>
          <w:sz w:val="20"/>
        </w:rPr>
        <w:t>el</w:t>
      </w:r>
      <w:r>
        <w:rPr>
          <w:spacing w:val="-3"/>
          <w:sz w:val="20"/>
        </w:rPr>
        <w:t> </w:t>
      </w:r>
      <w:r>
        <w:rPr>
          <w:sz w:val="20"/>
        </w:rPr>
        <w:t>anterior</w:t>
      </w:r>
      <w:r>
        <w:rPr>
          <w:spacing w:val="-1"/>
          <w:sz w:val="20"/>
        </w:rPr>
        <w:t> </w:t>
      </w:r>
      <w:r>
        <w:rPr>
          <w:sz w:val="20"/>
        </w:rPr>
        <w:t>propietario,</w:t>
      </w:r>
      <w:r>
        <w:rPr>
          <w:spacing w:val="-2"/>
          <w:sz w:val="20"/>
        </w:rPr>
        <w:t> </w:t>
      </w:r>
      <w:r>
        <w:rPr>
          <w:sz w:val="20"/>
        </w:rPr>
        <w:t>dentro</w:t>
      </w:r>
      <w:r>
        <w:rPr>
          <w:spacing w:val="-2"/>
          <w:sz w:val="20"/>
        </w:rPr>
        <w:t> </w:t>
      </w:r>
      <w:r>
        <w:rPr>
          <w:sz w:val="20"/>
        </w:rPr>
        <w:t>de los</w:t>
      </w:r>
      <w:r>
        <w:rPr>
          <w:spacing w:val="-1"/>
          <w:sz w:val="20"/>
        </w:rPr>
        <w:t> </w:t>
      </w:r>
      <w:r>
        <w:rPr>
          <w:sz w:val="20"/>
        </w:rPr>
        <w:t>cinco días</w:t>
      </w:r>
      <w:r>
        <w:rPr>
          <w:spacing w:val="-1"/>
          <w:sz w:val="20"/>
        </w:rPr>
        <w:t> </w:t>
      </w:r>
      <w:r>
        <w:rPr>
          <w:sz w:val="20"/>
        </w:rPr>
        <w:t>siguientes</w:t>
      </w:r>
      <w:r>
        <w:rPr>
          <w:spacing w:val="-1"/>
          <w:sz w:val="20"/>
        </w:rPr>
        <w:t> </w:t>
      </w:r>
      <w:r>
        <w:rPr>
          <w:sz w:val="20"/>
        </w:rPr>
        <w:t>a</w:t>
      </w:r>
      <w:r>
        <w:rPr>
          <w:spacing w:val="-2"/>
          <w:sz w:val="20"/>
        </w:rPr>
        <w:t> </w:t>
      </w:r>
      <w:r>
        <w:rPr>
          <w:sz w:val="20"/>
        </w:rPr>
        <w:t>la notificación que le haga el notario público respectivo. Si no lo hace, el Tribunal lo hará en su rebeldía, y</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01-05-</w:t>
      </w:r>
      <w:r>
        <w:rPr>
          <w:rFonts w:ascii="Times New Roman"/>
          <w:i/>
          <w:color w:val="0000FF"/>
          <w:spacing w:val="-4"/>
          <w:sz w:val="16"/>
        </w:rPr>
        <w:t>2019</w:t>
      </w:r>
    </w:p>
    <w:p>
      <w:pPr>
        <w:pStyle w:val="BodyText"/>
        <w:spacing w:before="47"/>
        <w:rPr>
          <w:rFonts w:ascii="Times New Roman"/>
          <w:i/>
          <w:sz w:val="16"/>
        </w:rPr>
      </w:pPr>
    </w:p>
    <w:p>
      <w:pPr>
        <w:pStyle w:val="ListParagraph"/>
        <w:numPr>
          <w:ilvl w:val="0"/>
          <w:numId w:val="352"/>
        </w:numPr>
        <w:tabs>
          <w:tab w:pos="1195" w:val="left" w:leader="none"/>
        </w:tabs>
        <w:spacing w:line="229" w:lineRule="exact" w:before="0" w:after="0"/>
        <w:ind w:left="1195" w:right="0" w:hanging="569"/>
        <w:jc w:val="left"/>
        <w:rPr>
          <w:sz w:val="20"/>
        </w:rPr>
      </w:pPr>
      <w:r>
        <w:rPr>
          <w:sz w:val="20"/>
        </w:rPr>
        <w:t>Firmada</w:t>
      </w:r>
      <w:r>
        <w:rPr>
          <w:spacing w:val="-7"/>
          <w:sz w:val="20"/>
        </w:rPr>
        <w:t> </w:t>
      </w:r>
      <w:r>
        <w:rPr>
          <w:sz w:val="20"/>
        </w:rPr>
        <w:t>la</w:t>
      </w:r>
      <w:r>
        <w:rPr>
          <w:spacing w:val="-6"/>
          <w:sz w:val="20"/>
        </w:rPr>
        <w:t> </w:t>
      </w:r>
      <w:r>
        <w:rPr>
          <w:sz w:val="20"/>
        </w:rPr>
        <w:t>escritura,</w:t>
      </w:r>
      <w:r>
        <w:rPr>
          <w:spacing w:val="-7"/>
          <w:sz w:val="20"/>
        </w:rPr>
        <w:t> </w:t>
      </w:r>
      <w:r>
        <w:rPr>
          <w:sz w:val="20"/>
        </w:rPr>
        <w:t>se</w:t>
      </w:r>
      <w:r>
        <w:rPr>
          <w:spacing w:val="-6"/>
          <w:sz w:val="20"/>
        </w:rPr>
        <w:t> </w:t>
      </w:r>
      <w:r>
        <w:rPr>
          <w:sz w:val="20"/>
        </w:rPr>
        <w:t>pondrá</w:t>
      </w:r>
      <w:r>
        <w:rPr>
          <w:spacing w:val="-6"/>
          <w:sz w:val="20"/>
        </w:rPr>
        <w:t> </w:t>
      </w:r>
      <w:r>
        <w:rPr>
          <w:sz w:val="20"/>
        </w:rPr>
        <w:t>al</w:t>
      </w:r>
      <w:r>
        <w:rPr>
          <w:spacing w:val="-7"/>
          <w:sz w:val="20"/>
        </w:rPr>
        <w:t> </w:t>
      </w:r>
      <w:r>
        <w:rPr>
          <w:sz w:val="20"/>
        </w:rPr>
        <w:t>adquirente</w:t>
      </w:r>
      <w:r>
        <w:rPr>
          <w:spacing w:val="-7"/>
          <w:sz w:val="20"/>
        </w:rPr>
        <w:t> </w:t>
      </w:r>
      <w:r>
        <w:rPr>
          <w:sz w:val="20"/>
        </w:rPr>
        <w:t>en</w:t>
      </w:r>
      <w:r>
        <w:rPr>
          <w:spacing w:val="-6"/>
          <w:sz w:val="20"/>
        </w:rPr>
        <w:t> </w:t>
      </w:r>
      <w:r>
        <w:rPr>
          <w:sz w:val="20"/>
        </w:rPr>
        <w:t>posesión</w:t>
      </w:r>
      <w:r>
        <w:rPr>
          <w:spacing w:val="-7"/>
          <w:sz w:val="20"/>
        </w:rPr>
        <w:t> </w:t>
      </w:r>
      <w:r>
        <w:rPr>
          <w:sz w:val="20"/>
        </w:rPr>
        <w:t>del</w:t>
      </w:r>
      <w:r>
        <w:rPr>
          <w:spacing w:val="-6"/>
          <w:sz w:val="20"/>
        </w:rPr>
        <w:t> </w:t>
      </w:r>
      <w:r>
        <w:rPr>
          <w:spacing w:val="-2"/>
          <w:sz w:val="20"/>
        </w:rPr>
        <w:t>inmueble.</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Heading1"/>
        <w:spacing w:before="230"/>
      </w:pPr>
      <w:r>
        <w:rPr/>
        <w:t>CAPITULO</w:t>
      </w:r>
      <w:r>
        <w:rPr>
          <w:spacing w:val="-9"/>
        </w:rPr>
        <w:t> </w:t>
      </w:r>
      <w:r>
        <w:rPr>
          <w:spacing w:val="-7"/>
        </w:rPr>
        <w:t>II</w:t>
      </w:r>
    </w:p>
    <w:p>
      <w:pPr>
        <w:pStyle w:val="Heading2"/>
        <w:spacing w:before="1"/>
        <w:ind w:left="296"/>
      </w:pPr>
      <w:r>
        <w:rPr/>
        <w:t>Procedimiento</w:t>
      </w:r>
      <w:r>
        <w:rPr>
          <w:spacing w:val="-6"/>
        </w:rPr>
        <w:t> </w:t>
      </w:r>
      <w:r>
        <w:rPr/>
        <w:t>de</w:t>
      </w:r>
      <w:r>
        <w:rPr>
          <w:spacing w:val="-6"/>
        </w:rPr>
        <w:t> </w:t>
      </w:r>
      <w:r>
        <w:rPr/>
        <w:t>las</w:t>
      </w:r>
      <w:r>
        <w:rPr>
          <w:spacing w:val="-6"/>
        </w:rPr>
        <w:t> </w:t>
      </w:r>
      <w:r>
        <w:rPr/>
        <w:t>tercerías</w:t>
      </w:r>
      <w:r>
        <w:rPr>
          <w:spacing w:val="-6"/>
        </w:rPr>
        <w:t> </w:t>
      </w:r>
      <w:r>
        <w:rPr/>
        <w:t>y</w:t>
      </w:r>
      <w:r>
        <w:rPr>
          <w:spacing w:val="-8"/>
        </w:rPr>
        <w:t> </w:t>
      </w:r>
      <w:r>
        <w:rPr/>
        <w:t>preferencias</w:t>
      </w:r>
      <w:r>
        <w:rPr>
          <w:spacing w:val="-6"/>
        </w:rPr>
        <w:t> </w:t>
      </w:r>
      <w:r>
        <w:rPr/>
        <w:t>de</w:t>
      </w:r>
      <w:r>
        <w:rPr>
          <w:spacing w:val="-3"/>
        </w:rPr>
        <w:t> </w:t>
      </w:r>
      <w:r>
        <w:rPr>
          <w:spacing w:val="-2"/>
        </w:rPr>
        <w:t>crédito</w:t>
      </w:r>
    </w:p>
    <w:p>
      <w:pPr>
        <w:spacing w:before="1"/>
        <w:ind w:left="5564"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Heading2"/>
        <w:spacing w:before="251"/>
        <w:ind w:left="4131" w:right="4124"/>
      </w:pPr>
      <w:r>
        <w:rPr/>
        <w:t>Sección</w:t>
      </w:r>
      <w:r>
        <w:rPr>
          <w:spacing w:val="-16"/>
        </w:rPr>
        <w:t> </w:t>
      </w:r>
      <w:r>
        <w:rPr/>
        <w:t>Primera De las tercerías</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line="184" w:lineRule="exact"/>
        <w:jc w:val="right"/>
        <w:rPr>
          <w:rFonts w:ascii="Times New Roman" w:hAnsi="Times New Roman"/>
          <w:i/>
          <w:sz w:val="16"/>
        </w:rPr>
        <w:sectPr>
          <w:type w:val="continuous"/>
          <w:pgSz w:w="12240" w:h="15840"/>
          <w:pgMar w:header="724" w:footer="712" w:top="1880" w:bottom="900" w:left="1080" w:right="1080"/>
        </w:sectPr>
      </w:pPr>
    </w:p>
    <w:p>
      <w:pPr>
        <w:pStyle w:val="BodyText"/>
        <w:spacing w:before="63"/>
        <w:rPr>
          <w:rFonts w:ascii="Times New Roman"/>
          <w:i/>
        </w:rPr>
      </w:pPr>
    </w:p>
    <w:p>
      <w:pPr>
        <w:pStyle w:val="BodyText"/>
        <w:spacing w:line="242" w:lineRule="auto"/>
        <w:ind w:left="338" w:right="339" w:firstLine="288"/>
        <w:jc w:val="both"/>
      </w:pPr>
      <w:bookmarkStart w:name="Artículo_976" w:id="1223"/>
      <w:bookmarkEnd w:id="1223"/>
      <w:r>
        <w:rPr/>
      </w:r>
      <w:r>
        <w:rPr>
          <w:rFonts w:ascii="Arial" w:hAnsi="Arial"/>
          <w:b/>
        </w:rPr>
        <w:t>Artículo 976.- </w:t>
      </w:r>
      <w:r>
        <w:rPr/>
        <w:t>Las tercerías pueden ser excluyentes de dominio o de preferencia. Las primeras tienen por objeto conseguir el levantamiento del embargo practicado en bienes de propiedad de terceros; las segundas obtener que se pague preferentemente un crédito con el producto de los bienes embargados.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338" w:right="334" w:firstLine="288"/>
        <w:jc w:val="both"/>
      </w:pPr>
      <w:bookmarkStart w:name="Artículo_977" w:id="1224"/>
      <w:bookmarkEnd w:id="1224"/>
      <w:r>
        <w:rPr/>
      </w:r>
      <w:r>
        <w:rPr>
          <w:rFonts w:ascii="Arial" w:hAnsi="Arial"/>
          <w:b/>
        </w:rPr>
        <w:t>Artículo 977.- </w:t>
      </w:r>
      <w:r>
        <w:rPr/>
        <w:t>Las tercerías se tramitarán y</w:t>
      </w:r>
      <w:r>
        <w:rPr>
          <w:spacing w:val="-5"/>
        </w:rPr>
        <w:t> </w:t>
      </w:r>
      <w:r>
        <w:rPr/>
        <w:t>resolverán por el</w:t>
      </w:r>
      <w:r>
        <w:rPr>
          <w:spacing w:val="-1"/>
        </w:rPr>
        <w:t> </w:t>
      </w:r>
      <w:r>
        <w:rPr/>
        <w:t>Tribunal que conozca del juicio principal, sustanciándose en forma incidental, conforme a las normas siguientes: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53"/>
        </w:numPr>
        <w:tabs>
          <w:tab w:pos="1193" w:val="left" w:leader="none"/>
          <w:tab w:pos="1195" w:val="left" w:leader="none"/>
        </w:tabs>
        <w:spacing w:line="240" w:lineRule="auto" w:before="0" w:after="0"/>
        <w:ind w:left="1195" w:right="346" w:hanging="569"/>
        <w:jc w:val="both"/>
        <w:rPr>
          <w:sz w:val="20"/>
        </w:rPr>
      </w:pPr>
      <w:r>
        <w:rPr>
          <w:sz w:val="20"/>
        </w:rPr>
        <w:t>La tercería se interpondrá por escrito, acompañando el título en que se funde y las pruebas pertinentes; si no se cumplen los requisitos anteriores, se desechará de plano;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ListParagraph"/>
        <w:numPr>
          <w:ilvl w:val="0"/>
          <w:numId w:val="353"/>
        </w:numPr>
        <w:tabs>
          <w:tab w:pos="1192" w:val="left" w:leader="none"/>
          <w:tab w:pos="1195" w:val="left" w:leader="none"/>
        </w:tabs>
        <w:spacing w:line="240" w:lineRule="auto" w:before="0" w:after="0"/>
        <w:ind w:left="1195" w:right="336" w:hanging="569"/>
        <w:jc w:val="both"/>
        <w:rPr>
          <w:sz w:val="20"/>
        </w:rPr>
      </w:pPr>
      <w:r>
        <w:rPr>
          <w:sz w:val="20"/>
        </w:rPr>
        <w:t>El Tribunal ordenará se tramite la tercería por cuerda separada y citará a las partes a una audiencia, dentro de los diez días siguientes, en la que las oirá y después de desahogadas las pruebas, dictará resolución;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53"/>
        </w:numPr>
        <w:tabs>
          <w:tab w:pos="1195" w:val="left" w:leader="none"/>
        </w:tabs>
        <w:spacing w:line="240" w:lineRule="auto" w:before="0" w:after="0"/>
        <w:ind w:left="1195" w:right="343" w:hanging="569"/>
        <w:jc w:val="left"/>
        <w:rPr>
          <w:sz w:val="20"/>
        </w:rPr>
      </w:pPr>
      <w:r>
        <w:rPr>
          <w:sz w:val="20"/>
        </w:rPr>
        <w:t>En cuanto al ofrecimiento, admisión y desahogo de las pruebas, se observará lo dispuesto en los Capítulos XII, XVII y XVIII del Título Catorce de esta Ley;</w:t>
      </w:r>
    </w:p>
    <w:p>
      <w:pPr>
        <w:pStyle w:val="ListParagraph"/>
        <w:numPr>
          <w:ilvl w:val="0"/>
          <w:numId w:val="353"/>
        </w:numPr>
        <w:tabs>
          <w:tab w:pos="1195" w:val="left" w:leader="none"/>
        </w:tabs>
        <w:spacing w:line="242" w:lineRule="auto" w:before="229" w:after="0"/>
        <w:ind w:left="1195" w:right="344" w:hanging="569"/>
        <w:jc w:val="left"/>
        <w:rPr>
          <w:sz w:val="20"/>
        </w:rPr>
      </w:pPr>
      <w:r>
        <w:rPr>
          <w:sz w:val="20"/>
        </w:rPr>
        <w:t>Las tercerías no suspenden la tramitación del procedimiento. La tercería excluyente de dominio suspende únicamente el acto de remate; la de preferencia el pago del crédito; y</w:t>
      </w:r>
    </w:p>
    <w:p>
      <w:pPr>
        <w:pStyle w:val="ListParagraph"/>
        <w:numPr>
          <w:ilvl w:val="0"/>
          <w:numId w:val="353"/>
        </w:numPr>
        <w:tabs>
          <w:tab w:pos="1195" w:val="left" w:leader="none"/>
        </w:tabs>
        <w:spacing w:line="240" w:lineRule="auto" w:before="227" w:after="0"/>
        <w:ind w:left="1195" w:right="337" w:hanging="569"/>
        <w:jc w:val="left"/>
        <w:rPr>
          <w:sz w:val="20"/>
        </w:rPr>
      </w:pPr>
      <w:r>
        <w:rPr>
          <w:sz w:val="20"/>
        </w:rPr>
        <w:t>Si se declara procedente la tercería, el</w:t>
      </w:r>
      <w:r>
        <w:rPr>
          <w:spacing w:val="-1"/>
          <w:sz w:val="20"/>
        </w:rPr>
        <w:t> </w:t>
      </w:r>
      <w:r>
        <w:rPr>
          <w:sz w:val="20"/>
        </w:rPr>
        <w:t>Tribunal ordenará el</w:t>
      </w:r>
      <w:r>
        <w:rPr>
          <w:spacing w:val="-1"/>
          <w:sz w:val="20"/>
        </w:rPr>
        <w:t> </w:t>
      </w:r>
      <w:r>
        <w:rPr>
          <w:sz w:val="20"/>
        </w:rPr>
        <w:t>levantamiento del embargo y, en su caso, ordenará se pague el crédito declarado preferente.</w:t>
      </w:r>
    </w:p>
    <w:p>
      <w:pPr>
        <w:spacing w:before="0"/>
        <w:ind w:left="7302" w:right="333" w:hanging="17"/>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4"/>
        <w:rPr>
          <w:rFonts w:ascii="Times New Roman"/>
          <w:i/>
          <w:sz w:val="16"/>
        </w:rPr>
      </w:pPr>
    </w:p>
    <w:p>
      <w:pPr>
        <w:pStyle w:val="BodyText"/>
        <w:ind w:left="338" w:right="341" w:firstLine="288"/>
        <w:jc w:val="both"/>
      </w:pPr>
      <w:bookmarkStart w:name="Artículo_978" w:id="1225"/>
      <w:bookmarkEnd w:id="1225"/>
      <w:r>
        <w:rPr/>
      </w:r>
      <w:r>
        <w:rPr>
          <w:rFonts w:ascii="Arial" w:hAnsi="Arial"/>
          <w:b/>
        </w:rPr>
        <w:t>Artículo 978.- </w:t>
      </w:r>
      <w:r>
        <w:rPr/>
        <w:t>El tercerista podrá presentar la demanda ante la autoridad exhortada que practicó el embargo,</w:t>
      </w:r>
      <w:r>
        <w:rPr>
          <w:spacing w:val="-2"/>
        </w:rPr>
        <w:t> </w:t>
      </w:r>
      <w:r>
        <w:rPr/>
        <w:t>debiendo</w:t>
      </w:r>
      <w:r>
        <w:rPr>
          <w:spacing w:val="-2"/>
        </w:rPr>
        <w:t> </w:t>
      </w:r>
      <w:r>
        <w:rPr/>
        <w:t>designar</w:t>
      </w:r>
      <w:r>
        <w:rPr>
          <w:spacing w:val="-1"/>
        </w:rPr>
        <w:t> </w:t>
      </w:r>
      <w:r>
        <w:rPr/>
        <w:t>domicilio</w:t>
      </w:r>
      <w:r>
        <w:rPr>
          <w:spacing w:val="-2"/>
        </w:rPr>
        <w:t> </w:t>
      </w:r>
      <w:r>
        <w:rPr/>
        <w:t>en</w:t>
      </w:r>
      <w:r>
        <w:rPr>
          <w:spacing w:val="-2"/>
        </w:rPr>
        <w:t> </w:t>
      </w:r>
      <w:r>
        <w:rPr/>
        <w:t>el</w:t>
      </w:r>
      <w:r>
        <w:rPr>
          <w:spacing w:val="-3"/>
        </w:rPr>
        <w:t> </w:t>
      </w:r>
      <w:r>
        <w:rPr/>
        <w:t>lugar</w:t>
      </w:r>
      <w:r>
        <w:rPr>
          <w:spacing w:val="-1"/>
        </w:rPr>
        <w:t> </w:t>
      </w:r>
      <w:r>
        <w:rPr/>
        <w:t>de</w:t>
      </w:r>
      <w:r>
        <w:rPr>
          <w:spacing w:val="-2"/>
        </w:rPr>
        <w:t> </w:t>
      </w:r>
      <w:r>
        <w:rPr/>
        <w:t>residencia</w:t>
      </w:r>
      <w:r>
        <w:rPr>
          <w:spacing w:val="-2"/>
        </w:rPr>
        <w:t> </w:t>
      </w:r>
      <w:r>
        <w:rPr/>
        <w:t>del</w:t>
      </w:r>
      <w:r>
        <w:rPr>
          <w:spacing w:val="-3"/>
        </w:rPr>
        <w:t> </w:t>
      </w:r>
      <w:r>
        <w:rPr/>
        <w:t>Tribunal</w:t>
      </w:r>
      <w:r>
        <w:rPr>
          <w:spacing w:val="-3"/>
        </w:rPr>
        <w:t> </w:t>
      </w:r>
      <w:r>
        <w:rPr/>
        <w:t>exhortante</w:t>
      </w:r>
      <w:r>
        <w:rPr>
          <w:spacing w:val="-2"/>
        </w:rPr>
        <w:t> </w:t>
      </w:r>
      <w:r>
        <w:rPr/>
        <w:t>dentro</w:t>
      </w:r>
      <w:r>
        <w:rPr>
          <w:spacing w:val="-2"/>
        </w:rPr>
        <w:t> </w:t>
      </w:r>
      <w:r>
        <w:rPr/>
        <w:t>del</w:t>
      </w:r>
      <w:r>
        <w:rPr>
          <w:spacing w:val="-3"/>
        </w:rPr>
        <w:t> </w:t>
      </w:r>
      <w:r>
        <w:rPr/>
        <w:t>término de cinco días a la fecha en que se practicó, o tuvo conocimiento del mismo, debiendo señalar domicilio dentro de la</w:t>
      </w:r>
      <w:r>
        <w:rPr>
          <w:spacing w:val="-1"/>
        </w:rPr>
        <w:t> </w:t>
      </w:r>
      <w:r>
        <w:rPr/>
        <w:t>jurisdicción</w:t>
      </w:r>
      <w:r>
        <w:rPr>
          <w:spacing w:val="-1"/>
        </w:rPr>
        <w:t> </w:t>
      </w:r>
      <w:r>
        <w:rPr/>
        <w:t>del exhortante, si no hace la designación,</w:t>
      </w:r>
      <w:r>
        <w:rPr>
          <w:spacing w:val="-1"/>
        </w:rPr>
        <w:t> </w:t>
      </w:r>
      <w:r>
        <w:rPr/>
        <w:t>todas las notificaciones se le harán por boletín o por estrados.</w:t>
      </w:r>
    </w:p>
    <w:p>
      <w:pPr>
        <w:pStyle w:val="BodyText"/>
        <w:spacing w:before="2"/>
      </w:pPr>
    </w:p>
    <w:p>
      <w:pPr>
        <w:pStyle w:val="BodyText"/>
        <w:spacing w:before="1"/>
        <w:ind w:left="338" w:right="344" w:firstLine="288"/>
        <w:jc w:val="both"/>
      </w:pPr>
      <w:r>
        <w:rPr/>
        <w:t>La autoridad exhortada, al devolver el exhorto, remitirá la demanda de tercería, dentro del término de tres días a la fecha en que se haya practicado el embargo.</w:t>
      </w:r>
    </w:p>
    <w:p>
      <w:pPr>
        <w:spacing w:line="182"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Heading2"/>
        <w:spacing w:line="252" w:lineRule="exact"/>
        <w:ind w:left="301"/>
      </w:pPr>
      <w:r>
        <w:rPr/>
        <w:t>Sección</w:t>
      </w:r>
      <w:r>
        <w:rPr>
          <w:spacing w:val="-3"/>
        </w:rPr>
        <w:t> </w:t>
      </w:r>
      <w:r>
        <w:rPr>
          <w:spacing w:val="-2"/>
        </w:rPr>
        <w:t>Segunda</w:t>
      </w:r>
    </w:p>
    <w:p>
      <w:pPr>
        <w:spacing w:line="252" w:lineRule="exact" w:before="0"/>
        <w:ind w:left="298" w:right="296"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preferencia</w:t>
      </w:r>
      <w:r>
        <w:rPr>
          <w:rFonts w:ascii="Arial" w:hAnsi="Arial"/>
          <w:b/>
          <w:spacing w:val="-4"/>
          <w:sz w:val="22"/>
        </w:rPr>
        <w:t> </w:t>
      </w:r>
      <w:r>
        <w:rPr>
          <w:rFonts w:ascii="Arial" w:hAnsi="Arial"/>
          <w:b/>
          <w:sz w:val="22"/>
        </w:rPr>
        <w:t>de</w:t>
      </w:r>
      <w:r>
        <w:rPr>
          <w:rFonts w:ascii="Arial" w:hAnsi="Arial"/>
          <w:b/>
          <w:spacing w:val="-2"/>
          <w:sz w:val="22"/>
        </w:rPr>
        <w:t> créditos</w:t>
      </w:r>
    </w:p>
    <w:p>
      <w:pPr>
        <w:spacing w:before="1"/>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338" w:right="338" w:firstLine="288"/>
        <w:jc w:val="both"/>
      </w:pPr>
      <w:bookmarkStart w:name="Artículo_979" w:id="1226"/>
      <w:bookmarkEnd w:id="1226"/>
      <w:r>
        <w:rPr/>
      </w:r>
      <w:r>
        <w:rPr>
          <w:rFonts w:ascii="Arial" w:hAnsi="Arial"/>
          <w:b/>
        </w:rPr>
        <w:t>Artículo 979.- </w:t>
      </w:r>
      <w:r>
        <w:rPr/>
        <w:t>Cuando exista un conflicto individual o colectivo, los trabajadores podrán solicitar al Tribunal, para los</w:t>
      </w:r>
      <w:r>
        <w:rPr>
          <w:spacing w:val="-1"/>
        </w:rPr>
        <w:t> </w:t>
      </w:r>
      <w:r>
        <w:rPr/>
        <w:t>efectos</w:t>
      </w:r>
      <w:r>
        <w:rPr>
          <w:spacing w:val="-1"/>
        </w:rPr>
        <w:t> </w:t>
      </w:r>
      <w:r>
        <w:rPr/>
        <w:t>del</w:t>
      </w:r>
      <w:r>
        <w:rPr>
          <w:spacing w:val="-3"/>
        </w:rPr>
        <w:t> </w:t>
      </w:r>
      <w:r>
        <w:rPr/>
        <w:t>artículo 113, que</w:t>
      </w:r>
      <w:r>
        <w:rPr>
          <w:spacing w:val="-2"/>
        </w:rPr>
        <w:t> </w:t>
      </w:r>
      <w:r>
        <w:rPr/>
        <w:t>prevenga</w:t>
      </w:r>
      <w:r>
        <w:rPr>
          <w:spacing w:val="-3"/>
        </w:rPr>
        <w:t> </w:t>
      </w:r>
      <w:r>
        <w:rPr/>
        <w:t>a la</w:t>
      </w:r>
      <w:r>
        <w:rPr>
          <w:spacing w:val="-2"/>
        </w:rPr>
        <w:t> </w:t>
      </w:r>
      <w:r>
        <w:rPr/>
        <w:t>autoridad</w:t>
      </w:r>
      <w:r>
        <w:rPr>
          <w:spacing w:val="-2"/>
        </w:rPr>
        <w:t> </w:t>
      </w:r>
      <w:r>
        <w:rPr/>
        <w:t>jurisdiccional o</w:t>
      </w:r>
      <w:r>
        <w:rPr>
          <w:spacing w:val="-2"/>
        </w:rPr>
        <w:t> </w:t>
      </w:r>
      <w:r>
        <w:rPr/>
        <w:t>administrativa</w:t>
      </w:r>
      <w:r>
        <w:rPr>
          <w:spacing w:val="-2"/>
        </w:rPr>
        <w:t> </w:t>
      </w:r>
      <w:r>
        <w:rPr/>
        <w:t>ante la que se tramiten juicios en los que se pretendan hacer efectivos créditos contra el patrón para que, antes de</w:t>
      </w:r>
      <w:r>
        <w:rPr>
          <w:spacing w:val="-1"/>
        </w:rPr>
        <w:t> </w:t>
      </w:r>
      <w:r>
        <w:rPr/>
        <w:t>llevar a</w:t>
      </w:r>
      <w:r>
        <w:rPr>
          <w:spacing w:val="-1"/>
        </w:rPr>
        <w:t> </w:t>
      </w:r>
      <w:r>
        <w:rPr/>
        <w:t>cabo</w:t>
      </w:r>
      <w:r>
        <w:rPr>
          <w:spacing w:val="-1"/>
        </w:rPr>
        <w:t> </w:t>
      </w:r>
      <w:r>
        <w:rPr/>
        <w:t>el</w:t>
      </w:r>
      <w:r>
        <w:rPr>
          <w:spacing w:val="-2"/>
        </w:rPr>
        <w:t> </w:t>
      </w:r>
      <w:r>
        <w:rPr/>
        <w:t>remate</w:t>
      </w:r>
      <w:r>
        <w:rPr>
          <w:spacing w:val="-2"/>
        </w:rPr>
        <w:t> </w:t>
      </w:r>
      <w:r>
        <w:rPr/>
        <w:t>o</w:t>
      </w:r>
      <w:r>
        <w:rPr>
          <w:spacing w:val="-1"/>
        </w:rPr>
        <w:t> </w:t>
      </w:r>
      <w:r>
        <w:rPr/>
        <w:t>la</w:t>
      </w:r>
      <w:r>
        <w:rPr>
          <w:spacing w:val="-1"/>
        </w:rPr>
        <w:t> </w:t>
      </w:r>
      <w:r>
        <w:rPr/>
        <w:t>adjudicación</w:t>
      </w:r>
      <w:r>
        <w:rPr>
          <w:spacing w:val="-1"/>
        </w:rPr>
        <w:t> </w:t>
      </w:r>
      <w:r>
        <w:rPr/>
        <w:t>de los bienes embargados,</w:t>
      </w:r>
      <w:r>
        <w:rPr>
          <w:spacing w:val="-1"/>
        </w:rPr>
        <w:t> </w:t>
      </w:r>
      <w:r>
        <w:rPr/>
        <w:t>les notifique</w:t>
      </w:r>
      <w:r>
        <w:rPr>
          <w:spacing w:val="-2"/>
        </w:rPr>
        <w:t> </w:t>
      </w:r>
      <w:r>
        <w:rPr/>
        <w:t>para</w:t>
      </w:r>
      <w:r>
        <w:rPr>
          <w:spacing w:val="-1"/>
        </w:rPr>
        <w:t> </w:t>
      </w:r>
      <w:r>
        <w:rPr/>
        <w:t>garantizar el derecho preferente que la Ley les concede en dicha disposición, una vez tramitada la tercería excluyente de preferencia correspondiente y determinado el monto del mismo.</w:t>
      </w:r>
    </w:p>
    <w:p>
      <w:pPr>
        <w:spacing w:before="1"/>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6" w:firstLine="288"/>
        <w:jc w:val="both"/>
      </w:pPr>
      <w:r>
        <w:rPr/>
        <w:t>Si resultan insuficientes los bienes embargados para cubrir los créditos de todos los trabajadores, se harán a prorrata dejando a salvo sus derechos.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3"/>
        <w:rPr>
          <w:rFonts w:ascii="Times New Roman"/>
          <w:i/>
        </w:rPr>
      </w:pPr>
    </w:p>
    <w:p>
      <w:pPr>
        <w:pStyle w:val="BodyText"/>
        <w:ind w:left="626"/>
      </w:pPr>
      <w:bookmarkStart w:name="Artículo_980" w:id="1227"/>
      <w:bookmarkEnd w:id="1227"/>
      <w:r>
        <w:rPr/>
      </w:r>
      <w:r>
        <w:rPr>
          <w:rFonts w:ascii="Arial" w:hAnsi="Arial"/>
          <w:b/>
        </w:rPr>
        <w:t>Artículo</w:t>
      </w:r>
      <w:r>
        <w:rPr>
          <w:rFonts w:ascii="Arial" w:hAnsi="Arial"/>
          <w:b/>
          <w:spacing w:val="-6"/>
        </w:rPr>
        <w:t> </w:t>
      </w:r>
      <w:r>
        <w:rPr>
          <w:rFonts w:ascii="Arial" w:hAnsi="Arial"/>
          <w:b/>
        </w:rPr>
        <w:t>980.-</w:t>
      </w:r>
      <w:r>
        <w:rPr>
          <w:rFonts w:ascii="Arial" w:hAnsi="Arial"/>
          <w:b/>
          <w:spacing w:val="-6"/>
        </w:rPr>
        <w:t> </w:t>
      </w:r>
      <w:r>
        <w:rPr/>
        <w:t>La</w:t>
      </w:r>
      <w:r>
        <w:rPr>
          <w:spacing w:val="-7"/>
        </w:rPr>
        <w:t> </w:t>
      </w:r>
      <w:r>
        <w:rPr/>
        <w:t>preferencia</w:t>
      </w:r>
      <w:r>
        <w:rPr>
          <w:spacing w:val="-7"/>
        </w:rPr>
        <w:t> </w:t>
      </w:r>
      <w:r>
        <w:rPr/>
        <w:t>se</w:t>
      </w:r>
      <w:r>
        <w:rPr>
          <w:spacing w:val="-7"/>
        </w:rPr>
        <w:t> </w:t>
      </w:r>
      <w:r>
        <w:rPr/>
        <w:t>substanciará</w:t>
      </w:r>
      <w:r>
        <w:rPr>
          <w:spacing w:val="-6"/>
        </w:rPr>
        <w:t> </w:t>
      </w:r>
      <w:r>
        <w:rPr/>
        <w:t>conforme</w:t>
      </w:r>
      <w:r>
        <w:rPr>
          <w:spacing w:val="-7"/>
        </w:rPr>
        <w:t> </w:t>
      </w:r>
      <w:r>
        <w:rPr/>
        <w:t>a</w:t>
      </w:r>
      <w:r>
        <w:rPr>
          <w:spacing w:val="-6"/>
        </w:rPr>
        <w:t> </w:t>
      </w:r>
      <w:r>
        <w:rPr/>
        <w:t>las</w:t>
      </w:r>
      <w:r>
        <w:rPr>
          <w:spacing w:val="-6"/>
        </w:rPr>
        <w:t> </w:t>
      </w:r>
      <w:r>
        <w:rPr/>
        <w:t>reglas</w:t>
      </w:r>
      <w:r>
        <w:rPr>
          <w:spacing w:val="-6"/>
        </w:rPr>
        <w:t> </w:t>
      </w:r>
      <w:r>
        <w:rPr>
          <w:spacing w:val="-2"/>
        </w:rPr>
        <w:t>siguientes:</w:t>
      </w:r>
    </w:p>
    <w:p>
      <w:pPr>
        <w:pStyle w:val="BodyText"/>
        <w:spacing w:before="1"/>
      </w:pPr>
    </w:p>
    <w:p>
      <w:pPr>
        <w:pStyle w:val="ListParagraph"/>
        <w:numPr>
          <w:ilvl w:val="0"/>
          <w:numId w:val="354"/>
        </w:numPr>
        <w:tabs>
          <w:tab w:pos="1193" w:val="left" w:leader="none"/>
          <w:tab w:pos="1195" w:val="left" w:leader="none"/>
        </w:tabs>
        <w:spacing w:line="240" w:lineRule="auto" w:before="0" w:after="0"/>
        <w:ind w:left="1195" w:right="336" w:hanging="569"/>
        <w:jc w:val="both"/>
        <w:rPr>
          <w:sz w:val="20"/>
        </w:rPr>
      </w:pPr>
      <w:r>
        <w:rPr>
          <w:sz w:val="20"/>
        </w:rPr>
        <w:t>La preferencia deberá solicitarse por el trabajador ante el Tribunal en que tramite el conflicto en que sea parte, indicando específicamente cuáles son las autoridades ante quienes se sustancian juicios en los que puedan adjudicar o rematar bienes del patrón, acompañando copias suficientes de su petición, para correr traslado a las partes contendientes en los juicios de referencia;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54"/>
        </w:numPr>
        <w:tabs>
          <w:tab w:pos="1192" w:val="left" w:leader="none"/>
          <w:tab w:pos="1195" w:val="left" w:leader="none"/>
        </w:tabs>
        <w:spacing w:line="240" w:lineRule="auto" w:before="0" w:after="0"/>
        <w:ind w:left="1195" w:right="337" w:hanging="569"/>
        <w:jc w:val="both"/>
        <w:rPr>
          <w:sz w:val="20"/>
        </w:rPr>
      </w:pPr>
      <w:r>
        <w:rPr>
          <w:sz w:val="20"/>
        </w:rPr>
        <w:t>Si</w:t>
      </w:r>
      <w:r>
        <w:rPr>
          <w:spacing w:val="-2"/>
          <w:sz w:val="20"/>
        </w:rPr>
        <w:t> </w:t>
      </w:r>
      <w:r>
        <w:rPr>
          <w:sz w:val="20"/>
        </w:rPr>
        <w:t>el</w:t>
      </w:r>
      <w:r>
        <w:rPr>
          <w:spacing w:val="-2"/>
          <w:sz w:val="20"/>
        </w:rPr>
        <w:t> </w:t>
      </w:r>
      <w:r>
        <w:rPr>
          <w:sz w:val="20"/>
        </w:rPr>
        <w:t>juicio</w:t>
      </w:r>
      <w:r>
        <w:rPr>
          <w:spacing w:val="-3"/>
          <w:sz w:val="20"/>
        </w:rPr>
        <w:t> </w:t>
      </w:r>
      <w:r>
        <w:rPr>
          <w:sz w:val="20"/>
        </w:rPr>
        <w:t>se</w:t>
      </w:r>
      <w:r>
        <w:rPr>
          <w:spacing w:val="-1"/>
          <w:sz w:val="20"/>
        </w:rPr>
        <w:t> </w:t>
      </w:r>
      <w:r>
        <w:rPr>
          <w:sz w:val="20"/>
        </w:rPr>
        <w:t>tramita</w:t>
      </w:r>
      <w:r>
        <w:rPr>
          <w:spacing w:val="-4"/>
          <w:sz w:val="20"/>
        </w:rPr>
        <w:t> </w:t>
      </w:r>
      <w:r>
        <w:rPr>
          <w:sz w:val="20"/>
        </w:rPr>
        <w:t>ante</w:t>
      </w:r>
      <w:r>
        <w:rPr>
          <w:spacing w:val="-1"/>
          <w:sz w:val="20"/>
        </w:rPr>
        <w:t> </w:t>
      </w:r>
      <w:r>
        <w:rPr>
          <w:sz w:val="20"/>
        </w:rPr>
        <w:t>la</w:t>
      </w:r>
      <w:r>
        <w:rPr>
          <w:spacing w:val="-3"/>
          <w:sz w:val="20"/>
        </w:rPr>
        <w:t> </w:t>
      </w:r>
      <w:r>
        <w:rPr>
          <w:sz w:val="20"/>
        </w:rPr>
        <w:t>autoridad</w:t>
      </w:r>
      <w:r>
        <w:rPr>
          <w:spacing w:val="-1"/>
          <w:sz w:val="20"/>
        </w:rPr>
        <w:t> </w:t>
      </w:r>
      <w:r>
        <w:rPr>
          <w:sz w:val="20"/>
        </w:rPr>
        <w:t>judicial,</w:t>
      </w:r>
      <w:r>
        <w:rPr>
          <w:spacing w:val="-3"/>
          <w:sz w:val="20"/>
        </w:rPr>
        <w:t> </w:t>
      </w:r>
      <w:r>
        <w:rPr>
          <w:sz w:val="20"/>
        </w:rPr>
        <w:t>el</w:t>
      </w:r>
      <w:r>
        <w:rPr>
          <w:spacing w:val="-4"/>
          <w:sz w:val="20"/>
        </w:rPr>
        <w:t> </w:t>
      </w:r>
      <w:r>
        <w:rPr>
          <w:sz w:val="20"/>
        </w:rPr>
        <w:t>Tribunal</w:t>
      </w:r>
      <w:r>
        <w:rPr>
          <w:spacing w:val="-2"/>
          <w:sz w:val="20"/>
        </w:rPr>
        <w:t> </w:t>
      </w:r>
      <w:r>
        <w:rPr>
          <w:sz w:val="20"/>
        </w:rPr>
        <w:t>la</w:t>
      </w:r>
      <w:r>
        <w:rPr>
          <w:spacing w:val="-1"/>
          <w:sz w:val="20"/>
        </w:rPr>
        <w:t> </w:t>
      </w:r>
      <w:r>
        <w:rPr>
          <w:sz w:val="20"/>
        </w:rPr>
        <w:t>prevendrá</w:t>
      </w:r>
      <w:r>
        <w:rPr>
          <w:spacing w:val="-1"/>
          <w:sz w:val="20"/>
        </w:rPr>
        <w:t> </w:t>
      </w:r>
      <w:r>
        <w:rPr>
          <w:sz w:val="20"/>
        </w:rPr>
        <w:t>haciéndole</w:t>
      </w:r>
      <w:r>
        <w:rPr>
          <w:spacing w:val="-3"/>
          <w:sz w:val="20"/>
        </w:rPr>
        <w:t> </w:t>
      </w:r>
      <w:r>
        <w:rPr>
          <w:sz w:val="20"/>
        </w:rPr>
        <w:t>saber que</w:t>
      </w:r>
      <w:r>
        <w:rPr>
          <w:spacing w:val="-1"/>
          <w:sz w:val="20"/>
        </w:rPr>
        <w:t> </w:t>
      </w:r>
      <w:r>
        <w:rPr>
          <w:sz w:val="20"/>
        </w:rPr>
        <w:t>los bienes</w:t>
      </w:r>
      <w:r>
        <w:rPr>
          <w:spacing w:val="-1"/>
          <w:sz w:val="20"/>
        </w:rPr>
        <w:t> </w:t>
      </w:r>
      <w:r>
        <w:rPr>
          <w:sz w:val="20"/>
        </w:rPr>
        <w:t>embargados</w:t>
      </w:r>
      <w:r>
        <w:rPr>
          <w:spacing w:val="-1"/>
          <w:sz w:val="20"/>
        </w:rPr>
        <w:t> </w:t>
      </w:r>
      <w:r>
        <w:rPr>
          <w:sz w:val="20"/>
        </w:rPr>
        <w:t>están afectos</w:t>
      </w:r>
      <w:r>
        <w:rPr>
          <w:spacing w:val="-1"/>
          <w:sz w:val="20"/>
        </w:rPr>
        <w:t> </w:t>
      </w:r>
      <w:r>
        <w:rPr>
          <w:sz w:val="20"/>
        </w:rPr>
        <w:t>al</w:t>
      </w:r>
      <w:r>
        <w:rPr>
          <w:spacing w:val="-3"/>
          <w:sz w:val="20"/>
        </w:rPr>
        <w:t> </w:t>
      </w:r>
      <w:r>
        <w:rPr>
          <w:sz w:val="20"/>
        </w:rPr>
        <w:t>pago</w:t>
      </w:r>
      <w:r>
        <w:rPr>
          <w:spacing w:val="-3"/>
          <w:sz w:val="20"/>
        </w:rPr>
        <w:t> </w:t>
      </w:r>
      <w:r>
        <w:rPr>
          <w:sz w:val="20"/>
        </w:rPr>
        <w:t>preferente del</w:t>
      </w:r>
      <w:r>
        <w:rPr>
          <w:spacing w:val="-3"/>
          <w:sz w:val="20"/>
        </w:rPr>
        <w:t> </w:t>
      </w:r>
      <w:r>
        <w:rPr>
          <w:sz w:val="20"/>
        </w:rPr>
        <w:t>crédito laboral y</w:t>
      </w:r>
      <w:r>
        <w:rPr>
          <w:spacing w:val="-3"/>
          <w:sz w:val="20"/>
        </w:rPr>
        <w:t> </w:t>
      </w:r>
      <w:r>
        <w:rPr>
          <w:sz w:val="20"/>
        </w:rPr>
        <w:t>que por</w:t>
      </w:r>
      <w:r>
        <w:rPr>
          <w:spacing w:val="-1"/>
          <w:sz w:val="20"/>
        </w:rPr>
        <w:t> </w:t>
      </w:r>
      <w:r>
        <w:rPr>
          <w:sz w:val="20"/>
        </w:rPr>
        <w:t>lo</w:t>
      </w:r>
      <w:r>
        <w:rPr>
          <w:spacing w:val="-2"/>
          <w:sz w:val="20"/>
        </w:rPr>
        <w:t> </w:t>
      </w:r>
      <w:r>
        <w:rPr>
          <w:sz w:val="20"/>
        </w:rPr>
        <w:t>tanto, antes de rematar o adjudicar los bienes del patrón, deberá notificar al trabajador a fin de que comparezca a deducir sus derechos, 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54"/>
        </w:numPr>
        <w:tabs>
          <w:tab w:pos="1191" w:val="left" w:leader="none"/>
          <w:tab w:pos="1195" w:val="left" w:leader="none"/>
        </w:tabs>
        <w:spacing w:line="240" w:lineRule="auto" w:before="0" w:after="0"/>
        <w:ind w:left="1195" w:right="342" w:hanging="569"/>
        <w:jc w:val="both"/>
        <w:rPr>
          <w:sz w:val="20"/>
        </w:rPr>
      </w:pPr>
      <w:r>
        <w:rPr>
          <w:sz w:val="20"/>
        </w:rPr>
        <w:t>Tratándose</w:t>
      </w:r>
      <w:r>
        <w:rPr>
          <w:spacing w:val="-2"/>
          <w:sz w:val="20"/>
        </w:rPr>
        <w:t> </w:t>
      </w:r>
      <w:r>
        <w:rPr>
          <w:sz w:val="20"/>
        </w:rPr>
        <w:t>de créditos</w:t>
      </w:r>
      <w:r>
        <w:rPr>
          <w:spacing w:val="-1"/>
          <w:sz w:val="20"/>
        </w:rPr>
        <w:t> </w:t>
      </w:r>
      <w:r>
        <w:rPr>
          <w:sz w:val="20"/>
        </w:rPr>
        <w:t>fiscales,</w:t>
      </w:r>
      <w:r>
        <w:rPr>
          <w:spacing w:val="-2"/>
          <w:sz w:val="20"/>
        </w:rPr>
        <w:t> </w:t>
      </w:r>
      <w:r>
        <w:rPr>
          <w:sz w:val="20"/>
        </w:rPr>
        <w:t>cuotas</w:t>
      </w:r>
      <w:r>
        <w:rPr>
          <w:spacing w:val="-1"/>
          <w:sz w:val="20"/>
        </w:rPr>
        <w:t> </w:t>
      </w:r>
      <w:r>
        <w:rPr>
          <w:sz w:val="20"/>
        </w:rPr>
        <w:t>que</w:t>
      </w:r>
      <w:r>
        <w:rPr>
          <w:spacing w:val="-3"/>
          <w:sz w:val="20"/>
        </w:rPr>
        <w:t> </w:t>
      </w:r>
      <w:r>
        <w:rPr>
          <w:sz w:val="20"/>
        </w:rPr>
        <w:t>se adeuden</w:t>
      </w:r>
      <w:r>
        <w:rPr>
          <w:spacing w:val="-2"/>
          <w:sz w:val="20"/>
        </w:rPr>
        <w:t> </w:t>
      </w:r>
      <w:r>
        <w:rPr>
          <w:sz w:val="20"/>
        </w:rPr>
        <w:t>al</w:t>
      </w:r>
      <w:r>
        <w:rPr>
          <w:spacing w:val="-1"/>
          <w:sz w:val="20"/>
        </w:rPr>
        <w:t> </w:t>
      </w:r>
      <w:r>
        <w:rPr>
          <w:sz w:val="20"/>
        </w:rPr>
        <w:t>Instituto Mexicano del Seguro</w:t>
      </w:r>
      <w:r>
        <w:rPr>
          <w:spacing w:val="-2"/>
          <w:sz w:val="20"/>
        </w:rPr>
        <w:t> </w:t>
      </w:r>
      <w:r>
        <w:rPr>
          <w:sz w:val="20"/>
        </w:rPr>
        <w:t>Social, o aportación al Instituto del Fondo Nacional de la Vivienda para los Trabajadores, bastará con que el Tribunal remita oficio a la autoridad que corresponda, indicándole la existencia de juicios laborales, cuyas prestaciones están pendientes de cubrirse, para que antes de adjudicar o rematar los bienes del patrón se proceda conforme al artículo anterior.</w:t>
      </w:r>
    </w:p>
    <w:p>
      <w:pPr>
        <w:spacing w:before="0"/>
        <w:ind w:left="7302" w:right="333" w:hanging="17"/>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before="1"/>
        <w:ind w:left="338" w:right="347" w:firstLine="288"/>
        <w:jc w:val="both"/>
      </w:pPr>
      <w:bookmarkStart w:name="Artículo_981" w:id="1228"/>
      <w:bookmarkEnd w:id="1228"/>
      <w:r>
        <w:rPr/>
      </w:r>
      <w:r>
        <w:rPr>
          <w:rFonts w:ascii="Arial" w:hAnsi="Arial"/>
          <w:b/>
        </w:rPr>
        <w:t>Artículo 981.- </w:t>
      </w:r>
      <w:r>
        <w:rPr/>
        <w:t>Cuando en los juicios seguidos ante el Tribunal se haya dictado sentencia por cantidad líquida</w:t>
      </w:r>
      <w:r>
        <w:rPr>
          <w:spacing w:val="-1"/>
        </w:rPr>
        <w:t> </w:t>
      </w:r>
      <w:r>
        <w:rPr/>
        <w:t>o se haya efectuado</w:t>
      </w:r>
      <w:r>
        <w:rPr>
          <w:spacing w:val="-1"/>
        </w:rPr>
        <w:t> </w:t>
      </w:r>
      <w:r>
        <w:rPr/>
        <w:t>la liquidación correspondiente, el</w:t>
      </w:r>
      <w:r>
        <w:rPr>
          <w:spacing w:val="-2"/>
        </w:rPr>
        <w:t> </w:t>
      </w:r>
      <w:r>
        <w:rPr/>
        <w:t>Tribunal</w:t>
      </w:r>
      <w:r>
        <w:rPr>
          <w:spacing w:val="-1"/>
        </w:rPr>
        <w:t> </w:t>
      </w:r>
      <w:r>
        <w:rPr/>
        <w:t>lo hará saber</w:t>
      </w:r>
      <w:r>
        <w:rPr>
          <w:spacing w:val="-1"/>
        </w:rPr>
        <w:t> </w:t>
      </w:r>
      <w:r>
        <w:rPr/>
        <w:t>a la autoridad</w:t>
      </w:r>
      <w:r>
        <w:rPr>
          <w:spacing w:val="-1"/>
        </w:rPr>
        <w:t> </w:t>
      </w:r>
      <w:r>
        <w:rPr/>
        <w:t>judicial o administrativa que haya sido prevenida, en los términos del artículo 980 de ésta ley, remitiéndole copia certificada de la sentencia, así como de la resolución de la tercería preferente de crédito a fin de que se tome en cuenta el mismo al aplicar el producto de los bienes rematados o adjudicados.</w:t>
      </w:r>
    </w:p>
    <w:p>
      <w:pPr>
        <w:pStyle w:val="BodyText"/>
        <w:spacing w:before="2"/>
      </w:pPr>
    </w:p>
    <w:p>
      <w:pPr>
        <w:pStyle w:val="BodyText"/>
        <w:ind w:left="338" w:right="345" w:firstLine="288"/>
        <w:jc w:val="both"/>
      </w:pPr>
      <w:r>
        <w:rPr/>
        <w:t>Si el patrón antes del remate hubiese hecho pago para librar sus bienes, deberá cubrirse con éste el importe de los créditos laborales en que se hubiese hecho la prevención.</w:t>
      </w:r>
    </w:p>
    <w:p>
      <w:pPr>
        <w:spacing w:line="180"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6"/>
        <w:rPr>
          <w:rFonts w:ascii="Times New Roman"/>
          <w:i/>
          <w:sz w:val="16"/>
        </w:rPr>
      </w:pPr>
    </w:p>
    <w:p>
      <w:pPr>
        <w:pStyle w:val="Heading1"/>
        <w:spacing w:line="252" w:lineRule="exact"/>
        <w:ind w:left="298"/>
      </w:pPr>
      <w:r>
        <w:rPr/>
        <w:t>CAPITULO</w:t>
      </w:r>
      <w:r>
        <w:rPr>
          <w:spacing w:val="-9"/>
        </w:rPr>
        <w:t> </w:t>
      </w:r>
      <w:r>
        <w:rPr>
          <w:spacing w:val="-5"/>
        </w:rPr>
        <w:t>III</w:t>
      </w:r>
    </w:p>
    <w:p>
      <w:pPr>
        <w:pStyle w:val="Heading2"/>
        <w:spacing w:line="252" w:lineRule="exact"/>
        <w:ind w:left="296"/>
      </w:pPr>
      <w:r>
        <w:rPr/>
        <w:t>Procedimientos</w:t>
      </w:r>
      <w:r>
        <w:rPr>
          <w:spacing w:val="-12"/>
        </w:rPr>
        <w:t> </w:t>
      </w:r>
      <w:r>
        <w:rPr/>
        <w:t>paraprocesales</w:t>
      </w:r>
      <w:r>
        <w:rPr>
          <w:spacing w:val="-9"/>
        </w:rPr>
        <w:t> </w:t>
      </w:r>
      <w:r>
        <w:rPr/>
        <w:t>o</w:t>
      </w:r>
      <w:r>
        <w:rPr>
          <w:spacing w:val="-10"/>
        </w:rPr>
        <w:t> </w:t>
      </w:r>
      <w:r>
        <w:rPr>
          <w:spacing w:val="-2"/>
        </w:rPr>
        <w:t>voluntarios</w:t>
      </w:r>
    </w:p>
    <w:p>
      <w:pPr>
        <w:spacing w:before="1"/>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spacing w:line="242" w:lineRule="auto"/>
        <w:ind w:left="338" w:right="344" w:firstLine="288"/>
        <w:jc w:val="both"/>
      </w:pPr>
      <w:bookmarkStart w:name="Artículo_982" w:id="1229"/>
      <w:bookmarkEnd w:id="1229"/>
      <w:r>
        <w:rPr/>
      </w:r>
      <w:r>
        <w:rPr>
          <w:rFonts w:ascii="Arial" w:hAnsi="Arial"/>
          <w:b/>
        </w:rPr>
        <w:t>Artículo 982.- </w:t>
      </w:r>
      <w:r>
        <w:rPr/>
        <w:t>Se tramitarán conforme a las disposiciones de este capítulo, todos aquellos asuntos que, por mandato de la Ley, por su naturaleza o a solicitud de parte interesada, requieran la intervención del Tribunal, sin que esté promovido jurisdiccionalmente conflicto alguno entre partes determinadas.</w:t>
      </w:r>
    </w:p>
    <w:p>
      <w:pPr>
        <w:spacing w:line="176"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338" w:right="339" w:firstLine="288"/>
        <w:jc w:val="both"/>
      </w:pPr>
      <w:bookmarkStart w:name="Artículo_983" w:id="1230"/>
      <w:bookmarkEnd w:id="1230"/>
      <w:r>
        <w:rPr/>
      </w:r>
      <w:r>
        <w:rPr>
          <w:rFonts w:ascii="Arial" w:hAnsi="Arial"/>
          <w:b/>
        </w:rPr>
        <w:t>Artículo 983.- </w:t>
      </w:r>
      <w:r>
        <w:rPr/>
        <w:t>En los procedimientos a que se refiere este capítulo, el trabajador, sindicato o patrón interesado podrá concurrir al Tribunal competente, solicitando oralmente o por escrito la intervención del mismo y señalando expresamente la persona cuya declaración se requiere, la cosa que se· pretende se exhiba, o la diligencia que se pide se lleve a cabo.</w:t>
      </w:r>
    </w:p>
    <w:p>
      <w:pPr>
        <w:pStyle w:val="BodyText"/>
        <w:spacing w:before="2"/>
      </w:pPr>
    </w:p>
    <w:p>
      <w:pPr>
        <w:pStyle w:val="BodyText"/>
        <w:ind w:left="338" w:right="343" w:firstLine="288"/>
        <w:jc w:val="both"/>
      </w:pPr>
      <w:r>
        <w:rPr/>
        <w:t>El Tribunal acordará dentro de las veinticuatro horas siguientes sobre lo solicitado y, en su caso, señalará día y hora para llevar a cabo la diligencia y ordenará, en su caso, la citación de las personas cuya declaración se pretende.</w:t>
      </w:r>
    </w:p>
    <w:p>
      <w:pPr>
        <w:spacing w:line="181"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1" w:lineRule="exact"/>
        <w:jc w:val="lef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BodyText"/>
        <w:spacing w:line="242" w:lineRule="auto"/>
        <w:ind w:left="338" w:right="342" w:firstLine="288"/>
        <w:jc w:val="both"/>
      </w:pPr>
      <w:bookmarkStart w:name="Artículo_984" w:id="1231"/>
      <w:bookmarkEnd w:id="1231"/>
      <w:r>
        <w:rPr/>
      </w:r>
      <w:r>
        <w:rPr>
          <w:rFonts w:ascii="Arial" w:hAnsi="Arial"/>
          <w:b/>
        </w:rPr>
        <w:t>Artículo</w:t>
      </w:r>
      <w:r>
        <w:rPr>
          <w:rFonts w:ascii="Arial" w:hAnsi="Arial"/>
          <w:b/>
          <w:spacing w:val="-1"/>
        </w:rPr>
        <w:t> </w:t>
      </w:r>
      <w:r>
        <w:rPr>
          <w:rFonts w:ascii="Arial" w:hAnsi="Arial"/>
          <w:b/>
        </w:rPr>
        <w:t>984.-</w:t>
      </w:r>
      <w:r>
        <w:rPr>
          <w:rFonts w:ascii="Arial" w:hAnsi="Arial"/>
          <w:b/>
          <w:spacing w:val="-1"/>
        </w:rPr>
        <w:t> </w:t>
      </w:r>
      <w:r>
        <w:rPr/>
        <w:t>Cuando</w:t>
      </w:r>
      <w:r>
        <w:rPr>
          <w:spacing w:val="-2"/>
        </w:rPr>
        <w:t> </w:t>
      </w:r>
      <w:r>
        <w:rPr/>
        <w:t>por disposición de</w:t>
      </w:r>
      <w:r>
        <w:rPr>
          <w:spacing w:val="-3"/>
        </w:rPr>
        <w:t> </w:t>
      </w:r>
      <w:r>
        <w:rPr/>
        <w:t>la</w:t>
      </w:r>
      <w:r>
        <w:rPr>
          <w:spacing w:val="-2"/>
        </w:rPr>
        <w:t> </w:t>
      </w:r>
      <w:r>
        <w:rPr/>
        <w:t>Ley</w:t>
      </w:r>
      <w:r>
        <w:rPr>
          <w:spacing w:val="-5"/>
        </w:rPr>
        <w:t> </w:t>
      </w:r>
      <w:r>
        <w:rPr/>
        <w:t>o</w:t>
      </w:r>
      <w:r>
        <w:rPr>
          <w:spacing w:val="-2"/>
        </w:rPr>
        <w:t> </w:t>
      </w:r>
      <w:r>
        <w:rPr/>
        <w:t>de alguna autoridad</w:t>
      </w:r>
      <w:r>
        <w:rPr>
          <w:spacing w:val="-2"/>
        </w:rPr>
        <w:t> </w:t>
      </w:r>
      <w:r>
        <w:rPr/>
        <w:t>o</w:t>
      </w:r>
      <w:r>
        <w:rPr>
          <w:spacing w:val="-2"/>
        </w:rPr>
        <w:t> </w:t>
      </w:r>
      <w:r>
        <w:rPr/>
        <w:t>por</w:t>
      </w:r>
      <w:r>
        <w:rPr>
          <w:spacing w:val="-1"/>
        </w:rPr>
        <w:t> </w:t>
      </w:r>
      <w:r>
        <w:rPr/>
        <w:t>acuerdo</w:t>
      </w:r>
      <w:r>
        <w:rPr>
          <w:spacing w:val="-2"/>
        </w:rPr>
        <w:t> </w:t>
      </w:r>
      <w:r>
        <w:rPr/>
        <w:t>de las</w:t>
      </w:r>
      <w:r>
        <w:rPr>
          <w:spacing w:val="-1"/>
        </w:rPr>
        <w:t> </w:t>
      </w:r>
      <w:r>
        <w:rPr/>
        <w:t>partes,</w:t>
      </w:r>
      <w:r>
        <w:rPr>
          <w:spacing w:val="-2"/>
        </w:rPr>
        <w:t> </w:t>
      </w:r>
      <w:r>
        <w:rPr/>
        <w:t>se tenga que otorgar depósito o fianza, podrá el interesado o interesados concurrir ante el Tribunal a cargo, el cual la recibirá y, en su caso, lo comunicará a la parte interesada.</w:t>
      </w:r>
    </w:p>
    <w:p>
      <w:pPr>
        <w:pStyle w:val="BodyText"/>
        <w:spacing w:before="227"/>
        <w:ind w:left="338" w:right="338" w:firstLine="288"/>
        <w:jc w:val="both"/>
      </w:pPr>
      <w:r>
        <w:rPr/>
        <w:t>La cancelación de la fianza o la devolución del depósito, también podrá tramitarse ante el Tribunal a cargo</w:t>
      </w:r>
      <w:r>
        <w:rPr>
          <w:spacing w:val="-4"/>
        </w:rPr>
        <w:t> </w:t>
      </w:r>
      <w:r>
        <w:rPr/>
        <w:t>quien</w:t>
      </w:r>
      <w:r>
        <w:rPr>
          <w:spacing w:val="-2"/>
        </w:rPr>
        <w:t> </w:t>
      </w:r>
      <w:r>
        <w:rPr/>
        <w:t>acordará</w:t>
      </w:r>
      <w:r>
        <w:rPr>
          <w:spacing w:val="-2"/>
        </w:rPr>
        <w:t> </w:t>
      </w:r>
      <w:r>
        <w:rPr/>
        <w:t>de</w:t>
      </w:r>
      <w:r>
        <w:rPr>
          <w:spacing w:val="-2"/>
        </w:rPr>
        <w:t> </w:t>
      </w:r>
      <w:r>
        <w:rPr/>
        <w:t>inmediato</w:t>
      </w:r>
      <w:r>
        <w:rPr>
          <w:spacing w:val="-5"/>
        </w:rPr>
        <w:t> </w:t>
      </w:r>
      <w:r>
        <w:rPr/>
        <w:t>con</w:t>
      </w:r>
      <w:r>
        <w:rPr>
          <w:spacing w:val="-2"/>
        </w:rPr>
        <w:t> </w:t>
      </w:r>
      <w:r>
        <w:rPr/>
        <w:t>citación</w:t>
      </w:r>
      <w:r>
        <w:rPr>
          <w:spacing w:val="-2"/>
        </w:rPr>
        <w:t> </w:t>
      </w:r>
      <w:r>
        <w:rPr/>
        <w:t>del</w:t>
      </w:r>
      <w:r>
        <w:rPr>
          <w:spacing w:val="-3"/>
        </w:rPr>
        <w:t> </w:t>
      </w:r>
      <w:r>
        <w:rPr/>
        <w:t>beneficiario y</w:t>
      </w:r>
      <w:r>
        <w:rPr>
          <w:spacing w:val="-7"/>
        </w:rPr>
        <w:t> </w:t>
      </w:r>
      <w:r>
        <w:rPr/>
        <w:t>previa</w:t>
      </w:r>
      <w:r>
        <w:rPr>
          <w:spacing w:val="-4"/>
        </w:rPr>
        <w:t> </w:t>
      </w:r>
      <w:r>
        <w:rPr/>
        <w:t>comprobación</w:t>
      </w:r>
      <w:r>
        <w:rPr>
          <w:spacing w:val="-2"/>
        </w:rPr>
        <w:t> </w:t>
      </w:r>
      <w:r>
        <w:rPr/>
        <w:t>de</w:t>
      </w:r>
      <w:r>
        <w:rPr>
          <w:spacing w:val="-2"/>
        </w:rPr>
        <w:t> </w:t>
      </w:r>
      <w:r>
        <w:rPr/>
        <w:t>que</w:t>
      </w:r>
      <w:r>
        <w:rPr>
          <w:spacing w:val="-4"/>
        </w:rPr>
        <w:t> </w:t>
      </w:r>
      <w:r>
        <w:rPr/>
        <w:t>cumplió</w:t>
      </w:r>
      <w:r>
        <w:rPr>
          <w:spacing w:val="-2"/>
        </w:rPr>
        <w:t> </w:t>
      </w:r>
      <w:r>
        <w:rPr/>
        <w:t>las obligaciones que garantiza la fianza o el depósito, autorizará su cancelación o devolución.</w:t>
      </w:r>
    </w:p>
    <w:p>
      <w:pPr>
        <w:spacing w:line="180"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5" w:firstLine="288"/>
        <w:jc w:val="both"/>
      </w:pPr>
      <w:bookmarkStart w:name="Artículo_985" w:id="1232"/>
      <w:bookmarkEnd w:id="1232"/>
      <w:r>
        <w:rPr/>
      </w:r>
      <w:r>
        <w:rPr>
          <w:rFonts w:ascii="Arial" w:hAnsi="Arial"/>
          <w:b/>
        </w:rPr>
        <w:t>Artículo</w:t>
      </w:r>
      <w:r>
        <w:rPr>
          <w:rFonts w:ascii="Arial" w:hAnsi="Arial"/>
          <w:b/>
          <w:spacing w:val="-1"/>
        </w:rPr>
        <w:t> </w:t>
      </w:r>
      <w:r>
        <w:rPr>
          <w:rFonts w:ascii="Arial" w:hAnsi="Arial"/>
          <w:b/>
        </w:rPr>
        <w:t>985.-</w:t>
      </w:r>
      <w:r>
        <w:rPr>
          <w:rFonts w:ascii="Arial" w:hAnsi="Arial"/>
          <w:b/>
          <w:spacing w:val="-3"/>
        </w:rPr>
        <w:t> </w:t>
      </w:r>
      <w:r>
        <w:rPr/>
        <w:t>Cuando</w:t>
      </w:r>
      <w:r>
        <w:rPr>
          <w:spacing w:val="-2"/>
        </w:rPr>
        <w:t> </w:t>
      </w:r>
      <w:r>
        <w:rPr/>
        <w:t>la</w:t>
      </w:r>
      <w:r>
        <w:rPr>
          <w:spacing w:val="-2"/>
        </w:rPr>
        <w:t> </w:t>
      </w:r>
      <w:r>
        <w:rPr/>
        <w:t>Secretaría</w:t>
      </w:r>
      <w:r>
        <w:rPr>
          <w:spacing w:val="-2"/>
        </w:rPr>
        <w:t> </w:t>
      </w:r>
      <w:r>
        <w:rPr/>
        <w:t>de</w:t>
      </w:r>
      <w:r>
        <w:rPr>
          <w:spacing w:val="-3"/>
        </w:rPr>
        <w:t> </w:t>
      </w:r>
      <w:r>
        <w:rPr/>
        <w:t>Hacienda y</w:t>
      </w:r>
      <w:r>
        <w:rPr>
          <w:spacing w:val="-7"/>
        </w:rPr>
        <w:t> </w:t>
      </w:r>
      <w:r>
        <w:rPr/>
        <w:t>Crédito</w:t>
      </w:r>
      <w:r>
        <w:rPr>
          <w:spacing w:val="-2"/>
        </w:rPr>
        <w:t> </w:t>
      </w:r>
      <w:r>
        <w:rPr/>
        <w:t>Público,</w:t>
      </w:r>
      <w:r>
        <w:rPr>
          <w:spacing w:val="-4"/>
        </w:rPr>
        <w:t> </w:t>
      </w:r>
      <w:r>
        <w:rPr/>
        <w:t>sin</w:t>
      </w:r>
      <w:r>
        <w:rPr>
          <w:spacing w:val="-4"/>
        </w:rPr>
        <w:t> </w:t>
      </w:r>
      <w:r>
        <w:rPr/>
        <w:t>haber</w:t>
      </w:r>
      <w:r>
        <w:rPr>
          <w:spacing w:val="-4"/>
        </w:rPr>
        <w:t> </w:t>
      </w:r>
      <w:r>
        <w:rPr/>
        <w:t>mediado</w:t>
      </w:r>
      <w:r>
        <w:rPr>
          <w:spacing w:val="-3"/>
        </w:rPr>
        <w:t> </w:t>
      </w:r>
      <w:r>
        <w:rPr/>
        <w:t>objeción</w:t>
      </w:r>
      <w:r>
        <w:rPr>
          <w:spacing w:val="-2"/>
        </w:rPr>
        <w:t> </w:t>
      </w:r>
      <w:r>
        <w:rPr/>
        <w:t>de</w:t>
      </w:r>
      <w:r>
        <w:rPr>
          <w:spacing w:val="-3"/>
        </w:rPr>
        <w:t> </w:t>
      </w:r>
      <w:r>
        <w:rPr/>
        <w:t>los trabajadores, modifique el ingreso global gravable declarado por el causante, y éste haya impugnado dicha resolución, podrá solicitar al Tribunal, dentro de los 3 días siguientes a aquel en que haya presentado la impugnación correspondiente, la suspensión del reparto adicional de utilidades a los trabajadores, para lo cual adjuntará:</w:t>
      </w:r>
    </w:p>
    <w:p>
      <w:pPr>
        <w:spacing w:before="1"/>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ListParagraph"/>
        <w:numPr>
          <w:ilvl w:val="0"/>
          <w:numId w:val="355"/>
        </w:numPr>
        <w:tabs>
          <w:tab w:pos="1195" w:val="left" w:leader="none"/>
        </w:tabs>
        <w:spacing w:line="240" w:lineRule="auto" w:before="1" w:after="0"/>
        <w:ind w:left="1195" w:right="0" w:hanging="569"/>
        <w:jc w:val="left"/>
        <w:rPr>
          <w:sz w:val="20"/>
        </w:rPr>
      </w:pPr>
      <w:r>
        <w:rPr>
          <w:sz w:val="20"/>
        </w:rPr>
        <w:t>La</w:t>
      </w:r>
      <w:r>
        <w:rPr>
          <w:spacing w:val="-6"/>
          <w:sz w:val="20"/>
        </w:rPr>
        <w:t> </w:t>
      </w:r>
      <w:r>
        <w:rPr>
          <w:sz w:val="20"/>
        </w:rPr>
        <w:t>garantía</w:t>
      </w:r>
      <w:r>
        <w:rPr>
          <w:spacing w:val="-6"/>
          <w:sz w:val="20"/>
        </w:rPr>
        <w:t> </w:t>
      </w:r>
      <w:r>
        <w:rPr>
          <w:sz w:val="20"/>
        </w:rPr>
        <w:t>que</w:t>
      </w:r>
      <w:r>
        <w:rPr>
          <w:spacing w:val="-7"/>
          <w:sz w:val="20"/>
        </w:rPr>
        <w:t> </w:t>
      </w:r>
      <w:r>
        <w:rPr>
          <w:sz w:val="20"/>
        </w:rPr>
        <w:t>otorgue</w:t>
      </w:r>
      <w:r>
        <w:rPr>
          <w:spacing w:val="-6"/>
          <w:sz w:val="20"/>
        </w:rPr>
        <w:t> </w:t>
      </w:r>
      <w:r>
        <w:rPr>
          <w:sz w:val="20"/>
        </w:rPr>
        <w:t>en</w:t>
      </w:r>
      <w:r>
        <w:rPr>
          <w:spacing w:val="-5"/>
          <w:sz w:val="20"/>
        </w:rPr>
        <w:t> </w:t>
      </w:r>
      <w:r>
        <w:rPr>
          <w:sz w:val="20"/>
        </w:rPr>
        <w:t>favor</w:t>
      </w:r>
      <w:r>
        <w:rPr>
          <w:spacing w:val="-6"/>
          <w:sz w:val="20"/>
        </w:rPr>
        <w:t> </w:t>
      </w:r>
      <w:r>
        <w:rPr>
          <w:sz w:val="20"/>
        </w:rPr>
        <w:t>de</w:t>
      </w:r>
      <w:r>
        <w:rPr>
          <w:spacing w:val="-4"/>
          <w:sz w:val="20"/>
        </w:rPr>
        <w:t> </w:t>
      </w:r>
      <w:r>
        <w:rPr>
          <w:sz w:val="20"/>
        </w:rPr>
        <w:t>los</w:t>
      </w:r>
      <w:r>
        <w:rPr>
          <w:spacing w:val="-5"/>
          <w:sz w:val="20"/>
        </w:rPr>
        <w:t> </w:t>
      </w:r>
      <w:r>
        <w:rPr>
          <w:sz w:val="20"/>
        </w:rPr>
        <w:t>trabajadores</w:t>
      </w:r>
      <w:r>
        <w:rPr>
          <w:spacing w:val="-4"/>
          <w:sz w:val="20"/>
        </w:rPr>
        <w:t> </w:t>
      </w:r>
      <w:r>
        <w:rPr>
          <w:sz w:val="20"/>
        </w:rPr>
        <w:t>que</w:t>
      </w:r>
      <w:r>
        <w:rPr>
          <w:spacing w:val="-7"/>
          <w:sz w:val="20"/>
        </w:rPr>
        <w:t> </w:t>
      </w:r>
      <w:r>
        <w:rPr>
          <w:sz w:val="20"/>
        </w:rPr>
        <w:t>será</w:t>
      </w:r>
      <w:r>
        <w:rPr>
          <w:spacing w:val="-6"/>
          <w:sz w:val="20"/>
        </w:rPr>
        <w:t> </w:t>
      </w:r>
      <w:r>
        <w:rPr>
          <w:spacing w:val="-4"/>
          <w:sz w:val="20"/>
        </w:rPr>
        <w:t>por:</w:t>
      </w:r>
    </w:p>
    <w:p>
      <w:pPr>
        <w:pStyle w:val="BodyText"/>
      </w:pPr>
    </w:p>
    <w:p>
      <w:pPr>
        <w:pStyle w:val="ListParagraph"/>
        <w:numPr>
          <w:ilvl w:val="1"/>
          <w:numId w:val="355"/>
        </w:numPr>
        <w:tabs>
          <w:tab w:pos="1761" w:val="left" w:leader="none"/>
        </w:tabs>
        <w:spacing w:line="240" w:lineRule="auto" w:before="0" w:after="0"/>
        <w:ind w:left="1761" w:right="0" w:hanging="566"/>
        <w:jc w:val="left"/>
        <w:rPr>
          <w:sz w:val="20"/>
        </w:rPr>
      </w:pPr>
      <w:r>
        <w:rPr>
          <w:sz w:val="20"/>
        </w:rPr>
        <w:t>La</w:t>
      </w:r>
      <w:r>
        <w:rPr>
          <w:spacing w:val="-8"/>
          <w:sz w:val="20"/>
        </w:rPr>
        <w:t> </w:t>
      </w:r>
      <w:r>
        <w:rPr>
          <w:sz w:val="20"/>
        </w:rPr>
        <w:t>cantidad</w:t>
      </w:r>
      <w:r>
        <w:rPr>
          <w:spacing w:val="-8"/>
          <w:sz w:val="20"/>
        </w:rPr>
        <w:t> </w:t>
      </w:r>
      <w:r>
        <w:rPr>
          <w:sz w:val="20"/>
        </w:rPr>
        <w:t>adicional</w:t>
      </w:r>
      <w:r>
        <w:rPr>
          <w:spacing w:val="-5"/>
          <w:sz w:val="20"/>
        </w:rPr>
        <w:t> </w:t>
      </w:r>
      <w:r>
        <w:rPr>
          <w:sz w:val="20"/>
        </w:rPr>
        <w:t>a</w:t>
      </w:r>
      <w:r>
        <w:rPr>
          <w:spacing w:val="-7"/>
          <w:sz w:val="20"/>
        </w:rPr>
        <w:t> </w:t>
      </w:r>
      <w:r>
        <w:rPr>
          <w:sz w:val="20"/>
        </w:rPr>
        <w:t>repartir</w:t>
      </w:r>
      <w:r>
        <w:rPr>
          <w:spacing w:val="-6"/>
          <w:sz w:val="20"/>
        </w:rPr>
        <w:t> </w:t>
      </w:r>
      <w:r>
        <w:rPr>
          <w:sz w:val="20"/>
        </w:rPr>
        <w:t>a</w:t>
      </w:r>
      <w:r>
        <w:rPr>
          <w:spacing w:val="-5"/>
          <w:sz w:val="20"/>
        </w:rPr>
        <w:t> </w:t>
      </w:r>
      <w:r>
        <w:rPr>
          <w:sz w:val="20"/>
        </w:rPr>
        <w:t>los</w:t>
      </w:r>
      <w:r>
        <w:rPr>
          <w:spacing w:val="-5"/>
          <w:sz w:val="20"/>
        </w:rPr>
        <w:t> </w:t>
      </w:r>
      <w:r>
        <w:rPr>
          <w:spacing w:val="-2"/>
          <w:sz w:val="20"/>
        </w:rPr>
        <w:t>trabajadores.</w:t>
      </w:r>
    </w:p>
    <w:p>
      <w:pPr>
        <w:pStyle w:val="BodyText"/>
        <w:spacing w:before="1"/>
      </w:pPr>
    </w:p>
    <w:p>
      <w:pPr>
        <w:pStyle w:val="ListParagraph"/>
        <w:numPr>
          <w:ilvl w:val="1"/>
          <w:numId w:val="355"/>
        </w:numPr>
        <w:tabs>
          <w:tab w:pos="1761" w:val="left" w:leader="none"/>
        </w:tabs>
        <w:spacing w:line="240" w:lineRule="auto" w:before="0" w:after="0"/>
        <w:ind w:left="1761" w:right="0" w:hanging="566"/>
        <w:jc w:val="left"/>
        <w:rPr>
          <w:sz w:val="20"/>
        </w:rPr>
      </w:pPr>
      <w:r>
        <w:rPr>
          <w:sz w:val="20"/>
        </w:rPr>
        <w:t>Los</w:t>
      </w:r>
      <w:r>
        <w:rPr>
          <w:spacing w:val="-7"/>
          <w:sz w:val="20"/>
        </w:rPr>
        <w:t> </w:t>
      </w:r>
      <w:r>
        <w:rPr>
          <w:sz w:val="20"/>
        </w:rPr>
        <w:t>intereses</w:t>
      </w:r>
      <w:r>
        <w:rPr>
          <w:spacing w:val="-7"/>
          <w:sz w:val="20"/>
        </w:rPr>
        <w:t> </w:t>
      </w:r>
      <w:r>
        <w:rPr>
          <w:sz w:val="20"/>
        </w:rPr>
        <w:t>legales</w:t>
      </w:r>
      <w:r>
        <w:rPr>
          <w:spacing w:val="-6"/>
          <w:sz w:val="20"/>
        </w:rPr>
        <w:t> </w:t>
      </w:r>
      <w:r>
        <w:rPr>
          <w:sz w:val="20"/>
        </w:rPr>
        <w:t>computados</w:t>
      </w:r>
      <w:r>
        <w:rPr>
          <w:spacing w:val="-7"/>
          <w:sz w:val="20"/>
        </w:rPr>
        <w:t> </w:t>
      </w:r>
      <w:r>
        <w:rPr>
          <w:sz w:val="20"/>
        </w:rPr>
        <w:t>por</w:t>
      </w:r>
      <w:r>
        <w:rPr>
          <w:spacing w:val="-7"/>
          <w:sz w:val="20"/>
        </w:rPr>
        <w:t> </w:t>
      </w:r>
      <w:r>
        <w:rPr>
          <w:sz w:val="20"/>
        </w:rPr>
        <w:t>un</w:t>
      </w:r>
      <w:r>
        <w:rPr>
          <w:spacing w:val="-7"/>
          <w:sz w:val="20"/>
        </w:rPr>
        <w:t> </w:t>
      </w:r>
      <w:r>
        <w:rPr>
          <w:spacing w:val="-4"/>
          <w:sz w:val="20"/>
        </w:rPr>
        <w:t>año.</w:t>
      </w:r>
    </w:p>
    <w:p>
      <w:pPr>
        <w:pStyle w:val="ListParagraph"/>
        <w:numPr>
          <w:ilvl w:val="0"/>
          <w:numId w:val="355"/>
        </w:numPr>
        <w:tabs>
          <w:tab w:pos="1195" w:val="left" w:leader="none"/>
        </w:tabs>
        <w:spacing w:line="240" w:lineRule="auto" w:before="229" w:after="0"/>
        <w:ind w:left="1195" w:right="0" w:hanging="569"/>
        <w:jc w:val="left"/>
        <w:rPr>
          <w:sz w:val="20"/>
        </w:rPr>
      </w:pPr>
      <w:r>
        <w:rPr>
          <w:sz w:val="20"/>
        </w:rPr>
        <w:t>Copia</w:t>
      </w:r>
      <w:r>
        <w:rPr>
          <w:spacing w:val="-8"/>
          <w:sz w:val="20"/>
        </w:rPr>
        <w:t> </w:t>
      </w:r>
      <w:r>
        <w:rPr>
          <w:sz w:val="20"/>
        </w:rPr>
        <w:t>de</w:t>
      </w:r>
      <w:r>
        <w:rPr>
          <w:spacing w:val="-7"/>
          <w:sz w:val="20"/>
        </w:rPr>
        <w:t> </w:t>
      </w:r>
      <w:r>
        <w:rPr>
          <w:sz w:val="20"/>
        </w:rPr>
        <w:t>la</w:t>
      </w:r>
      <w:r>
        <w:rPr>
          <w:spacing w:val="-7"/>
          <w:sz w:val="20"/>
        </w:rPr>
        <w:t> </w:t>
      </w:r>
      <w:r>
        <w:rPr>
          <w:sz w:val="20"/>
        </w:rPr>
        <w:t>resolución</w:t>
      </w:r>
      <w:r>
        <w:rPr>
          <w:spacing w:val="-7"/>
          <w:sz w:val="20"/>
        </w:rPr>
        <w:t> </w:t>
      </w:r>
      <w:r>
        <w:rPr>
          <w:sz w:val="20"/>
        </w:rPr>
        <w:t>dictada</w:t>
      </w:r>
      <w:r>
        <w:rPr>
          <w:spacing w:val="-5"/>
          <w:sz w:val="20"/>
        </w:rPr>
        <w:t> </w:t>
      </w:r>
      <w:r>
        <w:rPr>
          <w:sz w:val="20"/>
        </w:rPr>
        <w:t>por</w:t>
      </w:r>
      <w:r>
        <w:rPr>
          <w:spacing w:val="-6"/>
          <w:sz w:val="20"/>
        </w:rPr>
        <w:t> </w:t>
      </w:r>
      <w:r>
        <w:rPr>
          <w:sz w:val="20"/>
        </w:rPr>
        <w:t>la</w:t>
      </w:r>
      <w:r>
        <w:rPr>
          <w:spacing w:val="-7"/>
          <w:sz w:val="20"/>
        </w:rPr>
        <w:t> </w:t>
      </w:r>
      <w:r>
        <w:rPr>
          <w:sz w:val="20"/>
        </w:rPr>
        <w:t>Secretaría</w:t>
      </w:r>
      <w:r>
        <w:rPr>
          <w:spacing w:val="-6"/>
          <w:sz w:val="20"/>
        </w:rPr>
        <w:t> </w:t>
      </w:r>
      <w:r>
        <w:rPr>
          <w:sz w:val="20"/>
        </w:rPr>
        <w:t>de</w:t>
      </w:r>
      <w:r>
        <w:rPr>
          <w:spacing w:val="-7"/>
          <w:sz w:val="20"/>
        </w:rPr>
        <w:t> </w:t>
      </w:r>
      <w:r>
        <w:rPr>
          <w:sz w:val="20"/>
        </w:rPr>
        <w:t>Hacienda</w:t>
      </w:r>
      <w:r>
        <w:rPr>
          <w:spacing w:val="-4"/>
          <w:sz w:val="20"/>
        </w:rPr>
        <w:t> </w:t>
      </w:r>
      <w:r>
        <w:rPr>
          <w:sz w:val="20"/>
        </w:rPr>
        <w:t>y</w:t>
      </w:r>
      <w:r>
        <w:rPr>
          <w:spacing w:val="-10"/>
          <w:sz w:val="20"/>
        </w:rPr>
        <w:t> </w:t>
      </w:r>
      <w:r>
        <w:rPr>
          <w:sz w:val="20"/>
        </w:rPr>
        <w:t>Crédito</w:t>
      </w:r>
      <w:r>
        <w:rPr>
          <w:spacing w:val="-7"/>
          <w:sz w:val="20"/>
        </w:rPr>
        <w:t> </w:t>
      </w:r>
      <w:r>
        <w:rPr>
          <w:sz w:val="20"/>
        </w:rPr>
        <w:t>Público;</w:t>
      </w:r>
      <w:r>
        <w:rPr>
          <w:spacing w:val="2"/>
          <w:sz w:val="20"/>
        </w:rPr>
        <w:t> </w:t>
      </w:r>
      <w:r>
        <w:rPr>
          <w:spacing w:val="-10"/>
          <w:sz w:val="20"/>
        </w:rPr>
        <w:t>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355"/>
        </w:numPr>
        <w:tabs>
          <w:tab w:pos="1195" w:val="left" w:leader="none"/>
        </w:tabs>
        <w:spacing w:line="240" w:lineRule="auto" w:before="0" w:after="0"/>
        <w:ind w:left="1195" w:right="345" w:hanging="569"/>
        <w:jc w:val="left"/>
        <w:rPr>
          <w:sz w:val="20"/>
        </w:rPr>
      </w:pPr>
      <w:r>
        <w:rPr>
          <w:sz w:val="20"/>
        </w:rPr>
        <w:t>El</w:t>
      </w:r>
      <w:r>
        <w:rPr>
          <w:spacing w:val="80"/>
          <w:w w:val="150"/>
          <w:sz w:val="20"/>
        </w:rPr>
        <w:t> </w:t>
      </w:r>
      <w:r>
        <w:rPr>
          <w:sz w:val="20"/>
        </w:rPr>
        <w:t>nombre</w:t>
      </w:r>
      <w:r>
        <w:rPr>
          <w:spacing w:val="80"/>
          <w:w w:val="150"/>
          <w:sz w:val="20"/>
        </w:rPr>
        <w:t> </w:t>
      </w:r>
      <w:r>
        <w:rPr>
          <w:sz w:val="20"/>
        </w:rPr>
        <w:t>y</w:t>
      </w:r>
      <w:r>
        <w:rPr>
          <w:spacing w:val="80"/>
          <w:w w:val="150"/>
          <w:sz w:val="20"/>
        </w:rPr>
        <w:t> </w:t>
      </w:r>
      <w:r>
        <w:rPr>
          <w:sz w:val="20"/>
        </w:rPr>
        <w:t>domicilio</w:t>
      </w:r>
      <w:r>
        <w:rPr>
          <w:spacing w:val="80"/>
          <w:w w:val="150"/>
          <w:sz w:val="20"/>
        </w:rPr>
        <w:t> </w:t>
      </w:r>
      <w:r>
        <w:rPr>
          <w:sz w:val="20"/>
        </w:rPr>
        <w:t>de</w:t>
      </w:r>
      <w:r>
        <w:rPr>
          <w:spacing w:val="80"/>
          <w:w w:val="150"/>
          <w:sz w:val="20"/>
        </w:rPr>
        <w:t> </w:t>
      </w:r>
      <w:r>
        <w:rPr>
          <w:sz w:val="20"/>
        </w:rPr>
        <w:t>los</w:t>
      </w:r>
      <w:r>
        <w:rPr>
          <w:spacing w:val="80"/>
          <w:w w:val="150"/>
          <w:sz w:val="20"/>
        </w:rPr>
        <w:t> </w:t>
      </w:r>
      <w:r>
        <w:rPr>
          <w:sz w:val="20"/>
        </w:rPr>
        <w:t>representantes</w:t>
      </w:r>
      <w:r>
        <w:rPr>
          <w:spacing w:val="80"/>
          <w:w w:val="150"/>
          <w:sz w:val="20"/>
        </w:rPr>
        <w:t> </w:t>
      </w:r>
      <w:r>
        <w:rPr>
          <w:sz w:val="20"/>
        </w:rPr>
        <w:t>de</w:t>
      </w:r>
      <w:r>
        <w:rPr>
          <w:spacing w:val="80"/>
          <w:w w:val="150"/>
          <w:sz w:val="20"/>
        </w:rPr>
        <w:t> </w:t>
      </w:r>
      <w:r>
        <w:rPr>
          <w:sz w:val="20"/>
        </w:rPr>
        <w:t>los</w:t>
      </w:r>
      <w:r>
        <w:rPr>
          <w:spacing w:val="80"/>
          <w:w w:val="150"/>
          <w:sz w:val="20"/>
        </w:rPr>
        <w:t> </w:t>
      </w:r>
      <w:r>
        <w:rPr>
          <w:sz w:val="20"/>
        </w:rPr>
        <w:t>trabajadores</w:t>
      </w:r>
      <w:r>
        <w:rPr>
          <w:spacing w:val="80"/>
          <w:w w:val="150"/>
          <w:sz w:val="20"/>
        </w:rPr>
        <w:t> </w:t>
      </w:r>
      <w:r>
        <w:rPr>
          <w:sz w:val="20"/>
        </w:rPr>
        <w:t>sindicalizados,</w:t>
      </w:r>
      <w:r>
        <w:rPr>
          <w:spacing w:val="80"/>
          <w:w w:val="150"/>
          <w:sz w:val="20"/>
        </w:rPr>
        <w:t> </w:t>
      </w:r>
      <w:r>
        <w:rPr>
          <w:sz w:val="20"/>
        </w:rPr>
        <w:t>no sindicalizados y de confianza.</w:t>
      </w:r>
    </w:p>
    <w:p>
      <w:pPr>
        <w:spacing w:before="0"/>
        <w:ind w:left="7302" w:right="333" w:hanging="6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30-11-2012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5"/>
        <w:rPr>
          <w:rFonts w:ascii="Times New Roman"/>
          <w:i/>
          <w:sz w:val="16"/>
        </w:rPr>
      </w:pPr>
    </w:p>
    <w:p>
      <w:pPr>
        <w:pStyle w:val="BodyText"/>
        <w:spacing w:line="242" w:lineRule="auto"/>
        <w:ind w:left="338" w:right="337" w:firstLine="288"/>
        <w:jc w:val="both"/>
      </w:pPr>
      <w:bookmarkStart w:name="Artículo_986" w:id="1233"/>
      <w:bookmarkEnd w:id="1233"/>
      <w:r>
        <w:rPr/>
      </w:r>
      <w:r>
        <w:rPr>
          <w:rFonts w:ascii="Arial" w:hAnsi="Arial"/>
          <w:b/>
        </w:rPr>
        <w:t>Artículo 986.- </w:t>
      </w:r>
      <w:r>
        <w:rPr/>
        <w:t>El Tribunal al recibir el escrito del patrón examinará que reúna los requisitos señalados en el artículo anterior, en cuyo caso inmediatamente correrá traslado a los representantes de los trabajadores, para que dentro de 3 días manifiesten lo que a su derecho convenga; transcurrido el plazo acordará lo conducente.</w:t>
      </w:r>
    </w:p>
    <w:p>
      <w:pPr>
        <w:pStyle w:val="BodyText"/>
        <w:spacing w:line="228" w:lineRule="exact" w:before="225"/>
        <w:ind w:left="626"/>
      </w:pPr>
      <w:r>
        <w:rPr/>
        <w:t>Si</w:t>
      </w:r>
      <w:r>
        <w:rPr>
          <w:spacing w:val="-7"/>
        </w:rPr>
        <w:t> </w:t>
      </w:r>
      <w:r>
        <w:rPr/>
        <w:t>la</w:t>
      </w:r>
      <w:r>
        <w:rPr>
          <w:spacing w:val="-6"/>
        </w:rPr>
        <w:t> </w:t>
      </w:r>
      <w:r>
        <w:rPr/>
        <w:t>solicitud</w:t>
      </w:r>
      <w:r>
        <w:rPr>
          <w:spacing w:val="-6"/>
        </w:rPr>
        <w:t> </w:t>
      </w:r>
      <w:r>
        <w:rPr/>
        <w:t>del</w:t>
      </w:r>
      <w:r>
        <w:rPr>
          <w:spacing w:val="-7"/>
        </w:rPr>
        <w:t> </w:t>
      </w:r>
      <w:r>
        <w:rPr/>
        <w:t>patrón</w:t>
      </w:r>
      <w:r>
        <w:rPr>
          <w:spacing w:val="-6"/>
        </w:rPr>
        <w:t> </w:t>
      </w:r>
      <w:r>
        <w:rPr/>
        <w:t>no</w:t>
      </w:r>
      <w:r>
        <w:rPr>
          <w:spacing w:val="-6"/>
        </w:rPr>
        <w:t> </w:t>
      </w:r>
      <w:r>
        <w:rPr/>
        <w:t>reúne</w:t>
      </w:r>
      <w:r>
        <w:rPr>
          <w:spacing w:val="-6"/>
        </w:rPr>
        <w:t> </w:t>
      </w:r>
      <w:r>
        <w:rPr/>
        <w:t>los</w:t>
      </w:r>
      <w:r>
        <w:rPr>
          <w:spacing w:val="-6"/>
        </w:rPr>
        <w:t> </w:t>
      </w:r>
      <w:r>
        <w:rPr/>
        <w:t>requisitos</w:t>
      </w:r>
      <w:r>
        <w:rPr>
          <w:spacing w:val="-6"/>
        </w:rPr>
        <w:t> </w:t>
      </w:r>
      <w:r>
        <w:rPr/>
        <w:t>legales,</w:t>
      </w:r>
      <w:r>
        <w:rPr>
          <w:spacing w:val="-7"/>
        </w:rPr>
        <w:t> </w:t>
      </w:r>
      <w:r>
        <w:rPr/>
        <w:t>el</w:t>
      </w:r>
      <w:r>
        <w:rPr>
          <w:spacing w:val="-8"/>
        </w:rPr>
        <w:t> </w:t>
      </w:r>
      <w:r>
        <w:rPr/>
        <w:t>Tribunal</w:t>
      </w:r>
      <w:r>
        <w:rPr>
          <w:spacing w:val="-6"/>
        </w:rPr>
        <w:t> </w:t>
      </w:r>
      <w:r>
        <w:rPr/>
        <w:t>la</w:t>
      </w:r>
      <w:r>
        <w:rPr>
          <w:spacing w:val="-5"/>
        </w:rPr>
        <w:t> </w:t>
      </w:r>
      <w:r>
        <w:rPr/>
        <w:t>desechará</w:t>
      </w:r>
      <w:r>
        <w:rPr>
          <w:spacing w:val="-7"/>
        </w:rPr>
        <w:t> </w:t>
      </w:r>
      <w:r>
        <w:rPr/>
        <w:t>de</w:t>
      </w:r>
      <w:r>
        <w:rPr>
          <w:spacing w:val="-7"/>
        </w:rPr>
        <w:t> </w:t>
      </w:r>
      <w:r>
        <w:rPr>
          <w:spacing w:val="-2"/>
        </w:rPr>
        <w:t>plano.</w:t>
      </w:r>
    </w:p>
    <w:p>
      <w:pPr>
        <w:spacing w:line="182" w:lineRule="exact" w:before="0"/>
        <w:ind w:left="53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338" w:right="334" w:firstLine="288"/>
        <w:jc w:val="both"/>
      </w:pPr>
      <w:bookmarkStart w:name="Artículo_987" w:id="1234"/>
      <w:bookmarkEnd w:id="1234"/>
      <w:r>
        <w:rPr/>
      </w:r>
      <w:r>
        <w:rPr>
          <w:rFonts w:ascii="Arial" w:hAnsi="Arial"/>
          <w:b/>
        </w:rPr>
        <w:t>Artículo 987.- </w:t>
      </w:r>
      <w:r>
        <w:rPr/>
        <w:t>Cuando trabajadores y patrones lleguen a un convenio o liquidación de un trabajador, fuera de juicio, podrán concurrir ante los Centros de Conciliación solicitando su aprobación y ratificación, en los términos a que se refiere el párrafo segundo del artículo 33 de esta Ley, para cuyo efecto se identificarán a satisfacción de la Autoridad Conciliadora.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338" w:right="339" w:firstLine="288"/>
        <w:jc w:val="both"/>
      </w:pPr>
      <w:r>
        <w:rPr/>
        <w:t>En los convenios en que se dé por terminada la relación de trabajo deberá desglosarse la cantidad</w:t>
      </w:r>
      <w:r>
        <w:rPr>
          <w:spacing w:val="40"/>
        </w:rPr>
        <w:t> </w:t>
      </w:r>
      <w:r>
        <w:rPr/>
        <w:t>que se entregue al trabajador por concepto de salario, de prestaciones devengadas y de participación de utilidades. En caso de que la Comisión Mixta para la Participación de las Utilidades en la empresa o establecimiento aún no haya determinado la participación individual de los trabajadores, se dejarán a salvo sus derechos, hasta en tanto se formule el proyecto del reparto individual.</w:t>
      </w:r>
    </w:p>
    <w:p>
      <w:pPr>
        <w:pStyle w:val="BodyText"/>
      </w:pPr>
    </w:p>
    <w:p>
      <w:pPr>
        <w:pStyle w:val="BodyText"/>
        <w:ind w:left="338" w:right="335" w:firstLine="288"/>
        <w:jc w:val="both"/>
      </w:pPr>
      <w:r>
        <w:rPr/>
        <w:t>Los convenios celebrados en los términos de este artículo serán aprobados por el Centro de Conciliación competente, cuando no afecten derechos de los trabajadores, y tendrán efectos definitivos, por lo que se elevarán a la categoría de sentencia ejecutoriada.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1" w:lineRule="exact"/>
        <w:jc w:val="right"/>
        <w:rPr>
          <w:rFonts w:ascii="Times New Roman" w:hAnsi="Times New Roman"/>
          <w:i/>
          <w:sz w:val="16"/>
        </w:rPr>
        <w:sectPr>
          <w:pgSz w:w="12240" w:h="15840"/>
          <w:pgMar w:header="724" w:footer="712" w:top="1880" w:bottom="900" w:left="1080" w:right="1080"/>
        </w:sectPr>
      </w:pPr>
    </w:p>
    <w:p>
      <w:pPr>
        <w:pStyle w:val="BodyText"/>
        <w:spacing w:before="109"/>
        <w:rPr>
          <w:rFonts w:ascii="Times New Roman"/>
          <w:i/>
          <w:sz w:val="16"/>
        </w:rPr>
      </w:pPr>
    </w:p>
    <w:p>
      <w:pPr>
        <w:spacing w:before="0"/>
        <w:ind w:left="626" w:right="0" w:firstLine="4728"/>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338" w:right="337" w:firstLine="288"/>
        <w:jc w:val="both"/>
      </w:pPr>
      <w:bookmarkStart w:name="Artículo_988" w:id="1235"/>
      <w:bookmarkEnd w:id="1235"/>
      <w:r>
        <w:rPr/>
      </w:r>
      <w:r>
        <w:rPr>
          <w:rFonts w:ascii="Arial" w:hAnsi="Arial"/>
          <w:b/>
        </w:rPr>
        <w:t>Artículo 988.- </w:t>
      </w:r>
      <w:r>
        <w:rPr/>
        <w:t>Los trabajadores mayores de quince años, pero menores de dieciocho, que no hayan terminado su educación básica obligatoria, podrán ocurrir ante el Tribunal competente solicitando autorización para trabajar, y acompañarán los documentos que estimen convenientes, para establecer la compatibilidad entre los estudios y el trabajo.</w:t>
      </w:r>
    </w:p>
    <w:p>
      <w:pPr>
        <w:pStyle w:val="BodyText"/>
        <w:spacing w:before="2"/>
      </w:pPr>
    </w:p>
    <w:p>
      <w:pPr>
        <w:pStyle w:val="BodyText"/>
        <w:spacing w:line="229" w:lineRule="exact"/>
        <w:ind w:left="626"/>
      </w:pPr>
      <w:r>
        <w:rPr/>
        <w:t>El</w:t>
      </w:r>
      <w:r>
        <w:rPr>
          <w:spacing w:val="-9"/>
        </w:rPr>
        <w:t> </w:t>
      </w:r>
      <w:r>
        <w:rPr/>
        <w:t>Tribunal,</w:t>
      </w:r>
      <w:r>
        <w:rPr>
          <w:spacing w:val="-9"/>
        </w:rPr>
        <w:t> </w:t>
      </w:r>
      <w:r>
        <w:rPr/>
        <w:t>inmediatamente</w:t>
      </w:r>
      <w:r>
        <w:rPr>
          <w:spacing w:val="-9"/>
        </w:rPr>
        <w:t> </w:t>
      </w:r>
      <w:r>
        <w:rPr/>
        <w:t>de</w:t>
      </w:r>
      <w:r>
        <w:rPr>
          <w:spacing w:val="-9"/>
        </w:rPr>
        <w:t> </w:t>
      </w:r>
      <w:r>
        <w:rPr/>
        <w:t>recibida</w:t>
      </w:r>
      <w:r>
        <w:rPr>
          <w:spacing w:val="-7"/>
        </w:rPr>
        <w:t> </w:t>
      </w:r>
      <w:r>
        <w:rPr/>
        <w:t>la</w:t>
      </w:r>
      <w:r>
        <w:rPr>
          <w:spacing w:val="-8"/>
        </w:rPr>
        <w:t> </w:t>
      </w:r>
      <w:r>
        <w:rPr/>
        <w:t>solicitud,</w:t>
      </w:r>
      <w:r>
        <w:rPr>
          <w:spacing w:val="-8"/>
        </w:rPr>
        <w:t> </w:t>
      </w:r>
      <w:r>
        <w:rPr/>
        <w:t>acordará</w:t>
      </w:r>
      <w:r>
        <w:rPr>
          <w:spacing w:val="-8"/>
        </w:rPr>
        <w:t> </w:t>
      </w:r>
      <w:r>
        <w:rPr/>
        <w:t>lo</w:t>
      </w:r>
      <w:r>
        <w:rPr>
          <w:spacing w:val="-8"/>
        </w:rPr>
        <w:t> </w:t>
      </w:r>
      <w:r>
        <w:rPr>
          <w:spacing w:val="-2"/>
        </w:rPr>
        <w:t>conducente.</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12-06-2015,</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3" w:firstLine="288"/>
        <w:jc w:val="both"/>
      </w:pPr>
      <w:bookmarkStart w:name="Artículo_989" w:id="1236"/>
      <w:bookmarkEnd w:id="1236"/>
      <w:r>
        <w:rPr/>
      </w:r>
      <w:r>
        <w:rPr>
          <w:rFonts w:ascii="Arial" w:hAnsi="Arial"/>
          <w:b/>
        </w:rPr>
        <w:t>Artículo 989.- </w:t>
      </w:r>
      <w:r>
        <w:rPr/>
        <w:t>Los trabajadores podrán solicitar, por conducto del Tribunal correspondiente, que el patrón les expida constancia escrita que contenga el número de días trabajados y el salario percibido, en los términos señalados por el artículo 132 fracción VII de esta Ley.</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5" w:firstLine="288"/>
        <w:jc w:val="both"/>
      </w:pPr>
      <w:bookmarkStart w:name="Artículo_990" w:id="1237"/>
      <w:bookmarkEnd w:id="1237"/>
      <w:r>
        <w:rPr/>
      </w:r>
      <w:r>
        <w:rPr>
          <w:rFonts w:ascii="Arial" w:hAnsi="Arial"/>
          <w:b/>
        </w:rPr>
        <w:t>Artículo 990.- </w:t>
      </w:r>
      <w:r>
        <w:rPr/>
        <w:t>El trabajador o sus beneficiarios que deban recibir alguna cantidad de dinero en virtud de convenio o liquidación, podrán concurrir personalmente al Tribunal correspondiente.</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3"/>
        <w:rPr>
          <w:rFonts w:ascii="Times New Roman"/>
          <w:i/>
          <w:sz w:val="16"/>
        </w:rPr>
      </w:pPr>
    </w:p>
    <w:p>
      <w:pPr>
        <w:pStyle w:val="BodyText"/>
        <w:spacing w:line="242" w:lineRule="auto" w:before="1"/>
        <w:ind w:left="338" w:right="338" w:firstLine="288"/>
        <w:jc w:val="both"/>
      </w:pPr>
      <w:bookmarkStart w:name="Artículo_991" w:id="1238"/>
      <w:bookmarkEnd w:id="1238"/>
      <w:r>
        <w:rPr/>
      </w:r>
      <w:r>
        <w:rPr>
          <w:rFonts w:ascii="Arial" w:hAnsi="Arial"/>
          <w:b/>
        </w:rPr>
        <w:t>Artículo 991.- </w:t>
      </w:r>
      <w:r>
        <w:rPr/>
        <w:t>En los casos de rescisión previstos en el artículo 47, el patrón podrá acudir ante el Tribunal competente a solicitar que se notifique al trabajador el aviso a que el citado precepto se refiere, por los medios indicados en el mismo. El Tribunal, dentro de los cinco días siguientes al recibo de la promoción, deberá proceder a la notificación.</w:t>
      </w:r>
    </w:p>
    <w:p>
      <w:pPr>
        <w:spacing w:line="178" w:lineRule="exact" w:before="0"/>
        <w:ind w:left="452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3" w:firstLine="288"/>
        <w:jc w:val="both"/>
      </w:pPr>
      <w:bookmarkStart w:name="Artículo_991_Bis" w:id="1239"/>
      <w:bookmarkEnd w:id="1239"/>
      <w:r>
        <w:rPr/>
      </w:r>
      <w:r>
        <w:rPr>
          <w:rFonts w:ascii="Arial" w:hAnsi="Arial"/>
          <w:b/>
        </w:rPr>
        <w:t>Artículo 991 Bis.- </w:t>
      </w:r>
      <w:r>
        <w:rPr/>
        <w:t>El patrón podrá depositar ante el Tribunal la indemnización a la que se refiere el artículo 49 de esta Ley, así como el pago de la prima de antigüedad prevista en el artículo 162 y demás </w:t>
      </w:r>
      <w:r>
        <w:rPr>
          <w:spacing w:val="-2"/>
        </w:rPr>
        <w:t>prestaciones.</w:t>
      </w:r>
    </w:p>
    <w:p>
      <w:pPr>
        <w:pStyle w:val="BodyText"/>
        <w:spacing w:after="0" w:line="242" w:lineRule="auto"/>
        <w:jc w:val="both"/>
        <w:sectPr>
          <w:pgSz w:w="12240" w:h="15840"/>
          <w:pgMar w:header="724" w:footer="712" w:top="1880" w:bottom="900" w:left="1080" w:right="1080"/>
        </w:sectPr>
      </w:pPr>
    </w:p>
    <w:p>
      <w:pPr>
        <w:pStyle w:val="BodyText"/>
        <w:spacing w:before="152"/>
        <w:rPr>
          <w:sz w:val="22"/>
        </w:rPr>
      </w:pPr>
    </w:p>
    <w:p>
      <w:pPr>
        <w:pStyle w:val="Heading1"/>
        <w:ind w:left="3366" w:right="0"/>
      </w:pPr>
      <w:r>
        <w:rPr/>
        <w:t>TITULO</w:t>
      </w:r>
      <w:r>
        <w:rPr>
          <w:spacing w:val="-4"/>
        </w:rPr>
        <w:t> </w:t>
      </w:r>
      <w:r>
        <w:rPr>
          <w:spacing w:val="-2"/>
        </w:rPr>
        <w:t>DIECISEIS</w:t>
      </w:r>
    </w:p>
    <w:p>
      <w:pPr>
        <w:pStyle w:val="Heading2"/>
        <w:spacing w:before="2"/>
        <w:ind w:left="3365" w:right="0"/>
      </w:pPr>
      <w:r>
        <w:rPr/>
        <w:t>Responsabilidades</w:t>
      </w:r>
      <w:r>
        <w:rPr>
          <w:spacing w:val="-9"/>
        </w:rPr>
        <w:t> </w:t>
      </w:r>
      <w:r>
        <w:rPr/>
        <w:t>y</w:t>
      </w:r>
      <w:r>
        <w:rPr>
          <w:spacing w:val="-11"/>
        </w:rPr>
        <w:t> </w:t>
      </w:r>
      <w:r>
        <w:rPr>
          <w:spacing w:val="-2"/>
        </w:rPr>
        <w:t>Sanciones</w:t>
      </w:r>
    </w:p>
    <w:p>
      <w:pPr>
        <w:spacing w:line="179" w:lineRule="exact" w:before="0"/>
        <w:ind w:left="544"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0"/>
        <w:ind w:left="757"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6"/>
          <w:sz w:val="16"/>
        </w:rPr>
        <w:t> </w:t>
      </w:r>
      <w:r>
        <w:rPr>
          <w:rFonts w:ascii="Times New Roman" w:hAnsi="Times New Roman"/>
          <w:i/>
          <w:color w:val="0000FF"/>
          <w:sz w:val="16"/>
        </w:rPr>
        <w:t>reubicado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w:t>
      </w:r>
      <w:r>
        <w:rPr>
          <w:rFonts w:ascii="Times New Roman" w:hAnsi="Times New Roman"/>
          <w:i/>
          <w:color w:val="0000FF"/>
          <w:spacing w:val="-4"/>
          <w:sz w:val="16"/>
        </w:rPr>
        <w:t>1980</w:t>
      </w:r>
    </w:p>
    <w:p>
      <w:pPr>
        <w:spacing w:after="0"/>
        <w:jc w:val="left"/>
        <w:rPr>
          <w:rFonts w:ascii="Times New Roman" w:hAnsi="Times New Roman"/>
          <w:i/>
          <w:sz w:val="16"/>
        </w:rPr>
        <w:sectPr>
          <w:type w:val="continuous"/>
          <w:pgSz w:w="12240" w:h="15840"/>
          <w:pgMar w:header="724" w:footer="712" w:top="1880" w:bottom="900" w:left="1080" w:right="1080"/>
          <w:cols w:num="2" w:equalWidth="0">
            <w:col w:w="6718" w:space="40"/>
            <w:col w:w="3322"/>
          </w:cols>
        </w:sectPr>
      </w:pPr>
    </w:p>
    <w:p>
      <w:pPr>
        <w:pStyle w:val="BodyText"/>
        <w:spacing w:before="1"/>
        <w:rPr>
          <w:rFonts w:ascii="Times New Roman"/>
          <w:i/>
        </w:rPr>
      </w:pPr>
    </w:p>
    <w:p>
      <w:pPr>
        <w:pStyle w:val="BodyText"/>
        <w:ind w:left="338" w:right="336" w:firstLine="288"/>
        <w:jc w:val="both"/>
      </w:pPr>
      <w:bookmarkStart w:name="Artículo_992" w:id="1240"/>
      <w:bookmarkEnd w:id="1240"/>
      <w:r>
        <w:rPr/>
      </w:r>
      <w:r>
        <w:rPr>
          <w:rFonts w:ascii="Arial" w:hAnsi="Arial"/>
          <w:b/>
        </w:rPr>
        <w:t>Artículo 992.- </w:t>
      </w:r>
      <w:r>
        <w:rPr/>
        <w:t>Las violaciones a las normas de trabajo cometidas por los patrones, directivos sindicales o por los trabajadores, se sancionarán de conformidad con las disposiciones de este Título, independientemente de la responsabilidad que les corresponda por el incumplimiento de sus</w:t>
      </w:r>
      <w:r>
        <w:rPr>
          <w:spacing w:val="40"/>
        </w:rPr>
        <w:t> </w:t>
      </w:r>
      <w:r>
        <w:rPr/>
        <w:t>obligaciones, sin perjuicio de las sanciones previstas en otros ordenamientos legales y de las consecuencias jurídicas que procedan en materia de bienes y servicios concesionados.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338" w:right="341" w:firstLine="288"/>
        <w:jc w:val="both"/>
      </w:pPr>
      <w:r>
        <w:rPr/>
        <w:t>La cuantificación de las sanciones pecuniarias que en el presente Título se establecen, se hará tomando como base de cálculo la Unidad de Medida y Actualización, al momento de cometerse la </w:t>
      </w:r>
      <w:r>
        <w:rPr>
          <w:spacing w:val="-2"/>
        </w:rPr>
        <w:t>violación.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3"/>
        <w:rPr>
          <w:rFonts w:ascii="Times New Roman"/>
          <w:i/>
        </w:rPr>
      </w:pPr>
    </w:p>
    <w:p>
      <w:pPr>
        <w:pStyle w:val="BodyText"/>
        <w:spacing w:before="1"/>
        <w:ind w:left="626"/>
      </w:pPr>
      <w:r>
        <w:rPr/>
        <w:t>Para</w:t>
      </w:r>
      <w:r>
        <w:rPr>
          <w:spacing w:val="-5"/>
        </w:rPr>
        <w:t> </w:t>
      </w:r>
      <w:r>
        <w:rPr/>
        <w:t>la</w:t>
      </w:r>
      <w:r>
        <w:rPr>
          <w:spacing w:val="-4"/>
        </w:rPr>
        <w:t> </w:t>
      </w:r>
      <w:r>
        <w:rPr/>
        <w:t>imposición</w:t>
      </w:r>
      <w:r>
        <w:rPr>
          <w:spacing w:val="-7"/>
        </w:rPr>
        <w:t> </w:t>
      </w:r>
      <w:r>
        <w:rPr/>
        <w:t>de</w:t>
      </w:r>
      <w:r>
        <w:rPr>
          <w:spacing w:val="-7"/>
        </w:rPr>
        <w:t> </w:t>
      </w:r>
      <w:r>
        <w:rPr/>
        <w:t>las</w:t>
      </w:r>
      <w:r>
        <w:rPr>
          <w:spacing w:val="-5"/>
        </w:rPr>
        <w:t> </w:t>
      </w:r>
      <w:r>
        <w:rPr/>
        <w:t>sanciones,</w:t>
      </w:r>
      <w:r>
        <w:rPr>
          <w:spacing w:val="-6"/>
        </w:rPr>
        <w:t> </w:t>
      </w:r>
      <w:r>
        <w:rPr/>
        <w:t>se</w:t>
      </w:r>
      <w:r>
        <w:rPr>
          <w:spacing w:val="-6"/>
        </w:rPr>
        <w:t> </w:t>
      </w:r>
      <w:r>
        <w:rPr/>
        <w:t>tomará</w:t>
      </w:r>
      <w:r>
        <w:rPr>
          <w:spacing w:val="-6"/>
        </w:rPr>
        <w:t> </w:t>
      </w:r>
      <w:r>
        <w:rPr/>
        <w:t>en</w:t>
      </w:r>
      <w:r>
        <w:rPr>
          <w:spacing w:val="-8"/>
        </w:rPr>
        <w:t> </w:t>
      </w:r>
      <w:r>
        <w:rPr/>
        <w:t>cuenta</w:t>
      </w:r>
      <w:r>
        <w:rPr>
          <w:spacing w:val="-4"/>
        </w:rPr>
        <w:t> </w:t>
      </w:r>
      <w:r>
        <w:rPr/>
        <w:t>lo</w:t>
      </w:r>
      <w:r>
        <w:rPr>
          <w:spacing w:val="-6"/>
        </w:rPr>
        <w:t> </w:t>
      </w:r>
      <w:r>
        <w:rPr>
          <w:spacing w:val="-2"/>
        </w:rPr>
        <w:t>siguiente:</w:t>
      </w:r>
    </w:p>
    <w:p>
      <w:pPr>
        <w:pStyle w:val="ListParagraph"/>
        <w:numPr>
          <w:ilvl w:val="0"/>
          <w:numId w:val="356"/>
        </w:numPr>
        <w:tabs>
          <w:tab w:pos="1195" w:val="left" w:leader="none"/>
        </w:tabs>
        <w:spacing w:line="240" w:lineRule="auto" w:before="228" w:after="0"/>
        <w:ind w:left="1195" w:right="0" w:hanging="569"/>
        <w:jc w:val="left"/>
        <w:rPr>
          <w:sz w:val="20"/>
        </w:rPr>
      </w:pPr>
      <w:r>
        <w:rPr>
          <w:sz w:val="20"/>
        </w:rPr>
        <w:t>El</w:t>
      </w:r>
      <w:r>
        <w:rPr>
          <w:spacing w:val="-7"/>
          <w:sz w:val="20"/>
        </w:rPr>
        <w:t> </w:t>
      </w:r>
      <w:r>
        <w:rPr>
          <w:sz w:val="20"/>
        </w:rPr>
        <w:t>carácter</w:t>
      </w:r>
      <w:r>
        <w:rPr>
          <w:spacing w:val="-6"/>
          <w:sz w:val="20"/>
        </w:rPr>
        <w:t> </w:t>
      </w:r>
      <w:r>
        <w:rPr>
          <w:sz w:val="20"/>
        </w:rPr>
        <w:t>intencional</w:t>
      </w:r>
      <w:r>
        <w:rPr>
          <w:spacing w:val="-6"/>
          <w:sz w:val="20"/>
        </w:rPr>
        <w:t> </w:t>
      </w:r>
      <w:r>
        <w:rPr>
          <w:sz w:val="20"/>
        </w:rPr>
        <w:t>o</w:t>
      </w:r>
      <w:r>
        <w:rPr>
          <w:spacing w:val="-4"/>
          <w:sz w:val="20"/>
        </w:rPr>
        <w:t> </w:t>
      </w:r>
      <w:r>
        <w:rPr>
          <w:sz w:val="20"/>
        </w:rPr>
        <w:t>no</w:t>
      </w:r>
      <w:r>
        <w:rPr>
          <w:spacing w:val="-4"/>
          <w:sz w:val="20"/>
        </w:rPr>
        <w:t> </w:t>
      </w:r>
      <w:r>
        <w:rPr>
          <w:sz w:val="20"/>
        </w:rPr>
        <w:t>de</w:t>
      </w:r>
      <w:r>
        <w:rPr>
          <w:spacing w:val="-5"/>
          <w:sz w:val="20"/>
        </w:rPr>
        <w:t> </w:t>
      </w:r>
      <w:r>
        <w:rPr>
          <w:sz w:val="20"/>
        </w:rPr>
        <w:t>la</w:t>
      </w:r>
      <w:r>
        <w:rPr>
          <w:spacing w:val="-5"/>
          <w:sz w:val="20"/>
        </w:rPr>
        <w:t> </w:t>
      </w:r>
      <w:r>
        <w:rPr>
          <w:sz w:val="20"/>
        </w:rPr>
        <w:t>acción</w:t>
      </w:r>
      <w:r>
        <w:rPr>
          <w:spacing w:val="-7"/>
          <w:sz w:val="20"/>
        </w:rPr>
        <w:t> </w:t>
      </w:r>
      <w:r>
        <w:rPr>
          <w:sz w:val="20"/>
        </w:rPr>
        <w:t>u</w:t>
      </w:r>
      <w:r>
        <w:rPr>
          <w:spacing w:val="-4"/>
          <w:sz w:val="20"/>
        </w:rPr>
        <w:t> </w:t>
      </w:r>
      <w:r>
        <w:rPr>
          <w:sz w:val="20"/>
        </w:rPr>
        <w:t>omisión</w:t>
      </w:r>
      <w:r>
        <w:rPr>
          <w:spacing w:val="-6"/>
          <w:sz w:val="20"/>
        </w:rPr>
        <w:t> </w:t>
      </w:r>
      <w:r>
        <w:rPr>
          <w:sz w:val="20"/>
        </w:rPr>
        <w:t>constitutiva</w:t>
      </w:r>
      <w:r>
        <w:rPr>
          <w:spacing w:val="-6"/>
          <w:sz w:val="20"/>
        </w:rPr>
        <w:t> </w:t>
      </w:r>
      <w:r>
        <w:rPr>
          <w:sz w:val="20"/>
        </w:rPr>
        <w:t>de</w:t>
      </w:r>
      <w:r>
        <w:rPr>
          <w:spacing w:val="-4"/>
          <w:sz w:val="20"/>
        </w:rPr>
        <w:t> </w:t>
      </w:r>
      <w:r>
        <w:rPr>
          <w:sz w:val="20"/>
        </w:rPr>
        <w:t>la</w:t>
      </w:r>
      <w:r>
        <w:rPr>
          <w:spacing w:val="-4"/>
          <w:sz w:val="20"/>
        </w:rPr>
        <w:t> </w:t>
      </w:r>
      <w:r>
        <w:rPr>
          <w:spacing w:val="-2"/>
          <w:sz w:val="20"/>
        </w:rPr>
        <w:t>infracción;</w:t>
      </w:r>
    </w:p>
    <w:p>
      <w:pPr>
        <w:pStyle w:val="ListParagraph"/>
        <w:numPr>
          <w:ilvl w:val="0"/>
          <w:numId w:val="356"/>
        </w:numPr>
        <w:tabs>
          <w:tab w:pos="1195" w:val="left" w:leader="none"/>
        </w:tabs>
        <w:spacing w:line="240" w:lineRule="auto" w:before="228" w:after="0"/>
        <w:ind w:left="1195" w:right="0" w:hanging="569"/>
        <w:jc w:val="left"/>
        <w:rPr>
          <w:sz w:val="20"/>
        </w:rPr>
      </w:pPr>
      <w:r>
        <w:rPr>
          <w:sz w:val="20"/>
        </w:rPr>
        <w:t>La</w:t>
      </w:r>
      <w:r>
        <w:rPr>
          <w:spacing w:val="-8"/>
          <w:sz w:val="20"/>
        </w:rPr>
        <w:t> </w:t>
      </w:r>
      <w:r>
        <w:rPr>
          <w:sz w:val="20"/>
        </w:rPr>
        <w:t>gravedad</w:t>
      </w:r>
      <w:r>
        <w:rPr>
          <w:spacing w:val="-4"/>
          <w:sz w:val="20"/>
        </w:rPr>
        <w:t> </w:t>
      </w:r>
      <w:r>
        <w:rPr>
          <w:sz w:val="20"/>
        </w:rPr>
        <w:t>de</w:t>
      </w:r>
      <w:r>
        <w:rPr>
          <w:spacing w:val="-5"/>
          <w:sz w:val="20"/>
        </w:rPr>
        <w:t> </w:t>
      </w:r>
      <w:r>
        <w:rPr>
          <w:sz w:val="20"/>
        </w:rPr>
        <w:t>la</w:t>
      </w:r>
      <w:r>
        <w:rPr>
          <w:spacing w:val="-5"/>
          <w:sz w:val="20"/>
        </w:rPr>
        <w:t> </w:t>
      </w:r>
      <w:r>
        <w:rPr>
          <w:spacing w:val="-2"/>
          <w:sz w:val="20"/>
        </w:rPr>
        <w:t>infracción;</w:t>
      </w:r>
    </w:p>
    <w:p>
      <w:pPr>
        <w:pStyle w:val="BodyText"/>
        <w:spacing w:before="1"/>
      </w:pPr>
    </w:p>
    <w:p>
      <w:pPr>
        <w:pStyle w:val="ListParagraph"/>
        <w:numPr>
          <w:ilvl w:val="0"/>
          <w:numId w:val="356"/>
        </w:numPr>
        <w:tabs>
          <w:tab w:pos="1195" w:val="left" w:leader="none"/>
        </w:tabs>
        <w:spacing w:line="240" w:lineRule="auto" w:before="0" w:after="0"/>
        <w:ind w:left="1195" w:right="0" w:hanging="569"/>
        <w:jc w:val="left"/>
        <w:rPr>
          <w:sz w:val="20"/>
        </w:rPr>
      </w:pPr>
      <w:r>
        <w:rPr>
          <w:sz w:val="20"/>
        </w:rPr>
        <w:t>Los</w:t>
      </w:r>
      <w:r>
        <w:rPr>
          <w:spacing w:val="-7"/>
          <w:sz w:val="20"/>
        </w:rPr>
        <w:t> </w:t>
      </w:r>
      <w:r>
        <w:rPr>
          <w:sz w:val="20"/>
        </w:rPr>
        <w:t>daños</w:t>
      </w:r>
      <w:r>
        <w:rPr>
          <w:spacing w:val="-6"/>
          <w:sz w:val="20"/>
        </w:rPr>
        <w:t> </w:t>
      </w:r>
      <w:r>
        <w:rPr>
          <w:sz w:val="20"/>
        </w:rPr>
        <w:t>que</w:t>
      </w:r>
      <w:r>
        <w:rPr>
          <w:spacing w:val="-8"/>
          <w:sz w:val="20"/>
        </w:rPr>
        <w:t> </w:t>
      </w:r>
      <w:r>
        <w:rPr>
          <w:sz w:val="20"/>
        </w:rPr>
        <w:t>se</w:t>
      </w:r>
      <w:r>
        <w:rPr>
          <w:spacing w:val="-7"/>
          <w:sz w:val="20"/>
        </w:rPr>
        <w:t> </w:t>
      </w:r>
      <w:r>
        <w:rPr>
          <w:sz w:val="20"/>
        </w:rPr>
        <w:t>hubieren</w:t>
      </w:r>
      <w:r>
        <w:rPr>
          <w:spacing w:val="-6"/>
          <w:sz w:val="20"/>
        </w:rPr>
        <w:t> </w:t>
      </w:r>
      <w:r>
        <w:rPr>
          <w:sz w:val="20"/>
        </w:rPr>
        <w:t>producido</w:t>
      </w:r>
      <w:r>
        <w:rPr>
          <w:spacing w:val="-6"/>
          <w:sz w:val="20"/>
        </w:rPr>
        <w:t> </w:t>
      </w:r>
      <w:r>
        <w:rPr>
          <w:sz w:val="20"/>
        </w:rPr>
        <w:t>o</w:t>
      </w:r>
      <w:r>
        <w:rPr>
          <w:spacing w:val="-8"/>
          <w:sz w:val="20"/>
        </w:rPr>
        <w:t> </w:t>
      </w:r>
      <w:r>
        <w:rPr>
          <w:sz w:val="20"/>
        </w:rPr>
        <w:t>puedan</w:t>
      </w:r>
      <w:r>
        <w:rPr>
          <w:spacing w:val="-8"/>
          <w:sz w:val="20"/>
        </w:rPr>
        <w:t> </w:t>
      </w:r>
      <w:r>
        <w:rPr>
          <w:spacing w:val="-2"/>
          <w:sz w:val="20"/>
        </w:rPr>
        <w:t>producirse;</w:t>
      </w:r>
    </w:p>
    <w:p>
      <w:pPr>
        <w:pStyle w:val="ListParagraph"/>
        <w:spacing w:after="0" w:line="240" w:lineRule="auto"/>
        <w:jc w:val="left"/>
        <w:rPr>
          <w:sz w:val="20"/>
        </w:rPr>
        <w:sectPr>
          <w:type w:val="continuous"/>
          <w:pgSz w:w="12240" w:h="15840"/>
          <w:pgMar w:header="724" w:footer="712" w:top="1880" w:bottom="900" w:left="1080" w:right="1080"/>
        </w:sectPr>
      </w:pPr>
    </w:p>
    <w:p>
      <w:pPr>
        <w:pStyle w:val="BodyText"/>
        <w:spacing w:before="63"/>
      </w:pPr>
    </w:p>
    <w:p>
      <w:pPr>
        <w:pStyle w:val="ListParagraph"/>
        <w:numPr>
          <w:ilvl w:val="0"/>
          <w:numId w:val="356"/>
        </w:numPr>
        <w:tabs>
          <w:tab w:pos="1195" w:val="left" w:leader="none"/>
        </w:tabs>
        <w:spacing w:line="240" w:lineRule="auto" w:before="0" w:after="0"/>
        <w:ind w:left="1195" w:right="0" w:hanging="569"/>
        <w:jc w:val="left"/>
        <w:rPr>
          <w:sz w:val="20"/>
        </w:rPr>
      </w:pPr>
      <w:r>
        <w:rPr>
          <w:sz w:val="20"/>
        </w:rPr>
        <w:t>La</w:t>
      </w:r>
      <w:r>
        <w:rPr>
          <w:spacing w:val="-9"/>
          <w:sz w:val="20"/>
        </w:rPr>
        <w:t> </w:t>
      </w:r>
      <w:r>
        <w:rPr>
          <w:sz w:val="20"/>
        </w:rPr>
        <w:t>capacidad</w:t>
      </w:r>
      <w:r>
        <w:rPr>
          <w:spacing w:val="-8"/>
          <w:sz w:val="20"/>
        </w:rPr>
        <w:t> </w:t>
      </w:r>
      <w:r>
        <w:rPr>
          <w:sz w:val="20"/>
        </w:rPr>
        <w:t>económica</w:t>
      </w:r>
      <w:r>
        <w:rPr>
          <w:spacing w:val="-8"/>
          <w:sz w:val="20"/>
        </w:rPr>
        <w:t> </w:t>
      </w:r>
      <w:r>
        <w:rPr>
          <w:sz w:val="20"/>
        </w:rPr>
        <w:t>del</w:t>
      </w:r>
      <w:r>
        <w:rPr>
          <w:spacing w:val="-8"/>
          <w:sz w:val="20"/>
        </w:rPr>
        <w:t> </w:t>
      </w:r>
      <w:r>
        <w:rPr>
          <w:sz w:val="20"/>
        </w:rPr>
        <w:t>infractor;</w:t>
      </w:r>
      <w:r>
        <w:rPr>
          <w:spacing w:val="-5"/>
          <w:sz w:val="20"/>
        </w:rPr>
        <w:t> </w:t>
      </w:r>
      <w:r>
        <w:rPr>
          <w:spacing w:val="-10"/>
          <w:sz w:val="20"/>
        </w:rPr>
        <w:t>y</w:t>
      </w:r>
    </w:p>
    <w:p>
      <w:pPr>
        <w:pStyle w:val="BodyText"/>
        <w:spacing w:before="1"/>
      </w:pPr>
    </w:p>
    <w:p>
      <w:pPr>
        <w:pStyle w:val="ListParagraph"/>
        <w:numPr>
          <w:ilvl w:val="0"/>
          <w:numId w:val="356"/>
        </w:numPr>
        <w:tabs>
          <w:tab w:pos="1195" w:val="left" w:leader="none"/>
        </w:tabs>
        <w:spacing w:line="240" w:lineRule="auto" w:before="0" w:after="0"/>
        <w:ind w:left="1195" w:right="0" w:hanging="569"/>
        <w:jc w:val="left"/>
        <w:rPr>
          <w:sz w:val="20"/>
        </w:rPr>
      </w:pPr>
      <w:r>
        <w:rPr>
          <w:sz w:val="20"/>
        </w:rPr>
        <w:t>La</w:t>
      </w:r>
      <w:r>
        <w:rPr>
          <w:spacing w:val="-9"/>
          <w:sz w:val="20"/>
        </w:rPr>
        <w:t> </w:t>
      </w:r>
      <w:r>
        <w:rPr>
          <w:sz w:val="20"/>
        </w:rPr>
        <w:t>reincidencia</w:t>
      </w:r>
      <w:r>
        <w:rPr>
          <w:spacing w:val="-7"/>
          <w:sz w:val="20"/>
        </w:rPr>
        <w:t> </w:t>
      </w:r>
      <w:r>
        <w:rPr>
          <w:sz w:val="20"/>
        </w:rPr>
        <w:t>del</w:t>
      </w:r>
      <w:r>
        <w:rPr>
          <w:spacing w:val="-6"/>
          <w:sz w:val="20"/>
        </w:rPr>
        <w:t> </w:t>
      </w:r>
      <w:r>
        <w:rPr>
          <w:spacing w:val="-2"/>
          <w:sz w:val="20"/>
        </w:rPr>
        <w:t>infractor.</w:t>
      </w:r>
    </w:p>
    <w:p>
      <w:pPr>
        <w:pStyle w:val="BodyText"/>
        <w:spacing w:before="3"/>
      </w:pPr>
    </w:p>
    <w:p>
      <w:pPr>
        <w:pStyle w:val="BodyText"/>
        <w:ind w:left="626"/>
      </w:pPr>
      <w:r>
        <w:rPr/>
        <w:t>En</w:t>
      </w:r>
      <w:r>
        <w:rPr>
          <w:spacing w:val="-7"/>
        </w:rPr>
        <w:t> </w:t>
      </w:r>
      <w:r>
        <w:rPr/>
        <w:t>todos</w:t>
      </w:r>
      <w:r>
        <w:rPr>
          <w:spacing w:val="-4"/>
        </w:rPr>
        <w:t> </w:t>
      </w:r>
      <w:r>
        <w:rPr/>
        <w:t>los</w:t>
      </w:r>
      <w:r>
        <w:rPr>
          <w:spacing w:val="-6"/>
        </w:rPr>
        <w:t> </w:t>
      </w:r>
      <w:r>
        <w:rPr/>
        <w:t>casos</w:t>
      </w:r>
      <w:r>
        <w:rPr>
          <w:spacing w:val="-6"/>
        </w:rPr>
        <w:t> </w:t>
      </w:r>
      <w:r>
        <w:rPr/>
        <w:t>de</w:t>
      </w:r>
      <w:r>
        <w:rPr>
          <w:spacing w:val="-5"/>
        </w:rPr>
        <w:t> </w:t>
      </w:r>
      <w:r>
        <w:rPr/>
        <w:t>reincidencia</w:t>
      </w:r>
      <w:r>
        <w:rPr>
          <w:spacing w:val="-7"/>
        </w:rPr>
        <w:t> </w:t>
      </w:r>
      <w:r>
        <w:rPr/>
        <w:t>se</w:t>
      </w:r>
      <w:r>
        <w:rPr>
          <w:spacing w:val="-5"/>
        </w:rPr>
        <w:t> </w:t>
      </w:r>
      <w:r>
        <w:rPr/>
        <w:t>duplicará</w:t>
      </w:r>
      <w:r>
        <w:rPr>
          <w:spacing w:val="-7"/>
        </w:rPr>
        <w:t> </w:t>
      </w:r>
      <w:r>
        <w:rPr/>
        <w:t>la</w:t>
      </w:r>
      <w:r>
        <w:rPr>
          <w:spacing w:val="-7"/>
        </w:rPr>
        <w:t> </w:t>
      </w:r>
      <w:r>
        <w:rPr/>
        <w:t>multa</w:t>
      </w:r>
      <w:r>
        <w:rPr>
          <w:spacing w:val="-8"/>
        </w:rPr>
        <w:t> </w:t>
      </w:r>
      <w:r>
        <w:rPr/>
        <w:t>impuesta</w:t>
      </w:r>
      <w:r>
        <w:rPr>
          <w:spacing w:val="-7"/>
        </w:rPr>
        <w:t> </w:t>
      </w:r>
      <w:r>
        <w:rPr/>
        <w:t>por</w:t>
      </w:r>
      <w:r>
        <w:rPr>
          <w:spacing w:val="-7"/>
        </w:rPr>
        <w:t> </w:t>
      </w:r>
      <w:r>
        <w:rPr/>
        <w:t>la</w:t>
      </w:r>
      <w:r>
        <w:rPr>
          <w:spacing w:val="-5"/>
        </w:rPr>
        <w:t> </w:t>
      </w:r>
      <w:r>
        <w:rPr/>
        <w:t>infracción</w:t>
      </w:r>
      <w:r>
        <w:rPr>
          <w:spacing w:val="-5"/>
        </w:rPr>
        <w:t> </w:t>
      </w:r>
      <w:r>
        <w:rPr>
          <w:spacing w:val="-2"/>
        </w:rPr>
        <w:t>anterior.</w:t>
      </w:r>
    </w:p>
    <w:p>
      <w:pPr>
        <w:pStyle w:val="BodyText"/>
        <w:spacing w:before="228"/>
        <w:ind w:left="338" w:right="343" w:firstLine="288"/>
        <w:jc w:val="both"/>
      </w:pPr>
      <w:r>
        <w:rPr/>
        <w:t>Se entiende por reincidencia, para los efectos de esta Ley y demás disposiciones derivadas de ella, cada una de las subsecuentes infracciones a un mismo precepto, cometidas dentro de los dos años siguientes a la fecha del acta en que se hizo constar la infracción precedente, siempre que ésta no hubiese sido desvirtuada.</w:t>
      </w:r>
    </w:p>
    <w:p>
      <w:pPr>
        <w:pStyle w:val="BodyText"/>
        <w:spacing w:before="2"/>
      </w:pPr>
    </w:p>
    <w:p>
      <w:pPr>
        <w:pStyle w:val="BodyText"/>
        <w:spacing w:before="1"/>
        <w:ind w:left="338" w:right="337" w:firstLine="288"/>
        <w:jc w:val="both"/>
      </w:pPr>
      <w:r>
        <w:rPr/>
        <w:t>Cuando</w:t>
      </w:r>
      <w:r>
        <w:rPr>
          <w:spacing w:val="-2"/>
        </w:rPr>
        <w:t> </w:t>
      </w:r>
      <w:r>
        <w:rPr/>
        <w:t>en</w:t>
      </w:r>
      <w:r>
        <w:rPr>
          <w:spacing w:val="-2"/>
        </w:rPr>
        <w:t> </w:t>
      </w:r>
      <w:r>
        <w:rPr/>
        <w:t>un</w:t>
      </w:r>
      <w:r>
        <w:rPr>
          <w:spacing w:val="-1"/>
        </w:rPr>
        <w:t> </w:t>
      </w:r>
      <w:r>
        <w:rPr/>
        <w:t>solo</w:t>
      </w:r>
      <w:r>
        <w:rPr>
          <w:spacing w:val="-1"/>
        </w:rPr>
        <w:t> </w:t>
      </w:r>
      <w:r>
        <w:rPr/>
        <w:t>acto</w:t>
      </w:r>
      <w:r>
        <w:rPr>
          <w:spacing w:val="-1"/>
        </w:rPr>
        <w:t> </w:t>
      </w:r>
      <w:r>
        <w:rPr/>
        <w:t>u</w:t>
      </w:r>
      <w:r>
        <w:rPr>
          <w:spacing w:val="-1"/>
        </w:rPr>
        <w:t> </w:t>
      </w:r>
      <w:r>
        <w:rPr/>
        <w:t>omisión</w:t>
      </w:r>
      <w:r>
        <w:rPr>
          <w:spacing w:val="-4"/>
        </w:rPr>
        <w:t> </w:t>
      </w:r>
      <w:r>
        <w:rPr/>
        <w:t>se</w:t>
      </w:r>
      <w:r>
        <w:rPr>
          <w:spacing w:val="-3"/>
        </w:rPr>
        <w:t> </w:t>
      </w:r>
      <w:r>
        <w:rPr/>
        <w:t>afecten</w:t>
      </w:r>
      <w:r>
        <w:rPr>
          <w:spacing w:val="-2"/>
        </w:rPr>
        <w:t> </w:t>
      </w:r>
      <w:r>
        <w:rPr/>
        <w:t>a</w:t>
      </w:r>
      <w:r>
        <w:rPr>
          <w:spacing w:val="-1"/>
        </w:rPr>
        <w:t> </w:t>
      </w:r>
      <w:r>
        <w:rPr/>
        <w:t>varios</w:t>
      </w:r>
      <w:r>
        <w:rPr>
          <w:spacing w:val="-2"/>
        </w:rPr>
        <w:t> </w:t>
      </w:r>
      <w:r>
        <w:rPr/>
        <w:t>trabajadores,</w:t>
      </w:r>
      <w:r>
        <w:rPr>
          <w:spacing w:val="-1"/>
        </w:rPr>
        <w:t> </w:t>
      </w:r>
      <w:r>
        <w:rPr/>
        <w:t>se</w:t>
      </w:r>
      <w:r>
        <w:rPr>
          <w:spacing w:val="-1"/>
        </w:rPr>
        <w:t> </w:t>
      </w:r>
      <w:r>
        <w:rPr/>
        <w:t>impondrá</w:t>
      </w:r>
      <w:r>
        <w:rPr>
          <w:spacing w:val="-3"/>
        </w:rPr>
        <w:t> </w:t>
      </w:r>
      <w:r>
        <w:rPr/>
        <w:t>sanción</w:t>
      </w:r>
      <w:r>
        <w:rPr>
          <w:spacing w:val="-3"/>
        </w:rPr>
        <w:t> </w:t>
      </w:r>
      <w:r>
        <w:rPr/>
        <w:t>por</w:t>
      </w:r>
      <w:r>
        <w:rPr>
          <w:spacing w:val="-3"/>
        </w:rPr>
        <w:t> </w:t>
      </w:r>
      <w:r>
        <w:rPr/>
        <w:t>cada</w:t>
      </w:r>
      <w:r>
        <w:rPr>
          <w:spacing w:val="-3"/>
        </w:rPr>
        <w:t> </w:t>
      </w:r>
      <w:r>
        <w:rPr/>
        <w:t>uno de los trabajadores afectados. Si con un solo acto u omisión se incurre en diversas infracciones, se aplicarán las sanciones que correspondan a cada una de ellas, de manera independiente.</w:t>
      </w:r>
    </w:p>
    <w:p>
      <w:pPr>
        <w:pStyle w:val="BodyText"/>
        <w:spacing w:before="229"/>
        <w:ind w:left="338" w:right="341" w:firstLine="288"/>
        <w:jc w:val="both"/>
      </w:pPr>
      <w:r>
        <w:rPr/>
        <w:t>Cuando la multa se aplique a un trabajador, ésta no podrá exceder al importe señalado en el artículo 21 Constitucional.</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338" w:right="343" w:firstLine="288"/>
        <w:jc w:val="both"/>
      </w:pPr>
      <w:bookmarkStart w:name="Artículo_993" w:id="1241"/>
      <w:bookmarkEnd w:id="1241"/>
      <w:r>
        <w:rPr/>
      </w:r>
      <w:r>
        <w:rPr>
          <w:rFonts w:ascii="Arial" w:hAnsi="Arial"/>
          <w:b/>
        </w:rPr>
        <w:t>Artículo 993.- </w:t>
      </w:r>
      <w:r>
        <w:rPr/>
        <w:t>Al patrón que no cumpla las normas que determinan el porcentaje o la utilización exclusiva</w:t>
      </w:r>
      <w:r>
        <w:rPr>
          <w:spacing w:val="-2"/>
        </w:rPr>
        <w:t> </w:t>
      </w:r>
      <w:r>
        <w:rPr/>
        <w:t>de</w:t>
      </w:r>
      <w:r>
        <w:rPr>
          <w:spacing w:val="-2"/>
        </w:rPr>
        <w:t> </w:t>
      </w:r>
      <w:r>
        <w:rPr/>
        <w:t>trabajadores mexicanos</w:t>
      </w:r>
      <w:r>
        <w:rPr>
          <w:spacing w:val="-1"/>
        </w:rPr>
        <w:t> </w:t>
      </w:r>
      <w:r>
        <w:rPr/>
        <w:t>en las</w:t>
      </w:r>
      <w:r>
        <w:rPr>
          <w:spacing w:val="-1"/>
        </w:rPr>
        <w:t> </w:t>
      </w:r>
      <w:r>
        <w:rPr/>
        <w:t>empresas</w:t>
      </w:r>
      <w:r>
        <w:rPr>
          <w:spacing w:val="-1"/>
        </w:rPr>
        <w:t> </w:t>
      </w:r>
      <w:r>
        <w:rPr/>
        <w:t>o</w:t>
      </w:r>
      <w:r>
        <w:rPr>
          <w:spacing w:val="-2"/>
        </w:rPr>
        <w:t> </w:t>
      </w:r>
      <w:r>
        <w:rPr/>
        <w:t>establecimientos</w:t>
      </w:r>
      <w:r>
        <w:rPr>
          <w:spacing w:val="-1"/>
        </w:rPr>
        <w:t> </w:t>
      </w:r>
      <w:r>
        <w:rPr/>
        <w:t>se le</w:t>
      </w:r>
      <w:r>
        <w:rPr>
          <w:spacing w:val="-2"/>
        </w:rPr>
        <w:t> </w:t>
      </w:r>
      <w:r>
        <w:rPr/>
        <w:t>impondrá</w:t>
      </w:r>
      <w:r>
        <w:rPr>
          <w:spacing w:val="-2"/>
        </w:rPr>
        <w:t> </w:t>
      </w:r>
      <w:r>
        <w:rPr/>
        <w:t>una</w:t>
      </w:r>
      <w:r>
        <w:rPr>
          <w:spacing w:val="-2"/>
        </w:rPr>
        <w:t> </w:t>
      </w:r>
      <w:r>
        <w:rPr/>
        <w:t>multa</w:t>
      </w:r>
      <w:r>
        <w:rPr>
          <w:spacing w:val="-2"/>
        </w:rPr>
        <w:t> </w:t>
      </w:r>
      <w:r>
        <w:rPr/>
        <w:t>por</w:t>
      </w:r>
      <w:r>
        <w:rPr>
          <w:spacing w:val="-1"/>
        </w:rPr>
        <w:t> </w:t>
      </w:r>
      <w:r>
        <w:rPr/>
        <w:t>el equivalente de 250 a 2500 veces la Unidad de Medida y Actualización.</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spacing w:before="1"/>
        <w:ind w:left="626" w:right="0" w:firstLine="0"/>
        <w:jc w:val="left"/>
        <w:rPr>
          <w:sz w:val="20"/>
        </w:rPr>
      </w:pPr>
      <w:bookmarkStart w:name="Artículo_994" w:id="1242"/>
      <w:bookmarkEnd w:id="1242"/>
      <w:r>
        <w:rPr/>
      </w:r>
      <w:r>
        <w:rPr>
          <w:rFonts w:ascii="Arial" w:hAnsi="Arial"/>
          <w:b/>
          <w:sz w:val="20"/>
        </w:rPr>
        <w:t>Artículo</w:t>
      </w:r>
      <w:r>
        <w:rPr>
          <w:rFonts w:ascii="Arial" w:hAnsi="Arial"/>
          <w:b/>
          <w:spacing w:val="-7"/>
          <w:sz w:val="20"/>
        </w:rPr>
        <w:t> </w:t>
      </w:r>
      <w:r>
        <w:rPr>
          <w:rFonts w:ascii="Arial" w:hAnsi="Arial"/>
          <w:b/>
          <w:sz w:val="20"/>
        </w:rPr>
        <w:t>994</w:t>
      </w:r>
      <w:r>
        <w:rPr>
          <w:sz w:val="20"/>
        </w:rPr>
        <w:t>.</w:t>
      </w:r>
      <w:r>
        <w:rPr>
          <w:spacing w:val="-6"/>
          <w:sz w:val="20"/>
        </w:rPr>
        <w:t> </w:t>
      </w:r>
      <w:r>
        <w:rPr>
          <w:sz w:val="20"/>
        </w:rPr>
        <w:t>Se</w:t>
      </w:r>
      <w:r>
        <w:rPr>
          <w:spacing w:val="-5"/>
          <w:sz w:val="20"/>
        </w:rPr>
        <w:t> </w:t>
      </w:r>
      <w:r>
        <w:rPr>
          <w:sz w:val="20"/>
        </w:rPr>
        <w:t>impondrá</w:t>
      </w:r>
      <w:r>
        <w:rPr>
          <w:spacing w:val="-6"/>
          <w:sz w:val="20"/>
        </w:rPr>
        <w:t> </w:t>
      </w:r>
      <w:r>
        <w:rPr>
          <w:sz w:val="20"/>
        </w:rPr>
        <w:t>multa,</w:t>
      </w:r>
      <w:r>
        <w:rPr>
          <w:spacing w:val="-7"/>
          <w:sz w:val="20"/>
        </w:rPr>
        <w:t> </w:t>
      </w:r>
      <w:r>
        <w:rPr>
          <w:sz w:val="20"/>
        </w:rPr>
        <w:t>por</w:t>
      </w:r>
      <w:r>
        <w:rPr>
          <w:spacing w:val="-7"/>
          <w:sz w:val="20"/>
        </w:rPr>
        <w:t> </w:t>
      </w:r>
      <w:r>
        <w:rPr>
          <w:sz w:val="20"/>
        </w:rPr>
        <w:t>el</w:t>
      </w:r>
      <w:r>
        <w:rPr>
          <w:spacing w:val="-8"/>
          <w:sz w:val="20"/>
        </w:rPr>
        <w:t> </w:t>
      </w:r>
      <w:r>
        <w:rPr>
          <w:sz w:val="20"/>
        </w:rPr>
        <w:t>equivalente</w:t>
      </w:r>
      <w:r>
        <w:rPr>
          <w:spacing w:val="-7"/>
          <w:sz w:val="20"/>
        </w:rPr>
        <w:t> </w:t>
      </w:r>
      <w:r>
        <w:rPr>
          <w:spacing w:val="-5"/>
          <w:sz w:val="20"/>
        </w:rPr>
        <w:t>a:</w:t>
      </w:r>
    </w:p>
    <w:p>
      <w:pPr>
        <w:pStyle w:val="BodyText"/>
      </w:pPr>
    </w:p>
    <w:p>
      <w:pPr>
        <w:pStyle w:val="ListParagraph"/>
        <w:numPr>
          <w:ilvl w:val="0"/>
          <w:numId w:val="357"/>
        </w:numPr>
        <w:tabs>
          <w:tab w:pos="1195" w:val="left" w:leader="none"/>
        </w:tabs>
        <w:spacing w:line="240" w:lineRule="auto" w:before="0" w:after="0"/>
        <w:ind w:left="1195" w:right="344" w:hanging="569"/>
        <w:jc w:val="left"/>
        <w:rPr>
          <w:sz w:val="20"/>
        </w:rPr>
      </w:pPr>
      <w:r>
        <w:rPr>
          <w:sz w:val="20"/>
        </w:rPr>
        <w:t>De 50</w:t>
      </w:r>
      <w:r>
        <w:rPr>
          <w:spacing w:val="21"/>
          <w:sz w:val="20"/>
        </w:rPr>
        <w:t> </w:t>
      </w:r>
      <w:r>
        <w:rPr>
          <w:sz w:val="20"/>
        </w:rPr>
        <w:t>a 250 Unidades</w:t>
      </w:r>
      <w:r>
        <w:rPr>
          <w:spacing w:val="20"/>
          <w:sz w:val="20"/>
        </w:rPr>
        <w:t> </w:t>
      </w:r>
      <w:r>
        <w:rPr>
          <w:sz w:val="20"/>
        </w:rPr>
        <w:t>de</w:t>
      </w:r>
      <w:r>
        <w:rPr>
          <w:spacing w:val="20"/>
          <w:sz w:val="20"/>
        </w:rPr>
        <w:t> </w:t>
      </w:r>
      <w:r>
        <w:rPr>
          <w:sz w:val="20"/>
        </w:rPr>
        <w:t>Medida</w:t>
      </w:r>
      <w:r>
        <w:rPr>
          <w:spacing w:val="23"/>
          <w:sz w:val="20"/>
        </w:rPr>
        <w:t> </w:t>
      </w:r>
      <w:r>
        <w:rPr>
          <w:sz w:val="20"/>
        </w:rPr>
        <w:t>y Actualización,</w:t>
      </w:r>
      <w:r>
        <w:rPr>
          <w:spacing w:val="21"/>
          <w:sz w:val="20"/>
        </w:rPr>
        <w:t> </w:t>
      </w:r>
      <w:r>
        <w:rPr>
          <w:sz w:val="20"/>
        </w:rPr>
        <w:t>al patrón que no cumpla las</w:t>
      </w:r>
      <w:r>
        <w:rPr>
          <w:spacing w:val="20"/>
          <w:sz w:val="20"/>
        </w:rPr>
        <w:t> </w:t>
      </w:r>
      <w:r>
        <w:rPr>
          <w:sz w:val="20"/>
        </w:rPr>
        <w:t>disposiciones contenidas en los artículos 61, 69, 76 y 77;</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57"/>
        </w:numPr>
        <w:tabs>
          <w:tab w:pos="1192" w:val="left" w:leader="none"/>
          <w:tab w:pos="1195" w:val="left" w:leader="none"/>
        </w:tabs>
        <w:spacing w:line="240" w:lineRule="auto" w:before="0" w:after="0"/>
        <w:ind w:left="1195" w:right="339" w:hanging="569"/>
        <w:jc w:val="both"/>
        <w:rPr>
          <w:sz w:val="20"/>
        </w:rPr>
      </w:pPr>
      <w:r>
        <w:rPr>
          <w:sz w:val="20"/>
        </w:rPr>
        <w:t>De 250 a 5000 Unidades de Medida y Actualización, al patrón que no cumpla las obligaciones que le impone el capítulo VIII del Título Tercero, relativo a la Participación de los Trabajadores en las Utilidades de las Empresas;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57"/>
        </w:numPr>
        <w:tabs>
          <w:tab w:pos="1195" w:val="left" w:leader="none"/>
        </w:tabs>
        <w:spacing w:line="240" w:lineRule="auto" w:before="0" w:after="0"/>
        <w:ind w:left="1195" w:right="339" w:hanging="569"/>
        <w:jc w:val="left"/>
        <w:rPr>
          <w:sz w:val="20"/>
        </w:rPr>
      </w:pPr>
      <w:r>
        <w:rPr>
          <w:sz w:val="20"/>
        </w:rPr>
        <w:t>De</w:t>
      </w:r>
      <w:r>
        <w:rPr>
          <w:spacing w:val="22"/>
          <w:sz w:val="20"/>
        </w:rPr>
        <w:t> </w:t>
      </w:r>
      <w:r>
        <w:rPr>
          <w:sz w:val="20"/>
        </w:rPr>
        <w:t>50</w:t>
      </w:r>
      <w:r>
        <w:rPr>
          <w:spacing w:val="22"/>
          <w:sz w:val="20"/>
        </w:rPr>
        <w:t> </w:t>
      </w:r>
      <w:r>
        <w:rPr>
          <w:sz w:val="20"/>
        </w:rPr>
        <w:t>a</w:t>
      </w:r>
      <w:r>
        <w:rPr>
          <w:spacing w:val="24"/>
          <w:sz w:val="20"/>
        </w:rPr>
        <w:t> </w:t>
      </w:r>
      <w:r>
        <w:rPr>
          <w:sz w:val="20"/>
        </w:rPr>
        <w:t>1500</w:t>
      </w:r>
      <w:r>
        <w:rPr>
          <w:spacing w:val="22"/>
          <w:sz w:val="20"/>
        </w:rPr>
        <w:t> </w:t>
      </w:r>
      <w:r>
        <w:rPr>
          <w:sz w:val="20"/>
        </w:rPr>
        <w:t>Unidades</w:t>
      </w:r>
      <w:r>
        <w:rPr>
          <w:spacing w:val="23"/>
          <w:sz w:val="20"/>
        </w:rPr>
        <w:t> </w:t>
      </w:r>
      <w:r>
        <w:rPr>
          <w:sz w:val="20"/>
        </w:rPr>
        <w:t>de</w:t>
      </w:r>
      <w:r>
        <w:rPr>
          <w:spacing w:val="22"/>
          <w:sz w:val="20"/>
        </w:rPr>
        <w:t> </w:t>
      </w:r>
      <w:r>
        <w:rPr>
          <w:sz w:val="20"/>
        </w:rPr>
        <w:t>Medida</w:t>
      </w:r>
      <w:r>
        <w:rPr>
          <w:spacing w:val="24"/>
          <w:sz w:val="20"/>
        </w:rPr>
        <w:t> </w:t>
      </w:r>
      <w:r>
        <w:rPr>
          <w:sz w:val="20"/>
        </w:rPr>
        <w:t>y</w:t>
      </w:r>
      <w:r>
        <w:rPr>
          <w:spacing w:val="21"/>
          <w:sz w:val="20"/>
        </w:rPr>
        <w:t> </w:t>
      </w:r>
      <w:r>
        <w:rPr>
          <w:sz w:val="20"/>
        </w:rPr>
        <w:t>Actualización</w:t>
      </w:r>
      <w:r>
        <w:rPr>
          <w:spacing w:val="24"/>
          <w:sz w:val="20"/>
        </w:rPr>
        <w:t> </w:t>
      </w:r>
      <w:r>
        <w:rPr>
          <w:sz w:val="20"/>
        </w:rPr>
        <w:t>al</w:t>
      </w:r>
      <w:r>
        <w:rPr>
          <w:spacing w:val="21"/>
          <w:sz w:val="20"/>
        </w:rPr>
        <w:t> </w:t>
      </w:r>
      <w:r>
        <w:rPr>
          <w:sz w:val="20"/>
        </w:rPr>
        <w:t>patrón</w:t>
      </w:r>
      <w:r>
        <w:rPr>
          <w:spacing w:val="22"/>
          <w:sz w:val="20"/>
        </w:rPr>
        <w:t> </w:t>
      </w:r>
      <w:r>
        <w:rPr>
          <w:sz w:val="20"/>
        </w:rPr>
        <w:t>que</w:t>
      </w:r>
      <w:r>
        <w:rPr>
          <w:spacing w:val="22"/>
          <w:sz w:val="20"/>
        </w:rPr>
        <w:t> </w:t>
      </w:r>
      <w:r>
        <w:rPr>
          <w:sz w:val="20"/>
        </w:rPr>
        <w:t>no</w:t>
      </w:r>
      <w:r>
        <w:rPr>
          <w:spacing w:val="22"/>
          <w:sz w:val="20"/>
        </w:rPr>
        <w:t> </w:t>
      </w:r>
      <w:r>
        <w:rPr>
          <w:sz w:val="20"/>
        </w:rPr>
        <w:t>cumpla</w:t>
      </w:r>
      <w:r>
        <w:rPr>
          <w:spacing w:val="22"/>
          <w:sz w:val="20"/>
        </w:rPr>
        <w:t> </w:t>
      </w:r>
      <w:r>
        <w:rPr>
          <w:sz w:val="20"/>
        </w:rPr>
        <w:t>las</w:t>
      </w:r>
      <w:r>
        <w:rPr>
          <w:spacing w:val="23"/>
          <w:sz w:val="20"/>
        </w:rPr>
        <w:t> </w:t>
      </w:r>
      <w:r>
        <w:rPr>
          <w:sz w:val="20"/>
        </w:rPr>
        <w:t>obligaciones señaladas en el artículo 132, fracciones IV, VII, VIII, IX, X, XII, XIV, XXII y XXVI Bis;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01-05-2019,</w:t>
      </w:r>
      <w:r>
        <w:rPr>
          <w:rFonts w:ascii="Times New Roman" w:hAnsi="Times New Roman"/>
          <w:i/>
          <w:color w:val="0000FF"/>
          <w:spacing w:val="-7"/>
          <w:sz w:val="16"/>
        </w:rPr>
        <w:t> </w:t>
      </w:r>
      <w:r>
        <w:rPr>
          <w:rFonts w:ascii="Times New Roman" w:hAnsi="Times New Roman"/>
          <w:i/>
          <w:color w:val="0000FF"/>
          <w:sz w:val="16"/>
        </w:rPr>
        <w:t>04-04-</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57"/>
        </w:numPr>
        <w:tabs>
          <w:tab w:pos="1195" w:val="left" w:leader="none"/>
        </w:tabs>
        <w:spacing w:line="242" w:lineRule="auto" w:before="0" w:after="0"/>
        <w:ind w:left="1195" w:right="338" w:hanging="569"/>
        <w:jc w:val="left"/>
        <w:rPr>
          <w:sz w:val="20"/>
        </w:rPr>
      </w:pPr>
      <w:r>
        <w:rPr>
          <w:sz w:val="20"/>
        </w:rPr>
        <w:t>De 250 a 5000 Unidades de Medida y Actualización, al patrón que no cumpla con lo dispuesto por la fracción XV del artículo 132;</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57"/>
        </w:numPr>
        <w:tabs>
          <w:tab w:pos="1195" w:val="left" w:leader="none"/>
        </w:tabs>
        <w:spacing w:line="242" w:lineRule="auto" w:before="1" w:after="0"/>
        <w:ind w:left="1195" w:right="340" w:hanging="569"/>
        <w:jc w:val="both"/>
        <w:rPr>
          <w:sz w:val="20"/>
        </w:rPr>
      </w:pPr>
      <w:r>
        <w:rPr>
          <w:sz w:val="20"/>
        </w:rPr>
        <w:t>De 250 a 5000 Unidades de Medida y Actualización, al patrón que no observe en la instalación de sus establecimientos las normas de seguridad e higiene o las medidas que fijen las Leyes para prevenir los riesgos de trabajo;</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57"/>
        </w:numPr>
        <w:tabs>
          <w:tab w:pos="1195" w:val="left" w:leader="none"/>
        </w:tabs>
        <w:spacing w:line="240" w:lineRule="auto" w:before="0" w:after="0"/>
        <w:ind w:left="1195" w:right="340" w:hanging="569"/>
        <w:jc w:val="both"/>
        <w:rPr>
          <w:sz w:val="20"/>
        </w:rPr>
      </w:pPr>
      <w:r>
        <w:rPr>
          <w:sz w:val="20"/>
        </w:rPr>
        <w:t>De 250 a 5000 Unidades de Medida y Actualización, al patrón que cometa cualquier acto o conducta discriminatoria en el centro de trabajo; al que realice actos de hostigamiento sexual o que tolere o permita actos de acoso u hostigamiento sexual en contra de sus trabajadores, así como al que viole las prohibiciones establecidas en las fracciones IV y V del artículo 133 de la Ley, o lo dispuesto en el artículo 357, segundo y tercer párrafo de ésta;</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3" w:lineRule="exact"/>
        <w:jc w:val="lef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3"/>
        <w:rPr>
          <w:rFonts w:ascii="Times New Roman"/>
          <w:i/>
        </w:rPr>
      </w:pPr>
    </w:p>
    <w:p>
      <w:pPr>
        <w:pStyle w:val="ListParagraph"/>
        <w:numPr>
          <w:ilvl w:val="0"/>
          <w:numId w:val="357"/>
        </w:numPr>
        <w:tabs>
          <w:tab w:pos="1193" w:val="left" w:leader="none"/>
          <w:tab w:pos="1195" w:val="left" w:leader="none"/>
        </w:tabs>
        <w:spacing w:line="242" w:lineRule="auto" w:before="0" w:after="0"/>
        <w:ind w:left="1195" w:right="336" w:hanging="569"/>
        <w:jc w:val="both"/>
        <w:rPr>
          <w:sz w:val="20"/>
        </w:rPr>
      </w:pPr>
      <w:r>
        <w:rPr>
          <w:sz w:val="20"/>
        </w:rPr>
        <w:t>De 250 a 2500 Unidades de Medida y Actualización, al patrón que viole las prohibiciones contenidas</w:t>
      </w:r>
      <w:r>
        <w:rPr>
          <w:spacing w:val="-1"/>
          <w:sz w:val="20"/>
        </w:rPr>
        <w:t> </w:t>
      </w:r>
      <w:r>
        <w:rPr>
          <w:sz w:val="20"/>
        </w:rPr>
        <w:t>en</w:t>
      </w:r>
      <w:r>
        <w:rPr>
          <w:spacing w:val="-2"/>
          <w:sz w:val="20"/>
        </w:rPr>
        <w:t> </w:t>
      </w:r>
      <w:r>
        <w:rPr>
          <w:sz w:val="20"/>
        </w:rPr>
        <w:t>el</w:t>
      </w:r>
      <w:r>
        <w:rPr>
          <w:spacing w:val="-3"/>
          <w:sz w:val="20"/>
        </w:rPr>
        <w:t> </w:t>
      </w:r>
      <w:r>
        <w:rPr>
          <w:sz w:val="20"/>
        </w:rPr>
        <w:t>artículo</w:t>
      </w:r>
      <w:r>
        <w:rPr>
          <w:spacing w:val="-2"/>
          <w:sz w:val="20"/>
        </w:rPr>
        <w:t> </w:t>
      </w:r>
      <w:r>
        <w:rPr>
          <w:sz w:val="20"/>
        </w:rPr>
        <w:t>133,</w:t>
      </w:r>
      <w:r>
        <w:rPr>
          <w:spacing w:val="-2"/>
          <w:sz w:val="20"/>
        </w:rPr>
        <w:t> </w:t>
      </w:r>
      <w:r>
        <w:rPr>
          <w:sz w:val="20"/>
        </w:rPr>
        <w:t>fracciones</w:t>
      </w:r>
      <w:r>
        <w:rPr>
          <w:spacing w:val="-1"/>
          <w:sz w:val="20"/>
        </w:rPr>
        <w:t> </w:t>
      </w:r>
      <w:r>
        <w:rPr>
          <w:sz w:val="20"/>
        </w:rPr>
        <w:t>II,</w:t>
      </w:r>
      <w:r>
        <w:rPr>
          <w:spacing w:val="-2"/>
          <w:sz w:val="20"/>
        </w:rPr>
        <w:t> </w:t>
      </w:r>
      <w:r>
        <w:rPr>
          <w:sz w:val="20"/>
        </w:rPr>
        <w:t>VI y</w:t>
      </w:r>
      <w:r>
        <w:rPr>
          <w:spacing w:val="-3"/>
          <w:sz w:val="20"/>
        </w:rPr>
        <w:t> </w:t>
      </w:r>
      <w:r>
        <w:rPr>
          <w:sz w:val="20"/>
        </w:rPr>
        <w:t>VII</w:t>
      </w:r>
      <w:r>
        <w:rPr>
          <w:spacing w:val="-2"/>
          <w:sz w:val="20"/>
        </w:rPr>
        <w:t> </w:t>
      </w:r>
      <w:r>
        <w:rPr>
          <w:sz w:val="20"/>
        </w:rPr>
        <w:t>de esta</w:t>
      </w:r>
      <w:r>
        <w:rPr>
          <w:spacing w:val="-2"/>
          <w:sz w:val="20"/>
        </w:rPr>
        <w:t> </w:t>
      </w:r>
      <w:r>
        <w:rPr>
          <w:sz w:val="20"/>
        </w:rPr>
        <w:t>Ley. Asimismo,</w:t>
      </w:r>
      <w:r>
        <w:rPr>
          <w:spacing w:val="-2"/>
          <w:sz w:val="20"/>
        </w:rPr>
        <w:t> </w:t>
      </w:r>
      <w:r>
        <w:rPr>
          <w:sz w:val="20"/>
        </w:rPr>
        <w:t>por</w:t>
      </w:r>
      <w:r>
        <w:rPr>
          <w:spacing w:val="-1"/>
          <w:sz w:val="20"/>
        </w:rPr>
        <w:t> </w:t>
      </w:r>
      <w:r>
        <w:rPr>
          <w:sz w:val="20"/>
        </w:rPr>
        <w:t>incumplir</w:t>
      </w:r>
      <w:r>
        <w:rPr>
          <w:spacing w:val="-1"/>
          <w:sz w:val="20"/>
        </w:rPr>
        <w:t> </w:t>
      </w:r>
      <w:r>
        <w:rPr>
          <w:sz w:val="20"/>
        </w:rPr>
        <w:t>con</w:t>
      </w:r>
      <w:r>
        <w:rPr>
          <w:spacing w:val="-3"/>
          <w:sz w:val="20"/>
        </w:rPr>
        <w:t> </w:t>
      </w:r>
      <w:r>
        <w:rPr>
          <w:sz w:val="20"/>
        </w:rPr>
        <w:t>los requerimientos que le haga la Autoridad Registral y la Autoridad Conciliadora,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1195" w:right="357" w:hanging="569"/>
      </w:pPr>
      <w:r>
        <w:rPr>
          <w:rFonts w:ascii="Arial" w:hAnsi="Arial"/>
          <w:b/>
        </w:rPr>
        <w:t>VIII.-</w:t>
      </w:r>
      <w:r>
        <w:rPr>
          <w:rFonts w:ascii="Arial" w:hAnsi="Arial"/>
          <w:b/>
          <w:spacing w:val="80"/>
        </w:rPr>
        <w:t> </w:t>
      </w:r>
      <w:r>
        <w:rPr/>
        <w:t>De 50 a 100 Unidades de Medida y Actualización, al patrón que no comparezca a la audiencia de conciliación, en términos del artículo 684 E fracción IV de esta Ley.</w:t>
      </w:r>
    </w:p>
    <w:p>
      <w:pPr>
        <w:spacing w:line="237" w:lineRule="auto" w:before="0"/>
        <w:ind w:left="5355" w:right="0" w:firstLine="1886"/>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46"/>
        <w:rPr>
          <w:rFonts w:ascii="Times New Roman"/>
          <w:i/>
          <w:sz w:val="16"/>
        </w:rPr>
      </w:pPr>
    </w:p>
    <w:p>
      <w:pPr>
        <w:pStyle w:val="BodyText"/>
        <w:spacing w:line="242" w:lineRule="auto"/>
        <w:ind w:left="338" w:right="337" w:firstLine="288"/>
        <w:jc w:val="both"/>
      </w:pPr>
      <w:bookmarkStart w:name="Artículo_995" w:id="1243"/>
      <w:bookmarkEnd w:id="1243"/>
      <w:r>
        <w:rPr/>
      </w:r>
      <w:r>
        <w:rPr>
          <w:rFonts w:ascii="Arial" w:hAnsi="Arial"/>
          <w:b/>
        </w:rPr>
        <w:t>Artículo 995.- </w:t>
      </w:r>
      <w:r>
        <w:rPr/>
        <w:t>Al patrón que viole las prohibiciones contenidas en el artículo 133 fracciones XIV y</w:t>
      </w:r>
      <w:r>
        <w:rPr>
          <w:spacing w:val="-3"/>
        </w:rPr>
        <w:t> </w:t>
      </w:r>
      <w:r>
        <w:rPr/>
        <w:t>XV, y las normas que rigen el trabajo de las mujeres y de los menores, se le impondrá una multa equivalente de 50 a 2500 veces la Unidad de Medida y Actualización.</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right="341" w:firstLine="288"/>
        <w:jc w:val="both"/>
      </w:pPr>
      <w:bookmarkStart w:name="Artículo_995_Bis" w:id="1244"/>
      <w:bookmarkEnd w:id="1244"/>
      <w:r>
        <w:rPr/>
      </w:r>
      <w:r>
        <w:rPr>
          <w:rFonts w:ascii="Arial" w:hAnsi="Arial"/>
          <w:b/>
        </w:rPr>
        <w:t>Artículo</w:t>
      </w:r>
      <w:r>
        <w:rPr>
          <w:rFonts w:ascii="Arial" w:hAnsi="Arial"/>
          <w:b/>
          <w:spacing w:val="-3"/>
        </w:rPr>
        <w:t> </w:t>
      </w:r>
      <w:r>
        <w:rPr>
          <w:rFonts w:ascii="Arial" w:hAnsi="Arial"/>
          <w:b/>
        </w:rPr>
        <w:t>995</w:t>
      </w:r>
      <w:r>
        <w:rPr>
          <w:rFonts w:ascii="Arial" w:hAnsi="Arial"/>
          <w:b/>
          <w:spacing w:val="-3"/>
        </w:rPr>
        <w:t> </w:t>
      </w:r>
      <w:r>
        <w:rPr>
          <w:rFonts w:ascii="Arial" w:hAnsi="Arial"/>
          <w:b/>
        </w:rPr>
        <w:t>Bis.-</w:t>
      </w:r>
      <w:r>
        <w:rPr>
          <w:rFonts w:ascii="Arial" w:hAnsi="Arial"/>
          <w:b/>
          <w:spacing w:val="-1"/>
        </w:rPr>
        <w:t> </w:t>
      </w:r>
      <w:r>
        <w:rPr/>
        <w:t>Al</w:t>
      </w:r>
      <w:r>
        <w:rPr>
          <w:spacing w:val="-3"/>
        </w:rPr>
        <w:t> </w:t>
      </w:r>
      <w:r>
        <w:rPr/>
        <w:t>patrón</w:t>
      </w:r>
      <w:r>
        <w:rPr>
          <w:spacing w:val="-3"/>
        </w:rPr>
        <w:t> </w:t>
      </w:r>
      <w:r>
        <w:rPr/>
        <w:t>que</w:t>
      </w:r>
      <w:r>
        <w:rPr>
          <w:spacing w:val="-3"/>
        </w:rPr>
        <w:t> </w:t>
      </w:r>
      <w:r>
        <w:rPr/>
        <w:t>infrinja</w:t>
      </w:r>
      <w:r>
        <w:rPr>
          <w:spacing w:val="-3"/>
        </w:rPr>
        <w:t> </w:t>
      </w:r>
      <w:r>
        <w:rPr/>
        <w:t>lo</w:t>
      </w:r>
      <w:r>
        <w:rPr>
          <w:spacing w:val="-2"/>
        </w:rPr>
        <w:t> </w:t>
      </w:r>
      <w:r>
        <w:rPr/>
        <w:t>dispuesto</w:t>
      </w:r>
      <w:r>
        <w:rPr>
          <w:spacing w:val="-2"/>
        </w:rPr>
        <w:t> </w:t>
      </w:r>
      <w:r>
        <w:rPr/>
        <w:t>en</w:t>
      </w:r>
      <w:r>
        <w:rPr>
          <w:spacing w:val="-3"/>
        </w:rPr>
        <w:t> </w:t>
      </w:r>
      <w:r>
        <w:rPr/>
        <w:t>el</w:t>
      </w:r>
      <w:r>
        <w:rPr>
          <w:spacing w:val="-3"/>
        </w:rPr>
        <w:t> </w:t>
      </w:r>
      <w:r>
        <w:rPr/>
        <w:t>artículo</w:t>
      </w:r>
      <w:r>
        <w:rPr>
          <w:spacing w:val="-3"/>
        </w:rPr>
        <w:t> </w:t>
      </w:r>
      <w:r>
        <w:rPr/>
        <w:t>23,</w:t>
      </w:r>
      <w:r>
        <w:rPr>
          <w:spacing w:val="-3"/>
        </w:rPr>
        <w:t> </w:t>
      </w:r>
      <w:r>
        <w:rPr/>
        <w:t>primer</w:t>
      </w:r>
      <w:r>
        <w:rPr>
          <w:spacing w:val="-3"/>
        </w:rPr>
        <w:t> </w:t>
      </w:r>
      <w:r>
        <w:rPr/>
        <w:t>párrafo</w:t>
      </w:r>
      <w:r>
        <w:rPr>
          <w:spacing w:val="-3"/>
        </w:rPr>
        <w:t> </w:t>
      </w:r>
      <w:r>
        <w:rPr/>
        <w:t>de</w:t>
      </w:r>
      <w:r>
        <w:rPr>
          <w:spacing w:val="-3"/>
        </w:rPr>
        <w:t> </w:t>
      </w:r>
      <w:r>
        <w:rPr/>
        <w:t>esta</w:t>
      </w:r>
      <w:r>
        <w:rPr>
          <w:spacing w:val="-2"/>
        </w:rPr>
        <w:t> </w:t>
      </w:r>
      <w:r>
        <w:rPr/>
        <w:t>Ley,</w:t>
      </w:r>
      <w:r>
        <w:rPr>
          <w:spacing w:val="-3"/>
        </w:rPr>
        <w:t> </w:t>
      </w:r>
      <w:r>
        <w:rPr/>
        <w:t>se</w:t>
      </w:r>
      <w:r>
        <w:rPr>
          <w:spacing w:val="-2"/>
        </w:rPr>
        <w:t> </w:t>
      </w:r>
      <w:r>
        <w:rPr/>
        <w:t>le castigará con prisión de 1 a 4 años y multa de 250 a 5000 veces la Unidad de Medida y Actualización.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12-06-2015,</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626"/>
      </w:pPr>
      <w:bookmarkStart w:name="Artículo_996" w:id="1245"/>
      <w:bookmarkEnd w:id="1245"/>
      <w:r>
        <w:rPr/>
      </w:r>
      <w:r>
        <w:rPr>
          <w:rFonts w:ascii="Arial" w:hAnsi="Arial"/>
          <w:b/>
        </w:rPr>
        <w:t>Artículo</w:t>
      </w:r>
      <w:r>
        <w:rPr>
          <w:rFonts w:ascii="Arial" w:hAnsi="Arial"/>
          <w:b/>
          <w:spacing w:val="-7"/>
        </w:rPr>
        <w:t> </w:t>
      </w:r>
      <w:r>
        <w:rPr>
          <w:rFonts w:ascii="Arial" w:hAnsi="Arial"/>
          <w:b/>
        </w:rPr>
        <w:t>996.</w:t>
      </w:r>
      <w:r>
        <w:rPr>
          <w:rFonts w:ascii="Arial" w:hAnsi="Arial"/>
          <w:b/>
          <w:spacing w:val="-4"/>
        </w:rPr>
        <w:t> </w:t>
      </w:r>
      <w:r>
        <w:rPr/>
        <w:t>Al</w:t>
      </w:r>
      <w:r>
        <w:rPr>
          <w:spacing w:val="-7"/>
        </w:rPr>
        <w:t> </w:t>
      </w:r>
      <w:r>
        <w:rPr/>
        <w:t>armador,</w:t>
      </w:r>
      <w:r>
        <w:rPr>
          <w:spacing w:val="-7"/>
        </w:rPr>
        <w:t> </w:t>
      </w:r>
      <w:r>
        <w:rPr/>
        <w:t>naviero</w:t>
      </w:r>
      <w:r>
        <w:rPr>
          <w:spacing w:val="-5"/>
        </w:rPr>
        <w:t> </w:t>
      </w:r>
      <w:r>
        <w:rPr/>
        <w:t>o</w:t>
      </w:r>
      <w:r>
        <w:rPr>
          <w:spacing w:val="-8"/>
        </w:rPr>
        <w:t> </w:t>
      </w:r>
      <w:r>
        <w:rPr/>
        <w:t>fletador,</w:t>
      </w:r>
      <w:r>
        <w:rPr>
          <w:spacing w:val="-7"/>
        </w:rPr>
        <w:t> </w:t>
      </w:r>
      <w:r>
        <w:rPr/>
        <w:t>se</w:t>
      </w:r>
      <w:r>
        <w:rPr>
          <w:spacing w:val="-5"/>
        </w:rPr>
        <w:t> </w:t>
      </w:r>
      <w:r>
        <w:rPr/>
        <w:t>le</w:t>
      </w:r>
      <w:r>
        <w:rPr>
          <w:spacing w:val="-6"/>
        </w:rPr>
        <w:t> </w:t>
      </w:r>
      <w:r>
        <w:rPr/>
        <w:t>impondrá</w:t>
      </w:r>
      <w:r>
        <w:rPr>
          <w:spacing w:val="-7"/>
        </w:rPr>
        <w:t> </w:t>
      </w:r>
      <w:r>
        <w:rPr/>
        <w:t>multa</w:t>
      </w:r>
      <w:r>
        <w:rPr>
          <w:spacing w:val="-8"/>
        </w:rPr>
        <w:t> </w:t>
      </w:r>
      <w:r>
        <w:rPr/>
        <w:t>por</w:t>
      </w:r>
      <w:r>
        <w:rPr>
          <w:spacing w:val="-4"/>
        </w:rPr>
        <w:t> </w:t>
      </w:r>
      <w:r>
        <w:rPr/>
        <w:t>el</w:t>
      </w:r>
      <w:r>
        <w:rPr>
          <w:spacing w:val="-7"/>
        </w:rPr>
        <w:t> </w:t>
      </w:r>
      <w:r>
        <w:rPr/>
        <w:t>equivalente</w:t>
      </w:r>
      <w:r>
        <w:rPr>
          <w:spacing w:val="-5"/>
        </w:rPr>
        <w:t> a:</w:t>
      </w:r>
    </w:p>
    <w:p>
      <w:pPr>
        <w:pStyle w:val="BodyText"/>
      </w:pPr>
    </w:p>
    <w:p>
      <w:pPr>
        <w:pStyle w:val="ListParagraph"/>
        <w:numPr>
          <w:ilvl w:val="0"/>
          <w:numId w:val="358"/>
        </w:numPr>
        <w:tabs>
          <w:tab w:pos="1193" w:val="left" w:leader="none"/>
          <w:tab w:pos="1195" w:val="left" w:leader="none"/>
        </w:tabs>
        <w:spacing w:line="242" w:lineRule="auto" w:before="0" w:after="0"/>
        <w:ind w:left="1195" w:right="344" w:hanging="569"/>
        <w:jc w:val="both"/>
        <w:rPr>
          <w:sz w:val="20"/>
        </w:rPr>
      </w:pPr>
      <w:r>
        <w:rPr>
          <w:sz w:val="20"/>
        </w:rPr>
        <w:t>De 50 a 500 veces la Unidad de Medida y Actualización, si no cumple las disposiciones contenidas en los artículos 204, fracción II, y 213, fracción II, y</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58"/>
        </w:numPr>
        <w:tabs>
          <w:tab w:pos="1195" w:val="left" w:leader="none"/>
        </w:tabs>
        <w:spacing w:line="242" w:lineRule="auto" w:before="0" w:after="0"/>
        <w:ind w:left="1195" w:right="346" w:hanging="569"/>
        <w:jc w:val="left"/>
        <w:rPr>
          <w:sz w:val="20"/>
        </w:rPr>
      </w:pPr>
      <w:r>
        <w:rPr>
          <w:sz w:val="20"/>
        </w:rPr>
        <w:t>De</w:t>
      </w:r>
      <w:r>
        <w:rPr>
          <w:spacing w:val="39"/>
          <w:sz w:val="20"/>
        </w:rPr>
        <w:t> </w:t>
      </w:r>
      <w:r>
        <w:rPr>
          <w:sz w:val="20"/>
        </w:rPr>
        <w:t>50</w:t>
      </w:r>
      <w:r>
        <w:rPr>
          <w:spacing w:val="40"/>
          <w:sz w:val="20"/>
        </w:rPr>
        <w:t> </w:t>
      </w:r>
      <w:r>
        <w:rPr>
          <w:sz w:val="20"/>
        </w:rPr>
        <w:t>a</w:t>
      </w:r>
      <w:r>
        <w:rPr>
          <w:spacing w:val="39"/>
          <w:sz w:val="20"/>
        </w:rPr>
        <w:t> </w:t>
      </w:r>
      <w:r>
        <w:rPr>
          <w:sz w:val="20"/>
        </w:rPr>
        <w:t>2500</w:t>
      </w:r>
      <w:r>
        <w:rPr>
          <w:spacing w:val="40"/>
          <w:sz w:val="20"/>
        </w:rPr>
        <w:t> </w:t>
      </w:r>
      <w:r>
        <w:rPr>
          <w:sz w:val="20"/>
        </w:rPr>
        <w:t>veces</w:t>
      </w:r>
      <w:r>
        <w:rPr>
          <w:spacing w:val="40"/>
          <w:sz w:val="20"/>
        </w:rPr>
        <w:t> </w:t>
      </w:r>
      <w:r>
        <w:rPr>
          <w:sz w:val="20"/>
        </w:rPr>
        <w:t>la</w:t>
      </w:r>
      <w:r>
        <w:rPr>
          <w:spacing w:val="39"/>
          <w:sz w:val="20"/>
        </w:rPr>
        <w:t> </w:t>
      </w:r>
      <w:r>
        <w:rPr>
          <w:sz w:val="20"/>
        </w:rPr>
        <w:t>Unidad</w:t>
      </w:r>
      <w:r>
        <w:rPr>
          <w:spacing w:val="39"/>
          <w:sz w:val="20"/>
        </w:rPr>
        <w:t> </w:t>
      </w:r>
      <w:r>
        <w:rPr>
          <w:sz w:val="20"/>
        </w:rPr>
        <w:t>de</w:t>
      </w:r>
      <w:r>
        <w:rPr>
          <w:spacing w:val="39"/>
          <w:sz w:val="20"/>
        </w:rPr>
        <w:t> </w:t>
      </w:r>
      <w:r>
        <w:rPr>
          <w:sz w:val="20"/>
        </w:rPr>
        <w:t>Medida</w:t>
      </w:r>
      <w:r>
        <w:rPr>
          <w:spacing w:val="40"/>
          <w:sz w:val="20"/>
        </w:rPr>
        <w:t> </w:t>
      </w:r>
      <w:r>
        <w:rPr>
          <w:sz w:val="20"/>
        </w:rPr>
        <w:t>y</w:t>
      </w:r>
      <w:r>
        <w:rPr>
          <w:spacing w:val="36"/>
          <w:sz w:val="20"/>
        </w:rPr>
        <w:t> </w:t>
      </w:r>
      <w:r>
        <w:rPr>
          <w:sz w:val="20"/>
        </w:rPr>
        <w:t>Actualización,</w:t>
      </w:r>
      <w:r>
        <w:rPr>
          <w:spacing w:val="39"/>
          <w:sz w:val="20"/>
        </w:rPr>
        <w:t> </w:t>
      </w:r>
      <w:r>
        <w:rPr>
          <w:sz w:val="20"/>
        </w:rPr>
        <w:t>al</w:t>
      </w:r>
      <w:r>
        <w:rPr>
          <w:spacing w:val="40"/>
          <w:sz w:val="20"/>
        </w:rPr>
        <w:t> </w:t>
      </w:r>
      <w:r>
        <w:rPr>
          <w:sz w:val="20"/>
        </w:rPr>
        <w:t>que</w:t>
      </w:r>
      <w:r>
        <w:rPr>
          <w:spacing w:val="39"/>
          <w:sz w:val="20"/>
        </w:rPr>
        <w:t> </w:t>
      </w:r>
      <w:r>
        <w:rPr>
          <w:sz w:val="20"/>
        </w:rPr>
        <w:t>no</w:t>
      </w:r>
      <w:r>
        <w:rPr>
          <w:spacing w:val="39"/>
          <w:sz w:val="20"/>
        </w:rPr>
        <w:t> </w:t>
      </w:r>
      <w:r>
        <w:rPr>
          <w:sz w:val="20"/>
        </w:rPr>
        <w:t>cumpla</w:t>
      </w:r>
      <w:r>
        <w:rPr>
          <w:spacing w:val="40"/>
          <w:sz w:val="20"/>
        </w:rPr>
        <w:t> </w:t>
      </w:r>
      <w:r>
        <w:rPr>
          <w:sz w:val="20"/>
        </w:rPr>
        <w:t>la</w:t>
      </w:r>
      <w:r>
        <w:rPr>
          <w:spacing w:val="39"/>
          <w:sz w:val="20"/>
        </w:rPr>
        <w:t> </w:t>
      </w:r>
      <w:r>
        <w:rPr>
          <w:sz w:val="20"/>
        </w:rPr>
        <w:t>obligación señalada en el artículo 204, fracción IX.</w:t>
      </w:r>
    </w:p>
    <w:p>
      <w:pPr>
        <w:spacing w:line="242" w:lineRule="auto" w:before="0"/>
        <w:ind w:left="5355" w:right="0" w:firstLine="193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w:t>
      </w:r>
      <w:r>
        <w:rPr>
          <w:rFonts w:ascii="Times New Roman" w:hAnsi="Times New Roman"/>
          <w:i/>
          <w:color w:val="0000FF"/>
          <w:spacing w:val="-4"/>
          <w:sz w:val="16"/>
        </w:rPr>
        <w:t>2012</w:t>
      </w:r>
    </w:p>
    <w:p>
      <w:pPr>
        <w:pStyle w:val="BodyText"/>
        <w:spacing w:before="39"/>
        <w:rPr>
          <w:rFonts w:ascii="Times New Roman"/>
          <w:i/>
          <w:sz w:val="16"/>
        </w:rPr>
      </w:pPr>
    </w:p>
    <w:p>
      <w:pPr>
        <w:pStyle w:val="BodyText"/>
        <w:spacing w:line="242" w:lineRule="auto"/>
        <w:ind w:left="338" w:firstLine="288"/>
      </w:pPr>
      <w:bookmarkStart w:name="Artículo_997" w:id="1246"/>
      <w:bookmarkEnd w:id="1246"/>
      <w:r>
        <w:rPr/>
      </w:r>
      <w:r>
        <w:rPr>
          <w:rFonts w:ascii="Arial" w:hAnsi="Arial"/>
          <w:b/>
        </w:rPr>
        <w:t>Artículo 997.- </w:t>
      </w:r>
      <w:r>
        <w:rPr/>
        <w:t>A la persona empleadora que viole las normas protectoras del trabajo a domicilio, se le impondrá multa por el equivalente de 250 a 2500 veces la Unidad de Medida y Actualización.</w:t>
      </w:r>
    </w:p>
    <w:p>
      <w:pPr>
        <w:spacing w:line="178" w:lineRule="exact" w:before="0"/>
        <w:ind w:left="37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01-05-2019,</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line="242" w:lineRule="auto"/>
        <w:ind w:left="338" w:right="357" w:firstLine="288"/>
      </w:pPr>
      <w:bookmarkStart w:name="Artículo_997_A" w:id="1247"/>
      <w:bookmarkEnd w:id="1247"/>
      <w:r>
        <w:rPr/>
      </w:r>
      <w:r>
        <w:rPr>
          <w:rFonts w:ascii="Arial" w:hAnsi="Arial"/>
          <w:b/>
        </w:rPr>
        <w:t>Artículo 997-A.- </w:t>
      </w:r>
      <w:r>
        <w:rPr/>
        <w:t>A la persona empleadora que viole las normas protectoras del trabajo del campo, se le impondrá multa por el equivalente a:</w:t>
      </w:r>
    </w:p>
    <w:p>
      <w:pPr>
        <w:pStyle w:val="ListParagraph"/>
        <w:numPr>
          <w:ilvl w:val="0"/>
          <w:numId w:val="359"/>
        </w:numPr>
        <w:tabs>
          <w:tab w:pos="1200" w:val="left" w:leader="none"/>
          <w:tab w:pos="1202" w:val="left" w:leader="none"/>
        </w:tabs>
        <w:spacing w:line="242" w:lineRule="auto" w:before="224" w:after="0"/>
        <w:ind w:left="1202" w:right="334" w:hanging="576"/>
        <w:jc w:val="both"/>
        <w:rPr>
          <w:sz w:val="20"/>
        </w:rPr>
      </w:pPr>
      <w:r>
        <w:rPr>
          <w:sz w:val="20"/>
        </w:rPr>
        <w:t>De 250 a 2500 veces la Unidad de Medida y Actualización, cuando no conste por escrito el contrato de trabajo y/o</w:t>
      </w:r>
      <w:r>
        <w:rPr>
          <w:spacing w:val="-1"/>
          <w:sz w:val="20"/>
        </w:rPr>
        <w:t> </w:t>
      </w:r>
      <w:r>
        <w:rPr>
          <w:sz w:val="20"/>
        </w:rPr>
        <w:t>no establezca los mecanismos a</w:t>
      </w:r>
      <w:r>
        <w:rPr>
          <w:spacing w:val="-1"/>
          <w:sz w:val="20"/>
        </w:rPr>
        <w:t> </w:t>
      </w:r>
      <w:r>
        <w:rPr>
          <w:sz w:val="20"/>
        </w:rPr>
        <w:t>que se</w:t>
      </w:r>
      <w:r>
        <w:rPr>
          <w:spacing w:val="-1"/>
          <w:sz w:val="20"/>
        </w:rPr>
        <w:t> </w:t>
      </w:r>
      <w:r>
        <w:rPr>
          <w:sz w:val="20"/>
        </w:rPr>
        <w:t>refiere el artículo 282; y</w:t>
      </w:r>
      <w:r>
        <w:rPr>
          <w:spacing w:val="-2"/>
          <w:sz w:val="20"/>
        </w:rPr>
        <w:t> </w:t>
      </w:r>
      <w:r>
        <w:rPr>
          <w:sz w:val="20"/>
        </w:rPr>
        <w:t>no lleve o sea deficiente el registro especial de las personas trabajadoras temporales a que se refiere el artículo 280, y</w:t>
      </w:r>
    </w:p>
    <w:p>
      <w:pPr>
        <w:pStyle w:val="ListParagraph"/>
        <w:numPr>
          <w:ilvl w:val="0"/>
          <w:numId w:val="359"/>
        </w:numPr>
        <w:tabs>
          <w:tab w:pos="1200" w:val="left" w:leader="none"/>
          <w:tab w:pos="1202" w:val="left" w:leader="none"/>
        </w:tabs>
        <w:spacing w:line="240" w:lineRule="auto" w:before="221" w:after="0"/>
        <w:ind w:left="1202" w:right="343" w:hanging="576"/>
        <w:jc w:val="both"/>
        <w:rPr>
          <w:sz w:val="20"/>
        </w:rPr>
      </w:pPr>
      <w:r>
        <w:rPr>
          <w:sz w:val="20"/>
        </w:rPr>
        <w:t>De</w:t>
      </w:r>
      <w:r>
        <w:rPr>
          <w:spacing w:val="-2"/>
          <w:sz w:val="20"/>
        </w:rPr>
        <w:t> </w:t>
      </w:r>
      <w:r>
        <w:rPr>
          <w:sz w:val="20"/>
        </w:rPr>
        <w:t>250</w:t>
      </w:r>
      <w:r>
        <w:rPr>
          <w:spacing w:val="-2"/>
          <w:sz w:val="20"/>
        </w:rPr>
        <w:t> </w:t>
      </w:r>
      <w:r>
        <w:rPr>
          <w:sz w:val="20"/>
        </w:rPr>
        <w:t>a 5000 veces</w:t>
      </w:r>
      <w:r>
        <w:rPr>
          <w:spacing w:val="-1"/>
          <w:sz w:val="20"/>
        </w:rPr>
        <w:t> </w:t>
      </w:r>
      <w:r>
        <w:rPr>
          <w:sz w:val="20"/>
        </w:rPr>
        <w:t>la Unidad</w:t>
      </w:r>
      <w:r>
        <w:rPr>
          <w:spacing w:val="-2"/>
          <w:sz w:val="20"/>
        </w:rPr>
        <w:t> </w:t>
      </w:r>
      <w:r>
        <w:rPr>
          <w:sz w:val="20"/>
        </w:rPr>
        <w:t>de Medida y</w:t>
      </w:r>
      <w:r>
        <w:rPr>
          <w:spacing w:val="-3"/>
          <w:sz w:val="20"/>
        </w:rPr>
        <w:t> </w:t>
      </w:r>
      <w:r>
        <w:rPr>
          <w:sz w:val="20"/>
        </w:rPr>
        <w:t>Actualización,</w:t>
      </w:r>
      <w:r>
        <w:rPr>
          <w:spacing w:val="-2"/>
          <w:sz w:val="20"/>
        </w:rPr>
        <w:t> </w:t>
      </w:r>
      <w:r>
        <w:rPr>
          <w:sz w:val="20"/>
        </w:rPr>
        <w:t>cuando</w:t>
      </w:r>
      <w:r>
        <w:rPr>
          <w:spacing w:val="-2"/>
          <w:sz w:val="20"/>
        </w:rPr>
        <w:t> </w:t>
      </w:r>
      <w:r>
        <w:rPr>
          <w:sz w:val="20"/>
        </w:rPr>
        <w:t>no</w:t>
      </w:r>
      <w:r>
        <w:rPr>
          <w:spacing w:val="-2"/>
          <w:sz w:val="20"/>
        </w:rPr>
        <w:t> </w:t>
      </w:r>
      <w:r>
        <w:rPr>
          <w:sz w:val="20"/>
        </w:rPr>
        <w:t>proporcione</w:t>
      </w:r>
      <w:r>
        <w:rPr>
          <w:spacing w:val="-2"/>
          <w:sz w:val="20"/>
        </w:rPr>
        <w:t> </w:t>
      </w:r>
      <w:r>
        <w:rPr>
          <w:sz w:val="20"/>
        </w:rPr>
        <w:t>habitaciones o</w:t>
      </w:r>
      <w:r>
        <w:rPr>
          <w:spacing w:val="-1"/>
          <w:sz w:val="20"/>
        </w:rPr>
        <w:t> </w:t>
      </w:r>
      <w:r>
        <w:rPr>
          <w:sz w:val="20"/>
        </w:rPr>
        <w:t>estas no</w:t>
      </w:r>
      <w:r>
        <w:rPr>
          <w:spacing w:val="-1"/>
          <w:sz w:val="20"/>
        </w:rPr>
        <w:t> </w:t>
      </w:r>
      <w:r>
        <w:rPr>
          <w:sz w:val="20"/>
        </w:rPr>
        <w:t>cuenten</w:t>
      </w:r>
      <w:r>
        <w:rPr>
          <w:spacing w:val="-1"/>
          <w:sz w:val="20"/>
        </w:rPr>
        <w:t> </w:t>
      </w:r>
      <w:r>
        <w:rPr>
          <w:sz w:val="20"/>
        </w:rPr>
        <w:t>con</w:t>
      </w:r>
      <w:r>
        <w:rPr>
          <w:spacing w:val="-1"/>
          <w:sz w:val="20"/>
        </w:rPr>
        <w:t> </w:t>
      </w:r>
      <w:r>
        <w:rPr>
          <w:sz w:val="20"/>
        </w:rPr>
        <w:t>las condiciones mínimas requeridas; no</w:t>
      </w:r>
      <w:r>
        <w:rPr>
          <w:spacing w:val="-1"/>
          <w:sz w:val="20"/>
        </w:rPr>
        <w:t> </w:t>
      </w:r>
      <w:r>
        <w:rPr>
          <w:sz w:val="20"/>
        </w:rPr>
        <w:t>proporcione alimentación, agua y sanitarios; no proporcione educación; no proporcione el traslado seguro y cómodo; no proporcione servicios de guardería a que se refieren las fracciones II, IV, X, XI y</w:t>
      </w:r>
      <w:r>
        <w:rPr>
          <w:spacing w:val="-2"/>
          <w:sz w:val="20"/>
        </w:rPr>
        <w:t> </w:t>
      </w:r>
      <w:r>
        <w:rPr>
          <w:sz w:val="20"/>
        </w:rPr>
        <w:t>XIII del artículo 283; y no observe las disposiciones protectoras de las trabajadoras a que se refiere el artículo 283 Ter.</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48"/>
        <w:rPr>
          <w:rFonts w:ascii="Times New Roman"/>
          <w:i/>
          <w:sz w:val="16"/>
        </w:rPr>
      </w:pPr>
    </w:p>
    <w:p>
      <w:pPr>
        <w:pStyle w:val="BodyText"/>
        <w:spacing w:line="242" w:lineRule="auto"/>
        <w:ind w:left="338" w:right="345" w:firstLine="288"/>
        <w:jc w:val="both"/>
      </w:pPr>
      <w:bookmarkStart w:name="Artículo_997_B" w:id="1248"/>
      <w:bookmarkEnd w:id="1248"/>
      <w:r>
        <w:rPr/>
      </w:r>
      <w:r>
        <w:rPr>
          <w:rFonts w:ascii="Arial" w:hAnsi="Arial"/>
          <w:b/>
        </w:rPr>
        <w:t>Artículo 997-B.- </w:t>
      </w:r>
      <w:r>
        <w:rPr/>
        <w:t>Las personas físicas o</w:t>
      </w:r>
      <w:r>
        <w:rPr>
          <w:spacing w:val="-1"/>
        </w:rPr>
        <w:t> </w:t>
      </w:r>
      <w:r>
        <w:rPr/>
        <w:t>morales que administren plataformas digitales, en su carácter de patrón, que violen las normas protectoras del trabajo en plataformas digitales, con independencia de las</w:t>
      </w:r>
      <w:r>
        <w:rPr>
          <w:spacing w:val="-1"/>
        </w:rPr>
        <w:t> </w:t>
      </w:r>
      <w:r>
        <w:rPr/>
        <w:t>sanciones</w:t>
      </w:r>
      <w:r>
        <w:rPr>
          <w:spacing w:val="-1"/>
        </w:rPr>
        <w:t> </w:t>
      </w:r>
      <w:r>
        <w:rPr/>
        <w:t>que</w:t>
      </w:r>
      <w:r>
        <w:rPr>
          <w:spacing w:val="-3"/>
        </w:rPr>
        <w:t> </w:t>
      </w:r>
      <w:r>
        <w:rPr/>
        <w:t>correspondan en</w:t>
      </w:r>
      <w:r>
        <w:rPr>
          <w:spacing w:val="-1"/>
        </w:rPr>
        <w:t> </w:t>
      </w:r>
      <w:r>
        <w:rPr/>
        <w:t>las leyes</w:t>
      </w:r>
      <w:r>
        <w:rPr>
          <w:spacing w:val="-1"/>
        </w:rPr>
        <w:t> </w:t>
      </w:r>
      <w:r>
        <w:rPr/>
        <w:t>respectivas,</w:t>
      </w:r>
      <w:r>
        <w:rPr>
          <w:spacing w:val="-2"/>
        </w:rPr>
        <w:t> </w:t>
      </w:r>
      <w:r>
        <w:rPr/>
        <w:t>se</w:t>
      </w:r>
      <w:r>
        <w:rPr>
          <w:spacing w:val="-2"/>
        </w:rPr>
        <w:t> </w:t>
      </w:r>
      <w:r>
        <w:rPr/>
        <w:t>les impondrá</w:t>
      </w:r>
      <w:r>
        <w:rPr>
          <w:spacing w:val="-2"/>
        </w:rPr>
        <w:t> </w:t>
      </w:r>
      <w:r>
        <w:rPr/>
        <w:t>una</w:t>
      </w:r>
      <w:r>
        <w:rPr>
          <w:spacing w:val="-2"/>
        </w:rPr>
        <w:t> </w:t>
      </w:r>
      <w:r>
        <w:rPr/>
        <w:t>multa por</w:t>
      </w:r>
      <w:r>
        <w:rPr>
          <w:spacing w:val="-1"/>
        </w:rPr>
        <w:t> </w:t>
      </w:r>
      <w:r>
        <w:rPr/>
        <w:t>el</w:t>
      </w:r>
      <w:r>
        <w:rPr>
          <w:spacing w:val="-3"/>
        </w:rPr>
        <w:t> </w:t>
      </w:r>
      <w:r>
        <w:rPr/>
        <w:t>equivalente a:</w:t>
      </w:r>
    </w:p>
    <w:p>
      <w:pPr>
        <w:pStyle w:val="BodyText"/>
        <w:spacing w:after="0" w:line="242" w:lineRule="auto"/>
        <w:jc w:val="both"/>
        <w:sectPr>
          <w:pgSz w:w="12240" w:h="15840"/>
          <w:pgMar w:header="724" w:footer="712" w:top="1880" w:bottom="900" w:left="1080" w:right="1080"/>
        </w:sectPr>
      </w:pPr>
    </w:p>
    <w:p>
      <w:pPr>
        <w:pStyle w:val="BodyText"/>
        <w:spacing w:before="63"/>
      </w:pPr>
    </w:p>
    <w:p>
      <w:pPr>
        <w:pStyle w:val="ListParagraph"/>
        <w:numPr>
          <w:ilvl w:val="0"/>
          <w:numId w:val="360"/>
        </w:numPr>
        <w:tabs>
          <w:tab w:pos="1200" w:val="left" w:leader="none"/>
          <w:tab w:pos="1202" w:val="left" w:leader="none"/>
        </w:tabs>
        <w:spacing w:line="242" w:lineRule="auto" w:before="0" w:after="0"/>
        <w:ind w:left="1202" w:right="347" w:hanging="576"/>
        <w:jc w:val="both"/>
        <w:rPr>
          <w:sz w:val="20"/>
        </w:rPr>
      </w:pPr>
      <w:r>
        <w:rPr>
          <w:sz w:val="20"/>
        </w:rPr>
        <w:t>De 2000 a 25000 veces la Unidad de Medida y Actualización, cuando no se registre el modelo de contrato en términos del artículo 291-G de esta Ley;</w:t>
      </w:r>
    </w:p>
    <w:p>
      <w:pPr>
        <w:pStyle w:val="ListParagraph"/>
        <w:numPr>
          <w:ilvl w:val="0"/>
          <w:numId w:val="360"/>
        </w:numPr>
        <w:tabs>
          <w:tab w:pos="1200" w:val="left" w:leader="none"/>
          <w:tab w:pos="1202" w:val="left" w:leader="none"/>
        </w:tabs>
        <w:spacing w:line="242" w:lineRule="auto" w:before="227" w:after="0"/>
        <w:ind w:left="1202" w:right="334" w:hanging="576"/>
        <w:jc w:val="both"/>
        <w:rPr>
          <w:sz w:val="20"/>
        </w:rPr>
      </w:pPr>
      <w:r>
        <w:rPr>
          <w:sz w:val="20"/>
        </w:rPr>
        <w:t>De 1000 a 25000 veces la Unidad de Medida y Actualización, cuando no emitan o informen de cambios en el</w:t>
      </w:r>
      <w:r>
        <w:rPr>
          <w:spacing w:val="-2"/>
          <w:sz w:val="20"/>
        </w:rPr>
        <w:t> </w:t>
      </w:r>
      <w:r>
        <w:rPr>
          <w:sz w:val="20"/>
        </w:rPr>
        <w:t>documento</w:t>
      </w:r>
      <w:r>
        <w:rPr>
          <w:spacing w:val="-1"/>
          <w:sz w:val="20"/>
        </w:rPr>
        <w:t> </w:t>
      </w:r>
      <w:r>
        <w:rPr>
          <w:sz w:val="20"/>
        </w:rPr>
        <w:t>de</w:t>
      </w:r>
      <w:r>
        <w:rPr>
          <w:spacing w:val="-1"/>
          <w:sz w:val="20"/>
        </w:rPr>
        <w:t> </w:t>
      </w:r>
      <w:r>
        <w:rPr>
          <w:sz w:val="20"/>
        </w:rPr>
        <w:t>política de gestión</w:t>
      </w:r>
      <w:r>
        <w:rPr>
          <w:spacing w:val="-2"/>
          <w:sz w:val="20"/>
        </w:rPr>
        <w:t> </w:t>
      </w:r>
      <w:r>
        <w:rPr>
          <w:sz w:val="20"/>
        </w:rPr>
        <w:t>algorítmica</w:t>
      </w:r>
      <w:r>
        <w:rPr>
          <w:spacing w:val="-1"/>
          <w:sz w:val="20"/>
        </w:rPr>
        <w:t> </w:t>
      </w:r>
      <w:r>
        <w:rPr>
          <w:sz w:val="20"/>
        </w:rPr>
        <w:t>al</w:t>
      </w:r>
      <w:r>
        <w:rPr>
          <w:spacing w:val="-2"/>
          <w:sz w:val="20"/>
        </w:rPr>
        <w:t> </w:t>
      </w:r>
      <w:r>
        <w:rPr>
          <w:sz w:val="20"/>
        </w:rPr>
        <w:t>que</w:t>
      </w:r>
      <w:r>
        <w:rPr>
          <w:spacing w:val="-1"/>
          <w:sz w:val="20"/>
        </w:rPr>
        <w:t> </w:t>
      </w:r>
      <w:r>
        <w:rPr>
          <w:sz w:val="20"/>
        </w:rPr>
        <w:t>se</w:t>
      </w:r>
      <w:r>
        <w:rPr>
          <w:spacing w:val="-1"/>
          <w:sz w:val="20"/>
        </w:rPr>
        <w:t> </w:t>
      </w:r>
      <w:r>
        <w:rPr>
          <w:sz w:val="20"/>
        </w:rPr>
        <w:t>refiere el artículo</w:t>
      </w:r>
      <w:r>
        <w:rPr>
          <w:spacing w:val="-1"/>
          <w:sz w:val="20"/>
        </w:rPr>
        <w:t> </w:t>
      </w:r>
      <w:r>
        <w:rPr>
          <w:sz w:val="20"/>
        </w:rPr>
        <w:t>291-J de esta Ley;</w:t>
      </w:r>
    </w:p>
    <w:p>
      <w:pPr>
        <w:pStyle w:val="ListParagraph"/>
        <w:numPr>
          <w:ilvl w:val="0"/>
          <w:numId w:val="360"/>
        </w:numPr>
        <w:tabs>
          <w:tab w:pos="1198" w:val="left" w:leader="none"/>
          <w:tab w:pos="1202" w:val="left" w:leader="none"/>
        </w:tabs>
        <w:spacing w:line="242" w:lineRule="auto" w:before="222" w:after="0"/>
        <w:ind w:left="1202" w:right="345" w:hanging="576"/>
        <w:jc w:val="both"/>
        <w:rPr>
          <w:sz w:val="20"/>
        </w:rPr>
      </w:pPr>
      <w:r>
        <w:rPr>
          <w:sz w:val="20"/>
        </w:rPr>
        <w:t>De 250 a 5000 veces la Unidad de Medida y Actualización, cuando violen las disposiciones contenidas en el artículo 291-K de esta Ley, y</w:t>
      </w:r>
    </w:p>
    <w:p>
      <w:pPr>
        <w:pStyle w:val="ListParagraph"/>
        <w:numPr>
          <w:ilvl w:val="0"/>
          <w:numId w:val="360"/>
        </w:numPr>
        <w:tabs>
          <w:tab w:pos="1202" w:val="left" w:leader="none"/>
        </w:tabs>
        <w:spacing w:line="242" w:lineRule="auto" w:before="227" w:after="0"/>
        <w:ind w:left="1202" w:right="344" w:hanging="576"/>
        <w:jc w:val="both"/>
        <w:rPr>
          <w:sz w:val="20"/>
        </w:rPr>
      </w:pPr>
      <w:r>
        <w:rPr>
          <w:sz w:val="20"/>
        </w:rPr>
        <w:t>De 500 a 25000 veces la Unidad de Medida y Actualización, cuando no establezcan los mecanismos contemplados en el artículo 291-P de esta Ley.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338" w:right="342" w:firstLine="288"/>
        <w:jc w:val="both"/>
      </w:pPr>
      <w:bookmarkStart w:name="Artículo_998" w:id="1249"/>
      <w:bookmarkEnd w:id="1249"/>
      <w:r>
        <w:rPr/>
      </w:r>
      <w:r>
        <w:rPr>
          <w:rFonts w:ascii="Arial" w:hAnsi="Arial"/>
          <w:b/>
        </w:rPr>
        <w:t>Artículo 998.- </w:t>
      </w:r>
      <w:r>
        <w:rPr/>
        <w:t>Al patrón que no facilite al trabajador del hogar que carezca de instrucción, la</w:t>
      </w:r>
      <w:r>
        <w:rPr>
          <w:spacing w:val="40"/>
        </w:rPr>
        <w:t> </w:t>
      </w:r>
      <w:r>
        <w:rPr/>
        <w:t>asistencia a una escuela primaria, se le impondrá multa por el equivalente de 50 a 250 veces la Unidad</w:t>
      </w:r>
      <w:r>
        <w:rPr>
          <w:spacing w:val="40"/>
        </w:rPr>
        <w:t> </w:t>
      </w:r>
      <w:r>
        <w:rPr/>
        <w:t>de Medida y Actualización.</w:t>
      </w:r>
    </w:p>
    <w:p>
      <w:pPr>
        <w:spacing w:line="183" w:lineRule="exact" w:before="0"/>
        <w:ind w:left="452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5" w:firstLine="288"/>
        <w:jc w:val="both"/>
      </w:pPr>
      <w:bookmarkStart w:name="Artículo_999" w:id="1250"/>
      <w:bookmarkEnd w:id="1250"/>
      <w:r>
        <w:rPr/>
      </w:r>
      <w:r>
        <w:rPr>
          <w:rFonts w:ascii="Arial" w:hAnsi="Arial"/>
          <w:b/>
        </w:rPr>
        <w:t>Artículo 999.- </w:t>
      </w:r>
      <w:r>
        <w:rPr/>
        <w:t>Al patrón que viole las normas protectoras del trabajo en hoteles, restaurantes, bares y otros</w:t>
      </w:r>
      <w:r>
        <w:rPr>
          <w:spacing w:val="-1"/>
        </w:rPr>
        <w:t> </w:t>
      </w:r>
      <w:r>
        <w:rPr/>
        <w:t>establecimientos</w:t>
      </w:r>
      <w:r>
        <w:rPr>
          <w:spacing w:val="-1"/>
        </w:rPr>
        <w:t> </w:t>
      </w:r>
      <w:r>
        <w:rPr/>
        <w:t>semejantes,</w:t>
      </w:r>
      <w:r>
        <w:rPr>
          <w:spacing w:val="-2"/>
        </w:rPr>
        <w:t> </w:t>
      </w:r>
      <w:r>
        <w:rPr/>
        <w:t>se</w:t>
      </w:r>
      <w:r>
        <w:rPr>
          <w:spacing w:val="-2"/>
        </w:rPr>
        <w:t> </w:t>
      </w:r>
      <w:r>
        <w:rPr/>
        <w:t>le</w:t>
      </w:r>
      <w:r>
        <w:rPr>
          <w:spacing w:val="-2"/>
        </w:rPr>
        <w:t> </w:t>
      </w:r>
      <w:r>
        <w:rPr/>
        <w:t>impondrá</w:t>
      </w:r>
      <w:r>
        <w:rPr>
          <w:spacing w:val="-2"/>
        </w:rPr>
        <w:t> </w:t>
      </w:r>
      <w:r>
        <w:rPr/>
        <w:t>multa</w:t>
      </w:r>
      <w:r>
        <w:rPr>
          <w:spacing w:val="-2"/>
        </w:rPr>
        <w:t> </w:t>
      </w:r>
      <w:r>
        <w:rPr/>
        <w:t>por</w:t>
      </w:r>
      <w:r>
        <w:rPr>
          <w:spacing w:val="-1"/>
        </w:rPr>
        <w:t> </w:t>
      </w:r>
      <w:r>
        <w:rPr/>
        <w:t>el</w:t>
      </w:r>
      <w:r>
        <w:rPr>
          <w:spacing w:val="-3"/>
        </w:rPr>
        <w:t> </w:t>
      </w:r>
      <w:r>
        <w:rPr/>
        <w:t>equivalente</w:t>
      </w:r>
      <w:r>
        <w:rPr>
          <w:spacing w:val="-3"/>
        </w:rPr>
        <w:t> </w:t>
      </w:r>
      <w:r>
        <w:rPr/>
        <w:t>de</w:t>
      </w:r>
      <w:r>
        <w:rPr>
          <w:spacing w:val="-2"/>
        </w:rPr>
        <w:t> </w:t>
      </w:r>
      <w:r>
        <w:rPr/>
        <w:t>50 a</w:t>
      </w:r>
      <w:r>
        <w:rPr>
          <w:spacing w:val="-2"/>
        </w:rPr>
        <w:t> </w:t>
      </w:r>
      <w:r>
        <w:rPr/>
        <w:t>2500</w:t>
      </w:r>
      <w:r>
        <w:rPr>
          <w:spacing w:val="-2"/>
        </w:rPr>
        <w:t> </w:t>
      </w:r>
      <w:r>
        <w:rPr/>
        <w:t>veces</w:t>
      </w:r>
      <w:r>
        <w:rPr>
          <w:spacing w:val="-1"/>
        </w:rPr>
        <w:t> </w:t>
      </w:r>
      <w:r>
        <w:rPr/>
        <w:t>la</w:t>
      </w:r>
      <w:r>
        <w:rPr>
          <w:spacing w:val="-2"/>
        </w:rPr>
        <w:t> </w:t>
      </w:r>
      <w:r>
        <w:rPr/>
        <w:t>Unidad de Medida y Actualización.</w:t>
      </w:r>
    </w:p>
    <w:p>
      <w:pPr>
        <w:spacing w:line="183" w:lineRule="exact" w:before="0"/>
        <w:ind w:left="452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6" w:firstLine="288"/>
        <w:jc w:val="both"/>
      </w:pPr>
      <w:bookmarkStart w:name="Artículo_1000" w:id="1251"/>
      <w:bookmarkEnd w:id="1251"/>
      <w:r>
        <w:rPr/>
      </w:r>
      <w:r>
        <w:rPr>
          <w:rFonts w:ascii="Arial" w:hAnsi="Arial"/>
          <w:b/>
        </w:rPr>
        <w:t>Artículo 1000.- </w:t>
      </w:r>
      <w:r>
        <w:rPr/>
        <w:t>El incumplimiento de las normas relativas a la remuneración de los trabajos, duración de la jornada y descansos, contenidas en un contrato Ley, o en un contrato colectivo de trabajo, se sancionará con multa por el equivalente de 250 a 5000 veces la Unidad de Medida y Actualización.</w:t>
      </w:r>
    </w:p>
    <w:p>
      <w:pPr>
        <w:spacing w:line="183" w:lineRule="exact" w:before="0"/>
        <w:ind w:left="452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spacing w:line="242" w:lineRule="auto"/>
        <w:ind w:left="338" w:right="336" w:firstLine="288"/>
        <w:jc w:val="both"/>
      </w:pPr>
      <w:bookmarkStart w:name="Artículo_1001" w:id="1252"/>
      <w:bookmarkEnd w:id="1252"/>
      <w:r>
        <w:rPr/>
      </w:r>
      <w:r>
        <w:rPr>
          <w:rFonts w:ascii="Arial" w:hAnsi="Arial"/>
          <w:b/>
        </w:rPr>
        <w:t>Artículo 1001.- </w:t>
      </w:r>
      <w:r>
        <w:rPr/>
        <w:t>Al patrón que viole las normas contenidas en el Reglamento Interior de Trabajo, se le impondrá multa por el equivalente de 50 a 500 veces la Unidad de Medida y Actualización.</w:t>
      </w:r>
    </w:p>
    <w:p>
      <w:pPr>
        <w:spacing w:line="178" w:lineRule="exact" w:before="0"/>
        <w:ind w:left="452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35" w:firstLine="288"/>
        <w:jc w:val="both"/>
      </w:pPr>
      <w:bookmarkStart w:name="Artículo_1002" w:id="1253"/>
      <w:bookmarkEnd w:id="1253"/>
      <w:r>
        <w:rPr/>
      </w:r>
      <w:r>
        <w:rPr>
          <w:rFonts w:ascii="Arial" w:hAnsi="Arial"/>
          <w:b/>
        </w:rPr>
        <w:t>Artículo 1002.- </w:t>
      </w:r>
      <w:r>
        <w:rPr/>
        <w:t>Por violaciones a las normas de trabajo no sancionadas en este Título o en alguna otra disposición de esta Ley, se impondrá al infractor multa por el equivalente de 50 a 5000 veces la Unidad de Medida y Actualización.</w:t>
      </w:r>
    </w:p>
    <w:p>
      <w:pPr>
        <w:spacing w:line="178" w:lineRule="exact" w:before="0"/>
        <w:ind w:left="452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right="340" w:firstLine="288"/>
        <w:jc w:val="both"/>
      </w:pPr>
      <w:bookmarkStart w:name="Artículo_1003" w:id="1254"/>
      <w:bookmarkEnd w:id="1254"/>
      <w:r>
        <w:rPr/>
      </w:r>
      <w:r>
        <w:rPr>
          <w:rFonts w:ascii="Arial" w:hAnsi="Arial"/>
          <w:b/>
        </w:rPr>
        <w:t>Artículo 1003.- </w:t>
      </w:r>
      <w:r>
        <w:rPr/>
        <w:t>Los trabajadores, los patrones y los sindicatos, federaciones y confederaciones de unos y otros, podrán denunciar ante las autoridades del trabajo las violaciones a las normas del trabajo.</w:t>
      </w:r>
    </w:p>
    <w:p>
      <w:pPr>
        <w:pStyle w:val="BodyText"/>
        <w:spacing w:before="227"/>
        <w:ind w:left="338" w:right="335" w:firstLine="288"/>
        <w:jc w:val="both"/>
      </w:pPr>
      <w:r>
        <w:rPr/>
        <w:t>El Tribunal, las y los Inspectores del Trabajo, tienen la obligación de denunciar ante el Ministerio Público a la persona empleadora de una negociación industrial, de trabajo del campo, minera, comercial</w:t>
      </w:r>
      <w:r>
        <w:rPr>
          <w:spacing w:val="80"/>
        </w:rPr>
        <w:t> </w:t>
      </w:r>
      <w:r>
        <w:rPr/>
        <w:t>o de servicios que haya dejado de pagar o pague a sus personas trabajadoras del campo cantidades inferiores a las señaladas como salario mínimo general.</w:t>
      </w:r>
    </w:p>
    <w:p>
      <w:pPr>
        <w:spacing w:line="240" w:lineRule="auto" w:before="0"/>
        <w:ind w:left="4529" w:right="0" w:firstLine="2834"/>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24-01-2024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338" w:right="336" w:firstLine="288"/>
        <w:jc w:val="both"/>
      </w:pPr>
      <w:bookmarkStart w:name="Artículo_1004" w:id="1255"/>
      <w:bookmarkEnd w:id="1255"/>
      <w:r>
        <w:rPr/>
      </w:r>
      <w:r>
        <w:rPr>
          <w:rFonts w:ascii="Arial" w:hAnsi="Arial"/>
          <w:b/>
        </w:rPr>
        <w:t>Artículo 1004.- </w:t>
      </w:r>
      <w:r>
        <w:rPr/>
        <w:t>A la persona empleadora en cualquier negociación industrial, trabajo del campo, agrícola, minera, comercial o de servicios que haga entrega a una o varias de sus personas trabajadoras del campo de cantidades inferiores al salario fijado como mínimo general o haya entregado</w:t>
      </w:r>
      <w:r>
        <w:rPr>
          <w:spacing w:val="80"/>
        </w:rPr>
        <w:t> </w:t>
      </w:r>
      <w:r>
        <w:rPr/>
        <w:t>comprobantes de pago que amparen sumas de dinero superiores de las que efectivamente hizo entrega, se le castigará con las penas siguientes:</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2024</w:t>
      </w:r>
    </w:p>
    <w:p>
      <w:pPr>
        <w:spacing w:after="0"/>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3"/>
        <w:rPr>
          <w:rFonts w:ascii="Times New Roman"/>
          <w:i/>
        </w:rPr>
      </w:pPr>
    </w:p>
    <w:p>
      <w:pPr>
        <w:pStyle w:val="ListParagraph"/>
        <w:numPr>
          <w:ilvl w:val="0"/>
          <w:numId w:val="361"/>
        </w:numPr>
        <w:tabs>
          <w:tab w:pos="1193" w:val="left" w:leader="none"/>
          <w:tab w:pos="1195" w:val="left" w:leader="none"/>
        </w:tabs>
        <w:spacing w:line="242" w:lineRule="auto" w:before="0" w:after="0"/>
        <w:ind w:left="1195" w:right="334" w:hanging="569"/>
        <w:jc w:val="both"/>
        <w:rPr>
          <w:sz w:val="20"/>
        </w:rPr>
      </w:pPr>
      <w:r>
        <w:rPr>
          <w:sz w:val="20"/>
        </w:rPr>
        <w:t>Con prisión de seis meses a tres años y multa que equivalga hasta 800 veces la Unidad de Medida y Actualización, conforme a lo establecido por el artículo 992, cuando el monto de la omisión no exceda del importe de un mes de salario mínimo general del área geográfica de aplicación correspondiente;</w:t>
      </w:r>
    </w:p>
    <w:p>
      <w:pPr>
        <w:pStyle w:val="ListParagraph"/>
        <w:numPr>
          <w:ilvl w:val="0"/>
          <w:numId w:val="361"/>
        </w:numPr>
        <w:tabs>
          <w:tab w:pos="1192" w:val="left" w:leader="none"/>
          <w:tab w:pos="1195" w:val="left" w:leader="none"/>
        </w:tabs>
        <w:spacing w:line="240" w:lineRule="auto" w:before="221" w:after="0"/>
        <w:ind w:left="1195" w:right="341" w:hanging="569"/>
        <w:jc w:val="both"/>
        <w:rPr>
          <w:sz w:val="20"/>
        </w:rPr>
      </w:pPr>
      <w:r>
        <w:rPr>
          <w:sz w:val="20"/>
        </w:rPr>
        <w:t>Con prisión de seis meses a tres años y multa que equivalga hasta 1600 veces la Unidad de Medida y Actualización, conforme a lo establecido por el artículo 992, cuando el monto de la omisión sea mayor al importe de treinta veces la Unidad de Medida y Actualización, pero no exceda de tres meses de salario mínimo general del área geográfica de aplicación correspondiente, y</w:t>
      </w:r>
    </w:p>
    <w:p>
      <w:pPr>
        <w:pStyle w:val="BodyText"/>
      </w:pPr>
    </w:p>
    <w:p>
      <w:pPr>
        <w:pStyle w:val="ListParagraph"/>
        <w:numPr>
          <w:ilvl w:val="0"/>
          <w:numId w:val="361"/>
        </w:numPr>
        <w:tabs>
          <w:tab w:pos="1191" w:val="left" w:leader="none"/>
          <w:tab w:pos="1195" w:val="left" w:leader="none"/>
        </w:tabs>
        <w:spacing w:line="242" w:lineRule="auto" w:before="1" w:after="0"/>
        <w:ind w:left="1195" w:right="345" w:hanging="569"/>
        <w:jc w:val="both"/>
        <w:rPr>
          <w:sz w:val="20"/>
        </w:rPr>
      </w:pPr>
      <w:r>
        <w:rPr>
          <w:sz w:val="20"/>
        </w:rPr>
        <w:t>Con prisión de seis meses a cuatro años y multa que equivalga hasta 3200 veces la Unidad de Medida y</w:t>
      </w:r>
      <w:r>
        <w:rPr>
          <w:spacing w:val="-3"/>
          <w:sz w:val="20"/>
        </w:rPr>
        <w:t> </w:t>
      </w:r>
      <w:r>
        <w:rPr>
          <w:sz w:val="20"/>
        </w:rPr>
        <w:t>Actualización, conforme a lo establecido por el</w:t>
      </w:r>
      <w:r>
        <w:rPr>
          <w:spacing w:val="-1"/>
          <w:sz w:val="20"/>
        </w:rPr>
        <w:t> </w:t>
      </w:r>
      <w:r>
        <w:rPr>
          <w:sz w:val="20"/>
        </w:rPr>
        <w:t>artículo 992, si la omisión excede a los tres meses de salario mínimo general del área geográfica de aplicación correspondiente.</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04-01-1980.</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21-01-1988,</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4"/>
        <w:rPr>
          <w:rFonts w:ascii="Times New Roman"/>
          <w:i/>
          <w:sz w:val="16"/>
        </w:rPr>
      </w:pPr>
    </w:p>
    <w:p>
      <w:pPr>
        <w:pStyle w:val="BodyText"/>
        <w:spacing w:before="1"/>
        <w:ind w:left="338" w:right="339" w:firstLine="288"/>
        <w:jc w:val="both"/>
      </w:pPr>
      <w:bookmarkStart w:name="Artículo_1004_A" w:id="1256"/>
      <w:bookmarkEnd w:id="1256"/>
      <w:r>
        <w:rPr/>
      </w:r>
      <w:r>
        <w:rPr>
          <w:rFonts w:ascii="Arial" w:hAnsi="Arial"/>
          <w:b/>
        </w:rPr>
        <w:t>Artículo 1004-A.- </w:t>
      </w:r>
      <w:r>
        <w:rPr/>
        <w:t>Al patrón que no permita la inspección y vigilancia que las autoridades del trabajo ordenen en su establecimiento, se le notificará por instructivo para que comparezca a exhibir toda la información requerida, apercibido que de no hacerlo se presumirá que no cuenta con ella. Con independencia de lo anterior, el hecho de no permitir el desahogo de la inspección lo hará acreedor de una multa de 250 a 5,000 veces la Unidad de Medida y Actualización.</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01-05-2019,</w:t>
      </w:r>
      <w:r>
        <w:rPr>
          <w:rFonts w:ascii="Times New Roman" w:hAnsi="Times New Roman"/>
          <w:i/>
          <w:color w:val="0000FF"/>
          <w:spacing w:val="-8"/>
          <w:sz w:val="16"/>
        </w:rPr>
        <w:t> </w:t>
      </w:r>
      <w:r>
        <w:rPr>
          <w:rFonts w:ascii="Times New Roman" w:hAnsi="Times New Roman"/>
          <w:i/>
          <w:color w:val="0000FF"/>
          <w:sz w:val="16"/>
        </w:rPr>
        <w:t>23-04-</w:t>
      </w:r>
      <w:r>
        <w:rPr>
          <w:rFonts w:ascii="Times New Roman" w:hAnsi="Times New Roman"/>
          <w:i/>
          <w:color w:val="0000FF"/>
          <w:spacing w:val="-4"/>
          <w:sz w:val="16"/>
        </w:rPr>
        <w:t>2021</w:t>
      </w:r>
    </w:p>
    <w:p>
      <w:pPr>
        <w:pStyle w:val="BodyText"/>
        <w:spacing w:before="47"/>
        <w:rPr>
          <w:rFonts w:ascii="Times New Roman"/>
          <w:i/>
          <w:sz w:val="16"/>
        </w:rPr>
      </w:pPr>
    </w:p>
    <w:p>
      <w:pPr>
        <w:pStyle w:val="BodyText"/>
        <w:spacing w:line="242" w:lineRule="auto"/>
        <w:ind w:left="338" w:right="335" w:firstLine="288"/>
        <w:jc w:val="both"/>
      </w:pPr>
      <w:bookmarkStart w:name="Artículo_1004_B" w:id="1257"/>
      <w:bookmarkEnd w:id="1257"/>
      <w:r>
        <w:rPr/>
      </w:r>
      <w:r>
        <w:rPr>
          <w:rFonts w:ascii="Arial" w:hAnsi="Arial"/>
          <w:b/>
        </w:rPr>
        <w:t>Artículo 1004-B.- </w:t>
      </w:r>
      <w:r>
        <w:rPr/>
        <w:t>El incumplimiento de las obligaciones a que se refiere el artículo 15-B de la Ley, se sancionará con multa por el equivalente de 250 a 2500 veces la Unidad de Medida y Actualización.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338" w:right="340" w:firstLine="288"/>
        <w:jc w:val="both"/>
      </w:pPr>
      <w:bookmarkStart w:name="Artículo_1004_C" w:id="1258"/>
      <w:bookmarkEnd w:id="1258"/>
      <w:r>
        <w:rPr/>
      </w:r>
      <w:r>
        <w:rPr>
          <w:rFonts w:ascii="Arial" w:hAnsi="Arial"/>
          <w:b/>
        </w:rPr>
        <w:t>Artículo 1004-C.- </w:t>
      </w:r>
      <w:r>
        <w:rPr/>
        <w:t>A quien realice subcontratación de personal a que se refiere el artículo 12 de esta Ley, así</w:t>
      </w:r>
      <w:r>
        <w:rPr>
          <w:spacing w:val="-1"/>
        </w:rPr>
        <w:t> </w:t>
      </w:r>
      <w:r>
        <w:rPr/>
        <w:t>como</w:t>
      </w:r>
      <w:r>
        <w:rPr>
          <w:spacing w:val="-1"/>
        </w:rPr>
        <w:t> </w:t>
      </w:r>
      <w:r>
        <w:rPr/>
        <w:t>a</w:t>
      </w:r>
      <w:r>
        <w:rPr>
          <w:spacing w:val="-1"/>
        </w:rPr>
        <w:t> </w:t>
      </w:r>
      <w:r>
        <w:rPr/>
        <w:t>las personas físicas o</w:t>
      </w:r>
      <w:r>
        <w:rPr>
          <w:spacing w:val="-1"/>
        </w:rPr>
        <w:t> </w:t>
      </w:r>
      <w:r>
        <w:rPr/>
        <w:t>morales que</w:t>
      </w:r>
      <w:r>
        <w:rPr>
          <w:spacing w:val="-1"/>
        </w:rPr>
        <w:t> </w:t>
      </w:r>
      <w:r>
        <w:rPr/>
        <w:t>presten</w:t>
      </w:r>
      <w:r>
        <w:rPr>
          <w:spacing w:val="-2"/>
        </w:rPr>
        <w:t> </w:t>
      </w:r>
      <w:r>
        <w:rPr/>
        <w:t>servicios de</w:t>
      </w:r>
      <w:r>
        <w:rPr>
          <w:spacing w:val="-2"/>
        </w:rPr>
        <w:t> </w:t>
      </w:r>
      <w:r>
        <w:rPr/>
        <w:t>subcontratación</w:t>
      </w:r>
      <w:r>
        <w:rPr>
          <w:spacing w:val="-1"/>
        </w:rPr>
        <w:t> </w:t>
      </w:r>
      <w:r>
        <w:rPr/>
        <w:t>sin contar con el registro correspondiente, conforme a lo establecido en los artículos 14 y 15 de esta Ley, se le impondrá multa de 2,000 a 50,000 veces la Unidad de Medida y Actualización, sin perjuicio de las demás responsabilidades a que hubiera lugar de conformidad con la legislación aplicable. La Secretaría del Trabajo y Previsión Social dará vista de los hechos a las autoridades que resulten competentes.</w:t>
      </w:r>
    </w:p>
    <w:p>
      <w:pPr>
        <w:pStyle w:val="BodyText"/>
        <w:spacing w:before="3"/>
      </w:pPr>
    </w:p>
    <w:p>
      <w:pPr>
        <w:pStyle w:val="BodyText"/>
        <w:ind w:left="338" w:right="346" w:firstLine="288"/>
        <w:jc w:val="both"/>
      </w:pPr>
      <w:r>
        <w:rPr/>
        <w:t>Igual sanción a la establecida en el párrafo anterior será aplicable a aquellas personas físicas o morales que se beneficien de la subcontratación en contravención a lo estipulado en los artículos 12, 13, 14 y 15 de esta Ley.</w:t>
      </w:r>
    </w:p>
    <w:p>
      <w:pPr>
        <w:spacing w:line="180" w:lineRule="exact" w:before="0"/>
        <w:ind w:left="452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30-11-2012.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01-05-2019,</w:t>
      </w:r>
      <w:r>
        <w:rPr>
          <w:rFonts w:ascii="Times New Roman" w:hAnsi="Times New Roman"/>
          <w:i/>
          <w:color w:val="0000FF"/>
          <w:spacing w:val="-8"/>
          <w:sz w:val="16"/>
        </w:rPr>
        <w:t> </w:t>
      </w:r>
      <w:r>
        <w:rPr>
          <w:rFonts w:ascii="Times New Roman" w:hAnsi="Times New Roman"/>
          <w:i/>
          <w:color w:val="0000FF"/>
          <w:sz w:val="16"/>
        </w:rPr>
        <w:t>23-04-</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338" w:right="334" w:firstLine="288"/>
        <w:jc w:val="both"/>
      </w:pPr>
      <w:bookmarkStart w:name="Artículo_1005" w:id="1259"/>
      <w:bookmarkEnd w:id="1259"/>
      <w:r>
        <w:rPr/>
      </w:r>
      <w:r>
        <w:rPr>
          <w:rFonts w:ascii="Arial" w:hAnsi="Arial"/>
          <w:b/>
        </w:rPr>
        <w:t>Artículo 1005.- </w:t>
      </w:r>
      <w:r>
        <w:rPr/>
        <w:t>Al Procurador de la Defensa del Trabajo, al Defensor Público o al representante del trabajador, se les impondrá sanción de seis meses a tres años de prisión y</w:t>
      </w:r>
      <w:r>
        <w:rPr>
          <w:spacing w:val="-1"/>
        </w:rPr>
        <w:t> </w:t>
      </w:r>
      <w:r>
        <w:rPr/>
        <w:t>multa de 125 a 1250 veces la Unidad de Medida y Actualización en los casos siguientes:</w:t>
      </w:r>
    </w:p>
    <w:p>
      <w:pPr>
        <w:spacing w:line="184"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62"/>
        </w:numPr>
        <w:tabs>
          <w:tab w:pos="1195" w:val="left" w:leader="none"/>
        </w:tabs>
        <w:spacing w:line="240" w:lineRule="auto" w:before="0" w:after="0"/>
        <w:ind w:left="1195" w:right="0" w:hanging="569"/>
        <w:jc w:val="left"/>
        <w:rPr>
          <w:sz w:val="20"/>
        </w:rPr>
      </w:pPr>
      <w:r>
        <w:rPr>
          <w:sz w:val="20"/>
        </w:rPr>
        <w:t>Cuando</w:t>
      </w:r>
      <w:r>
        <w:rPr>
          <w:spacing w:val="-8"/>
          <w:sz w:val="20"/>
        </w:rPr>
        <w:t> </w:t>
      </w:r>
      <w:r>
        <w:rPr>
          <w:sz w:val="20"/>
        </w:rPr>
        <w:t>sin</w:t>
      </w:r>
      <w:r>
        <w:rPr>
          <w:spacing w:val="-6"/>
          <w:sz w:val="20"/>
        </w:rPr>
        <w:t> </w:t>
      </w:r>
      <w:r>
        <w:rPr>
          <w:sz w:val="20"/>
        </w:rPr>
        <w:t>causa</w:t>
      </w:r>
      <w:r>
        <w:rPr>
          <w:spacing w:val="-6"/>
          <w:sz w:val="20"/>
        </w:rPr>
        <w:t> </w:t>
      </w:r>
      <w:r>
        <w:rPr>
          <w:sz w:val="20"/>
        </w:rPr>
        <w:t>justificada</w:t>
      </w:r>
      <w:r>
        <w:rPr>
          <w:spacing w:val="-6"/>
          <w:sz w:val="20"/>
        </w:rPr>
        <w:t> </w:t>
      </w:r>
      <w:r>
        <w:rPr>
          <w:sz w:val="20"/>
        </w:rPr>
        <w:t>se</w:t>
      </w:r>
      <w:r>
        <w:rPr>
          <w:spacing w:val="-6"/>
          <w:sz w:val="20"/>
        </w:rPr>
        <w:t> </w:t>
      </w:r>
      <w:r>
        <w:rPr>
          <w:sz w:val="20"/>
        </w:rPr>
        <w:t>abstengan</w:t>
      </w:r>
      <w:r>
        <w:rPr>
          <w:spacing w:val="-7"/>
          <w:sz w:val="20"/>
        </w:rPr>
        <w:t> </w:t>
      </w:r>
      <w:r>
        <w:rPr>
          <w:sz w:val="20"/>
        </w:rPr>
        <w:t>de</w:t>
      </w:r>
      <w:r>
        <w:rPr>
          <w:spacing w:val="-6"/>
          <w:sz w:val="20"/>
        </w:rPr>
        <w:t> </w:t>
      </w:r>
      <w:r>
        <w:rPr>
          <w:sz w:val="20"/>
        </w:rPr>
        <w:t>concurrir</w:t>
      </w:r>
      <w:r>
        <w:rPr>
          <w:spacing w:val="-5"/>
          <w:sz w:val="20"/>
        </w:rPr>
        <w:t> </w:t>
      </w:r>
      <w:r>
        <w:rPr>
          <w:sz w:val="20"/>
        </w:rPr>
        <w:t>a</w:t>
      </w:r>
      <w:r>
        <w:rPr>
          <w:spacing w:val="-7"/>
          <w:sz w:val="20"/>
        </w:rPr>
        <w:t> </w:t>
      </w:r>
      <w:r>
        <w:rPr>
          <w:sz w:val="20"/>
        </w:rPr>
        <w:t>dos</w:t>
      </w:r>
      <w:r>
        <w:rPr>
          <w:spacing w:val="-6"/>
          <w:sz w:val="20"/>
        </w:rPr>
        <w:t> </w:t>
      </w:r>
      <w:r>
        <w:rPr>
          <w:sz w:val="20"/>
        </w:rPr>
        <w:t>o</w:t>
      </w:r>
      <w:r>
        <w:rPr>
          <w:spacing w:val="-7"/>
          <w:sz w:val="20"/>
        </w:rPr>
        <w:t> </w:t>
      </w:r>
      <w:r>
        <w:rPr>
          <w:sz w:val="20"/>
        </w:rPr>
        <w:t>más</w:t>
      </w:r>
      <w:r>
        <w:rPr>
          <w:spacing w:val="-5"/>
          <w:sz w:val="20"/>
        </w:rPr>
        <w:t> </w:t>
      </w:r>
      <w:r>
        <w:rPr>
          <w:sz w:val="20"/>
        </w:rPr>
        <w:t>audiencias;</w:t>
      </w:r>
      <w:r>
        <w:rPr>
          <w:spacing w:val="-4"/>
          <w:sz w:val="20"/>
        </w:rPr>
        <w:t> </w:t>
      </w:r>
      <w:r>
        <w:rPr>
          <w:spacing w:val="-10"/>
          <w:sz w:val="20"/>
        </w:rPr>
        <w:t>y</w:t>
      </w:r>
    </w:p>
    <w:p>
      <w:pPr>
        <w:pStyle w:val="ListParagraph"/>
        <w:numPr>
          <w:ilvl w:val="0"/>
          <w:numId w:val="362"/>
        </w:numPr>
        <w:tabs>
          <w:tab w:pos="1195" w:val="left" w:leader="none"/>
        </w:tabs>
        <w:spacing w:line="242" w:lineRule="auto" w:before="229" w:after="0"/>
        <w:ind w:left="1195" w:right="338" w:hanging="569"/>
        <w:jc w:val="left"/>
        <w:rPr>
          <w:sz w:val="20"/>
        </w:rPr>
      </w:pPr>
      <w:r>
        <w:rPr>
          <w:sz w:val="20"/>
        </w:rPr>
        <w:t>Cuando</w:t>
      </w:r>
      <w:r>
        <w:rPr>
          <w:spacing w:val="24"/>
          <w:sz w:val="20"/>
        </w:rPr>
        <w:t> </w:t>
      </w:r>
      <w:r>
        <w:rPr>
          <w:sz w:val="20"/>
        </w:rPr>
        <w:t>sin</w:t>
      </w:r>
      <w:r>
        <w:rPr>
          <w:spacing w:val="24"/>
          <w:sz w:val="20"/>
        </w:rPr>
        <w:t> </w:t>
      </w:r>
      <w:r>
        <w:rPr>
          <w:sz w:val="20"/>
        </w:rPr>
        <w:t>causa</w:t>
      </w:r>
      <w:r>
        <w:rPr>
          <w:spacing w:val="24"/>
          <w:sz w:val="20"/>
        </w:rPr>
        <w:t> </w:t>
      </w:r>
      <w:r>
        <w:rPr>
          <w:sz w:val="20"/>
        </w:rPr>
        <w:t>justificada</w:t>
      </w:r>
      <w:r>
        <w:rPr>
          <w:spacing w:val="24"/>
          <w:sz w:val="20"/>
        </w:rPr>
        <w:t> </w:t>
      </w:r>
      <w:r>
        <w:rPr>
          <w:sz w:val="20"/>
        </w:rPr>
        <w:t>se</w:t>
      </w:r>
      <w:r>
        <w:rPr>
          <w:spacing w:val="24"/>
          <w:sz w:val="20"/>
        </w:rPr>
        <w:t> </w:t>
      </w:r>
      <w:r>
        <w:rPr>
          <w:sz w:val="20"/>
        </w:rPr>
        <w:t>abstengan</w:t>
      </w:r>
      <w:r>
        <w:rPr>
          <w:spacing w:val="24"/>
          <w:sz w:val="20"/>
        </w:rPr>
        <w:t> </w:t>
      </w:r>
      <w:r>
        <w:rPr>
          <w:sz w:val="20"/>
        </w:rPr>
        <w:t>de</w:t>
      </w:r>
      <w:r>
        <w:rPr>
          <w:spacing w:val="24"/>
          <w:sz w:val="20"/>
        </w:rPr>
        <w:t> </w:t>
      </w:r>
      <w:r>
        <w:rPr>
          <w:sz w:val="20"/>
        </w:rPr>
        <w:t>promover</w:t>
      </w:r>
      <w:r>
        <w:rPr>
          <w:spacing w:val="25"/>
          <w:sz w:val="20"/>
        </w:rPr>
        <w:t> </w:t>
      </w:r>
      <w:r>
        <w:rPr>
          <w:sz w:val="20"/>
        </w:rPr>
        <w:t>en</w:t>
      </w:r>
      <w:r>
        <w:rPr>
          <w:spacing w:val="24"/>
          <w:sz w:val="20"/>
        </w:rPr>
        <w:t> </w:t>
      </w:r>
      <w:r>
        <w:rPr>
          <w:sz w:val="20"/>
        </w:rPr>
        <w:t>el</w:t>
      </w:r>
      <w:r>
        <w:rPr>
          <w:spacing w:val="29"/>
          <w:sz w:val="20"/>
        </w:rPr>
        <w:t> </w:t>
      </w:r>
      <w:r>
        <w:rPr>
          <w:sz w:val="20"/>
        </w:rPr>
        <w:t>juicio</w:t>
      </w:r>
      <w:r>
        <w:rPr>
          <w:spacing w:val="24"/>
          <w:sz w:val="20"/>
        </w:rPr>
        <w:t> </w:t>
      </w:r>
      <w:r>
        <w:rPr>
          <w:sz w:val="20"/>
        </w:rPr>
        <w:t>durante</w:t>
      </w:r>
      <w:r>
        <w:rPr>
          <w:spacing w:val="24"/>
          <w:sz w:val="20"/>
        </w:rPr>
        <w:t> </w:t>
      </w:r>
      <w:r>
        <w:rPr>
          <w:sz w:val="20"/>
        </w:rPr>
        <w:t>el</w:t>
      </w:r>
      <w:r>
        <w:rPr>
          <w:spacing w:val="24"/>
          <w:sz w:val="20"/>
        </w:rPr>
        <w:t> </w:t>
      </w:r>
      <w:r>
        <w:rPr>
          <w:sz w:val="20"/>
        </w:rPr>
        <w:t>lapso</w:t>
      </w:r>
      <w:r>
        <w:rPr>
          <w:spacing w:val="24"/>
          <w:sz w:val="20"/>
        </w:rPr>
        <w:t> </w:t>
      </w:r>
      <w:r>
        <w:rPr>
          <w:sz w:val="20"/>
        </w:rPr>
        <w:t>de</w:t>
      </w:r>
      <w:r>
        <w:rPr>
          <w:spacing w:val="24"/>
          <w:sz w:val="20"/>
        </w:rPr>
        <w:t> </w:t>
      </w:r>
      <w:r>
        <w:rPr>
          <w:sz w:val="20"/>
        </w:rPr>
        <w:t>tres </w:t>
      </w:r>
      <w:r>
        <w:rPr>
          <w:spacing w:val="-2"/>
          <w:sz w:val="20"/>
        </w:rPr>
        <w:t>meses.</w:t>
      </w:r>
    </w:p>
    <w:p>
      <w:pPr>
        <w:pStyle w:val="BodyText"/>
        <w:spacing w:before="229"/>
        <w:ind w:left="338" w:right="344" w:firstLine="288"/>
        <w:jc w:val="both"/>
      </w:pPr>
      <w:r>
        <w:rPr/>
        <w:t>Por lo que corresponde a servidores públicos, las conductas previstas en este artículo serán consideradas como faltas administrativas graves en términos de lo dispuesto por el capítulo II del Título Tercero de la Ley General de Responsabilidades Administrativas.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01-05-</w:t>
      </w:r>
      <w:r>
        <w:rPr>
          <w:rFonts w:ascii="Times New Roman" w:hAnsi="Times New Roman"/>
          <w:i/>
          <w:color w:val="0000FF"/>
          <w:spacing w:val="-4"/>
          <w:sz w:val="16"/>
        </w:rPr>
        <w:t>2019</w:t>
      </w:r>
    </w:p>
    <w:p>
      <w:pPr>
        <w:spacing w:after="0" w:line="180"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BodyText"/>
        <w:ind w:left="338" w:right="337" w:firstLine="288"/>
        <w:jc w:val="both"/>
      </w:pPr>
      <w:r>
        <w:rPr/>
        <w:t>En</w:t>
      </w:r>
      <w:r>
        <w:rPr>
          <w:spacing w:val="-2"/>
        </w:rPr>
        <w:t> </w:t>
      </w:r>
      <w:r>
        <w:rPr/>
        <w:t>todos</w:t>
      </w:r>
      <w:r>
        <w:rPr>
          <w:spacing w:val="-3"/>
        </w:rPr>
        <w:t> </w:t>
      </w:r>
      <w:r>
        <w:rPr/>
        <w:t>los</w:t>
      </w:r>
      <w:r>
        <w:rPr>
          <w:spacing w:val="-3"/>
        </w:rPr>
        <w:t> </w:t>
      </w:r>
      <w:r>
        <w:rPr/>
        <w:t>casos,</w:t>
      </w:r>
      <w:r>
        <w:rPr>
          <w:spacing w:val="-3"/>
        </w:rPr>
        <w:t> </w:t>
      </w:r>
      <w:r>
        <w:rPr/>
        <w:t>cuando</w:t>
      </w:r>
      <w:r>
        <w:rPr>
          <w:spacing w:val="-2"/>
        </w:rPr>
        <w:t> </w:t>
      </w:r>
      <w:r>
        <w:rPr/>
        <w:t>exista</w:t>
      </w:r>
      <w:r>
        <w:rPr>
          <w:spacing w:val="-2"/>
        </w:rPr>
        <w:t> </w:t>
      </w:r>
      <w:r>
        <w:rPr/>
        <w:t>la</w:t>
      </w:r>
      <w:r>
        <w:rPr>
          <w:spacing w:val="-2"/>
        </w:rPr>
        <w:t> </w:t>
      </w:r>
      <w:r>
        <w:rPr/>
        <w:t>presunción</w:t>
      </w:r>
      <w:r>
        <w:rPr>
          <w:spacing w:val="-3"/>
        </w:rPr>
        <w:t> </w:t>
      </w:r>
      <w:r>
        <w:rPr/>
        <w:t>de</w:t>
      </w:r>
      <w:r>
        <w:rPr>
          <w:spacing w:val="-2"/>
        </w:rPr>
        <w:t> </w:t>
      </w:r>
      <w:r>
        <w:rPr/>
        <w:t>actos</w:t>
      </w:r>
      <w:r>
        <w:rPr>
          <w:spacing w:val="-3"/>
        </w:rPr>
        <w:t> </w:t>
      </w:r>
      <w:r>
        <w:rPr/>
        <w:t>irregulares,</w:t>
      </w:r>
      <w:r>
        <w:rPr>
          <w:spacing w:val="-2"/>
        </w:rPr>
        <w:t> </w:t>
      </w:r>
      <w:r>
        <w:rPr/>
        <w:t>las</w:t>
      </w:r>
      <w:r>
        <w:rPr>
          <w:spacing w:val="-3"/>
        </w:rPr>
        <w:t> </w:t>
      </w:r>
      <w:r>
        <w:rPr/>
        <w:t>Autoridades</w:t>
      </w:r>
      <w:r>
        <w:rPr>
          <w:spacing w:val="-3"/>
        </w:rPr>
        <w:t> </w:t>
      </w:r>
      <w:r>
        <w:rPr/>
        <w:t>del</w:t>
      </w:r>
      <w:r>
        <w:rPr>
          <w:spacing w:val="-4"/>
        </w:rPr>
        <w:t> </w:t>
      </w:r>
      <w:r>
        <w:rPr/>
        <w:t>Trabajo</w:t>
      </w:r>
      <w:r>
        <w:rPr>
          <w:spacing w:val="-2"/>
        </w:rPr>
        <w:t> </w:t>
      </w:r>
      <w:r>
        <w:rPr/>
        <w:t>o</w:t>
      </w:r>
      <w:r>
        <w:rPr>
          <w:spacing w:val="-2"/>
        </w:rPr>
        <w:t> </w:t>
      </w:r>
      <w:r>
        <w:rPr/>
        <w:t>los Tribunales de manera inmediata deberán hacerlo del conocimiento de las autoridades competentes para que éstas procedan conforme a sus atribuciones y facultades.</w:t>
      </w:r>
    </w:p>
    <w:p>
      <w:pPr>
        <w:spacing w:before="0"/>
        <w:ind w:left="7302" w:right="333" w:firstLine="1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4"/>
        <w:rPr>
          <w:rFonts w:ascii="Times New Roman"/>
          <w:i/>
          <w:sz w:val="16"/>
        </w:rPr>
      </w:pPr>
    </w:p>
    <w:p>
      <w:pPr>
        <w:pStyle w:val="BodyText"/>
        <w:spacing w:line="242" w:lineRule="auto"/>
        <w:ind w:left="338" w:right="336" w:firstLine="288"/>
        <w:jc w:val="both"/>
      </w:pPr>
      <w:bookmarkStart w:name="Artículo_1006" w:id="1260"/>
      <w:bookmarkEnd w:id="1260"/>
      <w:r>
        <w:rPr/>
      </w:r>
      <w:r>
        <w:rPr>
          <w:rFonts w:ascii="Arial" w:hAnsi="Arial"/>
          <w:b/>
        </w:rPr>
        <w:t>Artículo 1006.- </w:t>
      </w:r>
      <w:r>
        <w:rPr/>
        <w:t>A</w:t>
      </w:r>
      <w:r>
        <w:rPr>
          <w:spacing w:val="-1"/>
        </w:rPr>
        <w:t> </w:t>
      </w:r>
      <w:r>
        <w:rPr/>
        <w:t>todo</w:t>
      </w:r>
      <w:r>
        <w:rPr>
          <w:spacing w:val="-1"/>
        </w:rPr>
        <w:t> </w:t>
      </w:r>
      <w:r>
        <w:rPr/>
        <w:t>el</w:t>
      </w:r>
      <w:r>
        <w:rPr>
          <w:spacing w:val="-2"/>
        </w:rPr>
        <w:t> </w:t>
      </w:r>
      <w:r>
        <w:rPr/>
        <w:t>que</w:t>
      </w:r>
      <w:r>
        <w:rPr>
          <w:spacing w:val="-2"/>
        </w:rPr>
        <w:t> </w:t>
      </w:r>
      <w:r>
        <w:rPr/>
        <w:t>presente</w:t>
      </w:r>
      <w:r>
        <w:rPr>
          <w:spacing w:val="-1"/>
        </w:rPr>
        <w:t> </w:t>
      </w:r>
      <w:r>
        <w:rPr/>
        <w:t>documentos o</w:t>
      </w:r>
      <w:r>
        <w:rPr>
          <w:spacing w:val="-1"/>
        </w:rPr>
        <w:t> </w:t>
      </w:r>
      <w:r>
        <w:rPr/>
        <w:t>testigos falsos</w:t>
      </w:r>
      <w:r>
        <w:rPr>
          <w:rFonts w:ascii="Arial" w:hAnsi="Arial"/>
          <w:b/>
        </w:rPr>
        <w:t>,</w:t>
      </w:r>
      <w:r>
        <w:rPr>
          <w:rFonts w:ascii="Arial" w:hAnsi="Arial"/>
          <w:b/>
          <w:spacing w:val="-1"/>
        </w:rPr>
        <w:t> </w:t>
      </w:r>
      <w:r>
        <w:rPr/>
        <w:t>se</w:t>
      </w:r>
      <w:r>
        <w:rPr>
          <w:spacing w:val="-1"/>
        </w:rPr>
        <w:t> </w:t>
      </w:r>
      <w:r>
        <w:rPr/>
        <w:t>le</w:t>
      </w:r>
      <w:r>
        <w:rPr>
          <w:spacing w:val="-1"/>
        </w:rPr>
        <w:t> </w:t>
      </w:r>
      <w:r>
        <w:rPr/>
        <w:t>impondrá</w:t>
      </w:r>
      <w:r>
        <w:rPr>
          <w:spacing w:val="-1"/>
        </w:rPr>
        <w:t> </w:t>
      </w:r>
      <w:r>
        <w:rPr/>
        <w:t>una pena</w:t>
      </w:r>
      <w:r>
        <w:rPr>
          <w:spacing w:val="-1"/>
        </w:rPr>
        <w:t> </w:t>
      </w:r>
      <w:r>
        <w:rPr/>
        <w:t>de</w:t>
      </w:r>
      <w:r>
        <w:rPr>
          <w:spacing w:val="-1"/>
        </w:rPr>
        <w:t> </w:t>
      </w:r>
      <w:r>
        <w:rPr/>
        <w:t>seis meses a cuatro años de prisión y multa de 125 a 1900 Unidades de Medida y Actualización. Tratándose de trabajadores, la multa será el salario que reciba el trabajador en una semana.</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before="1"/>
        <w:ind w:left="338" w:right="347" w:firstLine="288"/>
        <w:jc w:val="both"/>
      </w:pPr>
      <w:bookmarkStart w:name="Artículo_1007" w:id="1261"/>
      <w:bookmarkEnd w:id="1261"/>
      <w:r>
        <w:rPr/>
      </w:r>
      <w:r>
        <w:rPr>
          <w:rFonts w:ascii="Arial" w:hAnsi="Arial"/>
          <w:b/>
        </w:rPr>
        <w:t>Artículo 1007.- </w:t>
      </w:r>
      <w:r>
        <w:rPr/>
        <w:t>Las penas consignadas en el artículo anterior, se aplicarán sin perjuicio de la responsabilidad que por daños y perjuicios le resultaren al apoderado o representante.</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338" w:right="335" w:firstLine="288"/>
        <w:jc w:val="both"/>
      </w:pPr>
      <w:bookmarkStart w:name="Artículo_1008" w:id="1262"/>
      <w:bookmarkEnd w:id="1262"/>
      <w:r>
        <w:rPr/>
      </w:r>
      <w:r>
        <w:rPr>
          <w:rFonts w:ascii="Arial" w:hAnsi="Arial"/>
          <w:b/>
        </w:rPr>
        <w:t>Artículo 1008.- </w:t>
      </w:r>
      <w:r>
        <w:rPr/>
        <w:t>Las sanciones administrativas de que trata este Título serán impuestas, en su caso, por el Secretario del Trabajo y Previsión Social, por los Gobernadores de los Estados o por el Jefe de Gobierno</w:t>
      </w:r>
      <w:r>
        <w:rPr>
          <w:spacing w:val="-2"/>
        </w:rPr>
        <w:t> </w:t>
      </w:r>
      <w:r>
        <w:rPr/>
        <w:t>de</w:t>
      </w:r>
      <w:r>
        <w:rPr>
          <w:spacing w:val="-2"/>
        </w:rPr>
        <w:t> </w:t>
      </w:r>
      <w:r>
        <w:rPr/>
        <w:t>la Ciudad de México,</w:t>
      </w:r>
      <w:r>
        <w:rPr>
          <w:spacing w:val="-2"/>
        </w:rPr>
        <w:t> </w:t>
      </w:r>
      <w:r>
        <w:rPr/>
        <w:t>quienes</w:t>
      </w:r>
      <w:r>
        <w:rPr>
          <w:spacing w:val="-1"/>
        </w:rPr>
        <w:t> </w:t>
      </w:r>
      <w:r>
        <w:rPr/>
        <w:t>podrán</w:t>
      </w:r>
      <w:r>
        <w:rPr>
          <w:spacing w:val="-2"/>
        </w:rPr>
        <w:t> </w:t>
      </w:r>
      <w:r>
        <w:rPr/>
        <w:t>delegar</w:t>
      </w:r>
      <w:r>
        <w:rPr>
          <w:spacing w:val="-1"/>
        </w:rPr>
        <w:t> </w:t>
      </w:r>
      <w:r>
        <w:rPr/>
        <w:t>el</w:t>
      </w:r>
      <w:r>
        <w:rPr>
          <w:spacing w:val="-2"/>
        </w:rPr>
        <w:t> </w:t>
      </w:r>
      <w:r>
        <w:rPr/>
        <w:t>ejercicio de</w:t>
      </w:r>
      <w:r>
        <w:rPr>
          <w:spacing w:val="-2"/>
        </w:rPr>
        <w:t> </w:t>
      </w:r>
      <w:r>
        <w:rPr/>
        <w:t>esta</w:t>
      </w:r>
      <w:r>
        <w:rPr>
          <w:spacing w:val="-2"/>
        </w:rPr>
        <w:t> </w:t>
      </w:r>
      <w:r>
        <w:rPr/>
        <w:t>facultad</w:t>
      </w:r>
      <w:r>
        <w:rPr>
          <w:spacing w:val="-2"/>
        </w:rPr>
        <w:t> </w:t>
      </w:r>
      <w:r>
        <w:rPr/>
        <w:t>en los</w:t>
      </w:r>
      <w:r>
        <w:rPr>
          <w:spacing w:val="-1"/>
        </w:rPr>
        <w:t> </w:t>
      </w:r>
      <w:r>
        <w:rPr/>
        <w:t>funcionarios subordinados que estimen conveniente, mediante acuerdo que se publique en el periódico oficial que </w:t>
      </w:r>
      <w:r>
        <w:rPr>
          <w:spacing w:val="-2"/>
        </w:rPr>
        <w:t>corresponda.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04-01-1980.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9"/>
          <w:sz w:val="16"/>
        </w:rPr>
        <w:t> </w:t>
      </w:r>
      <w:r>
        <w:rPr>
          <w:rFonts w:ascii="Times New Roman" w:hAnsi="Times New Roman"/>
          <w:i/>
          <w:color w:val="0000FF"/>
          <w:sz w:val="16"/>
        </w:rPr>
        <w:t>01-05-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29" w:lineRule="exact"/>
        <w:ind w:left="626"/>
      </w:pPr>
      <w:bookmarkStart w:name="Artículo_1009" w:id="1263"/>
      <w:bookmarkEnd w:id="1263"/>
      <w:r>
        <w:rPr/>
      </w:r>
      <w:r>
        <w:rPr>
          <w:rFonts w:ascii="Arial" w:hAnsi="Arial"/>
          <w:b/>
        </w:rPr>
        <w:t>Artículo</w:t>
      </w:r>
      <w:r>
        <w:rPr>
          <w:rFonts w:ascii="Arial" w:hAnsi="Arial"/>
          <w:b/>
          <w:spacing w:val="-7"/>
        </w:rPr>
        <w:t> </w:t>
      </w:r>
      <w:r>
        <w:rPr>
          <w:rFonts w:ascii="Arial" w:hAnsi="Arial"/>
          <w:b/>
        </w:rPr>
        <w:t>1009.-</w:t>
      </w:r>
      <w:r>
        <w:rPr>
          <w:rFonts w:ascii="Arial" w:hAnsi="Arial"/>
          <w:b/>
          <w:spacing w:val="-7"/>
        </w:rPr>
        <w:t> </w:t>
      </w:r>
      <w:r>
        <w:rPr/>
        <w:t>La</w:t>
      </w:r>
      <w:r>
        <w:rPr>
          <w:spacing w:val="-6"/>
        </w:rPr>
        <w:t> </w:t>
      </w:r>
      <w:r>
        <w:rPr/>
        <w:t>autoridad,</w:t>
      </w:r>
      <w:r>
        <w:rPr>
          <w:spacing w:val="-8"/>
        </w:rPr>
        <w:t> </w:t>
      </w:r>
      <w:r>
        <w:rPr/>
        <w:t>después</w:t>
      </w:r>
      <w:r>
        <w:rPr>
          <w:spacing w:val="-6"/>
        </w:rPr>
        <w:t> </w:t>
      </w:r>
      <w:r>
        <w:rPr/>
        <w:t>de</w:t>
      </w:r>
      <w:r>
        <w:rPr>
          <w:spacing w:val="-8"/>
        </w:rPr>
        <w:t> </w:t>
      </w:r>
      <w:r>
        <w:rPr/>
        <w:t>oír</w:t>
      </w:r>
      <w:r>
        <w:rPr>
          <w:spacing w:val="-4"/>
        </w:rPr>
        <w:t> </w:t>
      </w:r>
      <w:r>
        <w:rPr/>
        <w:t>al</w:t>
      </w:r>
      <w:r>
        <w:rPr>
          <w:spacing w:val="-4"/>
        </w:rPr>
        <w:t> </w:t>
      </w:r>
      <w:r>
        <w:rPr/>
        <w:t>interesado,</w:t>
      </w:r>
      <w:r>
        <w:rPr>
          <w:spacing w:val="-6"/>
        </w:rPr>
        <w:t> </w:t>
      </w:r>
      <w:r>
        <w:rPr/>
        <w:t>impondrá</w:t>
      </w:r>
      <w:r>
        <w:rPr>
          <w:spacing w:val="-7"/>
        </w:rPr>
        <w:t> </w:t>
      </w:r>
      <w:r>
        <w:rPr/>
        <w:t>la</w:t>
      </w:r>
      <w:r>
        <w:rPr>
          <w:spacing w:val="-8"/>
        </w:rPr>
        <w:t> </w:t>
      </w:r>
      <w:r>
        <w:rPr/>
        <w:t>sanción</w:t>
      </w:r>
      <w:r>
        <w:rPr>
          <w:spacing w:val="-8"/>
        </w:rPr>
        <w:t> </w:t>
      </w:r>
      <w:r>
        <w:rPr>
          <w:spacing w:val="-2"/>
        </w:rPr>
        <w:t>correspondiente.</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BodyText"/>
        <w:spacing w:before="47"/>
        <w:rPr>
          <w:rFonts w:ascii="Times New Roman"/>
          <w:i/>
          <w:sz w:val="16"/>
        </w:rPr>
      </w:pPr>
    </w:p>
    <w:p>
      <w:pPr>
        <w:pStyle w:val="BodyText"/>
        <w:ind w:left="626"/>
      </w:pPr>
      <w:bookmarkStart w:name="Artículo_1010" w:id="1264"/>
      <w:bookmarkEnd w:id="1264"/>
      <w:r>
        <w:rPr/>
      </w:r>
      <w:r>
        <w:rPr>
          <w:rFonts w:ascii="Arial" w:hAnsi="Arial"/>
          <w:b/>
        </w:rPr>
        <w:t>Artículo</w:t>
      </w:r>
      <w:r>
        <w:rPr>
          <w:rFonts w:ascii="Arial" w:hAnsi="Arial"/>
          <w:b/>
          <w:spacing w:val="-7"/>
        </w:rPr>
        <w:t> </w:t>
      </w:r>
      <w:r>
        <w:rPr>
          <w:rFonts w:ascii="Arial" w:hAnsi="Arial"/>
          <w:b/>
        </w:rPr>
        <w:t>1010.-</w:t>
      </w:r>
      <w:r>
        <w:rPr>
          <w:rFonts w:ascii="Arial" w:hAnsi="Arial"/>
          <w:b/>
          <w:spacing w:val="-6"/>
        </w:rPr>
        <w:t> </w:t>
      </w:r>
      <w:r>
        <w:rPr/>
        <w:t>Las</w:t>
      </w:r>
      <w:r>
        <w:rPr>
          <w:spacing w:val="-6"/>
        </w:rPr>
        <w:t> </w:t>
      </w:r>
      <w:r>
        <w:rPr/>
        <w:t>sanciones</w:t>
      </w:r>
      <w:r>
        <w:rPr>
          <w:spacing w:val="-6"/>
        </w:rPr>
        <w:t> </w:t>
      </w:r>
      <w:r>
        <w:rPr/>
        <w:t>se</w:t>
      </w:r>
      <w:r>
        <w:rPr>
          <w:spacing w:val="-8"/>
        </w:rPr>
        <w:t> </w:t>
      </w:r>
      <w:r>
        <w:rPr/>
        <w:t>harán</w:t>
      </w:r>
      <w:r>
        <w:rPr>
          <w:spacing w:val="-7"/>
        </w:rPr>
        <w:t> </w:t>
      </w:r>
      <w:r>
        <w:rPr/>
        <w:t>efectivas</w:t>
      </w:r>
      <w:r>
        <w:rPr>
          <w:spacing w:val="-6"/>
        </w:rPr>
        <w:t> </w:t>
      </w:r>
      <w:r>
        <w:rPr/>
        <w:t>por</w:t>
      </w:r>
      <w:r>
        <w:rPr>
          <w:spacing w:val="-7"/>
        </w:rPr>
        <w:t> </w:t>
      </w:r>
      <w:r>
        <w:rPr/>
        <w:t>las</w:t>
      </w:r>
      <w:r>
        <w:rPr>
          <w:spacing w:val="-6"/>
        </w:rPr>
        <w:t> </w:t>
      </w:r>
      <w:r>
        <w:rPr/>
        <w:t>autoridades</w:t>
      </w:r>
      <w:r>
        <w:rPr>
          <w:spacing w:val="-7"/>
        </w:rPr>
        <w:t> </w:t>
      </w:r>
      <w:r>
        <w:rPr/>
        <w:t>que</w:t>
      </w:r>
      <w:r>
        <w:rPr>
          <w:spacing w:val="-8"/>
        </w:rPr>
        <w:t> </w:t>
      </w:r>
      <w:r>
        <w:rPr/>
        <w:t>designen</w:t>
      </w:r>
      <w:r>
        <w:rPr>
          <w:spacing w:val="-8"/>
        </w:rPr>
        <w:t> </w:t>
      </w:r>
      <w:r>
        <w:rPr/>
        <w:t>las</w:t>
      </w:r>
      <w:r>
        <w:rPr>
          <w:spacing w:val="-6"/>
        </w:rPr>
        <w:t> </w:t>
      </w:r>
      <w:r>
        <w:rPr>
          <w:spacing w:val="-2"/>
        </w:rPr>
        <w:t>leyes.</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04-01-</w:t>
      </w:r>
      <w:r>
        <w:rPr>
          <w:rFonts w:ascii="Times New Roman" w:hAnsi="Times New Roman"/>
          <w:i/>
          <w:color w:val="0000FF"/>
          <w:spacing w:val="-4"/>
          <w:sz w:val="16"/>
        </w:rPr>
        <w:t>1980</w:t>
      </w:r>
    </w:p>
    <w:p>
      <w:pPr>
        <w:pStyle w:val="Heading1"/>
        <w:spacing w:before="227"/>
      </w:pPr>
      <w:bookmarkStart w:name="TRANSITORIOS" w:id="1265"/>
      <w:bookmarkEnd w:id="1265"/>
      <w:r>
        <w:rPr>
          <w:b w:val="0"/>
        </w:rPr>
      </w:r>
      <w:r>
        <w:rPr>
          <w:spacing w:val="-2"/>
        </w:rPr>
        <w:t>TRANSITORIOS</w:t>
      </w:r>
    </w:p>
    <w:p>
      <w:pPr>
        <w:pStyle w:val="BodyText"/>
        <w:spacing w:line="242" w:lineRule="auto" w:before="231"/>
        <w:ind w:left="338" w:right="340" w:firstLine="288"/>
        <w:jc w:val="both"/>
      </w:pPr>
      <w:bookmarkStart w:name="Artículo_1ro" w:id="1266"/>
      <w:bookmarkEnd w:id="1266"/>
      <w:r>
        <w:rPr/>
      </w:r>
      <w:r>
        <w:rPr>
          <w:rFonts w:ascii="Arial" w:hAnsi="Arial"/>
          <w:b/>
        </w:rPr>
        <w:t>Artículo</w:t>
      </w:r>
      <w:r>
        <w:rPr>
          <w:rFonts w:ascii="Arial" w:hAnsi="Arial"/>
          <w:b/>
          <w:spacing w:val="-3"/>
        </w:rPr>
        <w:t> </w:t>
      </w:r>
      <w:r>
        <w:rPr>
          <w:rFonts w:ascii="Arial" w:hAnsi="Arial"/>
          <w:b/>
        </w:rPr>
        <w:t>1º.-</w:t>
      </w:r>
      <w:r>
        <w:rPr>
          <w:rFonts w:ascii="Arial" w:hAnsi="Arial"/>
          <w:b/>
          <w:spacing w:val="-1"/>
        </w:rPr>
        <w:t> </w:t>
      </w:r>
      <w:r>
        <w:rPr/>
        <w:t>Esta</w:t>
      </w:r>
      <w:r>
        <w:rPr>
          <w:spacing w:val="-5"/>
        </w:rPr>
        <w:t> </w:t>
      </w:r>
      <w:r>
        <w:rPr/>
        <w:t>Ley</w:t>
      </w:r>
      <w:r>
        <w:rPr>
          <w:spacing w:val="-5"/>
        </w:rPr>
        <w:t> </w:t>
      </w:r>
      <w:r>
        <w:rPr/>
        <w:t>entrará</w:t>
      </w:r>
      <w:r>
        <w:rPr>
          <w:spacing w:val="-4"/>
        </w:rPr>
        <w:t> </w:t>
      </w:r>
      <w:r>
        <w:rPr/>
        <w:t>en</w:t>
      </w:r>
      <w:r>
        <w:rPr>
          <w:spacing w:val="-2"/>
        </w:rPr>
        <w:t> </w:t>
      </w:r>
      <w:r>
        <w:rPr/>
        <w:t>vigor</w:t>
      </w:r>
      <w:r>
        <w:rPr>
          <w:spacing w:val="-1"/>
        </w:rPr>
        <w:t> </w:t>
      </w:r>
      <w:r>
        <w:rPr/>
        <w:t>el</w:t>
      </w:r>
      <w:r>
        <w:rPr>
          <w:spacing w:val="-3"/>
        </w:rPr>
        <w:t> </w:t>
      </w:r>
      <w:r>
        <w:rPr/>
        <w:t>día</w:t>
      </w:r>
      <w:r>
        <w:rPr>
          <w:spacing w:val="-2"/>
        </w:rPr>
        <w:t> </w:t>
      </w:r>
      <w:r>
        <w:rPr/>
        <w:t>1o.</w:t>
      </w:r>
      <w:r>
        <w:rPr>
          <w:spacing w:val="-4"/>
        </w:rPr>
        <w:t> </w:t>
      </w:r>
      <w:r>
        <w:rPr/>
        <w:t>de</w:t>
      </w:r>
      <w:r>
        <w:rPr>
          <w:spacing w:val="-2"/>
        </w:rPr>
        <w:t> </w:t>
      </w:r>
      <w:r>
        <w:rPr/>
        <w:t>mayo</w:t>
      </w:r>
      <w:r>
        <w:rPr>
          <w:spacing w:val="-2"/>
        </w:rPr>
        <w:t> </w:t>
      </w:r>
      <w:r>
        <w:rPr/>
        <w:t>de</w:t>
      </w:r>
      <w:r>
        <w:rPr>
          <w:spacing w:val="-2"/>
        </w:rPr>
        <w:t> </w:t>
      </w:r>
      <w:r>
        <w:rPr/>
        <w:t>1970,</w:t>
      </w:r>
      <w:r>
        <w:rPr>
          <w:spacing w:val="-4"/>
        </w:rPr>
        <w:t> </w:t>
      </w:r>
      <w:r>
        <w:rPr/>
        <w:t>con</w:t>
      </w:r>
      <w:r>
        <w:rPr>
          <w:spacing w:val="-4"/>
        </w:rPr>
        <w:t> </w:t>
      </w:r>
      <w:r>
        <w:rPr/>
        <w:t>excepción</w:t>
      </w:r>
      <w:r>
        <w:rPr>
          <w:spacing w:val="-4"/>
        </w:rPr>
        <w:t> </w:t>
      </w:r>
      <w:r>
        <w:rPr/>
        <w:t>de</w:t>
      </w:r>
      <w:r>
        <w:rPr>
          <w:spacing w:val="-2"/>
        </w:rPr>
        <w:t> </w:t>
      </w:r>
      <w:r>
        <w:rPr/>
        <w:t>los</w:t>
      </w:r>
      <w:r>
        <w:rPr>
          <w:spacing w:val="-1"/>
        </w:rPr>
        <w:t> </w:t>
      </w:r>
      <w:r>
        <w:rPr/>
        <w:t>artículos</w:t>
      </w:r>
      <w:r>
        <w:rPr>
          <w:spacing w:val="-3"/>
        </w:rPr>
        <w:t> </w:t>
      </w:r>
      <w:r>
        <w:rPr/>
        <w:t>71 y 87 que entrarán en vigor el día 1o. de julio de 1970, y el artículo 80 que entrará en vigor el día 1o. de septiembre de 1970.</w:t>
      </w:r>
    </w:p>
    <w:p>
      <w:pPr>
        <w:pStyle w:val="BodyText"/>
        <w:spacing w:line="242" w:lineRule="auto" w:before="225"/>
        <w:ind w:left="338" w:right="343" w:firstLine="288"/>
        <w:jc w:val="both"/>
      </w:pPr>
      <w:bookmarkStart w:name="Artículo_2do" w:id="1267"/>
      <w:bookmarkEnd w:id="1267"/>
      <w:r>
        <w:rPr/>
      </w:r>
      <w:r>
        <w:rPr>
          <w:rFonts w:ascii="Arial" w:hAnsi="Arial"/>
          <w:b/>
        </w:rPr>
        <w:t>Artículo 2º.- </w:t>
      </w:r>
      <w:r>
        <w:rPr/>
        <w:t>Se abroga la Ley Federal del Trabajo de 18 de agosto de 1931, con las modalidades a que se refiere el artículo anterior.</w:t>
      </w:r>
    </w:p>
    <w:p>
      <w:pPr>
        <w:pStyle w:val="BodyText"/>
        <w:spacing w:line="242" w:lineRule="auto" w:before="224"/>
        <w:ind w:left="338" w:right="340" w:firstLine="288"/>
        <w:jc w:val="both"/>
      </w:pPr>
      <w:bookmarkStart w:name="Artículo_3ro" w:id="1268"/>
      <w:bookmarkEnd w:id="1268"/>
      <w:r>
        <w:rPr/>
      </w:r>
      <w:r>
        <w:rPr>
          <w:rFonts w:ascii="Arial" w:hAnsi="Arial"/>
          <w:b/>
        </w:rPr>
        <w:t>Artículo</w:t>
      </w:r>
      <w:r>
        <w:rPr>
          <w:rFonts w:ascii="Arial" w:hAnsi="Arial"/>
          <w:b/>
          <w:spacing w:val="-1"/>
        </w:rPr>
        <w:t> </w:t>
      </w:r>
      <w:r>
        <w:rPr>
          <w:rFonts w:ascii="Arial" w:hAnsi="Arial"/>
          <w:b/>
        </w:rPr>
        <w:t>3º.-</w:t>
      </w:r>
      <w:r>
        <w:rPr>
          <w:rFonts w:ascii="Arial" w:hAnsi="Arial"/>
          <w:b/>
          <w:spacing w:val="-1"/>
        </w:rPr>
        <w:t> </w:t>
      </w:r>
      <w:r>
        <w:rPr/>
        <w:t>Los</w:t>
      </w:r>
      <w:r>
        <w:rPr>
          <w:spacing w:val="-1"/>
        </w:rPr>
        <w:t> </w:t>
      </w:r>
      <w:r>
        <w:rPr/>
        <w:t>contratos de</w:t>
      </w:r>
      <w:r>
        <w:rPr>
          <w:spacing w:val="-3"/>
        </w:rPr>
        <w:t> </w:t>
      </w:r>
      <w:r>
        <w:rPr/>
        <w:t>trabajo</w:t>
      </w:r>
      <w:r>
        <w:rPr>
          <w:spacing w:val="-2"/>
        </w:rPr>
        <w:t> </w:t>
      </w:r>
      <w:r>
        <w:rPr/>
        <w:t>individuales</w:t>
      </w:r>
      <w:r>
        <w:rPr>
          <w:spacing w:val="-1"/>
        </w:rPr>
        <w:t> </w:t>
      </w:r>
      <w:r>
        <w:rPr/>
        <w:t>o</w:t>
      </w:r>
      <w:r>
        <w:rPr>
          <w:spacing w:val="-2"/>
        </w:rPr>
        <w:t> </w:t>
      </w:r>
      <w:r>
        <w:rPr/>
        <w:t>colectivos</w:t>
      </w:r>
      <w:r>
        <w:rPr>
          <w:spacing w:val="-1"/>
        </w:rPr>
        <w:t> </w:t>
      </w:r>
      <w:r>
        <w:rPr/>
        <w:t>que</w:t>
      </w:r>
      <w:r>
        <w:rPr>
          <w:spacing w:val="-3"/>
        </w:rPr>
        <w:t> </w:t>
      </w:r>
      <w:r>
        <w:rPr/>
        <w:t>establezcan</w:t>
      </w:r>
      <w:r>
        <w:rPr>
          <w:spacing w:val="-2"/>
        </w:rPr>
        <w:t> </w:t>
      </w:r>
      <w:r>
        <w:rPr/>
        <w:t>derechos,</w:t>
      </w:r>
      <w:r>
        <w:rPr>
          <w:spacing w:val="-2"/>
        </w:rPr>
        <w:t> </w:t>
      </w:r>
      <w:r>
        <w:rPr/>
        <w:t>beneficios</w:t>
      </w:r>
      <w:r>
        <w:rPr>
          <w:spacing w:val="-1"/>
        </w:rPr>
        <w:t> </w:t>
      </w:r>
      <w:r>
        <w:rPr/>
        <w:t>o prerrogativas en favor de los trabajadores, inferiores a los que les concede esta Ley, no producirán en lo sucesivo efecto legal, entendiéndose substituidas las cláusulas respectivas por las que establece esta </w:t>
      </w:r>
      <w:r>
        <w:rPr>
          <w:spacing w:val="-4"/>
        </w:rPr>
        <w:t>Ley.</w:t>
      </w:r>
    </w:p>
    <w:p>
      <w:pPr>
        <w:pStyle w:val="BodyText"/>
        <w:spacing w:before="223"/>
        <w:ind w:left="338" w:right="343" w:firstLine="288"/>
        <w:jc w:val="both"/>
      </w:pPr>
      <w:r>
        <w:rPr/>
        <w:t>Los contratos de trabajo individuales o colectivos o los convenios que establezcan derechos, beneficios o prerrogativas en favor de los trabajadores, superiores a los que esta Ley les concede, continuarán surtiendo efectos.</w:t>
      </w:r>
    </w:p>
    <w:p>
      <w:pPr>
        <w:pStyle w:val="BodyText"/>
      </w:pPr>
    </w:p>
    <w:p>
      <w:pPr>
        <w:pStyle w:val="BodyText"/>
        <w:ind w:left="338" w:right="333" w:firstLine="288"/>
        <w:jc w:val="both"/>
      </w:pPr>
      <w:bookmarkStart w:name="Artículo_4to" w:id="1269"/>
      <w:bookmarkEnd w:id="1269"/>
      <w:r>
        <w:rPr/>
      </w:r>
      <w:r>
        <w:rPr>
          <w:rFonts w:ascii="Arial" w:hAnsi="Arial"/>
          <w:b/>
        </w:rPr>
        <w:t>Artículo 4º.- </w:t>
      </w:r>
      <w:r>
        <w:rPr/>
        <w:t>En la aplicación del artículo 159, en relación con el 132, fracción XV, los contratos colectivos que contengan sistemas de capacitación profesional que ya estén funcionando en la fecha de publicación de la presente Ley, y en los que establezcan requisitos de examen o la comprobación</w:t>
      </w:r>
      <w:r>
        <w:rPr>
          <w:spacing w:val="40"/>
        </w:rPr>
        <w:t> </w:t>
      </w:r>
      <w:r>
        <w:rPr/>
        <w:t>práctica de la aptitud y de la posesión de los conocimientos adecuados a fin de que los trabajadores puedan ascender en los casos de vacantes o puestos de nueva creación de conformidad con la antigüedad que les corresponda, podrán continuar aplicándose.</w:t>
      </w:r>
    </w:p>
    <w:p>
      <w:pPr>
        <w:pStyle w:val="BodyText"/>
        <w:spacing w:after="0"/>
        <w:jc w:val="both"/>
        <w:sectPr>
          <w:pgSz w:w="12240" w:h="15840"/>
          <w:pgMar w:header="724" w:footer="712" w:top="1880" w:bottom="900" w:left="1080" w:right="1080"/>
        </w:sectPr>
      </w:pPr>
    </w:p>
    <w:p>
      <w:pPr>
        <w:pStyle w:val="BodyText"/>
        <w:spacing w:before="63"/>
      </w:pPr>
    </w:p>
    <w:p>
      <w:pPr>
        <w:pStyle w:val="BodyText"/>
        <w:spacing w:line="242" w:lineRule="auto"/>
        <w:ind w:left="338" w:right="335" w:firstLine="288"/>
        <w:jc w:val="both"/>
      </w:pPr>
      <w:bookmarkStart w:name="Artículo_5to" w:id="1270"/>
      <w:bookmarkEnd w:id="1270"/>
      <w:r>
        <w:rPr/>
      </w:r>
      <w:r>
        <w:rPr>
          <w:rFonts w:ascii="Arial" w:hAnsi="Arial"/>
          <w:b/>
        </w:rPr>
        <w:t>Artículo 5º.- </w:t>
      </w:r>
      <w:r>
        <w:rPr/>
        <w:t>Para el pago de</w:t>
      </w:r>
      <w:r>
        <w:rPr>
          <w:spacing w:val="-2"/>
        </w:rPr>
        <w:t> </w:t>
      </w:r>
      <w:r>
        <w:rPr/>
        <w:t>la</w:t>
      </w:r>
      <w:r>
        <w:rPr>
          <w:spacing w:val="-1"/>
        </w:rPr>
        <w:t> </w:t>
      </w:r>
      <w:r>
        <w:rPr/>
        <w:t>prima</w:t>
      </w:r>
      <w:r>
        <w:rPr>
          <w:spacing w:val="-1"/>
        </w:rPr>
        <w:t> </w:t>
      </w:r>
      <w:r>
        <w:rPr/>
        <w:t>de</w:t>
      </w:r>
      <w:r>
        <w:rPr>
          <w:spacing w:val="-2"/>
        </w:rPr>
        <w:t> </w:t>
      </w:r>
      <w:r>
        <w:rPr/>
        <w:t>antigüedad a</w:t>
      </w:r>
      <w:r>
        <w:rPr>
          <w:spacing w:val="-1"/>
        </w:rPr>
        <w:t> </w:t>
      </w:r>
      <w:r>
        <w:rPr/>
        <w:t>que</w:t>
      </w:r>
      <w:r>
        <w:rPr>
          <w:spacing w:val="-1"/>
        </w:rPr>
        <w:t> </w:t>
      </w:r>
      <w:r>
        <w:rPr/>
        <w:t>se</w:t>
      </w:r>
      <w:r>
        <w:rPr>
          <w:spacing w:val="-1"/>
        </w:rPr>
        <w:t> </w:t>
      </w:r>
      <w:r>
        <w:rPr/>
        <w:t>refiere</w:t>
      </w:r>
      <w:r>
        <w:rPr>
          <w:spacing w:val="-1"/>
        </w:rPr>
        <w:t> </w:t>
      </w:r>
      <w:r>
        <w:rPr/>
        <w:t>el artículo 162</w:t>
      </w:r>
      <w:r>
        <w:rPr>
          <w:spacing w:val="-1"/>
        </w:rPr>
        <w:t> </w:t>
      </w:r>
      <w:r>
        <w:rPr/>
        <w:t>a los trabajadores que ya estén prestando sus servicios a una empresa en la fecha en que entre en vigor esta Ley, se observarán las normas siguientes:</w:t>
      </w:r>
    </w:p>
    <w:p>
      <w:pPr>
        <w:pStyle w:val="ListParagraph"/>
        <w:numPr>
          <w:ilvl w:val="0"/>
          <w:numId w:val="363"/>
        </w:numPr>
        <w:tabs>
          <w:tab w:pos="1193" w:val="left" w:leader="none"/>
          <w:tab w:pos="1195" w:val="left" w:leader="none"/>
        </w:tabs>
        <w:spacing w:line="240" w:lineRule="auto" w:before="225" w:after="0"/>
        <w:ind w:left="1195" w:right="339" w:hanging="569"/>
        <w:jc w:val="both"/>
        <w:rPr>
          <w:sz w:val="20"/>
        </w:rPr>
      </w:pPr>
      <w:r>
        <w:rPr>
          <w:sz w:val="20"/>
        </w:rPr>
        <w:t>Los trabajadores que tengan una antigüedad menor de diez años, que se separen voluntariamente de su empleo dentro del año siguiente a la fecha en que entre en vigor esta Ley, tendrán derecho a que se les paguen doce días de salario;</w:t>
      </w:r>
    </w:p>
    <w:p>
      <w:pPr>
        <w:pStyle w:val="ListParagraph"/>
        <w:numPr>
          <w:ilvl w:val="0"/>
          <w:numId w:val="363"/>
        </w:numPr>
        <w:tabs>
          <w:tab w:pos="1192" w:val="left" w:leader="none"/>
          <w:tab w:pos="1195" w:val="left" w:leader="none"/>
        </w:tabs>
        <w:spacing w:line="242" w:lineRule="auto" w:before="229" w:after="0"/>
        <w:ind w:left="1195" w:right="340" w:hanging="569"/>
        <w:jc w:val="both"/>
        <w:rPr>
          <w:sz w:val="20"/>
        </w:rPr>
      </w:pPr>
      <w:r>
        <w:rPr>
          <w:sz w:val="20"/>
        </w:rPr>
        <w:t>Los que tengan una antigüedad mayor de diez y menor de veinte años, que se separen voluntariamente de su empleo dentro de los dos años siguientes a la fecha a que se refiere la fracción anterior, tendrán derecho a que se les paguen veinticuatro días de salario;</w:t>
      </w:r>
    </w:p>
    <w:p>
      <w:pPr>
        <w:pStyle w:val="ListParagraph"/>
        <w:numPr>
          <w:ilvl w:val="0"/>
          <w:numId w:val="363"/>
        </w:numPr>
        <w:tabs>
          <w:tab w:pos="1191" w:val="left" w:leader="none"/>
          <w:tab w:pos="1195" w:val="left" w:leader="none"/>
        </w:tabs>
        <w:spacing w:line="242" w:lineRule="auto" w:before="223" w:after="0"/>
        <w:ind w:left="1195" w:right="343" w:hanging="569"/>
        <w:jc w:val="both"/>
        <w:rPr>
          <w:sz w:val="20"/>
        </w:rPr>
      </w:pPr>
      <w:r>
        <w:rPr>
          <w:sz w:val="20"/>
        </w:rPr>
        <w:t>Los que tengan una antigüedad mayor de veinte años que se separen voluntariamente de su empleo dentro de los tres años siguientes a la fecha a que se refieren las fracciones anteriores, tendrán derecho a que se les paguen treinta y seis días de salario;</w:t>
      </w:r>
    </w:p>
    <w:p>
      <w:pPr>
        <w:pStyle w:val="ListParagraph"/>
        <w:numPr>
          <w:ilvl w:val="0"/>
          <w:numId w:val="363"/>
        </w:numPr>
        <w:tabs>
          <w:tab w:pos="1195" w:val="left" w:leader="none"/>
        </w:tabs>
        <w:spacing w:line="240" w:lineRule="auto" w:before="225" w:after="0"/>
        <w:ind w:left="1195" w:right="348" w:hanging="569"/>
        <w:jc w:val="both"/>
        <w:rPr>
          <w:sz w:val="20"/>
        </w:rPr>
      </w:pPr>
      <w:r>
        <w:rPr>
          <w:sz w:val="20"/>
        </w:rPr>
        <w:t>Transcurridos los términos a que se refieren las fracciones anteriores se estará a lo dispuesto en el artículo 162; y</w:t>
      </w:r>
    </w:p>
    <w:p>
      <w:pPr>
        <w:pStyle w:val="ListParagraph"/>
        <w:numPr>
          <w:ilvl w:val="0"/>
          <w:numId w:val="363"/>
        </w:numPr>
        <w:tabs>
          <w:tab w:pos="1195" w:val="left" w:leader="none"/>
        </w:tabs>
        <w:spacing w:line="240" w:lineRule="auto" w:before="228" w:after="0"/>
        <w:ind w:left="1195" w:right="338" w:hanging="569"/>
        <w:jc w:val="both"/>
        <w:rPr>
          <w:sz w:val="20"/>
        </w:rPr>
      </w:pPr>
      <w:r>
        <w:rPr>
          <w:sz w:val="20"/>
        </w:rPr>
        <w:t>Los trabajadores que sean separados de su empleo o que se separen con causa justificada dentro</w:t>
      </w:r>
      <w:r>
        <w:rPr>
          <w:spacing w:val="-1"/>
          <w:sz w:val="20"/>
        </w:rPr>
        <w:t> </w:t>
      </w:r>
      <w:r>
        <w:rPr>
          <w:sz w:val="20"/>
        </w:rPr>
        <w:t>del año</w:t>
      </w:r>
      <w:r>
        <w:rPr>
          <w:spacing w:val="-1"/>
          <w:sz w:val="20"/>
        </w:rPr>
        <w:t> </w:t>
      </w:r>
      <w:r>
        <w:rPr>
          <w:sz w:val="20"/>
        </w:rPr>
        <w:t>siguiente</w:t>
      </w:r>
      <w:r>
        <w:rPr>
          <w:spacing w:val="-1"/>
          <w:sz w:val="20"/>
        </w:rPr>
        <w:t> </w:t>
      </w:r>
      <w:r>
        <w:rPr>
          <w:sz w:val="20"/>
        </w:rPr>
        <w:t>a</w:t>
      </w:r>
      <w:r>
        <w:rPr>
          <w:spacing w:val="-1"/>
          <w:sz w:val="20"/>
        </w:rPr>
        <w:t> </w:t>
      </w:r>
      <w:r>
        <w:rPr>
          <w:sz w:val="20"/>
        </w:rPr>
        <w:t>la</w:t>
      </w:r>
      <w:r>
        <w:rPr>
          <w:spacing w:val="-1"/>
          <w:sz w:val="20"/>
        </w:rPr>
        <w:t> </w:t>
      </w:r>
      <w:r>
        <w:rPr>
          <w:sz w:val="20"/>
        </w:rPr>
        <w:t>fecha</w:t>
      </w:r>
      <w:r>
        <w:rPr>
          <w:spacing w:val="-2"/>
          <w:sz w:val="20"/>
        </w:rPr>
        <w:t> </w:t>
      </w:r>
      <w:r>
        <w:rPr>
          <w:sz w:val="20"/>
        </w:rPr>
        <w:t>en</w:t>
      </w:r>
      <w:r>
        <w:rPr>
          <w:spacing w:val="-2"/>
          <w:sz w:val="20"/>
        </w:rPr>
        <w:t> </w:t>
      </w:r>
      <w:r>
        <w:rPr>
          <w:sz w:val="20"/>
        </w:rPr>
        <w:t>que entre</w:t>
      </w:r>
      <w:r>
        <w:rPr>
          <w:spacing w:val="-1"/>
          <w:sz w:val="20"/>
        </w:rPr>
        <w:t> </w:t>
      </w:r>
      <w:r>
        <w:rPr>
          <w:sz w:val="20"/>
        </w:rPr>
        <w:t>en</w:t>
      </w:r>
      <w:r>
        <w:rPr>
          <w:spacing w:val="-1"/>
          <w:sz w:val="20"/>
        </w:rPr>
        <w:t> </w:t>
      </w:r>
      <w:r>
        <w:rPr>
          <w:sz w:val="20"/>
        </w:rPr>
        <w:t>vigor esta</w:t>
      </w:r>
      <w:r>
        <w:rPr>
          <w:spacing w:val="-1"/>
          <w:sz w:val="20"/>
        </w:rPr>
        <w:t> </w:t>
      </w:r>
      <w:r>
        <w:rPr>
          <w:sz w:val="20"/>
        </w:rPr>
        <w:t>Ley,</w:t>
      </w:r>
      <w:r>
        <w:rPr>
          <w:spacing w:val="-1"/>
          <w:sz w:val="20"/>
        </w:rPr>
        <w:t> </w:t>
      </w:r>
      <w:r>
        <w:rPr>
          <w:sz w:val="20"/>
        </w:rPr>
        <w:t>tendrán</w:t>
      </w:r>
      <w:r>
        <w:rPr>
          <w:spacing w:val="-1"/>
          <w:sz w:val="20"/>
        </w:rPr>
        <w:t> </w:t>
      </w:r>
      <w:r>
        <w:rPr>
          <w:sz w:val="20"/>
        </w:rPr>
        <w:t>derecho</w:t>
      </w:r>
      <w:r>
        <w:rPr>
          <w:spacing w:val="-1"/>
          <w:sz w:val="20"/>
        </w:rPr>
        <w:t> </w:t>
      </w:r>
      <w:r>
        <w:rPr>
          <w:sz w:val="20"/>
        </w:rPr>
        <w:t>a</w:t>
      </w:r>
      <w:r>
        <w:rPr>
          <w:spacing w:val="-1"/>
          <w:sz w:val="20"/>
        </w:rPr>
        <w:t> </w:t>
      </w:r>
      <w:r>
        <w:rPr>
          <w:sz w:val="20"/>
        </w:rPr>
        <w:t>que</w:t>
      </w:r>
      <w:r>
        <w:rPr>
          <w:spacing w:val="-1"/>
          <w:sz w:val="20"/>
        </w:rPr>
        <w:t> </w:t>
      </w:r>
      <w:r>
        <w:rPr>
          <w:sz w:val="20"/>
        </w:rPr>
        <w:t>se les paguen doce días de salario. Transcurrido el</w:t>
      </w:r>
      <w:r>
        <w:rPr>
          <w:spacing w:val="-1"/>
          <w:sz w:val="20"/>
        </w:rPr>
        <w:t> </w:t>
      </w:r>
      <w:r>
        <w:rPr>
          <w:sz w:val="20"/>
        </w:rPr>
        <w:t>año, cualquiera que sea la fecha de la separación, tendrán derecho a la prima que les corresponda por los años que hubiesen transcurrido a partir de la fecha en que entre en vigor esta Ley.</w:t>
      </w:r>
    </w:p>
    <w:p>
      <w:pPr>
        <w:pStyle w:val="BodyText"/>
      </w:pPr>
    </w:p>
    <w:p>
      <w:pPr>
        <w:pStyle w:val="BodyText"/>
        <w:spacing w:line="242" w:lineRule="auto" w:before="1"/>
        <w:ind w:left="338" w:right="338" w:firstLine="288"/>
        <w:jc w:val="both"/>
      </w:pPr>
      <w:bookmarkStart w:name="Artículo_6to" w:id="1271"/>
      <w:bookmarkEnd w:id="1271"/>
      <w:r>
        <w:rPr/>
      </w:r>
      <w:r>
        <w:rPr>
          <w:rFonts w:ascii="Arial" w:hAnsi="Arial"/>
          <w:b/>
        </w:rPr>
        <w:t>Artículo 6º.- </w:t>
      </w:r>
      <w:r>
        <w:rPr/>
        <w:t>Las guarderías infantiles instaladas en las empresas o establecimientos continuarán funcionando hasta que el Instituto Mexicano del Seguro Social se haga cargo de ellas.</w:t>
      </w:r>
    </w:p>
    <w:p>
      <w:pPr>
        <w:pStyle w:val="BodyText"/>
        <w:spacing w:before="227"/>
        <w:ind w:left="338" w:right="337" w:firstLine="288"/>
        <w:jc w:val="both"/>
      </w:pPr>
      <w:bookmarkStart w:name="Artículo_7mo" w:id="1272"/>
      <w:bookmarkEnd w:id="1272"/>
      <w:r>
        <w:rPr/>
      </w:r>
      <w:r>
        <w:rPr>
          <w:rFonts w:ascii="Arial" w:hAnsi="Arial"/>
          <w:b/>
        </w:rPr>
        <w:t>Artículo 7º.- </w:t>
      </w:r>
      <w:r>
        <w:rPr/>
        <w:t>No podrá procederse a la revisión de la Resolución de 13 de diciembre de 1963 dictada por la Comisión Nacional para la Participación de los Trabajadores en las Utilidades de las Empresas, sino hasta que se cumplan diez años contados a partir de la fecha citada.</w:t>
      </w:r>
    </w:p>
    <w:p>
      <w:pPr>
        <w:pStyle w:val="BodyText"/>
        <w:spacing w:line="242" w:lineRule="auto" w:before="229"/>
        <w:ind w:left="338" w:right="342" w:firstLine="288"/>
        <w:jc w:val="both"/>
      </w:pPr>
      <w:bookmarkStart w:name="Artículo_8vo" w:id="1273"/>
      <w:bookmarkEnd w:id="1273"/>
      <w:r>
        <w:rPr/>
      </w:r>
      <w:r>
        <w:rPr>
          <w:rFonts w:ascii="Arial" w:hAnsi="Arial"/>
          <w:b/>
        </w:rPr>
        <w:t>Artículo 8º.- </w:t>
      </w:r>
      <w:r>
        <w:rPr/>
        <w:t>Cuando se trate de empresas inscritas en el Instituto Mexicano del Seguro Social, las obligaciones consignadas en el artículo 504 quedarán a cargo de las empresas, en la medida en que no esté obligado el Instituto a prestarlas de conformidad con su Ley.</w:t>
      </w:r>
    </w:p>
    <w:p>
      <w:pPr>
        <w:pStyle w:val="BodyText"/>
        <w:spacing w:line="242" w:lineRule="auto" w:before="222"/>
        <w:ind w:left="338" w:right="340" w:firstLine="288"/>
        <w:jc w:val="both"/>
      </w:pPr>
      <w:bookmarkStart w:name="Artículo_9no" w:id="1274"/>
      <w:bookmarkEnd w:id="1274"/>
      <w:r>
        <w:rPr/>
      </w:r>
      <w:r>
        <w:rPr>
          <w:rFonts w:ascii="Arial" w:hAnsi="Arial"/>
          <w:b/>
        </w:rPr>
        <w:t>Artículo 9º.- </w:t>
      </w:r>
      <w:r>
        <w:rPr/>
        <w:t>La Secretaría del Trabajo y Previsión Social, los Gobernadores de los Estados y Territorios y el Jefe del Departamento del Distrito Federal, reorganizarán las Juntas de Conciliación Permanentes y las de Conciliación y Arbitraje, de conformidad con las disposiciones de esta Ley, dentro de un término de tres meses, contado a partir de la fecha de su vigencia.</w:t>
      </w:r>
    </w:p>
    <w:p>
      <w:pPr>
        <w:pStyle w:val="BodyText"/>
        <w:spacing w:line="242" w:lineRule="auto" w:before="221"/>
        <w:ind w:left="338" w:right="345" w:firstLine="288"/>
        <w:jc w:val="both"/>
      </w:pPr>
      <w:bookmarkStart w:name="Artículo_10o" w:id="1275"/>
      <w:bookmarkEnd w:id="1275"/>
      <w:r>
        <w:rPr/>
      </w:r>
      <w:r>
        <w:rPr>
          <w:rFonts w:ascii="Arial" w:hAnsi="Arial"/>
          <w:b/>
        </w:rPr>
        <w:t>Artículo 10.- </w:t>
      </w:r>
      <w:r>
        <w:rPr/>
        <w:t>Las mismas autoridades a que se refiere el artículo anterior reorganizarán las restantes autoridades del trabajo, de conformidad con las disposiciones de esta Ley, dentro del mismo término de tres meses.</w:t>
      </w:r>
    </w:p>
    <w:p>
      <w:pPr>
        <w:pStyle w:val="BodyText"/>
        <w:spacing w:before="225"/>
        <w:ind w:left="338" w:right="338" w:firstLine="288"/>
        <w:jc w:val="both"/>
      </w:pPr>
      <w:bookmarkStart w:name="Artículo_11o" w:id="1276"/>
      <w:bookmarkEnd w:id="1276"/>
      <w:r>
        <w:rPr/>
      </w:r>
      <w:r>
        <w:rPr>
          <w:rFonts w:ascii="Arial" w:hAnsi="Arial"/>
          <w:b/>
        </w:rPr>
        <w:t>Artículo 11.- </w:t>
      </w:r>
      <w:r>
        <w:rPr/>
        <w:t>No se exigirán los requisitos señalados en los artículos 626, fracción II; 627, fracción II; 628, fracciones II y III, y 629 del Título Doce, al personal jurídico que señala el artículo 625, que tenga la categoría de base y que al momento de entrar en vigor esta Ley preste sus servicios en las Juntas de Conciliación y de Conciliación y Arbitraje.</w:t>
      </w:r>
    </w:p>
    <w:p>
      <w:pPr>
        <w:pStyle w:val="BodyText"/>
      </w:pPr>
    </w:p>
    <w:p>
      <w:pPr>
        <w:pStyle w:val="BodyText"/>
        <w:ind w:left="338" w:right="339" w:firstLine="288"/>
        <w:jc w:val="both"/>
      </w:pPr>
      <w:bookmarkStart w:name="Artículo_12o" w:id="1277"/>
      <w:bookmarkEnd w:id="1277"/>
      <w:r>
        <w:rPr/>
      </w:r>
      <w:r>
        <w:rPr>
          <w:rFonts w:ascii="Arial" w:hAnsi="Arial"/>
          <w:b/>
        </w:rPr>
        <w:t>Artículo 12.- </w:t>
      </w:r>
      <w:r>
        <w:rPr/>
        <w:t>Los juicios pendientes ante las _Juntas de Conciliación y Arbitraje continuarán tramitándose de conformidad con las disposiciones de la Ley Federal del Trabajo del 18 de agosto de 1931,</w:t>
      </w:r>
      <w:r>
        <w:rPr>
          <w:spacing w:val="22"/>
        </w:rPr>
        <w:t> </w:t>
      </w:r>
      <w:r>
        <w:rPr/>
        <w:t>entre</w:t>
      </w:r>
      <w:r>
        <w:rPr>
          <w:spacing w:val="22"/>
        </w:rPr>
        <w:t> </w:t>
      </w:r>
      <w:r>
        <w:rPr/>
        <w:t>tanto</w:t>
      </w:r>
      <w:r>
        <w:rPr>
          <w:spacing w:val="22"/>
        </w:rPr>
        <w:t> </w:t>
      </w:r>
      <w:r>
        <w:rPr/>
        <w:t>se</w:t>
      </w:r>
      <w:r>
        <w:rPr>
          <w:spacing w:val="22"/>
        </w:rPr>
        <w:t> </w:t>
      </w:r>
      <w:r>
        <w:rPr/>
        <w:t>efectúa</w:t>
      </w:r>
      <w:r>
        <w:rPr>
          <w:spacing w:val="22"/>
        </w:rPr>
        <w:t> </w:t>
      </w:r>
      <w:r>
        <w:rPr/>
        <w:t>la</w:t>
      </w:r>
      <w:r>
        <w:rPr>
          <w:spacing w:val="22"/>
        </w:rPr>
        <w:t> </w:t>
      </w:r>
      <w:r>
        <w:rPr/>
        <w:t>reorganización</w:t>
      </w:r>
      <w:r>
        <w:rPr>
          <w:spacing w:val="22"/>
        </w:rPr>
        <w:t> </w:t>
      </w:r>
      <w:r>
        <w:rPr/>
        <w:t>a</w:t>
      </w:r>
      <w:r>
        <w:rPr>
          <w:spacing w:val="22"/>
        </w:rPr>
        <w:t> </w:t>
      </w:r>
      <w:r>
        <w:rPr/>
        <w:t>que</w:t>
      </w:r>
      <w:r>
        <w:rPr>
          <w:spacing w:val="22"/>
        </w:rPr>
        <w:t> </w:t>
      </w:r>
      <w:r>
        <w:rPr/>
        <w:t>se</w:t>
      </w:r>
      <w:r>
        <w:rPr>
          <w:spacing w:val="22"/>
        </w:rPr>
        <w:t> </w:t>
      </w:r>
      <w:r>
        <w:rPr/>
        <w:t>refiere</w:t>
      </w:r>
      <w:r>
        <w:rPr>
          <w:spacing w:val="22"/>
        </w:rPr>
        <w:t> </w:t>
      </w:r>
      <w:r>
        <w:rPr/>
        <w:t>el</w:t>
      </w:r>
      <w:r>
        <w:rPr>
          <w:spacing w:val="22"/>
        </w:rPr>
        <w:t> </w:t>
      </w:r>
      <w:r>
        <w:rPr/>
        <w:t>artículo</w:t>
      </w:r>
      <w:r>
        <w:rPr>
          <w:spacing w:val="22"/>
        </w:rPr>
        <w:t> </w:t>
      </w:r>
      <w:r>
        <w:rPr/>
        <w:t>9o.</w:t>
      </w:r>
      <w:r>
        <w:rPr>
          <w:spacing w:val="24"/>
        </w:rPr>
        <w:t> </w:t>
      </w:r>
      <w:r>
        <w:rPr/>
        <w:t>Transitorio.</w:t>
      </w:r>
      <w:r>
        <w:rPr>
          <w:spacing w:val="22"/>
        </w:rPr>
        <w:t> </w:t>
      </w:r>
      <w:r>
        <w:rPr/>
        <w:t>Efectuada</w:t>
      </w:r>
      <w:r>
        <w:rPr>
          <w:spacing w:val="22"/>
        </w:rPr>
        <w:t> </w:t>
      </w:r>
      <w:r>
        <w:rPr/>
        <w:t>la</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45"/>
        <w:jc w:val="both"/>
      </w:pPr>
      <w:r>
        <w:rPr/>
        <w:t>reorganización, los juicios se tramitarán de conformidad con las disposiciones de esta Ley; la Junta hará saber a las partes el momento en que la tramitación quedará sometida a los procedimientos establecidos en esta Ley.</w:t>
      </w:r>
    </w:p>
    <w:p>
      <w:pPr>
        <w:pStyle w:val="BodyText"/>
        <w:spacing w:before="2"/>
      </w:pPr>
    </w:p>
    <w:p>
      <w:pPr>
        <w:pStyle w:val="BodyText"/>
        <w:ind w:left="338" w:right="338" w:firstLine="288"/>
        <w:jc w:val="both"/>
      </w:pPr>
      <w:r>
        <w:rPr/>
        <w:t>En los juicios pendientes ante las Juntas de Conciliación, se recibirán las pruebas que hubiesen ofrecido las partes y se remitirá el expediente a la Junta de Conciliación Permanente o a la de Conciliación y Arbitraje que corresponda.</w:t>
      </w:r>
    </w:p>
    <w:p>
      <w:pPr>
        <w:pStyle w:val="BodyText"/>
        <w:spacing w:before="229"/>
        <w:ind w:left="338" w:right="344" w:firstLine="288"/>
        <w:jc w:val="both"/>
      </w:pPr>
      <w:r>
        <w:rPr/>
        <w:t>Las Juntas de Conciliación y Arbitraje continuarán conociendo de los negocios a que se refiere el artículo 600, fracción IV, de que ya conozcan.</w:t>
      </w:r>
    </w:p>
    <w:p>
      <w:pPr>
        <w:pStyle w:val="BodyText"/>
        <w:spacing w:before="229"/>
        <w:ind w:left="338" w:right="340" w:firstLine="288"/>
        <w:jc w:val="both"/>
      </w:pPr>
      <w:bookmarkStart w:name="Artículo_13o" w:id="1278"/>
      <w:bookmarkEnd w:id="1278"/>
      <w:r>
        <w:rPr/>
      </w:r>
      <w:r>
        <w:rPr>
          <w:rFonts w:ascii="Arial" w:hAnsi="Arial"/>
          <w:b/>
        </w:rPr>
        <w:t>Artículo 13.- </w:t>
      </w:r>
      <w:r>
        <w:rPr/>
        <w:t>Se faculta a las Comisiones Regionales y a la Comisión Nacional de los Salarios Mínimos para que establezcan el incremento de los salarios mínimos generales, del campo y profesionales vigentes.</w:t>
      </w:r>
    </w:p>
    <w:p>
      <w:pPr>
        <w:pStyle w:val="BodyText"/>
        <w:spacing w:before="2"/>
      </w:pPr>
    </w:p>
    <w:p>
      <w:pPr>
        <w:pStyle w:val="BodyText"/>
        <w:ind w:left="338" w:right="336" w:firstLine="288"/>
        <w:jc w:val="both"/>
      </w:pPr>
      <w:r>
        <w:rPr/>
        <w:t>Para efectuar la nivelación de los</w:t>
      </w:r>
      <w:r>
        <w:rPr>
          <w:spacing w:val="-1"/>
        </w:rPr>
        <w:t> </w:t>
      </w:r>
      <w:r>
        <w:rPr/>
        <w:t>salarios</w:t>
      </w:r>
      <w:r>
        <w:rPr>
          <w:spacing w:val="-1"/>
        </w:rPr>
        <w:t> </w:t>
      </w:r>
      <w:r>
        <w:rPr/>
        <w:t>mínimos</w:t>
      </w:r>
      <w:r>
        <w:rPr>
          <w:spacing w:val="-1"/>
        </w:rPr>
        <w:t> </w:t>
      </w:r>
      <w:r>
        <w:rPr/>
        <w:t>a</w:t>
      </w:r>
      <w:r>
        <w:rPr>
          <w:spacing w:val="-2"/>
        </w:rPr>
        <w:t> </w:t>
      </w:r>
      <w:r>
        <w:rPr/>
        <w:t>que</w:t>
      </w:r>
      <w:r>
        <w:rPr>
          <w:spacing w:val="-2"/>
        </w:rPr>
        <w:t> </w:t>
      </w:r>
      <w:r>
        <w:rPr/>
        <w:t>se refiere el</w:t>
      </w:r>
      <w:r>
        <w:rPr>
          <w:spacing w:val="-1"/>
        </w:rPr>
        <w:t> </w:t>
      </w:r>
      <w:r>
        <w:rPr/>
        <w:t>párrafo</w:t>
      </w:r>
      <w:r>
        <w:rPr>
          <w:spacing w:val="-2"/>
        </w:rPr>
        <w:t> </w:t>
      </w:r>
      <w:r>
        <w:rPr/>
        <w:t>anterior,</w:t>
      </w:r>
      <w:r>
        <w:rPr>
          <w:spacing w:val="-2"/>
        </w:rPr>
        <w:t> </w:t>
      </w:r>
      <w:r>
        <w:rPr/>
        <w:t>se observará el siguiente procedimiento:</w:t>
      </w:r>
    </w:p>
    <w:p>
      <w:pPr>
        <w:pStyle w:val="ListParagraph"/>
        <w:numPr>
          <w:ilvl w:val="0"/>
          <w:numId w:val="364"/>
        </w:numPr>
        <w:tabs>
          <w:tab w:pos="1193" w:val="left" w:leader="none"/>
          <w:tab w:pos="1195" w:val="left" w:leader="none"/>
        </w:tabs>
        <w:spacing w:line="242" w:lineRule="auto" w:before="227" w:after="0"/>
        <w:ind w:left="1195" w:right="345" w:hanging="569"/>
        <w:jc w:val="both"/>
        <w:rPr>
          <w:sz w:val="20"/>
        </w:rPr>
      </w:pPr>
      <w:r>
        <w:rPr>
          <w:sz w:val="20"/>
        </w:rPr>
        <w:t>Dentro de los tres días siguientes a la entrada en vigor de este decreto, las comisiones regionales de los Salarios Mínimos dictarán resolución estableciendo el incremento de los salarios mínimos.</w:t>
      </w:r>
    </w:p>
    <w:p>
      <w:pPr>
        <w:pStyle w:val="ListParagraph"/>
        <w:numPr>
          <w:ilvl w:val="0"/>
          <w:numId w:val="364"/>
        </w:numPr>
        <w:tabs>
          <w:tab w:pos="1192" w:val="left" w:leader="none"/>
          <w:tab w:pos="1195" w:val="left" w:leader="none"/>
        </w:tabs>
        <w:spacing w:line="240" w:lineRule="auto" w:before="225" w:after="0"/>
        <w:ind w:left="1195" w:right="343" w:hanging="569"/>
        <w:jc w:val="both"/>
        <w:rPr>
          <w:sz w:val="20"/>
        </w:rPr>
      </w:pPr>
      <w:r>
        <w:rPr>
          <w:sz w:val="20"/>
        </w:rPr>
        <w:t>Los presidentes de las comisiones regionales bajo su responsabilidad, comunicarán a la Comisión Nacional de los Salarios Mínimos las correspondientes resoluciones dentro de las 24 horas siguientes a la fecha de haberse dictado.</w:t>
      </w:r>
    </w:p>
    <w:p>
      <w:pPr>
        <w:pStyle w:val="ListParagraph"/>
        <w:numPr>
          <w:ilvl w:val="0"/>
          <w:numId w:val="364"/>
        </w:numPr>
        <w:tabs>
          <w:tab w:pos="1191" w:val="left" w:leader="none"/>
          <w:tab w:pos="1195" w:val="left" w:leader="none"/>
        </w:tabs>
        <w:spacing w:line="240" w:lineRule="auto" w:before="229" w:after="0"/>
        <w:ind w:left="1195" w:right="338" w:hanging="569"/>
        <w:jc w:val="both"/>
        <w:rPr>
          <w:sz w:val="20"/>
        </w:rPr>
      </w:pPr>
      <w:r>
        <w:rPr>
          <w:sz w:val="20"/>
        </w:rPr>
        <w:t>El Presidente de la Comisión Nacional de los Salarios Mínimos convocará al Consejo de Representantes y someterá al mismo el dictamen pertinente para que dentro de los tres días siguientes a la recepción de las comunicaciones a las que se refiere la fracción anterior, dicten resolución confirmando o modificando las que hubieren dictado las comisiones regionales, debiendo fijar el incremento que deba aplicarse a los salarios mínimos vigentes, para que en forma obligatoria se modifiquen tomando en cuenta lo dispuesto en la resolución expedida por</w:t>
      </w:r>
      <w:r>
        <w:rPr>
          <w:spacing w:val="40"/>
          <w:sz w:val="20"/>
        </w:rPr>
        <w:t> </w:t>
      </w:r>
      <w:r>
        <w:rPr>
          <w:sz w:val="20"/>
        </w:rPr>
        <w:t>la Secretaría del Trabajo y Previsión Social de fecha 19 de marzo de 1982.</w:t>
      </w:r>
    </w:p>
    <w:p>
      <w:pPr>
        <w:pStyle w:val="BodyText"/>
        <w:spacing w:before="1"/>
      </w:pPr>
    </w:p>
    <w:p>
      <w:pPr>
        <w:pStyle w:val="ListParagraph"/>
        <w:numPr>
          <w:ilvl w:val="0"/>
          <w:numId w:val="364"/>
        </w:numPr>
        <w:tabs>
          <w:tab w:pos="1195" w:val="left" w:leader="none"/>
        </w:tabs>
        <w:spacing w:line="240" w:lineRule="auto" w:before="0" w:after="0"/>
        <w:ind w:left="1195" w:right="335" w:hanging="569"/>
        <w:jc w:val="both"/>
        <w:rPr>
          <w:sz w:val="20"/>
        </w:rPr>
      </w:pPr>
      <w:r>
        <w:rPr>
          <w:sz w:val="20"/>
        </w:rPr>
        <w:t>El Presidente de la Comisión Nacional de los Salarios Mínimos enviará al Diario Oficial de la Federación, para</w:t>
      </w:r>
      <w:r>
        <w:rPr>
          <w:spacing w:val="-2"/>
          <w:sz w:val="20"/>
        </w:rPr>
        <w:t> </w:t>
      </w:r>
      <w:r>
        <w:rPr>
          <w:sz w:val="20"/>
        </w:rPr>
        <w:t>su publicación, la resolución del</w:t>
      </w:r>
      <w:r>
        <w:rPr>
          <w:spacing w:val="-1"/>
          <w:sz w:val="20"/>
        </w:rPr>
        <w:t> </w:t>
      </w:r>
      <w:r>
        <w:rPr>
          <w:sz w:val="20"/>
        </w:rPr>
        <w:t>Consejo</w:t>
      </w:r>
      <w:r>
        <w:rPr>
          <w:spacing w:val="-2"/>
          <w:sz w:val="20"/>
        </w:rPr>
        <w:t> </w:t>
      </w:r>
      <w:r>
        <w:rPr>
          <w:sz w:val="20"/>
        </w:rPr>
        <w:t>de</w:t>
      </w:r>
      <w:r>
        <w:rPr>
          <w:spacing w:val="-2"/>
          <w:sz w:val="20"/>
        </w:rPr>
        <w:t> </w:t>
      </w:r>
      <w:r>
        <w:rPr>
          <w:sz w:val="20"/>
        </w:rPr>
        <w:t>Representantes que</w:t>
      </w:r>
      <w:r>
        <w:rPr>
          <w:spacing w:val="-3"/>
          <w:sz w:val="20"/>
        </w:rPr>
        <w:t> </w:t>
      </w:r>
      <w:r>
        <w:rPr>
          <w:sz w:val="20"/>
        </w:rPr>
        <w:t>contenga los salarios mínimos que correspondan al aumento establecido.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22-10-</w:t>
      </w:r>
      <w:r>
        <w:rPr>
          <w:rFonts w:ascii="Times New Roman" w:hAnsi="Times New Roman"/>
          <w:i/>
          <w:color w:val="0000FF"/>
          <w:spacing w:val="-4"/>
          <w:sz w:val="16"/>
        </w:rPr>
        <w:t>1982</w:t>
      </w:r>
    </w:p>
    <w:p>
      <w:pPr>
        <w:pStyle w:val="BodyText"/>
        <w:spacing w:before="45"/>
        <w:rPr>
          <w:rFonts w:ascii="Times New Roman"/>
          <w:i/>
          <w:sz w:val="16"/>
        </w:rPr>
      </w:pPr>
    </w:p>
    <w:p>
      <w:pPr>
        <w:spacing w:before="0"/>
        <w:ind w:left="626" w:right="0" w:firstLine="0"/>
        <w:jc w:val="left"/>
        <w:rPr>
          <w:sz w:val="20"/>
        </w:rPr>
      </w:pPr>
      <w:r>
        <w:rPr>
          <w:sz w:val="20"/>
        </w:rPr>
        <w:t>México,</w:t>
      </w:r>
      <w:r>
        <w:rPr>
          <w:spacing w:val="-4"/>
          <w:sz w:val="20"/>
        </w:rPr>
        <w:t> </w:t>
      </w:r>
      <w:r>
        <w:rPr>
          <w:sz w:val="20"/>
        </w:rPr>
        <w:t>D.</w:t>
      </w:r>
      <w:r>
        <w:rPr>
          <w:spacing w:val="-3"/>
          <w:sz w:val="20"/>
        </w:rPr>
        <w:t> </w:t>
      </w:r>
      <w:r>
        <w:rPr>
          <w:sz w:val="20"/>
        </w:rPr>
        <w:t>F.,</w:t>
      </w:r>
      <w:r>
        <w:rPr>
          <w:spacing w:val="-3"/>
          <w:sz w:val="20"/>
        </w:rPr>
        <w:t> </w:t>
      </w:r>
      <w:r>
        <w:rPr>
          <w:sz w:val="20"/>
        </w:rPr>
        <w:t>2</w:t>
      </w:r>
      <w:r>
        <w:rPr>
          <w:spacing w:val="-3"/>
          <w:sz w:val="20"/>
        </w:rPr>
        <w:t> </w:t>
      </w:r>
      <w:r>
        <w:rPr>
          <w:sz w:val="20"/>
        </w:rPr>
        <w:t>de</w:t>
      </w:r>
      <w:r>
        <w:rPr>
          <w:spacing w:val="-3"/>
          <w:sz w:val="20"/>
        </w:rPr>
        <w:t> </w:t>
      </w:r>
      <w:r>
        <w:rPr>
          <w:sz w:val="20"/>
        </w:rPr>
        <w:t>diciembre</w:t>
      </w:r>
      <w:r>
        <w:rPr>
          <w:spacing w:val="-4"/>
          <w:sz w:val="20"/>
        </w:rPr>
        <w:t> </w:t>
      </w:r>
      <w:r>
        <w:rPr>
          <w:sz w:val="20"/>
        </w:rPr>
        <w:t>de</w:t>
      </w:r>
      <w:r>
        <w:rPr>
          <w:spacing w:val="-4"/>
          <w:sz w:val="20"/>
        </w:rPr>
        <w:t> </w:t>
      </w:r>
      <w:r>
        <w:rPr>
          <w:sz w:val="20"/>
        </w:rPr>
        <w:t>1969.</w:t>
      </w:r>
      <w:r>
        <w:rPr>
          <w:spacing w:val="1"/>
          <w:sz w:val="20"/>
        </w:rPr>
        <w:t> </w:t>
      </w:r>
      <w:r>
        <w:rPr>
          <w:rFonts w:ascii="Arial" w:hAnsi="Arial"/>
          <w:b/>
          <w:sz w:val="20"/>
        </w:rPr>
        <w:t>Luis</w:t>
      </w:r>
      <w:r>
        <w:rPr>
          <w:rFonts w:ascii="Arial" w:hAnsi="Arial"/>
          <w:b/>
          <w:spacing w:val="-3"/>
          <w:sz w:val="20"/>
        </w:rPr>
        <w:t> </w:t>
      </w:r>
      <w:r>
        <w:rPr>
          <w:rFonts w:ascii="Arial" w:hAnsi="Arial"/>
          <w:b/>
          <w:sz w:val="20"/>
        </w:rPr>
        <w:t>L.</w:t>
      </w:r>
      <w:r>
        <w:rPr>
          <w:rFonts w:ascii="Arial" w:hAnsi="Arial"/>
          <w:b/>
          <w:spacing w:val="-3"/>
          <w:sz w:val="20"/>
        </w:rPr>
        <w:t> </w:t>
      </w:r>
      <w:r>
        <w:rPr>
          <w:rFonts w:ascii="Arial" w:hAnsi="Arial"/>
          <w:b/>
          <w:sz w:val="20"/>
        </w:rPr>
        <w:t>León Uranga</w:t>
      </w:r>
      <w:r>
        <w:rPr>
          <w:sz w:val="20"/>
        </w:rPr>
        <w:t>, S.</w:t>
      </w:r>
      <w:r>
        <w:rPr>
          <w:spacing w:val="-1"/>
          <w:sz w:val="20"/>
        </w:rPr>
        <w:t> </w:t>
      </w:r>
      <w:r>
        <w:rPr>
          <w:sz w:val="20"/>
        </w:rPr>
        <w:t>P.-</w:t>
      </w:r>
      <w:r>
        <w:rPr>
          <w:spacing w:val="-2"/>
          <w:sz w:val="20"/>
        </w:rPr>
        <w:t> </w:t>
      </w:r>
      <w:r>
        <w:rPr>
          <w:rFonts w:ascii="Arial" w:hAnsi="Arial"/>
          <w:b/>
          <w:sz w:val="20"/>
        </w:rPr>
        <w:t>Joaquín</w:t>
      </w:r>
      <w:r>
        <w:rPr>
          <w:rFonts w:ascii="Arial" w:hAnsi="Arial"/>
          <w:b/>
          <w:spacing w:val="-2"/>
          <w:sz w:val="20"/>
        </w:rPr>
        <w:t> </w:t>
      </w:r>
      <w:r>
        <w:rPr>
          <w:rFonts w:ascii="Arial" w:hAnsi="Arial"/>
          <w:b/>
          <w:sz w:val="20"/>
        </w:rPr>
        <w:t>Gamboa</w:t>
      </w:r>
      <w:r>
        <w:rPr>
          <w:rFonts w:ascii="Arial" w:hAnsi="Arial"/>
          <w:b/>
          <w:spacing w:val="-3"/>
          <w:sz w:val="20"/>
        </w:rPr>
        <w:t> </w:t>
      </w:r>
      <w:r>
        <w:rPr>
          <w:rFonts w:ascii="Arial" w:hAnsi="Arial"/>
          <w:b/>
          <w:sz w:val="20"/>
        </w:rPr>
        <w:t>Pascoe</w:t>
      </w:r>
      <w:r>
        <w:rPr>
          <w:sz w:val="20"/>
        </w:rPr>
        <w:t>,</w:t>
      </w:r>
      <w:r>
        <w:rPr>
          <w:spacing w:val="-4"/>
          <w:sz w:val="20"/>
        </w:rPr>
        <w:t> </w:t>
      </w:r>
      <w:r>
        <w:rPr>
          <w:sz w:val="20"/>
        </w:rPr>
        <w:t>D.</w:t>
      </w:r>
      <w:r>
        <w:rPr>
          <w:spacing w:val="-3"/>
          <w:sz w:val="20"/>
        </w:rPr>
        <w:t> </w:t>
      </w:r>
      <w:r>
        <w:rPr>
          <w:spacing w:val="-5"/>
          <w:sz w:val="20"/>
        </w:rPr>
        <w:t>P.-</w:t>
      </w:r>
    </w:p>
    <w:p>
      <w:pPr>
        <w:spacing w:before="0"/>
        <w:ind w:left="338" w:right="0" w:firstLine="0"/>
        <w:jc w:val="left"/>
        <w:rPr>
          <w:sz w:val="20"/>
        </w:rPr>
      </w:pPr>
      <w:r>
        <w:rPr>
          <w:rFonts w:ascii="Arial" w:hAnsi="Arial"/>
          <w:b/>
          <w:sz w:val="20"/>
        </w:rPr>
        <w:t>Arturo</w:t>
      </w:r>
      <w:r>
        <w:rPr>
          <w:rFonts w:ascii="Arial" w:hAnsi="Arial"/>
          <w:b/>
          <w:spacing w:val="-6"/>
          <w:sz w:val="20"/>
        </w:rPr>
        <w:t> </w:t>
      </w:r>
      <w:r>
        <w:rPr>
          <w:rFonts w:ascii="Arial" w:hAnsi="Arial"/>
          <w:b/>
          <w:sz w:val="20"/>
        </w:rPr>
        <w:t>Moguel</w:t>
      </w:r>
      <w:r>
        <w:rPr>
          <w:rFonts w:ascii="Arial" w:hAnsi="Arial"/>
          <w:b/>
          <w:spacing w:val="-7"/>
          <w:sz w:val="20"/>
        </w:rPr>
        <w:t> </w:t>
      </w:r>
      <w:r>
        <w:rPr>
          <w:rFonts w:ascii="Arial" w:hAnsi="Arial"/>
          <w:b/>
          <w:sz w:val="20"/>
        </w:rPr>
        <w:t>Esponda</w:t>
      </w:r>
      <w:r>
        <w:rPr>
          <w:sz w:val="20"/>
        </w:rPr>
        <w:t>,</w:t>
      </w:r>
      <w:r>
        <w:rPr>
          <w:spacing w:val="-5"/>
          <w:sz w:val="20"/>
        </w:rPr>
        <w:t> </w:t>
      </w:r>
      <w:r>
        <w:rPr>
          <w:sz w:val="20"/>
        </w:rPr>
        <w:t>S.</w:t>
      </w:r>
      <w:r>
        <w:rPr>
          <w:spacing w:val="-6"/>
          <w:sz w:val="20"/>
        </w:rPr>
        <w:t> </w:t>
      </w:r>
      <w:r>
        <w:rPr>
          <w:sz w:val="20"/>
        </w:rPr>
        <w:t>S.-</w:t>
      </w:r>
      <w:r>
        <w:rPr>
          <w:spacing w:val="-1"/>
          <w:sz w:val="20"/>
        </w:rPr>
        <w:t> </w:t>
      </w:r>
      <w:r>
        <w:rPr>
          <w:rFonts w:ascii="Arial" w:hAnsi="Arial"/>
          <w:b/>
          <w:sz w:val="20"/>
        </w:rPr>
        <w:t>Alberto</w:t>
      </w:r>
      <w:r>
        <w:rPr>
          <w:rFonts w:ascii="Arial" w:hAnsi="Arial"/>
          <w:b/>
          <w:spacing w:val="-6"/>
          <w:sz w:val="20"/>
        </w:rPr>
        <w:t> </w:t>
      </w:r>
      <w:r>
        <w:rPr>
          <w:rFonts w:ascii="Arial" w:hAnsi="Arial"/>
          <w:b/>
          <w:sz w:val="20"/>
        </w:rPr>
        <w:t>Briseño</w:t>
      </w:r>
      <w:r>
        <w:rPr>
          <w:rFonts w:ascii="Arial" w:hAnsi="Arial"/>
          <w:b/>
          <w:spacing w:val="-5"/>
          <w:sz w:val="20"/>
        </w:rPr>
        <w:t> </w:t>
      </w:r>
      <w:r>
        <w:rPr>
          <w:rFonts w:ascii="Arial" w:hAnsi="Arial"/>
          <w:b/>
          <w:sz w:val="20"/>
        </w:rPr>
        <w:t>Rui</w:t>
      </w:r>
      <w:r>
        <w:rPr>
          <w:sz w:val="20"/>
        </w:rPr>
        <w:t>z,</w:t>
      </w:r>
      <w:r>
        <w:rPr>
          <w:spacing w:val="-6"/>
          <w:sz w:val="20"/>
        </w:rPr>
        <w:t> </w:t>
      </w:r>
      <w:r>
        <w:rPr>
          <w:sz w:val="20"/>
        </w:rPr>
        <w:t>D.</w:t>
      </w:r>
      <w:r>
        <w:rPr>
          <w:spacing w:val="-5"/>
          <w:sz w:val="20"/>
        </w:rPr>
        <w:t> </w:t>
      </w:r>
      <w:r>
        <w:rPr>
          <w:sz w:val="20"/>
        </w:rPr>
        <w:t>S.-</w:t>
      </w:r>
      <w:r>
        <w:rPr>
          <w:spacing w:val="-6"/>
          <w:sz w:val="20"/>
        </w:rPr>
        <w:t> </w:t>
      </w:r>
      <w:r>
        <w:rPr>
          <w:spacing w:val="-2"/>
          <w:sz w:val="20"/>
        </w:rPr>
        <w:t>Rúbricas.</w:t>
      </w:r>
    </w:p>
    <w:p>
      <w:pPr>
        <w:pStyle w:val="BodyText"/>
        <w:spacing w:before="3"/>
      </w:pPr>
    </w:p>
    <w:p>
      <w:pPr>
        <w:pStyle w:val="BodyText"/>
        <w:ind w:left="338" w:right="334" w:firstLine="288"/>
        <w:jc w:val="both"/>
      </w:pPr>
      <w:r>
        <w:rPr/>
        <w:t>En cumplimiento de lo dispuesto por la fracción I del artículo 89 de la Constitución Política de los Estados Unidos Mexicanos, para su debida publicación y observancia, expido el presente Decreto en la residencia del Poder Ejecutivo Federal, en la ciudad de México, Distrito Federal, a los veintitrés días del mes</w:t>
      </w:r>
      <w:r>
        <w:rPr>
          <w:spacing w:val="-1"/>
        </w:rPr>
        <w:t> </w:t>
      </w:r>
      <w:r>
        <w:rPr/>
        <w:t>de</w:t>
      </w:r>
      <w:r>
        <w:rPr>
          <w:spacing w:val="-3"/>
        </w:rPr>
        <w:t> </w:t>
      </w:r>
      <w:r>
        <w:rPr/>
        <w:t>diciembre</w:t>
      </w:r>
      <w:r>
        <w:rPr>
          <w:spacing w:val="-2"/>
        </w:rPr>
        <w:t> </w:t>
      </w:r>
      <w:r>
        <w:rPr/>
        <w:t>de</w:t>
      </w:r>
      <w:r>
        <w:rPr>
          <w:spacing w:val="-3"/>
        </w:rPr>
        <w:t> </w:t>
      </w:r>
      <w:r>
        <w:rPr/>
        <w:t>mil</w:t>
      </w:r>
      <w:r>
        <w:rPr>
          <w:spacing w:val="-3"/>
        </w:rPr>
        <w:t> </w:t>
      </w:r>
      <w:r>
        <w:rPr/>
        <w:t>novecientos</w:t>
      </w:r>
      <w:r>
        <w:rPr>
          <w:spacing w:val="-1"/>
        </w:rPr>
        <w:t> </w:t>
      </w:r>
      <w:r>
        <w:rPr/>
        <w:t>sesenta y</w:t>
      </w:r>
      <w:r>
        <w:rPr>
          <w:spacing w:val="-5"/>
        </w:rPr>
        <w:t> </w:t>
      </w:r>
      <w:r>
        <w:rPr/>
        <w:t>nueve.-</w:t>
      </w:r>
      <w:r>
        <w:rPr>
          <w:spacing w:val="-1"/>
        </w:rPr>
        <w:t> </w:t>
      </w:r>
      <w:r>
        <w:rPr>
          <w:rFonts w:ascii="Arial" w:hAnsi="Arial"/>
          <w:b/>
        </w:rPr>
        <w:t>Gustavo</w:t>
      </w:r>
      <w:r>
        <w:rPr>
          <w:rFonts w:ascii="Arial" w:hAnsi="Arial"/>
          <w:b/>
          <w:spacing w:val="-1"/>
        </w:rPr>
        <w:t> </w:t>
      </w:r>
      <w:r>
        <w:rPr>
          <w:rFonts w:ascii="Arial" w:hAnsi="Arial"/>
          <w:b/>
        </w:rPr>
        <w:t>Díaz</w:t>
      </w:r>
      <w:r>
        <w:rPr>
          <w:rFonts w:ascii="Arial" w:hAnsi="Arial"/>
          <w:b/>
          <w:spacing w:val="-1"/>
        </w:rPr>
        <w:t> </w:t>
      </w:r>
      <w:r>
        <w:rPr>
          <w:rFonts w:ascii="Arial" w:hAnsi="Arial"/>
          <w:b/>
        </w:rPr>
        <w:t>Ordaz</w:t>
      </w:r>
      <w:r>
        <w:rPr/>
        <w:t>.-</w:t>
      </w:r>
      <w:r>
        <w:rPr>
          <w:spacing w:val="-1"/>
        </w:rPr>
        <w:t> </w:t>
      </w:r>
      <w:r>
        <w:rPr/>
        <w:t>Rúbrica.-</w:t>
      </w:r>
      <w:r>
        <w:rPr>
          <w:spacing w:val="-1"/>
        </w:rPr>
        <w:t> </w:t>
      </w:r>
      <w:r>
        <w:rPr/>
        <w:t>El Secretario</w:t>
      </w:r>
      <w:r>
        <w:rPr>
          <w:spacing w:val="-2"/>
        </w:rPr>
        <w:t> </w:t>
      </w:r>
      <w:r>
        <w:rPr/>
        <w:t>del Trabajo y Previsión Social, </w:t>
      </w:r>
      <w:r>
        <w:rPr>
          <w:rFonts w:ascii="Arial" w:hAnsi="Arial"/>
          <w:b/>
        </w:rPr>
        <w:t>Salomón González Blanco</w:t>
      </w:r>
      <w:r>
        <w:rPr/>
        <w:t>.- Rúbrica.- El Subsecretario de Gobernación, Encargado del Despacho, </w:t>
      </w:r>
      <w:r>
        <w:rPr>
          <w:rFonts w:ascii="Arial" w:hAnsi="Arial"/>
          <w:b/>
        </w:rPr>
        <w:t>Mario Moya Palencia</w:t>
      </w:r>
      <w:r>
        <w:rPr/>
        <w:t>.- Rúbrica.- El Secretario de Relaciones Exteriores, </w:t>
      </w:r>
      <w:r>
        <w:rPr>
          <w:rFonts w:ascii="Arial" w:hAnsi="Arial"/>
          <w:b/>
        </w:rPr>
        <w:t>Antonio Carrillo Flores</w:t>
      </w:r>
      <w:r>
        <w:rPr/>
        <w:t>.- Rúbrica.- El Secretario de la Defensa Nacional, </w:t>
      </w:r>
      <w:r>
        <w:rPr>
          <w:rFonts w:ascii="Arial" w:hAnsi="Arial"/>
          <w:b/>
        </w:rPr>
        <w:t>Marcelino García Barragán</w:t>
      </w:r>
      <w:r>
        <w:rPr/>
        <w:t>.- Rúbrica.- El Secretario de Marina, </w:t>
      </w:r>
      <w:r>
        <w:rPr>
          <w:rFonts w:ascii="Arial" w:hAnsi="Arial"/>
          <w:b/>
        </w:rPr>
        <w:t>Antonio Vázquez del Mercado</w:t>
      </w:r>
      <w:r>
        <w:rPr/>
        <w:t>.- Rúbrica.- El Secretario de Hacienda</w:t>
      </w:r>
      <w:r>
        <w:rPr>
          <w:spacing w:val="40"/>
        </w:rPr>
        <w:t> </w:t>
      </w:r>
      <w:r>
        <w:rPr/>
        <w:t>y</w:t>
      </w:r>
      <w:r>
        <w:rPr>
          <w:spacing w:val="-1"/>
        </w:rPr>
        <w:t> </w:t>
      </w:r>
      <w:r>
        <w:rPr/>
        <w:t>Crédito Público, </w:t>
      </w:r>
      <w:r>
        <w:rPr>
          <w:rFonts w:ascii="Arial" w:hAnsi="Arial"/>
          <w:b/>
        </w:rPr>
        <w:t>Antonio Ortiz Mena</w:t>
      </w:r>
      <w:r>
        <w:rPr/>
        <w:t>.- Rúbrica.- El Secretario del Patrimonio Nacional, </w:t>
      </w:r>
      <w:r>
        <w:rPr>
          <w:rFonts w:ascii="Arial" w:hAnsi="Arial"/>
          <w:b/>
        </w:rPr>
        <w:t>Manuel</w:t>
      </w:r>
      <w:r>
        <w:rPr>
          <w:rFonts w:ascii="Arial" w:hAnsi="Arial"/>
          <w:b/>
          <w:spacing w:val="-1"/>
        </w:rPr>
        <w:t> </w:t>
      </w:r>
      <w:r>
        <w:rPr>
          <w:rFonts w:ascii="Arial" w:hAnsi="Arial"/>
          <w:b/>
        </w:rPr>
        <w:t>Franco López</w:t>
      </w:r>
      <w:r>
        <w:rPr/>
        <w:t>.- Rúbrica.- El Secretario de Industria y Comercio, </w:t>
      </w:r>
      <w:r>
        <w:rPr>
          <w:rFonts w:ascii="Arial" w:hAnsi="Arial"/>
          <w:b/>
        </w:rPr>
        <w:t>Octaviano Campos Salas</w:t>
      </w:r>
      <w:r>
        <w:rPr/>
        <w:t>.- Rúbrica.- El Secretario</w:t>
      </w:r>
      <w:r>
        <w:rPr>
          <w:spacing w:val="-2"/>
        </w:rPr>
        <w:t> </w:t>
      </w:r>
      <w:r>
        <w:rPr/>
        <w:t>de</w:t>
      </w:r>
      <w:r>
        <w:rPr>
          <w:spacing w:val="-2"/>
        </w:rPr>
        <w:t> </w:t>
      </w:r>
      <w:r>
        <w:rPr/>
        <w:t>Agricultura y</w:t>
      </w:r>
      <w:r>
        <w:rPr>
          <w:spacing w:val="-3"/>
        </w:rPr>
        <w:t> </w:t>
      </w:r>
      <w:r>
        <w:rPr/>
        <w:t>Ganadería, </w:t>
      </w:r>
      <w:r>
        <w:rPr>
          <w:rFonts w:ascii="Arial" w:hAnsi="Arial"/>
          <w:b/>
        </w:rPr>
        <w:t>Juan</w:t>
      </w:r>
      <w:r>
        <w:rPr>
          <w:rFonts w:ascii="Arial" w:hAnsi="Arial"/>
          <w:b/>
          <w:spacing w:val="-1"/>
        </w:rPr>
        <w:t> </w:t>
      </w:r>
      <w:r>
        <w:rPr>
          <w:rFonts w:ascii="Arial" w:hAnsi="Arial"/>
          <w:b/>
        </w:rPr>
        <w:t>Gil Preciado</w:t>
      </w:r>
      <w:r>
        <w:rPr/>
        <w:t>.</w:t>
      </w:r>
      <w:r>
        <w:rPr>
          <w:spacing w:val="-2"/>
        </w:rPr>
        <w:t> </w:t>
      </w:r>
      <w:r>
        <w:rPr/>
        <w:t>-</w:t>
      </w:r>
      <w:r>
        <w:rPr>
          <w:spacing w:val="-1"/>
        </w:rPr>
        <w:t> </w:t>
      </w:r>
      <w:r>
        <w:rPr/>
        <w:t>Rúbrica.-</w:t>
      </w:r>
      <w:r>
        <w:rPr>
          <w:spacing w:val="-1"/>
        </w:rPr>
        <w:t> </w:t>
      </w:r>
      <w:r>
        <w:rPr/>
        <w:t>El</w:t>
      </w:r>
      <w:r>
        <w:rPr>
          <w:spacing w:val="-3"/>
        </w:rPr>
        <w:t> </w:t>
      </w:r>
      <w:r>
        <w:rPr/>
        <w:t>Secretario</w:t>
      </w:r>
      <w:r>
        <w:rPr>
          <w:spacing w:val="-2"/>
        </w:rPr>
        <w:t> </w:t>
      </w:r>
      <w:r>
        <w:rPr/>
        <w:t>de</w:t>
      </w:r>
      <w:r>
        <w:rPr>
          <w:spacing w:val="-2"/>
        </w:rPr>
        <w:t> </w:t>
      </w:r>
      <w:r>
        <w:rPr/>
        <w:t>Comunicaciones y</w:t>
      </w:r>
    </w:p>
    <w:p>
      <w:pPr>
        <w:pStyle w:val="BodyText"/>
        <w:spacing w:after="0"/>
        <w:jc w:val="both"/>
        <w:sectPr>
          <w:pgSz w:w="12240" w:h="15840"/>
          <w:pgMar w:header="724" w:footer="712" w:top="1880" w:bottom="900" w:left="1080" w:right="1080"/>
        </w:sectPr>
      </w:pPr>
    </w:p>
    <w:p>
      <w:pPr>
        <w:pStyle w:val="BodyText"/>
        <w:spacing w:before="63"/>
      </w:pPr>
    </w:p>
    <w:p>
      <w:pPr>
        <w:spacing w:before="0"/>
        <w:ind w:left="338" w:right="332" w:firstLine="0"/>
        <w:jc w:val="both"/>
        <w:rPr>
          <w:sz w:val="20"/>
        </w:rPr>
      </w:pPr>
      <w:r>
        <w:rPr>
          <w:sz w:val="20"/>
        </w:rPr>
        <w:t>Transportes, </w:t>
      </w:r>
      <w:r>
        <w:rPr>
          <w:rFonts w:ascii="Arial" w:hAnsi="Arial"/>
          <w:b/>
          <w:sz w:val="20"/>
        </w:rPr>
        <w:t>José Antonio Padilla Segura</w:t>
      </w:r>
      <w:r>
        <w:rPr>
          <w:sz w:val="20"/>
        </w:rPr>
        <w:t>.- Rúbrica.- El Secretario de Obras Públicas, </w:t>
      </w:r>
      <w:r>
        <w:rPr>
          <w:rFonts w:ascii="Arial" w:hAnsi="Arial"/>
          <w:b/>
          <w:sz w:val="20"/>
        </w:rPr>
        <w:t>Gilberto Valenzuela</w:t>
      </w:r>
      <w:r>
        <w:rPr>
          <w:sz w:val="20"/>
        </w:rPr>
        <w:t>.- Rúbrica.- El Secretario de Recursos Hidráulicos, </w:t>
      </w:r>
      <w:r>
        <w:rPr>
          <w:rFonts w:ascii="Arial" w:hAnsi="Arial"/>
          <w:b/>
          <w:sz w:val="20"/>
        </w:rPr>
        <w:t>José Hernández Terán</w:t>
      </w:r>
      <w:r>
        <w:rPr>
          <w:sz w:val="20"/>
        </w:rPr>
        <w:t>.- Rúbrica. -El Secretario de Educación Pública, </w:t>
      </w:r>
      <w:r>
        <w:rPr>
          <w:rFonts w:ascii="Arial" w:hAnsi="Arial"/>
          <w:b/>
          <w:sz w:val="20"/>
        </w:rPr>
        <w:t>Agustín Yañez</w:t>
      </w:r>
      <w:r>
        <w:rPr>
          <w:sz w:val="20"/>
        </w:rPr>
        <w:t>.- Rúbrica.- El Secretario de Salubridad y Asistencia, </w:t>
      </w:r>
      <w:r>
        <w:rPr>
          <w:rFonts w:ascii="Arial" w:hAnsi="Arial"/>
          <w:b/>
          <w:sz w:val="20"/>
        </w:rPr>
        <w:t>Salvador Aceves Parra</w:t>
      </w:r>
      <w:r>
        <w:rPr>
          <w:sz w:val="20"/>
        </w:rPr>
        <w:t>.- Rúbrica.- El Secretario de la Presidencia, </w:t>
      </w:r>
      <w:r>
        <w:rPr>
          <w:rFonts w:ascii="Arial" w:hAnsi="Arial"/>
          <w:b/>
          <w:sz w:val="20"/>
        </w:rPr>
        <w:t>Emilio Martínez Manautou</w:t>
      </w:r>
      <w:r>
        <w:rPr>
          <w:sz w:val="20"/>
        </w:rPr>
        <w:t>.- Rúbrica.- El Jefe del Departamento de Asuntos Agrarios y Colonización, </w:t>
      </w:r>
      <w:r>
        <w:rPr>
          <w:rFonts w:ascii="Arial" w:hAnsi="Arial"/>
          <w:b/>
          <w:sz w:val="20"/>
        </w:rPr>
        <w:t>Norberto Aguirre Palancares</w:t>
      </w:r>
      <w:r>
        <w:rPr>
          <w:sz w:val="20"/>
        </w:rPr>
        <w:t>.- Rúbrica.- El Jefe del Departamento de Turismo, </w:t>
      </w:r>
      <w:r>
        <w:rPr>
          <w:rFonts w:ascii="Arial" w:hAnsi="Arial"/>
          <w:b/>
          <w:sz w:val="20"/>
        </w:rPr>
        <w:t>Agustín Salvat</w:t>
      </w:r>
      <w:r>
        <w:rPr>
          <w:sz w:val="20"/>
        </w:rPr>
        <w:t>.- Rúbrica.- El Jefe del Departamento del Distrito Federal, </w:t>
      </w:r>
      <w:r>
        <w:rPr>
          <w:rFonts w:ascii="Arial" w:hAnsi="Arial"/>
          <w:b/>
          <w:sz w:val="20"/>
        </w:rPr>
        <w:t>Alfonso Corona del Rosal</w:t>
      </w:r>
      <w:r>
        <w:rPr>
          <w:sz w:val="20"/>
        </w:rPr>
        <w:t>.- Rúbrica.</w:t>
      </w:r>
    </w:p>
    <w:p>
      <w:pPr>
        <w:spacing w:after="0"/>
        <w:jc w:val="both"/>
        <w:rPr>
          <w:sz w:val="20"/>
        </w:rPr>
        <w:sectPr>
          <w:pgSz w:w="12240" w:h="15840"/>
          <w:pgMar w:header="724" w:footer="712" w:top="1880" w:bottom="900" w:left="1080" w:right="1080"/>
        </w:sectPr>
      </w:pPr>
    </w:p>
    <w:p>
      <w:pPr>
        <w:pStyle w:val="BodyText"/>
        <w:spacing w:before="43"/>
        <w:rPr>
          <w:sz w:val="22"/>
        </w:rPr>
      </w:pPr>
    </w:p>
    <w:p>
      <w:pPr>
        <w:spacing w:line="261" w:lineRule="exact" w:before="0"/>
        <w:ind w:left="296" w:right="296" w:firstLine="0"/>
        <w:jc w:val="center"/>
        <w:rPr>
          <w:rFonts w:ascii="Tahoma" w:hAnsi="Tahoma"/>
          <w:b/>
          <w:sz w:val="22"/>
        </w:rPr>
      </w:pPr>
      <w:bookmarkStart w:name="TRANSITORIOS_DE_DECRETOS_DE_REFORMA" w:id="1279"/>
      <w:bookmarkEnd w:id="1279"/>
      <w:r>
        <w:rPr/>
      </w:r>
      <w:r>
        <w:rPr>
          <w:rFonts w:ascii="Tahoma" w:hAnsi="Tahoma"/>
          <w:b/>
          <w:color w:val="008000"/>
          <w:sz w:val="22"/>
        </w:rPr>
        <w:t>ARTÍCULOS</w:t>
      </w:r>
      <w:r>
        <w:rPr>
          <w:rFonts w:ascii="Tahoma" w:hAnsi="Tahoma"/>
          <w:b/>
          <w:color w:val="008000"/>
          <w:spacing w:val="-9"/>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10"/>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spacing w:line="273" w:lineRule="exact" w:before="0"/>
        <w:ind w:left="300" w:right="296" w:firstLine="0"/>
        <w:jc w:val="center"/>
        <w:rPr>
          <w:rFonts w:ascii="Tahoma"/>
          <w:sz w:val="23"/>
        </w:rPr>
      </w:pPr>
      <w:r>
        <w:rPr>
          <w:rFonts w:ascii="Tahoma"/>
          <w:color w:val="008000"/>
          <w:spacing w:val="-2"/>
          <w:sz w:val="23"/>
        </w:rPr>
        <w:t>A</w:t>
      </w:r>
      <w:r>
        <w:rPr>
          <w:rFonts w:ascii="Tahoma"/>
          <w:color w:val="008000"/>
          <w:spacing w:val="-12"/>
          <w:sz w:val="23"/>
        </w:rPr>
        <w:t> </w:t>
      </w:r>
      <w:r>
        <w:rPr>
          <w:rFonts w:ascii="Tahoma"/>
          <w:color w:val="008000"/>
          <w:spacing w:val="-2"/>
          <w:sz w:val="23"/>
        </w:rPr>
        <w:t>partir</w:t>
      </w:r>
      <w:r>
        <w:rPr>
          <w:rFonts w:ascii="Tahoma"/>
          <w:color w:val="008000"/>
          <w:spacing w:val="-13"/>
          <w:sz w:val="23"/>
        </w:rPr>
        <w:t> </w:t>
      </w:r>
      <w:r>
        <w:rPr>
          <w:rFonts w:ascii="Tahoma"/>
          <w:color w:val="008000"/>
          <w:spacing w:val="-2"/>
          <w:sz w:val="23"/>
        </w:rPr>
        <w:t>de</w:t>
      </w:r>
      <w:r>
        <w:rPr>
          <w:rFonts w:ascii="Tahoma"/>
          <w:color w:val="008000"/>
          <w:spacing w:val="-12"/>
          <w:sz w:val="23"/>
        </w:rPr>
        <w:t> </w:t>
      </w:r>
      <w:r>
        <w:rPr>
          <w:rFonts w:ascii="Tahoma"/>
          <w:color w:val="008000"/>
          <w:spacing w:val="-4"/>
          <w:sz w:val="23"/>
        </w:rPr>
        <w:t>1998</w:t>
      </w:r>
    </w:p>
    <w:p>
      <w:pPr>
        <w:pStyle w:val="Heading2"/>
        <w:spacing w:before="224"/>
        <w:ind w:right="0"/>
        <w:jc w:val="left"/>
      </w:pPr>
      <w:r>
        <w:rPr/>
        <w:t>DECRETO</w:t>
      </w:r>
      <w:r>
        <w:rPr>
          <w:spacing w:val="-6"/>
        </w:rPr>
        <w:t> </w:t>
      </w:r>
      <w:r>
        <w:rPr/>
        <w:t>por</w:t>
      </w:r>
      <w:r>
        <w:rPr>
          <w:spacing w:val="-4"/>
        </w:rPr>
        <w:t> </w:t>
      </w:r>
      <w:r>
        <w:rPr/>
        <w:t>el</w:t>
      </w:r>
      <w:r>
        <w:rPr>
          <w:spacing w:val="-3"/>
        </w:rPr>
        <w:t> </w:t>
      </w:r>
      <w:r>
        <w:rPr/>
        <w:t>que</w:t>
      </w:r>
      <w:r>
        <w:rPr>
          <w:spacing w:val="-7"/>
        </w:rPr>
        <w:t> </w:t>
      </w:r>
      <w:r>
        <w:rPr/>
        <w:t>se</w:t>
      </w:r>
      <w:r>
        <w:rPr>
          <w:spacing w:val="-5"/>
        </w:rPr>
        <w:t> </w:t>
      </w:r>
      <w:r>
        <w:rPr/>
        <w:t>reforman</w:t>
      </w:r>
      <w:r>
        <w:rPr>
          <w:spacing w:val="-8"/>
        </w:rPr>
        <w:t> </w:t>
      </w:r>
      <w:r>
        <w:rPr/>
        <w:t>diversos</w:t>
      </w:r>
      <w:r>
        <w:rPr>
          <w:spacing w:val="-5"/>
        </w:rPr>
        <w:t> </w:t>
      </w:r>
      <w:r>
        <w:rPr/>
        <w:t>ordenamientos</w:t>
      </w:r>
      <w:r>
        <w:rPr>
          <w:spacing w:val="-6"/>
        </w:rPr>
        <w:t> </w:t>
      </w:r>
      <w:r>
        <w:rPr>
          <w:spacing w:val="-2"/>
        </w:rPr>
        <w:t>legales.</w:t>
      </w:r>
    </w:p>
    <w:p>
      <w:pPr>
        <w:spacing w:before="233"/>
        <w:ind w:left="294" w:right="29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23</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1998</w:t>
      </w:r>
    </w:p>
    <w:p>
      <w:pPr>
        <w:pStyle w:val="BodyText"/>
        <w:spacing w:before="43"/>
        <w:rPr>
          <w:sz w:val="16"/>
        </w:rPr>
      </w:pPr>
    </w:p>
    <w:p>
      <w:pPr>
        <w:pStyle w:val="BodyText"/>
        <w:ind w:left="338" w:right="333" w:firstLine="288"/>
        <w:jc w:val="both"/>
      </w:pPr>
      <w:r>
        <w:rPr>
          <w:rFonts w:ascii="Arial" w:hAnsi="Arial"/>
          <w:b/>
        </w:rPr>
        <w:t>ARTÍCULO ÚNICO.- </w:t>
      </w:r>
      <w:r>
        <w:rPr/>
        <w:t>Se reforman los artículos 20 y 32, fracción I, y se adiciona la fracción I BIS al artículo 47 de la Ley del Servicio Exterior Mexicano; se reforman los artículos 4, fracción I, 117, 161, primer párrafo, y 173, segundo párrafo, y se adicionan el artículo 148 BIS al capítulo denominado "Del Reclutamiento", y un inciso F) a la fracción II del artículo 170 de la Ley Orgánica del Ejército y Fuerza Aérea Mexicanas; se reforma el artículo 57 y</w:t>
      </w:r>
      <w:r>
        <w:rPr>
          <w:spacing w:val="-1"/>
        </w:rPr>
        <w:t> </w:t>
      </w:r>
      <w:r>
        <w:rPr/>
        <w:t>se adiciona un inciso E) a la fracción I del artículo 105 de la Ley Orgánica de la Armada de México; se reforma el artículo 4, fracción I, del Código de Justicia Militar; se adiciona el artículo 5 BIS a la Ley del Servicio Militar; se reforman los artículos 106 y 108 de la Ley Orgánica del Poder Judicial de la Federación; 4, primer párrafo, de la Ley</w:t>
      </w:r>
      <w:r>
        <w:rPr>
          <w:spacing w:val="-2"/>
        </w:rPr>
        <w:t> </w:t>
      </w:r>
      <w:r>
        <w:rPr/>
        <w:t>Orgánica del Tribunal Fiscal de la Federación; 9, fracción I, de la Ley para el Tratamiento de Menores Infractores para el Distrito Federal en Materia Común y para toda la República en Materia Federal; 20, inciso a), 22 y 23, en sus respectivas fracciones I, de la Ley Orgánica de la Procuraduría General de la República; 19, 34 y 35, en sus respectivas fracciones I, de la Ley Orgánica de la Procuraduría General de Justicia del Distrito Federal; 76, 91, 103, 114 y 120, en sus respectivos incisos a), del Código Federal de Instituciones y Procedimientos Electorales; 22 y 50, en sus respectivos primeros párrafos, de la Ley de Navegación; 7, primer párrafo y se le adiciona un segundo párrafo, se reforman los artículos 38</w:t>
      </w:r>
      <w:r>
        <w:rPr>
          <w:spacing w:val="13"/>
        </w:rPr>
        <w:t> </w:t>
      </w:r>
      <w:r>
        <w:rPr/>
        <w:t>y 40, primer párrafo, de</w:t>
      </w:r>
      <w:r>
        <w:rPr>
          <w:spacing w:val="40"/>
        </w:rPr>
        <w:t> </w:t>
      </w:r>
      <w:r>
        <w:rPr/>
        <w:t>la Ley de Aviación Civil; </w:t>
      </w:r>
      <w:r>
        <w:rPr>
          <w:rFonts w:ascii="Arial" w:hAnsi="Arial"/>
          <w:b/>
        </w:rPr>
        <w:t>189, 216 y 612, fracción I, de la Ley Federal del Trabajo</w:t>
      </w:r>
      <w:r>
        <w:rPr/>
        <w:t>; 267 de la Ley del Seguro Social; 156, fracción I, y 166, segundo párrafo, de la Ley del Instituto de Seguridad y Servicios Sociales de los Trabajadores del Estado; 28, primer párrafo, 50, fracción IV, y</w:t>
      </w:r>
      <w:r>
        <w:rPr>
          <w:spacing w:val="-4"/>
        </w:rPr>
        <w:t> </w:t>
      </w:r>
      <w:r>
        <w:rPr/>
        <w:t>se deroga la fracción III del artículo 51 de la Ley del Instituto de Seguridad Social para las Fuerzas Armadas Mexicanas; se reforman los artículos 21, fracción I, de la Ley</w:t>
      </w:r>
      <w:r>
        <w:rPr>
          <w:spacing w:val="-2"/>
        </w:rPr>
        <w:t> </w:t>
      </w:r>
      <w:r>
        <w:rPr/>
        <w:t>Federal de las Entidades Paraestatales, 51 de la Ley Reglamentaria del Artículo 27 Constitucional en Materia Nuclear; 9, fracción I, de la Ley de la Comisión Nacional de Derechos Humanos; 8, fracción I, de la Ley Federal de Correduría Pública; 6, segundo párrafo, de la Ley Orgánica del Instituto Nacional de Antropología e Historia; 32, fracciones I a III, de la Ley de Inversión Extranjera; 14, fracción I, de la Ley General que establece las Bases de Coordinación del Sistema Nacional de Seguridad Pública; 5o., fracción I, de la Ley de la Comisión Reguladora de Energía; 10, fracción I y 14, fracción I de la Ley de los Sistemas de Ahorro para el Retiro; 12, fracción I, de la Ley Orgánica de los Tribunales Agrarios; 39, fracción I, de la Ley del Banco de México; 26, fracción I, de la Ley Federal de Competencia Económica; 121, fracción I, de la Ley Federal de los Trabajadores al</w:t>
      </w:r>
      <w:r>
        <w:rPr>
          <w:spacing w:val="40"/>
        </w:rPr>
        <w:t> </w:t>
      </w:r>
      <w:r>
        <w:rPr/>
        <w:t>Servicio del Estado, Reglamentaria del Apartado "B" del Artículo 123 Constitucional; y 15, fracción I y último párrafo de la Ley de la Comisión Nacional Bancaria y de Valores, para quedar como sigue:</w:t>
      </w:r>
    </w:p>
    <w:p>
      <w:pPr>
        <w:pStyle w:val="BodyText"/>
        <w:spacing w:before="5"/>
      </w:pPr>
    </w:p>
    <w:p>
      <w:pPr>
        <w:spacing w:before="0"/>
        <w:ind w:left="626" w:right="0" w:firstLine="0"/>
        <w:jc w:val="left"/>
        <w:rPr>
          <w:sz w:val="20"/>
        </w:rPr>
      </w:pPr>
      <w:r>
        <w:rPr>
          <w:spacing w:val="-2"/>
          <w:sz w:val="20"/>
        </w:rPr>
        <w:t>..........</w:t>
      </w:r>
    </w:p>
    <w:p>
      <w:pPr>
        <w:pStyle w:val="Heading1"/>
        <w:spacing w:before="226"/>
      </w:pPr>
      <w:r>
        <w:rPr>
          <w:spacing w:val="-2"/>
        </w:rPr>
        <w:t>TRANSITORIO</w:t>
      </w:r>
    </w:p>
    <w:p>
      <w:pPr>
        <w:pStyle w:val="BodyText"/>
        <w:spacing w:before="2"/>
        <w:rPr>
          <w:rFonts w:ascii="Arial"/>
          <w:b/>
        </w:rPr>
      </w:pPr>
    </w:p>
    <w:p>
      <w:pPr>
        <w:pStyle w:val="BodyText"/>
        <w:ind w:left="626"/>
      </w:pPr>
      <w:r>
        <w:rPr>
          <w:rFonts w:ascii="Arial" w:hAnsi="Arial"/>
          <w:b/>
        </w:rPr>
        <w:t>ÚNICO.-</w:t>
      </w:r>
      <w:r>
        <w:rPr>
          <w:rFonts w:ascii="Arial" w:hAnsi="Arial"/>
          <w:b/>
          <w:spacing w:val="-5"/>
        </w:rPr>
        <w:t> </w:t>
      </w:r>
      <w:r>
        <w:rPr/>
        <w:t>El</w:t>
      </w:r>
      <w:r>
        <w:rPr>
          <w:spacing w:val="-7"/>
        </w:rPr>
        <w:t> </w:t>
      </w:r>
      <w:r>
        <w:rPr/>
        <w:t>presente</w:t>
      </w:r>
      <w:r>
        <w:rPr>
          <w:spacing w:val="-4"/>
        </w:rPr>
        <w:t> </w:t>
      </w:r>
      <w:r>
        <w:rPr/>
        <w:t>Decreto</w:t>
      </w:r>
      <w:r>
        <w:rPr>
          <w:spacing w:val="-7"/>
        </w:rPr>
        <w:t> </w:t>
      </w:r>
      <w:r>
        <w:rPr/>
        <w:t>entrará</w:t>
      </w:r>
      <w:r>
        <w:rPr>
          <w:spacing w:val="-5"/>
        </w:rPr>
        <w:t> </w:t>
      </w:r>
      <w:r>
        <w:rPr/>
        <w:t>en</w:t>
      </w:r>
      <w:r>
        <w:rPr>
          <w:spacing w:val="-6"/>
        </w:rPr>
        <w:t> </w:t>
      </w:r>
      <w:r>
        <w:rPr/>
        <w:t>vigor</w:t>
      </w:r>
      <w:r>
        <w:rPr>
          <w:spacing w:val="-5"/>
        </w:rPr>
        <w:t> </w:t>
      </w:r>
      <w:r>
        <w:rPr/>
        <w:t>el</w:t>
      </w:r>
      <w:r>
        <w:rPr>
          <w:spacing w:val="-5"/>
        </w:rPr>
        <w:t> </w:t>
      </w:r>
      <w:r>
        <w:rPr/>
        <w:t>20</w:t>
      </w:r>
      <w:r>
        <w:rPr>
          <w:spacing w:val="-4"/>
        </w:rPr>
        <w:t> </w:t>
      </w:r>
      <w:r>
        <w:rPr/>
        <w:t>de</w:t>
      </w:r>
      <w:r>
        <w:rPr>
          <w:spacing w:val="-4"/>
        </w:rPr>
        <w:t> </w:t>
      </w:r>
      <w:r>
        <w:rPr/>
        <w:t>marzo</w:t>
      </w:r>
      <w:r>
        <w:rPr>
          <w:spacing w:val="-6"/>
        </w:rPr>
        <w:t> </w:t>
      </w:r>
      <w:r>
        <w:rPr/>
        <w:t>de</w:t>
      </w:r>
      <w:r>
        <w:rPr>
          <w:spacing w:val="-3"/>
        </w:rPr>
        <w:t> </w:t>
      </w:r>
      <w:r>
        <w:rPr>
          <w:spacing w:val="-2"/>
        </w:rPr>
        <w:t>1998.</w:t>
      </w:r>
    </w:p>
    <w:p>
      <w:pPr>
        <w:spacing w:before="229"/>
        <w:ind w:left="338" w:right="334" w:firstLine="288"/>
        <w:jc w:val="both"/>
        <w:rPr>
          <w:rFonts w:ascii="Arial" w:hAnsi="Arial"/>
          <w:b/>
          <w:sz w:val="20"/>
        </w:rPr>
      </w:pPr>
      <w:r>
        <w:rPr>
          <w:sz w:val="20"/>
        </w:rPr>
        <w:t>México, D.F., a 12 de diciembre de 1997.- Sen. </w:t>
      </w:r>
      <w:r>
        <w:rPr>
          <w:rFonts w:ascii="Arial" w:hAnsi="Arial"/>
          <w:b/>
          <w:sz w:val="20"/>
        </w:rPr>
        <w:t>Heladio Ramírez López</w:t>
      </w:r>
      <w:r>
        <w:rPr>
          <w:sz w:val="20"/>
        </w:rPr>
        <w:t>, Presidente.- Dip. </w:t>
      </w:r>
      <w:r>
        <w:rPr>
          <w:rFonts w:ascii="Arial" w:hAnsi="Arial"/>
          <w:b/>
          <w:sz w:val="20"/>
        </w:rPr>
        <w:t>Luis Meneses Murillo</w:t>
      </w:r>
      <w:r>
        <w:rPr>
          <w:sz w:val="20"/>
        </w:rPr>
        <w:t>, Presidente.- Sen. </w:t>
      </w:r>
      <w:r>
        <w:rPr>
          <w:rFonts w:ascii="Arial" w:hAnsi="Arial"/>
          <w:b/>
          <w:sz w:val="20"/>
        </w:rPr>
        <w:t>José Antonio Valdivia</w:t>
      </w:r>
      <w:r>
        <w:rPr>
          <w:sz w:val="20"/>
        </w:rPr>
        <w:t>, Secretario.- Dip. </w:t>
      </w:r>
      <w:r>
        <w:rPr>
          <w:rFonts w:ascii="Arial" w:hAnsi="Arial"/>
          <w:b/>
          <w:sz w:val="20"/>
        </w:rPr>
        <w:t>Jaime Castro López</w:t>
      </w:r>
      <w:r>
        <w:rPr>
          <w:sz w:val="20"/>
        </w:rPr>
        <w:t>, Secretario.- Rúbricas.</w:t>
      </w:r>
      <w:r>
        <w:rPr>
          <w:rFonts w:ascii="Arial" w:hAnsi="Arial"/>
          <w:b/>
          <w:sz w:val="20"/>
        </w:rPr>
        <w:t>"</w:t>
      </w:r>
    </w:p>
    <w:p>
      <w:pPr>
        <w:pStyle w:val="BodyText"/>
        <w:spacing w:before="4"/>
        <w:rPr>
          <w:rFonts w:ascii="Arial"/>
          <w:b/>
        </w:rPr>
      </w:pPr>
    </w:p>
    <w:p>
      <w:pPr>
        <w:pStyle w:val="BodyText"/>
        <w:ind w:left="338" w:right="346" w:firstLine="288"/>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 residencia</w:t>
      </w:r>
      <w:r>
        <w:rPr>
          <w:spacing w:val="22"/>
        </w:rPr>
        <w:t> </w:t>
      </w:r>
      <w:r>
        <w:rPr/>
        <w:t>del</w:t>
      </w:r>
      <w:r>
        <w:rPr>
          <w:spacing w:val="21"/>
        </w:rPr>
        <w:t> </w:t>
      </w:r>
      <w:r>
        <w:rPr/>
        <w:t>Poder</w:t>
      </w:r>
      <w:r>
        <w:rPr>
          <w:spacing w:val="25"/>
        </w:rPr>
        <w:t> </w:t>
      </w:r>
      <w:r>
        <w:rPr/>
        <w:t>Ejecutivo</w:t>
      </w:r>
      <w:r>
        <w:rPr>
          <w:spacing w:val="22"/>
        </w:rPr>
        <w:t> </w:t>
      </w:r>
      <w:r>
        <w:rPr/>
        <w:t>Federal,</w:t>
      </w:r>
      <w:r>
        <w:rPr>
          <w:spacing w:val="22"/>
        </w:rPr>
        <w:t> </w:t>
      </w:r>
      <w:r>
        <w:rPr/>
        <w:t>en</w:t>
      </w:r>
      <w:r>
        <w:rPr>
          <w:spacing w:val="22"/>
        </w:rPr>
        <w:t> </w:t>
      </w:r>
      <w:r>
        <w:rPr/>
        <w:t>la</w:t>
      </w:r>
      <w:r>
        <w:rPr>
          <w:spacing w:val="22"/>
        </w:rPr>
        <w:t> </w:t>
      </w:r>
      <w:r>
        <w:rPr/>
        <w:t>Ciudad</w:t>
      </w:r>
      <w:r>
        <w:rPr>
          <w:spacing w:val="24"/>
        </w:rPr>
        <w:t> </w:t>
      </w:r>
      <w:r>
        <w:rPr/>
        <w:t>de</w:t>
      </w:r>
      <w:r>
        <w:rPr>
          <w:spacing w:val="22"/>
        </w:rPr>
        <w:t> </w:t>
      </w:r>
      <w:r>
        <w:rPr/>
        <w:t>México,</w:t>
      </w:r>
      <w:r>
        <w:rPr>
          <w:spacing w:val="22"/>
        </w:rPr>
        <w:t> </w:t>
      </w:r>
      <w:r>
        <w:rPr/>
        <w:t>Distrito</w:t>
      </w:r>
      <w:r>
        <w:rPr>
          <w:spacing w:val="22"/>
        </w:rPr>
        <w:t> </w:t>
      </w:r>
      <w:r>
        <w:rPr/>
        <w:t>Federal,</w:t>
      </w:r>
      <w:r>
        <w:rPr>
          <w:spacing w:val="22"/>
        </w:rPr>
        <w:t> </w:t>
      </w:r>
      <w:r>
        <w:rPr/>
        <w:t>a</w:t>
      </w:r>
      <w:r>
        <w:rPr>
          <w:spacing w:val="24"/>
        </w:rPr>
        <w:t> </w:t>
      </w:r>
      <w:r>
        <w:rPr/>
        <w:t>los</w:t>
      </w:r>
      <w:r>
        <w:rPr>
          <w:spacing w:val="23"/>
        </w:rPr>
        <w:t> </w:t>
      </w:r>
      <w:r>
        <w:rPr/>
        <w:t>treinta</w:t>
      </w:r>
      <w:r>
        <w:rPr>
          <w:spacing w:val="22"/>
        </w:rPr>
        <w:t> </w:t>
      </w:r>
      <w:r>
        <w:rPr/>
        <w:t>días</w:t>
      </w:r>
      <w:r>
        <w:rPr>
          <w:spacing w:val="23"/>
        </w:rPr>
        <w:t> </w:t>
      </w:r>
      <w:r>
        <w:rPr/>
        <w:t>del</w:t>
      </w:r>
    </w:p>
    <w:p>
      <w:pPr>
        <w:pStyle w:val="BodyText"/>
        <w:spacing w:after="0"/>
        <w:jc w:val="both"/>
        <w:sectPr>
          <w:pgSz w:w="12240" w:h="15840"/>
          <w:pgMar w:header="724" w:footer="712" w:top="1880" w:bottom="900" w:left="1080" w:right="1080"/>
        </w:sectPr>
      </w:pPr>
    </w:p>
    <w:p>
      <w:pPr>
        <w:pStyle w:val="BodyText"/>
        <w:spacing w:before="63"/>
      </w:pPr>
    </w:p>
    <w:p>
      <w:pPr>
        <w:spacing w:before="0"/>
        <w:ind w:left="338" w:right="0" w:firstLine="0"/>
        <w:jc w:val="left"/>
        <w:rPr>
          <w:sz w:val="20"/>
        </w:rPr>
      </w:pPr>
      <w:r>
        <w:rPr>
          <w:sz w:val="20"/>
        </w:rPr>
        <w:t>mes</w:t>
      </w:r>
      <w:r>
        <w:rPr>
          <w:spacing w:val="24"/>
          <w:sz w:val="20"/>
        </w:rPr>
        <w:t> </w:t>
      </w:r>
      <w:r>
        <w:rPr>
          <w:sz w:val="20"/>
        </w:rPr>
        <w:t>de</w:t>
      </w:r>
      <w:r>
        <w:rPr>
          <w:spacing w:val="23"/>
          <w:sz w:val="20"/>
        </w:rPr>
        <w:t> </w:t>
      </w:r>
      <w:r>
        <w:rPr>
          <w:sz w:val="20"/>
        </w:rPr>
        <w:t>diciembre</w:t>
      </w:r>
      <w:r>
        <w:rPr>
          <w:spacing w:val="23"/>
          <w:sz w:val="20"/>
        </w:rPr>
        <w:t> </w:t>
      </w:r>
      <w:r>
        <w:rPr>
          <w:sz w:val="20"/>
        </w:rPr>
        <w:t>de</w:t>
      </w:r>
      <w:r>
        <w:rPr>
          <w:spacing w:val="20"/>
          <w:sz w:val="20"/>
        </w:rPr>
        <w:t> </w:t>
      </w:r>
      <w:r>
        <w:rPr>
          <w:sz w:val="20"/>
        </w:rPr>
        <w:t>mil</w:t>
      </w:r>
      <w:r>
        <w:rPr>
          <w:spacing w:val="22"/>
          <w:sz w:val="20"/>
        </w:rPr>
        <w:t> </w:t>
      </w:r>
      <w:r>
        <w:rPr>
          <w:sz w:val="20"/>
        </w:rPr>
        <w:t>novecientos</w:t>
      </w:r>
      <w:r>
        <w:rPr>
          <w:spacing w:val="24"/>
          <w:sz w:val="20"/>
        </w:rPr>
        <w:t> </w:t>
      </w:r>
      <w:r>
        <w:rPr>
          <w:sz w:val="20"/>
        </w:rPr>
        <w:t>noventa</w:t>
      </w:r>
      <w:r>
        <w:rPr>
          <w:spacing w:val="27"/>
          <w:sz w:val="20"/>
        </w:rPr>
        <w:t> </w:t>
      </w:r>
      <w:r>
        <w:rPr>
          <w:sz w:val="20"/>
        </w:rPr>
        <w:t>y</w:t>
      </w:r>
      <w:r>
        <w:rPr>
          <w:spacing w:val="20"/>
          <w:sz w:val="20"/>
        </w:rPr>
        <w:t> </w:t>
      </w:r>
      <w:r>
        <w:rPr>
          <w:sz w:val="20"/>
        </w:rPr>
        <w:t>siete.-</w:t>
      </w:r>
      <w:r>
        <w:rPr>
          <w:spacing w:val="24"/>
          <w:sz w:val="20"/>
        </w:rPr>
        <w:t> </w:t>
      </w:r>
      <w:r>
        <w:rPr>
          <w:rFonts w:ascii="Arial" w:hAnsi="Arial"/>
          <w:b/>
          <w:sz w:val="20"/>
        </w:rPr>
        <w:t>Ernesto</w:t>
      </w:r>
      <w:r>
        <w:rPr>
          <w:rFonts w:ascii="Arial" w:hAnsi="Arial"/>
          <w:b/>
          <w:spacing w:val="24"/>
          <w:sz w:val="20"/>
        </w:rPr>
        <w:t> </w:t>
      </w:r>
      <w:r>
        <w:rPr>
          <w:rFonts w:ascii="Arial" w:hAnsi="Arial"/>
          <w:b/>
          <w:sz w:val="20"/>
        </w:rPr>
        <w:t>Zedillo</w:t>
      </w:r>
      <w:r>
        <w:rPr>
          <w:rFonts w:ascii="Arial" w:hAnsi="Arial"/>
          <w:b/>
          <w:spacing w:val="26"/>
          <w:sz w:val="20"/>
        </w:rPr>
        <w:t> </w:t>
      </w:r>
      <w:r>
        <w:rPr>
          <w:rFonts w:ascii="Arial" w:hAnsi="Arial"/>
          <w:b/>
          <w:sz w:val="20"/>
        </w:rPr>
        <w:t>Ponce</w:t>
      </w:r>
      <w:r>
        <w:rPr>
          <w:rFonts w:ascii="Arial" w:hAnsi="Arial"/>
          <w:b/>
          <w:spacing w:val="23"/>
          <w:sz w:val="20"/>
        </w:rPr>
        <w:t> </w:t>
      </w:r>
      <w:r>
        <w:rPr>
          <w:rFonts w:ascii="Arial" w:hAnsi="Arial"/>
          <w:b/>
          <w:sz w:val="20"/>
        </w:rPr>
        <w:t>de</w:t>
      </w:r>
      <w:r>
        <w:rPr>
          <w:rFonts w:ascii="Arial" w:hAnsi="Arial"/>
          <w:b/>
          <w:spacing w:val="23"/>
          <w:sz w:val="20"/>
        </w:rPr>
        <w:t> </w:t>
      </w:r>
      <w:r>
        <w:rPr>
          <w:rFonts w:ascii="Arial" w:hAnsi="Arial"/>
          <w:b/>
          <w:sz w:val="20"/>
        </w:rPr>
        <w:t>León</w:t>
      </w:r>
      <w:r>
        <w:rPr>
          <w:sz w:val="20"/>
        </w:rPr>
        <w:t>.-</w:t>
      </w:r>
      <w:r>
        <w:rPr>
          <w:spacing w:val="24"/>
          <w:sz w:val="20"/>
        </w:rPr>
        <w:t> </w:t>
      </w:r>
      <w:r>
        <w:rPr>
          <w:sz w:val="20"/>
        </w:rPr>
        <w:t>Rúbrica.-</w:t>
      </w:r>
      <w:r>
        <w:rPr>
          <w:spacing w:val="24"/>
          <w:sz w:val="20"/>
        </w:rPr>
        <w:t> </w:t>
      </w:r>
      <w:r>
        <w:rPr>
          <w:sz w:val="20"/>
        </w:rPr>
        <w:t>El Secretario de Gobernación, </w:t>
      </w:r>
      <w:r>
        <w:rPr>
          <w:rFonts w:ascii="Arial" w:hAnsi="Arial"/>
          <w:b/>
          <w:sz w:val="20"/>
        </w:rPr>
        <w:t>Emilio Chuayffet Chemor</w:t>
      </w:r>
      <w:r>
        <w:rPr>
          <w:sz w:val="20"/>
        </w:rPr>
        <w:t>.- Rúbrica.</w:t>
      </w:r>
    </w:p>
    <w:p>
      <w:pPr>
        <w:spacing w:after="0"/>
        <w:jc w:val="left"/>
        <w:rPr>
          <w:sz w:val="20"/>
        </w:rPr>
        <w:sectPr>
          <w:pgSz w:w="12240" w:h="15840"/>
          <w:pgMar w:header="724" w:footer="712" w:top="1880" w:bottom="900" w:left="1080" w:right="1080"/>
        </w:sectPr>
      </w:pPr>
    </w:p>
    <w:p>
      <w:pPr>
        <w:pStyle w:val="BodyText"/>
        <w:spacing w:before="40"/>
        <w:rPr>
          <w:sz w:val="22"/>
        </w:rPr>
      </w:pPr>
    </w:p>
    <w:p>
      <w:pPr>
        <w:pStyle w:val="Heading2"/>
        <w:ind w:right="0"/>
        <w:jc w:val="left"/>
      </w:pPr>
      <w:r>
        <w:rPr/>
        <w:t>DECRETO</w:t>
      </w:r>
      <w:r>
        <w:rPr>
          <w:spacing w:val="-4"/>
        </w:rPr>
        <w:t> </w:t>
      </w:r>
      <w:r>
        <w:rPr/>
        <w:t>por</w:t>
      </w:r>
      <w:r>
        <w:rPr>
          <w:spacing w:val="-2"/>
        </w:rPr>
        <w:t> </w:t>
      </w:r>
      <w:r>
        <w:rPr/>
        <w:t>el que</w:t>
      </w:r>
      <w:r>
        <w:rPr>
          <w:spacing w:val="-5"/>
        </w:rPr>
        <w:t> </w:t>
      </w:r>
      <w:r>
        <w:rPr/>
        <w:t>se</w:t>
      </w:r>
      <w:r>
        <w:rPr>
          <w:spacing w:val="-3"/>
        </w:rPr>
        <w:t> </w:t>
      </w:r>
      <w:r>
        <w:rPr/>
        <w:t>reforma</w:t>
      </w:r>
      <w:r>
        <w:rPr>
          <w:spacing w:val="-5"/>
        </w:rPr>
        <w:t> </w:t>
      </w:r>
      <w:r>
        <w:rPr/>
        <w:t>el</w:t>
      </w:r>
      <w:r>
        <w:rPr>
          <w:spacing w:val="-4"/>
        </w:rPr>
        <w:t> </w:t>
      </w:r>
      <w:r>
        <w:rPr/>
        <w:t>artículo</w:t>
      </w:r>
      <w:r>
        <w:rPr>
          <w:spacing w:val="-3"/>
        </w:rPr>
        <w:t> </w:t>
      </w:r>
      <w:r>
        <w:rPr/>
        <w:t>74</w:t>
      </w:r>
      <w:r>
        <w:rPr>
          <w:spacing w:val="-5"/>
        </w:rPr>
        <w:t> </w:t>
      </w:r>
      <w:r>
        <w:rPr/>
        <w:t>de</w:t>
      </w:r>
      <w:r>
        <w:rPr>
          <w:spacing w:val="-5"/>
        </w:rPr>
        <w:t> </w:t>
      </w:r>
      <w:r>
        <w:rPr/>
        <w:t>la</w:t>
      </w:r>
      <w:r>
        <w:rPr>
          <w:spacing w:val="-3"/>
        </w:rPr>
        <w:t> </w:t>
      </w:r>
      <w:r>
        <w:rPr/>
        <w:t>Ley</w:t>
      </w:r>
      <w:r>
        <w:rPr>
          <w:spacing w:val="-8"/>
        </w:rPr>
        <w:t> </w:t>
      </w:r>
      <w:r>
        <w:rPr/>
        <w:t>Federal</w:t>
      </w:r>
      <w:r>
        <w:rPr>
          <w:spacing w:val="-1"/>
        </w:rPr>
        <w:t> </w:t>
      </w:r>
      <w:r>
        <w:rPr/>
        <w:t>del</w:t>
      </w:r>
      <w:r>
        <w:rPr>
          <w:spacing w:val="-1"/>
        </w:rPr>
        <w:t> </w:t>
      </w:r>
      <w:r>
        <w:rPr>
          <w:spacing w:val="-2"/>
        </w:rPr>
        <w:t>Trabajo.</w:t>
      </w:r>
    </w:p>
    <w:p>
      <w:pPr>
        <w:spacing w:before="233"/>
        <w:ind w:left="294" w:right="29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17</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2006</w:t>
      </w:r>
    </w:p>
    <w:p>
      <w:pPr>
        <w:pStyle w:val="BodyText"/>
        <w:spacing w:before="43"/>
        <w:rPr>
          <w:sz w:val="16"/>
        </w:rPr>
      </w:pPr>
    </w:p>
    <w:p>
      <w:pPr>
        <w:pStyle w:val="BodyText"/>
        <w:spacing w:before="1"/>
        <w:ind w:left="626"/>
      </w:pPr>
      <w:r>
        <w:rPr>
          <w:rFonts w:ascii="Arial" w:hAnsi="Arial"/>
          <w:b/>
        </w:rPr>
        <w:t>ARTÍCULO</w:t>
      </w:r>
      <w:r>
        <w:rPr>
          <w:rFonts w:ascii="Arial" w:hAnsi="Arial"/>
          <w:b/>
          <w:spacing w:val="-6"/>
        </w:rPr>
        <w:t> </w:t>
      </w:r>
      <w:r>
        <w:rPr>
          <w:rFonts w:ascii="Arial" w:hAnsi="Arial"/>
          <w:b/>
        </w:rPr>
        <w:t>ÚNICO.-</w:t>
      </w:r>
      <w:r>
        <w:rPr>
          <w:rFonts w:ascii="Arial" w:hAnsi="Arial"/>
          <w:b/>
          <w:spacing w:val="-3"/>
        </w:rPr>
        <w:t> </w:t>
      </w:r>
      <w:r>
        <w:rPr/>
        <w:t>Se</w:t>
      </w:r>
      <w:r>
        <w:rPr>
          <w:spacing w:val="-6"/>
        </w:rPr>
        <w:t> </w:t>
      </w:r>
      <w:r>
        <w:rPr/>
        <w:t>reforma</w:t>
      </w:r>
      <w:r>
        <w:rPr>
          <w:spacing w:val="-5"/>
        </w:rPr>
        <w:t> </w:t>
      </w:r>
      <w:r>
        <w:rPr/>
        <w:t>el</w:t>
      </w:r>
      <w:r>
        <w:rPr>
          <w:spacing w:val="-7"/>
        </w:rPr>
        <w:t> </w:t>
      </w:r>
      <w:r>
        <w:rPr/>
        <w:t>artículo</w:t>
      </w:r>
      <w:r>
        <w:rPr>
          <w:spacing w:val="-4"/>
        </w:rPr>
        <w:t> </w:t>
      </w:r>
      <w:r>
        <w:rPr/>
        <w:t>74</w:t>
      </w:r>
      <w:r>
        <w:rPr>
          <w:spacing w:val="-4"/>
        </w:rPr>
        <w:t> </w:t>
      </w:r>
      <w:r>
        <w:rPr/>
        <w:t>de</w:t>
      </w:r>
      <w:r>
        <w:rPr>
          <w:spacing w:val="-5"/>
        </w:rPr>
        <w:t> </w:t>
      </w:r>
      <w:r>
        <w:rPr/>
        <w:t>la</w:t>
      </w:r>
      <w:r>
        <w:rPr>
          <w:spacing w:val="-4"/>
        </w:rPr>
        <w:t> </w:t>
      </w:r>
      <w:r>
        <w:rPr/>
        <w:t>Ley</w:t>
      </w:r>
      <w:r>
        <w:rPr>
          <w:spacing w:val="-7"/>
        </w:rPr>
        <w:t> </w:t>
      </w:r>
      <w:r>
        <w:rPr/>
        <w:t>Federal</w:t>
      </w:r>
      <w:r>
        <w:rPr>
          <w:spacing w:val="-4"/>
        </w:rPr>
        <w:t> </w:t>
      </w:r>
      <w:r>
        <w:rPr/>
        <w:t>del</w:t>
      </w:r>
      <w:r>
        <w:rPr>
          <w:spacing w:val="-7"/>
        </w:rPr>
        <w:t> </w:t>
      </w:r>
      <w:r>
        <w:rPr/>
        <w:t>Trabajo,</w:t>
      </w:r>
      <w:r>
        <w:rPr>
          <w:spacing w:val="-6"/>
        </w:rPr>
        <w:t> </w:t>
      </w:r>
      <w:r>
        <w:rPr/>
        <w:t>para</w:t>
      </w:r>
      <w:r>
        <w:rPr>
          <w:spacing w:val="-3"/>
        </w:rPr>
        <w:t> </w:t>
      </w:r>
      <w:r>
        <w:rPr/>
        <w:t>quedar</w:t>
      </w:r>
      <w:r>
        <w:rPr>
          <w:spacing w:val="-5"/>
        </w:rPr>
        <w:t> </w:t>
      </w:r>
      <w:r>
        <w:rPr/>
        <w:t>como</w:t>
      </w:r>
      <w:r>
        <w:rPr>
          <w:spacing w:val="-6"/>
        </w:rPr>
        <w:t> </w:t>
      </w:r>
      <w:r>
        <w:rPr>
          <w:spacing w:val="-2"/>
        </w:rPr>
        <w:t>sigue:</w:t>
      </w:r>
    </w:p>
    <w:p>
      <w:pPr>
        <w:pStyle w:val="BodyText"/>
        <w:spacing w:before="3"/>
      </w:pPr>
    </w:p>
    <w:p>
      <w:pPr>
        <w:spacing w:before="0"/>
        <w:ind w:left="626" w:right="0" w:firstLine="0"/>
        <w:jc w:val="left"/>
        <w:rPr>
          <w:sz w:val="20"/>
        </w:rPr>
      </w:pPr>
      <w:r>
        <w:rPr>
          <w:spacing w:val="-2"/>
          <w:sz w:val="20"/>
        </w:rPr>
        <w:t>..........</w:t>
      </w:r>
    </w:p>
    <w:p>
      <w:pPr>
        <w:pStyle w:val="Heading1"/>
        <w:spacing w:before="226"/>
        <w:ind w:left="297"/>
      </w:pPr>
      <w:r>
        <w:rPr>
          <w:spacing w:val="-2"/>
        </w:rPr>
        <w:t>TRANSITORIOS</w:t>
      </w:r>
    </w:p>
    <w:p>
      <w:pPr>
        <w:pStyle w:val="BodyText"/>
        <w:spacing w:before="1"/>
        <w:rPr>
          <w:rFonts w:ascii="Arial"/>
          <w:b/>
        </w:rPr>
      </w:pPr>
    </w:p>
    <w:p>
      <w:pPr>
        <w:pStyle w:val="BodyText"/>
        <w:spacing w:line="242" w:lineRule="auto" w:before="1"/>
        <w:ind w:left="338" w:right="342" w:firstLine="288"/>
        <w:jc w:val="both"/>
      </w:pPr>
      <w:r>
        <w:rPr>
          <w:rFonts w:ascii="Arial" w:hAnsi="Arial"/>
          <w:b/>
        </w:rPr>
        <w:t>ARTÍCULO PRIMERO.- </w:t>
      </w:r>
      <w:r>
        <w:rPr/>
        <w:t>El presente Decreto entrará en vigor el día siguiente de su publicación en el Diario Oficial de la Federación.</w:t>
      </w:r>
    </w:p>
    <w:p>
      <w:pPr>
        <w:pStyle w:val="BodyText"/>
        <w:spacing w:line="242" w:lineRule="auto" w:before="225"/>
        <w:ind w:left="338" w:right="341" w:firstLine="288"/>
        <w:jc w:val="both"/>
      </w:pPr>
      <w:r>
        <w:rPr>
          <w:rFonts w:ascii="Arial" w:hAnsi="Arial"/>
          <w:b/>
        </w:rPr>
        <w:t>ARTÍCULO SEGUNDO.- </w:t>
      </w:r>
      <w:r>
        <w:rPr/>
        <w:t>Por la conmemoración en el año 2006 del natalicio de Don Benito Juárez García, Benemérito de las Américas, la fracción III, tendrá vigencia a partir del año 2007.</w:t>
      </w:r>
    </w:p>
    <w:p>
      <w:pPr>
        <w:spacing w:before="226"/>
        <w:ind w:left="338" w:right="335" w:firstLine="288"/>
        <w:jc w:val="both"/>
        <w:rPr>
          <w:rFonts w:ascii="Arial" w:hAnsi="Arial"/>
          <w:b/>
          <w:sz w:val="20"/>
        </w:rPr>
      </w:pPr>
      <w:r>
        <w:rPr>
          <w:sz w:val="20"/>
        </w:rPr>
        <w:t>México, D.F., a 15 de diciembre</w:t>
      </w:r>
      <w:r>
        <w:rPr>
          <w:spacing w:val="-2"/>
          <w:sz w:val="20"/>
        </w:rPr>
        <w:t> </w:t>
      </w:r>
      <w:r>
        <w:rPr>
          <w:sz w:val="20"/>
        </w:rPr>
        <w:t>de</w:t>
      </w:r>
      <w:r>
        <w:rPr>
          <w:spacing w:val="-3"/>
          <w:sz w:val="20"/>
        </w:rPr>
        <w:t> </w:t>
      </w:r>
      <w:r>
        <w:rPr>
          <w:sz w:val="20"/>
        </w:rPr>
        <w:t>2005.- Dip.</w:t>
      </w:r>
      <w:r>
        <w:rPr>
          <w:spacing w:val="-1"/>
          <w:sz w:val="20"/>
        </w:rPr>
        <w:t> </w:t>
      </w:r>
      <w:r>
        <w:rPr>
          <w:rFonts w:ascii="Arial" w:hAnsi="Arial"/>
          <w:b/>
          <w:sz w:val="20"/>
        </w:rPr>
        <w:t>Heliodoro</w:t>
      </w:r>
      <w:r>
        <w:rPr>
          <w:rFonts w:ascii="Arial" w:hAnsi="Arial"/>
          <w:b/>
          <w:spacing w:val="-1"/>
          <w:sz w:val="20"/>
        </w:rPr>
        <w:t> </w:t>
      </w:r>
      <w:r>
        <w:rPr>
          <w:rFonts w:ascii="Arial" w:hAnsi="Arial"/>
          <w:b/>
          <w:sz w:val="20"/>
        </w:rPr>
        <w:t>Díaz Escárraga</w:t>
      </w:r>
      <w:r>
        <w:rPr>
          <w:sz w:val="20"/>
        </w:rPr>
        <w:t>, Presidente.- Sen. </w:t>
      </w:r>
      <w:r>
        <w:rPr>
          <w:rFonts w:ascii="Arial" w:hAnsi="Arial"/>
          <w:b/>
          <w:sz w:val="20"/>
        </w:rPr>
        <w:t>Enrique Jackson Ramírez</w:t>
      </w:r>
      <w:r>
        <w:rPr>
          <w:sz w:val="20"/>
        </w:rPr>
        <w:t>, Presidente.- Dip. </w:t>
      </w:r>
      <w:r>
        <w:rPr>
          <w:rFonts w:ascii="Arial" w:hAnsi="Arial"/>
          <w:b/>
          <w:sz w:val="20"/>
        </w:rPr>
        <w:t>Patricia Garduño Morales</w:t>
      </w:r>
      <w:r>
        <w:rPr>
          <w:sz w:val="20"/>
        </w:rPr>
        <w:t>, Secretaria.- Sen. </w:t>
      </w:r>
      <w:r>
        <w:rPr>
          <w:rFonts w:ascii="Arial" w:hAnsi="Arial"/>
          <w:b/>
          <w:sz w:val="20"/>
        </w:rPr>
        <w:t>Micaela Aguilar González</w:t>
      </w:r>
      <w:r>
        <w:rPr>
          <w:sz w:val="20"/>
        </w:rPr>
        <w:t>, Secretaria.- Rúbricas.</w:t>
      </w:r>
      <w:r>
        <w:rPr>
          <w:rFonts w:ascii="Arial" w:hAnsi="Arial"/>
          <w:b/>
          <w:sz w:val="20"/>
        </w:rPr>
        <w:t>"</w:t>
      </w:r>
    </w:p>
    <w:p>
      <w:pPr>
        <w:pStyle w:val="BodyText"/>
        <w:spacing w:before="2"/>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dieciséis días del mes de enero de dos mil seis.-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335"/>
        <w:jc w:val="both"/>
      </w:pPr>
      <w:r>
        <w:rPr/>
        <w:t>DECRETO por el que se reforman diversas Leyes Federales, con el objeto de actualizar todos aquellos artículos que hacen referencia a las Secretarías de Estado cuya denominación fue modificada y al Gobierno del Distrito Federal en lo conducente; así como eliminar la mención de los departamentos administrativos que ya no tienen </w:t>
      </w:r>
      <w:r>
        <w:rPr>
          <w:spacing w:val="-2"/>
        </w:rPr>
        <w:t>vigencia.</w:t>
      </w:r>
    </w:p>
    <w:p>
      <w:pPr>
        <w:spacing w:before="232"/>
        <w:ind w:left="296" w:right="29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2012</w:t>
      </w:r>
    </w:p>
    <w:p>
      <w:pPr>
        <w:pStyle w:val="BodyText"/>
        <w:spacing w:before="45"/>
        <w:rPr>
          <w:sz w:val="16"/>
        </w:rPr>
      </w:pPr>
    </w:p>
    <w:p>
      <w:pPr>
        <w:pStyle w:val="BodyText"/>
        <w:ind w:left="338" w:right="337" w:firstLine="288"/>
        <w:jc w:val="both"/>
      </w:pPr>
      <w:r>
        <w:rPr>
          <w:rFonts w:ascii="Arial" w:hAnsi="Arial"/>
          <w:b/>
        </w:rPr>
        <w:t>ARTÍCULO CUADRÁGESIMO OCTAVO. </w:t>
      </w:r>
      <w:r>
        <w:rPr/>
        <w:t>Se reforman los artículos 126, fracción VI; 407; 409; 411, primer párrafo; 415, fracción I; 419, fracciones II y IV; 512-E; 531; 539-A, segundo párrafo; 549, fracción III; 622; 623; 625, segundo párrafo; 633; 637, fracción II; 650; 656; 660, fracciones V y IX; 661; 663; 668; 669, fracción II; 670; 674, fracción I; 709, fracción I, inciso b); 845, fracción II, inciso b), y 1008; de la Ley Federal del Trabajo, para quedar como sigue:</w:t>
      </w:r>
    </w:p>
    <w:p>
      <w:pPr>
        <w:pStyle w:val="BodyText"/>
        <w:spacing w:before="3"/>
      </w:pPr>
    </w:p>
    <w:p>
      <w:pPr>
        <w:spacing w:before="1"/>
        <w:ind w:left="626" w:right="0" w:firstLine="0"/>
        <w:jc w:val="left"/>
        <w:rPr>
          <w:sz w:val="20"/>
        </w:rPr>
      </w:pPr>
      <w:r>
        <w:rPr>
          <w:spacing w:val="-4"/>
          <w:sz w:val="20"/>
        </w:rPr>
        <w:t>……….</w:t>
      </w:r>
    </w:p>
    <w:p>
      <w:pPr>
        <w:pStyle w:val="Heading1"/>
        <w:spacing w:before="226"/>
      </w:pPr>
      <w:r>
        <w:rPr>
          <w:spacing w:val="-2"/>
        </w:rPr>
        <w:t>TRANSITORIOS</w:t>
      </w:r>
    </w:p>
    <w:p>
      <w:pPr>
        <w:pStyle w:val="BodyText"/>
        <w:spacing w:before="1"/>
        <w:rPr>
          <w:rFonts w:ascii="Arial"/>
          <w:b/>
        </w:rPr>
      </w:pPr>
    </w:p>
    <w:p>
      <w:pPr>
        <w:pStyle w:val="BodyText"/>
        <w:ind w:left="338" w:right="347"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9"/>
        <w:ind w:left="338" w:right="340" w:firstLine="288"/>
        <w:jc w:val="both"/>
      </w:pPr>
      <w:r>
        <w:rPr>
          <w:rFonts w:ascii="Arial"/>
          <w:b/>
        </w:rPr>
        <w:t>Segundo. </w:t>
      </w:r>
      <w:r>
        <w:rPr/>
        <w:t>A partir de la fecha en que entre en vigor este Decreto, se dejan sin efecto las</w:t>
      </w:r>
      <w:r>
        <w:rPr>
          <w:spacing w:val="40"/>
        </w:rPr>
        <w:t> </w:t>
      </w:r>
      <w:r>
        <w:rPr/>
        <w:t>disposiciones que contravengan o se opongan al mismo.</w:t>
      </w:r>
    </w:p>
    <w:p>
      <w:pPr>
        <w:spacing w:before="227"/>
        <w:ind w:left="338" w:right="336" w:firstLine="288"/>
        <w:jc w:val="both"/>
        <w:rPr>
          <w:rFonts w:ascii="Arial" w:hAnsi="Arial"/>
          <w:b/>
          <w:sz w:val="20"/>
        </w:rPr>
      </w:pPr>
      <w:r>
        <w:rPr>
          <w:sz w:val="20"/>
        </w:rPr>
        <w:t>México, D.F., a 21 de febrero de 2012.- Dip. </w:t>
      </w:r>
      <w:r>
        <w:rPr>
          <w:rFonts w:ascii="Arial" w:hAnsi="Arial"/>
          <w:b/>
          <w:sz w:val="20"/>
        </w:rPr>
        <w:t>Guadalupe Acosta Naranjo</w:t>
      </w:r>
      <w:r>
        <w:rPr>
          <w:sz w:val="20"/>
        </w:rPr>
        <w:t>, Presidente.- Sen. </w:t>
      </w:r>
      <w:r>
        <w:rPr>
          <w:rFonts w:ascii="Arial" w:hAnsi="Arial"/>
          <w:b/>
          <w:sz w:val="20"/>
        </w:rPr>
        <w:t>José González Morfín</w:t>
      </w:r>
      <w:r>
        <w:rPr>
          <w:sz w:val="20"/>
        </w:rPr>
        <w:t>, Presidente.- Dip. </w:t>
      </w:r>
      <w:r>
        <w:rPr>
          <w:rFonts w:ascii="Arial" w:hAnsi="Arial"/>
          <w:b/>
          <w:sz w:val="20"/>
        </w:rPr>
        <w:t>Laura Arizmendi Campos</w:t>
      </w:r>
      <w:r>
        <w:rPr>
          <w:sz w:val="20"/>
        </w:rPr>
        <w:t>, Secretaria.- Sen. </w:t>
      </w:r>
      <w:r>
        <w:rPr>
          <w:rFonts w:ascii="Arial" w:hAnsi="Arial"/>
          <w:b/>
          <w:sz w:val="20"/>
        </w:rPr>
        <w:t>Renán Cleominio Zoreda Novelo</w:t>
      </w:r>
      <w:r>
        <w:rPr>
          <w:sz w:val="20"/>
        </w:rPr>
        <w:t>, Secretario.- Rúbricas.</w:t>
      </w:r>
      <w:r>
        <w:rPr>
          <w:rFonts w:ascii="Arial" w:hAnsi="Arial"/>
          <w:b/>
          <w:sz w:val="20"/>
        </w:rPr>
        <w:t>"</w:t>
      </w:r>
    </w:p>
    <w:p>
      <w:pPr>
        <w:pStyle w:val="BodyText"/>
        <w:spacing w:before="2"/>
        <w:rPr>
          <w:rFonts w:ascii="Arial"/>
          <w:b/>
        </w:rPr>
      </w:pPr>
    </w:p>
    <w:p>
      <w:pPr>
        <w:pStyle w:val="BodyText"/>
        <w:ind w:left="338" w:right="335" w:firstLine="288"/>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 Residencia del Poder Ejecutivo Federal, en la Ciudad de México, Distrito Federal, a treinta de marzo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338"/>
        <w:jc w:val="both"/>
      </w:pPr>
      <w:r>
        <w:rPr/>
        <w:t>DECRETO por el que se reforman, adicionan y derogan diversas disposiciones de la Ley Federal del Trabajo.</w:t>
      </w:r>
    </w:p>
    <w:p>
      <w:pPr>
        <w:spacing w:before="232"/>
        <w:ind w:left="296" w:right="296"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30</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2012</w:t>
      </w:r>
    </w:p>
    <w:p>
      <w:pPr>
        <w:pStyle w:val="BodyText"/>
        <w:spacing w:before="46"/>
        <w:rPr>
          <w:sz w:val="16"/>
        </w:rPr>
      </w:pPr>
    </w:p>
    <w:p>
      <w:pPr>
        <w:pStyle w:val="BodyText"/>
        <w:ind w:left="338" w:right="335" w:firstLine="288"/>
        <w:jc w:val="both"/>
      </w:pPr>
      <w:r>
        <w:rPr>
          <w:rFonts w:ascii="Arial" w:hAnsi="Arial"/>
          <w:b/>
        </w:rPr>
        <w:t>Artículo Único.- Se REFORMAN </w:t>
      </w:r>
      <w:r>
        <w:rPr/>
        <w:t>los artículos 2o; 3o; 4o, fracción I, inciso a); 5o, fracción VII; 25, fracciones I, II y IV; 28; 35; 43, primer párrafo, y fracción II; 47, fracciones II, VIII, y segundo, tercer y cuarto párrafos; 48; 50, fracción III; 51, fracción II; 56; 97, fracción IV; 103 Bis; 110, fracciones V y VII; 121, fracción II; 132, fracciones XVI, XVII, XVIII y XXVI; 133, primer párrafo y fracciones I y V; 134, fracción II; la denominación del Capítulo III Bis del Título Cuarto, para quedar como “De la Productividad, Formación y Capacitación de los Trabajadores”; 153-A; 153-B; 153-C; 153-D; 153-E; 153-F; 153-G; 153- H;</w:t>
      </w:r>
      <w:r>
        <w:rPr>
          <w:spacing w:val="16"/>
        </w:rPr>
        <w:t> </w:t>
      </w:r>
      <w:r>
        <w:rPr/>
        <w:t>153-I;</w:t>
      </w:r>
      <w:r>
        <w:rPr>
          <w:spacing w:val="18"/>
        </w:rPr>
        <w:t> </w:t>
      </w:r>
      <w:r>
        <w:rPr/>
        <w:t>153-J;</w:t>
      </w:r>
      <w:r>
        <w:rPr>
          <w:spacing w:val="18"/>
        </w:rPr>
        <w:t> </w:t>
      </w:r>
      <w:r>
        <w:rPr/>
        <w:t>153-K;</w:t>
      </w:r>
      <w:r>
        <w:rPr>
          <w:spacing w:val="18"/>
        </w:rPr>
        <w:t> </w:t>
      </w:r>
      <w:r>
        <w:rPr/>
        <w:t>153-L;</w:t>
      </w:r>
      <w:r>
        <w:rPr>
          <w:spacing w:val="15"/>
        </w:rPr>
        <w:t> </w:t>
      </w:r>
      <w:r>
        <w:rPr/>
        <w:t>153-N;</w:t>
      </w:r>
      <w:r>
        <w:rPr>
          <w:spacing w:val="18"/>
        </w:rPr>
        <w:t> </w:t>
      </w:r>
      <w:r>
        <w:rPr/>
        <w:t>153-Q;</w:t>
      </w:r>
      <w:r>
        <w:rPr>
          <w:spacing w:val="16"/>
        </w:rPr>
        <w:t> </w:t>
      </w:r>
      <w:r>
        <w:rPr/>
        <w:t>153-S;</w:t>
      </w:r>
      <w:r>
        <w:rPr>
          <w:spacing w:val="18"/>
        </w:rPr>
        <w:t> </w:t>
      </w:r>
      <w:r>
        <w:rPr/>
        <w:t>153-U;</w:t>
      </w:r>
      <w:r>
        <w:rPr>
          <w:spacing w:val="15"/>
        </w:rPr>
        <w:t> </w:t>
      </w:r>
      <w:r>
        <w:rPr/>
        <w:t>153-V,</w:t>
      </w:r>
      <w:r>
        <w:rPr>
          <w:spacing w:val="18"/>
        </w:rPr>
        <w:t> </w:t>
      </w:r>
      <w:r>
        <w:rPr/>
        <w:t>primer</w:t>
      </w:r>
      <w:r>
        <w:rPr>
          <w:spacing w:val="16"/>
        </w:rPr>
        <w:t> </w:t>
      </w:r>
      <w:r>
        <w:rPr/>
        <w:t>párrafo;</w:t>
      </w:r>
      <w:r>
        <w:rPr>
          <w:spacing w:val="16"/>
        </w:rPr>
        <w:t> </w:t>
      </w:r>
      <w:r>
        <w:rPr/>
        <w:t>154,</w:t>
      </w:r>
      <w:r>
        <w:rPr>
          <w:spacing w:val="15"/>
        </w:rPr>
        <w:t> </w:t>
      </w:r>
      <w:r>
        <w:rPr/>
        <w:t>primer</w:t>
      </w:r>
      <w:r>
        <w:rPr>
          <w:spacing w:val="16"/>
        </w:rPr>
        <w:t> </w:t>
      </w:r>
      <w:r>
        <w:rPr>
          <w:spacing w:val="-2"/>
        </w:rPr>
        <w:t>párrafo;</w:t>
      </w:r>
    </w:p>
    <w:p>
      <w:pPr>
        <w:pStyle w:val="BodyText"/>
        <w:spacing w:before="1"/>
        <w:ind w:left="338" w:right="332"/>
        <w:jc w:val="both"/>
      </w:pPr>
      <w:r>
        <w:rPr/>
        <w:t>157;</w:t>
      </w:r>
      <w:r>
        <w:rPr>
          <w:spacing w:val="-1"/>
        </w:rPr>
        <w:t> </w:t>
      </w:r>
      <w:r>
        <w:rPr/>
        <w:t>159;</w:t>
      </w:r>
      <w:r>
        <w:rPr>
          <w:spacing w:val="-1"/>
        </w:rPr>
        <w:t> </w:t>
      </w:r>
      <w:r>
        <w:rPr/>
        <w:t>168;</w:t>
      </w:r>
      <w:r>
        <w:rPr>
          <w:spacing w:val="-1"/>
        </w:rPr>
        <w:t> </w:t>
      </w:r>
      <w:r>
        <w:rPr/>
        <w:t>170,</w:t>
      </w:r>
      <w:r>
        <w:rPr>
          <w:spacing w:val="-1"/>
        </w:rPr>
        <w:t> </w:t>
      </w:r>
      <w:r>
        <w:rPr/>
        <w:t>fracciones II y</w:t>
      </w:r>
      <w:r>
        <w:rPr>
          <w:spacing w:val="-4"/>
        </w:rPr>
        <w:t> </w:t>
      </w:r>
      <w:r>
        <w:rPr/>
        <w:t>IV;</w:t>
      </w:r>
      <w:r>
        <w:rPr>
          <w:spacing w:val="-1"/>
        </w:rPr>
        <w:t> </w:t>
      </w:r>
      <w:r>
        <w:rPr/>
        <w:t>173;</w:t>
      </w:r>
      <w:r>
        <w:rPr>
          <w:spacing w:val="-1"/>
        </w:rPr>
        <w:t> </w:t>
      </w:r>
      <w:r>
        <w:rPr/>
        <w:t>174;</w:t>
      </w:r>
      <w:r>
        <w:rPr>
          <w:spacing w:val="-1"/>
        </w:rPr>
        <w:t> </w:t>
      </w:r>
      <w:r>
        <w:rPr/>
        <w:t>175; 176;</w:t>
      </w:r>
      <w:r>
        <w:rPr>
          <w:spacing w:val="-1"/>
        </w:rPr>
        <w:t> </w:t>
      </w:r>
      <w:r>
        <w:rPr/>
        <w:t>279,</w:t>
      </w:r>
      <w:r>
        <w:rPr>
          <w:spacing w:val="-1"/>
        </w:rPr>
        <w:t> </w:t>
      </w:r>
      <w:r>
        <w:rPr/>
        <w:t>primer párrafo;</w:t>
      </w:r>
      <w:r>
        <w:rPr>
          <w:spacing w:val="-1"/>
        </w:rPr>
        <w:t> </w:t>
      </w:r>
      <w:r>
        <w:rPr/>
        <w:t>280;</w:t>
      </w:r>
      <w:r>
        <w:rPr>
          <w:spacing w:val="-1"/>
        </w:rPr>
        <w:t> </w:t>
      </w:r>
      <w:r>
        <w:rPr/>
        <w:t>282;</w:t>
      </w:r>
      <w:r>
        <w:rPr>
          <w:spacing w:val="-1"/>
        </w:rPr>
        <w:t> </w:t>
      </w:r>
      <w:r>
        <w:rPr/>
        <w:t>283,</w:t>
      </w:r>
      <w:r>
        <w:rPr>
          <w:spacing w:val="10"/>
        </w:rPr>
        <w:t> </w:t>
      </w:r>
      <w:r>
        <w:rPr/>
        <w:t>fracciones II y actuales IV, V, VI y VII; 284, fracción III; 285; 311, actual segundo párrafo; 333; 336; 337, fracción II; 353-A, fracción II; 353-S; 366, fracción III y último párrafo; 371, fracciones IX y</w:t>
      </w:r>
      <w:r>
        <w:rPr>
          <w:spacing w:val="-2"/>
        </w:rPr>
        <w:t> </w:t>
      </w:r>
      <w:r>
        <w:rPr/>
        <w:t>XIII; 373; 427, fracción VI; 429, fracciones I</w:t>
      </w:r>
      <w:r>
        <w:rPr>
          <w:spacing w:val="14"/>
        </w:rPr>
        <w:t> </w:t>
      </w:r>
      <w:r>
        <w:rPr/>
        <w:t>y III; 430; 435, fracciones I y II; 439; 476; 490, fracción I; 502; 503, fracciones I, II, III y</w:t>
      </w:r>
      <w:r>
        <w:rPr>
          <w:spacing w:val="40"/>
        </w:rPr>
        <w:t> </w:t>
      </w:r>
      <w:r>
        <w:rPr/>
        <w:t>IV; 504, fracción V; 512-A; 512-B, párrafos primero y segundo; 512-C, primer párrafo; 512-D, primer párrafo; 512-F, primer párrafo; 513, primer párrafo; 514; 515; 521, fracción I; 523, fracción V; 527, fracciones I y II, numeral 2; 529, fracciones II, III y V; 532, fracción IV; 533; la denominación del Capítulo IV del Título Once, para quedar como “Del Servicio Nacional del Empleo”; 537; 538; 539, fracciones I, incisos b), c), d), e), f) y h), II, incisos a), d) y f), III, incisos b), c), d) y h); 539-A, primer y tercer párrafos; 539-B;</w:t>
      </w:r>
      <w:r>
        <w:rPr>
          <w:spacing w:val="23"/>
        </w:rPr>
        <w:t> </w:t>
      </w:r>
      <w:r>
        <w:rPr/>
        <w:t>541,</w:t>
      </w:r>
      <w:r>
        <w:rPr>
          <w:spacing w:val="25"/>
        </w:rPr>
        <w:t> </w:t>
      </w:r>
      <w:r>
        <w:rPr/>
        <w:t>fracción</w:t>
      </w:r>
      <w:r>
        <w:rPr>
          <w:spacing w:val="25"/>
        </w:rPr>
        <w:t> </w:t>
      </w:r>
      <w:r>
        <w:rPr/>
        <w:t>VI;</w:t>
      </w:r>
      <w:r>
        <w:rPr>
          <w:spacing w:val="25"/>
        </w:rPr>
        <w:t> </w:t>
      </w:r>
      <w:r>
        <w:rPr/>
        <w:t>546,</w:t>
      </w:r>
      <w:r>
        <w:rPr>
          <w:spacing w:val="23"/>
        </w:rPr>
        <w:t> </w:t>
      </w:r>
      <w:r>
        <w:rPr/>
        <w:t>fracciones</w:t>
      </w:r>
      <w:r>
        <w:rPr>
          <w:spacing w:val="26"/>
        </w:rPr>
        <w:t> </w:t>
      </w:r>
      <w:r>
        <w:rPr/>
        <w:t>II</w:t>
      </w:r>
      <w:r>
        <w:rPr>
          <w:spacing w:val="27"/>
        </w:rPr>
        <w:t> </w:t>
      </w:r>
      <w:r>
        <w:rPr/>
        <w:t>y</w:t>
      </w:r>
      <w:r>
        <w:rPr>
          <w:spacing w:val="22"/>
        </w:rPr>
        <w:t> </w:t>
      </w:r>
      <w:r>
        <w:rPr/>
        <w:t>V;</w:t>
      </w:r>
      <w:r>
        <w:rPr>
          <w:spacing w:val="25"/>
        </w:rPr>
        <w:t> </w:t>
      </w:r>
      <w:r>
        <w:rPr/>
        <w:t>552,</w:t>
      </w:r>
      <w:r>
        <w:rPr>
          <w:spacing w:val="25"/>
        </w:rPr>
        <w:t> </w:t>
      </w:r>
      <w:r>
        <w:rPr/>
        <w:t>fracción</w:t>
      </w:r>
      <w:r>
        <w:rPr>
          <w:spacing w:val="23"/>
        </w:rPr>
        <w:t> </w:t>
      </w:r>
      <w:r>
        <w:rPr/>
        <w:t>IV;</w:t>
      </w:r>
      <w:r>
        <w:rPr>
          <w:spacing w:val="23"/>
        </w:rPr>
        <w:t> </w:t>
      </w:r>
      <w:r>
        <w:rPr/>
        <w:t>555,</w:t>
      </w:r>
      <w:r>
        <w:rPr>
          <w:spacing w:val="25"/>
        </w:rPr>
        <w:t> </w:t>
      </w:r>
      <w:r>
        <w:rPr/>
        <w:t>fracción</w:t>
      </w:r>
      <w:r>
        <w:rPr>
          <w:spacing w:val="25"/>
        </w:rPr>
        <w:t> </w:t>
      </w:r>
      <w:r>
        <w:rPr/>
        <w:t>III;</w:t>
      </w:r>
      <w:r>
        <w:rPr>
          <w:spacing w:val="23"/>
        </w:rPr>
        <w:t> </w:t>
      </w:r>
      <w:r>
        <w:rPr/>
        <w:t>556,</w:t>
      </w:r>
      <w:r>
        <w:rPr>
          <w:spacing w:val="25"/>
        </w:rPr>
        <w:t> </w:t>
      </w:r>
      <w:r>
        <w:rPr/>
        <w:t>fracción</w:t>
      </w:r>
      <w:r>
        <w:rPr>
          <w:spacing w:val="23"/>
        </w:rPr>
        <w:t> </w:t>
      </w:r>
      <w:r>
        <w:rPr/>
        <w:t>II;</w:t>
      </w:r>
      <w:r>
        <w:rPr>
          <w:spacing w:val="25"/>
        </w:rPr>
        <w:t> </w:t>
      </w:r>
      <w:r>
        <w:rPr/>
        <w:t>560,</w:t>
      </w:r>
    </w:p>
    <w:p>
      <w:pPr>
        <w:pStyle w:val="BodyText"/>
        <w:spacing w:before="2"/>
        <w:ind w:left="338" w:right="339"/>
        <w:jc w:val="both"/>
      </w:pPr>
      <w:r>
        <w:rPr/>
        <w:t>fracción</w:t>
      </w:r>
      <w:r>
        <w:rPr>
          <w:spacing w:val="-2"/>
        </w:rPr>
        <w:t> </w:t>
      </w:r>
      <w:r>
        <w:rPr/>
        <w:t>III;</w:t>
      </w:r>
      <w:r>
        <w:rPr>
          <w:spacing w:val="-1"/>
        </w:rPr>
        <w:t> </w:t>
      </w:r>
      <w:r>
        <w:rPr/>
        <w:t>604;</w:t>
      </w:r>
      <w:r>
        <w:rPr>
          <w:spacing w:val="-1"/>
        </w:rPr>
        <w:t> </w:t>
      </w:r>
      <w:r>
        <w:rPr/>
        <w:t>605,</w:t>
      </w:r>
      <w:r>
        <w:rPr>
          <w:spacing w:val="-1"/>
        </w:rPr>
        <w:t> </w:t>
      </w:r>
      <w:r>
        <w:rPr/>
        <w:t>segundo</w:t>
      </w:r>
      <w:r>
        <w:rPr>
          <w:spacing w:val="-1"/>
        </w:rPr>
        <w:t> </w:t>
      </w:r>
      <w:r>
        <w:rPr/>
        <w:t>párrafo;</w:t>
      </w:r>
      <w:r>
        <w:rPr>
          <w:spacing w:val="-1"/>
        </w:rPr>
        <w:t> </w:t>
      </w:r>
      <w:r>
        <w:rPr/>
        <w:t>606,</w:t>
      </w:r>
      <w:r>
        <w:rPr>
          <w:spacing w:val="-1"/>
        </w:rPr>
        <w:t> </w:t>
      </w:r>
      <w:r>
        <w:rPr/>
        <w:t>primer párrafo;</w:t>
      </w:r>
      <w:r>
        <w:rPr>
          <w:spacing w:val="-1"/>
        </w:rPr>
        <w:t> </w:t>
      </w:r>
      <w:r>
        <w:rPr/>
        <w:t>607;</w:t>
      </w:r>
      <w:r>
        <w:rPr>
          <w:spacing w:val="-1"/>
        </w:rPr>
        <w:t> </w:t>
      </w:r>
      <w:r>
        <w:rPr/>
        <w:t>610,</w:t>
      </w:r>
      <w:r>
        <w:rPr>
          <w:spacing w:val="-1"/>
        </w:rPr>
        <w:t> </w:t>
      </w:r>
      <w:r>
        <w:rPr/>
        <w:t>primer párrafo y</w:t>
      </w:r>
      <w:r>
        <w:rPr>
          <w:spacing w:val="-4"/>
        </w:rPr>
        <w:t> </w:t>
      </w:r>
      <w:r>
        <w:rPr/>
        <w:t>actuales fracciones IV y</w:t>
      </w:r>
      <w:r>
        <w:rPr>
          <w:spacing w:val="-2"/>
        </w:rPr>
        <w:t> </w:t>
      </w:r>
      <w:r>
        <w:rPr/>
        <w:t>V;</w:t>
      </w:r>
      <w:r>
        <w:rPr>
          <w:spacing w:val="-1"/>
        </w:rPr>
        <w:t> </w:t>
      </w:r>
      <w:r>
        <w:rPr/>
        <w:t>612;</w:t>
      </w:r>
      <w:r>
        <w:rPr>
          <w:spacing w:val="-1"/>
        </w:rPr>
        <w:t> </w:t>
      </w:r>
      <w:r>
        <w:rPr/>
        <w:t>614,</w:t>
      </w:r>
      <w:r>
        <w:rPr>
          <w:spacing w:val="-1"/>
        </w:rPr>
        <w:t> </w:t>
      </w:r>
      <w:r>
        <w:rPr/>
        <w:t>primer párrafo y</w:t>
      </w:r>
      <w:r>
        <w:rPr>
          <w:spacing w:val="-7"/>
        </w:rPr>
        <w:t> </w:t>
      </w:r>
      <w:r>
        <w:rPr/>
        <w:t>fracción</w:t>
      </w:r>
      <w:r>
        <w:rPr>
          <w:spacing w:val="-2"/>
        </w:rPr>
        <w:t> </w:t>
      </w:r>
      <w:r>
        <w:rPr/>
        <w:t>I;</w:t>
      </w:r>
      <w:r>
        <w:rPr>
          <w:spacing w:val="-1"/>
        </w:rPr>
        <w:t> </w:t>
      </w:r>
      <w:r>
        <w:rPr/>
        <w:t>615,</w:t>
      </w:r>
      <w:r>
        <w:rPr>
          <w:spacing w:val="-1"/>
        </w:rPr>
        <w:t> </w:t>
      </w:r>
      <w:r>
        <w:rPr/>
        <w:t>primer párrafo y</w:t>
      </w:r>
      <w:r>
        <w:rPr>
          <w:spacing w:val="-7"/>
        </w:rPr>
        <w:t> </w:t>
      </w:r>
      <w:r>
        <w:rPr/>
        <w:t>fracciones II,</w:t>
      </w:r>
      <w:r>
        <w:rPr>
          <w:spacing w:val="-1"/>
        </w:rPr>
        <w:t> </w:t>
      </w:r>
      <w:r>
        <w:rPr/>
        <w:t>III, IV,</w:t>
      </w:r>
      <w:r>
        <w:rPr>
          <w:spacing w:val="-1"/>
        </w:rPr>
        <w:t> </w:t>
      </w:r>
      <w:r>
        <w:rPr/>
        <w:t>VI y</w:t>
      </w:r>
      <w:r>
        <w:rPr>
          <w:spacing w:val="-4"/>
        </w:rPr>
        <w:t> </w:t>
      </w:r>
      <w:r>
        <w:rPr/>
        <w:t>VII;</w:t>
      </w:r>
      <w:r>
        <w:rPr>
          <w:spacing w:val="-1"/>
        </w:rPr>
        <w:t> </w:t>
      </w:r>
      <w:r>
        <w:rPr/>
        <w:t>617,</w:t>
      </w:r>
      <w:r>
        <w:rPr>
          <w:spacing w:val="-1"/>
        </w:rPr>
        <w:t> </w:t>
      </w:r>
      <w:r>
        <w:rPr/>
        <w:t>primer párrafo y</w:t>
      </w:r>
      <w:r>
        <w:rPr>
          <w:spacing w:val="-2"/>
        </w:rPr>
        <w:t> </w:t>
      </w:r>
      <w:r>
        <w:rPr/>
        <w:t>fracción VII; 618, fracción II; 619, fracciones I</w:t>
      </w:r>
      <w:r>
        <w:rPr>
          <w:spacing w:val="11"/>
        </w:rPr>
        <w:t> </w:t>
      </w:r>
      <w:r>
        <w:rPr/>
        <w:t>y II; 620, fracciones I, II, inciso a), párrafo tercero, y III; 624; 625, primer párrafo; 626, actuales fracciones II, III y IV; 627, actuales fracciones II, III y IV; 628, fracciones II, III, IV y V; 629; 630; 631; 632; 634; 637, fracciones I y II; 642, actual fracción IV; 643, fracciones I, III y IV; 644, primer párrafo y fracciones I y II; 645, actual fracción IV; 646; 648; 664, primer párrafo; 685, primer párrafo; 688; la denominación del Capítulo II del Título Catorce, para quedar como “De</w:t>
      </w:r>
      <w:r>
        <w:rPr>
          <w:spacing w:val="25"/>
        </w:rPr>
        <w:t> </w:t>
      </w:r>
      <w:r>
        <w:rPr/>
        <w:t>la</w:t>
      </w:r>
      <w:r>
        <w:rPr>
          <w:spacing w:val="26"/>
        </w:rPr>
        <w:t> </w:t>
      </w:r>
      <w:r>
        <w:rPr/>
        <w:t>Capacidad,</w:t>
      </w:r>
      <w:r>
        <w:rPr>
          <w:spacing w:val="26"/>
        </w:rPr>
        <w:t> </w:t>
      </w:r>
      <w:r>
        <w:rPr/>
        <w:t>Personalidad</w:t>
      </w:r>
      <w:r>
        <w:rPr>
          <w:spacing w:val="30"/>
        </w:rPr>
        <w:t> </w:t>
      </w:r>
      <w:r>
        <w:rPr/>
        <w:t>y</w:t>
      </w:r>
      <w:r>
        <w:rPr>
          <w:spacing w:val="22"/>
        </w:rPr>
        <w:t> </w:t>
      </w:r>
      <w:r>
        <w:rPr/>
        <w:t>Legitimación”;</w:t>
      </w:r>
      <w:r>
        <w:rPr>
          <w:spacing w:val="26"/>
        </w:rPr>
        <w:t> </w:t>
      </w:r>
      <w:r>
        <w:rPr/>
        <w:t>689;</w:t>
      </w:r>
      <w:r>
        <w:rPr>
          <w:spacing w:val="26"/>
        </w:rPr>
        <w:t> </w:t>
      </w:r>
      <w:r>
        <w:rPr/>
        <w:t>691;</w:t>
      </w:r>
      <w:r>
        <w:rPr>
          <w:spacing w:val="25"/>
        </w:rPr>
        <w:t> </w:t>
      </w:r>
      <w:r>
        <w:rPr/>
        <w:t>692,</w:t>
      </w:r>
      <w:r>
        <w:rPr>
          <w:spacing w:val="26"/>
        </w:rPr>
        <w:t> </w:t>
      </w:r>
      <w:r>
        <w:rPr/>
        <w:t>fracciones</w:t>
      </w:r>
      <w:r>
        <w:rPr>
          <w:spacing w:val="26"/>
        </w:rPr>
        <w:t> </w:t>
      </w:r>
      <w:r>
        <w:rPr/>
        <w:t>II</w:t>
      </w:r>
      <w:r>
        <w:rPr>
          <w:spacing w:val="28"/>
        </w:rPr>
        <w:t> </w:t>
      </w:r>
      <w:r>
        <w:rPr/>
        <w:t>y</w:t>
      </w:r>
      <w:r>
        <w:rPr>
          <w:spacing w:val="25"/>
        </w:rPr>
        <w:t> </w:t>
      </w:r>
      <w:r>
        <w:rPr/>
        <w:t>IV;</w:t>
      </w:r>
      <w:r>
        <w:rPr>
          <w:spacing w:val="26"/>
        </w:rPr>
        <w:t> </w:t>
      </w:r>
      <w:r>
        <w:rPr/>
        <w:t>693;</w:t>
      </w:r>
      <w:r>
        <w:rPr>
          <w:spacing w:val="26"/>
        </w:rPr>
        <w:t> </w:t>
      </w:r>
      <w:r>
        <w:rPr/>
        <w:t>698,</w:t>
      </w:r>
      <w:r>
        <w:rPr>
          <w:spacing w:val="26"/>
        </w:rPr>
        <w:t> </w:t>
      </w:r>
      <w:r>
        <w:rPr>
          <w:spacing w:val="-2"/>
        </w:rPr>
        <w:t>segundo</w:t>
      </w:r>
    </w:p>
    <w:p>
      <w:pPr>
        <w:pStyle w:val="BodyText"/>
        <w:spacing w:line="229" w:lineRule="exact"/>
        <w:ind w:left="338"/>
        <w:jc w:val="both"/>
      </w:pPr>
      <w:r>
        <w:rPr/>
        <w:t>párrafo;</w:t>
      </w:r>
      <w:r>
        <w:rPr>
          <w:spacing w:val="25"/>
        </w:rPr>
        <w:t> </w:t>
      </w:r>
      <w:r>
        <w:rPr/>
        <w:t>700,</w:t>
      </w:r>
      <w:r>
        <w:rPr>
          <w:spacing w:val="28"/>
        </w:rPr>
        <w:t> </w:t>
      </w:r>
      <w:r>
        <w:rPr/>
        <w:t>fracción</w:t>
      </w:r>
      <w:r>
        <w:rPr>
          <w:spacing w:val="25"/>
        </w:rPr>
        <w:t> </w:t>
      </w:r>
      <w:r>
        <w:rPr/>
        <w:t>II,</w:t>
      </w:r>
      <w:r>
        <w:rPr>
          <w:spacing w:val="31"/>
        </w:rPr>
        <w:t> </w:t>
      </w:r>
      <w:r>
        <w:rPr/>
        <w:t>incisos</w:t>
      </w:r>
      <w:r>
        <w:rPr>
          <w:spacing w:val="27"/>
        </w:rPr>
        <w:t> </w:t>
      </w:r>
      <w:r>
        <w:rPr/>
        <w:t>a),</w:t>
      </w:r>
      <w:r>
        <w:rPr>
          <w:spacing w:val="28"/>
        </w:rPr>
        <w:t> </w:t>
      </w:r>
      <w:r>
        <w:rPr/>
        <w:t>b)</w:t>
      </w:r>
      <w:r>
        <w:rPr>
          <w:spacing w:val="32"/>
        </w:rPr>
        <w:t> </w:t>
      </w:r>
      <w:r>
        <w:rPr/>
        <w:t>y</w:t>
      </w:r>
      <w:r>
        <w:rPr>
          <w:spacing w:val="23"/>
        </w:rPr>
        <w:t> </w:t>
      </w:r>
      <w:r>
        <w:rPr/>
        <w:t>c);</w:t>
      </w:r>
      <w:r>
        <w:rPr>
          <w:spacing w:val="29"/>
        </w:rPr>
        <w:t> </w:t>
      </w:r>
      <w:r>
        <w:rPr/>
        <w:t>701;</w:t>
      </w:r>
      <w:r>
        <w:rPr>
          <w:spacing w:val="26"/>
        </w:rPr>
        <w:t> </w:t>
      </w:r>
      <w:r>
        <w:rPr/>
        <w:t>705,</w:t>
      </w:r>
      <w:r>
        <w:rPr>
          <w:spacing w:val="25"/>
        </w:rPr>
        <w:t> </w:t>
      </w:r>
      <w:r>
        <w:rPr/>
        <w:t>fracciones</w:t>
      </w:r>
      <w:r>
        <w:rPr>
          <w:spacing w:val="27"/>
        </w:rPr>
        <w:t> </w:t>
      </w:r>
      <w:r>
        <w:rPr/>
        <w:t>I,</w:t>
      </w:r>
      <w:r>
        <w:rPr>
          <w:spacing w:val="28"/>
        </w:rPr>
        <w:t> </w:t>
      </w:r>
      <w:r>
        <w:rPr/>
        <w:t>II</w:t>
      </w:r>
      <w:r>
        <w:rPr>
          <w:spacing w:val="32"/>
        </w:rPr>
        <w:t> </w:t>
      </w:r>
      <w:r>
        <w:rPr/>
        <w:t>y</w:t>
      </w:r>
      <w:r>
        <w:rPr>
          <w:spacing w:val="24"/>
        </w:rPr>
        <w:t> </w:t>
      </w:r>
      <w:r>
        <w:rPr/>
        <w:t>III;</w:t>
      </w:r>
      <w:r>
        <w:rPr>
          <w:spacing w:val="28"/>
        </w:rPr>
        <w:t> </w:t>
      </w:r>
      <w:r>
        <w:rPr/>
        <w:t>711;</w:t>
      </w:r>
      <w:r>
        <w:rPr>
          <w:spacing w:val="29"/>
        </w:rPr>
        <w:t> </w:t>
      </w:r>
      <w:r>
        <w:rPr/>
        <w:t>724;</w:t>
      </w:r>
      <w:r>
        <w:rPr>
          <w:spacing w:val="27"/>
        </w:rPr>
        <w:t> </w:t>
      </w:r>
      <w:r>
        <w:rPr/>
        <w:t>727;</w:t>
      </w:r>
      <w:r>
        <w:rPr>
          <w:spacing w:val="26"/>
        </w:rPr>
        <w:t> </w:t>
      </w:r>
      <w:r>
        <w:rPr/>
        <w:t>729,</w:t>
      </w:r>
      <w:r>
        <w:rPr>
          <w:spacing w:val="29"/>
        </w:rPr>
        <w:t> </w:t>
      </w:r>
      <w:r>
        <w:rPr>
          <w:spacing w:val="-2"/>
        </w:rPr>
        <w:t>primer</w:t>
      </w:r>
    </w:p>
    <w:p>
      <w:pPr>
        <w:pStyle w:val="BodyText"/>
        <w:ind w:left="338"/>
        <w:jc w:val="both"/>
      </w:pPr>
      <w:r>
        <w:rPr/>
        <w:t>párrafo</w:t>
      </w:r>
      <w:r>
        <w:rPr>
          <w:spacing w:val="-3"/>
        </w:rPr>
        <w:t> </w:t>
      </w:r>
      <w:r>
        <w:rPr/>
        <w:t>y</w:t>
      </w:r>
      <w:r>
        <w:rPr>
          <w:spacing w:val="-8"/>
        </w:rPr>
        <w:t> </w:t>
      </w:r>
      <w:r>
        <w:rPr/>
        <w:t>fracción</w:t>
      </w:r>
      <w:r>
        <w:rPr>
          <w:spacing w:val="-3"/>
        </w:rPr>
        <w:t> </w:t>
      </w:r>
      <w:r>
        <w:rPr/>
        <w:t>II;</w:t>
      </w:r>
      <w:r>
        <w:rPr>
          <w:spacing w:val="-3"/>
        </w:rPr>
        <w:t> </w:t>
      </w:r>
      <w:r>
        <w:rPr/>
        <w:t>731,</w:t>
      </w:r>
      <w:r>
        <w:rPr>
          <w:spacing w:val="-4"/>
        </w:rPr>
        <w:t> </w:t>
      </w:r>
      <w:r>
        <w:rPr/>
        <w:t>fracción</w:t>
      </w:r>
      <w:r>
        <w:rPr>
          <w:spacing w:val="-6"/>
        </w:rPr>
        <w:t> </w:t>
      </w:r>
      <w:r>
        <w:rPr/>
        <w:t>I;</w:t>
      </w:r>
      <w:r>
        <w:rPr>
          <w:spacing w:val="-5"/>
        </w:rPr>
        <w:t> </w:t>
      </w:r>
      <w:r>
        <w:rPr/>
        <w:t>734;</w:t>
      </w:r>
      <w:r>
        <w:rPr>
          <w:spacing w:val="-3"/>
        </w:rPr>
        <w:t> </w:t>
      </w:r>
      <w:r>
        <w:rPr/>
        <w:t>737;</w:t>
      </w:r>
      <w:r>
        <w:rPr>
          <w:spacing w:val="-3"/>
        </w:rPr>
        <w:t> </w:t>
      </w:r>
      <w:r>
        <w:rPr/>
        <w:t>739,</w:t>
      </w:r>
      <w:r>
        <w:rPr>
          <w:spacing w:val="-2"/>
        </w:rPr>
        <w:t> </w:t>
      </w:r>
      <w:r>
        <w:rPr/>
        <w:t>segundo</w:t>
      </w:r>
      <w:r>
        <w:rPr>
          <w:spacing w:val="-5"/>
        </w:rPr>
        <w:t> </w:t>
      </w:r>
      <w:r>
        <w:rPr/>
        <w:t>párrafo;</w:t>
      </w:r>
      <w:r>
        <w:rPr>
          <w:spacing w:val="-5"/>
        </w:rPr>
        <w:t> </w:t>
      </w:r>
      <w:r>
        <w:rPr/>
        <w:t>740;</w:t>
      </w:r>
      <w:r>
        <w:rPr>
          <w:spacing w:val="-3"/>
        </w:rPr>
        <w:t> </w:t>
      </w:r>
      <w:r>
        <w:rPr/>
        <w:t>742,</w:t>
      </w:r>
      <w:r>
        <w:rPr>
          <w:spacing w:val="-5"/>
        </w:rPr>
        <w:t> </w:t>
      </w:r>
      <w:r>
        <w:rPr/>
        <w:t>fracción</w:t>
      </w:r>
      <w:r>
        <w:rPr>
          <w:spacing w:val="-5"/>
        </w:rPr>
        <w:t> </w:t>
      </w:r>
      <w:r>
        <w:rPr/>
        <w:t>XI;</w:t>
      </w:r>
      <w:r>
        <w:rPr>
          <w:spacing w:val="-3"/>
        </w:rPr>
        <w:t> </w:t>
      </w:r>
      <w:r>
        <w:rPr/>
        <w:t>743,</w:t>
      </w:r>
      <w:r>
        <w:rPr>
          <w:spacing w:val="-5"/>
        </w:rPr>
        <w:t> </w:t>
      </w:r>
      <w:r>
        <w:rPr>
          <w:spacing w:val="-2"/>
        </w:rPr>
        <w:t>fracciones</w:t>
      </w:r>
    </w:p>
    <w:p>
      <w:pPr>
        <w:pStyle w:val="BodyText"/>
        <w:spacing w:before="1"/>
        <w:ind w:left="338"/>
        <w:jc w:val="both"/>
      </w:pPr>
      <w:r>
        <w:rPr/>
        <w:t>II</w:t>
      </w:r>
      <w:r>
        <w:rPr>
          <w:spacing w:val="19"/>
        </w:rPr>
        <w:t> </w:t>
      </w:r>
      <w:r>
        <w:rPr/>
        <w:t>y</w:t>
      </w:r>
      <w:r>
        <w:rPr>
          <w:spacing w:val="16"/>
        </w:rPr>
        <w:t> </w:t>
      </w:r>
      <w:r>
        <w:rPr/>
        <w:t>IV;</w:t>
      </w:r>
      <w:r>
        <w:rPr>
          <w:spacing w:val="17"/>
        </w:rPr>
        <w:t> </w:t>
      </w:r>
      <w:r>
        <w:rPr/>
        <w:t>753;</w:t>
      </w:r>
      <w:r>
        <w:rPr>
          <w:spacing w:val="20"/>
        </w:rPr>
        <w:t> </w:t>
      </w:r>
      <w:r>
        <w:rPr/>
        <w:t>763;</w:t>
      </w:r>
      <w:r>
        <w:rPr>
          <w:spacing w:val="19"/>
        </w:rPr>
        <w:t> </w:t>
      </w:r>
      <w:r>
        <w:rPr/>
        <w:t>772;</w:t>
      </w:r>
      <w:r>
        <w:rPr>
          <w:spacing w:val="18"/>
        </w:rPr>
        <w:t> </w:t>
      </w:r>
      <w:r>
        <w:rPr/>
        <w:t>773;</w:t>
      </w:r>
      <w:r>
        <w:rPr>
          <w:spacing w:val="17"/>
        </w:rPr>
        <w:t> </w:t>
      </w:r>
      <w:r>
        <w:rPr/>
        <w:t>776,</w:t>
      </w:r>
      <w:r>
        <w:rPr>
          <w:spacing w:val="17"/>
        </w:rPr>
        <w:t> </w:t>
      </w:r>
      <w:r>
        <w:rPr/>
        <w:t>fracción</w:t>
      </w:r>
      <w:r>
        <w:rPr>
          <w:spacing w:val="19"/>
        </w:rPr>
        <w:t> </w:t>
      </w:r>
      <w:r>
        <w:rPr/>
        <w:t>VIII;</w:t>
      </w:r>
      <w:r>
        <w:rPr>
          <w:spacing w:val="17"/>
        </w:rPr>
        <w:t> </w:t>
      </w:r>
      <w:r>
        <w:rPr/>
        <w:t>783;</w:t>
      </w:r>
      <w:r>
        <w:rPr>
          <w:spacing w:val="20"/>
        </w:rPr>
        <w:t> </w:t>
      </w:r>
      <w:r>
        <w:rPr/>
        <w:t>784,</w:t>
      </w:r>
      <w:r>
        <w:rPr>
          <w:spacing w:val="16"/>
        </w:rPr>
        <w:t> </w:t>
      </w:r>
      <w:r>
        <w:rPr/>
        <w:t>fracciones</w:t>
      </w:r>
      <w:r>
        <w:rPr>
          <w:spacing w:val="21"/>
        </w:rPr>
        <w:t> </w:t>
      </w:r>
      <w:r>
        <w:rPr/>
        <w:t>V,</w:t>
      </w:r>
      <w:r>
        <w:rPr>
          <w:spacing w:val="20"/>
        </w:rPr>
        <w:t> </w:t>
      </w:r>
      <w:r>
        <w:rPr/>
        <w:t>VI,</w:t>
      </w:r>
      <w:r>
        <w:rPr>
          <w:spacing w:val="19"/>
        </w:rPr>
        <w:t> </w:t>
      </w:r>
      <w:r>
        <w:rPr/>
        <w:t>VIII,</w:t>
      </w:r>
      <w:r>
        <w:rPr>
          <w:spacing w:val="18"/>
        </w:rPr>
        <w:t> </w:t>
      </w:r>
      <w:r>
        <w:rPr/>
        <w:t>IX</w:t>
      </w:r>
      <w:r>
        <w:rPr>
          <w:spacing w:val="21"/>
        </w:rPr>
        <w:t> </w:t>
      </w:r>
      <w:r>
        <w:rPr/>
        <w:t>y</w:t>
      </w:r>
      <w:r>
        <w:rPr>
          <w:spacing w:val="14"/>
        </w:rPr>
        <w:t> </w:t>
      </w:r>
      <w:r>
        <w:rPr/>
        <w:t>XIV;</w:t>
      </w:r>
      <w:r>
        <w:rPr>
          <w:spacing w:val="17"/>
        </w:rPr>
        <w:t> </w:t>
      </w:r>
      <w:r>
        <w:rPr/>
        <w:t>785;</w:t>
      </w:r>
      <w:r>
        <w:rPr>
          <w:spacing w:val="20"/>
        </w:rPr>
        <w:t> </w:t>
      </w:r>
      <w:r>
        <w:rPr/>
        <w:t>786;</w:t>
      </w:r>
      <w:r>
        <w:rPr>
          <w:spacing w:val="17"/>
        </w:rPr>
        <w:t> </w:t>
      </w:r>
      <w:r>
        <w:rPr>
          <w:spacing w:val="-4"/>
        </w:rPr>
        <w:t>790,</w:t>
      </w:r>
    </w:p>
    <w:p>
      <w:pPr>
        <w:pStyle w:val="BodyText"/>
        <w:ind w:left="338" w:right="337"/>
        <w:jc w:val="both"/>
      </w:pPr>
      <w:r>
        <w:rPr/>
        <w:t>fracción III; 793; 802,</w:t>
      </w:r>
      <w:r>
        <w:rPr>
          <w:spacing w:val="40"/>
        </w:rPr>
        <w:t> </w:t>
      </w:r>
      <w:r>
        <w:rPr/>
        <w:t>segundo párrafo; 804, fracción IV y último párrafo; 808; 813, fracciones I, II, y IV; 814; 815, fracciones II, IV, VI y VII; 816; 817; 823; 824; 825, fracciones III y IV; 828; 839; 840, fracciones III, IV y VI; 841; 850; 853; 856, primer párrafo; 857, fracción II; 861, primer párrafo y</w:t>
      </w:r>
      <w:r>
        <w:rPr>
          <w:spacing w:val="-2"/>
        </w:rPr>
        <w:t> </w:t>
      </w:r>
      <w:r>
        <w:rPr/>
        <w:t>fracciones II, III y IV; 863; 873; 875, primer y segundo párrafos; 876, fracciones I, II y V; 878, fracciones I, II, V, VII y VIII; 879, primer párrafo; 880, primer párrafo y fracciones II y IV; 883; 884, fracciones I, II, III y actual IV; 885, el primer párrafo; 886; 888, primer párrafo y fracción I; 891; 939; 940; 945, primer párrafo; 947, fracción IV; 949; 960; 962; 965, fracción II y último párrafo; 966, fracción II; 968; apartado A, fracciones I y III, y apartado B, fracciones I, II y III; 969, fracciones I y III; 970; 977, primer párrafo; 979, primer párrafo; 985, primer párrafo;</w:t>
      </w:r>
      <w:r>
        <w:rPr>
          <w:spacing w:val="-1"/>
        </w:rPr>
        <w:t> </w:t>
      </w:r>
      <w:r>
        <w:rPr/>
        <w:t>987; 991, primer párrafo;</w:t>
      </w:r>
      <w:r>
        <w:rPr>
          <w:spacing w:val="-1"/>
        </w:rPr>
        <w:t> </w:t>
      </w:r>
      <w:r>
        <w:rPr/>
        <w:t>992; 993; 994;</w:t>
      </w:r>
      <w:r>
        <w:rPr>
          <w:spacing w:val="-1"/>
        </w:rPr>
        <w:t> </w:t>
      </w:r>
      <w:r>
        <w:rPr/>
        <w:t>995; 996; 997; 998; 999; 1000;</w:t>
      </w:r>
      <w:r>
        <w:rPr>
          <w:spacing w:val="-1"/>
        </w:rPr>
        <w:t> </w:t>
      </w:r>
      <w:r>
        <w:rPr/>
        <w:t>1001;</w:t>
      </w:r>
      <w:r>
        <w:rPr>
          <w:spacing w:val="-1"/>
        </w:rPr>
        <w:t> </w:t>
      </w:r>
      <w:r>
        <w:rPr/>
        <w:t>1002;</w:t>
      </w:r>
      <w:r>
        <w:rPr>
          <w:spacing w:val="-1"/>
        </w:rPr>
        <w:t> </w:t>
      </w:r>
      <w:r>
        <w:rPr/>
        <w:t>1003,</w:t>
      </w:r>
    </w:p>
    <w:p>
      <w:pPr>
        <w:pStyle w:val="BodyText"/>
        <w:spacing w:line="242" w:lineRule="auto"/>
        <w:ind w:left="338" w:right="335"/>
        <w:jc w:val="both"/>
      </w:pPr>
      <w:r>
        <w:rPr/>
        <w:t>segundo párrafo; 1004, fracciones I, II y</w:t>
      </w:r>
      <w:r>
        <w:rPr>
          <w:spacing w:val="-2"/>
        </w:rPr>
        <w:t> </w:t>
      </w:r>
      <w:r>
        <w:rPr/>
        <w:t>III; 1005, primer párrafo y</w:t>
      </w:r>
      <w:r>
        <w:rPr>
          <w:spacing w:val="-2"/>
        </w:rPr>
        <w:t> </w:t>
      </w:r>
      <w:r>
        <w:rPr/>
        <w:t>1006; </w:t>
      </w:r>
      <w:r>
        <w:rPr>
          <w:rFonts w:ascii="Arial" w:hAnsi="Arial"/>
          <w:b/>
        </w:rPr>
        <w:t>se ADICIONAN </w:t>
      </w:r>
      <w:r>
        <w:rPr/>
        <w:t>los artículos 3o. Bis; 15-A; 15-B; 15-C; 15-D; 22 Bis; 28-A, 28-B; 39-A; 39-B; 39-C; 39-D; 39-E; 39-F; 42, con una fracción</w:t>
      </w:r>
    </w:p>
    <w:p>
      <w:pPr>
        <w:pStyle w:val="BodyText"/>
        <w:ind w:left="338" w:right="336"/>
        <w:jc w:val="both"/>
      </w:pPr>
      <w:r>
        <w:rPr/>
        <w:t>VIII; 42 Bis; 43, con una fracción V; 47, con una fracción XIV Bis y un penúltimo párrafo; 51, con una fracción</w:t>
      </w:r>
      <w:r>
        <w:rPr>
          <w:spacing w:val="-4"/>
        </w:rPr>
        <w:t> </w:t>
      </w:r>
      <w:r>
        <w:rPr/>
        <w:t>IX,</w:t>
      </w:r>
      <w:r>
        <w:rPr>
          <w:spacing w:val="-3"/>
        </w:rPr>
        <w:t> </w:t>
      </w:r>
      <w:r>
        <w:rPr/>
        <w:t>pasando</w:t>
      </w:r>
      <w:r>
        <w:rPr>
          <w:spacing w:val="-1"/>
        </w:rPr>
        <w:t> </w:t>
      </w:r>
      <w:r>
        <w:rPr/>
        <w:t>la</w:t>
      </w:r>
      <w:r>
        <w:rPr>
          <w:spacing w:val="-1"/>
        </w:rPr>
        <w:t> </w:t>
      </w:r>
      <w:r>
        <w:rPr/>
        <w:t>actual</w:t>
      </w:r>
      <w:r>
        <w:rPr>
          <w:spacing w:val="-2"/>
        </w:rPr>
        <w:t> </w:t>
      </w:r>
      <w:r>
        <w:rPr/>
        <w:t>fracción</w:t>
      </w:r>
      <w:r>
        <w:rPr>
          <w:spacing w:val="-4"/>
        </w:rPr>
        <w:t> </w:t>
      </w:r>
      <w:r>
        <w:rPr/>
        <w:t>IX a</w:t>
      </w:r>
      <w:r>
        <w:rPr>
          <w:spacing w:val="-1"/>
        </w:rPr>
        <w:t> </w:t>
      </w:r>
      <w:r>
        <w:rPr/>
        <w:t>ser</w:t>
      </w:r>
      <w:r>
        <w:rPr>
          <w:spacing w:val="-3"/>
        </w:rPr>
        <w:t> </w:t>
      </w:r>
      <w:r>
        <w:rPr/>
        <w:t>fracción</w:t>
      </w:r>
      <w:r>
        <w:rPr>
          <w:spacing w:val="-4"/>
        </w:rPr>
        <w:t> </w:t>
      </w:r>
      <w:r>
        <w:rPr/>
        <w:t>X;</w:t>
      </w:r>
      <w:r>
        <w:rPr>
          <w:spacing w:val="-1"/>
        </w:rPr>
        <w:t> </w:t>
      </w:r>
      <w:r>
        <w:rPr/>
        <w:t>56</w:t>
      </w:r>
      <w:r>
        <w:rPr>
          <w:spacing w:val="-1"/>
        </w:rPr>
        <w:t> </w:t>
      </w:r>
      <w:r>
        <w:rPr/>
        <w:t>Bis;</w:t>
      </w:r>
      <w:r>
        <w:rPr>
          <w:spacing w:val="-3"/>
        </w:rPr>
        <w:t> </w:t>
      </w:r>
      <w:r>
        <w:rPr/>
        <w:t>83,</w:t>
      </w:r>
      <w:r>
        <w:rPr>
          <w:spacing w:val="-1"/>
        </w:rPr>
        <w:t> </w:t>
      </w:r>
      <w:r>
        <w:rPr/>
        <w:t>con</w:t>
      </w:r>
      <w:r>
        <w:rPr>
          <w:spacing w:val="-1"/>
        </w:rPr>
        <w:t> </w:t>
      </w:r>
      <w:r>
        <w:rPr/>
        <w:t>un</w:t>
      </w:r>
      <w:r>
        <w:rPr>
          <w:spacing w:val="-1"/>
        </w:rPr>
        <w:t> </w:t>
      </w:r>
      <w:r>
        <w:rPr/>
        <w:t>segundo</w:t>
      </w:r>
      <w:r>
        <w:rPr>
          <w:spacing w:val="-1"/>
        </w:rPr>
        <w:t> </w:t>
      </w:r>
      <w:r>
        <w:rPr/>
        <w:t>párrafo,</w:t>
      </w:r>
      <w:r>
        <w:rPr>
          <w:spacing w:val="-3"/>
        </w:rPr>
        <w:t> </w:t>
      </w:r>
      <w:r>
        <w:rPr/>
        <w:t>pasando</w:t>
      </w:r>
      <w:r>
        <w:rPr>
          <w:spacing w:val="-1"/>
        </w:rPr>
        <w:t> </w:t>
      </w:r>
      <w:r>
        <w:rPr/>
        <w:t>el anterior segundo párrafo a ser tercero; 101, con un segundo párrafo; 121, con un segundo párrafo a la fracción IV; 127, con una fracción IV Bis; 132, con las fracciones XVI Bis; XIX Bis, XXIII Bis; XXVI Bis y XXVII Bis; 133, con las fracciones XII, XIII, XIV y XV; 135, con una fracción XI; 153-F Bis; 170, con una fracción II Bis; 175 Bis; 279, con un último párrafo; 279 Bis; 279 Ter; 283, con las fracciones IV, IX, X, XI,</w:t>
      </w:r>
    </w:p>
    <w:p>
      <w:pPr>
        <w:pStyle w:val="ListParagraph"/>
        <w:numPr>
          <w:ilvl w:val="0"/>
          <w:numId w:val="365"/>
        </w:numPr>
        <w:tabs>
          <w:tab w:pos="658" w:val="left" w:leader="none"/>
        </w:tabs>
        <w:spacing w:line="240" w:lineRule="auto" w:before="0" w:after="0"/>
        <w:ind w:left="658" w:right="0" w:hanging="320"/>
        <w:jc w:val="both"/>
        <w:rPr>
          <w:sz w:val="20"/>
        </w:rPr>
      </w:pPr>
      <w:r>
        <w:rPr>
          <w:sz w:val="20"/>
        </w:rPr>
        <w:t>y</w:t>
      </w:r>
      <w:r>
        <w:rPr>
          <w:spacing w:val="9"/>
          <w:sz w:val="20"/>
        </w:rPr>
        <w:t> </w:t>
      </w:r>
      <w:r>
        <w:rPr>
          <w:sz w:val="20"/>
        </w:rPr>
        <w:t>XIII;</w:t>
      </w:r>
      <w:r>
        <w:rPr>
          <w:spacing w:val="15"/>
          <w:sz w:val="20"/>
        </w:rPr>
        <w:t> </w:t>
      </w:r>
      <w:r>
        <w:rPr>
          <w:sz w:val="20"/>
        </w:rPr>
        <w:t>311,</w:t>
      </w:r>
      <w:r>
        <w:rPr>
          <w:spacing w:val="14"/>
          <w:sz w:val="20"/>
        </w:rPr>
        <w:t> </w:t>
      </w:r>
      <w:r>
        <w:rPr>
          <w:sz w:val="20"/>
        </w:rPr>
        <w:t>con</w:t>
      </w:r>
      <w:r>
        <w:rPr>
          <w:spacing w:val="14"/>
          <w:sz w:val="20"/>
        </w:rPr>
        <w:t> </w:t>
      </w:r>
      <w:r>
        <w:rPr>
          <w:sz w:val="20"/>
        </w:rPr>
        <w:t>un</w:t>
      </w:r>
      <w:r>
        <w:rPr>
          <w:spacing w:val="15"/>
          <w:sz w:val="20"/>
        </w:rPr>
        <w:t> </w:t>
      </w:r>
      <w:r>
        <w:rPr>
          <w:sz w:val="20"/>
        </w:rPr>
        <w:t>segundo</w:t>
      </w:r>
      <w:r>
        <w:rPr>
          <w:spacing w:val="14"/>
          <w:sz w:val="20"/>
        </w:rPr>
        <w:t> </w:t>
      </w:r>
      <w:r>
        <w:rPr>
          <w:sz w:val="20"/>
        </w:rPr>
        <w:t>párrafo,</w:t>
      </w:r>
      <w:r>
        <w:rPr>
          <w:spacing w:val="16"/>
          <w:sz w:val="20"/>
        </w:rPr>
        <w:t> </w:t>
      </w:r>
      <w:r>
        <w:rPr>
          <w:sz w:val="20"/>
        </w:rPr>
        <w:t>pasando</w:t>
      </w:r>
      <w:r>
        <w:rPr>
          <w:spacing w:val="15"/>
          <w:sz w:val="20"/>
        </w:rPr>
        <w:t> </w:t>
      </w:r>
      <w:r>
        <w:rPr>
          <w:sz w:val="20"/>
        </w:rPr>
        <w:t>el</w:t>
      </w:r>
      <w:r>
        <w:rPr>
          <w:spacing w:val="15"/>
          <w:sz w:val="20"/>
        </w:rPr>
        <w:t> </w:t>
      </w:r>
      <w:r>
        <w:rPr>
          <w:sz w:val="20"/>
        </w:rPr>
        <w:t>anterior</w:t>
      </w:r>
      <w:r>
        <w:rPr>
          <w:spacing w:val="15"/>
          <w:sz w:val="20"/>
        </w:rPr>
        <w:t> </w:t>
      </w:r>
      <w:r>
        <w:rPr>
          <w:sz w:val="20"/>
        </w:rPr>
        <w:t>segundo</w:t>
      </w:r>
      <w:r>
        <w:rPr>
          <w:spacing w:val="13"/>
          <w:sz w:val="20"/>
        </w:rPr>
        <w:t> </w:t>
      </w:r>
      <w:r>
        <w:rPr>
          <w:sz w:val="20"/>
        </w:rPr>
        <w:t>párrafo</w:t>
      </w:r>
      <w:r>
        <w:rPr>
          <w:spacing w:val="14"/>
          <w:sz w:val="20"/>
        </w:rPr>
        <w:t> </w:t>
      </w:r>
      <w:r>
        <w:rPr>
          <w:sz w:val="20"/>
        </w:rPr>
        <w:t>a</w:t>
      </w:r>
      <w:r>
        <w:rPr>
          <w:spacing w:val="15"/>
          <w:sz w:val="20"/>
        </w:rPr>
        <w:t> </w:t>
      </w:r>
      <w:r>
        <w:rPr>
          <w:sz w:val="20"/>
        </w:rPr>
        <w:t>ser</w:t>
      </w:r>
      <w:r>
        <w:rPr>
          <w:spacing w:val="15"/>
          <w:sz w:val="20"/>
        </w:rPr>
        <w:t> </w:t>
      </w:r>
      <w:r>
        <w:rPr>
          <w:sz w:val="20"/>
        </w:rPr>
        <w:t>tercero;</w:t>
      </w:r>
      <w:r>
        <w:rPr>
          <w:spacing w:val="15"/>
          <w:sz w:val="20"/>
        </w:rPr>
        <w:t> </w:t>
      </w:r>
      <w:r>
        <w:rPr>
          <w:sz w:val="20"/>
        </w:rPr>
        <w:t>un</w:t>
      </w:r>
      <w:r>
        <w:rPr>
          <w:spacing w:val="13"/>
          <w:sz w:val="20"/>
        </w:rPr>
        <w:t> </w:t>
      </w:r>
      <w:r>
        <w:rPr>
          <w:spacing w:val="-2"/>
          <w:sz w:val="20"/>
        </w:rPr>
        <w:t>Capítulo</w:t>
      </w:r>
    </w:p>
    <w:p>
      <w:pPr>
        <w:pStyle w:val="ListParagraph"/>
        <w:numPr>
          <w:ilvl w:val="0"/>
          <w:numId w:val="365"/>
        </w:numPr>
        <w:tabs>
          <w:tab w:pos="694" w:val="left" w:leader="none"/>
        </w:tabs>
        <w:spacing w:line="240" w:lineRule="auto" w:before="0" w:after="0"/>
        <w:ind w:left="338" w:right="334" w:firstLine="0"/>
        <w:jc w:val="both"/>
        <w:rPr>
          <w:sz w:val="20"/>
        </w:rPr>
      </w:pPr>
      <w:r>
        <w:rPr>
          <w:sz w:val="20"/>
        </w:rPr>
        <w:t>Bis denominado</w:t>
      </w:r>
      <w:r>
        <w:rPr>
          <w:spacing w:val="-2"/>
          <w:sz w:val="20"/>
        </w:rPr>
        <w:t> </w:t>
      </w:r>
      <w:r>
        <w:rPr>
          <w:sz w:val="20"/>
        </w:rPr>
        <w:t>“De los Trabajos en</w:t>
      </w:r>
      <w:r>
        <w:rPr>
          <w:spacing w:val="-2"/>
          <w:sz w:val="20"/>
        </w:rPr>
        <w:t> </w:t>
      </w:r>
      <w:r>
        <w:rPr>
          <w:sz w:val="20"/>
        </w:rPr>
        <w:t>Minas”,</w:t>
      </w:r>
      <w:r>
        <w:rPr>
          <w:spacing w:val="-1"/>
          <w:sz w:val="20"/>
        </w:rPr>
        <w:t> </w:t>
      </w:r>
      <w:r>
        <w:rPr>
          <w:sz w:val="20"/>
        </w:rPr>
        <w:t>al</w:t>
      </w:r>
      <w:r>
        <w:rPr>
          <w:spacing w:val="-2"/>
          <w:sz w:val="20"/>
        </w:rPr>
        <w:t> </w:t>
      </w:r>
      <w:r>
        <w:rPr>
          <w:sz w:val="20"/>
        </w:rPr>
        <w:t>Título Sexto,</w:t>
      </w:r>
      <w:r>
        <w:rPr>
          <w:spacing w:val="-1"/>
          <w:sz w:val="20"/>
        </w:rPr>
        <w:t> </w:t>
      </w:r>
      <w:r>
        <w:rPr>
          <w:sz w:val="20"/>
        </w:rPr>
        <w:t>que</w:t>
      </w:r>
      <w:r>
        <w:rPr>
          <w:spacing w:val="-2"/>
          <w:sz w:val="20"/>
        </w:rPr>
        <w:t> </w:t>
      </w:r>
      <w:r>
        <w:rPr>
          <w:sz w:val="20"/>
        </w:rPr>
        <w:t>comprende los artículos 343-A, 343- B,</w:t>
      </w:r>
      <w:r>
        <w:rPr>
          <w:spacing w:val="2"/>
          <w:sz w:val="20"/>
        </w:rPr>
        <w:t> </w:t>
      </w:r>
      <w:r>
        <w:rPr>
          <w:sz w:val="20"/>
        </w:rPr>
        <w:t>343-C,</w:t>
      </w:r>
      <w:r>
        <w:rPr>
          <w:spacing w:val="3"/>
          <w:sz w:val="20"/>
        </w:rPr>
        <w:t> </w:t>
      </w:r>
      <w:r>
        <w:rPr>
          <w:sz w:val="20"/>
        </w:rPr>
        <w:t>343-D</w:t>
      </w:r>
      <w:r>
        <w:rPr>
          <w:spacing w:val="4"/>
          <w:sz w:val="20"/>
        </w:rPr>
        <w:t> </w:t>
      </w:r>
      <w:r>
        <w:rPr>
          <w:sz w:val="20"/>
        </w:rPr>
        <w:t>y 343-E;</w:t>
      </w:r>
      <w:r>
        <w:rPr>
          <w:spacing w:val="2"/>
          <w:sz w:val="20"/>
        </w:rPr>
        <w:t> </w:t>
      </w:r>
      <w:r>
        <w:rPr>
          <w:sz w:val="20"/>
        </w:rPr>
        <w:t>357,</w:t>
      </w:r>
      <w:r>
        <w:rPr>
          <w:spacing w:val="1"/>
          <w:sz w:val="20"/>
        </w:rPr>
        <w:t> </w:t>
      </w:r>
      <w:r>
        <w:rPr>
          <w:sz w:val="20"/>
        </w:rPr>
        <w:t>con</w:t>
      </w:r>
      <w:r>
        <w:rPr>
          <w:spacing w:val="2"/>
          <w:sz w:val="20"/>
        </w:rPr>
        <w:t> </w:t>
      </w:r>
      <w:r>
        <w:rPr>
          <w:sz w:val="20"/>
        </w:rPr>
        <w:t>un</w:t>
      </w:r>
      <w:r>
        <w:rPr>
          <w:spacing w:val="2"/>
          <w:sz w:val="20"/>
        </w:rPr>
        <w:t> </w:t>
      </w:r>
      <w:r>
        <w:rPr>
          <w:sz w:val="20"/>
        </w:rPr>
        <w:t>segundo</w:t>
      </w:r>
      <w:r>
        <w:rPr>
          <w:spacing w:val="1"/>
          <w:sz w:val="20"/>
        </w:rPr>
        <w:t> </w:t>
      </w:r>
      <w:r>
        <w:rPr>
          <w:sz w:val="20"/>
        </w:rPr>
        <w:t>párrafo; 364</w:t>
      </w:r>
      <w:r>
        <w:rPr>
          <w:spacing w:val="2"/>
          <w:sz w:val="20"/>
        </w:rPr>
        <w:t> </w:t>
      </w:r>
      <w:r>
        <w:rPr>
          <w:sz w:val="20"/>
        </w:rPr>
        <w:t>Bis, 365</w:t>
      </w:r>
      <w:r>
        <w:rPr>
          <w:spacing w:val="2"/>
          <w:sz w:val="20"/>
        </w:rPr>
        <w:t> </w:t>
      </w:r>
      <w:r>
        <w:rPr>
          <w:sz w:val="20"/>
        </w:rPr>
        <w:t>Bis,</w:t>
      </w:r>
      <w:r>
        <w:rPr>
          <w:spacing w:val="2"/>
          <w:sz w:val="20"/>
        </w:rPr>
        <w:t> </w:t>
      </w:r>
      <w:r>
        <w:rPr>
          <w:sz w:val="20"/>
        </w:rPr>
        <w:t>377,</w:t>
      </w:r>
      <w:r>
        <w:rPr>
          <w:spacing w:val="2"/>
          <w:sz w:val="20"/>
        </w:rPr>
        <w:t> </w:t>
      </w:r>
      <w:r>
        <w:rPr>
          <w:sz w:val="20"/>
        </w:rPr>
        <w:t>con</w:t>
      </w:r>
      <w:r>
        <w:rPr>
          <w:spacing w:val="2"/>
          <w:sz w:val="20"/>
        </w:rPr>
        <w:t> </w:t>
      </w:r>
      <w:r>
        <w:rPr>
          <w:sz w:val="20"/>
        </w:rPr>
        <w:t>un</w:t>
      </w:r>
      <w:r>
        <w:rPr>
          <w:spacing w:val="1"/>
          <w:sz w:val="20"/>
        </w:rPr>
        <w:t> </w:t>
      </w:r>
      <w:r>
        <w:rPr>
          <w:sz w:val="20"/>
        </w:rPr>
        <w:t>último párrafo;</w:t>
      </w:r>
      <w:r>
        <w:rPr>
          <w:spacing w:val="-1"/>
          <w:sz w:val="20"/>
        </w:rPr>
        <w:t> </w:t>
      </w:r>
      <w:r>
        <w:rPr>
          <w:spacing w:val="-5"/>
          <w:sz w:val="20"/>
        </w:rPr>
        <w:t>391</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338" w:right="334"/>
        <w:jc w:val="both"/>
      </w:pPr>
      <w:r>
        <w:rPr/>
        <w:t>Bis; 424 Bis; 427,</w:t>
      </w:r>
      <w:r>
        <w:rPr>
          <w:spacing w:val="-1"/>
        </w:rPr>
        <w:t> </w:t>
      </w:r>
      <w:r>
        <w:rPr/>
        <w:t>con</w:t>
      </w:r>
      <w:r>
        <w:rPr>
          <w:spacing w:val="-1"/>
        </w:rPr>
        <w:t> </w:t>
      </w:r>
      <w:r>
        <w:rPr/>
        <w:t>una fracción VII; 429,</w:t>
      </w:r>
      <w:r>
        <w:rPr>
          <w:spacing w:val="-1"/>
        </w:rPr>
        <w:t> </w:t>
      </w:r>
      <w:r>
        <w:rPr/>
        <w:t>con una fracción IV; 432, con un tercer párrafo; 475 Bis; 504, con un último párrafo a la fracción V; 512-D Bis; 512-D Ter; 512-G; 525 Bis; 527, fracción I, con un numeral 22; 530 Bis; 533 Bis; 539, con las fracciones V y VI; 539-A, con un párrafo cuarto, pasando el anterior párrafo cuarto a ser quinto; 541, con una fracción VI Bis; 605, con un tercer y cuarto párrafos;</w:t>
      </w:r>
      <w:r>
        <w:rPr>
          <w:spacing w:val="80"/>
        </w:rPr>
        <w:t> </w:t>
      </w:r>
      <w:r>
        <w:rPr/>
        <w:t>605 Bis; 610, con una fracción II, recorriéndose las subsecuentes; 617, con las fracciones VIII y IX, pasando la actual fracción VIII a</w:t>
      </w:r>
      <w:r>
        <w:rPr>
          <w:spacing w:val="-1"/>
        </w:rPr>
        <w:t> </w:t>
      </w:r>
      <w:r>
        <w:rPr/>
        <w:t>ser X;</w:t>
      </w:r>
      <w:r>
        <w:rPr>
          <w:spacing w:val="-1"/>
        </w:rPr>
        <w:t> </w:t>
      </w:r>
      <w:r>
        <w:rPr/>
        <w:t>618, con una</w:t>
      </w:r>
      <w:r>
        <w:rPr>
          <w:spacing w:val="-1"/>
        </w:rPr>
        <w:t> </w:t>
      </w:r>
      <w:r>
        <w:rPr/>
        <w:t>fracción VIII, pasando la actual fracción VIII a</w:t>
      </w:r>
      <w:r>
        <w:rPr>
          <w:spacing w:val="-1"/>
        </w:rPr>
        <w:t> </w:t>
      </w:r>
      <w:r>
        <w:rPr/>
        <w:t>ser IX; 623, con un primer párrafo, pasando el anterior primer párrafo a ser segundo; 626, con una fracción II, recorriéndose las subsecuentes; 627, con una fracción III, recorriéndose las subsecuentes; 627-A; 627-B; 627-C; 641-A; 642, con las fracciones IV, V y VI, pasando las actuales fracciones IV y V a ser VII y VIII; 643,</w:t>
      </w:r>
      <w:r>
        <w:rPr>
          <w:spacing w:val="-1"/>
        </w:rPr>
        <w:t> </w:t>
      </w:r>
      <w:r>
        <w:rPr/>
        <w:t>con</w:t>
      </w:r>
      <w:r>
        <w:rPr>
          <w:spacing w:val="40"/>
        </w:rPr>
        <w:t> </w:t>
      </w:r>
      <w:r>
        <w:rPr/>
        <w:t>una</w:t>
      </w:r>
      <w:r>
        <w:rPr>
          <w:spacing w:val="-1"/>
        </w:rPr>
        <w:t> </w:t>
      </w:r>
      <w:r>
        <w:rPr/>
        <w:t>fracción</w:t>
      </w:r>
      <w:r>
        <w:rPr>
          <w:spacing w:val="-2"/>
        </w:rPr>
        <w:t> </w:t>
      </w:r>
      <w:r>
        <w:rPr/>
        <w:t>V, pasando la actual</w:t>
      </w:r>
      <w:r>
        <w:rPr>
          <w:spacing w:val="-2"/>
        </w:rPr>
        <w:t> </w:t>
      </w:r>
      <w:r>
        <w:rPr/>
        <w:t>fracción</w:t>
      </w:r>
      <w:r>
        <w:rPr>
          <w:spacing w:val="-2"/>
        </w:rPr>
        <w:t> </w:t>
      </w:r>
      <w:r>
        <w:rPr/>
        <w:t>V a</w:t>
      </w:r>
      <w:r>
        <w:rPr>
          <w:spacing w:val="-1"/>
        </w:rPr>
        <w:t> </w:t>
      </w:r>
      <w:r>
        <w:rPr/>
        <w:t>ser VI; 645,</w:t>
      </w:r>
      <w:r>
        <w:rPr>
          <w:spacing w:val="-1"/>
        </w:rPr>
        <w:t> </w:t>
      </w:r>
      <w:r>
        <w:rPr/>
        <w:t>con</w:t>
      </w:r>
      <w:r>
        <w:rPr>
          <w:spacing w:val="-1"/>
        </w:rPr>
        <w:t> </w:t>
      </w:r>
      <w:r>
        <w:rPr/>
        <w:t>una</w:t>
      </w:r>
      <w:r>
        <w:rPr>
          <w:spacing w:val="-2"/>
        </w:rPr>
        <w:t> </w:t>
      </w:r>
      <w:r>
        <w:rPr/>
        <w:t>fracción</w:t>
      </w:r>
      <w:r>
        <w:rPr>
          <w:spacing w:val="-2"/>
        </w:rPr>
        <w:t> </w:t>
      </w:r>
      <w:r>
        <w:rPr/>
        <w:t>II,</w:t>
      </w:r>
      <w:r>
        <w:rPr>
          <w:spacing w:val="-1"/>
        </w:rPr>
        <w:t> </w:t>
      </w:r>
      <w:r>
        <w:rPr/>
        <w:t>recorriéndose las subsecuentes, y un inciso d) a la actual fracción IV; 690, con un segundo párrafo; 739, con un tercer y cuarto</w:t>
      </w:r>
      <w:r>
        <w:rPr>
          <w:spacing w:val="-1"/>
        </w:rPr>
        <w:t> </w:t>
      </w:r>
      <w:r>
        <w:rPr/>
        <w:t>párrafos;</w:t>
      </w:r>
      <w:r>
        <w:rPr>
          <w:spacing w:val="-1"/>
        </w:rPr>
        <w:t> </w:t>
      </w:r>
      <w:r>
        <w:rPr/>
        <w:t>771,</w:t>
      </w:r>
      <w:r>
        <w:rPr>
          <w:spacing w:val="-1"/>
        </w:rPr>
        <w:t> </w:t>
      </w:r>
      <w:r>
        <w:rPr/>
        <w:t>con</w:t>
      </w:r>
      <w:r>
        <w:rPr>
          <w:spacing w:val="-2"/>
        </w:rPr>
        <w:t> </w:t>
      </w:r>
      <w:r>
        <w:rPr/>
        <w:t>un</w:t>
      </w:r>
      <w:r>
        <w:rPr>
          <w:spacing w:val="-1"/>
        </w:rPr>
        <w:t> </w:t>
      </w:r>
      <w:r>
        <w:rPr/>
        <w:t>segundo</w:t>
      </w:r>
      <w:r>
        <w:rPr>
          <w:spacing w:val="-1"/>
        </w:rPr>
        <w:t> </w:t>
      </w:r>
      <w:r>
        <w:rPr/>
        <w:t>párrafo;</w:t>
      </w:r>
      <w:r>
        <w:rPr>
          <w:spacing w:val="-1"/>
        </w:rPr>
        <w:t> </w:t>
      </w:r>
      <w:r>
        <w:rPr/>
        <w:t>774 Bis;</w:t>
      </w:r>
      <w:r>
        <w:rPr>
          <w:spacing w:val="-1"/>
        </w:rPr>
        <w:t> </w:t>
      </w:r>
      <w:r>
        <w:rPr/>
        <w:t>784,</w:t>
      </w:r>
      <w:r>
        <w:rPr>
          <w:spacing w:val="-1"/>
        </w:rPr>
        <w:t> </w:t>
      </w:r>
      <w:r>
        <w:rPr/>
        <w:t>con</w:t>
      </w:r>
      <w:r>
        <w:rPr>
          <w:spacing w:val="-2"/>
        </w:rPr>
        <w:t> </w:t>
      </w:r>
      <w:r>
        <w:rPr/>
        <w:t>un</w:t>
      </w:r>
      <w:r>
        <w:rPr>
          <w:spacing w:val="-2"/>
        </w:rPr>
        <w:t> </w:t>
      </w:r>
      <w:r>
        <w:rPr/>
        <w:t>último</w:t>
      </w:r>
      <w:r>
        <w:rPr>
          <w:spacing w:val="-1"/>
        </w:rPr>
        <w:t> </w:t>
      </w:r>
      <w:r>
        <w:rPr/>
        <w:t>párrafo;</w:t>
      </w:r>
      <w:r>
        <w:rPr>
          <w:spacing w:val="-1"/>
        </w:rPr>
        <w:t> </w:t>
      </w:r>
      <w:r>
        <w:rPr/>
        <w:t>815,</w:t>
      </w:r>
      <w:r>
        <w:rPr>
          <w:spacing w:val="-1"/>
        </w:rPr>
        <w:t> </w:t>
      </w:r>
      <w:r>
        <w:rPr/>
        <w:t>con</w:t>
      </w:r>
      <w:r>
        <w:rPr>
          <w:spacing w:val="-2"/>
        </w:rPr>
        <w:t> </w:t>
      </w:r>
      <w:r>
        <w:rPr/>
        <w:t>las fracciones X y XI; 826 Bis; una Sección Novena, denominada “De los Elementos Aportados por los Avances de la Ciencia”, al Capítulo XII, del Título Catorce, que comprende los artículos 836-A, 836-B, 836-C y 836-D; 884, con una fracción IV; pasando la actual IV a ser V; 885, con un segundo párrafo; una Sección Primera, al Capítulo XVIII del Título Catorce, denominada “Conflictos Individuales de Seguridad Social”, que</w:t>
      </w:r>
      <w:r>
        <w:rPr>
          <w:spacing w:val="-1"/>
        </w:rPr>
        <w:t> </w:t>
      </w:r>
      <w:r>
        <w:rPr/>
        <w:t>comprende</w:t>
      </w:r>
      <w:r>
        <w:rPr>
          <w:spacing w:val="-2"/>
        </w:rPr>
        <w:t> </w:t>
      </w:r>
      <w:r>
        <w:rPr/>
        <w:t>los artículos 899-A</w:t>
      </w:r>
      <w:r>
        <w:rPr>
          <w:spacing w:val="-1"/>
        </w:rPr>
        <w:t> </w:t>
      </w:r>
      <w:r>
        <w:rPr/>
        <w:t>al</w:t>
      </w:r>
      <w:r>
        <w:rPr>
          <w:spacing w:val="-2"/>
        </w:rPr>
        <w:t> </w:t>
      </w:r>
      <w:r>
        <w:rPr/>
        <w:t>899-G;</w:t>
      </w:r>
      <w:r>
        <w:rPr>
          <w:spacing w:val="-1"/>
        </w:rPr>
        <w:t> </w:t>
      </w:r>
      <w:r>
        <w:rPr/>
        <w:t>985,</w:t>
      </w:r>
      <w:r>
        <w:rPr>
          <w:spacing w:val="-1"/>
        </w:rPr>
        <w:t> </w:t>
      </w:r>
      <w:r>
        <w:rPr/>
        <w:t>con</w:t>
      </w:r>
      <w:r>
        <w:rPr>
          <w:spacing w:val="-2"/>
        </w:rPr>
        <w:t> </w:t>
      </w:r>
      <w:r>
        <w:rPr/>
        <w:t>una</w:t>
      </w:r>
      <w:r>
        <w:rPr>
          <w:spacing w:val="-1"/>
        </w:rPr>
        <w:t> </w:t>
      </w:r>
      <w:r>
        <w:rPr/>
        <w:t>fracción</w:t>
      </w:r>
      <w:r>
        <w:rPr>
          <w:spacing w:val="-2"/>
        </w:rPr>
        <w:t> </w:t>
      </w:r>
      <w:r>
        <w:rPr/>
        <w:t>III;</w:t>
      </w:r>
      <w:r>
        <w:rPr>
          <w:spacing w:val="-1"/>
        </w:rPr>
        <w:t> </w:t>
      </w:r>
      <w:r>
        <w:rPr/>
        <w:t>995</w:t>
      </w:r>
      <w:r>
        <w:rPr>
          <w:spacing w:val="-1"/>
        </w:rPr>
        <w:t> </w:t>
      </w:r>
      <w:r>
        <w:rPr/>
        <w:t>Bis;</w:t>
      </w:r>
      <w:r>
        <w:rPr>
          <w:spacing w:val="-1"/>
        </w:rPr>
        <w:t> </w:t>
      </w:r>
      <w:r>
        <w:rPr/>
        <w:t>1004-A;</w:t>
      </w:r>
      <w:r>
        <w:rPr>
          <w:spacing w:val="-1"/>
        </w:rPr>
        <w:t> </w:t>
      </w:r>
      <w:r>
        <w:rPr/>
        <w:t>1004-B y</w:t>
      </w:r>
      <w:r>
        <w:rPr>
          <w:spacing w:val="-4"/>
        </w:rPr>
        <w:t> </w:t>
      </w:r>
      <w:r>
        <w:rPr/>
        <w:t>1004-C; y </w:t>
      </w:r>
      <w:r>
        <w:rPr>
          <w:rFonts w:ascii="Arial" w:hAnsi="Arial"/>
          <w:b/>
        </w:rPr>
        <w:t>se DEROGAN </w:t>
      </w:r>
      <w:r>
        <w:rPr/>
        <w:t>los artículos 153-O; 153-P; 153-R; 153-V, cuarto párrafo; 395, segundo párrafo; 512-D, segundo y tercer párrafos; 523, fracción IX; 525; 539, fracción III, incisos a) y e); los Capítulos X y XI del Título Once, que comprenden los artículos 591 al 603; 614, fracción V; 616, fracción II; 700, fracción I; 765; el Capítulo XVI del Título Catorce, que comprende los artículos 865 al 869; 876, fracción IV; 875, primer párrafo, inciso c); 877; 882; 991, segundo párrafo; 1004, último párrafo de la Ley Federal del Trabajo, para quedar como sigue:</w:t>
      </w:r>
    </w:p>
    <w:p>
      <w:pPr>
        <w:pStyle w:val="Heading2"/>
        <w:spacing w:before="227"/>
        <w:ind w:left="300"/>
      </w:pPr>
      <w:r>
        <w:rPr>
          <w:spacing w:val="-2"/>
        </w:rPr>
        <w:t>Transitorios</w:t>
      </w:r>
    </w:p>
    <w:p>
      <w:pPr>
        <w:pStyle w:val="BodyText"/>
        <w:spacing w:line="242" w:lineRule="auto" w:before="231"/>
        <w:ind w:left="338" w:right="345"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7"/>
        <w:ind w:left="338" w:right="336" w:firstLine="288"/>
        <w:jc w:val="both"/>
      </w:pPr>
      <w:r>
        <w:rPr>
          <w:rFonts w:ascii="Arial" w:hAnsi="Arial"/>
          <w:b/>
        </w:rPr>
        <w:t>Segundo. </w:t>
      </w:r>
      <w:r>
        <w:rPr/>
        <w:t>Los patrones contarán con treinta y seis meses a partir de la entrada en vigor del presente Decreto, para realizar las adecuaciones a las instalaciones de los centros de trabajo, a fin de facilitar el acceso y desarrollo de actividades de las personas con discapacidad.</w:t>
      </w:r>
    </w:p>
    <w:p>
      <w:pPr>
        <w:pStyle w:val="BodyText"/>
        <w:spacing w:before="225"/>
        <w:ind w:left="338" w:right="341" w:firstLine="288"/>
        <w:jc w:val="both"/>
      </w:pPr>
      <w:r>
        <w:rPr/>
        <w:t>Asimismo, los patrones contarán con doce meses a partir de la entrada en vigor del presente Decreto, para proceder a realizar los trámites conducentes para afiliar el centro de trabajo al Instituto del Fondo Nacional para el Consumo de los Trabajadores.</w:t>
      </w:r>
    </w:p>
    <w:p>
      <w:pPr>
        <w:pStyle w:val="BodyText"/>
        <w:spacing w:before="229"/>
        <w:ind w:left="338" w:right="338" w:firstLine="288"/>
        <w:jc w:val="both"/>
      </w:pPr>
      <w:r>
        <w:rPr>
          <w:rFonts w:ascii="Arial" w:hAnsi="Arial"/>
          <w:b/>
        </w:rPr>
        <w:t>Tercero. </w:t>
      </w:r>
      <w:r>
        <w:rPr/>
        <w:t>El Titular del Ejecutivo Federal, los Gobernadores de los Estados, así como el Jefe de Gobierno del Distrito Federal, en el ámbito de sus respectivas competencias, contarán con un plazo de seis meses, para adecuar los ordenamientos reglamentarios que correspondan, a las disposiciones contenidas en este Decreto.</w:t>
      </w:r>
    </w:p>
    <w:p>
      <w:pPr>
        <w:pStyle w:val="BodyText"/>
        <w:spacing w:before="1"/>
      </w:pPr>
    </w:p>
    <w:p>
      <w:pPr>
        <w:pStyle w:val="BodyText"/>
        <w:ind w:left="338" w:right="342" w:firstLine="288"/>
        <w:jc w:val="both"/>
      </w:pPr>
      <w:r>
        <w:rPr>
          <w:rFonts w:ascii="Arial" w:hAnsi="Arial"/>
          <w:b/>
        </w:rPr>
        <w:t>Cuarto. </w:t>
      </w:r>
      <w:r>
        <w:rPr/>
        <w:t>La Secretaría del Trabajo y Previsión Social deberá expedir las tablas de enfermedades de trabajo</w:t>
      </w:r>
      <w:r>
        <w:rPr>
          <w:spacing w:val="-1"/>
        </w:rPr>
        <w:t> </w:t>
      </w:r>
      <w:r>
        <w:rPr/>
        <w:t>y</w:t>
      </w:r>
      <w:r>
        <w:rPr>
          <w:spacing w:val="-5"/>
        </w:rPr>
        <w:t> </w:t>
      </w:r>
      <w:r>
        <w:rPr/>
        <w:t>de</w:t>
      </w:r>
      <w:r>
        <w:rPr>
          <w:spacing w:val="-3"/>
        </w:rPr>
        <w:t> </w:t>
      </w:r>
      <w:r>
        <w:rPr/>
        <w:t>valuación</w:t>
      </w:r>
      <w:r>
        <w:rPr>
          <w:spacing w:val="-1"/>
        </w:rPr>
        <w:t> </w:t>
      </w:r>
      <w:r>
        <w:rPr/>
        <w:t>de</w:t>
      </w:r>
      <w:r>
        <w:rPr>
          <w:spacing w:val="-3"/>
        </w:rPr>
        <w:t> </w:t>
      </w:r>
      <w:r>
        <w:rPr/>
        <w:t>incapacidades</w:t>
      </w:r>
      <w:r>
        <w:rPr>
          <w:spacing w:val="-2"/>
        </w:rPr>
        <w:t> </w:t>
      </w:r>
      <w:r>
        <w:rPr/>
        <w:t>permanentes resultantes</w:t>
      </w:r>
      <w:r>
        <w:rPr>
          <w:spacing w:val="-2"/>
        </w:rPr>
        <w:t> </w:t>
      </w:r>
      <w:r>
        <w:rPr/>
        <w:t>de</w:t>
      </w:r>
      <w:r>
        <w:rPr>
          <w:spacing w:val="-3"/>
        </w:rPr>
        <w:t> </w:t>
      </w:r>
      <w:r>
        <w:rPr/>
        <w:t>los</w:t>
      </w:r>
      <w:r>
        <w:rPr>
          <w:spacing w:val="-2"/>
        </w:rPr>
        <w:t> </w:t>
      </w:r>
      <w:r>
        <w:rPr/>
        <w:t>riesgos</w:t>
      </w:r>
      <w:r>
        <w:rPr>
          <w:spacing w:val="-2"/>
        </w:rPr>
        <w:t> </w:t>
      </w:r>
      <w:r>
        <w:rPr/>
        <w:t>de</w:t>
      </w:r>
      <w:r>
        <w:rPr>
          <w:spacing w:val="-3"/>
        </w:rPr>
        <w:t> </w:t>
      </w:r>
      <w:r>
        <w:rPr/>
        <w:t>trabajo,</w:t>
      </w:r>
      <w:r>
        <w:rPr>
          <w:spacing w:val="-3"/>
        </w:rPr>
        <w:t> </w:t>
      </w:r>
      <w:r>
        <w:rPr/>
        <w:t>en</w:t>
      </w:r>
      <w:r>
        <w:rPr>
          <w:spacing w:val="-1"/>
        </w:rPr>
        <w:t> </w:t>
      </w:r>
      <w:r>
        <w:rPr/>
        <w:t>un</w:t>
      </w:r>
      <w:r>
        <w:rPr>
          <w:spacing w:val="-3"/>
        </w:rPr>
        <w:t> </w:t>
      </w:r>
      <w:r>
        <w:rPr/>
        <w:t>término de seis meses contados a partir de la entrada en vigor del presente Decreto, en tanto se seguirán aplicando las tablas a que se refieren los artículos 513 y 514 que se reforman.</w:t>
      </w:r>
    </w:p>
    <w:p>
      <w:pPr>
        <w:pStyle w:val="BodyText"/>
        <w:spacing w:before="229"/>
        <w:ind w:left="338" w:right="337" w:firstLine="288"/>
        <w:jc w:val="both"/>
      </w:pPr>
      <w:r>
        <w:rPr>
          <w:rFonts w:ascii="Arial" w:hAnsi="Arial"/>
          <w:b/>
        </w:rPr>
        <w:t>Quinto. </w:t>
      </w:r>
      <w:r>
        <w:rPr/>
        <w:t>Las Entidades Federativas, en el ámbito de sus respectivas competencias, contarán con un plazo de</w:t>
      </w:r>
      <w:r>
        <w:rPr>
          <w:spacing w:val="-2"/>
        </w:rPr>
        <w:t> </w:t>
      </w:r>
      <w:r>
        <w:rPr/>
        <w:t>hasta</w:t>
      </w:r>
      <w:r>
        <w:rPr>
          <w:spacing w:val="-2"/>
        </w:rPr>
        <w:t> </w:t>
      </w:r>
      <w:r>
        <w:rPr/>
        <w:t>tres años</w:t>
      </w:r>
      <w:r>
        <w:rPr>
          <w:spacing w:val="-1"/>
        </w:rPr>
        <w:t> </w:t>
      </w:r>
      <w:r>
        <w:rPr/>
        <w:t>para</w:t>
      </w:r>
      <w:r>
        <w:rPr>
          <w:spacing w:val="-2"/>
        </w:rPr>
        <w:t> </w:t>
      </w:r>
      <w:r>
        <w:rPr/>
        <w:t>transformar</w:t>
      </w:r>
      <w:r>
        <w:rPr>
          <w:spacing w:val="-1"/>
        </w:rPr>
        <w:t> </w:t>
      </w:r>
      <w:r>
        <w:rPr/>
        <w:t>las</w:t>
      </w:r>
      <w:r>
        <w:rPr>
          <w:spacing w:val="-1"/>
        </w:rPr>
        <w:t> </w:t>
      </w:r>
      <w:r>
        <w:rPr/>
        <w:t>Juntas de</w:t>
      </w:r>
      <w:r>
        <w:rPr>
          <w:spacing w:val="-2"/>
        </w:rPr>
        <w:t> </w:t>
      </w:r>
      <w:r>
        <w:rPr/>
        <w:t>Conciliación</w:t>
      </w:r>
      <w:r>
        <w:rPr>
          <w:spacing w:val="-2"/>
        </w:rPr>
        <w:t> </w:t>
      </w:r>
      <w:r>
        <w:rPr/>
        <w:t>en</w:t>
      </w:r>
      <w:r>
        <w:rPr>
          <w:spacing w:val="-2"/>
        </w:rPr>
        <w:t> </w:t>
      </w:r>
      <w:r>
        <w:rPr/>
        <w:t>Juntas</w:t>
      </w:r>
      <w:r>
        <w:rPr>
          <w:spacing w:val="-1"/>
        </w:rPr>
        <w:t> </w:t>
      </w:r>
      <w:r>
        <w:rPr/>
        <w:t>de</w:t>
      </w:r>
      <w:r>
        <w:rPr>
          <w:spacing w:val="-2"/>
        </w:rPr>
        <w:t> </w:t>
      </w:r>
      <w:r>
        <w:rPr/>
        <w:t>Conciliación y</w:t>
      </w:r>
      <w:r>
        <w:rPr>
          <w:spacing w:val="-2"/>
        </w:rPr>
        <w:t> </w:t>
      </w:r>
      <w:r>
        <w:rPr/>
        <w:t>Arbitraje Local, a cuyo efecto deberán incluir dentro de sus presupuestos correspondientes, los recursos económicos suficientes para garantizar la implementación, funcionamiento y operación. Estos presupuestos deberán ser analizados y aprobados, en su caso, por el Poder Legislativo correspondiente.</w:t>
      </w:r>
    </w:p>
    <w:p>
      <w:pPr>
        <w:pStyle w:val="BodyText"/>
        <w:spacing w:after="0"/>
        <w:jc w:val="both"/>
        <w:sectPr>
          <w:pgSz w:w="12240" w:h="15840"/>
          <w:pgMar w:header="724" w:footer="712" w:top="1880" w:bottom="900" w:left="1080" w:right="1080"/>
        </w:sectPr>
      </w:pPr>
    </w:p>
    <w:p>
      <w:pPr>
        <w:pStyle w:val="BodyText"/>
        <w:spacing w:before="63"/>
      </w:pPr>
    </w:p>
    <w:p>
      <w:pPr>
        <w:pStyle w:val="BodyText"/>
        <w:spacing w:line="242" w:lineRule="auto"/>
        <w:ind w:left="338" w:right="340" w:firstLine="288"/>
        <w:jc w:val="both"/>
      </w:pPr>
      <w:r>
        <w:rPr>
          <w:rFonts w:ascii="Arial" w:hAnsi="Arial"/>
          <w:b/>
        </w:rPr>
        <w:t>Sexto. </w:t>
      </w:r>
      <w:r>
        <w:rPr/>
        <w:t>Las Juntas Federal y Locales de Conciliación y Arbitraje deberán adoptar el servicio</w:t>
      </w:r>
      <w:r>
        <w:rPr>
          <w:spacing w:val="40"/>
        </w:rPr>
        <w:t> </w:t>
      </w:r>
      <w:r>
        <w:rPr/>
        <w:t>profesional de carrera a que se refiere el artículo 525-Bis de la Ley, acorde a su régimen jurídico a partir del día primero del mes de enero del año 2014.</w:t>
      </w:r>
    </w:p>
    <w:p>
      <w:pPr>
        <w:pStyle w:val="BodyText"/>
        <w:spacing w:before="225"/>
        <w:ind w:left="338" w:right="343" w:firstLine="288"/>
        <w:jc w:val="both"/>
      </w:pPr>
      <w:r>
        <w:rPr>
          <w:rFonts w:ascii="Arial" w:hAnsi="Arial"/>
          <w:b/>
        </w:rPr>
        <w:t>Séptimo.</w:t>
      </w:r>
      <w:r>
        <w:rPr>
          <w:rFonts w:ascii="Arial" w:hAnsi="Arial"/>
          <w:b/>
          <w:spacing w:val="-1"/>
        </w:rPr>
        <w:t> </w:t>
      </w:r>
      <w:r>
        <w:rPr/>
        <w:t>Los</w:t>
      </w:r>
      <w:r>
        <w:rPr>
          <w:spacing w:val="-1"/>
        </w:rPr>
        <w:t> </w:t>
      </w:r>
      <w:r>
        <w:rPr/>
        <w:t>Presidentes de</w:t>
      </w:r>
      <w:r>
        <w:rPr>
          <w:spacing w:val="-3"/>
        </w:rPr>
        <w:t> </w:t>
      </w:r>
      <w:r>
        <w:rPr/>
        <w:t>las</w:t>
      </w:r>
      <w:r>
        <w:rPr>
          <w:spacing w:val="-1"/>
        </w:rPr>
        <w:t> </w:t>
      </w:r>
      <w:r>
        <w:rPr/>
        <w:t>Juntas</w:t>
      </w:r>
      <w:r>
        <w:rPr>
          <w:spacing w:val="-1"/>
        </w:rPr>
        <w:t> </w:t>
      </w:r>
      <w:r>
        <w:rPr/>
        <w:t>Federal y</w:t>
      </w:r>
      <w:r>
        <w:rPr>
          <w:spacing w:val="-5"/>
        </w:rPr>
        <w:t> </w:t>
      </w:r>
      <w:r>
        <w:rPr/>
        <w:t>Locales</w:t>
      </w:r>
      <w:r>
        <w:rPr>
          <w:spacing w:val="-1"/>
        </w:rPr>
        <w:t> </w:t>
      </w:r>
      <w:r>
        <w:rPr/>
        <w:t>de Conciliación y</w:t>
      </w:r>
      <w:r>
        <w:rPr>
          <w:spacing w:val="-5"/>
        </w:rPr>
        <w:t> </w:t>
      </w:r>
      <w:r>
        <w:rPr/>
        <w:t>Arbitraje</w:t>
      </w:r>
      <w:r>
        <w:rPr>
          <w:spacing w:val="-2"/>
        </w:rPr>
        <w:t> </w:t>
      </w:r>
      <w:r>
        <w:rPr/>
        <w:t>establecerán los lineamientos para el sistema de formación, capacitación y actualización jurídica del personal de su respectiva Junta dentro de los seis meses siguientes a que entren en vigor las presentes reformas.</w:t>
      </w:r>
    </w:p>
    <w:p>
      <w:pPr>
        <w:pStyle w:val="BodyText"/>
        <w:spacing w:line="242" w:lineRule="auto" w:before="229"/>
        <w:ind w:left="338" w:right="334" w:firstLine="288"/>
        <w:jc w:val="both"/>
      </w:pPr>
      <w:r>
        <w:rPr>
          <w:rFonts w:ascii="Arial" w:hAnsi="Arial"/>
          <w:b/>
        </w:rPr>
        <w:t>Octavo. </w:t>
      </w:r>
      <w:r>
        <w:rPr/>
        <w:t>El Servicio Público de Conciliación deberá quedar integrado a más tardar para el ejercicio presupuestal siguiente a aquél en que entren en vigor las presentes reformas.</w:t>
      </w:r>
    </w:p>
    <w:p>
      <w:pPr>
        <w:pStyle w:val="BodyText"/>
        <w:spacing w:before="227"/>
        <w:ind w:left="338" w:right="337" w:firstLine="288"/>
        <w:jc w:val="both"/>
      </w:pPr>
      <w:r>
        <w:rPr>
          <w:rFonts w:ascii="Arial" w:hAnsi="Arial"/>
          <w:b/>
        </w:rPr>
        <w:t>Noveno. </w:t>
      </w:r>
      <w:r>
        <w:rPr/>
        <w:t>Los Procuradores Auxiliares de la Defensa del Trabajo que no cuenten con el título y la cédula profesionales a que se refiere el artículo 533 contarán con un término de cinco años para obtenerlo, contado a partir de que entren en vigor las presentes reformas.</w:t>
      </w:r>
    </w:p>
    <w:p>
      <w:pPr>
        <w:pStyle w:val="BodyText"/>
        <w:spacing w:before="2"/>
      </w:pPr>
    </w:p>
    <w:p>
      <w:pPr>
        <w:pStyle w:val="BodyText"/>
        <w:ind w:left="338" w:right="340" w:firstLine="288"/>
        <w:jc w:val="both"/>
      </w:pPr>
      <w:r>
        <w:rPr/>
        <w:t>Los Inspectores de Trabajo que no cuenten con el certificado de educación media superior o su equivalente a que se refiere el artículo 546, fracción II, contarán con un término de tres años para obtenerlo, a partir de que entren en vigor las presentes reformas.</w:t>
      </w:r>
    </w:p>
    <w:p>
      <w:pPr>
        <w:pStyle w:val="BodyText"/>
        <w:spacing w:before="229"/>
        <w:ind w:left="338" w:right="338" w:firstLine="288"/>
        <w:jc w:val="both"/>
      </w:pPr>
      <w:r>
        <w:rPr/>
        <w:t>El personal jurídico de las Juntas de Conciliación y Arbitraje que no cuente con el título y la cédula profesionales a que se refieren los artículos 626, fracción II; 627, fracción II; 627-B, fracción II; 628, fracción II y</w:t>
      </w:r>
      <w:r>
        <w:rPr>
          <w:spacing w:val="-2"/>
        </w:rPr>
        <w:t> </w:t>
      </w:r>
      <w:r>
        <w:rPr/>
        <w:t>629 contarán con un término de cinco años para obtenerlo, contado a partir de que entren en vigor las presentes reformas.</w:t>
      </w:r>
    </w:p>
    <w:p>
      <w:pPr>
        <w:pStyle w:val="BodyText"/>
        <w:spacing w:line="242" w:lineRule="auto" w:before="227"/>
        <w:ind w:left="338" w:right="336" w:firstLine="288"/>
        <w:jc w:val="both"/>
      </w:pPr>
      <w:r>
        <w:rPr>
          <w:rFonts w:ascii="Arial" w:hAnsi="Arial"/>
          <w:b/>
        </w:rPr>
        <w:t>Décimo. </w:t>
      </w:r>
      <w:r>
        <w:rPr/>
        <w:t>Las retribuciones a que se refiere el artículo 631 entrarán en vigor a partir del próximo Presupuesto de Egresos de la Federación y de las entidades federativas.</w:t>
      </w:r>
    </w:p>
    <w:p>
      <w:pPr>
        <w:pStyle w:val="BodyText"/>
        <w:spacing w:line="242" w:lineRule="auto" w:before="227"/>
        <w:ind w:left="338" w:right="345" w:firstLine="288"/>
        <w:jc w:val="both"/>
      </w:pPr>
      <w:r>
        <w:rPr>
          <w:rFonts w:ascii="Arial" w:hAnsi="Arial"/>
          <w:b/>
        </w:rPr>
        <w:t>Décimo Primero. </w:t>
      </w:r>
      <w:r>
        <w:rPr/>
        <w:t>Los juicios iniciados con las disposiciones anteriores a la</w:t>
      </w:r>
      <w:r>
        <w:rPr>
          <w:spacing w:val="-1"/>
        </w:rPr>
        <w:t> </w:t>
      </w:r>
      <w:r>
        <w:rPr/>
        <w:t>presente reforma</w:t>
      </w:r>
      <w:r>
        <w:rPr>
          <w:spacing w:val="-1"/>
        </w:rPr>
        <w:t> </w:t>
      </w:r>
      <w:r>
        <w:rPr/>
        <w:t>deberán concluirse de conformidad con ellas.</w:t>
      </w:r>
    </w:p>
    <w:p>
      <w:pPr>
        <w:pStyle w:val="BodyText"/>
        <w:spacing w:line="242" w:lineRule="auto" w:before="225"/>
        <w:ind w:left="338" w:right="344" w:firstLine="288"/>
        <w:jc w:val="both"/>
      </w:pPr>
      <w:r>
        <w:rPr>
          <w:rFonts w:ascii="Arial" w:hAnsi="Arial"/>
          <w:b/>
        </w:rPr>
        <w:t>Décimo Segundo. </w:t>
      </w:r>
      <w:r>
        <w:rPr/>
        <w:t>La supresión de las Juntas de Conciliación Permanentes surtirá efectos a los noventa días naturales posteriores a aquél en que entre en vigor el presente Decreto.</w:t>
      </w:r>
    </w:p>
    <w:p>
      <w:pPr>
        <w:pStyle w:val="BodyText"/>
        <w:spacing w:before="229"/>
        <w:ind w:left="338" w:right="334" w:firstLine="288"/>
        <w:jc w:val="both"/>
      </w:pPr>
      <w:r>
        <w:rPr/>
        <w:t>Las autoridades competentes deberán realizar las acciones conducentes para que los asuntos que estuvieren en trámite, se atiendan por las Juntas de Conciliación y Arbitraje que corresponda.</w:t>
      </w:r>
    </w:p>
    <w:p>
      <w:pPr>
        <w:pStyle w:val="BodyText"/>
        <w:spacing w:before="229"/>
        <w:ind w:left="338" w:right="347" w:firstLine="288"/>
        <w:jc w:val="both"/>
      </w:pPr>
      <w:r>
        <w:rPr/>
        <w:t>Las</w:t>
      </w:r>
      <w:r>
        <w:rPr>
          <w:spacing w:val="-1"/>
        </w:rPr>
        <w:t> </w:t>
      </w:r>
      <w:r>
        <w:rPr/>
        <w:t>autoridades</w:t>
      </w:r>
      <w:r>
        <w:rPr>
          <w:spacing w:val="-2"/>
        </w:rPr>
        <w:t> </w:t>
      </w:r>
      <w:r>
        <w:rPr/>
        <w:t>competentes</w:t>
      </w:r>
      <w:r>
        <w:rPr>
          <w:spacing w:val="-2"/>
        </w:rPr>
        <w:t> </w:t>
      </w:r>
      <w:r>
        <w:rPr/>
        <w:t>deberán adoptar las</w:t>
      </w:r>
      <w:r>
        <w:rPr>
          <w:spacing w:val="-2"/>
        </w:rPr>
        <w:t> </w:t>
      </w:r>
      <w:r>
        <w:rPr/>
        <w:t>medidas</w:t>
      </w:r>
      <w:r>
        <w:rPr>
          <w:spacing w:val="-2"/>
        </w:rPr>
        <w:t> </w:t>
      </w:r>
      <w:r>
        <w:rPr/>
        <w:t>administrativas</w:t>
      </w:r>
      <w:r>
        <w:rPr>
          <w:spacing w:val="-2"/>
        </w:rPr>
        <w:t> </w:t>
      </w:r>
      <w:r>
        <w:rPr/>
        <w:t>correspondientes</w:t>
      </w:r>
      <w:r>
        <w:rPr>
          <w:spacing w:val="-2"/>
        </w:rPr>
        <w:t> </w:t>
      </w:r>
      <w:r>
        <w:rPr/>
        <w:t>respecto al personal de las Juntas de Conciliación permanentes que se extinguen.</w:t>
      </w:r>
    </w:p>
    <w:p>
      <w:pPr>
        <w:pStyle w:val="BodyText"/>
        <w:spacing w:before="228"/>
        <w:ind w:left="338" w:right="340" w:firstLine="288"/>
        <w:jc w:val="both"/>
      </w:pPr>
      <w:r>
        <w:rPr>
          <w:rFonts w:ascii="Arial" w:hAnsi="Arial"/>
          <w:b/>
        </w:rPr>
        <w:t>Décimo Tercero. </w:t>
      </w:r>
      <w:r>
        <w:rPr/>
        <w:t>La Junta Federal de Conciliación y Arbitraje deberá establecer el registro de peritos médicos en materia de medicina del trabajo a que se refiere el artículo 899-G de este Decreto, dentro de los treinta días siguientes a la entrada en vigor del mismo.</w:t>
      </w:r>
    </w:p>
    <w:p>
      <w:pPr>
        <w:pStyle w:val="BodyText"/>
        <w:spacing w:before="2"/>
      </w:pPr>
    </w:p>
    <w:p>
      <w:pPr>
        <w:pStyle w:val="BodyText"/>
        <w:spacing w:before="1"/>
        <w:ind w:left="338" w:right="342" w:firstLine="288"/>
        <w:jc w:val="both"/>
      </w:pPr>
      <w:r>
        <w:rPr/>
        <w:t>Los peritos médicos en materia de medicina del trabajo contarán con un periodo de seis meses, a partir de que la Junta Federal de Conciliación y Arbitraje establezca el registro a que se refiere el párrafo anterior, para obtener el registro correspondiente; vencido el plazo señalado, la Junta no recibirá los peritajes que emitan peritos que carezcan de registro.</w:t>
      </w:r>
    </w:p>
    <w:p>
      <w:pPr>
        <w:pStyle w:val="BodyText"/>
        <w:spacing w:line="242" w:lineRule="auto" w:before="227"/>
        <w:ind w:left="338" w:right="341" w:firstLine="288"/>
        <w:jc w:val="both"/>
      </w:pPr>
      <w:r>
        <w:rPr>
          <w:rFonts w:ascii="Arial" w:hAnsi="Arial"/>
          <w:b/>
        </w:rPr>
        <w:t>Décimo Cuarto. </w:t>
      </w:r>
      <w:r>
        <w:rPr/>
        <w:t>Las erogaciones que se generen con motivo de la entrada en vigor del presente Decreto, se realizarán con cargo al presupuesto de egresos aprobado, por lo que no se requerirán recursos adicionales en el presente ejercicio fiscal, ni se incrementará el presupuesto regularizable.</w:t>
      </w:r>
    </w:p>
    <w:p>
      <w:pPr>
        <w:pStyle w:val="BodyText"/>
        <w:spacing w:after="0" w:line="242" w:lineRule="auto"/>
        <w:jc w:val="both"/>
        <w:sectPr>
          <w:pgSz w:w="12240" w:h="15840"/>
          <w:pgMar w:header="724" w:footer="712" w:top="1880" w:bottom="900" w:left="1080" w:right="1080"/>
        </w:sectPr>
      </w:pPr>
    </w:p>
    <w:p>
      <w:pPr>
        <w:pStyle w:val="BodyText"/>
        <w:spacing w:before="63"/>
      </w:pPr>
    </w:p>
    <w:p>
      <w:pPr>
        <w:spacing w:before="0"/>
        <w:ind w:left="338" w:right="334" w:firstLine="288"/>
        <w:jc w:val="both"/>
        <w:rPr>
          <w:rFonts w:ascii="Arial" w:hAnsi="Arial"/>
          <w:b/>
          <w:sz w:val="20"/>
        </w:rPr>
      </w:pPr>
      <w:r>
        <w:rPr>
          <w:sz w:val="20"/>
        </w:rPr>
        <w:t>México, D.F., a 13 de noviembre de 2012.- Dip. </w:t>
      </w:r>
      <w:r>
        <w:rPr>
          <w:rFonts w:ascii="Arial" w:hAnsi="Arial"/>
          <w:b/>
          <w:sz w:val="20"/>
        </w:rPr>
        <w:t>Jesus Murillo Karam</w:t>
      </w:r>
      <w:r>
        <w:rPr>
          <w:sz w:val="20"/>
        </w:rPr>
        <w:t>, Presidente.- Sen. </w:t>
      </w:r>
      <w:r>
        <w:rPr>
          <w:rFonts w:ascii="Arial" w:hAnsi="Arial"/>
          <w:b/>
          <w:sz w:val="20"/>
        </w:rPr>
        <w:t>Ernesto Javier Cordero Arroyo</w:t>
      </w:r>
      <w:r>
        <w:rPr>
          <w:sz w:val="20"/>
        </w:rPr>
        <w:t>, Presidente.- Dip. </w:t>
      </w:r>
      <w:r>
        <w:rPr>
          <w:rFonts w:ascii="Arial" w:hAnsi="Arial"/>
          <w:b/>
          <w:sz w:val="20"/>
        </w:rPr>
        <w:t>Javier Orozco Gomez</w:t>
      </w:r>
      <w:r>
        <w:rPr>
          <w:sz w:val="20"/>
        </w:rPr>
        <w:t>, Secretario.- Sen. </w:t>
      </w:r>
      <w:r>
        <w:rPr>
          <w:rFonts w:ascii="Arial" w:hAnsi="Arial"/>
          <w:b/>
          <w:sz w:val="20"/>
        </w:rPr>
        <w:t>Lilia Guadalupe Merodio Reza</w:t>
      </w:r>
      <w:r>
        <w:rPr>
          <w:sz w:val="20"/>
        </w:rPr>
        <w:t>, Secretaria.- Rúbricas.</w:t>
      </w:r>
      <w:r>
        <w:rPr>
          <w:rFonts w:ascii="Arial" w:hAnsi="Arial"/>
          <w:b/>
          <w:sz w:val="20"/>
        </w:rPr>
        <w:t>"</w:t>
      </w:r>
    </w:p>
    <w:p>
      <w:pPr>
        <w:pStyle w:val="BodyText"/>
        <w:spacing w:before="4"/>
        <w:rPr>
          <w:rFonts w:ascii="Arial"/>
          <w:b/>
        </w:rPr>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veintinueve de noviembre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0"/>
        <w:jc w:val="left"/>
      </w:pPr>
      <w:r>
        <w:rPr/>
        <w:t>DECRETO por el que se reforman y</w:t>
      </w:r>
      <w:r>
        <w:rPr>
          <w:spacing w:val="-2"/>
        </w:rPr>
        <w:t> </w:t>
      </w:r>
      <w:r>
        <w:rPr/>
        <w:t>derogan diversas disposiciones de la Ley</w:t>
      </w:r>
      <w:r>
        <w:rPr>
          <w:spacing w:val="-2"/>
        </w:rPr>
        <w:t> </w:t>
      </w:r>
      <w:r>
        <w:rPr/>
        <w:t>Federal del Trabajo, en materia de trabajo de menores.</w:t>
      </w:r>
    </w:p>
    <w:p>
      <w:pPr>
        <w:spacing w:before="232"/>
        <w:ind w:left="296" w:right="29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1"/>
          <w:sz w:val="16"/>
        </w:rPr>
        <w:t> </w:t>
      </w:r>
      <w:r>
        <w:rPr>
          <w:sz w:val="16"/>
        </w:rPr>
        <w:t>de</w:t>
      </w:r>
      <w:r>
        <w:rPr>
          <w:spacing w:val="-5"/>
          <w:sz w:val="16"/>
        </w:rPr>
        <w:t> </w:t>
      </w:r>
      <w:r>
        <w:rPr>
          <w:sz w:val="16"/>
        </w:rPr>
        <w:t>la</w:t>
      </w:r>
      <w:r>
        <w:rPr>
          <w:spacing w:val="-4"/>
          <w:sz w:val="16"/>
        </w:rPr>
        <w:t> </w:t>
      </w:r>
      <w:r>
        <w:rPr>
          <w:sz w:val="16"/>
        </w:rPr>
        <w:t>Federación</w:t>
      </w:r>
      <w:r>
        <w:rPr>
          <w:spacing w:val="-4"/>
          <w:sz w:val="16"/>
        </w:rPr>
        <w:t> </w:t>
      </w:r>
      <w:r>
        <w:rPr>
          <w:sz w:val="16"/>
        </w:rPr>
        <w:t>el</w:t>
      </w:r>
      <w:r>
        <w:rPr>
          <w:spacing w:val="-2"/>
          <w:sz w:val="16"/>
        </w:rPr>
        <w:t> </w:t>
      </w:r>
      <w:r>
        <w:rPr>
          <w:sz w:val="16"/>
        </w:rPr>
        <w:t>12</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2015</w:t>
      </w:r>
    </w:p>
    <w:p>
      <w:pPr>
        <w:pStyle w:val="BodyText"/>
        <w:spacing w:before="46"/>
        <w:rPr>
          <w:sz w:val="16"/>
        </w:rPr>
      </w:pPr>
    </w:p>
    <w:p>
      <w:pPr>
        <w:pStyle w:val="BodyText"/>
        <w:ind w:left="338" w:right="340" w:firstLine="288"/>
        <w:jc w:val="both"/>
      </w:pPr>
      <w:r>
        <w:rPr>
          <w:rFonts w:ascii="Arial" w:hAnsi="Arial"/>
          <w:b/>
        </w:rPr>
        <w:t>Artículo Único.- </w:t>
      </w:r>
      <w:r>
        <w:rPr/>
        <w:t>Se reforman los artículos 5o., fracciones I y IV; 22; 22 Bis; 23; 174; 175, primer, segundo y tercer párrafos y fracción IV; 175 Bis, primer párrafo e inciso c); 176; 178; 179, 180, primer párrafo y fracción II; 191, 267; 362; 372, primer párrafo; 988, primer párrafo y 995 Bis; y se derogan las fracciones I y II del artículo 372 de la Ley Federal del Trabajo, para quedar como sigue:</w:t>
      </w:r>
    </w:p>
    <w:p>
      <w:pPr>
        <w:pStyle w:val="BodyText"/>
        <w:spacing w:before="2"/>
      </w:pPr>
    </w:p>
    <w:p>
      <w:pPr>
        <w:spacing w:before="0"/>
        <w:ind w:left="626" w:right="0" w:firstLine="0"/>
        <w:jc w:val="left"/>
        <w:rPr>
          <w:sz w:val="20"/>
        </w:rPr>
      </w:pPr>
      <w:r>
        <w:rPr>
          <w:spacing w:val="-4"/>
          <w:sz w:val="20"/>
        </w:rPr>
        <w:t>……….</w:t>
      </w:r>
    </w:p>
    <w:p>
      <w:pPr>
        <w:pStyle w:val="Heading2"/>
        <w:spacing w:before="227"/>
        <w:ind w:left="298"/>
      </w:pPr>
      <w:r>
        <w:rPr>
          <w:spacing w:val="-2"/>
        </w:rPr>
        <w:t>Transitorio</w:t>
      </w:r>
    </w:p>
    <w:p>
      <w:pPr>
        <w:pStyle w:val="BodyText"/>
        <w:spacing w:before="1"/>
        <w:rPr>
          <w:rFonts w:ascii="Arial"/>
          <w:b/>
        </w:rPr>
      </w:pPr>
    </w:p>
    <w:p>
      <w:pPr>
        <w:pStyle w:val="BodyText"/>
        <w:spacing w:before="1"/>
        <w:ind w:left="338" w:right="342" w:firstLine="288"/>
        <w:jc w:val="both"/>
      </w:pPr>
      <w:r>
        <w:rPr>
          <w:rFonts w:ascii="Arial" w:hAnsi="Arial"/>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8"/>
        <w:ind w:left="338" w:right="331" w:firstLine="288"/>
        <w:jc w:val="both"/>
        <w:rPr>
          <w:rFonts w:ascii="Arial" w:hAnsi="Arial"/>
          <w:b/>
          <w:sz w:val="20"/>
        </w:rPr>
      </w:pPr>
      <w:r>
        <w:rPr>
          <w:sz w:val="20"/>
        </w:rPr>
        <w:t>México, D.F., a 30 de abril de 2015.- Dip. </w:t>
      </w:r>
      <w:r>
        <w:rPr>
          <w:rFonts w:ascii="Arial" w:hAnsi="Arial"/>
          <w:b/>
          <w:sz w:val="20"/>
        </w:rPr>
        <w:t>Julio César Moreno Rivera</w:t>
      </w:r>
      <w:r>
        <w:rPr>
          <w:sz w:val="20"/>
        </w:rPr>
        <w:t>, Presidente.- Sen. </w:t>
      </w:r>
      <w:r>
        <w:rPr>
          <w:rFonts w:ascii="Arial" w:hAnsi="Arial"/>
          <w:b/>
          <w:sz w:val="20"/>
        </w:rPr>
        <w:t>Miguel Barbosa Huerta</w:t>
      </w:r>
      <w:r>
        <w:rPr>
          <w:sz w:val="20"/>
        </w:rPr>
        <w:t>, Presidente.- Dip. </w:t>
      </w:r>
      <w:r>
        <w:rPr>
          <w:rFonts w:ascii="Arial" w:hAnsi="Arial"/>
          <w:b/>
          <w:sz w:val="20"/>
        </w:rPr>
        <w:t>Luis Antonio González Roldán</w:t>
      </w:r>
      <w:r>
        <w:rPr>
          <w:sz w:val="20"/>
        </w:rPr>
        <w:t>, Secretario.- Sen. </w:t>
      </w:r>
      <w:r>
        <w:rPr>
          <w:rFonts w:ascii="Arial" w:hAnsi="Arial"/>
          <w:b/>
          <w:sz w:val="20"/>
        </w:rPr>
        <w:t>Lilia Guadalupe Merodio Reza</w:t>
      </w:r>
      <w:r>
        <w:rPr>
          <w:sz w:val="20"/>
        </w:rPr>
        <w:t>, Secretaria.- Rúbricas.</w:t>
      </w:r>
      <w:r>
        <w:rPr>
          <w:rFonts w:ascii="Arial" w:hAnsi="Arial"/>
          <w:b/>
          <w:sz w:val="20"/>
        </w:rPr>
        <w:t>"</w:t>
      </w:r>
    </w:p>
    <w:p>
      <w:pPr>
        <w:pStyle w:val="BodyText"/>
        <w:spacing w:before="2"/>
        <w:rPr>
          <w:rFonts w:ascii="Arial"/>
          <w:b/>
        </w:rPr>
      </w:pPr>
    </w:p>
    <w:p>
      <w:pPr>
        <w:pStyle w:val="BodyText"/>
        <w:ind w:left="338" w:right="3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nueve de junio de</w:t>
      </w:r>
      <w:r>
        <w:rPr>
          <w:spacing w:val="40"/>
        </w:rPr>
        <w:t> </w:t>
      </w:r>
      <w:r>
        <w:rPr/>
        <w:t>dos mil quince.-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0"/>
        <w:jc w:val="left"/>
      </w:pPr>
      <w:r>
        <w:rPr/>
        <w:t>DECRETO</w:t>
      </w:r>
      <w:r>
        <w:rPr>
          <w:spacing w:val="-4"/>
        </w:rPr>
        <w:t> </w:t>
      </w:r>
      <w:r>
        <w:rPr/>
        <w:t>por</w:t>
      </w:r>
      <w:r>
        <w:rPr>
          <w:spacing w:val="-2"/>
        </w:rPr>
        <w:t> </w:t>
      </w:r>
      <w:r>
        <w:rPr/>
        <w:t>el</w:t>
      </w:r>
      <w:r>
        <w:rPr>
          <w:spacing w:val="-1"/>
        </w:rPr>
        <w:t> </w:t>
      </w:r>
      <w:r>
        <w:rPr/>
        <w:t>que</w:t>
      </w:r>
      <w:r>
        <w:rPr>
          <w:spacing w:val="-5"/>
        </w:rPr>
        <w:t> </w:t>
      </w:r>
      <w:r>
        <w:rPr/>
        <w:t>se</w:t>
      </w:r>
      <w:r>
        <w:rPr>
          <w:spacing w:val="-3"/>
        </w:rPr>
        <w:t> </w:t>
      </w:r>
      <w:r>
        <w:rPr/>
        <w:t>reforma</w:t>
      </w:r>
      <w:r>
        <w:rPr>
          <w:spacing w:val="-5"/>
        </w:rPr>
        <w:t> </w:t>
      </w:r>
      <w:r>
        <w:rPr/>
        <w:t>el</w:t>
      </w:r>
      <w:r>
        <w:rPr>
          <w:spacing w:val="-4"/>
        </w:rPr>
        <w:t> </w:t>
      </w:r>
      <w:r>
        <w:rPr/>
        <w:t>artículo</w:t>
      </w:r>
      <w:r>
        <w:rPr>
          <w:spacing w:val="-3"/>
        </w:rPr>
        <w:t> </w:t>
      </w:r>
      <w:r>
        <w:rPr/>
        <w:t>265</w:t>
      </w:r>
      <w:r>
        <w:rPr>
          <w:spacing w:val="-3"/>
        </w:rPr>
        <w:t> </w:t>
      </w:r>
      <w:r>
        <w:rPr/>
        <w:t>de</w:t>
      </w:r>
      <w:r>
        <w:rPr>
          <w:spacing w:val="-5"/>
        </w:rPr>
        <w:t> </w:t>
      </w:r>
      <w:r>
        <w:rPr/>
        <w:t>la</w:t>
      </w:r>
      <w:r>
        <w:rPr>
          <w:spacing w:val="-3"/>
        </w:rPr>
        <w:t> </w:t>
      </w:r>
      <w:r>
        <w:rPr/>
        <w:t>Ley</w:t>
      </w:r>
      <w:r>
        <w:rPr>
          <w:spacing w:val="-7"/>
        </w:rPr>
        <w:t> </w:t>
      </w:r>
      <w:r>
        <w:rPr/>
        <w:t>Federal</w:t>
      </w:r>
      <w:r>
        <w:rPr>
          <w:spacing w:val="-2"/>
        </w:rPr>
        <w:t> </w:t>
      </w:r>
      <w:r>
        <w:rPr/>
        <w:t>del</w:t>
      </w:r>
      <w:r>
        <w:rPr>
          <w:spacing w:val="-3"/>
        </w:rPr>
        <w:t> </w:t>
      </w:r>
      <w:r>
        <w:rPr>
          <w:spacing w:val="-2"/>
        </w:rPr>
        <w:t>Trabajo.</w:t>
      </w:r>
    </w:p>
    <w:p>
      <w:pPr>
        <w:spacing w:before="233"/>
        <w:ind w:left="297" w:right="296"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30</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2018</w:t>
      </w:r>
    </w:p>
    <w:p>
      <w:pPr>
        <w:pStyle w:val="BodyText"/>
        <w:spacing w:before="43"/>
        <w:rPr>
          <w:sz w:val="16"/>
        </w:rPr>
      </w:pPr>
    </w:p>
    <w:p>
      <w:pPr>
        <w:pStyle w:val="BodyText"/>
        <w:spacing w:before="1"/>
        <w:ind w:left="382" w:right="386"/>
        <w:jc w:val="center"/>
      </w:pPr>
      <w:r>
        <w:rPr>
          <w:rFonts w:ascii="Arial" w:hAnsi="Arial"/>
          <w:b/>
        </w:rPr>
        <w:t>Artículo</w:t>
      </w:r>
      <w:r>
        <w:rPr>
          <w:rFonts w:ascii="Arial" w:hAnsi="Arial"/>
          <w:b/>
          <w:spacing w:val="-5"/>
        </w:rPr>
        <w:t> </w:t>
      </w:r>
      <w:r>
        <w:rPr>
          <w:rFonts w:ascii="Arial" w:hAnsi="Arial"/>
          <w:b/>
        </w:rPr>
        <w:t>Único.-</w:t>
      </w:r>
      <w:r>
        <w:rPr>
          <w:rFonts w:ascii="Arial" w:hAnsi="Arial"/>
          <w:b/>
          <w:spacing w:val="-5"/>
        </w:rPr>
        <w:t> </w:t>
      </w:r>
      <w:r>
        <w:rPr/>
        <w:t>Se</w:t>
      </w:r>
      <w:r>
        <w:rPr>
          <w:spacing w:val="-6"/>
        </w:rPr>
        <w:t> </w:t>
      </w:r>
      <w:r>
        <w:rPr/>
        <w:t>reforma</w:t>
      </w:r>
      <w:r>
        <w:rPr>
          <w:spacing w:val="-6"/>
        </w:rPr>
        <w:t> </w:t>
      </w:r>
      <w:r>
        <w:rPr/>
        <w:t>el</w:t>
      </w:r>
      <w:r>
        <w:rPr>
          <w:spacing w:val="-5"/>
        </w:rPr>
        <w:t> </w:t>
      </w:r>
      <w:r>
        <w:rPr/>
        <w:t>artículo</w:t>
      </w:r>
      <w:r>
        <w:rPr>
          <w:spacing w:val="-5"/>
        </w:rPr>
        <w:t> </w:t>
      </w:r>
      <w:r>
        <w:rPr/>
        <w:t>265</w:t>
      </w:r>
      <w:r>
        <w:rPr>
          <w:spacing w:val="-4"/>
        </w:rPr>
        <w:t> </w:t>
      </w:r>
      <w:r>
        <w:rPr/>
        <w:t>de</w:t>
      </w:r>
      <w:r>
        <w:rPr>
          <w:spacing w:val="-5"/>
        </w:rPr>
        <w:t> </w:t>
      </w:r>
      <w:r>
        <w:rPr/>
        <w:t>la</w:t>
      </w:r>
      <w:r>
        <w:rPr>
          <w:spacing w:val="-6"/>
        </w:rPr>
        <w:t> </w:t>
      </w:r>
      <w:r>
        <w:rPr/>
        <w:t>Ley</w:t>
      </w:r>
      <w:r>
        <w:rPr>
          <w:spacing w:val="-5"/>
        </w:rPr>
        <w:t> </w:t>
      </w:r>
      <w:r>
        <w:rPr/>
        <w:t>Federal</w:t>
      </w:r>
      <w:r>
        <w:rPr>
          <w:spacing w:val="-7"/>
        </w:rPr>
        <w:t> </w:t>
      </w:r>
      <w:r>
        <w:rPr/>
        <w:t>del</w:t>
      </w:r>
      <w:r>
        <w:rPr>
          <w:spacing w:val="-6"/>
        </w:rPr>
        <w:t> </w:t>
      </w:r>
      <w:r>
        <w:rPr/>
        <w:t>Trabajo,</w:t>
      </w:r>
      <w:r>
        <w:rPr>
          <w:spacing w:val="-6"/>
        </w:rPr>
        <w:t> </w:t>
      </w:r>
      <w:r>
        <w:rPr/>
        <w:t>para</w:t>
      </w:r>
      <w:r>
        <w:rPr>
          <w:spacing w:val="-6"/>
        </w:rPr>
        <w:t> </w:t>
      </w:r>
      <w:r>
        <w:rPr/>
        <w:t>quedar</w:t>
      </w:r>
      <w:r>
        <w:rPr>
          <w:spacing w:val="-5"/>
        </w:rPr>
        <w:t> </w:t>
      </w:r>
      <w:r>
        <w:rPr/>
        <w:t>como</w:t>
      </w:r>
      <w:r>
        <w:rPr>
          <w:spacing w:val="-6"/>
        </w:rPr>
        <w:t> </w:t>
      </w:r>
      <w:r>
        <w:rPr>
          <w:spacing w:val="-2"/>
        </w:rPr>
        <w:t>sigue:</w:t>
      </w:r>
    </w:p>
    <w:p>
      <w:pPr>
        <w:pStyle w:val="BodyText"/>
        <w:spacing w:before="3"/>
      </w:pPr>
    </w:p>
    <w:p>
      <w:pPr>
        <w:spacing w:before="0"/>
        <w:ind w:left="626" w:right="0" w:firstLine="0"/>
        <w:jc w:val="left"/>
        <w:rPr>
          <w:sz w:val="20"/>
        </w:rPr>
      </w:pPr>
      <w:r>
        <w:rPr>
          <w:spacing w:val="-5"/>
          <w:sz w:val="20"/>
        </w:rPr>
        <w:t>………</w:t>
      </w:r>
    </w:p>
    <w:p>
      <w:pPr>
        <w:pStyle w:val="Heading2"/>
        <w:spacing w:before="226"/>
        <w:ind w:left="298"/>
      </w:pPr>
      <w:r>
        <w:rPr>
          <w:spacing w:val="-2"/>
        </w:rPr>
        <w:t>Transitorio</w:t>
      </w:r>
    </w:p>
    <w:p>
      <w:pPr>
        <w:pStyle w:val="BodyText"/>
        <w:spacing w:before="1"/>
        <w:rPr>
          <w:rFonts w:ascii="Arial"/>
          <w:b/>
        </w:rPr>
      </w:pPr>
    </w:p>
    <w:p>
      <w:pPr>
        <w:pStyle w:val="BodyText"/>
        <w:spacing w:line="242" w:lineRule="auto" w:before="1"/>
        <w:ind w:left="338" w:right="344"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5"/>
        <w:ind w:left="338" w:right="334" w:firstLine="288"/>
        <w:jc w:val="both"/>
        <w:rPr>
          <w:rFonts w:ascii="Arial" w:hAnsi="Arial"/>
          <w:b/>
          <w:sz w:val="20"/>
        </w:rPr>
      </w:pPr>
      <w:r>
        <w:rPr>
          <w:sz w:val="20"/>
        </w:rPr>
        <w:t>Ciudad de México, a 24 de abril de 2018.- Sen. </w:t>
      </w:r>
      <w:r>
        <w:rPr>
          <w:rFonts w:ascii="Arial" w:hAnsi="Arial"/>
          <w:b/>
          <w:sz w:val="20"/>
        </w:rPr>
        <w:t>Ernesto Cordero Arroyo</w:t>
      </w:r>
      <w:r>
        <w:rPr>
          <w:sz w:val="20"/>
        </w:rPr>
        <w:t>, Presidente.- Dip. </w:t>
      </w:r>
      <w:r>
        <w:rPr>
          <w:rFonts w:ascii="Arial" w:hAnsi="Arial"/>
          <w:b/>
          <w:sz w:val="20"/>
        </w:rPr>
        <w:t>Edgar Romo García</w:t>
      </w:r>
      <w:r>
        <w:rPr>
          <w:sz w:val="20"/>
        </w:rPr>
        <w:t>, Presidente.- Sen. </w:t>
      </w:r>
      <w:r>
        <w:rPr>
          <w:rFonts w:ascii="Arial" w:hAnsi="Arial"/>
          <w:b/>
          <w:sz w:val="20"/>
        </w:rPr>
        <w:t>Itzel Sarahí Ríos de la Mora</w:t>
      </w:r>
      <w:r>
        <w:rPr>
          <w:sz w:val="20"/>
        </w:rPr>
        <w:t>, Secretaria.- Dip. </w:t>
      </w:r>
      <w:r>
        <w:rPr>
          <w:rFonts w:ascii="Arial" w:hAnsi="Arial"/>
          <w:b/>
          <w:sz w:val="20"/>
        </w:rPr>
        <w:t>Verónica Bermúdez Torres</w:t>
      </w:r>
      <w:r>
        <w:rPr>
          <w:sz w:val="20"/>
        </w:rPr>
        <w:t>, Secretaria.- Rúbricas.</w:t>
      </w:r>
      <w:r>
        <w:rPr>
          <w:rFonts w:ascii="Arial" w:hAnsi="Arial"/>
          <w:b/>
          <w:sz w:val="20"/>
        </w:rPr>
        <w:t>"</w:t>
      </w:r>
    </w:p>
    <w:p>
      <w:pPr>
        <w:pStyle w:val="BodyText"/>
        <w:spacing w:before="1"/>
        <w:rPr>
          <w:rFonts w:ascii="Arial"/>
          <w:b/>
        </w:rPr>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veinticinco de mayo de dos mil dieciocho.- </w:t>
      </w:r>
      <w:r>
        <w:rPr>
          <w:rFonts w:ascii="Arial" w:hAnsi="Arial"/>
          <w:b/>
        </w:rPr>
        <w:t>Enrique Peña Nieto</w:t>
      </w:r>
      <w:r>
        <w:rPr/>
        <w:t>.- Rúbrica.- El Secretario de Gobernación, Dr. </w:t>
      </w:r>
      <w:r>
        <w:rPr>
          <w:rFonts w:ascii="Arial" w:hAnsi="Arial"/>
          <w:b/>
        </w:rPr>
        <w:t>Jesús Alfonso Navarrete Prida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335"/>
        <w:jc w:val="both"/>
      </w:pPr>
      <w:r>
        <w:rPr/>
        <w:t>DECRETO por el que se expide la Ley Federal de Declaración Especial de Ausencia para Personas Desaparecidas, y se reforman diversas disposiciones de la Ley Federal del Trabajo; de la Ley Federal de los Trabajadores al Servicio del Estado, Reglamentaria del Apartado B) del artículo 123 Constitucional; de la Ley del Seguro Social; de la Ley del Instituto de Seguridad y Servicios Sociales de los Trabajadores del Estado; de la Ley General de Títulos y</w:t>
      </w:r>
      <w:r>
        <w:rPr>
          <w:spacing w:val="-3"/>
        </w:rPr>
        <w:t> </w:t>
      </w:r>
      <w:r>
        <w:rPr/>
        <w:t>Operaciones de Crédito; de la Ley</w:t>
      </w:r>
      <w:r>
        <w:rPr>
          <w:spacing w:val="-3"/>
        </w:rPr>
        <w:t> </w:t>
      </w:r>
      <w:r>
        <w:rPr/>
        <w:t>de Instituciones de Crédito y</w:t>
      </w:r>
      <w:r>
        <w:rPr>
          <w:spacing w:val="-3"/>
        </w:rPr>
        <w:t> </w:t>
      </w:r>
      <w:r>
        <w:rPr/>
        <w:t>de la Ley Agraria.</w:t>
      </w:r>
    </w:p>
    <w:p>
      <w:pPr>
        <w:spacing w:before="232"/>
        <w:ind w:left="297" w:right="29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22</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2018</w:t>
      </w:r>
    </w:p>
    <w:p>
      <w:pPr>
        <w:pStyle w:val="BodyText"/>
        <w:spacing w:before="46"/>
        <w:rPr>
          <w:sz w:val="16"/>
        </w:rPr>
      </w:pPr>
    </w:p>
    <w:p>
      <w:pPr>
        <w:pStyle w:val="BodyText"/>
        <w:ind w:left="338" w:right="336" w:firstLine="288"/>
        <w:jc w:val="both"/>
      </w:pPr>
      <w:r>
        <w:rPr>
          <w:rFonts w:ascii="Arial" w:hAnsi="Arial"/>
          <w:b/>
        </w:rPr>
        <w:t>ARTÍCULO SEGUNDO. </w:t>
      </w:r>
      <w:r>
        <w:rPr/>
        <w:t>Se </w:t>
      </w:r>
      <w:r>
        <w:rPr>
          <w:rFonts w:ascii="Arial" w:hAnsi="Arial"/>
          <w:b/>
        </w:rPr>
        <w:t>reforman </w:t>
      </w:r>
      <w:r>
        <w:rPr/>
        <w:t>los artículos 474, primer párrafo; 500, primer párrafo; 501, primer párrafo; 502 y 503, párrafo primero y fracciones I y II; se </w:t>
      </w:r>
      <w:r>
        <w:rPr>
          <w:rFonts w:ascii="Arial" w:hAnsi="Arial"/>
          <w:b/>
        </w:rPr>
        <w:t>adicionan </w:t>
      </w:r>
      <w:r>
        <w:rPr/>
        <w:t>los artículos 132, con una fracción XXIX; 133, con una fracción XVI; 141, con un segundo párrafo a la fracción I, y un segundo párrafo a la fracción III, recorriéndose en su orden el actual segundo párrafo de esta última fracción para quedar como párrafo tercero, y 477, con una fracción V de la Ley</w:t>
      </w:r>
      <w:r>
        <w:rPr>
          <w:spacing w:val="-2"/>
        </w:rPr>
        <w:t> </w:t>
      </w:r>
      <w:r>
        <w:rPr/>
        <w:t>Federal del Trabajo, para quedar como </w:t>
      </w:r>
      <w:r>
        <w:rPr>
          <w:spacing w:val="-2"/>
        </w:rPr>
        <w:t>sigue:</w:t>
      </w:r>
    </w:p>
    <w:p>
      <w:pPr>
        <w:pStyle w:val="BodyText"/>
        <w:spacing w:before="1"/>
      </w:pPr>
    </w:p>
    <w:p>
      <w:pPr>
        <w:spacing w:before="0"/>
        <w:ind w:left="626" w:right="0" w:firstLine="0"/>
        <w:jc w:val="left"/>
        <w:rPr>
          <w:sz w:val="20"/>
        </w:rPr>
      </w:pPr>
      <w:r>
        <w:rPr>
          <w:spacing w:val="-5"/>
          <w:sz w:val="20"/>
        </w:rPr>
        <w:t>………</w:t>
      </w:r>
    </w:p>
    <w:p>
      <w:pPr>
        <w:pStyle w:val="Heading1"/>
        <w:spacing w:before="227"/>
      </w:pPr>
      <w:r>
        <w:rPr>
          <w:spacing w:val="-2"/>
        </w:rPr>
        <w:t>TRANSITORIOS</w:t>
      </w:r>
    </w:p>
    <w:p>
      <w:pPr>
        <w:pStyle w:val="BodyText"/>
        <w:spacing w:before="1"/>
        <w:rPr>
          <w:rFonts w:ascii="Arial"/>
          <w:b/>
        </w:rPr>
      </w:pPr>
    </w:p>
    <w:p>
      <w:pPr>
        <w:pStyle w:val="BodyText"/>
        <w:spacing w:line="242" w:lineRule="auto"/>
        <w:ind w:left="338" w:right="344" w:firstLine="288"/>
        <w:jc w:val="both"/>
      </w:pPr>
      <w:r>
        <w:rPr>
          <w:rFonts w:ascii="Arial" w:hAnsi="Arial"/>
          <w:b/>
        </w:rPr>
        <w:t>PRIMERO. </w:t>
      </w:r>
      <w:r>
        <w:rPr/>
        <w:t>El presente Decreto entrará en vigor el día siguiente al de su publicación en el Diario Oficial de la Federación.</w:t>
      </w:r>
    </w:p>
    <w:p>
      <w:pPr>
        <w:pStyle w:val="BodyText"/>
        <w:spacing w:before="227"/>
        <w:ind w:left="338" w:right="337" w:firstLine="288"/>
        <w:jc w:val="both"/>
      </w:pPr>
      <w:r>
        <w:rPr>
          <w:rFonts w:ascii="Arial" w:hAnsi="Arial"/>
          <w:b/>
        </w:rPr>
        <w:t>SEGUNDO. </w:t>
      </w:r>
      <w:r>
        <w:rPr/>
        <w:t>El titular del Ejecutivo Federal, los gobernadores de los estados, así como el Jefe de Gobierno de la Ciudad de México, en el ámbito de sus respectivas competencias, contarán con un plazo de seis meses para adecuar los ordenamientos jurídicos y reglamentarios que correspondan, a efecto de cumplir y armonizarlos con las disposiciones contenidas en el presente Decreto.</w:t>
      </w:r>
    </w:p>
    <w:p>
      <w:pPr>
        <w:pStyle w:val="BodyText"/>
        <w:spacing w:before="230"/>
        <w:ind w:left="338" w:right="330" w:firstLine="288"/>
        <w:jc w:val="both"/>
      </w:pPr>
      <w:r>
        <w:rPr>
          <w:rFonts w:ascii="Arial" w:hAnsi="Arial"/>
          <w:b/>
        </w:rPr>
        <w:t>TERCERO. </w:t>
      </w:r>
      <w:r>
        <w:rPr/>
        <w:t>Las autoridades del Instituto Mexicano del Seguro Social, del Instituto de Seguridad y Servicios Sociales de los Trabajadores del Estado y demás instituciones de Seguridad Social, deberán realizar las adecuaciones correspondientes a su normatividad interna durante los siguientes seis meses, contados a partir de la expedición del presente Decreto.</w:t>
      </w:r>
    </w:p>
    <w:p>
      <w:pPr>
        <w:spacing w:before="229"/>
        <w:ind w:left="338" w:right="334" w:firstLine="288"/>
        <w:jc w:val="both"/>
        <w:rPr>
          <w:rFonts w:ascii="Arial" w:hAnsi="Arial"/>
          <w:b/>
          <w:sz w:val="20"/>
        </w:rPr>
      </w:pPr>
      <w:r>
        <w:rPr>
          <w:sz w:val="20"/>
        </w:rPr>
        <w:t>Ciudad de México, a 26 de abril de 2018.- Sen. </w:t>
      </w:r>
      <w:r>
        <w:rPr>
          <w:rFonts w:ascii="Arial" w:hAnsi="Arial"/>
          <w:b/>
          <w:sz w:val="20"/>
        </w:rPr>
        <w:t>Ernesto Cordero Arroyo</w:t>
      </w:r>
      <w:r>
        <w:rPr>
          <w:sz w:val="20"/>
        </w:rPr>
        <w:t>, Presidente.- Dip. </w:t>
      </w:r>
      <w:r>
        <w:rPr>
          <w:rFonts w:ascii="Arial" w:hAnsi="Arial"/>
          <w:b/>
          <w:sz w:val="20"/>
        </w:rPr>
        <w:t>Edgar Romo García</w:t>
      </w:r>
      <w:r>
        <w:rPr>
          <w:sz w:val="20"/>
        </w:rPr>
        <w:t>, Presidente.- Sen. </w:t>
      </w:r>
      <w:r>
        <w:rPr>
          <w:rFonts w:ascii="Arial" w:hAnsi="Arial"/>
          <w:b/>
          <w:sz w:val="20"/>
        </w:rPr>
        <w:t>Juan Gerardo Flores Ramírez</w:t>
      </w:r>
      <w:r>
        <w:rPr>
          <w:sz w:val="20"/>
        </w:rPr>
        <w:t>, Secretario.- Dip. </w:t>
      </w:r>
      <w:r>
        <w:rPr>
          <w:rFonts w:ascii="Arial" w:hAnsi="Arial"/>
          <w:b/>
          <w:sz w:val="20"/>
        </w:rPr>
        <w:t>Ernestina Godoy Ramos</w:t>
      </w:r>
      <w:r>
        <w:rPr>
          <w:sz w:val="20"/>
        </w:rPr>
        <w:t>, Secretaria.- Rúbricas.</w:t>
      </w:r>
      <w:r>
        <w:rPr>
          <w:rFonts w:ascii="Arial" w:hAnsi="Arial"/>
          <w:b/>
          <w:sz w:val="20"/>
        </w:rPr>
        <w:t>"</w:t>
      </w:r>
    </w:p>
    <w:p>
      <w:pPr>
        <w:pStyle w:val="BodyText"/>
        <w:spacing w:before="2"/>
        <w:rPr>
          <w:rFonts w:ascii="Arial"/>
          <w:b/>
        </w:rPr>
      </w:pPr>
    </w:p>
    <w:p>
      <w:pPr>
        <w:pStyle w:val="BodyText"/>
        <w:ind w:left="338" w:right="33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trece de junio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336"/>
        <w:jc w:val="both"/>
      </w:pPr>
      <w:r>
        <w:rPr/>
        <w:t>DECRETO por el que se reforman, adicionan y derogan diversas disposiciones de la Ley Federal del Trabajo, de la Ley Orgánica del Poder Judicial de la Federación, de la Ley Federal de</w:t>
      </w:r>
      <w:r>
        <w:rPr>
          <w:spacing w:val="-2"/>
        </w:rPr>
        <w:t> </w:t>
      </w:r>
      <w:r>
        <w:rPr/>
        <w:t>la</w:t>
      </w:r>
      <w:r>
        <w:rPr>
          <w:spacing w:val="-2"/>
        </w:rPr>
        <w:t> </w:t>
      </w:r>
      <w:r>
        <w:rPr/>
        <w:t>Defensoría Pública, de</w:t>
      </w:r>
      <w:r>
        <w:rPr>
          <w:spacing w:val="-2"/>
        </w:rPr>
        <w:t> </w:t>
      </w:r>
      <w:r>
        <w:rPr/>
        <w:t>la</w:t>
      </w:r>
      <w:r>
        <w:rPr>
          <w:spacing w:val="-2"/>
        </w:rPr>
        <w:t> </w:t>
      </w:r>
      <w:r>
        <w:rPr/>
        <w:t>Ley</w:t>
      </w:r>
      <w:r>
        <w:rPr>
          <w:spacing w:val="-4"/>
        </w:rPr>
        <w:t> </w:t>
      </w:r>
      <w:r>
        <w:rPr/>
        <w:t>del Instituto</w:t>
      </w:r>
      <w:r>
        <w:rPr>
          <w:spacing w:val="-2"/>
        </w:rPr>
        <w:t> </w:t>
      </w:r>
      <w:r>
        <w:rPr/>
        <w:t>del Fondo</w:t>
      </w:r>
      <w:r>
        <w:rPr>
          <w:spacing w:val="-2"/>
        </w:rPr>
        <w:t> </w:t>
      </w:r>
      <w:r>
        <w:rPr/>
        <w:t>Nacional de</w:t>
      </w:r>
      <w:r>
        <w:rPr>
          <w:spacing w:val="-2"/>
        </w:rPr>
        <w:t> </w:t>
      </w:r>
      <w:r>
        <w:rPr/>
        <w:t>la</w:t>
      </w:r>
      <w:r>
        <w:rPr>
          <w:spacing w:val="-2"/>
        </w:rPr>
        <w:t> </w:t>
      </w:r>
      <w:r>
        <w:rPr/>
        <w:t>Vivienda para los Trabajadores y de la Ley del Seguro Social, en materia de Justicia Laboral, Libertad Sindical y Negociación Colectiva.</w:t>
      </w:r>
    </w:p>
    <w:p>
      <w:pPr>
        <w:spacing w:before="232"/>
        <w:ind w:left="297" w:right="29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1"/>
          <w:sz w:val="16"/>
        </w:rPr>
        <w:t> </w:t>
      </w:r>
      <w:r>
        <w:rPr>
          <w:sz w:val="16"/>
        </w:rPr>
        <w:t>1</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2019</w:t>
      </w:r>
    </w:p>
    <w:p>
      <w:pPr>
        <w:pStyle w:val="BodyText"/>
        <w:spacing w:before="45"/>
        <w:rPr>
          <w:sz w:val="16"/>
        </w:rPr>
      </w:pPr>
    </w:p>
    <w:p>
      <w:pPr>
        <w:pStyle w:val="BodyText"/>
        <w:ind w:left="338" w:right="331" w:firstLine="288"/>
        <w:jc w:val="both"/>
      </w:pPr>
      <w:r>
        <w:rPr>
          <w:rFonts w:ascii="Arial" w:hAnsi="Arial"/>
          <w:b/>
        </w:rPr>
        <w:t>ARTÍCULO PRIMERO. SE REFORMAN </w:t>
      </w:r>
      <w:r>
        <w:rPr/>
        <w:t>el párrafo primero y cuarto del artículo 3o.; el inciso a) de la fracción I del artículo 4o.; las fracciones III y VI del artículo 5o.; el segundo párrafo del artículo 22; la fracción III y V del artículo 28; el párrafo segundo del artículo 33; la fracción VI del artículo 42; los</w:t>
      </w:r>
      <w:r>
        <w:rPr>
          <w:spacing w:val="80"/>
        </w:rPr>
        <w:t> </w:t>
      </w:r>
      <w:r>
        <w:rPr/>
        <w:t>párrafos tercero y</w:t>
      </w:r>
      <w:r>
        <w:rPr>
          <w:spacing w:val="-2"/>
        </w:rPr>
        <w:t> </w:t>
      </w:r>
      <w:r>
        <w:rPr/>
        <w:t>quinto del</w:t>
      </w:r>
      <w:r>
        <w:rPr>
          <w:spacing w:val="-2"/>
        </w:rPr>
        <w:t> </w:t>
      </w:r>
      <w:r>
        <w:rPr/>
        <w:t>artículo 47; los párrafos primero,</w:t>
      </w:r>
      <w:r>
        <w:rPr>
          <w:spacing w:val="-1"/>
        </w:rPr>
        <w:t> </w:t>
      </w:r>
      <w:r>
        <w:rPr/>
        <w:t>tercero y</w:t>
      </w:r>
      <w:r>
        <w:rPr>
          <w:spacing w:val="-4"/>
        </w:rPr>
        <w:t> </w:t>
      </w:r>
      <w:r>
        <w:rPr/>
        <w:t>quinto del artículo 48; la fracción</w:t>
      </w:r>
      <w:r>
        <w:rPr>
          <w:spacing w:val="-2"/>
        </w:rPr>
        <w:t> </w:t>
      </w:r>
      <w:r>
        <w:rPr/>
        <w:t>II y IV del artículo 49; el párrafo primero del artículo 57; el párrafo primero del artículo 75; el artículo 114; el párrafo segundo de la fracción IV del artículo 121; la fracción VI del artículo 127; la fracción XXVI del artículo 132; la fracción IV del artículo 133; el artículo 146; el artículo 152; el artículo 153; los párrafos primero y segundo del artículo 153-K; el párrafo primero del artículo 153-Q; el artículo 153-L; el artículo 153-N; el artículo 153-X;</w:t>
      </w:r>
      <w:r>
        <w:rPr>
          <w:spacing w:val="-1"/>
        </w:rPr>
        <w:t> </w:t>
      </w:r>
      <w:r>
        <w:rPr/>
        <w:t>el artículo 157; el párrafo</w:t>
      </w:r>
      <w:r>
        <w:rPr>
          <w:spacing w:val="-1"/>
        </w:rPr>
        <w:t> </w:t>
      </w:r>
      <w:r>
        <w:rPr/>
        <w:t>segundo del artículo</w:t>
      </w:r>
      <w:r>
        <w:rPr>
          <w:spacing w:val="-1"/>
        </w:rPr>
        <w:t> </w:t>
      </w:r>
      <w:r>
        <w:rPr/>
        <w:t>158; la</w:t>
      </w:r>
      <w:r>
        <w:rPr>
          <w:spacing w:val="-1"/>
        </w:rPr>
        <w:t> </w:t>
      </w:r>
      <w:r>
        <w:rPr/>
        <w:t>fracción</w:t>
      </w:r>
      <w:r>
        <w:rPr>
          <w:spacing w:val="-2"/>
        </w:rPr>
        <w:t> </w:t>
      </w:r>
      <w:r>
        <w:rPr/>
        <w:t>II del artículo</w:t>
      </w:r>
      <w:r>
        <w:rPr>
          <w:spacing w:val="-1"/>
        </w:rPr>
        <w:t> </w:t>
      </w:r>
      <w:r>
        <w:rPr/>
        <w:t>163; el artículo 164; el párrafo primero del artículo 176; el párrafo primero del artículo 207; el artículo 210; el párrafo primero del artículo 211; el artículo 245; la fracción II del artículo 273; el párrafo segundo del artículo 277; el párrafo primero del artículo 278; la fracción II del artículo 283;</w:t>
      </w:r>
      <w:r>
        <w:rPr>
          <w:spacing w:val="40"/>
        </w:rPr>
        <w:t> </w:t>
      </w:r>
      <w:r>
        <w:rPr/>
        <w:t>la denominación del capítulo XIII “Trabajadores del hogar”; el artículo 331; el párrafo primero del artículo 332; el artículo 333;</w:t>
      </w:r>
      <w:r>
        <w:rPr>
          <w:spacing w:val="40"/>
        </w:rPr>
        <w:t> </w:t>
      </w:r>
      <w:r>
        <w:rPr/>
        <w:t>el</w:t>
      </w:r>
      <w:r>
        <w:rPr>
          <w:spacing w:val="-2"/>
        </w:rPr>
        <w:t> </w:t>
      </w:r>
      <w:r>
        <w:rPr/>
        <w:t>artículo</w:t>
      </w:r>
      <w:r>
        <w:rPr>
          <w:spacing w:val="-1"/>
        </w:rPr>
        <w:t> </w:t>
      </w:r>
      <w:r>
        <w:rPr/>
        <w:t>334;</w:t>
      </w:r>
      <w:r>
        <w:rPr>
          <w:spacing w:val="-3"/>
        </w:rPr>
        <w:t> </w:t>
      </w:r>
      <w:r>
        <w:rPr/>
        <w:t>el</w:t>
      </w:r>
      <w:r>
        <w:rPr>
          <w:spacing w:val="-2"/>
        </w:rPr>
        <w:t> </w:t>
      </w:r>
      <w:r>
        <w:rPr/>
        <w:t>artículo</w:t>
      </w:r>
      <w:r>
        <w:rPr>
          <w:spacing w:val="-1"/>
        </w:rPr>
        <w:t> </w:t>
      </w:r>
      <w:r>
        <w:rPr/>
        <w:t>336;</w:t>
      </w:r>
      <w:r>
        <w:rPr>
          <w:spacing w:val="-1"/>
        </w:rPr>
        <w:t> </w:t>
      </w:r>
      <w:r>
        <w:rPr/>
        <w:t>las fracciones</w:t>
      </w:r>
      <w:r>
        <w:rPr>
          <w:spacing w:val="-2"/>
        </w:rPr>
        <w:t> </w:t>
      </w:r>
      <w:r>
        <w:rPr/>
        <w:t>I y</w:t>
      </w:r>
      <w:r>
        <w:rPr>
          <w:spacing w:val="-3"/>
        </w:rPr>
        <w:t> </w:t>
      </w:r>
      <w:r>
        <w:rPr/>
        <w:t>III</w:t>
      </w:r>
      <w:r>
        <w:rPr>
          <w:spacing w:val="-1"/>
        </w:rPr>
        <w:t> </w:t>
      </w:r>
      <w:r>
        <w:rPr/>
        <w:t>del artículo</w:t>
      </w:r>
      <w:r>
        <w:rPr>
          <w:spacing w:val="-1"/>
        </w:rPr>
        <w:t> </w:t>
      </w:r>
      <w:r>
        <w:rPr/>
        <w:t>337;</w:t>
      </w:r>
      <w:r>
        <w:rPr>
          <w:spacing w:val="-1"/>
        </w:rPr>
        <w:t> </w:t>
      </w:r>
      <w:r>
        <w:rPr/>
        <w:t>la</w:t>
      </w:r>
      <w:r>
        <w:rPr>
          <w:spacing w:val="-3"/>
        </w:rPr>
        <w:t> </w:t>
      </w:r>
      <w:r>
        <w:rPr/>
        <w:t>fracción</w:t>
      </w:r>
      <w:r>
        <w:rPr>
          <w:spacing w:val="-2"/>
        </w:rPr>
        <w:t> </w:t>
      </w:r>
      <w:r>
        <w:rPr/>
        <w:t>I</w:t>
      </w:r>
      <w:r>
        <w:rPr>
          <w:spacing w:val="-1"/>
        </w:rPr>
        <w:t> </w:t>
      </w:r>
      <w:r>
        <w:rPr/>
        <w:t>del</w:t>
      </w:r>
      <w:r>
        <w:rPr>
          <w:spacing w:val="-2"/>
        </w:rPr>
        <w:t> </w:t>
      </w:r>
      <w:r>
        <w:rPr/>
        <w:t>artículo</w:t>
      </w:r>
      <w:r>
        <w:rPr>
          <w:spacing w:val="-1"/>
        </w:rPr>
        <w:t> </w:t>
      </w:r>
      <w:r>
        <w:rPr/>
        <w:t>338;</w:t>
      </w:r>
      <w:r>
        <w:rPr>
          <w:spacing w:val="-3"/>
        </w:rPr>
        <w:t> </w:t>
      </w:r>
      <w:r>
        <w:rPr/>
        <w:t>el</w:t>
      </w:r>
      <w:r>
        <w:rPr>
          <w:spacing w:val="-2"/>
        </w:rPr>
        <w:t> </w:t>
      </w:r>
      <w:r>
        <w:rPr/>
        <w:t>párrafo primero del artículo 340; el artículo 342; las fracciones I y II del artículo 343-E; el artículo 353-O; el</w:t>
      </w:r>
      <w:r>
        <w:rPr>
          <w:spacing w:val="80"/>
        </w:rPr>
        <w:t> </w:t>
      </w:r>
      <w:r>
        <w:rPr/>
        <w:t>párrafo</w:t>
      </w:r>
      <w:r>
        <w:rPr>
          <w:spacing w:val="-1"/>
        </w:rPr>
        <w:t> </w:t>
      </w:r>
      <w:r>
        <w:rPr/>
        <w:t>segundo</w:t>
      </w:r>
      <w:r>
        <w:rPr>
          <w:spacing w:val="-1"/>
        </w:rPr>
        <w:t> </w:t>
      </w:r>
      <w:r>
        <w:rPr/>
        <w:t>del</w:t>
      </w:r>
      <w:r>
        <w:rPr>
          <w:spacing w:val="-2"/>
        </w:rPr>
        <w:t> </w:t>
      </w:r>
      <w:r>
        <w:rPr/>
        <w:t>artículo</w:t>
      </w:r>
      <w:r>
        <w:rPr>
          <w:spacing w:val="-1"/>
        </w:rPr>
        <w:t> </w:t>
      </w:r>
      <w:r>
        <w:rPr/>
        <w:t>353-R; el párrafo</w:t>
      </w:r>
      <w:r>
        <w:rPr>
          <w:spacing w:val="-1"/>
        </w:rPr>
        <w:t> </w:t>
      </w:r>
      <w:r>
        <w:rPr/>
        <w:t>primero</w:t>
      </w:r>
      <w:r>
        <w:rPr>
          <w:spacing w:val="-1"/>
        </w:rPr>
        <w:t> </w:t>
      </w:r>
      <w:r>
        <w:rPr/>
        <w:t>del artículo 357;</w:t>
      </w:r>
      <w:r>
        <w:rPr>
          <w:spacing w:val="-1"/>
        </w:rPr>
        <w:t> </w:t>
      </w:r>
      <w:r>
        <w:rPr/>
        <w:t>el</w:t>
      </w:r>
      <w:r>
        <w:rPr>
          <w:spacing w:val="-2"/>
        </w:rPr>
        <w:t> </w:t>
      </w:r>
      <w:r>
        <w:rPr/>
        <w:t>párrafo primero</w:t>
      </w:r>
      <w:r>
        <w:rPr>
          <w:spacing w:val="-1"/>
        </w:rPr>
        <w:t> </w:t>
      </w:r>
      <w:r>
        <w:rPr/>
        <w:t>del</w:t>
      </w:r>
      <w:r>
        <w:rPr>
          <w:spacing w:val="-2"/>
        </w:rPr>
        <w:t> </w:t>
      </w:r>
      <w:r>
        <w:rPr/>
        <w:t>artículo</w:t>
      </w:r>
      <w:r>
        <w:rPr>
          <w:spacing w:val="-1"/>
        </w:rPr>
        <w:t> </w:t>
      </w:r>
      <w:r>
        <w:rPr/>
        <w:t>358; el artículo 364; el artículo 364 Bis; los párrafos primero y</w:t>
      </w:r>
      <w:r>
        <w:rPr>
          <w:spacing w:val="-3"/>
        </w:rPr>
        <w:t> </w:t>
      </w:r>
      <w:r>
        <w:rPr/>
        <w:t>segundo, y</w:t>
      </w:r>
      <w:r>
        <w:rPr>
          <w:spacing w:val="-1"/>
        </w:rPr>
        <w:t> </w:t>
      </w:r>
      <w:r>
        <w:rPr/>
        <w:t>las fracciones II y</w:t>
      </w:r>
      <w:r>
        <w:rPr>
          <w:spacing w:val="-1"/>
        </w:rPr>
        <w:t> </w:t>
      </w:r>
      <w:r>
        <w:rPr/>
        <w:t>III del artículo 365; los párrafos primero y</w:t>
      </w:r>
      <w:r>
        <w:rPr>
          <w:spacing w:val="-3"/>
        </w:rPr>
        <w:t> </w:t>
      </w:r>
      <w:r>
        <w:rPr/>
        <w:t>segundo del artículo 365 Bis; actuales párrafos primero y</w:t>
      </w:r>
      <w:r>
        <w:rPr>
          <w:spacing w:val="-3"/>
        </w:rPr>
        <w:t> </w:t>
      </w:r>
      <w:r>
        <w:rPr/>
        <w:t>segundo del artículo 366, el</w:t>
      </w:r>
      <w:r>
        <w:rPr>
          <w:spacing w:val="-2"/>
        </w:rPr>
        <w:t> </w:t>
      </w:r>
      <w:r>
        <w:rPr/>
        <w:t>artículo 368;</w:t>
      </w:r>
      <w:r>
        <w:rPr>
          <w:spacing w:val="-1"/>
        </w:rPr>
        <w:t> </w:t>
      </w:r>
      <w:r>
        <w:rPr/>
        <w:t>los párrafos primero y</w:t>
      </w:r>
      <w:r>
        <w:rPr>
          <w:spacing w:val="-7"/>
        </w:rPr>
        <w:t> </w:t>
      </w:r>
      <w:r>
        <w:rPr/>
        <w:t>segundo del</w:t>
      </w:r>
      <w:r>
        <w:rPr>
          <w:spacing w:val="-2"/>
        </w:rPr>
        <w:t> </w:t>
      </w:r>
      <w:r>
        <w:rPr/>
        <w:t>artículo</w:t>
      </w:r>
      <w:r>
        <w:rPr>
          <w:spacing w:val="-1"/>
        </w:rPr>
        <w:t> </w:t>
      </w:r>
      <w:r>
        <w:rPr/>
        <w:t>369; las fracciones IX, X y</w:t>
      </w:r>
      <w:r>
        <w:rPr>
          <w:spacing w:val="-4"/>
        </w:rPr>
        <w:t> </w:t>
      </w:r>
      <w:r>
        <w:rPr/>
        <w:t>XIII</w:t>
      </w:r>
      <w:r>
        <w:rPr>
          <w:spacing w:val="-1"/>
        </w:rPr>
        <w:t> </w:t>
      </w:r>
      <w:r>
        <w:rPr/>
        <w:t>del</w:t>
      </w:r>
      <w:r>
        <w:rPr>
          <w:spacing w:val="-2"/>
        </w:rPr>
        <w:t> </w:t>
      </w:r>
      <w:r>
        <w:rPr/>
        <w:t>artículo 371; los párrafos primero, actuales segundo, tercero, cuarto y quinto del artículo 373; el párrafo primero del artículo 374; el párrafo segundo del artículo 376; la fracción II y el párrafo segundo del artículo 377; el primer párrafo del artículo 384; los párrafos primero y segundo del artículo 387; la fracción I y III del artículo 388;</w:t>
      </w:r>
      <w:r>
        <w:rPr>
          <w:spacing w:val="-1"/>
        </w:rPr>
        <w:t> </w:t>
      </w:r>
      <w:r>
        <w:rPr/>
        <w:t>el</w:t>
      </w:r>
      <w:r>
        <w:rPr>
          <w:spacing w:val="-2"/>
        </w:rPr>
        <w:t> </w:t>
      </w:r>
      <w:r>
        <w:rPr/>
        <w:t>artículo 389;</w:t>
      </w:r>
      <w:r>
        <w:rPr>
          <w:spacing w:val="-1"/>
        </w:rPr>
        <w:t> </w:t>
      </w:r>
      <w:r>
        <w:rPr/>
        <w:t>el párrafo</w:t>
      </w:r>
      <w:r>
        <w:rPr>
          <w:spacing w:val="-1"/>
        </w:rPr>
        <w:t> </w:t>
      </w:r>
      <w:r>
        <w:rPr/>
        <w:t>primero</w:t>
      </w:r>
      <w:r>
        <w:rPr>
          <w:spacing w:val="-1"/>
        </w:rPr>
        <w:t> </w:t>
      </w:r>
      <w:r>
        <w:rPr/>
        <w:t>del artículo</w:t>
      </w:r>
      <w:r>
        <w:rPr>
          <w:spacing w:val="-1"/>
        </w:rPr>
        <w:t> </w:t>
      </w:r>
      <w:r>
        <w:rPr/>
        <w:t>390; el artículo</w:t>
      </w:r>
      <w:r>
        <w:rPr>
          <w:spacing w:val="-1"/>
        </w:rPr>
        <w:t> </w:t>
      </w:r>
      <w:r>
        <w:rPr/>
        <w:t>391 Bis;</w:t>
      </w:r>
      <w:r>
        <w:rPr>
          <w:spacing w:val="-1"/>
        </w:rPr>
        <w:t> </w:t>
      </w:r>
      <w:r>
        <w:rPr/>
        <w:t>artículo 392;</w:t>
      </w:r>
      <w:r>
        <w:rPr>
          <w:spacing w:val="-1"/>
        </w:rPr>
        <w:t> </w:t>
      </w:r>
      <w:r>
        <w:rPr/>
        <w:t>el</w:t>
      </w:r>
      <w:r>
        <w:rPr>
          <w:spacing w:val="-2"/>
        </w:rPr>
        <w:t> </w:t>
      </w:r>
      <w:r>
        <w:rPr/>
        <w:t>artículo 395; el párrafo primero del artículo 399; el párrafo segundo del artículo 399 Bis; la fracción I del artículo 401; artículo 407; artículo 408; artículo 409; el primer párrafo del artículo 411; la fracción III del artículo 412; artículo 414; las fracciones I, III, IV, V</w:t>
      </w:r>
      <w:r>
        <w:rPr>
          <w:spacing w:val="8"/>
        </w:rPr>
        <w:t> </w:t>
      </w:r>
      <w:r>
        <w:rPr/>
        <w:t>y VI inciso b) del artículo 415; el artículo 418; las fracciones II</w:t>
      </w:r>
      <w:r>
        <w:rPr>
          <w:spacing w:val="40"/>
        </w:rPr>
        <w:t> </w:t>
      </w:r>
      <w:r>
        <w:rPr/>
        <w:t>y IV del artículo 419; el párrafo segundo del artículo 419 Bis; el párrafo primero del artículo 421; las fracciones II y IV del artículo 424; el artículo 424 Bis; el párrafo primero del artículo 426; las fracciones I,</w:t>
      </w:r>
      <w:r>
        <w:rPr>
          <w:spacing w:val="40"/>
        </w:rPr>
        <w:t> </w:t>
      </w:r>
      <w:r>
        <w:rPr/>
        <w:t>II, III, y IV del artículo 429; el artículo 430; el artículo 431; el párrafo primero del artículo 432; las</w:t>
      </w:r>
      <w:r>
        <w:rPr>
          <w:spacing w:val="40"/>
        </w:rPr>
        <w:t> </w:t>
      </w:r>
      <w:r>
        <w:rPr/>
        <w:t>fracciones I, II y III del artículo 435; el artículo 439; el párrafo primero del artículo 448; el artículo 449; las fracciones II y III del artículo 451; la fracción III del artículo 459; la fracción IV del artículo 469; el artículo 476; el párrafo segundo del artículo 483; el primer párrafo del artículo 490; el artículo 493; el primer párrafo y</w:t>
      </w:r>
      <w:r>
        <w:rPr>
          <w:spacing w:val="-1"/>
        </w:rPr>
        <w:t> </w:t>
      </w:r>
      <w:r>
        <w:rPr/>
        <w:t>las fracciones I, II, III y</w:t>
      </w:r>
      <w:r>
        <w:rPr>
          <w:spacing w:val="-1"/>
        </w:rPr>
        <w:t> </w:t>
      </w:r>
      <w:r>
        <w:rPr/>
        <w:t>IV del artículo 501; el artículo 503; el párrafo primero de la fracción V del artículo 504; el artículo 505; el párrafo segundo del artículo 512-B; el párrafo primero del artículo 512-C;</w:t>
      </w:r>
      <w:r>
        <w:rPr>
          <w:spacing w:val="80"/>
        </w:rPr>
        <w:t> </w:t>
      </w:r>
      <w:r>
        <w:rPr/>
        <w:t>el párrafo primero del artículo 513; el párrafo segundo del artículo 514; la fracción III y el párrafo segundo del artículo 519; la fracción I del artículo 521; las fracciones X y XI del artículo 523; el artículo 525 Bis; el párrafo segundo del artículo 527; el artículo 531; los párrafos primero, segundo, tercero y cuarto del artículo 539-B; la fracción III del artículo 549; la denominación del Capítulo XII para quedar como “De la Competencia de los Tribunales”; el primer párrafo del artículo 604; el primer párrafo del artículo 605; el párrafo primero del artículo 610; la denominación del Capítulo I del Título XIII para quedar como “De los procedimientos de designación de representantes de los trabajadores y de los patrones”; el artículo 648; el artículo 650; el párrafo primero del artículo 658; las fracciones I, V y</w:t>
      </w:r>
      <w:r>
        <w:rPr>
          <w:spacing w:val="-1"/>
        </w:rPr>
        <w:t> </w:t>
      </w:r>
      <w:r>
        <w:rPr/>
        <w:t>IX del artículo 660; el artículo 661; el artículo 662; el artículo 666; el artículo 667; el artículo 668; las fracciones I y II del artículo 669; el artículo</w:t>
      </w:r>
      <w:r>
        <w:rPr>
          <w:spacing w:val="25"/>
        </w:rPr>
        <w:t> </w:t>
      </w:r>
      <w:r>
        <w:rPr/>
        <w:t>670;</w:t>
      </w:r>
      <w:r>
        <w:rPr>
          <w:spacing w:val="25"/>
        </w:rPr>
        <w:t> </w:t>
      </w:r>
      <w:r>
        <w:rPr/>
        <w:t>el</w:t>
      </w:r>
      <w:r>
        <w:rPr>
          <w:spacing w:val="24"/>
        </w:rPr>
        <w:t> </w:t>
      </w:r>
      <w:r>
        <w:rPr/>
        <w:t>artículo</w:t>
      </w:r>
      <w:r>
        <w:rPr>
          <w:spacing w:val="25"/>
        </w:rPr>
        <w:t> </w:t>
      </w:r>
      <w:r>
        <w:rPr/>
        <w:t>677;</w:t>
      </w:r>
      <w:r>
        <w:rPr>
          <w:spacing w:val="23"/>
        </w:rPr>
        <w:t> </w:t>
      </w:r>
      <w:r>
        <w:rPr/>
        <w:t>el</w:t>
      </w:r>
      <w:r>
        <w:rPr>
          <w:spacing w:val="24"/>
        </w:rPr>
        <w:t> </w:t>
      </w:r>
      <w:r>
        <w:rPr/>
        <w:t>artículo</w:t>
      </w:r>
      <w:r>
        <w:rPr>
          <w:spacing w:val="23"/>
        </w:rPr>
        <w:t> </w:t>
      </w:r>
      <w:r>
        <w:rPr/>
        <w:t>680;</w:t>
      </w:r>
      <w:r>
        <w:rPr>
          <w:spacing w:val="23"/>
        </w:rPr>
        <w:t> </w:t>
      </w:r>
      <w:r>
        <w:rPr/>
        <w:t>el</w:t>
      </w:r>
      <w:r>
        <w:rPr>
          <w:spacing w:val="24"/>
        </w:rPr>
        <w:t> </w:t>
      </w:r>
      <w:r>
        <w:rPr/>
        <w:t>párrafo</w:t>
      </w:r>
      <w:r>
        <w:rPr>
          <w:spacing w:val="23"/>
        </w:rPr>
        <w:t> </w:t>
      </w:r>
      <w:r>
        <w:rPr/>
        <w:t>primero</w:t>
      </w:r>
      <w:r>
        <w:rPr>
          <w:spacing w:val="25"/>
        </w:rPr>
        <w:t> </w:t>
      </w:r>
      <w:r>
        <w:rPr/>
        <w:t>y</w:t>
      </w:r>
      <w:r>
        <w:rPr>
          <w:spacing w:val="20"/>
        </w:rPr>
        <w:t> </w:t>
      </w:r>
      <w:r>
        <w:rPr/>
        <w:t>el</w:t>
      </w:r>
      <w:r>
        <w:rPr>
          <w:spacing w:val="22"/>
        </w:rPr>
        <w:t> </w:t>
      </w:r>
      <w:r>
        <w:rPr/>
        <w:t>actual</w:t>
      </w:r>
      <w:r>
        <w:rPr>
          <w:spacing w:val="22"/>
        </w:rPr>
        <w:t> </w:t>
      </w:r>
      <w:r>
        <w:rPr/>
        <w:t>segundo</w:t>
      </w:r>
      <w:r>
        <w:rPr>
          <w:spacing w:val="23"/>
        </w:rPr>
        <w:t> </w:t>
      </w:r>
      <w:r>
        <w:rPr/>
        <w:t>del</w:t>
      </w:r>
      <w:r>
        <w:rPr>
          <w:spacing w:val="22"/>
        </w:rPr>
        <w:t> </w:t>
      </w:r>
      <w:r>
        <w:rPr/>
        <w:t>artículo</w:t>
      </w:r>
      <w:r>
        <w:rPr>
          <w:spacing w:val="25"/>
        </w:rPr>
        <w:t> </w:t>
      </w:r>
      <w:r>
        <w:rPr/>
        <w:t>685;</w:t>
      </w:r>
      <w:r>
        <w:rPr>
          <w:spacing w:val="23"/>
        </w:rPr>
        <w:t> </w:t>
      </w:r>
      <w:r>
        <w:rPr/>
        <w:t>el</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31"/>
        <w:jc w:val="both"/>
      </w:pPr>
      <w:r>
        <w:rPr/>
        <w:t>párrafo segundo del artículo 686; el artículo 688; el artículo 690; el párrafo primero del artículo 691; la fracción I del artículo 692; el artículo 693; el artículo 694; el párrafo segundo del artículo 697; el artículo 698; el artículo 699; los incisos a), b) y</w:t>
      </w:r>
      <w:r>
        <w:rPr>
          <w:spacing w:val="-3"/>
        </w:rPr>
        <w:t> </w:t>
      </w:r>
      <w:r>
        <w:rPr/>
        <w:t>c) de la fracción</w:t>
      </w:r>
      <w:r>
        <w:rPr>
          <w:spacing w:val="-1"/>
        </w:rPr>
        <w:t> </w:t>
      </w:r>
      <w:r>
        <w:rPr/>
        <w:t>II y</w:t>
      </w:r>
      <w:r>
        <w:rPr>
          <w:spacing w:val="-1"/>
        </w:rPr>
        <w:t> </w:t>
      </w:r>
      <w:r>
        <w:rPr/>
        <w:t>las fracciones III, IV, V y</w:t>
      </w:r>
      <w:r>
        <w:rPr>
          <w:spacing w:val="-3"/>
        </w:rPr>
        <w:t> </w:t>
      </w:r>
      <w:r>
        <w:rPr/>
        <w:t>VI del artículo 700; el artículo 701; el párrafo segundo del artículo 703; el artículo 704; el artículo 706; el párrafo primero del artículo 709; la denominación del Capítulo V, “De la Actuación de los Tribunales” del Título Catorce; los párrafos</w:t>
      </w:r>
      <w:r>
        <w:rPr>
          <w:spacing w:val="-2"/>
        </w:rPr>
        <w:t> </w:t>
      </w:r>
      <w:r>
        <w:rPr/>
        <w:t>primero</w:t>
      </w:r>
      <w:r>
        <w:rPr>
          <w:spacing w:val="-1"/>
        </w:rPr>
        <w:t> </w:t>
      </w:r>
      <w:r>
        <w:rPr/>
        <w:t>y</w:t>
      </w:r>
      <w:r>
        <w:rPr>
          <w:spacing w:val="-6"/>
        </w:rPr>
        <w:t> </w:t>
      </w:r>
      <w:r>
        <w:rPr/>
        <w:t>segundo</w:t>
      </w:r>
      <w:r>
        <w:rPr>
          <w:spacing w:val="-1"/>
        </w:rPr>
        <w:t> </w:t>
      </w:r>
      <w:r>
        <w:rPr/>
        <w:t>del</w:t>
      </w:r>
      <w:r>
        <w:rPr>
          <w:spacing w:val="-4"/>
        </w:rPr>
        <w:t> </w:t>
      </w:r>
      <w:r>
        <w:rPr/>
        <w:t>artículo</w:t>
      </w:r>
      <w:r>
        <w:rPr>
          <w:spacing w:val="-1"/>
        </w:rPr>
        <w:t> </w:t>
      </w:r>
      <w:r>
        <w:rPr/>
        <w:t>712;</w:t>
      </w:r>
      <w:r>
        <w:rPr>
          <w:spacing w:val="-1"/>
        </w:rPr>
        <w:t> </w:t>
      </w:r>
      <w:r>
        <w:rPr/>
        <w:t>el</w:t>
      </w:r>
      <w:r>
        <w:rPr>
          <w:spacing w:val="-2"/>
        </w:rPr>
        <w:t> </w:t>
      </w:r>
      <w:r>
        <w:rPr/>
        <w:t>artículo</w:t>
      </w:r>
      <w:r>
        <w:rPr>
          <w:spacing w:val="-1"/>
        </w:rPr>
        <w:t> </w:t>
      </w:r>
      <w:r>
        <w:rPr/>
        <w:t>714;</w:t>
      </w:r>
      <w:r>
        <w:rPr>
          <w:spacing w:val="-3"/>
        </w:rPr>
        <w:t> </w:t>
      </w:r>
      <w:r>
        <w:rPr/>
        <w:t>el</w:t>
      </w:r>
      <w:r>
        <w:rPr>
          <w:spacing w:val="-2"/>
        </w:rPr>
        <w:t> </w:t>
      </w:r>
      <w:r>
        <w:rPr/>
        <w:t>artículo</w:t>
      </w:r>
      <w:r>
        <w:rPr>
          <w:spacing w:val="-1"/>
        </w:rPr>
        <w:t> </w:t>
      </w:r>
      <w:r>
        <w:rPr/>
        <w:t>715;</w:t>
      </w:r>
      <w:r>
        <w:rPr>
          <w:spacing w:val="-1"/>
        </w:rPr>
        <w:t> </w:t>
      </w:r>
      <w:r>
        <w:rPr/>
        <w:t>el</w:t>
      </w:r>
      <w:r>
        <w:rPr>
          <w:spacing w:val="-2"/>
        </w:rPr>
        <w:t> </w:t>
      </w:r>
      <w:r>
        <w:rPr/>
        <w:t>artículo</w:t>
      </w:r>
      <w:r>
        <w:rPr>
          <w:spacing w:val="-1"/>
        </w:rPr>
        <w:t> </w:t>
      </w:r>
      <w:r>
        <w:rPr/>
        <w:t>717;</w:t>
      </w:r>
      <w:r>
        <w:rPr>
          <w:spacing w:val="-1"/>
        </w:rPr>
        <w:t> </w:t>
      </w:r>
      <w:r>
        <w:rPr/>
        <w:t>el</w:t>
      </w:r>
      <w:r>
        <w:rPr>
          <w:spacing w:val="-4"/>
        </w:rPr>
        <w:t> </w:t>
      </w:r>
      <w:r>
        <w:rPr/>
        <w:t>artículo</w:t>
      </w:r>
      <w:r>
        <w:rPr>
          <w:spacing w:val="-1"/>
        </w:rPr>
        <w:t> </w:t>
      </w:r>
      <w:r>
        <w:rPr/>
        <w:t>718; el artículo 719; el artículo 720; el artículo 721; el párrafo primero del artículo 722; el artículo 723; el</w:t>
      </w:r>
      <w:r>
        <w:rPr>
          <w:spacing w:val="40"/>
        </w:rPr>
        <w:t> </w:t>
      </w:r>
      <w:r>
        <w:rPr/>
        <w:t>artículo 724; el artículo 725; el artículo 726; el artículo 727; el artículo 728; las fracciones II y III del</w:t>
      </w:r>
      <w:r>
        <w:rPr>
          <w:spacing w:val="40"/>
        </w:rPr>
        <w:t> </w:t>
      </w:r>
      <w:r>
        <w:rPr/>
        <w:t>artículo 729; el artículo 730; el primer párrafo y la fracción I del artículo 731; el artículo 734; el artículo</w:t>
      </w:r>
      <w:r>
        <w:rPr>
          <w:spacing w:val="40"/>
        </w:rPr>
        <w:t> </w:t>
      </w:r>
      <w:r>
        <w:rPr/>
        <w:t>737; los párrafos primero,</w:t>
      </w:r>
      <w:r>
        <w:rPr>
          <w:spacing w:val="-1"/>
        </w:rPr>
        <w:t> </w:t>
      </w:r>
      <w:r>
        <w:rPr/>
        <w:t>segundo y</w:t>
      </w:r>
      <w:r>
        <w:rPr>
          <w:spacing w:val="-2"/>
        </w:rPr>
        <w:t> </w:t>
      </w:r>
      <w:r>
        <w:rPr/>
        <w:t>tercero del artículo</w:t>
      </w:r>
      <w:r>
        <w:rPr>
          <w:spacing w:val="-1"/>
        </w:rPr>
        <w:t> </w:t>
      </w:r>
      <w:r>
        <w:rPr/>
        <w:t>739; las fracciones II, III, VI, VIII y</w:t>
      </w:r>
      <w:r>
        <w:rPr>
          <w:spacing w:val="-4"/>
        </w:rPr>
        <w:t> </w:t>
      </w:r>
      <w:r>
        <w:rPr/>
        <w:t>XII del artículo 742; las fracciones III, V y VI, y el párrafo segundo del artículo 743; el artículo 744; el artículo 745; los párrafos primero y segundo del artículo 746; la fracción II del artículo 747; el artículo 749; el</w:t>
      </w:r>
      <w:r>
        <w:rPr>
          <w:spacing w:val="15"/>
        </w:rPr>
        <w:t> </w:t>
      </w:r>
      <w:r>
        <w:rPr/>
        <w:t>artículo 753; el artículo 757; el artículo 758; el artículo 759; el primer párrafo del artículo 760; el primer párrafo del artículo 766; la fracción II del artículo 769; el segundo párrafo del artículo 770; el primer párrafo del artículo 771; el artículo 772; el artículo 773; el artículo 774; el artículo 778; el artículo 779; el artículo 782; el artículo 783; el primer párrafo y</w:t>
      </w:r>
      <w:r>
        <w:rPr>
          <w:spacing w:val="-1"/>
        </w:rPr>
        <w:t> </w:t>
      </w:r>
      <w:r>
        <w:rPr/>
        <w:t>fracción VI del artículo 784; el primer párrafo del artículo 785; el primer párrafo del artículo 786; el artículo 787; el artículo 788; el artículo 789; las fracciones I, II, III, VI y VII del artículo 790; el primer párrafo del artículo 791; el artículo 793; el artículo 795; el artículo 798; el segundo párrafo del artículo 800; el artículo 801; el artículo 803; el segundo párrafo del artículo 807; el artículo</w:t>
      </w:r>
      <w:r>
        <w:rPr>
          <w:spacing w:val="40"/>
        </w:rPr>
        <w:t> </w:t>
      </w:r>
      <w:r>
        <w:rPr/>
        <w:t>809; las fracciones I, II, III y IV del artículo 813; el artículo 814; las fracciones I, II, IV, V, VI, VII, VIII y XI del artículo 815; el artículo 816; el artículo 817; el artículo 818; el artículo 819; el artículo 821; el artículo 822; el artículo 823; el artículo 824; las fracciones II, III</w:t>
      </w:r>
      <w:r>
        <w:rPr>
          <w:spacing w:val="20"/>
        </w:rPr>
        <w:t> </w:t>
      </w:r>
      <w:r>
        <w:rPr/>
        <w:t>y IV del artículo 825; el artículo 826; el artículo</w:t>
      </w:r>
      <w:r>
        <w:rPr>
          <w:spacing w:val="40"/>
        </w:rPr>
        <w:t> </w:t>
      </w:r>
      <w:r>
        <w:rPr/>
        <w:t>826 Bis; el actual párrafo primero del artículo 827; el artículo 828; las fracciones I y II del artículo 829; el artículo 830; el artículo 831; el artículo 835; el artículo 836; el artículo 836-A; las fracciones I, IV, V y segundo</w:t>
      </w:r>
      <w:r>
        <w:rPr>
          <w:spacing w:val="-1"/>
        </w:rPr>
        <w:t> </w:t>
      </w:r>
      <w:r>
        <w:rPr/>
        <w:t>párrafo</w:t>
      </w:r>
      <w:r>
        <w:rPr>
          <w:spacing w:val="-3"/>
        </w:rPr>
        <w:t> </w:t>
      </w:r>
      <w:r>
        <w:rPr/>
        <w:t>del</w:t>
      </w:r>
      <w:r>
        <w:rPr>
          <w:spacing w:val="-2"/>
        </w:rPr>
        <w:t> </w:t>
      </w:r>
      <w:r>
        <w:rPr/>
        <w:t>artículo</w:t>
      </w:r>
      <w:r>
        <w:rPr>
          <w:spacing w:val="-3"/>
        </w:rPr>
        <w:t> </w:t>
      </w:r>
      <w:r>
        <w:rPr/>
        <w:t>836-D; la</w:t>
      </w:r>
      <w:r>
        <w:rPr>
          <w:spacing w:val="-3"/>
        </w:rPr>
        <w:t> </w:t>
      </w:r>
      <w:r>
        <w:rPr/>
        <w:t>fracción</w:t>
      </w:r>
      <w:r>
        <w:rPr>
          <w:spacing w:val="-1"/>
        </w:rPr>
        <w:t> </w:t>
      </w:r>
      <w:r>
        <w:rPr/>
        <w:t>III</w:t>
      </w:r>
      <w:r>
        <w:rPr>
          <w:spacing w:val="-1"/>
        </w:rPr>
        <w:t> </w:t>
      </w:r>
      <w:r>
        <w:rPr/>
        <w:t>del</w:t>
      </w:r>
      <w:r>
        <w:rPr>
          <w:spacing w:val="-2"/>
        </w:rPr>
        <w:t> </w:t>
      </w:r>
      <w:r>
        <w:rPr/>
        <w:t>artículo</w:t>
      </w:r>
      <w:r>
        <w:rPr>
          <w:spacing w:val="-1"/>
        </w:rPr>
        <w:t> </w:t>
      </w:r>
      <w:r>
        <w:rPr/>
        <w:t>837;</w:t>
      </w:r>
      <w:r>
        <w:rPr>
          <w:spacing w:val="-1"/>
        </w:rPr>
        <w:t> </w:t>
      </w:r>
      <w:r>
        <w:rPr/>
        <w:t>el</w:t>
      </w:r>
      <w:r>
        <w:rPr>
          <w:spacing w:val="-2"/>
        </w:rPr>
        <w:t> </w:t>
      </w:r>
      <w:r>
        <w:rPr/>
        <w:t>artículo</w:t>
      </w:r>
      <w:r>
        <w:rPr>
          <w:spacing w:val="-1"/>
        </w:rPr>
        <w:t> </w:t>
      </w:r>
      <w:r>
        <w:rPr/>
        <w:t>838; el</w:t>
      </w:r>
      <w:r>
        <w:rPr>
          <w:spacing w:val="-2"/>
        </w:rPr>
        <w:t> </w:t>
      </w:r>
      <w:r>
        <w:rPr/>
        <w:t>artículo</w:t>
      </w:r>
      <w:r>
        <w:rPr>
          <w:spacing w:val="-1"/>
        </w:rPr>
        <w:t> </w:t>
      </w:r>
      <w:r>
        <w:rPr/>
        <w:t>839;</w:t>
      </w:r>
      <w:r>
        <w:rPr>
          <w:spacing w:val="-1"/>
        </w:rPr>
        <w:t> </w:t>
      </w:r>
      <w:r>
        <w:rPr/>
        <w:t>el</w:t>
      </w:r>
      <w:r>
        <w:rPr>
          <w:spacing w:val="-2"/>
        </w:rPr>
        <w:t> </w:t>
      </w:r>
      <w:r>
        <w:rPr/>
        <w:t>primer párrafo y la fracción I del artículo 840; el artículo 841; el artículo 842; el artículo 843; el artículo 844; el primer párrafo del artículo 847; el artículo 848; el primer párrafo y la fracción I del artículo 857; el artículo 858; el artículo 860; las fracciones II y IV del artículo 861; el artículo 862; el segundo párrafo del artículo 863; la denominación del Capítulo XVII del Título Quince, para quedar como “Del procedimiento</w:t>
      </w:r>
      <w:r>
        <w:rPr>
          <w:spacing w:val="40"/>
        </w:rPr>
        <w:t> </w:t>
      </w:r>
      <w:r>
        <w:rPr/>
        <w:t>ordinario”; el artículo 870; el artículo 871; el artículo 872; los actuales párrafos primero y segundo del artículo 873; el artículo 874; el artículo 892; el artículo 893; el artículo 894; el párrafo primero del artículo 895; el artículo 896; el artículo 897; el párrafo segundo del artículo 899-A; los párrafos primero, segundo, sexto, séptimo, octavo, noveno, décimo, décimo primero, décimo segundo, décimo tercero, décimo</w:t>
      </w:r>
      <w:r>
        <w:rPr>
          <w:spacing w:val="40"/>
        </w:rPr>
        <w:t> </w:t>
      </w:r>
      <w:r>
        <w:rPr/>
        <w:t>cuarto, décimo quinto y</w:t>
      </w:r>
      <w:r>
        <w:rPr>
          <w:spacing w:val="-1"/>
        </w:rPr>
        <w:t> </w:t>
      </w:r>
      <w:r>
        <w:rPr/>
        <w:t>décimo sexto del artículo 899-E; los párrafos primero y</w:t>
      </w:r>
      <w:r>
        <w:rPr>
          <w:spacing w:val="-1"/>
        </w:rPr>
        <w:t> </w:t>
      </w:r>
      <w:r>
        <w:rPr/>
        <w:t>tercero del artículo 899-F; el artículo 899-G; el artículo 901; el párrafo primero del artículo 902; el artículo 905; las fracciones III, IV, VI y VII del artículo 906; el párrafo primero del artículo 907; el párrafo primero del artículo 909; el artículo 912; el artículo 913; el párrafo primero y la fracción III del artículo 916; el artículo 919; la fracción II del artículo 920; el párrafo primero del artículo 921; el artículo 922; el artículo 923; el artículo 926; las fracciones I y</w:t>
      </w:r>
      <w:r>
        <w:rPr>
          <w:spacing w:val="-4"/>
        </w:rPr>
        <w:t> </w:t>
      </w:r>
      <w:r>
        <w:rPr/>
        <w:t>III del artículo 927; las fracciones III,</w:t>
      </w:r>
      <w:r>
        <w:rPr>
          <w:spacing w:val="-1"/>
        </w:rPr>
        <w:t> </w:t>
      </w:r>
      <w:r>
        <w:rPr/>
        <w:t>IV y</w:t>
      </w:r>
      <w:r>
        <w:rPr>
          <w:spacing w:val="-2"/>
        </w:rPr>
        <w:t> </w:t>
      </w:r>
      <w:r>
        <w:rPr/>
        <w:t>V y, el párrafo</w:t>
      </w:r>
      <w:r>
        <w:rPr>
          <w:spacing w:val="-1"/>
        </w:rPr>
        <w:t> </w:t>
      </w:r>
      <w:r>
        <w:rPr/>
        <w:t>segundo del</w:t>
      </w:r>
      <w:r>
        <w:rPr>
          <w:spacing w:val="-2"/>
        </w:rPr>
        <w:t> </w:t>
      </w:r>
      <w:r>
        <w:rPr/>
        <w:t>artículo</w:t>
      </w:r>
      <w:r>
        <w:rPr>
          <w:spacing w:val="-1"/>
        </w:rPr>
        <w:t> </w:t>
      </w:r>
      <w:r>
        <w:rPr/>
        <w:t>928;</w:t>
      </w:r>
      <w:r>
        <w:rPr>
          <w:spacing w:val="-1"/>
        </w:rPr>
        <w:t> </w:t>
      </w:r>
      <w:r>
        <w:rPr/>
        <w:t>el</w:t>
      </w:r>
      <w:r>
        <w:rPr>
          <w:spacing w:val="-2"/>
        </w:rPr>
        <w:t> </w:t>
      </w:r>
      <w:r>
        <w:rPr/>
        <w:t>artículo 929; las fracciones I, II, III, IV y V del artículo 930; la fracción V del artículo 931; el párrafo primero del artículo 932; el artículo 934; el artículo 935; el artículo 936; el artículo 937; las fracciones I, II, III y IV del artículo 938; el párrafo primero del artículo 939; el artículo 940; el artículo 941; el artículo 942; el artículo 943; el artículo 944; los párrafos primero y actual segundo del artículo 945; el artículo 946; el párrafo primero del artículo 947; el artículo 948; el artículo 949; el artículo 950; el artículo 955; el artículo 956; el artículo 957; el artículo 958; el artículo 962; las fracciones I, V, VI y VII del artículo 963; las fracciones II y III del artículo 964; el párrafo segundo del artículo 965; las fracciones II y III del artículo 966; el párrafo segundo del artículo 967; las fracciones I y III del apartado A, las fracciones I y III del apartado B y el párrafo segundo del artículo 968;</w:t>
      </w:r>
      <w:r>
        <w:rPr>
          <w:spacing w:val="13"/>
        </w:rPr>
        <w:t> </w:t>
      </w:r>
      <w:r>
        <w:rPr/>
        <w:t>la fracción I del artículo 969; el artículo 970; las fracciones I, II, III, IV y VI del artículo 971; el artículo 972; el artículo 974; los incisos a) y c) de la fracción II del artículo 975; el párrafo primero y las fracciones I, II y V del artículo 977; el artículo 978;</w:t>
      </w:r>
      <w:r>
        <w:rPr>
          <w:spacing w:val="27"/>
        </w:rPr>
        <w:t> </w:t>
      </w:r>
      <w:r>
        <w:rPr/>
        <w:t>el párrafo primero del artículo 979; las fracciones I, II y III del artículo 980; el párrafo primero del artículo 981; el artículo 982; el artículo 983; el artículo 984; el párrafo primero del artículo 985; el artículo 986; los párrafos primero y tercero del artículo</w:t>
      </w:r>
      <w:r>
        <w:rPr>
          <w:spacing w:val="-1"/>
        </w:rPr>
        <w:t> </w:t>
      </w:r>
      <w:r>
        <w:rPr/>
        <w:t>987;</w:t>
      </w:r>
      <w:r>
        <w:rPr>
          <w:spacing w:val="-1"/>
        </w:rPr>
        <w:t> </w:t>
      </w:r>
      <w:r>
        <w:rPr/>
        <w:t>el</w:t>
      </w:r>
      <w:r>
        <w:rPr>
          <w:spacing w:val="-2"/>
        </w:rPr>
        <w:t> </w:t>
      </w:r>
      <w:r>
        <w:rPr/>
        <w:t>artículo</w:t>
      </w:r>
      <w:r>
        <w:rPr>
          <w:spacing w:val="-1"/>
        </w:rPr>
        <w:t> </w:t>
      </w:r>
      <w:r>
        <w:rPr/>
        <w:t>988;</w:t>
      </w:r>
      <w:r>
        <w:rPr>
          <w:spacing w:val="-3"/>
        </w:rPr>
        <w:t> </w:t>
      </w:r>
      <w:r>
        <w:rPr/>
        <w:t>el</w:t>
      </w:r>
      <w:r>
        <w:rPr>
          <w:spacing w:val="-2"/>
        </w:rPr>
        <w:t> </w:t>
      </w:r>
      <w:r>
        <w:rPr/>
        <w:t>artículo</w:t>
      </w:r>
      <w:r>
        <w:rPr>
          <w:spacing w:val="-1"/>
        </w:rPr>
        <w:t> </w:t>
      </w:r>
      <w:r>
        <w:rPr/>
        <w:t>989;</w:t>
      </w:r>
      <w:r>
        <w:rPr>
          <w:spacing w:val="-1"/>
        </w:rPr>
        <w:t> </w:t>
      </w:r>
      <w:r>
        <w:rPr/>
        <w:t>el</w:t>
      </w:r>
      <w:r>
        <w:rPr>
          <w:spacing w:val="-2"/>
        </w:rPr>
        <w:t> </w:t>
      </w:r>
      <w:r>
        <w:rPr/>
        <w:t>artículo 990;</w:t>
      </w:r>
      <w:r>
        <w:rPr>
          <w:spacing w:val="-1"/>
        </w:rPr>
        <w:t> </w:t>
      </w:r>
      <w:r>
        <w:rPr/>
        <w:t>el</w:t>
      </w:r>
      <w:r>
        <w:rPr>
          <w:spacing w:val="-2"/>
        </w:rPr>
        <w:t> </w:t>
      </w:r>
      <w:r>
        <w:rPr/>
        <w:t>artículo</w:t>
      </w:r>
      <w:r>
        <w:rPr>
          <w:spacing w:val="-1"/>
        </w:rPr>
        <w:t> </w:t>
      </w:r>
      <w:r>
        <w:rPr/>
        <w:t>991; los párrafos</w:t>
      </w:r>
      <w:r>
        <w:rPr>
          <w:spacing w:val="-2"/>
        </w:rPr>
        <w:t> </w:t>
      </w:r>
      <w:r>
        <w:rPr/>
        <w:t>primero</w:t>
      </w:r>
      <w:r>
        <w:rPr>
          <w:spacing w:val="-1"/>
        </w:rPr>
        <w:t> </w:t>
      </w:r>
      <w:r>
        <w:rPr/>
        <w:t>y</w:t>
      </w:r>
      <w:r>
        <w:rPr>
          <w:spacing w:val="-6"/>
        </w:rPr>
        <w:t> </w:t>
      </w:r>
      <w:r>
        <w:rPr/>
        <w:t>segundo</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33"/>
        <w:jc w:val="both"/>
      </w:pPr>
      <w:r>
        <w:rPr/>
        <w:t>del artículo 992; el artículo 993; las fracciones I, II, III, IV, V, VI y VII del artículo 994; el artículo 995; el artículo 995 Bis; las fracciones I y II del artículo 996; el artículo 997; el artículo 998; el artículo 999; el artículo 1000; el artículo 1001; el artículo 1002; el artículo 1003; el artículo 1004; el artículo 1004-A; el artículo</w:t>
      </w:r>
      <w:r>
        <w:rPr>
          <w:spacing w:val="-2"/>
        </w:rPr>
        <w:t> </w:t>
      </w:r>
      <w:r>
        <w:rPr/>
        <w:t>1004-B;</w:t>
      </w:r>
      <w:r>
        <w:rPr>
          <w:spacing w:val="-2"/>
        </w:rPr>
        <w:t> </w:t>
      </w:r>
      <w:r>
        <w:rPr/>
        <w:t>el</w:t>
      </w:r>
      <w:r>
        <w:rPr>
          <w:spacing w:val="-3"/>
        </w:rPr>
        <w:t> </w:t>
      </w:r>
      <w:r>
        <w:rPr/>
        <w:t>artículo 1004-C; el</w:t>
      </w:r>
      <w:r>
        <w:rPr>
          <w:spacing w:val="-3"/>
        </w:rPr>
        <w:t> </w:t>
      </w:r>
      <w:r>
        <w:rPr/>
        <w:t>párrafo</w:t>
      </w:r>
      <w:r>
        <w:rPr>
          <w:spacing w:val="-2"/>
        </w:rPr>
        <w:t> </w:t>
      </w:r>
      <w:r>
        <w:rPr/>
        <w:t>primero</w:t>
      </w:r>
      <w:r>
        <w:rPr>
          <w:spacing w:val="-2"/>
        </w:rPr>
        <w:t> </w:t>
      </w:r>
      <w:r>
        <w:rPr/>
        <w:t>del</w:t>
      </w:r>
      <w:r>
        <w:rPr>
          <w:spacing w:val="-3"/>
        </w:rPr>
        <w:t> </w:t>
      </w:r>
      <w:r>
        <w:rPr/>
        <w:t>artículo</w:t>
      </w:r>
      <w:r>
        <w:rPr>
          <w:spacing w:val="-2"/>
        </w:rPr>
        <w:t> </w:t>
      </w:r>
      <w:r>
        <w:rPr/>
        <w:t>1005; el</w:t>
      </w:r>
      <w:r>
        <w:rPr>
          <w:spacing w:val="-3"/>
        </w:rPr>
        <w:t> </w:t>
      </w:r>
      <w:r>
        <w:rPr/>
        <w:t>artículo</w:t>
      </w:r>
      <w:r>
        <w:rPr>
          <w:spacing w:val="-2"/>
        </w:rPr>
        <w:t> </w:t>
      </w:r>
      <w:r>
        <w:rPr/>
        <w:t>1006 y</w:t>
      </w:r>
      <w:r>
        <w:rPr>
          <w:spacing w:val="-4"/>
        </w:rPr>
        <w:t> </w:t>
      </w:r>
      <w:r>
        <w:rPr/>
        <w:t>el</w:t>
      </w:r>
      <w:r>
        <w:rPr>
          <w:spacing w:val="-3"/>
        </w:rPr>
        <w:t> </w:t>
      </w:r>
      <w:r>
        <w:rPr/>
        <w:t>artículo</w:t>
      </w:r>
      <w:r>
        <w:rPr>
          <w:spacing w:val="-2"/>
        </w:rPr>
        <w:t> </w:t>
      </w:r>
      <w:r>
        <w:rPr/>
        <w:t>1008; </w:t>
      </w:r>
      <w:r>
        <w:rPr>
          <w:rFonts w:ascii="Arial" w:hAnsi="Arial"/>
          <w:b/>
        </w:rPr>
        <w:t>SE</w:t>
      </w:r>
      <w:r>
        <w:rPr>
          <w:rFonts w:ascii="Arial" w:hAnsi="Arial"/>
          <w:b/>
          <w:spacing w:val="13"/>
        </w:rPr>
        <w:t> </w:t>
      </w:r>
      <w:r>
        <w:rPr>
          <w:rFonts w:ascii="Arial" w:hAnsi="Arial"/>
          <w:b/>
        </w:rPr>
        <w:t>ADICIONAN </w:t>
      </w:r>
      <w:r>
        <w:rPr/>
        <w:t>el artículo 3o. Ter; las fracciones XIV y XV del artículo 5o.; la fracción X del artículo 25;</w:t>
      </w:r>
      <w:r>
        <w:rPr>
          <w:spacing w:val="40"/>
        </w:rPr>
        <w:t> </w:t>
      </w:r>
      <w:r>
        <w:rPr/>
        <w:t>el párrafo tercero del artículo 33; el párrafo séptimo del artículo 48; el artículo 48 Bis; los párrafos</w:t>
      </w:r>
      <w:r>
        <w:rPr>
          <w:spacing w:val="40"/>
        </w:rPr>
        <w:t> </w:t>
      </w:r>
      <w:r>
        <w:rPr/>
        <w:t>segundo y tercero del artículo 49; los párrafos tercero y cuarto del artículo 101; el párrafo segundo a la fracción V del artículo 110; las fracciones XXX, XXXI, XXXII y XXXIII del artículo 132; las fracciones XVII</w:t>
      </w:r>
      <w:r>
        <w:rPr>
          <w:spacing w:val="40"/>
        </w:rPr>
        <w:t> </w:t>
      </w:r>
      <w:r>
        <w:rPr/>
        <w:t>y XVIII del artículo 133; las fracciones XII, XIII, XIV y XV,</w:t>
      </w:r>
      <w:r>
        <w:rPr>
          <w:spacing w:val="38"/>
        </w:rPr>
        <w:t> </w:t>
      </w:r>
      <w:r>
        <w:rPr/>
        <w:t>y un párrafo tercero del artículo 153-K; el</w:t>
      </w:r>
      <w:r>
        <w:rPr>
          <w:spacing w:val="40"/>
        </w:rPr>
        <w:t> </w:t>
      </w:r>
      <w:r>
        <w:rPr/>
        <w:t>párrafo segundo del artículo 183; el artículo 245 Bis; el artículo 279 Quáter; el artículo 280 Bis; la fracción XIV del artículo 283; la fracción IV del artículo 337; la fracción III y el segundo párrafo del artículo 343-E; los párrafos segundo y tercero, y se recorre el párrafo segundo al párrafo cuarto del artículo 357, del artículo 357 Bis; las fracciones I, II, III y IV del artículo 358; el párrafo segundo del artículo 360; el párrafo segundo</w:t>
      </w:r>
      <w:r>
        <w:rPr>
          <w:spacing w:val="-1"/>
        </w:rPr>
        <w:t> </w:t>
      </w:r>
      <w:r>
        <w:rPr/>
        <w:t>del</w:t>
      </w:r>
      <w:r>
        <w:rPr>
          <w:spacing w:val="-2"/>
        </w:rPr>
        <w:t> </w:t>
      </w:r>
      <w:r>
        <w:rPr/>
        <w:t>artículo</w:t>
      </w:r>
      <w:r>
        <w:rPr>
          <w:spacing w:val="-1"/>
        </w:rPr>
        <w:t> </w:t>
      </w:r>
      <w:r>
        <w:rPr/>
        <w:t>364;</w:t>
      </w:r>
      <w:r>
        <w:rPr>
          <w:spacing w:val="-1"/>
        </w:rPr>
        <w:t> </w:t>
      </w:r>
      <w:r>
        <w:rPr/>
        <w:t>los</w:t>
      </w:r>
      <w:r>
        <w:rPr>
          <w:spacing w:val="-2"/>
        </w:rPr>
        <w:t> </w:t>
      </w:r>
      <w:r>
        <w:rPr/>
        <w:t>párrafos</w:t>
      </w:r>
      <w:r>
        <w:rPr>
          <w:spacing w:val="-2"/>
        </w:rPr>
        <w:t> </w:t>
      </w:r>
      <w:r>
        <w:rPr/>
        <w:t>segundo y</w:t>
      </w:r>
      <w:r>
        <w:rPr>
          <w:spacing w:val="-4"/>
        </w:rPr>
        <w:t> </w:t>
      </w:r>
      <w:r>
        <w:rPr/>
        <w:t>tercero</w:t>
      </w:r>
      <w:r>
        <w:rPr>
          <w:spacing w:val="-3"/>
        </w:rPr>
        <w:t> </w:t>
      </w:r>
      <w:r>
        <w:rPr/>
        <w:t>del</w:t>
      </w:r>
      <w:r>
        <w:rPr>
          <w:spacing w:val="-2"/>
        </w:rPr>
        <w:t> </w:t>
      </w:r>
      <w:r>
        <w:rPr/>
        <w:t>artículo</w:t>
      </w:r>
      <w:r>
        <w:rPr>
          <w:spacing w:val="-3"/>
        </w:rPr>
        <w:t> </w:t>
      </w:r>
      <w:r>
        <w:rPr/>
        <w:t>364</w:t>
      </w:r>
      <w:r>
        <w:rPr>
          <w:spacing w:val="-1"/>
        </w:rPr>
        <w:t> </w:t>
      </w:r>
      <w:r>
        <w:rPr/>
        <w:t>Bis;</w:t>
      </w:r>
      <w:r>
        <w:rPr>
          <w:spacing w:val="-3"/>
        </w:rPr>
        <w:t> </w:t>
      </w:r>
      <w:r>
        <w:rPr/>
        <w:t>la</w:t>
      </w:r>
      <w:r>
        <w:rPr>
          <w:spacing w:val="-3"/>
        </w:rPr>
        <w:t> </w:t>
      </w:r>
      <w:r>
        <w:rPr/>
        <w:t>fracción</w:t>
      </w:r>
      <w:r>
        <w:rPr>
          <w:spacing w:val="-2"/>
        </w:rPr>
        <w:t> </w:t>
      </w:r>
      <w:r>
        <w:rPr/>
        <w:t>VIII y</w:t>
      </w:r>
      <w:r>
        <w:rPr>
          <w:spacing w:val="-4"/>
        </w:rPr>
        <w:t> </w:t>
      </w:r>
      <w:r>
        <w:rPr/>
        <w:t>los párrafos cuarto y sexto, y se recorre el párrafo cuarto al párrafo quinto, del artículo 365 Bis; el párrafo segundo, y se recorren los párrafos segundo y tercero, para quedar como párrafos tercero y cuarto, del artículo 366; la fracción III del artículo 369; las fracciones IX Bis, IX Ter y XIV Bis del artículo 371; el artículo 371 Bis; los párrafos segundo y tercero, recorriéndose la numeración de los anteriores párrafos del segundo al cuarto para quedar como cuarto, quinto, sexto, y séptimo, el párrafo octavo, recorriéndose el último párrafo para quedar como número nueve del artículo 373; las fracciones IV y V el artículo 374; las fracciones III, IV, V, VI, VII y VIII y el segundo párrafo del artículo 378; el artículo 386 Bis; el párrafo tercero del artículo 387; el párrafo segundo del artículo 388; el párrafo tercero con los incisos a), b), c)</w:t>
      </w:r>
      <w:r>
        <w:rPr>
          <w:spacing w:val="11"/>
        </w:rPr>
        <w:t> </w:t>
      </w:r>
      <w:r>
        <w:rPr/>
        <w:t>y</w:t>
      </w:r>
    </w:p>
    <w:p>
      <w:pPr>
        <w:pStyle w:val="BodyText"/>
        <w:spacing w:before="3"/>
        <w:ind w:left="338" w:right="334"/>
        <w:jc w:val="both"/>
      </w:pPr>
      <w:r>
        <w:rPr/>
        <w:t>d) y</w:t>
      </w:r>
      <w:r>
        <w:rPr>
          <w:spacing w:val="-4"/>
        </w:rPr>
        <w:t> </w:t>
      </w:r>
      <w:r>
        <w:rPr/>
        <w:t>el</w:t>
      </w:r>
      <w:r>
        <w:rPr>
          <w:spacing w:val="-2"/>
        </w:rPr>
        <w:t> </w:t>
      </w:r>
      <w:r>
        <w:rPr/>
        <w:t>párrafo</w:t>
      </w:r>
      <w:r>
        <w:rPr>
          <w:spacing w:val="-1"/>
        </w:rPr>
        <w:t> </w:t>
      </w:r>
      <w:r>
        <w:rPr/>
        <w:t>cuarto</w:t>
      </w:r>
      <w:r>
        <w:rPr>
          <w:spacing w:val="-1"/>
        </w:rPr>
        <w:t> </w:t>
      </w:r>
      <w:r>
        <w:rPr/>
        <w:t>del</w:t>
      </w:r>
      <w:r>
        <w:rPr>
          <w:spacing w:val="-2"/>
        </w:rPr>
        <w:t> </w:t>
      </w:r>
      <w:r>
        <w:rPr/>
        <w:t>artículo 390; el artículo</w:t>
      </w:r>
      <w:r>
        <w:rPr>
          <w:spacing w:val="-1"/>
        </w:rPr>
        <w:t> </w:t>
      </w:r>
      <w:r>
        <w:rPr/>
        <w:t>390</w:t>
      </w:r>
      <w:r>
        <w:rPr>
          <w:spacing w:val="-1"/>
        </w:rPr>
        <w:t> </w:t>
      </w:r>
      <w:r>
        <w:rPr/>
        <w:t>Bis;</w:t>
      </w:r>
      <w:r>
        <w:rPr>
          <w:spacing w:val="-1"/>
        </w:rPr>
        <w:t> </w:t>
      </w:r>
      <w:r>
        <w:rPr/>
        <w:t>el artículo</w:t>
      </w:r>
      <w:r>
        <w:rPr>
          <w:spacing w:val="-1"/>
        </w:rPr>
        <w:t> </w:t>
      </w:r>
      <w:r>
        <w:rPr/>
        <w:t>390</w:t>
      </w:r>
      <w:r>
        <w:rPr>
          <w:spacing w:val="-1"/>
        </w:rPr>
        <w:t> </w:t>
      </w:r>
      <w:r>
        <w:rPr/>
        <w:t>Ter; el</w:t>
      </w:r>
      <w:r>
        <w:rPr>
          <w:spacing w:val="-2"/>
        </w:rPr>
        <w:t> </w:t>
      </w:r>
      <w:r>
        <w:rPr/>
        <w:t>párrafo</w:t>
      </w:r>
      <w:r>
        <w:rPr>
          <w:spacing w:val="-1"/>
        </w:rPr>
        <w:t> </w:t>
      </w:r>
      <w:r>
        <w:rPr/>
        <w:t>segundo, tercero y cuarto del artículo 391, el artículo 399 Ter; el artículo 400 Bis; el segundo</w:t>
      </w:r>
      <w:r>
        <w:rPr>
          <w:spacing w:val="28"/>
        </w:rPr>
        <w:t> </w:t>
      </w:r>
      <w:r>
        <w:rPr/>
        <w:t>y tercero párrafo del artículo 416; la fracción V del artículo 419; el párrafo tercero y cuarto del artículo 518; la fracción III del artículo 521; las fracciones II Bis y II Ter del artículo 523; el párrafo tercero del artículo 527; las fracciones IV y V del artículo 530; las fracciones V Bis y VI Ter del artículo 541; el capítulo IX Bis denominado “Del Centro Federal</w:t>
      </w:r>
      <w:r>
        <w:rPr>
          <w:spacing w:val="-4"/>
        </w:rPr>
        <w:t> </w:t>
      </w:r>
      <w:r>
        <w:rPr/>
        <w:t>de</w:t>
      </w:r>
      <w:r>
        <w:rPr>
          <w:spacing w:val="-3"/>
        </w:rPr>
        <w:t> </w:t>
      </w:r>
      <w:r>
        <w:rPr/>
        <w:t>Conciliación y</w:t>
      </w:r>
      <w:r>
        <w:rPr>
          <w:spacing w:val="-6"/>
        </w:rPr>
        <w:t> </w:t>
      </w:r>
      <w:r>
        <w:rPr/>
        <w:t>Registro</w:t>
      </w:r>
      <w:r>
        <w:rPr>
          <w:spacing w:val="-1"/>
        </w:rPr>
        <w:t> </w:t>
      </w:r>
      <w:r>
        <w:rPr/>
        <w:t>Laboral”;</w:t>
      </w:r>
      <w:r>
        <w:rPr>
          <w:spacing w:val="-3"/>
        </w:rPr>
        <w:t> </w:t>
      </w:r>
      <w:r>
        <w:rPr/>
        <w:t>que</w:t>
      </w:r>
      <w:r>
        <w:rPr>
          <w:spacing w:val="-4"/>
        </w:rPr>
        <w:t> </w:t>
      </w:r>
      <w:r>
        <w:rPr/>
        <w:t>comprende</w:t>
      </w:r>
      <w:r>
        <w:rPr>
          <w:spacing w:val="-2"/>
        </w:rPr>
        <w:t> </w:t>
      </w:r>
      <w:r>
        <w:rPr/>
        <w:t>el</w:t>
      </w:r>
      <w:r>
        <w:rPr>
          <w:spacing w:val="-4"/>
        </w:rPr>
        <w:t> </w:t>
      </w:r>
      <w:r>
        <w:rPr/>
        <w:t>artículo</w:t>
      </w:r>
      <w:r>
        <w:rPr>
          <w:spacing w:val="-1"/>
        </w:rPr>
        <w:t> </w:t>
      </w:r>
      <w:r>
        <w:rPr/>
        <w:t>590-A;</w:t>
      </w:r>
      <w:r>
        <w:rPr>
          <w:spacing w:val="-1"/>
        </w:rPr>
        <w:t> </w:t>
      </w:r>
      <w:r>
        <w:rPr/>
        <w:t>el</w:t>
      </w:r>
      <w:r>
        <w:rPr>
          <w:spacing w:val="-4"/>
        </w:rPr>
        <w:t> </w:t>
      </w:r>
      <w:r>
        <w:rPr/>
        <w:t>artículo</w:t>
      </w:r>
      <w:r>
        <w:rPr>
          <w:spacing w:val="-1"/>
        </w:rPr>
        <w:t> </w:t>
      </w:r>
      <w:r>
        <w:rPr/>
        <w:t>590-B;</w:t>
      </w:r>
      <w:r>
        <w:rPr>
          <w:spacing w:val="-1"/>
        </w:rPr>
        <w:t> </w:t>
      </w:r>
      <w:r>
        <w:rPr/>
        <w:t>el</w:t>
      </w:r>
      <w:r>
        <w:rPr>
          <w:spacing w:val="-2"/>
        </w:rPr>
        <w:t> </w:t>
      </w:r>
      <w:r>
        <w:rPr/>
        <w:t>artículo 590-C; el artículo 590-D; el capítulo IX Ter denominado “De los Centros de Conciliación de las entidades federativas y de la Ciudad de México”; que comprende el artículo 590-E; el artículo 590-F; el párrafo segundo del artículo 604; el Título Trece Bis; el Capítulo I, denominado “Del procedimiento de</w:t>
      </w:r>
      <w:r>
        <w:rPr>
          <w:spacing w:val="80"/>
        </w:rPr>
        <w:t> </w:t>
      </w:r>
      <w:r>
        <w:rPr/>
        <w:t>conciliación prejudicial”; el artículo 684-A; el artículo 684-B; el artículo 684-C; el artículo 684-D; el artículo 684-E; el Capítulo II denominado “De los conciliadores”; el artículo 684-F; el artículo 684-G; el artículo 684-H; el artículo 684-I; el artículo 684-J; el Capítulo III denominado “Del procedimiento para la selección de conciliadores”; el artículo 684-K; el artículo 684-L; el artículo 684-M; el artículo 684-N; el artículo 684- O; el artículo 684-P; el artículo 684-Q; el artículo 684-R; el artículo 684-S; el artículo 684-T; el artículo 684-U; el párrafo segundo, y se recorre el párrafo segundo al párrafo tercero, del artículo 685; el artículo 685 Bis; el artículo 685 Ter; los párrafos tercero y cuarto del artículo 690; el artículo 705 Bis; el</w:t>
      </w:r>
      <w:r>
        <w:rPr>
          <w:spacing w:val="23"/>
        </w:rPr>
        <w:t> </w:t>
      </w:r>
      <w:r>
        <w:rPr/>
        <w:t>artículo 706 Bis; el artículo 707 Bis; el artículo 707 Ter; el artículo 709-A; el artículo 709-B; el artículo 709-C; el artículo 709-D; el artículo 709-E; el artículo 709-F; el artículo 709-G; el artículo 709-H; el artículo 709-I; el artículo 709-J;</w:t>
      </w:r>
      <w:r>
        <w:rPr>
          <w:spacing w:val="-1"/>
        </w:rPr>
        <w:t> </w:t>
      </w:r>
      <w:r>
        <w:rPr/>
        <w:t>los párrafos tercero,</w:t>
      </w:r>
      <w:r>
        <w:rPr>
          <w:spacing w:val="-1"/>
        </w:rPr>
        <w:t> </w:t>
      </w:r>
      <w:r>
        <w:rPr/>
        <w:t>cuarto y</w:t>
      </w:r>
      <w:r>
        <w:rPr>
          <w:spacing w:val="-4"/>
        </w:rPr>
        <w:t> </w:t>
      </w:r>
      <w:r>
        <w:rPr/>
        <w:t>quinto</w:t>
      </w:r>
      <w:r>
        <w:rPr>
          <w:spacing w:val="-1"/>
        </w:rPr>
        <w:t> </w:t>
      </w:r>
      <w:r>
        <w:rPr/>
        <w:t>del artículo 712; el</w:t>
      </w:r>
      <w:r>
        <w:rPr>
          <w:spacing w:val="-2"/>
        </w:rPr>
        <w:t> </w:t>
      </w:r>
      <w:r>
        <w:rPr/>
        <w:t>artículo 712 Bis;</w:t>
      </w:r>
      <w:r>
        <w:rPr>
          <w:spacing w:val="-1"/>
        </w:rPr>
        <w:t> </w:t>
      </w:r>
      <w:r>
        <w:rPr/>
        <w:t>el</w:t>
      </w:r>
      <w:r>
        <w:rPr>
          <w:spacing w:val="-2"/>
        </w:rPr>
        <w:t> </w:t>
      </w:r>
      <w:r>
        <w:rPr/>
        <w:t>artículo</w:t>
      </w:r>
      <w:r>
        <w:rPr>
          <w:spacing w:val="-1"/>
        </w:rPr>
        <w:t> </w:t>
      </w:r>
      <w:r>
        <w:rPr/>
        <w:t>712</w:t>
      </w:r>
      <w:r>
        <w:rPr>
          <w:spacing w:val="-1"/>
        </w:rPr>
        <w:t> </w:t>
      </w:r>
      <w:r>
        <w:rPr/>
        <w:t>Ter; los párrafos segundo, tercero, cuarto, quinto, sexto, séptimo, octavo, noveno, décimo, décimo primero y décimo segundo del artículo 720; los párrafos segundo y tercero del artículo 721; el párrafo segundo del artículo 726; los párrafos cuarto, quinto y séptimo, recorriendo el párrafo cuarto al sexto, del artículo 739; el artículo 739 Bis; el artículo 739 Ter; la fracción XIII del artículo 742; el artículo 742 Bis; el artículo 742 Ter; los párrafos tercero y cuarto del artículo 743; el tercer párrafo del artículo 744; el artículo 744 Bis; el artículo 745 Bis; el artículo 745 Ter; las fracciones III y IV y el segundo párrafo del artículo 747; el segundo párrafo del artículo 753; los párrafos tercero y cuarto, se recorre el párrafo tercero al párrafo quinto del artículo 763; el artículo 763 Bis; las fracciones IX y X del artículo 776; el segundo párrafo del artículo 778; el segundo párrafo del artículo 782; el segundo párrafo del artículo 783; los párrafos</w:t>
      </w:r>
      <w:r>
        <w:rPr>
          <w:spacing w:val="40"/>
        </w:rPr>
        <w:t> </w:t>
      </w:r>
      <w:r>
        <w:rPr/>
        <w:t>segundo y tercero de la fracción VI del artículo 784; los párrafos segundo y tercero, y se recorre el segundo párrafo al cuarto del artículo 785; los párrafos segundo y tercero con cuatro incisos del artículo 787; el segundo párrafo del artículo 788; el artículo 790 Bis; los párrafos segundo y</w:t>
      </w:r>
      <w:r>
        <w:rPr>
          <w:spacing w:val="-2"/>
        </w:rPr>
        <w:t> </w:t>
      </w:r>
      <w:r>
        <w:rPr/>
        <w:t>tercero de la fracción</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34"/>
        <w:jc w:val="both"/>
      </w:pPr>
      <w:r>
        <w:rPr/>
        <w:t>III y el primer párrafo, y se recorre el primer párrafo al segundo, del artículo 813; los párrafos segundo, tercero y</w:t>
      </w:r>
      <w:r>
        <w:rPr>
          <w:spacing w:val="-4"/>
        </w:rPr>
        <w:t> </w:t>
      </w:r>
      <w:r>
        <w:rPr/>
        <w:t>cuarto</w:t>
      </w:r>
      <w:r>
        <w:rPr>
          <w:spacing w:val="-1"/>
        </w:rPr>
        <w:t> </w:t>
      </w:r>
      <w:r>
        <w:rPr/>
        <w:t>de</w:t>
      </w:r>
      <w:r>
        <w:rPr>
          <w:spacing w:val="-1"/>
        </w:rPr>
        <w:t> </w:t>
      </w:r>
      <w:r>
        <w:rPr/>
        <w:t>la fracción</w:t>
      </w:r>
      <w:r>
        <w:rPr>
          <w:spacing w:val="-2"/>
        </w:rPr>
        <w:t> </w:t>
      </w:r>
      <w:r>
        <w:rPr/>
        <w:t>V, las fracciones XII y</w:t>
      </w:r>
      <w:r>
        <w:rPr>
          <w:spacing w:val="-4"/>
        </w:rPr>
        <w:t> </w:t>
      </w:r>
      <w:r>
        <w:rPr/>
        <w:t>XIII y</w:t>
      </w:r>
      <w:r>
        <w:rPr>
          <w:spacing w:val="-2"/>
        </w:rPr>
        <w:t> </w:t>
      </w:r>
      <w:r>
        <w:rPr/>
        <w:t>el</w:t>
      </w:r>
      <w:r>
        <w:rPr>
          <w:spacing w:val="-2"/>
        </w:rPr>
        <w:t> </w:t>
      </w:r>
      <w:r>
        <w:rPr/>
        <w:t>segundo</w:t>
      </w:r>
      <w:r>
        <w:rPr>
          <w:spacing w:val="-2"/>
        </w:rPr>
        <w:t> </w:t>
      </w:r>
      <w:r>
        <w:rPr/>
        <w:t>párrafo</w:t>
      </w:r>
      <w:r>
        <w:rPr>
          <w:spacing w:val="-1"/>
        </w:rPr>
        <w:t> </w:t>
      </w:r>
      <w:r>
        <w:rPr/>
        <w:t>del artículo 815;</w:t>
      </w:r>
      <w:r>
        <w:rPr>
          <w:spacing w:val="-1"/>
        </w:rPr>
        <w:t> </w:t>
      </w:r>
      <w:r>
        <w:rPr/>
        <w:t>el segundo párrafo</w:t>
      </w:r>
      <w:r>
        <w:rPr>
          <w:spacing w:val="-1"/>
        </w:rPr>
        <w:t> </w:t>
      </w:r>
      <w:r>
        <w:rPr/>
        <w:t>del</w:t>
      </w:r>
      <w:r>
        <w:rPr>
          <w:spacing w:val="-2"/>
        </w:rPr>
        <w:t> </w:t>
      </w:r>
      <w:r>
        <w:rPr/>
        <w:t>artículo 824; el artículo 824 Bis;</w:t>
      </w:r>
      <w:r>
        <w:rPr>
          <w:spacing w:val="-1"/>
        </w:rPr>
        <w:t> </w:t>
      </w:r>
      <w:r>
        <w:rPr/>
        <w:t>el</w:t>
      </w:r>
      <w:r>
        <w:rPr>
          <w:spacing w:val="-2"/>
        </w:rPr>
        <w:t> </w:t>
      </w:r>
      <w:r>
        <w:rPr/>
        <w:t>segundo</w:t>
      </w:r>
      <w:r>
        <w:rPr>
          <w:spacing w:val="-1"/>
        </w:rPr>
        <w:t> </w:t>
      </w:r>
      <w:r>
        <w:rPr/>
        <w:t>párrafo</w:t>
      </w:r>
      <w:r>
        <w:rPr>
          <w:spacing w:val="-1"/>
        </w:rPr>
        <w:t> </w:t>
      </w:r>
      <w:r>
        <w:rPr/>
        <w:t>del artículo 827;</w:t>
      </w:r>
      <w:r>
        <w:rPr>
          <w:spacing w:val="-1"/>
        </w:rPr>
        <w:t> </w:t>
      </w:r>
      <w:r>
        <w:rPr/>
        <w:t>tres incisos a</w:t>
      </w:r>
      <w:r>
        <w:rPr>
          <w:spacing w:val="-1"/>
        </w:rPr>
        <w:t> </w:t>
      </w:r>
      <w:r>
        <w:rPr/>
        <w:t>la</w:t>
      </w:r>
      <w:r>
        <w:rPr>
          <w:spacing w:val="-1"/>
        </w:rPr>
        <w:t> </w:t>
      </w:r>
      <w:r>
        <w:rPr/>
        <w:t>fracción</w:t>
      </w:r>
      <w:r>
        <w:rPr>
          <w:spacing w:val="-2"/>
        </w:rPr>
        <w:t> </w:t>
      </w:r>
      <w:r>
        <w:rPr/>
        <w:t>I, y dos incisos a la fracción II del artículo 829; el inciso q) del artículo 836-B; el tercer párrafo de la fracción</w:t>
      </w:r>
      <w:r>
        <w:rPr>
          <w:spacing w:val="40"/>
        </w:rPr>
        <w:t> </w:t>
      </w:r>
      <w:r>
        <w:rPr/>
        <w:t>I del artículo 836-D; las fracciones III y IV del artículo 857; los párrafos segundo, tercero y cuarto del artículo</w:t>
      </w:r>
      <w:r>
        <w:rPr>
          <w:spacing w:val="-1"/>
        </w:rPr>
        <w:t> </w:t>
      </w:r>
      <w:r>
        <w:rPr/>
        <w:t>858;</w:t>
      </w:r>
      <w:r>
        <w:rPr>
          <w:spacing w:val="-1"/>
        </w:rPr>
        <w:t> </w:t>
      </w:r>
      <w:r>
        <w:rPr/>
        <w:t>el</w:t>
      </w:r>
      <w:r>
        <w:rPr>
          <w:spacing w:val="-2"/>
        </w:rPr>
        <w:t> </w:t>
      </w:r>
      <w:r>
        <w:rPr/>
        <w:t>segundo</w:t>
      </w:r>
      <w:r>
        <w:rPr>
          <w:spacing w:val="-2"/>
        </w:rPr>
        <w:t> </w:t>
      </w:r>
      <w:r>
        <w:rPr/>
        <w:t>párrafo</w:t>
      </w:r>
      <w:r>
        <w:rPr>
          <w:spacing w:val="-1"/>
        </w:rPr>
        <w:t> </w:t>
      </w:r>
      <w:r>
        <w:rPr/>
        <w:t>del</w:t>
      </w:r>
      <w:r>
        <w:rPr>
          <w:spacing w:val="-2"/>
        </w:rPr>
        <w:t> </w:t>
      </w:r>
      <w:r>
        <w:rPr/>
        <w:t>artículo</w:t>
      </w:r>
      <w:r>
        <w:rPr>
          <w:spacing w:val="-1"/>
        </w:rPr>
        <w:t> </w:t>
      </w:r>
      <w:r>
        <w:rPr/>
        <w:t>870;</w:t>
      </w:r>
      <w:r>
        <w:rPr>
          <w:spacing w:val="-1"/>
        </w:rPr>
        <w:t> </w:t>
      </w:r>
      <w:r>
        <w:rPr/>
        <w:t>el</w:t>
      </w:r>
      <w:r>
        <w:rPr>
          <w:spacing w:val="-2"/>
        </w:rPr>
        <w:t> </w:t>
      </w:r>
      <w:r>
        <w:rPr/>
        <w:t>artículo</w:t>
      </w:r>
      <w:r>
        <w:rPr>
          <w:spacing w:val="-1"/>
        </w:rPr>
        <w:t> </w:t>
      </w:r>
      <w:r>
        <w:rPr/>
        <w:t>870</w:t>
      </w:r>
      <w:r>
        <w:rPr>
          <w:spacing w:val="-1"/>
        </w:rPr>
        <w:t> </w:t>
      </w:r>
      <w:r>
        <w:rPr/>
        <w:t>Bis;</w:t>
      </w:r>
      <w:r>
        <w:rPr>
          <w:spacing w:val="-1"/>
        </w:rPr>
        <w:t> </w:t>
      </w:r>
      <w:r>
        <w:rPr/>
        <w:t>los párrafos segundo</w:t>
      </w:r>
      <w:r>
        <w:rPr>
          <w:spacing w:val="-2"/>
        </w:rPr>
        <w:t> </w:t>
      </w:r>
      <w:r>
        <w:rPr/>
        <w:t>con</w:t>
      </w:r>
      <w:r>
        <w:rPr>
          <w:spacing w:val="-2"/>
        </w:rPr>
        <w:t> </w:t>
      </w:r>
      <w:r>
        <w:rPr/>
        <w:t>seis incisos y tercero del artículo 871; los apartados A con siete fracciones y el apartado B con tres fracciones del artículo 872; los párrafos segundo, cuarto, quinto y sexto, y se recorre el párrafo segundo para quedar como párrafo tercero, del artículo 873; el artículo 873-A; el artículo 873-B; el artículo 873-C; el artículo 873-D; el artículo 873-E; el artículo 873-F; el artículo 873-G; el artículo 873-H; el artículo 873-I; el artículo 873-J;</w:t>
      </w:r>
      <w:r>
        <w:rPr>
          <w:spacing w:val="-3"/>
        </w:rPr>
        <w:t> </w:t>
      </w:r>
      <w:r>
        <w:rPr/>
        <w:t>el</w:t>
      </w:r>
      <w:r>
        <w:rPr>
          <w:spacing w:val="-2"/>
        </w:rPr>
        <w:t> </w:t>
      </w:r>
      <w:r>
        <w:rPr/>
        <w:t>artículo</w:t>
      </w:r>
      <w:r>
        <w:rPr>
          <w:spacing w:val="-3"/>
        </w:rPr>
        <w:t> </w:t>
      </w:r>
      <w:r>
        <w:rPr/>
        <w:t>873-K;</w:t>
      </w:r>
      <w:r>
        <w:rPr>
          <w:spacing w:val="-3"/>
        </w:rPr>
        <w:t> </w:t>
      </w:r>
      <w:r>
        <w:rPr/>
        <w:t>los</w:t>
      </w:r>
      <w:r>
        <w:rPr>
          <w:spacing w:val="-2"/>
        </w:rPr>
        <w:t> </w:t>
      </w:r>
      <w:r>
        <w:rPr/>
        <w:t>párrafos</w:t>
      </w:r>
      <w:r>
        <w:rPr>
          <w:spacing w:val="-2"/>
        </w:rPr>
        <w:t> </w:t>
      </w:r>
      <w:r>
        <w:rPr/>
        <w:t>segundo,</w:t>
      </w:r>
      <w:r>
        <w:rPr>
          <w:spacing w:val="-1"/>
        </w:rPr>
        <w:t> </w:t>
      </w:r>
      <w:r>
        <w:rPr/>
        <w:t>tercero y</w:t>
      </w:r>
      <w:r>
        <w:rPr>
          <w:spacing w:val="-4"/>
        </w:rPr>
        <w:t> </w:t>
      </w:r>
      <w:r>
        <w:rPr/>
        <w:t>cuarto</w:t>
      </w:r>
      <w:r>
        <w:rPr>
          <w:spacing w:val="-3"/>
        </w:rPr>
        <w:t> </w:t>
      </w:r>
      <w:r>
        <w:rPr/>
        <w:t>del</w:t>
      </w:r>
      <w:r>
        <w:rPr>
          <w:spacing w:val="-2"/>
        </w:rPr>
        <w:t> </w:t>
      </w:r>
      <w:r>
        <w:rPr/>
        <w:t>893;</w:t>
      </w:r>
      <w:r>
        <w:rPr>
          <w:spacing w:val="-1"/>
        </w:rPr>
        <w:t> </w:t>
      </w:r>
      <w:r>
        <w:rPr/>
        <w:t>los párrafos</w:t>
      </w:r>
      <w:r>
        <w:rPr>
          <w:spacing w:val="-2"/>
        </w:rPr>
        <w:t> </w:t>
      </w:r>
      <w:r>
        <w:rPr/>
        <w:t>segundo y</w:t>
      </w:r>
      <w:r>
        <w:rPr>
          <w:spacing w:val="-4"/>
        </w:rPr>
        <w:t> </w:t>
      </w:r>
      <w:r>
        <w:rPr/>
        <w:t>tercero</w:t>
      </w:r>
      <w:r>
        <w:rPr>
          <w:spacing w:val="-1"/>
        </w:rPr>
        <w:t> </w:t>
      </w:r>
      <w:r>
        <w:rPr/>
        <w:t>del 894; el párrafo segundo del artículo 895; el artículo 897-A; el artículo 897-B; el artículo 897-C; el artículo 897-D; el artículo 897-E; el artículo 897-F; el artículo 897-G; los párrafos décimo tercero y décimo quinto del artículo 899-E; los párrafos segundo, tercero, cuarto, quinto, sexto, séptimo y octavo del artículo 905; las fracciones IV, V y VI del artículo 920; el párrafo tercero del artículo 921; el artículo 921 Bis; la fracción V del artículo 927; las fracciones VI, VII, VIII, IX, X, XI y XII del artículo 931; el párrafo segundo del</w:t>
      </w:r>
      <w:r>
        <w:rPr>
          <w:spacing w:val="40"/>
        </w:rPr>
        <w:t> </w:t>
      </w:r>
      <w:r>
        <w:rPr/>
        <w:t>artículo 939; los párrafos segundo y tercero, recorriendo el párrafo segundo al cuarto, del artículo 945; el párrafo segundo del artículo 949; las fracciones IV y V del artículo 964; el artículo 966 Bis; el artículo 966 Ter; el artículo 991 Bis; la fracción VIII del artículo 994 y el párrafo segundo y tercero del artículo 1005;</w:t>
      </w:r>
      <w:r>
        <w:rPr>
          <w:spacing w:val="40"/>
        </w:rPr>
        <w:t> </w:t>
      </w:r>
      <w:r>
        <w:rPr>
          <w:rFonts w:ascii="Arial" w:hAnsi="Arial"/>
          <w:b/>
        </w:rPr>
        <w:t>SE DEROGAN </w:t>
      </w:r>
      <w:r>
        <w:rPr/>
        <w:t>el artículo 353-S; el artículo 353-T; el artículo 367; las fracciones I y II del artículo 421; la fracción XII del artículo 523; el artículo 530 Bis; la fracción V del artículo 541; los párrafos segundo, tercero y cuarto del artículo 605; el artículo 605 Bis; el artículo 606; el artículo 607; el artículo 608; el artículo 609; las fracciones I, II, III, IV, V y VI del artículo 610; el artículo 611; el artículo 612; el artículo 613;</w:t>
      </w:r>
      <w:r>
        <w:rPr>
          <w:spacing w:val="29"/>
        </w:rPr>
        <w:t> </w:t>
      </w:r>
      <w:r>
        <w:rPr/>
        <w:t>el</w:t>
      </w:r>
      <w:r>
        <w:rPr>
          <w:spacing w:val="28"/>
        </w:rPr>
        <w:t> </w:t>
      </w:r>
      <w:r>
        <w:rPr/>
        <w:t>artículo</w:t>
      </w:r>
      <w:r>
        <w:rPr>
          <w:spacing w:val="30"/>
        </w:rPr>
        <w:t> </w:t>
      </w:r>
      <w:r>
        <w:rPr/>
        <w:t>614;</w:t>
      </w:r>
      <w:r>
        <w:rPr>
          <w:spacing w:val="29"/>
        </w:rPr>
        <w:t> </w:t>
      </w:r>
      <w:r>
        <w:rPr/>
        <w:t>el</w:t>
      </w:r>
      <w:r>
        <w:rPr>
          <w:spacing w:val="27"/>
        </w:rPr>
        <w:t> </w:t>
      </w:r>
      <w:r>
        <w:rPr/>
        <w:t>artículo</w:t>
      </w:r>
      <w:r>
        <w:rPr>
          <w:spacing w:val="30"/>
        </w:rPr>
        <w:t> </w:t>
      </w:r>
      <w:r>
        <w:rPr/>
        <w:t>615;</w:t>
      </w:r>
      <w:r>
        <w:rPr>
          <w:spacing w:val="27"/>
        </w:rPr>
        <w:t> </w:t>
      </w:r>
      <w:r>
        <w:rPr/>
        <w:t>el</w:t>
      </w:r>
      <w:r>
        <w:rPr>
          <w:spacing w:val="27"/>
        </w:rPr>
        <w:t> </w:t>
      </w:r>
      <w:r>
        <w:rPr/>
        <w:t>artículo</w:t>
      </w:r>
      <w:r>
        <w:rPr>
          <w:spacing w:val="29"/>
        </w:rPr>
        <w:t> </w:t>
      </w:r>
      <w:r>
        <w:rPr/>
        <w:t>616;</w:t>
      </w:r>
      <w:r>
        <w:rPr>
          <w:spacing w:val="29"/>
        </w:rPr>
        <w:t> </w:t>
      </w:r>
      <w:r>
        <w:rPr/>
        <w:t>el</w:t>
      </w:r>
      <w:r>
        <w:rPr>
          <w:spacing w:val="27"/>
        </w:rPr>
        <w:t> </w:t>
      </w:r>
      <w:r>
        <w:rPr/>
        <w:t>artículo</w:t>
      </w:r>
      <w:r>
        <w:rPr>
          <w:spacing w:val="29"/>
        </w:rPr>
        <w:t> </w:t>
      </w:r>
      <w:r>
        <w:rPr/>
        <w:t>617;</w:t>
      </w:r>
      <w:r>
        <w:rPr>
          <w:spacing w:val="29"/>
        </w:rPr>
        <w:t> </w:t>
      </w:r>
      <w:r>
        <w:rPr/>
        <w:t>el</w:t>
      </w:r>
      <w:r>
        <w:rPr>
          <w:spacing w:val="29"/>
        </w:rPr>
        <w:t> </w:t>
      </w:r>
      <w:r>
        <w:rPr/>
        <w:t>artículo</w:t>
      </w:r>
      <w:r>
        <w:rPr>
          <w:spacing w:val="30"/>
        </w:rPr>
        <w:t> </w:t>
      </w:r>
      <w:r>
        <w:rPr/>
        <w:t>618;</w:t>
      </w:r>
      <w:r>
        <w:rPr>
          <w:spacing w:val="29"/>
        </w:rPr>
        <w:t> </w:t>
      </w:r>
      <w:r>
        <w:rPr/>
        <w:t>el</w:t>
      </w:r>
      <w:r>
        <w:rPr>
          <w:spacing w:val="28"/>
        </w:rPr>
        <w:t> </w:t>
      </w:r>
      <w:r>
        <w:rPr/>
        <w:t>artículo</w:t>
      </w:r>
      <w:r>
        <w:rPr>
          <w:spacing w:val="30"/>
        </w:rPr>
        <w:t> </w:t>
      </w:r>
      <w:r>
        <w:rPr/>
        <w:t>619;</w:t>
      </w:r>
      <w:r>
        <w:rPr>
          <w:spacing w:val="29"/>
        </w:rPr>
        <w:t> </w:t>
      </w:r>
      <w:r>
        <w:rPr/>
        <w:t>el</w:t>
      </w:r>
    </w:p>
    <w:p>
      <w:pPr>
        <w:pStyle w:val="BodyText"/>
        <w:spacing w:before="1"/>
        <w:ind w:left="338" w:right="334"/>
        <w:jc w:val="both"/>
      </w:pPr>
      <w:r>
        <w:rPr/>
        <w:t>artículo 620; el artículo 621; el artículo 622; el artículo 623; el artículo 624; el artículo 625; el artículo 626; el artículo 627; el artículo 627-A; el artículo 627-B; el artículo 627-C; el artículo 628; el artículo 629; el artículo 630; el artículo 631; el artículo 632; el artículo 633; el artículo 634; el artículo 635; el artículo</w:t>
      </w:r>
      <w:r>
        <w:rPr>
          <w:spacing w:val="13"/>
        </w:rPr>
        <w:t> </w:t>
      </w:r>
      <w:r>
        <w:rPr/>
        <w:t>636; el artículo 637; el artículo 638; el artículo 639; el artículo 640; el artículo 641; el artículo 642; el artículo 643;</w:t>
      </w:r>
      <w:r>
        <w:rPr>
          <w:spacing w:val="26"/>
        </w:rPr>
        <w:t> </w:t>
      </w:r>
      <w:r>
        <w:rPr/>
        <w:t>el</w:t>
      </w:r>
      <w:r>
        <w:rPr>
          <w:spacing w:val="26"/>
        </w:rPr>
        <w:t> </w:t>
      </w:r>
      <w:r>
        <w:rPr/>
        <w:t>artículo</w:t>
      </w:r>
      <w:r>
        <w:rPr>
          <w:spacing w:val="28"/>
        </w:rPr>
        <w:t> </w:t>
      </w:r>
      <w:r>
        <w:rPr/>
        <w:t>644;</w:t>
      </w:r>
      <w:r>
        <w:rPr>
          <w:spacing w:val="26"/>
        </w:rPr>
        <w:t> </w:t>
      </w:r>
      <w:r>
        <w:rPr/>
        <w:t>el</w:t>
      </w:r>
      <w:r>
        <w:rPr>
          <w:spacing w:val="25"/>
        </w:rPr>
        <w:t> </w:t>
      </w:r>
      <w:r>
        <w:rPr/>
        <w:t>artículo</w:t>
      </w:r>
      <w:r>
        <w:rPr>
          <w:spacing w:val="28"/>
        </w:rPr>
        <w:t> </w:t>
      </w:r>
      <w:r>
        <w:rPr/>
        <w:t>645;</w:t>
      </w:r>
      <w:r>
        <w:rPr>
          <w:spacing w:val="24"/>
        </w:rPr>
        <w:t> </w:t>
      </w:r>
      <w:r>
        <w:rPr/>
        <w:t>el</w:t>
      </w:r>
      <w:r>
        <w:rPr>
          <w:spacing w:val="25"/>
        </w:rPr>
        <w:t> </w:t>
      </w:r>
      <w:r>
        <w:rPr/>
        <w:t>artículo</w:t>
      </w:r>
      <w:r>
        <w:rPr>
          <w:spacing w:val="27"/>
        </w:rPr>
        <w:t> </w:t>
      </w:r>
      <w:r>
        <w:rPr/>
        <w:t>646;</w:t>
      </w:r>
      <w:r>
        <w:rPr>
          <w:spacing w:val="26"/>
        </w:rPr>
        <w:t> </w:t>
      </w:r>
      <w:r>
        <w:rPr/>
        <w:t>el</w:t>
      </w:r>
      <w:r>
        <w:rPr>
          <w:spacing w:val="24"/>
        </w:rPr>
        <w:t> </w:t>
      </w:r>
      <w:r>
        <w:rPr/>
        <w:t>artículo</w:t>
      </w:r>
      <w:r>
        <w:rPr>
          <w:spacing w:val="27"/>
        </w:rPr>
        <w:t> </w:t>
      </w:r>
      <w:r>
        <w:rPr/>
        <w:t>647;</w:t>
      </w:r>
      <w:r>
        <w:rPr>
          <w:spacing w:val="27"/>
        </w:rPr>
        <w:t> </w:t>
      </w:r>
      <w:r>
        <w:rPr/>
        <w:t>el</w:t>
      </w:r>
      <w:r>
        <w:rPr>
          <w:spacing w:val="26"/>
        </w:rPr>
        <w:t> </w:t>
      </w:r>
      <w:r>
        <w:rPr/>
        <w:t>artículo</w:t>
      </w:r>
      <w:r>
        <w:rPr>
          <w:spacing w:val="28"/>
        </w:rPr>
        <w:t> </w:t>
      </w:r>
      <w:r>
        <w:rPr/>
        <w:t>649;</w:t>
      </w:r>
      <w:r>
        <w:rPr>
          <w:spacing w:val="27"/>
        </w:rPr>
        <w:t> </w:t>
      </w:r>
      <w:r>
        <w:rPr/>
        <w:t>el</w:t>
      </w:r>
      <w:r>
        <w:rPr>
          <w:spacing w:val="25"/>
        </w:rPr>
        <w:t> </w:t>
      </w:r>
      <w:r>
        <w:rPr/>
        <w:t>artículo</w:t>
      </w:r>
      <w:r>
        <w:rPr>
          <w:spacing w:val="28"/>
        </w:rPr>
        <w:t> </w:t>
      </w:r>
      <w:r>
        <w:rPr/>
        <w:t>651;</w:t>
      </w:r>
      <w:r>
        <w:rPr>
          <w:spacing w:val="27"/>
        </w:rPr>
        <w:t> </w:t>
      </w:r>
      <w:r>
        <w:rPr>
          <w:spacing w:val="-5"/>
        </w:rPr>
        <w:t>el</w:t>
      </w:r>
    </w:p>
    <w:p>
      <w:pPr>
        <w:pStyle w:val="BodyText"/>
        <w:ind w:left="338"/>
        <w:jc w:val="both"/>
      </w:pPr>
      <w:r>
        <w:rPr/>
        <w:t>artículo 656; el artículo</w:t>
      </w:r>
      <w:r>
        <w:rPr>
          <w:spacing w:val="1"/>
        </w:rPr>
        <w:t> </w:t>
      </w:r>
      <w:r>
        <w:rPr/>
        <w:t>659; el artículo</w:t>
      </w:r>
      <w:r>
        <w:rPr>
          <w:spacing w:val="2"/>
        </w:rPr>
        <w:t> </w:t>
      </w:r>
      <w:r>
        <w:rPr/>
        <w:t>663;</w:t>
      </w:r>
      <w:r>
        <w:rPr>
          <w:spacing w:val="1"/>
        </w:rPr>
        <w:t> </w:t>
      </w:r>
      <w:r>
        <w:rPr/>
        <w:t>el</w:t>
      </w:r>
      <w:r>
        <w:rPr>
          <w:spacing w:val="-1"/>
        </w:rPr>
        <w:t> </w:t>
      </w:r>
      <w:r>
        <w:rPr/>
        <w:t>artículo</w:t>
      </w:r>
      <w:r>
        <w:rPr>
          <w:spacing w:val="4"/>
        </w:rPr>
        <w:t> </w:t>
      </w:r>
      <w:r>
        <w:rPr/>
        <w:t>664;</w:t>
      </w:r>
      <w:r>
        <w:rPr>
          <w:spacing w:val="1"/>
        </w:rPr>
        <w:t> </w:t>
      </w:r>
      <w:r>
        <w:rPr/>
        <w:t>el artículo</w:t>
      </w:r>
      <w:r>
        <w:rPr>
          <w:spacing w:val="2"/>
        </w:rPr>
        <w:t> </w:t>
      </w:r>
      <w:r>
        <w:rPr/>
        <w:t>665; el</w:t>
      </w:r>
      <w:r>
        <w:rPr>
          <w:spacing w:val="-1"/>
        </w:rPr>
        <w:t> </w:t>
      </w:r>
      <w:r>
        <w:rPr/>
        <w:t>artículo</w:t>
      </w:r>
      <w:r>
        <w:rPr>
          <w:spacing w:val="1"/>
        </w:rPr>
        <w:t> </w:t>
      </w:r>
      <w:r>
        <w:rPr/>
        <w:t>671;</w:t>
      </w:r>
      <w:r>
        <w:rPr>
          <w:spacing w:val="-1"/>
        </w:rPr>
        <w:t> </w:t>
      </w:r>
      <w:r>
        <w:rPr/>
        <w:t>el</w:t>
      </w:r>
      <w:r>
        <w:rPr>
          <w:spacing w:val="1"/>
        </w:rPr>
        <w:t> </w:t>
      </w:r>
      <w:r>
        <w:rPr/>
        <w:t>artículo</w:t>
      </w:r>
      <w:r>
        <w:rPr>
          <w:spacing w:val="-1"/>
        </w:rPr>
        <w:t> </w:t>
      </w:r>
      <w:r>
        <w:rPr>
          <w:spacing w:val="-4"/>
        </w:rPr>
        <w:t>672;</w:t>
      </w:r>
    </w:p>
    <w:p>
      <w:pPr>
        <w:pStyle w:val="BodyText"/>
        <w:spacing w:before="1"/>
        <w:ind w:left="338" w:right="335"/>
        <w:jc w:val="both"/>
      </w:pPr>
      <w:r>
        <w:rPr/>
        <w:t>el artículo 673; el artículo 674; el artículo 675; el artículo 705; el artículo 707; el artículo 708; las</w:t>
      </w:r>
      <w:r>
        <w:rPr>
          <w:spacing w:val="40"/>
        </w:rPr>
        <w:t> </w:t>
      </w:r>
      <w:r>
        <w:rPr/>
        <w:t>fracciones I, II, III y</w:t>
      </w:r>
      <w:r>
        <w:rPr>
          <w:spacing w:val="-1"/>
        </w:rPr>
        <w:t> </w:t>
      </w:r>
      <w:r>
        <w:rPr/>
        <w:t>IV del artículo 709; el artículo 710; la fracción IV del artículo 743; las fracciones IV y</w:t>
      </w:r>
      <w:r>
        <w:rPr>
          <w:spacing w:val="-1"/>
        </w:rPr>
        <w:t> </w:t>
      </w:r>
      <w:r>
        <w:rPr/>
        <w:t>V del artículo</w:t>
      </w:r>
      <w:r>
        <w:rPr>
          <w:spacing w:val="-1"/>
        </w:rPr>
        <w:t> </w:t>
      </w:r>
      <w:r>
        <w:rPr/>
        <w:t>790;</w:t>
      </w:r>
      <w:r>
        <w:rPr>
          <w:spacing w:val="-1"/>
        </w:rPr>
        <w:t> </w:t>
      </w:r>
      <w:r>
        <w:rPr/>
        <w:t>el</w:t>
      </w:r>
      <w:r>
        <w:rPr>
          <w:spacing w:val="-2"/>
        </w:rPr>
        <w:t> </w:t>
      </w:r>
      <w:r>
        <w:rPr/>
        <w:t>segundo</w:t>
      </w:r>
      <w:r>
        <w:rPr>
          <w:spacing w:val="-1"/>
        </w:rPr>
        <w:t> </w:t>
      </w:r>
      <w:r>
        <w:rPr/>
        <w:t>párrafo</w:t>
      </w:r>
      <w:r>
        <w:rPr>
          <w:spacing w:val="-1"/>
        </w:rPr>
        <w:t> </w:t>
      </w:r>
      <w:r>
        <w:rPr/>
        <w:t>del</w:t>
      </w:r>
      <w:r>
        <w:rPr>
          <w:spacing w:val="-2"/>
        </w:rPr>
        <w:t> </w:t>
      </w:r>
      <w:r>
        <w:rPr/>
        <w:t>artículo 791;</w:t>
      </w:r>
      <w:r>
        <w:rPr>
          <w:spacing w:val="-1"/>
        </w:rPr>
        <w:t> </w:t>
      </w:r>
      <w:r>
        <w:rPr/>
        <w:t>las fracciones IX y</w:t>
      </w:r>
      <w:r>
        <w:rPr>
          <w:spacing w:val="-4"/>
        </w:rPr>
        <w:t> </w:t>
      </w:r>
      <w:r>
        <w:rPr/>
        <w:t>X del</w:t>
      </w:r>
      <w:r>
        <w:rPr>
          <w:spacing w:val="-2"/>
        </w:rPr>
        <w:t> </w:t>
      </w:r>
      <w:r>
        <w:rPr/>
        <w:t>artículo</w:t>
      </w:r>
      <w:r>
        <w:rPr>
          <w:spacing w:val="-1"/>
        </w:rPr>
        <w:t> </w:t>
      </w:r>
      <w:r>
        <w:rPr/>
        <w:t>815; las fracciones I y V del artículo 825; las fracciones III y IV del artículo 829; el artículo 845; el artículo 846; el segundo párrafo del artículo 847; el artículo 849; el artículo 850; el artículo 851; el artículo 852; el artículo 853; el artículo 854; el artículo 855; el artículo 856; el artículo 864; el artículo 875; el artículo 876; el artículo 878; el artículo 879; el artículo 880; el artículo 881; el artículo 883; el artículo 884; el artículo 885; el artículo 886; el artículo 887; el artículo 888; el artículo 889; el artículo 890; el artículo 891; las fracciones I, II, III y IV del artículo 895; el artículo 898; el artículo 899; el párrafo tercero del artículo 899-A; los párrafos tercero, cuarto y quinto del artículo 899-E, recorriéndose la numeración de los párrafos subsecuentes; la fracción VIII del artículo 906; el artículo 908; el artículo 915; el artículo 917; el artículo 918; la fracción I</w:t>
      </w:r>
      <w:r>
        <w:rPr>
          <w:spacing w:val="80"/>
        </w:rPr>
        <w:t> </w:t>
      </w:r>
      <w:r>
        <w:rPr/>
        <w:t>del artículo 928; la fracción VI del artículo 930 y la fracción I del artículo 931, de la </w:t>
      </w:r>
      <w:r>
        <w:rPr>
          <w:rFonts w:ascii="Arial" w:hAnsi="Arial"/>
          <w:b/>
        </w:rPr>
        <w:t>Ley Federal del Trabajo</w:t>
      </w:r>
      <w:r>
        <w:rPr/>
        <w:t>, para quedar como sigue:</w:t>
      </w:r>
    </w:p>
    <w:p>
      <w:pPr>
        <w:pStyle w:val="BodyText"/>
        <w:spacing w:before="1"/>
      </w:pPr>
    </w:p>
    <w:p>
      <w:pPr>
        <w:spacing w:before="1"/>
        <w:ind w:left="626" w:right="0" w:firstLine="0"/>
        <w:jc w:val="left"/>
        <w:rPr>
          <w:sz w:val="20"/>
        </w:rPr>
      </w:pPr>
      <w:r>
        <w:rPr>
          <w:spacing w:val="-5"/>
          <w:sz w:val="20"/>
        </w:rPr>
        <w:t>………</w:t>
      </w:r>
    </w:p>
    <w:p>
      <w:pPr>
        <w:pStyle w:val="Heading1"/>
        <w:spacing w:before="226"/>
      </w:pPr>
      <w:r>
        <w:rPr>
          <w:spacing w:val="-2"/>
        </w:rPr>
        <w:t>TRANSITORIOS</w:t>
      </w:r>
    </w:p>
    <w:p>
      <w:pPr>
        <w:pStyle w:val="BodyText"/>
        <w:spacing w:before="1"/>
        <w:rPr>
          <w:rFonts w:ascii="Arial"/>
          <w:b/>
        </w:rPr>
      </w:pPr>
    </w:p>
    <w:p>
      <w:pPr>
        <w:pStyle w:val="BodyText"/>
        <w:ind w:left="338" w:firstLine="288"/>
      </w:pPr>
      <w:r>
        <w:rPr>
          <w:rFonts w:ascii="Arial" w:hAnsi="Arial"/>
          <w:b/>
        </w:rPr>
        <w:t>Primero.</w:t>
      </w:r>
      <w:r>
        <w:rPr>
          <w:rFonts w:ascii="Arial" w:hAnsi="Arial"/>
          <w:b/>
          <w:spacing w:val="-2"/>
        </w:rPr>
        <w:t> </w:t>
      </w:r>
      <w:r>
        <w:rPr>
          <w:rFonts w:ascii="Arial" w:hAnsi="Arial"/>
          <w:b/>
        </w:rPr>
        <w:t>Vigencia.</w:t>
      </w:r>
      <w:r>
        <w:rPr>
          <w:rFonts w:ascii="Arial" w:hAnsi="Arial"/>
          <w:b/>
          <w:spacing w:val="-1"/>
        </w:rPr>
        <w:t> </w:t>
      </w:r>
      <w:r>
        <w:rPr/>
        <w:t>El</w:t>
      </w:r>
      <w:r>
        <w:rPr>
          <w:spacing w:val="-3"/>
        </w:rPr>
        <w:t> </w:t>
      </w:r>
      <w:r>
        <w:rPr/>
        <w:t>presente</w:t>
      </w:r>
      <w:r>
        <w:rPr>
          <w:spacing w:val="-2"/>
        </w:rPr>
        <w:t> </w:t>
      </w:r>
      <w:r>
        <w:rPr/>
        <w:t>Decreto</w:t>
      </w:r>
      <w:r>
        <w:rPr>
          <w:spacing w:val="-2"/>
        </w:rPr>
        <w:t> </w:t>
      </w:r>
      <w:r>
        <w:rPr/>
        <w:t>entrará</w:t>
      </w:r>
      <w:r>
        <w:rPr>
          <w:spacing w:val="-2"/>
        </w:rPr>
        <w:t> </w:t>
      </w:r>
      <w:r>
        <w:rPr/>
        <w:t>en</w:t>
      </w:r>
      <w:r>
        <w:rPr>
          <w:spacing w:val="-3"/>
        </w:rPr>
        <w:t> </w:t>
      </w:r>
      <w:r>
        <w:rPr/>
        <w:t>vigor</w:t>
      </w:r>
      <w:r>
        <w:rPr>
          <w:spacing w:val="-1"/>
        </w:rPr>
        <w:t> </w:t>
      </w:r>
      <w:r>
        <w:rPr/>
        <w:t>al</w:t>
      </w:r>
      <w:r>
        <w:rPr>
          <w:spacing w:val="-3"/>
        </w:rPr>
        <w:t> </w:t>
      </w:r>
      <w:r>
        <w:rPr/>
        <w:t>día</w:t>
      </w:r>
      <w:r>
        <w:rPr>
          <w:spacing w:val="-3"/>
        </w:rPr>
        <w:t> </w:t>
      </w:r>
      <w:r>
        <w:rPr/>
        <w:t>siguiente</w:t>
      </w:r>
      <w:r>
        <w:rPr>
          <w:spacing w:val="-2"/>
        </w:rPr>
        <w:t> </w:t>
      </w:r>
      <w:r>
        <w:rPr/>
        <w:t>de</w:t>
      </w:r>
      <w:r>
        <w:rPr>
          <w:spacing w:val="-3"/>
        </w:rPr>
        <w:t> </w:t>
      </w:r>
      <w:r>
        <w:rPr/>
        <w:t>su</w:t>
      </w:r>
      <w:r>
        <w:rPr>
          <w:spacing w:val="-2"/>
        </w:rPr>
        <w:t> </w:t>
      </w:r>
      <w:r>
        <w:rPr/>
        <w:t>publicación</w:t>
      </w:r>
      <w:r>
        <w:rPr>
          <w:spacing w:val="-3"/>
        </w:rPr>
        <w:t> </w:t>
      </w:r>
      <w:r>
        <w:rPr/>
        <w:t>en</w:t>
      </w:r>
      <w:r>
        <w:rPr>
          <w:spacing w:val="-2"/>
        </w:rPr>
        <w:t> </w:t>
      </w:r>
      <w:r>
        <w:rPr/>
        <w:t>el</w:t>
      </w:r>
      <w:r>
        <w:rPr>
          <w:spacing w:val="-3"/>
        </w:rPr>
        <w:t> </w:t>
      </w:r>
      <w:r>
        <w:rPr/>
        <w:t>Diario Oficial de la Federación.</w:t>
      </w:r>
    </w:p>
    <w:p>
      <w:pPr>
        <w:pStyle w:val="BodyText"/>
        <w:spacing w:after="0"/>
        <w:sectPr>
          <w:pgSz w:w="12240" w:h="15840"/>
          <w:pgMar w:header="724" w:footer="712" w:top="1880" w:bottom="900" w:left="1080" w:right="1080"/>
        </w:sectPr>
      </w:pPr>
    </w:p>
    <w:p>
      <w:pPr>
        <w:pStyle w:val="BodyText"/>
        <w:spacing w:before="63"/>
      </w:pPr>
    </w:p>
    <w:p>
      <w:pPr>
        <w:spacing w:line="242" w:lineRule="auto" w:before="0"/>
        <w:ind w:left="338" w:right="338" w:firstLine="288"/>
        <w:jc w:val="both"/>
        <w:rPr>
          <w:sz w:val="20"/>
        </w:rPr>
      </w:pPr>
      <w:r>
        <w:rPr>
          <w:rFonts w:ascii="Arial" w:hAnsi="Arial"/>
          <w:b/>
          <w:sz w:val="20"/>
        </w:rPr>
        <w:t>Segundo. Plazo para expedir Ley Orgánica del Centro Federal. </w:t>
      </w:r>
      <w:r>
        <w:rPr>
          <w:sz w:val="20"/>
        </w:rPr>
        <w:t>Dentro de los ciento ochenta días siguientes</w:t>
      </w:r>
      <w:r>
        <w:rPr>
          <w:spacing w:val="-2"/>
          <w:sz w:val="20"/>
        </w:rPr>
        <w:t> </w:t>
      </w:r>
      <w:r>
        <w:rPr>
          <w:sz w:val="20"/>
        </w:rPr>
        <w:t>a</w:t>
      </w:r>
      <w:r>
        <w:rPr>
          <w:spacing w:val="-1"/>
          <w:sz w:val="20"/>
        </w:rPr>
        <w:t> </w:t>
      </w:r>
      <w:r>
        <w:rPr>
          <w:sz w:val="20"/>
        </w:rPr>
        <w:t>que</w:t>
      </w:r>
      <w:r>
        <w:rPr>
          <w:spacing w:val="-1"/>
          <w:sz w:val="20"/>
        </w:rPr>
        <w:t> </w:t>
      </w:r>
      <w:r>
        <w:rPr>
          <w:sz w:val="20"/>
        </w:rPr>
        <w:t>entre</w:t>
      </w:r>
      <w:r>
        <w:rPr>
          <w:spacing w:val="-3"/>
          <w:sz w:val="20"/>
        </w:rPr>
        <w:t> </w:t>
      </w:r>
      <w:r>
        <w:rPr>
          <w:sz w:val="20"/>
        </w:rPr>
        <w:t>en</w:t>
      </w:r>
      <w:r>
        <w:rPr>
          <w:spacing w:val="-1"/>
          <w:sz w:val="20"/>
        </w:rPr>
        <w:t> </w:t>
      </w:r>
      <w:r>
        <w:rPr>
          <w:sz w:val="20"/>
        </w:rPr>
        <w:t>vigor</w:t>
      </w:r>
      <w:r>
        <w:rPr>
          <w:spacing w:val="-2"/>
          <w:sz w:val="20"/>
        </w:rPr>
        <w:t> </w:t>
      </w:r>
      <w:r>
        <w:rPr>
          <w:sz w:val="20"/>
        </w:rPr>
        <w:t>el</w:t>
      </w:r>
      <w:r>
        <w:rPr>
          <w:spacing w:val="-4"/>
          <w:sz w:val="20"/>
        </w:rPr>
        <w:t> </w:t>
      </w:r>
      <w:r>
        <w:rPr>
          <w:sz w:val="20"/>
        </w:rPr>
        <w:t>presente</w:t>
      </w:r>
      <w:r>
        <w:rPr>
          <w:spacing w:val="-1"/>
          <w:sz w:val="20"/>
        </w:rPr>
        <w:t> </w:t>
      </w:r>
      <w:r>
        <w:rPr>
          <w:sz w:val="20"/>
        </w:rPr>
        <w:t>Decreto,</w:t>
      </w:r>
      <w:r>
        <w:rPr>
          <w:spacing w:val="-3"/>
          <w:sz w:val="20"/>
        </w:rPr>
        <w:t> </w:t>
      </w:r>
      <w:r>
        <w:rPr>
          <w:sz w:val="20"/>
        </w:rPr>
        <w:t>el</w:t>
      </w:r>
      <w:r>
        <w:rPr>
          <w:spacing w:val="-2"/>
          <w:sz w:val="20"/>
        </w:rPr>
        <w:t> </w:t>
      </w:r>
      <w:r>
        <w:rPr>
          <w:sz w:val="20"/>
        </w:rPr>
        <w:t>Congreso</w:t>
      </w:r>
      <w:r>
        <w:rPr>
          <w:spacing w:val="-1"/>
          <w:sz w:val="20"/>
        </w:rPr>
        <w:t> </w:t>
      </w:r>
      <w:r>
        <w:rPr>
          <w:sz w:val="20"/>
        </w:rPr>
        <w:t>de</w:t>
      </w:r>
      <w:r>
        <w:rPr>
          <w:spacing w:val="-1"/>
          <w:sz w:val="20"/>
        </w:rPr>
        <w:t> </w:t>
      </w:r>
      <w:r>
        <w:rPr>
          <w:sz w:val="20"/>
        </w:rPr>
        <w:t>la</w:t>
      </w:r>
      <w:r>
        <w:rPr>
          <w:spacing w:val="-3"/>
          <w:sz w:val="20"/>
        </w:rPr>
        <w:t> </w:t>
      </w:r>
      <w:r>
        <w:rPr>
          <w:sz w:val="20"/>
        </w:rPr>
        <w:t>Unión</w:t>
      </w:r>
      <w:r>
        <w:rPr>
          <w:spacing w:val="-1"/>
          <w:sz w:val="20"/>
        </w:rPr>
        <w:t> </w:t>
      </w:r>
      <w:r>
        <w:rPr>
          <w:sz w:val="20"/>
        </w:rPr>
        <w:t>expedirá</w:t>
      </w:r>
      <w:r>
        <w:rPr>
          <w:spacing w:val="-1"/>
          <w:sz w:val="20"/>
        </w:rPr>
        <w:t> </w:t>
      </w:r>
      <w:r>
        <w:rPr>
          <w:sz w:val="20"/>
        </w:rPr>
        <w:t>la</w:t>
      </w:r>
      <w:r>
        <w:rPr>
          <w:spacing w:val="-1"/>
          <w:sz w:val="20"/>
        </w:rPr>
        <w:t> </w:t>
      </w:r>
      <w:r>
        <w:rPr>
          <w:sz w:val="20"/>
        </w:rPr>
        <w:t>Ley</w:t>
      </w:r>
      <w:r>
        <w:rPr>
          <w:spacing w:val="-6"/>
          <w:sz w:val="20"/>
        </w:rPr>
        <w:t> </w:t>
      </w:r>
      <w:r>
        <w:rPr>
          <w:sz w:val="20"/>
        </w:rPr>
        <w:t>Orgánica</w:t>
      </w:r>
      <w:r>
        <w:rPr>
          <w:spacing w:val="-1"/>
          <w:sz w:val="20"/>
        </w:rPr>
        <w:t> </w:t>
      </w:r>
      <w:r>
        <w:rPr>
          <w:sz w:val="20"/>
        </w:rPr>
        <w:t>del Centro Federal de Conciliación y Registro Laboral.</w:t>
      </w:r>
    </w:p>
    <w:p>
      <w:pPr>
        <w:pStyle w:val="BodyText"/>
        <w:spacing w:before="225"/>
        <w:ind w:left="338" w:right="337" w:firstLine="288"/>
        <w:jc w:val="both"/>
      </w:pPr>
      <w:r>
        <w:rPr>
          <w:rFonts w:ascii="Arial" w:hAnsi="Arial"/>
          <w:b/>
        </w:rPr>
        <w:t>Tercero. Plazo de inicio de funciones de la Autoridad Registral. </w:t>
      </w:r>
      <w:r>
        <w:rPr/>
        <w:t>El Centro Federal de Conciliación y Registro Laboral iniciará sus funciones en materia de registro de asociaciones sindicales y contratos colectivos de trabajo en un plazo no mayor de dos años a partir de la entrada en vigor del presente Decreto, atendiendo a las posibilidades presupuestales.</w:t>
      </w:r>
    </w:p>
    <w:p>
      <w:pPr>
        <w:pStyle w:val="BodyText"/>
        <w:spacing w:before="2"/>
      </w:pPr>
    </w:p>
    <w:p>
      <w:pPr>
        <w:pStyle w:val="BodyText"/>
        <w:ind w:left="338" w:right="334" w:firstLine="288"/>
        <w:jc w:val="both"/>
      </w:pPr>
      <w:r>
        <w:rPr/>
        <w:t>Al día siguiente en que se suspenda el servicio de registro de las Juntas de Conciliación y Arbitraje, la Secretaría del Trabajo y Previsión Social y en su caso los Poderes Ejecutivos de las Entidades Federativas, iniciará operaciones el Centro Federal de Conciliación y Registro Laboral.</w:t>
      </w:r>
    </w:p>
    <w:p>
      <w:pPr>
        <w:pStyle w:val="BodyText"/>
        <w:spacing w:before="230"/>
        <w:ind w:left="338" w:right="335" w:firstLine="288"/>
        <w:jc w:val="both"/>
      </w:pPr>
      <w:r>
        <w:rPr/>
        <w:t>Hasta</w:t>
      </w:r>
      <w:r>
        <w:rPr>
          <w:spacing w:val="-1"/>
        </w:rPr>
        <w:t> </w:t>
      </w:r>
      <w:r>
        <w:rPr/>
        <w:t>en</w:t>
      </w:r>
      <w:r>
        <w:rPr>
          <w:spacing w:val="-2"/>
        </w:rPr>
        <w:t> </w:t>
      </w:r>
      <w:r>
        <w:rPr/>
        <w:t>tanto</w:t>
      </w:r>
      <w:r>
        <w:rPr>
          <w:spacing w:val="-2"/>
        </w:rPr>
        <w:t> </w:t>
      </w:r>
      <w:r>
        <w:rPr/>
        <w:t>el</w:t>
      </w:r>
      <w:r>
        <w:rPr>
          <w:spacing w:val="-2"/>
        </w:rPr>
        <w:t> </w:t>
      </w:r>
      <w:r>
        <w:rPr/>
        <w:t>Centro</w:t>
      </w:r>
      <w:r>
        <w:rPr>
          <w:spacing w:val="-1"/>
        </w:rPr>
        <w:t> </w:t>
      </w:r>
      <w:r>
        <w:rPr/>
        <w:t>Federal</w:t>
      </w:r>
      <w:r>
        <w:rPr>
          <w:spacing w:val="-2"/>
        </w:rPr>
        <w:t> </w:t>
      </w:r>
      <w:r>
        <w:rPr/>
        <w:t>de</w:t>
      </w:r>
      <w:r>
        <w:rPr>
          <w:spacing w:val="-2"/>
        </w:rPr>
        <w:t> </w:t>
      </w:r>
      <w:r>
        <w:rPr/>
        <w:t>Conciliación y</w:t>
      </w:r>
      <w:r>
        <w:rPr>
          <w:spacing w:val="-4"/>
        </w:rPr>
        <w:t> </w:t>
      </w:r>
      <w:r>
        <w:rPr/>
        <w:t>Registro</w:t>
      </w:r>
      <w:r>
        <w:rPr>
          <w:spacing w:val="-1"/>
        </w:rPr>
        <w:t> </w:t>
      </w:r>
      <w:r>
        <w:rPr/>
        <w:t>Laboral</w:t>
      </w:r>
      <w:r>
        <w:rPr>
          <w:spacing w:val="-2"/>
        </w:rPr>
        <w:t> </w:t>
      </w:r>
      <w:r>
        <w:rPr/>
        <w:t>no</w:t>
      </w:r>
      <w:r>
        <w:rPr>
          <w:spacing w:val="-2"/>
        </w:rPr>
        <w:t> </w:t>
      </w:r>
      <w:r>
        <w:rPr/>
        <w:t>inicie</w:t>
      </w:r>
      <w:r>
        <w:rPr>
          <w:spacing w:val="-1"/>
        </w:rPr>
        <w:t> </w:t>
      </w:r>
      <w:r>
        <w:rPr/>
        <w:t>sus funciones registrales, las Juntas de</w:t>
      </w:r>
      <w:r>
        <w:rPr>
          <w:spacing w:val="-2"/>
        </w:rPr>
        <w:t> </w:t>
      </w:r>
      <w:r>
        <w:rPr/>
        <w:t>Conciliación y</w:t>
      </w:r>
      <w:r>
        <w:rPr>
          <w:spacing w:val="-2"/>
        </w:rPr>
        <w:t> </w:t>
      </w:r>
      <w:r>
        <w:rPr/>
        <w:t>Arbitraje,</w:t>
      </w:r>
      <w:r>
        <w:rPr>
          <w:spacing w:val="-1"/>
        </w:rPr>
        <w:t> </w:t>
      </w:r>
      <w:r>
        <w:rPr/>
        <w:t>al igual</w:t>
      </w:r>
      <w:r>
        <w:rPr>
          <w:spacing w:val="-2"/>
        </w:rPr>
        <w:t> </w:t>
      </w:r>
      <w:r>
        <w:rPr/>
        <w:t>que</w:t>
      </w:r>
      <w:r>
        <w:rPr>
          <w:spacing w:val="-2"/>
        </w:rPr>
        <w:t> </w:t>
      </w:r>
      <w:r>
        <w:rPr/>
        <w:t>la</w:t>
      </w:r>
      <w:r>
        <w:rPr>
          <w:spacing w:val="-1"/>
        </w:rPr>
        <w:t> </w:t>
      </w:r>
      <w:r>
        <w:rPr/>
        <w:t>Secretaría</w:t>
      </w:r>
      <w:r>
        <w:rPr>
          <w:spacing w:val="-1"/>
        </w:rPr>
        <w:t> </w:t>
      </w:r>
      <w:r>
        <w:rPr/>
        <w:t>del</w:t>
      </w:r>
      <w:r>
        <w:rPr>
          <w:spacing w:val="-2"/>
        </w:rPr>
        <w:t> </w:t>
      </w:r>
      <w:r>
        <w:rPr/>
        <w:t>Trabajo y</w:t>
      </w:r>
      <w:r>
        <w:rPr>
          <w:spacing w:val="-4"/>
        </w:rPr>
        <w:t> </w:t>
      </w:r>
      <w:r>
        <w:rPr/>
        <w:t>Previsión</w:t>
      </w:r>
      <w:r>
        <w:rPr>
          <w:spacing w:val="-2"/>
        </w:rPr>
        <w:t> </w:t>
      </w:r>
      <w:r>
        <w:rPr/>
        <w:t>Social</w:t>
      </w:r>
      <w:r>
        <w:rPr>
          <w:spacing w:val="-2"/>
        </w:rPr>
        <w:t> </w:t>
      </w:r>
      <w:r>
        <w:rPr/>
        <w:t>continuarán con las funciones registrales previstas en la Ley</w:t>
      </w:r>
      <w:r>
        <w:rPr>
          <w:spacing w:val="-2"/>
        </w:rPr>
        <w:t> </w:t>
      </w:r>
      <w:r>
        <w:rPr/>
        <w:t>Federal del Trabajo vigente al momento de la entrada en vigor del presente Decreto.</w:t>
      </w:r>
    </w:p>
    <w:p>
      <w:pPr>
        <w:pStyle w:val="BodyText"/>
        <w:spacing w:before="227"/>
        <w:ind w:left="338" w:right="331" w:firstLine="288"/>
        <w:jc w:val="both"/>
      </w:pPr>
      <w:r>
        <w:rPr>
          <w:rFonts w:ascii="Arial" w:hAnsi="Arial"/>
          <w:b/>
        </w:rPr>
        <w:t>Cuarto. Traslado de Expedientes de Registro. </w:t>
      </w:r>
      <w:r>
        <w:rPr/>
        <w:t>Para efectos del traslado de expedientes de registro de asociaciones sindicales, contratos colectivos de trabajo, reglamentos interiores de trabajo y procedimientos administrativos relacionados, las Juntas de Conciliación y Arbitraje, la Secretaría del Trabajo y Previsión Social y los Poderes Ejecutivos de las Entidades Federativas deberán remitir al</w:t>
      </w:r>
      <w:r>
        <w:rPr>
          <w:spacing w:val="40"/>
        </w:rPr>
        <w:t> </w:t>
      </w:r>
      <w:r>
        <w:rPr/>
        <w:t>Centro Federal de Conciliación y Registro Laboral una relación completa de todos los expedientes y registros</w:t>
      </w:r>
      <w:r>
        <w:rPr>
          <w:spacing w:val="-2"/>
        </w:rPr>
        <w:t> </w:t>
      </w:r>
      <w:r>
        <w:rPr/>
        <w:t>en</w:t>
      </w:r>
      <w:r>
        <w:rPr>
          <w:spacing w:val="-3"/>
        </w:rPr>
        <w:t> </w:t>
      </w:r>
      <w:r>
        <w:rPr/>
        <w:t>su</w:t>
      </w:r>
      <w:r>
        <w:rPr>
          <w:spacing w:val="-1"/>
        </w:rPr>
        <w:t> </w:t>
      </w:r>
      <w:r>
        <w:rPr/>
        <w:t>poder,</w:t>
      </w:r>
      <w:r>
        <w:rPr>
          <w:spacing w:val="-3"/>
        </w:rPr>
        <w:t> </w:t>
      </w:r>
      <w:r>
        <w:rPr/>
        <w:t>con</w:t>
      </w:r>
      <w:r>
        <w:rPr>
          <w:spacing w:val="-1"/>
        </w:rPr>
        <w:t> </w:t>
      </w:r>
      <w:r>
        <w:rPr/>
        <w:t>soporte</w:t>
      </w:r>
      <w:r>
        <w:rPr>
          <w:spacing w:val="-1"/>
        </w:rPr>
        <w:t> </w:t>
      </w:r>
      <w:r>
        <w:rPr/>
        <w:t>electrónico</w:t>
      </w:r>
      <w:r>
        <w:rPr>
          <w:spacing w:val="-1"/>
        </w:rPr>
        <w:t> </w:t>
      </w:r>
      <w:r>
        <w:rPr/>
        <w:t>de</w:t>
      </w:r>
      <w:r>
        <w:rPr>
          <w:spacing w:val="-3"/>
        </w:rPr>
        <w:t> </w:t>
      </w:r>
      <w:r>
        <w:rPr/>
        <w:t>cada</w:t>
      </w:r>
      <w:r>
        <w:rPr>
          <w:spacing w:val="-3"/>
        </w:rPr>
        <w:t> </w:t>
      </w:r>
      <w:r>
        <w:rPr/>
        <w:t>registro</w:t>
      </w:r>
      <w:r>
        <w:rPr>
          <w:spacing w:val="-3"/>
        </w:rPr>
        <w:t> </w:t>
      </w:r>
      <w:r>
        <w:rPr/>
        <w:t>o</w:t>
      </w:r>
      <w:r>
        <w:rPr>
          <w:spacing w:val="-1"/>
        </w:rPr>
        <w:t> </w:t>
      </w:r>
      <w:r>
        <w:rPr/>
        <w:t>expediente,</w:t>
      </w:r>
      <w:r>
        <w:rPr>
          <w:spacing w:val="-3"/>
        </w:rPr>
        <w:t> </w:t>
      </w:r>
      <w:r>
        <w:rPr/>
        <w:t>con</w:t>
      </w:r>
      <w:r>
        <w:rPr>
          <w:spacing w:val="-3"/>
        </w:rPr>
        <w:t> </w:t>
      </w:r>
      <w:r>
        <w:rPr/>
        <w:t>una</w:t>
      </w:r>
      <w:r>
        <w:rPr>
          <w:spacing w:val="-1"/>
        </w:rPr>
        <w:t> </w:t>
      </w:r>
      <w:r>
        <w:rPr/>
        <w:t>anticipación</w:t>
      </w:r>
      <w:r>
        <w:rPr>
          <w:spacing w:val="-1"/>
        </w:rPr>
        <w:t> </w:t>
      </w:r>
      <w:r>
        <w:rPr/>
        <w:t>mínima de seis meses al inicio de sus funciones.</w:t>
      </w:r>
    </w:p>
    <w:p>
      <w:pPr>
        <w:pStyle w:val="BodyText"/>
        <w:spacing w:before="3"/>
      </w:pPr>
    </w:p>
    <w:p>
      <w:pPr>
        <w:pStyle w:val="BodyText"/>
        <w:ind w:left="338" w:right="338" w:firstLine="288"/>
        <w:jc w:val="both"/>
      </w:pPr>
      <w:r>
        <w:rPr/>
        <w:t>Para efecto de lo anterior, dichas autoridades establecerán y difundirán las fechas en que suspenderán sus funciones registrales e iniciarán las del</w:t>
      </w:r>
      <w:r>
        <w:rPr>
          <w:spacing w:val="-1"/>
        </w:rPr>
        <w:t> </w:t>
      </w:r>
      <w:r>
        <w:rPr/>
        <w:t>Centro Federal referido, garantizando que no se afecten los derechos de los interesados.</w:t>
      </w:r>
    </w:p>
    <w:p>
      <w:pPr>
        <w:pStyle w:val="BodyText"/>
      </w:pPr>
    </w:p>
    <w:p>
      <w:pPr>
        <w:pStyle w:val="BodyText"/>
        <w:ind w:left="338" w:right="335" w:firstLine="288"/>
        <w:jc w:val="both"/>
      </w:pPr>
      <w:r>
        <w:rPr/>
        <w:t>El traslado físico de los expedientes de todas las dependencias tanto federales como locales deberá concluir en un plazo no mayor a un año posterior al inicio de las funciones registrales de dicho Centro Federal; dicho Centro establecerá los mecanismos de coordinación conducentes con las autoridades referidas y emitirá los lineamientos necesarios para garantizar que la transferencia de expedientes y registros se realice bajo condiciones que brinden seguridad, certeza, exactitud, transparencia, publicidad</w:t>
      </w:r>
      <w:r>
        <w:rPr>
          <w:spacing w:val="40"/>
        </w:rPr>
        <w:t> </w:t>
      </w:r>
      <w:r>
        <w:rPr/>
        <w:t>y confiabilidad al procedimiento de entrega-recepción.</w:t>
      </w:r>
    </w:p>
    <w:p>
      <w:pPr>
        <w:pStyle w:val="BodyText"/>
        <w:spacing w:before="228"/>
        <w:ind w:left="338" w:right="334" w:firstLine="288"/>
        <w:jc w:val="both"/>
      </w:pPr>
      <w:r>
        <w:rPr>
          <w:rFonts w:ascii="Arial" w:hAnsi="Arial"/>
          <w:b/>
        </w:rPr>
        <w:t>Quinto. Plazo de inicio de funciones de la Autoridad Conciliadora Local y Tribunales Locales. </w:t>
      </w:r>
      <w:r>
        <w:rPr/>
        <w:t>Los Centros de Conciliación locales y los Tribunales del Poder Judicial de las Entidades Federativas iniciarán actividades a más tardar el 3 de octubre de 2022, en términos de lo que establezca su propia normatividad y posibilidades presupuestales, conforme a lo que determinen sus poderes locales. Los Centros de Conciliación locales deberán entrar en operación en cada entidad federativa, en la misma fecha en que lo hagan los Tribunales Locales, conforme a las disposiciones previstas en el presente </w:t>
      </w:r>
      <w:r>
        <w:rPr>
          <w:spacing w:val="-2"/>
        </w:rPr>
        <w:t>Decreto.</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18-05-</w:t>
      </w:r>
      <w:r>
        <w:rPr>
          <w:rFonts w:ascii="Times New Roman" w:hAnsi="Times New Roman"/>
          <w:i/>
          <w:color w:val="0000FF"/>
          <w:spacing w:val="-4"/>
          <w:sz w:val="16"/>
        </w:rPr>
        <w:t>2022</w:t>
      </w:r>
    </w:p>
    <w:p>
      <w:pPr>
        <w:pStyle w:val="BodyText"/>
        <w:spacing w:before="45"/>
        <w:rPr>
          <w:rFonts w:ascii="Times New Roman"/>
          <w:i/>
          <w:sz w:val="16"/>
        </w:rPr>
      </w:pPr>
    </w:p>
    <w:p>
      <w:pPr>
        <w:pStyle w:val="BodyText"/>
        <w:ind w:left="338" w:right="340" w:firstLine="288"/>
        <w:jc w:val="both"/>
      </w:pPr>
      <w:r>
        <w:rPr>
          <w:rFonts w:ascii="Arial" w:hAnsi="Arial"/>
          <w:b/>
        </w:rPr>
        <w:t>Sexto. Plazo para el inicio de funciones de la Autoridad Conciliadora Federal y Tribunales Federales. </w:t>
      </w:r>
      <w:r>
        <w:rPr/>
        <w:t>Dentro del plazo máximo de cuatro años a partir de la entrada en vigor de este Decreto, cada delegación u oficina regional del Centro Federal de Conciliación y Registro Laboral iniciará la tramitación de solicitudes de conciliación que sean de su competencia al mismo tiempo que los Tribunales del Poder Judicial de la Federación inicien su operación en el circuito judicial al que correspondan. Cada circuito judicial iniciará sus funciones en el</w:t>
      </w:r>
      <w:r>
        <w:rPr>
          <w:spacing w:val="-2"/>
        </w:rPr>
        <w:t> </w:t>
      </w:r>
      <w:r>
        <w:rPr/>
        <w:t>orden y</w:t>
      </w:r>
      <w:r>
        <w:rPr>
          <w:spacing w:val="-4"/>
        </w:rPr>
        <w:t> </w:t>
      </w:r>
      <w:r>
        <w:rPr/>
        <w:t>secuencia en que se determine en las declaratorias que emita</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42"/>
      </w:pPr>
      <w:r>
        <w:rPr/>
        <w:t>el</w:t>
      </w:r>
      <w:r>
        <w:rPr>
          <w:spacing w:val="74"/>
        </w:rPr>
        <w:t> </w:t>
      </w:r>
      <w:r>
        <w:rPr/>
        <w:t>Senado</w:t>
      </w:r>
      <w:r>
        <w:rPr>
          <w:spacing w:val="75"/>
        </w:rPr>
        <w:t> </w:t>
      </w:r>
      <w:r>
        <w:rPr/>
        <w:t>de</w:t>
      </w:r>
      <w:r>
        <w:rPr>
          <w:spacing w:val="75"/>
        </w:rPr>
        <w:t> </w:t>
      </w:r>
      <w:r>
        <w:rPr/>
        <w:t>la</w:t>
      </w:r>
      <w:r>
        <w:rPr>
          <w:spacing w:val="75"/>
        </w:rPr>
        <w:t> </w:t>
      </w:r>
      <w:r>
        <w:rPr/>
        <w:t>República,</w:t>
      </w:r>
      <w:r>
        <w:rPr>
          <w:spacing w:val="73"/>
        </w:rPr>
        <w:t> </w:t>
      </w:r>
      <w:r>
        <w:rPr/>
        <w:t>a</w:t>
      </w:r>
      <w:r>
        <w:rPr>
          <w:spacing w:val="75"/>
        </w:rPr>
        <w:t> </w:t>
      </w:r>
      <w:r>
        <w:rPr/>
        <w:t>propuesta</w:t>
      </w:r>
      <w:r>
        <w:rPr>
          <w:spacing w:val="75"/>
        </w:rPr>
        <w:t> </w:t>
      </w:r>
      <w:r>
        <w:rPr/>
        <w:t>del</w:t>
      </w:r>
      <w:r>
        <w:rPr>
          <w:spacing w:val="74"/>
        </w:rPr>
        <w:t> </w:t>
      </w:r>
      <w:r>
        <w:rPr/>
        <w:t>Consejo</w:t>
      </w:r>
      <w:r>
        <w:rPr>
          <w:spacing w:val="73"/>
        </w:rPr>
        <w:t> </w:t>
      </w:r>
      <w:r>
        <w:rPr/>
        <w:t>de</w:t>
      </w:r>
      <w:r>
        <w:rPr>
          <w:spacing w:val="75"/>
        </w:rPr>
        <w:t> </w:t>
      </w:r>
      <w:r>
        <w:rPr/>
        <w:t>la</w:t>
      </w:r>
      <w:r>
        <w:rPr>
          <w:spacing w:val="73"/>
        </w:rPr>
        <w:t> </w:t>
      </w:r>
      <w:r>
        <w:rPr/>
        <w:t>Judicatura</w:t>
      </w:r>
      <w:r>
        <w:rPr>
          <w:spacing w:val="73"/>
        </w:rPr>
        <w:t> </w:t>
      </w:r>
      <w:r>
        <w:rPr/>
        <w:t>Federal,</w:t>
      </w:r>
      <w:r>
        <w:rPr>
          <w:spacing w:val="75"/>
        </w:rPr>
        <w:t> </w:t>
      </w:r>
      <w:r>
        <w:rPr/>
        <w:t>conforme</w:t>
      </w:r>
      <w:r>
        <w:rPr>
          <w:spacing w:val="73"/>
        </w:rPr>
        <w:t> </w:t>
      </w:r>
      <w:r>
        <w:rPr/>
        <w:t>a</w:t>
      </w:r>
      <w:r>
        <w:rPr>
          <w:spacing w:val="73"/>
        </w:rPr>
        <w:t> </w:t>
      </w:r>
      <w:r>
        <w:rPr/>
        <w:t>las disposiciones previstas en el presente Decreto.</w:t>
      </w:r>
    </w:p>
    <w:p>
      <w:pPr>
        <w:pStyle w:val="BodyText"/>
        <w:spacing w:line="242" w:lineRule="auto" w:before="229"/>
        <w:ind w:left="338" w:right="338" w:firstLine="288"/>
        <w:jc w:val="both"/>
      </w:pPr>
      <w:r>
        <w:rPr>
          <w:rFonts w:ascii="Arial" w:hAnsi="Arial"/>
          <w:b/>
        </w:rPr>
        <w:t>Séptimo. Asuntos en Trámite. </w:t>
      </w:r>
      <w:r>
        <w:rPr/>
        <w:t>Los procedimientos que se encuentren en trámite ante la Secretaría de</w:t>
      </w:r>
      <w:r>
        <w:rPr>
          <w:spacing w:val="-4"/>
        </w:rPr>
        <w:t> </w:t>
      </w:r>
      <w:r>
        <w:rPr/>
        <w:t>Trabajo y</w:t>
      </w:r>
      <w:r>
        <w:rPr>
          <w:spacing w:val="-4"/>
        </w:rPr>
        <w:t> </w:t>
      </w:r>
      <w:r>
        <w:rPr/>
        <w:t>Previsión</w:t>
      </w:r>
      <w:r>
        <w:rPr>
          <w:spacing w:val="-2"/>
        </w:rPr>
        <w:t> </w:t>
      </w:r>
      <w:r>
        <w:rPr/>
        <w:t>Social y</w:t>
      </w:r>
      <w:r>
        <w:rPr>
          <w:spacing w:val="-4"/>
        </w:rPr>
        <w:t> </w:t>
      </w:r>
      <w:r>
        <w:rPr/>
        <w:t>las</w:t>
      </w:r>
      <w:r>
        <w:rPr>
          <w:spacing w:val="-2"/>
        </w:rPr>
        <w:t> </w:t>
      </w:r>
      <w:r>
        <w:rPr/>
        <w:t>Juntas de</w:t>
      </w:r>
      <w:r>
        <w:rPr>
          <w:spacing w:val="-2"/>
        </w:rPr>
        <w:t> </w:t>
      </w:r>
      <w:r>
        <w:rPr/>
        <w:t>Conciliación y</w:t>
      </w:r>
      <w:r>
        <w:rPr>
          <w:spacing w:val="-4"/>
        </w:rPr>
        <w:t> </w:t>
      </w:r>
      <w:r>
        <w:rPr/>
        <w:t>Arbitraje</w:t>
      </w:r>
      <w:r>
        <w:rPr>
          <w:spacing w:val="-3"/>
        </w:rPr>
        <w:t> </w:t>
      </w:r>
      <w:r>
        <w:rPr/>
        <w:t>federales y</w:t>
      </w:r>
      <w:r>
        <w:rPr>
          <w:spacing w:val="-4"/>
        </w:rPr>
        <w:t> </w:t>
      </w:r>
      <w:r>
        <w:rPr/>
        <w:t>locales,</w:t>
      </w:r>
      <w:r>
        <w:rPr>
          <w:spacing w:val="-3"/>
        </w:rPr>
        <w:t> </w:t>
      </w:r>
      <w:r>
        <w:rPr/>
        <w:t>serán</w:t>
      </w:r>
      <w:r>
        <w:rPr>
          <w:spacing w:val="-3"/>
        </w:rPr>
        <w:t> </w:t>
      </w:r>
      <w:r>
        <w:rPr/>
        <w:t>concluidos por éstas de conformidad con las disposiciones vigentes al momento de su inicio.</w:t>
      </w:r>
    </w:p>
    <w:p>
      <w:pPr>
        <w:pStyle w:val="BodyText"/>
        <w:spacing w:before="225"/>
        <w:ind w:left="338" w:right="343" w:firstLine="288"/>
        <w:jc w:val="both"/>
      </w:pPr>
      <w:r>
        <w:rPr/>
        <w:t>El Centro Federal de Conciliación y Registro Laboral y los Centros de Conciliación Locales no admitirán</w:t>
      </w:r>
      <w:r>
        <w:rPr>
          <w:spacing w:val="-4"/>
        </w:rPr>
        <w:t> </w:t>
      </w:r>
      <w:r>
        <w:rPr/>
        <w:t>a</w:t>
      </w:r>
      <w:r>
        <w:rPr>
          <w:spacing w:val="-5"/>
        </w:rPr>
        <w:t> </w:t>
      </w:r>
      <w:r>
        <w:rPr/>
        <w:t>trámite</w:t>
      </w:r>
      <w:r>
        <w:rPr>
          <w:spacing w:val="-6"/>
        </w:rPr>
        <w:t> </w:t>
      </w:r>
      <w:r>
        <w:rPr/>
        <w:t>solicitudes</w:t>
      </w:r>
      <w:r>
        <w:rPr>
          <w:spacing w:val="-4"/>
        </w:rPr>
        <w:t> </w:t>
      </w:r>
      <w:r>
        <w:rPr/>
        <w:t>de</w:t>
      </w:r>
      <w:r>
        <w:rPr>
          <w:spacing w:val="-3"/>
        </w:rPr>
        <w:t> </w:t>
      </w:r>
      <w:r>
        <w:rPr/>
        <w:t>audiencia</w:t>
      </w:r>
      <w:r>
        <w:rPr>
          <w:spacing w:val="-1"/>
        </w:rPr>
        <w:t> </w:t>
      </w:r>
      <w:r>
        <w:rPr/>
        <w:t>de</w:t>
      </w:r>
      <w:r>
        <w:rPr>
          <w:spacing w:val="-5"/>
        </w:rPr>
        <w:t> </w:t>
      </w:r>
      <w:r>
        <w:rPr/>
        <w:t>conciliación</w:t>
      </w:r>
      <w:r>
        <w:rPr>
          <w:spacing w:val="-4"/>
        </w:rPr>
        <w:t> </w:t>
      </w:r>
      <w:r>
        <w:rPr/>
        <w:t>o</w:t>
      </w:r>
      <w:r>
        <w:rPr>
          <w:spacing w:val="-3"/>
        </w:rPr>
        <w:t> </w:t>
      </w:r>
      <w:r>
        <w:rPr/>
        <w:t>emplazamientos</w:t>
      </w:r>
      <w:r>
        <w:rPr>
          <w:spacing w:val="-2"/>
        </w:rPr>
        <w:t> </w:t>
      </w:r>
      <w:r>
        <w:rPr/>
        <w:t>respecto</w:t>
      </w:r>
      <w:r>
        <w:rPr>
          <w:spacing w:val="-3"/>
        </w:rPr>
        <w:t> </w:t>
      </w:r>
      <w:r>
        <w:rPr/>
        <w:t>de</w:t>
      </w:r>
      <w:r>
        <w:rPr>
          <w:spacing w:val="-3"/>
        </w:rPr>
        <w:t> </w:t>
      </w:r>
      <w:r>
        <w:rPr/>
        <w:t>procedimientos que se estén sustanciando ante las Juntas de Conciliación y Arbitraje, incluyendo los de ejecución, por lo que se archivarán dichas solicitudes.</w:t>
      </w:r>
    </w:p>
    <w:p>
      <w:pPr>
        <w:pStyle w:val="BodyText"/>
        <w:spacing w:before="228"/>
        <w:ind w:left="338" w:right="340" w:firstLine="288"/>
        <w:jc w:val="both"/>
      </w:pPr>
      <w:r>
        <w:rPr>
          <w:rFonts w:ascii="Arial" w:hAnsi="Arial"/>
          <w:b/>
        </w:rPr>
        <w:t>Octavo. Asuntos iniciados con posterioridad al Decreto. </w:t>
      </w:r>
      <w:r>
        <w:rPr/>
        <w:t>Las Juntas de Conciliación y Arbitraje federales y locales, así como la Secretaría del Trabajo y Previsión Social, según corresponda,</w:t>
      </w:r>
      <w:r>
        <w:rPr>
          <w:spacing w:val="40"/>
        </w:rPr>
        <w:t> </w:t>
      </w:r>
      <w:r>
        <w:rPr/>
        <w:t>continuarán conociendo de los procedimientos individuales, colectivos y registrales que se inicien con posterioridad a la entrada en vigor del presente Decreto, hasta en tanto entren en funciones los</w:t>
      </w:r>
      <w:r>
        <w:rPr>
          <w:spacing w:val="40"/>
        </w:rPr>
        <w:t> </w:t>
      </w:r>
      <w:r>
        <w:rPr/>
        <w:t>Tribunales federales y locales y los Centros de Conciliación, conforme a los plazos previstos en las disposiciones transitorias del presente Decreto.</w:t>
      </w:r>
    </w:p>
    <w:p>
      <w:pPr>
        <w:pStyle w:val="BodyText"/>
        <w:spacing w:before="3"/>
      </w:pPr>
    </w:p>
    <w:p>
      <w:pPr>
        <w:pStyle w:val="BodyText"/>
        <w:ind w:left="338" w:right="339" w:firstLine="288"/>
        <w:jc w:val="both"/>
      </w:pPr>
      <w:r>
        <w:rPr/>
        <w:t>Hasta en tanto entren en funciones los Centros de Conciliación, la Procuraduría de la Defensa del Trabajo conservará la facultad para citar a los patrones o sindicatos a juntas de avenimiento o conciliatorias, apercibiéndolos que de no comparecer a dichas diligencias, se les impondrá la medida de apremio a que se refiere la fracción I del artículo 731 de la Ley</w:t>
      </w:r>
      <w:r>
        <w:rPr>
          <w:spacing w:val="-2"/>
        </w:rPr>
        <w:t> </w:t>
      </w:r>
      <w:r>
        <w:rPr/>
        <w:t>Federal del Trabajo, bajo la condición que si</w:t>
      </w:r>
      <w:r>
        <w:rPr>
          <w:spacing w:val="-4"/>
        </w:rPr>
        <w:t> </w:t>
      </w:r>
      <w:r>
        <w:rPr/>
        <w:t>el</w:t>
      </w:r>
      <w:r>
        <w:rPr>
          <w:spacing w:val="-2"/>
        </w:rPr>
        <w:t> </w:t>
      </w:r>
      <w:r>
        <w:rPr/>
        <w:t>solicitante</w:t>
      </w:r>
      <w:r>
        <w:rPr>
          <w:spacing w:val="-1"/>
        </w:rPr>
        <w:t> </w:t>
      </w:r>
      <w:r>
        <w:rPr/>
        <w:t>del</w:t>
      </w:r>
      <w:r>
        <w:rPr>
          <w:spacing w:val="-4"/>
        </w:rPr>
        <w:t> </w:t>
      </w:r>
      <w:r>
        <w:rPr/>
        <w:t>servicio</w:t>
      </w:r>
      <w:r>
        <w:rPr>
          <w:spacing w:val="-1"/>
        </w:rPr>
        <w:t> </w:t>
      </w:r>
      <w:r>
        <w:rPr/>
        <w:t>no</w:t>
      </w:r>
      <w:r>
        <w:rPr>
          <w:spacing w:val="-4"/>
        </w:rPr>
        <w:t> </w:t>
      </w:r>
      <w:r>
        <w:rPr/>
        <w:t>asiste</w:t>
      </w:r>
      <w:r>
        <w:rPr>
          <w:spacing w:val="-4"/>
        </w:rPr>
        <w:t> </w:t>
      </w:r>
      <w:r>
        <w:rPr/>
        <w:t>a</w:t>
      </w:r>
      <w:r>
        <w:rPr>
          <w:spacing w:val="-1"/>
        </w:rPr>
        <w:t> </w:t>
      </w:r>
      <w:r>
        <w:rPr/>
        <w:t>la</w:t>
      </w:r>
      <w:r>
        <w:rPr>
          <w:spacing w:val="-3"/>
        </w:rPr>
        <w:t> </w:t>
      </w:r>
      <w:r>
        <w:rPr/>
        <w:t>junta</w:t>
      </w:r>
      <w:r>
        <w:rPr>
          <w:spacing w:val="-1"/>
        </w:rPr>
        <w:t> </w:t>
      </w:r>
      <w:r>
        <w:rPr/>
        <w:t>de</w:t>
      </w:r>
      <w:r>
        <w:rPr>
          <w:spacing w:val="-2"/>
        </w:rPr>
        <w:t> </w:t>
      </w:r>
      <w:r>
        <w:rPr/>
        <w:t>avenimiento</w:t>
      </w:r>
      <w:r>
        <w:rPr>
          <w:spacing w:val="-4"/>
        </w:rPr>
        <w:t> </w:t>
      </w:r>
      <w:r>
        <w:rPr/>
        <w:t>o</w:t>
      </w:r>
      <w:r>
        <w:rPr>
          <w:spacing w:val="-1"/>
        </w:rPr>
        <w:t> </w:t>
      </w:r>
      <w:r>
        <w:rPr/>
        <w:t>conciliatoria,</w:t>
      </w:r>
      <w:r>
        <w:rPr>
          <w:spacing w:val="-3"/>
        </w:rPr>
        <w:t> </w:t>
      </w:r>
      <w:r>
        <w:rPr/>
        <w:t>se</w:t>
      </w:r>
      <w:r>
        <w:rPr>
          <w:spacing w:val="-1"/>
        </w:rPr>
        <w:t> </w:t>
      </w:r>
      <w:r>
        <w:rPr/>
        <w:t>le</w:t>
      </w:r>
      <w:r>
        <w:rPr>
          <w:spacing w:val="-3"/>
        </w:rPr>
        <w:t> </w:t>
      </w:r>
      <w:r>
        <w:rPr/>
        <w:t>tendrá</w:t>
      </w:r>
      <w:r>
        <w:rPr>
          <w:spacing w:val="-1"/>
        </w:rPr>
        <w:t> </w:t>
      </w:r>
      <w:r>
        <w:rPr/>
        <w:t>por desistido</w:t>
      </w:r>
      <w:r>
        <w:rPr>
          <w:spacing w:val="-1"/>
        </w:rPr>
        <w:t> </w:t>
      </w:r>
      <w:r>
        <w:rPr/>
        <w:t>de su petición sin responsabilidad para la Procuraduría, salvo que acredite que existió causa justificada para no comparecer.</w:t>
      </w:r>
    </w:p>
    <w:p>
      <w:pPr>
        <w:pStyle w:val="BodyText"/>
        <w:spacing w:before="1"/>
      </w:pPr>
    </w:p>
    <w:p>
      <w:pPr>
        <w:pStyle w:val="BodyText"/>
        <w:ind w:left="338" w:right="342" w:firstLine="288"/>
        <w:jc w:val="both"/>
      </w:pPr>
      <w:r>
        <w:rPr/>
        <w:t>Dichos procedimientos se tramitarán conforme a las disposiciones de la Ley Federal del Trabajo y demás leyes vigentes hasta antes del presente Decreto. Para tales efectos se les dotará de los recursos presupuestales necesarios.</w:t>
      </w:r>
    </w:p>
    <w:p>
      <w:pPr>
        <w:pStyle w:val="BodyText"/>
        <w:spacing w:line="242" w:lineRule="auto" w:before="227"/>
        <w:ind w:left="338" w:right="338" w:firstLine="288"/>
        <w:jc w:val="both"/>
      </w:pPr>
      <w:r>
        <w:rPr>
          <w:rFonts w:ascii="Arial" w:hAnsi="Arial"/>
          <w:b/>
        </w:rPr>
        <w:t>Noveno. Improcedencia de Acumulación de Procesos. </w:t>
      </w:r>
      <w:r>
        <w:rPr/>
        <w:t>Cuando un juicio se encuentre en trámite conforme</w:t>
      </w:r>
      <w:r>
        <w:rPr>
          <w:spacing w:val="-3"/>
        </w:rPr>
        <w:t> </w:t>
      </w:r>
      <w:r>
        <w:rPr/>
        <w:t>a</w:t>
      </w:r>
      <w:r>
        <w:rPr>
          <w:spacing w:val="-4"/>
        </w:rPr>
        <w:t> </w:t>
      </w:r>
      <w:r>
        <w:rPr/>
        <w:t>las disposiciones</w:t>
      </w:r>
      <w:r>
        <w:rPr>
          <w:spacing w:val="-2"/>
        </w:rPr>
        <w:t> </w:t>
      </w:r>
      <w:r>
        <w:rPr/>
        <w:t>de</w:t>
      </w:r>
      <w:r>
        <w:rPr>
          <w:spacing w:val="-2"/>
        </w:rPr>
        <w:t> </w:t>
      </w:r>
      <w:r>
        <w:rPr/>
        <w:t>la</w:t>
      </w:r>
      <w:r>
        <w:rPr>
          <w:spacing w:val="-1"/>
        </w:rPr>
        <w:t> </w:t>
      </w:r>
      <w:r>
        <w:rPr/>
        <w:t>Ley</w:t>
      </w:r>
      <w:r>
        <w:rPr>
          <w:spacing w:val="-6"/>
        </w:rPr>
        <w:t> </w:t>
      </w:r>
      <w:r>
        <w:rPr/>
        <w:t>Federal</w:t>
      </w:r>
      <w:r>
        <w:rPr>
          <w:spacing w:val="-2"/>
        </w:rPr>
        <w:t> </w:t>
      </w:r>
      <w:r>
        <w:rPr/>
        <w:t>del</w:t>
      </w:r>
      <w:r>
        <w:rPr>
          <w:spacing w:val="-4"/>
        </w:rPr>
        <w:t> </w:t>
      </w:r>
      <w:r>
        <w:rPr/>
        <w:t>Trabajo</w:t>
      </w:r>
      <w:r>
        <w:rPr>
          <w:spacing w:val="-1"/>
        </w:rPr>
        <w:t> </w:t>
      </w:r>
      <w:r>
        <w:rPr/>
        <w:t>vigentes</w:t>
      </w:r>
      <w:r>
        <w:rPr>
          <w:spacing w:val="-2"/>
        </w:rPr>
        <w:t> </w:t>
      </w:r>
      <w:r>
        <w:rPr/>
        <w:t>con</w:t>
      </w:r>
      <w:r>
        <w:rPr>
          <w:spacing w:val="-1"/>
        </w:rPr>
        <w:t> </w:t>
      </w:r>
      <w:r>
        <w:rPr/>
        <w:t>anterioridad</w:t>
      </w:r>
      <w:r>
        <w:rPr>
          <w:spacing w:val="-1"/>
        </w:rPr>
        <w:t> </w:t>
      </w:r>
      <w:r>
        <w:rPr/>
        <w:t>a</w:t>
      </w:r>
      <w:r>
        <w:rPr>
          <w:spacing w:val="-1"/>
        </w:rPr>
        <w:t> </w:t>
      </w:r>
      <w:r>
        <w:rPr/>
        <w:t>la</w:t>
      </w:r>
      <w:r>
        <w:rPr>
          <w:spacing w:val="-1"/>
        </w:rPr>
        <w:t> </w:t>
      </w:r>
      <w:r>
        <w:rPr/>
        <w:t>entrada</w:t>
      </w:r>
      <w:r>
        <w:rPr>
          <w:spacing w:val="-2"/>
        </w:rPr>
        <w:t> </w:t>
      </w:r>
      <w:r>
        <w:rPr/>
        <w:t>en</w:t>
      </w:r>
      <w:r>
        <w:rPr>
          <w:spacing w:val="-1"/>
        </w:rPr>
        <w:t> </w:t>
      </w:r>
      <w:r>
        <w:rPr/>
        <w:t>vigor del presente Decreto y otro se sustancie conforme a las disposiciones de este Decreto, no procederá la acumulación de juicios.</w:t>
      </w:r>
    </w:p>
    <w:p>
      <w:pPr>
        <w:pStyle w:val="BodyText"/>
        <w:spacing w:line="242" w:lineRule="auto" w:before="220"/>
        <w:ind w:left="338" w:right="339" w:firstLine="288"/>
        <w:jc w:val="both"/>
      </w:pPr>
      <w:r>
        <w:rPr>
          <w:rFonts w:ascii="Arial" w:hAnsi="Arial"/>
          <w:b/>
        </w:rPr>
        <w:t>Décimo. Trámite de Procedimientos y Juicios. </w:t>
      </w:r>
      <w:r>
        <w:rPr/>
        <w:t>Una vez que entren en operación los Centros de Conciliación y Tribunales, los procedimientos y los juicios se ventilarán ante ellos de conformidad con el presente Decreto, según corresponda.</w:t>
      </w:r>
    </w:p>
    <w:p>
      <w:pPr>
        <w:pStyle w:val="BodyText"/>
        <w:spacing w:line="242" w:lineRule="auto" w:before="223"/>
        <w:ind w:left="338" w:right="336" w:firstLine="288"/>
        <w:jc w:val="both"/>
      </w:pPr>
      <w:r>
        <w:rPr>
          <w:rFonts w:ascii="Arial" w:hAnsi="Arial"/>
          <w:b/>
        </w:rPr>
        <w:t>Décimo Primero. Legitimación de Contratos Colectivos de Trabajo. </w:t>
      </w:r>
      <w:r>
        <w:rPr/>
        <w:t>Con el fin de cumplir el mandato del artículo 123, apartado A, fracción XVIII, segundo párrafo y XX Bis de la Constitución y los compromisos internacionales asumidos por el Estado mexicano, los contratos colectivos de trabajo existentes deberán revisarse al menos una vez durante los cuatro años posteriores a la entrada en vigor de este Decreto.</w:t>
      </w:r>
    </w:p>
    <w:p>
      <w:pPr>
        <w:pStyle w:val="BodyText"/>
        <w:spacing w:before="221"/>
        <w:ind w:left="338" w:right="342" w:firstLine="288"/>
        <w:jc w:val="both"/>
      </w:pPr>
      <w:r>
        <w:rPr/>
        <w:t>Las referidas revisiones contractuales deberán depositarse ante el Centro Federal de Conciliación y Registro Laboral. Dicho Centro verificará que se haya hecho del conocimiento de los trabajadores el contenido del contrato colectivo de trabajo y que se les entregó un ejemplar impreso del mismo por parte del patrón; asimismo, que éste contrato cuenta con el respaldo de la mayoría de los trabajadores mediante voto personal, libre y secreto.</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40" w:firstLine="288"/>
        <w:jc w:val="both"/>
      </w:pPr>
      <w:r>
        <w:rPr/>
        <w:t>La consulta a los trabajadores se realizará conforme al procedimiento establecido en el artículo 390 Ter de esta Ley.</w:t>
      </w:r>
    </w:p>
    <w:p>
      <w:pPr>
        <w:pStyle w:val="BodyText"/>
        <w:spacing w:before="1"/>
      </w:pPr>
    </w:p>
    <w:p>
      <w:pPr>
        <w:pStyle w:val="BodyText"/>
        <w:spacing w:before="1"/>
        <w:ind w:left="338" w:right="337" w:firstLine="288"/>
        <w:jc w:val="both"/>
      </w:pPr>
      <w:r>
        <w:rPr/>
        <w:t>Si</w:t>
      </w:r>
      <w:r>
        <w:rPr>
          <w:spacing w:val="-2"/>
        </w:rPr>
        <w:t> </w:t>
      </w:r>
      <w:r>
        <w:rPr/>
        <w:t>al</w:t>
      </w:r>
      <w:r>
        <w:rPr>
          <w:spacing w:val="-2"/>
        </w:rPr>
        <w:t> </w:t>
      </w:r>
      <w:r>
        <w:rPr/>
        <w:t>término</w:t>
      </w:r>
      <w:r>
        <w:rPr>
          <w:spacing w:val="-2"/>
        </w:rPr>
        <w:t> </w:t>
      </w:r>
      <w:r>
        <w:rPr/>
        <w:t>del</w:t>
      </w:r>
      <w:r>
        <w:rPr>
          <w:spacing w:val="-2"/>
        </w:rPr>
        <w:t> </w:t>
      </w:r>
      <w:r>
        <w:rPr/>
        <w:t>plazo</w:t>
      </w:r>
      <w:r>
        <w:rPr>
          <w:spacing w:val="-1"/>
        </w:rPr>
        <w:t> </w:t>
      </w:r>
      <w:r>
        <w:rPr/>
        <w:t>fijado</w:t>
      </w:r>
      <w:r>
        <w:rPr>
          <w:spacing w:val="-1"/>
        </w:rPr>
        <w:t> </w:t>
      </w:r>
      <w:r>
        <w:rPr/>
        <w:t>en</w:t>
      </w:r>
      <w:r>
        <w:rPr>
          <w:spacing w:val="-2"/>
        </w:rPr>
        <w:t> </w:t>
      </w:r>
      <w:r>
        <w:rPr/>
        <w:t>el</w:t>
      </w:r>
      <w:r>
        <w:rPr>
          <w:spacing w:val="-2"/>
        </w:rPr>
        <w:t> </w:t>
      </w:r>
      <w:r>
        <w:rPr/>
        <w:t>primer párrafo</w:t>
      </w:r>
      <w:r>
        <w:rPr>
          <w:spacing w:val="-1"/>
        </w:rPr>
        <w:t> </w:t>
      </w:r>
      <w:r>
        <w:rPr/>
        <w:t>de</w:t>
      </w:r>
      <w:r>
        <w:rPr>
          <w:spacing w:val="-2"/>
        </w:rPr>
        <w:t> </w:t>
      </w:r>
      <w:r>
        <w:rPr/>
        <w:t>este</w:t>
      </w:r>
      <w:r>
        <w:rPr>
          <w:spacing w:val="-1"/>
        </w:rPr>
        <w:t> </w:t>
      </w:r>
      <w:r>
        <w:rPr/>
        <w:t>artículo el</w:t>
      </w:r>
      <w:r>
        <w:rPr>
          <w:spacing w:val="-2"/>
        </w:rPr>
        <w:t> </w:t>
      </w:r>
      <w:r>
        <w:rPr/>
        <w:t>contrato</w:t>
      </w:r>
      <w:r>
        <w:rPr>
          <w:spacing w:val="-2"/>
        </w:rPr>
        <w:t> </w:t>
      </w:r>
      <w:r>
        <w:rPr/>
        <w:t>colectivo de</w:t>
      </w:r>
      <w:r>
        <w:rPr>
          <w:spacing w:val="-2"/>
        </w:rPr>
        <w:t> </w:t>
      </w:r>
      <w:r>
        <w:rPr/>
        <w:t>trabajo</w:t>
      </w:r>
      <w:r>
        <w:rPr>
          <w:spacing w:val="-1"/>
        </w:rPr>
        <w:t> </w:t>
      </w:r>
      <w:r>
        <w:rPr/>
        <w:t>sujeto a consulta no cuenta con el apoyo mayoritario de los trabajadores o se omite realizar la consulta mencionada, éste se tendrá por terminado, conservándose en beneficio de los trabajadores las prestaciones y condiciones de trabajo contempladas en el contrato colectivo sujeto a revisión, que sean superiores a las establecidas en esta Ley, las que serán de aplicación obligatoria para el patrón.</w:t>
      </w:r>
    </w:p>
    <w:p>
      <w:pPr>
        <w:pStyle w:val="BodyText"/>
        <w:spacing w:before="230"/>
        <w:ind w:left="338" w:right="336" w:firstLine="288"/>
        <w:jc w:val="both"/>
      </w:pPr>
      <w:r>
        <w:rPr/>
        <w:t>Hasta en tanto no entre en funciones el Centro Federal de Conciliación y Registro Laboral, la Secretaría del Trabajo y Previsión Social establecerá el protocolo para efectuar la verificación de la consulta a que se refiere el presente artículo transitorio y dispondrá las medidas necesarias para su instrumentación, dentro de un plazo de tres meses siguientes a la entrada en vigor del presente Decreto. La Junta Federal de Conciliación y Arbitraje tendrá la participación que dicho protocolo le establezca.</w:t>
      </w:r>
    </w:p>
    <w:p>
      <w:pPr>
        <w:spacing w:line="240" w:lineRule="auto" w:before="228"/>
        <w:ind w:left="338" w:right="336" w:firstLine="288"/>
        <w:jc w:val="both"/>
        <w:rPr>
          <w:sz w:val="20"/>
        </w:rPr>
      </w:pPr>
      <w:r>
        <w:rPr>
          <w:rFonts w:ascii="Arial" w:hAnsi="Arial"/>
          <w:b/>
          <w:sz w:val="20"/>
        </w:rPr>
        <w:t>Décimo Segundo. Previsiones para la aplicación de la Reforma. </w:t>
      </w:r>
      <w:r>
        <w:rPr>
          <w:sz w:val="20"/>
        </w:rPr>
        <w:t>El Congreso de la Unión y las Legislaturas de las entidades federativas deberán destinar los recursos necesarios para la implementación de la reforma del sistema de justicia laboral.</w:t>
      </w:r>
    </w:p>
    <w:p>
      <w:pPr>
        <w:pStyle w:val="BodyText"/>
        <w:spacing w:before="229"/>
        <w:ind w:left="338" w:right="338" w:firstLine="288"/>
        <w:jc w:val="both"/>
      </w:pPr>
      <w:r>
        <w:rPr>
          <w:rFonts w:ascii="Arial" w:hAnsi="Arial"/>
          <w:b/>
        </w:rPr>
        <w:t>Décimo Tercero. Implementación y</w:t>
      </w:r>
      <w:r>
        <w:rPr>
          <w:rFonts w:ascii="Arial" w:hAnsi="Arial"/>
          <w:b/>
          <w:spacing w:val="-1"/>
        </w:rPr>
        <w:t> </w:t>
      </w:r>
      <w:r>
        <w:rPr>
          <w:rFonts w:ascii="Arial" w:hAnsi="Arial"/>
          <w:b/>
        </w:rPr>
        <w:t>Capacitación. </w:t>
      </w:r>
      <w:r>
        <w:rPr/>
        <w:t>En la implementación de las disposiciones a que se refiere el presente Decreto y en lo sucesivo, las Autoridades Conciliadoras y los Tribunales del Poder Judicial Federal y de las entidades federativas, deberán incorporar en sus programas de formación y capacitación, metodologías y contenidos para brindar atención y asesoría en materia de protección de derechos humanos a personas en situación de vulnerabilidad.</w:t>
      </w:r>
    </w:p>
    <w:p>
      <w:pPr>
        <w:pStyle w:val="BodyText"/>
      </w:pPr>
    </w:p>
    <w:p>
      <w:pPr>
        <w:pStyle w:val="BodyText"/>
        <w:spacing w:line="242" w:lineRule="auto"/>
        <w:ind w:left="338" w:right="339" w:firstLine="288"/>
        <w:jc w:val="both"/>
      </w:pPr>
      <w:r>
        <w:rPr>
          <w:rFonts w:ascii="Arial" w:hAnsi="Arial"/>
          <w:b/>
        </w:rPr>
        <w:t>Décimo Cuarto.</w:t>
      </w:r>
      <w:r>
        <w:rPr>
          <w:rFonts w:ascii="Arial" w:hAnsi="Arial"/>
          <w:b/>
          <w:spacing w:val="-1"/>
        </w:rPr>
        <w:t> </w:t>
      </w:r>
      <w:r>
        <w:rPr>
          <w:rFonts w:ascii="Arial" w:hAnsi="Arial"/>
          <w:b/>
        </w:rPr>
        <w:t>Primera</w:t>
      </w:r>
      <w:r>
        <w:rPr>
          <w:rFonts w:ascii="Arial" w:hAnsi="Arial"/>
          <w:b/>
          <w:spacing w:val="-1"/>
        </w:rPr>
        <w:t> </w:t>
      </w:r>
      <w:r>
        <w:rPr>
          <w:rFonts w:ascii="Arial" w:hAnsi="Arial"/>
          <w:b/>
        </w:rPr>
        <w:t>Sesión de</w:t>
      </w:r>
      <w:r>
        <w:rPr>
          <w:rFonts w:ascii="Arial" w:hAnsi="Arial"/>
          <w:b/>
          <w:spacing w:val="-1"/>
        </w:rPr>
        <w:t> </w:t>
      </w:r>
      <w:r>
        <w:rPr>
          <w:rFonts w:ascii="Arial" w:hAnsi="Arial"/>
          <w:b/>
        </w:rPr>
        <w:t>la</w:t>
      </w:r>
      <w:r>
        <w:rPr>
          <w:rFonts w:ascii="Arial" w:hAnsi="Arial"/>
          <w:b/>
          <w:spacing w:val="-1"/>
        </w:rPr>
        <w:t> </w:t>
      </w:r>
      <w:r>
        <w:rPr>
          <w:rFonts w:ascii="Arial" w:hAnsi="Arial"/>
          <w:b/>
        </w:rPr>
        <w:t>Junta</w:t>
      </w:r>
      <w:r>
        <w:rPr>
          <w:rFonts w:ascii="Arial" w:hAnsi="Arial"/>
          <w:b/>
          <w:spacing w:val="-2"/>
        </w:rPr>
        <w:t> </w:t>
      </w:r>
      <w:r>
        <w:rPr>
          <w:rFonts w:ascii="Arial" w:hAnsi="Arial"/>
          <w:b/>
        </w:rPr>
        <w:t>de</w:t>
      </w:r>
      <w:r>
        <w:rPr>
          <w:rFonts w:ascii="Arial" w:hAnsi="Arial"/>
          <w:b/>
          <w:spacing w:val="-1"/>
        </w:rPr>
        <w:t> </w:t>
      </w:r>
      <w:r>
        <w:rPr>
          <w:rFonts w:ascii="Arial" w:hAnsi="Arial"/>
          <w:b/>
        </w:rPr>
        <w:t>Gobierno</w:t>
      </w:r>
      <w:r>
        <w:rPr>
          <w:rFonts w:ascii="Arial" w:hAnsi="Arial"/>
          <w:b/>
          <w:spacing w:val="-2"/>
        </w:rPr>
        <w:t> </w:t>
      </w:r>
      <w:r>
        <w:rPr>
          <w:rFonts w:ascii="Arial" w:hAnsi="Arial"/>
          <w:b/>
        </w:rPr>
        <w:t>del</w:t>
      </w:r>
      <w:r>
        <w:rPr>
          <w:rFonts w:ascii="Arial" w:hAnsi="Arial"/>
          <w:b/>
          <w:spacing w:val="-2"/>
        </w:rPr>
        <w:t> </w:t>
      </w:r>
      <w:r>
        <w:rPr>
          <w:rFonts w:ascii="Arial" w:hAnsi="Arial"/>
          <w:b/>
        </w:rPr>
        <w:t>Centro</w:t>
      </w:r>
      <w:r>
        <w:rPr>
          <w:rFonts w:ascii="Arial" w:hAnsi="Arial"/>
          <w:b/>
          <w:spacing w:val="-2"/>
        </w:rPr>
        <w:t> </w:t>
      </w:r>
      <w:r>
        <w:rPr>
          <w:rFonts w:ascii="Arial" w:hAnsi="Arial"/>
          <w:b/>
        </w:rPr>
        <w:t>Federal. </w:t>
      </w:r>
      <w:r>
        <w:rPr/>
        <w:t>La</w:t>
      </w:r>
      <w:r>
        <w:rPr>
          <w:spacing w:val="-1"/>
        </w:rPr>
        <w:t> </w:t>
      </w:r>
      <w:r>
        <w:rPr/>
        <w:t>persona</w:t>
      </w:r>
      <w:r>
        <w:rPr>
          <w:spacing w:val="-1"/>
        </w:rPr>
        <w:t> </w:t>
      </w:r>
      <w:r>
        <w:rPr/>
        <w:t>titular de la Secretaría del Trabajo y Previsión Social, en su calidad de Presidente de la Junta de Gobierno del Centro Federal de Conciliación y Registro Laboral convocará a la primera sesión de dicho órgano dentro de los noventa días naturales siguientes a la fecha de designación de su titular.</w:t>
      </w:r>
    </w:p>
    <w:p>
      <w:pPr>
        <w:pStyle w:val="BodyText"/>
        <w:spacing w:before="221"/>
        <w:ind w:left="338" w:right="336" w:firstLine="288"/>
        <w:jc w:val="both"/>
      </w:pPr>
      <w:r>
        <w:rPr>
          <w:rFonts w:ascii="Arial" w:hAnsi="Arial"/>
          <w:b/>
        </w:rPr>
        <w:t>Décimo Quinto. Concursos de Selección de Personal. </w:t>
      </w:r>
      <w:r>
        <w:rPr/>
        <w:t>Las convocatorias a concurso para la selección de personal del Centro Federal de Conciliación y Registro Laboral, de los Centros de Conciliación Locales y de los Tribunales del Poder Judicial Federal y de las entidades federativas serán de carácter abierto y garantizarán el derecho de participar en igualdad de oportunidades al personal de las Juntas de Conciliación y Arbitraje.</w:t>
      </w:r>
    </w:p>
    <w:p>
      <w:pPr>
        <w:pStyle w:val="BodyText"/>
      </w:pPr>
    </w:p>
    <w:p>
      <w:pPr>
        <w:pStyle w:val="BodyText"/>
        <w:ind w:left="338" w:right="342" w:firstLine="288"/>
        <w:jc w:val="both"/>
      </w:pPr>
      <w:r>
        <w:rPr>
          <w:rFonts w:ascii="Arial" w:hAnsi="Arial"/>
          <w:b/>
        </w:rPr>
        <w:t>Décimo Sexto. Plan y Programa de Trabajo para la Conclusión de los asuntos en Trámite. </w:t>
      </w:r>
      <w:r>
        <w:rPr/>
        <w:t>Dentro de los ciento veinte días naturales siguientes a la aprobación del presente Decreto la Junta Federal</w:t>
      </w:r>
      <w:r>
        <w:rPr>
          <w:spacing w:val="-4"/>
        </w:rPr>
        <w:t> </w:t>
      </w:r>
      <w:r>
        <w:rPr/>
        <w:t>de</w:t>
      </w:r>
      <w:r>
        <w:rPr>
          <w:spacing w:val="-4"/>
        </w:rPr>
        <w:t> </w:t>
      </w:r>
      <w:r>
        <w:rPr/>
        <w:t>Conciliación y</w:t>
      </w:r>
      <w:r>
        <w:rPr>
          <w:spacing w:val="-5"/>
        </w:rPr>
        <w:t> </w:t>
      </w:r>
      <w:r>
        <w:rPr/>
        <w:t>Arbitraje y</w:t>
      </w:r>
      <w:r>
        <w:rPr>
          <w:spacing w:val="-5"/>
        </w:rPr>
        <w:t> </w:t>
      </w:r>
      <w:r>
        <w:rPr/>
        <w:t>las</w:t>
      </w:r>
      <w:r>
        <w:rPr>
          <w:spacing w:val="-3"/>
        </w:rPr>
        <w:t> </w:t>
      </w:r>
      <w:r>
        <w:rPr/>
        <w:t>Juntas</w:t>
      </w:r>
      <w:r>
        <w:rPr>
          <w:spacing w:val="-1"/>
        </w:rPr>
        <w:t> </w:t>
      </w:r>
      <w:r>
        <w:rPr/>
        <w:t>Locales</w:t>
      </w:r>
      <w:r>
        <w:rPr>
          <w:spacing w:val="-3"/>
        </w:rPr>
        <w:t> </w:t>
      </w:r>
      <w:r>
        <w:rPr/>
        <w:t>de</w:t>
      </w:r>
      <w:r>
        <w:rPr>
          <w:spacing w:val="-5"/>
        </w:rPr>
        <w:t> </w:t>
      </w:r>
      <w:r>
        <w:rPr/>
        <w:t>Conciliación y</w:t>
      </w:r>
      <w:r>
        <w:rPr>
          <w:spacing w:val="-5"/>
        </w:rPr>
        <w:t> </w:t>
      </w:r>
      <w:r>
        <w:rPr/>
        <w:t>Arbitraje</w:t>
      </w:r>
      <w:r>
        <w:rPr>
          <w:spacing w:val="-4"/>
        </w:rPr>
        <w:t> </w:t>
      </w:r>
      <w:r>
        <w:rPr/>
        <w:t>presentarán</w:t>
      </w:r>
      <w:r>
        <w:rPr>
          <w:spacing w:val="-4"/>
        </w:rPr>
        <w:t> </w:t>
      </w:r>
      <w:r>
        <w:rPr/>
        <w:t>al</w:t>
      </w:r>
      <w:r>
        <w:rPr>
          <w:spacing w:val="-5"/>
        </w:rPr>
        <w:t> </w:t>
      </w:r>
      <w:r>
        <w:rPr/>
        <w:t>Consejo de Coordinación para la Implementación de la Reforma al Sistema de Justicia Laboral, un plan de trabajo con su respectivo programa para la conclusión de los asuntos en trámite y la ejecución eficaz de los laudos así como para el cierre y conclusión de labores en forma paulatina y gradual de dichos órganos.</w:t>
      </w:r>
    </w:p>
    <w:p>
      <w:pPr>
        <w:pStyle w:val="BodyText"/>
        <w:spacing w:before="4"/>
      </w:pPr>
    </w:p>
    <w:p>
      <w:pPr>
        <w:pStyle w:val="BodyText"/>
        <w:ind w:left="338" w:right="342" w:firstLine="288"/>
        <w:jc w:val="both"/>
      </w:pPr>
      <w:r>
        <w:rPr/>
        <w:t>Los planes y programas de trabajo deberán contener indicadores de resultados y desempeño por periodos semestrales. Corresponderá al Órgano Interno de Control de cada Junta de Conciliación y Arbitraje la medición de resultados e impacto a que se refiere el párrafo anterior.</w:t>
      </w:r>
    </w:p>
    <w:p>
      <w:pPr>
        <w:pStyle w:val="BodyText"/>
        <w:spacing w:before="227"/>
        <w:ind w:left="338" w:right="334" w:firstLine="288"/>
        <w:jc w:val="both"/>
      </w:pPr>
      <w:r>
        <w:rPr>
          <w:rFonts w:ascii="Arial" w:hAnsi="Arial"/>
          <w:b/>
        </w:rPr>
        <w:t>Décimo Séptimo. Coordinación interinstitucional para la implementación de la reforma. </w:t>
      </w:r>
      <w:r>
        <w:rPr/>
        <w:t>Se crea el Consejo de Coordinación para la Implementación de la Reforma al Sistema de Justicia Laboral como instancia nacional de consulta, planeación y coordinación que tendrá por objeto establecer la política y la coordinación nacionales necesarias para implementar a nivel federal y local el Sistema de Justicia</w:t>
      </w:r>
      <w:r>
        <w:rPr>
          <w:spacing w:val="40"/>
        </w:rPr>
        <w:t> </w:t>
      </w:r>
      <w:r>
        <w:rPr/>
        <w:t>Laboral en los términos previstos en el presente Decreto, con pleno respeto a las atribuciones de los Poderes Federales y Locales.</w:t>
      </w:r>
    </w:p>
    <w:p>
      <w:pPr>
        <w:pStyle w:val="BodyText"/>
        <w:spacing w:after="0"/>
        <w:jc w:val="both"/>
        <w:sectPr>
          <w:pgSz w:w="12240" w:h="15840"/>
          <w:pgMar w:header="724" w:footer="712" w:top="1880" w:bottom="900" w:left="1080" w:right="1080"/>
        </w:sectPr>
      </w:pPr>
    </w:p>
    <w:p>
      <w:pPr>
        <w:pStyle w:val="BodyText"/>
      </w:pPr>
    </w:p>
    <w:p>
      <w:pPr>
        <w:pStyle w:val="BodyText"/>
        <w:spacing w:before="66"/>
      </w:pPr>
    </w:p>
    <w:p>
      <w:pPr>
        <w:pStyle w:val="BodyText"/>
        <w:ind w:left="338" w:right="341" w:firstLine="288"/>
        <w:jc w:val="both"/>
      </w:pPr>
      <w:r>
        <w:rPr/>
        <w:t>Dicho Consejo deberá sesionar de manera ordinaria por lo menos tres veces al año y de manera extraordinaria las ocasiones que sean necesarias para el cumplimiento de sus fines. Las sesiones serán presididas por la persona Titular de la Secretaría del Trabajo y Previsión Social y, en su ausencia temporal por la persona que ésta designe. Los cargos que desempeñen los integrantes del Consejo</w:t>
      </w:r>
      <w:r>
        <w:rPr>
          <w:spacing w:val="40"/>
        </w:rPr>
        <w:t> </w:t>
      </w:r>
      <w:r>
        <w:rPr/>
        <w:t>serán de carácter honorífico, por lo que no recibirán remuneración alguna por su participación en el </w:t>
      </w:r>
      <w:r>
        <w:rPr>
          <w:spacing w:val="-2"/>
        </w:rPr>
        <w:t>mismo.</w:t>
      </w:r>
    </w:p>
    <w:p>
      <w:pPr>
        <w:pStyle w:val="BodyText"/>
      </w:pPr>
    </w:p>
    <w:p>
      <w:pPr>
        <w:pStyle w:val="BodyText"/>
        <w:ind w:left="626"/>
      </w:pPr>
      <w:r>
        <w:rPr/>
        <w:t>El</w:t>
      </w:r>
      <w:r>
        <w:rPr>
          <w:spacing w:val="-9"/>
        </w:rPr>
        <w:t> </w:t>
      </w:r>
      <w:r>
        <w:rPr/>
        <w:t>Consejo</w:t>
      </w:r>
      <w:r>
        <w:rPr>
          <w:spacing w:val="-7"/>
        </w:rPr>
        <w:t> </w:t>
      </w:r>
      <w:r>
        <w:rPr/>
        <w:t>se</w:t>
      </w:r>
      <w:r>
        <w:rPr>
          <w:spacing w:val="-5"/>
        </w:rPr>
        <w:t> </w:t>
      </w:r>
      <w:r>
        <w:rPr/>
        <w:t>integrará</w:t>
      </w:r>
      <w:r>
        <w:rPr>
          <w:spacing w:val="-6"/>
        </w:rPr>
        <w:t> </w:t>
      </w:r>
      <w:r>
        <w:rPr>
          <w:spacing w:val="-4"/>
        </w:rPr>
        <w:t>por:</w:t>
      </w:r>
    </w:p>
    <w:p>
      <w:pPr>
        <w:pStyle w:val="ListParagraph"/>
        <w:numPr>
          <w:ilvl w:val="0"/>
          <w:numId w:val="366"/>
        </w:numPr>
        <w:tabs>
          <w:tab w:pos="790" w:val="left" w:leader="none"/>
        </w:tabs>
        <w:spacing w:line="240" w:lineRule="auto" w:before="229" w:after="0"/>
        <w:ind w:left="790" w:right="0" w:hanging="164"/>
        <w:jc w:val="left"/>
        <w:rPr>
          <w:sz w:val="20"/>
        </w:rPr>
      </w:pPr>
      <w:r>
        <w:rPr>
          <w:sz w:val="20"/>
        </w:rPr>
        <w:t>Poder</w:t>
      </w:r>
      <w:r>
        <w:rPr>
          <w:spacing w:val="-8"/>
          <w:sz w:val="20"/>
        </w:rPr>
        <w:t> </w:t>
      </w:r>
      <w:r>
        <w:rPr>
          <w:sz w:val="20"/>
        </w:rPr>
        <w:t>Ejecutivo</w:t>
      </w:r>
      <w:r>
        <w:rPr>
          <w:spacing w:val="-11"/>
          <w:sz w:val="20"/>
        </w:rPr>
        <w:t> </w:t>
      </w:r>
      <w:r>
        <w:rPr>
          <w:spacing w:val="-2"/>
          <w:sz w:val="20"/>
        </w:rPr>
        <w:t>Federal:</w:t>
      </w:r>
    </w:p>
    <w:p>
      <w:pPr>
        <w:pStyle w:val="ListParagraph"/>
        <w:numPr>
          <w:ilvl w:val="1"/>
          <w:numId w:val="366"/>
        </w:numPr>
        <w:tabs>
          <w:tab w:pos="857" w:val="left" w:leader="none"/>
        </w:tabs>
        <w:spacing w:line="240" w:lineRule="auto" w:before="229" w:after="0"/>
        <w:ind w:left="857" w:right="0" w:hanging="231"/>
        <w:jc w:val="left"/>
        <w:rPr>
          <w:sz w:val="20"/>
        </w:rPr>
      </w:pPr>
      <w:r>
        <w:rPr>
          <w:sz w:val="20"/>
        </w:rPr>
        <w:t>La</w:t>
      </w:r>
      <w:r>
        <w:rPr>
          <w:spacing w:val="-8"/>
          <w:sz w:val="20"/>
        </w:rPr>
        <w:t> </w:t>
      </w:r>
      <w:r>
        <w:rPr>
          <w:sz w:val="20"/>
        </w:rPr>
        <w:t>persona</w:t>
      </w:r>
      <w:r>
        <w:rPr>
          <w:spacing w:val="-7"/>
          <w:sz w:val="20"/>
        </w:rPr>
        <w:t> </w:t>
      </w:r>
      <w:r>
        <w:rPr>
          <w:sz w:val="20"/>
        </w:rPr>
        <w:t>Titular</w:t>
      </w:r>
      <w:r>
        <w:rPr>
          <w:spacing w:val="-7"/>
          <w:sz w:val="20"/>
        </w:rPr>
        <w:t> </w:t>
      </w:r>
      <w:r>
        <w:rPr>
          <w:sz w:val="20"/>
        </w:rPr>
        <w:t>de</w:t>
      </w:r>
      <w:r>
        <w:rPr>
          <w:spacing w:val="-5"/>
          <w:sz w:val="20"/>
        </w:rPr>
        <w:t> </w:t>
      </w:r>
      <w:r>
        <w:rPr>
          <w:sz w:val="20"/>
        </w:rPr>
        <w:t>la</w:t>
      </w:r>
      <w:r>
        <w:rPr>
          <w:spacing w:val="-6"/>
          <w:sz w:val="20"/>
        </w:rPr>
        <w:t> </w:t>
      </w:r>
      <w:r>
        <w:rPr>
          <w:sz w:val="20"/>
        </w:rPr>
        <w:t>Secretaría</w:t>
      </w:r>
      <w:r>
        <w:rPr>
          <w:spacing w:val="-5"/>
          <w:sz w:val="20"/>
        </w:rPr>
        <w:t> </w:t>
      </w:r>
      <w:r>
        <w:rPr>
          <w:sz w:val="20"/>
        </w:rPr>
        <w:t>del</w:t>
      </w:r>
      <w:r>
        <w:rPr>
          <w:spacing w:val="-8"/>
          <w:sz w:val="20"/>
        </w:rPr>
        <w:t> </w:t>
      </w:r>
      <w:r>
        <w:rPr>
          <w:sz w:val="20"/>
        </w:rPr>
        <w:t>Trabajo</w:t>
      </w:r>
      <w:r>
        <w:rPr>
          <w:spacing w:val="-5"/>
          <w:sz w:val="20"/>
        </w:rPr>
        <w:t> </w:t>
      </w:r>
      <w:r>
        <w:rPr>
          <w:sz w:val="20"/>
        </w:rPr>
        <w:t>y</w:t>
      </w:r>
      <w:r>
        <w:rPr>
          <w:spacing w:val="-8"/>
          <w:sz w:val="20"/>
        </w:rPr>
        <w:t> </w:t>
      </w:r>
      <w:r>
        <w:rPr>
          <w:sz w:val="20"/>
        </w:rPr>
        <w:t>Previsión</w:t>
      </w:r>
      <w:r>
        <w:rPr>
          <w:spacing w:val="-5"/>
          <w:sz w:val="20"/>
        </w:rPr>
        <w:t> </w:t>
      </w:r>
      <w:r>
        <w:rPr>
          <w:sz w:val="20"/>
        </w:rPr>
        <w:t>Social,</w:t>
      </w:r>
      <w:r>
        <w:rPr>
          <w:spacing w:val="-2"/>
          <w:sz w:val="20"/>
        </w:rPr>
        <w:t> </w:t>
      </w:r>
      <w:r>
        <w:rPr>
          <w:spacing w:val="-10"/>
          <w:sz w:val="20"/>
        </w:rPr>
        <w:t>y</w:t>
      </w:r>
    </w:p>
    <w:p>
      <w:pPr>
        <w:pStyle w:val="BodyText"/>
      </w:pPr>
    </w:p>
    <w:p>
      <w:pPr>
        <w:pStyle w:val="ListParagraph"/>
        <w:numPr>
          <w:ilvl w:val="1"/>
          <w:numId w:val="366"/>
        </w:numPr>
        <w:tabs>
          <w:tab w:pos="869" w:val="left" w:leader="none"/>
        </w:tabs>
        <w:spacing w:line="240" w:lineRule="auto" w:before="1" w:after="0"/>
        <w:ind w:left="869" w:right="0" w:hanging="243"/>
        <w:jc w:val="left"/>
        <w:rPr>
          <w:sz w:val="20"/>
        </w:rPr>
      </w:pPr>
      <w:r>
        <w:rPr>
          <w:sz w:val="20"/>
        </w:rPr>
        <w:t>La</w:t>
      </w:r>
      <w:r>
        <w:rPr>
          <w:spacing w:val="-8"/>
          <w:sz w:val="20"/>
        </w:rPr>
        <w:t> </w:t>
      </w:r>
      <w:r>
        <w:rPr>
          <w:sz w:val="20"/>
        </w:rPr>
        <w:t>persona</w:t>
      </w:r>
      <w:r>
        <w:rPr>
          <w:spacing w:val="-7"/>
          <w:sz w:val="20"/>
        </w:rPr>
        <w:t> </w:t>
      </w:r>
      <w:r>
        <w:rPr>
          <w:sz w:val="20"/>
        </w:rPr>
        <w:t>Titular</w:t>
      </w:r>
      <w:r>
        <w:rPr>
          <w:spacing w:val="-7"/>
          <w:sz w:val="20"/>
        </w:rPr>
        <w:t> </w:t>
      </w:r>
      <w:r>
        <w:rPr>
          <w:sz w:val="20"/>
        </w:rPr>
        <w:t>de</w:t>
      </w:r>
      <w:r>
        <w:rPr>
          <w:spacing w:val="-6"/>
          <w:sz w:val="20"/>
        </w:rPr>
        <w:t> </w:t>
      </w:r>
      <w:r>
        <w:rPr>
          <w:sz w:val="20"/>
        </w:rPr>
        <w:t>la</w:t>
      </w:r>
      <w:r>
        <w:rPr>
          <w:spacing w:val="-3"/>
          <w:sz w:val="20"/>
        </w:rPr>
        <w:t> </w:t>
      </w:r>
      <w:r>
        <w:rPr>
          <w:sz w:val="20"/>
        </w:rPr>
        <w:t>Secretaría</w:t>
      </w:r>
      <w:r>
        <w:rPr>
          <w:spacing w:val="-5"/>
          <w:sz w:val="20"/>
        </w:rPr>
        <w:t> </w:t>
      </w:r>
      <w:r>
        <w:rPr>
          <w:sz w:val="20"/>
        </w:rPr>
        <w:t>de</w:t>
      </w:r>
      <w:r>
        <w:rPr>
          <w:spacing w:val="-6"/>
          <w:sz w:val="20"/>
        </w:rPr>
        <w:t> </w:t>
      </w:r>
      <w:r>
        <w:rPr>
          <w:sz w:val="20"/>
        </w:rPr>
        <w:t>Hacienda</w:t>
      </w:r>
      <w:r>
        <w:rPr>
          <w:spacing w:val="-6"/>
          <w:sz w:val="20"/>
        </w:rPr>
        <w:t> </w:t>
      </w:r>
      <w:r>
        <w:rPr>
          <w:sz w:val="20"/>
        </w:rPr>
        <w:t>y</w:t>
      </w:r>
      <w:r>
        <w:rPr>
          <w:spacing w:val="-6"/>
          <w:sz w:val="20"/>
        </w:rPr>
        <w:t> </w:t>
      </w:r>
      <w:r>
        <w:rPr>
          <w:sz w:val="20"/>
        </w:rPr>
        <w:t>Crédito</w:t>
      </w:r>
      <w:r>
        <w:rPr>
          <w:spacing w:val="-7"/>
          <w:sz w:val="20"/>
        </w:rPr>
        <w:t> </w:t>
      </w:r>
      <w:r>
        <w:rPr>
          <w:spacing w:val="-2"/>
          <w:sz w:val="20"/>
        </w:rPr>
        <w:t>Público.</w:t>
      </w:r>
    </w:p>
    <w:p>
      <w:pPr>
        <w:pStyle w:val="BodyText"/>
        <w:spacing w:before="3"/>
      </w:pPr>
    </w:p>
    <w:p>
      <w:pPr>
        <w:pStyle w:val="BodyText"/>
        <w:ind w:left="338" w:right="344" w:firstLine="288"/>
        <w:jc w:val="both"/>
      </w:pPr>
      <w:r>
        <w:rPr/>
        <w:t>Las ausencias de éstos serán suplidas por los servidores públicos que ellos designen, con un nivel jerárquico inmediato inferior.</w:t>
      </w:r>
    </w:p>
    <w:p>
      <w:pPr>
        <w:pStyle w:val="ListParagraph"/>
        <w:numPr>
          <w:ilvl w:val="0"/>
          <w:numId w:val="366"/>
        </w:numPr>
        <w:tabs>
          <w:tab w:pos="873" w:val="left" w:leader="none"/>
        </w:tabs>
        <w:spacing w:line="242" w:lineRule="auto" w:before="226" w:after="0"/>
        <w:ind w:left="338" w:right="334" w:firstLine="288"/>
        <w:jc w:val="both"/>
        <w:rPr>
          <w:sz w:val="20"/>
        </w:rPr>
      </w:pPr>
      <w:r>
        <w:rPr>
          <w:sz w:val="20"/>
        </w:rPr>
        <w:t>Un representante del Poder Judicial Federal que designe el Presidente de la Suprema Corte de Justicia de la Nación;</w:t>
      </w:r>
    </w:p>
    <w:p>
      <w:pPr>
        <w:pStyle w:val="ListParagraph"/>
        <w:numPr>
          <w:ilvl w:val="0"/>
          <w:numId w:val="366"/>
        </w:numPr>
        <w:tabs>
          <w:tab w:pos="899" w:val="left" w:leader="none"/>
        </w:tabs>
        <w:spacing w:line="240" w:lineRule="auto" w:before="227" w:after="0"/>
        <w:ind w:left="899" w:right="0" w:hanging="273"/>
        <w:jc w:val="left"/>
        <w:rPr>
          <w:sz w:val="20"/>
        </w:rPr>
      </w:pPr>
      <w:r>
        <w:rPr>
          <w:sz w:val="20"/>
        </w:rPr>
        <w:t>Un</w:t>
      </w:r>
      <w:r>
        <w:rPr>
          <w:spacing w:val="-7"/>
          <w:sz w:val="20"/>
        </w:rPr>
        <w:t> </w:t>
      </w:r>
      <w:r>
        <w:rPr>
          <w:sz w:val="20"/>
        </w:rPr>
        <w:t>representante</w:t>
      </w:r>
      <w:r>
        <w:rPr>
          <w:spacing w:val="-7"/>
          <w:sz w:val="20"/>
        </w:rPr>
        <w:t> </w:t>
      </w:r>
      <w:r>
        <w:rPr>
          <w:sz w:val="20"/>
        </w:rPr>
        <w:t>de</w:t>
      </w:r>
      <w:r>
        <w:rPr>
          <w:spacing w:val="-7"/>
          <w:sz w:val="20"/>
        </w:rPr>
        <w:t> </w:t>
      </w:r>
      <w:r>
        <w:rPr>
          <w:sz w:val="20"/>
        </w:rPr>
        <w:t>la</w:t>
      </w:r>
      <w:r>
        <w:rPr>
          <w:spacing w:val="-5"/>
          <w:sz w:val="20"/>
        </w:rPr>
        <w:t> </w:t>
      </w:r>
      <w:r>
        <w:rPr>
          <w:sz w:val="20"/>
        </w:rPr>
        <w:t>Conferencia</w:t>
      </w:r>
      <w:r>
        <w:rPr>
          <w:spacing w:val="-5"/>
          <w:sz w:val="20"/>
        </w:rPr>
        <w:t> </w:t>
      </w:r>
      <w:r>
        <w:rPr>
          <w:sz w:val="20"/>
        </w:rPr>
        <w:t>Nacional</w:t>
      </w:r>
      <w:r>
        <w:rPr>
          <w:spacing w:val="-7"/>
          <w:sz w:val="20"/>
        </w:rPr>
        <w:t> </w:t>
      </w:r>
      <w:r>
        <w:rPr>
          <w:sz w:val="20"/>
        </w:rPr>
        <w:t>de</w:t>
      </w:r>
      <w:r>
        <w:rPr>
          <w:spacing w:val="-7"/>
          <w:sz w:val="20"/>
        </w:rPr>
        <w:t> </w:t>
      </w:r>
      <w:r>
        <w:rPr>
          <w:spacing w:val="-2"/>
          <w:sz w:val="20"/>
        </w:rPr>
        <w:t>Gobernadores;</w:t>
      </w:r>
    </w:p>
    <w:p>
      <w:pPr>
        <w:pStyle w:val="ListParagraph"/>
        <w:numPr>
          <w:ilvl w:val="0"/>
          <w:numId w:val="366"/>
        </w:numPr>
        <w:tabs>
          <w:tab w:pos="923" w:val="left" w:leader="none"/>
        </w:tabs>
        <w:spacing w:line="240" w:lineRule="auto" w:before="228" w:after="0"/>
        <w:ind w:left="923" w:right="0" w:hanging="297"/>
        <w:jc w:val="left"/>
        <w:rPr>
          <w:sz w:val="20"/>
        </w:rPr>
      </w:pPr>
      <w:r>
        <w:rPr>
          <w:sz w:val="20"/>
        </w:rPr>
        <w:t>Un</w:t>
      </w:r>
      <w:r>
        <w:rPr>
          <w:spacing w:val="-8"/>
          <w:sz w:val="20"/>
        </w:rPr>
        <w:t> </w:t>
      </w:r>
      <w:r>
        <w:rPr>
          <w:sz w:val="20"/>
        </w:rPr>
        <w:t>representante</w:t>
      </w:r>
      <w:r>
        <w:rPr>
          <w:spacing w:val="-6"/>
          <w:sz w:val="20"/>
        </w:rPr>
        <w:t> </w:t>
      </w:r>
      <w:r>
        <w:rPr>
          <w:sz w:val="20"/>
        </w:rPr>
        <w:t>de</w:t>
      </w:r>
      <w:r>
        <w:rPr>
          <w:spacing w:val="-6"/>
          <w:sz w:val="20"/>
        </w:rPr>
        <w:t> </w:t>
      </w:r>
      <w:r>
        <w:rPr>
          <w:sz w:val="20"/>
        </w:rPr>
        <w:t>la</w:t>
      </w:r>
      <w:r>
        <w:rPr>
          <w:spacing w:val="-5"/>
          <w:sz w:val="20"/>
        </w:rPr>
        <w:t> </w:t>
      </w:r>
      <w:r>
        <w:rPr>
          <w:sz w:val="20"/>
        </w:rPr>
        <w:t>Comisión</w:t>
      </w:r>
      <w:r>
        <w:rPr>
          <w:spacing w:val="-8"/>
          <w:sz w:val="20"/>
        </w:rPr>
        <w:t> </w:t>
      </w:r>
      <w:r>
        <w:rPr>
          <w:sz w:val="20"/>
        </w:rPr>
        <w:t>Nacional</w:t>
      </w:r>
      <w:r>
        <w:rPr>
          <w:spacing w:val="-9"/>
          <w:sz w:val="20"/>
        </w:rPr>
        <w:t> </w:t>
      </w:r>
      <w:r>
        <w:rPr>
          <w:sz w:val="20"/>
        </w:rPr>
        <w:t>de</w:t>
      </w:r>
      <w:r>
        <w:rPr>
          <w:spacing w:val="-7"/>
          <w:sz w:val="20"/>
        </w:rPr>
        <w:t> </w:t>
      </w:r>
      <w:r>
        <w:rPr>
          <w:sz w:val="20"/>
        </w:rPr>
        <w:t>Tribunales</w:t>
      </w:r>
      <w:r>
        <w:rPr>
          <w:spacing w:val="-6"/>
          <w:sz w:val="20"/>
        </w:rPr>
        <w:t> </w:t>
      </w:r>
      <w:r>
        <w:rPr>
          <w:sz w:val="20"/>
        </w:rPr>
        <w:t>Superiores</w:t>
      </w:r>
      <w:r>
        <w:rPr>
          <w:spacing w:val="-5"/>
          <w:sz w:val="20"/>
        </w:rPr>
        <w:t> </w:t>
      </w:r>
      <w:r>
        <w:rPr>
          <w:sz w:val="20"/>
        </w:rPr>
        <w:t>de</w:t>
      </w:r>
      <w:r>
        <w:rPr>
          <w:spacing w:val="-7"/>
          <w:sz w:val="20"/>
        </w:rPr>
        <w:t> </w:t>
      </w:r>
      <w:r>
        <w:rPr>
          <w:sz w:val="20"/>
        </w:rPr>
        <w:t>Justicia,</w:t>
      </w:r>
      <w:r>
        <w:rPr>
          <w:spacing w:val="-4"/>
          <w:sz w:val="20"/>
        </w:rPr>
        <w:t> </w:t>
      </w:r>
      <w:r>
        <w:rPr>
          <w:spacing w:val="-10"/>
          <w:sz w:val="20"/>
        </w:rPr>
        <w:t>y</w:t>
      </w:r>
    </w:p>
    <w:p>
      <w:pPr>
        <w:pStyle w:val="BodyText"/>
        <w:spacing w:before="1"/>
      </w:pPr>
    </w:p>
    <w:p>
      <w:pPr>
        <w:pStyle w:val="ListParagraph"/>
        <w:numPr>
          <w:ilvl w:val="0"/>
          <w:numId w:val="366"/>
        </w:numPr>
        <w:tabs>
          <w:tab w:pos="867" w:val="left" w:leader="none"/>
        </w:tabs>
        <w:spacing w:line="240" w:lineRule="auto" w:before="0" w:after="0"/>
        <w:ind w:left="867" w:right="0" w:hanging="241"/>
        <w:jc w:val="left"/>
        <w:rPr>
          <w:sz w:val="20"/>
        </w:rPr>
      </w:pPr>
      <w:r>
        <w:rPr>
          <w:sz w:val="20"/>
        </w:rPr>
        <w:t>Un</w:t>
      </w:r>
      <w:r>
        <w:rPr>
          <w:spacing w:val="-6"/>
          <w:sz w:val="20"/>
        </w:rPr>
        <w:t> </w:t>
      </w:r>
      <w:r>
        <w:rPr>
          <w:sz w:val="20"/>
        </w:rPr>
        <w:t>representante</w:t>
      </w:r>
      <w:r>
        <w:rPr>
          <w:spacing w:val="-9"/>
          <w:sz w:val="20"/>
        </w:rPr>
        <w:t> </w:t>
      </w:r>
      <w:r>
        <w:rPr>
          <w:sz w:val="20"/>
        </w:rPr>
        <w:t>de</w:t>
      </w:r>
      <w:r>
        <w:rPr>
          <w:spacing w:val="-8"/>
          <w:sz w:val="20"/>
        </w:rPr>
        <w:t> </w:t>
      </w:r>
      <w:r>
        <w:rPr>
          <w:sz w:val="20"/>
        </w:rPr>
        <w:t>la</w:t>
      </w:r>
      <w:r>
        <w:rPr>
          <w:spacing w:val="-6"/>
          <w:sz w:val="20"/>
        </w:rPr>
        <w:t> </w:t>
      </w:r>
      <w:r>
        <w:rPr>
          <w:sz w:val="20"/>
        </w:rPr>
        <w:t>Conferencia</w:t>
      </w:r>
      <w:r>
        <w:rPr>
          <w:spacing w:val="-6"/>
          <w:sz w:val="20"/>
        </w:rPr>
        <w:t> </w:t>
      </w:r>
      <w:r>
        <w:rPr>
          <w:sz w:val="20"/>
        </w:rPr>
        <w:t>Nacional</w:t>
      </w:r>
      <w:r>
        <w:rPr>
          <w:spacing w:val="-8"/>
          <w:sz w:val="20"/>
        </w:rPr>
        <w:t> </w:t>
      </w:r>
      <w:r>
        <w:rPr>
          <w:sz w:val="20"/>
        </w:rPr>
        <w:t>de</w:t>
      </w:r>
      <w:r>
        <w:rPr>
          <w:spacing w:val="-8"/>
          <w:sz w:val="20"/>
        </w:rPr>
        <w:t> </w:t>
      </w:r>
      <w:r>
        <w:rPr>
          <w:sz w:val="20"/>
        </w:rPr>
        <w:t>Secretarios</w:t>
      </w:r>
      <w:r>
        <w:rPr>
          <w:spacing w:val="-7"/>
          <w:sz w:val="20"/>
        </w:rPr>
        <w:t> </w:t>
      </w:r>
      <w:r>
        <w:rPr>
          <w:sz w:val="20"/>
        </w:rPr>
        <w:t>del</w:t>
      </w:r>
      <w:r>
        <w:rPr>
          <w:spacing w:val="-9"/>
          <w:sz w:val="20"/>
        </w:rPr>
        <w:t> </w:t>
      </w:r>
      <w:r>
        <w:rPr>
          <w:spacing w:val="-2"/>
          <w:sz w:val="20"/>
        </w:rPr>
        <w:t>Trabajo.</w:t>
      </w:r>
    </w:p>
    <w:p>
      <w:pPr>
        <w:pStyle w:val="BodyText"/>
        <w:spacing w:before="4"/>
      </w:pPr>
    </w:p>
    <w:p>
      <w:pPr>
        <w:pStyle w:val="BodyText"/>
        <w:ind w:left="626"/>
      </w:pPr>
      <w:r>
        <w:rPr/>
        <w:t>Con</w:t>
      </w:r>
      <w:r>
        <w:rPr>
          <w:spacing w:val="-8"/>
        </w:rPr>
        <w:t> </w:t>
      </w:r>
      <w:r>
        <w:rPr/>
        <w:t>el</w:t>
      </w:r>
      <w:r>
        <w:rPr>
          <w:spacing w:val="-7"/>
        </w:rPr>
        <w:t> </w:t>
      </w:r>
      <w:r>
        <w:rPr/>
        <w:t>propósito</w:t>
      </w:r>
      <w:r>
        <w:rPr>
          <w:spacing w:val="-7"/>
        </w:rPr>
        <w:t> </w:t>
      </w:r>
      <w:r>
        <w:rPr/>
        <w:t>de</w:t>
      </w:r>
      <w:r>
        <w:rPr>
          <w:spacing w:val="-6"/>
        </w:rPr>
        <w:t> </w:t>
      </w:r>
      <w:r>
        <w:rPr/>
        <w:t>dar</w:t>
      </w:r>
      <w:r>
        <w:rPr>
          <w:spacing w:val="-6"/>
        </w:rPr>
        <w:t> </w:t>
      </w:r>
      <w:r>
        <w:rPr/>
        <w:t>cumplimiento</w:t>
      </w:r>
      <w:r>
        <w:rPr>
          <w:spacing w:val="-7"/>
        </w:rPr>
        <w:t> </w:t>
      </w:r>
      <w:r>
        <w:rPr/>
        <w:t>a</w:t>
      </w:r>
      <w:r>
        <w:rPr>
          <w:spacing w:val="-5"/>
        </w:rPr>
        <w:t> </w:t>
      </w:r>
      <w:r>
        <w:rPr/>
        <w:t>su</w:t>
      </w:r>
      <w:r>
        <w:rPr>
          <w:spacing w:val="-6"/>
        </w:rPr>
        <w:t> </w:t>
      </w:r>
      <w:r>
        <w:rPr/>
        <w:t>objeto,</w:t>
      </w:r>
      <w:r>
        <w:rPr>
          <w:spacing w:val="-5"/>
        </w:rPr>
        <w:t> </w:t>
      </w:r>
      <w:r>
        <w:rPr/>
        <w:t>el</w:t>
      </w:r>
      <w:r>
        <w:rPr>
          <w:spacing w:val="-5"/>
        </w:rPr>
        <w:t> </w:t>
      </w:r>
      <w:r>
        <w:rPr/>
        <w:t>Consejo</w:t>
      </w:r>
      <w:r>
        <w:rPr>
          <w:spacing w:val="-6"/>
        </w:rPr>
        <w:t> </w:t>
      </w:r>
      <w:r>
        <w:rPr/>
        <w:t>tendrá</w:t>
      </w:r>
      <w:r>
        <w:rPr>
          <w:spacing w:val="-5"/>
        </w:rPr>
        <w:t> </w:t>
      </w:r>
      <w:r>
        <w:rPr/>
        <w:t>las</w:t>
      </w:r>
      <w:r>
        <w:rPr>
          <w:spacing w:val="-5"/>
        </w:rPr>
        <w:t> </w:t>
      </w:r>
      <w:r>
        <w:rPr/>
        <w:t>siguientes</w:t>
      </w:r>
      <w:r>
        <w:rPr>
          <w:spacing w:val="-5"/>
        </w:rPr>
        <w:t> </w:t>
      </w:r>
      <w:r>
        <w:rPr>
          <w:spacing w:val="-2"/>
        </w:rPr>
        <w:t>atribuciones:</w:t>
      </w:r>
    </w:p>
    <w:p>
      <w:pPr>
        <w:pStyle w:val="ListParagraph"/>
        <w:numPr>
          <w:ilvl w:val="0"/>
          <w:numId w:val="367"/>
        </w:numPr>
        <w:tabs>
          <w:tab w:pos="861" w:val="left" w:leader="none"/>
        </w:tabs>
        <w:spacing w:line="242" w:lineRule="auto" w:before="226" w:after="0"/>
        <w:ind w:left="338" w:right="339" w:firstLine="288"/>
        <w:jc w:val="both"/>
        <w:rPr>
          <w:sz w:val="20"/>
        </w:rPr>
      </w:pPr>
      <w:r>
        <w:rPr>
          <w:sz w:val="20"/>
        </w:rPr>
        <w:t>Emitir los acuerdos, lineamientos, normas, procedimientos y demás instrumentos normativos necesarios para el debido cumplimiento de su objeto, vinculatorios para sus integrantes;</w:t>
      </w:r>
    </w:p>
    <w:p>
      <w:pPr>
        <w:pStyle w:val="ListParagraph"/>
        <w:numPr>
          <w:ilvl w:val="0"/>
          <w:numId w:val="367"/>
        </w:numPr>
        <w:tabs>
          <w:tab w:pos="883" w:val="left" w:leader="none"/>
        </w:tabs>
        <w:spacing w:line="240" w:lineRule="auto" w:before="226" w:after="0"/>
        <w:ind w:left="338" w:right="341" w:firstLine="288"/>
        <w:jc w:val="both"/>
        <w:rPr>
          <w:sz w:val="20"/>
        </w:rPr>
      </w:pPr>
      <w:r>
        <w:rPr>
          <w:sz w:val="20"/>
        </w:rPr>
        <w:t>Elaborar las políticas, programas y mecanismos necesarios para instrumentar, a nivel federal y local, una estrategia nacional para la implementación del Sistema de Justicia Laboral, que contemple la programación de compromisos y etapas de desarrollo;</w:t>
      </w:r>
    </w:p>
    <w:p>
      <w:pPr>
        <w:pStyle w:val="BodyText"/>
      </w:pPr>
    </w:p>
    <w:p>
      <w:pPr>
        <w:pStyle w:val="ListParagraph"/>
        <w:numPr>
          <w:ilvl w:val="0"/>
          <w:numId w:val="367"/>
        </w:numPr>
        <w:tabs>
          <w:tab w:pos="901" w:val="left" w:leader="none"/>
        </w:tabs>
        <w:spacing w:line="242" w:lineRule="auto" w:before="0" w:after="0"/>
        <w:ind w:left="338" w:right="348" w:firstLine="288"/>
        <w:jc w:val="both"/>
        <w:rPr>
          <w:sz w:val="20"/>
        </w:rPr>
      </w:pPr>
      <w:r>
        <w:rPr>
          <w:sz w:val="20"/>
        </w:rPr>
        <w:t>Diseñar</w:t>
      </w:r>
      <w:r>
        <w:rPr>
          <w:spacing w:val="-2"/>
          <w:sz w:val="20"/>
        </w:rPr>
        <w:t> </w:t>
      </w:r>
      <w:r>
        <w:rPr>
          <w:sz w:val="20"/>
        </w:rPr>
        <w:t>criterios para</w:t>
      </w:r>
      <w:r>
        <w:rPr>
          <w:spacing w:val="-1"/>
          <w:sz w:val="20"/>
        </w:rPr>
        <w:t> </w:t>
      </w:r>
      <w:r>
        <w:rPr>
          <w:sz w:val="20"/>
        </w:rPr>
        <w:t>la</w:t>
      </w:r>
      <w:r>
        <w:rPr>
          <w:spacing w:val="-1"/>
          <w:sz w:val="20"/>
        </w:rPr>
        <w:t> </w:t>
      </w:r>
      <w:r>
        <w:rPr>
          <w:sz w:val="20"/>
        </w:rPr>
        <w:t>implementación</w:t>
      </w:r>
      <w:r>
        <w:rPr>
          <w:spacing w:val="-4"/>
          <w:sz w:val="20"/>
        </w:rPr>
        <w:t> </w:t>
      </w:r>
      <w:r>
        <w:rPr>
          <w:sz w:val="20"/>
        </w:rPr>
        <w:t>de</w:t>
      </w:r>
      <w:r>
        <w:rPr>
          <w:spacing w:val="-1"/>
          <w:sz w:val="20"/>
        </w:rPr>
        <w:t> </w:t>
      </w:r>
      <w:r>
        <w:rPr>
          <w:sz w:val="20"/>
        </w:rPr>
        <w:t>las</w:t>
      </w:r>
      <w:r>
        <w:rPr>
          <w:spacing w:val="-2"/>
          <w:sz w:val="20"/>
        </w:rPr>
        <w:t> </w:t>
      </w:r>
      <w:r>
        <w:rPr>
          <w:sz w:val="20"/>
        </w:rPr>
        <w:t>adecuaciones</w:t>
      </w:r>
      <w:r>
        <w:rPr>
          <w:spacing w:val="-2"/>
          <w:sz w:val="20"/>
        </w:rPr>
        <w:t> </w:t>
      </w:r>
      <w:r>
        <w:rPr>
          <w:sz w:val="20"/>
        </w:rPr>
        <w:t>legales y</w:t>
      </w:r>
      <w:r>
        <w:rPr>
          <w:spacing w:val="-6"/>
          <w:sz w:val="20"/>
        </w:rPr>
        <w:t> </w:t>
      </w:r>
      <w:r>
        <w:rPr>
          <w:sz w:val="20"/>
        </w:rPr>
        <w:t>normativas</w:t>
      </w:r>
      <w:r>
        <w:rPr>
          <w:spacing w:val="-2"/>
          <w:sz w:val="20"/>
        </w:rPr>
        <w:t> </w:t>
      </w:r>
      <w:r>
        <w:rPr>
          <w:sz w:val="20"/>
        </w:rPr>
        <w:t>necesarias</w:t>
      </w:r>
      <w:r>
        <w:rPr>
          <w:spacing w:val="-2"/>
          <w:sz w:val="20"/>
        </w:rPr>
        <w:t> </w:t>
      </w:r>
      <w:r>
        <w:rPr>
          <w:sz w:val="20"/>
        </w:rPr>
        <w:t>para cumplir con su objeto;</w:t>
      </w:r>
    </w:p>
    <w:p>
      <w:pPr>
        <w:pStyle w:val="ListParagraph"/>
        <w:numPr>
          <w:ilvl w:val="0"/>
          <w:numId w:val="367"/>
        </w:numPr>
        <w:tabs>
          <w:tab w:pos="989" w:val="left" w:leader="none"/>
        </w:tabs>
        <w:spacing w:line="242" w:lineRule="auto" w:before="224" w:after="0"/>
        <w:ind w:left="338" w:right="344" w:firstLine="288"/>
        <w:jc w:val="both"/>
        <w:rPr>
          <w:sz w:val="20"/>
        </w:rPr>
      </w:pPr>
      <w:r>
        <w:rPr>
          <w:sz w:val="20"/>
        </w:rPr>
        <w:t>Proponer a las instancias correspondientes los cambios organizacionales, la construcción y operación de la infraestructura que se requieran;</w:t>
      </w:r>
    </w:p>
    <w:p>
      <w:pPr>
        <w:pStyle w:val="ListParagraph"/>
        <w:numPr>
          <w:ilvl w:val="0"/>
          <w:numId w:val="367"/>
        </w:numPr>
        <w:tabs>
          <w:tab w:pos="901" w:val="left" w:leader="none"/>
        </w:tabs>
        <w:spacing w:line="242" w:lineRule="auto" w:before="227" w:after="0"/>
        <w:ind w:left="338" w:right="346" w:firstLine="288"/>
        <w:jc w:val="both"/>
        <w:rPr>
          <w:sz w:val="20"/>
        </w:rPr>
      </w:pPr>
      <w:r>
        <w:rPr>
          <w:sz w:val="20"/>
        </w:rPr>
        <w:t>Emitir los lineamientos para la evaluación y seguimiento de las acciones que se deriven de las políticas, programas y mecanismos señaladas en la fracción II de este artículo;</w:t>
      </w:r>
    </w:p>
    <w:p>
      <w:pPr>
        <w:pStyle w:val="ListParagraph"/>
        <w:numPr>
          <w:ilvl w:val="0"/>
          <w:numId w:val="367"/>
        </w:numPr>
        <w:tabs>
          <w:tab w:pos="930" w:val="left" w:leader="none"/>
        </w:tabs>
        <w:spacing w:line="242" w:lineRule="auto" w:before="224" w:after="0"/>
        <w:ind w:left="338" w:right="338" w:firstLine="288"/>
        <w:jc w:val="both"/>
        <w:rPr>
          <w:sz w:val="20"/>
        </w:rPr>
      </w:pPr>
      <w:r>
        <w:rPr>
          <w:sz w:val="20"/>
        </w:rPr>
        <w:t>Auxiliar en la elaboración de los programas de capacitación y difusión sobre el Sistema de Justicia Laboral dirigidos a jueces, procuradores del trabajo, defensores y asesores públicos, conciliadores, peritos, abogados, servidores públicos involucrados, representantes de trabajadores y empleadores, instituciones educativas, así como a la sociedad en general;</w:t>
      </w:r>
    </w:p>
    <w:p>
      <w:pPr>
        <w:pStyle w:val="ListParagraph"/>
        <w:spacing w:after="0" w:line="242" w:lineRule="auto"/>
        <w:jc w:val="both"/>
        <w:rPr>
          <w:sz w:val="20"/>
        </w:rPr>
        <w:sectPr>
          <w:pgSz w:w="12240" w:h="15840"/>
          <w:pgMar w:header="724" w:footer="712" w:top="1880" w:bottom="900" w:left="1080" w:right="1080"/>
        </w:sectPr>
      </w:pPr>
    </w:p>
    <w:p>
      <w:pPr>
        <w:pStyle w:val="BodyText"/>
        <w:spacing w:before="63"/>
      </w:pPr>
    </w:p>
    <w:p>
      <w:pPr>
        <w:pStyle w:val="ListParagraph"/>
        <w:numPr>
          <w:ilvl w:val="0"/>
          <w:numId w:val="367"/>
        </w:numPr>
        <w:tabs>
          <w:tab w:pos="1014" w:val="left" w:leader="none"/>
        </w:tabs>
        <w:spacing w:line="242" w:lineRule="auto" w:before="0" w:after="0"/>
        <w:ind w:left="338" w:right="335" w:firstLine="288"/>
        <w:jc w:val="both"/>
        <w:rPr>
          <w:sz w:val="20"/>
        </w:rPr>
      </w:pPr>
      <w:r>
        <w:rPr>
          <w:sz w:val="20"/>
        </w:rPr>
        <w:t>Coadyuvar con el Congreso de la Unión, las Legislaturas de las Entidades Federativas, en el seguimiento y evaluación de los recursos presupuestales ejercidos en la implementación y operación del Sistema de Justicia Laboral;</w:t>
      </w:r>
    </w:p>
    <w:p>
      <w:pPr>
        <w:pStyle w:val="ListParagraph"/>
        <w:numPr>
          <w:ilvl w:val="0"/>
          <w:numId w:val="367"/>
        </w:numPr>
        <w:tabs>
          <w:tab w:pos="1037" w:val="left" w:leader="none"/>
        </w:tabs>
        <w:spacing w:line="240" w:lineRule="auto" w:before="225" w:after="0"/>
        <w:ind w:left="338" w:right="331" w:firstLine="288"/>
        <w:jc w:val="both"/>
        <w:rPr>
          <w:sz w:val="20"/>
        </w:rPr>
      </w:pPr>
      <w:r>
        <w:rPr>
          <w:sz w:val="20"/>
        </w:rPr>
        <w:t>Elaborar los criterios</w:t>
      </w:r>
      <w:r>
        <w:rPr>
          <w:spacing w:val="-1"/>
          <w:sz w:val="20"/>
        </w:rPr>
        <w:t> </w:t>
      </w:r>
      <w:r>
        <w:rPr>
          <w:sz w:val="20"/>
        </w:rPr>
        <w:t>para la</w:t>
      </w:r>
      <w:r>
        <w:rPr>
          <w:spacing w:val="-2"/>
          <w:sz w:val="20"/>
        </w:rPr>
        <w:t> </w:t>
      </w:r>
      <w:r>
        <w:rPr>
          <w:sz w:val="20"/>
        </w:rPr>
        <w:t>suscripción de</w:t>
      </w:r>
      <w:r>
        <w:rPr>
          <w:spacing w:val="-2"/>
          <w:sz w:val="20"/>
        </w:rPr>
        <w:t> </w:t>
      </w:r>
      <w:r>
        <w:rPr>
          <w:sz w:val="20"/>
        </w:rPr>
        <w:t>convenios de colaboración interinstitucional; así como los acuerdos de coordinación con los gobiernos de las Entidades Federativas y de cooperación </w:t>
      </w:r>
      <w:r>
        <w:rPr>
          <w:spacing w:val="-2"/>
          <w:sz w:val="20"/>
        </w:rPr>
        <w:t>internacional;</w:t>
      </w:r>
    </w:p>
    <w:p>
      <w:pPr>
        <w:pStyle w:val="ListParagraph"/>
        <w:numPr>
          <w:ilvl w:val="0"/>
          <w:numId w:val="367"/>
        </w:numPr>
        <w:tabs>
          <w:tab w:pos="925" w:val="left" w:leader="none"/>
        </w:tabs>
        <w:spacing w:line="240" w:lineRule="auto" w:before="229" w:after="0"/>
        <w:ind w:left="925" w:right="0" w:hanging="299"/>
        <w:jc w:val="left"/>
        <w:rPr>
          <w:sz w:val="20"/>
        </w:rPr>
      </w:pPr>
      <w:r>
        <w:rPr>
          <w:sz w:val="20"/>
        </w:rPr>
        <w:t>Analizar</w:t>
      </w:r>
      <w:r>
        <w:rPr>
          <w:spacing w:val="-5"/>
          <w:sz w:val="20"/>
        </w:rPr>
        <w:t> </w:t>
      </w:r>
      <w:r>
        <w:rPr>
          <w:sz w:val="20"/>
        </w:rPr>
        <w:t>los</w:t>
      </w:r>
      <w:r>
        <w:rPr>
          <w:spacing w:val="-6"/>
          <w:sz w:val="20"/>
        </w:rPr>
        <w:t> </w:t>
      </w:r>
      <w:r>
        <w:rPr>
          <w:sz w:val="20"/>
        </w:rPr>
        <w:t>informes</w:t>
      </w:r>
      <w:r>
        <w:rPr>
          <w:spacing w:val="-5"/>
          <w:sz w:val="20"/>
        </w:rPr>
        <w:t> </w:t>
      </w:r>
      <w:r>
        <w:rPr>
          <w:sz w:val="20"/>
        </w:rPr>
        <w:t>que</w:t>
      </w:r>
      <w:r>
        <w:rPr>
          <w:spacing w:val="-7"/>
          <w:sz w:val="20"/>
        </w:rPr>
        <w:t> </w:t>
      </w:r>
      <w:r>
        <w:rPr>
          <w:sz w:val="20"/>
        </w:rPr>
        <w:t>le</w:t>
      </w:r>
      <w:r>
        <w:rPr>
          <w:spacing w:val="-5"/>
          <w:sz w:val="20"/>
        </w:rPr>
        <w:t> </w:t>
      </w:r>
      <w:r>
        <w:rPr>
          <w:sz w:val="20"/>
        </w:rPr>
        <w:t>remita</w:t>
      </w:r>
      <w:r>
        <w:rPr>
          <w:spacing w:val="-8"/>
          <w:sz w:val="20"/>
        </w:rPr>
        <w:t> </w:t>
      </w:r>
      <w:r>
        <w:rPr>
          <w:sz w:val="20"/>
        </w:rPr>
        <w:t>la</w:t>
      </w:r>
      <w:r>
        <w:rPr>
          <w:spacing w:val="-5"/>
          <w:sz w:val="20"/>
        </w:rPr>
        <w:t> </w:t>
      </w:r>
      <w:r>
        <w:rPr>
          <w:sz w:val="20"/>
        </w:rPr>
        <w:t>Secretaría</w:t>
      </w:r>
      <w:r>
        <w:rPr>
          <w:spacing w:val="-7"/>
          <w:sz w:val="20"/>
        </w:rPr>
        <w:t> </w:t>
      </w:r>
      <w:r>
        <w:rPr>
          <w:sz w:val="20"/>
        </w:rPr>
        <w:t>Técnica</w:t>
      </w:r>
      <w:r>
        <w:rPr>
          <w:spacing w:val="-7"/>
          <w:sz w:val="20"/>
        </w:rPr>
        <w:t> </w:t>
      </w:r>
      <w:r>
        <w:rPr>
          <w:sz w:val="20"/>
        </w:rPr>
        <w:t>sobre</w:t>
      </w:r>
      <w:r>
        <w:rPr>
          <w:spacing w:val="-5"/>
          <w:sz w:val="20"/>
        </w:rPr>
        <w:t> </w:t>
      </w:r>
      <w:r>
        <w:rPr>
          <w:sz w:val="20"/>
        </w:rPr>
        <w:t>los</w:t>
      </w:r>
      <w:r>
        <w:rPr>
          <w:spacing w:val="-6"/>
          <w:sz w:val="20"/>
        </w:rPr>
        <w:t> </w:t>
      </w:r>
      <w:r>
        <w:rPr>
          <w:sz w:val="20"/>
        </w:rPr>
        <w:t>avances</w:t>
      </w:r>
      <w:r>
        <w:rPr>
          <w:spacing w:val="-6"/>
          <w:sz w:val="20"/>
        </w:rPr>
        <w:t> </w:t>
      </w:r>
      <w:r>
        <w:rPr>
          <w:sz w:val="20"/>
        </w:rPr>
        <w:t>de</w:t>
      </w:r>
      <w:r>
        <w:rPr>
          <w:spacing w:val="-5"/>
          <w:sz w:val="20"/>
        </w:rPr>
        <w:t> </w:t>
      </w:r>
      <w:r>
        <w:rPr>
          <w:sz w:val="20"/>
        </w:rPr>
        <w:t>sus</w:t>
      </w:r>
      <w:r>
        <w:rPr>
          <w:spacing w:val="-6"/>
          <w:sz w:val="20"/>
        </w:rPr>
        <w:t> </w:t>
      </w:r>
      <w:r>
        <w:rPr>
          <w:spacing w:val="-2"/>
          <w:sz w:val="20"/>
        </w:rPr>
        <w:t>actividades;</w:t>
      </w:r>
    </w:p>
    <w:p>
      <w:pPr>
        <w:pStyle w:val="BodyText"/>
        <w:spacing w:before="1"/>
      </w:pPr>
    </w:p>
    <w:p>
      <w:pPr>
        <w:pStyle w:val="ListParagraph"/>
        <w:numPr>
          <w:ilvl w:val="0"/>
          <w:numId w:val="367"/>
        </w:numPr>
        <w:tabs>
          <w:tab w:pos="896" w:val="left" w:leader="none"/>
        </w:tabs>
        <w:spacing w:line="242" w:lineRule="auto" w:before="0" w:after="0"/>
        <w:ind w:left="338" w:right="339" w:firstLine="288"/>
        <w:jc w:val="both"/>
        <w:rPr>
          <w:sz w:val="20"/>
        </w:rPr>
      </w:pPr>
      <w:r>
        <w:rPr>
          <w:sz w:val="20"/>
        </w:rPr>
        <w:t>Interpretar las disposiciones del presente artículo y su alcance jurídico, así como desahogar las consultas que se susciten con motivo de su aplicación, y</w:t>
      </w:r>
    </w:p>
    <w:p>
      <w:pPr>
        <w:pStyle w:val="ListParagraph"/>
        <w:numPr>
          <w:ilvl w:val="0"/>
          <w:numId w:val="367"/>
        </w:numPr>
        <w:tabs>
          <w:tab w:pos="923" w:val="left" w:leader="none"/>
        </w:tabs>
        <w:spacing w:line="240" w:lineRule="auto" w:before="225" w:after="0"/>
        <w:ind w:left="923" w:right="0" w:hanging="297"/>
        <w:jc w:val="left"/>
        <w:rPr>
          <w:sz w:val="20"/>
        </w:rPr>
      </w:pPr>
      <w:r>
        <w:rPr>
          <w:sz w:val="20"/>
        </w:rPr>
        <w:t>Las</w:t>
      </w:r>
      <w:r>
        <w:rPr>
          <w:spacing w:val="-5"/>
          <w:sz w:val="20"/>
        </w:rPr>
        <w:t> </w:t>
      </w:r>
      <w:r>
        <w:rPr>
          <w:sz w:val="20"/>
        </w:rPr>
        <w:t>demás</w:t>
      </w:r>
      <w:r>
        <w:rPr>
          <w:spacing w:val="-5"/>
          <w:sz w:val="20"/>
        </w:rPr>
        <w:t> </w:t>
      </w:r>
      <w:r>
        <w:rPr>
          <w:sz w:val="20"/>
        </w:rPr>
        <w:t>que</w:t>
      </w:r>
      <w:r>
        <w:rPr>
          <w:spacing w:val="-6"/>
          <w:sz w:val="20"/>
        </w:rPr>
        <w:t> </w:t>
      </w:r>
      <w:r>
        <w:rPr>
          <w:sz w:val="20"/>
        </w:rPr>
        <w:t>se</w:t>
      </w:r>
      <w:r>
        <w:rPr>
          <w:spacing w:val="-6"/>
          <w:sz w:val="20"/>
        </w:rPr>
        <w:t> </w:t>
      </w:r>
      <w:r>
        <w:rPr>
          <w:sz w:val="20"/>
        </w:rPr>
        <w:t>requieran</w:t>
      </w:r>
      <w:r>
        <w:rPr>
          <w:spacing w:val="-6"/>
          <w:sz w:val="20"/>
        </w:rPr>
        <w:t> </w:t>
      </w:r>
      <w:r>
        <w:rPr>
          <w:sz w:val="20"/>
        </w:rPr>
        <w:t>para</w:t>
      </w:r>
      <w:r>
        <w:rPr>
          <w:spacing w:val="-6"/>
          <w:sz w:val="20"/>
        </w:rPr>
        <w:t> </w:t>
      </w:r>
      <w:r>
        <w:rPr>
          <w:sz w:val="20"/>
        </w:rPr>
        <w:t>el</w:t>
      </w:r>
      <w:r>
        <w:rPr>
          <w:spacing w:val="-7"/>
          <w:sz w:val="20"/>
        </w:rPr>
        <w:t> </w:t>
      </w:r>
      <w:r>
        <w:rPr>
          <w:sz w:val="20"/>
        </w:rPr>
        <w:t>cumplimiento</w:t>
      </w:r>
      <w:r>
        <w:rPr>
          <w:spacing w:val="-4"/>
          <w:sz w:val="20"/>
        </w:rPr>
        <w:t> </w:t>
      </w:r>
      <w:r>
        <w:rPr>
          <w:sz w:val="20"/>
        </w:rPr>
        <w:t>de</w:t>
      </w:r>
      <w:r>
        <w:rPr>
          <w:spacing w:val="-6"/>
          <w:sz w:val="20"/>
        </w:rPr>
        <w:t> </w:t>
      </w:r>
      <w:r>
        <w:rPr>
          <w:sz w:val="20"/>
        </w:rPr>
        <w:t>su</w:t>
      </w:r>
      <w:r>
        <w:rPr>
          <w:spacing w:val="-6"/>
          <w:sz w:val="20"/>
        </w:rPr>
        <w:t> </w:t>
      </w:r>
      <w:r>
        <w:rPr>
          <w:spacing w:val="-2"/>
          <w:sz w:val="20"/>
        </w:rPr>
        <w:t>objeto.</w:t>
      </w:r>
    </w:p>
    <w:p>
      <w:pPr>
        <w:pStyle w:val="BodyText"/>
        <w:spacing w:before="3"/>
      </w:pPr>
    </w:p>
    <w:p>
      <w:pPr>
        <w:pStyle w:val="BodyText"/>
        <w:ind w:left="338" w:right="337" w:firstLine="288"/>
        <w:jc w:val="both"/>
      </w:pPr>
      <w:r>
        <w:rPr/>
        <w:t>El Consejo contará con una Secretaría Técnica, sectorizado a la Secretaría del Trabajo y Previsión Social, la cual deberá operar y ejecutar los acuerdos y determinaciones que tome el Consejo, así como coadyuvar y brindar el apoyo que requieran las autoridades e instancias correspondientes para la implementación del Sistema de Justicia Laboral. Dicha Secretaría Técnica estará a cargo de un servidor público con nivel de Titular de Unidad, nombrado y, en su caso, removido por la persona titular de la Secretaría de Trabajo y Previsión Social.</w:t>
      </w:r>
    </w:p>
    <w:p>
      <w:pPr>
        <w:pStyle w:val="BodyText"/>
      </w:pPr>
    </w:p>
    <w:p>
      <w:pPr>
        <w:pStyle w:val="BodyText"/>
        <w:ind w:left="338" w:right="342" w:firstLine="288"/>
        <w:jc w:val="both"/>
      </w:pPr>
      <w:r>
        <w:rPr/>
        <w:t>Dentro de los cuarenta y cinco días posteriores a la entrada en vigor del presente Decreto, la Secretaría del Trabajo y Previsión Social emitirá los lineamientos de operación y la convocatoria para la primera sesión de este Consejo.</w:t>
      </w:r>
    </w:p>
    <w:p>
      <w:pPr>
        <w:pStyle w:val="BodyText"/>
        <w:spacing w:line="242" w:lineRule="auto" w:before="227"/>
        <w:ind w:left="338" w:right="339" w:firstLine="288"/>
        <w:jc w:val="both"/>
      </w:pPr>
      <w:r>
        <w:rPr>
          <w:rFonts w:ascii="Arial" w:hAnsi="Arial"/>
          <w:b/>
        </w:rPr>
        <w:t>Décimo Octavo. Abatimiento del Rezago. </w:t>
      </w:r>
      <w:r>
        <w:rPr/>
        <w:t>Los organismos y entidades públicas deberán establecer instancias internas de conciliación para concluir el rezago de juicios tramitados ante las Juntas de Conciliación y Arbitraje.</w:t>
      </w:r>
    </w:p>
    <w:p>
      <w:pPr>
        <w:spacing w:line="242" w:lineRule="auto" w:before="223"/>
        <w:ind w:left="338" w:right="333" w:firstLine="288"/>
        <w:jc w:val="both"/>
        <w:rPr>
          <w:sz w:val="20"/>
        </w:rPr>
      </w:pPr>
      <w:r>
        <w:rPr>
          <w:rFonts w:ascii="Arial" w:hAnsi="Arial"/>
          <w:b/>
          <w:sz w:val="20"/>
        </w:rPr>
        <w:t>Décimo Noveno. Disposiciones para la conclusión de conflictos de seguridad social. </w:t>
      </w:r>
      <w:r>
        <w:rPr>
          <w:sz w:val="20"/>
        </w:rPr>
        <w:t>Los institutos de</w:t>
      </w:r>
      <w:r>
        <w:rPr>
          <w:spacing w:val="-1"/>
          <w:sz w:val="20"/>
        </w:rPr>
        <w:t> </w:t>
      </w:r>
      <w:r>
        <w:rPr>
          <w:sz w:val="20"/>
        </w:rPr>
        <w:t>seguridad</w:t>
      </w:r>
      <w:r>
        <w:rPr>
          <w:spacing w:val="-1"/>
          <w:sz w:val="20"/>
        </w:rPr>
        <w:t> </w:t>
      </w:r>
      <w:r>
        <w:rPr>
          <w:sz w:val="20"/>
        </w:rPr>
        <w:t>social</w:t>
      </w:r>
      <w:r>
        <w:rPr>
          <w:spacing w:val="-2"/>
          <w:sz w:val="20"/>
        </w:rPr>
        <w:t> </w:t>
      </w:r>
      <w:r>
        <w:rPr>
          <w:sz w:val="20"/>
        </w:rPr>
        <w:t>deberán</w:t>
      </w:r>
      <w:r>
        <w:rPr>
          <w:spacing w:val="-1"/>
          <w:sz w:val="20"/>
        </w:rPr>
        <w:t> </w:t>
      </w:r>
      <w:r>
        <w:rPr>
          <w:sz w:val="20"/>
        </w:rPr>
        <w:t>adoptar las disposiciones administrativas necesarias para instaurar instancias internas para la autocomposición en los conflictos individuales de seguridad social a que se refiere el presente Decreto.</w:t>
      </w:r>
    </w:p>
    <w:p>
      <w:pPr>
        <w:pStyle w:val="BodyText"/>
        <w:spacing w:before="220"/>
        <w:ind w:left="338" w:right="337" w:firstLine="288"/>
        <w:jc w:val="both"/>
      </w:pPr>
      <w:r>
        <w:rPr>
          <w:rFonts w:ascii="Arial" w:hAnsi="Arial"/>
          <w:b/>
        </w:rPr>
        <w:t>Vigésimo. Protección de derechos de los Trabajadores. </w:t>
      </w:r>
      <w:r>
        <w:rPr/>
        <w:t>Los derechos laborales de las y los trabajadores de las instituciones que se vean involucradas en esta transición deberán ser respetados en su totalidad. Las autoridades llevarán a cabo todas las acciones de carácter administrativo para</w:t>
      </w:r>
      <w:r>
        <w:rPr>
          <w:spacing w:val="40"/>
        </w:rPr>
        <w:t> </w:t>
      </w:r>
      <w:r>
        <w:rPr/>
        <w:t>garantizar que se protejan y conserven los derechos de seguridad social, de acuerdo con las leyes </w:t>
      </w:r>
      <w:r>
        <w:rPr>
          <w:spacing w:val="-2"/>
        </w:rPr>
        <w:t>aplicables.</w:t>
      </w:r>
    </w:p>
    <w:p>
      <w:pPr>
        <w:pStyle w:val="BodyText"/>
      </w:pPr>
    </w:p>
    <w:p>
      <w:pPr>
        <w:pStyle w:val="BodyText"/>
        <w:spacing w:line="242" w:lineRule="auto" w:before="1"/>
        <w:ind w:left="338" w:right="334" w:firstLine="288"/>
        <w:jc w:val="both"/>
      </w:pPr>
      <w:r>
        <w:rPr>
          <w:rFonts w:ascii="Arial" w:hAnsi="Arial"/>
          <w:b/>
        </w:rPr>
        <w:t>Vigésimo Primero. Implementación de Tecnologías de la Información. </w:t>
      </w:r>
      <w:r>
        <w:rPr/>
        <w:t>Los Tribunales, así como los Centros de Conciliación a que hace referencia este Decreto, deberán contar con los sistemas electrónicos para garantizar que los procedimientos a su cargo sean ágiles y efectivos. Asímismo, deberán crear las plataformas electrónicas que albergarán los buzones electrónicos y las aplicaciones digitales necesarios para operar la conectividad por medios electrónicos con las autoridades laborales.</w:t>
      </w:r>
    </w:p>
    <w:p>
      <w:pPr>
        <w:spacing w:line="242" w:lineRule="auto" w:before="219"/>
        <w:ind w:left="338" w:right="340" w:firstLine="288"/>
        <w:jc w:val="both"/>
        <w:rPr>
          <w:sz w:val="20"/>
        </w:rPr>
      </w:pPr>
      <w:r>
        <w:rPr>
          <w:rFonts w:ascii="Arial" w:hAnsi="Arial"/>
          <w:b/>
          <w:sz w:val="20"/>
        </w:rPr>
        <w:t>Vigésimo Segundo. Plazo para el cumplimiento de lo dispuesto en los artículos 390 Bis y 390 Ter. </w:t>
      </w:r>
      <w:r>
        <w:rPr>
          <w:sz w:val="20"/>
        </w:rPr>
        <w:t>Las organizaciones sindicales tendrán un plazo máximo de un año a partir de la entrada en vigor del presente Decreto, para adecuar sus procedimientos de consulta a las normas establecidos en los artículos 390 Bis y 390 Ter de la Ley Federal del Trabajo.</w:t>
      </w:r>
    </w:p>
    <w:p>
      <w:pPr>
        <w:spacing w:after="0" w:line="242" w:lineRule="auto"/>
        <w:jc w:val="both"/>
        <w:rPr>
          <w:sz w:val="20"/>
        </w:rPr>
        <w:sectPr>
          <w:pgSz w:w="12240" w:h="15840"/>
          <w:pgMar w:header="724" w:footer="712" w:top="1880" w:bottom="900" w:left="1080" w:right="1080"/>
        </w:sectPr>
      </w:pPr>
    </w:p>
    <w:p>
      <w:pPr>
        <w:pStyle w:val="BodyText"/>
        <w:spacing w:before="63"/>
      </w:pPr>
    </w:p>
    <w:p>
      <w:pPr>
        <w:pStyle w:val="BodyText"/>
        <w:ind w:left="338" w:right="337" w:firstLine="288"/>
        <w:jc w:val="both"/>
      </w:pPr>
      <w:r>
        <w:rPr>
          <w:rFonts w:ascii="Arial" w:hAnsi="Arial"/>
          <w:b/>
        </w:rPr>
        <w:t>Vigésimo Tercero. Adecuación de los estatutos sindicales. </w:t>
      </w:r>
      <w:r>
        <w:rPr/>
        <w:t>Las disposiciones previstas en el artículo 371 de la Ley Federal del Trabajo para la elección de las directivas sindicales mediante el voto personal libre, directo y secreto de los trabajadores, iniciarán su vigencia en un plazo de doscientos cuarenta días a partir de la entrada en vigor del presente Decreto. Asímismo, dentro del mismo plazo las organizaciones sindicales deberán adecuar sus estatutos a las disposiciones previstas en dicho artículo y demás aplicables de la citada Ley.</w:t>
      </w:r>
    </w:p>
    <w:p>
      <w:pPr>
        <w:pStyle w:val="BodyText"/>
      </w:pPr>
    </w:p>
    <w:p>
      <w:pPr>
        <w:pStyle w:val="BodyText"/>
        <w:ind w:left="338" w:right="334" w:firstLine="288"/>
        <w:jc w:val="both"/>
      </w:pPr>
      <w:r>
        <w:rPr>
          <w:rFonts w:ascii="Arial" w:hAnsi="Arial"/>
          <w:b/>
        </w:rPr>
        <w:t>Vigésimo Cuarto. Declaratoria de la Cámara de Senadores y de los Congresos Locales. </w:t>
      </w:r>
      <w:r>
        <w:rPr/>
        <w:t>Los Tribunales del Poder Judicial de la Federación y el Centro Federal de Conciliación y Registro Laboral entrarán en funciones en cada entidad federativa una vez que la Cámara de Senadores emita la declaratoria correspondiente. Los Tribunales Locales y los Centros de Conciliación locales entrarán en funciones una vez que las respectiva Legislatura Local haga la declaratoria correspondiente.</w:t>
      </w:r>
    </w:p>
    <w:p>
      <w:pPr>
        <w:pStyle w:val="BodyText"/>
        <w:spacing w:before="3"/>
      </w:pPr>
    </w:p>
    <w:p>
      <w:pPr>
        <w:pStyle w:val="BodyText"/>
        <w:spacing w:before="1"/>
        <w:ind w:left="626"/>
      </w:pPr>
      <w:r>
        <w:rPr/>
        <w:t>Lo</w:t>
      </w:r>
      <w:r>
        <w:rPr>
          <w:spacing w:val="-8"/>
        </w:rPr>
        <w:t> </w:t>
      </w:r>
      <w:r>
        <w:rPr/>
        <w:t>anterior</w:t>
      </w:r>
      <w:r>
        <w:rPr>
          <w:spacing w:val="-7"/>
        </w:rPr>
        <w:t> </w:t>
      </w:r>
      <w:r>
        <w:rPr/>
        <w:t>deberá</w:t>
      </w:r>
      <w:r>
        <w:rPr>
          <w:spacing w:val="-5"/>
        </w:rPr>
        <w:t> </w:t>
      </w:r>
      <w:r>
        <w:rPr/>
        <w:t>publicarse</w:t>
      </w:r>
      <w:r>
        <w:rPr>
          <w:spacing w:val="-7"/>
        </w:rPr>
        <w:t> </w:t>
      </w:r>
      <w:r>
        <w:rPr/>
        <w:t>en</w:t>
      </w:r>
      <w:r>
        <w:rPr>
          <w:spacing w:val="-4"/>
        </w:rPr>
        <w:t> </w:t>
      </w:r>
      <w:r>
        <w:rPr/>
        <w:t>los</w:t>
      </w:r>
      <w:r>
        <w:rPr>
          <w:spacing w:val="-6"/>
        </w:rPr>
        <w:t> </w:t>
      </w:r>
      <w:r>
        <w:rPr/>
        <w:t>medios</w:t>
      </w:r>
      <w:r>
        <w:rPr>
          <w:spacing w:val="-6"/>
        </w:rPr>
        <w:t> </w:t>
      </w:r>
      <w:r>
        <w:rPr/>
        <w:t>de</w:t>
      </w:r>
      <w:r>
        <w:rPr>
          <w:spacing w:val="-6"/>
        </w:rPr>
        <w:t> </w:t>
      </w:r>
      <w:r>
        <w:rPr/>
        <w:t>difusión</w:t>
      </w:r>
      <w:r>
        <w:rPr>
          <w:spacing w:val="-7"/>
        </w:rPr>
        <w:t> </w:t>
      </w:r>
      <w:r>
        <w:rPr/>
        <w:t>oficial</w:t>
      </w:r>
      <w:r>
        <w:rPr>
          <w:spacing w:val="-7"/>
        </w:rPr>
        <w:t> </w:t>
      </w:r>
      <w:r>
        <w:rPr>
          <w:spacing w:val="-2"/>
        </w:rPr>
        <w:t>correspondientes.</w:t>
      </w:r>
    </w:p>
    <w:p>
      <w:pPr>
        <w:pStyle w:val="BodyText"/>
        <w:spacing w:before="228"/>
        <w:ind w:left="338" w:right="339" w:firstLine="288"/>
        <w:jc w:val="both"/>
      </w:pPr>
      <w:r>
        <w:rPr>
          <w:rFonts w:ascii="Arial" w:hAnsi="Arial"/>
          <w:b/>
        </w:rPr>
        <w:t>Vigésimo Quinto. Personas trabajadoras del hogar. </w:t>
      </w:r>
      <w:r>
        <w:rPr/>
        <w:t>La fracción IV del artículo 337 del presente Decreto en materia de trabajo del hogar iniciará su vigencia una vez que se aprueben y entren en vigor las adecuaciones normativas necesarias para la incorporación formal de las personas trabajadoras del hogar en el régimen obligatorio de seguridad social, conforme a la resolución del Amparo Directo 9/2018 (relacionado</w:t>
      </w:r>
      <w:r>
        <w:rPr>
          <w:spacing w:val="-3"/>
        </w:rPr>
        <w:t> </w:t>
      </w:r>
      <w:r>
        <w:rPr/>
        <w:t>con</w:t>
      </w:r>
      <w:r>
        <w:rPr>
          <w:spacing w:val="-1"/>
        </w:rPr>
        <w:t> </w:t>
      </w:r>
      <w:r>
        <w:rPr/>
        <w:t>el</w:t>
      </w:r>
      <w:r>
        <w:rPr>
          <w:spacing w:val="-2"/>
        </w:rPr>
        <w:t> </w:t>
      </w:r>
      <w:r>
        <w:rPr/>
        <w:t>Amparo</w:t>
      </w:r>
      <w:r>
        <w:rPr>
          <w:spacing w:val="-3"/>
        </w:rPr>
        <w:t> </w:t>
      </w:r>
      <w:r>
        <w:rPr/>
        <w:t>Directo</w:t>
      </w:r>
      <w:r>
        <w:rPr>
          <w:spacing w:val="-1"/>
        </w:rPr>
        <w:t> </w:t>
      </w:r>
      <w:r>
        <w:rPr/>
        <w:t>8/2018),</w:t>
      </w:r>
      <w:r>
        <w:rPr>
          <w:spacing w:val="-3"/>
        </w:rPr>
        <w:t> </w:t>
      </w:r>
      <w:r>
        <w:rPr/>
        <w:t>emitido</w:t>
      </w:r>
      <w:r>
        <w:rPr>
          <w:spacing w:val="-3"/>
        </w:rPr>
        <w:t> </w:t>
      </w:r>
      <w:r>
        <w:rPr/>
        <w:t>por</w:t>
      </w:r>
      <w:r>
        <w:rPr>
          <w:spacing w:val="-3"/>
        </w:rPr>
        <w:t> </w:t>
      </w:r>
      <w:r>
        <w:rPr/>
        <w:t>la</w:t>
      </w:r>
      <w:r>
        <w:rPr>
          <w:spacing w:val="-1"/>
        </w:rPr>
        <w:t> </w:t>
      </w:r>
      <w:r>
        <w:rPr/>
        <w:t>Segunda</w:t>
      </w:r>
      <w:r>
        <w:rPr>
          <w:spacing w:val="-1"/>
        </w:rPr>
        <w:t> </w:t>
      </w:r>
      <w:r>
        <w:rPr/>
        <w:t>Sala</w:t>
      </w:r>
      <w:r>
        <w:rPr>
          <w:spacing w:val="-3"/>
        </w:rPr>
        <w:t> </w:t>
      </w:r>
      <w:r>
        <w:rPr/>
        <w:t>de</w:t>
      </w:r>
      <w:r>
        <w:rPr>
          <w:spacing w:val="-1"/>
        </w:rPr>
        <w:t> </w:t>
      </w:r>
      <w:r>
        <w:rPr/>
        <w:t>la</w:t>
      </w:r>
      <w:r>
        <w:rPr>
          <w:spacing w:val="-1"/>
        </w:rPr>
        <w:t> </w:t>
      </w:r>
      <w:r>
        <w:rPr/>
        <w:t>Suprema</w:t>
      </w:r>
      <w:r>
        <w:rPr>
          <w:spacing w:val="-3"/>
        </w:rPr>
        <w:t> </w:t>
      </w:r>
      <w:r>
        <w:rPr/>
        <w:t>Corte</w:t>
      </w:r>
      <w:r>
        <w:rPr>
          <w:spacing w:val="-1"/>
        </w:rPr>
        <w:t> </w:t>
      </w:r>
      <w:r>
        <w:rPr/>
        <w:t>de</w:t>
      </w:r>
      <w:r>
        <w:rPr>
          <w:spacing w:val="-4"/>
        </w:rPr>
        <w:t> </w:t>
      </w:r>
      <w:r>
        <w:rPr/>
        <w:t>Justicia de la Nación. Aquellos trabajadores del hogar que se encuentren inscritos ante el Instituto Mexicano del Seguro Social no les será aplicable los artículos 338 y 339 de esta Ley.</w:t>
      </w:r>
    </w:p>
    <w:p>
      <w:pPr>
        <w:spacing w:line="242" w:lineRule="auto" w:before="229"/>
        <w:ind w:left="338" w:right="334" w:firstLine="288"/>
        <w:jc w:val="both"/>
        <w:rPr>
          <w:sz w:val="20"/>
        </w:rPr>
      </w:pPr>
      <w:r>
        <w:rPr>
          <w:rFonts w:ascii="Arial" w:hAnsi="Arial"/>
          <w:b/>
          <w:sz w:val="20"/>
        </w:rPr>
        <w:t>Vigésimo Sexto. Plataforma en materia de seguridad social para consulta del Tribunal. </w:t>
      </w:r>
      <w:r>
        <w:rPr>
          <w:sz w:val="20"/>
        </w:rPr>
        <w:t>La plataforma informática a que hace referencia el artículo 899-E será operada por las instituciones públicas de seguridad social correspondientes.</w:t>
      </w:r>
    </w:p>
    <w:p>
      <w:pPr>
        <w:pStyle w:val="BodyText"/>
        <w:spacing w:before="227"/>
        <w:ind w:left="338" w:right="336" w:firstLine="288"/>
        <w:jc w:val="both"/>
      </w:pPr>
      <w:r>
        <w:rPr/>
        <w:t>Las bases de datos pertenecientes a cada institución estarán vinculadas entre sí y deberán concentrarse en dicha plataforma para consulta inmediata del Tribunal que lo requiera. Las instituciones de seguridad social y los Poderes Judiciales federales y locales suscribirán los acuerdos de colaboración necesarios para la adecuada operación de la plataforma, así como para la protección de los datos personales que concentre.</w:t>
      </w:r>
    </w:p>
    <w:p>
      <w:pPr>
        <w:pStyle w:val="BodyText"/>
      </w:pPr>
    </w:p>
    <w:p>
      <w:pPr>
        <w:pStyle w:val="BodyText"/>
        <w:ind w:left="338" w:right="346" w:firstLine="288"/>
        <w:jc w:val="both"/>
      </w:pPr>
      <w:r>
        <w:rPr/>
        <w:t>La información contenida en la plataforma deberá estar actualizada y debidamente registrada por</w:t>
      </w:r>
      <w:r>
        <w:rPr>
          <w:spacing w:val="40"/>
        </w:rPr>
        <w:t> </w:t>
      </w:r>
      <w:r>
        <w:rPr/>
        <w:t>cada institución de seguridad social.</w:t>
      </w:r>
    </w:p>
    <w:p>
      <w:pPr>
        <w:pStyle w:val="BodyText"/>
        <w:spacing w:before="229"/>
        <w:ind w:left="338" w:right="343" w:firstLine="288"/>
        <w:jc w:val="both"/>
      </w:pPr>
      <w:r>
        <w:rPr/>
        <w:t>La plataforma deberá entrar en operación en un plazo no mayor a dos años posteriores a la entrada</w:t>
      </w:r>
      <w:r>
        <w:rPr>
          <w:spacing w:val="40"/>
        </w:rPr>
        <w:t> </w:t>
      </w:r>
      <w:r>
        <w:rPr/>
        <w:t>en vigor del presente</w:t>
      </w:r>
      <w:r>
        <w:rPr>
          <w:spacing w:val="-1"/>
        </w:rPr>
        <w:t> </w:t>
      </w:r>
      <w:r>
        <w:rPr/>
        <w:t>Decreto, por lo que las</w:t>
      </w:r>
      <w:r>
        <w:rPr>
          <w:spacing w:val="-1"/>
        </w:rPr>
        <w:t> </w:t>
      </w:r>
      <w:r>
        <w:rPr/>
        <w:t>instituciones</w:t>
      </w:r>
      <w:r>
        <w:rPr>
          <w:spacing w:val="-1"/>
        </w:rPr>
        <w:t> </w:t>
      </w:r>
      <w:r>
        <w:rPr/>
        <w:t>de</w:t>
      </w:r>
      <w:r>
        <w:rPr>
          <w:spacing w:val="-1"/>
        </w:rPr>
        <w:t> </w:t>
      </w:r>
      <w:r>
        <w:rPr/>
        <w:t>seguridad social deberán tomar</w:t>
      </w:r>
      <w:r>
        <w:rPr>
          <w:spacing w:val="-1"/>
        </w:rPr>
        <w:t> </w:t>
      </w:r>
      <w:r>
        <w:rPr/>
        <w:t>las</w:t>
      </w:r>
      <w:r>
        <w:rPr>
          <w:spacing w:val="-1"/>
        </w:rPr>
        <w:t> </w:t>
      </w:r>
      <w:r>
        <w:rPr/>
        <w:t>medidas apropiadas para su instrumentación en el plazo requerido.</w:t>
      </w:r>
    </w:p>
    <w:p>
      <w:pPr>
        <w:spacing w:line="242" w:lineRule="auto" w:before="227"/>
        <w:ind w:left="338" w:right="336" w:firstLine="288"/>
        <w:jc w:val="both"/>
        <w:rPr>
          <w:sz w:val="20"/>
        </w:rPr>
      </w:pPr>
      <w:r>
        <w:rPr>
          <w:rFonts w:ascii="Arial" w:hAnsi="Arial"/>
          <w:b/>
          <w:sz w:val="20"/>
        </w:rPr>
        <w:t>Vigésimo Séptimo. Representantes de los trabajadores y de los patrones ante las Juntas de Conciliación y Arbitraje. </w:t>
      </w:r>
      <w:r>
        <w:rPr>
          <w:sz w:val="20"/>
        </w:rPr>
        <w:t>En caso de ser necesaria la designación de algún representante de trabajadores o</w:t>
      </w:r>
      <w:r>
        <w:rPr>
          <w:spacing w:val="-2"/>
          <w:sz w:val="20"/>
        </w:rPr>
        <w:t> </w:t>
      </w:r>
      <w:r>
        <w:rPr>
          <w:sz w:val="20"/>
        </w:rPr>
        <w:t>patrones</w:t>
      </w:r>
      <w:r>
        <w:rPr>
          <w:spacing w:val="-1"/>
          <w:sz w:val="20"/>
        </w:rPr>
        <w:t> </w:t>
      </w:r>
      <w:r>
        <w:rPr>
          <w:sz w:val="20"/>
        </w:rPr>
        <w:t>ante</w:t>
      </w:r>
      <w:r>
        <w:rPr>
          <w:spacing w:val="-2"/>
          <w:sz w:val="20"/>
        </w:rPr>
        <w:t> </w:t>
      </w:r>
      <w:r>
        <w:rPr>
          <w:sz w:val="20"/>
        </w:rPr>
        <w:t>las</w:t>
      </w:r>
      <w:r>
        <w:rPr>
          <w:spacing w:val="-1"/>
          <w:sz w:val="20"/>
        </w:rPr>
        <w:t> </w:t>
      </w:r>
      <w:r>
        <w:rPr>
          <w:sz w:val="20"/>
        </w:rPr>
        <w:t>Juntas</w:t>
      </w:r>
      <w:r>
        <w:rPr>
          <w:spacing w:val="-1"/>
          <w:sz w:val="20"/>
        </w:rPr>
        <w:t> </w:t>
      </w:r>
      <w:r>
        <w:rPr>
          <w:sz w:val="20"/>
        </w:rPr>
        <w:t>de</w:t>
      </w:r>
      <w:r>
        <w:rPr>
          <w:spacing w:val="-2"/>
          <w:sz w:val="20"/>
        </w:rPr>
        <w:t> </w:t>
      </w:r>
      <w:r>
        <w:rPr>
          <w:sz w:val="20"/>
        </w:rPr>
        <w:t>Conciliación y</w:t>
      </w:r>
      <w:r>
        <w:rPr>
          <w:spacing w:val="-2"/>
          <w:sz w:val="20"/>
        </w:rPr>
        <w:t> </w:t>
      </w:r>
      <w:r>
        <w:rPr>
          <w:sz w:val="20"/>
        </w:rPr>
        <w:t>Arbitraje</w:t>
      </w:r>
      <w:r>
        <w:rPr>
          <w:spacing w:val="-2"/>
          <w:sz w:val="20"/>
        </w:rPr>
        <w:t> </w:t>
      </w:r>
      <w:r>
        <w:rPr>
          <w:sz w:val="20"/>
        </w:rPr>
        <w:t>en</w:t>
      </w:r>
      <w:r>
        <w:rPr>
          <w:spacing w:val="-2"/>
          <w:sz w:val="20"/>
        </w:rPr>
        <w:t> </w:t>
      </w:r>
      <w:r>
        <w:rPr>
          <w:sz w:val="20"/>
        </w:rPr>
        <w:t>tanto</w:t>
      </w:r>
      <w:r>
        <w:rPr>
          <w:spacing w:val="-2"/>
          <w:sz w:val="20"/>
        </w:rPr>
        <w:t> </w:t>
      </w:r>
      <w:r>
        <w:rPr>
          <w:sz w:val="20"/>
        </w:rPr>
        <w:t>éstas continúan</w:t>
      </w:r>
      <w:r>
        <w:rPr>
          <w:spacing w:val="-2"/>
          <w:sz w:val="20"/>
        </w:rPr>
        <w:t> </w:t>
      </w:r>
      <w:r>
        <w:rPr>
          <w:sz w:val="20"/>
        </w:rPr>
        <w:t>su operación, el</w:t>
      </w:r>
      <w:r>
        <w:rPr>
          <w:spacing w:val="-2"/>
          <w:sz w:val="20"/>
        </w:rPr>
        <w:t> </w:t>
      </w:r>
      <w:r>
        <w:rPr>
          <w:sz w:val="20"/>
        </w:rPr>
        <w:t>titular de</w:t>
      </w:r>
      <w:r>
        <w:rPr>
          <w:spacing w:val="-1"/>
          <w:sz w:val="20"/>
        </w:rPr>
        <w:t> </w:t>
      </w:r>
      <w:r>
        <w:rPr>
          <w:sz w:val="20"/>
        </w:rPr>
        <w:t>la</w:t>
      </w:r>
      <w:r>
        <w:rPr>
          <w:spacing w:val="-1"/>
          <w:sz w:val="20"/>
        </w:rPr>
        <w:t> </w:t>
      </w:r>
      <w:r>
        <w:rPr>
          <w:sz w:val="20"/>
        </w:rPr>
        <w:t>Secretaría del</w:t>
      </w:r>
      <w:r>
        <w:rPr>
          <w:spacing w:val="-2"/>
          <w:sz w:val="20"/>
        </w:rPr>
        <w:t> </w:t>
      </w:r>
      <w:r>
        <w:rPr>
          <w:sz w:val="20"/>
        </w:rPr>
        <w:t>Trabajo y</w:t>
      </w:r>
      <w:r>
        <w:rPr>
          <w:spacing w:val="-2"/>
          <w:sz w:val="20"/>
        </w:rPr>
        <w:t> </w:t>
      </w:r>
      <w:r>
        <w:rPr>
          <w:sz w:val="20"/>
        </w:rPr>
        <w:t>Previsión Social</w:t>
      </w:r>
      <w:r>
        <w:rPr>
          <w:spacing w:val="-2"/>
          <w:sz w:val="20"/>
        </w:rPr>
        <w:t> </w:t>
      </w:r>
      <w:r>
        <w:rPr>
          <w:sz w:val="20"/>
        </w:rPr>
        <w:t>realizará</w:t>
      </w:r>
      <w:r>
        <w:rPr>
          <w:spacing w:val="-1"/>
          <w:sz w:val="20"/>
        </w:rPr>
        <w:t> </w:t>
      </w:r>
      <w:r>
        <w:rPr>
          <w:sz w:val="20"/>
        </w:rPr>
        <w:t>las designaciones correspondientes para el periodo que resulte necesario para que las citadas instancias puedan concluir sus funciones.</w:t>
      </w:r>
    </w:p>
    <w:p>
      <w:pPr>
        <w:pStyle w:val="BodyText"/>
        <w:spacing w:before="222"/>
        <w:ind w:left="338" w:right="341" w:firstLine="288"/>
        <w:jc w:val="both"/>
      </w:pPr>
      <w:r>
        <w:rPr/>
        <w:t>Asimismo, de incurrir los representantes trabajadores y patrones en algún tipo de responsabilidad, le serán aplicables las sanciones contenidas en la Ley Federal del Trabajo vigente.</w:t>
      </w:r>
    </w:p>
    <w:p>
      <w:pPr>
        <w:spacing w:line="242" w:lineRule="auto" w:before="228"/>
        <w:ind w:left="338" w:right="336" w:firstLine="288"/>
        <w:jc w:val="both"/>
        <w:rPr>
          <w:sz w:val="20"/>
        </w:rPr>
      </w:pPr>
      <w:r>
        <w:rPr>
          <w:rFonts w:ascii="Arial" w:hAnsi="Arial"/>
          <w:b/>
          <w:sz w:val="20"/>
        </w:rPr>
        <w:t>Vigésimo Octavo. Derogación explícita y tácita de preceptos incompatibles. </w:t>
      </w:r>
      <w:r>
        <w:rPr>
          <w:sz w:val="20"/>
        </w:rPr>
        <w:t>Se derogan las disposiciones legales, administrativas y reglamentarias que se opongan a las contenidas en el presente </w:t>
      </w:r>
      <w:r>
        <w:rPr>
          <w:spacing w:val="-2"/>
          <w:sz w:val="20"/>
        </w:rPr>
        <w:t>Decreto.</w:t>
      </w:r>
    </w:p>
    <w:p>
      <w:pPr>
        <w:spacing w:after="0" w:line="242" w:lineRule="auto"/>
        <w:jc w:val="both"/>
        <w:rPr>
          <w:sz w:val="20"/>
        </w:rPr>
        <w:sectPr>
          <w:pgSz w:w="12240" w:h="15840"/>
          <w:pgMar w:header="724" w:footer="712" w:top="1880" w:bottom="900" w:left="1080" w:right="1080"/>
        </w:sectPr>
      </w:pPr>
    </w:p>
    <w:p>
      <w:pPr>
        <w:pStyle w:val="BodyText"/>
        <w:spacing w:before="63"/>
      </w:pPr>
    </w:p>
    <w:p>
      <w:pPr>
        <w:spacing w:before="0"/>
        <w:ind w:left="338" w:right="335" w:firstLine="288"/>
        <w:jc w:val="both"/>
        <w:rPr>
          <w:rFonts w:ascii="Arial" w:hAnsi="Arial"/>
          <w:b/>
          <w:sz w:val="20"/>
        </w:rPr>
      </w:pPr>
      <w:r>
        <w:rPr>
          <w:sz w:val="20"/>
        </w:rPr>
        <w:t>Ciudad de México, a 29 de abril de 2019.- Dip. </w:t>
      </w:r>
      <w:r>
        <w:rPr>
          <w:rFonts w:ascii="Arial" w:hAnsi="Arial"/>
          <w:b/>
          <w:sz w:val="20"/>
        </w:rPr>
        <w:t>Porfirio Muñoz Ledo</w:t>
      </w:r>
      <w:r>
        <w:rPr>
          <w:sz w:val="20"/>
        </w:rPr>
        <w:t>, Presidente.- Sen. </w:t>
      </w:r>
      <w:r>
        <w:rPr>
          <w:rFonts w:ascii="Arial" w:hAnsi="Arial"/>
          <w:b/>
          <w:sz w:val="20"/>
        </w:rPr>
        <w:t>Martí Batres Guadarrama</w:t>
      </w:r>
      <w:r>
        <w:rPr>
          <w:sz w:val="20"/>
        </w:rPr>
        <w:t>, Presidente.- Dip. </w:t>
      </w:r>
      <w:r>
        <w:rPr>
          <w:rFonts w:ascii="Arial" w:hAnsi="Arial"/>
          <w:b/>
          <w:sz w:val="20"/>
        </w:rPr>
        <w:t>Karla Yuritzi Almazán Burgos</w:t>
      </w:r>
      <w:r>
        <w:rPr>
          <w:sz w:val="20"/>
        </w:rPr>
        <w:t>, Secretaria.- Sen. </w:t>
      </w:r>
      <w:r>
        <w:rPr>
          <w:rFonts w:ascii="Arial" w:hAnsi="Arial"/>
          <w:b/>
          <w:sz w:val="20"/>
        </w:rPr>
        <w:t>Antares G. Vázquez Alatorre</w:t>
      </w:r>
      <w:r>
        <w:rPr>
          <w:sz w:val="20"/>
        </w:rPr>
        <w:t>, Secretaria.- Rúbricas.</w:t>
      </w:r>
      <w:r>
        <w:rPr>
          <w:rFonts w:ascii="Arial" w:hAnsi="Arial"/>
          <w:b/>
          <w:sz w:val="20"/>
        </w:rPr>
        <w:t>”</w:t>
      </w:r>
    </w:p>
    <w:p>
      <w:pPr>
        <w:pStyle w:val="BodyText"/>
        <w:spacing w:before="4"/>
        <w:rPr>
          <w:rFonts w:ascii="Arial"/>
          <w:b/>
        </w:rPr>
      </w:pPr>
    </w:p>
    <w:p>
      <w:pPr>
        <w:pStyle w:val="BodyText"/>
        <w:ind w:left="338" w:right="3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30 de abril de 2019.-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337"/>
        <w:jc w:val="both"/>
      </w:pPr>
      <w:r>
        <w:rPr/>
        <w:t>DECRETO por el que se adicionan diversas disposiciones de</w:t>
      </w:r>
      <w:r>
        <w:rPr>
          <w:spacing w:val="-2"/>
        </w:rPr>
        <w:t> </w:t>
      </w:r>
      <w:r>
        <w:rPr/>
        <w:t>la Ley</w:t>
      </w:r>
      <w:r>
        <w:rPr>
          <w:spacing w:val="-2"/>
        </w:rPr>
        <w:t> </w:t>
      </w:r>
      <w:r>
        <w:rPr/>
        <w:t>del Seguro Social, de la Ley</w:t>
      </w:r>
      <w:r>
        <w:rPr>
          <w:spacing w:val="-4"/>
        </w:rPr>
        <w:t> </w:t>
      </w:r>
      <w:r>
        <w:rPr/>
        <w:t>del Instituto</w:t>
      </w:r>
      <w:r>
        <w:rPr>
          <w:spacing w:val="-2"/>
        </w:rPr>
        <w:t> </w:t>
      </w:r>
      <w:r>
        <w:rPr/>
        <w:t>de</w:t>
      </w:r>
      <w:r>
        <w:rPr>
          <w:spacing w:val="-5"/>
        </w:rPr>
        <w:t> </w:t>
      </w:r>
      <w:r>
        <w:rPr/>
        <w:t>Seguridad</w:t>
      </w:r>
      <w:r>
        <w:rPr>
          <w:spacing w:val="-2"/>
        </w:rPr>
        <w:t> </w:t>
      </w:r>
      <w:r>
        <w:rPr/>
        <w:t>y</w:t>
      </w:r>
      <w:r>
        <w:rPr>
          <w:spacing w:val="-4"/>
        </w:rPr>
        <w:t> </w:t>
      </w:r>
      <w:r>
        <w:rPr/>
        <w:t>Servicios Sociales</w:t>
      </w:r>
      <w:r>
        <w:rPr>
          <w:spacing w:val="-2"/>
        </w:rPr>
        <w:t> </w:t>
      </w:r>
      <w:r>
        <w:rPr/>
        <w:t>de</w:t>
      </w:r>
      <w:r>
        <w:rPr>
          <w:spacing w:val="-2"/>
        </w:rPr>
        <w:t> </w:t>
      </w:r>
      <w:r>
        <w:rPr/>
        <w:t>los</w:t>
      </w:r>
      <w:r>
        <w:rPr>
          <w:spacing w:val="-2"/>
        </w:rPr>
        <w:t> </w:t>
      </w:r>
      <w:r>
        <w:rPr/>
        <w:t>Trabajadores del Estado</w:t>
      </w:r>
      <w:r>
        <w:rPr>
          <w:spacing w:val="-2"/>
        </w:rPr>
        <w:t> </w:t>
      </w:r>
      <w:r>
        <w:rPr/>
        <w:t>y</w:t>
      </w:r>
      <w:r>
        <w:rPr>
          <w:spacing w:val="-4"/>
        </w:rPr>
        <w:t> </w:t>
      </w:r>
      <w:r>
        <w:rPr/>
        <w:t>de la Ley Federal del Trabajo.</w:t>
      </w:r>
    </w:p>
    <w:p>
      <w:pPr>
        <w:spacing w:before="231"/>
        <w:ind w:left="296" w:right="29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4</w:t>
      </w:r>
      <w:r>
        <w:rPr>
          <w:spacing w:val="-3"/>
          <w:sz w:val="16"/>
        </w:rPr>
        <w:t> </w:t>
      </w:r>
      <w:r>
        <w:rPr>
          <w:sz w:val="16"/>
        </w:rPr>
        <w:t>de</w:t>
      </w:r>
      <w:r>
        <w:rPr>
          <w:spacing w:val="-6"/>
          <w:sz w:val="16"/>
        </w:rPr>
        <w:t> </w:t>
      </w:r>
      <w:r>
        <w:rPr>
          <w:sz w:val="16"/>
        </w:rPr>
        <w:t>junio</w:t>
      </w:r>
      <w:r>
        <w:rPr>
          <w:spacing w:val="-2"/>
          <w:sz w:val="16"/>
        </w:rPr>
        <w:t> </w:t>
      </w:r>
      <w:r>
        <w:rPr>
          <w:sz w:val="16"/>
        </w:rPr>
        <w:t>de</w:t>
      </w:r>
      <w:r>
        <w:rPr>
          <w:spacing w:val="-5"/>
          <w:sz w:val="16"/>
        </w:rPr>
        <w:t> </w:t>
      </w:r>
      <w:r>
        <w:rPr>
          <w:spacing w:val="-4"/>
          <w:sz w:val="16"/>
        </w:rPr>
        <w:t>2019</w:t>
      </w:r>
    </w:p>
    <w:p>
      <w:pPr>
        <w:pStyle w:val="BodyText"/>
        <w:spacing w:before="46"/>
        <w:rPr>
          <w:sz w:val="16"/>
        </w:rPr>
      </w:pPr>
    </w:p>
    <w:p>
      <w:pPr>
        <w:pStyle w:val="BodyText"/>
        <w:spacing w:line="242" w:lineRule="auto"/>
        <w:ind w:left="338" w:right="357" w:firstLine="288"/>
      </w:pPr>
      <w:r>
        <w:rPr>
          <w:rFonts w:ascii="Arial" w:hAnsi="Arial"/>
          <w:b/>
        </w:rPr>
        <w:t>Artículo Tercero.- </w:t>
      </w:r>
      <w:r>
        <w:rPr/>
        <w:t>Se adicionan una fracción IX al artículo 42; una fracción XXIX Bis al artículo 132 y un artículo 170 Bis a la Ley Federal del Trabajo, para quedar como sigue:</w:t>
      </w:r>
    </w:p>
    <w:p>
      <w:pPr>
        <w:spacing w:before="227"/>
        <w:ind w:left="626" w:right="0" w:firstLine="0"/>
        <w:jc w:val="left"/>
        <w:rPr>
          <w:sz w:val="20"/>
        </w:rPr>
      </w:pPr>
      <w:r>
        <w:rPr>
          <w:spacing w:val="-5"/>
          <w:sz w:val="20"/>
        </w:rPr>
        <w:t>………</w:t>
      </w:r>
    </w:p>
    <w:p>
      <w:pPr>
        <w:pStyle w:val="Heading2"/>
        <w:spacing w:before="226"/>
        <w:ind w:left="300"/>
      </w:pPr>
      <w:r>
        <w:rPr>
          <w:spacing w:val="-2"/>
        </w:rPr>
        <w:t>Transitorios</w:t>
      </w:r>
    </w:p>
    <w:p>
      <w:pPr>
        <w:pStyle w:val="BodyText"/>
        <w:spacing w:before="2"/>
        <w:rPr>
          <w:rFonts w:ascii="Arial"/>
          <w:b/>
        </w:rPr>
      </w:pPr>
    </w:p>
    <w:p>
      <w:pPr>
        <w:pStyle w:val="BodyText"/>
        <w:spacing w:line="242" w:lineRule="auto"/>
        <w:ind w:left="338" w:right="337" w:firstLine="288"/>
        <w:jc w:val="both"/>
      </w:pPr>
      <w:r>
        <w:rPr>
          <w:rFonts w:ascii="Arial" w:hAnsi="Arial"/>
          <w:b/>
        </w:rPr>
        <w:t>Primero.- </w:t>
      </w:r>
      <w:r>
        <w:rPr/>
        <w:t>El presente Decreto entrará en vigor el día siguiente al de su publicación en el Diario Oficial de la Federación.</w:t>
      </w:r>
    </w:p>
    <w:p>
      <w:pPr>
        <w:pStyle w:val="BodyText"/>
        <w:spacing w:before="227"/>
        <w:ind w:left="338" w:right="334" w:firstLine="288"/>
        <w:jc w:val="both"/>
      </w:pPr>
      <w:r>
        <w:rPr>
          <w:rFonts w:ascii="Arial" w:hAnsi="Arial"/>
          <w:b/>
        </w:rPr>
        <w:t>Segundo.- </w:t>
      </w:r>
      <w:r>
        <w:rPr/>
        <w:t>Los recursos para el ejercicio 2019 se obtendrán de los apartados precisados en el presente</w:t>
      </w:r>
      <w:r>
        <w:rPr>
          <w:spacing w:val="-2"/>
        </w:rPr>
        <w:t> </w:t>
      </w:r>
      <w:r>
        <w:rPr/>
        <w:t>Decreto y</w:t>
      </w:r>
      <w:r>
        <w:rPr>
          <w:spacing w:val="-5"/>
        </w:rPr>
        <w:t> </w:t>
      </w:r>
      <w:r>
        <w:rPr/>
        <w:t>posteriormente</w:t>
      </w:r>
      <w:r>
        <w:rPr>
          <w:spacing w:val="-5"/>
        </w:rPr>
        <w:t> </w:t>
      </w:r>
      <w:r>
        <w:rPr/>
        <w:t>los</w:t>
      </w:r>
      <w:r>
        <w:rPr>
          <w:spacing w:val="-3"/>
        </w:rPr>
        <w:t> </w:t>
      </w:r>
      <w:r>
        <w:rPr/>
        <w:t>recursos</w:t>
      </w:r>
      <w:r>
        <w:rPr>
          <w:spacing w:val="-1"/>
        </w:rPr>
        <w:t> </w:t>
      </w:r>
      <w:r>
        <w:rPr/>
        <w:t>que</w:t>
      </w:r>
      <w:r>
        <w:rPr>
          <w:spacing w:val="-2"/>
        </w:rPr>
        <w:t> </w:t>
      </w:r>
      <w:r>
        <w:rPr/>
        <w:t>se</w:t>
      </w:r>
      <w:r>
        <w:rPr>
          <w:spacing w:val="-4"/>
        </w:rPr>
        <w:t> </w:t>
      </w:r>
      <w:r>
        <w:rPr/>
        <w:t>requieran</w:t>
      </w:r>
      <w:r>
        <w:rPr>
          <w:spacing w:val="-3"/>
        </w:rPr>
        <w:t> </w:t>
      </w:r>
      <w:r>
        <w:rPr/>
        <w:t>deberán</w:t>
      </w:r>
      <w:r>
        <w:rPr>
          <w:spacing w:val="-2"/>
        </w:rPr>
        <w:t> </w:t>
      </w:r>
      <w:r>
        <w:rPr/>
        <w:t>ser</w:t>
      </w:r>
      <w:r>
        <w:rPr>
          <w:spacing w:val="-4"/>
        </w:rPr>
        <w:t> </w:t>
      </w:r>
      <w:r>
        <w:rPr/>
        <w:t>garantizados,</w:t>
      </w:r>
      <w:r>
        <w:rPr>
          <w:spacing w:val="-4"/>
        </w:rPr>
        <w:t> </w:t>
      </w:r>
      <w:r>
        <w:rPr/>
        <w:t>etiquetados y provisionados con anterioridad por la Secretaría de Hacienda y Crédito Público en los Presupuestos de Egresos</w:t>
      </w:r>
      <w:r>
        <w:rPr>
          <w:spacing w:val="-3"/>
        </w:rPr>
        <w:t> </w:t>
      </w:r>
      <w:r>
        <w:rPr/>
        <w:t>de</w:t>
      </w:r>
      <w:r>
        <w:rPr>
          <w:spacing w:val="-2"/>
        </w:rPr>
        <w:t> </w:t>
      </w:r>
      <w:r>
        <w:rPr/>
        <w:t>la</w:t>
      </w:r>
      <w:r>
        <w:rPr>
          <w:spacing w:val="-3"/>
        </w:rPr>
        <w:t> </w:t>
      </w:r>
      <w:r>
        <w:rPr/>
        <w:t>Federación</w:t>
      </w:r>
      <w:r>
        <w:rPr>
          <w:spacing w:val="-2"/>
        </w:rPr>
        <w:t> </w:t>
      </w:r>
      <w:r>
        <w:rPr/>
        <w:t>de</w:t>
      </w:r>
      <w:r>
        <w:rPr>
          <w:spacing w:val="-3"/>
        </w:rPr>
        <w:t> </w:t>
      </w:r>
      <w:r>
        <w:rPr/>
        <w:t>los</w:t>
      </w:r>
      <w:r>
        <w:rPr>
          <w:spacing w:val="-3"/>
        </w:rPr>
        <w:t> </w:t>
      </w:r>
      <w:r>
        <w:rPr/>
        <w:t>ejercicios</w:t>
      </w:r>
      <w:r>
        <w:rPr>
          <w:spacing w:val="-1"/>
        </w:rPr>
        <w:t> </w:t>
      </w:r>
      <w:r>
        <w:rPr/>
        <w:t>que</w:t>
      </w:r>
      <w:r>
        <w:rPr>
          <w:spacing w:val="-2"/>
        </w:rPr>
        <w:t> </w:t>
      </w:r>
      <w:r>
        <w:rPr/>
        <w:t>correspondan, y</w:t>
      </w:r>
      <w:r>
        <w:rPr>
          <w:spacing w:val="-4"/>
        </w:rPr>
        <w:t> </w:t>
      </w:r>
      <w:r>
        <w:rPr/>
        <w:t>en</w:t>
      </w:r>
      <w:r>
        <w:rPr>
          <w:spacing w:val="-3"/>
        </w:rPr>
        <w:t> </w:t>
      </w:r>
      <w:r>
        <w:rPr/>
        <w:t>el</w:t>
      </w:r>
      <w:r>
        <w:rPr>
          <w:spacing w:val="-3"/>
        </w:rPr>
        <w:t> </w:t>
      </w:r>
      <w:r>
        <w:rPr/>
        <w:t>entendido</w:t>
      </w:r>
      <w:r>
        <w:rPr>
          <w:spacing w:val="-2"/>
        </w:rPr>
        <w:t> </w:t>
      </w:r>
      <w:r>
        <w:rPr/>
        <w:t>de</w:t>
      </w:r>
      <w:r>
        <w:rPr>
          <w:spacing w:val="-3"/>
        </w:rPr>
        <w:t> </w:t>
      </w:r>
      <w:r>
        <w:rPr/>
        <w:t>que</w:t>
      </w:r>
      <w:r>
        <w:rPr>
          <w:spacing w:val="-2"/>
        </w:rPr>
        <w:t> </w:t>
      </w:r>
      <w:r>
        <w:rPr/>
        <w:t>la</w:t>
      </w:r>
      <w:r>
        <w:rPr>
          <w:spacing w:val="-2"/>
        </w:rPr>
        <w:t> </w:t>
      </w:r>
      <w:r>
        <w:rPr/>
        <w:t>implementación de tal programa no impactará de forma alguna las cuotas obrero-patronales recabadas por los Institutos de Seguridad Social del Gobierno Federal.</w:t>
      </w:r>
    </w:p>
    <w:p>
      <w:pPr>
        <w:pStyle w:val="BodyText"/>
      </w:pPr>
    </w:p>
    <w:p>
      <w:pPr>
        <w:spacing w:before="0"/>
        <w:ind w:left="338" w:right="335" w:firstLine="288"/>
        <w:jc w:val="both"/>
        <w:rPr>
          <w:rFonts w:ascii="Arial" w:hAnsi="Arial"/>
          <w:b/>
          <w:sz w:val="20"/>
        </w:rPr>
      </w:pPr>
      <w:r>
        <w:rPr>
          <w:sz w:val="20"/>
        </w:rPr>
        <w:t>Ciudad de México, a 29 de abril de 2019.- Dip. </w:t>
      </w:r>
      <w:r>
        <w:rPr>
          <w:rFonts w:ascii="Arial" w:hAnsi="Arial"/>
          <w:b/>
          <w:sz w:val="20"/>
        </w:rPr>
        <w:t>Porfirio Muñoz Ledo</w:t>
      </w:r>
      <w:r>
        <w:rPr>
          <w:sz w:val="20"/>
        </w:rPr>
        <w:t>, Presidente.- Sen. </w:t>
      </w:r>
      <w:r>
        <w:rPr>
          <w:rFonts w:ascii="Arial" w:hAnsi="Arial"/>
          <w:b/>
          <w:sz w:val="20"/>
        </w:rPr>
        <w:t>Martí Batres Guadarrama</w:t>
      </w:r>
      <w:r>
        <w:rPr>
          <w:sz w:val="20"/>
        </w:rPr>
        <w:t>, Presidente.- Dip. </w:t>
      </w:r>
      <w:r>
        <w:rPr>
          <w:rFonts w:ascii="Arial" w:hAnsi="Arial"/>
          <w:b/>
          <w:sz w:val="20"/>
        </w:rPr>
        <w:t>Karla Yuritzi Almazán Burgos</w:t>
      </w:r>
      <w:r>
        <w:rPr>
          <w:sz w:val="20"/>
        </w:rPr>
        <w:t>, Secretaria.- Sen. </w:t>
      </w:r>
      <w:r>
        <w:rPr>
          <w:rFonts w:ascii="Arial" w:hAnsi="Arial"/>
          <w:b/>
          <w:sz w:val="20"/>
        </w:rPr>
        <w:t>Antares G. Vázquez Alatorre</w:t>
      </w:r>
      <w:r>
        <w:rPr>
          <w:sz w:val="20"/>
        </w:rPr>
        <w:t>, Secretaria.- Rúbricas.</w:t>
      </w:r>
      <w:r>
        <w:rPr>
          <w:rFonts w:ascii="Arial" w:hAnsi="Arial"/>
          <w:b/>
          <w:sz w:val="20"/>
        </w:rPr>
        <w:t>"</w:t>
      </w:r>
    </w:p>
    <w:p>
      <w:pPr>
        <w:pStyle w:val="BodyText"/>
        <w:spacing w:before="2"/>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30 de mayo de 2019.-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335"/>
        <w:jc w:val="both"/>
      </w:pPr>
      <w:r>
        <w:rPr/>
        <w:t>DECRETO por el que se reforman, adicionan y derogan diversas disposiciones de la Ley Federal del Trabajo y de la Ley del Seguro Social, en materia de las personas</w:t>
      </w:r>
      <w:r>
        <w:rPr>
          <w:spacing w:val="40"/>
        </w:rPr>
        <w:t> </w:t>
      </w:r>
      <w:r>
        <w:rPr/>
        <w:t>trabajadoras del hogar.</w:t>
      </w:r>
    </w:p>
    <w:p>
      <w:pPr>
        <w:spacing w:before="231"/>
        <w:ind w:left="300" w:right="29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w:t>
      </w:r>
      <w:r>
        <w:rPr>
          <w:spacing w:val="-3"/>
          <w:sz w:val="16"/>
        </w:rPr>
        <w:t> </w:t>
      </w:r>
      <w:r>
        <w:rPr>
          <w:sz w:val="16"/>
        </w:rPr>
        <w:t>de</w:t>
      </w:r>
      <w:r>
        <w:rPr>
          <w:spacing w:val="-6"/>
          <w:sz w:val="16"/>
        </w:rPr>
        <w:t> </w:t>
      </w:r>
      <w:r>
        <w:rPr>
          <w:sz w:val="16"/>
        </w:rPr>
        <w:t>julio</w:t>
      </w:r>
      <w:r>
        <w:rPr>
          <w:spacing w:val="-5"/>
          <w:sz w:val="16"/>
        </w:rPr>
        <w:t> </w:t>
      </w:r>
      <w:r>
        <w:rPr>
          <w:sz w:val="16"/>
        </w:rPr>
        <w:t>de</w:t>
      </w:r>
      <w:r>
        <w:rPr>
          <w:spacing w:val="-2"/>
          <w:sz w:val="16"/>
        </w:rPr>
        <w:t> </w:t>
      </w:r>
      <w:r>
        <w:rPr>
          <w:spacing w:val="-4"/>
          <w:sz w:val="16"/>
        </w:rPr>
        <w:t>2019</w:t>
      </w:r>
    </w:p>
    <w:p>
      <w:pPr>
        <w:pStyle w:val="BodyText"/>
        <w:spacing w:before="46"/>
        <w:rPr>
          <w:sz w:val="16"/>
        </w:rPr>
      </w:pPr>
    </w:p>
    <w:p>
      <w:pPr>
        <w:pStyle w:val="BodyText"/>
        <w:ind w:left="338" w:right="339" w:firstLine="288"/>
        <w:jc w:val="both"/>
      </w:pPr>
      <w:r>
        <w:rPr>
          <w:rFonts w:ascii="Arial" w:hAnsi="Arial"/>
          <w:b/>
        </w:rPr>
        <w:t>Artículo Primero.- </w:t>
      </w:r>
      <w:r>
        <w:rPr/>
        <w:t>Se</w:t>
      </w:r>
      <w:r>
        <w:rPr>
          <w:spacing w:val="-3"/>
        </w:rPr>
        <w:t> </w:t>
      </w:r>
      <w:r>
        <w:rPr/>
        <w:t>reforma</w:t>
      </w:r>
      <w:r>
        <w:rPr>
          <w:spacing w:val="-3"/>
        </w:rPr>
        <w:t> </w:t>
      </w:r>
      <w:r>
        <w:rPr/>
        <w:t>la</w:t>
      </w:r>
      <w:r>
        <w:rPr>
          <w:spacing w:val="-3"/>
        </w:rPr>
        <w:t> </w:t>
      </w:r>
      <w:r>
        <w:rPr/>
        <w:t>fracción</w:t>
      </w:r>
      <w:r>
        <w:rPr>
          <w:spacing w:val="-1"/>
        </w:rPr>
        <w:t> </w:t>
      </w:r>
      <w:r>
        <w:rPr/>
        <w:t>I</w:t>
      </w:r>
      <w:r>
        <w:rPr>
          <w:spacing w:val="-3"/>
        </w:rPr>
        <w:t> </w:t>
      </w:r>
      <w:r>
        <w:rPr/>
        <w:t>del</w:t>
      </w:r>
      <w:r>
        <w:rPr>
          <w:spacing w:val="-2"/>
        </w:rPr>
        <w:t> </w:t>
      </w:r>
      <w:r>
        <w:rPr/>
        <w:t>artículo</w:t>
      </w:r>
      <w:r>
        <w:rPr>
          <w:spacing w:val="-3"/>
        </w:rPr>
        <w:t> </w:t>
      </w:r>
      <w:r>
        <w:rPr/>
        <w:t>5;</w:t>
      </w:r>
      <w:r>
        <w:rPr>
          <w:spacing w:val="-1"/>
        </w:rPr>
        <w:t> </w:t>
      </w:r>
      <w:r>
        <w:rPr/>
        <w:t>el</w:t>
      </w:r>
      <w:r>
        <w:rPr>
          <w:spacing w:val="-4"/>
        </w:rPr>
        <w:t> </w:t>
      </w:r>
      <w:r>
        <w:rPr/>
        <w:t>párrafo</w:t>
      </w:r>
      <w:r>
        <w:rPr>
          <w:spacing w:val="-3"/>
        </w:rPr>
        <w:t> </w:t>
      </w:r>
      <w:r>
        <w:rPr/>
        <w:t>primero</w:t>
      </w:r>
      <w:r>
        <w:rPr>
          <w:spacing w:val="-1"/>
        </w:rPr>
        <w:t> </w:t>
      </w:r>
      <w:r>
        <w:rPr/>
        <w:t>y</w:t>
      </w:r>
      <w:r>
        <w:rPr>
          <w:spacing w:val="-4"/>
        </w:rPr>
        <w:t> </w:t>
      </w:r>
      <w:r>
        <w:rPr/>
        <w:t>la</w:t>
      </w:r>
      <w:r>
        <w:rPr>
          <w:spacing w:val="-1"/>
        </w:rPr>
        <w:t> </w:t>
      </w:r>
      <w:r>
        <w:rPr/>
        <w:t>fracción</w:t>
      </w:r>
      <w:r>
        <w:rPr>
          <w:spacing w:val="-4"/>
        </w:rPr>
        <w:t> </w:t>
      </w:r>
      <w:r>
        <w:rPr/>
        <w:t>IV</w:t>
      </w:r>
      <w:r>
        <w:rPr>
          <w:spacing w:val="-1"/>
        </w:rPr>
        <w:t> </w:t>
      </w:r>
      <w:r>
        <w:rPr/>
        <w:t>del</w:t>
      </w:r>
      <w:r>
        <w:rPr>
          <w:spacing w:val="-4"/>
        </w:rPr>
        <w:t> </w:t>
      </w:r>
      <w:r>
        <w:rPr/>
        <w:t>artículo 49; la denominación del capítulo XIII del Título Sexto, el artículo 331; se reforma el párrafo primero, así como la actual fracción I para pasar a ser la II del artículo 332; el artículo 333; el artículo 335; el primer párrafo del artículo 336; el párrafo primero del artículo 341; el artículo 342; el artículo 343; la fracción II</w:t>
      </w:r>
      <w:r>
        <w:rPr>
          <w:spacing w:val="40"/>
        </w:rPr>
        <w:t> </w:t>
      </w:r>
      <w:r>
        <w:rPr/>
        <w:t>del artículo 542; se adicionan las fracciones I, II y III al artículo 331; un artículo 331 Bis; un artículo 331 Ter; una fracción I al artículo 332, un párrafo segundo al artículo 333, un párrafo primero y segundo, recorriendo el primero actual para convertirse en tercero y se adiciona un párrafo cuarto al artículo 334;</w:t>
      </w:r>
      <w:r>
        <w:rPr>
          <w:spacing w:val="40"/>
        </w:rPr>
        <w:t> </w:t>
      </w:r>
      <w:r>
        <w:rPr/>
        <w:t>un artículo 334 Bis; un párrafo segundo, tercero y cuarto al artículo 336; un artículo 336 Bis; un artículo 337 Bis; se adicionan un segundo y tercer párrafo al artículo 341; un segundo párrafo al artículo 542, se derogan la actual fracción II del artículo 332, los artículos 338, 339 y 340; de la Ley Federal del Trabajo, para quedar como sigue:</w:t>
      </w:r>
    </w:p>
    <w:p>
      <w:pPr>
        <w:pStyle w:val="BodyText"/>
        <w:spacing w:before="3"/>
      </w:pPr>
    </w:p>
    <w:p>
      <w:pPr>
        <w:spacing w:before="0"/>
        <w:ind w:left="626" w:right="0" w:firstLine="0"/>
        <w:jc w:val="left"/>
        <w:rPr>
          <w:sz w:val="20"/>
        </w:rPr>
      </w:pPr>
      <w:r>
        <w:rPr>
          <w:spacing w:val="-4"/>
          <w:sz w:val="20"/>
        </w:rPr>
        <w:t>……..</w:t>
      </w:r>
    </w:p>
    <w:p>
      <w:pPr>
        <w:pStyle w:val="Heading2"/>
        <w:spacing w:before="227"/>
        <w:ind w:left="300"/>
      </w:pPr>
      <w:r>
        <w:rPr>
          <w:spacing w:val="-2"/>
        </w:rPr>
        <w:t>Transitorios</w:t>
      </w:r>
    </w:p>
    <w:p>
      <w:pPr>
        <w:pStyle w:val="BodyText"/>
        <w:spacing w:before="1"/>
        <w:rPr>
          <w:rFonts w:ascii="Arial"/>
          <w:b/>
        </w:rPr>
      </w:pPr>
    </w:p>
    <w:p>
      <w:pPr>
        <w:pStyle w:val="BodyText"/>
        <w:ind w:left="626"/>
      </w:pPr>
      <w:r>
        <w:rPr>
          <w:rFonts w:ascii="Arial" w:hAnsi="Arial"/>
          <w:b/>
        </w:rPr>
        <w:t>Primero.-</w:t>
      </w:r>
      <w:r>
        <w:rPr>
          <w:rFonts w:ascii="Arial" w:hAnsi="Arial"/>
          <w:b/>
          <w:spacing w:val="-5"/>
        </w:rPr>
        <w:t> </w:t>
      </w:r>
      <w:r>
        <w:rPr/>
        <w:t>Publíquese</w:t>
      </w:r>
      <w:r>
        <w:rPr>
          <w:spacing w:val="-6"/>
        </w:rPr>
        <w:t> </w:t>
      </w:r>
      <w:r>
        <w:rPr/>
        <w:t>en</w:t>
      </w:r>
      <w:r>
        <w:rPr>
          <w:spacing w:val="-8"/>
        </w:rPr>
        <w:t> </w:t>
      </w:r>
      <w:r>
        <w:rPr/>
        <w:t>el</w:t>
      </w:r>
      <w:r>
        <w:rPr>
          <w:spacing w:val="-7"/>
        </w:rPr>
        <w:t> </w:t>
      </w:r>
      <w:r>
        <w:rPr/>
        <w:t>Diario</w:t>
      </w:r>
      <w:r>
        <w:rPr>
          <w:spacing w:val="-7"/>
        </w:rPr>
        <w:t> </w:t>
      </w:r>
      <w:r>
        <w:rPr/>
        <w:t>Oficial</w:t>
      </w:r>
      <w:r>
        <w:rPr>
          <w:spacing w:val="-8"/>
        </w:rPr>
        <w:t> </w:t>
      </w:r>
      <w:r>
        <w:rPr/>
        <w:t>de</w:t>
      </w:r>
      <w:r>
        <w:rPr>
          <w:spacing w:val="-6"/>
        </w:rPr>
        <w:t> </w:t>
      </w:r>
      <w:r>
        <w:rPr/>
        <w:t>la</w:t>
      </w:r>
      <w:r>
        <w:rPr>
          <w:spacing w:val="-6"/>
        </w:rPr>
        <w:t> </w:t>
      </w:r>
      <w:r>
        <w:rPr>
          <w:spacing w:val="-2"/>
        </w:rPr>
        <w:t>Federación.</w:t>
      </w:r>
    </w:p>
    <w:p>
      <w:pPr>
        <w:pStyle w:val="BodyText"/>
        <w:spacing w:before="229"/>
        <w:ind w:left="338" w:right="334" w:firstLine="288"/>
        <w:jc w:val="both"/>
      </w:pPr>
      <w:r>
        <w:rPr>
          <w:rFonts w:ascii="Arial" w:hAnsi="Arial"/>
          <w:b/>
        </w:rPr>
        <w:t>Segundo.- </w:t>
      </w:r>
      <w:r>
        <w:rPr/>
        <w:t>En cumplimiento con la resolución del Amparo Directo 9/2018 (relacionado con el Amparo Directo</w:t>
      </w:r>
      <w:r>
        <w:rPr>
          <w:spacing w:val="-1"/>
        </w:rPr>
        <w:t> </w:t>
      </w:r>
      <w:r>
        <w:rPr/>
        <w:t>8/2018),</w:t>
      </w:r>
      <w:r>
        <w:rPr>
          <w:spacing w:val="-1"/>
        </w:rPr>
        <w:t> </w:t>
      </w:r>
      <w:r>
        <w:rPr/>
        <w:t>emitido</w:t>
      </w:r>
      <w:r>
        <w:rPr>
          <w:spacing w:val="-2"/>
        </w:rPr>
        <w:t> </w:t>
      </w:r>
      <w:r>
        <w:rPr/>
        <w:t>por</w:t>
      </w:r>
      <w:r>
        <w:rPr>
          <w:spacing w:val="-1"/>
        </w:rPr>
        <w:t> </w:t>
      </w:r>
      <w:r>
        <w:rPr/>
        <w:t>la</w:t>
      </w:r>
      <w:r>
        <w:rPr>
          <w:spacing w:val="-1"/>
        </w:rPr>
        <w:t> </w:t>
      </w:r>
      <w:r>
        <w:rPr/>
        <w:t>Segunda Sala</w:t>
      </w:r>
      <w:r>
        <w:rPr>
          <w:spacing w:val="-1"/>
        </w:rPr>
        <w:t> </w:t>
      </w:r>
      <w:r>
        <w:rPr/>
        <w:t>de la Suprema</w:t>
      </w:r>
      <w:r>
        <w:rPr>
          <w:spacing w:val="-1"/>
        </w:rPr>
        <w:t> </w:t>
      </w:r>
      <w:r>
        <w:rPr/>
        <w:t>Corte</w:t>
      </w:r>
      <w:r>
        <w:rPr>
          <w:spacing w:val="-1"/>
        </w:rPr>
        <w:t> </w:t>
      </w:r>
      <w:r>
        <w:rPr/>
        <w:t>de</w:t>
      </w:r>
      <w:r>
        <w:rPr>
          <w:spacing w:val="-2"/>
        </w:rPr>
        <w:t> </w:t>
      </w:r>
      <w:r>
        <w:rPr/>
        <w:t>Justicia de la</w:t>
      </w:r>
      <w:r>
        <w:rPr>
          <w:spacing w:val="-1"/>
        </w:rPr>
        <w:t> </w:t>
      </w:r>
      <w:r>
        <w:rPr/>
        <w:t>Nación, y</w:t>
      </w:r>
      <w:r>
        <w:rPr>
          <w:spacing w:val="-4"/>
        </w:rPr>
        <w:t> </w:t>
      </w:r>
      <w:r>
        <w:rPr/>
        <w:t>derivado de los resultados que arroje la evaluación del denominado Programa Piloto que ha implementado el Instituto Mexicano del Seguro Social desde el día 1 de abril de 2019, en términos de la obligación así impuesta</w:t>
      </w:r>
      <w:r>
        <w:rPr>
          <w:spacing w:val="40"/>
        </w:rPr>
        <w:t> </w:t>
      </w:r>
      <w:r>
        <w:rPr/>
        <w:t>por el máximo Tribunal Constitucional al referido Instituto, éste último deberá compartir con el Legislativo un informe preliminar, una vez transcurridos los 18 meses del referido Programa, en el que incluirá en términos generales los avances logrados y problemáticas encontradas, mismas que servirán de base</w:t>
      </w:r>
      <w:r>
        <w:rPr>
          <w:spacing w:val="40"/>
        </w:rPr>
        <w:t> </w:t>
      </w:r>
      <w:r>
        <w:rPr/>
        <w:t>para las iniciativas legales que con mayor detalle definirán en su momento los aspectos de supervisión, inspección, salarios mínimos por oficio, así como las formalidades administrativas que se consideren necesarias para lograr la certidumbre y plena efectividad que se requiere.</w:t>
      </w:r>
    </w:p>
    <w:p>
      <w:pPr>
        <w:pStyle w:val="BodyText"/>
      </w:pPr>
    </w:p>
    <w:p>
      <w:pPr>
        <w:pStyle w:val="BodyText"/>
        <w:ind w:left="338" w:right="341" w:firstLine="288"/>
        <w:jc w:val="both"/>
      </w:pPr>
      <w:r>
        <w:rPr>
          <w:rFonts w:ascii="Arial" w:hAnsi="Arial"/>
          <w:b/>
        </w:rPr>
        <w:t>Tercero.- </w:t>
      </w:r>
      <w:r>
        <w:rPr/>
        <w:t>En consecuencia de lo referido en el Transitorio que precede, las disposiciones relativas a</w:t>
      </w:r>
      <w:r>
        <w:rPr>
          <w:spacing w:val="40"/>
        </w:rPr>
        <w:t> </w:t>
      </w:r>
      <w:r>
        <w:rPr/>
        <w:t>la incorporación formal de las personas trabajadoras del hogar al régimen obligatorio de seguridad social iniciarán su vigencia una vez que se realicen las adecuaciones y reservas legales necesarias para dar completa operatividad al reconocimiento del derecho a que se refiere este Decreto, debiendo quedar totalmente concluida en un plazo no mayor a 6 meses contados a partir de la culminación del Programa Piloto y entrega al Legislativo del informe aludido en el citado dispositivo que antecede.</w:t>
      </w:r>
    </w:p>
    <w:p>
      <w:pPr>
        <w:pStyle w:val="BodyText"/>
        <w:spacing w:before="1"/>
      </w:pPr>
    </w:p>
    <w:p>
      <w:pPr>
        <w:pStyle w:val="BodyText"/>
        <w:spacing w:line="242" w:lineRule="auto"/>
        <w:ind w:left="338" w:right="342" w:firstLine="288"/>
        <w:jc w:val="both"/>
      </w:pPr>
      <w:r>
        <w:rPr>
          <w:rFonts w:ascii="Arial" w:hAnsi="Arial"/>
          <w:b/>
        </w:rPr>
        <w:t>Cuarto.- </w:t>
      </w:r>
      <w:r>
        <w:rPr/>
        <w:t>Hasta en tanto entren en vigor las disposiciones contenidas en el presente Decreto</w:t>
      </w:r>
      <w:r>
        <w:rPr>
          <w:spacing w:val="40"/>
        </w:rPr>
        <w:t> </w:t>
      </w:r>
      <w:r>
        <w:rPr/>
        <w:t>referentes a la Ley del Seguro Social para comprender el trabajo del hogar en el régimen obligatorio, el patrón garantizará la atención médica y los gastos por concepto de sepelio.</w:t>
      </w:r>
    </w:p>
    <w:p>
      <w:pPr>
        <w:spacing w:before="225"/>
        <w:ind w:left="338" w:right="335" w:firstLine="288"/>
        <w:jc w:val="both"/>
        <w:rPr>
          <w:rFonts w:ascii="Arial" w:hAnsi="Arial"/>
          <w:b/>
          <w:sz w:val="20"/>
        </w:rPr>
      </w:pPr>
      <w:r>
        <w:rPr>
          <w:sz w:val="20"/>
        </w:rPr>
        <w:t>Ciudad</w:t>
      </w:r>
      <w:r>
        <w:rPr>
          <w:spacing w:val="-2"/>
          <w:sz w:val="20"/>
        </w:rPr>
        <w:t> </w:t>
      </w:r>
      <w:r>
        <w:rPr>
          <w:sz w:val="20"/>
        </w:rPr>
        <w:t>de</w:t>
      </w:r>
      <w:r>
        <w:rPr>
          <w:spacing w:val="-2"/>
          <w:sz w:val="20"/>
        </w:rPr>
        <w:t> </w:t>
      </w:r>
      <w:r>
        <w:rPr>
          <w:sz w:val="20"/>
        </w:rPr>
        <w:t>México, a</w:t>
      </w:r>
      <w:r>
        <w:rPr>
          <w:spacing w:val="-2"/>
          <w:sz w:val="20"/>
        </w:rPr>
        <w:t> </w:t>
      </w:r>
      <w:r>
        <w:rPr>
          <w:sz w:val="20"/>
        </w:rPr>
        <w:t>14</w:t>
      </w:r>
      <w:r>
        <w:rPr>
          <w:spacing w:val="-2"/>
          <w:sz w:val="20"/>
        </w:rPr>
        <w:t> </w:t>
      </w:r>
      <w:r>
        <w:rPr>
          <w:sz w:val="20"/>
        </w:rPr>
        <w:t>de</w:t>
      </w:r>
      <w:r>
        <w:rPr>
          <w:spacing w:val="-2"/>
          <w:sz w:val="20"/>
        </w:rPr>
        <w:t> </w:t>
      </w:r>
      <w:r>
        <w:rPr>
          <w:sz w:val="20"/>
        </w:rPr>
        <w:t>mayo</w:t>
      </w:r>
      <w:r>
        <w:rPr>
          <w:spacing w:val="-2"/>
          <w:sz w:val="20"/>
        </w:rPr>
        <w:t> </w:t>
      </w:r>
      <w:r>
        <w:rPr>
          <w:sz w:val="20"/>
        </w:rPr>
        <w:t>de</w:t>
      </w:r>
      <w:r>
        <w:rPr>
          <w:spacing w:val="-3"/>
          <w:sz w:val="20"/>
        </w:rPr>
        <w:t> </w:t>
      </w:r>
      <w:r>
        <w:rPr>
          <w:sz w:val="20"/>
        </w:rPr>
        <w:t>2019.-</w:t>
      </w:r>
      <w:r>
        <w:rPr>
          <w:spacing w:val="-1"/>
          <w:sz w:val="20"/>
        </w:rPr>
        <w:t> </w:t>
      </w:r>
      <w:r>
        <w:rPr>
          <w:sz w:val="20"/>
        </w:rPr>
        <w:t>Dip. </w:t>
      </w:r>
      <w:r>
        <w:rPr>
          <w:rFonts w:ascii="Arial" w:hAnsi="Arial"/>
          <w:b/>
          <w:sz w:val="20"/>
        </w:rPr>
        <w:t>Porfirio</w:t>
      </w:r>
      <w:r>
        <w:rPr>
          <w:rFonts w:ascii="Arial" w:hAnsi="Arial"/>
          <w:b/>
          <w:spacing w:val="-3"/>
          <w:sz w:val="20"/>
        </w:rPr>
        <w:t> </w:t>
      </w:r>
      <w:r>
        <w:rPr>
          <w:rFonts w:ascii="Arial" w:hAnsi="Arial"/>
          <w:b/>
          <w:sz w:val="20"/>
        </w:rPr>
        <w:t>Muñoz</w:t>
      </w:r>
      <w:r>
        <w:rPr>
          <w:rFonts w:ascii="Arial" w:hAnsi="Arial"/>
          <w:b/>
          <w:spacing w:val="-1"/>
          <w:sz w:val="20"/>
        </w:rPr>
        <w:t> </w:t>
      </w:r>
      <w:r>
        <w:rPr>
          <w:rFonts w:ascii="Arial" w:hAnsi="Arial"/>
          <w:b/>
          <w:sz w:val="20"/>
        </w:rPr>
        <w:t>Ledo</w:t>
      </w:r>
      <w:r>
        <w:rPr>
          <w:sz w:val="20"/>
        </w:rPr>
        <w:t>,</w:t>
      </w:r>
      <w:r>
        <w:rPr>
          <w:spacing w:val="-2"/>
          <w:sz w:val="20"/>
        </w:rPr>
        <w:t> </w:t>
      </w:r>
      <w:r>
        <w:rPr>
          <w:sz w:val="20"/>
        </w:rPr>
        <w:t>Presidente.-</w:t>
      </w:r>
      <w:r>
        <w:rPr>
          <w:spacing w:val="-1"/>
          <w:sz w:val="20"/>
        </w:rPr>
        <w:t> </w:t>
      </w:r>
      <w:r>
        <w:rPr>
          <w:sz w:val="20"/>
        </w:rPr>
        <w:t>Sen.</w:t>
      </w:r>
      <w:r>
        <w:rPr>
          <w:spacing w:val="-1"/>
          <w:sz w:val="20"/>
        </w:rPr>
        <w:t> </w:t>
      </w:r>
      <w:r>
        <w:rPr>
          <w:rFonts w:ascii="Arial" w:hAnsi="Arial"/>
          <w:b/>
          <w:sz w:val="20"/>
        </w:rPr>
        <w:t>Martí</w:t>
      </w:r>
      <w:r>
        <w:rPr>
          <w:rFonts w:ascii="Arial" w:hAnsi="Arial"/>
          <w:b/>
          <w:spacing w:val="-2"/>
          <w:sz w:val="20"/>
        </w:rPr>
        <w:t> </w:t>
      </w:r>
      <w:r>
        <w:rPr>
          <w:rFonts w:ascii="Arial" w:hAnsi="Arial"/>
          <w:b/>
          <w:sz w:val="20"/>
        </w:rPr>
        <w:t>Batres Guadarrama</w:t>
      </w:r>
      <w:r>
        <w:rPr>
          <w:sz w:val="20"/>
        </w:rPr>
        <w:t>, Presidente.- Dip. </w:t>
      </w:r>
      <w:r>
        <w:rPr>
          <w:rFonts w:ascii="Arial" w:hAnsi="Arial"/>
          <w:b/>
          <w:sz w:val="20"/>
        </w:rPr>
        <w:t>Karla Yuritzi Almazán Burgos</w:t>
      </w:r>
      <w:r>
        <w:rPr>
          <w:sz w:val="20"/>
        </w:rPr>
        <w:t>, Secretaria.- Sen. </w:t>
      </w:r>
      <w:r>
        <w:rPr>
          <w:rFonts w:ascii="Arial" w:hAnsi="Arial"/>
          <w:b/>
          <w:sz w:val="20"/>
        </w:rPr>
        <w:t>Antares G. Vázquez Alatorre</w:t>
      </w:r>
      <w:r>
        <w:rPr>
          <w:sz w:val="20"/>
        </w:rPr>
        <w:t>, Secretaria.- Rúbricas.</w:t>
      </w:r>
      <w:r>
        <w:rPr>
          <w:rFonts w:ascii="Arial" w:hAnsi="Arial"/>
          <w:b/>
          <w:sz w:val="20"/>
        </w:rPr>
        <w:t>"</w:t>
      </w:r>
    </w:p>
    <w:p>
      <w:pPr>
        <w:pStyle w:val="BodyText"/>
        <w:spacing w:before="1"/>
        <w:rPr>
          <w:rFonts w:ascii="Arial"/>
          <w:b/>
        </w:rPr>
      </w:pPr>
    </w:p>
    <w:p>
      <w:pPr>
        <w:pStyle w:val="BodyText"/>
        <w:ind w:left="338" w:right="3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w:t>
      </w:r>
    </w:p>
    <w:p>
      <w:pPr>
        <w:pStyle w:val="BodyText"/>
        <w:spacing w:after="0"/>
        <w:jc w:val="both"/>
        <w:sectPr>
          <w:pgSz w:w="12240" w:h="15840"/>
          <w:pgMar w:header="724" w:footer="712" w:top="1880" w:bottom="900" w:left="1080" w:right="1080"/>
        </w:sectPr>
      </w:pPr>
    </w:p>
    <w:p>
      <w:pPr>
        <w:pStyle w:val="BodyText"/>
        <w:spacing w:before="63"/>
      </w:pPr>
    </w:p>
    <w:p>
      <w:pPr>
        <w:spacing w:before="0"/>
        <w:ind w:left="338" w:right="332" w:firstLine="0"/>
        <w:jc w:val="both"/>
        <w:rPr>
          <w:sz w:val="20"/>
        </w:rPr>
      </w:pPr>
      <w:r>
        <w:rPr>
          <w:sz w:val="20"/>
        </w:rPr>
        <w:t>Residencia del Poder Ejecutivo Federal, en la Ciudad de México, a 1 de julio de 2019.- </w:t>
      </w:r>
      <w:r>
        <w:rPr>
          <w:rFonts w:ascii="Arial" w:hAnsi="Arial"/>
          <w:b/>
          <w:sz w:val="20"/>
        </w:rPr>
        <w:t>Andrés Manuel López Obrador</w:t>
      </w:r>
      <w:r>
        <w:rPr>
          <w:sz w:val="20"/>
        </w:rPr>
        <w:t>.- Rúbrica.- La Secretaria de Gobernación, Dra. </w:t>
      </w:r>
      <w:r>
        <w:rPr>
          <w:rFonts w:ascii="Arial" w:hAnsi="Arial"/>
          <w:b/>
          <w:sz w:val="20"/>
        </w:rPr>
        <w:t>Olga María del Carmen Sánchez Cordero Dávila</w:t>
      </w:r>
      <w:r>
        <w:rPr>
          <w:sz w:val="20"/>
        </w:rPr>
        <w:t>.- Rúbrica.</w:t>
      </w:r>
    </w:p>
    <w:p>
      <w:pPr>
        <w:spacing w:after="0"/>
        <w:jc w:val="both"/>
        <w:rPr>
          <w:sz w:val="20"/>
        </w:rPr>
        <w:sectPr>
          <w:pgSz w:w="12240" w:h="15840"/>
          <w:pgMar w:header="724" w:footer="712" w:top="1880" w:bottom="900" w:left="1080" w:right="1080"/>
        </w:sectPr>
      </w:pPr>
    </w:p>
    <w:p>
      <w:pPr>
        <w:pStyle w:val="BodyText"/>
        <w:spacing w:before="40"/>
        <w:rPr>
          <w:sz w:val="22"/>
        </w:rPr>
      </w:pPr>
    </w:p>
    <w:p>
      <w:pPr>
        <w:pStyle w:val="Heading2"/>
        <w:ind w:right="0"/>
        <w:jc w:val="left"/>
      </w:pPr>
      <w:r>
        <w:rPr/>
        <w:t>DECRETO por el que se reforma el artículo 311 y se adiciona el capítulo XII Bis de la Ley Federal del Trabajo, en materia de Teletrabajo.</w:t>
      </w:r>
    </w:p>
    <w:p>
      <w:pPr>
        <w:spacing w:before="232"/>
        <w:ind w:left="296" w:right="29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11</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2021</w:t>
      </w:r>
    </w:p>
    <w:p>
      <w:pPr>
        <w:pStyle w:val="BodyText"/>
        <w:spacing w:before="46"/>
        <w:rPr>
          <w:sz w:val="16"/>
        </w:rPr>
      </w:pPr>
    </w:p>
    <w:p>
      <w:pPr>
        <w:pStyle w:val="BodyText"/>
        <w:ind w:left="338" w:right="336" w:firstLine="288"/>
      </w:pPr>
      <w:r>
        <w:rPr>
          <w:rFonts w:ascii="Arial" w:hAnsi="Arial"/>
          <w:b/>
        </w:rPr>
        <w:t>Artículo Único.- </w:t>
      </w:r>
      <w:r>
        <w:rPr/>
        <w:t>Se reforma el artículo 311; y se adiciona un Capítulo XII Bis con los artículos 330-A; 330-B;</w:t>
      </w:r>
      <w:r>
        <w:rPr>
          <w:spacing w:val="13"/>
        </w:rPr>
        <w:t> </w:t>
      </w:r>
      <w:r>
        <w:rPr/>
        <w:t>330-C;</w:t>
      </w:r>
      <w:r>
        <w:rPr>
          <w:spacing w:val="15"/>
        </w:rPr>
        <w:t> </w:t>
      </w:r>
      <w:r>
        <w:rPr/>
        <w:t>330-D;</w:t>
      </w:r>
      <w:r>
        <w:rPr>
          <w:spacing w:val="15"/>
        </w:rPr>
        <w:t> </w:t>
      </w:r>
      <w:r>
        <w:rPr/>
        <w:t>330-E;</w:t>
      </w:r>
      <w:r>
        <w:rPr>
          <w:spacing w:val="15"/>
        </w:rPr>
        <w:t> </w:t>
      </w:r>
      <w:r>
        <w:rPr/>
        <w:t>330-F;</w:t>
      </w:r>
      <w:r>
        <w:rPr>
          <w:spacing w:val="15"/>
        </w:rPr>
        <w:t> </w:t>
      </w:r>
      <w:r>
        <w:rPr/>
        <w:t>330-G;</w:t>
      </w:r>
      <w:r>
        <w:rPr>
          <w:spacing w:val="13"/>
        </w:rPr>
        <w:t> </w:t>
      </w:r>
      <w:r>
        <w:rPr/>
        <w:t>330-H;</w:t>
      </w:r>
      <w:r>
        <w:rPr>
          <w:spacing w:val="15"/>
        </w:rPr>
        <w:t> </w:t>
      </w:r>
      <w:r>
        <w:rPr/>
        <w:t>330-I;</w:t>
      </w:r>
      <w:r>
        <w:rPr>
          <w:spacing w:val="15"/>
        </w:rPr>
        <w:t> </w:t>
      </w:r>
      <w:r>
        <w:rPr/>
        <w:t>330-J</w:t>
      </w:r>
      <w:r>
        <w:rPr>
          <w:spacing w:val="19"/>
        </w:rPr>
        <w:t> </w:t>
      </w:r>
      <w:r>
        <w:rPr/>
        <w:t>y</w:t>
      </w:r>
      <w:r>
        <w:rPr>
          <w:spacing w:val="12"/>
        </w:rPr>
        <w:t> </w:t>
      </w:r>
      <w:r>
        <w:rPr/>
        <w:t>330-K</w:t>
      </w:r>
      <w:r>
        <w:rPr>
          <w:spacing w:val="15"/>
        </w:rPr>
        <w:t> </w:t>
      </w:r>
      <w:r>
        <w:rPr/>
        <w:t>de</w:t>
      </w:r>
      <w:r>
        <w:rPr>
          <w:spacing w:val="14"/>
        </w:rPr>
        <w:t> </w:t>
      </w:r>
      <w:r>
        <w:rPr/>
        <w:t>la</w:t>
      </w:r>
      <w:r>
        <w:rPr>
          <w:spacing w:val="17"/>
        </w:rPr>
        <w:t> </w:t>
      </w:r>
      <w:r>
        <w:rPr/>
        <w:t>Ley</w:t>
      </w:r>
      <w:r>
        <w:rPr>
          <w:spacing w:val="12"/>
        </w:rPr>
        <w:t> </w:t>
      </w:r>
      <w:r>
        <w:rPr/>
        <w:t>Federal</w:t>
      </w:r>
      <w:r>
        <w:rPr>
          <w:spacing w:val="14"/>
        </w:rPr>
        <w:t> </w:t>
      </w:r>
      <w:r>
        <w:rPr/>
        <w:t>del</w:t>
      </w:r>
      <w:r>
        <w:rPr>
          <w:spacing w:val="14"/>
        </w:rPr>
        <w:t> </w:t>
      </w:r>
      <w:r>
        <w:rPr>
          <w:spacing w:val="-2"/>
        </w:rPr>
        <w:t>Trabajo,</w:t>
      </w:r>
    </w:p>
    <w:p>
      <w:pPr>
        <w:pStyle w:val="BodyText"/>
        <w:spacing w:before="1"/>
        <w:ind w:left="338"/>
      </w:pPr>
      <w:r>
        <w:rPr/>
        <w:t>para</w:t>
      </w:r>
      <w:r>
        <w:rPr>
          <w:spacing w:val="-6"/>
        </w:rPr>
        <w:t> </w:t>
      </w:r>
      <w:r>
        <w:rPr/>
        <w:t>quedar</w:t>
      </w:r>
      <w:r>
        <w:rPr>
          <w:spacing w:val="-5"/>
        </w:rPr>
        <w:t> </w:t>
      </w:r>
      <w:r>
        <w:rPr/>
        <w:t>como</w:t>
      </w:r>
      <w:r>
        <w:rPr>
          <w:spacing w:val="-6"/>
        </w:rPr>
        <w:t> </w:t>
      </w:r>
      <w:r>
        <w:rPr>
          <w:spacing w:val="-2"/>
        </w:rPr>
        <w:t>sigue:</w:t>
      </w:r>
    </w:p>
    <w:p>
      <w:pPr>
        <w:pStyle w:val="BodyText"/>
      </w:pPr>
    </w:p>
    <w:p>
      <w:pPr>
        <w:spacing w:before="1"/>
        <w:ind w:left="626" w:right="0" w:firstLine="0"/>
        <w:jc w:val="left"/>
        <w:rPr>
          <w:sz w:val="20"/>
        </w:rPr>
      </w:pPr>
      <w:r>
        <w:rPr>
          <w:spacing w:val="-4"/>
          <w:sz w:val="20"/>
        </w:rPr>
        <w:t>……..</w:t>
      </w:r>
    </w:p>
    <w:p>
      <w:pPr>
        <w:pStyle w:val="Heading2"/>
        <w:spacing w:before="226"/>
        <w:ind w:left="300"/>
      </w:pPr>
      <w:r>
        <w:rPr>
          <w:spacing w:val="-2"/>
        </w:rPr>
        <w:t>Transitorios</w:t>
      </w:r>
    </w:p>
    <w:p>
      <w:pPr>
        <w:pStyle w:val="BodyText"/>
        <w:spacing w:before="2"/>
        <w:rPr>
          <w:rFonts w:ascii="Arial"/>
          <w:b/>
        </w:rPr>
      </w:pPr>
    </w:p>
    <w:p>
      <w:pPr>
        <w:pStyle w:val="BodyText"/>
        <w:spacing w:line="242" w:lineRule="auto"/>
        <w:ind w:left="338" w:right="341"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4"/>
        <w:ind w:left="338" w:right="341" w:firstLine="288"/>
        <w:jc w:val="both"/>
      </w:pPr>
      <w:r>
        <w:rPr>
          <w:rFonts w:ascii="Arial" w:hAnsi="Arial"/>
          <w:b/>
        </w:rPr>
        <w:t>Segundo.-</w:t>
      </w:r>
      <w:r>
        <w:rPr>
          <w:rFonts w:ascii="Arial" w:hAnsi="Arial"/>
          <w:b/>
          <w:spacing w:val="-1"/>
        </w:rPr>
        <w:t> </w:t>
      </w:r>
      <w:r>
        <w:rPr/>
        <w:t>El Poder Ejecutivo</w:t>
      </w:r>
      <w:r>
        <w:rPr>
          <w:spacing w:val="-2"/>
        </w:rPr>
        <w:t> </w:t>
      </w:r>
      <w:r>
        <w:rPr/>
        <w:t>Federal</w:t>
      </w:r>
      <w:r>
        <w:rPr>
          <w:spacing w:val="-3"/>
        </w:rPr>
        <w:t> </w:t>
      </w:r>
      <w:r>
        <w:rPr/>
        <w:t>dispondrá de un</w:t>
      </w:r>
      <w:r>
        <w:rPr>
          <w:spacing w:val="-2"/>
        </w:rPr>
        <w:t> </w:t>
      </w:r>
      <w:r>
        <w:rPr/>
        <w:t>plazo de dieciocho</w:t>
      </w:r>
      <w:r>
        <w:rPr>
          <w:spacing w:val="-2"/>
        </w:rPr>
        <w:t> </w:t>
      </w:r>
      <w:r>
        <w:rPr/>
        <w:t>meses</w:t>
      </w:r>
      <w:r>
        <w:rPr>
          <w:spacing w:val="-1"/>
        </w:rPr>
        <w:t> </w:t>
      </w:r>
      <w:r>
        <w:rPr/>
        <w:t>contados</w:t>
      </w:r>
      <w:r>
        <w:rPr>
          <w:spacing w:val="-1"/>
        </w:rPr>
        <w:t> </w:t>
      </w:r>
      <w:r>
        <w:rPr/>
        <w:t>a partir</w:t>
      </w:r>
      <w:r>
        <w:rPr>
          <w:spacing w:val="-1"/>
        </w:rPr>
        <w:t> </w:t>
      </w:r>
      <w:r>
        <w:rPr/>
        <w:t>de la entrada en vigor del presente Decreto, para publicar una Norma Oficial Mexicana que rija las obligaciones en materia de seguridad y salud en el trabajo para el teletrabajo, de conformidad con lo establecido</w:t>
      </w:r>
      <w:r>
        <w:rPr>
          <w:spacing w:val="40"/>
        </w:rPr>
        <w:t> </w:t>
      </w:r>
      <w:r>
        <w:rPr/>
        <w:t>en el artículo 330-J.</w:t>
      </w:r>
    </w:p>
    <w:p>
      <w:pPr>
        <w:spacing w:before="221"/>
        <w:ind w:left="338" w:right="334" w:firstLine="288"/>
        <w:jc w:val="both"/>
        <w:rPr>
          <w:rFonts w:ascii="Arial" w:hAnsi="Arial"/>
          <w:b/>
          <w:sz w:val="20"/>
        </w:rPr>
      </w:pPr>
      <w:r>
        <w:rPr>
          <w:sz w:val="20"/>
        </w:rPr>
        <w:t>Ciudad de México, a 9 de diciembre de 2020.-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Julieta Macías Rábago</w:t>
      </w:r>
      <w:r>
        <w:rPr>
          <w:sz w:val="20"/>
        </w:rPr>
        <w:t>, Secretaria.- Sen. </w:t>
      </w:r>
      <w:r>
        <w:rPr>
          <w:rFonts w:ascii="Arial" w:hAnsi="Arial"/>
          <w:b/>
          <w:sz w:val="20"/>
        </w:rPr>
        <w:t>Lilia Margarita Valdez Martínez</w:t>
      </w:r>
      <w:r>
        <w:rPr>
          <w:sz w:val="20"/>
        </w:rPr>
        <w:t>, Secretaria.- Rúbricas.</w:t>
      </w:r>
      <w:r>
        <w:rPr>
          <w:rFonts w:ascii="Arial" w:hAnsi="Arial"/>
          <w:b/>
          <w:sz w:val="20"/>
        </w:rPr>
        <w:t>"</w:t>
      </w:r>
    </w:p>
    <w:p>
      <w:pPr>
        <w:pStyle w:val="BodyText"/>
        <w:spacing w:before="4"/>
        <w:rPr>
          <w:rFonts w:ascii="Arial"/>
          <w:b/>
        </w:rPr>
      </w:pPr>
    </w:p>
    <w:p>
      <w:pPr>
        <w:pStyle w:val="BodyText"/>
        <w:ind w:left="338" w:right="33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6 de enero de 2021.-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0"/>
        <w:jc w:val="left"/>
      </w:pPr>
      <w:r>
        <w:rPr/>
        <w:t>DECRETO</w:t>
      </w:r>
      <w:r>
        <w:rPr>
          <w:spacing w:val="-3"/>
        </w:rPr>
        <w:t> </w:t>
      </w:r>
      <w:r>
        <w:rPr/>
        <w:t>por</w:t>
      </w:r>
      <w:r>
        <w:rPr>
          <w:spacing w:val="-1"/>
        </w:rPr>
        <w:t> </w:t>
      </w:r>
      <w:r>
        <w:rPr/>
        <w:t>el</w:t>
      </w:r>
      <w:r>
        <w:rPr>
          <w:spacing w:val="-1"/>
        </w:rPr>
        <w:t> </w:t>
      </w:r>
      <w:r>
        <w:rPr/>
        <w:t>que</w:t>
      </w:r>
      <w:r>
        <w:rPr>
          <w:spacing w:val="-4"/>
        </w:rPr>
        <w:t> </w:t>
      </w:r>
      <w:r>
        <w:rPr/>
        <w:t>se</w:t>
      </w:r>
      <w:r>
        <w:rPr>
          <w:spacing w:val="-2"/>
        </w:rPr>
        <w:t> </w:t>
      </w:r>
      <w:r>
        <w:rPr/>
        <w:t>reforma</w:t>
      </w:r>
      <w:r>
        <w:rPr>
          <w:spacing w:val="-4"/>
        </w:rPr>
        <w:t> </w:t>
      </w:r>
      <w:r>
        <w:rPr/>
        <w:t>y</w:t>
      </w:r>
      <w:r>
        <w:rPr>
          <w:spacing w:val="-6"/>
        </w:rPr>
        <w:t> </w:t>
      </w:r>
      <w:r>
        <w:rPr/>
        <w:t>adiciona</w:t>
      </w:r>
      <w:r>
        <w:rPr>
          <w:spacing w:val="-3"/>
        </w:rPr>
        <w:t> </w:t>
      </w:r>
      <w:r>
        <w:rPr/>
        <w:t>el</w:t>
      </w:r>
      <w:r>
        <w:rPr>
          <w:spacing w:val="-5"/>
        </w:rPr>
        <w:t> </w:t>
      </w:r>
      <w:r>
        <w:rPr/>
        <w:t>artículo</w:t>
      </w:r>
      <w:r>
        <w:rPr>
          <w:spacing w:val="-2"/>
        </w:rPr>
        <w:t> </w:t>
      </w:r>
      <w:r>
        <w:rPr/>
        <w:t>90</w:t>
      </w:r>
      <w:r>
        <w:rPr>
          <w:spacing w:val="-4"/>
        </w:rPr>
        <w:t> </w:t>
      </w:r>
      <w:r>
        <w:rPr/>
        <w:t>de</w:t>
      </w:r>
      <w:r>
        <w:rPr>
          <w:spacing w:val="-5"/>
        </w:rPr>
        <w:t> </w:t>
      </w:r>
      <w:r>
        <w:rPr/>
        <w:t>la</w:t>
      </w:r>
      <w:r>
        <w:rPr>
          <w:spacing w:val="-5"/>
        </w:rPr>
        <w:t> </w:t>
      </w:r>
      <w:r>
        <w:rPr/>
        <w:t>Ley</w:t>
      </w:r>
      <w:r>
        <w:rPr>
          <w:spacing w:val="-6"/>
        </w:rPr>
        <w:t> </w:t>
      </w:r>
      <w:r>
        <w:rPr/>
        <w:t>Federal</w:t>
      </w:r>
      <w:r>
        <w:rPr>
          <w:spacing w:val="-1"/>
        </w:rPr>
        <w:t> </w:t>
      </w:r>
      <w:r>
        <w:rPr/>
        <w:t>del </w:t>
      </w:r>
      <w:r>
        <w:rPr>
          <w:spacing w:val="-2"/>
        </w:rPr>
        <w:t>Trabajo.</w:t>
      </w:r>
    </w:p>
    <w:p>
      <w:pPr>
        <w:spacing w:before="233"/>
        <w:ind w:left="297" w:right="29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30</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2021</w:t>
      </w:r>
    </w:p>
    <w:p>
      <w:pPr>
        <w:pStyle w:val="BodyText"/>
        <w:spacing w:before="43"/>
        <w:rPr>
          <w:sz w:val="16"/>
        </w:rPr>
      </w:pPr>
    </w:p>
    <w:p>
      <w:pPr>
        <w:pStyle w:val="BodyText"/>
        <w:spacing w:line="242" w:lineRule="auto" w:before="1"/>
        <w:ind w:left="338" w:right="357" w:firstLine="288"/>
      </w:pPr>
      <w:r>
        <w:rPr>
          <w:rFonts w:ascii="Arial" w:hAnsi="Arial"/>
          <w:b/>
        </w:rPr>
        <w:t>Artículo Único.- </w:t>
      </w:r>
      <w:r>
        <w:rPr/>
        <w:t>Se reforman los párrafos primero, segundo y tercero y se adiciona un párrafo cuarto al artículo 90 de la Ley Federal del Trabajo, para quedar como sigue:</w:t>
      </w:r>
    </w:p>
    <w:p>
      <w:pPr>
        <w:spacing w:before="229"/>
        <w:ind w:left="626" w:right="0" w:firstLine="0"/>
        <w:jc w:val="left"/>
        <w:rPr>
          <w:sz w:val="20"/>
        </w:rPr>
      </w:pPr>
      <w:r>
        <w:rPr>
          <w:spacing w:val="-4"/>
          <w:sz w:val="20"/>
        </w:rPr>
        <w:t>……..</w:t>
      </w:r>
    </w:p>
    <w:p>
      <w:pPr>
        <w:pStyle w:val="Heading2"/>
        <w:spacing w:before="224"/>
        <w:ind w:left="300"/>
      </w:pPr>
      <w:r>
        <w:rPr>
          <w:spacing w:val="-2"/>
        </w:rPr>
        <w:t>Transitorios</w:t>
      </w:r>
    </w:p>
    <w:p>
      <w:pPr>
        <w:pStyle w:val="BodyText"/>
        <w:spacing w:before="3"/>
        <w:rPr>
          <w:rFonts w:ascii="Arial"/>
          <w:b/>
        </w:rPr>
      </w:pPr>
    </w:p>
    <w:p>
      <w:pPr>
        <w:pStyle w:val="BodyText"/>
        <w:ind w:left="338" w:right="345" w:firstLine="288"/>
        <w:jc w:val="both"/>
      </w:pPr>
      <w:r>
        <w:rPr>
          <w:rFonts w:ascii="Arial" w:hAnsi="Arial"/>
          <w:b/>
        </w:rPr>
        <w:t>Primero. </w:t>
      </w:r>
      <w:r>
        <w:rPr/>
        <w:t>El presente Decreto entrará en vigor el día siguiente al de su publicación en el Diario Oficial de la Federación.</w:t>
      </w:r>
    </w:p>
    <w:p>
      <w:pPr>
        <w:pStyle w:val="BodyText"/>
      </w:pPr>
    </w:p>
    <w:p>
      <w:pPr>
        <w:pStyle w:val="BodyText"/>
        <w:ind w:left="626"/>
      </w:pPr>
      <w:r>
        <w:rPr>
          <w:rFonts w:ascii="Arial"/>
          <w:b/>
        </w:rPr>
        <w:t>Segundo.</w:t>
      </w:r>
      <w:r>
        <w:rPr>
          <w:rFonts w:ascii="Arial"/>
          <w:b/>
          <w:spacing w:val="-7"/>
        </w:rPr>
        <w:t> </w:t>
      </w:r>
      <w:r>
        <w:rPr/>
        <w:t>Se</w:t>
      </w:r>
      <w:r>
        <w:rPr>
          <w:spacing w:val="-8"/>
        </w:rPr>
        <w:t> </w:t>
      </w:r>
      <w:r>
        <w:rPr/>
        <w:t>derogan</w:t>
      </w:r>
      <w:r>
        <w:rPr>
          <w:spacing w:val="-8"/>
        </w:rPr>
        <w:t> </w:t>
      </w:r>
      <w:r>
        <w:rPr/>
        <w:t>todas</w:t>
      </w:r>
      <w:r>
        <w:rPr>
          <w:spacing w:val="-7"/>
        </w:rPr>
        <w:t> </w:t>
      </w:r>
      <w:r>
        <w:rPr/>
        <w:t>las</w:t>
      </w:r>
      <w:r>
        <w:rPr>
          <w:spacing w:val="-7"/>
        </w:rPr>
        <w:t> </w:t>
      </w:r>
      <w:r>
        <w:rPr/>
        <w:t>disposiciones</w:t>
      </w:r>
      <w:r>
        <w:rPr>
          <w:spacing w:val="-6"/>
        </w:rPr>
        <w:t> </w:t>
      </w:r>
      <w:r>
        <w:rPr/>
        <w:t>que</w:t>
      </w:r>
      <w:r>
        <w:rPr>
          <w:spacing w:val="-9"/>
        </w:rPr>
        <w:t> </w:t>
      </w:r>
      <w:r>
        <w:rPr/>
        <w:t>se</w:t>
      </w:r>
      <w:r>
        <w:rPr>
          <w:spacing w:val="-6"/>
        </w:rPr>
        <w:t> </w:t>
      </w:r>
      <w:r>
        <w:rPr/>
        <w:t>opongan</w:t>
      </w:r>
      <w:r>
        <w:rPr>
          <w:spacing w:val="-6"/>
        </w:rPr>
        <w:t> </w:t>
      </w:r>
      <w:r>
        <w:rPr/>
        <w:t>al</w:t>
      </w:r>
      <w:r>
        <w:rPr>
          <w:spacing w:val="-7"/>
        </w:rPr>
        <w:t> </w:t>
      </w:r>
      <w:r>
        <w:rPr/>
        <w:t>presente</w:t>
      </w:r>
      <w:r>
        <w:rPr>
          <w:spacing w:val="-8"/>
        </w:rPr>
        <w:t> </w:t>
      </w:r>
      <w:r>
        <w:rPr>
          <w:spacing w:val="-2"/>
        </w:rPr>
        <w:t>Decreto.</w:t>
      </w:r>
    </w:p>
    <w:p>
      <w:pPr>
        <w:pStyle w:val="BodyText"/>
        <w:spacing w:before="1"/>
      </w:pPr>
    </w:p>
    <w:p>
      <w:pPr>
        <w:spacing w:before="0"/>
        <w:ind w:left="338" w:right="336" w:firstLine="288"/>
        <w:jc w:val="both"/>
        <w:rPr>
          <w:rFonts w:ascii="Arial" w:hAnsi="Arial"/>
          <w:b/>
          <w:sz w:val="20"/>
        </w:rPr>
      </w:pPr>
      <w:r>
        <w:rPr>
          <w:sz w:val="20"/>
        </w:rPr>
        <w:t>Ciudad de México, a 3 de marzo de 2021.- Sen. </w:t>
      </w:r>
      <w:r>
        <w:rPr>
          <w:rFonts w:ascii="Arial" w:hAnsi="Arial"/>
          <w:b/>
          <w:sz w:val="20"/>
        </w:rPr>
        <w:t>Oscar Eduardo Ramírez Aguilar</w:t>
      </w:r>
      <w:r>
        <w:rPr>
          <w:sz w:val="20"/>
        </w:rPr>
        <w:t>, Presidente.-</w:t>
      </w:r>
      <w:r>
        <w:rPr>
          <w:spacing w:val="40"/>
          <w:sz w:val="20"/>
        </w:rPr>
        <w:t> </w:t>
      </w:r>
      <w:r>
        <w:rPr>
          <w:sz w:val="20"/>
        </w:rPr>
        <w:t>Dip. </w:t>
      </w:r>
      <w:r>
        <w:rPr>
          <w:rFonts w:ascii="Arial" w:hAnsi="Arial"/>
          <w:b/>
          <w:sz w:val="20"/>
        </w:rPr>
        <w:t>Dulce María Sauri Riancho</w:t>
      </w:r>
      <w:r>
        <w:rPr>
          <w:sz w:val="20"/>
        </w:rPr>
        <w:t>, Presidenta.- Sen. </w:t>
      </w:r>
      <w:r>
        <w:rPr>
          <w:rFonts w:ascii="Arial" w:hAnsi="Arial"/>
          <w:b/>
          <w:sz w:val="20"/>
        </w:rPr>
        <w:t>María Merced González González</w:t>
      </w:r>
      <w:r>
        <w:rPr>
          <w:sz w:val="20"/>
        </w:rPr>
        <w:t>, Secretaria.-</w:t>
      </w:r>
      <w:r>
        <w:rPr>
          <w:spacing w:val="40"/>
          <w:sz w:val="20"/>
        </w:rPr>
        <w:t> </w:t>
      </w:r>
      <w:r>
        <w:rPr>
          <w:sz w:val="20"/>
        </w:rPr>
        <w:t>Dip. </w:t>
      </w:r>
      <w:r>
        <w:rPr>
          <w:rFonts w:ascii="Arial" w:hAnsi="Arial"/>
          <w:b/>
          <w:sz w:val="20"/>
        </w:rPr>
        <w:t>María Guadalupe Díaz Avilez</w:t>
      </w:r>
      <w:r>
        <w:rPr>
          <w:sz w:val="20"/>
        </w:rPr>
        <w:t>, Secretaria.- Rúbricas.</w:t>
      </w:r>
      <w:r>
        <w:rPr>
          <w:rFonts w:ascii="Arial" w:hAnsi="Arial"/>
          <w:b/>
          <w:sz w:val="20"/>
        </w:rPr>
        <w:t>"</w:t>
      </w:r>
    </w:p>
    <w:p>
      <w:pPr>
        <w:pStyle w:val="BodyText"/>
        <w:spacing w:before="1"/>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marzo de 2021.-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334"/>
        <w:jc w:val="both"/>
      </w:pPr>
      <w:r>
        <w:rPr/>
        <w:t>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w:t>
      </w:r>
    </w:p>
    <w:p>
      <w:pPr>
        <w:spacing w:before="231"/>
        <w:ind w:left="297" w:right="29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23</w:t>
      </w:r>
      <w:r>
        <w:rPr>
          <w:spacing w:val="-3"/>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2021</w:t>
      </w:r>
    </w:p>
    <w:p>
      <w:pPr>
        <w:pStyle w:val="BodyText"/>
        <w:spacing w:before="46"/>
        <w:rPr>
          <w:sz w:val="16"/>
        </w:rPr>
      </w:pPr>
    </w:p>
    <w:p>
      <w:pPr>
        <w:pStyle w:val="BodyText"/>
        <w:spacing w:line="242" w:lineRule="auto"/>
        <w:ind w:left="338" w:right="335" w:firstLine="288"/>
        <w:jc w:val="both"/>
      </w:pPr>
      <w:r>
        <w:rPr>
          <w:rFonts w:ascii="Arial" w:hAnsi="Arial"/>
          <w:b/>
        </w:rPr>
        <w:t>Artículo Primero. </w:t>
      </w:r>
      <w:r>
        <w:rPr/>
        <w:t>Se reforman los artículos 12; 13; 14; 15; 127, primer párrafo; 1004-A, y 1004-C; se adicionan un tercer párrafo del artículo 41; una fracción VIII al artículo 127, y</w:t>
      </w:r>
      <w:r>
        <w:rPr>
          <w:spacing w:val="-2"/>
        </w:rPr>
        <w:t> </w:t>
      </w:r>
      <w:r>
        <w:rPr/>
        <w:t>se derogan los artículos 15- A; 15-B; 15-C, y 15-D, de la Ley Federal del Trabajo, para quedar como sigue:</w:t>
      </w:r>
    </w:p>
    <w:p>
      <w:pPr>
        <w:spacing w:before="225"/>
        <w:ind w:left="626" w:right="0" w:firstLine="0"/>
        <w:jc w:val="left"/>
        <w:rPr>
          <w:sz w:val="20"/>
        </w:rPr>
      </w:pPr>
      <w:r>
        <w:rPr>
          <w:spacing w:val="-4"/>
          <w:sz w:val="20"/>
        </w:rPr>
        <w:t>……..</w:t>
      </w:r>
    </w:p>
    <w:p>
      <w:pPr>
        <w:pStyle w:val="Heading2"/>
        <w:spacing w:before="227"/>
        <w:ind w:left="300"/>
      </w:pPr>
      <w:r>
        <w:rPr>
          <w:spacing w:val="-2"/>
        </w:rPr>
        <w:t>Transitorios</w:t>
      </w:r>
    </w:p>
    <w:p>
      <w:pPr>
        <w:pStyle w:val="BodyText"/>
        <w:spacing w:line="242" w:lineRule="auto" w:before="227"/>
        <w:ind w:left="338" w:right="345" w:firstLine="288"/>
        <w:jc w:val="both"/>
      </w:pPr>
      <w:r>
        <w:rPr>
          <w:rFonts w:ascii="Arial" w:hAnsi="Arial"/>
          <w:b/>
        </w:rPr>
        <w:t>Primero. </w:t>
      </w:r>
      <w:r>
        <w:rPr/>
        <w:t>El presente Decreto entrará en vigor el día siguiente al de su publicación en el Diario Oficial de la Federación, con excepción de lo previsto en los artículos Cuarto, Quinto y Sexto del presente Decreto, que entrarán en vigor el</w:t>
      </w:r>
      <w:r>
        <w:rPr>
          <w:spacing w:val="-2"/>
        </w:rPr>
        <w:t> </w:t>
      </w:r>
      <w:r>
        <w:rPr/>
        <w:t>1 de septiembre</w:t>
      </w:r>
      <w:r>
        <w:rPr>
          <w:spacing w:val="-1"/>
        </w:rPr>
        <w:t> </w:t>
      </w:r>
      <w:r>
        <w:rPr/>
        <w:t>de 2021 y</w:t>
      </w:r>
      <w:r>
        <w:rPr>
          <w:spacing w:val="-2"/>
        </w:rPr>
        <w:t> </w:t>
      </w:r>
      <w:r>
        <w:rPr/>
        <w:t>lo previsto en los artículos Séptimo y</w:t>
      </w:r>
      <w:r>
        <w:rPr>
          <w:spacing w:val="-4"/>
        </w:rPr>
        <w:t> </w:t>
      </w:r>
      <w:r>
        <w:rPr/>
        <w:t>Octavo del presente Decreto entrarán en vigor en el ejercicio fiscal 2022.</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31-07-</w:t>
      </w:r>
      <w:r>
        <w:rPr>
          <w:rFonts w:ascii="Times New Roman" w:hAnsi="Times New Roman"/>
          <w:i/>
          <w:color w:val="0000FF"/>
          <w:spacing w:val="-4"/>
          <w:sz w:val="16"/>
        </w:rPr>
        <w:t>2021</w:t>
      </w:r>
    </w:p>
    <w:p>
      <w:pPr>
        <w:pStyle w:val="BodyText"/>
        <w:spacing w:before="47"/>
        <w:rPr>
          <w:rFonts w:ascii="Times New Roman"/>
          <w:i/>
          <w:sz w:val="16"/>
        </w:rPr>
      </w:pPr>
    </w:p>
    <w:p>
      <w:pPr>
        <w:pStyle w:val="BodyText"/>
        <w:spacing w:line="242" w:lineRule="auto"/>
        <w:ind w:left="338" w:right="347" w:firstLine="288"/>
        <w:jc w:val="both"/>
      </w:pPr>
      <w:r>
        <w:rPr>
          <w:rFonts w:ascii="Arial" w:hAnsi="Arial"/>
          <w:b/>
        </w:rPr>
        <w:t>Segundo. </w:t>
      </w:r>
      <w:r>
        <w:rPr/>
        <w:t>Dentro de los 30 días naturales siguientes a la entrada en vigor del presente Decreto, la Secretaría del Trabajo y Previsión Social deberá expedir las disposiciones de carácter general a que se refiere el artículo 15, párrafo sexto, de la Ley Federal del Trabajo.</w:t>
      </w:r>
    </w:p>
    <w:p>
      <w:pPr>
        <w:pStyle w:val="BodyText"/>
        <w:spacing w:line="242" w:lineRule="auto" w:before="219"/>
        <w:ind w:left="338" w:right="341" w:firstLine="288"/>
        <w:jc w:val="both"/>
      </w:pPr>
      <w:r>
        <w:rPr>
          <w:rFonts w:ascii="Arial" w:hAnsi="Arial"/>
          <w:b/>
        </w:rPr>
        <w:t>Tercero. </w:t>
      </w:r>
      <w:r>
        <w:rPr/>
        <w:t>A la fecha de entrada en vigor del presente Decreto, las personas físicas o morales que presten servicios de subcontratación, deberán obtener el registro ante la Secretaría del Trabajo y Previsión Social que prevé el artículo 15 de la Ley Federal del Trabajo, a más tardar el 1 de septiembre</w:t>
      </w:r>
      <w:r>
        <w:rPr>
          <w:spacing w:val="40"/>
        </w:rPr>
        <w:t> </w:t>
      </w:r>
      <w:r>
        <w:rPr/>
        <w:t>de 2021.</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31-07-</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338" w:right="342" w:firstLine="288"/>
        <w:jc w:val="both"/>
      </w:pPr>
      <w:r>
        <w:rPr>
          <w:rFonts w:ascii="Arial" w:hAnsi="Arial"/>
          <w:b/>
        </w:rPr>
        <w:t>Cuarto. </w:t>
      </w:r>
      <w:r>
        <w:rPr/>
        <w:t>Para fines de lo dispuesto en el párrafo tercero del artículo 41 de la Ley Federal del Trabajo, tratándose de empresas que operan bajo un régimen de subcontratación, no será requisito la transmisión de los bienes objeto de la empresa o establecimiento hasta el 1 de septiembre de 2021, siempre que la persona</w:t>
      </w:r>
      <w:r>
        <w:rPr>
          <w:spacing w:val="-2"/>
        </w:rPr>
        <w:t> </w:t>
      </w:r>
      <w:r>
        <w:rPr/>
        <w:t>contratista</w:t>
      </w:r>
      <w:r>
        <w:rPr>
          <w:spacing w:val="-2"/>
        </w:rPr>
        <w:t> </w:t>
      </w:r>
      <w:r>
        <w:rPr/>
        <w:t>transfiera</w:t>
      </w:r>
      <w:r>
        <w:rPr>
          <w:spacing w:val="-2"/>
        </w:rPr>
        <w:t> </w:t>
      </w:r>
      <w:r>
        <w:rPr/>
        <w:t>a la</w:t>
      </w:r>
      <w:r>
        <w:rPr>
          <w:spacing w:val="-2"/>
        </w:rPr>
        <w:t> </w:t>
      </w:r>
      <w:r>
        <w:rPr/>
        <w:t>persona beneficiaria a</w:t>
      </w:r>
      <w:r>
        <w:rPr>
          <w:spacing w:val="-2"/>
        </w:rPr>
        <w:t> </w:t>
      </w:r>
      <w:r>
        <w:rPr/>
        <w:t>los</w:t>
      </w:r>
      <w:r>
        <w:rPr>
          <w:spacing w:val="-1"/>
        </w:rPr>
        <w:t> </w:t>
      </w:r>
      <w:r>
        <w:rPr/>
        <w:t>trabajadores en dicho</w:t>
      </w:r>
      <w:r>
        <w:rPr>
          <w:spacing w:val="-2"/>
        </w:rPr>
        <w:t> </w:t>
      </w:r>
      <w:r>
        <w:rPr/>
        <w:t>plazo. En todo</w:t>
      </w:r>
      <w:r>
        <w:rPr>
          <w:spacing w:val="-2"/>
        </w:rPr>
        <w:t> </w:t>
      </w:r>
      <w:r>
        <w:rPr/>
        <w:t>caso</w:t>
      </w:r>
      <w:r>
        <w:rPr>
          <w:spacing w:val="-2"/>
        </w:rPr>
        <w:t> </w:t>
      </w:r>
      <w:r>
        <w:rPr/>
        <w:t>se deberán reconocer los derechos laborales, incluida su antigüedad, que se hubieran generado por el</w:t>
      </w:r>
      <w:r>
        <w:rPr>
          <w:spacing w:val="40"/>
        </w:rPr>
        <w:t> </w:t>
      </w:r>
      <w:r>
        <w:rPr/>
        <w:t>efecto de la relación de trabajo.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31-07-</w:t>
      </w:r>
      <w:r>
        <w:rPr>
          <w:rFonts w:ascii="Times New Roman" w:hAnsi="Times New Roman"/>
          <w:i/>
          <w:color w:val="0000FF"/>
          <w:spacing w:val="-4"/>
          <w:sz w:val="16"/>
        </w:rPr>
        <w:t>2021</w:t>
      </w:r>
    </w:p>
    <w:p>
      <w:pPr>
        <w:pStyle w:val="BodyText"/>
        <w:spacing w:before="48"/>
        <w:rPr>
          <w:rFonts w:ascii="Times New Roman"/>
          <w:i/>
          <w:sz w:val="16"/>
        </w:rPr>
      </w:pPr>
    </w:p>
    <w:p>
      <w:pPr>
        <w:pStyle w:val="BodyText"/>
        <w:ind w:left="338" w:right="334" w:firstLine="288"/>
        <w:jc w:val="both"/>
      </w:pPr>
      <w:r>
        <w:rPr>
          <w:rFonts w:ascii="Arial" w:hAnsi="Arial"/>
          <w:b/>
        </w:rPr>
        <w:t>Quinto. </w:t>
      </w:r>
      <w:r>
        <w:rPr/>
        <w:t>Aquellos patrones que, en términos del segundo párrafo del artículo 75 de la Ley del Seguro Social, previo a la entrada en vigor del presente Decreto, hubiesen solicitado al Instituto Mexicano del Seguro Social la asignación de uno o más registros patronales por clase, de las señaladas en el artículo 73 de la Ley del Seguro Social, para realizar la inscripción de sus trabajadores a nivel nacional, tendrán hasta el 1 de septiembre de 2021 para dar de baja dichos registros patronales y de ser procedente, solicitar al mencionado Instituto se le otorgue un registro patronal en términos de lo dispuesto por el Reglamento de la Ley del Seguro Social en materia de Afiliación, Clasificación de Empresas, Recaudación y Fiscalización.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31-07-</w:t>
      </w:r>
      <w:r>
        <w:rPr>
          <w:rFonts w:ascii="Times New Roman" w:hAnsi="Times New Roman"/>
          <w:i/>
          <w:color w:val="0000FF"/>
          <w:spacing w:val="-4"/>
          <w:sz w:val="16"/>
        </w:rPr>
        <w:t>2021</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BodyText"/>
        <w:ind w:left="338" w:right="343" w:firstLine="288"/>
        <w:jc w:val="both"/>
      </w:pPr>
      <w:r>
        <w:rPr/>
        <w:t>Una vez concluido dicho plazo, aquellos registros patronales por clase que no hayan sido dados de baja, serán dados de baja por el Instituto Mexicano del Seguro Social.</w:t>
      </w:r>
    </w:p>
    <w:p>
      <w:pPr>
        <w:pStyle w:val="BodyText"/>
        <w:spacing w:before="229"/>
        <w:ind w:left="338" w:right="335" w:firstLine="288"/>
        <w:jc w:val="both"/>
      </w:pPr>
      <w:r>
        <w:rPr>
          <w:rFonts w:ascii="Arial" w:hAnsi="Arial"/>
          <w:b/>
        </w:rPr>
        <w:t>Sexto. </w:t>
      </w:r>
      <w:r>
        <w:rPr/>
        <w:t>Las personas físicas o morales que presten servicios especializados o ejecuten obras especializadas, deberán empezar a proporcionar la información a que se refieren las fracciones I y II del artículo 15 A de la Ley del Seguro Social, y tendrán hasta el 1 de septiembre de 2021 para</w:t>
      </w:r>
      <w:r>
        <w:rPr>
          <w:spacing w:val="40"/>
        </w:rPr>
        <w:t> </w:t>
      </w:r>
      <w:r>
        <w:rPr/>
        <w:t>proporcionarla. La información a que se refiere la fracción III del citado artículo deberá ser presentada, una vez que la Secretaría del Trabajo y Previsión Social ponga a disposición de dichas personas, el mecanismo para la obtención del documento de referencia.</w:t>
      </w:r>
    </w:p>
    <w:p>
      <w:pPr>
        <w:spacing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31-07-</w:t>
      </w:r>
      <w:r>
        <w:rPr>
          <w:rFonts w:ascii="Times New Roman" w:hAnsi="Times New Roman"/>
          <w:i/>
          <w:color w:val="0000FF"/>
          <w:spacing w:val="-4"/>
          <w:sz w:val="16"/>
        </w:rPr>
        <w:t>2021</w:t>
      </w:r>
    </w:p>
    <w:p>
      <w:pPr>
        <w:pStyle w:val="BodyText"/>
        <w:spacing w:before="45"/>
        <w:rPr>
          <w:rFonts w:ascii="Times New Roman"/>
          <w:i/>
          <w:sz w:val="16"/>
        </w:rPr>
      </w:pPr>
    </w:p>
    <w:p>
      <w:pPr>
        <w:pStyle w:val="BodyText"/>
        <w:spacing w:line="242" w:lineRule="auto"/>
        <w:ind w:left="338" w:right="331" w:firstLine="288"/>
        <w:jc w:val="both"/>
      </w:pPr>
      <w:r>
        <w:rPr>
          <w:rFonts w:ascii="Arial" w:hAnsi="Arial"/>
          <w:b/>
        </w:rPr>
        <w:t>Séptimo. </w:t>
      </w:r>
      <w:r>
        <w:rPr/>
        <w:t>Para efectos</w:t>
      </w:r>
      <w:r>
        <w:rPr>
          <w:spacing w:val="-2"/>
        </w:rPr>
        <w:t> </w:t>
      </w:r>
      <w:r>
        <w:rPr/>
        <w:t>de</w:t>
      </w:r>
      <w:r>
        <w:rPr>
          <w:spacing w:val="-1"/>
        </w:rPr>
        <w:t> </w:t>
      </w:r>
      <w:r>
        <w:rPr/>
        <w:t>la</w:t>
      </w:r>
      <w:r>
        <w:rPr>
          <w:spacing w:val="-3"/>
        </w:rPr>
        <w:t> </w:t>
      </w:r>
      <w:r>
        <w:rPr/>
        <w:t>Ley</w:t>
      </w:r>
      <w:r>
        <w:rPr>
          <w:spacing w:val="-4"/>
        </w:rPr>
        <w:t> </w:t>
      </w:r>
      <w:r>
        <w:rPr/>
        <w:t>del</w:t>
      </w:r>
      <w:r>
        <w:rPr>
          <w:spacing w:val="-2"/>
        </w:rPr>
        <w:t> </w:t>
      </w:r>
      <w:r>
        <w:rPr/>
        <w:t>Seguro</w:t>
      </w:r>
      <w:r>
        <w:rPr>
          <w:spacing w:val="-1"/>
        </w:rPr>
        <w:t> </w:t>
      </w:r>
      <w:r>
        <w:rPr/>
        <w:t>Social,</w:t>
      </w:r>
      <w:r>
        <w:rPr>
          <w:spacing w:val="-1"/>
        </w:rPr>
        <w:t> </w:t>
      </w:r>
      <w:r>
        <w:rPr/>
        <w:t>desde</w:t>
      </w:r>
      <w:r>
        <w:rPr>
          <w:spacing w:val="-4"/>
        </w:rPr>
        <w:t> </w:t>
      </w:r>
      <w:r>
        <w:rPr/>
        <w:t>la</w:t>
      </w:r>
      <w:r>
        <w:rPr>
          <w:spacing w:val="-3"/>
        </w:rPr>
        <w:t> </w:t>
      </w:r>
      <w:r>
        <w:rPr/>
        <w:t>entrada</w:t>
      </w:r>
      <w:r>
        <w:rPr>
          <w:spacing w:val="-3"/>
        </w:rPr>
        <w:t> </w:t>
      </w:r>
      <w:r>
        <w:rPr/>
        <w:t>en</w:t>
      </w:r>
      <w:r>
        <w:rPr>
          <w:spacing w:val="-1"/>
        </w:rPr>
        <w:t> </w:t>
      </w:r>
      <w:r>
        <w:rPr/>
        <w:t>vigor de</w:t>
      </w:r>
      <w:r>
        <w:rPr>
          <w:spacing w:val="-2"/>
        </w:rPr>
        <w:t> </w:t>
      </w:r>
      <w:r>
        <w:rPr/>
        <w:t>la</w:t>
      </w:r>
      <w:r>
        <w:rPr>
          <w:spacing w:val="-3"/>
        </w:rPr>
        <w:t> </w:t>
      </w:r>
      <w:r>
        <w:rPr/>
        <w:t>presente</w:t>
      </w:r>
      <w:r>
        <w:rPr>
          <w:spacing w:val="-4"/>
        </w:rPr>
        <w:t> </w:t>
      </w:r>
      <w:r>
        <w:rPr/>
        <w:t>reforma</w:t>
      </w:r>
      <w:r>
        <w:rPr>
          <w:spacing w:val="-1"/>
        </w:rPr>
        <w:t> </w:t>
      </w:r>
      <w:r>
        <w:rPr/>
        <w:t>y hasta el 1 de septiembre de 2021, se considerará como sustitución patronal la migración de trabajadores de las empresas que operaban bajo el régimen de subcontratación laboral, siempre y cuando la empresa destino de los trabajadores reconozca sus derechos laborales, incluyendo la antigüedad de los mismos y los riesgos de trabajo terminados, ante las instancias legales correspondientes.</w:t>
      </w:r>
    </w:p>
    <w:p>
      <w:pPr>
        <w:spacing w:line="173"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31-07-</w:t>
      </w:r>
      <w:r>
        <w:rPr>
          <w:rFonts w:ascii="Times New Roman" w:hAnsi="Times New Roman"/>
          <w:i/>
          <w:color w:val="0000FF"/>
          <w:spacing w:val="-4"/>
          <w:sz w:val="16"/>
        </w:rPr>
        <w:t>2021</w:t>
      </w:r>
    </w:p>
    <w:p>
      <w:pPr>
        <w:pStyle w:val="BodyText"/>
        <w:spacing w:before="50"/>
        <w:rPr>
          <w:rFonts w:ascii="Times New Roman"/>
          <w:i/>
          <w:sz w:val="16"/>
        </w:rPr>
      </w:pPr>
    </w:p>
    <w:p>
      <w:pPr>
        <w:pStyle w:val="BodyText"/>
        <w:ind w:left="338" w:right="344" w:firstLine="288"/>
        <w:jc w:val="both"/>
      </w:pPr>
      <w:r>
        <w:rPr/>
        <w:t>En estos supuestos aplicarán las siguientes reglas, para efectos de la determinación de la clase, fracción y prima del Seguro de Riesgos de Trabajo:</w:t>
      </w:r>
    </w:p>
    <w:p>
      <w:pPr>
        <w:pStyle w:val="BodyText"/>
        <w:spacing w:before="226"/>
        <w:ind w:left="1195" w:right="334" w:hanging="569"/>
        <w:jc w:val="both"/>
      </w:pPr>
      <w:r>
        <w:rPr>
          <w:rFonts w:ascii="Arial" w:hAnsi="Arial"/>
          <w:b/>
        </w:rPr>
        <w:t>1.-</w:t>
      </w:r>
      <w:r>
        <w:rPr>
          <w:rFonts w:ascii="Arial" w:hAnsi="Arial"/>
          <w:b/>
          <w:spacing w:val="80"/>
        </w:rPr>
        <w:t>  </w:t>
      </w:r>
      <w:r>
        <w:rPr/>
        <w:t>La</w:t>
      </w:r>
      <w:r>
        <w:rPr>
          <w:spacing w:val="27"/>
        </w:rPr>
        <w:t> </w:t>
      </w:r>
      <w:r>
        <w:rPr/>
        <w:t>empresa</w:t>
      </w:r>
      <w:r>
        <w:rPr>
          <w:spacing w:val="25"/>
        </w:rPr>
        <w:t> </w:t>
      </w:r>
      <w:r>
        <w:rPr/>
        <w:t>que</w:t>
      </w:r>
      <w:r>
        <w:rPr>
          <w:spacing w:val="27"/>
        </w:rPr>
        <w:t> </w:t>
      </w:r>
      <w:r>
        <w:rPr/>
        <w:t>absorba</w:t>
      </w:r>
      <w:r>
        <w:rPr>
          <w:spacing w:val="29"/>
        </w:rPr>
        <w:t> </w:t>
      </w:r>
      <w:r>
        <w:rPr/>
        <w:t>a</w:t>
      </w:r>
      <w:r>
        <w:rPr>
          <w:spacing w:val="25"/>
        </w:rPr>
        <w:t> </w:t>
      </w:r>
      <w:r>
        <w:rPr/>
        <w:t>los</w:t>
      </w:r>
      <w:r>
        <w:rPr>
          <w:spacing w:val="26"/>
        </w:rPr>
        <w:t> </w:t>
      </w:r>
      <w:r>
        <w:rPr/>
        <w:t>trabajadores</w:t>
      </w:r>
      <w:r>
        <w:rPr>
          <w:spacing w:val="26"/>
        </w:rPr>
        <w:t> </w:t>
      </w:r>
      <w:r>
        <w:rPr/>
        <w:t>deberá</w:t>
      </w:r>
      <w:r>
        <w:rPr>
          <w:spacing w:val="30"/>
        </w:rPr>
        <w:t> </w:t>
      </w:r>
      <w:r>
        <w:rPr/>
        <w:t>auto</w:t>
      </w:r>
      <w:r>
        <w:rPr>
          <w:spacing w:val="27"/>
        </w:rPr>
        <w:t> </w:t>
      </w:r>
      <w:r>
        <w:rPr/>
        <w:t>clasificarse</w:t>
      </w:r>
      <w:r>
        <w:rPr>
          <w:spacing w:val="25"/>
        </w:rPr>
        <w:t> </w:t>
      </w:r>
      <w:r>
        <w:rPr/>
        <w:t>conforme</w:t>
      </w:r>
      <w:r>
        <w:rPr>
          <w:spacing w:val="23"/>
        </w:rPr>
        <w:t> </w:t>
      </w:r>
      <w:r>
        <w:rPr/>
        <w:t>a</w:t>
      </w:r>
      <w:r>
        <w:rPr>
          <w:spacing w:val="27"/>
        </w:rPr>
        <w:t> </w:t>
      </w:r>
      <w:r>
        <w:rPr/>
        <w:t>los</w:t>
      </w:r>
      <w:r>
        <w:rPr>
          <w:spacing w:val="28"/>
        </w:rPr>
        <w:t> </w:t>
      </w:r>
      <w:r>
        <w:rPr/>
        <w:t>criterios que se establecen en los artículos 71, 73 y 75 de la Ley del Seguro Social, y de acuerdo a los artículos 18, 20 y al Catálogo de Actividades previsto en el artículo 196, todos del Reglamento de la Ley del Seguro Social en materia de Afiliación, Clasificación de Empresas, Recaudación y Fiscalización, debiendo conservar la prima con la que venía cotizando la empresa que tenía los trabajadores registrados en el IMSS, siempre y cuando dicha empresa haya estado correctamente clasificada conforme a los riesgos inherentes a la actividad de la negociación de que se trataba y</w:t>
      </w:r>
      <w:r>
        <w:rPr>
          <w:spacing w:val="-3"/>
        </w:rPr>
        <w:t> </w:t>
      </w:r>
      <w:r>
        <w:rPr/>
        <w:t>a las disposiciones normativas aplicables, en caso contrario deberá cotizar con la prima media de la clase que le corresponda.</w:t>
      </w:r>
    </w:p>
    <w:p>
      <w:pPr>
        <w:pStyle w:val="BodyText"/>
        <w:spacing w:before="2"/>
      </w:pPr>
    </w:p>
    <w:p>
      <w:pPr>
        <w:pStyle w:val="BodyText"/>
        <w:spacing w:before="1"/>
        <w:ind w:left="1195" w:right="334" w:hanging="569"/>
        <w:jc w:val="both"/>
      </w:pPr>
      <w:r>
        <w:rPr>
          <w:rFonts w:ascii="Arial" w:hAnsi="Arial"/>
          <w:b/>
        </w:rPr>
        <w:t>2.-</w:t>
      </w:r>
      <w:r>
        <w:rPr>
          <w:rFonts w:ascii="Arial" w:hAnsi="Arial"/>
          <w:b/>
          <w:spacing w:val="40"/>
        </w:rPr>
        <w:t>  </w:t>
      </w:r>
      <w:r>
        <w:rPr/>
        <w:t>Tratándose de una empresa que absorba a los trabajadores de otra u otras empresas, con la misma o distintas clases, y que en virtud de ello deban ajustar su clasificación a las nuevas actividades que llevará a cabo; la clase y fracción se determinará atendiendo a los riesgos inherentes a la actividad de la negociación de que se trate y la prima se obtendrá de aplicar el procedimiento siguiente:</w:t>
      </w:r>
    </w:p>
    <w:p>
      <w:pPr>
        <w:pStyle w:val="ListParagraph"/>
        <w:numPr>
          <w:ilvl w:val="1"/>
          <w:numId w:val="367"/>
        </w:numPr>
        <w:tabs>
          <w:tab w:pos="1762" w:val="left" w:leader="none"/>
        </w:tabs>
        <w:spacing w:line="240" w:lineRule="auto" w:before="230" w:after="0"/>
        <w:ind w:left="1762" w:right="341" w:hanging="567"/>
        <w:jc w:val="both"/>
        <w:rPr>
          <w:sz w:val="20"/>
        </w:rPr>
      </w:pPr>
      <w:r>
        <w:rPr>
          <w:sz w:val="20"/>
        </w:rPr>
        <w:t>Por cada registro patronal, tanto de la empresa que absorbe como de la otra u otras empresas a sustituir, se multiplicará la prima asignada por el total de los salarios base de cotización de los trabajadores comprendidos en el mismo. El salario base de cotización a considerar, será el del mes previo al que se comunique la sustitución al Instituto.</w:t>
      </w:r>
    </w:p>
    <w:p>
      <w:pPr>
        <w:pStyle w:val="ListParagraph"/>
        <w:numPr>
          <w:ilvl w:val="1"/>
          <w:numId w:val="367"/>
        </w:numPr>
        <w:tabs>
          <w:tab w:pos="1759" w:val="left" w:leader="none"/>
          <w:tab w:pos="1762" w:val="left" w:leader="none"/>
        </w:tabs>
        <w:spacing w:line="240" w:lineRule="auto" w:before="229" w:after="0"/>
        <w:ind w:left="1762" w:right="342" w:hanging="567"/>
        <w:jc w:val="both"/>
        <w:rPr>
          <w:sz w:val="20"/>
        </w:rPr>
      </w:pPr>
      <w:r>
        <w:rPr>
          <w:sz w:val="20"/>
        </w:rPr>
        <w:t>Se sumarán los productos obtenidos conforme al inciso anterior y el resultado se dividirá entre la suma de los salarios base de cotización del total de los trabajadores comprendidos en todos los registros patronales.</w:t>
      </w:r>
    </w:p>
    <w:p>
      <w:pPr>
        <w:pStyle w:val="BodyText"/>
      </w:pPr>
    </w:p>
    <w:p>
      <w:pPr>
        <w:pStyle w:val="ListParagraph"/>
        <w:numPr>
          <w:ilvl w:val="1"/>
          <w:numId w:val="367"/>
        </w:numPr>
        <w:tabs>
          <w:tab w:pos="1762" w:val="left" w:leader="none"/>
        </w:tabs>
        <w:spacing w:line="242" w:lineRule="auto" w:before="0" w:after="0"/>
        <w:ind w:left="1762" w:right="337" w:hanging="567"/>
        <w:jc w:val="both"/>
        <w:rPr>
          <w:sz w:val="20"/>
        </w:rPr>
      </w:pPr>
      <w:r>
        <w:rPr>
          <w:sz w:val="20"/>
        </w:rPr>
        <w:t>La prima así obtenida se aplicará al registro patronal de la empresa que absorbe a los trabajadores y estará vigente hasta el último día del mes de febrero posterior a la </w:t>
      </w:r>
      <w:r>
        <w:rPr>
          <w:spacing w:val="-2"/>
          <w:sz w:val="20"/>
        </w:rPr>
        <w:t>sustitución.</w:t>
      </w:r>
    </w:p>
    <w:p>
      <w:pPr>
        <w:pStyle w:val="ListParagraph"/>
        <w:numPr>
          <w:ilvl w:val="1"/>
          <w:numId w:val="367"/>
        </w:numPr>
        <w:tabs>
          <w:tab w:pos="1759" w:val="left" w:leader="none"/>
          <w:tab w:pos="1762" w:val="left" w:leader="none"/>
        </w:tabs>
        <w:spacing w:line="242" w:lineRule="auto" w:before="223" w:after="0"/>
        <w:ind w:left="1762" w:right="344" w:hanging="567"/>
        <w:jc w:val="both"/>
        <w:rPr>
          <w:sz w:val="20"/>
        </w:rPr>
      </w:pPr>
      <w:r>
        <w:rPr>
          <w:sz w:val="20"/>
        </w:rPr>
        <w:t>Para efectos de la determinación de la prima del ejercicio siguiente, la empresa que absorbe a los trabajadores deberá considerar los riesgos de trabajo terminados que les hubiesen ocurrido a dichos trabajadores en el ejercicio correspondiente.</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6"/>
      </w:pPr>
    </w:p>
    <w:p>
      <w:pPr>
        <w:pStyle w:val="BodyText"/>
        <w:ind w:left="338" w:right="342" w:firstLine="288"/>
        <w:jc w:val="both"/>
      </w:pPr>
      <w:r>
        <w:rPr/>
        <w:t>Lo anterior, siempre y cuando las empresas que se pretendan sustituir hayan estado correctamente clasificadas conforme a los</w:t>
      </w:r>
      <w:r>
        <w:rPr>
          <w:spacing w:val="-1"/>
        </w:rPr>
        <w:t> </w:t>
      </w:r>
      <w:r>
        <w:rPr/>
        <w:t>riesgos inherentes a la actividad de la o las negociaciones de que se trataban y a las disposiciones normativas aplicables, en caso contrario deberán cotizar a la prima media de la</w:t>
      </w:r>
      <w:r>
        <w:rPr>
          <w:spacing w:val="40"/>
        </w:rPr>
        <w:t> </w:t>
      </w:r>
      <w:r>
        <w:rPr/>
        <w:t>clase que les corresponda.</w:t>
      </w:r>
    </w:p>
    <w:p>
      <w:pPr>
        <w:pStyle w:val="BodyText"/>
        <w:spacing w:before="229"/>
        <w:ind w:left="338" w:right="339" w:firstLine="288"/>
        <w:jc w:val="both"/>
      </w:pPr>
      <w:r>
        <w:rPr/>
        <w:t>Las empresas que cuenten a la fecha de la entrada en vigor de las presentes disposiciones con un Convenio de Subrogación de Servicios Médicos con Reversión de Cuotas vigente, y que en términos de estas disposiciones lleven a cabo una sustitución patronal, no serán objeto de modificación de las condiciones pactadas en el mismo. Vencido el plazo de 90 días naturales aplicarán las reglas previstas tanto en la Ley del Seguro Social como en el Reglamento de la Ley del Seguro Social en materia de Afiliación, Clasificación de Empresas, Recaudación y Fiscalización.</w:t>
      </w:r>
    </w:p>
    <w:p>
      <w:pPr>
        <w:pStyle w:val="BodyText"/>
        <w:spacing w:line="242" w:lineRule="auto" w:before="229"/>
        <w:ind w:left="338" w:right="336" w:firstLine="288"/>
        <w:jc w:val="both"/>
      </w:pPr>
      <w:r>
        <w:rPr>
          <w:rFonts w:ascii="Arial" w:hAnsi="Arial"/>
          <w:b/>
        </w:rPr>
        <w:t>Octavo. </w:t>
      </w:r>
      <w:r>
        <w:rPr/>
        <w:t>Dentro del plazo de 60 días naturales contados a partir de la entrada en vigor del presente Decreto, el Instituto del Fondo Nacional de la Vivienda para los Trabajadores deberá expedir las reglas que establezcan los procedimientos a que se refiere el artículo 29 Bis, párrafo segundo, de la Ley del Instituto del Fondo Nacional de la Vivienda para los Trabajadores.</w:t>
      </w:r>
    </w:p>
    <w:p>
      <w:pPr>
        <w:pStyle w:val="BodyText"/>
        <w:spacing w:before="223"/>
        <w:ind w:left="338" w:right="344" w:firstLine="288"/>
        <w:jc w:val="both"/>
      </w:pPr>
      <w:r>
        <w:rPr/>
        <w:t>Las personas físicas o morales que presten servicios especializados o ejecuten obras especializadas, deberán empezar a proporcionar la información a que se refiere el inciso f) del artículo 29 Bis, una vez que la Secretaría del Trabajo y Previsión Social ponga a disposición de dichas personas, el mecanismo para la obtención del documento de referencia.</w:t>
      </w:r>
    </w:p>
    <w:p>
      <w:pPr>
        <w:pStyle w:val="BodyText"/>
        <w:spacing w:line="242" w:lineRule="auto" w:before="227"/>
        <w:ind w:left="338" w:right="341" w:firstLine="288"/>
        <w:jc w:val="both"/>
      </w:pPr>
      <w:r>
        <w:rPr>
          <w:rFonts w:ascii="Arial" w:hAnsi="Arial"/>
          <w:b/>
        </w:rPr>
        <w:t>Noveno.</w:t>
      </w:r>
      <w:r>
        <w:rPr>
          <w:rFonts w:ascii="Arial" w:hAnsi="Arial"/>
          <w:b/>
          <w:spacing w:val="-1"/>
        </w:rPr>
        <w:t> </w:t>
      </w:r>
      <w:r>
        <w:rPr/>
        <w:t>Las</w:t>
      </w:r>
      <w:r>
        <w:rPr>
          <w:spacing w:val="-1"/>
        </w:rPr>
        <w:t> </w:t>
      </w:r>
      <w:r>
        <w:rPr/>
        <w:t>conductas</w:t>
      </w:r>
      <w:r>
        <w:rPr>
          <w:spacing w:val="-1"/>
        </w:rPr>
        <w:t> </w:t>
      </w:r>
      <w:r>
        <w:rPr/>
        <w:t>delictivas</w:t>
      </w:r>
      <w:r>
        <w:rPr>
          <w:spacing w:val="-1"/>
        </w:rPr>
        <w:t> </w:t>
      </w:r>
      <w:r>
        <w:rPr/>
        <w:t>que hayan</w:t>
      </w:r>
      <w:r>
        <w:rPr>
          <w:spacing w:val="-3"/>
        </w:rPr>
        <w:t> </w:t>
      </w:r>
      <w:r>
        <w:rPr/>
        <w:t>sido</w:t>
      </w:r>
      <w:r>
        <w:rPr>
          <w:spacing w:val="-3"/>
        </w:rPr>
        <w:t> </w:t>
      </w:r>
      <w:r>
        <w:rPr/>
        <w:t>cometidas</w:t>
      </w:r>
      <w:r>
        <w:rPr>
          <w:spacing w:val="-1"/>
        </w:rPr>
        <w:t> </w:t>
      </w:r>
      <w:r>
        <w:rPr/>
        <w:t>con</w:t>
      </w:r>
      <w:r>
        <w:rPr>
          <w:spacing w:val="-3"/>
        </w:rPr>
        <w:t> </w:t>
      </w:r>
      <w:r>
        <w:rPr/>
        <w:t>anterioridad</w:t>
      </w:r>
      <w:r>
        <w:rPr>
          <w:spacing w:val="-3"/>
        </w:rPr>
        <w:t> </w:t>
      </w:r>
      <w:r>
        <w:rPr/>
        <w:t>a la entrada</w:t>
      </w:r>
      <w:r>
        <w:rPr>
          <w:spacing w:val="-2"/>
        </w:rPr>
        <w:t> </w:t>
      </w:r>
      <w:r>
        <w:rPr/>
        <w:t>en vigor del presente Decreto serán sancionadas de conformidad con la legislación vigente al momento de la</w:t>
      </w:r>
      <w:r>
        <w:rPr>
          <w:spacing w:val="40"/>
        </w:rPr>
        <w:t> </w:t>
      </w:r>
      <w:r>
        <w:rPr/>
        <w:t>comisión de los hechos.</w:t>
      </w:r>
    </w:p>
    <w:p>
      <w:pPr>
        <w:pStyle w:val="BodyText"/>
        <w:spacing w:before="225"/>
        <w:ind w:left="338" w:right="339" w:firstLine="288"/>
        <w:jc w:val="both"/>
      </w:pPr>
      <w:r>
        <w:rPr>
          <w:rFonts w:ascii="Arial" w:hAnsi="Arial"/>
          <w:b/>
        </w:rPr>
        <w:t>Décimo. </w:t>
      </w:r>
      <w:r>
        <w:rPr/>
        <w:t>Las dependencias y entidades de la Administración Pública Federal involucradas en la implementación del presente Decreto, realizarán las acciones necesarias para que las erogaciones que</w:t>
      </w:r>
      <w:r>
        <w:rPr>
          <w:spacing w:val="40"/>
        </w:rPr>
        <w:t> </w:t>
      </w:r>
      <w:r>
        <w:rPr/>
        <w:t>se generen con motivo de la entrada en vigor e implementación del mismo, se realicen con cargo al presupuesto aprobado a cada una de ellas en el presente ejercicio fiscal y subsecuentes, por lo que no requerirán recursos adicionales que tengan por objeto solventar las mismas y no se incrementará el presupuesto regularizable de éstas para el presente ejercicio fiscal ni posteriores.</w:t>
      </w:r>
    </w:p>
    <w:p>
      <w:pPr>
        <w:pStyle w:val="BodyText"/>
        <w:spacing w:before="1"/>
      </w:pPr>
    </w:p>
    <w:p>
      <w:pPr>
        <w:spacing w:before="0"/>
        <w:ind w:left="338" w:right="333" w:firstLine="288"/>
        <w:jc w:val="both"/>
        <w:rPr>
          <w:rFonts w:ascii="Arial" w:hAnsi="Arial"/>
          <w:b/>
          <w:sz w:val="20"/>
        </w:rPr>
      </w:pPr>
      <w:r>
        <w:rPr>
          <w:sz w:val="20"/>
        </w:rPr>
        <w:t>Ciudad de México, a 20 de abril de 2021.-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Julieta Macías Rábago</w:t>
      </w:r>
      <w:r>
        <w:rPr>
          <w:sz w:val="20"/>
        </w:rPr>
        <w:t>, Secretaria.- Sen. </w:t>
      </w:r>
      <w:r>
        <w:rPr>
          <w:rFonts w:ascii="Arial" w:hAnsi="Arial"/>
          <w:b/>
          <w:sz w:val="20"/>
        </w:rPr>
        <w:t>Lilia Margarita Valdez Martínez</w:t>
      </w:r>
      <w:r>
        <w:rPr>
          <w:sz w:val="20"/>
        </w:rPr>
        <w:t>, Secretaria.- Rúbricas.</w:t>
      </w:r>
      <w:r>
        <w:rPr>
          <w:rFonts w:ascii="Arial" w:hAnsi="Arial"/>
          <w:b/>
          <w:sz w:val="20"/>
        </w:rPr>
        <w:t>"</w:t>
      </w:r>
    </w:p>
    <w:p>
      <w:pPr>
        <w:pStyle w:val="BodyText"/>
        <w:spacing w:before="1"/>
        <w:rPr>
          <w:rFonts w:ascii="Arial"/>
          <w:b/>
        </w:rPr>
      </w:pPr>
    </w:p>
    <w:p>
      <w:pPr>
        <w:pStyle w:val="BodyText"/>
        <w:spacing w:before="1"/>
        <w:ind w:left="338" w:right="3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23 de abril de 2021.-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333"/>
        <w:jc w:val="both"/>
      </w:pPr>
      <w:r>
        <w:rPr/>
        <w:t>DECRETO por el que se reforman los Artículos Transitorios Primero, Tercero, Cuarto, Quinto, Sexto y Séptimo del "Decreto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 publicado el 23 de abril de 2021.</w:t>
      </w:r>
    </w:p>
    <w:p>
      <w:pPr>
        <w:spacing w:before="232"/>
        <w:ind w:left="297" w:right="29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31</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2021</w:t>
      </w:r>
    </w:p>
    <w:p>
      <w:pPr>
        <w:pStyle w:val="BodyText"/>
        <w:spacing w:before="46"/>
        <w:rPr>
          <w:sz w:val="16"/>
        </w:rPr>
      </w:pPr>
    </w:p>
    <w:p>
      <w:pPr>
        <w:pStyle w:val="BodyText"/>
        <w:ind w:left="338" w:right="338" w:firstLine="288"/>
        <w:jc w:val="both"/>
      </w:pPr>
      <w:r>
        <w:rPr>
          <w:rFonts w:ascii="Arial" w:hAnsi="Arial"/>
          <w:b/>
        </w:rPr>
        <w:t>Artículo Único.- </w:t>
      </w:r>
      <w:r>
        <w:rPr/>
        <w:t>Se reforman los Artículos Transitorios Primero, Tercero, Cuarto, Quinto, Sexto y Séptimo del “Decreto por el que se reforman, adicionan y derogan diversas disposiciones de la Ley Federal</w:t>
      </w:r>
      <w:r>
        <w:rPr>
          <w:spacing w:val="-2"/>
        </w:rPr>
        <w:t> </w:t>
      </w:r>
      <w:r>
        <w:rPr/>
        <w:t>del</w:t>
      </w:r>
      <w:r>
        <w:rPr>
          <w:spacing w:val="-2"/>
        </w:rPr>
        <w:t> </w:t>
      </w:r>
      <w:r>
        <w:rPr/>
        <w:t>Trabajo;</w:t>
      </w:r>
      <w:r>
        <w:rPr>
          <w:spacing w:val="-1"/>
        </w:rPr>
        <w:t> </w:t>
      </w:r>
      <w:r>
        <w:rPr/>
        <w:t>de</w:t>
      </w:r>
      <w:r>
        <w:rPr>
          <w:spacing w:val="-2"/>
        </w:rPr>
        <w:t> </w:t>
      </w:r>
      <w:r>
        <w:rPr/>
        <w:t>la Ley</w:t>
      </w:r>
      <w:r>
        <w:rPr>
          <w:spacing w:val="-4"/>
        </w:rPr>
        <w:t> </w:t>
      </w:r>
      <w:r>
        <w:rPr/>
        <w:t>del Seguro</w:t>
      </w:r>
      <w:r>
        <w:rPr>
          <w:spacing w:val="-1"/>
        </w:rPr>
        <w:t> </w:t>
      </w:r>
      <w:r>
        <w:rPr/>
        <w:t>Social;</w:t>
      </w:r>
      <w:r>
        <w:rPr>
          <w:spacing w:val="-1"/>
        </w:rPr>
        <w:t> </w:t>
      </w:r>
      <w:r>
        <w:rPr/>
        <w:t>de la Ley</w:t>
      </w:r>
      <w:r>
        <w:rPr>
          <w:spacing w:val="-2"/>
        </w:rPr>
        <w:t> </w:t>
      </w:r>
      <w:r>
        <w:rPr/>
        <w:t>del</w:t>
      </w:r>
      <w:r>
        <w:rPr>
          <w:spacing w:val="-2"/>
        </w:rPr>
        <w:t> </w:t>
      </w:r>
      <w:r>
        <w:rPr/>
        <w:t>Instituto</w:t>
      </w:r>
      <w:r>
        <w:rPr>
          <w:spacing w:val="-2"/>
        </w:rPr>
        <w:t> </w:t>
      </w:r>
      <w:r>
        <w:rPr/>
        <w:t>del</w:t>
      </w:r>
      <w:r>
        <w:rPr>
          <w:spacing w:val="-2"/>
        </w:rPr>
        <w:t> </w:t>
      </w:r>
      <w:r>
        <w:rPr/>
        <w:t>Fondo Nacional</w:t>
      </w:r>
      <w:r>
        <w:rPr>
          <w:spacing w:val="-2"/>
        </w:rPr>
        <w:t> </w:t>
      </w:r>
      <w:r>
        <w:rPr/>
        <w:t>de</w:t>
      </w:r>
      <w:r>
        <w:rPr>
          <w:spacing w:val="-1"/>
        </w:rPr>
        <w:t> </w:t>
      </w:r>
      <w:r>
        <w:rPr/>
        <w:t>la</w:t>
      </w:r>
      <w:r>
        <w:rPr>
          <w:spacing w:val="-1"/>
        </w:rPr>
        <w:t> </w:t>
      </w:r>
      <w:r>
        <w:rPr/>
        <w:t>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 publicado en el Diario Oficial de la Federación el 23 de abril de 2021, para quedar como sigue:</w:t>
      </w:r>
    </w:p>
    <w:p>
      <w:pPr>
        <w:pStyle w:val="BodyText"/>
        <w:spacing w:before="2"/>
      </w:pPr>
    </w:p>
    <w:p>
      <w:pPr>
        <w:spacing w:before="0"/>
        <w:ind w:left="626" w:right="0" w:firstLine="0"/>
        <w:jc w:val="left"/>
        <w:rPr>
          <w:sz w:val="20"/>
        </w:rPr>
      </w:pPr>
      <w:r>
        <w:rPr>
          <w:spacing w:val="-4"/>
          <w:sz w:val="20"/>
        </w:rPr>
        <w:t>……..</w:t>
      </w:r>
    </w:p>
    <w:p>
      <w:pPr>
        <w:pStyle w:val="Heading2"/>
        <w:spacing w:before="226"/>
        <w:ind w:left="298"/>
      </w:pPr>
      <w:r>
        <w:rPr>
          <w:spacing w:val="-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4"/>
        <w:ind w:left="338" w:right="334" w:firstLine="288"/>
        <w:jc w:val="both"/>
        <w:rPr>
          <w:rFonts w:ascii="Arial" w:hAnsi="Arial"/>
          <w:b/>
          <w:sz w:val="20"/>
        </w:rPr>
      </w:pPr>
      <w:r>
        <w:rPr>
          <w:sz w:val="20"/>
        </w:rPr>
        <w:t>Ciudad de México, a 30 de julio de 2021.-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María Guadalupe Díaz Avilez</w:t>
      </w:r>
      <w:r>
        <w:rPr>
          <w:sz w:val="20"/>
        </w:rPr>
        <w:t>, Secretaria.- Sen. </w:t>
      </w:r>
      <w:r>
        <w:rPr>
          <w:rFonts w:ascii="Arial" w:hAnsi="Arial"/>
          <w:b/>
          <w:sz w:val="20"/>
        </w:rPr>
        <w:t>Lilia Margarita Valdez Martínez</w:t>
      </w:r>
      <w:r>
        <w:rPr>
          <w:sz w:val="20"/>
        </w:rPr>
        <w:t>, Secretaria.- Rúbricas.</w:t>
      </w:r>
      <w:r>
        <w:rPr>
          <w:rFonts w:ascii="Arial" w:hAnsi="Arial"/>
          <w:b/>
          <w:sz w:val="20"/>
        </w:rPr>
        <w:t>"</w:t>
      </w:r>
    </w:p>
    <w:p>
      <w:pPr>
        <w:pStyle w:val="BodyText"/>
        <w:spacing w:before="6"/>
        <w:rPr>
          <w:rFonts w:ascii="Arial"/>
          <w:b/>
        </w:rPr>
      </w:pPr>
    </w:p>
    <w:p>
      <w:pPr>
        <w:pStyle w:val="BodyText"/>
        <w:spacing w:line="237" w:lineRule="auto"/>
        <w:ind w:left="338" w:right="339" w:firstLine="288"/>
        <w:jc w:val="both"/>
      </w:pPr>
      <w:r>
        <w:rPr/>
        <w:t>En cumplimiento de lo dispuesto por la fracción I del Artículo 89 de la Constitución Política de los Estados Unidos Mexicanos, y para su debida publicación y</w:t>
      </w:r>
      <w:r>
        <w:rPr>
          <w:spacing w:val="40"/>
        </w:rPr>
        <w:t> </w:t>
      </w:r>
      <w:r>
        <w:rPr/>
        <w:t>observancia, expido el presente Decreto en Culiacán, Sinaloa, a 30 de julio de 2021.- </w:t>
      </w:r>
      <w:r>
        <w:rPr>
          <w:rFonts w:ascii="Arial" w:hAnsi="Arial"/>
          <w:b/>
        </w:rPr>
        <w:t>Andrés Manuel López Obrador</w:t>
      </w:r>
      <w:r>
        <w:rPr/>
        <w:t>.- Rúbrica.</w:t>
      </w:r>
    </w:p>
    <w:p>
      <w:pPr>
        <w:pStyle w:val="BodyText"/>
        <w:spacing w:before="2"/>
      </w:pPr>
    </w:p>
    <w:p>
      <w:pPr>
        <w:spacing w:before="0"/>
        <w:ind w:left="626" w:right="0" w:firstLine="0"/>
        <w:jc w:val="left"/>
        <w:rPr>
          <w:sz w:val="20"/>
        </w:rPr>
      </w:pPr>
      <w:r>
        <w:rPr>
          <w:sz w:val="20"/>
        </w:rPr>
        <w:t>La</w:t>
      </w:r>
      <w:r>
        <w:rPr>
          <w:spacing w:val="-9"/>
          <w:sz w:val="20"/>
        </w:rPr>
        <w:t> </w:t>
      </w:r>
      <w:r>
        <w:rPr>
          <w:sz w:val="20"/>
        </w:rPr>
        <w:t>Secretaria</w:t>
      </w:r>
      <w:r>
        <w:rPr>
          <w:spacing w:val="-7"/>
          <w:sz w:val="20"/>
        </w:rPr>
        <w:t> </w:t>
      </w:r>
      <w:r>
        <w:rPr>
          <w:sz w:val="20"/>
        </w:rPr>
        <w:t>de</w:t>
      </w:r>
      <w:r>
        <w:rPr>
          <w:spacing w:val="-8"/>
          <w:sz w:val="20"/>
        </w:rPr>
        <w:t> </w:t>
      </w:r>
      <w:r>
        <w:rPr>
          <w:sz w:val="20"/>
        </w:rPr>
        <w:t>Gobernación,</w:t>
      </w:r>
      <w:r>
        <w:rPr>
          <w:spacing w:val="-7"/>
          <w:sz w:val="20"/>
        </w:rPr>
        <w:t> </w:t>
      </w:r>
      <w:r>
        <w:rPr>
          <w:sz w:val="20"/>
        </w:rPr>
        <w:t>Dra.</w:t>
      </w:r>
      <w:r>
        <w:rPr>
          <w:spacing w:val="-3"/>
          <w:sz w:val="20"/>
        </w:rPr>
        <w:t> </w:t>
      </w:r>
      <w:r>
        <w:rPr>
          <w:rFonts w:ascii="Arial" w:hAnsi="Arial"/>
          <w:b/>
          <w:sz w:val="20"/>
        </w:rPr>
        <w:t>Olga</w:t>
      </w:r>
      <w:r>
        <w:rPr>
          <w:rFonts w:ascii="Arial" w:hAnsi="Arial"/>
          <w:b/>
          <w:spacing w:val="-7"/>
          <w:sz w:val="20"/>
        </w:rPr>
        <w:t> </w:t>
      </w:r>
      <w:r>
        <w:rPr>
          <w:rFonts w:ascii="Arial" w:hAnsi="Arial"/>
          <w:b/>
          <w:sz w:val="20"/>
        </w:rPr>
        <w:t>María</w:t>
      </w:r>
      <w:r>
        <w:rPr>
          <w:rFonts w:ascii="Arial" w:hAnsi="Arial"/>
          <w:b/>
          <w:spacing w:val="-9"/>
          <w:sz w:val="20"/>
        </w:rPr>
        <w:t> </w:t>
      </w:r>
      <w:r>
        <w:rPr>
          <w:rFonts w:ascii="Arial" w:hAnsi="Arial"/>
          <w:b/>
          <w:sz w:val="20"/>
        </w:rPr>
        <w:t>del</w:t>
      </w:r>
      <w:r>
        <w:rPr>
          <w:rFonts w:ascii="Arial" w:hAnsi="Arial"/>
          <w:b/>
          <w:spacing w:val="-5"/>
          <w:sz w:val="20"/>
        </w:rPr>
        <w:t> </w:t>
      </w:r>
      <w:r>
        <w:rPr>
          <w:rFonts w:ascii="Arial" w:hAnsi="Arial"/>
          <w:b/>
          <w:sz w:val="20"/>
        </w:rPr>
        <w:t>Carmen</w:t>
      </w:r>
      <w:r>
        <w:rPr>
          <w:rFonts w:ascii="Arial" w:hAnsi="Arial"/>
          <w:b/>
          <w:spacing w:val="-5"/>
          <w:sz w:val="20"/>
        </w:rPr>
        <w:t> </w:t>
      </w:r>
      <w:r>
        <w:rPr>
          <w:rFonts w:ascii="Arial" w:hAnsi="Arial"/>
          <w:b/>
          <w:sz w:val="20"/>
        </w:rPr>
        <w:t>Sánchez</w:t>
      </w:r>
      <w:r>
        <w:rPr>
          <w:rFonts w:ascii="Arial" w:hAnsi="Arial"/>
          <w:b/>
          <w:spacing w:val="-7"/>
          <w:sz w:val="20"/>
        </w:rPr>
        <w:t> </w:t>
      </w:r>
      <w:r>
        <w:rPr>
          <w:rFonts w:ascii="Arial" w:hAnsi="Arial"/>
          <w:b/>
          <w:sz w:val="20"/>
        </w:rPr>
        <w:t>Cordero</w:t>
      </w:r>
      <w:r>
        <w:rPr>
          <w:rFonts w:ascii="Arial" w:hAnsi="Arial"/>
          <w:b/>
          <w:spacing w:val="-4"/>
          <w:sz w:val="20"/>
        </w:rPr>
        <w:t> </w:t>
      </w:r>
      <w:r>
        <w:rPr>
          <w:rFonts w:ascii="Arial" w:hAnsi="Arial"/>
          <w:b/>
          <w:sz w:val="20"/>
        </w:rPr>
        <w:t>Dávila</w:t>
      </w:r>
      <w:r>
        <w:rPr>
          <w:sz w:val="20"/>
        </w:rPr>
        <w:t>.-</w:t>
      </w:r>
      <w:r>
        <w:rPr>
          <w:spacing w:val="-7"/>
          <w:sz w:val="20"/>
        </w:rPr>
        <w:t> </w:t>
      </w:r>
      <w:r>
        <w:rPr>
          <w:spacing w:val="-2"/>
          <w:sz w:val="20"/>
        </w:rPr>
        <w:t>Rúbrica.</w:t>
      </w:r>
    </w:p>
    <w:p>
      <w:pPr>
        <w:spacing w:after="0"/>
        <w:jc w:val="left"/>
        <w:rPr>
          <w:sz w:val="20"/>
        </w:rPr>
        <w:sectPr>
          <w:pgSz w:w="12240" w:h="15840"/>
          <w:pgMar w:header="724" w:footer="712" w:top="1880" w:bottom="900" w:left="1080" w:right="1080"/>
        </w:sectPr>
      </w:pPr>
    </w:p>
    <w:p>
      <w:pPr>
        <w:pStyle w:val="BodyText"/>
        <w:spacing w:before="40"/>
        <w:rPr>
          <w:sz w:val="22"/>
        </w:rPr>
      </w:pPr>
    </w:p>
    <w:p>
      <w:pPr>
        <w:pStyle w:val="Heading2"/>
        <w:ind w:right="357"/>
        <w:jc w:val="left"/>
      </w:pPr>
      <w:r>
        <w:rPr/>
        <w:t>DECRETO</w:t>
      </w:r>
      <w:r>
        <w:rPr>
          <w:spacing w:val="20"/>
        </w:rPr>
        <w:t> </w:t>
      </w:r>
      <w:r>
        <w:rPr/>
        <w:t>por el que se reforma el</w:t>
      </w:r>
      <w:r>
        <w:rPr>
          <w:spacing w:val="22"/>
        </w:rPr>
        <w:t> </w:t>
      </w:r>
      <w:r>
        <w:rPr/>
        <w:t>artículo 176, fracción II, numeral 8 de la Ley Federal</w:t>
      </w:r>
      <w:r>
        <w:rPr>
          <w:spacing w:val="40"/>
        </w:rPr>
        <w:t> </w:t>
      </w:r>
      <w:r>
        <w:rPr/>
        <w:t>del Trabajo.</w:t>
      </w:r>
    </w:p>
    <w:p>
      <w:pPr>
        <w:spacing w:before="232"/>
        <w:ind w:left="297" w:right="29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5</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2022</w:t>
      </w:r>
    </w:p>
    <w:p>
      <w:pPr>
        <w:pStyle w:val="BodyText"/>
        <w:spacing w:before="46"/>
        <w:rPr>
          <w:sz w:val="16"/>
        </w:rPr>
      </w:pPr>
    </w:p>
    <w:p>
      <w:pPr>
        <w:pStyle w:val="BodyText"/>
        <w:ind w:left="338" w:right="343" w:firstLine="288"/>
        <w:jc w:val="both"/>
      </w:pPr>
      <w:r>
        <w:rPr>
          <w:rFonts w:ascii="Arial" w:hAnsi="Arial"/>
          <w:b/>
        </w:rPr>
        <w:t>Artículo Único.- </w:t>
      </w:r>
      <w:r>
        <w:rPr/>
        <w:t>Se reforma el artículo 176, fracción II, numeral 8 de la Ley Federal del Trabajo, para quedar como sigue:</w:t>
      </w:r>
    </w:p>
    <w:p>
      <w:pPr>
        <w:pStyle w:val="BodyText"/>
        <w:spacing w:before="1"/>
      </w:pPr>
    </w:p>
    <w:p>
      <w:pPr>
        <w:spacing w:before="0"/>
        <w:ind w:left="626" w:right="0" w:firstLine="0"/>
        <w:jc w:val="left"/>
        <w:rPr>
          <w:sz w:val="20"/>
        </w:rPr>
      </w:pPr>
      <w:r>
        <w:rPr>
          <w:spacing w:val="-5"/>
          <w:sz w:val="20"/>
        </w:rPr>
        <w:t>………</w:t>
      </w:r>
    </w:p>
    <w:p>
      <w:pPr>
        <w:pStyle w:val="Heading3"/>
        <w:spacing w:before="229"/>
        <w:ind w:left="295" w:right="296"/>
        <w:jc w:val="center"/>
      </w:pPr>
      <w:r>
        <w:rPr>
          <w:spacing w:val="-2"/>
        </w:rPr>
        <w:t>Transitorios</w:t>
      </w:r>
    </w:p>
    <w:p>
      <w:pPr>
        <w:pStyle w:val="BodyText"/>
        <w:spacing w:line="242" w:lineRule="auto" w:before="229"/>
        <w:ind w:left="338" w:right="341" w:firstLine="288"/>
        <w:jc w:val="both"/>
      </w:pPr>
      <w:r>
        <w:rPr>
          <w:rFonts w:ascii="Arial" w:hAnsi="Arial"/>
          <w:b/>
        </w:rPr>
        <w:t>Primero.- </w:t>
      </w:r>
      <w:r>
        <w:rPr/>
        <w:t>El presente Decreto entrará en vigor el día siguiente al de su publicación en el Diario Oficial de la Federación.</w:t>
      </w:r>
    </w:p>
    <w:p>
      <w:pPr>
        <w:pStyle w:val="BodyText"/>
        <w:spacing w:before="226"/>
        <w:ind w:left="338" w:right="344" w:firstLine="288"/>
        <w:jc w:val="both"/>
      </w:pPr>
      <w:r>
        <w:rPr>
          <w:rFonts w:ascii="Arial" w:hAnsi="Arial"/>
          <w:b/>
        </w:rPr>
        <w:t>Segundo.- </w:t>
      </w:r>
      <w:r>
        <w:rPr/>
        <w:t>La Secretaría del Trabajo y Previsión Social contará con un plazo de 180 días posteriores</w:t>
      </w:r>
      <w:r>
        <w:rPr>
          <w:spacing w:val="40"/>
        </w:rPr>
        <w:t> </w:t>
      </w:r>
      <w:r>
        <w:rPr/>
        <w:t>a la entrada en vigor del presente Decreto para elaborar y publicar una Norma Oficial Mexicana a efecto de clasificar las actividades a que se refiere el artículo 176, fracción II, numeral 8 a fin de determinar aquéllas</w:t>
      </w:r>
      <w:r>
        <w:rPr>
          <w:spacing w:val="40"/>
        </w:rPr>
        <w:t> </w:t>
      </w:r>
      <w:r>
        <w:rPr/>
        <w:t>de menor riesgo.</w:t>
      </w:r>
    </w:p>
    <w:p>
      <w:pPr>
        <w:pStyle w:val="BodyText"/>
      </w:pPr>
    </w:p>
    <w:p>
      <w:pPr>
        <w:spacing w:before="0"/>
        <w:ind w:left="338" w:right="334" w:firstLine="288"/>
        <w:jc w:val="both"/>
        <w:rPr>
          <w:rFonts w:ascii="Arial" w:hAnsi="Arial"/>
          <w:b/>
          <w:sz w:val="20"/>
        </w:rPr>
      </w:pPr>
      <w:r>
        <w:rPr>
          <w:rFonts w:ascii="Arial" w:hAnsi="Arial"/>
          <w:b/>
          <w:sz w:val="20"/>
        </w:rPr>
        <w:t>Ciudad de México, a 23 de febrero de 2022</w:t>
      </w:r>
      <w:r>
        <w:rPr>
          <w:sz w:val="20"/>
        </w:rPr>
        <w:t>.- 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Luis Enrique Martínez Ventura</w:t>
      </w:r>
      <w:r>
        <w:rPr>
          <w:sz w:val="20"/>
        </w:rPr>
        <w:t>, Secretario.-</w:t>
      </w:r>
      <w:r>
        <w:rPr>
          <w:spacing w:val="40"/>
          <w:sz w:val="20"/>
        </w:rPr>
        <w:t> </w:t>
      </w:r>
      <w:r>
        <w:rPr>
          <w:sz w:val="20"/>
        </w:rPr>
        <w:t>Sen. </w:t>
      </w:r>
      <w:r>
        <w:rPr>
          <w:rFonts w:ascii="Arial" w:hAnsi="Arial"/>
          <w:b/>
          <w:sz w:val="20"/>
        </w:rPr>
        <w:t>Verónica Delgadillo García</w:t>
      </w:r>
      <w:r>
        <w:rPr>
          <w:sz w:val="20"/>
        </w:rPr>
        <w:t>, Secretaria.- Rúbricas.</w:t>
      </w:r>
      <w:r>
        <w:rPr>
          <w:rFonts w:ascii="Arial" w:hAnsi="Arial"/>
          <w:b/>
          <w:sz w:val="20"/>
        </w:rPr>
        <w:t>"</w:t>
      </w:r>
    </w:p>
    <w:p>
      <w:pPr>
        <w:pStyle w:val="BodyText"/>
        <w:spacing w:before="2"/>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16 de marzo de 2022.- </w:t>
      </w:r>
      <w:r>
        <w:rPr>
          <w:rFonts w:ascii="Arial" w:hAnsi="Arial"/>
          <w:b/>
        </w:rPr>
        <w:t>Andrés 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342"/>
        <w:jc w:val="left"/>
      </w:pPr>
      <w:r>
        <w:rPr/>
        <w:t>DECRETO por el que se reforma la fracción IX del artículo 132 y la fracción V del artículo 204 de la Ley Federal del Trabajo.</w:t>
      </w:r>
    </w:p>
    <w:p>
      <w:pPr>
        <w:spacing w:before="232"/>
        <w:ind w:left="297" w:right="29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28</w:t>
      </w:r>
      <w:r>
        <w:rPr>
          <w:spacing w:val="-3"/>
          <w:sz w:val="16"/>
        </w:rPr>
        <w:t> </w:t>
      </w:r>
      <w:r>
        <w:rPr>
          <w:sz w:val="16"/>
        </w:rPr>
        <w:t>de</w:t>
      </w:r>
      <w:r>
        <w:rPr>
          <w:spacing w:val="-6"/>
          <w:sz w:val="16"/>
        </w:rPr>
        <w:t> </w:t>
      </w:r>
      <w:r>
        <w:rPr>
          <w:sz w:val="16"/>
        </w:rPr>
        <w:t>abril</w:t>
      </w:r>
      <w:r>
        <w:rPr>
          <w:spacing w:val="-2"/>
          <w:sz w:val="16"/>
        </w:rPr>
        <w:t> </w:t>
      </w:r>
      <w:r>
        <w:rPr>
          <w:sz w:val="16"/>
        </w:rPr>
        <w:t>de</w:t>
      </w:r>
      <w:r>
        <w:rPr>
          <w:spacing w:val="-2"/>
          <w:sz w:val="16"/>
        </w:rPr>
        <w:t> </w:t>
      </w:r>
      <w:r>
        <w:rPr>
          <w:spacing w:val="-4"/>
          <w:sz w:val="16"/>
        </w:rPr>
        <w:t>2022</w:t>
      </w:r>
    </w:p>
    <w:p>
      <w:pPr>
        <w:pStyle w:val="BodyText"/>
        <w:spacing w:before="46"/>
        <w:rPr>
          <w:sz w:val="16"/>
        </w:rPr>
      </w:pPr>
    </w:p>
    <w:p>
      <w:pPr>
        <w:pStyle w:val="BodyText"/>
        <w:ind w:left="338" w:firstLine="288"/>
      </w:pPr>
      <w:r>
        <w:rPr>
          <w:rFonts w:ascii="Arial" w:hAnsi="Arial"/>
          <w:b/>
        </w:rPr>
        <w:t>Artículo</w:t>
      </w:r>
      <w:r>
        <w:rPr>
          <w:rFonts w:ascii="Arial" w:hAnsi="Arial"/>
          <w:b/>
          <w:spacing w:val="16"/>
        </w:rPr>
        <w:t> </w:t>
      </w:r>
      <w:r>
        <w:rPr>
          <w:rFonts w:ascii="Arial" w:hAnsi="Arial"/>
          <w:b/>
        </w:rPr>
        <w:t>Único.-</w:t>
      </w:r>
      <w:r>
        <w:rPr>
          <w:rFonts w:ascii="Arial" w:hAnsi="Arial"/>
          <w:b/>
          <w:spacing w:val="17"/>
        </w:rPr>
        <w:t> </w:t>
      </w:r>
      <w:r>
        <w:rPr/>
        <w:t>Se</w:t>
      </w:r>
      <w:r>
        <w:rPr>
          <w:spacing w:val="16"/>
        </w:rPr>
        <w:t> </w:t>
      </w:r>
      <w:r>
        <w:rPr/>
        <w:t>reforma</w:t>
      </w:r>
      <w:r>
        <w:rPr>
          <w:spacing w:val="16"/>
        </w:rPr>
        <w:t> </w:t>
      </w:r>
      <w:r>
        <w:rPr/>
        <w:t>la fracción IX</w:t>
      </w:r>
      <w:r>
        <w:rPr>
          <w:spacing w:val="17"/>
        </w:rPr>
        <w:t> </w:t>
      </w:r>
      <w:r>
        <w:rPr/>
        <w:t>del artículo</w:t>
      </w:r>
      <w:r>
        <w:rPr>
          <w:spacing w:val="16"/>
        </w:rPr>
        <w:t> </w:t>
      </w:r>
      <w:r>
        <w:rPr/>
        <w:t>132</w:t>
      </w:r>
      <w:r>
        <w:rPr>
          <w:spacing w:val="18"/>
        </w:rPr>
        <w:t> </w:t>
      </w:r>
      <w:r>
        <w:rPr/>
        <w:t>y la</w:t>
      </w:r>
      <w:r>
        <w:rPr>
          <w:spacing w:val="16"/>
        </w:rPr>
        <w:t> </w:t>
      </w:r>
      <w:r>
        <w:rPr/>
        <w:t>fracción V del</w:t>
      </w:r>
      <w:r>
        <w:rPr>
          <w:spacing w:val="17"/>
        </w:rPr>
        <w:t> </w:t>
      </w:r>
      <w:r>
        <w:rPr/>
        <w:t>artículo</w:t>
      </w:r>
      <w:r>
        <w:rPr>
          <w:spacing w:val="16"/>
        </w:rPr>
        <w:t> </w:t>
      </w:r>
      <w:r>
        <w:rPr/>
        <w:t>204</w:t>
      </w:r>
      <w:r>
        <w:rPr>
          <w:spacing w:val="16"/>
        </w:rPr>
        <w:t> </w:t>
      </w:r>
      <w:r>
        <w:rPr/>
        <w:t>de la</w:t>
      </w:r>
      <w:r>
        <w:rPr>
          <w:spacing w:val="16"/>
        </w:rPr>
        <w:t> </w:t>
      </w:r>
      <w:r>
        <w:rPr/>
        <w:t>Ley Federal del Trabajo, para quedar como sigue:</w:t>
      </w:r>
    </w:p>
    <w:p>
      <w:pPr>
        <w:pStyle w:val="BodyText"/>
        <w:spacing w:before="1"/>
      </w:pPr>
    </w:p>
    <w:p>
      <w:pPr>
        <w:spacing w:before="0"/>
        <w:ind w:left="626" w:right="0" w:firstLine="0"/>
        <w:jc w:val="left"/>
        <w:rPr>
          <w:sz w:val="20"/>
        </w:rPr>
      </w:pPr>
      <w:r>
        <w:rPr>
          <w:spacing w:val="-4"/>
          <w:sz w:val="20"/>
        </w:rPr>
        <w:t>……..</w:t>
      </w:r>
    </w:p>
    <w:p>
      <w:pPr>
        <w:pStyle w:val="Heading2"/>
        <w:spacing w:before="227"/>
        <w:ind w:left="298"/>
      </w:pPr>
      <w:r>
        <w:rPr>
          <w:spacing w:val="-2"/>
        </w:rPr>
        <w:t>Transitorio</w:t>
      </w:r>
    </w:p>
    <w:p>
      <w:pPr>
        <w:pStyle w:val="BodyText"/>
        <w:spacing w:before="2"/>
        <w:rPr>
          <w:rFonts w:ascii="Arial"/>
          <w:b/>
        </w:rPr>
      </w:pPr>
    </w:p>
    <w:p>
      <w:pPr>
        <w:pStyle w:val="BodyText"/>
        <w:spacing w:line="242" w:lineRule="auto"/>
        <w:ind w:left="338" w:right="345"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4"/>
        <w:ind w:left="338" w:right="334" w:firstLine="288"/>
        <w:jc w:val="both"/>
        <w:rPr>
          <w:rFonts w:ascii="Arial" w:hAnsi="Arial"/>
          <w:b/>
          <w:sz w:val="20"/>
        </w:rPr>
      </w:pPr>
      <w:r>
        <w:rPr>
          <w:rFonts w:ascii="Arial" w:hAnsi="Arial"/>
          <w:b/>
          <w:sz w:val="20"/>
        </w:rPr>
        <w:t>Ciudad de México, a 16 de marzo de 2022</w:t>
      </w:r>
      <w:r>
        <w:rPr>
          <w:sz w:val="20"/>
        </w:rPr>
        <w:t>.- 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Fuensanta Guadalupe Guerrero Esquivel</w:t>
      </w:r>
      <w:r>
        <w:rPr>
          <w:sz w:val="20"/>
        </w:rPr>
        <w:t>, Secretaria.- Sen. </w:t>
      </w:r>
      <w:r>
        <w:rPr>
          <w:rFonts w:ascii="Arial" w:hAnsi="Arial"/>
          <w:b/>
          <w:sz w:val="20"/>
        </w:rPr>
        <w:t>Verónica Delgadillo García</w:t>
      </w:r>
      <w:r>
        <w:rPr>
          <w:sz w:val="20"/>
        </w:rPr>
        <w:t>, Secretaria.- Rúbricas.</w:t>
      </w:r>
      <w:r>
        <w:rPr>
          <w:rFonts w:ascii="Arial" w:hAnsi="Arial"/>
          <w:b/>
          <w:sz w:val="20"/>
        </w:rPr>
        <w:t>"</w:t>
      </w:r>
    </w:p>
    <w:p>
      <w:pPr>
        <w:pStyle w:val="BodyText"/>
        <w:spacing w:before="4"/>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30 de marzo de 2022.- </w:t>
      </w:r>
      <w:r>
        <w:rPr>
          <w:rFonts w:ascii="Arial" w:hAnsi="Arial"/>
          <w:b/>
        </w:rPr>
        <w:t>Andrés 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0"/>
        <w:jc w:val="left"/>
      </w:pPr>
      <w:r>
        <w:rPr/>
        <w:t>DECRETO por el que se adiciona un párrafo segundo al artículo 512</w:t>
      </w:r>
      <w:r>
        <w:rPr>
          <w:spacing w:val="-2"/>
        </w:rPr>
        <w:t> </w:t>
      </w:r>
      <w:r>
        <w:rPr/>
        <w:t>de la Ley</w:t>
      </w:r>
      <w:r>
        <w:rPr>
          <w:spacing w:val="-2"/>
        </w:rPr>
        <w:t> </w:t>
      </w:r>
      <w:r>
        <w:rPr/>
        <w:t>Federal del </w:t>
      </w:r>
      <w:r>
        <w:rPr>
          <w:spacing w:val="-2"/>
        </w:rPr>
        <w:t>Trabajo.</w:t>
      </w:r>
    </w:p>
    <w:p>
      <w:pPr>
        <w:spacing w:before="232"/>
        <w:ind w:left="297" w:right="29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28</w:t>
      </w:r>
      <w:r>
        <w:rPr>
          <w:spacing w:val="-3"/>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2022</w:t>
      </w:r>
    </w:p>
    <w:p>
      <w:pPr>
        <w:pStyle w:val="BodyText"/>
        <w:spacing w:before="46"/>
        <w:rPr>
          <w:sz w:val="16"/>
        </w:rPr>
      </w:pPr>
    </w:p>
    <w:p>
      <w:pPr>
        <w:pStyle w:val="BodyText"/>
        <w:ind w:left="338" w:firstLine="288"/>
      </w:pPr>
      <w:r>
        <w:rPr>
          <w:rFonts w:ascii="Arial" w:hAnsi="Arial"/>
          <w:b/>
        </w:rPr>
        <w:t>Artículo Único.- </w:t>
      </w:r>
      <w:r>
        <w:rPr/>
        <w:t>Se adiciona un párrafo segundo al artículo 512 de la Ley Federal del Trabajo, para quedar como sigue:</w:t>
      </w:r>
    </w:p>
    <w:p>
      <w:pPr>
        <w:pStyle w:val="BodyText"/>
        <w:spacing w:before="1"/>
      </w:pPr>
    </w:p>
    <w:p>
      <w:pPr>
        <w:spacing w:before="0"/>
        <w:ind w:left="626" w:right="0" w:firstLine="0"/>
        <w:jc w:val="left"/>
        <w:rPr>
          <w:sz w:val="20"/>
        </w:rPr>
      </w:pPr>
      <w:r>
        <w:rPr>
          <w:spacing w:val="-4"/>
          <w:sz w:val="20"/>
        </w:rPr>
        <w:t>……….</w:t>
      </w:r>
    </w:p>
    <w:p>
      <w:pPr>
        <w:pStyle w:val="Heading2"/>
        <w:spacing w:before="227"/>
        <w:ind w:left="298"/>
      </w:pPr>
      <w:r>
        <w:rPr>
          <w:spacing w:val="-2"/>
        </w:rPr>
        <w:t>Transitorio</w:t>
      </w:r>
    </w:p>
    <w:p>
      <w:pPr>
        <w:pStyle w:val="BodyText"/>
        <w:spacing w:before="2"/>
        <w:rPr>
          <w:rFonts w:ascii="Arial"/>
          <w:b/>
        </w:rPr>
      </w:pPr>
    </w:p>
    <w:p>
      <w:pPr>
        <w:pStyle w:val="BodyText"/>
        <w:spacing w:line="242" w:lineRule="auto"/>
        <w:ind w:left="338" w:right="347" w:firstLine="288"/>
        <w:jc w:val="both"/>
      </w:pPr>
      <w:r>
        <w:rPr>
          <w:rFonts w:ascii="Arial" w:hAnsi="Arial"/>
          <w:b/>
        </w:rPr>
        <w:t>Único.- </w:t>
      </w:r>
      <w:r>
        <w:rPr/>
        <w:t>El presente Decreto entrará en vigor al día siguiente de su publicación en el Diario Oficial</w:t>
      </w:r>
      <w:r>
        <w:rPr>
          <w:spacing w:val="66"/>
        </w:rPr>
        <w:t> </w:t>
      </w:r>
      <w:r>
        <w:rPr/>
        <w:t>de la Federación.</w:t>
      </w:r>
    </w:p>
    <w:p>
      <w:pPr>
        <w:spacing w:before="224"/>
        <w:ind w:left="338" w:right="334" w:firstLine="288"/>
        <w:jc w:val="both"/>
        <w:rPr>
          <w:rFonts w:ascii="Arial" w:hAnsi="Arial"/>
          <w:b/>
          <w:sz w:val="20"/>
        </w:rPr>
      </w:pPr>
      <w:r>
        <w:rPr>
          <w:rFonts w:ascii="Arial" w:hAnsi="Arial"/>
          <w:b/>
          <w:sz w:val="20"/>
        </w:rPr>
        <w:t>Ciudad de México, a 15 de marzo de 2022</w:t>
      </w:r>
      <w:r>
        <w:rPr>
          <w:sz w:val="20"/>
        </w:rPr>
        <w:t>.- 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María Macarena Chávez Flores</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4"/>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30 de marzo de 2022.- </w:t>
      </w:r>
      <w:r>
        <w:rPr>
          <w:rFonts w:ascii="Arial" w:hAnsi="Arial"/>
          <w:b/>
        </w:rPr>
        <w:t>Andrés 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333"/>
        <w:jc w:val="both"/>
      </w:pPr>
      <w:r>
        <w:rPr/>
        <w:t>DECRETO por el que se reforma el artículo Quinto Transitorio del "Decreto por el que se reforman,</w:t>
      </w:r>
      <w:r>
        <w:rPr>
          <w:spacing w:val="-3"/>
        </w:rPr>
        <w:t> </w:t>
      </w:r>
      <w:r>
        <w:rPr/>
        <w:t>adicionan</w:t>
      </w:r>
      <w:r>
        <w:rPr>
          <w:spacing w:val="-2"/>
        </w:rPr>
        <w:t> </w:t>
      </w:r>
      <w:r>
        <w:rPr/>
        <w:t>y</w:t>
      </w:r>
      <w:r>
        <w:rPr>
          <w:spacing w:val="-6"/>
        </w:rPr>
        <w:t> </w:t>
      </w:r>
      <w:r>
        <w:rPr/>
        <w:t>derogan</w:t>
      </w:r>
      <w:r>
        <w:rPr>
          <w:spacing w:val="-2"/>
        </w:rPr>
        <w:t> </w:t>
      </w:r>
      <w:r>
        <w:rPr/>
        <w:t>diversas</w:t>
      </w:r>
      <w:r>
        <w:rPr>
          <w:spacing w:val="-2"/>
        </w:rPr>
        <w:t> </w:t>
      </w:r>
      <w:r>
        <w:rPr/>
        <w:t>disposiciones</w:t>
      </w:r>
      <w:r>
        <w:rPr>
          <w:spacing w:val="-4"/>
        </w:rPr>
        <w:t> </w:t>
      </w:r>
      <w:r>
        <w:rPr/>
        <w:t>de</w:t>
      </w:r>
      <w:r>
        <w:rPr>
          <w:spacing w:val="-4"/>
        </w:rPr>
        <w:t> </w:t>
      </w:r>
      <w:r>
        <w:rPr/>
        <w:t>la</w:t>
      </w:r>
      <w:r>
        <w:rPr>
          <w:spacing w:val="-2"/>
        </w:rPr>
        <w:t> </w:t>
      </w:r>
      <w:r>
        <w:rPr/>
        <w:t>Ley</w:t>
      </w:r>
      <w:r>
        <w:rPr>
          <w:spacing w:val="-7"/>
        </w:rPr>
        <w:t> </w:t>
      </w:r>
      <w:r>
        <w:rPr/>
        <w:t>Federal del Trabajo,</w:t>
      </w:r>
      <w:r>
        <w:rPr>
          <w:spacing w:val="-1"/>
        </w:rPr>
        <w:t> </w:t>
      </w:r>
      <w:r>
        <w:rPr/>
        <w:t>de</w:t>
      </w:r>
      <w:r>
        <w:rPr>
          <w:spacing w:val="-5"/>
        </w:rPr>
        <w:t> </w:t>
      </w:r>
      <w:r>
        <w:rPr/>
        <w:t>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w:t>
      </w:r>
    </w:p>
    <w:p>
      <w:pPr>
        <w:spacing w:before="233"/>
        <w:ind w:left="295" w:right="29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18</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2022</w:t>
      </w:r>
    </w:p>
    <w:p>
      <w:pPr>
        <w:pStyle w:val="BodyText"/>
        <w:spacing w:before="43"/>
        <w:rPr>
          <w:sz w:val="16"/>
        </w:rPr>
      </w:pPr>
    </w:p>
    <w:p>
      <w:pPr>
        <w:pStyle w:val="BodyText"/>
        <w:ind w:left="338" w:right="338" w:firstLine="288"/>
        <w:jc w:val="both"/>
      </w:pPr>
      <w:r>
        <w:rPr>
          <w:rFonts w:ascii="Arial" w:hAnsi="Arial"/>
          <w:b/>
        </w:rPr>
        <w:t>Artículo Único.- </w:t>
      </w:r>
      <w:r>
        <w:rPr/>
        <w:t>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 para quedar como sigue:</w:t>
      </w:r>
    </w:p>
    <w:p>
      <w:pPr>
        <w:pStyle w:val="BodyText"/>
        <w:spacing w:before="4"/>
      </w:pPr>
    </w:p>
    <w:p>
      <w:pPr>
        <w:spacing w:before="0"/>
        <w:ind w:left="626" w:right="0" w:firstLine="0"/>
        <w:jc w:val="left"/>
        <w:rPr>
          <w:sz w:val="20"/>
        </w:rPr>
      </w:pPr>
      <w:r>
        <w:rPr>
          <w:spacing w:val="-5"/>
          <w:sz w:val="20"/>
        </w:rPr>
        <w:t>………</w:t>
      </w:r>
    </w:p>
    <w:p>
      <w:pPr>
        <w:pStyle w:val="Heading2"/>
        <w:spacing w:before="226"/>
        <w:ind w:left="298"/>
      </w:pPr>
      <w:r>
        <w:rPr>
          <w:spacing w:val="-2"/>
        </w:rPr>
        <w:t>Transitorio</w:t>
      </w:r>
    </w:p>
    <w:p>
      <w:pPr>
        <w:pStyle w:val="BodyText"/>
        <w:spacing w:before="2"/>
        <w:rPr>
          <w:rFonts w:ascii="Arial"/>
          <w:b/>
        </w:rPr>
      </w:pPr>
    </w:p>
    <w:p>
      <w:pPr>
        <w:pStyle w:val="BodyText"/>
        <w:spacing w:line="242" w:lineRule="auto"/>
        <w:ind w:left="338" w:right="340"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4"/>
        <w:ind w:left="338" w:right="334" w:firstLine="288"/>
        <w:jc w:val="both"/>
        <w:rPr>
          <w:rFonts w:ascii="Arial" w:hAnsi="Arial"/>
          <w:b/>
          <w:sz w:val="20"/>
        </w:rPr>
      </w:pPr>
      <w:r>
        <w:rPr>
          <w:rFonts w:ascii="Arial" w:hAnsi="Arial"/>
          <w:b/>
          <w:sz w:val="20"/>
        </w:rPr>
        <w:t>Ciudad de México, a 26 de abril de 2022</w:t>
      </w:r>
      <w:r>
        <w:rPr>
          <w:sz w:val="20"/>
        </w:rPr>
        <w:t>.- 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María Macarena Chávez Flores</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4"/>
        <w:rPr>
          <w:rFonts w:ascii="Arial"/>
          <w:b/>
        </w:rPr>
      </w:pPr>
    </w:p>
    <w:p>
      <w:pPr>
        <w:pStyle w:val="BodyText"/>
        <w:spacing w:before="1"/>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10 de mayo de 2022.- </w:t>
      </w:r>
      <w:r>
        <w:rPr>
          <w:rFonts w:ascii="Arial" w:hAnsi="Arial"/>
          <w:b/>
        </w:rPr>
        <w:t>Andrés</w:t>
      </w:r>
      <w:r>
        <w:rPr>
          <w:rFonts w:ascii="Arial" w:hAnsi="Arial"/>
          <w:b/>
          <w:spacing w:val="40"/>
        </w:rPr>
        <w:t> </w:t>
      </w:r>
      <w:r>
        <w:rPr>
          <w:rFonts w:ascii="Arial" w:hAnsi="Arial"/>
          <w:b/>
        </w:rPr>
        <w:t>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0"/>
        <w:jc w:val="left"/>
      </w:pPr>
      <w:r>
        <w:rPr/>
        <w:t>DECRETO por el que se reforman los artículos 76 y 78 de la Ley Federal del Trabajo, en</w:t>
      </w:r>
      <w:r>
        <w:rPr>
          <w:spacing w:val="40"/>
        </w:rPr>
        <w:t> </w:t>
      </w:r>
      <w:r>
        <w:rPr/>
        <w:t>materia de vacaciones.</w:t>
      </w:r>
    </w:p>
    <w:p>
      <w:pPr>
        <w:spacing w:before="232"/>
        <w:ind w:left="298" w:right="29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27</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2022</w:t>
      </w:r>
    </w:p>
    <w:p>
      <w:pPr>
        <w:pStyle w:val="BodyText"/>
        <w:spacing w:before="46"/>
        <w:rPr>
          <w:sz w:val="16"/>
        </w:rPr>
      </w:pPr>
    </w:p>
    <w:p>
      <w:pPr>
        <w:pStyle w:val="BodyText"/>
        <w:ind w:left="338" w:right="357" w:firstLine="288"/>
      </w:pPr>
      <w:r>
        <w:rPr>
          <w:rFonts w:ascii="Arial" w:hAnsi="Arial"/>
          <w:b/>
        </w:rPr>
        <w:t>Artículo Único.- </w:t>
      </w:r>
      <w:r>
        <w:rPr/>
        <w:t>Se reforman los artículos 76 y 78 de la Ley Federal del Trabajo, para quedar como </w:t>
      </w:r>
      <w:r>
        <w:rPr>
          <w:spacing w:val="-2"/>
        </w:rPr>
        <w:t>sigue:</w:t>
      </w:r>
    </w:p>
    <w:p>
      <w:pPr>
        <w:pStyle w:val="BodyText"/>
        <w:spacing w:before="1"/>
      </w:pPr>
    </w:p>
    <w:p>
      <w:pPr>
        <w:spacing w:before="0"/>
        <w:ind w:left="626" w:right="0" w:firstLine="0"/>
        <w:jc w:val="left"/>
        <w:rPr>
          <w:sz w:val="20"/>
        </w:rPr>
      </w:pPr>
      <w:r>
        <w:rPr>
          <w:spacing w:val="-4"/>
          <w:sz w:val="20"/>
        </w:rPr>
        <w:t>……..</w:t>
      </w:r>
    </w:p>
    <w:p>
      <w:pPr>
        <w:pStyle w:val="Heading2"/>
        <w:spacing w:before="227"/>
        <w:ind w:left="300"/>
      </w:pPr>
      <w:r>
        <w:rPr>
          <w:spacing w:val="-2"/>
        </w:rPr>
        <w:t>Transitorios</w:t>
      </w:r>
    </w:p>
    <w:p>
      <w:pPr>
        <w:pStyle w:val="BodyText"/>
        <w:spacing w:before="2"/>
        <w:rPr>
          <w:rFonts w:ascii="Arial"/>
          <w:b/>
        </w:rPr>
      </w:pPr>
    </w:p>
    <w:p>
      <w:pPr>
        <w:pStyle w:val="BodyText"/>
        <w:spacing w:line="242" w:lineRule="auto"/>
        <w:ind w:left="338" w:right="344" w:firstLine="288"/>
        <w:jc w:val="both"/>
      </w:pPr>
      <w:r>
        <w:rPr>
          <w:rFonts w:ascii="Arial" w:hAnsi="Arial"/>
          <w:b/>
        </w:rPr>
        <w:t>Primero.- </w:t>
      </w:r>
      <w:r>
        <w:rPr/>
        <w:t>El presente Decreto entrará en vigor el 1.° de enero de 2023, o al día siguiente de su publicación en el Diario Oficial de la Federación, si esta fuera en el año 2023.</w:t>
      </w:r>
    </w:p>
    <w:p>
      <w:pPr>
        <w:pStyle w:val="BodyText"/>
        <w:spacing w:line="242" w:lineRule="auto" w:before="224"/>
        <w:ind w:left="338" w:right="340" w:firstLine="288"/>
        <w:jc w:val="both"/>
      </w:pPr>
      <w:r>
        <w:rPr>
          <w:rFonts w:ascii="Arial" w:hAnsi="Arial"/>
          <w:b/>
        </w:rPr>
        <w:t>Segundo.- </w:t>
      </w:r>
      <w:r>
        <w:rPr/>
        <w:t>Las modificaciones motivo del presente Decreto serán aplicables a los contratos individuales o colectivos de trabajo vigentes a la fecha de su entrada en vigor, cualquiera que sea su forma o denominación, siempre que resulten más favorables a los derechos de las personas</w:t>
      </w:r>
      <w:r>
        <w:rPr>
          <w:spacing w:val="80"/>
        </w:rPr>
        <w:t> </w:t>
      </w:r>
      <w:r>
        <w:rPr>
          <w:spacing w:val="-2"/>
        </w:rPr>
        <w:t>trabajadoras.</w:t>
      </w:r>
    </w:p>
    <w:p>
      <w:pPr>
        <w:spacing w:before="223"/>
        <w:ind w:left="338" w:right="334" w:firstLine="288"/>
        <w:jc w:val="both"/>
        <w:rPr>
          <w:rFonts w:ascii="Arial" w:hAnsi="Arial"/>
          <w:b/>
          <w:sz w:val="20"/>
        </w:rPr>
      </w:pPr>
      <w:r>
        <w:rPr>
          <w:rFonts w:ascii="Arial" w:hAnsi="Arial"/>
          <w:b/>
          <w:sz w:val="20"/>
        </w:rPr>
        <w:t>Ciudad de México, a 14 de diciembre de 2022</w:t>
      </w:r>
      <w:r>
        <w:rPr>
          <w:sz w:val="20"/>
        </w:rPr>
        <w:t>.- Dip. </w:t>
      </w:r>
      <w:r>
        <w:rPr>
          <w:rFonts w:ascii="Arial" w:hAnsi="Arial"/>
          <w:b/>
          <w:sz w:val="20"/>
        </w:rPr>
        <w:t>Santiago Creel Miranda</w:t>
      </w:r>
      <w:r>
        <w:rPr>
          <w:sz w:val="20"/>
        </w:rPr>
        <w:t>, Presidente.-</w:t>
      </w:r>
      <w:r>
        <w:rPr>
          <w:spacing w:val="40"/>
          <w:sz w:val="20"/>
        </w:rPr>
        <w:t> </w:t>
      </w:r>
      <w:r>
        <w:rPr>
          <w:sz w:val="20"/>
        </w:rPr>
        <w:t>Sen. </w:t>
      </w:r>
      <w:r>
        <w:rPr>
          <w:rFonts w:ascii="Arial" w:hAnsi="Arial"/>
          <w:b/>
          <w:sz w:val="20"/>
        </w:rPr>
        <w:t>Alejandro Armenta Mier</w:t>
      </w:r>
      <w:r>
        <w:rPr>
          <w:sz w:val="20"/>
        </w:rPr>
        <w:t>, Presidente.- Dip. </w:t>
      </w:r>
      <w:r>
        <w:rPr>
          <w:rFonts w:ascii="Arial" w:hAnsi="Arial"/>
          <w:b/>
          <w:sz w:val="20"/>
        </w:rPr>
        <w:t>Magdalena del Socorro Núñez Monreal</w:t>
      </w:r>
      <w:r>
        <w:rPr>
          <w:sz w:val="20"/>
        </w:rPr>
        <w:t>, Secretaria.-</w:t>
      </w:r>
      <w:r>
        <w:rPr>
          <w:spacing w:val="40"/>
          <w:sz w:val="20"/>
        </w:rPr>
        <w:t> </w:t>
      </w:r>
      <w:r>
        <w:rPr>
          <w:sz w:val="20"/>
        </w:rPr>
        <w:t>Sen. </w:t>
      </w:r>
      <w:r>
        <w:rPr>
          <w:rFonts w:ascii="Arial" w:hAnsi="Arial"/>
          <w:b/>
          <w:sz w:val="20"/>
        </w:rPr>
        <w:t>Verónica Noemí Camino Farjat</w:t>
      </w:r>
      <w:r>
        <w:rPr>
          <w:sz w:val="20"/>
        </w:rPr>
        <w:t>, Secretaria.- Rúbricas.</w:t>
      </w:r>
      <w:r>
        <w:rPr>
          <w:rFonts w:ascii="Arial" w:hAnsi="Arial"/>
          <w:b/>
          <w:sz w:val="20"/>
        </w:rPr>
        <w:t>"</w:t>
      </w:r>
    </w:p>
    <w:p>
      <w:pPr>
        <w:pStyle w:val="BodyText"/>
        <w:spacing w:before="1"/>
        <w:rPr>
          <w:rFonts w:ascii="Arial"/>
          <w:b/>
        </w:rPr>
      </w:pPr>
    </w:p>
    <w:p>
      <w:pPr>
        <w:pStyle w:val="BodyText"/>
        <w:spacing w:before="1"/>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diciembre de 2022.- </w:t>
      </w:r>
      <w:r>
        <w:rPr>
          <w:rFonts w:ascii="Arial" w:hAnsi="Arial"/>
          <w:b/>
        </w:rPr>
        <w:t>Andrés 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335"/>
        <w:jc w:val="both"/>
      </w:pPr>
      <w:r>
        <w:rPr/>
        <w:t>DECRETO por</w:t>
      </w:r>
      <w:r>
        <w:rPr>
          <w:spacing w:val="-1"/>
        </w:rPr>
        <w:t> </w:t>
      </w:r>
      <w:r>
        <w:rPr/>
        <w:t>el que</w:t>
      </w:r>
      <w:r>
        <w:rPr>
          <w:spacing w:val="-2"/>
        </w:rPr>
        <w:t> </w:t>
      </w:r>
      <w:r>
        <w:rPr/>
        <w:t>se reforman</w:t>
      </w:r>
      <w:r>
        <w:rPr>
          <w:spacing w:val="-2"/>
        </w:rPr>
        <w:t> </w:t>
      </w:r>
      <w:r>
        <w:rPr/>
        <w:t>los</w:t>
      </w:r>
      <w:r>
        <w:rPr>
          <w:spacing w:val="-2"/>
        </w:rPr>
        <w:t> </w:t>
      </w:r>
      <w:r>
        <w:rPr/>
        <w:t>artículos 251</w:t>
      </w:r>
      <w:r>
        <w:rPr>
          <w:spacing w:val="-2"/>
        </w:rPr>
        <w:t> </w:t>
      </w:r>
      <w:r>
        <w:rPr/>
        <w:t>de</w:t>
      </w:r>
      <w:r>
        <w:rPr>
          <w:spacing w:val="-2"/>
        </w:rPr>
        <w:t> </w:t>
      </w:r>
      <w:r>
        <w:rPr/>
        <w:t>la</w:t>
      </w:r>
      <w:r>
        <w:rPr>
          <w:spacing w:val="-2"/>
        </w:rPr>
        <w:t> </w:t>
      </w:r>
      <w:r>
        <w:rPr/>
        <w:t>Ley</w:t>
      </w:r>
      <w:r>
        <w:rPr>
          <w:spacing w:val="-4"/>
        </w:rPr>
        <w:t> </w:t>
      </w:r>
      <w:r>
        <w:rPr/>
        <w:t>del Seguro Social</w:t>
      </w:r>
      <w:r>
        <w:rPr>
          <w:spacing w:val="-1"/>
        </w:rPr>
        <w:t> </w:t>
      </w:r>
      <w:r>
        <w:rPr/>
        <w:t>y</w:t>
      </w:r>
      <w:r>
        <w:rPr>
          <w:spacing w:val="-4"/>
        </w:rPr>
        <w:t> </w:t>
      </w:r>
      <w:r>
        <w:rPr/>
        <w:t>146 de</w:t>
      </w:r>
      <w:r>
        <w:rPr>
          <w:spacing w:val="-2"/>
        </w:rPr>
        <w:t> </w:t>
      </w:r>
      <w:r>
        <w:rPr/>
        <w:t>la Ley Federal del Trabajo, y se adiciona un artículo 59 Bis a la Ley del Instituto del Fondo Nacional de la Vivienda para los Trabajadores.</w:t>
      </w:r>
    </w:p>
    <w:p>
      <w:pPr>
        <w:spacing w:before="231"/>
        <w:ind w:left="297" w:right="296"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4"/>
          <w:sz w:val="16"/>
        </w:rPr>
        <w:t> </w:t>
      </w:r>
      <w:r>
        <w:rPr>
          <w:sz w:val="16"/>
        </w:rPr>
        <w:t>el</w:t>
      </w:r>
      <w:r>
        <w:rPr>
          <w:spacing w:val="1"/>
          <w:sz w:val="16"/>
        </w:rPr>
        <w:t> </w:t>
      </w:r>
      <w:r>
        <w:rPr>
          <w:sz w:val="16"/>
        </w:rPr>
        <w:t>29</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2023</w:t>
      </w:r>
    </w:p>
    <w:p>
      <w:pPr>
        <w:pStyle w:val="BodyText"/>
        <w:spacing w:before="46"/>
        <w:rPr>
          <w:sz w:val="16"/>
        </w:rPr>
      </w:pPr>
    </w:p>
    <w:p>
      <w:pPr>
        <w:pStyle w:val="BodyText"/>
        <w:spacing w:line="242" w:lineRule="auto"/>
        <w:ind w:left="338" w:firstLine="288"/>
      </w:pPr>
      <w:r>
        <w:rPr>
          <w:rFonts w:ascii="Arial" w:hAnsi="Arial"/>
          <w:b/>
        </w:rPr>
        <w:t>Artículo</w:t>
      </w:r>
      <w:r>
        <w:rPr>
          <w:rFonts w:ascii="Arial" w:hAnsi="Arial"/>
          <w:b/>
          <w:spacing w:val="39"/>
        </w:rPr>
        <w:t> </w:t>
      </w:r>
      <w:r>
        <w:rPr>
          <w:rFonts w:ascii="Arial" w:hAnsi="Arial"/>
          <w:b/>
        </w:rPr>
        <w:t>Segundo.-</w:t>
      </w:r>
      <w:r>
        <w:rPr>
          <w:rFonts w:ascii="Arial" w:hAnsi="Arial"/>
          <w:b/>
          <w:spacing w:val="37"/>
        </w:rPr>
        <w:t> </w:t>
      </w:r>
      <w:r>
        <w:rPr/>
        <w:t>Se</w:t>
      </w:r>
      <w:r>
        <w:rPr>
          <w:spacing w:val="35"/>
        </w:rPr>
        <w:t> </w:t>
      </w:r>
      <w:r>
        <w:rPr/>
        <w:t>reforma</w:t>
      </w:r>
      <w:r>
        <w:rPr>
          <w:spacing w:val="35"/>
        </w:rPr>
        <w:t> </w:t>
      </w:r>
      <w:r>
        <w:rPr/>
        <w:t>el</w:t>
      </w:r>
      <w:r>
        <w:rPr>
          <w:spacing w:val="34"/>
        </w:rPr>
        <w:t> </w:t>
      </w:r>
      <w:r>
        <w:rPr/>
        <w:t>artículo</w:t>
      </w:r>
      <w:r>
        <w:rPr>
          <w:spacing w:val="35"/>
        </w:rPr>
        <w:t> </w:t>
      </w:r>
      <w:r>
        <w:rPr/>
        <w:t>146</w:t>
      </w:r>
      <w:r>
        <w:rPr>
          <w:spacing w:val="37"/>
        </w:rPr>
        <w:t> </w:t>
      </w:r>
      <w:r>
        <w:rPr/>
        <w:t>de</w:t>
      </w:r>
      <w:r>
        <w:rPr>
          <w:spacing w:val="37"/>
        </w:rPr>
        <w:t> </w:t>
      </w:r>
      <w:r>
        <w:rPr/>
        <w:t>la</w:t>
      </w:r>
      <w:r>
        <w:rPr>
          <w:spacing w:val="35"/>
        </w:rPr>
        <w:t> </w:t>
      </w:r>
      <w:r>
        <w:rPr/>
        <w:t>Ley</w:t>
      </w:r>
      <w:r>
        <w:rPr>
          <w:spacing w:val="32"/>
        </w:rPr>
        <w:t> </w:t>
      </w:r>
      <w:r>
        <w:rPr/>
        <w:t>Federal</w:t>
      </w:r>
      <w:r>
        <w:rPr>
          <w:spacing w:val="35"/>
        </w:rPr>
        <w:t> </w:t>
      </w:r>
      <w:r>
        <w:rPr/>
        <w:t>del</w:t>
      </w:r>
      <w:r>
        <w:rPr>
          <w:spacing w:val="34"/>
        </w:rPr>
        <w:t> </w:t>
      </w:r>
      <w:r>
        <w:rPr/>
        <w:t>Trabajo,</w:t>
      </w:r>
      <w:r>
        <w:rPr>
          <w:spacing w:val="36"/>
        </w:rPr>
        <w:t> </w:t>
      </w:r>
      <w:r>
        <w:rPr/>
        <w:t>para</w:t>
      </w:r>
      <w:r>
        <w:rPr>
          <w:spacing w:val="38"/>
        </w:rPr>
        <w:t> </w:t>
      </w:r>
      <w:r>
        <w:rPr/>
        <w:t>quedar</w:t>
      </w:r>
      <w:r>
        <w:rPr>
          <w:spacing w:val="36"/>
        </w:rPr>
        <w:t> </w:t>
      </w:r>
      <w:r>
        <w:rPr/>
        <w:t>como </w:t>
      </w:r>
      <w:r>
        <w:rPr>
          <w:spacing w:val="-2"/>
        </w:rPr>
        <w:t>sigue:</w:t>
      </w:r>
    </w:p>
    <w:p>
      <w:pPr>
        <w:spacing w:before="227"/>
        <w:ind w:left="626" w:right="0" w:firstLine="0"/>
        <w:jc w:val="left"/>
        <w:rPr>
          <w:sz w:val="20"/>
        </w:rPr>
      </w:pPr>
      <w:r>
        <w:rPr>
          <w:spacing w:val="-5"/>
          <w:sz w:val="20"/>
        </w:rPr>
        <w:t>………</w:t>
      </w:r>
    </w:p>
    <w:p>
      <w:pPr>
        <w:pStyle w:val="Heading2"/>
        <w:spacing w:before="226"/>
        <w:ind w:left="298"/>
      </w:pPr>
      <w:r>
        <w:rPr>
          <w:spacing w:val="-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w:t>
      </w:r>
      <w:r>
        <w:rPr>
          <w:spacing w:val="-1"/>
        </w:rPr>
        <w:t> </w:t>
      </w:r>
      <w:r>
        <w:rPr/>
        <w:t>entrará en vigor el primero</w:t>
      </w:r>
      <w:r>
        <w:rPr>
          <w:spacing w:val="-1"/>
        </w:rPr>
        <w:t> </w:t>
      </w:r>
      <w:r>
        <w:rPr/>
        <w:t>de</w:t>
      </w:r>
      <w:r>
        <w:rPr>
          <w:spacing w:val="-1"/>
        </w:rPr>
        <w:t> </w:t>
      </w:r>
      <w:r>
        <w:rPr/>
        <w:t>enero del año</w:t>
      </w:r>
      <w:r>
        <w:rPr>
          <w:spacing w:val="-1"/>
        </w:rPr>
        <w:t> </w:t>
      </w:r>
      <w:r>
        <w:rPr/>
        <w:t>posterior a</w:t>
      </w:r>
      <w:r>
        <w:rPr>
          <w:spacing w:val="-1"/>
        </w:rPr>
        <w:t> </w:t>
      </w:r>
      <w:r>
        <w:rPr/>
        <w:t>su publicación en el Diario Oficial de la Federación.</w:t>
      </w:r>
    </w:p>
    <w:p>
      <w:pPr>
        <w:spacing w:before="227"/>
        <w:ind w:left="338" w:right="334" w:firstLine="288"/>
        <w:jc w:val="both"/>
        <w:rPr>
          <w:rFonts w:ascii="Arial" w:hAnsi="Arial"/>
          <w:b/>
          <w:sz w:val="20"/>
        </w:rPr>
      </w:pPr>
      <w:r>
        <w:rPr>
          <w:rFonts w:ascii="Arial" w:hAnsi="Arial"/>
          <w:b/>
          <w:sz w:val="20"/>
        </w:rPr>
        <w:t>Ciudad de México, a 17 de octubre de 2023</w:t>
      </w:r>
      <w:r>
        <w:rPr>
          <w:sz w:val="20"/>
        </w:rPr>
        <w:t>.- 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Diana Estefanía Gutiérrez Valtierra</w:t>
      </w:r>
      <w:r>
        <w:rPr>
          <w:sz w:val="20"/>
        </w:rPr>
        <w:t>, Secretaria.- Sen. </w:t>
      </w:r>
      <w:r>
        <w:rPr>
          <w:rFonts w:ascii="Arial" w:hAnsi="Arial"/>
          <w:b/>
          <w:sz w:val="20"/>
        </w:rPr>
        <w:t>Claudia Esther Balderas Espinoza</w:t>
      </w:r>
      <w:r>
        <w:rPr>
          <w:sz w:val="20"/>
        </w:rPr>
        <w:t>, Secretaria.- Rúbricas.</w:t>
      </w:r>
      <w:r>
        <w:rPr>
          <w:rFonts w:ascii="Arial" w:hAnsi="Arial"/>
          <w:b/>
          <w:sz w:val="20"/>
        </w:rPr>
        <w:t>"</w:t>
      </w:r>
    </w:p>
    <w:p>
      <w:pPr>
        <w:pStyle w:val="BodyText"/>
        <w:spacing w:before="1"/>
        <w:rPr>
          <w:rFonts w:ascii="Arial"/>
          <w:b/>
        </w:rPr>
      </w:pPr>
    </w:p>
    <w:p>
      <w:pPr>
        <w:pStyle w:val="BodyText"/>
        <w:ind w:left="338" w:right="3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22 de noviembre de 2023.-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357"/>
        <w:jc w:val="left"/>
      </w:pPr>
      <w:r>
        <w:rPr/>
        <w:t>DECRETO por el que se reforman y adicionan diversas disposiciones de la Ley Federal</w:t>
      </w:r>
      <w:r>
        <w:rPr>
          <w:spacing w:val="40"/>
        </w:rPr>
        <w:t> </w:t>
      </w:r>
      <w:r>
        <w:rPr/>
        <w:t>del Trabajo.</w:t>
      </w:r>
    </w:p>
    <w:p>
      <w:pPr>
        <w:spacing w:before="232"/>
        <w:ind w:left="296" w:right="29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4</w:t>
      </w:r>
      <w:r>
        <w:rPr>
          <w:spacing w:val="-3"/>
          <w:sz w:val="16"/>
        </w:rPr>
        <w:t> </w:t>
      </w:r>
      <w:r>
        <w:rPr>
          <w:sz w:val="16"/>
        </w:rPr>
        <w:t>de</w:t>
      </w:r>
      <w:r>
        <w:rPr>
          <w:spacing w:val="-6"/>
          <w:sz w:val="16"/>
        </w:rPr>
        <w:t> </w:t>
      </w:r>
      <w:r>
        <w:rPr>
          <w:sz w:val="16"/>
        </w:rPr>
        <w:t>diciembre</w:t>
      </w:r>
      <w:r>
        <w:rPr>
          <w:spacing w:val="-4"/>
          <w:sz w:val="16"/>
        </w:rPr>
        <w:t> </w:t>
      </w:r>
      <w:r>
        <w:rPr>
          <w:sz w:val="16"/>
        </w:rPr>
        <w:t>de</w:t>
      </w:r>
      <w:r>
        <w:rPr>
          <w:spacing w:val="-4"/>
          <w:sz w:val="16"/>
        </w:rPr>
        <w:t> 2023</w:t>
      </w:r>
    </w:p>
    <w:p>
      <w:pPr>
        <w:pStyle w:val="BodyText"/>
        <w:spacing w:before="46"/>
        <w:rPr>
          <w:sz w:val="16"/>
        </w:rPr>
      </w:pPr>
    </w:p>
    <w:p>
      <w:pPr>
        <w:pStyle w:val="BodyText"/>
        <w:ind w:left="338" w:right="337" w:firstLine="288"/>
        <w:jc w:val="both"/>
      </w:pPr>
      <w:r>
        <w:rPr>
          <w:rFonts w:ascii="Arial" w:hAnsi="Arial"/>
          <w:b/>
        </w:rPr>
        <w:t>Artículo</w:t>
      </w:r>
      <w:r>
        <w:rPr>
          <w:rFonts w:ascii="Arial" w:hAnsi="Arial"/>
          <w:b/>
          <w:spacing w:val="-1"/>
        </w:rPr>
        <w:t> </w:t>
      </w:r>
      <w:r>
        <w:rPr>
          <w:rFonts w:ascii="Arial" w:hAnsi="Arial"/>
          <w:b/>
        </w:rPr>
        <w:t>Único.- </w:t>
      </w:r>
      <w:r>
        <w:rPr/>
        <w:t>Se</w:t>
      </w:r>
      <w:r>
        <w:rPr>
          <w:spacing w:val="-2"/>
        </w:rPr>
        <w:t> </w:t>
      </w:r>
      <w:r>
        <w:rPr/>
        <w:t>reforman los</w:t>
      </w:r>
      <w:r>
        <w:rPr>
          <w:spacing w:val="-1"/>
        </w:rPr>
        <w:t> </w:t>
      </w:r>
      <w:r>
        <w:rPr/>
        <w:t>artículos 513, en su párrafo y</w:t>
      </w:r>
      <w:r>
        <w:rPr>
          <w:spacing w:val="-3"/>
        </w:rPr>
        <w:t> </w:t>
      </w:r>
      <w:r>
        <w:rPr/>
        <w:t>la Tabla de Enfermedades</w:t>
      </w:r>
      <w:r>
        <w:rPr>
          <w:spacing w:val="-1"/>
        </w:rPr>
        <w:t> </w:t>
      </w:r>
      <w:r>
        <w:rPr/>
        <w:t>de</w:t>
      </w:r>
      <w:r>
        <w:rPr>
          <w:spacing w:val="-3"/>
        </w:rPr>
        <w:t> </w:t>
      </w:r>
      <w:r>
        <w:rPr/>
        <w:t>Trabajo; 514, y 515, y se adicionan los párrafos segundo y tercero y la Tabla para la Valuación de Incapacidades Permanentes Resultantes de los Riesgos de Trabajo al artículo 513 de la Ley Federal del Trabajo, para quedar como sigue:</w:t>
      </w:r>
    </w:p>
    <w:p>
      <w:pPr>
        <w:pStyle w:val="BodyText"/>
        <w:spacing w:before="2"/>
      </w:pPr>
    </w:p>
    <w:p>
      <w:pPr>
        <w:spacing w:before="0"/>
        <w:ind w:left="626" w:right="0" w:firstLine="0"/>
        <w:jc w:val="left"/>
        <w:rPr>
          <w:sz w:val="20"/>
        </w:rPr>
      </w:pPr>
      <w:r>
        <w:rPr>
          <w:spacing w:val="-4"/>
          <w:sz w:val="20"/>
        </w:rPr>
        <w:t>……..</w:t>
      </w:r>
    </w:p>
    <w:p>
      <w:pPr>
        <w:pStyle w:val="Heading2"/>
        <w:spacing w:before="227"/>
        <w:ind w:left="300"/>
      </w:pPr>
      <w:r>
        <w:rPr>
          <w:spacing w:val="-2"/>
        </w:rPr>
        <w:t>Transitorios</w:t>
      </w:r>
    </w:p>
    <w:p>
      <w:pPr>
        <w:pStyle w:val="BodyText"/>
        <w:spacing w:before="1"/>
        <w:rPr>
          <w:rFonts w:ascii="Arial"/>
          <w:b/>
        </w:rPr>
      </w:pPr>
    </w:p>
    <w:p>
      <w:pPr>
        <w:pStyle w:val="BodyText"/>
        <w:spacing w:before="1"/>
        <w:ind w:left="338" w:right="345"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8"/>
        <w:ind w:left="338" w:right="342" w:firstLine="288"/>
        <w:jc w:val="both"/>
      </w:pPr>
      <w:r>
        <w:rPr>
          <w:rFonts w:ascii="Arial" w:hAnsi="Arial"/>
          <w:b/>
        </w:rPr>
        <w:t>Segundo.</w:t>
      </w:r>
      <w:r>
        <w:rPr>
          <w:rFonts w:ascii="Arial" w:hAnsi="Arial"/>
          <w:b/>
          <w:spacing w:val="-1"/>
        </w:rPr>
        <w:t> </w:t>
      </w:r>
      <w:r>
        <w:rPr/>
        <w:t>La Secretaría</w:t>
      </w:r>
      <w:r>
        <w:rPr>
          <w:spacing w:val="-2"/>
        </w:rPr>
        <w:t> </w:t>
      </w:r>
      <w:r>
        <w:rPr/>
        <w:t>del</w:t>
      </w:r>
      <w:r>
        <w:rPr>
          <w:spacing w:val="-3"/>
        </w:rPr>
        <w:t> </w:t>
      </w:r>
      <w:r>
        <w:rPr/>
        <w:t>Trabajo y</w:t>
      </w:r>
      <w:r>
        <w:rPr>
          <w:spacing w:val="-5"/>
        </w:rPr>
        <w:t> </w:t>
      </w:r>
      <w:r>
        <w:rPr/>
        <w:t>Previsión Social,</w:t>
      </w:r>
      <w:r>
        <w:rPr>
          <w:spacing w:val="-2"/>
        </w:rPr>
        <w:t> </w:t>
      </w:r>
      <w:r>
        <w:rPr/>
        <w:t>en</w:t>
      </w:r>
      <w:r>
        <w:rPr>
          <w:spacing w:val="-3"/>
        </w:rPr>
        <w:t> </w:t>
      </w:r>
      <w:r>
        <w:rPr/>
        <w:t>un</w:t>
      </w:r>
      <w:r>
        <w:rPr>
          <w:spacing w:val="-2"/>
        </w:rPr>
        <w:t> </w:t>
      </w:r>
      <w:r>
        <w:rPr/>
        <w:t>plazo de</w:t>
      </w:r>
      <w:r>
        <w:rPr>
          <w:spacing w:val="-3"/>
        </w:rPr>
        <w:t> </w:t>
      </w:r>
      <w:r>
        <w:rPr/>
        <w:t>cuarenta y</w:t>
      </w:r>
      <w:r>
        <w:rPr>
          <w:spacing w:val="-3"/>
        </w:rPr>
        <w:t> </w:t>
      </w:r>
      <w:r>
        <w:rPr/>
        <w:t>cinco</w:t>
      </w:r>
      <w:r>
        <w:rPr>
          <w:spacing w:val="-2"/>
        </w:rPr>
        <w:t> </w:t>
      </w:r>
      <w:r>
        <w:rPr/>
        <w:t>días</w:t>
      </w:r>
      <w:r>
        <w:rPr>
          <w:spacing w:val="-1"/>
        </w:rPr>
        <w:t> </w:t>
      </w:r>
      <w:r>
        <w:rPr/>
        <w:t>hábiles</w:t>
      </w:r>
      <w:r>
        <w:rPr>
          <w:spacing w:val="-1"/>
        </w:rPr>
        <w:t> </w:t>
      </w:r>
      <w:r>
        <w:rPr/>
        <w:t>a partir de la entrada en vigor del presente Decreto, publicará el</w:t>
      </w:r>
      <w:r>
        <w:rPr>
          <w:spacing w:val="-1"/>
        </w:rPr>
        <w:t> </w:t>
      </w:r>
      <w:r>
        <w:rPr/>
        <w:t>Catálogo de las Cédulas para la Valuación de las Enfermedades de Trabajo en el Diario Oficial de la Federación.</w:t>
      </w:r>
    </w:p>
    <w:p>
      <w:pPr>
        <w:pStyle w:val="BodyText"/>
        <w:spacing w:line="242" w:lineRule="auto" w:before="223"/>
        <w:ind w:left="338" w:right="343" w:firstLine="288"/>
        <w:jc w:val="both"/>
      </w:pPr>
      <w:r>
        <w:rPr>
          <w:rFonts w:ascii="Arial" w:hAnsi="Arial"/>
          <w:b/>
        </w:rPr>
        <w:t>Tercero. </w:t>
      </w:r>
      <w:r>
        <w:rPr/>
        <w:t>Las obligaciones que se generen con motivo de la entrada en vigor del presente Decreto se cubrirán con cargo al presupuesto autorizado para los ejecutores de gasto correspondientes, para el presente ejercicio fiscal y los subsecuentes.</w:t>
      </w:r>
    </w:p>
    <w:p>
      <w:pPr>
        <w:pStyle w:val="BodyText"/>
        <w:spacing w:before="225"/>
        <w:ind w:left="626"/>
      </w:pPr>
      <w:r>
        <w:rPr>
          <w:rFonts w:ascii="Arial"/>
          <w:b/>
        </w:rPr>
        <w:t>Cuarto.</w:t>
      </w:r>
      <w:r>
        <w:rPr>
          <w:rFonts w:ascii="Arial"/>
          <w:b/>
          <w:spacing w:val="-7"/>
        </w:rPr>
        <w:t> </w:t>
      </w:r>
      <w:r>
        <w:rPr/>
        <w:t>Se</w:t>
      </w:r>
      <w:r>
        <w:rPr>
          <w:spacing w:val="-8"/>
        </w:rPr>
        <w:t> </w:t>
      </w:r>
      <w:r>
        <w:rPr/>
        <w:t>derogan</w:t>
      </w:r>
      <w:r>
        <w:rPr>
          <w:spacing w:val="-7"/>
        </w:rPr>
        <w:t> </w:t>
      </w:r>
      <w:r>
        <w:rPr/>
        <w:t>todas</w:t>
      </w:r>
      <w:r>
        <w:rPr>
          <w:spacing w:val="-7"/>
        </w:rPr>
        <w:t> </w:t>
      </w:r>
      <w:r>
        <w:rPr/>
        <w:t>las</w:t>
      </w:r>
      <w:r>
        <w:rPr>
          <w:spacing w:val="-7"/>
        </w:rPr>
        <w:t> </w:t>
      </w:r>
      <w:r>
        <w:rPr/>
        <w:t>disposiciones</w:t>
      </w:r>
      <w:r>
        <w:rPr>
          <w:spacing w:val="-6"/>
        </w:rPr>
        <w:t> </w:t>
      </w:r>
      <w:r>
        <w:rPr/>
        <w:t>que</w:t>
      </w:r>
      <w:r>
        <w:rPr>
          <w:spacing w:val="-8"/>
        </w:rPr>
        <w:t> </w:t>
      </w:r>
      <w:r>
        <w:rPr/>
        <w:t>contravengan</w:t>
      </w:r>
      <w:r>
        <w:rPr>
          <w:spacing w:val="-7"/>
        </w:rPr>
        <w:t> </w:t>
      </w:r>
      <w:r>
        <w:rPr/>
        <w:t>lo</w:t>
      </w:r>
      <w:r>
        <w:rPr>
          <w:spacing w:val="-8"/>
        </w:rPr>
        <w:t> </w:t>
      </w:r>
      <w:r>
        <w:rPr/>
        <w:t>establecido</w:t>
      </w:r>
      <w:r>
        <w:rPr>
          <w:spacing w:val="-7"/>
        </w:rPr>
        <w:t> </w:t>
      </w:r>
      <w:r>
        <w:rPr/>
        <w:t>en</w:t>
      </w:r>
      <w:r>
        <w:rPr>
          <w:spacing w:val="-4"/>
        </w:rPr>
        <w:t> </w:t>
      </w:r>
      <w:r>
        <w:rPr/>
        <w:t>el</w:t>
      </w:r>
      <w:r>
        <w:rPr>
          <w:spacing w:val="-9"/>
        </w:rPr>
        <w:t> </w:t>
      </w:r>
      <w:r>
        <w:rPr/>
        <w:t>presente</w:t>
      </w:r>
      <w:r>
        <w:rPr>
          <w:spacing w:val="-6"/>
        </w:rPr>
        <w:t> </w:t>
      </w:r>
      <w:r>
        <w:rPr>
          <w:spacing w:val="-2"/>
        </w:rPr>
        <w:t>Decreto.</w:t>
      </w:r>
    </w:p>
    <w:p>
      <w:pPr>
        <w:spacing w:before="228"/>
        <w:ind w:left="338" w:right="334" w:firstLine="288"/>
        <w:jc w:val="both"/>
        <w:rPr>
          <w:rFonts w:ascii="Arial" w:hAnsi="Arial"/>
          <w:b/>
          <w:sz w:val="20"/>
        </w:rPr>
      </w:pPr>
      <w:r>
        <w:rPr>
          <w:rFonts w:ascii="Arial" w:hAnsi="Arial"/>
          <w:b/>
          <w:sz w:val="20"/>
        </w:rPr>
        <w:t>Ciudad de México, a 24 de octubre de 2023</w:t>
      </w:r>
      <w:r>
        <w:rPr>
          <w:sz w:val="20"/>
        </w:rPr>
        <w:t>.- 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Diana Estefanía Gutiérrez Valtierra</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4"/>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4 de diciembre de 2023.-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332"/>
        <w:jc w:val="both"/>
      </w:pPr>
      <w:r>
        <w:rPr/>
        <w:t>DECRETO por el que se reforman, adicionan y derogan diversas disposiciones de la Ley Federal del Trabajo</w:t>
      </w:r>
      <w:r>
        <w:rPr>
          <w:spacing w:val="-2"/>
        </w:rPr>
        <w:t> </w:t>
      </w:r>
      <w:r>
        <w:rPr/>
        <w:t>y</w:t>
      </w:r>
      <w:r>
        <w:rPr>
          <w:spacing w:val="-6"/>
        </w:rPr>
        <w:t> </w:t>
      </w:r>
      <w:r>
        <w:rPr/>
        <w:t>de</w:t>
      </w:r>
      <w:r>
        <w:rPr>
          <w:spacing w:val="-2"/>
        </w:rPr>
        <w:t> </w:t>
      </w:r>
      <w:r>
        <w:rPr/>
        <w:t>la</w:t>
      </w:r>
      <w:r>
        <w:rPr>
          <w:spacing w:val="-4"/>
        </w:rPr>
        <w:t> </w:t>
      </w:r>
      <w:r>
        <w:rPr/>
        <w:t>Ley</w:t>
      </w:r>
      <w:r>
        <w:rPr>
          <w:spacing w:val="-6"/>
        </w:rPr>
        <w:t> </w:t>
      </w:r>
      <w:r>
        <w:rPr/>
        <w:t>del Seguro</w:t>
      </w:r>
      <w:r>
        <w:rPr>
          <w:spacing w:val="-2"/>
        </w:rPr>
        <w:t> </w:t>
      </w:r>
      <w:r>
        <w:rPr/>
        <w:t>Social, en</w:t>
      </w:r>
      <w:r>
        <w:rPr>
          <w:spacing w:val="-5"/>
        </w:rPr>
        <w:t> </w:t>
      </w:r>
      <w:r>
        <w:rPr/>
        <w:t>materia</w:t>
      </w:r>
      <w:r>
        <w:rPr>
          <w:spacing w:val="-4"/>
        </w:rPr>
        <w:t> </w:t>
      </w:r>
      <w:r>
        <w:rPr/>
        <w:t>de</w:t>
      </w:r>
      <w:r>
        <w:rPr>
          <w:spacing w:val="-2"/>
        </w:rPr>
        <w:t> </w:t>
      </w:r>
      <w:r>
        <w:rPr/>
        <w:t>derechos</w:t>
      </w:r>
      <w:r>
        <w:rPr>
          <w:spacing w:val="-2"/>
        </w:rPr>
        <w:t> </w:t>
      </w:r>
      <w:r>
        <w:rPr/>
        <w:t>laborales</w:t>
      </w:r>
      <w:r>
        <w:rPr>
          <w:spacing w:val="-2"/>
        </w:rPr>
        <w:t> </w:t>
      </w:r>
      <w:r>
        <w:rPr/>
        <w:t>de</w:t>
      </w:r>
      <w:r>
        <w:rPr>
          <w:spacing w:val="-7"/>
        </w:rPr>
        <w:t> </w:t>
      </w:r>
      <w:r>
        <w:rPr/>
        <w:t>las personas trabajadoras del campo.</w:t>
      </w:r>
    </w:p>
    <w:p>
      <w:pPr>
        <w:spacing w:before="231"/>
        <w:ind w:left="296" w:right="29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24</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2024</w:t>
      </w:r>
    </w:p>
    <w:p>
      <w:pPr>
        <w:pStyle w:val="BodyText"/>
        <w:spacing w:before="46"/>
        <w:rPr>
          <w:sz w:val="16"/>
        </w:rPr>
      </w:pPr>
    </w:p>
    <w:p>
      <w:pPr>
        <w:pStyle w:val="BodyText"/>
        <w:ind w:left="338" w:right="336" w:firstLine="288"/>
        <w:jc w:val="both"/>
      </w:pPr>
      <w:r>
        <w:rPr>
          <w:rFonts w:ascii="Arial" w:hAnsi="Arial"/>
          <w:b/>
        </w:rPr>
        <w:t>Artículo Primero.- </w:t>
      </w:r>
      <w:r>
        <w:rPr/>
        <w:t>Se reforman la denominación del Capítulo VIII del Título Sexto, los artículos 279; 279 Bis; 279</w:t>
      </w:r>
      <w:r>
        <w:rPr>
          <w:spacing w:val="-1"/>
        </w:rPr>
        <w:t> </w:t>
      </w:r>
      <w:r>
        <w:rPr/>
        <w:t>Ter; 279 Quáter; 280;</w:t>
      </w:r>
      <w:r>
        <w:rPr>
          <w:spacing w:val="-1"/>
        </w:rPr>
        <w:t> </w:t>
      </w:r>
      <w:r>
        <w:rPr/>
        <w:t>280 Bis,</w:t>
      </w:r>
      <w:r>
        <w:rPr>
          <w:spacing w:val="-1"/>
        </w:rPr>
        <w:t> </w:t>
      </w:r>
      <w:r>
        <w:rPr/>
        <w:t>primer párrafo y</w:t>
      </w:r>
      <w:r>
        <w:rPr>
          <w:spacing w:val="-4"/>
        </w:rPr>
        <w:t> </w:t>
      </w:r>
      <w:r>
        <w:rPr/>
        <w:t>las fracciones I y</w:t>
      </w:r>
      <w:r>
        <w:rPr>
          <w:spacing w:val="-4"/>
        </w:rPr>
        <w:t> </w:t>
      </w:r>
      <w:r>
        <w:rPr/>
        <w:t>III; 282; 283,</w:t>
      </w:r>
      <w:r>
        <w:rPr>
          <w:spacing w:val="-1"/>
        </w:rPr>
        <w:t> </w:t>
      </w:r>
      <w:r>
        <w:rPr/>
        <w:t>primer párrafo y</w:t>
      </w:r>
      <w:r>
        <w:rPr>
          <w:spacing w:val="-6"/>
        </w:rPr>
        <w:t> </w:t>
      </w:r>
      <w:r>
        <w:rPr/>
        <w:t>fracciones</w:t>
      </w:r>
      <w:r>
        <w:rPr>
          <w:spacing w:val="-2"/>
        </w:rPr>
        <w:t> </w:t>
      </w:r>
      <w:r>
        <w:rPr/>
        <w:t>II,</w:t>
      </w:r>
      <w:r>
        <w:rPr>
          <w:spacing w:val="-1"/>
        </w:rPr>
        <w:t> </w:t>
      </w:r>
      <w:r>
        <w:rPr/>
        <w:t>III,</w:t>
      </w:r>
      <w:r>
        <w:rPr>
          <w:spacing w:val="-3"/>
        </w:rPr>
        <w:t> </w:t>
      </w:r>
      <w:r>
        <w:rPr/>
        <w:t>IV,</w:t>
      </w:r>
      <w:r>
        <w:rPr>
          <w:spacing w:val="-1"/>
        </w:rPr>
        <w:t> </w:t>
      </w:r>
      <w:r>
        <w:rPr/>
        <w:t>VI,</w:t>
      </w:r>
      <w:r>
        <w:rPr>
          <w:spacing w:val="-1"/>
        </w:rPr>
        <w:t> </w:t>
      </w:r>
      <w:r>
        <w:rPr/>
        <w:t>VII,</w:t>
      </w:r>
      <w:r>
        <w:rPr>
          <w:spacing w:val="-3"/>
        </w:rPr>
        <w:t> </w:t>
      </w:r>
      <w:r>
        <w:rPr/>
        <w:t>X,</w:t>
      </w:r>
      <w:r>
        <w:rPr>
          <w:spacing w:val="-3"/>
        </w:rPr>
        <w:t> </w:t>
      </w:r>
      <w:r>
        <w:rPr/>
        <w:t>XIII</w:t>
      </w:r>
      <w:r>
        <w:rPr>
          <w:spacing w:val="-1"/>
        </w:rPr>
        <w:t> </w:t>
      </w:r>
      <w:r>
        <w:rPr/>
        <w:t>y</w:t>
      </w:r>
      <w:r>
        <w:rPr>
          <w:spacing w:val="-6"/>
        </w:rPr>
        <w:t> </w:t>
      </w:r>
      <w:r>
        <w:rPr/>
        <w:t>XIV;</w:t>
      </w:r>
      <w:r>
        <w:rPr>
          <w:spacing w:val="-3"/>
        </w:rPr>
        <w:t> </w:t>
      </w:r>
      <w:r>
        <w:rPr/>
        <w:t>284,</w:t>
      </w:r>
      <w:r>
        <w:rPr>
          <w:spacing w:val="-1"/>
        </w:rPr>
        <w:t> </w:t>
      </w:r>
      <w:r>
        <w:rPr/>
        <w:t>primer</w:t>
      </w:r>
      <w:r>
        <w:rPr>
          <w:spacing w:val="-3"/>
        </w:rPr>
        <w:t> </w:t>
      </w:r>
      <w:r>
        <w:rPr/>
        <w:t>párrafo</w:t>
      </w:r>
      <w:r>
        <w:rPr>
          <w:spacing w:val="-1"/>
        </w:rPr>
        <w:t> </w:t>
      </w:r>
      <w:r>
        <w:rPr/>
        <w:t>y</w:t>
      </w:r>
      <w:r>
        <w:rPr>
          <w:spacing w:val="-6"/>
        </w:rPr>
        <w:t> </w:t>
      </w:r>
      <w:r>
        <w:rPr/>
        <w:t>fracciones</w:t>
      </w:r>
      <w:r>
        <w:rPr>
          <w:spacing w:val="-2"/>
        </w:rPr>
        <w:t> </w:t>
      </w:r>
      <w:r>
        <w:rPr/>
        <w:t>I,</w:t>
      </w:r>
      <w:r>
        <w:rPr>
          <w:spacing w:val="-1"/>
        </w:rPr>
        <w:t> </w:t>
      </w:r>
      <w:r>
        <w:rPr/>
        <w:t>II y III;</w:t>
      </w:r>
      <w:r>
        <w:rPr>
          <w:spacing w:val="-3"/>
        </w:rPr>
        <w:t> </w:t>
      </w:r>
      <w:r>
        <w:rPr/>
        <w:t>542,</w:t>
      </w:r>
      <w:r>
        <w:rPr>
          <w:spacing w:val="-3"/>
        </w:rPr>
        <w:t> </w:t>
      </w:r>
      <w:r>
        <w:rPr/>
        <w:t>primer y</w:t>
      </w:r>
      <w:r>
        <w:rPr>
          <w:spacing w:val="-6"/>
        </w:rPr>
        <w:t> </w:t>
      </w:r>
      <w:r>
        <w:rPr/>
        <w:t>segundo párrafos; 547, primer párrafo y fracción VI; 997; 1003, segundo párrafo; y 1004, primer párrafo; se adicionan un cuarto párrafo al artículo 279; un segundo y tercer párrafo al artículo 280 Bis; un segundo, tercer y cuarto párrafos al artículo 282; un tercer, cuarto, quinto y sexto párrafos a la fracción X, un segundo párrafo a la fracción XI, un segundo y tercer párrafos a la fracción XIII, un segundo párrafo a la fracción XIV, las fracciones XV, XVI, XVII, XVIII y XIX al artículo 283; un artículo 283 Bis; un artículo 283 Ter; las fracciones IV, V, VI y VII al artículo 284, un artículo 284 Bis y un artículo 997-A, y se deroga la fracción VIII del artículo 283 de la Ley Federal del Trabajo, para quedar como sigue:</w:t>
      </w:r>
    </w:p>
    <w:p>
      <w:pPr>
        <w:pStyle w:val="BodyText"/>
        <w:spacing w:before="3"/>
      </w:pPr>
    </w:p>
    <w:p>
      <w:pPr>
        <w:spacing w:before="0"/>
        <w:ind w:left="626" w:right="0" w:firstLine="0"/>
        <w:jc w:val="left"/>
        <w:rPr>
          <w:sz w:val="20"/>
        </w:rPr>
      </w:pPr>
      <w:r>
        <w:rPr>
          <w:spacing w:val="-4"/>
          <w:sz w:val="20"/>
        </w:rPr>
        <w:t>……….</w:t>
      </w:r>
    </w:p>
    <w:p>
      <w:pPr>
        <w:pStyle w:val="Heading2"/>
        <w:spacing w:before="226"/>
        <w:ind w:left="298"/>
      </w:pPr>
      <w:r>
        <w:rPr>
          <w:spacing w:val="-2"/>
        </w:rPr>
        <w:t>Transitorio</w:t>
      </w:r>
    </w:p>
    <w:p>
      <w:pPr>
        <w:pStyle w:val="BodyText"/>
        <w:spacing w:before="2"/>
        <w:rPr>
          <w:rFonts w:ascii="Arial"/>
          <w:b/>
        </w:rPr>
      </w:pPr>
    </w:p>
    <w:p>
      <w:pPr>
        <w:pStyle w:val="BodyText"/>
        <w:spacing w:line="242" w:lineRule="auto"/>
        <w:ind w:left="338" w:right="348"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4"/>
        <w:ind w:left="338" w:right="336" w:firstLine="288"/>
        <w:jc w:val="both"/>
        <w:rPr>
          <w:rFonts w:ascii="Arial" w:hAnsi="Arial"/>
          <w:b/>
          <w:sz w:val="20"/>
        </w:rPr>
      </w:pPr>
      <w:r>
        <w:rPr>
          <w:sz w:val="20"/>
        </w:rPr>
        <w:t>Ciudad de México, a 13 de diciembre de 2023.- Sen. </w:t>
      </w:r>
      <w:r>
        <w:rPr>
          <w:rFonts w:ascii="Arial" w:hAnsi="Arial"/>
          <w:b/>
          <w:sz w:val="20"/>
        </w:rPr>
        <w:t>Ana Lilia Rivera Rivera</w:t>
      </w:r>
      <w:r>
        <w:rPr>
          <w:sz w:val="20"/>
        </w:rPr>
        <w:t>, Presidenta.- Dip. </w:t>
      </w:r>
      <w:r>
        <w:rPr>
          <w:rFonts w:ascii="Arial" w:hAnsi="Arial"/>
          <w:b/>
          <w:sz w:val="20"/>
        </w:rPr>
        <w:t>Marcela Guerra Castillo</w:t>
      </w:r>
      <w:r>
        <w:rPr>
          <w:sz w:val="20"/>
        </w:rPr>
        <w:t>, Presidenta.- Sen. </w:t>
      </w:r>
      <w:r>
        <w:rPr>
          <w:rFonts w:ascii="Arial" w:hAnsi="Arial"/>
          <w:b/>
          <w:sz w:val="20"/>
        </w:rPr>
        <w:t>Verónica Noemí Camino Farjat</w:t>
      </w:r>
      <w:r>
        <w:rPr>
          <w:sz w:val="20"/>
        </w:rPr>
        <w:t>, Secretaria.- Dip. </w:t>
      </w:r>
      <w:r>
        <w:rPr>
          <w:rFonts w:ascii="Arial" w:hAnsi="Arial"/>
          <w:b/>
          <w:sz w:val="20"/>
        </w:rPr>
        <w:t>Pedro Vázquez González</w:t>
      </w:r>
      <w:r>
        <w:rPr>
          <w:sz w:val="20"/>
        </w:rPr>
        <w:t>, Secretario.- Rúbricas.</w:t>
      </w:r>
      <w:r>
        <w:rPr>
          <w:rFonts w:ascii="Arial" w:hAnsi="Arial"/>
          <w:b/>
          <w:sz w:val="20"/>
        </w:rPr>
        <w:t>"</w:t>
      </w:r>
    </w:p>
    <w:p>
      <w:pPr>
        <w:pStyle w:val="BodyText"/>
        <w:spacing w:before="6"/>
        <w:rPr>
          <w:rFonts w:ascii="Arial"/>
          <w:b/>
        </w:rPr>
      </w:pPr>
    </w:p>
    <w:p>
      <w:pPr>
        <w:pStyle w:val="BodyText"/>
        <w:spacing w:line="237" w:lineRule="auto"/>
        <w:ind w:left="338" w:right="3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17 de enero de 2024.- </w:t>
      </w:r>
      <w:r>
        <w:rPr>
          <w:rFonts w:ascii="Arial" w:hAnsi="Arial"/>
          <w:b/>
        </w:rPr>
        <w:t>Andrés</w:t>
      </w:r>
      <w:r>
        <w:rPr>
          <w:rFonts w:ascii="Arial" w:hAnsi="Arial"/>
          <w:b/>
          <w:spacing w:val="40"/>
        </w:rPr>
        <w:t> </w:t>
      </w:r>
      <w:r>
        <w:rPr>
          <w:rFonts w:ascii="Arial" w:hAnsi="Arial"/>
          <w:b/>
        </w:rPr>
        <w:t>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line="237" w:lineRule="auto"/>
        <w:jc w:val="both"/>
        <w:sectPr>
          <w:pgSz w:w="12240" w:h="15840"/>
          <w:pgMar w:header="724" w:footer="712" w:top="1880" w:bottom="900" w:left="1080" w:right="1080"/>
        </w:sectPr>
      </w:pPr>
    </w:p>
    <w:p>
      <w:pPr>
        <w:pStyle w:val="BodyText"/>
        <w:spacing w:before="40"/>
        <w:rPr>
          <w:sz w:val="22"/>
        </w:rPr>
      </w:pPr>
    </w:p>
    <w:p>
      <w:pPr>
        <w:pStyle w:val="Heading2"/>
        <w:ind w:right="342"/>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la</w:t>
      </w:r>
      <w:r>
        <w:rPr>
          <w:spacing w:val="40"/>
        </w:rPr>
        <w:t> </w:t>
      </w:r>
      <w:r>
        <w:rPr/>
        <w:t>fracción</w:t>
      </w:r>
      <w:r>
        <w:rPr>
          <w:spacing w:val="40"/>
        </w:rPr>
        <w:t> </w:t>
      </w:r>
      <w:r>
        <w:rPr/>
        <w:t>III</w:t>
      </w:r>
      <w:r>
        <w:rPr>
          <w:spacing w:val="40"/>
        </w:rPr>
        <w:t> </w:t>
      </w:r>
      <w:r>
        <w:rPr/>
        <w:t>del</w:t>
      </w:r>
      <w:r>
        <w:rPr>
          <w:spacing w:val="40"/>
        </w:rPr>
        <w:t> </w:t>
      </w:r>
      <w:r>
        <w:rPr/>
        <w:t>artículo</w:t>
      </w:r>
      <w:r>
        <w:rPr>
          <w:spacing w:val="40"/>
        </w:rPr>
        <w:t> </w:t>
      </w:r>
      <w:r>
        <w:rPr/>
        <w:t>994</w:t>
      </w:r>
      <w:r>
        <w:rPr>
          <w:spacing w:val="40"/>
        </w:rPr>
        <w:t> </w:t>
      </w:r>
      <w:r>
        <w:rPr/>
        <w:t>de</w:t>
      </w:r>
      <w:r>
        <w:rPr>
          <w:spacing w:val="40"/>
        </w:rPr>
        <w:t> </w:t>
      </w:r>
      <w:r>
        <w:rPr/>
        <w:t>la</w:t>
      </w:r>
      <w:r>
        <w:rPr>
          <w:spacing w:val="40"/>
        </w:rPr>
        <w:t> </w:t>
      </w:r>
      <w:r>
        <w:rPr/>
        <w:t>Ley</w:t>
      </w:r>
      <w:r>
        <w:rPr>
          <w:spacing w:val="39"/>
        </w:rPr>
        <w:t> </w:t>
      </w:r>
      <w:r>
        <w:rPr/>
        <w:t>Federal</w:t>
      </w:r>
      <w:r>
        <w:rPr>
          <w:spacing w:val="40"/>
        </w:rPr>
        <w:t> </w:t>
      </w:r>
      <w:r>
        <w:rPr/>
        <w:t>del </w:t>
      </w:r>
      <w:r>
        <w:rPr>
          <w:spacing w:val="-2"/>
        </w:rPr>
        <w:t>Trabajo.</w:t>
      </w:r>
    </w:p>
    <w:p>
      <w:pPr>
        <w:spacing w:before="232"/>
        <w:ind w:left="297" w:right="29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4</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2024</w:t>
      </w:r>
    </w:p>
    <w:p>
      <w:pPr>
        <w:pStyle w:val="BodyText"/>
        <w:spacing w:before="46"/>
        <w:rPr>
          <w:sz w:val="16"/>
        </w:rPr>
      </w:pPr>
    </w:p>
    <w:p>
      <w:pPr>
        <w:pStyle w:val="BodyText"/>
        <w:ind w:left="338" w:right="357" w:firstLine="288"/>
      </w:pPr>
      <w:r>
        <w:rPr>
          <w:rFonts w:ascii="Arial" w:hAnsi="Arial"/>
          <w:b/>
        </w:rPr>
        <w:t>Artículo Único. </w:t>
      </w:r>
      <w:r>
        <w:rPr/>
        <w:t>Se reforma la fracción III del artículo 994 de la Ley Federal del Trabajo, para quedar como sigue:</w:t>
      </w:r>
    </w:p>
    <w:p>
      <w:pPr>
        <w:pStyle w:val="BodyText"/>
        <w:spacing w:before="1"/>
      </w:pPr>
    </w:p>
    <w:p>
      <w:pPr>
        <w:spacing w:before="0"/>
        <w:ind w:left="626" w:right="0" w:firstLine="0"/>
        <w:jc w:val="left"/>
        <w:rPr>
          <w:sz w:val="20"/>
        </w:rPr>
      </w:pPr>
      <w:r>
        <w:rPr>
          <w:spacing w:val="-4"/>
          <w:sz w:val="20"/>
        </w:rPr>
        <w:t>……..</w:t>
      </w:r>
    </w:p>
    <w:p>
      <w:pPr>
        <w:pStyle w:val="Heading2"/>
        <w:spacing w:before="227"/>
        <w:ind w:left="298"/>
      </w:pPr>
      <w:r>
        <w:rPr>
          <w:spacing w:val="-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4"/>
        <w:ind w:left="338" w:right="336" w:firstLine="288"/>
        <w:jc w:val="both"/>
        <w:rPr>
          <w:rFonts w:ascii="Arial" w:hAnsi="Arial"/>
          <w:b/>
          <w:sz w:val="20"/>
        </w:rPr>
      </w:pPr>
      <w:r>
        <w:rPr>
          <w:rFonts w:ascii="Arial" w:hAnsi="Arial"/>
          <w:b/>
          <w:sz w:val="20"/>
        </w:rPr>
        <w:t>Ciudad de México, a 20 de febrero de 2024.- </w:t>
      </w:r>
      <w:r>
        <w:rPr>
          <w:sz w:val="20"/>
        </w:rPr>
        <w:t>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Pedro Vázquez González</w:t>
      </w:r>
      <w:r>
        <w:rPr>
          <w:sz w:val="20"/>
        </w:rPr>
        <w:t>, Secretario.- Sen. </w:t>
      </w:r>
      <w:r>
        <w:rPr>
          <w:rFonts w:ascii="Arial" w:hAnsi="Arial"/>
          <w:b/>
          <w:sz w:val="20"/>
        </w:rPr>
        <w:t>Verónica Noemí Camino Farjat</w:t>
      </w:r>
      <w:r>
        <w:rPr>
          <w:sz w:val="20"/>
        </w:rPr>
        <w:t>, Secretaria.- Rúbricas.</w:t>
      </w:r>
      <w:r>
        <w:rPr>
          <w:rFonts w:ascii="Arial" w:hAnsi="Arial"/>
          <w:b/>
          <w:sz w:val="20"/>
        </w:rPr>
        <w:t>"</w:t>
      </w:r>
    </w:p>
    <w:p>
      <w:pPr>
        <w:pStyle w:val="BodyText"/>
        <w:spacing w:before="6"/>
        <w:rPr>
          <w:rFonts w:ascii="Arial"/>
          <w:b/>
        </w:rPr>
      </w:pPr>
    </w:p>
    <w:p>
      <w:pPr>
        <w:pStyle w:val="BodyText"/>
        <w:spacing w:line="237" w:lineRule="auto"/>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marzo de 2024.-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line="237" w:lineRule="auto"/>
        <w:jc w:val="both"/>
        <w:sectPr>
          <w:pgSz w:w="12240" w:h="15840"/>
          <w:pgMar w:header="724" w:footer="712" w:top="1880" w:bottom="900" w:left="1080" w:right="1080"/>
        </w:sectPr>
      </w:pPr>
    </w:p>
    <w:p>
      <w:pPr>
        <w:pStyle w:val="BodyText"/>
        <w:spacing w:before="40"/>
        <w:rPr>
          <w:sz w:val="22"/>
        </w:rPr>
      </w:pPr>
    </w:p>
    <w:p>
      <w:pPr>
        <w:pStyle w:val="Heading2"/>
        <w:ind w:right="335"/>
        <w:jc w:val="both"/>
      </w:pPr>
      <w:r>
        <w:rPr/>
        <w:t>DECRETO por el que se reforma la fracción VII del artículo 74 de la Ley Federal del Trabajo, para establecer el 1o. de octubre de cada seis años, día de descanso obligatorio con motivo de la transmisión del Poder Ejecutivo Federal.</w:t>
      </w:r>
    </w:p>
    <w:p>
      <w:pPr>
        <w:spacing w:before="231"/>
        <w:ind w:left="295" w:right="296"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 30</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2024</w:t>
      </w:r>
    </w:p>
    <w:p>
      <w:pPr>
        <w:pStyle w:val="BodyText"/>
        <w:spacing w:before="46"/>
        <w:rPr>
          <w:sz w:val="16"/>
        </w:rPr>
      </w:pPr>
    </w:p>
    <w:p>
      <w:pPr>
        <w:pStyle w:val="BodyText"/>
        <w:spacing w:line="242" w:lineRule="auto"/>
        <w:ind w:left="338" w:right="342" w:firstLine="288"/>
      </w:pPr>
      <w:r>
        <w:rPr>
          <w:rFonts w:ascii="Arial" w:hAnsi="Arial"/>
          <w:b/>
        </w:rPr>
        <w:t>Artículo Único.- </w:t>
      </w:r>
      <w:r>
        <w:rPr/>
        <w:t>Se reforma la fracción VII del artículo 74 de la Ley Federal del Trabajo, para quedar como sigue:</w:t>
      </w:r>
    </w:p>
    <w:p>
      <w:pPr>
        <w:spacing w:before="227"/>
        <w:ind w:left="626" w:right="0" w:firstLine="0"/>
        <w:jc w:val="left"/>
        <w:rPr>
          <w:sz w:val="20"/>
        </w:rPr>
      </w:pPr>
      <w:r>
        <w:rPr>
          <w:spacing w:val="-4"/>
          <w:sz w:val="20"/>
        </w:rPr>
        <w:t>……..</w:t>
      </w:r>
    </w:p>
    <w:p>
      <w:pPr>
        <w:pStyle w:val="Heading2"/>
        <w:spacing w:before="226"/>
        <w:ind w:left="298"/>
      </w:pPr>
      <w:r>
        <w:rPr>
          <w:spacing w:val="-2"/>
        </w:rPr>
        <w:t>Transitorio</w:t>
      </w:r>
    </w:p>
    <w:p>
      <w:pPr>
        <w:pStyle w:val="BodyText"/>
        <w:spacing w:before="2"/>
        <w:rPr>
          <w:rFonts w:ascii="Arial"/>
          <w:b/>
        </w:rPr>
      </w:pPr>
    </w:p>
    <w:p>
      <w:pPr>
        <w:pStyle w:val="BodyText"/>
        <w:spacing w:line="242" w:lineRule="auto"/>
        <w:ind w:left="338" w:right="343" w:firstLine="288"/>
        <w:jc w:val="both"/>
      </w:pPr>
      <w:r>
        <w:rPr>
          <w:rFonts w:ascii="Arial" w:hAnsi="Arial"/>
          <w:b/>
        </w:rPr>
        <w:t>Único.- </w:t>
      </w:r>
      <w:r>
        <w:rPr/>
        <w:t>El presente Decreto entrará en vigor al día siguiente de su publicación en el Diario Oficial</w:t>
      </w:r>
      <w:r>
        <w:rPr>
          <w:spacing w:val="66"/>
        </w:rPr>
        <w:t> </w:t>
      </w:r>
      <w:r>
        <w:rPr/>
        <w:t>de la Federación.</w:t>
      </w:r>
    </w:p>
    <w:p>
      <w:pPr>
        <w:spacing w:before="227"/>
        <w:ind w:left="338" w:right="334" w:firstLine="288"/>
        <w:jc w:val="both"/>
        <w:rPr>
          <w:rFonts w:ascii="Arial" w:hAnsi="Arial"/>
          <w:b/>
          <w:sz w:val="20"/>
        </w:rPr>
      </w:pPr>
      <w:r>
        <w:rPr>
          <w:sz w:val="20"/>
        </w:rPr>
        <w:t>Ciudad de México, a 24 de septiembre de 2024.- Sen. </w:t>
      </w:r>
      <w:r>
        <w:rPr>
          <w:rFonts w:ascii="Arial" w:hAnsi="Arial"/>
          <w:b/>
          <w:sz w:val="20"/>
        </w:rPr>
        <w:t>Gerardo Fernández Noroña</w:t>
      </w:r>
      <w:r>
        <w:rPr>
          <w:sz w:val="20"/>
        </w:rPr>
        <w:t>, Presidente.- Dip. </w:t>
      </w:r>
      <w:r>
        <w:rPr>
          <w:rFonts w:ascii="Arial" w:hAnsi="Arial"/>
          <w:b/>
          <w:sz w:val="20"/>
        </w:rPr>
        <w:t>Sergio Carlos Gutiérrez Luna</w:t>
      </w:r>
      <w:r>
        <w:rPr>
          <w:sz w:val="20"/>
        </w:rPr>
        <w:t>, Vicepresidente en funciones de Presidente.- Sen. </w:t>
      </w:r>
      <w:r>
        <w:rPr>
          <w:rFonts w:ascii="Arial" w:hAnsi="Arial"/>
          <w:b/>
          <w:sz w:val="20"/>
        </w:rPr>
        <w:t>Verónica Noemí Camino Farjat</w:t>
      </w:r>
      <w:r>
        <w:rPr>
          <w:sz w:val="20"/>
        </w:rPr>
        <w:t>, Secretaria.- Dip. </w:t>
      </w:r>
      <w:r>
        <w:rPr>
          <w:rFonts w:ascii="Arial" w:hAnsi="Arial"/>
          <w:b/>
          <w:sz w:val="20"/>
        </w:rPr>
        <w:t>Pedro Vázquez González</w:t>
      </w:r>
      <w:r>
        <w:rPr>
          <w:sz w:val="20"/>
        </w:rPr>
        <w:t>, Secretario.- Rúbricas.</w:t>
      </w:r>
      <w:r>
        <w:rPr>
          <w:rFonts w:ascii="Arial" w:hAnsi="Arial"/>
          <w:b/>
          <w:sz w:val="20"/>
        </w:rPr>
        <w:t>"</w:t>
      </w:r>
    </w:p>
    <w:p>
      <w:pPr>
        <w:pStyle w:val="BodyText"/>
        <w:spacing w:before="1"/>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27 de septiembre de 2024.-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335"/>
        <w:jc w:val="both"/>
      </w:pPr>
      <w:r>
        <w:rPr/>
        <w:t>DECRETO por el que se reforman y adicionan diversas disposiciones de la Ley Federal del Trabajo y de la Ley Federal de los Trabajadores al Servicio del Estado, Reglamentaria del Apartado B) del Artículo 123 Constitucional, en materia de erradicación de la brecha salarial por razones de género.</w:t>
      </w:r>
    </w:p>
    <w:p>
      <w:pPr>
        <w:spacing w:before="233"/>
        <w:ind w:left="297" w:right="29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16</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2024</w:t>
      </w:r>
    </w:p>
    <w:p>
      <w:pPr>
        <w:pStyle w:val="BodyText"/>
        <w:spacing w:before="43"/>
        <w:rPr>
          <w:sz w:val="16"/>
        </w:rPr>
      </w:pPr>
    </w:p>
    <w:p>
      <w:pPr>
        <w:pStyle w:val="BodyText"/>
        <w:ind w:left="378" w:right="296"/>
        <w:jc w:val="center"/>
      </w:pPr>
      <w:r>
        <w:rPr>
          <w:rFonts w:ascii="Arial" w:hAnsi="Arial"/>
          <w:b/>
        </w:rPr>
        <w:t>Artículo</w:t>
      </w:r>
      <w:r>
        <w:rPr>
          <w:rFonts w:ascii="Arial" w:hAnsi="Arial"/>
          <w:b/>
          <w:spacing w:val="-4"/>
        </w:rPr>
        <w:t> </w:t>
      </w:r>
      <w:r>
        <w:rPr>
          <w:rFonts w:ascii="Arial" w:hAnsi="Arial"/>
          <w:b/>
        </w:rPr>
        <w:t>Primero.-</w:t>
      </w:r>
      <w:r>
        <w:rPr>
          <w:rFonts w:ascii="Arial" w:hAnsi="Arial"/>
          <w:b/>
          <w:spacing w:val="-3"/>
        </w:rPr>
        <w:t> </w:t>
      </w:r>
      <w:r>
        <w:rPr/>
        <w:t>Se</w:t>
      </w:r>
      <w:r>
        <w:rPr>
          <w:spacing w:val="-7"/>
        </w:rPr>
        <w:t> </w:t>
      </w:r>
      <w:r>
        <w:rPr/>
        <w:t>reforma</w:t>
      </w:r>
      <w:r>
        <w:rPr>
          <w:spacing w:val="-6"/>
        </w:rPr>
        <w:t> </w:t>
      </w:r>
      <w:r>
        <w:rPr/>
        <w:t>el</w:t>
      </w:r>
      <w:r>
        <w:rPr>
          <w:spacing w:val="-7"/>
        </w:rPr>
        <w:t> </w:t>
      </w:r>
      <w:r>
        <w:rPr/>
        <w:t>artículo</w:t>
      </w:r>
      <w:r>
        <w:rPr>
          <w:spacing w:val="-4"/>
        </w:rPr>
        <w:t> </w:t>
      </w:r>
      <w:r>
        <w:rPr/>
        <w:t>86</w:t>
      </w:r>
      <w:r>
        <w:rPr>
          <w:spacing w:val="-5"/>
        </w:rPr>
        <w:t> </w:t>
      </w:r>
      <w:r>
        <w:rPr/>
        <w:t>de</w:t>
      </w:r>
      <w:r>
        <w:rPr>
          <w:spacing w:val="-5"/>
        </w:rPr>
        <w:t> </w:t>
      </w:r>
      <w:r>
        <w:rPr/>
        <w:t>la</w:t>
      </w:r>
      <w:r>
        <w:rPr>
          <w:spacing w:val="-6"/>
        </w:rPr>
        <w:t> </w:t>
      </w:r>
      <w:r>
        <w:rPr/>
        <w:t>Ley</w:t>
      </w:r>
      <w:r>
        <w:rPr>
          <w:spacing w:val="-5"/>
        </w:rPr>
        <w:t> </w:t>
      </w:r>
      <w:r>
        <w:rPr/>
        <w:t>Federal</w:t>
      </w:r>
      <w:r>
        <w:rPr>
          <w:spacing w:val="-7"/>
        </w:rPr>
        <w:t> </w:t>
      </w:r>
      <w:r>
        <w:rPr/>
        <w:t>del</w:t>
      </w:r>
      <w:r>
        <w:rPr>
          <w:spacing w:val="-8"/>
        </w:rPr>
        <w:t> </w:t>
      </w:r>
      <w:r>
        <w:rPr/>
        <w:t>Trabajo,</w:t>
      </w:r>
      <w:r>
        <w:rPr>
          <w:spacing w:val="-6"/>
        </w:rPr>
        <w:t> </w:t>
      </w:r>
      <w:r>
        <w:rPr/>
        <w:t>para</w:t>
      </w:r>
      <w:r>
        <w:rPr>
          <w:spacing w:val="-6"/>
        </w:rPr>
        <w:t> </w:t>
      </w:r>
      <w:r>
        <w:rPr/>
        <w:t>quedar</w:t>
      </w:r>
      <w:r>
        <w:rPr>
          <w:spacing w:val="-5"/>
        </w:rPr>
        <w:t> </w:t>
      </w:r>
      <w:r>
        <w:rPr/>
        <w:t>como</w:t>
      </w:r>
      <w:r>
        <w:rPr>
          <w:spacing w:val="-6"/>
        </w:rPr>
        <w:t> </w:t>
      </w:r>
      <w:r>
        <w:rPr>
          <w:spacing w:val="-2"/>
        </w:rPr>
        <w:t>sigue:</w:t>
      </w:r>
    </w:p>
    <w:p>
      <w:pPr>
        <w:pStyle w:val="BodyText"/>
        <w:spacing w:before="3"/>
      </w:pPr>
    </w:p>
    <w:p>
      <w:pPr>
        <w:spacing w:before="0"/>
        <w:ind w:left="626" w:right="0" w:firstLine="0"/>
        <w:jc w:val="left"/>
        <w:rPr>
          <w:sz w:val="20"/>
        </w:rPr>
      </w:pPr>
      <w:r>
        <w:rPr>
          <w:spacing w:val="-4"/>
          <w:sz w:val="20"/>
        </w:rPr>
        <w:t>……..</w:t>
      </w:r>
    </w:p>
    <w:p>
      <w:pPr>
        <w:pStyle w:val="Heading2"/>
        <w:spacing w:before="227"/>
        <w:ind w:left="300"/>
      </w:pPr>
      <w:r>
        <w:rPr>
          <w:spacing w:val="-2"/>
        </w:rPr>
        <w:t>Transitorios</w:t>
      </w:r>
    </w:p>
    <w:p>
      <w:pPr>
        <w:pStyle w:val="BodyText"/>
        <w:spacing w:before="2"/>
        <w:rPr>
          <w:rFonts w:ascii="Arial"/>
          <w:b/>
        </w:rPr>
      </w:pPr>
    </w:p>
    <w:p>
      <w:pPr>
        <w:pStyle w:val="BodyText"/>
        <w:spacing w:line="242" w:lineRule="auto"/>
        <w:ind w:left="338" w:right="340" w:firstLine="288"/>
        <w:jc w:val="both"/>
      </w:pPr>
      <w:r>
        <w:rPr>
          <w:rFonts w:ascii="Arial" w:hAnsi="Arial"/>
          <w:b/>
        </w:rPr>
        <w:t>Primero.- </w:t>
      </w:r>
      <w:r>
        <w:rPr/>
        <w:t>El presente Decreto entrará en vigor al día siguiente de su publicación en el Diario Oficial</w:t>
      </w:r>
      <w:r>
        <w:rPr>
          <w:spacing w:val="40"/>
        </w:rPr>
        <w:t> </w:t>
      </w:r>
      <w:r>
        <w:rPr/>
        <w:t>de la Federación.</w:t>
      </w:r>
    </w:p>
    <w:p>
      <w:pPr>
        <w:pStyle w:val="BodyText"/>
        <w:spacing w:before="224"/>
        <w:ind w:left="626"/>
      </w:pPr>
      <w:r>
        <w:rPr>
          <w:rFonts w:ascii="Arial"/>
          <w:b/>
        </w:rPr>
        <w:t>Segundo.-</w:t>
      </w:r>
      <w:r>
        <w:rPr>
          <w:rFonts w:ascii="Arial"/>
          <w:b/>
          <w:spacing w:val="-6"/>
        </w:rPr>
        <w:t> </w:t>
      </w:r>
      <w:r>
        <w:rPr/>
        <w:t>Se</w:t>
      </w:r>
      <w:r>
        <w:rPr>
          <w:spacing w:val="-5"/>
        </w:rPr>
        <w:t> </w:t>
      </w:r>
      <w:r>
        <w:rPr/>
        <w:t>dejan</w:t>
      </w:r>
      <w:r>
        <w:rPr>
          <w:spacing w:val="-7"/>
        </w:rPr>
        <w:t> </w:t>
      </w:r>
      <w:r>
        <w:rPr/>
        <w:t>sin</w:t>
      </w:r>
      <w:r>
        <w:rPr>
          <w:spacing w:val="-5"/>
        </w:rPr>
        <w:t> </w:t>
      </w:r>
      <w:r>
        <w:rPr/>
        <w:t>efecto</w:t>
      </w:r>
      <w:r>
        <w:rPr>
          <w:spacing w:val="-8"/>
        </w:rPr>
        <w:t> </w:t>
      </w:r>
      <w:r>
        <w:rPr/>
        <w:t>las</w:t>
      </w:r>
      <w:r>
        <w:rPr>
          <w:spacing w:val="-6"/>
        </w:rPr>
        <w:t> </w:t>
      </w:r>
      <w:r>
        <w:rPr/>
        <w:t>disposiciones</w:t>
      </w:r>
      <w:r>
        <w:rPr>
          <w:spacing w:val="-6"/>
        </w:rPr>
        <w:t> </w:t>
      </w:r>
      <w:r>
        <w:rPr/>
        <w:t>que</w:t>
      </w:r>
      <w:r>
        <w:rPr>
          <w:spacing w:val="-6"/>
        </w:rPr>
        <w:t> </w:t>
      </w:r>
      <w:r>
        <w:rPr/>
        <w:t>se</w:t>
      </w:r>
      <w:r>
        <w:rPr>
          <w:spacing w:val="-7"/>
        </w:rPr>
        <w:t> </w:t>
      </w:r>
      <w:r>
        <w:rPr/>
        <w:t>opongan</w:t>
      </w:r>
      <w:r>
        <w:rPr>
          <w:spacing w:val="-6"/>
        </w:rPr>
        <w:t> </w:t>
      </w:r>
      <w:r>
        <w:rPr/>
        <w:t>al</w:t>
      </w:r>
      <w:r>
        <w:rPr>
          <w:spacing w:val="-8"/>
        </w:rPr>
        <w:t> </w:t>
      </w:r>
      <w:r>
        <w:rPr/>
        <w:t>presente</w:t>
      </w:r>
      <w:r>
        <w:rPr>
          <w:spacing w:val="-8"/>
        </w:rPr>
        <w:t> </w:t>
      </w:r>
      <w:r>
        <w:rPr>
          <w:spacing w:val="-2"/>
        </w:rPr>
        <w:t>Decreto.</w:t>
      </w:r>
    </w:p>
    <w:p>
      <w:pPr>
        <w:pStyle w:val="BodyText"/>
        <w:spacing w:before="3"/>
      </w:pPr>
    </w:p>
    <w:p>
      <w:pPr>
        <w:pStyle w:val="BodyText"/>
        <w:ind w:left="338" w:right="334" w:firstLine="288"/>
        <w:jc w:val="both"/>
        <w:rPr>
          <w:rFonts w:ascii="Arial" w:hAnsi="Arial"/>
          <w:b/>
        </w:rPr>
      </w:pPr>
      <w:r>
        <w:rPr/>
        <w:t>Ciudad de México, a 11 de diciembre de 2024.- Sen. Gerardo Fernández Noroña, Presidente.- Dip. Sergio Carlos Gutiérrez Luna, Presidente.- Sen. Verónica Noemí Camino Farjat, Secretaria.- Dip. Alan Sahir Márquez Becerra, Secretario.- Rúbricas.</w:t>
      </w:r>
      <w:r>
        <w:rPr>
          <w:rFonts w:ascii="Arial" w:hAnsi="Arial"/>
          <w:b/>
        </w:rPr>
        <w:t>"</w:t>
      </w:r>
    </w:p>
    <w:p>
      <w:pPr>
        <w:pStyle w:val="BodyText"/>
        <w:spacing w:before="229"/>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16 de diciembre de 2024.-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357"/>
        <w:jc w:val="left"/>
      </w:pPr>
      <w:r>
        <w:rPr/>
        <w:t>DECRETO por el que se reforman y adicionan diversas disposiciones de la Ley Federal</w:t>
      </w:r>
      <w:r>
        <w:rPr>
          <w:spacing w:val="40"/>
        </w:rPr>
        <w:t> </w:t>
      </w:r>
      <w:r>
        <w:rPr/>
        <w:t>del Trabajo.</w:t>
      </w:r>
    </w:p>
    <w:p>
      <w:pPr>
        <w:spacing w:before="232"/>
        <w:ind w:left="297" w:right="296" w:firstLine="0"/>
        <w:jc w:val="center"/>
        <w:rPr>
          <w:sz w:val="16"/>
        </w:rPr>
      </w:pPr>
      <w:r>
        <w:rPr>
          <w:sz w:val="16"/>
        </w:rPr>
        <w:t>Publicado</w:t>
      </w:r>
      <w:r>
        <w:rPr>
          <w:spacing w:val="-8"/>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19</w:t>
      </w:r>
      <w:r>
        <w:rPr>
          <w:spacing w:val="-3"/>
          <w:sz w:val="16"/>
        </w:rPr>
        <w:t> </w:t>
      </w:r>
      <w:r>
        <w:rPr>
          <w:sz w:val="16"/>
        </w:rPr>
        <w:t>de</w:t>
      </w:r>
      <w:r>
        <w:rPr>
          <w:spacing w:val="-5"/>
          <w:sz w:val="16"/>
        </w:rPr>
        <w:t> </w:t>
      </w:r>
      <w:r>
        <w:rPr>
          <w:sz w:val="16"/>
        </w:rPr>
        <w:t>diciembre</w:t>
      </w:r>
      <w:r>
        <w:rPr>
          <w:spacing w:val="-4"/>
          <w:sz w:val="16"/>
        </w:rPr>
        <w:t> </w:t>
      </w:r>
      <w:r>
        <w:rPr>
          <w:sz w:val="16"/>
        </w:rPr>
        <w:t>de</w:t>
      </w:r>
      <w:r>
        <w:rPr>
          <w:spacing w:val="-5"/>
          <w:sz w:val="16"/>
        </w:rPr>
        <w:t> </w:t>
      </w:r>
      <w:r>
        <w:rPr>
          <w:spacing w:val="-4"/>
          <w:sz w:val="16"/>
        </w:rPr>
        <w:t>2024</w:t>
      </w:r>
    </w:p>
    <w:p>
      <w:pPr>
        <w:pStyle w:val="BodyText"/>
        <w:spacing w:before="46"/>
        <w:rPr>
          <w:sz w:val="16"/>
        </w:rPr>
      </w:pPr>
    </w:p>
    <w:p>
      <w:pPr>
        <w:pStyle w:val="BodyText"/>
        <w:ind w:left="338" w:right="345" w:firstLine="288"/>
        <w:jc w:val="both"/>
      </w:pPr>
      <w:r>
        <w:rPr>
          <w:rFonts w:ascii="Arial" w:hAnsi="Arial"/>
          <w:b/>
        </w:rPr>
        <w:t>Artículo Único.- </w:t>
      </w:r>
      <w:r>
        <w:rPr/>
        <w:t>Se reforman los artículos 132, primer párrafo y fracción V; 133, primer párrafo; 422, primer párrafo y</w:t>
      </w:r>
      <w:r>
        <w:rPr>
          <w:spacing w:val="-7"/>
        </w:rPr>
        <w:t> </w:t>
      </w:r>
      <w:r>
        <w:rPr/>
        <w:t>423,</w:t>
      </w:r>
      <w:r>
        <w:rPr>
          <w:spacing w:val="-1"/>
        </w:rPr>
        <w:t> </w:t>
      </w:r>
      <w:r>
        <w:rPr/>
        <w:t>fracciones I, V,</w:t>
      </w:r>
      <w:r>
        <w:rPr>
          <w:spacing w:val="-1"/>
        </w:rPr>
        <w:t> </w:t>
      </w:r>
      <w:r>
        <w:rPr/>
        <w:t>VIII y</w:t>
      </w:r>
      <w:r>
        <w:rPr>
          <w:spacing w:val="-4"/>
        </w:rPr>
        <w:t> </w:t>
      </w:r>
      <w:r>
        <w:rPr/>
        <w:t>X, y</w:t>
      </w:r>
      <w:r>
        <w:rPr>
          <w:spacing w:val="-4"/>
        </w:rPr>
        <w:t> </w:t>
      </w:r>
      <w:r>
        <w:rPr/>
        <w:t>se</w:t>
      </w:r>
      <w:r>
        <w:rPr>
          <w:spacing w:val="-1"/>
        </w:rPr>
        <w:t> </w:t>
      </w:r>
      <w:r>
        <w:rPr/>
        <w:t>adiciona una</w:t>
      </w:r>
      <w:r>
        <w:rPr>
          <w:spacing w:val="-1"/>
        </w:rPr>
        <w:t> </w:t>
      </w:r>
      <w:r>
        <w:rPr/>
        <w:t>fracción</w:t>
      </w:r>
      <w:r>
        <w:rPr>
          <w:spacing w:val="-2"/>
        </w:rPr>
        <w:t> </w:t>
      </w:r>
      <w:r>
        <w:rPr/>
        <w:t>XVII</w:t>
      </w:r>
      <w:r>
        <w:rPr>
          <w:spacing w:val="-1"/>
        </w:rPr>
        <w:t> </w:t>
      </w:r>
      <w:r>
        <w:rPr/>
        <w:t>Bis al</w:t>
      </w:r>
      <w:r>
        <w:rPr>
          <w:spacing w:val="-2"/>
        </w:rPr>
        <w:t> </w:t>
      </w:r>
      <w:r>
        <w:rPr/>
        <w:t>artículo</w:t>
      </w:r>
      <w:r>
        <w:rPr>
          <w:spacing w:val="-1"/>
        </w:rPr>
        <w:t> </w:t>
      </w:r>
      <w:r>
        <w:rPr/>
        <w:t>133, de la</w:t>
      </w:r>
      <w:r>
        <w:rPr>
          <w:spacing w:val="-1"/>
        </w:rPr>
        <w:t> </w:t>
      </w:r>
      <w:r>
        <w:rPr/>
        <w:t>Ley Federal del Trabajo, para quedar como sigue:</w:t>
      </w:r>
    </w:p>
    <w:p>
      <w:pPr>
        <w:pStyle w:val="BodyText"/>
        <w:spacing w:before="1"/>
      </w:pPr>
    </w:p>
    <w:p>
      <w:pPr>
        <w:spacing w:before="1"/>
        <w:ind w:left="626" w:right="0" w:firstLine="0"/>
        <w:jc w:val="left"/>
        <w:rPr>
          <w:sz w:val="20"/>
        </w:rPr>
      </w:pPr>
      <w:r>
        <w:rPr>
          <w:spacing w:val="-5"/>
          <w:sz w:val="20"/>
        </w:rPr>
        <w:t>………</w:t>
      </w:r>
    </w:p>
    <w:p>
      <w:pPr>
        <w:pStyle w:val="Heading2"/>
        <w:spacing w:before="226"/>
        <w:ind w:left="300"/>
      </w:pPr>
      <w:r>
        <w:rPr>
          <w:spacing w:val="-2"/>
        </w:rPr>
        <w:t>Transitorios</w:t>
      </w:r>
    </w:p>
    <w:p>
      <w:pPr>
        <w:pStyle w:val="BodyText"/>
        <w:spacing w:before="2"/>
        <w:rPr>
          <w:rFonts w:ascii="Arial"/>
          <w:b/>
        </w:rPr>
      </w:pPr>
    </w:p>
    <w:p>
      <w:pPr>
        <w:pStyle w:val="BodyText"/>
        <w:spacing w:line="242" w:lineRule="auto"/>
        <w:ind w:left="338" w:right="344" w:firstLine="288"/>
        <w:jc w:val="both"/>
      </w:pPr>
      <w:r>
        <w:rPr>
          <w:rFonts w:ascii="Arial" w:hAnsi="Arial"/>
          <w:b/>
        </w:rPr>
        <w:t>Primero.- </w:t>
      </w:r>
      <w:r>
        <w:rPr/>
        <w:t>El presente Decreto entrará en vigor a los 180 días naturales siguientes al día de su publicación en el Diario Oficial de la Federación.</w:t>
      </w:r>
    </w:p>
    <w:p>
      <w:pPr>
        <w:pStyle w:val="BodyText"/>
        <w:spacing w:line="242" w:lineRule="auto" w:before="224"/>
        <w:ind w:left="338" w:right="339" w:firstLine="288"/>
        <w:jc w:val="both"/>
      </w:pPr>
      <w:r>
        <w:rPr>
          <w:rFonts w:ascii="Arial" w:hAnsi="Arial"/>
          <w:b/>
        </w:rPr>
        <w:t>Segundo.- </w:t>
      </w:r>
      <w:r>
        <w:rPr/>
        <w:t>La Secretaría del Trabajo y Previsión Social deberá emitir las normas correspondientes sobre</w:t>
      </w:r>
      <w:r>
        <w:rPr>
          <w:spacing w:val="-4"/>
        </w:rPr>
        <w:t> </w:t>
      </w:r>
      <w:r>
        <w:rPr/>
        <w:t>los</w:t>
      </w:r>
      <w:r>
        <w:rPr>
          <w:spacing w:val="-3"/>
        </w:rPr>
        <w:t> </w:t>
      </w:r>
      <w:r>
        <w:rPr/>
        <w:t>factores</w:t>
      </w:r>
      <w:r>
        <w:rPr>
          <w:spacing w:val="-3"/>
        </w:rPr>
        <w:t> </w:t>
      </w:r>
      <w:r>
        <w:rPr/>
        <w:t>de</w:t>
      </w:r>
      <w:r>
        <w:rPr>
          <w:spacing w:val="-2"/>
        </w:rPr>
        <w:t> </w:t>
      </w:r>
      <w:r>
        <w:rPr/>
        <w:t>riesgos</w:t>
      </w:r>
      <w:r>
        <w:rPr>
          <w:spacing w:val="-3"/>
        </w:rPr>
        <w:t> </w:t>
      </w:r>
      <w:r>
        <w:rPr/>
        <w:t>de</w:t>
      </w:r>
      <w:r>
        <w:rPr>
          <w:spacing w:val="-3"/>
        </w:rPr>
        <w:t> </w:t>
      </w:r>
      <w:r>
        <w:rPr/>
        <w:t>trabajo</w:t>
      </w:r>
      <w:r>
        <w:rPr>
          <w:spacing w:val="-2"/>
        </w:rPr>
        <w:t> </w:t>
      </w:r>
      <w:r>
        <w:rPr/>
        <w:t>en</w:t>
      </w:r>
      <w:r>
        <w:rPr>
          <w:spacing w:val="-2"/>
        </w:rPr>
        <w:t> </w:t>
      </w:r>
      <w:r>
        <w:rPr/>
        <w:t>un</w:t>
      </w:r>
      <w:r>
        <w:rPr>
          <w:spacing w:val="-2"/>
        </w:rPr>
        <w:t> </w:t>
      </w:r>
      <w:r>
        <w:rPr/>
        <w:t>plazo</w:t>
      </w:r>
      <w:r>
        <w:rPr>
          <w:spacing w:val="-2"/>
        </w:rPr>
        <w:t> </w:t>
      </w:r>
      <w:r>
        <w:rPr/>
        <w:t>no</w:t>
      </w:r>
      <w:r>
        <w:rPr>
          <w:spacing w:val="-4"/>
        </w:rPr>
        <w:t> </w:t>
      </w:r>
      <w:r>
        <w:rPr/>
        <w:t>mayor</w:t>
      </w:r>
      <w:r>
        <w:rPr>
          <w:spacing w:val="-4"/>
        </w:rPr>
        <w:t> </w:t>
      </w:r>
      <w:r>
        <w:rPr/>
        <w:t>a</w:t>
      </w:r>
      <w:r>
        <w:rPr>
          <w:spacing w:val="-2"/>
        </w:rPr>
        <w:t> </w:t>
      </w:r>
      <w:r>
        <w:rPr/>
        <w:t>30</w:t>
      </w:r>
      <w:r>
        <w:rPr>
          <w:spacing w:val="-2"/>
        </w:rPr>
        <w:t> </w:t>
      </w:r>
      <w:r>
        <w:rPr/>
        <w:t>días</w:t>
      </w:r>
      <w:r>
        <w:rPr>
          <w:spacing w:val="-1"/>
        </w:rPr>
        <w:t> </w:t>
      </w:r>
      <w:r>
        <w:rPr/>
        <w:t>naturales</w:t>
      </w:r>
      <w:r>
        <w:rPr>
          <w:spacing w:val="-3"/>
        </w:rPr>
        <w:t> </w:t>
      </w:r>
      <w:r>
        <w:rPr/>
        <w:t>posteriores</w:t>
      </w:r>
      <w:r>
        <w:rPr>
          <w:spacing w:val="-2"/>
        </w:rPr>
        <w:t> </w:t>
      </w:r>
      <w:r>
        <w:rPr/>
        <w:t>a</w:t>
      </w:r>
      <w:r>
        <w:rPr>
          <w:spacing w:val="-2"/>
        </w:rPr>
        <w:t> </w:t>
      </w:r>
      <w:r>
        <w:rPr/>
        <w:t>la</w:t>
      </w:r>
      <w:r>
        <w:rPr>
          <w:spacing w:val="-2"/>
        </w:rPr>
        <w:t> </w:t>
      </w:r>
      <w:r>
        <w:rPr/>
        <w:t>entrada en vigor del presente Decreto.</w:t>
      </w:r>
    </w:p>
    <w:p>
      <w:pPr>
        <w:pStyle w:val="BodyText"/>
        <w:spacing w:before="225"/>
        <w:ind w:left="338" w:right="335" w:firstLine="288"/>
        <w:jc w:val="both"/>
      </w:pPr>
      <w:r>
        <w:rPr>
          <w:rFonts w:ascii="Arial" w:hAnsi="Arial"/>
          <w:b/>
        </w:rPr>
        <w:t>Tercero.- </w:t>
      </w:r>
      <w:r>
        <w:rPr/>
        <w:t>Las personas empleadoras o empresas contarán con un plazo de 180 días naturales contados a partir de la entrada en vigor del presente Decreto para adecuar su normativa interna para dar cumplimiento a lo establecido en la fracción V del artículo 132 de la Ley Federal del Trabajo.</w:t>
      </w:r>
    </w:p>
    <w:p>
      <w:pPr>
        <w:pStyle w:val="BodyText"/>
        <w:spacing w:before="229"/>
        <w:ind w:left="338" w:right="334" w:firstLine="288"/>
        <w:jc w:val="both"/>
        <w:rPr>
          <w:rFonts w:ascii="Arial" w:hAnsi="Arial"/>
          <w:b/>
        </w:rPr>
      </w:pPr>
      <w:r>
        <w:rPr>
          <w:rFonts w:ascii="Arial" w:hAnsi="Arial"/>
          <w:b/>
        </w:rPr>
        <w:t>Ciudad de México, a 4</w:t>
      </w:r>
      <w:r>
        <w:rPr>
          <w:rFonts w:ascii="Arial" w:hAnsi="Arial"/>
          <w:b/>
          <w:spacing w:val="-1"/>
        </w:rPr>
        <w:t> </w:t>
      </w:r>
      <w:r>
        <w:rPr>
          <w:rFonts w:ascii="Arial" w:hAnsi="Arial"/>
          <w:b/>
        </w:rPr>
        <w:t>de diciembre</w:t>
      </w:r>
      <w:r>
        <w:rPr>
          <w:rFonts w:ascii="Arial" w:hAnsi="Arial"/>
          <w:b/>
          <w:spacing w:val="-1"/>
        </w:rPr>
        <w:t> </w:t>
      </w:r>
      <w:r>
        <w:rPr>
          <w:rFonts w:ascii="Arial" w:hAnsi="Arial"/>
          <w:b/>
        </w:rPr>
        <w:t>de 2024</w:t>
      </w:r>
      <w:r>
        <w:rPr/>
        <w:t>.- Dip. Sergio Carlos Gutiérrez Luna, Presidente.-</w:t>
      </w:r>
      <w:r>
        <w:rPr>
          <w:spacing w:val="40"/>
        </w:rPr>
        <w:t> </w:t>
      </w:r>
      <w:r>
        <w:rPr/>
        <w:t>Sen. Gerardo Fernández Noroña, Presidente.- Dip. José Luis Montalvo Luna, Secretario.- Sen. Verónica</w:t>
      </w:r>
      <w:r>
        <w:rPr>
          <w:spacing w:val="40"/>
        </w:rPr>
        <w:t> </w:t>
      </w:r>
      <w:r>
        <w:rPr/>
        <w:t>Noemí Camino Farjat, Secretaria.- Rúbricas.</w:t>
      </w:r>
      <w:r>
        <w:rPr>
          <w:rFonts w:ascii="Arial" w:hAnsi="Arial"/>
          <w:b/>
        </w:rPr>
        <w:t>"</w:t>
      </w:r>
    </w:p>
    <w:p>
      <w:pPr>
        <w:pStyle w:val="BodyText"/>
        <w:spacing w:before="2"/>
        <w:rPr>
          <w:rFonts w:ascii="Arial"/>
          <w:b/>
        </w:rPr>
      </w:pPr>
    </w:p>
    <w:p>
      <w:pPr>
        <w:pStyle w:val="BodyText"/>
        <w:ind w:left="338" w:right="3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18 de diciembre de 2024.-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342"/>
        <w:jc w:val="left"/>
      </w:pPr>
      <w:r>
        <w:rPr/>
        <w:t>DECRETO por el que se adicionan diversas disposiciones de la Ley Federal del Trabajo, en materia de Plataformas Digitales.</w:t>
      </w:r>
    </w:p>
    <w:p>
      <w:pPr>
        <w:spacing w:before="232"/>
        <w:ind w:left="297" w:right="29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24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2024</w:t>
      </w:r>
    </w:p>
    <w:p>
      <w:pPr>
        <w:pStyle w:val="BodyText"/>
        <w:spacing w:before="46"/>
        <w:rPr>
          <w:sz w:val="16"/>
        </w:rPr>
      </w:pPr>
    </w:p>
    <w:p>
      <w:pPr>
        <w:pStyle w:val="BodyText"/>
        <w:ind w:left="338" w:right="337" w:firstLine="288"/>
        <w:jc w:val="both"/>
      </w:pPr>
      <w:r>
        <w:rPr>
          <w:rFonts w:ascii="Arial" w:hAnsi="Arial"/>
          <w:b/>
        </w:rPr>
        <w:t>Artículo Único.- </w:t>
      </w:r>
      <w:r>
        <w:rPr/>
        <w:t>Se adicionan una fracción VI al artículo 49; una fracción IV al artículo 50; una</w:t>
      </w:r>
      <w:r>
        <w:rPr>
          <w:spacing w:val="40"/>
        </w:rPr>
        <w:t> </w:t>
      </w:r>
      <w:r>
        <w:rPr/>
        <w:t>fracción IX al artículo 127; un Capítulo IX Bis, denominado “Trabajo en Plataformas Digitales”, que comprende los artículos 291-A a 291-U y, un artículo 997-B a la Ley Federal del Trabajo, para quedar como sigue:</w:t>
      </w:r>
    </w:p>
    <w:p>
      <w:pPr>
        <w:pStyle w:val="BodyText"/>
        <w:spacing w:before="2"/>
      </w:pPr>
    </w:p>
    <w:p>
      <w:pPr>
        <w:spacing w:before="0"/>
        <w:ind w:left="626" w:right="0" w:firstLine="0"/>
        <w:jc w:val="left"/>
        <w:rPr>
          <w:sz w:val="20"/>
        </w:rPr>
      </w:pPr>
      <w:r>
        <w:rPr>
          <w:spacing w:val="-5"/>
          <w:sz w:val="20"/>
        </w:rPr>
        <w:t>………</w:t>
      </w:r>
    </w:p>
    <w:p>
      <w:pPr>
        <w:pStyle w:val="Heading2"/>
        <w:spacing w:before="227"/>
        <w:ind w:left="300"/>
      </w:pPr>
      <w:r>
        <w:rPr>
          <w:spacing w:val="-2"/>
        </w:rPr>
        <w:t>Transitorios</w:t>
      </w:r>
    </w:p>
    <w:p>
      <w:pPr>
        <w:pStyle w:val="BodyText"/>
        <w:spacing w:before="1"/>
        <w:rPr>
          <w:rFonts w:ascii="Arial"/>
          <w:b/>
        </w:rPr>
      </w:pPr>
    </w:p>
    <w:p>
      <w:pPr>
        <w:pStyle w:val="BodyText"/>
        <w:spacing w:before="1"/>
        <w:ind w:left="338" w:right="348" w:firstLine="288"/>
        <w:jc w:val="both"/>
      </w:pPr>
      <w:r>
        <w:rPr>
          <w:rFonts w:ascii="Arial" w:hAnsi="Arial"/>
          <w:b/>
        </w:rPr>
        <w:t>Primero.- </w:t>
      </w:r>
      <w:r>
        <w:rPr/>
        <w:t>El</w:t>
      </w:r>
      <w:r>
        <w:rPr>
          <w:spacing w:val="-1"/>
        </w:rPr>
        <w:t> </w:t>
      </w:r>
      <w:r>
        <w:rPr/>
        <w:t>presente</w:t>
      </w:r>
      <w:r>
        <w:rPr>
          <w:spacing w:val="-2"/>
        </w:rPr>
        <w:t> </w:t>
      </w:r>
      <w:r>
        <w:rPr/>
        <w:t>Decreto entrará en vigor 180</w:t>
      </w:r>
      <w:r>
        <w:rPr>
          <w:spacing w:val="-2"/>
        </w:rPr>
        <w:t> </w:t>
      </w:r>
      <w:r>
        <w:rPr/>
        <w:t>días</w:t>
      </w:r>
      <w:r>
        <w:rPr>
          <w:spacing w:val="-1"/>
        </w:rPr>
        <w:t> </w:t>
      </w:r>
      <w:r>
        <w:rPr/>
        <w:t>después</w:t>
      </w:r>
      <w:r>
        <w:rPr>
          <w:spacing w:val="-1"/>
        </w:rPr>
        <w:t> </w:t>
      </w:r>
      <w:r>
        <w:rPr/>
        <w:t>de su</w:t>
      </w:r>
      <w:r>
        <w:rPr>
          <w:spacing w:val="-2"/>
        </w:rPr>
        <w:t> </w:t>
      </w:r>
      <w:r>
        <w:rPr/>
        <w:t>publicación</w:t>
      </w:r>
      <w:r>
        <w:rPr>
          <w:spacing w:val="-3"/>
        </w:rPr>
        <w:t> </w:t>
      </w:r>
      <w:r>
        <w:rPr/>
        <w:t>en</w:t>
      </w:r>
      <w:r>
        <w:rPr>
          <w:spacing w:val="-2"/>
        </w:rPr>
        <w:t> </w:t>
      </w:r>
      <w:r>
        <w:rPr/>
        <w:t>el</w:t>
      </w:r>
      <w:r>
        <w:rPr>
          <w:spacing w:val="-3"/>
        </w:rPr>
        <w:t> </w:t>
      </w:r>
      <w:r>
        <w:rPr/>
        <w:t>Diario</w:t>
      </w:r>
      <w:r>
        <w:rPr>
          <w:spacing w:val="-2"/>
        </w:rPr>
        <w:t> </w:t>
      </w:r>
      <w:r>
        <w:rPr/>
        <w:t>Oficial de la Federación.</w:t>
      </w:r>
    </w:p>
    <w:p>
      <w:pPr>
        <w:pStyle w:val="BodyText"/>
        <w:spacing w:before="228"/>
        <w:ind w:left="338" w:right="336" w:firstLine="288"/>
        <w:jc w:val="both"/>
      </w:pPr>
      <w:r>
        <w:rPr>
          <w:rFonts w:ascii="Arial" w:hAnsi="Arial"/>
          <w:b/>
        </w:rPr>
        <w:t>Segundo.- </w:t>
      </w:r>
      <w:r>
        <w:rPr/>
        <w:t>El Consejo Técnico del Instituto Mexicano del Seguro Social y, en su caso, el Consejo de Administración del Instituto del Fondo Nacional de la Vivienda para los Trabajadores, publicarán en el Diario</w:t>
      </w:r>
      <w:r>
        <w:rPr>
          <w:spacing w:val="-1"/>
        </w:rPr>
        <w:t> </w:t>
      </w:r>
      <w:r>
        <w:rPr/>
        <w:t>Oficial</w:t>
      </w:r>
      <w:r>
        <w:rPr>
          <w:spacing w:val="-2"/>
        </w:rPr>
        <w:t> </w:t>
      </w:r>
      <w:r>
        <w:rPr/>
        <w:t>de la</w:t>
      </w:r>
      <w:r>
        <w:rPr>
          <w:spacing w:val="-1"/>
        </w:rPr>
        <w:t> </w:t>
      </w:r>
      <w:r>
        <w:rPr/>
        <w:t>Federación, dentro de los 5 días siguientes a la entrada en vigor del presente</w:t>
      </w:r>
      <w:r>
        <w:rPr>
          <w:spacing w:val="-1"/>
        </w:rPr>
        <w:t> </w:t>
      </w:r>
      <w:r>
        <w:rPr/>
        <w:t>Decreto, las reglas de carácter general que garanticen el cumplimiento de las obligaciones contenidas en las fracciones V y</w:t>
      </w:r>
      <w:r>
        <w:rPr>
          <w:spacing w:val="-2"/>
        </w:rPr>
        <w:t> </w:t>
      </w:r>
      <w:r>
        <w:rPr/>
        <w:t>VI del</w:t>
      </w:r>
      <w:r>
        <w:rPr>
          <w:spacing w:val="-2"/>
        </w:rPr>
        <w:t> </w:t>
      </w:r>
      <w:r>
        <w:rPr/>
        <w:t>artículo</w:t>
      </w:r>
      <w:r>
        <w:rPr>
          <w:spacing w:val="-1"/>
        </w:rPr>
        <w:t> </w:t>
      </w:r>
      <w:r>
        <w:rPr/>
        <w:t>291-K de esta Ley, a</w:t>
      </w:r>
      <w:r>
        <w:rPr>
          <w:spacing w:val="-1"/>
        </w:rPr>
        <w:t> </w:t>
      </w:r>
      <w:r>
        <w:rPr/>
        <w:t>través de una</w:t>
      </w:r>
      <w:r>
        <w:rPr>
          <w:spacing w:val="-1"/>
        </w:rPr>
        <w:t> </w:t>
      </w:r>
      <w:r>
        <w:rPr/>
        <w:t>prueba piloto de participación obligatoria para el aseguramiento de personas trabajadoras de plataformas digitales.</w:t>
      </w:r>
    </w:p>
    <w:p>
      <w:pPr>
        <w:pStyle w:val="BodyText"/>
        <w:spacing w:before="1"/>
      </w:pPr>
    </w:p>
    <w:p>
      <w:pPr>
        <w:pStyle w:val="BodyText"/>
        <w:ind w:left="338" w:right="338" w:firstLine="288"/>
        <w:jc w:val="both"/>
      </w:pPr>
      <w:r>
        <w:rPr>
          <w:rFonts w:ascii="Arial" w:hAnsi="Arial"/>
          <w:b/>
        </w:rPr>
        <w:t>Tercero.- </w:t>
      </w:r>
      <w:r>
        <w:rPr/>
        <w:t>El Instituto Mexicano del Seguro Social contará con un plazo de 180 días naturales, contados a partir de la publicación de las reglas de carácter general, para que considerando los resultados que arroje la prueba piloto para el aseguramiento de personas trabajadoras de plataformas digitales, se preparen las iniciativas que con mayor detalle definirán los aspectos relativos al</w:t>
      </w:r>
      <w:r>
        <w:rPr>
          <w:spacing w:val="40"/>
        </w:rPr>
        <w:t> </w:t>
      </w:r>
      <w:r>
        <w:rPr/>
        <w:t>cumplimiento de dichas obligaciones, mismas que serán presentadas ante el Poder Legislativo para su discusión. En su caso, el Instituto del Fondo Nacional de la Vivienda para los Trabajadores podrá proponer adecuaciones normativas equivalentes en el ámbito de su competencia.</w:t>
      </w:r>
    </w:p>
    <w:p>
      <w:pPr>
        <w:pStyle w:val="BodyText"/>
        <w:spacing w:line="242" w:lineRule="auto" w:before="229"/>
        <w:ind w:left="338" w:right="344" w:firstLine="288"/>
        <w:jc w:val="both"/>
      </w:pPr>
      <w:r>
        <w:rPr>
          <w:rFonts w:ascii="Arial" w:hAnsi="Arial"/>
          <w:b/>
        </w:rPr>
        <w:t>Cuarto.- </w:t>
      </w:r>
      <w:r>
        <w:rPr/>
        <w:t>La Secretaría del Trabajo y Previsión Social podrá recopilar, elaborar, procesar y divulgar información con el fin de facilitar la comprensión de los derechos y obligaciones que se desprendan de</w:t>
      </w:r>
      <w:r>
        <w:rPr>
          <w:spacing w:val="40"/>
        </w:rPr>
        <w:t> </w:t>
      </w:r>
      <w:r>
        <w:rPr/>
        <w:t>las relaciones de trabajo en plataformas digitales.</w:t>
      </w:r>
    </w:p>
    <w:p>
      <w:pPr>
        <w:pStyle w:val="BodyText"/>
        <w:spacing w:before="225"/>
        <w:ind w:left="338" w:right="338" w:firstLine="288"/>
        <w:jc w:val="both"/>
      </w:pPr>
      <w:r>
        <w:rPr>
          <w:rFonts w:ascii="Arial" w:hAnsi="Arial"/>
          <w:b/>
        </w:rPr>
        <w:t>Quinto.- </w:t>
      </w:r>
      <w:r>
        <w:rPr/>
        <w:t>La temporalidad indicada en la fracción IX del artículo 127 de esta Ley, se obtiene considerando el</w:t>
      </w:r>
      <w:r>
        <w:rPr>
          <w:spacing w:val="-2"/>
        </w:rPr>
        <w:t> </w:t>
      </w:r>
      <w:r>
        <w:rPr/>
        <w:t>tiempo</w:t>
      </w:r>
      <w:r>
        <w:rPr>
          <w:spacing w:val="-2"/>
        </w:rPr>
        <w:t> </w:t>
      </w:r>
      <w:r>
        <w:rPr/>
        <w:t>de trabajo en 45</w:t>
      </w:r>
      <w:r>
        <w:rPr>
          <w:spacing w:val="-1"/>
        </w:rPr>
        <w:t> </w:t>
      </w:r>
      <w:r>
        <w:rPr/>
        <w:t>minutos por cada hora y</w:t>
      </w:r>
      <w:r>
        <w:rPr>
          <w:spacing w:val="-2"/>
        </w:rPr>
        <w:t> </w:t>
      </w:r>
      <w:r>
        <w:rPr/>
        <w:t>15 minutos de tiempo</w:t>
      </w:r>
      <w:r>
        <w:rPr>
          <w:spacing w:val="-2"/>
        </w:rPr>
        <w:t> </w:t>
      </w:r>
      <w:r>
        <w:rPr/>
        <w:t>de</w:t>
      </w:r>
      <w:r>
        <w:rPr>
          <w:spacing w:val="-2"/>
        </w:rPr>
        <w:t> </w:t>
      </w:r>
      <w:r>
        <w:rPr/>
        <w:t>espera</w:t>
      </w:r>
      <w:r>
        <w:rPr>
          <w:spacing w:val="-1"/>
        </w:rPr>
        <w:t> </w:t>
      </w:r>
      <w:r>
        <w:rPr/>
        <w:t>para la recepción de tareas, servicios y, obras o trabajos; lo que se traduce en un factor de 0.75 de actividad efectivamente laborada por cada hora.</w:t>
      </w:r>
    </w:p>
    <w:p>
      <w:pPr>
        <w:pStyle w:val="BodyText"/>
        <w:spacing w:before="2"/>
      </w:pPr>
    </w:p>
    <w:p>
      <w:pPr>
        <w:pStyle w:val="BodyText"/>
        <w:ind w:left="338" w:right="338" w:firstLine="288"/>
        <w:jc w:val="both"/>
      </w:pPr>
      <w:r>
        <w:rPr/>
        <w:t>Al aplicar el factor a una jornada de 8 horas da como resultado 6 diarias, lo que representa 36 semanales o 144 mensuales, por lo que al tomar en consideración la temporalidad establecida en la fracción VII del artículo citado, se equipara a 288 horas de actividad efectivamente laborada.</w:t>
      </w:r>
    </w:p>
    <w:p>
      <w:pPr>
        <w:pStyle w:val="BodyText"/>
        <w:spacing w:line="242" w:lineRule="auto" w:before="227"/>
        <w:ind w:left="338" w:right="341" w:firstLine="288"/>
        <w:jc w:val="both"/>
      </w:pPr>
      <w:r>
        <w:rPr>
          <w:rFonts w:ascii="Arial" w:hAnsi="Arial"/>
          <w:b/>
        </w:rPr>
        <w:t>Sexto.- </w:t>
      </w:r>
      <w:r>
        <w:rPr/>
        <w:t>La Secretaría del Trabajo y Previsión Social contará con 5 días posteriores a la entrada en vigor del presente Decreto para publicar las disposiciones de carácter general que definirán el cálculo del ingreso neto a las que se refiere el artículo 291-F.</w:t>
      </w:r>
    </w:p>
    <w:p>
      <w:pPr>
        <w:pStyle w:val="BodyText"/>
        <w:spacing w:before="223"/>
        <w:ind w:left="338" w:right="334" w:firstLine="288"/>
        <w:jc w:val="both"/>
        <w:rPr>
          <w:rFonts w:ascii="Arial" w:hAnsi="Arial"/>
          <w:b/>
        </w:rPr>
      </w:pPr>
      <w:r>
        <w:rPr>
          <w:rFonts w:ascii="Arial" w:hAnsi="Arial"/>
          <w:b/>
        </w:rPr>
        <w:t>Ciudad</w:t>
      </w:r>
      <w:r>
        <w:rPr>
          <w:rFonts w:ascii="Arial" w:hAnsi="Arial"/>
          <w:b/>
          <w:spacing w:val="-4"/>
        </w:rPr>
        <w:t> </w:t>
      </w:r>
      <w:r>
        <w:rPr>
          <w:rFonts w:ascii="Arial" w:hAnsi="Arial"/>
          <w:b/>
        </w:rPr>
        <w:t>de</w:t>
      </w:r>
      <w:r>
        <w:rPr>
          <w:rFonts w:ascii="Arial" w:hAnsi="Arial"/>
          <w:b/>
          <w:spacing w:val="-4"/>
        </w:rPr>
        <w:t> </w:t>
      </w:r>
      <w:r>
        <w:rPr>
          <w:rFonts w:ascii="Arial" w:hAnsi="Arial"/>
          <w:b/>
        </w:rPr>
        <w:t>México,</w:t>
      </w:r>
      <w:r>
        <w:rPr>
          <w:rFonts w:ascii="Arial" w:hAnsi="Arial"/>
          <w:b/>
          <w:spacing w:val="-4"/>
        </w:rPr>
        <w:t> </w:t>
      </w:r>
      <w:r>
        <w:rPr>
          <w:rFonts w:ascii="Arial" w:hAnsi="Arial"/>
          <w:b/>
        </w:rPr>
        <w:t>a</w:t>
      </w:r>
      <w:r>
        <w:rPr>
          <w:rFonts w:ascii="Arial" w:hAnsi="Arial"/>
          <w:b/>
          <w:spacing w:val="-2"/>
        </w:rPr>
        <w:t> </w:t>
      </w:r>
      <w:r>
        <w:rPr>
          <w:rFonts w:ascii="Arial" w:hAnsi="Arial"/>
          <w:b/>
        </w:rPr>
        <w:t>12</w:t>
      </w:r>
      <w:r>
        <w:rPr>
          <w:rFonts w:ascii="Arial" w:hAnsi="Arial"/>
          <w:b/>
          <w:spacing w:val="-4"/>
        </w:rPr>
        <w:t> </w:t>
      </w:r>
      <w:r>
        <w:rPr>
          <w:rFonts w:ascii="Arial" w:hAnsi="Arial"/>
          <w:b/>
        </w:rPr>
        <w:t>de</w:t>
      </w:r>
      <w:r>
        <w:rPr>
          <w:rFonts w:ascii="Arial" w:hAnsi="Arial"/>
          <w:b/>
          <w:spacing w:val="-4"/>
        </w:rPr>
        <w:t> </w:t>
      </w:r>
      <w:r>
        <w:rPr>
          <w:rFonts w:ascii="Arial" w:hAnsi="Arial"/>
          <w:b/>
        </w:rPr>
        <w:t>diciembre</w:t>
      </w:r>
      <w:r>
        <w:rPr>
          <w:rFonts w:ascii="Arial" w:hAnsi="Arial"/>
          <w:b/>
          <w:spacing w:val="-4"/>
        </w:rPr>
        <w:t> </w:t>
      </w:r>
      <w:r>
        <w:rPr>
          <w:rFonts w:ascii="Arial" w:hAnsi="Arial"/>
          <w:b/>
        </w:rPr>
        <w:t>de</w:t>
      </w:r>
      <w:r>
        <w:rPr>
          <w:rFonts w:ascii="Arial" w:hAnsi="Arial"/>
          <w:b/>
          <w:spacing w:val="-4"/>
        </w:rPr>
        <w:t> </w:t>
      </w:r>
      <w:r>
        <w:rPr>
          <w:rFonts w:ascii="Arial" w:hAnsi="Arial"/>
          <w:b/>
        </w:rPr>
        <w:t>2024</w:t>
      </w:r>
      <w:r>
        <w:rPr/>
        <w:t>.-</w:t>
      </w:r>
      <w:r>
        <w:rPr>
          <w:spacing w:val="-1"/>
        </w:rPr>
        <w:t> </w:t>
      </w:r>
      <w:r>
        <w:rPr/>
        <w:t>Dip.</w:t>
      </w:r>
      <w:r>
        <w:rPr>
          <w:spacing w:val="-2"/>
        </w:rPr>
        <w:t> </w:t>
      </w:r>
      <w:r>
        <w:rPr/>
        <w:t>Sergio</w:t>
      </w:r>
      <w:r>
        <w:rPr>
          <w:spacing w:val="-4"/>
        </w:rPr>
        <w:t> </w:t>
      </w:r>
      <w:r>
        <w:rPr/>
        <w:t>Carlos</w:t>
      </w:r>
      <w:r>
        <w:rPr>
          <w:spacing w:val="-3"/>
        </w:rPr>
        <w:t> </w:t>
      </w:r>
      <w:r>
        <w:rPr/>
        <w:t>Gutiérrez</w:t>
      </w:r>
      <w:r>
        <w:rPr>
          <w:spacing w:val="-3"/>
        </w:rPr>
        <w:t> </w:t>
      </w:r>
      <w:r>
        <w:rPr/>
        <w:t>Luna,</w:t>
      </w:r>
      <w:r>
        <w:rPr>
          <w:spacing w:val="-2"/>
        </w:rPr>
        <w:t> </w:t>
      </w:r>
      <w:r>
        <w:rPr/>
        <w:t>Presidente.-</w:t>
      </w:r>
      <w:r>
        <w:rPr>
          <w:spacing w:val="-3"/>
        </w:rPr>
        <w:t> </w:t>
      </w:r>
      <w:r>
        <w:rPr/>
        <w:t>Sen. Gerardo Fernández Noroña, Presidente.- Dip. José Luis Montalvo Luna, Secretario.- Sen. Verónica</w:t>
      </w:r>
      <w:r>
        <w:rPr>
          <w:spacing w:val="40"/>
        </w:rPr>
        <w:t> </w:t>
      </w:r>
      <w:r>
        <w:rPr/>
        <w:t>Noemí Camino Farjat, Secretaria.- Rúbricas.</w:t>
      </w:r>
      <w:r>
        <w:rPr>
          <w:rFonts w:ascii="Arial" w:hAnsi="Arial"/>
          <w:b/>
        </w:rPr>
        <w:t>"</w:t>
      </w:r>
    </w:p>
    <w:p>
      <w:pPr>
        <w:pStyle w:val="BodyText"/>
        <w:spacing w:after="0"/>
        <w:jc w:val="both"/>
        <w:rPr>
          <w:rFonts w:ascii="Arial" w:hAnsi="Arial"/>
          <w:b/>
        </w:rPr>
        <w:sectPr>
          <w:pgSz w:w="12240" w:h="15840"/>
          <w:pgMar w:header="724" w:footer="712" w:top="1880" w:bottom="900" w:left="1080" w:right="1080"/>
        </w:sectPr>
      </w:pPr>
    </w:p>
    <w:p>
      <w:pPr>
        <w:pStyle w:val="BodyText"/>
        <w:spacing w:before="65"/>
        <w:rPr>
          <w:rFonts w:ascii="Arial"/>
          <w:b/>
        </w:rPr>
      </w:pPr>
    </w:p>
    <w:p>
      <w:pPr>
        <w:pStyle w:val="BodyText"/>
        <w:ind w:left="338" w:right="3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23 de diciembre de 2024.-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336"/>
        <w:jc w:val="both"/>
      </w:pPr>
      <w:r>
        <w:rPr/>
        <w:t>DECRETO por el que se reforman, adicionan y derogan diversas disposiciones de la Ley del Instituto del Fondo Nacional de la Vivienda para los Trabajadores y de la Ley Federal del Trabajo, en materia de vivienda con orientación social.</w:t>
      </w:r>
    </w:p>
    <w:p>
      <w:pPr>
        <w:spacing w:before="231"/>
        <w:ind w:left="297" w:right="29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4"/>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21</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2025</w:t>
      </w:r>
    </w:p>
    <w:p>
      <w:pPr>
        <w:pStyle w:val="BodyText"/>
        <w:spacing w:before="46"/>
        <w:rPr>
          <w:sz w:val="16"/>
        </w:rPr>
      </w:pPr>
    </w:p>
    <w:p>
      <w:pPr>
        <w:pStyle w:val="BodyText"/>
        <w:spacing w:line="242" w:lineRule="auto"/>
        <w:ind w:left="338" w:right="342" w:firstLine="288"/>
        <w:jc w:val="both"/>
      </w:pPr>
      <w:r>
        <w:rPr>
          <w:rFonts w:ascii="Arial" w:hAnsi="Arial"/>
          <w:b/>
        </w:rPr>
        <w:t>Artículo Segundo.- </w:t>
      </w:r>
      <w:r>
        <w:rPr/>
        <w:t>Se </w:t>
      </w:r>
      <w:r>
        <w:rPr>
          <w:rFonts w:ascii="Arial" w:hAnsi="Arial"/>
          <w:b/>
        </w:rPr>
        <w:t>reforman </w:t>
      </w:r>
      <w:r>
        <w:rPr/>
        <w:t>los</w:t>
      </w:r>
      <w:r>
        <w:rPr>
          <w:spacing w:val="-1"/>
        </w:rPr>
        <w:t> </w:t>
      </w:r>
      <w:r>
        <w:rPr/>
        <w:t>artículos 97, fracción</w:t>
      </w:r>
      <w:r>
        <w:rPr>
          <w:spacing w:val="-3"/>
        </w:rPr>
        <w:t> </w:t>
      </w:r>
      <w:r>
        <w:rPr/>
        <w:t>III;</w:t>
      </w:r>
      <w:r>
        <w:rPr>
          <w:spacing w:val="-2"/>
        </w:rPr>
        <w:t> </w:t>
      </w:r>
      <w:r>
        <w:rPr/>
        <w:t>110, fracción</w:t>
      </w:r>
      <w:r>
        <w:rPr>
          <w:spacing w:val="-3"/>
        </w:rPr>
        <w:t> </w:t>
      </w:r>
      <w:r>
        <w:rPr/>
        <w:t>III;</w:t>
      </w:r>
      <w:r>
        <w:rPr>
          <w:spacing w:val="-2"/>
        </w:rPr>
        <w:t> </w:t>
      </w:r>
      <w:r>
        <w:rPr/>
        <w:t>139; 140; 141, fracción II; 147, fracción II; y se </w:t>
      </w:r>
      <w:r>
        <w:rPr>
          <w:rFonts w:ascii="Arial" w:hAnsi="Arial"/>
          <w:b/>
        </w:rPr>
        <w:t>adiciona </w:t>
      </w:r>
      <w:r>
        <w:rPr/>
        <w:t>el artículo 145, con un último párrafo, de Ley Federal del Trabajo, para quedar como sigue:</w:t>
      </w:r>
    </w:p>
    <w:p>
      <w:pPr>
        <w:spacing w:before="225"/>
        <w:ind w:left="626" w:right="0" w:firstLine="0"/>
        <w:jc w:val="left"/>
        <w:rPr>
          <w:sz w:val="20"/>
        </w:rPr>
      </w:pPr>
      <w:r>
        <w:rPr>
          <w:spacing w:val="-4"/>
          <w:sz w:val="20"/>
        </w:rPr>
        <w:t>……..</w:t>
      </w:r>
    </w:p>
    <w:p>
      <w:pPr>
        <w:pStyle w:val="Heading2"/>
        <w:spacing w:before="227"/>
        <w:ind w:left="300"/>
      </w:pPr>
      <w:r>
        <w:rPr>
          <w:spacing w:val="-2"/>
        </w:rPr>
        <w:t>Transitorios</w:t>
      </w:r>
    </w:p>
    <w:p>
      <w:pPr>
        <w:pStyle w:val="BodyText"/>
        <w:spacing w:before="1"/>
        <w:rPr>
          <w:rFonts w:ascii="Arial"/>
          <w:b/>
        </w:rPr>
      </w:pPr>
    </w:p>
    <w:p>
      <w:pPr>
        <w:pStyle w:val="BodyText"/>
        <w:spacing w:line="242" w:lineRule="auto"/>
        <w:ind w:left="338" w:right="343" w:firstLine="288"/>
        <w:jc w:val="both"/>
      </w:pPr>
      <w:r>
        <w:rPr>
          <w:rFonts w:ascii="Arial" w:hAnsi="Arial"/>
          <w:b/>
        </w:rPr>
        <w:t>Primero.- </w:t>
      </w:r>
      <w:r>
        <w:rPr/>
        <w:t>El presente Decreto entrará en vigor al día siguiente de su publicación en el Diario Oficial</w:t>
      </w:r>
      <w:r>
        <w:rPr>
          <w:spacing w:val="40"/>
        </w:rPr>
        <w:t> </w:t>
      </w:r>
      <w:r>
        <w:rPr/>
        <w:t>de la Federación.</w:t>
      </w:r>
    </w:p>
    <w:p>
      <w:pPr>
        <w:pStyle w:val="BodyText"/>
        <w:spacing w:before="227"/>
        <w:ind w:left="338" w:right="346" w:firstLine="288"/>
        <w:jc w:val="both"/>
      </w:pPr>
      <w:r>
        <w:rPr>
          <w:rFonts w:ascii="Arial"/>
          <w:b/>
        </w:rPr>
        <w:t>Segundo.- </w:t>
      </w:r>
      <w:r>
        <w:rPr/>
        <w:t>A partir de la entrada en vigor de este Decreto, se derogan todas las disposiciones legales que se opongan al mismo.</w:t>
      </w:r>
    </w:p>
    <w:p>
      <w:pPr>
        <w:pStyle w:val="BodyText"/>
        <w:spacing w:before="1"/>
      </w:pPr>
    </w:p>
    <w:p>
      <w:pPr>
        <w:pStyle w:val="BodyText"/>
        <w:ind w:left="338" w:right="340" w:firstLine="288"/>
        <w:jc w:val="both"/>
      </w:pPr>
      <w:r>
        <w:rPr/>
        <w:t>Todas las disposiciones, normas, lineamientos, políticas, criterios y demás normativa emitida por cualquier órgano o área del Instituto continuarán en vigor en lo que no se opongan al presente Decreto o a las normas o resoluciones emitidas por las autoridades, o hasta en tanto los órganos o áreas competentes determinen su reforma o abrogación.</w:t>
      </w:r>
    </w:p>
    <w:p>
      <w:pPr>
        <w:pStyle w:val="BodyText"/>
        <w:spacing w:line="242" w:lineRule="auto" w:before="227"/>
        <w:ind w:left="338" w:right="346" w:firstLine="288"/>
        <w:jc w:val="both"/>
      </w:pPr>
      <w:r>
        <w:rPr>
          <w:rFonts w:ascii="Arial" w:hAnsi="Arial"/>
          <w:b/>
        </w:rPr>
        <w:t>Tercero.- </w:t>
      </w:r>
      <w:r>
        <w:rPr/>
        <w:t>Los órganos del Instituto deberán quedar integrados dentro de los treinta días naturales siguientes a la entrada en vigor del presente Decreto, para ello:</w:t>
      </w:r>
    </w:p>
    <w:p>
      <w:pPr>
        <w:pStyle w:val="BodyText"/>
        <w:spacing w:before="227"/>
        <w:ind w:left="1346" w:right="341" w:hanging="720"/>
        <w:jc w:val="both"/>
      </w:pPr>
      <w:r>
        <w:rPr>
          <w:rFonts w:ascii="Arial" w:hAnsi="Arial"/>
          <w:b/>
        </w:rPr>
        <w:t>I.-</w:t>
      </w:r>
      <w:r>
        <w:rPr>
          <w:rFonts w:ascii="Arial" w:hAnsi="Arial"/>
          <w:b/>
          <w:spacing w:val="80"/>
        </w:rPr>
        <w:t>  </w:t>
      </w:r>
      <w:r>
        <w:rPr/>
        <w:t>La Secretaría del Trabajo y Previsión Social emitirá, dentro de los quince días naturales siguientes a la entrada en vigor del presente Decreto, las bases para determinar las organizaciones nacionales de trabajadores y patrones que intervendrán en la designación de los integrantes de la Asamblea General, en términos de los artículos 7o. y 8o. de la Ley del Instituto del Fondo Nacional de la Vivienda para los Trabajadores;</w:t>
      </w:r>
    </w:p>
    <w:p>
      <w:pPr>
        <w:pStyle w:val="BodyText"/>
      </w:pPr>
    </w:p>
    <w:p>
      <w:pPr>
        <w:pStyle w:val="BodyText"/>
        <w:spacing w:before="1"/>
        <w:ind w:left="1346" w:right="342" w:hanging="720"/>
        <w:jc w:val="both"/>
      </w:pPr>
      <w:r>
        <w:rPr>
          <w:rFonts w:ascii="Arial" w:hAnsi="Arial"/>
          <w:b/>
        </w:rPr>
        <w:t>II.-</w:t>
      </w:r>
      <w:r>
        <w:rPr>
          <w:rFonts w:ascii="Arial" w:hAnsi="Arial"/>
          <w:b/>
          <w:spacing w:val="80"/>
        </w:rPr>
        <w:t>  </w:t>
      </w:r>
      <w:r>
        <w:rPr/>
        <w:t>Los</w:t>
      </w:r>
      <w:r>
        <w:rPr>
          <w:spacing w:val="40"/>
        </w:rPr>
        <w:t> </w:t>
      </w:r>
      <w:r>
        <w:rPr/>
        <w:t>sectores,</w:t>
      </w:r>
      <w:r>
        <w:rPr>
          <w:spacing w:val="40"/>
        </w:rPr>
        <w:t> </w:t>
      </w:r>
      <w:r>
        <w:rPr/>
        <w:t>con</w:t>
      </w:r>
      <w:r>
        <w:rPr>
          <w:spacing w:val="40"/>
        </w:rPr>
        <w:t> </w:t>
      </w:r>
      <w:r>
        <w:rPr/>
        <w:t>base</w:t>
      </w:r>
      <w:r>
        <w:rPr>
          <w:spacing w:val="40"/>
        </w:rPr>
        <w:t> </w:t>
      </w:r>
      <w:r>
        <w:rPr/>
        <w:t>en</w:t>
      </w:r>
      <w:r>
        <w:rPr>
          <w:spacing w:val="40"/>
        </w:rPr>
        <w:t> </w:t>
      </w:r>
      <w:r>
        <w:rPr/>
        <w:t>la</w:t>
      </w:r>
      <w:r>
        <w:rPr>
          <w:spacing w:val="40"/>
        </w:rPr>
        <w:t> </w:t>
      </w:r>
      <w:r>
        <w:rPr/>
        <w:t>representación</w:t>
      </w:r>
      <w:r>
        <w:rPr>
          <w:spacing w:val="40"/>
        </w:rPr>
        <w:t> </w:t>
      </w:r>
      <w:r>
        <w:rPr/>
        <w:t>que</w:t>
      </w:r>
      <w:r>
        <w:rPr>
          <w:spacing w:val="40"/>
        </w:rPr>
        <w:t> </w:t>
      </w:r>
      <w:r>
        <w:rPr/>
        <w:t>resulte</w:t>
      </w:r>
      <w:r>
        <w:rPr>
          <w:spacing w:val="40"/>
        </w:rPr>
        <w:t> </w:t>
      </w:r>
      <w:r>
        <w:rPr/>
        <w:t>de</w:t>
      </w:r>
      <w:r>
        <w:rPr>
          <w:spacing w:val="40"/>
        </w:rPr>
        <w:t> </w:t>
      </w:r>
      <w:r>
        <w:rPr/>
        <w:t>la</w:t>
      </w:r>
      <w:r>
        <w:rPr>
          <w:spacing w:val="40"/>
        </w:rPr>
        <w:t> </w:t>
      </w:r>
      <w:r>
        <w:rPr/>
        <w:t>integración</w:t>
      </w:r>
      <w:r>
        <w:rPr>
          <w:spacing w:val="40"/>
        </w:rPr>
        <w:t> </w:t>
      </w:r>
      <w:r>
        <w:rPr/>
        <w:t>de</w:t>
      </w:r>
      <w:r>
        <w:rPr>
          <w:spacing w:val="40"/>
        </w:rPr>
        <w:t> </w:t>
      </w:r>
      <w:r>
        <w:rPr/>
        <w:t>la</w:t>
      </w:r>
      <w:r>
        <w:rPr>
          <w:spacing w:val="40"/>
        </w:rPr>
        <w:t> </w:t>
      </w:r>
      <w:r>
        <w:rPr/>
        <w:t>nueva Asamblea General, deberán renovar en su totalidad a su respectiva representación designando a los nuevos integrantes de los órganos del Instituto del Fondo Nacional de la Vivienda para los Trabajadores, dentro de los treinta días naturales siguientes a la entrada en vigor del presente Decreto, y</w:t>
      </w:r>
    </w:p>
    <w:p>
      <w:pPr>
        <w:pStyle w:val="BodyText"/>
        <w:spacing w:before="230"/>
        <w:ind w:left="1346" w:right="344" w:hanging="720"/>
        <w:jc w:val="both"/>
      </w:pPr>
      <w:r>
        <w:rPr>
          <w:rFonts w:ascii="Arial" w:hAnsi="Arial"/>
          <w:b/>
        </w:rPr>
        <w:t>III.-</w:t>
      </w:r>
      <w:r>
        <w:rPr>
          <w:rFonts w:ascii="Arial" w:hAnsi="Arial"/>
          <w:b/>
          <w:spacing w:val="80"/>
        </w:rPr>
        <w:t>  </w:t>
      </w:r>
      <w:r>
        <w:rPr/>
        <w:t>El Ejecutivo Federal deberá emitir el acuerdo por el que nombre a sus representantes en los órganos del Instituto, dentro de los treinta días naturales siguientes a la entrada en vigor del presente Decreto.</w:t>
      </w:r>
    </w:p>
    <w:p>
      <w:pPr>
        <w:pStyle w:val="BodyText"/>
        <w:spacing w:before="230"/>
        <w:ind w:left="338" w:right="341" w:firstLine="288"/>
        <w:jc w:val="both"/>
      </w:pPr>
      <w:r>
        <w:rPr>
          <w:rFonts w:ascii="Arial" w:hAnsi="Arial"/>
          <w:b/>
        </w:rPr>
        <w:t>Cuarto.- </w:t>
      </w:r>
      <w:r>
        <w:rPr/>
        <w:t>El Instituto del Fondo Nacional de la Vivienda para los Trabajadores deberá renovar a la persona titular de la Auditoría Interna, dentro de los treinta días naturales siguientes a la entrada en vigor del presente Decreto, en términos del artículo 16, fracción XVIII, de su Ley y las disposiciones jurídicas </w:t>
      </w:r>
      <w:r>
        <w:rPr>
          <w:spacing w:val="-2"/>
        </w:rPr>
        <w:t>aplicables.</w:t>
      </w:r>
    </w:p>
    <w:p>
      <w:pPr>
        <w:pStyle w:val="BodyText"/>
        <w:spacing w:line="242" w:lineRule="auto" w:before="229"/>
        <w:ind w:left="338" w:right="337" w:firstLine="288"/>
        <w:jc w:val="both"/>
      </w:pPr>
      <w:r>
        <w:rPr>
          <w:rFonts w:ascii="Arial" w:hAnsi="Arial"/>
          <w:b/>
        </w:rPr>
        <w:t>Quinto.- </w:t>
      </w:r>
      <w:r>
        <w:rPr/>
        <w:t>La persona titular de la Dirección General del Instituto del Fondo Nacional de la Vivienda</w:t>
      </w:r>
      <w:r>
        <w:rPr>
          <w:spacing w:val="40"/>
        </w:rPr>
        <w:t> </w:t>
      </w:r>
      <w:r>
        <w:rPr/>
        <w:t>para los Trabajadores deberá realizar los actos necesarios para la constitución de la empresa filial, a la que se</w:t>
      </w:r>
      <w:r>
        <w:rPr>
          <w:spacing w:val="-1"/>
        </w:rPr>
        <w:t> </w:t>
      </w:r>
      <w:r>
        <w:rPr/>
        <w:t>refiere el artículo</w:t>
      </w:r>
      <w:r>
        <w:rPr>
          <w:spacing w:val="-1"/>
        </w:rPr>
        <w:t> </w:t>
      </w:r>
      <w:r>
        <w:rPr/>
        <w:t>3o.,</w:t>
      </w:r>
      <w:r>
        <w:rPr>
          <w:spacing w:val="-1"/>
        </w:rPr>
        <w:t> </w:t>
      </w:r>
      <w:r>
        <w:rPr/>
        <w:t>fracción V, de la Ley</w:t>
      </w:r>
      <w:r>
        <w:rPr>
          <w:spacing w:val="-2"/>
        </w:rPr>
        <w:t> </w:t>
      </w:r>
      <w:r>
        <w:rPr/>
        <w:t>del Instituto del Fondo Nacional de la Vivienda para los</w:t>
      </w:r>
    </w:p>
    <w:p>
      <w:pPr>
        <w:pStyle w:val="BodyText"/>
        <w:spacing w:after="0" w:line="242" w:lineRule="auto"/>
        <w:jc w:val="both"/>
        <w:sectPr>
          <w:pgSz w:w="12240" w:h="15840"/>
          <w:pgMar w:header="724" w:footer="712" w:top="1880" w:bottom="900" w:left="1080" w:right="1080"/>
        </w:sectPr>
      </w:pPr>
    </w:p>
    <w:p>
      <w:pPr>
        <w:pStyle w:val="BodyText"/>
        <w:spacing w:before="65"/>
      </w:pPr>
    </w:p>
    <w:p>
      <w:pPr>
        <w:pStyle w:val="BodyText"/>
        <w:ind w:left="338" w:right="338"/>
        <w:jc w:val="both"/>
      </w:pPr>
      <w:r>
        <w:rPr/>
        <w:t>Trabajadores, dentro de los treinta días naturales siguientes a la entrada en vigor del presente Decreto, y su objeto será, entre otros, la construcción de vivienda, su integración accionaria será mayoritariamente del Instituto y se conformará con recursos provenientes del presupuesto de gastos de administración, operación y vigilancia autorizado para el ejercicio 2024. Los estatutos sociales deberán reflejar los principios contenidos en el artículo 3o., último párrafo, de la Ley del Instituto del Fondo Nacional de la Vivienda para los Trabajadores, establecer las actividades que conformen el objeto de la empresa filial, los órganos de gobierno que estarán constituidos al menos por un Consejo de Administración, presidido por la persona titular de la Dirección General del Instituto, e integrado por el personal directivo de este;</w:t>
      </w:r>
      <w:r>
        <w:rPr>
          <w:spacing w:val="40"/>
        </w:rPr>
        <w:t> </w:t>
      </w:r>
      <w:r>
        <w:rPr/>
        <w:t>así como por un Comité de Auditoría, que tendrá a su cargo las funciones de control, evaluación, rendición de cuentas y transparencia de la empresa filial; asimismo, contará con un Comité de Ética y un Código de Ética. El Estatuto Orgánico y normativa interna de la empresa filial establecerán su estructura organizacional y de operación.</w:t>
      </w:r>
    </w:p>
    <w:p>
      <w:pPr>
        <w:pStyle w:val="BodyText"/>
        <w:spacing w:before="229"/>
        <w:ind w:left="338" w:right="342" w:firstLine="288"/>
        <w:jc w:val="both"/>
      </w:pPr>
      <w:r>
        <w:rPr>
          <w:rFonts w:ascii="Arial" w:hAnsi="Arial"/>
          <w:b/>
        </w:rPr>
        <w:t>Sexto.- </w:t>
      </w:r>
      <w:r>
        <w:rPr/>
        <w:t>La Asamblea General y el Consejo de Administración del Instituto del Fondo Nacional de la Vivienda para los Trabajadores, en un plazo de ciento ochenta días siguientes a la entrada en vigor del presente Decreto, deberán expedir las políticas y reglas conforme a las cuales se otorgarán viviendas en arrendamiento social en términos del artículo 51 Ter de la Ley del Instituto del Fondo Nacional de la Vivienda para los Trabajadores.</w:t>
      </w:r>
    </w:p>
    <w:p>
      <w:pPr>
        <w:pStyle w:val="BodyText"/>
        <w:spacing w:before="2"/>
      </w:pPr>
    </w:p>
    <w:p>
      <w:pPr>
        <w:pStyle w:val="BodyText"/>
        <w:spacing w:before="1"/>
        <w:ind w:left="338" w:right="339" w:firstLine="288"/>
        <w:jc w:val="both"/>
      </w:pPr>
      <w:r>
        <w:rPr/>
        <w:t>Los Órganos del</w:t>
      </w:r>
      <w:r>
        <w:rPr>
          <w:spacing w:val="-1"/>
        </w:rPr>
        <w:t> </w:t>
      </w:r>
      <w:r>
        <w:rPr/>
        <w:t>Instituto del</w:t>
      </w:r>
      <w:r>
        <w:rPr>
          <w:spacing w:val="-1"/>
        </w:rPr>
        <w:t> </w:t>
      </w:r>
      <w:r>
        <w:rPr/>
        <w:t>Fondo Nacional de la Vivienda para los Trabajadores emitirán las demás disposiciones y realizará las reformas a su marco jurídico interno con el objeto de dar cumplimiento al presente Decreto, dentro de los trescientos sesenta días naturales siguientes al inicio de su vigencia.</w:t>
      </w:r>
    </w:p>
    <w:p>
      <w:pPr>
        <w:pStyle w:val="BodyText"/>
        <w:spacing w:before="227"/>
        <w:ind w:left="338" w:right="339" w:firstLine="288"/>
        <w:jc w:val="both"/>
      </w:pPr>
      <w:r>
        <w:rPr>
          <w:rFonts w:ascii="Arial" w:hAnsi="Arial"/>
          <w:b/>
        </w:rPr>
        <w:t>Séptimo.- </w:t>
      </w:r>
      <w:r>
        <w:rPr/>
        <w:t>El Instituto del Fondo Nacional de la Vivienda para los Trabajadores deberá continuar aplicando los presupuestos de ingresos y egresos, así como de gastos de administración, operación y vigilancia</w:t>
      </w:r>
      <w:r>
        <w:rPr>
          <w:spacing w:val="-2"/>
        </w:rPr>
        <w:t> </w:t>
      </w:r>
      <w:r>
        <w:rPr/>
        <w:t>aprobado</w:t>
      </w:r>
      <w:r>
        <w:rPr>
          <w:spacing w:val="-2"/>
        </w:rPr>
        <w:t> </w:t>
      </w:r>
      <w:r>
        <w:rPr/>
        <w:t>para</w:t>
      </w:r>
      <w:r>
        <w:rPr>
          <w:spacing w:val="-2"/>
        </w:rPr>
        <w:t> </w:t>
      </w:r>
      <w:r>
        <w:rPr/>
        <w:t>el ejercicio</w:t>
      </w:r>
      <w:r>
        <w:rPr>
          <w:spacing w:val="-2"/>
        </w:rPr>
        <w:t> </w:t>
      </w:r>
      <w:r>
        <w:rPr/>
        <w:t>2024,</w:t>
      </w:r>
      <w:r>
        <w:rPr>
          <w:spacing w:val="-2"/>
        </w:rPr>
        <w:t> </w:t>
      </w:r>
      <w:r>
        <w:rPr/>
        <w:t>con</w:t>
      </w:r>
      <w:r>
        <w:rPr>
          <w:spacing w:val="-3"/>
        </w:rPr>
        <w:t> </w:t>
      </w:r>
      <w:r>
        <w:rPr/>
        <w:t>efectos</w:t>
      </w:r>
      <w:r>
        <w:rPr>
          <w:spacing w:val="-1"/>
        </w:rPr>
        <w:t> </w:t>
      </w:r>
      <w:r>
        <w:rPr/>
        <w:t>al</w:t>
      </w:r>
      <w:r>
        <w:rPr>
          <w:spacing w:val="-3"/>
        </w:rPr>
        <w:t> </w:t>
      </w:r>
      <w:r>
        <w:rPr/>
        <w:t>primer</w:t>
      </w:r>
      <w:r>
        <w:rPr>
          <w:spacing w:val="-1"/>
        </w:rPr>
        <w:t> </w:t>
      </w:r>
      <w:r>
        <w:rPr/>
        <w:t>día</w:t>
      </w:r>
      <w:r>
        <w:rPr>
          <w:spacing w:val="-3"/>
        </w:rPr>
        <w:t> </w:t>
      </w:r>
      <w:r>
        <w:rPr/>
        <w:t>hábil</w:t>
      </w:r>
      <w:r>
        <w:rPr>
          <w:spacing w:val="-3"/>
        </w:rPr>
        <w:t> </w:t>
      </w:r>
      <w:r>
        <w:rPr/>
        <w:t>del</w:t>
      </w:r>
      <w:r>
        <w:rPr>
          <w:spacing w:val="-3"/>
        </w:rPr>
        <w:t> </w:t>
      </w:r>
      <w:r>
        <w:rPr/>
        <w:t>ejercicio</w:t>
      </w:r>
      <w:r>
        <w:rPr>
          <w:spacing w:val="-2"/>
        </w:rPr>
        <w:t> </w:t>
      </w:r>
      <w:r>
        <w:rPr/>
        <w:t>2025,</w:t>
      </w:r>
      <w:r>
        <w:rPr>
          <w:spacing w:val="-2"/>
        </w:rPr>
        <w:t> </w:t>
      </w:r>
      <w:r>
        <w:rPr/>
        <w:t>considerando la inflación estimada para esa anualidad, hasta que se renueve la integración de sus órganos de</w:t>
      </w:r>
      <w:r>
        <w:rPr>
          <w:spacing w:val="40"/>
        </w:rPr>
        <w:t> </w:t>
      </w:r>
      <w:r>
        <w:rPr/>
        <w:t>gobierno. Una vez cumplido lo anterior se someterá a la aprobación de la Asamblea General los presupuestos</w:t>
      </w:r>
      <w:r>
        <w:rPr>
          <w:spacing w:val="-1"/>
        </w:rPr>
        <w:t> </w:t>
      </w:r>
      <w:r>
        <w:rPr/>
        <w:t>de ingresos y</w:t>
      </w:r>
      <w:r>
        <w:rPr>
          <w:spacing w:val="-3"/>
        </w:rPr>
        <w:t> </w:t>
      </w:r>
      <w:r>
        <w:rPr/>
        <w:t>egresos,</w:t>
      </w:r>
      <w:r>
        <w:rPr>
          <w:spacing w:val="-2"/>
        </w:rPr>
        <w:t> </w:t>
      </w:r>
      <w:r>
        <w:rPr/>
        <w:t>así</w:t>
      </w:r>
      <w:r>
        <w:rPr>
          <w:spacing w:val="-2"/>
        </w:rPr>
        <w:t> </w:t>
      </w:r>
      <w:r>
        <w:rPr/>
        <w:t>como</w:t>
      </w:r>
      <w:r>
        <w:rPr>
          <w:spacing w:val="-2"/>
        </w:rPr>
        <w:t> </w:t>
      </w:r>
      <w:r>
        <w:rPr/>
        <w:t>de</w:t>
      </w:r>
      <w:r>
        <w:rPr>
          <w:spacing w:val="-3"/>
        </w:rPr>
        <w:t> </w:t>
      </w:r>
      <w:r>
        <w:rPr/>
        <w:t>gastos</w:t>
      </w:r>
      <w:r>
        <w:rPr>
          <w:spacing w:val="-1"/>
        </w:rPr>
        <w:t> </w:t>
      </w:r>
      <w:r>
        <w:rPr/>
        <w:t>de</w:t>
      </w:r>
      <w:r>
        <w:rPr>
          <w:spacing w:val="-3"/>
        </w:rPr>
        <w:t> </w:t>
      </w:r>
      <w:r>
        <w:rPr/>
        <w:t>administración, operación y</w:t>
      </w:r>
      <w:r>
        <w:rPr>
          <w:spacing w:val="-3"/>
        </w:rPr>
        <w:t> </w:t>
      </w:r>
      <w:r>
        <w:rPr/>
        <w:t>vigilancia</w:t>
      </w:r>
      <w:r>
        <w:rPr>
          <w:spacing w:val="-2"/>
        </w:rPr>
        <w:t> </w:t>
      </w:r>
      <w:r>
        <w:rPr/>
        <w:t>para</w:t>
      </w:r>
      <w:r>
        <w:rPr>
          <w:spacing w:val="-2"/>
        </w:rPr>
        <w:t> </w:t>
      </w:r>
      <w:r>
        <w:rPr/>
        <w:t>el ejercicio 2025 en la siguiente sesión ordinaria a la entrada en vigor del presente Decreto.</w:t>
      </w:r>
    </w:p>
    <w:p>
      <w:pPr>
        <w:pStyle w:val="BodyText"/>
        <w:spacing w:before="1"/>
      </w:pPr>
    </w:p>
    <w:p>
      <w:pPr>
        <w:pStyle w:val="BodyText"/>
        <w:ind w:left="338" w:right="336" w:firstLine="288"/>
        <w:jc w:val="both"/>
      </w:pPr>
      <w:r>
        <w:rPr>
          <w:rFonts w:ascii="Arial" w:hAnsi="Arial"/>
          <w:b/>
        </w:rPr>
        <w:t>Octavo.- </w:t>
      </w:r>
      <w:r>
        <w:rPr/>
        <w:t>La Secretaría de Hacienda y Crédito Público, auxiliada por la Comisión Nacional Bancaria y de Valores, dentro de un plazo de noventa días hábiles, contados a partir de la entrada en vigor del presente Decreto, deberá emitir las disposiciones en materia de crédito que serán aplicables al Instituto del</w:t>
      </w:r>
      <w:r>
        <w:rPr>
          <w:spacing w:val="-2"/>
        </w:rPr>
        <w:t> </w:t>
      </w:r>
      <w:r>
        <w:rPr/>
        <w:t>Fondo</w:t>
      </w:r>
      <w:r>
        <w:rPr>
          <w:spacing w:val="-1"/>
        </w:rPr>
        <w:t> </w:t>
      </w:r>
      <w:r>
        <w:rPr/>
        <w:t>Nacional</w:t>
      </w:r>
      <w:r>
        <w:rPr>
          <w:spacing w:val="-2"/>
        </w:rPr>
        <w:t> </w:t>
      </w:r>
      <w:r>
        <w:rPr/>
        <w:t>de la</w:t>
      </w:r>
      <w:r>
        <w:rPr>
          <w:spacing w:val="-1"/>
        </w:rPr>
        <w:t> </w:t>
      </w:r>
      <w:r>
        <w:rPr/>
        <w:t>Vivienda</w:t>
      </w:r>
      <w:r>
        <w:rPr>
          <w:spacing w:val="-1"/>
        </w:rPr>
        <w:t> </w:t>
      </w:r>
      <w:r>
        <w:rPr/>
        <w:t>para</w:t>
      </w:r>
      <w:r>
        <w:rPr>
          <w:spacing w:val="-1"/>
        </w:rPr>
        <w:t> </w:t>
      </w:r>
      <w:r>
        <w:rPr/>
        <w:t>los</w:t>
      </w:r>
      <w:r>
        <w:rPr>
          <w:spacing w:val="-2"/>
        </w:rPr>
        <w:t> </w:t>
      </w:r>
      <w:r>
        <w:rPr/>
        <w:t>Trabajadores</w:t>
      </w:r>
      <w:r>
        <w:rPr>
          <w:spacing w:val="-2"/>
        </w:rPr>
        <w:t> </w:t>
      </w:r>
      <w:r>
        <w:rPr/>
        <w:t>atendiendo</w:t>
      </w:r>
      <w:r>
        <w:rPr>
          <w:spacing w:val="-1"/>
        </w:rPr>
        <w:t> </w:t>
      </w:r>
      <w:r>
        <w:rPr/>
        <w:t>a</w:t>
      </w:r>
      <w:r>
        <w:rPr>
          <w:spacing w:val="-1"/>
        </w:rPr>
        <w:t> </w:t>
      </w:r>
      <w:r>
        <w:rPr/>
        <w:t>lo</w:t>
      </w:r>
      <w:r>
        <w:rPr>
          <w:spacing w:val="-1"/>
        </w:rPr>
        <w:t> </w:t>
      </w:r>
      <w:r>
        <w:rPr/>
        <w:t>dispuesto</w:t>
      </w:r>
      <w:r>
        <w:rPr>
          <w:spacing w:val="-3"/>
        </w:rPr>
        <w:t> </w:t>
      </w:r>
      <w:r>
        <w:rPr/>
        <w:t>por la</w:t>
      </w:r>
      <w:r>
        <w:rPr>
          <w:spacing w:val="-1"/>
        </w:rPr>
        <w:t> </w:t>
      </w:r>
      <w:r>
        <w:rPr/>
        <w:t>Ley</w:t>
      </w:r>
      <w:r>
        <w:rPr>
          <w:spacing w:val="-4"/>
        </w:rPr>
        <w:t> </w:t>
      </w:r>
      <w:r>
        <w:rPr/>
        <w:t>del</w:t>
      </w:r>
      <w:r>
        <w:rPr>
          <w:spacing w:val="-2"/>
        </w:rPr>
        <w:t> </w:t>
      </w:r>
      <w:r>
        <w:rPr/>
        <w:t>Instituto del Fondo Nacional de la Vivienda para los Trabajadores y a la naturaleza social de los fines de ese </w:t>
      </w:r>
      <w:r>
        <w:rPr>
          <w:spacing w:val="-2"/>
        </w:rPr>
        <w:t>Instituto.</w:t>
      </w:r>
    </w:p>
    <w:p>
      <w:pPr>
        <w:pStyle w:val="BodyText"/>
        <w:spacing w:before="3"/>
      </w:pPr>
    </w:p>
    <w:p>
      <w:pPr>
        <w:pStyle w:val="BodyText"/>
        <w:ind w:left="338" w:right="342" w:firstLine="288"/>
        <w:jc w:val="both"/>
      </w:pPr>
      <w:r>
        <w:rPr/>
        <w:t>El Instituto del Fondo Nacional de la Vivienda para los Trabajadores dentro de un plazo de noventa días hábiles, contados a partir de la emisión de las disposiciones a que se refiere el párrafo anterior, deberá proponer a su Asamblea General las políticas de organización de la contabilidad y auditoría interna a que se refiere el artículo 66, fracción IV, de la Ley del Instituto del Fondo Nacional de la</w:t>
      </w:r>
      <w:r>
        <w:rPr>
          <w:spacing w:val="40"/>
        </w:rPr>
        <w:t> </w:t>
      </w:r>
      <w:r>
        <w:rPr/>
        <w:t>Vivienda para los Trabajadores.</w:t>
      </w:r>
    </w:p>
    <w:p>
      <w:pPr>
        <w:pStyle w:val="BodyText"/>
      </w:pPr>
    </w:p>
    <w:p>
      <w:pPr>
        <w:pStyle w:val="BodyText"/>
        <w:spacing w:before="1"/>
        <w:ind w:left="338" w:right="345" w:firstLine="288"/>
        <w:jc w:val="both"/>
      </w:pPr>
      <w:r>
        <w:rPr/>
        <w:t>Para el ejercicio 2025, continuarán vigentes aquellas normas y sistemas previos a la entrada en vigor del presente Decreto.</w:t>
      </w:r>
    </w:p>
    <w:p>
      <w:pPr>
        <w:pStyle w:val="BodyText"/>
        <w:spacing w:before="226"/>
        <w:ind w:left="338" w:right="339" w:firstLine="288"/>
        <w:jc w:val="both"/>
      </w:pPr>
      <w:r>
        <w:rPr>
          <w:rFonts w:ascii="Arial" w:hAnsi="Arial"/>
          <w:b/>
        </w:rPr>
        <w:t>Noveno.- </w:t>
      </w:r>
      <w:r>
        <w:rPr/>
        <w:t>El Consejo de Administración del Instituto del Fondo Nacional de la Vivienda para los Trabajadores, en un plazo de ciento ochenta días siguientes a la entrada en vigor del presente Decreto, deberá establecer el programa de extinción de gravámenes y cancelación de inscripciones registrales, autorizando la asignación de</w:t>
      </w:r>
      <w:r>
        <w:rPr>
          <w:spacing w:val="-2"/>
        </w:rPr>
        <w:t> </w:t>
      </w:r>
      <w:r>
        <w:rPr/>
        <w:t>recursos</w:t>
      </w:r>
      <w:r>
        <w:rPr>
          <w:spacing w:val="-1"/>
        </w:rPr>
        <w:t> </w:t>
      </w:r>
      <w:r>
        <w:rPr/>
        <w:t>económicos</w:t>
      </w:r>
      <w:r>
        <w:rPr>
          <w:spacing w:val="-1"/>
        </w:rPr>
        <w:t> </w:t>
      </w:r>
      <w:r>
        <w:rPr/>
        <w:t>necesarios para gestionar</w:t>
      </w:r>
      <w:r>
        <w:rPr>
          <w:spacing w:val="-1"/>
        </w:rPr>
        <w:t> </w:t>
      </w:r>
      <w:r>
        <w:rPr/>
        <w:t>su</w:t>
      </w:r>
      <w:r>
        <w:rPr>
          <w:spacing w:val="-2"/>
        </w:rPr>
        <w:t> </w:t>
      </w:r>
      <w:r>
        <w:rPr/>
        <w:t>celebración y</w:t>
      </w:r>
      <w:r>
        <w:rPr>
          <w:spacing w:val="-3"/>
        </w:rPr>
        <w:t> </w:t>
      </w:r>
      <w:r>
        <w:rPr/>
        <w:t>entrega de los instrumentos correspondientes a cualquier acreditado del propio Instituto, en términos del artículo 44 de la Ley del Instituto del Fondo Nacional de la Vivienda para los Trabajadores.</w:t>
      </w:r>
    </w:p>
    <w:p>
      <w:pPr>
        <w:pStyle w:val="BodyText"/>
        <w:spacing w:after="0"/>
        <w:jc w:val="both"/>
        <w:sectPr>
          <w:pgSz w:w="12240" w:h="15840"/>
          <w:pgMar w:header="724" w:footer="712" w:top="1880" w:bottom="900" w:left="1080" w:right="1080"/>
        </w:sectPr>
      </w:pPr>
    </w:p>
    <w:p>
      <w:pPr>
        <w:pStyle w:val="BodyText"/>
      </w:pPr>
    </w:p>
    <w:p>
      <w:pPr>
        <w:pStyle w:val="BodyText"/>
        <w:spacing w:before="66"/>
      </w:pPr>
    </w:p>
    <w:p>
      <w:pPr>
        <w:pStyle w:val="BodyText"/>
        <w:ind w:left="338" w:right="339" w:firstLine="288"/>
        <w:jc w:val="both"/>
      </w:pPr>
      <w:r>
        <w:rPr/>
        <w:t>La persona titular de la Dirección General del Instituto del Fondo Nacional de la Vivienda para los Trabajadores deberá</w:t>
      </w:r>
      <w:r>
        <w:rPr>
          <w:spacing w:val="-2"/>
        </w:rPr>
        <w:t> </w:t>
      </w:r>
      <w:r>
        <w:rPr/>
        <w:t>coordinarse</w:t>
      </w:r>
      <w:r>
        <w:rPr>
          <w:spacing w:val="-2"/>
        </w:rPr>
        <w:t> </w:t>
      </w:r>
      <w:r>
        <w:rPr/>
        <w:t>con</w:t>
      </w:r>
      <w:r>
        <w:rPr>
          <w:spacing w:val="-2"/>
        </w:rPr>
        <w:t> </w:t>
      </w:r>
      <w:r>
        <w:rPr/>
        <w:t>las</w:t>
      </w:r>
      <w:r>
        <w:rPr>
          <w:spacing w:val="-1"/>
        </w:rPr>
        <w:t> </w:t>
      </w:r>
      <w:r>
        <w:rPr/>
        <w:t>autoridades</w:t>
      </w:r>
      <w:r>
        <w:rPr>
          <w:spacing w:val="-1"/>
        </w:rPr>
        <w:t> </w:t>
      </w:r>
      <w:r>
        <w:rPr/>
        <w:t>locales y</w:t>
      </w:r>
      <w:r>
        <w:rPr>
          <w:spacing w:val="-4"/>
        </w:rPr>
        <w:t> </w:t>
      </w:r>
      <w:r>
        <w:rPr/>
        <w:t>municipales competentes</w:t>
      </w:r>
      <w:r>
        <w:rPr>
          <w:spacing w:val="-1"/>
        </w:rPr>
        <w:t> </w:t>
      </w:r>
      <w:r>
        <w:rPr/>
        <w:t>para</w:t>
      </w:r>
      <w:r>
        <w:rPr>
          <w:spacing w:val="-2"/>
        </w:rPr>
        <w:t> </w:t>
      </w:r>
      <w:r>
        <w:rPr/>
        <w:t>procurar</w:t>
      </w:r>
      <w:r>
        <w:rPr>
          <w:spacing w:val="-1"/>
        </w:rPr>
        <w:t> </w:t>
      </w:r>
      <w:r>
        <w:rPr/>
        <w:t>la celebración de convenios con el objeto de que le brinde facilidades administrativas y beneficios fiscales que requiera el Instituto para la operación del programa, buscando la atención expedita de las personas trabajadoras derechohabientes y el uso eficiente de los recursos del Fondo Nacional de la Vivienda.</w:t>
      </w:r>
    </w:p>
    <w:p>
      <w:pPr>
        <w:pStyle w:val="BodyText"/>
        <w:spacing w:line="242" w:lineRule="auto" w:before="227"/>
        <w:ind w:left="338" w:right="345" w:firstLine="288"/>
        <w:jc w:val="both"/>
      </w:pPr>
      <w:r>
        <w:rPr>
          <w:rFonts w:ascii="Arial" w:hAnsi="Arial"/>
          <w:b/>
        </w:rPr>
        <w:t>Décimo.- </w:t>
      </w:r>
      <w:r>
        <w:rPr/>
        <w:t>Los derechos laborales de las personas trabajadoras que formen parte de los órganos que se extinguen con motivo de este Decreto serán respetados en términos de las disposiciones aplicables.</w:t>
      </w:r>
    </w:p>
    <w:p>
      <w:pPr>
        <w:pStyle w:val="BodyText"/>
        <w:spacing w:before="227"/>
        <w:ind w:left="338" w:right="344" w:firstLine="288"/>
        <w:jc w:val="both"/>
      </w:pPr>
      <w:r>
        <w:rPr>
          <w:rFonts w:ascii="Arial" w:hAnsi="Arial"/>
          <w:b/>
        </w:rPr>
        <w:t>Décimo Primero.- </w:t>
      </w:r>
      <w:r>
        <w:rPr/>
        <w:t>El Instituto del Fondo Nacional de la Vivienda para los Trabajadores, a partir de la entrada en vigor del presente Decreto, deberá mantener la mensualidad de los créditos que hubiere otorgado al monto correspondiente al cierre del ejercicio 2024 y a partir del ejercicio 2025 deberá aplicar una actualización equivalente al cero por ciento.</w:t>
      </w:r>
    </w:p>
    <w:p>
      <w:pPr>
        <w:pStyle w:val="BodyText"/>
      </w:pPr>
    </w:p>
    <w:p>
      <w:pPr>
        <w:pStyle w:val="BodyText"/>
        <w:ind w:left="338" w:right="336" w:firstLine="288"/>
        <w:jc w:val="both"/>
      </w:pPr>
      <w:r>
        <w:rPr>
          <w:rFonts w:ascii="Arial" w:hAnsi="Arial"/>
          <w:b/>
        </w:rPr>
        <w:t>Décimo Segundo.- </w:t>
      </w:r>
      <w:r>
        <w:rPr/>
        <w:t>A partir de la entrada en vigor del presente Decreto, quedarán canceladas todas las resoluciones por las que se aprueben proyectos colectivos de crédito en línea tres a la construcción</w:t>
      </w:r>
      <w:r>
        <w:rPr>
          <w:spacing w:val="40"/>
        </w:rPr>
        <w:t> </w:t>
      </w:r>
      <w:r>
        <w:rPr/>
        <w:t>de vivienda que el Consejo de Administración del Instituto del Fondo Nacional de la Vivienda para los Trabajadores haya adoptado con anterioridad al 1 de julio de 2023; sus promoventes podrán presentar nuevamente sus proyectos o las etapas remanentes de estos, para su actualización o aprobación en términos del artículo 42, cuarto párrafo de la Ley del Instituto del Fondo Nacional de la Vivienda para los </w:t>
      </w:r>
      <w:r>
        <w:rPr>
          <w:spacing w:val="-2"/>
        </w:rPr>
        <w:t>Trabajadores.</w:t>
      </w:r>
    </w:p>
    <w:p>
      <w:pPr>
        <w:pStyle w:val="BodyText"/>
        <w:spacing w:before="1"/>
      </w:pPr>
    </w:p>
    <w:p>
      <w:pPr>
        <w:pStyle w:val="BodyText"/>
        <w:ind w:left="338" w:right="337" w:firstLine="288"/>
        <w:jc w:val="both"/>
      </w:pPr>
      <w:r>
        <w:rPr/>
        <w:t>En su caso, el Instituto del Fondo Nacional de la Vivienda para los Trabajadores deberá restituir en la subcuenta de vivienda de las personas trabajadoras derechohabientes las cantidades que les correspondan por la amortización del crédito otorgado y deberá permitirles tramitar un nuevo crédito, siempre que cumplan con los requisitos a que se refiere la ley.</w:t>
      </w:r>
    </w:p>
    <w:p>
      <w:pPr>
        <w:pStyle w:val="BodyText"/>
        <w:spacing w:before="3"/>
      </w:pPr>
    </w:p>
    <w:p>
      <w:pPr>
        <w:pStyle w:val="BodyText"/>
        <w:ind w:left="338" w:right="340" w:firstLine="288"/>
        <w:jc w:val="both"/>
      </w:pPr>
      <w:r>
        <w:rPr/>
        <w:t>Los desarrolladores o constructores y entidades administradoras de los proyectos contarán con un plazo de treinta días hábiles, contados a partir de la entrada en vigor del presente Decreto, para entregar al Instituto del Fondo Nacional de la Vivienda para los Trabajadores sin necesidad de resolución judicial las cantidades, intereses y penas convencionales que tuvieren en custodia, correspondientes a los créditos de las personas trabajadoras derechohabientes que hubieren adquirido un predio destinado a construcción dentro de alguno de los proyectos cuyas autorizaciones resulten canceladas.</w:t>
      </w:r>
    </w:p>
    <w:p>
      <w:pPr>
        <w:pStyle w:val="BodyText"/>
        <w:spacing w:before="228"/>
        <w:ind w:left="338" w:right="335" w:firstLine="288"/>
        <w:jc w:val="both"/>
      </w:pPr>
      <w:r>
        <w:rPr/>
        <w:t>Las personas trabajadoras derechohabientes contarán con un plazo de noventa días hábiles,</w:t>
      </w:r>
      <w:r>
        <w:rPr>
          <w:spacing w:val="40"/>
        </w:rPr>
        <w:t> </w:t>
      </w:r>
      <w:r>
        <w:rPr/>
        <w:t>contados a partir de la entrada en vigor del presente Decreto, para transmitir al Instituto del Fondo Nacional de la Vivienda para los Trabajadores la propiedad de los inmuebles que hubieren adquirido con un crédito en línea tres, en los términos del presente transitorio.</w:t>
      </w:r>
    </w:p>
    <w:p>
      <w:pPr>
        <w:pStyle w:val="BodyText"/>
        <w:spacing w:before="227"/>
        <w:ind w:left="338" w:right="334" w:firstLine="288"/>
        <w:jc w:val="both"/>
        <w:rPr>
          <w:rFonts w:ascii="Arial" w:hAnsi="Arial"/>
          <w:b/>
        </w:rPr>
      </w:pPr>
      <w:r>
        <w:rPr>
          <w:rFonts w:ascii="Arial" w:hAnsi="Arial"/>
          <w:b/>
        </w:rPr>
        <w:t>Ciudad de México, a 13 de febrero de 2025</w:t>
      </w:r>
      <w:r>
        <w:rPr/>
        <w:t>.- Dip. Sergio Carlos Gutiérrez Luna, Presidente.- Sen. Gerardo Fernández Noroña, Presidente.- Dip. José Luis Montalvo Luna, Secretario.- Sen. Verónica</w:t>
      </w:r>
      <w:r>
        <w:rPr>
          <w:spacing w:val="40"/>
        </w:rPr>
        <w:t> </w:t>
      </w:r>
      <w:r>
        <w:rPr/>
        <w:t>Noemí Camino Farjat, Secretaria.- Rúbricas.</w:t>
      </w:r>
      <w:r>
        <w:rPr>
          <w:rFonts w:ascii="Arial" w:hAnsi="Arial"/>
          <w:b/>
        </w:rPr>
        <w:t>"</w:t>
      </w:r>
    </w:p>
    <w:p>
      <w:pPr>
        <w:pStyle w:val="BodyText"/>
        <w:spacing w:before="5"/>
        <w:rPr>
          <w:rFonts w:ascii="Arial"/>
          <w:b/>
        </w:rPr>
      </w:pPr>
    </w:p>
    <w:p>
      <w:pPr>
        <w:pStyle w:val="BodyText"/>
        <w:ind w:left="338" w:right="3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20 de febrero de 2025.-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sectPr>
      <w:pgSz w:w="12240" w:h="15840"/>
      <w:pgMar w:header="724" w:footer="712" w:top="1880" w:bottom="9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 w:name="Tahoma">
    <w:altName w:val="Tahoma"/>
    <w:charset w:val="1"/>
    <w:family w:val="swiss"/>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77003776">
              <wp:simplePos x="0" y="0"/>
              <wp:positionH relativeFrom="page">
                <wp:posOffset>3619627</wp:posOffset>
              </wp:positionH>
              <wp:positionV relativeFrom="page">
                <wp:posOffset>9466529</wp:posOffset>
              </wp:positionV>
              <wp:extent cx="534035"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34035"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2"/>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450</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5.010010pt;margin-top:745.395996pt;width:42.05pt;height:12pt;mso-position-horizontal-relative:page;mso-position-vertical-relative:page;z-index:-26312704"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2"/>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450</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77001216">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77001728">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26314752"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77002240">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5879" w:val="left" w:leader="none"/>
                            </w:tabs>
                            <w:spacing w:before="21"/>
                            <w:ind w:left="20" w:right="0" w:firstLine="0"/>
                            <w:jc w:val="left"/>
                            <w:rPr>
                              <w:rFonts w:ascii="Tahoma"/>
                              <w:b/>
                              <w:sz w:val="16"/>
                            </w:rPr>
                          </w:pPr>
                          <w:r>
                            <w:rPr>
                              <w:rFonts w:ascii="Tahoma"/>
                              <w:b/>
                              <w:sz w:val="16"/>
                              <w:u w:val="single"/>
                            </w:rPr>
                            <w:tab/>
                            <w:t>LEY</w:t>
                          </w:r>
                          <w:r>
                            <w:rPr>
                              <w:rFonts w:ascii="Tahoma"/>
                              <w:b/>
                              <w:spacing w:val="-5"/>
                              <w:sz w:val="16"/>
                              <w:u w:val="single"/>
                            </w:rPr>
                            <w:t> </w:t>
                          </w:r>
                          <w:r>
                            <w:rPr>
                              <w:rFonts w:ascii="Tahoma"/>
                              <w:b/>
                              <w:sz w:val="16"/>
                              <w:u w:val="single"/>
                            </w:rPr>
                            <w:t>FEDERAL</w:t>
                          </w:r>
                          <w:r>
                            <w:rPr>
                              <w:rFonts w:ascii="Tahoma"/>
                              <w:b/>
                              <w:spacing w:val="-5"/>
                              <w:sz w:val="16"/>
                              <w:u w:val="single"/>
                            </w:rPr>
                            <w:t> </w:t>
                          </w:r>
                          <w:r>
                            <w:rPr>
                              <w:rFonts w:ascii="Tahoma"/>
                              <w:b/>
                              <w:sz w:val="16"/>
                              <w:u w:val="single"/>
                            </w:rPr>
                            <w:t>DEL</w:t>
                          </w:r>
                          <w:r>
                            <w:rPr>
                              <w:rFonts w:ascii="Tahoma"/>
                              <w:b/>
                              <w:spacing w:val="-6"/>
                              <w:sz w:val="16"/>
                              <w:u w:val="single"/>
                            </w:rPr>
                            <w:t> </w:t>
                          </w:r>
                          <w:r>
                            <w:rPr>
                              <w:rFonts w:ascii="Tahoma"/>
                              <w:b/>
                              <w:spacing w:val="-2"/>
                              <w:sz w:val="16"/>
                              <w:u w:val="single"/>
                            </w:rPr>
                            <w:t>TRABAJO</w:t>
                          </w:r>
                          <w:r>
                            <w:rPr>
                              <w:rFonts w:ascii="Tahoma"/>
                              <w:b/>
                              <w:spacing w:val="4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26314240" type="#_x0000_t202" id="docshape2" filled="false" stroked="false">
              <v:textbox inset="0,0,0,0">
                <w:txbxContent>
                  <w:p>
                    <w:pPr>
                      <w:tabs>
                        <w:tab w:pos="5879" w:val="left" w:leader="none"/>
                      </w:tabs>
                      <w:spacing w:before="21"/>
                      <w:ind w:left="20" w:right="0" w:firstLine="0"/>
                      <w:jc w:val="left"/>
                      <w:rPr>
                        <w:rFonts w:ascii="Tahoma"/>
                        <w:b/>
                        <w:sz w:val="16"/>
                      </w:rPr>
                    </w:pPr>
                    <w:r>
                      <w:rPr>
                        <w:rFonts w:ascii="Tahoma"/>
                        <w:b/>
                        <w:sz w:val="16"/>
                        <w:u w:val="single"/>
                      </w:rPr>
                      <w:tab/>
                      <w:t>LEY</w:t>
                    </w:r>
                    <w:r>
                      <w:rPr>
                        <w:rFonts w:ascii="Tahoma"/>
                        <w:b/>
                        <w:spacing w:val="-5"/>
                        <w:sz w:val="16"/>
                        <w:u w:val="single"/>
                      </w:rPr>
                      <w:t> </w:t>
                    </w:r>
                    <w:r>
                      <w:rPr>
                        <w:rFonts w:ascii="Tahoma"/>
                        <w:b/>
                        <w:sz w:val="16"/>
                        <w:u w:val="single"/>
                      </w:rPr>
                      <w:t>FEDERAL</w:t>
                    </w:r>
                    <w:r>
                      <w:rPr>
                        <w:rFonts w:ascii="Tahoma"/>
                        <w:b/>
                        <w:spacing w:val="-5"/>
                        <w:sz w:val="16"/>
                        <w:u w:val="single"/>
                      </w:rPr>
                      <w:t> </w:t>
                    </w:r>
                    <w:r>
                      <w:rPr>
                        <w:rFonts w:ascii="Tahoma"/>
                        <w:b/>
                        <w:sz w:val="16"/>
                        <w:u w:val="single"/>
                      </w:rPr>
                      <w:t>DEL</w:t>
                    </w:r>
                    <w:r>
                      <w:rPr>
                        <w:rFonts w:ascii="Tahoma"/>
                        <w:b/>
                        <w:spacing w:val="-6"/>
                        <w:sz w:val="16"/>
                        <w:u w:val="single"/>
                      </w:rPr>
                      <w:t> </w:t>
                    </w:r>
                    <w:r>
                      <w:rPr>
                        <w:rFonts w:ascii="Tahoma"/>
                        <w:b/>
                        <w:spacing w:val="-2"/>
                        <w:sz w:val="16"/>
                        <w:u w:val="single"/>
                      </w:rPr>
                      <w:t>TRABAJO</w:t>
                    </w:r>
                    <w:r>
                      <w:rPr>
                        <w:rFonts w:ascii="Tahoma"/>
                        <w:b/>
                        <w:spacing w:val="4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77002752">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26313728"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77003264">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21-02-</w:t>
                          </w:r>
                          <w:r>
                            <w:rPr>
                              <w:rFonts w:ascii="Arial" w:hAnsi="Arial"/>
                              <w:i/>
                              <w:color w:val="171717"/>
                              <w:spacing w:val="-4"/>
                              <w:sz w:val="14"/>
                            </w:rPr>
                            <w:t>2025</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26313216"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21-02-</w:t>
                    </w:r>
                    <w:r>
                      <w:rPr>
                        <w:rFonts w:ascii="Arial" w:hAnsi="Arial"/>
                        <w:i/>
                        <w:color w:val="171717"/>
                        <w:spacing w:val="-4"/>
                        <w:sz w:val="14"/>
                      </w:rPr>
                      <w:t>2025</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5">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59" w:hanging="233"/>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884" w:hanging="233"/>
      </w:pPr>
      <w:rPr>
        <w:rFonts w:hint="default"/>
        <w:lang w:val="es-ES" w:eastAsia="en-US" w:bidi="ar-SA"/>
      </w:rPr>
    </w:lvl>
    <w:lvl w:ilvl="3">
      <w:start w:val="0"/>
      <w:numFmt w:val="bullet"/>
      <w:lvlText w:val="•"/>
      <w:lvlJc w:val="left"/>
      <w:pPr>
        <w:ind w:left="2908" w:hanging="233"/>
      </w:pPr>
      <w:rPr>
        <w:rFonts w:hint="default"/>
        <w:lang w:val="es-ES" w:eastAsia="en-US" w:bidi="ar-SA"/>
      </w:rPr>
    </w:lvl>
    <w:lvl w:ilvl="4">
      <w:start w:val="0"/>
      <w:numFmt w:val="bullet"/>
      <w:lvlText w:val="•"/>
      <w:lvlJc w:val="left"/>
      <w:pPr>
        <w:ind w:left="3933" w:hanging="233"/>
      </w:pPr>
      <w:rPr>
        <w:rFonts w:hint="default"/>
        <w:lang w:val="es-ES" w:eastAsia="en-US" w:bidi="ar-SA"/>
      </w:rPr>
    </w:lvl>
    <w:lvl w:ilvl="5">
      <w:start w:val="0"/>
      <w:numFmt w:val="bullet"/>
      <w:lvlText w:val="•"/>
      <w:lvlJc w:val="left"/>
      <w:pPr>
        <w:ind w:left="4957" w:hanging="233"/>
      </w:pPr>
      <w:rPr>
        <w:rFonts w:hint="default"/>
        <w:lang w:val="es-ES" w:eastAsia="en-US" w:bidi="ar-SA"/>
      </w:rPr>
    </w:lvl>
    <w:lvl w:ilvl="6">
      <w:start w:val="0"/>
      <w:numFmt w:val="bullet"/>
      <w:lvlText w:val="•"/>
      <w:lvlJc w:val="left"/>
      <w:pPr>
        <w:ind w:left="5982" w:hanging="233"/>
      </w:pPr>
      <w:rPr>
        <w:rFonts w:hint="default"/>
        <w:lang w:val="es-ES" w:eastAsia="en-US" w:bidi="ar-SA"/>
      </w:rPr>
    </w:lvl>
    <w:lvl w:ilvl="7">
      <w:start w:val="0"/>
      <w:numFmt w:val="bullet"/>
      <w:lvlText w:val="•"/>
      <w:lvlJc w:val="left"/>
      <w:pPr>
        <w:ind w:left="7006" w:hanging="233"/>
      </w:pPr>
      <w:rPr>
        <w:rFonts w:hint="default"/>
        <w:lang w:val="es-ES" w:eastAsia="en-US" w:bidi="ar-SA"/>
      </w:rPr>
    </w:lvl>
    <w:lvl w:ilvl="8">
      <w:start w:val="0"/>
      <w:numFmt w:val="bullet"/>
      <w:lvlText w:val="•"/>
      <w:lvlJc w:val="left"/>
      <w:pPr>
        <w:ind w:left="8031" w:hanging="233"/>
      </w:pPr>
      <w:rPr>
        <w:rFonts w:hint="default"/>
        <w:lang w:val="es-ES" w:eastAsia="en-US" w:bidi="ar-SA"/>
      </w:rPr>
    </w:lvl>
  </w:abstractNum>
  <w:abstractNum w:abstractNumId="366">
    <w:multiLevelType w:val="hybridMultilevel"/>
    <w:lvl w:ilvl="0">
      <w:start w:val="1"/>
      <w:numFmt w:val="upperRoman"/>
      <w:lvlText w:val="%1."/>
      <w:lvlJc w:val="left"/>
      <w:pPr>
        <w:ind w:left="338" w:hanging="23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6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684" w:hanging="567"/>
      </w:pPr>
      <w:rPr>
        <w:rFonts w:hint="default"/>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364">
    <w:multiLevelType w:val="hybridMultilevel"/>
    <w:lvl w:ilvl="0">
      <w:start w:val="12"/>
      <w:numFmt w:val="upperRoman"/>
      <w:lvlText w:val="%1"/>
      <w:lvlJc w:val="left"/>
      <w:pPr>
        <w:ind w:left="660" w:hanging="322"/>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602" w:hanging="322"/>
      </w:pPr>
      <w:rPr>
        <w:rFonts w:hint="default"/>
        <w:lang w:val="es-ES" w:eastAsia="en-US" w:bidi="ar-SA"/>
      </w:rPr>
    </w:lvl>
    <w:lvl w:ilvl="2">
      <w:start w:val="0"/>
      <w:numFmt w:val="bullet"/>
      <w:lvlText w:val="•"/>
      <w:lvlJc w:val="left"/>
      <w:pPr>
        <w:ind w:left="2544" w:hanging="322"/>
      </w:pPr>
      <w:rPr>
        <w:rFonts w:hint="default"/>
        <w:lang w:val="es-ES" w:eastAsia="en-US" w:bidi="ar-SA"/>
      </w:rPr>
    </w:lvl>
    <w:lvl w:ilvl="3">
      <w:start w:val="0"/>
      <w:numFmt w:val="bullet"/>
      <w:lvlText w:val="•"/>
      <w:lvlJc w:val="left"/>
      <w:pPr>
        <w:ind w:left="3486" w:hanging="322"/>
      </w:pPr>
      <w:rPr>
        <w:rFonts w:hint="default"/>
        <w:lang w:val="es-ES" w:eastAsia="en-US" w:bidi="ar-SA"/>
      </w:rPr>
    </w:lvl>
    <w:lvl w:ilvl="4">
      <w:start w:val="0"/>
      <w:numFmt w:val="bullet"/>
      <w:lvlText w:val="•"/>
      <w:lvlJc w:val="left"/>
      <w:pPr>
        <w:ind w:left="4428" w:hanging="322"/>
      </w:pPr>
      <w:rPr>
        <w:rFonts w:hint="default"/>
        <w:lang w:val="es-ES" w:eastAsia="en-US" w:bidi="ar-SA"/>
      </w:rPr>
    </w:lvl>
    <w:lvl w:ilvl="5">
      <w:start w:val="0"/>
      <w:numFmt w:val="bullet"/>
      <w:lvlText w:val="•"/>
      <w:lvlJc w:val="left"/>
      <w:pPr>
        <w:ind w:left="5370" w:hanging="322"/>
      </w:pPr>
      <w:rPr>
        <w:rFonts w:hint="default"/>
        <w:lang w:val="es-ES" w:eastAsia="en-US" w:bidi="ar-SA"/>
      </w:rPr>
    </w:lvl>
    <w:lvl w:ilvl="6">
      <w:start w:val="0"/>
      <w:numFmt w:val="bullet"/>
      <w:lvlText w:val="•"/>
      <w:lvlJc w:val="left"/>
      <w:pPr>
        <w:ind w:left="6312" w:hanging="322"/>
      </w:pPr>
      <w:rPr>
        <w:rFonts w:hint="default"/>
        <w:lang w:val="es-ES" w:eastAsia="en-US" w:bidi="ar-SA"/>
      </w:rPr>
    </w:lvl>
    <w:lvl w:ilvl="7">
      <w:start w:val="0"/>
      <w:numFmt w:val="bullet"/>
      <w:lvlText w:val="•"/>
      <w:lvlJc w:val="left"/>
      <w:pPr>
        <w:ind w:left="7254" w:hanging="322"/>
      </w:pPr>
      <w:rPr>
        <w:rFonts w:hint="default"/>
        <w:lang w:val="es-ES" w:eastAsia="en-US" w:bidi="ar-SA"/>
      </w:rPr>
    </w:lvl>
    <w:lvl w:ilvl="8">
      <w:start w:val="0"/>
      <w:numFmt w:val="bullet"/>
      <w:lvlText w:val="•"/>
      <w:lvlJc w:val="left"/>
      <w:pPr>
        <w:ind w:left="8196" w:hanging="322"/>
      </w:pPr>
      <w:rPr>
        <w:rFonts w:hint="default"/>
        <w:lang w:val="es-ES" w:eastAsia="en-US" w:bidi="ar-SA"/>
      </w:rPr>
    </w:lvl>
  </w:abstractNum>
  <w:abstractNum w:abstractNumId="36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6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61">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6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59">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358">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357">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56">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55">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5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6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84" w:hanging="567"/>
      </w:pPr>
      <w:rPr>
        <w:rFonts w:hint="default"/>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35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5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51">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6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84" w:hanging="567"/>
      </w:pPr>
      <w:rPr>
        <w:rFonts w:hint="default"/>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350">
    <w:multiLevelType w:val="hybridMultilevel"/>
    <w:lvl w:ilvl="0">
      <w:start w:val="2"/>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49">
    <w:multiLevelType w:val="hybridMultilevel"/>
    <w:lvl w:ilvl="0">
      <w:start w:val="2"/>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48">
    <w:multiLevelType w:val="hybridMultilevel"/>
    <w:lvl w:ilvl="0">
      <w:start w:val="2"/>
      <w:numFmt w:val="upperRoman"/>
      <w:lvlText w:val="%1."/>
      <w:lvlJc w:val="left"/>
      <w:pPr>
        <w:ind w:left="1762"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92" w:hanging="567"/>
      </w:pPr>
      <w:rPr>
        <w:rFonts w:hint="default"/>
        <w:lang w:val="es-ES" w:eastAsia="en-US" w:bidi="ar-SA"/>
      </w:rPr>
    </w:lvl>
    <w:lvl w:ilvl="2">
      <w:start w:val="0"/>
      <w:numFmt w:val="bullet"/>
      <w:lvlText w:val="•"/>
      <w:lvlJc w:val="left"/>
      <w:pPr>
        <w:ind w:left="3424" w:hanging="567"/>
      </w:pPr>
      <w:rPr>
        <w:rFonts w:hint="default"/>
        <w:lang w:val="es-ES" w:eastAsia="en-US" w:bidi="ar-SA"/>
      </w:rPr>
    </w:lvl>
    <w:lvl w:ilvl="3">
      <w:start w:val="0"/>
      <w:numFmt w:val="bullet"/>
      <w:lvlText w:val="•"/>
      <w:lvlJc w:val="left"/>
      <w:pPr>
        <w:ind w:left="4256" w:hanging="567"/>
      </w:pPr>
      <w:rPr>
        <w:rFonts w:hint="default"/>
        <w:lang w:val="es-ES" w:eastAsia="en-US" w:bidi="ar-SA"/>
      </w:rPr>
    </w:lvl>
    <w:lvl w:ilvl="4">
      <w:start w:val="0"/>
      <w:numFmt w:val="bullet"/>
      <w:lvlText w:val="•"/>
      <w:lvlJc w:val="left"/>
      <w:pPr>
        <w:ind w:left="5088" w:hanging="567"/>
      </w:pPr>
      <w:rPr>
        <w:rFonts w:hint="default"/>
        <w:lang w:val="es-ES" w:eastAsia="en-US" w:bidi="ar-SA"/>
      </w:rPr>
    </w:lvl>
    <w:lvl w:ilvl="5">
      <w:start w:val="0"/>
      <w:numFmt w:val="bullet"/>
      <w:lvlText w:val="•"/>
      <w:lvlJc w:val="left"/>
      <w:pPr>
        <w:ind w:left="5920" w:hanging="567"/>
      </w:pPr>
      <w:rPr>
        <w:rFonts w:hint="default"/>
        <w:lang w:val="es-ES" w:eastAsia="en-US" w:bidi="ar-SA"/>
      </w:rPr>
    </w:lvl>
    <w:lvl w:ilvl="6">
      <w:start w:val="0"/>
      <w:numFmt w:val="bullet"/>
      <w:lvlText w:val="•"/>
      <w:lvlJc w:val="left"/>
      <w:pPr>
        <w:ind w:left="6752" w:hanging="567"/>
      </w:pPr>
      <w:rPr>
        <w:rFonts w:hint="default"/>
        <w:lang w:val="es-ES" w:eastAsia="en-US" w:bidi="ar-SA"/>
      </w:rPr>
    </w:lvl>
    <w:lvl w:ilvl="7">
      <w:start w:val="0"/>
      <w:numFmt w:val="bullet"/>
      <w:lvlText w:val="•"/>
      <w:lvlJc w:val="left"/>
      <w:pPr>
        <w:ind w:left="7584" w:hanging="567"/>
      </w:pPr>
      <w:rPr>
        <w:rFonts w:hint="default"/>
        <w:lang w:val="es-ES" w:eastAsia="en-US" w:bidi="ar-SA"/>
      </w:rPr>
    </w:lvl>
    <w:lvl w:ilvl="8">
      <w:start w:val="0"/>
      <w:numFmt w:val="bullet"/>
      <w:lvlText w:val="•"/>
      <w:lvlJc w:val="left"/>
      <w:pPr>
        <w:ind w:left="8416" w:hanging="567"/>
      </w:pPr>
      <w:rPr>
        <w:rFonts w:hint="default"/>
        <w:lang w:val="es-ES" w:eastAsia="en-US" w:bidi="ar-SA"/>
      </w:rPr>
    </w:lvl>
  </w:abstractNum>
  <w:abstractNum w:abstractNumId="347">
    <w:multiLevelType w:val="hybridMultilevel"/>
    <w:lvl w:ilvl="0">
      <w:start w:val="2"/>
      <w:numFmt w:val="upperRoman"/>
      <w:lvlText w:val="%1."/>
      <w:lvlJc w:val="left"/>
      <w:pPr>
        <w:ind w:left="1762"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92" w:hanging="567"/>
      </w:pPr>
      <w:rPr>
        <w:rFonts w:hint="default"/>
        <w:lang w:val="es-ES" w:eastAsia="en-US" w:bidi="ar-SA"/>
      </w:rPr>
    </w:lvl>
    <w:lvl w:ilvl="2">
      <w:start w:val="0"/>
      <w:numFmt w:val="bullet"/>
      <w:lvlText w:val="•"/>
      <w:lvlJc w:val="left"/>
      <w:pPr>
        <w:ind w:left="3424" w:hanging="567"/>
      </w:pPr>
      <w:rPr>
        <w:rFonts w:hint="default"/>
        <w:lang w:val="es-ES" w:eastAsia="en-US" w:bidi="ar-SA"/>
      </w:rPr>
    </w:lvl>
    <w:lvl w:ilvl="3">
      <w:start w:val="0"/>
      <w:numFmt w:val="bullet"/>
      <w:lvlText w:val="•"/>
      <w:lvlJc w:val="left"/>
      <w:pPr>
        <w:ind w:left="4256" w:hanging="567"/>
      </w:pPr>
      <w:rPr>
        <w:rFonts w:hint="default"/>
        <w:lang w:val="es-ES" w:eastAsia="en-US" w:bidi="ar-SA"/>
      </w:rPr>
    </w:lvl>
    <w:lvl w:ilvl="4">
      <w:start w:val="0"/>
      <w:numFmt w:val="bullet"/>
      <w:lvlText w:val="•"/>
      <w:lvlJc w:val="left"/>
      <w:pPr>
        <w:ind w:left="5088" w:hanging="567"/>
      </w:pPr>
      <w:rPr>
        <w:rFonts w:hint="default"/>
        <w:lang w:val="es-ES" w:eastAsia="en-US" w:bidi="ar-SA"/>
      </w:rPr>
    </w:lvl>
    <w:lvl w:ilvl="5">
      <w:start w:val="0"/>
      <w:numFmt w:val="bullet"/>
      <w:lvlText w:val="•"/>
      <w:lvlJc w:val="left"/>
      <w:pPr>
        <w:ind w:left="5920" w:hanging="567"/>
      </w:pPr>
      <w:rPr>
        <w:rFonts w:hint="default"/>
        <w:lang w:val="es-ES" w:eastAsia="en-US" w:bidi="ar-SA"/>
      </w:rPr>
    </w:lvl>
    <w:lvl w:ilvl="6">
      <w:start w:val="0"/>
      <w:numFmt w:val="bullet"/>
      <w:lvlText w:val="•"/>
      <w:lvlJc w:val="left"/>
      <w:pPr>
        <w:ind w:left="6752" w:hanging="567"/>
      </w:pPr>
      <w:rPr>
        <w:rFonts w:hint="default"/>
        <w:lang w:val="es-ES" w:eastAsia="en-US" w:bidi="ar-SA"/>
      </w:rPr>
    </w:lvl>
    <w:lvl w:ilvl="7">
      <w:start w:val="0"/>
      <w:numFmt w:val="bullet"/>
      <w:lvlText w:val="•"/>
      <w:lvlJc w:val="left"/>
      <w:pPr>
        <w:ind w:left="7584" w:hanging="567"/>
      </w:pPr>
      <w:rPr>
        <w:rFonts w:hint="default"/>
        <w:lang w:val="es-ES" w:eastAsia="en-US" w:bidi="ar-SA"/>
      </w:rPr>
    </w:lvl>
    <w:lvl w:ilvl="8">
      <w:start w:val="0"/>
      <w:numFmt w:val="bullet"/>
      <w:lvlText w:val="•"/>
      <w:lvlJc w:val="left"/>
      <w:pPr>
        <w:ind w:left="8416" w:hanging="567"/>
      </w:pPr>
      <w:rPr>
        <w:rFonts w:hint="default"/>
        <w:lang w:val="es-ES" w:eastAsia="en-US" w:bidi="ar-SA"/>
      </w:rPr>
    </w:lvl>
  </w:abstractNum>
  <w:abstractNum w:abstractNumId="346">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1195" w:hanging="569"/>
        <w:jc w:val="left"/>
      </w:pPr>
      <w:rPr>
        <w:rFonts w:hint="default" w:ascii="Arial" w:hAnsi="Arial" w:eastAsia="Arial" w:cs="Arial"/>
        <w:b/>
        <w:bCs/>
        <w:i w:val="0"/>
        <w:iCs w:val="0"/>
        <w:spacing w:val="-5"/>
        <w:w w:val="99"/>
        <w:sz w:val="20"/>
        <w:szCs w:val="20"/>
        <w:lang w:val="es-ES" w:eastAsia="en-US" w:bidi="ar-SA"/>
      </w:rPr>
    </w:lvl>
    <w:lvl w:ilvl="2">
      <w:start w:val="12"/>
      <w:numFmt w:val="lowerLetter"/>
      <w:lvlText w:val="%3."/>
      <w:lvlJc w:val="left"/>
      <w:pPr>
        <w:ind w:left="1762"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345">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4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6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84" w:hanging="567"/>
      </w:pPr>
      <w:rPr>
        <w:rFonts w:hint="default"/>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34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4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41">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4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986" w:hanging="360"/>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195" w:hanging="569"/>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173" w:hanging="569"/>
      </w:pPr>
      <w:rPr>
        <w:rFonts w:hint="default"/>
        <w:lang w:val="es-ES" w:eastAsia="en-US" w:bidi="ar-SA"/>
      </w:rPr>
    </w:lvl>
    <w:lvl w:ilvl="4">
      <w:start w:val="0"/>
      <w:numFmt w:val="bullet"/>
      <w:lvlText w:val="•"/>
      <w:lvlJc w:val="left"/>
      <w:pPr>
        <w:ind w:left="4160" w:hanging="569"/>
      </w:pPr>
      <w:rPr>
        <w:rFonts w:hint="default"/>
        <w:lang w:val="es-ES" w:eastAsia="en-US" w:bidi="ar-SA"/>
      </w:rPr>
    </w:lvl>
    <w:lvl w:ilvl="5">
      <w:start w:val="0"/>
      <w:numFmt w:val="bullet"/>
      <w:lvlText w:val="•"/>
      <w:lvlJc w:val="left"/>
      <w:pPr>
        <w:ind w:left="5146" w:hanging="569"/>
      </w:pPr>
      <w:rPr>
        <w:rFonts w:hint="default"/>
        <w:lang w:val="es-ES" w:eastAsia="en-US" w:bidi="ar-SA"/>
      </w:rPr>
    </w:lvl>
    <w:lvl w:ilvl="6">
      <w:start w:val="0"/>
      <w:numFmt w:val="bullet"/>
      <w:lvlText w:val="•"/>
      <w:lvlJc w:val="left"/>
      <w:pPr>
        <w:ind w:left="6133" w:hanging="569"/>
      </w:pPr>
      <w:rPr>
        <w:rFonts w:hint="default"/>
        <w:lang w:val="es-ES" w:eastAsia="en-US" w:bidi="ar-SA"/>
      </w:rPr>
    </w:lvl>
    <w:lvl w:ilvl="7">
      <w:start w:val="0"/>
      <w:numFmt w:val="bullet"/>
      <w:lvlText w:val="•"/>
      <w:lvlJc w:val="left"/>
      <w:pPr>
        <w:ind w:left="7120" w:hanging="569"/>
      </w:pPr>
      <w:rPr>
        <w:rFonts w:hint="default"/>
        <w:lang w:val="es-ES" w:eastAsia="en-US" w:bidi="ar-SA"/>
      </w:rPr>
    </w:lvl>
    <w:lvl w:ilvl="8">
      <w:start w:val="0"/>
      <w:numFmt w:val="bullet"/>
      <w:lvlText w:val="•"/>
      <w:lvlJc w:val="left"/>
      <w:pPr>
        <w:ind w:left="8106" w:hanging="569"/>
      </w:pPr>
      <w:rPr>
        <w:rFonts w:hint="default"/>
        <w:lang w:val="es-ES" w:eastAsia="en-US" w:bidi="ar-SA"/>
      </w:rPr>
    </w:lvl>
  </w:abstractNum>
  <w:abstractNum w:abstractNumId="33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38">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37">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36">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35">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3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3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3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31">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3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2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28">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27">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26">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25">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2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2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2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21">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2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58" w:hanging="454"/>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95" w:hanging="454"/>
      </w:pPr>
      <w:rPr>
        <w:rFonts w:hint="default"/>
        <w:lang w:val="es-ES" w:eastAsia="en-US" w:bidi="ar-SA"/>
      </w:rPr>
    </w:lvl>
    <w:lvl w:ilvl="3">
      <w:start w:val="0"/>
      <w:numFmt w:val="bullet"/>
      <w:lvlText w:val="•"/>
      <w:lvlJc w:val="left"/>
      <w:pPr>
        <w:ind w:left="3531" w:hanging="454"/>
      </w:pPr>
      <w:rPr>
        <w:rFonts w:hint="default"/>
        <w:lang w:val="es-ES" w:eastAsia="en-US" w:bidi="ar-SA"/>
      </w:rPr>
    </w:lvl>
    <w:lvl w:ilvl="4">
      <w:start w:val="0"/>
      <w:numFmt w:val="bullet"/>
      <w:lvlText w:val="•"/>
      <w:lvlJc w:val="left"/>
      <w:pPr>
        <w:ind w:left="4466" w:hanging="454"/>
      </w:pPr>
      <w:rPr>
        <w:rFonts w:hint="default"/>
        <w:lang w:val="es-ES" w:eastAsia="en-US" w:bidi="ar-SA"/>
      </w:rPr>
    </w:lvl>
    <w:lvl w:ilvl="5">
      <w:start w:val="0"/>
      <w:numFmt w:val="bullet"/>
      <w:lvlText w:val="•"/>
      <w:lvlJc w:val="left"/>
      <w:pPr>
        <w:ind w:left="5402" w:hanging="454"/>
      </w:pPr>
      <w:rPr>
        <w:rFonts w:hint="default"/>
        <w:lang w:val="es-ES" w:eastAsia="en-US" w:bidi="ar-SA"/>
      </w:rPr>
    </w:lvl>
    <w:lvl w:ilvl="6">
      <w:start w:val="0"/>
      <w:numFmt w:val="bullet"/>
      <w:lvlText w:val="•"/>
      <w:lvlJc w:val="left"/>
      <w:pPr>
        <w:ind w:left="6337" w:hanging="454"/>
      </w:pPr>
      <w:rPr>
        <w:rFonts w:hint="default"/>
        <w:lang w:val="es-ES" w:eastAsia="en-US" w:bidi="ar-SA"/>
      </w:rPr>
    </w:lvl>
    <w:lvl w:ilvl="7">
      <w:start w:val="0"/>
      <w:numFmt w:val="bullet"/>
      <w:lvlText w:val="•"/>
      <w:lvlJc w:val="left"/>
      <w:pPr>
        <w:ind w:left="7273" w:hanging="454"/>
      </w:pPr>
      <w:rPr>
        <w:rFonts w:hint="default"/>
        <w:lang w:val="es-ES" w:eastAsia="en-US" w:bidi="ar-SA"/>
      </w:rPr>
    </w:lvl>
    <w:lvl w:ilvl="8">
      <w:start w:val="0"/>
      <w:numFmt w:val="bullet"/>
      <w:lvlText w:val="•"/>
      <w:lvlJc w:val="left"/>
      <w:pPr>
        <w:ind w:left="8208" w:hanging="454"/>
      </w:pPr>
      <w:rPr>
        <w:rFonts w:hint="default"/>
        <w:lang w:val="es-ES" w:eastAsia="en-US" w:bidi="ar-SA"/>
      </w:rPr>
    </w:lvl>
  </w:abstractNum>
  <w:abstractNum w:abstractNumId="31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18">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17">
    <w:multiLevelType w:val="hybridMultilevel"/>
    <w:lvl w:ilvl="0">
      <w:start w:val="1"/>
      <w:numFmt w:val="lowerLetter"/>
      <w:lvlText w:val="%1)"/>
      <w:lvlJc w:val="left"/>
      <w:pPr>
        <w:ind w:left="986" w:hanging="360"/>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195" w:hanging="569"/>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986" w:hanging="360"/>
        <w:jc w:val="left"/>
      </w:pPr>
      <w:rPr>
        <w:rFonts w:hint="default" w:ascii="Arial" w:hAnsi="Arial" w:eastAsia="Arial" w:cs="Arial"/>
        <w:b/>
        <w:bCs/>
        <w:i w:val="0"/>
        <w:iCs w:val="0"/>
        <w:spacing w:val="-1"/>
        <w:w w:val="99"/>
        <w:sz w:val="20"/>
        <w:szCs w:val="20"/>
        <w:lang w:val="es-ES" w:eastAsia="en-US" w:bidi="ar-SA"/>
      </w:rPr>
    </w:lvl>
    <w:lvl w:ilvl="3">
      <w:start w:val="1"/>
      <w:numFmt w:val="upperRoman"/>
      <w:lvlText w:val="%4."/>
      <w:lvlJc w:val="left"/>
      <w:pPr>
        <w:ind w:left="1195" w:hanging="569"/>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4160" w:hanging="569"/>
      </w:pPr>
      <w:rPr>
        <w:rFonts w:hint="default"/>
        <w:lang w:val="es-ES" w:eastAsia="en-US" w:bidi="ar-SA"/>
      </w:rPr>
    </w:lvl>
    <w:lvl w:ilvl="5">
      <w:start w:val="0"/>
      <w:numFmt w:val="bullet"/>
      <w:lvlText w:val="•"/>
      <w:lvlJc w:val="left"/>
      <w:pPr>
        <w:ind w:left="5146" w:hanging="569"/>
      </w:pPr>
      <w:rPr>
        <w:rFonts w:hint="default"/>
        <w:lang w:val="es-ES" w:eastAsia="en-US" w:bidi="ar-SA"/>
      </w:rPr>
    </w:lvl>
    <w:lvl w:ilvl="6">
      <w:start w:val="0"/>
      <w:numFmt w:val="bullet"/>
      <w:lvlText w:val="•"/>
      <w:lvlJc w:val="left"/>
      <w:pPr>
        <w:ind w:left="6133" w:hanging="569"/>
      </w:pPr>
      <w:rPr>
        <w:rFonts w:hint="default"/>
        <w:lang w:val="es-ES" w:eastAsia="en-US" w:bidi="ar-SA"/>
      </w:rPr>
    </w:lvl>
    <w:lvl w:ilvl="7">
      <w:start w:val="0"/>
      <w:numFmt w:val="bullet"/>
      <w:lvlText w:val="•"/>
      <w:lvlJc w:val="left"/>
      <w:pPr>
        <w:ind w:left="7120" w:hanging="569"/>
      </w:pPr>
      <w:rPr>
        <w:rFonts w:hint="default"/>
        <w:lang w:val="es-ES" w:eastAsia="en-US" w:bidi="ar-SA"/>
      </w:rPr>
    </w:lvl>
    <w:lvl w:ilvl="8">
      <w:start w:val="0"/>
      <w:numFmt w:val="bullet"/>
      <w:lvlText w:val="•"/>
      <w:lvlJc w:val="left"/>
      <w:pPr>
        <w:ind w:left="8106" w:hanging="569"/>
      </w:pPr>
      <w:rPr>
        <w:rFonts w:hint="default"/>
        <w:lang w:val="es-ES" w:eastAsia="en-US" w:bidi="ar-SA"/>
      </w:rPr>
    </w:lvl>
  </w:abstractNum>
  <w:abstractNum w:abstractNumId="316">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986" w:hanging="360"/>
        <w:jc w:val="left"/>
      </w:pPr>
      <w:rPr>
        <w:rFonts w:hint="default" w:ascii="Arial" w:hAnsi="Arial" w:eastAsia="Arial" w:cs="Arial"/>
        <w:b/>
        <w:bCs/>
        <w:i w:val="0"/>
        <w:iCs w:val="0"/>
        <w:spacing w:val="-1"/>
        <w:w w:val="99"/>
        <w:sz w:val="20"/>
        <w:szCs w:val="20"/>
        <w:lang w:val="es-ES" w:eastAsia="en-US" w:bidi="ar-SA"/>
      </w:rPr>
    </w:lvl>
    <w:lvl w:ilvl="2">
      <w:start w:val="1"/>
      <w:numFmt w:val="upperLetter"/>
      <w:lvlText w:val="%3."/>
      <w:lvlJc w:val="left"/>
      <w:pPr>
        <w:ind w:left="1195" w:hanging="569"/>
        <w:jc w:val="left"/>
      </w:pPr>
      <w:rPr>
        <w:rFonts w:hint="default" w:ascii="Arial" w:hAnsi="Arial" w:eastAsia="Arial" w:cs="Arial"/>
        <w:b/>
        <w:bCs/>
        <w:i w:val="0"/>
        <w:iCs w:val="0"/>
        <w:spacing w:val="-5"/>
        <w:w w:val="99"/>
        <w:sz w:val="20"/>
        <w:szCs w:val="20"/>
        <w:lang w:val="es-ES" w:eastAsia="en-US" w:bidi="ar-SA"/>
      </w:rPr>
    </w:lvl>
    <w:lvl w:ilvl="3">
      <w:start w:val="1"/>
      <w:numFmt w:val="upperRoman"/>
      <w:lvlText w:val="%4."/>
      <w:lvlJc w:val="left"/>
      <w:pPr>
        <w:ind w:left="1762" w:hanging="567"/>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3840" w:hanging="567"/>
      </w:pPr>
      <w:rPr>
        <w:rFonts w:hint="default"/>
        <w:lang w:val="es-ES" w:eastAsia="en-US" w:bidi="ar-SA"/>
      </w:rPr>
    </w:lvl>
    <w:lvl w:ilvl="5">
      <w:start w:val="0"/>
      <w:numFmt w:val="bullet"/>
      <w:lvlText w:val="•"/>
      <w:lvlJc w:val="left"/>
      <w:pPr>
        <w:ind w:left="4880" w:hanging="567"/>
      </w:pPr>
      <w:rPr>
        <w:rFonts w:hint="default"/>
        <w:lang w:val="es-ES" w:eastAsia="en-US" w:bidi="ar-SA"/>
      </w:rPr>
    </w:lvl>
    <w:lvl w:ilvl="6">
      <w:start w:val="0"/>
      <w:numFmt w:val="bullet"/>
      <w:lvlText w:val="•"/>
      <w:lvlJc w:val="left"/>
      <w:pPr>
        <w:ind w:left="5920" w:hanging="567"/>
      </w:pPr>
      <w:rPr>
        <w:rFonts w:hint="default"/>
        <w:lang w:val="es-ES" w:eastAsia="en-US" w:bidi="ar-SA"/>
      </w:rPr>
    </w:lvl>
    <w:lvl w:ilvl="7">
      <w:start w:val="0"/>
      <w:numFmt w:val="bullet"/>
      <w:lvlText w:val="•"/>
      <w:lvlJc w:val="left"/>
      <w:pPr>
        <w:ind w:left="6960" w:hanging="567"/>
      </w:pPr>
      <w:rPr>
        <w:rFonts w:hint="default"/>
        <w:lang w:val="es-ES" w:eastAsia="en-US" w:bidi="ar-SA"/>
      </w:rPr>
    </w:lvl>
    <w:lvl w:ilvl="8">
      <w:start w:val="0"/>
      <w:numFmt w:val="bullet"/>
      <w:lvlText w:val="•"/>
      <w:lvlJc w:val="left"/>
      <w:pPr>
        <w:ind w:left="8000" w:hanging="567"/>
      </w:pPr>
      <w:rPr>
        <w:rFonts w:hint="default"/>
        <w:lang w:val="es-ES" w:eastAsia="en-US" w:bidi="ar-SA"/>
      </w:rPr>
    </w:lvl>
  </w:abstractNum>
  <w:abstractNum w:abstractNumId="315">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1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1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1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11">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9" w:hanging="454"/>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195" w:hanging="569"/>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515" w:hanging="569"/>
      </w:pPr>
      <w:rPr>
        <w:rFonts w:hint="default"/>
        <w:lang w:val="es-ES" w:eastAsia="en-US" w:bidi="ar-SA"/>
      </w:rPr>
    </w:lvl>
    <w:lvl w:ilvl="4">
      <w:start w:val="0"/>
      <w:numFmt w:val="bullet"/>
      <w:lvlText w:val="•"/>
      <w:lvlJc w:val="left"/>
      <w:pPr>
        <w:ind w:left="4453" w:hanging="569"/>
      </w:pPr>
      <w:rPr>
        <w:rFonts w:hint="default"/>
        <w:lang w:val="es-ES" w:eastAsia="en-US" w:bidi="ar-SA"/>
      </w:rPr>
    </w:lvl>
    <w:lvl w:ilvl="5">
      <w:start w:val="0"/>
      <w:numFmt w:val="bullet"/>
      <w:lvlText w:val="•"/>
      <w:lvlJc w:val="left"/>
      <w:pPr>
        <w:ind w:left="5391" w:hanging="569"/>
      </w:pPr>
      <w:rPr>
        <w:rFonts w:hint="default"/>
        <w:lang w:val="es-ES" w:eastAsia="en-US" w:bidi="ar-SA"/>
      </w:rPr>
    </w:lvl>
    <w:lvl w:ilvl="6">
      <w:start w:val="0"/>
      <w:numFmt w:val="bullet"/>
      <w:lvlText w:val="•"/>
      <w:lvlJc w:val="left"/>
      <w:pPr>
        <w:ind w:left="6328" w:hanging="569"/>
      </w:pPr>
      <w:rPr>
        <w:rFonts w:hint="default"/>
        <w:lang w:val="es-ES" w:eastAsia="en-US" w:bidi="ar-SA"/>
      </w:rPr>
    </w:lvl>
    <w:lvl w:ilvl="7">
      <w:start w:val="0"/>
      <w:numFmt w:val="bullet"/>
      <w:lvlText w:val="•"/>
      <w:lvlJc w:val="left"/>
      <w:pPr>
        <w:ind w:left="7266" w:hanging="569"/>
      </w:pPr>
      <w:rPr>
        <w:rFonts w:hint="default"/>
        <w:lang w:val="es-ES" w:eastAsia="en-US" w:bidi="ar-SA"/>
      </w:rPr>
    </w:lvl>
    <w:lvl w:ilvl="8">
      <w:start w:val="0"/>
      <w:numFmt w:val="bullet"/>
      <w:lvlText w:val="•"/>
      <w:lvlJc w:val="left"/>
      <w:pPr>
        <w:ind w:left="8204" w:hanging="569"/>
      </w:pPr>
      <w:rPr>
        <w:rFonts w:hint="default"/>
        <w:lang w:val="es-ES" w:eastAsia="en-US" w:bidi="ar-SA"/>
      </w:rPr>
    </w:lvl>
  </w:abstractNum>
  <w:abstractNum w:abstractNumId="31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0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08">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07">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06">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05">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986" w:hanging="360"/>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195" w:hanging="569"/>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173" w:hanging="569"/>
      </w:pPr>
      <w:rPr>
        <w:rFonts w:hint="default"/>
        <w:lang w:val="es-ES" w:eastAsia="en-US" w:bidi="ar-SA"/>
      </w:rPr>
    </w:lvl>
    <w:lvl w:ilvl="4">
      <w:start w:val="0"/>
      <w:numFmt w:val="bullet"/>
      <w:lvlText w:val="•"/>
      <w:lvlJc w:val="left"/>
      <w:pPr>
        <w:ind w:left="4160" w:hanging="569"/>
      </w:pPr>
      <w:rPr>
        <w:rFonts w:hint="default"/>
        <w:lang w:val="es-ES" w:eastAsia="en-US" w:bidi="ar-SA"/>
      </w:rPr>
    </w:lvl>
    <w:lvl w:ilvl="5">
      <w:start w:val="0"/>
      <w:numFmt w:val="bullet"/>
      <w:lvlText w:val="•"/>
      <w:lvlJc w:val="left"/>
      <w:pPr>
        <w:ind w:left="5146" w:hanging="569"/>
      </w:pPr>
      <w:rPr>
        <w:rFonts w:hint="default"/>
        <w:lang w:val="es-ES" w:eastAsia="en-US" w:bidi="ar-SA"/>
      </w:rPr>
    </w:lvl>
    <w:lvl w:ilvl="6">
      <w:start w:val="0"/>
      <w:numFmt w:val="bullet"/>
      <w:lvlText w:val="•"/>
      <w:lvlJc w:val="left"/>
      <w:pPr>
        <w:ind w:left="6133" w:hanging="569"/>
      </w:pPr>
      <w:rPr>
        <w:rFonts w:hint="default"/>
        <w:lang w:val="es-ES" w:eastAsia="en-US" w:bidi="ar-SA"/>
      </w:rPr>
    </w:lvl>
    <w:lvl w:ilvl="7">
      <w:start w:val="0"/>
      <w:numFmt w:val="bullet"/>
      <w:lvlText w:val="•"/>
      <w:lvlJc w:val="left"/>
      <w:pPr>
        <w:ind w:left="7120" w:hanging="569"/>
      </w:pPr>
      <w:rPr>
        <w:rFonts w:hint="default"/>
        <w:lang w:val="es-ES" w:eastAsia="en-US" w:bidi="ar-SA"/>
      </w:rPr>
    </w:lvl>
    <w:lvl w:ilvl="8">
      <w:start w:val="0"/>
      <w:numFmt w:val="bullet"/>
      <w:lvlText w:val="•"/>
      <w:lvlJc w:val="left"/>
      <w:pPr>
        <w:ind w:left="8106" w:hanging="569"/>
      </w:pPr>
      <w:rPr>
        <w:rFonts w:hint="default"/>
        <w:lang w:val="es-ES" w:eastAsia="en-US" w:bidi="ar-SA"/>
      </w:rPr>
    </w:lvl>
  </w:abstractNum>
  <w:abstractNum w:abstractNumId="30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0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0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01">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0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9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98">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97">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96">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95">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9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9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9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9" w:hanging="454"/>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77" w:hanging="454"/>
      </w:pPr>
      <w:rPr>
        <w:rFonts w:hint="default"/>
        <w:lang w:val="es-ES" w:eastAsia="en-US" w:bidi="ar-SA"/>
      </w:rPr>
    </w:lvl>
    <w:lvl w:ilvl="3">
      <w:start w:val="0"/>
      <w:numFmt w:val="bullet"/>
      <w:lvlText w:val="•"/>
      <w:lvlJc w:val="left"/>
      <w:pPr>
        <w:ind w:left="3515" w:hanging="454"/>
      </w:pPr>
      <w:rPr>
        <w:rFonts w:hint="default"/>
        <w:lang w:val="es-ES" w:eastAsia="en-US" w:bidi="ar-SA"/>
      </w:rPr>
    </w:lvl>
    <w:lvl w:ilvl="4">
      <w:start w:val="0"/>
      <w:numFmt w:val="bullet"/>
      <w:lvlText w:val="•"/>
      <w:lvlJc w:val="left"/>
      <w:pPr>
        <w:ind w:left="4453" w:hanging="454"/>
      </w:pPr>
      <w:rPr>
        <w:rFonts w:hint="default"/>
        <w:lang w:val="es-ES" w:eastAsia="en-US" w:bidi="ar-SA"/>
      </w:rPr>
    </w:lvl>
    <w:lvl w:ilvl="5">
      <w:start w:val="0"/>
      <w:numFmt w:val="bullet"/>
      <w:lvlText w:val="•"/>
      <w:lvlJc w:val="left"/>
      <w:pPr>
        <w:ind w:left="5391" w:hanging="454"/>
      </w:pPr>
      <w:rPr>
        <w:rFonts w:hint="default"/>
        <w:lang w:val="es-ES" w:eastAsia="en-US" w:bidi="ar-SA"/>
      </w:rPr>
    </w:lvl>
    <w:lvl w:ilvl="6">
      <w:start w:val="0"/>
      <w:numFmt w:val="bullet"/>
      <w:lvlText w:val="•"/>
      <w:lvlJc w:val="left"/>
      <w:pPr>
        <w:ind w:left="6328" w:hanging="454"/>
      </w:pPr>
      <w:rPr>
        <w:rFonts w:hint="default"/>
        <w:lang w:val="es-ES" w:eastAsia="en-US" w:bidi="ar-SA"/>
      </w:rPr>
    </w:lvl>
    <w:lvl w:ilvl="7">
      <w:start w:val="0"/>
      <w:numFmt w:val="bullet"/>
      <w:lvlText w:val="•"/>
      <w:lvlJc w:val="left"/>
      <w:pPr>
        <w:ind w:left="7266" w:hanging="454"/>
      </w:pPr>
      <w:rPr>
        <w:rFonts w:hint="default"/>
        <w:lang w:val="es-ES" w:eastAsia="en-US" w:bidi="ar-SA"/>
      </w:rPr>
    </w:lvl>
    <w:lvl w:ilvl="8">
      <w:start w:val="0"/>
      <w:numFmt w:val="bullet"/>
      <w:lvlText w:val="•"/>
      <w:lvlJc w:val="left"/>
      <w:pPr>
        <w:ind w:left="8204" w:hanging="454"/>
      </w:pPr>
      <w:rPr>
        <w:rFonts w:hint="default"/>
        <w:lang w:val="es-ES" w:eastAsia="en-US" w:bidi="ar-SA"/>
      </w:rPr>
    </w:lvl>
  </w:abstractNum>
  <w:abstractNum w:abstractNumId="291">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9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8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88">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87">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86">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85">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8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8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9" w:hanging="454"/>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77" w:hanging="454"/>
      </w:pPr>
      <w:rPr>
        <w:rFonts w:hint="default"/>
        <w:lang w:val="es-ES" w:eastAsia="en-US" w:bidi="ar-SA"/>
      </w:rPr>
    </w:lvl>
    <w:lvl w:ilvl="3">
      <w:start w:val="0"/>
      <w:numFmt w:val="bullet"/>
      <w:lvlText w:val="•"/>
      <w:lvlJc w:val="left"/>
      <w:pPr>
        <w:ind w:left="3515" w:hanging="454"/>
      </w:pPr>
      <w:rPr>
        <w:rFonts w:hint="default"/>
        <w:lang w:val="es-ES" w:eastAsia="en-US" w:bidi="ar-SA"/>
      </w:rPr>
    </w:lvl>
    <w:lvl w:ilvl="4">
      <w:start w:val="0"/>
      <w:numFmt w:val="bullet"/>
      <w:lvlText w:val="•"/>
      <w:lvlJc w:val="left"/>
      <w:pPr>
        <w:ind w:left="4453" w:hanging="454"/>
      </w:pPr>
      <w:rPr>
        <w:rFonts w:hint="default"/>
        <w:lang w:val="es-ES" w:eastAsia="en-US" w:bidi="ar-SA"/>
      </w:rPr>
    </w:lvl>
    <w:lvl w:ilvl="5">
      <w:start w:val="0"/>
      <w:numFmt w:val="bullet"/>
      <w:lvlText w:val="•"/>
      <w:lvlJc w:val="left"/>
      <w:pPr>
        <w:ind w:left="5391" w:hanging="454"/>
      </w:pPr>
      <w:rPr>
        <w:rFonts w:hint="default"/>
        <w:lang w:val="es-ES" w:eastAsia="en-US" w:bidi="ar-SA"/>
      </w:rPr>
    </w:lvl>
    <w:lvl w:ilvl="6">
      <w:start w:val="0"/>
      <w:numFmt w:val="bullet"/>
      <w:lvlText w:val="•"/>
      <w:lvlJc w:val="left"/>
      <w:pPr>
        <w:ind w:left="6328" w:hanging="454"/>
      </w:pPr>
      <w:rPr>
        <w:rFonts w:hint="default"/>
        <w:lang w:val="es-ES" w:eastAsia="en-US" w:bidi="ar-SA"/>
      </w:rPr>
    </w:lvl>
    <w:lvl w:ilvl="7">
      <w:start w:val="0"/>
      <w:numFmt w:val="bullet"/>
      <w:lvlText w:val="•"/>
      <w:lvlJc w:val="left"/>
      <w:pPr>
        <w:ind w:left="7266" w:hanging="454"/>
      </w:pPr>
      <w:rPr>
        <w:rFonts w:hint="default"/>
        <w:lang w:val="es-ES" w:eastAsia="en-US" w:bidi="ar-SA"/>
      </w:rPr>
    </w:lvl>
    <w:lvl w:ilvl="8">
      <w:start w:val="0"/>
      <w:numFmt w:val="bullet"/>
      <w:lvlText w:val="•"/>
      <w:lvlJc w:val="left"/>
      <w:pPr>
        <w:ind w:left="8204" w:hanging="454"/>
      </w:pPr>
      <w:rPr>
        <w:rFonts w:hint="default"/>
        <w:lang w:val="es-ES" w:eastAsia="en-US" w:bidi="ar-SA"/>
      </w:rPr>
    </w:lvl>
  </w:abstractNum>
  <w:abstractNum w:abstractNumId="28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6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684" w:hanging="567"/>
      </w:pPr>
      <w:rPr>
        <w:rFonts w:hint="default"/>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281">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8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9" w:hanging="454"/>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77" w:hanging="454"/>
      </w:pPr>
      <w:rPr>
        <w:rFonts w:hint="default"/>
        <w:lang w:val="es-ES" w:eastAsia="en-US" w:bidi="ar-SA"/>
      </w:rPr>
    </w:lvl>
    <w:lvl w:ilvl="3">
      <w:start w:val="0"/>
      <w:numFmt w:val="bullet"/>
      <w:lvlText w:val="•"/>
      <w:lvlJc w:val="left"/>
      <w:pPr>
        <w:ind w:left="3515" w:hanging="454"/>
      </w:pPr>
      <w:rPr>
        <w:rFonts w:hint="default"/>
        <w:lang w:val="es-ES" w:eastAsia="en-US" w:bidi="ar-SA"/>
      </w:rPr>
    </w:lvl>
    <w:lvl w:ilvl="4">
      <w:start w:val="0"/>
      <w:numFmt w:val="bullet"/>
      <w:lvlText w:val="•"/>
      <w:lvlJc w:val="left"/>
      <w:pPr>
        <w:ind w:left="4453" w:hanging="454"/>
      </w:pPr>
      <w:rPr>
        <w:rFonts w:hint="default"/>
        <w:lang w:val="es-ES" w:eastAsia="en-US" w:bidi="ar-SA"/>
      </w:rPr>
    </w:lvl>
    <w:lvl w:ilvl="5">
      <w:start w:val="0"/>
      <w:numFmt w:val="bullet"/>
      <w:lvlText w:val="•"/>
      <w:lvlJc w:val="left"/>
      <w:pPr>
        <w:ind w:left="5391" w:hanging="454"/>
      </w:pPr>
      <w:rPr>
        <w:rFonts w:hint="default"/>
        <w:lang w:val="es-ES" w:eastAsia="en-US" w:bidi="ar-SA"/>
      </w:rPr>
    </w:lvl>
    <w:lvl w:ilvl="6">
      <w:start w:val="0"/>
      <w:numFmt w:val="bullet"/>
      <w:lvlText w:val="•"/>
      <w:lvlJc w:val="left"/>
      <w:pPr>
        <w:ind w:left="6328" w:hanging="454"/>
      </w:pPr>
      <w:rPr>
        <w:rFonts w:hint="default"/>
        <w:lang w:val="es-ES" w:eastAsia="en-US" w:bidi="ar-SA"/>
      </w:rPr>
    </w:lvl>
    <w:lvl w:ilvl="7">
      <w:start w:val="0"/>
      <w:numFmt w:val="bullet"/>
      <w:lvlText w:val="•"/>
      <w:lvlJc w:val="left"/>
      <w:pPr>
        <w:ind w:left="7266" w:hanging="454"/>
      </w:pPr>
      <w:rPr>
        <w:rFonts w:hint="default"/>
        <w:lang w:val="es-ES" w:eastAsia="en-US" w:bidi="ar-SA"/>
      </w:rPr>
    </w:lvl>
    <w:lvl w:ilvl="8">
      <w:start w:val="0"/>
      <w:numFmt w:val="bullet"/>
      <w:lvlText w:val="•"/>
      <w:lvlJc w:val="left"/>
      <w:pPr>
        <w:ind w:left="8204" w:hanging="454"/>
      </w:pPr>
      <w:rPr>
        <w:rFonts w:hint="default"/>
        <w:lang w:val="es-ES" w:eastAsia="en-US" w:bidi="ar-SA"/>
      </w:rPr>
    </w:lvl>
  </w:abstractNum>
  <w:abstractNum w:abstractNumId="27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78">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77">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76">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986" w:hanging="360"/>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195" w:hanging="569"/>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1649" w:hanging="454"/>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3750" w:hanging="454"/>
      </w:pPr>
      <w:rPr>
        <w:rFonts w:hint="default"/>
        <w:lang w:val="es-ES" w:eastAsia="en-US" w:bidi="ar-SA"/>
      </w:rPr>
    </w:lvl>
    <w:lvl w:ilvl="5">
      <w:start w:val="0"/>
      <w:numFmt w:val="bullet"/>
      <w:lvlText w:val="•"/>
      <w:lvlJc w:val="left"/>
      <w:pPr>
        <w:ind w:left="4805" w:hanging="454"/>
      </w:pPr>
      <w:rPr>
        <w:rFonts w:hint="default"/>
        <w:lang w:val="es-ES" w:eastAsia="en-US" w:bidi="ar-SA"/>
      </w:rPr>
    </w:lvl>
    <w:lvl w:ilvl="6">
      <w:start w:val="0"/>
      <w:numFmt w:val="bullet"/>
      <w:lvlText w:val="•"/>
      <w:lvlJc w:val="left"/>
      <w:pPr>
        <w:ind w:left="5860" w:hanging="454"/>
      </w:pPr>
      <w:rPr>
        <w:rFonts w:hint="default"/>
        <w:lang w:val="es-ES" w:eastAsia="en-US" w:bidi="ar-SA"/>
      </w:rPr>
    </w:lvl>
    <w:lvl w:ilvl="7">
      <w:start w:val="0"/>
      <w:numFmt w:val="bullet"/>
      <w:lvlText w:val="•"/>
      <w:lvlJc w:val="left"/>
      <w:pPr>
        <w:ind w:left="6915" w:hanging="454"/>
      </w:pPr>
      <w:rPr>
        <w:rFonts w:hint="default"/>
        <w:lang w:val="es-ES" w:eastAsia="en-US" w:bidi="ar-SA"/>
      </w:rPr>
    </w:lvl>
    <w:lvl w:ilvl="8">
      <w:start w:val="0"/>
      <w:numFmt w:val="bullet"/>
      <w:lvlText w:val="•"/>
      <w:lvlJc w:val="left"/>
      <w:pPr>
        <w:ind w:left="7970" w:hanging="454"/>
      </w:pPr>
      <w:rPr>
        <w:rFonts w:hint="default"/>
        <w:lang w:val="es-ES" w:eastAsia="en-US" w:bidi="ar-SA"/>
      </w:rPr>
    </w:lvl>
  </w:abstractNum>
  <w:abstractNum w:abstractNumId="275">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7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7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7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71">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27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6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68">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67">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66">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65">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6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6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6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84" w:hanging="567"/>
      </w:pPr>
      <w:rPr>
        <w:rFonts w:hint="default"/>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26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6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84" w:hanging="567"/>
      </w:pPr>
      <w:rPr>
        <w:rFonts w:hint="default"/>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261">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6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5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58">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138" w:hanging="51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195" w:hanging="569"/>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1704" w:hanging="509"/>
        <w:jc w:val="left"/>
      </w:pPr>
      <w:rPr>
        <w:rFonts w:hint="default" w:ascii="Arial" w:hAnsi="Arial" w:eastAsia="Arial" w:cs="Arial"/>
        <w:b/>
        <w:bCs/>
        <w:i w:val="0"/>
        <w:iCs w:val="0"/>
        <w:spacing w:val="0"/>
        <w:w w:val="99"/>
        <w:sz w:val="20"/>
        <w:szCs w:val="20"/>
        <w:lang w:val="es-ES" w:eastAsia="en-US" w:bidi="ar-SA"/>
      </w:rPr>
    </w:lvl>
    <w:lvl w:ilvl="4">
      <w:start w:val="0"/>
      <w:numFmt w:val="bullet"/>
      <w:lvlText w:val="•"/>
      <w:lvlJc w:val="left"/>
      <w:pPr>
        <w:ind w:left="3795" w:hanging="509"/>
      </w:pPr>
      <w:rPr>
        <w:rFonts w:hint="default"/>
        <w:lang w:val="es-ES" w:eastAsia="en-US" w:bidi="ar-SA"/>
      </w:rPr>
    </w:lvl>
    <w:lvl w:ilvl="5">
      <w:start w:val="0"/>
      <w:numFmt w:val="bullet"/>
      <w:lvlText w:val="•"/>
      <w:lvlJc w:val="left"/>
      <w:pPr>
        <w:ind w:left="4842" w:hanging="509"/>
      </w:pPr>
      <w:rPr>
        <w:rFonts w:hint="default"/>
        <w:lang w:val="es-ES" w:eastAsia="en-US" w:bidi="ar-SA"/>
      </w:rPr>
    </w:lvl>
    <w:lvl w:ilvl="6">
      <w:start w:val="0"/>
      <w:numFmt w:val="bullet"/>
      <w:lvlText w:val="•"/>
      <w:lvlJc w:val="left"/>
      <w:pPr>
        <w:ind w:left="5890" w:hanging="509"/>
      </w:pPr>
      <w:rPr>
        <w:rFonts w:hint="default"/>
        <w:lang w:val="es-ES" w:eastAsia="en-US" w:bidi="ar-SA"/>
      </w:rPr>
    </w:lvl>
    <w:lvl w:ilvl="7">
      <w:start w:val="0"/>
      <w:numFmt w:val="bullet"/>
      <w:lvlText w:val="•"/>
      <w:lvlJc w:val="left"/>
      <w:pPr>
        <w:ind w:left="6937" w:hanging="509"/>
      </w:pPr>
      <w:rPr>
        <w:rFonts w:hint="default"/>
        <w:lang w:val="es-ES" w:eastAsia="en-US" w:bidi="ar-SA"/>
      </w:rPr>
    </w:lvl>
    <w:lvl w:ilvl="8">
      <w:start w:val="0"/>
      <w:numFmt w:val="bullet"/>
      <w:lvlText w:val="•"/>
      <w:lvlJc w:val="left"/>
      <w:pPr>
        <w:ind w:left="7985" w:hanging="509"/>
      </w:pPr>
      <w:rPr>
        <w:rFonts w:hint="default"/>
        <w:lang w:val="es-ES" w:eastAsia="en-US" w:bidi="ar-SA"/>
      </w:rPr>
    </w:lvl>
  </w:abstractNum>
  <w:abstractNum w:abstractNumId="257">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56">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55">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6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84" w:hanging="567"/>
      </w:pPr>
      <w:rPr>
        <w:rFonts w:hint="default"/>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25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5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5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51">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5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4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48">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47">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46">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45">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4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6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684" w:hanging="567"/>
      </w:pPr>
      <w:rPr>
        <w:rFonts w:hint="default"/>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24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4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41">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4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3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38">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6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684" w:hanging="567"/>
      </w:pPr>
      <w:rPr>
        <w:rFonts w:hint="default"/>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237">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36">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35">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3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3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3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31">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3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2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28">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27">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26">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25">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2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2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2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21">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20">
    <w:multiLevelType w:val="hybridMultilevel"/>
    <w:lvl w:ilvl="0">
      <w:start w:val="5"/>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6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684" w:hanging="567"/>
      </w:pPr>
      <w:rPr>
        <w:rFonts w:hint="default"/>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219">
    <w:multiLevelType w:val="hybridMultilevel"/>
    <w:lvl w:ilvl="0">
      <w:start w:val="1"/>
      <w:numFmt w:val="lowerLetter"/>
      <w:lvlText w:val="%1)"/>
      <w:lvlJc w:val="left"/>
      <w:pPr>
        <w:ind w:left="1762"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92" w:hanging="567"/>
      </w:pPr>
      <w:rPr>
        <w:rFonts w:hint="default"/>
        <w:lang w:val="es-ES" w:eastAsia="en-US" w:bidi="ar-SA"/>
      </w:rPr>
    </w:lvl>
    <w:lvl w:ilvl="2">
      <w:start w:val="0"/>
      <w:numFmt w:val="bullet"/>
      <w:lvlText w:val="•"/>
      <w:lvlJc w:val="left"/>
      <w:pPr>
        <w:ind w:left="3424" w:hanging="567"/>
      </w:pPr>
      <w:rPr>
        <w:rFonts w:hint="default"/>
        <w:lang w:val="es-ES" w:eastAsia="en-US" w:bidi="ar-SA"/>
      </w:rPr>
    </w:lvl>
    <w:lvl w:ilvl="3">
      <w:start w:val="0"/>
      <w:numFmt w:val="bullet"/>
      <w:lvlText w:val="•"/>
      <w:lvlJc w:val="left"/>
      <w:pPr>
        <w:ind w:left="4256" w:hanging="567"/>
      </w:pPr>
      <w:rPr>
        <w:rFonts w:hint="default"/>
        <w:lang w:val="es-ES" w:eastAsia="en-US" w:bidi="ar-SA"/>
      </w:rPr>
    </w:lvl>
    <w:lvl w:ilvl="4">
      <w:start w:val="0"/>
      <w:numFmt w:val="bullet"/>
      <w:lvlText w:val="•"/>
      <w:lvlJc w:val="left"/>
      <w:pPr>
        <w:ind w:left="5088" w:hanging="567"/>
      </w:pPr>
      <w:rPr>
        <w:rFonts w:hint="default"/>
        <w:lang w:val="es-ES" w:eastAsia="en-US" w:bidi="ar-SA"/>
      </w:rPr>
    </w:lvl>
    <w:lvl w:ilvl="5">
      <w:start w:val="0"/>
      <w:numFmt w:val="bullet"/>
      <w:lvlText w:val="•"/>
      <w:lvlJc w:val="left"/>
      <w:pPr>
        <w:ind w:left="5920" w:hanging="567"/>
      </w:pPr>
      <w:rPr>
        <w:rFonts w:hint="default"/>
        <w:lang w:val="es-ES" w:eastAsia="en-US" w:bidi="ar-SA"/>
      </w:rPr>
    </w:lvl>
    <w:lvl w:ilvl="6">
      <w:start w:val="0"/>
      <w:numFmt w:val="bullet"/>
      <w:lvlText w:val="•"/>
      <w:lvlJc w:val="left"/>
      <w:pPr>
        <w:ind w:left="6752" w:hanging="567"/>
      </w:pPr>
      <w:rPr>
        <w:rFonts w:hint="default"/>
        <w:lang w:val="es-ES" w:eastAsia="en-US" w:bidi="ar-SA"/>
      </w:rPr>
    </w:lvl>
    <w:lvl w:ilvl="7">
      <w:start w:val="0"/>
      <w:numFmt w:val="bullet"/>
      <w:lvlText w:val="•"/>
      <w:lvlJc w:val="left"/>
      <w:pPr>
        <w:ind w:left="7584" w:hanging="567"/>
      </w:pPr>
      <w:rPr>
        <w:rFonts w:hint="default"/>
        <w:lang w:val="es-ES" w:eastAsia="en-US" w:bidi="ar-SA"/>
      </w:rPr>
    </w:lvl>
    <w:lvl w:ilvl="8">
      <w:start w:val="0"/>
      <w:numFmt w:val="bullet"/>
      <w:lvlText w:val="•"/>
      <w:lvlJc w:val="left"/>
      <w:pPr>
        <w:ind w:left="8416" w:hanging="567"/>
      </w:pPr>
      <w:rPr>
        <w:rFonts w:hint="default"/>
        <w:lang w:val="es-ES" w:eastAsia="en-US" w:bidi="ar-SA"/>
      </w:rPr>
    </w:lvl>
  </w:abstractNum>
  <w:abstractNum w:abstractNumId="218">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6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684" w:hanging="567"/>
      </w:pPr>
      <w:rPr>
        <w:rFonts w:hint="default"/>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217">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16">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15">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1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1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decimal"/>
      <w:lvlText w:val="%2."/>
      <w:lvlJc w:val="left"/>
      <w:pPr>
        <w:ind w:left="176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84" w:hanging="567"/>
      </w:pPr>
      <w:rPr>
        <w:rFonts w:hint="default"/>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21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11">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1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0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08">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07">
    <w:multiLevelType w:val="hybridMultilevel"/>
    <w:lvl w:ilvl="0">
      <w:start w:val="0"/>
      <w:numFmt w:val="bullet"/>
      <w:lvlText w:val=""/>
      <w:lvlJc w:val="left"/>
      <w:pPr>
        <w:ind w:left="432"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1007" w:hanging="360"/>
      </w:pPr>
      <w:rPr>
        <w:rFonts w:hint="default"/>
        <w:lang w:val="es-ES" w:eastAsia="en-US" w:bidi="ar-SA"/>
      </w:rPr>
    </w:lvl>
    <w:lvl w:ilvl="2">
      <w:start w:val="0"/>
      <w:numFmt w:val="bullet"/>
      <w:lvlText w:val="•"/>
      <w:lvlJc w:val="left"/>
      <w:pPr>
        <w:ind w:left="1574" w:hanging="360"/>
      </w:pPr>
      <w:rPr>
        <w:rFonts w:hint="default"/>
        <w:lang w:val="es-ES" w:eastAsia="en-US" w:bidi="ar-SA"/>
      </w:rPr>
    </w:lvl>
    <w:lvl w:ilvl="3">
      <w:start w:val="0"/>
      <w:numFmt w:val="bullet"/>
      <w:lvlText w:val="•"/>
      <w:lvlJc w:val="left"/>
      <w:pPr>
        <w:ind w:left="2141" w:hanging="360"/>
      </w:pPr>
      <w:rPr>
        <w:rFonts w:hint="default"/>
        <w:lang w:val="es-ES" w:eastAsia="en-US" w:bidi="ar-SA"/>
      </w:rPr>
    </w:lvl>
    <w:lvl w:ilvl="4">
      <w:start w:val="0"/>
      <w:numFmt w:val="bullet"/>
      <w:lvlText w:val="•"/>
      <w:lvlJc w:val="left"/>
      <w:pPr>
        <w:ind w:left="2708" w:hanging="360"/>
      </w:pPr>
      <w:rPr>
        <w:rFonts w:hint="default"/>
        <w:lang w:val="es-ES" w:eastAsia="en-US" w:bidi="ar-SA"/>
      </w:rPr>
    </w:lvl>
    <w:lvl w:ilvl="5">
      <w:start w:val="0"/>
      <w:numFmt w:val="bullet"/>
      <w:lvlText w:val="•"/>
      <w:lvlJc w:val="left"/>
      <w:pPr>
        <w:ind w:left="3275" w:hanging="360"/>
      </w:pPr>
      <w:rPr>
        <w:rFonts w:hint="default"/>
        <w:lang w:val="es-ES" w:eastAsia="en-US" w:bidi="ar-SA"/>
      </w:rPr>
    </w:lvl>
    <w:lvl w:ilvl="6">
      <w:start w:val="0"/>
      <w:numFmt w:val="bullet"/>
      <w:lvlText w:val="•"/>
      <w:lvlJc w:val="left"/>
      <w:pPr>
        <w:ind w:left="3842" w:hanging="360"/>
      </w:pPr>
      <w:rPr>
        <w:rFonts w:hint="default"/>
        <w:lang w:val="es-ES" w:eastAsia="en-US" w:bidi="ar-SA"/>
      </w:rPr>
    </w:lvl>
    <w:lvl w:ilvl="7">
      <w:start w:val="0"/>
      <w:numFmt w:val="bullet"/>
      <w:lvlText w:val="•"/>
      <w:lvlJc w:val="left"/>
      <w:pPr>
        <w:ind w:left="4409" w:hanging="360"/>
      </w:pPr>
      <w:rPr>
        <w:rFonts w:hint="default"/>
        <w:lang w:val="es-ES" w:eastAsia="en-US" w:bidi="ar-SA"/>
      </w:rPr>
    </w:lvl>
    <w:lvl w:ilvl="8">
      <w:start w:val="0"/>
      <w:numFmt w:val="bullet"/>
      <w:lvlText w:val="•"/>
      <w:lvlJc w:val="left"/>
      <w:pPr>
        <w:ind w:left="4976" w:hanging="360"/>
      </w:pPr>
      <w:rPr>
        <w:rFonts w:hint="default"/>
        <w:lang w:val="es-ES" w:eastAsia="en-US" w:bidi="ar-SA"/>
      </w:rPr>
    </w:lvl>
  </w:abstractNum>
  <w:abstractNum w:abstractNumId="206">
    <w:multiLevelType w:val="hybridMultilevel"/>
    <w:lvl w:ilvl="0">
      <w:start w:val="0"/>
      <w:numFmt w:val="bullet"/>
      <w:lvlText w:val=""/>
      <w:lvlJc w:val="left"/>
      <w:pPr>
        <w:ind w:left="432"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1007" w:hanging="360"/>
      </w:pPr>
      <w:rPr>
        <w:rFonts w:hint="default"/>
        <w:lang w:val="es-ES" w:eastAsia="en-US" w:bidi="ar-SA"/>
      </w:rPr>
    </w:lvl>
    <w:lvl w:ilvl="2">
      <w:start w:val="0"/>
      <w:numFmt w:val="bullet"/>
      <w:lvlText w:val="•"/>
      <w:lvlJc w:val="left"/>
      <w:pPr>
        <w:ind w:left="1574" w:hanging="360"/>
      </w:pPr>
      <w:rPr>
        <w:rFonts w:hint="default"/>
        <w:lang w:val="es-ES" w:eastAsia="en-US" w:bidi="ar-SA"/>
      </w:rPr>
    </w:lvl>
    <w:lvl w:ilvl="3">
      <w:start w:val="0"/>
      <w:numFmt w:val="bullet"/>
      <w:lvlText w:val="•"/>
      <w:lvlJc w:val="left"/>
      <w:pPr>
        <w:ind w:left="2141" w:hanging="360"/>
      </w:pPr>
      <w:rPr>
        <w:rFonts w:hint="default"/>
        <w:lang w:val="es-ES" w:eastAsia="en-US" w:bidi="ar-SA"/>
      </w:rPr>
    </w:lvl>
    <w:lvl w:ilvl="4">
      <w:start w:val="0"/>
      <w:numFmt w:val="bullet"/>
      <w:lvlText w:val="•"/>
      <w:lvlJc w:val="left"/>
      <w:pPr>
        <w:ind w:left="2708" w:hanging="360"/>
      </w:pPr>
      <w:rPr>
        <w:rFonts w:hint="default"/>
        <w:lang w:val="es-ES" w:eastAsia="en-US" w:bidi="ar-SA"/>
      </w:rPr>
    </w:lvl>
    <w:lvl w:ilvl="5">
      <w:start w:val="0"/>
      <w:numFmt w:val="bullet"/>
      <w:lvlText w:val="•"/>
      <w:lvlJc w:val="left"/>
      <w:pPr>
        <w:ind w:left="3275" w:hanging="360"/>
      </w:pPr>
      <w:rPr>
        <w:rFonts w:hint="default"/>
        <w:lang w:val="es-ES" w:eastAsia="en-US" w:bidi="ar-SA"/>
      </w:rPr>
    </w:lvl>
    <w:lvl w:ilvl="6">
      <w:start w:val="0"/>
      <w:numFmt w:val="bullet"/>
      <w:lvlText w:val="•"/>
      <w:lvlJc w:val="left"/>
      <w:pPr>
        <w:ind w:left="3842" w:hanging="360"/>
      </w:pPr>
      <w:rPr>
        <w:rFonts w:hint="default"/>
        <w:lang w:val="es-ES" w:eastAsia="en-US" w:bidi="ar-SA"/>
      </w:rPr>
    </w:lvl>
    <w:lvl w:ilvl="7">
      <w:start w:val="0"/>
      <w:numFmt w:val="bullet"/>
      <w:lvlText w:val="•"/>
      <w:lvlJc w:val="left"/>
      <w:pPr>
        <w:ind w:left="4409" w:hanging="360"/>
      </w:pPr>
      <w:rPr>
        <w:rFonts w:hint="default"/>
        <w:lang w:val="es-ES" w:eastAsia="en-US" w:bidi="ar-SA"/>
      </w:rPr>
    </w:lvl>
    <w:lvl w:ilvl="8">
      <w:start w:val="0"/>
      <w:numFmt w:val="bullet"/>
      <w:lvlText w:val="•"/>
      <w:lvlJc w:val="left"/>
      <w:pPr>
        <w:ind w:left="4976" w:hanging="360"/>
      </w:pPr>
      <w:rPr>
        <w:rFonts w:hint="default"/>
        <w:lang w:val="es-ES" w:eastAsia="en-US" w:bidi="ar-SA"/>
      </w:rPr>
    </w:lvl>
  </w:abstractNum>
  <w:abstractNum w:abstractNumId="205">
    <w:multiLevelType w:val="hybridMultilevel"/>
    <w:lvl w:ilvl="0">
      <w:start w:val="0"/>
      <w:numFmt w:val="bullet"/>
      <w:lvlText w:val=""/>
      <w:lvlJc w:val="left"/>
      <w:pPr>
        <w:ind w:left="432"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1007" w:hanging="360"/>
      </w:pPr>
      <w:rPr>
        <w:rFonts w:hint="default"/>
        <w:lang w:val="es-ES" w:eastAsia="en-US" w:bidi="ar-SA"/>
      </w:rPr>
    </w:lvl>
    <w:lvl w:ilvl="2">
      <w:start w:val="0"/>
      <w:numFmt w:val="bullet"/>
      <w:lvlText w:val="•"/>
      <w:lvlJc w:val="left"/>
      <w:pPr>
        <w:ind w:left="1574" w:hanging="360"/>
      </w:pPr>
      <w:rPr>
        <w:rFonts w:hint="default"/>
        <w:lang w:val="es-ES" w:eastAsia="en-US" w:bidi="ar-SA"/>
      </w:rPr>
    </w:lvl>
    <w:lvl w:ilvl="3">
      <w:start w:val="0"/>
      <w:numFmt w:val="bullet"/>
      <w:lvlText w:val="•"/>
      <w:lvlJc w:val="left"/>
      <w:pPr>
        <w:ind w:left="2141" w:hanging="360"/>
      </w:pPr>
      <w:rPr>
        <w:rFonts w:hint="default"/>
        <w:lang w:val="es-ES" w:eastAsia="en-US" w:bidi="ar-SA"/>
      </w:rPr>
    </w:lvl>
    <w:lvl w:ilvl="4">
      <w:start w:val="0"/>
      <w:numFmt w:val="bullet"/>
      <w:lvlText w:val="•"/>
      <w:lvlJc w:val="left"/>
      <w:pPr>
        <w:ind w:left="2708" w:hanging="360"/>
      </w:pPr>
      <w:rPr>
        <w:rFonts w:hint="default"/>
        <w:lang w:val="es-ES" w:eastAsia="en-US" w:bidi="ar-SA"/>
      </w:rPr>
    </w:lvl>
    <w:lvl w:ilvl="5">
      <w:start w:val="0"/>
      <w:numFmt w:val="bullet"/>
      <w:lvlText w:val="•"/>
      <w:lvlJc w:val="left"/>
      <w:pPr>
        <w:ind w:left="3275" w:hanging="360"/>
      </w:pPr>
      <w:rPr>
        <w:rFonts w:hint="default"/>
        <w:lang w:val="es-ES" w:eastAsia="en-US" w:bidi="ar-SA"/>
      </w:rPr>
    </w:lvl>
    <w:lvl w:ilvl="6">
      <w:start w:val="0"/>
      <w:numFmt w:val="bullet"/>
      <w:lvlText w:val="•"/>
      <w:lvlJc w:val="left"/>
      <w:pPr>
        <w:ind w:left="3842" w:hanging="360"/>
      </w:pPr>
      <w:rPr>
        <w:rFonts w:hint="default"/>
        <w:lang w:val="es-ES" w:eastAsia="en-US" w:bidi="ar-SA"/>
      </w:rPr>
    </w:lvl>
    <w:lvl w:ilvl="7">
      <w:start w:val="0"/>
      <w:numFmt w:val="bullet"/>
      <w:lvlText w:val="•"/>
      <w:lvlJc w:val="left"/>
      <w:pPr>
        <w:ind w:left="4409" w:hanging="360"/>
      </w:pPr>
      <w:rPr>
        <w:rFonts w:hint="default"/>
        <w:lang w:val="es-ES" w:eastAsia="en-US" w:bidi="ar-SA"/>
      </w:rPr>
    </w:lvl>
    <w:lvl w:ilvl="8">
      <w:start w:val="0"/>
      <w:numFmt w:val="bullet"/>
      <w:lvlText w:val="•"/>
      <w:lvlJc w:val="left"/>
      <w:pPr>
        <w:ind w:left="4976" w:hanging="360"/>
      </w:pPr>
      <w:rPr>
        <w:rFonts w:hint="default"/>
        <w:lang w:val="es-ES" w:eastAsia="en-US" w:bidi="ar-SA"/>
      </w:rPr>
    </w:lvl>
  </w:abstractNum>
  <w:abstractNum w:abstractNumId="204">
    <w:multiLevelType w:val="hybridMultilevel"/>
    <w:lvl w:ilvl="0">
      <w:start w:val="0"/>
      <w:numFmt w:val="bullet"/>
      <w:lvlText w:val=""/>
      <w:lvlJc w:val="left"/>
      <w:pPr>
        <w:ind w:left="432"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1007" w:hanging="360"/>
      </w:pPr>
      <w:rPr>
        <w:rFonts w:hint="default"/>
        <w:lang w:val="es-ES" w:eastAsia="en-US" w:bidi="ar-SA"/>
      </w:rPr>
    </w:lvl>
    <w:lvl w:ilvl="2">
      <w:start w:val="0"/>
      <w:numFmt w:val="bullet"/>
      <w:lvlText w:val="•"/>
      <w:lvlJc w:val="left"/>
      <w:pPr>
        <w:ind w:left="1574" w:hanging="360"/>
      </w:pPr>
      <w:rPr>
        <w:rFonts w:hint="default"/>
        <w:lang w:val="es-ES" w:eastAsia="en-US" w:bidi="ar-SA"/>
      </w:rPr>
    </w:lvl>
    <w:lvl w:ilvl="3">
      <w:start w:val="0"/>
      <w:numFmt w:val="bullet"/>
      <w:lvlText w:val="•"/>
      <w:lvlJc w:val="left"/>
      <w:pPr>
        <w:ind w:left="2141" w:hanging="360"/>
      </w:pPr>
      <w:rPr>
        <w:rFonts w:hint="default"/>
        <w:lang w:val="es-ES" w:eastAsia="en-US" w:bidi="ar-SA"/>
      </w:rPr>
    </w:lvl>
    <w:lvl w:ilvl="4">
      <w:start w:val="0"/>
      <w:numFmt w:val="bullet"/>
      <w:lvlText w:val="•"/>
      <w:lvlJc w:val="left"/>
      <w:pPr>
        <w:ind w:left="2708" w:hanging="360"/>
      </w:pPr>
      <w:rPr>
        <w:rFonts w:hint="default"/>
        <w:lang w:val="es-ES" w:eastAsia="en-US" w:bidi="ar-SA"/>
      </w:rPr>
    </w:lvl>
    <w:lvl w:ilvl="5">
      <w:start w:val="0"/>
      <w:numFmt w:val="bullet"/>
      <w:lvlText w:val="•"/>
      <w:lvlJc w:val="left"/>
      <w:pPr>
        <w:ind w:left="3275" w:hanging="360"/>
      </w:pPr>
      <w:rPr>
        <w:rFonts w:hint="default"/>
        <w:lang w:val="es-ES" w:eastAsia="en-US" w:bidi="ar-SA"/>
      </w:rPr>
    </w:lvl>
    <w:lvl w:ilvl="6">
      <w:start w:val="0"/>
      <w:numFmt w:val="bullet"/>
      <w:lvlText w:val="•"/>
      <w:lvlJc w:val="left"/>
      <w:pPr>
        <w:ind w:left="3842" w:hanging="360"/>
      </w:pPr>
      <w:rPr>
        <w:rFonts w:hint="default"/>
        <w:lang w:val="es-ES" w:eastAsia="en-US" w:bidi="ar-SA"/>
      </w:rPr>
    </w:lvl>
    <w:lvl w:ilvl="7">
      <w:start w:val="0"/>
      <w:numFmt w:val="bullet"/>
      <w:lvlText w:val="•"/>
      <w:lvlJc w:val="left"/>
      <w:pPr>
        <w:ind w:left="4409" w:hanging="360"/>
      </w:pPr>
      <w:rPr>
        <w:rFonts w:hint="default"/>
        <w:lang w:val="es-ES" w:eastAsia="en-US" w:bidi="ar-SA"/>
      </w:rPr>
    </w:lvl>
    <w:lvl w:ilvl="8">
      <w:start w:val="0"/>
      <w:numFmt w:val="bullet"/>
      <w:lvlText w:val="•"/>
      <w:lvlJc w:val="left"/>
      <w:pPr>
        <w:ind w:left="4976" w:hanging="360"/>
      </w:pPr>
      <w:rPr>
        <w:rFonts w:hint="default"/>
        <w:lang w:val="es-ES" w:eastAsia="en-US" w:bidi="ar-SA"/>
      </w:rPr>
    </w:lvl>
  </w:abstractNum>
  <w:abstractNum w:abstractNumId="203">
    <w:multiLevelType w:val="hybridMultilevel"/>
    <w:lvl w:ilvl="0">
      <w:start w:val="0"/>
      <w:numFmt w:val="bullet"/>
      <w:lvlText w:val=""/>
      <w:lvlJc w:val="left"/>
      <w:pPr>
        <w:ind w:left="432"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1007" w:hanging="360"/>
      </w:pPr>
      <w:rPr>
        <w:rFonts w:hint="default"/>
        <w:lang w:val="es-ES" w:eastAsia="en-US" w:bidi="ar-SA"/>
      </w:rPr>
    </w:lvl>
    <w:lvl w:ilvl="2">
      <w:start w:val="0"/>
      <w:numFmt w:val="bullet"/>
      <w:lvlText w:val="•"/>
      <w:lvlJc w:val="left"/>
      <w:pPr>
        <w:ind w:left="1574" w:hanging="360"/>
      </w:pPr>
      <w:rPr>
        <w:rFonts w:hint="default"/>
        <w:lang w:val="es-ES" w:eastAsia="en-US" w:bidi="ar-SA"/>
      </w:rPr>
    </w:lvl>
    <w:lvl w:ilvl="3">
      <w:start w:val="0"/>
      <w:numFmt w:val="bullet"/>
      <w:lvlText w:val="•"/>
      <w:lvlJc w:val="left"/>
      <w:pPr>
        <w:ind w:left="2141" w:hanging="360"/>
      </w:pPr>
      <w:rPr>
        <w:rFonts w:hint="default"/>
        <w:lang w:val="es-ES" w:eastAsia="en-US" w:bidi="ar-SA"/>
      </w:rPr>
    </w:lvl>
    <w:lvl w:ilvl="4">
      <w:start w:val="0"/>
      <w:numFmt w:val="bullet"/>
      <w:lvlText w:val="•"/>
      <w:lvlJc w:val="left"/>
      <w:pPr>
        <w:ind w:left="2708" w:hanging="360"/>
      </w:pPr>
      <w:rPr>
        <w:rFonts w:hint="default"/>
        <w:lang w:val="es-ES" w:eastAsia="en-US" w:bidi="ar-SA"/>
      </w:rPr>
    </w:lvl>
    <w:lvl w:ilvl="5">
      <w:start w:val="0"/>
      <w:numFmt w:val="bullet"/>
      <w:lvlText w:val="•"/>
      <w:lvlJc w:val="left"/>
      <w:pPr>
        <w:ind w:left="3275" w:hanging="360"/>
      </w:pPr>
      <w:rPr>
        <w:rFonts w:hint="default"/>
        <w:lang w:val="es-ES" w:eastAsia="en-US" w:bidi="ar-SA"/>
      </w:rPr>
    </w:lvl>
    <w:lvl w:ilvl="6">
      <w:start w:val="0"/>
      <w:numFmt w:val="bullet"/>
      <w:lvlText w:val="•"/>
      <w:lvlJc w:val="left"/>
      <w:pPr>
        <w:ind w:left="3842" w:hanging="360"/>
      </w:pPr>
      <w:rPr>
        <w:rFonts w:hint="default"/>
        <w:lang w:val="es-ES" w:eastAsia="en-US" w:bidi="ar-SA"/>
      </w:rPr>
    </w:lvl>
    <w:lvl w:ilvl="7">
      <w:start w:val="0"/>
      <w:numFmt w:val="bullet"/>
      <w:lvlText w:val="•"/>
      <w:lvlJc w:val="left"/>
      <w:pPr>
        <w:ind w:left="4409" w:hanging="360"/>
      </w:pPr>
      <w:rPr>
        <w:rFonts w:hint="default"/>
        <w:lang w:val="es-ES" w:eastAsia="en-US" w:bidi="ar-SA"/>
      </w:rPr>
    </w:lvl>
    <w:lvl w:ilvl="8">
      <w:start w:val="0"/>
      <w:numFmt w:val="bullet"/>
      <w:lvlText w:val="•"/>
      <w:lvlJc w:val="left"/>
      <w:pPr>
        <w:ind w:left="4976" w:hanging="360"/>
      </w:pPr>
      <w:rPr>
        <w:rFonts w:hint="default"/>
        <w:lang w:val="es-ES" w:eastAsia="en-US" w:bidi="ar-SA"/>
      </w:rPr>
    </w:lvl>
  </w:abstractNum>
  <w:abstractNum w:abstractNumId="202">
    <w:multiLevelType w:val="hybridMultilevel"/>
    <w:lvl w:ilvl="0">
      <w:start w:val="0"/>
      <w:numFmt w:val="bullet"/>
      <w:lvlText w:val=""/>
      <w:lvlJc w:val="left"/>
      <w:pPr>
        <w:ind w:left="432"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1007" w:hanging="360"/>
      </w:pPr>
      <w:rPr>
        <w:rFonts w:hint="default"/>
        <w:lang w:val="es-ES" w:eastAsia="en-US" w:bidi="ar-SA"/>
      </w:rPr>
    </w:lvl>
    <w:lvl w:ilvl="2">
      <w:start w:val="0"/>
      <w:numFmt w:val="bullet"/>
      <w:lvlText w:val="•"/>
      <w:lvlJc w:val="left"/>
      <w:pPr>
        <w:ind w:left="1574" w:hanging="360"/>
      </w:pPr>
      <w:rPr>
        <w:rFonts w:hint="default"/>
        <w:lang w:val="es-ES" w:eastAsia="en-US" w:bidi="ar-SA"/>
      </w:rPr>
    </w:lvl>
    <w:lvl w:ilvl="3">
      <w:start w:val="0"/>
      <w:numFmt w:val="bullet"/>
      <w:lvlText w:val="•"/>
      <w:lvlJc w:val="left"/>
      <w:pPr>
        <w:ind w:left="2141" w:hanging="360"/>
      </w:pPr>
      <w:rPr>
        <w:rFonts w:hint="default"/>
        <w:lang w:val="es-ES" w:eastAsia="en-US" w:bidi="ar-SA"/>
      </w:rPr>
    </w:lvl>
    <w:lvl w:ilvl="4">
      <w:start w:val="0"/>
      <w:numFmt w:val="bullet"/>
      <w:lvlText w:val="•"/>
      <w:lvlJc w:val="left"/>
      <w:pPr>
        <w:ind w:left="2708" w:hanging="360"/>
      </w:pPr>
      <w:rPr>
        <w:rFonts w:hint="default"/>
        <w:lang w:val="es-ES" w:eastAsia="en-US" w:bidi="ar-SA"/>
      </w:rPr>
    </w:lvl>
    <w:lvl w:ilvl="5">
      <w:start w:val="0"/>
      <w:numFmt w:val="bullet"/>
      <w:lvlText w:val="•"/>
      <w:lvlJc w:val="left"/>
      <w:pPr>
        <w:ind w:left="3275" w:hanging="360"/>
      </w:pPr>
      <w:rPr>
        <w:rFonts w:hint="default"/>
        <w:lang w:val="es-ES" w:eastAsia="en-US" w:bidi="ar-SA"/>
      </w:rPr>
    </w:lvl>
    <w:lvl w:ilvl="6">
      <w:start w:val="0"/>
      <w:numFmt w:val="bullet"/>
      <w:lvlText w:val="•"/>
      <w:lvlJc w:val="left"/>
      <w:pPr>
        <w:ind w:left="3842" w:hanging="360"/>
      </w:pPr>
      <w:rPr>
        <w:rFonts w:hint="default"/>
        <w:lang w:val="es-ES" w:eastAsia="en-US" w:bidi="ar-SA"/>
      </w:rPr>
    </w:lvl>
    <w:lvl w:ilvl="7">
      <w:start w:val="0"/>
      <w:numFmt w:val="bullet"/>
      <w:lvlText w:val="•"/>
      <w:lvlJc w:val="left"/>
      <w:pPr>
        <w:ind w:left="4409" w:hanging="360"/>
      </w:pPr>
      <w:rPr>
        <w:rFonts w:hint="default"/>
        <w:lang w:val="es-ES" w:eastAsia="en-US" w:bidi="ar-SA"/>
      </w:rPr>
    </w:lvl>
    <w:lvl w:ilvl="8">
      <w:start w:val="0"/>
      <w:numFmt w:val="bullet"/>
      <w:lvlText w:val="•"/>
      <w:lvlJc w:val="left"/>
      <w:pPr>
        <w:ind w:left="4976" w:hanging="360"/>
      </w:pPr>
      <w:rPr>
        <w:rFonts w:hint="default"/>
        <w:lang w:val="es-ES" w:eastAsia="en-US" w:bidi="ar-SA"/>
      </w:rPr>
    </w:lvl>
  </w:abstractNum>
  <w:abstractNum w:abstractNumId="201">
    <w:multiLevelType w:val="hybridMultilevel"/>
    <w:lvl w:ilvl="0">
      <w:start w:val="0"/>
      <w:numFmt w:val="bullet"/>
      <w:lvlText w:val=""/>
      <w:lvlJc w:val="left"/>
      <w:pPr>
        <w:ind w:left="432"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1007" w:hanging="360"/>
      </w:pPr>
      <w:rPr>
        <w:rFonts w:hint="default"/>
        <w:lang w:val="es-ES" w:eastAsia="en-US" w:bidi="ar-SA"/>
      </w:rPr>
    </w:lvl>
    <w:lvl w:ilvl="2">
      <w:start w:val="0"/>
      <w:numFmt w:val="bullet"/>
      <w:lvlText w:val="•"/>
      <w:lvlJc w:val="left"/>
      <w:pPr>
        <w:ind w:left="1574" w:hanging="360"/>
      </w:pPr>
      <w:rPr>
        <w:rFonts w:hint="default"/>
        <w:lang w:val="es-ES" w:eastAsia="en-US" w:bidi="ar-SA"/>
      </w:rPr>
    </w:lvl>
    <w:lvl w:ilvl="3">
      <w:start w:val="0"/>
      <w:numFmt w:val="bullet"/>
      <w:lvlText w:val="•"/>
      <w:lvlJc w:val="left"/>
      <w:pPr>
        <w:ind w:left="2141" w:hanging="360"/>
      </w:pPr>
      <w:rPr>
        <w:rFonts w:hint="default"/>
        <w:lang w:val="es-ES" w:eastAsia="en-US" w:bidi="ar-SA"/>
      </w:rPr>
    </w:lvl>
    <w:lvl w:ilvl="4">
      <w:start w:val="0"/>
      <w:numFmt w:val="bullet"/>
      <w:lvlText w:val="•"/>
      <w:lvlJc w:val="left"/>
      <w:pPr>
        <w:ind w:left="2708" w:hanging="360"/>
      </w:pPr>
      <w:rPr>
        <w:rFonts w:hint="default"/>
        <w:lang w:val="es-ES" w:eastAsia="en-US" w:bidi="ar-SA"/>
      </w:rPr>
    </w:lvl>
    <w:lvl w:ilvl="5">
      <w:start w:val="0"/>
      <w:numFmt w:val="bullet"/>
      <w:lvlText w:val="•"/>
      <w:lvlJc w:val="left"/>
      <w:pPr>
        <w:ind w:left="3275" w:hanging="360"/>
      </w:pPr>
      <w:rPr>
        <w:rFonts w:hint="default"/>
        <w:lang w:val="es-ES" w:eastAsia="en-US" w:bidi="ar-SA"/>
      </w:rPr>
    </w:lvl>
    <w:lvl w:ilvl="6">
      <w:start w:val="0"/>
      <w:numFmt w:val="bullet"/>
      <w:lvlText w:val="•"/>
      <w:lvlJc w:val="left"/>
      <w:pPr>
        <w:ind w:left="3842" w:hanging="360"/>
      </w:pPr>
      <w:rPr>
        <w:rFonts w:hint="default"/>
        <w:lang w:val="es-ES" w:eastAsia="en-US" w:bidi="ar-SA"/>
      </w:rPr>
    </w:lvl>
    <w:lvl w:ilvl="7">
      <w:start w:val="0"/>
      <w:numFmt w:val="bullet"/>
      <w:lvlText w:val="•"/>
      <w:lvlJc w:val="left"/>
      <w:pPr>
        <w:ind w:left="4409" w:hanging="360"/>
      </w:pPr>
      <w:rPr>
        <w:rFonts w:hint="default"/>
        <w:lang w:val="es-ES" w:eastAsia="en-US" w:bidi="ar-SA"/>
      </w:rPr>
    </w:lvl>
    <w:lvl w:ilvl="8">
      <w:start w:val="0"/>
      <w:numFmt w:val="bullet"/>
      <w:lvlText w:val="•"/>
      <w:lvlJc w:val="left"/>
      <w:pPr>
        <w:ind w:left="4976" w:hanging="360"/>
      </w:pPr>
      <w:rPr>
        <w:rFonts w:hint="default"/>
        <w:lang w:val="es-ES" w:eastAsia="en-US" w:bidi="ar-SA"/>
      </w:rPr>
    </w:lvl>
  </w:abstractNum>
  <w:abstractNum w:abstractNumId="200">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1349" w:hanging="360"/>
      </w:pPr>
      <w:rPr>
        <w:rFonts w:hint="default"/>
        <w:lang w:val="es-ES" w:eastAsia="en-US" w:bidi="ar-SA"/>
      </w:rPr>
    </w:lvl>
    <w:lvl w:ilvl="2">
      <w:start w:val="0"/>
      <w:numFmt w:val="bullet"/>
      <w:lvlText w:val="•"/>
      <w:lvlJc w:val="left"/>
      <w:pPr>
        <w:ind w:left="2258" w:hanging="360"/>
      </w:pPr>
      <w:rPr>
        <w:rFonts w:hint="default"/>
        <w:lang w:val="es-ES" w:eastAsia="en-US" w:bidi="ar-SA"/>
      </w:rPr>
    </w:lvl>
    <w:lvl w:ilvl="3">
      <w:start w:val="0"/>
      <w:numFmt w:val="bullet"/>
      <w:lvlText w:val="•"/>
      <w:lvlJc w:val="left"/>
      <w:pPr>
        <w:ind w:left="3167" w:hanging="360"/>
      </w:pPr>
      <w:rPr>
        <w:rFonts w:hint="default"/>
        <w:lang w:val="es-ES" w:eastAsia="en-US" w:bidi="ar-SA"/>
      </w:rPr>
    </w:lvl>
    <w:lvl w:ilvl="4">
      <w:start w:val="0"/>
      <w:numFmt w:val="bullet"/>
      <w:lvlText w:val="•"/>
      <w:lvlJc w:val="left"/>
      <w:pPr>
        <w:ind w:left="4076" w:hanging="360"/>
      </w:pPr>
      <w:rPr>
        <w:rFonts w:hint="default"/>
        <w:lang w:val="es-ES" w:eastAsia="en-US" w:bidi="ar-SA"/>
      </w:rPr>
    </w:lvl>
    <w:lvl w:ilvl="5">
      <w:start w:val="0"/>
      <w:numFmt w:val="bullet"/>
      <w:lvlText w:val="•"/>
      <w:lvlJc w:val="left"/>
      <w:pPr>
        <w:ind w:left="4986" w:hanging="360"/>
      </w:pPr>
      <w:rPr>
        <w:rFonts w:hint="default"/>
        <w:lang w:val="es-ES" w:eastAsia="en-US" w:bidi="ar-SA"/>
      </w:rPr>
    </w:lvl>
    <w:lvl w:ilvl="6">
      <w:start w:val="0"/>
      <w:numFmt w:val="bullet"/>
      <w:lvlText w:val="•"/>
      <w:lvlJc w:val="left"/>
      <w:pPr>
        <w:ind w:left="5895" w:hanging="360"/>
      </w:pPr>
      <w:rPr>
        <w:rFonts w:hint="default"/>
        <w:lang w:val="es-ES" w:eastAsia="en-US" w:bidi="ar-SA"/>
      </w:rPr>
    </w:lvl>
    <w:lvl w:ilvl="7">
      <w:start w:val="0"/>
      <w:numFmt w:val="bullet"/>
      <w:lvlText w:val="•"/>
      <w:lvlJc w:val="left"/>
      <w:pPr>
        <w:ind w:left="6804" w:hanging="360"/>
      </w:pPr>
      <w:rPr>
        <w:rFonts w:hint="default"/>
        <w:lang w:val="es-ES" w:eastAsia="en-US" w:bidi="ar-SA"/>
      </w:rPr>
    </w:lvl>
    <w:lvl w:ilvl="8">
      <w:start w:val="0"/>
      <w:numFmt w:val="bullet"/>
      <w:lvlText w:val="•"/>
      <w:lvlJc w:val="left"/>
      <w:pPr>
        <w:ind w:left="7713" w:hanging="360"/>
      </w:pPr>
      <w:rPr>
        <w:rFonts w:hint="default"/>
        <w:lang w:val="es-ES" w:eastAsia="en-US" w:bidi="ar-SA"/>
      </w:rPr>
    </w:lvl>
  </w:abstractNum>
  <w:abstractNum w:abstractNumId="199">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868" w:hanging="360"/>
      </w:pPr>
      <w:rPr>
        <w:rFonts w:hint="default"/>
        <w:lang w:val="es-ES" w:eastAsia="en-US" w:bidi="ar-SA"/>
      </w:rPr>
    </w:lvl>
    <w:lvl w:ilvl="2">
      <w:start w:val="0"/>
      <w:numFmt w:val="bullet"/>
      <w:lvlText w:val="•"/>
      <w:lvlJc w:val="left"/>
      <w:pPr>
        <w:ind w:left="1296" w:hanging="360"/>
      </w:pPr>
      <w:rPr>
        <w:rFonts w:hint="default"/>
        <w:lang w:val="es-ES" w:eastAsia="en-US" w:bidi="ar-SA"/>
      </w:rPr>
    </w:lvl>
    <w:lvl w:ilvl="3">
      <w:start w:val="0"/>
      <w:numFmt w:val="bullet"/>
      <w:lvlText w:val="•"/>
      <w:lvlJc w:val="left"/>
      <w:pPr>
        <w:ind w:left="1724" w:hanging="360"/>
      </w:pPr>
      <w:rPr>
        <w:rFonts w:hint="default"/>
        <w:lang w:val="es-ES" w:eastAsia="en-US" w:bidi="ar-SA"/>
      </w:rPr>
    </w:lvl>
    <w:lvl w:ilvl="4">
      <w:start w:val="0"/>
      <w:numFmt w:val="bullet"/>
      <w:lvlText w:val="•"/>
      <w:lvlJc w:val="left"/>
      <w:pPr>
        <w:ind w:left="2152" w:hanging="360"/>
      </w:pPr>
      <w:rPr>
        <w:rFonts w:hint="default"/>
        <w:lang w:val="es-ES" w:eastAsia="en-US" w:bidi="ar-SA"/>
      </w:rPr>
    </w:lvl>
    <w:lvl w:ilvl="5">
      <w:start w:val="0"/>
      <w:numFmt w:val="bullet"/>
      <w:lvlText w:val="•"/>
      <w:lvlJc w:val="left"/>
      <w:pPr>
        <w:ind w:left="2581" w:hanging="360"/>
      </w:pPr>
      <w:rPr>
        <w:rFonts w:hint="default"/>
        <w:lang w:val="es-ES" w:eastAsia="en-US" w:bidi="ar-SA"/>
      </w:rPr>
    </w:lvl>
    <w:lvl w:ilvl="6">
      <w:start w:val="0"/>
      <w:numFmt w:val="bullet"/>
      <w:lvlText w:val="•"/>
      <w:lvlJc w:val="left"/>
      <w:pPr>
        <w:ind w:left="3009" w:hanging="360"/>
      </w:pPr>
      <w:rPr>
        <w:rFonts w:hint="default"/>
        <w:lang w:val="es-ES" w:eastAsia="en-US" w:bidi="ar-SA"/>
      </w:rPr>
    </w:lvl>
    <w:lvl w:ilvl="7">
      <w:start w:val="0"/>
      <w:numFmt w:val="bullet"/>
      <w:lvlText w:val="•"/>
      <w:lvlJc w:val="left"/>
      <w:pPr>
        <w:ind w:left="3437" w:hanging="360"/>
      </w:pPr>
      <w:rPr>
        <w:rFonts w:hint="default"/>
        <w:lang w:val="es-ES" w:eastAsia="en-US" w:bidi="ar-SA"/>
      </w:rPr>
    </w:lvl>
    <w:lvl w:ilvl="8">
      <w:start w:val="0"/>
      <w:numFmt w:val="bullet"/>
      <w:lvlText w:val="•"/>
      <w:lvlJc w:val="left"/>
      <w:pPr>
        <w:ind w:left="3865" w:hanging="360"/>
      </w:pPr>
      <w:rPr>
        <w:rFonts w:hint="default"/>
        <w:lang w:val="es-ES" w:eastAsia="en-US" w:bidi="ar-SA"/>
      </w:rPr>
    </w:lvl>
  </w:abstractNum>
  <w:abstractNum w:abstractNumId="198">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868" w:hanging="360"/>
      </w:pPr>
      <w:rPr>
        <w:rFonts w:hint="default"/>
        <w:lang w:val="es-ES" w:eastAsia="en-US" w:bidi="ar-SA"/>
      </w:rPr>
    </w:lvl>
    <w:lvl w:ilvl="2">
      <w:start w:val="0"/>
      <w:numFmt w:val="bullet"/>
      <w:lvlText w:val="•"/>
      <w:lvlJc w:val="left"/>
      <w:pPr>
        <w:ind w:left="1296" w:hanging="360"/>
      </w:pPr>
      <w:rPr>
        <w:rFonts w:hint="default"/>
        <w:lang w:val="es-ES" w:eastAsia="en-US" w:bidi="ar-SA"/>
      </w:rPr>
    </w:lvl>
    <w:lvl w:ilvl="3">
      <w:start w:val="0"/>
      <w:numFmt w:val="bullet"/>
      <w:lvlText w:val="•"/>
      <w:lvlJc w:val="left"/>
      <w:pPr>
        <w:ind w:left="1724" w:hanging="360"/>
      </w:pPr>
      <w:rPr>
        <w:rFonts w:hint="default"/>
        <w:lang w:val="es-ES" w:eastAsia="en-US" w:bidi="ar-SA"/>
      </w:rPr>
    </w:lvl>
    <w:lvl w:ilvl="4">
      <w:start w:val="0"/>
      <w:numFmt w:val="bullet"/>
      <w:lvlText w:val="•"/>
      <w:lvlJc w:val="left"/>
      <w:pPr>
        <w:ind w:left="2152" w:hanging="360"/>
      </w:pPr>
      <w:rPr>
        <w:rFonts w:hint="default"/>
        <w:lang w:val="es-ES" w:eastAsia="en-US" w:bidi="ar-SA"/>
      </w:rPr>
    </w:lvl>
    <w:lvl w:ilvl="5">
      <w:start w:val="0"/>
      <w:numFmt w:val="bullet"/>
      <w:lvlText w:val="•"/>
      <w:lvlJc w:val="left"/>
      <w:pPr>
        <w:ind w:left="2581" w:hanging="360"/>
      </w:pPr>
      <w:rPr>
        <w:rFonts w:hint="default"/>
        <w:lang w:val="es-ES" w:eastAsia="en-US" w:bidi="ar-SA"/>
      </w:rPr>
    </w:lvl>
    <w:lvl w:ilvl="6">
      <w:start w:val="0"/>
      <w:numFmt w:val="bullet"/>
      <w:lvlText w:val="•"/>
      <w:lvlJc w:val="left"/>
      <w:pPr>
        <w:ind w:left="3009" w:hanging="360"/>
      </w:pPr>
      <w:rPr>
        <w:rFonts w:hint="default"/>
        <w:lang w:val="es-ES" w:eastAsia="en-US" w:bidi="ar-SA"/>
      </w:rPr>
    </w:lvl>
    <w:lvl w:ilvl="7">
      <w:start w:val="0"/>
      <w:numFmt w:val="bullet"/>
      <w:lvlText w:val="•"/>
      <w:lvlJc w:val="left"/>
      <w:pPr>
        <w:ind w:left="3437" w:hanging="360"/>
      </w:pPr>
      <w:rPr>
        <w:rFonts w:hint="default"/>
        <w:lang w:val="es-ES" w:eastAsia="en-US" w:bidi="ar-SA"/>
      </w:rPr>
    </w:lvl>
    <w:lvl w:ilvl="8">
      <w:start w:val="0"/>
      <w:numFmt w:val="bullet"/>
      <w:lvlText w:val="•"/>
      <w:lvlJc w:val="left"/>
      <w:pPr>
        <w:ind w:left="3865" w:hanging="360"/>
      </w:pPr>
      <w:rPr>
        <w:rFonts w:hint="default"/>
        <w:lang w:val="es-ES" w:eastAsia="en-US" w:bidi="ar-SA"/>
      </w:rPr>
    </w:lvl>
  </w:abstractNum>
  <w:abstractNum w:abstractNumId="197">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868" w:hanging="360"/>
      </w:pPr>
      <w:rPr>
        <w:rFonts w:hint="default"/>
        <w:lang w:val="es-ES" w:eastAsia="en-US" w:bidi="ar-SA"/>
      </w:rPr>
    </w:lvl>
    <w:lvl w:ilvl="2">
      <w:start w:val="0"/>
      <w:numFmt w:val="bullet"/>
      <w:lvlText w:val="•"/>
      <w:lvlJc w:val="left"/>
      <w:pPr>
        <w:ind w:left="1296" w:hanging="360"/>
      </w:pPr>
      <w:rPr>
        <w:rFonts w:hint="default"/>
        <w:lang w:val="es-ES" w:eastAsia="en-US" w:bidi="ar-SA"/>
      </w:rPr>
    </w:lvl>
    <w:lvl w:ilvl="3">
      <w:start w:val="0"/>
      <w:numFmt w:val="bullet"/>
      <w:lvlText w:val="•"/>
      <w:lvlJc w:val="left"/>
      <w:pPr>
        <w:ind w:left="1724" w:hanging="360"/>
      </w:pPr>
      <w:rPr>
        <w:rFonts w:hint="default"/>
        <w:lang w:val="es-ES" w:eastAsia="en-US" w:bidi="ar-SA"/>
      </w:rPr>
    </w:lvl>
    <w:lvl w:ilvl="4">
      <w:start w:val="0"/>
      <w:numFmt w:val="bullet"/>
      <w:lvlText w:val="•"/>
      <w:lvlJc w:val="left"/>
      <w:pPr>
        <w:ind w:left="2152" w:hanging="360"/>
      </w:pPr>
      <w:rPr>
        <w:rFonts w:hint="default"/>
        <w:lang w:val="es-ES" w:eastAsia="en-US" w:bidi="ar-SA"/>
      </w:rPr>
    </w:lvl>
    <w:lvl w:ilvl="5">
      <w:start w:val="0"/>
      <w:numFmt w:val="bullet"/>
      <w:lvlText w:val="•"/>
      <w:lvlJc w:val="left"/>
      <w:pPr>
        <w:ind w:left="2581" w:hanging="360"/>
      </w:pPr>
      <w:rPr>
        <w:rFonts w:hint="default"/>
        <w:lang w:val="es-ES" w:eastAsia="en-US" w:bidi="ar-SA"/>
      </w:rPr>
    </w:lvl>
    <w:lvl w:ilvl="6">
      <w:start w:val="0"/>
      <w:numFmt w:val="bullet"/>
      <w:lvlText w:val="•"/>
      <w:lvlJc w:val="left"/>
      <w:pPr>
        <w:ind w:left="3009" w:hanging="360"/>
      </w:pPr>
      <w:rPr>
        <w:rFonts w:hint="default"/>
        <w:lang w:val="es-ES" w:eastAsia="en-US" w:bidi="ar-SA"/>
      </w:rPr>
    </w:lvl>
    <w:lvl w:ilvl="7">
      <w:start w:val="0"/>
      <w:numFmt w:val="bullet"/>
      <w:lvlText w:val="•"/>
      <w:lvlJc w:val="left"/>
      <w:pPr>
        <w:ind w:left="3437" w:hanging="360"/>
      </w:pPr>
      <w:rPr>
        <w:rFonts w:hint="default"/>
        <w:lang w:val="es-ES" w:eastAsia="en-US" w:bidi="ar-SA"/>
      </w:rPr>
    </w:lvl>
    <w:lvl w:ilvl="8">
      <w:start w:val="0"/>
      <w:numFmt w:val="bullet"/>
      <w:lvlText w:val="•"/>
      <w:lvlJc w:val="left"/>
      <w:pPr>
        <w:ind w:left="3865" w:hanging="360"/>
      </w:pPr>
      <w:rPr>
        <w:rFonts w:hint="default"/>
        <w:lang w:val="es-ES" w:eastAsia="en-US" w:bidi="ar-SA"/>
      </w:rPr>
    </w:lvl>
  </w:abstractNum>
  <w:abstractNum w:abstractNumId="196">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868" w:hanging="360"/>
      </w:pPr>
      <w:rPr>
        <w:rFonts w:hint="default"/>
        <w:lang w:val="es-ES" w:eastAsia="en-US" w:bidi="ar-SA"/>
      </w:rPr>
    </w:lvl>
    <w:lvl w:ilvl="2">
      <w:start w:val="0"/>
      <w:numFmt w:val="bullet"/>
      <w:lvlText w:val="•"/>
      <w:lvlJc w:val="left"/>
      <w:pPr>
        <w:ind w:left="1296" w:hanging="360"/>
      </w:pPr>
      <w:rPr>
        <w:rFonts w:hint="default"/>
        <w:lang w:val="es-ES" w:eastAsia="en-US" w:bidi="ar-SA"/>
      </w:rPr>
    </w:lvl>
    <w:lvl w:ilvl="3">
      <w:start w:val="0"/>
      <w:numFmt w:val="bullet"/>
      <w:lvlText w:val="•"/>
      <w:lvlJc w:val="left"/>
      <w:pPr>
        <w:ind w:left="1724" w:hanging="360"/>
      </w:pPr>
      <w:rPr>
        <w:rFonts w:hint="default"/>
        <w:lang w:val="es-ES" w:eastAsia="en-US" w:bidi="ar-SA"/>
      </w:rPr>
    </w:lvl>
    <w:lvl w:ilvl="4">
      <w:start w:val="0"/>
      <w:numFmt w:val="bullet"/>
      <w:lvlText w:val="•"/>
      <w:lvlJc w:val="left"/>
      <w:pPr>
        <w:ind w:left="2152" w:hanging="360"/>
      </w:pPr>
      <w:rPr>
        <w:rFonts w:hint="default"/>
        <w:lang w:val="es-ES" w:eastAsia="en-US" w:bidi="ar-SA"/>
      </w:rPr>
    </w:lvl>
    <w:lvl w:ilvl="5">
      <w:start w:val="0"/>
      <w:numFmt w:val="bullet"/>
      <w:lvlText w:val="•"/>
      <w:lvlJc w:val="left"/>
      <w:pPr>
        <w:ind w:left="2581" w:hanging="360"/>
      </w:pPr>
      <w:rPr>
        <w:rFonts w:hint="default"/>
        <w:lang w:val="es-ES" w:eastAsia="en-US" w:bidi="ar-SA"/>
      </w:rPr>
    </w:lvl>
    <w:lvl w:ilvl="6">
      <w:start w:val="0"/>
      <w:numFmt w:val="bullet"/>
      <w:lvlText w:val="•"/>
      <w:lvlJc w:val="left"/>
      <w:pPr>
        <w:ind w:left="3009" w:hanging="360"/>
      </w:pPr>
      <w:rPr>
        <w:rFonts w:hint="default"/>
        <w:lang w:val="es-ES" w:eastAsia="en-US" w:bidi="ar-SA"/>
      </w:rPr>
    </w:lvl>
    <w:lvl w:ilvl="7">
      <w:start w:val="0"/>
      <w:numFmt w:val="bullet"/>
      <w:lvlText w:val="•"/>
      <w:lvlJc w:val="left"/>
      <w:pPr>
        <w:ind w:left="3437" w:hanging="360"/>
      </w:pPr>
      <w:rPr>
        <w:rFonts w:hint="default"/>
        <w:lang w:val="es-ES" w:eastAsia="en-US" w:bidi="ar-SA"/>
      </w:rPr>
    </w:lvl>
    <w:lvl w:ilvl="8">
      <w:start w:val="0"/>
      <w:numFmt w:val="bullet"/>
      <w:lvlText w:val="•"/>
      <w:lvlJc w:val="left"/>
      <w:pPr>
        <w:ind w:left="3865" w:hanging="360"/>
      </w:pPr>
      <w:rPr>
        <w:rFonts w:hint="default"/>
        <w:lang w:val="es-ES" w:eastAsia="en-US" w:bidi="ar-SA"/>
      </w:rPr>
    </w:lvl>
  </w:abstractNum>
  <w:abstractNum w:abstractNumId="195">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868" w:hanging="360"/>
      </w:pPr>
      <w:rPr>
        <w:rFonts w:hint="default"/>
        <w:lang w:val="es-ES" w:eastAsia="en-US" w:bidi="ar-SA"/>
      </w:rPr>
    </w:lvl>
    <w:lvl w:ilvl="2">
      <w:start w:val="0"/>
      <w:numFmt w:val="bullet"/>
      <w:lvlText w:val="•"/>
      <w:lvlJc w:val="left"/>
      <w:pPr>
        <w:ind w:left="1296" w:hanging="360"/>
      </w:pPr>
      <w:rPr>
        <w:rFonts w:hint="default"/>
        <w:lang w:val="es-ES" w:eastAsia="en-US" w:bidi="ar-SA"/>
      </w:rPr>
    </w:lvl>
    <w:lvl w:ilvl="3">
      <w:start w:val="0"/>
      <w:numFmt w:val="bullet"/>
      <w:lvlText w:val="•"/>
      <w:lvlJc w:val="left"/>
      <w:pPr>
        <w:ind w:left="1724" w:hanging="360"/>
      </w:pPr>
      <w:rPr>
        <w:rFonts w:hint="default"/>
        <w:lang w:val="es-ES" w:eastAsia="en-US" w:bidi="ar-SA"/>
      </w:rPr>
    </w:lvl>
    <w:lvl w:ilvl="4">
      <w:start w:val="0"/>
      <w:numFmt w:val="bullet"/>
      <w:lvlText w:val="•"/>
      <w:lvlJc w:val="left"/>
      <w:pPr>
        <w:ind w:left="2152" w:hanging="360"/>
      </w:pPr>
      <w:rPr>
        <w:rFonts w:hint="default"/>
        <w:lang w:val="es-ES" w:eastAsia="en-US" w:bidi="ar-SA"/>
      </w:rPr>
    </w:lvl>
    <w:lvl w:ilvl="5">
      <w:start w:val="0"/>
      <w:numFmt w:val="bullet"/>
      <w:lvlText w:val="•"/>
      <w:lvlJc w:val="left"/>
      <w:pPr>
        <w:ind w:left="2581" w:hanging="360"/>
      </w:pPr>
      <w:rPr>
        <w:rFonts w:hint="default"/>
        <w:lang w:val="es-ES" w:eastAsia="en-US" w:bidi="ar-SA"/>
      </w:rPr>
    </w:lvl>
    <w:lvl w:ilvl="6">
      <w:start w:val="0"/>
      <w:numFmt w:val="bullet"/>
      <w:lvlText w:val="•"/>
      <w:lvlJc w:val="left"/>
      <w:pPr>
        <w:ind w:left="3009" w:hanging="360"/>
      </w:pPr>
      <w:rPr>
        <w:rFonts w:hint="default"/>
        <w:lang w:val="es-ES" w:eastAsia="en-US" w:bidi="ar-SA"/>
      </w:rPr>
    </w:lvl>
    <w:lvl w:ilvl="7">
      <w:start w:val="0"/>
      <w:numFmt w:val="bullet"/>
      <w:lvlText w:val="•"/>
      <w:lvlJc w:val="left"/>
      <w:pPr>
        <w:ind w:left="3437" w:hanging="360"/>
      </w:pPr>
      <w:rPr>
        <w:rFonts w:hint="default"/>
        <w:lang w:val="es-ES" w:eastAsia="en-US" w:bidi="ar-SA"/>
      </w:rPr>
    </w:lvl>
    <w:lvl w:ilvl="8">
      <w:start w:val="0"/>
      <w:numFmt w:val="bullet"/>
      <w:lvlText w:val="•"/>
      <w:lvlJc w:val="left"/>
      <w:pPr>
        <w:ind w:left="3865" w:hanging="360"/>
      </w:pPr>
      <w:rPr>
        <w:rFonts w:hint="default"/>
        <w:lang w:val="es-ES" w:eastAsia="en-US" w:bidi="ar-SA"/>
      </w:rPr>
    </w:lvl>
  </w:abstractNum>
  <w:abstractNum w:abstractNumId="194">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868" w:hanging="360"/>
      </w:pPr>
      <w:rPr>
        <w:rFonts w:hint="default"/>
        <w:lang w:val="es-ES" w:eastAsia="en-US" w:bidi="ar-SA"/>
      </w:rPr>
    </w:lvl>
    <w:lvl w:ilvl="2">
      <w:start w:val="0"/>
      <w:numFmt w:val="bullet"/>
      <w:lvlText w:val="•"/>
      <w:lvlJc w:val="left"/>
      <w:pPr>
        <w:ind w:left="1296" w:hanging="360"/>
      </w:pPr>
      <w:rPr>
        <w:rFonts w:hint="default"/>
        <w:lang w:val="es-ES" w:eastAsia="en-US" w:bidi="ar-SA"/>
      </w:rPr>
    </w:lvl>
    <w:lvl w:ilvl="3">
      <w:start w:val="0"/>
      <w:numFmt w:val="bullet"/>
      <w:lvlText w:val="•"/>
      <w:lvlJc w:val="left"/>
      <w:pPr>
        <w:ind w:left="1724" w:hanging="360"/>
      </w:pPr>
      <w:rPr>
        <w:rFonts w:hint="default"/>
        <w:lang w:val="es-ES" w:eastAsia="en-US" w:bidi="ar-SA"/>
      </w:rPr>
    </w:lvl>
    <w:lvl w:ilvl="4">
      <w:start w:val="0"/>
      <w:numFmt w:val="bullet"/>
      <w:lvlText w:val="•"/>
      <w:lvlJc w:val="left"/>
      <w:pPr>
        <w:ind w:left="2152" w:hanging="360"/>
      </w:pPr>
      <w:rPr>
        <w:rFonts w:hint="default"/>
        <w:lang w:val="es-ES" w:eastAsia="en-US" w:bidi="ar-SA"/>
      </w:rPr>
    </w:lvl>
    <w:lvl w:ilvl="5">
      <w:start w:val="0"/>
      <w:numFmt w:val="bullet"/>
      <w:lvlText w:val="•"/>
      <w:lvlJc w:val="left"/>
      <w:pPr>
        <w:ind w:left="2581" w:hanging="360"/>
      </w:pPr>
      <w:rPr>
        <w:rFonts w:hint="default"/>
        <w:lang w:val="es-ES" w:eastAsia="en-US" w:bidi="ar-SA"/>
      </w:rPr>
    </w:lvl>
    <w:lvl w:ilvl="6">
      <w:start w:val="0"/>
      <w:numFmt w:val="bullet"/>
      <w:lvlText w:val="•"/>
      <w:lvlJc w:val="left"/>
      <w:pPr>
        <w:ind w:left="3009" w:hanging="360"/>
      </w:pPr>
      <w:rPr>
        <w:rFonts w:hint="default"/>
        <w:lang w:val="es-ES" w:eastAsia="en-US" w:bidi="ar-SA"/>
      </w:rPr>
    </w:lvl>
    <w:lvl w:ilvl="7">
      <w:start w:val="0"/>
      <w:numFmt w:val="bullet"/>
      <w:lvlText w:val="•"/>
      <w:lvlJc w:val="left"/>
      <w:pPr>
        <w:ind w:left="3437" w:hanging="360"/>
      </w:pPr>
      <w:rPr>
        <w:rFonts w:hint="default"/>
        <w:lang w:val="es-ES" w:eastAsia="en-US" w:bidi="ar-SA"/>
      </w:rPr>
    </w:lvl>
    <w:lvl w:ilvl="8">
      <w:start w:val="0"/>
      <w:numFmt w:val="bullet"/>
      <w:lvlText w:val="•"/>
      <w:lvlJc w:val="left"/>
      <w:pPr>
        <w:ind w:left="3865" w:hanging="360"/>
      </w:pPr>
      <w:rPr>
        <w:rFonts w:hint="default"/>
        <w:lang w:val="es-ES" w:eastAsia="en-US" w:bidi="ar-SA"/>
      </w:rPr>
    </w:lvl>
  </w:abstractNum>
  <w:abstractNum w:abstractNumId="193">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909" w:hanging="360"/>
      </w:pPr>
      <w:rPr>
        <w:rFonts w:hint="default"/>
        <w:lang w:val="es-ES" w:eastAsia="en-US" w:bidi="ar-SA"/>
      </w:rPr>
    </w:lvl>
    <w:lvl w:ilvl="2">
      <w:start w:val="0"/>
      <w:numFmt w:val="bullet"/>
      <w:lvlText w:val="•"/>
      <w:lvlJc w:val="left"/>
      <w:pPr>
        <w:ind w:left="1379" w:hanging="360"/>
      </w:pPr>
      <w:rPr>
        <w:rFonts w:hint="default"/>
        <w:lang w:val="es-ES" w:eastAsia="en-US" w:bidi="ar-SA"/>
      </w:rPr>
    </w:lvl>
    <w:lvl w:ilvl="3">
      <w:start w:val="0"/>
      <w:numFmt w:val="bullet"/>
      <w:lvlText w:val="•"/>
      <w:lvlJc w:val="left"/>
      <w:pPr>
        <w:ind w:left="1849" w:hanging="360"/>
      </w:pPr>
      <w:rPr>
        <w:rFonts w:hint="default"/>
        <w:lang w:val="es-ES" w:eastAsia="en-US" w:bidi="ar-SA"/>
      </w:rPr>
    </w:lvl>
    <w:lvl w:ilvl="4">
      <w:start w:val="0"/>
      <w:numFmt w:val="bullet"/>
      <w:lvlText w:val="•"/>
      <w:lvlJc w:val="left"/>
      <w:pPr>
        <w:ind w:left="2319" w:hanging="360"/>
      </w:pPr>
      <w:rPr>
        <w:rFonts w:hint="default"/>
        <w:lang w:val="es-ES" w:eastAsia="en-US" w:bidi="ar-SA"/>
      </w:rPr>
    </w:lvl>
    <w:lvl w:ilvl="5">
      <w:start w:val="0"/>
      <w:numFmt w:val="bullet"/>
      <w:lvlText w:val="•"/>
      <w:lvlJc w:val="left"/>
      <w:pPr>
        <w:ind w:left="2789" w:hanging="360"/>
      </w:pPr>
      <w:rPr>
        <w:rFonts w:hint="default"/>
        <w:lang w:val="es-ES" w:eastAsia="en-US" w:bidi="ar-SA"/>
      </w:rPr>
    </w:lvl>
    <w:lvl w:ilvl="6">
      <w:start w:val="0"/>
      <w:numFmt w:val="bullet"/>
      <w:lvlText w:val="•"/>
      <w:lvlJc w:val="left"/>
      <w:pPr>
        <w:ind w:left="3259" w:hanging="360"/>
      </w:pPr>
      <w:rPr>
        <w:rFonts w:hint="default"/>
        <w:lang w:val="es-ES" w:eastAsia="en-US" w:bidi="ar-SA"/>
      </w:rPr>
    </w:lvl>
    <w:lvl w:ilvl="7">
      <w:start w:val="0"/>
      <w:numFmt w:val="bullet"/>
      <w:lvlText w:val="•"/>
      <w:lvlJc w:val="left"/>
      <w:pPr>
        <w:ind w:left="3729" w:hanging="360"/>
      </w:pPr>
      <w:rPr>
        <w:rFonts w:hint="default"/>
        <w:lang w:val="es-ES" w:eastAsia="en-US" w:bidi="ar-SA"/>
      </w:rPr>
    </w:lvl>
    <w:lvl w:ilvl="8">
      <w:start w:val="0"/>
      <w:numFmt w:val="bullet"/>
      <w:lvlText w:val="•"/>
      <w:lvlJc w:val="left"/>
      <w:pPr>
        <w:ind w:left="4199" w:hanging="360"/>
      </w:pPr>
      <w:rPr>
        <w:rFonts w:hint="default"/>
        <w:lang w:val="es-ES" w:eastAsia="en-US" w:bidi="ar-SA"/>
      </w:rPr>
    </w:lvl>
  </w:abstractNum>
  <w:abstractNum w:abstractNumId="192">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909" w:hanging="360"/>
      </w:pPr>
      <w:rPr>
        <w:rFonts w:hint="default"/>
        <w:lang w:val="es-ES" w:eastAsia="en-US" w:bidi="ar-SA"/>
      </w:rPr>
    </w:lvl>
    <w:lvl w:ilvl="2">
      <w:start w:val="0"/>
      <w:numFmt w:val="bullet"/>
      <w:lvlText w:val="•"/>
      <w:lvlJc w:val="left"/>
      <w:pPr>
        <w:ind w:left="1379" w:hanging="360"/>
      </w:pPr>
      <w:rPr>
        <w:rFonts w:hint="default"/>
        <w:lang w:val="es-ES" w:eastAsia="en-US" w:bidi="ar-SA"/>
      </w:rPr>
    </w:lvl>
    <w:lvl w:ilvl="3">
      <w:start w:val="0"/>
      <w:numFmt w:val="bullet"/>
      <w:lvlText w:val="•"/>
      <w:lvlJc w:val="left"/>
      <w:pPr>
        <w:ind w:left="1849" w:hanging="360"/>
      </w:pPr>
      <w:rPr>
        <w:rFonts w:hint="default"/>
        <w:lang w:val="es-ES" w:eastAsia="en-US" w:bidi="ar-SA"/>
      </w:rPr>
    </w:lvl>
    <w:lvl w:ilvl="4">
      <w:start w:val="0"/>
      <w:numFmt w:val="bullet"/>
      <w:lvlText w:val="•"/>
      <w:lvlJc w:val="left"/>
      <w:pPr>
        <w:ind w:left="2319" w:hanging="360"/>
      </w:pPr>
      <w:rPr>
        <w:rFonts w:hint="default"/>
        <w:lang w:val="es-ES" w:eastAsia="en-US" w:bidi="ar-SA"/>
      </w:rPr>
    </w:lvl>
    <w:lvl w:ilvl="5">
      <w:start w:val="0"/>
      <w:numFmt w:val="bullet"/>
      <w:lvlText w:val="•"/>
      <w:lvlJc w:val="left"/>
      <w:pPr>
        <w:ind w:left="2789" w:hanging="360"/>
      </w:pPr>
      <w:rPr>
        <w:rFonts w:hint="default"/>
        <w:lang w:val="es-ES" w:eastAsia="en-US" w:bidi="ar-SA"/>
      </w:rPr>
    </w:lvl>
    <w:lvl w:ilvl="6">
      <w:start w:val="0"/>
      <w:numFmt w:val="bullet"/>
      <w:lvlText w:val="•"/>
      <w:lvlJc w:val="left"/>
      <w:pPr>
        <w:ind w:left="3259" w:hanging="360"/>
      </w:pPr>
      <w:rPr>
        <w:rFonts w:hint="default"/>
        <w:lang w:val="es-ES" w:eastAsia="en-US" w:bidi="ar-SA"/>
      </w:rPr>
    </w:lvl>
    <w:lvl w:ilvl="7">
      <w:start w:val="0"/>
      <w:numFmt w:val="bullet"/>
      <w:lvlText w:val="•"/>
      <w:lvlJc w:val="left"/>
      <w:pPr>
        <w:ind w:left="3729" w:hanging="360"/>
      </w:pPr>
      <w:rPr>
        <w:rFonts w:hint="default"/>
        <w:lang w:val="es-ES" w:eastAsia="en-US" w:bidi="ar-SA"/>
      </w:rPr>
    </w:lvl>
    <w:lvl w:ilvl="8">
      <w:start w:val="0"/>
      <w:numFmt w:val="bullet"/>
      <w:lvlText w:val="•"/>
      <w:lvlJc w:val="left"/>
      <w:pPr>
        <w:ind w:left="4199" w:hanging="360"/>
      </w:pPr>
      <w:rPr>
        <w:rFonts w:hint="default"/>
        <w:lang w:val="es-ES" w:eastAsia="en-US" w:bidi="ar-SA"/>
      </w:rPr>
    </w:lvl>
  </w:abstractNum>
  <w:abstractNum w:abstractNumId="191">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909" w:hanging="360"/>
      </w:pPr>
      <w:rPr>
        <w:rFonts w:hint="default"/>
        <w:lang w:val="es-ES" w:eastAsia="en-US" w:bidi="ar-SA"/>
      </w:rPr>
    </w:lvl>
    <w:lvl w:ilvl="2">
      <w:start w:val="0"/>
      <w:numFmt w:val="bullet"/>
      <w:lvlText w:val="•"/>
      <w:lvlJc w:val="left"/>
      <w:pPr>
        <w:ind w:left="1379" w:hanging="360"/>
      </w:pPr>
      <w:rPr>
        <w:rFonts w:hint="default"/>
        <w:lang w:val="es-ES" w:eastAsia="en-US" w:bidi="ar-SA"/>
      </w:rPr>
    </w:lvl>
    <w:lvl w:ilvl="3">
      <w:start w:val="0"/>
      <w:numFmt w:val="bullet"/>
      <w:lvlText w:val="•"/>
      <w:lvlJc w:val="left"/>
      <w:pPr>
        <w:ind w:left="1849" w:hanging="360"/>
      </w:pPr>
      <w:rPr>
        <w:rFonts w:hint="default"/>
        <w:lang w:val="es-ES" w:eastAsia="en-US" w:bidi="ar-SA"/>
      </w:rPr>
    </w:lvl>
    <w:lvl w:ilvl="4">
      <w:start w:val="0"/>
      <w:numFmt w:val="bullet"/>
      <w:lvlText w:val="•"/>
      <w:lvlJc w:val="left"/>
      <w:pPr>
        <w:ind w:left="2319" w:hanging="360"/>
      </w:pPr>
      <w:rPr>
        <w:rFonts w:hint="default"/>
        <w:lang w:val="es-ES" w:eastAsia="en-US" w:bidi="ar-SA"/>
      </w:rPr>
    </w:lvl>
    <w:lvl w:ilvl="5">
      <w:start w:val="0"/>
      <w:numFmt w:val="bullet"/>
      <w:lvlText w:val="•"/>
      <w:lvlJc w:val="left"/>
      <w:pPr>
        <w:ind w:left="2789" w:hanging="360"/>
      </w:pPr>
      <w:rPr>
        <w:rFonts w:hint="default"/>
        <w:lang w:val="es-ES" w:eastAsia="en-US" w:bidi="ar-SA"/>
      </w:rPr>
    </w:lvl>
    <w:lvl w:ilvl="6">
      <w:start w:val="0"/>
      <w:numFmt w:val="bullet"/>
      <w:lvlText w:val="•"/>
      <w:lvlJc w:val="left"/>
      <w:pPr>
        <w:ind w:left="3259" w:hanging="360"/>
      </w:pPr>
      <w:rPr>
        <w:rFonts w:hint="default"/>
        <w:lang w:val="es-ES" w:eastAsia="en-US" w:bidi="ar-SA"/>
      </w:rPr>
    </w:lvl>
    <w:lvl w:ilvl="7">
      <w:start w:val="0"/>
      <w:numFmt w:val="bullet"/>
      <w:lvlText w:val="•"/>
      <w:lvlJc w:val="left"/>
      <w:pPr>
        <w:ind w:left="3729" w:hanging="360"/>
      </w:pPr>
      <w:rPr>
        <w:rFonts w:hint="default"/>
        <w:lang w:val="es-ES" w:eastAsia="en-US" w:bidi="ar-SA"/>
      </w:rPr>
    </w:lvl>
    <w:lvl w:ilvl="8">
      <w:start w:val="0"/>
      <w:numFmt w:val="bullet"/>
      <w:lvlText w:val="•"/>
      <w:lvlJc w:val="left"/>
      <w:pPr>
        <w:ind w:left="4199" w:hanging="360"/>
      </w:pPr>
      <w:rPr>
        <w:rFonts w:hint="default"/>
        <w:lang w:val="es-ES" w:eastAsia="en-US" w:bidi="ar-SA"/>
      </w:rPr>
    </w:lvl>
  </w:abstractNum>
  <w:abstractNum w:abstractNumId="190">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909" w:hanging="360"/>
      </w:pPr>
      <w:rPr>
        <w:rFonts w:hint="default"/>
        <w:lang w:val="es-ES" w:eastAsia="en-US" w:bidi="ar-SA"/>
      </w:rPr>
    </w:lvl>
    <w:lvl w:ilvl="2">
      <w:start w:val="0"/>
      <w:numFmt w:val="bullet"/>
      <w:lvlText w:val="•"/>
      <w:lvlJc w:val="left"/>
      <w:pPr>
        <w:ind w:left="1379" w:hanging="360"/>
      </w:pPr>
      <w:rPr>
        <w:rFonts w:hint="default"/>
        <w:lang w:val="es-ES" w:eastAsia="en-US" w:bidi="ar-SA"/>
      </w:rPr>
    </w:lvl>
    <w:lvl w:ilvl="3">
      <w:start w:val="0"/>
      <w:numFmt w:val="bullet"/>
      <w:lvlText w:val="•"/>
      <w:lvlJc w:val="left"/>
      <w:pPr>
        <w:ind w:left="1849" w:hanging="360"/>
      </w:pPr>
      <w:rPr>
        <w:rFonts w:hint="default"/>
        <w:lang w:val="es-ES" w:eastAsia="en-US" w:bidi="ar-SA"/>
      </w:rPr>
    </w:lvl>
    <w:lvl w:ilvl="4">
      <w:start w:val="0"/>
      <w:numFmt w:val="bullet"/>
      <w:lvlText w:val="•"/>
      <w:lvlJc w:val="left"/>
      <w:pPr>
        <w:ind w:left="2319" w:hanging="360"/>
      </w:pPr>
      <w:rPr>
        <w:rFonts w:hint="default"/>
        <w:lang w:val="es-ES" w:eastAsia="en-US" w:bidi="ar-SA"/>
      </w:rPr>
    </w:lvl>
    <w:lvl w:ilvl="5">
      <w:start w:val="0"/>
      <w:numFmt w:val="bullet"/>
      <w:lvlText w:val="•"/>
      <w:lvlJc w:val="left"/>
      <w:pPr>
        <w:ind w:left="2789" w:hanging="360"/>
      </w:pPr>
      <w:rPr>
        <w:rFonts w:hint="default"/>
        <w:lang w:val="es-ES" w:eastAsia="en-US" w:bidi="ar-SA"/>
      </w:rPr>
    </w:lvl>
    <w:lvl w:ilvl="6">
      <w:start w:val="0"/>
      <w:numFmt w:val="bullet"/>
      <w:lvlText w:val="•"/>
      <w:lvlJc w:val="left"/>
      <w:pPr>
        <w:ind w:left="3259" w:hanging="360"/>
      </w:pPr>
      <w:rPr>
        <w:rFonts w:hint="default"/>
        <w:lang w:val="es-ES" w:eastAsia="en-US" w:bidi="ar-SA"/>
      </w:rPr>
    </w:lvl>
    <w:lvl w:ilvl="7">
      <w:start w:val="0"/>
      <w:numFmt w:val="bullet"/>
      <w:lvlText w:val="•"/>
      <w:lvlJc w:val="left"/>
      <w:pPr>
        <w:ind w:left="3729" w:hanging="360"/>
      </w:pPr>
      <w:rPr>
        <w:rFonts w:hint="default"/>
        <w:lang w:val="es-ES" w:eastAsia="en-US" w:bidi="ar-SA"/>
      </w:rPr>
    </w:lvl>
    <w:lvl w:ilvl="8">
      <w:start w:val="0"/>
      <w:numFmt w:val="bullet"/>
      <w:lvlText w:val="•"/>
      <w:lvlJc w:val="left"/>
      <w:pPr>
        <w:ind w:left="4199" w:hanging="360"/>
      </w:pPr>
      <w:rPr>
        <w:rFonts w:hint="default"/>
        <w:lang w:val="es-ES" w:eastAsia="en-US" w:bidi="ar-SA"/>
      </w:rPr>
    </w:lvl>
  </w:abstractNum>
  <w:abstractNum w:abstractNumId="189">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909" w:hanging="360"/>
      </w:pPr>
      <w:rPr>
        <w:rFonts w:hint="default"/>
        <w:lang w:val="es-ES" w:eastAsia="en-US" w:bidi="ar-SA"/>
      </w:rPr>
    </w:lvl>
    <w:lvl w:ilvl="2">
      <w:start w:val="0"/>
      <w:numFmt w:val="bullet"/>
      <w:lvlText w:val="•"/>
      <w:lvlJc w:val="left"/>
      <w:pPr>
        <w:ind w:left="1379" w:hanging="360"/>
      </w:pPr>
      <w:rPr>
        <w:rFonts w:hint="default"/>
        <w:lang w:val="es-ES" w:eastAsia="en-US" w:bidi="ar-SA"/>
      </w:rPr>
    </w:lvl>
    <w:lvl w:ilvl="3">
      <w:start w:val="0"/>
      <w:numFmt w:val="bullet"/>
      <w:lvlText w:val="•"/>
      <w:lvlJc w:val="left"/>
      <w:pPr>
        <w:ind w:left="1849" w:hanging="360"/>
      </w:pPr>
      <w:rPr>
        <w:rFonts w:hint="default"/>
        <w:lang w:val="es-ES" w:eastAsia="en-US" w:bidi="ar-SA"/>
      </w:rPr>
    </w:lvl>
    <w:lvl w:ilvl="4">
      <w:start w:val="0"/>
      <w:numFmt w:val="bullet"/>
      <w:lvlText w:val="•"/>
      <w:lvlJc w:val="left"/>
      <w:pPr>
        <w:ind w:left="2319" w:hanging="360"/>
      </w:pPr>
      <w:rPr>
        <w:rFonts w:hint="default"/>
        <w:lang w:val="es-ES" w:eastAsia="en-US" w:bidi="ar-SA"/>
      </w:rPr>
    </w:lvl>
    <w:lvl w:ilvl="5">
      <w:start w:val="0"/>
      <w:numFmt w:val="bullet"/>
      <w:lvlText w:val="•"/>
      <w:lvlJc w:val="left"/>
      <w:pPr>
        <w:ind w:left="2789" w:hanging="360"/>
      </w:pPr>
      <w:rPr>
        <w:rFonts w:hint="default"/>
        <w:lang w:val="es-ES" w:eastAsia="en-US" w:bidi="ar-SA"/>
      </w:rPr>
    </w:lvl>
    <w:lvl w:ilvl="6">
      <w:start w:val="0"/>
      <w:numFmt w:val="bullet"/>
      <w:lvlText w:val="•"/>
      <w:lvlJc w:val="left"/>
      <w:pPr>
        <w:ind w:left="3259" w:hanging="360"/>
      </w:pPr>
      <w:rPr>
        <w:rFonts w:hint="default"/>
        <w:lang w:val="es-ES" w:eastAsia="en-US" w:bidi="ar-SA"/>
      </w:rPr>
    </w:lvl>
    <w:lvl w:ilvl="7">
      <w:start w:val="0"/>
      <w:numFmt w:val="bullet"/>
      <w:lvlText w:val="•"/>
      <w:lvlJc w:val="left"/>
      <w:pPr>
        <w:ind w:left="3729" w:hanging="360"/>
      </w:pPr>
      <w:rPr>
        <w:rFonts w:hint="default"/>
        <w:lang w:val="es-ES" w:eastAsia="en-US" w:bidi="ar-SA"/>
      </w:rPr>
    </w:lvl>
    <w:lvl w:ilvl="8">
      <w:start w:val="0"/>
      <w:numFmt w:val="bullet"/>
      <w:lvlText w:val="•"/>
      <w:lvlJc w:val="left"/>
      <w:pPr>
        <w:ind w:left="4199" w:hanging="360"/>
      </w:pPr>
      <w:rPr>
        <w:rFonts w:hint="default"/>
        <w:lang w:val="es-ES" w:eastAsia="en-US" w:bidi="ar-SA"/>
      </w:rPr>
    </w:lvl>
  </w:abstractNum>
  <w:abstractNum w:abstractNumId="188">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1091" w:hanging="360"/>
      </w:pPr>
      <w:rPr>
        <w:rFonts w:hint="default"/>
        <w:lang w:val="es-ES" w:eastAsia="en-US" w:bidi="ar-SA"/>
      </w:rPr>
    </w:lvl>
    <w:lvl w:ilvl="2">
      <w:start w:val="0"/>
      <w:numFmt w:val="bullet"/>
      <w:lvlText w:val="•"/>
      <w:lvlJc w:val="left"/>
      <w:pPr>
        <w:ind w:left="1742" w:hanging="360"/>
      </w:pPr>
      <w:rPr>
        <w:rFonts w:hint="default"/>
        <w:lang w:val="es-ES" w:eastAsia="en-US" w:bidi="ar-SA"/>
      </w:rPr>
    </w:lvl>
    <w:lvl w:ilvl="3">
      <w:start w:val="0"/>
      <w:numFmt w:val="bullet"/>
      <w:lvlText w:val="•"/>
      <w:lvlJc w:val="left"/>
      <w:pPr>
        <w:ind w:left="2393" w:hanging="360"/>
      </w:pPr>
      <w:rPr>
        <w:rFonts w:hint="default"/>
        <w:lang w:val="es-ES" w:eastAsia="en-US" w:bidi="ar-SA"/>
      </w:rPr>
    </w:lvl>
    <w:lvl w:ilvl="4">
      <w:start w:val="0"/>
      <w:numFmt w:val="bullet"/>
      <w:lvlText w:val="•"/>
      <w:lvlJc w:val="left"/>
      <w:pPr>
        <w:ind w:left="3044" w:hanging="360"/>
      </w:pPr>
      <w:rPr>
        <w:rFonts w:hint="default"/>
        <w:lang w:val="es-ES" w:eastAsia="en-US" w:bidi="ar-SA"/>
      </w:rPr>
    </w:lvl>
    <w:lvl w:ilvl="5">
      <w:start w:val="0"/>
      <w:numFmt w:val="bullet"/>
      <w:lvlText w:val="•"/>
      <w:lvlJc w:val="left"/>
      <w:pPr>
        <w:ind w:left="3696" w:hanging="360"/>
      </w:pPr>
      <w:rPr>
        <w:rFonts w:hint="default"/>
        <w:lang w:val="es-ES" w:eastAsia="en-US" w:bidi="ar-SA"/>
      </w:rPr>
    </w:lvl>
    <w:lvl w:ilvl="6">
      <w:start w:val="0"/>
      <w:numFmt w:val="bullet"/>
      <w:lvlText w:val="•"/>
      <w:lvlJc w:val="left"/>
      <w:pPr>
        <w:ind w:left="4347" w:hanging="360"/>
      </w:pPr>
      <w:rPr>
        <w:rFonts w:hint="default"/>
        <w:lang w:val="es-ES" w:eastAsia="en-US" w:bidi="ar-SA"/>
      </w:rPr>
    </w:lvl>
    <w:lvl w:ilvl="7">
      <w:start w:val="0"/>
      <w:numFmt w:val="bullet"/>
      <w:lvlText w:val="•"/>
      <w:lvlJc w:val="left"/>
      <w:pPr>
        <w:ind w:left="4998" w:hanging="360"/>
      </w:pPr>
      <w:rPr>
        <w:rFonts w:hint="default"/>
        <w:lang w:val="es-ES" w:eastAsia="en-US" w:bidi="ar-SA"/>
      </w:rPr>
    </w:lvl>
    <w:lvl w:ilvl="8">
      <w:start w:val="0"/>
      <w:numFmt w:val="bullet"/>
      <w:lvlText w:val="•"/>
      <w:lvlJc w:val="left"/>
      <w:pPr>
        <w:ind w:left="5649" w:hanging="360"/>
      </w:pPr>
      <w:rPr>
        <w:rFonts w:hint="default"/>
        <w:lang w:val="es-ES" w:eastAsia="en-US" w:bidi="ar-SA"/>
      </w:rPr>
    </w:lvl>
  </w:abstractNum>
  <w:abstractNum w:abstractNumId="187">
    <w:multiLevelType w:val="hybridMultilevel"/>
    <w:lvl w:ilvl="0">
      <w:start w:val="0"/>
      <w:numFmt w:val="bullet"/>
      <w:lvlText w:val=""/>
      <w:lvlJc w:val="left"/>
      <w:pPr>
        <w:ind w:left="779" w:hanging="348"/>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1397" w:hanging="348"/>
      </w:pPr>
      <w:rPr>
        <w:rFonts w:hint="default"/>
        <w:lang w:val="es-ES" w:eastAsia="en-US" w:bidi="ar-SA"/>
      </w:rPr>
    </w:lvl>
    <w:lvl w:ilvl="2">
      <w:start w:val="0"/>
      <w:numFmt w:val="bullet"/>
      <w:lvlText w:val="•"/>
      <w:lvlJc w:val="left"/>
      <w:pPr>
        <w:ind w:left="2014" w:hanging="348"/>
      </w:pPr>
      <w:rPr>
        <w:rFonts w:hint="default"/>
        <w:lang w:val="es-ES" w:eastAsia="en-US" w:bidi="ar-SA"/>
      </w:rPr>
    </w:lvl>
    <w:lvl w:ilvl="3">
      <w:start w:val="0"/>
      <w:numFmt w:val="bullet"/>
      <w:lvlText w:val="•"/>
      <w:lvlJc w:val="left"/>
      <w:pPr>
        <w:ind w:left="2631" w:hanging="348"/>
      </w:pPr>
      <w:rPr>
        <w:rFonts w:hint="default"/>
        <w:lang w:val="es-ES" w:eastAsia="en-US" w:bidi="ar-SA"/>
      </w:rPr>
    </w:lvl>
    <w:lvl w:ilvl="4">
      <w:start w:val="0"/>
      <w:numFmt w:val="bullet"/>
      <w:lvlText w:val="•"/>
      <w:lvlJc w:val="left"/>
      <w:pPr>
        <w:ind w:left="3248" w:hanging="348"/>
      </w:pPr>
      <w:rPr>
        <w:rFonts w:hint="default"/>
        <w:lang w:val="es-ES" w:eastAsia="en-US" w:bidi="ar-SA"/>
      </w:rPr>
    </w:lvl>
    <w:lvl w:ilvl="5">
      <w:start w:val="0"/>
      <w:numFmt w:val="bullet"/>
      <w:lvlText w:val="•"/>
      <w:lvlJc w:val="left"/>
      <w:pPr>
        <w:ind w:left="3866" w:hanging="348"/>
      </w:pPr>
      <w:rPr>
        <w:rFonts w:hint="default"/>
        <w:lang w:val="es-ES" w:eastAsia="en-US" w:bidi="ar-SA"/>
      </w:rPr>
    </w:lvl>
    <w:lvl w:ilvl="6">
      <w:start w:val="0"/>
      <w:numFmt w:val="bullet"/>
      <w:lvlText w:val="•"/>
      <w:lvlJc w:val="left"/>
      <w:pPr>
        <w:ind w:left="4483" w:hanging="348"/>
      </w:pPr>
      <w:rPr>
        <w:rFonts w:hint="default"/>
        <w:lang w:val="es-ES" w:eastAsia="en-US" w:bidi="ar-SA"/>
      </w:rPr>
    </w:lvl>
    <w:lvl w:ilvl="7">
      <w:start w:val="0"/>
      <w:numFmt w:val="bullet"/>
      <w:lvlText w:val="•"/>
      <w:lvlJc w:val="left"/>
      <w:pPr>
        <w:ind w:left="5100" w:hanging="348"/>
      </w:pPr>
      <w:rPr>
        <w:rFonts w:hint="default"/>
        <w:lang w:val="es-ES" w:eastAsia="en-US" w:bidi="ar-SA"/>
      </w:rPr>
    </w:lvl>
    <w:lvl w:ilvl="8">
      <w:start w:val="0"/>
      <w:numFmt w:val="bullet"/>
      <w:lvlText w:val="•"/>
      <w:lvlJc w:val="left"/>
      <w:pPr>
        <w:ind w:left="5717" w:hanging="348"/>
      </w:pPr>
      <w:rPr>
        <w:rFonts w:hint="default"/>
        <w:lang w:val="es-ES" w:eastAsia="en-US" w:bidi="ar-SA"/>
      </w:rPr>
    </w:lvl>
  </w:abstractNum>
  <w:abstractNum w:abstractNumId="186">
    <w:multiLevelType w:val="hybridMultilevel"/>
    <w:lvl w:ilvl="0">
      <w:start w:val="0"/>
      <w:numFmt w:val="bullet"/>
      <w:lvlText w:val=""/>
      <w:lvlJc w:val="left"/>
      <w:pPr>
        <w:ind w:left="779" w:hanging="348"/>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1397" w:hanging="348"/>
      </w:pPr>
      <w:rPr>
        <w:rFonts w:hint="default"/>
        <w:lang w:val="es-ES" w:eastAsia="en-US" w:bidi="ar-SA"/>
      </w:rPr>
    </w:lvl>
    <w:lvl w:ilvl="2">
      <w:start w:val="0"/>
      <w:numFmt w:val="bullet"/>
      <w:lvlText w:val="•"/>
      <w:lvlJc w:val="left"/>
      <w:pPr>
        <w:ind w:left="2014" w:hanging="348"/>
      </w:pPr>
      <w:rPr>
        <w:rFonts w:hint="default"/>
        <w:lang w:val="es-ES" w:eastAsia="en-US" w:bidi="ar-SA"/>
      </w:rPr>
    </w:lvl>
    <w:lvl w:ilvl="3">
      <w:start w:val="0"/>
      <w:numFmt w:val="bullet"/>
      <w:lvlText w:val="•"/>
      <w:lvlJc w:val="left"/>
      <w:pPr>
        <w:ind w:left="2631" w:hanging="348"/>
      </w:pPr>
      <w:rPr>
        <w:rFonts w:hint="default"/>
        <w:lang w:val="es-ES" w:eastAsia="en-US" w:bidi="ar-SA"/>
      </w:rPr>
    </w:lvl>
    <w:lvl w:ilvl="4">
      <w:start w:val="0"/>
      <w:numFmt w:val="bullet"/>
      <w:lvlText w:val="•"/>
      <w:lvlJc w:val="left"/>
      <w:pPr>
        <w:ind w:left="3248" w:hanging="348"/>
      </w:pPr>
      <w:rPr>
        <w:rFonts w:hint="default"/>
        <w:lang w:val="es-ES" w:eastAsia="en-US" w:bidi="ar-SA"/>
      </w:rPr>
    </w:lvl>
    <w:lvl w:ilvl="5">
      <w:start w:val="0"/>
      <w:numFmt w:val="bullet"/>
      <w:lvlText w:val="•"/>
      <w:lvlJc w:val="left"/>
      <w:pPr>
        <w:ind w:left="3866" w:hanging="348"/>
      </w:pPr>
      <w:rPr>
        <w:rFonts w:hint="default"/>
        <w:lang w:val="es-ES" w:eastAsia="en-US" w:bidi="ar-SA"/>
      </w:rPr>
    </w:lvl>
    <w:lvl w:ilvl="6">
      <w:start w:val="0"/>
      <w:numFmt w:val="bullet"/>
      <w:lvlText w:val="•"/>
      <w:lvlJc w:val="left"/>
      <w:pPr>
        <w:ind w:left="4483" w:hanging="348"/>
      </w:pPr>
      <w:rPr>
        <w:rFonts w:hint="default"/>
        <w:lang w:val="es-ES" w:eastAsia="en-US" w:bidi="ar-SA"/>
      </w:rPr>
    </w:lvl>
    <w:lvl w:ilvl="7">
      <w:start w:val="0"/>
      <w:numFmt w:val="bullet"/>
      <w:lvlText w:val="•"/>
      <w:lvlJc w:val="left"/>
      <w:pPr>
        <w:ind w:left="5100" w:hanging="348"/>
      </w:pPr>
      <w:rPr>
        <w:rFonts w:hint="default"/>
        <w:lang w:val="es-ES" w:eastAsia="en-US" w:bidi="ar-SA"/>
      </w:rPr>
    </w:lvl>
    <w:lvl w:ilvl="8">
      <w:start w:val="0"/>
      <w:numFmt w:val="bullet"/>
      <w:lvlText w:val="•"/>
      <w:lvlJc w:val="left"/>
      <w:pPr>
        <w:ind w:left="5717" w:hanging="348"/>
      </w:pPr>
      <w:rPr>
        <w:rFonts w:hint="default"/>
        <w:lang w:val="es-ES" w:eastAsia="en-US" w:bidi="ar-SA"/>
      </w:rPr>
    </w:lvl>
  </w:abstractNum>
  <w:abstractNum w:abstractNumId="185">
    <w:multiLevelType w:val="hybridMultilevel"/>
    <w:lvl w:ilvl="0">
      <w:start w:val="0"/>
      <w:numFmt w:val="bullet"/>
      <w:lvlText w:val=""/>
      <w:lvlJc w:val="left"/>
      <w:pPr>
        <w:ind w:left="779" w:hanging="348"/>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1397" w:hanging="348"/>
      </w:pPr>
      <w:rPr>
        <w:rFonts w:hint="default"/>
        <w:lang w:val="es-ES" w:eastAsia="en-US" w:bidi="ar-SA"/>
      </w:rPr>
    </w:lvl>
    <w:lvl w:ilvl="2">
      <w:start w:val="0"/>
      <w:numFmt w:val="bullet"/>
      <w:lvlText w:val="•"/>
      <w:lvlJc w:val="left"/>
      <w:pPr>
        <w:ind w:left="2014" w:hanging="348"/>
      </w:pPr>
      <w:rPr>
        <w:rFonts w:hint="default"/>
        <w:lang w:val="es-ES" w:eastAsia="en-US" w:bidi="ar-SA"/>
      </w:rPr>
    </w:lvl>
    <w:lvl w:ilvl="3">
      <w:start w:val="0"/>
      <w:numFmt w:val="bullet"/>
      <w:lvlText w:val="•"/>
      <w:lvlJc w:val="left"/>
      <w:pPr>
        <w:ind w:left="2631" w:hanging="348"/>
      </w:pPr>
      <w:rPr>
        <w:rFonts w:hint="default"/>
        <w:lang w:val="es-ES" w:eastAsia="en-US" w:bidi="ar-SA"/>
      </w:rPr>
    </w:lvl>
    <w:lvl w:ilvl="4">
      <w:start w:val="0"/>
      <w:numFmt w:val="bullet"/>
      <w:lvlText w:val="•"/>
      <w:lvlJc w:val="left"/>
      <w:pPr>
        <w:ind w:left="3248" w:hanging="348"/>
      </w:pPr>
      <w:rPr>
        <w:rFonts w:hint="default"/>
        <w:lang w:val="es-ES" w:eastAsia="en-US" w:bidi="ar-SA"/>
      </w:rPr>
    </w:lvl>
    <w:lvl w:ilvl="5">
      <w:start w:val="0"/>
      <w:numFmt w:val="bullet"/>
      <w:lvlText w:val="•"/>
      <w:lvlJc w:val="left"/>
      <w:pPr>
        <w:ind w:left="3866" w:hanging="348"/>
      </w:pPr>
      <w:rPr>
        <w:rFonts w:hint="default"/>
        <w:lang w:val="es-ES" w:eastAsia="en-US" w:bidi="ar-SA"/>
      </w:rPr>
    </w:lvl>
    <w:lvl w:ilvl="6">
      <w:start w:val="0"/>
      <w:numFmt w:val="bullet"/>
      <w:lvlText w:val="•"/>
      <w:lvlJc w:val="left"/>
      <w:pPr>
        <w:ind w:left="4483" w:hanging="348"/>
      </w:pPr>
      <w:rPr>
        <w:rFonts w:hint="default"/>
        <w:lang w:val="es-ES" w:eastAsia="en-US" w:bidi="ar-SA"/>
      </w:rPr>
    </w:lvl>
    <w:lvl w:ilvl="7">
      <w:start w:val="0"/>
      <w:numFmt w:val="bullet"/>
      <w:lvlText w:val="•"/>
      <w:lvlJc w:val="left"/>
      <w:pPr>
        <w:ind w:left="5100" w:hanging="348"/>
      </w:pPr>
      <w:rPr>
        <w:rFonts w:hint="default"/>
        <w:lang w:val="es-ES" w:eastAsia="en-US" w:bidi="ar-SA"/>
      </w:rPr>
    </w:lvl>
    <w:lvl w:ilvl="8">
      <w:start w:val="0"/>
      <w:numFmt w:val="bullet"/>
      <w:lvlText w:val="•"/>
      <w:lvlJc w:val="left"/>
      <w:pPr>
        <w:ind w:left="5717" w:hanging="348"/>
      </w:pPr>
      <w:rPr>
        <w:rFonts w:hint="default"/>
        <w:lang w:val="es-ES" w:eastAsia="en-US" w:bidi="ar-SA"/>
      </w:rPr>
    </w:lvl>
  </w:abstractNum>
  <w:abstractNum w:abstractNumId="184">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1091" w:hanging="360"/>
      </w:pPr>
      <w:rPr>
        <w:rFonts w:hint="default"/>
        <w:lang w:val="es-ES" w:eastAsia="en-US" w:bidi="ar-SA"/>
      </w:rPr>
    </w:lvl>
    <w:lvl w:ilvl="2">
      <w:start w:val="0"/>
      <w:numFmt w:val="bullet"/>
      <w:lvlText w:val="•"/>
      <w:lvlJc w:val="left"/>
      <w:pPr>
        <w:ind w:left="1742" w:hanging="360"/>
      </w:pPr>
      <w:rPr>
        <w:rFonts w:hint="default"/>
        <w:lang w:val="es-ES" w:eastAsia="en-US" w:bidi="ar-SA"/>
      </w:rPr>
    </w:lvl>
    <w:lvl w:ilvl="3">
      <w:start w:val="0"/>
      <w:numFmt w:val="bullet"/>
      <w:lvlText w:val="•"/>
      <w:lvlJc w:val="left"/>
      <w:pPr>
        <w:ind w:left="2393" w:hanging="360"/>
      </w:pPr>
      <w:rPr>
        <w:rFonts w:hint="default"/>
        <w:lang w:val="es-ES" w:eastAsia="en-US" w:bidi="ar-SA"/>
      </w:rPr>
    </w:lvl>
    <w:lvl w:ilvl="4">
      <w:start w:val="0"/>
      <w:numFmt w:val="bullet"/>
      <w:lvlText w:val="•"/>
      <w:lvlJc w:val="left"/>
      <w:pPr>
        <w:ind w:left="3044" w:hanging="360"/>
      </w:pPr>
      <w:rPr>
        <w:rFonts w:hint="default"/>
        <w:lang w:val="es-ES" w:eastAsia="en-US" w:bidi="ar-SA"/>
      </w:rPr>
    </w:lvl>
    <w:lvl w:ilvl="5">
      <w:start w:val="0"/>
      <w:numFmt w:val="bullet"/>
      <w:lvlText w:val="•"/>
      <w:lvlJc w:val="left"/>
      <w:pPr>
        <w:ind w:left="3696" w:hanging="360"/>
      </w:pPr>
      <w:rPr>
        <w:rFonts w:hint="default"/>
        <w:lang w:val="es-ES" w:eastAsia="en-US" w:bidi="ar-SA"/>
      </w:rPr>
    </w:lvl>
    <w:lvl w:ilvl="6">
      <w:start w:val="0"/>
      <w:numFmt w:val="bullet"/>
      <w:lvlText w:val="•"/>
      <w:lvlJc w:val="left"/>
      <w:pPr>
        <w:ind w:left="4347" w:hanging="360"/>
      </w:pPr>
      <w:rPr>
        <w:rFonts w:hint="default"/>
        <w:lang w:val="es-ES" w:eastAsia="en-US" w:bidi="ar-SA"/>
      </w:rPr>
    </w:lvl>
    <w:lvl w:ilvl="7">
      <w:start w:val="0"/>
      <w:numFmt w:val="bullet"/>
      <w:lvlText w:val="•"/>
      <w:lvlJc w:val="left"/>
      <w:pPr>
        <w:ind w:left="4998" w:hanging="360"/>
      </w:pPr>
      <w:rPr>
        <w:rFonts w:hint="default"/>
        <w:lang w:val="es-ES" w:eastAsia="en-US" w:bidi="ar-SA"/>
      </w:rPr>
    </w:lvl>
    <w:lvl w:ilvl="8">
      <w:start w:val="0"/>
      <w:numFmt w:val="bullet"/>
      <w:lvlText w:val="•"/>
      <w:lvlJc w:val="left"/>
      <w:pPr>
        <w:ind w:left="5649" w:hanging="360"/>
      </w:pPr>
      <w:rPr>
        <w:rFonts w:hint="default"/>
        <w:lang w:val="es-ES" w:eastAsia="en-US" w:bidi="ar-SA"/>
      </w:rPr>
    </w:lvl>
  </w:abstractNum>
  <w:abstractNum w:abstractNumId="183">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1091" w:hanging="360"/>
      </w:pPr>
      <w:rPr>
        <w:rFonts w:hint="default"/>
        <w:lang w:val="es-ES" w:eastAsia="en-US" w:bidi="ar-SA"/>
      </w:rPr>
    </w:lvl>
    <w:lvl w:ilvl="2">
      <w:start w:val="0"/>
      <w:numFmt w:val="bullet"/>
      <w:lvlText w:val="•"/>
      <w:lvlJc w:val="left"/>
      <w:pPr>
        <w:ind w:left="1742" w:hanging="360"/>
      </w:pPr>
      <w:rPr>
        <w:rFonts w:hint="default"/>
        <w:lang w:val="es-ES" w:eastAsia="en-US" w:bidi="ar-SA"/>
      </w:rPr>
    </w:lvl>
    <w:lvl w:ilvl="3">
      <w:start w:val="0"/>
      <w:numFmt w:val="bullet"/>
      <w:lvlText w:val="•"/>
      <w:lvlJc w:val="left"/>
      <w:pPr>
        <w:ind w:left="2393" w:hanging="360"/>
      </w:pPr>
      <w:rPr>
        <w:rFonts w:hint="default"/>
        <w:lang w:val="es-ES" w:eastAsia="en-US" w:bidi="ar-SA"/>
      </w:rPr>
    </w:lvl>
    <w:lvl w:ilvl="4">
      <w:start w:val="0"/>
      <w:numFmt w:val="bullet"/>
      <w:lvlText w:val="•"/>
      <w:lvlJc w:val="left"/>
      <w:pPr>
        <w:ind w:left="3044" w:hanging="360"/>
      </w:pPr>
      <w:rPr>
        <w:rFonts w:hint="default"/>
        <w:lang w:val="es-ES" w:eastAsia="en-US" w:bidi="ar-SA"/>
      </w:rPr>
    </w:lvl>
    <w:lvl w:ilvl="5">
      <w:start w:val="0"/>
      <w:numFmt w:val="bullet"/>
      <w:lvlText w:val="•"/>
      <w:lvlJc w:val="left"/>
      <w:pPr>
        <w:ind w:left="3696" w:hanging="360"/>
      </w:pPr>
      <w:rPr>
        <w:rFonts w:hint="default"/>
        <w:lang w:val="es-ES" w:eastAsia="en-US" w:bidi="ar-SA"/>
      </w:rPr>
    </w:lvl>
    <w:lvl w:ilvl="6">
      <w:start w:val="0"/>
      <w:numFmt w:val="bullet"/>
      <w:lvlText w:val="•"/>
      <w:lvlJc w:val="left"/>
      <w:pPr>
        <w:ind w:left="4347" w:hanging="360"/>
      </w:pPr>
      <w:rPr>
        <w:rFonts w:hint="default"/>
        <w:lang w:val="es-ES" w:eastAsia="en-US" w:bidi="ar-SA"/>
      </w:rPr>
    </w:lvl>
    <w:lvl w:ilvl="7">
      <w:start w:val="0"/>
      <w:numFmt w:val="bullet"/>
      <w:lvlText w:val="•"/>
      <w:lvlJc w:val="left"/>
      <w:pPr>
        <w:ind w:left="4998" w:hanging="360"/>
      </w:pPr>
      <w:rPr>
        <w:rFonts w:hint="default"/>
        <w:lang w:val="es-ES" w:eastAsia="en-US" w:bidi="ar-SA"/>
      </w:rPr>
    </w:lvl>
    <w:lvl w:ilvl="8">
      <w:start w:val="0"/>
      <w:numFmt w:val="bullet"/>
      <w:lvlText w:val="•"/>
      <w:lvlJc w:val="left"/>
      <w:pPr>
        <w:ind w:left="5649" w:hanging="360"/>
      </w:pPr>
      <w:rPr>
        <w:rFonts w:hint="default"/>
        <w:lang w:val="es-ES" w:eastAsia="en-US" w:bidi="ar-SA"/>
      </w:rPr>
    </w:lvl>
  </w:abstractNum>
  <w:abstractNum w:abstractNumId="182">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1091" w:hanging="360"/>
      </w:pPr>
      <w:rPr>
        <w:rFonts w:hint="default"/>
        <w:lang w:val="es-ES" w:eastAsia="en-US" w:bidi="ar-SA"/>
      </w:rPr>
    </w:lvl>
    <w:lvl w:ilvl="2">
      <w:start w:val="0"/>
      <w:numFmt w:val="bullet"/>
      <w:lvlText w:val="•"/>
      <w:lvlJc w:val="left"/>
      <w:pPr>
        <w:ind w:left="1742" w:hanging="360"/>
      </w:pPr>
      <w:rPr>
        <w:rFonts w:hint="default"/>
        <w:lang w:val="es-ES" w:eastAsia="en-US" w:bidi="ar-SA"/>
      </w:rPr>
    </w:lvl>
    <w:lvl w:ilvl="3">
      <w:start w:val="0"/>
      <w:numFmt w:val="bullet"/>
      <w:lvlText w:val="•"/>
      <w:lvlJc w:val="left"/>
      <w:pPr>
        <w:ind w:left="2393" w:hanging="360"/>
      </w:pPr>
      <w:rPr>
        <w:rFonts w:hint="default"/>
        <w:lang w:val="es-ES" w:eastAsia="en-US" w:bidi="ar-SA"/>
      </w:rPr>
    </w:lvl>
    <w:lvl w:ilvl="4">
      <w:start w:val="0"/>
      <w:numFmt w:val="bullet"/>
      <w:lvlText w:val="•"/>
      <w:lvlJc w:val="left"/>
      <w:pPr>
        <w:ind w:left="3044" w:hanging="360"/>
      </w:pPr>
      <w:rPr>
        <w:rFonts w:hint="default"/>
        <w:lang w:val="es-ES" w:eastAsia="en-US" w:bidi="ar-SA"/>
      </w:rPr>
    </w:lvl>
    <w:lvl w:ilvl="5">
      <w:start w:val="0"/>
      <w:numFmt w:val="bullet"/>
      <w:lvlText w:val="•"/>
      <w:lvlJc w:val="left"/>
      <w:pPr>
        <w:ind w:left="3696" w:hanging="360"/>
      </w:pPr>
      <w:rPr>
        <w:rFonts w:hint="default"/>
        <w:lang w:val="es-ES" w:eastAsia="en-US" w:bidi="ar-SA"/>
      </w:rPr>
    </w:lvl>
    <w:lvl w:ilvl="6">
      <w:start w:val="0"/>
      <w:numFmt w:val="bullet"/>
      <w:lvlText w:val="•"/>
      <w:lvlJc w:val="left"/>
      <w:pPr>
        <w:ind w:left="4347" w:hanging="360"/>
      </w:pPr>
      <w:rPr>
        <w:rFonts w:hint="default"/>
        <w:lang w:val="es-ES" w:eastAsia="en-US" w:bidi="ar-SA"/>
      </w:rPr>
    </w:lvl>
    <w:lvl w:ilvl="7">
      <w:start w:val="0"/>
      <w:numFmt w:val="bullet"/>
      <w:lvlText w:val="•"/>
      <w:lvlJc w:val="left"/>
      <w:pPr>
        <w:ind w:left="4998" w:hanging="360"/>
      </w:pPr>
      <w:rPr>
        <w:rFonts w:hint="default"/>
        <w:lang w:val="es-ES" w:eastAsia="en-US" w:bidi="ar-SA"/>
      </w:rPr>
    </w:lvl>
    <w:lvl w:ilvl="8">
      <w:start w:val="0"/>
      <w:numFmt w:val="bullet"/>
      <w:lvlText w:val="•"/>
      <w:lvlJc w:val="left"/>
      <w:pPr>
        <w:ind w:left="5649" w:hanging="360"/>
      </w:pPr>
      <w:rPr>
        <w:rFonts w:hint="default"/>
        <w:lang w:val="es-ES" w:eastAsia="en-US" w:bidi="ar-SA"/>
      </w:rPr>
    </w:lvl>
  </w:abstractNum>
  <w:abstractNum w:abstractNumId="181">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1091" w:hanging="360"/>
      </w:pPr>
      <w:rPr>
        <w:rFonts w:hint="default"/>
        <w:lang w:val="es-ES" w:eastAsia="en-US" w:bidi="ar-SA"/>
      </w:rPr>
    </w:lvl>
    <w:lvl w:ilvl="2">
      <w:start w:val="0"/>
      <w:numFmt w:val="bullet"/>
      <w:lvlText w:val="•"/>
      <w:lvlJc w:val="left"/>
      <w:pPr>
        <w:ind w:left="1742" w:hanging="360"/>
      </w:pPr>
      <w:rPr>
        <w:rFonts w:hint="default"/>
        <w:lang w:val="es-ES" w:eastAsia="en-US" w:bidi="ar-SA"/>
      </w:rPr>
    </w:lvl>
    <w:lvl w:ilvl="3">
      <w:start w:val="0"/>
      <w:numFmt w:val="bullet"/>
      <w:lvlText w:val="•"/>
      <w:lvlJc w:val="left"/>
      <w:pPr>
        <w:ind w:left="2393" w:hanging="360"/>
      </w:pPr>
      <w:rPr>
        <w:rFonts w:hint="default"/>
        <w:lang w:val="es-ES" w:eastAsia="en-US" w:bidi="ar-SA"/>
      </w:rPr>
    </w:lvl>
    <w:lvl w:ilvl="4">
      <w:start w:val="0"/>
      <w:numFmt w:val="bullet"/>
      <w:lvlText w:val="•"/>
      <w:lvlJc w:val="left"/>
      <w:pPr>
        <w:ind w:left="3044" w:hanging="360"/>
      </w:pPr>
      <w:rPr>
        <w:rFonts w:hint="default"/>
        <w:lang w:val="es-ES" w:eastAsia="en-US" w:bidi="ar-SA"/>
      </w:rPr>
    </w:lvl>
    <w:lvl w:ilvl="5">
      <w:start w:val="0"/>
      <w:numFmt w:val="bullet"/>
      <w:lvlText w:val="•"/>
      <w:lvlJc w:val="left"/>
      <w:pPr>
        <w:ind w:left="3696" w:hanging="360"/>
      </w:pPr>
      <w:rPr>
        <w:rFonts w:hint="default"/>
        <w:lang w:val="es-ES" w:eastAsia="en-US" w:bidi="ar-SA"/>
      </w:rPr>
    </w:lvl>
    <w:lvl w:ilvl="6">
      <w:start w:val="0"/>
      <w:numFmt w:val="bullet"/>
      <w:lvlText w:val="•"/>
      <w:lvlJc w:val="left"/>
      <w:pPr>
        <w:ind w:left="4347" w:hanging="360"/>
      </w:pPr>
      <w:rPr>
        <w:rFonts w:hint="default"/>
        <w:lang w:val="es-ES" w:eastAsia="en-US" w:bidi="ar-SA"/>
      </w:rPr>
    </w:lvl>
    <w:lvl w:ilvl="7">
      <w:start w:val="0"/>
      <w:numFmt w:val="bullet"/>
      <w:lvlText w:val="•"/>
      <w:lvlJc w:val="left"/>
      <w:pPr>
        <w:ind w:left="4998" w:hanging="360"/>
      </w:pPr>
      <w:rPr>
        <w:rFonts w:hint="default"/>
        <w:lang w:val="es-ES" w:eastAsia="en-US" w:bidi="ar-SA"/>
      </w:rPr>
    </w:lvl>
    <w:lvl w:ilvl="8">
      <w:start w:val="0"/>
      <w:numFmt w:val="bullet"/>
      <w:lvlText w:val="•"/>
      <w:lvlJc w:val="left"/>
      <w:pPr>
        <w:ind w:left="5649" w:hanging="360"/>
      </w:pPr>
      <w:rPr>
        <w:rFonts w:hint="default"/>
        <w:lang w:val="es-ES" w:eastAsia="en-US" w:bidi="ar-SA"/>
      </w:rPr>
    </w:lvl>
  </w:abstractNum>
  <w:abstractNum w:abstractNumId="180">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100"/>
        <w:sz w:val="16"/>
        <w:szCs w:val="16"/>
        <w:lang w:val="es-ES" w:eastAsia="en-US" w:bidi="ar-SA"/>
      </w:rPr>
    </w:lvl>
    <w:lvl w:ilvl="1">
      <w:start w:val="0"/>
      <w:numFmt w:val="bullet"/>
      <w:lvlText w:val="•"/>
      <w:lvlJc w:val="left"/>
      <w:pPr>
        <w:ind w:left="1349" w:hanging="360"/>
      </w:pPr>
      <w:rPr>
        <w:rFonts w:hint="default"/>
        <w:lang w:val="es-ES" w:eastAsia="en-US" w:bidi="ar-SA"/>
      </w:rPr>
    </w:lvl>
    <w:lvl w:ilvl="2">
      <w:start w:val="0"/>
      <w:numFmt w:val="bullet"/>
      <w:lvlText w:val="•"/>
      <w:lvlJc w:val="left"/>
      <w:pPr>
        <w:ind w:left="2259" w:hanging="360"/>
      </w:pPr>
      <w:rPr>
        <w:rFonts w:hint="default"/>
        <w:lang w:val="es-ES" w:eastAsia="en-US" w:bidi="ar-SA"/>
      </w:rPr>
    </w:lvl>
    <w:lvl w:ilvl="3">
      <w:start w:val="0"/>
      <w:numFmt w:val="bullet"/>
      <w:lvlText w:val="•"/>
      <w:lvlJc w:val="left"/>
      <w:pPr>
        <w:ind w:left="3169" w:hanging="360"/>
      </w:pPr>
      <w:rPr>
        <w:rFonts w:hint="default"/>
        <w:lang w:val="es-ES" w:eastAsia="en-US" w:bidi="ar-SA"/>
      </w:rPr>
    </w:lvl>
    <w:lvl w:ilvl="4">
      <w:start w:val="0"/>
      <w:numFmt w:val="bullet"/>
      <w:lvlText w:val="•"/>
      <w:lvlJc w:val="left"/>
      <w:pPr>
        <w:ind w:left="4078" w:hanging="360"/>
      </w:pPr>
      <w:rPr>
        <w:rFonts w:hint="default"/>
        <w:lang w:val="es-ES" w:eastAsia="en-US" w:bidi="ar-SA"/>
      </w:rPr>
    </w:lvl>
    <w:lvl w:ilvl="5">
      <w:start w:val="0"/>
      <w:numFmt w:val="bullet"/>
      <w:lvlText w:val="•"/>
      <w:lvlJc w:val="left"/>
      <w:pPr>
        <w:ind w:left="4988" w:hanging="360"/>
      </w:pPr>
      <w:rPr>
        <w:rFonts w:hint="default"/>
        <w:lang w:val="es-ES" w:eastAsia="en-US" w:bidi="ar-SA"/>
      </w:rPr>
    </w:lvl>
    <w:lvl w:ilvl="6">
      <w:start w:val="0"/>
      <w:numFmt w:val="bullet"/>
      <w:lvlText w:val="•"/>
      <w:lvlJc w:val="left"/>
      <w:pPr>
        <w:ind w:left="5898" w:hanging="360"/>
      </w:pPr>
      <w:rPr>
        <w:rFonts w:hint="default"/>
        <w:lang w:val="es-ES" w:eastAsia="en-US" w:bidi="ar-SA"/>
      </w:rPr>
    </w:lvl>
    <w:lvl w:ilvl="7">
      <w:start w:val="0"/>
      <w:numFmt w:val="bullet"/>
      <w:lvlText w:val="•"/>
      <w:lvlJc w:val="left"/>
      <w:pPr>
        <w:ind w:left="6807" w:hanging="360"/>
      </w:pPr>
      <w:rPr>
        <w:rFonts w:hint="default"/>
        <w:lang w:val="es-ES" w:eastAsia="en-US" w:bidi="ar-SA"/>
      </w:rPr>
    </w:lvl>
    <w:lvl w:ilvl="8">
      <w:start w:val="0"/>
      <w:numFmt w:val="bullet"/>
      <w:lvlText w:val="•"/>
      <w:lvlJc w:val="left"/>
      <w:pPr>
        <w:ind w:left="7717" w:hanging="360"/>
      </w:pPr>
      <w:rPr>
        <w:rFonts w:hint="default"/>
        <w:lang w:val="es-ES" w:eastAsia="en-US" w:bidi="ar-SA"/>
      </w:rPr>
    </w:lvl>
  </w:abstractNum>
  <w:abstractNum w:abstractNumId="179">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962" w:hanging="360"/>
      </w:pPr>
      <w:rPr>
        <w:rFonts w:hint="default"/>
        <w:lang w:val="es-ES" w:eastAsia="en-US" w:bidi="ar-SA"/>
      </w:rPr>
    </w:lvl>
    <w:lvl w:ilvl="2">
      <w:start w:val="0"/>
      <w:numFmt w:val="bullet"/>
      <w:lvlText w:val="•"/>
      <w:lvlJc w:val="left"/>
      <w:pPr>
        <w:ind w:left="1484" w:hanging="360"/>
      </w:pPr>
      <w:rPr>
        <w:rFonts w:hint="default"/>
        <w:lang w:val="es-ES" w:eastAsia="en-US" w:bidi="ar-SA"/>
      </w:rPr>
    </w:lvl>
    <w:lvl w:ilvl="3">
      <w:start w:val="0"/>
      <w:numFmt w:val="bullet"/>
      <w:lvlText w:val="•"/>
      <w:lvlJc w:val="left"/>
      <w:pPr>
        <w:ind w:left="2006" w:hanging="360"/>
      </w:pPr>
      <w:rPr>
        <w:rFonts w:hint="default"/>
        <w:lang w:val="es-ES" w:eastAsia="en-US" w:bidi="ar-SA"/>
      </w:rPr>
    </w:lvl>
    <w:lvl w:ilvl="4">
      <w:start w:val="0"/>
      <w:numFmt w:val="bullet"/>
      <w:lvlText w:val="•"/>
      <w:lvlJc w:val="left"/>
      <w:pPr>
        <w:ind w:left="2528" w:hanging="360"/>
      </w:pPr>
      <w:rPr>
        <w:rFonts w:hint="default"/>
        <w:lang w:val="es-ES" w:eastAsia="en-US" w:bidi="ar-SA"/>
      </w:rPr>
    </w:lvl>
    <w:lvl w:ilvl="5">
      <w:start w:val="0"/>
      <w:numFmt w:val="bullet"/>
      <w:lvlText w:val="•"/>
      <w:lvlJc w:val="left"/>
      <w:pPr>
        <w:ind w:left="3050" w:hanging="360"/>
      </w:pPr>
      <w:rPr>
        <w:rFonts w:hint="default"/>
        <w:lang w:val="es-ES" w:eastAsia="en-US" w:bidi="ar-SA"/>
      </w:rPr>
    </w:lvl>
    <w:lvl w:ilvl="6">
      <w:start w:val="0"/>
      <w:numFmt w:val="bullet"/>
      <w:lvlText w:val="•"/>
      <w:lvlJc w:val="left"/>
      <w:pPr>
        <w:ind w:left="3572" w:hanging="360"/>
      </w:pPr>
      <w:rPr>
        <w:rFonts w:hint="default"/>
        <w:lang w:val="es-ES" w:eastAsia="en-US" w:bidi="ar-SA"/>
      </w:rPr>
    </w:lvl>
    <w:lvl w:ilvl="7">
      <w:start w:val="0"/>
      <w:numFmt w:val="bullet"/>
      <w:lvlText w:val="•"/>
      <w:lvlJc w:val="left"/>
      <w:pPr>
        <w:ind w:left="4094" w:hanging="360"/>
      </w:pPr>
      <w:rPr>
        <w:rFonts w:hint="default"/>
        <w:lang w:val="es-ES" w:eastAsia="en-US" w:bidi="ar-SA"/>
      </w:rPr>
    </w:lvl>
    <w:lvl w:ilvl="8">
      <w:start w:val="0"/>
      <w:numFmt w:val="bullet"/>
      <w:lvlText w:val="•"/>
      <w:lvlJc w:val="left"/>
      <w:pPr>
        <w:ind w:left="4616" w:hanging="360"/>
      </w:pPr>
      <w:rPr>
        <w:rFonts w:hint="default"/>
        <w:lang w:val="es-ES" w:eastAsia="en-US" w:bidi="ar-SA"/>
      </w:rPr>
    </w:lvl>
  </w:abstractNum>
  <w:abstractNum w:abstractNumId="178">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962" w:hanging="360"/>
      </w:pPr>
      <w:rPr>
        <w:rFonts w:hint="default"/>
        <w:lang w:val="es-ES" w:eastAsia="en-US" w:bidi="ar-SA"/>
      </w:rPr>
    </w:lvl>
    <w:lvl w:ilvl="2">
      <w:start w:val="0"/>
      <w:numFmt w:val="bullet"/>
      <w:lvlText w:val="•"/>
      <w:lvlJc w:val="left"/>
      <w:pPr>
        <w:ind w:left="1484" w:hanging="360"/>
      </w:pPr>
      <w:rPr>
        <w:rFonts w:hint="default"/>
        <w:lang w:val="es-ES" w:eastAsia="en-US" w:bidi="ar-SA"/>
      </w:rPr>
    </w:lvl>
    <w:lvl w:ilvl="3">
      <w:start w:val="0"/>
      <w:numFmt w:val="bullet"/>
      <w:lvlText w:val="•"/>
      <w:lvlJc w:val="left"/>
      <w:pPr>
        <w:ind w:left="2006" w:hanging="360"/>
      </w:pPr>
      <w:rPr>
        <w:rFonts w:hint="default"/>
        <w:lang w:val="es-ES" w:eastAsia="en-US" w:bidi="ar-SA"/>
      </w:rPr>
    </w:lvl>
    <w:lvl w:ilvl="4">
      <w:start w:val="0"/>
      <w:numFmt w:val="bullet"/>
      <w:lvlText w:val="•"/>
      <w:lvlJc w:val="left"/>
      <w:pPr>
        <w:ind w:left="2528" w:hanging="360"/>
      </w:pPr>
      <w:rPr>
        <w:rFonts w:hint="default"/>
        <w:lang w:val="es-ES" w:eastAsia="en-US" w:bidi="ar-SA"/>
      </w:rPr>
    </w:lvl>
    <w:lvl w:ilvl="5">
      <w:start w:val="0"/>
      <w:numFmt w:val="bullet"/>
      <w:lvlText w:val="•"/>
      <w:lvlJc w:val="left"/>
      <w:pPr>
        <w:ind w:left="3050" w:hanging="360"/>
      </w:pPr>
      <w:rPr>
        <w:rFonts w:hint="default"/>
        <w:lang w:val="es-ES" w:eastAsia="en-US" w:bidi="ar-SA"/>
      </w:rPr>
    </w:lvl>
    <w:lvl w:ilvl="6">
      <w:start w:val="0"/>
      <w:numFmt w:val="bullet"/>
      <w:lvlText w:val="•"/>
      <w:lvlJc w:val="left"/>
      <w:pPr>
        <w:ind w:left="3572" w:hanging="360"/>
      </w:pPr>
      <w:rPr>
        <w:rFonts w:hint="default"/>
        <w:lang w:val="es-ES" w:eastAsia="en-US" w:bidi="ar-SA"/>
      </w:rPr>
    </w:lvl>
    <w:lvl w:ilvl="7">
      <w:start w:val="0"/>
      <w:numFmt w:val="bullet"/>
      <w:lvlText w:val="•"/>
      <w:lvlJc w:val="left"/>
      <w:pPr>
        <w:ind w:left="4094" w:hanging="360"/>
      </w:pPr>
      <w:rPr>
        <w:rFonts w:hint="default"/>
        <w:lang w:val="es-ES" w:eastAsia="en-US" w:bidi="ar-SA"/>
      </w:rPr>
    </w:lvl>
    <w:lvl w:ilvl="8">
      <w:start w:val="0"/>
      <w:numFmt w:val="bullet"/>
      <w:lvlText w:val="•"/>
      <w:lvlJc w:val="left"/>
      <w:pPr>
        <w:ind w:left="4616" w:hanging="360"/>
      </w:pPr>
      <w:rPr>
        <w:rFonts w:hint="default"/>
        <w:lang w:val="es-ES" w:eastAsia="en-US" w:bidi="ar-SA"/>
      </w:rPr>
    </w:lvl>
  </w:abstractNum>
  <w:abstractNum w:abstractNumId="177">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962" w:hanging="360"/>
      </w:pPr>
      <w:rPr>
        <w:rFonts w:hint="default"/>
        <w:lang w:val="es-ES" w:eastAsia="en-US" w:bidi="ar-SA"/>
      </w:rPr>
    </w:lvl>
    <w:lvl w:ilvl="2">
      <w:start w:val="0"/>
      <w:numFmt w:val="bullet"/>
      <w:lvlText w:val="•"/>
      <w:lvlJc w:val="left"/>
      <w:pPr>
        <w:ind w:left="1484" w:hanging="360"/>
      </w:pPr>
      <w:rPr>
        <w:rFonts w:hint="default"/>
        <w:lang w:val="es-ES" w:eastAsia="en-US" w:bidi="ar-SA"/>
      </w:rPr>
    </w:lvl>
    <w:lvl w:ilvl="3">
      <w:start w:val="0"/>
      <w:numFmt w:val="bullet"/>
      <w:lvlText w:val="•"/>
      <w:lvlJc w:val="left"/>
      <w:pPr>
        <w:ind w:left="2006" w:hanging="360"/>
      </w:pPr>
      <w:rPr>
        <w:rFonts w:hint="default"/>
        <w:lang w:val="es-ES" w:eastAsia="en-US" w:bidi="ar-SA"/>
      </w:rPr>
    </w:lvl>
    <w:lvl w:ilvl="4">
      <w:start w:val="0"/>
      <w:numFmt w:val="bullet"/>
      <w:lvlText w:val="•"/>
      <w:lvlJc w:val="left"/>
      <w:pPr>
        <w:ind w:left="2528" w:hanging="360"/>
      </w:pPr>
      <w:rPr>
        <w:rFonts w:hint="default"/>
        <w:lang w:val="es-ES" w:eastAsia="en-US" w:bidi="ar-SA"/>
      </w:rPr>
    </w:lvl>
    <w:lvl w:ilvl="5">
      <w:start w:val="0"/>
      <w:numFmt w:val="bullet"/>
      <w:lvlText w:val="•"/>
      <w:lvlJc w:val="left"/>
      <w:pPr>
        <w:ind w:left="3050" w:hanging="360"/>
      </w:pPr>
      <w:rPr>
        <w:rFonts w:hint="default"/>
        <w:lang w:val="es-ES" w:eastAsia="en-US" w:bidi="ar-SA"/>
      </w:rPr>
    </w:lvl>
    <w:lvl w:ilvl="6">
      <w:start w:val="0"/>
      <w:numFmt w:val="bullet"/>
      <w:lvlText w:val="•"/>
      <w:lvlJc w:val="left"/>
      <w:pPr>
        <w:ind w:left="3572" w:hanging="360"/>
      </w:pPr>
      <w:rPr>
        <w:rFonts w:hint="default"/>
        <w:lang w:val="es-ES" w:eastAsia="en-US" w:bidi="ar-SA"/>
      </w:rPr>
    </w:lvl>
    <w:lvl w:ilvl="7">
      <w:start w:val="0"/>
      <w:numFmt w:val="bullet"/>
      <w:lvlText w:val="•"/>
      <w:lvlJc w:val="left"/>
      <w:pPr>
        <w:ind w:left="4094" w:hanging="360"/>
      </w:pPr>
      <w:rPr>
        <w:rFonts w:hint="default"/>
        <w:lang w:val="es-ES" w:eastAsia="en-US" w:bidi="ar-SA"/>
      </w:rPr>
    </w:lvl>
    <w:lvl w:ilvl="8">
      <w:start w:val="0"/>
      <w:numFmt w:val="bullet"/>
      <w:lvlText w:val="•"/>
      <w:lvlJc w:val="left"/>
      <w:pPr>
        <w:ind w:left="4616" w:hanging="360"/>
      </w:pPr>
      <w:rPr>
        <w:rFonts w:hint="default"/>
        <w:lang w:val="es-ES" w:eastAsia="en-US" w:bidi="ar-SA"/>
      </w:rPr>
    </w:lvl>
  </w:abstractNum>
  <w:abstractNum w:abstractNumId="176">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962" w:hanging="360"/>
      </w:pPr>
      <w:rPr>
        <w:rFonts w:hint="default"/>
        <w:lang w:val="es-ES" w:eastAsia="en-US" w:bidi="ar-SA"/>
      </w:rPr>
    </w:lvl>
    <w:lvl w:ilvl="2">
      <w:start w:val="0"/>
      <w:numFmt w:val="bullet"/>
      <w:lvlText w:val="•"/>
      <w:lvlJc w:val="left"/>
      <w:pPr>
        <w:ind w:left="1484" w:hanging="360"/>
      </w:pPr>
      <w:rPr>
        <w:rFonts w:hint="default"/>
        <w:lang w:val="es-ES" w:eastAsia="en-US" w:bidi="ar-SA"/>
      </w:rPr>
    </w:lvl>
    <w:lvl w:ilvl="3">
      <w:start w:val="0"/>
      <w:numFmt w:val="bullet"/>
      <w:lvlText w:val="•"/>
      <w:lvlJc w:val="left"/>
      <w:pPr>
        <w:ind w:left="2006" w:hanging="360"/>
      </w:pPr>
      <w:rPr>
        <w:rFonts w:hint="default"/>
        <w:lang w:val="es-ES" w:eastAsia="en-US" w:bidi="ar-SA"/>
      </w:rPr>
    </w:lvl>
    <w:lvl w:ilvl="4">
      <w:start w:val="0"/>
      <w:numFmt w:val="bullet"/>
      <w:lvlText w:val="•"/>
      <w:lvlJc w:val="left"/>
      <w:pPr>
        <w:ind w:left="2528" w:hanging="360"/>
      </w:pPr>
      <w:rPr>
        <w:rFonts w:hint="default"/>
        <w:lang w:val="es-ES" w:eastAsia="en-US" w:bidi="ar-SA"/>
      </w:rPr>
    </w:lvl>
    <w:lvl w:ilvl="5">
      <w:start w:val="0"/>
      <w:numFmt w:val="bullet"/>
      <w:lvlText w:val="•"/>
      <w:lvlJc w:val="left"/>
      <w:pPr>
        <w:ind w:left="3050" w:hanging="360"/>
      </w:pPr>
      <w:rPr>
        <w:rFonts w:hint="default"/>
        <w:lang w:val="es-ES" w:eastAsia="en-US" w:bidi="ar-SA"/>
      </w:rPr>
    </w:lvl>
    <w:lvl w:ilvl="6">
      <w:start w:val="0"/>
      <w:numFmt w:val="bullet"/>
      <w:lvlText w:val="•"/>
      <w:lvlJc w:val="left"/>
      <w:pPr>
        <w:ind w:left="3572" w:hanging="360"/>
      </w:pPr>
      <w:rPr>
        <w:rFonts w:hint="default"/>
        <w:lang w:val="es-ES" w:eastAsia="en-US" w:bidi="ar-SA"/>
      </w:rPr>
    </w:lvl>
    <w:lvl w:ilvl="7">
      <w:start w:val="0"/>
      <w:numFmt w:val="bullet"/>
      <w:lvlText w:val="•"/>
      <w:lvlJc w:val="left"/>
      <w:pPr>
        <w:ind w:left="4094" w:hanging="360"/>
      </w:pPr>
      <w:rPr>
        <w:rFonts w:hint="default"/>
        <w:lang w:val="es-ES" w:eastAsia="en-US" w:bidi="ar-SA"/>
      </w:rPr>
    </w:lvl>
    <w:lvl w:ilvl="8">
      <w:start w:val="0"/>
      <w:numFmt w:val="bullet"/>
      <w:lvlText w:val="•"/>
      <w:lvlJc w:val="left"/>
      <w:pPr>
        <w:ind w:left="4616" w:hanging="360"/>
      </w:pPr>
      <w:rPr>
        <w:rFonts w:hint="default"/>
        <w:lang w:val="es-ES" w:eastAsia="en-US" w:bidi="ar-SA"/>
      </w:rPr>
    </w:lvl>
  </w:abstractNum>
  <w:abstractNum w:abstractNumId="175">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847" w:hanging="360"/>
      </w:pPr>
      <w:rPr>
        <w:rFonts w:hint="default"/>
        <w:lang w:val="es-ES" w:eastAsia="en-US" w:bidi="ar-SA"/>
      </w:rPr>
    </w:lvl>
    <w:lvl w:ilvl="2">
      <w:start w:val="0"/>
      <w:numFmt w:val="bullet"/>
      <w:lvlText w:val="•"/>
      <w:lvlJc w:val="left"/>
      <w:pPr>
        <w:ind w:left="1255" w:hanging="360"/>
      </w:pPr>
      <w:rPr>
        <w:rFonts w:hint="default"/>
        <w:lang w:val="es-ES" w:eastAsia="en-US" w:bidi="ar-SA"/>
      </w:rPr>
    </w:lvl>
    <w:lvl w:ilvl="3">
      <w:start w:val="0"/>
      <w:numFmt w:val="bullet"/>
      <w:lvlText w:val="•"/>
      <w:lvlJc w:val="left"/>
      <w:pPr>
        <w:ind w:left="1663" w:hanging="360"/>
      </w:pPr>
      <w:rPr>
        <w:rFonts w:hint="default"/>
        <w:lang w:val="es-ES" w:eastAsia="en-US" w:bidi="ar-SA"/>
      </w:rPr>
    </w:lvl>
    <w:lvl w:ilvl="4">
      <w:start w:val="0"/>
      <w:numFmt w:val="bullet"/>
      <w:lvlText w:val="•"/>
      <w:lvlJc w:val="left"/>
      <w:pPr>
        <w:ind w:left="2070" w:hanging="360"/>
      </w:pPr>
      <w:rPr>
        <w:rFonts w:hint="default"/>
        <w:lang w:val="es-ES" w:eastAsia="en-US" w:bidi="ar-SA"/>
      </w:rPr>
    </w:lvl>
    <w:lvl w:ilvl="5">
      <w:start w:val="0"/>
      <w:numFmt w:val="bullet"/>
      <w:lvlText w:val="•"/>
      <w:lvlJc w:val="left"/>
      <w:pPr>
        <w:ind w:left="2478" w:hanging="360"/>
      </w:pPr>
      <w:rPr>
        <w:rFonts w:hint="default"/>
        <w:lang w:val="es-ES" w:eastAsia="en-US" w:bidi="ar-SA"/>
      </w:rPr>
    </w:lvl>
    <w:lvl w:ilvl="6">
      <w:start w:val="0"/>
      <w:numFmt w:val="bullet"/>
      <w:lvlText w:val="•"/>
      <w:lvlJc w:val="left"/>
      <w:pPr>
        <w:ind w:left="2886" w:hanging="360"/>
      </w:pPr>
      <w:rPr>
        <w:rFonts w:hint="default"/>
        <w:lang w:val="es-ES" w:eastAsia="en-US" w:bidi="ar-SA"/>
      </w:rPr>
    </w:lvl>
    <w:lvl w:ilvl="7">
      <w:start w:val="0"/>
      <w:numFmt w:val="bullet"/>
      <w:lvlText w:val="•"/>
      <w:lvlJc w:val="left"/>
      <w:pPr>
        <w:ind w:left="3293" w:hanging="360"/>
      </w:pPr>
      <w:rPr>
        <w:rFonts w:hint="default"/>
        <w:lang w:val="es-ES" w:eastAsia="en-US" w:bidi="ar-SA"/>
      </w:rPr>
    </w:lvl>
    <w:lvl w:ilvl="8">
      <w:start w:val="0"/>
      <w:numFmt w:val="bullet"/>
      <w:lvlText w:val="•"/>
      <w:lvlJc w:val="left"/>
      <w:pPr>
        <w:ind w:left="3701" w:hanging="360"/>
      </w:pPr>
      <w:rPr>
        <w:rFonts w:hint="default"/>
        <w:lang w:val="es-ES" w:eastAsia="en-US" w:bidi="ar-SA"/>
      </w:rPr>
    </w:lvl>
  </w:abstractNum>
  <w:abstractNum w:abstractNumId="174">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847" w:hanging="360"/>
      </w:pPr>
      <w:rPr>
        <w:rFonts w:hint="default"/>
        <w:lang w:val="es-ES" w:eastAsia="en-US" w:bidi="ar-SA"/>
      </w:rPr>
    </w:lvl>
    <w:lvl w:ilvl="2">
      <w:start w:val="0"/>
      <w:numFmt w:val="bullet"/>
      <w:lvlText w:val="•"/>
      <w:lvlJc w:val="left"/>
      <w:pPr>
        <w:ind w:left="1255" w:hanging="360"/>
      </w:pPr>
      <w:rPr>
        <w:rFonts w:hint="default"/>
        <w:lang w:val="es-ES" w:eastAsia="en-US" w:bidi="ar-SA"/>
      </w:rPr>
    </w:lvl>
    <w:lvl w:ilvl="3">
      <w:start w:val="0"/>
      <w:numFmt w:val="bullet"/>
      <w:lvlText w:val="•"/>
      <w:lvlJc w:val="left"/>
      <w:pPr>
        <w:ind w:left="1663" w:hanging="360"/>
      </w:pPr>
      <w:rPr>
        <w:rFonts w:hint="default"/>
        <w:lang w:val="es-ES" w:eastAsia="en-US" w:bidi="ar-SA"/>
      </w:rPr>
    </w:lvl>
    <w:lvl w:ilvl="4">
      <w:start w:val="0"/>
      <w:numFmt w:val="bullet"/>
      <w:lvlText w:val="•"/>
      <w:lvlJc w:val="left"/>
      <w:pPr>
        <w:ind w:left="2070" w:hanging="360"/>
      </w:pPr>
      <w:rPr>
        <w:rFonts w:hint="default"/>
        <w:lang w:val="es-ES" w:eastAsia="en-US" w:bidi="ar-SA"/>
      </w:rPr>
    </w:lvl>
    <w:lvl w:ilvl="5">
      <w:start w:val="0"/>
      <w:numFmt w:val="bullet"/>
      <w:lvlText w:val="•"/>
      <w:lvlJc w:val="left"/>
      <w:pPr>
        <w:ind w:left="2478" w:hanging="360"/>
      </w:pPr>
      <w:rPr>
        <w:rFonts w:hint="default"/>
        <w:lang w:val="es-ES" w:eastAsia="en-US" w:bidi="ar-SA"/>
      </w:rPr>
    </w:lvl>
    <w:lvl w:ilvl="6">
      <w:start w:val="0"/>
      <w:numFmt w:val="bullet"/>
      <w:lvlText w:val="•"/>
      <w:lvlJc w:val="left"/>
      <w:pPr>
        <w:ind w:left="2886" w:hanging="360"/>
      </w:pPr>
      <w:rPr>
        <w:rFonts w:hint="default"/>
        <w:lang w:val="es-ES" w:eastAsia="en-US" w:bidi="ar-SA"/>
      </w:rPr>
    </w:lvl>
    <w:lvl w:ilvl="7">
      <w:start w:val="0"/>
      <w:numFmt w:val="bullet"/>
      <w:lvlText w:val="•"/>
      <w:lvlJc w:val="left"/>
      <w:pPr>
        <w:ind w:left="3293" w:hanging="360"/>
      </w:pPr>
      <w:rPr>
        <w:rFonts w:hint="default"/>
        <w:lang w:val="es-ES" w:eastAsia="en-US" w:bidi="ar-SA"/>
      </w:rPr>
    </w:lvl>
    <w:lvl w:ilvl="8">
      <w:start w:val="0"/>
      <w:numFmt w:val="bullet"/>
      <w:lvlText w:val="•"/>
      <w:lvlJc w:val="left"/>
      <w:pPr>
        <w:ind w:left="3701" w:hanging="360"/>
      </w:pPr>
      <w:rPr>
        <w:rFonts w:hint="default"/>
        <w:lang w:val="es-ES" w:eastAsia="en-US" w:bidi="ar-SA"/>
      </w:rPr>
    </w:lvl>
  </w:abstractNum>
  <w:abstractNum w:abstractNumId="173">
    <w:multiLevelType w:val="hybridMultilevel"/>
    <w:lvl w:ilvl="0">
      <w:start w:val="0"/>
      <w:numFmt w:val="bullet"/>
      <w:lvlText w:val=""/>
      <w:lvlJc w:val="left"/>
      <w:pPr>
        <w:ind w:left="431" w:hanging="360"/>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847" w:hanging="360"/>
      </w:pPr>
      <w:rPr>
        <w:rFonts w:hint="default"/>
        <w:lang w:val="es-ES" w:eastAsia="en-US" w:bidi="ar-SA"/>
      </w:rPr>
    </w:lvl>
    <w:lvl w:ilvl="2">
      <w:start w:val="0"/>
      <w:numFmt w:val="bullet"/>
      <w:lvlText w:val="•"/>
      <w:lvlJc w:val="left"/>
      <w:pPr>
        <w:ind w:left="1255" w:hanging="360"/>
      </w:pPr>
      <w:rPr>
        <w:rFonts w:hint="default"/>
        <w:lang w:val="es-ES" w:eastAsia="en-US" w:bidi="ar-SA"/>
      </w:rPr>
    </w:lvl>
    <w:lvl w:ilvl="3">
      <w:start w:val="0"/>
      <w:numFmt w:val="bullet"/>
      <w:lvlText w:val="•"/>
      <w:lvlJc w:val="left"/>
      <w:pPr>
        <w:ind w:left="1663" w:hanging="360"/>
      </w:pPr>
      <w:rPr>
        <w:rFonts w:hint="default"/>
        <w:lang w:val="es-ES" w:eastAsia="en-US" w:bidi="ar-SA"/>
      </w:rPr>
    </w:lvl>
    <w:lvl w:ilvl="4">
      <w:start w:val="0"/>
      <w:numFmt w:val="bullet"/>
      <w:lvlText w:val="•"/>
      <w:lvlJc w:val="left"/>
      <w:pPr>
        <w:ind w:left="2070" w:hanging="360"/>
      </w:pPr>
      <w:rPr>
        <w:rFonts w:hint="default"/>
        <w:lang w:val="es-ES" w:eastAsia="en-US" w:bidi="ar-SA"/>
      </w:rPr>
    </w:lvl>
    <w:lvl w:ilvl="5">
      <w:start w:val="0"/>
      <w:numFmt w:val="bullet"/>
      <w:lvlText w:val="•"/>
      <w:lvlJc w:val="left"/>
      <w:pPr>
        <w:ind w:left="2478" w:hanging="360"/>
      </w:pPr>
      <w:rPr>
        <w:rFonts w:hint="default"/>
        <w:lang w:val="es-ES" w:eastAsia="en-US" w:bidi="ar-SA"/>
      </w:rPr>
    </w:lvl>
    <w:lvl w:ilvl="6">
      <w:start w:val="0"/>
      <w:numFmt w:val="bullet"/>
      <w:lvlText w:val="•"/>
      <w:lvlJc w:val="left"/>
      <w:pPr>
        <w:ind w:left="2886" w:hanging="360"/>
      </w:pPr>
      <w:rPr>
        <w:rFonts w:hint="default"/>
        <w:lang w:val="es-ES" w:eastAsia="en-US" w:bidi="ar-SA"/>
      </w:rPr>
    </w:lvl>
    <w:lvl w:ilvl="7">
      <w:start w:val="0"/>
      <w:numFmt w:val="bullet"/>
      <w:lvlText w:val="•"/>
      <w:lvlJc w:val="left"/>
      <w:pPr>
        <w:ind w:left="3293" w:hanging="360"/>
      </w:pPr>
      <w:rPr>
        <w:rFonts w:hint="default"/>
        <w:lang w:val="es-ES" w:eastAsia="en-US" w:bidi="ar-SA"/>
      </w:rPr>
    </w:lvl>
    <w:lvl w:ilvl="8">
      <w:start w:val="0"/>
      <w:numFmt w:val="bullet"/>
      <w:lvlText w:val="•"/>
      <w:lvlJc w:val="left"/>
      <w:pPr>
        <w:ind w:left="3701" w:hanging="360"/>
      </w:pPr>
      <w:rPr>
        <w:rFonts w:hint="default"/>
        <w:lang w:val="es-ES" w:eastAsia="en-US" w:bidi="ar-SA"/>
      </w:rPr>
    </w:lvl>
  </w:abstractNum>
  <w:abstractNum w:abstractNumId="172">
    <w:multiLevelType w:val="hybridMultilevel"/>
    <w:lvl w:ilvl="0">
      <w:start w:val="1"/>
      <w:numFmt w:val="lowerLetter"/>
      <w:lvlText w:val="%1."/>
      <w:lvlJc w:val="left"/>
      <w:pPr>
        <w:ind w:left="359" w:hanging="28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277" w:hanging="288"/>
      </w:pPr>
      <w:rPr>
        <w:rFonts w:hint="default"/>
        <w:lang w:val="es-ES" w:eastAsia="en-US" w:bidi="ar-SA"/>
      </w:rPr>
    </w:lvl>
    <w:lvl w:ilvl="2">
      <w:start w:val="0"/>
      <w:numFmt w:val="bullet"/>
      <w:lvlText w:val="•"/>
      <w:lvlJc w:val="left"/>
      <w:pPr>
        <w:ind w:left="2194" w:hanging="288"/>
      </w:pPr>
      <w:rPr>
        <w:rFonts w:hint="default"/>
        <w:lang w:val="es-ES" w:eastAsia="en-US" w:bidi="ar-SA"/>
      </w:rPr>
    </w:lvl>
    <w:lvl w:ilvl="3">
      <w:start w:val="0"/>
      <w:numFmt w:val="bullet"/>
      <w:lvlText w:val="•"/>
      <w:lvlJc w:val="left"/>
      <w:pPr>
        <w:ind w:left="3111" w:hanging="288"/>
      </w:pPr>
      <w:rPr>
        <w:rFonts w:hint="default"/>
        <w:lang w:val="es-ES" w:eastAsia="en-US" w:bidi="ar-SA"/>
      </w:rPr>
    </w:lvl>
    <w:lvl w:ilvl="4">
      <w:start w:val="0"/>
      <w:numFmt w:val="bullet"/>
      <w:lvlText w:val="•"/>
      <w:lvlJc w:val="left"/>
      <w:pPr>
        <w:ind w:left="4028" w:hanging="288"/>
      </w:pPr>
      <w:rPr>
        <w:rFonts w:hint="default"/>
        <w:lang w:val="es-ES" w:eastAsia="en-US" w:bidi="ar-SA"/>
      </w:rPr>
    </w:lvl>
    <w:lvl w:ilvl="5">
      <w:start w:val="0"/>
      <w:numFmt w:val="bullet"/>
      <w:lvlText w:val="•"/>
      <w:lvlJc w:val="left"/>
      <w:pPr>
        <w:ind w:left="4945" w:hanging="288"/>
      </w:pPr>
      <w:rPr>
        <w:rFonts w:hint="default"/>
        <w:lang w:val="es-ES" w:eastAsia="en-US" w:bidi="ar-SA"/>
      </w:rPr>
    </w:lvl>
    <w:lvl w:ilvl="6">
      <w:start w:val="0"/>
      <w:numFmt w:val="bullet"/>
      <w:lvlText w:val="•"/>
      <w:lvlJc w:val="left"/>
      <w:pPr>
        <w:ind w:left="5862" w:hanging="288"/>
      </w:pPr>
      <w:rPr>
        <w:rFonts w:hint="default"/>
        <w:lang w:val="es-ES" w:eastAsia="en-US" w:bidi="ar-SA"/>
      </w:rPr>
    </w:lvl>
    <w:lvl w:ilvl="7">
      <w:start w:val="0"/>
      <w:numFmt w:val="bullet"/>
      <w:lvlText w:val="•"/>
      <w:lvlJc w:val="left"/>
      <w:pPr>
        <w:ind w:left="6779" w:hanging="288"/>
      </w:pPr>
      <w:rPr>
        <w:rFonts w:hint="default"/>
        <w:lang w:val="es-ES" w:eastAsia="en-US" w:bidi="ar-SA"/>
      </w:rPr>
    </w:lvl>
    <w:lvl w:ilvl="8">
      <w:start w:val="0"/>
      <w:numFmt w:val="bullet"/>
      <w:lvlText w:val="•"/>
      <w:lvlJc w:val="left"/>
      <w:pPr>
        <w:ind w:left="7696" w:hanging="288"/>
      </w:pPr>
      <w:rPr>
        <w:rFonts w:hint="default"/>
        <w:lang w:val="es-ES" w:eastAsia="en-US" w:bidi="ar-SA"/>
      </w:rPr>
    </w:lvl>
  </w:abstractNum>
  <w:abstractNum w:abstractNumId="171">
    <w:multiLevelType w:val="hybridMultilevel"/>
    <w:lvl w:ilvl="0">
      <w:start w:val="0"/>
      <w:numFmt w:val="bullet"/>
      <w:lvlText w:val=""/>
      <w:lvlJc w:val="left"/>
      <w:pPr>
        <w:ind w:left="359" w:hanging="289"/>
      </w:pPr>
      <w:rPr>
        <w:rFonts w:hint="default" w:ascii="Symbol" w:hAnsi="Symbol" w:eastAsia="Symbol" w:cs="Symbol"/>
        <w:b w:val="0"/>
        <w:bCs w:val="0"/>
        <w:i w:val="0"/>
        <w:iCs w:val="0"/>
        <w:spacing w:val="0"/>
        <w:w w:val="99"/>
        <w:sz w:val="20"/>
        <w:szCs w:val="20"/>
        <w:lang w:val="es-ES" w:eastAsia="en-US" w:bidi="ar-SA"/>
      </w:rPr>
    </w:lvl>
    <w:lvl w:ilvl="1">
      <w:start w:val="0"/>
      <w:numFmt w:val="bullet"/>
      <w:lvlText w:val="•"/>
      <w:lvlJc w:val="left"/>
      <w:pPr>
        <w:ind w:left="581" w:hanging="289"/>
      </w:pPr>
      <w:rPr>
        <w:rFonts w:hint="default"/>
        <w:lang w:val="es-ES" w:eastAsia="en-US" w:bidi="ar-SA"/>
      </w:rPr>
    </w:lvl>
    <w:lvl w:ilvl="2">
      <w:start w:val="0"/>
      <w:numFmt w:val="bullet"/>
      <w:lvlText w:val="•"/>
      <w:lvlJc w:val="left"/>
      <w:pPr>
        <w:ind w:left="803" w:hanging="289"/>
      </w:pPr>
      <w:rPr>
        <w:rFonts w:hint="default"/>
        <w:lang w:val="es-ES" w:eastAsia="en-US" w:bidi="ar-SA"/>
      </w:rPr>
    </w:lvl>
    <w:lvl w:ilvl="3">
      <w:start w:val="0"/>
      <w:numFmt w:val="bullet"/>
      <w:lvlText w:val="•"/>
      <w:lvlJc w:val="left"/>
      <w:pPr>
        <w:ind w:left="1024" w:hanging="289"/>
      </w:pPr>
      <w:rPr>
        <w:rFonts w:hint="default"/>
        <w:lang w:val="es-ES" w:eastAsia="en-US" w:bidi="ar-SA"/>
      </w:rPr>
    </w:lvl>
    <w:lvl w:ilvl="4">
      <w:start w:val="0"/>
      <w:numFmt w:val="bullet"/>
      <w:lvlText w:val="•"/>
      <w:lvlJc w:val="left"/>
      <w:pPr>
        <w:ind w:left="1246" w:hanging="289"/>
      </w:pPr>
      <w:rPr>
        <w:rFonts w:hint="default"/>
        <w:lang w:val="es-ES" w:eastAsia="en-US" w:bidi="ar-SA"/>
      </w:rPr>
    </w:lvl>
    <w:lvl w:ilvl="5">
      <w:start w:val="0"/>
      <w:numFmt w:val="bullet"/>
      <w:lvlText w:val="•"/>
      <w:lvlJc w:val="left"/>
      <w:pPr>
        <w:ind w:left="1468" w:hanging="289"/>
      </w:pPr>
      <w:rPr>
        <w:rFonts w:hint="default"/>
        <w:lang w:val="es-ES" w:eastAsia="en-US" w:bidi="ar-SA"/>
      </w:rPr>
    </w:lvl>
    <w:lvl w:ilvl="6">
      <w:start w:val="0"/>
      <w:numFmt w:val="bullet"/>
      <w:lvlText w:val="•"/>
      <w:lvlJc w:val="left"/>
      <w:pPr>
        <w:ind w:left="1689" w:hanging="289"/>
      </w:pPr>
      <w:rPr>
        <w:rFonts w:hint="default"/>
        <w:lang w:val="es-ES" w:eastAsia="en-US" w:bidi="ar-SA"/>
      </w:rPr>
    </w:lvl>
    <w:lvl w:ilvl="7">
      <w:start w:val="0"/>
      <w:numFmt w:val="bullet"/>
      <w:lvlText w:val="•"/>
      <w:lvlJc w:val="left"/>
      <w:pPr>
        <w:ind w:left="1911" w:hanging="289"/>
      </w:pPr>
      <w:rPr>
        <w:rFonts w:hint="default"/>
        <w:lang w:val="es-ES" w:eastAsia="en-US" w:bidi="ar-SA"/>
      </w:rPr>
    </w:lvl>
    <w:lvl w:ilvl="8">
      <w:start w:val="0"/>
      <w:numFmt w:val="bullet"/>
      <w:lvlText w:val="•"/>
      <w:lvlJc w:val="left"/>
      <w:pPr>
        <w:ind w:left="2132" w:hanging="289"/>
      </w:pPr>
      <w:rPr>
        <w:rFonts w:hint="default"/>
        <w:lang w:val="es-ES" w:eastAsia="en-US" w:bidi="ar-SA"/>
      </w:rPr>
    </w:lvl>
  </w:abstractNum>
  <w:abstractNum w:abstractNumId="170">
    <w:multiLevelType w:val="hybridMultilevel"/>
    <w:lvl w:ilvl="0">
      <w:start w:val="0"/>
      <w:numFmt w:val="bullet"/>
      <w:lvlText w:val=""/>
      <w:lvlJc w:val="left"/>
      <w:pPr>
        <w:ind w:left="359" w:hanging="288"/>
      </w:pPr>
      <w:rPr>
        <w:rFonts w:hint="default" w:ascii="Symbol" w:hAnsi="Symbol" w:eastAsia="Symbol" w:cs="Symbol"/>
        <w:b w:val="0"/>
        <w:bCs w:val="0"/>
        <w:i w:val="0"/>
        <w:iCs w:val="0"/>
        <w:spacing w:val="0"/>
        <w:w w:val="99"/>
        <w:sz w:val="20"/>
        <w:szCs w:val="20"/>
        <w:lang w:val="es-ES" w:eastAsia="en-US" w:bidi="ar-SA"/>
      </w:rPr>
    </w:lvl>
    <w:lvl w:ilvl="1">
      <w:start w:val="0"/>
      <w:numFmt w:val="bullet"/>
      <w:lvlText w:val="•"/>
      <w:lvlJc w:val="left"/>
      <w:pPr>
        <w:ind w:left="568" w:hanging="288"/>
      </w:pPr>
      <w:rPr>
        <w:rFonts w:hint="default"/>
        <w:lang w:val="es-ES" w:eastAsia="en-US" w:bidi="ar-SA"/>
      </w:rPr>
    </w:lvl>
    <w:lvl w:ilvl="2">
      <w:start w:val="0"/>
      <w:numFmt w:val="bullet"/>
      <w:lvlText w:val="•"/>
      <w:lvlJc w:val="left"/>
      <w:pPr>
        <w:ind w:left="776" w:hanging="288"/>
      </w:pPr>
      <w:rPr>
        <w:rFonts w:hint="default"/>
        <w:lang w:val="es-ES" w:eastAsia="en-US" w:bidi="ar-SA"/>
      </w:rPr>
    </w:lvl>
    <w:lvl w:ilvl="3">
      <w:start w:val="0"/>
      <w:numFmt w:val="bullet"/>
      <w:lvlText w:val="•"/>
      <w:lvlJc w:val="left"/>
      <w:pPr>
        <w:ind w:left="984" w:hanging="288"/>
      </w:pPr>
      <w:rPr>
        <w:rFonts w:hint="default"/>
        <w:lang w:val="es-ES" w:eastAsia="en-US" w:bidi="ar-SA"/>
      </w:rPr>
    </w:lvl>
    <w:lvl w:ilvl="4">
      <w:start w:val="0"/>
      <w:numFmt w:val="bullet"/>
      <w:lvlText w:val="•"/>
      <w:lvlJc w:val="left"/>
      <w:pPr>
        <w:ind w:left="1193" w:hanging="288"/>
      </w:pPr>
      <w:rPr>
        <w:rFonts w:hint="default"/>
        <w:lang w:val="es-ES" w:eastAsia="en-US" w:bidi="ar-SA"/>
      </w:rPr>
    </w:lvl>
    <w:lvl w:ilvl="5">
      <w:start w:val="0"/>
      <w:numFmt w:val="bullet"/>
      <w:lvlText w:val="•"/>
      <w:lvlJc w:val="left"/>
      <w:pPr>
        <w:ind w:left="1401" w:hanging="288"/>
      </w:pPr>
      <w:rPr>
        <w:rFonts w:hint="default"/>
        <w:lang w:val="es-ES" w:eastAsia="en-US" w:bidi="ar-SA"/>
      </w:rPr>
    </w:lvl>
    <w:lvl w:ilvl="6">
      <w:start w:val="0"/>
      <w:numFmt w:val="bullet"/>
      <w:lvlText w:val="•"/>
      <w:lvlJc w:val="left"/>
      <w:pPr>
        <w:ind w:left="1609" w:hanging="288"/>
      </w:pPr>
      <w:rPr>
        <w:rFonts w:hint="default"/>
        <w:lang w:val="es-ES" w:eastAsia="en-US" w:bidi="ar-SA"/>
      </w:rPr>
    </w:lvl>
    <w:lvl w:ilvl="7">
      <w:start w:val="0"/>
      <w:numFmt w:val="bullet"/>
      <w:lvlText w:val="•"/>
      <w:lvlJc w:val="left"/>
      <w:pPr>
        <w:ind w:left="1818" w:hanging="288"/>
      </w:pPr>
      <w:rPr>
        <w:rFonts w:hint="default"/>
        <w:lang w:val="es-ES" w:eastAsia="en-US" w:bidi="ar-SA"/>
      </w:rPr>
    </w:lvl>
    <w:lvl w:ilvl="8">
      <w:start w:val="0"/>
      <w:numFmt w:val="bullet"/>
      <w:lvlText w:val="•"/>
      <w:lvlJc w:val="left"/>
      <w:pPr>
        <w:ind w:left="2026" w:hanging="288"/>
      </w:pPr>
      <w:rPr>
        <w:rFonts w:hint="default"/>
        <w:lang w:val="es-ES" w:eastAsia="en-US" w:bidi="ar-SA"/>
      </w:rPr>
    </w:lvl>
  </w:abstractNum>
  <w:abstractNum w:abstractNumId="169">
    <w:multiLevelType w:val="hybridMultilevel"/>
    <w:lvl w:ilvl="0">
      <w:start w:val="0"/>
      <w:numFmt w:val="bullet"/>
      <w:lvlText w:val=""/>
      <w:lvlJc w:val="left"/>
      <w:pPr>
        <w:ind w:left="359" w:hanging="289"/>
      </w:pPr>
      <w:rPr>
        <w:rFonts w:hint="default" w:ascii="Symbol" w:hAnsi="Symbol" w:eastAsia="Symbol" w:cs="Symbol"/>
        <w:b w:val="0"/>
        <w:bCs w:val="0"/>
        <w:i w:val="0"/>
        <w:iCs w:val="0"/>
        <w:spacing w:val="0"/>
        <w:w w:val="99"/>
        <w:sz w:val="20"/>
        <w:szCs w:val="20"/>
        <w:lang w:val="es-ES" w:eastAsia="en-US" w:bidi="ar-SA"/>
      </w:rPr>
    </w:lvl>
    <w:lvl w:ilvl="1">
      <w:start w:val="0"/>
      <w:numFmt w:val="bullet"/>
      <w:lvlText w:val="•"/>
      <w:lvlJc w:val="left"/>
      <w:pPr>
        <w:ind w:left="581" w:hanging="289"/>
      </w:pPr>
      <w:rPr>
        <w:rFonts w:hint="default"/>
        <w:lang w:val="es-ES" w:eastAsia="en-US" w:bidi="ar-SA"/>
      </w:rPr>
    </w:lvl>
    <w:lvl w:ilvl="2">
      <w:start w:val="0"/>
      <w:numFmt w:val="bullet"/>
      <w:lvlText w:val="•"/>
      <w:lvlJc w:val="left"/>
      <w:pPr>
        <w:ind w:left="803" w:hanging="289"/>
      </w:pPr>
      <w:rPr>
        <w:rFonts w:hint="default"/>
        <w:lang w:val="es-ES" w:eastAsia="en-US" w:bidi="ar-SA"/>
      </w:rPr>
    </w:lvl>
    <w:lvl w:ilvl="3">
      <w:start w:val="0"/>
      <w:numFmt w:val="bullet"/>
      <w:lvlText w:val="•"/>
      <w:lvlJc w:val="left"/>
      <w:pPr>
        <w:ind w:left="1024" w:hanging="289"/>
      </w:pPr>
      <w:rPr>
        <w:rFonts w:hint="default"/>
        <w:lang w:val="es-ES" w:eastAsia="en-US" w:bidi="ar-SA"/>
      </w:rPr>
    </w:lvl>
    <w:lvl w:ilvl="4">
      <w:start w:val="0"/>
      <w:numFmt w:val="bullet"/>
      <w:lvlText w:val="•"/>
      <w:lvlJc w:val="left"/>
      <w:pPr>
        <w:ind w:left="1246" w:hanging="289"/>
      </w:pPr>
      <w:rPr>
        <w:rFonts w:hint="default"/>
        <w:lang w:val="es-ES" w:eastAsia="en-US" w:bidi="ar-SA"/>
      </w:rPr>
    </w:lvl>
    <w:lvl w:ilvl="5">
      <w:start w:val="0"/>
      <w:numFmt w:val="bullet"/>
      <w:lvlText w:val="•"/>
      <w:lvlJc w:val="left"/>
      <w:pPr>
        <w:ind w:left="1468" w:hanging="289"/>
      </w:pPr>
      <w:rPr>
        <w:rFonts w:hint="default"/>
        <w:lang w:val="es-ES" w:eastAsia="en-US" w:bidi="ar-SA"/>
      </w:rPr>
    </w:lvl>
    <w:lvl w:ilvl="6">
      <w:start w:val="0"/>
      <w:numFmt w:val="bullet"/>
      <w:lvlText w:val="•"/>
      <w:lvlJc w:val="left"/>
      <w:pPr>
        <w:ind w:left="1689" w:hanging="289"/>
      </w:pPr>
      <w:rPr>
        <w:rFonts w:hint="default"/>
        <w:lang w:val="es-ES" w:eastAsia="en-US" w:bidi="ar-SA"/>
      </w:rPr>
    </w:lvl>
    <w:lvl w:ilvl="7">
      <w:start w:val="0"/>
      <w:numFmt w:val="bullet"/>
      <w:lvlText w:val="•"/>
      <w:lvlJc w:val="left"/>
      <w:pPr>
        <w:ind w:left="1911" w:hanging="289"/>
      </w:pPr>
      <w:rPr>
        <w:rFonts w:hint="default"/>
        <w:lang w:val="es-ES" w:eastAsia="en-US" w:bidi="ar-SA"/>
      </w:rPr>
    </w:lvl>
    <w:lvl w:ilvl="8">
      <w:start w:val="0"/>
      <w:numFmt w:val="bullet"/>
      <w:lvlText w:val="•"/>
      <w:lvlJc w:val="left"/>
      <w:pPr>
        <w:ind w:left="2132" w:hanging="289"/>
      </w:pPr>
      <w:rPr>
        <w:rFonts w:hint="default"/>
        <w:lang w:val="es-ES" w:eastAsia="en-US" w:bidi="ar-SA"/>
      </w:rPr>
    </w:lvl>
  </w:abstractNum>
  <w:abstractNum w:abstractNumId="168">
    <w:multiLevelType w:val="hybridMultilevel"/>
    <w:lvl w:ilvl="0">
      <w:start w:val="0"/>
      <w:numFmt w:val="bullet"/>
      <w:lvlText w:val=""/>
      <w:lvlJc w:val="left"/>
      <w:pPr>
        <w:ind w:left="359" w:hanging="288"/>
      </w:pPr>
      <w:rPr>
        <w:rFonts w:hint="default" w:ascii="Symbol" w:hAnsi="Symbol" w:eastAsia="Symbol" w:cs="Symbol"/>
        <w:b w:val="0"/>
        <w:bCs w:val="0"/>
        <w:i w:val="0"/>
        <w:iCs w:val="0"/>
        <w:spacing w:val="0"/>
        <w:w w:val="99"/>
        <w:sz w:val="20"/>
        <w:szCs w:val="20"/>
        <w:lang w:val="es-ES" w:eastAsia="en-US" w:bidi="ar-SA"/>
      </w:rPr>
    </w:lvl>
    <w:lvl w:ilvl="1">
      <w:start w:val="0"/>
      <w:numFmt w:val="bullet"/>
      <w:lvlText w:val="•"/>
      <w:lvlJc w:val="left"/>
      <w:pPr>
        <w:ind w:left="568" w:hanging="288"/>
      </w:pPr>
      <w:rPr>
        <w:rFonts w:hint="default"/>
        <w:lang w:val="es-ES" w:eastAsia="en-US" w:bidi="ar-SA"/>
      </w:rPr>
    </w:lvl>
    <w:lvl w:ilvl="2">
      <w:start w:val="0"/>
      <w:numFmt w:val="bullet"/>
      <w:lvlText w:val="•"/>
      <w:lvlJc w:val="left"/>
      <w:pPr>
        <w:ind w:left="776" w:hanging="288"/>
      </w:pPr>
      <w:rPr>
        <w:rFonts w:hint="default"/>
        <w:lang w:val="es-ES" w:eastAsia="en-US" w:bidi="ar-SA"/>
      </w:rPr>
    </w:lvl>
    <w:lvl w:ilvl="3">
      <w:start w:val="0"/>
      <w:numFmt w:val="bullet"/>
      <w:lvlText w:val="•"/>
      <w:lvlJc w:val="left"/>
      <w:pPr>
        <w:ind w:left="984" w:hanging="288"/>
      </w:pPr>
      <w:rPr>
        <w:rFonts w:hint="default"/>
        <w:lang w:val="es-ES" w:eastAsia="en-US" w:bidi="ar-SA"/>
      </w:rPr>
    </w:lvl>
    <w:lvl w:ilvl="4">
      <w:start w:val="0"/>
      <w:numFmt w:val="bullet"/>
      <w:lvlText w:val="•"/>
      <w:lvlJc w:val="left"/>
      <w:pPr>
        <w:ind w:left="1193" w:hanging="288"/>
      </w:pPr>
      <w:rPr>
        <w:rFonts w:hint="default"/>
        <w:lang w:val="es-ES" w:eastAsia="en-US" w:bidi="ar-SA"/>
      </w:rPr>
    </w:lvl>
    <w:lvl w:ilvl="5">
      <w:start w:val="0"/>
      <w:numFmt w:val="bullet"/>
      <w:lvlText w:val="•"/>
      <w:lvlJc w:val="left"/>
      <w:pPr>
        <w:ind w:left="1401" w:hanging="288"/>
      </w:pPr>
      <w:rPr>
        <w:rFonts w:hint="default"/>
        <w:lang w:val="es-ES" w:eastAsia="en-US" w:bidi="ar-SA"/>
      </w:rPr>
    </w:lvl>
    <w:lvl w:ilvl="6">
      <w:start w:val="0"/>
      <w:numFmt w:val="bullet"/>
      <w:lvlText w:val="•"/>
      <w:lvlJc w:val="left"/>
      <w:pPr>
        <w:ind w:left="1609" w:hanging="288"/>
      </w:pPr>
      <w:rPr>
        <w:rFonts w:hint="default"/>
        <w:lang w:val="es-ES" w:eastAsia="en-US" w:bidi="ar-SA"/>
      </w:rPr>
    </w:lvl>
    <w:lvl w:ilvl="7">
      <w:start w:val="0"/>
      <w:numFmt w:val="bullet"/>
      <w:lvlText w:val="•"/>
      <w:lvlJc w:val="left"/>
      <w:pPr>
        <w:ind w:left="1818" w:hanging="288"/>
      </w:pPr>
      <w:rPr>
        <w:rFonts w:hint="default"/>
        <w:lang w:val="es-ES" w:eastAsia="en-US" w:bidi="ar-SA"/>
      </w:rPr>
    </w:lvl>
    <w:lvl w:ilvl="8">
      <w:start w:val="0"/>
      <w:numFmt w:val="bullet"/>
      <w:lvlText w:val="•"/>
      <w:lvlJc w:val="left"/>
      <w:pPr>
        <w:ind w:left="2026" w:hanging="288"/>
      </w:pPr>
      <w:rPr>
        <w:rFonts w:hint="default"/>
        <w:lang w:val="es-ES" w:eastAsia="en-US" w:bidi="ar-SA"/>
      </w:rPr>
    </w:lvl>
  </w:abstractNum>
  <w:abstractNum w:abstractNumId="167">
    <w:multiLevelType w:val="hybridMultilevel"/>
    <w:lvl w:ilvl="0">
      <w:start w:val="0"/>
      <w:numFmt w:val="bullet"/>
      <w:lvlText w:val=""/>
      <w:lvlJc w:val="left"/>
      <w:pPr>
        <w:ind w:left="1058" w:hanging="420"/>
      </w:pPr>
      <w:rPr>
        <w:rFonts w:hint="default" w:ascii="Symbol" w:hAnsi="Symbol" w:eastAsia="Symbol" w:cs="Symbol"/>
        <w:b w:val="0"/>
        <w:bCs w:val="0"/>
        <w:i w:val="0"/>
        <w:iCs w:val="0"/>
        <w:spacing w:val="0"/>
        <w:w w:val="99"/>
        <w:sz w:val="20"/>
        <w:szCs w:val="20"/>
        <w:lang w:val="es-ES" w:eastAsia="en-US" w:bidi="ar-SA"/>
      </w:rPr>
    </w:lvl>
    <w:lvl w:ilvl="1">
      <w:start w:val="0"/>
      <w:numFmt w:val="bullet"/>
      <w:lvlText w:val="•"/>
      <w:lvlJc w:val="left"/>
      <w:pPr>
        <w:ind w:left="1962" w:hanging="420"/>
      </w:pPr>
      <w:rPr>
        <w:rFonts w:hint="default"/>
        <w:lang w:val="es-ES" w:eastAsia="en-US" w:bidi="ar-SA"/>
      </w:rPr>
    </w:lvl>
    <w:lvl w:ilvl="2">
      <w:start w:val="0"/>
      <w:numFmt w:val="bullet"/>
      <w:lvlText w:val="•"/>
      <w:lvlJc w:val="left"/>
      <w:pPr>
        <w:ind w:left="2864" w:hanging="420"/>
      </w:pPr>
      <w:rPr>
        <w:rFonts w:hint="default"/>
        <w:lang w:val="es-ES" w:eastAsia="en-US" w:bidi="ar-SA"/>
      </w:rPr>
    </w:lvl>
    <w:lvl w:ilvl="3">
      <w:start w:val="0"/>
      <w:numFmt w:val="bullet"/>
      <w:lvlText w:val="•"/>
      <w:lvlJc w:val="left"/>
      <w:pPr>
        <w:ind w:left="3766" w:hanging="420"/>
      </w:pPr>
      <w:rPr>
        <w:rFonts w:hint="default"/>
        <w:lang w:val="es-ES" w:eastAsia="en-US" w:bidi="ar-SA"/>
      </w:rPr>
    </w:lvl>
    <w:lvl w:ilvl="4">
      <w:start w:val="0"/>
      <w:numFmt w:val="bullet"/>
      <w:lvlText w:val="•"/>
      <w:lvlJc w:val="left"/>
      <w:pPr>
        <w:ind w:left="4668" w:hanging="420"/>
      </w:pPr>
      <w:rPr>
        <w:rFonts w:hint="default"/>
        <w:lang w:val="es-ES" w:eastAsia="en-US" w:bidi="ar-SA"/>
      </w:rPr>
    </w:lvl>
    <w:lvl w:ilvl="5">
      <w:start w:val="0"/>
      <w:numFmt w:val="bullet"/>
      <w:lvlText w:val="•"/>
      <w:lvlJc w:val="left"/>
      <w:pPr>
        <w:ind w:left="5570" w:hanging="420"/>
      </w:pPr>
      <w:rPr>
        <w:rFonts w:hint="default"/>
        <w:lang w:val="es-ES" w:eastAsia="en-US" w:bidi="ar-SA"/>
      </w:rPr>
    </w:lvl>
    <w:lvl w:ilvl="6">
      <w:start w:val="0"/>
      <w:numFmt w:val="bullet"/>
      <w:lvlText w:val="•"/>
      <w:lvlJc w:val="left"/>
      <w:pPr>
        <w:ind w:left="6472" w:hanging="420"/>
      </w:pPr>
      <w:rPr>
        <w:rFonts w:hint="default"/>
        <w:lang w:val="es-ES" w:eastAsia="en-US" w:bidi="ar-SA"/>
      </w:rPr>
    </w:lvl>
    <w:lvl w:ilvl="7">
      <w:start w:val="0"/>
      <w:numFmt w:val="bullet"/>
      <w:lvlText w:val="•"/>
      <w:lvlJc w:val="left"/>
      <w:pPr>
        <w:ind w:left="7374" w:hanging="420"/>
      </w:pPr>
      <w:rPr>
        <w:rFonts w:hint="default"/>
        <w:lang w:val="es-ES" w:eastAsia="en-US" w:bidi="ar-SA"/>
      </w:rPr>
    </w:lvl>
    <w:lvl w:ilvl="8">
      <w:start w:val="0"/>
      <w:numFmt w:val="bullet"/>
      <w:lvlText w:val="•"/>
      <w:lvlJc w:val="left"/>
      <w:pPr>
        <w:ind w:left="8276" w:hanging="420"/>
      </w:pPr>
      <w:rPr>
        <w:rFonts w:hint="default"/>
        <w:lang w:val="es-ES" w:eastAsia="en-US" w:bidi="ar-SA"/>
      </w:rPr>
    </w:lvl>
  </w:abstractNum>
  <w:abstractNum w:abstractNumId="166">
    <w:multiLevelType w:val="hybridMultilevel"/>
    <w:lvl w:ilvl="0">
      <w:start w:val="1"/>
      <w:numFmt w:val="lowerLetter"/>
      <w:lvlText w:val="%1)"/>
      <w:lvlJc w:val="left"/>
      <w:pPr>
        <w:ind w:left="1058" w:hanging="2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269"/>
      </w:pPr>
      <w:rPr>
        <w:rFonts w:hint="default"/>
        <w:lang w:val="es-ES" w:eastAsia="en-US" w:bidi="ar-SA"/>
      </w:rPr>
    </w:lvl>
    <w:lvl w:ilvl="2">
      <w:start w:val="0"/>
      <w:numFmt w:val="bullet"/>
      <w:lvlText w:val="•"/>
      <w:lvlJc w:val="left"/>
      <w:pPr>
        <w:ind w:left="2864" w:hanging="269"/>
      </w:pPr>
      <w:rPr>
        <w:rFonts w:hint="default"/>
        <w:lang w:val="es-ES" w:eastAsia="en-US" w:bidi="ar-SA"/>
      </w:rPr>
    </w:lvl>
    <w:lvl w:ilvl="3">
      <w:start w:val="0"/>
      <w:numFmt w:val="bullet"/>
      <w:lvlText w:val="•"/>
      <w:lvlJc w:val="left"/>
      <w:pPr>
        <w:ind w:left="3766" w:hanging="269"/>
      </w:pPr>
      <w:rPr>
        <w:rFonts w:hint="default"/>
        <w:lang w:val="es-ES" w:eastAsia="en-US" w:bidi="ar-SA"/>
      </w:rPr>
    </w:lvl>
    <w:lvl w:ilvl="4">
      <w:start w:val="0"/>
      <w:numFmt w:val="bullet"/>
      <w:lvlText w:val="•"/>
      <w:lvlJc w:val="left"/>
      <w:pPr>
        <w:ind w:left="4668" w:hanging="269"/>
      </w:pPr>
      <w:rPr>
        <w:rFonts w:hint="default"/>
        <w:lang w:val="es-ES" w:eastAsia="en-US" w:bidi="ar-SA"/>
      </w:rPr>
    </w:lvl>
    <w:lvl w:ilvl="5">
      <w:start w:val="0"/>
      <w:numFmt w:val="bullet"/>
      <w:lvlText w:val="•"/>
      <w:lvlJc w:val="left"/>
      <w:pPr>
        <w:ind w:left="5570" w:hanging="269"/>
      </w:pPr>
      <w:rPr>
        <w:rFonts w:hint="default"/>
        <w:lang w:val="es-ES" w:eastAsia="en-US" w:bidi="ar-SA"/>
      </w:rPr>
    </w:lvl>
    <w:lvl w:ilvl="6">
      <w:start w:val="0"/>
      <w:numFmt w:val="bullet"/>
      <w:lvlText w:val="•"/>
      <w:lvlJc w:val="left"/>
      <w:pPr>
        <w:ind w:left="6472" w:hanging="269"/>
      </w:pPr>
      <w:rPr>
        <w:rFonts w:hint="default"/>
        <w:lang w:val="es-ES" w:eastAsia="en-US" w:bidi="ar-SA"/>
      </w:rPr>
    </w:lvl>
    <w:lvl w:ilvl="7">
      <w:start w:val="0"/>
      <w:numFmt w:val="bullet"/>
      <w:lvlText w:val="•"/>
      <w:lvlJc w:val="left"/>
      <w:pPr>
        <w:ind w:left="7374" w:hanging="269"/>
      </w:pPr>
      <w:rPr>
        <w:rFonts w:hint="default"/>
        <w:lang w:val="es-ES" w:eastAsia="en-US" w:bidi="ar-SA"/>
      </w:rPr>
    </w:lvl>
    <w:lvl w:ilvl="8">
      <w:start w:val="0"/>
      <w:numFmt w:val="bullet"/>
      <w:lvlText w:val="•"/>
      <w:lvlJc w:val="left"/>
      <w:pPr>
        <w:ind w:left="8276" w:hanging="269"/>
      </w:pPr>
      <w:rPr>
        <w:rFonts w:hint="default"/>
        <w:lang w:val="es-ES" w:eastAsia="en-US" w:bidi="ar-SA"/>
      </w:rPr>
    </w:lvl>
  </w:abstractNum>
  <w:abstractNum w:abstractNumId="165">
    <w:multiLevelType w:val="hybridMultilevel"/>
    <w:lvl w:ilvl="0">
      <w:start w:val="1"/>
      <w:numFmt w:val="lowerLetter"/>
      <w:lvlText w:val="%1)"/>
      <w:lvlJc w:val="left"/>
      <w:pPr>
        <w:ind w:left="859" w:hanging="233"/>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782" w:hanging="233"/>
      </w:pPr>
      <w:rPr>
        <w:rFonts w:hint="default"/>
        <w:lang w:val="es-ES" w:eastAsia="en-US" w:bidi="ar-SA"/>
      </w:rPr>
    </w:lvl>
    <w:lvl w:ilvl="2">
      <w:start w:val="0"/>
      <w:numFmt w:val="bullet"/>
      <w:lvlText w:val="•"/>
      <w:lvlJc w:val="left"/>
      <w:pPr>
        <w:ind w:left="2704" w:hanging="233"/>
      </w:pPr>
      <w:rPr>
        <w:rFonts w:hint="default"/>
        <w:lang w:val="es-ES" w:eastAsia="en-US" w:bidi="ar-SA"/>
      </w:rPr>
    </w:lvl>
    <w:lvl w:ilvl="3">
      <w:start w:val="0"/>
      <w:numFmt w:val="bullet"/>
      <w:lvlText w:val="•"/>
      <w:lvlJc w:val="left"/>
      <w:pPr>
        <w:ind w:left="3626" w:hanging="233"/>
      </w:pPr>
      <w:rPr>
        <w:rFonts w:hint="default"/>
        <w:lang w:val="es-ES" w:eastAsia="en-US" w:bidi="ar-SA"/>
      </w:rPr>
    </w:lvl>
    <w:lvl w:ilvl="4">
      <w:start w:val="0"/>
      <w:numFmt w:val="bullet"/>
      <w:lvlText w:val="•"/>
      <w:lvlJc w:val="left"/>
      <w:pPr>
        <w:ind w:left="4548" w:hanging="233"/>
      </w:pPr>
      <w:rPr>
        <w:rFonts w:hint="default"/>
        <w:lang w:val="es-ES" w:eastAsia="en-US" w:bidi="ar-SA"/>
      </w:rPr>
    </w:lvl>
    <w:lvl w:ilvl="5">
      <w:start w:val="0"/>
      <w:numFmt w:val="bullet"/>
      <w:lvlText w:val="•"/>
      <w:lvlJc w:val="left"/>
      <w:pPr>
        <w:ind w:left="5470" w:hanging="233"/>
      </w:pPr>
      <w:rPr>
        <w:rFonts w:hint="default"/>
        <w:lang w:val="es-ES" w:eastAsia="en-US" w:bidi="ar-SA"/>
      </w:rPr>
    </w:lvl>
    <w:lvl w:ilvl="6">
      <w:start w:val="0"/>
      <w:numFmt w:val="bullet"/>
      <w:lvlText w:val="•"/>
      <w:lvlJc w:val="left"/>
      <w:pPr>
        <w:ind w:left="6392" w:hanging="233"/>
      </w:pPr>
      <w:rPr>
        <w:rFonts w:hint="default"/>
        <w:lang w:val="es-ES" w:eastAsia="en-US" w:bidi="ar-SA"/>
      </w:rPr>
    </w:lvl>
    <w:lvl w:ilvl="7">
      <w:start w:val="0"/>
      <w:numFmt w:val="bullet"/>
      <w:lvlText w:val="•"/>
      <w:lvlJc w:val="left"/>
      <w:pPr>
        <w:ind w:left="7314" w:hanging="233"/>
      </w:pPr>
      <w:rPr>
        <w:rFonts w:hint="default"/>
        <w:lang w:val="es-ES" w:eastAsia="en-US" w:bidi="ar-SA"/>
      </w:rPr>
    </w:lvl>
    <w:lvl w:ilvl="8">
      <w:start w:val="0"/>
      <w:numFmt w:val="bullet"/>
      <w:lvlText w:val="•"/>
      <w:lvlJc w:val="left"/>
      <w:pPr>
        <w:ind w:left="8236" w:hanging="233"/>
      </w:pPr>
      <w:rPr>
        <w:rFonts w:hint="default"/>
        <w:lang w:val="es-ES" w:eastAsia="en-US" w:bidi="ar-SA"/>
      </w:rPr>
    </w:lvl>
  </w:abstractNum>
  <w:abstractNum w:abstractNumId="164">
    <w:multiLevelType w:val="hybridMultilevel"/>
    <w:lvl w:ilvl="0">
      <w:start w:val="1"/>
      <w:numFmt w:val="lowerLetter"/>
      <w:lvlText w:val="%1)"/>
      <w:lvlJc w:val="left"/>
      <w:pPr>
        <w:ind w:left="338" w:hanging="257"/>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314" w:hanging="257"/>
      </w:pPr>
      <w:rPr>
        <w:rFonts w:hint="default"/>
        <w:lang w:val="es-ES" w:eastAsia="en-US" w:bidi="ar-SA"/>
      </w:rPr>
    </w:lvl>
    <w:lvl w:ilvl="2">
      <w:start w:val="0"/>
      <w:numFmt w:val="bullet"/>
      <w:lvlText w:val="•"/>
      <w:lvlJc w:val="left"/>
      <w:pPr>
        <w:ind w:left="2288" w:hanging="257"/>
      </w:pPr>
      <w:rPr>
        <w:rFonts w:hint="default"/>
        <w:lang w:val="es-ES" w:eastAsia="en-US" w:bidi="ar-SA"/>
      </w:rPr>
    </w:lvl>
    <w:lvl w:ilvl="3">
      <w:start w:val="0"/>
      <w:numFmt w:val="bullet"/>
      <w:lvlText w:val="•"/>
      <w:lvlJc w:val="left"/>
      <w:pPr>
        <w:ind w:left="3262" w:hanging="257"/>
      </w:pPr>
      <w:rPr>
        <w:rFonts w:hint="default"/>
        <w:lang w:val="es-ES" w:eastAsia="en-US" w:bidi="ar-SA"/>
      </w:rPr>
    </w:lvl>
    <w:lvl w:ilvl="4">
      <w:start w:val="0"/>
      <w:numFmt w:val="bullet"/>
      <w:lvlText w:val="•"/>
      <w:lvlJc w:val="left"/>
      <w:pPr>
        <w:ind w:left="4236" w:hanging="257"/>
      </w:pPr>
      <w:rPr>
        <w:rFonts w:hint="default"/>
        <w:lang w:val="es-ES" w:eastAsia="en-US" w:bidi="ar-SA"/>
      </w:rPr>
    </w:lvl>
    <w:lvl w:ilvl="5">
      <w:start w:val="0"/>
      <w:numFmt w:val="bullet"/>
      <w:lvlText w:val="•"/>
      <w:lvlJc w:val="left"/>
      <w:pPr>
        <w:ind w:left="5210" w:hanging="257"/>
      </w:pPr>
      <w:rPr>
        <w:rFonts w:hint="default"/>
        <w:lang w:val="es-ES" w:eastAsia="en-US" w:bidi="ar-SA"/>
      </w:rPr>
    </w:lvl>
    <w:lvl w:ilvl="6">
      <w:start w:val="0"/>
      <w:numFmt w:val="bullet"/>
      <w:lvlText w:val="•"/>
      <w:lvlJc w:val="left"/>
      <w:pPr>
        <w:ind w:left="6184" w:hanging="257"/>
      </w:pPr>
      <w:rPr>
        <w:rFonts w:hint="default"/>
        <w:lang w:val="es-ES" w:eastAsia="en-US" w:bidi="ar-SA"/>
      </w:rPr>
    </w:lvl>
    <w:lvl w:ilvl="7">
      <w:start w:val="0"/>
      <w:numFmt w:val="bullet"/>
      <w:lvlText w:val="•"/>
      <w:lvlJc w:val="left"/>
      <w:pPr>
        <w:ind w:left="7158" w:hanging="257"/>
      </w:pPr>
      <w:rPr>
        <w:rFonts w:hint="default"/>
        <w:lang w:val="es-ES" w:eastAsia="en-US" w:bidi="ar-SA"/>
      </w:rPr>
    </w:lvl>
    <w:lvl w:ilvl="8">
      <w:start w:val="0"/>
      <w:numFmt w:val="bullet"/>
      <w:lvlText w:val="•"/>
      <w:lvlJc w:val="left"/>
      <w:pPr>
        <w:ind w:left="8132" w:hanging="257"/>
      </w:pPr>
      <w:rPr>
        <w:rFonts w:hint="default"/>
        <w:lang w:val="es-ES" w:eastAsia="en-US" w:bidi="ar-SA"/>
      </w:rPr>
    </w:lvl>
  </w:abstractNum>
  <w:abstractNum w:abstractNumId="163">
    <w:multiLevelType w:val="hybridMultilevel"/>
    <w:lvl w:ilvl="0">
      <w:start w:val="1"/>
      <w:numFmt w:val="lowerLetter"/>
      <w:lvlText w:val="%1)"/>
      <w:lvlJc w:val="left"/>
      <w:pPr>
        <w:ind w:left="859" w:hanging="233"/>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782" w:hanging="233"/>
      </w:pPr>
      <w:rPr>
        <w:rFonts w:hint="default"/>
        <w:lang w:val="es-ES" w:eastAsia="en-US" w:bidi="ar-SA"/>
      </w:rPr>
    </w:lvl>
    <w:lvl w:ilvl="2">
      <w:start w:val="0"/>
      <w:numFmt w:val="bullet"/>
      <w:lvlText w:val="•"/>
      <w:lvlJc w:val="left"/>
      <w:pPr>
        <w:ind w:left="2704" w:hanging="233"/>
      </w:pPr>
      <w:rPr>
        <w:rFonts w:hint="default"/>
        <w:lang w:val="es-ES" w:eastAsia="en-US" w:bidi="ar-SA"/>
      </w:rPr>
    </w:lvl>
    <w:lvl w:ilvl="3">
      <w:start w:val="0"/>
      <w:numFmt w:val="bullet"/>
      <w:lvlText w:val="•"/>
      <w:lvlJc w:val="left"/>
      <w:pPr>
        <w:ind w:left="3626" w:hanging="233"/>
      </w:pPr>
      <w:rPr>
        <w:rFonts w:hint="default"/>
        <w:lang w:val="es-ES" w:eastAsia="en-US" w:bidi="ar-SA"/>
      </w:rPr>
    </w:lvl>
    <w:lvl w:ilvl="4">
      <w:start w:val="0"/>
      <w:numFmt w:val="bullet"/>
      <w:lvlText w:val="•"/>
      <w:lvlJc w:val="left"/>
      <w:pPr>
        <w:ind w:left="4548" w:hanging="233"/>
      </w:pPr>
      <w:rPr>
        <w:rFonts w:hint="default"/>
        <w:lang w:val="es-ES" w:eastAsia="en-US" w:bidi="ar-SA"/>
      </w:rPr>
    </w:lvl>
    <w:lvl w:ilvl="5">
      <w:start w:val="0"/>
      <w:numFmt w:val="bullet"/>
      <w:lvlText w:val="•"/>
      <w:lvlJc w:val="left"/>
      <w:pPr>
        <w:ind w:left="5470" w:hanging="233"/>
      </w:pPr>
      <w:rPr>
        <w:rFonts w:hint="default"/>
        <w:lang w:val="es-ES" w:eastAsia="en-US" w:bidi="ar-SA"/>
      </w:rPr>
    </w:lvl>
    <w:lvl w:ilvl="6">
      <w:start w:val="0"/>
      <w:numFmt w:val="bullet"/>
      <w:lvlText w:val="•"/>
      <w:lvlJc w:val="left"/>
      <w:pPr>
        <w:ind w:left="6392" w:hanging="233"/>
      </w:pPr>
      <w:rPr>
        <w:rFonts w:hint="default"/>
        <w:lang w:val="es-ES" w:eastAsia="en-US" w:bidi="ar-SA"/>
      </w:rPr>
    </w:lvl>
    <w:lvl w:ilvl="7">
      <w:start w:val="0"/>
      <w:numFmt w:val="bullet"/>
      <w:lvlText w:val="•"/>
      <w:lvlJc w:val="left"/>
      <w:pPr>
        <w:ind w:left="7314" w:hanging="233"/>
      </w:pPr>
      <w:rPr>
        <w:rFonts w:hint="default"/>
        <w:lang w:val="es-ES" w:eastAsia="en-US" w:bidi="ar-SA"/>
      </w:rPr>
    </w:lvl>
    <w:lvl w:ilvl="8">
      <w:start w:val="0"/>
      <w:numFmt w:val="bullet"/>
      <w:lvlText w:val="•"/>
      <w:lvlJc w:val="left"/>
      <w:pPr>
        <w:ind w:left="8236" w:hanging="233"/>
      </w:pPr>
      <w:rPr>
        <w:rFonts w:hint="default"/>
        <w:lang w:val="es-ES" w:eastAsia="en-US" w:bidi="ar-SA"/>
      </w:rPr>
    </w:lvl>
  </w:abstractNum>
  <w:abstractNum w:abstractNumId="162">
    <w:multiLevelType w:val="hybridMultilevel"/>
    <w:lvl w:ilvl="0">
      <w:start w:val="1"/>
      <w:numFmt w:val="lowerLetter"/>
      <w:lvlText w:val="%1)"/>
      <w:lvlJc w:val="left"/>
      <w:pPr>
        <w:ind w:left="859" w:hanging="233"/>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782" w:hanging="233"/>
      </w:pPr>
      <w:rPr>
        <w:rFonts w:hint="default"/>
        <w:lang w:val="es-ES" w:eastAsia="en-US" w:bidi="ar-SA"/>
      </w:rPr>
    </w:lvl>
    <w:lvl w:ilvl="2">
      <w:start w:val="0"/>
      <w:numFmt w:val="bullet"/>
      <w:lvlText w:val="•"/>
      <w:lvlJc w:val="left"/>
      <w:pPr>
        <w:ind w:left="2704" w:hanging="233"/>
      </w:pPr>
      <w:rPr>
        <w:rFonts w:hint="default"/>
        <w:lang w:val="es-ES" w:eastAsia="en-US" w:bidi="ar-SA"/>
      </w:rPr>
    </w:lvl>
    <w:lvl w:ilvl="3">
      <w:start w:val="0"/>
      <w:numFmt w:val="bullet"/>
      <w:lvlText w:val="•"/>
      <w:lvlJc w:val="left"/>
      <w:pPr>
        <w:ind w:left="3626" w:hanging="233"/>
      </w:pPr>
      <w:rPr>
        <w:rFonts w:hint="default"/>
        <w:lang w:val="es-ES" w:eastAsia="en-US" w:bidi="ar-SA"/>
      </w:rPr>
    </w:lvl>
    <w:lvl w:ilvl="4">
      <w:start w:val="0"/>
      <w:numFmt w:val="bullet"/>
      <w:lvlText w:val="•"/>
      <w:lvlJc w:val="left"/>
      <w:pPr>
        <w:ind w:left="4548" w:hanging="233"/>
      </w:pPr>
      <w:rPr>
        <w:rFonts w:hint="default"/>
        <w:lang w:val="es-ES" w:eastAsia="en-US" w:bidi="ar-SA"/>
      </w:rPr>
    </w:lvl>
    <w:lvl w:ilvl="5">
      <w:start w:val="0"/>
      <w:numFmt w:val="bullet"/>
      <w:lvlText w:val="•"/>
      <w:lvlJc w:val="left"/>
      <w:pPr>
        <w:ind w:left="5470" w:hanging="233"/>
      </w:pPr>
      <w:rPr>
        <w:rFonts w:hint="default"/>
        <w:lang w:val="es-ES" w:eastAsia="en-US" w:bidi="ar-SA"/>
      </w:rPr>
    </w:lvl>
    <w:lvl w:ilvl="6">
      <w:start w:val="0"/>
      <w:numFmt w:val="bullet"/>
      <w:lvlText w:val="•"/>
      <w:lvlJc w:val="left"/>
      <w:pPr>
        <w:ind w:left="6392" w:hanging="233"/>
      </w:pPr>
      <w:rPr>
        <w:rFonts w:hint="default"/>
        <w:lang w:val="es-ES" w:eastAsia="en-US" w:bidi="ar-SA"/>
      </w:rPr>
    </w:lvl>
    <w:lvl w:ilvl="7">
      <w:start w:val="0"/>
      <w:numFmt w:val="bullet"/>
      <w:lvlText w:val="•"/>
      <w:lvlJc w:val="left"/>
      <w:pPr>
        <w:ind w:left="7314" w:hanging="233"/>
      </w:pPr>
      <w:rPr>
        <w:rFonts w:hint="default"/>
        <w:lang w:val="es-ES" w:eastAsia="en-US" w:bidi="ar-SA"/>
      </w:rPr>
    </w:lvl>
    <w:lvl w:ilvl="8">
      <w:start w:val="0"/>
      <w:numFmt w:val="bullet"/>
      <w:lvlText w:val="•"/>
      <w:lvlJc w:val="left"/>
      <w:pPr>
        <w:ind w:left="8236" w:hanging="233"/>
      </w:pPr>
      <w:rPr>
        <w:rFonts w:hint="default"/>
        <w:lang w:val="es-ES" w:eastAsia="en-US" w:bidi="ar-SA"/>
      </w:rPr>
    </w:lvl>
  </w:abstractNum>
  <w:abstractNum w:abstractNumId="161">
    <w:multiLevelType w:val="hybridMultilevel"/>
    <w:lvl w:ilvl="0">
      <w:start w:val="1"/>
      <w:numFmt w:val="lowerLetter"/>
      <w:lvlText w:val="%1)"/>
      <w:lvlJc w:val="left"/>
      <w:pPr>
        <w:ind w:left="859" w:hanging="233"/>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782" w:hanging="233"/>
      </w:pPr>
      <w:rPr>
        <w:rFonts w:hint="default"/>
        <w:lang w:val="es-ES" w:eastAsia="en-US" w:bidi="ar-SA"/>
      </w:rPr>
    </w:lvl>
    <w:lvl w:ilvl="2">
      <w:start w:val="0"/>
      <w:numFmt w:val="bullet"/>
      <w:lvlText w:val="•"/>
      <w:lvlJc w:val="left"/>
      <w:pPr>
        <w:ind w:left="2704" w:hanging="233"/>
      </w:pPr>
      <w:rPr>
        <w:rFonts w:hint="default"/>
        <w:lang w:val="es-ES" w:eastAsia="en-US" w:bidi="ar-SA"/>
      </w:rPr>
    </w:lvl>
    <w:lvl w:ilvl="3">
      <w:start w:val="0"/>
      <w:numFmt w:val="bullet"/>
      <w:lvlText w:val="•"/>
      <w:lvlJc w:val="left"/>
      <w:pPr>
        <w:ind w:left="3626" w:hanging="233"/>
      </w:pPr>
      <w:rPr>
        <w:rFonts w:hint="default"/>
        <w:lang w:val="es-ES" w:eastAsia="en-US" w:bidi="ar-SA"/>
      </w:rPr>
    </w:lvl>
    <w:lvl w:ilvl="4">
      <w:start w:val="0"/>
      <w:numFmt w:val="bullet"/>
      <w:lvlText w:val="•"/>
      <w:lvlJc w:val="left"/>
      <w:pPr>
        <w:ind w:left="4548" w:hanging="233"/>
      </w:pPr>
      <w:rPr>
        <w:rFonts w:hint="default"/>
        <w:lang w:val="es-ES" w:eastAsia="en-US" w:bidi="ar-SA"/>
      </w:rPr>
    </w:lvl>
    <w:lvl w:ilvl="5">
      <w:start w:val="0"/>
      <w:numFmt w:val="bullet"/>
      <w:lvlText w:val="•"/>
      <w:lvlJc w:val="left"/>
      <w:pPr>
        <w:ind w:left="5470" w:hanging="233"/>
      </w:pPr>
      <w:rPr>
        <w:rFonts w:hint="default"/>
        <w:lang w:val="es-ES" w:eastAsia="en-US" w:bidi="ar-SA"/>
      </w:rPr>
    </w:lvl>
    <w:lvl w:ilvl="6">
      <w:start w:val="0"/>
      <w:numFmt w:val="bullet"/>
      <w:lvlText w:val="•"/>
      <w:lvlJc w:val="left"/>
      <w:pPr>
        <w:ind w:left="6392" w:hanging="233"/>
      </w:pPr>
      <w:rPr>
        <w:rFonts w:hint="default"/>
        <w:lang w:val="es-ES" w:eastAsia="en-US" w:bidi="ar-SA"/>
      </w:rPr>
    </w:lvl>
    <w:lvl w:ilvl="7">
      <w:start w:val="0"/>
      <w:numFmt w:val="bullet"/>
      <w:lvlText w:val="•"/>
      <w:lvlJc w:val="left"/>
      <w:pPr>
        <w:ind w:left="7314" w:hanging="233"/>
      </w:pPr>
      <w:rPr>
        <w:rFonts w:hint="default"/>
        <w:lang w:val="es-ES" w:eastAsia="en-US" w:bidi="ar-SA"/>
      </w:rPr>
    </w:lvl>
    <w:lvl w:ilvl="8">
      <w:start w:val="0"/>
      <w:numFmt w:val="bullet"/>
      <w:lvlText w:val="•"/>
      <w:lvlJc w:val="left"/>
      <w:pPr>
        <w:ind w:left="8236" w:hanging="233"/>
      </w:pPr>
      <w:rPr>
        <w:rFonts w:hint="default"/>
        <w:lang w:val="es-ES" w:eastAsia="en-US" w:bidi="ar-SA"/>
      </w:rPr>
    </w:lvl>
  </w:abstractNum>
  <w:abstractNum w:abstractNumId="160">
    <w:multiLevelType w:val="hybridMultilevel"/>
    <w:lvl w:ilvl="0">
      <w:start w:val="1"/>
      <w:numFmt w:val="lowerLetter"/>
      <w:lvlText w:val="%1)"/>
      <w:lvlJc w:val="left"/>
      <w:pPr>
        <w:ind w:left="859" w:hanging="233"/>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782" w:hanging="233"/>
      </w:pPr>
      <w:rPr>
        <w:rFonts w:hint="default"/>
        <w:lang w:val="es-ES" w:eastAsia="en-US" w:bidi="ar-SA"/>
      </w:rPr>
    </w:lvl>
    <w:lvl w:ilvl="2">
      <w:start w:val="0"/>
      <w:numFmt w:val="bullet"/>
      <w:lvlText w:val="•"/>
      <w:lvlJc w:val="left"/>
      <w:pPr>
        <w:ind w:left="2704" w:hanging="233"/>
      </w:pPr>
      <w:rPr>
        <w:rFonts w:hint="default"/>
        <w:lang w:val="es-ES" w:eastAsia="en-US" w:bidi="ar-SA"/>
      </w:rPr>
    </w:lvl>
    <w:lvl w:ilvl="3">
      <w:start w:val="0"/>
      <w:numFmt w:val="bullet"/>
      <w:lvlText w:val="•"/>
      <w:lvlJc w:val="left"/>
      <w:pPr>
        <w:ind w:left="3626" w:hanging="233"/>
      </w:pPr>
      <w:rPr>
        <w:rFonts w:hint="default"/>
        <w:lang w:val="es-ES" w:eastAsia="en-US" w:bidi="ar-SA"/>
      </w:rPr>
    </w:lvl>
    <w:lvl w:ilvl="4">
      <w:start w:val="0"/>
      <w:numFmt w:val="bullet"/>
      <w:lvlText w:val="•"/>
      <w:lvlJc w:val="left"/>
      <w:pPr>
        <w:ind w:left="4548" w:hanging="233"/>
      </w:pPr>
      <w:rPr>
        <w:rFonts w:hint="default"/>
        <w:lang w:val="es-ES" w:eastAsia="en-US" w:bidi="ar-SA"/>
      </w:rPr>
    </w:lvl>
    <w:lvl w:ilvl="5">
      <w:start w:val="0"/>
      <w:numFmt w:val="bullet"/>
      <w:lvlText w:val="•"/>
      <w:lvlJc w:val="left"/>
      <w:pPr>
        <w:ind w:left="5470" w:hanging="233"/>
      </w:pPr>
      <w:rPr>
        <w:rFonts w:hint="default"/>
        <w:lang w:val="es-ES" w:eastAsia="en-US" w:bidi="ar-SA"/>
      </w:rPr>
    </w:lvl>
    <w:lvl w:ilvl="6">
      <w:start w:val="0"/>
      <w:numFmt w:val="bullet"/>
      <w:lvlText w:val="•"/>
      <w:lvlJc w:val="left"/>
      <w:pPr>
        <w:ind w:left="6392" w:hanging="233"/>
      </w:pPr>
      <w:rPr>
        <w:rFonts w:hint="default"/>
        <w:lang w:val="es-ES" w:eastAsia="en-US" w:bidi="ar-SA"/>
      </w:rPr>
    </w:lvl>
    <w:lvl w:ilvl="7">
      <w:start w:val="0"/>
      <w:numFmt w:val="bullet"/>
      <w:lvlText w:val="•"/>
      <w:lvlJc w:val="left"/>
      <w:pPr>
        <w:ind w:left="7314" w:hanging="233"/>
      </w:pPr>
      <w:rPr>
        <w:rFonts w:hint="default"/>
        <w:lang w:val="es-ES" w:eastAsia="en-US" w:bidi="ar-SA"/>
      </w:rPr>
    </w:lvl>
    <w:lvl w:ilvl="8">
      <w:start w:val="0"/>
      <w:numFmt w:val="bullet"/>
      <w:lvlText w:val="•"/>
      <w:lvlJc w:val="left"/>
      <w:pPr>
        <w:ind w:left="8236" w:hanging="233"/>
      </w:pPr>
      <w:rPr>
        <w:rFonts w:hint="default"/>
        <w:lang w:val="es-ES" w:eastAsia="en-US" w:bidi="ar-SA"/>
      </w:rPr>
    </w:lvl>
  </w:abstractNum>
  <w:abstractNum w:abstractNumId="15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decimal"/>
      <w:lvlText w:val="%2."/>
      <w:lvlJc w:val="left"/>
      <w:pPr>
        <w:ind w:left="847" w:hanging="221"/>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1058" w:hanging="420"/>
      </w:pPr>
      <w:rPr>
        <w:rFonts w:hint="default" w:ascii="Symbol" w:hAnsi="Symbol" w:eastAsia="Symbol" w:cs="Symbol"/>
        <w:b w:val="0"/>
        <w:bCs w:val="0"/>
        <w:i w:val="0"/>
        <w:iCs w:val="0"/>
        <w:spacing w:val="0"/>
        <w:w w:val="99"/>
        <w:sz w:val="20"/>
        <w:szCs w:val="20"/>
        <w:lang w:val="es-ES" w:eastAsia="en-US" w:bidi="ar-SA"/>
      </w:rPr>
    </w:lvl>
    <w:lvl w:ilvl="3">
      <w:start w:val="0"/>
      <w:numFmt w:val="bullet"/>
      <w:lvlText w:val="•"/>
      <w:lvlJc w:val="left"/>
      <w:pPr>
        <w:ind w:left="2310" w:hanging="420"/>
      </w:pPr>
      <w:rPr>
        <w:rFonts w:hint="default"/>
        <w:lang w:val="es-ES" w:eastAsia="en-US" w:bidi="ar-SA"/>
      </w:rPr>
    </w:lvl>
    <w:lvl w:ilvl="4">
      <w:start w:val="0"/>
      <w:numFmt w:val="bullet"/>
      <w:lvlText w:val="•"/>
      <w:lvlJc w:val="left"/>
      <w:pPr>
        <w:ind w:left="3420" w:hanging="420"/>
      </w:pPr>
      <w:rPr>
        <w:rFonts w:hint="default"/>
        <w:lang w:val="es-ES" w:eastAsia="en-US" w:bidi="ar-SA"/>
      </w:rPr>
    </w:lvl>
    <w:lvl w:ilvl="5">
      <w:start w:val="0"/>
      <w:numFmt w:val="bullet"/>
      <w:lvlText w:val="•"/>
      <w:lvlJc w:val="left"/>
      <w:pPr>
        <w:ind w:left="4530" w:hanging="420"/>
      </w:pPr>
      <w:rPr>
        <w:rFonts w:hint="default"/>
        <w:lang w:val="es-ES" w:eastAsia="en-US" w:bidi="ar-SA"/>
      </w:rPr>
    </w:lvl>
    <w:lvl w:ilvl="6">
      <w:start w:val="0"/>
      <w:numFmt w:val="bullet"/>
      <w:lvlText w:val="•"/>
      <w:lvlJc w:val="left"/>
      <w:pPr>
        <w:ind w:left="5640" w:hanging="420"/>
      </w:pPr>
      <w:rPr>
        <w:rFonts w:hint="default"/>
        <w:lang w:val="es-ES" w:eastAsia="en-US" w:bidi="ar-SA"/>
      </w:rPr>
    </w:lvl>
    <w:lvl w:ilvl="7">
      <w:start w:val="0"/>
      <w:numFmt w:val="bullet"/>
      <w:lvlText w:val="•"/>
      <w:lvlJc w:val="left"/>
      <w:pPr>
        <w:ind w:left="6750" w:hanging="420"/>
      </w:pPr>
      <w:rPr>
        <w:rFonts w:hint="default"/>
        <w:lang w:val="es-ES" w:eastAsia="en-US" w:bidi="ar-SA"/>
      </w:rPr>
    </w:lvl>
    <w:lvl w:ilvl="8">
      <w:start w:val="0"/>
      <w:numFmt w:val="bullet"/>
      <w:lvlText w:val="•"/>
      <w:lvlJc w:val="left"/>
      <w:pPr>
        <w:ind w:left="7860" w:hanging="420"/>
      </w:pPr>
      <w:rPr>
        <w:rFonts w:hint="default"/>
        <w:lang w:val="es-ES" w:eastAsia="en-US" w:bidi="ar-SA"/>
      </w:rPr>
    </w:lvl>
  </w:abstractNum>
  <w:abstractNum w:abstractNumId="158">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57">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6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684" w:hanging="567"/>
      </w:pPr>
      <w:rPr>
        <w:rFonts w:hint="default"/>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156">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55">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5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5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5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51">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5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4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48">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47">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46">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45">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4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4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4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41">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4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3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38">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37">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36">
    <w:multiLevelType w:val="hybridMultilevel"/>
    <w:lvl w:ilvl="0">
      <w:start w:val="6"/>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35">
    <w:multiLevelType w:val="hybridMultilevel"/>
    <w:lvl w:ilvl="0">
      <w:start w:val="2"/>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3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3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3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6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684" w:hanging="567"/>
      </w:pPr>
      <w:rPr>
        <w:rFonts w:hint="default"/>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131">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3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2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28">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27">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26">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25">
    <w:multiLevelType w:val="hybridMultilevel"/>
    <w:lvl w:ilvl="0">
      <w:start w:val="1"/>
      <w:numFmt w:val="upperRoman"/>
      <w:lvlText w:val="%1."/>
      <w:lvlJc w:val="left"/>
      <w:pPr>
        <w:ind w:left="1138" w:hanging="51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6" w:hanging="509"/>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77" w:hanging="509"/>
      </w:pPr>
      <w:rPr>
        <w:rFonts w:hint="default"/>
        <w:lang w:val="es-ES" w:eastAsia="en-US" w:bidi="ar-SA"/>
      </w:rPr>
    </w:lvl>
    <w:lvl w:ilvl="3">
      <w:start w:val="0"/>
      <w:numFmt w:val="bullet"/>
      <w:lvlText w:val="•"/>
      <w:lvlJc w:val="left"/>
      <w:pPr>
        <w:ind w:left="3515" w:hanging="509"/>
      </w:pPr>
      <w:rPr>
        <w:rFonts w:hint="default"/>
        <w:lang w:val="es-ES" w:eastAsia="en-US" w:bidi="ar-SA"/>
      </w:rPr>
    </w:lvl>
    <w:lvl w:ilvl="4">
      <w:start w:val="0"/>
      <w:numFmt w:val="bullet"/>
      <w:lvlText w:val="•"/>
      <w:lvlJc w:val="left"/>
      <w:pPr>
        <w:ind w:left="4453" w:hanging="509"/>
      </w:pPr>
      <w:rPr>
        <w:rFonts w:hint="default"/>
        <w:lang w:val="es-ES" w:eastAsia="en-US" w:bidi="ar-SA"/>
      </w:rPr>
    </w:lvl>
    <w:lvl w:ilvl="5">
      <w:start w:val="0"/>
      <w:numFmt w:val="bullet"/>
      <w:lvlText w:val="•"/>
      <w:lvlJc w:val="left"/>
      <w:pPr>
        <w:ind w:left="5391" w:hanging="509"/>
      </w:pPr>
      <w:rPr>
        <w:rFonts w:hint="default"/>
        <w:lang w:val="es-ES" w:eastAsia="en-US" w:bidi="ar-SA"/>
      </w:rPr>
    </w:lvl>
    <w:lvl w:ilvl="6">
      <w:start w:val="0"/>
      <w:numFmt w:val="bullet"/>
      <w:lvlText w:val="•"/>
      <w:lvlJc w:val="left"/>
      <w:pPr>
        <w:ind w:left="6328" w:hanging="509"/>
      </w:pPr>
      <w:rPr>
        <w:rFonts w:hint="default"/>
        <w:lang w:val="es-ES" w:eastAsia="en-US" w:bidi="ar-SA"/>
      </w:rPr>
    </w:lvl>
    <w:lvl w:ilvl="7">
      <w:start w:val="0"/>
      <w:numFmt w:val="bullet"/>
      <w:lvlText w:val="•"/>
      <w:lvlJc w:val="left"/>
      <w:pPr>
        <w:ind w:left="7266" w:hanging="509"/>
      </w:pPr>
      <w:rPr>
        <w:rFonts w:hint="default"/>
        <w:lang w:val="es-ES" w:eastAsia="en-US" w:bidi="ar-SA"/>
      </w:rPr>
    </w:lvl>
    <w:lvl w:ilvl="8">
      <w:start w:val="0"/>
      <w:numFmt w:val="bullet"/>
      <w:lvlText w:val="•"/>
      <w:lvlJc w:val="left"/>
      <w:pPr>
        <w:ind w:left="8204" w:hanging="509"/>
      </w:pPr>
      <w:rPr>
        <w:rFonts w:hint="default"/>
        <w:lang w:val="es-ES" w:eastAsia="en-US" w:bidi="ar-SA"/>
      </w:rPr>
    </w:lvl>
  </w:abstractNum>
  <w:abstractNum w:abstractNumId="12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986" w:hanging="360"/>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195" w:hanging="569"/>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1762" w:hanging="567"/>
        <w:jc w:val="left"/>
      </w:pPr>
      <w:rPr>
        <w:rFonts w:hint="default" w:ascii="Arial" w:hAnsi="Arial" w:eastAsia="Arial" w:cs="Arial"/>
        <w:b/>
        <w:bCs/>
        <w:i w:val="0"/>
        <w:iCs w:val="0"/>
        <w:spacing w:val="0"/>
        <w:w w:val="99"/>
        <w:sz w:val="20"/>
        <w:szCs w:val="20"/>
        <w:lang w:val="es-ES" w:eastAsia="en-US" w:bidi="ar-SA"/>
      </w:rPr>
    </w:lvl>
    <w:lvl w:ilvl="4">
      <w:start w:val="0"/>
      <w:numFmt w:val="bullet"/>
      <w:lvlText w:val="•"/>
      <w:lvlJc w:val="left"/>
      <w:pPr>
        <w:ind w:left="3840" w:hanging="567"/>
      </w:pPr>
      <w:rPr>
        <w:rFonts w:hint="default"/>
        <w:lang w:val="es-ES" w:eastAsia="en-US" w:bidi="ar-SA"/>
      </w:rPr>
    </w:lvl>
    <w:lvl w:ilvl="5">
      <w:start w:val="0"/>
      <w:numFmt w:val="bullet"/>
      <w:lvlText w:val="•"/>
      <w:lvlJc w:val="left"/>
      <w:pPr>
        <w:ind w:left="4880" w:hanging="567"/>
      </w:pPr>
      <w:rPr>
        <w:rFonts w:hint="default"/>
        <w:lang w:val="es-ES" w:eastAsia="en-US" w:bidi="ar-SA"/>
      </w:rPr>
    </w:lvl>
    <w:lvl w:ilvl="6">
      <w:start w:val="0"/>
      <w:numFmt w:val="bullet"/>
      <w:lvlText w:val="•"/>
      <w:lvlJc w:val="left"/>
      <w:pPr>
        <w:ind w:left="5920" w:hanging="567"/>
      </w:pPr>
      <w:rPr>
        <w:rFonts w:hint="default"/>
        <w:lang w:val="es-ES" w:eastAsia="en-US" w:bidi="ar-SA"/>
      </w:rPr>
    </w:lvl>
    <w:lvl w:ilvl="7">
      <w:start w:val="0"/>
      <w:numFmt w:val="bullet"/>
      <w:lvlText w:val="•"/>
      <w:lvlJc w:val="left"/>
      <w:pPr>
        <w:ind w:left="6960" w:hanging="567"/>
      </w:pPr>
      <w:rPr>
        <w:rFonts w:hint="default"/>
        <w:lang w:val="es-ES" w:eastAsia="en-US" w:bidi="ar-SA"/>
      </w:rPr>
    </w:lvl>
    <w:lvl w:ilvl="8">
      <w:start w:val="0"/>
      <w:numFmt w:val="bullet"/>
      <w:lvlText w:val="•"/>
      <w:lvlJc w:val="left"/>
      <w:pPr>
        <w:ind w:left="8000" w:hanging="567"/>
      </w:pPr>
      <w:rPr>
        <w:rFonts w:hint="default"/>
        <w:lang w:val="es-ES" w:eastAsia="en-US" w:bidi="ar-SA"/>
      </w:rPr>
    </w:lvl>
  </w:abstractNum>
  <w:abstractNum w:abstractNumId="12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2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21">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2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1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18">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17">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116">
    <w:multiLevelType w:val="hybridMultilevel"/>
    <w:lvl w:ilvl="0">
      <w:start w:val="1"/>
      <w:numFmt w:val="upperRoman"/>
      <w:lvlText w:val="%1."/>
      <w:lvlJc w:val="left"/>
      <w:pPr>
        <w:ind w:left="986" w:hanging="36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90" w:hanging="360"/>
      </w:pPr>
      <w:rPr>
        <w:rFonts w:hint="default"/>
        <w:lang w:val="es-ES" w:eastAsia="en-US" w:bidi="ar-SA"/>
      </w:rPr>
    </w:lvl>
    <w:lvl w:ilvl="2">
      <w:start w:val="0"/>
      <w:numFmt w:val="bullet"/>
      <w:lvlText w:val="•"/>
      <w:lvlJc w:val="left"/>
      <w:pPr>
        <w:ind w:left="2800" w:hanging="360"/>
      </w:pPr>
      <w:rPr>
        <w:rFonts w:hint="default"/>
        <w:lang w:val="es-ES" w:eastAsia="en-US" w:bidi="ar-SA"/>
      </w:rPr>
    </w:lvl>
    <w:lvl w:ilvl="3">
      <w:start w:val="0"/>
      <w:numFmt w:val="bullet"/>
      <w:lvlText w:val="•"/>
      <w:lvlJc w:val="left"/>
      <w:pPr>
        <w:ind w:left="3710" w:hanging="360"/>
      </w:pPr>
      <w:rPr>
        <w:rFonts w:hint="default"/>
        <w:lang w:val="es-ES" w:eastAsia="en-US" w:bidi="ar-SA"/>
      </w:rPr>
    </w:lvl>
    <w:lvl w:ilvl="4">
      <w:start w:val="0"/>
      <w:numFmt w:val="bullet"/>
      <w:lvlText w:val="•"/>
      <w:lvlJc w:val="left"/>
      <w:pPr>
        <w:ind w:left="4620" w:hanging="360"/>
      </w:pPr>
      <w:rPr>
        <w:rFonts w:hint="default"/>
        <w:lang w:val="es-ES" w:eastAsia="en-US" w:bidi="ar-SA"/>
      </w:rPr>
    </w:lvl>
    <w:lvl w:ilvl="5">
      <w:start w:val="0"/>
      <w:numFmt w:val="bullet"/>
      <w:lvlText w:val="•"/>
      <w:lvlJc w:val="left"/>
      <w:pPr>
        <w:ind w:left="5530" w:hanging="360"/>
      </w:pPr>
      <w:rPr>
        <w:rFonts w:hint="default"/>
        <w:lang w:val="es-ES" w:eastAsia="en-US" w:bidi="ar-SA"/>
      </w:rPr>
    </w:lvl>
    <w:lvl w:ilvl="6">
      <w:start w:val="0"/>
      <w:numFmt w:val="bullet"/>
      <w:lvlText w:val="•"/>
      <w:lvlJc w:val="left"/>
      <w:pPr>
        <w:ind w:left="6440" w:hanging="360"/>
      </w:pPr>
      <w:rPr>
        <w:rFonts w:hint="default"/>
        <w:lang w:val="es-ES" w:eastAsia="en-US" w:bidi="ar-SA"/>
      </w:rPr>
    </w:lvl>
    <w:lvl w:ilvl="7">
      <w:start w:val="0"/>
      <w:numFmt w:val="bullet"/>
      <w:lvlText w:val="•"/>
      <w:lvlJc w:val="left"/>
      <w:pPr>
        <w:ind w:left="7350" w:hanging="360"/>
      </w:pPr>
      <w:rPr>
        <w:rFonts w:hint="default"/>
        <w:lang w:val="es-ES" w:eastAsia="en-US" w:bidi="ar-SA"/>
      </w:rPr>
    </w:lvl>
    <w:lvl w:ilvl="8">
      <w:start w:val="0"/>
      <w:numFmt w:val="bullet"/>
      <w:lvlText w:val="•"/>
      <w:lvlJc w:val="left"/>
      <w:pPr>
        <w:ind w:left="8260" w:hanging="360"/>
      </w:pPr>
      <w:rPr>
        <w:rFonts w:hint="default"/>
        <w:lang w:val="es-ES" w:eastAsia="en-US" w:bidi="ar-SA"/>
      </w:rPr>
    </w:lvl>
  </w:abstractNum>
  <w:abstractNum w:abstractNumId="115">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6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684" w:hanging="567"/>
      </w:pPr>
      <w:rPr>
        <w:rFonts w:hint="default"/>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11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1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1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11">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6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684" w:hanging="567"/>
      </w:pPr>
      <w:rPr>
        <w:rFonts w:hint="default"/>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11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0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08">
    <w:multiLevelType w:val="hybridMultilevel"/>
    <w:lvl w:ilvl="0">
      <w:start w:val="1"/>
      <w:numFmt w:val="upperRoman"/>
      <w:lvlText w:val="%1."/>
      <w:lvlJc w:val="left"/>
      <w:pPr>
        <w:ind w:left="986" w:hanging="36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90" w:hanging="360"/>
      </w:pPr>
      <w:rPr>
        <w:rFonts w:hint="default"/>
        <w:lang w:val="es-ES" w:eastAsia="en-US" w:bidi="ar-SA"/>
      </w:rPr>
    </w:lvl>
    <w:lvl w:ilvl="2">
      <w:start w:val="0"/>
      <w:numFmt w:val="bullet"/>
      <w:lvlText w:val="•"/>
      <w:lvlJc w:val="left"/>
      <w:pPr>
        <w:ind w:left="2800" w:hanging="360"/>
      </w:pPr>
      <w:rPr>
        <w:rFonts w:hint="default"/>
        <w:lang w:val="es-ES" w:eastAsia="en-US" w:bidi="ar-SA"/>
      </w:rPr>
    </w:lvl>
    <w:lvl w:ilvl="3">
      <w:start w:val="0"/>
      <w:numFmt w:val="bullet"/>
      <w:lvlText w:val="•"/>
      <w:lvlJc w:val="left"/>
      <w:pPr>
        <w:ind w:left="3710" w:hanging="360"/>
      </w:pPr>
      <w:rPr>
        <w:rFonts w:hint="default"/>
        <w:lang w:val="es-ES" w:eastAsia="en-US" w:bidi="ar-SA"/>
      </w:rPr>
    </w:lvl>
    <w:lvl w:ilvl="4">
      <w:start w:val="0"/>
      <w:numFmt w:val="bullet"/>
      <w:lvlText w:val="•"/>
      <w:lvlJc w:val="left"/>
      <w:pPr>
        <w:ind w:left="4620" w:hanging="360"/>
      </w:pPr>
      <w:rPr>
        <w:rFonts w:hint="default"/>
        <w:lang w:val="es-ES" w:eastAsia="en-US" w:bidi="ar-SA"/>
      </w:rPr>
    </w:lvl>
    <w:lvl w:ilvl="5">
      <w:start w:val="0"/>
      <w:numFmt w:val="bullet"/>
      <w:lvlText w:val="•"/>
      <w:lvlJc w:val="left"/>
      <w:pPr>
        <w:ind w:left="5530" w:hanging="360"/>
      </w:pPr>
      <w:rPr>
        <w:rFonts w:hint="default"/>
        <w:lang w:val="es-ES" w:eastAsia="en-US" w:bidi="ar-SA"/>
      </w:rPr>
    </w:lvl>
    <w:lvl w:ilvl="6">
      <w:start w:val="0"/>
      <w:numFmt w:val="bullet"/>
      <w:lvlText w:val="•"/>
      <w:lvlJc w:val="left"/>
      <w:pPr>
        <w:ind w:left="6440" w:hanging="360"/>
      </w:pPr>
      <w:rPr>
        <w:rFonts w:hint="default"/>
        <w:lang w:val="es-ES" w:eastAsia="en-US" w:bidi="ar-SA"/>
      </w:rPr>
    </w:lvl>
    <w:lvl w:ilvl="7">
      <w:start w:val="0"/>
      <w:numFmt w:val="bullet"/>
      <w:lvlText w:val="•"/>
      <w:lvlJc w:val="left"/>
      <w:pPr>
        <w:ind w:left="7350" w:hanging="360"/>
      </w:pPr>
      <w:rPr>
        <w:rFonts w:hint="default"/>
        <w:lang w:val="es-ES" w:eastAsia="en-US" w:bidi="ar-SA"/>
      </w:rPr>
    </w:lvl>
    <w:lvl w:ilvl="8">
      <w:start w:val="0"/>
      <w:numFmt w:val="bullet"/>
      <w:lvlText w:val="•"/>
      <w:lvlJc w:val="left"/>
      <w:pPr>
        <w:ind w:left="8260" w:hanging="360"/>
      </w:pPr>
      <w:rPr>
        <w:rFonts w:hint="default"/>
        <w:lang w:val="es-ES" w:eastAsia="en-US" w:bidi="ar-SA"/>
      </w:rPr>
    </w:lvl>
  </w:abstractNum>
  <w:abstractNum w:abstractNumId="107">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06">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05">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0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0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0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01">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0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9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98">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97">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96">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195" w:hanging="569"/>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173" w:hanging="569"/>
      </w:pPr>
      <w:rPr>
        <w:rFonts w:hint="default"/>
        <w:lang w:val="es-ES" w:eastAsia="en-US" w:bidi="ar-SA"/>
      </w:rPr>
    </w:lvl>
    <w:lvl w:ilvl="4">
      <w:start w:val="0"/>
      <w:numFmt w:val="bullet"/>
      <w:lvlText w:val="•"/>
      <w:lvlJc w:val="left"/>
      <w:pPr>
        <w:ind w:left="4160" w:hanging="569"/>
      </w:pPr>
      <w:rPr>
        <w:rFonts w:hint="default"/>
        <w:lang w:val="es-ES" w:eastAsia="en-US" w:bidi="ar-SA"/>
      </w:rPr>
    </w:lvl>
    <w:lvl w:ilvl="5">
      <w:start w:val="0"/>
      <w:numFmt w:val="bullet"/>
      <w:lvlText w:val="•"/>
      <w:lvlJc w:val="left"/>
      <w:pPr>
        <w:ind w:left="5146" w:hanging="569"/>
      </w:pPr>
      <w:rPr>
        <w:rFonts w:hint="default"/>
        <w:lang w:val="es-ES" w:eastAsia="en-US" w:bidi="ar-SA"/>
      </w:rPr>
    </w:lvl>
    <w:lvl w:ilvl="6">
      <w:start w:val="0"/>
      <w:numFmt w:val="bullet"/>
      <w:lvlText w:val="•"/>
      <w:lvlJc w:val="left"/>
      <w:pPr>
        <w:ind w:left="6133" w:hanging="569"/>
      </w:pPr>
      <w:rPr>
        <w:rFonts w:hint="default"/>
        <w:lang w:val="es-ES" w:eastAsia="en-US" w:bidi="ar-SA"/>
      </w:rPr>
    </w:lvl>
    <w:lvl w:ilvl="7">
      <w:start w:val="0"/>
      <w:numFmt w:val="bullet"/>
      <w:lvlText w:val="•"/>
      <w:lvlJc w:val="left"/>
      <w:pPr>
        <w:ind w:left="7120" w:hanging="569"/>
      </w:pPr>
      <w:rPr>
        <w:rFonts w:hint="default"/>
        <w:lang w:val="es-ES" w:eastAsia="en-US" w:bidi="ar-SA"/>
      </w:rPr>
    </w:lvl>
    <w:lvl w:ilvl="8">
      <w:start w:val="0"/>
      <w:numFmt w:val="bullet"/>
      <w:lvlText w:val="•"/>
      <w:lvlJc w:val="left"/>
      <w:pPr>
        <w:ind w:left="8106" w:hanging="569"/>
      </w:pPr>
      <w:rPr>
        <w:rFonts w:hint="default"/>
        <w:lang w:val="es-ES" w:eastAsia="en-US" w:bidi="ar-SA"/>
      </w:rPr>
    </w:lvl>
  </w:abstractNum>
  <w:abstractNum w:abstractNumId="95">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9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9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92">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91">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90">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89">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88">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87">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86">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85">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8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8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8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81">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8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7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78">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77">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76">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75">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74">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73">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72">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71">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7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69">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68">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67">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3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77" w:hanging="432"/>
      </w:pPr>
      <w:rPr>
        <w:rFonts w:hint="default"/>
        <w:lang w:val="es-ES" w:eastAsia="en-US" w:bidi="ar-SA"/>
      </w:rPr>
    </w:lvl>
    <w:lvl w:ilvl="3">
      <w:start w:val="0"/>
      <w:numFmt w:val="bullet"/>
      <w:lvlText w:val="•"/>
      <w:lvlJc w:val="left"/>
      <w:pPr>
        <w:ind w:left="3515" w:hanging="432"/>
      </w:pPr>
      <w:rPr>
        <w:rFonts w:hint="default"/>
        <w:lang w:val="es-ES" w:eastAsia="en-US" w:bidi="ar-SA"/>
      </w:rPr>
    </w:lvl>
    <w:lvl w:ilvl="4">
      <w:start w:val="0"/>
      <w:numFmt w:val="bullet"/>
      <w:lvlText w:val="•"/>
      <w:lvlJc w:val="left"/>
      <w:pPr>
        <w:ind w:left="4453" w:hanging="432"/>
      </w:pPr>
      <w:rPr>
        <w:rFonts w:hint="default"/>
        <w:lang w:val="es-ES" w:eastAsia="en-US" w:bidi="ar-SA"/>
      </w:rPr>
    </w:lvl>
    <w:lvl w:ilvl="5">
      <w:start w:val="0"/>
      <w:numFmt w:val="bullet"/>
      <w:lvlText w:val="•"/>
      <w:lvlJc w:val="left"/>
      <w:pPr>
        <w:ind w:left="5391" w:hanging="432"/>
      </w:pPr>
      <w:rPr>
        <w:rFonts w:hint="default"/>
        <w:lang w:val="es-ES" w:eastAsia="en-US" w:bidi="ar-SA"/>
      </w:rPr>
    </w:lvl>
    <w:lvl w:ilvl="6">
      <w:start w:val="0"/>
      <w:numFmt w:val="bullet"/>
      <w:lvlText w:val="•"/>
      <w:lvlJc w:val="left"/>
      <w:pPr>
        <w:ind w:left="6328" w:hanging="432"/>
      </w:pPr>
      <w:rPr>
        <w:rFonts w:hint="default"/>
        <w:lang w:val="es-ES" w:eastAsia="en-US" w:bidi="ar-SA"/>
      </w:rPr>
    </w:lvl>
    <w:lvl w:ilvl="7">
      <w:start w:val="0"/>
      <w:numFmt w:val="bullet"/>
      <w:lvlText w:val="•"/>
      <w:lvlJc w:val="left"/>
      <w:pPr>
        <w:ind w:left="7266" w:hanging="432"/>
      </w:pPr>
      <w:rPr>
        <w:rFonts w:hint="default"/>
        <w:lang w:val="es-ES" w:eastAsia="en-US" w:bidi="ar-SA"/>
      </w:rPr>
    </w:lvl>
    <w:lvl w:ilvl="8">
      <w:start w:val="0"/>
      <w:numFmt w:val="bullet"/>
      <w:lvlText w:val="•"/>
      <w:lvlJc w:val="left"/>
      <w:pPr>
        <w:ind w:left="8204" w:hanging="432"/>
      </w:pPr>
      <w:rPr>
        <w:rFonts w:hint="default"/>
        <w:lang w:val="es-ES" w:eastAsia="en-US" w:bidi="ar-SA"/>
      </w:rPr>
    </w:lvl>
  </w:abstractNum>
  <w:abstractNum w:abstractNumId="66">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65">
    <w:multiLevelType w:val="hybridMultilevel"/>
    <w:lvl w:ilvl="0">
      <w:start w:val="1"/>
      <w:numFmt w:val="upperRoman"/>
      <w:lvlText w:val="%1."/>
      <w:lvlJc w:val="left"/>
      <w:pPr>
        <w:ind w:left="338" w:hanging="19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92"/>
      </w:pPr>
      <w:rPr>
        <w:rFonts w:hint="default"/>
        <w:lang w:val="es-ES" w:eastAsia="en-US" w:bidi="ar-SA"/>
      </w:rPr>
    </w:lvl>
    <w:lvl w:ilvl="2">
      <w:start w:val="0"/>
      <w:numFmt w:val="bullet"/>
      <w:lvlText w:val="•"/>
      <w:lvlJc w:val="left"/>
      <w:pPr>
        <w:ind w:left="2288" w:hanging="192"/>
      </w:pPr>
      <w:rPr>
        <w:rFonts w:hint="default"/>
        <w:lang w:val="es-ES" w:eastAsia="en-US" w:bidi="ar-SA"/>
      </w:rPr>
    </w:lvl>
    <w:lvl w:ilvl="3">
      <w:start w:val="0"/>
      <w:numFmt w:val="bullet"/>
      <w:lvlText w:val="•"/>
      <w:lvlJc w:val="left"/>
      <w:pPr>
        <w:ind w:left="3262" w:hanging="192"/>
      </w:pPr>
      <w:rPr>
        <w:rFonts w:hint="default"/>
        <w:lang w:val="es-ES" w:eastAsia="en-US" w:bidi="ar-SA"/>
      </w:rPr>
    </w:lvl>
    <w:lvl w:ilvl="4">
      <w:start w:val="0"/>
      <w:numFmt w:val="bullet"/>
      <w:lvlText w:val="•"/>
      <w:lvlJc w:val="left"/>
      <w:pPr>
        <w:ind w:left="4236" w:hanging="192"/>
      </w:pPr>
      <w:rPr>
        <w:rFonts w:hint="default"/>
        <w:lang w:val="es-ES" w:eastAsia="en-US" w:bidi="ar-SA"/>
      </w:rPr>
    </w:lvl>
    <w:lvl w:ilvl="5">
      <w:start w:val="0"/>
      <w:numFmt w:val="bullet"/>
      <w:lvlText w:val="•"/>
      <w:lvlJc w:val="left"/>
      <w:pPr>
        <w:ind w:left="5210" w:hanging="192"/>
      </w:pPr>
      <w:rPr>
        <w:rFonts w:hint="default"/>
        <w:lang w:val="es-ES" w:eastAsia="en-US" w:bidi="ar-SA"/>
      </w:rPr>
    </w:lvl>
    <w:lvl w:ilvl="6">
      <w:start w:val="0"/>
      <w:numFmt w:val="bullet"/>
      <w:lvlText w:val="•"/>
      <w:lvlJc w:val="left"/>
      <w:pPr>
        <w:ind w:left="6184" w:hanging="192"/>
      </w:pPr>
      <w:rPr>
        <w:rFonts w:hint="default"/>
        <w:lang w:val="es-ES" w:eastAsia="en-US" w:bidi="ar-SA"/>
      </w:rPr>
    </w:lvl>
    <w:lvl w:ilvl="7">
      <w:start w:val="0"/>
      <w:numFmt w:val="bullet"/>
      <w:lvlText w:val="•"/>
      <w:lvlJc w:val="left"/>
      <w:pPr>
        <w:ind w:left="7158" w:hanging="192"/>
      </w:pPr>
      <w:rPr>
        <w:rFonts w:hint="default"/>
        <w:lang w:val="es-ES" w:eastAsia="en-US" w:bidi="ar-SA"/>
      </w:rPr>
    </w:lvl>
    <w:lvl w:ilvl="8">
      <w:start w:val="0"/>
      <w:numFmt w:val="bullet"/>
      <w:lvlText w:val="•"/>
      <w:lvlJc w:val="left"/>
      <w:pPr>
        <w:ind w:left="8132" w:hanging="192"/>
      </w:pPr>
      <w:rPr>
        <w:rFonts w:hint="default"/>
        <w:lang w:val="es-ES" w:eastAsia="en-US" w:bidi="ar-SA"/>
      </w:rPr>
    </w:lvl>
  </w:abstractNum>
  <w:abstractNum w:abstractNumId="6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6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6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61">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6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5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58">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57">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56">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55">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5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5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6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84" w:hanging="567"/>
      </w:pPr>
      <w:rPr>
        <w:rFonts w:hint="default"/>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5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51">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5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4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48">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47">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46">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45">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195" w:hanging="569"/>
        <w:jc w:val="left"/>
      </w:pPr>
      <w:rPr>
        <w:rFonts w:hint="default" w:ascii="Arial" w:hAnsi="Arial" w:eastAsia="Arial" w:cs="Arial"/>
        <w:b/>
        <w:bCs/>
        <w:i w:val="0"/>
        <w:iCs w:val="0"/>
        <w:spacing w:val="-1"/>
        <w:w w:val="99"/>
        <w:sz w:val="20"/>
        <w:szCs w:val="20"/>
        <w:lang w:val="es-ES" w:eastAsia="en-US" w:bidi="ar-SA"/>
      </w:rPr>
    </w:lvl>
    <w:lvl w:ilvl="3">
      <w:start w:val="1"/>
      <w:numFmt w:val="decimal"/>
      <w:lvlText w:val="%4."/>
      <w:lvlJc w:val="left"/>
      <w:pPr>
        <w:ind w:left="1762" w:hanging="567"/>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3840" w:hanging="567"/>
      </w:pPr>
      <w:rPr>
        <w:rFonts w:hint="default"/>
        <w:lang w:val="es-ES" w:eastAsia="en-US" w:bidi="ar-SA"/>
      </w:rPr>
    </w:lvl>
    <w:lvl w:ilvl="5">
      <w:start w:val="0"/>
      <w:numFmt w:val="bullet"/>
      <w:lvlText w:val="•"/>
      <w:lvlJc w:val="left"/>
      <w:pPr>
        <w:ind w:left="4880" w:hanging="567"/>
      </w:pPr>
      <w:rPr>
        <w:rFonts w:hint="default"/>
        <w:lang w:val="es-ES" w:eastAsia="en-US" w:bidi="ar-SA"/>
      </w:rPr>
    </w:lvl>
    <w:lvl w:ilvl="6">
      <w:start w:val="0"/>
      <w:numFmt w:val="bullet"/>
      <w:lvlText w:val="•"/>
      <w:lvlJc w:val="left"/>
      <w:pPr>
        <w:ind w:left="5920" w:hanging="567"/>
      </w:pPr>
      <w:rPr>
        <w:rFonts w:hint="default"/>
        <w:lang w:val="es-ES" w:eastAsia="en-US" w:bidi="ar-SA"/>
      </w:rPr>
    </w:lvl>
    <w:lvl w:ilvl="7">
      <w:start w:val="0"/>
      <w:numFmt w:val="bullet"/>
      <w:lvlText w:val="•"/>
      <w:lvlJc w:val="left"/>
      <w:pPr>
        <w:ind w:left="6960" w:hanging="567"/>
      </w:pPr>
      <w:rPr>
        <w:rFonts w:hint="default"/>
        <w:lang w:val="es-ES" w:eastAsia="en-US" w:bidi="ar-SA"/>
      </w:rPr>
    </w:lvl>
    <w:lvl w:ilvl="8">
      <w:start w:val="0"/>
      <w:numFmt w:val="bullet"/>
      <w:lvlText w:val="•"/>
      <w:lvlJc w:val="left"/>
      <w:pPr>
        <w:ind w:left="8000" w:hanging="567"/>
      </w:pPr>
      <w:rPr>
        <w:rFonts w:hint="default"/>
        <w:lang w:val="es-ES" w:eastAsia="en-US" w:bidi="ar-SA"/>
      </w:rPr>
    </w:lvl>
  </w:abstractNum>
  <w:abstractNum w:abstractNumId="4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4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4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6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84" w:hanging="567"/>
      </w:pPr>
      <w:rPr>
        <w:rFonts w:hint="default"/>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41">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4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8">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7">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6">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5">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62"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84" w:hanging="567"/>
      </w:pPr>
      <w:rPr>
        <w:rFonts w:hint="default"/>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33">
    <w:multiLevelType w:val="hybridMultilevel"/>
    <w:lvl w:ilvl="0">
      <w:start w:val="1"/>
      <w:numFmt w:val="upperRoman"/>
      <w:lvlText w:val="%1."/>
      <w:lvlJc w:val="left"/>
      <w:pPr>
        <w:ind w:left="338" w:hanging="17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195" w:hanging="569"/>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195" w:hanging="569"/>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173" w:hanging="569"/>
      </w:pPr>
      <w:rPr>
        <w:rFonts w:hint="default"/>
        <w:lang w:val="es-ES" w:eastAsia="en-US" w:bidi="ar-SA"/>
      </w:rPr>
    </w:lvl>
    <w:lvl w:ilvl="4">
      <w:start w:val="0"/>
      <w:numFmt w:val="bullet"/>
      <w:lvlText w:val="•"/>
      <w:lvlJc w:val="left"/>
      <w:pPr>
        <w:ind w:left="4160" w:hanging="569"/>
      </w:pPr>
      <w:rPr>
        <w:rFonts w:hint="default"/>
        <w:lang w:val="es-ES" w:eastAsia="en-US" w:bidi="ar-SA"/>
      </w:rPr>
    </w:lvl>
    <w:lvl w:ilvl="5">
      <w:start w:val="0"/>
      <w:numFmt w:val="bullet"/>
      <w:lvlText w:val="•"/>
      <w:lvlJc w:val="left"/>
      <w:pPr>
        <w:ind w:left="5146" w:hanging="569"/>
      </w:pPr>
      <w:rPr>
        <w:rFonts w:hint="default"/>
        <w:lang w:val="es-ES" w:eastAsia="en-US" w:bidi="ar-SA"/>
      </w:rPr>
    </w:lvl>
    <w:lvl w:ilvl="6">
      <w:start w:val="0"/>
      <w:numFmt w:val="bullet"/>
      <w:lvlText w:val="•"/>
      <w:lvlJc w:val="left"/>
      <w:pPr>
        <w:ind w:left="6133" w:hanging="569"/>
      </w:pPr>
      <w:rPr>
        <w:rFonts w:hint="default"/>
        <w:lang w:val="es-ES" w:eastAsia="en-US" w:bidi="ar-SA"/>
      </w:rPr>
    </w:lvl>
    <w:lvl w:ilvl="7">
      <w:start w:val="0"/>
      <w:numFmt w:val="bullet"/>
      <w:lvlText w:val="•"/>
      <w:lvlJc w:val="left"/>
      <w:pPr>
        <w:ind w:left="7120" w:hanging="569"/>
      </w:pPr>
      <w:rPr>
        <w:rFonts w:hint="default"/>
        <w:lang w:val="es-ES" w:eastAsia="en-US" w:bidi="ar-SA"/>
      </w:rPr>
    </w:lvl>
    <w:lvl w:ilvl="8">
      <w:start w:val="0"/>
      <w:numFmt w:val="bullet"/>
      <w:lvlText w:val="•"/>
      <w:lvlJc w:val="left"/>
      <w:pPr>
        <w:ind w:left="8106" w:hanging="569"/>
      </w:pPr>
      <w:rPr>
        <w:rFonts w:hint="default"/>
        <w:lang w:val="es-ES" w:eastAsia="en-US" w:bidi="ar-SA"/>
      </w:rPr>
    </w:lvl>
  </w:abstractNum>
  <w:abstractNum w:abstractNumId="3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1">
    <w:multiLevelType w:val="hybridMultilevel"/>
    <w:lvl w:ilvl="0">
      <w:start w:val="1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30">
    <w:multiLevelType w:val="hybridMultilevel"/>
    <w:lvl w:ilvl="0">
      <w:start w:val="4"/>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8">
    <w:multiLevelType w:val="hybridMultilevel"/>
    <w:lvl w:ilvl="0">
      <w:start w:val="30"/>
      <w:numFmt w:val="upperRoman"/>
      <w:lvlText w:val="%1."/>
      <w:lvlJc w:val="left"/>
      <w:pPr>
        <w:ind w:left="1478" w:hanging="85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340" w:hanging="852"/>
      </w:pPr>
      <w:rPr>
        <w:rFonts w:hint="default"/>
        <w:lang w:val="es-ES" w:eastAsia="en-US" w:bidi="ar-SA"/>
      </w:rPr>
    </w:lvl>
    <w:lvl w:ilvl="2">
      <w:start w:val="0"/>
      <w:numFmt w:val="bullet"/>
      <w:lvlText w:val="•"/>
      <w:lvlJc w:val="left"/>
      <w:pPr>
        <w:ind w:left="3200" w:hanging="852"/>
      </w:pPr>
      <w:rPr>
        <w:rFonts w:hint="default"/>
        <w:lang w:val="es-ES" w:eastAsia="en-US" w:bidi="ar-SA"/>
      </w:rPr>
    </w:lvl>
    <w:lvl w:ilvl="3">
      <w:start w:val="0"/>
      <w:numFmt w:val="bullet"/>
      <w:lvlText w:val="•"/>
      <w:lvlJc w:val="left"/>
      <w:pPr>
        <w:ind w:left="4060" w:hanging="852"/>
      </w:pPr>
      <w:rPr>
        <w:rFonts w:hint="default"/>
        <w:lang w:val="es-ES" w:eastAsia="en-US" w:bidi="ar-SA"/>
      </w:rPr>
    </w:lvl>
    <w:lvl w:ilvl="4">
      <w:start w:val="0"/>
      <w:numFmt w:val="bullet"/>
      <w:lvlText w:val="•"/>
      <w:lvlJc w:val="left"/>
      <w:pPr>
        <w:ind w:left="4920" w:hanging="852"/>
      </w:pPr>
      <w:rPr>
        <w:rFonts w:hint="default"/>
        <w:lang w:val="es-ES" w:eastAsia="en-US" w:bidi="ar-SA"/>
      </w:rPr>
    </w:lvl>
    <w:lvl w:ilvl="5">
      <w:start w:val="0"/>
      <w:numFmt w:val="bullet"/>
      <w:lvlText w:val="•"/>
      <w:lvlJc w:val="left"/>
      <w:pPr>
        <w:ind w:left="5780" w:hanging="852"/>
      </w:pPr>
      <w:rPr>
        <w:rFonts w:hint="default"/>
        <w:lang w:val="es-ES" w:eastAsia="en-US" w:bidi="ar-SA"/>
      </w:rPr>
    </w:lvl>
    <w:lvl w:ilvl="6">
      <w:start w:val="0"/>
      <w:numFmt w:val="bullet"/>
      <w:lvlText w:val="•"/>
      <w:lvlJc w:val="left"/>
      <w:pPr>
        <w:ind w:left="6640" w:hanging="852"/>
      </w:pPr>
      <w:rPr>
        <w:rFonts w:hint="default"/>
        <w:lang w:val="es-ES" w:eastAsia="en-US" w:bidi="ar-SA"/>
      </w:rPr>
    </w:lvl>
    <w:lvl w:ilvl="7">
      <w:start w:val="0"/>
      <w:numFmt w:val="bullet"/>
      <w:lvlText w:val="•"/>
      <w:lvlJc w:val="left"/>
      <w:pPr>
        <w:ind w:left="7500" w:hanging="852"/>
      </w:pPr>
      <w:rPr>
        <w:rFonts w:hint="default"/>
        <w:lang w:val="es-ES" w:eastAsia="en-US" w:bidi="ar-SA"/>
      </w:rPr>
    </w:lvl>
    <w:lvl w:ilvl="8">
      <w:start w:val="0"/>
      <w:numFmt w:val="bullet"/>
      <w:lvlText w:val="•"/>
      <w:lvlJc w:val="left"/>
      <w:pPr>
        <w:ind w:left="8360" w:hanging="852"/>
      </w:pPr>
      <w:rPr>
        <w:rFonts w:hint="default"/>
        <w:lang w:val="es-ES" w:eastAsia="en-US" w:bidi="ar-SA"/>
      </w:rPr>
    </w:lvl>
  </w:abstractNum>
  <w:abstractNum w:abstractNumId="27">
    <w:multiLevelType w:val="hybridMultilevel"/>
    <w:lvl w:ilvl="0">
      <w:start w:val="16"/>
      <w:numFmt w:val="upperRoman"/>
      <w:lvlText w:val="%1."/>
      <w:lvlJc w:val="left"/>
      <w:pPr>
        <w:ind w:left="1478" w:hanging="85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340" w:hanging="852"/>
      </w:pPr>
      <w:rPr>
        <w:rFonts w:hint="default"/>
        <w:lang w:val="es-ES" w:eastAsia="en-US" w:bidi="ar-SA"/>
      </w:rPr>
    </w:lvl>
    <w:lvl w:ilvl="2">
      <w:start w:val="0"/>
      <w:numFmt w:val="bullet"/>
      <w:lvlText w:val="•"/>
      <w:lvlJc w:val="left"/>
      <w:pPr>
        <w:ind w:left="3200" w:hanging="852"/>
      </w:pPr>
      <w:rPr>
        <w:rFonts w:hint="default"/>
        <w:lang w:val="es-ES" w:eastAsia="en-US" w:bidi="ar-SA"/>
      </w:rPr>
    </w:lvl>
    <w:lvl w:ilvl="3">
      <w:start w:val="0"/>
      <w:numFmt w:val="bullet"/>
      <w:lvlText w:val="•"/>
      <w:lvlJc w:val="left"/>
      <w:pPr>
        <w:ind w:left="4060" w:hanging="852"/>
      </w:pPr>
      <w:rPr>
        <w:rFonts w:hint="default"/>
        <w:lang w:val="es-ES" w:eastAsia="en-US" w:bidi="ar-SA"/>
      </w:rPr>
    </w:lvl>
    <w:lvl w:ilvl="4">
      <w:start w:val="0"/>
      <w:numFmt w:val="bullet"/>
      <w:lvlText w:val="•"/>
      <w:lvlJc w:val="left"/>
      <w:pPr>
        <w:ind w:left="4920" w:hanging="852"/>
      </w:pPr>
      <w:rPr>
        <w:rFonts w:hint="default"/>
        <w:lang w:val="es-ES" w:eastAsia="en-US" w:bidi="ar-SA"/>
      </w:rPr>
    </w:lvl>
    <w:lvl w:ilvl="5">
      <w:start w:val="0"/>
      <w:numFmt w:val="bullet"/>
      <w:lvlText w:val="•"/>
      <w:lvlJc w:val="left"/>
      <w:pPr>
        <w:ind w:left="5780" w:hanging="852"/>
      </w:pPr>
      <w:rPr>
        <w:rFonts w:hint="default"/>
        <w:lang w:val="es-ES" w:eastAsia="en-US" w:bidi="ar-SA"/>
      </w:rPr>
    </w:lvl>
    <w:lvl w:ilvl="6">
      <w:start w:val="0"/>
      <w:numFmt w:val="bullet"/>
      <w:lvlText w:val="•"/>
      <w:lvlJc w:val="left"/>
      <w:pPr>
        <w:ind w:left="6640" w:hanging="852"/>
      </w:pPr>
      <w:rPr>
        <w:rFonts w:hint="default"/>
        <w:lang w:val="es-ES" w:eastAsia="en-US" w:bidi="ar-SA"/>
      </w:rPr>
    </w:lvl>
    <w:lvl w:ilvl="7">
      <w:start w:val="0"/>
      <w:numFmt w:val="bullet"/>
      <w:lvlText w:val="•"/>
      <w:lvlJc w:val="left"/>
      <w:pPr>
        <w:ind w:left="7500" w:hanging="852"/>
      </w:pPr>
      <w:rPr>
        <w:rFonts w:hint="default"/>
        <w:lang w:val="es-ES" w:eastAsia="en-US" w:bidi="ar-SA"/>
      </w:rPr>
    </w:lvl>
    <w:lvl w:ilvl="8">
      <w:start w:val="0"/>
      <w:numFmt w:val="bullet"/>
      <w:lvlText w:val="•"/>
      <w:lvlJc w:val="left"/>
      <w:pPr>
        <w:ind w:left="8360" w:hanging="852"/>
      </w:pPr>
      <w:rPr>
        <w:rFonts w:hint="default"/>
        <w:lang w:val="es-ES" w:eastAsia="en-US" w:bidi="ar-SA"/>
      </w:rPr>
    </w:lvl>
  </w:abstractNum>
  <w:abstractNum w:abstractNumId="26">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5">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3">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2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1">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8">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7">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6">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5">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3">
    <w:multiLevelType w:val="hybridMultilevel"/>
    <w:lvl w:ilvl="0">
      <w:start w:val="1"/>
      <w:numFmt w:val="upperRoman"/>
      <w:lvlText w:val="%1."/>
      <w:lvlJc w:val="left"/>
      <w:pPr>
        <w:ind w:left="986" w:hanging="36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346" w:hanging="36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11" w:hanging="360"/>
      </w:pPr>
      <w:rPr>
        <w:rFonts w:hint="default"/>
        <w:lang w:val="es-ES" w:eastAsia="en-US" w:bidi="ar-SA"/>
      </w:rPr>
    </w:lvl>
    <w:lvl w:ilvl="3">
      <w:start w:val="0"/>
      <w:numFmt w:val="bullet"/>
      <w:lvlText w:val="•"/>
      <w:lvlJc w:val="left"/>
      <w:pPr>
        <w:ind w:left="3282" w:hanging="360"/>
      </w:pPr>
      <w:rPr>
        <w:rFonts w:hint="default"/>
        <w:lang w:val="es-ES" w:eastAsia="en-US" w:bidi="ar-SA"/>
      </w:rPr>
    </w:lvl>
    <w:lvl w:ilvl="4">
      <w:start w:val="0"/>
      <w:numFmt w:val="bullet"/>
      <w:lvlText w:val="•"/>
      <w:lvlJc w:val="left"/>
      <w:pPr>
        <w:ind w:left="4253" w:hanging="360"/>
      </w:pPr>
      <w:rPr>
        <w:rFonts w:hint="default"/>
        <w:lang w:val="es-ES" w:eastAsia="en-US" w:bidi="ar-SA"/>
      </w:rPr>
    </w:lvl>
    <w:lvl w:ilvl="5">
      <w:start w:val="0"/>
      <w:numFmt w:val="bullet"/>
      <w:lvlText w:val="•"/>
      <w:lvlJc w:val="left"/>
      <w:pPr>
        <w:ind w:left="5224" w:hanging="360"/>
      </w:pPr>
      <w:rPr>
        <w:rFonts w:hint="default"/>
        <w:lang w:val="es-ES" w:eastAsia="en-US" w:bidi="ar-SA"/>
      </w:rPr>
    </w:lvl>
    <w:lvl w:ilvl="6">
      <w:start w:val="0"/>
      <w:numFmt w:val="bullet"/>
      <w:lvlText w:val="•"/>
      <w:lvlJc w:val="left"/>
      <w:pPr>
        <w:ind w:left="6195" w:hanging="360"/>
      </w:pPr>
      <w:rPr>
        <w:rFonts w:hint="default"/>
        <w:lang w:val="es-ES" w:eastAsia="en-US" w:bidi="ar-SA"/>
      </w:rPr>
    </w:lvl>
    <w:lvl w:ilvl="7">
      <w:start w:val="0"/>
      <w:numFmt w:val="bullet"/>
      <w:lvlText w:val="•"/>
      <w:lvlJc w:val="left"/>
      <w:pPr>
        <w:ind w:left="7166" w:hanging="360"/>
      </w:pPr>
      <w:rPr>
        <w:rFonts w:hint="default"/>
        <w:lang w:val="es-ES" w:eastAsia="en-US" w:bidi="ar-SA"/>
      </w:rPr>
    </w:lvl>
    <w:lvl w:ilvl="8">
      <w:start w:val="0"/>
      <w:numFmt w:val="bullet"/>
      <w:lvlText w:val="•"/>
      <w:lvlJc w:val="left"/>
      <w:pPr>
        <w:ind w:left="8137" w:hanging="360"/>
      </w:pPr>
      <w:rPr>
        <w:rFonts w:hint="default"/>
        <w:lang w:val="es-ES" w:eastAsia="en-US" w:bidi="ar-SA"/>
      </w:rPr>
    </w:lvl>
  </w:abstractNum>
  <w:abstractNum w:abstractNumId="1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1">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8">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7">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6">
    <w:multiLevelType w:val="hybridMultilevel"/>
    <w:lvl w:ilvl="0">
      <w:start w:val="1"/>
      <w:numFmt w:val="upperRoman"/>
      <w:lvlText w:val="%1."/>
      <w:lvlJc w:val="left"/>
      <w:pPr>
        <w:ind w:left="338" w:hanging="183"/>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25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288" w:hanging="250"/>
      </w:pPr>
      <w:rPr>
        <w:rFonts w:hint="default"/>
        <w:lang w:val="es-ES" w:eastAsia="en-US" w:bidi="ar-SA"/>
      </w:rPr>
    </w:lvl>
    <w:lvl w:ilvl="3">
      <w:start w:val="0"/>
      <w:numFmt w:val="bullet"/>
      <w:lvlText w:val="•"/>
      <w:lvlJc w:val="left"/>
      <w:pPr>
        <w:ind w:left="3262" w:hanging="250"/>
      </w:pPr>
      <w:rPr>
        <w:rFonts w:hint="default"/>
        <w:lang w:val="es-ES" w:eastAsia="en-US" w:bidi="ar-SA"/>
      </w:rPr>
    </w:lvl>
    <w:lvl w:ilvl="4">
      <w:start w:val="0"/>
      <w:numFmt w:val="bullet"/>
      <w:lvlText w:val="•"/>
      <w:lvlJc w:val="left"/>
      <w:pPr>
        <w:ind w:left="4236" w:hanging="250"/>
      </w:pPr>
      <w:rPr>
        <w:rFonts w:hint="default"/>
        <w:lang w:val="es-ES" w:eastAsia="en-US" w:bidi="ar-SA"/>
      </w:rPr>
    </w:lvl>
    <w:lvl w:ilvl="5">
      <w:start w:val="0"/>
      <w:numFmt w:val="bullet"/>
      <w:lvlText w:val="•"/>
      <w:lvlJc w:val="left"/>
      <w:pPr>
        <w:ind w:left="5210" w:hanging="250"/>
      </w:pPr>
      <w:rPr>
        <w:rFonts w:hint="default"/>
        <w:lang w:val="es-ES" w:eastAsia="en-US" w:bidi="ar-SA"/>
      </w:rPr>
    </w:lvl>
    <w:lvl w:ilvl="6">
      <w:start w:val="0"/>
      <w:numFmt w:val="bullet"/>
      <w:lvlText w:val="•"/>
      <w:lvlJc w:val="left"/>
      <w:pPr>
        <w:ind w:left="6184" w:hanging="250"/>
      </w:pPr>
      <w:rPr>
        <w:rFonts w:hint="default"/>
        <w:lang w:val="es-ES" w:eastAsia="en-US" w:bidi="ar-SA"/>
      </w:rPr>
    </w:lvl>
    <w:lvl w:ilvl="7">
      <w:start w:val="0"/>
      <w:numFmt w:val="bullet"/>
      <w:lvlText w:val="•"/>
      <w:lvlJc w:val="left"/>
      <w:pPr>
        <w:ind w:left="7158" w:hanging="250"/>
      </w:pPr>
      <w:rPr>
        <w:rFonts w:hint="default"/>
        <w:lang w:val="es-ES" w:eastAsia="en-US" w:bidi="ar-SA"/>
      </w:rPr>
    </w:lvl>
    <w:lvl w:ilvl="8">
      <w:start w:val="0"/>
      <w:numFmt w:val="bullet"/>
      <w:lvlText w:val="•"/>
      <w:lvlJc w:val="left"/>
      <w:pPr>
        <w:ind w:left="8132" w:hanging="250"/>
      </w:pPr>
      <w:rPr>
        <w:rFonts w:hint="default"/>
        <w:lang w:val="es-ES" w:eastAsia="en-US" w:bidi="ar-SA"/>
      </w:rPr>
    </w:lvl>
  </w:abstractNum>
  <w:abstractNum w:abstractNumId="5">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4">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6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684" w:hanging="567"/>
      </w:pPr>
      <w:rPr>
        <w:rFonts w:hint="default"/>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3">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6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684" w:hanging="567"/>
      </w:pPr>
      <w:rPr>
        <w:rFonts w:hint="default"/>
        <w:lang w:val="es-ES" w:eastAsia="en-US" w:bidi="ar-SA"/>
      </w:rPr>
    </w:lvl>
    <w:lvl w:ilvl="3">
      <w:start w:val="0"/>
      <w:numFmt w:val="bullet"/>
      <w:lvlText w:val="•"/>
      <w:lvlJc w:val="left"/>
      <w:pPr>
        <w:ind w:left="3608" w:hanging="567"/>
      </w:pPr>
      <w:rPr>
        <w:rFonts w:hint="default"/>
        <w:lang w:val="es-ES" w:eastAsia="en-US" w:bidi="ar-SA"/>
      </w:rPr>
    </w:lvl>
    <w:lvl w:ilvl="4">
      <w:start w:val="0"/>
      <w:numFmt w:val="bullet"/>
      <w:lvlText w:val="•"/>
      <w:lvlJc w:val="left"/>
      <w:pPr>
        <w:ind w:left="4533" w:hanging="567"/>
      </w:pPr>
      <w:rPr>
        <w:rFonts w:hint="default"/>
        <w:lang w:val="es-ES" w:eastAsia="en-US" w:bidi="ar-SA"/>
      </w:rPr>
    </w:lvl>
    <w:lvl w:ilvl="5">
      <w:start w:val="0"/>
      <w:numFmt w:val="bullet"/>
      <w:lvlText w:val="•"/>
      <w:lvlJc w:val="left"/>
      <w:pPr>
        <w:ind w:left="5457" w:hanging="567"/>
      </w:pPr>
      <w:rPr>
        <w:rFonts w:hint="default"/>
        <w:lang w:val="es-ES" w:eastAsia="en-US" w:bidi="ar-SA"/>
      </w:rPr>
    </w:lvl>
    <w:lvl w:ilvl="6">
      <w:start w:val="0"/>
      <w:numFmt w:val="bullet"/>
      <w:lvlText w:val="•"/>
      <w:lvlJc w:val="left"/>
      <w:pPr>
        <w:ind w:left="6382" w:hanging="567"/>
      </w:pPr>
      <w:rPr>
        <w:rFonts w:hint="default"/>
        <w:lang w:val="es-ES" w:eastAsia="en-US" w:bidi="ar-SA"/>
      </w:rPr>
    </w:lvl>
    <w:lvl w:ilvl="7">
      <w:start w:val="0"/>
      <w:numFmt w:val="bullet"/>
      <w:lvlText w:val="•"/>
      <w:lvlJc w:val="left"/>
      <w:pPr>
        <w:ind w:left="7306" w:hanging="567"/>
      </w:pPr>
      <w:rPr>
        <w:rFonts w:hint="default"/>
        <w:lang w:val="es-ES" w:eastAsia="en-US" w:bidi="ar-SA"/>
      </w:rPr>
    </w:lvl>
    <w:lvl w:ilvl="8">
      <w:start w:val="0"/>
      <w:numFmt w:val="bullet"/>
      <w:lvlText w:val="•"/>
      <w:lvlJc w:val="left"/>
      <w:pPr>
        <w:ind w:left="8231" w:hanging="567"/>
      </w:pPr>
      <w:rPr>
        <w:rFonts w:hint="default"/>
        <w:lang w:val="es-ES" w:eastAsia="en-US" w:bidi="ar-SA"/>
      </w:rPr>
    </w:lvl>
  </w:abstractNum>
  <w:abstractNum w:abstractNumId="0">
    <w:multiLevelType w:val="hybridMultilevel"/>
    <w:lvl w:ilvl="0">
      <w:start w:val="1"/>
      <w:numFmt w:val="lowerLetter"/>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195" w:hanging="569"/>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num w:numId="366">
    <w:abstractNumId w:val="365"/>
  </w:num>
  <w:num w:numId="367">
    <w:abstractNumId w:val="366"/>
  </w:num>
  <w:num w:numId="365">
    <w:abstractNumId w:val="364"/>
  </w:num>
  <w:num w:numId="364">
    <w:abstractNumId w:val="363"/>
  </w:num>
  <w:num w:numId="363">
    <w:abstractNumId w:val="362"/>
  </w:num>
  <w:num w:numId="362">
    <w:abstractNumId w:val="361"/>
  </w:num>
  <w:num w:numId="361">
    <w:abstractNumId w:val="360"/>
  </w:num>
  <w:num w:numId="360">
    <w:abstractNumId w:val="359"/>
  </w:num>
  <w:num w:numId="359">
    <w:abstractNumId w:val="358"/>
  </w:num>
  <w:num w:numId="358">
    <w:abstractNumId w:val="357"/>
  </w:num>
  <w:num w:numId="357">
    <w:abstractNumId w:val="356"/>
  </w:num>
  <w:num w:numId="356">
    <w:abstractNumId w:val="355"/>
  </w:num>
  <w:num w:numId="355">
    <w:abstractNumId w:val="354"/>
  </w:num>
  <w:num w:numId="354">
    <w:abstractNumId w:val="353"/>
  </w:num>
  <w:num w:numId="353">
    <w:abstractNumId w:val="352"/>
  </w:num>
  <w:num w:numId="352">
    <w:abstractNumId w:val="351"/>
  </w:num>
  <w:num w:numId="351">
    <w:abstractNumId w:val="350"/>
  </w:num>
  <w:num w:numId="350">
    <w:abstractNumId w:val="349"/>
  </w:num>
  <w:num w:numId="349">
    <w:abstractNumId w:val="348"/>
  </w:num>
  <w:num w:numId="348">
    <w:abstractNumId w:val="347"/>
  </w:num>
  <w:num w:numId="347">
    <w:abstractNumId w:val="346"/>
  </w:num>
  <w:num w:numId="346">
    <w:abstractNumId w:val="345"/>
  </w:num>
  <w:num w:numId="345">
    <w:abstractNumId w:val="344"/>
  </w:num>
  <w:num w:numId="344">
    <w:abstractNumId w:val="343"/>
  </w:num>
  <w:num w:numId="343">
    <w:abstractNumId w:val="342"/>
  </w:num>
  <w:num w:numId="342">
    <w:abstractNumId w:val="341"/>
  </w:num>
  <w:num w:numId="341">
    <w:abstractNumId w:val="340"/>
  </w:num>
  <w:num w:numId="340">
    <w:abstractNumId w:val="339"/>
  </w:num>
  <w:num w:numId="339">
    <w:abstractNumId w:val="338"/>
  </w:num>
  <w:num w:numId="338">
    <w:abstractNumId w:val="337"/>
  </w:num>
  <w:num w:numId="337">
    <w:abstractNumId w:val="336"/>
  </w:num>
  <w:num w:numId="336">
    <w:abstractNumId w:val="335"/>
  </w:num>
  <w:num w:numId="335">
    <w:abstractNumId w:val="334"/>
  </w:num>
  <w:num w:numId="334">
    <w:abstractNumId w:val="333"/>
  </w:num>
  <w:num w:numId="333">
    <w:abstractNumId w:val="332"/>
  </w:num>
  <w:num w:numId="332">
    <w:abstractNumId w:val="331"/>
  </w:num>
  <w:num w:numId="331">
    <w:abstractNumId w:val="330"/>
  </w:num>
  <w:num w:numId="330">
    <w:abstractNumId w:val="329"/>
  </w:num>
  <w:num w:numId="329">
    <w:abstractNumId w:val="328"/>
  </w:num>
  <w:num w:numId="328">
    <w:abstractNumId w:val="327"/>
  </w:num>
  <w:num w:numId="327">
    <w:abstractNumId w:val="326"/>
  </w:num>
  <w:num w:numId="326">
    <w:abstractNumId w:val="325"/>
  </w:num>
  <w:num w:numId="325">
    <w:abstractNumId w:val="324"/>
  </w:num>
  <w:num w:numId="324">
    <w:abstractNumId w:val="323"/>
  </w:num>
  <w:num w:numId="323">
    <w:abstractNumId w:val="322"/>
  </w:num>
  <w:num w:numId="322">
    <w:abstractNumId w:val="321"/>
  </w:num>
  <w:num w:numId="321">
    <w:abstractNumId w:val="320"/>
  </w:num>
  <w:num w:numId="320">
    <w:abstractNumId w:val="319"/>
  </w:num>
  <w:num w:numId="319">
    <w:abstractNumId w:val="318"/>
  </w:num>
  <w:num w:numId="318">
    <w:abstractNumId w:val="317"/>
  </w:num>
  <w:num w:numId="317">
    <w:abstractNumId w:val="316"/>
  </w:num>
  <w:num w:numId="316">
    <w:abstractNumId w:val="315"/>
  </w:num>
  <w:num w:numId="315">
    <w:abstractNumId w:val="314"/>
  </w:num>
  <w:num w:numId="314">
    <w:abstractNumId w:val="313"/>
  </w:num>
  <w:num w:numId="313">
    <w:abstractNumId w:val="312"/>
  </w:num>
  <w:num w:numId="312">
    <w:abstractNumId w:val="311"/>
  </w:num>
  <w:num w:numId="311">
    <w:abstractNumId w:val="310"/>
  </w:num>
  <w:num w:numId="310">
    <w:abstractNumId w:val="309"/>
  </w:num>
  <w:num w:numId="309">
    <w:abstractNumId w:val="308"/>
  </w:num>
  <w:num w:numId="308">
    <w:abstractNumId w:val="307"/>
  </w:num>
  <w:num w:numId="307">
    <w:abstractNumId w:val="306"/>
  </w:num>
  <w:num w:numId="306">
    <w:abstractNumId w:val="305"/>
  </w:num>
  <w:num w:numId="305">
    <w:abstractNumId w:val="304"/>
  </w:num>
  <w:num w:numId="304">
    <w:abstractNumId w:val="303"/>
  </w:num>
  <w:num w:numId="303">
    <w:abstractNumId w:val="302"/>
  </w:num>
  <w:num w:numId="302">
    <w:abstractNumId w:val="301"/>
  </w:num>
  <w:num w:numId="301">
    <w:abstractNumId w:val="300"/>
  </w:num>
  <w:num w:numId="300">
    <w:abstractNumId w:val="299"/>
  </w:num>
  <w:num w:numId="299">
    <w:abstractNumId w:val="298"/>
  </w:num>
  <w:num w:numId="298">
    <w:abstractNumId w:val="297"/>
  </w:num>
  <w:num w:numId="297">
    <w:abstractNumId w:val="296"/>
  </w:num>
  <w:num w:numId="296">
    <w:abstractNumId w:val="295"/>
  </w:num>
  <w:num w:numId="295">
    <w:abstractNumId w:val="294"/>
  </w:num>
  <w:num w:numId="294">
    <w:abstractNumId w:val="293"/>
  </w:num>
  <w:num w:numId="293">
    <w:abstractNumId w:val="292"/>
  </w:num>
  <w:num w:numId="292">
    <w:abstractNumId w:val="291"/>
  </w:num>
  <w:num w:numId="291">
    <w:abstractNumId w:val="290"/>
  </w:num>
  <w:num w:numId="290">
    <w:abstractNumId w:val="289"/>
  </w:num>
  <w:num w:numId="289">
    <w:abstractNumId w:val="288"/>
  </w:num>
  <w:num w:numId="288">
    <w:abstractNumId w:val="287"/>
  </w:num>
  <w:num w:numId="287">
    <w:abstractNumId w:val="286"/>
  </w:num>
  <w:num w:numId="286">
    <w:abstractNumId w:val="285"/>
  </w:num>
  <w:num w:numId="285">
    <w:abstractNumId w:val="284"/>
  </w:num>
  <w:num w:numId="284">
    <w:abstractNumId w:val="283"/>
  </w:num>
  <w:num w:numId="283">
    <w:abstractNumId w:val="282"/>
  </w:num>
  <w:num w:numId="282">
    <w:abstractNumId w:val="281"/>
  </w:num>
  <w:num w:numId="281">
    <w:abstractNumId w:val="280"/>
  </w:num>
  <w:num w:numId="280">
    <w:abstractNumId w:val="279"/>
  </w:num>
  <w:num w:numId="279">
    <w:abstractNumId w:val="278"/>
  </w:num>
  <w:num w:numId="278">
    <w:abstractNumId w:val="277"/>
  </w:num>
  <w:num w:numId="277">
    <w:abstractNumId w:val="276"/>
  </w:num>
  <w:num w:numId="276">
    <w:abstractNumId w:val="275"/>
  </w:num>
  <w:num w:numId="275">
    <w:abstractNumId w:val="274"/>
  </w:num>
  <w:num w:numId="274">
    <w:abstractNumId w:val="273"/>
  </w:num>
  <w:num w:numId="273">
    <w:abstractNumId w:val="272"/>
  </w:num>
  <w:num w:numId="272">
    <w:abstractNumId w:val="271"/>
  </w:num>
  <w:num w:numId="271">
    <w:abstractNumId w:val="270"/>
  </w:num>
  <w:num w:numId="270">
    <w:abstractNumId w:val="269"/>
  </w:num>
  <w:num w:numId="269">
    <w:abstractNumId w:val="268"/>
  </w:num>
  <w:num w:numId="268">
    <w:abstractNumId w:val="267"/>
  </w:num>
  <w:num w:numId="267">
    <w:abstractNumId w:val="266"/>
  </w:num>
  <w:num w:numId="266">
    <w:abstractNumId w:val="265"/>
  </w:num>
  <w:num w:numId="265">
    <w:abstractNumId w:val="264"/>
  </w:num>
  <w:num w:numId="264">
    <w:abstractNumId w:val="263"/>
  </w:num>
  <w:num w:numId="263">
    <w:abstractNumId w:val="262"/>
  </w:num>
  <w:num w:numId="262">
    <w:abstractNumId w:val="261"/>
  </w:num>
  <w:num w:numId="261">
    <w:abstractNumId w:val="260"/>
  </w:num>
  <w:num w:numId="260">
    <w:abstractNumId w:val="259"/>
  </w:num>
  <w:num w:numId="259">
    <w:abstractNumId w:val="258"/>
  </w:num>
  <w:num w:numId="258">
    <w:abstractNumId w:val="257"/>
  </w:num>
  <w:num w:numId="257">
    <w:abstractNumId w:val="256"/>
  </w:num>
  <w:num w:numId="256">
    <w:abstractNumId w:val="255"/>
  </w:num>
  <w:num w:numId="255">
    <w:abstractNumId w:val="254"/>
  </w:num>
  <w:num w:numId="254">
    <w:abstractNumId w:val="253"/>
  </w:num>
  <w:num w:numId="253">
    <w:abstractNumId w:val="252"/>
  </w:num>
  <w:num w:numId="252">
    <w:abstractNumId w:val="251"/>
  </w:num>
  <w:num w:numId="251">
    <w:abstractNumId w:val="250"/>
  </w:num>
  <w:num w:numId="250">
    <w:abstractNumId w:val="249"/>
  </w:num>
  <w:num w:numId="249">
    <w:abstractNumId w:val="248"/>
  </w:num>
  <w:num w:numId="248">
    <w:abstractNumId w:val="247"/>
  </w:num>
  <w:num w:numId="247">
    <w:abstractNumId w:val="246"/>
  </w: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left="296" w:right="296"/>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338" w:right="296"/>
      <w:jc w:val="center"/>
      <w:outlineLvl w:val="2"/>
    </w:pPr>
    <w:rPr>
      <w:rFonts w:ascii="Arial" w:hAnsi="Arial" w:eastAsia="Arial" w:cs="Arial"/>
      <w:b/>
      <w:bCs/>
      <w:sz w:val="22"/>
      <w:szCs w:val="22"/>
      <w:lang w:val="es-ES" w:eastAsia="en-US" w:bidi="ar-SA"/>
    </w:rPr>
  </w:style>
  <w:style w:styleId="Heading3" w:type="paragraph">
    <w:name w:val="Heading 3"/>
    <w:basedOn w:val="Normal"/>
    <w:uiPriority w:val="1"/>
    <w:qFormat/>
    <w:pPr>
      <w:spacing w:before="226"/>
      <w:ind w:left="956"/>
      <w:outlineLvl w:val="3"/>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1195" w:hanging="569"/>
      <w:jc w:val="both"/>
    </w:pPr>
    <w:rPr>
      <w:rFonts w:ascii="Arial MT" w:hAnsi="Arial MT" w:eastAsia="Arial MT" w:cs="Arial MT"/>
      <w:lang w:val="es-ES" w:eastAsia="en-US" w:bidi="ar-SA"/>
    </w:rPr>
  </w:style>
  <w:style w:styleId="TableParagraph" w:type="paragraph">
    <w:name w:val="Table Paragraph"/>
    <w:basedOn w:val="Normal"/>
    <w:uiPriority w:val="1"/>
    <w:qFormat/>
    <w:pPr>
      <w:spacing w:line="210" w:lineRule="exact"/>
      <w:ind w:left="71"/>
      <w:jc w:val="center"/>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Federal del Trabajo</dc:title>
  <dcterms:created xsi:type="dcterms:W3CDTF">2025-05-03T03:09:08Z</dcterms:created>
  <dcterms:modified xsi:type="dcterms:W3CDTF">2025-05-03T03:09:08Z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